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9E01D" w14:textId="77777777"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29794A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21D0DD0" w14:textId="77777777" w:rsidR="00BD2E10" w:rsidRPr="00EA12CE" w:rsidRDefault="00BD2E10" w:rsidP="003B7D0E">
      <w:pPr>
        <w:pStyle w:val="BasicParagraph"/>
        <w:suppressAutoHyphens/>
        <w:jc w:val="center"/>
        <w:rPr>
          <w:rFonts w:ascii="Verdana" w:hAnsi="Verdana" w:cs="Arial"/>
          <w:b/>
          <w:bCs/>
          <w:color w:val="734791"/>
          <w:sz w:val="36"/>
          <w:szCs w:val="36"/>
        </w:rPr>
      </w:pPr>
    </w:p>
    <w:p w14:paraId="57C7C2F8" w14:textId="04BC2921" w:rsidR="0096459E" w:rsidRPr="003B7D0E" w:rsidRDefault="00AD6F93"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w:t>
      </w:r>
      <w:r w:rsidR="007D7E00">
        <w:rPr>
          <w:rFonts w:ascii="Verdana" w:hAnsi="Verdana" w:cs="Arial"/>
          <w:b/>
          <w:bCs/>
          <w:color w:val="77328A"/>
          <w:sz w:val="36"/>
          <w:szCs w:val="36"/>
        </w:rPr>
        <w:t xml:space="preserve">Department for the Economy on the </w:t>
      </w:r>
      <w:r w:rsidR="00183209">
        <w:rPr>
          <w:rFonts w:ascii="Verdana" w:hAnsi="Verdana" w:cs="Arial"/>
          <w:b/>
          <w:bCs/>
          <w:color w:val="77328A"/>
          <w:sz w:val="36"/>
          <w:szCs w:val="36"/>
        </w:rPr>
        <w:t>Employment Rights Bill Consultation</w:t>
      </w:r>
    </w:p>
    <w:p w14:paraId="258F7D8F" w14:textId="77777777" w:rsidR="00F31387" w:rsidRPr="00331C61" w:rsidRDefault="00F31387" w:rsidP="003B7D0E">
      <w:pPr>
        <w:pStyle w:val="Default"/>
        <w:jc w:val="center"/>
        <w:rPr>
          <w:rFonts w:cs="Arial"/>
          <w:color w:val="232120"/>
          <w:sz w:val="36"/>
          <w:szCs w:val="36"/>
        </w:rPr>
      </w:pPr>
    </w:p>
    <w:p w14:paraId="2014B73B" w14:textId="77777777" w:rsidR="00BD2E10" w:rsidRDefault="00BD2E10" w:rsidP="003B7D0E">
      <w:pPr>
        <w:pStyle w:val="Default"/>
        <w:jc w:val="center"/>
        <w:rPr>
          <w:rFonts w:cs="Arial"/>
          <w:color w:val="232120"/>
          <w:sz w:val="36"/>
          <w:szCs w:val="36"/>
        </w:rPr>
      </w:pPr>
    </w:p>
    <w:p w14:paraId="2C0B08B8" w14:textId="77777777" w:rsidR="00BD2E10" w:rsidRDefault="00BD2E10" w:rsidP="003B7D0E">
      <w:pPr>
        <w:pStyle w:val="Default"/>
        <w:jc w:val="center"/>
        <w:rPr>
          <w:rFonts w:cs="Arial"/>
          <w:color w:val="232120"/>
          <w:sz w:val="36"/>
          <w:szCs w:val="36"/>
        </w:rPr>
      </w:pPr>
    </w:p>
    <w:p w14:paraId="28110A89" w14:textId="77777777" w:rsidR="00BD2E10" w:rsidRDefault="00BD2E10" w:rsidP="003B7D0E">
      <w:pPr>
        <w:pStyle w:val="Default"/>
        <w:jc w:val="center"/>
        <w:rPr>
          <w:rFonts w:cs="Arial"/>
          <w:color w:val="232120"/>
          <w:sz w:val="36"/>
          <w:szCs w:val="36"/>
        </w:rPr>
      </w:pPr>
    </w:p>
    <w:p w14:paraId="6870803B" w14:textId="77777777" w:rsidR="00BD2E10" w:rsidRDefault="00BD2E10" w:rsidP="003B7D0E">
      <w:pPr>
        <w:pStyle w:val="Default"/>
        <w:jc w:val="center"/>
        <w:rPr>
          <w:rFonts w:cs="Arial"/>
          <w:color w:val="232120"/>
          <w:sz w:val="36"/>
          <w:szCs w:val="36"/>
        </w:rPr>
      </w:pPr>
    </w:p>
    <w:p w14:paraId="3ED5B9C2" w14:textId="77777777" w:rsidR="00BD2E10" w:rsidRDefault="00BD2E10" w:rsidP="003B7D0E">
      <w:pPr>
        <w:pStyle w:val="Default"/>
        <w:jc w:val="center"/>
        <w:rPr>
          <w:rFonts w:cs="Arial"/>
          <w:color w:val="232120"/>
          <w:sz w:val="36"/>
          <w:szCs w:val="36"/>
        </w:rPr>
      </w:pPr>
    </w:p>
    <w:p w14:paraId="0DC80249" w14:textId="77777777" w:rsidR="00183209" w:rsidRDefault="00183209" w:rsidP="003B7D0E">
      <w:pPr>
        <w:pStyle w:val="Default"/>
        <w:jc w:val="center"/>
        <w:rPr>
          <w:rFonts w:cs="Arial"/>
          <w:color w:val="232120"/>
          <w:sz w:val="36"/>
          <w:szCs w:val="36"/>
        </w:rPr>
      </w:pPr>
    </w:p>
    <w:p w14:paraId="3B155FDB" w14:textId="77777777" w:rsidR="00412AA0" w:rsidRDefault="00412AA0" w:rsidP="003B7D0E">
      <w:pPr>
        <w:pStyle w:val="Default"/>
        <w:jc w:val="center"/>
        <w:rPr>
          <w:rFonts w:cs="Arial"/>
          <w:color w:val="232120"/>
          <w:sz w:val="36"/>
          <w:szCs w:val="36"/>
        </w:rPr>
      </w:pPr>
    </w:p>
    <w:p w14:paraId="580F99FC" w14:textId="77777777" w:rsidR="00BD2E10" w:rsidRPr="00331C61" w:rsidRDefault="00BD2E10" w:rsidP="003B7D0E">
      <w:pPr>
        <w:pStyle w:val="Default"/>
        <w:jc w:val="center"/>
        <w:rPr>
          <w:rFonts w:cs="Arial"/>
          <w:color w:val="232120"/>
          <w:sz w:val="36"/>
          <w:szCs w:val="36"/>
        </w:rPr>
      </w:pPr>
    </w:p>
    <w:p w14:paraId="0CD0AC25" w14:textId="456BE62D" w:rsidR="008159E8" w:rsidRPr="00331C61" w:rsidRDefault="00A3265D" w:rsidP="003B7D0E">
      <w:pPr>
        <w:jc w:val="center"/>
        <w:rPr>
          <w:rFonts w:cs="Arial"/>
          <w:b/>
          <w:color w:val="232120"/>
          <w:sz w:val="30"/>
          <w:szCs w:val="30"/>
        </w:rPr>
      </w:pPr>
      <w:r>
        <w:rPr>
          <w:rFonts w:cs="Arial"/>
          <w:b/>
          <w:color w:val="232120"/>
          <w:sz w:val="30"/>
          <w:szCs w:val="30"/>
        </w:rPr>
        <w:t xml:space="preserve">September </w:t>
      </w:r>
      <w:r w:rsidR="0096056C">
        <w:rPr>
          <w:rFonts w:cs="Arial"/>
          <w:b/>
          <w:color w:val="232120"/>
          <w:sz w:val="30"/>
          <w:szCs w:val="30"/>
        </w:rPr>
        <w:t>202</w:t>
      </w:r>
      <w:r w:rsidR="007E69FB">
        <w:rPr>
          <w:rFonts w:cs="Arial"/>
          <w:b/>
          <w:color w:val="232120"/>
          <w:sz w:val="30"/>
          <w:szCs w:val="30"/>
        </w:rPr>
        <w:t>4</w:t>
      </w:r>
    </w:p>
    <w:p w14:paraId="3C68CF13" w14:textId="77777777" w:rsidR="00046705" w:rsidRPr="00331C61" w:rsidRDefault="00046705" w:rsidP="003B7D0E">
      <w:pPr>
        <w:jc w:val="center"/>
        <w:rPr>
          <w:rFonts w:cs="Arial"/>
          <w:b/>
          <w:color w:val="232120"/>
          <w:sz w:val="28"/>
          <w:szCs w:val="28"/>
        </w:rPr>
      </w:pPr>
    </w:p>
    <w:p w14:paraId="1BDCD842" w14:textId="77777777" w:rsidR="00046705" w:rsidRPr="00331C61" w:rsidRDefault="00046705" w:rsidP="003B7D0E">
      <w:pPr>
        <w:jc w:val="center"/>
        <w:rPr>
          <w:rFonts w:cs="Arial"/>
          <w:b/>
          <w:color w:val="232120"/>
          <w:sz w:val="28"/>
          <w:szCs w:val="28"/>
        </w:rPr>
      </w:pPr>
    </w:p>
    <w:p w14:paraId="026112FA" w14:textId="77777777" w:rsidR="00EA12CE" w:rsidRPr="00331C61" w:rsidRDefault="00EA12CE" w:rsidP="003B7D0E">
      <w:pPr>
        <w:pStyle w:val="Default"/>
        <w:jc w:val="center"/>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42F33D0" w14:textId="77777777" w:rsidR="00D258FC" w:rsidRDefault="0096056C" w:rsidP="00AF0CC9">
          <w:pPr>
            <w:pStyle w:val="TOCHeading"/>
            <w:spacing w:before="0"/>
            <w:rPr>
              <w:rFonts w:ascii="Verdana" w:hAnsi="Verdana"/>
              <w:b/>
              <w:bCs/>
              <w:color w:val="77328A"/>
              <w:sz w:val="30"/>
              <w:szCs w:val="30"/>
            </w:rPr>
          </w:pPr>
          <w:r w:rsidRPr="00D84515">
            <w:rPr>
              <w:rFonts w:ascii="Verdana" w:hAnsi="Verdana"/>
              <w:b/>
              <w:bCs/>
              <w:color w:val="77328A"/>
              <w:sz w:val="30"/>
              <w:szCs w:val="30"/>
            </w:rPr>
            <w:t>Table of Contents</w:t>
          </w:r>
        </w:p>
        <w:p w14:paraId="6C762555" w14:textId="45CEE35A" w:rsidR="00AD58A2" w:rsidRDefault="0096056C">
          <w:pPr>
            <w:pStyle w:val="TOC1"/>
            <w:rPr>
              <w:rFonts w:asciiTheme="minorHAnsi" w:hAnsiTheme="minorHAnsi"/>
              <w:b w:val="0"/>
              <w:bCs w:val="0"/>
              <w:kern w:val="2"/>
              <w:lang w:eastAsia="en-GB"/>
              <w14:ligatures w14:val="standardContextual"/>
            </w:rPr>
          </w:pPr>
          <w:r w:rsidRPr="00D84515">
            <w:rPr>
              <w:rFonts w:asciiTheme="majorHAnsi" w:eastAsiaTheme="majorEastAsia" w:hAnsiTheme="majorHAnsi" w:cstheme="majorBidi"/>
              <w:noProof w:val="0"/>
              <w:color w:val="365F91" w:themeColor="accent1" w:themeShade="BF"/>
              <w:sz w:val="32"/>
              <w:szCs w:val="32"/>
              <w:lang w:val="en-US"/>
            </w:rPr>
            <w:fldChar w:fldCharType="begin"/>
          </w:r>
          <w:r w:rsidRPr="00D84515">
            <w:instrText xml:space="preserve"> TOC \o "1-3" \h \z \u </w:instrText>
          </w:r>
          <w:r w:rsidRPr="00D84515">
            <w:rPr>
              <w:rFonts w:asciiTheme="majorHAnsi" w:eastAsiaTheme="majorEastAsia" w:hAnsiTheme="majorHAnsi" w:cstheme="majorBidi"/>
              <w:noProof w:val="0"/>
              <w:color w:val="365F91" w:themeColor="accent1" w:themeShade="BF"/>
              <w:sz w:val="32"/>
              <w:szCs w:val="32"/>
              <w:lang w:val="en-US"/>
            </w:rPr>
            <w:fldChar w:fldCharType="separate"/>
          </w:r>
        </w:p>
        <w:p w14:paraId="0B8322C5" w14:textId="4698CECF" w:rsidR="00AD58A2" w:rsidRDefault="00000000">
          <w:pPr>
            <w:pStyle w:val="TOC1"/>
            <w:rPr>
              <w:rFonts w:asciiTheme="minorHAnsi" w:hAnsiTheme="minorHAnsi"/>
              <w:b w:val="0"/>
              <w:bCs w:val="0"/>
              <w:kern w:val="2"/>
              <w:lang w:eastAsia="en-GB"/>
              <w14:ligatures w14:val="standardContextual"/>
            </w:rPr>
          </w:pPr>
          <w:hyperlink w:anchor="_Toc178599788" w:history="1">
            <w:r w:rsidR="00AD58A2" w:rsidRPr="004C06D4">
              <w:rPr>
                <w:rStyle w:val="Hyperlink"/>
              </w:rPr>
              <w:t>Summary of Recommendations</w:t>
            </w:r>
            <w:r w:rsidR="00AD58A2">
              <w:rPr>
                <w:webHidden/>
              </w:rPr>
              <w:tab/>
            </w:r>
            <w:r w:rsidR="00AD58A2">
              <w:rPr>
                <w:webHidden/>
              </w:rPr>
              <w:fldChar w:fldCharType="begin"/>
            </w:r>
            <w:r w:rsidR="00AD58A2">
              <w:rPr>
                <w:webHidden/>
              </w:rPr>
              <w:instrText xml:space="preserve"> PAGEREF _Toc178599788 \h </w:instrText>
            </w:r>
            <w:r w:rsidR="00AD58A2">
              <w:rPr>
                <w:webHidden/>
              </w:rPr>
            </w:r>
            <w:r w:rsidR="00AD58A2">
              <w:rPr>
                <w:webHidden/>
              </w:rPr>
              <w:fldChar w:fldCharType="separate"/>
            </w:r>
            <w:r w:rsidR="00197FA6">
              <w:rPr>
                <w:webHidden/>
              </w:rPr>
              <w:t>3</w:t>
            </w:r>
            <w:r w:rsidR="00AD58A2">
              <w:rPr>
                <w:webHidden/>
              </w:rPr>
              <w:fldChar w:fldCharType="end"/>
            </w:r>
          </w:hyperlink>
        </w:p>
        <w:p w14:paraId="40D9A0D4" w14:textId="3C664ECA" w:rsidR="00AD58A2" w:rsidRDefault="00000000">
          <w:pPr>
            <w:pStyle w:val="TOC1"/>
            <w:rPr>
              <w:rFonts w:asciiTheme="minorHAnsi" w:hAnsiTheme="minorHAnsi"/>
              <w:b w:val="0"/>
              <w:bCs w:val="0"/>
              <w:kern w:val="2"/>
              <w:lang w:eastAsia="en-GB"/>
              <w14:ligatures w14:val="standardContextual"/>
            </w:rPr>
          </w:pPr>
          <w:hyperlink w:anchor="_Toc178599789" w:history="1">
            <w:r w:rsidR="00AD58A2" w:rsidRPr="004C06D4">
              <w:rPr>
                <w:rStyle w:val="Hyperlink"/>
              </w:rPr>
              <w:t>1.0</w:t>
            </w:r>
            <w:r w:rsidR="00AD58A2">
              <w:rPr>
                <w:rFonts w:asciiTheme="minorHAnsi" w:hAnsiTheme="minorHAnsi"/>
                <w:b w:val="0"/>
                <w:bCs w:val="0"/>
                <w:kern w:val="2"/>
                <w:lang w:eastAsia="en-GB"/>
                <w14:ligatures w14:val="standardContextual"/>
              </w:rPr>
              <w:tab/>
            </w:r>
            <w:r w:rsidR="00AD58A2" w:rsidRPr="004C06D4">
              <w:rPr>
                <w:rStyle w:val="Hyperlink"/>
              </w:rPr>
              <w:t>Introduction</w:t>
            </w:r>
            <w:r w:rsidR="00AD58A2">
              <w:rPr>
                <w:webHidden/>
              </w:rPr>
              <w:tab/>
            </w:r>
            <w:r w:rsidR="00AD58A2">
              <w:rPr>
                <w:webHidden/>
              </w:rPr>
              <w:fldChar w:fldCharType="begin"/>
            </w:r>
            <w:r w:rsidR="00AD58A2">
              <w:rPr>
                <w:webHidden/>
              </w:rPr>
              <w:instrText xml:space="preserve"> PAGEREF _Toc178599789 \h </w:instrText>
            </w:r>
            <w:r w:rsidR="00AD58A2">
              <w:rPr>
                <w:webHidden/>
              </w:rPr>
            </w:r>
            <w:r w:rsidR="00AD58A2">
              <w:rPr>
                <w:webHidden/>
              </w:rPr>
              <w:fldChar w:fldCharType="separate"/>
            </w:r>
            <w:r w:rsidR="00197FA6">
              <w:rPr>
                <w:webHidden/>
              </w:rPr>
              <w:t>7</w:t>
            </w:r>
            <w:r w:rsidR="00AD58A2">
              <w:rPr>
                <w:webHidden/>
              </w:rPr>
              <w:fldChar w:fldCharType="end"/>
            </w:r>
          </w:hyperlink>
        </w:p>
        <w:p w14:paraId="77FBC6DE" w14:textId="042F154F" w:rsidR="00AD58A2" w:rsidRDefault="00000000">
          <w:pPr>
            <w:pStyle w:val="TOC1"/>
            <w:rPr>
              <w:rFonts w:asciiTheme="minorHAnsi" w:hAnsiTheme="minorHAnsi"/>
              <w:b w:val="0"/>
              <w:bCs w:val="0"/>
              <w:kern w:val="2"/>
              <w:lang w:eastAsia="en-GB"/>
              <w14:ligatures w14:val="standardContextual"/>
            </w:rPr>
          </w:pPr>
          <w:hyperlink w:anchor="_Toc178599790" w:history="1">
            <w:r w:rsidR="00AD58A2" w:rsidRPr="004C06D4">
              <w:rPr>
                <w:rStyle w:val="Hyperlink"/>
              </w:rPr>
              <w:t xml:space="preserve">2.0 </w:t>
            </w:r>
            <w:r w:rsidR="00AD58A2">
              <w:rPr>
                <w:rFonts w:asciiTheme="minorHAnsi" w:hAnsiTheme="minorHAnsi"/>
                <w:b w:val="0"/>
                <w:bCs w:val="0"/>
                <w:kern w:val="2"/>
                <w:lang w:eastAsia="en-GB"/>
                <w14:ligatures w14:val="standardContextual"/>
              </w:rPr>
              <w:tab/>
            </w:r>
            <w:r w:rsidR="00AD58A2" w:rsidRPr="004C06D4">
              <w:rPr>
                <w:rStyle w:val="Hyperlink"/>
              </w:rPr>
              <w:t>Background</w:t>
            </w:r>
            <w:r w:rsidR="00AD58A2">
              <w:rPr>
                <w:webHidden/>
              </w:rPr>
              <w:tab/>
            </w:r>
            <w:r w:rsidR="00AD58A2">
              <w:rPr>
                <w:webHidden/>
              </w:rPr>
              <w:fldChar w:fldCharType="begin"/>
            </w:r>
            <w:r w:rsidR="00AD58A2">
              <w:rPr>
                <w:webHidden/>
              </w:rPr>
              <w:instrText xml:space="preserve"> PAGEREF _Toc178599790 \h </w:instrText>
            </w:r>
            <w:r w:rsidR="00AD58A2">
              <w:rPr>
                <w:webHidden/>
              </w:rPr>
            </w:r>
            <w:r w:rsidR="00AD58A2">
              <w:rPr>
                <w:webHidden/>
              </w:rPr>
              <w:fldChar w:fldCharType="separate"/>
            </w:r>
            <w:r w:rsidR="00197FA6">
              <w:rPr>
                <w:webHidden/>
              </w:rPr>
              <w:t>9</w:t>
            </w:r>
            <w:r w:rsidR="00AD58A2">
              <w:rPr>
                <w:webHidden/>
              </w:rPr>
              <w:fldChar w:fldCharType="end"/>
            </w:r>
          </w:hyperlink>
        </w:p>
        <w:p w14:paraId="11093B65" w14:textId="4D261833" w:rsidR="00AD58A2" w:rsidRDefault="00000000">
          <w:pPr>
            <w:pStyle w:val="TOC2"/>
            <w:rPr>
              <w:rFonts w:asciiTheme="minorHAnsi" w:hAnsiTheme="minorHAnsi"/>
              <w:kern w:val="2"/>
              <w:lang w:eastAsia="en-GB"/>
              <w14:ligatures w14:val="standardContextual"/>
            </w:rPr>
          </w:pPr>
          <w:hyperlink w:anchor="_Toc178599791" w:history="1">
            <w:r w:rsidR="00AD58A2" w:rsidRPr="004C06D4">
              <w:rPr>
                <w:rStyle w:val="Hyperlink"/>
                <w:lang w:val="en" w:eastAsia="en-GB"/>
              </w:rPr>
              <w:t>Windsor Framework Article 2</w:t>
            </w:r>
            <w:r w:rsidR="00AD58A2">
              <w:rPr>
                <w:webHidden/>
              </w:rPr>
              <w:tab/>
            </w:r>
            <w:r w:rsidR="00AD58A2">
              <w:rPr>
                <w:webHidden/>
              </w:rPr>
              <w:fldChar w:fldCharType="begin"/>
            </w:r>
            <w:r w:rsidR="00AD58A2">
              <w:rPr>
                <w:webHidden/>
              </w:rPr>
              <w:instrText xml:space="preserve"> PAGEREF _Toc178599791 \h </w:instrText>
            </w:r>
            <w:r w:rsidR="00AD58A2">
              <w:rPr>
                <w:webHidden/>
              </w:rPr>
            </w:r>
            <w:r w:rsidR="00AD58A2">
              <w:rPr>
                <w:webHidden/>
              </w:rPr>
              <w:fldChar w:fldCharType="separate"/>
            </w:r>
            <w:r w:rsidR="00197FA6">
              <w:rPr>
                <w:webHidden/>
              </w:rPr>
              <w:t>9</w:t>
            </w:r>
            <w:r w:rsidR="00AD58A2">
              <w:rPr>
                <w:webHidden/>
              </w:rPr>
              <w:fldChar w:fldCharType="end"/>
            </w:r>
          </w:hyperlink>
        </w:p>
        <w:p w14:paraId="2A385833" w14:textId="1A6AFD16" w:rsidR="00AD58A2" w:rsidRDefault="00000000">
          <w:pPr>
            <w:pStyle w:val="TOC2"/>
            <w:rPr>
              <w:rFonts w:asciiTheme="minorHAnsi" w:hAnsiTheme="minorHAnsi"/>
              <w:kern w:val="2"/>
              <w:lang w:eastAsia="en-GB"/>
              <w14:ligatures w14:val="standardContextual"/>
            </w:rPr>
          </w:pPr>
          <w:hyperlink w:anchor="_Toc178599792" w:history="1">
            <w:r w:rsidR="00AD58A2" w:rsidRPr="004C06D4">
              <w:rPr>
                <w:rStyle w:val="Hyperlink"/>
              </w:rPr>
              <w:t>Divergence of Rights on the island of Ireland</w:t>
            </w:r>
            <w:r w:rsidR="00AD58A2">
              <w:rPr>
                <w:webHidden/>
              </w:rPr>
              <w:tab/>
            </w:r>
            <w:r w:rsidR="00AD58A2">
              <w:rPr>
                <w:webHidden/>
              </w:rPr>
              <w:fldChar w:fldCharType="begin"/>
            </w:r>
            <w:r w:rsidR="00AD58A2">
              <w:rPr>
                <w:webHidden/>
              </w:rPr>
              <w:instrText xml:space="preserve"> PAGEREF _Toc178599792 \h </w:instrText>
            </w:r>
            <w:r w:rsidR="00AD58A2">
              <w:rPr>
                <w:webHidden/>
              </w:rPr>
            </w:r>
            <w:r w:rsidR="00AD58A2">
              <w:rPr>
                <w:webHidden/>
              </w:rPr>
              <w:fldChar w:fldCharType="separate"/>
            </w:r>
            <w:r w:rsidR="00197FA6">
              <w:rPr>
                <w:webHidden/>
              </w:rPr>
              <w:t>13</w:t>
            </w:r>
            <w:r w:rsidR="00AD58A2">
              <w:rPr>
                <w:webHidden/>
              </w:rPr>
              <w:fldChar w:fldCharType="end"/>
            </w:r>
          </w:hyperlink>
        </w:p>
        <w:p w14:paraId="4E9C7372" w14:textId="4E6F6B4F" w:rsidR="00AD58A2" w:rsidRDefault="00000000">
          <w:pPr>
            <w:pStyle w:val="TOC1"/>
            <w:rPr>
              <w:rFonts w:asciiTheme="minorHAnsi" w:hAnsiTheme="minorHAnsi"/>
              <w:b w:val="0"/>
              <w:bCs w:val="0"/>
              <w:kern w:val="2"/>
              <w:lang w:eastAsia="en-GB"/>
              <w14:ligatures w14:val="standardContextual"/>
            </w:rPr>
          </w:pPr>
          <w:hyperlink w:anchor="_Toc178599793" w:history="1">
            <w:r w:rsidR="00AD58A2" w:rsidRPr="004C06D4">
              <w:rPr>
                <w:rStyle w:val="Hyperlink"/>
              </w:rPr>
              <w:t>3.0 EU Developments in Employment Rights</w:t>
            </w:r>
            <w:r w:rsidR="00AD58A2">
              <w:rPr>
                <w:webHidden/>
              </w:rPr>
              <w:tab/>
            </w:r>
            <w:r w:rsidR="00AD58A2">
              <w:rPr>
                <w:webHidden/>
              </w:rPr>
              <w:fldChar w:fldCharType="begin"/>
            </w:r>
            <w:r w:rsidR="00AD58A2">
              <w:rPr>
                <w:webHidden/>
              </w:rPr>
              <w:instrText xml:space="preserve"> PAGEREF _Toc178599793 \h </w:instrText>
            </w:r>
            <w:r w:rsidR="00AD58A2">
              <w:rPr>
                <w:webHidden/>
              </w:rPr>
            </w:r>
            <w:r w:rsidR="00AD58A2">
              <w:rPr>
                <w:webHidden/>
              </w:rPr>
              <w:fldChar w:fldCharType="separate"/>
            </w:r>
            <w:r w:rsidR="00197FA6">
              <w:rPr>
                <w:webHidden/>
              </w:rPr>
              <w:t>15</w:t>
            </w:r>
            <w:r w:rsidR="00AD58A2">
              <w:rPr>
                <w:webHidden/>
              </w:rPr>
              <w:fldChar w:fldCharType="end"/>
            </w:r>
          </w:hyperlink>
        </w:p>
        <w:p w14:paraId="6305AADD" w14:textId="4812A58F" w:rsidR="00AD58A2" w:rsidRDefault="00000000">
          <w:pPr>
            <w:pStyle w:val="TOC2"/>
            <w:rPr>
              <w:rFonts w:asciiTheme="minorHAnsi" w:hAnsiTheme="minorHAnsi"/>
              <w:kern w:val="2"/>
              <w:lang w:eastAsia="en-GB"/>
              <w14:ligatures w14:val="standardContextual"/>
            </w:rPr>
          </w:pPr>
          <w:hyperlink w:anchor="_Toc178599794" w:history="1">
            <w:r w:rsidR="00AD58A2" w:rsidRPr="004C06D4">
              <w:rPr>
                <w:rStyle w:val="Hyperlink"/>
              </w:rPr>
              <w:t>EU Pay Transparency Directive</w:t>
            </w:r>
            <w:r w:rsidR="00AD58A2">
              <w:rPr>
                <w:webHidden/>
              </w:rPr>
              <w:tab/>
            </w:r>
            <w:r w:rsidR="00AD58A2">
              <w:rPr>
                <w:webHidden/>
              </w:rPr>
              <w:fldChar w:fldCharType="begin"/>
            </w:r>
            <w:r w:rsidR="00AD58A2">
              <w:rPr>
                <w:webHidden/>
              </w:rPr>
              <w:instrText xml:space="preserve"> PAGEREF _Toc178599794 \h </w:instrText>
            </w:r>
            <w:r w:rsidR="00AD58A2">
              <w:rPr>
                <w:webHidden/>
              </w:rPr>
            </w:r>
            <w:r w:rsidR="00AD58A2">
              <w:rPr>
                <w:webHidden/>
              </w:rPr>
              <w:fldChar w:fldCharType="separate"/>
            </w:r>
            <w:r w:rsidR="00197FA6">
              <w:rPr>
                <w:webHidden/>
              </w:rPr>
              <w:t>15</w:t>
            </w:r>
            <w:r w:rsidR="00AD58A2">
              <w:rPr>
                <w:webHidden/>
              </w:rPr>
              <w:fldChar w:fldCharType="end"/>
            </w:r>
          </w:hyperlink>
        </w:p>
        <w:p w14:paraId="6B78C0F1" w14:textId="001C6BE6" w:rsidR="00AD58A2" w:rsidRDefault="00000000">
          <w:pPr>
            <w:pStyle w:val="TOC3"/>
            <w:rPr>
              <w:rFonts w:asciiTheme="minorHAnsi" w:hAnsiTheme="minorHAnsi"/>
              <w:noProof/>
              <w:kern w:val="2"/>
              <w:lang w:eastAsia="en-GB"/>
              <w14:ligatures w14:val="standardContextual"/>
            </w:rPr>
          </w:pPr>
          <w:hyperlink w:anchor="_Toc178599795" w:history="1">
            <w:r w:rsidR="00AD58A2" w:rsidRPr="004C06D4">
              <w:rPr>
                <w:rStyle w:val="Hyperlink"/>
                <w:noProof/>
              </w:rPr>
              <w:t>Intersectional Discrimination</w:t>
            </w:r>
            <w:r w:rsidR="00AD58A2">
              <w:rPr>
                <w:noProof/>
                <w:webHidden/>
              </w:rPr>
              <w:tab/>
            </w:r>
            <w:r w:rsidR="00AD58A2">
              <w:rPr>
                <w:noProof/>
                <w:webHidden/>
              </w:rPr>
              <w:fldChar w:fldCharType="begin"/>
            </w:r>
            <w:r w:rsidR="00AD58A2">
              <w:rPr>
                <w:noProof/>
                <w:webHidden/>
              </w:rPr>
              <w:instrText xml:space="preserve"> PAGEREF _Toc178599795 \h </w:instrText>
            </w:r>
            <w:r w:rsidR="00AD58A2">
              <w:rPr>
                <w:noProof/>
                <w:webHidden/>
              </w:rPr>
            </w:r>
            <w:r w:rsidR="00AD58A2">
              <w:rPr>
                <w:noProof/>
                <w:webHidden/>
              </w:rPr>
              <w:fldChar w:fldCharType="separate"/>
            </w:r>
            <w:r w:rsidR="00197FA6">
              <w:rPr>
                <w:noProof/>
                <w:webHidden/>
              </w:rPr>
              <w:t>18</w:t>
            </w:r>
            <w:r w:rsidR="00AD58A2">
              <w:rPr>
                <w:noProof/>
                <w:webHidden/>
              </w:rPr>
              <w:fldChar w:fldCharType="end"/>
            </w:r>
          </w:hyperlink>
        </w:p>
        <w:p w14:paraId="128EC388" w14:textId="618E4A54" w:rsidR="00AD58A2" w:rsidRDefault="00000000">
          <w:pPr>
            <w:pStyle w:val="TOC2"/>
            <w:rPr>
              <w:rFonts w:asciiTheme="minorHAnsi" w:hAnsiTheme="minorHAnsi"/>
              <w:kern w:val="2"/>
              <w:lang w:eastAsia="en-GB"/>
              <w14:ligatures w14:val="standardContextual"/>
            </w:rPr>
          </w:pPr>
          <w:hyperlink w:anchor="_Toc178599796" w:history="1">
            <w:r w:rsidR="00AD58A2" w:rsidRPr="004C06D4">
              <w:rPr>
                <w:rStyle w:val="Hyperlink"/>
              </w:rPr>
              <w:t>EU Binding Standards on Equality Bodies</w:t>
            </w:r>
            <w:r w:rsidR="00AD58A2">
              <w:rPr>
                <w:webHidden/>
              </w:rPr>
              <w:tab/>
            </w:r>
            <w:r w:rsidR="00AD58A2">
              <w:rPr>
                <w:webHidden/>
              </w:rPr>
              <w:fldChar w:fldCharType="begin"/>
            </w:r>
            <w:r w:rsidR="00AD58A2">
              <w:rPr>
                <w:webHidden/>
              </w:rPr>
              <w:instrText xml:space="preserve"> PAGEREF _Toc178599796 \h </w:instrText>
            </w:r>
            <w:r w:rsidR="00AD58A2">
              <w:rPr>
                <w:webHidden/>
              </w:rPr>
            </w:r>
            <w:r w:rsidR="00AD58A2">
              <w:rPr>
                <w:webHidden/>
              </w:rPr>
              <w:fldChar w:fldCharType="separate"/>
            </w:r>
            <w:r w:rsidR="00197FA6">
              <w:rPr>
                <w:webHidden/>
              </w:rPr>
              <w:t>18</w:t>
            </w:r>
            <w:r w:rsidR="00AD58A2">
              <w:rPr>
                <w:webHidden/>
              </w:rPr>
              <w:fldChar w:fldCharType="end"/>
            </w:r>
          </w:hyperlink>
        </w:p>
        <w:p w14:paraId="09EFF421" w14:textId="18127F0C" w:rsidR="00AD58A2" w:rsidRDefault="00000000">
          <w:pPr>
            <w:pStyle w:val="TOC2"/>
            <w:rPr>
              <w:rFonts w:asciiTheme="minorHAnsi" w:hAnsiTheme="minorHAnsi"/>
              <w:kern w:val="2"/>
              <w:lang w:eastAsia="en-GB"/>
              <w14:ligatures w14:val="standardContextual"/>
            </w:rPr>
          </w:pPr>
          <w:hyperlink w:anchor="_Toc178599797" w:history="1">
            <w:r w:rsidR="00AD58A2" w:rsidRPr="004C06D4">
              <w:rPr>
                <w:rStyle w:val="Hyperlink"/>
              </w:rPr>
              <w:t>EU Directive on Combating Violence against Women</w:t>
            </w:r>
            <w:r w:rsidR="00AD58A2">
              <w:rPr>
                <w:webHidden/>
              </w:rPr>
              <w:tab/>
            </w:r>
            <w:r w:rsidR="00AD58A2">
              <w:rPr>
                <w:webHidden/>
              </w:rPr>
              <w:fldChar w:fldCharType="begin"/>
            </w:r>
            <w:r w:rsidR="00AD58A2">
              <w:rPr>
                <w:webHidden/>
              </w:rPr>
              <w:instrText xml:space="preserve"> PAGEREF _Toc178599797 \h </w:instrText>
            </w:r>
            <w:r w:rsidR="00AD58A2">
              <w:rPr>
                <w:webHidden/>
              </w:rPr>
            </w:r>
            <w:r w:rsidR="00AD58A2">
              <w:rPr>
                <w:webHidden/>
              </w:rPr>
              <w:fldChar w:fldCharType="separate"/>
            </w:r>
            <w:r w:rsidR="00197FA6">
              <w:rPr>
                <w:webHidden/>
              </w:rPr>
              <w:t>20</w:t>
            </w:r>
            <w:r w:rsidR="00AD58A2">
              <w:rPr>
                <w:webHidden/>
              </w:rPr>
              <w:fldChar w:fldCharType="end"/>
            </w:r>
          </w:hyperlink>
        </w:p>
        <w:p w14:paraId="5575408C" w14:textId="696DB10E" w:rsidR="00AD58A2" w:rsidRDefault="00000000">
          <w:pPr>
            <w:pStyle w:val="TOC1"/>
            <w:rPr>
              <w:rFonts w:asciiTheme="minorHAnsi" w:hAnsiTheme="minorHAnsi"/>
              <w:b w:val="0"/>
              <w:bCs w:val="0"/>
              <w:kern w:val="2"/>
              <w:lang w:eastAsia="en-GB"/>
              <w14:ligatures w14:val="standardContextual"/>
            </w:rPr>
          </w:pPr>
          <w:hyperlink w:anchor="_Toc178599798" w:history="1">
            <w:r w:rsidR="00AD58A2" w:rsidRPr="004C06D4">
              <w:rPr>
                <w:rStyle w:val="Hyperlink"/>
              </w:rPr>
              <w:t>4.0. Terms of employment</w:t>
            </w:r>
            <w:r w:rsidR="00AD58A2">
              <w:rPr>
                <w:webHidden/>
              </w:rPr>
              <w:tab/>
            </w:r>
            <w:r w:rsidR="00AD58A2">
              <w:rPr>
                <w:webHidden/>
              </w:rPr>
              <w:fldChar w:fldCharType="begin"/>
            </w:r>
            <w:r w:rsidR="00AD58A2">
              <w:rPr>
                <w:webHidden/>
              </w:rPr>
              <w:instrText xml:space="preserve"> PAGEREF _Toc178599798 \h </w:instrText>
            </w:r>
            <w:r w:rsidR="00AD58A2">
              <w:rPr>
                <w:webHidden/>
              </w:rPr>
            </w:r>
            <w:r w:rsidR="00AD58A2">
              <w:rPr>
                <w:webHidden/>
              </w:rPr>
              <w:fldChar w:fldCharType="separate"/>
            </w:r>
            <w:r w:rsidR="00197FA6">
              <w:rPr>
                <w:webHidden/>
              </w:rPr>
              <w:t>21</w:t>
            </w:r>
            <w:r w:rsidR="00AD58A2">
              <w:rPr>
                <w:webHidden/>
              </w:rPr>
              <w:fldChar w:fldCharType="end"/>
            </w:r>
          </w:hyperlink>
        </w:p>
        <w:p w14:paraId="0E3A1B4C" w14:textId="7A290F53" w:rsidR="00AD58A2" w:rsidRDefault="00000000">
          <w:pPr>
            <w:pStyle w:val="TOC2"/>
            <w:rPr>
              <w:rFonts w:asciiTheme="minorHAnsi" w:hAnsiTheme="minorHAnsi"/>
              <w:kern w:val="2"/>
              <w:lang w:eastAsia="en-GB"/>
              <w14:ligatures w14:val="standardContextual"/>
            </w:rPr>
          </w:pPr>
          <w:hyperlink w:anchor="_Toc178599799" w:history="1">
            <w:r w:rsidR="00AD58A2" w:rsidRPr="004C06D4">
              <w:rPr>
                <w:rStyle w:val="Hyperlink"/>
              </w:rPr>
              <w:t>Self-employment</w:t>
            </w:r>
            <w:r w:rsidR="00AD58A2">
              <w:rPr>
                <w:webHidden/>
              </w:rPr>
              <w:tab/>
            </w:r>
            <w:r w:rsidR="00AD58A2">
              <w:rPr>
                <w:webHidden/>
              </w:rPr>
              <w:fldChar w:fldCharType="begin"/>
            </w:r>
            <w:r w:rsidR="00AD58A2">
              <w:rPr>
                <w:webHidden/>
              </w:rPr>
              <w:instrText xml:space="preserve"> PAGEREF _Toc178599799 \h </w:instrText>
            </w:r>
            <w:r w:rsidR="00AD58A2">
              <w:rPr>
                <w:webHidden/>
              </w:rPr>
            </w:r>
            <w:r w:rsidR="00AD58A2">
              <w:rPr>
                <w:webHidden/>
              </w:rPr>
              <w:fldChar w:fldCharType="separate"/>
            </w:r>
            <w:r w:rsidR="00197FA6">
              <w:rPr>
                <w:webHidden/>
              </w:rPr>
              <w:t>21</w:t>
            </w:r>
            <w:r w:rsidR="00AD58A2">
              <w:rPr>
                <w:webHidden/>
              </w:rPr>
              <w:fldChar w:fldCharType="end"/>
            </w:r>
          </w:hyperlink>
        </w:p>
        <w:p w14:paraId="6635DD51" w14:textId="261F822F" w:rsidR="00AD58A2" w:rsidRDefault="00000000">
          <w:pPr>
            <w:pStyle w:val="TOC2"/>
            <w:rPr>
              <w:rFonts w:asciiTheme="minorHAnsi" w:hAnsiTheme="minorHAnsi"/>
              <w:kern w:val="2"/>
              <w:lang w:eastAsia="en-GB"/>
              <w14:ligatures w14:val="standardContextual"/>
            </w:rPr>
          </w:pPr>
          <w:hyperlink w:anchor="_Toc178599800" w:history="1">
            <w:r w:rsidR="00AD58A2" w:rsidRPr="004C06D4">
              <w:rPr>
                <w:rStyle w:val="Hyperlink"/>
              </w:rPr>
              <w:t>Part-time workers</w:t>
            </w:r>
            <w:r w:rsidR="00AD58A2">
              <w:rPr>
                <w:webHidden/>
              </w:rPr>
              <w:tab/>
            </w:r>
            <w:r w:rsidR="00AD58A2">
              <w:rPr>
                <w:webHidden/>
              </w:rPr>
              <w:fldChar w:fldCharType="begin"/>
            </w:r>
            <w:r w:rsidR="00AD58A2">
              <w:rPr>
                <w:webHidden/>
              </w:rPr>
              <w:instrText xml:space="preserve"> PAGEREF _Toc178599800 \h </w:instrText>
            </w:r>
            <w:r w:rsidR="00AD58A2">
              <w:rPr>
                <w:webHidden/>
              </w:rPr>
            </w:r>
            <w:r w:rsidR="00AD58A2">
              <w:rPr>
                <w:webHidden/>
              </w:rPr>
              <w:fldChar w:fldCharType="separate"/>
            </w:r>
            <w:r w:rsidR="00197FA6">
              <w:rPr>
                <w:webHidden/>
              </w:rPr>
              <w:t>23</w:t>
            </w:r>
            <w:r w:rsidR="00AD58A2">
              <w:rPr>
                <w:webHidden/>
              </w:rPr>
              <w:fldChar w:fldCharType="end"/>
            </w:r>
          </w:hyperlink>
        </w:p>
        <w:p w14:paraId="3B785ACC" w14:textId="10EB175F" w:rsidR="00AD58A2" w:rsidRDefault="00000000">
          <w:pPr>
            <w:pStyle w:val="TOC2"/>
            <w:rPr>
              <w:rFonts w:asciiTheme="minorHAnsi" w:hAnsiTheme="minorHAnsi"/>
              <w:kern w:val="2"/>
              <w:lang w:eastAsia="en-GB"/>
              <w14:ligatures w14:val="standardContextual"/>
            </w:rPr>
          </w:pPr>
          <w:hyperlink w:anchor="_Toc178599801" w:history="1">
            <w:r w:rsidR="00AD58A2" w:rsidRPr="004C06D4">
              <w:rPr>
                <w:rStyle w:val="Hyperlink"/>
              </w:rPr>
              <w:t>Agency workers</w:t>
            </w:r>
            <w:r w:rsidR="00AD58A2">
              <w:rPr>
                <w:webHidden/>
              </w:rPr>
              <w:tab/>
            </w:r>
            <w:r w:rsidR="00AD58A2">
              <w:rPr>
                <w:webHidden/>
              </w:rPr>
              <w:fldChar w:fldCharType="begin"/>
            </w:r>
            <w:r w:rsidR="00AD58A2">
              <w:rPr>
                <w:webHidden/>
              </w:rPr>
              <w:instrText xml:space="preserve"> PAGEREF _Toc178599801 \h </w:instrText>
            </w:r>
            <w:r w:rsidR="00AD58A2">
              <w:rPr>
                <w:webHidden/>
              </w:rPr>
            </w:r>
            <w:r w:rsidR="00AD58A2">
              <w:rPr>
                <w:webHidden/>
              </w:rPr>
              <w:fldChar w:fldCharType="separate"/>
            </w:r>
            <w:r w:rsidR="00197FA6">
              <w:rPr>
                <w:webHidden/>
              </w:rPr>
              <w:t>24</w:t>
            </w:r>
            <w:r w:rsidR="00AD58A2">
              <w:rPr>
                <w:webHidden/>
              </w:rPr>
              <w:fldChar w:fldCharType="end"/>
            </w:r>
          </w:hyperlink>
        </w:p>
        <w:p w14:paraId="13400CF1" w14:textId="73AF8CF8" w:rsidR="00AD58A2" w:rsidRDefault="00000000">
          <w:pPr>
            <w:pStyle w:val="TOC3"/>
            <w:rPr>
              <w:rFonts w:asciiTheme="minorHAnsi" w:hAnsiTheme="minorHAnsi"/>
              <w:noProof/>
              <w:kern w:val="2"/>
              <w:lang w:eastAsia="en-GB"/>
              <w14:ligatures w14:val="standardContextual"/>
            </w:rPr>
          </w:pPr>
          <w:hyperlink w:anchor="_Toc178599802" w:history="1">
            <w:r w:rsidR="00AD58A2" w:rsidRPr="004C06D4">
              <w:rPr>
                <w:rStyle w:val="Hyperlink"/>
                <w:noProof/>
              </w:rPr>
              <w:t>Pay transparency for agency and part-time workers</w:t>
            </w:r>
            <w:r w:rsidR="00AD58A2">
              <w:rPr>
                <w:noProof/>
                <w:webHidden/>
              </w:rPr>
              <w:tab/>
            </w:r>
            <w:r w:rsidR="00AD58A2">
              <w:rPr>
                <w:noProof/>
                <w:webHidden/>
              </w:rPr>
              <w:fldChar w:fldCharType="begin"/>
            </w:r>
            <w:r w:rsidR="00AD58A2">
              <w:rPr>
                <w:noProof/>
                <w:webHidden/>
              </w:rPr>
              <w:instrText xml:space="preserve"> PAGEREF _Toc178599802 \h </w:instrText>
            </w:r>
            <w:r w:rsidR="00AD58A2">
              <w:rPr>
                <w:noProof/>
                <w:webHidden/>
              </w:rPr>
            </w:r>
            <w:r w:rsidR="00AD58A2">
              <w:rPr>
                <w:noProof/>
                <w:webHidden/>
              </w:rPr>
              <w:fldChar w:fldCharType="separate"/>
            </w:r>
            <w:r w:rsidR="00197FA6">
              <w:rPr>
                <w:noProof/>
                <w:webHidden/>
              </w:rPr>
              <w:t>26</w:t>
            </w:r>
            <w:r w:rsidR="00AD58A2">
              <w:rPr>
                <w:noProof/>
                <w:webHidden/>
              </w:rPr>
              <w:fldChar w:fldCharType="end"/>
            </w:r>
          </w:hyperlink>
        </w:p>
        <w:p w14:paraId="1B3D424F" w14:textId="506E1290" w:rsidR="00AD58A2" w:rsidRDefault="00000000">
          <w:pPr>
            <w:pStyle w:val="TOC1"/>
            <w:rPr>
              <w:rFonts w:asciiTheme="minorHAnsi" w:hAnsiTheme="minorHAnsi"/>
              <w:b w:val="0"/>
              <w:bCs w:val="0"/>
              <w:kern w:val="2"/>
              <w:lang w:eastAsia="en-GB"/>
              <w14:ligatures w14:val="standardContextual"/>
            </w:rPr>
          </w:pPr>
          <w:hyperlink w:anchor="_Toc178599803" w:history="1">
            <w:r w:rsidR="00AD58A2" w:rsidRPr="004C06D4">
              <w:rPr>
                <w:rStyle w:val="Hyperlink"/>
              </w:rPr>
              <w:t>5.0. Voice and Representation</w:t>
            </w:r>
            <w:r w:rsidR="00AD58A2">
              <w:rPr>
                <w:webHidden/>
              </w:rPr>
              <w:tab/>
            </w:r>
            <w:r w:rsidR="00AD58A2">
              <w:rPr>
                <w:webHidden/>
              </w:rPr>
              <w:fldChar w:fldCharType="begin"/>
            </w:r>
            <w:r w:rsidR="00AD58A2">
              <w:rPr>
                <w:webHidden/>
              </w:rPr>
              <w:instrText xml:space="preserve"> PAGEREF _Toc178599803 \h </w:instrText>
            </w:r>
            <w:r w:rsidR="00AD58A2">
              <w:rPr>
                <w:webHidden/>
              </w:rPr>
            </w:r>
            <w:r w:rsidR="00AD58A2">
              <w:rPr>
                <w:webHidden/>
              </w:rPr>
              <w:fldChar w:fldCharType="separate"/>
            </w:r>
            <w:r w:rsidR="00197FA6">
              <w:rPr>
                <w:webHidden/>
              </w:rPr>
              <w:t>28</w:t>
            </w:r>
            <w:r w:rsidR="00AD58A2">
              <w:rPr>
                <w:webHidden/>
              </w:rPr>
              <w:fldChar w:fldCharType="end"/>
            </w:r>
          </w:hyperlink>
        </w:p>
        <w:p w14:paraId="1825927D" w14:textId="6A28E724" w:rsidR="00AD58A2" w:rsidRDefault="00000000">
          <w:pPr>
            <w:pStyle w:val="TOC2"/>
            <w:rPr>
              <w:rFonts w:asciiTheme="minorHAnsi" w:hAnsiTheme="minorHAnsi"/>
              <w:kern w:val="2"/>
              <w:lang w:eastAsia="en-GB"/>
              <w14:ligatures w14:val="standardContextual"/>
            </w:rPr>
          </w:pPr>
          <w:hyperlink w:anchor="_Toc178599804" w:history="1">
            <w:r w:rsidR="00AD58A2" w:rsidRPr="004C06D4">
              <w:rPr>
                <w:rStyle w:val="Hyperlink"/>
              </w:rPr>
              <w:t>EU Minimum Wages Directive</w:t>
            </w:r>
            <w:r w:rsidR="00AD58A2">
              <w:rPr>
                <w:webHidden/>
              </w:rPr>
              <w:tab/>
            </w:r>
            <w:r w:rsidR="00AD58A2">
              <w:rPr>
                <w:webHidden/>
              </w:rPr>
              <w:fldChar w:fldCharType="begin"/>
            </w:r>
            <w:r w:rsidR="00AD58A2">
              <w:rPr>
                <w:webHidden/>
              </w:rPr>
              <w:instrText xml:space="preserve"> PAGEREF _Toc178599804 \h </w:instrText>
            </w:r>
            <w:r w:rsidR="00AD58A2">
              <w:rPr>
                <w:webHidden/>
              </w:rPr>
            </w:r>
            <w:r w:rsidR="00AD58A2">
              <w:rPr>
                <w:webHidden/>
              </w:rPr>
              <w:fldChar w:fldCharType="separate"/>
            </w:r>
            <w:r w:rsidR="00197FA6">
              <w:rPr>
                <w:webHidden/>
              </w:rPr>
              <w:t>28</w:t>
            </w:r>
            <w:r w:rsidR="00AD58A2">
              <w:rPr>
                <w:webHidden/>
              </w:rPr>
              <w:fldChar w:fldCharType="end"/>
            </w:r>
          </w:hyperlink>
        </w:p>
        <w:p w14:paraId="74718B51" w14:textId="0DEEB40D" w:rsidR="00AD58A2" w:rsidRDefault="00000000">
          <w:pPr>
            <w:pStyle w:val="TOC2"/>
            <w:rPr>
              <w:rFonts w:asciiTheme="minorHAnsi" w:hAnsiTheme="minorHAnsi"/>
              <w:kern w:val="2"/>
              <w:lang w:eastAsia="en-GB"/>
              <w14:ligatures w14:val="standardContextual"/>
            </w:rPr>
          </w:pPr>
          <w:hyperlink w:anchor="_Toc178599805" w:history="1">
            <w:r w:rsidR="00AD58A2" w:rsidRPr="004C06D4">
              <w:rPr>
                <w:rStyle w:val="Hyperlink"/>
              </w:rPr>
              <w:t>Public Interest Disclosure</w:t>
            </w:r>
            <w:r w:rsidR="00AD58A2">
              <w:rPr>
                <w:webHidden/>
              </w:rPr>
              <w:tab/>
            </w:r>
            <w:r w:rsidR="00AD58A2">
              <w:rPr>
                <w:webHidden/>
              </w:rPr>
              <w:fldChar w:fldCharType="begin"/>
            </w:r>
            <w:r w:rsidR="00AD58A2">
              <w:rPr>
                <w:webHidden/>
              </w:rPr>
              <w:instrText xml:space="preserve"> PAGEREF _Toc178599805 \h </w:instrText>
            </w:r>
            <w:r w:rsidR="00AD58A2">
              <w:rPr>
                <w:webHidden/>
              </w:rPr>
            </w:r>
            <w:r w:rsidR="00AD58A2">
              <w:rPr>
                <w:webHidden/>
              </w:rPr>
              <w:fldChar w:fldCharType="separate"/>
            </w:r>
            <w:r w:rsidR="00197FA6">
              <w:rPr>
                <w:webHidden/>
              </w:rPr>
              <w:t>29</w:t>
            </w:r>
            <w:r w:rsidR="00AD58A2">
              <w:rPr>
                <w:webHidden/>
              </w:rPr>
              <w:fldChar w:fldCharType="end"/>
            </w:r>
          </w:hyperlink>
        </w:p>
        <w:p w14:paraId="42FA8E53" w14:textId="15A19DF3" w:rsidR="00AD58A2" w:rsidRDefault="00000000">
          <w:pPr>
            <w:pStyle w:val="TOC1"/>
            <w:rPr>
              <w:rFonts w:asciiTheme="minorHAnsi" w:hAnsiTheme="minorHAnsi"/>
              <w:b w:val="0"/>
              <w:bCs w:val="0"/>
              <w:kern w:val="2"/>
              <w:lang w:eastAsia="en-GB"/>
              <w14:ligatures w14:val="standardContextual"/>
            </w:rPr>
          </w:pPr>
          <w:hyperlink w:anchor="_Toc178599806" w:history="1">
            <w:r w:rsidR="00AD58A2" w:rsidRPr="004C06D4">
              <w:rPr>
                <w:rStyle w:val="Hyperlink"/>
              </w:rPr>
              <w:t>6.0. Work-life balance</w:t>
            </w:r>
            <w:r w:rsidR="00AD58A2">
              <w:rPr>
                <w:webHidden/>
              </w:rPr>
              <w:tab/>
            </w:r>
            <w:r w:rsidR="00AD58A2">
              <w:rPr>
                <w:webHidden/>
              </w:rPr>
              <w:fldChar w:fldCharType="begin"/>
            </w:r>
            <w:r w:rsidR="00AD58A2">
              <w:rPr>
                <w:webHidden/>
              </w:rPr>
              <w:instrText xml:space="preserve"> PAGEREF _Toc178599806 \h </w:instrText>
            </w:r>
            <w:r w:rsidR="00AD58A2">
              <w:rPr>
                <w:webHidden/>
              </w:rPr>
            </w:r>
            <w:r w:rsidR="00AD58A2">
              <w:rPr>
                <w:webHidden/>
              </w:rPr>
              <w:fldChar w:fldCharType="separate"/>
            </w:r>
            <w:r w:rsidR="00197FA6">
              <w:rPr>
                <w:webHidden/>
              </w:rPr>
              <w:t>30</w:t>
            </w:r>
            <w:r w:rsidR="00AD58A2">
              <w:rPr>
                <w:webHidden/>
              </w:rPr>
              <w:fldChar w:fldCharType="end"/>
            </w:r>
          </w:hyperlink>
        </w:p>
        <w:p w14:paraId="2132CF36" w14:textId="3727DFC2" w:rsidR="00AD58A2" w:rsidRDefault="00000000">
          <w:pPr>
            <w:pStyle w:val="TOC2"/>
            <w:rPr>
              <w:rFonts w:asciiTheme="minorHAnsi" w:hAnsiTheme="minorHAnsi"/>
              <w:kern w:val="2"/>
              <w:lang w:eastAsia="en-GB"/>
              <w14:ligatures w14:val="standardContextual"/>
            </w:rPr>
          </w:pPr>
          <w:hyperlink w:anchor="_Toc178599807" w:history="1">
            <w:r w:rsidR="00AD58A2" w:rsidRPr="004C06D4">
              <w:rPr>
                <w:rStyle w:val="Hyperlink"/>
              </w:rPr>
              <w:t>EU Pregnant Worker’s Directive</w:t>
            </w:r>
            <w:r w:rsidR="00AD58A2">
              <w:rPr>
                <w:webHidden/>
              </w:rPr>
              <w:tab/>
            </w:r>
            <w:r w:rsidR="00AD58A2">
              <w:rPr>
                <w:webHidden/>
              </w:rPr>
              <w:fldChar w:fldCharType="begin"/>
            </w:r>
            <w:r w:rsidR="00AD58A2">
              <w:rPr>
                <w:webHidden/>
              </w:rPr>
              <w:instrText xml:space="preserve"> PAGEREF _Toc178599807 \h </w:instrText>
            </w:r>
            <w:r w:rsidR="00AD58A2">
              <w:rPr>
                <w:webHidden/>
              </w:rPr>
            </w:r>
            <w:r w:rsidR="00AD58A2">
              <w:rPr>
                <w:webHidden/>
              </w:rPr>
              <w:fldChar w:fldCharType="separate"/>
            </w:r>
            <w:r w:rsidR="00197FA6">
              <w:rPr>
                <w:webHidden/>
              </w:rPr>
              <w:t>31</w:t>
            </w:r>
            <w:r w:rsidR="00AD58A2">
              <w:rPr>
                <w:webHidden/>
              </w:rPr>
              <w:fldChar w:fldCharType="end"/>
            </w:r>
          </w:hyperlink>
        </w:p>
        <w:p w14:paraId="354401EA" w14:textId="514CC819" w:rsidR="00AD58A2" w:rsidRDefault="00000000">
          <w:pPr>
            <w:pStyle w:val="TOC2"/>
            <w:rPr>
              <w:rFonts w:asciiTheme="minorHAnsi" w:hAnsiTheme="minorHAnsi"/>
              <w:kern w:val="2"/>
              <w:lang w:eastAsia="en-GB"/>
              <w14:ligatures w14:val="standardContextual"/>
            </w:rPr>
          </w:pPr>
          <w:hyperlink w:anchor="_Toc178599808" w:history="1">
            <w:r w:rsidR="00AD58A2" w:rsidRPr="004C06D4">
              <w:rPr>
                <w:rStyle w:val="Hyperlink"/>
              </w:rPr>
              <w:t>EU Parental Leave Directive</w:t>
            </w:r>
            <w:r w:rsidR="00AD58A2">
              <w:rPr>
                <w:webHidden/>
              </w:rPr>
              <w:tab/>
            </w:r>
            <w:r w:rsidR="00AD58A2">
              <w:rPr>
                <w:webHidden/>
              </w:rPr>
              <w:fldChar w:fldCharType="begin"/>
            </w:r>
            <w:r w:rsidR="00AD58A2">
              <w:rPr>
                <w:webHidden/>
              </w:rPr>
              <w:instrText xml:space="preserve"> PAGEREF _Toc178599808 \h </w:instrText>
            </w:r>
            <w:r w:rsidR="00AD58A2">
              <w:rPr>
                <w:webHidden/>
              </w:rPr>
            </w:r>
            <w:r w:rsidR="00AD58A2">
              <w:rPr>
                <w:webHidden/>
              </w:rPr>
              <w:fldChar w:fldCharType="separate"/>
            </w:r>
            <w:r w:rsidR="00197FA6">
              <w:rPr>
                <w:webHidden/>
              </w:rPr>
              <w:t>32</w:t>
            </w:r>
            <w:r w:rsidR="00AD58A2">
              <w:rPr>
                <w:webHidden/>
              </w:rPr>
              <w:fldChar w:fldCharType="end"/>
            </w:r>
          </w:hyperlink>
        </w:p>
        <w:p w14:paraId="0D0A49CC" w14:textId="23A7302F" w:rsidR="00AD58A2" w:rsidRDefault="00000000">
          <w:pPr>
            <w:pStyle w:val="TOC2"/>
            <w:rPr>
              <w:rFonts w:asciiTheme="minorHAnsi" w:hAnsiTheme="minorHAnsi"/>
              <w:kern w:val="2"/>
              <w:lang w:eastAsia="en-GB"/>
              <w14:ligatures w14:val="standardContextual"/>
            </w:rPr>
          </w:pPr>
          <w:hyperlink w:anchor="_Toc178599809" w:history="1">
            <w:r w:rsidR="00AD58A2" w:rsidRPr="004C06D4">
              <w:rPr>
                <w:rStyle w:val="Hyperlink"/>
              </w:rPr>
              <w:t>EU Work-Life Balance Directive</w:t>
            </w:r>
            <w:r w:rsidR="00AD58A2">
              <w:rPr>
                <w:webHidden/>
              </w:rPr>
              <w:tab/>
            </w:r>
            <w:r w:rsidR="00AD58A2">
              <w:rPr>
                <w:webHidden/>
              </w:rPr>
              <w:fldChar w:fldCharType="begin"/>
            </w:r>
            <w:r w:rsidR="00AD58A2">
              <w:rPr>
                <w:webHidden/>
              </w:rPr>
              <w:instrText xml:space="preserve"> PAGEREF _Toc178599809 \h </w:instrText>
            </w:r>
            <w:r w:rsidR="00AD58A2">
              <w:rPr>
                <w:webHidden/>
              </w:rPr>
            </w:r>
            <w:r w:rsidR="00AD58A2">
              <w:rPr>
                <w:webHidden/>
              </w:rPr>
              <w:fldChar w:fldCharType="separate"/>
            </w:r>
            <w:r w:rsidR="00197FA6">
              <w:rPr>
                <w:webHidden/>
              </w:rPr>
              <w:t>34</w:t>
            </w:r>
            <w:r w:rsidR="00AD58A2">
              <w:rPr>
                <w:webHidden/>
              </w:rPr>
              <w:fldChar w:fldCharType="end"/>
            </w:r>
          </w:hyperlink>
        </w:p>
        <w:p w14:paraId="1A1ADE6B" w14:textId="5EBDDE24" w:rsidR="0096056C" w:rsidRPr="00D84515" w:rsidRDefault="0096056C" w:rsidP="00AF0CC9">
          <w:pPr>
            <w:spacing w:line="360" w:lineRule="auto"/>
          </w:pPr>
          <w:r w:rsidRPr="00D84515">
            <w:rPr>
              <w:noProof/>
            </w:rPr>
            <w:fldChar w:fldCharType="end"/>
          </w:r>
        </w:p>
      </w:sdtContent>
    </w:sdt>
    <w:p w14:paraId="32F82717" w14:textId="5AB177AE" w:rsidR="00EA12CE" w:rsidRPr="00D84515" w:rsidRDefault="00EA12CE" w:rsidP="00331C61">
      <w:pPr>
        <w:pStyle w:val="Default"/>
        <w:rPr>
          <w:rFonts w:cs="Arial"/>
          <w:b/>
          <w:color w:val="232120"/>
        </w:rPr>
      </w:pPr>
    </w:p>
    <w:p w14:paraId="75006B94" w14:textId="44F0B512" w:rsidR="00EA12CE" w:rsidRPr="00D84515" w:rsidRDefault="00EA12CE" w:rsidP="00331C61">
      <w:pPr>
        <w:pStyle w:val="Default"/>
        <w:rPr>
          <w:rFonts w:cs="Arial"/>
          <w:b/>
          <w:color w:val="232120"/>
        </w:rPr>
      </w:pPr>
    </w:p>
    <w:p w14:paraId="2C2BFEE2" w14:textId="080A85BE" w:rsidR="00EA12CE" w:rsidRPr="00331C61" w:rsidRDefault="00DF3326" w:rsidP="00DF3326">
      <w:pPr>
        <w:pStyle w:val="Default"/>
        <w:tabs>
          <w:tab w:val="left" w:pos="7751"/>
        </w:tabs>
        <w:rPr>
          <w:rFonts w:cs="Arial"/>
          <w:b/>
          <w:color w:val="232120"/>
        </w:rPr>
      </w:pPr>
      <w:r>
        <w:rPr>
          <w:rFonts w:cs="Arial"/>
          <w:b/>
          <w:color w:val="232120"/>
        </w:rPr>
        <w:tab/>
      </w:r>
    </w:p>
    <w:p w14:paraId="2EDDF028" w14:textId="6CF0E06E" w:rsidR="00EA12CE" w:rsidRPr="00331C61" w:rsidRDefault="00EA12CE" w:rsidP="00331C61">
      <w:pPr>
        <w:pStyle w:val="Default"/>
        <w:rPr>
          <w:rFonts w:cs="Arial"/>
          <w:b/>
          <w:color w:val="232120"/>
        </w:rPr>
      </w:pPr>
    </w:p>
    <w:p w14:paraId="4DA23C59" w14:textId="1C37562E" w:rsidR="00A04930" w:rsidRPr="00214A75" w:rsidRDefault="00A04930" w:rsidP="00657A6A">
      <w:pPr>
        <w:pStyle w:val="ListParagraph"/>
        <w:rPr>
          <w:b/>
          <w:bCs/>
        </w:rPr>
      </w:pPr>
    </w:p>
    <w:p w14:paraId="725A42B9" w14:textId="0D581A0F" w:rsidR="0079415F" w:rsidRDefault="0079415F" w:rsidP="00C7771A">
      <w:pPr>
        <w:spacing w:line="240" w:lineRule="auto"/>
      </w:pPr>
      <w:bookmarkStart w:id="0" w:name="_Toc170204679"/>
    </w:p>
    <w:bookmarkStart w:id="1" w:name="_Toc174010486"/>
    <w:bookmarkStart w:id="2" w:name="_Toc175040164"/>
    <w:bookmarkStart w:id="3" w:name="_Toc175127721"/>
    <w:bookmarkStart w:id="4" w:name="_Toc175229218"/>
    <w:bookmarkStart w:id="5" w:name="_Toc175229686"/>
    <w:bookmarkStart w:id="6" w:name="_Toc175229889"/>
    <w:bookmarkStart w:id="7" w:name="_Toc175235133"/>
    <w:bookmarkStart w:id="8" w:name="_Toc175237493"/>
    <w:bookmarkStart w:id="9" w:name="_Toc176777192"/>
    <w:bookmarkStart w:id="10" w:name="_Toc176787828"/>
    <w:bookmarkStart w:id="11" w:name="_Toc176869547"/>
    <w:bookmarkStart w:id="12" w:name="_Toc177736705"/>
    <w:bookmarkStart w:id="13" w:name="_Toc178599787"/>
    <w:p w14:paraId="4185933B" w14:textId="52401FCD" w:rsidR="0079415F" w:rsidRDefault="00AF0CC9" w:rsidP="008143AF">
      <w:pPr>
        <w:pStyle w:val="Heading1"/>
        <w:ind w:left="360" w:hanging="360"/>
      </w:pPr>
      <w:r>
        <w:rPr>
          <w:noProof/>
        </w:rPr>
        <w:lastRenderedPageBreak/>
        <mc:AlternateContent>
          <mc:Choice Requires="wps">
            <w:drawing>
              <wp:anchor distT="0" distB="0" distL="114300" distR="114300" simplePos="0" relativeHeight="251658240" behindDoc="0" locked="0" layoutInCell="1" allowOverlap="1" wp14:anchorId="486B64ED" wp14:editId="5021D603">
                <wp:simplePos x="0" y="0"/>
                <wp:positionH relativeFrom="page">
                  <wp:posOffset>570009</wp:posOffset>
                </wp:positionH>
                <wp:positionV relativeFrom="paragraph">
                  <wp:posOffset>-108475</wp:posOffset>
                </wp:positionV>
                <wp:extent cx="6631388" cy="9200488"/>
                <wp:effectExtent l="57150" t="19050" r="74295" b="96520"/>
                <wp:wrapNone/>
                <wp:docPr id="165571266" name="Rectangle 1"/>
                <wp:cNvGraphicFramePr/>
                <a:graphic xmlns:a="http://schemas.openxmlformats.org/drawingml/2006/main">
                  <a:graphicData uri="http://schemas.microsoft.com/office/word/2010/wordprocessingShape">
                    <wps:wsp>
                      <wps:cNvSpPr/>
                      <wps:spPr>
                        <a:xfrm>
                          <a:off x="0" y="0"/>
                          <a:ext cx="6631388" cy="920048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51992A" id="Rectangle 1" o:spid="_x0000_s1026" style="position:absolute;margin-left:44.9pt;margin-top:-8.55pt;width:522.15pt;height:724.4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5ZYQIAADwFAAAOAAAAZHJzL2Uyb0RvYy54bWysVEtPGzEQvlfqf7B8L5sNKYWIDYpAVJUQ&#10;IKDibLw2seT1uGMnm/TXd+x9JKJISFUv9oznPfONzy+2jWUbhcGAq3h5NOFMOQm1ca8V//l0/eWU&#10;sxCFq4UFpyq+U4FfLD5/Om/9XE1hBbZWyMiJC/PWV3wVo58XRZAr1YhwBF45EmrARkRi8bWoUbTk&#10;vbHFdDI5KVrA2iNIFQK9XnVCvsj+tVYy3mkdVGS24pRbzCfm8yWdxeJczF9R+JWRfRriH7JohHEU&#10;dHR1JaJgazR/uWqMRAig45GEpgCtjVS5BqqmnLyp5nElvMq1UHOCH9sU/p9bebt59PdIbWh9mAci&#10;UxVbjU26KT+2zc3ajc1S28gkPZ6cHJfHpzReSbIzmsWMGPJT7M09hvhdQcMSUXGkaeQmic1NiJ3q&#10;oJKiObg21uaJWJceAlhTp7fMJEioS4tsI2iYcVv20Q60KHayLPa1ZCrurEourHtQmpmasi9zIhlm&#10;e59CSuXi4DdrJzNNGYyGxx8b9vrJVGUIjsbTj41HixwZXByNG+MA33Ngx5R1pz90oKs7teAF6t09&#10;MoRuAYKX14ZmciNCvBdIiKfdoC2Od3RoC23Foac4WwH+fu896RMQScpZSxtU8fBrLVBxZn84guhZ&#10;OZullcvM7Ou3KTF4KHk5lLh1cwk015L+Cy8zmfSjHUiN0DzTsi9TVBIJJyl2xWXEgbmM3WbTdyHV&#10;cpnVaM28iDfu0cth6glzT9tngb4HZiRM38KwbWL+Bp+dbpqHg+U6gjYZvPu+9v2mFc3w77+T9Acc&#10;8llr/+kt/gAAAP//AwBQSwMEFAAGAAgAAAAhAHzWlLzjAAAADAEAAA8AAABkcnMvZG93bnJldi54&#10;bWxMj8FOwzAQRO9I/IO1SFxQ64RWkIQ4FQJxqOBCoaq4ufGSRNjrKHab9O/ZnuA2qxnNvC1Xk7Pi&#10;iEPoPClI5wkIpNqbjhoFnx8vswxEiJqMtp5QwQkDrKrLi1IXxo/0jsdNbASXUCi0gjbGvpAy1C06&#10;Hea+R2Lv2w9ORz6HRppBj1zurLxNkjvpdEe80Ooen1qsfzYHp8Bux+ZU77a7/Pl1Lb/ezPpmynul&#10;rq+mxwcQEaf4F4YzPqNDxUx7fyAThFWQ5UweFczS+xTEOZAulqz2rJaLNANZlfL/E9UvAAAA//8D&#10;AFBLAQItABQABgAIAAAAIQC2gziS/gAAAOEBAAATAAAAAAAAAAAAAAAAAAAAAABbQ29udGVudF9U&#10;eXBlc10ueG1sUEsBAi0AFAAGAAgAAAAhADj9If/WAAAAlAEAAAsAAAAAAAAAAAAAAAAALwEAAF9y&#10;ZWxzLy5yZWxzUEsBAi0AFAAGAAgAAAAhAF/NjllhAgAAPAUAAA4AAAAAAAAAAAAAAAAALgIAAGRy&#10;cy9lMm9Eb2MueG1sUEsBAi0AFAAGAAgAAAAhAHzWlLzjAAAADAEAAA8AAAAAAAAAAAAAAAAAuwQA&#10;AGRycy9kb3ducmV2LnhtbFBLBQYAAAAABAAEAPMAAADLBQAAAAA=&#10;" filled="f" strokecolor="black [3213]">
                <v:shadow on="t" color="black" opacity="22937f" origin=",.5" offset="0,.63889mm"/>
                <w10:wrap anchorx="page"/>
              </v:rect>
            </w:pict>
          </mc:Fallback>
        </mc:AlternateContent>
      </w:r>
      <w:bookmarkStart w:id="14" w:name="_Toc178599788"/>
      <w:bookmarkEnd w:id="1"/>
      <w:bookmarkEnd w:id="2"/>
      <w:bookmarkEnd w:id="3"/>
      <w:bookmarkEnd w:id="4"/>
      <w:bookmarkEnd w:id="5"/>
      <w:bookmarkEnd w:id="6"/>
      <w:bookmarkEnd w:id="7"/>
      <w:bookmarkEnd w:id="8"/>
      <w:bookmarkEnd w:id="9"/>
      <w:bookmarkEnd w:id="10"/>
      <w:bookmarkEnd w:id="11"/>
      <w:bookmarkEnd w:id="12"/>
      <w:bookmarkEnd w:id="13"/>
      <w:r w:rsidR="002A57BF">
        <w:t>Summary of Re</w:t>
      </w:r>
      <w:r w:rsidR="00D1499D">
        <w:t>c</w:t>
      </w:r>
      <w:r w:rsidR="002A57BF">
        <w:t>ommendations</w:t>
      </w:r>
      <w:bookmarkEnd w:id="14"/>
    </w:p>
    <w:p w14:paraId="683B54DD" w14:textId="02265D75" w:rsidR="0079415F" w:rsidRPr="00BB15E8" w:rsidRDefault="00806A07" w:rsidP="00D1499D">
      <w:pPr>
        <w:ind w:left="720" w:hanging="720"/>
        <w:rPr>
          <w:b/>
          <w:bCs/>
        </w:rPr>
      </w:pPr>
      <w:bookmarkStart w:id="15" w:name="_Toc173411170"/>
      <w:r w:rsidRPr="00BB15E8">
        <w:rPr>
          <w:b/>
          <w:bCs/>
        </w:rPr>
        <w:t>The NI Human Rights Commission recommends</w:t>
      </w:r>
      <w:bookmarkEnd w:id="15"/>
      <w:r w:rsidR="00F32EE3">
        <w:rPr>
          <w:b/>
          <w:bCs/>
        </w:rPr>
        <w:t xml:space="preserve"> that: </w:t>
      </w:r>
      <w:r w:rsidRPr="00BB15E8">
        <w:rPr>
          <w:b/>
          <w:bCs/>
        </w:rPr>
        <w:t xml:space="preserve"> </w:t>
      </w:r>
      <w:r w:rsidR="003306CA" w:rsidRPr="00BB15E8">
        <w:rPr>
          <w:b/>
          <w:bCs/>
        </w:rPr>
        <w:t xml:space="preserve"> </w:t>
      </w:r>
    </w:p>
    <w:p w14:paraId="2204918F" w14:textId="5D5C925E" w:rsidR="0079415F" w:rsidRDefault="0079415F" w:rsidP="00A72D3B">
      <w:pPr>
        <w:ind w:left="720" w:hanging="720"/>
      </w:pPr>
    </w:p>
    <w:p w14:paraId="46FDDB16" w14:textId="611D47DC" w:rsidR="00BB15E8" w:rsidRPr="00800BE9" w:rsidRDefault="00BB15E8" w:rsidP="003D24D7">
      <w:pPr>
        <w:ind w:left="720" w:hanging="720"/>
        <w:rPr>
          <w:b/>
          <w:bCs/>
        </w:rPr>
      </w:pPr>
      <w:r w:rsidRPr="00800BE9">
        <w:rPr>
          <w:b/>
          <w:bCs/>
        </w:rPr>
        <w:t xml:space="preserve">2.8 </w:t>
      </w:r>
      <w:r w:rsidR="00A72D3B">
        <w:rPr>
          <w:b/>
          <w:bCs/>
        </w:rPr>
        <w:t xml:space="preserve"> </w:t>
      </w:r>
      <w:r w:rsidR="003D24D7">
        <w:rPr>
          <w:b/>
          <w:bCs/>
        </w:rPr>
        <w:t xml:space="preserve">  </w:t>
      </w:r>
      <w:r w:rsidRPr="00800BE9">
        <w:rPr>
          <w:b/>
          <w:bCs/>
        </w:rPr>
        <w:t>the Department for the Economy ensures the Employment</w:t>
      </w:r>
      <w:r w:rsidR="00D1499D">
        <w:rPr>
          <w:b/>
          <w:bCs/>
        </w:rPr>
        <w:t xml:space="preserve"> </w:t>
      </w:r>
      <w:r w:rsidRPr="00800BE9">
        <w:rPr>
          <w:b/>
          <w:bCs/>
        </w:rPr>
        <w:t xml:space="preserve">Rights Bill reflects CJEU caselaw relating to the Annex 1 Equality Directives, in particular EU Employment Equality (Framework) Directive, in line with the decision of the CJEU in the cases of </w:t>
      </w:r>
      <w:r w:rsidRPr="00800BE9">
        <w:rPr>
          <w:b/>
          <w:bCs/>
          <w:i/>
          <w:iCs/>
        </w:rPr>
        <w:t>WABE</w:t>
      </w:r>
      <w:r w:rsidRPr="00800BE9">
        <w:rPr>
          <w:b/>
          <w:bCs/>
        </w:rPr>
        <w:t xml:space="preserve"> and </w:t>
      </w:r>
      <w:r w:rsidRPr="00800BE9">
        <w:rPr>
          <w:b/>
          <w:bCs/>
          <w:i/>
          <w:iCs/>
        </w:rPr>
        <w:t>Müller</w:t>
      </w:r>
      <w:r w:rsidRPr="00800BE9">
        <w:rPr>
          <w:b/>
          <w:bCs/>
        </w:rPr>
        <w:t>.</w:t>
      </w:r>
    </w:p>
    <w:p w14:paraId="13CAA9D2" w14:textId="77777777" w:rsidR="00BB15E8" w:rsidRPr="00800BE9" w:rsidRDefault="00BB15E8" w:rsidP="00D1499D">
      <w:pPr>
        <w:ind w:left="720" w:hanging="720"/>
        <w:rPr>
          <w:b/>
          <w:bCs/>
        </w:rPr>
      </w:pPr>
    </w:p>
    <w:p w14:paraId="60E1940F" w14:textId="36BC73B2" w:rsidR="00BB15E8" w:rsidRPr="00800BE9" w:rsidRDefault="00BB15E8" w:rsidP="00D1499D">
      <w:pPr>
        <w:ind w:left="720" w:hanging="720"/>
        <w:rPr>
          <w:b/>
          <w:bCs/>
        </w:rPr>
      </w:pPr>
      <w:r w:rsidRPr="00800BE9">
        <w:rPr>
          <w:b/>
          <w:bCs/>
        </w:rPr>
        <w:t xml:space="preserve">2.14 the Department for the Economy undertakes a human rights impact assessment of the draft Bill, including </w:t>
      </w:r>
      <w:proofErr w:type="gramStart"/>
      <w:r w:rsidRPr="00800BE9">
        <w:rPr>
          <w:b/>
          <w:bCs/>
        </w:rPr>
        <w:t>particular</w:t>
      </w:r>
      <w:r w:rsidR="00F32EE3">
        <w:rPr>
          <w:b/>
          <w:bCs/>
        </w:rPr>
        <w:t xml:space="preserve"> </w:t>
      </w:r>
      <w:r w:rsidRPr="00800BE9">
        <w:rPr>
          <w:b/>
          <w:bCs/>
        </w:rPr>
        <w:t>consideration</w:t>
      </w:r>
      <w:proofErr w:type="gramEnd"/>
      <w:r w:rsidRPr="00800BE9">
        <w:rPr>
          <w:b/>
          <w:bCs/>
        </w:rPr>
        <w:t xml:space="preserve"> of Windsor Framework Article 2. </w:t>
      </w:r>
    </w:p>
    <w:p w14:paraId="48F9FB2F" w14:textId="027953D9" w:rsidR="00BB15E8" w:rsidRPr="00800BE9" w:rsidRDefault="00BB15E8" w:rsidP="00D1499D">
      <w:pPr>
        <w:pStyle w:val="ListParagraph"/>
        <w:ind w:left="720" w:hanging="720"/>
        <w:rPr>
          <w:b/>
          <w:bCs/>
        </w:rPr>
      </w:pPr>
    </w:p>
    <w:p w14:paraId="39261DF4" w14:textId="3F80D9DE" w:rsidR="00BB15E8" w:rsidRPr="00800BE9" w:rsidRDefault="00BB15E8" w:rsidP="00D1499D">
      <w:pPr>
        <w:ind w:left="720" w:hanging="720"/>
        <w:rPr>
          <w:b/>
          <w:bCs/>
          <w:lang w:val="en"/>
        </w:rPr>
      </w:pPr>
      <w:r w:rsidRPr="00800BE9">
        <w:rPr>
          <w:b/>
          <w:bCs/>
          <w:lang w:val="en"/>
        </w:rPr>
        <w:t xml:space="preserve">2.15 the Department </w:t>
      </w:r>
      <w:r w:rsidRPr="00800BE9">
        <w:rPr>
          <w:b/>
          <w:bCs/>
        </w:rPr>
        <w:t xml:space="preserve">for the Economy </w:t>
      </w:r>
      <w:r w:rsidRPr="00800BE9">
        <w:rPr>
          <w:b/>
          <w:bCs/>
          <w:lang w:val="en"/>
        </w:rPr>
        <w:t xml:space="preserve">builds consideration of Windsor Framework Article </w:t>
      </w:r>
      <w:proofErr w:type="gramStart"/>
      <w:r w:rsidRPr="00800BE9">
        <w:rPr>
          <w:b/>
          <w:bCs/>
          <w:lang w:val="en"/>
        </w:rPr>
        <w:t>2</w:t>
      </w:r>
      <w:proofErr w:type="gramEnd"/>
      <w:r w:rsidRPr="00800BE9">
        <w:rPr>
          <w:b/>
          <w:bCs/>
          <w:lang w:val="en"/>
        </w:rPr>
        <w:t xml:space="preserve"> and the principles enshrined in the EU Charter of Fundamental Rights into the development and implementation of legislation and policy on employment rights. </w:t>
      </w:r>
    </w:p>
    <w:p w14:paraId="0657F85B" w14:textId="77777777" w:rsidR="00BB15E8" w:rsidRPr="00800BE9" w:rsidRDefault="00BB15E8" w:rsidP="00A72D3B">
      <w:pPr>
        <w:ind w:left="720" w:hanging="720"/>
        <w:rPr>
          <w:b/>
          <w:bCs/>
          <w:lang w:val="en"/>
        </w:rPr>
      </w:pPr>
    </w:p>
    <w:p w14:paraId="77DF5EF2" w14:textId="171809CF" w:rsidR="00BB15E8" w:rsidRPr="00800BE9" w:rsidRDefault="00BB15E8" w:rsidP="00A72D3B">
      <w:pPr>
        <w:ind w:left="720" w:hanging="720"/>
        <w:rPr>
          <w:b/>
          <w:bCs/>
        </w:rPr>
      </w:pPr>
      <w:r w:rsidRPr="00800BE9">
        <w:rPr>
          <w:b/>
          <w:bCs/>
        </w:rPr>
        <w:t xml:space="preserve">2.21 the Department for the Economy undertakes regular reviews of new EU laws relating to employment rights, with a view to ensuring employment law in NI reflects at least EU minimum standards, even where not required to do so under the Windsor Framework. </w:t>
      </w:r>
    </w:p>
    <w:p w14:paraId="4F4A6A57" w14:textId="77777777" w:rsidR="00BB15E8" w:rsidRPr="00800BE9" w:rsidRDefault="00BB15E8" w:rsidP="00D1499D">
      <w:pPr>
        <w:ind w:left="720" w:hanging="720"/>
        <w:rPr>
          <w:b/>
          <w:bCs/>
        </w:rPr>
      </w:pPr>
    </w:p>
    <w:p w14:paraId="74DE7254" w14:textId="3D44DC4B" w:rsidR="00BB15E8" w:rsidRPr="00800BE9" w:rsidRDefault="00BB15E8" w:rsidP="00D1499D">
      <w:pPr>
        <w:ind w:left="720" w:hanging="720"/>
        <w:rPr>
          <w:b/>
          <w:bCs/>
        </w:rPr>
      </w:pPr>
      <w:r w:rsidRPr="00800BE9">
        <w:rPr>
          <w:b/>
          <w:bCs/>
        </w:rPr>
        <w:t xml:space="preserve">2.22 the Department for the Economy considers the enhancement and harmonisation of employment law on the island of Ireland and works towards ensuring North-South equivalence of rights on the island of Ireland. </w:t>
      </w:r>
    </w:p>
    <w:p w14:paraId="14D501D8" w14:textId="77777777" w:rsidR="00BB15E8" w:rsidRPr="00800BE9" w:rsidRDefault="00BB15E8" w:rsidP="00D1499D">
      <w:pPr>
        <w:ind w:left="720" w:hanging="720"/>
        <w:rPr>
          <w:b/>
          <w:bCs/>
        </w:rPr>
      </w:pPr>
    </w:p>
    <w:p w14:paraId="4AB482BA" w14:textId="6FECFE6D" w:rsidR="00BB15E8" w:rsidRPr="00800BE9" w:rsidRDefault="00BB15E8" w:rsidP="00D1499D">
      <w:pPr>
        <w:ind w:left="720" w:hanging="720"/>
        <w:rPr>
          <w:rFonts w:eastAsia="Times New Roman"/>
          <w:b/>
          <w:bCs/>
        </w:rPr>
      </w:pPr>
      <w:r w:rsidRPr="00800BE9">
        <w:rPr>
          <w:rFonts w:eastAsia="Times New Roman"/>
          <w:b/>
          <w:bCs/>
        </w:rPr>
        <w:t>3.7</w:t>
      </w:r>
      <w:r w:rsidR="00EA6AD1">
        <w:rPr>
          <w:rFonts w:eastAsia="Times New Roman"/>
          <w:b/>
          <w:bCs/>
        </w:rPr>
        <w:t xml:space="preserve"> </w:t>
      </w:r>
      <w:r w:rsidRPr="00800BE9">
        <w:rPr>
          <w:rFonts w:eastAsia="Times New Roman"/>
          <w:b/>
          <w:bCs/>
        </w:rPr>
        <w:t xml:space="preserve"> </w:t>
      </w:r>
      <w:r w:rsidR="00A72D3B">
        <w:rPr>
          <w:rFonts w:eastAsia="Times New Roman"/>
          <w:b/>
          <w:bCs/>
        </w:rPr>
        <w:t xml:space="preserve"> </w:t>
      </w:r>
      <w:r w:rsidRPr="00800BE9">
        <w:rPr>
          <w:rFonts w:eastAsia="Times New Roman"/>
          <w:b/>
          <w:bCs/>
        </w:rPr>
        <w:t>the Department for the Economy, working with the NI Executive and NI Assembly, urgently bring forward legislation to amend NI law by June 2026, to ensure it keeps pace with those provisions of the EU Pay Transparency Directive that amend and/or replace provisions of the EU Gender Equality (Employment) Directive.</w:t>
      </w:r>
    </w:p>
    <w:p w14:paraId="0A07E973" w14:textId="74675A20" w:rsidR="00BB15E8" w:rsidRPr="00800BE9" w:rsidRDefault="00BB15E8" w:rsidP="00D1499D">
      <w:pPr>
        <w:ind w:left="720" w:hanging="720"/>
        <w:rPr>
          <w:rFonts w:eastAsia="Times New Roman"/>
          <w:b/>
          <w:bCs/>
        </w:rPr>
      </w:pPr>
    </w:p>
    <w:p w14:paraId="6C938604" w14:textId="0DE6076B" w:rsidR="00BB15E8" w:rsidRPr="00800BE9" w:rsidRDefault="00BB15E8" w:rsidP="00D1499D">
      <w:pPr>
        <w:ind w:left="720" w:hanging="720"/>
        <w:rPr>
          <w:b/>
        </w:rPr>
      </w:pPr>
      <w:r w:rsidRPr="00800BE9">
        <w:rPr>
          <w:b/>
        </w:rPr>
        <w:t xml:space="preserve">3.10 the Department for the Economy, working with the NI Executive and NI Assembly, ensure the Employment Rights Bill amends the definition of discrimination in relevant NI employment equality </w:t>
      </w:r>
      <w:r w:rsidR="00F32EE3">
        <w:rPr>
          <w:noProof/>
        </w:rPr>
        <w:lastRenderedPageBreak/>
        <mc:AlternateContent>
          <mc:Choice Requires="wps">
            <w:drawing>
              <wp:anchor distT="0" distB="0" distL="114300" distR="114300" simplePos="0" relativeHeight="251662336" behindDoc="0" locked="0" layoutInCell="1" allowOverlap="1" wp14:anchorId="0A77E38B" wp14:editId="303BB977">
                <wp:simplePos x="0" y="0"/>
                <wp:positionH relativeFrom="page">
                  <wp:posOffset>577850</wp:posOffset>
                </wp:positionH>
                <wp:positionV relativeFrom="paragraph">
                  <wp:posOffset>-147188</wp:posOffset>
                </wp:positionV>
                <wp:extent cx="6631305" cy="9199880"/>
                <wp:effectExtent l="57150" t="19050" r="74295" b="96520"/>
                <wp:wrapNone/>
                <wp:docPr id="1071503954" name="Rectangle 1"/>
                <wp:cNvGraphicFramePr/>
                <a:graphic xmlns:a="http://schemas.openxmlformats.org/drawingml/2006/main">
                  <a:graphicData uri="http://schemas.microsoft.com/office/word/2010/wordprocessingShape">
                    <wps:wsp>
                      <wps:cNvSpPr/>
                      <wps:spPr>
                        <a:xfrm>
                          <a:off x="0" y="0"/>
                          <a:ext cx="6631305" cy="919988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ABF2D9" id="Rectangle 1" o:spid="_x0000_s1026" style="position:absolute;margin-left:45.5pt;margin-top:-11.6pt;width:522.15pt;height:724.4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FDZQIAADwFAAAOAAAAZHJzL2Uyb0RvYy54bWysVF9rGzEMfx/sOxi/L5dL2qwJvZSQ0jEo&#10;bVk7+uz67MbgszzZySX79JOd3CV0hcLYiy1Z/6WffHm1bSzbKAwGXMXLwZAz5STUxr1W/OfTzZcL&#10;zkIUrhYWnKr4TgV+Nf/86bL1MzWCFdhaISMnLsxaX/FVjH5WFEGuVCPCALxyJNSAjYjE4mtRo2jJ&#10;e2OL0XA4KVrA2iNIFQK9Xu+FfJ79a61kvNc6qMhsxSm3mE/M50s6i/mlmL2i8CsjD2mIf8iiEcZR&#10;0N7VtYiCrdH85aoxEiGAjgMJTQFaG6lyDVRNOXxTzeNKeJVroeYE37cp/D+38m7z6B+Q2tD6MAtE&#10;piq2Gpt0U35sm5u165ultpFJepxMxuV4eM6ZJNm0nE4vLnI7i6O5xxC/KWhYIiqONI3cJLG5DZFC&#10;kmqnkqI5uDHW5olYlx4CWFOnt8wkSKilRbYRNMy4LdPwyMWJFnHJsjjWkqm4syq5sO6H0szUlH2Z&#10;E8kwO/oUUioXO79ZO5lpyqA3HH9seNBPpipDsDcefWzcW+TI4GJv3BgH+J4D26es9/pdB/Z1pxa8&#10;QL17QIawX4Dg5Y2hmdyKEB8EEuJpN2iL4z0d2kJbcThQnK0Af7/3nvQJiCTlrKUNqnj4tRaoOLPf&#10;HUF0Wp6dpZXLzNn51xExeCp5OZW4dbMEmmtJ/4WXmUz60XakRmieadkXKSqJhJMUu+IyYscs436z&#10;6buQarHIarRmXsRb9+hlN/WEuafts0B/AGYkTN9Bt21i9gafe900DweLdQRtMniPfT30m1Y0A/Lw&#10;naQ/4JTPWsdPb/4HAAD//wMAUEsDBBQABgAIAAAAIQClBcrw5AAAAAwBAAAPAAAAZHJzL2Rvd25y&#10;ZXYueG1sTI/NbsIwEITvlfoO1lbqpQLnp6AmjYNQqx5QuUCLUG8m3iYR9jqKDQlvX3Mqt1nNaPab&#10;YjEazc7Yu9aSgHgaAUOqrGqpFvD99TF5Aea8JCW1JRRwQQeL8v6ukLmyA23wvPU1CyXkcimg8b7L&#10;OXdVg0a6qe2QgvdreyN9OPuaq14OodxonkTRnBvZUvjQyA7fGqyO25MRoHdDfan2u332/rniP2u1&#10;ehqzTojHh3H5Cszj6P/DcMUP6FAGpoM9kXJMC8jiMMULmCRpAuwaiNNZCuwQ1HMymwMvC347ovwD&#10;AAD//wMAUEsBAi0AFAAGAAgAAAAhALaDOJL+AAAA4QEAABMAAAAAAAAAAAAAAAAAAAAAAFtDb250&#10;ZW50X1R5cGVzXS54bWxQSwECLQAUAAYACAAAACEAOP0h/9YAAACUAQAACwAAAAAAAAAAAAAAAAAv&#10;AQAAX3JlbHMvLnJlbHNQSwECLQAUAAYACAAAACEAWMaxQ2UCAAA8BQAADgAAAAAAAAAAAAAAAAAu&#10;AgAAZHJzL2Uyb0RvYy54bWxQSwECLQAUAAYACAAAACEApQXK8OQAAAAMAQAADwAAAAAAAAAAAAAA&#10;AAC/BAAAZHJzL2Rvd25yZXYueG1sUEsFBgAAAAAEAAQA8wAAANAFAAAAAA==&#10;" filled="f" strokecolor="black [3213]">
                <v:shadow on="t" color="black" opacity="22937f" origin=",.5" offset="0,.63889mm"/>
                <w10:wrap anchorx="page"/>
              </v:rect>
            </w:pict>
          </mc:Fallback>
        </mc:AlternateContent>
      </w:r>
      <w:r w:rsidRPr="00800BE9">
        <w:rPr>
          <w:b/>
        </w:rPr>
        <w:t>law by June 2026, to include “intersectional discrimination” as required by the relevant provisions of the EU Pay Transparency Directive.</w:t>
      </w:r>
    </w:p>
    <w:p w14:paraId="72892BDB" w14:textId="5128486D" w:rsidR="00BB15E8" w:rsidRPr="00800BE9" w:rsidRDefault="00BB15E8" w:rsidP="00D1499D">
      <w:pPr>
        <w:ind w:left="720" w:hanging="720"/>
        <w:rPr>
          <w:b/>
        </w:rPr>
      </w:pPr>
    </w:p>
    <w:p w14:paraId="136459B0" w14:textId="0B2DB8CF" w:rsidR="00BB15E8" w:rsidRPr="00800BE9" w:rsidRDefault="00BB15E8" w:rsidP="00D1499D">
      <w:pPr>
        <w:ind w:left="720" w:hanging="720"/>
        <w:rPr>
          <w:rFonts w:eastAsia="Times New Roman"/>
          <w:b/>
          <w:bCs/>
        </w:rPr>
      </w:pPr>
      <w:r w:rsidRPr="00800BE9">
        <w:rPr>
          <w:rFonts w:eastAsia="Times New Roman"/>
          <w:b/>
          <w:bCs/>
        </w:rPr>
        <w:t xml:space="preserve">3.15 the Department </w:t>
      </w:r>
      <w:r w:rsidRPr="00800BE9">
        <w:rPr>
          <w:b/>
          <w:bCs/>
        </w:rPr>
        <w:t xml:space="preserve">for the Economy </w:t>
      </w:r>
      <w:r w:rsidRPr="00800BE9">
        <w:rPr>
          <w:rFonts w:eastAsia="Times New Roman"/>
          <w:b/>
          <w:bCs/>
        </w:rPr>
        <w:t xml:space="preserve">works with the NI Executive and NI Assembly, to bring forward urgently legislation to ensure NI employment law is amended by June 2026, as required, to keep pace with the provisions of the EU directives on binding standards for equality bodies which amend and/or replace provisions in the Annex 1 Equality Directives. </w:t>
      </w:r>
    </w:p>
    <w:p w14:paraId="0BD1626C" w14:textId="77777777" w:rsidR="00BB15E8" w:rsidRPr="00800BE9" w:rsidRDefault="00BB15E8" w:rsidP="00D1499D">
      <w:pPr>
        <w:ind w:left="720" w:hanging="720"/>
        <w:rPr>
          <w:rFonts w:eastAsia="Times New Roman"/>
          <w:b/>
          <w:bCs/>
        </w:rPr>
      </w:pPr>
    </w:p>
    <w:p w14:paraId="7AB98686" w14:textId="23F0B57F" w:rsidR="00BB15E8" w:rsidRPr="00800BE9" w:rsidRDefault="00BB15E8" w:rsidP="00D1499D">
      <w:pPr>
        <w:ind w:left="720" w:hanging="720"/>
        <w:rPr>
          <w:b/>
          <w:bCs/>
        </w:rPr>
      </w:pPr>
      <w:r w:rsidRPr="00800BE9">
        <w:rPr>
          <w:rFonts w:cs="Arial"/>
          <w:b/>
          <w:bCs/>
        </w:rPr>
        <w:t xml:space="preserve">3.18 the Department for the Economy </w:t>
      </w:r>
      <w:r w:rsidRPr="00800BE9">
        <w:rPr>
          <w:b/>
          <w:bCs/>
        </w:rPr>
        <w:t xml:space="preserve">analyse the EU Directive on Combating Violence Against Women and consider if, or to what extent, it amends or replaces provisions the EU Gender Equality (Employment) Directive, and therefore engages the keeping pace obligation. </w:t>
      </w:r>
    </w:p>
    <w:p w14:paraId="3A6AB2D9" w14:textId="77777777" w:rsidR="00BB15E8" w:rsidRPr="00800BE9" w:rsidRDefault="00BB15E8" w:rsidP="00D1499D">
      <w:pPr>
        <w:pStyle w:val="ListParagraph"/>
        <w:ind w:left="720" w:hanging="720"/>
        <w:rPr>
          <w:b/>
          <w:bCs/>
        </w:rPr>
      </w:pPr>
    </w:p>
    <w:p w14:paraId="2A5C0587" w14:textId="2EB59934" w:rsidR="00BB15E8" w:rsidRPr="00800BE9" w:rsidRDefault="00BB15E8" w:rsidP="00D1499D">
      <w:pPr>
        <w:ind w:left="720" w:hanging="720"/>
        <w:rPr>
          <w:b/>
          <w:bCs/>
        </w:rPr>
      </w:pPr>
      <w:r w:rsidRPr="00800BE9">
        <w:rPr>
          <w:b/>
          <w:bCs/>
        </w:rPr>
        <w:t xml:space="preserve">3.19 in addition to any changes required by the keeping pace obligation under the Windsor Framework, the Department for the Economy consider aligning on a voluntary basis with any enhancement to equality and human rights pursuant to the EU Directive on Combating Violence against Women and Domestic Violence. </w:t>
      </w:r>
    </w:p>
    <w:p w14:paraId="274CC597" w14:textId="77777777" w:rsidR="00BB15E8" w:rsidRPr="00800BE9" w:rsidRDefault="00BB15E8" w:rsidP="00D1499D">
      <w:pPr>
        <w:ind w:left="720" w:hanging="720"/>
        <w:rPr>
          <w:b/>
          <w:bCs/>
        </w:rPr>
      </w:pPr>
    </w:p>
    <w:p w14:paraId="4744F883" w14:textId="212ECFD7" w:rsidR="00BB15E8" w:rsidRPr="00800BE9" w:rsidRDefault="00BB15E8" w:rsidP="00A72D3B">
      <w:pPr>
        <w:ind w:left="720" w:hanging="720"/>
        <w:rPr>
          <w:rStyle w:val="eop"/>
          <w:b/>
          <w:bCs/>
        </w:rPr>
      </w:pPr>
      <w:r w:rsidRPr="00800BE9">
        <w:rPr>
          <w:b/>
          <w:bCs/>
        </w:rPr>
        <w:t xml:space="preserve">4.7 </w:t>
      </w:r>
      <w:r w:rsidR="003D24D7">
        <w:rPr>
          <w:b/>
          <w:bCs/>
        </w:rPr>
        <w:t xml:space="preserve">   </w:t>
      </w:r>
      <w:r w:rsidRPr="00800BE9">
        <w:rPr>
          <w:b/>
          <w:bCs/>
        </w:rPr>
        <w:t xml:space="preserve">the Department for the Economy monitor closely any changes to </w:t>
      </w:r>
      <w:r w:rsidRPr="00800BE9">
        <w:rPr>
          <w:rFonts w:cstheme="minorHAnsi"/>
          <w:b/>
          <w:bCs/>
        </w:rPr>
        <w:t xml:space="preserve">the EU Employment Equality (Framework) Directive, </w:t>
      </w:r>
      <w:r w:rsidRPr="00800BE9">
        <w:rPr>
          <w:rFonts w:eastAsia="Times New Roman"/>
          <w:b/>
          <w:bCs/>
        </w:rPr>
        <w:t xml:space="preserve">the </w:t>
      </w:r>
      <w:r w:rsidRPr="00800BE9">
        <w:rPr>
          <w:rFonts w:cstheme="minorHAnsi"/>
          <w:b/>
          <w:bCs/>
        </w:rPr>
        <w:t>EU Racial Equality Directive, the EU Gender Equality (Self-Employment) and EU Gender Equality (Employment) Directives, to ensure that employment law in NI keeps pace with any enhancements to rights, pursuant to Windsor Framework Articles 2 and 13.</w:t>
      </w:r>
    </w:p>
    <w:p w14:paraId="3BFE9E72" w14:textId="55C49047" w:rsidR="00BB15E8" w:rsidRPr="00800BE9" w:rsidRDefault="00BB15E8" w:rsidP="00D1499D">
      <w:pPr>
        <w:pStyle w:val="ListParagraph"/>
        <w:ind w:left="720" w:hanging="720"/>
      </w:pPr>
    </w:p>
    <w:p w14:paraId="5B0F522B" w14:textId="02AB5E30" w:rsidR="00BB15E8" w:rsidRDefault="00BB15E8" w:rsidP="00D1499D">
      <w:pPr>
        <w:ind w:left="720" w:hanging="720"/>
        <w:rPr>
          <w:b/>
          <w:bCs/>
        </w:rPr>
      </w:pPr>
      <w:r w:rsidRPr="00800BE9">
        <w:rPr>
          <w:b/>
          <w:bCs/>
        </w:rPr>
        <w:t xml:space="preserve">4.8 </w:t>
      </w:r>
      <w:r w:rsidR="003D24D7">
        <w:rPr>
          <w:b/>
          <w:bCs/>
        </w:rPr>
        <w:t xml:space="preserve">   </w:t>
      </w:r>
      <w:r w:rsidRPr="00800BE9">
        <w:rPr>
          <w:b/>
          <w:bCs/>
        </w:rPr>
        <w:t>the Department for the Economy reviews the proposed EU Directive on Platform Work and that, in addition to ensuring compliance of NI law with any dynamic alignment obligations arising, that it considers amending NI law on a voluntary basis, to align with other changes that enhance equality or human rights protections and reflect international human rights standards.</w:t>
      </w:r>
    </w:p>
    <w:p w14:paraId="7848F19B" w14:textId="56307F9A" w:rsidR="00EA6AD1" w:rsidRPr="00800BE9" w:rsidRDefault="00EA6AD1" w:rsidP="00D1499D">
      <w:pPr>
        <w:ind w:left="720" w:hanging="720"/>
        <w:rPr>
          <w:b/>
          <w:bCs/>
        </w:rPr>
      </w:pPr>
    </w:p>
    <w:p w14:paraId="75D01A8D" w14:textId="5EC98933" w:rsidR="00BB15E8" w:rsidRPr="00800BE9" w:rsidRDefault="00F32EE3" w:rsidP="00D1499D">
      <w:pPr>
        <w:ind w:left="720" w:hanging="720"/>
        <w:rPr>
          <w:b/>
          <w:bCs/>
        </w:rPr>
      </w:pPr>
      <w:r>
        <w:rPr>
          <w:noProof/>
        </w:rPr>
        <w:lastRenderedPageBreak/>
        <mc:AlternateContent>
          <mc:Choice Requires="wps">
            <w:drawing>
              <wp:anchor distT="0" distB="0" distL="114300" distR="114300" simplePos="0" relativeHeight="251660288" behindDoc="0" locked="0" layoutInCell="1" allowOverlap="1" wp14:anchorId="53AEADBC" wp14:editId="5AACD6BB">
                <wp:simplePos x="0" y="0"/>
                <wp:positionH relativeFrom="margin">
                  <wp:posOffset>-204153</wp:posOffset>
                </wp:positionH>
                <wp:positionV relativeFrom="paragraph">
                  <wp:posOffset>-196215</wp:posOffset>
                </wp:positionV>
                <wp:extent cx="6631388" cy="9200488"/>
                <wp:effectExtent l="57150" t="19050" r="74295" b="96520"/>
                <wp:wrapNone/>
                <wp:docPr id="11563509" name="Rectangle 1"/>
                <wp:cNvGraphicFramePr/>
                <a:graphic xmlns:a="http://schemas.openxmlformats.org/drawingml/2006/main">
                  <a:graphicData uri="http://schemas.microsoft.com/office/word/2010/wordprocessingShape">
                    <wps:wsp>
                      <wps:cNvSpPr/>
                      <wps:spPr>
                        <a:xfrm>
                          <a:off x="0" y="0"/>
                          <a:ext cx="6631388" cy="920048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0B548" id="Rectangle 1" o:spid="_x0000_s1026" style="position:absolute;margin-left:-16.1pt;margin-top:-15.45pt;width:522.15pt;height:724.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5ZYQIAADwFAAAOAAAAZHJzL2Uyb0RvYy54bWysVEtPGzEQvlfqf7B8L5sNKYWIDYpAVJUQ&#10;IKDibLw2seT1uGMnm/TXd+x9JKJISFUv9oznPfONzy+2jWUbhcGAq3h5NOFMOQm1ca8V//l0/eWU&#10;sxCFq4UFpyq+U4FfLD5/Om/9XE1hBbZWyMiJC/PWV3wVo58XRZAr1YhwBF45EmrARkRi8bWoUbTk&#10;vbHFdDI5KVrA2iNIFQK9XnVCvsj+tVYy3mkdVGS24pRbzCfm8yWdxeJczF9R+JWRfRriH7JohHEU&#10;dHR1JaJgazR/uWqMRAig45GEpgCtjVS5BqqmnLyp5nElvMq1UHOCH9sU/p9bebt59PdIbWh9mAci&#10;UxVbjU26KT+2zc3ajc1S28gkPZ6cHJfHpzReSbIzmsWMGPJT7M09hvhdQcMSUXGkaeQmic1NiJ3q&#10;oJKiObg21uaJWJceAlhTp7fMJEioS4tsI2iYcVv20Q60KHayLPa1ZCrurEourHtQmpmasi9zIhlm&#10;e59CSuXi4DdrJzNNGYyGxx8b9vrJVGUIjsbTj41HixwZXByNG+MA33Ngx5R1pz90oKs7teAF6t09&#10;MoRuAYKX14ZmciNCvBdIiKfdoC2Od3RoC23Foac4WwH+fu896RMQScpZSxtU8fBrLVBxZn84guhZ&#10;OZullcvM7Ou3KTF4KHk5lLh1cwk015L+Cy8zmfSjHUiN0DzTsi9TVBIJJyl2xWXEgbmM3WbTdyHV&#10;cpnVaM28iDfu0cth6glzT9tngb4HZiRM38KwbWL+Bp+dbpqHg+U6gjYZvPu+9v2mFc3w77+T9Acc&#10;8llr/+kt/gAAAP//AwBQSwMEFAAGAAgAAAAhAP3ZlNHiAAAADQEAAA8AAABkcnMvZG93bnJldi54&#10;bWxMj8FOwzAMhu9Ie4fIk7igLWlBaC1NpwnEYYILg2niljWmrZY4VZOt3duTnuD2W/70+3OxHq1h&#10;F+x960hCshTAkCqnW6olfH2+LlbAfFCklXGEEq7oYV3ObgqVazfQB152oWaxhHyuJDQhdDnnvmrQ&#10;Kr90HVLc/bjeqhDHvua6V0Mst4anQjxyq1qKFxrV4XOD1Wl3thLMfqiv1WF/yF7etvz7XW/vxqyT&#10;8nY+bp6ABRzDHwyTflSHMjod3Zm0Z0bC4j5NIzoFkQGbCJGkCbBjTA/JSgAvC/7/i/IXAAD//wMA&#10;UEsBAi0AFAAGAAgAAAAhALaDOJL+AAAA4QEAABMAAAAAAAAAAAAAAAAAAAAAAFtDb250ZW50X1R5&#10;cGVzXS54bWxQSwECLQAUAAYACAAAACEAOP0h/9YAAACUAQAACwAAAAAAAAAAAAAAAAAvAQAAX3Jl&#10;bHMvLnJlbHNQSwECLQAUAAYACAAAACEAX82OWWECAAA8BQAADgAAAAAAAAAAAAAAAAAuAgAAZHJz&#10;L2Uyb0RvYy54bWxQSwECLQAUAAYACAAAACEA/dmU0eIAAAANAQAADwAAAAAAAAAAAAAAAAC7BAAA&#10;ZHJzL2Rvd25yZXYueG1sUEsFBgAAAAAEAAQA8wAAAMoFAAAAAA==&#10;" filled="f" strokecolor="black [3213]">
                <v:shadow on="t" color="black" opacity="22937f" origin=",.5" offset="0,.63889mm"/>
                <w10:wrap anchorx="margin"/>
              </v:rect>
            </w:pict>
          </mc:Fallback>
        </mc:AlternateContent>
      </w:r>
      <w:r w:rsidR="00BB15E8" w:rsidRPr="00800BE9">
        <w:rPr>
          <w:b/>
          <w:bCs/>
        </w:rPr>
        <w:t xml:space="preserve">4.13 the Employment Rights Bill must comply with minimum standards set out in the EU Directive on part-time work, pursuant to Windsor Framework Article 2. </w:t>
      </w:r>
    </w:p>
    <w:p w14:paraId="4B9798BF" w14:textId="77777777" w:rsidR="00BB15E8" w:rsidRPr="00800BE9" w:rsidRDefault="00BB15E8" w:rsidP="00D1499D">
      <w:pPr>
        <w:ind w:left="720" w:hanging="720"/>
        <w:rPr>
          <w:b/>
          <w:bCs/>
        </w:rPr>
      </w:pPr>
    </w:p>
    <w:p w14:paraId="11CBA53E" w14:textId="179571B4" w:rsidR="00BB15E8" w:rsidRPr="00800BE9" w:rsidRDefault="00BB15E8" w:rsidP="00D1499D">
      <w:pPr>
        <w:ind w:left="720" w:hanging="720"/>
        <w:rPr>
          <w:b/>
          <w:bCs/>
        </w:rPr>
      </w:pPr>
      <w:r w:rsidRPr="00800BE9">
        <w:rPr>
          <w:b/>
          <w:bCs/>
        </w:rPr>
        <w:t>4.20 the ‘Swedish Derogation’ be abolished, as proposed by the Department (A.40).</w:t>
      </w:r>
    </w:p>
    <w:p w14:paraId="4C8EE46F" w14:textId="77777777" w:rsidR="00BB15E8" w:rsidRPr="00800BE9" w:rsidRDefault="00BB15E8" w:rsidP="00D1499D">
      <w:pPr>
        <w:pStyle w:val="ListParagraph"/>
        <w:ind w:left="720" w:hanging="720"/>
        <w:rPr>
          <w:b/>
          <w:bCs/>
        </w:rPr>
      </w:pPr>
    </w:p>
    <w:p w14:paraId="20DE56E9" w14:textId="67329EDF" w:rsidR="00BB15E8" w:rsidRPr="00800BE9" w:rsidRDefault="00BB15E8" w:rsidP="00D1499D">
      <w:pPr>
        <w:ind w:left="720" w:hanging="720"/>
        <w:rPr>
          <w:b/>
          <w:bCs/>
        </w:rPr>
      </w:pPr>
      <w:r w:rsidRPr="00800BE9">
        <w:rPr>
          <w:b/>
          <w:bCs/>
        </w:rPr>
        <w:t xml:space="preserve">4.21 the Employment Rights Bill must comply with minimum standards set out in the EU Directive on Temporary Agency Work, pursuant to Windsor Framework Article 2. </w:t>
      </w:r>
    </w:p>
    <w:p w14:paraId="0CB8E14B" w14:textId="77777777" w:rsidR="00BB15E8" w:rsidRPr="00800BE9" w:rsidRDefault="00BB15E8" w:rsidP="00D1499D">
      <w:pPr>
        <w:ind w:left="720" w:hanging="720"/>
        <w:rPr>
          <w:b/>
          <w:bCs/>
        </w:rPr>
      </w:pPr>
    </w:p>
    <w:p w14:paraId="2BA7BA03" w14:textId="77840388" w:rsidR="00BB15E8" w:rsidRPr="00800BE9" w:rsidRDefault="00BB15E8" w:rsidP="00D1499D">
      <w:pPr>
        <w:ind w:left="720" w:hanging="720"/>
        <w:rPr>
          <w:b/>
          <w:bCs/>
        </w:rPr>
      </w:pPr>
      <w:r w:rsidRPr="00800BE9">
        <w:rPr>
          <w:b/>
          <w:bCs/>
        </w:rPr>
        <w:t>4.26 the Department for the Economy legislates as proposed, to require the provision of a Key Information Document to agency workers, to improve pay transparency and make pay-related information clearer and easier to understand. (A.42-A.45)</w:t>
      </w:r>
    </w:p>
    <w:p w14:paraId="5C97CEAB" w14:textId="77777777" w:rsidR="00BB15E8" w:rsidRPr="00800BE9" w:rsidRDefault="00BB15E8" w:rsidP="00D1499D">
      <w:pPr>
        <w:pStyle w:val="ListParagraph"/>
        <w:ind w:left="720" w:hanging="720"/>
      </w:pPr>
    </w:p>
    <w:p w14:paraId="46E05E32" w14:textId="50A809A3" w:rsidR="00BB15E8" w:rsidRPr="00800BE9" w:rsidRDefault="00BB15E8" w:rsidP="00D1499D">
      <w:pPr>
        <w:ind w:left="720" w:hanging="720"/>
        <w:rPr>
          <w:b/>
          <w:bCs/>
        </w:rPr>
      </w:pPr>
      <w:r w:rsidRPr="00800BE9">
        <w:rPr>
          <w:b/>
          <w:bCs/>
        </w:rPr>
        <w:t xml:space="preserve">4.27 NI Employment law be amended to reflect at least the minimum requirements of the EU Pay Transparency Directive, in terms of access to pay information for part-time and agency workers, prior to employment and during the employment process, in line with Windsor Framework Articles 2 and 13. </w:t>
      </w:r>
    </w:p>
    <w:p w14:paraId="288A8978" w14:textId="77777777" w:rsidR="00BB15E8" w:rsidRPr="00800BE9" w:rsidRDefault="00BB15E8" w:rsidP="00D1499D">
      <w:pPr>
        <w:ind w:left="720" w:hanging="720"/>
        <w:rPr>
          <w:b/>
          <w:bCs/>
        </w:rPr>
      </w:pPr>
    </w:p>
    <w:p w14:paraId="65C88A3F" w14:textId="2F94F60E" w:rsidR="00BB15E8" w:rsidRPr="00800BE9" w:rsidRDefault="00BB15E8" w:rsidP="00D1499D">
      <w:pPr>
        <w:pStyle w:val="BodyText"/>
        <w:spacing w:before="0" w:after="0" w:line="288" w:lineRule="auto"/>
        <w:ind w:left="720" w:hanging="720"/>
        <w:rPr>
          <w:rFonts w:ascii="Verdana" w:hAnsi="Verdana"/>
        </w:rPr>
      </w:pPr>
      <w:r w:rsidRPr="00800BE9">
        <w:rPr>
          <w:rFonts w:ascii="Verdana" w:hAnsi="Verdana"/>
          <w:b/>
          <w:bCs/>
        </w:rPr>
        <w:t xml:space="preserve">5.6 </w:t>
      </w:r>
      <w:r w:rsidR="003D24D7">
        <w:rPr>
          <w:rFonts w:ascii="Verdana" w:hAnsi="Verdana"/>
          <w:b/>
          <w:bCs/>
        </w:rPr>
        <w:t xml:space="preserve">  </w:t>
      </w:r>
      <w:r w:rsidRPr="00800BE9">
        <w:rPr>
          <w:rFonts w:ascii="Verdana" w:hAnsi="Verdana"/>
          <w:b/>
          <w:bCs/>
        </w:rPr>
        <w:t xml:space="preserve">the Department for the Economy considers the EU Minimum Wages Directive to inform the Employment Rights Bill and guidance for improving collective bargaining on wage-setting in NI and that it considers amending NI law on a voluntary basis, to align with changes that enhance equality or human rights protections and reflect international human rights standards.  </w:t>
      </w:r>
    </w:p>
    <w:p w14:paraId="596C81EE" w14:textId="77777777" w:rsidR="00BB15E8" w:rsidRPr="00800BE9" w:rsidRDefault="00BB15E8" w:rsidP="00D1499D">
      <w:pPr>
        <w:pStyle w:val="BodyText"/>
        <w:spacing w:before="0" w:after="0" w:line="288" w:lineRule="auto"/>
        <w:ind w:left="720" w:hanging="720"/>
        <w:rPr>
          <w:rFonts w:ascii="Verdana" w:hAnsi="Verdana"/>
          <w:b/>
          <w:bCs/>
        </w:rPr>
      </w:pPr>
    </w:p>
    <w:p w14:paraId="32C168A5" w14:textId="196A455E" w:rsidR="00BB15E8" w:rsidRPr="00800BE9" w:rsidRDefault="00BB15E8" w:rsidP="00D1499D">
      <w:pPr>
        <w:pStyle w:val="BodyText"/>
        <w:spacing w:before="0" w:after="0" w:line="288" w:lineRule="auto"/>
        <w:ind w:left="720" w:hanging="720"/>
        <w:rPr>
          <w:rFonts w:ascii="Verdana" w:hAnsi="Verdana"/>
          <w:b/>
          <w:bCs/>
        </w:rPr>
      </w:pPr>
      <w:r w:rsidRPr="00800BE9">
        <w:rPr>
          <w:rFonts w:ascii="Verdana" w:hAnsi="Verdana"/>
          <w:b/>
          <w:bCs/>
        </w:rPr>
        <w:t xml:space="preserve">5.10 the Department for the Economy reviews Northern Ireland public interest disclosure legislation </w:t>
      </w:r>
      <w:proofErr w:type="gramStart"/>
      <w:r w:rsidRPr="00800BE9">
        <w:rPr>
          <w:rFonts w:ascii="Verdana" w:hAnsi="Verdana"/>
          <w:b/>
          <w:bCs/>
        </w:rPr>
        <w:t>in light of</w:t>
      </w:r>
      <w:proofErr w:type="gramEnd"/>
      <w:r w:rsidRPr="00800BE9">
        <w:rPr>
          <w:rFonts w:ascii="Verdana" w:hAnsi="Verdana"/>
          <w:b/>
          <w:bCs/>
        </w:rPr>
        <w:t xml:space="preserve"> the EU Whistleblowing Directive, and considers amending NI law on a voluntary basis, to align with changes that enhance equality or human rights protections and reflect international human rights standards. </w:t>
      </w:r>
    </w:p>
    <w:p w14:paraId="40D84BF9" w14:textId="07B42631" w:rsidR="00BB15E8" w:rsidRPr="00800BE9" w:rsidRDefault="00BB15E8" w:rsidP="00D1499D">
      <w:pPr>
        <w:pStyle w:val="BodyText"/>
        <w:spacing w:before="0" w:after="0" w:line="288" w:lineRule="auto"/>
        <w:ind w:left="720" w:hanging="720"/>
        <w:rPr>
          <w:rFonts w:ascii="Verdana" w:hAnsi="Verdana"/>
          <w:b/>
          <w:bCs/>
        </w:rPr>
      </w:pPr>
    </w:p>
    <w:p w14:paraId="44E7549E" w14:textId="08F71E6C" w:rsidR="00BB15E8" w:rsidRPr="00800BE9" w:rsidRDefault="00BB15E8" w:rsidP="00D1499D">
      <w:pPr>
        <w:ind w:left="720" w:hanging="720"/>
        <w:rPr>
          <w:b/>
          <w:bCs/>
        </w:rPr>
      </w:pPr>
      <w:r w:rsidRPr="00800BE9">
        <w:rPr>
          <w:b/>
          <w:bCs/>
        </w:rPr>
        <w:t xml:space="preserve">6.6 </w:t>
      </w:r>
      <w:r w:rsidR="003D24D7">
        <w:rPr>
          <w:b/>
          <w:bCs/>
        </w:rPr>
        <w:t xml:space="preserve">  </w:t>
      </w:r>
      <w:r w:rsidRPr="00800BE9">
        <w:rPr>
          <w:b/>
          <w:bCs/>
        </w:rPr>
        <w:t xml:space="preserve">the Employment Bill must comply with minimum standards laid out in the EU Pregnant Worker’s Directive. </w:t>
      </w:r>
    </w:p>
    <w:p w14:paraId="79A5FDF9" w14:textId="18A6FC3C" w:rsidR="00BB15E8" w:rsidRPr="00800BE9" w:rsidRDefault="00BB15E8" w:rsidP="00D1499D">
      <w:pPr>
        <w:ind w:left="720" w:hanging="720"/>
        <w:rPr>
          <w:b/>
          <w:bCs/>
        </w:rPr>
      </w:pPr>
    </w:p>
    <w:p w14:paraId="700D2BB8" w14:textId="0B56C02C" w:rsidR="00BB15E8" w:rsidRPr="00800BE9" w:rsidRDefault="00F32EE3" w:rsidP="00D1499D">
      <w:pPr>
        <w:ind w:left="720" w:hanging="720"/>
        <w:rPr>
          <w:b/>
          <w:bCs/>
        </w:rPr>
      </w:pPr>
      <w:r>
        <w:rPr>
          <w:noProof/>
        </w:rPr>
        <w:lastRenderedPageBreak/>
        <mc:AlternateContent>
          <mc:Choice Requires="wps">
            <w:drawing>
              <wp:anchor distT="0" distB="0" distL="114300" distR="114300" simplePos="0" relativeHeight="251664384" behindDoc="0" locked="0" layoutInCell="1" allowOverlap="1" wp14:anchorId="176A8FFA" wp14:editId="722C7BC4">
                <wp:simplePos x="0" y="0"/>
                <wp:positionH relativeFrom="margin">
                  <wp:posOffset>-208915</wp:posOffset>
                </wp:positionH>
                <wp:positionV relativeFrom="paragraph">
                  <wp:posOffset>-198945</wp:posOffset>
                </wp:positionV>
                <wp:extent cx="6631388" cy="9200488"/>
                <wp:effectExtent l="57150" t="19050" r="74295" b="96520"/>
                <wp:wrapNone/>
                <wp:docPr id="1891537722" name="Rectangle 1"/>
                <wp:cNvGraphicFramePr/>
                <a:graphic xmlns:a="http://schemas.openxmlformats.org/drawingml/2006/main">
                  <a:graphicData uri="http://schemas.microsoft.com/office/word/2010/wordprocessingShape">
                    <wps:wsp>
                      <wps:cNvSpPr/>
                      <wps:spPr>
                        <a:xfrm>
                          <a:off x="0" y="0"/>
                          <a:ext cx="6631388" cy="920048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6B6A31" id="Rectangle 1" o:spid="_x0000_s1026" style="position:absolute;margin-left:-16.45pt;margin-top:-15.65pt;width:522.15pt;height:724.4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5ZYQIAADwFAAAOAAAAZHJzL2Uyb0RvYy54bWysVEtPGzEQvlfqf7B8L5sNKYWIDYpAVJUQ&#10;IKDibLw2seT1uGMnm/TXd+x9JKJISFUv9oznPfONzy+2jWUbhcGAq3h5NOFMOQm1ca8V//l0/eWU&#10;sxCFq4UFpyq+U4FfLD5/Om/9XE1hBbZWyMiJC/PWV3wVo58XRZAr1YhwBF45EmrARkRi8bWoUbTk&#10;vbHFdDI5KVrA2iNIFQK9XnVCvsj+tVYy3mkdVGS24pRbzCfm8yWdxeJczF9R+JWRfRriH7JohHEU&#10;dHR1JaJgazR/uWqMRAig45GEpgCtjVS5BqqmnLyp5nElvMq1UHOCH9sU/p9bebt59PdIbWh9mAci&#10;UxVbjU26KT+2zc3ajc1S28gkPZ6cHJfHpzReSbIzmsWMGPJT7M09hvhdQcMSUXGkaeQmic1NiJ3q&#10;oJKiObg21uaJWJceAlhTp7fMJEioS4tsI2iYcVv20Q60KHayLPa1ZCrurEourHtQmpmasi9zIhlm&#10;e59CSuXi4DdrJzNNGYyGxx8b9vrJVGUIjsbTj41HixwZXByNG+MA33Ngx5R1pz90oKs7teAF6t09&#10;MoRuAYKX14ZmciNCvBdIiKfdoC2Od3RoC23Foac4WwH+fu896RMQScpZSxtU8fBrLVBxZn84guhZ&#10;OZullcvM7Ou3KTF4KHk5lLh1cwk015L+Cy8zmfSjHUiN0DzTsi9TVBIJJyl2xWXEgbmM3WbTdyHV&#10;cpnVaM28iDfu0cth6glzT9tngb4HZiRM38KwbWL+Bp+dbpqHg+U6gjYZvPu+9v2mFc3w77+T9Acc&#10;8llr/+kt/gAAAP//AwBQSwMEFAAGAAgAAAAhAHm7vhvjAAAADQEAAA8AAABkcnMvZG93bnJldi54&#10;bWxMj8FOwzAMhu9IvENkJC5oS7NNYy1NJwTiMLELY9PELWtMW5E4VZOt3duTnuD2W/70+3O+Hqxh&#10;F+x840iCmCbAkEqnG6ok7D/fJitgPijSyjhCCVf0sC5ub3KVadfTB152oWKxhHymJNQhtBnnvqzR&#10;Kj91LVLcfbvOqhDHruK6U30st4bPkmTJrWooXqhViy81lj+7s5VgDn11LY+HY/r6vuFfW715GNJW&#10;yvu74fkJWMAh/MEw6kd1KKLTyZ1Je2YkTOazNKJjEHNgI5EIsQB2imkhHpfAi5z//6L4BQAA//8D&#10;AFBLAQItABQABgAIAAAAIQC2gziS/gAAAOEBAAATAAAAAAAAAAAAAAAAAAAAAABbQ29udGVudF9U&#10;eXBlc10ueG1sUEsBAi0AFAAGAAgAAAAhADj9If/WAAAAlAEAAAsAAAAAAAAAAAAAAAAALwEAAF9y&#10;ZWxzLy5yZWxzUEsBAi0AFAAGAAgAAAAhAF/NjllhAgAAPAUAAA4AAAAAAAAAAAAAAAAALgIAAGRy&#10;cy9lMm9Eb2MueG1sUEsBAi0AFAAGAAgAAAAhAHm7vhvjAAAADQEAAA8AAAAAAAAAAAAAAAAAuwQA&#10;AGRycy9kb3ducmV2LnhtbFBLBQYAAAAABAAEAPMAAADLBQAAAAA=&#10;" filled="f" strokecolor="black [3213]">
                <v:shadow on="t" color="black" opacity="22937f" origin=",.5" offset="0,.63889mm"/>
                <w10:wrap anchorx="margin"/>
              </v:rect>
            </w:pict>
          </mc:Fallback>
        </mc:AlternateContent>
      </w:r>
      <w:r w:rsidR="00BB15E8" w:rsidRPr="00800BE9">
        <w:rPr>
          <w:b/>
          <w:bCs/>
        </w:rPr>
        <w:t xml:space="preserve">6.12 the Employment Bill must comply with minimum standards laid out in the EU Parental Leave Directive. </w:t>
      </w:r>
    </w:p>
    <w:p w14:paraId="44533232" w14:textId="03EA8FF7" w:rsidR="00BB15E8" w:rsidRPr="00800BE9" w:rsidRDefault="00BB15E8" w:rsidP="00D1499D">
      <w:pPr>
        <w:ind w:left="720" w:hanging="720"/>
        <w:rPr>
          <w:b/>
          <w:bCs/>
        </w:rPr>
      </w:pPr>
    </w:p>
    <w:p w14:paraId="46B987D9" w14:textId="3770B3D7" w:rsidR="00BB15E8" w:rsidRPr="00800BE9" w:rsidRDefault="00BB15E8" w:rsidP="00D1499D">
      <w:pPr>
        <w:ind w:left="720" w:hanging="720"/>
        <w:rPr>
          <w:b/>
          <w:bCs/>
        </w:rPr>
      </w:pPr>
      <w:r w:rsidRPr="00800BE9">
        <w:rPr>
          <w:b/>
          <w:bCs/>
        </w:rPr>
        <w:t xml:space="preserve">6.20 the Department for the Economy ensures that, on a voluntary basis, NI law aligns with those provisions of the EU Work-Life Balance Directive that enhance equality and human rights protections and align with international human rights standards. </w:t>
      </w:r>
    </w:p>
    <w:p w14:paraId="68DED0D1" w14:textId="60AE992C" w:rsidR="00BB15E8" w:rsidRDefault="00BB15E8" w:rsidP="00D1499D">
      <w:pPr>
        <w:ind w:left="720" w:hanging="720"/>
      </w:pPr>
    </w:p>
    <w:p w14:paraId="4F02AF9E" w14:textId="7393EE2F" w:rsidR="0079415F" w:rsidRDefault="0079415F" w:rsidP="00D1499D">
      <w:pPr>
        <w:ind w:left="720" w:hanging="720"/>
      </w:pPr>
    </w:p>
    <w:p w14:paraId="7918034D" w14:textId="345B4E4D" w:rsidR="0079415F" w:rsidRDefault="0079415F" w:rsidP="00D1499D">
      <w:pPr>
        <w:ind w:left="720" w:hanging="720"/>
      </w:pPr>
    </w:p>
    <w:p w14:paraId="23DB5DE4" w14:textId="3B15CEDF" w:rsidR="0079415F" w:rsidRDefault="0079415F" w:rsidP="00AE0F78"/>
    <w:p w14:paraId="70623133" w14:textId="77777777" w:rsidR="0079415F" w:rsidRDefault="0079415F" w:rsidP="00AE0F78"/>
    <w:p w14:paraId="4BA7CBB8" w14:textId="047668BC" w:rsidR="0079415F" w:rsidRDefault="0079415F" w:rsidP="00AE0F78"/>
    <w:p w14:paraId="34E3681B" w14:textId="77777777" w:rsidR="0079415F" w:rsidRDefault="0079415F" w:rsidP="00AE0F78"/>
    <w:p w14:paraId="2271E9E4" w14:textId="2005D392" w:rsidR="0079415F" w:rsidRDefault="0079415F" w:rsidP="00AE0F78"/>
    <w:p w14:paraId="68AB15F6" w14:textId="77777777" w:rsidR="0079415F" w:rsidRDefault="0079415F" w:rsidP="008A6FD3"/>
    <w:p w14:paraId="0A138207" w14:textId="48569C77" w:rsidR="0079415F" w:rsidRDefault="0079415F" w:rsidP="008A6FD3"/>
    <w:p w14:paraId="463F35DA" w14:textId="77777777" w:rsidR="0079415F" w:rsidRDefault="0079415F" w:rsidP="008A6FD3"/>
    <w:p w14:paraId="1A7B88E8" w14:textId="2589CE5B" w:rsidR="0079415F" w:rsidRDefault="0079415F" w:rsidP="008A6FD3"/>
    <w:p w14:paraId="014F11ED" w14:textId="01C36435" w:rsidR="0079415F" w:rsidRDefault="0079415F" w:rsidP="008A6FD3"/>
    <w:p w14:paraId="70F6E11A" w14:textId="77777777" w:rsidR="002A57BF" w:rsidRDefault="002A57BF" w:rsidP="008A6FD3"/>
    <w:p w14:paraId="71F24F4D" w14:textId="65BCB054" w:rsidR="008A6FD3" w:rsidRDefault="008A6FD3">
      <w:pPr>
        <w:spacing w:line="240" w:lineRule="auto"/>
      </w:pPr>
      <w:r>
        <w:br w:type="page"/>
      </w:r>
    </w:p>
    <w:p w14:paraId="7C539EAB" w14:textId="755F3AEB" w:rsidR="002A57BF" w:rsidRPr="0079415F" w:rsidRDefault="002A57BF" w:rsidP="008A6FD3"/>
    <w:p w14:paraId="303C0ECB" w14:textId="12A6C21F" w:rsidR="009222D4" w:rsidRDefault="00BA533F" w:rsidP="008143AF">
      <w:pPr>
        <w:pStyle w:val="Heading1"/>
        <w:ind w:left="360" w:hanging="360"/>
      </w:pPr>
      <w:bookmarkStart w:id="16" w:name="_Toc172560358"/>
      <w:bookmarkStart w:id="17" w:name="_Toc178599789"/>
      <w:r>
        <w:t>1.0</w:t>
      </w:r>
      <w:r>
        <w:tab/>
      </w:r>
      <w:r w:rsidR="00ED40E9" w:rsidRPr="00041050">
        <w:t>Introduction</w:t>
      </w:r>
      <w:bookmarkEnd w:id="0"/>
      <w:bookmarkEnd w:id="16"/>
      <w:bookmarkEnd w:id="17"/>
    </w:p>
    <w:p w14:paraId="2F75B1D7" w14:textId="66198456" w:rsidR="00467A47" w:rsidRDefault="00693F63" w:rsidP="00113CFD">
      <w:pPr>
        <w:pStyle w:val="ListParagraph"/>
        <w:numPr>
          <w:ilvl w:val="1"/>
          <w:numId w:val="1"/>
        </w:numPr>
      </w:pPr>
      <w:r w:rsidRPr="00693F63">
        <w:t>The Northern Ireland Human Rights Commission (the NIHRC), pursuant to section 69(1) of the Northern Ireland Act 1998, reviews the adequacy and effectiveness of law and practice relating to the protection of human rights in Northern Ireland (NI).</w:t>
      </w:r>
      <w:r w:rsidR="005726CD">
        <w:t xml:space="preserve"> </w:t>
      </w:r>
      <w:r w:rsidR="00D801D4" w:rsidRPr="00693F63">
        <w:t xml:space="preserve">The NIHRC is also </w:t>
      </w:r>
      <w:r w:rsidR="00D801D4">
        <w:t>required</w:t>
      </w:r>
      <w:r w:rsidR="00D801D4" w:rsidRPr="00693F63">
        <w:t xml:space="preserve">, </w:t>
      </w:r>
      <w:r w:rsidR="00D801D4">
        <w:t>by</w:t>
      </w:r>
      <w:r w:rsidR="00D801D4" w:rsidRPr="00693F63">
        <w:t xml:space="preserve"> section 78</w:t>
      </w:r>
      <w:proofErr w:type="gramStart"/>
      <w:r w:rsidR="00D801D4" w:rsidRPr="00693F63">
        <w:t>A(</w:t>
      </w:r>
      <w:proofErr w:type="gramEnd"/>
      <w:r w:rsidR="00D801D4" w:rsidRPr="00693F63">
        <w:t>1) of the Northern Ireland Act 1998, to monitor the implementation of Article 2 of the Windsor Framework.</w:t>
      </w:r>
      <w:r w:rsidR="00D801D4">
        <w:rPr>
          <w:rStyle w:val="FootnoteReference"/>
        </w:rPr>
        <w:footnoteReference w:id="2"/>
      </w:r>
      <w:r w:rsidR="00D801D4" w:rsidRPr="00693F63">
        <w:t xml:space="preserve"> </w:t>
      </w:r>
      <w:r w:rsidR="00113CFD" w:rsidRPr="00693F63">
        <w:t xml:space="preserve">In accordance with these </w:t>
      </w:r>
      <w:r w:rsidR="00113CFD">
        <w:t xml:space="preserve">statutory duties, </w:t>
      </w:r>
      <w:r w:rsidR="00113CFD">
        <w:rPr>
          <w:rFonts w:cs="Segoe UI"/>
          <w:lang w:val="en" w:eastAsia="en-GB"/>
        </w:rPr>
        <w:t xml:space="preserve">the following advice is submitted to the Department for the Economy to inform its legislative and policy development on employment rights in NI. </w:t>
      </w:r>
    </w:p>
    <w:p w14:paraId="5F1493A4" w14:textId="77777777" w:rsidR="00467A47" w:rsidRDefault="00467A47" w:rsidP="00467A47">
      <w:pPr>
        <w:pStyle w:val="ListParagraph"/>
        <w:ind w:left="720"/>
      </w:pPr>
    </w:p>
    <w:p w14:paraId="0874A5A7" w14:textId="4F31401F" w:rsidR="003753CE" w:rsidRPr="00DD25CB" w:rsidRDefault="00940481" w:rsidP="00EF1859">
      <w:pPr>
        <w:pStyle w:val="ListParagraph"/>
        <w:numPr>
          <w:ilvl w:val="1"/>
          <w:numId w:val="1"/>
        </w:numPr>
      </w:pPr>
      <w:r w:rsidRPr="00DA159C">
        <w:t>The NIHRC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DA159C">
        <w:t>CoE</w:t>
      </w:r>
      <w:proofErr w:type="spellEnd"/>
      <w:r w:rsidRPr="00DA159C">
        <w:t>) and United Nations (UN).</w:t>
      </w:r>
      <w:r>
        <w:t xml:space="preserve"> </w:t>
      </w:r>
    </w:p>
    <w:p w14:paraId="683B000D" w14:textId="77777777" w:rsidR="00D42AC1" w:rsidRDefault="00D42AC1" w:rsidP="00EF1859"/>
    <w:p w14:paraId="60574BC8" w14:textId="77777777" w:rsidR="003C23A1" w:rsidRDefault="00DD25CB" w:rsidP="00025577">
      <w:pPr>
        <w:pStyle w:val="ListParagraph"/>
        <w:numPr>
          <w:ilvl w:val="1"/>
          <w:numId w:val="1"/>
        </w:numPr>
      </w:pPr>
      <w:r>
        <w:t xml:space="preserve">The NIHRC advises on </w:t>
      </w:r>
      <w:r w:rsidR="001D23D4">
        <w:t xml:space="preserve">the </w:t>
      </w:r>
      <w:r>
        <w:t>UK Government’s commitment</w:t>
      </w:r>
      <w:r w:rsidR="001D23D4">
        <w:t>,</w:t>
      </w:r>
      <w:r>
        <w:t xml:space="preserve"> in Windsor Framework Article 2(1)</w:t>
      </w:r>
      <w:r w:rsidR="001D23D4">
        <w:t>,</w:t>
      </w:r>
      <w:r>
        <w:t xml:space="preserve"> to ensure there is no diminution of rights, safeguards and equality of opportunity in the relevant section of the Belfast (Good Friday) Agreement </w:t>
      </w:r>
      <w:proofErr w:type="gramStart"/>
      <w:r>
        <w:t>as a result of</w:t>
      </w:r>
      <w:proofErr w:type="gramEnd"/>
      <w:r>
        <w:t xml:space="preserve"> the UK’s withdrawal from the EU. This is given effect in UK law by section 7A of the EU (Withdrawal) Act 2018. In addition, </w:t>
      </w:r>
      <w:r w:rsidR="00D61ACF">
        <w:t>s</w:t>
      </w:r>
      <w:r>
        <w:t>ection 6 of the Northern Ireland Act 1998 provides that the NI Assembly is prohibited from making any law which is incompatible with Windsor Framework Article 2. Section 24 of the 1998 Act also provides that all acts of the Department</w:t>
      </w:r>
      <w:r w:rsidR="000D3219">
        <w:t>s</w:t>
      </w:r>
      <w:r>
        <w:t xml:space="preserve"> should be compatible with Windsor Framework Article 2.</w:t>
      </w:r>
    </w:p>
    <w:p w14:paraId="6514450B" w14:textId="77777777" w:rsidR="003C23A1" w:rsidRPr="006E2F73" w:rsidRDefault="003C23A1" w:rsidP="003C23A1"/>
    <w:p w14:paraId="55A9A79D" w14:textId="77777777" w:rsidR="003C23A1" w:rsidRDefault="003C23A1" w:rsidP="003C23A1">
      <w:pPr>
        <w:pStyle w:val="ListParagraph"/>
        <w:numPr>
          <w:ilvl w:val="1"/>
          <w:numId w:val="1"/>
        </w:numPr>
      </w:pPr>
      <w:r>
        <w:t>The relevant EU law in the context of employment rights is:</w:t>
      </w:r>
    </w:p>
    <w:p w14:paraId="68900C19" w14:textId="77777777" w:rsidR="003C23A1" w:rsidRDefault="003C23A1" w:rsidP="003C23A1">
      <w:pPr>
        <w:pStyle w:val="ListParagraph"/>
      </w:pPr>
    </w:p>
    <w:p w14:paraId="792D01A8" w14:textId="77777777" w:rsidR="003C23A1" w:rsidRPr="0044490B" w:rsidRDefault="003C23A1" w:rsidP="003C23A1">
      <w:pPr>
        <w:pStyle w:val="ListParagraph"/>
        <w:numPr>
          <w:ilvl w:val="0"/>
          <w:numId w:val="7"/>
        </w:numPr>
      </w:pPr>
      <w:r>
        <w:rPr>
          <w:rFonts w:cstheme="minorHAnsi"/>
        </w:rPr>
        <w:t xml:space="preserve">EU </w:t>
      </w:r>
      <w:r w:rsidRPr="003A36F8">
        <w:rPr>
          <w:rFonts w:cstheme="minorHAnsi"/>
        </w:rPr>
        <w:t>Racial Equality Directive</w:t>
      </w:r>
      <w:r>
        <w:rPr>
          <w:rStyle w:val="FootnoteReference"/>
          <w:rFonts w:cstheme="minorHAnsi"/>
        </w:rPr>
        <w:footnoteReference w:id="3"/>
      </w:r>
      <w:r w:rsidRPr="003A36F8">
        <w:rPr>
          <w:rFonts w:cstheme="minorHAnsi"/>
        </w:rPr>
        <w:t xml:space="preserve"> </w:t>
      </w:r>
    </w:p>
    <w:p w14:paraId="4EA57D6C" w14:textId="77777777" w:rsidR="003C23A1" w:rsidRPr="0044490B" w:rsidRDefault="003C23A1" w:rsidP="003C23A1">
      <w:pPr>
        <w:pStyle w:val="ListParagraph"/>
        <w:numPr>
          <w:ilvl w:val="0"/>
          <w:numId w:val="7"/>
        </w:numPr>
      </w:pPr>
      <w:r>
        <w:rPr>
          <w:rFonts w:cstheme="minorHAnsi"/>
        </w:rPr>
        <w:lastRenderedPageBreak/>
        <w:t xml:space="preserve">EU </w:t>
      </w:r>
      <w:r w:rsidRPr="003A36F8">
        <w:rPr>
          <w:rFonts w:cstheme="minorHAnsi"/>
        </w:rPr>
        <w:t>Employment Equality (Framework) Directive</w:t>
      </w:r>
      <w:r>
        <w:rPr>
          <w:rStyle w:val="FootnoteReference"/>
          <w:rFonts w:cstheme="minorHAnsi"/>
        </w:rPr>
        <w:footnoteReference w:id="4"/>
      </w:r>
      <w:r w:rsidRPr="003A36F8">
        <w:rPr>
          <w:rFonts w:cstheme="minorHAnsi"/>
        </w:rPr>
        <w:t xml:space="preserve"> </w:t>
      </w:r>
    </w:p>
    <w:p w14:paraId="3DC96795" w14:textId="77777777" w:rsidR="003C23A1" w:rsidRPr="0044490B" w:rsidRDefault="003C23A1" w:rsidP="003C23A1">
      <w:pPr>
        <w:pStyle w:val="ListParagraph"/>
        <w:numPr>
          <w:ilvl w:val="0"/>
          <w:numId w:val="7"/>
        </w:numPr>
      </w:pPr>
      <w:r>
        <w:rPr>
          <w:rFonts w:cstheme="minorHAnsi"/>
        </w:rPr>
        <w:t xml:space="preserve">EU </w:t>
      </w:r>
      <w:r w:rsidRPr="003A36F8">
        <w:rPr>
          <w:rFonts w:cstheme="minorHAnsi"/>
        </w:rPr>
        <w:t>Gender Equality (Employment) Directive</w:t>
      </w:r>
      <w:r>
        <w:rPr>
          <w:rStyle w:val="FootnoteReference"/>
          <w:rFonts w:cstheme="minorHAnsi"/>
        </w:rPr>
        <w:footnoteReference w:id="5"/>
      </w:r>
      <w:r w:rsidRPr="003A36F8">
        <w:rPr>
          <w:rFonts w:cstheme="minorHAnsi"/>
        </w:rPr>
        <w:t xml:space="preserve"> </w:t>
      </w:r>
    </w:p>
    <w:p w14:paraId="7297A6AD" w14:textId="77777777" w:rsidR="003C23A1" w:rsidRPr="0048152E" w:rsidRDefault="003C23A1" w:rsidP="003C23A1">
      <w:pPr>
        <w:pStyle w:val="ListParagraph"/>
        <w:numPr>
          <w:ilvl w:val="0"/>
          <w:numId w:val="7"/>
        </w:numPr>
      </w:pPr>
      <w:r>
        <w:rPr>
          <w:rFonts w:cstheme="minorHAnsi"/>
        </w:rPr>
        <w:t>EU Gender Equality (</w:t>
      </w:r>
      <w:r w:rsidRPr="003A36F8">
        <w:rPr>
          <w:rFonts w:cstheme="minorHAnsi"/>
        </w:rPr>
        <w:t>Self-Employment</w:t>
      </w:r>
      <w:r>
        <w:rPr>
          <w:rFonts w:cstheme="minorHAnsi"/>
        </w:rPr>
        <w:t>)</w:t>
      </w:r>
      <w:r w:rsidRPr="003A36F8">
        <w:rPr>
          <w:rFonts w:cstheme="minorHAnsi"/>
        </w:rPr>
        <w:t xml:space="preserve"> Directive</w:t>
      </w:r>
      <w:r>
        <w:rPr>
          <w:rStyle w:val="FootnoteReference"/>
          <w:rFonts w:cstheme="minorHAnsi"/>
        </w:rPr>
        <w:footnoteReference w:id="6"/>
      </w:r>
    </w:p>
    <w:p w14:paraId="3EE23C19" w14:textId="77777777" w:rsidR="003C23A1" w:rsidRPr="00D470A7" w:rsidRDefault="003C23A1" w:rsidP="003C23A1">
      <w:pPr>
        <w:pStyle w:val="ListParagraph"/>
        <w:numPr>
          <w:ilvl w:val="0"/>
          <w:numId w:val="7"/>
        </w:numPr>
        <w:rPr>
          <w:rFonts w:cstheme="minorHAnsi"/>
        </w:rPr>
      </w:pPr>
      <w:r w:rsidRPr="003A36F8">
        <w:rPr>
          <w:rFonts w:eastAsia="Times New Roman"/>
        </w:rPr>
        <w:t>EU Pay Transparency Directive</w:t>
      </w:r>
      <w:r w:rsidRPr="00616C66">
        <w:rPr>
          <w:vertAlign w:val="superscript"/>
        </w:rPr>
        <w:footnoteReference w:id="7"/>
      </w:r>
      <w:r w:rsidRPr="003A36F8">
        <w:rPr>
          <w:rFonts w:eastAsia="Times New Roman"/>
        </w:rPr>
        <w:t xml:space="preserve"> </w:t>
      </w:r>
    </w:p>
    <w:p w14:paraId="082871AA" w14:textId="77777777" w:rsidR="003C23A1" w:rsidRDefault="003C23A1" w:rsidP="003C23A1">
      <w:pPr>
        <w:pStyle w:val="ListParagraph"/>
        <w:numPr>
          <w:ilvl w:val="0"/>
          <w:numId w:val="7"/>
        </w:numPr>
        <w:rPr>
          <w:rFonts w:cstheme="minorHAnsi"/>
        </w:rPr>
      </w:pPr>
      <w:r>
        <w:rPr>
          <w:rFonts w:cstheme="minorHAnsi"/>
        </w:rPr>
        <w:t>two Directives on EU Binding Standards on Equality Bodies</w:t>
      </w:r>
      <w:r>
        <w:rPr>
          <w:rStyle w:val="FootnoteReference"/>
          <w:rFonts w:cstheme="minorHAnsi"/>
        </w:rPr>
        <w:footnoteReference w:id="8"/>
      </w:r>
      <w:r>
        <w:rPr>
          <w:rFonts w:cstheme="minorHAnsi"/>
        </w:rPr>
        <w:t xml:space="preserve"> </w:t>
      </w:r>
    </w:p>
    <w:p w14:paraId="129D2D6D" w14:textId="77777777" w:rsidR="003C23A1" w:rsidRPr="00D470A7" w:rsidRDefault="003C23A1" w:rsidP="003C23A1">
      <w:pPr>
        <w:pStyle w:val="ListParagraph"/>
        <w:numPr>
          <w:ilvl w:val="0"/>
          <w:numId w:val="7"/>
        </w:numPr>
        <w:rPr>
          <w:rFonts w:cstheme="minorHAnsi"/>
        </w:rPr>
      </w:pPr>
      <w:r w:rsidRPr="00FF4DA7">
        <w:t>EU Parental Leave Directive</w:t>
      </w:r>
      <w:r w:rsidRPr="00FF4DA7">
        <w:rPr>
          <w:vertAlign w:val="superscript"/>
        </w:rPr>
        <w:footnoteReference w:id="9"/>
      </w:r>
    </w:p>
    <w:p w14:paraId="32E45796" w14:textId="77777777" w:rsidR="003C23A1" w:rsidRPr="00C23D4C" w:rsidRDefault="003C23A1" w:rsidP="003C23A1">
      <w:pPr>
        <w:pStyle w:val="ListParagraph"/>
        <w:numPr>
          <w:ilvl w:val="0"/>
          <w:numId w:val="7"/>
        </w:numPr>
        <w:rPr>
          <w:rFonts w:cstheme="minorHAnsi"/>
        </w:rPr>
      </w:pPr>
      <w:r w:rsidRPr="00FF4DA7">
        <w:t>EU Pregnant Worker’s Directive</w:t>
      </w:r>
      <w:r w:rsidRPr="00FF4DA7">
        <w:rPr>
          <w:vertAlign w:val="superscript"/>
        </w:rPr>
        <w:footnoteReference w:id="10"/>
      </w:r>
    </w:p>
    <w:p w14:paraId="7D00D6AD" w14:textId="77777777" w:rsidR="003C23A1" w:rsidRDefault="003C23A1" w:rsidP="003C23A1">
      <w:pPr>
        <w:pStyle w:val="ListParagraph"/>
        <w:numPr>
          <w:ilvl w:val="0"/>
          <w:numId w:val="7"/>
        </w:numPr>
        <w:rPr>
          <w:rFonts w:cstheme="minorHAnsi"/>
        </w:rPr>
      </w:pPr>
      <w:r>
        <w:rPr>
          <w:rFonts w:cstheme="minorHAnsi"/>
        </w:rPr>
        <w:t xml:space="preserve">EU Directive </w:t>
      </w:r>
      <w:r w:rsidRPr="003910DD">
        <w:rPr>
          <w:rFonts w:cstheme="minorHAnsi"/>
        </w:rPr>
        <w:t>Concerning the Framework Agreement on Part-time Workers</w:t>
      </w:r>
      <w:r>
        <w:rPr>
          <w:rStyle w:val="FootnoteReference"/>
          <w:rFonts w:cstheme="minorHAnsi"/>
        </w:rPr>
        <w:footnoteReference w:id="11"/>
      </w:r>
    </w:p>
    <w:p w14:paraId="09FA6DCD" w14:textId="7E35780A" w:rsidR="003C23A1" w:rsidRDefault="003C23A1" w:rsidP="003C23A1">
      <w:pPr>
        <w:pStyle w:val="ListParagraph"/>
        <w:numPr>
          <w:ilvl w:val="0"/>
          <w:numId w:val="7"/>
        </w:numPr>
        <w:rPr>
          <w:rFonts w:cstheme="minorHAnsi"/>
        </w:rPr>
      </w:pPr>
      <w:r>
        <w:rPr>
          <w:rFonts w:cstheme="minorHAnsi"/>
        </w:rPr>
        <w:t>EU Directive on Temporary Agency Work</w:t>
      </w:r>
      <w:r>
        <w:rPr>
          <w:rStyle w:val="FootnoteReference"/>
          <w:rFonts w:cstheme="minorHAnsi"/>
        </w:rPr>
        <w:footnoteReference w:id="12"/>
      </w:r>
    </w:p>
    <w:p w14:paraId="4C61E7C4" w14:textId="7004A36C" w:rsidR="00E1041E" w:rsidRPr="003C23A1" w:rsidRDefault="00E1041E" w:rsidP="003C23A1">
      <w:pPr>
        <w:pStyle w:val="ListParagraph"/>
        <w:numPr>
          <w:ilvl w:val="0"/>
          <w:numId w:val="7"/>
        </w:numPr>
        <w:rPr>
          <w:rFonts w:cstheme="minorHAnsi"/>
        </w:rPr>
      </w:pPr>
      <w:r>
        <w:rPr>
          <w:rFonts w:cstheme="minorHAnsi"/>
        </w:rPr>
        <w:t>EU Charter of Fundamental Rights</w:t>
      </w:r>
      <w:r w:rsidR="00004435">
        <w:rPr>
          <w:rFonts w:cstheme="minorHAnsi"/>
        </w:rPr>
        <w:t>.</w:t>
      </w:r>
      <w:r w:rsidR="00950592">
        <w:rPr>
          <w:rStyle w:val="FootnoteReference"/>
          <w:rFonts w:cstheme="minorHAnsi"/>
        </w:rPr>
        <w:footnoteReference w:id="13"/>
      </w:r>
    </w:p>
    <w:p w14:paraId="152479B8" w14:textId="77777777" w:rsidR="003C23A1" w:rsidRPr="003C23A1" w:rsidRDefault="003C23A1" w:rsidP="003C23A1">
      <w:pPr>
        <w:pStyle w:val="ListParagraph"/>
        <w:ind w:left="720"/>
        <w:rPr>
          <w:lang w:val="en"/>
        </w:rPr>
      </w:pPr>
    </w:p>
    <w:p w14:paraId="67EBE933" w14:textId="49ECBD00" w:rsidR="003C23A1" w:rsidRPr="008634B0" w:rsidRDefault="003C23A1" w:rsidP="003C23A1">
      <w:pPr>
        <w:pStyle w:val="ListParagraph"/>
        <w:numPr>
          <w:ilvl w:val="1"/>
          <w:numId w:val="1"/>
        </w:numPr>
        <w:rPr>
          <w:lang w:val="en"/>
        </w:rPr>
      </w:pPr>
      <w:r>
        <w:rPr>
          <w:lang w:val="en"/>
        </w:rPr>
        <w:t>In this submission</w:t>
      </w:r>
      <w:r w:rsidR="00EF4DC9">
        <w:rPr>
          <w:lang w:val="en"/>
        </w:rPr>
        <w:t>,</w:t>
      </w:r>
      <w:r>
        <w:rPr>
          <w:lang w:val="en"/>
        </w:rPr>
        <w:t xml:space="preserve"> the NIHRC will set out its advice </w:t>
      </w:r>
      <w:r w:rsidR="00DF62AB">
        <w:rPr>
          <w:lang w:val="en"/>
        </w:rPr>
        <w:t>based on</w:t>
      </w:r>
      <w:r w:rsidR="008C0648">
        <w:rPr>
          <w:lang w:val="en"/>
        </w:rPr>
        <w:t xml:space="preserve"> </w:t>
      </w:r>
      <w:r>
        <w:rPr>
          <w:lang w:val="en"/>
        </w:rPr>
        <w:t>the consultation</w:t>
      </w:r>
      <w:r w:rsidR="00DF62AB">
        <w:rPr>
          <w:lang w:val="en"/>
        </w:rPr>
        <w:t>’s terms of reference</w:t>
      </w:r>
      <w:r w:rsidR="00C8246E">
        <w:t xml:space="preserve"> </w:t>
      </w:r>
      <w:r w:rsidR="00274CF4">
        <w:t>focus</w:t>
      </w:r>
      <w:r w:rsidR="00DD0598">
        <w:t>ing</w:t>
      </w:r>
      <w:r w:rsidR="00274CF4">
        <w:t xml:space="preserve"> on</w:t>
      </w:r>
      <w:r w:rsidR="00274CF4" w:rsidRPr="00820444">
        <w:t xml:space="preserve"> </w:t>
      </w:r>
      <w:r w:rsidRPr="00820444">
        <w:t>EU standards</w:t>
      </w:r>
      <w:r>
        <w:t xml:space="preserve"> </w:t>
      </w:r>
      <w:r w:rsidR="00F97D70">
        <w:t xml:space="preserve">in the areas covered by the consultation, </w:t>
      </w:r>
      <w:r w:rsidR="00792C4B">
        <w:t>some of which are referenced in the consultation</w:t>
      </w:r>
      <w:r w:rsidRPr="00820444">
        <w:t>.</w:t>
      </w:r>
      <w:r>
        <w:t xml:space="preserve"> </w:t>
      </w:r>
    </w:p>
    <w:p w14:paraId="2C0DC8E0" w14:textId="77777777" w:rsidR="003946D6" w:rsidRPr="00432127" w:rsidRDefault="003946D6" w:rsidP="00432127">
      <w:pPr>
        <w:pStyle w:val="ListParagraph"/>
        <w:ind w:left="720"/>
        <w:rPr>
          <w:lang w:val="en"/>
        </w:rPr>
      </w:pPr>
    </w:p>
    <w:p w14:paraId="658D7406" w14:textId="285434E6" w:rsidR="003946D6" w:rsidRPr="008A0F86" w:rsidRDefault="008A0F86" w:rsidP="003946D6">
      <w:pPr>
        <w:pStyle w:val="ListParagraph"/>
        <w:numPr>
          <w:ilvl w:val="1"/>
          <w:numId w:val="1"/>
        </w:numPr>
      </w:pPr>
      <w:r>
        <w:t>W</w:t>
      </w:r>
      <w:r w:rsidR="003946D6">
        <w:t xml:space="preserve">hen the Employment Rights Bill is drafted, the NIHRC will examine the provisions of the Bill in </w:t>
      </w:r>
      <w:r w:rsidR="00706CE6">
        <w:t>more</w:t>
      </w:r>
      <w:r w:rsidR="00D365D5">
        <w:t xml:space="preserve"> detail</w:t>
      </w:r>
      <w:r w:rsidR="004A370F">
        <w:t xml:space="preserve"> and may provide further advice</w:t>
      </w:r>
      <w:r w:rsidR="003946D6">
        <w:t xml:space="preserve">. </w:t>
      </w:r>
    </w:p>
    <w:p w14:paraId="6D05F209" w14:textId="77777777" w:rsidR="003C23A1" w:rsidRPr="005D4EA1" w:rsidRDefault="003C23A1" w:rsidP="003C23A1">
      <w:pPr>
        <w:pStyle w:val="ListParagraph"/>
        <w:rPr>
          <w:lang w:val="en"/>
        </w:rPr>
      </w:pPr>
    </w:p>
    <w:p w14:paraId="0C03133E" w14:textId="25CA07C8" w:rsidR="003C23A1" w:rsidRPr="003C175D" w:rsidRDefault="000B03D0" w:rsidP="00751534">
      <w:pPr>
        <w:pStyle w:val="ListParagraph"/>
        <w:numPr>
          <w:ilvl w:val="1"/>
          <w:numId w:val="1"/>
        </w:numPr>
        <w:rPr>
          <w:lang w:val="en"/>
        </w:rPr>
      </w:pPr>
      <w:r>
        <w:t xml:space="preserve">Section </w:t>
      </w:r>
      <w:r w:rsidR="007A61D7">
        <w:t>2</w:t>
      </w:r>
      <w:r>
        <w:t xml:space="preserve"> sets out the framework </w:t>
      </w:r>
      <w:r w:rsidR="006E5F29">
        <w:t xml:space="preserve">explaining Windsor Framework Article 2 and the divergence of rights on the </w:t>
      </w:r>
      <w:r w:rsidR="00922044">
        <w:t>i</w:t>
      </w:r>
      <w:r w:rsidR="006E5F29">
        <w:t xml:space="preserve">sland of Ireland. </w:t>
      </w:r>
      <w:r w:rsidR="003C23A1" w:rsidRPr="00342655">
        <w:t xml:space="preserve">Section </w:t>
      </w:r>
      <w:r w:rsidR="007A61D7">
        <w:t>3</w:t>
      </w:r>
      <w:r w:rsidR="003C23A1" w:rsidRPr="00342655">
        <w:t xml:space="preserve"> provides an overview of </w:t>
      </w:r>
      <w:r w:rsidR="003C23A1">
        <w:t xml:space="preserve">the EU developments </w:t>
      </w:r>
      <w:proofErr w:type="gramStart"/>
      <w:r w:rsidR="003C23A1">
        <w:t>in the area of</w:t>
      </w:r>
      <w:proofErr w:type="gramEnd"/>
      <w:r w:rsidR="003C23A1">
        <w:t xml:space="preserve"> </w:t>
      </w:r>
      <w:r w:rsidR="003C23A1">
        <w:lastRenderedPageBreak/>
        <w:t xml:space="preserve">employment rights </w:t>
      </w:r>
      <w:r w:rsidR="003C23A1" w:rsidRPr="00342655">
        <w:t>outlin</w:t>
      </w:r>
      <w:r w:rsidR="003C23A1">
        <w:t>ing</w:t>
      </w:r>
      <w:r w:rsidR="003C23A1" w:rsidRPr="00342655">
        <w:t xml:space="preserve"> overarching principles </w:t>
      </w:r>
      <w:r w:rsidR="003C23A1">
        <w:t>of</w:t>
      </w:r>
      <w:r w:rsidR="003C23A1" w:rsidRPr="00342655">
        <w:t xml:space="preserve"> equality and non-discrimination as defined by EU standards on equality bodies, intersectional discrimination, and gender equality. Section </w:t>
      </w:r>
      <w:r w:rsidR="007A61D7">
        <w:t>4</w:t>
      </w:r>
      <w:r w:rsidR="003C23A1" w:rsidRPr="00342655">
        <w:t xml:space="preserve"> addresses terms</w:t>
      </w:r>
      <w:r w:rsidR="008A3327">
        <w:t xml:space="preserve"> of employment</w:t>
      </w:r>
      <w:r w:rsidR="003C23A1" w:rsidRPr="00342655">
        <w:t>, emphasi</w:t>
      </w:r>
      <w:r w:rsidR="003C23A1">
        <w:t>s</w:t>
      </w:r>
      <w:r w:rsidR="003C23A1" w:rsidRPr="00342655">
        <w:t xml:space="preserve">ing EU minimum standards for self-employment, agency work, and part-time work. Section </w:t>
      </w:r>
      <w:r w:rsidR="007A61D7">
        <w:t>5</w:t>
      </w:r>
      <w:r w:rsidR="003C23A1" w:rsidRPr="00342655">
        <w:t xml:space="preserve"> explores voice and representation, focusing on the divergence of rights on the island of Ireland. Section </w:t>
      </w:r>
      <w:r w:rsidR="007A61D7">
        <w:t>6</w:t>
      </w:r>
      <w:r w:rsidR="003C23A1">
        <w:t xml:space="preserve"> </w:t>
      </w:r>
      <w:r w:rsidR="003C23A1" w:rsidRPr="00342655">
        <w:t xml:space="preserve">presents EU minimum standards on work-life balance. </w:t>
      </w:r>
      <w:r w:rsidR="003C23A1">
        <w:t xml:space="preserve"> </w:t>
      </w:r>
    </w:p>
    <w:p w14:paraId="3F81E91C" w14:textId="1A9AF7E5" w:rsidR="00986743" w:rsidRPr="00986743" w:rsidRDefault="00D159C9" w:rsidP="00D159C9">
      <w:pPr>
        <w:pStyle w:val="Heading1"/>
      </w:pPr>
      <w:bookmarkStart w:id="18" w:name="_Toc178599790"/>
      <w:r>
        <w:t xml:space="preserve">2.0 </w:t>
      </w:r>
      <w:r>
        <w:tab/>
        <w:t>Background</w:t>
      </w:r>
      <w:bookmarkEnd w:id="18"/>
      <w:r>
        <w:t xml:space="preserve"> </w:t>
      </w:r>
    </w:p>
    <w:p w14:paraId="2CD5B7E3" w14:textId="1289918E" w:rsidR="00986743" w:rsidRPr="00986743" w:rsidRDefault="00986743" w:rsidP="00D159C9">
      <w:pPr>
        <w:pStyle w:val="Heading2"/>
        <w:rPr>
          <w:rFonts w:cstheme="minorBidi"/>
        </w:rPr>
      </w:pPr>
      <w:bookmarkStart w:id="19" w:name="_Toc178599791"/>
      <w:r w:rsidRPr="00986743">
        <w:rPr>
          <w:lang w:val="en" w:eastAsia="en-GB"/>
        </w:rPr>
        <w:t>Windsor Framework Article 2</w:t>
      </w:r>
      <w:bookmarkEnd w:id="19"/>
      <w:r w:rsidRPr="00986743">
        <w:rPr>
          <w:lang w:val="en" w:eastAsia="en-GB"/>
        </w:rPr>
        <w:t xml:space="preserve"> </w:t>
      </w:r>
    </w:p>
    <w:p w14:paraId="0387554C" w14:textId="77777777" w:rsidR="0000020F" w:rsidRDefault="00C066E3" w:rsidP="0000020F">
      <w:pPr>
        <w:pStyle w:val="ListParagraph"/>
        <w:numPr>
          <w:ilvl w:val="1"/>
          <w:numId w:val="26"/>
        </w:numPr>
        <w:ind w:left="720" w:hanging="720"/>
      </w:pPr>
      <w:r w:rsidRPr="00727808">
        <w:t xml:space="preserve">Windsor Framework Article 2 requires the UK Government to ensure that no diminution of rights, safeguards and equality of opportunities contained in the relevant part of the Belfast (Good Friday) Agreement 1998 occurs </w:t>
      </w:r>
      <w:proofErr w:type="gramStart"/>
      <w:r w:rsidRPr="00727808">
        <w:t>as a result of</w:t>
      </w:r>
      <w:proofErr w:type="gramEnd"/>
      <w:r w:rsidRPr="00727808">
        <w:t xml:space="preserve"> the UK’s withdrawal from the EU. This includes an obligation to “keep pace” with any changes made to the six Annex 1 </w:t>
      </w:r>
      <w:r w:rsidR="001A6ECF">
        <w:t>E</w:t>
      </w:r>
      <w:r w:rsidRPr="00727808">
        <w:t xml:space="preserve">quality </w:t>
      </w:r>
      <w:r w:rsidR="001A6ECF">
        <w:t>D</w:t>
      </w:r>
      <w:r w:rsidRPr="00727808">
        <w:t>irectives</w:t>
      </w:r>
      <w:r w:rsidRPr="00727808">
        <w:rPr>
          <w:rStyle w:val="FootnoteReference"/>
        </w:rPr>
        <w:footnoteReference w:id="14"/>
      </w:r>
      <w:r w:rsidRPr="00727808">
        <w:t xml:space="preserve"> which improve the minimum levels of protection available, after 1 January 2021.</w:t>
      </w:r>
      <w:r w:rsidRPr="00727808">
        <w:rPr>
          <w:rStyle w:val="FootnoteReference"/>
        </w:rPr>
        <w:footnoteReference w:id="15"/>
      </w:r>
    </w:p>
    <w:p w14:paraId="047B833F" w14:textId="77777777" w:rsidR="0000020F" w:rsidRDefault="0000020F" w:rsidP="0000020F">
      <w:pPr>
        <w:pStyle w:val="ListParagraph"/>
        <w:ind w:left="720"/>
      </w:pPr>
    </w:p>
    <w:p w14:paraId="5F11E7BF" w14:textId="77777777" w:rsidR="0000020F" w:rsidRPr="00986743" w:rsidRDefault="0000020F" w:rsidP="0000020F">
      <w:pPr>
        <w:pStyle w:val="ListParagraph"/>
        <w:numPr>
          <w:ilvl w:val="1"/>
          <w:numId w:val="26"/>
        </w:numPr>
        <w:ind w:left="720" w:hanging="720"/>
      </w:pPr>
      <w:r>
        <w:t xml:space="preserve">These EU Directives are the following: </w:t>
      </w:r>
    </w:p>
    <w:p w14:paraId="4CF477DB" w14:textId="77777777" w:rsidR="0000020F" w:rsidRPr="0044490B" w:rsidRDefault="0000020F" w:rsidP="0000020F">
      <w:pPr>
        <w:pStyle w:val="ListParagraph"/>
        <w:numPr>
          <w:ilvl w:val="0"/>
          <w:numId w:val="2"/>
        </w:numPr>
      </w:pPr>
      <w:r>
        <w:rPr>
          <w:rFonts w:cstheme="minorHAnsi"/>
        </w:rPr>
        <w:t xml:space="preserve">EU </w:t>
      </w:r>
      <w:r w:rsidRPr="003A36F8">
        <w:rPr>
          <w:rFonts w:cstheme="minorHAnsi"/>
        </w:rPr>
        <w:t>Racial Equality Directive</w:t>
      </w:r>
      <w:r>
        <w:rPr>
          <w:rStyle w:val="FootnoteReference"/>
          <w:rFonts w:cstheme="minorHAnsi"/>
        </w:rPr>
        <w:footnoteReference w:id="16"/>
      </w:r>
      <w:r w:rsidRPr="003A36F8">
        <w:rPr>
          <w:rFonts w:cstheme="minorHAnsi"/>
        </w:rPr>
        <w:t xml:space="preserve"> </w:t>
      </w:r>
    </w:p>
    <w:p w14:paraId="59A6F4DC" w14:textId="77777777" w:rsidR="0000020F" w:rsidRPr="0044490B" w:rsidRDefault="0000020F" w:rsidP="0000020F">
      <w:pPr>
        <w:pStyle w:val="ListParagraph"/>
        <w:numPr>
          <w:ilvl w:val="0"/>
          <w:numId w:val="2"/>
        </w:numPr>
      </w:pPr>
      <w:r>
        <w:rPr>
          <w:rFonts w:cstheme="minorHAnsi"/>
        </w:rPr>
        <w:t xml:space="preserve">EU </w:t>
      </w:r>
      <w:r w:rsidRPr="003A36F8">
        <w:rPr>
          <w:rFonts w:cstheme="minorHAnsi"/>
        </w:rPr>
        <w:t>Employment Equality (Framework) Directive</w:t>
      </w:r>
      <w:r>
        <w:rPr>
          <w:rStyle w:val="FootnoteReference"/>
          <w:rFonts w:cstheme="minorHAnsi"/>
        </w:rPr>
        <w:footnoteReference w:id="17"/>
      </w:r>
      <w:r w:rsidRPr="003A36F8">
        <w:rPr>
          <w:rFonts w:cstheme="minorHAnsi"/>
        </w:rPr>
        <w:t xml:space="preserve"> </w:t>
      </w:r>
    </w:p>
    <w:p w14:paraId="750C6FC4" w14:textId="77777777" w:rsidR="0000020F" w:rsidRPr="0044490B" w:rsidRDefault="0000020F" w:rsidP="0000020F">
      <w:pPr>
        <w:pStyle w:val="ListParagraph"/>
        <w:numPr>
          <w:ilvl w:val="0"/>
          <w:numId w:val="2"/>
        </w:numPr>
      </w:pPr>
      <w:r>
        <w:rPr>
          <w:rFonts w:cstheme="minorHAnsi"/>
        </w:rPr>
        <w:t xml:space="preserve">EU </w:t>
      </w:r>
      <w:r w:rsidRPr="003A36F8">
        <w:rPr>
          <w:rFonts w:cstheme="minorHAnsi"/>
        </w:rPr>
        <w:t>Gender Goods and Services Directive</w:t>
      </w:r>
      <w:r>
        <w:rPr>
          <w:rStyle w:val="FootnoteReference"/>
          <w:rFonts w:cstheme="minorHAnsi"/>
        </w:rPr>
        <w:footnoteReference w:id="18"/>
      </w:r>
      <w:r w:rsidRPr="003A36F8">
        <w:rPr>
          <w:rFonts w:cstheme="minorHAnsi"/>
        </w:rPr>
        <w:t xml:space="preserve"> </w:t>
      </w:r>
    </w:p>
    <w:p w14:paraId="792895DB" w14:textId="77777777" w:rsidR="0000020F" w:rsidRPr="0044490B" w:rsidRDefault="0000020F" w:rsidP="0000020F">
      <w:pPr>
        <w:pStyle w:val="ListParagraph"/>
        <w:numPr>
          <w:ilvl w:val="0"/>
          <w:numId w:val="2"/>
        </w:numPr>
      </w:pPr>
      <w:r>
        <w:rPr>
          <w:rFonts w:cstheme="minorHAnsi"/>
        </w:rPr>
        <w:t xml:space="preserve">EU </w:t>
      </w:r>
      <w:r w:rsidRPr="003A36F8">
        <w:rPr>
          <w:rFonts w:cstheme="minorHAnsi"/>
        </w:rPr>
        <w:t>Gender Equality (Employment) Directive</w:t>
      </w:r>
      <w:r>
        <w:rPr>
          <w:rStyle w:val="FootnoteReference"/>
          <w:rFonts w:cstheme="minorHAnsi"/>
        </w:rPr>
        <w:footnoteReference w:id="19"/>
      </w:r>
      <w:r w:rsidRPr="003A36F8">
        <w:rPr>
          <w:rFonts w:cstheme="minorHAnsi"/>
        </w:rPr>
        <w:t xml:space="preserve"> </w:t>
      </w:r>
    </w:p>
    <w:p w14:paraId="2509E2E1" w14:textId="77777777" w:rsidR="0000020F" w:rsidRPr="0048152E" w:rsidRDefault="0000020F" w:rsidP="0000020F">
      <w:pPr>
        <w:pStyle w:val="ListParagraph"/>
        <w:numPr>
          <w:ilvl w:val="0"/>
          <w:numId w:val="2"/>
        </w:numPr>
      </w:pPr>
      <w:r>
        <w:rPr>
          <w:rFonts w:cstheme="minorHAnsi"/>
        </w:rPr>
        <w:lastRenderedPageBreak/>
        <w:t>EU Gender Equality (</w:t>
      </w:r>
      <w:r w:rsidRPr="003A36F8">
        <w:rPr>
          <w:rFonts w:cstheme="minorHAnsi"/>
        </w:rPr>
        <w:t>Self-Employment</w:t>
      </w:r>
      <w:r>
        <w:rPr>
          <w:rFonts w:cstheme="minorHAnsi"/>
        </w:rPr>
        <w:t>)</w:t>
      </w:r>
      <w:r w:rsidRPr="003A36F8">
        <w:rPr>
          <w:rFonts w:cstheme="minorHAnsi"/>
        </w:rPr>
        <w:t xml:space="preserve"> Directive</w:t>
      </w:r>
      <w:r>
        <w:rPr>
          <w:rStyle w:val="FootnoteReference"/>
          <w:rFonts w:cstheme="minorHAnsi"/>
        </w:rPr>
        <w:footnoteReference w:id="20"/>
      </w:r>
    </w:p>
    <w:p w14:paraId="5C87C15D" w14:textId="13C2EAFD" w:rsidR="0000020F" w:rsidRDefault="0000020F" w:rsidP="0000020F">
      <w:pPr>
        <w:pStyle w:val="ListParagraph"/>
        <w:numPr>
          <w:ilvl w:val="0"/>
          <w:numId w:val="2"/>
        </w:numPr>
      </w:pPr>
      <w:r>
        <w:rPr>
          <w:rFonts w:cstheme="minorHAnsi"/>
        </w:rPr>
        <w:t xml:space="preserve">Gender </w:t>
      </w:r>
      <w:r w:rsidRPr="003A36F8">
        <w:rPr>
          <w:rFonts w:cstheme="minorHAnsi"/>
        </w:rPr>
        <w:t>Equality in Social Security Directive</w:t>
      </w:r>
      <w:r>
        <w:rPr>
          <w:rFonts w:cstheme="minorHAnsi"/>
        </w:rPr>
        <w:t>.</w:t>
      </w:r>
      <w:r>
        <w:rPr>
          <w:rStyle w:val="FootnoteReference"/>
          <w:rFonts w:cstheme="minorHAnsi"/>
        </w:rPr>
        <w:footnoteReference w:id="21"/>
      </w:r>
    </w:p>
    <w:p w14:paraId="20A1D124" w14:textId="77777777" w:rsidR="0000020F" w:rsidRDefault="0000020F" w:rsidP="0000020F">
      <w:pPr>
        <w:pStyle w:val="ListParagraph"/>
        <w:ind w:left="720"/>
      </w:pPr>
    </w:p>
    <w:p w14:paraId="0ABFB69B" w14:textId="4EA4C37A" w:rsidR="0000020F" w:rsidRDefault="0000020F" w:rsidP="0000020F">
      <w:pPr>
        <w:pStyle w:val="ListParagraph"/>
        <w:numPr>
          <w:ilvl w:val="1"/>
          <w:numId w:val="26"/>
        </w:numPr>
        <w:ind w:left="720" w:hanging="720"/>
      </w:pPr>
      <w:r w:rsidRPr="00727808">
        <w:t xml:space="preserve">The </w:t>
      </w:r>
      <w:r>
        <w:t xml:space="preserve">NI </w:t>
      </w:r>
      <w:r w:rsidRPr="00727808">
        <w:t xml:space="preserve">High Court </w:t>
      </w:r>
      <w:r>
        <w:t xml:space="preserve">has recently considered </w:t>
      </w:r>
      <w:r w:rsidRPr="00727808">
        <w:t xml:space="preserve">Windsor Framework Article 2 </w:t>
      </w:r>
      <w:r>
        <w:t xml:space="preserve">in </w:t>
      </w:r>
      <w:proofErr w:type="gramStart"/>
      <w:r>
        <w:t>a number of</w:t>
      </w:r>
      <w:proofErr w:type="gramEnd"/>
      <w:r>
        <w:t xml:space="preserve"> cases. The NI </w:t>
      </w:r>
      <w:r w:rsidRPr="00727808">
        <w:t xml:space="preserve">High </w:t>
      </w:r>
      <w:r>
        <w:t xml:space="preserve">court has </w:t>
      </w:r>
      <w:r w:rsidRPr="00727808">
        <w:t>adopted a purposive approach to interpretation of the relevant chapter of the Belfast (Good Friday) Agreement.</w:t>
      </w:r>
      <w:r w:rsidRPr="00727808">
        <w:rPr>
          <w:rStyle w:val="FootnoteReference"/>
        </w:rPr>
        <w:footnoteReference w:id="22"/>
      </w:r>
      <w:r w:rsidRPr="00727808">
        <w:t xml:space="preserve"> </w:t>
      </w:r>
      <w:r>
        <w:t>The NI High Court has also confirmed that “</w:t>
      </w:r>
      <w:r w:rsidRPr="009A66AF">
        <w:t xml:space="preserve">reading the BGFA as a whole, </w:t>
      </w:r>
      <w:r w:rsidRPr="003C175D">
        <w:t>it is apparent its provisions and protections were broad in scope.”</w:t>
      </w:r>
      <w:r w:rsidRPr="003C175D">
        <w:rPr>
          <w:rStyle w:val="FootnoteReference"/>
        </w:rPr>
        <w:footnoteReference w:id="23"/>
      </w:r>
      <w:r w:rsidRPr="009A66AF">
        <w:t xml:space="preserve"> </w:t>
      </w:r>
      <w:r w:rsidRPr="00727808">
        <w:t>The High Court held that, “a narrow interpretation of ‘civil rights’ undermines the forward-facing dimension of the non-diminution commitment in article 2(1)”.</w:t>
      </w:r>
      <w:r w:rsidRPr="00727808">
        <w:rPr>
          <w:rStyle w:val="FootnoteReference"/>
        </w:rPr>
        <w:footnoteReference w:id="24"/>
      </w:r>
      <w:r>
        <w:t xml:space="preserve"> </w:t>
      </w:r>
      <w:r w:rsidRPr="00727808">
        <w:t>The High Court also rejected the argument that the rights and safeguards in the relevant part of the Belfast (Good Friday) Agreement 1998 are frozen in time and limited to the political context of 1998.</w:t>
      </w:r>
      <w:r w:rsidRPr="00727808">
        <w:rPr>
          <w:rStyle w:val="FootnoteReference"/>
          <w:color w:val="000000"/>
        </w:rPr>
        <w:footnoteReference w:id="25"/>
      </w:r>
      <w:r w:rsidRPr="00727808">
        <w:t xml:space="preserve"> It is the </w:t>
      </w:r>
      <w:r>
        <w:t>NIHRC</w:t>
      </w:r>
      <w:r w:rsidRPr="00727808">
        <w:t>’s considered opinion that the chapter represents a wide-ranging commitment to civil, political, economic, social and cultural rights and equality of opportunity.</w:t>
      </w:r>
      <w:r w:rsidRPr="00727808">
        <w:rPr>
          <w:rStyle w:val="FootnoteReference"/>
        </w:rPr>
        <w:footnoteReference w:id="26"/>
      </w:r>
    </w:p>
    <w:p w14:paraId="2866D10A" w14:textId="77777777" w:rsidR="0000020F" w:rsidRDefault="0000020F" w:rsidP="0000020F">
      <w:pPr>
        <w:pStyle w:val="ListParagraph"/>
        <w:ind w:left="720"/>
      </w:pPr>
    </w:p>
    <w:p w14:paraId="4898508B" w14:textId="77777777" w:rsidR="0000020F" w:rsidRDefault="0052328E" w:rsidP="0000020F">
      <w:pPr>
        <w:pStyle w:val="ListParagraph"/>
        <w:numPr>
          <w:ilvl w:val="1"/>
          <w:numId w:val="26"/>
        </w:numPr>
        <w:ind w:left="720" w:hanging="720"/>
      </w:pPr>
      <w:r>
        <w:t>T</w:t>
      </w:r>
      <w:r w:rsidRPr="00727808">
        <w:t xml:space="preserve">he NI High Court </w:t>
      </w:r>
      <w:r>
        <w:t xml:space="preserve">has separately </w:t>
      </w:r>
      <w:r w:rsidRPr="00727808">
        <w:t>reiterated that Windsor Framework Article 2 has direct effect, which can be relied on in the domestic courts.</w:t>
      </w:r>
      <w:r w:rsidRPr="00727808">
        <w:rPr>
          <w:rStyle w:val="FootnoteReference"/>
          <w:color w:val="000000"/>
        </w:rPr>
        <w:footnoteReference w:id="27"/>
      </w:r>
      <w:r w:rsidRPr="00727808">
        <w:t xml:space="preserve"> The High Court further confirmed that the EU Charter on Fundamental Rights falls within the ambit of </w:t>
      </w:r>
      <w:r>
        <w:t xml:space="preserve">Windsor Framework </w:t>
      </w:r>
      <w:r w:rsidRPr="00727808">
        <w:t>Article 2</w:t>
      </w:r>
      <w:r>
        <w:t xml:space="preserve"> and that it “</w:t>
      </w:r>
      <w:r w:rsidRPr="00DD776C">
        <w:t>continues to have effect in UK law in circumstances where “Union law” continues to be implemented</w:t>
      </w:r>
      <w:r>
        <w:t>”.</w:t>
      </w:r>
      <w:r>
        <w:rPr>
          <w:rStyle w:val="FootnoteReference"/>
        </w:rPr>
        <w:footnoteReference w:id="28"/>
      </w:r>
      <w:r>
        <w:t xml:space="preserve"> </w:t>
      </w:r>
    </w:p>
    <w:p w14:paraId="1982F2E6" w14:textId="77777777" w:rsidR="0000020F" w:rsidRDefault="0000020F" w:rsidP="0000020F">
      <w:pPr>
        <w:pStyle w:val="ListParagraph"/>
        <w:ind w:left="720"/>
      </w:pPr>
    </w:p>
    <w:p w14:paraId="6B305198" w14:textId="6DF11F9A" w:rsidR="0000020F" w:rsidRDefault="0052328E" w:rsidP="0000020F">
      <w:pPr>
        <w:pStyle w:val="ListParagraph"/>
        <w:numPr>
          <w:ilvl w:val="1"/>
          <w:numId w:val="26"/>
        </w:numPr>
        <w:ind w:left="720" w:hanging="720"/>
      </w:pPr>
      <w:r>
        <w:t>The</w:t>
      </w:r>
      <w:r w:rsidR="0090739F">
        <w:t xml:space="preserve"> </w:t>
      </w:r>
      <w:r w:rsidR="00802D94">
        <w:t>dynamic alignment or ‘keep pace’</w:t>
      </w:r>
      <w:r w:rsidR="0090739F">
        <w:t xml:space="preserve"> obligation includes</w:t>
      </w:r>
      <w:r w:rsidR="0090739F" w:rsidRPr="00FF4DDD">
        <w:t xml:space="preserve"> </w:t>
      </w:r>
      <w:r w:rsidR="0090739F">
        <w:t>complying with</w:t>
      </w:r>
      <w:r w:rsidR="0090739F" w:rsidRPr="00FF4DDD">
        <w:t xml:space="preserve"> current and future CJEU case law</w:t>
      </w:r>
      <w:r w:rsidR="0090739F">
        <w:t xml:space="preserve"> </w:t>
      </w:r>
      <w:r w:rsidR="00802D94">
        <w:t>on</w:t>
      </w:r>
      <w:r w:rsidR="00D521E6">
        <w:t xml:space="preserve"> relevant</w:t>
      </w:r>
      <w:r w:rsidR="0090739F">
        <w:t xml:space="preserve"> employment rights</w:t>
      </w:r>
      <w:r w:rsidR="0090739F" w:rsidRPr="00FF4DDD">
        <w:t>.</w:t>
      </w:r>
      <w:r w:rsidR="0090739F" w:rsidRPr="00FF4DDD">
        <w:rPr>
          <w:rStyle w:val="FootnoteReference"/>
        </w:rPr>
        <w:footnoteReference w:id="29"/>
      </w:r>
      <w:r w:rsidR="0090739F">
        <w:t xml:space="preserve"> </w:t>
      </w:r>
      <w:r w:rsidR="00030F83">
        <w:t>In a joint report with the Equality Commission</w:t>
      </w:r>
      <w:r w:rsidR="00365311">
        <w:t xml:space="preserve"> for NI</w:t>
      </w:r>
      <w:r w:rsidR="00030F83">
        <w:t xml:space="preserve"> and the Irish Human Rights and Equality Commission, t</w:t>
      </w:r>
      <w:r w:rsidR="0090739F">
        <w:t xml:space="preserve">he Commission </w:t>
      </w:r>
      <w:r w:rsidR="00030F83">
        <w:t xml:space="preserve">has </w:t>
      </w:r>
      <w:r w:rsidR="0090739F" w:rsidRPr="003C7675">
        <w:t xml:space="preserve">also </w:t>
      </w:r>
      <w:r w:rsidR="0090739F" w:rsidRPr="003C7675">
        <w:lastRenderedPageBreak/>
        <w:t xml:space="preserve">highlighted a number of significant CJEU case law developments since 31 December 2020 relating to the interpretation of the Annex 1 </w:t>
      </w:r>
      <w:r w:rsidR="001A6ECF">
        <w:t>E</w:t>
      </w:r>
      <w:r w:rsidR="0090739F" w:rsidRPr="003C7675">
        <w:t xml:space="preserve">quality </w:t>
      </w:r>
      <w:r w:rsidR="001A6ECF">
        <w:t>D</w:t>
      </w:r>
      <w:r w:rsidR="0090739F" w:rsidRPr="003C7675">
        <w:t>irectives, which continue to have implications for how particular legal rules operate in NI.</w:t>
      </w:r>
      <w:r w:rsidR="0090739F" w:rsidRPr="003C7675">
        <w:rPr>
          <w:rStyle w:val="FootnoteReference"/>
        </w:rPr>
        <w:footnoteReference w:id="30"/>
      </w:r>
      <w:r w:rsidR="0090739F" w:rsidRPr="003C7675">
        <w:t xml:space="preserve">  </w:t>
      </w:r>
    </w:p>
    <w:p w14:paraId="7D1CB926" w14:textId="77777777" w:rsidR="00F73F51" w:rsidRDefault="00F73F51" w:rsidP="00F73F51">
      <w:pPr>
        <w:pStyle w:val="ListParagraph"/>
        <w:ind w:left="720"/>
      </w:pPr>
    </w:p>
    <w:p w14:paraId="1B87A65C" w14:textId="77777777" w:rsidR="0000020F" w:rsidRDefault="0090739F" w:rsidP="0000020F">
      <w:pPr>
        <w:pStyle w:val="ListParagraph"/>
        <w:numPr>
          <w:ilvl w:val="1"/>
          <w:numId w:val="26"/>
        </w:numPr>
        <w:ind w:left="720" w:hanging="720"/>
      </w:pPr>
      <w:r w:rsidRPr="005362DA">
        <w:t xml:space="preserve">The CJEU </w:t>
      </w:r>
      <w:r>
        <w:t>caselaw of relevance to the EU Employment Equality (Framework) Directive</w:t>
      </w:r>
      <w:r w:rsidRPr="005362DA">
        <w:t xml:space="preserve"> </w:t>
      </w:r>
      <w:r>
        <w:t xml:space="preserve">includes clarification of </w:t>
      </w:r>
      <w:r w:rsidRPr="00A82978">
        <w:t>the concept of disability</w:t>
      </w:r>
      <w:r w:rsidRPr="007B70A1">
        <w:rPr>
          <w:iCs/>
          <w:vertAlign w:val="superscript"/>
        </w:rPr>
        <w:footnoteReference w:id="31"/>
      </w:r>
      <w:r>
        <w:t xml:space="preserve"> and that there must be close scrutiny of </w:t>
      </w:r>
      <w:r w:rsidRPr="00A82978">
        <w:t>justifications for the exclusion of persons with a disability from certain professional roles</w:t>
      </w:r>
      <w:r>
        <w:t>.</w:t>
      </w:r>
      <w:r w:rsidRPr="007B70A1">
        <w:rPr>
          <w:iCs/>
          <w:vertAlign w:val="superscript"/>
        </w:rPr>
        <w:footnoteReference w:id="32"/>
      </w:r>
      <w:r>
        <w:t xml:space="preserve"> The Court has also </w:t>
      </w:r>
      <w:r w:rsidRPr="005362DA">
        <w:t>found that differentiating between religious symbols in some circumstances can amount to direct discrimination under Article 2(2) of the Directive, and cannot be justified, except by reference to a narrow list of occupational requirements, rather than by a commercial policy of neutrality.</w:t>
      </w:r>
      <w:r w:rsidRPr="005362DA">
        <w:rPr>
          <w:vertAlign w:val="superscript"/>
        </w:rPr>
        <w:footnoteReference w:id="33"/>
      </w:r>
    </w:p>
    <w:p w14:paraId="041F735D" w14:textId="77777777" w:rsidR="0000020F" w:rsidRDefault="0000020F" w:rsidP="0000020F">
      <w:pPr>
        <w:pStyle w:val="ListParagraph"/>
        <w:ind w:left="720"/>
      </w:pPr>
    </w:p>
    <w:p w14:paraId="70697BF9" w14:textId="79F2989E" w:rsidR="0000020F" w:rsidRDefault="0090739F" w:rsidP="0000020F">
      <w:pPr>
        <w:pStyle w:val="ListParagraph"/>
        <w:numPr>
          <w:ilvl w:val="1"/>
          <w:numId w:val="26"/>
        </w:numPr>
        <w:ind w:left="720" w:hanging="720"/>
      </w:pPr>
      <w:r>
        <w:t xml:space="preserve">The CJEU </w:t>
      </w:r>
      <w:r w:rsidR="00B747F5">
        <w:t>further ruled</w:t>
      </w:r>
      <w:r>
        <w:t xml:space="preserve"> that </w:t>
      </w:r>
      <w:r w:rsidRPr="005362DA">
        <w:t>the EU Directive must be interpreted as meaning that a rule prohibiting workers from wearing any visible sign of political, philosophical or religious beliefs in the workplace, does not constitute direct discrimination on the grounds of religion or belief, provided that this rule is applied in a general and undifferentiated way.</w:t>
      </w:r>
      <w:r w:rsidRPr="005362DA">
        <w:rPr>
          <w:vertAlign w:val="superscript"/>
        </w:rPr>
        <w:footnoteReference w:id="34"/>
      </w:r>
    </w:p>
    <w:p w14:paraId="5980E413" w14:textId="77777777" w:rsidR="0000020F" w:rsidRDefault="0000020F" w:rsidP="0000020F">
      <w:pPr>
        <w:pStyle w:val="ListParagraph"/>
        <w:ind w:left="720"/>
      </w:pPr>
    </w:p>
    <w:p w14:paraId="42C4EBE9" w14:textId="77777777" w:rsidR="0000020F" w:rsidRDefault="00C37CBB" w:rsidP="0000020F">
      <w:pPr>
        <w:pStyle w:val="ListParagraph"/>
        <w:numPr>
          <w:ilvl w:val="1"/>
          <w:numId w:val="26"/>
        </w:numPr>
        <w:ind w:left="720" w:hanging="720"/>
        <w:rPr>
          <w:b/>
          <w:bCs/>
        </w:rPr>
      </w:pPr>
      <w:r w:rsidRPr="0000020F">
        <w:rPr>
          <w:b/>
          <w:bCs/>
        </w:rPr>
        <w:t>The NIHRC recommends that</w:t>
      </w:r>
      <w:r w:rsidR="00441123" w:rsidRPr="0000020F">
        <w:rPr>
          <w:b/>
          <w:bCs/>
        </w:rPr>
        <w:t xml:space="preserve"> </w:t>
      </w:r>
      <w:r w:rsidRPr="0000020F">
        <w:rPr>
          <w:b/>
          <w:bCs/>
        </w:rPr>
        <w:t xml:space="preserve">the </w:t>
      </w:r>
      <w:r w:rsidR="002936AE" w:rsidRPr="0000020F">
        <w:rPr>
          <w:b/>
          <w:bCs/>
        </w:rPr>
        <w:t xml:space="preserve">Department </w:t>
      </w:r>
      <w:r w:rsidR="00754081" w:rsidRPr="0000020F">
        <w:rPr>
          <w:b/>
          <w:bCs/>
        </w:rPr>
        <w:t xml:space="preserve">for the Economy </w:t>
      </w:r>
      <w:r w:rsidR="002936AE" w:rsidRPr="0000020F">
        <w:rPr>
          <w:b/>
          <w:bCs/>
        </w:rPr>
        <w:t>ensures the Employment Rights Bill reflects CJEU caselaw relating to the Annex 1</w:t>
      </w:r>
      <w:r w:rsidR="00441123" w:rsidRPr="0000020F">
        <w:rPr>
          <w:b/>
          <w:bCs/>
        </w:rPr>
        <w:t xml:space="preserve"> </w:t>
      </w:r>
      <w:r w:rsidR="001A6ECF" w:rsidRPr="0000020F">
        <w:rPr>
          <w:b/>
          <w:bCs/>
        </w:rPr>
        <w:t>E</w:t>
      </w:r>
      <w:r w:rsidR="002936AE" w:rsidRPr="0000020F">
        <w:rPr>
          <w:b/>
          <w:bCs/>
        </w:rPr>
        <w:t xml:space="preserve">quality </w:t>
      </w:r>
      <w:r w:rsidR="001A6ECF" w:rsidRPr="0000020F">
        <w:rPr>
          <w:b/>
          <w:bCs/>
        </w:rPr>
        <w:t>D</w:t>
      </w:r>
      <w:r w:rsidR="002936AE" w:rsidRPr="0000020F">
        <w:rPr>
          <w:b/>
          <w:bCs/>
        </w:rPr>
        <w:t>irectives, in particular EU Employment Equality (Framework) Directive,</w:t>
      </w:r>
      <w:r w:rsidRPr="0000020F">
        <w:rPr>
          <w:b/>
          <w:bCs/>
        </w:rPr>
        <w:t xml:space="preserve"> in line with the decision of the CJEU in the cases of </w:t>
      </w:r>
      <w:r w:rsidRPr="0000020F">
        <w:rPr>
          <w:b/>
          <w:bCs/>
          <w:i/>
          <w:iCs/>
        </w:rPr>
        <w:t>WABE</w:t>
      </w:r>
      <w:r w:rsidRPr="0000020F">
        <w:rPr>
          <w:b/>
          <w:bCs/>
        </w:rPr>
        <w:t xml:space="preserve"> and </w:t>
      </w:r>
      <w:r w:rsidRPr="0000020F">
        <w:rPr>
          <w:b/>
          <w:bCs/>
          <w:i/>
          <w:iCs/>
        </w:rPr>
        <w:t>Müller</w:t>
      </w:r>
      <w:r w:rsidRPr="0000020F">
        <w:rPr>
          <w:b/>
          <w:bCs/>
        </w:rPr>
        <w:t>.</w:t>
      </w:r>
    </w:p>
    <w:p w14:paraId="34964A44" w14:textId="77777777" w:rsidR="0000020F" w:rsidRDefault="0000020F" w:rsidP="0000020F">
      <w:pPr>
        <w:pStyle w:val="ListParagraph"/>
        <w:ind w:left="720"/>
        <w:rPr>
          <w:b/>
          <w:bCs/>
        </w:rPr>
      </w:pPr>
    </w:p>
    <w:p w14:paraId="3162C0D0" w14:textId="77777777" w:rsidR="0000020F" w:rsidRDefault="00986743" w:rsidP="0000020F">
      <w:pPr>
        <w:pStyle w:val="ListParagraph"/>
        <w:numPr>
          <w:ilvl w:val="1"/>
          <w:numId w:val="26"/>
        </w:numPr>
        <w:ind w:left="720" w:hanging="720"/>
      </w:pPr>
      <w:r w:rsidRPr="0000020F">
        <w:t xml:space="preserve">The NIHRC, along with the Equality Commission for NI, has identified </w:t>
      </w:r>
      <w:proofErr w:type="gramStart"/>
      <w:r w:rsidRPr="0000020F">
        <w:t>a number of</w:t>
      </w:r>
      <w:proofErr w:type="gramEnd"/>
      <w:r w:rsidRPr="0000020F">
        <w:t xml:space="preserve"> measures which they consider amend and/or replace the EU Equality Directives in Annex 1. These include the EU Pay Transparency </w:t>
      </w:r>
      <w:r w:rsidRPr="0000020F">
        <w:lastRenderedPageBreak/>
        <w:t>Directive</w:t>
      </w:r>
      <w:r w:rsidRPr="0000020F">
        <w:rPr>
          <w:rStyle w:val="FootnoteReference"/>
        </w:rPr>
        <w:footnoteReference w:id="35"/>
      </w:r>
      <w:r w:rsidRPr="0000020F">
        <w:t xml:space="preserve"> and two EU directives on binding standards for equality bodies.</w:t>
      </w:r>
      <w:r w:rsidRPr="0000020F">
        <w:rPr>
          <w:rStyle w:val="FootnoteReference"/>
        </w:rPr>
        <w:footnoteReference w:id="36"/>
      </w:r>
      <w:r w:rsidRPr="0000020F">
        <w:t xml:space="preserve"> </w:t>
      </w:r>
      <w:r w:rsidR="006D5522" w:rsidRPr="0000020F">
        <w:t xml:space="preserve">These Directives will be explained further below. </w:t>
      </w:r>
      <w:r w:rsidRPr="0000020F">
        <w:t>The Commission is currently reviewing the</w:t>
      </w:r>
      <w:r w:rsidR="003B39DD" w:rsidRPr="0000020F">
        <w:t xml:space="preserve"> newly adopted</w:t>
      </w:r>
      <w:r w:rsidRPr="0000020F">
        <w:t xml:space="preserve"> EU Directive on Combating Violence against Women and Domestic Violence,</w:t>
      </w:r>
      <w:r w:rsidRPr="0000020F">
        <w:rPr>
          <w:rStyle w:val="FootnoteReference"/>
        </w:rPr>
        <w:footnoteReference w:id="37"/>
      </w:r>
      <w:r w:rsidRPr="0000020F">
        <w:t xml:space="preserve"> to understand if, or to what extent, it amends and/or replaces provisions of the EU Gender Equality (Employment) Directive.</w:t>
      </w:r>
      <w:r w:rsidRPr="0000020F">
        <w:rPr>
          <w:rStyle w:val="FootnoteReference"/>
        </w:rPr>
        <w:footnoteReference w:id="38"/>
      </w:r>
    </w:p>
    <w:p w14:paraId="7106FEC1" w14:textId="77777777" w:rsidR="0000020F" w:rsidRDefault="0000020F" w:rsidP="0000020F">
      <w:pPr>
        <w:pStyle w:val="ListParagraph"/>
        <w:ind w:left="720"/>
      </w:pPr>
    </w:p>
    <w:p w14:paraId="40CACF34" w14:textId="6B054FDF" w:rsidR="0000020F" w:rsidRDefault="003A7031" w:rsidP="0000020F">
      <w:pPr>
        <w:pStyle w:val="ListParagraph"/>
        <w:numPr>
          <w:ilvl w:val="1"/>
          <w:numId w:val="26"/>
        </w:numPr>
        <w:ind w:left="720" w:hanging="720"/>
      </w:pPr>
      <w:r w:rsidRPr="00727808">
        <w:t>For other EU obligations which underpin the rights, safeguards and equality of opportunity in Windsor Framework Article 2, the UK Government commitment to ensure ‘no diminution’ is measured by the relevant EU standards as they were on 31 December 2020.</w:t>
      </w:r>
      <w:r w:rsidRPr="00727808">
        <w:rPr>
          <w:rStyle w:val="FootnoteReference"/>
        </w:rPr>
        <w:footnoteReference w:id="39"/>
      </w:r>
      <w:bookmarkStart w:id="20" w:name="_Hlk165117730"/>
      <w:bookmarkStart w:id="21" w:name="_Toc170204680"/>
    </w:p>
    <w:p w14:paraId="0BCE0118" w14:textId="77777777" w:rsidR="0000020F" w:rsidRDefault="0000020F" w:rsidP="0000020F">
      <w:pPr>
        <w:pStyle w:val="ListParagraph"/>
        <w:ind w:left="720"/>
      </w:pPr>
    </w:p>
    <w:p w14:paraId="6C6B8302" w14:textId="68051671" w:rsidR="00BF0542" w:rsidRDefault="00E30692" w:rsidP="0000020F">
      <w:pPr>
        <w:pStyle w:val="ListParagraph"/>
        <w:numPr>
          <w:ilvl w:val="1"/>
          <w:numId w:val="26"/>
        </w:numPr>
        <w:ind w:left="720" w:hanging="720"/>
      </w:pPr>
      <w:r w:rsidRPr="00A82978">
        <w:t xml:space="preserve">In addition to the </w:t>
      </w:r>
      <w:r>
        <w:t xml:space="preserve">Annex 1 </w:t>
      </w:r>
      <w:r w:rsidR="001A6ECF">
        <w:t>E</w:t>
      </w:r>
      <w:r>
        <w:t xml:space="preserve">quality </w:t>
      </w:r>
      <w:r w:rsidR="001A6ECF">
        <w:t>D</w:t>
      </w:r>
      <w:r>
        <w:t>irectives</w:t>
      </w:r>
      <w:r w:rsidRPr="00A82978">
        <w:t xml:space="preserve">, there are </w:t>
      </w:r>
      <w:proofErr w:type="gramStart"/>
      <w:r w:rsidRPr="00A82978">
        <w:t>a number of</w:t>
      </w:r>
      <w:proofErr w:type="gramEnd"/>
      <w:r w:rsidRPr="00A82978">
        <w:t xml:space="preserve"> other EU obligations which impact employment and underpin the rights and safeguards in the relevant part of the Belfast (Good Friday) Agreement. For example, </w:t>
      </w:r>
      <w:r w:rsidR="005476A1">
        <w:t xml:space="preserve">key measures that the </w:t>
      </w:r>
      <w:r w:rsidRPr="00A82978">
        <w:t xml:space="preserve">Commissions </w:t>
      </w:r>
      <w:r w:rsidR="005476A1">
        <w:t xml:space="preserve">has identified so far as falling within scope of Windsor Framework Article 2 include </w:t>
      </w:r>
      <w:r w:rsidRPr="00A82978">
        <w:t xml:space="preserve">the </w:t>
      </w:r>
      <w:r>
        <w:t xml:space="preserve">EU </w:t>
      </w:r>
      <w:r w:rsidRPr="00A82978">
        <w:t>Parental Leave Directive</w:t>
      </w:r>
      <w:r>
        <w:t>,</w:t>
      </w:r>
      <w:r w:rsidRPr="00A82978">
        <w:rPr>
          <w:vertAlign w:val="superscript"/>
        </w:rPr>
        <w:footnoteReference w:id="40"/>
      </w:r>
      <w:r w:rsidRPr="00A82978">
        <w:t xml:space="preserve"> the </w:t>
      </w:r>
      <w:r>
        <w:t xml:space="preserve">EU </w:t>
      </w:r>
      <w:r w:rsidRPr="00A82978">
        <w:t>Pregnant Workers Directive</w:t>
      </w:r>
      <w:r w:rsidRPr="00A82978">
        <w:rPr>
          <w:vertAlign w:val="superscript"/>
        </w:rPr>
        <w:footnoteReference w:id="41"/>
      </w:r>
      <w:r w:rsidRPr="00A82978">
        <w:t xml:space="preserve"> and other safeguards for part-time</w:t>
      </w:r>
      <w:r w:rsidRPr="00A82978">
        <w:rPr>
          <w:vertAlign w:val="superscript"/>
        </w:rPr>
        <w:footnoteReference w:id="42"/>
      </w:r>
      <w:r w:rsidRPr="00A82978">
        <w:t xml:space="preserve"> and agency workers</w:t>
      </w:r>
      <w:r w:rsidR="005476A1">
        <w:t>.</w:t>
      </w:r>
      <w:r w:rsidRPr="00A82978">
        <w:rPr>
          <w:vertAlign w:val="superscript"/>
        </w:rPr>
        <w:footnoteReference w:id="43"/>
      </w:r>
      <w:r w:rsidRPr="00A82978">
        <w:t xml:space="preserve"> </w:t>
      </w:r>
    </w:p>
    <w:p w14:paraId="229D000A" w14:textId="77777777" w:rsidR="0062792C" w:rsidRDefault="0062792C" w:rsidP="00E2655A">
      <w:pPr>
        <w:pStyle w:val="ListParagraph"/>
        <w:ind w:left="720"/>
      </w:pPr>
    </w:p>
    <w:p w14:paraId="03E759BC" w14:textId="3A2B1F48" w:rsidR="00E80AC3" w:rsidRDefault="00AA61E4" w:rsidP="0013632D">
      <w:pPr>
        <w:pStyle w:val="ListParagraph"/>
        <w:numPr>
          <w:ilvl w:val="1"/>
          <w:numId w:val="26"/>
        </w:numPr>
        <w:ind w:left="720" w:hanging="720"/>
      </w:pPr>
      <w:r>
        <w:t>F</w:t>
      </w:r>
      <w:r w:rsidR="001B0F7B">
        <w:t>ur</w:t>
      </w:r>
      <w:r>
        <w:t xml:space="preserve">ther, </w:t>
      </w:r>
      <w:r w:rsidR="0062792C">
        <w:t>the</w:t>
      </w:r>
      <w:r w:rsidR="00741E60">
        <w:t xml:space="preserve">se </w:t>
      </w:r>
      <w:r w:rsidR="0011604B">
        <w:t xml:space="preserve">EU </w:t>
      </w:r>
      <w:r w:rsidR="0098395E">
        <w:t xml:space="preserve">standards </w:t>
      </w:r>
      <w:r w:rsidR="00A87E68">
        <w:t xml:space="preserve">must be interpreted </w:t>
      </w:r>
      <w:r w:rsidR="0098395E">
        <w:t xml:space="preserve">in line with the </w:t>
      </w:r>
      <w:r w:rsidR="000C794B">
        <w:t>provisions of</w:t>
      </w:r>
      <w:r w:rsidR="0062792C">
        <w:t xml:space="preserve"> </w:t>
      </w:r>
      <w:r w:rsidR="009960B9">
        <w:t xml:space="preserve">the </w:t>
      </w:r>
      <w:r w:rsidR="0011604B">
        <w:t>EU Cha</w:t>
      </w:r>
      <w:r w:rsidR="000C794B">
        <w:t>r</w:t>
      </w:r>
      <w:r w:rsidR="0011604B">
        <w:t>ter for Fundamental Rights</w:t>
      </w:r>
      <w:r w:rsidR="00B2692A">
        <w:t xml:space="preserve">. </w:t>
      </w:r>
      <w:r w:rsidR="00C46685">
        <w:t xml:space="preserve">The principles of non-discrimination </w:t>
      </w:r>
      <w:r w:rsidR="008E09D1">
        <w:t xml:space="preserve">and equality between men and women overarch all </w:t>
      </w:r>
      <w:r w:rsidR="008E2868">
        <w:lastRenderedPageBreak/>
        <w:t>aspects of employment rights and will be mentioned throughout this submissio</w:t>
      </w:r>
      <w:r w:rsidR="005A1325">
        <w:t>n</w:t>
      </w:r>
      <w:r w:rsidR="008E2868">
        <w:t>.</w:t>
      </w:r>
      <w:r w:rsidR="008E2868">
        <w:rPr>
          <w:rStyle w:val="FootnoteReference"/>
        </w:rPr>
        <w:footnoteReference w:id="44"/>
      </w:r>
      <w:r w:rsidR="00974FBB">
        <w:t xml:space="preserve"> </w:t>
      </w:r>
    </w:p>
    <w:p w14:paraId="7FB99C9E" w14:textId="77777777" w:rsidR="00E80AC3" w:rsidRDefault="00E80AC3" w:rsidP="00E2655A">
      <w:pPr>
        <w:pStyle w:val="ListParagraph"/>
        <w:ind w:left="720"/>
      </w:pPr>
    </w:p>
    <w:p w14:paraId="3AE9881A" w14:textId="714B4924" w:rsidR="0062792C" w:rsidRDefault="00B929F7" w:rsidP="00504A24">
      <w:pPr>
        <w:pStyle w:val="ListParagraph"/>
        <w:numPr>
          <w:ilvl w:val="1"/>
          <w:numId w:val="26"/>
        </w:numPr>
        <w:ind w:left="720" w:hanging="720"/>
      </w:pPr>
      <w:r>
        <w:t xml:space="preserve">Recent High Court cases have confirmed the </w:t>
      </w:r>
      <w:r w:rsidR="00943519">
        <w:t>enduring role of the EU Charter of Fundamental Rights in domestic law</w:t>
      </w:r>
      <w:r w:rsidR="001C6598">
        <w:t xml:space="preserve"> in interpreting the UK EU Withdrawal Agreement and relevant EU law</w:t>
      </w:r>
      <w:r w:rsidR="00345F2D">
        <w:t>.</w:t>
      </w:r>
      <w:r w:rsidR="00AA61E4">
        <w:rPr>
          <w:rStyle w:val="FootnoteReference"/>
        </w:rPr>
        <w:footnoteReference w:id="45"/>
      </w:r>
      <w:r w:rsidR="00504A24">
        <w:t xml:space="preserve"> </w:t>
      </w:r>
      <w:r w:rsidR="00E80AC3">
        <w:t>S</w:t>
      </w:r>
      <w:r w:rsidR="00930CD2">
        <w:t>everal articles of the</w:t>
      </w:r>
      <w:r w:rsidR="005A1325">
        <w:t xml:space="preserve"> EU</w:t>
      </w:r>
      <w:r w:rsidR="00930CD2">
        <w:t xml:space="preserve"> Charter</w:t>
      </w:r>
      <w:r w:rsidR="005A1325">
        <w:t xml:space="preserve"> of Fundamental Rights</w:t>
      </w:r>
      <w:r w:rsidR="00930CD2">
        <w:t xml:space="preserve"> </w:t>
      </w:r>
      <w:r w:rsidR="009B26D7">
        <w:t>protect</w:t>
      </w:r>
      <w:r w:rsidR="001F2833">
        <w:t xml:space="preserve"> employment rights. For instance, </w:t>
      </w:r>
      <w:r w:rsidR="00606500">
        <w:t xml:space="preserve">Article 15 provides for the right to work </w:t>
      </w:r>
      <w:r w:rsidR="003B58CA">
        <w:t xml:space="preserve">and the </w:t>
      </w:r>
      <w:r w:rsidR="003B58CA" w:rsidRPr="003B58CA">
        <w:t>freedom to seek employment</w:t>
      </w:r>
      <w:r w:rsidR="001F2833">
        <w:t xml:space="preserve"> while Article 16 </w:t>
      </w:r>
      <w:r w:rsidR="00DA5E6D">
        <w:t>establishes the right to establish a business.</w:t>
      </w:r>
      <w:r w:rsidR="00901F68">
        <w:t xml:space="preserve"> </w:t>
      </w:r>
      <w:r w:rsidR="00B2692A">
        <w:t>Article 27 specifically</w:t>
      </w:r>
      <w:r w:rsidR="0011604B">
        <w:t xml:space="preserve"> </w:t>
      </w:r>
      <w:r w:rsidR="00446811">
        <w:t>provides for the right of information for workers</w:t>
      </w:r>
      <w:r w:rsidR="004F155B">
        <w:t xml:space="preserve"> and Article 28 </w:t>
      </w:r>
      <w:r w:rsidR="003D354B">
        <w:t xml:space="preserve">provides for </w:t>
      </w:r>
      <w:r w:rsidR="00375ECB">
        <w:t>the r</w:t>
      </w:r>
      <w:r w:rsidR="003D354B" w:rsidRPr="003D354B">
        <w:t>ight of collective bargaining and action</w:t>
      </w:r>
      <w:r w:rsidR="00F149EE">
        <w:t>.</w:t>
      </w:r>
      <w:r w:rsidR="00F149EE">
        <w:rPr>
          <w:rStyle w:val="FootnoteReference"/>
        </w:rPr>
        <w:footnoteReference w:id="46"/>
      </w:r>
      <w:r w:rsidR="009B26D7">
        <w:t xml:space="preserve"> </w:t>
      </w:r>
      <w:r w:rsidR="005122D7">
        <w:t>Protection from un</w:t>
      </w:r>
      <w:r w:rsidR="00EB453D">
        <w:t>justified</w:t>
      </w:r>
      <w:r w:rsidR="005122D7">
        <w:t xml:space="preserve"> dismissal </w:t>
      </w:r>
      <w:r w:rsidR="00EB453D">
        <w:t xml:space="preserve">and the establishment </w:t>
      </w:r>
      <w:r w:rsidR="00C152F5">
        <w:t xml:space="preserve">of fair and just working conditions </w:t>
      </w:r>
      <w:r w:rsidR="00FC789F">
        <w:t xml:space="preserve">are also provided for in Articles </w:t>
      </w:r>
      <w:r w:rsidR="00CC6327">
        <w:t>30 and 31 respectively.</w:t>
      </w:r>
      <w:r w:rsidR="00C170E3">
        <w:rPr>
          <w:rStyle w:val="FootnoteReference"/>
        </w:rPr>
        <w:footnoteReference w:id="47"/>
      </w:r>
    </w:p>
    <w:p w14:paraId="0AB13A0C" w14:textId="77777777" w:rsidR="0000020F" w:rsidRDefault="0000020F" w:rsidP="0000020F">
      <w:pPr>
        <w:pStyle w:val="ListParagraph"/>
        <w:ind w:left="720"/>
      </w:pPr>
    </w:p>
    <w:p w14:paraId="006E4F8D" w14:textId="4577E39B" w:rsidR="0000020F" w:rsidRDefault="00357D21" w:rsidP="0000020F">
      <w:pPr>
        <w:pStyle w:val="ListParagraph"/>
        <w:numPr>
          <w:ilvl w:val="1"/>
          <w:numId w:val="26"/>
        </w:numPr>
        <w:ind w:left="720" w:hanging="720"/>
        <w:rPr>
          <w:b/>
          <w:bCs/>
        </w:rPr>
      </w:pPr>
      <w:r w:rsidRPr="0000020F">
        <w:rPr>
          <w:b/>
          <w:bCs/>
        </w:rPr>
        <w:t xml:space="preserve">The NIHRC recommends that the Department </w:t>
      </w:r>
      <w:r w:rsidR="00754081" w:rsidRPr="0000020F">
        <w:rPr>
          <w:b/>
          <w:bCs/>
        </w:rPr>
        <w:t xml:space="preserve">for the Economy </w:t>
      </w:r>
      <w:r w:rsidRPr="0000020F">
        <w:rPr>
          <w:b/>
          <w:bCs/>
        </w:rPr>
        <w:t xml:space="preserve">undertakes a </w:t>
      </w:r>
      <w:r w:rsidR="00B23D29">
        <w:rPr>
          <w:b/>
          <w:bCs/>
        </w:rPr>
        <w:t xml:space="preserve">human rights </w:t>
      </w:r>
      <w:r w:rsidRPr="0000020F">
        <w:rPr>
          <w:b/>
          <w:bCs/>
        </w:rPr>
        <w:t>impact assessment</w:t>
      </w:r>
      <w:r w:rsidR="00744A1A">
        <w:rPr>
          <w:b/>
          <w:bCs/>
        </w:rPr>
        <w:t xml:space="preserve"> </w:t>
      </w:r>
      <w:r w:rsidR="00B23D29">
        <w:rPr>
          <w:b/>
          <w:bCs/>
        </w:rPr>
        <w:t xml:space="preserve">of the draft Bill, including </w:t>
      </w:r>
      <w:proofErr w:type="gramStart"/>
      <w:r w:rsidR="00B23D29">
        <w:rPr>
          <w:b/>
          <w:bCs/>
        </w:rPr>
        <w:t>particular consideration</w:t>
      </w:r>
      <w:proofErr w:type="gramEnd"/>
      <w:r w:rsidR="00B23D29">
        <w:rPr>
          <w:b/>
          <w:bCs/>
        </w:rPr>
        <w:t xml:space="preserve"> of </w:t>
      </w:r>
      <w:r w:rsidR="00BA585A" w:rsidRPr="0000020F">
        <w:rPr>
          <w:b/>
          <w:bCs/>
        </w:rPr>
        <w:t xml:space="preserve">Windsor Framework </w:t>
      </w:r>
      <w:r w:rsidR="00E2655A">
        <w:rPr>
          <w:b/>
          <w:bCs/>
        </w:rPr>
        <w:br/>
      </w:r>
      <w:r w:rsidR="00BA585A" w:rsidRPr="0000020F">
        <w:rPr>
          <w:b/>
          <w:bCs/>
        </w:rPr>
        <w:t>Article 2</w:t>
      </w:r>
      <w:r w:rsidRPr="0000020F">
        <w:rPr>
          <w:b/>
          <w:bCs/>
        </w:rPr>
        <w:t xml:space="preserve">. </w:t>
      </w:r>
    </w:p>
    <w:p w14:paraId="34544A24" w14:textId="77777777" w:rsidR="0000020F" w:rsidRDefault="0000020F" w:rsidP="0000020F">
      <w:pPr>
        <w:pStyle w:val="ListParagraph"/>
        <w:ind w:left="720"/>
        <w:rPr>
          <w:b/>
          <w:bCs/>
        </w:rPr>
      </w:pPr>
    </w:p>
    <w:p w14:paraId="501496DD" w14:textId="6E1EEA6E" w:rsidR="0000020F" w:rsidRPr="0000020F" w:rsidRDefault="00C14E3B" w:rsidP="0000020F">
      <w:pPr>
        <w:pStyle w:val="ListParagraph"/>
        <w:numPr>
          <w:ilvl w:val="1"/>
          <w:numId w:val="26"/>
        </w:numPr>
        <w:ind w:left="720" w:hanging="720"/>
        <w:rPr>
          <w:b/>
          <w:bCs/>
        </w:rPr>
      </w:pPr>
      <w:r w:rsidRPr="0000020F">
        <w:rPr>
          <w:b/>
          <w:bCs/>
          <w:lang w:val="en"/>
        </w:rPr>
        <w:t xml:space="preserve">The NIHRC recommends that the </w:t>
      </w:r>
      <w:r w:rsidR="00B22B0B" w:rsidRPr="0000020F">
        <w:rPr>
          <w:b/>
          <w:bCs/>
          <w:lang w:val="en"/>
        </w:rPr>
        <w:t xml:space="preserve">Department </w:t>
      </w:r>
      <w:r w:rsidR="00754081" w:rsidRPr="0000020F">
        <w:rPr>
          <w:b/>
          <w:bCs/>
        </w:rPr>
        <w:t xml:space="preserve">for the Economy </w:t>
      </w:r>
      <w:r w:rsidRPr="0000020F">
        <w:rPr>
          <w:b/>
          <w:bCs/>
          <w:lang w:val="en"/>
        </w:rPr>
        <w:t>build</w:t>
      </w:r>
      <w:r w:rsidR="00B22B0B" w:rsidRPr="0000020F">
        <w:rPr>
          <w:b/>
          <w:bCs/>
          <w:lang w:val="en"/>
        </w:rPr>
        <w:t>s</w:t>
      </w:r>
      <w:r w:rsidRPr="0000020F">
        <w:rPr>
          <w:b/>
          <w:bCs/>
          <w:lang w:val="en"/>
        </w:rPr>
        <w:t xml:space="preserve"> consideration of Windsor Framework Article </w:t>
      </w:r>
      <w:proofErr w:type="gramStart"/>
      <w:r w:rsidRPr="0000020F">
        <w:rPr>
          <w:b/>
          <w:bCs/>
          <w:lang w:val="en"/>
        </w:rPr>
        <w:t>2</w:t>
      </w:r>
      <w:proofErr w:type="gramEnd"/>
      <w:r w:rsidR="002E4A9E">
        <w:rPr>
          <w:b/>
          <w:bCs/>
          <w:lang w:val="en"/>
        </w:rPr>
        <w:t xml:space="preserve"> and the principles enshrined in the EU Charter of Fundamental Rights</w:t>
      </w:r>
      <w:r w:rsidRPr="0000020F">
        <w:rPr>
          <w:b/>
          <w:bCs/>
          <w:lang w:val="en"/>
        </w:rPr>
        <w:t xml:space="preserve"> into the development and implementation of </w:t>
      </w:r>
      <w:r w:rsidR="00D73DA3" w:rsidRPr="0000020F">
        <w:rPr>
          <w:b/>
          <w:bCs/>
          <w:lang w:val="en"/>
        </w:rPr>
        <w:t xml:space="preserve">legislation and </w:t>
      </w:r>
      <w:r w:rsidRPr="0000020F">
        <w:rPr>
          <w:b/>
          <w:bCs/>
          <w:lang w:val="en"/>
        </w:rPr>
        <w:t xml:space="preserve">policy on </w:t>
      </w:r>
      <w:r w:rsidR="00651B6D" w:rsidRPr="0000020F">
        <w:rPr>
          <w:b/>
          <w:bCs/>
          <w:lang w:val="en"/>
        </w:rPr>
        <w:t>emplo</w:t>
      </w:r>
      <w:r w:rsidR="00D73DA3" w:rsidRPr="0000020F">
        <w:rPr>
          <w:b/>
          <w:bCs/>
          <w:lang w:val="en"/>
        </w:rPr>
        <w:t xml:space="preserve">yment rights. </w:t>
      </w:r>
    </w:p>
    <w:p w14:paraId="37FBCFAE" w14:textId="77777777" w:rsidR="0000020F" w:rsidRPr="0000020F" w:rsidRDefault="0000020F" w:rsidP="0000020F">
      <w:pPr>
        <w:pStyle w:val="ListParagraph"/>
        <w:ind w:left="720"/>
        <w:rPr>
          <w:b/>
          <w:bCs/>
        </w:rPr>
      </w:pPr>
    </w:p>
    <w:p w14:paraId="4AC17831" w14:textId="651B05D8" w:rsidR="0000020F" w:rsidRPr="0000020F" w:rsidRDefault="0000020F" w:rsidP="0000020F">
      <w:pPr>
        <w:pStyle w:val="Heading2"/>
        <w:rPr>
          <w:lang w:val="en"/>
        </w:rPr>
      </w:pPr>
      <w:bookmarkStart w:id="22" w:name="_Toc178599792"/>
      <w:r>
        <w:t xml:space="preserve">Divergence of Rights on the </w:t>
      </w:r>
      <w:r w:rsidR="00DB6ABE">
        <w:t>i</w:t>
      </w:r>
      <w:r>
        <w:t>sland of Ireland</w:t>
      </w:r>
      <w:bookmarkEnd w:id="22"/>
    </w:p>
    <w:p w14:paraId="3D3D7482" w14:textId="14478821" w:rsidR="004338B6" w:rsidRDefault="00694F9D" w:rsidP="008C3DC8">
      <w:pPr>
        <w:pStyle w:val="ListParagraph"/>
        <w:numPr>
          <w:ilvl w:val="1"/>
          <w:numId w:val="26"/>
        </w:numPr>
        <w:ind w:left="720" w:hanging="720"/>
      </w:pPr>
      <w:r w:rsidRPr="0000020F">
        <w:t xml:space="preserve"> </w:t>
      </w:r>
      <w:r w:rsidR="002E3397">
        <w:t xml:space="preserve">Given the limited </w:t>
      </w:r>
      <w:r w:rsidRPr="0000020F">
        <w:t>legal obligation</w:t>
      </w:r>
      <w:r w:rsidR="000F5F7B" w:rsidRPr="0000020F">
        <w:t xml:space="preserve"> for</w:t>
      </w:r>
      <w:r w:rsidR="00EC0DFB" w:rsidRPr="0000020F">
        <w:t xml:space="preserve"> NI equality law </w:t>
      </w:r>
      <w:r w:rsidR="000F5F7B" w:rsidRPr="0000020F">
        <w:t xml:space="preserve">to </w:t>
      </w:r>
      <w:r w:rsidR="00EC0DFB" w:rsidRPr="0000020F">
        <w:t xml:space="preserve">keep pace with any EU changes to </w:t>
      </w:r>
      <w:r w:rsidR="004534B1">
        <w:t>six</w:t>
      </w:r>
      <w:r w:rsidR="004534B1" w:rsidRPr="0000020F">
        <w:t xml:space="preserve"> </w:t>
      </w:r>
      <w:r w:rsidR="001A6ECF" w:rsidRPr="0000020F">
        <w:t>E</w:t>
      </w:r>
      <w:r w:rsidR="00EC0DFB" w:rsidRPr="0000020F">
        <w:t xml:space="preserve">quality </w:t>
      </w:r>
      <w:r w:rsidR="001A6ECF" w:rsidRPr="0000020F">
        <w:t>D</w:t>
      </w:r>
      <w:r w:rsidR="00EC0DFB" w:rsidRPr="0000020F">
        <w:t>irectives</w:t>
      </w:r>
      <w:r w:rsidR="000E0A4B">
        <w:t xml:space="preserve"> in Annex 1 to the Windsor Framework</w:t>
      </w:r>
      <w:r w:rsidR="00EC0DFB" w:rsidRPr="0000020F">
        <w:t>,</w:t>
      </w:r>
      <w:r w:rsidR="00EC0DFB" w:rsidRPr="0000020F">
        <w:rPr>
          <w:rStyle w:val="FootnoteReference"/>
        </w:rPr>
        <w:footnoteReference w:id="48"/>
      </w:r>
      <w:r w:rsidR="00EC0DFB" w:rsidRPr="0000020F">
        <w:t xml:space="preserve"> there is the potential for equality and human rights on the island of Ireland to diverge following UK withdrawal from the E</w:t>
      </w:r>
      <w:r w:rsidR="008A1BB4">
        <w:t>U</w:t>
      </w:r>
      <w:r w:rsidR="004338B6">
        <w:t xml:space="preserve">. </w:t>
      </w:r>
    </w:p>
    <w:p w14:paraId="6594ADB9" w14:textId="77777777" w:rsidR="004338B6" w:rsidRDefault="004338B6" w:rsidP="004338B6">
      <w:pPr>
        <w:pStyle w:val="ListParagraph"/>
        <w:ind w:left="720"/>
      </w:pPr>
    </w:p>
    <w:p w14:paraId="1B3CB53B" w14:textId="1AF53CC7" w:rsidR="00220CB1" w:rsidRDefault="008C3DC8" w:rsidP="00220CB1">
      <w:pPr>
        <w:pStyle w:val="ListParagraph"/>
        <w:numPr>
          <w:ilvl w:val="1"/>
          <w:numId w:val="26"/>
        </w:numPr>
        <w:ind w:left="720" w:hanging="720"/>
      </w:pPr>
      <w:r>
        <w:lastRenderedPageBreak/>
        <w:t xml:space="preserve">Under Article 2(2) of the Windsor Framework, the </w:t>
      </w:r>
      <w:r w:rsidR="004338B6">
        <w:t>NIHRC</w:t>
      </w:r>
      <w:r>
        <w:t xml:space="preserve">, the Irish Human Rights and Equality Commission and the Equality Commission for NI work together on rights falling within Article 2 that have an island of Ireland dimension. The </w:t>
      </w:r>
      <w:r w:rsidR="00F1318E">
        <w:t xml:space="preserve">NIHRC </w:t>
      </w:r>
      <w:r>
        <w:t>takes the view that long-term North-South equivalence of rights was envisaged by the Belfast (Good Friday) Agreement and is important for the enjoyment of enjoyment of rights on a cross-border basis and access to island of Ireland and cross-border services. It also underpins North-South co-operation, consistent with Windsor Framework Article 11.</w:t>
      </w:r>
    </w:p>
    <w:p w14:paraId="7CE39C54" w14:textId="77777777" w:rsidR="00220CB1" w:rsidRDefault="00220CB1" w:rsidP="00220CB1"/>
    <w:p w14:paraId="7ADAEDAB" w14:textId="77777777" w:rsidR="0000020F" w:rsidRDefault="000F4C7A" w:rsidP="0000020F">
      <w:pPr>
        <w:pStyle w:val="ListParagraph"/>
        <w:numPr>
          <w:ilvl w:val="1"/>
          <w:numId w:val="26"/>
        </w:numPr>
        <w:ind w:left="720" w:hanging="720"/>
      </w:pPr>
      <w:r>
        <w:t xml:space="preserve">The </w:t>
      </w:r>
      <w:r w:rsidRPr="003A0AFF">
        <w:t>NIHRC</w:t>
      </w:r>
      <w:r>
        <w:t xml:space="preserve">, together with the Equality Commission for NI and Irish Human Rights and Equality Commission, (the ‘three Commissions’), have identified a </w:t>
      </w:r>
      <w:r w:rsidRPr="003C7675">
        <w:t>number of developments in areas of EU law which have the potential to result in divergence of rights on the island of Ireland</w:t>
      </w:r>
      <w:r>
        <w:t>.</w:t>
      </w:r>
      <w:r>
        <w:rPr>
          <w:rStyle w:val="FootnoteReference"/>
        </w:rPr>
        <w:footnoteReference w:id="49"/>
      </w:r>
      <w:r>
        <w:t xml:space="preserve"> This i</w:t>
      </w:r>
      <w:r w:rsidRPr="003C7675">
        <w:t>nclude</w:t>
      </w:r>
      <w:r>
        <w:t>s</w:t>
      </w:r>
      <w:r w:rsidRPr="003C7675">
        <w:t>, for example, the EU Work-life Balance Directive,</w:t>
      </w:r>
      <w:r w:rsidRPr="003C7675">
        <w:rPr>
          <w:rStyle w:val="FootnoteReference"/>
        </w:rPr>
        <w:footnoteReference w:id="50"/>
      </w:r>
      <w:r w:rsidRPr="003C7675">
        <w:t xml:space="preserve"> and the E</w:t>
      </w:r>
      <w:r>
        <w:t>U</w:t>
      </w:r>
      <w:r w:rsidRPr="003C7675">
        <w:t xml:space="preserve"> Accessibility Act.</w:t>
      </w:r>
      <w:r w:rsidRPr="003C7675">
        <w:rPr>
          <w:rStyle w:val="FootnoteReference"/>
        </w:rPr>
        <w:footnoteReference w:id="51"/>
      </w:r>
      <w:r w:rsidRPr="003C7675" w:rsidDel="005813ED">
        <w:rPr>
          <w:rStyle w:val="FootnoteReference"/>
        </w:rPr>
        <w:t xml:space="preserve"> </w:t>
      </w:r>
      <w:r w:rsidR="00A41A55">
        <w:t>S</w:t>
      </w:r>
      <w:r w:rsidRPr="003C7675">
        <w:t>uch EU laws will need to be implemented in law in Ireland, but NI law will not be required to align with them pursuant to the Windsor Framework.</w:t>
      </w:r>
      <w:r w:rsidR="00A41A55">
        <w:t xml:space="preserve"> </w:t>
      </w:r>
    </w:p>
    <w:p w14:paraId="1B5A3286" w14:textId="77777777" w:rsidR="0000020F" w:rsidRDefault="0000020F" w:rsidP="0000020F">
      <w:pPr>
        <w:pStyle w:val="ListParagraph"/>
        <w:ind w:left="720"/>
      </w:pPr>
    </w:p>
    <w:p w14:paraId="4FD0D250" w14:textId="016A7496" w:rsidR="0000020F" w:rsidRDefault="00A41A55" w:rsidP="0000020F">
      <w:pPr>
        <w:pStyle w:val="ListParagraph"/>
        <w:numPr>
          <w:ilvl w:val="1"/>
          <w:numId w:val="26"/>
        </w:numPr>
        <w:ind w:left="720" w:hanging="720"/>
      </w:pPr>
      <w:r>
        <w:t xml:space="preserve">It is recommended that the Department for the Economy </w:t>
      </w:r>
      <w:r w:rsidR="00151C8D">
        <w:t xml:space="preserve">keeps track of </w:t>
      </w:r>
      <w:r>
        <w:t xml:space="preserve">new and forthcoming EU developments </w:t>
      </w:r>
      <w:proofErr w:type="gramStart"/>
      <w:r>
        <w:t>in the area of</w:t>
      </w:r>
      <w:proofErr w:type="gramEnd"/>
      <w:r>
        <w:t xml:space="preserve"> employment</w:t>
      </w:r>
      <w:r w:rsidR="00151C8D" w:rsidRPr="00151C8D">
        <w:t xml:space="preserve"> </w:t>
      </w:r>
      <w:r w:rsidR="00151C8D">
        <w:t xml:space="preserve">to ensure that NI law aligns with changes that enhance equality or human rights protections and reflect international human rights standards. </w:t>
      </w:r>
      <w:r w:rsidR="00EC6018">
        <w:t>These measures include the proposed EU Directive on P</w:t>
      </w:r>
      <w:r>
        <w:t>latform work</w:t>
      </w:r>
      <w:r w:rsidR="00C86E24">
        <w:t>,</w:t>
      </w:r>
      <w:r w:rsidR="00C86E24">
        <w:rPr>
          <w:rStyle w:val="FootnoteReference"/>
        </w:rPr>
        <w:footnoteReference w:id="52"/>
      </w:r>
      <w:r w:rsidR="00C86E24">
        <w:t xml:space="preserve"> </w:t>
      </w:r>
      <w:r w:rsidR="00EC6018">
        <w:t>the EU Directive</w:t>
      </w:r>
      <w:r w:rsidR="00C4304E">
        <w:t xml:space="preserve"> on</w:t>
      </w:r>
      <w:r w:rsidR="00EC6018">
        <w:t xml:space="preserve"> </w:t>
      </w:r>
      <w:r>
        <w:t>minimum wages</w:t>
      </w:r>
      <w:r w:rsidR="00C86E24">
        <w:t>,</w:t>
      </w:r>
      <w:r w:rsidR="00C86E24">
        <w:rPr>
          <w:rStyle w:val="FootnoteReference"/>
        </w:rPr>
        <w:footnoteReference w:id="53"/>
      </w:r>
      <w:r>
        <w:t xml:space="preserve"> and </w:t>
      </w:r>
      <w:r w:rsidR="000013CD">
        <w:t>the EU Whistleblowing Directive</w:t>
      </w:r>
      <w:r w:rsidR="000013CD">
        <w:rPr>
          <w:rStyle w:val="FootnoteReference"/>
        </w:rPr>
        <w:footnoteReference w:id="54"/>
      </w:r>
      <w:r w:rsidR="002F0667">
        <w:t xml:space="preserve"> discussed in this submission further below. </w:t>
      </w:r>
    </w:p>
    <w:p w14:paraId="261AB98D" w14:textId="77777777" w:rsidR="0000020F" w:rsidRDefault="0000020F" w:rsidP="0000020F">
      <w:pPr>
        <w:pStyle w:val="ListParagraph"/>
        <w:ind w:left="720"/>
      </w:pPr>
    </w:p>
    <w:p w14:paraId="0F875C92" w14:textId="77777777" w:rsidR="0000020F" w:rsidRDefault="000F4C7A" w:rsidP="0000020F">
      <w:pPr>
        <w:pStyle w:val="ListParagraph"/>
        <w:numPr>
          <w:ilvl w:val="1"/>
          <w:numId w:val="26"/>
        </w:numPr>
        <w:ind w:left="720" w:hanging="720"/>
      </w:pPr>
      <w:r w:rsidRPr="003C7675">
        <w:t xml:space="preserve">Prior to the withdrawal of the UK from the EU, in some areas that were not underpinned by EU law, there was already stronger protection </w:t>
      </w:r>
      <w:r w:rsidR="00E300B0">
        <w:t xml:space="preserve">and </w:t>
      </w:r>
      <w:r w:rsidR="00E300B0">
        <w:lastRenderedPageBreak/>
        <w:t>safeguards</w:t>
      </w:r>
      <w:r w:rsidRPr="003C7675">
        <w:t xml:space="preserve"> in both Ireland and Great Britain than in NI.</w:t>
      </w:r>
      <w:r w:rsidRPr="003C7675">
        <w:rPr>
          <w:rStyle w:val="FootnoteReference"/>
        </w:rPr>
        <w:footnoteReference w:id="55"/>
      </w:r>
      <w:r w:rsidRPr="003C7675">
        <w:t xml:space="preserve"> This includes in the areas of gender pay gap reporting</w:t>
      </w:r>
      <w:r>
        <w:t xml:space="preserve"> as it will </w:t>
      </w:r>
      <w:r w:rsidR="00A74F3B">
        <w:t>be explained further below</w:t>
      </w:r>
      <w:r w:rsidRPr="003C7675">
        <w:t>.</w:t>
      </w:r>
      <w:r w:rsidRPr="003C7675">
        <w:rPr>
          <w:rStyle w:val="FootnoteReference"/>
        </w:rPr>
        <w:footnoteReference w:id="56"/>
      </w:r>
    </w:p>
    <w:p w14:paraId="5DC46F26" w14:textId="77777777" w:rsidR="0000020F" w:rsidRDefault="0000020F" w:rsidP="0000020F">
      <w:pPr>
        <w:pStyle w:val="ListParagraph"/>
        <w:ind w:left="720"/>
      </w:pPr>
    </w:p>
    <w:p w14:paraId="3D5390C9" w14:textId="6C40A93D" w:rsidR="00EC0DFB" w:rsidRDefault="00BC6F83" w:rsidP="0000020F">
      <w:pPr>
        <w:pStyle w:val="ListParagraph"/>
        <w:numPr>
          <w:ilvl w:val="1"/>
          <w:numId w:val="26"/>
        </w:numPr>
        <w:ind w:left="720" w:hanging="720"/>
        <w:rPr>
          <w:b/>
          <w:bCs/>
        </w:rPr>
      </w:pPr>
      <w:r w:rsidRPr="0000020F">
        <w:rPr>
          <w:b/>
          <w:bCs/>
        </w:rPr>
        <w:t>The NIHRC recommends</w:t>
      </w:r>
      <w:r w:rsidR="00872179" w:rsidRPr="0000020F">
        <w:rPr>
          <w:b/>
          <w:bCs/>
        </w:rPr>
        <w:t xml:space="preserve"> that the Department</w:t>
      </w:r>
      <w:r w:rsidRPr="0000020F">
        <w:rPr>
          <w:b/>
          <w:bCs/>
        </w:rPr>
        <w:t xml:space="preserve"> </w:t>
      </w:r>
      <w:r w:rsidR="00754081" w:rsidRPr="0000020F">
        <w:rPr>
          <w:b/>
          <w:bCs/>
        </w:rPr>
        <w:t xml:space="preserve">for the Economy </w:t>
      </w:r>
      <w:r w:rsidR="00872179" w:rsidRPr="0000020F">
        <w:rPr>
          <w:b/>
          <w:bCs/>
        </w:rPr>
        <w:t xml:space="preserve">undertakes </w:t>
      </w:r>
      <w:r w:rsidRPr="0000020F">
        <w:rPr>
          <w:b/>
          <w:bCs/>
        </w:rPr>
        <w:t xml:space="preserve">regular reviews of new EU laws relating to </w:t>
      </w:r>
      <w:r w:rsidR="00EB727A" w:rsidRPr="0000020F">
        <w:rPr>
          <w:b/>
          <w:bCs/>
        </w:rPr>
        <w:t>employment rights</w:t>
      </w:r>
      <w:r w:rsidR="005A03CC">
        <w:rPr>
          <w:b/>
          <w:bCs/>
        </w:rPr>
        <w:t>,</w:t>
      </w:r>
      <w:r w:rsidR="00EB727A" w:rsidRPr="0000020F">
        <w:rPr>
          <w:b/>
          <w:bCs/>
        </w:rPr>
        <w:t xml:space="preserve"> </w:t>
      </w:r>
      <w:r w:rsidR="003A42AC">
        <w:rPr>
          <w:b/>
          <w:bCs/>
        </w:rPr>
        <w:t xml:space="preserve">with a view to </w:t>
      </w:r>
      <w:r w:rsidR="009A7488">
        <w:rPr>
          <w:b/>
          <w:bCs/>
        </w:rPr>
        <w:t>ensur</w:t>
      </w:r>
      <w:r w:rsidR="009F01AC">
        <w:rPr>
          <w:b/>
          <w:bCs/>
        </w:rPr>
        <w:t>ing</w:t>
      </w:r>
      <w:r w:rsidR="009A7488">
        <w:rPr>
          <w:b/>
          <w:bCs/>
        </w:rPr>
        <w:t xml:space="preserve"> employment law in NI reflects </w:t>
      </w:r>
      <w:r w:rsidR="005A03CC">
        <w:rPr>
          <w:b/>
          <w:bCs/>
        </w:rPr>
        <w:t xml:space="preserve">at least </w:t>
      </w:r>
      <w:r w:rsidR="009A7488">
        <w:rPr>
          <w:b/>
          <w:bCs/>
        </w:rPr>
        <w:t xml:space="preserve">EU </w:t>
      </w:r>
      <w:r w:rsidR="00B25956">
        <w:rPr>
          <w:b/>
          <w:bCs/>
        </w:rPr>
        <w:t>minimum standards</w:t>
      </w:r>
      <w:r w:rsidR="00CE250A">
        <w:rPr>
          <w:b/>
          <w:bCs/>
        </w:rPr>
        <w:t>, even where not required to do so under the Windsor Framework</w:t>
      </w:r>
      <w:r w:rsidRPr="0000020F">
        <w:rPr>
          <w:b/>
          <w:bCs/>
        </w:rPr>
        <w:t xml:space="preserve">. </w:t>
      </w:r>
    </w:p>
    <w:p w14:paraId="47F5363D" w14:textId="77777777" w:rsidR="00253759" w:rsidRPr="00F84DD6" w:rsidRDefault="00253759" w:rsidP="00F84DD6">
      <w:pPr>
        <w:rPr>
          <w:b/>
          <w:bCs/>
        </w:rPr>
      </w:pPr>
    </w:p>
    <w:p w14:paraId="78D87CB5" w14:textId="43C2FFD3" w:rsidR="00253759" w:rsidRPr="00F84DD6" w:rsidRDefault="00253759" w:rsidP="00253759">
      <w:pPr>
        <w:pStyle w:val="ListParagraph"/>
        <w:numPr>
          <w:ilvl w:val="1"/>
          <w:numId w:val="26"/>
        </w:numPr>
        <w:ind w:left="720" w:hanging="720"/>
        <w:rPr>
          <w:b/>
          <w:bCs/>
        </w:rPr>
      </w:pPr>
      <w:r w:rsidRPr="00F84DD6">
        <w:rPr>
          <w:b/>
          <w:bCs/>
        </w:rPr>
        <w:t>The</w:t>
      </w:r>
      <w:r w:rsidR="00F84DD6" w:rsidRPr="00F84DD6">
        <w:rPr>
          <w:b/>
          <w:bCs/>
        </w:rPr>
        <w:t xml:space="preserve"> N</w:t>
      </w:r>
      <w:r w:rsidRPr="00F84DD6">
        <w:rPr>
          <w:b/>
          <w:bCs/>
        </w:rPr>
        <w:t>IHRC recommends that the Department for the Economy considers the enhancement and harmonisation of employment law on the island of Ireland and work</w:t>
      </w:r>
      <w:r w:rsidR="00444384" w:rsidRPr="00F84DD6">
        <w:rPr>
          <w:b/>
          <w:bCs/>
        </w:rPr>
        <w:t>s</w:t>
      </w:r>
      <w:r w:rsidRPr="00F84DD6">
        <w:rPr>
          <w:b/>
          <w:bCs/>
        </w:rPr>
        <w:t xml:space="preserve"> towards ensuring North-South equivalence of rights on the island of Ireland. </w:t>
      </w:r>
    </w:p>
    <w:p w14:paraId="4F4AA9FB" w14:textId="77777777" w:rsidR="005A0440" w:rsidRPr="001271B1" w:rsidRDefault="005A0440" w:rsidP="005A0440">
      <w:pPr>
        <w:pStyle w:val="ListParagraph"/>
        <w:rPr>
          <w:lang w:val="en"/>
        </w:rPr>
      </w:pPr>
    </w:p>
    <w:p w14:paraId="52A209B3" w14:textId="18CF42A2" w:rsidR="005407ED" w:rsidRDefault="00506AB1" w:rsidP="005A0440">
      <w:pPr>
        <w:pStyle w:val="Heading1"/>
        <w:spacing w:before="0" w:line="288" w:lineRule="auto"/>
      </w:pPr>
      <w:bookmarkStart w:id="23" w:name="_Toc178599793"/>
      <w:r>
        <w:t>3</w:t>
      </w:r>
      <w:r w:rsidR="005407ED">
        <w:t xml:space="preserve">.0 </w:t>
      </w:r>
      <w:r w:rsidR="00D066B2">
        <w:t xml:space="preserve">EU Developments </w:t>
      </w:r>
      <w:r w:rsidR="00465AD9">
        <w:t>in Employment</w:t>
      </w:r>
      <w:r w:rsidR="006C781D">
        <w:t xml:space="preserve"> Rights</w:t>
      </w:r>
      <w:bookmarkEnd w:id="23"/>
      <w:r w:rsidR="006C781D">
        <w:t xml:space="preserve"> </w:t>
      </w:r>
    </w:p>
    <w:p w14:paraId="2DF9299B" w14:textId="77777777" w:rsidR="00AF5FDF" w:rsidRPr="00AF5FDF" w:rsidRDefault="00AF5FDF" w:rsidP="00AF5FDF"/>
    <w:p w14:paraId="2DBE60B6" w14:textId="299185FE" w:rsidR="00330C22" w:rsidRDefault="008A3748" w:rsidP="00710B9C">
      <w:pPr>
        <w:pStyle w:val="ListParagraph"/>
        <w:numPr>
          <w:ilvl w:val="1"/>
          <w:numId w:val="15"/>
        </w:numPr>
      </w:pPr>
      <w:r>
        <w:t>I</w:t>
      </w:r>
      <w:r w:rsidR="004058E3">
        <w:t xml:space="preserve">n the area of employment, EU </w:t>
      </w:r>
      <w:r w:rsidR="00624E91">
        <w:t>treaties</w:t>
      </w:r>
      <w:r w:rsidR="004058E3">
        <w:t xml:space="preserve"> set some overarching principles </w:t>
      </w:r>
      <w:r w:rsidR="005F0AC9">
        <w:t>of</w:t>
      </w:r>
      <w:r w:rsidR="00F0386B">
        <w:t xml:space="preserve"> equality and non-discrimination</w:t>
      </w:r>
      <w:r w:rsidR="007C20ED">
        <w:t xml:space="preserve"> reflected in many of the measure</w:t>
      </w:r>
      <w:r w:rsidR="00E10AB8">
        <w:t>s</w:t>
      </w:r>
      <w:r w:rsidR="007C20ED">
        <w:t xml:space="preserve"> referenced above</w:t>
      </w:r>
      <w:r w:rsidR="00E10AB8">
        <w:t>, including the equality directives in Annex 1</w:t>
      </w:r>
      <w:r w:rsidR="00F0386B">
        <w:t xml:space="preserve">. The current section </w:t>
      </w:r>
      <w:r w:rsidR="007B7AB7">
        <w:t xml:space="preserve">gives </w:t>
      </w:r>
      <w:r w:rsidR="00F0386B">
        <w:t xml:space="preserve">an overview of </w:t>
      </w:r>
      <w:r w:rsidR="002C2A93">
        <w:t xml:space="preserve">recent </w:t>
      </w:r>
      <w:r w:rsidR="00321604">
        <w:t xml:space="preserve">EU </w:t>
      </w:r>
      <w:r w:rsidR="002C2A93">
        <w:t xml:space="preserve">measures </w:t>
      </w:r>
      <w:r w:rsidR="001857DB">
        <w:t>that develop these principles</w:t>
      </w:r>
      <w:r w:rsidR="002C2A93">
        <w:t xml:space="preserve"> further</w:t>
      </w:r>
      <w:r w:rsidR="00321604">
        <w:t xml:space="preserve">. </w:t>
      </w:r>
    </w:p>
    <w:p w14:paraId="40D0AA67" w14:textId="77777777" w:rsidR="00330C22" w:rsidRDefault="00330C22" w:rsidP="00330C22">
      <w:pPr>
        <w:pStyle w:val="ListParagraph"/>
      </w:pPr>
    </w:p>
    <w:p w14:paraId="36692E72" w14:textId="4D8C4506" w:rsidR="00A10911" w:rsidRDefault="00A10911" w:rsidP="00A10911">
      <w:pPr>
        <w:pStyle w:val="Heading2"/>
      </w:pPr>
      <w:bookmarkStart w:id="24" w:name="_Toc178599794"/>
      <w:r>
        <w:t xml:space="preserve">EU </w:t>
      </w:r>
      <w:r w:rsidR="00EC17DC">
        <w:t>Pay</w:t>
      </w:r>
      <w:r>
        <w:t xml:space="preserve"> Transparency Directive</w:t>
      </w:r>
      <w:bookmarkEnd w:id="24"/>
      <w:r>
        <w:t xml:space="preserve"> </w:t>
      </w:r>
    </w:p>
    <w:p w14:paraId="7C27893A" w14:textId="29324219" w:rsidR="00A10911" w:rsidRDefault="00A10911" w:rsidP="00A10911">
      <w:pPr>
        <w:pStyle w:val="ListParagraph"/>
        <w:numPr>
          <w:ilvl w:val="1"/>
          <w:numId w:val="15"/>
        </w:numPr>
      </w:pPr>
      <w:r>
        <w:t>The EU Pay Transparency Directive came into force on 6 June 2023 and must be transposed by Member States by 7 June 2026.</w:t>
      </w:r>
      <w:r>
        <w:rPr>
          <w:rStyle w:val="FootnoteReference"/>
        </w:rPr>
        <w:footnoteReference w:id="57"/>
      </w:r>
      <w:r>
        <w:t xml:space="preserve"> The Directive aims to strengthen the existing enforcement tools and procedures regarding the rights and obligations and equal pay provisions set out in the EU </w:t>
      </w:r>
      <w:r w:rsidRPr="00A82978">
        <w:t>Gender Equality (Employment) Directive</w:t>
      </w:r>
      <w:r>
        <w:t xml:space="preserve"> </w:t>
      </w:r>
      <w:r w:rsidRPr="00026786">
        <w:t xml:space="preserve">which protects against </w:t>
      </w:r>
      <w:r w:rsidRPr="00026786">
        <w:lastRenderedPageBreak/>
        <w:t>discrimination in employment on the grounds of gender</w:t>
      </w:r>
      <w:r>
        <w:t xml:space="preserve"> and is listed in Annex 1</w:t>
      </w:r>
      <w:r w:rsidR="00F77C11">
        <w:t xml:space="preserve"> to the Windsor Framework</w:t>
      </w:r>
      <w:r>
        <w:t>.</w:t>
      </w:r>
      <w:r w:rsidRPr="1AFD9E60">
        <w:rPr>
          <w:rStyle w:val="FootnoteReference"/>
        </w:rPr>
        <w:footnoteReference w:id="58"/>
      </w:r>
      <w:r>
        <w:t xml:space="preserve"> </w:t>
      </w:r>
    </w:p>
    <w:p w14:paraId="13C870A8" w14:textId="77777777" w:rsidR="00A10911" w:rsidRDefault="00A10911" w:rsidP="00A10911">
      <w:pPr>
        <w:pStyle w:val="ListParagraph"/>
      </w:pPr>
    </w:p>
    <w:p w14:paraId="5ACC988F" w14:textId="4D295AD6" w:rsidR="00DF15EC" w:rsidRDefault="00E2037D" w:rsidP="00616D2C">
      <w:pPr>
        <w:pStyle w:val="ListParagraph"/>
        <w:numPr>
          <w:ilvl w:val="1"/>
          <w:numId w:val="15"/>
        </w:numPr>
      </w:pPr>
      <w:r w:rsidRPr="00CC1F49">
        <w:rPr>
          <w:rFonts w:eastAsia="Times New Roman"/>
        </w:rPr>
        <w:t>The NIHRC and the Equality Commission for NI published a joint briefing paper</w:t>
      </w:r>
      <w:r w:rsidR="00AC6C61" w:rsidRPr="00616C66">
        <w:rPr>
          <w:vertAlign w:val="superscript"/>
        </w:rPr>
        <w:footnoteReference w:id="59"/>
      </w:r>
      <w:r w:rsidRPr="00CC1F49">
        <w:rPr>
          <w:rFonts w:eastAsia="Times New Roman"/>
        </w:rPr>
        <w:t xml:space="preserve"> providing detailed analysis of the EU Pay Transparency Directive, concluding that the provisions of the Directive</w:t>
      </w:r>
      <w:r w:rsidRPr="00616C66">
        <w:rPr>
          <w:vertAlign w:val="superscript"/>
        </w:rPr>
        <w:footnoteReference w:id="60"/>
      </w:r>
      <w:r w:rsidRPr="00CC1F49">
        <w:rPr>
          <w:rFonts w:eastAsia="Times New Roman"/>
        </w:rPr>
        <w:t xml:space="preserve"> amend and/or replace provisions in the EU Gender Equality (Employment) Directive</w:t>
      </w:r>
      <w:r w:rsidR="00422719">
        <w:rPr>
          <w:rFonts w:eastAsia="Times New Roman"/>
        </w:rPr>
        <w:t>.</w:t>
      </w:r>
      <w:r w:rsidRPr="00616C66">
        <w:rPr>
          <w:vertAlign w:val="superscript"/>
        </w:rPr>
        <w:footnoteReference w:id="61"/>
      </w:r>
      <w:r w:rsidRPr="00CC1F49">
        <w:rPr>
          <w:rFonts w:eastAsia="Times New Roman"/>
        </w:rPr>
        <w:t xml:space="preserve"> Therefore, NI equality law must keep pace with these changes, further to the UK Government’s dynamic alignment obligation </w:t>
      </w:r>
      <w:r w:rsidR="00707F76">
        <w:rPr>
          <w:rFonts w:eastAsia="Times New Roman"/>
        </w:rPr>
        <w:t>pursuant to Articles 2 and 13(2) of</w:t>
      </w:r>
      <w:r w:rsidR="00707F76" w:rsidRPr="00CC1F49">
        <w:rPr>
          <w:rFonts w:eastAsia="Times New Roman"/>
        </w:rPr>
        <w:t xml:space="preserve"> </w:t>
      </w:r>
      <w:r w:rsidRPr="00CC1F49">
        <w:rPr>
          <w:rFonts w:eastAsia="Times New Roman"/>
        </w:rPr>
        <w:t>the Windsor Framework.</w:t>
      </w:r>
      <w:r w:rsidRPr="00616C66">
        <w:rPr>
          <w:vertAlign w:val="superscript"/>
        </w:rPr>
        <w:footnoteReference w:id="62"/>
      </w:r>
      <w:r w:rsidR="00FE0780" w:rsidRPr="00FE0780">
        <w:t xml:space="preserve"> </w:t>
      </w:r>
      <w:r w:rsidR="00FE0780" w:rsidRPr="00052D1F">
        <w:t>To date, the UK Government has not expressed a view on the extent to which the EU Pay Transparency Directive impacts dynamic obligations under Windsor Framework Article 2</w:t>
      </w:r>
      <w:r w:rsidR="00FE0780">
        <w:t>.</w:t>
      </w:r>
    </w:p>
    <w:p w14:paraId="6D0749D4" w14:textId="77777777" w:rsidR="00616D2C" w:rsidRPr="006C781D" w:rsidRDefault="00616D2C" w:rsidP="00616D2C">
      <w:pPr>
        <w:pStyle w:val="ListParagraph"/>
        <w:ind w:left="720"/>
      </w:pPr>
    </w:p>
    <w:p w14:paraId="6A19E37A" w14:textId="1F8A6FCC" w:rsidR="00DF15EC" w:rsidRDefault="00DF15EC" w:rsidP="00DF15EC">
      <w:pPr>
        <w:pStyle w:val="BodyText"/>
        <w:numPr>
          <w:ilvl w:val="1"/>
          <w:numId w:val="15"/>
        </w:numPr>
        <w:spacing w:before="0" w:after="0" w:line="288" w:lineRule="auto"/>
        <w:rPr>
          <w:rFonts w:ascii="Verdana" w:hAnsi="Verdana"/>
        </w:rPr>
      </w:pPr>
      <w:r w:rsidRPr="001271B1">
        <w:rPr>
          <w:rFonts w:ascii="Verdana" w:hAnsi="Verdana"/>
        </w:rPr>
        <w:t>Figures from the Annual Survey of Hours and Earnings show that median hourly earnings (excluding overtime) in NI have been consistently lower for women compared to men.</w:t>
      </w:r>
      <w:r w:rsidRPr="001271B1">
        <w:rPr>
          <w:rStyle w:val="FootnoteReference"/>
          <w:rFonts w:ascii="Verdana" w:hAnsi="Verdana"/>
        </w:rPr>
        <w:footnoteReference w:id="63"/>
      </w:r>
      <w:r w:rsidRPr="001271B1">
        <w:rPr>
          <w:rFonts w:ascii="Verdana" w:hAnsi="Verdana"/>
        </w:rPr>
        <w:t xml:space="preserve"> Even though the earning gap between men and women in NI has reduced over the past 20 years, in 2023 women in NI earned 7.8% less in comparison with men.</w:t>
      </w:r>
      <w:r w:rsidRPr="001271B1">
        <w:rPr>
          <w:rStyle w:val="FootnoteReference"/>
          <w:rFonts w:ascii="Verdana" w:hAnsi="Verdana"/>
        </w:rPr>
        <w:footnoteReference w:id="64"/>
      </w:r>
      <w:r w:rsidRPr="001271B1">
        <w:rPr>
          <w:rFonts w:ascii="Verdana" w:hAnsi="Verdana"/>
        </w:rPr>
        <w:t xml:space="preserve"> Moreover, the gender pay gap in NI is affected by the ‘part-time effect’, as part-time employees earn less on average than full-time employees and a higher proportion of part-time employees are women.</w:t>
      </w:r>
      <w:r w:rsidRPr="001271B1">
        <w:rPr>
          <w:rStyle w:val="FootnoteReference"/>
          <w:rFonts w:ascii="Verdana" w:hAnsi="Verdana"/>
        </w:rPr>
        <w:footnoteReference w:id="65"/>
      </w:r>
    </w:p>
    <w:p w14:paraId="2C42A899" w14:textId="77777777" w:rsidR="00600020" w:rsidRDefault="00600020" w:rsidP="006C781D">
      <w:pPr>
        <w:pStyle w:val="BodyText"/>
        <w:spacing w:before="0" w:after="0" w:line="288" w:lineRule="auto"/>
        <w:ind w:left="720"/>
        <w:rPr>
          <w:rFonts w:ascii="Verdana" w:hAnsi="Verdana"/>
        </w:rPr>
      </w:pPr>
    </w:p>
    <w:p w14:paraId="1C282892" w14:textId="3FA9F30D" w:rsidR="00600020" w:rsidRDefault="00600020" w:rsidP="00600020">
      <w:pPr>
        <w:pStyle w:val="BodyText"/>
        <w:numPr>
          <w:ilvl w:val="1"/>
          <w:numId w:val="15"/>
        </w:numPr>
        <w:spacing w:before="0" w:after="0" w:line="288" w:lineRule="auto"/>
        <w:rPr>
          <w:rFonts w:ascii="Verdana" w:hAnsi="Verdana"/>
        </w:rPr>
      </w:pPr>
      <w:r w:rsidRPr="001271B1">
        <w:rPr>
          <w:rFonts w:ascii="Verdana" w:hAnsi="Verdana"/>
        </w:rPr>
        <w:t>As highlighted by the Department for the Economy in the consultation document</w:t>
      </w:r>
      <w:r>
        <w:rPr>
          <w:rFonts w:ascii="Verdana" w:hAnsi="Verdana"/>
        </w:rPr>
        <w:t>,</w:t>
      </w:r>
      <w:r w:rsidRPr="001271B1">
        <w:rPr>
          <w:rFonts w:ascii="Verdana" w:hAnsi="Verdana"/>
        </w:rPr>
        <w:t xml:space="preserve"> there have been requirements on gender pay gap reporting in Great Britain since 2017</w:t>
      </w:r>
      <w:r w:rsidRPr="001271B1">
        <w:rPr>
          <w:rFonts w:ascii="Verdana" w:hAnsi="Verdana"/>
          <w:vertAlign w:val="superscript"/>
        </w:rPr>
        <w:footnoteReference w:id="66"/>
      </w:r>
      <w:r w:rsidRPr="001271B1">
        <w:rPr>
          <w:rFonts w:ascii="Verdana" w:hAnsi="Verdana"/>
        </w:rPr>
        <w:t xml:space="preserve"> and Ireland has enacted the Gender Pay </w:t>
      </w:r>
      <w:r w:rsidRPr="001271B1">
        <w:rPr>
          <w:rFonts w:ascii="Verdana" w:hAnsi="Verdana"/>
        </w:rPr>
        <w:lastRenderedPageBreak/>
        <w:t>Gap Information Act 2021. Section 19 of the Employment Act (NI) 2016 would implement pay transparency obligations in NI but it has not yet been brought into effect. This has resulted in a divergence of rights across the island of Ireland with NI falling behind Ireland, as well as Great Britain, with respect to gender pay transparency.</w:t>
      </w:r>
      <w:r w:rsidRPr="001271B1">
        <w:rPr>
          <w:rFonts w:ascii="Verdana" w:hAnsi="Verdana"/>
          <w:vertAlign w:val="superscript"/>
        </w:rPr>
        <w:footnoteReference w:id="67"/>
      </w:r>
    </w:p>
    <w:p w14:paraId="6460A3C9" w14:textId="77777777" w:rsidR="006040FD" w:rsidRDefault="006040FD" w:rsidP="006C781D">
      <w:pPr>
        <w:pStyle w:val="BodyText"/>
        <w:spacing w:before="0" w:after="0" w:line="288" w:lineRule="auto"/>
        <w:ind w:left="720"/>
        <w:rPr>
          <w:rFonts w:ascii="Verdana" w:hAnsi="Verdana"/>
        </w:rPr>
      </w:pPr>
    </w:p>
    <w:p w14:paraId="586B41D3" w14:textId="0E20AC21" w:rsidR="00A10911" w:rsidRPr="007478BB" w:rsidRDefault="00A10911" w:rsidP="00A10911">
      <w:pPr>
        <w:pStyle w:val="ListParagraph"/>
        <w:numPr>
          <w:ilvl w:val="1"/>
          <w:numId w:val="15"/>
        </w:numPr>
      </w:pPr>
      <w:r>
        <w:t>The EU Pay Transparency Directive</w:t>
      </w:r>
      <w:r w:rsidRPr="007478BB">
        <w:t xml:space="preserve"> aims to give effect to the ‘principle of equal pay’, enshrined in Article 157 of the Treaty on </w:t>
      </w:r>
      <w:r w:rsidR="00FB3133">
        <w:t xml:space="preserve">the </w:t>
      </w:r>
      <w:r w:rsidRPr="007478BB">
        <w:t>Functioning of the EU and the prohibition of discrimination laid down in Article 4 of the EU Gender Equality (Employment) Directive, in particular through pay transparency and reinforced enforcement mechanisms.</w:t>
      </w:r>
      <w:r w:rsidRPr="007478BB">
        <w:rPr>
          <w:rStyle w:val="FootnoteReference"/>
        </w:rPr>
        <w:footnoteReference w:id="68"/>
      </w:r>
      <w:r w:rsidR="00FC56AB">
        <w:t xml:space="preserve"> </w:t>
      </w:r>
      <w:r>
        <w:t>Implementing</w:t>
      </w:r>
      <w:r w:rsidR="00395611">
        <w:t xml:space="preserve"> the</w:t>
      </w:r>
      <w:r>
        <w:t xml:space="preserve"> EU Pay Transparency Directive</w:t>
      </w:r>
      <w:r w:rsidRPr="007478BB">
        <w:t xml:space="preserve"> </w:t>
      </w:r>
      <w:r>
        <w:t>in NI law would lead to greater accountability and transparency by certain employers on gender pay gaps within their organisations.  For example, the Directive introduces new obligations on certain employers in terms of pay reporting and joint pay assessments linked to ensuring compliance with the principle of equal pay.</w:t>
      </w:r>
      <w:r>
        <w:rPr>
          <w:rStyle w:val="FootnoteReference"/>
        </w:rPr>
        <w:footnoteReference w:id="69"/>
      </w:r>
      <w:r>
        <w:t xml:space="preserve"> It also introduces enhanced enforcement measures to improve access to justice and enforcement of rights, for example, the right of ‘equality bodies’ to engage in court or administrative procedures in support of workers regarding equal pay discrimination,</w:t>
      </w:r>
      <w:r>
        <w:rPr>
          <w:rStyle w:val="FootnoteReference"/>
        </w:rPr>
        <w:footnoteReference w:id="70"/>
      </w:r>
      <w:r>
        <w:t xml:space="preserve"> and strengthened rights relating to compensation.</w:t>
      </w:r>
      <w:r>
        <w:rPr>
          <w:rStyle w:val="FootnoteReference"/>
        </w:rPr>
        <w:footnoteReference w:id="71"/>
      </w:r>
    </w:p>
    <w:p w14:paraId="25C92993" w14:textId="77777777" w:rsidR="00A10911" w:rsidRPr="00CC1F49" w:rsidRDefault="00A10911" w:rsidP="006C781D">
      <w:pPr>
        <w:pStyle w:val="ListParagraph"/>
        <w:ind w:left="720"/>
      </w:pPr>
    </w:p>
    <w:p w14:paraId="3998A482" w14:textId="3E77A763" w:rsidR="00A10911" w:rsidRPr="00B91D38" w:rsidRDefault="006040FD" w:rsidP="005F672A">
      <w:pPr>
        <w:pStyle w:val="ListParagraph"/>
        <w:numPr>
          <w:ilvl w:val="1"/>
          <w:numId w:val="15"/>
        </w:numPr>
        <w:rPr>
          <w:rFonts w:eastAsia="Times New Roman"/>
          <w:b/>
          <w:bCs/>
        </w:rPr>
      </w:pPr>
      <w:r w:rsidRPr="00B91D38">
        <w:rPr>
          <w:rFonts w:eastAsia="Times New Roman"/>
          <w:b/>
          <w:bCs/>
        </w:rPr>
        <w:t>The NIHRC recommends that the Department for the Economy</w:t>
      </w:r>
      <w:r w:rsidR="008B3701" w:rsidRPr="00B91D38">
        <w:rPr>
          <w:rFonts w:eastAsia="Times New Roman"/>
          <w:b/>
          <w:bCs/>
        </w:rPr>
        <w:t xml:space="preserve">, working with the NI Executive and NI Assembly, urgently </w:t>
      </w:r>
      <w:r w:rsidR="008A71B8" w:rsidRPr="00B91D38">
        <w:rPr>
          <w:rFonts w:eastAsia="Times New Roman"/>
          <w:b/>
          <w:bCs/>
        </w:rPr>
        <w:t xml:space="preserve">bring forward legislation to amend NI law </w:t>
      </w:r>
      <w:r w:rsidR="00AD7D75" w:rsidRPr="00B91D38">
        <w:rPr>
          <w:rFonts w:eastAsia="Times New Roman"/>
          <w:b/>
          <w:bCs/>
        </w:rPr>
        <w:t xml:space="preserve">by June 2026, </w:t>
      </w:r>
      <w:r w:rsidR="008A71B8" w:rsidRPr="00B91D38">
        <w:rPr>
          <w:rFonts w:eastAsia="Times New Roman"/>
          <w:b/>
          <w:bCs/>
        </w:rPr>
        <w:t xml:space="preserve">to </w:t>
      </w:r>
      <w:r w:rsidRPr="00B91D38">
        <w:rPr>
          <w:rFonts w:eastAsia="Times New Roman"/>
          <w:b/>
          <w:bCs/>
        </w:rPr>
        <w:t>ensure</w:t>
      </w:r>
      <w:r w:rsidR="008A71B8" w:rsidRPr="00B91D38">
        <w:rPr>
          <w:rFonts w:eastAsia="Times New Roman"/>
          <w:b/>
          <w:bCs/>
        </w:rPr>
        <w:t xml:space="preserve"> it keeps </w:t>
      </w:r>
      <w:r w:rsidR="00602C34" w:rsidRPr="00B91D38">
        <w:rPr>
          <w:rFonts w:eastAsia="Times New Roman"/>
          <w:b/>
          <w:bCs/>
        </w:rPr>
        <w:t xml:space="preserve">pace with those provisions of the EU Pay Transparency </w:t>
      </w:r>
      <w:r w:rsidR="00602C34" w:rsidRPr="00B91D38">
        <w:rPr>
          <w:rFonts w:eastAsia="Times New Roman"/>
          <w:b/>
          <w:bCs/>
        </w:rPr>
        <w:lastRenderedPageBreak/>
        <w:t>Directive that amend and/or replace provisions of the EU Gender Equality (Employment) Directive.</w:t>
      </w:r>
    </w:p>
    <w:p w14:paraId="4ED3BCBE" w14:textId="77777777" w:rsidR="005F672A" w:rsidRPr="005F672A" w:rsidRDefault="005F672A" w:rsidP="005F672A">
      <w:pPr>
        <w:pStyle w:val="ListParagraph"/>
        <w:ind w:left="720"/>
        <w:rPr>
          <w:rFonts w:eastAsia="Times New Roman"/>
          <w:b/>
          <w:bCs/>
        </w:rPr>
      </w:pPr>
    </w:p>
    <w:p w14:paraId="38BE5C99" w14:textId="77777777" w:rsidR="00A10911" w:rsidRDefault="00A10911" w:rsidP="00B60AB5">
      <w:pPr>
        <w:pStyle w:val="Heading3"/>
      </w:pPr>
      <w:bookmarkStart w:id="25" w:name="_Toc178599795"/>
      <w:r w:rsidRPr="00203B06">
        <w:t>Intersectional Discrimination</w:t>
      </w:r>
      <w:bookmarkEnd w:id="25"/>
      <w:r w:rsidRPr="00203B06">
        <w:t xml:space="preserve"> </w:t>
      </w:r>
    </w:p>
    <w:p w14:paraId="07CFAA57" w14:textId="77777777" w:rsidR="00B60AB5" w:rsidRPr="00B60AB5" w:rsidRDefault="00B60AB5" w:rsidP="00B60AB5"/>
    <w:p w14:paraId="79F31B8E" w14:textId="69957777" w:rsidR="00A10911" w:rsidRPr="00CC1F49" w:rsidRDefault="00A10911" w:rsidP="00A10911">
      <w:pPr>
        <w:pStyle w:val="ListParagraph"/>
        <w:numPr>
          <w:ilvl w:val="1"/>
          <w:numId w:val="15"/>
        </w:numPr>
      </w:pPr>
      <w:r w:rsidRPr="00CC1F49">
        <w:rPr>
          <w:rFonts w:eastAsia="Times New Roman"/>
        </w:rPr>
        <w:t xml:space="preserve">NI legislation does not address cases of intersectional </w:t>
      </w:r>
      <w:r w:rsidR="00C509ED">
        <w:rPr>
          <w:rFonts w:eastAsia="Times New Roman"/>
        </w:rPr>
        <w:t xml:space="preserve">or </w:t>
      </w:r>
      <w:r w:rsidRPr="00CC1F49">
        <w:rPr>
          <w:rFonts w:eastAsia="Times New Roman"/>
        </w:rPr>
        <w:t>multiple discrimination</w:t>
      </w:r>
      <w:r w:rsidR="00F62766">
        <w:rPr>
          <w:rFonts w:eastAsia="Times New Roman"/>
        </w:rPr>
        <w:t>.</w:t>
      </w:r>
      <w:r w:rsidRPr="00CC1F49">
        <w:rPr>
          <w:rFonts w:eastAsia="Times New Roman"/>
        </w:rPr>
        <w:t xml:space="preserve"> </w:t>
      </w:r>
      <w:r w:rsidR="00F62766">
        <w:rPr>
          <w:rFonts w:eastAsia="Times New Roman"/>
        </w:rPr>
        <w:t>R</w:t>
      </w:r>
      <w:r w:rsidRPr="00CC1F49">
        <w:rPr>
          <w:rFonts w:eastAsia="Times New Roman"/>
        </w:rPr>
        <w:t xml:space="preserve">ecent developments in EU law that </w:t>
      </w:r>
      <w:r w:rsidR="00F62766">
        <w:rPr>
          <w:rFonts w:eastAsia="Times New Roman"/>
        </w:rPr>
        <w:t>recognise</w:t>
      </w:r>
      <w:r w:rsidRPr="00CC1F49">
        <w:rPr>
          <w:rFonts w:eastAsia="Times New Roman"/>
        </w:rPr>
        <w:t xml:space="preserve"> intersectional discrimination have significant implications for NI </w:t>
      </w:r>
      <w:r>
        <w:rPr>
          <w:rFonts w:eastAsia="Times New Roman"/>
        </w:rPr>
        <w:t>domestic</w:t>
      </w:r>
      <w:r w:rsidRPr="00CC1F49">
        <w:rPr>
          <w:rFonts w:eastAsia="Times New Roman"/>
        </w:rPr>
        <w:t xml:space="preserve"> law, especially in the field of employment rights. </w:t>
      </w:r>
    </w:p>
    <w:p w14:paraId="7E750121" w14:textId="77777777" w:rsidR="00A10911" w:rsidRPr="00CC1F49" w:rsidRDefault="00A10911" w:rsidP="00A10911">
      <w:pPr>
        <w:pStyle w:val="ListParagraph"/>
      </w:pPr>
    </w:p>
    <w:p w14:paraId="5A9270B2" w14:textId="62F34019" w:rsidR="00616D2C" w:rsidRDefault="00A10911" w:rsidP="00330C22">
      <w:pPr>
        <w:pStyle w:val="ListParagraph"/>
        <w:numPr>
          <w:ilvl w:val="1"/>
          <w:numId w:val="15"/>
        </w:numPr>
      </w:pPr>
      <w:r w:rsidRPr="00CC1F49">
        <w:rPr>
          <w:rFonts w:eastAsia="Times New Roman"/>
        </w:rPr>
        <w:t xml:space="preserve">In Article 3, the EU Pay Transparency Directive </w:t>
      </w:r>
      <w:r w:rsidR="001E3A2D">
        <w:rPr>
          <w:rFonts w:eastAsia="Times New Roman"/>
        </w:rPr>
        <w:t>defines discrimination as including</w:t>
      </w:r>
      <w:r w:rsidR="001E3A2D" w:rsidRPr="00CC1F49">
        <w:rPr>
          <w:rFonts w:eastAsia="Times New Roman"/>
        </w:rPr>
        <w:t xml:space="preserve"> </w:t>
      </w:r>
      <w:r w:rsidRPr="00CC1F49">
        <w:rPr>
          <w:rFonts w:eastAsia="Times New Roman"/>
        </w:rPr>
        <w:t>intersectional discrimination</w:t>
      </w:r>
      <w:r w:rsidR="004A103E">
        <w:rPr>
          <w:rFonts w:eastAsia="Times New Roman"/>
        </w:rPr>
        <w:t>,</w:t>
      </w:r>
      <w:r w:rsidRPr="00CC1F49">
        <w:rPr>
          <w:rFonts w:eastAsia="Times New Roman"/>
        </w:rPr>
        <w:t xml:space="preserve"> which is based on a combination of sex and </w:t>
      </w:r>
      <w:proofErr w:type="gramStart"/>
      <w:r w:rsidRPr="00CC1F49">
        <w:rPr>
          <w:rFonts w:eastAsia="Times New Roman"/>
        </w:rPr>
        <w:t>a number of</w:t>
      </w:r>
      <w:proofErr w:type="gramEnd"/>
      <w:r w:rsidRPr="00CC1F49">
        <w:rPr>
          <w:rFonts w:eastAsia="Times New Roman"/>
        </w:rPr>
        <w:t xml:space="preserve"> other equality ground/s protected under EU equality directives. </w:t>
      </w:r>
      <w:r w:rsidRPr="00616C66">
        <w:t xml:space="preserve">The EU Pay Transparency Directive recognises that individuals can experience discrimination and inequality based on the intersection of multiple identities, such as race, gender, disabilities, age, and </w:t>
      </w:r>
      <w:r>
        <w:t>other grounds</w:t>
      </w:r>
      <w:r w:rsidRPr="00616C66">
        <w:t>. </w:t>
      </w:r>
    </w:p>
    <w:p w14:paraId="6103C063" w14:textId="77777777" w:rsidR="00616D2C" w:rsidRDefault="00616D2C" w:rsidP="00616D2C">
      <w:pPr>
        <w:pStyle w:val="ListParagraph"/>
        <w:ind w:left="720"/>
      </w:pPr>
    </w:p>
    <w:p w14:paraId="7299D8E7" w14:textId="4725EA4A" w:rsidR="00A10911" w:rsidRPr="00B91D38" w:rsidRDefault="00A10911" w:rsidP="00330C22">
      <w:pPr>
        <w:pStyle w:val="ListParagraph"/>
        <w:numPr>
          <w:ilvl w:val="1"/>
          <w:numId w:val="15"/>
        </w:numPr>
        <w:rPr>
          <w:b/>
        </w:rPr>
      </w:pPr>
      <w:r w:rsidRPr="00B91D38">
        <w:rPr>
          <w:b/>
        </w:rPr>
        <w:t>The NIHR</w:t>
      </w:r>
      <w:r w:rsidR="00341740" w:rsidRPr="00B91D38">
        <w:rPr>
          <w:b/>
        </w:rPr>
        <w:t>C</w:t>
      </w:r>
      <w:r w:rsidR="00C81525" w:rsidRPr="00B91D38">
        <w:rPr>
          <w:b/>
        </w:rPr>
        <w:t xml:space="preserve"> recommends that the D</w:t>
      </w:r>
      <w:r w:rsidR="00341740" w:rsidRPr="00B91D38">
        <w:rPr>
          <w:b/>
        </w:rPr>
        <w:t>epartment for the Economy</w:t>
      </w:r>
      <w:r w:rsidR="00C81525" w:rsidRPr="00B91D38">
        <w:rPr>
          <w:b/>
        </w:rPr>
        <w:t>, working with the NI Executive and NI Assembly, ensure the Employment Rights Bill amend</w:t>
      </w:r>
      <w:r w:rsidR="00AB67EB" w:rsidRPr="00B91D38">
        <w:rPr>
          <w:b/>
        </w:rPr>
        <w:t>s</w:t>
      </w:r>
      <w:r w:rsidR="00C81525" w:rsidRPr="00B91D38">
        <w:rPr>
          <w:b/>
        </w:rPr>
        <w:t xml:space="preserve"> the definition of discrimination in relevant NI employment equality law </w:t>
      </w:r>
      <w:r w:rsidR="00A178A4" w:rsidRPr="00B91D38">
        <w:rPr>
          <w:b/>
        </w:rPr>
        <w:t xml:space="preserve">by June 2026, </w:t>
      </w:r>
      <w:r w:rsidR="00C81525" w:rsidRPr="00B91D38">
        <w:rPr>
          <w:b/>
        </w:rPr>
        <w:t xml:space="preserve">to include “intersectional discrimination” </w:t>
      </w:r>
      <w:r w:rsidR="00A178A4" w:rsidRPr="00B91D38">
        <w:rPr>
          <w:b/>
        </w:rPr>
        <w:t xml:space="preserve">as required by </w:t>
      </w:r>
      <w:r w:rsidR="00C81525" w:rsidRPr="00B91D38">
        <w:rPr>
          <w:b/>
        </w:rPr>
        <w:t>the relevant provisions of the EU Pay Transparency Directive.</w:t>
      </w:r>
    </w:p>
    <w:p w14:paraId="56ADA7B6" w14:textId="77777777" w:rsidR="00616D2C" w:rsidRPr="00616D2C" w:rsidRDefault="00616D2C" w:rsidP="00616D2C">
      <w:pPr>
        <w:pStyle w:val="ListParagraph"/>
        <w:ind w:left="720"/>
        <w:rPr>
          <w:b/>
        </w:rPr>
      </w:pPr>
    </w:p>
    <w:p w14:paraId="01206091" w14:textId="01CEB8F2" w:rsidR="00330C22" w:rsidRDefault="00330C22" w:rsidP="00330C22">
      <w:pPr>
        <w:pStyle w:val="Heading2"/>
      </w:pPr>
      <w:bookmarkStart w:id="26" w:name="_Toc178599796"/>
      <w:r w:rsidRPr="00C44868">
        <w:t xml:space="preserve">EU Binding Standards </w:t>
      </w:r>
      <w:r>
        <w:t xml:space="preserve">on </w:t>
      </w:r>
      <w:r w:rsidRPr="00C44868">
        <w:t>Equality Bodies</w:t>
      </w:r>
      <w:bookmarkEnd w:id="26"/>
      <w:r w:rsidRPr="00C44868">
        <w:t xml:space="preserve"> </w:t>
      </w:r>
    </w:p>
    <w:p w14:paraId="116A7E4F" w14:textId="62AD19E1" w:rsidR="00330C22" w:rsidRDefault="007A7A94" w:rsidP="00710B9C">
      <w:pPr>
        <w:pStyle w:val="ListParagraph"/>
        <w:numPr>
          <w:ilvl w:val="1"/>
          <w:numId w:val="15"/>
        </w:numPr>
      </w:pPr>
      <w:r w:rsidRPr="00330C22">
        <w:rPr>
          <w:rFonts w:eastAsia="Times New Roman"/>
        </w:rPr>
        <w:t>In</w:t>
      </w:r>
      <w:r w:rsidR="00662AFB" w:rsidRPr="00330C22">
        <w:rPr>
          <w:rFonts w:eastAsia="Times New Roman"/>
        </w:rPr>
        <w:t xml:space="preserve"> May 2024, the EU Commission adopted two directives on </w:t>
      </w:r>
      <w:r w:rsidR="00662AFB" w:rsidRPr="00330C22">
        <w:rPr>
          <w:rFonts w:eastAsia="Times New Roman"/>
          <w:bCs/>
        </w:rPr>
        <w:t>standards for equality bodies.</w:t>
      </w:r>
      <w:r w:rsidR="00662AFB" w:rsidRPr="00474F10">
        <w:rPr>
          <w:bCs/>
          <w:vertAlign w:val="superscript"/>
        </w:rPr>
        <w:footnoteReference w:id="72"/>
      </w:r>
      <w:r w:rsidR="00662AFB" w:rsidRPr="00330C22">
        <w:rPr>
          <w:rFonts w:eastAsia="Times New Roman"/>
          <w:vertAlign w:val="superscript"/>
        </w:rPr>
        <w:t xml:space="preserve">  </w:t>
      </w:r>
      <w:r w:rsidR="00662AFB" w:rsidRPr="00330C22">
        <w:rPr>
          <w:rFonts w:eastAsia="Times New Roman"/>
        </w:rPr>
        <w:t xml:space="preserve">The directives aim to strengthen equality bodies by setting minimum standards on how they operate in all grounds of discrimination and areas covered by EU equality legislative </w:t>
      </w:r>
      <w:r w:rsidR="008F5D64">
        <w:rPr>
          <w:rFonts w:eastAsia="Times New Roman"/>
        </w:rPr>
        <w:t>fr</w:t>
      </w:r>
      <w:bookmarkEnd w:id="20"/>
      <w:r w:rsidR="008F5D64">
        <w:rPr>
          <w:rFonts w:eastAsia="Times New Roman"/>
        </w:rPr>
        <w:t xml:space="preserve">amework. </w:t>
      </w:r>
    </w:p>
    <w:p w14:paraId="679DA32E" w14:textId="77777777" w:rsidR="00330C22" w:rsidRDefault="00330C22" w:rsidP="00330C22">
      <w:pPr>
        <w:pStyle w:val="ListParagraph"/>
      </w:pPr>
    </w:p>
    <w:p w14:paraId="37EDBED6" w14:textId="6FCF94E7" w:rsidR="00330C22" w:rsidRPr="00330C22" w:rsidRDefault="00662AFB" w:rsidP="00710B9C">
      <w:pPr>
        <w:pStyle w:val="ListParagraph"/>
        <w:numPr>
          <w:ilvl w:val="1"/>
          <w:numId w:val="15"/>
        </w:numPr>
      </w:pPr>
      <w:r w:rsidRPr="00330C22">
        <w:rPr>
          <w:rFonts w:eastAsia="Times New Roman"/>
        </w:rPr>
        <w:t xml:space="preserve">Four Annex 1 </w:t>
      </w:r>
      <w:r w:rsidR="001A6ECF">
        <w:rPr>
          <w:rFonts w:eastAsia="Times New Roman"/>
        </w:rPr>
        <w:t>E</w:t>
      </w:r>
      <w:r w:rsidRPr="00330C22">
        <w:rPr>
          <w:rFonts w:eastAsia="Times New Roman"/>
        </w:rPr>
        <w:t xml:space="preserve">quality </w:t>
      </w:r>
      <w:r w:rsidR="001A6ECF">
        <w:rPr>
          <w:rFonts w:eastAsia="Times New Roman"/>
        </w:rPr>
        <w:t>D</w:t>
      </w:r>
      <w:r w:rsidRPr="00330C22">
        <w:rPr>
          <w:rFonts w:eastAsia="Times New Roman"/>
        </w:rPr>
        <w:t xml:space="preserve">irectives reference the minimum competencies of equality bodies in their respective field: the EU Racial Equality </w:t>
      </w:r>
      <w:r w:rsidRPr="00330C22">
        <w:rPr>
          <w:rFonts w:eastAsia="Times New Roman"/>
        </w:rPr>
        <w:lastRenderedPageBreak/>
        <w:t>Directive;</w:t>
      </w:r>
      <w:r w:rsidRPr="00474F10">
        <w:rPr>
          <w:vertAlign w:val="superscript"/>
        </w:rPr>
        <w:footnoteReference w:id="73"/>
      </w:r>
      <w:r w:rsidRPr="00330C22">
        <w:rPr>
          <w:rFonts w:eastAsia="Times New Roman"/>
        </w:rPr>
        <w:t xml:space="preserve"> the EU Gender Equality Directive in the field of goods and services;</w:t>
      </w:r>
      <w:r w:rsidRPr="00474F10">
        <w:rPr>
          <w:vertAlign w:val="superscript"/>
        </w:rPr>
        <w:footnoteReference w:id="74"/>
      </w:r>
      <w:r w:rsidRPr="00330C22">
        <w:rPr>
          <w:rFonts w:eastAsia="Times New Roman"/>
        </w:rPr>
        <w:t xml:space="preserve"> the EU Gender Equality Directives in the field of employment</w:t>
      </w:r>
      <w:r w:rsidRPr="00474F10">
        <w:rPr>
          <w:vertAlign w:val="superscript"/>
        </w:rPr>
        <w:footnoteReference w:id="75"/>
      </w:r>
      <w:r w:rsidRPr="00330C22">
        <w:rPr>
          <w:rFonts w:eastAsia="Times New Roman"/>
        </w:rPr>
        <w:t xml:space="preserve"> and self-employment.</w:t>
      </w:r>
      <w:r w:rsidRPr="00474F10">
        <w:rPr>
          <w:vertAlign w:val="superscript"/>
        </w:rPr>
        <w:footnoteReference w:id="76"/>
      </w:r>
      <w:r w:rsidRPr="00330C22">
        <w:rPr>
          <w:rFonts w:eastAsia="Times New Roman"/>
        </w:rPr>
        <w:t xml:space="preserve"> </w:t>
      </w:r>
    </w:p>
    <w:p w14:paraId="5297DD38" w14:textId="77777777" w:rsidR="00330C22" w:rsidRPr="00330C22" w:rsidRDefault="00330C22" w:rsidP="00330C22">
      <w:pPr>
        <w:pStyle w:val="ListParagraph"/>
      </w:pPr>
    </w:p>
    <w:p w14:paraId="4AD38022" w14:textId="42251AED" w:rsidR="00330C22" w:rsidRDefault="00662AFB" w:rsidP="00710B9C">
      <w:pPr>
        <w:pStyle w:val="ListParagraph"/>
        <w:numPr>
          <w:ilvl w:val="1"/>
          <w:numId w:val="15"/>
        </w:numPr>
      </w:pPr>
      <w:r w:rsidRPr="00330C22">
        <w:rPr>
          <w:rFonts w:eastAsia="Times New Roman"/>
        </w:rPr>
        <w:t>The UK Government has recognised that these EU directives fall within the scope of Windsor Framework Article 2.</w:t>
      </w:r>
      <w:r w:rsidRPr="00474F10">
        <w:rPr>
          <w:vertAlign w:val="superscript"/>
        </w:rPr>
        <w:footnoteReference w:id="77"/>
      </w:r>
      <w:r w:rsidRPr="00330C22">
        <w:rPr>
          <w:rFonts w:eastAsia="Times New Roman"/>
        </w:rPr>
        <w:t xml:space="preserve"> </w:t>
      </w:r>
      <w:r w:rsidRPr="00FF4DDD">
        <w:t xml:space="preserve">The development and adoption of EU legislation </w:t>
      </w:r>
      <w:r w:rsidRPr="00D60043">
        <w:t>on binding standards for equality bodies is a significant and important step to ensure that EU equality legislation is better applied,</w:t>
      </w:r>
      <w:r w:rsidRPr="00FF4DDD">
        <w:t xml:space="preserve"> reducing opportunities for any divergence of rights across </w:t>
      </w:r>
      <w:r>
        <w:t>jurisdictions</w:t>
      </w:r>
      <w:r w:rsidRPr="00FF4DDD">
        <w:t xml:space="preserve"> where such legislation applies, including NI.</w:t>
      </w:r>
      <w:r w:rsidRPr="00357ECC">
        <w:rPr>
          <w:rStyle w:val="FootnoteReference"/>
        </w:rPr>
        <w:footnoteReference w:id="78"/>
      </w:r>
    </w:p>
    <w:p w14:paraId="7E096B02" w14:textId="77777777" w:rsidR="00330C22" w:rsidRDefault="00330C22" w:rsidP="00330C22">
      <w:pPr>
        <w:pStyle w:val="ListParagraph"/>
      </w:pPr>
    </w:p>
    <w:p w14:paraId="0A17A6FC" w14:textId="77777777" w:rsidR="00330C22" w:rsidRPr="00330C22" w:rsidRDefault="00662AFB" w:rsidP="00710B9C">
      <w:pPr>
        <w:pStyle w:val="ListParagraph"/>
        <w:numPr>
          <w:ilvl w:val="1"/>
          <w:numId w:val="15"/>
        </w:numPr>
      </w:pPr>
      <w:r w:rsidRPr="00330C22">
        <w:rPr>
          <w:rFonts w:eastAsia="Times New Roman"/>
        </w:rPr>
        <w:t xml:space="preserve">The standards outlined in the EU directives are minimum standards and the NI Executive could introduce legislation that goes beyond these standards, aligned to international human rights standards. </w:t>
      </w:r>
      <w:r w:rsidRPr="00330C22" w:rsidDel="007D353A">
        <w:rPr>
          <w:rFonts w:eastAsia="Times New Roman"/>
        </w:rPr>
        <w:t xml:space="preserve">These two directives </w:t>
      </w:r>
      <w:proofErr w:type="gramStart"/>
      <w:r w:rsidRPr="00330C22" w:rsidDel="007D353A">
        <w:rPr>
          <w:rFonts w:eastAsia="Times New Roman"/>
        </w:rPr>
        <w:t>have to</w:t>
      </w:r>
      <w:proofErr w:type="gramEnd"/>
      <w:r w:rsidRPr="00330C22" w:rsidDel="007D353A">
        <w:rPr>
          <w:rFonts w:eastAsia="Times New Roman"/>
        </w:rPr>
        <w:t xml:space="preserve"> be transposed </w:t>
      </w:r>
      <w:r w:rsidRPr="00330C22">
        <w:rPr>
          <w:rFonts w:eastAsia="Times New Roman"/>
        </w:rPr>
        <w:t>by June 2026</w:t>
      </w:r>
      <w:r w:rsidRPr="00330C22" w:rsidDel="007D353A">
        <w:rPr>
          <w:rFonts w:eastAsia="Times New Roman"/>
        </w:rPr>
        <w:t>.</w:t>
      </w:r>
      <w:r w:rsidRPr="00474F10" w:rsidDel="007D353A">
        <w:rPr>
          <w:vertAlign w:val="superscript"/>
        </w:rPr>
        <w:footnoteReference w:id="79"/>
      </w:r>
    </w:p>
    <w:p w14:paraId="0190EBE5" w14:textId="77777777" w:rsidR="001271B1" w:rsidRDefault="001271B1" w:rsidP="001271B1">
      <w:pPr>
        <w:pStyle w:val="ListParagraph"/>
      </w:pPr>
    </w:p>
    <w:p w14:paraId="7B0FF6BE" w14:textId="135F2858" w:rsidR="00830AA9" w:rsidRPr="00B91D38" w:rsidRDefault="00662AFB" w:rsidP="00830AA9">
      <w:pPr>
        <w:pStyle w:val="ListParagraph"/>
        <w:numPr>
          <w:ilvl w:val="1"/>
          <w:numId w:val="15"/>
        </w:numPr>
        <w:rPr>
          <w:rFonts w:eastAsia="Times New Roman"/>
          <w:b/>
          <w:bCs/>
        </w:rPr>
      </w:pPr>
      <w:r w:rsidRPr="00B91D38">
        <w:rPr>
          <w:rFonts w:eastAsia="Times New Roman"/>
          <w:b/>
          <w:bCs/>
        </w:rPr>
        <w:t xml:space="preserve">The NIHRC </w:t>
      </w:r>
      <w:r w:rsidR="00D27DAA" w:rsidRPr="00B91D38">
        <w:rPr>
          <w:rFonts w:eastAsia="Times New Roman"/>
          <w:b/>
          <w:bCs/>
        </w:rPr>
        <w:t xml:space="preserve">recommends </w:t>
      </w:r>
      <w:r w:rsidR="001649B8" w:rsidRPr="00B91D38">
        <w:rPr>
          <w:rFonts w:eastAsia="Times New Roman"/>
          <w:b/>
          <w:bCs/>
        </w:rPr>
        <w:t xml:space="preserve">that </w:t>
      </w:r>
      <w:r w:rsidR="00D27DAA" w:rsidRPr="00B91D38">
        <w:rPr>
          <w:rFonts w:eastAsia="Times New Roman"/>
          <w:b/>
          <w:bCs/>
        </w:rPr>
        <w:t>the Department</w:t>
      </w:r>
      <w:r w:rsidRPr="00B91D38">
        <w:rPr>
          <w:rFonts w:eastAsia="Times New Roman"/>
          <w:b/>
          <w:bCs/>
        </w:rPr>
        <w:t xml:space="preserve"> </w:t>
      </w:r>
      <w:r w:rsidR="00754081" w:rsidRPr="00B91D38">
        <w:rPr>
          <w:b/>
          <w:bCs/>
        </w:rPr>
        <w:t xml:space="preserve">for the Economy </w:t>
      </w:r>
      <w:r w:rsidR="00830AA9" w:rsidRPr="00B91D38">
        <w:rPr>
          <w:rFonts w:eastAsia="Times New Roman"/>
          <w:b/>
          <w:bCs/>
        </w:rPr>
        <w:t>work</w:t>
      </w:r>
      <w:r w:rsidR="00754081" w:rsidRPr="00B91D38">
        <w:rPr>
          <w:rFonts w:eastAsia="Times New Roman"/>
          <w:b/>
          <w:bCs/>
        </w:rPr>
        <w:t>s</w:t>
      </w:r>
      <w:r w:rsidR="00830AA9" w:rsidRPr="00B91D38">
        <w:rPr>
          <w:rFonts w:eastAsia="Times New Roman"/>
          <w:b/>
          <w:bCs/>
        </w:rPr>
        <w:t xml:space="preserve"> with the NI Executive and NI Assembly, to bring forward </w:t>
      </w:r>
      <w:r w:rsidR="00462722" w:rsidRPr="00B91D38">
        <w:rPr>
          <w:rFonts w:eastAsia="Times New Roman"/>
          <w:b/>
          <w:bCs/>
        </w:rPr>
        <w:t xml:space="preserve">urgently </w:t>
      </w:r>
      <w:r w:rsidR="00830AA9" w:rsidRPr="00B91D38">
        <w:rPr>
          <w:rFonts w:eastAsia="Times New Roman"/>
          <w:b/>
          <w:bCs/>
        </w:rPr>
        <w:t>legislation to ensure NI employment law is amended</w:t>
      </w:r>
      <w:r w:rsidR="00A31F29" w:rsidRPr="00B91D38">
        <w:rPr>
          <w:rFonts w:eastAsia="Times New Roman"/>
          <w:b/>
          <w:bCs/>
        </w:rPr>
        <w:t xml:space="preserve"> by June 2026</w:t>
      </w:r>
      <w:r w:rsidR="00830AA9" w:rsidRPr="00B91D38">
        <w:rPr>
          <w:rFonts w:eastAsia="Times New Roman"/>
          <w:b/>
          <w:bCs/>
        </w:rPr>
        <w:t>, as required, to keep pace with th</w:t>
      </w:r>
      <w:r w:rsidR="00F6257D" w:rsidRPr="00B91D38">
        <w:rPr>
          <w:rFonts w:eastAsia="Times New Roman"/>
          <w:b/>
          <w:bCs/>
        </w:rPr>
        <w:t>e</w:t>
      </w:r>
      <w:r w:rsidR="00830AA9" w:rsidRPr="00B91D38">
        <w:rPr>
          <w:rFonts w:eastAsia="Times New Roman"/>
          <w:b/>
          <w:bCs/>
        </w:rPr>
        <w:t xml:space="preserve"> provisions of the EU directive</w:t>
      </w:r>
      <w:r w:rsidR="00B35E23" w:rsidRPr="00B91D38">
        <w:rPr>
          <w:rFonts w:eastAsia="Times New Roman"/>
          <w:b/>
          <w:bCs/>
        </w:rPr>
        <w:t>s on binding standards for equality bodies</w:t>
      </w:r>
      <w:r w:rsidR="00830AA9" w:rsidRPr="00B91D38">
        <w:rPr>
          <w:rFonts w:eastAsia="Times New Roman"/>
          <w:b/>
          <w:bCs/>
        </w:rPr>
        <w:t xml:space="preserve"> which amend and/or replace</w:t>
      </w:r>
      <w:r w:rsidR="00F6257D" w:rsidRPr="00B91D38">
        <w:rPr>
          <w:rFonts w:eastAsia="Times New Roman"/>
          <w:b/>
          <w:bCs/>
        </w:rPr>
        <w:t xml:space="preserve"> provisions in</w:t>
      </w:r>
      <w:r w:rsidR="00830AA9" w:rsidRPr="00B91D38">
        <w:rPr>
          <w:rFonts w:eastAsia="Times New Roman"/>
          <w:b/>
          <w:bCs/>
        </w:rPr>
        <w:t xml:space="preserve"> the Annex 1 </w:t>
      </w:r>
      <w:r w:rsidR="001A6ECF" w:rsidRPr="00B91D38">
        <w:rPr>
          <w:rFonts w:eastAsia="Times New Roman"/>
          <w:b/>
          <w:bCs/>
        </w:rPr>
        <w:t>E</w:t>
      </w:r>
      <w:r w:rsidR="00830AA9" w:rsidRPr="00B91D38">
        <w:rPr>
          <w:rFonts w:eastAsia="Times New Roman"/>
          <w:b/>
          <w:bCs/>
        </w:rPr>
        <w:t xml:space="preserve">quality </w:t>
      </w:r>
      <w:r w:rsidR="001A6ECF" w:rsidRPr="00B91D38">
        <w:rPr>
          <w:rFonts w:eastAsia="Times New Roman"/>
          <w:b/>
          <w:bCs/>
        </w:rPr>
        <w:t>D</w:t>
      </w:r>
      <w:r w:rsidR="00830AA9" w:rsidRPr="00B91D38">
        <w:rPr>
          <w:rFonts w:eastAsia="Times New Roman"/>
          <w:b/>
          <w:bCs/>
        </w:rPr>
        <w:t xml:space="preserve">irectives. </w:t>
      </w:r>
    </w:p>
    <w:p w14:paraId="38F27089" w14:textId="77777777" w:rsidR="00330C22" w:rsidRPr="00330C22" w:rsidRDefault="00330C22" w:rsidP="004B0271"/>
    <w:p w14:paraId="7F423163" w14:textId="52EF6CF9" w:rsidR="00330C22" w:rsidRDefault="009D1218" w:rsidP="00C86E24">
      <w:pPr>
        <w:pStyle w:val="Heading2"/>
      </w:pPr>
      <w:bookmarkStart w:id="27" w:name="_Toc178599797"/>
      <w:bookmarkStart w:id="28" w:name="_Toc128554129"/>
      <w:r>
        <w:lastRenderedPageBreak/>
        <w:t>EU Directive on Combating Violence against Women</w:t>
      </w:r>
      <w:bookmarkEnd w:id="27"/>
    </w:p>
    <w:p w14:paraId="76ABF80A" w14:textId="2F042A30" w:rsidR="00CC1F49" w:rsidRPr="007D2191" w:rsidRDefault="00615D1C" w:rsidP="00710B9C">
      <w:pPr>
        <w:pStyle w:val="ListParagraph"/>
        <w:numPr>
          <w:ilvl w:val="1"/>
          <w:numId w:val="15"/>
        </w:numPr>
      </w:pPr>
      <w:r>
        <w:rPr>
          <w:color w:val="000000"/>
        </w:rPr>
        <w:t>I</w:t>
      </w:r>
      <w:r w:rsidR="005B3113" w:rsidRPr="00330C22">
        <w:rPr>
          <w:color w:val="000000"/>
        </w:rPr>
        <w:t xml:space="preserve">n May 2024, the </w:t>
      </w:r>
      <w:r w:rsidR="005B3113">
        <w:t>EU Directive on Combating Violence against Women and Domestic Violence</w:t>
      </w:r>
      <w:r w:rsidR="005B3113" w:rsidRPr="00330C22">
        <w:rPr>
          <w:color w:val="000000"/>
        </w:rPr>
        <w:t xml:space="preserve"> was adopted.</w:t>
      </w:r>
      <w:r w:rsidR="005B3113">
        <w:rPr>
          <w:rStyle w:val="FootnoteReference"/>
          <w:color w:val="000000"/>
        </w:rPr>
        <w:footnoteReference w:id="80"/>
      </w:r>
      <w:r w:rsidR="005B3113" w:rsidRPr="00330C22">
        <w:rPr>
          <w:color w:val="000000"/>
        </w:rPr>
        <w:t xml:space="preserve"> The Directive constitutes the first piece of EU legislation which specifically addresses these issues.</w:t>
      </w:r>
      <w:r w:rsidR="005B3113" w:rsidRPr="00A23E94">
        <w:t xml:space="preserve"> </w:t>
      </w:r>
      <w:r w:rsidR="005B3113" w:rsidRPr="00330C22">
        <w:rPr>
          <w:rFonts w:cs="Arial"/>
        </w:rPr>
        <w:t xml:space="preserve">The </w:t>
      </w:r>
      <w:r w:rsidR="00C66274">
        <w:t>d</w:t>
      </w:r>
      <w:r w:rsidR="005B3113">
        <w:t xml:space="preserve">irective </w:t>
      </w:r>
      <w:r w:rsidR="005B3113" w:rsidRPr="00330C22">
        <w:rPr>
          <w:color w:val="000000"/>
        </w:rPr>
        <w:t xml:space="preserve">makes particular provision for specialist </w:t>
      </w:r>
      <w:r w:rsidR="00AA549D">
        <w:rPr>
          <w:color w:val="000000"/>
        </w:rPr>
        <w:t xml:space="preserve">support </w:t>
      </w:r>
      <w:r w:rsidR="005B3113" w:rsidRPr="00330C22">
        <w:rPr>
          <w:color w:val="000000"/>
        </w:rPr>
        <w:t>for victims of sexual harassment at work</w:t>
      </w:r>
      <w:r w:rsidR="005B3113">
        <w:rPr>
          <w:rStyle w:val="FootnoteReference"/>
          <w:color w:val="000000"/>
        </w:rPr>
        <w:footnoteReference w:id="81"/>
      </w:r>
      <w:r w:rsidR="005B3113" w:rsidRPr="00330C22">
        <w:rPr>
          <w:color w:val="000000"/>
        </w:rPr>
        <w:t xml:space="preserve"> and for managers and supervisors to receive training on how to recognise, prevent and address sexual harassment at work.</w:t>
      </w:r>
      <w:r w:rsidR="005B3113">
        <w:rPr>
          <w:rStyle w:val="FootnoteReference"/>
          <w:color w:val="000000"/>
        </w:rPr>
        <w:footnoteReference w:id="82"/>
      </w:r>
    </w:p>
    <w:p w14:paraId="1C35459A" w14:textId="77777777" w:rsidR="007D2191" w:rsidRPr="00CC1F49" w:rsidRDefault="007D2191" w:rsidP="007D2191">
      <w:pPr>
        <w:pStyle w:val="ListParagraph"/>
      </w:pPr>
    </w:p>
    <w:p w14:paraId="6A3B74D8" w14:textId="77777777" w:rsidR="00B91D38" w:rsidRPr="00B91D38" w:rsidRDefault="005B3113" w:rsidP="00B91D38">
      <w:pPr>
        <w:pStyle w:val="ListParagraph"/>
        <w:numPr>
          <w:ilvl w:val="1"/>
          <w:numId w:val="15"/>
        </w:numPr>
      </w:pPr>
      <w:r w:rsidRPr="00CC1F49">
        <w:rPr>
          <w:rFonts w:cs="Arial"/>
        </w:rPr>
        <w:t xml:space="preserve">NIHRC is currently examining the extent to which the </w:t>
      </w:r>
      <w:r>
        <w:t>EU Directive on Combating Violence against Women and Domestic Violence</w:t>
      </w:r>
      <w:r w:rsidRPr="00CC1F49">
        <w:rPr>
          <w:rFonts w:cs="Arial"/>
        </w:rPr>
        <w:t xml:space="preserve"> amends and/or replaces provisions of the EU Gender Equality (Employment) Directive.</w:t>
      </w:r>
      <w:r>
        <w:rPr>
          <w:rStyle w:val="FootnoteReference"/>
          <w:rFonts w:cs="Arial"/>
        </w:rPr>
        <w:footnoteReference w:id="83"/>
      </w:r>
      <w:bookmarkEnd w:id="28"/>
    </w:p>
    <w:p w14:paraId="0FE4F24A" w14:textId="77777777" w:rsidR="00B91D38" w:rsidRPr="00B91D38" w:rsidRDefault="00B91D38" w:rsidP="00B91D38">
      <w:pPr>
        <w:pStyle w:val="ListParagraph"/>
        <w:ind w:left="720"/>
      </w:pPr>
    </w:p>
    <w:p w14:paraId="7B664856" w14:textId="77777777" w:rsidR="00B91D38" w:rsidRPr="00B91D38" w:rsidRDefault="002B4F52" w:rsidP="00B91D38">
      <w:pPr>
        <w:pStyle w:val="ListParagraph"/>
        <w:numPr>
          <w:ilvl w:val="1"/>
          <w:numId w:val="15"/>
        </w:numPr>
        <w:rPr>
          <w:b/>
          <w:bCs/>
        </w:rPr>
      </w:pPr>
      <w:r w:rsidRPr="00B91D38">
        <w:rPr>
          <w:rFonts w:cs="Arial"/>
          <w:b/>
          <w:bCs/>
        </w:rPr>
        <w:t xml:space="preserve">The NIHRC recommends that the Department for the Economy </w:t>
      </w:r>
      <w:r w:rsidR="00C21A8C" w:rsidRPr="00B91D38">
        <w:rPr>
          <w:b/>
          <w:bCs/>
        </w:rPr>
        <w:t xml:space="preserve">analyse the EU Directive on Combating Violence Against Women and consider if, </w:t>
      </w:r>
      <w:r w:rsidR="00294999" w:rsidRPr="00B91D38">
        <w:rPr>
          <w:b/>
          <w:bCs/>
        </w:rPr>
        <w:t>or</w:t>
      </w:r>
      <w:r w:rsidR="00C21A8C" w:rsidRPr="00B91D38">
        <w:rPr>
          <w:b/>
          <w:bCs/>
        </w:rPr>
        <w:t xml:space="preserve"> to what extent, it </w:t>
      </w:r>
      <w:r w:rsidR="00A832CD" w:rsidRPr="00B91D38">
        <w:rPr>
          <w:b/>
          <w:bCs/>
        </w:rPr>
        <w:t xml:space="preserve">amends or replaces </w:t>
      </w:r>
      <w:r w:rsidR="00C21A8C" w:rsidRPr="00B91D38">
        <w:rPr>
          <w:b/>
          <w:bCs/>
        </w:rPr>
        <w:t>provisions the EU Gender Equality (Employment) Directive</w:t>
      </w:r>
      <w:r w:rsidR="00A94BB1" w:rsidRPr="00B91D38">
        <w:rPr>
          <w:b/>
          <w:bCs/>
        </w:rPr>
        <w:t xml:space="preserve">, </w:t>
      </w:r>
      <w:r w:rsidR="00476FDA" w:rsidRPr="00B91D38">
        <w:rPr>
          <w:b/>
          <w:bCs/>
        </w:rPr>
        <w:t>and therefore engages</w:t>
      </w:r>
      <w:r w:rsidR="00A94BB1" w:rsidRPr="00B91D38">
        <w:rPr>
          <w:b/>
          <w:bCs/>
        </w:rPr>
        <w:t xml:space="preserve"> the keeping pace obligation. </w:t>
      </w:r>
    </w:p>
    <w:p w14:paraId="672A0321" w14:textId="77777777" w:rsidR="00B91D38" w:rsidRDefault="00B91D38" w:rsidP="00B91D38">
      <w:pPr>
        <w:pStyle w:val="ListParagraph"/>
        <w:ind w:left="720"/>
        <w:rPr>
          <w:b/>
          <w:bCs/>
        </w:rPr>
      </w:pPr>
    </w:p>
    <w:p w14:paraId="6C923E40" w14:textId="76502347" w:rsidR="00CC1F49" w:rsidRPr="00B91D38" w:rsidRDefault="005B3113" w:rsidP="00B91D38">
      <w:pPr>
        <w:pStyle w:val="ListParagraph"/>
        <w:numPr>
          <w:ilvl w:val="1"/>
          <w:numId w:val="15"/>
        </w:numPr>
        <w:rPr>
          <w:b/>
          <w:bCs/>
        </w:rPr>
      </w:pPr>
      <w:r w:rsidRPr="00B91D38">
        <w:rPr>
          <w:b/>
          <w:bCs/>
        </w:rPr>
        <w:t xml:space="preserve">The NIHRC recommends that, in addition to any changes required by the keeping pace obligation under the Windsor Framework, the </w:t>
      </w:r>
      <w:r w:rsidR="00882D68" w:rsidRPr="00B91D38">
        <w:rPr>
          <w:b/>
          <w:bCs/>
        </w:rPr>
        <w:t>Department for the Economy</w:t>
      </w:r>
      <w:r w:rsidRPr="00B91D38">
        <w:rPr>
          <w:b/>
          <w:bCs/>
        </w:rPr>
        <w:t xml:space="preserve"> consider aligning on a voluntary basis with any enhancement to equality and human rights pursuant to the EU Directive on Combating Violence against Women and Domestic Violence</w:t>
      </w:r>
      <w:r w:rsidR="00F66FF3" w:rsidRPr="00B91D38">
        <w:rPr>
          <w:b/>
          <w:bCs/>
        </w:rPr>
        <w:t>.</w:t>
      </w:r>
      <w:r w:rsidR="00776FE9" w:rsidRPr="00B91D38">
        <w:rPr>
          <w:b/>
          <w:bCs/>
        </w:rPr>
        <w:t xml:space="preserve"> </w:t>
      </w:r>
    </w:p>
    <w:p w14:paraId="209E2B88" w14:textId="00C8B785" w:rsidR="001771DC" w:rsidRDefault="00BB47E3" w:rsidP="001771DC">
      <w:pPr>
        <w:pStyle w:val="Heading1"/>
      </w:pPr>
      <w:bookmarkStart w:id="29" w:name="_Toc178599798"/>
      <w:r>
        <w:lastRenderedPageBreak/>
        <w:t>4</w:t>
      </w:r>
      <w:r w:rsidR="003D1990">
        <w:t>.0. Terms of employment</w:t>
      </w:r>
      <w:bookmarkEnd w:id="29"/>
      <w:r w:rsidR="003D1990">
        <w:t xml:space="preserve"> </w:t>
      </w:r>
    </w:p>
    <w:p w14:paraId="7ABAD570" w14:textId="7B00A11B" w:rsidR="00AF5FDF" w:rsidRDefault="0068499D" w:rsidP="00710B9C">
      <w:pPr>
        <w:pStyle w:val="ListParagraph"/>
        <w:numPr>
          <w:ilvl w:val="1"/>
          <w:numId w:val="17"/>
        </w:numPr>
        <w:ind w:left="709"/>
      </w:pPr>
      <w:r>
        <w:t>T</w:t>
      </w:r>
      <w:r w:rsidR="009013FD" w:rsidRPr="009013FD">
        <w:t xml:space="preserve">his section outlines </w:t>
      </w:r>
      <w:r w:rsidR="00BF3010">
        <w:t xml:space="preserve">some key EU minimum standards falling in scope of Windsor Framework Article 2 </w:t>
      </w:r>
      <w:r w:rsidR="009013FD" w:rsidRPr="009013FD">
        <w:t>that must be adhered to in NI domestic law</w:t>
      </w:r>
      <w:r w:rsidR="00071DAF">
        <w:t xml:space="preserve"> in terms of self-employment,</w:t>
      </w:r>
      <w:r w:rsidR="00BF3010">
        <w:rPr>
          <w:rStyle w:val="FootnoteReference"/>
          <w:rFonts w:cstheme="minorHAnsi"/>
        </w:rPr>
        <w:footnoteReference w:id="84"/>
      </w:r>
      <w:r w:rsidR="00071DAF">
        <w:t xml:space="preserve"> part-time</w:t>
      </w:r>
      <w:r w:rsidR="00BF3010" w:rsidRPr="00A82978">
        <w:rPr>
          <w:vertAlign w:val="superscript"/>
        </w:rPr>
        <w:footnoteReference w:id="85"/>
      </w:r>
      <w:r w:rsidR="00071DAF">
        <w:t xml:space="preserve"> and agency work.</w:t>
      </w:r>
      <w:r w:rsidR="00BF3010" w:rsidRPr="00A82978">
        <w:rPr>
          <w:vertAlign w:val="superscript"/>
        </w:rPr>
        <w:footnoteReference w:id="86"/>
      </w:r>
      <w:r w:rsidR="00071DAF">
        <w:t xml:space="preserve"> </w:t>
      </w:r>
    </w:p>
    <w:p w14:paraId="7C9526E1" w14:textId="77777777" w:rsidR="00AF5FDF" w:rsidRDefault="00AF5FDF" w:rsidP="00AF5FDF">
      <w:pPr>
        <w:pStyle w:val="ListParagraph"/>
        <w:ind w:left="709"/>
      </w:pPr>
    </w:p>
    <w:p w14:paraId="15CB76CA" w14:textId="490B9AC1" w:rsidR="00AF5FDF" w:rsidRDefault="00AF5FDF" w:rsidP="00AF5FDF">
      <w:pPr>
        <w:pStyle w:val="Heading2"/>
      </w:pPr>
      <w:bookmarkStart w:id="30" w:name="_Toc178599799"/>
      <w:r>
        <w:t>Self-employment</w:t>
      </w:r>
      <w:bookmarkEnd w:id="30"/>
      <w:r>
        <w:t xml:space="preserve"> </w:t>
      </w:r>
    </w:p>
    <w:p w14:paraId="73B7729B" w14:textId="41DD184B" w:rsidR="00AD7204" w:rsidRDefault="00107E18" w:rsidP="00AD7204">
      <w:pPr>
        <w:pStyle w:val="ListParagraph"/>
        <w:numPr>
          <w:ilvl w:val="1"/>
          <w:numId w:val="17"/>
        </w:numPr>
        <w:ind w:left="709"/>
      </w:pPr>
      <w:r>
        <w:t>The consultation highlights the issue of</w:t>
      </w:r>
      <w:r w:rsidR="0094706F">
        <w:t xml:space="preserve"> “bogus” self-employment </w:t>
      </w:r>
      <w:r w:rsidR="009D7E0D">
        <w:t xml:space="preserve">which </w:t>
      </w:r>
      <w:r w:rsidR="009D7E0D" w:rsidRPr="009D7E0D">
        <w:t>refers to a situation</w:t>
      </w:r>
      <w:r w:rsidR="00B70A23">
        <w:t xml:space="preserve"> </w:t>
      </w:r>
      <w:r w:rsidR="009D7E0D" w:rsidRPr="009D7E0D">
        <w:t>where a person is contracted as self-employed but is</w:t>
      </w:r>
      <w:proofErr w:type="gramStart"/>
      <w:r w:rsidR="009D7E0D" w:rsidRPr="009D7E0D">
        <w:t>, in reality, a</w:t>
      </w:r>
      <w:proofErr w:type="gramEnd"/>
      <w:r w:rsidR="009D7E0D" w:rsidRPr="009D7E0D">
        <w:t xml:space="preserve"> worker. This misclassification can be accidental or intentional</w:t>
      </w:r>
      <w:r w:rsidR="00B70A23">
        <w:t xml:space="preserve"> and can be challenged in an industrial tribunal</w:t>
      </w:r>
      <w:r w:rsidR="00AF5FDF">
        <w:t>.</w:t>
      </w:r>
      <w:r w:rsidR="00C979F9">
        <w:rPr>
          <w:rStyle w:val="FootnoteReference"/>
        </w:rPr>
        <w:footnoteReference w:id="87"/>
      </w:r>
    </w:p>
    <w:p w14:paraId="2DFE7F72" w14:textId="77777777" w:rsidR="00AD7204" w:rsidRDefault="00AD7204" w:rsidP="00AD7204">
      <w:pPr>
        <w:pStyle w:val="ListParagraph"/>
        <w:ind w:left="709"/>
      </w:pPr>
    </w:p>
    <w:p w14:paraId="47DEC08F" w14:textId="45685B95" w:rsidR="007F4F78" w:rsidRPr="007870F6" w:rsidRDefault="00E36682" w:rsidP="007F4F78">
      <w:pPr>
        <w:pStyle w:val="ListParagraph"/>
        <w:numPr>
          <w:ilvl w:val="1"/>
          <w:numId w:val="17"/>
        </w:numPr>
        <w:ind w:left="709"/>
      </w:pPr>
      <w:r w:rsidRPr="00E36682">
        <w:t xml:space="preserve">As the Department for the Economy has no specific proposals at this stage and is seeking input to shape policy, it’s important to note that </w:t>
      </w:r>
      <w:r w:rsidR="006B7D2D" w:rsidRPr="006B7D2D">
        <w:t xml:space="preserve">EU law on self-employment </w:t>
      </w:r>
      <w:r w:rsidR="00786EBB">
        <w:t>provides for</w:t>
      </w:r>
      <w:r w:rsidR="006B7D2D" w:rsidRPr="006B7D2D">
        <w:t xml:space="preserve"> </w:t>
      </w:r>
      <w:r w:rsidR="00AD7204">
        <w:t xml:space="preserve">non-discrimination between social groups or </w:t>
      </w:r>
      <w:r w:rsidR="003F5C49">
        <w:t xml:space="preserve">on </w:t>
      </w:r>
      <w:r w:rsidR="00AD7204">
        <w:t xml:space="preserve">equality grounds. In addition to </w:t>
      </w:r>
      <w:bookmarkStart w:id="31" w:name="_Hlk176770582"/>
      <w:r w:rsidR="00AD7204">
        <w:t xml:space="preserve">the </w:t>
      </w:r>
      <w:r w:rsidR="0074402A" w:rsidRPr="00AD7204">
        <w:rPr>
          <w:rFonts w:eastAsia="Times New Roman"/>
        </w:rPr>
        <w:t xml:space="preserve">EU Gender Equality </w:t>
      </w:r>
      <w:r w:rsidR="005F7349">
        <w:rPr>
          <w:rFonts w:eastAsia="Times New Roman"/>
        </w:rPr>
        <w:t xml:space="preserve">(Self-Employment) </w:t>
      </w:r>
      <w:r w:rsidR="0074402A" w:rsidRPr="00AD7204">
        <w:rPr>
          <w:rFonts w:eastAsia="Times New Roman"/>
        </w:rPr>
        <w:t>Directive</w:t>
      </w:r>
      <w:bookmarkEnd w:id="31"/>
      <w:r w:rsidR="00AD7204" w:rsidRPr="00AD7204">
        <w:rPr>
          <w:rFonts w:eastAsia="Times New Roman"/>
        </w:rPr>
        <w:t>,</w:t>
      </w:r>
      <w:r w:rsidR="0074402A" w:rsidRPr="00474F10">
        <w:rPr>
          <w:vertAlign w:val="superscript"/>
        </w:rPr>
        <w:footnoteReference w:id="88"/>
      </w:r>
      <w:r w:rsidR="0074402A" w:rsidRPr="00AD7204">
        <w:rPr>
          <w:rFonts w:eastAsia="Times New Roman"/>
        </w:rPr>
        <w:t xml:space="preserve"> </w:t>
      </w:r>
      <w:r w:rsidR="007E6280">
        <w:rPr>
          <w:rFonts w:cstheme="minorHAnsi"/>
        </w:rPr>
        <w:t xml:space="preserve">the </w:t>
      </w:r>
      <w:r w:rsidR="007E6280" w:rsidRPr="00AD7204">
        <w:rPr>
          <w:rFonts w:cstheme="minorHAnsi"/>
        </w:rPr>
        <w:t>EU Employment Equality (Framework) Directive</w:t>
      </w:r>
      <w:r w:rsidR="007E6280">
        <w:rPr>
          <w:rFonts w:cstheme="minorHAnsi"/>
        </w:rPr>
        <w:t>,</w:t>
      </w:r>
      <w:r w:rsidR="007E6280">
        <w:rPr>
          <w:rStyle w:val="FootnoteReference"/>
          <w:rFonts w:cstheme="minorHAnsi"/>
        </w:rPr>
        <w:footnoteReference w:id="89"/>
      </w:r>
      <w:r w:rsidR="007E6280" w:rsidRPr="00AD7204">
        <w:rPr>
          <w:rFonts w:cstheme="minorHAnsi"/>
        </w:rPr>
        <w:t xml:space="preserve"> </w:t>
      </w:r>
      <w:r w:rsidR="00AD7204" w:rsidRPr="00AD7204">
        <w:rPr>
          <w:rFonts w:eastAsia="Times New Roman"/>
        </w:rPr>
        <w:t xml:space="preserve">the </w:t>
      </w:r>
      <w:r w:rsidR="00AD7204" w:rsidRPr="00AD7204">
        <w:rPr>
          <w:rFonts w:cstheme="minorHAnsi"/>
        </w:rPr>
        <w:t>EU Racial Equality Directive</w:t>
      </w:r>
      <w:r w:rsidR="00AD7204">
        <w:rPr>
          <w:rStyle w:val="FootnoteReference"/>
          <w:rFonts w:cstheme="minorHAnsi"/>
        </w:rPr>
        <w:footnoteReference w:id="90"/>
      </w:r>
      <w:r w:rsidR="00AD7204" w:rsidRPr="00AD7204">
        <w:rPr>
          <w:rFonts w:cstheme="minorHAnsi"/>
        </w:rPr>
        <w:t xml:space="preserve"> </w:t>
      </w:r>
      <w:r w:rsidR="00AD7204">
        <w:rPr>
          <w:rFonts w:cstheme="minorHAnsi"/>
        </w:rPr>
        <w:t xml:space="preserve">and </w:t>
      </w:r>
      <w:r w:rsidR="00AD7204" w:rsidRPr="00AD7204">
        <w:rPr>
          <w:rFonts w:cstheme="minorHAnsi"/>
        </w:rPr>
        <w:t>EU Gender Equality (Employment) Directive</w:t>
      </w:r>
      <w:r w:rsidR="00C26AAF">
        <w:rPr>
          <w:rFonts w:cstheme="minorHAnsi"/>
        </w:rPr>
        <w:t xml:space="preserve"> are relevant</w:t>
      </w:r>
      <w:r w:rsidR="00F25621">
        <w:rPr>
          <w:rFonts w:cstheme="minorHAnsi"/>
        </w:rPr>
        <w:t>.</w:t>
      </w:r>
      <w:r w:rsidR="00AD7204">
        <w:rPr>
          <w:rStyle w:val="FootnoteReference"/>
          <w:rFonts w:cstheme="minorHAnsi"/>
        </w:rPr>
        <w:footnoteReference w:id="91"/>
      </w:r>
      <w:r w:rsidR="00AD7204" w:rsidRPr="00AD7204">
        <w:rPr>
          <w:rFonts w:cstheme="minorHAnsi"/>
        </w:rPr>
        <w:t xml:space="preserve"> </w:t>
      </w:r>
      <w:r w:rsidR="0067097B">
        <w:rPr>
          <w:rFonts w:cstheme="minorHAnsi"/>
        </w:rPr>
        <w:t xml:space="preserve">All of these directives are Annex 1 Equality Directives, and so fall within the keeping pace obligation explained above. </w:t>
      </w:r>
    </w:p>
    <w:p w14:paraId="2827B343" w14:textId="77777777" w:rsidR="007870F6" w:rsidRPr="007F4F78" w:rsidRDefault="007870F6" w:rsidP="007870F6">
      <w:pPr>
        <w:pStyle w:val="ListParagraph"/>
        <w:ind w:left="709"/>
      </w:pPr>
    </w:p>
    <w:p w14:paraId="1ADC27D6" w14:textId="69F7DBDB" w:rsidR="007F4F78" w:rsidRPr="00874ECD" w:rsidRDefault="007F4F78" w:rsidP="00DF5B7A">
      <w:pPr>
        <w:pStyle w:val="ListParagraph"/>
        <w:numPr>
          <w:ilvl w:val="1"/>
          <w:numId w:val="17"/>
        </w:numPr>
        <w:ind w:left="709"/>
      </w:pPr>
      <w:r w:rsidRPr="001B55A0">
        <w:rPr>
          <w:rFonts w:eastAsia="Times New Roman"/>
        </w:rPr>
        <w:t>T</w:t>
      </w:r>
      <w:r w:rsidRPr="00FF4DA7">
        <w:t xml:space="preserve">he EU Employment Equality (Framework) Directive protects against discrimination </w:t>
      </w:r>
      <w:r>
        <w:t xml:space="preserve">in employment </w:t>
      </w:r>
      <w:r w:rsidRPr="00FF4DA7">
        <w:t xml:space="preserve">on grounds of </w:t>
      </w:r>
      <w:r>
        <w:t xml:space="preserve">age, </w:t>
      </w:r>
      <w:r w:rsidRPr="00FF4DA7">
        <w:t>sexual orientation</w:t>
      </w:r>
      <w:r>
        <w:t>, gender and disability</w:t>
      </w:r>
      <w:r w:rsidRPr="00FF4DA7">
        <w:t>.</w:t>
      </w:r>
      <w:r w:rsidRPr="00FF4DA7">
        <w:rPr>
          <w:vertAlign w:val="superscript"/>
        </w:rPr>
        <w:footnoteReference w:id="92"/>
      </w:r>
      <w:r>
        <w:t xml:space="preserve"> </w:t>
      </w:r>
      <w:r w:rsidRPr="00C66819">
        <w:rPr>
          <w:rFonts w:eastAsia="Times New Roman"/>
        </w:rPr>
        <w:t xml:space="preserve">The </w:t>
      </w:r>
      <w:r w:rsidRPr="00C66819">
        <w:rPr>
          <w:rFonts w:cstheme="minorHAnsi"/>
        </w:rPr>
        <w:t>EU Racial Equality Directive</w:t>
      </w:r>
      <w:r>
        <w:rPr>
          <w:rStyle w:val="FootnoteReference"/>
          <w:rFonts w:cstheme="minorHAnsi"/>
        </w:rPr>
        <w:footnoteReference w:id="93"/>
      </w:r>
      <w:r w:rsidRPr="00C66819">
        <w:rPr>
          <w:rFonts w:cstheme="minorHAnsi"/>
        </w:rPr>
        <w:t xml:space="preserve"> </w:t>
      </w:r>
      <w:r w:rsidRPr="00FF4DA7">
        <w:t>protects against discrimination</w:t>
      </w:r>
      <w:r w:rsidR="00F1176A">
        <w:t xml:space="preserve"> on the ground of race and ethnic origin</w:t>
      </w:r>
      <w:r w:rsidRPr="00FF4DA7">
        <w:t xml:space="preserve"> </w:t>
      </w:r>
      <w:r>
        <w:t xml:space="preserve">in </w:t>
      </w:r>
      <w:r>
        <w:lastRenderedPageBreak/>
        <w:t>employment</w:t>
      </w:r>
      <w:r w:rsidR="00F1176A">
        <w:t xml:space="preserve"> and occupation</w:t>
      </w:r>
      <w:r w:rsidR="00DF5B7A">
        <w:t>, among other areas.</w:t>
      </w:r>
      <w:r w:rsidR="007F1942">
        <w:rPr>
          <w:rStyle w:val="FootnoteReference"/>
        </w:rPr>
        <w:footnoteReference w:id="94"/>
      </w:r>
      <w:r w:rsidR="006E67B0">
        <w:t xml:space="preserve"> </w:t>
      </w:r>
      <w:r w:rsidR="00DB7D4F">
        <w:t>The directive</w:t>
      </w:r>
      <w:r w:rsidR="000D736A">
        <w:t xml:space="preserve"> includes conditions for access to self-employment within its scope,</w:t>
      </w:r>
      <w:r w:rsidR="00DB7D4F">
        <w:t xml:space="preserve"> </w:t>
      </w:r>
      <w:r w:rsidR="000D736A">
        <w:t>p</w:t>
      </w:r>
      <w:r w:rsidR="00206274">
        <w:t>rohibiting d</w:t>
      </w:r>
      <w:r w:rsidR="006E67B0">
        <w:t>irect and indirect discrimination as well as harassment</w:t>
      </w:r>
      <w:r w:rsidR="00D663D6">
        <w:t>.</w:t>
      </w:r>
      <w:r w:rsidR="007F1942">
        <w:rPr>
          <w:rStyle w:val="FootnoteReference"/>
        </w:rPr>
        <w:footnoteReference w:id="95"/>
      </w:r>
      <w:r w:rsidR="00D663D6">
        <w:t xml:space="preserve"> </w:t>
      </w:r>
      <w:r w:rsidR="00C53ACB">
        <w:t xml:space="preserve">The </w:t>
      </w:r>
      <w:r w:rsidR="00C53ACB" w:rsidRPr="00AD7204">
        <w:rPr>
          <w:rFonts w:cstheme="minorHAnsi"/>
        </w:rPr>
        <w:t>EU Gender Equality (Employment) Directive</w:t>
      </w:r>
      <w:r w:rsidR="00C53ACB">
        <w:rPr>
          <w:rStyle w:val="FootnoteReference"/>
          <w:rFonts w:cstheme="minorHAnsi"/>
        </w:rPr>
        <w:footnoteReference w:id="96"/>
      </w:r>
      <w:r w:rsidR="00C53ACB">
        <w:rPr>
          <w:rFonts w:cstheme="minorHAnsi"/>
        </w:rPr>
        <w:t xml:space="preserve"> </w:t>
      </w:r>
      <w:r w:rsidR="007D59D5">
        <w:rPr>
          <w:rFonts w:cstheme="minorHAnsi"/>
        </w:rPr>
        <w:t>provides for e</w:t>
      </w:r>
      <w:r w:rsidR="007E5654" w:rsidRPr="007E5654">
        <w:rPr>
          <w:rFonts w:cstheme="minorHAnsi"/>
        </w:rPr>
        <w:t xml:space="preserve">quality between women and men in employment, work, and pay. </w:t>
      </w:r>
    </w:p>
    <w:p w14:paraId="2023A84B" w14:textId="77777777" w:rsidR="00AD7204" w:rsidRPr="00AD7204" w:rsidRDefault="00AD7204" w:rsidP="007F4F78">
      <w:pPr>
        <w:ind w:left="-11"/>
      </w:pPr>
    </w:p>
    <w:p w14:paraId="1AE70EF5" w14:textId="28CE36A7" w:rsidR="00874ECD" w:rsidRPr="00E2655A" w:rsidRDefault="004179D2" w:rsidP="007F4F78">
      <w:pPr>
        <w:pStyle w:val="ListParagraph"/>
        <w:numPr>
          <w:ilvl w:val="1"/>
          <w:numId w:val="17"/>
        </w:numPr>
        <w:ind w:left="709"/>
      </w:pPr>
      <w:r>
        <w:rPr>
          <w:rFonts w:eastAsia="Times New Roman"/>
        </w:rPr>
        <w:t>T</w:t>
      </w:r>
      <w:r w:rsidR="00890FFB">
        <w:rPr>
          <w:rFonts w:eastAsia="Times New Roman"/>
        </w:rPr>
        <w:t xml:space="preserve">he </w:t>
      </w:r>
      <w:r w:rsidR="004C7059" w:rsidRPr="0097774D">
        <w:rPr>
          <w:rFonts w:eastAsia="Times New Roman"/>
        </w:rPr>
        <w:t xml:space="preserve">EU Gender Equality </w:t>
      </w:r>
      <w:r>
        <w:rPr>
          <w:rFonts w:eastAsia="Times New Roman"/>
        </w:rPr>
        <w:t xml:space="preserve">(Self-Employment) </w:t>
      </w:r>
      <w:r w:rsidR="004C7059" w:rsidRPr="0097774D">
        <w:rPr>
          <w:rFonts w:eastAsia="Times New Roman"/>
        </w:rPr>
        <w:t xml:space="preserve">Directive </w:t>
      </w:r>
      <w:r w:rsidR="003177C0" w:rsidRPr="0097774D">
        <w:rPr>
          <w:rFonts w:eastAsia="Times New Roman"/>
        </w:rPr>
        <w:t xml:space="preserve">provides for the </w:t>
      </w:r>
      <w:r w:rsidR="008A0289" w:rsidRPr="0097774D">
        <w:rPr>
          <w:rFonts w:eastAsia="Times New Roman"/>
        </w:rPr>
        <w:t>principle of equal treatment</w:t>
      </w:r>
      <w:r w:rsidR="00520330" w:rsidRPr="0097774D">
        <w:rPr>
          <w:rFonts w:eastAsia="Times New Roman"/>
        </w:rPr>
        <w:t xml:space="preserve"> and non-discrimi</w:t>
      </w:r>
      <w:r w:rsidR="00845E3E" w:rsidRPr="0097774D">
        <w:rPr>
          <w:rFonts w:eastAsia="Times New Roman"/>
        </w:rPr>
        <w:t>nation</w:t>
      </w:r>
      <w:r w:rsidR="00681F8F" w:rsidRPr="0097774D">
        <w:rPr>
          <w:rFonts w:eastAsia="Times New Roman"/>
        </w:rPr>
        <w:t xml:space="preserve"> in both the private and public sectors</w:t>
      </w:r>
      <w:r w:rsidR="007F4F78">
        <w:rPr>
          <w:rFonts w:eastAsia="Times New Roman"/>
        </w:rPr>
        <w:t>.</w:t>
      </w:r>
      <w:r w:rsidR="008A0289">
        <w:rPr>
          <w:rStyle w:val="FootnoteReference"/>
          <w:rFonts w:eastAsia="Times New Roman"/>
        </w:rPr>
        <w:footnoteReference w:id="97"/>
      </w:r>
      <w:r w:rsidR="008A0289" w:rsidRPr="0097774D">
        <w:rPr>
          <w:rFonts w:eastAsia="Times New Roman"/>
        </w:rPr>
        <w:t xml:space="preserve"> </w:t>
      </w:r>
      <w:r w:rsidR="00890FFB">
        <w:rPr>
          <w:rFonts w:eastAsia="Times New Roman"/>
        </w:rPr>
        <w:t>It also</w:t>
      </w:r>
      <w:r w:rsidR="00455380" w:rsidRPr="0097774D">
        <w:rPr>
          <w:rFonts w:eastAsia="Times New Roman"/>
        </w:rPr>
        <w:t xml:space="preserve"> </w:t>
      </w:r>
      <w:r w:rsidR="00F65BF4" w:rsidRPr="0097774D">
        <w:rPr>
          <w:rFonts w:eastAsia="Times New Roman"/>
        </w:rPr>
        <w:t>covers also harassment and sexual harassment that are deemed as discriminatory behaviour.</w:t>
      </w:r>
      <w:r w:rsidR="00460181">
        <w:rPr>
          <w:rFonts w:eastAsia="Times New Roman"/>
        </w:rPr>
        <w:t xml:space="preserve"> Further, </w:t>
      </w:r>
      <w:r w:rsidR="00307BF2">
        <w:rPr>
          <w:rFonts w:eastAsia="Times New Roman"/>
        </w:rPr>
        <w:t xml:space="preserve">it </w:t>
      </w:r>
      <w:r w:rsidR="00536036" w:rsidRPr="00460181">
        <w:rPr>
          <w:rFonts w:eastAsia="Times New Roman"/>
        </w:rPr>
        <w:t>provides for maternity benefits</w:t>
      </w:r>
      <w:r w:rsidR="002E7E00" w:rsidRPr="00460181">
        <w:rPr>
          <w:rFonts w:eastAsia="Times New Roman"/>
        </w:rPr>
        <w:t xml:space="preserve"> “enabling interruptions in their occupational activity owing to pregnancy or motherhood for at least 14 weeks”</w:t>
      </w:r>
      <w:r w:rsidR="00536036" w:rsidRPr="00460181">
        <w:rPr>
          <w:rFonts w:eastAsia="Times New Roman"/>
        </w:rPr>
        <w:t xml:space="preserve"> </w:t>
      </w:r>
      <w:r w:rsidR="00896ECC" w:rsidRPr="00460181">
        <w:rPr>
          <w:rFonts w:eastAsia="Times New Roman"/>
        </w:rPr>
        <w:t>for self-employed female workers and female spouses and life partners referred to in Article 2</w:t>
      </w:r>
      <w:r w:rsidR="002E7E00" w:rsidRPr="00460181">
        <w:rPr>
          <w:rFonts w:eastAsia="Times New Roman"/>
        </w:rPr>
        <w:t>.</w:t>
      </w:r>
      <w:r w:rsidR="002E7E00">
        <w:rPr>
          <w:rStyle w:val="FootnoteReference"/>
          <w:rFonts w:eastAsia="Times New Roman"/>
        </w:rPr>
        <w:footnoteReference w:id="98"/>
      </w:r>
      <w:r w:rsidR="002E7E00" w:rsidRPr="00460181">
        <w:rPr>
          <w:rFonts w:eastAsia="Times New Roman"/>
        </w:rPr>
        <w:t xml:space="preserve"> </w:t>
      </w:r>
    </w:p>
    <w:p w14:paraId="2FFAF65C" w14:textId="77777777" w:rsidR="00EC406D" w:rsidRDefault="00EC406D" w:rsidP="00EC406D">
      <w:pPr>
        <w:ind w:left="-11"/>
      </w:pPr>
    </w:p>
    <w:p w14:paraId="6E7E1C5D" w14:textId="020D4296" w:rsidR="00F5289B" w:rsidRPr="00E2655A" w:rsidRDefault="00F5289B" w:rsidP="00E2655A">
      <w:pPr>
        <w:ind w:left="-11"/>
        <w:rPr>
          <w:i/>
          <w:iCs/>
        </w:rPr>
      </w:pPr>
      <w:r w:rsidRPr="00E2655A">
        <w:rPr>
          <w:i/>
          <w:iCs/>
        </w:rPr>
        <w:t xml:space="preserve">Digital Platform </w:t>
      </w:r>
      <w:r>
        <w:rPr>
          <w:i/>
          <w:iCs/>
        </w:rPr>
        <w:t>W</w:t>
      </w:r>
      <w:r w:rsidRPr="00E2655A">
        <w:rPr>
          <w:i/>
          <w:iCs/>
        </w:rPr>
        <w:t>ork</w:t>
      </w:r>
    </w:p>
    <w:p w14:paraId="1B952F2D" w14:textId="77777777" w:rsidR="007F4F78" w:rsidRPr="00C563F0" w:rsidRDefault="007F4F78" w:rsidP="007F4F78">
      <w:pPr>
        <w:pStyle w:val="ListParagraph"/>
        <w:ind w:left="709"/>
      </w:pPr>
    </w:p>
    <w:p w14:paraId="2CD62C07" w14:textId="44E43C5E" w:rsidR="00C53944" w:rsidRPr="00E2655A" w:rsidRDefault="00BE6783" w:rsidP="007109ED">
      <w:pPr>
        <w:pStyle w:val="ListParagraph"/>
        <w:numPr>
          <w:ilvl w:val="1"/>
          <w:numId w:val="17"/>
        </w:numPr>
        <w:ind w:left="709"/>
      </w:pPr>
      <w:r>
        <w:t>As acknowledged</w:t>
      </w:r>
      <w:r w:rsidR="003D2B15">
        <w:t xml:space="preserve"> by the Department</w:t>
      </w:r>
      <w:r w:rsidR="006F271C">
        <w:t xml:space="preserve"> for the Economy</w:t>
      </w:r>
      <w:r w:rsidR="003D2B15">
        <w:t>,</w:t>
      </w:r>
      <w:r>
        <w:t xml:space="preserve"> the </w:t>
      </w:r>
      <w:r w:rsidR="00A026DD">
        <w:t xml:space="preserve">proposed </w:t>
      </w:r>
      <w:r w:rsidR="00944A3A">
        <w:t xml:space="preserve">EU </w:t>
      </w:r>
      <w:r w:rsidR="002A7168">
        <w:t xml:space="preserve">Directive on Platform Work </w:t>
      </w:r>
      <w:r w:rsidR="007E3FCF">
        <w:t xml:space="preserve">addresses issues </w:t>
      </w:r>
      <w:r w:rsidR="00B00EB0">
        <w:t>within the scope of the current consultation</w:t>
      </w:r>
      <w:r w:rsidR="00A026DD">
        <w:t>.</w:t>
      </w:r>
      <w:r w:rsidR="00EC6B9E">
        <w:rPr>
          <w:rStyle w:val="FootnoteReference"/>
        </w:rPr>
        <w:footnoteReference w:id="99"/>
      </w:r>
      <w:r w:rsidR="00B00EB0">
        <w:t xml:space="preserve"> </w:t>
      </w:r>
      <w:r w:rsidR="00D50BAA">
        <w:t>F</w:t>
      </w:r>
      <w:r w:rsidR="00D50BAA">
        <w:rPr>
          <w:rStyle w:val="normaltextrun"/>
          <w:rFonts w:eastAsiaTheme="majorEastAsia" w:cs="Arial"/>
        </w:rPr>
        <w:t>ollowing inter-institutional negotiations</w:t>
      </w:r>
      <w:r w:rsidR="00853A57">
        <w:rPr>
          <w:rStyle w:val="normaltextrun"/>
          <w:rFonts w:eastAsiaTheme="majorEastAsia" w:cs="Arial"/>
        </w:rPr>
        <w:t>,</w:t>
      </w:r>
      <w:r w:rsidR="00D50BAA">
        <w:t xml:space="preserve"> t</w:t>
      </w:r>
      <w:r w:rsidR="003D6810">
        <w:t>he p</w:t>
      </w:r>
      <w:r w:rsidR="00142F17">
        <w:t>roposal</w:t>
      </w:r>
      <w:r w:rsidR="0090040F">
        <w:t xml:space="preserve"> </w:t>
      </w:r>
      <w:r w:rsidR="003D6810">
        <w:t xml:space="preserve">for a </w:t>
      </w:r>
      <w:r w:rsidR="0090040F">
        <w:t xml:space="preserve">Directive was </w:t>
      </w:r>
      <w:r w:rsidR="003D6810">
        <w:t xml:space="preserve">adopted in </w:t>
      </w:r>
      <w:r w:rsidR="00DC4FE7">
        <w:t>April</w:t>
      </w:r>
      <w:r w:rsidR="00C163AF">
        <w:t xml:space="preserve"> 2024</w:t>
      </w:r>
      <w:r w:rsidR="003D6810">
        <w:t xml:space="preserve"> by</w:t>
      </w:r>
      <w:r w:rsidR="00A62DF5">
        <w:t xml:space="preserve"> </w:t>
      </w:r>
      <w:r w:rsidR="00A62DF5" w:rsidRPr="00173D0B">
        <w:rPr>
          <w:rStyle w:val="normaltextrun"/>
          <w:rFonts w:eastAsiaTheme="majorEastAsia" w:cs="Arial"/>
        </w:rPr>
        <w:t>the European Parliament</w:t>
      </w:r>
      <w:r w:rsidR="005C3AA2">
        <w:rPr>
          <w:rStyle w:val="normaltextrun"/>
          <w:rFonts w:eastAsiaTheme="majorEastAsia" w:cs="Arial"/>
        </w:rPr>
        <w:t xml:space="preserve"> and is</w:t>
      </w:r>
      <w:r w:rsidR="00A62DF5" w:rsidRPr="00173D0B">
        <w:rPr>
          <w:rStyle w:val="normaltextrun"/>
          <w:rFonts w:eastAsiaTheme="majorEastAsia" w:cs="Arial"/>
        </w:rPr>
        <w:t xml:space="preserve"> </w:t>
      </w:r>
      <w:r w:rsidR="00EF5388">
        <w:rPr>
          <w:rStyle w:val="normaltextrun"/>
          <w:rFonts w:eastAsiaTheme="majorEastAsia" w:cs="Arial"/>
        </w:rPr>
        <w:t xml:space="preserve">subject to </w:t>
      </w:r>
      <w:r w:rsidR="000E0FC2">
        <w:rPr>
          <w:rStyle w:val="normaltextrun"/>
          <w:rFonts w:eastAsiaTheme="majorEastAsia" w:cs="Arial"/>
        </w:rPr>
        <w:t>formal adoption</w:t>
      </w:r>
      <w:r w:rsidR="00EF5388">
        <w:rPr>
          <w:rStyle w:val="normaltextrun"/>
          <w:rFonts w:eastAsiaTheme="majorEastAsia" w:cs="Arial"/>
        </w:rPr>
        <w:t xml:space="preserve"> by the Council.</w:t>
      </w:r>
      <w:r w:rsidR="005046F5">
        <w:rPr>
          <w:rStyle w:val="FootnoteReference"/>
          <w:rFonts w:eastAsiaTheme="majorEastAsia" w:cs="Arial"/>
        </w:rPr>
        <w:footnoteReference w:id="100"/>
      </w:r>
      <w:r w:rsidR="00EF5388">
        <w:rPr>
          <w:rStyle w:val="normaltextrun"/>
          <w:rFonts w:eastAsiaTheme="majorEastAsia" w:cs="Arial"/>
        </w:rPr>
        <w:t xml:space="preserve"> </w:t>
      </w:r>
      <w:r w:rsidR="00322301">
        <w:rPr>
          <w:rStyle w:val="normaltextrun"/>
          <w:rFonts w:eastAsiaTheme="majorEastAsia" w:cs="Arial"/>
        </w:rPr>
        <w:t xml:space="preserve">It </w:t>
      </w:r>
      <w:r w:rsidR="00A62DF5" w:rsidRPr="00173D0B">
        <w:rPr>
          <w:rStyle w:val="normaltextrun"/>
          <w:rFonts w:eastAsiaTheme="majorEastAsia" w:cs="Arial"/>
        </w:rPr>
        <w:t xml:space="preserve">would regulate employment rights in the ‘gig economy’ </w:t>
      </w:r>
      <w:r w:rsidR="00A828B1">
        <w:t>and</w:t>
      </w:r>
      <w:r w:rsidR="00A62DF5">
        <w:rPr>
          <w:rStyle w:val="normaltextrun"/>
          <w:rFonts w:eastAsiaTheme="majorEastAsia" w:cs="Arial"/>
        </w:rPr>
        <w:t xml:space="preserve"> </w:t>
      </w:r>
      <w:r w:rsidR="00173D0B" w:rsidRPr="00A62DF5">
        <w:rPr>
          <w:rStyle w:val="normaltextrun"/>
          <w:rFonts w:eastAsiaTheme="majorEastAsia" w:cs="Arial"/>
        </w:rPr>
        <w:t xml:space="preserve">provide guidance as to when a worker </w:t>
      </w:r>
      <w:r w:rsidR="008762FD">
        <w:rPr>
          <w:rStyle w:val="normaltextrun"/>
          <w:rFonts w:eastAsiaTheme="majorEastAsia" w:cs="Arial"/>
        </w:rPr>
        <w:t xml:space="preserve">in this context </w:t>
      </w:r>
      <w:r w:rsidR="00173D0B" w:rsidRPr="00A62DF5">
        <w:rPr>
          <w:rStyle w:val="normaltextrun"/>
          <w:rFonts w:eastAsiaTheme="majorEastAsia" w:cs="Arial"/>
        </w:rPr>
        <w:t>should be treated as an employee and so entitled to greater protections</w:t>
      </w:r>
      <w:r w:rsidR="00892BEB">
        <w:rPr>
          <w:rStyle w:val="normaltextrun"/>
          <w:rFonts w:eastAsiaTheme="majorEastAsia" w:cs="Arial"/>
        </w:rPr>
        <w:t xml:space="preserve">. It will also </w:t>
      </w:r>
      <w:r w:rsidR="00892BEB" w:rsidRPr="00892BEB">
        <w:rPr>
          <w:rStyle w:val="normaltextrun"/>
          <w:rFonts w:eastAsiaTheme="majorEastAsia" w:cs="Arial"/>
        </w:rPr>
        <w:t>regulate the use of algorithms by digital labour platforms</w:t>
      </w:r>
      <w:r w:rsidR="00173D0B" w:rsidRPr="00A62DF5">
        <w:rPr>
          <w:rStyle w:val="normaltextrun"/>
          <w:rFonts w:eastAsiaTheme="majorEastAsia" w:cs="Arial"/>
        </w:rPr>
        <w:t>.</w:t>
      </w:r>
      <w:r w:rsidR="00173D0B" w:rsidRPr="00173D0B">
        <w:rPr>
          <w:rStyle w:val="FootnoteReference"/>
          <w:rFonts w:eastAsiaTheme="majorEastAsia" w:cs="Arial"/>
        </w:rPr>
        <w:footnoteReference w:id="101"/>
      </w:r>
      <w:r w:rsidR="00173D0B" w:rsidRPr="00A62DF5">
        <w:rPr>
          <w:rStyle w:val="normaltextrun"/>
          <w:rFonts w:eastAsiaTheme="majorEastAsia" w:cs="Arial"/>
        </w:rPr>
        <w:t> </w:t>
      </w:r>
      <w:r w:rsidR="00A25C7C">
        <w:rPr>
          <w:rStyle w:val="normaltextrun"/>
          <w:rFonts w:eastAsiaTheme="majorEastAsia" w:cs="Arial"/>
        </w:rPr>
        <w:t xml:space="preserve">Subject to the outcome of the </w:t>
      </w:r>
      <w:r w:rsidR="007F2417">
        <w:rPr>
          <w:rStyle w:val="normaltextrun"/>
          <w:rFonts w:eastAsiaTheme="majorEastAsia" w:cs="Arial"/>
        </w:rPr>
        <w:t xml:space="preserve">current </w:t>
      </w:r>
      <w:r w:rsidR="00A25C7C">
        <w:rPr>
          <w:rStyle w:val="normaltextrun"/>
          <w:rFonts w:eastAsiaTheme="majorEastAsia" w:cs="Arial"/>
        </w:rPr>
        <w:t>consultation, t</w:t>
      </w:r>
      <w:r w:rsidR="000E0CE2">
        <w:rPr>
          <w:rStyle w:val="normaltextrun"/>
          <w:rFonts w:eastAsiaTheme="majorEastAsia" w:cs="Arial"/>
        </w:rPr>
        <w:t xml:space="preserve">he Directive has the potential to </w:t>
      </w:r>
      <w:r w:rsidR="00A25C7C">
        <w:rPr>
          <w:rStyle w:val="normaltextrun"/>
          <w:rFonts w:eastAsiaTheme="majorEastAsia" w:cs="Arial"/>
        </w:rPr>
        <w:t xml:space="preserve">increase divergence of rights on the island of Ireland. </w:t>
      </w:r>
      <w:r w:rsidR="009E0A3F">
        <w:rPr>
          <w:rStyle w:val="normaltextrun"/>
          <w:rFonts w:eastAsiaTheme="majorEastAsia" w:cs="Arial"/>
        </w:rPr>
        <w:t xml:space="preserve">The </w:t>
      </w:r>
      <w:r w:rsidR="00B32D8F">
        <w:rPr>
          <w:rStyle w:val="normaltextrun"/>
          <w:rFonts w:eastAsiaTheme="majorEastAsia" w:cs="Arial"/>
        </w:rPr>
        <w:t xml:space="preserve">NIHRC </w:t>
      </w:r>
      <w:r w:rsidR="00F115FF">
        <w:rPr>
          <w:rStyle w:val="normaltextrun"/>
          <w:rFonts w:eastAsiaTheme="majorEastAsia" w:cs="Arial"/>
        </w:rPr>
        <w:t>will</w:t>
      </w:r>
      <w:r w:rsidR="009E0A3F">
        <w:rPr>
          <w:rStyle w:val="normaltextrun"/>
          <w:rFonts w:eastAsiaTheme="majorEastAsia" w:cs="Arial"/>
        </w:rPr>
        <w:t xml:space="preserve"> </w:t>
      </w:r>
      <w:r w:rsidR="00BD364B">
        <w:rPr>
          <w:rStyle w:val="normaltextrun"/>
          <w:rFonts w:eastAsiaTheme="majorEastAsia" w:cs="Arial"/>
        </w:rPr>
        <w:t xml:space="preserve">consider the </w:t>
      </w:r>
      <w:r w:rsidR="00F115FF">
        <w:rPr>
          <w:rStyle w:val="normaltextrun"/>
          <w:rFonts w:eastAsiaTheme="majorEastAsia" w:cs="Arial"/>
        </w:rPr>
        <w:t xml:space="preserve">human rights implications of the final text </w:t>
      </w:r>
      <w:r w:rsidR="00B829B4">
        <w:rPr>
          <w:rStyle w:val="normaltextrun"/>
          <w:rFonts w:eastAsiaTheme="majorEastAsia" w:cs="Arial"/>
        </w:rPr>
        <w:t xml:space="preserve">of the Directive, </w:t>
      </w:r>
      <w:r w:rsidR="00F115FF">
        <w:rPr>
          <w:rStyle w:val="normaltextrun"/>
          <w:rFonts w:eastAsiaTheme="majorEastAsia" w:cs="Arial"/>
        </w:rPr>
        <w:t xml:space="preserve">including </w:t>
      </w:r>
      <w:r w:rsidR="00F115FF">
        <w:rPr>
          <w:rStyle w:val="normaltextrun"/>
          <w:rFonts w:eastAsiaTheme="majorEastAsia" w:cs="Arial"/>
        </w:rPr>
        <w:lastRenderedPageBreak/>
        <w:t xml:space="preserve">any potential </w:t>
      </w:r>
      <w:r w:rsidR="00BD364B">
        <w:rPr>
          <w:rStyle w:val="normaltextrun"/>
          <w:rFonts w:eastAsiaTheme="majorEastAsia" w:cs="Arial"/>
        </w:rPr>
        <w:t xml:space="preserve">interaction with </w:t>
      </w:r>
      <w:r w:rsidR="00BD3492">
        <w:rPr>
          <w:rStyle w:val="normaltextrun"/>
          <w:rFonts w:eastAsiaTheme="majorEastAsia" w:cs="Arial"/>
        </w:rPr>
        <w:t>the Annex 1 Equality Directives, given provisions relating to protection from discrimination</w:t>
      </w:r>
      <w:r w:rsidR="009E0A3F">
        <w:rPr>
          <w:rStyle w:val="normaltextrun"/>
          <w:rFonts w:eastAsiaTheme="majorEastAsia" w:cs="Arial"/>
        </w:rPr>
        <w:t>.</w:t>
      </w:r>
      <w:r w:rsidR="00D2729B">
        <w:rPr>
          <w:rStyle w:val="FootnoteReference"/>
          <w:rFonts w:eastAsiaTheme="majorEastAsia" w:cs="Arial"/>
        </w:rPr>
        <w:footnoteReference w:id="102"/>
      </w:r>
      <w:r w:rsidR="005F3670">
        <w:rPr>
          <w:rStyle w:val="normaltextrun"/>
          <w:rFonts w:eastAsiaTheme="majorEastAsia" w:cs="Arial"/>
        </w:rPr>
        <w:t xml:space="preserve"> </w:t>
      </w:r>
    </w:p>
    <w:p w14:paraId="1CFB8E32" w14:textId="77777777" w:rsidR="007109ED" w:rsidRPr="006529C8" w:rsidRDefault="007109ED" w:rsidP="00E2655A">
      <w:pPr>
        <w:pStyle w:val="ListParagraph"/>
        <w:ind w:left="709"/>
        <w:rPr>
          <w:rStyle w:val="eop"/>
        </w:rPr>
      </w:pPr>
    </w:p>
    <w:p w14:paraId="76EBECD6" w14:textId="70E51B96" w:rsidR="00C53944" w:rsidRPr="00447F39" w:rsidRDefault="006529C8" w:rsidP="00447F39">
      <w:pPr>
        <w:pStyle w:val="ListParagraph"/>
        <w:numPr>
          <w:ilvl w:val="1"/>
          <w:numId w:val="17"/>
        </w:numPr>
        <w:ind w:left="709"/>
        <w:rPr>
          <w:rStyle w:val="eop"/>
          <w:b/>
          <w:bCs/>
        </w:rPr>
      </w:pPr>
      <w:r w:rsidRPr="00E2655A">
        <w:rPr>
          <w:b/>
          <w:bCs/>
        </w:rPr>
        <w:t xml:space="preserve">The NIHRC recommends that the Department for the Economy </w:t>
      </w:r>
      <w:r w:rsidR="0002783E" w:rsidRPr="00E2655A">
        <w:rPr>
          <w:b/>
          <w:bCs/>
        </w:rPr>
        <w:t>monitor closely any changes to</w:t>
      </w:r>
      <w:r w:rsidR="00ED690A" w:rsidRPr="00E2655A">
        <w:rPr>
          <w:b/>
          <w:bCs/>
        </w:rPr>
        <w:t xml:space="preserve"> </w:t>
      </w:r>
      <w:r w:rsidR="006B597A" w:rsidRPr="00E2655A">
        <w:rPr>
          <w:rFonts w:cstheme="minorHAnsi"/>
          <w:b/>
          <w:bCs/>
        </w:rPr>
        <w:t xml:space="preserve">the </w:t>
      </w:r>
      <w:r w:rsidR="00751534" w:rsidRPr="00E2655A">
        <w:rPr>
          <w:rFonts w:cstheme="minorHAnsi"/>
          <w:b/>
          <w:bCs/>
        </w:rPr>
        <w:t xml:space="preserve">EU Employment Equality (Framework) Directive, </w:t>
      </w:r>
      <w:r w:rsidR="00751534" w:rsidRPr="00E2655A">
        <w:rPr>
          <w:rFonts w:eastAsia="Times New Roman"/>
          <w:b/>
          <w:bCs/>
        </w:rPr>
        <w:t xml:space="preserve">the </w:t>
      </w:r>
      <w:r w:rsidR="00751534" w:rsidRPr="00E2655A">
        <w:rPr>
          <w:rFonts w:cstheme="minorHAnsi"/>
          <w:b/>
          <w:bCs/>
        </w:rPr>
        <w:t>EU Racial Equality Directive</w:t>
      </w:r>
      <w:r w:rsidR="00A82318" w:rsidRPr="00E2655A">
        <w:rPr>
          <w:rFonts w:cstheme="minorHAnsi"/>
          <w:b/>
          <w:bCs/>
        </w:rPr>
        <w:t>, the EU Gender Equality (Self-Employment)</w:t>
      </w:r>
      <w:r w:rsidR="00751534" w:rsidRPr="00E2655A">
        <w:rPr>
          <w:rFonts w:cstheme="minorHAnsi"/>
          <w:b/>
          <w:bCs/>
        </w:rPr>
        <w:t xml:space="preserve"> and EU Gender Equality (Employment) Directive</w:t>
      </w:r>
      <w:r w:rsidR="00A82318" w:rsidRPr="00E2655A">
        <w:rPr>
          <w:rFonts w:cstheme="minorHAnsi"/>
          <w:b/>
          <w:bCs/>
        </w:rPr>
        <w:t>s</w:t>
      </w:r>
      <w:r w:rsidR="00355C1D" w:rsidRPr="00E2655A">
        <w:rPr>
          <w:rFonts w:cstheme="minorHAnsi"/>
          <w:b/>
          <w:bCs/>
        </w:rPr>
        <w:t>,</w:t>
      </w:r>
      <w:r w:rsidR="00751534" w:rsidRPr="00E2655A">
        <w:rPr>
          <w:rFonts w:cstheme="minorHAnsi"/>
          <w:b/>
          <w:bCs/>
        </w:rPr>
        <w:t xml:space="preserve"> </w:t>
      </w:r>
      <w:r w:rsidR="00A82318" w:rsidRPr="00E2655A">
        <w:rPr>
          <w:rFonts w:cstheme="minorHAnsi"/>
          <w:b/>
          <w:bCs/>
        </w:rPr>
        <w:t>to ensure that</w:t>
      </w:r>
      <w:r w:rsidR="003E16FE" w:rsidRPr="00E2655A">
        <w:rPr>
          <w:rFonts w:cstheme="minorHAnsi"/>
          <w:b/>
          <w:bCs/>
        </w:rPr>
        <w:t xml:space="preserve"> employment </w:t>
      </w:r>
      <w:r w:rsidR="006F2FAF" w:rsidRPr="00E2655A">
        <w:rPr>
          <w:rFonts w:cstheme="minorHAnsi"/>
          <w:b/>
          <w:bCs/>
        </w:rPr>
        <w:t>law</w:t>
      </w:r>
      <w:r w:rsidR="007B4A75" w:rsidRPr="00E2655A">
        <w:rPr>
          <w:rFonts w:cstheme="minorHAnsi"/>
          <w:b/>
          <w:bCs/>
        </w:rPr>
        <w:t xml:space="preserve"> in NI</w:t>
      </w:r>
      <w:r w:rsidR="003E16FE" w:rsidRPr="00E2655A">
        <w:rPr>
          <w:rFonts w:cstheme="minorHAnsi"/>
          <w:b/>
          <w:bCs/>
        </w:rPr>
        <w:t xml:space="preserve"> keep</w:t>
      </w:r>
      <w:r w:rsidR="006F2FAF" w:rsidRPr="00E2655A">
        <w:rPr>
          <w:rFonts w:cstheme="minorHAnsi"/>
          <w:b/>
          <w:bCs/>
        </w:rPr>
        <w:t>s</w:t>
      </w:r>
      <w:r w:rsidR="003E16FE" w:rsidRPr="00E2655A">
        <w:rPr>
          <w:rFonts w:cstheme="minorHAnsi"/>
          <w:b/>
          <w:bCs/>
        </w:rPr>
        <w:t xml:space="preserve"> pace </w:t>
      </w:r>
      <w:r w:rsidR="007B4A75" w:rsidRPr="00E2655A">
        <w:rPr>
          <w:rFonts w:cstheme="minorHAnsi"/>
          <w:b/>
          <w:bCs/>
        </w:rPr>
        <w:t xml:space="preserve">with </w:t>
      </w:r>
      <w:r w:rsidR="004F52CB" w:rsidRPr="00E2655A">
        <w:rPr>
          <w:rFonts w:cstheme="minorHAnsi"/>
          <w:b/>
          <w:bCs/>
        </w:rPr>
        <w:t>any enhancements to rights</w:t>
      </w:r>
      <w:r w:rsidR="003E16FE" w:rsidRPr="00E2655A">
        <w:rPr>
          <w:rFonts w:cstheme="minorHAnsi"/>
          <w:b/>
          <w:bCs/>
        </w:rPr>
        <w:t>, pursuant to Windsor Framework Article</w:t>
      </w:r>
      <w:r w:rsidR="004F52CB" w:rsidRPr="00E2655A">
        <w:rPr>
          <w:rFonts w:cstheme="minorHAnsi"/>
          <w:b/>
          <w:bCs/>
        </w:rPr>
        <w:t>s</w:t>
      </w:r>
      <w:r w:rsidR="003E16FE" w:rsidRPr="00E2655A">
        <w:rPr>
          <w:rFonts w:cstheme="minorHAnsi"/>
          <w:b/>
          <w:bCs/>
        </w:rPr>
        <w:t xml:space="preserve"> 2</w:t>
      </w:r>
      <w:r w:rsidR="004F52CB" w:rsidRPr="00E2655A">
        <w:rPr>
          <w:rFonts w:cstheme="minorHAnsi"/>
          <w:b/>
          <w:bCs/>
        </w:rPr>
        <w:t xml:space="preserve"> and 13</w:t>
      </w:r>
      <w:r w:rsidR="003E16FE" w:rsidRPr="00E2655A">
        <w:rPr>
          <w:rFonts w:cstheme="minorHAnsi"/>
          <w:b/>
          <w:bCs/>
        </w:rPr>
        <w:t>.</w:t>
      </w:r>
    </w:p>
    <w:p w14:paraId="5961DBED" w14:textId="77777777" w:rsidR="00F51D78" w:rsidRDefault="00F51D78" w:rsidP="00E2655A">
      <w:pPr>
        <w:pStyle w:val="ListParagraph"/>
        <w:ind w:left="709"/>
      </w:pPr>
    </w:p>
    <w:p w14:paraId="4D3DDD5B" w14:textId="38BDE20B" w:rsidR="00F51D78" w:rsidRPr="00055380" w:rsidRDefault="00F51D78" w:rsidP="00055380">
      <w:pPr>
        <w:pStyle w:val="ListParagraph"/>
        <w:numPr>
          <w:ilvl w:val="1"/>
          <w:numId w:val="17"/>
        </w:numPr>
        <w:ind w:left="709"/>
        <w:rPr>
          <w:b/>
          <w:bCs/>
        </w:rPr>
      </w:pPr>
      <w:r w:rsidRPr="00055380">
        <w:rPr>
          <w:b/>
          <w:bCs/>
        </w:rPr>
        <w:t xml:space="preserve">The NIHRC recommends </w:t>
      </w:r>
      <w:r w:rsidR="00055380">
        <w:rPr>
          <w:b/>
          <w:bCs/>
        </w:rPr>
        <w:t>that the Department for the Economy</w:t>
      </w:r>
      <w:r w:rsidR="00055380" w:rsidRPr="00055380">
        <w:rPr>
          <w:b/>
          <w:bCs/>
        </w:rPr>
        <w:t xml:space="preserve"> reviews the </w:t>
      </w:r>
      <w:r w:rsidR="00055380">
        <w:rPr>
          <w:b/>
          <w:bCs/>
        </w:rPr>
        <w:t>p</w:t>
      </w:r>
      <w:r w:rsidR="00055380" w:rsidRPr="00055380">
        <w:rPr>
          <w:b/>
          <w:bCs/>
        </w:rPr>
        <w:t>roposed EU Directive on Platform Work and</w:t>
      </w:r>
      <w:r w:rsidR="00286F69">
        <w:rPr>
          <w:b/>
          <w:bCs/>
        </w:rPr>
        <w:t xml:space="preserve"> </w:t>
      </w:r>
      <w:r w:rsidR="00A70CD4">
        <w:rPr>
          <w:b/>
          <w:bCs/>
        </w:rPr>
        <w:t>that</w:t>
      </w:r>
      <w:r w:rsidR="00CB4651">
        <w:rPr>
          <w:b/>
          <w:bCs/>
        </w:rPr>
        <w:t>,</w:t>
      </w:r>
      <w:r w:rsidR="00A70CD4">
        <w:rPr>
          <w:b/>
          <w:bCs/>
        </w:rPr>
        <w:t xml:space="preserve"> </w:t>
      </w:r>
      <w:r w:rsidR="00F27448">
        <w:rPr>
          <w:b/>
          <w:bCs/>
        </w:rPr>
        <w:t xml:space="preserve">in addition to </w:t>
      </w:r>
      <w:r w:rsidR="00EA50D7">
        <w:rPr>
          <w:b/>
          <w:bCs/>
        </w:rPr>
        <w:t xml:space="preserve">ensuring compliance of NI law with any dynamic alignment obligations arising, that </w:t>
      </w:r>
      <w:r w:rsidR="00A70CD4">
        <w:rPr>
          <w:b/>
          <w:bCs/>
        </w:rPr>
        <w:t xml:space="preserve">it </w:t>
      </w:r>
      <w:r w:rsidR="00B318C3">
        <w:rPr>
          <w:b/>
          <w:bCs/>
        </w:rPr>
        <w:t>considers amending NI law on a</w:t>
      </w:r>
      <w:r w:rsidR="00055380" w:rsidRPr="00055380">
        <w:rPr>
          <w:b/>
          <w:bCs/>
        </w:rPr>
        <w:t xml:space="preserve"> voluntary basis, </w:t>
      </w:r>
      <w:r w:rsidR="00F27448">
        <w:rPr>
          <w:b/>
          <w:bCs/>
        </w:rPr>
        <w:t xml:space="preserve">to align </w:t>
      </w:r>
      <w:r w:rsidR="00055380" w:rsidRPr="00055380">
        <w:rPr>
          <w:b/>
          <w:bCs/>
        </w:rPr>
        <w:t>with</w:t>
      </w:r>
      <w:r w:rsidR="002D0B28">
        <w:rPr>
          <w:b/>
          <w:bCs/>
        </w:rPr>
        <w:t xml:space="preserve"> other</w:t>
      </w:r>
      <w:r w:rsidR="00055380" w:rsidRPr="00055380">
        <w:rPr>
          <w:b/>
          <w:bCs/>
        </w:rPr>
        <w:t xml:space="preserve"> changes that enhance equality or human rights protections and reflect international human rights standards</w:t>
      </w:r>
      <w:r w:rsidR="00055380">
        <w:rPr>
          <w:b/>
          <w:bCs/>
        </w:rPr>
        <w:t xml:space="preserve">. </w:t>
      </w:r>
    </w:p>
    <w:p w14:paraId="304106FD" w14:textId="637C65EC" w:rsidR="00AF5FDF" w:rsidRPr="00AF5FDF" w:rsidRDefault="00AF5FDF" w:rsidP="00AF5FDF">
      <w:pPr>
        <w:ind w:left="-11"/>
      </w:pPr>
    </w:p>
    <w:p w14:paraId="065AC677" w14:textId="3D34AFEF" w:rsidR="00AF5FDF" w:rsidRPr="00AF5FDF" w:rsidRDefault="00AF5FDF" w:rsidP="00AF5FDF">
      <w:pPr>
        <w:pStyle w:val="Heading2"/>
      </w:pPr>
      <w:bookmarkStart w:id="32" w:name="_Toc178599800"/>
      <w:r w:rsidRPr="00415460">
        <w:t>Part-time workers</w:t>
      </w:r>
      <w:bookmarkEnd w:id="32"/>
    </w:p>
    <w:p w14:paraId="0067EEF5" w14:textId="07299D1B" w:rsidR="00AF5FDF" w:rsidRDefault="00F105FC" w:rsidP="00710B9C">
      <w:pPr>
        <w:pStyle w:val="ListParagraph"/>
        <w:numPr>
          <w:ilvl w:val="1"/>
          <w:numId w:val="17"/>
        </w:numPr>
        <w:ind w:left="709"/>
      </w:pPr>
      <w:r>
        <w:t xml:space="preserve">The </w:t>
      </w:r>
      <w:r w:rsidR="00544852">
        <w:t>NIHRC along with the Equality Commission for NI</w:t>
      </w:r>
      <w:r>
        <w:t xml:space="preserve"> have identified the EU Part</w:t>
      </w:r>
      <w:r w:rsidR="00595AD6">
        <w:t>-</w:t>
      </w:r>
      <w:r>
        <w:t xml:space="preserve">Time Work </w:t>
      </w:r>
      <w:r w:rsidRPr="00A44F9F">
        <w:t>Directive</w:t>
      </w:r>
      <w:r>
        <w:t xml:space="preserve"> as falling within scope of Windsor Framework Article 2.</w:t>
      </w:r>
      <w:r w:rsidR="007C42CE">
        <w:rPr>
          <w:rStyle w:val="FootnoteReference"/>
        </w:rPr>
        <w:footnoteReference w:id="103"/>
      </w:r>
      <w:r>
        <w:t xml:space="preserve"> It </w:t>
      </w:r>
      <w:r w:rsidR="00E369E1">
        <w:t xml:space="preserve">bound the UK prior to leaving the EU and there should be no diminution of the </w:t>
      </w:r>
      <w:r>
        <w:t>minimum standards</w:t>
      </w:r>
      <w:r w:rsidR="00B90E9E">
        <w:t xml:space="preserve"> it requires</w:t>
      </w:r>
      <w:r w:rsidR="00E369E1">
        <w:t xml:space="preserve">. </w:t>
      </w:r>
      <w:r>
        <w:t xml:space="preserve">The </w:t>
      </w:r>
      <w:r w:rsidR="00677587">
        <w:t xml:space="preserve">EU </w:t>
      </w:r>
      <w:r w:rsidR="00677587" w:rsidRPr="00A44F9F">
        <w:t xml:space="preserve">Directive </w:t>
      </w:r>
      <w:r w:rsidR="00677587">
        <w:t xml:space="preserve">implements the Framework Agreement on part-time work agreed between the </w:t>
      </w:r>
      <w:r>
        <w:t>EU</w:t>
      </w:r>
      <w:r w:rsidR="00677587">
        <w:t>’s employers and trade unions.</w:t>
      </w:r>
      <w:r w:rsidR="00677587">
        <w:rPr>
          <w:rStyle w:val="FootnoteReference"/>
        </w:rPr>
        <w:footnoteReference w:id="104"/>
      </w:r>
      <w:r w:rsidR="00677587" w:rsidRPr="000D24FF">
        <w:t xml:space="preserve"> The Framework Agreement</w:t>
      </w:r>
      <w:r w:rsidR="00E64A1E">
        <w:t xml:space="preserve"> (annexed to the Directive)</w:t>
      </w:r>
      <w:r w:rsidR="00677587" w:rsidRPr="000D24FF">
        <w:t xml:space="preserve"> aims to remove unjustified discrimination against part-time workers and improve the quality of part-time employment.</w:t>
      </w:r>
      <w:r w:rsidR="00F37A2F">
        <w:rPr>
          <w:rStyle w:val="FootnoteReference"/>
        </w:rPr>
        <w:footnoteReference w:id="105"/>
      </w:r>
      <w:r w:rsidR="00677587" w:rsidRPr="000D24FF">
        <w:t xml:space="preserve"> It also encourages the voluntary expansion of part-time work, allowing employees and employers to arrange working hours in a way that suits both parties' needs.</w:t>
      </w:r>
    </w:p>
    <w:p w14:paraId="6D1F22E2" w14:textId="77777777" w:rsidR="00AF5FDF" w:rsidRDefault="00AF5FDF" w:rsidP="00AF5FDF">
      <w:pPr>
        <w:pStyle w:val="ListParagraph"/>
        <w:ind w:left="709"/>
      </w:pPr>
    </w:p>
    <w:p w14:paraId="15699120" w14:textId="2E071123" w:rsidR="00AE5DA0" w:rsidRDefault="006A5E4A" w:rsidP="00175BE9">
      <w:pPr>
        <w:pStyle w:val="ListParagraph"/>
        <w:numPr>
          <w:ilvl w:val="1"/>
          <w:numId w:val="17"/>
        </w:numPr>
        <w:ind w:left="709"/>
      </w:pPr>
      <w:r>
        <w:lastRenderedPageBreak/>
        <w:t xml:space="preserve">Further, the </w:t>
      </w:r>
      <w:r w:rsidRPr="00A44F9F">
        <w:t xml:space="preserve">Framework Agreement </w:t>
      </w:r>
      <w:r w:rsidR="00C71384">
        <w:t xml:space="preserve">stipulates that </w:t>
      </w:r>
      <w:r w:rsidR="00C017C0">
        <w:t>p</w:t>
      </w:r>
      <w:r w:rsidR="006476C4" w:rsidRPr="006476C4">
        <w:t>art-time workers cannot be treated less favourably than comparable full-time workers solely due to their part-time status, unless there is an objective justification.</w:t>
      </w:r>
      <w:r w:rsidR="00B25EDA">
        <w:rPr>
          <w:rStyle w:val="FootnoteReference"/>
        </w:rPr>
        <w:footnoteReference w:id="106"/>
      </w:r>
      <w:r w:rsidR="006476C4" w:rsidRPr="006476C4">
        <w:t xml:space="preserve"> Specific employment conditions may be linked to factors such as length of service, hours worked, or earnings level, following </w:t>
      </w:r>
      <w:r w:rsidR="00BD1747">
        <w:t xml:space="preserve">a </w:t>
      </w:r>
      <w:r w:rsidR="006476C4" w:rsidRPr="006476C4">
        <w:t xml:space="preserve">consultation </w:t>
      </w:r>
      <w:r w:rsidR="00BD1747">
        <w:t xml:space="preserve">of </w:t>
      </w:r>
      <w:r w:rsidR="00E75B52">
        <w:t xml:space="preserve">employers and their trade unions. </w:t>
      </w:r>
      <w:r w:rsidR="000F0B6D">
        <w:t>A</w:t>
      </w:r>
      <w:r w:rsidR="005E21D2" w:rsidRPr="005E21D2">
        <w:t xml:space="preserve">ny legal or administrative barriers that limit opportunities for part-time employment should be </w:t>
      </w:r>
      <w:r w:rsidR="00B97C9F">
        <w:t>reviewed and</w:t>
      </w:r>
      <w:r w:rsidR="00BE3906">
        <w:t>,</w:t>
      </w:r>
      <w:r w:rsidR="00B97C9F">
        <w:t xml:space="preserve"> where appropriate, eliminated</w:t>
      </w:r>
      <w:r w:rsidR="005E21D2" w:rsidRPr="005E21D2">
        <w:t>. Additionally, a worker's refusal to transition between full-time and part-time work should not be considered grounds for dismissal.</w:t>
      </w:r>
      <w:r w:rsidR="006C2264">
        <w:rPr>
          <w:rStyle w:val="FootnoteReference"/>
        </w:rPr>
        <w:footnoteReference w:id="107"/>
      </w:r>
    </w:p>
    <w:p w14:paraId="4BE50FFF" w14:textId="77777777" w:rsidR="006D4907" w:rsidRDefault="006D4907" w:rsidP="006D4907">
      <w:pPr>
        <w:pStyle w:val="ListParagraph"/>
        <w:ind w:left="709"/>
      </w:pPr>
    </w:p>
    <w:p w14:paraId="7D080179" w14:textId="77777777" w:rsidR="006D4907" w:rsidRPr="00EF72F5" w:rsidRDefault="006D4907" w:rsidP="006D4907">
      <w:pPr>
        <w:pStyle w:val="ListParagraph"/>
        <w:numPr>
          <w:ilvl w:val="1"/>
          <w:numId w:val="17"/>
        </w:numPr>
        <w:ind w:left="709"/>
      </w:pPr>
      <w:r>
        <w:t xml:space="preserve">In terms of the duties of employers, the Framework Agreement enforced by the EU Directive stipulates that employers should consider the following: </w:t>
      </w:r>
    </w:p>
    <w:p w14:paraId="372D73FF" w14:textId="77777777" w:rsidR="006D4907" w:rsidRPr="00EF72F5" w:rsidRDefault="006D4907" w:rsidP="006D4907">
      <w:pPr>
        <w:pStyle w:val="ListParagraph"/>
        <w:numPr>
          <w:ilvl w:val="0"/>
          <w:numId w:val="8"/>
        </w:numPr>
      </w:pPr>
      <w:r w:rsidRPr="00EF72F5">
        <w:t xml:space="preserve">requests to transfer from full-time work to any part-time work that becomes </w:t>
      </w:r>
      <w:proofErr w:type="gramStart"/>
      <w:r w:rsidRPr="00EF72F5">
        <w:t>available;</w:t>
      </w:r>
      <w:proofErr w:type="gramEnd"/>
    </w:p>
    <w:p w14:paraId="65C7CCFC" w14:textId="77777777" w:rsidR="006D4907" w:rsidRPr="00EF72F5" w:rsidRDefault="006D4907" w:rsidP="006D4907">
      <w:pPr>
        <w:pStyle w:val="ListParagraph"/>
        <w:numPr>
          <w:ilvl w:val="0"/>
          <w:numId w:val="8"/>
        </w:numPr>
      </w:pPr>
      <w:r w:rsidRPr="00EF72F5">
        <w:t xml:space="preserve">requests to transfer from part-time to full-time or to increase working time where the opportunity </w:t>
      </w:r>
      <w:proofErr w:type="gramStart"/>
      <w:r w:rsidRPr="00EF72F5">
        <w:t>arises;</w:t>
      </w:r>
      <w:proofErr w:type="gramEnd"/>
    </w:p>
    <w:p w14:paraId="474A00A8" w14:textId="6E0F1666" w:rsidR="006D4907" w:rsidRDefault="006D4907" w:rsidP="006D4907">
      <w:pPr>
        <w:pStyle w:val="ListParagraph"/>
        <w:numPr>
          <w:ilvl w:val="0"/>
          <w:numId w:val="8"/>
        </w:numPr>
      </w:pPr>
      <w:r w:rsidRPr="00EF72F5">
        <w:t>providing timely information on the availability of part-time and full-time jobs</w:t>
      </w:r>
      <w:r>
        <w:t xml:space="preserve">. </w:t>
      </w:r>
    </w:p>
    <w:p w14:paraId="24F261DA" w14:textId="77777777" w:rsidR="00DB48DC" w:rsidRDefault="00DB48DC" w:rsidP="00DB48DC">
      <w:pPr>
        <w:pStyle w:val="ListParagraph"/>
        <w:ind w:left="709"/>
      </w:pPr>
    </w:p>
    <w:p w14:paraId="6843C717" w14:textId="493E2749" w:rsidR="00D333FF" w:rsidRDefault="00D37E95" w:rsidP="007601BD">
      <w:pPr>
        <w:pStyle w:val="ListParagraph"/>
        <w:numPr>
          <w:ilvl w:val="1"/>
          <w:numId w:val="17"/>
        </w:numPr>
        <w:ind w:left="709"/>
      </w:pPr>
      <w:r w:rsidRPr="00D37E95">
        <w:t>The EU Part-Time Work Directive establishes minimum standards that NI domestic employment law must uphold. While these are the baseline requirements, it is advisable for the Department to consider including higher standards or additional safeguards where possible.</w:t>
      </w:r>
    </w:p>
    <w:p w14:paraId="22D72C90" w14:textId="77777777" w:rsidR="00D333FF" w:rsidRDefault="00D333FF" w:rsidP="00D333FF">
      <w:pPr>
        <w:pStyle w:val="ListParagraph"/>
        <w:ind w:left="1440"/>
      </w:pPr>
    </w:p>
    <w:p w14:paraId="64BBF9CC" w14:textId="3F42E748" w:rsidR="00D333FF" w:rsidRPr="00D333FF" w:rsidRDefault="00D333FF" w:rsidP="00710B9C">
      <w:pPr>
        <w:pStyle w:val="ListParagraph"/>
        <w:numPr>
          <w:ilvl w:val="1"/>
          <w:numId w:val="17"/>
        </w:numPr>
        <w:ind w:left="709"/>
        <w:rPr>
          <w:b/>
          <w:bCs/>
        </w:rPr>
      </w:pPr>
      <w:r w:rsidRPr="00D333FF">
        <w:rPr>
          <w:b/>
          <w:bCs/>
        </w:rPr>
        <w:t xml:space="preserve">The NIHRC </w:t>
      </w:r>
      <w:r w:rsidR="00F626E4">
        <w:rPr>
          <w:b/>
          <w:bCs/>
        </w:rPr>
        <w:t>advises</w:t>
      </w:r>
      <w:r w:rsidR="00F626E4" w:rsidRPr="00D333FF">
        <w:rPr>
          <w:b/>
          <w:bCs/>
        </w:rPr>
        <w:t xml:space="preserve"> </w:t>
      </w:r>
      <w:r w:rsidRPr="00D333FF">
        <w:rPr>
          <w:b/>
          <w:bCs/>
        </w:rPr>
        <w:t>that</w:t>
      </w:r>
      <w:r w:rsidR="00E96BD4">
        <w:rPr>
          <w:b/>
          <w:bCs/>
        </w:rPr>
        <w:t xml:space="preserve"> </w:t>
      </w:r>
      <w:r w:rsidR="00756D7D">
        <w:rPr>
          <w:b/>
          <w:bCs/>
        </w:rPr>
        <w:t xml:space="preserve">the Employment Rights Bill </w:t>
      </w:r>
      <w:r w:rsidR="00F626E4">
        <w:rPr>
          <w:b/>
          <w:bCs/>
        </w:rPr>
        <w:t xml:space="preserve">must </w:t>
      </w:r>
      <w:r w:rsidR="0030087A">
        <w:rPr>
          <w:b/>
          <w:bCs/>
        </w:rPr>
        <w:t>compl</w:t>
      </w:r>
      <w:r w:rsidR="00F626E4">
        <w:rPr>
          <w:b/>
          <w:bCs/>
        </w:rPr>
        <w:t>y</w:t>
      </w:r>
      <w:r w:rsidR="0030087A">
        <w:rPr>
          <w:b/>
          <w:bCs/>
        </w:rPr>
        <w:t xml:space="preserve"> with minimum standards set out in the EU Directive on </w:t>
      </w:r>
      <w:r w:rsidR="00D77AF7">
        <w:rPr>
          <w:b/>
          <w:bCs/>
        </w:rPr>
        <w:t>part-time work</w:t>
      </w:r>
      <w:r w:rsidR="009A36B7">
        <w:rPr>
          <w:b/>
          <w:bCs/>
        </w:rPr>
        <w:t>, pursuant to Windsor Fram</w:t>
      </w:r>
      <w:r w:rsidR="00BA5190">
        <w:rPr>
          <w:b/>
          <w:bCs/>
        </w:rPr>
        <w:t>e</w:t>
      </w:r>
      <w:r w:rsidR="009A36B7">
        <w:rPr>
          <w:b/>
          <w:bCs/>
        </w:rPr>
        <w:t xml:space="preserve">work Article 2. </w:t>
      </w:r>
    </w:p>
    <w:p w14:paraId="37C165DC" w14:textId="77777777" w:rsidR="00C03974" w:rsidRDefault="00C03974" w:rsidP="00704C2B"/>
    <w:p w14:paraId="7854F2FE" w14:textId="2F776986" w:rsidR="003A7231" w:rsidRDefault="00C03974" w:rsidP="00D333FF">
      <w:pPr>
        <w:pStyle w:val="Heading2"/>
      </w:pPr>
      <w:bookmarkStart w:id="33" w:name="_Toc178599801"/>
      <w:r w:rsidRPr="00841ECD">
        <w:t>Agency workers</w:t>
      </w:r>
      <w:bookmarkEnd w:id="33"/>
    </w:p>
    <w:p w14:paraId="0DF7521B" w14:textId="50C56A16" w:rsidR="00AF5FDF" w:rsidRDefault="00AF5FDF" w:rsidP="00710B9C">
      <w:pPr>
        <w:pStyle w:val="ListParagraph"/>
        <w:numPr>
          <w:ilvl w:val="1"/>
          <w:numId w:val="17"/>
        </w:numPr>
        <w:ind w:left="709"/>
      </w:pPr>
      <w:r>
        <w:t xml:space="preserve">According to the Department for </w:t>
      </w:r>
      <w:r w:rsidR="00DF0ED4">
        <w:t xml:space="preserve">the </w:t>
      </w:r>
      <w:r>
        <w:t>Economy, a</w:t>
      </w:r>
      <w:r w:rsidRPr="009E5EC2">
        <w:t xml:space="preserve"> </w:t>
      </w:r>
      <w:r>
        <w:t>gap</w:t>
      </w:r>
      <w:r w:rsidRPr="009E5EC2">
        <w:t xml:space="preserve"> currently exists in the Agency Workers Regulations (Northern Ireland) 2011</w:t>
      </w:r>
      <w:r w:rsidR="00077566">
        <w:t>,</w:t>
      </w:r>
      <w:r>
        <w:rPr>
          <w:rStyle w:val="FootnoteReference"/>
        </w:rPr>
        <w:footnoteReference w:id="108"/>
      </w:r>
      <w:r w:rsidRPr="009E5EC2">
        <w:t xml:space="preserve"> which </w:t>
      </w:r>
      <w:r w:rsidRPr="009E5EC2">
        <w:lastRenderedPageBreak/>
        <w:t>jeopardi</w:t>
      </w:r>
      <w:r>
        <w:t>s</w:t>
      </w:r>
      <w:r w:rsidRPr="009E5EC2">
        <w:t>es agency workers</w:t>
      </w:r>
      <w:r>
        <w:t>’</w:t>
      </w:r>
      <w:r w:rsidRPr="009E5EC2">
        <w:t xml:space="preserve"> rights to pay parity with other workers at the same workplace after a qualifying period of twelve weeks.</w:t>
      </w:r>
      <w:r>
        <w:rPr>
          <w:rStyle w:val="FootnoteReference"/>
        </w:rPr>
        <w:footnoteReference w:id="109"/>
      </w:r>
      <w:r>
        <w:t xml:space="preserve"> </w:t>
      </w:r>
    </w:p>
    <w:p w14:paraId="2F1DCA73" w14:textId="473D1910" w:rsidR="00AF5FDF" w:rsidRDefault="00AF5FDF" w:rsidP="00AF5FDF">
      <w:pPr>
        <w:pStyle w:val="ListParagraph"/>
        <w:ind w:left="709"/>
      </w:pPr>
      <w:r>
        <w:t xml:space="preserve"> </w:t>
      </w:r>
    </w:p>
    <w:p w14:paraId="402CF348" w14:textId="4C59140C" w:rsidR="00CB0CDE" w:rsidRDefault="005C5DD0" w:rsidP="00710B9C">
      <w:pPr>
        <w:pStyle w:val="ListParagraph"/>
        <w:numPr>
          <w:ilvl w:val="1"/>
          <w:numId w:val="17"/>
        </w:numPr>
        <w:ind w:left="709"/>
      </w:pPr>
      <w:r>
        <w:t>The consultation notes that s</w:t>
      </w:r>
      <w:r w:rsidR="00AF5FDF">
        <w:t xml:space="preserve">ome operators in the sector exploit this </w:t>
      </w:r>
      <w:r w:rsidR="00926C1E">
        <w:t xml:space="preserve">gap </w:t>
      </w:r>
      <w:r w:rsidR="00AF5FDF">
        <w:t>by:</w:t>
      </w:r>
    </w:p>
    <w:p w14:paraId="544E2E93" w14:textId="73F10C4C" w:rsidR="00CB0CDE" w:rsidRDefault="00AF5FDF" w:rsidP="00710B9C">
      <w:pPr>
        <w:pStyle w:val="ListParagraph"/>
        <w:numPr>
          <w:ilvl w:val="0"/>
          <w:numId w:val="18"/>
        </w:numPr>
      </w:pPr>
      <w:r>
        <w:t xml:space="preserve">paying agency workers at a lower rate than those performing the same job at the same company, indefinitely, bypassing the twelve-week qualifying period that would otherwise ensure pay </w:t>
      </w:r>
      <w:proofErr w:type="gramStart"/>
      <w:r>
        <w:t>parity;</w:t>
      </w:r>
      <w:proofErr w:type="gramEnd"/>
      <w:r>
        <w:t xml:space="preserve"> </w:t>
      </w:r>
    </w:p>
    <w:p w14:paraId="09ABB519" w14:textId="3D4C8AC3" w:rsidR="007B4E2F" w:rsidRDefault="00AF5FDF" w:rsidP="004D4C46">
      <w:pPr>
        <w:pStyle w:val="ListParagraph"/>
        <w:numPr>
          <w:ilvl w:val="0"/>
          <w:numId w:val="18"/>
        </w:numPr>
      </w:pPr>
      <w:r>
        <w:t>organising workers' assignments in a way that prevents them from ever qualifying for pay between assignments.</w:t>
      </w:r>
    </w:p>
    <w:p w14:paraId="457ADE21" w14:textId="58C7ED43" w:rsidR="00CB0CDE" w:rsidRDefault="00CB0CDE" w:rsidP="00CB0CDE">
      <w:pPr>
        <w:pStyle w:val="ListParagraph"/>
        <w:ind w:left="709"/>
      </w:pPr>
    </w:p>
    <w:p w14:paraId="02EECDE6" w14:textId="417EB484" w:rsidR="007B4E2F" w:rsidRDefault="00105466" w:rsidP="007B4E2F">
      <w:pPr>
        <w:pStyle w:val="ListParagraph"/>
        <w:numPr>
          <w:ilvl w:val="1"/>
          <w:numId w:val="17"/>
        </w:numPr>
        <w:ind w:left="709"/>
      </w:pPr>
      <w:r>
        <w:t xml:space="preserve">The NIHRC along with the Equality Commission for NI </w:t>
      </w:r>
      <w:r w:rsidR="00C03974">
        <w:t xml:space="preserve">have identified the EU Directive on Temporary Agency Work as falling within scope of Windsor Framework Article 2. It bound the UK prior to leaving the EU and there should be no diminution of these minimum standards.  </w:t>
      </w:r>
      <w:r w:rsidR="00AF5FDF">
        <w:t xml:space="preserve">The EU Directive provides for the principle of equal treatment in </w:t>
      </w:r>
      <w:r w:rsidR="00E6417E">
        <w:br/>
      </w:r>
      <w:r w:rsidR="00AF5FDF">
        <w:t>Article 5. It stipulates that temporary agency workers should be entitled to the same basic working and employment conditions, for the duration of their assignment, that would apply if they had been recruited directly for the same job.</w:t>
      </w:r>
      <w:r w:rsidR="00AF5FDF">
        <w:rPr>
          <w:rStyle w:val="FootnoteReference"/>
        </w:rPr>
        <w:footnoteReference w:id="110"/>
      </w:r>
      <w:r w:rsidR="00383698">
        <w:t xml:space="preserve"> </w:t>
      </w:r>
      <w:r w:rsidR="003B409E">
        <w:t>A</w:t>
      </w:r>
      <w:r w:rsidR="00BE1208">
        <w:t>rticle 5 also provides for a</w:t>
      </w:r>
      <w:r w:rsidR="003B409E">
        <w:t xml:space="preserve">n exemption </w:t>
      </w:r>
      <w:r w:rsidR="00BE1208">
        <w:t xml:space="preserve">to </w:t>
      </w:r>
      <w:r w:rsidR="003B409E">
        <w:t>be made to the principle of equal treatment, in the case of temporary agency workers holding a permanent contract of employment with an agency, who may continue to be paid in between their assignments.</w:t>
      </w:r>
      <w:r w:rsidR="003B409E">
        <w:rPr>
          <w:rStyle w:val="FootnoteReference"/>
        </w:rPr>
        <w:footnoteReference w:id="111"/>
      </w:r>
      <w:r w:rsidR="00BE1208">
        <w:t xml:space="preserve"> </w:t>
      </w:r>
    </w:p>
    <w:p w14:paraId="1E5DAD19" w14:textId="77777777" w:rsidR="007B4E2F" w:rsidRDefault="007B4E2F" w:rsidP="00E07B57">
      <w:pPr>
        <w:pStyle w:val="ListParagraph"/>
      </w:pPr>
    </w:p>
    <w:p w14:paraId="49F7F75E" w14:textId="0EF0F55B" w:rsidR="003B409E" w:rsidRDefault="003A0B21" w:rsidP="003B409E">
      <w:pPr>
        <w:pStyle w:val="ListParagraph"/>
        <w:numPr>
          <w:ilvl w:val="1"/>
          <w:numId w:val="17"/>
        </w:numPr>
        <w:ind w:left="709"/>
      </w:pPr>
      <w:r>
        <w:t xml:space="preserve">Closing the </w:t>
      </w:r>
      <w:r w:rsidR="00AA68F3">
        <w:t xml:space="preserve">‘Swedish Derogation’ </w:t>
      </w:r>
      <w:r>
        <w:t xml:space="preserve">loophole on unequal pay and </w:t>
      </w:r>
      <w:r w:rsidR="004D07FE">
        <w:t>pay between assignments</w:t>
      </w:r>
      <w:r w:rsidR="009D0C81">
        <w:t>, as proposed,</w:t>
      </w:r>
      <w:r w:rsidR="004D07FE">
        <w:t xml:space="preserve"> </w:t>
      </w:r>
      <w:r>
        <w:t>would be consistent with the objectives of Article 5 and would ensure no breach of Windsor Framework Article 2.</w:t>
      </w:r>
    </w:p>
    <w:p w14:paraId="48D9B674" w14:textId="77777777" w:rsidR="003B409E" w:rsidRDefault="003B409E" w:rsidP="003B409E">
      <w:pPr>
        <w:pStyle w:val="ListParagraph"/>
        <w:ind w:left="709"/>
      </w:pPr>
    </w:p>
    <w:p w14:paraId="6795EF50" w14:textId="369FE1A2" w:rsidR="00CB0CDE" w:rsidRDefault="000E6240" w:rsidP="00710B9C">
      <w:pPr>
        <w:pStyle w:val="ListParagraph"/>
        <w:numPr>
          <w:ilvl w:val="1"/>
          <w:numId w:val="17"/>
        </w:numPr>
        <w:ind w:left="709"/>
      </w:pPr>
      <w:r>
        <w:t xml:space="preserve">That principle of equal treatment </w:t>
      </w:r>
      <w:r w:rsidR="00502E93">
        <w:t>protects</w:t>
      </w:r>
      <w:r>
        <w:t xml:space="preserve"> </w:t>
      </w:r>
      <w:r w:rsidR="007003CA">
        <w:t xml:space="preserve">vulnerable groups </w:t>
      </w:r>
      <w:r w:rsidR="00502E93">
        <w:t>including</w:t>
      </w:r>
      <w:r w:rsidR="002C76A4">
        <w:t xml:space="preserve"> pregnant </w:t>
      </w:r>
      <w:r w:rsidR="006A3334">
        <w:t xml:space="preserve">and nursing women as well as children and young people. </w:t>
      </w:r>
      <w:r w:rsidR="006C5C43">
        <w:t xml:space="preserve">Equality and non-discrimination </w:t>
      </w:r>
      <w:proofErr w:type="gramStart"/>
      <w:r w:rsidR="006C5C43">
        <w:t>on the basis of</w:t>
      </w:r>
      <w:proofErr w:type="gramEnd"/>
      <w:r w:rsidR="006C5C43">
        <w:t xml:space="preserve"> sex, race</w:t>
      </w:r>
      <w:r w:rsidR="00741B31">
        <w:t xml:space="preserve"> or ethnic origin, religion, beliefs, disabilities, age or sexual orientation</w:t>
      </w:r>
      <w:r w:rsidR="006B59A5">
        <w:t xml:space="preserve"> must be </w:t>
      </w:r>
      <w:r w:rsidR="006B59A5">
        <w:lastRenderedPageBreak/>
        <w:t xml:space="preserve">taken into </w:t>
      </w:r>
      <w:r w:rsidR="00DC43D0">
        <w:t>account in terms of temporary agency work and coded by legislation, regulations</w:t>
      </w:r>
      <w:r w:rsidR="009B08B1">
        <w:t xml:space="preserve"> or administrative provisions. </w:t>
      </w:r>
    </w:p>
    <w:p w14:paraId="7B472786" w14:textId="77777777" w:rsidR="00CB0CDE" w:rsidRDefault="00CB0CDE" w:rsidP="00CB0CDE">
      <w:pPr>
        <w:pStyle w:val="ListParagraph"/>
        <w:ind w:left="709"/>
      </w:pPr>
    </w:p>
    <w:p w14:paraId="5C022E7C" w14:textId="2FC13A04" w:rsidR="00D37E95" w:rsidRDefault="00E8399D" w:rsidP="00D37E95">
      <w:pPr>
        <w:pStyle w:val="ListParagraph"/>
        <w:numPr>
          <w:ilvl w:val="1"/>
          <w:numId w:val="17"/>
        </w:numPr>
        <w:ind w:left="709"/>
      </w:pPr>
      <w:r w:rsidRPr="00E8399D">
        <w:t>The EU Directive on Temporary Agency Work, which falls within the scope of Windsor Framework Article 2, sets minimum standards that NI domestic employment law must meet</w:t>
      </w:r>
      <w:r w:rsidR="00EA1C22">
        <w:t xml:space="preserve"> and may be instructive on the matter of addressing the loophole identified in the consultation</w:t>
      </w:r>
      <w:r w:rsidRPr="00E8399D">
        <w:t xml:space="preserve">. </w:t>
      </w:r>
    </w:p>
    <w:p w14:paraId="29D63D98" w14:textId="77777777" w:rsidR="0057627C" w:rsidRDefault="0057627C" w:rsidP="0057627C">
      <w:pPr>
        <w:pStyle w:val="ListParagraph"/>
        <w:ind w:left="709"/>
      </w:pPr>
    </w:p>
    <w:p w14:paraId="08553504" w14:textId="1866D3B2" w:rsidR="00314431" w:rsidRDefault="00314431" w:rsidP="00DF0ED4">
      <w:pPr>
        <w:pStyle w:val="ListParagraph"/>
        <w:numPr>
          <w:ilvl w:val="1"/>
          <w:numId w:val="17"/>
        </w:numPr>
        <w:ind w:left="709"/>
        <w:rPr>
          <w:b/>
          <w:bCs/>
        </w:rPr>
      </w:pPr>
      <w:r>
        <w:rPr>
          <w:b/>
          <w:bCs/>
        </w:rPr>
        <w:t xml:space="preserve">The NIHRC recommends that the ‘Swedish Derogation’ be abolished, as proposed </w:t>
      </w:r>
      <w:r w:rsidR="00AA68F3">
        <w:rPr>
          <w:b/>
          <w:bCs/>
        </w:rPr>
        <w:t>by the Department (A.40).</w:t>
      </w:r>
    </w:p>
    <w:p w14:paraId="47DF93A0" w14:textId="77777777" w:rsidR="00314431" w:rsidRPr="00171C71" w:rsidRDefault="00314431" w:rsidP="00171C71">
      <w:pPr>
        <w:pStyle w:val="ListParagraph"/>
        <w:rPr>
          <w:b/>
          <w:bCs/>
        </w:rPr>
      </w:pPr>
    </w:p>
    <w:p w14:paraId="33EF59BF" w14:textId="0CA96636" w:rsidR="00DF0ED4" w:rsidRPr="00DF0ED4" w:rsidRDefault="00DF0ED4" w:rsidP="00DF0ED4">
      <w:pPr>
        <w:pStyle w:val="ListParagraph"/>
        <w:numPr>
          <w:ilvl w:val="1"/>
          <w:numId w:val="17"/>
        </w:numPr>
        <w:ind w:left="709"/>
        <w:rPr>
          <w:b/>
          <w:bCs/>
        </w:rPr>
      </w:pPr>
      <w:r w:rsidRPr="00D333FF">
        <w:rPr>
          <w:b/>
          <w:bCs/>
        </w:rPr>
        <w:t xml:space="preserve">The NIHRC </w:t>
      </w:r>
      <w:r w:rsidR="00BA1A2C">
        <w:rPr>
          <w:b/>
          <w:bCs/>
        </w:rPr>
        <w:t>advises that</w:t>
      </w:r>
      <w:r>
        <w:rPr>
          <w:b/>
          <w:bCs/>
        </w:rPr>
        <w:t xml:space="preserve"> the Employment Rights Bill </w:t>
      </w:r>
      <w:r w:rsidR="00BA1A2C">
        <w:rPr>
          <w:b/>
          <w:bCs/>
        </w:rPr>
        <w:t>must</w:t>
      </w:r>
      <w:r w:rsidR="00206730">
        <w:rPr>
          <w:b/>
          <w:bCs/>
        </w:rPr>
        <w:t xml:space="preserve"> compl</w:t>
      </w:r>
      <w:r w:rsidR="00BA1A2C">
        <w:rPr>
          <w:b/>
          <w:bCs/>
        </w:rPr>
        <w:t>y</w:t>
      </w:r>
      <w:r w:rsidR="00206730">
        <w:rPr>
          <w:b/>
          <w:bCs/>
        </w:rPr>
        <w:t xml:space="preserve"> with minimum standards set out in the EU Directive on Temporary Agency Work</w:t>
      </w:r>
      <w:r>
        <w:rPr>
          <w:b/>
          <w:bCs/>
        </w:rPr>
        <w:t>, pursuant to Windsor Fram</w:t>
      </w:r>
      <w:r w:rsidR="00A90703">
        <w:rPr>
          <w:b/>
          <w:bCs/>
        </w:rPr>
        <w:t>e</w:t>
      </w:r>
      <w:r>
        <w:rPr>
          <w:b/>
          <w:bCs/>
        </w:rPr>
        <w:t xml:space="preserve">work Article 2. </w:t>
      </w:r>
    </w:p>
    <w:p w14:paraId="3FFD21D6" w14:textId="77777777" w:rsidR="00CB0CDE" w:rsidRDefault="00CB0CDE" w:rsidP="00CB0CDE">
      <w:pPr>
        <w:pStyle w:val="ListParagraph"/>
        <w:ind w:left="709"/>
      </w:pPr>
    </w:p>
    <w:p w14:paraId="5E4B09D3" w14:textId="3D3B5E22" w:rsidR="00CB0CDE" w:rsidRDefault="00CB0CDE" w:rsidP="00D62649">
      <w:pPr>
        <w:pStyle w:val="Heading3"/>
      </w:pPr>
      <w:bookmarkStart w:id="34" w:name="_Toc178599802"/>
      <w:r>
        <w:t>Pay transparency</w:t>
      </w:r>
      <w:r w:rsidR="00D62649">
        <w:t xml:space="preserve"> </w:t>
      </w:r>
      <w:r w:rsidR="009D2A4C">
        <w:t xml:space="preserve">for </w:t>
      </w:r>
      <w:r w:rsidR="00E91512">
        <w:t>a</w:t>
      </w:r>
      <w:r w:rsidR="009D2A4C">
        <w:t xml:space="preserve">gency </w:t>
      </w:r>
      <w:r w:rsidR="00E91512">
        <w:t>and part-time workers</w:t>
      </w:r>
      <w:bookmarkEnd w:id="34"/>
      <w:r w:rsidR="00E91512">
        <w:t xml:space="preserve"> </w:t>
      </w:r>
    </w:p>
    <w:p w14:paraId="5828ED9C" w14:textId="77777777" w:rsidR="00D62649" w:rsidRPr="00D62649" w:rsidRDefault="00D62649" w:rsidP="00D62649"/>
    <w:p w14:paraId="2AD5FCBA" w14:textId="5441E07F" w:rsidR="00CB0CDE" w:rsidRDefault="00D237F0" w:rsidP="00710B9C">
      <w:pPr>
        <w:pStyle w:val="ListParagraph"/>
        <w:numPr>
          <w:ilvl w:val="1"/>
          <w:numId w:val="17"/>
        </w:numPr>
        <w:ind w:left="709"/>
      </w:pPr>
      <w:r>
        <w:t>The consultation highlights that most</w:t>
      </w:r>
      <w:r w:rsidRPr="00D237F0">
        <w:t xml:space="preserve"> breaches </w:t>
      </w:r>
      <w:r w:rsidR="005F28A8">
        <w:t xml:space="preserve">of relevant legislation </w:t>
      </w:r>
      <w:r w:rsidRPr="00D237F0">
        <w:t xml:space="preserve">identified by the Employment Agency Inspectorate involve </w:t>
      </w:r>
      <w:r w:rsidR="00F85B9F">
        <w:t xml:space="preserve">disputed </w:t>
      </w:r>
      <w:r w:rsidR="006A241B">
        <w:t xml:space="preserve">interpretation of </w:t>
      </w:r>
      <w:r w:rsidR="00F85B9F">
        <w:t>employment terms</w:t>
      </w:r>
      <w:r w:rsidR="00EA286D">
        <w:t xml:space="preserve"> especially those relating to </w:t>
      </w:r>
      <w:r w:rsidRPr="00D237F0">
        <w:t>pay.</w:t>
      </w:r>
      <w:r>
        <w:rPr>
          <w:rStyle w:val="FootnoteReference"/>
        </w:rPr>
        <w:footnoteReference w:id="112"/>
      </w:r>
      <w:r w:rsidRPr="00D237F0">
        <w:t xml:space="preserve"> Although agencies must meet requirements</w:t>
      </w:r>
      <w:r w:rsidR="009A6412">
        <w:t xml:space="preserve"> on employment terms</w:t>
      </w:r>
      <w:r w:rsidR="001C4361">
        <w:t xml:space="preserve"> set out in Regulations</w:t>
      </w:r>
      <w:r w:rsidRPr="00D237F0">
        <w:t>, the lack of guidelines on presentation leads to inconsistencies and confusion for workers.</w:t>
      </w:r>
      <w:r w:rsidR="002C78B0">
        <w:t xml:space="preserve"> The consultation seeks views on whether </w:t>
      </w:r>
      <w:r w:rsidR="002C78B0" w:rsidRPr="002C78B0">
        <w:t>the law should be changed to require the production of a K</w:t>
      </w:r>
      <w:r w:rsidR="002C78B0">
        <w:t xml:space="preserve">ey </w:t>
      </w:r>
      <w:r w:rsidR="002C78B0" w:rsidRPr="002C78B0">
        <w:t>I</w:t>
      </w:r>
      <w:r w:rsidR="002C78B0">
        <w:t xml:space="preserve">nformation </w:t>
      </w:r>
      <w:r w:rsidR="002C78B0" w:rsidRPr="002C78B0">
        <w:t>D</w:t>
      </w:r>
      <w:r w:rsidR="002C78B0">
        <w:t>ocument (KID)</w:t>
      </w:r>
      <w:r w:rsidR="00781351">
        <w:t xml:space="preserve"> where a</w:t>
      </w:r>
      <w:r w:rsidR="00781351" w:rsidRPr="00781351">
        <w:t xml:space="preserve">ll assignment pay details </w:t>
      </w:r>
      <w:r w:rsidR="00781351">
        <w:t>would be</w:t>
      </w:r>
      <w:r w:rsidR="00781351" w:rsidRPr="00781351">
        <w:t xml:space="preserve"> </w:t>
      </w:r>
      <w:r w:rsidR="00411610">
        <w:t>included</w:t>
      </w:r>
      <w:r w:rsidR="00781351" w:rsidRPr="00781351">
        <w:t>, making it easier for job seekers to understand job conditions, compare offers, and have access to the Employment Agency Inspectorate's contact information for support.</w:t>
      </w:r>
    </w:p>
    <w:p w14:paraId="25CE5A6C" w14:textId="77777777" w:rsidR="00CB0CDE" w:rsidRDefault="00CB0CDE" w:rsidP="00CB0CDE">
      <w:pPr>
        <w:pStyle w:val="ListParagraph"/>
        <w:ind w:left="709"/>
      </w:pPr>
    </w:p>
    <w:p w14:paraId="1E552F10" w14:textId="0ED95FC0" w:rsidR="005970EA" w:rsidRDefault="00D943DB" w:rsidP="00710B9C">
      <w:pPr>
        <w:pStyle w:val="ListParagraph"/>
        <w:numPr>
          <w:ilvl w:val="1"/>
          <w:numId w:val="17"/>
        </w:numPr>
        <w:ind w:left="709"/>
      </w:pPr>
      <w:r>
        <w:t xml:space="preserve">While the EU Pay Transparency Directive </w:t>
      </w:r>
      <w:r w:rsidR="00C64EA3">
        <w:t xml:space="preserve">is designed to </w:t>
      </w:r>
      <w:r w:rsidR="00D77EEC">
        <w:t>address</w:t>
      </w:r>
      <w:r>
        <w:t xml:space="preserve"> gender pay gap</w:t>
      </w:r>
      <w:r w:rsidR="00C70FA3">
        <w:t xml:space="preserve"> and reporting</w:t>
      </w:r>
      <w:r w:rsidR="005345C5">
        <w:t>,</w:t>
      </w:r>
      <w:r>
        <w:t xml:space="preserve"> it </w:t>
      </w:r>
      <w:r w:rsidR="00061A91">
        <w:t>creates</w:t>
      </w:r>
      <w:r w:rsidR="00024DC9">
        <w:t xml:space="preserve"> pay transparency </w:t>
      </w:r>
      <w:r w:rsidR="00061A91">
        <w:t xml:space="preserve">obligations that </w:t>
      </w:r>
      <w:r>
        <w:t xml:space="preserve">also </w:t>
      </w:r>
      <w:r w:rsidR="00274015">
        <w:t>appl</w:t>
      </w:r>
      <w:r w:rsidR="00845F79">
        <w:t>y</w:t>
      </w:r>
      <w:r w:rsidR="00274015">
        <w:t xml:space="preserve"> to </w:t>
      </w:r>
      <w:r w:rsidR="00DC38A5">
        <w:t>temporary agency workers.</w:t>
      </w:r>
      <w:r w:rsidR="00DC38A5">
        <w:rPr>
          <w:rStyle w:val="FootnoteReference"/>
        </w:rPr>
        <w:footnoteReference w:id="113"/>
      </w:r>
      <w:r w:rsidR="00DC38A5">
        <w:t xml:space="preserve"> </w:t>
      </w:r>
      <w:r w:rsidR="006906DD">
        <w:t xml:space="preserve">Article 5 </w:t>
      </w:r>
      <w:r w:rsidR="00ED1C59">
        <w:t>requires</w:t>
      </w:r>
      <w:r w:rsidR="00520FFC" w:rsidRPr="00520FFC">
        <w:t xml:space="preserve"> </w:t>
      </w:r>
      <w:r w:rsidR="00520FFC">
        <w:t xml:space="preserve">pay transparency prior to employment in </w:t>
      </w:r>
      <w:r w:rsidR="00E37881">
        <w:t xml:space="preserve">to ensure </w:t>
      </w:r>
      <w:r w:rsidR="002673ED">
        <w:t>“</w:t>
      </w:r>
      <w:r w:rsidR="002673ED" w:rsidRPr="002673ED">
        <w:t>informed and transparent negotiation on pay</w:t>
      </w:r>
      <w:r w:rsidR="002673ED">
        <w:t xml:space="preserve">”. </w:t>
      </w:r>
      <w:r w:rsidR="00367B52">
        <w:t xml:space="preserve">Further, </w:t>
      </w:r>
      <w:r w:rsidR="00484F59">
        <w:t>A</w:t>
      </w:r>
      <w:r w:rsidR="00367B52">
        <w:t xml:space="preserve">rticle 5 of the Directive stipulates that employers </w:t>
      </w:r>
      <w:r w:rsidR="004171A2">
        <w:t xml:space="preserve">may </w:t>
      </w:r>
      <w:r w:rsidR="00367B52">
        <w:t xml:space="preserve">not ask applicants about their pay history </w:t>
      </w:r>
      <w:r w:rsidR="00367B52">
        <w:lastRenderedPageBreak/>
        <w:t>during their current or previous employment relationships and that the recruitment process is led in “a non-discriminatory manner, in order not to undermine the right to equal pay for equal work or work of equal value (the ‘right to equal pay’).”</w:t>
      </w:r>
      <w:r w:rsidR="00A41694">
        <w:rPr>
          <w:rStyle w:val="FootnoteReference"/>
        </w:rPr>
        <w:footnoteReference w:id="114"/>
      </w:r>
    </w:p>
    <w:p w14:paraId="2EEC682E" w14:textId="77777777" w:rsidR="005970EA" w:rsidRDefault="005970EA" w:rsidP="005970EA">
      <w:pPr>
        <w:pStyle w:val="ListParagraph"/>
        <w:ind w:left="709"/>
      </w:pPr>
    </w:p>
    <w:p w14:paraId="2E152C39" w14:textId="2F7E78A5" w:rsidR="00CB0CDE" w:rsidRDefault="00E70849" w:rsidP="00710B9C">
      <w:pPr>
        <w:pStyle w:val="ListParagraph"/>
        <w:numPr>
          <w:ilvl w:val="1"/>
          <w:numId w:val="17"/>
        </w:numPr>
        <w:ind w:left="709"/>
      </w:pPr>
      <w:r>
        <w:t>Articl</w:t>
      </w:r>
      <w:r w:rsidR="005970EA">
        <w:t>es</w:t>
      </w:r>
      <w:r>
        <w:t xml:space="preserve"> 6 and 7 of the EU Directive </w:t>
      </w:r>
      <w:r w:rsidR="006B43AF">
        <w:t xml:space="preserve">respectively </w:t>
      </w:r>
      <w:r>
        <w:t xml:space="preserve">provide for </w:t>
      </w:r>
      <w:r w:rsidR="006B43AF">
        <w:t>t</w:t>
      </w:r>
      <w:r w:rsidR="006B43AF" w:rsidRPr="006B43AF">
        <w:t>ransparency of pay setting and pay progression</w:t>
      </w:r>
      <w:r w:rsidR="006B43AF">
        <w:t xml:space="preserve"> and </w:t>
      </w:r>
      <w:r w:rsidR="00175805">
        <w:t>the right to information.</w:t>
      </w:r>
      <w:r w:rsidR="00A41694">
        <w:rPr>
          <w:rStyle w:val="FootnoteReference"/>
        </w:rPr>
        <w:footnoteReference w:id="115"/>
      </w:r>
      <w:r w:rsidR="00175805">
        <w:t xml:space="preserve"> That information should be accessible</w:t>
      </w:r>
      <w:r w:rsidR="004B7040">
        <w:t xml:space="preserve"> to persons with disabilities</w:t>
      </w:r>
      <w:r w:rsidR="00175805">
        <w:t xml:space="preserve">, according to </w:t>
      </w:r>
      <w:r w:rsidR="005970EA">
        <w:t>A</w:t>
      </w:r>
      <w:r w:rsidR="00175805">
        <w:t>rticle 8 of the Directive</w:t>
      </w:r>
      <w:r w:rsidR="004B7040">
        <w:t>.</w:t>
      </w:r>
      <w:r w:rsidR="00770779">
        <w:rPr>
          <w:rStyle w:val="FootnoteReference"/>
        </w:rPr>
        <w:footnoteReference w:id="116"/>
      </w:r>
      <w:r w:rsidR="004B7040">
        <w:t xml:space="preserve"> </w:t>
      </w:r>
      <w:r w:rsidR="001D65D8">
        <w:t>All of these</w:t>
      </w:r>
      <w:r w:rsidR="00A017C8">
        <w:t xml:space="preserve"> aforementioned</w:t>
      </w:r>
      <w:r w:rsidR="001D65D8">
        <w:t xml:space="preserve"> provisions </w:t>
      </w:r>
      <w:r w:rsidR="00A017C8">
        <w:t>and safeguards provided for by the EU Pay Transparency Directive also apply to part-time workers.</w:t>
      </w:r>
      <w:r w:rsidR="00A017C8">
        <w:rPr>
          <w:rStyle w:val="FootnoteReference"/>
        </w:rPr>
        <w:footnoteReference w:id="117"/>
      </w:r>
      <w:r w:rsidR="00C66486">
        <w:t xml:space="preserve"> </w:t>
      </w:r>
      <w:r w:rsidR="00163C15">
        <w:t>These provisions should be read in light of Article 27 of the EU Charter of Fundamental Rights,</w:t>
      </w:r>
      <w:r w:rsidR="008B4C23">
        <w:t xml:space="preserve"> in respect of  workers’ rights to information.</w:t>
      </w:r>
    </w:p>
    <w:p w14:paraId="44841476" w14:textId="77777777" w:rsidR="00C66486" w:rsidRDefault="00C66486" w:rsidP="00C66486">
      <w:pPr>
        <w:pStyle w:val="ListParagraph"/>
        <w:ind w:left="709"/>
      </w:pPr>
    </w:p>
    <w:p w14:paraId="3FEC6E49" w14:textId="65CC22F8" w:rsidR="00CB0CDE" w:rsidRDefault="00C66486" w:rsidP="007601BD">
      <w:pPr>
        <w:pStyle w:val="ListParagraph"/>
        <w:numPr>
          <w:ilvl w:val="1"/>
          <w:numId w:val="17"/>
        </w:numPr>
        <w:ind w:left="709"/>
      </w:pPr>
      <w:proofErr w:type="gramStart"/>
      <w:r>
        <w:t>All of</w:t>
      </w:r>
      <w:proofErr w:type="gramEnd"/>
      <w:r>
        <w:t xml:space="preserve"> these safeguards in relation to</w:t>
      </w:r>
      <w:r w:rsidR="00A07523">
        <w:t xml:space="preserve"> </w:t>
      </w:r>
      <w:r>
        <w:t>transparency</w:t>
      </w:r>
      <w:r w:rsidR="00A07523">
        <w:t xml:space="preserve"> around pay</w:t>
      </w:r>
      <w:r>
        <w:t>, provided for in the EU Pay Transparency Directive</w:t>
      </w:r>
      <w:r w:rsidR="00490296">
        <w:t xml:space="preserve"> must be incorporated in NI domestic law as </w:t>
      </w:r>
      <w:r w:rsidR="00A07523">
        <w:t xml:space="preserve">explained above. </w:t>
      </w:r>
    </w:p>
    <w:p w14:paraId="67BC3ACB" w14:textId="77777777" w:rsidR="002C6CFF" w:rsidRDefault="002C6CFF" w:rsidP="004B2E29">
      <w:pPr>
        <w:pStyle w:val="ListParagraph"/>
      </w:pPr>
    </w:p>
    <w:p w14:paraId="254B8AC5" w14:textId="77777777" w:rsidR="001336B3" w:rsidRDefault="002C6CFF" w:rsidP="001336B3">
      <w:pPr>
        <w:pStyle w:val="ListParagraph"/>
        <w:numPr>
          <w:ilvl w:val="1"/>
          <w:numId w:val="17"/>
        </w:numPr>
        <w:ind w:left="709"/>
        <w:rPr>
          <w:b/>
          <w:bCs/>
        </w:rPr>
      </w:pPr>
      <w:r w:rsidRPr="004B2E29">
        <w:rPr>
          <w:b/>
          <w:bCs/>
        </w:rPr>
        <w:t>The NIHRC recommends that</w:t>
      </w:r>
      <w:r w:rsidR="00274AA9">
        <w:rPr>
          <w:b/>
          <w:bCs/>
        </w:rPr>
        <w:t xml:space="preserve"> </w:t>
      </w:r>
      <w:r w:rsidR="00160E33" w:rsidRPr="004B2E29">
        <w:rPr>
          <w:b/>
          <w:bCs/>
        </w:rPr>
        <w:t>the Department for the Economy legislate</w:t>
      </w:r>
      <w:r w:rsidR="009C5BFB" w:rsidRPr="004B2E29">
        <w:rPr>
          <w:b/>
          <w:bCs/>
        </w:rPr>
        <w:t>s</w:t>
      </w:r>
      <w:r w:rsidR="007259CC" w:rsidRPr="004B2E29">
        <w:rPr>
          <w:b/>
          <w:bCs/>
        </w:rPr>
        <w:t xml:space="preserve"> as proposed,</w:t>
      </w:r>
      <w:r w:rsidR="00160E33" w:rsidRPr="004B2E29">
        <w:rPr>
          <w:b/>
          <w:bCs/>
        </w:rPr>
        <w:t xml:space="preserve"> to require the provision of a Key Information Document</w:t>
      </w:r>
      <w:r w:rsidR="007259CC" w:rsidRPr="004B2E29">
        <w:rPr>
          <w:b/>
          <w:bCs/>
        </w:rPr>
        <w:t xml:space="preserve"> to agency workers</w:t>
      </w:r>
      <w:r w:rsidR="006F6384" w:rsidRPr="004B2E29">
        <w:rPr>
          <w:b/>
          <w:bCs/>
        </w:rPr>
        <w:t xml:space="preserve">, to </w:t>
      </w:r>
      <w:r w:rsidR="00C716F2">
        <w:rPr>
          <w:b/>
          <w:bCs/>
        </w:rPr>
        <w:t xml:space="preserve">improve </w:t>
      </w:r>
      <w:r w:rsidR="006F6384" w:rsidRPr="004B2E29">
        <w:rPr>
          <w:b/>
          <w:bCs/>
        </w:rPr>
        <w:t>pay transparency and make pay-related information clearer and easier to understand</w:t>
      </w:r>
      <w:r w:rsidR="009C5BFB" w:rsidRPr="004B2E29">
        <w:rPr>
          <w:b/>
          <w:bCs/>
        </w:rPr>
        <w:t>.</w:t>
      </w:r>
      <w:r w:rsidR="006F6384" w:rsidRPr="004B2E29">
        <w:rPr>
          <w:b/>
          <w:bCs/>
        </w:rPr>
        <w:t xml:space="preserve"> (A.</w:t>
      </w:r>
      <w:r w:rsidR="00727D1B" w:rsidRPr="004B2E29">
        <w:rPr>
          <w:b/>
          <w:bCs/>
        </w:rPr>
        <w:t>42-A.45)</w:t>
      </w:r>
    </w:p>
    <w:p w14:paraId="44A73D28" w14:textId="77777777" w:rsidR="001336B3" w:rsidRDefault="001336B3" w:rsidP="001336B3">
      <w:pPr>
        <w:pStyle w:val="ListParagraph"/>
        <w:ind w:left="709"/>
        <w:rPr>
          <w:b/>
          <w:bCs/>
        </w:rPr>
      </w:pPr>
    </w:p>
    <w:p w14:paraId="7B52C083" w14:textId="547B9D3A" w:rsidR="0016040A" w:rsidRPr="001336B3" w:rsidRDefault="00FD4C73" w:rsidP="001336B3">
      <w:pPr>
        <w:pStyle w:val="ListParagraph"/>
        <w:numPr>
          <w:ilvl w:val="1"/>
          <w:numId w:val="17"/>
        </w:numPr>
        <w:ind w:left="709"/>
        <w:rPr>
          <w:b/>
          <w:bCs/>
        </w:rPr>
      </w:pPr>
      <w:r w:rsidRPr="001336B3">
        <w:rPr>
          <w:b/>
          <w:bCs/>
        </w:rPr>
        <w:t xml:space="preserve">The NIHRC recommends </w:t>
      </w:r>
      <w:r w:rsidR="001E234B" w:rsidRPr="001336B3">
        <w:rPr>
          <w:b/>
          <w:bCs/>
        </w:rPr>
        <w:t xml:space="preserve">that NI Employment law be amended to reflect at least the minimum requirements of </w:t>
      </w:r>
      <w:r w:rsidR="00E832AF" w:rsidRPr="001336B3">
        <w:rPr>
          <w:b/>
          <w:bCs/>
        </w:rPr>
        <w:t xml:space="preserve">the EU Pay Transparency Directive, in terms of access to pay information for </w:t>
      </w:r>
      <w:r w:rsidR="00841ECD" w:rsidRPr="001336B3">
        <w:rPr>
          <w:b/>
          <w:bCs/>
        </w:rPr>
        <w:t>part-time and</w:t>
      </w:r>
      <w:r w:rsidR="00D333FF" w:rsidRPr="001336B3">
        <w:rPr>
          <w:b/>
          <w:bCs/>
        </w:rPr>
        <w:t xml:space="preserve"> </w:t>
      </w:r>
      <w:r w:rsidR="00E832AF" w:rsidRPr="001336B3">
        <w:rPr>
          <w:b/>
          <w:bCs/>
        </w:rPr>
        <w:t xml:space="preserve">agency workers, prior to employment and during the employment process, in line with </w:t>
      </w:r>
      <w:r w:rsidR="00B830FD" w:rsidRPr="001336B3">
        <w:rPr>
          <w:b/>
          <w:bCs/>
        </w:rPr>
        <w:t>Windsor Framework Articles 2 and 13</w:t>
      </w:r>
      <w:r w:rsidR="005551A6" w:rsidRPr="001336B3">
        <w:rPr>
          <w:b/>
          <w:bCs/>
        </w:rPr>
        <w:t xml:space="preserve">. </w:t>
      </w:r>
    </w:p>
    <w:p w14:paraId="30EE3C74" w14:textId="6E34F635" w:rsidR="00E50910" w:rsidRPr="00F94F65" w:rsidRDefault="00BB47E3" w:rsidP="00F94F65">
      <w:pPr>
        <w:pStyle w:val="Heading1"/>
      </w:pPr>
      <w:bookmarkStart w:id="35" w:name="_Toc178599803"/>
      <w:r>
        <w:lastRenderedPageBreak/>
        <w:t>5</w:t>
      </w:r>
      <w:r w:rsidR="00F94F65">
        <w:t>.0. Voice and Representation</w:t>
      </w:r>
      <w:bookmarkEnd w:id="35"/>
    </w:p>
    <w:p w14:paraId="3FBF6B30" w14:textId="663AD524" w:rsidR="00F04353" w:rsidRPr="00F04353" w:rsidRDefault="00B7391C" w:rsidP="00F04353">
      <w:pPr>
        <w:pStyle w:val="BodyText"/>
        <w:numPr>
          <w:ilvl w:val="1"/>
          <w:numId w:val="23"/>
        </w:numPr>
        <w:spacing w:before="0" w:after="0" w:line="288" w:lineRule="auto"/>
        <w:ind w:left="720"/>
        <w:rPr>
          <w:rFonts w:ascii="Verdana" w:hAnsi="Verdana"/>
        </w:rPr>
      </w:pPr>
      <w:r>
        <w:rPr>
          <w:rFonts w:ascii="Verdana" w:eastAsia="Times New Roman" w:hAnsi="Verdana"/>
        </w:rPr>
        <w:t xml:space="preserve">Recent </w:t>
      </w:r>
      <w:r w:rsidR="00784DB4">
        <w:rPr>
          <w:rFonts w:ascii="Verdana" w:eastAsia="Times New Roman" w:hAnsi="Verdana"/>
        </w:rPr>
        <w:t xml:space="preserve">EU </w:t>
      </w:r>
      <w:r w:rsidR="00364FF8">
        <w:rPr>
          <w:rFonts w:ascii="Verdana" w:eastAsia="Times New Roman" w:hAnsi="Verdana"/>
        </w:rPr>
        <w:t>measures relevant to</w:t>
      </w:r>
      <w:r w:rsidR="00E50910">
        <w:rPr>
          <w:rFonts w:ascii="Verdana" w:eastAsia="Times New Roman" w:hAnsi="Verdana"/>
        </w:rPr>
        <w:t xml:space="preserve"> </w:t>
      </w:r>
      <w:r w:rsidR="00F94F65">
        <w:rPr>
          <w:rFonts w:ascii="Verdana" w:eastAsia="Times New Roman" w:hAnsi="Verdana"/>
        </w:rPr>
        <w:t>voice and representation</w:t>
      </w:r>
      <w:r w:rsidR="00E50910">
        <w:rPr>
          <w:rFonts w:ascii="Verdana" w:eastAsia="Times New Roman" w:hAnsi="Verdana"/>
        </w:rPr>
        <w:t xml:space="preserve">, </w:t>
      </w:r>
      <w:r w:rsidR="00364FF8">
        <w:rPr>
          <w:rFonts w:ascii="Verdana" w:eastAsia="Times New Roman" w:hAnsi="Verdana"/>
        </w:rPr>
        <w:t>are outlined</w:t>
      </w:r>
      <w:r w:rsidR="00F47AF8">
        <w:rPr>
          <w:rFonts w:ascii="Verdana" w:eastAsia="Times New Roman" w:hAnsi="Verdana"/>
        </w:rPr>
        <w:t xml:space="preserve"> below. </w:t>
      </w:r>
      <w:r w:rsidR="0026307B">
        <w:rPr>
          <w:rFonts w:ascii="Verdana" w:eastAsia="Times New Roman" w:hAnsi="Verdana"/>
        </w:rPr>
        <w:t xml:space="preserve">The NIHRC </w:t>
      </w:r>
      <w:r w:rsidR="00122632">
        <w:rPr>
          <w:rFonts w:ascii="Verdana" w:eastAsia="Times New Roman" w:hAnsi="Verdana"/>
        </w:rPr>
        <w:t>is still</w:t>
      </w:r>
      <w:r w:rsidR="0026307B">
        <w:rPr>
          <w:rFonts w:ascii="Verdana" w:eastAsia="Times New Roman" w:hAnsi="Verdana"/>
        </w:rPr>
        <w:t xml:space="preserve"> consider</w:t>
      </w:r>
      <w:r w:rsidR="00122632">
        <w:rPr>
          <w:rFonts w:ascii="Verdana" w:eastAsia="Times New Roman" w:hAnsi="Verdana"/>
        </w:rPr>
        <w:t>ing</w:t>
      </w:r>
      <w:r w:rsidR="0026307B">
        <w:rPr>
          <w:rFonts w:ascii="Verdana" w:eastAsia="Times New Roman" w:hAnsi="Verdana"/>
        </w:rPr>
        <w:t xml:space="preserve"> whether</w:t>
      </w:r>
      <w:r w:rsidR="00050CA6">
        <w:rPr>
          <w:rFonts w:ascii="Verdana" w:eastAsia="Times New Roman" w:hAnsi="Verdana"/>
        </w:rPr>
        <w:t>, or to what extent,</w:t>
      </w:r>
      <w:r w:rsidR="0026307B">
        <w:rPr>
          <w:rFonts w:ascii="Verdana" w:eastAsia="Times New Roman" w:hAnsi="Verdana"/>
        </w:rPr>
        <w:t xml:space="preserve"> t</w:t>
      </w:r>
      <w:r w:rsidR="00F47AF8">
        <w:rPr>
          <w:rFonts w:ascii="Verdana" w:eastAsia="Times New Roman" w:hAnsi="Verdana"/>
        </w:rPr>
        <w:t xml:space="preserve">hese </w:t>
      </w:r>
      <w:r w:rsidR="005F6CB1">
        <w:rPr>
          <w:rFonts w:ascii="Verdana" w:eastAsia="Times New Roman" w:hAnsi="Verdana"/>
        </w:rPr>
        <w:t>measures</w:t>
      </w:r>
      <w:r w:rsidR="0026307B">
        <w:rPr>
          <w:rFonts w:ascii="Verdana" w:eastAsia="Times New Roman" w:hAnsi="Verdana"/>
        </w:rPr>
        <w:t xml:space="preserve"> </w:t>
      </w:r>
      <w:r w:rsidR="005F54DA">
        <w:rPr>
          <w:rFonts w:ascii="Verdana" w:eastAsia="Times New Roman" w:hAnsi="Verdana"/>
        </w:rPr>
        <w:t xml:space="preserve">interact </w:t>
      </w:r>
      <w:r w:rsidR="0026307B">
        <w:rPr>
          <w:rFonts w:ascii="Verdana" w:eastAsia="Times New Roman" w:hAnsi="Verdana"/>
        </w:rPr>
        <w:t xml:space="preserve">with the </w:t>
      </w:r>
      <w:r w:rsidR="00CD0E0D">
        <w:rPr>
          <w:rFonts w:ascii="Verdana" w:eastAsia="Times New Roman" w:hAnsi="Verdana"/>
        </w:rPr>
        <w:t>dynamic alignment</w:t>
      </w:r>
      <w:r w:rsidR="0026307B">
        <w:rPr>
          <w:rFonts w:ascii="Verdana" w:eastAsia="Times New Roman" w:hAnsi="Verdana"/>
        </w:rPr>
        <w:t xml:space="preserve"> obligation</w:t>
      </w:r>
      <w:r w:rsidR="005F54DA">
        <w:rPr>
          <w:rFonts w:ascii="Verdana" w:eastAsia="Times New Roman" w:hAnsi="Verdana"/>
        </w:rPr>
        <w:t xml:space="preserve"> arising from Windsor Framework Article</w:t>
      </w:r>
      <w:r w:rsidR="00CD0E0D">
        <w:rPr>
          <w:rFonts w:ascii="Verdana" w:eastAsia="Times New Roman" w:hAnsi="Verdana"/>
        </w:rPr>
        <w:t>s</w:t>
      </w:r>
      <w:r w:rsidR="005F54DA">
        <w:rPr>
          <w:rFonts w:ascii="Verdana" w:eastAsia="Times New Roman" w:hAnsi="Verdana"/>
        </w:rPr>
        <w:t xml:space="preserve"> 2</w:t>
      </w:r>
      <w:r w:rsidR="00CD0E0D">
        <w:rPr>
          <w:rFonts w:ascii="Verdana" w:eastAsia="Times New Roman" w:hAnsi="Verdana"/>
        </w:rPr>
        <w:t xml:space="preserve"> and 13</w:t>
      </w:r>
      <w:r w:rsidR="0026307B">
        <w:rPr>
          <w:rFonts w:ascii="Verdana" w:eastAsia="Times New Roman" w:hAnsi="Verdana"/>
        </w:rPr>
        <w:t xml:space="preserve">. </w:t>
      </w:r>
      <w:r w:rsidR="00657E41">
        <w:rPr>
          <w:rFonts w:ascii="Verdana" w:eastAsia="Times New Roman" w:hAnsi="Verdana"/>
        </w:rPr>
        <w:t xml:space="preserve">Even where </w:t>
      </w:r>
      <w:r w:rsidR="007A51C1">
        <w:rPr>
          <w:rFonts w:ascii="Verdana" w:eastAsia="Times New Roman" w:hAnsi="Verdana"/>
        </w:rPr>
        <w:t xml:space="preserve">keeping pace is </w:t>
      </w:r>
      <w:r w:rsidR="00657E41">
        <w:rPr>
          <w:rFonts w:ascii="Verdana" w:eastAsia="Times New Roman" w:hAnsi="Verdana"/>
        </w:rPr>
        <w:t>not required under the Windsor Framework</w:t>
      </w:r>
      <w:r w:rsidR="00BD5D24">
        <w:rPr>
          <w:rFonts w:ascii="Verdana" w:eastAsia="Times New Roman" w:hAnsi="Verdana"/>
        </w:rPr>
        <w:t xml:space="preserve">, </w:t>
      </w:r>
      <w:r w:rsidR="006B1134">
        <w:rPr>
          <w:rFonts w:ascii="Verdana" w:eastAsia="Times New Roman" w:hAnsi="Verdana"/>
        </w:rPr>
        <w:t xml:space="preserve">the </w:t>
      </w:r>
      <w:r w:rsidR="005F6CB1">
        <w:rPr>
          <w:rFonts w:ascii="Verdana" w:eastAsia="Times New Roman" w:hAnsi="Verdana"/>
        </w:rPr>
        <w:t>incorporation</w:t>
      </w:r>
      <w:r w:rsidR="006B1134">
        <w:rPr>
          <w:rFonts w:ascii="Verdana" w:eastAsia="Times New Roman" w:hAnsi="Verdana"/>
        </w:rPr>
        <w:t xml:space="preserve"> of enhanced minimum standards in NI law</w:t>
      </w:r>
      <w:r w:rsidR="0049660A">
        <w:rPr>
          <w:rFonts w:ascii="Verdana" w:eastAsia="Times New Roman" w:hAnsi="Verdana"/>
        </w:rPr>
        <w:t xml:space="preserve"> could contribute to harmonisation of </w:t>
      </w:r>
      <w:r w:rsidR="00C347B5">
        <w:rPr>
          <w:rFonts w:ascii="Verdana" w:eastAsia="Times New Roman" w:hAnsi="Verdana"/>
        </w:rPr>
        <w:t xml:space="preserve">equality and human rights standards on the </w:t>
      </w:r>
      <w:r w:rsidR="00122632">
        <w:rPr>
          <w:rFonts w:ascii="Verdana" w:eastAsia="Times New Roman" w:hAnsi="Verdana"/>
        </w:rPr>
        <w:t>i</w:t>
      </w:r>
      <w:r w:rsidR="00C347B5">
        <w:rPr>
          <w:rFonts w:ascii="Verdana" w:eastAsia="Times New Roman" w:hAnsi="Verdana"/>
        </w:rPr>
        <w:t xml:space="preserve">sland of Ireland. </w:t>
      </w:r>
    </w:p>
    <w:p w14:paraId="63A0003E" w14:textId="77777777" w:rsidR="00F04353" w:rsidRPr="00F04353" w:rsidRDefault="00F04353" w:rsidP="00F04353">
      <w:pPr>
        <w:pStyle w:val="BodyText"/>
        <w:spacing w:before="0" w:after="0" w:line="288" w:lineRule="auto"/>
        <w:ind w:left="720" w:hanging="720"/>
        <w:rPr>
          <w:rFonts w:ascii="Verdana" w:hAnsi="Verdana"/>
        </w:rPr>
      </w:pPr>
    </w:p>
    <w:p w14:paraId="5CE86DC3" w14:textId="694EBCFB" w:rsidR="00F04353" w:rsidRDefault="00F04353" w:rsidP="00F04353">
      <w:pPr>
        <w:pStyle w:val="Heading2"/>
        <w:spacing w:before="0" w:line="288" w:lineRule="auto"/>
        <w:ind w:left="720" w:hanging="720"/>
      </w:pPr>
      <w:bookmarkStart w:id="36" w:name="_Toc178599804"/>
      <w:r>
        <w:t>EU Minimum Wages Directive</w:t>
      </w:r>
      <w:bookmarkEnd w:id="36"/>
      <w:r>
        <w:t xml:space="preserve"> </w:t>
      </w:r>
    </w:p>
    <w:p w14:paraId="123F5A17" w14:textId="77777777" w:rsidR="00F04353" w:rsidRPr="00F04353" w:rsidRDefault="00F04353" w:rsidP="00F04353"/>
    <w:p w14:paraId="2DB80235" w14:textId="114F5AD7" w:rsidR="00F04353" w:rsidRDefault="000013CD" w:rsidP="00F77C51">
      <w:pPr>
        <w:pStyle w:val="BodyText"/>
        <w:numPr>
          <w:ilvl w:val="1"/>
          <w:numId w:val="23"/>
        </w:numPr>
        <w:spacing w:before="0" w:after="0" w:line="288" w:lineRule="auto"/>
        <w:ind w:left="720"/>
        <w:rPr>
          <w:rFonts w:ascii="Verdana" w:hAnsi="Verdana"/>
        </w:rPr>
      </w:pPr>
      <w:r>
        <w:rPr>
          <w:rFonts w:ascii="Verdana" w:hAnsi="Verdana"/>
        </w:rPr>
        <w:t>T</w:t>
      </w:r>
      <w:r w:rsidR="00C347B5" w:rsidRPr="00F04353">
        <w:rPr>
          <w:rFonts w:ascii="Verdana" w:hAnsi="Verdana"/>
        </w:rPr>
        <w:t xml:space="preserve">he </w:t>
      </w:r>
      <w:r w:rsidR="00C05479" w:rsidRPr="00F04353">
        <w:rPr>
          <w:rFonts w:ascii="Verdana" w:hAnsi="Verdana"/>
        </w:rPr>
        <w:t xml:space="preserve">EU Minimum Wages Directive </w:t>
      </w:r>
      <w:r w:rsidR="007F5CD0" w:rsidRPr="00F04353">
        <w:rPr>
          <w:rFonts w:ascii="Verdana" w:hAnsi="Verdana"/>
        </w:rPr>
        <w:t>set</w:t>
      </w:r>
      <w:r w:rsidR="00CA393B">
        <w:rPr>
          <w:rFonts w:ascii="Verdana" w:hAnsi="Verdana"/>
        </w:rPr>
        <w:t>s</w:t>
      </w:r>
      <w:r w:rsidR="007F5CD0" w:rsidRPr="00F04353">
        <w:rPr>
          <w:rFonts w:ascii="Verdana" w:hAnsi="Verdana"/>
        </w:rPr>
        <w:t xml:space="preserve"> minimum standards and </w:t>
      </w:r>
      <w:r w:rsidR="00E504AF">
        <w:rPr>
          <w:rFonts w:ascii="Verdana" w:hAnsi="Verdana"/>
        </w:rPr>
        <w:t>procedural obligations</w:t>
      </w:r>
      <w:r w:rsidR="0077335F">
        <w:rPr>
          <w:rFonts w:ascii="Verdana" w:hAnsi="Verdana"/>
        </w:rPr>
        <w:t xml:space="preserve"> regarding</w:t>
      </w:r>
      <w:r w:rsidR="007F5F97" w:rsidRPr="00F04353">
        <w:rPr>
          <w:rFonts w:ascii="Verdana" w:hAnsi="Verdana"/>
        </w:rPr>
        <w:t xml:space="preserve"> the setting of </w:t>
      </w:r>
      <w:r w:rsidR="00C05479" w:rsidRPr="00F04353">
        <w:rPr>
          <w:rFonts w:ascii="Verdana" w:hAnsi="Verdana"/>
        </w:rPr>
        <w:t>minimum wages</w:t>
      </w:r>
      <w:r w:rsidR="00E008BC">
        <w:rPr>
          <w:rFonts w:ascii="Verdana" w:hAnsi="Verdana"/>
        </w:rPr>
        <w:t xml:space="preserve"> and promotes collective bargaining.</w:t>
      </w:r>
      <w:r w:rsidR="00C05479" w:rsidRPr="00F04353">
        <w:rPr>
          <w:rFonts w:ascii="Verdana" w:hAnsi="Verdana"/>
        </w:rPr>
        <w:t xml:space="preserve"> </w:t>
      </w:r>
      <w:r w:rsidR="00E008BC">
        <w:rPr>
          <w:rFonts w:ascii="Verdana" w:hAnsi="Verdana"/>
        </w:rPr>
        <w:t xml:space="preserve">It is </w:t>
      </w:r>
      <w:r w:rsidR="00CE5F9B">
        <w:rPr>
          <w:rFonts w:ascii="Verdana" w:hAnsi="Verdana"/>
        </w:rPr>
        <w:t>designed</w:t>
      </w:r>
      <w:r w:rsidR="0056097E">
        <w:rPr>
          <w:rFonts w:ascii="Verdana" w:hAnsi="Verdana"/>
        </w:rPr>
        <w:t xml:space="preserve"> to</w:t>
      </w:r>
      <w:r w:rsidR="007F5F97" w:rsidRPr="00F04353">
        <w:rPr>
          <w:rFonts w:ascii="Verdana" w:hAnsi="Verdana"/>
        </w:rPr>
        <w:t xml:space="preserve"> contribute to</w:t>
      </w:r>
      <w:r w:rsidR="00C05479" w:rsidRPr="00F04353">
        <w:rPr>
          <w:rFonts w:ascii="Verdana" w:hAnsi="Verdana"/>
        </w:rPr>
        <w:t xml:space="preserve"> a decent standard of living, reduc</w:t>
      </w:r>
      <w:r w:rsidR="00E008BC">
        <w:rPr>
          <w:rFonts w:ascii="Verdana" w:hAnsi="Verdana"/>
        </w:rPr>
        <w:t>e</w:t>
      </w:r>
      <w:r w:rsidR="00C05479" w:rsidRPr="00F04353">
        <w:rPr>
          <w:rFonts w:ascii="Verdana" w:hAnsi="Verdana"/>
        </w:rPr>
        <w:t xml:space="preserve"> in-work poverty, promote social cohesion and reduce the gender pay gap</w:t>
      </w:r>
      <w:r w:rsidR="00AF186D">
        <w:rPr>
          <w:rFonts w:ascii="Verdana" w:hAnsi="Verdana"/>
        </w:rPr>
        <w:t xml:space="preserve"> and must be transposed by Member States by November 2024</w:t>
      </w:r>
      <w:r w:rsidR="00C05479" w:rsidRPr="00F04353">
        <w:rPr>
          <w:rFonts w:ascii="Verdana" w:hAnsi="Verdana"/>
        </w:rPr>
        <w:t>.</w:t>
      </w:r>
      <w:r w:rsidR="00C05479" w:rsidRPr="00660ACE">
        <w:rPr>
          <w:rFonts w:ascii="Verdana" w:hAnsi="Verdana"/>
          <w:vertAlign w:val="superscript"/>
        </w:rPr>
        <w:footnoteReference w:id="118"/>
      </w:r>
      <w:r w:rsidR="00C05479" w:rsidRPr="00F04353">
        <w:rPr>
          <w:rFonts w:ascii="Verdana" w:hAnsi="Verdana"/>
        </w:rPr>
        <w:t xml:space="preserve"> </w:t>
      </w:r>
      <w:r w:rsidR="001A6D16" w:rsidRPr="00F04353">
        <w:rPr>
          <w:rFonts w:ascii="Verdana" w:hAnsi="Verdana"/>
        </w:rPr>
        <w:t>The Directive highlights that “</w:t>
      </w:r>
      <w:r w:rsidR="007019B5" w:rsidRPr="00F04353">
        <w:rPr>
          <w:rFonts w:ascii="Verdana" w:hAnsi="Verdana"/>
        </w:rPr>
        <w:t>w</w:t>
      </w:r>
      <w:r w:rsidR="009E2139" w:rsidRPr="00F04353">
        <w:rPr>
          <w:rFonts w:ascii="Verdana" w:hAnsi="Verdana"/>
        </w:rPr>
        <w:t>omen, younger workers, migrant workers, single parents, low-skilled workers, persons with disabilities, and in particular persons who suffer from multiple forms of discrimination</w:t>
      </w:r>
      <w:r w:rsidR="00B668BB">
        <w:rPr>
          <w:rFonts w:ascii="Verdana" w:hAnsi="Verdana"/>
        </w:rPr>
        <w:t>, still have a higher probability of being in minimum wage or low wage</w:t>
      </w:r>
      <w:r w:rsidR="00006634">
        <w:rPr>
          <w:rFonts w:ascii="Verdana" w:hAnsi="Verdana"/>
        </w:rPr>
        <w:t xml:space="preserve"> earners than other groups</w:t>
      </w:r>
      <w:r w:rsidR="00CC483A">
        <w:rPr>
          <w:rFonts w:ascii="Verdana" w:hAnsi="Verdana"/>
        </w:rPr>
        <w:t>.</w:t>
      </w:r>
      <w:r w:rsidR="001A6D16" w:rsidRPr="00F04353">
        <w:rPr>
          <w:rFonts w:ascii="Verdana" w:hAnsi="Verdana"/>
        </w:rPr>
        <w:t>”</w:t>
      </w:r>
      <w:r w:rsidR="001A6D16">
        <w:rPr>
          <w:rStyle w:val="FootnoteReference"/>
          <w:rFonts w:ascii="Verdana" w:hAnsi="Verdana"/>
        </w:rPr>
        <w:footnoteReference w:id="119"/>
      </w:r>
      <w:r w:rsidR="00CC483A">
        <w:rPr>
          <w:rFonts w:ascii="Verdana" w:hAnsi="Verdana"/>
        </w:rPr>
        <w:t xml:space="preserve"> </w:t>
      </w:r>
    </w:p>
    <w:p w14:paraId="450FB741" w14:textId="77777777" w:rsidR="00F04353" w:rsidRDefault="00F04353" w:rsidP="00F04353">
      <w:pPr>
        <w:pStyle w:val="BodyText"/>
        <w:spacing w:before="0" w:after="0" w:line="288" w:lineRule="auto"/>
        <w:ind w:left="720"/>
        <w:rPr>
          <w:rFonts w:ascii="Verdana" w:hAnsi="Verdana"/>
        </w:rPr>
      </w:pPr>
    </w:p>
    <w:p w14:paraId="0C287AF2" w14:textId="7A0FBCE9" w:rsidR="00F04353" w:rsidRDefault="000D0430" w:rsidP="00F04353">
      <w:pPr>
        <w:pStyle w:val="BodyText"/>
        <w:numPr>
          <w:ilvl w:val="1"/>
          <w:numId w:val="23"/>
        </w:numPr>
        <w:spacing w:before="0" w:after="0" w:line="288" w:lineRule="auto"/>
        <w:ind w:left="720"/>
        <w:rPr>
          <w:rFonts w:ascii="Verdana" w:hAnsi="Verdana"/>
        </w:rPr>
      </w:pPr>
      <w:r w:rsidRPr="00F04353">
        <w:rPr>
          <w:rFonts w:ascii="Verdana" w:hAnsi="Verdana"/>
        </w:rPr>
        <w:t xml:space="preserve">The consultation highlights the </w:t>
      </w:r>
      <w:r w:rsidR="00FD65C6" w:rsidRPr="00F04353">
        <w:rPr>
          <w:rFonts w:ascii="Verdana" w:hAnsi="Verdana"/>
        </w:rPr>
        <w:t>lack of meaningful collective bargaining in the private sector in NI</w:t>
      </w:r>
      <w:r w:rsidR="009F6869" w:rsidRPr="00F04353">
        <w:rPr>
          <w:rFonts w:ascii="Verdana" w:hAnsi="Verdana"/>
        </w:rPr>
        <w:t xml:space="preserve"> </w:t>
      </w:r>
      <w:r w:rsidR="00206A27" w:rsidRPr="00F04353">
        <w:rPr>
          <w:rFonts w:ascii="Verdana" w:hAnsi="Verdana"/>
        </w:rPr>
        <w:t>and the Department</w:t>
      </w:r>
      <w:r w:rsidR="00AB2DC6">
        <w:rPr>
          <w:rFonts w:ascii="Verdana" w:hAnsi="Verdana"/>
        </w:rPr>
        <w:t xml:space="preserve"> for the Economy</w:t>
      </w:r>
      <w:r w:rsidR="00206A27" w:rsidRPr="00F04353">
        <w:rPr>
          <w:rFonts w:ascii="Verdana" w:hAnsi="Verdana"/>
        </w:rPr>
        <w:t xml:space="preserve"> </w:t>
      </w:r>
      <w:r w:rsidR="009F6869" w:rsidRPr="00F04353">
        <w:rPr>
          <w:rFonts w:ascii="Verdana" w:hAnsi="Verdana"/>
        </w:rPr>
        <w:t xml:space="preserve">requests views on how to </w:t>
      </w:r>
      <w:r w:rsidR="00206A27" w:rsidRPr="00F04353">
        <w:rPr>
          <w:rFonts w:ascii="Verdana" w:hAnsi="Verdana"/>
        </w:rPr>
        <w:t>improve it.</w:t>
      </w:r>
      <w:r w:rsidR="00BC7A80">
        <w:rPr>
          <w:rStyle w:val="FootnoteReference"/>
          <w:rFonts w:ascii="Verdana" w:hAnsi="Verdana"/>
        </w:rPr>
        <w:footnoteReference w:id="120"/>
      </w:r>
      <w:r w:rsidR="00206A27" w:rsidRPr="00F04353">
        <w:rPr>
          <w:rFonts w:ascii="Verdana" w:hAnsi="Verdana"/>
        </w:rPr>
        <w:t xml:space="preserve"> </w:t>
      </w:r>
      <w:r w:rsidR="008E7915">
        <w:rPr>
          <w:rFonts w:ascii="Verdana" w:hAnsi="Verdana"/>
        </w:rPr>
        <w:t xml:space="preserve">While the Commission is still considering the impact of the Directive, it is notable that </w:t>
      </w:r>
      <w:r w:rsidR="00373DAC" w:rsidRPr="00F04353">
        <w:rPr>
          <w:rFonts w:ascii="Verdana" w:hAnsi="Verdana"/>
        </w:rPr>
        <w:t xml:space="preserve">Article 4 of the Directive </w:t>
      </w:r>
      <w:r w:rsidR="001C7159">
        <w:rPr>
          <w:rFonts w:ascii="Verdana" w:hAnsi="Verdana"/>
        </w:rPr>
        <w:t xml:space="preserve">requires </w:t>
      </w:r>
      <w:r w:rsidR="003E2161">
        <w:rPr>
          <w:rFonts w:ascii="Verdana" w:hAnsi="Verdana"/>
        </w:rPr>
        <w:t xml:space="preserve">Member States to </w:t>
      </w:r>
      <w:r w:rsidRPr="00F04353">
        <w:rPr>
          <w:rFonts w:ascii="Verdana" w:hAnsi="Verdana"/>
        </w:rPr>
        <w:t>“</w:t>
      </w:r>
      <w:r w:rsidR="001F493F">
        <w:rPr>
          <w:rFonts w:ascii="Verdana" w:hAnsi="Verdana"/>
        </w:rPr>
        <w:t xml:space="preserve">promote </w:t>
      </w:r>
      <w:r w:rsidR="00373DAC" w:rsidRPr="00F04353">
        <w:rPr>
          <w:rFonts w:ascii="Verdana" w:hAnsi="Verdana"/>
        </w:rPr>
        <w:t>the building and strengthening of the capacity of the social partners to engage in collective bargaining on wage-setting, in particular at sector or cross-industry level</w:t>
      </w:r>
      <w:r w:rsidRPr="00F04353">
        <w:rPr>
          <w:rFonts w:ascii="Verdana" w:hAnsi="Verdana"/>
        </w:rPr>
        <w:t>”</w:t>
      </w:r>
      <w:r w:rsidR="00F53F89">
        <w:rPr>
          <w:rFonts w:ascii="Verdana" w:hAnsi="Verdana"/>
        </w:rPr>
        <w:t xml:space="preserve"> and “encourage constructive, meaningful and informed negotiations</w:t>
      </w:r>
      <w:r w:rsidR="003568B3">
        <w:rPr>
          <w:rFonts w:ascii="Verdana" w:hAnsi="Verdana"/>
        </w:rPr>
        <w:t>…on an equal footing</w:t>
      </w:r>
      <w:r w:rsidR="0049528B">
        <w:rPr>
          <w:rFonts w:ascii="Verdana" w:hAnsi="Verdana"/>
        </w:rPr>
        <w:t>” as well as to take action</w:t>
      </w:r>
      <w:r w:rsidR="000E136A">
        <w:rPr>
          <w:rFonts w:ascii="Verdana" w:hAnsi="Verdana"/>
        </w:rPr>
        <w:t>s</w:t>
      </w:r>
      <w:r w:rsidR="0049528B">
        <w:rPr>
          <w:rFonts w:ascii="Verdana" w:hAnsi="Verdana"/>
        </w:rPr>
        <w:t xml:space="preserve"> to protect the exercise of the right to collective bargaining.</w:t>
      </w:r>
      <w:r w:rsidR="002A507A" w:rsidRPr="000D5A96">
        <w:rPr>
          <w:rStyle w:val="FootnoteReference"/>
          <w:rFonts w:ascii="Verdana" w:hAnsi="Verdana"/>
        </w:rPr>
        <w:footnoteReference w:id="121"/>
      </w:r>
    </w:p>
    <w:p w14:paraId="35ED618B" w14:textId="77777777" w:rsidR="00F04353" w:rsidRDefault="00F04353" w:rsidP="00F04353">
      <w:pPr>
        <w:pStyle w:val="BodyText"/>
        <w:spacing w:before="0" w:after="0" w:line="288" w:lineRule="auto"/>
        <w:ind w:left="720"/>
        <w:rPr>
          <w:rFonts w:ascii="Verdana" w:hAnsi="Verdana"/>
        </w:rPr>
      </w:pPr>
    </w:p>
    <w:p w14:paraId="73056D6C" w14:textId="59A1E455" w:rsidR="00F04353" w:rsidRDefault="004A62DA" w:rsidP="001271B1">
      <w:pPr>
        <w:pStyle w:val="BodyText"/>
        <w:numPr>
          <w:ilvl w:val="1"/>
          <w:numId w:val="23"/>
        </w:numPr>
        <w:spacing w:before="0" w:after="0" w:line="288" w:lineRule="auto"/>
        <w:ind w:left="720"/>
        <w:rPr>
          <w:rFonts w:ascii="Verdana" w:hAnsi="Verdana"/>
        </w:rPr>
      </w:pPr>
      <w:r w:rsidRPr="00F04353">
        <w:rPr>
          <w:rFonts w:ascii="Verdana" w:hAnsi="Verdana"/>
        </w:rPr>
        <w:lastRenderedPageBreak/>
        <w:t xml:space="preserve">Article 4 further </w:t>
      </w:r>
      <w:r w:rsidR="006D5CA7">
        <w:rPr>
          <w:rFonts w:ascii="Verdana" w:hAnsi="Verdana"/>
        </w:rPr>
        <w:t>requires</w:t>
      </w:r>
      <w:r w:rsidR="006D5CA7" w:rsidRPr="00F04353">
        <w:rPr>
          <w:rFonts w:ascii="Verdana" w:hAnsi="Verdana"/>
        </w:rPr>
        <w:t xml:space="preserve"> </w:t>
      </w:r>
      <w:r w:rsidRPr="00F04353">
        <w:rPr>
          <w:rFonts w:ascii="Verdana" w:hAnsi="Verdana"/>
        </w:rPr>
        <w:t>that Member States with a collective bargaining coverage rate below 80% create a framework to support collective bargaining, either through legislation or agreements with social partners. They must also develop an action plan, in consultation with social partners, to progressively increase coverage. This plan should include a clear timeline and specific measures, be regularly reviewed, and updated if necessary. The action plan and any updates must be publicly available and reviewed at least every five years.</w:t>
      </w:r>
      <w:r w:rsidR="00C23ACD" w:rsidRPr="000D5A96">
        <w:rPr>
          <w:rStyle w:val="FootnoteReference"/>
          <w:rFonts w:ascii="Verdana" w:hAnsi="Verdana"/>
        </w:rPr>
        <w:footnoteReference w:id="122"/>
      </w:r>
      <w:r w:rsidR="001E66CB">
        <w:rPr>
          <w:rFonts w:ascii="Verdana" w:hAnsi="Verdana"/>
        </w:rPr>
        <w:t xml:space="preserve"> </w:t>
      </w:r>
    </w:p>
    <w:p w14:paraId="6956F182" w14:textId="77777777" w:rsidR="00F04353" w:rsidRDefault="00F04353" w:rsidP="00F04353">
      <w:pPr>
        <w:pStyle w:val="BodyText"/>
        <w:spacing w:before="0" w:after="0" w:line="288" w:lineRule="auto"/>
        <w:ind w:left="720"/>
        <w:rPr>
          <w:rFonts w:ascii="Verdana" w:hAnsi="Verdana"/>
        </w:rPr>
      </w:pPr>
    </w:p>
    <w:p w14:paraId="7B4583F0" w14:textId="0CD288EA" w:rsidR="00F04353" w:rsidRDefault="005F65DB" w:rsidP="00F04353">
      <w:pPr>
        <w:pStyle w:val="BodyText"/>
        <w:numPr>
          <w:ilvl w:val="1"/>
          <w:numId w:val="23"/>
        </w:numPr>
        <w:spacing w:before="0" w:after="0" w:line="288" w:lineRule="auto"/>
        <w:ind w:left="720"/>
        <w:rPr>
          <w:rFonts w:ascii="Verdana" w:hAnsi="Verdana"/>
        </w:rPr>
      </w:pPr>
      <w:r w:rsidRPr="00F04353">
        <w:rPr>
          <w:rFonts w:ascii="Verdana" w:hAnsi="Verdana"/>
        </w:rPr>
        <w:t xml:space="preserve">Research published in 2020 noted that trade union </w:t>
      </w:r>
      <w:r w:rsidR="002A507A" w:rsidRPr="00F04353">
        <w:rPr>
          <w:rFonts w:ascii="Verdana" w:hAnsi="Verdana"/>
        </w:rPr>
        <w:t xml:space="preserve">coverage in </w:t>
      </w:r>
      <w:r w:rsidRPr="00F04353">
        <w:rPr>
          <w:rFonts w:ascii="Verdana" w:hAnsi="Verdana"/>
        </w:rPr>
        <w:t>NI</w:t>
      </w:r>
      <w:r w:rsidR="002A507A" w:rsidRPr="00F04353">
        <w:rPr>
          <w:rFonts w:ascii="Verdana" w:hAnsi="Verdana"/>
        </w:rPr>
        <w:t xml:space="preserve"> is 53% and </w:t>
      </w:r>
      <w:r w:rsidRPr="00F04353">
        <w:rPr>
          <w:rFonts w:ascii="Verdana" w:hAnsi="Verdana"/>
        </w:rPr>
        <w:t xml:space="preserve">the Department </w:t>
      </w:r>
      <w:r w:rsidR="002A507A" w:rsidRPr="00F04353">
        <w:rPr>
          <w:rFonts w:ascii="Verdana" w:hAnsi="Verdana"/>
        </w:rPr>
        <w:t xml:space="preserve">would have to develop a strategy to promote collective bargaining if the </w:t>
      </w:r>
      <w:r w:rsidRPr="00F04353">
        <w:rPr>
          <w:rFonts w:ascii="Verdana" w:hAnsi="Verdana"/>
        </w:rPr>
        <w:t xml:space="preserve">NI law was updated to reflect this </w:t>
      </w:r>
      <w:r w:rsidR="002A507A" w:rsidRPr="00F04353">
        <w:rPr>
          <w:rFonts w:ascii="Verdana" w:hAnsi="Verdana"/>
        </w:rPr>
        <w:t>Directive</w:t>
      </w:r>
      <w:r w:rsidRPr="000D5A96">
        <w:rPr>
          <w:rStyle w:val="FootnoteReference"/>
          <w:rFonts w:ascii="Verdana" w:hAnsi="Verdana"/>
        </w:rPr>
        <w:footnoteReference w:id="123"/>
      </w:r>
      <w:r w:rsidR="002A507A" w:rsidRPr="00F04353">
        <w:rPr>
          <w:rFonts w:ascii="Verdana" w:hAnsi="Verdana"/>
        </w:rPr>
        <w:t xml:space="preserve"> The report also highlights that increased collective bargaining could address several economic challenges in </w:t>
      </w:r>
      <w:r w:rsidRPr="00F04353">
        <w:rPr>
          <w:rFonts w:ascii="Verdana" w:hAnsi="Verdana"/>
        </w:rPr>
        <w:t>NI</w:t>
      </w:r>
      <w:r w:rsidR="002A507A" w:rsidRPr="00F04353">
        <w:rPr>
          <w:rFonts w:ascii="Verdana" w:hAnsi="Verdana"/>
        </w:rPr>
        <w:t xml:space="preserve"> around low productivity and skills underutilisation.</w:t>
      </w:r>
      <w:r w:rsidR="002A507A" w:rsidRPr="000D5A96">
        <w:rPr>
          <w:rStyle w:val="FootnoteReference"/>
          <w:rFonts w:ascii="Verdana" w:hAnsi="Verdana"/>
        </w:rPr>
        <w:footnoteReference w:id="124"/>
      </w:r>
    </w:p>
    <w:p w14:paraId="15314E3D" w14:textId="77777777" w:rsidR="00F04353" w:rsidRDefault="00F04353" w:rsidP="00F04353">
      <w:pPr>
        <w:pStyle w:val="BodyText"/>
        <w:spacing w:before="0" w:after="0" w:line="288" w:lineRule="auto"/>
        <w:ind w:left="720"/>
        <w:rPr>
          <w:rFonts w:ascii="Verdana" w:hAnsi="Verdana"/>
        </w:rPr>
      </w:pPr>
    </w:p>
    <w:p w14:paraId="43E76C14" w14:textId="41B3D703" w:rsidR="00F04353" w:rsidRPr="001336B3" w:rsidRDefault="005C06DA" w:rsidP="00F04353">
      <w:pPr>
        <w:pStyle w:val="BodyText"/>
        <w:numPr>
          <w:ilvl w:val="1"/>
          <w:numId w:val="23"/>
        </w:numPr>
        <w:spacing w:before="0" w:after="0" w:line="288" w:lineRule="auto"/>
        <w:ind w:left="720"/>
        <w:rPr>
          <w:rFonts w:ascii="Verdana" w:hAnsi="Verdana"/>
          <w:b/>
          <w:bCs/>
        </w:rPr>
      </w:pPr>
      <w:r w:rsidRPr="001336B3">
        <w:rPr>
          <w:rFonts w:ascii="Verdana" w:hAnsi="Verdana"/>
          <w:b/>
          <w:bCs/>
        </w:rPr>
        <w:t xml:space="preserve">The NIHRC recommends that the Department for the Economy considers the EU Minimum Wages Directive </w:t>
      </w:r>
      <w:r w:rsidR="007C328E" w:rsidRPr="001336B3">
        <w:rPr>
          <w:rFonts w:ascii="Verdana" w:hAnsi="Verdana"/>
          <w:b/>
          <w:bCs/>
        </w:rPr>
        <w:t xml:space="preserve">to inform the Employment Rights Bill and </w:t>
      </w:r>
      <w:r w:rsidR="00B01833" w:rsidRPr="001336B3">
        <w:rPr>
          <w:rFonts w:ascii="Verdana" w:hAnsi="Verdana"/>
          <w:b/>
          <w:bCs/>
        </w:rPr>
        <w:t>guidance for improving collective bargaining on wage-setting in NI</w:t>
      </w:r>
      <w:r w:rsidR="00970F16" w:rsidRPr="001336B3">
        <w:rPr>
          <w:rFonts w:ascii="Verdana" w:hAnsi="Verdana"/>
          <w:b/>
          <w:bCs/>
        </w:rPr>
        <w:t xml:space="preserve"> and </w:t>
      </w:r>
      <w:r w:rsidR="00402299" w:rsidRPr="001336B3">
        <w:rPr>
          <w:rFonts w:ascii="Verdana" w:hAnsi="Verdana"/>
          <w:b/>
          <w:bCs/>
        </w:rPr>
        <w:t>that it considers amending NI law on a voluntary basis, to align with changes that enhance equality or human rights protections and reflect international human rights standards</w:t>
      </w:r>
      <w:r w:rsidR="00B01833" w:rsidRPr="001336B3">
        <w:rPr>
          <w:rFonts w:ascii="Verdana" w:hAnsi="Verdana"/>
          <w:b/>
          <w:bCs/>
        </w:rPr>
        <w:t xml:space="preserve">. </w:t>
      </w:r>
      <w:r w:rsidRPr="001336B3">
        <w:rPr>
          <w:rFonts w:ascii="Verdana" w:hAnsi="Verdana"/>
          <w:b/>
          <w:bCs/>
        </w:rPr>
        <w:t xml:space="preserve"> </w:t>
      </w:r>
    </w:p>
    <w:p w14:paraId="748BA80B" w14:textId="77777777" w:rsidR="00F04353" w:rsidRPr="00F04353" w:rsidRDefault="00F04353" w:rsidP="00F04353">
      <w:pPr>
        <w:pStyle w:val="BodyText"/>
        <w:spacing w:before="0" w:after="0" w:line="288" w:lineRule="auto"/>
        <w:ind w:left="720"/>
        <w:rPr>
          <w:rFonts w:ascii="Verdana" w:hAnsi="Verdana"/>
        </w:rPr>
      </w:pPr>
    </w:p>
    <w:p w14:paraId="0A4D34EA" w14:textId="7B3883B0" w:rsidR="00F04353" w:rsidRDefault="00F04353" w:rsidP="00F04353">
      <w:pPr>
        <w:pStyle w:val="Heading2"/>
      </w:pPr>
      <w:bookmarkStart w:id="37" w:name="_Toc178599805"/>
      <w:r>
        <w:t>Public Interest Disclosure</w:t>
      </w:r>
      <w:bookmarkEnd w:id="37"/>
      <w:r>
        <w:t xml:space="preserve"> </w:t>
      </w:r>
    </w:p>
    <w:p w14:paraId="56659789" w14:textId="77777777" w:rsidR="00F04353" w:rsidRDefault="00F04353" w:rsidP="00F04353">
      <w:pPr>
        <w:pStyle w:val="BodyText"/>
        <w:spacing w:before="0" w:after="0" w:line="288" w:lineRule="auto"/>
        <w:ind w:left="720"/>
        <w:rPr>
          <w:rFonts w:ascii="Verdana" w:hAnsi="Verdana"/>
        </w:rPr>
      </w:pPr>
    </w:p>
    <w:p w14:paraId="0FAFD713" w14:textId="365C2957" w:rsidR="00F04353" w:rsidRDefault="005D05AA" w:rsidP="00F04353">
      <w:pPr>
        <w:pStyle w:val="BodyText"/>
        <w:numPr>
          <w:ilvl w:val="1"/>
          <w:numId w:val="23"/>
        </w:numPr>
        <w:spacing w:before="0" w:after="0" w:line="288" w:lineRule="auto"/>
        <w:ind w:left="720"/>
        <w:rPr>
          <w:rFonts w:ascii="Verdana" w:hAnsi="Verdana"/>
        </w:rPr>
      </w:pPr>
      <w:r w:rsidRPr="00F04353">
        <w:rPr>
          <w:rFonts w:ascii="Verdana" w:hAnsi="Verdana"/>
        </w:rPr>
        <w:t xml:space="preserve">The </w:t>
      </w:r>
      <w:r w:rsidR="00507E19">
        <w:rPr>
          <w:rFonts w:ascii="Verdana" w:hAnsi="Verdana"/>
        </w:rPr>
        <w:t>consultation</w:t>
      </w:r>
      <w:r w:rsidRPr="00F04353">
        <w:rPr>
          <w:rFonts w:ascii="Verdana" w:hAnsi="Verdana"/>
        </w:rPr>
        <w:t xml:space="preserve"> is seeking feedback on a proposal to require prescribed persons to produce an annual report containing the following: </w:t>
      </w:r>
      <w:r w:rsidR="003B6CAA" w:rsidRPr="00F04353">
        <w:rPr>
          <w:rFonts w:ascii="Verdana" w:hAnsi="Verdana"/>
        </w:rPr>
        <w:t xml:space="preserve">the </w:t>
      </w:r>
      <w:r w:rsidRPr="00F04353">
        <w:rPr>
          <w:rFonts w:ascii="Verdana" w:hAnsi="Verdana"/>
        </w:rPr>
        <w:t>number of disclosures received</w:t>
      </w:r>
      <w:r w:rsidR="003B6CAA" w:rsidRPr="00F04353">
        <w:rPr>
          <w:rFonts w:ascii="Verdana" w:hAnsi="Verdana"/>
        </w:rPr>
        <w:t xml:space="preserve">, the </w:t>
      </w:r>
      <w:r w:rsidRPr="00F04353">
        <w:rPr>
          <w:rFonts w:ascii="Verdana" w:hAnsi="Verdana"/>
        </w:rPr>
        <w:t>number of disclosures that prompted further action</w:t>
      </w:r>
      <w:r w:rsidR="003B6CAA" w:rsidRPr="00F04353">
        <w:rPr>
          <w:rFonts w:ascii="Verdana" w:hAnsi="Verdana"/>
        </w:rPr>
        <w:t xml:space="preserve"> and a </w:t>
      </w:r>
      <w:r w:rsidRPr="00F04353">
        <w:rPr>
          <w:rFonts w:ascii="Verdana" w:hAnsi="Verdana"/>
        </w:rPr>
        <w:t>summary of actions taken, the impact of disclosures on the prescribed person’s functions and objectives, and an explanation of those functions and objectives.</w:t>
      </w:r>
      <w:r w:rsidR="006F2759" w:rsidRPr="00F04353">
        <w:rPr>
          <w:rFonts w:ascii="Verdana" w:hAnsi="Verdana"/>
        </w:rPr>
        <w:t xml:space="preserve"> </w:t>
      </w:r>
      <w:r w:rsidRPr="00F04353">
        <w:rPr>
          <w:rFonts w:ascii="Verdana" w:hAnsi="Verdana"/>
        </w:rPr>
        <w:t>These reports would be made publicly available</w:t>
      </w:r>
      <w:r w:rsidR="006F2759" w:rsidRPr="00F04353">
        <w:rPr>
          <w:rFonts w:ascii="Verdana" w:hAnsi="Verdana"/>
        </w:rPr>
        <w:t xml:space="preserve">, </w:t>
      </w:r>
      <w:r w:rsidRPr="00F04353">
        <w:rPr>
          <w:rFonts w:ascii="Verdana" w:hAnsi="Verdana"/>
        </w:rPr>
        <w:t xml:space="preserve">six months after the reporting period ends. The </w:t>
      </w:r>
      <w:r w:rsidRPr="00F04353">
        <w:rPr>
          <w:rFonts w:ascii="Verdana" w:hAnsi="Verdana"/>
        </w:rPr>
        <w:lastRenderedPageBreak/>
        <w:t>Department would then compile these reports and present them to the Assembly.</w:t>
      </w:r>
      <w:r w:rsidRPr="001271B1">
        <w:rPr>
          <w:rStyle w:val="FootnoteReference"/>
          <w:rFonts w:ascii="Verdana" w:hAnsi="Verdana"/>
        </w:rPr>
        <w:footnoteReference w:id="125"/>
      </w:r>
    </w:p>
    <w:p w14:paraId="48DB825A" w14:textId="77777777" w:rsidR="00F04353" w:rsidRDefault="00F04353" w:rsidP="00F04353">
      <w:pPr>
        <w:pStyle w:val="BodyText"/>
        <w:spacing w:before="0" w:after="0" w:line="288" w:lineRule="auto"/>
        <w:ind w:left="720"/>
        <w:rPr>
          <w:rFonts w:ascii="Verdana" w:hAnsi="Verdana"/>
        </w:rPr>
      </w:pPr>
    </w:p>
    <w:p w14:paraId="232B2FD9" w14:textId="6AFE7F51" w:rsidR="00F04353" w:rsidRDefault="00FD2F9D" w:rsidP="00F04353">
      <w:pPr>
        <w:pStyle w:val="BodyText"/>
        <w:numPr>
          <w:ilvl w:val="1"/>
          <w:numId w:val="23"/>
        </w:numPr>
        <w:spacing w:before="0" w:after="0" w:line="288" w:lineRule="auto"/>
        <w:ind w:left="720"/>
        <w:rPr>
          <w:rFonts w:ascii="Verdana" w:hAnsi="Verdana"/>
        </w:rPr>
      </w:pPr>
      <w:r w:rsidRPr="00F04353">
        <w:rPr>
          <w:rFonts w:ascii="Verdana" w:hAnsi="Verdana"/>
        </w:rPr>
        <w:t>T</w:t>
      </w:r>
      <w:r w:rsidR="00CA6BCE" w:rsidRPr="00F04353">
        <w:rPr>
          <w:rFonts w:ascii="Verdana" w:hAnsi="Verdana"/>
        </w:rPr>
        <w:t xml:space="preserve">he </w:t>
      </w:r>
      <w:r w:rsidR="00CA6BCE" w:rsidRPr="00F04353">
        <w:rPr>
          <w:rFonts w:ascii="Verdana" w:hAnsi="Verdana"/>
          <w:bCs/>
        </w:rPr>
        <w:t>EU Whistleblowing Directive</w:t>
      </w:r>
      <w:r w:rsidR="00CA6BCE" w:rsidRPr="00660ACE">
        <w:rPr>
          <w:rStyle w:val="FootnoteReference"/>
          <w:rFonts w:ascii="Verdana" w:hAnsi="Verdana"/>
        </w:rPr>
        <w:footnoteReference w:id="126"/>
      </w:r>
      <w:r w:rsidR="00CA6BCE" w:rsidRPr="00F04353">
        <w:rPr>
          <w:rFonts w:ascii="Verdana" w:hAnsi="Verdana"/>
        </w:rPr>
        <w:t xml:space="preserve"> aims to harmonise </w:t>
      </w:r>
      <w:r w:rsidR="008B4388">
        <w:rPr>
          <w:rFonts w:ascii="Verdana" w:hAnsi="Verdana"/>
        </w:rPr>
        <w:t>the</w:t>
      </w:r>
      <w:r w:rsidR="00CA6BCE" w:rsidRPr="00F04353">
        <w:rPr>
          <w:rFonts w:ascii="Verdana" w:hAnsi="Verdana"/>
        </w:rPr>
        <w:t xml:space="preserve"> level of protection for whistleblowers across the EU and, for instance, requires employers above a certain size to </w:t>
      </w:r>
      <w:r w:rsidR="0086591D">
        <w:rPr>
          <w:rFonts w:ascii="Verdana" w:hAnsi="Verdana"/>
        </w:rPr>
        <w:t>establish</w:t>
      </w:r>
      <w:r w:rsidR="00AA3D3E">
        <w:rPr>
          <w:rFonts w:ascii="Verdana" w:hAnsi="Verdana"/>
        </w:rPr>
        <w:t xml:space="preserve"> internal</w:t>
      </w:r>
      <w:r w:rsidR="00CA6BCE" w:rsidRPr="00F04353">
        <w:rPr>
          <w:rFonts w:ascii="Verdana" w:hAnsi="Verdana"/>
        </w:rPr>
        <w:t xml:space="preserve"> channel</w:t>
      </w:r>
      <w:r w:rsidR="00795274">
        <w:rPr>
          <w:rFonts w:ascii="Verdana" w:hAnsi="Verdana"/>
        </w:rPr>
        <w:t>s and procedures</w:t>
      </w:r>
      <w:r w:rsidR="00180596">
        <w:rPr>
          <w:rFonts w:ascii="Verdana" w:hAnsi="Verdana"/>
        </w:rPr>
        <w:t xml:space="preserve"> to enable</w:t>
      </w:r>
      <w:r w:rsidR="00CA6BCE" w:rsidRPr="00F04353">
        <w:rPr>
          <w:rFonts w:ascii="Verdana" w:hAnsi="Verdana"/>
        </w:rPr>
        <w:t xml:space="preserve"> reporting</w:t>
      </w:r>
      <w:r w:rsidR="0011153C">
        <w:rPr>
          <w:rFonts w:ascii="Verdana" w:hAnsi="Verdana"/>
        </w:rPr>
        <w:t xml:space="preserve"> </w:t>
      </w:r>
      <w:r w:rsidR="008B4388">
        <w:rPr>
          <w:rFonts w:ascii="Verdana" w:hAnsi="Verdana"/>
        </w:rPr>
        <w:t xml:space="preserve">of </w:t>
      </w:r>
      <w:r w:rsidR="0011153C">
        <w:rPr>
          <w:rFonts w:ascii="Verdana" w:hAnsi="Verdana"/>
        </w:rPr>
        <w:t>actual or potential breaches of EU law</w:t>
      </w:r>
      <w:r w:rsidR="00CA6BCE" w:rsidRPr="00F04353">
        <w:rPr>
          <w:rFonts w:ascii="Verdana" w:hAnsi="Verdana"/>
        </w:rPr>
        <w:t>.</w:t>
      </w:r>
      <w:r w:rsidR="00CA6BCE" w:rsidRPr="00660ACE">
        <w:rPr>
          <w:rStyle w:val="FootnoteReference"/>
          <w:rFonts w:ascii="Verdana" w:hAnsi="Verdana"/>
        </w:rPr>
        <w:footnoteReference w:id="127"/>
      </w:r>
      <w:r w:rsidR="00CA6BCE" w:rsidRPr="00F04353">
        <w:rPr>
          <w:rFonts w:ascii="Verdana" w:hAnsi="Verdana"/>
        </w:rPr>
        <w:t xml:space="preserve"> </w:t>
      </w:r>
      <w:r w:rsidR="001A7B1A">
        <w:rPr>
          <w:rFonts w:ascii="Verdana" w:hAnsi="Verdana"/>
        </w:rPr>
        <w:t xml:space="preserve">Articles 11 and 12 require the designation of competent authorities </w:t>
      </w:r>
      <w:r w:rsidR="00BC57C3">
        <w:rPr>
          <w:rFonts w:ascii="Verdana" w:hAnsi="Verdana"/>
        </w:rPr>
        <w:t xml:space="preserve">for external reporting. </w:t>
      </w:r>
      <w:r w:rsidR="00670D08">
        <w:rPr>
          <w:rFonts w:ascii="Verdana" w:hAnsi="Verdana"/>
        </w:rPr>
        <w:t xml:space="preserve">Article 27 </w:t>
      </w:r>
      <w:r w:rsidR="00F77328">
        <w:rPr>
          <w:rFonts w:ascii="Verdana" w:hAnsi="Verdana"/>
        </w:rPr>
        <w:t>provides for</w:t>
      </w:r>
      <w:r w:rsidR="009D2AF0">
        <w:rPr>
          <w:rFonts w:ascii="Verdana" w:hAnsi="Verdana"/>
        </w:rPr>
        <w:t xml:space="preserve"> annual report</w:t>
      </w:r>
      <w:r w:rsidR="00F77328">
        <w:rPr>
          <w:rFonts w:ascii="Verdana" w:hAnsi="Verdana"/>
        </w:rPr>
        <w:t>ing by</w:t>
      </w:r>
      <w:r w:rsidR="002634BD">
        <w:rPr>
          <w:rFonts w:ascii="Verdana" w:hAnsi="Verdana"/>
        </w:rPr>
        <w:t xml:space="preserve"> </w:t>
      </w:r>
      <w:r w:rsidR="00301C36">
        <w:rPr>
          <w:rFonts w:ascii="Verdana" w:hAnsi="Verdana"/>
        </w:rPr>
        <w:t xml:space="preserve">Member States </w:t>
      </w:r>
      <w:r w:rsidR="00F77328">
        <w:rPr>
          <w:rFonts w:ascii="Verdana" w:hAnsi="Verdana"/>
        </w:rPr>
        <w:t xml:space="preserve">which may be of interest in the </w:t>
      </w:r>
      <w:r w:rsidR="00660FDC">
        <w:rPr>
          <w:rFonts w:ascii="Verdana" w:hAnsi="Verdana"/>
        </w:rPr>
        <w:t xml:space="preserve">context of the </w:t>
      </w:r>
      <w:r w:rsidR="00DC3911">
        <w:rPr>
          <w:rFonts w:ascii="Verdana" w:hAnsi="Verdana"/>
        </w:rPr>
        <w:t xml:space="preserve">proposal in the </w:t>
      </w:r>
      <w:r w:rsidR="00660FDC">
        <w:rPr>
          <w:rFonts w:ascii="Verdana" w:hAnsi="Verdana"/>
        </w:rPr>
        <w:t>consultation</w:t>
      </w:r>
      <w:r w:rsidR="00DC3911">
        <w:rPr>
          <w:rFonts w:ascii="Verdana" w:hAnsi="Verdana"/>
        </w:rPr>
        <w:t>. It requires a</w:t>
      </w:r>
      <w:r w:rsidR="00AF63AF">
        <w:rPr>
          <w:rFonts w:ascii="Verdana" w:hAnsi="Verdana"/>
        </w:rPr>
        <w:t>nnua</w:t>
      </w:r>
      <w:r w:rsidR="00DC3911">
        <w:rPr>
          <w:rFonts w:ascii="Verdana" w:hAnsi="Verdana"/>
        </w:rPr>
        <w:t>l</w:t>
      </w:r>
      <w:r w:rsidR="00BD7142">
        <w:rPr>
          <w:rFonts w:ascii="Verdana" w:hAnsi="Verdana"/>
        </w:rPr>
        <w:t xml:space="preserve"> submi</w:t>
      </w:r>
      <w:r w:rsidR="00DC3911">
        <w:rPr>
          <w:rFonts w:ascii="Verdana" w:hAnsi="Verdana"/>
        </w:rPr>
        <w:t>ssion of</w:t>
      </w:r>
      <w:r w:rsidR="00BD7142">
        <w:rPr>
          <w:rFonts w:ascii="Verdana" w:hAnsi="Verdana"/>
        </w:rPr>
        <w:t xml:space="preserve"> statistics </w:t>
      </w:r>
      <w:r w:rsidR="00DC0632">
        <w:rPr>
          <w:rFonts w:ascii="Verdana" w:hAnsi="Verdana"/>
        </w:rPr>
        <w:t xml:space="preserve">such as </w:t>
      </w:r>
      <w:r w:rsidR="00BD7142">
        <w:rPr>
          <w:rFonts w:ascii="Verdana" w:hAnsi="Verdana"/>
        </w:rPr>
        <w:t xml:space="preserve">the number of </w:t>
      </w:r>
      <w:r w:rsidR="005321BD">
        <w:rPr>
          <w:rFonts w:ascii="Verdana" w:hAnsi="Verdana"/>
        </w:rPr>
        <w:t xml:space="preserve">external </w:t>
      </w:r>
      <w:r w:rsidR="00BD7142">
        <w:rPr>
          <w:rFonts w:ascii="Verdana" w:hAnsi="Verdana"/>
        </w:rPr>
        <w:t xml:space="preserve">reports </w:t>
      </w:r>
      <w:proofErr w:type="gramStart"/>
      <w:r w:rsidR="00BD7142">
        <w:rPr>
          <w:rFonts w:ascii="Verdana" w:hAnsi="Verdana"/>
        </w:rPr>
        <w:t>received</w:t>
      </w:r>
      <w:proofErr w:type="gramEnd"/>
      <w:r w:rsidR="00DC0632">
        <w:rPr>
          <w:rFonts w:ascii="Verdana" w:hAnsi="Verdana"/>
        </w:rPr>
        <w:t xml:space="preserve"> and</w:t>
      </w:r>
      <w:r w:rsidR="00BD7142">
        <w:rPr>
          <w:rFonts w:ascii="Verdana" w:hAnsi="Verdana"/>
        </w:rPr>
        <w:t xml:space="preserve"> investigations and proceedings initiated</w:t>
      </w:r>
      <w:r w:rsidR="00DC0632">
        <w:rPr>
          <w:rFonts w:ascii="Verdana" w:hAnsi="Verdana"/>
        </w:rPr>
        <w:t>.</w:t>
      </w:r>
    </w:p>
    <w:p w14:paraId="6234349C" w14:textId="77777777" w:rsidR="00CA7739" w:rsidRDefault="00CA7739" w:rsidP="00CA7739">
      <w:pPr>
        <w:pStyle w:val="BodyText"/>
        <w:spacing w:before="0" w:after="0" w:line="288" w:lineRule="auto"/>
        <w:ind w:left="720"/>
        <w:rPr>
          <w:rFonts w:ascii="Verdana" w:hAnsi="Verdana"/>
        </w:rPr>
      </w:pPr>
    </w:p>
    <w:p w14:paraId="01218813" w14:textId="13D48799" w:rsidR="00CB4C0F" w:rsidRDefault="00CB4C0F" w:rsidP="00F04353">
      <w:pPr>
        <w:pStyle w:val="BodyText"/>
        <w:numPr>
          <w:ilvl w:val="1"/>
          <w:numId w:val="23"/>
        </w:numPr>
        <w:spacing w:before="0" w:after="0" w:line="288" w:lineRule="auto"/>
        <w:ind w:left="720"/>
        <w:rPr>
          <w:rFonts w:ascii="Verdana" w:hAnsi="Verdana"/>
        </w:rPr>
      </w:pPr>
      <w:r>
        <w:rPr>
          <w:rFonts w:ascii="Verdana" w:hAnsi="Verdana"/>
        </w:rPr>
        <w:t xml:space="preserve">It is important to </w:t>
      </w:r>
      <w:r w:rsidR="00CA7739">
        <w:rPr>
          <w:rFonts w:ascii="Verdana" w:hAnsi="Verdana"/>
        </w:rPr>
        <w:t xml:space="preserve">note that </w:t>
      </w:r>
      <w:r w:rsidR="00CA7739" w:rsidRPr="00CA7739">
        <w:rPr>
          <w:rFonts w:ascii="Verdana" w:hAnsi="Verdana"/>
        </w:rPr>
        <w:t>although</w:t>
      </w:r>
      <w:r w:rsidR="00CA7739">
        <w:rPr>
          <w:rFonts w:ascii="Verdana" w:hAnsi="Verdana"/>
        </w:rPr>
        <w:t xml:space="preserve"> t</w:t>
      </w:r>
      <w:r w:rsidR="00CA7739" w:rsidRPr="00F04353">
        <w:rPr>
          <w:rFonts w:ascii="Verdana" w:hAnsi="Verdana"/>
        </w:rPr>
        <w:t xml:space="preserve">he </w:t>
      </w:r>
      <w:r w:rsidR="00CA7739" w:rsidRPr="00F04353">
        <w:rPr>
          <w:rFonts w:ascii="Verdana" w:hAnsi="Verdana"/>
          <w:bCs/>
        </w:rPr>
        <w:t>EU Whistleblowing Directive</w:t>
      </w:r>
      <w:r w:rsidR="00CA7739" w:rsidRPr="00CA7739">
        <w:rPr>
          <w:rFonts w:ascii="Verdana" w:hAnsi="Verdana"/>
        </w:rPr>
        <w:t xml:space="preserve"> was adopted in 2019, its transposition deadline was after UK</w:t>
      </w:r>
      <w:r w:rsidR="00CA7739">
        <w:rPr>
          <w:rFonts w:ascii="Verdana" w:hAnsi="Verdana"/>
        </w:rPr>
        <w:t>’s</w:t>
      </w:r>
      <w:r w:rsidR="00CA7739" w:rsidRPr="00CA7739">
        <w:rPr>
          <w:rFonts w:ascii="Verdana" w:hAnsi="Verdana"/>
        </w:rPr>
        <w:t xml:space="preserve"> withdrawal</w:t>
      </w:r>
      <w:r w:rsidR="00CA7739">
        <w:rPr>
          <w:rFonts w:ascii="Verdana" w:hAnsi="Verdana"/>
        </w:rPr>
        <w:t xml:space="preserve"> from the EU</w:t>
      </w:r>
      <w:r w:rsidR="00CA7739" w:rsidRPr="00CA7739">
        <w:rPr>
          <w:rFonts w:ascii="Verdana" w:hAnsi="Verdana"/>
        </w:rPr>
        <w:t xml:space="preserve">. </w:t>
      </w:r>
      <w:r w:rsidR="0009314F">
        <w:rPr>
          <w:rFonts w:ascii="Verdana" w:hAnsi="Verdana"/>
        </w:rPr>
        <w:t xml:space="preserve">Though not </w:t>
      </w:r>
      <w:r w:rsidR="006A0BD3">
        <w:rPr>
          <w:rFonts w:ascii="Verdana" w:hAnsi="Verdana"/>
        </w:rPr>
        <w:t xml:space="preserve">falling within the scope of Windsor Framework Article 2, enhancing rights in line with </w:t>
      </w:r>
      <w:r w:rsidR="00C8773A">
        <w:rPr>
          <w:rFonts w:ascii="Verdana" w:hAnsi="Verdana"/>
        </w:rPr>
        <w:t xml:space="preserve">this </w:t>
      </w:r>
      <w:r w:rsidR="00CA7739">
        <w:rPr>
          <w:rFonts w:ascii="Verdana" w:hAnsi="Verdana"/>
        </w:rPr>
        <w:t xml:space="preserve">Directive </w:t>
      </w:r>
      <w:r w:rsidR="006A0BD3">
        <w:rPr>
          <w:rFonts w:ascii="Verdana" w:hAnsi="Verdana"/>
        </w:rPr>
        <w:t xml:space="preserve">would reduce </w:t>
      </w:r>
      <w:r w:rsidR="00CA7739" w:rsidRPr="00CA7739">
        <w:rPr>
          <w:rFonts w:ascii="Verdana" w:hAnsi="Verdana"/>
        </w:rPr>
        <w:t>divergence</w:t>
      </w:r>
      <w:r w:rsidR="00C8773A">
        <w:rPr>
          <w:rFonts w:ascii="Verdana" w:hAnsi="Verdana"/>
        </w:rPr>
        <w:t xml:space="preserve"> of rights on the </w:t>
      </w:r>
      <w:r w:rsidR="006A0BD3">
        <w:rPr>
          <w:rFonts w:ascii="Verdana" w:hAnsi="Verdana"/>
        </w:rPr>
        <w:t xml:space="preserve">island </w:t>
      </w:r>
      <w:r w:rsidR="00C8773A">
        <w:rPr>
          <w:rFonts w:ascii="Verdana" w:hAnsi="Verdana"/>
        </w:rPr>
        <w:t>of Ireland</w:t>
      </w:r>
      <w:r w:rsidR="00CA7739" w:rsidRPr="00CA7739">
        <w:rPr>
          <w:rFonts w:ascii="Verdana" w:hAnsi="Verdana"/>
        </w:rPr>
        <w:t>.</w:t>
      </w:r>
    </w:p>
    <w:p w14:paraId="40628805" w14:textId="77777777" w:rsidR="00F04353" w:rsidRDefault="00F04353" w:rsidP="00F04353">
      <w:pPr>
        <w:pStyle w:val="BodyText"/>
        <w:spacing w:before="0" w:after="0" w:line="288" w:lineRule="auto"/>
        <w:ind w:left="720"/>
        <w:rPr>
          <w:rFonts w:ascii="Verdana" w:hAnsi="Verdana"/>
        </w:rPr>
      </w:pPr>
    </w:p>
    <w:p w14:paraId="72258F49" w14:textId="72391B16" w:rsidR="00660ACE" w:rsidRPr="001336B3" w:rsidRDefault="00D46D9C" w:rsidP="00F04353">
      <w:pPr>
        <w:pStyle w:val="BodyText"/>
        <w:numPr>
          <w:ilvl w:val="1"/>
          <w:numId w:val="23"/>
        </w:numPr>
        <w:spacing w:before="0" w:after="0" w:line="288" w:lineRule="auto"/>
        <w:ind w:left="720"/>
        <w:rPr>
          <w:rFonts w:ascii="Verdana" w:hAnsi="Verdana"/>
          <w:b/>
          <w:bCs/>
        </w:rPr>
      </w:pPr>
      <w:r w:rsidRPr="001336B3">
        <w:rPr>
          <w:rFonts w:ascii="Verdana" w:hAnsi="Verdana"/>
          <w:b/>
          <w:bCs/>
        </w:rPr>
        <w:t xml:space="preserve">The NIHRC </w:t>
      </w:r>
      <w:r w:rsidR="00CA6BCE" w:rsidRPr="001336B3">
        <w:rPr>
          <w:rFonts w:ascii="Verdana" w:hAnsi="Verdana"/>
          <w:b/>
          <w:bCs/>
        </w:rPr>
        <w:t>recommend</w:t>
      </w:r>
      <w:r w:rsidRPr="001336B3">
        <w:rPr>
          <w:rFonts w:ascii="Verdana" w:hAnsi="Verdana"/>
          <w:b/>
          <w:bCs/>
        </w:rPr>
        <w:t xml:space="preserve">s that the Department for the Economy reviews </w:t>
      </w:r>
      <w:r w:rsidR="00CA6BCE" w:rsidRPr="001336B3">
        <w:rPr>
          <w:rFonts w:ascii="Verdana" w:hAnsi="Verdana"/>
          <w:b/>
          <w:bCs/>
        </w:rPr>
        <w:t xml:space="preserve">Northern Ireland public interest disclosure legislation </w:t>
      </w:r>
      <w:proofErr w:type="gramStart"/>
      <w:r w:rsidR="00CA6BCE" w:rsidRPr="001336B3">
        <w:rPr>
          <w:rFonts w:ascii="Verdana" w:hAnsi="Verdana"/>
          <w:b/>
          <w:bCs/>
        </w:rPr>
        <w:t>in light of</w:t>
      </w:r>
      <w:proofErr w:type="gramEnd"/>
      <w:r w:rsidR="00CA6BCE" w:rsidRPr="001336B3">
        <w:rPr>
          <w:rFonts w:ascii="Verdana" w:hAnsi="Verdana"/>
          <w:b/>
          <w:bCs/>
        </w:rPr>
        <w:t xml:space="preserve"> the EU Whistleblowing Directive, </w:t>
      </w:r>
      <w:r w:rsidR="008E426D" w:rsidRPr="001336B3">
        <w:rPr>
          <w:rFonts w:ascii="Verdana" w:hAnsi="Verdana"/>
          <w:b/>
          <w:bCs/>
        </w:rPr>
        <w:t xml:space="preserve">and </w:t>
      </w:r>
      <w:r w:rsidR="00490C34" w:rsidRPr="001336B3">
        <w:rPr>
          <w:rFonts w:ascii="Verdana" w:hAnsi="Verdana"/>
          <w:b/>
          <w:bCs/>
        </w:rPr>
        <w:t>considers amending NI law on a voluntary basis, to align with changes that enhance equality or human rights protections and reflect international human rights standards</w:t>
      </w:r>
      <w:r w:rsidR="00CA6BCE" w:rsidRPr="001336B3">
        <w:rPr>
          <w:rFonts w:ascii="Verdana" w:hAnsi="Verdana"/>
          <w:b/>
          <w:bCs/>
        </w:rPr>
        <w:t xml:space="preserve">. </w:t>
      </w:r>
    </w:p>
    <w:p w14:paraId="4A808E49" w14:textId="3EB5A96A" w:rsidR="00895FD7" w:rsidRDefault="00BB47E3" w:rsidP="009309E6">
      <w:pPr>
        <w:pStyle w:val="Heading1"/>
      </w:pPr>
      <w:bookmarkStart w:id="38" w:name="_Toc178599806"/>
      <w:r>
        <w:t>6</w:t>
      </w:r>
      <w:r w:rsidR="009A6DAD">
        <w:t>.0. Wor</w:t>
      </w:r>
      <w:r w:rsidR="000D5A96">
        <w:t>k</w:t>
      </w:r>
      <w:r w:rsidR="009A6DAD">
        <w:t>-life balance</w:t>
      </w:r>
      <w:bookmarkEnd w:id="21"/>
      <w:bookmarkEnd w:id="38"/>
    </w:p>
    <w:p w14:paraId="7D3DAF10" w14:textId="0BCADB07" w:rsidR="006514F7" w:rsidRDefault="0050744F" w:rsidP="006514F7">
      <w:pPr>
        <w:pStyle w:val="ListParagraph"/>
        <w:numPr>
          <w:ilvl w:val="1"/>
          <w:numId w:val="20"/>
        </w:numPr>
        <w:ind w:left="720"/>
      </w:pPr>
      <w:r>
        <w:t xml:space="preserve">The Work-life balance theme in the consultation covers </w:t>
      </w:r>
      <w:r w:rsidR="00664A82">
        <w:t xml:space="preserve">flexible working, </w:t>
      </w:r>
      <w:r w:rsidR="00E51D1B">
        <w:t>carer’s leave, neonatal leave and pay, paternity leave</w:t>
      </w:r>
      <w:r w:rsidR="00835F10">
        <w:t xml:space="preserve"> and</w:t>
      </w:r>
      <w:r w:rsidR="00E51D1B">
        <w:t xml:space="preserve"> protection from redundan</w:t>
      </w:r>
      <w:r w:rsidR="003A3534">
        <w:t xml:space="preserve">cy. </w:t>
      </w:r>
      <w:r w:rsidR="00221FCA">
        <w:t xml:space="preserve">The UK Government has </w:t>
      </w:r>
      <w:r w:rsidR="005B0EE9">
        <w:t xml:space="preserve">identified the </w:t>
      </w:r>
      <w:r w:rsidR="007D1363" w:rsidRPr="00FF4DA7">
        <w:t>EU Parental Leave Directive</w:t>
      </w:r>
      <w:r w:rsidR="007D1363" w:rsidRPr="00FF4DA7">
        <w:rPr>
          <w:vertAlign w:val="superscript"/>
        </w:rPr>
        <w:footnoteReference w:id="128"/>
      </w:r>
      <w:r w:rsidR="005B0EE9">
        <w:t xml:space="preserve"> and </w:t>
      </w:r>
      <w:r w:rsidR="007D1363" w:rsidRPr="00FF4DA7">
        <w:t>the EU Pregnant Worker’s Directive</w:t>
      </w:r>
      <w:r w:rsidR="007D1363" w:rsidRPr="00FF4DA7">
        <w:rPr>
          <w:vertAlign w:val="superscript"/>
        </w:rPr>
        <w:footnoteReference w:id="129"/>
      </w:r>
      <w:r w:rsidR="003A3534">
        <w:t xml:space="preserve"> </w:t>
      </w:r>
      <w:r w:rsidR="00221FCA">
        <w:t xml:space="preserve">as falling </w:t>
      </w:r>
      <w:r w:rsidR="00221FCA">
        <w:lastRenderedPageBreak/>
        <w:t>within the scope of Windsor Framework Article 2.</w:t>
      </w:r>
      <w:r w:rsidR="00697596">
        <w:rPr>
          <w:rStyle w:val="FootnoteReference"/>
        </w:rPr>
        <w:footnoteReference w:id="130"/>
      </w:r>
      <w:r w:rsidR="00221FCA">
        <w:t xml:space="preserve"> </w:t>
      </w:r>
      <w:r w:rsidR="00697596">
        <w:t xml:space="preserve">The NIHRC along with the Equality Commission for NI have also identified the </w:t>
      </w:r>
      <w:r w:rsidR="005B0EE9">
        <w:t xml:space="preserve">EU Directive on Temporary Agency Work </w:t>
      </w:r>
      <w:r w:rsidR="005838C4">
        <w:t>as relevant to the no diminution commitment</w:t>
      </w:r>
      <w:r w:rsidR="005B0EE9">
        <w:t>.</w:t>
      </w:r>
      <w:r w:rsidR="00C40D77">
        <w:rPr>
          <w:rStyle w:val="FootnoteReference"/>
        </w:rPr>
        <w:footnoteReference w:id="131"/>
      </w:r>
      <w:r w:rsidR="005B0EE9">
        <w:t xml:space="preserve"> </w:t>
      </w:r>
      <w:r w:rsidR="005838C4">
        <w:t>These measures</w:t>
      </w:r>
      <w:r w:rsidR="005B0EE9">
        <w:t xml:space="preserve"> bound the UK prior to leaving the EU and there should be no diminution of minimum standards</w:t>
      </w:r>
      <w:r w:rsidR="008039B7">
        <w:t xml:space="preserve"> required</w:t>
      </w:r>
      <w:r w:rsidR="005B0EE9">
        <w:t xml:space="preserve">.  </w:t>
      </w:r>
    </w:p>
    <w:p w14:paraId="76547BE7" w14:textId="77777777" w:rsidR="00A86744" w:rsidRDefault="00A86744" w:rsidP="00A86744"/>
    <w:p w14:paraId="458050E2" w14:textId="66ABB5CE" w:rsidR="002D6795" w:rsidRPr="00CB0C94" w:rsidRDefault="002D6795" w:rsidP="00CB0C94">
      <w:pPr>
        <w:pStyle w:val="Heading2"/>
      </w:pPr>
      <w:bookmarkStart w:id="39" w:name="_Toc178599807"/>
      <w:r w:rsidRPr="00CB0C94">
        <w:t>EU Pregnant Worker’s Directive</w:t>
      </w:r>
      <w:bookmarkEnd w:id="39"/>
    </w:p>
    <w:p w14:paraId="497839D0" w14:textId="47B85DA6" w:rsidR="00DD5B45" w:rsidRDefault="00912366" w:rsidP="006514F7">
      <w:pPr>
        <w:pStyle w:val="ListParagraph"/>
        <w:numPr>
          <w:ilvl w:val="1"/>
          <w:numId w:val="20"/>
        </w:numPr>
        <w:ind w:left="720"/>
      </w:pPr>
      <w:r>
        <w:t>T</w:t>
      </w:r>
      <w:r w:rsidR="00CB0C94">
        <w:t xml:space="preserve">he EU </w:t>
      </w:r>
      <w:r w:rsidR="00CB0C94" w:rsidRPr="00FF4DA7">
        <w:t>Pregnant Worker’s Directive</w:t>
      </w:r>
      <w:r w:rsidR="00CB0C94">
        <w:t xml:space="preserve"> </w:t>
      </w:r>
      <w:r w:rsidR="00B2283B">
        <w:t xml:space="preserve">lays out </w:t>
      </w:r>
      <w:r w:rsidR="00496EC4">
        <w:t>minimum standards</w:t>
      </w:r>
      <w:r w:rsidR="00496EC4" w:rsidRPr="00217E83">
        <w:t xml:space="preserve"> </w:t>
      </w:r>
      <w:r w:rsidR="00217E83" w:rsidRPr="00217E83">
        <w:t>in workplace safety and health for pregnant workers, as well as those who have recently given birth or are breastfeeding.</w:t>
      </w:r>
      <w:r w:rsidR="00217E83">
        <w:rPr>
          <w:rStyle w:val="FootnoteReference"/>
        </w:rPr>
        <w:footnoteReference w:id="132"/>
      </w:r>
      <w:r w:rsidR="00211C20">
        <w:t xml:space="preserve"> </w:t>
      </w:r>
    </w:p>
    <w:p w14:paraId="5CCDDCA7" w14:textId="77777777" w:rsidR="00211C20" w:rsidRDefault="00211C20" w:rsidP="00211C20">
      <w:pPr>
        <w:pStyle w:val="ListParagraph"/>
        <w:ind w:left="720"/>
      </w:pPr>
    </w:p>
    <w:p w14:paraId="742E9540" w14:textId="32E5F910" w:rsidR="00D3398A" w:rsidRDefault="00211C20" w:rsidP="00D3398A">
      <w:pPr>
        <w:pStyle w:val="ListParagraph"/>
        <w:numPr>
          <w:ilvl w:val="1"/>
          <w:numId w:val="20"/>
        </w:numPr>
        <w:ind w:left="720"/>
      </w:pPr>
      <w:r>
        <w:t xml:space="preserve">The Directive </w:t>
      </w:r>
      <w:r w:rsidR="00BF5AA7">
        <w:t>provides that t</w:t>
      </w:r>
      <w:r w:rsidRPr="00211C20">
        <w:t xml:space="preserve">he employer must take necessary steps to adjust the working conditions or hours of a worker to eliminate exposure to </w:t>
      </w:r>
      <w:r w:rsidR="00BF5AA7">
        <w:t xml:space="preserve">health or safety </w:t>
      </w:r>
      <w:r w:rsidRPr="00211C20">
        <w:t>risks. If this is not feasible, the employer should reassign the worker to another job. If reassignment is not possible</w:t>
      </w:r>
      <w:r w:rsidR="001444BB">
        <w:t xml:space="preserve"> either</w:t>
      </w:r>
      <w:r w:rsidRPr="00211C20">
        <w:t xml:space="preserve">, the worker should be granted leave in line with national laws and practices for the period needed to ensure safety </w:t>
      </w:r>
      <w:r w:rsidR="00244CD2">
        <w:t>and/or</w:t>
      </w:r>
      <w:r w:rsidRPr="00211C20">
        <w:t xml:space="preserve"> health.</w:t>
      </w:r>
      <w:r w:rsidR="00BF5AA7">
        <w:rPr>
          <w:rStyle w:val="FootnoteReference"/>
        </w:rPr>
        <w:footnoteReference w:id="133"/>
      </w:r>
    </w:p>
    <w:p w14:paraId="1200E688" w14:textId="77777777" w:rsidR="00D3398A" w:rsidRDefault="00D3398A" w:rsidP="00D3398A">
      <w:pPr>
        <w:pStyle w:val="ListParagraph"/>
        <w:ind w:left="720"/>
      </w:pPr>
    </w:p>
    <w:p w14:paraId="35699405" w14:textId="1F888D36" w:rsidR="00173DFC" w:rsidRDefault="00DB7CC6" w:rsidP="00173DFC">
      <w:pPr>
        <w:pStyle w:val="ListParagraph"/>
        <w:numPr>
          <w:ilvl w:val="1"/>
          <w:numId w:val="20"/>
        </w:numPr>
        <w:ind w:left="720"/>
      </w:pPr>
      <w:r w:rsidRPr="00D3398A">
        <w:t>Article 8 sets out</w:t>
      </w:r>
      <w:r w:rsidR="00AF5E79" w:rsidRPr="00D3398A">
        <w:t xml:space="preserve"> a</w:t>
      </w:r>
      <w:r w:rsidRPr="00D3398A">
        <w:t xml:space="preserve"> </w:t>
      </w:r>
      <w:r w:rsidR="00AF5E79" w:rsidRPr="00D3398A">
        <w:t>compulsory maternity leave of at least two weeks, with</w:t>
      </w:r>
      <w:r w:rsidR="00D3398A" w:rsidRPr="00D3398A">
        <w:t xml:space="preserve"> </w:t>
      </w:r>
      <w:r w:rsidR="008667DB" w:rsidRPr="00D3398A">
        <w:t>entitlement to a minimum of 14 consecutive weeks of maternity leave, to be taken before and/or after childbirth.</w:t>
      </w:r>
      <w:r w:rsidR="008667DB" w:rsidRPr="00D3398A">
        <w:rPr>
          <w:rStyle w:val="FootnoteReference"/>
        </w:rPr>
        <w:footnoteReference w:id="134"/>
      </w:r>
      <w:r w:rsidR="004713C5" w:rsidRPr="00D3398A">
        <w:t xml:space="preserve"> Ante-natal examinations </w:t>
      </w:r>
      <w:proofErr w:type="gramStart"/>
      <w:r w:rsidR="004713C5" w:rsidRPr="00D3398A">
        <w:t>have to</w:t>
      </w:r>
      <w:proofErr w:type="gramEnd"/>
      <w:r w:rsidR="004713C5" w:rsidRPr="00D3398A">
        <w:t xml:space="preserve"> be </w:t>
      </w:r>
      <w:r w:rsidR="00303F7B" w:rsidRPr="00D3398A">
        <w:t>provided for pregnant workers, without loss of pay.</w:t>
      </w:r>
      <w:r w:rsidR="00303F7B" w:rsidRPr="00D3398A">
        <w:rPr>
          <w:rStyle w:val="FootnoteReference"/>
        </w:rPr>
        <w:footnoteReference w:id="135"/>
      </w:r>
      <w:r w:rsidR="00374446" w:rsidRPr="00D3398A">
        <w:t xml:space="preserve"> Article</w:t>
      </w:r>
      <w:r w:rsidR="00D3398A">
        <w:t>s</w:t>
      </w:r>
      <w:r w:rsidR="00374446" w:rsidRPr="00D3398A">
        <w:t xml:space="preserve"> 10 provide</w:t>
      </w:r>
      <w:r w:rsidR="00F133AE">
        <w:t>s</w:t>
      </w:r>
      <w:r w:rsidR="006B572C" w:rsidRPr="00D3398A">
        <w:t xml:space="preserve"> safeguards against dismissal </w:t>
      </w:r>
      <w:r w:rsidR="00F133AE">
        <w:t xml:space="preserve">from the start of the pregnancy until the end of maternity leave. Article 11 </w:t>
      </w:r>
      <w:r w:rsidR="001A5182">
        <w:t>provides for further employment rights protections</w:t>
      </w:r>
      <w:r w:rsidR="001F5218">
        <w:t xml:space="preserve">, requiring </w:t>
      </w:r>
      <w:r w:rsidR="006C3C24">
        <w:t>payments where</w:t>
      </w:r>
      <w:r w:rsidR="00D4380B">
        <w:t xml:space="preserve"> the worker’s normal role </w:t>
      </w:r>
      <w:r w:rsidR="003350AA">
        <w:t>poses a risk to health/safety</w:t>
      </w:r>
      <w:r w:rsidR="00D4380B">
        <w:t xml:space="preserve"> and no alternative </w:t>
      </w:r>
      <w:r w:rsidR="00D4380B">
        <w:lastRenderedPageBreak/>
        <w:t>can be identified</w:t>
      </w:r>
      <w:r w:rsidR="00D3398A" w:rsidRPr="004F6E4A">
        <w:rPr>
          <w:rFonts w:cs="TimesNewRomanPSMT-Identity-H"/>
        </w:rPr>
        <w:t>.</w:t>
      </w:r>
      <w:r w:rsidR="00D3398A">
        <w:rPr>
          <w:rStyle w:val="FootnoteReference"/>
          <w:rFonts w:cs="TimesNewRomanPSMT-Identity-H"/>
        </w:rPr>
        <w:footnoteReference w:id="136"/>
      </w:r>
      <w:r w:rsidR="004F6E4A" w:rsidRPr="004F6E4A">
        <w:rPr>
          <w:rFonts w:cs="TimesNewRomanPSMT-Identity-H"/>
        </w:rPr>
        <w:t xml:space="preserve"> </w:t>
      </w:r>
      <w:r w:rsidR="004E7F9E" w:rsidRPr="004E7F9E">
        <w:t>Although these are the baseline requirements, it is advisable for the Department to also consider implementing higher standards or additional safeguards where feasible.</w:t>
      </w:r>
    </w:p>
    <w:p w14:paraId="6B3B3739" w14:textId="77777777" w:rsidR="00173DFC" w:rsidRDefault="00173DFC" w:rsidP="00E2655A">
      <w:pPr>
        <w:pStyle w:val="ListParagraph"/>
        <w:ind w:left="720"/>
      </w:pPr>
    </w:p>
    <w:p w14:paraId="180D2F6C" w14:textId="05BF4F09" w:rsidR="00FB3837" w:rsidRDefault="00A14929" w:rsidP="00E2655A">
      <w:pPr>
        <w:pStyle w:val="ListParagraph"/>
        <w:numPr>
          <w:ilvl w:val="1"/>
          <w:numId w:val="20"/>
        </w:numPr>
        <w:ind w:left="720"/>
      </w:pPr>
      <w:r>
        <w:t>Proposals under the consultation</w:t>
      </w:r>
      <w:r w:rsidR="00A3288E">
        <w:t xml:space="preserve"> seek to</w:t>
      </w:r>
      <w:r w:rsidR="00A232E8">
        <w:t xml:space="preserve"> </w:t>
      </w:r>
      <w:r w:rsidR="00396BF4" w:rsidRPr="00E2655A">
        <w:rPr>
          <w:rFonts w:cs="FranklinGothicURWBoo"/>
          <w:color w:val="000000"/>
          <w:sz w:val="23"/>
          <w:szCs w:val="23"/>
        </w:rPr>
        <w:t xml:space="preserve">enhance redundancy protections for employees by </w:t>
      </w:r>
      <w:r w:rsidR="008225EF" w:rsidRPr="008E5F83">
        <w:rPr>
          <w:rFonts w:cs="FranklinGothicURWBoo"/>
          <w:color w:val="000000"/>
          <w:sz w:val="23"/>
          <w:szCs w:val="23"/>
        </w:rPr>
        <w:t>e</w:t>
      </w:r>
      <w:r w:rsidR="00396BF4" w:rsidRPr="00E2655A">
        <w:rPr>
          <w:rFonts w:cs="FranklinGothicURWBoo"/>
          <w:color w:val="000000"/>
          <w:sz w:val="23"/>
          <w:szCs w:val="23"/>
        </w:rPr>
        <w:t>nsuring the additional protection period begins from when a person informs their employer of their pregnancy until two weeks after the pregnancy ends</w:t>
      </w:r>
      <w:r w:rsidR="008225EF" w:rsidRPr="008E5F83">
        <w:rPr>
          <w:rFonts w:cs="FranklinGothicURWBoo"/>
          <w:color w:val="000000"/>
          <w:sz w:val="23"/>
          <w:szCs w:val="23"/>
        </w:rPr>
        <w:t>. It would also extend</w:t>
      </w:r>
      <w:r w:rsidR="00AF1177" w:rsidRPr="00E2655A">
        <w:rPr>
          <w:rFonts w:cs="FranklinGothicURWBoo"/>
          <w:color w:val="000000"/>
          <w:sz w:val="23"/>
          <w:szCs w:val="23"/>
        </w:rPr>
        <w:t xml:space="preserve"> </w:t>
      </w:r>
      <w:r w:rsidR="00396BF4" w:rsidRPr="00E2655A">
        <w:rPr>
          <w:rFonts w:cs="FranklinGothicURWBoo"/>
          <w:color w:val="000000"/>
          <w:sz w:val="23"/>
          <w:szCs w:val="23"/>
        </w:rPr>
        <w:t>the period of protection from redundancy to 18 months from when the child is born, stillborn, expected to be born, or is placed for adoptio</w:t>
      </w:r>
      <w:r w:rsidR="008225EF" w:rsidRPr="008E5F83">
        <w:rPr>
          <w:rFonts w:cs="FranklinGothicURWBoo"/>
          <w:color w:val="000000"/>
          <w:sz w:val="23"/>
          <w:szCs w:val="23"/>
        </w:rPr>
        <w:t>n.</w:t>
      </w:r>
      <w:r w:rsidR="008225EF">
        <w:rPr>
          <w:rStyle w:val="FootnoteReference"/>
          <w:rFonts w:cs="FranklinGothicURWBoo"/>
          <w:color w:val="000000"/>
          <w:sz w:val="23"/>
          <w:szCs w:val="23"/>
        </w:rPr>
        <w:footnoteReference w:id="137"/>
      </w:r>
      <w:r w:rsidR="00AA3E51" w:rsidRPr="008E5F83">
        <w:rPr>
          <w:rFonts w:cs="FranklinGothicURWBoo"/>
          <w:color w:val="000000"/>
          <w:sz w:val="23"/>
          <w:szCs w:val="23"/>
        </w:rPr>
        <w:t xml:space="preserve"> These proposals </w:t>
      </w:r>
      <w:r w:rsidR="00CC4A9C" w:rsidRPr="008E5F83">
        <w:rPr>
          <w:rFonts w:cs="FranklinGothicURWBoo"/>
          <w:color w:val="000000"/>
          <w:sz w:val="23"/>
          <w:szCs w:val="23"/>
        </w:rPr>
        <w:t>meet the general safeguards</w:t>
      </w:r>
      <w:r w:rsidR="005D3098" w:rsidRPr="008E5F83">
        <w:rPr>
          <w:rFonts w:cs="FranklinGothicURWBoo"/>
          <w:color w:val="000000"/>
          <w:sz w:val="23"/>
          <w:szCs w:val="23"/>
        </w:rPr>
        <w:t xml:space="preserve"> provided for in Article 10 </w:t>
      </w:r>
      <w:r w:rsidR="00CC4A9C" w:rsidRPr="008E5F83">
        <w:rPr>
          <w:rFonts w:cs="FranklinGothicURWBoo"/>
          <w:color w:val="000000"/>
          <w:sz w:val="23"/>
          <w:szCs w:val="23"/>
        </w:rPr>
        <w:t xml:space="preserve">of the EU Pregnant Workers Directive mentioned above. </w:t>
      </w:r>
      <w:r w:rsidR="00750D4E" w:rsidRPr="008E5F83">
        <w:rPr>
          <w:rFonts w:cs="FranklinGothicURWBoo"/>
          <w:color w:val="000000"/>
          <w:sz w:val="23"/>
          <w:szCs w:val="23"/>
        </w:rPr>
        <w:t xml:space="preserve">However, </w:t>
      </w:r>
      <w:r w:rsidR="003E092D">
        <w:t xml:space="preserve">when the Employment Rights Bill is drafted, the NIHRC will examine </w:t>
      </w:r>
      <w:r w:rsidR="00750D4E">
        <w:t xml:space="preserve">these </w:t>
      </w:r>
      <w:r w:rsidR="000331D8">
        <w:t>provisions</w:t>
      </w:r>
      <w:r w:rsidR="00110509" w:rsidRPr="00110509">
        <w:t xml:space="preserve"> </w:t>
      </w:r>
      <w:r w:rsidR="00110509">
        <w:t>in detail</w:t>
      </w:r>
      <w:r w:rsidR="00750D4E">
        <w:t>.</w:t>
      </w:r>
    </w:p>
    <w:p w14:paraId="30E286DB" w14:textId="77777777" w:rsidR="00D2547B" w:rsidRDefault="00D2547B" w:rsidP="00E2655A">
      <w:pPr>
        <w:pStyle w:val="ListParagraph"/>
        <w:ind w:left="720"/>
        <w:rPr>
          <w:b/>
          <w:bCs/>
        </w:rPr>
      </w:pPr>
    </w:p>
    <w:p w14:paraId="200F5A55" w14:textId="737D819E" w:rsidR="004E7F9E" w:rsidRDefault="00FB3837" w:rsidP="004E7F9E">
      <w:pPr>
        <w:pStyle w:val="ListParagraph"/>
        <w:numPr>
          <w:ilvl w:val="1"/>
          <w:numId w:val="20"/>
        </w:numPr>
        <w:ind w:left="720"/>
        <w:rPr>
          <w:b/>
          <w:bCs/>
        </w:rPr>
      </w:pPr>
      <w:r w:rsidRPr="004E7F9E">
        <w:rPr>
          <w:b/>
          <w:bCs/>
        </w:rPr>
        <w:t xml:space="preserve">The NIHRC </w:t>
      </w:r>
      <w:r w:rsidR="004F6E4A">
        <w:rPr>
          <w:b/>
          <w:bCs/>
        </w:rPr>
        <w:t xml:space="preserve">advises that the </w:t>
      </w:r>
      <w:r w:rsidR="00D07FE3">
        <w:rPr>
          <w:b/>
          <w:bCs/>
        </w:rPr>
        <w:t>Employment Bill</w:t>
      </w:r>
      <w:r w:rsidR="008569C5">
        <w:rPr>
          <w:b/>
          <w:bCs/>
        </w:rPr>
        <w:t xml:space="preserve"> must </w:t>
      </w:r>
      <w:r w:rsidR="00D07FE3">
        <w:rPr>
          <w:b/>
          <w:bCs/>
        </w:rPr>
        <w:t>comply with</w:t>
      </w:r>
      <w:r w:rsidR="00A606D5">
        <w:rPr>
          <w:b/>
          <w:bCs/>
        </w:rPr>
        <w:t xml:space="preserve"> </w:t>
      </w:r>
      <w:r w:rsidR="00A606D5" w:rsidRPr="00A606D5">
        <w:rPr>
          <w:b/>
          <w:bCs/>
        </w:rPr>
        <w:t>minimum standards</w:t>
      </w:r>
      <w:r w:rsidR="00A606D5">
        <w:rPr>
          <w:b/>
          <w:bCs/>
        </w:rPr>
        <w:t xml:space="preserve"> laid out in the </w:t>
      </w:r>
      <w:r w:rsidR="00A606D5" w:rsidRPr="00A606D5">
        <w:rPr>
          <w:b/>
          <w:bCs/>
        </w:rPr>
        <w:t>EU Pregnant Worker’s Directive</w:t>
      </w:r>
      <w:r w:rsidR="00C92228">
        <w:rPr>
          <w:b/>
          <w:bCs/>
        </w:rPr>
        <w:t xml:space="preserve">. </w:t>
      </w:r>
    </w:p>
    <w:p w14:paraId="37C948F4" w14:textId="77777777" w:rsidR="004E7F9E" w:rsidRPr="004E7F9E" w:rsidRDefault="004E7F9E" w:rsidP="004E7F9E">
      <w:pPr>
        <w:pStyle w:val="ListParagraph"/>
        <w:ind w:left="720"/>
        <w:rPr>
          <w:b/>
          <w:bCs/>
        </w:rPr>
      </w:pPr>
    </w:p>
    <w:p w14:paraId="72123EC7" w14:textId="131ECF9C" w:rsidR="004E7F9E" w:rsidRDefault="004E7F9E" w:rsidP="004E7F9E">
      <w:pPr>
        <w:pStyle w:val="Heading2"/>
      </w:pPr>
      <w:bookmarkStart w:id="40" w:name="_Toc178599808"/>
      <w:r w:rsidRPr="00FF4DA7">
        <w:t>EU Parental Leave Directive</w:t>
      </w:r>
      <w:bookmarkEnd w:id="40"/>
    </w:p>
    <w:p w14:paraId="663A9D8D" w14:textId="54F77A20" w:rsidR="004E7F9E" w:rsidRDefault="004E7F9E" w:rsidP="004E7F9E">
      <w:pPr>
        <w:pStyle w:val="ListParagraph"/>
        <w:numPr>
          <w:ilvl w:val="1"/>
          <w:numId w:val="20"/>
        </w:numPr>
        <w:ind w:left="720"/>
      </w:pPr>
      <w:r>
        <w:t>The EU Parental Leave Directive</w:t>
      </w:r>
      <w:r w:rsidR="001A46C5">
        <w:t xml:space="preserve"> laid down</w:t>
      </w:r>
      <w:r>
        <w:t xml:space="preserve"> </w:t>
      </w:r>
      <w:r w:rsidR="006E0E48">
        <w:t>“</w:t>
      </w:r>
      <w:r w:rsidRPr="00A86744">
        <w:t>minimum requirements designed to facilitate the reconciliation of parental and professional responsibilities for working parents</w:t>
      </w:r>
      <w:r>
        <w:t>.”</w:t>
      </w:r>
      <w:r>
        <w:rPr>
          <w:rStyle w:val="FootnoteReference"/>
        </w:rPr>
        <w:footnoteReference w:id="138"/>
      </w:r>
      <w:r>
        <w:t xml:space="preserve"> The </w:t>
      </w:r>
      <w:r w:rsidRPr="00BA5D22">
        <w:t>Framework Agreement on parental leave</w:t>
      </w:r>
      <w:r w:rsidR="00743A6E">
        <w:t>,</w:t>
      </w:r>
      <w:r w:rsidR="00E8481E">
        <w:t xml:space="preserve"> which is</w:t>
      </w:r>
      <w:r>
        <w:t xml:space="preserve"> given effect by this Directive</w:t>
      </w:r>
      <w:r w:rsidR="00743A6E">
        <w:t>,</w:t>
      </w:r>
      <w:r>
        <w:t xml:space="preserve"> also applie</w:t>
      </w:r>
      <w:r w:rsidR="00FE3332">
        <w:t>d</w:t>
      </w:r>
      <w:r>
        <w:t xml:space="preserve"> to </w:t>
      </w:r>
      <w:r w:rsidRPr="00D31C91">
        <w:t>part-time workers, fixed-term contract workers or persons with a contract of employment or employment relationship with a temporary agency.</w:t>
      </w:r>
      <w:r>
        <w:t xml:space="preserve"> </w:t>
      </w:r>
    </w:p>
    <w:p w14:paraId="32889E18" w14:textId="77777777" w:rsidR="004E7F9E" w:rsidRDefault="004E7F9E" w:rsidP="004E7F9E">
      <w:pPr>
        <w:pStyle w:val="ListParagraph"/>
        <w:ind w:left="720"/>
      </w:pPr>
    </w:p>
    <w:p w14:paraId="3E245A39" w14:textId="521639A6" w:rsidR="00B62E00" w:rsidRDefault="00431D53" w:rsidP="00FD3E7D">
      <w:pPr>
        <w:pStyle w:val="ListParagraph"/>
        <w:numPr>
          <w:ilvl w:val="1"/>
          <w:numId w:val="20"/>
        </w:numPr>
        <w:ind w:left="720"/>
      </w:pPr>
      <w:r>
        <w:t>Clause 2 of the</w:t>
      </w:r>
      <w:r w:rsidR="004E7F9E">
        <w:t xml:space="preserve"> Agreement</w:t>
      </w:r>
      <w:r w:rsidR="00532363">
        <w:t xml:space="preserve"> </w:t>
      </w:r>
      <w:r w:rsidR="004E7F9E">
        <w:t>grant</w:t>
      </w:r>
      <w:r w:rsidR="00FE3332">
        <w:t>ed</w:t>
      </w:r>
      <w:r w:rsidR="004E7F9E" w:rsidRPr="00FB02B0">
        <w:t xml:space="preserve"> male and female workers the individual right to parental leave</w:t>
      </w:r>
      <w:r w:rsidR="004E7F9E">
        <w:t xml:space="preserve">, </w:t>
      </w:r>
      <w:r w:rsidR="003A4658">
        <w:t>due to</w:t>
      </w:r>
      <w:r w:rsidR="004E7F9E" w:rsidRPr="00FB02B0">
        <w:t xml:space="preserve"> the birth or adoption of a child, </w:t>
      </w:r>
      <w:r w:rsidR="00F67A5A" w:rsidRPr="00FB02B0">
        <w:t>allowing them to care for the child</w:t>
      </w:r>
      <w:r w:rsidR="00F67A5A">
        <w:t xml:space="preserve"> </w:t>
      </w:r>
      <w:r w:rsidR="004A3215">
        <w:t>for a period of at least 4 months,</w:t>
      </w:r>
      <w:r w:rsidR="004A3215" w:rsidRPr="00FB02B0">
        <w:t xml:space="preserve"> </w:t>
      </w:r>
      <w:r w:rsidR="00D21747">
        <w:t>before the child reaches</w:t>
      </w:r>
      <w:r w:rsidR="004E7F9E" w:rsidRPr="00FB02B0">
        <w:t xml:space="preserve"> a specified age</w:t>
      </w:r>
      <w:r w:rsidR="00B257EC">
        <w:t xml:space="preserve"> of</w:t>
      </w:r>
      <w:r w:rsidR="004E7F9E" w:rsidRPr="00FB02B0">
        <w:t xml:space="preserve"> up to eight years.</w:t>
      </w:r>
      <w:r w:rsidR="004E7F9E">
        <w:rPr>
          <w:rStyle w:val="FootnoteReference"/>
        </w:rPr>
        <w:footnoteReference w:id="139"/>
      </w:r>
      <w:r w:rsidR="004E7F9E">
        <w:t xml:space="preserve"> It is important to note that t</w:t>
      </w:r>
      <w:r w:rsidR="004E7F9E" w:rsidRPr="00FB6EFD">
        <w:t>o promote more equal leave-taking between parents, at least one of the four months must be granted on a non-</w:t>
      </w:r>
      <w:r w:rsidR="004E7F9E" w:rsidRPr="00FB6EFD">
        <w:lastRenderedPageBreak/>
        <w:t>transferable basis.</w:t>
      </w:r>
      <w:r w:rsidR="004E7F9E">
        <w:rPr>
          <w:rStyle w:val="FootnoteReference"/>
        </w:rPr>
        <w:footnoteReference w:id="140"/>
      </w:r>
      <w:r w:rsidR="005F51CC">
        <w:t xml:space="preserve"> </w:t>
      </w:r>
      <w:r w:rsidR="00C54A40">
        <w:t xml:space="preserve">All matters regarding income </w:t>
      </w:r>
      <w:r w:rsidR="00167685">
        <w:t>in relation to the Agreement were for determination by Member States though</w:t>
      </w:r>
      <w:r w:rsidR="00AD2205">
        <w:t xml:space="preserve"> the impact of income on take-up of parental leave was </w:t>
      </w:r>
      <w:r w:rsidR="000A018A">
        <w:t>to be taken into account.</w:t>
      </w:r>
      <w:r w:rsidR="000A018A">
        <w:rPr>
          <w:rStyle w:val="FootnoteReference"/>
        </w:rPr>
        <w:footnoteReference w:id="141"/>
      </w:r>
    </w:p>
    <w:p w14:paraId="200105BB" w14:textId="77777777" w:rsidR="004E7F9E" w:rsidRDefault="004E7F9E" w:rsidP="003D6779">
      <w:pPr>
        <w:pStyle w:val="ListParagraph"/>
        <w:ind w:left="720"/>
      </w:pPr>
    </w:p>
    <w:p w14:paraId="2D60B526" w14:textId="0C927C3B" w:rsidR="004E7F9E" w:rsidRDefault="004E7F9E" w:rsidP="004E7F9E">
      <w:pPr>
        <w:pStyle w:val="ListParagraph"/>
        <w:numPr>
          <w:ilvl w:val="1"/>
          <w:numId w:val="20"/>
        </w:numPr>
        <w:ind w:left="720"/>
      </w:pPr>
      <w:r>
        <w:t xml:space="preserve">Clause 5 sets out the principle of non-discrimination as it encompasses the </w:t>
      </w:r>
      <w:r w:rsidRPr="002B3410">
        <w:t xml:space="preserve">right to return to the same job </w:t>
      </w:r>
      <w:r w:rsidR="00066BE7">
        <w:t xml:space="preserve">after parental leave </w:t>
      </w:r>
      <w:r w:rsidRPr="002B3410">
        <w:t>or, if that is not feasible, to an equivalent or similar position</w:t>
      </w:r>
      <w:r w:rsidR="002031D3">
        <w:t xml:space="preserve">. </w:t>
      </w:r>
      <w:r w:rsidR="00960FF7">
        <w:t>It also required</w:t>
      </w:r>
      <w:r w:rsidR="00E03BE5">
        <w:t xml:space="preserve"> Member States to take the</w:t>
      </w:r>
      <w:r w:rsidRPr="005539CE">
        <w:t xml:space="preserve"> necessary measures to safeguard workers from less favo</w:t>
      </w:r>
      <w:r>
        <w:t>u</w:t>
      </w:r>
      <w:r w:rsidRPr="005539CE">
        <w:t>rable treatment or dismissal due to applying for or taking parental leave.</w:t>
      </w:r>
      <w:r>
        <w:rPr>
          <w:rStyle w:val="FootnoteReference"/>
        </w:rPr>
        <w:footnoteReference w:id="142"/>
      </w:r>
      <w:r>
        <w:t xml:space="preserve"> </w:t>
      </w:r>
      <w:r w:rsidR="00EE7A82">
        <w:t>Clause 6</w:t>
      </w:r>
      <w:r w:rsidR="006413F3">
        <w:t xml:space="preserve"> provided for</w:t>
      </w:r>
      <w:r w:rsidR="00EE7A82">
        <w:t xml:space="preserve"> workers </w:t>
      </w:r>
      <w:r w:rsidR="006413F3">
        <w:t xml:space="preserve">to be entitled to </w:t>
      </w:r>
      <w:r w:rsidR="00EE7A82">
        <w:t>request</w:t>
      </w:r>
      <w:r w:rsidR="00EC1DDD">
        <w:t xml:space="preserve"> changes to their working hours and/or patterns of work for a set </w:t>
      </w:r>
      <w:proofErr w:type="gramStart"/>
      <w:r w:rsidR="00EC1DDD">
        <w:t>period of time</w:t>
      </w:r>
      <w:proofErr w:type="gramEnd"/>
      <w:r w:rsidR="00A9566C">
        <w:t xml:space="preserve"> after parental leave</w:t>
      </w:r>
      <w:r>
        <w:t xml:space="preserve">, </w:t>
      </w:r>
      <w:r w:rsidR="00A9566C">
        <w:t>and for consideration of such requests</w:t>
      </w:r>
      <w:r>
        <w:t xml:space="preserve"> </w:t>
      </w:r>
      <w:r w:rsidR="00E5422F">
        <w:t>to take into account</w:t>
      </w:r>
      <w:r>
        <w:t xml:space="preserve"> workers’ and employers’ needs.</w:t>
      </w:r>
      <w:r>
        <w:rPr>
          <w:rStyle w:val="FootnoteReference"/>
        </w:rPr>
        <w:footnoteReference w:id="143"/>
      </w:r>
    </w:p>
    <w:p w14:paraId="502A496B" w14:textId="77777777" w:rsidR="00FD3E7D" w:rsidRDefault="00FD3E7D" w:rsidP="003D6779">
      <w:pPr>
        <w:pStyle w:val="ListParagraph"/>
        <w:ind w:left="720"/>
      </w:pPr>
    </w:p>
    <w:p w14:paraId="673478B3" w14:textId="2CC66E77" w:rsidR="00FD3E7D" w:rsidRDefault="00FD3E7D" w:rsidP="00FD3E7D">
      <w:pPr>
        <w:pStyle w:val="ListParagraph"/>
        <w:numPr>
          <w:ilvl w:val="1"/>
          <w:numId w:val="20"/>
        </w:numPr>
        <w:ind w:left="720"/>
      </w:pPr>
      <w:r>
        <w:t xml:space="preserve">Proposals by the Department for the Economy aim </w:t>
      </w:r>
      <w:r w:rsidRPr="00BD0BB3">
        <w:t xml:space="preserve">to give individuals </w:t>
      </w:r>
      <w:r w:rsidR="00B3189E">
        <w:t>the flexibility to provide care during regular working hours</w:t>
      </w:r>
      <w:r w:rsidR="005F330A">
        <w:t xml:space="preserve">, in </w:t>
      </w:r>
      <w:r w:rsidRPr="00BD0BB3">
        <w:t>addition to existing entitlements such as flexible working, annual leave and unpaid parental leave and allow further opportunit</w:t>
      </w:r>
      <w:r w:rsidR="00F17C80">
        <w:t>y</w:t>
      </w:r>
      <w:r w:rsidRPr="00BD0BB3">
        <w:t xml:space="preserve"> to take time out of work</w:t>
      </w:r>
      <w:r w:rsidR="004378B7">
        <w:t xml:space="preserve"> for caring purposes</w:t>
      </w:r>
      <w:r>
        <w:t>.</w:t>
      </w:r>
      <w:r>
        <w:rPr>
          <w:rStyle w:val="FootnoteReference"/>
        </w:rPr>
        <w:footnoteReference w:id="144"/>
      </w:r>
    </w:p>
    <w:p w14:paraId="4E66EECE" w14:textId="77777777" w:rsidR="00D87479" w:rsidRDefault="00D87479" w:rsidP="00C728CE">
      <w:pPr>
        <w:pStyle w:val="ListParagraph"/>
      </w:pPr>
    </w:p>
    <w:p w14:paraId="004767D4" w14:textId="39BBF189" w:rsidR="00D87479" w:rsidRDefault="00EF7BD3" w:rsidP="004E7F9E">
      <w:pPr>
        <w:pStyle w:val="ListParagraph"/>
        <w:numPr>
          <w:ilvl w:val="1"/>
          <w:numId w:val="20"/>
        </w:numPr>
        <w:ind w:left="720"/>
      </w:pPr>
      <w:r>
        <w:t>Although</w:t>
      </w:r>
      <w:r w:rsidR="00D87479">
        <w:t xml:space="preserve"> the UK Government has acknowledged that the </w:t>
      </w:r>
      <w:r w:rsidR="00D5180A">
        <w:t xml:space="preserve">EU Parental Leave </w:t>
      </w:r>
      <w:r w:rsidR="00D87479">
        <w:t xml:space="preserve">Directive </w:t>
      </w:r>
      <w:r w:rsidR="002C6398">
        <w:t>continues to set minimum standards in NI as part of</w:t>
      </w:r>
      <w:r w:rsidR="00D87479">
        <w:t xml:space="preserve"> the no diminution commitment</w:t>
      </w:r>
      <w:r w:rsidR="00132BE8">
        <w:t>,</w:t>
      </w:r>
      <w:r w:rsidR="002C6398">
        <w:rPr>
          <w:rStyle w:val="FootnoteReference"/>
        </w:rPr>
        <w:footnoteReference w:id="145"/>
      </w:r>
      <w:r w:rsidR="00D87479">
        <w:t xml:space="preserve"> the Directive has now </w:t>
      </w:r>
      <w:r w:rsidR="00D87479" w:rsidRPr="00D87479">
        <w:t>been superseded for Member States, by the Work-life Balance Directive outlined in the next section.</w:t>
      </w:r>
    </w:p>
    <w:p w14:paraId="51EA657D" w14:textId="77777777" w:rsidR="00D5180A" w:rsidRDefault="00D5180A" w:rsidP="006E3767">
      <w:pPr>
        <w:pStyle w:val="ListParagraph"/>
      </w:pPr>
    </w:p>
    <w:p w14:paraId="172DC4FA" w14:textId="042A6D0A" w:rsidR="00D5180A" w:rsidRPr="006E3767" w:rsidRDefault="00D5180A" w:rsidP="00D5180A">
      <w:pPr>
        <w:pStyle w:val="ListParagraph"/>
        <w:numPr>
          <w:ilvl w:val="1"/>
          <w:numId w:val="20"/>
        </w:numPr>
        <w:ind w:left="720"/>
        <w:rPr>
          <w:b/>
          <w:bCs/>
        </w:rPr>
      </w:pPr>
      <w:r w:rsidRPr="004E7F9E">
        <w:rPr>
          <w:b/>
          <w:bCs/>
        </w:rPr>
        <w:t xml:space="preserve">The NIHRC </w:t>
      </w:r>
      <w:r>
        <w:rPr>
          <w:b/>
          <w:bCs/>
        </w:rPr>
        <w:t xml:space="preserve">advises that the Employment Bill must comply with </w:t>
      </w:r>
      <w:r w:rsidRPr="00A606D5">
        <w:rPr>
          <w:b/>
          <w:bCs/>
        </w:rPr>
        <w:t>minimum standards</w:t>
      </w:r>
      <w:r>
        <w:rPr>
          <w:b/>
          <w:bCs/>
        </w:rPr>
        <w:t xml:space="preserve"> laid out in the </w:t>
      </w:r>
      <w:r w:rsidRPr="00A606D5">
        <w:rPr>
          <w:b/>
          <w:bCs/>
        </w:rPr>
        <w:t xml:space="preserve">EU </w:t>
      </w:r>
      <w:r>
        <w:rPr>
          <w:b/>
          <w:bCs/>
        </w:rPr>
        <w:t>Parental Leave</w:t>
      </w:r>
      <w:r w:rsidRPr="00A606D5">
        <w:rPr>
          <w:b/>
          <w:bCs/>
        </w:rPr>
        <w:t xml:space="preserve"> Directive</w:t>
      </w:r>
      <w:r>
        <w:rPr>
          <w:b/>
          <w:bCs/>
        </w:rPr>
        <w:t xml:space="preserve">. </w:t>
      </w:r>
    </w:p>
    <w:p w14:paraId="2B19CE6C" w14:textId="77777777" w:rsidR="006514F7" w:rsidRDefault="006514F7" w:rsidP="006514F7">
      <w:pPr>
        <w:pStyle w:val="ListParagraph"/>
        <w:ind w:left="720"/>
      </w:pPr>
    </w:p>
    <w:p w14:paraId="3D91E46C" w14:textId="2C87C700" w:rsidR="006514F7" w:rsidRDefault="006514F7" w:rsidP="00B86998">
      <w:pPr>
        <w:pStyle w:val="Heading2"/>
      </w:pPr>
      <w:bookmarkStart w:id="41" w:name="_Toc178599809"/>
      <w:r>
        <w:lastRenderedPageBreak/>
        <w:t>EU Work-Life Balance Directive</w:t>
      </w:r>
      <w:bookmarkEnd w:id="41"/>
      <w:r>
        <w:t xml:space="preserve"> </w:t>
      </w:r>
    </w:p>
    <w:p w14:paraId="1583DCA7" w14:textId="7A2DDBF3" w:rsidR="006514F7" w:rsidRDefault="006514F7" w:rsidP="006514F7">
      <w:pPr>
        <w:pStyle w:val="ListParagraph"/>
        <w:numPr>
          <w:ilvl w:val="1"/>
          <w:numId w:val="20"/>
        </w:numPr>
        <w:ind w:left="720"/>
      </w:pPr>
      <w:r w:rsidRPr="00A82978">
        <w:t>In 2019</w:t>
      </w:r>
      <w:r>
        <w:t>,</w:t>
      </w:r>
      <w:r w:rsidRPr="00A82978">
        <w:t xml:space="preserve"> the </w:t>
      </w:r>
      <w:r>
        <w:t>EU</w:t>
      </w:r>
      <w:r w:rsidRPr="00A82978">
        <w:t xml:space="preserve"> Parliament adopted </w:t>
      </w:r>
      <w:r>
        <w:t xml:space="preserve">the EU </w:t>
      </w:r>
      <w:r w:rsidRPr="00A82978">
        <w:t>Work-</w:t>
      </w:r>
      <w:r>
        <w:t>Li</w:t>
      </w:r>
      <w:r w:rsidRPr="00A82978">
        <w:t xml:space="preserve">fe Balance Directive </w:t>
      </w:r>
      <w:r w:rsidR="008971CD">
        <w:t xml:space="preserve">which </w:t>
      </w:r>
      <w:r w:rsidR="00503E41">
        <w:t xml:space="preserve">covers the areas of </w:t>
      </w:r>
      <w:r w:rsidR="00503E41" w:rsidRPr="00A82978">
        <w:t>parents</w:t>
      </w:r>
      <w:r w:rsidR="008971CD">
        <w:t>’</w:t>
      </w:r>
      <w:r w:rsidR="00503E41" w:rsidRPr="00A82978">
        <w:t xml:space="preserve"> and carers</w:t>
      </w:r>
      <w:r w:rsidR="008971CD">
        <w:t>’</w:t>
      </w:r>
      <w:r w:rsidR="00503E41">
        <w:t xml:space="preserve"> leave</w:t>
      </w:r>
      <w:r>
        <w:t>.</w:t>
      </w:r>
      <w:r w:rsidRPr="00A82978">
        <w:rPr>
          <w:vertAlign w:val="superscript"/>
        </w:rPr>
        <w:footnoteReference w:id="146"/>
      </w:r>
      <w:r w:rsidRPr="00A82978">
        <w:t xml:space="preserve"> </w:t>
      </w:r>
      <w:r>
        <w:t>The Directive</w:t>
      </w:r>
      <w:r w:rsidRPr="00A82978" w:rsidDel="00B94FC3">
        <w:t xml:space="preserve"> </w:t>
      </w:r>
      <w:r w:rsidRPr="00A82978">
        <w:t>aims to improve access to family leave and flexible work arrangements, encourage a more equal sharing of parental leave between men and women, and to address women’s underrepresentation in the labour market</w:t>
      </w:r>
      <w:r>
        <w:t xml:space="preserve">. The EU </w:t>
      </w:r>
      <w:r w:rsidRPr="00A82978">
        <w:t>Work-</w:t>
      </w:r>
      <w:r>
        <w:t>L</w:t>
      </w:r>
      <w:r w:rsidRPr="00A82978">
        <w:t>ife Balance Directive</w:t>
      </w:r>
      <w:r w:rsidRPr="00A82978">
        <w:rPr>
          <w:vertAlign w:val="superscript"/>
        </w:rPr>
        <w:footnoteReference w:id="147"/>
      </w:r>
      <w:r w:rsidRPr="00A82978">
        <w:t xml:space="preserve"> repeals and replaces the </w:t>
      </w:r>
      <w:r>
        <w:t xml:space="preserve">EU </w:t>
      </w:r>
      <w:r w:rsidRPr="00A82978">
        <w:t>Parental Leave Directive.</w:t>
      </w:r>
      <w:r w:rsidRPr="00A82978">
        <w:rPr>
          <w:vertAlign w:val="superscript"/>
        </w:rPr>
        <w:footnoteReference w:id="148"/>
      </w:r>
      <w:r>
        <w:t xml:space="preserve">  </w:t>
      </w:r>
    </w:p>
    <w:p w14:paraId="7EB4A790" w14:textId="77777777" w:rsidR="006514F7" w:rsidRDefault="006514F7" w:rsidP="006514F7">
      <w:pPr>
        <w:pStyle w:val="ListParagraph"/>
        <w:ind w:left="720"/>
      </w:pPr>
    </w:p>
    <w:p w14:paraId="64971F8F" w14:textId="2411642B" w:rsidR="006514F7" w:rsidRDefault="006514F7" w:rsidP="0021705D">
      <w:pPr>
        <w:pStyle w:val="ListParagraph"/>
        <w:numPr>
          <w:ilvl w:val="1"/>
          <w:numId w:val="20"/>
        </w:numPr>
        <w:ind w:left="720"/>
      </w:pPr>
      <w:r>
        <w:t xml:space="preserve">As </w:t>
      </w:r>
      <w:r w:rsidR="00CA6C42">
        <w:t>the EU Parental Leave Directive</w:t>
      </w:r>
      <w:r>
        <w:t xml:space="preserve"> is not listed in Annex 1, there is no requirement under the Windsor Framework for NI law to keep pace with this change. However, if </w:t>
      </w:r>
      <w:r w:rsidRPr="00ED70EA">
        <w:t>the</w:t>
      </w:r>
      <w:r w:rsidRPr="00A82978">
        <w:t xml:space="preserve"> provisions of the </w:t>
      </w:r>
      <w:r>
        <w:t xml:space="preserve">EU </w:t>
      </w:r>
      <w:r w:rsidRPr="00A82978">
        <w:t>Work-Life Balance Directive</w:t>
      </w:r>
      <w:r>
        <w:rPr>
          <w:rStyle w:val="FootnoteReference"/>
        </w:rPr>
        <w:footnoteReference w:id="149"/>
      </w:r>
      <w:r w:rsidRPr="00A82978">
        <w:t xml:space="preserve"> </w:t>
      </w:r>
      <w:r>
        <w:t xml:space="preserve">are not implemented in NI </w:t>
      </w:r>
      <w:r w:rsidRPr="00A82978">
        <w:t>legislation</w:t>
      </w:r>
      <w:r>
        <w:t xml:space="preserve">, it would </w:t>
      </w:r>
      <w:r w:rsidRPr="00A82978">
        <w:t xml:space="preserve">result in NI </w:t>
      </w:r>
      <w:r>
        <w:t xml:space="preserve">law </w:t>
      </w:r>
      <w:r w:rsidRPr="00A82978">
        <w:t xml:space="preserve">continuing to mirror the </w:t>
      </w:r>
      <w:r>
        <w:t xml:space="preserve">more limited obligations </w:t>
      </w:r>
      <w:r w:rsidRPr="00A82978">
        <w:t xml:space="preserve">of the </w:t>
      </w:r>
      <w:r>
        <w:t xml:space="preserve">EU </w:t>
      </w:r>
      <w:r w:rsidRPr="00A82978">
        <w:t>Parental Leave Directive,</w:t>
      </w:r>
      <w:r>
        <w:rPr>
          <w:rStyle w:val="FootnoteReference"/>
        </w:rPr>
        <w:footnoteReference w:id="150"/>
      </w:r>
      <w:r w:rsidRPr="00A82978">
        <w:t xml:space="preserve"> even though it has been replaced by the </w:t>
      </w:r>
      <w:r>
        <w:t xml:space="preserve">EU </w:t>
      </w:r>
      <w:r w:rsidRPr="00A82978">
        <w:t>Work-Life Balance Directive</w:t>
      </w:r>
      <w:r>
        <w:t>.</w:t>
      </w:r>
    </w:p>
    <w:p w14:paraId="7ACAE359" w14:textId="77777777" w:rsidR="001271B1" w:rsidRDefault="001271B1" w:rsidP="001271B1">
      <w:pPr>
        <w:pStyle w:val="ListParagraph"/>
      </w:pPr>
    </w:p>
    <w:p w14:paraId="1CB00BA9" w14:textId="02AC0665" w:rsidR="001271B1" w:rsidRDefault="00E645F5" w:rsidP="00710B9C">
      <w:pPr>
        <w:pStyle w:val="ListParagraph"/>
        <w:numPr>
          <w:ilvl w:val="1"/>
          <w:numId w:val="20"/>
        </w:numPr>
        <w:ind w:left="720"/>
      </w:pPr>
      <w:r>
        <w:t xml:space="preserve">In Article 4, the EU Work-Life Balance Directive </w:t>
      </w:r>
      <w:r w:rsidR="002C5B8C">
        <w:t xml:space="preserve">provides </w:t>
      </w:r>
      <w:r w:rsidR="003C7794">
        <w:t xml:space="preserve">for </w:t>
      </w:r>
      <w:r w:rsidR="00705741">
        <w:t>paternity leave</w:t>
      </w:r>
      <w:r w:rsidR="005B1CB5">
        <w:t xml:space="preserve"> </w:t>
      </w:r>
      <w:r w:rsidR="00F36929">
        <w:t xml:space="preserve">of </w:t>
      </w:r>
      <w:r w:rsidR="005B1CB5">
        <w:t xml:space="preserve">10 working days to be taken </w:t>
      </w:r>
      <w:proofErr w:type="gramStart"/>
      <w:r w:rsidR="005B1CB5">
        <w:t>on the occasion of</w:t>
      </w:r>
      <w:proofErr w:type="gramEnd"/>
      <w:r w:rsidR="005B1CB5">
        <w:t xml:space="preserve"> the birth of the worker's child</w:t>
      </w:r>
      <w:r w:rsidR="00F36929">
        <w:t>, irrespective of</w:t>
      </w:r>
      <w:r w:rsidR="00807E5C">
        <w:t xml:space="preserve"> their</w:t>
      </w:r>
      <w:r w:rsidR="00F36929">
        <w:t xml:space="preserve"> </w:t>
      </w:r>
      <w:r w:rsidR="00F36929" w:rsidRPr="00F36929">
        <w:t>marital or family status</w:t>
      </w:r>
      <w:r w:rsidR="00807E5C">
        <w:t xml:space="preserve"> and </w:t>
      </w:r>
      <w:r w:rsidR="00E00163">
        <w:t xml:space="preserve">not subject to a </w:t>
      </w:r>
      <w:r w:rsidR="00807E5C">
        <w:t>period of work or length of service</w:t>
      </w:r>
      <w:r w:rsidR="00E00163">
        <w:t xml:space="preserve"> qualification</w:t>
      </w:r>
      <w:r w:rsidR="00807E5C">
        <w:t>.</w:t>
      </w:r>
      <w:r w:rsidR="009901C7">
        <w:rPr>
          <w:rStyle w:val="FootnoteReference"/>
        </w:rPr>
        <w:footnoteReference w:id="151"/>
      </w:r>
      <w:r w:rsidR="00807E5C">
        <w:t xml:space="preserve"> </w:t>
      </w:r>
      <w:r w:rsidR="00A9226C">
        <w:t xml:space="preserve">It is important to note that 10 working days </w:t>
      </w:r>
      <w:r w:rsidR="002877E5">
        <w:t xml:space="preserve">is a </w:t>
      </w:r>
      <w:r w:rsidR="00A9226C">
        <w:t>minimum standard.</w:t>
      </w:r>
      <w:r w:rsidR="00367FCE">
        <w:t xml:space="preserve"> </w:t>
      </w:r>
      <w:r w:rsidR="00B46E85">
        <w:t xml:space="preserve">Article 4 </w:t>
      </w:r>
      <w:r w:rsidR="00367FCE">
        <w:t xml:space="preserve">does not set a maximum period during which the leave should be taken and </w:t>
      </w:r>
      <w:r w:rsidR="00B46E85">
        <w:t xml:space="preserve">provides for Member States to consider </w:t>
      </w:r>
      <w:r w:rsidR="00D925C7">
        <w:t xml:space="preserve">whether </w:t>
      </w:r>
      <w:r w:rsidR="00B46E85">
        <w:t>the leave may be taken</w:t>
      </w:r>
      <w:r w:rsidR="00D925C7">
        <w:t xml:space="preserve"> flexibly</w:t>
      </w:r>
      <w:r w:rsidR="00B46E85">
        <w:t>.</w:t>
      </w:r>
      <w:r w:rsidR="005806A7">
        <w:t xml:space="preserve"> </w:t>
      </w:r>
      <w:r w:rsidR="005A08D3">
        <w:t xml:space="preserve">The </w:t>
      </w:r>
      <w:r w:rsidR="00AF4754">
        <w:t>changes</w:t>
      </w:r>
      <w:r w:rsidR="005331B9">
        <w:t xml:space="preserve"> </w:t>
      </w:r>
      <w:r w:rsidR="009C3AA6">
        <w:t xml:space="preserve">proposed </w:t>
      </w:r>
      <w:r w:rsidR="005331B9">
        <w:t>in the consultation</w:t>
      </w:r>
      <w:r w:rsidR="00AF4754">
        <w:t xml:space="preserve"> </w:t>
      </w:r>
      <w:r w:rsidR="00F017BE">
        <w:t xml:space="preserve">provide </w:t>
      </w:r>
      <w:r w:rsidR="005331B9">
        <w:t xml:space="preserve">additional </w:t>
      </w:r>
      <w:r w:rsidR="00F017BE">
        <w:t xml:space="preserve">flexibility </w:t>
      </w:r>
      <w:r w:rsidR="0060144A">
        <w:t xml:space="preserve">by allowing paternity </w:t>
      </w:r>
      <w:proofErr w:type="gramStart"/>
      <w:r w:rsidR="0060144A">
        <w:t>leave</w:t>
      </w:r>
      <w:proofErr w:type="gramEnd"/>
      <w:r w:rsidR="0060144A">
        <w:t xml:space="preserve"> to be taken </w:t>
      </w:r>
      <w:r w:rsidR="009F79D2">
        <w:t xml:space="preserve">as </w:t>
      </w:r>
      <w:r w:rsidR="00E24A87">
        <w:t xml:space="preserve">two </w:t>
      </w:r>
      <w:r w:rsidR="009F79D2">
        <w:t>single block</w:t>
      </w:r>
      <w:r w:rsidR="00E24A87">
        <w:t>s</w:t>
      </w:r>
      <w:r w:rsidR="009F79D2">
        <w:t xml:space="preserve"> of </w:t>
      </w:r>
      <w:r w:rsidR="00E24A87">
        <w:t>one</w:t>
      </w:r>
      <w:r w:rsidR="009F79D2">
        <w:t xml:space="preserve"> wee</w:t>
      </w:r>
      <w:r w:rsidR="00E24A87">
        <w:t>k or a single block of two weeks</w:t>
      </w:r>
      <w:r w:rsidR="00885B74">
        <w:t>, which is welc</w:t>
      </w:r>
      <w:r w:rsidR="003E092D">
        <w:t>ome.</w:t>
      </w:r>
      <w:r w:rsidR="00E24A87">
        <w:rPr>
          <w:rStyle w:val="FootnoteReference"/>
        </w:rPr>
        <w:footnoteReference w:id="152"/>
      </w:r>
    </w:p>
    <w:p w14:paraId="4FCFB278" w14:textId="77777777" w:rsidR="001271B1" w:rsidRDefault="001271B1" w:rsidP="001271B1">
      <w:pPr>
        <w:pStyle w:val="ListParagraph"/>
      </w:pPr>
    </w:p>
    <w:p w14:paraId="59EEE856" w14:textId="07AC4841" w:rsidR="001271B1" w:rsidRDefault="00AA7ECB" w:rsidP="00710B9C">
      <w:pPr>
        <w:pStyle w:val="ListParagraph"/>
        <w:numPr>
          <w:ilvl w:val="1"/>
          <w:numId w:val="20"/>
        </w:numPr>
        <w:ind w:left="720"/>
      </w:pPr>
      <w:r>
        <w:lastRenderedPageBreak/>
        <w:t xml:space="preserve">Further, </w:t>
      </w:r>
      <w:r w:rsidR="00D9156F">
        <w:t xml:space="preserve">Article 5 of the EU Work-Life Balance Directive </w:t>
      </w:r>
      <w:r w:rsidR="00F92AF9" w:rsidRPr="00F92AF9">
        <w:t>grants four months of leave to be taken before the child reaches a specified age, ensuring that each parent can exercise their right to parental leave effectively and equally</w:t>
      </w:r>
      <w:r w:rsidR="009901C7">
        <w:t xml:space="preserve">, ensuring that </w:t>
      </w:r>
      <w:r w:rsidR="009901C7" w:rsidRPr="009901C7">
        <w:t>two months of parental leave</w:t>
      </w:r>
      <w:r w:rsidR="009901C7">
        <w:t xml:space="preserve"> are not to</w:t>
      </w:r>
      <w:r w:rsidR="009901C7" w:rsidRPr="009901C7">
        <w:t xml:space="preserve"> be transferred.</w:t>
      </w:r>
      <w:r w:rsidR="009901C7">
        <w:rPr>
          <w:rStyle w:val="FootnoteReference"/>
        </w:rPr>
        <w:footnoteReference w:id="153"/>
      </w:r>
      <w:r w:rsidR="00E65671">
        <w:t xml:space="preserve"> </w:t>
      </w:r>
      <w:r w:rsidR="00E564D1">
        <w:t>T</w:t>
      </w:r>
      <w:r w:rsidR="00E65671">
        <w:t xml:space="preserve">hese leave entitlements shall be adapted </w:t>
      </w:r>
      <w:r w:rsidR="009C3AA6">
        <w:t xml:space="preserve">to </w:t>
      </w:r>
      <w:r w:rsidR="00E65671">
        <w:t>the “needs of adoptive parents, parents with a disability and parents with children with a disability or a long-term illness.”</w:t>
      </w:r>
      <w:r w:rsidR="00E65671">
        <w:rPr>
          <w:rStyle w:val="FootnoteReference"/>
        </w:rPr>
        <w:footnoteReference w:id="154"/>
      </w:r>
    </w:p>
    <w:p w14:paraId="5ABE4F06" w14:textId="77777777" w:rsidR="001271B1" w:rsidRDefault="001271B1" w:rsidP="001271B1">
      <w:pPr>
        <w:pStyle w:val="ListParagraph"/>
      </w:pPr>
    </w:p>
    <w:p w14:paraId="0D0B36A1" w14:textId="6C2B64D3" w:rsidR="00726488" w:rsidRDefault="00E760C4" w:rsidP="00710B9C">
      <w:pPr>
        <w:pStyle w:val="ListParagraph"/>
        <w:numPr>
          <w:ilvl w:val="1"/>
          <w:numId w:val="20"/>
        </w:numPr>
        <w:ind w:left="720"/>
      </w:pPr>
      <w:r w:rsidRPr="00E760C4">
        <w:t>Article 6</w:t>
      </w:r>
      <w:r>
        <w:t xml:space="preserve"> of the EU Work-life balance directive provides for c</w:t>
      </w:r>
      <w:r w:rsidRPr="00E760C4">
        <w:t xml:space="preserve">arers' leave </w:t>
      </w:r>
      <w:r>
        <w:t xml:space="preserve">for up to </w:t>
      </w:r>
      <w:r w:rsidRPr="00E760C4">
        <w:t>five working days per year</w:t>
      </w:r>
      <w:r w:rsidR="00501DC2">
        <w:t>,</w:t>
      </w:r>
      <w:r w:rsidR="00726488">
        <w:rPr>
          <w:rStyle w:val="FootnoteReference"/>
        </w:rPr>
        <w:footnoteReference w:id="155"/>
      </w:r>
      <w:r w:rsidR="00E564D1">
        <w:t xml:space="preserve"> </w:t>
      </w:r>
      <w:r w:rsidR="00DD66F4">
        <w:t xml:space="preserve">consistent with </w:t>
      </w:r>
      <w:r w:rsidR="00E564D1">
        <w:t>the proposal</w:t>
      </w:r>
      <w:r w:rsidR="00BA1BF1">
        <w:t xml:space="preserve"> by the Department for the Economy.</w:t>
      </w:r>
      <w:r w:rsidR="00726488">
        <w:rPr>
          <w:rStyle w:val="FootnoteReference"/>
        </w:rPr>
        <w:footnoteReference w:id="156"/>
      </w:r>
      <w:r w:rsidR="00BA1BF1">
        <w:t xml:space="preserve"> </w:t>
      </w:r>
    </w:p>
    <w:p w14:paraId="3F47AE9E" w14:textId="77777777" w:rsidR="00726488" w:rsidRDefault="00726488" w:rsidP="00726488">
      <w:pPr>
        <w:pStyle w:val="ListParagraph"/>
      </w:pPr>
    </w:p>
    <w:p w14:paraId="21FF6CCF" w14:textId="149E8D47" w:rsidR="001271B1" w:rsidRDefault="000E06E0" w:rsidP="001271B1">
      <w:pPr>
        <w:pStyle w:val="ListParagraph"/>
        <w:numPr>
          <w:ilvl w:val="1"/>
          <w:numId w:val="20"/>
        </w:numPr>
        <w:ind w:left="720"/>
      </w:pPr>
      <w:r>
        <w:t xml:space="preserve">Article 11 sets out the principle of non-discrimination which should be the basis for </w:t>
      </w:r>
      <w:r w:rsidR="00284437">
        <w:t>all new arrangements suggested by the Department.</w:t>
      </w:r>
      <w:r w:rsidR="00726488">
        <w:t xml:space="preserve"> </w:t>
      </w:r>
      <w:r w:rsidR="00F42075">
        <w:t xml:space="preserve">Article 9 provides for flexible working arrangements </w:t>
      </w:r>
      <w:r w:rsidR="00A67567">
        <w:t xml:space="preserve">such that </w:t>
      </w:r>
      <w:r w:rsidR="001B4C7A">
        <w:t>“</w:t>
      </w:r>
      <w:r w:rsidR="002D16E5">
        <w:t>workers with children up to a specified age, which</w:t>
      </w:r>
      <w:r w:rsidR="001B4C7A">
        <w:t xml:space="preserve"> </w:t>
      </w:r>
      <w:r w:rsidR="002D16E5">
        <w:t>shall be at least eight years, and carers, have the right to request flexible working arrangements for caring purposes</w:t>
      </w:r>
      <w:r w:rsidR="001B4C7A">
        <w:t>.”</w:t>
      </w:r>
      <w:r w:rsidR="001B4C7A">
        <w:rPr>
          <w:rStyle w:val="FootnoteReference"/>
        </w:rPr>
        <w:footnoteReference w:id="157"/>
      </w:r>
    </w:p>
    <w:p w14:paraId="0935CA95" w14:textId="77777777" w:rsidR="001271B1" w:rsidRDefault="001271B1" w:rsidP="001271B1">
      <w:pPr>
        <w:pStyle w:val="ListParagraph"/>
      </w:pPr>
    </w:p>
    <w:p w14:paraId="1141373D" w14:textId="77777777" w:rsidR="001271B1" w:rsidRDefault="00895FD7" w:rsidP="00710B9C">
      <w:pPr>
        <w:pStyle w:val="ListParagraph"/>
        <w:numPr>
          <w:ilvl w:val="1"/>
          <w:numId w:val="20"/>
        </w:numPr>
        <w:ind w:left="720"/>
      </w:pPr>
      <w:r w:rsidRPr="00A82978">
        <w:t xml:space="preserve">It is the view of the </w:t>
      </w:r>
      <w:r w:rsidR="00B207FA">
        <w:t>NIHRC</w:t>
      </w:r>
      <w:r w:rsidRPr="00A82978">
        <w:t xml:space="preserve"> that </w:t>
      </w:r>
      <w:r>
        <w:t xml:space="preserve">implementing </w:t>
      </w:r>
      <w:r w:rsidRPr="00A82978">
        <w:t xml:space="preserve">provisions </w:t>
      </w:r>
      <w:r>
        <w:t xml:space="preserve">of the Directive, such as those on </w:t>
      </w:r>
      <w:r w:rsidRPr="00A82978">
        <w:t>non-transferable parental leave</w:t>
      </w:r>
      <w:r>
        <w:t>,</w:t>
      </w:r>
      <w:r w:rsidRPr="00A82978">
        <w:t xml:space="preserve"> would avoid a potential divergence of rights on the island of Ireland and could positively contribute to addressing some of the key barriers to the full and equal participation of women in employment by encouraging an equal sharing of parental leave.</w:t>
      </w:r>
      <w:r w:rsidRPr="00A82978">
        <w:rPr>
          <w:vertAlign w:val="superscript"/>
        </w:rPr>
        <w:footnoteReference w:id="158"/>
      </w:r>
    </w:p>
    <w:p w14:paraId="6C689664" w14:textId="77777777" w:rsidR="001271B1" w:rsidRDefault="001271B1" w:rsidP="001271B1">
      <w:pPr>
        <w:pStyle w:val="ListParagraph"/>
      </w:pPr>
    </w:p>
    <w:p w14:paraId="09CE9D99" w14:textId="2736B108" w:rsidR="00895FD7" w:rsidRPr="001336B3" w:rsidRDefault="00895FD7" w:rsidP="00710B9C">
      <w:pPr>
        <w:pStyle w:val="ListParagraph"/>
        <w:numPr>
          <w:ilvl w:val="1"/>
          <w:numId w:val="20"/>
        </w:numPr>
        <w:ind w:left="720"/>
        <w:rPr>
          <w:b/>
          <w:bCs/>
        </w:rPr>
      </w:pPr>
      <w:r w:rsidRPr="001336B3">
        <w:rPr>
          <w:b/>
          <w:bCs/>
        </w:rPr>
        <w:t xml:space="preserve">The </w:t>
      </w:r>
      <w:r w:rsidR="00686498" w:rsidRPr="001336B3">
        <w:rPr>
          <w:b/>
          <w:bCs/>
        </w:rPr>
        <w:t xml:space="preserve">NIHRC recommends that the Department for the Economy </w:t>
      </w:r>
      <w:r w:rsidR="0052658D" w:rsidRPr="001336B3">
        <w:rPr>
          <w:b/>
          <w:bCs/>
        </w:rPr>
        <w:t xml:space="preserve">ensures that, </w:t>
      </w:r>
      <w:r w:rsidR="00686498" w:rsidRPr="001336B3">
        <w:rPr>
          <w:b/>
          <w:bCs/>
        </w:rPr>
        <w:t xml:space="preserve">on a voluntary basis, </w:t>
      </w:r>
      <w:r w:rsidRPr="001336B3">
        <w:rPr>
          <w:b/>
          <w:bCs/>
        </w:rPr>
        <w:t xml:space="preserve">NI law aligns with those provisions of the EU Work-Life Balance Directive that enhance equality and human rights protections and align with international human rights standards. </w:t>
      </w:r>
    </w:p>
    <w:p w14:paraId="3DDAB6A2" w14:textId="6B0A6F3C" w:rsidR="00FE2CEE" w:rsidRDefault="00FE2CEE">
      <w:pPr>
        <w:rPr>
          <w:rFonts w:cs="Arial"/>
          <w:b/>
          <w:bCs/>
          <w:color w:val="77328A"/>
          <w:sz w:val="36"/>
          <w:szCs w:val="36"/>
        </w:rPr>
      </w:pPr>
    </w:p>
    <w:p w14:paraId="668399B1" w14:textId="77777777" w:rsidR="00240D97" w:rsidRDefault="00240D97" w:rsidP="00313BF0">
      <w:pPr>
        <w:pStyle w:val="BasicParagraph"/>
        <w:suppressAutoHyphens/>
        <w:jc w:val="center"/>
        <w:rPr>
          <w:rFonts w:ascii="Verdana" w:hAnsi="Verdana" w:cs="Arial"/>
          <w:b/>
          <w:bCs/>
          <w:color w:val="77328A"/>
          <w:sz w:val="36"/>
          <w:szCs w:val="36"/>
        </w:rPr>
      </w:pPr>
    </w:p>
    <w:p w14:paraId="237D0C4A" w14:textId="77777777" w:rsidR="00FE2CEE" w:rsidRDefault="00FE2CEE" w:rsidP="00313BF0">
      <w:pPr>
        <w:pStyle w:val="BasicParagraph"/>
        <w:suppressAutoHyphens/>
        <w:jc w:val="center"/>
        <w:rPr>
          <w:rFonts w:ascii="Verdana" w:hAnsi="Verdana" w:cs="Arial"/>
          <w:b/>
          <w:bCs/>
          <w:color w:val="77328A"/>
          <w:sz w:val="36"/>
          <w:szCs w:val="36"/>
        </w:rPr>
      </w:pPr>
    </w:p>
    <w:p w14:paraId="2D529123" w14:textId="77777777" w:rsidR="00FE2CEE" w:rsidRDefault="00FE2CEE" w:rsidP="00313BF0">
      <w:pPr>
        <w:pStyle w:val="BasicParagraph"/>
        <w:suppressAutoHyphens/>
        <w:jc w:val="center"/>
        <w:rPr>
          <w:rFonts w:ascii="Verdana" w:hAnsi="Verdana" w:cs="Arial"/>
          <w:b/>
          <w:bCs/>
          <w:color w:val="77328A"/>
          <w:sz w:val="36"/>
          <w:szCs w:val="36"/>
        </w:rPr>
      </w:pPr>
    </w:p>
    <w:p w14:paraId="2229B6F5" w14:textId="77777777" w:rsidR="00FE2CEE" w:rsidRDefault="00FE2CEE" w:rsidP="00313BF0">
      <w:pPr>
        <w:pStyle w:val="BasicParagraph"/>
        <w:suppressAutoHyphens/>
        <w:jc w:val="center"/>
        <w:rPr>
          <w:rFonts w:ascii="Verdana" w:hAnsi="Verdana" w:cs="Arial"/>
          <w:b/>
          <w:bCs/>
          <w:color w:val="77328A"/>
          <w:sz w:val="36"/>
          <w:szCs w:val="36"/>
        </w:rPr>
      </w:pPr>
    </w:p>
    <w:p w14:paraId="026311E3" w14:textId="77777777" w:rsidR="00FE2CEE" w:rsidRDefault="00FE2CEE" w:rsidP="00313BF0">
      <w:pPr>
        <w:pStyle w:val="BasicParagraph"/>
        <w:suppressAutoHyphens/>
        <w:jc w:val="center"/>
        <w:rPr>
          <w:rFonts w:ascii="Verdana" w:hAnsi="Verdana" w:cs="Arial"/>
          <w:b/>
          <w:bCs/>
          <w:color w:val="77328A"/>
          <w:sz w:val="36"/>
          <w:szCs w:val="36"/>
        </w:rPr>
      </w:pPr>
    </w:p>
    <w:p w14:paraId="0FCF222A" w14:textId="77777777" w:rsidR="00FE2CEE" w:rsidRDefault="00FE2CEE" w:rsidP="00313BF0">
      <w:pPr>
        <w:pStyle w:val="BasicParagraph"/>
        <w:suppressAutoHyphens/>
        <w:jc w:val="center"/>
        <w:rPr>
          <w:rFonts w:ascii="Verdana" w:hAnsi="Verdana" w:cs="Arial"/>
          <w:b/>
          <w:bCs/>
          <w:color w:val="77328A"/>
          <w:sz w:val="36"/>
          <w:szCs w:val="36"/>
        </w:rPr>
      </w:pPr>
    </w:p>
    <w:p w14:paraId="4A3119E3" w14:textId="77777777" w:rsidR="00FE2CEE" w:rsidRDefault="00FE2CEE" w:rsidP="00313BF0">
      <w:pPr>
        <w:pStyle w:val="BasicParagraph"/>
        <w:suppressAutoHyphens/>
        <w:jc w:val="center"/>
        <w:rPr>
          <w:rFonts w:ascii="Verdana" w:hAnsi="Verdana" w:cs="Arial"/>
          <w:b/>
          <w:bCs/>
          <w:color w:val="77328A"/>
          <w:sz w:val="36"/>
          <w:szCs w:val="36"/>
        </w:rPr>
      </w:pPr>
    </w:p>
    <w:p w14:paraId="1F6DBE1B" w14:textId="77777777" w:rsidR="00FE2CEE" w:rsidRDefault="00FE2CEE" w:rsidP="00313BF0">
      <w:pPr>
        <w:pStyle w:val="BasicParagraph"/>
        <w:suppressAutoHyphens/>
        <w:jc w:val="center"/>
        <w:rPr>
          <w:rFonts w:ascii="Verdana" w:hAnsi="Verdana" w:cs="Arial"/>
          <w:b/>
          <w:bCs/>
          <w:color w:val="77328A"/>
          <w:sz w:val="36"/>
          <w:szCs w:val="36"/>
        </w:rPr>
      </w:pPr>
    </w:p>
    <w:p w14:paraId="0485C507" w14:textId="77777777" w:rsidR="00E32BD3" w:rsidRDefault="00E32BD3" w:rsidP="00313BF0">
      <w:pPr>
        <w:pStyle w:val="BasicParagraph"/>
        <w:suppressAutoHyphens/>
        <w:jc w:val="center"/>
        <w:rPr>
          <w:rFonts w:ascii="Verdana" w:hAnsi="Verdana" w:cs="Arial"/>
          <w:b/>
          <w:bCs/>
          <w:color w:val="77328A"/>
          <w:sz w:val="36"/>
          <w:szCs w:val="36"/>
        </w:rPr>
      </w:pPr>
    </w:p>
    <w:p w14:paraId="00ECAD87" w14:textId="73EB1304" w:rsidR="00705833" w:rsidRDefault="00705833" w:rsidP="00313BF0">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0024D7B3" w14:textId="77777777" w:rsidR="00A5285B" w:rsidRPr="00331C61" w:rsidRDefault="00A5285B" w:rsidP="00A5285B">
      <w:pPr>
        <w:pStyle w:val="BasicParagraph"/>
        <w:suppressAutoHyphens/>
        <w:rPr>
          <w:rFonts w:ascii="Verdana" w:hAnsi="Verdana" w:cs="Arial"/>
          <w:b/>
          <w:color w:val="77328A"/>
          <w:sz w:val="36"/>
          <w:szCs w:val="36"/>
        </w:rPr>
      </w:pPr>
    </w:p>
    <w:p w14:paraId="2073AB52" w14:textId="0A9D3CAC" w:rsidR="00A5285B" w:rsidRDefault="00A5285B" w:rsidP="00A5285B">
      <w:pPr>
        <w:jc w:val="center"/>
        <w:rPr>
          <w:rStyle w:val="Hyperlink"/>
          <w:rFonts w:cs="Arial"/>
          <w:b/>
          <w:sz w:val="30"/>
          <w:szCs w:val="30"/>
        </w:rPr>
      </w:pPr>
      <w:r>
        <w:rPr>
          <w:rFonts w:cs="Arial"/>
          <w:b/>
          <w:color w:val="232120"/>
          <w:sz w:val="30"/>
          <w:szCs w:val="30"/>
        </w:rPr>
        <w:t xml:space="preserve">Please send any queries to </w:t>
      </w:r>
    </w:p>
    <w:p w14:paraId="10803299" w14:textId="4D2D4177" w:rsidR="00A5285B" w:rsidRDefault="00A5285B" w:rsidP="00A5285B">
      <w:pPr>
        <w:jc w:val="center"/>
        <w:rPr>
          <w:rFonts w:cs="Arial"/>
          <w:b/>
          <w:color w:val="232120"/>
          <w:sz w:val="30"/>
          <w:szCs w:val="30"/>
        </w:rPr>
      </w:pPr>
      <w:r>
        <w:rPr>
          <w:rStyle w:val="Hyperlink"/>
          <w:rFonts w:cs="Arial"/>
          <w:b/>
          <w:sz w:val="30"/>
          <w:szCs w:val="30"/>
        </w:rPr>
        <w:t>Eilis.Haughey@nihrc.org</w:t>
      </w:r>
    </w:p>
    <w:p w14:paraId="2121D639" w14:textId="77777777" w:rsidR="00A5285B" w:rsidRPr="00331C61" w:rsidRDefault="00A5285B" w:rsidP="00A5285B">
      <w:pPr>
        <w:rPr>
          <w:rFonts w:cs="Arial"/>
          <w:b/>
          <w:color w:val="232120"/>
          <w:sz w:val="30"/>
          <w:szCs w:val="30"/>
        </w:rPr>
      </w:pPr>
    </w:p>
    <w:p w14:paraId="59379608" w14:textId="1B78FF5A" w:rsidR="00AE6245" w:rsidRDefault="00AE6245" w:rsidP="00D52BCD">
      <w:pPr>
        <w:jc w:val="center"/>
        <w:rPr>
          <w:rStyle w:val="Hyperlink"/>
          <w:rFonts w:cs="Arial"/>
          <w:b/>
          <w:sz w:val="30"/>
          <w:szCs w:val="30"/>
        </w:rPr>
      </w:pPr>
    </w:p>
    <w:p w14:paraId="09343088" w14:textId="646CE44B" w:rsidR="000965E8" w:rsidRDefault="000965E8" w:rsidP="003B7D0E">
      <w:pPr>
        <w:jc w:val="center"/>
        <w:rPr>
          <w:rStyle w:val="Hyperlink"/>
          <w:rFonts w:cs="Arial"/>
          <w:b/>
          <w:sz w:val="30"/>
          <w:szCs w:val="30"/>
        </w:rPr>
      </w:pP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000000" w:rsidP="00331C61">
      <w:pPr>
        <w:jc w:val="center"/>
        <w:rPr>
          <w:rFonts w:cs="Arial"/>
          <w:color w:val="232120"/>
          <w:sz w:val="28"/>
          <w:szCs w:val="28"/>
        </w:rPr>
      </w:pPr>
      <w:hyperlink r:id="rId12"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3"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4173B1">
      <w:footerReference w:type="default" r:id="rId15"/>
      <w:footerReference w:type="first" r:id="rId16"/>
      <w:pgSz w:w="11900" w:h="16820"/>
      <w:pgMar w:top="1021" w:right="1127" w:bottom="1021" w:left="1276"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B521E" w14:textId="77777777" w:rsidR="00D34D08" w:rsidRDefault="00D34D08" w:rsidP="00962B2B">
      <w:r>
        <w:separator/>
      </w:r>
    </w:p>
  </w:endnote>
  <w:endnote w:type="continuationSeparator" w:id="0">
    <w:p w14:paraId="7F139F70" w14:textId="77777777" w:rsidR="00D34D08" w:rsidRDefault="00D34D08" w:rsidP="00962B2B">
      <w:r>
        <w:continuationSeparator/>
      </w:r>
    </w:p>
  </w:endnote>
  <w:endnote w:type="continuationNotice" w:id="1">
    <w:p w14:paraId="418A5D75" w14:textId="77777777" w:rsidR="00D34D08" w:rsidRDefault="00D34D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5D15" w14:textId="77777777"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86CB" w14:textId="77777777"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48136" w14:textId="77777777" w:rsidR="00D34D08" w:rsidRDefault="00D34D08" w:rsidP="00B96D34">
      <w:r>
        <w:continuationSeparator/>
      </w:r>
    </w:p>
    <w:p w14:paraId="574DF412" w14:textId="77777777" w:rsidR="00D34D08" w:rsidRPr="00B96D34" w:rsidRDefault="00D34D08" w:rsidP="00B96D34">
      <w:pPr>
        <w:pStyle w:val="Footer"/>
      </w:pPr>
    </w:p>
  </w:footnote>
  <w:footnote w:type="continuationSeparator" w:id="0">
    <w:p w14:paraId="63B98CB8" w14:textId="77777777" w:rsidR="00D34D08" w:rsidRDefault="00D34D08" w:rsidP="00962B2B">
      <w:r>
        <w:continuationSeparator/>
      </w:r>
    </w:p>
  </w:footnote>
  <w:footnote w:type="continuationNotice" w:id="1">
    <w:p w14:paraId="38BD92A8" w14:textId="77777777" w:rsidR="00D34D08" w:rsidRDefault="00D34D08"/>
  </w:footnote>
  <w:footnote w:id="2">
    <w:p w14:paraId="7BF6CB4E" w14:textId="77777777" w:rsidR="00D801D4" w:rsidRPr="002542D5" w:rsidRDefault="00D801D4" w:rsidP="002542D5">
      <w:pPr>
        <w:pStyle w:val="NIHRCFootnotes"/>
        <w:spacing w:line="240" w:lineRule="auto"/>
      </w:pPr>
      <w:r w:rsidRPr="002542D5">
        <w:rPr>
          <w:rStyle w:val="FootnoteReference"/>
        </w:rPr>
        <w:footnoteRef/>
      </w:r>
      <w:r w:rsidRPr="002542D5">
        <w:t xml:space="preserve"> The Windsor Framework was formerly known as the Protocol on Ireland/Northern Ireland to the UK-EU Withdrawal Agreement and all references to the Protocol in this document have been updated to reflect this change. </w:t>
      </w:r>
      <w:r w:rsidRPr="002542D5">
        <w:rPr>
          <w:i/>
          <w:iCs/>
        </w:rPr>
        <w:t xml:space="preserve">See </w:t>
      </w:r>
      <w:r w:rsidRPr="002542D5">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7FA246AD"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2000/43/EC, ‘Council Directive on Implementing the Principle of Equal Treatment between Persons Irrespective of Racial or Ethnic Origin’, 29 June 2000.</w:t>
      </w:r>
    </w:p>
  </w:footnote>
  <w:footnote w:id="4">
    <w:p w14:paraId="0F7E5C1A"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2000/78/EC, ‘Council Directive on Establishing a General Framework for Equal Treatment in Employment and Occupation’, 27 November 2000.</w:t>
      </w:r>
    </w:p>
  </w:footnote>
  <w:footnote w:id="5">
    <w:p w14:paraId="7DA011A8"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6">
    <w:p w14:paraId="00D24D6D"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 xml:space="preserve">Directive 2010/41/EU, ‘EU Parliament and Council Directive on the Application of the Principle of Equal Treatment between Men and Women Engaged in an Activity in a Self-employed Capacity’, 7 July 2010. </w:t>
      </w:r>
    </w:p>
  </w:footnote>
  <w:footnote w:id="7">
    <w:p w14:paraId="1EF0F796"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2023/970/EU, ‘EU Parliament and Council Directive to strengthen the application of the principle of equal pay for equal work or work of equal value between men and women through pay transparency and enforcement mechanisms’ 10 May 2023.</w:t>
      </w:r>
    </w:p>
  </w:footnote>
  <w:footnote w:id="8">
    <w:p w14:paraId="1D56F6AF"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Aptos"/>
          <w:color w:val="77328A"/>
          <w:sz w:val="16"/>
          <w:szCs w:val="16"/>
        </w:rPr>
        <w:t>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2024/1500/EU, ‘European Parliament and of the Council of on standards for equality bodies in the field of equal treatment and equal opportunities between women and men in matters of employment and occupation, and amending Directives 2006/54/EC and 2010/41/EU’, 14 May 2024.</w:t>
      </w:r>
      <w:r w:rsidRPr="002542D5">
        <w:rPr>
          <w:rFonts w:cs="Aptos"/>
          <w:b/>
          <w:bCs/>
          <w:color w:val="77328A"/>
          <w:sz w:val="16"/>
          <w:szCs w:val="16"/>
        </w:rPr>
        <w:t xml:space="preserve"> </w:t>
      </w:r>
    </w:p>
  </w:footnote>
  <w:footnote w:id="9">
    <w:p w14:paraId="2C42579A" w14:textId="77777777" w:rsidR="003C23A1" w:rsidRPr="002542D5" w:rsidRDefault="003C23A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2010/18/EU, ‘Council Directive implementing the revised Framework Agreement on parental leave’, 8 March 2010.</w:t>
      </w:r>
    </w:p>
  </w:footnote>
  <w:footnote w:id="10">
    <w:p w14:paraId="08277DBC" w14:textId="77777777" w:rsidR="003C23A1" w:rsidRPr="002542D5" w:rsidRDefault="003C23A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92/85/EEC, ‘Council Directive on the Introduction of Measures to Encourage Improvements in the Safety and Health at Work of Pregnant Workers and Workers who have Recently Given Birth or are Breastfeeding’, 19 October 1992.</w:t>
      </w:r>
    </w:p>
  </w:footnote>
  <w:footnote w:id="11">
    <w:p w14:paraId="6E0F5BC4"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97/81/EC, ‘Framework Agreement on part-time working concluded by UNICE, CEEP and the ETUC (trade unions)’, 15 December 1997.</w:t>
      </w:r>
    </w:p>
  </w:footnote>
  <w:footnote w:id="12">
    <w:p w14:paraId="5E4054D1" w14:textId="77777777" w:rsidR="003C23A1" w:rsidRPr="002542D5" w:rsidRDefault="003C23A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2008/104/EC, ‘EU Parliament and Council Directive on temporary agency work’, 19 November 2008.</w:t>
      </w:r>
    </w:p>
  </w:footnote>
  <w:footnote w:id="13">
    <w:p w14:paraId="5085E625" w14:textId="02641288" w:rsidR="00950592" w:rsidRPr="002542D5" w:rsidRDefault="00950592"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4C3197" w:rsidRPr="002542D5">
        <w:rPr>
          <w:color w:val="77328A"/>
          <w:sz w:val="16"/>
          <w:szCs w:val="16"/>
        </w:rPr>
        <w:t>EU Charter of Fundamental Rights</w:t>
      </w:r>
      <w:r w:rsidR="00DA469E" w:rsidRPr="002542D5">
        <w:rPr>
          <w:color w:val="77328A"/>
          <w:sz w:val="16"/>
          <w:szCs w:val="16"/>
        </w:rPr>
        <w:t>.</w:t>
      </w:r>
    </w:p>
  </w:footnote>
  <w:footnote w:id="14">
    <w:p w14:paraId="77850F5C" w14:textId="77777777" w:rsidR="00C066E3" w:rsidRPr="002542D5" w:rsidRDefault="00C066E3" w:rsidP="002542D5">
      <w:pPr>
        <w:pStyle w:val="NIHRCFootnotes"/>
        <w:spacing w:line="240" w:lineRule="auto"/>
        <w:rPr>
          <w:rFonts w:cstheme="minorHAnsi"/>
        </w:rPr>
      </w:pPr>
      <w:r w:rsidRPr="002542D5">
        <w:rPr>
          <w:rStyle w:val="FootnoteReference"/>
          <w:rFonts w:cstheme="minorHAnsi"/>
        </w:rPr>
        <w:footnoteRef/>
      </w:r>
      <w:r w:rsidRPr="002542D5">
        <w:rPr>
          <w:rFonts w:cstheme="minorHAnsi"/>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15">
    <w:p w14:paraId="46AB391A" w14:textId="77777777" w:rsidR="00C066E3" w:rsidRPr="002542D5" w:rsidRDefault="00C066E3" w:rsidP="002542D5">
      <w:pPr>
        <w:pStyle w:val="NIHRCFootnotes"/>
        <w:spacing w:line="240" w:lineRule="auto"/>
        <w:rPr>
          <w:rFonts w:cstheme="minorHAnsi"/>
        </w:rPr>
      </w:pPr>
      <w:r w:rsidRPr="002542D5">
        <w:rPr>
          <w:rStyle w:val="FootnoteReference"/>
          <w:rFonts w:cstheme="minorHAnsi"/>
        </w:rPr>
        <w:footnoteRef/>
      </w:r>
      <w:r w:rsidRPr="002542D5">
        <w:rPr>
          <w:rFonts w:cstheme="minorHAnsi"/>
        </w:rPr>
        <w:t xml:space="preserve"> Article 13, Windsor Framework to the UK-EU Withdrawal Agreement.</w:t>
      </w:r>
    </w:p>
  </w:footnote>
  <w:footnote w:id="16">
    <w:p w14:paraId="5F0E4E07"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2000/43/EC, ‘Council Directive on Implementing the Principle of Equal Treatment between Persons Irrespective of Racial or Ethnic Origin’, 29 June 2000.</w:t>
      </w:r>
    </w:p>
  </w:footnote>
  <w:footnote w:id="17">
    <w:p w14:paraId="42D45050"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2000/78/EC, ‘Council Directive on Establishing a General Framework for Equal Treatment in Employment and Occupation’, 27 November 2000.</w:t>
      </w:r>
    </w:p>
  </w:footnote>
  <w:footnote w:id="18">
    <w:p w14:paraId="6619EADF"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2004/113/EC, ‘Council Directive on Implementing the Principle of Equal Treatment between Men and Women in the access to and supply of goods and services’, 13 December 2004.</w:t>
      </w:r>
    </w:p>
  </w:footnote>
  <w:footnote w:id="19">
    <w:p w14:paraId="0B5456BD"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20">
    <w:p w14:paraId="3D904F73"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 xml:space="preserve">Directive 2010/41/EU, ‘EU Parliament and Council Directive on the Application of the Principle of Equal Treatment between Men and Women Engaged in an Activity in a Self-employed Capacity’, 7 July 2010. </w:t>
      </w:r>
    </w:p>
  </w:footnote>
  <w:footnote w:id="21">
    <w:p w14:paraId="6444D0DB"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 xml:space="preserve">Directive 79/7/EEC, ‘Council Directive on the Progressive Implementation of the Principle of Equal Treatment for Men and Women in Matters of Social Security’, 19 December 1978. </w:t>
      </w:r>
    </w:p>
  </w:footnote>
  <w:footnote w:id="22">
    <w:p w14:paraId="4352B187" w14:textId="77777777" w:rsidR="0000020F" w:rsidRPr="002542D5" w:rsidRDefault="0000020F" w:rsidP="002542D5">
      <w:pPr>
        <w:pStyle w:val="NIHRCFootnotes"/>
        <w:spacing w:line="240" w:lineRule="auto"/>
      </w:pPr>
      <w:r w:rsidRPr="002542D5">
        <w:rPr>
          <w:rStyle w:val="FootnoteReference"/>
        </w:rPr>
        <w:footnoteRef/>
      </w:r>
      <w:r w:rsidRPr="002542D5">
        <w:t xml:space="preserve"> </w:t>
      </w:r>
      <w:r w:rsidRPr="002542D5">
        <w:rPr>
          <w:i/>
          <w:iCs/>
        </w:rPr>
        <w:t>In the Matter of an Application by Martina Dillon and Others for Judicial Review</w:t>
      </w:r>
      <w:r w:rsidRPr="002542D5">
        <w:t xml:space="preserve"> [2024] NIKB 11, at para 547</w:t>
      </w:r>
      <w:r w:rsidRPr="002542D5">
        <w:rPr>
          <w:rStyle w:val="Hyperlink"/>
          <w:color w:val="77328A"/>
          <w:u w:val="none"/>
        </w:rPr>
        <w:t xml:space="preserve">. </w:t>
      </w:r>
    </w:p>
  </w:footnote>
  <w:footnote w:id="23">
    <w:p w14:paraId="56715CC9" w14:textId="77777777" w:rsidR="0000020F" w:rsidRPr="002542D5" w:rsidRDefault="0000020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Style w:val="ui-provider"/>
          <w:i/>
          <w:iCs/>
          <w:color w:val="77328A"/>
          <w:sz w:val="16"/>
          <w:szCs w:val="16"/>
        </w:rPr>
        <w:t>Re NIHRC and Illegal Migration Act</w:t>
      </w:r>
      <w:r w:rsidRPr="002542D5">
        <w:rPr>
          <w:rStyle w:val="ui-provider"/>
          <w:color w:val="77328A"/>
          <w:sz w:val="16"/>
          <w:szCs w:val="16"/>
        </w:rPr>
        <w:t xml:space="preserve"> [2024] NIKB 35</w:t>
      </w:r>
      <w:r w:rsidRPr="002542D5">
        <w:rPr>
          <w:color w:val="77328A"/>
          <w:sz w:val="16"/>
          <w:szCs w:val="16"/>
        </w:rPr>
        <w:t xml:space="preserve">, at para 70. </w:t>
      </w:r>
    </w:p>
  </w:footnote>
  <w:footnote w:id="24">
    <w:p w14:paraId="56017591" w14:textId="77777777" w:rsidR="0000020F" w:rsidRPr="002542D5" w:rsidRDefault="0000020F" w:rsidP="002542D5">
      <w:pPr>
        <w:pStyle w:val="NIHRCFootnotes"/>
        <w:spacing w:line="240" w:lineRule="auto"/>
      </w:pPr>
      <w:r w:rsidRPr="002542D5">
        <w:rPr>
          <w:rStyle w:val="FootnoteReference"/>
        </w:rPr>
        <w:footnoteRef/>
      </w:r>
      <w:r w:rsidRPr="002542D5">
        <w:t xml:space="preserve"> </w:t>
      </w:r>
      <w:r w:rsidRPr="002542D5">
        <w:rPr>
          <w:i/>
          <w:iCs/>
        </w:rPr>
        <w:t>In the Matter of an Application by Martina Dillon and Others for Judicial Review</w:t>
      </w:r>
      <w:r w:rsidRPr="002542D5">
        <w:t xml:space="preserve"> [2024] NIKB 11, at para 554. </w:t>
      </w:r>
    </w:p>
  </w:footnote>
  <w:footnote w:id="25">
    <w:p w14:paraId="110820C2" w14:textId="77777777" w:rsidR="0000020F" w:rsidRPr="002542D5" w:rsidRDefault="0000020F" w:rsidP="002542D5">
      <w:pPr>
        <w:pStyle w:val="Footnote"/>
        <w:rPr>
          <w:rFonts w:cstheme="minorHAnsi"/>
        </w:rPr>
      </w:pPr>
      <w:r w:rsidRPr="002542D5">
        <w:rPr>
          <w:rStyle w:val="FootnoteReference"/>
          <w:rFonts w:cstheme="minorHAnsi"/>
        </w:rPr>
        <w:footnoteRef/>
      </w:r>
      <w:r w:rsidRPr="002542D5">
        <w:rPr>
          <w:rFonts w:cstheme="minorHAnsi"/>
        </w:rPr>
        <w:t xml:space="preserve"> </w:t>
      </w:r>
      <w:r w:rsidRPr="002542D5">
        <w:rPr>
          <w:rFonts w:cstheme="minorHAnsi"/>
          <w:i/>
        </w:rPr>
        <w:t>In the Matter of an Application by Aman Angesom for Judicial Review</w:t>
      </w:r>
      <w:r w:rsidRPr="002542D5">
        <w:rPr>
          <w:rFonts w:cstheme="minorHAnsi"/>
        </w:rPr>
        <w:t xml:space="preserve"> [2023] NIKB 102, at para 107; </w:t>
      </w:r>
      <w:r w:rsidRPr="002542D5">
        <w:rPr>
          <w:i/>
          <w:iCs/>
        </w:rPr>
        <w:t>In the Matter of an Application by Martina Dillon and Others for Judicial Review</w:t>
      </w:r>
      <w:r w:rsidRPr="002542D5">
        <w:t xml:space="preserve"> [2024] NIKB 11, at para 4; </w:t>
      </w:r>
      <w:r w:rsidRPr="002542D5">
        <w:rPr>
          <w:rStyle w:val="ui-provider"/>
        </w:rPr>
        <w:t>Re NIHRC and Illegal Migration Act [2024] NIKB 35</w:t>
      </w:r>
      <w:r w:rsidRPr="002542D5">
        <w:t xml:space="preserve">, at para 70. </w:t>
      </w:r>
    </w:p>
  </w:footnote>
  <w:footnote w:id="26">
    <w:p w14:paraId="7FDD6739" w14:textId="77777777" w:rsidR="0000020F" w:rsidRPr="002542D5" w:rsidRDefault="0000020F" w:rsidP="002542D5">
      <w:pPr>
        <w:pStyle w:val="NIHRCFootnotes"/>
        <w:spacing w:line="240" w:lineRule="auto"/>
      </w:pPr>
      <w:r w:rsidRPr="002542D5">
        <w:rPr>
          <w:rStyle w:val="FootnoteReference"/>
        </w:rPr>
        <w:footnoteRef/>
      </w:r>
      <w:r w:rsidRPr="002542D5">
        <w:t xml:space="preserve"> NI Human Rights Commission and Equality Commission for NI, ‘Working Paper: The Scope of Article 2(1) of the Ireland/ Northern Ireland Protocol’, (NIHRC and ECNI, 2022).</w:t>
      </w:r>
    </w:p>
  </w:footnote>
  <w:footnote w:id="27">
    <w:p w14:paraId="38A30EFF" w14:textId="77777777" w:rsidR="0052328E" w:rsidRPr="002542D5" w:rsidRDefault="0052328E" w:rsidP="002542D5">
      <w:pPr>
        <w:pStyle w:val="Footnote"/>
        <w:rPr>
          <w:rFonts w:cstheme="minorHAnsi"/>
        </w:rPr>
      </w:pPr>
      <w:r w:rsidRPr="002542D5">
        <w:rPr>
          <w:rStyle w:val="FootnoteReference"/>
          <w:rFonts w:cstheme="minorHAnsi"/>
        </w:rPr>
        <w:footnoteRef/>
      </w:r>
      <w:r w:rsidRPr="002542D5">
        <w:rPr>
          <w:rFonts w:cstheme="minorHAnsi"/>
        </w:rPr>
        <w:t xml:space="preserve"> </w:t>
      </w:r>
      <w:r w:rsidRPr="002542D5">
        <w:rPr>
          <w:rFonts w:cstheme="minorHAnsi"/>
          <w:i/>
          <w:iCs/>
        </w:rPr>
        <w:t>In the Matter of an Application by Aman Angesom for Judicial Review</w:t>
      </w:r>
      <w:r w:rsidRPr="002542D5">
        <w:rPr>
          <w:rFonts w:cstheme="minorHAnsi"/>
        </w:rPr>
        <w:t xml:space="preserve"> [2023] NIKB 102, at para 91.</w:t>
      </w:r>
    </w:p>
  </w:footnote>
  <w:footnote w:id="28">
    <w:p w14:paraId="6283293F" w14:textId="7540DE13" w:rsidR="0052328E" w:rsidRPr="002542D5" w:rsidRDefault="0052328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Style w:val="ui-provider"/>
          <w:i/>
          <w:iCs/>
          <w:color w:val="77328A"/>
          <w:sz w:val="16"/>
          <w:szCs w:val="16"/>
        </w:rPr>
        <w:t>Re NIHRC and Illegal Migration Act</w:t>
      </w:r>
      <w:r w:rsidRPr="002542D5">
        <w:rPr>
          <w:rStyle w:val="ui-provider"/>
          <w:color w:val="77328A"/>
          <w:sz w:val="16"/>
          <w:szCs w:val="16"/>
        </w:rPr>
        <w:t xml:space="preserve"> [2024] NIKB 35</w:t>
      </w:r>
      <w:r w:rsidRPr="002542D5">
        <w:rPr>
          <w:color w:val="77328A"/>
          <w:sz w:val="16"/>
          <w:szCs w:val="16"/>
        </w:rPr>
        <w:t>, at para 65</w:t>
      </w:r>
      <w:r w:rsidR="0051419F" w:rsidRPr="002542D5">
        <w:rPr>
          <w:color w:val="77328A"/>
          <w:sz w:val="16"/>
          <w:szCs w:val="16"/>
        </w:rPr>
        <w:t>;</w:t>
      </w:r>
      <w:r w:rsidRPr="002542D5">
        <w:rPr>
          <w:color w:val="77328A"/>
          <w:sz w:val="16"/>
          <w:szCs w:val="16"/>
        </w:rPr>
        <w:t xml:space="preserve"> </w:t>
      </w:r>
      <w:r w:rsidRPr="002542D5">
        <w:rPr>
          <w:rFonts w:cstheme="minorHAnsi"/>
          <w:i/>
          <w:iCs/>
          <w:color w:val="77328A"/>
          <w:sz w:val="16"/>
          <w:szCs w:val="16"/>
        </w:rPr>
        <w:t>In the Matter of an Application by Aman Angesom for Judicial Review</w:t>
      </w:r>
      <w:r w:rsidRPr="002542D5">
        <w:rPr>
          <w:rFonts w:cstheme="minorHAnsi"/>
          <w:color w:val="77328A"/>
          <w:sz w:val="16"/>
          <w:szCs w:val="16"/>
        </w:rPr>
        <w:t xml:space="preserve"> [2023] NIKB 102, at para 93.</w:t>
      </w:r>
    </w:p>
  </w:footnote>
  <w:footnote w:id="29">
    <w:p w14:paraId="550DD230" w14:textId="77777777" w:rsidR="0090739F" w:rsidRPr="002542D5" w:rsidRDefault="0090739F"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Article 13(3), Windsor Framework. </w:t>
      </w:r>
    </w:p>
  </w:footnote>
  <w:footnote w:id="30">
    <w:p w14:paraId="0E4570EE" w14:textId="77777777" w:rsidR="0090739F" w:rsidRPr="002542D5" w:rsidRDefault="0090739F"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Article 13(2), Windsor Framework. See Equality Commission for NI, NI Human Rights Commission and Irish Human Rights and Equality Commission, ‘Policy Recommendations: European Union developments in Equality and Human Rights: The Impact of Brexit on the divergence of rights and best practice on the island of Ireland</w:t>
      </w:r>
      <w:r w:rsidRPr="002542D5">
        <w:rPr>
          <w:rStyle w:val="Hyperlink"/>
          <w:rFonts w:cstheme="minorHAnsi"/>
          <w:color w:val="77328A"/>
          <w:sz w:val="16"/>
          <w:szCs w:val="16"/>
        </w:rPr>
        <w:t>’</w:t>
      </w:r>
      <w:r w:rsidRPr="002542D5">
        <w:rPr>
          <w:rFonts w:cstheme="minorHAnsi"/>
          <w:color w:val="77328A"/>
          <w:sz w:val="16"/>
          <w:szCs w:val="16"/>
        </w:rPr>
        <w:t xml:space="preserve"> (ECNI, NIHRC and IHREC, 2023).</w:t>
      </w:r>
    </w:p>
  </w:footnote>
  <w:footnote w:id="31">
    <w:p w14:paraId="190A06BF" w14:textId="08A3900B" w:rsidR="0090739F" w:rsidRPr="002542D5" w:rsidRDefault="0090739F" w:rsidP="002542D5">
      <w:pPr>
        <w:pStyle w:val="NIHRCFootnotes"/>
        <w:spacing w:line="240" w:lineRule="auto"/>
        <w:rPr>
          <w:rFonts w:cstheme="minorHAnsi"/>
        </w:rPr>
      </w:pPr>
      <w:r w:rsidRPr="002542D5">
        <w:rPr>
          <w:rStyle w:val="FootnoteReference"/>
          <w:rFonts w:cstheme="minorHAnsi"/>
        </w:rPr>
        <w:footnoteRef/>
      </w:r>
      <w:r w:rsidRPr="002542D5">
        <w:rPr>
          <w:rFonts w:cstheme="minorHAnsi"/>
        </w:rPr>
        <w:t xml:space="preserve"> </w:t>
      </w:r>
      <w:r w:rsidRPr="002542D5">
        <w:rPr>
          <w:rFonts w:cstheme="minorHAnsi"/>
          <w:i/>
        </w:rPr>
        <w:t>Szpital Kliniczny im. dra J. Babińskiego Samodzielny Publiczny Zakład Opieki Zdrowotnej w Krakowi</w:t>
      </w:r>
      <w:r w:rsidRPr="002542D5">
        <w:rPr>
          <w:rFonts w:cstheme="minorHAnsi"/>
        </w:rPr>
        <w:t xml:space="preserve">e, Case C-16/19, 27 January 2021. The CJEU found that pursuant to Article 1 of the </w:t>
      </w:r>
      <w:r w:rsidRPr="002542D5">
        <w:t>EU Employment Equality (Framework) Directive</w:t>
      </w:r>
      <w:r w:rsidRPr="002542D5">
        <w:rPr>
          <w:rFonts w:cstheme="minorHAnsi"/>
        </w:rPr>
        <w:t xml:space="preserve"> the definition of ‘disability discrimination’ should include discrimination between persons with disabilities. It also ruled under Article 2 of the EU Directive that any form of discrimination which is inextricably linked to a </w:t>
      </w:r>
      <w:r w:rsidR="00255605" w:rsidRPr="002542D5">
        <w:rPr>
          <w:rFonts w:cstheme="minorHAnsi"/>
        </w:rPr>
        <w:t>protected characteristic amount</w:t>
      </w:r>
      <w:r w:rsidRPr="002542D5">
        <w:rPr>
          <w:rFonts w:cstheme="minorHAnsi"/>
        </w:rPr>
        <w:t xml:space="preserve"> to direct discrimination, rather than indirect discrimination.</w:t>
      </w:r>
    </w:p>
  </w:footnote>
  <w:footnote w:id="32">
    <w:p w14:paraId="30B18E47" w14:textId="77777777" w:rsidR="0090739F" w:rsidRPr="002542D5" w:rsidRDefault="0090739F" w:rsidP="002542D5">
      <w:pPr>
        <w:pStyle w:val="NIHRCFootnotes"/>
        <w:spacing w:line="240" w:lineRule="auto"/>
        <w:rPr>
          <w:rFonts w:cstheme="minorHAnsi"/>
        </w:rPr>
      </w:pPr>
      <w:r w:rsidRPr="002542D5">
        <w:rPr>
          <w:rStyle w:val="FootnoteReference"/>
          <w:rFonts w:cstheme="minorHAnsi"/>
        </w:rPr>
        <w:footnoteRef/>
      </w:r>
      <w:r w:rsidRPr="002542D5">
        <w:rPr>
          <w:rFonts w:cstheme="minorHAnsi"/>
        </w:rPr>
        <w:t xml:space="preserve"> </w:t>
      </w:r>
      <w:r w:rsidRPr="002542D5">
        <w:rPr>
          <w:rFonts w:cstheme="minorHAnsi"/>
          <w:i/>
        </w:rPr>
        <w:t>TC and UB v Komisia za zashtita ot diskriminatsia and VA</w:t>
      </w:r>
      <w:r w:rsidRPr="002542D5">
        <w:rPr>
          <w:rFonts w:cstheme="minorHAnsi"/>
        </w:rPr>
        <w:t xml:space="preserve"> (‘Jurors’), Case C-824/19, 21 October 2021; </w:t>
      </w:r>
      <w:r w:rsidRPr="002542D5">
        <w:rPr>
          <w:rFonts w:cstheme="minorHAnsi"/>
          <w:i/>
          <w:iCs/>
        </w:rPr>
        <w:t>XX v Tartu Vangla</w:t>
      </w:r>
      <w:r w:rsidRPr="002542D5">
        <w:rPr>
          <w:rFonts w:cstheme="minorHAnsi"/>
        </w:rPr>
        <w:t>, Case C-795/19, 15 July 2021.</w:t>
      </w:r>
    </w:p>
  </w:footnote>
  <w:footnote w:id="33">
    <w:p w14:paraId="26ABF8CF" w14:textId="77777777" w:rsidR="0090739F" w:rsidRPr="002542D5" w:rsidRDefault="0090739F" w:rsidP="002542D5">
      <w:pPr>
        <w:pStyle w:val="Footnote"/>
        <w:rPr>
          <w:rFonts w:cstheme="minorHAnsi"/>
        </w:rPr>
      </w:pPr>
      <w:r w:rsidRPr="002542D5">
        <w:rPr>
          <w:rStyle w:val="FootnoteReference"/>
          <w:rFonts w:cstheme="minorHAnsi"/>
        </w:rPr>
        <w:footnoteRef/>
      </w:r>
      <w:r w:rsidRPr="002542D5">
        <w:rPr>
          <w:rFonts w:cstheme="minorHAnsi"/>
        </w:rPr>
        <w:t xml:space="preserve"> </w:t>
      </w:r>
      <w:r w:rsidRPr="002542D5">
        <w:rPr>
          <w:rFonts w:cstheme="minorHAnsi"/>
          <w:i/>
          <w:iCs/>
        </w:rPr>
        <w:t>IX v WABE eV,</w:t>
      </w:r>
      <w:r w:rsidRPr="002542D5">
        <w:rPr>
          <w:rFonts w:cstheme="minorHAnsi"/>
        </w:rPr>
        <w:t xml:space="preserve"> Case C</w:t>
      </w:r>
      <w:r w:rsidRPr="002542D5">
        <w:rPr>
          <w:rFonts w:ascii="Cambria Math" w:hAnsi="Cambria Math" w:cs="Cambria Math"/>
        </w:rPr>
        <w:t>‑</w:t>
      </w:r>
      <w:r w:rsidRPr="002542D5">
        <w:rPr>
          <w:rFonts w:cstheme="minorHAnsi"/>
        </w:rPr>
        <w:t xml:space="preserve">804/18 and </w:t>
      </w:r>
      <w:r w:rsidRPr="002542D5">
        <w:rPr>
          <w:rFonts w:cstheme="minorHAnsi"/>
          <w:i/>
          <w:iCs/>
        </w:rPr>
        <w:t>MH Müller Handels GmbH v MJ</w:t>
      </w:r>
      <w:r w:rsidRPr="002542D5">
        <w:rPr>
          <w:rFonts w:cstheme="minorHAnsi"/>
        </w:rPr>
        <w:t>, Case C</w:t>
      </w:r>
      <w:r w:rsidRPr="002542D5">
        <w:rPr>
          <w:rFonts w:ascii="Cambria Math" w:hAnsi="Cambria Math" w:cs="Cambria Math"/>
        </w:rPr>
        <w:t>‑</w:t>
      </w:r>
      <w:r w:rsidRPr="002542D5">
        <w:rPr>
          <w:rFonts w:cstheme="minorHAnsi"/>
        </w:rPr>
        <w:t>341/19, 15 July 2021.</w:t>
      </w:r>
    </w:p>
  </w:footnote>
  <w:footnote w:id="34">
    <w:p w14:paraId="2E74EDD3" w14:textId="77777777" w:rsidR="0090739F" w:rsidRPr="002542D5" w:rsidRDefault="0090739F" w:rsidP="002542D5">
      <w:pPr>
        <w:pStyle w:val="Footnote"/>
        <w:rPr>
          <w:rFonts w:cstheme="minorHAnsi"/>
        </w:rPr>
      </w:pPr>
      <w:r w:rsidRPr="002542D5">
        <w:rPr>
          <w:rStyle w:val="FootnoteReference"/>
          <w:rFonts w:cstheme="minorHAnsi"/>
        </w:rPr>
        <w:footnoteRef/>
      </w:r>
      <w:r w:rsidRPr="002542D5">
        <w:rPr>
          <w:rFonts w:cstheme="minorHAnsi"/>
        </w:rPr>
        <w:t xml:space="preserve"> </w:t>
      </w:r>
      <w:r w:rsidRPr="002542D5">
        <w:rPr>
          <w:rFonts w:cstheme="minorHAnsi"/>
          <w:i/>
          <w:iCs/>
        </w:rPr>
        <w:t>IX v WABE eV,</w:t>
      </w:r>
      <w:r w:rsidRPr="002542D5">
        <w:rPr>
          <w:rFonts w:cstheme="minorHAnsi"/>
        </w:rPr>
        <w:t xml:space="preserve"> Case C</w:t>
      </w:r>
      <w:r w:rsidRPr="002542D5">
        <w:rPr>
          <w:rFonts w:ascii="Cambria Math" w:hAnsi="Cambria Math" w:cs="Cambria Math"/>
        </w:rPr>
        <w:t>‑</w:t>
      </w:r>
      <w:r w:rsidRPr="002542D5">
        <w:rPr>
          <w:rFonts w:cstheme="minorHAnsi"/>
        </w:rPr>
        <w:t xml:space="preserve">804/18 and </w:t>
      </w:r>
      <w:r w:rsidRPr="002542D5">
        <w:rPr>
          <w:rFonts w:cstheme="minorHAnsi"/>
          <w:i/>
          <w:iCs/>
        </w:rPr>
        <w:t>MH Müller Handels GmbH v MJ</w:t>
      </w:r>
      <w:r w:rsidRPr="002542D5">
        <w:rPr>
          <w:rFonts w:cstheme="minorHAnsi"/>
        </w:rPr>
        <w:t>, Case C</w:t>
      </w:r>
      <w:r w:rsidRPr="002542D5">
        <w:rPr>
          <w:rFonts w:ascii="Cambria Math" w:hAnsi="Cambria Math" w:cs="Cambria Math"/>
        </w:rPr>
        <w:t>‑</w:t>
      </w:r>
      <w:r w:rsidRPr="002542D5">
        <w:rPr>
          <w:rFonts w:cstheme="minorHAnsi"/>
        </w:rPr>
        <w:t>341/19, 15 July 2021.</w:t>
      </w:r>
    </w:p>
  </w:footnote>
  <w:footnote w:id="35">
    <w:p w14:paraId="311614D7" w14:textId="77777777" w:rsidR="00986743" w:rsidRPr="002542D5" w:rsidRDefault="0098674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Aptos"/>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36">
    <w:p w14:paraId="372A54D2" w14:textId="77777777" w:rsidR="00986743" w:rsidRPr="002542D5" w:rsidRDefault="0098674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Aptos"/>
          <w:color w:val="77328A"/>
          <w:sz w:val="16"/>
          <w:szCs w:val="16"/>
        </w:rPr>
        <w:t>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p>
  </w:footnote>
  <w:footnote w:id="37">
    <w:p w14:paraId="6E04D886" w14:textId="77777777" w:rsidR="00986743" w:rsidRPr="002542D5" w:rsidRDefault="0098674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2024/1385/EU, ‘EU Parliament and Council Directive on combating violence against women and domestic violence’, 14 May 2024.</w:t>
      </w:r>
    </w:p>
  </w:footnote>
  <w:footnote w:id="38">
    <w:p w14:paraId="4AF37D85" w14:textId="77777777" w:rsidR="00986743" w:rsidRPr="002542D5" w:rsidRDefault="0098674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39">
    <w:p w14:paraId="1EFD5EB2" w14:textId="77777777" w:rsidR="003A7031" w:rsidRPr="002542D5" w:rsidRDefault="003A7031" w:rsidP="002542D5">
      <w:pPr>
        <w:pStyle w:val="NIHRCFootnotes"/>
        <w:spacing w:line="240" w:lineRule="auto"/>
        <w:rPr>
          <w:rFonts w:cstheme="minorHAnsi"/>
        </w:rPr>
      </w:pPr>
      <w:r w:rsidRPr="002542D5">
        <w:rPr>
          <w:rStyle w:val="FootnoteReference"/>
          <w:rFonts w:cstheme="minorHAnsi"/>
        </w:rPr>
        <w:footnoteRef/>
      </w:r>
      <w:r w:rsidRPr="002542D5">
        <w:rPr>
          <w:rFonts w:cstheme="minorHAnsi"/>
        </w:rPr>
        <w:t xml:space="preserve"> UK Government, ‘UK Government Commitment to No-diminution of Rights, Safeguards and Equality of Opportunity in Northern Ireland’ (NIO, 2020), at para 13.</w:t>
      </w:r>
    </w:p>
  </w:footnote>
  <w:footnote w:id="40">
    <w:p w14:paraId="7513B60E" w14:textId="77777777" w:rsidR="00E30692" w:rsidRPr="002542D5" w:rsidRDefault="00E30692"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2010/18/EU, ‘Council Directive implementing the revised Framework Agreement on parental leave’, 8 March 2010.</w:t>
      </w:r>
    </w:p>
  </w:footnote>
  <w:footnote w:id="41">
    <w:p w14:paraId="103C24B6" w14:textId="77777777" w:rsidR="00E30692" w:rsidRPr="002542D5" w:rsidRDefault="00E30692"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92/85/EEC, ‘Council Directive on the Introduction of Measures to Encourage Improvements in the Safety and Health at Work of Pregnant Workers and Workers who have Recently Given Birth or are Breastfeeding’, 19 October 1992.</w:t>
      </w:r>
    </w:p>
  </w:footnote>
  <w:footnote w:id="42">
    <w:p w14:paraId="6E5903B3" w14:textId="638C83F4" w:rsidR="00E30692" w:rsidRPr="002542D5" w:rsidRDefault="00E30692"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w:t>
      </w:r>
      <w:r w:rsidR="004459DC" w:rsidRPr="002542D5">
        <w:rPr>
          <w:color w:val="77328A"/>
          <w:sz w:val="16"/>
          <w:szCs w:val="16"/>
        </w:rPr>
        <w:t>Directive 97/81/EC, ‘Framework Agreement on part-time working concluded by UNICE, CEEP and the ETUC (trade unions)’, 15 December 1997.</w:t>
      </w:r>
    </w:p>
  </w:footnote>
  <w:footnote w:id="43">
    <w:p w14:paraId="67EFE2F6" w14:textId="77777777" w:rsidR="00E30692" w:rsidRPr="002542D5" w:rsidRDefault="00E30692"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2008/104/EC, ‘EU Parliament and Council Directive on temporary agency work’, 19 November 2008.</w:t>
      </w:r>
    </w:p>
  </w:footnote>
  <w:footnote w:id="44">
    <w:p w14:paraId="2703C16A" w14:textId="794F3586" w:rsidR="008E2868" w:rsidRPr="002542D5" w:rsidRDefault="008E2868"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w:t>
      </w:r>
      <w:r w:rsidR="00F149EE" w:rsidRPr="002542D5">
        <w:rPr>
          <w:color w:val="77328A"/>
          <w:sz w:val="16"/>
          <w:szCs w:val="16"/>
        </w:rPr>
        <w:t>s</w:t>
      </w:r>
      <w:r w:rsidRPr="002542D5">
        <w:rPr>
          <w:color w:val="77328A"/>
          <w:sz w:val="16"/>
          <w:szCs w:val="16"/>
        </w:rPr>
        <w:t xml:space="preserve"> 21 and 23, EU Charter </w:t>
      </w:r>
      <w:r w:rsidR="00974FBB" w:rsidRPr="002542D5">
        <w:rPr>
          <w:color w:val="77328A"/>
          <w:sz w:val="16"/>
          <w:szCs w:val="16"/>
        </w:rPr>
        <w:t xml:space="preserve">of Fundamental Rights. </w:t>
      </w:r>
    </w:p>
  </w:footnote>
  <w:footnote w:id="45">
    <w:p w14:paraId="1D5FB1D1" w14:textId="78325865" w:rsidR="00AA61E4" w:rsidRPr="002542D5" w:rsidRDefault="00AA61E4" w:rsidP="002542D5">
      <w:pPr>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A27F2D" w:rsidRPr="002542D5">
        <w:rPr>
          <w:i/>
          <w:iCs/>
          <w:color w:val="77328A"/>
          <w:sz w:val="16"/>
          <w:szCs w:val="16"/>
        </w:rPr>
        <w:t>SSWP v AT</w:t>
      </w:r>
      <w:r w:rsidR="00A27F2D" w:rsidRPr="002542D5">
        <w:rPr>
          <w:color w:val="77328A"/>
          <w:sz w:val="16"/>
          <w:szCs w:val="16"/>
        </w:rPr>
        <w:t xml:space="preserve"> [2023] EW CA Civ 1307</w:t>
      </w:r>
      <w:r w:rsidR="00A05218" w:rsidRPr="002542D5">
        <w:rPr>
          <w:color w:val="77328A"/>
          <w:sz w:val="16"/>
          <w:szCs w:val="16"/>
        </w:rPr>
        <w:t xml:space="preserve"> </w:t>
      </w:r>
      <w:r w:rsidR="00EC368F" w:rsidRPr="002542D5">
        <w:rPr>
          <w:color w:val="77328A"/>
          <w:sz w:val="16"/>
          <w:szCs w:val="16"/>
        </w:rPr>
        <w:t xml:space="preserve">at </w:t>
      </w:r>
      <w:r w:rsidR="00A05218" w:rsidRPr="002542D5">
        <w:rPr>
          <w:color w:val="77328A"/>
          <w:sz w:val="16"/>
          <w:szCs w:val="16"/>
        </w:rPr>
        <w:t>para</w:t>
      </w:r>
      <w:r w:rsidR="0060315D" w:rsidRPr="002542D5">
        <w:rPr>
          <w:color w:val="77328A"/>
          <w:sz w:val="16"/>
          <w:szCs w:val="16"/>
        </w:rPr>
        <w:t>.</w:t>
      </w:r>
      <w:r w:rsidR="00A05218" w:rsidRPr="002542D5">
        <w:rPr>
          <w:color w:val="77328A"/>
          <w:sz w:val="16"/>
          <w:szCs w:val="16"/>
        </w:rPr>
        <w:t xml:space="preserve"> 8</w:t>
      </w:r>
      <w:r w:rsidR="00371FBE" w:rsidRPr="002542D5">
        <w:rPr>
          <w:color w:val="77328A"/>
          <w:sz w:val="16"/>
          <w:szCs w:val="16"/>
        </w:rPr>
        <w:t>2</w:t>
      </w:r>
      <w:r w:rsidR="00A05218" w:rsidRPr="002542D5">
        <w:rPr>
          <w:color w:val="77328A"/>
          <w:sz w:val="16"/>
          <w:szCs w:val="16"/>
        </w:rPr>
        <w:t>,</w:t>
      </w:r>
      <w:r w:rsidR="00E673FF" w:rsidRPr="002542D5">
        <w:rPr>
          <w:color w:val="77328A"/>
          <w:sz w:val="16"/>
          <w:szCs w:val="16"/>
        </w:rPr>
        <w:t xml:space="preserve"> </w:t>
      </w:r>
      <w:r w:rsidR="004B243E" w:rsidRPr="002542D5">
        <w:rPr>
          <w:i/>
          <w:iCs/>
          <w:color w:val="77328A"/>
          <w:sz w:val="16"/>
          <w:szCs w:val="16"/>
        </w:rPr>
        <w:t>Re Angesom's (Aman) Application</w:t>
      </w:r>
      <w:r w:rsidR="004B243E" w:rsidRPr="002542D5">
        <w:rPr>
          <w:color w:val="77328A"/>
          <w:sz w:val="16"/>
          <w:szCs w:val="16"/>
        </w:rPr>
        <w:t xml:space="preserve"> [2023] NIKB 102</w:t>
      </w:r>
      <w:r w:rsidR="00EC368F" w:rsidRPr="002542D5">
        <w:rPr>
          <w:color w:val="77328A"/>
          <w:sz w:val="16"/>
          <w:szCs w:val="16"/>
        </w:rPr>
        <w:t xml:space="preserve"> at para.</w:t>
      </w:r>
      <w:r w:rsidR="00F96CE8" w:rsidRPr="002542D5">
        <w:rPr>
          <w:color w:val="77328A"/>
          <w:sz w:val="16"/>
          <w:szCs w:val="16"/>
        </w:rPr>
        <w:t xml:space="preserve"> 94</w:t>
      </w:r>
      <w:r w:rsidR="00A05218" w:rsidRPr="002542D5">
        <w:rPr>
          <w:color w:val="77328A"/>
          <w:sz w:val="16"/>
          <w:szCs w:val="16"/>
        </w:rPr>
        <w:t>,</w:t>
      </w:r>
      <w:r w:rsidR="003C709A" w:rsidRPr="002542D5">
        <w:rPr>
          <w:color w:val="77328A"/>
          <w:sz w:val="16"/>
          <w:szCs w:val="16"/>
        </w:rPr>
        <w:t xml:space="preserve"> </w:t>
      </w:r>
      <w:r w:rsidR="003C709A" w:rsidRPr="002542D5">
        <w:rPr>
          <w:i/>
          <w:iCs/>
          <w:color w:val="77328A"/>
          <w:sz w:val="16"/>
          <w:szCs w:val="16"/>
        </w:rPr>
        <w:t>Re NIHRC</w:t>
      </w:r>
      <w:r w:rsidR="001215B7" w:rsidRPr="002542D5">
        <w:rPr>
          <w:color w:val="77328A"/>
          <w:sz w:val="16"/>
          <w:szCs w:val="16"/>
        </w:rPr>
        <w:t xml:space="preserve"> [2024] NIKB 35 at para. 175.</w:t>
      </w:r>
      <w:r w:rsidR="00A05218" w:rsidRPr="002542D5">
        <w:rPr>
          <w:color w:val="77328A"/>
          <w:sz w:val="16"/>
          <w:szCs w:val="16"/>
        </w:rPr>
        <w:t xml:space="preserve"> </w:t>
      </w:r>
      <w:r w:rsidR="00576B1C" w:rsidRPr="002542D5">
        <w:rPr>
          <w:color w:val="77328A"/>
          <w:sz w:val="16"/>
          <w:szCs w:val="16"/>
        </w:rPr>
        <w:t xml:space="preserve">See also </w:t>
      </w:r>
      <w:r w:rsidR="00F043B0" w:rsidRPr="002542D5">
        <w:rPr>
          <w:color w:val="77328A"/>
          <w:sz w:val="16"/>
          <w:szCs w:val="16"/>
        </w:rPr>
        <w:t>T. Lock, E. Frantziou and A. Deb</w:t>
      </w:r>
      <w:r w:rsidR="00590FBB" w:rsidRPr="002542D5">
        <w:rPr>
          <w:color w:val="77328A"/>
          <w:sz w:val="16"/>
          <w:szCs w:val="16"/>
        </w:rPr>
        <w:t xml:space="preserve">, ‘The Interaction between the EU Charter of Fundamental Rights and general principles </w:t>
      </w:r>
      <w:r w:rsidR="002313DB" w:rsidRPr="002542D5">
        <w:rPr>
          <w:color w:val="77328A"/>
          <w:sz w:val="16"/>
          <w:szCs w:val="16"/>
        </w:rPr>
        <w:t xml:space="preserve">with the Windsor Framework’ </w:t>
      </w:r>
      <w:r w:rsidR="00590FBB" w:rsidRPr="002542D5">
        <w:rPr>
          <w:color w:val="77328A"/>
          <w:sz w:val="16"/>
          <w:szCs w:val="16"/>
        </w:rPr>
        <w:t>(NIHRC, 20</w:t>
      </w:r>
      <w:r w:rsidR="002313DB" w:rsidRPr="002542D5">
        <w:rPr>
          <w:color w:val="77328A"/>
          <w:sz w:val="16"/>
          <w:szCs w:val="16"/>
        </w:rPr>
        <w:t>24</w:t>
      </w:r>
      <w:r w:rsidR="00590FBB" w:rsidRPr="002542D5">
        <w:rPr>
          <w:color w:val="77328A"/>
          <w:sz w:val="16"/>
          <w:szCs w:val="16"/>
        </w:rPr>
        <w:t>).</w:t>
      </w:r>
    </w:p>
  </w:footnote>
  <w:footnote w:id="46">
    <w:p w14:paraId="2CC302AC" w14:textId="00CBDDD1" w:rsidR="00F149EE" w:rsidRPr="002542D5" w:rsidRDefault="00F149E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Articles 27 and 28, EU Charter of Fundamental Rights.</w:t>
      </w:r>
    </w:p>
  </w:footnote>
  <w:footnote w:id="47">
    <w:p w14:paraId="5A25520F" w14:textId="1AB4D59F" w:rsidR="00C170E3" w:rsidRPr="002542D5" w:rsidRDefault="00C170E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C45195" w:rsidRPr="002542D5">
        <w:rPr>
          <w:color w:val="77328A"/>
          <w:sz w:val="16"/>
          <w:szCs w:val="16"/>
        </w:rPr>
        <w:t xml:space="preserve">Articles 30 and 31, EU Charter of Fundamental Rights. </w:t>
      </w:r>
    </w:p>
  </w:footnote>
  <w:footnote w:id="48">
    <w:p w14:paraId="392F6206" w14:textId="77777777" w:rsidR="00EC0DFB" w:rsidRPr="002542D5" w:rsidRDefault="00EC0DFB"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Article 13, Windsor Framework.</w:t>
      </w:r>
    </w:p>
  </w:footnote>
  <w:footnote w:id="49">
    <w:p w14:paraId="206B0C9A" w14:textId="77777777" w:rsidR="000F4C7A" w:rsidRPr="002542D5" w:rsidRDefault="000F4C7A" w:rsidP="002542D5">
      <w:pPr>
        <w:pStyle w:val="FootnoteText"/>
        <w:spacing w:line="240" w:lineRule="auto"/>
        <w:rPr>
          <w:rFonts w:cstheme="minorHAnsi"/>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Sarah Craig, Anurag Deb, Eleni Frantziou, Alexander Horne, Colin Murray, Clare Rice and Jane Rooney, ‘European Union developments in Equality and Human Rights: The Impact of Brexit on the divergence of rights and best practice on the island of Ireland</w:t>
      </w:r>
      <w:r w:rsidRPr="002542D5">
        <w:rPr>
          <w:rStyle w:val="Hyperlink"/>
          <w:rFonts w:cstheme="minorHAnsi"/>
          <w:color w:val="77328A"/>
          <w:sz w:val="16"/>
          <w:szCs w:val="16"/>
        </w:rPr>
        <w:t>’</w:t>
      </w:r>
      <w:r w:rsidRPr="002542D5">
        <w:rPr>
          <w:rFonts w:cstheme="minorHAnsi"/>
          <w:color w:val="77328A"/>
          <w:sz w:val="16"/>
          <w:szCs w:val="16"/>
        </w:rPr>
        <w:t xml:space="preserve"> (ECNI, NIHRC, IHREC 2022); Equality Commission for NI, NI Human Rights Commission and Irish Human Rights and Equality Commission, ‘Policy Recommendations: European Union developments in Equality and Human Rights: The Impact of Brexit on the divergence of rights and best practice on the island of Ireland</w:t>
      </w:r>
      <w:r w:rsidRPr="002542D5">
        <w:rPr>
          <w:rStyle w:val="Hyperlink"/>
          <w:rFonts w:cstheme="minorHAnsi"/>
          <w:color w:val="77328A"/>
          <w:sz w:val="16"/>
          <w:szCs w:val="16"/>
        </w:rPr>
        <w:t>’</w:t>
      </w:r>
      <w:r w:rsidRPr="002542D5">
        <w:rPr>
          <w:rFonts w:cstheme="minorHAnsi"/>
          <w:color w:val="77328A"/>
          <w:sz w:val="16"/>
          <w:szCs w:val="16"/>
        </w:rPr>
        <w:t xml:space="preserve"> (ECNI, NIHRC and IHREC, 2023).</w:t>
      </w:r>
    </w:p>
  </w:footnote>
  <w:footnote w:id="50">
    <w:p w14:paraId="45CF29CA" w14:textId="77777777" w:rsidR="000F4C7A" w:rsidRPr="002542D5" w:rsidRDefault="000F4C7A"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b/>
          <w:color w:val="77328A"/>
          <w:sz w:val="16"/>
          <w:szCs w:val="16"/>
          <w:lang w:val="en-US"/>
        </w:rPr>
        <w:t xml:space="preserve"> </w:t>
      </w:r>
      <w:r w:rsidRPr="002542D5">
        <w:rPr>
          <w:rFonts w:cstheme="minorHAnsi"/>
          <w:color w:val="77328A"/>
          <w:sz w:val="16"/>
          <w:szCs w:val="16"/>
        </w:rPr>
        <w:t>Directive 2019/1158/EU, ‘EU Parliament and Council Directive on work-life balance for parents and carers’, 20 June 2019.</w:t>
      </w:r>
    </w:p>
  </w:footnote>
  <w:footnote w:id="51">
    <w:p w14:paraId="37830CEA" w14:textId="77777777" w:rsidR="000F4C7A" w:rsidRPr="002542D5" w:rsidRDefault="000F4C7A"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w:t>
      </w:r>
      <w:r w:rsidRPr="002542D5">
        <w:rPr>
          <w:rFonts w:cstheme="minorHAnsi"/>
          <w:color w:val="77328A"/>
          <w:sz w:val="16"/>
          <w:szCs w:val="16"/>
          <w:lang w:val="en-US"/>
        </w:rPr>
        <w:t>Directive 2019/882/EU, ‘</w:t>
      </w:r>
      <w:r w:rsidRPr="002542D5">
        <w:rPr>
          <w:rFonts w:cstheme="minorHAnsi"/>
          <w:color w:val="77328A"/>
          <w:sz w:val="16"/>
          <w:szCs w:val="16"/>
        </w:rPr>
        <w:t xml:space="preserve">EU Parliament and Council Directive </w:t>
      </w:r>
      <w:r w:rsidRPr="002542D5">
        <w:rPr>
          <w:rFonts w:cstheme="minorHAnsi"/>
          <w:color w:val="77328A"/>
          <w:sz w:val="16"/>
          <w:szCs w:val="16"/>
          <w:lang w:val="en-US"/>
        </w:rPr>
        <w:t>on the accessibility requirements for products and services’, 17 April 2019.</w:t>
      </w:r>
    </w:p>
  </w:footnote>
  <w:footnote w:id="52">
    <w:p w14:paraId="2244161F" w14:textId="71B461E0" w:rsidR="00C86E24" w:rsidRPr="002542D5" w:rsidRDefault="00C86E24"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6C5242" w:rsidRPr="002542D5">
        <w:rPr>
          <w:rFonts w:cs="Arial"/>
          <w:color w:val="77328A"/>
          <w:sz w:val="16"/>
          <w:szCs w:val="16"/>
        </w:rPr>
        <w:t>Council of the EU, ‘Rights for platform workers: Council and Parliament strike deal’</w:t>
      </w:r>
      <w:r w:rsidR="006C5242" w:rsidRPr="002542D5">
        <w:rPr>
          <w:rStyle w:val="normaltextrun"/>
          <w:rFonts w:cs="Arial"/>
          <w:color w:val="77328A"/>
          <w:sz w:val="16"/>
          <w:szCs w:val="16"/>
          <w:shd w:val="clear" w:color="auto" w:fill="FFFFFF"/>
        </w:rPr>
        <w:t>, 22 December 2023.</w:t>
      </w:r>
    </w:p>
  </w:footnote>
  <w:footnote w:id="53">
    <w:p w14:paraId="759654D4" w14:textId="4AC5FF5E" w:rsidR="00C86E24" w:rsidRPr="002542D5" w:rsidRDefault="00C86E24"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D2402E" w:rsidRPr="002542D5">
        <w:rPr>
          <w:rFonts w:eastAsiaTheme="minorHAnsi"/>
          <w:color w:val="77328A"/>
          <w:sz w:val="16"/>
          <w:szCs w:val="16"/>
          <w14:ligatures w14:val="standardContextual"/>
        </w:rPr>
        <w:t>Directive (EU) 2022/2041, ‘European Parliament and Council Directive on adequate minimum wages in the European Union’,</w:t>
      </w:r>
      <w:r w:rsidR="00D2402E" w:rsidRPr="002542D5">
        <w:rPr>
          <w:color w:val="77328A"/>
          <w:sz w:val="16"/>
          <w:szCs w:val="16"/>
        </w:rPr>
        <w:t xml:space="preserve"> </w:t>
      </w:r>
      <w:r w:rsidR="00D2402E" w:rsidRPr="002542D5">
        <w:rPr>
          <w:rFonts w:eastAsiaTheme="minorHAnsi"/>
          <w:color w:val="77328A"/>
          <w:sz w:val="16"/>
          <w:szCs w:val="16"/>
          <w14:ligatures w14:val="standardContextual"/>
        </w:rPr>
        <w:t>19 October 2022.</w:t>
      </w:r>
    </w:p>
  </w:footnote>
  <w:footnote w:id="54">
    <w:p w14:paraId="2AA097E8" w14:textId="20EC4F1C" w:rsidR="000013CD" w:rsidRPr="002542D5" w:rsidRDefault="000013CD"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Arial"/>
          <w:color w:val="77328A"/>
          <w:sz w:val="16"/>
          <w:szCs w:val="16"/>
        </w:rPr>
        <w:t>Directive 2019/1937/EU, ‘EU Parliament and Council Directive on the protection of persons who report breaches of Union law (Whistleblowing Directive)’, 23 October 2019.</w:t>
      </w:r>
    </w:p>
  </w:footnote>
  <w:footnote w:id="55">
    <w:p w14:paraId="613FEDF1" w14:textId="77777777" w:rsidR="000F4C7A" w:rsidRPr="002542D5" w:rsidRDefault="000F4C7A"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Sarah Craig, Anurag Deb, Eleni Frantziou, Alexander Horne, Colin Murray, Clare Rice and Jane Rooney, ‘European Union developments in Equality and Human Rights: The Impact of Brexit on the divergence of rights and best practice on the island of Ireland</w:t>
      </w:r>
      <w:r w:rsidRPr="002542D5">
        <w:rPr>
          <w:rStyle w:val="Hyperlink"/>
          <w:rFonts w:cstheme="minorHAnsi"/>
          <w:color w:val="77328A"/>
          <w:sz w:val="16"/>
          <w:szCs w:val="16"/>
          <w:u w:val="none"/>
        </w:rPr>
        <w:t>’</w:t>
      </w:r>
      <w:r w:rsidRPr="002542D5">
        <w:rPr>
          <w:rFonts w:cstheme="minorHAnsi"/>
          <w:color w:val="77328A"/>
          <w:sz w:val="16"/>
          <w:szCs w:val="16"/>
        </w:rPr>
        <w:t xml:space="preserve"> (ECNI, NIHRC and IHREC, 2022).</w:t>
      </w:r>
    </w:p>
  </w:footnote>
  <w:footnote w:id="56">
    <w:p w14:paraId="6C98303B" w14:textId="77777777" w:rsidR="000F4C7A" w:rsidRPr="002542D5" w:rsidRDefault="000F4C7A"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w:t>
      </w:r>
      <w:r w:rsidRPr="002542D5">
        <w:rPr>
          <w:rStyle w:val="Hyperlink"/>
          <w:rFonts w:cstheme="minorHAnsi"/>
          <w:color w:val="77328A"/>
          <w:sz w:val="16"/>
          <w:szCs w:val="16"/>
          <w:u w:val="none"/>
        </w:rPr>
        <w:t>’</w:t>
      </w:r>
      <w:r w:rsidRPr="002542D5">
        <w:rPr>
          <w:rFonts w:cstheme="minorHAnsi"/>
          <w:color w:val="77328A"/>
          <w:sz w:val="16"/>
          <w:szCs w:val="16"/>
        </w:rPr>
        <w:t xml:space="preserve"> (ECNI, NIHRC and IHREC, 2023), at 37-41 and 58-61.</w:t>
      </w:r>
    </w:p>
  </w:footnote>
  <w:footnote w:id="57">
    <w:p w14:paraId="1A14FA2B" w14:textId="77777777" w:rsidR="00A10911" w:rsidRPr="002542D5" w:rsidRDefault="00A1091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2023/970/EU, ‘EU Parliament and Council Directive to strengthen the application of the principle of equal pay for equal work or work of equal value between men and women through pay transparency and enforcement mechanisms’, 10 May 2023.</w:t>
      </w:r>
    </w:p>
  </w:footnote>
  <w:footnote w:id="58">
    <w:p w14:paraId="31CE01E3" w14:textId="77777777" w:rsidR="00A10911" w:rsidRPr="002542D5" w:rsidRDefault="00A1091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w:t>
      </w:r>
      <w:r w:rsidRPr="002542D5">
        <w:rPr>
          <w:rFonts w:cstheme="minorHAnsi"/>
          <w:color w:val="77328A"/>
          <w:sz w:val="16"/>
          <w:szCs w:val="16"/>
          <w:shd w:val="clear" w:color="auto" w:fill="FFFFFF"/>
        </w:rPr>
        <w:t>Directive 2006/54/EC ‘EU Parliament and Council Directive on the implementation of the principle of equal opportunities and equal treatment of men and women in matters of employment and occupation (recast)’, 5 July 2006.</w:t>
      </w:r>
    </w:p>
  </w:footnote>
  <w:footnote w:id="59">
    <w:p w14:paraId="73F29CA2" w14:textId="77777777" w:rsidR="00AC6C61" w:rsidRPr="002542D5" w:rsidRDefault="00AC6C6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Equality Commission for NI and NI Human Rights Commission, ‘Briefing Paper: The EU Pay Transparency Directive: The UK Government’s dynamic alignment obligations relating to Windsor Framework Article 2’ (ECNI and NIHRC, 2024)</w:t>
      </w:r>
    </w:p>
  </w:footnote>
  <w:footnote w:id="60">
    <w:p w14:paraId="7CD313F0" w14:textId="77777777" w:rsidR="00E2037D" w:rsidRPr="002542D5" w:rsidRDefault="00E2037D"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Apart from a small number of provisions of the EU Pay Transparency Directive that are no longer relevant now that the UK has left the EU.</w:t>
      </w:r>
    </w:p>
  </w:footnote>
  <w:footnote w:id="61">
    <w:p w14:paraId="48B0DD91" w14:textId="77777777" w:rsidR="00E2037D" w:rsidRPr="002542D5" w:rsidRDefault="00E2037D"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2006/54/EC, ‘EU Parliament and Council Directive on the Implementation of the Principle of Equal Opportunities and Equal Treatment of Men and Women in Matters of Employment and Occupation (Recast)’, 5 July 2006.</w:t>
      </w:r>
    </w:p>
  </w:footnote>
  <w:footnote w:id="62">
    <w:p w14:paraId="20787098" w14:textId="77777777" w:rsidR="00E2037D" w:rsidRPr="002542D5" w:rsidRDefault="00E2037D"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Article 13(3), Windsor Framework. </w:t>
      </w:r>
    </w:p>
  </w:footnote>
  <w:footnote w:id="63">
    <w:p w14:paraId="70FA2354" w14:textId="77777777" w:rsidR="00DF15EC" w:rsidRPr="002542D5" w:rsidRDefault="00DF15EC"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NI Statistics and Research Agency, ‘Women in Northern Ireland 2020-2021’ </w:t>
      </w:r>
      <w:r w:rsidRPr="002542D5">
        <w:rPr>
          <w:rStyle w:val="Hyperlink"/>
          <w:rFonts w:cs="Aptos"/>
          <w:color w:val="77328A"/>
          <w:sz w:val="16"/>
          <w:szCs w:val="16"/>
        </w:rPr>
        <w:t>(NISRA, 2022).</w:t>
      </w:r>
    </w:p>
  </w:footnote>
  <w:footnote w:id="64">
    <w:p w14:paraId="472A3AE9" w14:textId="77777777" w:rsidR="00DF15EC" w:rsidRPr="002542D5" w:rsidRDefault="00DF15EC"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NI Statistics and Research Agency, ‘Annual Survey of Hours and Earnings - Employee earnings in Northern Ireland 2023’</w:t>
      </w:r>
      <w:r w:rsidRPr="002542D5">
        <w:rPr>
          <w:rStyle w:val="Hyperlink"/>
          <w:rFonts w:cs="Aptos"/>
          <w:color w:val="77328A"/>
          <w:sz w:val="16"/>
          <w:szCs w:val="16"/>
          <w:u w:val="none"/>
        </w:rPr>
        <w:t xml:space="preserve"> (NISRA, 2023).</w:t>
      </w:r>
    </w:p>
  </w:footnote>
  <w:footnote w:id="65">
    <w:p w14:paraId="3A22DDFA" w14:textId="77777777" w:rsidR="00DF15EC" w:rsidRPr="002542D5" w:rsidRDefault="00DF15EC"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NI Statistics and Research Agency, ‘Annual Survey of Hours and Earnings - Employee earnings in Northern Ireland 2023’</w:t>
      </w:r>
      <w:r w:rsidRPr="002542D5">
        <w:rPr>
          <w:rStyle w:val="Hyperlink"/>
          <w:rFonts w:cs="Aptos"/>
          <w:color w:val="77328A"/>
          <w:sz w:val="16"/>
          <w:szCs w:val="16"/>
          <w:u w:val="none"/>
        </w:rPr>
        <w:t xml:space="preserve"> (NISRA, 2023).</w:t>
      </w:r>
    </w:p>
  </w:footnote>
  <w:footnote w:id="66">
    <w:p w14:paraId="33E78CB1" w14:textId="77777777" w:rsidR="00600020" w:rsidRPr="002542D5" w:rsidRDefault="0060002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The Equality Act 2010 (Gender Pay Gap Information) Regulations 2017 (SI 2017/172); Regulations came into force on 6 April 2017 and apply to all private and voluntary sector employers with 250 or more employees in England, Wales and Scotland. Public sector employers with 250 or more employees that are listed in The Equality Act 2010 (Specific Duties and Public Authorities) Regulations 2017 (SI 2017/353) are also required to publish information on their gender pay gap. These Regulations came into force on 31st March 2017.</w:t>
      </w:r>
    </w:p>
  </w:footnote>
  <w:footnote w:id="67">
    <w:p w14:paraId="550D2C8E" w14:textId="77777777" w:rsidR="00600020" w:rsidRPr="002542D5" w:rsidRDefault="0060002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NIHRC and IHREC, 2023), at paras 4.45-4.46.</w:t>
      </w:r>
    </w:p>
  </w:footnote>
  <w:footnote w:id="68">
    <w:p w14:paraId="4003B5AD" w14:textId="77777777" w:rsidR="00A10911" w:rsidRPr="002542D5" w:rsidRDefault="00A10911" w:rsidP="002542D5">
      <w:pPr>
        <w:pStyle w:val="NIHRCFootnotes"/>
        <w:spacing w:line="240" w:lineRule="auto"/>
      </w:pPr>
      <w:r w:rsidRPr="002542D5">
        <w:rPr>
          <w:rStyle w:val="FootnoteReference"/>
          <w:rFonts w:eastAsiaTheme="majorEastAsia"/>
        </w:rPr>
        <w:footnoteRef/>
      </w:r>
      <w:r w:rsidRPr="002542D5">
        <w:t xml:space="preserve"> Directive 2023/970/EU, ‘Directive of the European Parliament and of the </w:t>
      </w:r>
      <w:r w:rsidRPr="002542D5">
        <w:rPr>
          <w:rFonts w:cstheme="minorHAnsi"/>
        </w:rPr>
        <w:t>Council of the EU</w:t>
      </w:r>
      <w:r w:rsidRPr="002542D5">
        <w:t xml:space="preserve"> to Strengthen the Application of the Principle of Equal Pay for Equal Work or Work of Equal Value between Men and Women through Pay Transparency and Enforcement Mechanisms’, 10 May 2023.</w:t>
      </w:r>
    </w:p>
  </w:footnote>
  <w:footnote w:id="69">
    <w:p w14:paraId="695D8FED" w14:textId="77777777" w:rsidR="00A10911" w:rsidRPr="002542D5" w:rsidRDefault="00A1091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Article 9 and 10, Directive 2023/970/EU, ‘EU Parliament and Council Directive to strengthen the application of the principle of equal pay for equal work or work of equal value between men and women through pay transparency and enforcement mechanisms’ 10 May 2023. This includes that, employers with at least 100 workers must provide and report on the pay gap between female and male workers to a monitoring body, all workers and their representatives and remedy any gender pay differences that are not justified by objective and gender-neutral factors.</w:t>
      </w:r>
    </w:p>
  </w:footnote>
  <w:footnote w:id="70">
    <w:p w14:paraId="45676E62" w14:textId="77777777" w:rsidR="00A10911" w:rsidRPr="002542D5" w:rsidRDefault="00A1091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Article 15, Directive 2023/970/EU, ‘EU Parliament and Council Directive to strengthen the application of the principle of equal pay for equal work or work of equal value between men and women through pay transparency and enforcement mechanisms’, 10 May 2023.</w:t>
      </w:r>
    </w:p>
  </w:footnote>
  <w:footnote w:id="71">
    <w:p w14:paraId="2C028609" w14:textId="77777777" w:rsidR="00A10911" w:rsidRPr="002542D5" w:rsidRDefault="00A10911"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Article 16, Directive 2023/970/EU, ‘EU Parliament and Council Directive to strengthen the application of the principle of equal pay for equal work or work of equal value between men and women through pay transparency and enforcement mechanisms’ 10 May 2023.</w:t>
      </w:r>
    </w:p>
  </w:footnote>
  <w:footnote w:id="72">
    <w:p w14:paraId="369AFE11" w14:textId="77777777"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r w:rsidRPr="002542D5">
        <w:rPr>
          <w:rFonts w:cs="Aptos"/>
          <w:b/>
          <w:bCs/>
          <w:color w:val="77328A"/>
          <w:sz w:val="16"/>
          <w:szCs w:val="16"/>
        </w:rPr>
        <w:t xml:space="preserve"> </w:t>
      </w:r>
    </w:p>
  </w:footnote>
  <w:footnote w:id="73">
    <w:p w14:paraId="7311B1B5" w14:textId="77777777"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2000/43/EC</w:t>
      </w:r>
      <w:r w:rsidRPr="002542D5">
        <w:rPr>
          <w:rStyle w:val="Hyperlink"/>
          <w:rFonts w:cs="Aptos"/>
          <w:color w:val="77328A"/>
          <w:sz w:val="16"/>
          <w:szCs w:val="16"/>
          <w:u w:val="none"/>
        </w:rPr>
        <w:t>,</w:t>
      </w:r>
      <w:r w:rsidRPr="002542D5">
        <w:rPr>
          <w:rFonts w:cs="Aptos"/>
          <w:color w:val="77328A"/>
          <w:sz w:val="16"/>
          <w:szCs w:val="16"/>
        </w:rPr>
        <w:t xml:space="preserve"> ‘Council Directive implementing the principle of equal treatment between persons irrespective of racial or ethnic origin’, 29 June 2000.</w:t>
      </w:r>
    </w:p>
  </w:footnote>
  <w:footnote w:id="74">
    <w:p w14:paraId="08DB5D4D" w14:textId="77777777"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2004/113/EC, ‘Council Directive on Implementing the Principle of Equal Treatment between Men and Women in the access to and supply of goods and services’, 13 December 2004.</w:t>
      </w:r>
    </w:p>
  </w:footnote>
  <w:footnote w:id="75">
    <w:p w14:paraId="6296FFDA" w14:textId="77777777"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2006/54/EC, ‘EU Parliament and Council Directive on the Implementation of the Principle of Equal Opportunities and Equal Treatment of Men and Women in Matters of Employment and Occupation (Recast)’, 5 July 2006.</w:t>
      </w:r>
    </w:p>
  </w:footnote>
  <w:footnote w:id="76">
    <w:p w14:paraId="55E246D4" w14:textId="77777777"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2010/41/EU, ‘EU Parliament and Council Directive on the Application of the Principle of Equal Treatment between Men and Women Engaged in an Activity in a Self-employed Capacity’, 7 July 2010.</w:t>
      </w:r>
    </w:p>
  </w:footnote>
  <w:footnote w:id="77">
    <w:p w14:paraId="64C41DC9" w14:textId="77777777"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Letter from the Minister of State for NI, Steve Baker MP, to the House of Lords Sub Committee on the Protocol on Ireland/Northern Ireland, 18 September 2022.</w:t>
      </w:r>
    </w:p>
  </w:footnote>
  <w:footnote w:id="78">
    <w:p w14:paraId="52B7A201" w14:textId="77777777" w:rsidR="00662AFB" w:rsidRPr="002542D5" w:rsidRDefault="00662AFB"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w:t>
      </w:r>
      <w:r w:rsidRPr="002542D5">
        <w:rPr>
          <w:rStyle w:val="Hyperlink"/>
          <w:rFonts w:cstheme="minorHAnsi"/>
          <w:color w:val="77328A"/>
          <w:sz w:val="16"/>
          <w:szCs w:val="16"/>
        </w:rPr>
        <w:t>’</w:t>
      </w:r>
      <w:r w:rsidRPr="002542D5">
        <w:rPr>
          <w:rFonts w:cstheme="minorHAnsi"/>
          <w:color w:val="77328A"/>
          <w:sz w:val="16"/>
          <w:szCs w:val="16"/>
        </w:rPr>
        <w:t xml:space="preserve"> (ECNI, NIHRC and IHREC, 2023).</w:t>
      </w:r>
    </w:p>
  </w:footnote>
  <w:footnote w:id="79">
    <w:p w14:paraId="69CECF1C" w14:textId="47BEC90D" w:rsidR="00662AFB" w:rsidRPr="002542D5" w:rsidRDefault="00662AF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Style w:val="FootnoteChar"/>
          <w:rFonts w:cs="Aptos"/>
        </w:rPr>
        <w:t xml:space="preserve"> </w:t>
      </w:r>
      <w:r w:rsidR="00CD49BE" w:rsidRPr="002542D5">
        <w:rPr>
          <w:rStyle w:val="FootnoteChar"/>
          <w:rFonts w:cs="Aptos"/>
        </w:rPr>
        <w:t xml:space="preserve">Article 25, </w:t>
      </w:r>
      <w:r w:rsidR="00CD49BE" w:rsidRPr="002542D5">
        <w:rPr>
          <w:rFonts w:cs="Aptos"/>
          <w:color w:val="77328A"/>
          <w:sz w:val="16"/>
          <w:szCs w:val="16"/>
        </w:rPr>
        <w:t>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Article 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p>
  </w:footnote>
  <w:footnote w:id="80">
    <w:p w14:paraId="187264EA" w14:textId="77777777" w:rsidR="005B3113" w:rsidRPr="002542D5" w:rsidRDefault="005B311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2024/1385/EU, ‘EU Parliament and Council Directive on combating violence against women and domestic violence’, 14 May 2024. </w:t>
      </w:r>
    </w:p>
  </w:footnote>
  <w:footnote w:id="81">
    <w:p w14:paraId="57E4F44C" w14:textId="77777777" w:rsidR="005B3113" w:rsidRPr="002542D5" w:rsidRDefault="005B311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28 and Recital 65, Directive 2024/1385/EU, ‘EU Parliament and Council Directive on combating violence against women and domestic violence’, 14 May 2024.</w:t>
      </w:r>
    </w:p>
  </w:footnote>
  <w:footnote w:id="82">
    <w:p w14:paraId="057CFE86" w14:textId="77777777" w:rsidR="005B3113" w:rsidRPr="002542D5" w:rsidRDefault="005B311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36, Directive 2024/1385/EU, ‘EU Parliament and Council Directive on combating violence against women and domestic violence’, 14 May 2024.</w:t>
      </w:r>
    </w:p>
  </w:footnote>
  <w:footnote w:id="83">
    <w:p w14:paraId="6DD8F4BE" w14:textId="77777777" w:rsidR="005B3113" w:rsidRPr="002542D5" w:rsidRDefault="005B311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84">
    <w:p w14:paraId="4BF50FE9" w14:textId="77777777" w:rsidR="00BF3010" w:rsidRPr="002542D5" w:rsidRDefault="00BF301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 xml:space="preserve">Directive 2010/41/EU, ‘EU Parliament and Council Directive on the Application of the Principle of Equal Treatment between Men and Women Engaged in an Activity in a Self-employed Capacity’, 7 July 2010. </w:t>
      </w:r>
    </w:p>
  </w:footnote>
  <w:footnote w:id="85">
    <w:p w14:paraId="2EB78734" w14:textId="783F962B" w:rsidR="00BF3010" w:rsidRPr="002542D5" w:rsidRDefault="00BF3010"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w:t>
      </w:r>
      <w:r w:rsidR="004459DC" w:rsidRPr="002542D5">
        <w:rPr>
          <w:color w:val="77328A"/>
          <w:sz w:val="16"/>
          <w:szCs w:val="16"/>
        </w:rPr>
        <w:t>Directive 97/81/EC, ‘Framework Agreement on part-time working concluded by UNICE, CEEP and the ETUC (trade unions)’, 15 December 1997.</w:t>
      </w:r>
    </w:p>
  </w:footnote>
  <w:footnote w:id="86">
    <w:p w14:paraId="43EEDB01" w14:textId="77777777" w:rsidR="00BF3010" w:rsidRPr="002542D5" w:rsidRDefault="00BF3010"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2008/104/EC, ‘EU Parliament and Council Directive on temporary agency work’, 19 November 2008.</w:t>
      </w:r>
    </w:p>
  </w:footnote>
  <w:footnote w:id="87">
    <w:p w14:paraId="49F74FBB" w14:textId="4F3F2905" w:rsidR="00C979F9" w:rsidRPr="002542D5" w:rsidRDefault="00C979F9"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1D46C7" w:rsidRPr="002542D5">
        <w:rPr>
          <w:color w:val="77328A"/>
          <w:sz w:val="16"/>
          <w:szCs w:val="16"/>
        </w:rPr>
        <w:t xml:space="preserve">Department for the Economy, </w:t>
      </w:r>
      <w:r w:rsidR="00A11A60" w:rsidRPr="002542D5">
        <w:rPr>
          <w:color w:val="77328A"/>
          <w:sz w:val="16"/>
          <w:szCs w:val="16"/>
        </w:rPr>
        <w:t>‘</w:t>
      </w:r>
      <w:r w:rsidR="00257975" w:rsidRPr="002542D5">
        <w:rPr>
          <w:color w:val="77328A"/>
          <w:sz w:val="16"/>
          <w:szCs w:val="16"/>
        </w:rPr>
        <w:t>The Good Jobs Employment Rights Bill</w:t>
      </w:r>
      <w:r w:rsidR="00A11A60" w:rsidRPr="002542D5">
        <w:rPr>
          <w:color w:val="77328A"/>
          <w:sz w:val="16"/>
          <w:szCs w:val="16"/>
        </w:rPr>
        <w:t xml:space="preserve"> Public Consultation’ (DfE, </w:t>
      </w:r>
      <w:r w:rsidR="00640899" w:rsidRPr="002542D5">
        <w:rPr>
          <w:color w:val="77328A"/>
          <w:sz w:val="16"/>
          <w:szCs w:val="16"/>
        </w:rPr>
        <w:t xml:space="preserve">2024), at </w:t>
      </w:r>
      <w:r w:rsidR="0021770B" w:rsidRPr="002542D5">
        <w:rPr>
          <w:color w:val="77328A"/>
          <w:sz w:val="16"/>
          <w:szCs w:val="16"/>
        </w:rPr>
        <w:t xml:space="preserve">26. </w:t>
      </w:r>
      <w:r w:rsidR="00257975" w:rsidRPr="002542D5">
        <w:rPr>
          <w:color w:val="77328A"/>
          <w:sz w:val="16"/>
          <w:szCs w:val="16"/>
        </w:rPr>
        <w:t xml:space="preserve"> </w:t>
      </w:r>
    </w:p>
  </w:footnote>
  <w:footnote w:id="88">
    <w:p w14:paraId="748147EA" w14:textId="77777777" w:rsidR="0074402A" w:rsidRPr="002542D5" w:rsidRDefault="0074402A" w:rsidP="002542D5">
      <w:pPr>
        <w:pStyle w:val="FootnoteText"/>
        <w:spacing w:line="240" w:lineRule="auto"/>
        <w:rPr>
          <w:color w:val="77328A"/>
          <w:sz w:val="16"/>
          <w:szCs w:val="16"/>
        </w:rPr>
      </w:pPr>
      <w:r w:rsidRPr="002542D5">
        <w:rPr>
          <w:rStyle w:val="FootnoteReference"/>
          <w:color w:val="77328A"/>
          <w:sz w:val="16"/>
          <w:szCs w:val="16"/>
        </w:rPr>
        <w:footnoteRef/>
      </w:r>
      <w:r w:rsidRPr="002542D5">
        <w:rPr>
          <w:rFonts w:cs="Aptos"/>
          <w:color w:val="77328A"/>
          <w:sz w:val="16"/>
          <w:szCs w:val="16"/>
        </w:rPr>
        <w:t xml:space="preserve"> Directive 2010/41/EU, ‘EU Parliament and Council Directive on the Application of the Principle of Equal Treatment between Men and Women Engaged in an Activity in a Self-employed Capacity’, 7 July 2010.</w:t>
      </w:r>
    </w:p>
  </w:footnote>
  <w:footnote w:id="89">
    <w:p w14:paraId="3304FE7B" w14:textId="77777777" w:rsidR="007E6280" w:rsidRPr="002542D5" w:rsidRDefault="007E628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2000/78/EC, ‘Council Directive on Establishing a General Framework for Equal Treatment in Employment and Occupation’, 27 November 2000.</w:t>
      </w:r>
    </w:p>
  </w:footnote>
  <w:footnote w:id="90">
    <w:p w14:paraId="01085D5E" w14:textId="77777777" w:rsidR="00AD7204" w:rsidRPr="002542D5" w:rsidRDefault="00AD7204"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2000/43/EC, ‘Council Directive on Implementing the Principle of Equal Treatment between Persons Irrespective of Racial or Ethnic Origin’, 29 June 2000.</w:t>
      </w:r>
    </w:p>
  </w:footnote>
  <w:footnote w:id="91">
    <w:p w14:paraId="4F3A3B6A" w14:textId="77777777" w:rsidR="00AD7204" w:rsidRPr="002542D5" w:rsidRDefault="00AD7204"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92">
    <w:p w14:paraId="5B026612" w14:textId="77777777" w:rsidR="007F4F78" w:rsidRPr="002542D5" w:rsidRDefault="007F4F78" w:rsidP="002542D5">
      <w:pPr>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2000/78/EC, ‘Council of the EU Directive on Establishing a General Framework for Equal Treatment in Employment and Occupation’, 27 November 2000.  See also Letter from the Minister of State for NI, Steve Baker MP, to the Chair of the House of Lords Sub Committee on the Protocol on Ireland/Northern Ireland, 18 September 2022.</w:t>
      </w:r>
    </w:p>
  </w:footnote>
  <w:footnote w:id="93">
    <w:p w14:paraId="0612ABD7" w14:textId="77777777" w:rsidR="007F4F78" w:rsidRPr="002542D5" w:rsidRDefault="007F4F78"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2000/43/EC, ‘Council Directive on Implementing the Principle of Equal Treatment between Persons Irrespective of Racial or Ethnic Origin’, 29 June 2000.</w:t>
      </w:r>
    </w:p>
  </w:footnote>
  <w:footnote w:id="94">
    <w:p w14:paraId="629E32DD" w14:textId="396AE70A" w:rsidR="007F1942" w:rsidRPr="002542D5" w:rsidRDefault="007F1942"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2, </w:t>
      </w:r>
      <w:r w:rsidRPr="002542D5">
        <w:rPr>
          <w:rFonts w:cstheme="minorHAnsi"/>
          <w:color w:val="77328A"/>
          <w:sz w:val="16"/>
          <w:szCs w:val="16"/>
        </w:rPr>
        <w:t>Directive 2000/43/EC, ‘Council Directive on Implementing the Principle of Equal Treatment between Persons Irrespective of Racial or Ethnic Origin’, 29 June 2000.</w:t>
      </w:r>
    </w:p>
  </w:footnote>
  <w:footnote w:id="95">
    <w:p w14:paraId="445EE01C" w14:textId="0E8E65E5" w:rsidR="007F1942" w:rsidRPr="002542D5" w:rsidRDefault="007F1942"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3, </w:t>
      </w:r>
      <w:r w:rsidRPr="002542D5">
        <w:rPr>
          <w:rFonts w:cstheme="minorHAnsi"/>
          <w:color w:val="77328A"/>
          <w:sz w:val="16"/>
          <w:szCs w:val="16"/>
        </w:rPr>
        <w:t>Directive 2000/43/EC, ‘Council Directive on Implementing the Principle of Equal Treatment between Persons Irrespective of Racial or Ethnic Origin’, 29 June 2000.</w:t>
      </w:r>
    </w:p>
  </w:footnote>
  <w:footnote w:id="96">
    <w:p w14:paraId="553FFD9D" w14:textId="77777777" w:rsidR="00C53ACB" w:rsidRPr="002542D5" w:rsidRDefault="00C53AC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Pr="002542D5">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97">
    <w:p w14:paraId="286CB884" w14:textId="23F4675D" w:rsidR="008A0289" w:rsidRPr="002542D5" w:rsidRDefault="008A0289"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4, </w:t>
      </w:r>
      <w:r w:rsidRPr="002542D5">
        <w:rPr>
          <w:rFonts w:cs="Aptos"/>
          <w:color w:val="77328A"/>
          <w:sz w:val="16"/>
          <w:szCs w:val="16"/>
        </w:rPr>
        <w:t>Directive 2010/41/EU, ‘EU Parliament and Council Directive on the Application of the Principle of Equal Treatment between Men and Women Engaged in an Activity in a Self-employed Capacity’, 7 July 2010.</w:t>
      </w:r>
    </w:p>
  </w:footnote>
  <w:footnote w:id="98">
    <w:p w14:paraId="0CF23F71" w14:textId="63478DF1" w:rsidR="002E7E00" w:rsidRPr="002542D5" w:rsidRDefault="002E7E0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5A4501" w:rsidRPr="002542D5">
        <w:rPr>
          <w:color w:val="77328A"/>
          <w:sz w:val="16"/>
          <w:szCs w:val="16"/>
        </w:rPr>
        <w:t xml:space="preserve">Article 8, </w:t>
      </w:r>
      <w:r w:rsidR="005A4501" w:rsidRPr="002542D5">
        <w:rPr>
          <w:rFonts w:cs="Aptos"/>
          <w:color w:val="77328A"/>
          <w:sz w:val="16"/>
          <w:szCs w:val="16"/>
        </w:rPr>
        <w:t>Directive 2010/41/EU, ‘EU Parliament and Council Directive on the Application of the Principle of Equal Treatment between Men and Women Engaged in an Activity in a Self-employed Capacity’, 7 July 2010.</w:t>
      </w:r>
    </w:p>
  </w:footnote>
  <w:footnote w:id="99">
    <w:p w14:paraId="62B237AA" w14:textId="1F59A175" w:rsidR="00EC6B9E" w:rsidRPr="002542D5" w:rsidRDefault="00EC6B9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6E18DC" w:rsidRPr="002542D5">
        <w:rPr>
          <w:color w:val="77328A"/>
          <w:sz w:val="16"/>
          <w:szCs w:val="16"/>
        </w:rPr>
        <w:t>Department for the Economy, ‘The Good Jobs Employment Rights Bill Public Consultation’ (DfE, 2024), at 2</w:t>
      </w:r>
      <w:r w:rsidR="00B44287" w:rsidRPr="002542D5">
        <w:rPr>
          <w:color w:val="77328A"/>
          <w:sz w:val="16"/>
          <w:szCs w:val="16"/>
        </w:rPr>
        <w:t>7</w:t>
      </w:r>
      <w:r w:rsidR="006E18DC" w:rsidRPr="002542D5">
        <w:rPr>
          <w:color w:val="77328A"/>
          <w:sz w:val="16"/>
          <w:szCs w:val="16"/>
        </w:rPr>
        <w:t>.</w:t>
      </w:r>
    </w:p>
  </w:footnote>
  <w:footnote w:id="100">
    <w:p w14:paraId="21C86E26" w14:textId="77777777" w:rsidR="005046F5" w:rsidRPr="002542D5" w:rsidRDefault="005046F5" w:rsidP="002542D5">
      <w:pPr>
        <w:pStyle w:val="FootnoteText"/>
        <w:spacing w:line="240" w:lineRule="auto"/>
        <w:rPr>
          <w:color w:val="77328A"/>
          <w:sz w:val="16"/>
          <w:szCs w:val="16"/>
        </w:rPr>
      </w:pPr>
      <w:r w:rsidRPr="002542D5">
        <w:rPr>
          <w:color w:val="77328A"/>
          <w:sz w:val="16"/>
          <w:szCs w:val="16"/>
          <w:vertAlign w:val="superscript"/>
        </w:rPr>
        <w:footnoteRef/>
      </w:r>
      <w:r w:rsidRPr="002542D5">
        <w:rPr>
          <w:color w:val="77328A"/>
          <w:sz w:val="16"/>
          <w:szCs w:val="16"/>
        </w:rPr>
        <w:t xml:space="preserve"> European Parliament Legislative Observatory, 2021/0414 (COD), Improving working conditions of persons working through digital labour platforms.</w:t>
      </w:r>
    </w:p>
  </w:footnote>
  <w:footnote w:id="101">
    <w:p w14:paraId="0EC7CDD1" w14:textId="61358BC5" w:rsidR="00173D0B" w:rsidRPr="002542D5" w:rsidRDefault="00173D0B" w:rsidP="002542D5">
      <w:pPr>
        <w:pStyle w:val="FootnoteText"/>
        <w:spacing w:line="240" w:lineRule="auto"/>
        <w:jc w:val="both"/>
        <w:rPr>
          <w:rFonts w:cs="Arial"/>
          <w:color w:val="77328A"/>
          <w:sz w:val="16"/>
          <w:szCs w:val="16"/>
        </w:rPr>
      </w:pPr>
      <w:r w:rsidRPr="002542D5">
        <w:rPr>
          <w:rStyle w:val="FootnoteReference"/>
          <w:rFonts w:cs="Arial"/>
          <w:color w:val="77328A"/>
          <w:sz w:val="16"/>
          <w:szCs w:val="16"/>
        </w:rPr>
        <w:footnoteRef/>
      </w:r>
      <w:r w:rsidRPr="002542D5">
        <w:rPr>
          <w:rFonts w:cs="Arial"/>
          <w:color w:val="77328A"/>
          <w:sz w:val="16"/>
          <w:szCs w:val="16"/>
        </w:rPr>
        <w:t xml:space="preserve"> </w:t>
      </w:r>
      <w:r w:rsidR="001C3304" w:rsidRPr="002542D5">
        <w:rPr>
          <w:rFonts w:cs="Arial"/>
          <w:color w:val="77328A"/>
          <w:sz w:val="16"/>
          <w:szCs w:val="16"/>
        </w:rPr>
        <w:t>Council of the EU, ‘</w:t>
      </w:r>
      <w:r w:rsidR="006906AC" w:rsidRPr="002542D5">
        <w:rPr>
          <w:rFonts w:cs="Arial"/>
          <w:color w:val="77328A"/>
          <w:sz w:val="16"/>
          <w:szCs w:val="16"/>
        </w:rPr>
        <w:t>Platform workers: Council confirms agreement on new rules to improve their working conditions</w:t>
      </w:r>
      <w:r w:rsidR="0060207E" w:rsidRPr="002542D5">
        <w:rPr>
          <w:rFonts w:cs="Arial"/>
          <w:color w:val="77328A"/>
          <w:sz w:val="16"/>
          <w:szCs w:val="16"/>
        </w:rPr>
        <w:t>’</w:t>
      </w:r>
      <w:r w:rsidR="00D31764" w:rsidRPr="002542D5">
        <w:rPr>
          <w:rStyle w:val="normaltextrun"/>
          <w:rFonts w:cs="Arial"/>
          <w:color w:val="77328A"/>
          <w:sz w:val="16"/>
          <w:szCs w:val="16"/>
          <w:shd w:val="clear" w:color="auto" w:fill="FFFFFF"/>
        </w:rPr>
        <w:t xml:space="preserve"> </w:t>
      </w:r>
      <w:r w:rsidR="0060207E" w:rsidRPr="002542D5">
        <w:rPr>
          <w:rStyle w:val="normaltextrun"/>
          <w:rFonts w:cs="Arial"/>
          <w:color w:val="77328A"/>
          <w:sz w:val="16"/>
          <w:szCs w:val="16"/>
          <w:shd w:val="clear" w:color="auto" w:fill="FFFFFF"/>
        </w:rPr>
        <w:t>11 March 2024</w:t>
      </w:r>
      <w:r w:rsidR="00D31764" w:rsidRPr="002542D5">
        <w:rPr>
          <w:rStyle w:val="normaltextrun"/>
          <w:rFonts w:cs="Arial"/>
          <w:color w:val="77328A"/>
          <w:sz w:val="16"/>
          <w:szCs w:val="16"/>
          <w:shd w:val="clear" w:color="auto" w:fill="FFFFFF"/>
        </w:rPr>
        <w:t xml:space="preserve">. </w:t>
      </w:r>
    </w:p>
  </w:footnote>
  <w:footnote w:id="102">
    <w:p w14:paraId="47CAE6ED" w14:textId="5FAF291A" w:rsidR="00D2729B" w:rsidRPr="002542D5" w:rsidRDefault="00D2729B" w:rsidP="002542D5">
      <w:pPr>
        <w:pStyle w:val="FootnoteText"/>
        <w:spacing w:line="240" w:lineRule="auto"/>
        <w:rPr>
          <w:color w:val="77328A"/>
          <w:sz w:val="16"/>
          <w:szCs w:val="16"/>
        </w:rPr>
      </w:pPr>
      <w:r w:rsidRPr="002542D5">
        <w:rPr>
          <w:color w:val="77328A"/>
          <w:sz w:val="16"/>
          <w:szCs w:val="16"/>
        </w:rPr>
        <w:footnoteRef/>
      </w:r>
      <w:r w:rsidRPr="002542D5">
        <w:rPr>
          <w:color w:val="77328A"/>
          <w:sz w:val="16"/>
          <w:szCs w:val="16"/>
        </w:rPr>
        <w:t xml:space="preserve"> </w:t>
      </w:r>
      <w:r w:rsidR="009E18B8" w:rsidRPr="002542D5">
        <w:rPr>
          <w:color w:val="77328A"/>
          <w:sz w:val="16"/>
          <w:szCs w:val="16"/>
        </w:rPr>
        <w:t xml:space="preserve">European Parliament Legislative Observatory, 2021/0414 (COD), Improving working conditions of persons working through digital labour platforms, </w:t>
      </w:r>
      <w:r w:rsidR="00154922" w:rsidRPr="002542D5">
        <w:rPr>
          <w:color w:val="77328A"/>
          <w:sz w:val="16"/>
          <w:szCs w:val="16"/>
        </w:rPr>
        <w:t xml:space="preserve">Documentation Gateway, </w:t>
      </w:r>
      <w:r w:rsidR="00C14EC9" w:rsidRPr="002542D5">
        <w:rPr>
          <w:color w:val="77328A"/>
          <w:sz w:val="16"/>
          <w:szCs w:val="16"/>
        </w:rPr>
        <w:t xml:space="preserve">Text adopted </w:t>
      </w:r>
      <w:r w:rsidR="00154922" w:rsidRPr="002542D5">
        <w:rPr>
          <w:color w:val="77328A"/>
          <w:sz w:val="16"/>
          <w:szCs w:val="16"/>
        </w:rPr>
        <w:t xml:space="preserve">by </w:t>
      </w:r>
      <w:r w:rsidR="00DC4782" w:rsidRPr="002542D5">
        <w:rPr>
          <w:color w:val="77328A"/>
          <w:sz w:val="16"/>
          <w:szCs w:val="16"/>
        </w:rPr>
        <w:t>Parliament, 1st reading</w:t>
      </w:r>
      <w:r w:rsidR="00154922" w:rsidRPr="002542D5">
        <w:rPr>
          <w:color w:val="77328A"/>
          <w:sz w:val="16"/>
          <w:szCs w:val="16"/>
        </w:rPr>
        <w:t>/single reading, 24 April 2024</w:t>
      </w:r>
      <w:r w:rsidR="00AD194F" w:rsidRPr="002542D5">
        <w:rPr>
          <w:color w:val="77328A"/>
          <w:sz w:val="16"/>
          <w:szCs w:val="16"/>
        </w:rPr>
        <w:t>,</w:t>
      </w:r>
      <w:r w:rsidR="00221EE4" w:rsidRPr="002542D5">
        <w:rPr>
          <w:color w:val="77328A"/>
          <w:sz w:val="16"/>
          <w:szCs w:val="16"/>
        </w:rPr>
        <w:t xml:space="preserve"> at Recitals </w:t>
      </w:r>
      <w:r w:rsidR="004A12BD" w:rsidRPr="002542D5">
        <w:rPr>
          <w:color w:val="77328A"/>
          <w:sz w:val="16"/>
          <w:szCs w:val="16"/>
        </w:rPr>
        <w:t xml:space="preserve">2, 48, 49 and </w:t>
      </w:r>
      <w:r w:rsidR="00221EE4" w:rsidRPr="002542D5">
        <w:rPr>
          <w:color w:val="77328A"/>
          <w:sz w:val="16"/>
          <w:szCs w:val="16"/>
        </w:rPr>
        <w:t>Article 10.</w:t>
      </w:r>
    </w:p>
  </w:footnote>
  <w:footnote w:id="103">
    <w:p w14:paraId="1F2D5F0F" w14:textId="77777777" w:rsidR="007C42CE" w:rsidRPr="002542D5" w:rsidRDefault="007C42C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Directive 97/81/EC, ‘Framework Agreement on part-time working concluded by UNICE, CEEP and the ETUC (trade unions)’, 15 December 1997.</w:t>
      </w:r>
    </w:p>
  </w:footnote>
  <w:footnote w:id="104">
    <w:p w14:paraId="6D823020" w14:textId="2E1F75B8" w:rsidR="00677587" w:rsidRPr="002542D5" w:rsidRDefault="00677587" w:rsidP="002542D5">
      <w:pPr>
        <w:pStyle w:val="FootnoteText"/>
        <w:spacing w:line="240" w:lineRule="auto"/>
        <w:rPr>
          <w:color w:val="77328A"/>
          <w:sz w:val="16"/>
          <w:szCs w:val="16"/>
        </w:rPr>
      </w:pPr>
    </w:p>
  </w:footnote>
  <w:footnote w:id="105">
    <w:p w14:paraId="4BABB6A0" w14:textId="4823B5DE" w:rsidR="00F37A2F" w:rsidRPr="002542D5" w:rsidRDefault="00F37A2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1, </w:t>
      </w:r>
      <w:r w:rsidR="00260924" w:rsidRPr="002542D5">
        <w:rPr>
          <w:color w:val="77328A"/>
          <w:sz w:val="16"/>
          <w:szCs w:val="16"/>
        </w:rPr>
        <w:t>Directive 97/81/EC, ‘Framework Agreement on part-time working concluded by UNICE, CEEP and the ETUC (trade unions)’, 15 December 1997.</w:t>
      </w:r>
    </w:p>
  </w:footnote>
  <w:footnote w:id="106">
    <w:p w14:paraId="55849A18" w14:textId="34B2937B" w:rsidR="00B25EDA" w:rsidRPr="002542D5" w:rsidRDefault="00B25EDA"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4</w:t>
      </w:r>
      <w:r w:rsidR="00CB3321" w:rsidRPr="002542D5">
        <w:rPr>
          <w:color w:val="77328A"/>
          <w:sz w:val="16"/>
          <w:szCs w:val="16"/>
        </w:rPr>
        <w:t>,</w:t>
      </w:r>
      <w:r w:rsidR="009A23EC" w:rsidRPr="002542D5">
        <w:rPr>
          <w:color w:val="77328A"/>
          <w:sz w:val="16"/>
          <w:szCs w:val="16"/>
        </w:rPr>
        <w:t xml:space="preserve"> </w:t>
      </w:r>
      <w:r w:rsidR="00260924" w:rsidRPr="002542D5">
        <w:rPr>
          <w:color w:val="77328A"/>
          <w:sz w:val="16"/>
          <w:szCs w:val="16"/>
        </w:rPr>
        <w:t>Directive 97/81/EC, ‘Framework Agreement on part-time working concluded by UNICE, CEEP and the ETUC (trade unions)’, 15 December 1997.</w:t>
      </w:r>
    </w:p>
  </w:footnote>
  <w:footnote w:id="107">
    <w:p w14:paraId="0F7D4313" w14:textId="03D4863E" w:rsidR="006C2264" w:rsidRPr="002542D5" w:rsidRDefault="006C2264"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5, </w:t>
      </w:r>
      <w:r w:rsidR="009A23EC" w:rsidRPr="002542D5">
        <w:rPr>
          <w:color w:val="77328A"/>
          <w:sz w:val="16"/>
          <w:szCs w:val="16"/>
        </w:rPr>
        <w:t>Directive 97/81/EC</w:t>
      </w:r>
      <w:r w:rsidR="005C08F2" w:rsidRPr="002542D5">
        <w:rPr>
          <w:color w:val="77328A"/>
          <w:sz w:val="16"/>
          <w:szCs w:val="16"/>
        </w:rPr>
        <w:t>, ‘</w:t>
      </w:r>
      <w:r w:rsidR="009A23EC" w:rsidRPr="002542D5">
        <w:rPr>
          <w:color w:val="77328A"/>
          <w:sz w:val="16"/>
          <w:szCs w:val="16"/>
        </w:rPr>
        <w:t>Framework Agreement on part-time working concluded by UNICE, CEEP and the ETUC (trade unions)</w:t>
      </w:r>
      <w:r w:rsidR="005C08F2" w:rsidRPr="002542D5">
        <w:rPr>
          <w:color w:val="77328A"/>
          <w:sz w:val="16"/>
          <w:szCs w:val="16"/>
        </w:rPr>
        <w:t xml:space="preserve">’, </w:t>
      </w:r>
      <w:r w:rsidR="00260924" w:rsidRPr="002542D5">
        <w:rPr>
          <w:color w:val="77328A"/>
          <w:sz w:val="16"/>
          <w:szCs w:val="16"/>
        </w:rPr>
        <w:t xml:space="preserve">15 December 1997. </w:t>
      </w:r>
    </w:p>
  </w:footnote>
  <w:footnote w:id="108">
    <w:p w14:paraId="69CFB308" w14:textId="77777777" w:rsidR="00AF5FDF" w:rsidRPr="002542D5" w:rsidRDefault="00AF5FD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Agency Workers Regulations (Norther Ireland) 2011. </w:t>
      </w:r>
    </w:p>
  </w:footnote>
  <w:footnote w:id="109">
    <w:p w14:paraId="601432D7" w14:textId="7EB0B9E1" w:rsidR="00AF5FDF" w:rsidRPr="002542D5" w:rsidRDefault="00AF5FD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9C7331" w:rsidRPr="002542D5">
        <w:rPr>
          <w:color w:val="77328A"/>
          <w:sz w:val="16"/>
          <w:szCs w:val="16"/>
        </w:rPr>
        <w:t xml:space="preserve">Department for the Economy, ‘The Good Jobs Employment Rights Bill Public Consultation’ (DfE, 2024), at </w:t>
      </w:r>
      <w:r w:rsidRPr="002542D5">
        <w:rPr>
          <w:color w:val="77328A"/>
          <w:sz w:val="16"/>
          <w:szCs w:val="16"/>
        </w:rPr>
        <w:t>39</w:t>
      </w:r>
      <w:r w:rsidR="009C7331" w:rsidRPr="002542D5">
        <w:rPr>
          <w:color w:val="77328A"/>
          <w:sz w:val="16"/>
          <w:szCs w:val="16"/>
        </w:rPr>
        <w:t xml:space="preserve">. </w:t>
      </w:r>
    </w:p>
  </w:footnote>
  <w:footnote w:id="110">
    <w:p w14:paraId="68CF64A3" w14:textId="77777777" w:rsidR="00AF5FDF" w:rsidRPr="002542D5" w:rsidRDefault="00AF5FDF"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5, </w:t>
      </w:r>
      <w:r w:rsidRPr="002542D5">
        <w:rPr>
          <w:rFonts w:cstheme="minorHAnsi"/>
          <w:color w:val="77328A"/>
          <w:sz w:val="16"/>
          <w:szCs w:val="16"/>
        </w:rPr>
        <w:t>Directive 2008/104/EC, ‘EU Parliament and Council Directive on temporary agency work’, 19 November 2008.</w:t>
      </w:r>
    </w:p>
  </w:footnote>
  <w:footnote w:id="111">
    <w:p w14:paraId="633949CB" w14:textId="77777777" w:rsidR="003B409E" w:rsidRPr="002542D5" w:rsidRDefault="003B409E" w:rsidP="002542D5">
      <w:pPr>
        <w:pStyle w:val="FootnoteText"/>
        <w:spacing w:line="240" w:lineRule="auto"/>
        <w:rPr>
          <w:color w:val="77328A"/>
          <w:sz w:val="16"/>
          <w:szCs w:val="16"/>
        </w:rPr>
      </w:pPr>
      <w:r w:rsidRPr="002542D5">
        <w:rPr>
          <w:color w:val="77328A"/>
          <w:sz w:val="16"/>
          <w:szCs w:val="16"/>
          <w:vertAlign w:val="superscript"/>
        </w:rPr>
        <w:footnoteRef/>
      </w:r>
      <w:r w:rsidRPr="002542D5">
        <w:rPr>
          <w:color w:val="77328A"/>
          <w:sz w:val="16"/>
          <w:szCs w:val="16"/>
        </w:rPr>
        <w:t xml:space="preserve"> Article 5, Directive 2008/104/EC, ‘EU Parliament and Council Directive on temporary agency work’, 19 November 2008.</w:t>
      </w:r>
    </w:p>
  </w:footnote>
  <w:footnote w:id="112">
    <w:p w14:paraId="2B8B875B" w14:textId="3828A394" w:rsidR="00D237F0" w:rsidRPr="002542D5" w:rsidRDefault="00D237F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A37CEF" w:rsidRPr="002542D5">
        <w:rPr>
          <w:color w:val="77328A"/>
          <w:sz w:val="16"/>
          <w:szCs w:val="16"/>
        </w:rPr>
        <w:t xml:space="preserve">Department for the Economy, ‘The Good Jobs Employment Rights Bill Public Consultation’ (DfE, 2024), at </w:t>
      </w:r>
      <w:r w:rsidR="009B2A74" w:rsidRPr="002542D5">
        <w:rPr>
          <w:color w:val="77328A"/>
          <w:sz w:val="16"/>
          <w:szCs w:val="16"/>
        </w:rPr>
        <w:t>41</w:t>
      </w:r>
      <w:r w:rsidR="00A37CEF" w:rsidRPr="002542D5">
        <w:rPr>
          <w:color w:val="77328A"/>
          <w:sz w:val="16"/>
          <w:szCs w:val="16"/>
        </w:rPr>
        <w:t xml:space="preserve">. </w:t>
      </w:r>
      <w:r w:rsidR="009B2A74" w:rsidRPr="002542D5">
        <w:rPr>
          <w:color w:val="77328A"/>
          <w:sz w:val="16"/>
          <w:szCs w:val="16"/>
        </w:rPr>
        <w:t xml:space="preserve"> </w:t>
      </w:r>
    </w:p>
  </w:footnote>
  <w:footnote w:id="113">
    <w:p w14:paraId="04EFF467" w14:textId="59534748" w:rsidR="00DC38A5" w:rsidRPr="002542D5" w:rsidRDefault="00DC38A5" w:rsidP="002542D5">
      <w:pPr>
        <w:pStyle w:val="FootnoteText"/>
        <w:spacing w:line="240" w:lineRule="auto"/>
        <w:rPr>
          <w:color w:val="77328A"/>
          <w:sz w:val="16"/>
          <w:szCs w:val="16"/>
        </w:rPr>
      </w:pPr>
      <w:r w:rsidRPr="002542D5">
        <w:rPr>
          <w:rFonts w:cs="Arial"/>
          <w:color w:val="77328A"/>
          <w:sz w:val="16"/>
          <w:szCs w:val="16"/>
          <w:vertAlign w:val="superscript"/>
        </w:rPr>
        <w:footnoteRef/>
      </w:r>
      <w:r w:rsidRPr="002542D5">
        <w:rPr>
          <w:rFonts w:cs="Arial"/>
          <w:color w:val="77328A"/>
          <w:sz w:val="16"/>
          <w:szCs w:val="16"/>
        </w:rPr>
        <w:t xml:space="preserve"> Recital </w:t>
      </w:r>
      <w:r w:rsidR="004E021A" w:rsidRPr="002542D5">
        <w:rPr>
          <w:rFonts w:cs="Arial"/>
          <w:color w:val="77328A"/>
          <w:sz w:val="16"/>
          <w:szCs w:val="16"/>
        </w:rPr>
        <w:t>18</w:t>
      </w:r>
      <w:r w:rsidRPr="002542D5">
        <w:rPr>
          <w:rFonts w:cs="Arial"/>
          <w:color w:val="77328A"/>
          <w:sz w:val="16"/>
          <w:szCs w:val="16"/>
        </w:rPr>
        <w:t>, Directive 2023/970/EU, ‘Directive of the European Parliament and of the Council of the EU to Strengthen the Application of the Principle of Equal Pay for Equal Work or Work of Equal Value between Men and Women through Pay Transparency and Enforcement Mechanisms’, 10 May 2023.</w:t>
      </w:r>
    </w:p>
  </w:footnote>
  <w:footnote w:id="114">
    <w:p w14:paraId="42764B16" w14:textId="79F2E2A1" w:rsidR="00A41694" w:rsidRPr="002542D5" w:rsidRDefault="00A41694" w:rsidP="002542D5">
      <w:pPr>
        <w:pStyle w:val="NIHRCFootnotes"/>
        <w:spacing w:line="240" w:lineRule="auto"/>
      </w:pPr>
      <w:r w:rsidRPr="002542D5">
        <w:rPr>
          <w:rStyle w:val="FootnoteReference"/>
        </w:rPr>
        <w:footnoteRef/>
      </w:r>
      <w:r w:rsidRPr="002542D5">
        <w:t xml:space="preserve"> Article 5, </w:t>
      </w:r>
      <w:r w:rsidR="00685334" w:rsidRPr="002542D5">
        <w:t xml:space="preserve">Directive 2023/970/EU, ‘Directive of the European Parliament and of the </w:t>
      </w:r>
      <w:r w:rsidR="00685334" w:rsidRPr="002542D5">
        <w:rPr>
          <w:rFonts w:cstheme="minorHAnsi"/>
        </w:rPr>
        <w:t>Council of the EU</w:t>
      </w:r>
      <w:r w:rsidR="00685334" w:rsidRPr="002542D5">
        <w:t xml:space="preserve"> to Strengthen the Application of the Principle of Equal Pay for Equal Work or Work of Equal Value between Men and Women through Pay Transparency and Enforcement Mechanisms’, 10 May 2023.</w:t>
      </w:r>
    </w:p>
  </w:footnote>
  <w:footnote w:id="115">
    <w:p w14:paraId="696C4B81" w14:textId="2898571D" w:rsidR="00A41694" w:rsidRPr="002542D5" w:rsidRDefault="00A41694" w:rsidP="002542D5">
      <w:pPr>
        <w:pStyle w:val="NIHRCFootnotes"/>
        <w:spacing w:line="240" w:lineRule="auto"/>
      </w:pPr>
      <w:r w:rsidRPr="002542D5">
        <w:rPr>
          <w:rStyle w:val="FootnoteReference"/>
        </w:rPr>
        <w:footnoteRef/>
      </w:r>
      <w:r w:rsidRPr="002542D5">
        <w:t xml:space="preserve"> Articles 6 and 7, </w:t>
      </w:r>
      <w:r w:rsidR="00685334" w:rsidRPr="002542D5">
        <w:t xml:space="preserve">Directive 2023/970/EU, ‘Directive of the European Parliament and of the </w:t>
      </w:r>
      <w:r w:rsidR="00685334" w:rsidRPr="002542D5">
        <w:rPr>
          <w:rFonts w:cstheme="minorHAnsi"/>
        </w:rPr>
        <w:t>Council of the EU</w:t>
      </w:r>
      <w:r w:rsidR="00685334" w:rsidRPr="002542D5">
        <w:t xml:space="preserve"> to Strengthen the Application of the Principle of Equal Pay for Equal Work or Work of Equal Value between Men and Women through Pay Transparency and Enforcement Mechanisms’, 10 May 2023.</w:t>
      </w:r>
    </w:p>
  </w:footnote>
  <w:footnote w:id="116">
    <w:p w14:paraId="1BA32525" w14:textId="4DC2C9F9" w:rsidR="00770779" w:rsidRPr="002542D5" w:rsidRDefault="00770779" w:rsidP="002542D5">
      <w:pPr>
        <w:pStyle w:val="NIHRCFootnotes"/>
        <w:spacing w:line="240" w:lineRule="auto"/>
      </w:pPr>
      <w:r w:rsidRPr="002542D5">
        <w:rPr>
          <w:rStyle w:val="FootnoteReference"/>
        </w:rPr>
        <w:footnoteRef/>
      </w:r>
      <w:r w:rsidRPr="002542D5">
        <w:t xml:space="preserve"> Article 8, </w:t>
      </w:r>
      <w:r w:rsidR="00685334" w:rsidRPr="002542D5">
        <w:t xml:space="preserve">Directive 2023/970/EU, ‘Directive of the European Parliament and of the </w:t>
      </w:r>
      <w:r w:rsidR="00685334" w:rsidRPr="002542D5">
        <w:rPr>
          <w:rFonts w:cstheme="minorHAnsi"/>
        </w:rPr>
        <w:t>Council of the EU</w:t>
      </w:r>
      <w:r w:rsidR="00685334" w:rsidRPr="002542D5">
        <w:t xml:space="preserve"> to Strengthen the Application of the Principle of Equal Pay for Equal Work or Work of Equal Value between Men and Women through Pay Transparency and Enforcement Mechanisms’, 10 May 2023.</w:t>
      </w:r>
    </w:p>
  </w:footnote>
  <w:footnote w:id="117">
    <w:p w14:paraId="4C9973DF" w14:textId="69580DB7" w:rsidR="00A017C8" w:rsidRPr="002542D5" w:rsidRDefault="00A017C8" w:rsidP="002542D5">
      <w:pPr>
        <w:pStyle w:val="NIHRCFootnotes"/>
        <w:spacing w:line="240" w:lineRule="auto"/>
      </w:pPr>
      <w:r w:rsidRPr="002542D5">
        <w:rPr>
          <w:rStyle w:val="FootnoteReference"/>
        </w:rPr>
        <w:footnoteRef/>
      </w:r>
      <w:r w:rsidRPr="002542D5">
        <w:t xml:space="preserve"> </w:t>
      </w:r>
      <w:r w:rsidR="0068672A" w:rsidRPr="002542D5">
        <w:t xml:space="preserve">Recital 18, </w:t>
      </w:r>
      <w:r w:rsidR="00685334" w:rsidRPr="002542D5">
        <w:t xml:space="preserve">Directive 2023/970/EU, ‘Directive of the European Parliament and of the </w:t>
      </w:r>
      <w:r w:rsidR="00685334" w:rsidRPr="002542D5">
        <w:rPr>
          <w:rFonts w:cstheme="minorHAnsi"/>
        </w:rPr>
        <w:t>Council of the EU</w:t>
      </w:r>
      <w:r w:rsidR="00685334" w:rsidRPr="002542D5">
        <w:t xml:space="preserve"> to Strengthen the Application of the Principle of Equal Pay for Equal Work or Work of Equal Value between Men and Women through Pay Transparency and Enforcement Mechanisms’, 10 May 2023.</w:t>
      </w:r>
    </w:p>
  </w:footnote>
  <w:footnote w:id="118">
    <w:p w14:paraId="245E7DD1" w14:textId="1B71AA64" w:rsidR="00C05479" w:rsidRPr="002542D5" w:rsidRDefault="00C05479" w:rsidP="002542D5">
      <w:pPr>
        <w:spacing w:line="240" w:lineRule="auto"/>
        <w:rPr>
          <w:rFonts w:eastAsiaTheme="minorHAnsi"/>
          <w:color w:val="77328A"/>
          <w:sz w:val="16"/>
          <w:szCs w:val="16"/>
          <w14:ligatures w14:val="standardContextual"/>
        </w:rPr>
      </w:pPr>
      <w:r w:rsidRPr="002542D5">
        <w:rPr>
          <w:rStyle w:val="FootnoteReference"/>
          <w:color w:val="77328A"/>
          <w:sz w:val="16"/>
          <w:szCs w:val="16"/>
        </w:rPr>
        <w:footnoteRef/>
      </w:r>
      <w:r w:rsidRPr="002542D5">
        <w:rPr>
          <w:color w:val="77328A"/>
          <w:sz w:val="16"/>
          <w:szCs w:val="16"/>
        </w:rPr>
        <w:t xml:space="preserve"> </w:t>
      </w:r>
      <w:r w:rsidRPr="002542D5">
        <w:rPr>
          <w:rFonts w:eastAsiaTheme="minorHAnsi"/>
          <w:color w:val="77328A"/>
          <w:sz w:val="16"/>
          <w:szCs w:val="16"/>
          <w14:ligatures w14:val="standardContextual"/>
        </w:rPr>
        <w:t>Article 5, Directive (EU) 2022/2041</w:t>
      </w:r>
      <w:r w:rsidR="002C7E74" w:rsidRPr="002542D5">
        <w:rPr>
          <w:rFonts w:eastAsiaTheme="minorHAnsi"/>
          <w:color w:val="77328A"/>
          <w:sz w:val="16"/>
          <w:szCs w:val="16"/>
          <w14:ligatures w14:val="standardContextual"/>
        </w:rPr>
        <w:t>,</w:t>
      </w:r>
      <w:r w:rsidRPr="002542D5">
        <w:rPr>
          <w:rFonts w:eastAsiaTheme="minorHAnsi"/>
          <w:color w:val="77328A"/>
          <w:sz w:val="16"/>
          <w:szCs w:val="16"/>
          <w14:ligatures w14:val="standardContextual"/>
        </w:rPr>
        <w:t xml:space="preserve"> </w:t>
      </w:r>
      <w:r w:rsidR="002C7E74" w:rsidRPr="002542D5">
        <w:rPr>
          <w:rFonts w:eastAsiaTheme="minorHAnsi"/>
          <w:color w:val="77328A"/>
          <w:sz w:val="16"/>
          <w:szCs w:val="16"/>
          <w14:ligatures w14:val="standardContextual"/>
        </w:rPr>
        <w:t>‘</w:t>
      </w:r>
      <w:r w:rsidRPr="002542D5">
        <w:rPr>
          <w:rFonts w:eastAsiaTheme="minorHAnsi"/>
          <w:color w:val="77328A"/>
          <w:sz w:val="16"/>
          <w:szCs w:val="16"/>
          <w14:ligatures w14:val="standardContextual"/>
        </w:rPr>
        <w:t xml:space="preserve">European Parliament and Council </w:t>
      </w:r>
      <w:r w:rsidR="002C7E74" w:rsidRPr="002542D5">
        <w:rPr>
          <w:rFonts w:eastAsiaTheme="minorHAnsi"/>
          <w:color w:val="77328A"/>
          <w:sz w:val="16"/>
          <w:szCs w:val="16"/>
          <w14:ligatures w14:val="standardContextual"/>
        </w:rPr>
        <w:t>Directive</w:t>
      </w:r>
      <w:r w:rsidRPr="002542D5">
        <w:rPr>
          <w:rFonts w:eastAsiaTheme="minorHAnsi"/>
          <w:color w:val="77328A"/>
          <w:sz w:val="16"/>
          <w:szCs w:val="16"/>
          <w14:ligatures w14:val="standardContextual"/>
        </w:rPr>
        <w:t xml:space="preserve"> on adequate minimum wages in the European Union</w:t>
      </w:r>
      <w:r w:rsidR="002C7E74" w:rsidRPr="002542D5">
        <w:rPr>
          <w:rFonts w:eastAsiaTheme="minorHAnsi"/>
          <w:color w:val="77328A"/>
          <w:sz w:val="16"/>
          <w:szCs w:val="16"/>
          <w14:ligatures w14:val="standardContextual"/>
        </w:rPr>
        <w:t>’,</w:t>
      </w:r>
      <w:r w:rsidR="002C7E74" w:rsidRPr="002542D5">
        <w:rPr>
          <w:color w:val="77328A"/>
          <w:sz w:val="16"/>
          <w:szCs w:val="16"/>
        </w:rPr>
        <w:t xml:space="preserve"> </w:t>
      </w:r>
      <w:r w:rsidR="002C7E74" w:rsidRPr="002542D5">
        <w:rPr>
          <w:rFonts w:eastAsiaTheme="minorHAnsi"/>
          <w:color w:val="77328A"/>
          <w:sz w:val="16"/>
          <w:szCs w:val="16"/>
          <w14:ligatures w14:val="standardContextual"/>
        </w:rPr>
        <w:t xml:space="preserve">19 October 2022. </w:t>
      </w:r>
    </w:p>
  </w:footnote>
  <w:footnote w:id="119">
    <w:p w14:paraId="53A04080" w14:textId="7E43652C" w:rsidR="001A6D16" w:rsidRPr="002542D5" w:rsidRDefault="001A6D16"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Recital 10, </w:t>
      </w:r>
      <w:r w:rsidR="002C7E74" w:rsidRPr="002542D5">
        <w:rPr>
          <w:rFonts w:eastAsiaTheme="minorHAnsi"/>
          <w:color w:val="77328A"/>
          <w:sz w:val="16"/>
          <w:szCs w:val="16"/>
          <w14:ligatures w14:val="standardContextual"/>
        </w:rPr>
        <w:t>Directive (EU) 2022/2041, ‘European Parliament and Council Directive on adequate minimum wages in the European Union’,</w:t>
      </w:r>
      <w:r w:rsidR="002C7E74" w:rsidRPr="002542D5">
        <w:rPr>
          <w:color w:val="77328A"/>
          <w:sz w:val="16"/>
          <w:szCs w:val="16"/>
        </w:rPr>
        <w:t xml:space="preserve"> </w:t>
      </w:r>
      <w:r w:rsidR="002C7E74" w:rsidRPr="002542D5">
        <w:rPr>
          <w:rFonts w:eastAsiaTheme="minorHAnsi"/>
          <w:color w:val="77328A"/>
          <w:sz w:val="16"/>
          <w:szCs w:val="16"/>
          <w14:ligatures w14:val="standardContextual"/>
        </w:rPr>
        <w:t>19 October 2022.</w:t>
      </w:r>
    </w:p>
  </w:footnote>
  <w:footnote w:id="120">
    <w:p w14:paraId="4E593F74" w14:textId="733364FB" w:rsidR="00BC7A80" w:rsidRPr="002542D5" w:rsidRDefault="00BC7A80"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E8361D" w:rsidRPr="002542D5">
        <w:rPr>
          <w:color w:val="77328A"/>
          <w:sz w:val="16"/>
          <w:szCs w:val="16"/>
        </w:rPr>
        <w:t xml:space="preserve">Department for the Economy, ‘The Good Jobs Employment Rights Bill Public Consultation’ (DfE, 2024), at 69. </w:t>
      </w:r>
    </w:p>
  </w:footnote>
  <w:footnote w:id="121">
    <w:p w14:paraId="2B5A5508" w14:textId="2976C28F" w:rsidR="002A507A" w:rsidRPr="002542D5" w:rsidRDefault="002A507A"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2C7E74" w:rsidRPr="002542D5">
        <w:rPr>
          <w:rFonts w:eastAsiaTheme="minorHAnsi"/>
          <w:color w:val="77328A"/>
          <w:sz w:val="16"/>
          <w:szCs w:val="16"/>
          <w14:ligatures w14:val="standardContextual"/>
        </w:rPr>
        <w:t>Directive (EU) 2022/2041, ‘European Parliament and Council Directive on adequate minimum wages in the European Union</w:t>
      </w:r>
      <w:r w:rsidR="00321913" w:rsidRPr="002542D5">
        <w:rPr>
          <w:rFonts w:eastAsiaTheme="minorHAnsi"/>
          <w:color w:val="77328A"/>
          <w:sz w:val="16"/>
          <w:szCs w:val="16"/>
          <w14:ligatures w14:val="standardContextual"/>
        </w:rPr>
        <w:t>,</w:t>
      </w:r>
      <w:r w:rsidR="002C7E74" w:rsidRPr="002542D5">
        <w:rPr>
          <w:rFonts w:eastAsiaTheme="minorHAnsi"/>
          <w:color w:val="77328A"/>
          <w:sz w:val="16"/>
          <w:szCs w:val="16"/>
          <w14:ligatures w14:val="standardContextual"/>
        </w:rPr>
        <w:t>’</w:t>
      </w:r>
      <w:r w:rsidR="00321913" w:rsidRPr="002542D5">
        <w:rPr>
          <w:rFonts w:eastAsiaTheme="minorHAnsi"/>
          <w:color w:val="77328A"/>
          <w:sz w:val="16"/>
          <w:szCs w:val="16"/>
          <w14:ligatures w14:val="standardContextual"/>
        </w:rPr>
        <w:t xml:space="preserve"> </w:t>
      </w:r>
      <w:r w:rsidR="002C7E74" w:rsidRPr="002542D5">
        <w:rPr>
          <w:rFonts w:eastAsiaTheme="minorHAnsi"/>
          <w:color w:val="77328A"/>
          <w:sz w:val="16"/>
          <w:szCs w:val="16"/>
          <w14:ligatures w14:val="standardContextual"/>
        </w:rPr>
        <w:t>19 October 2022.</w:t>
      </w:r>
    </w:p>
  </w:footnote>
  <w:footnote w:id="122">
    <w:p w14:paraId="1CEFA945" w14:textId="56E20042" w:rsidR="00C23ACD" w:rsidRPr="002542D5" w:rsidRDefault="00C23ACD"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4(2), </w:t>
      </w:r>
      <w:r w:rsidR="002C7E74" w:rsidRPr="002542D5">
        <w:rPr>
          <w:rFonts w:eastAsiaTheme="minorHAnsi"/>
          <w:color w:val="77328A"/>
          <w:sz w:val="16"/>
          <w:szCs w:val="16"/>
          <w14:ligatures w14:val="standardContextual"/>
        </w:rPr>
        <w:t>Directive (EU) 2022/2041, ‘European Parliament and Council Directive on adequate minimum wages in the European Union’,</w:t>
      </w:r>
      <w:r w:rsidR="002C7E74" w:rsidRPr="002542D5">
        <w:rPr>
          <w:color w:val="77328A"/>
          <w:sz w:val="16"/>
          <w:szCs w:val="16"/>
        </w:rPr>
        <w:t xml:space="preserve"> </w:t>
      </w:r>
      <w:r w:rsidR="002C7E74" w:rsidRPr="002542D5">
        <w:rPr>
          <w:rFonts w:eastAsiaTheme="minorHAnsi"/>
          <w:color w:val="77328A"/>
          <w:sz w:val="16"/>
          <w:szCs w:val="16"/>
          <w14:ligatures w14:val="standardContextual"/>
        </w:rPr>
        <w:t>19 October 2022</w:t>
      </w:r>
      <w:r w:rsidR="00387482" w:rsidRPr="002542D5">
        <w:rPr>
          <w:rFonts w:cs="Arial"/>
          <w:color w:val="77328A"/>
          <w:sz w:val="16"/>
          <w:szCs w:val="16"/>
        </w:rPr>
        <w:t>.</w:t>
      </w:r>
    </w:p>
  </w:footnote>
  <w:footnote w:id="123">
    <w:p w14:paraId="1ABD4C61" w14:textId="6743FE33" w:rsidR="005F65DB" w:rsidRPr="002542D5" w:rsidRDefault="005F65DB" w:rsidP="002542D5">
      <w:pPr>
        <w:spacing w:line="240" w:lineRule="auto"/>
        <w:rPr>
          <w:rFonts w:eastAsiaTheme="minorHAnsi"/>
          <w:color w:val="77328A"/>
          <w:sz w:val="16"/>
          <w:szCs w:val="16"/>
          <w14:ligatures w14:val="standardContextual"/>
        </w:rPr>
      </w:pPr>
      <w:r w:rsidRPr="002542D5">
        <w:rPr>
          <w:rStyle w:val="FootnoteReference"/>
          <w:color w:val="77328A"/>
          <w:sz w:val="16"/>
          <w:szCs w:val="16"/>
        </w:rPr>
        <w:footnoteRef/>
      </w:r>
      <w:r w:rsidRPr="002542D5">
        <w:rPr>
          <w:color w:val="77328A"/>
          <w:sz w:val="16"/>
          <w:szCs w:val="16"/>
        </w:rPr>
        <w:t xml:space="preserve"> </w:t>
      </w:r>
      <w:r w:rsidRPr="002542D5">
        <w:rPr>
          <w:rFonts w:eastAsiaTheme="minorHAnsi"/>
          <w:color w:val="77328A"/>
          <w:sz w:val="16"/>
          <w:szCs w:val="16"/>
          <w14:ligatures w14:val="standardContextual"/>
        </w:rPr>
        <w:t xml:space="preserve">Paul MacFlynn, </w:t>
      </w:r>
      <w:r w:rsidR="007C328E" w:rsidRPr="002542D5">
        <w:rPr>
          <w:rFonts w:eastAsiaTheme="minorHAnsi"/>
          <w:color w:val="77328A"/>
          <w:sz w:val="16"/>
          <w:szCs w:val="16"/>
          <w14:ligatures w14:val="standardContextual"/>
        </w:rPr>
        <w:t>‘</w:t>
      </w:r>
      <w:r w:rsidRPr="002542D5">
        <w:rPr>
          <w:rFonts w:eastAsiaTheme="minorHAnsi"/>
          <w:color w:val="77328A"/>
          <w:sz w:val="16"/>
          <w:szCs w:val="16"/>
          <w14:ligatures w14:val="standardContextual"/>
        </w:rPr>
        <w:t>The Impact of Collective Bargaining on pay in Northern Ireland</w:t>
      </w:r>
      <w:r w:rsidR="007C328E" w:rsidRPr="002542D5">
        <w:rPr>
          <w:rFonts w:eastAsiaTheme="minorHAnsi"/>
          <w:color w:val="77328A"/>
          <w:sz w:val="16"/>
          <w:szCs w:val="16"/>
          <w14:ligatures w14:val="standardContextual"/>
        </w:rPr>
        <w:t xml:space="preserve"> - </w:t>
      </w:r>
      <w:r w:rsidRPr="002542D5">
        <w:rPr>
          <w:rFonts w:eastAsiaTheme="minorHAnsi"/>
          <w:color w:val="77328A"/>
          <w:sz w:val="16"/>
          <w:szCs w:val="16"/>
          <w14:ligatures w14:val="standardContextual"/>
        </w:rPr>
        <w:t>NERI Working Paper Series No. 66</w:t>
      </w:r>
      <w:r w:rsidR="007C328E" w:rsidRPr="002542D5">
        <w:rPr>
          <w:rFonts w:eastAsiaTheme="minorHAnsi"/>
          <w:color w:val="77328A"/>
          <w:sz w:val="16"/>
          <w:szCs w:val="16"/>
          <w14:ligatures w14:val="standardContextual"/>
        </w:rPr>
        <w:t>’ (2022, NERI)</w:t>
      </w:r>
      <w:r w:rsidRPr="002542D5">
        <w:rPr>
          <w:rFonts w:eastAsiaTheme="minorHAnsi"/>
          <w:color w:val="77328A"/>
          <w:sz w:val="16"/>
          <w:szCs w:val="16"/>
          <w14:ligatures w14:val="standardContextual"/>
        </w:rPr>
        <w:t>,</w:t>
      </w:r>
      <w:r w:rsidR="007C328E" w:rsidRPr="002542D5">
        <w:rPr>
          <w:rFonts w:eastAsiaTheme="minorHAnsi"/>
          <w:color w:val="77328A"/>
          <w:sz w:val="16"/>
          <w:szCs w:val="16"/>
          <w14:ligatures w14:val="standardContextual"/>
        </w:rPr>
        <w:t xml:space="preserve"> at</w:t>
      </w:r>
      <w:r w:rsidRPr="002542D5">
        <w:rPr>
          <w:rFonts w:eastAsiaTheme="minorHAnsi"/>
          <w:color w:val="77328A"/>
          <w:sz w:val="16"/>
          <w:szCs w:val="16"/>
          <w14:ligatures w14:val="standardContextual"/>
        </w:rPr>
        <w:t xml:space="preserve"> 9.</w:t>
      </w:r>
    </w:p>
  </w:footnote>
  <w:footnote w:id="124">
    <w:p w14:paraId="2EC6F70E" w14:textId="354EA745" w:rsidR="002A507A" w:rsidRPr="002542D5" w:rsidRDefault="002A507A" w:rsidP="002542D5">
      <w:pPr>
        <w:pStyle w:val="FootnoteText"/>
        <w:spacing w:line="240" w:lineRule="auto"/>
        <w:rPr>
          <w:rFonts w:cs="Arial"/>
          <w:color w:val="77328A"/>
          <w:sz w:val="16"/>
          <w:szCs w:val="16"/>
        </w:rPr>
      </w:pPr>
      <w:r w:rsidRPr="002542D5">
        <w:rPr>
          <w:rStyle w:val="FootnoteReference"/>
          <w:rFonts w:cs="Arial"/>
          <w:color w:val="77328A"/>
          <w:sz w:val="16"/>
          <w:szCs w:val="16"/>
        </w:rPr>
        <w:footnoteRef/>
      </w:r>
      <w:r w:rsidRPr="002542D5">
        <w:rPr>
          <w:rFonts w:cs="Arial"/>
          <w:color w:val="77328A"/>
          <w:sz w:val="16"/>
          <w:szCs w:val="16"/>
        </w:rPr>
        <w:t xml:space="preserve"> Paul MacFlynn, The Impact of Collective Bargaining on pay in Northern Ireland (2020) NERI Working Paper Series No. 66, 21-22.</w:t>
      </w:r>
    </w:p>
  </w:footnote>
  <w:footnote w:id="125">
    <w:p w14:paraId="3969B68E" w14:textId="2DF78AB9" w:rsidR="005D05AA" w:rsidRPr="002542D5" w:rsidRDefault="005D05AA"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D61AF6" w:rsidRPr="002542D5">
        <w:rPr>
          <w:color w:val="77328A"/>
          <w:sz w:val="16"/>
          <w:szCs w:val="16"/>
        </w:rPr>
        <w:t xml:space="preserve">Department for the Economy, ‘The Good Jobs Employment Rights Bill Public Consultation’ (DfE, 2024), at </w:t>
      </w:r>
      <w:r w:rsidR="004D310D" w:rsidRPr="002542D5">
        <w:rPr>
          <w:color w:val="77328A"/>
          <w:sz w:val="16"/>
          <w:szCs w:val="16"/>
        </w:rPr>
        <w:t xml:space="preserve">94. </w:t>
      </w:r>
    </w:p>
  </w:footnote>
  <w:footnote w:id="126">
    <w:p w14:paraId="1295B548" w14:textId="1F59B2E6" w:rsidR="00CA6BCE" w:rsidRPr="002542D5" w:rsidRDefault="00CA6BCE" w:rsidP="002542D5">
      <w:pPr>
        <w:spacing w:line="240" w:lineRule="auto"/>
        <w:rPr>
          <w:rFonts w:eastAsiaTheme="minorHAnsi"/>
          <w:color w:val="77328A"/>
          <w:sz w:val="16"/>
          <w:szCs w:val="16"/>
          <w14:ligatures w14:val="standardContextual"/>
        </w:rPr>
      </w:pPr>
      <w:r w:rsidRPr="002542D5">
        <w:rPr>
          <w:rStyle w:val="FootnoteReference"/>
          <w:color w:val="77328A"/>
          <w:sz w:val="16"/>
          <w:szCs w:val="16"/>
        </w:rPr>
        <w:footnoteRef/>
      </w:r>
      <w:r w:rsidRPr="002542D5">
        <w:rPr>
          <w:color w:val="77328A"/>
          <w:sz w:val="16"/>
          <w:szCs w:val="16"/>
        </w:rPr>
        <w:t xml:space="preserve"> </w:t>
      </w:r>
      <w:r w:rsidR="000B7393" w:rsidRPr="002542D5">
        <w:rPr>
          <w:rFonts w:cs="Arial"/>
          <w:color w:val="77328A"/>
          <w:sz w:val="16"/>
          <w:szCs w:val="16"/>
        </w:rPr>
        <w:t>Directive 2019/1937/EU, ‘EU Parliament and Council Directive on the protection of persons who report breaches of Union law (Whistleblowing Directive)’, 23 October 2019.</w:t>
      </w:r>
    </w:p>
  </w:footnote>
  <w:footnote w:id="127">
    <w:p w14:paraId="14583F62" w14:textId="0B7B922D" w:rsidR="00CA6BCE" w:rsidRPr="002542D5" w:rsidRDefault="00CA6BCE" w:rsidP="002542D5">
      <w:pPr>
        <w:pStyle w:val="FootnoteText"/>
        <w:spacing w:line="240" w:lineRule="auto"/>
        <w:rPr>
          <w:rFonts w:cs="Arial"/>
          <w:color w:val="77328A"/>
          <w:sz w:val="16"/>
          <w:szCs w:val="16"/>
        </w:rPr>
      </w:pPr>
      <w:r w:rsidRPr="002542D5">
        <w:rPr>
          <w:rStyle w:val="FootnoteReference"/>
          <w:rFonts w:cs="Arial"/>
          <w:color w:val="77328A"/>
          <w:sz w:val="16"/>
          <w:szCs w:val="16"/>
        </w:rPr>
        <w:footnoteRef/>
      </w:r>
      <w:r w:rsidRPr="002542D5">
        <w:rPr>
          <w:rFonts w:cs="Arial"/>
          <w:color w:val="77328A"/>
          <w:sz w:val="16"/>
          <w:szCs w:val="16"/>
        </w:rPr>
        <w:t xml:space="preserve"> Directive 2019/1937</w:t>
      </w:r>
      <w:r w:rsidR="00064E16" w:rsidRPr="002542D5">
        <w:rPr>
          <w:rFonts w:cs="Arial"/>
          <w:color w:val="77328A"/>
          <w:sz w:val="16"/>
          <w:szCs w:val="16"/>
        </w:rPr>
        <w:t>/EU</w:t>
      </w:r>
      <w:r w:rsidR="00E230A1" w:rsidRPr="002542D5">
        <w:rPr>
          <w:rFonts w:cs="Arial"/>
          <w:color w:val="77328A"/>
          <w:sz w:val="16"/>
          <w:szCs w:val="16"/>
        </w:rPr>
        <w:t>,</w:t>
      </w:r>
      <w:r w:rsidRPr="002542D5">
        <w:rPr>
          <w:rFonts w:cs="Arial"/>
          <w:color w:val="77328A"/>
          <w:sz w:val="16"/>
          <w:szCs w:val="16"/>
        </w:rPr>
        <w:t xml:space="preserve"> </w:t>
      </w:r>
      <w:r w:rsidR="00E230A1" w:rsidRPr="002542D5">
        <w:rPr>
          <w:rFonts w:cs="Arial"/>
          <w:color w:val="77328A"/>
          <w:sz w:val="16"/>
          <w:szCs w:val="16"/>
        </w:rPr>
        <w:t>‘</w:t>
      </w:r>
      <w:r w:rsidR="00064E16" w:rsidRPr="002542D5">
        <w:rPr>
          <w:rFonts w:cs="Arial"/>
          <w:color w:val="77328A"/>
          <w:sz w:val="16"/>
          <w:szCs w:val="16"/>
        </w:rPr>
        <w:t xml:space="preserve">EU </w:t>
      </w:r>
      <w:r w:rsidRPr="002542D5">
        <w:rPr>
          <w:rFonts w:cs="Arial"/>
          <w:color w:val="77328A"/>
          <w:sz w:val="16"/>
          <w:szCs w:val="16"/>
        </w:rPr>
        <w:t xml:space="preserve">Parliament and Council </w:t>
      </w:r>
      <w:r w:rsidR="00E230A1" w:rsidRPr="002542D5">
        <w:rPr>
          <w:rFonts w:cs="Arial"/>
          <w:color w:val="77328A"/>
          <w:sz w:val="16"/>
          <w:szCs w:val="16"/>
        </w:rPr>
        <w:t xml:space="preserve">Directive </w:t>
      </w:r>
      <w:r w:rsidRPr="002542D5">
        <w:rPr>
          <w:rFonts w:cs="Arial"/>
          <w:color w:val="77328A"/>
          <w:sz w:val="16"/>
          <w:szCs w:val="16"/>
        </w:rPr>
        <w:t>on the protection of persons who report breaches of Union law (Whistleblowing Directive)</w:t>
      </w:r>
      <w:r w:rsidR="00E230A1" w:rsidRPr="002542D5">
        <w:rPr>
          <w:rFonts w:cs="Arial"/>
          <w:color w:val="77328A"/>
          <w:sz w:val="16"/>
          <w:szCs w:val="16"/>
        </w:rPr>
        <w:t>’</w:t>
      </w:r>
      <w:r w:rsidRPr="002542D5">
        <w:rPr>
          <w:rFonts w:cs="Arial"/>
          <w:color w:val="77328A"/>
          <w:sz w:val="16"/>
          <w:szCs w:val="16"/>
        </w:rPr>
        <w:t xml:space="preserve">, </w:t>
      </w:r>
      <w:r w:rsidR="00E230A1" w:rsidRPr="002542D5">
        <w:rPr>
          <w:rFonts w:cs="Arial"/>
          <w:color w:val="77328A"/>
          <w:sz w:val="16"/>
          <w:szCs w:val="16"/>
        </w:rPr>
        <w:t>23 October 2019.</w:t>
      </w:r>
    </w:p>
  </w:footnote>
  <w:footnote w:id="128">
    <w:p w14:paraId="537D4D97" w14:textId="77777777" w:rsidR="007D1363" w:rsidRPr="002542D5" w:rsidRDefault="007D1363"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2010/18/EU, ‘Council Directive implementing the revised Framework Agreement on parental leave’, 8 March 2010.</w:t>
      </w:r>
    </w:p>
  </w:footnote>
  <w:footnote w:id="129">
    <w:p w14:paraId="09168A40" w14:textId="77777777" w:rsidR="007D1363" w:rsidRPr="002542D5" w:rsidRDefault="007D1363"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92/85/EEC, ‘Council Directive on the Introduction of Measures to Encourage Improvements in the Safety and Health at Work of Pregnant Workers and Workers who have Recently Given Birth or are Breastfeeding’, 19 October 1992.</w:t>
      </w:r>
    </w:p>
  </w:footnote>
  <w:footnote w:id="130">
    <w:p w14:paraId="3A2B0BB8" w14:textId="121BFF22" w:rsidR="00697596" w:rsidRPr="002542D5" w:rsidRDefault="00697596" w:rsidP="002542D5">
      <w:pPr>
        <w:pStyle w:val="FootnoteText"/>
        <w:spacing w:line="240" w:lineRule="auto"/>
        <w:rPr>
          <w:color w:val="77328A"/>
          <w:sz w:val="16"/>
          <w:szCs w:val="16"/>
        </w:rPr>
      </w:pPr>
      <w:r w:rsidRPr="002542D5">
        <w:rPr>
          <w:rFonts w:cs="Calibri"/>
          <w:color w:val="77328A"/>
          <w:sz w:val="16"/>
          <w:szCs w:val="16"/>
          <w:vertAlign w:val="superscript"/>
        </w:rPr>
        <w:footnoteRef/>
      </w:r>
      <w:r w:rsidRPr="002542D5">
        <w:rPr>
          <w:color w:val="77328A"/>
          <w:sz w:val="16"/>
          <w:szCs w:val="16"/>
        </w:rPr>
        <w:t xml:space="preserve"> </w:t>
      </w:r>
      <w:r w:rsidR="001E6BDA" w:rsidRPr="002542D5">
        <w:rPr>
          <w:rFonts w:cs="Calibri"/>
          <w:color w:val="77328A"/>
          <w:sz w:val="16"/>
          <w:szCs w:val="16"/>
        </w:rPr>
        <w:t>NI Office, ‘UK Government Commitment to “No Diminution of Rights, Safeguards and Equality of Opportunity” in Northern Ireland: What does it Mean and How will it be Implemented?’ (NIO, 2020), at para 13.</w:t>
      </w:r>
    </w:p>
  </w:footnote>
  <w:footnote w:id="131">
    <w:p w14:paraId="753C5430" w14:textId="3E77B754" w:rsidR="00C40D77" w:rsidRPr="002542D5" w:rsidRDefault="00C40D77" w:rsidP="002542D5">
      <w:pPr>
        <w:pStyle w:val="FootnoteText"/>
        <w:spacing w:line="240" w:lineRule="auto"/>
        <w:rPr>
          <w:color w:val="77328A"/>
          <w:sz w:val="16"/>
          <w:szCs w:val="16"/>
        </w:rPr>
      </w:pPr>
      <w:r w:rsidRPr="002542D5">
        <w:rPr>
          <w:rFonts w:cstheme="minorHAnsi"/>
          <w:color w:val="77328A"/>
          <w:sz w:val="16"/>
          <w:szCs w:val="16"/>
          <w:vertAlign w:val="superscript"/>
        </w:rPr>
        <w:footnoteRef/>
      </w:r>
      <w:r w:rsidRPr="002542D5">
        <w:rPr>
          <w:color w:val="77328A"/>
          <w:sz w:val="16"/>
          <w:szCs w:val="16"/>
        </w:rPr>
        <w:t xml:space="preserve"> </w:t>
      </w:r>
      <w:r w:rsidRPr="002542D5">
        <w:rPr>
          <w:rFonts w:cstheme="minorHAnsi"/>
          <w:color w:val="77328A"/>
          <w:sz w:val="16"/>
          <w:szCs w:val="16"/>
        </w:rPr>
        <w:t>NI Human Rights Commission and Equality Commission for NI, ‘Working Paper: The Scope of Article 2(1) of the Ireland/ Northern Ireland Protocol’ (NIHRC and ECNI, 2022).</w:t>
      </w:r>
    </w:p>
  </w:footnote>
  <w:footnote w:id="132">
    <w:p w14:paraId="47F672DC" w14:textId="50C715DF" w:rsidR="00217E83" w:rsidRPr="002542D5" w:rsidRDefault="00217E83"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1, </w:t>
      </w:r>
      <w:r w:rsidRPr="002542D5">
        <w:rPr>
          <w:rFonts w:cstheme="minorHAnsi"/>
          <w:color w:val="77328A"/>
          <w:sz w:val="16"/>
          <w:szCs w:val="16"/>
        </w:rPr>
        <w:t>Directive 92/85/EEC, ‘Council Directive on the Introduction of Measures to Encourage Improvements in the Safety and Health at Work of Pregnant Workers and Workers who have Recently Given Birth or are Breastfeeding’, 19 October 1992.</w:t>
      </w:r>
    </w:p>
  </w:footnote>
  <w:footnote w:id="133">
    <w:p w14:paraId="2C74658F" w14:textId="32F8182E" w:rsidR="00BF5AA7" w:rsidRPr="002542D5" w:rsidRDefault="00BF5AA7"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5, </w:t>
      </w:r>
      <w:r w:rsidRPr="002542D5">
        <w:rPr>
          <w:rFonts w:cstheme="minorHAnsi"/>
          <w:color w:val="77328A"/>
          <w:sz w:val="16"/>
          <w:szCs w:val="16"/>
        </w:rPr>
        <w:t>Directive 92/85/EEC, ‘Council Directive on the Introduction of Measures to Encourage Improvements in the Safety and Health at Work of Pregnant Workers and Workers who have Recently Given Birth or are Breastfeeding’, 19 October 1992.</w:t>
      </w:r>
    </w:p>
  </w:footnote>
  <w:footnote w:id="134">
    <w:p w14:paraId="579A9384" w14:textId="41D62E7B" w:rsidR="008667DB" w:rsidRPr="002542D5" w:rsidRDefault="008667DB" w:rsidP="002542D5">
      <w:pPr>
        <w:pStyle w:val="FootnoteText"/>
        <w:spacing w:line="240" w:lineRule="auto"/>
        <w:rPr>
          <w:b/>
          <w:bCs/>
          <w:color w:val="77328A"/>
          <w:sz w:val="16"/>
          <w:szCs w:val="16"/>
        </w:rPr>
      </w:pPr>
      <w:r w:rsidRPr="002542D5">
        <w:rPr>
          <w:rStyle w:val="FootnoteReference"/>
          <w:color w:val="77328A"/>
          <w:sz w:val="16"/>
          <w:szCs w:val="16"/>
        </w:rPr>
        <w:footnoteRef/>
      </w:r>
      <w:r w:rsidRPr="002542D5">
        <w:rPr>
          <w:color w:val="77328A"/>
          <w:sz w:val="16"/>
          <w:szCs w:val="16"/>
        </w:rPr>
        <w:t xml:space="preserve"> Article 8, </w:t>
      </w:r>
      <w:r w:rsidRPr="002542D5">
        <w:rPr>
          <w:rFonts w:cstheme="minorHAnsi"/>
          <w:color w:val="77328A"/>
          <w:sz w:val="16"/>
          <w:szCs w:val="16"/>
        </w:rPr>
        <w:t>Directive 92/85/EEC, ‘Council Directive on the Introduction of Measures to Encourage Improvements in the Safety and Health at Work of Pregnant Workers and Workers who have Recently Given Birth or are Breastfeeding’, 19 October 1992.</w:t>
      </w:r>
    </w:p>
  </w:footnote>
  <w:footnote w:id="135">
    <w:p w14:paraId="1B7FF3D4" w14:textId="107F0125" w:rsidR="00303F7B" w:rsidRPr="002542D5" w:rsidRDefault="00303F7B"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9, </w:t>
      </w:r>
      <w:r w:rsidRPr="002542D5">
        <w:rPr>
          <w:rFonts w:cstheme="minorHAnsi"/>
          <w:color w:val="77328A"/>
          <w:sz w:val="16"/>
          <w:szCs w:val="16"/>
        </w:rPr>
        <w:t>Directive 92/85/EEC, ‘Council Directive on the Introduction of Measures to Encourage Improvements in the Safety and Health at Work of Pregnant Workers and Workers who have Recently Given Birth or are Breastfeeding’, 19 October 1992.</w:t>
      </w:r>
    </w:p>
  </w:footnote>
  <w:footnote w:id="136">
    <w:p w14:paraId="01D9429E" w14:textId="1FACBE6D" w:rsidR="00D3398A" w:rsidRPr="002542D5" w:rsidRDefault="00D3398A"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10, </w:t>
      </w:r>
      <w:r w:rsidRPr="002542D5">
        <w:rPr>
          <w:rFonts w:cstheme="minorHAnsi"/>
          <w:color w:val="77328A"/>
          <w:sz w:val="16"/>
          <w:szCs w:val="16"/>
        </w:rPr>
        <w:t>Directive 92/85/EEC, ‘Council Directive on the Introduction of Measures to Encourage Improvements in the Safety and Health at Work of Pregnant Workers and Workers who have Recently Given Birth or are Breastfeeding’, 19 October 1992.</w:t>
      </w:r>
    </w:p>
  </w:footnote>
  <w:footnote w:id="137">
    <w:p w14:paraId="385F68F0" w14:textId="7E5B7966" w:rsidR="008225EF" w:rsidRPr="002542D5" w:rsidRDefault="008225EF" w:rsidP="002542D5">
      <w:pPr>
        <w:pStyle w:val="FootnoteText"/>
        <w:spacing w:line="240" w:lineRule="auto"/>
        <w:rPr>
          <w:color w:val="77328A"/>
          <w:sz w:val="16"/>
          <w:szCs w:val="16"/>
        </w:rPr>
      </w:pPr>
      <w:r w:rsidRPr="002542D5">
        <w:rPr>
          <w:rFonts w:cstheme="minorHAnsi"/>
          <w:color w:val="77328A"/>
          <w:sz w:val="16"/>
          <w:szCs w:val="16"/>
          <w:vertAlign w:val="superscript"/>
        </w:rPr>
        <w:footnoteRef/>
      </w:r>
      <w:r w:rsidRPr="002542D5">
        <w:rPr>
          <w:color w:val="77328A"/>
          <w:sz w:val="16"/>
          <w:szCs w:val="16"/>
        </w:rPr>
        <w:t xml:space="preserve"> </w:t>
      </w:r>
      <w:r w:rsidR="00E24A87" w:rsidRPr="002542D5">
        <w:rPr>
          <w:color w:val="77328A"/>
          <w:sz w:val="16"/>
          <w:szCs w:val="16"/>
        </w:rPr>
        <w:t>Department for the Economy, ‘The Good Jobs Employment Rights Bill Public Consultation’ (DfE, 2024), at 1</w:t>
      </w:r>
      <w:r w:rsidR="0061710B" w:rsidRPr="002542D5">
        <w:rPr>
          <w:color w:val="77328A"/>
          <w:sz w:val="16"/>
          <w:szCs w:val="16"/>
        </w:rPr>
        <w:t xml:space="preserve">36. </w:t>
      </w:r>
    </w:p>
  </w:footnote>
  <w:footnote w:id="138">
    <w:p w14:paraId="21460B09" w14:textId="77777777" w:rsidR="004E7F9E" w:rsidRPr="002542D5" w:rsidRDefault="004E7F9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1, </w:t>
      </w:r>
      <w:r w:rsidRPr="002542D5">
        <w:rPr>
          <w:rFonts w:cstheme="minorHAnsi"/>
          <w:color w:val="77328A"/>
          <w:sz w:val="16"/>
          <w:szCs w:val="16"/>
        </w:rPr>
        <w:t>Directive 2010/18/EU, ‘Council Directive implementing the revised Framework Agreement on parental leave concluded by BUSINESSEUROPE, UEAPME, CEEP and ETUC and repealing Directive 96/34/EC’, 8 March 2010.</w:t>
      </w:r>
    </w:p>
  </w:footnote>
  <w:footnote w:id="139">
    <w:p w14:paraId="17220C46" w14:textId="77777777" w:rsidR="004E7F9E" w:rsidRPr="002542D5" w:rsidRDefault="004E7F9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1, </w:t>
      </w:r>
      <w:r w:rsidRPr="002542D5">
        <w:rPr>
          <w:rFonts w:cstheme="minorHAnsi"/>
          <w:color w:val="77328A"/>
          <w:sz w:val="16"/>
          <w:szCs w:val="16"/>
        </w:rPr>
        <w:t>Directive 2010/18/EU, ‘Council Directive implementing the revised Framework Agreement on parental leave concluded by BUSINESSEUROPE, UEAPME, CEEP and ETUC and repealing Directive 96/34/EC’, 8 March 2010.</w:t>
      </w:r>
    </w:p>
  </w:footnote>
  <w:footnote w:id="140">
    <w:p w14:paraId="103D8F28" w14:textId="77777777" w:rsidR="004E7F9E" w:rsidRPr="002542D5" w:rsidRDefault="004E7F9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2, </w:t>
      </w:r>
      <w:r w:rsidRPr="002542D5">
        <w:rPr>
          <w:rFonts w:cstheme="minorHAnsi"/>
          <w:color w:val="77328A"/>
          <w:sz w:val="16"/>
          <w:szCs w:val="16"/>
        </w:rPr>
        <w:t>Directive 2010/18/EU, ‘Council Directive implementing the revised Framework Agreement on parental leave concluded by BUSINESSEUROPE, UEAPME, CEEP and ETUC and repealing Directive 96/34/EC’, 8 March 2010.</w:t>
      </w:r>
    </w:p>
  </w:footnote>
  <w:footnote w:id="141">
    <w:p w14:paraId="20F85D1F" w14:textId="17F58937" w:rsidR="000A018A" w:rsidRPr="002542D5" w:rsidRDefault="000A018A" w:rsidP="002542D5">
      <w:pPr>
        <w:pStyle w:val="FootnoteText"/>
        <w:spacing w:line="240" w:lineRule="auto"/>
        <w:rPr>
          <w:color w:val="77328A"/>
          <w:sz w:val="16"/>
          <w:szCs w:val="16"/>
        </w:rPr>
      </w:pPr>
      <w:r w:rsidRPr="002542D5">
        <w:rPr>
          <w:color w:val="77328A"/>
          <w:sz w:val="16"/>
          <w:szCs w:val="16"/>
        </w:rPr>
        <w:footnoteRef/>
      </w:r>
      <w:r w:rsidRPr="002542D5">
        <w:rPr>
          <w:color w:val="77328A"/>
          <w:sz w:val="16"/>
          <w:szCs w:val="16"/>
        </w:rPr>
        <w:t xml:space="preserve"> Clause 5, </w:t>
      </w:r>
      <w:r w:rsidRPr="002542D5">
        <w:rPr>
          <w:rFonts w:cstheme="minorHAnsi"/>
          <w:color w:val="77328A"/>
          <w:sz w:val="16"/>
          <w:szCs w:val="16"/>
        </w:rPr>
        <w:t>Directive 2010/18/EU, ‘Council Directive implementing the revised Framework Agreement on parental leave concluded by BUSINESSEUROPE, UEAPME, CEEP and ETUC and repealing Directive 96/34/EC’, 8 March 2010.</w:t>
      </w:r>
    </w:p>
  </w:footnote>
  <w:footnote w:id="142">
    <w:p w14:paraId="24A9AE13" w14:textId="77777777" w:rsidR="004E7F9E" w:rsidRPr="002542D5" w:rsidRDefault="004E7F9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5, </w:t>
      </w:r>
      <w:r w:rsidRPr="002542D5">
        <w:rPr>
          <w:rFonts w:cstheme="minorHAnsi"/>
          <w:color w:val="77328A"/>
          <w:sz w:val="16"/>
          <w:szCs w:val="16"/>
        </w:rPr>
        <w:t>Directive 2010/18/EU, ‘Council Directive implementing the revised Framework Agreement on parental leave concluded by BUSINESSEUROPE, UEAPME, CEEP and ETUC and repealing Directive 96/34/EC’, 8 March 2010.</w:t>
      </w:r>
    </w:p>
  </w:footnote>
  <w:footnote w:id="143">
    <w:p w14:paraId="1C87DFC1" w14:textId="77777777" w:rsidR="004E7F9E" w:rsidRPr="002542D5" w:rsidRDefault="004E7F9E"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Clause 6, </w:t>
      </w:r>
      <w:r w:rsidRPr="002542D5">
        <w:rPr>
          <w:rFonts w:cstheme="minorHAnsi"/>
          <w:color w:val="77328A"/>
          <w:sz w:val="16"/>
          <w:szCs w:val="16"/>
        </w:rPr>
        <w:t>Directive 2010/18/EU, ‘Council Directive implementing the revised Framework Agreement on parental leave concluded by BUSINESSEUROPE, UEAPME, CEEP and ETUC and repealing Directive 96/34/EC’, 8 March 2010.</w:t>
      </w:r>
    </w:p>
  </w:footnote>
  <w:footnote w:id="144">
    <w:p w14:paraId="0B2E241F" w14:textId="77777777" w:rsidR="00FD3E7D" w:rsidRPr="002542D5" w:rsidRDefault="00FD3E7D"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Department for the Economy, ‘The Good Jobs Employment Rights Bill Public Consultation’ (DfE, 2024), at 110.</w:t>
      </w:r>
    </w:p>
  </w:footnote>
  <w:footnote w:id="145">
    <w:p w14:paraId="0A402859" w14:textId="699D1AD1" w:rsidR="002C6398" w:rsidRPr="002542D5" w:rsidRDefault="002C6398" w:rsidP="002542D5">
      <w:pPr>
        <w:pStyle w:val="FootnoteText"/>
        <w:spacing w:line="240" w:lineRule="auto"/>
        <w:rPr>
          <w:color w:val="77328A"/>
          <w:sz w:val="16"/>
          <w:szCs w:val="16"/>
        </w:rPr>
      </w:pPr>
      <w:r w:rsidRPr="002542D5">
        <w:rPr>
          <w:rFonts w:cs="Calibri"/>
          <w:color w:val="77328A"/>
          <w:sz w:val="16"/>
          <w:szCs w:val="16"/>
        </w:rPr>
        <w:footnoteRef/>
      </w:r>
      <w:r w:rsidR="00A51F05" w:rsidRPr="002542D5">
        <w:rPr>
          <w:rFonts w:cs="Calibri"/>
          <w:color w:val="77328A"/>
          <w:sz w:val="16"/>
          <w:szCs w:val="16"/>
        </w:rPr>
        <w:t xml:space="preserve"> </w:t>
      </w:r>
      <w:r w:rsidR="001E6BDA" w:rsidRPr="002542D5">
        <w:rPr>
          <w:rFonts w:cs="Calibri"/>
          <w:color w:val="77328A"/>
          <w:sz w:val="16"/>
          <w:szCs w:val="16"/>
        </w:rPr>
        <w:t>NI Office, ‘UK Government Commitment to “No Diminution of Rights, Safeguards and Equality of Opportunity” in Northern Ireland: What does it Mean and How will it be Implemented?’ (NIO, 2020), at para 13.</w:t>
      </w:r>
    </w:p>
  </w:footnote>
  <w:footnote w:id="146">
    <w:p w14:paraId="5CAD361F" w14:textId="77777777" w:rsidR="006514F7" w:rsidRPr="002542D5" w:rsidRDefault="006514F7"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2019/1158/EU ‘EU Parliament and Council Directive on work-life balance for parents and carers’, 20 June 2019.</w:t>
      </w:r>
    </w:p>
  </w:footnote>
  <w:footnote w:id="147">
    <w:p w14:paraId="7C021BAC" w14:textId="77777777" w:rsidR="006514F7" w:rsidRPr="002542D5" w:rsidRDefault="006514F7"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2019/1158/EU ‘EU Parliament and Council Directive on work-life balance for parents and carers’, 20 June 2019.</w:t>
      </w:r>
    </w:p>
  </w:footnote>
  <w:footnote w:id="148">
    <w:p w14:paraId="77ECA292" w14:textId="77777777" w:rsidR="006514F7" w:rsidRPr="002542D5" w:rsidRDefault="006514F7"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2010/18/EU, ‘Council Directive implementing the revised Framework Agreement on parental leave concluded by BUSINESSEUROPE, UEAPME, CEEP and ETUC and repealing Directive 96/34/EC’, 8 March 2010.</w:t>
      </w:r>
    </w:p>
  </w:footnote>
  <w:footnote w:id="149">
    <w:p w14:paraId="5EBB0933" w14:textId="77777777" w:rsidR="006514F7" w:rsidRPr="002542D5" w:rsidRDefault="006514F7"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2019/1158/EU ‘EU Parliament and Council Directive on work-life balance for parents and carers’, 20 June 2019.</w:t>
      </w:r>
    </w:p>
  </w:footnote>
  <w:footnote w:id="150">
    <w:p w14:paraId="485CD4AD" w14:textId="77777777" w:rsidR="006514F7" w:rsidRPr="002542D5" w:rsidRDefault="006514F7"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Directive 2010/18/EU, ‘Council Directive implementing the revised Framework Agreement on parental leave concluded by BUSINESSEUROPE, UEAPME, CEEP and ETUC and repealing Directive 96/34/EC’, 8 March 2010.</w:t>
      </w:r>
    </w:p>
  </w:footnote>
  <w:footnote w:id="151">
    <w:p w14:paraId="535BF971" w14:textId="45A26E0E" w:rsidR="009901C7" w:rsidRPr="002542D5" w:rsidRDefault="009901C7"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5(2), </w:t>
      </w:r>
      <w:r w:rsidR="00173BC6" w:rsidRPr="002542D5">
        <w:rPr>
          <w:rFonts w:cstheme="minorHAnsi"/>
          <w:color w:val="77328A"/>
          <w:sz w:val="16"/>
          <w:szCs w:val="16"/>
        </w:rPr>
        <w:t>Directive 2019/1158/EU ‘EU Parliament and Council Directive on work-life balance for parents and carers’, 20 June 2019.</w:t>
      </w:r>
    </w:p>
  </w:footnote>
  <w:footnote w:id="152">
    <w:p w14:paraId="74EA4B26" w14:textId="22E93C6B" w:rsidR="00E24A87" w:rsidRPr="002542D5" w:rsidRDefault="00E24A87"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9E3660" w:rsidRPr="002542D5">
        <w:rPr>
          <w:color w:val="77328A"/>
          <w:sz w:val="16"/>
          <w:szCs w:val="16"/>
        </w:rPr>
        <w:t>Department for the Economy, ‘The Good Jobs Employment Rights Bill Public Consultation’ (DfE, 2024), at 136.</w:t>
      </w:r>
    </w:p>
  </w:footnote>
  <w:footnote w:id="153">
    <w:p w14:paraId="4DEBBE69" w14:textId="455AB774" w:rsidR="009901C7" w:rsidRPr="002542D5" w:rsidRDefault="009901C7"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5(2), </w:t>
      </w:r>
      <w:r w:rsidR="00731280" w:rsidRPr="002542D5">
        <w:rPr>
          <w:rFonts w:cstheme="minorHAnsi"/>
          <w:color w:val="77328A"/>
          <w:sz w:val="16"/>
          <w:szCs w:val="16"/>
        </w:rPr>
        <w:t>Directive 2019/1158/EU ‘EU Parliament and Council Directive on work-life balance for parents and carers’, 20 June 2019.</w:t>
      </w:r>
    </w:p>
  </w:footnote>
  <w:footnote w:id="154">
    <w:p w14:paraId="1847FE17" w14:textId="669DFFDD" w:rsidR="00E65671" w:rsidRPr="002542D5" w:rsidRDefault="00E65671"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w:t>
      </w:r>
      <w:r w:rsidR="00A8597C" w:rsidRPr="002542D5">
        <w:rPr>
          <w:color w:val="77328A"/>
          <w:sz w:val="16"/>
          <w:szCs w:val="16"/>
        </w:rPr>
        <w:t xml:space="preserve">5(8), </w:t>
      </w:r>
      <w:r w:rsidR="00731280" w:rsidRPr="002542D5">
        <w:rPr>
          <w:rFonts w:cstheme="minorHAnsi"/>
          <w:color w:val="77328A"/>
          <w:sz w:val="16"/>
          <w:szCs w:val="16"/>
        </w:rPr>
        <w:t>Directive 2019/1158/EU ‘EU Parliament and Council Directive on work-life balance for parents and carers’, 20 June 2019.</w:t>
      </w:r>
    </w:p>
  </w:footnote>
  <w:footnote w:id="155">
    <w:p w14:paraId="39A9EA1B" w14:textId="14A4E8C1" w:rsidR="00726488" w:rsidRPr="002542D5" w:rsidRDefault="00726488"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0A4B2C" w:rsidRPr="002542D5">
        <w:rPr>
          <w:color w:val="77328A"/>
          <w:sz w:val="16"/>
          <w:szCs w:val="16"/>
        </w:rPr>
        <w:t xml:space="preserve">Article 6, </w:t>
      </w:r>
      <w:r w:rsidR="000A4B2C" w:rsidRPr="002542D5">
        <w:rPr>
          <w:rFonts w:cstheme="minorHAnsi"/>
          <w:color w:val="77328A"/>
          <w:sz w:val="16"/>
          <w:szCs w:val="16"/>
        </w:rPr>
        <w:t>Directive 2019/1158/EU ‘EU Parliament and Council Directive on work-life balance for parents and carers’, 20 June 2019.</w:t>
      </w:r>
    </w:p>
  </w:footnote>
  <w:footnote w:id="156">
    <w:p w14:paraId="679C6C1B" w14:textId="07280109" w:rsidR="00726488" w:rsidRPr="002542D5" w:rsidRDefault="00726488"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w:t>
      </w:r>
      <w:r w:rsidR="00255D03" w:rsidRPr="002542D5">
        <w:rPr>
          <w:color w:val="77328A"/>
          <w:sz w:val="16"/>
          <w:szCs w:val="16"/>
        </w:rPr>
        <w:t xml:space="preserve">Department for the Economy, ‘The Good Jobs Employment Rights Bill Public Consultation’ (DfE, 2024), at </w:t>
      </w:r>
      <w:r w:rsidR="001E73B7" w:rsidRPr="002542D5">
        <w:rPr>
          <w:color w:val="77328A"/>
          <w:sz w:val="16"/>
          <w:szCs w:val="16"/>
        </w:rPr>
        <w:t xml:space="preserve">106. </w:t>
      </w:r>
    </w:p>
  </w:footnote>
  <w:footnote w:id="157">
    <w:p w14:paraId="44CBEDFC" w14:textId="3587078B" w:rsidR="001B4C7A" w:rsidRPr="002542D5" w:rsidRDefault="001B4C7A" w:rsidP="002542D5">
      <w:pPr>
        <w:pStyle w:val="FootnoteText"/>
        <w:spacing w:line="240" w:lineRule="auto"/>
        <w:rPr>
          <w:color w:val="77328A"/>
          <w:sz w:val="16"/>
          <w:szCs w:val="16"/>
        </w:rPr>
      </w:pPr>
      <w:r w:rsidRPr="002542D5">
        <w:rPr>
          <w:rStyle w:val="FootnoteReference"/>
          <w:color w:val="77328A"/>
          <w:sz w:val="16"/>
          <w:szCs w:val="16"/>
        </w:rPr>
        <w:footnoteRef/>
      </w:r>
      <w:r w:rsidRPr="002542D5">
        <w:rPr>
          <w:color w:val="77328A"/>
          <w:sz w:val="16"/>
          <w:szCs w:val="16"/>
        </w:rPr>
        <w:t xml:space="preserve"> Article 9, </w:t>
      </w:r>
      <w:r w:rsidR="000A4B2C" w:rsidRPr="002542D5">
        <w:rPr>
          <w:rFonts w:cstheme="minorHAnsi"/>
          <w:color w:val="77328A"/>
          <w:sz w:val="16"/>
          <w:szCs w:val="16"/>
        </w:rPr>
        <w:t>Directive 2019/1158/EU ‘EU Parliament and Council Directive on work-life balance for parents and carers’, 20 June 2019.</w:t>
      </w:r>
    </w:p>
  </w:footnote>
  <w:footnote w:id="158">
    <w:p w14:paraId="0045827B" w14:textId="77777777" w:rsidR="00895FD7" w:rsidRPr="001271B1" w:rsidRDefault="00895FD7" w:rsidP="002542D5">
      <w:pPr>
        <w:pStyle w:val="FootnoteText"/>
        <w:spacing w:line="240" w:lineRule="auto"/>
        <w:rPr>
          <w:rFonts w:cstheme="minorHAnsi"/>
          <w:color w:val="77328A"/>
          <w:sz w:val="16"/>
          <w:szCs w:val="16"/>
        </w:rPr>
      </w:pPr>
      <w:r w:rsidRPr="002542D5">
        <w:rPr>
          <w:rStyle w:val="FootnoteReference"/>
          <w:rFonts w:cstheme="minorHAnsi"/>
          <w:color w:val="77328A"/>
          <w:sz w:val="16"/>
          <w:szCs w:val="16"/>
        </w:rPr>
        <w:footnoteRef/>
      </w:r>
      <w:r w:rsidRPr="002542D5">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w:t>
      </w:r>
      <w:r w:rsidRPr="00337BA2">
        <w:rPr>
          <w:rFonts w:cstheme="minorHAnsi"/>
          <w:color w:val="77328A"/>
          <w:sz w:val="16"/>
          <w:szCs w:val="16"/>
        </w:rPr>
        <w:t>C and IHREC, 2023), at</w:t>
      </w:r>
      <w:r w:rsidRPr="001271B1">
        <w:rPr>
          <w:rFonts w:cstheme="minorHAnsi"/>
          <w:color w:val="77328A"/>
          <w:sz w:val="16"/>
          <w:szCs w:val="16"/>
        </w:rPr>
        <w:t xml:space="preserve"> 40-42.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0F60"/>
    <w:multiLevelType w:val="hybridMultilevel"/>
    <w:tmpl w:val="CD5A9BA8"/>
    <w:lvl w:ilvl="0" w:tplc="08090001">
      <w:start w:val="1"/>
      <w:numFmt w:val="bullet"/>
      <w:lvlText w:val=""/>
      <w:lvlJc w:val="left"/>
      <w:pPr>
        <w:ind w:left="1946" w:hanging="360"/>
      </w:pPr>
      <w:rPr>
        <w:rFonts w:ascii="Symbol" w:hAnsi="Symbol" w:hint="default"/>
      </w:rPr>
    </w:lvl>
    <w:lvl w:ilvl="1" w:tplc="08090003" w:tentative="1">
      <w:start w:val="1"/>
      <w:numFmt w:val="bullet"/>
      <w:lvlText w:val="o"/>
      <w:lvlJc w:val="left"/>
      <w:pPr>
        <w:ind w:left="2666" w:hanging="360"/>
      </w:pPr>
      <w:rPr>
        <w:rFonts w:ascii="Courier New" w:hAnsi="Courier New" w:cs="Courier New" w:hint="default"/>
      </w:rPr>
    </w:lvl>
    <w:lvl w:ilvl="2" w:tplc="08090005" w:tentative="1">
      <w:start w:val="1"/>
      <w:numFmt w:val="bullet"/>
      <w:lvlText w:val=""/>
      <w:lvlJc w:val="left"/>
      <w:pPr>
        <w:ind w:left="3386" w:hanging="360"/>
      </w:pPr>
      <w:rPr>
        <w:rFonts w:ascii="Wingdings" w:hAnsi="Wingdings" w:hint="default"/>
      </w:rPr>
    </w:lvl>
    <w:lvl w:ilvl="3" w:tplc="08090001" w:tentative="1">
      <w:start w:val="1"/>
      <w:numFmt w:val="bullet"/>
      <w:lvlText w:val=""/>
      <w:lvlJc w:val="left"/>
      <w:pPr>
        <w:ind w:left="4106" w:hanging="360"/>
      </w:pPr>
      <w:rPr>
        <w:rFonts w:ascii="Symbol" w:hAnsi="Symbol" w:hint="default"/>
      </w:rPr>
    </w:lvl>
    <w:lvl w:ilvl="4" w:tplc="08090003" w:tentative="1">
      <w:start w:val="1"/>
      <w:numFmt w:val="bullet"/>
      <w:lvlText w:val="o"/>
      <w:lvlJc w:val="left"/>
      <w:pPr>
        <w:ind w:left="4826" w:hanging="360"/>
      </w:pPr>
      <w:rPr>
        <w:rFonts w:ascii="Courier New" w:hAnsi="Courier New" w:cs="Courier New" w:hint="default"/>
      </w:rPr>
    </w:lvl>
    <w:lvl w:ilvl="5" w:tplc="08090005" w:tentative="1">
      <w:start w:val="1"/>
      <w:numFmt w:val="bullet"/>
      <w:lvlText w:val=""/>
      <w:lvlJc w:val="left"/>
      <w:pPr>
        <w:ind w:left="5546" w:hanging="360"/>
      </w:pPr>
      <w:rPr>
        <w:rFonts w:ascii="Wingdings" w:hAnsi="Wingdings" w:hint="default"/>
      </w:rPr>
    </w:lvl>
    <w:lvl w:ilvl="6" w:tplc="08090001" w:tentative="1">
      <w:start w:val="1"/>
      <w:numFmt w:val="bullet"/>
      <w:lvlText w:val=""/>
      <w:lvlJc w:val="left"/>
      <w:pPr>
        <w:ind w:left="6266" w:hanging="360"/>
      </w:pPr>
      <w:rPr>
        <w:rFonts w:ascii="Symbol" w:hAnsi="Symbol" w:hint="default"/>
      </w:rPr>
    </w:lvl>
    <w:lvl w:ilvl="7" w:tplc="08090003" w:tentative="1">
      <w:start w:val="1"/>
      <w:numFmt w:val="bullet"/>
      <w:lvlText w:val="o"/>
      <w:lvlJc w:val="left"/>
      <w:pPr>
        <w:ind w:left="6986" w:hanging="360"/>
      </w:pPr>
      <w:rPr>
        <w:rFonts w:ascii="Courier New" w:hAnsi="Courier New" w:cs="Courier New" w:hint="default"/>
      </w:rPr>
    </w:lvl>
    <w:lvl w:ilvl="8" w:tplc="08090005" w:tentative="1">
      <w:start w:val="1"/>
      <w:numFmt w:val="bullet"/>
      <w:lvlText w:val=""/>
      <w:lvlJc w:val="left"/>
      <w:pPr>
        <w:ind w:left="7706" w:hanging="360"/>
      </w:pPr>
      <w:rPr>
        <w:rFonts w:ascii="Wingdings" w:hAnsi="Wingdings" w:hint="default"/>
      </w:rPr>
    </w:lvl>
  </w:abstractNum>
  <w:abstractNum w:abstractNumId="1" w15:restartNumberingAfterBreak="0">
    <w:nsid w:val="0AE35026"/>
    <w:multiLevelType w:val="multilevel"/>
    <w:tmpl w:val="0809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9F539E"/>
    <w:multiLevelType w:val="multilevel"/>
    <w:tmpl w:val="B7A0FA0E"/>
    <w:lvl w:ilvl="0">
      <w:start w:val="4"/>
      <w:numFmt w:val="decimal"/>
      <w:lvlText w:val="%1.0"/>
      <w:lvlJc w:val="left"/>
      <w:pPr>
        <w:ind w:left="720" w:hanging="720"/>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8262DD8"/>
    <w:multiLevelType w:val="multilevel"/>
    <w:tmpl w:val="64C43A0E"/>
    <w:numStyleLink w:val="Style2"/>
  </w:abstractNum>
  <w:abstractNum w:abstractNumId="4" w15:restartNumberingAfterBreak="0">
    <w:nsid w:val="1D876FCF"/>
    <w:multiLevelType w:val="multilevel"/>
    <w:tmpl w:val="0862DAF6"/>
    <w:lvl w:ilvl="0">
      <w:numFmt w:val="none"/>
      <w:lvlText w:val=""/>
      <w:lvlJc w:val="left"/>
      <w:pPr>
        <w:tabs>
          <w:tab w:val="num" w:pos="360"/>
        </w:tabs>
      </w:pPr>
      <w:rPr>
        <w:rFonts w:hint="default"/>
      </w:rPr>
    </w:lvl>
    <w:lvl w:ilvl="1">
      <w:numFmt w:val="decimal"/>
      <w:pStyle w:val="CommissionJuneHeading"/>
      <w:lvlText w:val=""/>
      <w:lvlJc w:val="left"/>
      <w:rPr>
        <w:rFonts w:hint="default"/>
        <w:b w:val="0"/>
        <w:bCs/>
        <w:sz w:val="28"/>
        <w:szCs w:val="28"/>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ascii="Arial" w:hAnsi="Arial" w:cs="Times New Roman" w:hint="default"/>
        <w:sz w:val="24"/>
        <w:szCs w:val="28"/>
        <w14:glow w14:rad="0">
          <w14:srgbClr w14:val="000000"/>
        </w14:glow>
        <w14:scene3d>
          <w14:camera w14:prst="orthographicFront"/>
          <w14:lightRig w14:rig="threePt" w14:dir="t">
            <w14:rot w14:lat="0" w14:lon="0" w14:rev="0"/>
          </w14:lightRig>
        </w14:scene3d>
      </w:rPr>
    </w:lvl>
    <w:lvl w:ilvl="8">
      <w:numFmt w:val="decimal"/>
      <w:lvlText w:val=""/>
      <w:lvlJc w:val="left"/>
      <w:rPr>
        <w:rFonts w:hint="default"/>
      </w:rPr>
    </w:lvl>
  </w:abstractNum>
  <w:abstractNum w:abstractNumId="5" w15:restartNumberingAfterBreak="0">
    <w:nsid w:val="284816A5"/>
    <w:multiLevelType w:val="hybridMultilevel"/>
    <w:tmpl w:val="3244A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0F39F6"/>
    <w:multiLevelType w:val="multilevel"/>
    <w:tmpl w:val="1A466FD4"/>
    <w:lvl w:ilvl="0">
      <w:start w:val="4"/>
      <w:numFmt w:val="decimal"/>
      <w:lvlText w:val="%1.0"/>
      <w:lvlJc w:val="left"/>
      <w:pPr>
        <w:ind w:left="720" w:hanging="720"/>
      </w:pPr>
      <w:rPr>
        <w:rFonts w:hint="default"/>
      </w:rPr>
    </w:lvl>
    <w:lvl w:ilvl="1">
      <w:start w:val="1"/>
      <w:numFmt w:val="decimal"/>
      <w:lvlText w:val="5.%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1EA097C"/>
    <w:multiLevelType w:val="multilevel"/>
    <w:tmpl w:val="D5F23868"/>
    <w:lvl w:ilvl="0">
      <w:start w:val="1"/>
      <w:numFmt w:val="decimal"/>
      <w:pStyle w:val="ListNumber2"/>
      <w:lvlText w:val="%1."/>
      <w:lvlJc w:val="left"/>
      <w:pPr>
        <w:ind w:left="4046" w:hanging="360"/>
      </w:pPr>
    </w:lvl>
    <w:lvl w:ilvl="1">
      <w:start w:val="1"/>
      <w:numFmt w:val="decimal"/>
      <w:pStyle w:val="11NumPara"/>
      <w:lvlText w:val="%1.%2."/>
      <w:lvlJc w:val="left"/>
      <w:pPr>
        <w:ind w:left="857" w:hanging="432"/>
      </w:pPr>
      <w:rPr>
        <w:b w:val="0"/>
        <w:bCs w:val="0"/>
        <w:i w:val="0"/>
        <w:iCs w:val="0"/>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8" w15:restartNumberingAfterBreak="0">
    <w:nsid w:val="36290E16"/>
    <w:multiLevelType w:val="multilevel"/>
    <w:tmpl w:val="0809001F"/>
    <w:styleLink w:val="Style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8B2D77"/>
    <w:multiLevelType w:val="multilevel"/>
    <w:tmpl w:val="B416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60A9C"/>
    <w:multiLevelType w:val="multilevel"/>
    <w:tmpl w:val="64C43A0E"/>
    <w:styleLink w:val="Style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B7942D0"/>
    <w:multiLevelType w:val="multilevel"/>
    <w:tmpl w:val="0E566BF6"/>
    <w:lvl w:ilvl="0">
      <w:start w:val="3"/>
      <w:numFmt w:val="decimal"/>
      <w:lvlText w:val="%1"/>
      <w:lvlJc w:val="left"/>
      <w:pPr>
        <w:ind w:left="390" w:hanging="390"/>
      </w:pPr>
      <w:rPr>
        <w:rFonts w:hint="default"/>
        <w:color w:val="auto"/>
      </w:rPr>
    </w:lvl>
    <w:lvl w:ilvl="1">
      <w:start w:val="1"/>
      <w:numFmt w:val="decimal"/>
      <w:lvlText w:val="3.%2"/>
      <w:lvlJc w:val="left"/>
      <w:pPr>
        <w:ind w:left="720"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458258CA"/>
    <w:multiLevelType w:val="hybridMultilevel"/>
    <w:tmpl w:val="8990C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A5790C"/>
    <w:multiLevelType w:val="multilevel"/>
    <w:tmpl w:val="13CE335C"/>
    <w:styleLink w:val="Style1"/>
    <w:lvl w:ilvl="0">
      <w:start w:val="1"/>
      <w:numFmt w:val="decimal"/>
      <w:lvlText w:val="%1"/>
      <w:lvlJc w:val="left"/>
      <w:pPr>
        <w:ind w:left="720" w:hanging="720"/>
      </w:pPr>
      <w:rPr>
        <w:rFonts w:ascii="Times New Roman" w:hAnsi="Times New Roman" w:hint="default"/>
        <w:color w:val="auto"/>
      </w:rPr>
    </w:lvl>
    <w:lvl w:ilvl="1">
      <w:start w:val="1"/>
      <w:numFmt w:val="decimal"/>
      <w:lvlText w:val="%1.%2"/>
      <w:lvlJc w:val="left"/>
      <w:pPr>
        <w:ind w:left="1287" w:hanging="720"/>
      </w:pPr>
      <w:rPr>
        <w:rFonts w:hint="default"/>
        <w:sz w:val="28"/>
        <w:szCs w:val="28"/>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4" w15:restartNumberingAfterBreak="0">
    <w:nsid w:val="4AC36512"/>
    <w:multiLevelType w:val="multilevel"/>
    <w:tmpl w:val="7932EC82"/>
    <w:styleLink w:val="LFO1"/>
    <w:lvl w:ilvl="0">
      <w:start w:val="1"/>
      <w:numFmt w:val="decimal"/>
      <w:lvlText w:val="%1."/>
      <w:lvlJc w:val="left"/>
      <w:pPr>
        <w:ind w:left="360" w:hanging="360"/>
      </w:pPr>
    </w:lvl>
    <w:lvl w:ilvl="1">
      <w:start w:val="1"/>
      <w:numFmt w:val="decimal"/>
      <w:lvlText w:val="%1.%2."/>
      <w:lvlJc w:val="left"/>
      <w:pPr>
        <w:ind w:left="792" w:hanging="432"/>
      </w:pPr>
      <w:rPr>
        <w:rFonts w:ascii="Aptos" w:hAnsi="Aptos" w:cs="Aptos"/>
        <w:b w:val="0"/>
        <w:bCs w:val="0"/>
        <w:i w:val="0"/>
        <w:iCs/>
        <w:position w:val="0"/>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B041F8"/>
    <w:multiLevelType w:val="multilevel"/>
    <w:tmpl w:val="895CEE98"/>
    <w:lvl w:ilvl="0">
      <w:start w:val="4"/>
      <w:numFmt w:val="decimal"/>
      <w:lvlText w:val="%1.0"/>
      <w:lvlJc w:val="left"/>
      <w:pPr>
        <w:ind w:left="720" w:hanging="720"/>
      </w:pPr>
      <w:rPr>
        <w:rFonts w:hint="default"/>
      </w:rPr>
    </w:lvl>
    <w:lvl w:ilvl="1">
      <w:start w:val="1"/>
      <w:numFmt w:val="decimal"/>
      <w:lvlText w:val="4.%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4E461E08"/>
    <w:multiLevelType w:val="multilevel"/>
    <w:tmpl w:val="08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396965"/>
    <w:multiLevelType w:val="multilevel"/>
    <w:tmpl w:val="0809001F"/>
    <w:numStyleLink w:val="Style5"/>
  </w:abstractNum>
  <w:abstractNum w:abstractNumId="18" w15:restartNumberingAfterBreak="0">
    <w:nsid w:val="554C10BD"/>
    <w:multiLevelType w:val="multilevel"/>
    <w:tmpl w:val="B150EB9A"/>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6D54A4"/>
    <w:multiLevelType w:val="multilevel"/>
    <w:tmpl w:val="A9BCFF62"/>
    <w:lvl w:ilvl="0">
      <w:start w:val="4"/>
      <w:numFmt w:val="decimal"/>
      <w:lvlText w:val="%1.0"/>
      <w:lvlJc w:val="left"/>
      <w:pPr>
        <w:ind w:left="720" w:hanging="720"/>
      </w:pPr>
      <w:rPr>
        <w:rFonts w:hint="default"/>
      </w:rPr>
    </w:lvl>
    <w:lvl w:ilvl="1">
      <w:start w:val="1"/>
      <w:numFmt w:val="decimal"/>
      <w:lvlText w:val="6.%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62E416F9"/>
    <w:multiLevelType w:val="multilevel"/>
    <w:tmpl w:val="0809001F"/>
    <w:numStyleLink w:val="Style5"/>
  </w:abstractNum>
  <w:abstractNum w:abstractNumId="21" w15:restartNumberingAfterBreak="0">
    <w:nsid w:val="6DD96D77"/>
    <w:multiLevelType w:val="hybridMultilevel"/>
    <w:tmpl w:val="6CFC88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04F598F"/>
    <w:multiLevelType w:val="multilevel"/>
    <w:tmpl w:val="0809001F"/>
    <w:numStyleLink w:val="Style5"/>
  </w:abstractNum>
  <w:abstractNum w:abstractNumId="23" w15:restartNumberingAfterBreak="0">
    <w:nsid w:val="74536915"/>
    <w:multiLevelType w:val="hybridMultilevel"/>
    <w:tmpl w:val="DDD4A7EA"/>
    <w:lvl w:ilvl="0" w:tplc="30A0E0C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4"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C4778D6"/>
    <w:multiLevelType w:val="multilevel"/>
    <w:tmpl w:val="7F8A516C"/>
    <w:styleLink w:val="Styl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5538907">
    <w:abstractNumId w:val="24"/>
  </w:num>
  <w:num w:numId="2" w16cid:durableId="588850778">
    <w:abstractNumId w:val="0"/>
  </w:num>
  <w:num w:numId="3" w16cid:durableId="324867684">
    <w:abstractNumId w:val="7"/>
  </w:num>
  <w:num w:numId="4" w16cid:durableId="324281548">
    <w:abstractNumId w:val="13"/>
  </w:num>
  <w:num w:numId="5" w16cid:durableId="602491811">
    <w:abstractNumId w:val="4"/>
  </w:num>
  <w:num w:numId="6" w16cid:durableId="621154046">
    <w:abstractNumId w:val="10"/>
  </w:num>
  <w:num w:numId="7" w16cid:durableId="1388146262">
    <w:abstractNumId w:val="5"/>
  </w:num>
  <w:num w:numId="8" w16cid:durableId="1924219285">
    <w:abstractNumId w:val="12"/>
  </w:num>
  <w:num w:numId="9" w16cid:durableId="1818372684">
    <w:abstractNumId w:val="14"/>
  </w:num>
  <w:num w:numId="10" w16cid:durableId="297077148">
    <w:abstractNumId w:val="16"/>
  </w:num>
  <w:num w:numId="11" w16cid:durableId="398141322">
    <w:abstractNumId w:val="1"/>
  </w:num>
  <w:num w:numId="12" w16cid:durableId="166603714">
    <w:abstractNumId w:val="8"/>
  </w:num>
  <w:num w:numId="13" w16cid:durableId="207228078">
    <w:abstractNumId w:val="25"/>
  </w:num>
  <w:num w:numId="14" w16cid:durableId="1267347922">
    <w:abstractNumId w:val="18"/>
  </w:num>
  <w:num w:numId="15" w16cid:durableId="432869941">
    <w:abstractNumId w:val="11"/>
  </w:num>
  <w:num w:numId="16" w16cid:durableId="446656715">
    <w:abstractNumId w:val="17"/>
    <w:lvlOverride w:ilvl="1">
      <w:lvl w:ilvl="1">
        <w:start w:val="1"/>
        <w:numFmt w:val="decimal"/>
        <w:lvlText w:val="%1.%2."/>
        <w:lvlJc w:val="left"/>
        <w:pPr>
          <w:ind w:left="792" w:hanging="432"/>
        </w:pPr>
      </w:lvl>
    </w:lvlOverride>
  </w:num>
  <w:num w:numId="17" w16cid:durableId="651838390">
    <w:abstractNumId w:val="15"/>
  </w:num>
  <w:num w:numId="18" w16cid:durableId="1906717211">
    <w:abstractNumId w:val="21"/>
  </w:num>
  <w:num w:numId="19" w16cid:durableId="610478276">
    <w:abstractNumId w:val="3"/>
  </w:num>
  <w:num w:numId="20" w16cid:durableId="552884929">
    <w:abstractNumId w:val="19"/>
  </w:num>
  <w:num w:numId="21" w16cid:durableId="1962180476">
    <w:abstractNumId w:val="2"/>
  </w:num>
  <w:num w:numId="22" w16cid:durableId="1385060024">
    <w:abstractNumId w:val="23"/>
  </w:num>
  <w:num w:numId="23" w16cid:durableId="1867939112">
    <w:abstractNumId w:val="6"/>
  </w:num>
  <w:num w:numId="24" w16cid:durableId="297564810">
    <w:abstractNumId w:val="9"/>
  </w:num>
  <w:num w:numId="25" w16cid:durableId="832719595">
    <w:abstractNumId w:val="22"/>
  </w:num>
  <w:num w:numId="26" w16cid:durableId="196399504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20F"/>
    <w:rsid w:val="00000FC3"/>
    <w:rsid w:val="000013CD"/>
    <w:rsid w:val="0000149E"/>
    <w:rsid w:val="00001B96"/>
    <w:rsid w:val="00001CAD"/>
    <w:rsid w:val="0000280B"/>
    <w:rsid w:val="00002AB3"/>
    <w:rsid w:val="00002BD0"/>
    <w:rsid w:val="00002E3B"/>
    <w:rsid w:val="00003730"/>
    <w:rsid w:val="00004435"/>
    <w:rsid w:val="00004552"/>
    <w:rsid w:val="0000483F"/>
    <w:rsid w:val="0000592E"/>
    <w:rsid w:val="00005DF9"/>
    <w:rsid w:val="00006634"/>
    <w:rsid w:val="000069C0"/>
    <w:rsid w:val="00006DAE"/>
    <w:rsid w:val="000070C1"/>
    <w:rsid w:val="0000728B"/>
    <w:rsid w:val="000074CC"/>
    <w:rsid w:val="0000789C"/>
    <w:rsid w:val="0000799D"/>
    <w:rsid w:val="00007A86"/>
    <w:rsid w:val="00010D0A"/>
    <w:rsid w:val="00010EAD"/>
    <w:rsid w:val="00011859"/>
    <w:rsid w:val="00011942"/>
    <w:rsid w:val="00012409"/>
    <w:rsid w:val="00012437"/>
    <w:rsid w:val="00012683"/>
    <w:rsid w:val="00012C57"/>
    <w:rsid w:val="00013014"/>
    <w:rsid w:val="000137FB"/>
    <w:rsid w:val="00014688"/>
    <w:rsid w:val="0001489D"/>
    <w:rsid w:val="00014AB3"/>
    <w:rsid w:val="00014B28"/>
    <w:rsid w:val="00015838"/>
    <w:rsid w:val="00015949"/>
    <w:rsid w:val="00015A88"/>
    <w:rsid w:val="00015EA6"/>
    <w:rsid w:val="000175F2"/>
    <w:rsid w:val="000178CC"/>
    <w:rsid w:val="00017F4B"/>
    <w:rsid w:val="00020D3F"/>
    <w:rsid w:val="00020E08"/>
    <w:rsid w:val="00021499"/>
    <w:rsid w:val="00021E8E"/>
    <w:rsid w:val="00021F77"/>
    <w:rsid w:val="00023298"/>
    <w:rsid w:val="000235ED"/>
    <w:rsid w:val="00023B19"/>
    <w:rsid w:val="000240EF"/>
    <w:rsid w:val="00024DC9"/>
    <w:rsid w:val="000250B2"/>
    <w:rsid w:val="00025577"/>
    <w:rsid w:val="00025C47"/>
    <w:rsid w:val="00025FAC"/>
    <w:rsid w:val="000261C0"/>
    <w:rsid w:val="000266FC"/>
    <w:rsid w:val="0002698B"/>
    <w:rsid w:val="00026FE0"/>
    <w:rsid w:val="000270BB"/>
    <w:rsid w:val="000272F1"/>
    <w:rsid w:val="0002783E"/>
    <w:rsid w:val="00027BF2"/>
    <w:rsid w:val="00030026"/>
    <w:rsid w:val="000301CC"/>
    <w:rsid w:val="000304C4"/>
    <w:rsid w:val="00030F83"/>
    <w:rsid w:val="000310B7"/>
    <w:rsid w:val="000315F3"/>
    <w:rsid w:val="000318A3"/>
    <w:rsid w:val="000318FA"/>
    <w:rsid w:val="000321A0"/>
    <w:rsid w:val="000329EF"/>
    <w:rsid w:val="00032B61"/>
    <w:rsid w:val="00032B65"/>
    <w:rsid w:val="00032C95"/>
    <w:rsid w:val="00032FB8"/>
    <w:rsid w:val="000331D8"/>
    <w:rsid w:val="00033751"/>
    <w:rsid w:val="000338BB"/>
    <w:rsid w:val="00033DCF"/>
    <w:rsid w:val="00033DFD"/>
    <w:rsid w:val="00033FFE"/>
    <w:rsid w:val="000341A8"/>
    <w:rsid w:val="00034454"/>
    <w:rsid w:val="000349C6"/>
    <w:rsid w:val="00034AAC"/>
    <w:rsid w:val="00035488"/>
    <w:rsid w:val="000354DE"/>
    <w:rsid w:val="00035C3F"/>
    <w:rsid w:val="000360AD"/>
    <w:rsid w:val="00036269"/>
    <w:rsid w:val="00037428"/>
    <w:rsid w:val="0003763D"/>
    <w:rsid w:val="00037A5F"/>
    <w:rsid w:val="00037B77"/>
    <w:rsid w:val="00037C9D"/>
    <w:rsid w:val="00037F7D"/>
    <w:rsid w:val="0004022B"/>
    <w:rsid w:val="000405B1"/>
    <w:rsid w:val="00040633"/>
    <w:rsid w:val="00040AF0"/>
    <w:rsid w:val="00040BE8"/>
    <w:rsid w:val="00040DE1"/>
    <w:rsid w:val="00041050"/>
    <w:rsid w:val="0004116F"/>
    <w:rsid w:val="00042A8F"/>
    <w:rsid w:val="0004329D"/>
    <w:rsid w:val="0004337A"/>
    <w:rsid w:val="00043602"/>
    <w:rsid w:val="00043B45"/>
    <w:rsid w:val="00044DBF"/>
    <w:rsid w:val="00044F0D"/>
    <w:rsid w:val="00045428"/>
    <w:rsid w:val="00045B96"/>
    <w:rsid w:val="00046558"/>
    <w:rsid w:val="00046705"/>
    <w:rsid w:val="000473C0"/>
    <w:rsid w:val="00047E36"/>
    <w:rsid w:val="000504E7"/>
    <w:rsid w:val="00050CA6"/>
    <w:rsid w:val="00050EA5"/>
    <w:rsid w:val="000511B2"/>
    <w:rsid w:val="000515AE"/>
    <w:rsid w:val="00051A3C"/>
    <w:rsid w:val="00051CA9"/>
    <w:rsid w:val="00051E52"/>
    <w:rsid w:val="000520F8"/>
    <w:rsid w:val="0005242E"/>
    <w:rsid w:val="00052D1F"/>
    <w:rsid w:val="00053136"/>
    <w:rsid w:val="0005341F"/>
    <w:rsid w:val="0005379E"/>
    <w:rsid w:val="00053BB8"/>
    <w:rsid w:val="000540B6"/>
    <w:rsid w:val="000541DE"/>
    <w:rsid w:val="00054A25"/>
    <w:rsid w:val="00054A58"/>
    <w:rsid w:val="00054A8B"/>
    <w:rsid w:val="00054AA4"/>
    <w:rsid w:val="00054CE9"/>
    <w:rsid w:val="000551CB"/>
    <w:rsid w:val="000552A5"/>
    <w:rsid w:val="00055380"/>
    <w:rsid w:val="00055946"/>
    <w:rsid w:val="0005597A"/>
    <w:rsid w:val="00055993"/>
    <w:rsid w:val="00055A8E"/>
    <w:rsid w:val="00055BCE"/>
    <w:rsid w:val="00055EBA"/>
    <w:rsid w:val="00055F14"/>
    <w:rsid w:val="00055F57"/>
    <w:rsid w:val="00056ABA"/>
    <w:rsid w:val="00057800"/>
    <w:rsid w:val="00057A83"/>
    <w:rsid w:val="000602D4"/>
    <w:rsid w:val="00060304"/>
    <w:rsid w:val="000604F5"/>
    <w:rsid w:val="00060B83"/>
    <w:rsid w:val="00061493"/>
    <w:rsid w:val="000619B8"/>
    <w:rsid w:val="00061A91"/>
    <w:rsid w:val="00062006"/>
    <w:rsid w:val="0006237C"/>
    <w:rsid w:val="000645FE"/>
    <w:rsid w:val="000646D1"/>
    <w:rsid w:val="00064730"/>
    <w:rsid w:val="00064BD8"/>
    <w:rsid w:val="00064E16"/>
    <w:rsid w:val="00064EDC"/>
    <w:rsid w:val="00065589"/>
    <w:rsid w:val="000657A4"/>
    <w:rsid w:val="00065811"/>
    <w:rsid w:val="00065894"/>
    <w:rsid w:val="00065FE8"/>
    <w:rsid w:val="00066116"/>
    <w:rsid w:val="000667EC"/>
    <w:rsid w:val="00066BDC"/>
    <w:rsid w:val="00066BE7"/>
    <w:rsid w:val="00066F38"/>
    <w:rsid w:val="000670C2"/>
    <w:rsid w:val="00067E69"/>
    <w:rsid w:val="00067F87"/>
    <w:rsid w:val="000703EF"/>
    <w:rsid w:val="00070705"/>
    <w:rsid w:val="00070ED1"/>
    <w:rsid w:val="000711C4"/>
    <w:rsid w:val="000711F1"/>
    <w:rsid w:val="000713DE"/>
    <w:rsid w:val="00071935"/>
    <w:rsid w:val="00071B3C"/>
    <w:rsid w:val="00071B76"/>
    <w:rsid w:val="00071C6B"/>
    <w:rsid w:val="00071DAF"/>
    <w:rsid w:val="000723E2"/>
    <w:rsid w:val="0007242A"/>
    <w:rsid w:val="000736A5"/>
    <w:rsid w:val="000737AE"/>
    <w:rsid w:val="00073FB7"/>
    <w:rsid w:val="00074048"/>
    <w:rsid w:val="0007444C"/>
    <w:rsid w:val="0007458A"/>
    <w:rsid w:val="0007468A"/>
    <w:rsid w:val="00074A32"/>
    <w:rsid w:val="00074B79"/>
    <w:rsid w:val="00074F36"/>
    <w:rsid w:val="000750F7"/>
    <w:rsid w:val="000751D1"/>
    <w:rsid w:val="0007569A"/>
    <w:rsid w:val="00075CC8"/>
    <w:rsid w:val="00075D0A"/>
    <w:rsid w:val="00075FAE"/>
    <w:rsid w:val="000760EB"/>
    <w:rsid w:val="00076471"/>
    <w:rsid w:val="00076A15"/>
    <w:rsid w:val="00076A9A"/>
    <w:rsid w:val="000770C0"/>
    <w:rsid w:val="0007724D"/>
    <w:rsid w:val="00077566"/>
    <w:rsid w:val="00077995"/>
    <w:rsid w:val="0008048E"/>
    <w:rsid w:val="00080532"/>
    <w:rsid w:val="000807C1"/>
    <w:rsid w:val="00081402"/>
    <w:rsid w:val="0008184F"/>
    <w:rsid w:val="00081BD7"/>
    <w:rsid w:val="00081D7B"/>
    <w:rsid w:val="00082AF8"/>
    <w:rsid w:val="0008369C"/>
    <w:rsid w:val="00084259"/>
    <w:rsid w:val="0008433B"/>
    <w:rsid w:val="000849CB"/>
    <w:rsid w:val="0008598E"/>
    <w:rsid w:val="00086336"/>
    <w:rsid w:val="00086825"/>
    <w:rsid w:val="00086A75"/>
    <w:rsid w:val="0008769D"/>
    <w:rsid w:val="00087E1B"/>
    <w:rsid w:val="0009007C"/>
    <w:rsid w:val="000900CF"/>
    <w:rsid w:val="00090680"/>
    <w:rsid w:val="00090800"/>
    <w:rsid w:val="00090B8E"/>
    <w:rsid w:val="00090C6F"/>
    <w:rsid w:val="00090FBE"/>
    <w:rsid w:val="00091160"/>
    <w:rsid w:val="00091A34"/>
    <w:rsid w:val="00091A85"/>
    <w:rsid w:val="00091BCE"/>
    <w:rsid w:val="00091D4E"/>
    <w:rsid w:val="000921DD"/>
    <w:rsid w:val="000923F5"/>
    <w:rsid w:val="00092863"/>
    <w:rsid w:val="0009314F"/>
    <w:rsid w:val="000934B2"/>
    <w:rsid w:val="00093F69"/>
    <w:rsid w:val="00093FD8"/>
    <w:rsid w:val="0009498D"/>
    <w:rsid w:val="0009501A"/>
    <w:rsid w:val="000965E8"/>
    <w:rsid w:val="000968A7"/>
    <w:rsid w:val="00096D66"/>
    <w:rsid w:val="00097855"/>
    <w:rsid w:val="00097E0E"/>
    <w:rsid w:val="000A018A"/>
    <w:rsid w:val="000A04A4"/>
    <w:rsid w:val="000A0AAD"/>
    <w:rsid w:val="000A0C98"/>
    <w:rsid w:val="000A0D11"/>
    <w:rsid w:val="000A0D45"/>
    <w:rsid w:val="000A0E5C"/>
    <w:rsid w:val="000A135A"/>
    <w:rsid w:val="000A16C9"/>
    <w:rsid w:val="000A181E"/>
    <w:rsid w:val="000A197E"/>
    <w:rsid w:val="000A1EC0"/>
    <w:rsid w:val="000A1F22"/>
    <w:rsid w:val="000A2536"/>
    <w:rsid w:val="000A288F"/>
    <w:rsid w:val="000A3147"/>
    <w:rsid w:val="000A33C0"/>
    <w:rsid w:val="000A3822"/>
    <w:rsid w:val="000A3BC1"/>
    <w:rsid w:val="000A48B7"/>
    <w:rsid w:val="000A49C9"/>
    <w:rsid w:val="000A4B2C"/>
    <w:rsid w:val="000A52C6"/>
    <w:rsid w:val="000A543F"/>
    <w:rsid w:val="000A56B2"/>
    <w:rsid w:val="000A5810"/>
    <w:rsid w:val="000A5CA9"/>
    <w:rsid w:val="000A66A3"/>
    <w:rsid w:val="000A6721"/>
    <w:rsid w:val="000A68FC"/>
    <w:rsid w:val="000A6E1F"/>
    <w:rsid w:val="000A7589"/>
    <w:rsid w:val="000A7C68"/>
    <w:rsid w:val="000A7CAC"/>
    <w:rsid w:val="000B03D0"/>
    <w:rsid w:val="000B0518"/>
    <w:rsid w:val="000B0B38"/>
    <w:rsid w:val="000B0EE5"/>
    <w:rsid w:val="000B1D3A"/>
    <w:rsid w:val="000B1D85"/>
    <w:rsid w:val="000B2BA7"/>
    <w:rsid w:val="000B33B6"/>
    <w:rsid w:val="000B37B8"/>
    <w:rsid w:val="000B38EA"/>
    <w:rsid w:val="000B3BD2"/>
    <w:rsid w:val="000B494C"/>
    <w:rsid w:val="000B5429"/>
    <w:rsid w:val="000B5D0A"/>
    <w:rsid w:val="000B6263"/>
    <w:rsid w:val="000B6580"/>
    <w:rsid w:val="000B65A7"/>
    <w:rsid w:val="000B67A8"/>
    <w:rsid w:val="000B68BE"/>
    <w:rsid w:val="000B68E8"/>
    <w:rsid w:val="000B7225"/>
    <w:rsid w:val="000B7393"/>
    <w:rsid w:val="000B7C0D"/>
    <w:rsid w:val="000B7E0F"/>
    <w:rsid w:val="000B7EBE"/>
    <w:rsid w:val="000B7FAB"/>
    <w:rsid w:val="000C01EE"/>
    <w:rsid w:val="000C0381"/>
    <w:rsid w:val="000C0566"/>
    <w:rsid w:val="000C08A2"/>
    <w:rsid w:val="000C0FCB"/>
    <w:rsid w:val="000C1158"/>
    <w:rsid w:val="000C2EF3"/>
    <w:rsid w:val="000C36AF"/>
    <w:rsid w:val="000C3810"/>
    <w:rsid w:val="000C3F63"/>
    <w:rsid w:val="000C49CE"/>
    <w:rsid w:val="000C4DBA"/>
    <w:rsid w:val="000C54CD"/>
    <w:rsid w:val="000C58E3"/>
    <w:rsid w:val="000C6276"/>
    <w:rsid w:val="000C65F4"/>
    <w:rsid w:val="000C71AA"/>
    <w:rsid w:val="000C783D"/>
    <w:rsid w:val="000C794B"/>
    <w:rsid w:val="000C7BD6"/>
    <w:rsid w:val="000C7E5D"/>
    <w:rsid w:val="000D02F8"/>
    <w:rsid w:val="000D03A7"/>
    <w:rsid w:val="000D03FA"/>
    <w:rsid w:val="000D0430"/>
    <w:rsid w:val="000D07AA"/>
    <w:rsid w:val="000D1041"/>
    <w:rsid w:val="000D1465"/>
    <w:rsid w:val="000D166C"/>
    <w:rsid w:val="000D24FF"/>
    <w:rsid w:val="000D25BD"/>
    <w:rsid w:val="000D25FA"/>
    <w:rsid w:val="000D2918"/>
    <w:rsid w:val="000D3219"/>
    <w:rsid w:val="000D39D3"/>
    <w:rsid w:val="000D4274"/>
    <w:rsid w:val="000D4FD0"/>
    <w:rsid w:val="000D53DA"/>
    <w:rsid w:val="000D5887"/>
    <w:rsid w:val="000D5932"/>
    <w:rsid w:val="000D5A96"/>
    <w:rsid w:val="000D5EEA"/>
    <w:rsid w:val="000D60BD"/>
    <w:rsid w:val="000D60FE"/>
    <w:rsid w:val="000D6684"/>
    <w:rsid w:val="000D736A"/>
    <w:rsid w:val="000D78D5"/>
    <w:rsid w:val="000D79D2"/>
    <w:rsid w:val="000D7C95"/>
    <w:rsid w:val="000E06E0"/>
    <w:rsid w:val="000E0A4B"/>
    <w:rsid w:val="000E0B7C"/>
    <w:rsid w:val="000E0CE2"/>
    <w:rsid w:val="000E0D82"/>
    <w:rsid w:val="000E0E2B"/>
    <w:rsid w:val="000E0F5C"/>
    <w:rsid w:val="000E0FC2"/>
    <w:rsid w:val="000E107E"/>
    <w:rsid w:val="000E109E"/>
    <w:rsid w:val="000E136A"/>
    <w:rsid w:val="000E1494"/>
    <w:rsid w:val="000E1B0D"/>
    <w:rsid w:val="000E1F61"/>
    <w:rsid w:val="000E2077"/>
    <w:rsid w:val="000E2519"/>
    <w:rsid w:val="000E25DD"/>
    <w:rsid w:val="000E3350"/>
    <w:rsid w:val="000E4003"/>
    <w:rsid w:val="000E434B"/>
    <w:rsid w:val="000E43EE"/>
    <w:rsid w:val="000E4CFE"/>
    <w:rsid w:val="000E5095"/>
    <w:rsid w:val="000E5D68"/>
    <w:rsid w:val="000E5DC3"/>
    <w:rsid w:val="000E5E51"/>
    <w:rsid w:val="000E6240"/>
    <w:rsid w:val="000E77C7"/>
    <w:rsid w:val="000E7A7E"/>
    <w:rsid w:val="000E7AAA"/>
    <w:rsid w:val="000E7DB1"/>
    <w:rsid w:val="000E7F0C"/>
    <w:rsid w:val="000F043E"/>
    <w:rsid w:val="000F05CE"/>
    <w:rsid w:val="000F096A"/>
    <w:rsid w:val="000F0B6D"/>
    <w:rsid w:val="000F0CAC"/>
    <w:rsid w:val="000F136C"/>
    <w:rsid w:val="000F1382"/>
    <w:rsid w:val="000F16C2"/>
    <w:rsid w:val="000F2334"/>
    <w:rsid w:val="000F2444"/>
    <w:rsid w:val="000F2BE9"/>
    <w:rsid w:val="000F2DC0"/>
    <w:rsid w:val="000F4721"/>
    <w:rsid w:val="000F47FF"/>
    <w:rsid w:val="000F4C7A"/>
    <w:rsid w:val="000F55E6"/>
    <w:rsid w:val="000F5742"/>
    <w:rsid w:val="000F5C56"/>
    <w:rsid w:val="000F5D53"/>
    <w:rsid w:val="000F5F7B"/>
    <w:rsid w:val="000F6133"/>
    <w:rsid w:val="000F64BF"/>
    <w:rsid w:val="000F6822"/>
    <w:rsid w:val="000F6E31"/>
    <w:rsid w:val="000F6F2E"/>
    <w:rsid w:val="001001D0"/>
    <w:rsid w:val="00100B6D"/>
    <w:rsid w:val="0010128B"/>
    <w:rsid w:val="001014D0"/>
    <w:rsid w:val="00101758"/>
    <w:rsid w:val="00101A11"/>
    <w:rsid w:val="00101EB3"/>
    <w:rsid w:val="00102183"/>
    <w:rsid w:val="00102665"/>
    <w:rsid w:val="0010294C"/>
    <w:rsid w:val="00103B7E"/>
    <w:rsid w:val="00103DF6"/>
    <w:rsid w:val="001045E7"/>
    <w:rsid w:val="001047CA"/>
    <w:rsid w:val="00104CC0"/>
    <w:rsid w:val="00105466"/>
    <w:rsid w:val="00105CAB"/>
    <w:rsid w:val="00105E0D"/>
    <w:rsid w:val="001061F2"/>
    <w:rsid w:val="0010632F"/>
    <w:rsid w:val="00106353"/>
    <w:rsid w:val="00106AB8"/>
    <w:rsid w:val="00107154"/>
    <w:rsid w:val="0010734F"/>
    <w:rsid w:val="00107545"/>
    <w:rsid w:val="00107D41"/>
    <w:rsid w:val="00107E18"/>
    <w:rsid w:val="00107F1C"/>
    <w:rsid w:val="00110509"/>
    <w:rsid w:val="00110576"/>
    <w:rsid w:val="0011067E"/>
    <w:rsid w:val="0011068A"/>
    <w:rsid w:val="00110877"/>
    <w:rsid w:val="00110DEF"/>
    <w:rsid w:val="00110FDA"/>
    <w:rsid w:val="0011153C"/>
    <w:rsid w:val="00111762"/>
    <w:rsid w:val="00112069"/>
    <w:rsid w:val="001124B2"/>
    <w:rsid w:val="001125CB"/>
    <w:rsid w:val="00112C84"/>
    <w:rsid w:val="00112CDB"/>
    <w:rsid w:val="00113495"/>
    <w:rsid w:val="001135E2"/>
    <w:rsid w:val="001135F5"/>
    <w:rsid w:val="00113CFD"/>
    <w:rsid w:val="00114172"/>
    <w:rsid w:val="00114266"/>
    <w:rsid w:val="00114493"/>
    <w:rsid w:val="0011561B"/>
    <w:rsid w:val="0011567A"/>
    <w:rsid w:val="00115AD2"/>
    <w:rsid w:val="0011604B"/>
    <w:rsid w:val="0011639E"/>
    <w:rsid w:val="00116432"/>
    <w:rsid w:val="00116492"/>
    <w:rsid w:val="00116811"/>
    <w:rsid w:val="0011697A"/>
    <w:rsid w:val="00116AB3"/>
    <w:rsid w:val="0011723C"/>
    <w:rsid w:val="001176A2"/>
    <w:rsid w:val="00117DF4"/>
    <w:rsid w:val="00117E29"/>
    <w:rsid w:val="0012021A"/>
    <w:rsid w:val="00120387"/>
    <w:rsid w:val="00120452"/>
    <w:rsid w:val="001209DB"/>
    <w:rsid w:val="001209F6"/>
    <w:rsid w:val="00120EB1"/>
    <w:rsid w:val="0012103F"/>
    <w:rsid w:val="0012117D"/>
    <w:rsid w:val="001213A8"/>
    <w:rsid w:val="001214C3"/>
    <w:rsid w:val="001215B0"/>
    <w:rsid w:val="001215B7"/>
    <w:rsid w:val="00121B17"/>
    <w:rsid w:val="00121F05"/>
    <w:rsid w:val="00121F75"/>
    <w:rsid w:val="001220A5"/>
    <w:rsid w:val="00122632"/>
    <w:rsid w:val="0012277E"/>
    <w:rsid w:val="00122BD4"/>
    <w:rsid w:val="001235AE"/>
    <w:rsid w:val="001238BB"/>
    <w:rsid w:val="00123929"/>
    <w:rsid w:val="00123FAE"/>
    <w:rsid w:val="00124248"/>
    <w:rsid w:val="00124531"/>
    <w:rsid w:val="001253B6"/>
    <w:rsid w:val="00126474"/>
    <w:rsid w:val="001265AA"/>
    <w:rsid w:val="001265DC"/>
    <w:rsid w:val="00126CD3"/>
    <w:rsid w:val="001271B1"/>
    <w:rsid w:val="001274EB"/>
    <w:rsid w:val="001301EA"/>
    <w:rsid w:val="0013027C"/>
    <w:rsid w:val="0013047F"/>
    <w:rsid w:val="00130ABE"/>
    <w:rsid w:val="00130DA8"/>
    <w:rsid w:val="00131000"/>
    <w:rsid w:val="00131822"/>
    <w:rsid w:val="0013182A"/>
    <w:rsid w:val="00131948"/>
    <w:rsid w:val="00131ABF"/>
    <w:rsid w:val="00131B9C"/>
    <w:rsid w:val="00131DAB"/>
    <w:rsid w:val="001327DE"/>
    <w:rsid w:val="001329A3"/>
    <w:rsid w:val="00132BE8"/>
    <w:rsid w:val="00132E81"/>
    <w:rsid w:val="001336B3"/>
    <w:rsid w:val="00133979"/>
    <w:rsid w:val="00133FE4"/>
    <w:rsid w:val="001341FC"/>
    <w:rsid w:val="00134308"/>
    <w:rsid w:val="00134507"/>
    <w:rsid w:val="00134696"/>
    <w:rsid w:val="00134C18"/>
    <w:rsid w:val="001350B8"/>
    <w:rsid w:val="0013632D"/>
    <w:rsid w:val="001365F5"/>
    <w:rsid w:val="00136BEA"/>
    <w:rsid w:val="00136D78"/>
    <w:rsid w:val="00136D93"/>
    <w:rsid w:val="001372E5"/>
    <w:rsid w:val="0013732D"/>
    <w:rsid w:val="001373E8"/>
    <w:rsid w:val="00140480"/>
    <w:rsid w:val="0014092B"/>
    <w:rsid w:val="00140A0A"/>
    <w:rsid w:val="0014137A"/>
    <w:rsid w:val="001414D8"/>
    <w:rsid w:val="001415EE"/>
    <w:rsid w:val="00141660"/>
    <w:rsid w:val="0014220A"/>
    <w:rsid w:val="001423A9"/>
    <w:rsid w:val="00142582"/>
    <w:rsid w:val="00142592"/>
    <w:rsid w:val="00142F17"/>
    <w:rsid w:val="00143262"/>
    <w:rsid w:val="0014388C"/>
    <w:rsid w:val="001438EC"/>
    <w:rsid w:val="00143D7D"/>
    <w:rsid w:val="001444BB"/>
    <w:rsid w:val="00144890"/>
    <w:rsid w:val="0014501C"/>
    <w:rsid w:val="00145FDA"/>
    <w:rsid w:val="00147ADD"/>
    <w:rsid w:val="001507C4"/>
    <w:rsid w:val="00150A20"/>
    <w:rsid w:val="00150AE0"/>
    <w:rsid w:val="00150C43"/>
    <w:rsid w:val="00150C50"/>
    <w:rsid w:val="00150E9D"/>
    <w:rsid w:val="00151560"/>
    <w:rsid w:val="00151709"/>
    <w:rsid w:val="00151C8D"/>
    <w:rsid w:val="00151E3F"/>
    <w:rsid w:val="00151FA0"/>
    <w:rsid w:val="00153078"/>
    <w:rsid w:val="00153BEA"/>
    <w:rsid w:val="001546E5"/>
    <w:rsid w:val="00154922"/>
    <w:rsid w:val="00154BB0"/>
    <w:rsid w:val="0015524A"/>
    <w:rsid w:val="0015574A"/>
    <w:rsid w:val="00155B7D"/>
    <w:rsid w:val="00155F37"/>
    <w:rsid w:val="0015627C"/>
    <w:rsid w:val="00156603"/>
    <w:rsid w:val="001566E8"/>
    <w:rsid w:val="00156B6C"/>
    <w:rsid w:val="001572CA"/>
    <w:rsid w:val="001575BF"/>
    <w:rsid w:val="001576F6"/>
    <w:rsid w:val="00157BE7"/>
    <w:rsid w:val="00157D51"/>
    <w:rsid w:val="00157F37"/>
    <w:rsid w:val="00157F7D"/>
    <w:rsid w:val="00160191"/>
    <w:rsid w:val="0016040A"/>
    <w:rsid w:val="00160E33"/>
    <w:rsid w:val="00161706"/>
    <w:rsid w:val="001624D1"/>
    <w:rsid w:val="001624F7"/>
    <w:rsid w:val="001631B0"/>
    <w:rsid w:val="00163337"/>
    <w:rsid w:val="00163C15"/>
    <w:rsid w:val="00164605"/>
    <w:rsid w:val="001647D2"/>
    <w:rsid w:val="001649B8"/>
    <w:rsid w:val="00164B15"/>
    <w:rsid w:val="00164B5B"/>
    <w:rsid w:val="00164B82"/>
    <w:rsid w:val="00164C60"/>
    <w:rsid w:val="00164C97"/>
    <w:rsid w:val="00164EA3"/>
    <w:rsid w:val="00166C44"/>
    <w:rsid w:val="00167304"/>
    <w:rsid w:val="001673AC"/>
    <w:rsid w:val="00167666"/>
    <w:rsid w:val="00167685"/>
    <w:rsid w:val="001678DD"/>
    <w:rsid w:val="00167FD4"/>
    <w:rsid w:val="00170006"/>
    <w:rsid w:val="0017044F"/>
    <w:rsid w:val="00170494"/>
    <w:rsid w:val="001706AC"/>
    <w:rsid w:val="0017077B"/>
    <w:rsid w:val="001710BD"/>
    <w:rsid w:val="00171B4B"/>
    <w:rsid w:val="00171C71"/>
    <w:rsid w:val="00171DC8"/>
    <w:rsid w:val="00172091"/>
    <w:rsid w:val="0017261A"/>
    <w:rsid w:val="00173326"/>
    <w:rsid w:val="0017339B"/>
    <w:rsid w:val="00173465"/>
    <w:rsid w:val="0017391B"/>
    <w:rsid w:val="00173BC6"/>
    <w:rsid w:val="00173D0B"/>
    <w:rsid w:val="00173DFC"/>
    <w:rsid w:val="00173E89"/>
    <w:rsid w:val="001741C6"/>
    <w:rsid w:val="001745B2"/>
    <w:rsid w:val="00174884"/>
    <w:rsid w:val="00174B1F"/>
    <w:rsid w:val="00174D5E"/>
    <w:rsid w:val="00174F86"/>
    <w:rsid w:val="00174FB2"/>
    <w:rsid w:val="0017511C"/>
    <w:rsid w:val="00175317"/>
    <w:rsid w:val="00175661"/>
    <w:rsid w:val="00175805"/>
    <w:rsid w:val="00175BE9"/>
    <w:rsid w:val="00175FA7"/>
    <w:rsid w:val="00176074"/>
    <w:rsid w:val="0017653A"/>
    <w:rsid w:val="00176E58"/>
    <w:rsid w:val="001771DC"/>
    <w:rsid w:val="001773C3"/>
    <w:rsid w:val="001773D9"/>
    <w:rsid w:val="00177406"/>
    <w:rsid w:val="00177458"/>
    <w:rsid w:val="00177AF3"/>
    <w:rsid w:val="0018023B"/>
    <w:rsid w:val="00180560"/>
    <w:rsid w:val="00180596"/>
    <w:rsid w:val="00180A36"/>
    <w:rsid w:val="00180B10"/>
    <w:rsid w:val="00181711"/>
    <w:rsid w:val="00181D30"/>
    <w:rsid w:val="00181E6F"/>
    <w:rsid w:val="00182102"/>
    <w:rsid w:val="00182459"/>
    <w:rsid w:val="00182475"/>
    <w:rsid w:val="001825D7"/>
    <w:rsid w:val="00182855"/>
    <w:rsid w:val="00182CAD"/>
    <w:rsid w:val="00183209"/>
    <w:rsid w:val="001835EF"/>
    <w:rsid w:val="0018375B"/>
    <w:rsid w:val="00183F1C"/>
    <w:rsid w:val="001844DE"/>
    <w:rsid w:val="0018487F"/>
    <w:rsid w:val="00184DCD"/>
    <w:rsid w:val="00185202"/>
    <w:rsid w:val="001857DB"/>
    <w:rsid w:val="00185F66"/>
    <w:rsid w:val="00186499"/>
    <w:rsid w:val="00186EDC"/>
    <w:rsid w:val="00186F72"/>
    <w:rsid w:val="001874EB"/>
    <w:rsid w:val="00187D33"/>
    <w:rsid w:val="00190533"/>
    <w:rsid w:val="0019170B"/>
    <w:rsid w:val="00191766"/>
    <w:rsid w:val="00191806"/>
    <w:rsid w:val="00191EF6"/>
    <w:rsid w:val="0019213F"/>
    <w:rsid w:val="001924AB"/>
    <w:rsid w:val="001926A7"/>
    <w:rsid w:val="0019296B"/>
    <w:rsid w:val="0019296C"/>
    <w:rsid w:val="001932A9"/>
    <w:rsid w:val="00193D76"/>
    <w:rsid w:val="00194020"/>
    <w:rsid w:val="00194C25"/>
    <w:rsid w:val="00195911"/>
    <w:rsid w:val="00196069"/>
    <w:rsid w:val="001960A4"/>
    <w:rsid w:val="00196106"/>
    <w:rsid w:val="0019614F"/>
    <w:rsid w:val="001965E9"/>
    <w:rsid w:val="00196959"/>
    <w:rsid w:val="001969F6"/>
    <w:rsid w:val="00196A57"/>
    <w:rsid w:val="00196CF0"/>
    <w:rsid w:val="00197562"/>
    <w:rsid w:val="00197FA6"/>
    <w:rsid w:val="001A086B"/>
    <w:rsid w:val="001A0A0F"/>
    <w:rsid w:val="001A15A2"/>
    <w:rsid w:val="001A1961"/>
    <w:rsid w:val="001A2291"/>
    <w:rsid w:val="001A22DE"/>
    <w:rsid w:val="001A25B8"/>
    <w:rsid w:val="001A2793"/>
    <w:rsid w:val="001A2D32"/>
    <w:rsid w:val="001A31A3"/>
    <w:rsid w:val="001A3540"/>
    <w:rsid w:val="001A3A9A"/>
    <w:rsid w:val="001A3BEB"/>
    <w:rsid w:val="001A4281"/>
    <w:rsid w:val="001A46C5"/>
    <w:rsid w:val="001A4C7F"/>
    <w:rsid w:val="001A5182"/>
    <w:rsid w:val="001A5213"/>
    <w:rsid w:val="001A5790"/>
    <w:rsid w:val="001A5EB6"/>
    <w:rsid w:val="001A60F5"/>
    <w:rsid w:val="001A64D3"/>
    <w:rsid w:val="001A6D16"/>
    <w:rsid w:val="001A6ECF"/>
    <w:rsid w:val="001A7095"/>
    <w:rsid w:val="001A7191"/>
    <w:rsid w:val="001A764D"/>
    <w:rsid w:val="001A7B1A"/>
    <w:rsid w:val="001B01B7"/>
    <w:rsid w:val="001B0B8A"/>
    <w:rsid w:val="001B0F7B"/>
    <w:rsid w:val="001B1252"/>
    <w:rsid w:val="001B1828"/>
    <w:rsid w:val="001B1F5A"/>
    <w:rsid w:val="001B2247"/>
    <w:rsid w:val="001B2989"/>
    <w:rsid w:val="001B29D4"/>
    <w:rsid w:val="001B3412"/>
    <w:rsid w:val="001B3442"/>
    <w:rsid w:val="001B42E5"/>
    <w:rsid w:val="001B45F0"/>
    <w:rsid w:val="001B476D"/>
    <w:rsid w:val="001B48C0"/>
    <w:rsid w:val="001B4920"/>
    <w:rsid w:val="001B4C7A"/>
    <w:rsid w:val="001B4F5C"/>
    <w:rsid w:val="001B502C"/>
    <w:rsid w:val="001B5362"/>
    <w:rsid w:val="001B56AE"/>
    <w:rsid w:val="001B56E7"/>
    <w:rsid w:val="001B5F3B"/>
    <w:rsid w:val="001B6093"/>
    <w:rsid w:val="001B6654"/>
    <w:rsid w:val="001B6C45"/>
    <w:rsid w:val="001B7098"/>
    <w:rsid w:val="001B7147"/>
    <w:rsid w:val="001B77C8"/>
    <w:rsid w:val="001B7AE6"/>
    <w:rsid w:val="001B7CED"/>
    <w:rsid w:val="001B7EC4"/>
    <w:rsid w:val="001C009B"/>
    <w:rsid w:val="001C020B"/>
    <w:rsid w:val="001C08E8"/>
    <w:rsid w:val="001C0DD0"/>
    <w:rsid w:val="001C0E20"/>
    <w:rsid w:val="001C1123"/>
    <w:rsid w:val="001C12C7"/>
    <w:rsid w:val="001C276E"/>
    <w:rsid w:val="001C3304"/>
    <w:rsid w:val="001C4361"/>
    <w:rsid w:val="001C4CFC"/>
    <w:rsid w:val="001C5246"/>
    <w:rsid w:val="001C553C"/>
    <w:rsid w:val="001C5C4B"/>
    <w:rsid w:val="001C6598"/>
    <w:rsid w:val="001C69D5"/>
    <w:rsid w:val="001C6AD2"/>
    <w:rsid w:val="001C6BC7"/>
    <w:rsid w:val="001C7034"/>
    <w:rsid w:val="001C7159"/>
    <w:rsid w:val="001C7F40"/>
    <w:rsid w:val="001D012B"/>
    <w:rsid w:val="001D0160"/>
    <w:rsid w:val="001D0CDA"/>
    <w:rsid w:val="001D120F"/>
    <w:rsid w:val="001D1641"/>
    <w:rsid w:val="001D23D4"/>
    <w:rsid w:val="001D31D8"/>
    <w:rsid w:val="001D3262"/>
    <w:rsid w:val="001D335C"/>
    <w:rsid w:val="001D3806"/>
    <w:rsid w:val="001D3B5A"/>
    <w:rsid w:val="001D3ED8"/>
    <w:rsid w:val="001D3F9D"/>
    <w:rsid w:val="001D4427"/>
    <w:rsid w:val="001D44DD"/>
    <w:rsid w:val="001D46C7"/>
    <w:rsid w:val="001D47B1"/>
    <w:rsid w:val="001D49DA"/>
    <w:rsid w:val="001D53CB"/>
    <w:rsid w:val="001D5A5E"/>
    <w:rsid w:val="001D65D8"/>
    <w:rsid w:val="001D68DB"/>
    <w:rsid w:val="001D7306"/>
    <w:rsid w:val="001D750C"/>
    <w:rsid w:val="001D77E5"/>
    <w:rsid w:val="001E05D9"/>
    <w:rsid w:val="001E0AFC"/>
    <w:rsid w:val="001E0EDD"/>
    <w:rsid w:val="001E10EA"/>
    <w:rsid w:val="001E1779"/>
    <w:rsid w:val="001E1AE2"/>
    <w:rsid w:val="001E1D13"/>
    <w:rsid w:val="001E234B"/>
    <w:rsid w:val="001E27B2"/>
    <w:rsid w:val="001E2AB3"/>
    <w:rsid w:val="001E3A2D"/>
    <w:rsid w:val="001E3DDF"/>
    <w:rsid w:val="001E42AC"/>
    <w:rsid w:val="001E4708"/>
    <w:rsid w:val="001E494F"/>
    <w:rsid w:val="001E4A4A"/>
    <w:rsid w:val="001E5124"/>
    <w:rsid w:val="001E5358"/>
    <w:rsid w:val="001E632A"/>
    <w:rsid w:val="001E65E6"/>
    <w:rsid w:val="001E66CB"/>
    <w:rsid w:val="001E67C0"/>
    <w:rsid w:val="001E6ABC"/>
    <w:rsid w:val="001E6BDA"/>
    <w:rsid w:val="001E6BE8"/>
    <w:rsid w:val="001E6F8F"/>
    <w:rsid w:val="001E723D"/>
    <w:rsid w:val="001E73B7"/>
    <w:rsid w:val="001E7870"/>
    <w:rsid w:val="001E79A9"/>
    <w:rsid w:val="001F01A0"/>
    <w:rsid w:val="001F0693"/>
    <w:rsid w:val="001F08C5"/>
    <w:rsid w:val="001F1472"/>
    <w:rsid w:val="001F1AB2"/>
    <w:rsid w:val="001F264A"/>
    <w:rsid w:val="001F2833"/>
    <w:rsid w:val="001F32FD"/>
    <w:rsid w:val="001F3CC5"/>
    <w:rsid w:val="001F3FDD"/>
    <w:rsid w:val="001F493F"/>
    <w:rsid w:val="001F5218"/>
    <w:rsid w:val="001F552E"/>
    <w:rsid w:val="001F5725"/>
    <w:rsid w:val="001F5D58"/>
    <w:rsid w:val="001F607C"/>
    <w:rsid w:val="001F6A9D"/>
    <w:rsid w:val="001F7075"/>
    <w:rsid w:val="001F74BB"/>
    <w:rsid w:val="001F78D9"/>
    <w:rsid w:val="001F7A2C"/>
    <w:rsid w:val="001F7A33"/>
    <w:rsid w:val="002002BB"/>
    <w:rsid w:val="00200E11"/>
    <w:rsid w:val="00200E2B"/>
    <w:rsid w:val="002013B1"/>
    <w:rsid w:val="002017DC"/>
    <w:rsid w:val="00201936"/>
    <w:rsid w:val="002019CE"/>
    <w:rsid w:val="00202927"/>
    <w:rsid w:val="00202C87"/>
    <w:rsid w:val="002031D3"/>
    <w:rsid w:val="00203B06"/>
    <w:rsid w:val="00203B5B"/>
    <w:rsid w:val="002040B5"/>
    <w:rsid w:val="002041CC"/>
    <w:rsid w:val="002046DB"/>
    <w:rsid w:val="00204785"/>
    <w:rsid w:val="00204EB2"/>
    <w:rsid w:val="002054EF"/>
    <w:rsid w:val="002056B9"/>
    <w:rsid w:val="00205824"/>
    <w:rsid w:val="00206274"/>
    <w:rsid w:val="00206730"/>
    <w:rsid w:val="00206A27"/>
    <w:rsid w:val="00206D2F"/>
    <w:rsid w:val="00206E36"/>
    <w:rsid w:val="00207279"/>
    <w:rsid w:val="00207E0D"/>
    <w:rsid w:val="0021067F"/>
    <w:rsid w:val="0021098F"/>
    <w:rsid w:val="00210B57"/>
    <w:rsid w:val="00210BEF"/>
    <w:rsid w:val="002112F5"/>
    <w:rsid w:val="00211480"/>
    <w:rsid w:val="00211C20"/>
    <w:rsid w:val="00212A35"/>
    <w:rsid w:val="00212D9F"/>
    <w:rsid w:val="00213387"/>
    <w:rsid w:val="002133FA"/>
    <w:rsid w:val="0021359E"/>
    <w:rsid w:val="0021394A"/>
    <w:rsid w:val="002139A2"/>
    <w:rsid w:val="00213A42"/>
    <w:rsid w:val="00213B8A"/>
    <w:rsid w:val="0021418C"/>
    <w:rsid w:val="002146E9"/>
    <w:rsid w:val="00214A75"/>
    <w:rsid w:val="00215066"/>
    <w:rsid w:val="00216178"/>
    <w:rsid w:val="00216D50"/>
    <w:rsid w:val="0021705D"/>
    <w:rsid w:val="0021715C"/>
    <w:rsid w:val="0021770B"/>
    <w:rsid w:val="00217824"/>
    <w:rsid w:val="00217E83"/>
    <w:rsid w:val="0022035B"/>
    <w:rsid w:val="0022051A"/>
    <w:rsid w:val="002205FF"/>
    <w:rsid w:val="00220766"/>
    <w:rsid w:val="00220CB1"/>
    <w:rsid w:val="0022103C"/>
    <w:rsid w:val="0022107C"/>
    <w:rsid w:val="00221097"/>
    <w:rsid w:val="00221370"/>
    <w:rsid w:val="00221603"/>
    <w:rsid w:val="0022175E"/>
    <w:rsid w:val="00221EE4"/>
    <w:rsid w:val="00221F92"/>
    <w:rsid w:val="00221FCA"/>
    <w:rsid w:val="002221E6"/>
    <w:rsid w:val="0022229C"/>
    <w:rsid w:val="002224A9"/>
    <w:rsid w:val="00222A8E"/>
    <w:rsid w:val="00222AA0"/>
    <w:rsid w:val="002235FB"/>
    <w:rsid w:val="00224140"/>
    <w:rsid w:val="0022457B"/>
    <w:rsid w:val="00224BB2"/>
    <w:rsid w:val="00224E1C"/>
    <w:rsid w:val="00225300"/>
    <w:rsid w:val="00225574"/>
    <w:rsid w:val="002263BE"/>
    <w:rsid w:val="00226727"/>
    <w:rsid w:val="00226992"/>
    <w:rsid w:val="002278D9"/>
    <w:rsid w:val="00227966"/>
    <w:rsid w:val="0023024B"/>
    <w:rsid w:val="0023054D"/>
    <w:rsid w:val="0023084F"/>
    <w:rsid w:val="00230BD3"/>
    <w:rsid w:val="002313DB"/>
    <w:rsid w:val="002314B5"/>
    <w:rsid w:val="00231F14"/>
    <w:rsid w:val="00233487"/>
    <w:rsid w:val="002334A1"/>
    <w:rsid w:val="0023353C"/>
    <w:rsid w:val="00233F55"/>
    <w:rsid w:val="0023407A"/>
    <w:rsid w:val="00234272"/>
    <w:rsid w:val="0023436D"/>
    <w:rsid w:val="0023450E"/>
    <w:rsid w:val="002348DE"/>
    <w:rsid w:val="00234B09"/>
    <w:rsid w:val="002351CB"/>
    <w:rsid w:val="00235559"/>
    <w:rsid w:val="0023645F"/>
    <w:rsid w:val="0023682A"/>
    <w:rsid w:val="00236F8F"/>
    <w:rsid w:val="00237506"/>
    <w:rsid w:val="00237929"/>
    <w:rsid w:val="00237F32"/>
    <w:rsid w:val="00240000"/>
    <w:rsid w:val="0024003D"/>
    <w:rsid w:val="00240071"/>
    <w:rsid w:val="00240361"/>
    <w:rsid w:val="00240790"/>
    <w:rsid w:val="002408D9"/>
    <w:rsid w:val="00240A62"/>
    <w:rsid w:val="00240D97"/>
    <w:rsid w:val="0024177A"/>
    <w:rsid w:val="00241893"/>
    <w:rsid w:val="00241C08"/>
    <w:rsid w:val="00241D7E"/>
    <w:rsid w:val="002421E7"/>
    <w:rsid w:val="002427FF"/>
    <w:rsid w:val="002428D8"/>
    <w:rsid w:val="002428EC"/>
    <w:rsid w:val="00242F5A"/>
    <w:rsid w:val="0024357E"/>
    <w:rsid w:val="00244509"/>
    <w:rsid w:val="00244897"/>
    <w:rsid w:val="002448D8"/>
    <w:rsid w:val="00244CD2"/>
    <w:rsid w:val="00245151"/>
    <w:rsid w:val="002453E5"/>
    <w:rsid w:val="00245E99"/>
    <w:rsid w:val="00246B96"/>
    <w:rsid w:val="00246C0E"/>
    <w:rsid w:val="00246C9E"/>
    <w:rsid w:val="002470B4"/>
    <w:rsid w:val="00247AC8"/>
    <w:rsid w:val="00247CCD"/>
    <w:rsid w:val="00247EEB"/>
    <w:rsid w:val="00247FD8"/>
    <w:rsid w:val="002519BF"/>
    <w:rsid w:val="00251D42"/>
    <w:rsid w:val="00251ED6"/>
    <w:rsid w:val="002520C0"/>
    <w:rsid w:val="00252172"/>
    <w:rsid w:val="002521C8"/>
    <w:rsid w:val="00252369"/>
    <w:rsid w:val="002527EA"/>
    <w:rsid w:val="00252B33"/>
    <w:rsid w:val="00252C39"/>
    <w:rsid w:val="00252FA1"/>
    <w:rsid w:val="0025357E"/>
    <w:rsid w:val="00253759"/>
    <w:rsid w:val="0025397B"/>
    <w:rsid w:val="00253991"/>
    <w:rsid w:val="00253B71"/>
    <w:rsid w:val="00253CC2"/>
    <w:rsid w:val="002542D5"/>
    <w:rsid w:val="00254685"/>
    <w:rsid w:val="00255605"/>
    <w:rsid w:val="00255B59"/>
    <w:rsid w:val="00255D03"/>
    <w:rsid w:val="00255D5B"/>
    <w:rsid w:val="00256405"/>
    <w:rsid w:val="002565B2"/>
    <w:rsid w:val="0025756C"/>
    <w:rsid w:val="00257975"/>
    <w:rsid w:val="00257EAC"/>
    <w:rsid w:val="002604B0"/>
    <w:rsid w:val="0026060D"/>
    <w:rsid w:val="00260924"/>
    <w:rsid w:val="00260E72"/>
    <w:rsid w:val="00260F5C"/>
    <w:rsid w:val="002611C9"/>
    <w:rsid w:val="00261474"/>
    <w:rsid w:val="002615AD"/>
    <w:rsid w:val="0026189F"/>
    <w:rsid w:val="002619C5"/>
    <w:rsid w:val="00261A9A"/>
    <w:rsid w:val="00261FD5"/>
    <w:rsid w:val="0026246F"/>
    <w:rsid w:val="00262588"/>
    <w:rsid w:val="00262763"/>
    <w:rsid w:val="00262A8E"/>
    <w:rsid w:val="0026307B"/>
    <w:rsid w:val="00263461"/>
    <w:rsid w:val="002634BD"/>
    <w:rsid w:val="00263A7D"/>
    <w:rsid w:val="002644D4"/>
    <w:rsid w:val="00264B11"/>
    <w:rsid w:val="002656D5"/>
    <w:rsid w:val="00265BA4"/>
    <w:rsid w:val="00265FC4"/>
    <w:rsid w:val="002670C5"/>
    <w:rsid w:val="002673ED"/>
    <w:rsid w:val="002674E3"/>
    <w:rsid w:val="002676D4"/>
    <w:rsid w:val="00267C94"/>
    <w:rsid w:val="00267EF8"/>
    <w:rsid w:val="00267F45"/>
    <w:rsid w:val="00270255"/>
    <w:rsid w:val="002708ED"/>
    <w:rsid w:val="002709C5"/>
    <w:rsid w:val="002709CD"/>
    <w:rsid w:val="002710FE"/>
    <w:rsid w:val="00272510"/>
    <w:rsid w:val="00272ADE"/>
    <w:rsid w:val="00272CD9"/>
    <w:rsid w:val="00273281"/>
    <w:rsid w:val="0027362C"/>
    <w:rsid w:val="00273864"/>
    <w:rsid w:val="00273AEA"/>
    <w:rsid w:val="00273E5D"/>
    <w:rsid w:val="00274015"/>
    <w:rsid w:val="002740E9"/>
    <w:rsid w:val="002743D8"/>
    <w:rsid w:val="0027446D"/>
    <w:rsid w:val="00274525"/>
    <w:rsid w:val="002749C6"/>
    <w:rsid w:val="00274AA9"/>
    <w:rsid w:val="00274CF4"/>
    <w:rsid w:val="00275A34"/>
    <w:rsid w:val="00275ADE"/>
    <w:rsid w:val="00275D0B"/>
    <w:rsid w:val="00275FFE"/>
    <w:rsid w:val="00276378"/>
    <w:rsid w:val="00276CF8"/>
    <w:rsid w:val="00276FFC"/>
    <w:rsid w:val="0027706E"/>
    <w:rsid w:val="002775EB"/>
    <w:rsid w:val="002776DD"/>
    <w:rsid w:val="002777C6"/>
    <w:rsid w:val="00277F25"/>
    <w:rsid w:val="0028011A"/>
    <w:rsid w:val="0028027E"/>
    <w:rsid w:val="002810D5"/>
    <w:rsid w:val="0028165D"/>
    <w:rsid w:val="002816BD"/>
    <w:rsid w:val="0028170A"/>
    <w:rsid w:val="002822D6"/>
    <w:rsid w:val="00282AAE"/>
    <w:rsid w:val="00282C8F"/>
    <w:rsid w:val="00283272"/>
    <w:rsid w:val="00284437"/>
    <w:rsid w:val="00284651"/>
    <w:rsid w:val="0028497D"/>
    <w:rsid w:val="00284BE9"/>
    <w:rsid w:val="002857B7"/>
    <w:rsid w:val="00285804"/>
    <w:rsid w:val="002858C2"/>
    <w:rsid w:val="002858F9"/>
    <w:rsid w:val="00285CF1"/>
    <w:rsid w:val="00285DD0"/>
    <w:rsid w:val="00285F28"/>
    <w:rsid w:val="00286660"/>
    <w:rsid w:val="00286F69"/>
    <w:rsid w:val="00287302"/>
    <w:rsid w:val="002877E5"/>
    <w:rsid w:val="00287C85"/>
    <w:rsid w:val="00290210"/>
    <w:rsid w:val="0029028E"/>
    <w:rsid w:val="00290333"/>
    <w:rsid w:val="00290868"/>
    <w:rsid w:val="00290A06"/>
    <w:rsid w:val="00290C96"/>
    <w:rsid w:val="00290F20"/>
    <w:rsid w:val="002920B3"/>
    <w:rsid w:val="00292C58"/>
    <w:rsid w:val="00293090"/>
    <w:rsid w:val="00293524"/>
    <w:rsid w:val="002936AE"/>
    <w:rsid w:val="00293721"/>
    <w:rsid w:val="00294187"/>
    <w:rsid w:val="002942F5"/>
    <w:rsid w:val="00294999"/>
    <w:rsid w:val="002949B5"/>
    <w:rsid w:val="00294B1A"/>
    <w:rsid w:val="00294C6E"/>
    <w:rsid w:val="00294D2E"/>
    <w:rsid w:val="00294DAD"/>
    <w:rsid w:val="00295CC2"/>
    <w:rsid w:val="00295D3C"/>
    <w:rsid w:val="002960EA"/>
    <w:rsid w:val="00296356"/>
    <w:rsid w:val="002A03F5"/>
    <w:rsid w:val="002A0561"/>
    <w:rsid w:val="002A0828"/>
    <w:rsid w:val="002A09F7"/>
    <w:rsid w:val="002A0C63"/>
    <w:rsid w:val="002A0D6C"/>
    <w:rsid w:val="002A0E26"/>
    <w:rsid w:val="002A1060"/>
    <w:rsid w:val="002A1E06"/>
    <w:rsid w:val="002A27A0"/>
    <w:rsid w:val="002A2E6B"/>
    <w:rsid w:val="002A2FEF"/>
    <w:rsid w:val="002A309A"/>
    <w:rsid w:val="002A31B0"/>
    <w:rsid w:val="002A31FB"/>
    <w:rsid w:val="002A3372"/>
    <w:rsid w:val="002A36CC"/>
    <w:rsid w:val="002A3AA9"/>
    <w:rsid w:val="002A3E43"/>
    <w:rsid w:val="002A465F"/>
    <w:rsid w:val="002A4A33"/>
    <w:rsid w:val="002A4C49"/>
    <w:rsid w:val="002A4CCB"/>
    <w:rsid w:val="002A507A"/>
    <w:rsid w:val="002A561B"/>
    <w:rsid w:val="002A57BF"/>
    <w:rsid w:val="002A5BD2"/>
    <w:rsid w:val="002A5C5C"/>
    <w:rsid w:val="002A6079"/>
    <w:rsid w:val="002A6356"/>
    <w:rsid w:val="002A6AE6"/>
    <w:rsid w:val="002A6B65"/>
    <w:rsid w:val="002A6CC3"/>
    <w:rsid w:val="002A7168"/>
    <w:rsid w:val="002A76C0"/>
    <w:rsid w:val="002B0199"/>
    <w:rsid w:val="002B08C9"/>
    <w:rsid w:val="002B0B80"/>
    <w:rsid w:val="002B0BB7"/>
    <w:rsid w:val="002B0C06"/>
    <w:rsid w:val="002B0CB3"/>
    <w:rsid w:val="002B125C"/>
    <w:rsid w:val="002B1272"/>
    <w:rsid w:val="002B2287"/>
    <w:rsid w:val="002B28A4"/>
    <w:rsid w:val="002B2988"/>
    <w:rsid w:val="002B2B52"/>
    <w:rsid w:val="002B2B80"/>
    <w:rsid w:val="002B2C48"/>
    <w:rsid w:val="002B2C53"/>
    <w:rsid w:val="002B324D"/>
    <w:rsid w:val="002B3326"/>
    <w:rsid w:val="002B3410"/>
    <w:rsid w:val="002B36C1"/>
    <w:rsid w:val="002B3B3F"/>
    <w:rsid w:val="002B3D0D"/>
    <w:rsid w:val="002B424C"/>
    <w:rsid w:val="002B4543"/>
    <w:rsid w:val="002B4F0B"/>
    <w:rsid w:val="002B4F52"/>
    <w:rsid w:val="002B528C"/>
    <w:rsid w:val="002B562F"/>
    <w:rsid w:val="002B5BE6"/>
    <w:rsid w:val="002B664B"/>
    <w:rsid w:val="002B74F3"/>
    <w:rsid w:val="002B79E2"/>
    <w:rsid w:val="002C093F"/>
    <w:rsid w:val="002C1290"/>
    <w:rsid w:val="002C1680"/>
    <w:rsid w:val="002C19A1"/>
    <w:rsid w:val="002C1FE4"/>
    <w:rsid w:val="002C294D"/>
    <w:rsid w:val="002C2A93"/>
    <w:rsid w:val="002C319C"/>
    <w:rsid w:val="002C45C8"/>
    <w:rsid w:val="002C4DF0"/>
    <w:rsid w:val="002C5A43"/>
    <w:rsid w:val="002C5B8C"/>
    <w:rsid w:val="002C5F15"/>
    <w:rsid w:val="002C5F3F"/>
    <w:rsid w:val="002C5F42"/>
    <w:rsid w:val="002C62B6"/>
    <w:rsid w:val="002C6398"/>
    <w:rsid w:val="002C6702"/>
    <w:rsid w:val="002C6CFF"/>
    <w:rsid w:val="002C6FFB"/>
    <w:rsid w:val="002C76A4"/>
    <w:rsid w:val="002C78B0"/>
    <w:rsid w:val="002C7D63"/>
    <w:rsid w:val="002C7D7D"/>
    <w:rsid w:val="002C7E74"/>
    <w:rsid w:val="002C7FE2"/>
    <w:rsid w:val="002D0B28"/>
    <w:rsid w:val="002D0F1F"/>
    <w:rsid w:val="002D1262"/>
    <w:rsid w:val="002D1370"/>
    <w:rsid w:val="002D16E5"/>
    <w:rsid w:val="002D1AE6"/>
    <w:rsid w:val="002D1AF9"/>
    <w:rsid w:val="002D1BF7"/>
    <w:rsid w:val="002D2319"/>
    <w:rsid w:val="002D394E"/>
    <w:rsid w:val="002D39F9"/>
    <w:rsid w:val="002D3BC1"/>
    <w:rsid w:val="002D3F12"/>
    <w:rsid w:val="002D4525"/>
    <w:rsid w:val="002D4C01"/>
    <w:rsid w:val="002D549E"/>
    <w:rsid w:val="002D58AF"/>
    <w:rsid w:val="002D6539"/>
    <w:rsid w:val="002D6795"/>
    <w:rsid w:val="002D6D91"/>
    <w:rsid w:val="002D7197"/>
    <w:rsid w:val="002D73D9"/>
    <w:rsid w:val="002D73E5"/>
    <w:rsid w:val="002E0303"/>
    <w:rsid w:val="002E08B5"/>
    <w:rsid w:val="002E0A1E"/>
    <w:rsid w:val="002E139B"/>
    <w:rsid w:val="002E147F"/>
    <w:rsid w:val="002E2BEF"/>
    <w:rsid w:val="002E2E15"/>
    <w:rsid w:val="002E2F32"/>
    <w:rsid w:val="002E3397"/>
    <w:rsid w:val="002E392E"/>
    <w:rsid w:val="002E3D45"/>
    <w:rsid w:val="002E3E80"/>
    <w:rsid w:val="002E41F9"/>
    <w:rsid w:val="002E479F"/>
    <w:rsid w:val="002E48E4"/>
    <w:rsid w:val="002E4A9E"/>
    <w:rsid w:val="002E4D11"/>
    <w:rsid w:val="002E502D"/>
    <w:rsid w:val="002E5B14"/>
    <w:rsid w:val="002E5E3A"/>
    <w:rsid w:val="002E6203"/>
    <w:rsid w:val="002E674E"/>
    <w:rsid w:val="002E6754"/>
    <w:rsid w:val="002E68A9"/>
    <w:rsid w:val="002E6EE3"/>
    <w:rsid w:val="002E738E"/>
    <w:rsid w:val="002E7C6F"/>
    <w:rsid w:val="002E7E00"/>
    <w:rsid w:val="002E7F48"/>
    <w:rsid w:val="002F0418"/>
    <w:rsid w:val="002F0667"/>
    <w:rsid w:val="002F1244"/>
    <w:rsid w:val="002F14F1"/>
    <w:rsid w:val="002F314C"/>
    <w:rsid w:val="002F38EC"/>
    <w:rsid w:val="002F3B1F"/>
    <w:rsid w:val="002F45FD"/>
    <w:rsid w:val="002F4AFB"/>
    <w:rsid w:val="002F4B10"/>
    <w:rsid w:val="002F50A0"/>
    <w:rsid w:val="002F52E3"/>
    <w:rsid w:val="002F53EF"/>
    <w:rsid w:val="002F57C5"/>
    <w:rsid w:val="002F5901"/>
    <w:rsid w:val="002F5DFB"/>
    <w:rsid w:val="002F6E6C"/>
    <w:rsid w:val="002F7593"/>
    <w:rsid w:val="002F761D"/>
    <w:rsid w:val="002F785E"/>
    <w:rsid w:val="002F7995"/>
    <w:rsid w:val="003000EE"/>
    <w:rsid w:val="00300265"/>
    <w:rsid w:val="0030087A"/>
    <w:rsid w:val="00300A28"/>
    <w:rsid w:val="00301184"/>
    <w:rsid w:val="003018EE"/>
    <w:rsid w:val="003019E9"/>
    <w:rsid w:val="00301C36"/>
    <w:rsid w:val="00301C7B"/>
    <w:rsid w:val="00302559"/>
    <w:rsid w:val="00303244"/>
    <w:rsid w:val="003033E3"/>
    <w:rsid w:val="0030366F"/>
    <w:rsid w:val="0030384F"/>
    <w:rsid w:val="00303943"/>
    <w:rsid w:val="00303F7B"/>
    <w:rsid w:val="00304273"/>
    <w:rsid w:val="003050E6"/>
    <w:rsid w:val="0030535A"/>
    <w:rsid w:val="003053BD"/>
    <w:rsid w:val="00305CA1"/>
    <w:rsid w:val="00305EFD"/>
    <w:rsid w:val="00306011"/>
    <w:rsid w:val="00306194"/>
    <w:rsid w:val="003062FE"/>
    <w:rsid w:val="00306317"/>
    <w:rsid w:val="00306AAC"/>
    <w:rsid w:val="00306CD4"/>
    <w:rsid w:val="0030758B"/>
    <w:rsid w:val="00307659"/>
    <w:rsid w:val="00307815"/>
    <w:rsid w:val="00307B63"/>
    <w:rsid w:val="00307BF2"/>
    <w:rsid w:val="003102BF"/>
    <w:rsid w:val="00310528"/>
    <w:rsid w:val="0031066C"/>
    <w:rsid w:val="0031096E"/>
    <w:rsid w:val="00311804"/>
    <w:rsid w:val="0031182B"/>
    <w:rsid w:val="00311B69"/>
    <w:rsid w:val="00311B8E"/>
    <w:rsid w:val="00311E9E"/>
    <w:rsid w:val="00312F28"/>
    <w:rsid w:val="00313219"/>
    <w:rsid w:val="0031327A"/>
    <w:rsid w:val="003133F6"/>
    <w:rsid w:val="00313B9F"/>
    <w:rsid w:val="00313BF0"/>
    <w:rsid w:val="00313F08"/>
    <w:rsid w:val="00314431"/>
    <w:rsid w:val="003148D5"/>
    <w:rsid w:val="00314A38"/>
    <w:rsid w:val="003152D3"/>
    <w:rsid w:val="0031562D"/>
    <w:rsid w:val="00315AF8"/>
    <w:rsid w:val="003161F7"/>
    <w:rsid w:val="0031648D"/>
    <w:rsid w:val="00317116"/>
    <w:rsid w:val="00317289"/>
    <w:rsid w:val="0031744A"/>
    <w:rsid w:val="003177C0"/>
    <w:rsid w:val="003208AC"/>
    <w:rsid w:val="00320960"/>
    <w:rsid w:val="003211DF"/>
    <w:rsid w:val="0032141E"/>
    <w:rsid w:val="00321604"/>
    <w:rsid w:val="00321913"/>
    <w:rsid w:val="00321983"/>
    <w:rsid w:val="00321F6E"/>
    <w:rsid w:val="0032224B"/>
    <w:rsid w:val="00322301"/>
    <w:rsid w:val="00322779"/>
    <w:rsid w:val="00322915"/>
    <w:rsid w:val="00322FE1"/>
    <w:rsid w:val="00323662"/>
    <w:rsid w:val="003237A0"/>
    <w:rsid w:val="003241C7"/>
    <w:rsid w:val="00324238"/>
    <w:rsid w:val="003244CF"/>
    <w:rsid w:val="003248D2"/>
    <w:rsid w:val="00324C14"/>
    <w:rsid w:val="00324FE2"/>
    <w:rsid w:val="00325A92"/>
    <w:rsid w:val="00326312"/>
    <w:rsid w:val="00326771"/>
    <w:rsid w:val="00326A0D"/>
    <w:rsid w:val="00326B0F"/>
    <w:rsid w:val="00326C8F"/>
    <w:rsid w:val="00327191"/>
    <w:rsid w:val="003272A4"/>
    <w:rsid w:val="00327545"/>
    <w:rsid w:val="00327DD4"/>
    <w:rsid w:val="00330073"/>
    <w:rsid w:val="00330085"/>
    <w:rsid w:val="003306CA"/>
    <w:rsid w:val="003308C7"/>
    <w:rsid w:val="0033094C"/>
    <w:rsid w:val="00330C22"/>
    <w:rsid w:val="003313EF"/>
    <w:rsid w:val="0033176F"/>
    <w:rsid w:val="0033178E"/>
    <w:rsid w:val="00331B05"/>
    <w:rsid w:val="00331C61"/>
    <w:rsid w:val="00332132"/>
    <w:rsid w:val="003333B9"/>
    <w:rsid w:val="00333CBA"/>
    <w:rsid w:val="00333E91"/>
    <w:rsid w:val="0033407A"/>
    <w:rsid w:val="003345E5"/>
    <w:rsid w:val="003349C1"/>
    <w:rsid w:val="00334F27"/>
    <w:rsid w:val="003350AA"/>
    <w:rsid w:val="003350EB"/>
    <w:rsid w:val="00335939"/>
    <w:rsid w:val="0033596D"/>
    <w:rsid w:val="00335A20"/>
    <w:rsid w:val="00335B51"/>
    <w:rsid w:val="00335B63"/>
    <w:rsid w:val="00335EC8"/>
    <w:rsid w:val="0033640D"/>
    <w:rsid w:val="003375B4"/>
    <w:rsid w:val="0033766C"/>
    <w:rsid w:val="0033784F"/>
    <w:rsid w:val="00337923"/>
    <w:rsid w:val="00337BA2"/>
    <w:rsid w:val="00337D3C"/>
    <w:rsid w:val="00337D91"/>
    <w:rsid w:val="00337F08"/>
    <w:rsid w:val="00340383"/>
    <w:rsid w:val="00341161"/>
    <w:rsid w:val="00341211"/>
    <w:rsid w:val="00341740"/>
    <w:rsid w:val="00341BFE"/>
    <w:rsid w:val="00342655"/>
    <w:rsid w:val="00343026"/>
    <w:rsid w:val="003437D2"/>
    <w:rsid w:val="00343A2E"/>
    <w:rsid w:val="00343E03"/>
    <w:rsid w:val="00344841"/>
    <w:rsid w:val="00344C2F"/>
    <w:rsid w:val="003457D0"/>
    <w:rsid w:val="003457E9"/>
    <w:rsid w:val="00345EDE"/>
    <w:rsid w:val="00345F2D"/>
    <w:rsid w:val="00346755"/>
    <w:rsid w:val="00346E99"/>
    <w:rsid w:val="00347091"/>
    <w:rsid w:val="003471DC"/>
    <w:rsid w:val="00347918"/>
    <w:rsid w:val="00347A42"/>
    <w:rsid w:val="00350048"/>
    <w:rsid w:val="003500C6"/>
    <w:rsid w:val="00350175"/>
    <w:rsid w:val="00350998"/>
    <w:rsid w:val="0035148E"/>
    <w:rsid w:val="00351DF0"/>
    <w:rsid w:val="0035217C"/>
    <w:rsid w:val="00352252"/>
    <w:rsid w:val="003522AD"/>
    <w:rsid w:val="00352717"/>
    <w:rsid w:val="00352860"/>
    <w:rsid w:val="003529EC"/>
    <w:rsid w:val="00353BD9"/>
    <w:rsid w:val="00354811"/>
    <w:rsid w:val="00354BE1"/>
    <w:rsid w:val="003550A1"/>
    <w:rsid w:val="0035522B"/>
    <w:rsid w:val="00355258"/>
    <w:rsid w:val="003553C9"/>
    <w:rsid w:val="00355761"/>
    <w:rsid w:val="00355835"/>
    <w:rsid w:val="003559C2"/>
    <w:rsid w:val="00355C1D"/>
    <w:rsid w:val="00355F6E"/>
    <w:rsid w:val="00356402"/>
    <w:rsid w:val="0035672B"/>
    <w:rsid w:val="003568B3"/>
    <w:rsid w:val="003569CD"/>
    <w:rsid w:val="00356A62"/>
    <w:rsid w:val="00356C36"/>
    <w:rsid w:val="003574C6"/>
    <w:rsid w:val="0035759A"/>
    <w:rsid w:val="00357C2C"/>
    <w:rsid w:val="00357D21"/>
    <w:rsid w:val="00360C25"/>
    <w:rsid w:val="00360C57"/>
    <w:rsid w:val="00360EF9"/>
    <w:rsid w:val="003612F6"/>
    <w:rsid w:val="003615FD"/>
    <w:rsid w:val="00361B3A"/>
    <w:rsid w:val="00361C7F"/>
    <w:rsid w:val="00361C8F"/>
    <w:rsid w:val="003621BF"/>
    <w:rsid w:val="00362218"/>
    <w:rsid w:val="00362FCD"/>
    <w:rsid w:val="003631FC"/>
    <w:rsid w:val="0036352A"/>
    <w:rsid w:val="00363755"/>
    <w:rsid w:val="00363BB5"/>
    <w:rsid w:val="00363C72"/>
    <w:rsid w:val="00363EFE"/>
    <w:rsid w:val="003648F7"/>
    <w:rsid w:val="00364B91"/>
    <w:rsid w:val="00364FF8"/>
    <w:rsid w:val="00365311"/>
    <w:rsid w:val="0036540A"/>
    <w:rsid w:val="003658E4"/>
    <w:rsid w:val="003677E5"/>
    <w:rsid w:val="00367A60"/>
    <w:rsid w:val="00367B52"/>
    <w:rsid w:val="00367CCA"/>
    <w:rsid w:val="00367F94"/>
    <w:rsid w:val="00367FCE"/>
    <w:rsid w:val="0037065C"/>
    <w:rsid w:val="0037069D"/>
    <w:rsid w:val="00370D77"/>
    <w:rsid w:val="00370D97"/>
    <w:rsid w:val="003713D1"/>
    <w:rsid w:val="0037148F"/>
    <w:rsid w:val="003717EB"/>
    <w:rsid w:val="003718F8"/>
    <w:rsid w:val="00371FBE"/>
    <w:rsid w:val="00372180"/>
    <w:rsid w:val="003723B0"/>
    <w:rsid w:val="0037245C"/>
    <w:rsid w:val="00372807"/>
    <w:rsid w:val="00372A0A"/>
    <w:rsid w:val="00372B9E"/>
    <w:rsid w:val="003731DA"/>
    <w:rsid w:val="00373567"/>
    <w:rsid w:val="00373C8B"/>
    <w:rsid w:val="00373DA9"/>
    <w:rsid w:val="00373DAC"/>
    <w:rsid w:val="00374446"/>
    <w:rsid w:val="003747DD"/>
    <w:rsid w:val="00374A2B"/>
    <w:rsid w:val="00374A89"/>
    <w:rsid w:val="00374AAB"/>
    <w:rsid w:val="00374DC0"/>
    <w:rsid w:val="003753CE"/>
    <w:rsid w:val="003754F3"/>
    <w:rsid w:val="00375516"/>
    <w:rsid w:val="003757F7"/>
    <w:rsid w:val="00375ECB"/>
    <w:rsid w:val="00376032"/>
    <w:rsid w:val="0037638A"/>
    <w:rsid w:val="0037653D"/>
    <w:rsid w:val="0037653E"/>
    <w:rsid w:val="00376C81"/>
    <w:rsid w:val="00377B48"/>
    <w:rsid w:val="003802EE"/>
    <w:rsid w:val="00380D16"/>
    <w:rsid w:val="00381115"/>
    <w:rsid w:val="003812CE"/>
    <w:rsid w:val="00381DA0"/>
    <w:rsid w:val="00382760"/>
    <w:rsid w:val="00382B3D"/>
    <w:rsid w:val="00383698"/>
    <w:rsid w:val="0038387A"/>
    <w:rsid w:val="00383D99"/>
    <w:rsid w:val="00384100"/>
    <w:rsid w:val="00384421"/>
    <w:rsid w:val="003846DE"/>
    <w:rsid w:val="0038478F"/>
    <w:rsid w:val="00384BFB"/>
    <w:rsid w:val="00384E56"/>
    <w:rsid w:val="0038529F"/>
    <w:rsid w:val="003853C1"/>
    <w:rsid w:val="00385411"/>
    <w:rsid w:val="00385C05"/>
    <w:rsid w:val="00385E69"/>
    <w:rsid w:val="00385F73"/>
    <w:rsid w:val="00386128"/>
    <w:rsid w:val="00386443"/>
    <w:rsid w:val="00386E8E"/>
    <w:rsid w:val="00387482"/>
    <w:rsid w:val="0038769C"/>
    <w:rsid w:val="003876F9"/>
    <w:rsid w:val="00387F35"/>
    <w:rsid w:val="003902D0"/>
    <w:rsid w:val="00390BCC"/>
    <w:rsid w:val="00390C52"/>
    <w:rsid w:val="00390ED7"/>
    <w:rsid w:val="0039101E"/>
    <w:rsid w:val="003910DD"/>
    <w:rsid w:val="00391131"/>
    <w:rsid w:val="003916B4"/>
    <w:rsid w:val="00391A46"/>
    <w:rsid w:val="00391F0B"/>
    <w:rsid w:val="00392157"/>
    <w:rsid w:val="003921AF"/>
    <w:rsid w:val="003923E2"/>
    <w:rsid w:val="003929C3"/>
    <w:rsid w:val="00392D9A"/>
    <w:rsid w:val="00393199"/>
    <w:rsid w:val="003939F9"/>
    <w:rsid w:val="00393DF6"/>
    <w:rsid w:val="003945E3"/>
    <w:rsid w:val="003946D6"/>
    <w:rsid w:val="003947D5"/>
    <w:rsid w:val="00394B15"/>
    <w:rsid w:val="00394D68"/>
    <w:rsid w:val="00395611"/>
    <w:rsid w:val="00395746"/>
    <w:rsid w:val="00395867"/>
    <w:rsid w:val="00396BF4"/>
    <w:rsid w:val="00396C77"/>
    <w:rsid w:val="00397C12"/>
    <w:rsid w:val="003A09F1"/>
    <w:rsid w:val="003A0AFF"/>
    <w:rsid w:val="003A0B21"/>
    <w:rsid w:val="003A177E"/>
    <w:rsid w:val="003A1BF4"/>
    <w:rsid w:val="003A1BF9"/>
    <w:rsid w:val="003A1EEA"/>
    <w:rsid w:val="003A1FE0"/>
    <w:rsid w:val="003A2BC9"/>
    <w:rsid w:val="003A2D3B"/>
    <w:rsid w:val="003A3534"/>
    <w:rsid w:val="003A36F8"/>
    <w:rsid w:val="003A3A1F"/>
    <w:rsid w:val="003A3C10"/>
    <w:rsid w:val="003A3C82"/>
    <w:rsid w:val="003A3FC0"/>
    <w:rsid w:val="003A42AC"/>
    <w:rsid w:val="003A4658"/>
    <w:rsid w:val="003A4DB7"/>
    <w:rsid w:val="003A4F5E"/>
    <w:rsid w:val="003A51BD"/>
    <w:rsid w:val="003A5514"/>
    <w:rsid w:val="003A5768"/>
    <w:rsid w:val="003A5BB3"/>
    <w:rsid w:val="003A5D39"/>
    <w:rsid w:val="003A6B3F"/>
    <w:rsid w:val="003A7031"/>
    <w:rsid w:val="003A7231"/>
    <w:rsid w:val="003A7A5A"/>
    <w:rsid w:val="003B0B86"/>
    <w:rsid w:val="003B14C4"/>
    <w:rsid w:val="003B1593"/>
    <w:rsid w:val="003B275B"/>
    <w:rsid w:val="003B2E5B"/>
    <w:rsid w:val="003B3757"/>
    <w:rsid w:val="003B3978"/>
    <w:rsid w:val="003B39DD"/>
    <w:rsid w:val="003B409E"/>
    <w:rsid w:val="003B4321"/>
    <w:rsid w:val="003B43AB"/>
    <w:rsid w:val="003B44C6"/>
    <w:rsid w:val="003B4A66"/>
    <w:rsid w:val="003B5502"/>
    <w:rsid w:val="003B5742"/>
    <w:rsid w:val="003B575B"/>
    <w:rsid w:val="003B58CA"/>
    <w:rsid w:val="003B677B"/>
    <w:rsid w:val="003B697A"/>
    <w:rsid w:val="003B6CAA"/>
    <w:rsid w:val="003B7207"/>
    <w:rsid w:val="003B79F6"/>
    <w:rsid w:val="003B7AB3"/>
    <w:rsid w:val="003B7C97"/>
    <w:rsid w:val="003B7D0E"/>
    <w:rsid w:val="003C053E"/>
    <w:rsid w:val="003C0B7F"/>
    <w:rsid w:val="003C0E17"/>
    <w:rsid w:val="003C175D"/>
    <w:rsid w:val="003C1A57"/>
    <w:rsid w:val="003C1B4E"/>
    <w:rsid w:val="003C1BAA"/>
    <w:rsid w:val="003C202E"/>
    <w:rsid w:val="003C23A1"/>
    <w:rsid w:val="003C2C6C"/>
    <w:rsid w:val="003C313C"/>
    <w:rsid w:val="003C37E1"/>
    <w:rsid w:val="003C37EF"/>
    <w:rsid w:val="003C3A8F"/>
    <w:rsid w:val="003C3BCC"/>
    <w:rsid w:val="003C59CC"/>
    <w:rsid w:val="003C5A8D"/>
    <w:rsid w:val="003C5A9B"/>
    <w:rsid w:val="003C5FAB"/>
    <w:rsid w:val="003C6391"/>
    <w:rsid w:val="003C6AF4"/>
    <w:rsid w:val="003C6B26"/>
    <w:rsid w:val="003C709A"/>
    <w:rsid w:val="003C74F1"/>
    <w:rsid w:val="003C7794"/>
    <w:rsid w:val="003C7CC9"/>
    <w:rsid w:val="003D077D"/>
    <w:rsid w:val="003D09D2"/>
    <w:rsid w:val="003D0CC0"/>
    <w:rsid w:val="003D0DC9"/>
    <w:rsid w:val="003D0F53"/>
    <w:rsid w:val="003D1831"/>
    <w:rsid w:val="003D1990"/>
    <w:rsid w:val="003D1B86"/>
    <w:rsid w:val="003D1DAB"/>
    <w:rsid w:val="003D244F"/>
    <w:rsid w:val="003D24D7"/>
    <w:rsid w:val="003D2675"/>
    <w:rsid w:val="003D2B15"/>
    <w:rsid w:val="003D315A"/>
    <w:rsid w:val="003D33E1"/>
    <w:rsid w:val="003D34B2"/>
    <w:rsid w:val="003D34D4"/>
    <w:rsid w:val="003D354B"/>
    <w:rsid w:val="003D3796"/>
    <w:rsid w:val="003D4046"/>
    <w:rsid w:val="003D453E"/>
    <w:rsid w:val="003D460E"/>
    <w:rsid w:val="003D4A35"/>
    <w:rsid w:val="003D4E15"/>
    <w:rsid w:val="003D5C03"/>
    <w:rsid w:val="003D5D3D"/>
    <w:rsid w:val="003D62DB"/>
    <w:rsid w:val="003D6779"/>
    <w:rsid w:val="003D6810"/>
    <w:rsid w:val="003D6D4F"/>
    <w:rsid w:val="003D7311"/>
    <w:rsid w:val="003E056C"/>
    <w:rsid w:val="003E092D"/>
    <w:rsid w:val="003E151C"/>
    <w:rsid w:val="003E16FE"/>
    <w:rsid w:val="003E17CE"/>
    <w:rsid w:val="003E1E5F"/>
    <w:rsid w:val="003E1FF0"/>
    <w:rsid w:val="003E2161"/>
    <w:rsid w:val="003E232F"/>
    <w:rsid w:val="003E25C1"/>
    <w:rsid w:val="003E2C88"/>
    <w:rsid w:val="003E2FDF"/>
    <w:rsid w:val="003E3575"/>
    <w:rsid w:val="003E3F16"/>
    <w:rsid w:val="003E43E4"/>
    <w:rsid w:val="003E46C9"/>
    <w:rsid w:val="003E4AF2"/>
    <w:rsid w:val="003E4BD6"/>
    <w:rsid w:val="003E4C65"/>
    <w:rsid w:val="003E4F6E"/>
    <w:rsid w:val="003E5133"/>
    <w:rsid w:val="003E54DD"/>
    <w:rsid w:val="003E619E"/>
    <w:rsid w:val="003E642F"/>
    <w:rsid w:val="003E6667"/>
    <w:rsid w:val="003E6C12"/>
    <w:rsid w:val="003E7A10"/>
    <w:rsid w:val="003F06C3"/>
    <w:rsid w:val="003F0806"/>
    <w:rsid w:val="003F09B1"/>
    <w:rsid w:val="003F1006"/>
    <w:rsid w:val="003F2BB4"/>
    <w:rsid w:val="003F30B1"/>
    <w:rsid w:val="003F323C"/>
    <w:rsid w:val="003F330E"/>
    <w:rsid w:val="003F3572"/>
    <w:rsid w:val="003F358F"/>
    <w:rsid w:val="003F3802"/>
    <w:rsid w:val="003F3DB5"/>
    <w:rsid w:val="003F4D23"/>
    <w:rsid w:val="003F530B"/>
    <w:rsid w:val="003F5C49"/>
    <w:rsid w:val="003F5D1A"/>
    <w:rsid w:val="003F5FA2"/>
    <w:rsid w:val="003F67C4"/>
    <w:rsid w:val="003F67EC"/>
    <w:rsid w:val="003F6837"/>
    <w:rsid w:val="003F6A34"/>
    <w:rsid w:val="003F6EFB"/>
    <w:rsid w:val="003F74B6"/>
    <w:rsid w:val="003F7575"/>
    <w:rsid w:val="003F7C65"/>
    <w:rsid w:val="003F7FB5"/>
    <w:rsid w:val="004001AC"/>
    <w:rsid w:val="00400263"/>
    <w:rsid w:val="004008AB"/>
    <w:rsid w:val="004017A2"/>
    <w:rsid w:val="00401B0B"/>
    <w:rsid w:val="004020CF"/>
    <w:rsid w:val="00402299"/>
    <w:rsid w:val="00402467"/>
    <w:rsid w:val="004026BB"/>
    <w:rsid w:val="00402746"/>
    <w:rsid w:val="00402809"/>
    <w:rsid w:val="00402B0F"/>
    <w:rsid w:val="00403E28"/>
    <w:rsid w:val="0040478F"/>
    <w:rsid w:val="00404E4B"/>
    <w:rsid w:val="004058E3"/>
    <w:rsid w:val="00406306"/>
    <w:rsid w:val="00406490"/>
    <w:rsid w:val="004066B4"/>
    <w:rsid w:val="00406BD9"/>
    <w:rsid w:val="00406F03"/>
    <w:rsid w:val="00407B38"/>
    <w:rsid w:val="00407FBD"/>
    <w:rsid w:val="00410CEE"/>
    <w:rsid w:val="00411610"/>
    <w:rsid w:val="00411B0D"/>
    <w:rsid w:val="00411D98"/>
    <w:rsid w:val="00411DB1"/>
    <w:rsid w:val="00411E93"/>
    <w:rsid w:val="0041219E"/>
    <w:rsid w:val="00412311"/>
    <w:rsid w:val="0041253E"/>
    <w:rsid w:val="00412AA0"/>
    <w:rsid w:val="00412AE6"/>
    <w:rsid w:val="004132B0"/>
    <w:rsid w:val="004145CE"/>
    <w:rsid w:val="0041495E"/>
    <w:rsid w:val="00414DAB"/>
    <w:rsid w:val="00415460"/>
    <w:rsid w:val="004156A3"/>
    <w:rsid w:val="004161FD"/>
    <w:rsid w:val="004171A2"/>
    <w:rsid w:val="004173B1"/>
    <w:rsid w:val="0041746E"/>
    <w:rsid w:val="0041751C"/>
    <w:rsid w:val="0041770D"/>
    <w:rsid w:val="004179D2"/>
    <w:rsid w:val="00420170"/>
    <w:rsid w:val="004205FC"/>
    <w:rsid w:val="004212A9"/>
    <w:rsid w:val="00421417"/>
    <w:rsid w:val="0042156A"/>
    <w:rsid w:val="0042171D"/>
    <w:rsid w:val="00421B7B"/>
    <w:rsid w:val="00422220"/>
    <w:rsid w:val="0042227E"/>
    <w:rsid w:val="00422310"/>
    <w:rsid w:val="004224A4"/>
    <w:rsid w:val="00422719"/>
    <w:rsid w:val="004229D7"/>
    <w:rsid w:val="00422FFB"/>
    <w:rsid w:val="0042333F"/>
    <w:rsid w:val="0042352C"/>
    <w:rsid w:val="00424644"/>
    <w:rsid w:val="0042493B"/>
    <w:rsid w:val="00424ADD"/>
    <w:rsid w:val="00424E5B"/>
    <w:rsid w:val="004263D0"/>
    <w:rsid w:val="004279AA"/>
    <w:rsid w:val="00427BCA"/>
    <w:rsid w:val="0043040D"/>
    <w:rsid w:val="00430DE5"/>
    <w:rsid w:val="00430ECD"/>
    <w:rsid w:val="0043119C"/>
    <w:rsid w:val="00431479"/>
    <w:rsid w:val="00431D53"/>
    <w:rsid w:val="00431F62"/>
    <w:rsid w:val="00432127"/>
    <w:rsid w:val="00432765"/>
    <w:rsid w:val="00432A44"/>
    <w:rsid w:val="00432B22"/>
    <w:rsid w:val="00432B64"/>
    <w:rsid w:val="00432BED"/>
    <w:rsid w:val="00432E4E"/>
    <w:rsid w:val="00432F8D"/>
    <w:rsid w:val="00433798"/>
    <w:rsid w:val="00433822"/>
    <w:rsid w:val="00433861"/>
    <w:rsid w:val="004338B6"/>
    <w:rsid w:val="00433D71"/>
    <w:rsid w:val="00433DAB"/>
    <w:rsid w:val="004342FB"/>
    <w:rsid w:val="0043433E"/>
    <w:rsid w:val="00434A19"/>
    <w:rsid w:val="00434C86"/>
    <w:rsid w:val="00434DBA"/>
    <w:rsid w:val="0043519D"/>
    <w:rsid w:val="00435B00"/>
    <w:rsid w:val="00435D04"/>
    <w:rsid w:val="00435F48"/>
    <w:rsid w:val="0043633B"/>
    <w:rsid w:val="00436528"/>
    <w:rsid w:val="0043662C"/>
    <w:rsid w:val="0043667B"/>
    <w:rsid w:val="00436CD5"/>
    <w:rsid w:val="004370C8"/>
    <w:rsid w:val="00437705"/>
    <w:rsid w:val="0043772E"/>
    <w:rsid w:val="004378B7"/>
    <w:rsid w:val="00440500"/>
    <w:rsid w:val="00440672"/>
    <w:rsid w:val="00440696"/>
    <w:rsid w:val="00440C4D"/>
    <w:rsid w:val="00440CE5"/>
    <w:rsid w:val="00441123"/>
    <w:rsid w:val="00441341"/>
    <w:rsid w:val="00441439"/>
    <w:rsid w:val="00441BC9"/>
    <w:rsid w:val="00441EBF"/>
    <w:rsid w:val="00442EF4"/>
    <w:rsid w:val="00443474"/>
    <w:rsid w:val="00443843"/>
    <w:rsid w:val="004438A0"/>
    <w:rsid w:val="004438D9"/>
    <w:rsid w:val="00443D33"/>
    <w:rsid w:val="00444384"/>
    <w:rsid w:val="004446B5"/>
    <w:rsid w:val="00444721"/>
    <w:rsid w:val="00444C87"/>
    <w:rsid w:val="004450DA"/>
    <w:rsid w:val="00445182"/>
    <w:rsid w:val="004457FB"/>
    <w:rsid w:val="0044584D"/>
    <w:rsid w:val="004459DC"/>
    <w:rsid w:val="00445C2D"/>
    <w:rsid w:val="00446154"/>
    <w:rsid w:val="004464F6"/>
    <w:rsid w:val="00446585"/>
    <w:rsid w:val="00446811"/>
    <w:rsid w:val="00446AAC"/>
    <w:rsid w:val="0044737C"/>
    <w:rsid w:val="00447B70"/>
    <w:rsid w:val="00447C6B"/>
    <w:rsid w:val="00447F39"/>
    <w:rsid w:val="00447FF0"/>
    <w:rsid w:val="00450269"/>
    <w:rsid w:val="0045031B"/>
    <w:rsid w:val="00450639"/>
    <w:rsid w:val="004509CD"/>
    <w:rsid w:val="00451B78"/>
    <w:rsid w:val="00451DC3"/>
    <w:rsid w:val="004520ED"/>
    <w:rsid w:val="004521E0"/>
    <w:rsid w:val="0045224D"/>
    <w:rsid w:val="004522DF"/>
    <w:rsid w:val="004527C3"/>
    <w:rsid w:val="00452891"/>
    <w:rsid w:val="004534B1"/>
    <w:rsid w:val="00453585"/>
    <w:rsid w:val="00453719"/>
    <w:rsid w:val="00454041"/>
    <w:rsid w:val="0045406A"/>
    <w:rsid w:val="0045446D"/>
    <w:rsid w:val="004547B5"/>
    <w:rsid w:val="004547FC"/>
    <w:rsid w:val="0045518E"/>
    <w:rsid w:val="00455380"/>
    <w:rsid w:val="004560B3"/>
    <w:rsid w:val="00456F30"/>
    <w:rsid w:val="00457379"/>
    <w:rsid w:val="004600A2"/>
    <w:rsid w:val="00460181"/>
    <w:rsid w:val="00460F3A"/>
    <w:rsid w:val="00460F78"/>
    <w:rsid w:val="00461172"/>
    <w:rsid w:val="004612F8"/>
    <w:rsid w:val="0046171D"/>
    <w:rsid w:val="0046242D"/>
    <w:rsid w:val="00462722"/>
    <w:rsid w:val="004627B6"/>
    <w:rsid w:val="004627EC"/>
    <w:rsid w:val="00463521"/>
    <w:rsid w:val="00463D6B"/>
    <w:rsid w:val="00464D4F"/>
    <w:rsid w:val="00464EC3"/>
    <w:rsid w:val="0046597E"/>
    <w:rsid w:val="004659FE"/>
    <w:rsid w:val="00465AD9"/>
    <w:rsid w:val="00465C36"/>
    <w:rsid w:val="00465C46"/>
    <w:rsid w:val="00466058"/>
    <w:rsid w:val="00466A2E"/>
    <w:rsid w:val="0046714B"/>
    <w:rsid w:val="004672AC"/>
    <w:rsid w:val="004672CE"/>
    <w:rsid w:val="00467A47"/>
    <w:rsid w:val="00467D3B"/>
    <w:rsid w:val="00467E09"/>
    <w:rsid w:val="00470566"/>
    <w:rsid w:val="00470C20"/>
    <w:rsid w:val="00470EA2"/>
    <w:rsid w:val="004713C5"/>
    <w:rsid w:val="0047169A"/>
    <w:rsid w:val="00471CC9"/>
    <w:rsid w:val="00472185"/>
    <w:rsid w:val="0047286B"/>
    <w:rsid w:val="0047290F"/>
    <w:rsid w:val="00472D37"/>
    <w:rsid w:val="00473837"/>
    <w:rsid w:val="00473F0F"/>
    <w:rsid w:val="00474CC3"/>
    <w:rsid w:val="00475A68"/>
    <w:rsid w:val="004766EB"/>
    <w:rsid w:val="00476ED9"/>
    <w:rsid w:val="00476F59"/>
    <w:rsid w:val="00476FDA"/>
    <w:rsid w:val="004771AF"/>
    <w:rsid w:val="004779F7"/>
    <w:rsid w:val="00477F03"/>
    <w:rsid w:val="004801FC"/>
    <w:rsid w:val="004819D3"/>
    <w:rsid w:val="00482056"/>
    <w:rsid w:val="00482234"/>
    <w:rsid w:val="0048250A"/>
    <w:rsid w:val="004829E6"/>
    <w:rsid w:val="00482DAA"/>
    <w:rsid w:val="00482E2F"/>
    <w:rsid w:val="0048304C"/>
    <w:rsid w:val="004835BA"/>
    <w:rsid w:val="00483643"/>
    <w:rsid w:val="004836AA"/>
    <w:rsid w:val="00483B13"/>
    <w:rsid w:val="00483D38"/>
    <w:rsid w:val="00483F9F"/>
    <w:rsid w:val="004845AC"/>
    <w:rsid w:val="00484F59"/>
    <w:rsid w:val="00485147"/>
    <w:rsid w:val="0048549A"/>
    <w:rsid w:val="004856DA"/>
    <w:rsid w:val="00486474"/>
    <w:rsid w:val="004864BE"/>
    <w:rsid w:val="004864CD"/>
    <w:rsid w:val="004867E2"/>
    <w:rsid w:val="00486E2A"/>
    <w:rsid w:val="004871C0"/>
    <w:rsid w:val="004879D0"/>
    <w:rsid w:val="00487B01"/>
    <w:rsid w:val="00487F51"/>
    <w:rsid w:val="00487F98"/>
    <w:rsid w:val="00490296"/>
    <w:rsid w:val="004903E9"/>
    <w:rsid w:val="004904DC"/>
    <w:rsid w:val="004908A0"/>
    <w:rsid w:val="00490AF7"/>
    <w:rsid w:val="00490B7F"/>
    <w:rsid w:val="00490C34"/>
    <w:rsid w:val="004916DE"/>
    <w:rsid w:val="00492353"/>
    <w:rsid w:val="00492E20"/>
    <w:rsid w:val="004934C2"/>
    <w:rsid w:val="00493539"/>
    <w:rsid w:val="0049375E"/>
    <w:rsid w:val="00493806"/>
    <w:rsid w:val="00493A36"/>
    <w:rsid w:val="00493EF2"/>
    <w:rsid w:val="004940DA"/>
    <w:rsid w:val="00494942"/>
    <w:rsid w:val="00494B16"/>
    <w:rsid w:val="00494CDF"/>
    <w:rsid w:val="0049528B"/>
    <w:rsid w:val="004954ED"/>
    <w:rsid w:val="00495D04"/>
    <w:rsid w:val="004960B3"/>
    <w:rsid w:val="0049643A"/>
    <w:rsid w:val="0049660A"/>
    <w:rsid w:val="00496865"/>
    <w:rsid w:val="00496EC4"/>
    <w:rsid w:val="00496F78"/>
    <w:rsid w:val="0049707C"/>
    <w:rsid w:val="0049733F"/>
    <w:rsid w:val="004975D7"/>
    <w:rsid w:val="0049771A"/>
    <w:rsid w:val="004A035C"/>
    <w:rsid w:val="004A0579"/>
    <w:rsid w:val="004A103E"/>
    <w:rsid w:val="004A12BD"/>
    <w:rsid w:val="004A13C1"/>
    <w:rsid w:val="004A1F06"/>
    <w:rsid w:val="004A209D"/>
    <w:rsid w:val="004A315B"/>
    <w:rsid w:val="004A3215"/>
    <w:rsid w:val="004A370F"/>
    <w:rsid w:val="004A3F45"/>
    <w:rsid w:val="004A417B"/>
    <w:rsid w:val="004A42A3"/>
    <w:rsid w:val="004A494A"/>
    <w:rsid w:val="004A4DE8"/>
    <w:rsid w:val="004A5046"/>
    <w:rsid w:val="004A53A0"/>
    <w:rsid w:val="004A5586"/>
    <w:rsid w:val="004A5823"/>
    <w:rsid w:val="004A58B5"/>
    <w:rsid w:val="004A6227"/>
    <w:rsid w:val="004A62DA"/>
    <w:rsid w:val="004A65AA"/>
    <w:rsid w:val="004A6A92"/>
    <w:rsid w:val="004A6B4F"/>
    <w:rsid w:val="004A73B1"/>
    <w:rsid w:val="004B0271"/>
    <w:rsid w:val="004B040A"/>
    <w:rsid w:val="004B0C59"/>
    <w:rsid w:val="004B103A"/>
    <w:rsid w:val="004B13D5"/>
    <w:rsid w:val="004B1AD8"/>
    <w:rsid w:val="004B2013"/>
    <w:rsid w:val="004B220C"/>
    <w:rsid w:val="004B2280"/>
    <w:rsid w:val="004B243E"/>
    <w:rsid w:val="004B2744"/>
    <w:rsid w:val="004B28A8"/>
    <w:rsid w:val="004B2E29"/>
    <w:rsid w:val="004B2E87"/>
    <w:rsid w:val="004B30F5"/>
    <w:rsid w:val="004B3676"/>
    <w:rsid w:val="004B377F"/>
    <w:rsid w:val="004B3E0D"/>
    <w:rsid w:val="004B463F"/>
    <w:rsid w:val="004B4AA5"/>
    <w:rsid w:val="004B50AD"/>
    <w:rsid w:val="004B525C"/>
    <w:rsid w:val="004B52A3"/>
    <w:rsid w:val="004B5423"/>
    <w:rsid w:val="004B560B"/>
    <w:rsid w:val="004B61DA"/>
    <w:rsid w:val="004B6752"/>
    <w:rsid w:val="004B7040"/>
    <w:rsid w:val="004B7C1A"/>
    <w:rsid w:val="004C02C7"/>
    <w:rsid w:val="004C0370"/>
    <w:rsid w:val="004C076C"/>
    <w:rsid w:val="004C1ABB"/>
    <w:rsid w:val="004C203C"/>
    <w:rsid w:val="004C23AA"/>
    <w:rsid w:val="004C2768"/>
    <w:rsid w:val="004C294B"/>
    <w:rsid w:val="004C2AE3"/>
    <w:rsid w:val="004C2D9D"/>
    <w:rsid w:val="004C2FA4"/>
    <w:rsid w:val="004C3197"/>
    <w:rsid w:val="004C344C"/>
    <w:rsid w:val="004C3E67"/>
    <w:rsid w:val="004C4602"/>
    <w:rsid w:val="004C5968"/>
    <w:rsid w:val="004C5BAE"/>
    <w:rsid w:val="004C6082"/>
    <w:rsid w:val="004C60EE"/>
    <w:rsid w:val="004C6145"/>
    <w:rsid w:val="004C619F"/>
    <w:rsid w:val="004C62B1"/>
    <w:rsid w:val="004C6C27"/>
    <w:rsid w:val="004C6F14"/>
    <w:rsid w:val="004C6F85"/>
    <w:rsid w:val="004C7059"/>
    <w:rsid w:val="004C75C9"/>
    <w:rsid w:val="004C79F1"/>
    <w:rsid w:val="004C7AC8"/>
    <w:rsid w:val="004D03DF"/>
    <w:rsid w:val="004D07FE"/>
    <w:rsid w:val="004D08DF"/>
    <w:rsid w:val="004D0B9B"/>
    <w:rsid w:val="004D0CE5"/>
    <w:rsid w:val="004D1E52"/>
    <w:rsid w:val="004D2C9A"/>
    <w:rsid w:val="004D310D"/>
    <w:rsid w:val="004D3675"/>
    <w:rsid w:val="004D3D8C"/>
    <w:rsid w:val="004D4C46"/>
    <w:rsid w:val="004D4D60"/>
    <w:rsid w:val="004D552C"/>
    <w:rsid w:val="004D57D3"/>
    <w:rsid w:val="004D59D1"/>
    <w:rsid w:val="004D6431"/>
    <w:rsid w:val="004D65BC"/>
    <w:rsid w:val="004D6791"/>
    <w:rsid w:val="004D6A49"/>
    <w:rsid w:val="004D6AD0"/>
    <w:rsid w:val="004D6AD4"/>
    <w:rsid w:val="004D72A7"/>
    <w:rsid w:val="004D74BA"/>
    <w:rsid w:val="004D7D63"/>
    <w:rsid w:val="004E021A"/>
    <w:rsid w:val="004E07AD"/>
    <w:rsid w:val="004E0829"/>
    <w:rsid w:val="004E09FB"/>
    <w:rsid w:val="004E0AB6"/>
    <w:rsid w:val="004E16F4"/>
    <w:rsid w:val="004E1B8A"/>
    <w:rsid w:val="004E2234"/>
    <w:rsid w:val="004E23DB"/>
    <w:rsid w:val="004E24D6"/>
    <w:rsid w:val="004E272A"/>
    <w:rsid w:val="004E2A91"/>
    <w:rsid w:val="004E2DED"/>
    <w:rsid w:val="004E2EE3"/>
    <w:rsid w:val="004E32E0"/>
    <w:rsid w:val="004E4386"/>
    <w:rsid w:val="004E452E"/>
    <w:rsid w:val="004E4690"/>
    <w:rsid w:val="004E4787"/>
    <w:rsid w:val="004E518B"/>
    <w:rsid w:val="004E5343"/>
    <w:rsid w:val="004E5FBD"/>
    <w:rsid w:val="004E61E0"/>
    <w:rsid w:val="004E6335"/>
    <w:rsid w:val="004E64AB"/>
    <w:rsid w:val="004E6DFD"/>
    <w:rsid w:val="004E6E8F"/>
    <w:rsid w:val="004E7277"/>
    <w:rsid w:val="004E7DEB"/>
    <w:rsid w:val="004E7F9E"/>
    <w:rsid w:val="004F0649"/>
    <w:rsid w:val="004F0734"/>
    <w:rsid w:val="004F0BEC"/>
    <w:rsid w:val="004F0C98"/>
    <w:rsid w:val="004F1406"/>
    <w:rsid w:val="004F155B"/>
    <w:rsid w:val="004F1E05"/>
    <w:rsid w:val="004F2A3F"/>
    <w:rsid w:val="004F2CC0"/>
    <w:rsid w:val="004F2CEA"/>
    <w:rsid w:val="004F2FD6"/>
    <w:rsid w:val="004F3329"/>
    <w:rsid w:val="004F33AB"/>
    <w:rsid w:val="004F3914"/>
    <w:rsid w:val="004F3B78"/>
    <w:rsid w:val="004F4254"/>
    <w:rsid w:val="004F52CB"/>
    <w:rsid w:val="004F5E8E"/>
    <w:rsid w:val="004F6612"/>
    <w:rsid w:val="004F67A1"/>
    <w:rsid w:val="004F68F5"/>
    <w:rsid w:val="004F6D3A"/>
    <w:rsid w:val="004F6E4A"/>
    <w:rsid w:val="004F6E52"/>
    <w:rsid w:val="004F6EBA"/>
    <w:rsid w:val="004F7948"/>
    <w:rsid w:val="00500B1D"/>
    <w:rsid w:val="005013E2"/>
    <w:rsid w:val="00501417"/>
    <w:rsid w:val="005019E0"/>
    <w:rsid w:val="00501A9A"/>
    <w:rsid w:val="00501BDA"/>
    <w:rsid w:val="00501DB4"/>
    <w:rsid w:val="00501DC2"/>
    <w:rsid w:val="00501F62"/>
    <w:rsid w:val="00502289"/>
    <w:rsid w:val="00502E93"/>
    <w:rsid w:val="005032E5"/>
    <w:rsid w:val="005033FD"/>
    <w:rsid w:val="00503E41"/>
    <w:rsid w:val="005046F5"/>
    <w:rsid w:val="00504A24"/>
    <w:rsid w:val="00504BCE"/>
    <w:rsid w:val="00504CB8"/>
    <w:rsid w:val="00504FBE"/>
    <w:rsid w:val="00505162"/>
    <w:rsid w:val="00505311"/>
    <w:rsid w:val="00506208"/>
    <w:rsid w:val="00506AB1"/>
    <w:rsid w:val="00506D06"/>
    <w:rsid w:val="00506E52"/>
    <w:rsid w:val="0050714E"/>
    <w:rsid w:val="0050744F"/>
    <w:rsid w:val="00507D9E"/>
    <w:rsid w:val="00507E19"/>
    <w:rsid w:val="0051124B"/>
    <w:rsid w:val="005116C4"/>
    <w:rsid w:val="00511969"/>
    <w:rsid w:val="005122D7"/>
    <w:rsid w:val="005124F3"/>
    <w:rsid w:val="0051293F"/>
    <w:rsid w:val="00512F6C"/>
    <w:rsid w:val="0051312A"/>
    <w:rsid w:val="005134EF"/>
    <w:rsid w:val="00513CD5"/>
    <w:rsid w:val="00513E0D"/>
    <w:rsid w:val="00513FA0"/>
    <w:rsid w:val="0051419F"/>
    <w:rsid w:val="005144EE"/>
    <w:rsid w:val="00514701"/>
    <w:rsid w:val="00514DDE"/>
    <w:rsid w:val="00515BBA"/>
    <w:rsid w:val="005167C0"/>
    <w:rsid w:val="00516F2B"/>
    <w:rsid w:val="005177FB"/>
    <w:rsid w:val="0051792F"/>
    <w:rsid w:val="00517CCF"/>
    <w:rsid w:val="00520330"/>
    <w:rsid w:val="00520FFC"/>
    <w:rsid w:val="0052180A"/>
    <w:rsid w:val="00521B17"/>
    <w:rsid w:val="00521CCE"/>
    <w:rsid w:val="00522159"/>
    <w:rsid w:val="00522362"/>
    <w:rsid w:val="00522500"/>
    <w:rsid w:val="00522837"/>
    <w:rsid w:val="00522A17"/>
    <w:rsid w:val="00522B43"/>
    <w:rsid w:val="00522EF3"/>
    <w:rsid w:val="0052328E"/>
    <w:rsid w:val="0052370A"/>
    <w:rsid w:val="00523804"/>
    <w:rsid w:val="0052389A"/>
    <w:rsid w:val="00524797"/>
    <w:rsid w:val="00524D2D"/>
    <w:rsid w:val="00524D69"/>
    <w:rsid w:val="00525134"/>
    <w:rsid w:val="0052558D"/>
    <w:rsid w:val="005255F3"/>
    <w:rsid w:val="00525C21"/>
    <w:rsid w:val="00525CAD"/>
    <w:rsid w:val="00525FDE"/>
    <w:rsid w:val="00526097"/>
    <w:rsid w:val="005263C1"/>
    <w:rsid w:val="005263CA"/>
    <w:rsid w:val="0052658D"/>
    <w:rsid w:val="005271C2"/>
    <w:rsid w:val="005274CD"/>
    <w:rsid w:val="005274E5"/>
    <w:rsid w:val="005300A2"/>
    <w:rsid w:val="00530241"/>
    <w:rsid w:val="00530261"/>
    <w:rsid w:val="005304CB"/>
    <w:rsid w:val="00531013"/>
    <w:rsid w:val="00531057"/>
    <w:rsid w:val="00531151"/>
    <w:rsid w:val="005314FC"/>
    <w:rsid w:val="005315EE"/>
    <w:rsid w:val="00531703"/>
    <w:rsid w:val="005317E8"/>
    <w:rsid w:val="00531870"/>
    <w:rsid w:val="00531D73"/>
    <w:rsid w:val="005321BD"/>
    <w:rsid w:val="00532363"/>
    <w:rsid w:val="00532B2F"/>
    <w:rsid w:val="00532BA7"/>
    <w:rsid w:val="00532BB1"/>
    <w:rsid w:val="0053309E"/>
    <w:rsid w:val="005331B9"/>
    <w:rsid w:val="00533974"/>
    <w:rsid w:val="00533977"/>
    <w:rsid w:val="00534370"/>
    <w:rsid w:val="00534579"/>
    <w:rsid w:val="005345C5"/>
    <w:rsid w:val="00534AFE"/>
    <w:rsid w:val="005350CA"/>
    <w:rsid w:val="00535DC0"/>
    <w:rsid w:val="00536023"/>
    <w:rsid w:val="00536036"/>
    <w:rsid w:val="005363FD"/>
    <w:rsid w:val="005367EA"/>
    <w:rsid w:val="00536D47"/>
    <w:rsid w:val="005372AC"/>
    <w:rsid w:val="00537854"/>
    <w:rsid w:val="00540185"/>
    <w:rsid w:val="0054027E"/>
    <w:rsid w:val="005407ED"/>
    <w:rsid w:val="00540841"/>
    <w:rsid w:val="00540CC7"/>
    <w:rsid w:val="00541653"/>
    <w:rsid w:val="00541698"/>
    <w:rsid w:val="00541723"/>
    <w:rsid w:val="00541AAA"/>
    <w:rsid w:val="005427B9"/>
    <w:rsid w:val="0054284F"/>
    <w:rsid w:val="0054288B"/>
    <w:rsid w:val="005429BF"/>
    <w:rsid w:val="00542B01"/>
    <w:rsid w:val="005431AA"/>
    <w:rsid w:val="005434ED"/>
    <w:rsid w:val="0054386C"/>
    <w:rsid w:val="00543C6B"/>
    <w:rsid w:val="0054459D"/>
    <w:rsid w:val="00544852"/>
    <w:rsid w:val="005448A0"/>
    <w:rsid w:val="005448C0"/>
    <w:rsid w:val="005454C2"/>
    <w:rsid w:val="00545977"/>
    <w:rsid w:val="00546293"/>
    <w:rsid w:val="0054666D"/>
    <w:rsid w:val="005475EE"/>
    <w:rsid w:val="005476A1"/>
    <w:rsid w:val="005479A6"/>
    <w:rsid w:val="005501EA"/>
    <w:rsid w:val="00550720"/>
    <w:rsid w:val="005508CA"/>
    <w:rsid w:val="005508E6"/>
    <w:rsid w:val="00550920"/>
    <w:rsid w:val="00550E59"/>
    <w:rsid w:val="00552171"/>
    <w:rsid w:val="00552293"/>
    <w:rsid w:val="00552478"/>
    <w:rsid w:val="005524CA"/>
    <w:rsid w:val="00552843"/>
    <w:rsid w:val="005529C6"/>
    <w:rsid w:val="00552CA2"/>
    <w:rsid w:val="00552F96"/>
    <w:rsid w:val="00552FA0"/>
    <w:rsid w:val="005531B1"/>
    <w:rsid w:val="0055336E"/>
    <w:rsid w:val="00553818"/>
    <w:rsid w:val="005539CE"/>
    <w:rsid w:val="00554006"/>
    <w:rsid w:val="005546D6"/>
    <w:rsid w:val="00554867"/>
    <w:rsid w:val="00554C66"/>
    <w:rsid w:val="005551A6"/>
    <w:rsid w:val="00555332"/>
    <w:rsid w:val="00556063"/>
    <w:rsid w:val="0055657F"/>
    <w:rsid w:val="00556D68"/>
    <w:rsid w:val="00557428"/>
    <w:rsid w:val="00557517"/>
    <w:rsid w:val="00557771"/>
    <w:rsid w:val="005577D1"/>
    <w:rsid w:val="00557F1E"/>
    <w:rsid w:val="005600CA"/>
    <w:rsid w:val="0056078F"/>
    <w:rsid w:val="005608ED"/>
    <w:rsid w:val="0056097E"/>
    <w:rsid w:val="00560D5A"/>
    <w:rsid w:val="0056118C"/>
    <w:rsid w:val="00561CE0"/>
    <w:rsid w:val="00561F08"/>
    <w:rsid w:val="00562C1E"/>
    <w:rsid w:val="00562D9E"/>
    <w:rsid w:val="00563716"/>
    <w:rsid w:val="0056372D"/>
    <w:rsid w:val="00563B32"/>
    <w:rsid w:val="00563CE6"/>
    <w:rsid w:val="00564095"/>
    <w:rsid w:val="0056510B"/>
    <w:rsid w:val="005651FC"/>
    <w:rsid w:val="00565AE5"/>
    <w:rsid w:val="005661C8"/>
    <w:rsid w:val="00566574"/>
    <w:rsid w:val="005677DC"/>
    <w:rsid w:val="00567C00"/>
    <w:rsid w:val="00567CF6"/>
    <w:rsid w:val="0057008F"/>
    <w:rsid w:val="005706F6"/>
    <w:rsid w:val="00570EB8"/>
    <w:rsid w:val="00571009"/>
    <w:rsid w:val="005715FD"/>
    <w:rsid w:val="00571FAF"/>
    <w:rsid w:val="005726CD"/>
    <w:rsid w:val="00573228"/>
    <w:rsid w:val="00573D48"/>
    <w:rsid w:val="00573F48"/>
    <w:rsid w:val="00574139"/>
    <w:rsid w:val="005741CB"/>
    <w:rsid w:val="00574247"/>
    <w:rsid w:val="005745EC"/>
    <w:rsid w:val="00574C19"/>
    <w:rsid w:val="005753F0"/>
    <w:rsid w:val="0057585D"/>
    <w:rsid w:val="00575D4D"/>
    <w:rsid w:val="00575DE3"/>
    <w:rsid w:val="0057627C"/>
    <w:rsid w:val="00576B1C"/>
    <w:rsid w:val="00577466"/>
    <w:rsid w:val="00577779"/>
    <w:rsid w:val="00577AB9"/>
    <w:rsid w:val="00580687"/>
    <w:rsid w:val="005806A7"/>
    <w:rsid w:val="005806E1"/>
    <w:rsid w:val="005811C2"/>
    <w:rsid w:val="00581BBC"/>
    <w:rsid w:val="00581CC3"/>
    <w:rsid w:val="0058221E"/>
    <w:rsid w:val="005822D9"/>
    <w:rsid w:val="005822EE"/>
    <w:rsid w:val="00582316"/>
    <w:rsid w:val="00582851"/>
    <w:rsid w:val="00582AD3"/>
    <w:rsid w:val="00582B64"/>
    <w:rsid w:val="00582B9E"/>
    <w:rsid w:val="0058308C"/>
    <w:rsid w:val="005836DF"/>
    <w:rsid w:val="005837BC"/>
    <w:rsid w:val="005838C4"/>
    <w:rsid w:val="00583FBC"/>
    <w:rsid w:val="00584E75"/>
    <w:rsid w:val="00585285"/>
    <w:rsid w:val="00585853"/>
    <w:rsid w:val="00585882"/>
    <w:rsid w:val="005858BC"/>
    <w:rsid w:val="00585AA8"/>
    <w:rsid w:val="00585DD7"/>
    <w:rsid w:val="00586475"/>
    <w:rsid w:val="00586B1F"/>
    <w:rsid w:val="00586FB6"/>
    <w:rsid w:val="00587455"/>
    <w:rsid w:val="005874AE"/>
    <w:rsid w:val="00587727"/>
    <w:rsid w:val="00590087"/>
    <w:rsid w:val="00590573"/>
    <w:rsid w:val="00590834"/>
    <w:rsid w:val="00590D80"/>
    <w:rsid w:val="00590FBB"/>
    <w:rsid w:val="005915D0"/>
    <w:rsid w:val="00591743"/>
    <w:rsid w:val="00591849"/>
    <w:rsid w:val="00592934"/>
    <w:rsid w:val="00592AAF"/>
    <w:rsid w:val="00593306"/>
    <w:rsid w:val="0059354B"/>
    <w:rsid w:val="00593A10"/>
    <w:rsid w:val="00593A7C"/>
    <w:rsid w:val="00593E01"/>
    <w:rsid w:val="00593FBD"/>
    <w:rsid w:val="00594516"/>
    <w:rsid w:val="00595147"/>
    <w:rsid w:val="00595AD6"/>
    <w:rsid w:val="00595BE2"/>
    <w:rsid w:val="00595D9D"/>
    <w:rsid w:val="005970EA"/>
    <w:rsid w:val="00597546"/>
    <w:rsid w:val="00597D1C"/>
    <w:rsid w:val="00597F40"/>
    <w:rsid w:val="005A015A"/>
    <w:rsid w:val="005A02F9"/>
    <w:rsid w:val="005A03CC"/>
    <w:rsid w:val="005A0440"/>
    <w:rsid w:val="005A08D3"/>
    <w:rsid w:val="005A0C4D"/>
    <w:rsid w:val="005A1325"/>
    <w:rsid w:val="005A13AF"/>
    <w:rsid w:val="005A1D92"/>
    <w:rsid w:val="005A2478"/>
    <w:rsid w:val="005A2B71"/>
    <w:rsid w:val="005A2DA6"/>
    <w:rsid w:val="005A361D"/>
    <w:rsid w:val="005A3865"/>
    <w:rsid w:val="005A3914"/>
    <w:rsid w:val="005A3D47"/>
    <w:rsid w:val="005A3DC4"/>
    <w:rsid w:val="005A4501"/>
    <w:rsid w:val="005A4702"/>
    <w:rsid w:val="005A479F"/>
    <w:rsid w:val="005A55AD"/>
    <w:rsid w:val="005A55FE"/>
    <w:rsid w:val="005A5BF2"/>
    <w:rsid w:val="005A5F6B"/>
    <w:rsid w:val="005A62DA"/>
    <w:rsid w:val="005A69AF"/>
    <w:rsid w:val="005A6A93"/>
    <w:rsid w:val="005A6C40"/>
    <w:rsid w:val="005A6CBD"/>
    <w:rsid w:val="005A6DD3"/>
    <w:rsid w:val="005A76BB"/>
    <w:rsid w:val="005A7943"/>
    <w:rsid w:val="005A7F51"/>
    <w:rsid w:val="005B0356"/>
    <w:rsid w:val="005B0EE9"/>
    <w:rsid w:val="005B18D3"/>
    <w:rsid w:val="005B1CB5"/>
    <w:rsid w:val="005B1D94"/>
    <w:rsid w:val="005B1F06"/>
    <w:rsid w:val="005B21DE"/>
    <w:rsid w:val="005B278F"/>
    <w:rsid w:val="005B2902"/>
    <w:rsid w:val="005B2D63"/>
    <w:rsid w:val="005B3113"/>
    <w:rsid w:val="005B3681"/>
    <w:rsid w:val="005B3911"/>
    <w:rsid w:val="005B3BC6"/>
    <w:rsid w:val="005B40C2"/>
    <w:rsid w:val="005B425F"/>
    <w:rsid w:val="005B4285"/>
    <w:rsid w:val="005B432B"/>
    <w:rsid w:val="005B4BBB"/>
    <w:rsid w:val="005B56F1"/>
    <w:rsid w:val="005B5939"/>
    <w:rsid w:val="005B5956"/>
    <w:rsid w:val="005B5D3F"/>
    <w:rsid w:val="005B5D98"/>
    <w:rsid w:val="005B5EC7"/>
    <w:rsid w:val="005B5EE1"/>
    <w:rsid w:val="005B608F"/>
    <w:rsid w:val="005B63B2"/>
    <w:rsid w:val="005B6400"/>
    <w:rsid w:val="005B6468"/>
    <w:rsid w:val="005B651B"/>
    <w:rsid w:val="005B6978"/>
    <w:rsid w:val="005B6AE5"/>
    <w:rsid w:val="005B6DE3"/>
    <w:rsid w:val="005B6E59"/>
    <w:rsid w:val="005B723E"/>
    <w:rsid w:val="005B7455"/>
    <w:rsid w:val="005B7B9A"/>
    <w:rsid w:val="005B7DFE"/>
    <w:rsid w:val="005C0223"/>
    <w:rsid w:val="005C06DA"/>
    <w:rsid w:val="005C08F2"/>
    <w:rsid w:val="005C1038"/>
    <w:rsid w:val="005C1726"/>
    <w:rsid w:val="005C23DF"/>
    <w:rsid w:val="005C25DA"/>
    <w:rsid w:val="005C269C"/>
    <w:rsid w:val="005C2F41"/>
    <w:rsid w:val="005C30ED"/>
    <w:rsid w:val="005C35A6"/>
    <w:rsid w:val="005C3AA2"/>
    <w:rsid w:val="005C3EC1"/>
    <w:rsid w:val="005C4A95"/>
    <w:rsid w:val="005C4AFA"/>
    <w:rsid w:val="005C52E4"/>
    <w:rsid w:val="005C54F0"/>
    <w:rsid w:val="005C5650"/>
    <w:rsid w:val="005C5775"/>
    <w:rsid w:val="005C5C3E"/>
    <w:rsid w:val="005C5DD0"/>
    <w:rsid w:val="005C65CC"/>
    <w:rsid w:val="005C6B72"/>
    <w:rsid w:val="005C6CF4"/>
    <w:rsid w:val="005C6E2B"/>
    <w:rsid w:val="005C72B6"/>
    <w:rsid w:val="005C7610"/>
    <w:rsid w:val="005C7700"/>
    <w:rsid w:val="005C7D72"/>
    <w:rsid w:val="005D018C"/>
    <w:rsid w:val="005D03CC"/>
    <w:rsid w:val="005D05AA"/>
    <w:rsid w:val="005D063C"/>
    <w:rsid w:val="005D0892"/>
    <w:rsid w:val="005D0895"/>
    <w:rsid w:val="005D0D1E"/>
    <w:rsid w:val="005D0D78"/>
    <w:rsid w:val="005D15A5"/>
    <w:rsid w:val="005D2E75"/>
    <w:rsid w:val="005D3003"/>
    <w:rsid w:val="005D3098"/>
    <w:rsid w:val="005D3698"/>
    <w:rsid w:val="005D399C"/>
    <w:rsid w:val="005D3D67"/>
    <w:rsid w:val="005D435E"/>
    <w:rsid w:val="005D487E"/>
    <w:rsid w:val="005D48FA"/>
    <w:rsid w:val="005D4903"/>
    <w:rsid w:val="005D4EA1"/>
    <w:rsid w:val="005D4EC6"/>
    <w:rsid w:val="005D522F"/>
    <w:rsid w:val="005D55C5"/>
    <w:rsid w:val="005D59FC"/>
    <w:rsid w:val="005D5D59"/>
    <w:rsid w:val="005D61B6"/>
    <w:rsid w:val="005D637F"/>
    <w:rsid w:val="005D640E"/>
    <w:rsid w:val="005D6A6F"/>
    <w:rsid w:val="005D6AF1"/>
    <w:rsid w:val="005D7635"/>
    <w:rsid w:val="005D7DC6"/>
    <w:rsid w:val="005E0748"/>
    <w:rsid w:val="005E0CEC"/>
    <w:rsid w:val="005E1096"/>
    <w:rsid w:val="005E10E8"/>
    <w:rsid w:val="005E17C6"/>
    <w:rsid w:val="005E1D3C"/>
    <w:rsid w:val="005E21D2"/>
    <w:rsid w:val="005E26C2"/>
    <w:rsid w:val="005E3196"/>
    <w:rsid w:val="005E3668"/>
    <w:rsid w:val="005E3942"/>
    <w:rsid w:val="005E4490"/>
    <w:rsid w:val="005E454A"/>
    <w:rsid w:val="005E49C2"/>
    <w:rsid w:val="005E50BC"/>
    <w:rsid w:val="005E51D7"/>
    <w:rsid w:val="005E5354"/>
    <w:rsid w:val="005E55B5"/>
    <w:rsid w:val="005E5E3F"/>
    <w:rsid w:val="005E5E78"/>
    <w:rsid w:val="005E64B8"/>
    <w:rsid w:val="005E78CE"/>
    <w:rsid w:val="005E7D4E"/>
    <w:rsid w:val="005F04B0"/>
    <w:rsid w:val="005F0890"/>
    <w:rsid w:val="005F0AC9"/>
    <w:rsid w:val="005F1379"/>
    <w:rsid w:val="005F1BF6"/>
    <w:rsid w:val="005F1DC4"/>
    <w:rsid w:val="005F237E"/>
    <w:rsid w:val="005F2669"/>
    <w:rsid w:val="005F267C"/>
    <w:rsid w:val="005F28A8"/>
    <w:rsid w:val="005F31C1"/>
    <w:rsid w:val="005F330A"/>
    <w:rsid w:val="005F3670"/>
    <w:rsid w:val="005F38A1"/>
    <w:rsid w:val="005F51CC"/>
    <w:rsid w:val="005F54DA"/>
    <w:rsid w:val="005F559A"/>
    <w:rsid w:val="005F65DB"/>
    <w:rsid w:val="005F672A"/>
    <w:rsid w:val="005F699C"/>
    <w:rsid w:val="005F6CB1"/>
    <w:rsid w:val="005F7349"/>
    <w:rsid w:val="005F7374"/>
    <w:rsid w:val="005F7B27"/>
    <w:rsid w:val="005F7C6D"/>
    <w:rsid w:val="00600020"/>
    <w:rsid w:val="006001F2"/>
    <w:rsid w:val="00600464"/>
    <w:rsid w:val="00600D6B"/>
    <w:rsid w:val="00600F89"/>
    <w:rsid w:val="0060144A"/>
    <w:rsid w:val="006017C7"/>
    <w:rsid w:val="0060186C"/>
    <w:rsid w:val="0060207E"/>
    <w:rsid w:val="0060220A"/>
    <w:rsid w:val="006023D7"/>
    <w:rsid w:val="00602C34"/>
    <w:rsid w:val="00603018"/>
    <w:rsid w:val="0060315D"/>
    <w:rsid w:val="006032F6"/>
    <w:rsid w:val="00603D0B"/>
    <w:rsid w:val="006040FD"/>
    <w:rsid w:val="00605098"/>
    <w:rsid w:val="0060558B"/>
    <w:rsid w:val="00605A43"/>
    <w:rsid w:val="006062C3"/>
    <w:rsid w:val="00606500"/>
    <w:rsid w:val="006065F5"/>
    <w:rsid w:val="006068BE"/>
    <w:rsid w:val="00606970"/>
    <w:rsid w:val="00606982"/>
    <w:rsid w:val="00606BD2"/>
    <w:rsid w:val="00606D2F"/>
    <w:rsid w:val="006072C1"/>
    <w:rsid w:val="00607587"/>
    <w:rsid w:val="006078AC"/>
    <w:rsid w:val="00607A32"/>
    <w:rsid w:val="00610894"/>
    <w:rsid w:val="00610FDE"/>
    <w:rsid w:val="0061137D"/>
    <w:rsid w:val="006118E9"/>
    <w:rsid w:val="00612AF6"/>
    <w:rsid w:val="00612AFF"/>
    <w:rsid w:val="00612E1E"/>
    <w:rsid w:val="00612FEA"/>
    <w:rsid w:val="00613E2D"/>
    <w:rsid w:val="0061428D"/>
    <w:rsid w:val="0061451F"/>
    <w:rsid w:val="00614B1D"/>
    <w:rsid w:val="00615598"/>
    <w:rsid w:val="00615D17"/>
    <w:rsid w:val="00615D1C"/>
    <w:rsid w:val="00616576"/>
    <w:rsid w:val="006167AB"/>
    <w:rsid w:val="00616C66"/>
    <w:rsid w:val="00616C6E"/>
    <w:rsid w:val="00616D2C"/>
    <w:rsid w:val="0061710B"/>
    <w:rsid w:val="006176E1"/>
    <w:rsid w:val="00617765"/>
    <w:rsid w:val="006211BF"/>
    <w:rsid w:val="00621307"/>
    <w:rsid w:val="00622254"/>
    <w:rsid w:val="00622775"/>
    <w:rsid w:val="00622EB6"/>
    <w:rsid w:val="006235B4"/>
    <w:rsid w:val="006246F3"/>
    <w:rsid w:val="00624DA6"/>
    <w:rsid w:val="00624DE7"/>
    <w:rsid w:val="00624E91"/>
    <w:rsid w:val="006250FC"/>
    <w:rsid w:val="006253F2"/>
    <w:rsid w:val="0062541D"/>
    <w:rsid w:val="0062556B"/>
    <w:rsid w:val="00625ABF"/>
    <w:rsid w:val="00626330"/>
    <w:rsid w:val="0062792C"/>
    <w:rsid w:val="00627FF7"/>
    <w:rsid w:val="00630BA4"/>
    <w:rsid w:val="00630C7A"/>
    <w:rsid w:val="00630E9D"/>
    <w:rsid w:val="00630FCE"/>
    <w:rsid w:val="006312CD"/>
    <w:rsid w:val="006318C5"/>
    <w:rsid w:val="00631924"/>
    <w:rsid w:val="00631CF4"/>
    <w:rsid w:val="0063224D"/>
    <w:rsid w:val="00632974"/>
    <w:rsid w:val="006330CA"/>
    <w:rsid w:val="00633A7A"/>
    <w:rsid w:val="00634240"/>
    <w:rsid w:val="006349A1"/>
    <w:rsid w:val="00634D49"/>
    <w:rsid w:val="00634DD1"/>
    <w:rsid w:val="006352EE"/>
    <w:rsid w:val="00635644"/>
    <w:rsid w:val="006357E1"/>
    <w:rsid w:val="00635BDF"/>
    <w:rsid w:val="0063618E"/>
    <w:rsid w:val="006361CC"/>
    <w:rsid w:val="0063636A"/>
    <w:rsid w:val="00636505"/>
    <w:rsid w:val="00640105"/>
    <w:rsid w:val="00640225"/>
    <w:rsid w:val="006406A4"/>
    <w:rsid w:val="00640746"/>
    <w:rsid w:val="00640899"/>
    <w:rsid w:val="006409EE"/>
    <w:rsid w:val="006412D5"/>
    <w:rsid w:val="006413F3"/>
    <w:rsid w:val="00641628"/>
    <w:rsid w:val="00641CEE"/>
    <w:rsid w:val="00642029"/>
    <w:rsid w:val="00642072"/>
    <w:rsid w:val="00642383"/>
    <w:rsid w:val="00642694"/>
    <w:rsid w:val="0064282A"/>
    <w:rsid w:val="006431F5"/>
    <w:rsid w:val="00644FAD"/>
    <w:rsid w:val="00645374"/>
    <w:rsid w:val="006458C5"/>
    <w:rsid w:val="00645B5D"/>
    <w:rsid w:val="00646683"/>
    <w:rsid w:val="006469E3"/>
    <w:rsid w:val="00646C4E"/>
    <w:rsid w:val="006470D1"/>
    <w:rsid w:val="006476C4"/>
    <w:rsid w:val="006500C1"/>
    <w:rsid w:val="00650387"/>
    <w:rsid w:val="00650614"/>
    <w:rsid w:val="00650A7B"/>
    <w:rsid w:val="006514F7"/>
    <w:rsid w:val="00651B6D"/>
    <w:rsid w:val="00651B95"/>
    <w:rsid w:val="00651EC2"/>
    <w:rsid w:val="006529C8"/>
    <w:rsid w:val="00652B01"/>
    <w:rsid w:val="00652C65"/>
    <w:rsid w:val="00653764"/>
    <w:rsid w:val="00653CB4"/>
    <w:rsid w:val="006551F0"/>
    <w:rsid w:val="006557AF"/>
    <w:rsid w:val="00655B99"/>
    <w:rsid w:val="0065628D"/>
    <w:rsid w:val="00656E4E"/>
    <w:rsid w:val="00656ECD"/>
    <w:rsid w:val="00657619"/>
    <w:rsid w:val="006577D8"/>
    <w:rsid w:val="00657890"/>
    <w:rsid w:val="00657A6A"/>
    <w:rsid w:val="00657CD9"/>
    <w:rsid w:val="00657E41"/>
    <w:rsid w:val="00660ACE"/>
    <w:rsid w:val="00660AEB"/>
    <w:rsid w:val="00660EA3"/>
    <w:rsid w:val="00660FDC"/>
    <w:rsid w:val="00661E9B"/>
    <w:rsid w:val="00661FCE"/>
    <w:rsid w:val="006621E5"/>
    <w:rsid w:val="006628C1"/>
    <w:rsid w:val="00662AFB"/>
    <w:rsid w:val="00662B82"/>
    <w:rsid w:val="00662C95"/>
    <w:rsid w:val="00662E3B"/>
    <w:rsid w:val="006630CC"/>
    <w:rsid w:val="006640A5"/>
    <w:rsid w:val="00664A82"/>
    <w:rsid w:val="00664F98"/>
    <w:rsid w:val="00665070"/>
    <w:rsid w:val="00665110"/>
    <w:rsid w:val="00665A3B"/>
    <w:rsid w:val="00665B3E"/>
    <w:rsid w:val="00665C25"/>
    <w:rsid w:val="00665EC3"/>
    <w:rsid w:val="00665EF2"/>
    <w:rsid w:val="00666A7C"/>
    <w:rsid w:val="0066707D"/>
    <w:rsid w:val="006673AE"/>
    <w:rsid w:val="00667863"/>
    <w:rsid w:val="00667ECF"/>
    <w:rsid w:val="0067016D"/>
    <w:rsid w:val="0067048F"/>
    <w:rsid w:val="00670588"/>
    <w:rsid w:val="0067097B"/>
    <w:rsid w:val="00670D08"/>
    <w:rsid w:val="006714C4"/>
    <w:rsid w:val="00671814"/>
    <w:rsid w:val="00671F83"/>
    <w:rsid w:val="00672365"/>
    <w:rsid w:val="00672475"/>
    <w:rsid w:val="00673015"/>
    <w:rsid w:val="00673967"/>
    <w:rsid w:val="00673BBE"/>
    <w:rsid w:val="00674226"/>
    <w:rsid w:val="00674358"/>
    <w:rsid w:val="00674752"/>
    <w:rsid w:val="006750F8"/>
    <w:rsid w:val="00675401"/>
    <w:rsid w:val="0067584D"/>
    <w:rsid w:val="00675D15"/>
    <w:rsid w:val="00676363"/>
    <w:rsid w:val="0067671D"/>
    <w:rsid w:val="0067699F"/>
    <w:rsid w:val="006769F0"/>
    <w:rsid w:val="0067728E"/>
    <w:rsid w:val="00677587"/>
    <w:rsid w:val="006775F5"/>
    <w:rsid w:val="0067791A"/>
    <w:rsid w:val="006801C1"/>
    <w:rsid w:val="00680651"/>
    <w:rsid w:val="00680D77"/>
    <w:rsid w:val="00680EED"/>
    <w:rsid w:val="006811DB"/>
    <w:rsid w:val="0068134E"/>
    <w:rsid w:val="00681F8F"/>
    <w:rsid w:val="00682FB9"/>
    <w:rsid w:val="00683150"/>
    <w:rsid w:val="006835B3"/>
    <w:rsid w:val="006837EA"/>
    <w:rsid w:val="00683FB4"/>
    <w:rsid w:val="00684461"/>
    <w:rsid w:val="0068499D"/>
    <w:rsid w:val="006849A7"/>
    <w:rsid w:val="00684A35"/>
    <w:rsid w:val="00685334"/>
    <w:rsid w:val="006854E7"/>
    <w:rsid w:val="006855F6"/>
    <w:rsid w:val="00685859"/>
    <w:rsid w:val="00685913"/>
    <w:rsid w:val="00686498"/>
    <w:rsid w:val="0068672A"/>
    <w:rsid w:val="00686756"/>
    <w:rsid w:val="00686AB0"/>
    <w:rsid w:val="00686AE5"/>
    <w:rsid w:val="00686FBA"/>
    <w:rsid w:val="006871C8"/>
    <w:rsid w:val="00687EE2"/>
    <w:rsid w:val="006905EC"/>
    <w:rsid w:val="006906AC"/>
    <w:rsid w:val="006906DD"/>
    <w:rsid w:val="00690764"/>
    <w:rsid w:val="00690916"/>
    <w:rsid w:val="00690BD3"/>
    <w:rsid w:val="00690E79"/>
    <w:rsid w:val="006910F3"/>
    <w:rsid w:val="00691124"/>
    <w:rsid w:val="0069117A"/>
    <w:rsid w:val="006915C6"/>
    <w:rsid w:val="006915CD"/>
    <w:rsid w:val="00691671"/>
    <w:rsid w:val="00692809"/>
    <w:rsid w:val="00693142"/>
    <w:rsid w:val="00693388"/>
    <w:rsid w:val="006934AE"/>
    <w:rsid w:val="006935E2"/>
    <w:rsid w:val="00693697"/>
    <w:rsid w:val="0069384F"/>
    <w:rsid w:val="00693AE6"/>
    <w:rsid w:val="00693F0D"/>
    <w:rsid w:val="00693F63"/>
    <w:rsid w:val="006942C7"/>
    <w:rsid w:val="006944B9"/>
    <w:rsid w:val="006947A6"/>
    <w:rsid w:val="00694F9D"/>
    <w:rsid w:val="006956FB"/>
    <w:rsid w:val="0069640F"/>
    <w:rsid w:val="00696E44"/>
    <w:rsid w:val="00697596"/>
    <w:rsid w:val="00697948"/>
    <w:rsid w:val="00697AA6"/>
    <w:rsid w:val="00697E6D"/>
    <w:rsid w:val="00697EC7"/>
    <w:rsid w:val="006A00B7"/>
    <w:rsid w:val="006A0BD3"/>
    <w:rsid w:val="006A0BF9"/>
    <w:rsid w:val="006A1078"/>
    <w:rsid w:val="006A1C8F"/>
    <w:rsid w:val="006A241B"/>
    <w:rsid w:val="006A3334"/>
    <w:rsid w:val="006A334B"/>
    <w:rsid w:val="006A338F"/>
    <w:rsid w:val="006A33F1"/>
    <w:rsid w:val="006A39EB"/>
    <w:rsid w:val="006A3C5C"/>
    <w:rsid w:val="006A3D02"/>
    <w:rsid w:val="006A402D"/>
    <w:rsid w:val="006A4201"/>
    <w:rsid w:val="006A44CF"/>
    <w:rsid w:val="006A47DE"/>
    <w:rsid w:val="006A4EFF"/>
    <w:rsid w:val="006A5000"/>
    <w:rsid w:val="006A55E0"/>
    <w:rsid w:val="006A5917"/>
    <w:rsid w:val="006A5A73"/>
    <w:rsid w:val="006A5A98"/>
    <w:rsid w:val="006A5D2B"/>
    <w:rsid w:val="006A5D39"/>
    <w:rsid w:val="006A5E4A"/>
    <w:rsid w:val="006A62B9"/>
    <w:rsid w:val="006A69EF"/>
    <w:rsid w:val="006A7053"/>
    <w:rsid w:val="006A70B1"/>
    <w:rsid w:val="006B0051"/>
    <w:rsid w:val="006B0FE5"/>
    <w:rsid w:val="006B1134"/>
    <w:rsid w:val="006B11CA"/>
    <w:rsid w:val="006B1466"/>
    <w:rsid w:val="006B2FFB"/>
    <w:rsid w:val="006B3C0C"/>
    <w:rsid w:val="006B3C24"/>
    <w:rsid w:val="006B3C8B"/>
    <w:rsid w:val="006B3D3B"/>
    <w:rsid w:val="006B43AF"/>
    <w:rsid w:val="006B48E8"/>
    <w:rsid w:val="006B572C"/>
    <w:rsid w:val="006B597A"/>
    <w:rsid w:val="006B59A5"/>
    <w:rsid w:val="006B6C8B"/>
    <w:rsid w:val="006B72F7"/>
    <w:rsid w:val="006B74CB"/>
    <w:rsid w:val="006B74E5"/>
    <w:rsid w:val="006B76C3"/>
    <w:rsid w:val="006B7D2D"/>
    <w:rsid w:val="006C05BA"/>
    <w:rsid w:val="006C0A8B"/>
    <w:rsid w:val="006C0C31"/>
    <w:rsid w:val="006C11DC"/>
    <w:rsid w:val="006C1398"/>
    <w:rsid w:val="006C1A8A"/>
    <w:rsid w:val="006C1B55"/>
    <w:rsid w:val="006C1F2A"/>
    <w:rsid w:val="006C2264"/>
    <w:rsid w:val="006C3B28"/>
    <w:rsid w:val="006C3C24"/>
    <w:rsid w:val="006C4051"/>
    <w:rsid w:val="006C5157"/>
    <w:rsid w:val="006C5242"/>
    <w:rsid w:val="006C5845"/>
    <w:rsid w:val="006C5C43"/>
    <w:rsid w:val="006C5C76"/>
    <w:rsid w:val="006C63DB"/>
    <w:rsid w:val="006C6C5A"/>
    <w:rsid w:val="006C701F"/>
    <w:rsid w:val="006C7121"/>
    <w:rsid w:val="006C71C3"/>
    <w:rsid w:val="006C74A8"/>
    <w:rsid w:val="006C781D"/>
    <w:rsid w:val="006D0473"/>
    <w:rsid w:val="006D0C3A"/>
    <w:rsid w:val="006D1A13"/>
    <w:rsid w:val="006D215B"/>
    <w:rsid w:val="006D236B"/>
    <w:rsid w:val="006D240D"/>
    <w:rsid w:val="006D39FC"/>
    <w:rsid w:val="006D3FE5"/>
    <w:rsid w:val="006D46DD"/>
    <w:rsid w:val="006D480E"/>
    <w:rsid w:val="006D4907"/>
    <w:rsid w:val="006D53A5"/>
    <w:rsid w:val="006D5522"/>
    <w:rsid w:val="006D5CA7"/>
    <w:rsid w:val="006D5D40"/>
    <w:rsid w:val="006D5DC8"/>
    <w:rsid w:val="006D6E19"/>
    <w:rsid w:val="006D7EB4"/>
    <w:rsid w:val="006E05A0"/>
    <w:rsid w:val="006E0E48"/>
    <w:rsid w:val="006E0E86"/>
    <w:rsid w:val="006E18DC"/>
    <w:rsid w:val="006E1DBD"/>
    <w:rsid w:val="006E1E4A"/>
    <w:rsid w:val="006E2010"/>
    <w:rsid w:val="006E20AF"/>
    <w:rsid w:val="006E24B6"/>
    <w:rsid w:val="006E2C0A"/>
    <w:rsid w:val="006E2F73"/>
    <w:rsid w:val="006E3767"/>
    <w:rsid w:val="006E3850"/>
    <w:rsid w:val="006E4199"/>
    <w:rsid w:val="006E4303"/>
    <w:rsid w:val="006E4F55"/>
    <w:rsid w:val="006E547A"/>
    <w:rsid w:val="006E58BA"/>
    <w:rsid w:val="006E5F29"/>
    <w:rsid w:val="006E5FDD"/>
    <w:rsid w:val="006E61F7"/>
    <w:rsid w:val="006E62D3"/>
    <w:rsid w:val="006E63CA"/>
    <w:rsid w:val="006E6440"/>
    <w:rsid w:val="006E6588"/>
    <w:rsid w:val="006E66D5"/>
    <w:rsid w:val="006E67B0"/>
    <w:rsid w:val="006E67BE"/>
    <w:rsid w:val="006E69EB"/>
    <w:rsid w:val="006E6B0E"/>
    <w:rsid w:val="006E708D"/>
    <w:rsid w:val="006E7424"/>
    <w:rsid w:val="006E78C2"/>
    <w:rsid w:val="006E7DD7"/>
    <w:rsid w:val="006E7F73"/>
    <w:rsid w:val="006F0A33"/>
    <w:rsid w:val="006F0C5C"/>
    <w:rsid w:val="006F271C"/>
    <w:rsid w:val="006F2759"/>
    <w:rsid w:val="006F2AD2"/>
    <w:rsid w:val="006F2BFD"/>
    <w:rsid w:val="006F2FAF"/>
    <w:rsid w:val="006F40F7"/>
    <w:rsid w:val="006F47BF"/>
    <w:rsid w:val="006F4962"/>
    <w:rsid w:val="006F4D28"/>
    <w:rsid w:val="006F5536"/>
    <w:rsid w:val="006F5F93"/>
    <w:rsid w:val="006F6039"/>
    <w:rsid w:val="006F6110"/>
    <w:rsid w:val="006F6384"/>
    <w:rsid w:val="006F668A"/>
    <w:rsid w:val="006F6FEF"/>
    <w:rsid w:val="007003CA"/>
    <w:rsid w:val="0070054E"/>
    <w:rsid w:val="00700EF6"/>
    <w:rsid w:val="00701642"/>
    <w:rsid w:val="007019B5"/>
    <w:rsid w:val="00701E87"/>
    <w:rsid w:val="00702002"/>
    <w:rsid w:val="00702165"/>
    <w:rsid w:val="00702371"/>
    <w:rsid w:val="00702826"/>
    <w:rsid w:val="00702B5C"/>
    <w:rsid w:val="00702BB5"/>
    <w:rsid w:val="00702FAA"/>
    <w:rsid w:val="00702FB4"/>
    <w:rsid w:val="007030BB"/>
    <w:rsid w:val="007032CF"/>
    <w:rsid w:val="007035EE"/>
    <w:rsid w:val="00703758"/>
    <w:rsid w:val="00703785"/>
    <w:rsid w:val="00703A3D"/>
    <w:rsid w:val="00704104"/>
    <w:rsid w:val="0070438F"/>
    <w:rsid w:val="00704C2B"/>
    <w:rsid w:val="007050ED"/>
    <w:rsid w:val="0070523F"/>
    <w:rsid w:val="00705741"/>
    <w:rsid w:val="00705819"/>
    <w:rsid w:val="00705833"/>
    <w:rsid w:val="0070667D"/>
    <w:rsid w:val="00706CE6"/>
    <w:rsid w:val="00706E36"/>
    <w:rsid w:val="0070783D"/>
    <w:rsid w:val="0070792B"/>
    <w:rsid w:val="00707F76"/>
    <w:rsid w:val="007102CE"/>
    <w:rsid w:val="007109ED"/>
    <w:rsid w:val="00710B9C"/>
    <w:rsid w:val="00710C12"/>
    <w:rsid w:val="0071119D"/>
    <w:rsid w:val="00711B22"/>
    <w:rsid w:val="00712975"/>
    <w:rsid w:val="00712BB6"/>
    <w:rsid w:val="0071345A"/>
    <w:rsid w:val="0071368E"/>
    <w:rsid w:val="00713A94"/>
    <w:rsid w:val="00713FE9"/>
    <w:rsid w:val="00714901"/>
    <w:rsid w:val="007151C2"/>
    <w:rsid w:val="00715462"/>
    <w:rsid w:val="007158F7"/>
    <w:rsid w:val="00715ACF"/>
    <w:rsid w:val="00715B3E"/>
    <w:rsid w:val="00715EB7"/>
    <w:rsid w:val="007161B9"/>
    <w:rsid w:val="00716505"/>
    <w:rsid w:val="00716972"/>
    <w:rsid w:val="00716A95"/>
    <w:rsid w:val="00716DD6"/>
    <w:rsid w:val="00717EBA"/>
    <w:rsid w:val="0072002E"/>
    <w:rsid w:val="007207D9"/>
    <w:rsid w:val="00720969"/>
    <w:rsid w:val="007209B0"/>
    <w:rsid w:val="00720A33"/>
    <w:rsid w:val="00721C90"/>
    <w:rsid w:val="00721D14"/>
    <w:rsid w:val="00722C75"/>
    <w:rsid w:val="0072355A"/>
    <w:rsid w:val="0072357E"/>
    <w:rsid w:val="00723610"/>
    <w:rsid w:val="0072369D"/>
    <w:rsid w:val="00723781"/>
    <w:rsid w:val="0072422D"/>
    <w:rsid w:val="00724A45"/>
    <w:rsid w:val="00724BB6"/>
    <w:rsid w:val="007251EF"/>
    <w:rsid w:val="00725240"/>
    <w:rsid w:val="007255A5"/>
    <w:rsid w:val="007259CC"/>
    <w:rsid w:val="00725E26"/>
    <w:rsid w:val="00726296"/>
    <w:rsid w:val="00726298"/>
    <w:rsid w:val="00726488"/>
    <w:rsid w:val="0072700D"/>
    <w:rsid w:val="00727196"/>
    <w:rsid w:val="00727550"/>
    <w:rsid w:val="00727808"/>
    <w:rsid w:val="00727D1B"/>
    <w:rsid w:val="00727DC3"/>
    <w:rsid w:val="00727E46"/>
    <w:rsid w:val="00727FF7"/>
    <w:rsid w:val="00730EB7"/>
    <w:rsid w:val="00731280"/>
    <w:rsid w:val="00731B53"/>
    <w:rsid w:val="00732484"/>
    <w:rsid w:val="00732AD0"/>
    <w:rsid w:val="00732B29"/>
    <w:rsid w:val="00732D4F"/>
    <w:rsid w:val="00732EEA"/>
    <w:rsid w:val="00732F26"/>
    <w:rsid w:val="00732F98"/>
    <w:rsid w:val="007330BF"/>
    <w:rsid w:val="00733903"/>
    <w:rsid w:val="00734586"/>
    <w:rsid w:val="0073476B"/>
    <w:rsid w:val="00734E1E"/>
    <w:rsid w:val="007350C3"/>
    <w:rsid w:val="007350F4"/>
    <w:rsid w:val="00735322"/>
    <w:rsid w:val="007353A1"/>
    <w:rsid w:val="007368BB"/>
    <w:rsid w:val="00736E21"/>
    <w:rsid w:val="00736F4C"/>
    <w:rsid w:val="0073752E"/>
    <w:rsid w:val="00737739"/>
    <w:rsid w:val="00737A87"/>
    <w:rsid w:val="00737FD6"/>
    <w:rsid w:val="0074067F"/>
    <w:rsid w:val="007412DD"/>
    <w:rsid w:val="007419F2"/>
    <w:rsid w:val="00741B31"/>
    <w:rsid w:val="00741E60"/>
    <w:rsid w:val="0074209F"/>
    <w:rsid w:val="007421D9"/>
    <w:rsid w:val="00742396"/>
    <w:rsid w:val="0074267C"/>
    <w:rsid w:val="00742B97"/>
    <w:rsid w:val="00742CD2"/>
    <w:rsid w:val="007438DE"/>
    <w:rsid w:val="00743A6E"/>
    <w:rsid w:val="00743EAD"/>
    <w:rsid w:val="0074402A"/>
    <w:rsid w:val="0074432A"/>
    <w:rsid w:val="007448DA"/>
    <w:rsid w:val="00744A1A"/>
    <w:rsid w:val="00744EE6"/>
    <w:rsid w:val="00745531"/>
    <w:rsid w:val="007455B5"/>
    <w:rsid w:val="007456C0"/>
    <w:rsid w:val="00745C03"/>
    <w:rsid w:val="00746241"/>
    <w:rsid w:val="00747148"/>
    <w:rsid w:val="007476E4"/>
    <w:rsid w:val="00747845"/>
    <w:rsid w:val="00747C36"/>
    <w:rsid w:val="00747F5C"/>
    <w:rsid w:val="00750AC2"/>
    <w:rsid w:val="00750D4E"/>
    <w:rsid w:val="00751534"/>
    <w:rsid w:val="007519B8"/>
    <w:rsid w:val="00752417"/>
    <w:rsid w:val="0075283A"/>
    <w:rsid w:val="00752853"/>
    <w:rsid w:val="00754081"/>
    <w:rsid w:val="00754340"/>
    <w:rsid w:val="007546C1"/>
    <w:rsid w:val="0075473E"/>
    <w:rsid w:val="007547E3"/>
    <w:rsid w:val="00754BCF"/>
    <w:rsid w:val="0075527B"/>
    <w:rsid w:val="007552C5"/>
    <w:rsid w:val="007558FF"/>
    <w:rsid w:val="00755A25"/>
    <w:rsid w:val="00755FE3"/>
    <w:rsid w:val="0075609E"/>
    <w:rsid w:val="007564C0"/>
    <w:rsid w:val="007569C1"/>
    <w:rsid w:val="00756D7D"/>
    <w:rsid w:val="007571FC"/>
    <w:rsid w:val="00757351"/>
    <w:rsid w:val="00757747"/>
    <w:rsid w:val="0075781F"/>
    <w:rsid w:val="00757959"/>
    <w:rsid w:val="00757A79"/>
    <w:rsid w:val="00757B09"/>
    <w:rsid w:val="00757F07"/>
    <w:rsid w:val="00757FA5"/>
    <w:rsid w:val="007601BD"/>
    <w:rsid w:val="00760202"/>
    <w:rsid w:val="00760244"/>
    <w:rsid w:val="00760360"/>
    <w:rsid w:val="00760554"/>
    <w:rsid w:val="00760FB9"/>
    <w:rsid w:val="00761F03"/>
    <w:rsid w:val="00761F2C"/>
    <w:rsid w:val="007621FC"/>
    <w:rsid w:val="00762A62"/>
    <w:rsid w:val="00763394"/>
    <w:rsid w:val="007637FC"/>
    <w:rsid w:val="0076409D"/>
    <w:rsid w:val="00764146"/>
    <w:rsid w:val="0076470A"/>
    <w:rsid w:val="0076490F"/>
    <w:rsid w:val="00764F8C"/>
    <w:rsid w:val="007651E1"/>
    <w:rsid w:val="00765886"/>
    <w:rsid w:val="007659D7"/>
    <w:rsid w:val="007664FB"/>
    <w:rsid w:val="00766DA5"/>
    <w:rsid w:val="00767114"/>
    <w:rsid w:val="0076729B"/>
    <w:rsid w:val="007672A7"/>
    <w:rsid w:val="007676D4"/>
    <w:rsid w:val="0077046D"/>
    <w:rsid w:val="00770565"/>
    <w:rsid w:val="007705CD"/>
    <w:rsid w:val="00770626"/>
    <w:rsid w:val="00770779"/>
    <w:rsid w:val="00770B49"/>
    <w:rsid w:val="00770CAA"/>
    <w:rsid w:val="00770E87"/>
    <w:rsid w:val="00771278"/>
    <w:rsid w:val="007716FE"/>
    <w:rsid w:val="00771A19"/>
    <w:rsid w:val="00771A35"/>
    <w:rsid w:val="00772A18"/>
    <w:rsid w:val="0077335F"/>
    <w:rsid w:val="007734D9"/>
    <w:rsid w:val="00774601"/>
    <w:rsid w:val="00774C41"/>
    <w:rsid w:val="00774DDC"/>
    <w:rsid w:val="007750C2"/>
    <w:rsid w:val="00775279"/>
    <w:rsid w:val="00775DD2"/>
    <w:rsid w:val="007765DF"/>
    <w:rsid w:val="007765E1"/>
    <w:rsid w:val="00776C85"/>
    <w:rsid w:val="00776FE9"/>
    <w:rsid w:val="007771B9"/>
    <w:rsid w:val="00777250"/>
    <w:rsid w:val="00777A41"/>
    <w:rsid w:val="00777BFE"/>
    <w:rsid w:val="00777D69"/>
    <w:rsid w:val="0078052E"/>
    <w:rsid w:val="00780829"/>
    <w:rsid w:val="00780908"/>
    <w:rsid w:val="00780FAD"/>
    <w:rsid w:val="00781351"/>
    <w:rsid w:val="00781682"/>
    <w:rsid w:val="0078218B"/>
    <w:rsid w:val="0078241A"/>
    <w:rsid w:val="00783156"/>
    <w:rsid w:val="0078323F"/>
    <w:rsid w:val="0078344A"/>
    <w:rsid w:val="007839C0"/>
    <w:rsid w:val="00783BAD"/>
    <w:rsid w:val="00784679"/>
    <w:rsid w:val="00784DB4"/>
    <w:rsid w:val="00785503"/>
    <w:rsid w:val="00785DC4"/>
    <w:rsid w:val="00786411"/>
    <w:rsid w:val="00786443"/>
    <w:rsid w:val="00786EBB"/>
    <w:rsid w:val="00786F82"/>
    <w:rsid w:val="007870F6"/>
    <w:rsid w:val="00787601"/>
    <w:rsid w:val="0078767E"/>
    <w:rsid w:val="007878DD"/>
    <w:rsid w:val="00787C99"/>
    <w:rsid w:val="00787EB3"/>
    <w:rsid w:val="0079001F"/>
    <w:rsid w:val="00790AC8"/>
    <w:rsid w:val="00790B88"/>
    <w:rsid w:val="00790D75"/>
    <w:rsid w:val="0079151B"/>
    <w:rsid w:val="007915B3"/>
    <w:rsid w:val="0079183B"/>
    <w:rsid w:val="0079187C"/>
    <w:rsid w:val="00791928"/>
    <w:rsid w:val="00791E3B"/>
    <w:rsid w:val="0079228E"/>
    <w:rsid w:val="00792685"/>
    <w:rsid w:val="00792909"/>
    <w:rsid w:val="00792C4B"/>
    <w:rsid w:val="007933C7"/>
    <w:rsid w:val="00793BBC"/>
    <w:rsid w:val="0079415F"/>
    <w:rsid w:val="007942E3"/>
    <w:rsid w:val="007943A1"/>
    <w:rsid w:val="00794802"/>
    <w:rsid w:val="00794C53"/>
    <w:rsid w:val="00794D6E"/>
    <w:rsid w:val="00794DCA"/>
    <w:rsid w:val="00795207"/>
    <w:rsid w:val="00795274"/>
    <w:rsid w:val="007953F0"/>
    <w:rsid w:val="007954B4"/>
    <w:rsid w:val="007955B8"/>
    <w:rsid w:val="00795D4F"/>
    <w:rsid w:val="00795F76"/>
    <w:rsid w:val="00796204"/>
    <w:rsid w:val="007962DA"/>
    <w:rsid w:val="0079642A"/>
    <w:rsid w:val="00796784"/>
    <w:rsid w:val="00796A72"/>
    <w:rsid w:val="00796C3A"/>
    <w:rsid w:val="00796D37"/>
    <w:rsid w:val="007976D4"/>
    <w:rsid w:val="00797DC4"/>
    <w:rsid w:val="007A05FC"/>
    <w:rsid w:val="007A1015"/>
    <w:rsid w:val="007A1082"/>
    <w:rsid w:val="007A130F"/>
    <w:rsid w:val="007A27A6"/>
    <w:rsid w:val="007A287E"/>
    <w:rsid w:val="007A2A96"/>
    <w:rsid w:val="007A364B"/>
    <w:rsid w:val="007A377F"/>
    <w:rsid w:val="007A4507"/>
    <w:rsid w:val="007A48B5"/>
    <w:rsid w:val="007A51C1"/>
    <w:rsid w:val="007A530D"/>
    <w:rsid w:val="007A5550"/>
    <w:rsid w:val="007A5ECF"/>
    <w:rsid w:val="007A5F5D"/>
    <w:rsid w:val="007A5FD1"/>
    <w:rsid w:val="007A61A1"/>
    <w:rsid w:val="007A61D7"/>
    <w:rsid w:val="007A6606"/>
    <w:rsid w:val="007A661A"/>
    <w:rsid w:val="007A67B1"/>
    <w:rsid w:val="007A69D9"/>
    <w:rsid w:val="007A6DCB"/>
    <w:rsid w:val="007A6FB0"/>
    <w:rsid w:val="007A7042"/>
    <w:rsid w:val="007A714B"/>
    <w:rsid w:val="007A79D3"/>
    <w:rsid w:val="007A7A94"/>
    <w:rsid w:val="007A7C5E"/>
    <w:rsid w:val="007A7D6E"/>
    <w:rsid w:val="007A7F41"/>
    <w:rsid w:val="007B1033"/>
    <w:rsid w:val="007B1591"/>
    <w:rsid w:val="007B1D61"/>
    <w:rsid w:val="007B2529"/>
    <w:rsid w:val="007B30C7"/>
    <w:rsid w:val="007B4A75"/>
    <w:rsid w:val="007B4E2F"/>
    <w:rsid w:val="007B511E"/>
    <w:rsid w:val="007B5592"/>
    <w:rsid w:val="007B5625"/>
    <w:rsid w:val="007B5CEA"/>
    <w:rsid w:val="007B604E"/>
    <w:rsid w:val="007B639D"/>
    <w:rsid w:val="007B6CAD"/>
    <w:rsid w:val="007B720B"/>
    <w:rsid w:val="007B7340"/>
    <w:rsid w:val="007B737F"/>
    <w:rsid w:val="007B73C0"/>
    <w:rsid w:val="007B7460"/>
    <w:rsid w:val="007B75EB"/>
    <w:rsid w:val="007B7772"/>
    <w:rsid w:val="007B78A4"/>
    <w:rsid w:val="007B7AB7"/>
    <w:rsid w:val="007B7EF7"/>
    <w:rsid w:val="007C03DB"/>
    <w:rsid w:val="007C06BC"/>
    <w:rsid w:val="007C073E"/>
    <w:rsid w:val="007C20ED"/>
    <w:rsid w:val="007C232C"/>
    <w:rsid w:val="007C2A5A"/>
    <w:rsid w:val="007C30DB"/>
    <w:rsid w:val="007C328E"/>
    <w:rsid w:val="007C36B5"/>
    <w:rsid w:val="007C3888"/>
    <w:rsid w:val="007C3B69"/>
    <w:rsid w:val="007C3FD0"/>
    <w:rsid w:val="007C42CE"/>
    <w:rsid w:val="007C4558"/>
    <w:rsid w:val="007C4672"/>
    <w:rsid w:val="007C47F7"/>
    <w:rsid w:val="007C52CB"/>
    <w:rsid w:val="007C5AE7"/>
    <w:rsid w:val="007C5FDA"/>
    <w:rsid w:val="007C7294"/>
    <w:rsid w:val="007C743C"/>
    <w:rsid w:val="007C77D5"/>
    <w:rsid w:val="007C7D4A"/>
    <w:rsid w:val="007D0B4A"/>
    <w:rsid w:val="007D1279"/>
    <w:rsid w:val="007D1363"/>
    <w:rsid w:val="007D2191"/>
    <w:rsid w:val="007D2455"/>
    <w:rsid w:val="007D2A16"/>
    <w:rsid w:val="007D301D"/>
    <w:rsid w:val="007D353A"/>
    <w:rsid w:val="007D360F"/>
    <w:rsid w:val="007D36A3"/>
    <w:rsid w:val="007D449D"/>
    <w:rsid w:val="007D4599"/>
    <w:rsid w:val="007D47E8"/>
    <w:rsid w:val="007D498E"/>
    <w:rsid w:val="007D49EB"/>
    <w:rsid w:val="007D4EFF"/>
    <w:rsid w:val="007D5332"/>
    <w:rsid w:val="007D5660"/>
    <w:rsid w:val="007D59D5"/>
    <w:rsid w:val="007D5AAF"/>
    <w:rsid w:val="007D5C47"/>
    <w:rsid w:val="007D679D"/>
    <w:rsid w:val="007D6A6A"/>
    <w:rsid w:val="007D6D2B"/>
    <w:rsid w:val="007D7E00"/>
    <w:rsid w:val="007E0CDF"/>
    <w:rsid w:val="007E0D00"/>
    <w:rsid w:val="007E1590"/>
    <w:rsid w:val="007E1C84"/>
    <w:rsid w:val="007E2A5E"/>
    <w:rsid w:val="007E2CFA"/>
    <w:rsid w:val="007E3642"/>
    <w:rsid w:val="007E36D9"/>
    <w:rsid w:val="007E3D96"/>
    <w:rsid w:val="007E3FCF"/>
    <w:rsid w:val="007E5654"/>
    <w:rsid w:val="007E5C3A"/>
    <w:rsid w:val="007E6280"/>
    <w:rsid w:val="007E69FB"/>
    <w:rsid w:val="007E6C01"/>
    <w:rsid w:val="007E6E3A"/>
    <w:rsid w:val="007E6FD9"/>
    <w:rsid w:val="007E713A"/>
    <w:rsid w:val="007E7ABE"/>
    <w:rsid w:val="007E7EF7"/>
    <w:rsid w:val="007F05A5"/>
    <w:rsid w:val="007F0701"/>
    <w:rsid w:val="007F08B6"/>
    <w:rsid w:val="007F0FC5"/>
    <w:rsid w:val="007F1403"/>
    <w:rsid w:val="007F1874"/>
    <w:rsid w:val="007F1942"/>
    <w:rsid w:val="007F2417"/>
    <w:rsid w:val="007F266D"/>
    <w:rsid w:val="007F2997"/>
    <w:rsid w:val="007F2C5F"/>
    <w:rsid w:val="007F2E14"/>
    <w:rsid w:val="007F4850"/>
    <w:rsid w:val="007F4854"/>
    <w:rsid w:val="007F4F78"/>
    <w:rsid w:val="007F5299"/>
    <w:rsid w:val="007F54E3"/>
    <w:rsid w:val="007F581B"/>
    <w:rsid w:val="007F5AEC"/>
    <w:rsid w:val="007F5CD0"/>
    <w:rsid w:val="007F5F97"/>
    <w:rsid w:val="007F60A4"/>
    <w:rsid w:val="007F72C1"/>
    <w:rsid w:val="007F72F4"/>
    <w:rsid w:val="007F7961"/>
    <w:rsid w:val="007F7ADA"/>
    <w:rsid w:val="007F7C46"/>
    <w:rsid w:val="0080099F"/>
    <w:rsid w:val="00800CA2"/>
    <w:rsid w:val="00801382"/>
    <w:rsid w:val="00801600"/>
    <w:rsid w:val="0080188A"/>
    <w:rsid w:val="008018A2"/>
    <w:rsid w:val="00801A10"/>
    <w:rsid w:val="00801BC1"/>
    <w:rsid w:val="00801C59"/>
    <w:rsid w:val="00801D36"/>
    <w:rsid w:val="00801DB7"/>
    <w:rsid w:val="00802251"/>
    <w:rsid w:val="00802D8B"/>
    <w:rsid w:val="00802D94"/>
    <w:rsid w:val="00803332"/>
    <w:rsid w:val="008039B7"/>
    <w:rsid w:val="00803A70"/>
    <w:rsid w:val="00803ED5"/>
    <w:rsid w:val="008041A3"/>
    <w:rsid w:val="00804AEC"/>
    <w:rsid w:val="00804F78"/>
    <w:rsid w:val="00805084"/>
    <w:rsid w:val="008053FC"/>
    <w:rsid w:val="00805CF5"/>
    <w:rsid w:val="00805F7A"/>
    <w:rsid w:val="00805FD3"/>
    <w:rsid w:val="00806796"/>
    <w:rsid w:val="00806A07"/>
    <w:rsid w:val="00807E5C"/>
    <w:rsid w:val="00807F20"/>
    <w:rsid w:val="00810B93"/>
    <w:rsid w:val="0081116C"/>
    <w:rsid w:val="008115DC"/>
    <w:rsid w:val="00811D8B"/>
    <w:rsid w:val="00811D99"/>
    <w:rsid w:val="008120E5"/>
    <w:rsid w:val="00812911"/>
    <w:rsid w:val="00812A76"/>
    <w:rsid w:val="00812C76"/>
    <w:rsid w:val="00812D47"/>
    <w:rsid w:val="0081368C"/>
    <w:rsid w:val="008140AD"/>
    <w:rsid w:val="00814276"/>
    <w:rsid w:val="008143AF"/>
    <w:rsid w:val="008145B0"/>
    <w:rsid w:val="00814918"/>
    <w:rsid w:val="00814B0F"/>
    <w:rsid w:val="00814E31"/>
    <w:rsid w:val="00815169"/>
    <w:rsid w:val="008159E8"/>
    <w:rsid w:val="00815B58"/>
    <w:rsid w:val="00815B6C"/>
    <w:rsid w:val="00816003"/>
    <w:rsid w:val="008160CA"/>
    <w:rsid w:val="008160CF"/>
    <w:rsid w:val="0081617D"/>
    <w:rsid w:val="00816322"/>
    <w:rsid w:val="00816323"/>
    <w:rsid w:val="008163A7"/>
    <w:rsid w:val="008164BA"/>
    <w:rsid w:val="008166FF"/>
    <w:rsid w:val="00816B68"/>
    <w:rsid w:val="00816DAE"/>
    <w:rsid w:val="00816E1A"/>
    <w:rsid w:val="00816F4E"/>
    <w:rsid w:val="00816FDA"/>
    <w:rsid w:val="00817250"/>
    <w:rsid w:val="00817B0C"/>
    <w:rsid w:val="00817DF1"/>
    <w:rsid w:val="00817FC6"/>
    <w:rsid w:val="00820444"/>
    <w:rsid w:val="008206A0"/>
    <w:rsid w:val="00820F28"/>
    <w:rsid w:val="00821329"/>
    <w:rsid w:val="0082137B"/>
    <w:rsid w:val="008214D0"/>
    <w:rsid w:val="008220A0"/>
    <w:rsid w:val="008220E2"/>
    <w:rsid w:val="00822114"/>
    <w:rsid w:val="0082251F"/>
    <w:rsid w:val="008225EF"/>
    <w:rsid w:val="008226C4"/>
    <w:rsid w:val="00822884"/>
    <w:rsid w:val="00823125"/>
    <w:rsid w:val="00823196"/>
    <w:rsid w:val="00824159"/>
    <w:rsid w:val="00824470"/>
    <w:rsid w:val="00825016"/>
    <w:rsid w:val="0082502D"/>
    <w:rsid w:val="00825879"/>
    <w:rsid w:val="00825A26"/>
    <w:rsid w:val="0082634D"/>
    <w:rsid w:val="00826C85"/>
    <w:rsid w:val="0082709F"/>
    <w:rsid w:val="00830427"/>
    <w:rsid w:val="0083050E"/>
    <w:rsid w:val="00830A3D"/>
    <w:rsid w:val="00830AA9"/>
    <w:rsid w:val="0083107F"/>
    <w:rsid w:val="0083162A"/>
    <w:rsid w:val="008317D0"/>
    <w:rsid w:val="008319D3"/>
    <w:rsid w:val="00831F84"/>
    <w:rsid w:val="00832093"/>
    <w:rsid w:val="008323F2"/>
    <w:rsid w:val="00832E5B"/>
    <w:rsid w:val="00833132"/>
    <w:rsid w:val="00833BEA"/>
    <w:rsid w:val="008342FE"/>
    <w:rsid w:val="00834394"/>
    <w:rsid w:val="00834DD4"/>
    <w:rsid w:val="00834ED9"/>
    <w:rsid w:val="008356F3"/>
    <w:rsid w:val="00835BF1"/>
    <w:rsid w:val="00835E76"/>
    <w:rsid w:val="00835F10"/>
    <w:rsid w:val="008361DD"/>
    <w:rsid w:val="0083623C"/>
    <w:rsid w:val="00836927"/>
    <w:rsid w:val="00836EBD"/>
    <w:rsid w:val="00840065"/>
    <w:rsid w:val="0084076E"/>
    <w:rsid w:val="00840997"/>
    <w:rsid w:val="00840D47"/>
    <w:rsid w:val="00841323"/>
    <w:rsid w:val="00841324"/>
    <w:rsid w:val="00841442"/>
    <w:rsid w:val="00841687"/>
    <w:rsid w:val="00841ECD"/>
    <w:rsid w:val="008428CA"/>
    <w:rsid w:val="00842A30"/>
    <w:rsid w:val="00842A83"/>
    <w:rsid w:val="0084313F"/>
    <w:rsid w:val="008445F6"/>
    <w:rsid w:val="008446C7"/>
    <w:rsid w:val="00844EEC"/>
    <w:rsid w:val="0084589C"/>
    <w:rsid w:val="00845E3E"/>
    <w:rsid w:val="00845F79"/>
    <w:rsid w:val="00845FA9"/>
    <w:rsid w:val="0084677B"/>
    <w:rsid w:val="008473D1"/>
    <w:rsid w:val="008479B4"/>
    <w:rsid w:val="0085015C"/>
    <w:rsid w:val="00850242"/>
    <w:rsid w:val="00850A05"/>
    <w:rsid w:val="0085166A"/>
    <w:rsid w:val="008518A9"/>
    <w:rsid w:val="00851BAB"/>
    <w:rsid w:val="00851CB6"/>
    <w:rsid w:val="00852077"/>
    <w:rsid w:val="0085276F"/>
    <w:rsid w:val="00852DCE"/>
    <w:rsid w:val="0085395A"/>
    <w:rsid w:val="00853967"/>
    <w:rsid w:val="00853A57"/>
    <w:rsid w:val="00853C2B"/>
    <w:rsid w:val="00854087"/>
    <w:rsid w:val="00854262"/>
    <w:rsid w:val="0085449A"/>
    <w:rsid w:val="0085469B"/>
    <w:rsid w:val="008549D6"/>
    <w:rsid w:val="008551A6"/>
    <w:rsid w:val="00855902"/>
    <w:rsid w:val="008559F0"/>
    <w:rsid w:val="00855D6F"/>
    <w:rsid w:val="0085651D"/>
    <w:rsid w:val="0085699A"/>
    <w:rsid w:val="008569C5"/>
    <w:rsid w:val="00856E5A"/>
    <w:rsid w:val="0085766D"/>
    <w:rsid w:val="00857C08"/>
    <w:rsid w:val="00857DD6"/>
    <w:rsid w:val="00860583"/>
    <w:rsid w:val="00860605"/>
    <w:rsid w:val="00860F82"/>
    <w:rsid w:val="008614A7"/>
    <w:rsid w:val="008614CC"/>
    <w:rsid w:val="00861607"/>
    <w:rsid w:val="0086166B"/>
    <w:rsid w:val="008618ED"/>
    <w:rsid w:val="00861D71"/>
    <w:rsid w:val="00862113"/>
    <w:rsid w:val="00862BCA"/>
    <w:rsid w:val="008634B0"/>
    <w:rsid w:val="008639A3"/>
    <w:rsid w:val="00863C8D"/>
    <w:rsid w:val="00864214"/>
    <w:rsid w:val="00864480"/>
    <w:rsid w:val="00864E8D"/>
    <w:rsid w:val="00865265"/>
    <w:rsid w:val="008653FF"/>
    <w:rsid w:val="00865682"/>
    <w:rsid w:val="00865693"/>
    <w:rsid w:val="0086591D"/>
    <w:rsid w:val="0086592B"/>
    <w:rsid w:val="0086592F"/>
    <w:rsid w:val="00865E05"/>
    <w:rsid w:val="0086632F"/>
    <w:rsid w:val="0086654F"/>
    <w:rsid w:val="008667DB"/>
    <w:rsid w:val="00866950"/>
    <w:rsid w:val="00866D3F"/>
    <w:rsid w:val="00866FCF"/>
    <w:rsid w:val="008708A8"/>
    <w:rsid w:val="00870E28"/>
    <w:rsid w:val="008713D8"/>
    <w:rsid w:val="0087161B"/>
    <w:rsid w:val="00871753"/>
    <w:rsid w:val="00871F8E"/>
    <w:rsid w:val="00872179"/>
    <w:rsid w:val="00872187"/>
    <w:rsid w:val="008725B4"/>
    <w:rsid w:val="00872B91"/>
    <w:rsid w:val="00872BFC"/>
    <w:rsid w:val="00872E08"/>
    <w:rsid w:val="0087343E"/>
    <w:rsid w:val="00873DA8"/>
    <w:rsid w:val="0087448E"/>
    <w:rsid w:val="00874ECD"/>
    <w:rsid w:val="00875548"/>
    <w:rsid w:val="00875651"/>
    <w:rsid w:val="00875699"/>
    <w:rsid w:val="00875E68"/>
    <w:rsid w:val="008762FD"/>
    <w:rsid w:val="00876559"/>
    <w:rsid w:val="00876872"/>
    <w:rsid w:val="00877098"/>
    <w:rsid w:val="008776D5"/>
    <w:rsid w:val="00877894"/>
    <w:rsid w:val="0088016A"/>
    <w:rsid w:val="00880864"/>
    <w:rsid w:val="00880F0F"/>
    <w:rsid w:val="00881113"/>
    <w:rsid w:val="00881644"/>
    <w:rsid w:val="00882D68"/>
    <w:rsid w:val="00882DBE"/>
    <w:rsid w:val="00883034"/>
    <w:rsid w:val="008832B2"/>
    <w:rsid w:val="00883A63"/>
    <w:rsid w:val="00883ADC"/>
    <w:rsid w:val="008841A3"/>
    <w:rsid w:val="00884653"/>
    <w:rsid w:val="00884894"/>
    <w:rsid w:val="008852B1"/>
    <w:rsid w:val="0088533D"/>
    <w:rsid w:val="008856D7"/>
    <w:rsid w:val="00885B74"/>
    <w:rsid w:val="008865EC"/>
    <w:rsid w:val="008870D0"/>
    <w:rsid w:val="00887640"/>
    <w:rsid w:val="00890B87"/>
    <w:rsid w:val="00890FFB"/>
    <w:rsid w:val="00891138"/>
    <w:rsid w:val="00891347"/>
    <w:rsid w:val="00891601"/>
    <w:rsid w:val="00891687"/>
    <w:rsid w:val="00891869"/>
    <w:rsid w:val="00891C3D"/>
    <w:rsid w:val="00892911"/>
    <w:rsid w:val="00892BEB"/>
    <w:rsid w:val="008933F6"/>
    <w:rsid w:val="0089341D"/>
    <w:rsid w:val="00894904"/>
    <w:rsid w:val="00895088"/>
    <w:rsid w:val="00895924"/>
    <w:rsid w:val="00895A34"/>
    <w:rsid w:val="00895E0B"/>
    <w:rsid w:val="00895FD7"/>
    <w:rsid w:val="00896035"/>
    <w:rsid w:val="0089623E"/>
    <w:rsid w:val="008967A4"/>
    <w:rsid w:val="00896E95"/>
    <w:rsid w:val="00896ECC"/>
    <w:rsid w:val="008970F9"/>
    <w:rsid w:val="008971CD"/>
    <w:rsid w:val="00897BDC"/>
    <w:rsid w:val="008A01B0"/>
    <w:rsid w:val="008A0289"/>
    <w:rsid w:val="008A057B"/>
    <w:rsid w:val="008A0785"/>
    <w:rsid w:val="008A0F86"/>
    <w:rsid w:val="008A1382"/>
    <w:rsid w:val="008A13C4"/>
    <w:rsid w:val="008A1762"/>
    <w:rsid w:val="008A17E6"/>
    <w:rsid w:val="008A1BB4"/>
    <w:rsid w:val="008A1E9F"/>
    <w:rsid w:val="008A1EBF"/>
    <w:rsid w:val="008A207C"/>
    <w:rsid w:val="008A2095"/>
    <w:rsid w:val="008A27F3"/>
    <w:rsid w:val="008A294B"/>
    <w:rsid w:val="008A2F52"/>
    <w:rsid w:val="008A3327"/>
    <w:rsid w:val="008A34D3"/>
    <w:rsid w:val="008A3748"/>
    <w:rsid w:val="008A3F4C"/>
    <w:rsid w:val="008A475F"/>
    <w:rsid w:val="008A4C43"/>
    <w:rsid w:val="008A4CA1"/>
    <w:rsid w:val="008A59B9"/>
    <w:rsid w:val="008A5A79"/>
    <w:rsid w:val="008A6B4C"/>
    <w:rsid w:val="008A6F0E"/>
    <w:rsid w:val="008A6FD3"/>
    <w:rsid w:val="008A71B8"/>
    <w:rsid w:val="008A78A9"/>
    <w:rsid w:val="008B041B"/>
    <w:rsid w:val="008B082F"/>
    <w:rsid w:val="008B0EB9"/>
    <w:rsid w:val="008B1E24"/>
    <w:rsid w:val="008B1E34"/>
    <w:rsid w:val="008B1F3F"/>
    <w:rsid w:val="008B1F99"/>
    <w:rsid w:val="008B21ED"/>
    <w:rsid w:val="008B22BD"/>
    <w:rsid w:val="008B238F"/>
    <w:rsid w:val="008B2A98"/>
    <w:rsid w:val="008B33E3"/>
    <w:rsid w:val="008B3701"/>
    <w:rsid w:val="008B4388"/>
    <w:rsid w:val="008B4BF8"/>
    <w:rsid w:val="008B4C23"/>
    <w:rsid w:val="008B52F7"/>
    <w:rsid w:val="008B6249"/>
    <w:rsid w:val="008B652C"/>
    <w:rsid w:val="008B6A69"/>
    <w:rsid w:val="008B711D"/>
    <w:rsid w:val="008B711F"/>
    <w:rsid w:val="008B7145"/>
    <w:rsid w:val="008B77EE"/>
    <w:rsid w:val="008B7B03"/>
    <w:rsid w:val="008B7D3D"/>
    <w:rsid w:val="008B7EDC"/>
    <w:rsid w:val="008B7F6D"/>
    <w:rsid w:val="008C0648"/>
    <w:rsid w:val="008C0666"/>
    <w:rsid w:val="008C0DB1"/>
    <w:rsid w:val="008C0F38"/>
    <w:rsid w:val="008C12E0"/>
    <w:rsid w:val="008C18CF"/>
    <w:rsid w:val="008C1C18"/>
    <w:rsid w:val="008C1E05"/>
    <w:rsid w:val="008C2303"/>
    <w:rsid w:val="008C2C7D"/>
    <w:rsid w:val="008C3102"/>
    <w:rsid w:val="008C3681"/>
    <w:rsid w:val="008C3D6B"/>
    <w:rsid w:val="008C3DC8"/>
    <w:rsid w:val="008C40C6"/>
    <w:rsid w:val="008C42A3"/>
    <w:rsid w:val="008C4C8B"/>
    <w:rsid w:val="008C5BA4"/>
    <w:rsid w:val="008C6651"/>
    <w:rsid w:val="008C66E0"/>
    <w:rsid w:val="008C6AC6"/>
    <w:rsid w:val="008C6B02"/>
    <w:rsid w:val="008C78D4"/>
    <w:rsid w:val="008C7A49"/>
    <w:rsid w:val="008C7C88"/>
    <w:rsid w:val="008C7F9E"/>
    <w:rsid w:val="008D0A77"/>
    <w:rsid w:val="008D0D75"/>
    <w:rsid w:val="008D0FF2"/>
    <w:rsid w:val="008D11FD"/>
    <w:rsid w:val="008D1712"/>
    <w:rsid w:val="008D1CF3"/>
    <w:rsid w:val="008D2563"/>
    <w:rsid w:val="008D27B7"/>
    <w:rsid w:val="008D291F"/>
    <w:rsid w:val="008D2BA1"/>
    <w:rsid w:val="008D38C3"/>
    <w:rsid w:val="008D3A0B"/>
    <w:rsid w:val="008D3C88"/>
    <w:rsid w:val="008D464F"/>
    <w:rsid w:val="008D4B72"/>
    <w:rsid w:val="008D4DE7"/>
    <w:rsid w:val="008D53BB"/>
    <w:rsid w:val="008D5549"/>
    <w:rsid w:val="008D586A"/>
    <w:rsid w:val="008D58C7"/>
    <w:rsid w:val="008D70EA"/>
    <w:rsid w:val="008D7662"/>
    <w:rsid w:val="008D77BE"/>
    <w:rsid w:val="008D7BBF"/>
    <w:rsid w:val="008D7C32"/>
    <w:rsid w:val="008E008E"/>
    <w:rsid w:val="008E092C"/>
    <w:rsid w:val="008E09D1"/>
    <w:rsid w:val="008E10F7"/>
    <w:rsid w:val="008E130B"/>
    <w:rsid w:val="008E13E4"/>
    <w:rsid w:val="008E1518"/>
    <w:rsid w:val="008E160F"/>
    <w:rsid w:val="008E16EC"/>
    <w:rsid w:val="008E1BC7"/>
    <w:rsid w:val="008E1D41"/>
    <w:rsid w:val="008E1E17"/>
    <w:rsid w:val="008E22A9"/>
    <w:rsid w:val="008E2868"/>
    <w:rsid w:val="008E2CEF"/>
    <w:rsid w:val="008E2FE0"/>
    <w:rsid w:val="008E322B"/>
    <w:rsid w:val="008E3BA9"/>
    <w:rsid w:val="008E3F69"/>
    <w:rsid w:val="008E426D"/>
    <w:rsid w:val="008E4873"/>
    <w:rsid w:val="008E4E1D"/>
    <w:rsid w:val="008E5377"/>
    <w:rsid w:val="008E565C"/>
    <w:rsid w:val="008E5D1A"/>
    <w:rsid w:val="008E5F83"/>
    <w:rsid w:val="008E604A"/>
    <w:rsid w:val="008E61E2"/>
    <w:rsid w:val="008E6497"/>
    <w:rsid w:val="008E6B99"/>
    <w:rsid w:val="008E7037"/>
    <w:rsid w:val="008E708C"/>
    <w:rsid w:val="008E7915"/>
    <w:rsid w:val="008E7BC4"/>
    <w:rsid w:val="008F01A9"/>
    <w:rsid w:val="008F025E"/>
    <w:rsid w:val="008F037B"/>
    <w:rsid w:val="008F082B"/>
    <w:rsid w:val="008F0C0C"/>
    <w:rsid w:val="008F170F"/>
    <w:rsid w:val="008F18D9"/>
    <w:rsid w:val="008F1F75"/>
    <w:rsid w:val="008F1FE2"/>
    <w:rsid w:val="008F2182"/>
    <w:rsid w:val="008F26BF"/>
    <w:rsid w:val="008F285B"/>
    <w:rsid w:val="008F2A8C"/>
    <w:rsid w:val="008F2B30"/>
    <w:rsid w:val="008F2E0E"/>
    <w:rsid w:val="008F2EDB"/>
    <w:rsid w:val="008F3138"/>
    <w:rsid w:val="008F3F3A"/>
    <w:rsid w:val="008F4354"/>
    <w:rsid w:val="008F48DC"/>
    <w:rsid w:val="008F554C"/>
    <w:rsid w:val="008F5653"/>
    <w:rsid w:val="008F5D64"/>
    <w:rsid w:val="008F63C4"/>
    <w:rsid w:val="008F6620"/>
    <w:rsid w:val="008F6835"/>
    <w:rsid w:val="008F7EF2"/>
    <w:rsid w:val="0090040F"/>
    <w:rsid w:val="00900421"/>
    <w:rsid w:val="0090049D"/>
    <w:rsid w:val="009009E9"/>
    <w:rsid w:val="00900B76"/>
    <w:rsid w:val="00900E67"/>
    <w:rsid w:val="009010DE"/>
    <w:rsid w:val="009013FD"/>
    <w:rsid w:val="00901616"/>
    <w:rsid w:val="009016CE"/>
    <w:rsid w:val="00901F4F"/>
    <w:rsid w:val="00901F68"/>
    <w:rsid w:val="009024B4"/>
    <w:rsid w:val="009029D9"/>
    <w:rsid w:val="00902DC3"/>
    <w:rsid w:val="009030C2"/>
    <w:rsid w:val="00903126"/>
    <w:rsid w:val="00903559"/>
    <w:rsid w:val="0090375A"/>
    <w:rsid w:val="009039A3"/>
    <w:rsid w:val="009039B4"/>
    <w:rsid w:val="00903CB0"/>
    <w:rsid w:val="00903D18"/>
    <w:rsid w:val="009043FC"/>
    <w:rsid w:val="00904D02"/>
    <w:rsid w:val="00905519"/>
    <w:rsid w:val="0090565A"/>
    <w:rsid w:val="00905977"/>
    <w:rsid w:val="009064D1"/>
    <w:rsid w:val="00906653"/>
    <w:rsid w:val="0090696E"/>
    <w:rsid w:val="009072E5"/>
    <w:rsid w:val="0090739F"/>
    <w:rsid w:val="009076BA"/>
    <w:rsid w:val="00907800"/>
    <w:rsid w:val="0090781A"/>
    <w:rsid w:val="00907CBB"/>
    <w:rsid w:val="0091019B"/>
    <w:rsid w:val="00910290"/>
    <w:rsid w:val="00910487"/>
    <w:rsid w:val="0091067E"/>
    <w:rsid w:val="0091081F"/>
    <w:rsid w:val="00910A9F"/>
    <w:rsid w:val="00910C01"/>
    <w:rsid w:val="00910F63"/>
    <w:rsid w:val="0091191E"/>
    <w:rsid w:val="00911976"/>
    <w:rsid w:val="00911ABF"/>
    <w:rsid w:val="009120A0"/>
    <w:rsid w:val="00912366"/>
    <w:rsid w:val="00912B04"/>
    <w:rsid w:val="0091304A"/>
    <w:rsid w:val="00913DB7"/>
    <w:rsid w:val="009142DD"/>
    <w:rsid w:val="00914DA7"/>
    <w:rsid w:val="0091530A"/>
    <w:rsid w:val="00915331"/>
    <w:rsid w:val="00915D37"/>
    <w:rsid w:val="00915E7F"/>
    <w:rsid w:val="0091686E"/>
    <w:rsid w:val="00916B00"/>
    <w:rsid w:val="00916CBB"/>
    <w:rsid w:val="00916EC2"/>
    <w:rsid w:val="009179A4"/>
    <w:rsid w:val="00917F39"/>
    <w:rsid w:val="00920657"/>
    <w:rsid w:val="00920CCE"/>
    <w:rsid w:val="00921505"/>
    <w:rsid w:val="00921994"/>
    <w:rsid w:val="009219B0"/>
    <w:rsid w:val="00921EF1"/>
    <w:rsid w:val="00922044"/>
    <w:rsid w:val="00922096"/>
    <w:rsid w:val="00922145"/>
    <w:rsid w:val="009222D4"/>
    <w:rsid w:val="009223A1"/>
    <w:rsid w:val="009223E0"/>
    <w:rsid w:val="00922926"/>
    <w:rsid w:val="0092433E"/>
    <w:rsid w:val="009245BD"/>
    <w:rsid w:val="0092462C"/>
    <w:rsid w:val="009246CF"/>
    <w:rsid w:val="0092516C"/>
    <w:rsid w:val="009252E3"/>
    <w:rsid w:val="0092551E"/>
    <w:rsid w:val="0092558A"/>
    <w:rsid w:val="00926306"/>
    <w:rsid w:val="00926C1E"/>
    <w:rsid w:val="0092728D"/>
    <w:rsid w:val="0092752E"/>
    <w:rsid w:val="00927880"/>
    <w:rsid w:val="00927D87"/>
    <w:rsid w:val="00930014"/>
    <w:rsid w:val="009309E6"/>
    <w:rsid w:val="00930BCC"/>
    <w:rsid w:val="00930CD2"/>
    <w:rsid w:val="0093118B"/>
    <w:rsid w:val="00932A2A"/>
    <w:rsid w:val="00932FB9"/>
    <w:rsid w:val="009331C7"/>
    <w:rsid w:val="0093340B"/>
    <w:rsid w:val="009334B1"/>
    <w:rsid w:val="0093383D"/>
    <w:rsid w:val="0093401A"/>
    <w:rsid w:val="00934A8E"/>
    <w:rsid w:val="00934C6B"/>
    <w:rsid w:val="00934DE2"/>
    <w:rsid w:val="00934E0B"/>
    <w:rsid w:val="00935010"/>
    <w:rsid w:val="00935DB2"/>
    <w:rsid w:val="00936315"/>
    <w:rsid w:val="009369B6"/>
    <w:rsid w:val="00937831"/>
    <w:rsid w:val="00937A05"/>
    <w:rsid w:val="00937B0C"/>
    <w:rsid w:val="00937D00"/>
    <w:rsid w:val="0094010E"/>
    <w:rsid w:val="00940235"/>
    <w:rsid w:val="00940481"/>
    <w:rsid w:val="00940927"/>
    <w:rsid w:val="0094095A"/>
    <w:rsid w:val="00940B8C"/>
    <w:rsid w:val="0094195C"/>
    <w:rsid w:val="0094205E"/>
    <w:rsid w:val="00942235"/>
    <w:rsid w:val="009422DB"/>
    <w:rsid w:val="009430F4"/>
    <w:rsid w:val="00943300"/>
    <w:rsid w:val="00943519"/>
    <w:rsid w:val="00943F5A"/>
    <w:rsid w:val="00944256"/>
    <w:rsid w:val="00944A3A"/>
    <w:rsid w:val="00945291"/>
    <w:rsid w:val="0094546F"/>
    <w:rsid w:val="00945A25"/>
    <w:rsid w:val="00945C80"/>
    <w:rsid w:val="00945D53"/>
    <w:rsid w:val="00945F25"/>
    <w:rsid w:val="0094601A"/>
    <w:rsid w:val="00946437"/>
    <w:rsid w:val="00946826"/>
    <w:rsid w:val="0094706F"/>
    <w:rsid w:val="00947F52"/>
    <w:rsid w:val="00950592"/>
    <w:rsid w:val="009507D3"/>
    <w:rsid w:val="00950807"/>
    <w:rsid w:val="00951507"/>
    <w:rsid w:val="009515CB"/>
    <w:rsid w:val="00951B04"/>
    <w:rsid w:val="009524CA"/>
    <w:rsid w:val="009527B3"/>
    <w:rsid w:val="009527CA"/>
    <w:rsid w:val="0095287A"/>
    <w:rsid w:val="00952A20"/>
    <w:rsid w:val="00952A8B"/>
    <w:rsid w:val="00952C68"/>
    <w:rsid w:val="009533D6"/>
    <w:rsid w:val="00953AFB"/>
    <w:rsid w:val="00953E91"/>
    <w:rsid w:val="009542E5"/>
    <w:rsid w:val="009545BD"/>
    <w:rsid w:val="0095460B"/>
    <w:rsid w:val="00954685"/>
    <w:rsid w:val="00954D25"/>
    <w:rsid w:val="009552A5"/>
    <w:rsid w:val="00955AC4"/>
    <w:rsid w:val="00956713"/>
    <w:rsid w:val="00956D22"/>
    <w:rsid w:val="00956D95"/>
    <w:rsid w:val="00956F1D"/>
    <w:rsid w:val="00956F4C"/>
    <w:rsid w:val="009574C2"/>
    <w:rsid w:val="00957DD4"/>
    <w:rsid w:val="00960288"/>
    <w:rsid w:val="0096056C"/>
    <w:rsid w:val="0096095B"/>
    <w:rsid w:val="00960B41"/>
    <w:rsid w:val="00960FF7"/>
    <w:rsid w:val="009610EF"/>
    <w:rsid w:val="009614C7"/>
    <w:rsid w:val="00961A7F"/>
    <w:rsid w:val="00962246"/>
    <w:rsid w:val="00962549"/>
    <w:rsid w:val="00962B2B"/>
    <w:rsid w:val="0096328C"/>
    <w:rsid w:val="00963842"/>
    <w:rsid w:val="00963961"/>
    <w:rsid w:val="00963B5D"/>
    <w:rsid w:val="0096459E"/>
    <w:rsid w:val="00964EAA"/>
    <w:rsid w:val="009656C4"/>
    <w:rsid w:val="009659FE"/>
    <w:rsid w:val="00965D71"/>
    <w:rsid w:val="0096609C"/>
    <w:rsid w:val="0096669F"/>
    <w:rsid w:val="009666E4"/>
    <w:rsid w:val="009668E0"/>
    <w:rsid w:val="00966F0E"/>
    <w:rsid w:val="009676FC"/>
    <w:rsid w:val="00967871"/>
    <w:rsid w:val="00967A9E"/>
    <w:rsid w:val="00967C08"/>
    <w:rsid w:val="00967E1A"/>
    <w:rsid w:val="00967FAF"/>
    <w:rsid w:val="00970824"/>
    <w:rsid w:val="00970A24"/>
    <w:rsid w:val="00970F16"/>
    <w:rsid w:val="009710F2"/>
    <w:rsid w:val="00972448"/>
    <w:rsid w:val="00972500"/>
    <w:rsid w:val="0097261C"/>
    <w:rsid w:val="00972BB7"/>
    <w:rsid w:val="00972FBB"/>
    <w:rsid w:val="00973613"/>
    <w:rsid w:val="0097365F"/>
    <w:rsid w:val="009738B8"/>
    <w:rsid w:val="00974752"/>
    <w:rsid w:val="00974FBB"/>
    <w:rsid w:val="009752B7"/>
    <w:rsid w:val="00975610"/>
    <w:rsid w:val="00975648"/>
    <w:rsid w:val="00975B6D"/>
    <w:rsid w:val="00975BDC"/>
    <w:rsid w:val="00975E92"/>
    <w:rsid w:val="009763D5"/>
    <w:rsid w:val="009769FC"/>
    <w:rsid w:val="00976B81"/>
    <w:rsid w:val="009775C2"/>
    <w:rsid w:val="0097774D"/>
    <w:rsid w:val="00977B67"/>
    <w:rsid w:val="00977DA4"/>
    <w:rsid w:val="00977DE1"/>
    <w:rsid w:val="009803BA"/>
    <w:rsid w:val="0098058B"/>
    <w:rsid w:val="0098062A"/>
    <w:rsid w:val="00980E82"/>
    <w:rsid w:val="0098167D"/>
    <w:rsid w:val="009817EA"/>
    <w:rsid w:val="009819A7"/>
    <w:rsid w:val="00982157"/>
    <w:rsid w:val="009823C7"/>
    <w:rsid w:val="00983159"/>
    <w:rsid w:val="00983514"/>
    <w:rsid w:val="0098395E"/>
    <w:rsid w:val="00983A3D"/>
    <w:rsid w:val="00984544"/>
    <w:rsid w:val="00984659"/>
    <w:rsid w:val="00984D3C"/>
    <w:rsid w:val="00984E7A"/>
    <w:rsid w:val="0098563E"/>
    <w:rsid w:val="00986344"/>
    <w:rsid w:val="00986743"/>
    <w:rsid w:val="00986B47"/>
    <w:rsid w:val="00986E58"/>
    <w:rsid w:val="00986EB3"/>
    <w:rsid w:val="00986F7C"/>
    <w:rsid w:val="0098727B"/>
    <w:rsid w:val="0098787B"/>
    <w:rsid w:val="00987A36"/>
    <w:rsid w:val="00987BCD"/>
    <w:rsid w:val="00987BEA"/>
    <w:rsid w:val="009901C7"/>
    <w:rsid w:val="009903DF"/>
    <w:rsid w:val="00990D2A"/>
    <w:rsid w:val="00991455"/>
    <w:rsid w:val="009916A6"/>
    <w:rsid w:val="00991A47"/>
    <w:rsid w:val="00991B8A"/>
    <w:rsid w:val="00991F97"/>
    <w:rsid w:val="009920F0"/>
    <w:rsid w:val="009924DC"/>
    <w:rsid w:val="00992876"/>
    <w:rsid w:val="00992D52"/>
    <w:rsid w:val="00993248"/>
    <w:rsid w:val="00993736"/>
    <w:rsid w:val="00993A11"/>
    <w:rsid w:val="00993BF9"/>
    <w:rsid w:val="00994532"/>
    <w:rsid w:val="0099485B"/>
    <w:rsid w:val="00994885"/>
    <w:rsid w:val="009948B3"/>
    <w:rsid w:val="00994980"/>
    <w:rsid w:val="00994F89"/>
    <w:rsid w:val="00995010"/>
    <w:rsid w:val="00995792"/>
    <w:rsid w:val="009959F9"/>
    <w:rsid w:val="00995DA8"/>
    <w:rsid w:val="009960B9"/>
    <w:rsid w:val="009963D3"/>
    <w:rsid w:val="00996F08"/>
    <w:rsid w:val="00997336"/>
    <w:rsid w:val="00997851"/>
    <w:rsid w:val="00997CDD"/>
    <w:rsid w:val="00997E1F"/>
    <w:rsid w:val="009A070D"/>
    <w:rsid w:val="009A07F1"/>
    <w:rsid w:val="009A0C67"/>
    <w:rsid w:val="009A1064"/>
    <w:rsid w:val="009A1155"/>
    <w:rsid w:val="009A12B8"/>
    <w:rsid w:val="009A1C9D"/>
    <w:rsid w:val="009A2366"/>
    <w:rsid w:val="009A237B"/>
    <w:rsid w:val="009A23EC"/>
    <w:rsid w:val="009A36B7"/>
    <w:rsid w:val="009A47E9"/>
    <w:rsid w:val="009A4888"/>
    <w:rsid w:val="009A4F30"/>
    <w:rsid w:val="009A53D2"/>
    <w:rsid w:val="009A5555"/>
    <w:rsid w:val="009A56AC"/>
    <w:rsid w:val="009A57AE"/>
    <w:rsid w:val="009A5A09"/>
    <w:rsid w:val="009A5B60"/>
    <w:rsid w:val="009A62ED"/>
    <w:rsid w:val="009A6412"/>
    <w:rsid w:val="009A66AF"/>
    <w:rsid w:val="009A6968"/>
    <w:rsid w:val="009A69A7"/>
    <w:rsid w:val="009A6C8C"/>
    <w:rsid w:val="009A6CF1"/>
    <w:rsid w:val="009A6DAD"/>
    <w:rsid w:val="009A6F9E"/>
    <w:rsid w:val="009A7488"/>
    <w:rsid w:val="009A7EF7"/>
    <w:rsid w:val="009B07B1"/>
    <w:rsid w:val="009B08B1"/>
    <w:rsid w:val="009B0E11"/>
    <w:rsid w:val="009B14BE"/>
    <w:rsid w:val="009B1DD1"/>
    <w:rsid w:val="009B26D7"/>
    <w:rsid w:val="009B2987"/>
    <w:rsid w:val="009B2A74"/>
    <w:rsid w:val="009B2B7C"/>
    <w:rsid w:val="009B3391"/>
    <w:rsid w:val="009B36C8"/>
    <w:rsid w:val="009B4FFD"/>
    <w:rsid w:val="009B52D0"/>
    <w:rsid w:val="009B5444"/>
    <w:rsid w:val="009B5611"/>
    <w:rsid w:val="009B58B5"/>
    <w:rsid w:val="009B6780"/>
    <w:rsid w:val="009B6B4F"/>
    <w:rsid w:val="009B6F0B"/>
    <w:rsid w:val="009C05D4"/>
    <w:rsid w:val="009C0BAD"/>
    <w:rsid w:val="009C0F2E"/>
    <w:rsid w:val="009C0FDD"/>
    <w:rsid w:val="009C125C"/>
    <w:rsid w:val="009C1992"/>
    <w:rsid w:val="009C2F7A"/>
    <w:rsid w:val="009C335D"/>
    <w:rsid w:val="009C34EA"/>
    <w:rsid w:val="009C3AA6"/>
    <w:rsid w:val="009C4329"/>
    <w:rsid w:val="009C43DF"/>
    <w:rsid w:val="009C45EC"/>
    <w:rsid w:val="009C4FD0"/>
    <w:rsid w:val="009C4FE0"/>
    <w:rsid w:val="009C56D9"/>
    <w:rsid w:val="009C5BFB"/>
    <w:rsid w:val="009C6A35"/>
    <w:rsid w:val="009C6E03"/>
    <w:rsid w:val="009C7331"/>
    <w:rsid w:val="009C7812"/>
    <w:rsid w:val="009C78FD"/>
    <w:rsid w:val="009C7C1B"/>
    <w:rsid w:val="009C7C20"/>
    <w:rsid w:val="009C7DCC"/>
    <w:rsid w:val="009D0AB8"/>
    <w:rsid w:val="009D0C81"/>
    <w:rsid w:val="009D105B"/>
    <w:rsid w:val="009D1218"/>
    <w:rsid w:val="009D1747"/>
    <w:rsid w:val="009D1921"/>
    <w:rsid w:val="009D1FB4"/>
    <w:rsid w:val="009D20BE"/>
    <w:rsid w:val="009D2118"/>
    <w:rsid w:val="009D21F4"/>
    <w:rsid w:val="009D22CC"/>
    <w:rsid w:val="009D2505"/>
    <w:rsid w:val="009D2672"/>
    <w:rsid w:val="009D29E0"/>
    <w:rsid w:val="009D2A0B"/>
    <w:rsid w:val="009D2A4C"/>
    <w:rsid w:val="009D2AF0"/>
    <w:rsid w:val="009D2B72"/>
    <w:rsid w:val="009D2F7F"/>
    <w:rsid w:val="009D39D0"/>
    <w:rsid w:val="009D42AC"/>
    <w:rsid w:val="009D43EB"/>
    <w:rsid w:val="009D45AC"/>
    <w:rsid w:val="009D4EB9"/>
    <w:rsid w:val="009D52ED"/>
    <w:rsid w:val="009D5A4F"/>
    <w:rsid w:val="009D5B0B"/>
    <w:rsid w:val="009D6833"/>
    <w:rsid w:val="009D70A1"/>
    <w:rsid w:val="009D70A7"/>
    <w:rsid w:val="009D73C5"/>
    <w:rsid w:val="009D76E8"/>
    <w:rsid w:val="009D7BB8"/>
    <w:rsid w:val="009D7E0D"/>
    <w:rsid w:val="009D7FD9"/>
    <w:rsid w:val="009E040D"/>
    <w:rsid w:val="009E0596"/>
    <w:rsid w:val="009E0618"/>
    <w:rsid w:val="009E0910"/>
    <w:rsid w:val="009E0A3F"/>
    <w:rsid w:val="009E1248"/>
    <w:rsid w:val="009E13F3"/>
    <w:rsid w:val="009E18B8"/>
    <w:rsid w:val="009E2139"/>
    <w:rsid w:val="009E2ADF"/>
    <w:rsid w:val="009E2CA0"/>
    <w:rsid w:val="009E2DA2"/>
    <w:rsid w:val="009E3660"/>
    <w:rsid w:val="009E3A34"/>
    <w:rsid w:val="009E3A70"/>
    <w:rsid w:val="009E3B6B"/>
    <w:rsid w:val="009E3F2F"/>
    <w:rsid w:val="009E433E"/>
    <w:rsid w:val="009E4CF2"/>
    <w:rsid w:val="009E4D1A"/>
    <w:rsid w:val="009E4DF6"/>
    <w:rsid w:val="009E5655"/>
    <w:rsid w:val="009E5EC2"/>
    <w:rsid w:val="009E6216"/>
    <w:rsid w:val="009E6531"/>
    <w:rsid w:val="009E65CD"/>
    <w:rsid w:val="009E68C5"/>
    <w:rsid w:val="009E69DA"/>
    <w:rsid w:val="009E6A86"/>
    <w:rsid w:val="009E7659"/>
    <w:rsid w:val="009E7C18"/>
    <w:rsid w:val="009E7F5E"/>
    <w:rsid w:val="009F00ED"/>
    <w:rsid w:val="009F01AC"/>
    <w:rsid w:val="009F08FF"/>
    <w:rsid w:val="009F0D6B"/>
    <w:rsid w:val="009F0D9B"/>
    <w:rsid w:val="009F0E94"/>
    <w:rsid w:val="009F0EFF"/>
    <w:rsid w:val="009F1851"/>
    <w:rsid w:val="009F218A"/>
    <w:rsid w:val="009F2E8E"/>
    <w:rsid w:val="009F383B"/>
    <w:rsid w:val="009F38C3"/>
    <w:rsid w:val="009F42AE"/>
    <w:rsid w:val="009F4CD5"/>
    <w:rsid w:val="009F4E16"/>
    <w:rsid w:val="009F509D"/>
    <w:rsid w:val="009F539A"/>
    <w:rsid w:val="009F5447"/>
    <w:rsid w:val="009F5A42"/>
    <w:rsid w:val="009F5ABA"/>
    <w:rsid w:val="009F5AFD"/>
    <w:rsid w:val="009F5D58"/>
    <w:rsid w:val="009F5EA8"/>
    <w:rsid w:val="009F6869"/>
    <w:rsid w:val="009F6B62"/>
    <w:rsid w:val="009F6F75"/>
    <w:rsid w:val="009F708C"/>
    <w:rsid w:val="009F7145"/>
    <w:rsid w:val="009F73D0"/>
    <w:rsid w:val="009F751F"/>
    <w:rsid w:val="009F75B6"/>
    <w:rsid w:val="009F78D2"/>
    <w:rsid w:val="009F79D2"/>
    <w:rsid w:val="00A00159"/>
    <w:rsid w:val="00A00197"/>
    <w:rsid w:val="00A0022E"/>
    <w:rsid w:val="00A00288"/>
    <w:rsid w:val="00A00DA0"/>
    <w:rsid w:val="00A00FB6"/>
    <w:rsid w:val="00A0118E"/>
    <w:rsid w:val="00A017C8"/>
    <w:rsid w:val="00A01D01"/>
    <w:rsid w:val="00A026DD"/>
    <w:rsid w:val="00A0312D"/>
    <w:rsid w:val="00A03619"/>
    <w:rsid w:val="00A03C48"/>
    <w:rsid w:val="00A03F58"/>
    <w:rsid w:val="00A03FB3"/>
    <w:rsid w:val="00A045AA"/>
    <w:rsid w:val="00A04930"/>
    <w:rsid w:val="00A04D24"/>
    <w:rsid w:val="00A04DCF"/>
    <w:rsid w:val="00A05010"/>
    <w:rsid w:val="00A05218"/>
    <w:rsid w:val="00A059D8"/>
    <w:rsid w:val="00A05A62"/>
    <w:rsid w:val="00A05BCD"/>
    <w:rsid w:val="00A05E7D"/>
    <w:rsid w:val="00A0652D"/>
    <w:rsid w:val="00A07070"/>
    <w:rsid w:val="00A07523"/>
    <w:rsid w:val="00A07B6D"/>
    <w:rsid w:val="00A07CE5"/>
    <w:rsid w:val="00A07D9C"/>
    <w:rsid w:val="00A07FDA"/>
    <w:rsid w:val="00A10254"/>
    <w:rsid w:val="00A1038C"/>
    <w:rsid w:val="00A10911"/>
    <w:rsid w:val="00A10EBD"/>
    <w:rsid w:val="00A1118A"/>
    <w:rsid w:val="00A113C8"/>
    <w:rsid w:val="00A11892"/>
    <w:rsid w:val="00A11A60"/>
    <w:rsid w:val="00A123DC"/>
    <w:rsid w:val="00A1240B"/>
    <w:rsid w:val="00A124C9"/>
    <w:rsid w:val="00A124F1"/>
    <w:rsid w:val="00A1278F"/>
    <w:rsid w:val="00A12EB2"/>
    <w:rsid w:val="00A135DE"/>
    <w:rsid w:val="00A14216"/>
    <w:rsid w:val="00A14348"/>
    <w:rsid w:val="00A14820"/>
    <w:rsid w:val="00A14929"/>
    <w:rsid w:val="00A14B16"/>
    <w:rsid w:val="00A152A3"/>
    <w:rsid w:val="00A152F1"/>
    <w:rsid w:val="00A15415"/>
    <w:rsid w:val="00A15957"/>
    <w:rsid w:val="00A1597E"/>
    <w:rsid w:val="00A15A8D"/>
    <w:rsid w:val="00A15A8E"/>
    <w:rsid w:val="00A15AEE"/>
    <w:rsid w:val="00A15CCB"/>
    <w:rsid w:val="00A15D50"/>
    <w:rsid w:val="00A162EE"/>
    <w:rsid w:val="00A16A37"/>
    <w:rsid w:val="00A16D4B"/>
    <w:rsid w:val="00A1707E"/>
    <w:rsid w:val="00A171E8"/>
    <w:rsid w:val="00A178A4"/>
    <w:rsid w:val="00A17925"/>
    <w:rsid w:val="00A17B32"/>
    <w:rsid w:val="00A20AA0"/>
    <w:rsid w:val="00A20BE9"/>
    <w:rsid w:val="00A2134D"/>
    <w:rsid w:val="00A21491"/>
    <w:rsid w:val="00A2177E"/>
    <w:rsid w:val="00A2199A"/>
    <w:rsid w:val="00A21ADF"/>
    <w:rsid w:val="00A21E7A"/>
    <w:rsid w:val="00A22145"/>
    <w:rsid w:val="00A22263"/>
    <w:rsid w:val="00A22597"/>
    <w:rsid w:val="00A22852"/>
    <w:rsid w:val="00A22E1F"/>
    <w:rsid w:val="00A230EF"/>
    <w:rsid w:val="00A232E8"/>
    <w:rsid w:val="00A23487"/>
    <w:rsid w:val="00A24051"/>
    <w:rsid w:val="00A24238"/>
    <w:rsid w:val="00A24692"/>
    <w:rsid w:val="00A24AB3"/>
    <w:rsid w:val="00A24F51"/>
    <w:rsid w:val="00A253DE"/>
    <w:rsid w:val="00A2557B"/>
    <w:rsid w:val="00A25C7C"/>
    <w:rsid w:val="00A25E4A"/>
    <w:rsid w:val="00A25FA8"/>
    <w:rsid w:val="00A261DF"/>
    <w:rsid w:val="00A262EE"/>
    <w:rsid w:val="00A26634"/>
    <w:rsid w:val="00A269FA"/>
    <w:rsid w:val="00A27591"/>
    <w:rsid w:val="00A277C6"/>
    <w:rsid w:val="00A2797E"/>
    <w:rsid w:val="00A27F2D"/>
    <w:rsid w:val="00A30CFC"/>
    <w:rsid w:val="00A30D2D"/>
    <w:rsid w:val="00A31692"/>
    <w:rsid w:val="00A3196D"/>
    <w:rsid w:val="00A31CCE"/>
    <w:rsid w:val="00A31E05"/>
    <w:rsid w:val="00A31F29"/>
    <w:rsid w:val="00A32534"/>
    <w:rsid w:val="00A3265D"/>
    <w:rsid w:val="00A327BE"/>
    <w:rsid w:val="00A3286C"/>
    <w:rsid w:val="00A3288E"/>
    <w:rsid w:val="00A33337"/>
    <w:rsid w:val="00A33828"/>
    <w:rsid w:val="00A33C32"/>
    <w:rsid w:val="00A33CD1"/>
    <w:rsid w:val="00A33CE6"/>
    <w:rsid w:val="00A340DB"/>
    <w:rsid w:val="00A346BE"/>
    <w:rsid w:val="00A349F7"/>
    <w:rsid w:val="00A34AAC"/>
    <w:rsid w:val="00A34CAE"/>
    <w:rsid w:val="00A3577F"/>
    <w:rsid w:val="00A359D8"/>
    <w:rsid w:val="00A35A79"/>
    <w:rsid w:val="00A35BCE"/>
    <w:rsid w:val="00A35DB8"/>
    <w:rsid w:val="00A3646B"/>
    <w:rsid w:val="00A37230"/>
    <w:rsid w:val="00A3752B"/>
    <w:rsid w:val="00A37586"/>
    <w:rsid w:val="00A37632"/>
    <w:rsid w:val="00A37CEF"/>
    <w:rsid w:val="00A40647"/>
    <w:rsid w:val="00A40792"/>
    <w:rsid w:val="00A408F4"/>
    <w:rsid w:val="00A41694"/>
    <w:rsid w:val="00A418C9"/>
    <w:rsid w:val="00A41A18"/>
    <w:rsid w:val="00A41A2A"/>
    <w:rsid w:val="00A41A55"/>
    <w:rsid w:val="00A42645"/>
    <w:rsid w:val="00A42697"/>
    <w:rsid w:val="00A42717"/>
    <w:rsid w:val="00A42947"/>
    <w:rsid w:val="00A42A19"/>
    <w:rsid w:val="00A42DF1"/>
    <w:rsid w:val="00A42F7B"/>
    <w:rsid w:val="00A4341A"/>
    <w:rsid w:val="00A4345A"/>
    <w:rsid w:val="00A43BA1"/>
    <w:rsid w:val="00A43EEA"/>
    <w:rsid w:val="00A43F55"/>
    <w:rsid w:val="00A44605"/>
    <w:rsid w:val="00A446E1"/>
    <w:rsid w:val="00A4474A"/>
    <w:rsid w:val="00A44AEA"/>
    <w:rsid w:val="00A44F9F"/>
    <w:rsid w:val="00A4519C"/>
    <w:rsid w:val="00A453F4"/>
    <w:rsid w:val="00A458A8"/>
    <w:rsid w:val="00A45CCE"/>
    <w:rsid w:val="00A45E25"/>
    <w:rsid w:val="00A4617F"/>
    <w:rsid w:val="00A461C6"/>
    <w:rsid w:val="00A462F2"/>
    <w:rsid w:val="00A466F0"/>
    <w:rsid w:val="00A479E3"/>
    <w:rsid w:val="00A47E91"/>
    <w:rsid w:val="00A5003C"/>
    <w:rsid w:val="00A50248"/>
    <w:rsid w:val="00A5050D"/>
    <w:rsid w:val="00A50550"/>
    <w:rsid w:val="00A5060D"/>
    <w:rsid w:val="00A506D5"/>
    <w:rsid w:val="00A50E13"/>
    <w:rsid w:val="00A50F2D"/>
    <w:rsid w:val="00A510D5"/>
    <w:rsid w:val="00A5157A"/>
    <w:rsid w:val="00A51C76"/>
    <w:rsid w:val="00A51D58"/>
    <w:rsid w:val="00A51F05"/>
    <w:rsid w:val="00A52506"/>
    <w:rsid w:val="00A52663"/>
    <w:rsid w:val="00A5285B"/>
    <w:rsid w:val="00A52AA5"/>
    <w:rsid w:val="00A53D1A"/>
    <w:rsid w:val="00A53FD1"/>
    <w:rsid w:val="00A549F7"/>
    <w:rsid w:val="00A54A75"/>
    <w:rsid w:val="00A54BAD"/>
    <w:rsid w:val="00A54BEB"/>
    <w:rsid w:val="00A55535"/>
    <w:rsid w:val="00A55661"/>
    <w:rsid w:val="00A55E26"/>
    <w:rsid w:val="00A560AD"/>
    <w:rsid w:val="00A56109"/>
    <w:rsid w:val="00A561AF"/>
    <w:rsid w:val="00A5712B"/>
    <w:rsid w:val="00A578CE"/>
    <w:rsid w:val="00A57FF3"/>
    <w:rsid w:val="00A60066"/>
    <w:rsid w:val="00A600A8"/>
    <w:rsid w:val="00A606D5"/>
    <w:rsid w:val="00A60832"/>
    <w:rsid w:val="00A60B73"/>
    <w:rsid w:val="00A60F1D"/>
    <w:rsid w:val="00A613C1"/>
    <w:rsid w:val="00A61EC3"/>
    <w:rsid w:val="00A6245E"/>
    <w:rsid w:val="00A6283D"/>
    <w:rsid w:val="00A62AB6"/>
    <w:rsid w:val="00A62DF5"/>
    <w:rsid w:val="00A63916"/>
    <w:rsid w:val="00A63D57"/>
    <w:rsid w:val="00A63EC5"/>
    <w:rsid w:val="00A6454B"/>
    <w:rsid w:val="00A647E8"/>
    <w:rsid w:val="00A64BB8"/>
    <w:rsid w:val="00A6592C"/>
    <w:rsid w:val="00A65BAB"/>
    <w:rsid w:val="00A66018"/>
    <w:rsid w:val="00A662CF"/>
    <w:rsid w:val="00A66463"/>
    <w:rsid w:val="00A66868"/>
    <w:rsid w:val="00A66AA7"/>
    <w:rsid w:val="00A66DEE"/>
    <w:rsid w:val="00A670FB"/>
    <w:rsid w:val="00A671BB"/>
    <w:rsid w:val="00A67392"/>
    <w:rsid w:val="00A67567"/>
    <w:rsid w:val="00A708D8"/>
    <w:rsid w:val="00A70CD4"/>
    <w:rsid w:val="00A71468"/>
    <w:rsid w:val="00A728A6"/>
    <w:rsid w:val="00A72D3B"/>
    <w:rsid w:val="00A72E1E"/>
    <w:rsid w:val="00A7311E"/>
    <w:rsid w:val="00A7343C"/>
    <w:rsid w:val="00A73D79"/>
    <w:rsid w:val="00A73E4B"/>
    <w:rsid w:val="00A73E72"/>
    <w:rsid w:val="00A73F6F"/>
    <w:rsid w:val="00A7401C"/>
    <w:rsid w:val="00A74216"/>
    <w:rsid w:val="00A74292"/>
    <w:rsid w:val="00A74567"/>
    <w:rsid w:val="00A74A1A"/>
    <w:rsid w:val="00A74F3B"/>
    <w:rsid w:val="00A75056"/>
    <w:rsid w:val="00A751EF"/>
    <w:rsid w:val="00A759B4"/>
    <w:rsid w:val="00A76218"/>
    <w:rsid w:val="00A7678A"/>
    <w:rsid w:val="00A76814"/>
    <w:rsid w:val="00A7688B"/>
    <w:rsid w:val="00A7696A"/>
    <w:rsid w:val="00A774FD"/>
    <w:rsid w:val="00A775E3"/>
    <w:rsid w:val="00A7788E"/>
    <w:rsid w:val="00A77890"/>
    <w:rsid w:val="00A80222"/>
    <w:rsid w:val="00A8031C"/>
    <w:rsid w:val="00A803A1"/>
    <w:rsid w:val="00A805C9"/>
    <w:rsid w:val="00A8079F"/>
    <w:rsid w:val="00A80A20"/>
    <w:rsid w:val="00A80B5B"/>
    <w:rsid w:val="00A80CF6"/>
    <w:rsid w:val="00A80D2D"/>
    <w:rsid w:val="00A80F62"/>
    <w:rsid w:val="00A820B9"/>
    <w:rsid w:val="00A821E4"/>
    <w:rsid w:val="00A82318"/>
    <w:rsid w:val="00A825F9"/>
    <w:rsid w:val="00A828B1"/>
    <w:rsid w:val="00A82B41"/>
    <w:rsid w:val="00A82B64"/>
    <w:rsid w:val="00A82D2E"/>
    <w:rsid w:val="00A832CD"/>
    <w:rsid w:val="00A83617"/>
    <w:rsid w:val="00A8372C"/>
    <w:rsid w:val="00A84251"/>
    <w:rsid w:val="00A847AD"/>
    <w:rsid w:val="00A84A3A"/>
    <w:rsid w:val="00A84C1E"/>
    <w:rsid w:val="00A84C4C"/>
    <w:rsid w:val="00A84E34"/>
    <w:rsid w:val="00A8550D"/>
    <w:rsid w:val="00A8597C"/>
    <w:rsid w:val="00A85A9E"/>
    <w:rsid w:val="00A86036"/>
    <w:rsid w:val="00A8608B"/>
    <w:rsid w:val="00A86483"/>
    <w:rsid w:val="00A865BA"/>
    <w:rsid w:val="00A86744"/>
    <w:rsid w:val="00A874C7"/>
    <w:rsid w:val="00A87695"/>
    <w:rsid w:val="00A876D6"/>
    <w:rsid w:val="00A87AA4"/>
    <w:rsid w:val="00A87CCD"/>
    <w:rsid w:val="00A87E68"/>
    <w:rsid w:val="00A90703"/>
    <w:rsid w:val="00A909FC"/>
    <w:rsid w:val="00A90B49"/>
    <w:rsid w:val="00A91135"/>
    <w:rsid w:val="00A91C4C"/>
    <w:rsid w:val="00A921B3"/>
    <w:rsid w:val="00A9226C"/>
    <w:rsid w:val="00A92A26"/>
    <w:rsid w:val="00A93465"/>
    <w:rsid w:val="00A93FB9"/>
    <w:rsid w:val="00A94834"/>
    <w:rsid w:val="00A94BB1"/>
    <w:rsid w:val="00A95117"/>
    <w:rsid w:val="00A9511B"/>
    <w:rsid w:val="00A954E5"/>
    <w:rsid w:val="00A95657"/>
    <w:rsid w:val="00A9566C"/>
    <w:rsid w:val="00A957A2"/>
    <w:rsid w:val="00A957B0"/>
    <w:rsid w:val="00A95EAA"/>
    <w:rsid w:val="00A95F95"/>
    <w:rsid w:val="00A96C0F"/>
    <w:rsid w:val="00A96CD3"/>
    <w:rsid w:val="00A96D86"/>
    <w:rsid w:val="00A96FE8"/>
    <w:rsid w:val="00A97608"/>
    <w:rsid w:val="00A978DF"/>
    <w:rsid w:val="00A97DF0"/>
    <w:rsid w:val="00A97E01"/>
    <w:rsid w:val="00A97E54"/>
    <w:rsid w:val="00AA074B"/>
    <w:rsid w:val="00AA0C35"/>
    <w:rsid w:val="00AA0CF9"/>
    <w:rsid w:val="00AA0F92"/>
    <w:rsid w:val="00AA1005"/>
    <w:rsid w:val="00AA1397"/>
    <w:rsid w:val="00AA13C8"/>
    <w:rsid w:val="00AA18BA"/>
    <w:rsid w:val="00AA250D"/>
    <w:rsid w:val="00AA36D3"/>
    <w:rsid w:val="00AA37B5"/>
    <w:rsid w:val="00AA3BD8"/>
    <w:rsid w:val="00AA3D24"/>
    <w:rsid w:val="00AA3D3E"/>
    <w:rsid w:val="00AA3E51"/>
    <w:rsid w:val="00AA3F48"/>
    <w:rsid w:val="00AA4CCA"/>
    <w:rsid w:val="00AA4F0E"/>
    <w:rsid w:val="00AA549D"/>
    <w:rsid w:val="00AA5FEC"/>
    <w:rsid w:val="00AA6115"/>
    <w:rsid w:val="00AA61E4"/>
    <w:rsid w:val="00AA6396"/>
    <w:rsid w:val="00AA64EF"/>
    <w:rsid w:val="00AA652A"/>
    <w:rsid w:val="00AA654F"/>
    <w:rsid w:val="00AA65C9"/>
    <w:rsid w:val="00AA68F3"/>
    <w:rsid w:val="00AA6A63"/>
    <w:rsid w:val="00AA702E"/>
    <w:rsid w:val="00AA79EB"/>
    <w:rsid w:val="00AA7D7C"/>
    <w:rsid w:val="00AA7ECB"/>
    <w:rsid w:val="00AB019C"/>
    <w:rsid w:val="00AB02E9"/>
    <w:rsid w:val="00AB0BA8"/>
    <w:rsid w:val="00AB0BE1"/>
    <w:rsid w:val="00AB0DBB"/>
    <w:rsid w:val="00AB0F42"/>
    <w:rsid w:val="00AB142A"/>
    <w:rsid w:val="00AB1496"/>
    <w:rsid w:val="00AB14D2"/>
    <w:rsid w:val="00AB17DC"/>
    <w:rsid w:val="00AB1962"/>
    <w:rsid w:val="00AB1A64"/>
    <w:rsid w:val="00AB1F61"/>
    <w:rsid w:val="00AB2B35"/>
    <w:rsid w:val="00AB2DC6"/>
    <w:rsid w:val="00AB35C0"/>
    <w:rsid w:val="00AB3ADC"/>
    <w:rsid w:val="00AB41F4"/>
    <w:rsid w:val="00AB4346"/>
    <w:rsid w:val="00AB4B3E"/>
    <w:rsid w:val="00AB571F"/>
    <w:rsid w:val="00AB5BD4"/>
    <w:rsid w:val="00AB62D1"/>
    <w:rsid w:val="00AB66A4"/>
    <w:rsid w:val="00AB6745"/>
    <w:rsid w:val="00AB67EB"/>
    <w:rsid w:val="00AB68BE"/>
    <w:rsid w:val="00AB6FB6"/>
    <w:rsid w:val="00AB788D"/>
    <w:rsid w:val="00AB7CE9"/>
    <w:rsid w:val="00AC02FF"/>
    <w:rsid w:val="00AC14F2"/>
    <w:rsid w:val="00AC1B24"/>
    <w:rsid w:val="00AC1FCF"/>
    <w:rsid w:val="00AC26B1"/>
    <w:rsid w:val="00AC2F9C"/>
    <w:rsid w:val="00AC33B7"/>
    <w:rsid w:val="00AC373E"/>
    <w:rsid w:val="00AC3758"/>
    <w:rsid w:val="00AC3C2C"/>
    <w:rsid w:val="00AC3C5C"/>
    <w:rsid w:val="00AC3CFA"/>
    <w:rsid w:val="00AC3F8E"/>
    <w:rsid w:val="00AC4C49"/>
    <w:rsid w:val="00AC5B95"/>
    <w:rsid w:val="00AC6B32"/>
    <w:rsid w:val="00AC6C61"/>
    <w:rsid w:val="00AC6FFF"/>
    <w:rsid w:val="00AC717C"/>
    <w:rsid w:val="00AC7569"/>
    <w:rsid w:val="00AC7652"/>
    <w:rsid w:val="00AC7B02"/>
    <w:rsid w:val="00AC7EE4"/>
    <w:rsid w:val="00AD02CA"/>
    <w:rsid w:val="00AD066F"/>
    <w:rsid w:val="00AD0697"/>
    <w:rsid w:val="00AD0B19"/>
    <w:rsid w:val="00AD1654"/>
    <w:rsid w:val="00AD194F"/>
    <w:rsid w:val="00AD1F25"/>
    <w:rsid w:val="00AD2205"/>
    <w:rsid w:val="00AD2844"/>
    <w:rsid w:val="00AD2996"/>
    <w:rsid w:val="00AD2CCA"/>
    <w:rsid w:val="00AD2D22"/>
    <w:rsid w:val="00AD3238"/>
    <w:rsid w:val="00AD4236"/>
    <w:rsid w:val="00AD44AA"/>
    <w:rsid w:val="00AD4790"/>
    <w:rsid w:val="00AD47BC"/>
    <w:rsid w:val="00AD5009"/>
    <w:rsid w:val="00AD5303"/>
    <w:rsid w:val="00AD5614"/>
    <w:rsid w:val="00AD58A2"/>
    <w:rsid w:val="00AD6186"/>
    <w:rsid w:val="00AD644C"/>
    <w:rsid w:val="00AD6F3D"/>
    <w:rsid w:val="00AD6F93"/>
    <w:rsid w:val="00AD7204"/>
    <w:rsid w:val="00AD7260"/>
    <w:rsid w:val="00AD73D8"/>
    <w:rsid w:val="00AD7D75"/>
    <w:rsid w:val="00AE04FF"/>
    <w:rsid w:val="00AE07A4"/>
    <w:rsid w:val="00AE0B35"/>
    <w:rsid w:val="00AE0F78"/>
    <w:rsid w:val="00AE18EB"/>
    <w:rsid w:val="00AE1951"/>
    <w:rsid w:val="00AE1A2D"/>
    <w:rsid w:val="00AE1BC2"/>
    <w:rsid w:val="00AE248A"/>
    <w:rsid w:val="00AE26E4"/>
    <w:rsid w:val="00AE3561"/>
    <w:rsid w:val="00AE3780"/>
    <w:rsid w:val="00AE3A11"/>
    <w:rsid w:val="00AE40BD"/>
    <w:rsid w:val="00AE411E"/>
    <w:rsid w:val="00AE4386"/>
    <w:rsid w:val="00AE4A94"/>
    <w:rsid w:val="00AE4E66"/>
    <w:rsid w:val="00AE59CE"/>
    <w:rsid w:val="00AE5DA0"/>
    <w:rsid w:val="00AE6245"/>
    <w:rsid w:val="00AE6428"/>
    <w:rsid w:val="00AE6CCD"/>
    <w:rsid w:val="00AE70F8"/>
    <w:rsid w:val="00AE727E"/>
    <w:rsid w:val="00AE760C"/>
    <w:rsid w:val="00AE796F"/>
    <w:rsid w:val="00AE7A95"/>
    <w:rsid w:val="00AE7FA3"/>
    <w:rsid w:val="00AE7FD8"/>
    <w:rsid w:val="00AF01BA"/>
    <w:rsid w:val="00AF064A"/>
    <w:rsid w:val="00AF083D"/>
    <w:rsid w:val="00AF0C31"/>
    <w:rsid w:val="00AF0CC9"/>
    <w:rsid w:val="00AF0D41"/>
    <w:rsid w:val="00AF1177"/>
    <w:rsid w:val="00AF12BB"/>
    <w:rsid w:val="00AF13F1"/>
    <w:rsid w:val="00AF1858"/>
    <w:rsid w:val="00AF186D"/>
    <w:rsid w:val="00AF227F"/>
    <w:rsid w:val="00AF22DF"/>
    <w:rsid w:val="00AF248A"/>
    <w:rsid w:val="00AF250B"/>
    <w:rsid w:val="00AF2E44"/>
    <w:rsid w:val="00AF305F"/>
    <w:rsid w:val="00AF3162"/>
    <w:rsid w:val="00AF3B9D"/>
    <w:rsid w:val="00AF41A6"/>
    <w:rsid w:val="00AF43A0"/>
    <w:rsid w:val="00AF4754"/>
    <w:rsid w:val="00AF4A43"/>
    <w:rsid w:val="00AF5952"/>
    <w:rsid w:val="00AF5B6C"/>
    <w:rsid w:val="00AF5E79"/>
    <w:rsid w:val="00AF5FDF"/>
    <w:rsid w:val="00AF6329"/>
    <w:rsid w:val="00AF636F"/>
    <w:rsid w:val="00AF63AF"/>
    <w:rsid w:val="00AF6507"/>
    <w:rsid w:val="00AF66B1"/>
    <w:rsid w:val="00AF6A69"/>
    <w:rsid w:val="00AF6C85"/>
    <w:rsid w:val="00AF71A0"/>
    <w:rsid w:val="00B00305"/>
    <w:rsid w:val="00B004E1"/>
    <w:rsid w:val="00B004F9"/>
    <w:rsid w:val="00B00A7B"/>
    <w:rsid w:val="00B00EA5"/>
    <w:rsid w:val="00B00EB0"/>
    <w:rsid w:val="00B0104A"/>
    <w:rsid w:val="00B011DC"/>
    <w:rsid w:val="00B01833"/>
    <w:rsid w:val="00B0192A"/>
    <w:rsid w:val="00B02089"/>
    <w:rsid w:val="00B0226F"/>
    <w:rsid w:val="00B0261E"/>
    <w:rsid w:val="00B0311E"/>
    <w:rsid w:val="00B03A4B"/>
    <w:rsid w:val="00B043B1"/>
    <w:rsid w:val="00B04A24"/>
    <w:rsid w:val="00B056F4"/>
    <w:rsid w:val="00B05B7C"/>
    <w:rsid w:val="00B05D5B"/>
    <w:rsid w:val="00B05DA7"/>
    <w:rsid w:val="00B062C1"/>
    <w:rsid w:val="00B06DFF"/>
    <w:rsid w:val="00B06F8F"/>
    <w:rsid w:val="00B06FA8"/>
    <w:rsid w:val="00B07123"/>
    <w:rsid w:val="00B0757A"/>
    <w:rsid w:val="00B075C9"/>
    <w:rsid w:val="00B075E0"/>
    <w:rsid w:val="00B07654"/>
    <w:rsid w:val="00B0774A"/>
    <w:rsid w:val="00B077C6"/>
    <w:rsid w:val="00B07BE8"/>
    <w:rsid w:val="00B07E10"/>
    <w:rsid w:val="00B100FB"/>
    <w:rsid w:val="00B10278"/>
    <w:rsid w:val="00B10A4B"/>
    <w:rsid w:val="00B116F2"/>
    <w:rsid w:val="00B1232B"/>
    <w:rsid w:val="00B1239E"/>
    <w:rsid w:val="00B125A4"/>
    <w:rsid w:val="00B13B26"/>
    <w:rsid w:val="00B13CC2"/>
    <w:rsid w:val="00B13D77"/>
    <w:rsid w:val="00B149EB"/>
    <w:rsid w:val="00B14CC5"/>
    <w:rsid w:val="00B15683"/>
    <w:rsid w:val="00B156E6"/>
    <w:rsid w:val="00B157C5"/>
    <w:rsid w:val="00B15C27"/>
    <w:rsid w:val="00B160C8"/>
    <w:rsid w:val="00B16142"/>
    <w:rsid w:val="00B167F8"/>
    <w:rsid w:val="00B16ACA"/>
    <w:rsid w:val="00B16BEF"/>
    <w:rsid w:val="00B174F4"/>
    <w:rsid w:val="00B17B41"/>
    <w:rsid w:val="00B17D82"/>
    <w:rsid w:val="00B17E71"/>
    <w:rsid w:val="00B20212"/>
    <w:rsid w:val="00B207FA"/>
    <w:rsid w:val="00B20A68"/>
    <w:rsid w:val="00B20C32"/>
    <w:rsid w:val="00B2150E"/>
    <w:rsid w:val="00B21622"/>
    <w:rsid w:val="00B21D52"/>
    <w:rsid w:val="00B22496"/>
    <w:rsid w:val="00B2250E"/>
    <w:rsid w:val="00B2283B"/>
    <w:rsid w:val="00B22B0B"/>
    <w:rsid w:val="00B22E0E"/>
    <w:rsid w:val="00B2358D"/>
    <w:rsid w:val="00B235F5"/>
    <w:rsid w:val="00B23D29"/>
    <w:rsid w:val="00B23E0D"/>
    <w:rsid w:val="00B23ED8"/>
    <w:rsid w:val="00B24459"/>
    <w:rsid w:val="00B24891"/>
    <w:rsid w:val="00B24A45"/>
    <w:rsid w:val="00B24A71"/>
    <w:rsid w:val="00B24B1C"/>
    <w:rsid w:val="00B24D64"/>
    <w:rsid w:val="00B256EB"/>
    <w:rsid w:val="00B256F0"/>
    <w:rsid w:val="00B257EC"/>
    <w:rsid w:val="00B25956"/>
    <w:rsid w:val="00B25EDA"/>
    <w:rsid w:val="00B25FDC"/>
    <w:rsid w:val="00B2643A"/>
    <w:rsid w:val="00B267E1"/>
    <w:rsid w:val="00B2692A"/>
    <w:rsid w:val="00B26C2E"/>
    <w:rsid w:val="00B271A9"/>
    <w:rsid w:val="00B273B0"/>
    <w:rsid w:val="00B27493"/>
    <w:rsid w:val="00B277C7"/>
    <w:rsid w:val="00B27A5C"/>
    <w:rsid w:val="00B27BE2"/>
    <w:rsid w:val="00B27DF6"/>
    <w:rsid w:val="00B27EB0"/>
    <w:rsid w:val="00B27F50"/>
    <w:rsid w:val="00B30166"/>
    <w:rsid w:val="00B30706"/>
    <w:rsid w:val="00B30FBC"/>
    <w:rsid w:val="00B3189E"/>
    <w:rsid w:val="00B318C3"/>
    <w:rsid w:val="00B31BDA"/>
    <w:rsid w:val="00B31F98"/>
    <w:rsid w:val="00B32D8F"/>
    <w:rsid w:val="00B330C5"/>
    <w:rsid w:val="00B3405C"/>
    <w:rsid w:val="00B34329"/>
    <w:rsid w:val="00B3454F"/>
    <w:rsid w:val="00B34B03"/>
    <w:rsid w:val="00B34E64"/>
    <w:rsid w:val="00B35A61"/>
    <w:rsid w:val="00B35E23"/>
    <w:rsid w:val="00B3662B"/>
    <w:rsid w:val="00B3662F"/>
    <w:rsid w:val="00B36A7C"/>
    <w:rsid w:val="00B40164"/>
    <w:rsid w:val="00B4039D"/>
    <w:rsid w:val="00B40B1B"/>
    <w:rsid w:val="00B4135C"/>
    <w:rsid w:val="00B4167B"/>
    <w:rsid w:val="00B423DD"/>
    <w:rsid w:val="00B42432"/>
    <w:rsid w:val="00B42C6C"/>
    <w:rsid w:val="00B4360D"/>
    <w:rsid w:val="00B436EA"/>
    <w:rsid w:val="00B43936"/>
    <w:rsid w:val="00B44287"/>
    <w:rsid w:val="00B4466A"/>
    <w:rsid w:val="00B448D0"/>
    <w:rsid w:val="00B44D28"/>
    <w:rsid w:val="00B4525B"/>
    <w:rsid w:val="00B45DB2"/>
    <w:rsid w:val="00B45E6B"/>
    <w:rsid w:val="00B46556"/>
    <w:rsid w:val="00B46595"/>
    <w:rsid w:val="00B46E85"/>
    <w:rsid w:val="00B476B9"/>
    <w:rsid w:val="00B476F1"/>
    <w:rsid w:val="00B47B35"/>
    <w:rsid w:val="00B50125"/>
    <w:rsid w:val="00B502E3"/>
    <w:rsid w:val="00B50F7E"/>
    <w:rsid w:val="00B5114E"/>
    <w:rsid w:val="00B5130F"/>
    <w:rsid w:val="00B537A5"/>
    <w:rsid w:val="00B538EF"/>
    <w:rsid w:val="00B53B50"/>
    <w:rsid w:val="00B53C42"/>
    <w:rsid w:val="00B53D47"/>
    <w:rsid w:val="00B53E12"/>
    <w:rsid w:val="00B545EF"/>
    <w:rsid w:val="00B54C63"/>
    <w:rsid w:val="00B552CB"/>
    <w:rsid w:val="00B555BD"/>
    <w:rsid w:val="00B5567F"/>
    <w:rsid w:val="00B557E4"/>
    <w:rsid w:val="00B558AF"/>
    <w:rsid w:val="00B558C7"/>
    <w:rsid w:val="00B55900"/>
    <w:rsid w:val="00B55FF0"/>
    <w:rsid w:val="00B5623C"/>
    <w:rsid w:val="00B56627"/>
    <w:rsid w:val="00B56D4A"/>
    <w:rsid w:val="00B56D99"/>
    <w:rsid w:val="00B56E6C"/>
    <w:rsid w:val="00B57606"/>
    <w:rsid w:val="00B5763A"/>
    <w:rsid w:val="00B578F0"/>
    <w:rsid w:val="00B57A2C"/>
    <w:rsid w:val="00B57DC6"/>
    <w:rsid w:val="00B57F7F"/>
    <w:rsid w:val="00B6088D"/>
    <w:rsid w:val="00B60AB5"/>
    <w:rsid w:val="00B60AFB"/>
    <w:rsid w:val="00B60E73"/>
    <w:rsid w:val="00B610A2"/>
    <w:rsid w:val="00B615B3"/>
    <w:rsid w:val="00B619C5"/>
    <w:rsid w:val="00B6264B"/>
    <w:rsid w:val="00B62E00"/>
    <w:rsid w:val="00B63138"/>
    <w:rsid w:val="00B64404"/>
    <w:rsid w:val="00B64895"/>
    <w:rsid w:val="00B65124"/>
    <w:rsid w:val="00B6608A"/>
    <w:rsid w:val="00B668BB"/>
    <w:rsid w:val="00B66E33"/>
    <w:rsid w:val="00B67A95"/>
    <w:rsid w:val="00B67C6C"/>
    <w:rsid w:val="00B70134"/>
    <w:rsid w:val="00B70A23"/>
    <w:rsid w:val="00B7132E"/>
    <w:rsid w:val="00B71D17"/>
    <w:rsid w:val="00B71E07"/>
    <w:rsid w:val="00B71E1B"/>
    <w:rsid w:val="00B71E3E"/>
    <w:rsid w:val="00B71F56"/>
    <w:rsid w:val="00B73331"/>
    <w:rsid w:val="00B735C8"/>
    <w:rsid w:val="00B7391C"/>
    <w:rsid w:val="00B73BF0"/>
    <w:rsid w:val="00B7403B"/>
    <w:rsid w:val="00B747F5"/>
    <w:rsid w:val="00B749CD"/>
    <w:rsid w:val="00B7602C"/>
    <w:rsid w:val="00B76701"/>
    <w:rsid w:val="00B76761"/>
    <w:rsid w:val="00B77458"/>
    <w:rsid w:val="00B77808"/>
    <w:rsid w:val="00B77ACE"/>
    <w:rsid w:val="00B77DD2"/>
    <w:rsid w:val="00B77ECD"/>
    <w:rsid w:val="00B800AD"/>
    <w:rsid w:val="00B81122"/>
    <w:rsid w:val="00B81969"/>
    <w:rsid w:val="00B81D9D"/>
    <w:rsid w:val="00B81DA1"/>
    <w:rsid w:val="00B82217"/>
    <w:rsid w:val="00B82576"/>
    <w:rsid w:val="00B829B4"/>
    <w:rsid w:val="00B82C22"/>
    <w:rsid w:val="00B830FD"/>
    <w:rsid w:val="00B83510"/>
    <w:rsid w:val="00B83625"/>
    <w:rsid w:val="00B83821"/>
    <w:rsid w:val="00B83C42"/>
    <w:rsid w:val="00B83FEA"/>
    <w:rsid w:val="00B842F0"/>
    <w:rsid w:val="00B84388"/>
    <w:rsid w:val="00B848D8"/>
    <w:rsid w:val="00B84B36"/>
    <w:rsid w:val="00B84CBF"/>
    <w:rsid w:val="00B84F59"/>
    <w:rsid w:val="00B8500E"/>
    <w:rsid w:val="00B85847"/>
    <w:rsid w:val="00B85960"/>
    <w:rsid w:val="00B85A42"/>
    <w:rsid w:val="00B86500"/>
    <w:rsid w:val="00B8660D"/>
    <w:rsid w:val="00B86998"/>
    <w:rsid w:val="00B86D08"/>
    <w:rsid w:val="00B87E73"/>
    <w:rsid w:val="00B9014D"/>
    <w:rsid w:val="00B90242"/>
    <w:rsid w:val="00B90A6F"/>
    <w:rsid w:val="00B90D17"/>
    <w:rsid w:val="00B90E7D"/>
    <w:rsid w:val="00B90E9E"/>
    <w:rsid w:val="00B90EB8"/>
    <w:rsid w:val="00B91019"/>
    <w:rsid w:val="00B918F3"/>
    <w:rsid w:val="00B91C1A"/>
    <w:rsid w:val="00B91D38"/>
    <w:rsid w:val="00B91D52"/>
    <w:rsid w:val="00B91F0F"/>
    <w:rsid w:val="00B923F1"/>
    <w:rsid w:val="00B9253D"/>
    <w:rsid w:val="00B929F7"/>
    <w:rsid w:val="00B93119"/>
    <w:rsid w:val="00B93B96"/>
    <w:rsid w:val="00B93EC1"/>
    <w:rsid w:val="00B94095"/>
    <w:rsid w:val="00B942CB"/>
    <w:rsid w:val="00B94779"/>
    <w:rsid w:val="00B9489B"/>
    <w:rsid w:val="00B94BB9"/>
    <w:rsid w:val="00B94CEE"/>
    <w:rsid w:val="00B95589"/>
    <w:rsid w:val="00B957CA"/>
    <w:rsid w:val="00B95B91"/>
    <w:rsid w:val="00B95C82"/>
    <w:rsid w:val="00B95F33"/>
    <w:rsid w:val="00B960B1"/>
    <w:rsid w:val="00B9673B"/>
    <w:rsid w:val="00B96ACA"/>
    <w:rsid w:val="00B96D34"/>
    <w:rsid w:val="00B96E99"/>
    <w:rsid w:val="00B97662"/>
    <w:rsid w:val="00B97BED"/>
    <w:rsid w:val="00B97C9F"/>
    <w:rsid w:val="00B97EF0"/>
    <w:rsid w:val="00B97F20"/>
    <w:rsid w:val="00BA0298"/>
    <w:rsid w:val="00BA072E"/>
    <w:rsid w:val="00BA098E"/>
    <w:rsid w:val="00BA09CF"/>
    <w:rsid w:val="00BA0A00"/>
    <w:rsid w:val="00BA0B0C"/>
    <w:rsid w:val="00BA1648"/>
    <w:rsid w:val="00BA195D"/>
    <w:rsid w:val="00BA1A2C"/>
    <w:rsid w:val="00BA1BF1"/>
    <w:rsid w:val="00BA1C11"/>
    <w:rsid w:val="00BA1C87"/>
    <w:rsid w:val="00BA2267"/>
    <w:rsid w:val="00BA27A3"/>
    <w:rsid w:val="00BA2BB6"/>
    <w:rsid w:val="00BA3169"/>
    <w:rsid w:val="00BA35F1"/>
    <w:rsid w:val="00BA380A"/>
    <w:rsid w:val="00BA3994"/>
    <w:rsid w:val="00BA3D0C"/>
    <w:rsid w:val="00BA45C3"/>
    <w:rsid w:val="00BA465E"/>
    <w:rsid w:val="00BA50B8"/>
    <w:rsid w:val="00BA5190"/>
    <w:rsid w:val="00BA533F"/>
    <w:rsid w:val="00BA585A"/>
    <w:rsid w:val="00BA5A3A"/>
    <w:rsid w:val="00BA5D22"/>
    <w:rsid w:val="00BA5F22"/>
    <w:rsid w:val="00BA65B3"/>
    <w:rsid w:val="00BA6A98"/>
    <w:rsid w:val="00BA7305"/>
    <w:rsid w:val="00BA77A1"/>
    <w:rsid w:val="00BA7C3D"/>
    <w:rsid w:val="00BA7F30"/>
    <w:rsid w:val="00BB0449"/>
    <w:rsid w:val="00BB0F80"/>
    <w:rsid w:val="00BB15E8"/>
    <w:rsid w:val="00BB1978"/>
    <w:rsid w:val="00BB1C50"/>
    <w:rsid w:val="00BB1DAA"/>
    <w:rsid w:val="00BB2632"/>
    <w:rsid w:val="00BB2A6F"/>
    <w:rsid w:val="00BB2FCA"/>
    <w:rsid w:val="00BB31A4"/>
    <w:rsid w:val="00BB3DE2"/>
    <w:rsid w:val="00BB433A"/>
    <w:rsid w:val="00BB4484"/>
    <w:rsid w:val="00BB4581"/>
    <w:rsid w:val="00BB460C"/>
    <w:rsid w:val="00BB46E6"/>
    <w:rsid w:val="00BB47E3"/>
    <w:rsid w:val="00BB486B"/>
    <w:rsid w:val="00BB4C4F"/>
    <w:rsid w:val="00BB5311"/>
    <w:rsid w:val="00BB53D0"/>
    <w:rsid w:val="00BB56D7"/>
    <w:rsid w:val="00BB5FC0"/>
    <w:rsid w:val="00BB6021"/>
    <w:rsid w:val="00BB6639"/>
    <w:rsid w:val="00BB66ED"/>
    <w:rsid w:val="00BB67A4"/>
    <w:rsid w:val="00BB6E88"/>
    <w:rsid w:val="00BB6FC1"/>
    <w:rsid w:val="00BB7466"/>
    <w:rsid w:val="00BB7B4A"/>
    <w:rsid w:val="00BB7B5A"/>
    <w:rsid w:val="00BC03F3"/>
    <w:rsid w:val="00BC04A1"/>
    <w:rsid w:val="00BC07DC"/>
    <w:rsid w:val="00BC0982"/>
    <w:rsid w:val="00BC0A8F"/>
    <w:rsid w:val="00BC0CFF"/>
    <w:rsid w:val="00BC1149"/>
    <w:rsid w:val="00BC1488"/>
    <w:rsid w:val="00BC1589"/>
    <w:rsid w:val="00BC16C6"/>
    <w:rsid w:val="00BC173C"/>
    <w:rsid w:val="00BC198C"/>
    <w:rsid w:val="00BC1B16"/>
    <w:rsid w:val="00BC1B6F"/>
    <w:rsid w:val="00BC1EFA"/>
    <w:rsid w:val="00BC1F6B"/>
    <w:rsid w:val="00BC214E"/>
    <w:rsid w:val="00BC2AF8"/>
    <w:rsid w:val="00BC2DFF"/>
    <w:rsid w:val="00BC318A"/>
    <w:rsid w:val="00BC324B"/>
    <w:rsid w:val="00BC33A0"/>
    <w:rsid w:val="00BC34FE"/>
    <w:rsid w:val="00BC399D"/>
    <w:rsid w:val="00BC3A5A"/>
    <w:rsid w:val="00BC3E4D"/>
    <w:rsid w:val="00BC4AC0"/>
    <w:rsid w:val="00BC4F1A"/>
    <w:rsid w:val="00BC57C3"/>
    <w:rsid w:val="00BC5AC4"/>
    <w:rsid w:val="00BC5C4E"/>
    <w:rsid w:val="00BC66C4"/>
    <w:rsid w:val="00BC6C40"/>
    <w:rsid w:val="00BC6F83"/>
    <w:rsid w:val="00BC7240"/>
    <w:rsid w:val="00BC725A"/>
    <w:rsid w:val="00BC7A80"/>
    <w:rsid w:val="00BD0548"/>
    <w:rsid w:val="00BD0B05"/>
    <w:rsid w:val="00BD0BB3"/>
    <w:rsid w:val="00BD1020"/>
    <w:rsid w:val="00BD10C1"/>
    <w:rsid w:val="00BD1747"/>
    <w:rsid w:val="00BD174E"/>
    <w:rsid w:val="00BD1855"/>
    <w:rsid w:val="00BD2300"/>
    <w:rsid w:val="00BD23C7"/>
    <w:rsid w:val="00BD23F9"/>
    <w:rsid w:val="00BD27E4"/>
    <w:rsid w:val="00BD2A20"/>
    <w:rsid w:val="00BD2C6C"/>
    <w:rsid w:val="00BD2E10"/>
    <w:rsid w:val="00BD33E3"/>
    <w:rsid w:val="00BD3492"/>
    <w:rsid w:val="00BD364B"/>
    <w:rsid w:val="00BD397E"/>
    <w:rsid w:val="00BD3A44"/>
    <w:rsid w:val="00BD3B06"/>
    <w:rsid w:val="00BD3D1E"/>
    <w:rsid w:val="00BD3D25"/>
    <w:rsid w:val="00BD44DD"/>
    <w:rsid w:val="00BD4509"/>
    <w:rsid w:val="00BD45CC"/>
    <w:rsid w:val="00BD46FB"/>
    <w:rsid w:val="00BD523D"/>
    <w:rsid w:val="00BD52BE"/>
    <w:rsid w:val="00BD587A"/>
    <w:rsid w:val="00BD5D24"/>
    <w:rsid w:val="00BD61C9"/>
    <w:rsid w:val="00BD61FF"/>
    <w:rsid w:val="00BD69AB"/>
    <w:rsid w:val="00BD7142"/>
    <w:rsid w:val="00BD7292"/>
    <w:rsid w:val="00BD75A2"/>
    <w:rsid w:val="00BD7745"/>
    <w:rsid w:val="00BD7791"/>
    <w:rsid w:val="00BD7A0D"/>
    <w:rsid w:val="00BD7BA0"/>
    <w:rsid w:val="00BD7F41"/>
    <w:rsid w:val="00BE0428"/>
    <w:rsid w:val="00BE1041"/>
    <w:rsid w:val="00BE1208"/>
    <w:rsid w:val="00BE185A"/>
    <w:rsid w:val="00BE24C2"/>
    <w:rsid w:val="00BE2936"/>
    <w:rsid w:val="00BE3906"/>
    <w:rsid w:val="00BE3B25"/>
    <w:rsid w:val="00BE3C69"/>
    <w:rsid w:val="00BE4445"/>
    <w:rsid w:val="00BE499C"/>
    <w:rsid w:val="00BE5071"/>
    <w:rsid w:val="00BE56CC"/>
    <w:rsid w:val="00BE5849"/>
    <w:rsid w:val="00BE5939"/>
    <w:rsid w:val="00BE5C7C"/>
    <w:rsid w:val="00BE6783"/>
    <w:rsid w:val="00BE7E68"/>
    <w:rsid w:val="00BE7FD6"/>
    <w:rsid w:val="00BF0531"/>
    <w:rsid w:val="00BF0542"/>
    <w:rsid w:val="00BF0853"/>
    <w:rsid w:val="00BF10FF"/>
    <w:rsid w:val="00BF1698"/>
    <w:rsid w:val="00BF1EE0"/>
    <w:rsid w:val="00BF2182"/>
    <w:rsid w:val="00BF23DB"/>
    <w:rsid w:val="00BF3010"/>
    <w:rsid w:val="00BF33E1"/>
    <w:rsid w:val="00BF3516"/>
    <w:rsid w:val="00BF392C"/>
    <w:rsid w:val="00BF3E8F"/>
    <w:rsid w:val="00BF4696"/>
    <w:rsid w:val="00BF5406"/>
    <w:rsid w:val="00BF5AA7"/>
    <w:rsid w:val="00BF5DF9"/>
    <w:rsid w:val="00BF6576"/>
    <w:rsid w:val="00BF6C00"/>
    <w:rsid w:val="00BF6EF6"/>
    <w:rsid w:val="00BF70EF"/>
    <w:rsid w:val="00BF752C"/>
    <w:rsid w:val="00BF7BF1"/>
    <w:rsid w:val="00BF7C7D"/>
    <w:rsid w:val="00C0018B"/>
    <w:rsid w:val="00C00AFA"/>
    <w:rsid w:val="00C017C0"/>
    <w:rsid w:val="00C01AD3"/>
    <w:rsid w:val="00C02234"/>
    <w:rsid w:val="00C02DBD"/>
    <w:rsid w:val="00C033AE"/>
    <w:rsid w:val="00C03974"/>
    <w:rsid w:val="00C03B6E"/>
    <w:rsid w:val="00C03E59"/>
    <w:rsid w:val="00C03FA3"/>
    <w:rsid w:val="00C043F5"/>
    <w:rsid w:val="00C04665"/>
    <w:rsid w:val="00C04956"/>
    <w:rsid w:val="00C051E1"/>
    <w:rsid w:val="00C05479"/>
    <w:rsid w:val="00C05785"/>
    <w:rsid w:val="00C05A71"/>
    <w:rsid w:val="00C05C1E"/>
    <w:rsid w:val="00C05F60"/>
    <w:rsid w:val="00C06393"/>
    <w:rsid w:val="00C06579"/>
    <w:rsid w:val="00C06653"/>
    <w:rsid w:val="00C066E3"/>
    <w:rsid w:val="00C06E3E"/>
    <w:rsid w:val="00C0736C"/>
    <w:rsid w:val="00C07AAF"/>
    <w:rsid w:val="00C07CF6"/>
    <w:rsid w:val="00C07F58"/>
    <w:rsid w:val="00C10157"/>
    <w:rsid w:val="00C109CB"/>
    <w:rsid w:val="00C11181"/>
    <w:rsid w:val="00C119FB"/>
    <w:rsid w:val="00C12370"/>
    <w:rsid w:val="00C13773"/>
    <w:rsid w:val="00C1393B"/>
    <w:rsid w:val="00C1395A"/>
    <w:rsid w:val="00C13DA8"/>
    <w:rsid w:val="00C14E3B"/>
    <w:rsid w:val="00C14EC9"/>
    <w:rsid w:val="00C15241"/>
    <w:rsid w:val="00C152F5"/>
    <w:rsid w:val="00C155A3"/>
    <w:rsid w:val="00C1565A"/>
    <w:rsid w:val="00C15714"/>
    <w:rsid w:val="00C15773"/>
    <w:rsid w:val="00C15B40"/>
    <w:rsid w:val="00C15C29"/>
    <w:rsid w:val="00C163AF"/>
    <w:rsid w:val="00C165CE"/>
    <w:rsid w:val="00C169E1"/>
    <w:rsid w:val="00C170E3"/>
    <w:rsid w:val="00C172BB"/>
    <w:rsid w:val="00C173F2"/>
    <w:rsid w:val="00C17658"/>
    <w:rsid w:val="00C201CD"/>
    <w:rsid w:val="00C20218"/>
    <w:rsid w:val="00C20DA4"/>
    <w:rsid w:val="00C21321"/>
    <w:rsid w:val="00C219AB"/>
    <w:rsid w:val="00C21A8C"/>
    <w:rsid w:val="00C22066"/>
    <w:rsid w:val="00C22231"/>
    <w:rsid w:val="00C2260B"/>
    <w:rsid w:val="00C22619"/>
    <w:rsid w:val="00C22B7E"/>
    <w:rsid w:val="00C22D30"/>
    <w:rsid w:val="00C22E34"/>
    <w:rsid w:val="00C22EBD"/>
    <w:rsid w:val="00C22F11"/>
    <w:rsid w:val="00C237BB"/>
    <w:rsid w:val="00C23830"/>
    <w:rsid w:val="00C23A65"/>
    <w:rsid w:val="00C23ACD"/>
    <w:rsid w:val="00C23BF5"/>
    <w:rsid w:val="00C23D4C"/>
    <w:rsid w:val="00C24124"/>
    <w:rsid w:val="00C242A8"/>
    <w:rsid w:val="00C244F0"/>
    <w:rsid w:val="00C24CDF"/>
    <w:rsid w:val="00C250D3"/>
    <w:rsid w:val="00C25110"/>
    <w:rsid w:val="00C259BB"/>
    <w:rsid w:val="00C26132"/>
    <w:rsid w:val="00C26AAF"/>
    <w:rsid w:val="00C26B1C"/>
    <w:rsid w:val="00C2718B"/>
    <w:rsid w:val="00C2725D"/>
    <w:rsid w:val="00C279E9"/>
    <w:rsid w:val="00C301F9"/>
    <w:rsid w:val="00C30A60"/>
    <w:rsid w:val="00C30F96"/>
    <w:rsid w:val="00C31322"/>
    <w:rsid w:val="00C316AF"/>
    <w:rsid w:val="00C3184A"/>
    <w:rsid w:val="00C31A6D"/>
    <w:rsid w:val="00C321B5"/>
    <w:rsid w:val="00C324AC"/>
    <w:rsid w:val="00C324B6"/>
    <w:rsid w:val="00C32B73"/>
    <w:rsid w:val="00C34285"/>
    <w:rsid w:val="00C3431B"/>
    <w:rsid w:val="00C347B5"/>
    <w:rsid w:val="00C34F96"/>
    <w:rsid w:val="00C35279"/>
    <w:rsid w:val="00C3534A"/>
    <w:rsid w:val="00C35536"/>
    <w:rsid w:val="00C3564A"/>
    <w:rsid w:val="00C35C7D"/>
    <w:rsid w:val="00C3618B"/>
    <w:rsid w:val="00C36576"/>
    <w:rsid w:val="00C36644"/>
    <w:rsid w:val="00C366A7"/>
    <w:rsid w:val="00C36F66"/>
    <w:rsid w:val="00C36FF2"/>
    <w:rsid w:val="00C37343"/>
    <w:rsid w:val="00C37CBB"/>
    <w:rsid w:val="00C37D76"/>
    <w:rsid w:val="00C401EE"/>
    <w:rsid w:val="00C40D77"/>
    <w:rsid w:val="00C40EAA"/>
    <w:rsid w:val="00C40F34"/>
    <w:rsid w:val="00C40F93"/>
    <w:rsid w:val="00C414A5"/>
    <w:rsid w:val="00C414F9"/>
    <w:rsid w:val="00C419D9"/>
    <w:rsid w:val="00C41C8D"/>
    <w:rsid w:val="00C41D35"/>
    <w:rsid w:val="00C42066"/>
    <w:rsid w:val="00C4304E"/>
    <w:rsid w:val="00C43922"/>
    <w:rsid w:val="00C44868"/>
    <w:rsid w:val="00C44969"/>
    <w:rsid w:val="00C45195"/>
    <w:rsid w:val="00C45A62"/>
    <w:rsid w:val="00C45D66"/>
    <w:rsid w:val="00C45FA7"/>
    <w:rsid w:val="00C463D7"/>
    <w:rsid w:val="00C46685"/>
    <w:rsid w:val="00C46986"/>
    <w:rsid w:val="00C46A2A"/>
    <w:rsid w:val="00C47252"/>
    <w:rsid w:val="00C476A9"/>
    <w:rsid w:val="00C478CE"/>
    <w:rsid w:val="00C479BF"/>
    <w:rsid w:val="00C47E21"/>
    <w:rsid w:val="00C50074"/>
    <w:rsid w:val="00C501FC"/>
    <w:rsid w:val="00C50558"/>
    <w:rsid w:val="00C50763"/>
    <w:rsid w:val="00C509ED"/>
    <w:rsid w:val="00C50EFE"/>
    <w:rsid w:val="00C51F86"/>
    <w:rsid w:val="00C520A4"/>
    <w:rsid w:val="00C52279"/>
    <w:rsid w:val="00C526C8"/>
    <w:rsid w:val="00C5272F"/>
    <w:rsid w:val="00C528C3"/>
    <w:rsid w:val="00C52BBE"/>
    <w:rsid w:val="00C5358E"/>
    <w:rsid w:val="00C5359C"/>
    <w:rsid w:val="00C53944"/>
    <w:rsid w:val="00C53ACB"/>
    <w:rsid w:val="00C53CBE"/>
    <w:rsid w:val="00C54A40"/>
    <w:rsid w:val="00C54F02"/>
    <w:rsid w:val="00C55374"/>
    <w:rsid w:val="00C55A43"/>
    <w:rsid w:val="00C55AB7"/>
    <w:rsid w:val="00C563F0"/>
    <w:rsid w:val="00C56512"/>
    <w:rsid w:val="00C56D74"/>
    <w:rsid w:val="00C576AE"/>
    <w:rsid w:val="00C57F09"/>
    <w:rsid w:val="00C6011C"/>
    <w:rsid w:val="00C6052E"/>
    <w:rsid w:val="00C60CAA"/>
    <w:rsid w:val="00C61464"/>
    <w:rsid w:val="00C619FB"/>
    <w:rsid w:val="00C61C75"/>
    <w:rsid w:val="00C61F2C"/>
    <w:rsid w:val="00C62A1F"/>
    <w:rsid w:val="00C62A8A"/>
    <w:rsid w:val="00C63129"/>
    <w:rsid w:val="00C63D92"/>
    <w:rsid w:val="00C63E12"/>
    <w:rsid w:val="00C63EC3"/>
    <w:rsid w:val="00C63ED7"/>
    <w:rsid w:val="00C63EF4"/>
    <w:rsid w:val="00C64884"/>
    <w:rsid w:val="00C649DB"/>
    <w:rsid w:val="00C649FB"/>
    <w:rsid w:val="00C64D0B"/>
    <w:rsid w:val="00C64EA3"/>
    <w:rsid w:val="00C655E5"/>
    <w:rsid w:val="00C659E4"/>
    <w:rsid w:val="00C66274"/>
    <w:rsid w:val="00C66486"/>
    <w:rsid w:val="00C66819"/>
    <w:rsid w:val="00C66EFD"/>
    <w:rsid w:val="00C67724"/>
    <w:rsid w:val="00C679EF"/>
    <w:rsid w:val="00C67C81"/>
    <w:rsid w:val="00C67D9E"/>
    <w:rsid w:val="00C70369"/>
    <w:rsid w:val="00C70FA3"/>
    <w:rsid w:val="00C7112D"/>
    <w:rsid w:val="00C711F9"/>
    <w:rsid w:val="00C71384"/>
    <w:rsid w:val="00C71654"/>
    <w:rsid w:val="00C716F2"/>
    <w:rsid w:val="00C71AA0"/>
    <w:rsid w:val="00C724D4"/>
    <w:rsid w:val="00C72796"/>
    <w:rsid w:val="00C728CE"/>
    <w:rsid w:val="00C72B34"/>
    <w:rsid w:val="00C7347D"/>
    <w:rsid w:val="00C73C66"/>
    <w:rsid w:val="00C7426B"/>
    <w:rsid w:val="00C749AC"/>
    <w:rsid w:val="00C74A1B"/>
    <w:rsid w:val="00C74C33"/>
    <w:rsid w:val="00C74D12"/>
    <w:rsid w:val="00C74DE3"/>
    <w:rsid w:val="00C7545C"/>
    <w:rsid w:val="00C75715"/>
    <w:rsid w:val="00C75F6F"/>
    <w:rsid w:val="00C76E49"/>
    <w:rsid w:val="00C76F55"/>
    <w:rsid w:val="00C7771A"/>
    <w:rsid w:val="00C81253"/>
    <w:rsid w:val="00C81525"/>
    <w:rsid w:val="00C82381"/>
    <w:rsid w:val="00C8246E"/>
    <w:rsid w:val="00C82568"/>
    <w:rsid w:val="00C8280D"/>
    <w:rsid w:val="00C833D7"/>
    <w:rsid w:val="00C8384D"/>
    <w:rsid w:val="00C8387B"/>
    <w:rsid w:val="00C83B54"/>
    <w:rsid w:val="00C83BA5"/>
    <w:rsid w:val="00C83C4E"/>
    <w:rsid w:val="00C84084"/>
    <w:rsid w:val="00C843E3"/>
    <w:rsid w:val="00C84642"/>
    <w:rsid w:val="00C84A4C"/>
    <w:rsid w:val="00C851D9"/>
    <w:rsid w:val="00C859D9"/>
    <w:rsid w:val="00C86807"/>
    <w:rsid w:val="00C869A1"/>
    <w:rsid w:val="00C869AA"/>
    <w:rsid w:val="00C86B45"/>
    <w:rsid w:val="00C86B91"/>
    <w:rsid w:val="00C86E24"/>
    <w:rsid w:val="00C8704E"/>
    <w:rsid w:val="00C870B3"/>
    <w:rsid w:val="00C870F4"/>
    <w:rsid w:val="00C873A9"/>
    <w:rsid w:val="00C87589"/>
    <w:rsid w:val="00C8773A"/>
    <w:rsid w:val="00C9041B"/>
    <w:rsid w:val="00C908CB"/>
    <w:rsid w:val="00C90B48"/>
    <w:rsid w:val="00C9101E"/>
    <w:rsid w:val="00C916ED"/>
    <w:rsid w:val="00C91F8A"/>
    <w:rsid w:val="00C92019"/>
    <w:rsid w:val="00C92228"/>
    <w:rsid w:val="00C92647"/>
    <w:rsid w:val="00C92849"/>
    <w:rsid w:val="00C943DA"/>
    <w:rsid w:val="00C9441D"/>
    <w:rsid w:val="00C9451F"/>
    <w:rsid w:val="00C949BA"/>
    <w:rsid w:val="00C94EDF"/>
    <w:rsid w:val="00C968FC"/>
    <w:rsid w:val="00C96ACA"/>
    <w:rsid w:val="00C96C9C"/>
    <w:rsid w:val="00C9708A"/>
    <w:rsid w:val="00C978FB"/>
    <w:rsid w:val="00C979F9"/>
    <w:rsid w:val="00C97D03"/>
    <w:rsid w:val="00CA0419"/>
    <w:rsid w:val="00CA046E"/>
    <w:rsid w:val="00CA0A74"/>
    <w:rsid w:val="00CA0F41"/>
    <w:rsid w:val="00CA1336"/>
    <w:rsid w:val="00CA1CE5"/>
    <w:rsid w:val="00CA1D98"/>
    <w:rsid w:val="00CA1F28"/>
    <w:rsid w:val="00CA1FF5"/>
    <w:rsid w:val="00CA2009"/>
    <w:rsid w:val="00CA25B4"/>
    <w:rsid w:val="00CA289D"/>
    <w:rsid w:val="00CA2CDB"/>
    <w:rsid w:val="00CA3137"/>
    <w:rsid w:val="00CA37B0"/>
    <w:rsid w:val="00CA393B"/>
    <w:rsid w:val="00CA4B24"/>
    <w:rsid w:val="00CA5213"/>
    <w:rsid w:val="00CA63A0"/>
    <w:rsid w:val="00CA69E5"/>
    <w:rsid w:val="00CA6BCE"/>
    <w:rsid w:val="00CA6C16"/>
    <w:rsid w:val="00CA6C42"/>
    <w:rsid w:val="00CA6CBD"/>
    <w:rsid w:val="00CA6F6B"/>
    <w:rsid w:val="00CA6F9D"/>
    <w:rsid w:val="00CA7739"/>
    <w:rsid w:val="00CB0460"/>
    <w:rsid w:val="00CB0866"/>
    <w:rsid w:val="00CB0C94"/>
    <w:rsid w:val="00CB0CDE"/>
    <w:rsid w:val="00CB0FC6"/>
    <w:rsid w:val="00CB17D5"/>
    <w:rsid w:val="00CB216E"/>
    <w:rsid w:val="00CB22B1"/>
    <w:rsid w:val="00CB2E59"/>
    <w:rsid w:val="00CB2E87"/>
    <w:rsid w:val="00CB3321"/>
    <w:rsid w:val="00CB3CE8"/>
    <w:rsid w:val="00CB40B3"/>
    <w:rsid w:val="00CB4651"/>
    <w:rsid w:val="00CB4BEE"/>
    <w:rsid w:val="00CB4C0F"/>
    <w:rsid w:val="00CB5952"/>
    <w:rsid w:val="00CB5BF9"/>
    <w:rsid w:val="00CB6218"/>
    <w:rsid w:val="00CB631E"/>
    <w:rsid w:val="00CB67AB"/>
    <w:rsid w:val="00CB73CB"/>
    <w:rsid w:val="00CB75FE"/>
    <w:rsid w:val="00CB7D6A"/>
    <w:rsid w:val="00CC0853"/>
    <w:rsid w:val="00CC0BB7"/>
    <w:rsid w:val="00CC18C5"/>
    <w:rsid w:val="00CC1F49"/>
    <w:rsid w:val="00CC21AB"/>
    <w:rsid w:val="00CC2D6C"/>
    <w:rsid w:val="00CC305D"/>
    <w:rsid w:val="00CC3611"/>
    <w:rsid w:val="00CC42CD"/>
    <w:rsid w:val="00CC4660"/>
    <w:rsid w:val="00CC483A"/>
    <w:rsid w:val="00CC48D8"/>
    <w:rsid w:val="00CC4A9C"/>
    <w:rsid w:val="00CC4FD1"/>
    <w:rsid w:val="00CC5AB1"/>
    <w:rsid w:val="00CC6327"/>
    <w:rsid w:val="00CC7077"/>
    <w:rsid w:val="00CC784E"/>
    <w:rsid w:val="00CC7C00"/>
    <w:rsid w:val="00CC7F9A"/>
    <w:rsid w:val="00CD0015"/>
    <w:rsid w:val="00CD04E7"/>
    <w:rsid w:val="00CD06AA"/>
    <w:rsid w:val="00CD0913"/>
    <w:rsid w:val="00CD09BD"/>
    <w:rsid w:val="00CD0D3B"/>
    <w:rsid w:val="00CD0E0D"/>
    <w:rsid w:val="00CD0F7A"/>
    <w:rsid w:val="00CD11EF"/>
    <w:rsid w:val="00CD1218"/>
    <w:rsid w:val="00CD1381"/>
    <w:rsid w:val="00CD1ED6"/>
    <w:rsid w:val="00CD1FC5"/>
    <w:rsid w:val="00CD21B9"/>
    <w:rsid w:val="00CD2559"/>
    <w:rsid w:val="00CD26A4"/>
    <w:rsid w:val="00CD280F"/>
    <w:rsid w:val="00CD2A3D"/>
    <w:rsid w:val="00CD2AAE"/>
    <w:rsid w:val="00CD3304"/>
    <w:rsid w:val="00CD35EB"/>
    <w:rsid w:val="00CD3686"/>
    <w:rsid w:val="00CD3770"/>
    <w:rsid w:val="00CD38E5"/>
    <w:rsid w:val="00CD437F"/>
    <w:rsid w:val="00CD48F7"/>
    <w:rsid w:val="00CD49BE"/>
    <w:rsid w:val="00CD4F74"/>
    <w:rsid w:val="00CD5313"/>
    <w:rsid w:val="00CD5630"/>
    <w:rsid w:val="00CD6310"/>
    <w:rsid w:val="00CD6692"/>
    <w:rsid w:val="00CD6B81"/>
    <w:rsid w:val="00CD71E4"/>
    <w:rsid w:val="00CD7254"/>
    <w:rsid w:val="00CD7585"/>
    <w:rsid w:val="00CD7E1A"/>
    <w:rsid w:val="00CD7ED5"/>
    <w:rsid w:val="00CE030F"/>
    <w:rsid w:val="00CE0A42"/>
    <w:rsid w:val="00CE1221"/>
    <w:rsid w:val="00CE15C6"/>
    <w:rsid w:val="00CE1ABE"/>
    <w:rsid w:val="00CE2457"/>
    <w:rsid w:val="00CE2474"/>
    <w:rsid w:val="00CE250A"/>
    <w:rsid w:val="00CE2C43"/>
    <w:rsid w:val="00CE3039"/>
    <w:rsid w:val="00CE3349"/>
    <w:rsid w:val="00CE35DB"/>
    <w:rsid w:val="00CE3944"/>
    <w:rsid w:val="00CE4CB3"/>
    <w:rsid w:val="00CE536F"/>
    <w:rsid w:val="00CE53DF"/>
    <w:rsid w:val="00CE5F9B"/>
    <w:rsid w:val="00CE619A"/>
    <w:rsid w:val="00CE7732"/>
    <w:rsid w:val="00CF0261"/>
    <w:rsid w:val="00CF119D"/>
    <w:rsid w:val="00CF180D"/>
    <w:rsid w:val="00CF2155"/>
    <w:rsid w:val="00CF23FC"/>
    <w:rsid w:val="00CF29FF"/>
    <w:rsid w:val="00CF2D7B"/>
    <w:rsid w:val="00CF3219"/>
    <w:rsid w:val="00CF3258"/>
    <w:rsid w:val="00CF372F"/>
    <w:rsid w:val="00CF39C8"/>
    <w:rsid w:val="00CF3B77"/>
    <w:rsid w:val="00CF3C77"/>
    <w:rsid w:val="00CF4270"/>
    <w:rsid w:val="00CF4630"/>
    <w:rsid w:val="00CF4F89"/>
    <w:rsid w:val="00CF53CE"/>
    <w:rsid w:val="00CF5D12"/>
    <w:rsid w:val="00CF5D26"/>
    <w:rsid w:val="00CF5E4A"/>
    <w:rsid w:val="00CF5E56"/>
    <w:rsid w:val="00CF690D"/>
    <w:rsid w:val="00CF6ABB"/>
    <w:rsid w:val="00CF6BF8"/>
    <w:rsid w:val="00CF6DD0"/>
    <w:rsid w:val="00CF72F3"/>
    <w:rsid w:val="00CF7EAA"/>
    <w:rsid w:val="00CF7F51"/>
    <w:rsid w:val="00D0063E"/>
    <w:rsid w:val="00D007F0"/>
    <w:rsid w:val="00D00BC7"/>
    <w:rsid w:val="00D0115D"/>
    <w:rsid w:val="00D013AF"/>
    <w:rsid w:val="00D01406"/>
    <w:rsid w:val="00D017C5"/>
    <w:rsid w:val="00D01B7A"/>
    <w:rsid w:val="00D022F2"/>
    <w:rsid w:val="00D02476"/>
    <w:rsid w:val="00D02C98"/>
    <w:rsid w:val="00D02E84"/>
    <w:rsid w:val="00D032C1"/>
    <w:rsid w:val="00D03522"/>
    <w:rsid w:val="00D03AE4"/>
    <w:rsid w:val="00D03F84"/>
    <w:rsid w:val="00D046A6"/>
    <w:rsid w:val="00D04E5A"/>
    <w:rsid w:val="00D05395"/>
    <w:rsid w:val="00D0560A"/>
    <w:rsid w:val="00D0666F"/>
    <w:rsid w:val="00D066B2"/>
    <w:rsid w:val="00D06AE1"/>
    <w:rsid w:val="00D06B72"/>
    <w:rsid w:val="00D074EB"/>
    <w:rsid w:val="00D07577"/>
    <w:rsid w:val="00D075AF"/>
    <w:rsid w:val="00D07A46"/>
    <w:rsid w:val="00D07FE3"/>
    <w:rsid w:val="00D10C61"/>
    <w:rsid w:val="00D10D94"/>
    <w:rsid w:val="00D10E51"/>
    <w:rsid w:val="00D111A9"/>
    <w:rsid w:val="00D11281"/>
    <w:rsid w:val="00D11BE6"/>
    <w:rsid w:val="00D12088"/>
    <w:rsid w:val="00D1254A"/>
    <w:rsid w:val="00D12E21"/>
    <w:rsid w:val="00D12E96"/>
    <w:rsid w:val="00D12EF8"/>
    <w:rsid w:val="00D13374"/>
    <w:rsid w:val="00D137AD"/>
    <w:rsid w:val="00D13BCF"/>
    <w:rsid w:val="00D13BDE"/>
    <w:rsid w:val="00D1499D"/>
    <w:rsid w:val="00D150CF"/>
    <w:rsid w:val="00D15406"/>
    <w:rsid w:val="00D159C9"/>
    <w:rsid w:val="00D15E8E"/>
    <w:rsid w:val="00D16532"/>
    <w:rsid w:val="00D16AD4"/>
    <w:rsid w:val="00D16C96"/>
    <w:rsid w:val="00D17453"/>
    <w:rsid w:val="00D17928"/>
    <w:rsid w:val="00D17B66"/>
    <w:rsid w:val="00D17C45"/>
    <w:rsid w:val="00D17D39"/>
    <w:rsid w:val="00D17FA5"/>
    <w:rsid w:val="00D20703"/>
    <w:rsid w:val="00D2154D"/>
    <w:rsid w:val="00D215BD"/>
    <w:rsid w:val="00D216C4"/>
    <w:rsid w:val="00D21747"/>
    <w:rsid w:val="00D21D5F"/>
    <w:rsid w:val="00D21E26"/>
    <w:rsid w:val="00D2210B"/>
    <w:rsid w:val="00D2251D"/>
    <w:rsid w:val="00D22CE1"/>
    <w:rsid w:val="00D2305F"/>
    <w:rsid w:val="00D237F0"/>
    <w:rsid w:val="00D23B69"/>
    <w:rsid w:val="00D23F97"/>
    <w:rsid w:val="00D2402E"/>
    <w:rsid w:val="00D24422"/>
    <w:rsid w:val="00D24F61"/>
    <w:rsid w:val="00D250B2"/>
    <w:rsid w:val="00D2546C"/>
    <w:rsid w:val="00D2547B"/>
    <w:rsid w:val="00D2556E"/>
    <w:rsid w:val="00D256C0"/>
    <w:rsid w:val="00D258FC"/>
    <w:rsid w:val="00D25B62"/>
    <w:rsid w:val="00D25F41"/>
    <w:rsid w:val="00D25F85"/>
    <w:rsid w:val="00D26248"/>
    <w:rsid w:val="00D26CA2"/>
    <w:rsid w:val="00D2728A"/>
    <w:rsid w:val="00D2729B"/>
    <w:rsid w:val="00D27349"/>
    <w:rsid w:val="00D275A4"/>
    <w:rsid w:val="00D2770F"/>
    <w:rsid w:val="00D27A8D"/>
    <w:rsid w:val="00D27B1F"/>
    <w:rsid w:val="00D27DAA"/>
    <w:rsid w:val="00D27F1E"/>
    <w:rsid w:val="00D304E2"/>
    <w:rsid w:val="00D312DC"/>
    <w:rsid w:val="00D31764"/>
    <w:rsid w:val="00D31C91"/>
    <w:rsid w:val="00D31F36"/>
    <w:rsid w:val="00D31FDF"/>
    <w:rsid w:val="00D32520"/>
    <w:rsid w:val="00D32CC1"/>
    <w:rsid w:val="00D32CFE"/>
    <w:rsid w:val="00D32E56"/>
    <w:rsid w:val="00D330D9"/>
    <w:rsid w:val="00D33364"/>
    <w:rsid w:val="00D333FF"/>
    <w:rsid w:val="00D3350F"/>
    <w:rsid w:val="00D3398A"/>
    <w:rsid w:val="00D343AA"/>
    <w:rsid w:val="00D34D08"/>
    <w:rsid w:val="00D34D44"/>
    <w:rsid w:val="00D34E36"/>
    <w:rsid w:val="00D34E52"/>
    <w:rsid w:val="00D352EF"/>
    <w:rsid w:val="00D3588F"/>
    <w:rsid w:val="00D35A96"/>
    <w:rsid w:val="00D35FC8"/>
    <w:rsid w:val="00D35FEE"/>
    <w:rsid w:val="00D36277"/>
    <w:rsid w:val="00D365D5"/>
    <w:rsid w:val="00D3775C"/>
    <w:rsid w:val="00D377B2"/>
    <w:rsid w:val="00D37BD5"/>
    <w:rsid w:val="00D37E95"/>
    <w:rsid w:val="00D37F4A"/>
    <w:rsid w:val="00D37FC1"/>
    <w:rsid w:val="00D40764"/>
    <w:rsid w:val="00D411F5"/>
    <w:rsid w:val="00D4125D"/>
    <w:rsid w:val="00D428C9"/>
    <w:rsid w:val="00D42AC1"/>
    <w:rsid w:val="00D43148"/>
    <w:rsid w:val="00D4380B"/>
    <w:rsid w:val="00D43BD8"/>
    <w:rsid w:val="00D4410A"/>
    <w:rsid w:val="00D445C6"/>
    <w:rsid w:val="00D4524E"/>
    <w:rsid w:val="00D4533D"/>
    <w:rsid w:val="00D46852"/>
    <w:rsid w:val="00D46CD2"/>
    <w:rsid w:val="00D46D9C"/>
    <w:rsid w:val="00D46DB0"/>
    <w:rsid w:val="00D470A7"/>
    <w:rsid w:val="00D472A7"/>
    <w:rsid w:val="00D47F51"/>
    <w:rsid w:val="00D50BAA"/>
    <w:rsid w:val="00D50E23"/>
    <w:rsid w:val="00D51634"/>
    <w:rsid w:val="00D5163F"/>
    <w:rsid w:val="00D5180A"/>
    <w:rsid w:val="00D52027"/>
    <w:rsid w:val="00D521C4"/>
    <w:rsid w:val="00D521E6"/>
    <w:rsid w:val="00D5241E"/>
    <w:rsid w:val="00D52489"/>
    <w:rsid w:val="00D527AD"/>
    <w:rsid w:val="00D52BCD"/>
    <w:rsid w:val="00D52CCA"/>
    <w:rsid w:val="00D52D60"/>
    <w:rsid w:val="00D53089"/>
    <w:rsid w:val="00D53E40"/>
    <w:rsid w:val="00D54345"/>
    <w:rsid w:val="00D54513"/>
    <w:rsid w:val="00D54D4C"/>
    <w:rsid w:val="00D551F3"/>
    <w:rsid w:val="00D55963"/>
    <w:rsid w:val="00D56046"/>
    <w:rsid w:val="00D5728A"/>
    <w:rsid w:val="00D57B63"/>
    <w:rsid w:val="00D57B6C"/>
    <w:rsid w:val="00D57F3C"/>
    <w:rsid w:val="00D57F58"/>
    <w:rsid w:val="00D60043"/>
    <w:rsid w:val="00D60703"/>
    <w:rsid w:val="00D60794"/>
    <w:rsid w:val="00D608E4"/>
    <w:rsid w:val="00D609CF"/>
    <w:rsid w:val="00D60E12"/>
    <w:rsid w:val="00D60E89"/>
    <w:rsid w:val="00D61464"/>
    <w:rsid w:val="00D61A46"/>
    <w:rsid w:val="00D61ACF"/>
    <w:rsid w:val="00D61AF6"/>
    <w:rsid w:val="00D61D6E"/>
    <w:rsid w:val="00D623FD"/>
    <w:rsid w:val="00D62557"/>
    <w:rsid w:val="00D625B4"/>
    <w:rsid w:val="00D62649"/>
    <w:rsid w:val="00D626D9"/>
    <w:rsid w:val="00D62C98"/>
    <w:rsid w:val="00D631E5"/>
    <w:rsid w:val="00D636B0"/>
    <w:rsid w:val="00D63B86"/>
    <w:rsid w:val="00D640E1"/>
    <w:rsid w:val="00D64188"/>
    <w:rsid w:val="00D6586D"/>
    <w:rsid w:val="00D658A0"/>
    <w:rsid w:val="00D65DE7"/>
    <w:rsid w:val="00D663D6"/>
    <w:rsid w:val="00D67830"/>
    <w:rsid w:val="00D701FA"/>
    <w:rsid w:val="00D70851"/>
    <w:rsid w:val="00D70AFF"/>
    <w:rsid w:val="00D70B8D"/>
    <w:rsid w:val="00D70F20"/>
    <w:rsid w:val="00D7102B"/>
    <w:rsid w:val="00D71575"/>
    <w:rsid w:val="00D718EB"/>
    <w:rsid w:val="00D71E25"/>
    <w:rsid w:val="00D71EEE"/>
    <w:rsid w:val="00D7210C"/>
    <w:rsid w:val="00D72358"/>
    <w:rsid w:val="00D729F7"/>
    <w:rsid w:val="00D73117"/>
    <w:rsid w:val="00D73ABA"/>
    <w:rsid w:val="00D73DA3"/>
    <w:rsid w:val="00D74082"/>
    <w:rsid w:val="00D7430F"/>
    <w:rsid w:val="00D74735"/>
    <w:rsid w:val="00D74A21"/>
    <w:rsid w:val="00D74F7E"/>
    <w:rsid w:val="00D75C19"/>
    <w:rsid w:val="00D760A2"/>
    <w:rsid w:val="00D762D2"/>
    <w:rsid w:val="00D766C7"/>
    <w:rsid w:val="00D772D3"/>
    <w:rsid w:val="00D77423"/>
    <w:rsid w:val="00D77AF7"/>
    <w:rsid w:val="00D77E27"/>
    <w:rsid w:val="00D77EEC"/>
    <w:rsid w:val="00D801D4"/>
    <w:rsid w:val="00D80640"/>
    <w:rsid w:val="00D80F9F"/>
    <w:rsid w:val="00D813A0"/>
    <w:rsid w:val="00D82506"/>
    <w:rsid w:val="00D82FFB"/>
    <w:rsid w:val="00D83364"/>
    <w:rsid w:val="00D834CD"/>
    <w:rsid w:val="00D83668"/>
    <w:rsid w:val="00D83805"/>
    <w:rsid w:val="00D83AF5"/>
    <w:rsid w:val="00D83D4C"/>
    <w:rsid w:val="00D8417D"/>
    <w:rsid w:val="00D844E6"/>
    <w:rsid w:val="00D84515"/>
    <w:rsid w:val="00D84B45"/>
    <w:rsid w:val="00D854C9"/>
    <w:rsid w:val="00D858F2"/>
    <w:rsid w:val="00D85A1E"/>
    <w:rsid w:val="00D87479"/>
    <w:rsid w:val="00D91297"/>
    <w:rsid w:val="00D91569"/>
    <w:rsid w:val="00D9156F"/>
    <w:rsid w:val="00D91C36"/>
    <w:rsid w:val="00D92193"/>
    <w:rsid w:val="00D9242F"/>
    <w:rsid w:val="00D92568"/>
    <w:rsid w:val="00D925C7"/>
    <w:rsid w:val="00D927D2"/>
    <w:rsid w:val="00D92A8F"/>
    <w:rsid w:val="00D92B43"/>
    <w:rsid w:val="00D92F0D"/>
    <w:rsid w:val="00D93160"/>
    <w:rsid w:val="00D9321A"/>
    <w:rsid w:val="00D936EA"/>
    <w:rsid w:val="00D937D6"/>
    <w:rsid w:val="00D9404B"/>
    <w:rsid w:val="00D941BA"/>
    <w:rsid w:val="00D94296"/>
    <w:rsid w:val="00D943DB"/>
    <w:rsid w:val="00D952AE"/>
    <w:rsid w:val="00D958B0"/>
    <w:rsid w:val="00D9637E"/>
    <w:rsid w:val="00D96CF0"/>
    <w:rsid w:val="00D96D93"/>
    <w:rsid w:val="00D97001"/>
    <w:rsid w:val="00D9760C"/>
    <w:rsid w:val="00D97737"/>
    <w:rsid w:val="00DA00C7"/>
    <w:rsid w:val="00DA02BB"/>
    <w:rsid w:val="00DA034C"/>
    <w:rsid w:val="00DA05B0"/>
    <w:rsid w:val="00DA0C8E"/>
    <w:rsid w:val="00DA159C"/>
    <w:rsid w:val="00DA1EFE"/>
    <w:rsid w:val="00DA21C7"/>
    <w:rsid w:val="00DA2CBC"/>
    <w:rsid w:val="00DA2D64"/>
    <w:rsid w:val="00DA3211"/>
    <w:rsid w:val="00DA323B"/>
    <w:rsid w:val="00DA3679"/>
    <w:rsid w:val="00DA3BBD"/>
    <w:rsid w:val="00DA3FA7"/>
    <w:rsid w:val="00DA469E"/>
    <w:rsid w:val="00DA4C9A"/>
    <w:rsid w:val="00DA52F1"/>
    <w:rsid w:val="00DA53A2"/>
    <w:rsid w:val="00DA5CAC"/>
    <w:rsid w:val="00DA5E1D"/>
    <w:rsid w:val="00DA5E6D"/>
    <w:rsid w:val="00DA644E"/>
    <w:rsid w:val="00DA662B"/>
    <w:rsid w:val="00DA686C"/>
    <w:rsid w:val="00DA6A41"/>
    <w:rsid w:val="00DA74ED"/>
    <w:rsid w:val="00DB03BF"/>
    <w:rsid w:val="00DB05A5"/>
    <w:rsid w:val="00DB0727"/>
    <w:rsid w:val="00DB0A1A"/>
    <w:rsid w:val="00DB129F"/>
    <w:rsid w:val="00DB12B1"/>
    <w:rsid w:val="00DB1398"/>
    <w:rsid w:val="00DB1755"/>
    <w:rsid w:val="00DB1E20"/>
    <w:rsid w:val="00DB26E6"/>
    <w:rsid w:val="00DB2938"/>
    <w:rsid w:val="00DB2E4D"/>
    <w:rsid w:val="00DB338E"/>
    <w:rsid w:val="00DB34A8"/>
    <w:rsid w:val="00DB356C"/>
    <w:rsid w:val="00DB37C3"/>
    <w:rsid w:val="00DB38FE"/>
    <w:rsid w:val="00DB3BC8"/>
    <w:rsid w:val="00DB3CF5"/>
    <w:rsid w:val="00DB3DA5"/>
    <w:rsid w:val="00DB4395"/>
    <w:rsid w:val="00DB48DC"/>
    <w:rsid w:val="00DB5318"/>
    <w:rsid w:val="00DB574C"/>
    <w:rsid w:val="00DB58CD"/>
    <w:rsid w:val="00DB5A8A"/>
    <w:rsid w:val="00DB6118"/>
    <w:rsid w:val="00DB6195"/>
    <w:rsid w:val="00DB664E"/>
    <w:rsid w:val="00DB6ABE"/>
    <w:rsid w:val="00DB6C2C"/>
    <w:rsid w:val="00DB6FCB"/>
    <w:rsid w:val="00DB721A"/>
    <w:rsid w:val="00DB737C"/>
    <w:rsid w:val="00DB73EA"/>
    <w:rsid w:val="00DB7AE4"/>
    <w:rsid w:val="00DB7CC6"/>
    <w:rsid w:val="00DB7D4F"/>
    <w:rsid w:val="00DC0632"/>
    <w:rsid w:val="00DC1752"/>
    <w:rsid w:val="00DC1B9C"/>
    <w:rsid w:val="00DC257A"/>
    <w:rsid w:val="00DC27A9"/>
    <w:rsid w:val="00DC2A54"/>
    <w:rsid w:val="00DC3898"/>
    <w:rsid w:val="00DC38A5"/>
    <w:rsid w:val="00DC38B2"/>
    <w:rsid w:val="00DC3911"/>
    <w:rsid w:val="00DC39D8"/>
    <w:rsid w:val="00DC3A28"/>
    <w:rsid w:val="00DC3F0C"/>
    <w:rsid w:val="00DC3FA3"/>
    <w:rsid w:val="00DC43D0"/>
    <w:rsid w:val="00DC4488"/>
    <w:rsid w:val="00DC4782"/>
    <w:rsid w:val="00DC4803"/>
    <w:rsid w:val="00DC48AD"/>
    <w:rsid w:val="00DC4B32"/>
    <w:rsid w:val="00DC4FE7"/>
    <w:rsid w:val="00DC516D"/>
    <w:rsid w:val="00DC5772"/>
    <w:rsid w:val="00DC6244"/>
    <w:rsid w:val="00DC65A1"/>
    <w:rsid w:val="00DC6CCB"/>
    <w:rsid w:val="00DC7E36"/>
    <w:rsid w:val="00DD0598"/>
    <w:rsid w:val="00DD0E28"/>
    <w:rsid w:val="00DD0FC4"/>
    <w:rsid w:val="00DD1F51"/>
    <w:rsid w:val="00DD2021"/>
    <w:rsid w:val="00DD20E2"/>
    <w:rsid w:val="00DD2440"/>
    <w:rsid w:val="00DD25C3"/>
    <w:rsid w:val="00DD25CB"/>
    <w:rsid w:val="00DD2EED"/>
    <w:rsid w:val="00DD32AE"/>
    <w:rsid w:val="00DD32E9"/>
    <w:rsid w:val="00DD3338"/>
    <w:rsid w:val="00DD351C"/>
    <w:rsid w:val="00DD3705"/>
    <w:rsid w:val="00DD3927"/>
    <w:rsid w:val="00DD39A9"/>
    <w:rsid w:val="00DD3BB3"/>
    <w:rsid w:val="00DD3BEE"/>
    <w:rsid w:val="00DD5240"/>
    <w:rsid w:val="00DD55CD"/>
    <w:rsid w:val="00DD564C"/>
    <w:rsid w:val="00DD5B45"/>
    <w:rsid w:val="00DD609F"/>
    <w:rsid w:val="00DD66F4"/>
    <w:rsid w:val="00DD6DAE"/>
    <w:rsid w:val="00DD700B"/>
    <w:rsid w:val="00DD7641"/>
    <w:rsid w:val="00DD776C"/>
    <w:rsid w:val="00DD7C48"/>
    <w:rsid w:val="00DE0161"/>
    <w:rsid w:val="00DE01B2"/>
    <w:rsid w:val="00DE025C"/>
    <w:rsid w:val="00DE06AA"/>
    <w:rsid w:val="00DE0CBD"/>
    <w:rsid w:val="00DE25BE"/>
    <w:rsid w:val="00DE29E2"/>
    <w:rsid w:val="00DE2A2B"/>
    <w:rsid w:val="00DE347F"/>
    <w:rsid w:val="00DE3522"/>
    <w:rsid w:val="00DE3CA5"/>
    <w:rsid w:val="00DE4143"/>
    <w:rsid w:val="00DE41C1"/>
    <w:rsid w:val="00DE48AD"/>
    <w:rsid w:val="00DE4C3D"/>
    <w:rsid w:val="00DE4E16"/>
    <w:rsid w:val="00DE4FCC"/>
    <w:rsid w:val="00DE5FAA"/>
    <w:rsid w:val="00DE5FB1"/>
    <w:rsid w:val="00DE6019"/>
    <w:rsid w:val="00DE61C0"/>
    <w:rsid w:val="00DE6391"/>
    <w:rsid w:val="00DE64BE"/>
    <w:rsid w:val="00DE6740"/>
    <w:rsid w:val="00DE6E4D"/>
    <w:rsid w:val="00DE73E8"/>
    <w:rsid w:val="00DE74FE"/>
    <w:rsid w:val="00DE7549"/>
    <w:rsid w:val="00DE75C4"/>
    <w:rsid w:val="00DE7631"/>
    <w:rsid w:val="00DE7DCC"/>
    <w:rsid w:val="00DE7F66"/>
    <w:rsid w:val="00DF0ED4"/>
    <w:rsid w:val="00DF13B7"/>
    <w:rsid w:val="00DF14C8"/>
    <w:rsid w:val="00DF1545"/>
    <w:rsid w:val="00DF15EC"/>
    <w:rsid w:val="00DF19DA"/>
    <w:rsid w:val="00DF1BDC"/>
    <w:rsid w:val="00DF1EDA"/>
    <w:rsid w:val="00DF1F98"/>
    <w:rsid w:val="00DF2101"/>
    <w:rsid w:val="00DF218F"/>
    <w:rsid w:val="00DF2EE1"/>
    <w:rsid w:val="00DF3326"/>
    <w:rsid w:val="00DF35C3"/>
    <w:rsid w:val="00DF38DF"/>
    <w:rsid w:val="00DF3CFB"/>
    <w:rsid w:val="00DF4A08"/>
    <w:rsid w:val="00DF4DF2"/>
    <w:rsid w:val="00DF5783"/>
    <w:rsid w:val="00DF5B4E"/>
    <w:rsid w:val="00DF5B7A"/>
    <w:rsid w:val="00DF5D3F"/>
    <w:rsid w:val="00DF62AB"/>
    <w:rsid w:val="00DF6F52"/>
    <w:rsid w:val="00DF7155"/>
    <w:rsid w:val="00DF75B7"/>
    <w:rsid w:val="00DF7AF4"/>
    <w:rsid w:val="00DF7F5E"/>
    <w:rsid w:val="00E00163"/>
    <w:rsid w:val="00E008BC"/>
    <w:rsid w:val="00E009CD"/>
    <w:rsid w:val="00E01103"/>
    <w:rsid w:val="00E0146D"/>
    <w:rsid w:val="00E01680"/>
    <w:rsid w:val="00E01C6E"/>
    <w:rsid w:val="00E01F45"/>
    <w:rsid w:val="00E02359"/>
    <w:rsid w:val="00E02515"/>
    <w:rsid w:val="00E02CB0"/>
    <w:rsid w:val="00E03800"/>
    <w:rsid w:val="00E03BE5"/>
    <w:rsid w:val="00E03E6D"/>
    <w:rsid w:val="00E046B3"/>
    <w:rsid w:val="00E04A68"/>
    <w:rsid w:val="00E04A6F"/>
    <w:rsid w:val="00E05286"/>
    <w:rsid w:val="00E05400"/>
    <w:rsid w:val="00E06235"/>
    <w:rsid w:val="00E069D4"/>
    <w:rsid w:val="00E07B57"/>
    <w:rsid w:val="00E07E70"/>
    <w:rsid w:val="00E1041E"/>
    <w:rsid w:val="00E10AB8"/>
    <w:rsid w:val="00E11862"/>
    <w:rsid w:val="00E12133"/>
    <w:rsid w:val="00E122A7"/>
    <w:rsid w:val="00E1233A"/>
    <w:rsid w:val="00E12970"/>
    <w:rsid w:val="00E13122"/>
    <w:rsid w:val="00E13EAB"/>
    <w:rsid w:val="00E148DB"/>
    <w:rsid w:val="00E14AD1"/>
    <w:rsid w:val="00E15558"/>
    <w:rsid w:val="00E15832"/>
    <w:rsid w:val="00E15B50"/>
    <w:rsid w:val="00E172EB"/>
    <w:rsid w:val="00E17C3D"/>
    <w:rsid w:val="00E20228"/>
    <w:rsid w:val="00E2035E"/>
    <w:rsid w:val="00E2037D"/>
    <w:rsid w:val="00E205E7"/>
    <w:rsid w:val="00E2076F"/>
    <w:rsid w:val="00E20A5B"/>
    <w:rsid w:val="00E21CCC"/>
    <w:rsid w:val="00E22AE1"/>
    <w:rsid w:val="00E22BBF"/>
    <w:rsid w:val="00E22FF2"/>
    <w:rsid w:val="00E23070"/>
    <w:rsid w:val="00E230A1"/>
    <w:rsid w:val="00E24A87"/>
    <w:rsid w:val="00E24D42"/>
    <w:rsid w:val="00E24F71"/>
    <w:rsid w:val="00E25694"/>
    <w:rsid w:val="00E25918"/>
    <w:rsid w:val="00E25DB4"/>
    <w:rsid w:val="00E2649B"/>
    <w:rsid w:val="00E2655A"/>
    <w:rsid w:val="00E268F2"/>
    <w:rsid w:val="00E26B74"/>
    <w:rsid w:val="00E27677"/>
    <w:rsid w:val="00E27879"/>
    <w:rsid w:val="00E278A7"/>
    <w:rsid w:val="00E27F7D"/>
    <w:rsid w:val="00E300B0"/>
    <w:rsid w:val="00E30692"/>
    <w:rsid w:val="00E30732"/>
    <w:rsid w:val="00E30948"/>
    <w:rsid w:val="00E30A47"/>
    <w:rsid w:val="00E30B6A"/>
    <w:rsid w:val="00E30C04"/>
    <w:rsid w:val="00E322AB"/>
    <w:rsid w:val="00E32372"/>
    <w:rsid w:val="00E32419"/>
    <w:rsid w:val="00E32BD3"/>
    <w:rsid w:val="00E32D57"/>
    <w:rsid w:val="00E32E4A"/>
    <w:rsid w:val="00E33057"/>
    <w:rsid w:val="00E3363C"/>
    <w:rsid w:val="00E33660"/>
    <w:rsid w:val="00E33779"/>
    <w:rsid w:val="00E337CE"/>
    <w:rsid w:val="00E33C48"/>
    <w:rsid w:val="00E33D22"/>
    <w:rsid w:val="00E34218"/>
    <w:rsid w:val="00E342EC"/>
    <w:rsid w:val="00E34395"/>
    <w:rsid w:val="00E344DC"/>
    <w:rsid w:val="00E35075"/>
    <w:rsid w:val="00E35815"/>
    <w:rsid w:val="00E35853"/>
    <w:rsid w:val="00E35A2C"/>
    <w:rsid w:val="00E36157"/>
    <w:rsid w:val="00E361B7"/>
    <w:rsid w:val="00E36682"/>
    <w:rsid w:val="00E369E1"/>
    <w:rsid w:val="00E36F60"/>
    <w:rsid w:val="00E374D3"/>
    <w:rsid w:val="00E37881"/>
    <w:rsid w:val="00E37909"/>
    <w:rsid w:val="00E40556"/>
    <w:rsid w:val="00E40904"/>
    <w:rsid w:val="00E40EF5"/>
    <w:rsid w:val="00E411B7"/>
    <w:rsid w:val="00E41533"/>
    <w:rsid w:val="00E4168D"/>
    <w:rsid w:val="00E41856"/>
    <w:rsid w:val="00E42332"/>
    <w:rsid w:val="00E425E3"/>
    <w:rsid w:val="00E4319D"/>
    <w:rsid w:val="00E437AE"/>
    <w:rsid w:val="00E43846"/>
    <w:rsid w:val="00E444C9"/>
    <w:rsid w:val="00E44567"/>
    <w:rsid w:val="00E445C2"/>
    <w:rsid w:val="00E4461C"/>
    <w:rsid w:val="00E44B40"/>
    <w:rsid w:val="00E44DB1"/>
    <w:rsid w:val="00E45433"/>
    <w:rsid w:val="00E4552B"/>
    <w:rsid w:val="00E45808"/>
    <w:rsid w:val="00E45842"/>
    <w:rsid w:val="00E45CF4"/>
    <w:rsid w:val="00E45DA4"/>
    <w:rsid w:val="00E46296"/>
    <w:rsid w:val="00E466B4"/>
    <w:rsid w:val="00E4732D"/>
    <w:rsid w:val="00E50067"/>
    <w:rsid w:val="00E504AF"/>
    <w:rsid w:val="00E50797"/>
    <w:rsid w:val="00E50910"/>
    <w:rsid w:val="00E50B94"/>
    <w:rsid w:val="00E50FA8"/>
    <w:rsid w:val="00E51767"/>
    <w:rsid w:val="00E51BB9"/>
    <w:rsid w:val="00E51D1B"/>
    <w:rsid w:val="00E5207F"/>
    <w:rsid w:val="00E52303"/>
    <w:rsid w:val="00E52C23"/>
    <w:rsid w:val="00E52FAC"/>
    <w:rsid w:val="00E535F4"/>
    <w:rsid w:val="00E53A9C"/>
    <w:rsid w:val="00E53E52"/>
    <w:rsid w:val="00E53F77"/>
    <w:rsid w:val="00E5422F"/>
    <w:rsid w:val="00E548E2"/>
    <w:rsid w:val="00E5540D"/>
    <w:rsid w:val="00E55742"/>
    <w:rsid w:val="00E55BB4"/>
    <w:rsid w:val="00E55D79"/>
    <w:rsid w:val="00E5633E"/>
    <w:rsid w:val="00E56444"/>
    <w:rsid w:val="00E564D1"/>
    <w:rsid w:val="00E56883"/>
    <w:rsid w:val="00E56E8B"/>
    <w:rsid w:val="00E57051"/>
    <w:rsid w:val="00E574ED"/>
    <w:rsid w:val="00E57C96"/>
    <w:rsid w:val="00E57CD4"/>
    <w:rsid w:val="00E57DF1"/>
    <w:rsid w:val="00E605BE"/>
    <w:rsid w:val="00E60A46"/>
    <w:rsid w:val="00E60D9B"/>
    <w:rsid w:val="00E615B5"/>
    <w:rsid w:val="00E6226D"/>
    <w:rsid w:val="00E6245B"/>
    <w:rsid w:val="00E62732"/>
    <w:rsid w:val="00E627FA"/>
    <w:rsid w:val="00E62A1B"/>
    <w:rsid w:val="00E62BA6"/>
    <w:rsid w:val="00E63018"/>
    <w:rsid w:val="00E636D8"/>
    <w:rsid w:val="00E638FE"/>
    <w:rsid w:val="00E63C21"/>
    <w:rsid w:val="00E63D71"/>
    <w:rsid w:val="00E63E2A"/>
    <w:rsid w:val="00E6417E"/>
    <w:rsid w:val="00E64568"/>
    <w:rsid w:val="00E645F5"/>
    <w:rsid w:val="00E64A1E"/>
    <w:rsid w:val="00E64D9B"/>
    <w:rsid w:val="00E65318"/>
    <w:rsid w:val="00E65671"/>
    <w:rsid w:val="00E659BD"/>
    <w:rsid w:val="00E65FF8"/>
    <w:rsid w:val="00E660D1"/>
    <w:rsid w:val="00E6695E"/>
    <w:rsid w:val="00E673FF"/>
    <w:rsid w:val="00E67600"/>
    <w:rsid w:val="00E677E3"/>
    <w:rsid w:val="00E67E78"/>
    <w:rsid w:val="00E67EDA"/>
    <w:rsid w:val="00E7056D"/>
    <w:rsid w:val="00E70849"/>
    <w:rsid w:val="00E71594"/>
    <w:rsid w:val="00E7163A"/>
    <w:rsid w:val="00E73B07"/>
    <w:rsid w:val="00E73B6A"/>
    <w:rsid w:val="00E74151"/>
    <w:rsid w:val="00E7426F"/>
    <w:rsid w:val="00E745B7"/>
    <w:rsid w:val="00E75166"/>
    <w:rsid w:val="00E75190"/>
    <w:rsid w:val="00E7550D"/>
    <w:rsid w:val="00E75B07"/>
    <w:rsid w:val="00E75B52"/>
    <w:rsid w:val="00E760C4"/>
    <w:rsid w:val="00E77656"/>
    <w:rsid w:val="00E77B10"/>
    <w:rsid w:val="00E77C25"/>
    <w:rsid w:val="00E80AC3"/>
    <w:rsid w:val="00E80AF1"/>
    <w:rsid w:val="00E826F4"/>
    <w:rsid w:val="00E82812"/>
    <w:rsid w:val="00E82B60"/>
    <w:rsid w:val="00E832AF"/>
    <w:rsid w:val="00E8361D"/>
    <w:rsid w:val="00E8384E"/>
    <w:rsid w:val="00E8399D"/>
    <w:rsid w:val="00E83AB1"/>
    <w:rsid w:val="00E84353"/>
    <w:rsid w:val="00E843B1"/>
    <w:rsid w:val="00E8481E"/>
    <w:rsid w:val="00E84FB7"/>
    <w:rsid w:val="00E85430"/>
    <w:rsid w:val="00E854B3"/>
    <w:rsid w:val="00E85820"/>
    <w:rsid w:val="00E85BED"/>
    <w:rsid w:val="00E85F5C"/>
    <w:rsid w:val="00E86511"/>
    <w:rsid w:val="00E86630"/>
    <w:rsid w:val="00E866D3"/>
    <w:rsid w:val="00E86960"/>
    <w:rsid w:val="00E869BD"/>
    <w:rsid w:val="00E86A2A"/>
    <w:rsid w:val="00E86A9B"/>
    <w:rsid w:val="00E9039E"/>
    <w:rsid w:val="00E906B9"/>
    <w:rsid w:val="00E908DA"/>
    <w:rsid w:val="00E90FF2"/>
    <w:rsid w:val="00E914EE"/>
    <w:rsid w:val="00E91512"/>
    <w:rsid w:val="00E91572"/>
    <w:rsid w:val="00E91A9F"/>
    <w:rsid w:val="00E92A0F"/>
    <w:rsid w:val="00E92CBC"/>
    <w:rsid w:val="00E93481"/>
    <w:rsid w:val="00E9387E"/>
    <w:rsid w:val="00E9565C"/>
    <w:rsid w:val="00E9599E"/>
    <w:rsid w:val="00E95C6E"/>
    <w:rsid w:val="00E96882"/>
    <w:rsid w:val="00E9698A"/>
    <w:rsid w:val="00E96BD4"/>
    <w:rsid w:val="00E96C21"/>
    <w:rsid w:val="00E96D52"/>
    <w:rsid w:val="00E97FBD"/>
    <w:rsid w:val="00EA026F"/>
    <w:rsid w:val="00EA02DD"/>
    <w:rsid w:val="00EA05B3"/>
    <w:rsid w:val="00EA0CD9"/>
    <w:rsid w:val="00EA12B6"/>
    <w:rsid w:val="00EA12CE"/>
    <w:rsid w:val="00EA1B4D"/>
    <w:rsid w:val="00EA1C22"/>
    <w:rsid w:val="00EA23D8"/>
    <w:rsid w:val="00EA2757"/>
    <w:rsid w:val="00EA285F"/>
    <w:rsid w:val="00EA286D"/>
    <w:rsid w:val="00EA2978"/>
    <w:rsid w:val="00EA2EB7"/>
    <w:rsid w:val="00EA39B0"/>
    <w:rsid w:val="00EA3D1B"/>
    <w:rsid w:val="00EA3E12"/>
    <w:rsid w:val="00EA444B"/>
    <w:rsid w:val="00EA486D"/>
    <w:rsid w:val="00EA4A6B"/>
    <w:rsid w:val="00EA50D7"/>
    <w:rsid w:val="00EA584D"/>
    <w:rsid w:val="00EA59BD"/>
    <w:rsid w:val="00EA5F24"/>
    <w:rsid w:val="00EA60D8"/>
    <w:rsid w:val="00EA65A5"/>
    <w:rsid w:val="00EA69C8"/>
    <w:rsid w:val="00EA6AD1"/>
    <w:rsid w:val="00EA6B66"/>
    <w:rsid w:val="00EA6BE6"/>
    <w:rsid w:val="00EA72FB"/>
    <w:rsid w:val="00EA7377"/>
    <w:rsid w:val="00EA7499"/>
    <w:rsid w:val="00EA76E5"/>
    <w:rsid w:val="00EA79AB"/>
    <w:rsid w:val="00EA79AE"/>
    <w:rsid w:val="00EA7C67"/>
    <w:rsid w:val="00EA7E9A"/>
    <w:rsid w:val="00EA7EE9"/>
    <w:rsid w:val="00EB005A"/>
    <w:rsid w:val="00EB10A0"/>
    <w:rsid w:val="00EB1503"/>
    <w:rsid w:val="00EB174F"/>
    <w:rsid w:val="00EB1998"/>
    <w:rsid w:val="00EB1B15"/>
    <w:rsid w:val="00EB1D14"/>
    <w:rsid w:val="00EB23DE"/>
    <w:rsid w:val="00EB27ED"/>
    <w:rsid w:val="00EB2836"/>
    <w:rsid w:val="00EB2D3E"/>
    <w:rsid w:val="00EB453D"/>
    <w:rsid w:val="00EB4C08"/>
    <w:rsid w:val="00EB5135"/>
    <w:rsid w:val="00EB601B"/>
    <w:rsid w:val="00EB727A"/>
    <w:rsid w:val="00EC0D8F"/>
    <w:rsid w:val="00EC0DFB"/>
    <w:rsid w:val="00EC10BE"/>
    <w:rsid w:val="00EC10FC"/>
    <w:rsid w:val="00EC110C"/>
    <w:rsid w:val="00EC17DC"/>
    <w:rsid w:val="00EC1DDD"/>
    <w:rsid w:val="00EC245E"/>
    <w:rsid w:val="00EC2753"/>
    <w:rsid w:val="00EC2A60"/>
    <w:rsid w:val="00EC2C4D"/>
    <w:rsid w:val="00EC2F2A"/>
    <w:rsid w:val="00EC31D3"/>
    <w:rsid w:val="00EC35C5"/>
    <w:rsid w:val="00EC368F"/>
    <w:rsid w:val="00EC406D"/>
    <w:rsid w:val="00EC444C"/>
    <w:rsid w:val="00EC460C"/>
    <w:rsid w:val="00EC4A4D"/>
    <w:rsid w:val="00EC503C"/>
    <w:rsid w:val="00EC58CF"/>
    <w:rsid w:val="00EC5C30"/>
    <w:rsid w:val="00EC5CAE"/>
    <w:rsid w:val="00EC5D29"/>
    <w:rsid w:val="00EC6018"/>
    <w:rsid w:val="00EC603D"/>
    <w:rsid w:val="00EC60C1"/>
    <w:rsid w:val="00EC616A"/>
    <w:rsid w:val="00EC62C9"/>
    <w:rsid w:val="00EC645D"/>
    <w:rsid w:val="00EC649B"/>
    <w:rsid w:val="00EC66B8"/>
    <w:rsid w:val="00EC686D"/>
    <w:rsid w:val="00EC6B9E"/>
    <w:rsid w:val="00EC71F9"/>
    <w:rsid w:val="00EC73D0"/>
    <w:rsid w:val="00EC7755"/>
    <w:rsid w:val="00ED0048"/>
    <w:rsid w:val="00ED0648"/>
    <w:rsid w:val="00ED06A7"/>
    <w:rsid w:val="00ED0C4F"/>
    <w:rsid w:val="00ED0E80"/>
    <w:rsid w:val="00ED0EA5"/>
    <w:rsid w:val="00ED18FB"/>
    <w:rsid w:val="00ED19FC"/>
    <w:rsid w:val="00ED1A2C"/>
    <w:rsid w:val="00ED1B1F"/>
    <w:rsid w:val="00ED1C59"/>
    <w:rsid w:val="00ED1FCD"/>
    <w:rsid w:val="00ED2417"/>
    <w:rsid w:val="00ED2D6C"/>
    <w:rsid w:val="00ED2FAD"/>
    <w:rsid w:val="00ED3118"/>
    <w:rsid w:val="00ED3319"/>
    <w:rsid w:val="00ED373E"/>
    <w:rsid w:val="00ED3A47"/>
    <w:rsid w:val="00ED3AC7"/>
    <w:rsid w:val="00ED3B4A"/>
    <w:rsid w:val="00ED3B52"/>
    <w:rsid w:val="00ED3E55"/>
    <w:rsid w:val="00ED3F68"/>
    <w:rsid w:val="00ED40E9"/>
    <w:rsid w:val="00ED4694"/>
    <w:rsid w:val="00ED4C13"/>
    <w:rsid w:val="00ED528C"/>
    <w:rsid w:val="00ED5B0B"/>
    <w:rsid w:val="00ED5F14"/>
    <w:rsid w:val="00ED62C6"/>
    <w:rsid w:val="00ED62D2"/>
    <w:rsid w:val="00ED6458"/>
    <w:rsid w:val="00ED6501"/>
    <w:rsid w:val="00ED66BE"/>
    <w:rsid w:val="00ED68A3"/>
    <w:rsid w:val="00ED690A"/>
    <w:rsid w:val="00ED6C60"/>
    <w:rsid w:val="00ED6EBD"/>
    <w:rsid w:val="00ED6EDB"/>
    <w:rsid w:val="00ED742C"/>
    <w:rsid w:val="00ED7F30"/>
    <w:rsid w:val="00EE1395"/>
    <w:rsid w:val="00EE1686"/>
    <w:rsid w:val="00EE1D54"/>
    <w:rsid w:val="00EE219E"/>
    <w:rsid w:val="00EE2632"/>
    <w:rsid w:val="00EE2908"/>
    <w:rsid w:val="00EE2B41"/>
    <w:rsid w:val="00EE2D6E"/>
    <w:rsid w:val="00EE4054"/>
    <w:rsid w:val="00EE48DD"/>
    <w:rsid w:val="00EE49EC"/>
    <w:rsid w:val="00EE4BE7"/>
    <w:rsid w:val="00EE5E88"/>
    <w:rsid w:val="00EE6079"/>
    <w:rsid w:val="00EE6FBC"/>
    <w:rsid w:val="00EE6FEF"/>
    <w:rsid w:val="00EE701C"/>
    <w:rsid w:val="00EE70C2"/>
    <w:rsid w:val="00EE72D8"/>
    <w:rsid w:val="00EE75FA"/>
    <w:rsid w:val="00EE76E6"/>
    <w:rsid w:val="00EE7811"/>
    <w:rsid w:val="00EE7A82"/>
    <w:rsid w:val="00EE7B4E"/>
    <w:rsid w:val="00EE7BFA"/>
    <w:rsid w:val="00EF01D6"/>
    <w:rsid w:val="00EF0547"/>
    <w:rsid w:val="00EF0A0A"/>
    <w:rsid w:val="00EF0CA0"/>
    <w:rsid w:val="00EF0D39"/>
    <w:rsid w:val="00EF124B"/>
    <w:rsid w:val="00EF1347"/>
    <w:rsid w:val="00EF135F"/>
    <w:rsid w:val="00EF16F8"/>
    <w:rsid w:val="00EF1859"/>
    <w:rsid w:val="00EF1932"/>
    <w:rsid w:val="00EF1942"/>
    <w:rsid w:val="00EF1C3A"/>
    <w:rsid w:val="00EF1DFE"/>
    <w:rsid w:val="00EF2254"/>
    <w:rsid w:val="00EF269D"/>
    <w:rsid w:val="00EF26B8"/>
    <w:rsid w:val="00EF2929"/>
    <w:rsid w:val="00EF2C46"/>
    <w:rsid w:val="00EF2E4B"/>
    <w:rsid w:val="00EF38B7"/>
    <w:rsid w:val="00EF3C3D"/>
    <w:rsid w:val="00EF413C"/>
    <w:rsid w:val="00EF447A"/>
    <w:rsid w:val="00EF4703"/>
    <w:rsid w:val="00EF4DC9"/>
    <w:rsid w:val="00EF5388"/>
    <w:rsid w:val="00EF57CF"/>
    <w:rsid w:val="00EF5A02"/>
    <w:rsid w:val="00EF66E0"/>
    <w:rsid w:val="00EF6A92"/>
    <w:rsid w:val="00EF6FF5"/>
    <w:rsid w:val="00EF7201"/>
    <w:rsid w:val="00EF72F5"/>
    <w:rsid w:val="00EF744D"/>
    <w:rsid w:val="00EF750D"/>
    <w:rsid w:val="00EF78A0"/>
    <w:rsid w:val="00EF78EE"/>
    <w:rsid w:val="00EF7BD3"/>
    <w:rsid w:val="00EF7C89"/>
    <w:rsid w:val="00EF7F7A"/>
    <w:rsid w:val="00F0003A"/>
    <w:rsid w:val="00F004BA"/>
    <w:rsid w:val="00F00A5A"/>
    <w:rsid w:val="00F00D12"/>
    <w:rsid w:val="00F00E15"/>
    <w:rsid w:val="00F010D3"/>
    <w:rsid w:val="00F017BE"/>
    <w:rsid w:val="00F02182"/>
    <w:rsid w:val="00F0225A"/>
    <w:rsid w:val="00F02279"/>
    <w:rsid w:val="00F022A5"/>
    <w:rsid w:val="00F024F4"/>
    <w:rsid w:val="00F02A64"/>
    <w:rsid w:val="00F035D7"/>
    <w:rsid w:val="00F0386B"/>
    <w:rsid w:val="00F03C5F"/>
    <w:rsid w:val="00F04353"/>
    <w:rsid w:val="00F043B0"/>
    <w:rsid w:val="00F04C70"/>
    <w:rsid w:val="00F05020"/>
    <w:rsid w:val="00F0521F"/>
    <w:rsid w:val="00F0566B"/>
    <w:rsid w:val="00F05C02"/>
    <w:rsid w:val="00F064FE"/>
    <w:rsid w:val="00F06500"/>
    <w:rsid w:val="00F068B9"/>
    <w:rsid w:val="00F07418"/>
    <w:rsid w:val="00F07C5C"/>
    <w:rsid w:val="00F07EA6"/>
    <w:rsid w:val="00F07F5A"/>
    <w:rsid w:val="00F105FC"/>
    <w:rsid w:val="00F107DC"/>
    <w:rsid w:val="00F10CB3"/>
    <w:rsid w:val="00F11101"/>
    <w:rsid w:val="00F1144E"/>
    <w:rsid w:val="00F115FF"/>
    <w:rsid w:val="00F1176A"/>
    <w:rsid w:val="00F1192B"/>
    <w:rsid w:val="00F119A0"/>
    <w:rsid w:val="00F11B4B"/>
    <w:rsid w:val="00F12674"/>
    <w:rsid w:val="00F1280E"/>
    <w:rsid w:val="00F1318E"/>
    <w:rsid w:val="00F133AE"/>
    <w:rsid w:val="00F142DB"/>
    <w:rsid w:val="00F149EE"/>
    <w:rsid w:val="00F14A79"/>
    <w:rsid w:val="00F14E33"/>
    <w:rsid w:val="00F15520"/>
    <w:rsid w:val="00F15775"/>
    <w:rsid w:val="00F17B62"/>
    <w:rsid w:val="00F17C80"/>
    <w:rsid w:val="00F17F75"/>
    <w:rsid w:val="00F17FB4"/>
    <w:rsid w:val="00F2033B"/>
    <w:rsid w:val="00F2071A"/>
    <w:rsid w:val="00F2111C"/>
    <w:rsid w:val="00F21257"/>
    <w:rsid w:val="00F2129F"/>
    <w:rsid w:val="00F21336"/>
    <w:rsid w:val="00F217BA"/>
    <w:rsid w:val="00F2180B"/>
    <w:rsid w:val="00F21BA6"/>
    <w:rsid w:val="00F22158"/>
    <w:rsid w:val="00F22254"/>
    <w:rsid w:val="00F227B2"/>
    <w:rsid w:val="00F22D2B"/>
    <w:rsid w:val="00F22DD8"/>
    <w:rsid w:val="00F22E9D"/>
    <w:rsid w:val="00F234A3"/>
    <w:rsid w:val="00F23B06"/>
    <w:rsid w:val="00F23BB2"/>
    <w:rsid w:val="00F23D13"/>
    <w:rsid w:val="00F23E78"/>
    <w:rsid w:val="00F23FEB"/>
    <w:rsid w:val="00F25304"/>
    <w:rsid w:val="00F25621"/>
    <w:rsid w:val="00F25DD8"/>
    <w:rsid w:val="00F26556"/>
    <w:rsid w:val="00F26ABA"/>
    <w:rsid w:val="00F26CF8"/>
    <w:rsid w:val="00F27448"/>
    <w:rsid w:val="00F27535"/>
    <w:rsid w:val="00F27A93"/>
    <w:rsid w:val="00F27E40"/>
    <w:rsid w:val="00F27F80"/>
    <w:rsid w:val="00F300B3"/>
    <w:rsid w:val="00F3040D"/>
    <w:rsid w:val="00F31353"/>
    <w:rsid w:val="00F31387"/>
    <w:rsid w:val="00F31552"/>
    <w:rsid w:val="00F315DB"/>
    <w:rsid w:val="00F31DDB"/>
    <w:rsid w:val="00F3220E"/>
    <w:rsid w:val="00F32914"/>
    <w:rsid w:val="00F32953"/>
    <w:rsid w:val="00F32EE3"/>
    <w:rsid w:val="00F33164"/>
    <w:rsid w:val="00F33660"/>
    <w:rsid w:val="00F339A1"/>
    <w:rsid w:val="00F33F1D"/>
    <w:rsid w:val="00F34D76"/>
    <w:rsid w:val="00F34EB1"/>
    <w:rsid w:val="00F35122"/>
    <w:rsid w:val="00F351E9"/>
    <w:rsid w:val="00F35561"/>
    <w:rsid w:val="00F35891"/>
    <w:rsid w:val="00F35A10"/>
    <w:rsid w:val="00F3631C"/>
    <w:rsid w:val="00F3639F"/>
    <w:rsid w:val="00F36929"/>
    <w:rsid w:val="00F36E98"/>
    <w:rsid w:val="00F370D2"/>
    <w:rsid w:val="00F37239"/>
    <w:rsid w:val="00F3766E"/>
    <w:rsid w:val="00F37942"/>
    <w:rsid w:val="00F37A2F"/>
    <w:rsid w:val="00F37AA7"/>
    <w:rsid w:val="00F4080D"/>
    <w:rsid w:val="00F408E4"/>
    <w:rsid w:val="00F40912"/>
    <w:rsid w:val="00F41A2B"/>
    <w:rsid w:val="00F41BF5"/>
    <w:rsid w:val="00F42075"/>
    <w:rsid w:val="00F42690"/>
    <w:rsid w:val="00F42A9C"/>
    <w:rsid w:val="00F4306C"/>
    <w:rsid w:val="00F43407"/>
    <w:rsid w:val="00F43C6F"/>
    <w:rsid w:val="00F43CE4"/>
    <w:rsid w:val="00F43FB9"/>
    <w:rsid w:val="00F4454C"/>
    <w:rsid w:val="00F44E53"/>
    <w:rsid w:val="00F44E9A"/>
    <w:rsid w:val="00F44F91"/>
    <w:rsid w:val="00F44FD3"/>
    <w:rsid w:val="00F4533D"/>
    <w:rsid w:val="00F45533"/>
    <w:rsid w:val="00F45C83"/>
    <w:rsid w:val="00F45CAA"/>
    <w:rsid w:val="00F462F0"/>
    <w:rsid w:val="00F46450"/>
    <w:rsid w:val="00F46FAD"/>
    <w:rsid w:val="00F4724F"/>
    <w:rsid w:val="00F47818"/>
    <w:rsid w:val="00F47AF8"/>
    <w:rsid w:val="00F47F24"/>
    <w:rsid w:val="00F50034"/>
    <w:rsid w:val="00F507A8"/>
    <w:rsid w:val="00F508A6"/>
    <w:rsid w:val="00F508D7"/>
    <w:rsid w:val="00F50C2C"/>
    <w:rsid w:val="00F51222"/>
    <w:rsid w:val="00F51464"/>
    <w:rsid w:val="00F515ED"/>
    <w:rsid w:val="00F517A1"/>
    <w:rsid w:val="00F5185D"/>
    <w:rsid w:val="00F519A9"/>
    <w:rsid w:val="00F51BBF"/>
    <w:rsid w:val="00F51D78"/>
    <w:rsid w:val="00F5289B"/>
    <w:rsid w:val="00F52B51"/>
    <w:rsid w:val="00F531B9"/>
    <w:rsid w:val="00F536B9"/>
    <w:rsid w:val="00F53E43"/>
    <w:rsid w:val="00F53F89"/>
    <w:rsid w:val="00F54098"/>
    <w:rsid w:val="00F540C9"/>
    <w:rsid w:val="00F544B4"/>
    <w:rsid w:val="00F5496D"/>
    <w:rsid w:val="00F54B99"/>
    <w:rsid w:val="00F55DBC"/>
    <w:rsid w:val="00F567C7"/>
    <w:rsid w:val="00F56C78"/>
    <w:rsid w:val="00F56CEE"/>
    <w:rsid w:val="00F56D1F"/>
    <w:rsid w:val="00F56DA0"/>
    <w:rsid w:val="00F56E54"/>
    <w:rsid w:val="00F57B3D"/>
    <w:rsid w:val="00F57E33"/>
    <w:rsid w:val="00F6065B"/>
    <w:rsid w:val="00F6073A"/>
    <w:rsid w:val="00F6074C"/>
    <w:rsid w:val="00F607F6"/>
    <w:rsid w:val="00F609BD"/>
    <w:rsid w:val="00F61443"/>
    <w:rsid w:val="00F61BAF"/>
    <w:rsid w:val="00F624D0"/>
    <w:rsid w:val="00F6257D"/>
    <w:rsid w:val="00F626E4"/>
    <w:rsid w:val="00F62766"/>
    <w:rsid w:val="00F62E83"/>
    <w:rsid w:val="00F64337"/>
    <w:rsid w:val="00F643DA"/>
    <w:rsid w:val="00F64A42"/>
    <w:rsid w:val="00F6590F"/>
    <w:rsid w:val="00F65BF4"/>
    <w:rsid w:val="00F65DD9"/>
    <w:rsid w:val="00F6603A"/>
    <w:rsid w:val="00F668EB"/>
    <w:rsid w:val="00F66D82"/>
    <w:rsid w:val="00F66FF3"/>
    <w:rsid w:val="00F672E4"/>
    <w:rsid w:val="00F67A5A"/>
    <w:rsid w:val="00F70328"/>
    <w:rsid w:val="00F70564"/>
    <w:rsid w:val="00F707CA"/>
    <w:rsid w:val="00F70B7F"/>
    <w:rsid w:val="00F7104A"/>
    <w:rsid w:val="00F71989"/>
    <w:rsid w:val="00F71A55"/>
    <w:rsid w:val="00F71F92"/>
    <w:rsid w:val="00F7271F"/>
    <w:rsid w:val="00F7308E"/>
    <w:rsid w:val="00F73693"/>
    <w:rsid w:val="00F73F51"/>
    <w:rsid w:val="00F743C3"/>
    <w:rsid w:val="00F743F3"/>
    <w:rsid w:val="00F748E8"/>
    <w:rsid w:val="00F75849"/>
    <w:rsid w:val="00F76058"/>
    <w:rsid w:val="00F76A3B"/>
    <w:rsid w:val="00F772AE"/>
    <w:rsid w:val="00F77328"/>
    <w:rsid w:val="00F77764"/>
    <w:rsid w:val="00F77C11"/>
    <w:rsid w:val="00F77C27"/>
    <w:rsid w:val="00F77C51"/>
    <w:rsid w:val="00F77EBB"/>
    <w:rsid w:val="00F77FE2"/>
    <w:rsid w:val="00F80159"/>
    <w:rsid w:val="00F804AF"/>
    <w:rsid w:val="00F8089E"/>
    <w:rsid w:val="00F80A6C"/>
    <w:rsid w:val="00F8158C"/>
    <w:rsid w:val="00F82484"/>
    <w:rsid w:val="00F82B16"/>
    <w:rsid w:val="00F82C94"/>
    <w:rsid w:val="00F83098"/>
    <w:rsid w:val="00F830F2"/>
    <w:rsid w:val="00F8326B"/>
    <w:rsid w:val="00F832F4"/>
    <w:rsid w:val="00F83507"/>
    <w:rsid w:val="00F83659"/>
    <w:rsid w:val="00F83C5A"/>
    <w:rsid w:val="00F83FCF"/>
    <w:rsid w:val="00F84122"/>
    <w:rsid w:val="00F842EF"/>
    <w:rsid w:val="00F8451A"/>
    <w:rsid w:val="00F8452A"/>
    <w:rsid w:val="00F84629"/>
    <w:rsid w:val="00F84646"/>
    <w:rsid w:val="00F84A27"/>
    <w:rsid w:val="00F84DD6"/>
    <w:rsid w:val="00F84E06"/>
    <w:rsid w:val="00F84F1C"/>
    <w:rsid w:val="00F85B9F"/>
    <w:rsid w:val="00F8635A"/>
    <w:rsid w:val="00F86BF2"/>
    <w:rsid w:val="00F86D8B"/>
    <w:rsid w:val="00F8712D"/>
    <w:rsid w:val="00F87A7C"/>
    <w:rsid w:val="00F87B9C"/>
    <w:rsid w:val="00F87D1D"/>
    <w:rsid w:val="00F87F68"/>
    <w:rsid w:val="00F90032"/>
    <w:rsid w:val="00F9003B"/>
    <w:rsid w:val="00F90518"/>
    <w:rsid w:val="00F9092F"/>
    <w:rsid w:val="00F9096E"/>
    <w:rsid w:val="00F90A89"/>
    <w:rsid w:val="00F90B86"/>
    <w:rsid w:val="00F90C7E"/>
    <w:rsid w:val="00F91442"/>
    <w:rsid w:val="00F928CC"/>
    <w:rsid w:val="00F92AF9"/>
    <w:rsid w:val="00F92B37"/>
    <w:rsid w:val="00F92EEA"/>
    <w:rsid w:val="00F934D1"/>
    <w:rsid w:val="00F93661"/>
    <w:rsid w:val="00F938E1"/>
    <w:rsid w:val="00F94A9D"/>
    <w:rsid w:val="00F94BAA"/>
    <w:rsid w:val="00F94C0F"/>
    <w:rsid w:val="00F94F65"/>
    <w:rsid w:val="00F953A1"/>
    <w:rsid w:val="00F954B7"/>
    <w:rsid w:val="00F955C6"/>
    <w:rsid w:val="00F9627E"/>
    <w:rsid w:val="00F9629B"/>
    <w:rsid w:val="00F9630B"/>
    <w:rsid w:val="00F965A8"/>
    <w:rsid w:val="00F9693C"/>
    <w:rsid w:val="00F96BED"/>
    <w:rsid w:val="00F96CE8"/>
    <w:rsid w:val="00F97AFA"/>
    <w:rsid w:val="00F97C72"/>
    <w:rsid w:val="00F97D70"/>
    <w:rsid w:val="00FA076C"/>
    <w:rsid w:val="00FA0F3B"/>
    <w:rsid w:val="00FA1CA8"/>
    <w:rsid w:val="00FA1D35"/>
    <w:rsid w:val="00FA1D6E"/>
    <w:rsid w:val="00FA215F"/>
    <w:rsid w:val="00FA25C0"/>
    <w:rsid w:val="00FA2646"/>
    <w:rsid w:val="00FA2A15"/>
    <w:rsid w:val="00FA2AA3"/>
    <w:rsid w:val="00FA321D"/>
    <w:rsid w:val="00FA37D7"/>
    <w:rsid w:val="00FA3905"/>
    <w:rsid w:val="00FA3CFE"/>
    <w:rsid w:val="00FA3FBF"/>
    <w:rsid w:val="00FA3FEE"/>
    <w:rsid w:val="00FA4A08"/>
    <w:rsid w:val="00FA54B4"/>
    <w:rsid w:val="00FA5604"/>
    <w:rsid w:val="00FA58D7"/>
    <w:rsid w:val="00FA5FC0"/>
    <w:rsid w:val="00FA6271"/>
    <w:rsid w:val="00FA65C5"/>
    <w:rsid w:val="00FA66A9"/>
    <w:rsid w:val="00FA6919"/>
    <w:rsid w:val="00FA6939"/>
    <w:rsid w:val="00FA6E0E"/>
    <w:rsid w:val="00FA73C4"/>
    <w:rsid w:val="00FA775F"/>
    <w:rsid w:val="00FA77D4"/>
    <w:rsid w:val="00FA7DA8"/>
    <w:rsid w:val="00FA7E13"/>
    <w:rsid w:val="00FB02B0"/>
    <w:rsid w:val="00FB0CA2"/>
    <w:rsid w:val="00FB0D9C"/>
    <w:rsid w:val="00FB0FC0"/>
    <w:rsid w:val="00FB2125"/>
    <w:rsid w:val="00FB21E6"/>
    <w:rsid w:val="00FB2722"/>
    <w:rsid w:val="00FB2AF1"/>
    <w:rsid w:val="00FB2CDF"/>
    <w:rsid w:val="00FB3133"/>
    <w:rsid w:val="00FB3837"/>
    <w:rsid w:val="00FB3C6F"/>
    <w:rsid w:val="00FB3D87"/>
    <w:rsid w:val="00FB3FCC"/>
    <w:rsid w:val="00FB4453"/>
    <w:rsid w:val="00FB4E27"/>
    <w:rsid w:val="00FB557B"/>
    <w:rsid w:val="00FB55B4"/>
    <w:rsid w:val="00FB57C2"/>
    <w:rsid w:val="00FB5C2D"/>
    <w:rsid w:val="00FB5D60"/>
    <w:rsid w:val="00FB5DCC"/>
    <w:rsid w:val="00FB5FF2"/>
    <w:rsid w:val="00FB63DA"/>
    <w:rsid w:val="00FB6584"/>
    <w:rsid w:val="00FB6C85"/>
    <w:rsid w:val="00FB6EFD"/>
    <w:rsid w:val="00FB7F47"/>
    <w:rsid w:val="00FB7F86"/>
    <w:rsid w:val="00FC0282"/>
    <w:rsid w:val="00FC07C5"/>
    <w:rsid w:val="00FC0CCD"/>
    <w:rsid w:val="00FC1B1F"/>
    <w:rsid w:val="00FC2253"/>
    <w:rsid w:val="00FC25B0"/>
    <w:rsid w:val="00FC2A55"/>
    <w:rsid w:val="00FC3056"/>
    <w:rsid w:val="00FC3204"/>
    <w:rsid w:val="00FC3880"/>
    <w:rsid w:val="00FC3BCA"/>
    <w:rsid w:val="00FC3DB4"/>
    <w:rsid w:val="00FC41CD"/>
    <w:rsid w:val="00FC46F3"/>
    <w:rsid w:val="00FC470D"/>
    <w:rsid w:val="00FC481F"/>
    <w:rsid w:val="00FC56AB"/>
    <w:rsid w:val="00FC5DBA"/>
    <w:rsid w:val="00FC5E59"/>
    <w:rsid w:val="00FC6738"/>
    <w:rsid w:val="00FC6D32"/>
    <w:rsid w:val="00FC6EBB"/>
    <w:rsid w:val="00FC789F"/>
    <w:rsid w:val="00FC78CD"/>
    <w:rsid w:val="00FD0540"/>
    <w:rsid w:val="00FD0776"/>
    <w:rsid w:val="00FD1BAD"/>
    <w:rsid w:val="00FD1E1E"/>
    <w:rsid w:val="00FD21A8"/>
    <w:rsid w:val="00FD2CBE"/>
    <w:rsid w:val="00FD2F9D"/>
    <w:rsid w:val="00FD32BD"/>
    <w:rsid w:val="00FD35CC"/>
    <w:rsid w:val="00FD3934"/>
    <w:rsid w:val="00FD3E44"/>
    <w:rsid w:val="00FD3E7D"/>
    <w:rsid w:val="00FD44EB"/>
    <w:rsid w:val="00FD4836"/>
    <w:rsid w:val="00FD4C73"/>
    <w:rsid w:val="00FD5073"/>
    <w:rsid w:val="00FD5553"/>
    <w:rsid w:val="00FD5E1D"/>
    <w:rsid w:val="00FD5E20"/>
    <w:rsid w:val="00FD609C"/>
    <w:rsid w:val="00FD6311"/>
    <w:rsid w:val="00FD65C6"/>
    <w:rsid w:val="00FD68C6"/>
    <w:rsid w:val="00FD6943"/>
    <w:rsid w:val="00FD699A"/>
    <w:rsid w:val="00FD6A59"/>
    <w:rsid w:val="00FD6AAE"/>
    <w:rsid w:val="00FD6E77"/>
    <w:rsid w:val="00FD73C5"/>
    <w:rsid w:val="00FD7430"/>
    <w:rsid w:val="00FD7B01"/>
    <w:rsid w:val="00FD7D25"/>
    <w:rsid w:val="00FE036D"/>
    <w:rsid w:val="00FE0404"/>
    <w:rsid w:val="00FE0780"/>
    <w:rsid w:val="00FE079A"/>
    <w:rsid w:val="00FE09D0"/>
    <w:rsid w:val="00FE0B9C"/>
    <w:rsid w:val="00FE23F3"/>
    <w:rsid w:val="00FE2505"/>
    <w:rsid w:val="00FE29E2"/>
    <w:rsid w:val="00FE2A06"/>
    <w:rsid w:val="00FE2CEE"/>
    <w:rsid w:val="00FE3332"/>
    <w:rsid w:val="00FE34BB"/>
    <w:rsid w:val="00FE3814"/>
    <w:rsid w:val="00FE3E9B"/>
    <w:rsid w:val="00FE4377"/>
    <w:rsid w:val="00FE4469"/>
    <w:rsid w:val="00FE4B53"/>
    <w:rsid w:val="00FE4BA1"/>
    <w:rsid w:val="00FE4CE1"/>
    <w:rsid w:val="00FE509F"/>
    <w:rsid w:val="00FE54A6"/>
    <w:rsid w:val="00FE54B9"/>
    <w:rsid w:val="00FE5CC5"/>
    <w:rsid w:val="00FE66BF"/>
    <w:rsid w:val="00FE6884"/>
    <w:rsid w:val="00FE6C05"/>
    <w:rsid w:val="00FE6CB3"/>
    <w:rsid w:val="00FE7124"/>
    <w:rsid w:val="00FE7507"/>
    <w:rsid w:val="00FE7A7C"/>
    <w:rsid w:val="00FE7AD6"/>
    <w:rsid w:val="00FF0148"/>
    <w:rsid w:val="00FF0233"/>
    <w:rsid w:val="00FF048D"/>
    <w:rsid w:val="00FF04D7"/>
    <w:rsid w:val="00FF1608"/>
    <w:rsid w:val="00FF22C8"/>
    <w:rsid w:val="00FF2888"/>
    <w:rsid w:val="00FF29AE"/>
    <w:rsid w:val="00FF2A43"/>
    <w:rsid w:val="00FF2DE7"/>
    <w:rsid w:val="00FF3499"/>
    <w:rsid w:val="00FF3CBA"/>
    <w:rsid w:val="00FF40C2"/>
    <w:rsid w:val="00FF4253"/>
    <w:rsid w:val="00FF46BC"/>
    <w:rsid w:val="00FF4DA7"/>
    <w:rsid w:val="00FF4E3D"/>
    <w:rsid w:val="00FF5C32"/>
    <w:rsid w:val="00FF5EF3"/>
    <w:rsid w:val="00FF60E1"/>
    <w:rsid w:val="00FF6513"/>
    <w:rsid w:val="00FF7375"/>
    <w:rsid w:val="00FF7BCD"/>
    <w:rsid w:val="02692983"/>
    <w:rsid w:val="04D57ACB"/>
    <w:rsid w:val="05678E19"/>
    <w:rsid w:val="0862B2D8"/>
    <w:rsid w:val="0911AF71"/>
    <w:rsid w:val="0A384FC7"/>
    <w:rsid w:val="0A9AF306"/>
    <w:rsid w:val="0AF491C4"/>
    <w:rsid w:val="0DB9CED6"/>
    <w:rsid w:val="0ED2AA9E"/>
    <w:rsid w:val="137D95C9"/>
    <w:rsid w:val="16A44E9F"/>
    <w:rsid w:val="16AC22AA"/>
    <w:rsid w:val="17DDC99A"/>
    <w:rsid w:val="1A02A0A2"/>
    <w:rsid w:val="1B1B572E"/>
    <w:rsid w:val="1F9AF888"/>
    <w:rsid w:val="259ABAC6"/>
    <w:rsid w:val="26096BA6"/>
    <w:rsid w:val="274F3ED1"/>
    <w:rsid w:val="2A904668"/>
    <w:rsid w:val="2B989D36"/>
    <w:rsid w:val="2BD16E22"/>
    <w:rsid w:val="2C0C89E5"/>
    <w:rsid w:val="2C2948EF"/>
    <w:rsid w:val="2F7AD084"/>
    <w:rsid w:val="3116A0E5"/>
    <w:rsid w:val="3767E92B"/>
    <w:rsid w:val="3A5CC733"/>
    <w:rsid w:val="3C0721AF"/>
    <w:rsid w:val="3C740259"/>
    <w:rsid w:val="4A55D065"/>
    <w:rsid w:val="4AEC1D4F"/>
    <w:rsid w:val="4AFD233A"/>
    <w:rsid w:val="4C2B61FB"/>
    <w:rsid w:val="4C743CB3"/>
    <w:rsid w:val="538ED1E1"/>
    <w:rsid w:val="56A6213C"/>
    <w:rsid w:val="5CF62D33"/>
    <w:rsid w:val="6033DB25"/>
    <w:rsid w:val="629F66CF"/>
    <w:rsid w:val="63018F87"/>
    <w:rsid w:val="6727CEB8"/>
    <w:rsid w:val="684BC60B"/>
    <w:rsid w:val="6990FFC7"/>
    <w:rsid w:val="6D4083B0"/>
    <w:rsid w:val="6FF13CC3"/>
    <w:rsid w:val="6FFB8521"/>
    <w:rsid w:val="70C4D42C"/>
    <w:rsid w:val="73D714E8"/>
    <w:rsid w:val="7642B75B"/>
    <w:rsid w:val="7679F3B5"/>
    <w:rsid w:val="79712419"/>
    <w:rsid w:val="7BE75F98"/>
    <w:rsid w:val="7CA82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FF89E8ED-6671-417C-81A7-044A73A6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rPr>
      <w:rFonts w:ascii="Verdana" w:hAnsi="Verdana"/>
    </w:rPr>
  </w:style>
  <w:style w:type="paragraph" w:styleId="Heading1">
    <w:name w:val="heading 1"/>
    <w:basedOn w:val="Normal"/>
    <w:next w:val="Normal"/>
    <w:link w:val="Heading1Char"/>
    <w:uiPriority w:val="9"/>
    <w:qFormat/>
    <w:rsid w:val="009A6C8C"/>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33164"/>
    <w:pPr>
      <w:outlineLvl w:val="2"/>
    </w:pPr>
    <w:rPr>
      <w:i/>
      <w:iCs/>
    </w:rPr>
  </w:style>
  <w:style w:type="paragraph" w:styleId="Heading4">
    <w:name w:val="heading 4"/>
    <w:basedOn w:val="Normal"/>
    <w:next w:val="Normal"/>
    <w:link w:val="Heading4Char"/>
    <w:uiPriority w:val="9"/>
    <w:semiHidden/>
    <w:unhideWhenUsed/>
    <w:qFormat/>
    <w:rsid w:val="008C1C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A77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F544B4"/>
    <w:pPr>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hAnsi="Verdana"/>
      <w:i/>
      <w:iCs/>
    </w:rPr>
  </w:style>
  <w:style w:type="paragraph" w:styleId="TOCHeading">
    <w:name w:val="TOC Heading"/>
    <w:basedOn w:val="Heading1"/>
    <w:next w:val="Normal"/>
    <w:uiPriority w:val="39"/>
    <w:unhideWhenUsed/>
    <w:qFormat/>
    <w:rsid w:val="0096056C"/>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BF1EE0"/>
    <w:pPr>
      <w:tabs>
        <w:tab w:val="left" w:pos="880"/>
        <w:tab w:val="right" w:leader="dot" w:pos="9848"/>
      </w:tabs>
      <w:spacing w:after="100"/>
      <w:ind w:left="240"/>
    </w:pPr>
    <w:rPr>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unhideWhenUsed/>
    <w:rsid w:val="000A7CAC"/>
    <w:rPr>
      <w:sz w:val="16"/>
      <w:szCs w:val="16"/>
    </w:rPr>
  </w:style>
  <w:style w:type="paragraph" w:styleId="CommentText">
    <w:name w:val="annotation text"/>
    <w:basedOn w:val="Normal"/>
    <w:link w:val="CommentTextChar"/>
    <w:unhideWhenUsed/>
    <w:rsid w:val="000A7CAC"/>
    <w:pPr>
      <w:spacing w:line="240" w:lineRule="auto"/>
    </w:pPr>
    <w:rPr>
      <w:sz w:val="20"/>
      <w:szCs w:val="20"/>
    </w:rPr>
  </w:style>
  <w:style w:type="character" w:customStyle="1" w:styleId="CommentTextChar">
    <w:name w:val="Comment Text Char"/>
    <w:basedOn w:val="DefaultParagraphFont"/>
    <w:link w:val="CommentText"/>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8A6FD3"/>
    <w:pPr>
      <w:ind w:left="862" w:right="862"/>
    </w:pPr>
    <w:rPr>
      <w:iCs/>
    </w:rPr>
  </w:style>
  <w:style w:type="character" w:customStyle="1" w:styleId="QuoteChar">
    <w:name w:val="Quote Char"/>
    <w:basedOn w:val="DefaultParagraphFont"/>
    <w:link w:val="Quote"/>
    <w:uiPriority w:val="29"/>
    <w:rsid w:val="008A6FD3"/>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1E27B2"/>
    <w:pPr>
      <w:tabs>
        <w:tab w:val="left" w:pos="660"/>
        <w:tab w:val="right" w:leader="dot" w:pos="9848"/>
      </w:tabs>
      <w:spacing w:line="360" w:lineRule="auto"/>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1394A"/>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F544B4"/>
    <w:rPr>
      <w:rFonts w:ascii="Verdana" w:hAnsi="Verdana"/>
    </w:rPr>
  </w:style>
  <w:style w:type="paragraph" w:customStyle="1" w:styleId="Footnote">
    <w:name w:val="Footnote"/>
    <w:basedOn w:val="FootnoteText"/>
    <w:link w:val="FootnoteChar"/>
    <w:qFormat/>
    <w:rsid w:val="00CF29FF"/>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F29FF"/>
    <w:rPr>
      <w:rFonts w:ascii="Verdana" w:eastAsia="Verdana" w:hAnsi="Verdana" w:cs="Verdana"/>
      <w:color w:val="77328A"/>
      <w:sz w:val="16"/>
      <w:szCs w:val="16"/>
      <w:lang w:eastAsia="en-GB"/>
    </w:rPr>
  </w:style>
  <w:style w:type="character" w:styleId="Mention">
    <w:name w:val="Mention"/>
    <w:basedOn w:val="DefaultParagraphFont"/>
    <w:uiPriority w:val="99"/>
    <w:unhideWhenUsed/>
    <w:rsid w:val="00EA60D8"/>
    <w:rPr>
      <w:color w:val="2B579A"/>
      <w:shd w:val="clear" w:color="auto" w:fill="E1DFDD"/>
    </w:rPr>
  </w:style>
  <w:style w:type="character" w:customStyle="1" w:styleId="BasicParagraphChar">
    <w:name w:val="[Basic Paragraph] Char"/>
    <w:basedOn w:val="DefaultParagraphFont"/>
    <w:link w:val="BasicParagraph"/>
    <w:uiPriority w:val="99"/>
    <w:rsid w:val="009A237B"/>
    <w:rPr>
      <w:rFonts w:ascii="MinionPro-Regular" w:hAnsi="MinionPro-Regular" w:cs="MinionPro-Regular"/>
      <w:color w:val="000000"/>
    </w:rPr>
  </w:style>
  <w:style w:type="character" w:customStyle="1" w:styleId="Heading5Char">
    <w:name w:val="Heading 5 Char"/>
    <w:basedOn w:val="DefaultParagraphFont"/>
    <w:link w:val="Heading5"/>
    <w:uiPriority w:val="9"/>
    <w:semiHidden/>
    <w:rsid w:val="00FA77D4"/>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FA77D4"/>
  </w:style>
  <w:style w:type="character" w:customStyle="1" w:styleId="superscript">
    <w:name w:val="superscript"/>
    <w:basedOn w:val="DefaultParagraphFont"/>
    <w:rsid w:val="00FA77D4"/>
  </w:style>
  <w:style w:type="character" w:customStyle="1" w:styleId="eop">
    <w:name w:val="eop"/>
    <w:basedOn w:val="DefaultParagraphFont"/>
    <w:rsid w:val="00FA77D4"/>
  </w:style>
  <w:style w:type="paragraph" w:customStyle="1" w:styleId="SingleTxtG">
    <w:name w:val="_ Single Txt_G"/>
    <w:basedOn w:val="Normal"/>
    <w:link w:val="SingleTxtGChar"/>
    <w:qFormat/>
    <w:rsid w:val="00FA77D4"/>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eastAsia="zh-CN"/>
      <w14:ligatures w14:val="standardContextual"/>
    </w:rPr>
  </w:style>
  <w:style w:type="character" w:customStyle="1" w:styleId="SingleTxtGChar">
    <w:name w:val="_ Single Txt_G Char"/>
    <w:basedOn w:val="DefaultParagraphFont"/>
    <w:link w:val="SingleTxtG"/>
    <w:rsid w:val="00FA77D4"/>
    <w:rPr>
      <w:rFonts w:ascii="Times New Roman" w:eastAsia="SimSun" w:hAnsi="Times New Roman" w:cs="Times New Roman"/>
      <w:sz w:val="20"/>
      <w:szCs w:val="20"/>
      <w:lang w:eastAsia="zh-CN"/>
      <w14:ligatures w14:val="standardContextual"/>
    </w:rPr>
  </w:style>
  <w:style w:type="paragraph" w:customStyle="1" w:styleId="11NumPara">
    <w:name w:val="1.1 Num Para"/>
    <w:basedOn w:val="ListNumber2"/>
    <w:link w:val="11NumParaChar"/>
    <w:qFormat/>
    <w:rsid w:val="00A74216"/>
    <w:pPr>
      <w:numPr>
        <w:ilvl w:val="1"/>
      </w:numPr>
      <w:ind w:left="709" w:hanging="709"/>
    </w:pPr>
    <w:rPr>
      <w:rFonts w:ascii="Calibri" w:hAnsi="Calibri"/>
      <w:kern w:val="2"/>
      <w:sz w:val="28"/>
      <w14:ligatures w14:val="standardContextual"/>
    </w:rPr>
  </w:style>
  <w:style w:type="character" w:customStyle="1" w:styleId="11NumParaChar">
    <w:name w:val="1.1 Num Para Char"/>
    <w:basedOn w:val="DefaultParagraphFont"/>
    <w:link w:val="11NumPara"/>
    <w:rsid w:val="00A74216"/>
    <w:rPr>
      <w:rFonts w:ascii="Calibri" w:eastAsiaTheme="minorHAnsi" w:hAnsi="Calibri"/>
      <w:kern w:val="2"/>
      <w:sz w:val="28"/>
      <w:szCs w:val="22"/>
      <w14:ligatures w14:val="standardContextual"/>
    </w:rPr>
  </w:style>
  <w:style w:type="paragraph" w:styleId="ListNumber2">
    <w:name w:val="List Number 2"/>
    <w:basedOn w:val="Normal"/>
    <w:unhideWhenUsed/>
    <w:rsid w:val="00A74216"/>
    <w:pPr>
      <w:numPr>
        <w:numId w:val="3"/>
      </w:numPr>
      <w:spacing w:line="240" w:lineRule="auto"/>
      <w:contextualSpacing/>
    </w:pPr>
    <w:rPr>
      <w:rFonts w:asciiTheme="minorHAnsi" w:eastAsiaTheme="minorHAnsi" w:hAnsiTheme="minorHAnsi"/>
      <w:sz w:val="22"/>
      <w:szCs w:val="22"/>
    </w:rPr>
  </w:style>
  <w:style w:type="character" w:customStyle="1" w:styleId="Heading4Char">
    <w:name w:val="Heading 4 Char"/>
    <w:basedOn w:val="DefaultParagraphFont"/>
    <w:link w:val="Heading4"/>
    <w:uiPriority w:val="9"/>
    <w:semiHidden/>
    <w:rsid w:val="008C1C18"/>
    <w:rPr>
      <w:rFonts w:asciiTheme="majorHAnsi" w:eastAsiaTheme="majorEastAsia" w:hAnsiTheme="majorHAnsi" w:cstheme="majorBidi"/>
      <w:i/>
      <w:iCs/>
      <w:color w:val="365F91" w:themeColor="accent1" w:themeShade="BF"/>
    </w:rPr>
  </w:style>
  <w:style w:type="character" w:customStyle="1" w:styleId="cf01">
    <w:name w:val="cf01"/>
    <w:basedOn w:val="DefaultParagraphFont"/>
    <w:rsid w:val="008C1C18"/>
    <w:rPr>
      <w:rFonts w:ascii="Segoe UI" w:hAnsi="Segoe UI" w:cs="Segoe UI" w:hint="default"/>
      <w:sz w:val="18"/>
      <w:szCs w:val="18"/>
    </w:rPr>
  </w:style>
  <w:style w:type="numbering" w:customStyle="1" w:styleId="Style1">
    <w:name w:val="Style1"/>
    <w:uiPriority w:val="99"/>
    <w:rsid w:val="00F8452A"/>
    <w:pPr>
      <w:numPr>
        <w:numId w:val="4"/>
      </w:numPr>
    </w:pPr>
  </w:style>
  <w:style w:type="paragraph" w:styleId="NoSpacing">
    <w:name w:val="No Spacing"/>
    <w:uiPriority w:val="1"/>
    <w:qFormat/>
    <w:rsid w:val="00A728A6"/>
    <w:rPr>
      <w:rFonts w:ascii="Verdana" w:hAnsi="Verdana"/>
    </w:rPr>
  </w:style>
  <w:style w:type="paragraph" w:customStyle="1" w:styleId="CommissionJuneHeading">
    <w:name w:val="Commission June Heading"/>
    <w:basedOn w:val="Normal"/>
    <w:rsid w:val="00DA2CBC"/>
    <w:pPr>
      <w:numPr>
        <w:ilvl w:val="1"/>
        <w:numId w:val="5"/>
      </w:numPr>
    </w:pPr>
  </w:style>
  <w:style w:type="numbering" w:customStyle="1" w:styleId="Style2">
    <w:name w:val="Style2"/>
    <w:uiPriority w:val="99"/>
    <w:rsid w:val="00612FEA"/>
    <w:pPr>
      <w:numPr>
        <w:numId w:val="6"/>
      </w:numPr>
    </w:pPr>
  </w:style>
  <w:style w:type="paragraph" w:styleId="IntenseQuote">
    <w:name w:val="Intense Quote"/>
    <w:basedOn w:val="Quote"/>
    <w:next w:val="Normal"/>
    <w:link w:val="IntenseQuoteChar"/>
    <w:uiPriority w:val="30"/>
    <w:qFormat/>
    <w:rsid w:val="00CA6BCE"/>
    <w:pPr>
      <w:spacing w:before="120" w:after="120" w:line="259" w:lineRule="auto"/>
      <w:ind w:left="567" w:right="567"/>
    </w:pPr>
    <w:rPr>
      <w:rFonts w:ascii="Arial" w:eastAsiaTheme="majorEastAsia" w:hAnsi="Arial" w:cs="Arial"/>
      <w:b/>
      <w:bCs/>
      <w:iCs w:val="0"/>
      <w:color w:val="000000" w:themeColor="text1"/>
      <w:kern w:val="2"/>
      <w14:ligatures w14:val="standardContextual"/>
    </w:rPr>
  </w:style>
  <w:style w:type="character" w:customStyle="1" w:styleId="IntenseQuoteChar">
    <w:name w:val="Intense Quote Char"/>
    <w:basedOn w:val="DefaultParagraphFont"/>
    <w:link w:val="IntenseQuote"/>
    <w:uiPriority w:val="30"/>
    <w:rsid w:val="00CA6BCE"/>
    <w:rPr>
      <w:rFonts w:ascii="Arial" w:eastAsiaTheme="majorEastAsia" w:hAnsi="Arial" w:cs="Arial"/>
      <w:b/>
      <w:bCs/>
      <w:color w:val="000000" w:themeColor="text1"/>
      <w:kern w:val="2"/>
      <w14:ligatures w14:val="standardContextual"/>
    </w:rPr>
  </w:style>
  <w:style w:type="paragraph" w:styleId="BodyText">
    <w:name w:val="Body Text"/>
    <w:basedOn w:val="Normal"/>
    <w:link w:val="BodyTextChar"/>
    <w:uiPriority w:val="99"/>
    <w:unhideWhenUsed/>
    <w:rsid w:val="00CA6BCE"/>
    <w:pPr>
      <w:spacing w:before="120" w:after="120" w:line="240" w:lineRule="auto"/>
    </w:pPr>
    <w:rPr>
      <w:rFonts w:ascii="Arial" w:eastAsia="Arial" w:hAnsi="Arial" w:cs="Arial"/>
    </w:rPr>
  </w:style>
  <w:style w:type="character" w:customStyle="1" w:styleId="BodyTextChar">
    <w:name w:val="Body Text Char"/>
    <w:basedOn w:val="DefaultParagraphFont"/>
    <w:link w:val="BodyText"/>
    <w:uiPriority w:val="99"/>
    <w:rsid w:val="00CA6BCE"/>
    <w:rPr>
      <w:rFonts w:ascii="Arial" w:eastAsia="Arial" w:hAnsi="Arial" w:cs="Arial"/>
    </w:rPr>
  </w:style>
  <w:style w:type="numbering" w:customStyle="1" w:styleId="LFO1">
    <w:name w:val="LFO1"/>
    <w:basedOn w:val="NoList"/>
    <w:rsid w:val="00BA3169"/>
    <w:pPr>
      <w:numPr>
        <w:numId w:val="9"/>
      </w:numPr>
    </w:pPr>
  </w:style>
  <w:style w:type="numbering" w:customStyle="1" w:styleId="Style3">
    <w:name w:val="Style3"/>
    <w:uiPriority w:val="99"/>
    <w:rsid w:val="00B960B1"/>
    <w:pPr>
      <w:numPr>
        <w:numId w:val="10"/>
      </w:numPr>
    </w:pPr>
  </w:style>
  <w:style w:type="numbering" w:customStyle="1" w:styleId="Style4">
    <w:name w:val="Style4"/>
    <w:uiPriority w:val="99"/>
    <w:rsid w:val="00C63EF4"/>
    <w:pPr>
      <w:numPr>
        <w:numId w:val="11"/>
      </w:numPr>
    </w:pPr>
  </w:style>
  <w:style w:type="numbering" w:customStyle="1" w:styleId="Style5">
    <w:name w:val="Style5"/>
    <w:uiPriority w:val="99"/>
    <w:rsid w:val="00436CD5"/>
    <w:pPr>
      <w:numPr>
        <w:numId w:val="12"/>
      </w:numPr>
    </w:pPr>
  </w:style>
  <w:style w:type="numbering" w:customStyle="1" w:styleId="Style6">
    <w:name w:val="Style6"/>
    <w:uiPriority w:val="99"/>
    <w:rsid w:val="00164B82"/>
    <w:pPr>
      <w:numPr>
        <w:numId w:val="13"/>
      </w:numPr>
    </w:pPr>
  </w:style>
  <w:style w:type="numbering" w:customStyle="1" w:styleId="Style7">
    <w:name w:val="Style7"/>
    <w:uiPriority w:val="99"/>
    <w:rsid w:val="008A3748"/>
    <w:pPr>
      <w:numPr>
        <w:numId w:val="14"/>
      </w:numPr>
    </w:pPr>
  </w:style>
  <w:style w:type="paragraph" w:customStyle="1" w:styleId="paragraph">
    <w:name w:val="paragraph"/>
    <w:basedOn w:val="Normal"/>
    <w:rsid w:val="00173D0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9">
    <w:name w:val="Pa9"/>
    <w:basedOn w:val="Default"/>
    <w:next w:val="Default"/>
    <w:uiPriority w:val="99"/>
    <w:rsid w:val="00396BF4"/>
    <w:pPr>
      <w:widowControl/>
      <w:spacing w:line="241" w:lineRule="atLeast"/>
    </w:pPr>
    <w:rPr>
      <w:rFonts w:ascii="FranklinGothicURWBoo" w:hAnsi="FranklinGothicURWBoo" w:cstheme="minorBidi"/>
      <w:color w:val="auto"/>
      <w:lang w:val="en-GB"/>
    </w:rPr>
  </w:style>
  <w:style w:type="paragraph" w:customStyle="1" w:styleId="Pa6">
    <w:name w:val="Pa6"/>
    <w:basedOn w:val="Default"/>
    <w:next w:val="Default"/>
    <w:uiPriority w:val="99"/>
    <w:rsid w:val="00396BF4"/>
    <w:pPr>
      <w:widowControl/>
      <w:spacing w:line="241" w:lineRule="atLeast"/>
    </w:pPr>
    <w:rPr>
      <w:rFonts w:ascii="FranklinGothicURWBoo" w:hAnsi="FranklinGothicURWBoo" w:cstheme="minorBidi"/>
      <w:color w:val="auto"/>
      <w:lang w:val="en-GB"/>
    </w:rPr>
  </w:style>
  <w:style w:type="character" w:customStyle="1" w:styleId="A5">
    <w:name w:val="A5"/>
    <w:uiPriority w:val="99"/>
    <w:rsid w:val="00396BF4"/>
    <w:rPr>
      <w:rFonts w:cs="FranklinGothicURWBo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4580">
      <w:bodyDiv w:val="1"/>
      <w:marLeft w:val="0"/>
      <w:marRight w:val="0"/>
      <w:marTop w:val="0"/>
      <w:marBottom w:val="0"/>
      <w:divBdr>
        <w:top w:val="none" w:sz="0" w:space="0" w:color="auto"/>
        <w:left w:val="none" w:sz="0" w:space="0" w:color="auto"/>
        <w:bottom w:val="none" w:sz="0" w:space="0" w:color="auto"/>
        <w:right w:val="none" w:sz="0" w:space="0" w:color="auto"/>
      </w:divBdr>
    </w:div>
    <w:div w:id="39205344">
      <w:bodyDiv w:val="1"/>
      <w:marLeft w:val="0"/>
      <w:marRight w:val="0"/>
      <w:marTop w:val="0"/>
      <w:marBottom w:val="0"/>
      <w:divBdr>
        <w:top w:val="none" w:sz="0" w:space="0" w:color="auto"/>
        <w:left w:val="none" w:sz="0" w:space="0" w:color="auto"/>
        <w:bottom w:val="none" w:sz="0" w:space="0" w:color="auto"/>
        <w:right w:val="none" w:sz="0" w:space="0" w:color="auto"/>
      </w:divBdr>
    </w:div>
    <w:div w:id="45448146">
      <w:bodyDiv w:val="1"/>
      <w:marLeft w:val="0"/>
      <w:marRight w:val="0"/>
      <w:marTop w:val="0"/>
      <w:marBottom w:val="0"/>
      <w:divBdr>
        <w:top w:val="none" w:sz="0" w:space="0" w:color="auto"/>
        <w:left w:val="none" w:sz="0" w:space="0" w:color="auto"/>
        <w:bottom w:val="none" w:sz="0" w:space="0" w:color="auto"/>
        <w:right w:val="none" w:sz="0" w:space="0" w:color="auto"/>
      </w:divBdr>
    </w:div>
    <w:div w:id="101413355">
      <w:bodyDiv w:val="1"/>
      <w:marLeft w:val="0"/>
      <w:marRight w:val="0"/>
      <w:marTop w:val="0"/>
      <w:marBottom w:val="0"/>
      <w:divBdr>
        <w:top w:val="none" w:sz="0" w:space="0" w:color="auto"/>
        <w:left w:val="none" w:sz="0" w:space="0" w:color="auto"/>
        <w:bottom w:val="none" w:sz="0" w:space="0" w:color="auto"/>
        <w:right w:val="none" w:sz="0" w:space="0" w:color="auto"/>
      </w:divBdr>
    </w:div>
    <w:div w:id="189690698">
      <w:bodyDiv w:val="1"/>
      <w:marLeft w:val="0"/>
      <w:marRight w:val="0"/>
      <w:marTop w:val="0"/>
      <w:marBottom w:val="0"/>
      <w:divBdr>
        <w:top w:val="none" w:sz="0" w:space="0" w:color="auto"/>
        <w:left w:val="none" w:sz="0" w:space="0" w:color="auto"/>
        <w:bottom w:val="none" w:sz="0" w:space="0" w:color="auto"/>
        <w:right w:val="none" w:sz="0" w:space="0" w:color="auto"/>
      </w:divBdr>
    </w:div>
    <w:div w:id="223761693">
      <w:bodyDiv w:val="1"/>
      <w:marLeft w:val="0"/>
      <w:marRight w:val="0"/>
      <w:marTop w:val="0"/>
      <w:marBottom w:val="0"/>
      <w:divBdr>
        <w:top w:val="none" w:sz="0" w:space="0" w:color="auto"/>
        <w:left w:val="none" w:sz="0" w:space="0" w:color="auto"/>
        <w:bottom w:val="none" w:sz="0" w:space="0" w:color="auto"/>
        <w:right w:val="none" w:sz="0" w:space="0" w:color="auto"/>
      </w:divBdr>
    </w:div>
    <w:div w:id="246614691">
      <w:bodyDiv w:val="1"/>
      <w:marLeft w:val="0"/>
      <w:marRight w:val="0"/>
      <w:marTop w:val="0"/>
      <w:marBottom w:val="0"/>
      <w:divBdr>
        <w:top w:val="none" w:sz="0" w:space="0" w:color="auto"/>
        <w:left w:val="none" w:sz="0" w:space="0" w:color="auto"/>
        <w:bottom w:val="none" w:sz="0" w:space="0" w:color="auto"/>
        <w:right w:val="none" w:sz="0" w:space="0" w:color="auto"/>
      </w:divBdr>
    </w:div>
    <w:div w:id="251087155">
      <w:bodyDiv w:val="1"/>
      <w:marLeft w:val="0"/>
      <w:marRight w:val="0"/>
      <w:marTop w:val="0"/>
      <w:marBottom w:val="0"/>
      <w:divBdr>
        <w:top w:val="none" w:sz="0" w:space="0" w:color="auto"/>
        <w:left w:val="none" w:sz="0" w:space="0" w:color="auto"/>
        <w:bottom w:val="none" w:sz="0" w:space="0" w:color="auto"/>
        <w:right w:val="none" w:sz="0" w:space="0" w:color="auto"/>
      </w:divBdr>
    </w:div>
    <w:div w:id="307906229">
      <w:bodyDiv w:val="1"/>
      <w:marLeft w:val="0"/>
      <w:marRight w:val="0"/>
      <w:marTop w:val="0"/>
      <w:marBottom w:val="0"/>
      <w:divBdr>
        <w:top w:val="none" w:sz="0" w:space="0" w:color="auto"/>
        <w:left w:val="none" w:sz="0" w:space="0" w:color="auto"/>
        <w:bottom w:val="none" w:sz="0" w:space="0" w:color="auto"/>
        <w:right w:val="none" w:sz="0" w:space="0" w:color="auto"/>
      </w:divBdr>
    </w:div>
    <w:div w:id="320041353">
      <w:bodyDiv w:val="1"/>
      <w:marLeft w:val="0"/>
      <w:marRight w:val="0"/>
      <w:marTop w:val="0"/>
      <w:marBottom w:val="0"/>
      <w:divBdr>
        <w:top w:val="none" w:sz="0" w:space="0" w:color="auto"/>
        <w:left w:val="none" w:sz="0" w:space="0" w:color="auto"/>
        <w:bottom w:val="none" w:sz="0" w:space="0" w:color="auto"/>
        <w:right w:val="none" w:sz="0" w:space="0" w:color="auto"/>
      </w:divBdr>
    </w:div>
    <w:div w:id="356732941">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379868561">
      <w:bodyDiv w:val="1"/>
      <w:marLeft w:val="0"/>
      <w:marRight w:val="0"/>
      <w:marTop w:val="0"/>
      <w:marBottom w:val="0"/>
      <w:divBdr>
        <w:top w:val="none" w:sz="0" w:space="0" w:color="auto"/>
        <w:left w:val="none" w:sz="0" w:space="0" w:color="auto"/>
        <w:bottom w:val="none" w:sz="0" w:space="0" w:color="auto"/>
        <w:right w:val="none" w:sz="0" w:space="0" w:color="auto"/>
      </w:divBdr>
    </w:div>
    <w:div w:id="396124529">
      <w:bodyDiv w:val="1"/>
      <w:marLeft w:val="0"/>
      <w:marRight w:val="0"/>
      <w:marTop w:val="0"/>
      <w:marBottom w:val="0"/>
      <w:divBdr>
        <w:top w:val="none" w:sz="0" w:space="0" w:color="auto"/>
        <w:left w:val="none" w:sz="0" w:space="0" w:color="auto"/>
        <w:bottom w:val="none" w:sz="0" w:space="0" w:color="auto"/>
        <w:right w:val="none" w:sz="0" w:space="0" w:color="auto"/>
      </w:divBdr>
    </w:div>
    <w:div w:id="488135999">
      <w:bodyDiv w:val="1"/>
      <w:marLeft w:val="0"/>
      <w:marRight w:val="0"/>
      <w:marTop w:val="0"/>
      <w:marBottom w:val="0"/>
      <w:divBdr>
        <w:top w:val="none" w:sz="0" w:space="0" w:color="auto"/>
        <w:left w:val="none" w:sz="0" w:space="0" w:color="auto"/>
        <w:bottom w:val="none" w:sz="0" w:space="0" w:color="auto"/>
        <w:right w:val="none" w:sz="0" w:space="0" w:color="auto"/>
      </w:divBdr>
    </w:div>
    <w:div w:id="489558663">
      <w:bodyDiv w:val="1"/>
      <w:marLeft w:val="0"/>
      <w:marRight w:val="0"/>
      <w:marTop w:val="0"/>
      <w:marBottom w:val="0"/>
      <w:divBdr>
        <w:top w:val="none" w:sz="0" w:space="0" w:color="auto"/>
        <w:left w:val="none" w:sz="0" w:space="0" w:color="auto"/>
        <w:bottom w:val="none" w:sz="0" w:space="0" w:color="auto"/>
        <w:right w:val="none" w:sz="0" w:space="0" w:color="auto"/>
      </w:divBdr>
    </w:div>
    <w:div w:id="565141035">
      <w:bodyDiv w:val="1"/>
      <w:marLeft w:val="0"/>
      <w:marRight w:val="0"/>
      <w:marTop w:val="0"/>
      <w:marBottom w:val="0"/>
      <w:divBdr>
        <w:top w:val="none" w:sz="0" w:space="0" w:color="auto"/>
        <w:left w:val="none" w:sz="0" w:space="0" w:color="auto"/>
        <w:bottom w:val="none" w:sz="0" w:space="0" w:color="auto"/>
        <w:right w:val="none" w:sz="0" w:space="0" w:color="auto"/>
      </w:divBdr>
    </w:div>
    <w:div w:id="594632797">
      <w:bodyDiv w:val="1"/>
      <w:marLeft w:val="0"/>
      <w:marRight w:val="0"/>
      <w:marTop w:val="0"/>
      <w:marBottom w:val="0"/>
      <w:divBdr>
        <w:top w:val="none" w:sz="0" w:space="0" w:color="auto"/>
        <w:left w:val="none" w:sz="0" w:space="0" w:color="auto"/>
        <w:bottom w:val="none" w:sz="0" w:space="0" w:color="auto"/>
        <w:right w:val="none" w:sz="0" w:space="0" w:color="auto"/>
      </w:divBdr>
      <w:divsChild>
        <w:div w:id="1073236951">
          <w:marLeft w:val="0"/>
          <w:marRight w:val="0"/>
          <w:marTop w:val="0"/>
          <w:marBottom w:val="0"/>
          <w:divBdr>
            <w:top w:val="none" w:sz="0" w:space="0" w:color="auto"/>
            <w:left w:val="none" w:sz="0" w:space="0" w:color="auto"/>
            <w:bottom w:val="none" w:sz="0" w:space="0" w:color="auto"/>
            <w:right w:val="none" w:sz="0" w:space="0" w:color="auto"/>
          </w:divBdr>
          <w:divsChild>
            <w:div w:id="1539581933">
              <w:marLeft w:val="0"/>
              <w:marRight w:val="0"/>
              <w:marTop w:val="0"/>
              <w:marBottom w:val="0"/>
              <w:divBdr>
                <w:top w:val="none" w:sz="0" w:space="0" w:color="auto"/>
                <w:left w:val="none" w:sz="0" w:space="0" w:color="auto"/>
                <w:bottom w:val="none" w:sz="0" w:space="0" w:color="auto"/>
                <w:right w:val="none" w:sz="0" w:space="0" w:color="auto"/>
              </w:divBdr>
            </w:div>
          </w:divsChild>
        </w:div>
        <w:div w:id="1395738688">
          <w:marLeft w:val="0"/>
          <w:marRight w:val="0"/>
          <w:marTop w:val="0"/>
          <w:marBottom w:val="0"/>
          <w:divBdr>
            <w:top w:val="none" w:sz="0" w:space="0" w:color="auto"/>
            <w:left w:val="none" w:sz="0" w:space="0" w:color="auto"/>
            <w:bottom w:val="none" w:sz="0" w:space="0" w:color="auto"/>
            <w:right w:val="none" w:sz="0" w:space="0" w:color="auto"/>
          </w:divBdr>
          <w:divsChild>
            <w:div w:id="1803572249">
              <w:marLeft w:val="0"/>
              <w:marRight w:val="0"/>
              <w:marTop w:val="0"/>
              <w:marBottom w:val="0"/>
              <w:divBdr>
                <w:top w:val="none" w:sz="0" w:space="0" w:color="auto"/>
                <w:left w:val="none" w:sz="0" w:space="0" w:color="auto"/>
                <w:bottom w:val="none" w:sz="0" w:space="0" w:color="auto"/>
                <w:right w:val="none" w:sz="0" w:space="0" w:color="auto"/>
              </w:divBdr>
            </w:div>
          </w:divsChild>
        </w:div>
        <w:div w:id="1484007122">
          <w:marLeft w:val="0"/>
          <w:marRight w:val="0"/>
          <w:marTop w:val="0"/>
          <w:marBottom w:val="0"/>
          <w:divBdr>
            <w:top w:val="none" w:sz="0" w:space="0" w:color="auto"/>
            <w:left w:val="none" w:sz="0" w:space="0" w:color="auto"/>
            <w:bottom w:val="none" w:sz="0" w:space="0" w:color="auto"/>
            <w:right w:val="none" w:sz="0" w:space="0" w:color="auto"/>
          </w:divBdr>
          <w:divsChild>
            <w:div w:id="7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4285">
      <w:bodyDiv w:val="1"/>
      <w:marLeft w:val="0"/>
      <w:marRight w:val="0"/>
      <w:marTop w:val="0"/>
      <w:marBottom w:val="0"/>
      <w:divBdr>
        <w:top w:val="none" w:sz="0" w:space="0" w:color="auto"/>
        <w:left w:val="none" w:sz="0" w:space="0" w:color="auto"/>
        <w:bottom w:val="none" w:sz="0" w:space="0" w:color="auto"/>
        <w:right w:val="none" w:sz="0" w:space="0" w:color="auto"/>
      </w:divBdr>
    </w:div>
    <w:div w:id="716779822">
      <w:bodyDiv w:val="1"/>
      <w:marLeft w:val="0"/>
      <w:marRight w:val="0"/>
      <w:marTop w:val="0"/>
      <w:marBottom w:val="0"/>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sChild>
            <w:div w:id="191917751">
              <w:marLeft w:val="0"/>
              <w:marRight w:val="0"/>
              <w:marTop w:val="0"/>
              <w:marBottom w:val="0"/>
              <w:divBdr>
                <w:top w:val="none" w:sz="0" w:space="0" w:color="auto"/>
                <w:left w:val="none" w:sz="0" w:space="0" w:color="auto"/>
                <w:bottom w:val="none" w:sz="0" w:space="0" w:color="auto"/>
                <w:right w:val="none" w:sz="0" w:space="0" w:color="auto"/>
              </w:divBdr>
            </w:div>
          </w:divsChild>
        </w:div>
        <w:div w:id="1919439041">
          <w:marLeft w:val="0"/>
          <w:marRight w:val="0"/>
          <w:marTop w:val="0"/>
          <w:marBottom w:val="0"/>
          <w:divBdr>
            <w:top w:val="none" w:sz="0" w:space="0" w:color="auto"/>
            <w:left w:val="none" w:sz="0" w:space="0" w:color="auto"/>
            <w:bottom w:val="none" w:sz="0" w:space="0" w:color="auto"/>
            <w:right w:val="none" w:sz="0" w:space="0" w:color="auto"/>
          </w:divBdr>
          <w:divsChild>
            <w:div w:id="1492914177">
              <w:marLeft w:val="0"/>
              <w:marRight w:val="0"/>
              <w:marTop w:val="0"/>
              <w:marBottom w:val="0"/>
              <w:divBdr>
                <w:top w:val="none" w:sz="0" w:space="0" w:color="auto"/>
                <w:left w:val="none" w:sz="0" w:space="0" w:color="auto"/>
                <w:bottom w:val="none" w:sz="0" w:space="0" w:color="auto"/>
                <w:right w:val="none" w:sz="0" w:space="0" w:color="auto"/>
              </w:divBdr>
            </w:div>
          </w:divsChild>
        </w:div>
        <w:div w:id="2057311284">
          <w:marLeft w:val="0"/>
          <w:marRight w:val="0"/>
          <w:marTop w:val="0"/>
          <w:marBottom w:val="0"/>
          <w:divBdr>
            <w:top w:val="none" w:sz="0" w:space="0" w:color="auto"/>
            <w:left w:val="none" w:sz="0" w:space="0" w:color="auto"/>
            <w:bottom w:val="none" w:sz="0" w:space="0" w:color="auto"/>
            <w:right w:val="none" w:sz="0" w:space="0" w:color="auto"/>
          </w:divBdr>
          <w:divsChild>
            <w:div w:id="316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819662615">
      <w:bodyDiv w:val="1"/>
      <w:marLeft w:val="0"/>
      <w:marRight w:val="0"/>
      <w:marTop w:val="0"/>
      <w:marBottom w:val="0"/>
      <w:divBdr>
        <w:top w:val="none" w:sz="0" w:space="0" w:color="auto"/>
        <w:left w:val="none" w:sz="0" w:space="0" w:color="auto"/>
        <w:bottom w:val="none" w:sz="0" w:space="0" w:color="auto"/>
        <w:right w:val="none" w:sz="0" w:space="0" w:color="auto"/>
      </w:divBdr>
    </w:div>
    <w:div w:id="836189025">
      <w:bodyDiv w:val="1"/>
      <w:marLeft w:val="0"/>
      <w:marRight w:val="0"/>
      <w:marTop w:val="0"/>
      <w:marBottom w:val="0"/>
      <w:divBdr>
        <w:top w:val="none" w:sz="0" w:space="0" w:color="auto"/>
        <w:left w:val="none" w:sz="0" w:space="0" w:color="auto"/>
        <w:bottom w:val="none" w:sz="0" w:space="0" w:color="auto"/>
        <w:right w:val="none" w:sz="0" w:space="0" w:color="auto"/>
      </w:divBdr>
    </w:div>
    <w:div w:id="926767701">
      <w:bodyDiv w:val="1"/>
      <w:marLeft w:val="0"/>
      <w:marRight w:val="0"/>
      <w:marTop w:val="0"/>
      <w:marBottom w:val="0"/>
      <w:divBdr>
        <w:top w:val="none" w:sz="0" w:space="0" w:color="auto"/>
        <w:left w:val="none" w:sz="0" w:space="0" w:color="auto"/>
        <w:bottom w:val="none" w:sz="0" w:space="0" w:color="auto"/>
        <w:right w:val="none" w:sz="0" w:space="0" w:color="auto"/>
      </w:divBdr>
    </w:div>
    <w:div w:id="977027410">
      <w:bodyDiv w:val="1"/>
      <w:marLeft w:val="0"/>
      <w:marRight w:val="0"/>
      <w:marTop w:val="0"/>
      <w:marBottom w:val="0"/>
      <w:divBdr>
        <w:top w:val="none" w:sz="0" w:space="0" w:color="auto"/>
        <w:left w:val="none" w:sz="0" w:space="0" w:color="auto"/>
        <w:bottom w:val="none" w:sz="0" w:space="0" w:color="auto"/>
        <w:right w:val="none" w:sz="0" w:space="0" w:color="auto"/>
      </w:divBdr>
    </w:div>
    <w:div w:id="1005085177">
      <w:bodyDiv w:val="1"/>
      <w:marLeft w:val="0"/>
      <w:marRight w:val="0"/>
      <w:marTop w:val="0"/>
      <w:marBottom w:val="0"/>
      <w:divBdr>
        <w:top w:val="none" w:sz="0" w:space="0" w:color="auto"/>
        <w:left w:val="none" w:sz="0" w:space="0" w:color="auto"/>
        <w:bottom w:val="none" w:sz="0" w:space="0" w:color="auto"/>
        <w:right w:val="none" w:sz="0" w:space="0" w:color="auto"/>
      </w:divBdr>
    </w:div>
    <w:div w:id="1014919028">
      <w:bodyDiv w:val="1"/>
      <w:marLeft w:val="0"/>
      <w:marRight w:val="0"/>
      <w:marTop w:val="0"/>
      <w:marBottom w:val="0"/>
      <w:divBdr>
        <w:top w:val="none" w:sz="0" w:space="0" w:color="auto"/>
        <w:left w:val="none" w:sz="0" w:space="0" w:color="auto"/>
        <w:bottom w:val="none" w:sz="0" w:space="0" w:color="auto"/>
        <w:right w:val="none" w:sz="0" w:space="0" w:color="auto"/>
      </w:divBdr>
    </w:div>
    <w:div w:id="1043947479">
      <w:bodyDiv w:val="1"/>
      <w:marLeft w:val="0"/>
      <w:marRight w:val="0"/>
      <w:marTop w:val="0"/>
      <w:marBottom w:val="0"/>
      <w:divBdr>
        <w:top w:val="none" w:sz="0" w:space="0" w:color="auto"/>
        <w:left w:val="none" w:sz="0" w:space="0" w:color="auto"/>
        <w:bottom w:val="none" w:sz="0" w:space="0" w:color="auto"/>
        <w:right w:val="none" w:sz="0" w:space="0" w:color="auto"/>
      </w:divBdr>
    </w:div>
    <w:div w:id="1109277577">
      <w:bodyDiv w:val="1"/>
      <w:marLeft w:val="0"/>
      <w:marRight w:val="0"/>
      <w:marTop w:val="0"/>
      <w:marBottom w:val="0"/>
      <w:divBdr>
        <w:top w:val="none" w:sz="0" w:space="0" w:color="auto"/>
        <w:left w:val="none" w:sz="0" w:space="0" w:color="auto"/>
        <w:bottom w:val="none" w:sz="0" w:space="0" w:color="auto"/>
        <w:right w:val="none" w:sz="0" w:space="0" w:color="auto"/>
      </w:divBdr>
    </w:div>
    <w:div w:id="1109349658">
      <w:bodyDiv w:val="1"/>
      <w:marLeft w:val="0"/>
      <w:marRight w:val="0"/>
      <w:marTop w:val="0"/>
      <w:marBottom w:val="0"/>
      <w:divBdr>
        <w:top w:val="none" w:sz="0" w:space="0" w:color="auto"/>
        <w:left w:val="none" w:sz="0" w:space="0" w:color="auto"/>
        <w:bottom w:val="none" w:sz="0" w:space="0" w:color="auto"/>
        <w:right w:val="none" w:sz="0" w:space="0" w:color="auto"/>
      </w:divBdr>
    </w:div>
    <w:div w:id="11457039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90953">
      <w:bodyDiv w:val="1"/>
      <w:marLeft w:val="0"/>
      <w:marRight w:val="0"/>
      <w:marTop w:val="0"/>
      <w:marBottom w:val="0"/>
      <w:divBdr>
        <w:top w:val="none" w:sz="0" w:space="0" w:color="auto"/>
        <w:left w:val="none" w:sz="0" w:space="0" w:color="auto"/>
        <w:bottom w:val="none" w:sz="0" w:space="0" w:color="auto"/>
        <w:right w:val="none" w:sz="0" w:space="0" w:color="auto"/>
      </w:divBdr>
    </w:div>
    <w:div w:id="1269695827">
      <w:bodyDiv w:val="1"/>
      <w:marLeft w:val="0"/>
      <w:marRight w:val="0"/>
      <w:marTop w:val="0"/>
      <w:marBottom w:val="0"/>
      <w:divBdr>
        <w:top w:val="none" w:sz="0" w:space="0" w:color="auto"/>
        <w:left w:val="none" w:sz="0" w:space="0" w:color="auto"/>
        <w:bottom w:val="none" w:sz="0" w:space="0" w:color="auto"/>
        <w:right w:val="none" w:sz="0" w:space="0" w:color="auto"/>
      </w:divBdr>
    </w:div>
    <w:div w:id="1367295022">
      <w:bodyDiv w:val="1"/>
      <w:marLeft w:val="0"/>
      <w:marRight w:val="0"/>
      <w:marTop w:val="0"/>
      <w:marBottom w:val="0"/>
      <w:divBdr>
        <w:top w:val="none" w:sz="0" w:space="0" w:color="auto"/>
        <w:left w:val="none" w:sz="0" w:space="0" w:color="auto"/>
        <w:bottom w:val="none" w:sz="0" w:space="0" w:color="auto"/>
        <w:right w:val="none" w:sz="0" w:space="0" w:color="auto"/>
      </w:divBdr>
    </w:div>
    <w:div w:id="1407534941">
      <w:bodyDiv w:val="1"/>
      <w:marLeft w:val="0"/>
      <w:marRight w:val="0"/>
      <w:marTop w:val="0"/>
      <w:marBottom w:val="0"/>
      <w:divBdr>
        <w:top w:val="none" w:sz="0" w:space="0" w:color="auto"/>
        <w:left w:val="none" w:sz="0" w:space="0" w:color="auto"/>
        <w:bottom w:val="none" w:sz="0" w:space="0" w:color="auto"/>
        <w:right w:val="none" w:sz="0" w:space="0" w:color="auto"/>
      </w:divBdr>
    </w:div>
    <w:div w:id="1413698231">
      <w:bodyDiv w:val="1"/>
      <w:marLeft w:val="0"/>
      <w:marRight w:val="0"/>
      <w:marTop w:val="0"/>
      <w:marBottom w:val="0"/>
      <w:divBdr>
        <w:top w:val="none" w:sz="0" w:space="0" w:color="auto"/>
        <w:left w:val="none" w:sz="0" w:space="0" w:color="auto"/>
        <w:bottom w:val="none" w:sz="0" w:space="0" w:color="auto"/>
        <w:right w:val="none" w:sz="0" w:space="0" w:color="auto"/>
      </w:divBdr>
    </w:div>
    <w:div w:id="1454060755">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94224399">
      <w:bodyDiv w:val="1"/>
      <w:marLeft w:val="0"/>
      <w:marRight w:val="0"/>
      <w:marTop w:val="0"/>
      <w:marBottom w:val="0"/>
      <w:divBdr>
        <w:top w:val="none" w:sz="0" w:space="0" w:color="auto"/>
        <w:left w:val="none" w:sz="0" w:space="0" w:color="auto"/>
        <w:bottom w:val="none" w:sz="0" w:space="0" w:color="auto"/>
        <w:right w:val="none" w:sz="0" w:space="0" w:color="auto"/>
      </w:divBdr>
    </w:div>
    <w:div w:id="1503004450">
      <w:bodyDiv w:val="1"/>
      <w:marLeft w:val="0"/>
      <w:marRight w:val="0"/>
      <w:marTop w:val="0"/>
      <w:marBottom w:val="0"/>
      <w:divBdr>
        <w:top w:val="none" w:sz="0" w:space="0" w:color="auto"/>
        <w:left w:val="none" w:sz="0" w:space="0" w:color="auto"/>
        <w:bottom w:val="none" w:sz="0" w:space="0" w:color="auto"/>
        <w:right w:val="none" w:sz="0" w:space="0" w:color="auto"/>
      </w:divBdr>
    </w:div>
    <w:div w:id="1539270194">
      <w:bodyDiv w:val="1"/>
      <w:marLeft w:val="0"/>
      <w:marRight w:val="0"/>
      <w:marTop w:val="0"/>
      <w:marBottom w:val="0"/>
      <w:divBdr>
        <w:top w:val="none" w:sz="0" w:space="0" w:color="auto"/>
        <w:left w:val="none" w:sz="0" w:space="0" w:color="auto"/>
        <w:bottom w:val="none" w:sz="0" w:space="0" w:color="auto"/>
        <w:right w:val="none" w:sz="0" w:space="0" w:color="auto"/>
      </w:divBdr>
    </w:div>
    <w:div w:id="1547258001">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589652519">
      <w:bodyDiv w:val="1"/>
      <w:marLeft w:val="0"/>
      <w:marRight w:val="0"/>
      <w:marTop w:val="0"/>
      <w:marBottom w:val="0"/>
      <w:divBdr>
        <w:top w:val="none" w:sz="0" w:space="0" w:color="auto"/>
        <w:left w:val="none" w:sz="0" w:space="0" w:color="auto"/>
        <w:bottom w:val="none" w:sz="0" w:space="0" w:color="auto"/>
        <w:right w:val="none" w:sz="0" w:space="0" w:color="auto"/>
      </w:divBdr>
    </w:div>
    <w:div w:id="1698189198">
      <w:bodyDiv w:val="1"/>
      <w:marLeft w:val="0"/>
      <w:marRight w:val="0"/>
      <w:marTop w:val="0"/>
      <w:marBottom w:val="0"/>
      <w:divBdr>
        <w:top w:val="none" w:sz="0" w:space="0" w:color="auto"/>
        <w:left w:val="none" w:sz="0" w:space="0" w:color="auto"/>
        <w:bottom w:val="none" w:sz="0" w:space="0" w:color="auto"/>
        <w:right w:val="none" w:sz="0" w:space="0" w:color="auto"/>
      </w:divBdr>
    </w:div>
    <w:div w:id="1723553799">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770466979">
      <w:bodyDiv w:val="1"/>
      <w:marLeft w:val="0"/>
      <w:marRight w:val="0"/>
      <w:marTop w:val="0"/>
      <w:marBottom w:val="0"/>
      <w:divBdr>
        <w:top w:val="none" w:sz="0" w:space="0" w:color="auto"/>
        <w:left w:val="none" w:sz="0" w:space="0" w:color="auto"/>
        <w:bottom w:val="none" w:sz="0" w:space="0" w:color="auto"/>
        <w:right w:val="none" w:sz="0" w:space="0" w:color="auto"/>
      </w:divBdr>
    </w:div>
    <w:div w:id="1888374378">
      <w:bodyDiv w:val="1"/>
      <w:marLeft w:val="0"/>
      <w:marRight w:val="0"/>
      <w:marTop w:val="0"/>
      <w:marBottom w:val="0"/>
      <w:divBdr>
        <w:top w:val="none" w:sz="0" w:space="0" w:color="auto"/>
        <w:left w:val="none" w:sz="0" w:space="0" w:color="auto"/>
        <w:bottom w:val="none" w:sz="0" w:space="0" w:color="auto"/>
        <w:right w:val="none" w:sz="0" w:space="0" w:color="auto"/>
      </w:divBdr>
    </w:div>
    <w:div w:id="1891191741">
      <w:bodyDiv w:val="1"/>
      <w:marLeft w:val="0"/>
      <w:marRight w:val="0"/>
      <w:marTop w:val="0"/>
      <w:marBottom w:val="0"/>
      <w:divBdr>
        <w:top w:val="none" w:sz="0" w:space="0" w:color="auto"/>
        <w:left w:val="none" w:sz="0" w:space="0" w:color="auto"/>
        <w:bottom w:val="none" w:sz="0" w:space="0" w:color="auto"/>
        <w:right w:val="none" w:sz="0" w:space="0" w:color="auto"/>
      </w:divBdr>
    </w:div>
    <w:div w:id="2005817319">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39970316">
      <w:bodyDiv w:val="1"/>
      <w:marLeft w:val="0"/>
      <w:marRight w:val="0"/>
      <w:marTop w:val="0"/>
      <w:marBottom w:val="0"/>
      <w:divBdr>
        <w:top w:val="none" w:sz="0" w:space="0" w:color="auto"/>
        <w:left w:val="none" w:sz="0" w:space="0" w:color="auto"/>
        <w:bottom w:val="none" w:sz="0" w:space="0" w:color="auto"/>
        <w:right w:val="none" w:sz="0" w:space="0" w:color="auto"/>
      </w:divBdr>
    </w:div>
    <w:div w:id="2063089714">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Nada Ahmed</DisplayName>
        <AccountId>56</AccountId>
        <AccountType/>
      </UserInfo>
      <UserInfo>
        <DisplayName>Hannah Russell</DisplayName>
        <AccountId>19</AccountId>
        <AccountType/>
      </UserInfo>
      <UserInfo>
        <DisplayName>Colin Caughey</DisplayName>
        <AccountId>50</AccountId>
        <AccountType/>
      </UserInfo>
      <UserInfo>
        <DisplayName>Claire McCann</DisplayName>
        <AccountId>35</AccountId>
        <AccountType/>
      </UserInfo>
      <UserInfo>
        <DisplayName>Eilis Haughey</DisplayName>
        <AccountId>51</AccountId>
        <AccountType/>
      </UserInfo>
      <UserInfo>
        <DisplayName>Julia Buchanan</DisplayName>
        <AccountId>34</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2.xml><?xml version="1.0" encoding="utf-8"?>
<ds:datastoreItem xmlns:ds="http://schemas.openxmlformats.org/officeDocument/2006/customXml" ds:itemID="{4EF4B48E-B095-4555-8369-D8DE398D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54D1F-0489-4EC8-A988-5AFA3BE3D39B}">
  <ds:schemaRefs>
    <ds:schemaRef ds:uri="http://schemas.microsoft.com/sharepoint/v3/contenttype/forms"/>
  </ds:schemaRefs>
</ds:datastoreItem>
</file>

<file path=customXml/itemProps4.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40</TotalTime>
  <Pages>36</Pages>
  <Words>8050</Words>
  <Characters>45886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53829</CharactersWithSpaces>
  <SharedDoc>false</SharedDoc>
  <HLinks>
    <vt:vector size="144" baseType="variant">
      <vt:variant>
        <vt:i4>6946881</vt:i4>
      </vt:variant>
      <vt:variant>
        <vt:i4>138</vt:i4>
      </vt:variant>
      <vt:variant>
        <vt:i4>0</vt:i4>
      </vt:variant>
      <vt:variant>
        <vt:i4>5</vt:i4>
      </vt:variant>
      <vt:variant>
        <vt:lpwstr>mailto:info@nihrc.org</vt:lpwstr>
      </vt:variant>
      <vt:variant>
        <vt:lpwstr/>
      </vt:variant>
      <vt:variant>
        <vt:i4>4587543</vt:i4>
      </vt:variant>
      <vt:variant>
        <vt:i4>135</vt:i4>
      </vt:variant>
      <vt:variant>
        <vt:i4>0</vt:i4>
      </vt:variant>
      <vt:variant>
        <vt:i4>5</vt:i4>
      </vt:variant>
      <vt:variant>
        <vt:lpwstr>http://www.nihrc.org/</vt:lpwstr>
      </vt:variant>
      <vt:variant>
        <vt:lpwstr/>
      </vt:variant>
      <vt:variant>
        <vt:i4>1245234</vt:i4>
      </vt:variant>
      <vt:variant>
        <vt:i4>128</vt:i4>
      </vt:variant>
      <vt:variant>
        <vt:i4>0</vt:i4>
      </vt:variant>
      <vt:variant>
        <vt:i4>5</vt:i4>
      </vt:variant>
      <vt:variant>
        <vt:lpwstr/>
      </vt:variant>
      <vt:variant>
        <vt:lpwstr>_Toc177736727</vt:lpwstr>
      </vt:variant>
      <vt:variant>
        <vt:i4>1245234</vt:i4>
      </vt:variant>
      <vt:variant>
        <vt:i4>122</vt:i4>
      </vt:variant>
      <vt:variant>
        <vt:i4>0</vt:i4>
      </vt:variant>
      <vt:variant>
        <vt:i4>5</vt:i4>
      </vt:variant>
      <vt:variant>
        <vt:lpwstr/>
      </vt:variant>
      <vt:variant>
        <vt:lpwstr>_Toc177736726</vt:lpwstr>
      </vt:variant>
      <vt:variant>
        <vt:i4>1245234</vt:i4>
      </vt:variant>
      <vt:variant>
        <vt:i4>116</vt:i4>
      </vt:variant>
      <vt:variant>
        <vt:i4>0</vt:i4>
      </vt:variant>
      <vt:variant>
        <vt:i4>5</vt:i4>
      </vt:variant>
      <vt:variant>
        <vt:lpwstr/>
      </vt:variant>
      <vt:variant>
        <vt:lpwstr>_Toc177736725</vt:lpwstr>
      </vt:variant>
      <vt:variant>
        <vt:i4>1245234</vt:i4>
      </vt:variant>
      <vt:variant>
        <vt:i4>110</vt:i4>
      </vt:variant>
      <vt:variant>
        <vt:i4>0</vt:i4>
      </vt:variant>
      <vt:variant>
        <vt:i4>5</vt:i4>
      </vt:variant>
      <vt:variant>
        <vt:lpwstr/>
      </vt:variant>
      <vt:variant>
        <vt:lpwstr>_Toc177736724</vt:lpwstr>
      </vt:variant>
      <vt:variant>
        <vt:i4>1245234</vt:i4>
      </vt:variant>
      <vt:variant>
        <vt:i4>104</vt:i4>
      </vt:variant>
      <vt:variant>
        <vt:i4>0</vt:i4>
      </vt:variant>
      <vt:variant>
        <vt:i4>5</vt:i4>
      </vt:variant>
      <vt:variant>
        <vt:lpwstr/>
      </vt:variant>
      <vt:variant>
        <vt:lpwstr>_Toc177736723</vt:lpwstr>
      </vt:variant>
      <vt:variant>
        <vt:i4>1245234</vt:i4>
      </vt:variant>
      <vt:variant>
        <vt:i4>98</vt:i4>
      </vt:variant>
      <vt:variant>
        <vt:i4>0</vt:i4>
      </vt:variant>
      <vt:variant>
        <vt:i4>5</vt:i4>
      </vt:variant>
      <vt:variant>
        <vt:lpwstr/>
      </vt:variant>
      <vt:variant>
        <vt:lpwstr>_Toc177736722</vt:lpwstr>
      </vt:variant>
      <vt:variant>
        <vt:i4>1245234</vt:i4>
      </vt:variant>
      <vt:variant>
        <vt:i4>92</vt:i4>
      </vt:variant>
      <vt:variant>
        <vt:i4>0</vt:i4>
      </vt:variant>
      <vt:variant>
        <vt:i4>5</vt:i4>
      </vt:variant>
      <vt:variant>
        <vt:lpwstr/>
      </vt:variant>
      <vt:variant>
        <vt:lpwstr>_Toc177736721</vt:lpwstr>
      </vt:variant>
      <vt:variant>
        <vt:i4>1245234</vt:i4>
      </vt:variant>
      <vt:variant>
        <vt:i4>86</vt:i4>
      </vt:variant>
      <vt:variant>
        <vt:i4>0</vt:i4>
      </vt:variant>
      <vt:variant>
        <vt:i4>5</vt:i4>
      </vt:variant>
      <vt:variant>
        <vt:lpwstr/>
      </vt:variant>
      <vt:variant>
        <vt:lpwstr>_Toc177736720</vt:lpwstr>
      </vt:variant>
      <vt:variant>
        <vt:i4>1048626</vt:i4>
      </vt:variant>
      <vt:variant>
        <vt:i4>80</vt:i4>
      </vt:variant>
      <vt:variant>
        <vt:i4>0</vt:i4>
      </vt:variant>
      <vt:variant>
        <vt:i4>5</vt:i4>
      </vt:variant>
      <vt:variant>
        <vt:lpwstr/>
      </vt:variant>
      <vt:variant>
        <vt:lpwstr>_Toc177736719</vt:lpwstr>
      </vt:variant>
      <vt:variant>
        <vt:i4>1048626</vt:i4>
      </vt:variant>
      <vt:variant>
        <vt:i4>74</vt:i4>
      </vt:variant>
      <vt:variant>
        <vt:i4>0</vt:i4>
      </vt:variant>
      <vt:variant>
        <vt:i4>5</vt:i4>
      </vt:variant>
      <vt:variant>
        <vt:lpwstr/>
      </vt:variant>
      <vt:variant>
        <vt:lpwstr>_Toc177736718</vt:lpwstr>
      </vt:variant>
      <vt:variant>
        <vt:i4>1048626</vt:i4>
      </vt:variant>
      <vt:variant>
        <vt:i4>68</vt:i4>
      </vt:variant>
      <vt:variant>
        <vt:i4>0</vt:i4>
      </vt:variant>
      <vt:variant>
        <vt:i4>5</vt:i4>
      </vt:variant>
      <vt:variant>
        <vt:lpwstr/>
      </vt:variant>
      <vt:variant>
        <vt:lpwstr>_Toc177736717</vt:lpwstr>
      </vt:variant>
      <vt:variant>
        <vt:i4>1048626</vt:i4>
      </vt:variant>
      <vt:variant>
        <vt:i4>62</vt:i4>
      </vt:variant>
      <vt:variant>
        <vt:i4>0</vt:i4>
      </vt:variant>
      <vt:variant>
        <vt:i4>5</vt:i4>
      </vt:variant>
      <vt:variant>
        <vt:lpwstr/>
      </vt:variant>
      <vt:variant>
        <vt:lpwstr>_Toc177736716</vt:lpwstr>
      </vt:variant>
      <vt:variant>
        <vt:i4>1048626</vt:i4>
      </vt:variant>
      <vt:variant>
        <vt:i4>56</vt:i4>
      </vt:variant>
      <vt:variant>
        <vt:i4>0</vt:i4>
      </vt:variant>
      <vt:variant>
        <vt:i4>5</vt:i4>
      </vt:variant>
      <vt:variant>
        <vt:lpwstr/>
      </vt:variant>
      <vt:variant>
        <vt:lpwstr>_Toc177736715</vt:lpwstr>
      </vt:variant>
      <vt:variant>
        <vt:i4>1048626</vt:i4>
      </vt:variant>
      <vt:variant>
        <vt:i4>50</vt:i4>
      </vt:variant>
      <vt:variant>
        <vt:i4>0</vt:i4>
      </vt:variant>
      <vt:variant>
        <vt:i4>5</vt:i4>
      </vt:variant>
      <vt:variant>
        <vt:lpwstr/>
      </vt:variant>
      <vt:variant>
        <vt:lpwstr>_Toc177736714</vt:lpwstr>
      </vt:variant>
      <vt:variant>
        <vt:i4>1048626</vt:i4>
      </vt:variant>
      <vt:variant>
        <vt:i4>44</vt:i4>
      </vt:variant>
      <vt:variant>
        <vt:i4>0</vt:i4>
      </vt:variant>
      <vt:variant>
        <vt:i4>5</vt:i4>
      </vt:variant>
      <vt:variant>
        <vt:lpwstr/>
      </vt:variant>
      <vt:variant>
        <vt:lpwstr>_Toc177736713</vt:lpwstr>
      </vt:variant>
      <vt:variant>
        <vt:i4>1048626</vt:i4>
      </vt:variant>
      <vt:variant>
        <vt:i4>38</vt:i4>
      </vt:variant>
      <vt:variant>
        <vt:i4>0</vt:i4>
      </vt:variant>
      <vt:variant>
        <vt:i4>5</vt:i4>
      </vt:variant>
      <vt:variant>
        <vt:lpwstr/>
      </vt:variant>
      <vt:variant>
        <vt:lpwstr>_Toc177736712</vt:lpwstr>
      </vt:variant>
      <vt:variant>
        <vt:i4>1048626</vt:i4>
      </vt:variant>
      <vt:variant>
        <vt:i4>32</vt:i4>
      </vt:variant>
      <vt:variant>
        <vt:i4>0</vt:i4>
      </vt:variant>
      <vt:variant>
        <vt:i4>5</vt:i4>
      </vt:variant>
      <vt:variant>
        <vt:lpwstr/>
      </vt:variant>
      <vt:variant>
        <vt:lpwstr>_Toc177736711</vt:lpwstr>
      </vt:variant>
      <vt:variant>
        <vt:i4>1048626</vt:i4>
      </vt:variant>
      <vt:variant>
        <vt:i4>26</vt:i4>
      </vt:variant>
      <vt:variant>
        <vt:i4>0</vt:i4>
      </vt:variant>
      <vt:variant>
        <vt:i4>5</vt:i4>
      </vt:variant>
      <vt:variant>
        <vt:lpwstr/>
      </vt:variant>
      <vt:variant>
        <vt:lpwstr>_Toc177736710</vt:lpwstr>
      </vt:variant>
      <vt:variant>
        <vt:i4>1114162</vt:i4>
      </vt:variant>
      <vt:variant>
        <vt:i4>20</vt:i4>
      </vt:variant>
      <vt:variant>
        <vt:i4>0</vt:i4>
      </vt:variant>
      <vt:variant>
        <vt:i4>5</vt:i4>
      </vt:variant>
      <vt:variant>
        <vt:lpwstr/>
      </vt:variant>
      <vt:variant>
        <vt:lpwstr>_Toc177736709</vt:lpwstr>
      </vt:variant>
      <vt:variant>
        <vt:i4>1114162</vt:i4>
      </vt:variant>
      <vt:variant>
        <vt:i4>14</vt:i4>
      </vt:variant>
      <vt:variant>
        <vt:i4>0</vt:i4>
      </vt:variant>
      <vt:variant>
        <vt:i4>5</vt:i4>
      </vt:variant>
      <vt:variant>
        <vt:lpwstr/>
      </vt:variant>
      <vt:variant>
        <vt:lpwstr>_Toc177736708</vt:lpwstr>
      </vt:variant>
      <vt:variant>
        <vt:i4>1114162</vt:i4>
      </vt:variant>
      <vt:variant>
        <vt:i4>8</vt:i4>
      </vt:variant>
      <vt:variant>
        <vt:i4>0</vt:i4>
      </vt:variant>
      <vt:variant>
        <vt:i4>5</vt:i4>
      </vt:variant>
      <vt:variant>
        <vt:lpwstr/>
      </vt:variant>
      <vt:variant>
        <vt:lpwstr>_Toc177736707</vt:lpwstr>
      </vt:variant>
      <vt:variant>
        <vt:i4>1114162</vt:i4>
      </vt:variant>
      <vt:variant>
        <vt:i4>2</vt:i4>
      </vt:variant>
      <vt:variant>
        <vt:i4>0</vt:i4>
      </vt:variant>
      <vt:variant>
        <vt:i4>5</vt:i4>
      </vt:variant>
      <vt:variant>
        <vt:lpwstr/>
      </vt:variant>
      <vt:variant>
        <vt:lpwstr>_Toc177736706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Nada Ahmed</cp:lastModifiedBy>
  <cp:revision>26</cp:revision>
  <cp:lastPrinted>2024-09-30T14:49:00Z</cp:lastPrinted>
  <dcterms:created xsi:type="dcterms:W3CDTF">2024-09-20T17:17:00Z</dcterms:created>
  <dcterms:modified xsi:type="dcterms:W3CDTF">2024-09-30T14:49:00Z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