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DB7B" w14:textId="77777777" w:rsidR="009E5D23" w:rsidRDefault="009E5D23" w:rsidP="009E5D23">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7336E357" wp14:editId="1BBC76C5">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F97D306" w14:textId="77777777" w:rsidR="009E5D23" w:rsidRPr="00EA12CE" w:rsidRDefault="009E5D23" w:rsidP="009E5D23">
      <w:pPr>
        <w:pStyle w:val="BasicParagraph"/>
        <w:suppressAutoHyphens/>
        <w:jc w:val="center"/>
        <w:rPr>
          <w:rFonts w:ascii="Verdana" w:hAnsi="Verdana" w:cs="Arial"/>
          <w:b/>
          <w:bCs/>
          <w:color w:val="734791"/>
          <w:sz w:val="36"/>
          <w:szCs w:val="36"/>
        </w:rPr>
      </w:pPr>
    </w:p>
    <w:p w14:paraId="10A3E1A6" w14:textId="00796901" w:rsidR="009E5D23" w:rsidRPr="002C3D69" w:rsidRDefault="00254A16" w:rsidP="009E5D23">
      <w:pPr>
        <w:pStyle w:val="Default"/>
        <w:spacing w:line="288" w:lineRule="auto"/>
        <w:jc w:val="center"/>
        <w:rPr>
          <w:rFonts w:cs="Arial"/>
          <w:b/>
          <w:bCs/>
          <w:color w:val="77328A"/>
          <w:sz w:val="36"/>
          <w:szCs w:val="36"/>
          <w:lang w:val="en-GB"/>
        </w:rPr>
      </w:pPr>
      <w:r w:rsidRPr="002C3D69">
        <w:rPr>
          <w:rFonts w:cs="Arial"/>
          <w:b/>
          <w:bCs/>
          <w:color w:val="77328A"/>
          <w:sz w:val="36"/>
          <w:szCs w:val="36"/>
          <w:lang w:val="en-GB"/>
        </w:rPr>
        <w:t>Rule 9 Submission to the C</w:t>
      </w:r>
      <w:r w:rsidR="00553F28">
        <w:rPr>
          <w:rFonts w:cs="Arial"/>
          <w:b/>
          <w:bCs/>
          <w:color w:val="77328A"/>
          <w:sz w:val="36"/>
          <w:szCs w:val="36"/>
          <w:lang w:val="en-GB"/>
        </w:rPr>
        <w:t xml:space="preserve">ouncil </w:t>
      </w:r>
      <w:r w:rsidRPr="002C3D69">
        <w:rPr>
          <w:rFonts w:cs="Arial"/>
          <w:b/>
          <w:bCs/>
          <w:color w:val="77328A"/>
          <w:sz w:val="36"/>
          <w:szCs w:val="36"/>
          <w:lang w:val="en-GB"/>
        </w:rPr>
        <w:t>o</w:t>
      </w:r>
      <w:r w:rsidR="00553F28">
        <w:rPr>
          <w:rFonts w:cs="Arial"/>
          <w:b/>
          <w:bCs/>
          <w:color w:val="77328A"/>
          <w:sz w:val="36"/>
          <w:szCs w:val="36"/>
          <w:lang w:val="en-GB"/>
        </w:rPr>
        <w:t xml:space="preserve">f </w:t>
      </w:r>
      <w:r w:rsidRPr="002C3D69">
        <w:rPr>
          <w:rFonts w:cs="Arial"/>
          <w:b/>
          <w:bCs/>
          <w:color w:val="77328A"/>
          <w:sz w:val="36"/>
          <w:szCs w:val="36"/>
          <w:lang w:val="en-GB"/>
        </w:rPr>
        <w:t>E</w:t>
      </w:r>
      <w:r w:rsidR="00553F28">
        <w:rPr>
          <w:rFonts w:cs="Arial"/>
          <w:b/>
          <w:bCs/>
          <w:color w:val="77328A"/>
          <w:sz w:val="36"/>
          <w:szCs w:val="36"/>
          <w:lang w:val="en-GB"/>
        </w:rPr>
        <w:t>urope</w:t>
      </w:r>
      <w:r w:rsidRPr="002C3D69">
        <w:rPr>
          <w:rFonts w:cs="Arial"/>
          <w:b/>
          <w:bCs/>
          <w:color w:val="77328A"/>
          <w:sz w:val="36"/>
          <w:szCs w:val="36"/>
          <w:lang w:val="en-GB"/>
        </w:rPr>
        <w:t xml:space="preserve"> Committee of Ministers in Relation to the Supervision of the </w:t>
      </w:r>
      <w:r w:rsidR="000D6538" w:rsidRPr="002C3D69">
        <w:rPr>
          <w:rFonts w:cs="Arial"/>
          <w:b/>
          <w:bCs/>
          <w:color w:val="77328A"/>
          <w:sz w:val="36"/>
          <w:szCs w:val="36"/>
          <w:lang w:val="en-GB"/>
        </w:rPr>
        <w:t xml:space="preserve">Execution of Judgments </w:t>
      </w:r>
      <w:r w:rsidR="004368E4" w:rsidRPr="002C3D69">
        <w:rPr>
          <w:rFonts w:cs="Arial"/>
          <w:b/>
          <w:bCs/>
          <w:color w:val="77328A"/>
          <w:sz w:val="36"/>
          <w:szCs w:val="36"/>
          <w:lang w:val="en-GB"/>
        </w:rPr>
        <w:t>and of T</w:t>
      </w:r>
      <w:r w:rsidR="001A7697" w:rsidRPr="002C3D69">
        <w:rPr>
          <w:rFonts w:cs="Arial"/>
          <w:b/>
          <w:bCs/>
          <w:color w:val="77328A"/>
          <w:sz w:val="36"/>
          <w:szCs w:val="36"/>
          <w:lang w:val="en-GB"/>
        </w:rPr>
        <w:t>erms of Friendly Settlement</w:t>
      </w:r>
    </w:p>
    <w:p w14:paraId="62CFCEB4" w14:textId="77777777" w:rsidR="002C3D69" w:rsidRPr="002C3D69" w:rsidRDefault="002C3D69" w:rsidP="000F5496">
      <w:pPr>
        <w:pStyle w:val="Default"/>
        <w:spacing w:line="288" w:lineRule="auto"/>
        <w:jc w:val="center"/>
        <w:rPr>
          <w:rFonts w:cs="Arial"/>
          <w:b/>
          <w:bCs/>
          <w:color w:val="77328A"/>
          <w:sz w:val="36"/>
          <w:szCs w:val="36"/>
        </w:rPr>
      </w:pPr>
    </w:p>
    <w:p w14:paraId="0D1C6664" w14:textId="18612B88" w:rsidR="000F5496" w:rsidRPr="002C3D69" w:rsidRDefault="000F5496" w:rsidP="000F5496">
      <w:pPr>
        <w:pStyle w:val="Default"/>
        <w:spacing w:line="288" w:lineRule="auto"/>
        <w:jc w:val="center"/>
        <w:rPr>
          <w:rFonts w:cs="Arial"/>
          <w:b/>
          <w:bCs/>
          <w:color w:val="77328A"/>
          <w:sz w:val="36"/>
          <w:szCs w:val="36"/>
        </w:rPr>
      </w:pPr>
      <w:bookmarkStart w:id="0" w:name="_Hlk146490718"/>
      <w:r w:rsidRPr="002C3D69">
        <w:rPr>
          <w:rFonts w:cs="Arial"/>
          <w:b/>
          <w:bCs/>
          <w:color w:val="77328A"/>
          <w:sz w:val="36"/>
          <w:szCs w:val="36"/>
        </w:rPr>
        <w:t>Gaughran v. the United Kingdom</w:t>
      </w:r>
    </w:p>
    <w:bookmarkEnd w:id="0"/>
    <w:p w14:paraId="1590C7B3" w14:textId="77777777" w:rsidR="000F5496" w:rsidRPr="002C3D69" w:rsidRDefault="000F5496" w:rsidP="000F5496">
      <w:pPr>
        <w:pStyle w:val="Default"/>
        <w:spacing w:line="288" w:lineRule="auto"/>
        <w:jc w:val="center"/>
        <w:rPr>
          <w:rFonts w:cs="Arial"/>
          <w:b/>
          <w:bCs/>
          <w:color w:val="77328A"/>
          <w:sz w:val="36"/>
          <w:szCs w:val="36"/>
        </w:rPr>
      </w:pPr>
      <w:r w:rsidRPr="002C3D69">
        <w:rPr>
          <w:rFonts w:cs="Arial"/>
          <w:b/>
          <w:bCs/>
          <w:color w:val="77328A"/>
          <w:sz w:val="36"/>
          <w:szCs w:val="36"/>
        </w:rPr>
        <w:t>Application No. 45245/15</w:t>
      </w:r>
    </w:p>
    <w:p w14:paraId="7A14550C" w14:textId="77777777" w:rsidR="0062440E" w:rsidRDefault="0062440E" w:rsidP="009E5D23">
      <w:pPr>
        <w:pStyle w:val="Default"/>
        <w:spacing w:line="288" w:lineRule="auto"/>
        <w:jc w:val="center"/>
        <w:rPr>
          <w:rFonts w:cs="Arial"/>
          <w:color w:val="232120"/>
          <w:sz w:val="36"/>
          <w:szCs w:val="36"/>
        </w:rPr>
      </w:pPr>
    </w:p>
    <w:p w14:paraId="790FB2F4" w14:textId="77777777" w:rsidR="0062440E" w:rsidRDefault="0062440E" w:rsidP="009E5D23">
      <w:pPr>
        <w:pStyle w:val="Default"/>
        <w:spacing w:line="288" w:lineRule="auto"/>
        <w:jc w:val="center"/>
        <w:rPr>
          <w:rFonts w:cs="Arial"/>
          <w:color w:val="232120"/>
          <w:sz w:val="36"/>
          <w:szCs w:val="36"/>
        </w:rPr>
      </w:pPr>
    </w:p>
    <w:p w14:paraId="6A5135BF" w14:textId="77777777" w:rsidR="0062440E" w:rsidRPr="00331C61" w:rsidRDefault="0062440E" w:rsidP="009E5D23">
      <w:pPr>
        <w:pStyle w:val="Default"/>
        <w:spacing w:line="288" w:lineRule="auto"/>
        <w:jc w:val="center"/>
        <w:rPr>
          <w:rFonts w:cs="Arial"/>
          <w:color w:val="232120"/>
          <w:sz w:val="36"/>
          <w:szCs w:val="36"/>
        </w:rPr>
      </w:pPr>
    </w:p>
    <w:p w14:paraId="4887CB02" w14:textId="58AB36AB" w:rsidR="009E5D23" w:rsidRPr="00331C61" w:rsidRDefault="00F221AC" w:rsidP="009E5D23">
      <w:pPr>
        <w:spacing w:line="288" w:lineRule="auto"/>
        <w:jc w:val="center"/>
        <w:rPr>
          <w:rFonts w:cs="Arial"/>
          <w:b/>
          <w:color w:val="232120"/>
          <w:sz w:val="30"/>
          <w:szCs w:val="30"/>
        </w:rPr>
      </w:pPr>
      <w:r>
        <w:rPr>
          <w:rFonts w:cs="Arial"/>
          <w:b/>
          <w:color w:val="232120"/>
          <w:sz w:val="30"/>
          <w:szCs w:val="30"/>
        </w:rPr>
        <w:t>November</w:t>
      </w:r>
      <w:r w:rsidR="00ED34CD">
        <w:rPr>
          <w:rFonts w:cs="Arial"/>
          <w:b/>
          <w:color w:val="232120"/>
          <w:sz w:val="30"/>
          <w:szCs w:val="30"/>
        </w:rPr>
        <w:t xml:space="preserve"> 202</w:t>
      </w:r>
      <w:r w:rsidR="00412417">
        <w:rPr>
          <w:rFonts w:cs="Arial"/>
          <w:b/>
          <w:color w:val="232120"/>
          <w:sz w:val="30"/>
          <w:szCs w:val="30"/>
        </w:rPr>
        <w:t>3</w:t>
      </w:r>
    </w:p>
    <w:p w14:paraId="1C83F7C7" w14:textId="77777777" w:rsidR="009E5D23" w:rsidRPr="00331C61" w:rsidRDefault="009E5D23" w:rsidP="009E5D23">
      <w:pPr>
        <w:spacing w:line="288" w:lineRule="auto"/>
        <w:jc w:val="center"/>
        <w:rPr>
          <w:rFonts w:cs="Arial"/>
          <w:b/>
          <w:color w:val="232120"/>
          <w:sz w:val="28"/>
          <w:szCs w:val="28"/>
        </w:rPr>
      </w:pPr>
    </w:p>
    <w:p w14:paraId="0DC53DED" w14:textId="77777777" w:rsidR="009E5D23" w:rsidRPr="00331C61" w:rsidRDefault="009E5D23" w:rsidP="009E5D23">
      <w:pPr>
        <w:spacing w:line="288" w:lineRule="auto"/>
        <w:jc w:val="center"/>
        <w:rPr>
          <w:rFonts w:cs="Arial"/>
          <w:b/>
          <w:color w:val="232120"/>
          <w:sz w:val="28"/>
          <w:szCs w:val="28"/>
        </w:rPr>
      </w:pPr>
    </w:p>
    <w:p w14:paraId="32AD7A82" w14:textId="77777777" w:rsidR="008E504E" w:rsidRDefault="008E504E" w:rsidP="002C3D69">
      <w:pPr>
        <w:pStyle w:val="Default"/>
        <w:spacing w:line="480" w:lineRule="auto"/>
        <w:rPr>
          <w:rFonts w:cs="Arial"/>
          <w:b/>
          <w:color w:val="232120"/>
          <w:sz w:val="36"/>
          <w:szCs w:val="36"/>
        </w:rPr>
      </w:pPr>
    </w:p>
    <w:p w14:paraId="4441A8F0" w14:textId="77777777" w:rsidR="008E504E" w:rsidRDefault="004950B7" w:rsidP="004950B7">
      <w:pPr>
        <w:pStyle w:val="Default"/>
        <w:spacing w:line="480" w:lineRule="auto"/>
        <w:rPr>
          <w:rFonts w:cs="Arial"/>
          <w:b/>
          <w:color w:val="7030A0"/>
          <w:sz w:val="36"/>
          <w:szCs w:val="36"/>
          <w:lang w:val="en-GB"/>
        </w:rPr>
      </w:pPr>
      <w:r w:rsidRPr="004950B7">
        <w:rPr>
          <w:rFonts w:cs="Arial"/>
          <w:b/>
          <w:color w:val="7030A0"/>
          <w:sz w:val="36"/>
          <w:szCs w:val="36"/>
          <w:lang w:val="en-GB"/>
        </w:rPr>
        <w:lastRenderedPageBreak/>
        <w:t xml:space="preserve">Table of </w:t>
      </w:r>
      <w:r w:rsidRPr="00BF02D6">
        <w:rPr>
          <w:rFonts w:cs="Arial"/>
          <w:b/>
          <w:color w:val="7030A0"/>
          <w:sz w:val="36"/>
          <w:szCs w:val="36"/>
          <w:lang w:val="en-GB"/>
        </w:rPr>
        <w:t>Contents</w:t>
      </w:r>
    </w:p>
    <w:p w14:paraId="47719C00" w14:textId="21C2580C" w:rsidR="00661AD2" w:rsidRDefault="00000000" w:rsidP="00391A71">
      <w:pPr>
        <w:tabs>
          <w:tab w:val="left" w:pos="660"/>
          <w:tab w:val="right" w:leader="dot" w:pos="9848"/>
        </w:tabs>
        <w:spacing w:after="100" w:line="360" w:lineRule="auto"/>
        <w:rPr>
          <w:rFonts w:eastAsia="MS Mincho" w:cs="Times New Roman"/>
          <w:b/>
          <w:bCs/>
          <w:noProof/>
          <w:color w:val="000000" w:themeColor="text1"/>
          <w:lang w:val="en-US"/>
        </w:rPr>
      </w:pPr>
      <w:hyperlink w:anchor="_Toc65145486" w:history="1">
        <w:r w:rsidR="00661AD2" w:rsidRPr="00661AD2">
          <w:rPr>
            <w:rFonts w:eastAsia="MS Mincho" w:cs="Times New Roman"/>
            <w:b/>
            <w:bCs/>
            <w:noProof/>
            <w:color w:val="000000" w:themeColor="text1"/>
            <w:lang w:val="en-US"/>
          </w:rPr>
          <w:t>1.0</w:t>
        </w:r>
        <w:r w:rsidR="00661AD2" w:rsidRPr="00661AD2">
          <w:rPr>
            <w:rFonts w:ascii="Cambria" w:eastAsia="MS Mincho" w:hAnsi="Cambria" w:cs="Times New Roman"/>
            <w:b/>
            <w:bCs/>
            <w:noProof/>
            <w:color w:val="000000" w:themeColor="text1"/>
            <w:lang w:eastAsia="en-GB"/>
          </w:rPr>
          <w:tab/>
        </w:r>
        <w:r w:rsidR="00661AD2" w:rsidRPr="00661AD2">
          <w:rPr>
            <w:rFonts w:eastAsia="MS Mincho" w:cs="Times New Roman"/>
            <w:b/>
            <w:bCs/>
            <w:noProof/>
            <w:color w:val="000000" w:themeColor="text1"/>
            <w:lang w:val="en-US"/>
          </w:rPr>
          <w:t>Introduction</w:t>
        </w:r>
        <w:r w:rsidR="00661AD2" w:rsidRPr="00661AD2">
          <w:rPr>
            <w:rFonts w:eastAsia="MS Mincho" w:cs="Times New Roman"/>
            <w:b/>
            <w:bCs/>
            <w:noProof/>
            <w:webHidden/>
            <w:color w:val="000000" w:themeColor="text1"/>
            <w:lang w:val="en-US"/>
          </w:rPr>
          <w:tab/>
        </w:r>
        <w:r w:rsidR="00870C5F">
          <w:rPr>
            <w:rFonts w:eastAsia="MS Mincho" w:cs="Times New Roman"/>
            <w:b/>
            <w:bCs/>
            <w:noProof/>
            <w:webHidden/>
            <w:color w:val="000000" w:themeColor="text1"/>
            <w:lang w:val="en-US"/>
          </w:rPr>
          <w:t>3</w:t>
        </w:r>
      </w:hyperlink>
    </w:p>
    <w:p w14:paraId="6C7A92CD" w14:textId="444EAA6A" w:rsidR="00661AD2" w:rsidRPr="00DA26E1" w:rsidRDefault="00000000" w:rsidP="00DA26E1">
      <w:pPr>
        <w:tabs>
          <w:tab w:val="left" w:pos="660"/>
          <w:tab w:val="right" w:leader="dot" w:pos="9848"/>
        </w:tabs>
        <w:spacing w:after="100" w:line="360" w:lineRule="auto"/>
        <w:rPr>
          <w:rFonts w:eastAsia="MS Mincho" w:cs="Times New Roman"/>
          <w:b/>
          <w:bCs/>
          <w:noProof/>
          <w:color w:val="000000" w:themeColor="text1"/>
          <w:lang w:val="en-US"/>
        </w:rPr>
      </w:pPr>
      <w:hyperlink w:anchor="_Toc65145487" w:history="1">
        <w:r w:rsidR="00661AD2" w:rsidRPr="00661AD2">
          <w:rPr>
            <w:rFonts w:eastAsia="MS Mincho" w:cs="Times New Roman"/>
            <w:b/>
            <w:bCs/>
            <w:noProof/>
            <w:color w:val="000000" w:themeColor="text1"/>
            <w:lang w:val="en-US"/>
          </w:rPr>
          <w:t>2.0</w:t>
        </w:r>
        <w:r w:rsidR="00661AD2" w:rsidRPr="00661AD2">
          <w:rPr>
            <w:rFonts w:ascii="Cambria" w:eastAsia="MS Mincho" w:hAnsi="Cambria" w:cs="Times New Roman"/>
            <w:b/>
            <w:bCs/>
            <w:noProof/>
            <w:color w:val="000000" w:themeColor="text1"/>
            <w:lang w:eastAsia="en-GB"/>
          </w:rPr>
          <w:tab/>
        </w:r>
        <w:r w:rsidR="00BF662B">
          <w:rPr>
            <w:rFonts w:eastAsia="MS Mincho" w:cs="Times New Roman"/>
            <w:b/>
            <w:bCs/>
            <w:noProof/>
            <w:color w:val="000000" w:themeColor="text1"/>
            <w:lang w:val="en-US"/>
          </w:rPr>
          <w:t>Background</w:t>
        </w:r>
        <w:r w:rsidR="00661AD2" w:rsidRPr="00661AD2">
          <w:rPr>
            <w:rFonts w:eastAsia="MS Mincho" w:cs="Times New Roman"/>
            <w:b/>
            <w:bCs/>
            <w:noProof/>
            <w:webHidden/>
            <w:color w:val="000000" w:themeColor="text1"/>
            <w:lang w:val="en-US"/>
          </w:rPr>
          <w:tab/>
        </w:r>
        <w:r w:rsidR="00F91DE5">
          <w:rPr>
            <w:rFonts w:eastAsia="MS Mincho" w:cs="Times New Roman"/>
            <w:b/>
            <w:bCs/>
            <w:noProof/>
            <w:webHidden/>
            <w:color w:val="000000" w:themeColor="text1"/>
            <w:lang w:val="en-US"/>
          </w:rPr>
          <w:t>4</w:t>
        </w:r>
      </w:hyperlink>
    </w:p>
    <w:p w14:paraId="2AD58C45" w14:textId="17E407C0" w:rsidR="008E7597" w:rsidRPr="002B0315" w:rsidRDefault="00000000" w:rsidP="002B0315">
      <w:pPr>
        <w:tabs>
          <w:tab w:val="left" w:pos="660"/>
          <w:tab w:val="right" w:leader="dot" w:pos="9848"/>
        </w:tabs>
        <w:spacing w:after="100" w:line="360" w:lineRule="auto"/>
        <w:rPr>
          <w:rFonts w:ascii="Cambria" w:eastAsia="MS Mincho" w:hAnsi="Cambria" w:cs="Times New Roman"/>
          <w:b/>
          <w:bCs/>
          <w:noProof/>
          <w:color w:val="000000" w:themeColor="text1"/>
          <w:lang w:eastAsia="en-GB"/>
        </w:rPr>
      </w:pPr>
      <w:hyperlink w:anchor="_Toc65145493" w:history="1">
        <w:r w:rsidR="00736BEA" w:rsidRPr="00661AD2">
          <w:rPr>
            <w:rFonts w:eastAsia="MS Mincho" w:cs="Times New Roman"/>
            <w:b/>
            <w:bCs/>
            <w:noProof/>
            <w:color w:val="000000" w:themeColor="text1"/>
            <w:lang w:val="en-US"/>
          </w:rPr>
          <w:t>3.0</w:t>
        </w:r>
        <w:r w:rsidR="00736BEA" w:rsidRPr="00661AD2">
          <w:rPr>
            <w:rFonts w:ascii="Cambria" w:eastAsia="MS Mincho" w:hAnsi="Cambria" w:cs="Times New Roman"/>
            <w:b/>
            <w:bCs/>
            <w:noProof/>
            <w:color w:val="000000" w:themeColor="text1"/>
            <w:lang w:eastAsia="en-GB"/>
          </w:rPr>
          <w:tab/>
        </w:r>
        <w:r w:rsidR="004F3BE3">
          <w:rPr>
            <w:rFonts w:eastAsia="MS Mincho" w:cs="Times New Roman"/>
            <w:b/>
            <w:bCs/>
            <w:noProof/>
            <w:color w:val="000000" w:themeColor="text1"/>
            <w:lang w:val="en-US"/>
          </w:rPr>
          <w:t>UK</w:t>
        </w:r>
        <w:r w:rsidR="0036065C">
          <w:rPr>
            <w:rFonts w:eastAsia="MS Mincho" w:cs="Times New Roman"/>
            <w:b/>
            <w:bCs/>
            <w:noProof/>
            <w:color w:val="000000" w:themeColor="text1"/>
            <w:lang w:val="en-US"/>
          </w:rPr>
          <w:t xml:space="preserve"> Action Plan</w:t>
        </w:r>
        <w:r w:rsidR="00736BEA" w:rsidRPr="00661AD2">
          <w:rPr>
            <w:rFonts w:eastAsia="MS Mincho" w:cs="Times New Roman"/>
            <w:b/>
            <w:bCs/>
            <w:noProof/>
            <w:webHidden/>
            <w:color w:val="000000" w:themeColor="text1"/>
            <w:lang w:val="en-US"/>
          </w:rPr>
          <w:tab/>
        </w:r>
        <w:r w:rsidR="002B0315">
          <w:rPr>
            <w:rFonts w:eastAsia="MS Mincho" w:cs="Times New Roman"/>
            <w:b/>
            <w:bCs/>
            <w:noProof/>
            <w:webHidden/>
            <w:color w:val="000000" w:themeColor="text1"/>
            <w:lang w:val="en-US"/>
          </w:rPr>
          <w:t>7</w:t>
        </w:r>
      </w:hyperlink>
    </w:p>
    <w:p w14:paraId="1FA0CA87" w14:textId="76865FCD" w:rsidR="008E7597" w:rsidRDefault="008E7597" w:rsidP="008E7597">
      <w:pPr>
        <w:rPr>
          <w:rFonts w:cs="Arial"/>
          <w:b/>
          <w:color w:val="232120"/>
        </w:rPr>
      </w:pPr>
    </w:p>
    <w:p w14:paraId="1C16359C" w14:textId="1B135826" w:rsidR="008E7597" w:rsidRDefault="008E7597" w:rsidP="008E7597">
      <w:pPr>
        <w:rPr>
          <w:rFonts w:cs="Arial"/>
          <w:b/>
          <w:color w:val="232120"/>
        </w:rPr>
      </w:pPr>
    </w:p>
    <w:p w14:paraId="50295F4E" w14:textId="5E3A0156" w:rsidR="008E7597" w:rsidRDefault="008E7597" w:rsidP="008E7597">
      <w:pPr>
        <w:rPr>
          <w:rFonts w:cs="Arial"/>
          <w:b/>
          <w:color w:val="232120"/>
        </w:rPr>
      </w:pPr>
    </w:p>
    <w:p w14:paraId="72521D73" w14:textId="5340C37B" w:rsidR="008E7597" w:rsidRDefault="008E7597" w:rsidP="008E7597">
      <w:pPr>
        <w:rPr>
          <w:rFonts w:cs="Arial"/>
          <w:b/>
          <w:color w:val="232120"/>
        </w:rPr>
      </w:pPr>
    </w:p>
    <w:p w14:paraId="76982584" w14:textId="45E41F01" w:rsidR="008E7597" w:rsidRDefault="008E7597" w:rsidP="008E7597">
      <w:pPr>
        <w:rPr>
          <w:rFonts w:cs="Arial"/>
          <w:b/>
          <w:color w:val="232120"/>
        </w:rPr>
      </w:pPr>
    </w:p>
    <w:p w14:paraId="5B86527C" w14:textId="4B17592E" w:rsidR="008E7597" w:rsidRDefault="008E7597" w:rsidP="008E7597">
      <w:pPr>
        <w:rPr>
          <w:rFonts w:cs="Arial"/>
          <w:b/>
          <w:color w:val="232120"/>
        </w:rPr>
      </w:pPr>
    </w:p>
    <w:p w14:paraId="59C51665" w14:textId="78F914FA" w:rsidR="008E7597" w:rsidRDefault="008E7597" w:rsidP="008E7597">
      <w:pPr>
        <w:rPr>
          <w:rFonts w:cs="Arial"/>
          <w:b/>
          <w:color w:val="232120"/>
        </w:rPr>
      </w:pPr>
    </w:p>
    <w:p w14:paraId="06A6B76E" w14:textId="44D7AD22" w:rsidR="008E7597" w:rsidRDefault="008E7597" w:rsidP="008E7597">
      <w:pPr>
        <w:rPr>
          <w:rFonts w:cs="Arial"/>
          <w:b/>
          <w:color w:val="232120"/>
        </w:rPr>
      </w:pPr>
    </w:p>
    <w:p w14:paraId="2119D7B5" w14:textId="7774F2DF" w:rsidR="008E7597" w:rsidRDefault="008E7597" w:rsidP="008E7597">
      <w:pPr>
        <w:rPr>
          <w:rFonts w:cs="Arial"/>
          <w:b/>
          <w:color w:val="232120"/>
        </w:rPr>
      </w:pPr>
    </w:p>
    <w:p w14:paraId="5C965716" w14:textId="0E97CD6C" w:rsidR="008E7597" w:rsidRDefault="008E7597" w:rsidP="008E7597">
      <w:pPr>
        <w:rPr>
          <w:rFonts w:cs="Arial"/>
          <w:b/>
          <w:color w:val="232120"/>
        </w:rPr>
      </w:pPr>
    </w:p>
    <w:p w14:paraId="70B06752" w14:textId="3A78B2BF" w:rsidR="008E7597" w:rsidRDefault="008E7597" w:rsidP="008E7597">
      <w:pPr>
        <w:rPr>
          <w:rFonts w:cs="Arial"/>
          <w:b/>
          <w:color w:val="232120"/>
        </w:rPr>
      </w:pPr>
    </w:p>
    <w:p w14:paraId="436E09E6" w14:textId="6F7EA574" w:rsidR="008E7597" w:rsidRDefault="008E7597" w:rsidP="008E7597">
      <w:pPr>
        <w:rPr>
          <w:rFonts w:cs="Arial"/>
          <w:b/>
          <w:color w:val="232120"/>
        </w:rPr>
      </w:pPr>
    </w:p>
    <w:p w14:paraId="689E385E" w14:textId="18E55747" w:rsidR="008E7597" w:rsidRDefault="008E7597" w:rsidP="008E7597">
      <w:pPr>
        <w:rPr>
          <w:rFonts w:cs="Arial"/>
          <w:b/>
          <w:color w:val="232120"/>
        </w:rPr>
      </w:pPr>
    </w:p>
    <w:p w14:paraId="3151EC33" w14:textId="77777777" w:rsidR="008E7597" w:rsidRDefault="008E7597" w:rsidP="008E7597">
      <w:pPr>
        <w:rPr>
          <w:rFonts w:cs="Arial"/>
          <w:b/>
          <w:color w:val="232120"/>
        </w:rPr>
      </w:pPr>
    </w:p>
    <w:p w14:paraId="2A1D1AAE" w14:textId="03A2A9C4" w:rsidR="000B3102" w:rsidRDefault="000B3102" w:rsidP="004950B7">
      <w:pPr>
        <w:pStyle w:val="Default"/>
        <w:spacing w:line="480" w:lineRule="auto"/>
        <w:rPr>
          <w:rFonts w:cs="Arial"/>
          <w:b/>
          <w:color w:val="232120"/>
        </w:rPr>
      </w:pPr>
    </w:p>
    <w:p w14:paraId="125782FF" w14:textId="77777777" w:rsidR="001D448E" w:rsidRDefault="001D448E" w:rsidP="004950B7">
      <w:pPr>
        <w:pStyle w:val="Default"/>
        <w:spacing w:line="480" w:lineRule="auto"/>
        <w:rPr>
          <w:rFonts w:cs="Arial"/>
          <w:b/>
          <w:color w:val="232120"/>
        </w:rPr>
      </w:pPr>
    </w:p>
    <w:p w14:paraId="299BBBB5" w14:textId="77777777" w:rsidR="00DF7B95" w:rsidRDefault="00DF7B95" w:rsidP="004950B7">
      <w:pPr>
        <w:pStyle w:val="Default"/>
        <w:spacing w:line="480" w:lineRule="auto"/>
        <w:rPr>
          <w:rFonts w:cs="Arial"/>
          <w:b/>
          <w:color w:val="232120"/>
        </w:rPr>
      </w:pPr>
    </w:p>
    <w:p w14:paraId="0EB4FAC2" w14:textId="77777777" w:rsidR="00DF7B95" w:rsidRDefault="00DF7B95" w:rsidP="004950B7">
      <w:pPr>
        <w:pStyle w:val="Default"/>
        <w:spacing w:line="480" w:lineRule="auto"/>
        <w:rPr>
          <w:rFonts w:cs="Arial"/>
          <w:b/>
          <w:color w:val="232120"/>
        </w:rPr>
      </w:pPr>
    </w:p>
    <w:p w14:paraId="5DFDDE04" w14:textId="77777777" w:rsidR="00DF7B95" w:rsidRDefault="00DF7B95" w:rsidP="004950B7">
      <w:pPr>
        <w:pStyle w:val="Default"/>
        <w:spacing w:line="480" w:lineRule="auto"/>
        <w:rPr>
          <w:rFonts w:cs="Arial"/>
          <w:b/>
          <w:color w:val="232120"/>
        </w:rPr>
      </w:pPr>
    </w:p>
    <w:p w14:paraId="493AA46F" w14:textId="77777777" w:rsidR="00DF7B95" w:rsidRDefault="00DF7B95" w:rsidP="004950B7">
      <w:pPr>
        <w:pStyle w:val="Default"/>
        <w:spacing w:line="480" w:lineRule="auto"/>
        <w:rPr>
          <w:rFonts w:cs="Arial"/>
          <w:b/>
          <w:color w:val="232120"/>
        </w:rPr>
      </w:pPr>
    </w:p>
    <w:p w14:paraId="7DBCD0FE" w14:textId="77777777" w:rsidR="00DF7B95" w:rsidRDefault="00DF7B95" w:rsidP="004950B7">
      <w:pPr>
        <w:pStyle w:val="Default"/>
        <w:spacing w:line="480" w:lineRule="auto"/>
        <w:rPr>
          <w:rFonts w:cs="Arial"/>
          <w:b/>
          <w:color w:val="232120"/>
        </w:rPr>
      </w:pPr>
    </w:p>
    <w:p w14:paraId="768768C6" w14:textId="77777777" w:rsidR="002B0315" w:rsidRDefault="002B0315" w:rsidP="004950B7">
      <w:pPr>
        <w:pStyle w:val="Default"/>
        <w:spacing w:line="480" w:lineRule="auto"/>
        <w:rPr>
          <w:rFonts w:cs="Arial"/>
          <w:b/>
          <w:color w:val="232120"/>
        </w:rPr>
      </w:pPr>
    </w:p>
    <w:p w14:paraId="6BAC76B4" w14:textId="77777777" w:rsidR="002B0315" w:rsidRDefault="002B0315" w:rsidP="004950B7">
      <w:pPr>
        <w:pStyle w:val="Default"/>
        <w:spacing w:line="480" w:lineRule="auto"/>
        <w:rPr>
          <w:rFonts w:cs="Arial"/>
          <w:b/>
          <w:color w:val="232120"/>
        </w:rPr>
      </w:pPr>
    </w:p>
    <w:p w14:paraId="4E931A7C" w14:textId="77777777" w:rsidR="002B0315" w:rsidRDefault="002B0315" w:rsidP="004950B7">
      <w:pPr>
        <w:pStyle w:val="Default"/>
        <w:spacing w:line="480" w:lineRule="auto"/>
        <w:rPr>
          <w:rFonts w:cs="Arial"/>
          <w:b/>
          <w:color w:val="232120"/>
        </w:rPr>
      </w:pPr>
    </w:p>
    <w:p w14:paraId="544E373A" w14:textId="77777777" w:rsidR="002B0315" w:rsidRDefault="002B0315" w:rsidP="004950B7">
      <w:pPr>
        <w:pStyle w:val="Default"/>
        <w:spacing w:line="480" w:lineRule="auto"/>
        <w:rPr>
          <w:rFonts w:cs="Arial"/>
          <w:b/>
          <w:color w:val="232120"/>
        </w:rPr>
      </w:pPr>
    </w:p>
    <w:p w14:paraId="3C74E99B" w14:textId="77777777" w:rsidR="00D13EFD" w:rsidRDefault="00D13EFD" w:rsidP="004950B7">
      <w:pPr>
        <w:pStyle w:val="Default"/>
        <w:spacing w:line="480" w:lineRule="auto"/>
        <w:rPr>
          <w:rFonts w:cs="Arial"/>
          <w:b/>
          <w:color w:val="232120"/>
        </w:rPr>
      </w:pPr>
    </w:p>
    <w:p w14:paraId="39950991" w14:textId="77777777" w:rsidR="00CF729D" w:rsidRPr="00840974" w:rsidRDefault="00CF729D" w:rsidP="00870B7A">
      <w:pPr>
        <w:tabs>
          <w:tab w:val="left" w:pos="915"/>
        </w:tabs>
      </w:pPr>
    </w:p>
    <w:p w14:paraId="41EBE4CE" w14:textId="77777777" w:rsidR="009E5D23" w:rsidRPr="009C40CC" w:rsidRDefault="0051729C" w:rsidP="00B220E9">
      <w:pPr>
        <w:pStyle w:val="ListParagraph"/>
        <w:numPr>
          <w:ilvl w:val="0"/>
          <w:numId w:val="4"/>
        </w:numPr>
        <w:rPr>
          <w:b/>
          <w:bCs/>
          <w:color w:val="7030A0"/>
          <w:sz w:val="32"/>
          <w:szCs w:val="32"/>
        </w:rPr>
      </w:pPr>
      <w:r>
        <w:rPr>
          <w:b/>
          <w:bCs/>
          <w:color w:val="7030A0"/>
          <w:sz w:val="32"/>
          <w:szCs w:val="32"/>
        </w:rPr>
        <w:lastRenderedPageBreak/>
        <w:t>Introduction</w:t>
      </w:r>
      <w:bookmarkStart w:id="1" w:name="_Hlk75798661"/>
    </w:p>
    <w:bookmarkEnd w:id="1"/>
    <w:p w14:paraId="11B58AF4" w14:textId="19E90344" w:rsidR="00EF0CE7" w:rsidRDefault="00EF0CE7" w:rsidP="00EF0CE7">
      <w:pPr>
        <w:pStyle w:val="ListParagraph"/>
        <w:rPr>
          <w:color w:val="000000"/>
        </w:rPr>
      </w:pPr>
    </w:p>
    <w:p w14:paraId="1B2EFC28" w14:textId="77777777" w:rsidR="0031265E" w:rsidRPr="00EF0CE7" w:rsidRDefault="0031265E" w:rsidP="00EF0CE7">
      <w:pPr>
        <w:pStyle w:val="ListParagraph"/>
        <w:rPr>
          <w:color w:val="000000"/>
        </w:rPr>
      </w:pPr>
    </w:p>
    <w:p w14:paraId="2C050A3B" w14:textId="2D5A2B35" w:rsidR="006877C5" w:rsidRPr="006877C5" w:rsidRDefault="009E5D23" w:rsidP="006B6E9C">
      <w:pPr>
        <w:pStyle w:val="ListParagraph"/>
        <w:numPr>
          <w:ilvl w:val="1"/>
          <w:numId w:val="3"/>
        </w:numPr>
        <w:jc w:val="both"/>
        <w:rPr>
          <w:color w:val="000000"/>
        </w:rPr>
      </w:pPr>
      <w:r w:rsidRPr="00BF1FF7">
        <w:rPr>
          <w:rFonts w:eastAsia="Times New Roman" w:cs="Times New Roman"/>
        </w:rPr>
        <w:t xml:space="preserve">The Northern Ireland Human Rights Commission </w:t>
      </w:r>
      <w:r w:rsidR="006B6E9C" w:rsidRPr="00030236">
        <w:rPr>
          <w:rFonts w:eastAsia="Times New Roman" w:cs="Times New Roman"/>
          <w:iCs/>
        </w:rPr>
        <w:t>(‘</w:t>
      </w:r>
      <w:r w:rsidR="003C77FF">
        <w:rPr>
          <w:rFonts w:eastAsia="Times New Roman" w:cs="Times New Roman"/>
          <w:iCs/>
        </w:rPr>
        <w:t>NIHRC</w:t>
      </w:r>
      <w:r w:rsidR="006B6E9C" w:rsidRPr="00030236">
        <w:rPr>
          <w:rFonts w:eastAsia="Times New Roman" w:cs="Times New Roman"/>
          <w:iCs/>
        </w:rPr>
        <w:t>’)</w:t>
      </w:r>
      <w:r w:rsidRPr="00BF1FF7">
        <w:rPr>
          <w:rFonts w:eastAsia="Times New Roman" w:cs="Times New Roman"/>
        </w:rPr>
        <w:t>, pursuant to Section 69(1) of the Northern Ireland Act 1998, reviews the adequacy and effectiveness of law and practice relating to the protection of human rights in Northern Ireland (</w:t>
      </w:r>
      <w:r w:rsidR="006B6E9C">
        <w:rPr>
          <w:rFonts w:eastAsia="Times New Roman" w:cs="Times New Roman"/>
        </w:rPr>
        <w:t>‘</w:t>
      </w:r>
      <w:r w:rsidRPr="00BF1FF7">
        <w:rPr>
          <w:rFonts w:eastAsia="Times New Roman" w:cs="Times New Roman"/>
        </w:rPr>
        <w:t>NI</w:t>
      </w:r>
      <w:r w:rsidR="006B6E9C">
        <w:rPr>
          <w:rFonts w:eastAsia="Times New Roman" w:cs="Times New Roman"/>
        </w:rPr>
        <w:t>’</w:t>
      </w:r>
      <w:r w:rsidRPr="00BF1FF7">
        <w:rPr>
          <w:rFonts w:eastAsia="Times New Roman" w:cs="Times New Roman"/>
        </w:rPr>
        <w:t>).</w:t>
      </w:r>
      <w:r w:rsidR="00030236" w:rsidRPr="006B6E9C">
        <w:rPr>
          <w:rFonts w:eastAsia="Times New Roman" w:cs="Times New Roman"/>
          <w:iCs/>
        </w:rPr>
        <w:t xml:space="preserve"> </w:t>
      </w:r>
      <w:r w:rsidR="00EE3EF8">
        <w:rPr>
          <w:rFonts w:eastAsia="Times New Roman" w:cs="Times New Roman"/>
          <w:iCs/>
        </w:rPr>
        <w:t xml:space="preserve">The </w:t>
      </w:r>
      <w:r w:rsidR="0070161A">
        <w:rPr>
          <w:rFonts w:eastAsia="Times New Roman" w:cs="Times New Roman"/>
          <w:iCs/>
        </w:rPr>
        <w:t>NIHRC</w:t>
      </w:r>
      <w:r w:rsidR="00030236" w:rsidRPr="006B6E9C">
        <w:rPr>
          <w:rFonts w:eastAsia="Times New Roman" w:cs="Times New Roman"/>
          <w:iCs/>
        </w:rPr>
        <w:t xml:space="preserve"> is </w:t>
      </w:r>
      <w:r w:rsidR="00A57AC7">
        <w:rPr>
          <w:rFonts w:eastAsia="Times New Roman" w:cs="Times New Roman"/>
          <w:iCs/>
        </w:rPr>
        <w:t>one of three</w:t>
      </w:r>
      <w:r w:rsidR="00A57AC7" w:rsidRPr="006B6E9C">
        <w:rPr>
          <w:rFonts w:eastAsia="Times New Roman" w:cs="Times New Roman"/>
          <w:iCs/>
        </w:rPr>
        <w:t xml:space="preserve"> </w:t>
      </w:r>
      <w:r w:rsidR="00030236" w:rsidRPr="006B6E9C">
        <w:rPr>
          <w:rFonts w:eastAsia="Times New Roman" w:cs="Times New Roman"/>
          <w:iCs/>
        </w:rPr>
        <w:t>national human rights institution</w:t>
      </w:r>
      <w:r w:rsidR="00A57AC7">
        <w:rPr>
          <w:rFonts w:eastAsia="Times New Roman" w:cs="Times New Roman"/>
          <w:iCs/>
        </w:rPr>
        <w:t>s in the UK and has</w:t>
      </w:r>
      <w:r w:rsidR="00030236" w:rsidRPr="006B6E9C">
        <w:rPr>
          <w:rFonts w:eastAsia="Times New Roman" w:cs="Times New Roman"/>
          <w:iCs/>
        </w:rPr>
        <w:t xml:space="preserve"> ‘A’ status accreditation from the United Nations (UN). It is an independent public body that operates in full accordance with the UN Paris Principles.</w:t>
      </w:r>
      <w:r w:rsidR="00030236" w:rsidRPr="00030236">
        <w:rPr>
          <w:rFonts w:eastAsia="Times New Roman"/>
          <w:vertAlign w:val="superscript"/>
        </w:rPr>
        <w:footnoteReference w:id="1"/>
      </w:r>
      <w:r w:rsidR="00030236" w:rsidRPr="006B6E9C">
        <w:rPr>
          <w:rFonts w:eastAsia="Times New Roman" w:cs="Times New Roman"/>
          <w:iCs/>
        </w:rPr>
        <w:t xml:space="preserve"> </w:t>
      </w:r>
    </w:p>
    <w:p w14:paraId="68A99532" w14:textId="77777777" w:rsidR="006877C5" w:rsidRPr="006877C5" w:rsidRDefault="006877C5" w:rsidP="006877C5">
      <w:pPr>
        <w:pStyle w:val="ListParagraph"/>
        <w:jc w:val="both"/>
        <w:rPr>
          <w:color w:val="000000"/>
        </w:rPr>
      </w:pPr>
    </w:p>
    <w:p w14:paraId="37BF5D74" w14:textId="77777777" w:rsidR="00A57AC7" w:rsidRPr="006D365B" w:rsidRDefault="00030236" w:rsidP="00F96B76">
      <w:pPr>
        <w:pStyle w:val="ListParagraph"/>
        <w:numPr>
          <w:ilvl w:val="1"/>
          <w:numId w:val="3"/>
        </w:numPr>
        <w:jc w:val="both"/>
        <w:rPr>
          <w:rFonts w:eastAsia="Times New Roman" w:cs="Times New Roman"/>
          <w:lang w:val="en-US"/>
        </w:rPr>
      </w:pPr>
      <w:r w:rsidRPr="006B6E9C">
        <w:rPr>
          <w:rFonts w:eastAsia="Times New Roman" w:cs="Times New Roman"/>
          <w:iCs/>
        </w:rPr>
        <w:t xml:space="preserve">The </w:t>
      </w:r>
      <w:r w:rsidR="00291CFD" w:rsidRPr="00291CFD">
        <w:rPr>
          <w:rFonts w:eastAsia="Times New Roman" w:cs="Times New Roman"/>
          <w:iCs/>
        </w:rPr>
        <w:t>NIHRC</w:t>
      </w:r>
      <w:r w:rsidRPr="006B6E9C">
        <w:rPr>
          <w:rFonts w:eastAsia="Times New Roman" w:cs="Times New Roman"/>
          <w:iCs/>
        </w:rPr>
        <w:t xml:space="preserve"> was </w:t>
      </w:r>
      <w:r w:rsidRPr="006B6E9C">
        <w:rPr>
          <w:rFonts w:eastAsia="Times New Roman" w:cs="Times New Roman"/>
          <w:iCs/>
          <w:vanish/>
        </w:rPr>
        <w:t xml:space="preserve">must keep under review the adequacy and effectiveness of law and practice relating to the protection of human rights in Northern Ireland.  </w:t>
      </w:r>
      <w:r w:rsidRPr="006B6E9C">
        <w:rPr>
          <w:rFonts w:eastAsia="Times New Roman" w:cs="Times New Roman"/>
          <w:iCs/>
        </w:rPr>
        <w:t xml:space="preserve">established to play a central role in supporting a society that, as it rebuilds following conflict, respects and upholds human rights standards and responsibilities. This includes holding the UK Government to its commitments </w:t>
      </w:r>
      <w:r w:rsidRPr="006F3AA7">
        <w:rPr>
          <w:rFonts w:eastAsia="Times New Roman" w:cs="Times New Roman"/>
          <w:iCs/>
        </w:rPr>
        <w:t>under the European Convention of Human Rights and encouraging the full implementation of judgments from the European Court of Human Right</w:t>
      </w:r>
      <w:r w:rsidR="00463057" w:rsidRPr="006F3AA7">
        <w:rPr>
          <w:rFonts w:eastAsia="Times New Roman" w:cs="Times New Roman"/>
          <w:iCs/>
        </w:rPr>
        <w:t>s</w:t>
      </w:r>
      <w:r w:rsidR="00DD75E3" w:rsidRPr="006F3AA7">
        <w:rPr>
          <w:rFonts w:eastAsia="Times New Roman" w:cs="Times New Roman"/>
        </w:rPr>
        <w:t>.</w:t>
      </w:r>
      <w:r w:rsidR="00BF1FF7" w:rsidRPr="006F3AA7">
        <w:rPr>
          <w:rFonts w:eastAsia="Times New Roman" w:cs="Times New Roman"/>
        </w:rPr>
        <w:t xml:space="preserve"> </w:t>
      </w:r>
    </w:p>
    <w:p w14:paraId="43710BF3" w14:textId="77777777" w:rsidR="00A57AC7" w:rsidRPr="00A57AC7" w:rsidRDefault="00A57AC7" w:rsidP="006D365B">
      <w:pPr>
        <w:pStyle w:val="ListParagraph"/>
        <w:rPr>
          <w:rFonts w:eastAsia="Times New Roman" w:cs="Times New Roman"/>
        </w:rPr>
      </w:pPr>
    </w:p>
    <w:p w14:paraId="4CB81238" w14:textId="77777777" w:rsidR="006D5A6A" w:rsidRPr="006D5A6A" w:rsidRDefault="006D5A6A" w:rsidP="00F96B76">
      <w:pPr>
        <w:pStyle w:val="ListParagraph"/>
        <w:numPr>
          <w:ilvl w:val="1"/>
          <w:numId w:val="3"/>
        </w:numPr>
        <w:jc w:val="both"/>
        <w:rPr>
          <w:rFonts w:eastAsia="Times New Roman" w:cs="Times New Roman"/>
          <w:lang w:val="en-US"/>
        </w:rPr>
      </w:pPr>
      <w:r>
        <w:t>The NIHRC bases its advice on the full range of internationally accepted human rights standards, including the treaty obligations of the United Nations, Council of Europe (</w:t>
      </w:r>
      <w:proofErr w:type="spellStart"/>
      <w:r>
        <w:t>CoE</w:t>
      </w:r>
      <w:proofErr w:type="spellEnd"/>
      <w:r>
        <w:t>), including the European Convention on Human Rights</w:t>
      </w:r>
      <w:r w:rsidRPr="008D3C2E">
        <w:rPr>
          <w:vertAlign w:val="superscript"/>
        </w:rPr>
        <w:footnoteReference w:id="2"/>
      </w:r>
      <w:r>
        <w:t xml:space="preserve">, as incorporated by the Human Rights Act 1998. </w:t>
      </w:r>
    </w:p>
    <w:p w14:paraId="4C9FC81B" w14:textId="77777777" w:rsidR="006D5A6A" w:rsidRPr="006D5A6A" w:rsidRDefault="006D5A6A" w:rsidP="006D5A6A">
      <w:pPr>
        <w:pStyle w:val="ListParagraph"/>
        <w:rPr>
          <w:rFonts w:eastAsia="Times New Roman" w:cs="Times New Roman"/>
        </w:rPr>
      </w:pPr>
    </w:p>
    <w:p w14:paraId="322421EB" w14:textId="2E7B56A7" w:rsidR="007502BE" w:rsidRDefault="00BF1FF7" w:rsidP="00F96B76">
      <w:pPr>
        <w:pStyle w:val="ListParagraph"/>
        <w:numPr>
          <w:ilvl w:val="1"/>
          <w:numId w:val="3"/>
        </w:numPr>
        <w:jc w:val="both"/>
        <w:rPr>
          <w:rFonts w:eastAsia="Times New Roman" w:cs="Times New Roman"/>
          <w:lang w:val="en-US"/>
        </w:rPr>
      </w:pPr>
      <w:r w:rsidRPr="006F3AA7">
        <w:rPr>
          <w:rFonts w:eastAsia="Times New Roman" w:cs="Times New Roman"/>
        </w:rPr>
        <w:t xml:space="preserve">In accordance with these functions the following Rule 9 submission is made to the </w:t>
      </w:r>
      <w:proofErr w:type="spellStart"/>
      <w:r w:rsidRPr="006F3AA7">
        <w:rPr>
          <w:rFonts w:eastAsia="Times New Roman" w:cs="Times New Roman"/>
        </w:rPr>
        <w:t>CoE</w:t>
      </w:r>
      <w:proofErr w:type="spellEnd"/>
      <w:r w:rsidRPr="006F3AA7">
        <w:rPr>
          <w:rFonts w:eastAsia="Times New Roman" w:cs="Times New Roman"/>
        </w:rPr>
        <w:t xml:space="preserve"> Committee of Ministers on</w:t>
      </w:r>
      <w:r w:rsidR="00564AA7" w:rsidRPr="006F3AA7">
        <w:rPr>
          <w:rFonts w:cs="Arial"/>
          <w:color w:val="77328A"/>
          <w:sz w:val="36"/>
          <w:szCs w:val="36"/>
        </w:rPr>
        <w:t xml:space="preserve"> </w:t>
      </w:r>
      <w:r w:rsidR="00564AA7" w:rsidRPr="006F3AA7">
        <w:rPr>
          <w:rFonts w:eastAsia="Times New Roman" w:cs="Times New Roman"/>
        </w:rPr>
        <w:t>Supervision of the Execution of Judgments</w:t>
      </w:r>
      <w:r w:rsidRPr="006F3AA7">
        <w:rPr>
          <w:rFonts w:eastAsia="Times New Roman" w:cs="Times New Roman"/>
        </w:rPr>
        <w:t xml:space="preserve"> </w:t>
      </w:r>
      <w:r w:rsidR="006F3AA7" w:rsidRPr="006F3AA7">
        <w:rPr>
          <w:rFonts w:eastAsia="Times New Roman" w:cs="Times New Roman"/>
        </w:rPr>
        <w:t xml:space="preserve">in </w:t>
      </w:r>
      <w:r w:rsidR="006F3AA7" w:rsidRPr="006F3AA7">
        <w:rPr>
          <w:rFonts w:eastAsia="Times New Roman" w:cs="Times New Roman"/>
          <w:lang w:val="en-US"/>
        </w:rPr>
        <w:t>Gaughran v. the United Kingdom</w:t>
      </w:r>
      <w:r w:rsidR="006F3AA7">
        <w:rPr>
          <w:rFonts w:eastAsia="Times New Roman" w:cs="Times New Roman"/>
          <w:lang w:val="en-US"/>
        </w:rPr>
        <w:t>.</w:t>
      </w:r>
      <w:r w:rsidR="00A57AC7">
        <w:rPr>
          <w:rFonts w:eastAsia="Times New Roman" w:cs="Times New Roman"/>
          <w:lang w:val="en-US"/>
        </w:rPr>
        <w:t xml:space="preserve"> The scope of this submission relates to Northern Ireland. </w:t>
      </w:r>
    </w:p>
    <w:p w14:paraId="467CCC99" w14:textId="77777777" w:rsidR="00DE4732" w:rsidRDefault="00DE4732" w:rsidP="0027376F">
      <w:pPr>
        <w:jc w:val="both"/>
        <w:rPr>
          <w:color w:val="000000"/>
        </w:rPr>
      </w:pPr>
      <w:bookmarkStart w:id="2" w:name="_Hlk75348166"/>
    </w:p>
    <w:p w14:paraId="325A188B" w14:textId="77777777" w:rsidR="002B0315" w:rsidRDefault="002B0315" w:rsidP="0027376F">
      <w:pPr>
        <w:jc w:val="both"/>
        <w:rPr>
          <w:color w:val="000000"/>
        </w:rPr>
      </w:pPr>
    </w:p>
    <w:p w14:paraId="3EFCAF28" w14:textId="376AC37A" w:rsidR="00BD3F1B" w:rsidRPr="00743FDB" w:rsidRDefault="00C72312" w:rsidP="00743FDB">
      <w:pPr>
        <w:pStyle w:val="ListParagraph"/>
        <w:numPr>
          <w:ilvl w:val="0"/>
          <w:numId w:val="4"/>
        </w:numPr>
        <w:rPr>
          <w:b/>
          <w:bCs/>
          <w:color w:val="7030A0"/>
          <w:sz w:val="32"/>
          <w:szCs w:val="32"/>
        </w:rPr>
      </w:pPr>
      <w:bookmarkStart w:id="3" w:name="_Hlk75798789"/>
      <w:r>
        <w:rPr>
          <w:b/>
          <w:bCs/>
          <w:color w:val="7030A0"/>
          <w:sz w:val="32"/>
          <w:szCs w:val="32"/>
        </w:rPr>
        <w:t>Background</w:t>
      </w:r>
      <w:bookmarkEnd w:id="3"/>
    </w:p>
    <w:p w14:paraId="4749B3DA" w14:textId="77777777" w:rsidR="00164FB3" w:rsidRPr="00297D86" w:rsidRDefault="00164FB3" w:rsidP="0027376F">
      <w:pPr>
        <w:jc w:val="both"/>
        <w:rPr>
          <w:color w:val="000000"/>
        </w:rPr>
      </w:pPr>
    </w:p>
    <w:p w14:paraId="431FDC21" w14:textId="77777777" w:rsidR="00244812" w:rsidRPr="00244812" w:rsidRDefault="00244812" w:rsidP="00B220E9">
      <w:pPr>
        <w:pStyle w:val="ListParagraph"/>
        <w:numPr>
          <w:ilvl w:val="0"/>
          <w:numId w:val="3"/>
        </w:numPr>
        <w:jc w:val="both"/>
        <w:rPr>
          <w:vanish/>
        </w:rPr>
      </w:pPr>
    </w:p>
    <w:p w14:paraId="1114DCA9" w14:textId="77777777" w:rsidR="008E7580" w:rsidRPr="00DB2326" w:rsidRDefault="008E7580" w:rsidP="00DB2326">
      <w:pPr>
        <w:jc w:val="both"/>
        <w:rPr>
          <w:color w:val="000000"/>
        </w:rPr>
      </w:pPr>
    </w:p>
    <w:p w14:paraId="34CBA89A" w14:textId="7CBCC6B4" w:rsidR="006D365B" w:rsidRDefault="008108D9" w:rsidP="008108D9">
      <w:pPr>
        <w:pStyle w:val="ListParagraph"/>
        <w:numPr>
          <w:ilvl w:val="1"/>
          <w:numId w:val="3"/>
        </w:numPr>
        <w:rPr>
          <w:iCs/>
          <w:color w:val="000000"/>
        </w:rPr>
      </w:pPr>
      <w:r w:rsidRPr="008108D9">
        <w:rPr>
          <w:iCs/>
          <w:color w:val="000000"/>
        </w:rPr>
        <w:t xml:space="preserve">In 2008, the </w:t>
      </w:r>
      <w:r w:rsidR="00C67CC2" w:rsidRPr="009C7026">
        <w:rPr>
          <w:iCs/>
          <w:color w:val="000000"/>
        </w:rPr>
        <w:t xml:space="preserve">European Court of Human Rights </w:t>
      </w:r>
      <w:r w:rsidR="00C67CC2">
        <w:rPr>
          <w:iCs/>
          <w:color w:val="000000"/>
        </w:rPr>
        <w:t>(</w:t>
      </w:r>
      <w:r w:rsidRPr="008108D9">
        <w:rPr>
          <w:iCs/>
          <w:color w:val="000000"/>
        </w:rPr>
        <w:t>ECtHR</w:t>
      </w:r>
      <w:r w:rsidR="00C67CC2">
        <w:rPr>
          <w:iCs/>
          <w:color w:val="000000"/>
        </w:rPr>
        <w:t>)</w:t>
      </w:r>
      <w:r w:rsidRPr="008108D9">
        <w:rPr>
          <w:iCs/>
          <w:color w:val="000000"/>
        </w:rPr>
        <w:t xml:space="preserve"> found in </w:t>
      </w:r>
      <w:r w:rsidRPr="008108D9">
        <w:rPr>
          <w:i/>
          <w:color w:val="000000"/>
        </w:rPr>
        <w:t>S. and Marper</w:t>
      </w:r>
      <w:r w:rsidRPr="008108D9">
        <w:rPr>
          <w:iCs/>
          <w:color w:val="000000"/>
          <w:vertAlign w:val="superscript"/>
        </w:rPr>
        <w:footnoteReference w:id="3"/>
      </w:r>
      <w:r w:rsidRPr="008108D9">
        <w:rPr>
          <w:iCs/>
          <w:color w:val="000000"/>
        </w:rPr>
        <w:t xml:space="preserve"> that the provisions relating to DNA retention in the Police and Criminal Evidence (NI) Order</w:t>
      </w:r>
      <w:r w:rsidR="004E4528">
        <w:rPr>
          <w:iCs/>
          <w:color w:val="000000"/>
        </w:rPr>
        <w:t xml:space="preserve"> 1989</w:t>
      </w:r>
      <w:r w:rsidRPr="008108D9">
        <w:rPr>
          <w:iCs/>
          <w:color w:val="000000"/>
        </w:rPr>
        <w:t xml:space="preserve"> were in violation of the Article 8 ECHR.</w:t>
      </w:r>
    </w:p>
    <w:p w14:paraId="5295D750" w14:textId="77777777" w:rsidR="006D365B" w:rsidRDefault="006D365B" w:rsidP="006D365B">
      <w:pPr>
        <w:pStyle w:val="ListParagraph"/>
        <w:rPr>
          <w:iCs/>
          <w:color w:val="000000"/>
        </w:rPr>
      </w:pPr>
    </w:p>
    <w:p w14:paraId="3DF34369" w14:textId="6584210A" w:rsidR="006D365B" w:rsidRPr="006D365B" w:rsidRDefault="008108D9" w:rsidP="006D365B">
      <w:pPr>
        <w:pStyle w:val="ListParagraph"/>
        <w:numPr>
          <w:ilvl w:val="1"/>
          <w:numId w:val="3"/>
        </w:numPr>
        <w:jc w:val="both"/>
        <w:rPr>
          <w:color w:val="000000"/>
        </w:rPr>
      </w:pPr>
      <w:r w:rsidRPr="008108D9">
        <w:rPr>
          <w:iCs/>
          <w:color w:val="000000"/>
        </w:rPr>
        <w:t xml:space="preserve">In February 2020, the ECtHR gave a further judgment on this issue in the case of </w:t>
      </w:r>
      <w:r w:rsidRPr="008108D9">
        <w:rPr>
          <w:i/>
          <w:iCs/>
          <w:color w:val="000000"/>
        </w:rPr>
        <w:t>Gaughran</w:t>
      </w:r>
      <w:r w:rsidR="006D365B">
        <w:rPr>
          <w:iCs/>
          <w:color w:val="000000"/>
        </w:rPr>
        <w:t>.</w:t>
      </w:r>
      <w:r w:rsidR="006D365B" w:rsidRPr="006D365B">
        <w:rPr>
          <w:rFonts w:eastAsia="Times New Roman" w:cs="Times New Roman"/>
          <w:i/>
          <w:iCs/>
          <w:lang w:val="en-US"/>
        </w:rPr>
        <w:t xml:space="preserve"> </w:t>
      </w:r>
      <w:r w:rsidR="006D365B" w:rsidRPr="006D365B">
        <w:rPr>
          <w:rFonts w:eastAsia="Times New Roman" w:cs="Times New Roman"/>
          <w:lang w:val="en-US"/>
        </w:rPr>
        <w:t>This case</w:t>
      </w:r>
      <w:r w:rsidR="006D365B" w:rsidRPr="009C7026">
        <w:rPr>
          <w:iCs/>
          <w:color w:val="000000"/>
        </w:rPr>
        <w:t xml:space="preserve"> involved retention of biometrics from a convicted person.</w:t>
      </w:r>
      <w:r w:rsidR="006D365B">
        <w:rPr>
          <w:iCs/>
          <w:color w:val="000000"/>
        </w:rPr>
        <w:t xml:space="preserve"> As a convicted person h</w:t>
      </w:r>
      <w:r w:rsidR="006D365B" w:rsidRPr="009C7026">
        <w:rPr>
          <w:iCs/>
          <w:color w:val="000000"/>
        </w:rPr>
        <w:t xml:space="preserve">is DNA profile, </w:t>
      </w:r>
      <w:proofErr w:type="gramStart"/>
      <w:r w:rsidR="006D365B" w:rsidRPr="009C7026">
        <w:rPr>
          <w:iCs/>
          <w:color w:val="000000"/>
        </w:rPr>
        <w:t>fingerprints</w:t>
      </w:r>
      <w:proofErr w:type="gramEnd"/>
      <w:r w:rsidR="006D365B" w:rsidRPr="009C7026">
        <w:rPr>
          <w:iCs/>
          <w:color w:val="000000"/>
        </w:rPr>
        <w:t xml:space="preserve"> and photograph (“biometrics”) were taken. The </w:t>
      </w:r>
      <w:r w:rsidR="006D365B">
        <w:rPr>
          <w:iCs/>
          <w:color w:val="000000"/>
        </w:rPr>
        <w:t>legal framework</w:t>
      </w:r>
      <w:r w:rsidR="006D365B" w:rsidRPr="009C7026">
        <w:rPr>
          <w:iCs/>
          <w:color w:val="000000"/>
        </w:rPr>
        <w:t xml:space="preserve"> in Northern Ireland relating to police powers allows these biometrics to be retained indefinitely. The </w:t>
      </w:r>
      <w:r w:rsidR="00813DAC">
        <w:rPr>
          <w:iCs/>
          <w:color w:val="000000"/>
        </w:rPr>
        <w:t>A</w:t>
      </w:r>
      <w:r w:rsidR="006D365B" w:rsidRPr="009C7026">
        <w:rPr>
          <w:iCs/>
          <w:color w:val="000000"/>
        </w:rPr>
        <w:t xml:space="preserve">pplicant argued that the Police Service of Northern Ireland’s indefinite retention of his biometrics contravened his rights under </w:t>
      </w:r>
      <w:r w:rsidR="006D365B" w:rsidRPr="009C7026">
        <w:rPr>
          <w:iCs/>
          <w:color w:val="000000"/>
        </w:rPr>
        <w:lastRenderedPageBreak/>
        <w:t xml:space="preserve">Article 8 </w:t>
      </w:r>
      <w:r w:rsidR="00813DAC">
        <w:rPr>
          <w:iCs/>
          <w:color w:val="000000"/>
        </w:rPr>
        <w:t>ECHR</w:t>
      </w:r>
      <w:r w:rsidR="006D365B" w:rsidRPr="009C7026">
        <w:rPr>
          <w:iCs/>
          <w:color w:val="000000"/>
        </w:rPr>
        <w:t>. In 2015, the</w:t>
      </w:r>
      <w:r w:rsidR="00813DAC">
        <w:rPr>
          <w:iCs/>
          <w:color w:val="000000"/>
        </w:rPr>
        <w:t xml:space="preserve"> UK</w:t>
      </w:r>
      <w:r w:rsidR="006D365B" w:rsidRPr="009C7026">
        <w:rPr>
          <w:iCs/>
          <w:color w:val="000000"/>
        </w:rPr>
        <w:t xml:space="preserve"> Supreme Court rejected </w:t>
      </w:r>
      <w:r w:rsidR="006D365B">
        <w:rPr>
          <w:iCs/>
          <w:color w:val="000000"/>
        </w:rPr>
        <w:t>t</w:t>
      </w:r>
      <w:r w:rsidR="006D365B" w:rsidRPr="009C7026">
        <w:rPr>
          <w:iCs/>
          <w:color w:val="000000"/>
        </w:rPr>
        <w:t>his argument. He subsequently applied to the ECtHR.</w:t>
      </w:r>
    </w:p>
    <w:p w14:paraId="65CC549E" w14:textId="77777777" w:rsidR="006D365B" w:rsidRPr="006D365B" w:rsidRDefault="006D365B" w:rsidP="006D365B">
      <w:pPr>
        <w:jc w:val="both"/>
        <w:rPr>
          <w:color w:val="000000"/>
        </w:rPr>
      </w:pPr>
    </w:p>
    <w:p w14:paraId="5A56DA7C" w14:textId="1692C5D1" w:rsidR="008108D9" w:rsidRDefault="006163FA" w:rsidP="008108D9">
      <w:pPr>
        <w:pStyle w:val="ListParagraph"/>
        <w:numPr>
          <w:ilvl w:val="1"/>
          <w:numId w:val="3"/>
        </w:numPr>
        <w:rPr>
          <w:iCs/>
          <w:color w:val="000000"/>
        </w:rPr>
      </w:pPr>
      <w:r>
        <w:rPr>
          <w:iCs/>
          <w:color w:val="000000"/>
        </w:rPr>
        <w:t>The ECtHR found</w:t>
      </w:r>
      <w:r w:rsidR="008108D9" w:rsidRPr="008108D9">
        <w:rPr>
          <w:iCs/>
          <w:color w:val="000000"/>
        </w:rPr>
        <w:t xml:space="preserve"> that the policy of indefinite retention of biometrics was a disproportionate interference with the applicant’s rights under Article 8 ECHR:</w:t>
      </w:r>
    </w:p>
    <w:p w14:paraId="568EEDEA" w14:textId="77777777" w:rsidR="008108D9" w:rsidRDefault="008108D9" w:rsidP="008108D9">
      <w:pPr>
        <w:pStyle w:val="ListParagraph"/>
        <w:rPr>
          <w:iCs/>
          <w:color w:val="000000"/>
        </w:rPr>
      </w:pPr>
    </w:p>
    <w:p w14:paraId="7A5C8280" w14:textId="5108B830" w:rsidR="008108D9" w:rsidRPr="008108D9" w:rsidRDefault="008108D9" w:rsidP="008108D9">
      <w:pPr>
        <w:pStyle w:val="ListParagraph"/>
        <w:ind w:left="1440"/>
        <w:rPr>
          <w:iCs/>
          <w:color w:val="000000"/>
        </w:rPr>
      </w:pPr>
      <w:r w:rsidRPr="008108D9">
        <w:rPr>
          <w:i/>
          <w:iCs/>
          <w:color w:val="000000"/>
        </w:rPr>
        <w:t>“</w:t>
      </w:r>
      <w:r w:rsidRPr="008108D9">
        <w:rPr>
          <w:iCs/>
          <w:color w:val="000000"/>
        </w:rPr>
        <w:t>the indiscriminate nature of the powers of retention of the DNA profile, fingerprints and photograph of the applicant as person convicted of an offence, even if spent, without reference to the seriousness of the offence or the need for indefinite retention and in the absence of any real possibility of review, failed to strike a fair balance between the competing public and private interests… Accordingly, the respondent State has overstepped the acceptable margin of appreciation.”</w:t>
      </w:r>
      <w:r w:rsidRPr="008108D9">
        <w:rPr>
          <w:vertAlign w:val="superscript"/>
        </w:rPr>
        <w:footnoteReference w:id="4"/>
      </w:r>
    </w:p>
    <w:p w14:paraId="4A0750A6" w14:textId="77777777" w:rsidR="008108D9" w:rsidRPr="008108D9" w:rsidRDefault="008108D9" w:rsidP="008108D9">
      <w:pPr>
        <w:pStyle w:val="ListParagraph"/>
        <w:rPr>
          <w:iCs/>
          <w:color w:val="000000"/>
        </w:rPr>
      </w:pPr>
    </w:p>
    <w:p w14:paraId="402A9963" w14:textId="281D744D" w:rsidR="00A60025" w:rsidRDefault="008108D9" w:rsidP="00A60025">
      <w:pPr>
        <w:pStyle w:val="ListParagraph"/>
        <w:numPr>
          <w:ilvl w:val="1"/>
          <w:numId w:val="3"/>
        </w:numPr>
        <w:rPr>
          <w:iCs/>
          <w:color w:val="000000"/>
        </w:rPr>
      </w:pPr>
      <w:r w:rsidRPr="008108D9">
        <w:rPr>
          <w:iCs/>
          <w:color w:val="000000"/>
        </w:rPr>
        <w:t>The ECtHR unanimously ruled that the indefinite retention of biometric data (digital DNA profile, fingerprints) and photographs of persons convicted of an offence punishable by imprisonment was a breach of a person's right to respect for their private life under Article 8 ECHR.</w:t>
      </w:r>
      <w:r w:rsidR="009E3F27">
        <w:rPr>
          <w:rStyle w:val="FootnoteReference"/>
          <w:iCs/>
          <w:color w:val="000000"/>
        </w:rPr>
        <w:footnoteReference w:id="5"/>
      </w:r>
      <w:r w:rsidRPr="008108D9">
        <w:rPr>
          <w:iCs/>
          <w:color w:val="000000"/>
        </w:rPr>
        <w:t xml:space="preserve"> They found that the blanket and indiscriminate nature of the powers of retention of the fingerprints, cellular samples and DNA profiles of persons suspected but not convicted of offences failed to strike a fair balance between the competing public and private interests. </w:t>
      </w:r>
      <w:r w:rsidR="00C768C3">
        <w:rPr>
          <w:iCs/>
          <w:color w:val="000000"/>
        </w:rPr>
        <w:t>T</w:t>
      </w:r>
      <w:r w:rsidR="004131DD" w:rsidRPr="009C6A5D">
        <w:rPr>
          <w:iCs/>
          <w:color w:val="000000"/>
        </w:rPr>
        <w:t>he ECtHR pointed to the lack of reference within the scheme to the seriousness of the offence or sufficient safeguards, including the absence of any real possibility of review of the retention.</w:t>
      </w:r>
      <w:r w:rsidR="002E4E5A">
        <w:rPr>
          <w:rStyle w:val="FootnoteReference"/>
          <w:iCs/>
          <w:color w:val="000000"/>
        </w:rPr>
        <w:footnoteReference w:id="6"/>
      </w:r>
    </w:p>
    <w:p w14:paraId="0C3C5D45" w14:textId="77777777" w:rsidR="00A60025" w:rsidRDefault="00A60025" w:rsidP="00A60025">
      <w:pPr>
        <w:pStyle w:val="ListParagraph"/>
        <w:rPr>
          <w:iCs/>
          <w:color w:val="000000"/>
        </w:rPr>
      </w:pPr>
    </w:p>
    <w:p w14:paraId="6EC921E6" w14:textId="23BBCD61" w:rsidR="00666C3E" w:rsidRDefault="00CD4DE3" w:rsidP="00666C3E">
      <w:pPr>
        <w:pStyle w:val="ListParagraph"/>
        <w:numPr>
          <w:ilvl w:val="1"/>
          <w:numId w:val="3"/>
        </w:numPr>
        <w:rPr>
          <w:iCs/>
          <w:color w:val="000000"/>
        </w:rPr>
      </w:pPr>
      <w:r w:rsidRPr="00A60025">
        <w:rPr>
          <w:iCs/>
          <w:color w:val="000000"/>
        </w:rPr>
        <w:t>T</w:t>
      </w:r>
      <w:r w:rsidR="00061BDD" w:rsidRPr="00A60025">
        <w:rPr>
          <w:iCs/>
          <w:color w:val="000000"/>
        </w:rPr>
        <w:t xml:space="preserve">he ECtHR held that the finding of a violation constituted </w:t>
      </w:r>
      <w:proofErr w:type="gramStart"/>
      <w:r w:rsidR="00061BDD" w:rsidRPr="00A60025">
        <w:rPr>
          <w:iCs/>
          <w:color w:val="000000"/>
        </w:rPr>
        <w:t>in itself sufficient</w:t>
      </w:r>
      <w:proofErr w:type="gramEnd"/>
      <w:r w:rsidR="00061BDD" w:rsidRPr="00A60025">
        <w:rPr>
          <w:iCs/>
          <w:color w:val="000000"/>
        </w:rPr>
        <w:t xml:space="preserve"> just satisfaction for the non-pecuniary damage sustained by the applicant and dismissed the remainder of the applicant’s claim for just satisfaction</w:t>
      </w:r>
      <w:r w:rsidR="00A60025" w:rsidRPr="00A60025">
        <w:rPr>
          <w:iCs/>
          <w:color w:val="000000"/>
        </w:rPr>
        <w:t xml:space="preserve">. </w:t>
      </w:r>
      <w:r w:rsidR="00061BDD" w:rsidRPr="00A60025">
        <w:rPr>
          <w:iCs/>
          <w:color w:val="000000"/>
        </w:rPr>
        <w:t>The DNA profile, fingerprints and custody image of the applicant have been deleted from local and national databases</w:t>
      </w:r>
      <w:r w:rsidR="00666C3E">
        <w:rPr>
          <w:iCs/>
          <w:color w:val="000000"/>
        </w:rPr>
        <w:t>.</w:t>
      </w:r>
      <w:bookmarkEnd w:id="2"/>
      <w:r w:rsidR="000E70A8">
        <w:rPr>
          <w:rStyle w:val="FootnoteReference"/>
          <w:iCs/>
          <w:color w:val="000000"/>
        </w:rPr>
        <w:footnoteReference w:id="7"/>
      </w:r>
    </w:p>
    <w:p w14:paraId="74FB4E0E" w14:textId="77777777" w:rsidR="00666C3E" w:rsidRPr="00666C3E" w:rsidRDefault="00666C3E" w:rsidP="00666C3E">
      <w:pPr>
        <w:pStyle w:val="ListParagraph"/>
        <w:rPr>
          <w:iCs/>
          <w:color w:val="000000"/>
        </w:rPr>
      </w:pPr>
    </w:p>
    <w:p w14:paraId="6A934F7E" w14:textId="1194FC54" w:rsidR="00AD2497" w:rsidRDefault="00AD2497" w:rsidP="00AD2497">
      <w:pPr>
        <w:jc w:val="both"/>
      </w:pPr>
      <w:r>
        <w:rPr>
          <w:b/>
          <w:bCs/>
        </w:rPr>
        <w:t xml:space="preserve">UK </w:t>
      </w:r>
      <w:r w:rsidR="00C20E5F">
        <w:rPr>
          <w:b/>
          <w:bCs/>
        </w:rPr>
        <w:t>l</w:t>
      </w:r>
      <w:r>
        <w:rPr>
          <w:b/>
          <w:bCs/>
        </w:rPr>
        <w:t>egal framework</w:t>
      </w:r>
    </w:p>
    <w:p w14:paraId="305D96ED" w14:textId="77777777" w:rsidR="00AD2497" w:rsidRDefault="00AD2497" w:rsidP="00AD2497">
      <w:pPr>
        <w:jc w:val="both"/>
      </w:pPr>
    </w:p>
    <w:p w14:paraId="1173C922" w14:textId="33B351B4" w:rsidR="00AD2497" w:rsidRDefault="00AD2497" w:rsidP="00AD2497">
      <w:pPr>
        <w:pStyle w:val="ListParagraph"/>
        <w:numPr>
          <w:ilvl w:val="1"/>
          <w:numId w:val="2"/>
        </w:numPr>
        <w:ind w:left="709" w:hanging="709"/>
      </w:pPr>
      <w:r w:rsidRPr="005C63EA">
        <w:t>In UK</w:t>
      </w:r>
      <w:r>
        <w:t xml:space="preserve"> wide law</w:t>
      </w:r>
      <w:r w:rsidRPr="005C63EA">
        <w:t>, the key relevant statute</w:t>
      </w:r>
      <w:r>
        <w:t xml:space="preserve"> governing the handling and retention of personal data</w:t>
      </w:r>
      <w:r w:rsidRPr="005C63EA">
        <w:t xml:space="preserve"> is the Data Protection Act 2018 (“DPA”), with its requirement for periodic review of the retention of data. The DPA sets out the requirement for periodic review of the retention of personal data, including biometrics. However, it does not specify how those reviews should operate in practice</w:t>
      </w:r>
      <w:r>
        <w:t>.</w:t>
      </w:r>
    </w:p>
    <w:p w14:paraId="21F7D853" w14:textId="77777777" w:rsidR="00AD2497" w:rsidRDefault="00AD2497" w:rsidP="00AD2497">
      <w:pPr>
        <w:pStyle w:val="ListParagraph"/>
        <w:ind w:left="709"/>
      </w:pPr>
    </w:p>
    <w:p w14:paraId="3C3299C1" w14:textId="02B1B1CB" w:rsidR="00AD2497" w:rsidRDefault="00AD2497" w:rsidP="00AD2497">
      <w:pPr>
        <w:pStyle w:val="ListParagraph"/>
        <w:numPr>
          <w:ilvl w:val="1"/>
          <w:numId w:val="2"/>
        </w:numPr>
        <w:ind w:left="709" w:hanging="709"/>
      </w:pPr>
      <w:r w:rsidRPr="004714F9">
        <w:lastRenderedPageBreak/>
        <w:t xml:space="preserve">The DPA provides for independent oversight by the Information Commissioner’s Office (“ICO”), which has enforcement powers to ensure compliance. As the ICO is responsible for auditing law enforcement agencies’ processing under Part 3 for all parts of the </w:t>
      </w:r>
      <w:r w:rsidR="00543684">
        <w:t>UK</w:t>
      </w:r>
      <w:r w:rsidRPr="004714F9">
        <w:t xml:space="preserve">, it can determine whether the principle is being complied with in practice. </w:t>
      </w:r>
    </w:p>
    <w:p w14:paraId="7C416464" w14:textId="77777777" w:rsidR="00AD2497" w:rsidRDefault="00AD2497" w:rsidP="00AD2497">
      <w:pPr>
        <w:pStyle w:val="ListParagraph"/>
      </w:pPr>
    </w:p>
    <w:p w14:paraId="73B54404" w14:textId="2F55FAA2" w:rsidR="00AD2497" w:rsidRDefault="00AD2497" w:rsidP="00AD2497">
      <w:pPr>
        <w:pStyle w:val="ListParagraph"/>
        <w:numPr>
          <w:ilvl w:val="1"/>
          <w:numId w:val="2"/>
        </w:numPr>
        <w:ind w:left="709" w:hanging="709"/>
      </w:pPr>
      <w:r w:rsidRPr="00340EE9">
        <w:t xml:space="preserve">As Justice and Policing are devolved matters for UK devolved institutions, there is separate but broadly equivalent legislation on police use and retention of biometrics in England, </w:t>
      </w:r>
      <w:proofErr w:type="gramStart"/>
      <w:r w:rsidRPr="00340EE9">
        <w:t>Wales</w:t>
      </w:r>
      <w:proofErr w:type="gramEnd"/>
      <w:r w:rsidRPr="00340EE9">
        <w:t xml:space="preserve"> and Scotland, but with significant divergence in </w:t>
      </w:r>
      <w:r w:rsidR="00D57E7D">
        <w:t>NI</w:t>
      </w:r>
      <w:r w:rsidRPr="00340EE9">
        <w:t>.</w:t>
      </w:r>
    </w:p>
    <w:p w14:paraId="2A0EA74A" w14:textId="77777777" w:rsidR="00761CDD" w:rsidRDefault="00761CDD" w:rsidP="00761CDD">
      <w:pPr>
        <w:pStyle w:val="ListParagraph"/>
      </w:pPr>
    </w:p>
    <w:p w14:paraId="7A8060CE" w14:textId="5F100807" w:rsidR="00761CDD" w:rsidRDefault="007D2EA1" w:rsidP="00AD2497">
      <w:pPr>
        <w:pStyle w:val="ListParagraph"/>
        <w:numPr>
          <w:ilvl w:val="1"/>
          <w:numId w:val="2"/>
        </w:numPr>
        <w:ind w:left="709" w:hanging="709"/>
      </w:pPr>
      <w:r>
        <w:t>T</w:t>
      </w:r>
      <w:r w:rsidR="00761CDD" w:rsidRPr="00761CDD">
        <w:t>he Police and Criminal Evidence (Northern Ireland) Order 1989</w:t>
      </w:r>
      <w:r w:rsidR="00D65D5E">
        <w:t xml:space="preserve"> (“PACE Order”)</w:t>
      </w:r>
      <w:r w:rsidR="00761CDD" w:rsidRPr="00761CDD">
        <w:t xml:space="preserve"> </w:t>
      </w:r>
      <w:r w:rsidR="00E80F19">
        <w:t xml:space="preserve">sets out the </w:t>
      </w:r>
      <w:r w:rsidR="00761CDD" w:rsidRPr="00761CDD">
        <w:t>law</w:t>
      </w:r>
      <w:r w:rsidR="00235C73">
        <w:t xml:space="preserve"> in </w:t>
      </w:r>
      <w:r w:rsidR="00D57E7D">
        <w:t>NI</w:t>
      </w:r>
      <w:r w:rsidR="00761CDD" w:rsidRPr="00761CDD">
        <w:t xml:space="preserve"> on the retention of DNA and fingerprints. </w:t>
      </w:r>
      <w:r w:rsidR="001A6159">
        <w:t>Article 64</w:t>
      </w:r>
      <w:r w:rsidR="00761CDD" w:rsidRPr="00761CDD">
        <w:t xml:space="preserve"> states that police may retain indefinitely the DNA and fingerprints taken by police in connection with a recordable offence</w:t>
      </w:r>
      <w:r w:rsidR="00304357">
        <w:t xml:space="preserve"> regardless of</w:t>
      </w:r>
      <w:r w:rsidR="00761CDD" w:rsidRPr="00761CDD">
        <w:t xml:space="preserve"> whether it results in a conviction.</w:t>
      </w:r>
    </w:p>
    <w:p w14:paraId="2CB0F8A6" w14:textId="77777777" w:rsidR="00A200EF" w:rsidRDefault="00A200EF" w:rsidP="00A200EF">
      <w:pPr>
        <w:pStyle w:val="ListParagraph"/>
      </w:pPr>
    </w:p>
    <w:p w14:paraId="29EAB866" w14:textId="3754C520" w:rsidR="00A200EF" w:rsidRPr="00D93743" w:rsidRDefault="004E4528" w:rsidP="00AD2497">
      <w:pPr>
        <w:pStyle w:val="ListParagraph"/>
        <w:numPr>
          <w:ilvl w:val="1"/>
          <w:numId w:val="2"/>
        </w:numPr>
        <w:ind w:left="709" w:hanging="709"/>
      </w:pPr>
      <w:r w:rsidRPr="008108D9">
        <w:rPr>
          <w:iCs/>
          <w:color w:val="000000"/>
        </w:rPr>
        <w:t xml:space="preserve">The Criminal Justice Act (NI) 2013 was enacted </w:t>
      </w:r>
      <w:proofErr w:type="gramStart"/>
      <w:r w:rsidRPr="008108D9">
        <w:rPr>
          <w:iCs/>
          <w:color w:val="000000"/>
        </w:rPr>
        <w:t>in order to</w:t>
      </w:r>
      <w:proofErr w:type="gramEnd"/>
      <w:r w:rsidRPr="008108D9">
        <w:rPr>
          <w:iCs/>
          <w:color w:val="000000"/>
        </w:rPr>
        <w:t xml:space="preserve"> rectify </w:t>
      </w:r>
      <w:r w:rsidR="006800D4">
        <w:rPr>
          <w:iCs/>
          <w:color w:val="000000"/>
        </w:rPr>
        <w:t>the ECHR</w:t>
      </w:r>
      <w:r w:rsidRPr="008108D9">
        <w:rPr>
          <w:iCs/>
          <w:color w:val="000000"/>
        </w:rPr>
        <w:t xml:space="preserve"> violation</w:t>
      </w:r>
      <w:r w:rsidR="00904534">
        <w:rPr>
          <w:iCs/>
          <w:color w:val="000000"/>
        </w:rPr>
        <w:t xml:space="preserve"> in </w:t>
      </w:r>
      <w:r w:rsidR="00904534" w:rsidRPr="00904534">
        <w:rPr>
          <w:i/>
          <w:color w:val="000000"/>
        </w:rPr>
        <w:t>S and Ma</w:t>
      </w:r>
      <w:r w:rsidR="00904534">
        <w:rPr>
          <w:i/>
          <w:color w:val="000000"/>
        </w:rPr>
        <w:t>r</w:t>
      </w:r>
      <w:r w:rsidR="00904534" w:rsidRPr="00904534">
        <w:rPr>
          <w:i/>
          <w:color w:val="000000"/>
        </w:rPr>
        <w:t>per</w:t>
      </w:r>
      <w:r w:rsidRPr="008108D9">
        <w:rPr>
          <w:iCs/>
          <w:color w:val="000000"/>
        </w:rPr>
        <w:t>; however, the sections in relation to DNA retention were not commenced pending political agreement on how these sections would affect evidence that may be used in legacy investigations</w:t>
      </w:r>
      <w:r>
        <w:rPr>
          <w:iCs/>
          <w:color w:val="000000"/>
        </w:rPr>
        <w:t xml:space="preserve"> relating to the conflict in NI</w:t>
      </w:r>
      <w:r w:rsidRPr="008108D9">
        <w:rPr>
          <w:iCs/>
          <w:color w:val="000000"/>
        </w:rPr>
        <w:t>.</w:t>
      </w:r>
      <w:r>
        <w:rPr>
          <w:rStyle w:val="FootnoteReference"/>
          <w:iCs/>
          <w:color w:val="000000"/>
        </w:rPr>
        <w:footnoteReference w:id="8"/>
      </w:r>
    </w:p>
    <w:p w14:paraId="0BFF38AE" w14:textId="77777777" w:rsidR="00AD2497" w:rsidRDefault="00AD2497" w:rsidP="00AD2497"/>
    <w:p w14:paraId="592E1BFD" w14:textId="77777777" w:rsidR="00AD2497" w:rsidRPr="00AD2497" w:rsidRDefault="00AD2497" w:rsidP="00AD2497">
      <w:pPr>
        <w:rPr>
          <w:b/>
          <w:bCs/>
        </w:rPr>
      </w:pPr>
      <w:r w:rsidRPr="00AD2497">
        <w:rPr>
          <w:b/>
          <w:bCs/>
        </w:rPr>
        <w:t>Human rights legal framework</w:t>
      </w:r>
    </w:p>
    <w:p w14:paraId="58F49C44" w14:textId="77777777" w:rsidR="00AD2497" w:rsidRDefault="00AD2497" w:rsidP="00AD2497"/>
    <w:p w14:paraId="3B1BB100" w14:textId="1077188D" w:rsidR="00AD2497" w:rsidRPr="00652225" w:rsidRDefault="00AD2497" w:rsidP="00AD2497">
      <w:pPr>
        <w:pStyle w:val="ListParagraph"/>
        <w:numPr>
          <w:ilvl w:val="1"/>
          <w:numId w:val="2"/>
        </w:numPr>
        <w:ind w:left="720"/>
        <w:jc w:val="both"/>
      </w:pPr>
      <w:r w:rsidRPr="00652225">
        <w:t>Article 8(1) ECHR states “everyone has the right to respect for his private and family life, his home and his correspondence”. The ECtHR has confirmed that this right is engaged in the context of biometric material.</w:t>
      </w:r>
      <w:r w:rsidRPr="00652225">
        <w:rPr>
          <w:vertAlign w:val="superscript"/>
        </w:rPr>
        <w:footnoteReference w:id="9"/>
      </w:r>
      <w:r w:rsidRPr="00652225">
        <w:t xml:space="preserve"> This is also reflected in a range of other international human rights treaties.</w:t>
      </w:r>
      <w:r w:rsidRPr="00652225">
        <w:rPr>
          <w:vertAlign w:val="superscript"/>
        </w:rPr>
        <w:footnoteReference w:id="10"/>
      </w:r>
    </w:p>
    <w:p w14:paraId="30620DBD" w14:textId="77777777" w:rsidR="00AD2497" w:rsidRPr="00652225" w:rsidRDefault="00AD2497" w:rsidP="00AD2497">
      <w:pPr>
        <w:pStyle w:val="ListParagraph"/>
        <w:jc w:val="both"/>
      </w:pPr>
    </w:p>
    <w:p w14:paraId="3CC801E0" w14:textId="67BA8813" w:rsidR="00AD2497" w:rsidRPr="006C5AFE" w:rsidRDefault="00AD2497" w:rsidP="00813DAC">
      <w:pPr>
        <w:pStyle w:val="ListParagraph"/>
        <w:numPr>
          <w:ilvl w:val="1"/>
          <w:numId w:val="2"/>
        </w:numPr>
        <w:ind w:left="720"/>
        <w:jc w:val="both"/>
      </w:pPr>
      <w:r w:rsidRPr="00652225">
        <w:t xml:space="preserve">The right to respect for private and family life is a qualified right, meaning that it can be interfered with in certain circumstances. The circumstances in which interference may be permitted is set out in Article 8(2) ECHR. </w:t>
      </w:r>
    </w:p>
    <w:p w14:paraId="5FFCB09C" w14:textId="77777777" w:rsidR="00AD2497" w:rsidRDefault="00AD2497" w:rsidP="00AD2497">
      <w:pPr>
        <w:pStyle w:val="ListParagraph"/>
        <w:jc w:val="both"/>
        <w:rPr>
          <w:iCs/>
        </w:rPr>
      </w:pPr>
    </w:p>
    <w:p w14:paraId="7C104063" w14:textId="77777777" w:rsidR="00AD2497" w:rsidRPr="000A1D31" w:rsidRDefault="00AD2497" w:rsidP="00AD2497">
      <w:pPr>
        <w:pStyle w:val="ListParagraph"/>
        <w:numPr>
          <w:ilvl w:val="1"/>
          <w:numId w:val="2"/>
        </w:numPr>
        <w:ind w:left="720"/>
        <w:jc w:val="both"/>
        <w:rPr>
          <w:iCs/>
        </w:rPr>
      </w:pPr>
      <w:r w:rsidRPr="00652225">
        <w:t>For an interference to be in accordance with law, the ECtHR has elaborated that the relevant measure should “have some basis in domestic law” and “to be compatible with the rule of law, which is expressly mentioned in the preamble to the Convention” and inherent in “the object and purpose of Article 8”.</w:t>
      </w:r>
      <w:r w:rsidRPr="00652225">
        <w:rPr>
          <w:vertAlign w:val="superscript"/>
        </w:rPr>
        <w:footnoteReference w:id="11"/>
      </w:r>
      <w:r w:rsidRPr="00652225">
        <w:t xml:space="preserve"> Thus, the:</w:t>
      </w:r>
    </w:p>
    <w:p w14:paraId="16830F80" w14:textId="77777777" w:rsidR="00AD2497" w:rsidRPr="000A1D31" w:rsidRDefault="00AD2497" w:rsidP="00AD2497">
      <w:pPr>
        <w:pStyle w:val="ListParagraph"/>
        <w:rPr>
          <w:iCs/>
        </w:rPr>
      </w:pPr>
    </w:p>
    <w:p w14:paraId="3CF66CF4" w14:textId="77777777" w:rsidR="00AD2497" w:rsidRDefault="00AD2497" w:rsidP="00321005">
      <w:pPr>
        <w:pStyle w:val="ListParagraph"/>
        <w:ind w:left="1440" w:right="1069"/>
        <w:jc w:val="both"/>
        <w:rPr>
          <w:iCs/>
        </w:rPr>
      </w:pPr>
      <w:r w:rsidRPr="000A1D31">
        <w:rPr>
          <w:iCs/>
        </w:rPr>
        <w:t>“</w:t>
      </w:r>
      <w:proofErr w:type="gramStart"/>
      <w:r w:rsidRPr="000A1D31">
        <w:rPr>
          <w:iCs/>
        </w:rPr>
        <w:t>law</w:t>
      </w:r>
      <w:proofErr w:type="gramEnd"/>
      <w:r w:rsidRPr="000A1D31">
        <w:rPr>
          <w:iCs/>
        </w:rPr>
        <w:t xml:space="preserve"> must be adequately accessible: the citizen must be able to have an indication that is adequate in the circumstances of the legal rules applicable to a given case. Secondly, a norm </w:t>
      </w:r>
      <w:r w:rsidRPr="000A1D31">
        <w:rPr>
          <w:iCs/>
        </w:rPr>
        <w:lastRenderedPageBreak/>
        <w:t xml:space="preserve">cannot be regarded as ‘law’ unless it is formulated with sufficient precision to enable the citizen to regulate his conduct: he must be able – if need </w:t>
      </w:r>
      <w:proofErr w:type="gramStart"/>
      <w:r w:rsidRPr="000A1D31">
        <w:rPr>
          <w:iCs/>
        </w:rPr>
        <w:t>be</w:t>
      </w:r>
      <w:proofErr w:type="gramEnd"/>
      <w:r w:rsidRPr="000A1D31">
        <w:rPr>
          <w:iCs/>
        </w:rPr>
        <w:t xml:space="preserve"> with appropriate advice – to foresee, to a degree that is reasonable in the circumstances, the consequences which a given action may entail.”</w:t>
      </w:r>
      <w:r w:rsidRPr="00652225">
        <w:rPr>
          <w:vertAlign w:val="superscript"/>
        </w:rPr>
        <w:footnoteReference w:id="12"/>
      </w:r>
    </w:p>
    <w:p w14:paraId="54BEA31B" w14:textId="77777777" w:rsidR="00AD2497" w:rsidRDefault="00AD2497" w:rsidP="00AD2497">
      <w:pPr>
        <w:pStyle w:val="ListParagraph"/>
      </w:pPr>
    </w:p>
    <w:p w14:paraId="3084342D" w14:textId="77777777" w:rsidR="00AD2497" w:rsidRPr="000A1D31" w:rsidRDefault="00AD2497" w:rsidP="00AD2497">
      <w:pPr>
        <w:pStyle w:val="ListParagraph"/>
        <w:numPr>
          <w:ilvl w:val="1"/>
          <w:numId w:val="2"/>
        </w:numPr>
        <w:ind w:left="720"/>
        <w:jc w:val="both"/>
        <w:rPr>
          <w:iCs/>
        </w:rPr>
      </w:pPr>
      <w:r w:rsidRPr="00652225">
        <w:t>Specific to retention of biometric material for suspects, the ECtHR states:</w:t>
      </w:r>
    </w:p>
    <w:p w14:paraId="5AD2755E" w14:textId="77777777" w:rsidR="00AD2497" w:rsidRPr="000A1D31" w:rsidRDefault="00AD2497" w:rsidP="00AD2497">
      <w:pPr>
        <w:pStyle w:val="ListParagraph"/>
        <w:rPr>
          <w:iCs/>
        </w:rPr>
      </w:pPr>
    </w:p>
    <w:p w14:paraId="747FA31E" w14:textId="26892073" w:rsidR="00A72F82" w:rsidRPr="00542C4B" w:rsidRDefault="00AD2497" w:rsidP="00321005">
      <w:pPr>
        <w:pStyle w:val="ListParagraph"/>
        <w:ind w:left="1440" w:right="1069"/>
        <w:jc w:val="both"/>
        <w:rPr>
          <w:iCs/>
        </w:rPr>
      </w:pPr>
      <w:r w:rsidRPr="000A1D31">
        <w:rPr>
          <w:iCs/>
        </w:rPr>
        <w:t>“</w:t>
      </w:r>
      <w:proofErr w:type="gramStart"/>
      <w:r w:rsidRPr="000A1D31">
        <w:rPr>
          <w:iCs/>
        </w:rPr>
        <w:t>the</w:t>
      </w:r>
      <w:proofErr w:type="gramEnd"/>
      <w:r w:rsidRPr="000A1D31">
        <w:rPr>
          <w:iCs/>
        </w:rPr>
        <w:t xml:space="preserve"> domestic law should notably ensure that such data are relevant and not excessive in relation to the purposes for which they are stored; and preserved in a form which permits identification of the data subjects for no longer than is required for the purpose which those data are stored. The domestic law must also afford adequate guarantees that retained personal data was efficiently protected from misuse and abuse.”</w:t>
      </w:r>
      <w:r w:rsidRPr="00652225">
        <w:rPr>
          <w:vertAlign w:val="superscript"/>
        </w:rPr>
        <w:footnoteReference w:id="13"/>
      </w:r>
    </w:p>
    <w:p w14:paraId="5FA19C2D" w14:textId="77777777" w:rsidR="00A72F82" w:rsidRPr="000A1D31" w:rsidRDefault="00A72F82" w:rsidP="00A72F82">
      <w:pPr>
        <w:pStyle w:val="ListParagraph"/>
        <w:rPr>
          <w:bCs/>
        </w:rPr>
      </w:pPr>
    </w:p>
    <w:p w14:paraId="6B70E749" w14:textId="467385AC" w:rsidR="00C20E5F" w:rsidRPr="00C20E5F" w:rsidRDefault="00542C4B" w:rsidP="00A72F82">
      <w:pPr>
        <w:pStyle w:val="ListParagraph"/>
        <w:numPr>
          <w:ilvl w:val="1"/>
          <w:numId w:val="2"/>
        </w:numPr>
        <w:ind w:left="720"/>
        <w:jc w:val="both"/>
        <w:rPr>
          <w:iCs/>
        </w:rPr>
      </w:pPr>
      <w:r>
        <w:rPr>
          <w:bCs/>
        </w:rPr>
        <w:t xml:space="preserve">The </w:t>
      </w:r>
      <w:r w:rsidRPr="00542C4B">
        <w:rPr>
          <w:bCs/>
        </w:rPr>
        <w:t xml:space="preserve">ECtHR further states that consideration must be given to “whether the permanent retention of… all suspected but </w:t>
      </w:r>
      <w:proofErr w:type="spellStart"/>
      <w:r w:rsidRPr="00542C4B">
        <w:rPr>
          <w:bCs/>
        </w:rPr>
        <w:t>unconvicted</w:t>
      </w:r>
      <w:proofErr w:type="spellEnd"/>
      <w:r w:rsidRPr="00542C4B">
        <w:rPr>
          <w:bCs/>
        </w:rPr>
        <w:t xml:space="preserve"> people is based on relevant sufficient reasons”.</w:t>
      </w:r>
      <w:r w:rsidRPr="00542C4B">
        <w:rPr>
          <w:bCs/>
          <w:vertAlign w:val="superscript"/>
        </w:rPr>
        <w:footnoteReference w:id="14"/>
      </w:r>
      <w:r w:rsidRPr="00542C4B">
        <w:rPr>
          <w:bCs/>
        </w:rPr>
        <w:t xml:space="preserve"> Consideration should also be given as to “whether such retention is proportionate and strikes a fair balance between the competing public and private interests”.</w:t>
      </w:r>
      <w:r w:rsidRPr="00542C4B">
        <w:rPr>
          <w:bCs/>
          <w:vertAlign w:val="superscript"/>
        </w:rPr>
        <w:footnoteReference w:id="15"/>
      </w:r>
      <w:r w:rsidRPr="00542C4B">
        <w:rPr>
          <w:bCs/>
        </w:rPr>
        <w:t xml:space="preserve"> The ECtHR provides a ‘margin of appreciation’ to States in proceedings that concern qualified rights such as Article 8 ECHR.</w:t>
      </w:r>
      <w:r w:rsidRPr="00542C4B">
        <w:rPr>
          <w:bCs/>
          <w:vertAlign w:val="superscript"/>
        </w:rPr>
        <w:footnoteReference w:id="16"/>
      </w:r>
      <w:r w:rsidRPr="00542C4B">
        <w:rPr>
          <w:bCs/>
        </w:rPr>
        <w:t xml:space="preserve"> The State does have a certain amount of discretion in how it chooses to limit such rights</w:t>
      </w:r>
      <w:r w:rsidR="00D572A2">
        <w:rPr>
          <w:bCs/>
        </w:rPr>
        <w:t>,</w:t>
      </w:r>
      <w:r w:rsidRPr="00542C4B">
        <w:rPr>
          <w:bCs/>
        </w:rPr>
        <w:t xml:space="preserve"> through considering the pressing social need to do so. However, any interference must be necessary and proportionate in pursuit of a legitimate aim</w:t>
      </w:r>
      <w:r w:rsidR="00D072C6">
        <w:rPr>
          <w:bCs/>
        </w:rPr>
        <w:t>,</w:t>
      </w:r>
      <w:r w:rsidRPr="00542C4B">
        <w:rPr>
          <w:bCs/>
        </w:rPr>
        <w:t xml:space="preserve"> as set out in Article 8(2) ECHR.</w:t>
      </w:r>
    </w:p>
    <w:p w14:paraId="0BA04884" w14:textId="77777777" w:rsidR="00C20E5F" w:rsidRPr="00C20E5F" w:rsidRDefault="00C20E5F" w:rsidP="00C20E5F">
      <w:pPr>
        <w:pStyle w:val="ListParagraph"/>
        <w:jc w:val="both"/>
        <w:rPr>
          <w:iCs/>
        </w:rPr>
      </w:pPr>
    </w:p>
    <w:p w14:paraId="2B3A8D30" w14:textId="3F28EB84" w:rsidR="00261AAE" w:rsidRPr="00261AAE" w:rsidRDefault="00A72F82" w:rsidP="00261AAE">
      <w:pPr>
        <w:pStyle w:val="ListParagraph"/>
        <w:numPr>
          <w:ilvl w:val="1"/>
          <w:numId w:val="2"/>
        </w:numPr>
        <w:ind w:left="720"/>
        <w:jc w:val="both"/>
        <w:rPr>
          <w:iCs/>
        </w:rPr>
      </w:pPr>
      <w:r w:rsidRPr="000A1D31">
        <w:rPr>
          <w:bCs/>
        </w:rPr>
        <w:t xml:space="preserve">A number of factors must be taken into account when determining the breadth of a </w:t>
      </w:r>
      <w:proofErr w:type="gramStart"/>
      <w:r w:rsidRPr="000A1D31">
        <w:rPr>
          <w:bCs/>
        </w:rPr>
        <w:t>State’s</w:t>
      </w:r>
      <w:proofErr w:type="gramEnd"/>
      <w:r w:rsidRPr="000A1D31">
        <w:rPr>
          <w:bCs/>
        </w:rPr>
        <w:t xml:space="preserve"> margin of appreciation. In previous cases where a particularly important facet of an individual’s existence or identity is at stake, the margin allowed to the State will be restricted.</w:t>
      </w:r>
      <w:r w:rsidRPr="00652225">
        <w:rPr>
          <w:vertAlign w:val="superscript"/>
        </w:rPr>
        <w:footnoteReference w:id="17"/>
      </w:r>
      <w:r w:rsidRPr="000A1D31">
        <w:rPr>
          <w:bCs/>
        </w:rPr>
        <w:t xml:space="preserve"> In the case </w:t>
      </w:r>
      <w:r w:rsidRPr="000A1D31">
        <w:rPr>
          <w:bCs/>
          <w:i/>
        </w:rPr>
        <w:t>Brunet v France</w:t>
      </w:r>
      <w:r w:rsidRPr="000A1D31">
        <w:rPr>
          <w:bCs/>
        </w:rPr>
        <w:t xml:space="preserve"> (2014)</w:t>
      </w:r>
      <w:r w:rsidRPr="00652225">
        <w:rPr>
          <w:vertAlign w:val="superscript"/>
        </w:rPr>
        <w:footnoteReference w:id="18"/>
      </w:r>
      <w:r w:rsidRPr="000A1D31">
        <w:rPr>
          <w:bCs/>
        </w:rPr>
        <w:t>, the applicant complained of an interference with his private life as a result of being added to a French police database, which contained information from investigation reports and listed the individuals and victims implicated, after the discontinuance of criminal proceedings against him.</w:t>
      </w:r>
      <w:r w:rsidRPr="00652225">
        <w:t xml:space="preserve"> </w:t>
      </w:r>
      <w:r w:rsidRPr="000A1D31">
        <w:rPr>
          <w:bCs/>
        </w:rPr>
        <w:t xml:space="preserve">The ECtHR held that there had been a violation of Article 8 ECHR, finding that the French Government had overstepped its discretion to decide the ‘margin of appreciation’ on such matters. The retention was regarded as a disproportionate breach of the applicant’s right to respect for his private life and was not necessary in a democratic society. The ECtHR </w:t>
      </w:r>
      <w:r w:rsidRPr="000A1D31">
        <w:rPr>
          <w:bCs/>
        </w:rPr>
        <w:lastRenderedPageBreak/>
        <w:t>considered whether the applicant had a real possibility of seeking to</w:t>
      </w:r>
      <w:r w:rsidR="00326A06">
        <w:rPr>
          <w:bCs/>
        </w:rPr>
        <w:t xml:space="preserve"> </w:t>
      </w:r>
      <w:r w:rsidRPr="000A1D31">
        <w:rPr>
          <w:bCs/>
        </w:rPr>
        <w:t>delete his data from the French police’s database. Furthermore, the ability for the French police to retain his data for 20 years could be equated to indefinite retention.</w:t>
      </w:r>
    </w:p>
    <w:p w14:paraId="6C7BFD18" w14:textId="77777777" w:rsidR="00261AAE" w:rsidRPr="00261AAE" w:rsidRDefault="00261AAE" w:rsidP="00261AAE">
      <w:pPr>
        <w:pStyle w:val="ListParagraph"/>
        <w:jc w:val="both"/>
        <w:rPr>
          <w:iCs/>
        </w:rPr>
      </w:pPr>
    </w:p>
    <w:p w14:paraId="23F687D1" w14:textId="32B921AA" w:rsidR="00D8626D" w:rsidRDefault="00261AAE" w:rsidP="000C2648">
      <w:pPr>
        <w:pStyle w:val="ListParagraph"/>
        <w:numPr>
          <w:ilvl w:val="1"/>
          <w:numId w:val="2"/>
        </w:numPr>
        <w:ind w:left="720"/>
        <w:jc w:val="both"/>
      </w:pPr>
      <w:r w:rsidRPr="00652225">
        <w:t xml:space="preserve">The issues raised in </w:t>
      </w:r>
      <w:r w:rsidRPr="001356C1">
        <w:rPr>
          <w:i/>
          <w:iCs/>
        </w:rPr>
        <w:t>Gaughran</w:t>
      </w:r>
      <w:r w:rsidRPr="00652225">
        <w:t xml:space="preserve"> continue to be a live issue in </w:t>
      </w:r>
      <w:r w:rsidR="00813DAC">
        <w:t>NI</w:t>
      </w:r>
      <w:r w:rsidRPr="00652225">
        <w:t xml:space="preserve"> and as of 5 November 2021 approximately 207,189 individuals’ fingerprints and 199,537 DNA profiles are held by the Police Service NI.</w:t>
      </w:r>
      <w:r w:rsidRPr="00652225">
        <w:rPr>
          <w:vertAlign w:val="superscript"/>
        </w:rPr>
        <w:footnoteReference w:id="19"/>
      </w:r>
      <w:r w:rsidRPr="00652225">
        <w:t xml:space="preserve"> In December 2017, the </w:t>
      </w:r>
      <w:r w:rsidRPr="001356C1">
        <w:rPr>
          <w:iCs/>
        </w:rPr>
        <w:t>NIHRC</w:t>
      </w:r>
      <w:r w:rsidRPr="00652225">
        <w:t xml:space="preserve"> issued judicial review proceedings against the Police Service NI on behalf of an individual.</w:t>
      </w:r>
      <w:r w:rsidRPr="00652225">
        <w:rPr>
          <w:vertAlign w:val="superscript"/>
        </w:rPr>
        <w:footnoteReference w:id="20"/>
      </w:r>
      <w:r w:rsidRPr="00652225">
        <w:t xml:space="preserve"> </w:t>
      </w:r>
      <w:r w:rsidR="00C84DCB">
        <w:t>This was settled on the</w:t>
      </w:r>
      <w:r w:rsidR="00D8626D" w:rsidRPr="00D8626D">
        <w:t xml:space="preserve"> basis that it would produce a formal policy on biometric data retention, which would expressly consider Article</w:t>
      </w:r>
      <w:r w:rsidR="00ED1E38">
        <w:t xml:space="preserve"> 8</w:t>
      </w:r>
      <w:r w:rsidR="00D8626D" w:rsidRPr="00D8626D">
        <w:t xml:space="preserve"> ECHR and provide clear guidance to the public as to how they can apply for their biometric data to be destroyed.</w:t>
      </w:r>
      <w:r w:rsidR="001D7C2D">
        <w:rPr>
          <w:rStyle w:val="FootnoteReference"/>
        </w:rPr>
        <w:footnoteReference w:id="21"/>
      </w:r>
      <w:r w:rsidR="00D8626D" w:rsidRPr="00D8626D">
        <w:t xml:space="preserve"> </w:t>
      </w:r>
    </w:p>
    <w:p w14:paraId="4C6A89D6" w14:textId="1F29DC56" w:rsidR="00B932F3" w:rsidRDefault="00C84DCB" w:rsidP="00D8626D">
      <w:pPr>
        <w:jc w:val="both"/>
      </w:pPr>
      <w:r>
        <w:t xml:space="preserve"> </w:t>
      </w:r>
    </w:p>
    <w:p w14:paraId="6053D2EB" w14:textId="463EC609" w:rsidR="00B932F3" w:rsidRPr="00B932F3" w:rsidRDefault="001A37E8" w:rsidP="00B932F3">
      <w:pPr>
        <w:pStyle w:val="ListParagraph"/>
        <w:numPr>
          <w:ilvl w:val="1"/>
          <w:numId w:val="2"/>
        </w:numPr>
        <w:ind w:left="720"/>
        <w:jc w:val="both"/>
        <w:rPr>
          <w:iCs/>
        </w:rPr>
      </w:pPr>
      <w:r>
        <w:t>In</w:t>
      </w:r>
      <w:r w:rsidR="00261AAE" w:rsidRPr="00652225">
        <w:t xml:space="preserve"> July 2021</w:t>
      </w:r>
      <w:r>
        <w:t>,</w:t>
      </w:r>
      <w:r w:rsidR="00261AAE" w:rsidRPr="00652225">
        <w:t xml:space="preserve"> the </w:t>
      </w:r>
      <w:r w:rsidR="00261AAE" w:rsidRPr="00261AAE">
        <w:rPr>
          <w:iCs/>
        </w:rPr>
        <w:t>NIHRC</w:t>
      </w:r>
      <w:r w:rsidR="00261AAE" w:rsidRPr="00652225">
        <w:t xml:space="preserve"> wrote to the then Justice Minister for NI setting out continuing concerns that the ongoing lack of legislative reform will continue an ongoing breach in light of the </w:t>
      </w:r>
      <w:r w:rsidR="00261AAE" w:rsidRPr="00261AAE">
        <w:rPr>
          <w:i/>
          <w:iCs/>
        </w:rPr>
        <w:t>Gaughran v UK</w:t>
      </w:r>
      <w:r w:rsidR="00261AAE" w:rsidRPr="00652225">
        <w:t xml:space="preserve"> judgment.</w:t>
      </w:r>
      <w:r w:rsidR="00261AAE" w:rsidRPr="00652225">
        <w:rPr>
          <w:vertAlign w:val="superscript"/>
        </w:rPr>
        <w:footnoteReference w:id="22"/>
      </w:r>
      <w:r w:rsidR="00261AAE" w:rsidRPr="00652225">
        <w:t xml:space="preserve"> </w:t>
      </w:r>
      <w:r>
        <w:t>In</w:t>
      </w:r>
      <w:r w:rsidR="00261AAE" w:rsidRPr="00652225">
        <w:t xml:space="preserve"> August 2021 the </w:t>
      </w:r>
      <w:r w:rsidR="00261AAE" w:rsidRPr="00261AAE">
        <w:rPr>
          <w:iCs/>
        </w:rPr>
        <w:t>NIHRC</w:t>
      </w:r>
      <w:r w:rsidR="00261AAE" w:rsidRPr="00652225">
        <w:t xml:space="preserve"> also wrote to the Police Service NI in respect of how it intends to reform how it retains biometric data, in light of the </w:t>
      </w:r>
      <w:r w:rsidR="00261AAE" w:rsidRPr="00261AAE">
        <w:rPr>
          <w:i/>
          <w:iCs/>
        </w:rPr>
        <w:t>Gaughran</w:t>
      </w:r>
      <w:r w:rsidR="00261AAE" w:rsidRPr="00652225">
        <w:t xml:space="preserve"> judgment and pending any legislative reform.</w:t>
      </w:r>
      <w:r w:rsidR="00261AAE" w:rsidRPr="00652225">
        <w:rPr>
          <w:vertAlign w:val="superscript"/>
        </w:rPr>
        <w:footnoteReference w:id="23"/>
      </w:r>
      <w:r w:rsidR="00261AAE" w:rsidRPr="00652225">
        <w:t xml:space="preserve"> The Police Service NI confirm</w:t>
      </w:r>
      <w:r w:rsidR="00B0391C">
        <w:t>ed</w:t>
      </w:r>
      <w:r w:rsidR="00261AAE" w:rsidRPr="00652225">
        <w:t xml:space="preserve"> that, in light of biometric provision no longer being included in the Justice (Sexual Offences and Trafficking Victims) Bill, that it could only implement certain interim measures, including the reinstatement of the Biometric Ratification Committee to determine all applications for deletion in line with the Police and Criminal Evidence (NI) Order 1989</w:t>
      </w:r>
      <w:r w:rsidR="00261AAE">
        <w:t>.</w:t>
      </w:r>
      <w:r w:rsidR="00C771EF">
        <w:rPr>
          <w:rStyle w:val="FootnoteReference"/>
        </w:rPr>
        <w:footnoteReference w:id="24"/>
      </w:r>
    </w:p>
    <w:p w14:paraId="2E948213" w14:textId="77777777" w:rsidR="00A72F82" w:rsidRDefault="00A72F82" w:rsidP="00AD2497">
      <w:pPr>
        <w:rPr>
          <w:iCs/>
          <w:color w:val="000000"/>
        </w:rPr>
      </w:pPr>
    </w:p>
    <w:p w14:paraId="77DD3234" w14:textId="77777777" w:rsidR="00A72F82" w:rsidRPr="00AD2497" w:rsidRDefault="00A72F82" w:rsidP="00AD2497">
      <w:pPr>
        <w:rPr>
          <w:iCs/>
          <w:color w:val="000000"/>
        </w:rPr>
      </w:pPr>
    </w:p>
    <w:p w14:paraId="6B72B14A" w14:textId="01E48A42" w:rsidR="00B61AA8" w:rsidRPr="008F5F98" w:rsidRDefault="002E4D6A" w:rsidP="00B220E9">
      <w:pPr>
        <w:pStyle w:val="ListParagraph"/>
        <w:numPr>
          <w:ilvl w:val="0"/>
          <w:numId w:val="4"/>
        </w:numPr>
        <w:rPr>
          <w:b/>
          <w:bCs/>
          <w:color w:val="7030A0"/>
          <w:sz w:val="32"/>
          <w:szCs w:val="32"/>
        </w:rPr>
      </w:pPr>
      <w:r>
        <w:rPr>
          <w:b/>
          <w:bCs/>
          <w:color w:val="7030A0"/>
          <w:sz w:val="32"/>
          <w:szCs w:val="32"/>
        </w:rPr>
        <w:t>UK</w:t>
      </w:r>
      <w:r w:rsidR="00DB2326">
        <w:rPr>
          <w:b/>
          <w:bCs/>
          <w:color w:val="7030A0"/>
          <w:sz w:val="32"/>
          <w:szCs w:val="32"/>
        </w:rPr>
        <w:t xml:space="preserve"> Action Plan</w:t>
      </w:r>
    </w:p>
    <w:p w14:paraId="2A0863DD" w14:textId="77777777" w:rsidR="004B0C39" w:rsidRPr="004B0C39" w:rsidRDefault="004B0C39" w:rsidP="00B220E9">
      <w:pPr>
        <w:pStyle w:val="ListParagraph"/>
        <w:numPr>
          <w:ilvl w:val="0"/>
          <w:numId w:val="2"/>
        </w:numPr>
        <w:jc w:val="both"/>
        <w:rPr>
          <w:vanish/>
        </w:rPr>
      </w:pPr>
    </w:p>
    <w:p w14:paraId="1EEBD20E" w14:textId="77777777" w:rsidR="004B0C39" w:rsidRPr="004B0C39" w:rsidRDefault="004B0C39" w:rsidP="00B220E9">
      <w:pPr>
        <w:pStyle w:val="ListParagraph"/>
        <w:numPr>
          <w:ilvl w:val="0"/>
          <w:numId w:val="2"/>
        </w:numPr>
        <w:jc w:val="both"/>
        <w:rPr>
          <w:vanish/>
        </w:rPr>
      </w:pPr>
    </w:p>
    <w:p w14:paraId="5F8D0F9B" w14:textId="51873DA9" w:rsidR="00340EE9" w:rsidRPr="00340EE9" w:rsidRDefault="00340EE9" w:rsidP="00AD2497">
      <w:bookmarkStart w:id="4" w:name="_Toc99286137"/>
    </w:p>
    <w:p w14:paraId="30E337E1" w14:textId="77777777" w:rsidR="00020447" w:rsidRDefault="00020447" w:rsidP="00340EE9"/>
    <w:p w14:paraId="174330FC" w14:textId="2C02A380" w:rsidR="0065346D" w:rsidRPr="00340EE9" w:rsidRDefault="00C45669" w:rsidP="00340EE9">
      <w:pPr>
        <w:rPr>
          <w:b/>
          <w:bCs/>
        </w:rPr>
      </w:pPr>
      <w:r>
        <w:rPr>
          <w:b/>
          <w:bCs/>
        </w:rPr>
        <w:t>Proposals in</w:t>
      </w:r>
      <w:r w:rsidR="00511CA4">
        <w:rPr>
          <w:b/>
          <w:bCs/>
        </w:rPr>
        <w:t xml:space="preserve"> UK Action Plan</w:t>
      </w:r>
    </w:p>
    <w:p w14:paraId="3008B333" w14:textId="77777777" w:rsidR="00672AE0" w:rsidRDefault="00672AE0" w:rsidP="00672AE0">
      <w:pPr>
        <w:pStyle w:val="ListParagraph"/>
      </w:pPr>
    </w:p>
    <w:bookmarkEnd w:id="4"/>
    <w:p w14:paraId="5258FEE2" w14:textId="5D9C5BFC" w:rsidR="00331AFA" w:rsidRDefault="00331AFA" w:rsidP="00331AFA">
      <w:pPr>
        <w:pStyle w:val="ListParagraph"/>
        <w:numPr>
          <w:ilvl w:val="1"/>
          <w:numId w:val="2"/>
        </w:numPr>
        <w:ind w:left="709" w:hanging="709"/>
        <w:jc w:val="both"/>
      </w:pPr>
      <w:r w:rsidRPr="00055D84">
        <w:t xml:space="preserve">The Committee of Ministers discussed the UK compliance with </w:t>
      </w:r>
      <w:r w:rsidRPr="00C62EE7">
        <w:rPr>
          <w:i/>
          <w:iCs/>
        </w:rPr>
        <w:t>Gaughran</w:t>
      </w:r>
      <w:r w:rsidRPr="00055D84">
        <w:t xml:space="preserve"> on 8 December 202</w:t>
      </w:r>
      <w:r>
        <w:t>2</w:t>
      </w:r>
      <w:r w:rsidRPr="00055D84">
        <w:t>.</w:t>
      </w:r>
      <w:r w:rsidR="00EC174F" w:rsidRPr="00EC174F">
        <w:t xml:space="preserve"> </w:t>
      </w:r>
      <w:r w:rsidRPr="00055D84">
        <w:t>In relation to the position of biometric retention in NI, the following points were made by the Committee:</w:t>
      </w:r>
    </w:p>
    <w:p w14:paraId="3B37085B" w14:textId="77777777" w:rsidR="00331AFA" w:rsidRDefault="00331AFA" w:rsidP="00331AFA">
      <w:pPr>
        <w:pStyle w:val="ListParagraph"/>
      </w:pPr>
    </w:p>
    <w:p w14:paraId="4948663F" w14:textId="77777777" w:rsidR="00331AFA" w:rsidRDefault="00331AFA" w:rsidP="00A11ED2">
      <w:pPr>
        <w:pStyle w:val="ListParagraph"/>
        <w:ind w:left="1440" w:right="1069"/>
        <w:jc w:val="both"/>
      </w:pPr>
      <w:r w:rsidRPr="00055D84">
        <w:t>“</w:t>
      </w:r>
      <w:proofErr w:type="gramStart"/>
      <w:r w:rsidRPr="00055D84">
        <w:t>as</w:t>
      </w:r>
      <w:proofErr w:type="gramEnd"/>
      <w:r w:rsidRPr="00055D84">
        <w:t xml:space="preserve"> concerns Northern Ireland, noted with profound concern that nearly 14 years after S. and Marper became final, a Convention compliant framework for retention of biometric </w:t>
      </w:r>
      <w:r w:rsidRPr="00055D84">
        <w:lastRenderedPageBreak/>
        <w:t>data with applicable safeguards is yet to come into force for those arrested but not convicted;”</w:t>
      </w:r>
    </w:p>
    <w:p w14:paraId="79875AE5" w14:textId="77777777" w:rsidR="00331AFA" w:rsidRDefault="00331AFA" w:rsidP="00A11ED2">
      <w:pPr>
        <w:pStyle w:val="ListParagraph"/>
        <w:ind w:right="1069"/>
      </w:pPr>
    </w:p>
    <w:p w14:paraId="58B7057E" w14:textId="77777777" w:rsidR="00331AFA" w:rsidRDefault="00331AFA" w:rsidP="00A11ED2">
      <w:pPr>
        <w:pStyle w:val="ListParagraph"/>
        <w:ind w:left="1440" w:right="1069"/>
        <w:jc w:val="both"/>
      </w:pPr>
      <w:r w:rsidRPr="00055D84">
        <w:t>“</w:t>
      </w:r>
      <w:proofErr w:type="gramStart"/>
      <w:r w:rsidRPr="00055D84">
        <w:t>noted</w:t>
      </w:r>
      <w:proofErr w:type="gramEnd"/>
      <w:r w:rsidRPr="00055D84">
        <w:t xml:space="preserve"> with interest nevertheless that a broader reform of the legislative framework governing the retention of biometric data and photographs for both convicted and non-convicted persons is being prepared in Northern Ireland with effective safeguards; urged the authorities to ensure swift progress and rapid adoption of the same in line with the considerations of the Court in S and Marper and Gaughran including in relation to retention of biometric data related to legacy investigations;”</w:t>
      </w:r>
    </w:p>
    <w:p w14:paraId="005A87D2" w14:textId="77777777" w:rsidR="00331AFA" w:rsidRDefault="00331AFA" w:rsidP="00A11ED2">
      <w:pPr>
        <w:pStyle w:val="ListParagraph"/>
        <w:ind w:right="1069"/>
      </w:pPr>
    </w:p>
    <w:p w14:paraId="753B811F" w14:textId="2BD888F3" w:rsidR="00331AFA" w:rsidRDefault="00331AFA" w:rsidP="00A11ED2">
      <w:pPr>
        <w:pStyle w:val="ListParagraph"/>
        <w:ind w:left="1440" w:right="1069"/>
        <w:jc w:val="both"/>
      </w:pPr>
      <w:r w:rsidRPr="00055D84">
        <w:t>“</w:t>
      </w:r>
      <w:proofErr w:type="gramStart"/>
      <w:r w:rsidRPr="00055D84">
        <w:t>invited</w:t>
      </w:r>
      <w:proofErr w:type="gramEnd"/>
      <w:r w:rsidRPr="00055D84">
        <w:t xml:space="preserve"> the authorities to submit a detailed action plan setting out developments on all of the above issues by 1 October 2023 and decided to resume consideration of these cases at their 1483</w:t>
      </w:r>
      <w:r w:rsidRPr="00C62EE7">
        <w:rPr>
          <w:vertAlign w:val="superscript"/>
        </w:rPr>
        <w:t>rd</w:t>
      </w:r>
      <w:r w:rsidRPr="00055D84">
        <w:t> meeting (December 2023) (DH).”</w:t>
      </w:r>
    </w:p>
    <w:p w14:paraId="44EA245C" w14:textId="77777777" w:rsidR="00331AFA" w:rsidRDefault="00331AFA" w:rsidP="00331AFA">
      <w:pPr>
        <w:pStyle w:val="ListParagraph"/>
        <w:ind w:left="709"/>
        <w:jc w:val="both"/>
      </w:pPr>
    </w:p>
    <w:p w14:paraId="4F6AFCA1" w14:textId="53E7D0B5" w:rsidR="004F2B46" w:rsidRDefault="00055D84" w:rsidP="00813DAC">
      <w:pPr>
        <w:pStyle w:val="ListParagraph"/>
        <w:numPr>
          <w:ilvl w:val="1"/>
          <w:numId w:val="2"/>
        </w:numPr>
        <w:ind w:left="709" w:hanging="709"/>
        <w:jc w:val="both"/>
      </w:pPr>
      <w:r w:rsidRPr="00055D84">
        <w:t xml:space="preserve">The </w:t>
      </w:r>
      <w:r w:rsidR="00AD4DA1">
        <w:t>UK’s most recent Action Plan notes that the</w:t>
      </w:r>
      <w:r w:rsidR="009038CD">
        <w:t xml:space="preserve"> </w:t>
      </w:r>
      <w:r w:rsidR="00813DAC">
        <w:t>NI</w:t>
      </w:r>
      <w:r w:rsidR="00AD4DA1">
        <w:t xml:space="preserve"> </w:t>
      </w:r>
      <w:r w:rsidRPr="00055D84">
        <w:t xml:space="preserve">Department of Justice </w:t>
      </w:r>
      <w:r w:rsidR="00CC5BA4" w:rsidRPr="00CC5BA4">
        <w:t>intends to in</w:t>
      </w:r>
      <w:r w:rsidR="00A11ED2">
        <w:t>troduce</w:t>
      </w:r>
      <w:r w:rsidR="00CC5BA4" w:rsidRPr="00CC5BA4">
        <w:t xml:space="preserve"> new legislation to implement the wider destruction regime for </w:t>
      </w:r>
      <w:r w:rsidR="00813DAC">
        <w:t>NI</w:t>
      </w:r>
      <w:r w:rsidR="00CC5BA4" w:rsidRPr="00CC5BA4">
        <w:t xml:space="preserve"> to ensure compliance with </w:t>
      </w:r>
      <w:r w:rsidR="00CC5BA4" w:rsidRPr="00813DAC">
        <w:rPr>
          <w:i/>
          <w:iCs/>
        </w:rPr>
        <w:t>Gaughran</w:t>
      </w:r>
      <w:r w:rsidR="00CC5BA4" w:rsidRPr="00CC5BA4">
        <w:t>.</w:t>
      </w:r>
      <w:r w:rsidR="00C771EF" w:rsidRPr="00C771EF">
        <w:rPr>
          <w:rStyle w:val="FootnoteReference"/>
        </w:rPr>
        <w:t xml:space="preserve"> </w:t>
      </w:r>
      <w:r w:rsidR="00C771EF">
        <w:rPr>
          <w:rStyle w:val="FootnoteReference"/>
        </w:rPr>
        <w:footnoteReference w:id="25"/>
      </w:r>
      <w:r w:rsidR="00CC5BA4" w:rsidRPr="00CC5BA4">
        <w:t xml:space="preserve"> It was anticipated that this legislation would be introduced in October 202</w:t>
      </w:r>
      <w:r w:rsidR="00813DAC">
        <w:t>1</w:t>
      </w:r>
      <w:r w:rsidR="000F4ACF">
        <w:t>;</w:t>
      </w:r>
      <w:r w:rsidR="00813DAC">
        <w:t xml:space="preserve"> however, there has been no progres</w:t>
      </w:r>
      <w:r w:rsidR="00D12977">
        <w:t>s</w:t>
      </w:r>
      <w:r w:rsidR="00813DAC">
        <w:t xml:space="preserve">. Given the </w:t>
      </w:r>
      <w:r w:rsidR="00813DAC" w:rsidRPr="00CC5BA4">
        <w:t>lack of a</w:t>
      </w:r>
      <w:r w:rsidR="00813DAC">
        <w:t xml:space="preserve"> devolved</w:t>
      </w:r>
      <w:r w:rsidR="00813DAC" w:rsidRPr="00CC5BA4">
        <w:t xml:space="preserve"> </w:t>
      </w:r>
      <w:r w:rsidR="000F4ACF">
        <w:t>NI</w:t>
      </w:r>
      <w:r w:rsidR="00813DAC" w:rsidRPr="00CC5BA4">
        <w:t xml:space="preserve"> Executive </w:t>
      </w:r>
      <w:r w:rsidR="00813DAC">
        <w:t>since the collapse of the NI Assembly in February 2022</w:t>
      </w:r>
      <w:r w:rsidR="00C771EF">
        <w:t>,</w:t>
      </w:r>
      <w:r w:rsidR="00813DAC">
        <w:t xml:space="preserve"> </w:t>
      </w:r>
      <w:r w:rsidR="00C771EF">
        <w:t xml:space="preserve">legislation will only be introduced </w:t>
      </w:r>
      <w:r w:rsidR="0070130B">
        <w:t>when the government has been restored. I</w:t>
      </w:r>
      <w:r w:rsidR="00813DAC">
        <w:t>t is now estimated that any legislative reform will take an additional 18-24 months to commence due to the requirements for secondary legislation.</w:t>
      </w:r>
      <w:r w:rsidR="009A625B">
        <w:rPr>
          <w:rStyle w:val="FootnoteReference"/>
        </w:rPr>
        <w:footnoteReference w:id="26"/>
      </w:r>
    </w:p>
    <w:p w14:paraId="43F8BAA4" w14:textId="77777777" w:rsidR="00776ABC" w:rsidRDefault="00776ABC" w:rsidP="00C45669">
      <w:pPr>
        <w:jc w:val="both"/>
      </w:pPr>
    </w:p>
    <w:p w14:paraId="6E5F75FC" w14:textId="77777777" w:rsidR="00C20E5F" w:rsidRDefault="00C20E5F" w:rsidP="00C45669">
      <w:pPr>
        <w:jc w:val="both"/>
      </w:pPr>
    </w:p>
    <w:p w14:paraId="64F4B6DB" w14:textId="1DFB70EE" w:rsidR="00CA5E4F" w:rsidRDefault="00BC4D93" w:rsidP="00EE2627">
      <w:pPr>
        <w:jc w:val="both"/>
        <w:rPr>
          <w:b/>
          <w:bCs/>
        </w:rPr>
      </w:pPr>
      <w:r>
        <w:rPr>
          <w:b/>
          <w:bCs/>
        </w:rPr>
        <w:t xml:space="preserve"> NI legislative proposals</w:t>
      </w:r>
    </w:p>
    <w:p w14:paraId="73CFFB96" w14:textId="77777777" w:rsidR="000F4ACF" w:rsidRPr="00EE2627" w:rsidRDefault="000F4ACF" w:rsidP="00EE2627">
      <w:pPr>
        <w:jc w:val="both"/>
        <w:rPr>
          <w:iCs/>
        </w:rPr>
      </w:pPr>
    </w:p>
    <w:p w14:paraId="0D9C5B76" w14:textId="1BB812CA" w:rsidR="004F3BE3" w:rsidRPr="00261AAE" w:rsidRDefault="000F4ACF" w:rsidP="00261AAE">
      <w:pPr>
        <w:pStyle w:val="ListParagraph"/>
        <w:numPr>
          <w:ilvl w:val="1"/>
          <w:numId w:val="2"/>
        </w:numPr>
        <w:ind w:left="709" w:hanging="709"/>
        <w:jc w:val="both"/>
      </w:pPr>
      <w:r>
        <w:t xml:space="preserve">The </w:t>
      </w:r>
      <w:r w:rsidR="006E3A2E">
        <w:t>NIHRC</w:t>
      </w:r>
      <w:r w:rsidR="00CA5E4F" w:rsidRPr="00652225">
        <w:t xml:space="preserve"> is concerned that the failure to address the unlawful retention of biometric data will amount to an ongoing breach of Article 8 ECHR. </w:t>
      </w:r>
      <w:r w:rsidR="004F3BE3" w:rsidRPr="00652225">
        <w:t xml:space="preserve">The </w:t>
      </w:r>
      <w:r w:rsidR="00CE05A0" w:rsidRPr="00261AAE">
        <w:rPr>
          <w:iCs/>
        </w:rPr>
        <w:t>NIHRC</w:t>
      </w:r>
      <w:r w:rsidR="004F3BE3" w:rsidRPr="00652225">
        <w:t xml:space="preserve"> has previously </w:t>
      </w:r>
      <w:r w:rsidR="00533543">
        <w:t xml:space="preserve">provided </w:t>
      </w:r>
      <w:r w:rsidR="004F3BE3" w:rsidRPr="00652225">
        <w:t xml:space="preserve">advice </w:t>
      </w:r>
      <w:r w:rsidR="00533543">
        <w:t xml:space="preserve">to the Department of Justice NI </w:t>
      </w:r>
      <w:proofErr w:type="gramStart"/>
      <w:r w:rsidR="004F3BE3" w:rsidRPr="00652225">
        <w:t>on the subject of biometric</w:t>
      </w:r>
      <w:proofErr w:type="gramEnd"/>
      <w:r w:rsidR="004F3BE3" w:rsidRPr="00652225">
        <w:t xml:space="preserve"> retention,</w:t>
      </w:r>
      <w:r w:rsidR="004F3BE3" w:rsidRPr="00652225">
        <w:rPr>
          <w:vertAlign w:val="superscript"/>
        </w:rPr>
        <w:footnoteReference w:id="27"/>
      </w:r>
      <w:r w:rsidR="004F3BE3" w:rsidRPr="00652225">
        <w:t xml:space="preserve"> and amongst the </w:t>
      </w:r>
      <w:r w:rsidR="00CE05A0" w:rsidRPr="00261AAE">
        <w:rPr>
          <w:iCs/>
        </w:rPr>
        <w:t>NIHRC</w:t>
      </w:r>
      <w:r w:rsidR="00CE05A0" w:rsidRPr="00CE05A0">
        <w:t xml:space="preserve"> </w:t>
      </w:r>
      <w:r w:rsidR="004F3BE3" w:rsidRPr="00652225">
        <w:t xml:space="preserve">recommendations is </w:t>
      </w:r>
      <w:r w:rsidR="008F098A">
        <w:t>that proposals to address the retention of DNA and fingerprints</w:t>
      </w:r>
      <w:r w:rsidR="006613FE">
        <w:t xml:space="preserve"> </w:t>
      </w:r>
      <w:r w:rsidR="00207E3A">
        <w:t>must</w:t>
      </w:r>
      <w:r w:rsidR="004F3BE3" w:rsidRPr="00652225">
        <w:t xml:space="preserve"> fully address the specific issues raised by the </w:t>
      </w:r>
      <w:r w:rsidR="004F3BE3" w:rsidRPr="00261AAE">
        <w:rPr>
          <w:i/>
          <w:iCs/>
        </w:rPr>
        <w:t>Gaughran</w:t>
      </w:r>
      <w:r w:rsidR="004F3BE3" w:rsidRPr="00652225">
        <w:t xml:space="preserve"> judgment.</w:t>
      </w:r>
      <w:r w:rsidR="00207E3A">
        <w:rPr>
          <w:rStyle w:val="FootnoteReference"/>
        </w:rPr>
        <w:footnoteReference w:id="28"/>
      </w:r>
    </w:p>
    <w:p w14:paraId="426D68F3" w14:textId="77777777" w:rsidR="004F3BE3" w:rsidRDefault="004F3BE3" w:rsidP="004F3BE3">
      <w:pPr>
        <w:pStyle w:val="ListParagraph"/>
      </w:pPr>
    </w:p>
    <w:p w14:paraId="42D61062" w14:textId="42F771A3" w:rsidR="00E16B10" w:rsidRPr="00E16B10" w:rsidRDefault="004F3BE3" w:rsidP="004F3BE3">
      <w:pPr>
        <w:pStyle w:val="ListParagraph"/>
        <w:numPr>
          <w:ilvl w:val="1"/>
          <w:numId w:val="2"/>
        </w:numPr>
        <w:ind w:left="720"/>
        <w:jc w:val="both"/>
        <w:rPr>
          <w:iCs/>
        </w:rPr>
      </w:pPr>
      <w:r w:rsidRPr="005157DB">
        <w:t xml:space="preserve">The </w:t>
      </w:r>
      <w:r w:rsidR="00CE05A0" w:rsidRPr="005157DB">
        <w:rPr>
          <w:iCs/>
        </w:rPr>
        <w:t>NIHRC</w:t>
      </w:r>
      <w:r w:rsidRPr="005157DB">
        <w:t xml:space="preserve"> </w:t>
      </w:r>
      <w:r w:rsidR="007834B6" w:rsidRPr="005157DB">
        <w:t xml:space="preserve">highlights </w:t>
      </w:r>
      <w:r w:rsidRPr="005157DB">
        <w:t>the UK Government’s lack of progress in implementing the judgment</w:t>
      </w:r>
      <w:r w:rsidR="007834B6" w:rsidRPr="005157DB">
        <w:t xml:space="preserve">s of </w:t>
      </w:r>
      <w:r w:rsidR="007834B6" w:rsidRPr="005157DB">
        <w:rPr>
          <w:i/>
          <w:iCs/>
        </w:rPr>
        <w:t>S and Marper</w:t>
      </w:r>
      <w:r w:rsidRPr="005157DB">
        <w:t xml:space="preserve"> </w:t>
      </w:r>
      <w:r w:rsidR="007834B6" w:rsidRPr="005157DB">
        <w:t>and</w:t>
      </w:r>
      <w:r w:rsidRPr="005157DB">
        <w:t xml:space="preserve"> </w:t>
      </w:r>
      <w:r w:rsidRPr="005157DB">
        <w:rPr>
          <w:i/>
          <w:iCs/>
        </w:rPr>
        <w:t>Gaughran</w:t>
      </w:r>
      <w:r w:rsidR="00DD18D8">
        <w:rPr>
          <w:i/>
          <w:iCs/>
        </w:rPr>
        <w:t>.</w:t>
      </w:r>
      <w:r w:rsidRPr="005157DB">
        <w:t xml:space="preserve"> </w:t>
      </w:r>
      <w:r w:rsidR="00886D55">
        <w:t>The</w:t>
      </w:r>
      <w:r w:rsidR="000323FA">
        <w:t xml:space="preserve"> timeline</w:t>
      </w:r>
      <w:r w:rsidR="00DD18D8">
        <w:t>, proposed by the UK Government,</w:t>
      </w:r>
      <w:r w:rsidR="000323FA">
        <w:t xml:space="preserve"> of</w:t>
      </w:r>
      <w:r w:rsidR="00B71F58">
        <w:t xml:space="preserve"> </w:t>
      </w:r>
      <w:r w:rsidR="00FE7D78">
        <w:t>legislative and regulatory reform</w:t>
      </w:r>
      <w:r w:rsidR="000323FA">
        <w:t xml:space="preserve"> of biometric retention</w:t>
      </w:r>
      <w:r w:rsidR="00FE7D78">
        <w:t xml:space="preserve"> the</w:t>
      </w:r>
      <w:r w:rsidR="00886D55">
        <w:t xml:space="preserve"> UK </w:t>
      </w:r>
      <w:r w:rsidR="00B56810">
        <w:t xml:space="preserve">is reliant upon a </w:t>
      </w:r>
      <w:r w:rsidR="000F4ACF">
        <w:t>NI</w:t>
      </w:r>
      <w:r w:rsidR="00B56810">
        <w:t xml:space="preserve"> Executive being restored</w:t>
      </w:r>
      <w:r w:rsidR="00D077FB">
        <w:t xml:space="preserve"> and a devolved </w:t>
      </w:r>
      <w:r w:rsidR="00D077FB">
        <w:lastRenderedPageBreak/>
        <w:t>Justice Minister</w:t>
      </w:r>
      <w:r w:rsidR="00836E85">
        <w:t xml:space="preserve"> being </w:t>
      </w:r>
      <w:r w:rsidR="000F4ACF">
        <w:t>appointed</w:t>
      </w:r>
      <w:r w:rsidR="00B56810">
        <w:t>.</w:t>
      </w:r>
      <w:r w:rsidR="00C258F7">
        <w:t xml:space="preserve"> </w:t>
      </w:r>
      <w:r w:rsidR="00E16B10">
        <w:t>The proposals therefore have not progress</w:t>
      </w:r>
      <w:r w:rsidR="000F4ACF">
        <w:t xml:space="preserve">ed and compliance with </w:t>
      </w:r>
      <w:r w:rsidR="000F4ACF" w:rsidRPr="000F4ACF">
        <w:rPr>
          <w:i/>
          <w:iCs/>
        </w:rPr>
        <w:t>Gaughran</w:t>
      </w:r>
      <w:r w:rsidR="000F4ACF">
        <w:t xml:space="preserve"> remains outstanding</w:t>
      </w:r>
      <w:r w:rsidR="00E16B10">
        <w:t>.</w:t>
      </w:r>
    </w:p>
    <w:p w14:paraId="14ECE616" w14:textId="77777777" w:rsidR="004F3BE3" w:rsidRDefault="004F3BE3" w:rsidP="00F86BAF"/>
    <w:p w14:paraId="6EEA878D" w14:textId="1569B447" w:rsidR="00DA248B" w:rsidRPr="0033237B" w:rsidRDefault="008C755F" w:rsidP="004F3BE3">
      <w:pPr>
        <w:pStyle w:val="ListParagraph"/>
        <w:numPr>
          <w:ilvl w:val="1"/>
          <w:numId w:val="2"/>
        </w:numPr>
        <w:ind w:left="720"/>
        <w:jc w:val="both"/>
        <w:rPr>
          <w:iCs/>
        </w:rPr>
      </w:pPr>
      <w:r>
        <w:t>In 2020, t</w:t>
      </w:r>
      <w:r w:rsidR="005C24FE">
        <w:t>he Department of Justice NI propose</w:t>
      </w:r>
      <w:r>
        <w:t>d</w:t>
      </w:r>
      <w:r w:rsidR="005C24FE">
        <w:t xml:space="preserve"> to amend the Criminal Justice Act (NI) 2013 to replace the indefinite retention to that of a ‘75/50/25’ year retention model to biometrics of convicted individuals.</w:t>
      </w:r>
      <w:r w:rsidR="005C24FE">
        <w:rPr>
          <w:rStyle w:val="FootnoteReference"/>
        </w:rPr>
        <w:footnoteReference w:id="29"/>
      </w:r>
      <w:r w:rsidR="005C24FE">
        <w:t xml:space="preserve">  </w:t>
      </w:r>
    </w:p>
    <w:p w14:paraId="49261811" w14:textId="77777777" w:rsidR="0033237B" w:rsidRPr="0033237B" w:rsidRDefault="0033237B" w:rsidP="0033237B">
      <w:pPr>
        <w:pStyle w:val="ListParagraph"/>
        <w:rPr>
          <w:iCs/>
        </w:rPr>
      </w:pPr>
    </w:p>
    <w:p w14:paraId="093AFB12" w14:textId="77777777" w:rsidR="0033237B" w:rsidRPr="0033237B" w:rsidRDefault="0033237B" w:rsidP="004F3BE3">
      <w:pPr>
        <w:pStyle w:val="ListParagraph"/>
        <w:numPr>
          <w:ilvl w:val="1"/>
          <w:numId w:val="2"/>
        </w:numPr>
        <w:ind w:left="720"/>
        <w:jc w:val="both"/>
        <w:rPr>
          <w:iCs/>
        </w:rPr>
      </w:pPr>
      <w:r>
        <w:t xml:space="preserve">The ‘75/50/25’ model consists of the following maximum periods of retention: </w:t>
      </w:r>
    </w:p>
    <w:p w14:paraId="36BE95C4" w14:textId="77777777" w:rsidR="0033237B" w:rsidRDefault="0033237B" w:rsidP="0033237B">
      <w:pPr>
        <w:pStyle w:val="ListParagraph"/>
      </w:pPr>
    </w:p>
    <w:p w14:paraId="3EAE0A2C" w14:textId="372D568F" w:rsidR="0033237B" w:rsidRDefault="0033237B" w:rsidP="009B460F">
      <w:pPr>
        <w:pStyle w:val="ListParagraph"/>
        <w:numPr>
          <w:ilvl w:val="0"/>
          <w:numId w:val="25"/>
        </w:numPr>
        <w:ind w:left="1418" w:right="502" w:hanging="567"/>
        <w:jc w:val="both"/>
      </w:pPr>
      <w:r>
        <w:t>75 years’ retention period for DNA and fingerprints for all convictions associated with serious violent, sexual and terrorism offences (otherwise known as a qualifying offence, as set out in section 53A of PACE NI</w:t>
      </w:r>
      <w:proofErr w:type="gramStart"/>
      <w:r>
        <w:t>);</w:t>
      </w:r>
      <w:proofErr w:type="gramEnd"/>
      <w:r>
        <w:t xml:space="preserve"> </w:t>
      </w:r>
    </w:p>
    <w:p w14:paraId="7B445744" w14:textId="262EC173" w:rsidR="0033237B" w:rsidRDefault="0033237B" w:rsidP="009B460F">
      <w:pPr>
        <w:pStyle w:val="ListParagraph"/>
        <w:numPr>
          <w:ilvl w:val="0"/>
          <w:numId w:val="25"/>
        </w:numPr>
        <w:ind w:left="1418" w:right="502" w:hanging="567"/>
        <w:jc w:val="both"/>
      </w:pPr>
      <w:r>
        <w:t xml:space="preserve">50 years’ retention period for adult convictions for recordable offences that do not fall within the serious category; and </w:t>
      </w:r>
    </w:p>
    <w:p w14:paraId="75AEACBF" w14:textId="2B6AFC59" w:rsidR="0033237B" w:rsidRPr="00DA248B" w:rsidRDefault="0033237B" w:rsidP="009B460F">
      <w:pPr>
        <w:pStyle w:val="ListParagraph"/>
        <w:numPr>
          <w:ilvl w:val="0"/>
          <w:numId w:val="25"/>
        </w:numPr>
        <w:ind w:left="1418" w:right="502" w:hanging="567"/>
        <w:jc w:val="both"/>
        <w:rPr>
          <w:iCs/>
        </w:rPr>
      </w:pPr>
      <w:r>
        <w:t xml:space="preserve">25 years’ retention for two or more juvenile non-serious convictions which do not involve a custodial sentence of more than 5 years (an under 18 </w:t>
      </w:r>
      <w:proofErr w:type="gramStart"/>
      <w:r>
        <w:t>conviction</w:t>
      </w:r>
      <w:proofErr w:type="gramEnd"/>
      <w:r>
        <w:t xml:space="preserve"> for a non-serious offence</w:t>
      </w:r>
      <w:r w:rsidR="009B460F">
        <w:t xml:space="preserve"> involving a custodial sentence of more than 5 years will attract a 50 years retention period).</w:t>
      </w:r>
      <w:r w:rsidR="009B460F">
        <w:rPr>
          <w:rStyle w:val="FootnoteReference"/>
        </w:rPr>
        <w:footnoteReference w:id="30"/>
      </w:r>
    </w:p>
    <w:p w14:paraId="365F18CB" w14:textId="77777777" w:rsidR="00DA248B" w:rsidRPr="00DA248B" w:rsidRDefault="00DA248B" w:rsidP="00DA248B">
      <w:pPr>
        <w:pStyle w:val="ListParagraph"/>
        <w:rPr>
          <w:bCs/>
        </w:rPr>
      </w:pPr>
    </w:p>
    <w:p w14:paraId="6B340600" w14:textId="6AEE64CD" w:rsidR="009F5537" w:rsidRPr="001F59C6" w:rsidRDefault="004F3BE3" w:rsidP="004F3BE3">
      <w:pPr>
        <w:pStyle w:val="ListParagraph"/>
        <w:numPr>
          <w:ilvl w:val="1"/>
          <w:numId w:val="2"/>
        </w:numPr>
        <w:ind w:left="720"/>
        <w:jc w:val="both"/>
        <w:rPr>
          <w:b/>
          <w:iCs/>
        </w:rPr>
      </w:pPr>
      <w:r w:rsidRPr="001F59C6">
        <w:rPr>
          <w:b/>
        </w:rPr>
        <w:t>The NIHRC believes that the maximum years of retention across the proposed ‘75/50/25’ model is too broadly constituted, disproportionate and is incompatible with Article 8 ECHR.</w:t>
      </w:r>
      <w:r w:rsidR="001C65B0">
        <w:rPr>
          <w:rStyle w:val="FootnoteReference"/>
          <w:b/>
        </w:rPr>
        <w:footnoteReference w:id="31"/>
      </w:r>
    </w:p>
    <w:p w14:paraId="45D720CA" w14:textId="77777777" w:rsidR="009F5537" w:rsidRPr="009F5537" w:rsidRDefault="009F5537" w:rsidP="009F5537">
      <w:pPr>
        <w:pStyle w:val="ListParagraph"/>
        <w:rPr>
          <w:bCs/>
        </w:rPr>
      </w:pPr>
    </w:p>
    <w:p w14:paraId="5F43A7D7" w14:textId="7CBC24E6" w:rsidR="004F3BE3" w:rsidRPr="000A1D31" w:rsidRDefault="004F3BE3" w:rsidP="004F3BE3">
      <w:pPr>
        <w:pStyle w:val="ListParagraph"/>
        <w:numPr>
          <w:ilvl w:val="1"/>
          <w:numId w:val="2"/>
        </w:numPr>
        <w:ind w:left="720"/>
        <w:jc w:val="both"/>
        <w:rPr>
          <w:iCs/>
        </w:rPr>
      </w:pPr>
      <w:r w:rsidRPr="000A1D31">
        <w:rPr>
          <w:bCs/>
        </w:rPr>
        <w:t>Th</w:t>
      </w:r>
      <w:r w:rsidR="009F5537">
        <w:rPr>
          <w:bCs/>
        </w:rPr>
        <w:t>is</w:t>
      </w:r>
      <w:r w:rsidRPr="000A1D31">
        <w:rPr>
          <w:bCs/>
        </w:rPr>
        <w:t xml:space="preserve"> </w:t>
      </w:r>
      <w:r w:rsidR="00085F63">
        <w:rPr>
          <w:bCs/>
        </w:rPr>
        <w:t xml:space="preserve">proposed </w:t>
      </w:r>
      <w:r w:rsidRPr="000A1D31">
        <w:rPr>
          <w:bCs/>
        </w:rPr>
        <w:t xml:space="preserve">model would </w:t>
      </w:r>
      <w:r w:rsidR="00DA248B">
        <w:rPr>
          <w:bCs/>
        </w:rPr>
        <w:t xml:space="preserve">also </w:t>
      </w:r>
      <w:r w:rsidRPr="000A1D31">
        <w:rPr>
          <w:bCs/>
        </w:rPr>
        <w:t xml:space="preserve">allow for the retention of biometrics for less serious offences for an overly excessive length of time. For example, under the proposed model, retention of biometrics for less serious offences can be retained for up to 50 years. For example, a drunk driving offence could result in that individual’s biometrics being retained for up to 50 years. This would appear to be a disproportionate length of time for </w:t>
      </w:r>
      <w:r w:rsidR="009F5537">
        <w:rPr>
          <w:bCs/>
        </w:rPr>
        <w:t>such an</w:t>
      </w:r>
      <w:r w:rsidRPr="000A1D31">
        <w:rPr>
          <w:bCs/>
        </w:rPr>
        <w:t xml:space="preserve"> offence. As Lord Kerr</w:t>
      </w:r>
      <w:r w:rsidR="008D21E1">
        <w:rPr>
          <w:bCs/>
        </w:rPr>
        <w:t>, of the UK Supreme Court,</w:t>
      </w:r>
      <w:r w:rsidRPr="000A1D31">
        <w:rPr>
          <w:bCs/>
        </w:rPr>
        <w:t xml:space="preserve"> outlined in</w:t>
      </w:r>
      <w:r w:rsidRPr="00652225">
        <w:t xml:space="preserve"> </w:t>
      </w:r>
      <w:r w:rsidRPr="000A1D31">
        <w:rPr>
          <w:bCs/>
        </w:rPr>
        <w:t xml:space="preserve">his dissenting judgment in </w:t>
      </w:r>
      <w:r w:rsidRPr="000A1D31">
        <w:rPr>
          <w:bCs/>
          <w:i/>
        </w:rPr>
        <w:t>Gaughran v Chief Constable of the Police</w:t>
      </w:r>
      <w:r w:rsidRPr="000A1D31">
        <w:rPr>
          <w:bCs/>
        </w:rPr>
        <w:t xml:space="preserve"> </w:t>
      </w:r>
      <w:r w:rsidRPr="000A1D31">
        <w:rPr>
          <w:bCs/>
          <w:i/>
        </w:rPr>
        <w:t xml:space="preserve">Service NI </w:t>
      </w:r>
      <w:r w:rsidRPr="000A1D31">
        <w:rPr>
          <w:bCs/>
        </w:rPr>
        <w:t>[2015]:</w:t>
      </w:r>
    </w:p>
    <w:p w14:paraId="418AD8BE" w14:textId="77777777" w:rsidR="004F3BE3" w:rsidRPr="000A1D31" w:rsidRDefault="004F3BE3" w:rsidP="004F3BE3">
      <w:pPr>
        <w:pStyle w:val="ListParagraph"/>
        <w:rPr>
          <w:bCs/>
        </w:rPr>
      </w:pPr>
    </w:p>
    <w:p w14:paraId="06A9D19C" w14:textId="77777777" w:rsidR="004F3BE3" w:rsidRPr="000A1D31" w:rsidRDefault="004F3BE3" w:rsidP="008D4237">
      <w:pPr>
        <w:pStyle w:val="ListParagraph"/>
        <w:ind w:left="1440" w:right="1069"/>
        <w:jc w:val="both"/>
        <w:rPr>
          <w:iCs/>
        </w:rPr>
      </w:pPr>
      <w:r w:rsidRPr="000A1D31">
        <w:rPr>
          <w:bCs/>
        </w:rPr>
        <w:t>“</w:t>
      </w:r>
      <w:proofErr w:type="gramStart"/>
      <w:r w:rsidRPr="000A1D31">
        <w:rPr>
          <w:bCs/>
        </w:rPr>
        <w:t>one</w:t>
      </w:r>
      <w:proofErr w:type="gramEnd"/>
      <w:r w:rsidRPr="000A1D31">
        <w:rPr>
          <w:bCs/>
        </w:rPr>
        <w:t xml:space="preserve"> must return, to the question whether a more tailored approach than that of the current Police Service NI policy in relation to the retention of the biometric materials, sufficient to satisfy the aim of detecting crime and assisting in the identification of future offenders, is possible. To that question only one answer can be given, in my opinion. Clearly, a far more nuanced, more sensibly targeted policy can be devised. At a minimum, the removal of some of the less serious </w:t>
      </w:r>
      <w:r w:rsidRPr="000A1D31">
        <w:rPr>
          <w:bCs/>
        </w:rPr>
        <w:lastRenderedPageBreak/>
        <w:t>offences from its ambit is warranted. But also, a system of review, whereby those affected by the policy could apply, for instance on the grounds of exemplary behaviour since conviction, for removal of their data from the database would be entirely feasible. Similarly, the gradation of periods of retention to reflect the seriousness of the offence involved would contribute to the goal of ensuring the interference was no more intrusive than it required to be.”</w:t>
      </w:r>
      <w:r w:rsidRPr="00652225">
        <w:rPr>
          <w:vertAlign w:val="superscript"/>
        </w:rPr>
        <w:footnoteReference w:id="32"/>
      </w:r>
    </w:p>
    <w:p w14:paraId="3BDB0651" w14:textId="77777777" w:rsidR="004F3BE3" w:rsidRPr="000A1D31" w:rsidRDefault="004F3BE3" w:rsidP="004F3BE3">
      <w:pPr>
        <w:pStyle w:val="ListParagraph"/>
        <w:rPr>
          <w:bCs/>
        </w:rPr>
      </w:pPr>
    </w:p>
    <w:p w14:paraId="5C8E378D" w14:textId="18499AF8" w:rsidR="004F3BE3" w:rsidRPr="000A1D31" w:rsidRDefault="004F3BE3" w:rsidP="004F3BE3">
      <w:pPr>
        <w:pStyle w:val="ListParagraph"/>
        <w:numPr>
          <w:ilvl w:val="1"/>
          <w:numId w:val="2"/>
        </w:numPr>
        <w:ind w:left="720"/>
        <w:jc w:val="both"/>
        <w:rPr>
          <w:iCs/>
        </w:rPr>
      </w:pPr>
      <w:r w:rsidRPr="000A1D31">
        <w:rPr>
          <w:bCs/>
        </w:rPr>
        <w:t xml:space="preserve">There may be </w:t>
      </w:r>
      <w:r w:rsidR="001913C0">
        <w:rPr>
          <w:bCs/>
        </w:rPr>
        <w:t>reasonable justification</w:t>
      </w:r>
      <w:r w:rsidRPr="000A1D31">
        <w:rPr>
          <w:bCs/>
        </w:rPr>
        <w:t xml:space="preserve"> for retaining biometric material for a prolonged and substantial period in the most serious circumstances, but that approach should be tightly focussed, carefully </w:t>
      </w:r>
      <w:proofErr w:type="gramStart"/>
      <w:r w:rsidRPr="000A1D31">
        <w:rPr>
          <w:bCs/>
        </w:rPr>
        <w:t>crafted</w:t>
      </w:r>
      <w:proofErr w:type="gramEnd"/>
      <w:r w:rsidRPr="000A1D31">
        <w:rPr>
          <w:bCs/>
        </w:rPr>
        <w:t xml:space="preserve"> and not unnecessarily broadly constructed. Moreover, the proposals are silent on whether biometric material will be retained after the death of an individual. There is also potential to utilise the retained biometric material for checking on other close family members who are not on the biometric database. This gives rise to further human rights considerations and </w:t>
      </w:r>
      <w:r w:rsidR="00F90AD0">
        <w:rPr>
          <w:bCs/>
        </w:rPr>
        <w:t>any forthcoming legislation</w:t>
      </w:r>
      <w:r w:rsidRPr="000A1D31">
        <w:rPr>
          <w:bCs/>
        </w:rPr>
        <w:t xml:space="preserve"> should set out whether such material is retained and in what circumstances it will be utilised.</w:t>
      </w:r>
    </w:p>
    <w:p w14:paraId="56F60C2A" w14:textId="77777777" w:rsidR="004F3BE3" w:rsidRPr="000A1D31" w:rsidRDefault="004F3BE3" w:rsidP="004F3BE3">
      <w:pPr>
        <w:pStyle w:val="ListParagraph"/>
        <w:rPr>
          <w:b/>
        </w:rPr>
      </w:pPr>
    </w:p>
    <w:p w14:paraId="15C5AB84" w14:textId="5FF4097D" w:rsidR="00902ACE" w:rsidRPr="00902ACE" w:rsidRDefault="004F3BE3" w:rsidP="004F3BE3">
      <w:pPr>
        <w:pStyle w:val="ListParagraph"/>
        <w:numPr>
          <w:ilvl w:val="1"/>
          <w:numId w:val="2"/>
        </w:numPr>
        <w:ind w:left="720"/>
        <w:jc w:val="both"/>
        <w:rPr>
          <w:iCs/>
        </w:rPr>
      </w:pPr>
      <w:r w:rsidRPr="000A1D31">
        <w:rPr>
          <w:b/>
        </w:rPr>
        <w:t xml:space="preserve">The </w:t>
      </w:r>
      <w:r w:rsidR="00CE05A0" w:rsidRPr="00CE05A0">
        <w:rPr>
          <w:b/>
          <w:iCs/>
        </w:rPr>
        <w:t>NIHRC</w:t>
      </w:r>
      <w:r w:rsidRPr="000A1D31">
        <w:rPr>
          <w:b/>
        </w:rPr>
        <w:t xml:space="preserve"> </w:t>
      </w:r>
      <w:r w:rsidR="00902ACE">
        <w:rPr>
          <w:b/>
        </w:rPr>
        <w:t xml:space="preserve">has </w:t>
      </w:r>
      <w:r w:rsidR="00902ACE" w:rsidRPr="000A1D31">
        <w:rPr>
          <w:b/>
        </w:rPr>
        <w:t>recommend</w:t>
      </w:r>
      <w:r w:rsidR="00902ACE">
        <w:rPr>
          <w:b/>
        </w:rPr>
        <w:t>ed</w:t>
      </w:r>
      <w:r w:rsidR="00902ACE" w:rsidRPr="000A1D31">
        <w:rPr>
          <w:b/>
        </w:rPr>
        <w:t xml:space="preserve"> </w:t>
      </w:r>
      <w:r w:rsidRPr="000A1D31">
        <w:rPr>
          <w:b/>
        </w:rPr>
        <w:t xml:space="preserve">that the </w:t>
      </w:r>
      <w:r w:rsidR="00902ACE">
        <w:rPr>
          <w:b/>
        </w:rPr>
        <w:t>Department of Justice</w:t>
      </w:r>
      <w:r w:rsidR="00B91304">
        <w:rPr>
          <w:b/>
        </w:rPr>
        <w:t xml:space="preserve"> NI</w:t>
      </w:r>
      <w:r w:rsidRPr="000A1D31">
        <w:rPr>
          <w:b/>
        </w:rPr>
        <w:t xml:space="preserve"> considers revising the model proposed so that the retention of biometric material for offences is more tailored and proportionate to the offence and the circumstances.</w:t>
      </w:r>
      <w:r w:rsidR="00902ACE">
        <w:rPr>
          <w:rStyle w:val="FootnoteReference"/>
          <w:b/>
        </w:rPr>
        <w:footnoteReference w:id="33"/>
      </w:r>
      <w:r w:rsidRPr="000A1D31">
        <w:rPr>
          <w:b/>
        </w:rPr>
        <w:t xml:space="preserve"> </w:t>
      </w:r>
    </w:p>
    <w:p w14:paraId="5B519781" w14:textId="77777777" w:rsidR="00902ACE" w:rsidRPr="00902ACE" w:rsidRDefault="00902ACE" w:rsidP="00902ACE">
      <w:pPr>
        <w:pStyle w:val="ListParagraph"/>
        <w:rPr>
          <w:b/>
        </w:rPr>
      </w:pPr>
    </w:p>
    <w:p w14:paraId="383D8F56" w14:textId="1B1A53CA" w:rsidR="004F3BE3" w:rsidRPr="000A1D31" w:rsidRDefault="004F3BE3" w:rsidP="004F3BE3">
      <w:pPr>
        <w:pStyle w:val="ListParagraph"/>
        <w:numPr>
          <w:ilvl w:val="1"/>
          <w:numId w:val="2"/>
        </w:numPr>
        <w:ind w:left="720"/>
        <w:jc w:val="both"/>
        <w:rPr>
          <w:iCs/>
        </w:rPr>
      </w:pPr>
      <w:r w:rsidRPr="000A1D31">
        <w:rPr>
          <w:b/>
        </w:rPr>
        <w:t xml:space="preserve">The </w:t>
      </w:r>
      <w:r w:rsidR="00CE05A0" w:rsidRPr="00CE05A0">
        <w:rPr>
          <w:b/>
          <w:iCs/>
        </w:rPr>
        <w:t>NIHRC</w:t>
      </w:r>
      <w:r w:rsidR="00902ACE">
        <w:rPr>
          <w:b/>
          <w:iCs/>
        </w:rPr>
        <w:t xml:space="preserve"> has</w:t>
      </w:r>
      <w:r w:rsidRPr="000A1D31">
        <w:rPr>
          <w:b/>
        </w:rPr>
        <w:t xml:space="preserve"> also </w:t>
      </w:r>
      <w:r w:rsidR="00902ACE" w:rsidRPr="000A1D31">
        <w:rPr>
          <w:b/>
        </w:rPr>
        <w:t>recommend</w:t>
      </w:r>
      <w:r w:rsidR="00902ACE">
        <w:rPr>
          <w:b/>
        </w:rPr>
        <w:t>ed</w:t>
      </w:r>
      <w:r w:rsidR="00902ACE" w:rsidRPr="000A1D31">
        <w:rPr>
          <w:b/>
        </w:rPr>
        <w:t xml:space="preserve"> </w:t>
      </w:r>
      <w:r w:rsidRPr="000A1D31">
        <w:rPr>
          <w:b/>
        </w:rPr>
        <w:t xml:space="preserve">that the Department </w:t>
      </w:r>
      <w:r w:rsidR="00902ACE">
        <w:rPr>
          <w:b/>
        </w:rPr>
        <w:t>of Justice</w:t>
      </w:r>
      <w:r w:rsidR="00B91304">
        <w:rPr>
          <w:b/>
        </w:rPr>
        <w:t xml:space="preserve"> NI</w:t>
      </w:r>
      <w:r w:rsidR="00902ACE">
        <w:rPr>
          <w:b/>
        </w:rPr>
        <w:t xml:space="preserve"> </w:t>
      </w:r>
      <w:r w:rsidRPr="000A1D31">
        <w:rPr>
          <w:b/>
        </w:rPr>
        <w:t xml:space="preserve">makes clear whether biometric material is retained after death and if so, when and in what circumstances it will be utilised including in respect of other family members and that human rights considerations are fully </w:t>
      </w:r>
      <w:proofErr w:type="gramStart"/>
      <w:r w:rsidRPr="000A1D31">
        <w:rPr>
          <w:b/>
        </w:rPr>
        <w:t>taken into account</w:t>
      </w:r>
      <w:proofErr w:type="gramEnd"/>
      <w:r w:rsidRPr="000A1D31">
        <w:rPr>
          <w:b/>
        </w:rPr>
        <w:t xml:space="preserve"> before any such approach is adopted.</w:t>
      </w:r>
      <w:r w:rsidR="00902ACE">
        <w:rPr>
          <w:rStyle w:val="FootnoteReference"/>
          <w:b/>
        </w:rPr>
        <w:footnoteReference w:id="34"/>
      </w:r>
    </w:p>
    <w:p w14:paraId="38674B4B" w14:textId="77777777" w:rsidR="004F3BE3" w:rsidRDefault="004F3BE3" w:rsidP="004F3BE3">
      <w:pPr>
        <w:rPr>
          <w:bCs/>
        </w:rPr>
      </w:pPr>
    </w:p>
    <w:p w14:paraId="0D615EED" w14:textId="77777777" w:rsidR="00F90694" w:rsidRDefault="00F90694" w:rsidP="004F3BE3">
      <w:pPr>
        <w:rPr>
          <w:bCs/>
        </w:rPr>
      </w:pPr>
    </w:p>
    <w:p w14:paraId="7E02CB6E" w14:textId="7C0EECFA" w:rsidR="00A11ED2" w:rsidRPr="0028026C" w:rsidRDefault="00F33AD7" w:rsidP="004F3BE3">
      <w:pPr>
        <w:rPr>
          <w:b/>
        </w:rPr>
      </w:pPr>
      <w:r w:rsidRPr="0028026C">
        <w:rPr>
          <w:b/>
        </w:rPr>
        <w:t xml:space="preserve">Biometric retention in </w:t>
      </w:r>
      <w:r w:rsidR="00A11ED2" w:rsidRPr="0028026C">
        <w:rPr>
          <w:b/>
        </w:rPr>
        <w:t xml:space="preserve">Legacy </w:t>
      </w:r>
      <w:r w:rsidRPr="0028026C">
        <w:rPr>
          <w:b/>
        </w:rPr>
        <w:t>cases</w:t>
      </w:r>
      <w:r w:rsidR="00A11ED2" w:rsidRPr="0028026C">
        <w:rPr>
          <w:b/>
        </w:rPr>
        <w:t xml:space="preserve"> </w:t>
      </w:r>
    </w:p>
    <w:p w14:paraId="6564F2F3" w14:textId="77777777" w:rsidR="00A11ED2" w:rsidRDefault="00A11ED2" w:rsidP="004F3BE3">
      <w:pPr>
        <w:rPr>
          <w:bCs/>
        </w:rPr>
      </w:pPr>
    </w:p>
    <w:p w14:paraId="04180EFE" w14:textId="6ADF6334" w:rsidR="00364C4B" w:rsidRDefault="00042F66" w:rsidP="009F7DC8">
      <w:pPr>
        <w:pStyle w:val="ListParagraph"/>
        <w:numPr>
          <w:ilvl w:val="1"/>
          <w:numId w:val="2"/>
        </w:numPr>
        <w:ind w:left="709" w:hanging="709"/>
        <w:jc w:val="both"/>
      </w:pPr>
      <w:r>
        <w:t>The UK’s Action Plan note</w:t>
      </w:r>
      <w:r w:rsidR="008C5339">
        <w:t>s</w:t>
      </w:r>
      <w:r>
        <w:t xml:space="preserve"> that the proposed </w:t>
      </w:r>
      <w:r w:rsidRPr="001F1379">
        <w:t>biometric retention framework to be introduced w</w:t>
      </w:r>
      <w:r>
        <w:t>ould</w:t>
      </w:r>
      <w:r w:rsidRPr="001F1379">
        <w:t xml:space="preserve"> require the destruction of a large volume of existing DNA and fingerprints, there is a risk that future investigations into Troubles-related deaths in </w:t>
      </w:r>
      <w:r w:rsidR="00B91304">
        <w:t>NI</w:t>
      </w:r>
      <w:r w:rsidRPr="001F1379">
        <w:t xml:space="preserve"> would be undermined, should such material be destroyed.</w:t>
      </w:r>
      <w:r>
        <w:t xml:space="preserve"> </w:t>
      </w:r>
      <w:r w:rsidRPr="00055D84">
        <w:t xml:space="preserve">The </w:t>
      </w:r>
      <w:r w:rsidR="00B91304">
        <w:t>UK</w:t>
      </w:r>
      <w:r w:rsidRPr="00055D84">
        <w:t xml:space="preserve"> Government proposed to mitigate this risk by introducing statutory provision to allow for the retention of a copy of material solely for the purposes of such investigations and that retention of this data will be strictly time-limited for the period any such investigations are taking place</w:t>
      </w:r>
      <w:r>
        <w:t>.</w:t>
      </w:r>
      <w:r>
        <w:rPr>
          <w:rStyle w:val="FootnoteReference"/>
        </w:rPr>
        <w:footnoteReference w:id="35"/>
      </w:r>
    </w:p>
    <w:p w14:paraId="5CFBB360" w14:textId="77777777" w:rsidR="00364C4B" w:rsidRDefault="00364C4B" w:rsidP="00B91304">
      <w:pPr>
        <w:pStyle w:val="ListParagraph"/>
        <w:ind w:left="709"/>
        <w:jc w:val="both"/>
      </w:pPr>
    </w:p>
    <w:p w14:paraId="66BFE8ED" w14:textId="50353C0D" w:rsidR="008D4237" w:rsidRDefault="00A11ED2" w:rsidP="00B91304">
      <w:pPr>
        <w:pStyle w:val="ListParagraph"/>
        <w:numPr>
          <w:ilvl w:val="1"/>
          <w:numId w:val="2"/>
        </w:numPr>
        <w:ind w:left="709" w:hanging="709"/>
        <w:jc w:val="both"/>
      </w:pPr>
      <w:r w:rsidRPr="00055D84">
        <w:t xml:space="preserve">The Northern Ireland Troubles (Legacy and Reconciliation) </w:t>
      </w:r>
      <w:r>
        <w:t>Act 2023 (“Legacy Act</w:t>
      </w:r>
      <w:r w:rsidR="008D4237">
        <w:t xml:space="preserve"> 2023</w:t>
      </w:r>
      <w:r>
        <w:t>”)</w:t>
      </w:r>
      <w:r w:rsidRPr="00055D84">
        <w:t xml:space="preserve"> </w:t>
      </w:r>
      <w:r>
        <w:t>received Royal Assent on 18 September 2023</w:t>
      </w:r>
      <w:r w:rsidRPr="00055D84">
        <w:t>. This legislation provides for secondary legislation</w:t>
      </w:r>
      <w:r>
        <w:t>,</w:t>
      </w:r>
      <w:r w:rsidRPr="00055D84">
        <w:t xml:space="preserve"> to be made by the Secretary of State for Northern Ireland, which will provide for the retention of legacy biometric data</w:t>
      </w:r>
      <w:r>
        <w:rPr>
          <w:rStyle w:val="FootnoteReference"/>
        </w:rPr>
        <w:footnoteReference w:id="36"/>
      </w:r>
      <w:r w:rsidRPr="00055D84">
        <w:t xml:space="preserve"> to be used by the Independent Commission for Information Recovery and Reconciliation (ICRIR)</w:t>
      </w:r>
      <w:r w:rsidR="008D4237">
        <w:t xml:space="preserve">, also established under the legislation. </w:t>
      </w:r>
    </w:p>
    <w:p w14:paraId="2927815B" w14:textId="77777777" w:rsidR="00A11ED2" w:rsidRDefault="00A11ED2" w:rsidP="007A6CBA"/>
    <w:p w14:paraId="3D61C530" w14:textId="73C7A9C3" w:rsidR="008D4237" w:rsidRDefault="00A11ED2" w:rsidP="00A11ED2">
      <w:pPr>
        <w:pStyle w:val="ListParagraph"/>
        <w:numPr>
          <w:ilvl w:val="1"/>
          <w:numId w:val="2"/>
        </w:numPr>
        <w:ind w:left="709" w:hanging="709"/>
        <w:jc w:val="both"/>
      </w:pPr>
      <w:r w:rsidRPr="00055D84">
        <w:t>The UK</w:t>
      </w:r>
      <w:r w:rsidR="00295249">
        <w:t xml:space="preserve"> </w:t>
      </w:r>
      <w:r w:rsidR="00111778">
        <w:t xml:space="preserve">Government </w:t>
      </w:r>
      <w:r w:rsidR="00295249">
        <w:t>note</w:t>
      </w:r>
      <w:r w:rsidR="00111778">
        <w:t>d,</w:t>
      </w:r>
      <w:r w:rsidR="00295249">
        <w:t xml:space="preserve"> in their </w:t>
      </w:r>
      <w:r w:rsidR="000F3410">
        <w:t>September 202</w:t>
      </w:r>
      <w:r w:rsidR="003C7F7C">
        <w:t>2</w:t>
      </w:r>
      <w:r w:rsidRPr="00055D84">
        <w:t xml:space="preserve"> </w:t>
      </w:r>
      <w:r w:rsidR="00111778">
        <w:t xml:space="preserve">Action Plan, </w:t>
      </w:r>
      <w:r w:rsidRPr="00055D84">
        <w:t>that any data retention will be time-limited and will only continue until a reasonable period after the winding up of the body, and the ICRIR must carry out regular periodic reviews as to whether data it holds is still relevant.</w:t>
      </w:r>
      <w:r w:rsidR="0028026C">
        <w:rPr>
          <w:rStyle w:val="FootnoteReference"/>
        </w:rPr>
        <w:footnoteReference w:id="37"/>
      </w:r>
      <w:r>
        <w:t xml:space="preserve"> </w:t>
      </w:r>
    </w:p>
    <w:p w14:paraId="29245992" w14:textId="77777777" w:rsidR="0028026C" w:rsidRDefault="0028026C" w:rsidP="0028026C">
      <w:pPr>
        <w:pStyle w:val="ListParagraph"/>
      </w:pPr>
    </w:p>
    <w:p w14:paraId="6F666200" w14:textId="58783A56" w:rsidR="008F58F5" w:rsidRPr="008F58F5" w:rsidRDefault="0028026C" w:rsidP="008F58F5">
      <w:pPr>
        <w:pStyle w:val="ListParagraph"/>
        <w:numPr>
          <w:ilvl w:val="1"/>
          <w:numId w:val="2"/>
        </w:numPr>
        <w:ind w:left="709" w:hanging="709"/>
        <w:jc w:val="both"/>
      </w:pPr>
      <w:r>
        <w:rPr>
          <w:bCs/>
        </w:rPr>
        <w:t>The NIHRC notes that</w:t>
      </w:r>
      <w:r w:rsidRPr="00F73728">
        <w:rPr>
          <w:bCs/>
        </w:rPr>
        <w:t xml:space="preserve"> </w:t>
      </w:r>
      <w:r>
        <w:rPr>
          <w:bCs/>
        </w:rPr>
        <w:t xml:space="preserve">neither </w:t>
      </w:r>
      <w:r w:rsidRPr="00F73728">
        <w:rPr>
          <w:bCs/>
        </w:rPr>
        <w:t xml:space="preserve">the UK Action Plan </w:t>
      </w:r>
      <w:r>
        <w:rPr>
          <w:bCs/>
        </w:rPr>
        <w:t xml:space="preserve">or the Legacy Act 2023 itself provides for </w:t>
      </w:r>
      <w:r w:rsidRPr="00F73728">
        <w:rPr>
          <w:bCs/>
        </w:rPr>
        <w:t>time-limits for retention</w:t>
      </w:r>
      <w:r>
        <w:rPr>
          <w:bCs/>
        </w:rPr>
        <w:t xml:space="preserve"> under the Act, </w:t>
      </w:r>
      <w:r w:rsidRPr="00894C9C">
        <w:rPr>
          <w:bCs/>
        </w:rPr>
        <w:t xml:space="preserve">nor is this clear from the passage of the Bill through the UK Parliament. </w:t>
      </w:r>
      <w:r w:rsidRPr="00F73728">
        <w:rPr>
          <w:bCs/>
        </w:rPr>
        <w:t xml:space="preserve"> Lack of </w:t>
      </w:r>
      <w:r>
        <w:rPr>
          <w:bCs/>
        </w:rPr>
        <w:t xml:space="preserve">such </w:t>
      </w:r>
      <w:r w:rsidRPr="00F73728">
        <w:rPr>
          <w:bCs/>
        </w:rPr>
        <w:t>detail</w:t>
      </w:r>
      <w:r>
        <w:rPr>
          <w:bCs/>
        </w:rPr>
        <w:t>, or assurances,</w:t>
      </w:r>
      <w:r w:rsidRPr="00F73728">
        <w:rPr>
          <w:bCs/>
        </w:rPr>
        <w:t xml:space="preserve"> means it is unclear if this would satisfy the </w:t>
      </w:r>
      <w:r>
        <w:rPr>
          <w:bCs/>
        </w:rPr>
        <w:t>requirements</w:t>
      </w:r>
      <w:r w:rsidRPr="00F73728">
        <w:rPr>
          <w:bCs/>
        </w:rPr>
        <w:t xml:space="preserve"> in </w:t>
      </w:r>
      <w:r w:rsidRPr="00F73728">
        <w:rPr>
          <w:bCs/>
          <w:i/>
          <w:iCs/>
        </w:rPr>
        <w:t>Gaughran</w:t>
      </w:r>
      <w:r w:rsidRPr="00F73728">
        <w:rPr>
          <w:bCs/>
        </w:rPr>
        <w:t>.</w:t>
      </w:r>
      <w:r w:rsidR="00D26F4D">
        <w:rPr>
          <w:rStyle w:val="FootnoteReference"/>
          <w:bCs/>
        </w:rPr>
        <w:footnoteReference w:id="38"/>
      </w:r>
      <w:r w:rsidRPr="00F73728">
        <w:rPr>
          <w:bCs/>
        </w:rPr>
        <w:t xml:space="preserve"> </w:t>
      </w:r>
    </w:p>
    <w:p w14:paraId="0284EAD4" w14:textId="77777777" w:rsidR="008F58F5" w:rsidRDefault="008F58F5" w:rsidP="008F58F5">
      <w:pPr>
        <w:jc w:val="both"/>
      </w:pPr>
    </w:p>
    <w:p w14:paraId="511BC7E3" w14:textId="4A180947" w:rsidR="00884DF5" w:rsidRDefault="00E212ED" w:rsidP="00884DF5">
      <w:pPr>
        <w:pStyle w:val="ListParagraph"/>
        <w:numPr>
          <w:ilvl w:val="1"/>
          <w:numId w:val="2"/>
        </w:numPr>
        <w:ind w:left="709" w:hanging="709"/>
        <w:jc w:val="both"/>
      </w:pPr>
      <w:r w:rsidRPr="00F73728">
        <w:rPr>
          <w:bCs/>
        </w:rPr>
        <w:t>Under the Legacy Act</w:t>
      </w:r>
      <w:r w:rsidR="0028026C">
        <w:rPr>
          <w:bCs/>
        </w:rPr>
        <w:t xml:space="preserve"> 2023</w:t>
      </w:r>
      <w:r w:rsidRPr="00F73728">
        <w:rPr>
          <w:bCs/>
        </w:rPr>
        <w:t>, information</w:t>
      </w:r>
      <w:r w:rsidRPr="00ED31F5">
        <w:t xml:space="preserve"> that has been obtained by the ICRIR</w:t>
      </w:r>
      <w:r>
        <w:t xml:space="preserve"> </w:t>
      </w:r>
      <w:r w:rsidRPr="00F02DDF">
        <w:t>through the exercise of police powers</w:t>
      </w:r>
      <w:r>
        <w:t xml:space="preserve"> </w:t>
      </w:r>
      <w:r w:rsidRPr="00CA4861">
        <w:t>may be used by the ICRIR for the purposes of, or in connection with, the exercise of any function of the ICRIR</w:t>
      </w:r>
      <w:r>
        <w:t>.</w:t>
      </w:r>
      <w:r w:rsidRPr="00055D84">
        <w:rPr>
          <w:vertAlign w:val="superscript"/>
        </w:rPr>
        <w:footnoteReference w:id="39"/>
      </w:r>
      <w:r w:rsidRPr="00055D84">
        <w:t xml:space="preserve"> </w:t>
      </w:r>
      <w:r>
        <w:t>However,</w:t>
      </w:r>
      <w:r w:rsidRPr="00055D84">
        <w:t xml:space="preserve"> it is not stated that </w:t>
      </w:r>
      <w:r>
        <w:t>such information</w:t>
      </w:r>
      <w:r w:rsidRPr="00055D84">
        <w:t xml:space="preserve"> must be relevant to the ICRIR’s work. This</w:t>
      </w:r>
      <w:r>
        <w:t xml:space="preserve"> ambiguity means that it is questionable whether this is</w:t>
      </w:r>
      <w:r w:rsidRPr="00055D84">
        <w:t xml:space="preserve"> a proportionate approach</w:t>
      </w:r>
      <w:r>
        <w:t xml:space="preserve"> to data retention</w:t>
      </w:r>
      <w:r w:rsidRPr="00055D84">
        <w:t>, as required by Article 8 ECHR.</w:t>
      </w:r>
      <w:r w:rsidRPr="00055D84">
        <w:rPr>
          <w:vertAlign w:val="superscript"/>
        </w:rPr>
        <w:footnoteReference w:id="40"/>
      </w:r>
    </w:p>
    <w:p w14:paraId="775E5977" w14:textId="77777777" w:rsidR="007A6CBA" w:rsidRDefault="007A6CBA" w:rsidP="007A6CBA">
      <w:pPr>
        <w:pStyle w:val="ListParagraph"/>
      </w:pPr>
    </w:p>
    <w:p w14:paraId="64F3C877" w14:textId="435A45BE" w:rsidR="007A6CBA" w:rsidRDefault="007A6CBA" w:rsidP="007A6CBA">
      <w:pPr>
        <w:pStyle w:val="ListParagraph"/>
        <w:numPr>
          <w:ilvl w:val="1"/>
          <w:numId w:val="2"/>
        </w:numPr>
        <w:ind w:left="709" w:hanging="709"/>
        <w:jc w:val="both"/>
      </w:pPr>
      <w:r>
        <w:t xml:space="preserve">The Legacy Act 2023 has been subject to </w:t>
      </w:r>
      <w:proofErr w:type="gramStart"/>
      <w:r>
        <w:t>a number of</w:t>
      </w:r>
      <w:proofErr w:type="gramEnd"/>
      <w:r>
        <w:t xml:space="preserve"> legal challenges, which are ongoing before the NI High Court. The Irish Government is also reported to be considering </w:t>
      </w:r>
      <w:r w:rsidRPr="00187708">
        <w:t>taking a case</w:t>
      </w:r>
      <w:r>
        <w:t xml:space="preserve"> against the UK</w:t>
      </w:r>
      <w:r w:rsidRPr="00187708">
        <w:t xml:space="preserve"> to the </w:t>
      </w:r>
      <w:r>
        <w:t xml:space="preserve">ECtHR over the legislation and is obtaining </w:t>
      </w:r>
      <w:r w:rsidRPr="003D2808">
        <w:t>legal advice on what the strength would be of taking</w:t>
      </w:r>
      <w:r>
        <w:t xml:space="preserve"> such a case.</w:t>
      </w:r>
      <w:r>
        <w:rPr>
          <w:rStyle w:val="FootnoteReference"/>
        </w:rPr>
        <w:footnoteReference w:id="41"/>
      </w:r>
    </w:p>
    <w:p w14:paraId="1100DB1E" w14:textId="77777777" w:rsidR="00884DF5" w:rsidRDefault="00884DF5" w:rsidP="00884DF5">
      <w:pPr>
        <w:pStyle w:val="ListParagraph"/>
      </w:pPr>
    </w:p>
    <w:p w14:paraId="538E6455" w14:textId="6014D079" w:rsidR="00884DF5" w:rsidRPr="008F58F5" w:rsidRDefault="00F33AD7" w:rsidP="00781902">
      <w:pPr>
        <w:pStyle w:val="ListParagraph"/>
        <w:numPr>
          <w:ilvl w:val="1"/>
          <w:numId w:val="2"/>
        </w:numPr>
        <w:ind w:left="709" w:hanging="709"/>
        <w:jc w:val="both"/>
        <w:rPr>
          <w:b/>
        </w:rPr>
      </w:pPr>
      <w:r w:rsidRPr="008F58F5">
        <w:rPr>
          <w:b/>
        </w:rPr>
        <w:t>Th</w:t>
      </w:r>
      <w:r w:rsidR="0028026C" w:rsidRPr="008F58F5">
        <w:rPr>
          <w:b/>
        </w:rPr>
        <w:t>e</w:t>
      </w:r>
      <w:r w:rsidRPr="008F58F5">
        <w:rPr>
          <w:b/>
        </w:rPr>
        <w:t xml:space="preserve"> </w:t>
      </w:r>
      <w:r w:rsidR="00D504AB" w:rsidRPr="008F58F5">
        <w:rPr>
          <w:b/>
        </w:rPr>
        <w:t>NIHRC</w:t>
      </w:r>
      <w:r w:rsidR="004F3BE3" w:rsidRPr="008F58F5">
        <w:rPr>
          <w:b/>
        </w:rPr>
        <w:t xml:space="preserve"> </w:t>
      </w:r>
      <w:r w:rsidRPr="008F58F5">
        <w:rPr>
          <w:b/>
        </w:rPr>
        <w:t>is concerned</w:t>
      </w:r>
      <w:r w:rsidR="004F3BE3" w:rsidRPr="008F58F5">
        <w:rPr>
          <w:b/>
        </w:rPr>
        <w:t xml:space="preserve"> that the blanket retention of biometric data</w:t>
      </w:r>
      <w:r w:rsidR="00306364">
        <w:rPr>
          <w:b/>
        </w:rPr>
        <w:t xml:space="preserve"> under the </w:t>
      </w:r>
      <w:r w:rsidR="00306364" w:rsidRPr="00F33AD7">
        <w:rPr>
          <w:b/>
        </w:rPr>
        <w:t xml:space="preserve">Northern Ireland Troubles (Legacy and Reconciliation) </w:t>
      </w:r>
      <w:r w:rsidR="00306364">
        <w:rPr>
          <w:b/>
        </w:rPr>
        <w:t>Act 2023</w:t>
      </w:r>
      <w:r w:rsidR="004F3BE3" w:rsidRPr="008F58F5">
        <w:rPr>
          <w:b/>
        </w:rPr>
        <w:t xml:space="preserve">, even if it is only for those whose biometric data was obtained prior to a certain date, is not </w:t>
      </w:r>
      <w:r w:rsidRPr="008F58F5">
        <w:rPr>
          <w:b/>
        </w:rPr>
        <w:t>proportionate</w:t>
      </w:r>
      <w:r w:rsidR="0028026C" w:rsidRPr="008F58F5">
        <w:rPr>
          <w:b/>
        </w:rPr>
        <w:t>, in line with Article 8 ECHR</w:t>
      </w:r>
      <w:r w:rsidRPr="008F58F5">
        <w:rPr>
          <w:b/>
        </w:rPr>
        <w:t xml:space="preserve">. </w:t>
      </w:r>
    </w:p>
    <w:p w14:paraId="61E529EF" w14:textId="77777777" w:rsidR="008F58F5" w:rsidRDefault="008F58F5" w:rsidP="00D26F4D">
      <w:pPr>
        <w:pStyle w:val="ListParagraph"/>
      </w:pPr>
    </w:p>
    <w:p w14:paraId="6C505BF8" w14:textId="1DE6D932" w:rsidR="008F58F5" w:rsidRPr="00884DF5" w:rsidRDefault="00B91304" w:rsidP="008F58F5">
      <w:pPr>
        <w:pStyle w:val="ListParagraph"/>
        <w:numPr>
          <w:ilvl w:val="1"/>
          <w:numId w:val="2"/>
        </w:numPr>
        <w:ind w:left="709" w:hanging="709"/>
        <w:jc w:val="both"/>
      </w:pPr>
      <w:r>
        <w:t xml:space="preserve">Legislation to permit the retention of </w:t>
      </w:r>
      <w:r w:rsidR="008F58F5" w:rsidRPr="00DC104C">
        <w:t xml:space="preserve">biometric data collected under counter-terrorism powers in Northern Ireland before 31 October 2013 on a </w:t>
      </w:r>
      <w:r w:rsidR="008F58F5" w:rsidRPr="00DC104C">
        <w:lastRenderedPageBreak/>
        <w:t>temporary basis</w:t>
      </w:r>
      <w:r>
        <w:t xml:space="preserve"> continues to be renewed, in the absence of agreement and a legislative framework in NI.</w:t>
      </w:r>
      <w:r w:rsidR="002C136B">
        <w:rPr>
          <w:rStyle w:val="FootnoteReference"/>
        </w:rPr>
        <w:footnoteReference w:id="42"/>
      </w:r>
      <w:r w:rsidR="008F58F5" w:rsidRPr="00DC104C">
        <w:t xml:space="preserve"> The </w:t>
      </w:r>
      <w:r w:rsidR="008F58F5">
        <w:t xml:space="preserve">UK </w:t>
      </w:r>
      <w:r w:rsidR="008F58F5" w:rsidRPr="00DC104C">
        <w:t>Government has taken steps to renew this transitional order so that such material can continue to be held until October 2024.</w:t>
      </w:r>
      <w:r w:rsidR="00AD78E9">
        <w:rPr>
          <w:rStyle w:val="FootnoteReference"/>
        </w:rPr>
        <w:footnoteReference w:id="43"/>
      </w:r>
    </w:p>
    <w:p w14:paraId="06D5DA1E" w14:textId="77777777" w:rsidR="004F3BE3" w:rsidRPr="000A1D31" w:rsidRDefault="004F3BE3" w:rsidP="004F3BE3">
      <w:pPr>
        <w:pStyle w:val="ListParagraph"/>
        <w:rPr>
          <w:b/>
        </w:rPr>
      </w:pPr>
    </w:p>
    <w:p w14:paraId="551D58FC" w14:textId="146F9BFE" w:rsidR="004F3BE3" w:rsidRPr="006C5AFE" w:rsidRDefault="004F3BE3" w:rsidP="004F3BE3">
      <w:pPr>
        <w:pStyle w:val="ListParagraph"/>
        <w:numPr>
          <w:ilvl w:val="1"/>
          <w:numId w:val="2"/>
        </w:numPr>
        <w:ind w:left="720"/>
        <w:jc w:val="both"/>
        <w:rPr>
          <w:iCs/>
        </w:rPr>
      </w:pPr>
      <w:r w:rsidRPr="000A1D31">
        <w:rPr>
          <w:b/>
        </w:rPr>
        <w:t xml:space="preserve">The NIHRC </w:t>
      </w:r>
      <w:r w:rsidR="00F33AD7">
        <w:rPr>
          <w:b/>
        </w:rPr>
        <w:t>is concerned</w:t>
      </w:r>
      <w:r w:rsidR="00F33AD7" w:rsidRPr="000A1D31">
        <w:rPr>
          <w:b/>
        </w:rPr>
        <w:t xml:space="preserve"> </w:t>
      </w:r>
      <w:r w:rsidRPr="000A1D31">
        <w:rPr>
          <w:b/>
        </w:rPr>
        <w:t xml:space="preserve">that the </w:t>
      </w:r>
      <w:r w:rsidR="00F33AD7">
        <w:rPr>
          <w:b/>
        </w:rPr>
        <w:t xml:space="preserve">absence of an express </w:t>
      </w:r>
      <w:r w:rsidRPr="000A1D31">
        <w:rPr>
          <w:b/>
        </w:rPr>
        <w:t xml:space="preserve">provision </w:t>
      </w:r>
      <w:r w:rsidR="00F33AD7">
        <w:rPr>
          <w:b/>
        </w:rPr>
        <w:t xml:space="preserve">linking biometric retention with the purposes of the ICRIR’s work, under </w:t>
      </w:r>
      <w:r w:rsidRPr="000A1D31">
        <w:rPr>
          <w:b/>
        </w:rPr>
        <w:t xml:space="preserve">the </w:t>
      </w:r>
      <w:r w:rsidR="00F33AD7" w:rsidRPr="00F33AD7">
        <w:rPr>
          <w:b/>
        </w:rPr>
        <w:t>Northern Ireland Troubles (Legacy and Reconciliation) Act 2023</w:t>
      </w:r>
      <w:r w:rsidR="00F33AD7">
        <w:rPr>
          <w:b/>
        </w:rPr>
        <w:t>,</w:t>
      </w:r>
      <w:r w:rsidR="00F33AD7" w:rsidRPr="00F33AD7">
        <w:rPr>
          <w:b/>
        </w:rPr>
        <w:t xml:space="preserve"> </w:t>
      </w:r>
      <w:r w:rsidR="00F33AD7">
        <w:rPr>
          <w:b/>
        </w:rPr>
        <w:t>is not</w:t>
      </w:r>
      <w:r w:rsidRPr="000A1D31">
        <w:rPr>
          <w:b/>
        </w:rPr>
        <w:t xml:space="preserve"> </w:t>
      </w:r>
      <w:r w:rsidR="00F33AD7" w:rsidRPr="000A1D31">
        <w:rPr>
          <w:b/>
        </w:rPr>
        <w:t>proportiona</w:t>
      </w:r>
      <w:r w:rsidR="00F33AD7">
        <w:rPr>
          <w:b/>
        </w:rPr>
        <w:t xml:space="preserve">te </w:t>
      </w:r>
      <w:r w:rsidRPr="000A1D31">
        <w:rPr>
          <w:b/>
        </w:rPr>
        <w:t xml:space="preserve">as required by </w:t>
      </w:r>
      <w:r w:rsidR="00F33AD7">
        <w:rPr>
          <w:b/>
        </w:rPr>
        <w:t>Article 8 ECHR.</w:t>
      </w:r>
    </w:p>
    <w:p w14:paraId="0E441C69" w14:textId="77777777" w:rsidR="00DB2326" w:rsidRDefault="00DB2326" w:rsidP="00DB2326">
      <w:pPr>
        <w:pStyle w:val="ListParagraph"/>
        <w:ind w:left="709"/>
        <w:jc w:val="both"/>
      </w:pPr>
    </w:p>
    <w:p w14:paraId="26981076" w14:textId="77777777" w:rsidR="006C5AFE" w:rsidRDefault="006C5AFE" w:rsidP="004F016B">
      <w:pPr>
        <w:spacing w:after="160" w:line="259" w:lineRule="auto"/>
        <w:contextualSpacing/>
        <w:rPr>
          <w:rFonts w:eastAsiaTheme="minorHAnsi" w:cstheme="minorHAnsi"/>
          <w:b/>
        </w:rPr>
      </w:pPr>
    </w:p>
    <w:p w14:paraId="7C1BBC44" w14:textId="4F126F7E" w:rsidR="005A515E" w:rsidRDefault="005A515E" w:rsidP="006E3084">
      <w:pPr>
        <w:spacing w:after="160" w:line="259" w:lineRule="auto"/>
        <w:contextualSpacing/>
        <w:rPr>
          <w:rFonts w:eastAsiaTheme="minorHAnsi" w:cstheme="minorHAnsi"/>
          <w:b/>
        </w:rPr>
      </w:pPr>
    </w:p>
    <w:p w14:paraId="557C7498" w14:textId="77777777" w:rsidR="00F80127" w:rsidRDefault="00F80127" w:rsidP="006E3084">
      <w:pPr>
        <w:spacing w:after="160" w:line="259" w:lineRule="auto"/>
        <w:contextualSpacing/>
        <w:rPr>
          <w:rFonts w:eastAsiaTheme="minorHAnsi" w:cstheme="minorHAnsi"/>
          <w:b/>
        </w:rPr>
      </w:pPr>
    </w:p>
    <w:p w14:paraId="4D670070" w14:textId="77777777" w:rsidR="00F80127" w:rsidRDefault="00F80127" w:rsidP="006E3084">
      <w:pPr>
        <w:spacing w:after="160" w:line="259" w:lineRule="auto"/>
        <w:contextualSpacing/>
        <w:rPr>
          <w:rFonts w:eastAsiaTheme="minorHAnsi" w:cstheme="minorHAnsi"/>
          <w:b/>
        </w:rPr>
      </w:pPr>
    </w:p>
    <w:p w14:paraId="2F36DF88" w14:textId="77777777" w:rsidR="00F80127" w:rsidRDefault="00F80127" w:rsidP="006E3084">
      <w:pPr>
        <w:spacing w:after="160" w:line="259" w:lineRule="auto"/>
        <w:contextualSpacing/>
        <w:rPr>
          <w:rFonts w:eastAsiaTheme="minorHAnsi" w:cstheme="minorHAnsi"/>
          <w:b/>
        </w:rPr>
      </w:pPr>
    </w:p>
    <w:p w14:paraId="5769CDAD" w14:textId="77777777" w:rsidR="00F80127" w:rsidRDefault="00F80127" w:rsidP="006E3084">
      <w:pPr>
        <w:spacing w:after="160" w:line="259" w:lineRule="auto"/>
        <w:contextualSpacing/>
        <w:rPr>
          <w:rFonts w:eastAsiaTheme="minorHAnsi" w:cstheme="minorHAnsi"/>
          <w:b/>
        </w:rPr>
      </w:pPr>
    </w:p>
    <w:p w14:paraId="6A00C0A2" w14:textId="77777777" w:rsidR="00F80127" w:rsidRDefault="00F80127" w:rsidP="006E3084">
      <w:pPr>
        <w:spacing w:after="160" w:line="259" w:lineRule="auto"/>
        <w:contextualSpacing/>
        <w:rPr>
          <w:rFonts w:eastAsiaTheme="minorHAnsi" w:cstheme="minorHAnsi"/>
          <w:b/>
        </w:rPr>
      </w:pPr>
    </w:p>
    <w:p w14:paraId="085AD72F" w14:textId="77777777" w:rsidR="00F80127" w:rsidRDefault="00F80127" w:rsidP="006E3084">
      <w:pPr>
        <w:spacing w:after="160" w:line="259" w:lineRule="auto"/>
        <w:contextualSpacing/>
        <w:rPr>
          <w:rFonts w:eastAsiaTheme="minorHAnsi" w:cstheme="minorHAnsi"/>
          <w:b/>
        </w:rPr>
      </w:pPr>
    </w:p>
    <w:p w14:paraId="6989DCA4" w14:textId="77777777" w:rsidR="00F80127" w:rsidRDefault="00F80127" w:rsidP="006E3084">
      <w:pPr>
        <w:spacing w:after="160" w:line="259" w:lineRule="auto"/>
        <w:contextualSpacing/>
        <w:rPr>
          <w:rFonts w:eastAsiaTheme="minorHAnsi" w:cstheme="minorHAnsi"/>
          <w:b/>
        </w:rPr>
      </w:pPr>
    </w:p>
    <w:p w14:paraId="523EE4FE" w14:textId="77777777" w:rsidR="00F80127" w:rsidRDefault="00F80127" w:rsidP="006E3084">
      <w:pPr>
        <w:spacing w:after="160" w:line="259" w:lineRule="auto"/>
        <w:contextualSpacing/>
        <w:rPr>
          <w:rFonts w:eastAsiaTheme="minorHAnsi" w:cstheme="minorHAnsi"/>
          <w:b/>
        </w:rPr>
      </w:pPr>
    </w:p>
    <w:p w14:paraId="2CB8A567" w14:textId="77777777" w:rsidR="00F80127" w:rsidRDefault="00F80127" w:rsidP="006E3084">
      <w:pPr>
        <w:spacing w:after="160" w:line="259" w:lineRule="auto"/>
        <w:contextualSpacing/>
        <w:rPr>
          <w:rFonts w:eastAsiaTheme="minorHAnsi" w:cstheme="minorHAnsi"/>
          <w:b/>
        </w:rPr>
      </w:pPr>
    </w:p>
    <w:p w14:paraId="2DB94D49" w14:textId="77777777" w:rsidR="00F80127" w:rsidRDefault="00F80127" w:rsidP="006E3084">
      <w:pPr>
        <w:spacing w:after="160" w:line="259" w:lineRule="auto"/>
        <w:contextualSpacing/>
        <w:rPr>
          <w:rFonts w:eastAsiaTheme="minorHAnsi" w:cstheme="minorHAnsi"/>
          <w:b/>
        </w:rPr>
      </w:pPr>
    </w:p>
    <w:p w14:paraId="1DBEC3E3" w14:textId="77777777" w:rsidR="00F80127" w:rsidRDefault="00F80127" w:rsidP="006E3084">
      <w:pPr>
        <w:spacing w:after="160" w:line="259" w:lineRule="auto"/>
        <w:contextualSpacing/>
        <w:rPr>
          <w:rFonts w:eastAsiaTheme="minorHAnsi" w:cstheme="minorHAnsi"/>
          <w:b/>
        </w:rPr>
      </w:pPr>
    </w:p>
    <w:p w14:paraId="1A0E4E56" w14:textId="77777777" w:rsidR="00F80127" w:rsidRDefault="00F80127" w:rsidP="006E3084">
      <w:pPr>
        <w:spacing w:after="160" w:line="259" w:lineRule="auto"/>
        <w:contextualSpacing/>
        <w:rPr>
          <w:rFonts w:eastAsiaTheme="minorHAnsi" w:cstheme="minorHAnsi"/>
          <w:b/>
        </w:rPr>
      </w:pPr>
    </w:p>
    <w:p w14:paraId="7663C232" w14:textId="77777777" w:rsidR="00F80127" w:rsidRDefault="00F80127" w:rsidP="006E3084">
      <w:pPr>
        <w:spacing w:after="160" w:line="259" w:lineRule="auto"/>
        <w:contextualSpacing/>
        <w:rPr>
          <w:rFonts w:eastAsiaTheme="minorHAnsi" w:cstheme="minorHAnsi"/>
          <w:b/>
        </w:rPr>
      </w:pPr>
    </w:p>
    <w:p w14:paraId="5144888F" w14:textId="77777777" w:rsidR="00F80127" w:rsidRDefault="00F80127" w:rsidP="006E3084">
      <w:pPr>
        <w:spacing w:after="160" w:line="259" w:lineRule="auto"/>
        <w:contextualSpacing/>
        <w:rPr>
          <w:rFonts w:eastAsiaTheme="minorHAnsi" w:cstheme="minorHAnsi"/>
          <w:b/>
        </w:rPr>
      </w:pPr>
    </w:p>
    <w:p w14:paraId="6B62B56F" w14:textId="77777777" w:rsidR="00F80127" w:rsidRDefault="00F80127" w:rsidP="006E3084">
      <w:pPr>
        <w:spacing w:after="160" w:line="259" w:lineRule="auto"/>
        <w:contextualSpacing/>
        <w:rPr>
          <w:rFonts w:eastAsiaTheme="minorHAnsi" w:cstheme="minorHAnsi"/>
          <w:b/>
        </w:rPr>
      </w:pPr>
    </w:p>
    <w:p w14:paraId="12DBE8C8" w14:textId="77777777" w:rsidR="00F80127" w:rsidRDefault="00F80127" w:rsidP="006E3084">
      <w:pPr>
        <w:spacing w:after="160" w:line="259" w:lineRule="auto"/>
        <w:contextualSpacing/>
        <w:rPr>
          <w:rFonts w:eastAsiaTheme="minorHAnsi" w:cstheme="minorHAnsi"/>
          <w:b/>
        </w:rPr>
      </w:pPr>
    </w:p>
    <w:p w14:paraId="0F6D7524" w14:textId="77777777" w:rsidR="00F80127" w:rsidRDefault="00F80127" w:rsidP="006E3084">
      <w:pPr>
        <w:spacing w:after="160" w:line="259" w:lineRule="auto"/>
        <w:contextualSpacing/>
        <w:rPr>
          <w:rFonts w:eastAsiaTheme="minorHAnsi" w:cstheme="minorHAnsi"/>
          <w:b/>
        </w:rPr>
      </w:pPr>
    </w:p>
    <w:p w14:paraId="56FE551C" w14:textId="77777777" w:rsidR="00F80127" w:rsidRDefault="00F80127" w:rsidP="006E3084">
      <w:pPr>
        <w:spacing w:after="160" w:line="259" w:lineRule="auto"/>
        <w:contextualSpacing/>
        <w:rPr>
          <w:rFonts w:eastAsiaTheme="minorHAnsi" w:cstheme="minorHAnsi"/>
          <w:b/>
        </w:rPr>
      </w:pPr>
    </w:p>
    <w:p w14:paraId="7966707F" w14:textId="77777777" w:rsidR="00F80127" w:rsidRDefault="00F80127" w:rsidP="006E3084">
      <w:pPr>
        <w:spacing w:after="160" w:line="259" w:lineRule="auto"/>
        <w:contextualSpacing/>
        <w:rPr>
          <w:rFonts w:eastAsiaTheme="minorHAnsi" w:cstheme="minorHAnsi"/>
          <w:b/>
        </w:rPr>
      </w:pPr>
    </w:p>
    <w:p w14:paraId="3589DBB4" w14:textId="77777777" w:rsidR="00F80127" w:rsidRDefault="00F80127" w:rsidP="006E3084">
      <w:pPr>
        <w:spacing w:after="160" w:line="259" w:lineRule="auto"/>
        <w:contextualSpacing/>
        <w:rPr>
          <w:rFonts w:eastAsiaTheme="minorHAnsi" w:cstheme="minorHAnsi"/>
          <w:b/>
        </w:rPr>
      </w:pPr>
    </w:p>
    <w:p w14:paraId="14FC77EE" w14:textId="77777777" w:rsidR="00F80127" w:rsidRDefault="00F80127" w:rsidP="006E3084">
      <w:pPr>
        <w:spacing w:after="160" w:line="259" w:lineRule="auto"/>
        <w:contextualSpacing/>
        <w:rPr>
          <w:rFonts w:eastAsiaTheme="minorHAnsi" w:cstheme="minorHAnsi"/>
          <w:b/>
        </w:rPr>
      </w:pPr>
    </w:p>
    <w:p w14:paraId="5FB2B03B" w14:textId="77777777" w:rsidR="00626BCE" w:rsidRDefault="00626BCE" w:rsidP="00B91304">
      <w:pPr>
        <w:pStyle w:val="BasicParagraph"/>
        <w:suppressAutoHyphens/>
        <w:rPr>
          <w:rFonts w:ascii="Verdana" w:hAnsi="Verdana" w:cs="Arial"/>
          <w:b/>
          <w:bCs/>
          <w:color w:val="77328A"/>
          <w:sz w:val="36"/>
          <w:szCs w:val="36"/>
        </w:rPr>
      </w:pPr>
    </w:p>
    <w:p w14:paraId="3C9E8E81" w14:textId="77777777" w:rsidR="00B91304" w:rsidRDefault="00B91304" w:rsidP="00B91304">
      <w:pPr>
        <w:pStyle w:val="BasicParagraph"/>
        <w:suppressAutoHyphens/>
        <w:rPr>
          <w:rFonts w:ascii="Verdana" w:hAnsi="Verdana" w:cs="Arial"/>
          <w:b/>
          <w:bCs/>
          <w:color w:val="77328A"/>
          <w:sz w:val="36"/>
          <w:szCs w:val="36"/>
        </w:rPr>
      </w:pPr>
    </w:p>
    <w:p w14:paraId="4A42DFB5" w14:textId="77777777" w:rsidR="00B91304" w:rsidRDefault="00B91304" w:rsidP="00B91304">
      <w:pPr>
        <w:pStyle w:val="BasicParagraph"/>
        <w:suppressAutoHyphens/>
        <w:rPr>
          <w:rFonts w:ascii="Verdana" w:hAnsi="Verdana" w:cs="Arial"/>
          <w:b/>
          <w:bCs/>
          <w:color w:val="77328A"/>
          <w:sz w:val="36"/>
          <w:szCs w:val="36"/>
        </w:rPr>
      </w:pPr>
    </w:p>
    <w:p w14:paraId="4D273168" w14:textId="77777777" w:rsidR="00B91304" w:rsidRDefault="00B91304" w:rsidP="00B91304">
      <w:pPr>
        <w:pStyle w:val="BasicParagraph"/>
        <w:suppressAutoHyphens/>
        <w:rPr>
          <w:rFonts w:ascii="Verdana" w:hAnsi="Verdana" w:cs="Arial"/>
          <w:b/>
          <w:bCs/>
          <w:color w:val="77328A"/>
          <w:sz w:val="36"/>
          <w:szCs w:val="36"/>
        </w:rPr>
      </w:pPr>
    </w:p>
    <w:p w14:paraId="103D64A0" w14:textId="77777777" w:rsidR="00B91304" w:rsidRDefault="00B91304" w:rsidP="00B91304">
      <w:pPr>
        <w:pStyle w:val="BasicParagraph"/>
        <w:suppressAutoHyphens/>
        <w:rPr>
          <w:rFonts w:ascii="Verdana" w:hAnsi="Verdana" w:cs="Arial"/>
          <w:b/>
          <w:bCs/>
          <w:color w:val="77328A"/>
          <w:sz w:val="36"/>
          <w:szCs w:val="36"/>
        </w:rPr>
      </w:pPr>
    </w:p>
    <w:p w14:paraId="210E9883" w14:textId="77777777" w:rsidR="00B91304" w:rsidRDefault="00B91304" w:rsidP="00B91304">
      <w:pPr>
        <w:pStyle w:val="BasicParagraph"/>
        <w:suppressAutoHyphens/>
        <w:rPr>
          <w:rFonts w:ascii="Verdana" w:hAnsi="Verdana" w:cs="Arial"/>
          <w:b/>
          <w:bCs/>
          <w:color w:val="77328A"/>
          <w:sz w:val="36"/>
          <w:szCs w:val="36"/>
        </w:rPr>
      </w:pPr>
    </w:p>
    <w:p w14:paraId="00A5C50C" w14:textId="77777777" w:rsidR="00B91304" w:rsidRDefault="00B91304" w:rsidP="00B91304">
      <w:pPr>
        <w:pStyle w:val="BasicParagraph"/>
        <w:suppressAutoHyphens/>
        <w:rPr>
          <w:rFonts w:ascii="Verdana" w:hAnsi="Verdana" w:cs="Arial"/>
          <w:b/>
          <w:bCs/>
          <w:color w:val="77328A"/>
          <w:sz w:val="36"/>
          <w:szCs w:val="36"/>
        </w:rPr>
      </w:pPr>
    </w:p>
    <w:p w14:paraId="1FE78CEF" w14:textId="77777777" w:rsidR="009E5D23" w:rsidRPr="00331C61" w:rsidRDefault="009E5D23" w:rsidP="009E5D23">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w:t>
      </w:r>
      <w:proofErr w:type="gramStart"/>
      <w:r>
        <w:rPr>
          <w:rFonts w:ascii="Verdana" w:hAnsi="Verdana" w:cs="Arial"/>
          <w:b/>
          <w:bCs/>
          <w:color w:val="77328A"/>
          <w:sz w:val="36"/>
          <w:szCs w:val="36"/>
        </w:rPr>
        <w:t>us</w:t>
      </w:r>
      <w:proofErr w:type="gramEnd"/>
      <w:r>
        <w:rPr>
          <w:rFonts w:ascii="Verdana" w:hAnsi="Verdana" w:cs="Arial"/>
          <w:b/>
          <w:bCs/>
          <w:color w:val="77328A"/>
          <w:sz w:val="36"/>
          <w:szCs w:val="36"/>
        </w:rPr>
        <w:t xml:space="preserve"> </w:t>
      </w:r>
    </w:p>
    <w:p w14:paraId="1116621A" w14:textId="77777777" w:rsidR="009E5D23" w:rsidRPr="00331C61" w:rsidRDefault="009E5D23" w:rsidP="009E5D23">
      <w:pPr>
        <w:pStyle w:val="BasicParagraph"/>
        <w:suppressAutoHyphens/>
        <w:jc w:val="center"/>
        <w:rPr>
          <w:rFonts w:ascii="Verdana" w:hAnsi="Verdana" w:cs="Arial"/>
          <w:b/>
          <w:color w:val="77328A"/>
          <w:sz w:val="36"/>
          <w:szCs w:val="36"/>
        </w:rPr>
      </w:pPr>
    </w:p>
    <w:p w14:paraId="22BE388B" w14:textId="77777777" w:rsidR="009E5D23" w:rsidRPr="00331C61" w:rsidRDefault="00000000" w:rsidP="009E5D23">
      <w:pPr>
        <w:spacing w:line="288" w:lineRule="auto"/>
        <w:jc w:val="center"/>
        <w:rPr>
          <w:rFonts w:cs="Arial"/>
          <w:color w:val="232120"/>
          <w:sz w:val="28"/>
          <w:szCs w:val="28"/>
        </w:rPr>
      </w:pPr>
      <w:hyperlink r:id="rId9" w:history="1">
        <w:r w:rsidR="009E5D23" w:rsidRPr="00331C61">
          <w:rPr>
            <w:rStyle w:val="Hyperlink"/>
            <w:rFonts w:cs="Arial"/>
            <w:color w:val="232120"/>
            <w:sz w:val="28"/>
            <w:szCs w:val="28"/>
            <w:lang w:val="en-US"/>
          </w:rPr>
          <w:t>www.nihrc.org</w:t>
        </w:r>
      </w:hyperlink>
      <w:r w:rsidR="009E5D23" w:rsidRPr="00331C61">
        <w:rPr>
          <w:rFonts w:cs="Arial"/>
          <w:color w:val="232120"/>
          <w:sz w:val="28"/>
          <w:szCs w:val="28"/>
          <w:lang w:val="en-US"/>
        </w:rPr>
        <w:t xml:space="preserve">  |  </w:t>
      </w:r>
      <w:hyperlink r:id="rId10" w:history="1">
        <w:r w:rsidR="009E5D23" w:rsidRPr="00331C61">
          <w:rPr>
            <w:rStyle w:val="Hyperlink"/>
            <w:rFonts w:cs="Arial"/>
            <w:color w:val="232120"/>
            <w:sz w:val="28"/>
            <w:szCs w:val="28"/>
            <w:lang w:val="en-US"/>
          </w:rPr>
          <w:t>info@nihrc.org</w:t>
        </w:r>
      </w:hyperlink>
      <w:r w:rsidR="009E5D23" w:rsidRPr="00331C61">
        <w:rPr>
          <w:rFonts w:cs="Arial"/>
          <w:color w:val="232120"/>
          <w:sz w:val="28"/>
          <w:szCs w:val="28"/>
          <w:lang w:val="en-US"/>
        </w:rPr>
        <w:t xml:space="preserve">  |  +44 (0)28 9024 3987</w:t>
      </w:r>
    </w:p>
    <w:p w14:paraId="768BEFB4" w14:textId="77777777" w:rsidR="009E5D23" w:rsidRPr="00331C61" w:rsidRDefault="009E5D23" w:rsidP="009E5D23">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7177C9F8" w14:textId="77777777" w:rsidR="009E5D23" w:rsidRPr="00331C61" w:rsidRDefault="009E5D23" w:rsidP="009E5D23">
      <w:pPr>
        <w:spacing w:line="288" w:lineRule="auto"/>
        <w:jc w:val="center"/>
        <w:rPr>
          <w:rFonts w:cs="Arial"/>
          <w:b/>
          <w:color w:val="232120"/>
          <w:sz w:val="28"/>
          <w:szCs w:val="28"/>
        </w:rPr>
      </w:pPr>
    </w:p>
    <w:p w14:paraId="1B8C196B" w14:textId="77777777" w:rsidR="009E5D23" w:rsidRPr="00331C61" w:rsidRDefault="009E5D23" w:rsidP="009E5D23">
      <w:pPr>
        <w:spacing w:line="288" w:lineRule="auto"/>
        <w:jc w:val="center"/>
        <w:rPr>
          <w:rFonts w:cs="Arial"/>
          <w:color w:val="232120"/>
          <w:sz w:val="20"/>
          <w:szCs w:val="20"/>
        </w:rPr>
      </w:pPr>
    </w:p>
    <w:p w14:paraId="68B7EE1E" w14:textId="77777777" w:rsidR="00F00E72" w:rsidRPr="00F00E72" w:rsidRDefault="009E5D23" w:rsidP="00F00E72">
      <w:pPr>
        <w:pStyle w:val="BasicParagraph"/>
        <w:suppressAutoHyphens/>
        <w:spacing w:line="240" w:lineRule="auto"/>
        <w:jc w:val="center"/>
      </w:pPr>
      <w:r w:rsidRPr="00331C61">
        <w:rPr>
          <w:rFonts w:ascii="Verdana" w:hAnsi="Verdana" w:cs="Arial"/>
          <w:noProof/>
          <w:color w:val="232120"/>
          <w:sz w:val="28"/>
          <w:szCs w:val="28"/>
          <w:lang w:eastAsia="en-GB"/>
        </w:rPr>
        <w:drawing>
          <wp:inline distT="0" distB="0" distL="0" distR="0" wp14:anchorId="28252847" wp14:editId="3486F4ED">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bookmarkStart w:id="7" w:name="page2"/>
      <w:bookmarkEnd w:id="7"/>
    </w:p>
    <w:sectPr w:rsidR="00F00E72" w:rsidRPr="00F00E72" w:rsidSect="00553FCA">
      <w:headerReference w:type="even" r:id="rId12"/>
      <w:headerReference w:type="default" r:id="rId13"/>
      <w:footerReference w:type="even" r:id="rId14"/>
      <w:footerReference w:type="default" r:id="rId15"/>
      <w:headerReference w:type="firs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1711" w14:textId="77777777" w:rsidR="008E5437" w:rsidRDefault="008E5437" w:rsidP="00A476E1">
      <w:r>
        <w:separator/>
      </w:r>
    </w:p>
  </w:endnote>
  <w:endnote w:type="continuationSeparator" w:id="0">
    <w:p w14:paraId="50EBB9C9" w14:textId="77777777" w:rsidR="008E5437" w:rsidRDefault="008E5437" w:rsidP="00A4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DB5B" w14:textId="77777777" w:rsidR="00585F53" w:rsidRDefault="00585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8712"/>
      <w:docPartObj>
        <w:docPartGallery w:val="Page Numbers (Bottom of Page)"/>
        <w:docPartUnique/>
      </w:docPartObj>
    </w:sdtPr>
    <w:sdtEndPr>
      <w:rPr>
        <w:noProof/>
        <w:color w:val="7030A0"/>
        <w:sz w:val="20"/>
        <w:szCs w:val="20"/>
      </w:rPr>
    </w:sdtEndPr>
    <w:sdtContent>
      <w:p w14:paraId="11EF45E9" w14:textId="77777777" w:rsidR="00943397" w:rsidRPr="00943397" w:rsidRDefault="00943397">
        <w:pPr>
          <w:pStyle w:val="Footer"/>
          <w:jc w:val="right"/>
          <w:rPr>
            <w:color w:val="7030A0"/>
            <w:sz w:val="20"/>
            <w:szCs w:val="20"/>
          </w:rPr>
        </w:pPr>
        <w:r w:rsidRPr="00943397">
          <w:rPr>
            <w:color w:val="7030A0"/>
            <w:sz w:val="20"/>
            <w:szCs w:val="20"/>
          </w:rPr>
          <w:fldChar w:fldCharType="begin"/>
        </w:r>
        <w:r w:rsidRPr="00943397">
          <w:rPr>
            <w:color w:val="7030A0"/>
            <w:sz w:val="20"/>
            <w:szCs w:val="20"/>
          </w:rPr>
          <w:instrText xml:space="preserve"> PAGE   \* MERGEFORMAT </w:instrText>
        </w:r>
        <w:r w:rsidRPr="00943397">
          <w:rPr>
            <w:color w:val="7030A0"/>
            <w:sz w:val="20"/>
            <w:szCs w:val="20"/>
          </w:rPr>
          <w:fldChar w:fldCharType="separate"/>
        </w:r>
        <w:r w:rsidR="0036057F">
          <w:rPr>
            <w:noProof/>
            <w:color w:val="7030A0"/>
            <w:sz w:val="20"/>
            <w:szCs w:val="20"/>
          </w:rPr>
          <w:t>11</w:t>
        </w:r>
        <w:r w:rsidRPr="00943397">
          <w:rPr>
            <w:noProof/>
            <w:color w:val="7030A0"/>
            <w:sz w:val="20"/>
            <w:szCs w:val="20"/>
          </w:rPr>
          <w:fldChar w:fldCharType="end"/>
        </w:r>
      </w:p>
    </w:sdtContent>
  </w:sdt>
  <w:p w14:paraId="2359C3CD" w14:textId="77777777" w:rsidR="00553FCA" w:rsidRPr="007569C1" w:rsidRDefault="00553FCA" w:rsidP="00553FCA">
    <w:pPr>
      <w:pStyle w:val="Footer"/>
      <w:jc w:val="right"/>
      <w:rPr>
        <w:rFonts w:ascii="Arial" w:hAnsi="Arial" w:cs="Arial"/>
        <w:b/>
        <w:color w:val="77328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942075"/>
      <w:docPartObj>
        <w:docPartGallery w:val="Page Numbers (Bottom of Page)"/>
        <w:docPartUnique/>
      </w:docPartObj>
    </w:sdtPr>
    <w:sdtEndPr>
      <w:rPr>
        <w:noProof/>
        <w:color w:val="7030A0"/>
        <w:sz w:val="20"/>
        <w:szCs w:val="20"/>
      </w:rPr>
    </w:sdtEndPr>
    <w:sdtContent>
      <w:p w14:paraId="74941909" w14:textId="77777777" w:rsidR="00553FCA" w:rsidRPr="004E1DB7" w:rsidRDefault="00553FCA">
        <w:pPr>
          <w:pStyle w:val="Footer"/>
          <w:jc w:val="right"/>
          <w:rPr>
            <w:color w:val="7030A0"/>
            <w:sz w:val="20"/>
            <w:szCs w:val="20"/>
          </w:rPr>
        </w:pPr>
        <w:r w:rsidRPr="004E1DB7">
          <w:rPr>
            <w:color w:val="7030A0"/>
            <w:sz w:val="20"/>
            <w:szCs w:val="20"/>
          </w:rPr>
          <w:fldChar w:fldCharType="begin"/>
        </w:r>
        <w:r w:rsidRPr="004E1DB7">
          <w:rPr>
            <w:color w:val="7030A0"/>
            <w:sz w:val="20"/>
            <w:szCs w:val="20"/>
          </w:rPr>
          <w:instrText xml:space="preserve"> PAGE   \* MERGEFORMAT </w:instrText>
        </w:r>
        <w:r w:rsidRPr="004E1DB7">
          <w:rPr>
            <w:color w:val="7030A0"/>
            <w:sz w:val="20"/>
            <w:szCs w:val="20"/>
          </w:rPr>
          <w:fldChar w:fldCharType="separate"/>
        </w:r>
        <w:r w:rsidR="004B21B0">
          <w:rPr>
            <w:noProof/>
            <w:color w:val="7030A0"/>
            <w:sz w:val="20"/>
            <w:szCs w:val="20"/>
          </w:rPr>
          <w:t>1</w:t>
        </w:r>
        <w:r w:rsidRPr="004E1DB7">
          <w:rPr>
            <w:noProof/>
            <w:color w:val="7030A0"/>
            <w:sz w:val="20"/>
            <w:szCs w:val="20"/>
          </w:rPr>
          <w:fldChar w:fldCharType="end"/>
        </w:r>
      </w:p>
    </w:sdtContent>
  </w:sdt>
  <w:p w14:paraId="7091572B" w14:textId="77777777" w:rsidR="00553FCA" w:rsidRPr="00D12EF8" w:rsidRDefault="00553FCA" w:rsidP="00553FCA">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4DF0" w14:textId="77777777" w:rsidR="008E5437" w:rsidRDefault="008E5437" w:rsidP="00A476E1">
      <w:r>
        <w:separator/>
      </w:r>
    </w:p>
  </w:footnote>
  <w:footnote w:type="continuationSeparator" w:id="0">
    <w:p w14:paraId="2B3AF265" w14:textId="77777777" w:rsidR="008E5437" w:rsidRDefault="008E5437" w:rsidP="00A476E1">
      <w:r>
        <w:continuationSeparator/>
      </w:r>
    </w:p>
  </w:footnote>
  <w:footnote w:id="1">
    <w:p w14:paraId="50187918" w14:textId="7067C25E" w:rsidR="00030236" w:rsidRPr="00505875" w:rsidRDefault="00030236" w:rsidP="00030236">
      <w:pPr>
        <w:pStyle w:val="FootnoteText"/>
        <w:rPr>
          <w:color w:val="77328A"/>
          <w:sz w:val="16"/>
          <w:szCs w:val="16"/>
        </w:rPr>
      </w:pPr>
      <w:r w:rsidRPr="00505875">
        <w:rPr>
          <w:rStyle w:val="FootnoteReference"/>
          <w:color w:val="77328A"/>
          <w:sz w:val="16"/>
          <w:szCs w:val="16"/>
        </w:rPr>
        <w:footnoteRef/>
      </w:r>
      <w:r w:rsidRPr="00505875">
        <w:rPr>
          <w:color w:val="77328A"/>
          <w:sz w:val="16"/>
          <w:szCs w:val="16"/>
        </w:rPr>
        <w:t xml:space="preserve"> UN Principles relating to the Status of National Institutions, General Assembly res 48/134 of (20 December 1993)</w:t>
      </w:r>
      <w:r w:rsidR="008229BD">
        <w:rPr>
          <w:color w:val="77328A"/>
          <w:sz w:val="16"/>
          <w:szCs w:val="16"/>
        </w:rPr>
        <w:t>.</w:t>
      </w:r>
    </w:p>
  </w:footnote>
  <w:footnote w:id="2">
    <w:p w14:paraId="7B81CB77" w14:textId="77777777" w:rsidR="006D5A6A" w:rsidRPr="00102AF4" w:rsidRDefault="006D5A6A" w:rsidP="006D5A6A">
      <w:pPr>
        <w:rPr>
          <w:color w:val="77328A"/>
          <w:sz w:val="16"/>
          <w:szCs w:val="16"/>
        </w:rPr>
      </w:pPr>
      <w:r w:rsidRPr="00102AF4">
        <w:rPr>
          <w:rStyle w:val="FootnoteReference"/>
          <w:color w:val="77328A"/>
          <w:sz w:val="16"/>
          <w:szCs w:val="16"/>
        </w:rPr>
        <w:footnoteRef/>
      </w:r>
      <w:r w:rsidRPr="00102AF4">
        <w:rPr>
          <w:color w:val="77328A"/>
          <w:sz w:val="16"/>
          <w:szCs w:val="16"/>
        </w:rPr>
        <w:t xml:space="preserve"> Ratified by the UK in 1951.</w:t>
      </w:r>
    </w:p>
  </w:footnote>
  <w:footnote w:id="3">
    <w:p w14:paraId="085729D0" w14:textId="77777777" w:rsidR="008108D9" w:rsidRPr="002065B4" w:rsidRDefault="008108D9" w:rsidP="008108D9">
      <w:pPr>
        <w:pStyle w:val="FootnoteText"/>
        <w:rPr>
          <w:color w:val="77328A"/>
          <w:sz w:val="16"/>
          <w:szCs w:val="16"/>
        </w:rPr>
      </w:pPr>
      <w:r w:rsidRPr="002065B4">
        <w:rPr>
          <w:rStyle w:val="FootnoteReference"/>
          <w:color w:val="77328A"/>
          <w:sz w:val="16"/>
          <w:szCs w:val="16"/>
        </w:rPr>
        <w:footnoteRef/>
      </w:r>
      <w:r w:rsidRPr="002065B4">
        <w:rPr>
          <w:color w:val="77328A"/>
          <w:sz w:val="16"/>
          <w:szCs w:val="16"/>
        </w:rPr>
        <w:t xml:space="preserve"> </w:t>
      </w:r>
      <w:r w:rsidRPr="002065B4">
        <w:rPr>
          <w:i/>
          <w:iCs/>
          <w:color w:val="77328A"/>
          <w:sz w:val="16"/>
          <w:szCs w:val="16"/>
        </w:rPr>
        <w:t>S and Marper v the United Kingdom</w:t>
      </w:r>
      <w:r w:rsidRPr="002065B4">
        <w:rPr>
          <w:color w:val="77328A"/>
          <w:sz w:val="16"/>
          <w:szCs w:val="16"/>
        </w:rPr>
        <w:t xml:space="preserve"> [2008] ECHR 1581.</w:t>
      </w:r>
    </w:p>
  </w:footnote>
  <w:footnote w:id="4">
    <w:p w14:paraId="12EBC89D" w14:textId="77777777" w:rsidR="008108D9" w:rsidRPr="002065B4" w:rsidRDefault="008108D9" w:rsidP="008108D9">
      <w:pPr>
        <w:pStyle w:val="FootnoteText"/>
        <w:rPr>
          <w:color w:val="77328A"/>
          <w:sz w:val="16"/>
          <w:szCs w:val="16"/>
        </w:rPr>
      </w:pPr>
      <w:r w:rsidRPr="002065B4">
        <w:rPr>
          <w:rStyle w:val="FootnoteReference"/>
          <w:color w:val="77328A"/>
          <w:sz w:val="16"/>
          <w:szCs w:val="16"/>
        </w:rPr>
        <w:footnoteRef/>
      </w:r>
      <w:r w:rsidRPr="002065B4">
        <w:rPr>
          <w:color w:val="77328A"/>
          <w:sz w:val="16"/>
          <w:szCs w:val="16"/>
        </w:rPr>
        <w:t xml:space="preserve"> </w:t>
      </w:r>
      <w:r w:rsidRPr="002065B4">
        <w:rPr>
          <w:i/>
          <w:iCs/>
          <w:color w:val="77328A"/>
          <w:sz w:val="16"/>
          <w:szCs w:val="16"/>
        </w:rPr>
        <w:t>Gaughran v the United Kingdom</w:t>
      </w:r>
      <w:r w:rsidRPr="002065B4">
        <w:rPr>
          <w:color w:val="77328A"/>
          <w:sz w:val="16"/>
          <w:szCs w:val="16"/>
        </w:rPr>
        <w:t xml:space="preserve"> [2020] ECHR 144, at para 96.</w:t>
      </w:r>
    </w:p>
  </w:footnote>
  <w:footnote w:id="5">
    <w:p w14:paraId="719ED55F" w14:textId="09C3659A" w:rsidR="009E3F27" w:rsidRPr="00813DAC" w:rsidRDefault="009E3F27">
      <w:pPr>
        <w:pStyle w:val="FootnoteText"/>
        <w:rPr>
          <w:color w:val="77328A"/>
          <w:sz w:val="16"/>
          <w:szCs w:val="16"/>
        </w:rPr>
      </w:pPr>
      <w:r w:rsidRPr="00813DAC">
        <w:rPr>
          <w:rStyle w:val="FootnoteReference"/>
          <w:color w:val="77328A"/>
          <w:sz w:val="16"/>
          <w:szCs w:val="16"/>
        </w:rPr>
        <w:footnoteRef/>
      </w:r>
      <w:r w:rsidRPr="00813DAC">
        <w:rPr>
          <w:color w:val="77328A"/>
          <w:sz w:val="16"/>
          <w:szCs w:val="16"/>
        </w:rPr>
        <w:t xml:space="preserve"> </w:t>
      </w:r>
      <w:r w:rsidR="002E4E5A" w:rsidRPr="00813DAC">
        <w:rPr>
          <w:color w:val="77328A"/>
          <w:sz w:val="16"/>
          <w:szCs w:val="16"/>
        </w:rPr>
        <w:t>Ibid, at para 94.</w:t>
      </w:r>
    </w:p>
  </w:footnote>
  <w:footnote w:id="6">
    <w:p w14:paraId="0D038006" w14:textId="73314627" w:rsidR="002E4E5A" w:rsidRPr="00813DAC" w:rsidRDefault="002E4E5A">
      <w:pPr>
        <w:pStyle w:val="FootnoteText"/>
        <w:rPr>
          <w:color w:val="77328A"/>
          <w:sz w:val="16"/>
          <w:szCs w:val="16"/>
        </w:rPr>
      </w:pPr>
      <w:r w:rsidRPr="00813DAC">
        <w:rPr>
          <w:rStyle w:val="FootnoteReference"/>
          <w:color w:val="77328A"/>
          <w:sz w:val="16"/>
          <w:szCs w:val="16"/>
        </w:rPr>
        <w:footnoteRef/>
      </w:r>
      <w:r w:rsidRPr="00813DAC">
        <w:rPr>
          <w:color w:val="77328A"/>
          <w:sz w:val="16"/>
          <w:szCs w:val="16"/>
        </w:rPr>
        <w:t xml:space="preserve"> Ibid, at para 96.</w:t>
      </w:r>
    </w:p>
  </w:footnote>
  <w:footnote w:id="7">
    <w:p w14:paraId="76C2CB37" w14:textId="7E5210E2" w:rsidR="000E70A8" w:rsidRDefault="000E70A8">
      <w:pPr>
        <w:pStyle w:val="FootnoteText"/>
      </w:pPr>
      <w:r w:rsidRPr="00813DAC">
        <w:rPr>
          <w:rStyle w:val="FootnoteReference"/>
          <w:color w:val="77328A"/>
          <w:sz w:val="16"/>
          <w:szCs w:val="16"/>
        </w:rPr>
        <w:footnoteRef/>
      </w:r>
      <w:r w:rsidRPr="00813DAC">
        <w:rPr>
          <w:color w:val="77328A"/>
          <w:sz w:val="16"/>
          <w:szCs w:val="16"/>
        </w:rPr>
        <w:t xml:space="preserve"> Ibid</w:t>
      </w:r>
      <w:r w:rsidR="006A4CA0" w:rsidRPr="00813DAC">
        <w:rPr>
          <w:color w:val="77328A"/>
          <w:sz w:val="16"/>
          <w:szCs w:val="16"/>
        </w:rPr>
        <w:t>, at paras 100-102.</w:t>
      </w:r>
    </w:p>
  </w:footnote>
  <w:footnote w:id="8">
    <w:p w14:paraId="7043C11E" w14:textId="77777777" w:rsidR="004E4528" w:rsidRPr="00813DAC" w:rsidRDefault="004E4528" w:rsidP="004E4528">
      <w:pPr>
        <w:pStyle w:val="FootnoteText"/>
        <w:rPr>
          <w:color w:val="77328A"/>
          <w:sz w:val="16"/>
          <w:szCs w:val="16"/>
        </w:rPr>
      </w:pPr>
      <w:r w:rsidRPr="00813DAC">
        <w:rPr>
          <w:rStyle w:val="FootnoteReference"/>
          <w:color w:val="77328A"/>
          <w:sz w:val="16"/>
          <w:szCs w:val="16"/>
        </w:rPr>
        <w:footnoteRef/>
      </w:r>
      <w:r w:rsidRPr="00813DAC">
        <w:rPr>
          <w:color w:val="77328A"/>
          <w:sz w:val="16"/>
          <w:szCs w:val="16"/>
        </w:rPr>
        <w:t xml:space="preserve"> </w:t>
      </w:r>
      <w:r w:rsidRPr="002065B4">
        <w:rPr>
          <w:color w:val="77328A"/>
          <w:sz w:val="16"/>
          <w:szCs w:val="16"/>
        </w:rPr>
        <w:t>1451st meeting (December 2022) (DH) - Action plan (23/09/2022) - Communication from the United Kingdom concerning the case of Gaughran v. the United Kingdom (Application No. 45245/15).</w:t>
      </w:r>
    </w:p>
  </w:footnote>
  <w:footnote w:id="9">
    <w:p w14:paraId="6F8FDA82" w14:textId="77777777" w:rsidR="00AD2497" w:rsidRPr="00D93743" w:rsidRDefault="00AD2497" w:rsidP="00AD2497">
      <w:pPr>
        <w:rPr>
          <w:color w:val="77328A"/>
          <w:sz w:val="16"/>
          <w:szCs w:val="16"/>
        </w:rPr>
      </w:pPr>
      <w:r w:rsidRPr="00D93743">
        <w:rPr>
          <w:rStyle w:val="FootnoteReference"/>
          <w:color w:val="77328A"/>
          <w:sz w:val="16"/>
          <w:szCs w:val="16"/>
        </w:rPr>
        <w:footnoteRef/>
      </w:r>
      <w:r w:rsidRPr="00D93743">
        <w:rPr>
          <w:color w:val="77328A"/>
          <w:sz w:val="16"/>
          <w:szCs w:val="16"/>
        </w:rPr>
        <w:t xml:space="preserve"> </w:t>
      </w:r>
      <w:r w:rsidRPr="00D93743">
        <w:rPr>
          <w:i/>
          <w:color w:val="77328A"/>
          <w:sz w:val="16"/>
          <w:szCs w:val="16"/>
        </w:rPr>
        <w:t>S and Marper v UK</w:t>
      </w:r>
      <w:r w:rsidRPr="00D93743">
        <w:rPr>
          <w:color w:val="77328A"/>
          <w:sz w:val="16"/>
          <w:szCs w:val="16"/>
        </w:rPr>
        <w:t xml:space="preserve"> (2008) ECHR 1581.</w:t>
      </w:r>
    </w:p>
  </w:footnote>
  <w:footnote w:id="10">
    <w:p w14:paraId="7CBEA615" w14:textId="77777777" w:rsidR="00AD2497" w:rsidRPr="00180FEE" w:rsidRDefault="00AD2497" w:rsidP="00AD2497">
      <w:r w:rsidRPr="00D93743">
        <w:rPr>
          <w:rStyle w:val="FootnoteReference"/>
          <w:color w:val="77328A"/>
          <w:sz w:val="16"/>
          <w:szCs w:val="16"/>
        </w:rPr>
        <w:footnoteRef/>
      </w:r>
      <w:r w:rsidRPr="00D93743">
        <w:rPr>
          <w:color w:val="77328A"/>
          <w:sz w:val="16"/>
          <w:szCs w:val="16"/>
        </w:rPr>
        <w:t xml:space="preserve"> Article 17, UN International Covenant on Civil and Political Rights 1966; Article 16(1), UN Convention on the Rights of the Child 1989; Article 22, UN Convention on the Rights of Persons with Disabilities 2006.</w:t>
      </w:r>
    </w:p>
  </w:footnote>
  <w:footnote w:id="11">
    <w:p w14:paraId="38F67362" w14:textId="77777777" w:rsidR="00AD2497" w:rsidRPr="00CE1C04" w:rsidRDefault="00AD2497" w:rsidP="00AD2497">
      <w:pPr>
        <w:rPr>
          <w:color w:val="77328A"/>
          <w:sz w:val="16"/>
          <w:szCs w:val="16"/>
        </w:rPr>
      </w:pPr>
      <w:r w:rsidRPr="00CE1C04">
        <w:rPr>
          <w:rStyle w:val="FootnoteReference"/>
          <w:color w:val="77328A"/>
          <w:sz w:val="16"/>
          <w:szCs w:val="16"/>
        </w:rPr>
        <w:footnoteRef/>
      </w:r>
      <w:r w:rsidRPr="00CE1C04">
        <w:rPr>
          <w:color w:val="77328A"/>
          <w:sz w:val="16"/>
          <w:szCs w:val="16"/>
        </w:rPr>
        <w:t xml:space="preserve"> </w:t>
      </w:r>
      <w:r w:rsidRPr="00CE1C04">
        <w:rPr>
          <w:i/>
          <w:color w:val="77328A"/>
          <w:sz w:val="16"/>
          <w:szCs w:val="16"/>
        </w:rPr>
        <w:t>Malone v UK</w:t>
      </w:r>
      <w:r w:rsidRPr="00CE1C04">
        <w:rPr>
          <w:color w:val="77328A"/>
          <w:sz w:val="16"/>
          <w:szCs w:val="16"/>
        </w:rPr>
        <w:t xml:space="preserve"> (1984) ECHR 10, at paras 66-68.</w:t>
      </w:r>
    </w:p>
  </w:footnote>
  <w:footnote w:id="12">
    <w:p w14:paraId="61B544E6" w14:textId="77777777" w:rsidR="00AD2497" w:rsidRPr="00CE1C04" w:rsidRDefault="00AD2497" w:rsidP="00AD2497">
      <w:pPr>
        <w:rPr>
          <w:color w:val="77328A"/>
          <w:sz w:val="16"/>
          <w:szCs w:val="16"/>
        </w:rPr>
      </w:pPr>
      <w:r w:rsidRPr="00CE1C04">
        <w:rPr>
          <w:rStyle w:val="FootnoteReference"/>
          <w:color w:val="77328A"/>
          <w:sz w:val="16"/>
          <w:szCs w:val="16"/>
        </w:rPr>
        <w:footnoteRef/>
      </w:r>
      <w:r w:rsidRPr="00CE1C04">
        <w:rPr>
          <w:color w:val="77328A"/>
          <w:sz w:val="16"/>
          <w:szCs w:val="16"/>
        </w:rPr>
        <w:t xml:space="preserve"> </w:t>
      </w:r>
      <w:r w:rsidRPr="00CE1C04">
        <w:rPr>
          <w:iCs/>
          <w:color w:val="77328A"/>
          <w:sz w:val="16"/>
          <w:szCs w:val="16"/>
        </w:rPr>
        <w:t>Ibid</w:t>
      </w:r>
      <w:r w:rsidRPr="00CE1C04">
        <w:rPr>
          <w:color w:val="77328A"/>
          <w:sz w:val="16"/>
          <w:szCs w:val="16"/>
        </w:rPr>
        <w:t xml:space="preserve">, at para 66; </w:t>
      </w:r>
      <w:r w:rsidRPr="00CE1C04">
        <w:rPr>
          <w:i/>
          <w:color w:val="77328A"/>
          <w:sz w:val="16"/>
          <w:szCs w:val="16"/>
        </w:rPr>
        <w:t xml:space="preserve">Silver and Others v UK </w:t>
      </w:r>
      <w:r w:rsidRPr="00CE1C04">
        <w:rPr>
          <w:color w:val="77328A"/>
          <w:sz w:val="16"/>
          <w:szCs w:val="16"/>
        </w:rPr>
        <w:t>(1983) ECHR 5, at paras 87-88.</w:t>
      </w:r>
    </w:p>
  </w:footnote>
  <w:footnote w:id="13">
    <w:p w14:paraId="022124A5" w14:textId="77777777" w:rsidR="00AD2497" w:rsidRPr="00CE1C04" w:rsidRDefault="00AD2497" w:rsidP="00AD2497">
      <w:pPr>
        <w:rPr>
          <w:color w:val="77328A"/>
          <w:sz w:val="16"/>
          <w:szCs w:val="16"/>
        </w:rPr>
      </w:pPr>
      <w:r w:rsidRPr="00CE1C04">
        <w:rPr>
          <w:rStyle w:val="FootnoteReference"/>
          <w:color w:val="77328A"/>
          <w:sz w:val="16"/>
          <w:szCs w:val="16"/>
        </w:rPr>
        <w:footnoteRef/>
      </w:r>
      <w:r w:rsidRPr="00CE1C04">
        <w:rPr>
          <w:color w:val="77328A"/>
          <w:sz w:val="16"/>
          <w:szCs w:val="16"/>
        </w:rPr>
        <w:t xml:space="preserve"> </w:t>
      </w:r>
      <w:r w:rsidRPr="00CE1C04">
        <w:rPr>
          <w:i/>
          <w:color w:val="77328A"/>
          <w:sz w:val="16"/>
          <w:szCs w:val="16"/>
        </w:rPr>
        <w:t>S and Marper v UK</w:t>
      </w:r>
      <w:r w:rsidRPr="00CE1C04">
        <w:rPr>
          <w:color w:val="77328A"/>
          <w:sz w:val="16"/>
          <w:szCs w:val="16"/>
        </w:rPr>
        <w:t xml:space="preserve"> (2008) ECHR 1581, at para 103.</w:t>
      </w:r>
    </w:p>
  </w:footnote>
  <w:footnote w:id="14">
    <w:p w14:paraId="52469066" w14:textId="77777777" w:rsidR="00542C4B" w:rsidRPr="00CE1C04" w:rsidRDefault="00542C4B" w:rsidP="00542C4B">
      <w:pPr>
        <w:rPr>
          <w:color w:val="77328A"/>
          <w:sz w:val="16"/>
          <w:szCs w:val="16"/>
        </w:rPr>
      </w:pPr>
      <w:r w:rsidRPr="00CE1C04">
        <w:rPr>
          <w:rStyle w:val="FootnoteReference"/>
          <w:color w:val="77328A"/>
          <w:sz w:val="16"/>
          <w:szCs w:val="16"/>
        </w:rPr>
        <w:footnoteRef/>
      </w:r>
      <w:r w:rsidRPr="00CE1C04">
        <w:rPr>
          <w:color w:val="77328A"/>
          <w:sz w:val="16"/>
          <w:szCs w:val="16"/>
        </w:rPr>
        <w:t xml:space="preserve"> </w:t>
      </w:r>
      <w:r w:rsidRPr="00CE1C04">
        <w:rPr>
          <w:iCs/>
          <w:color w:val="77328A"/>
          <w:sz w:val="16"/>
          <w:szCs w:val="16"/>
        </w:rPr>
        <w:t>Ibid,</w:t>
      </w:r>
      <w:r w:rsidRPr="00CE1C04">
        <w:rPr>
          <w:color w:val="77328A"/>
          <w:sz w:val="16"/>
          <w:szCs w:val="16"/>
        </w:rPr>
        <w:t xml:space="preserve"> at para 114.</w:t>
      </w:r>
    </w:p>
  </w:footnote>
  <w:footnote w:id="15">
    <w:p w14:paraId="781E7FDA" w14:textId="77777777" w:rsidR="00542C4B" w:rsidRPr="00CE1C04" w:rsidRDefault="00542C4B" w:rsidP="00542C4B">
      <w:pPr>
        <w:rPr>
          <w:color w:val="77328A"/>
          <w:sz w:val="16"/>
          <w:szCs w:val="16"/>
        </w:rPr>
      </w:pPr>
      <w:r w:rsidRPr="00CE1C04">
        <w:rPr>
          <w:rStyle w:val="FootnoteReference"/>
          <w:color w:val="77328A"/>
          <w:sz w:val="16"/>
          <w:szCs w:val="16"/>
        </w:rPr>
        <w:footnoteRef/>
      </w:r>
      <w:r w:rsidRPr="00CE1C04">
        <w:rPr>
          <w:color w:val="77328A"/>
          <w:sz w:val="16"/>
          <w:szCs w:val="16"/>
        </w:rPr>
        <w:t xml:space="preserve"> </w:t>
      </w:r>
      <w:r w:rsidRPr="00CE1C04">
        <w:rPr>
          <w:iCs/>
          <w:color w:val="77328A"/>
          <w:sz w:val="16"/>
          <w:szCs w:val="16"/>
        </w:rPr>
        <w:t>Ibid</w:t>
      </w:r>
      <w:r w:rsidRPr="00CE1C04">
        <w:rPr>
          <w:color w:val="77328A"/>
          <w:sz w:val="16"/>
          <w:szCs w:val="16"/>
        </w:rPr>
        <w:t>, at para 118.</w:t>
      </w:r>
    </w:p>
  </w:footnote>
  <w:footnote w:id="16">
    <w:p w14:paraId="451BD67D" w14:textId="77777777" w:rsidR="00542C4B" w:rsidRPr="00180FEE" w:rsidRDefault="00542C4B" w:rsidP="00542C4B">
      <w:pPr>
        <w:pStyle w:val="FootnoteText"/>
        <w:rPr>
          <w:color w:val="77328A"/>
          <w:sz w:val="16"/>
          <w:szCs w:val="16"/>
        </w:rPr>
      </w:pPr>
      <w:r w:rsidRPr="00CE1C04">
        <w:rPr>
          <w:rStyle w:val="FootnoteReference"/>
          <w:color w:val="77328A"/>
          <w:sz w:val="16"/>
          <w:szCs w:val="16"/>
        </w:rPr>
        <w:footnoteRef/>
      </w:r>
      <w:r w:rsidRPr="00CE1C04">
        <w:rPr>
          <w:color w:val="77328A"/>
          <w:sz w:val="16"/>
          <w:szCs w:val="16"/>
        </w:rPr>
        <w:t xml:space="preserve"> Dudgeon v UK (1981) ECHR 5, at para 51-53.</w:t>
      </w:r>
    </w:p>
  </w:footnote>
  <w:footnote w:id="17">
    <w:p w14:paraId="33E30CD1" w14:textId="77777777" w:rsidR="00A72F82" w:rsidRPr="00243707" w:rsidRDefault="00A72F82" w:rsidP="00A72F82">
      <w:pPr>
        <w:pStyle w:val="FootnoteText"/>
        <w:rPr>
          <w:color w:val="77328A"/>
          <w:sz w:val="16"/>
          <w:szCs w:val="16"/>
        </w:rPr>
      </w:pPr>
      <w:r w:rsidRPr="00180FEE">
        <w:rPr>
          <w:rStyle w:val="FootnoteReference"/>
          <w:color w:val="77328A"/>
          <w:sz w:val="16"/>
          <w:szCs w:val="16"/>
        </w:rPr>
        <w:footnoteRef/>
      </w:r>
      <w:r w:rsidRPr="00180FEE">
        <w:rPr>
          <w:color w:val="77328A"/>
          <w:sz w:val="16"/>
          <w:szCs w:val="16"/>
        </w:rPr>
        <w:t xml:space="preserve"> </w:t>
      </w:r>
      <w:r w:rsidRPr="0092370B">
        <w:rPr>
          <w:i/>
          <w:iCs/>
          <w:color w:val="77328A"/>
          <w:sz w:val="16"/>
          <w:szCs w:val="16"/>
        </w:rPr>
        <w:t>X and Y v the Netherlands</w:t>
      </w:r>
      <w:r w:rsidRPr="00180FEE">
        <w:rPr>
          <w:color w:val="77328A"/>
          <w:sz w:val="16"/>
          <w:szCs w:val="16"/>
        </w:rPr>
        <w:t xml:space="preserve"> (1985) ECHR 4; </w:t>
      </w:r>
      <w:r w:rsidRPr="0092370B">
        <w:rPr>
          <w:i/>
          <w:iCs/>
          <w:color w:val="77328A"/>
          <w:sz w:val="16"/>
          <w:szCs w:val="16"/>
        </w:rPr>
        <w:t>Christine Goodwin v UK</w:t>
      </w:r>
      <w:r w:rsidRPr="00180FEE">
        <w:rPr>
          <w:color w:val="77328A"/>
          <w:sz w:val="16"/>
          <w:szCs w:val="16"/>
        </w:rPr>
        <w:t xml:space="preserve"> (2002) ECHR 588; </w:t>
      </w:r>
      <w:r w:rsidRPr="0092370B">
        <w:rPr>
          <w:i/>
          <w:iCs/>
          <w:color w:val="77328A"/>
          <w:sz w:val="16"/>
          <w:szCs w:val="16"/>
        </w:rPr>
        <w:t>Pretty v UK</w:t>
      </w:r>
      <w:r w:rsidRPr="00180FEE">
        <w:rPr>
          <w:color w:val="77328A"/>
          <w:sz w:val="16"/>
          <w:szCs w:val="16"/>
        </w:rPr>
        <w:t xml:space="preserve"> (2002) ECHR 427.</w:t>
      </w:r>
    </w:p>
  </w:footnote>
  <w:footnote w:id="18">
    <w:p w14:paraId="286F7E40" w14:textId="77777777" w:rsidR="00A72F82" w:rsidRPr="003B4D9C" w:rsidRDefault="00A72F82" w:rsidP="00A72F82">
      <w:pPr>
        <w:pStyle w:val="FootnoteText"/>
        <w:rPr>
          <w:color w:val="77328A"/>
          <w:sz w:val="16"/>
          <w:szCs w:val="16"/>
        </w:rPr>
      </w:pPr>
      <w:r w:rsidRPr="003B4D9C">
        <w:rPr>
          <w:rStyle w:val="FootnoteReference"/>
          <w:color w:val="77328A"/>
          <w:sz w:val="16"/>
          <w:szCs w:val="16"/>
        </w:rPr>
        <w:footnoteRef/>
      </w:r>
      <w:r w:rsidRPr="003B4D9C">
        <w:rPr>
          <w:color w:val="77328A"/>
          <w:sz w:val="16"/>
          <w:szCs w:val="16"/>
        </w:rPr>
        <w:t xml:space="preserve"> </w:t>
      </w:r>
      <w:r w:rsidRPr="007E466C">
        <w:rPr>
          <w:i/>
          <w:iCs/>
          <w:color w:val="77328A"/>
          <w:sz w:val="16"/>
          <w:szCs w:val="16"/>
        </w:rPr>
        <w:t>Brunet v France</w:t>
      </w:r>
      <w:r w:rsidRPr="003B4D9C">
        <w:rPr>
          <w:color w:val="77328A"/>
          <w:sz w:val="16"/>
          <w:szCs w:val="16"/>
        </w:rPr>
        <w:t xml:space="preserve"> (2014) ECHR 263.</w:t>
      </w:r>
    </w:p>
  </w:footnote>
  <w:footnote w:id="19">
    <w:p w14:paraId="51972371" w14:textId="77777777" w:rsidR="00261AAE" w:rsidRPr="003B4D9C" w:rsidRDefault="00261AAE" w:rsidP="00261AAE">
      <w:pPr>
        <w:pStyle w:val="FootnoteText"/>
        <w:rPr>
          <w:color w:val="77328A"/>
          <w:sz w:val="16"/>
          <w:szCs w:val="16"/>
        </w:rPr>
      </w:pPr>
      <w:r w:rsidRPr="003B4D9C">
        <w:rPr>
          <w:rStyle w:val="FootnoteReference"/>
          <w:color w:val="77328A"/>
          <w:sz w:val="16"/>
          <w:szCs w:val="16"/>
        </w:rPr>
        <w:footnoteRef/>
      </w:r>
      <w:r w:rsidRPr="003B4D9C">
        <w:rPr>
          <w:color w:val="77328A"/>
          <w:sz w:val="16"/>
          <w:szCs w:val="16"/>
        </w:rPr>
        <w:t xml:space="preserve"> Correspondence from the Chief Constable of the Police Service of NI to the Chief Commissioner of the NI Human Rights Commission, 5 November 2021.</w:t>
      </w:r>
    </w:p>
  </w:footnote>
  <w:footnote w:id="20">
    <w:p w14:paraId="2E377926" w14:textId="77777777" w:rsidR="00261AAE" w:rsidRPr="003B4D9C" w:rsidRDefault="00261AAE" w:rsidP="00261AAE">
      <w:pPr>
        <w:pStyle w:val="FootnoteText"/>
        <w:rPr>
          <w:color w:val="77328A"/>
          <w:sz w:val="16"/>
          <w:szCs w:val="16"/>
        </w:rPr>
      </w:pPr>
      <w:r w:rsidRPr="003B4D9C">
        <w:rPr>
          <w:rStyle w:val="FootnoteReference"/>
          <w:color w:val="77328A"/>
          <w:sz w:val="16"/>
          <w:szCs w:val="16"/>
        </w:rPr>
        <w:footnoteRef/>
      </w:r>
      <w:r w:rsidRPr="003B4D9C">
        <w:rPr>
          <w:color w:val="77328A"/>
          <w:sz w:val="16"/>
          <w:szCs w:val="16"/>
        </w:rPr>
        <w:t xml:space="preserve"> NI Human Rights Commission, ‘Press Release: Human Rights Commission secures settlement in DNA fingerprint retention case’, 9 January 2019.</w:t>
      </w:r>
    </w:p>
  </w:footnote>
  <w:footnote w:id="21">
    <w:p w14:paraId="7681D07A" w14:textId="4F6091D9" w:rsidR="001D7C2D" w:rsidRPr="001D7C2D" w:rsidRDefault="001D7C2D">
      <w:pPr>
        <w:pStyle w:val="FootnoteText"/>
        <w:rPr>
          <w:color w:val="76328A"/>
          <w:sz w:val="16"/>
          <w:szCs w:val="16"/>
        </w:rPr>
      </w:pPr>
      <w:r w:rsidRPr="001D7C2D">
        <w:rPr>
          <w:rStyle w:val="FootnoteReference"/>
          <w:color w:val="76328A"/>
          <w:sz w:val="16"/>
          <w:szCs w:val="16"/>
        </w:rPr>
        <w:footnoteRef/>
      </w:r>
      <w:r w:rsidRPr="001D7C2D">
        <w:rPr>
          <w:color w:val="76328A"/>
          <w:sz w:val="16"/>
          <w:szCs w:val="16"/>
        </w:rPr>
        <w:t xml:space="preserve"> </w:t>
      </w:r>
      <w:r>
        <w:rPr>
          <w:color w:val="76328A"/>
          <w:sz w:val="16"/>
          <w:szCs w:val="16"/>
        </w:rPr>
        <w:t>Ibid.</w:t>
      </w:r>
    </w:p>
  </w:footnote>
  <w:footnote w:id="22">
    <w:p w14:paraId="41B7C157" w14:textId="77777777" w:rsidR="00261AAE" w:rsidRPr="003B4D9C" w:rsidRDefault="00261AAE" w:rsidP="00261AAE">
      <w:pPr>
        <w:pStyle w:val="FootnoteText"/>
        <w:rPr>
          <w:color w:val="77328A"/>
          <w:sz w:val="16"/>
          <w:szCs w:val="16"/>
        </w:rPr>
      </w:pPr>
      <w:r w:rsidRPr="001D7C2D">
        <w:rPr>
          <w:rStyle w:val="FootnoteReference"/>
          <w:color w:val="76328A"/>
          <w:sz w:val="16"/>
          <w:szCs w:val="16"/>
        </w:rPr>
        <w:footnoteRef/>
      </w:r>
      <w:r w:rsidRPr="001D7C2D">
        <w:rPr>
          <w:color w:val="76328A"/>
          <w:sz w:val="16"/>
          <w:szCs w:val="16"/>
        </w:rPr>
        <w:t xml:space="preserve"> NI Human Rights Commission, Correspondence from the NI Human Rights Commission to the Justice Minister, July 2021.</w:t>
      </w:r>
    </w:p>
  </w:footnote>
  <w:footnote w:id="23">
    <w:p w14:paraId="41810B4F" w14:textId="77777777" w:rsidR="00261AAE" w:rsidRPr="00C771EF" w:rsidRDefault="00261AAE" w:rsidP="00261AAE">
      <w:pPr>
        <w:pStyle w:val="FootnoteText"/>
        <w:rPr>
          <w:color w:val="76328A"/>
          <w:sz w:val="16"/>
          <w:szCs w:val="16"/>
        </w:rPr>
      </w:pPr>
      <w:r w:rsidRPr="003B4D9C">
        <w:rPr>
          <w:rStyle w:val="FootnoteReference"/>
          <w:color w:val="77328A"/>
          <w:sz w:val="16"/>
          <w:szCs w:val="16"/>
        </w:rPr>
        <w:footnoteRef/>
      </w:r>
      <w:r w:rsidRPr="003B4D9C">
        <w:rPr>
          <w:color w:val="77328A"/>
          <w:sz w:val="16"/>
          <w:szCs w:val="16"/>
        </w:rPr>
        <w:t xml:space="preserve"> NIHRC, Correspondence from the NI Human Rights Commission to the Chief Constable of the Police Service of NI, </w:t>
      </w:r>
      <w:r w:rsidRPr="00C771EF">
        <w:rPr>
          <w:color w:val="76328A"/>
          <w:sz w:val="16"/>
          <w:szCs w:val="16"/>
        </w:rPr>
        <w:t>August 2021.</w:t>
      </w:r>
    </w:p>
  </w:footnote>
  <w:footnote w:id="24">
    <w:p w14:paraId="71401438" w14:textId="49CB2A56" w:rsidR="00C771EF" w:rsidRDefault="00C771EF">
      <w:pPr>
        <w:pStyle w:val="FootnoteText"/>
      </w:pPr>
      <w:r w:rsidRPr="00C771EF">
        <w:rPr>
          <w:rStyle w:val="FootnoteReference"/>
          <w:color w:val="76328A"/>
          <w:sz w:val="16"/>
          <w:szCs w:val="16"/>
        </w:rPr>
        <w:footnoteRef/>
      </w:r>
      <w:r w:rsidRPr="00C771EF">
        <w:rPr>
          <w:color w:val="76328A"/>
          <w:sz w:val="16"/>
          <w:szCs w:val="16"/>
        </w:rPr>
        <w:t xml:space="preserve"> Police Service of NI, ‘Service Instruction SI9999 on Biometric Retention’ (PSNI, 2022).</w:t>
      </w:r>
    </w:p>
  </w:footnote>
  <w:footnote w:id="25">
    <w:p w14:paraId="24E1F473" w14:textId="77777777" w:rsidR="00C771EF" w:rsidRPr="00813DAC" w:rsidRDefault="00C771EF" w:rsidP="00C771EF">
      <w:pPr>
        <w:pStyle w:val="FootnoteText"/>
        <w:rPr>
          <w:color w:val="76328A"/>
          <w:sz w:val="16"/>
          <w:szCs w:val="16"/>
        </w:rPr>
      </w:pPr>
      <w:r w:rsidRPr="00813DAC">
        <w:rPr>
          <w:rStyle w:val="FootnoteReference"/>
          <w:color w:val="76328A"/>
          <w:sz w:val="16"/>
          <w:szCs w:val="16"/>
        </w:rPr>
        <w:footnoteRef/>
      </w:r>
      <w:r w:rsidRPr="00813DAC">
        <w:rPr>
          <w:color w:val="76328A"/>
          <w:sz w:val="16"/>
          <w:szCs w:val="16"/>
        </w:rPr>
        <w:t xml:space="preserve"> </w:t>
      </w:r>
      <w:bookmarkStart w:id="5" w:name="_Hlk146883685"/>
      <w:r w:rsidRPr="00813DAC">
        <w:rPr>
          <w:color w:val="76328A"/>
          <w:sz w:val="16"/>
          <w:szCs w:val="16"/>
        </w:rPr>
        <w:t>DH-</w:t>
      </w:r>
      <w:proofErr w:type="gramStart"/>
      <w:r w:rsidRPr="00813DAC">
        <w:rPr>
          <w:color w:val="76328A"/>
          <w:sz w:val="16"/>
          <w:szCs w:val="16"/>
        </w:rPr>
        <w:t>DD(</w:t>
      </w:r>
      <w:proofErr w:type="gramEnd"/>
      <w:r w:rsidRPr="00813DAC">
        <w:rPr>
          <w:color w:val="76328A"/>
          <w:sz w:val="16"/>
          <w:szCs w:val="16"/>
        </w:rPr>
        <w:t>2023)1161, 1483</w:t>
      </w:r>
      <w:r w:rsidRPr="00813DAC">
        <w:rPr>
          <w:color w:val="76328A"/>
          <w:sz w:val="16"/>
          <w:szCs w:val="16"/>
          <w:vertAlign w:val="superscript"/>
        </w:rPr>
        <w:t>rd</w:t>
      </w:r>
      <w:r w:rsidRPr="00813DAC">
        <w:rPr>
          <w:color w:val="76328A"/>
          <w:sz w:val="16"/>
          <w:szCs w:val="16"/>
        </w:rPr>
        <w:t xml:space="preserve"> meeting (December 2023) (DH) - Action plan (28/09/2023) - Communication from the authorities concerning the case of Gaughran v. the United Kingdom (Application No. 45245/15).</w:t>
      </w:r>
      <w:bookmarkEnd w:id="5"/>
    </w:p>
  </w:footnote>
  <w:footnote w:id="26">
    <w:p w14:paraId="143968A1" w14:textId="3C249164" w:rsidR="009A625B" w:rsidRPr="009A625B" w:rsidRDefault="009A625B">
      <w:pPr>
        <w:pStyle w:val="FootnoteText"/>
        <w:rPr>
          <w:sz w:val="16"/>
          <w:szCs w:val="16"/>
        </w:rPr>
      </w:pPr>
      <w:r w:rsidRPr="009A625B">
        <w:rPr>
          <w:rStyle w:val="FootnoteReference"/>
          <w:color w:val="76328A"/>
          <w:sz w:val="16"/>
          <w:szCs w:val="16"/>
        </w:rPr>
        <w:footnoteRef/>
      </w:r>
      <w:r w:rsidRPr="009A625B">
        <w:rPr>
          <w:color w:val="76328A"/>
          <w:sz w:val="16"/>
          <w:szCs w:val="16"/>
        </w:rPr>
        <w:t xml:space="preserve"> Ibid.</w:t>
      </w:r>
    </w:p>
  </w:footnote>
  <w:footnote w:id="27">
    <w:p w14:paraId="3BFB92A8" w14:textId="13C092FB" w:rsidR="004F3BE3" w:rsidRPr="00993870" w:rsidRDefault="004F3BE3" w:rsidP="004F3BE3">
      <w:pPr>
        <w:pStyle w:val="FootnoteText"/>
        <w:rPr>
          <w:color w:val="7030A0"/>
          <w:sz w:val="16"/>
          <w:szCs w:val="16"/>
        </w:rPr>
      </w:pPr>
      <w:r w:rsidRPr="00993870">
        <w:rPr>
          <w:rStyle w:val="FootnoteReference"/>
          <w:color w:val="77328A"/>
          <w:sz w:val="16"/>
          <w:szCs w:val="16"/>
        </w:rPr>
        <w:footnoteRef/>
      </w:r>
      <w:r w:rsidRPr="00993870">
        <w:rPr>
          <w:color w:val="77328A"/>
          <w:sz w:val="16"/>
          <w:szCs w:val="16"/>
        </w:rPr>
        <w:t xml:space="preserve"> </w:t>
      </w:r>
      <w:bookmarkStart w:id="6" w:name="_Hlk147140105"/>
      <w:r w:rsidRPr="00993870">
        <w:rPr>
          <w:color w:val="77328A"/>
          <w:sz w:val="16"/>
          <w:szCs w:val="16"/>
        </w:rPr>
        <w:t>NIHRC</w:t>
      </w:r>
      <w:r w:rsidRPr="002B3A77">
        <w:rPr>
          <w:color w:val="77328A"/>
          <w:sz w:val="16"/>
          <w:szCs w:val="16"/>
        </w:rPr>
        <w:t xml:space="preserve">, </w:t>
      </w:r>
      <w:r w:rsidR="002B3A77">
        <w:rPr>
          <w:color w:val="77328A"/>
          <w:sz w:val="16"/>
          <w:szCs w:val="16"/>
        </w:rPr>
        <w:t>‘</w:t>
      </w:r>
      <w:hyperlink r:id="rId1" w:history="1">
        <w:r w:rsidRPr="00207E3A">
          <w:rPr>
            <w:rStyle w:val="Hyperlink"/>
            <w:color w:val="77328A"/>
            <w:sz w:val="16"/>
            <w:szCs w:val="16"/>
            <w:u w:val="none"/>
          </w:rPr>
          <w:t xml:space="preserve">Submission to </w:t>
        </w:r>
        <w:proofErr w:type="spellStart"/>
        <w:r w:rsidRPr="00207E3A">
          <w:rPr>
            <w:rStyle w:val="Hyperlink"/>
            <w:color w:val="77328A"/>
            <w:sz w:val="16"/>
            <w:szCs w:val="16"/>
            <w:u w:val="none"/>
          </w:rPr>
          <w:t>DoJ</w:t>
        </w:r>
        <w:proofErr w:type="spellEnd"/>
        <w:r w:rsidRPr="00207E3A">
          <w:rPr>
            <w:rStyle w:val="Hyperlink"/>
            <w:color w:val="77328A"/>
            <w:sz w:val="16"/>
            <w:szCs w:val="16"/>
            <w:u w:val="none"/>
          </w:rPr>
          <w:t xml:space="preserve"> Consultation on Proposals to Amend the Legislation Governing the Retention of DNA and Fingerprints in NI</w:t>
        </w:r>
      </w:hyperlink>
      <w:r w:rsidR="002B3A77">
        <w:rPr>
          <w:rStyle w:val="Hyperlink"/>
          <w:color w:val="77328A"/>
          <w:sz w:val="16"/>
          <w:szCs w:val="16"/>
          <w:u w:val="none"/>
        </w:rPr>
        <w:t>’</w:t>
      </w:r>
      <w:r w:rsidRPr="00993870">
        <w:rPr>
          <w:color w:val="77328A"/>
          <w:sz w:val="16"/>
          <w:szCs w:val="16"/>
        </w:rPr>
        <w:t>, September 2020.</w:t>
      </w:r>
      <w:bookmarkEnd w:id="6"/>
    </w:p>
  </w:footnote>
  <w:footnote w:id="28">
    <w:p w14:paraId="1AE9261D" w14:textId="5C32DBB6" w:rsidR="00207E3A" w:rsidRPr="00207E3A" w:rsidRDefault="00207E3A">
      <w:pPr>
        <w:pStyle w:val="FootnoteText"/>
        <w:rPr>
          <w:color w:val="77328A"/>
          <w:sz w:val="16"/>
          <w:szCs w:val="16"/>
        </w:rPr>
      </w:pPr>
      <w:r w:rsidRPr="00207E3A">
        <w:rPr>
          <w:rStyle w:val="FootnoteReference"/>
          <w:color w:val="77328A"/>
          <w:sz w:val="16"/>
          <w:szCs w:val="16"/>
        </w:rPr>
        <w:footnoteRef/>
      </w:r>
      <w:r w:rsidRPr="00207E3A">
        <w:rPr>
          <w:color w:val="77328A"/>
          <w:sz w:val="16"/>
          <w:szCs w:val="16"/>
        </w:rPr>
        <w:t xml:space="preserve"> Ibid, para 2.14. </w:t>
      </w:r>
    </w:p>
  </w:footnote>
  <w:footnote w:id="29">
    <w:p w14:paraId="70169C9E" w14:textId="3DBE6319" w:rsidR="005C24FE" w:rsidRPr="009F7348" w:rsidRDefault="005C24FE">
      <w:pPr>
        <w:pStyle w:val="FootnoteText"/>
        <w:rPr>
          <w:color w:val="76328A"/>
          <w:sz w:val="16"/>
          <w:szCs w:val="16"/>
        </w:rPr>
      </w:pPr>
      <w:r w:rsidRPr="00085F63">
        <w:rPr>
          <w:rStyle w:val="FootnoteReference"/>
          <w:color w:val="77328A"/>
          <w:sz w:val="16"/>
          <w:szCs w:val="16"/>
        </w:rPr>
        <w:footnoteRef/>
      </w:r>
      <w:r w:rsidRPr="00085F63">
        <w:rPr>
          <w:color w:val="77328A"/>
          <w:sz w:val="16"/>
          <w:szCs w:val="16"/>
        </w:rPr>
        <w:t xml:space="preserve"> </w:t>
      </w:r>
      <w:r w:rsidR="00085F63" w:rsidRPr="00085F63">
        <w:rPr>
          <w:color w:val="77328A"/>
          <w:sz w:val="16"/>
          <w:szCs w:val="16"/>
        </w:rPr>
        <w:t>Department of Justice</w:t>
      </w:r>
      <w:r w:rsidR="00B91304">
        <w:rPr>
          <w:color w:val="77328A"/>
          <w:sz w:val="16"/>
          <w:szCs w:val="16"/>
        </w:rPr>
        <w:t xml:space="preserve"> NI</w:t>
      </w:r>
      <w:r w:rsidR="00085F63" w:rsidRPr="00085F63">
        <w:rPr>
          <w:color w:val="77328A"/>
          <w:sz w:val="16"/>
          <w:szCs w:val="16"/>
        </w:rPr>
        <w:t xml:space="preserve">, ‘A Consultation on Proposals to Amend the Legislation Governing the Retention of DNA and </w:t>
      </w:r>
      <w:r w:rsidR="00085F63" w:rsidRPr="009F7348">
        <w:rPr>
          <w:color w:val="76328A"/>
          <w:sz w:val="16"/>
          <w:szCs w:val="16"/>
        </w:rPr>
        <w:t>Fingerprints in NI’ (</w:t>
      </w:r>
      <w:proofErr w:type="spellStart"/>
      <w:r w:rsidR="00085F63" w:rsidRPr="009F7348">
        <w:rPr>
          <w:color w:val="76328A"/>
          <w:sz w:val="16"/>
          <w:szCs w:val="16"/>
        </w:rPr>
        <w:t>DoJ</w:t>
      </w:r>
      <w:proofErr w:type="spellEnd"/>
      <w:r w:rsidR="00085F63" w:rsidRPr="009F7348">
        <w:rPr>
          <w:color w:val="76328A"/>
          <w:sz w:val="16"/>
          <w:szCs w:val="16"/>
        </w:rPr>
        <w:t>, 2020), para 3.3.</w:t>
      </w:r>
    </w:p>
  </w:footnote>
  <w:footnote w:id="30">
    <w:p w14:paraId="425FB427" w14:textId="1850063D" w:rsidR="009B460F" w:rsidRPr="009B460F" w:rsidRDefault="009B460F">
      <w:pPr>
        <w:pStyle w:val="FootnoteText"/>
        <w:rPr>
          <w:sz w:val="16"/>
          <w:szCs w:val="16"/>
        </w:rPr>
      </w:pPr>
      <w:r w:rsidRPr="009B460F">
        <w:rPr>
          <w:rStyle w:val="FootnoteReference"/>
          <w:color w:val="76328A"/>
          <w:sz w:val="16"/>
          <w:szCs w:val="16"/>
        </w:rPr>
        <w:footnoteRef/>
      </w:r>
      <w:r w:rsidRPr="009B460F">
        <w:rPr>
          <w:color w:val="76328A"/>
          <w:sz w:val="16"/>
          <w:szCs w:val="16"/>
        </w:rPr>
        <w:t xml:space="preserve"> Ibid, para 3.4. </w:t>
      </w:r>
    </w:p>
  </w:footnote>
  <w:footnote w:id="31">
    <w:p w14:paraId="569DF885" w14:textId="5F1A5504" w:rsidR="001C65B0" w:rsidRDefault="001C65B0">
      <w:pPr>
        <w:pStyle w:val="FootnoteText"/>
      </w:pPr>
      <w:r w:rsidRPr="009F7348">
        <w:rPr>
          <w:rStyle w:val="FootnoteReference"/>
          <w:color w:val="76328A"/>
          <w:sz w:val="16"/>
          <w:szCs w:val="16"/>
        </w:rPr>
        <w:footnoteRef/>
      </w:r>
      <w:r w:rsidRPr="009F7348">
        <w:rPr>
          <w:color w:val="76328A"/>
          <w:sz w:val="16"/>
          <w:szCs w:val="16"/>
        </w:rPr>
        <w:t xml:space="preserve"> NIHRC, ‘</w:t>
      </w:r>
      <w:hyperlink r:id="rId2" w:history="1">
        <w:r w:rsidRPr="009F7348">
          <w:rPr>
            <w:rStyle w:val="Hyperlink"/>
            <w:color w:val="76328A"/>
            <w:sz w:val="16"/>
            <w:szCs w:val="16"/>
            <w:u w:val="none"/>
          </w:rPr>
          <w:t xml:space="preserve">Submission to </w:t>
        </w:r>
        <w:proofErr w:type="spellStart"/>
        <w:r w:rsidRPr="009F7348">
          <w:rPr>
            <w:rStyle w:val="Hyperlink"/>
            <w:color w:val="76328A"/>
            <w:sz w:val="16"/>
            <w:szCs w:val="16"/>
            <w:u w:val="none"/>
          </w:rPr>
          <w:t>DoJ</w:t>
        </w:r>
        <w:proofErr w:type="spellEnd"/>
        <w:r w:rsidRPr="009F7348">
          <w:rPr>
            <w:rStyle w:val="Hyperlink"/>
            <w:color w:val="76328A"/>
            <w:sz w:val="16"/>
            <w:szCs w:val="16"/>
            <w:u w:val="none"/>
          </w:rPr>
          <w:t xml:space="preserve"> Consultation on Proposals to Amend the Legislation Governing the Retention of DNA and Fingerprints in NI</w:t>
        </w:r>
      </w:hyperlink>
      <w:r>
        <w:rPr>
          <w:rStyle w:val="Hyperlink"/>
          <w:color w:val="77328A"/>
          <w:sz w:val="16"/>
          <w:szCs w:val="16"/>
          <w:u w:val="none"/>
        </w:rPr>
        <w:t>’</w:t>
      </w:r>
      <w:r w:rsidRPr="00993870">
        <w:rPr>
          <w:color w:val="77328A"/>
          <w:sz w:val="16"/>
          <w:szCs w:val="16"/>
        </w:rPr>
        <w:t>, September 2020</w:t>
      </w:r>
      <w:r w:rsidR="001F59C6">
        <w:rPr>
          <w:color w:val="77328A"/>
          <w:sz w:val="16"/>
          <w:szCs w:val="16"/>
        </w:rPr>
        <w:t>, para 3.8.</w:t>
      </w:r>
    </w:p>
  </w:footnote>
  <w:footnote w:id="32">
    <w:p w14:paraId="3D3600FC" w14:textId="77777777" w:rsidR="004F3BE3" w:rsidRPr="007E466C" w:rsidRDefault="004F3BE3" w:rsidP="004F3BE3">
      <w:pPr>
        <w:pStyle w:val="FootnoteText"/>
        <w:rPr>
          <w:sz w:val="16"/>
          <w:szCs w:val="16"/>
        </w:rPr>
      </w:pPr>
      <w:r w:rsidRPr="007E466C">
        <w:rPr>
          <w:rStyle w:val="FootnoteReference"/>
          <w:color w:val="77328A"/>
          <w:sz w:val="16"/>
          <w:szCs w:val="16"/>
        </w:rPr>
        <w:footnoteRef/>
      </w:r>
      <w:r w:rsidRPr="007E466C">
        <w:rPr>
          <w:color w:val="77328A"/>
          <w:sz w:val="16"/>
          <w:szCs w:val="16"/>
        </w:rPr>
        <w:t xml:space="preserve"> </w:t>
      </w:r>
      <w:r w:rsidRPr="007E466C">
        <w:rPr>
          <w:i/>
          <w:iCs/>
          <w:color w:val="77328A"/>
          <w:sz w:val="16"/>
          <w:szCs w:val="16"/>
        </w:rPr>
        <w:t>Gaughran v Chief Constable of the Police Service NI</w:t>
      </w:r>
      <w:r w:rsidRPr="007E466C">
        <w:rPr>
          <w:color w:val="77328A"/>
          <w:sz w:val="16"/>
          <w:szCs w:val="16"/>
        </w:rPr>
        <w:t xml:space="preserve"> [2015] UKSC 29, at para 83.</w:t>
      </w:r>
    </w:p>
  </w:footnote>
  <w:footnote w:id="33">
    <w:p w14:paraId="6F83FA5D" w14:textId="5D5C8393" w:rsidR="00902ACE" w:rsidRDefault="00902ACE">
      <w:pPr>
        <w:pStyle w:val="FootnoteText"/>
      </w:pPr>
      <w:r w:rsidRPr="00902ACE">
        <w:rPr>
          <w:rStyle w:val="FootnoteReference"/>
          <w:color w:val="77328A"/>
          <w:sz w:val="16"/>
          <w:szCs w:val="16"/>
        </w:rPr>
        <w:footnoteRef/>
      </w:r>
      <w:r w:rsidRPr="00902ACE">
        <w:rPr>
          <w:color w:val="77328A"/>
          <w:sz w:val="16"/>
          <w:szCs w:val="16"/>
        </w:rPr>
        <w:t xml:space="preserve"> </w:t>
      </w:r>
      <w:r w:rsidRPr="00993870">
        <w:rPr>
          <w:color w:val="77328A"/>
          <w:sz w:val="16"/>
          <w:szCs w:val="16"/>
        </w:rPr>
        <w:t>NIHRC</w:t>
      </w:r>
      <w:r w:rsidRPr="002B3A77">
        <w:rPr>
          <w:color w:val="77328A"/>
          <w:sz w:val="16"/>
          <w:szCs w:val="16"/>
        </w:rPr>
        <w:t xml:space="preserve">, </w:t>
      </w:r>
      <w:r>
        <w:rPr>
          <w:color w:val="77328A"/>
          <w:sz w:val="16"/>
          <w:szCs w:val="16"/>
        </w:rPr>
        <w:t>‘</w:t>
      </w:r>
      <w:hyperlink r:id="rId3" w:history="1">
        <w:r w:rsidRPr="00207E3A">
          <w:rPr>
            <w:rStyle w:val="Hyperlink"/>
            <w:color w:val="77328A"/>
            <w:sz w:val="16"/>
            <w:szCs w:val="16"/>
            <w:u w:val="none"/>
          </w:rPr>
          <w:t xml:space="preserve">Submission to </w:t>
        </w:r>
        <w:proofErr w:type="spellStart"/>
        <w:r w:rsidRPr="00207E3A">
          <w:rPr>
            <w:rStyle w:val="Hyperlink"/>
            <w:color w:val="77328A"/>
            <w:sz w:val="16"/>
            <w:szCs w:val="16"/>
            <w:u w:val="none"/>
          </w:rPr>
          <w:t>DoJ</w:t>
        </w:r>
        <w:proofErr w:type="spellEnd"/>
        <w:r w:rsidRPr="00207E3A">
          <w:rPr>
            <w:rStyle w:val="Hyperlink"/>
            <w:color w:val="77328A"/>
            <w:sz w:val="16"/>
            <w:szCs w:val="16"/>
            <w:u w:val="none"/>
          </w:rPr>
          <w:t xml:space="preserve"> Consultation on Proposals to Amend the Legislation Governing the Retention of DNA and Fingerprints in NI</w:t>
        </w:r>
      </w:hyperlink>
      <w:r>
        <w:rPr>
          <w:rStyle w:val="Hyperlink"/>
          <w:color w:val="77328A"/>
          <w:sz w:val="16"/>
          <w:szCs w:val="16"/>
          <w:u w:val="none"/>
        </w:rPr>
        <w:t>’</w:t>
      </w:r>
      <w:r w:rsidRPr="00993870">
        <w:rPr>
          <w:color w:val="77328A"/>
          <w:sz w:val="16"/>
          <w:szCs w:val="16"/>
        </w:rPr>
        <w:t>, September 2020</w:t>
      </w:r>
      <w:r>
        <w:rPr>
          <w:color w:val="77328A"/>
          <w:sz w:val="16"/>
          <w:szCs w:val="16"/>
        </w:rPr>
        <w:t>, para 3.18.</w:t>
      </w:r>
    </w:p>
  </w:footnote>
  <w:footnote w:id="34">
    <w:p w14:paraId="6D9E31B6" w14:textId="6C312675" w:rsidR="00902ACE" w:rsidRPr="00902ACE" w:rsidRDefault="00902ACE">
      <w:pPr>
        <w:pStyle w:val="FootnoteText"/>
        <w:rPr>
          <w:sz w:val="16"/>
          <w:szCs w:val="16"/>
        </w:rPr>
      </w:pPr>
      <w:r w:rsidRPr="00902ACE">
        <w:rPr>
          <w:rStyle w:val="FootnoteReference"/>
          <w:color w:val="77328A"/>
          <w:sz w:val="16"/>
          <w:szCs w:val="16"/>
        </w:rPr>
        <w:footnoteRef/>
      </w:r>
      <w:r w:rsidRPr="00902ACE">
        <w:rPr>
          <w:color w:val="77328A"/>
          <w:sz w:val="16"/>
          <w:szCs w:val="16"/>
        </w:rPr>
        <w:t xml:space="preserve"> Ibid, para 3.19.</w:t>
      </w:r>
    </w:p>
  </w:footnote>
  <w:footnote w:id="35">
    <w:p w14:paraId="62E1BD8A" w14:textId="77777777" w:rsidR="00042F66" w:rsidRPr="00B91304" w:rsidRDefault="00042F66" w:rsidP="00042F66">
      <w:pPr>
        <w:pStyle w:val="FootnoteText"/>
        <w:rPr>
          <w:color w:val="77328A"/>
          <w:sz w:val="16"/>
          <w:szCs w:val="16"/>
        </w:rPr>
      </w:pPr>
      <w:r w:rsidRPr="00B91304">
        <w:rPr>
          <w:rStyle w:val="FootnoteReference"/>
          <w:color w:val="77328A"/>
          <w:sz w:val="16"/>
          <w:szCs w:val="16"/>
        </w:rPr>
        <w:footnoteRef/>
      </w:r>
      <w:r w:rsidRPr="00B91304">
        <w:rPr>
          <w:color w:val="77328A"/>
          <w:sz w:val="16"/>
          <w:szCs w:val="16"/>
        </w:rPr>
        <w:t xml:space="preserve"> </w:t>
      </w:r>
      <w:r w:rsidRPr="0002786C">
        <w:rPr>
          <w:color w:val="77328A"/>
          <w:sz w:val="16"/>
          <w:szCs w:val="16"/>
        </w:rPr>
        <w:t>DH-</w:t>
      </w:r>
      <w:proofErr w:type="gramStart"/>
      <w:r w:rsidRPr="0002786C">
        <w:rPr>
          <w:color w:val="77328A"/>
          <w:sz w:val="16"/>
          <w:szCs w:val="16"/>
        </w:rPr>
        <w:t>DD(</w:t>
      </w:r>
      <w:proofErr w:type="gramEnd"/>
      <w:r w:rsidRPr="0002786C">
        <w:rPr>
          <w:color w:val="77328A"/>
          <w:sz w:val="16"/>
          <w:szCs w:val="16"/>
        </w:rPr>
        <w:t>2023)1161</w:t>
      </w:r>
      <w:r w:rsidRPr="002065B4">
        <w:rPr>
          <w:color w:val="77328A"/>
          <w:sz w:val="16"/>
          <w:szCs w:val="16"/>
        </w:rPr>
        <w:t>, 1483</w:t>
      </w:r>
      <w:r w:rsidRPr="002065B4">
        <w:rPr>
          <w:color w:val="77328A"/>
          <w:sz w:val="16"/>
          <w:szCs w:val="16"/>
          <w:vertAlign w:val="superscript"/>
        </w:rPr>
        <w:t>rd</w:t>
      </w:r>
      <w:r w:rsidRPr="002065B4">
        <w:rPr>
          <w:color w:val="77328A"/>
          <w:sz w:val="16"/>
          <w:szCs w:val="16"/>
        </w:rPr>
        <w:t xml:space="preserve"> meeting (December 2023) (DH) - Action plan (28/09/2023) - Communication from the authorities concerning the case of Gaughran v. the United Kingdom (Application No. 45245/15), at page 5.</w:t>
      </w:r>
    </w:p>
  </w:footnote>
  <w:footnote w:id="36">
    <w:p w14:paraId="1AA2E7CD" w14:textId="3BE25B76" w:rsidR="00A11ED2" w:rsidRPr="002065B4" w:rsidRDefault="00A11ED2" w:rsidP="00A11ED2">
      <w:pPr>
        <w:pStyle w:val="FootnoteText"/>
        <w:rPr>
          <w:color w:val="77328A"/>
          <w:sz w:val="16"/>
          <w:szCs w:val="16"/>
        </w:rPr>
      </w:pPr>
      <w:r w:rsidRPr="0002786C">
        <w:rPr>
          <w:rStyle w:val="FootnoteReference"/>
          <w:color w:val="77328A"/>
          <w:sz w:val="16"/>
          <w:szCs w:val="16"/>
        </w:rPr>
        <w:footnoteRef/>
      </w:r>
      <w:r w:rsidRPr="0002786C">
        <w:rPr>
          <w:color w:val="77328A"/>
          <w:sz w:val="16"/>
          <w:szCs w:val="16"/>
        </w:rPr>
        <w:t xml:space="preserve"> N</w:t>
      </w:r>
      <w:r w:rsidRPr="002065B4">
        <w:rPr>
          <w:color w:val="77328A"/>
          <w:sz w:val="16"/>
          <w:szCs w:val="16"/>
        </w:rPr>
        <w:t>orthern Ireland Troubles (Legacy and Reconciliation) Act 20</w:t>
      </w:r>
      <w:r w:rsidR="00894C9C" w:rsidRPr="002065B4">
        <w:rPr>
          <w:color w:val="77328A"/>
          <w:sz w:val="16"/>
          <w:szCs w:val="16"/>
        </w:rPr>
        <w:t>2</w:t>
      </w:r>
      <w:r w:rsidRPr="002065B4">
        <w:rPr>
          <w:color w:val="77328A"/>
          <w:sz w:val="16"/>
          <w:szCs w:val="16"/>
        </w:rPr>
        <w:t>3, Sections 34-35.</w:t>
      </w:r>
    </w:p>
  </w:footnote>
  <w:footnote w:id="37">
    <w:p w14:paraId="3F393AC1" w14:textId="292E406E" w:rsidR="0028026C" w:rsidRPr="00B91304" w:rsidRDefault="0028026C">
      <w:pPr>
        <w:pStyle w:val="FootnoteText"/>
        <w:rPr>
          <w:color w:val="77328A"/>
          <w:sz w:val="16"/>
          <w:szCs w:val="16"/>
        </w:rPr>
      </w:pPr>
      <w:r w:rsidRPr="00B91304">
        <w:rPr>
          <w:rStyle w:val="FootnoteReference"/>
          <w:color w:val="77328A"/>
          <w:sz w:val="16"/>
          <w:szCs w:val="16"/>
        </w:rPr>
        <w:footnoteRef/>
      </w:r>
      <w:r w:rsidRPr="00B91304">
        <w:rPr>
          <w:color w:val="77328A"/>
          <w:sz w:val="16"/>
          <w:szCs w:val="16"/>
        </w:rPr>
        <w:t xml:space="preserve"> </w:t>
      </w:r>
      <w:r w:rsidRPr="0002786C">
        <w:rPr>
          <w:color w:val="77328A"/>
          <w:sz w:val="16"/>
          <w:szCs w:val="16"/>
        </w:rPr>
        <w:t>1451st meeting (December 2022) (DH) - Action plan (23/09/2022) - Communication from the United Kingdom concerning the case of Gaughran v. the United Kingdom (Applicat</w:t>
      </w:r>
      <w:r w:rsidRPr="002065B4">
        <w:rPr>
          <w:color w:val="77328A"/>
          <w:sz w:val="16"/>
          <w:szCs w:val="16"/>
        </w:rPr>
        <w:t>ion No. 45245/15).</w:t>
      </w:r>
    </w:p>
  </w:footnote>
  <w:footnote w:id="38">
    <w:p w14:paraId="1762EA6F" w14:textId="11F98730" w:rsidR="00D26F4D" w:rsidRPr="00B91304" w:rsidRDefault="00D26F4D">
      <w:pPr>
        <w:pStyle w:val="FootnoteText"/>
        <w:rPr>
          <w:color w:val="77328A"/>
          <w:sz w:val="16"/>
          <w:szCs w:val="16"/>
        </w:rPr>
      </w:pPr>
      <w:r w:rsidRPr="00B91304">
        <w:rPr>
          <w:rStyle w:val="FootnoteReference"/>
          <w:color w:val="77328A"/>
          <w:sz w:val="16"/>
          <w:szCs w:val="16"/>
        </w:rPr>
        <w:footnoteRef/>
      </w:r>
      <w:r w:rsidRPr="00B91304">
        <w:rPr>
          <w:color w:val="77328A"/>
          <w:sz w:val="16"/>
          <w:szCs w:val="16"/>
        </w:rPr>
        <w:t xml:space="preserve"> </w:t>
      </w:r>
      <w:r w:rsidRPr="0002786C">
        <w:rPr>
          <w:color w:val="77328A"/>
          <w:sz w:val="16"/>
          <w:szCs w:val="16"/>
        </w:rPr>
        <w:t>NIHRC</w:t>
      </w:r>
      <w:r w:rsidRPr="002065B4">
        <w:rPr>
          <w:color w:val="77328A"/>
          <w:sz w:val="16"/>
          <w:szCs w:val="16"/>
        </w:rPr>
        <w:t>, ‘</w:t>
      </w:r>
      <w:hyperlink r:id="rId4" w:history="1">
        <w:r w:rsidRPr="002065B4">
          <w:rPr>
            <w:rStyle w:val="Hyperlink"/>
            <w:color w:val="77328A"/>
            <w:sz w:val="16"/>
            <w:szCs w:val="16"/>
            <w:u w:val="none"/>
          </w:rPr>
          <w:t xml:space="preserve">Submission to </w:t>
        </w:r>
        <w:proofErr w:type="spellStart"/>
        <w:r w:rsidRPr="002065B4">
          <w:rPr>
            <w:rStyle w:val="Hyperlink"/>
            <w:color w:val="77328A"/>
            <w:sz w:val="16"/>
            <w:szCs w:val="16"/>
            <w:u w:val="none"/>
          </w:rPr>
          <w:t>DoJ</w:t>
        </w:r>
        <w:proofErr w:type="spellEnd"/>
        <w:r w:rsidRPr="002065B4">
          <w:rPr>
            <w:rStyle w:val="Hyperlink"/>
            <w:color w:val="77328A"/>
            <w:sz w:val="16"/>
            <w:szCs w:val="16"/>
            <w:u w:val="none"/>
          </w:rPr>
          <w:t xml:space="preserve"> Consultation on Proposals to Amend the Legislation Governing the Retention of DNA and Fingerprints in NI</w:t>
        </w:r>
      </w:hyperlink>
      <w:r w:rsidRPr="0002786C">
        <w:rPr>
          <w:rStyle w:val="Hyperlink"/>
          <w:color w:val="77328A"/>
          <w:sz w:val="16"/>
          <w:szCs w:val="16"/>
          <w:u w:val="none"/>
        </w:rPr>
        <w:t>’</w:t>
      </w:r>
      <w:r w:rsidRPr="002065B4">
        <w:rPr>
          <w:color w:val="77328A"/>
          <w:sz w:val="16"/>
          <w:szCs w:val="16"/>
        </w:rPr>
        <w:t>, September 2020.</w:t>
      </w:r>
    </w:p>
  </w:footnote>
  <w:footnote w:id="39">
    <w:p w14:paraId="77B7BD56" w14:textId="6489398D" w:rsidR="00E212ED" w:rsidRPr="00781902" w:rsidRDefault="00E212ED" w:rsidP="00E212ED">
      <w:pPr>
        <w:rPr>
          <w:color w:val="77328A"/>
          <w:sz w:val="16"/>
          <w:szCs w:val="16"/>
        </w:rPr>
      </w:pPr>
      <w:r w:rsidRPr="0002786C">
        <w:rPr>
          <w:rStyle w:val="FootnoteReference"/>
          <w:color w:val="77328A"/>
          <w:sz w:val="16"/>
          <w:szCs w:val="16"/>
        </w:rPr>
        <w:footnoteRef/>
      </w:r>
      <w:r w:rsidRPr="0002786C">
        <w:rPr>
          <w:color w:val="77328A"/>
          <w:sz w:val="16"/>
          <w:szCs w:val="16"/>
        </w:rPr>
        <w:t xml:space="preserve"> </w:t>
      </w:r>
      <w:r w:rsidR="002B0315" w:rsidRPr="0002786C">
        <w:rPr>
          <w:color w:val="77328A"/>
          <w:sz w:val="16"/>
          <w:szCs w:val="16"/>
        </w:rPr>
        <w:t xml:space="preserve">Northern Ireland Troubles (Legacy and Reconciliation) Act </w:t>
      </w:r>
      <w:r w:rsidR="00F33AD7" w:rsidRPr="002065B4">
        <w:rPr>
          <w:color w:val="77328A"/>
          <w:sz w:val="16"/>
          <w:szCs w:val="16"/>
        </w:rPr>
        <w:t>2023</w:t>
      </w:r>
      <w:r w:rsidRPr="0002786C">
        <w:rPr>
          <w:color w:val="77328A"/>
          <w:sz w:val="16"/>
          <w:szCs w:val="16"/>
        </w:rPr>
        <w:t>, Section 31(1)(b).</w:t>
      </w:r>
    </w:p>
  </w:footnote>
  <w:footnote w:id="40">
    <w:p w14:paraId="5EE77A03" w14:textId="77777777" w:rsidR="00E212ED" w:rsidRPr="0002786C" w:rsidRDefault="00E212ED" w:rsidP="00E212ED">
      <w:pPr>
        <w:rPr>
          <w:color w:val="77328A"/>
          <w:sz w:val="16"/>
          <w:szCs w:val="16"/>
        </w:rPr>
      </w:pPr>
      <w:r w:rsidRPr="0002786C">
        <w:rPr>
          <w:rStyle w:val="FootnoteReference"/>
          <w:color w:val="77328A"/>
          <w:sz w:val="16"/>
          <w:szCs w:val="16"/>
        </w:rPr>
        <w:footnoteRef/>
      </w:r>
      <w:r w:rsidRPr="0002786C">
        <w:rPr>
          <w:color w:val="77328A"/>
          <w:sz w:val="16"/>
          <w:szCs w:val="16"/>
        </w:rPr>
        <w:t xml:space="preserve"> </w:t>
      </w:r>
      <w:r w:rsidRPr="0002786C">
        <w:rPr>
          <w:i/>
          <w:iCs/>
          <w:color w:val="77328A"/>
          <w:sz w:val="16"/>
          <w:szCs w:val="16"/>
        </w:rPr>
        <w:t>Mozer v Republic of Moldova and Russia</w:t>
      </w:r>
      <w:r w:rsidRPr="0002786C">
        <w:rPr>
          <w:color w:val="77328A"/>
          <w:sz w:val="16"/>
          <w:szCs w:val="16"/>
        </w:rPr>
        <w:t xml:space="preserve"> (2016) ECHR 213, at para 194.</w:t>
      </w:r>
    </w:p>
  </w:footnote>
  <w:footnote w:id="41">
    <w:p w14:paraId="25EEDA9B" w14:textId="77777777" w:rsidR="007A6CBA" w:rsidRPr="00B91304" w:rsidRDefault="007A6CBA" w:rsidP="007A6CBA">
      <w:pPr>
        <w:pStyle w:val="FootnoteText"/>
        <w:rPr>
          <w:color w:val="77328A"/>
          <w:sz w:val="16"/>
          <w:szCs w:val="16"/>
        </w:rPr>
      </w:pPr>
      <w:r w:rsidRPr="00B91304">
        <w:rPr>
          <w:rStyle w:val="FootnoteReference"/>
          <w:color w:val="77328A"/>
          <w:sz w:val="16"/>
          <w:szCs w:val="16"/>
        </w:rPr>
        <w:footnoteRef/>
      </w:r>
      <w:r w:rsidRPr="00B91304">
        <w:rPr>
          <w:color w:val="77328A"/>
          <w:sz w:val="16"/>
          <w:szCs w:val="16"/>
        </w:rPr>
        <w:t xml:space="preserve"> Christina Finn &amp; Stephen McDermott, ‘Government considering legal action as Westminster votes to end historical prosecutions in NI’, </w:t>
      </w:r>
      <w:r w:rsidRPr="00B91304">
        <w:rPr>
          <w:i/>
          <w:iCs/>
          <w:color w:val="77328A"/>
          <w:sz w:val="16"/>
          <w:szCs w:val="16"/>
        </w:rPr>
        <w:t>The Journal</w:t>
      </w:r>
      <w:r w:rsidRPr="00B91304">
        <w:rPr>
          <w:color w:val="77328A"/>
          <w:sz w:val="16"/>
          <w:szCs w:val="16"/>
        </w:rPr>
        <w:t>, 6 September 2023.</w:t>
      </w:r>
    </w:p>
  </w:footnote>
  <w:footnote w:id="42">
    <w:p w14:paraId="0385136D" w14:textId="2A37253C" w:rsidR="002C136B" w:rsidRPr="00B91304" w:rsidRDefault="002C136B">
      <w:pPr>
        <w:pStyle w:val="FootnoteText"/>
        <w:rPr>
          <w:color w:val="77328A"/>
          <w:sz w:val="16"/>
          <w:szCs w:val="16"/>
        </w:rPr>
      </w:pPr>
      <w:r w:rsidRPr="00B91304">
        <w:rPr>
          <w:rStyle w:val="FootnoteReference"/>
          <w:color w:val="77328A"/>
          <w:sz w:val="16"/>
          <w:szCs w:val="16"/>
        </w:rPr>
        <w:footnoteRef/>
      </w:r>
      <w:r w:rsidRPr="00B91304">
        <w:rPr>
          <w:color w:val="77328A"/>
          <w:sz w:val="16"/>
          <w:szCs w:val="16"/>
        </w:rPr>
        <w:t xml:space="preserve"> The Protection of Freedoms Act 2012 (Destruction, Retention and Use of Biometric Data) (Transitional, Transitory and Saving Provisions) Order 2013</w:t>
      </w:r>
      <w:r w:rsidR="0002786C" w:rsidRPr="00B91304">
        <w:rPr>
          <w:color w:val="77328A"/>
          <w:sz w:val="16"/>
          <w:szCs w:val="16"/>
        </w:rPr>
        <w:t>.</w:t>
      </w:r>
    </w:p>
  </w:footnote>
  <w:footnote w:id="43">
    <w:p w14:paraId="73398FAD" w14:textId="41150D79" w:rsidR="00AD78E9" w:rsidRDefault="00AD78E9">
      <w:pPr>
        <w:pStyle w:val="FootnoteText"/>
      </w:pPr>
      <w:r w:rsidRPr="00B91304">
        <w:rPr>
          <w:rStyle w:val="FootnoteReference"/>
          <w:color w:val="77328A"/>
          <w:sz w:val="16"/>
          <w:szCs w:val="16"/>
        </w:rPr>
        <w:footnoteRef/>
      </w:r>
      <w:r w:rsidRPr="00B91304">
        <w:rPr>
          <w:color w:val="77328A"/>
          <w:sz w:val="16"/>
          <w:szCs w:val="16"/>
        </w:rPr>
        <w:t xml:space="preserve"> </w:t>
      </w:r>
      <w:r w:rsidR="00024849" w:rsidRPr="00B91304">
        <w:rPr>
          <w:color w:val="77328A"/>
          <w:sz w:val="16"/>
          <w:szCs w:val="16"/>
        </w:rPr>
        <w:t>The Protection of Freedoms Act 2012 (Destruction, Retention and Use of Biometric Data) (Transitional, Transitory and Saving Provisions) (Amendment) Order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DFF3" w14:textId="77777777" w:rsidR="00585F53" w:rsidRDefault="00585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93D0" w14:textId="629F6AAF" w:rsidR="00585F53" w:rsidRDefault="00585F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8B29" w14:textId="26248150" w:rsidR="00631A64" w:rsidRDefault="00631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7901"/>
    <w:multiLevelType w:val="hybridMultilevel"/>
    <w:tmpl w:val="B93E06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AEA7609"/>
    <w:multiLevelType w:val="hybridMultilevel"/>
    <w:tmpl w:val="06FE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666A3"/>
    <w:multiLevelType w:val="hybridMultilevel"/>
    <w:tmpl w:val="749C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24704"/>
    <w:multiLevelType w:val="multilevel"/>
    <w:tmpl w:val="DBB2FC98"/>
    <w:lvl w:ilvl="0">
      <w:start w:val="1"/>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364" w:hanging="108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2008" w:hanging="1440"/>
      </w:pPr>
      <w:rPr>
        <w:rFonts w:hint="default"/>
        <w:color w:val="auto"/>
      </w:rPr>
    </w:lvl>
    <w:lvl w:ilvl="5">
      <w:start w:val="1"/>
      <w:numFmt w:val="decimal"/>
      <w:lvlText w:val="%1.%2.%3.%4.%5.%6"/>
      <w:lvlJc w:val="left"/>
      <w:pPr>
        <w:ind w:left="2510" w:hanging="1800"/>
      </w:pPr>
      <w:rPr>
        <w:rFonts w:hint="default"/>
        <w:color w:val="auto"/>
      </w:rPr>
    </w:lvl>
    <w:lvl w:ilvl="6">
      <w:start w:val="1"/>
      <w:numFmt w:val="decimal"/>
      <w:lvlText w:val="%1.%2.%3.%4.%5.%6.%7"/>
      <w:lvlJc w:val="left"/>
      <w:pPr>
        <w:ind w:left="3012" w:hanging="2160"/>
      </w:pPr>
      <w:rPr>
        <w:rFonts w:hint="default"/>
        <w:color w:val="auto"/>
      </w:rPr>
    </w:lvl>
    <w:lvl w:ilvl="7">
      <w:start w:val="1"/>
      <w:numFmt w:val="decimal"/>
      <w:lvlText w:val="%1.%2.%3.%4.%5.%6.%7.%8"/>
      <w:lvlJc w:val="left"/>
      <w:pPr>
        <w:ind w:left="3514" w:hanging="2520"/>
      </w:pPr>
      <w:rPr>
        <w:rFonts w:hint="default"/>
        <w:color w:val="auto"/>
      </w:rPr>
    </w:lvl>
    <w:lvl w:ilvl="8">
      <w:start w:val="1"/>
      <w:numFmt w:val="decimal"/>
      <w:lvlText w:val="%1.%2.%3.%4.%5.%6.%7.%8.%9"/>
      <w:lvlJc w:val="left"/>
      <w:pPr>
        <w:ind w:left="3656" w:hanging="2520"/>
      </w:pPr>
      <w:rPr>
        <w:rFonts w:hint="default"/>
        <w:color w:val="auto"/>
      </w:rPr>
    </w:lvl>
  </w:abstractNum>
  <w:abstractNum w:abstractNumId="4" w15:restartNumberingAfterBreak="0">
    <w:nsid w:val="137A5AA8"/>
    <w:multiLevelType w:val="multilevel"/>
    <w:tmpl w:val="5866D1F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5" w15:restartNumberingAfterBreak="0">
    <w:nsid w:val="153F3B7B"/>
    <w:multiLevelType w:val="hybridMultilevel"/>
    <w:tmpl w:val="2646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A14AB"/>
    <w:multiLevelType w:val="hybridMultilevel"/>
    <w:tmpl w:val="1FCC6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240C2D"/>
    <w:multiLevelType w:val="hybridMultilevel"/>
    <w:tmpl w:val="5A4A1B9A"/>
    <w:lvl w:ilvl="0" w:tplc="DB5AA7A8">
      <w:numFmt w:val="bullet"/>
      <w:lvlText w:val=""/>
      <w:lvlJc w:val="left"/>
      <w:pPr>
        <w:ind w:left="1800" w:hanging="360"/>
      </w:pPr>
      <w:rPr>
        <w:rFonts w:ascii="Symbol" w:eastAsiaTheme="minorEastAsia"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27D482A"/>
    <w:multiLevelType w:val="hybridMultilevel"/>
    <w:tmpl w:val="5636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90117"/>
    <w:multiLevelType w:val="hybridMultilevel"/>
    <w:tmpl w:val="E694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34CF6"/>
    <w:multiLevelType w:val="multilevel"/>
    <w:tmpl w:val="206AC6D4"/>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b w:val="0"/>
        <w:bCs/>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07F43F7"/>
    <w:multiLevelType w:val="multilevel"/>
    <w:tmpl w:val="DBB2FC98"/>
    <w:lvl w:ilvl="0">
      <w:start w:val="1"/>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364" w:hanging="108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2008" w:hanging="1440"/>
      </w:pPr>
      <w:rPr>
        <w:rFonts w:hint="default"/>
        <w:color w:val="auto"/>
      </w:rPr>
    </w:lvl>
    <w:lvl w:ilvl="5">
      <w:start w:val="1"/>
      <w:numFmt w:val="decimal"/>
      <w:lvlText w:val="%1.%2.%3.%4.%5.%6"/>
      <w:lvlJc w:val="left"/>
      <w:pPr>
        <w:ind w:left="2510" w:hanging="1800"/>
      </w:pPr>
      <w:rPr>
        <w:rFonts w:hint="default"/>
        <w:color w:val="auto"/>
      </w:rPr>
    </w:lvl>
    <w:lvl w:ilvl="6">
      <w:start w:val="1"/>
      <w:numFmt w:val="decimal"/>
      <w:lvlText w:val="%1.%2.%3.%4.%5.%6.%7"/>
      <w:lvlJc w:val="left"/>
      <w:pPr>
        <w:ind w:left="3012" w:hanging="2160"/>
      </w:pPr>
      <w:rPr>
        <w:rFonts w:hint="default"/>
        <w:color w:val="auto"/>
      </w:rPr>
    </w:lvl>
    <w:lvl w:ilvl="7">
      <w:start w:val="1"/>
      <w:numFmt w:val="decimal"/>
      <w:lvlText w:val="%1.%2.%3.%4.%5.%6.%7.%8"/>
      <w:lvlJc w:val="left"/>
      <w:pPr>
        <w:ind w:left="3514" w:hanging="2520"/>
      </w:pPr>
      <w:rPr>
        <w:rFonts w:hint="default"/>
        <w:color w:val="auto"/>
      </w:rPr>
    </w:lvl>
    <w:lvl w:ilvl="8">
      <w:start w:val="1"/>
      <w:numFmt w:val="decimal"/>
      <w:lvlText w:val="%1.%2.%3.%4.%5.%6.%7.%8.%9"/>
      <w:lvlJc w:val="left"/>
      <w:pPr>
        <w:ind w:left="3656" w:hanging="2520"/>
      </w:pPr>
      <w:rPr>
        <w:rFonts w:hint="default"/>
        <w:color w:val="auto"/>
      </w:rPr>
    </w:lvl>
  </w:abstractNum>
  <w:abstractNum w:abstractNumId="12" w15:restartNumberingAfterBreak="0">
    <w:nsid w:val="33865820"/>
    <w:multiLevelType w:val="hybridMultilevel"/>
    <w:tmpl w:val="14043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6FA58F6"/>
    <w:multiLevelType w:val="hybridMultilevel"/>
    <w:tmpl w:val="34C4B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0A53D64"/>
    <w:multiLevelType w:val="hybridMultilevel"/>
    <w:tmpl w:val="F39EB140"/>
    <w:lvl w:ilvl="0" w:tplc="F118B8E6">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844EA2"/>
    <w:multiLevelType w:val="hybridMultilevel"/>
    <w:tmpl w:val="BC3E19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D972361"/>
    <w:multiLevelType w:val="hybridMultilevel"/>
    <w:tmpl w:val="045A4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73035E"/>
    <w:multiLevelType w:val="multilevel"/>
    <w:tmpl w:val="617A05B0"/>
    <w:lvl w:ilvl="0">
      <w:start w:val="1"/>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i w:val="0"/>
        <w:iCs/>
        <w:color w:val="auto"/>
      </w:rPr>
    </w:lvl>
    <w:lvl w:ilvl="2">
      <w:start w:val="1"/>
      <w:numFmt w:val="decimal"/>
      <w:lvlText w:val="%1.%2.%3"/>
      <w:lvlJc w:val="left"/>
      <w:pPr>
        <w:ind w:left="1364" w:hanging="108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2008" w:hanging="1440"/>
      </w:pPr>
      <w:rPr>
        <w:rFonts w:hint="default"/>
        <w:color w:val="auto"/>
      </w:rPr>
    </w:lvl>
    <w:lvl w:ilvl="5">
      <w:start w:val="1"/>
      <w:numFmt w:val="decimal"/>
      <w:lvlText w:val="%1.%2.%3.%4.%5.%6"/>
      <w:lvlJc w:val="left"/>
      <w:pPr>
        <w:ind w:left="2510" w:hanging="1800"/>
      </w:pPr>
      <w:rPr>
        <w:rFonts w:hint="default"/>
        <w:color w:val="auto"/>
      </w:rPr>
    </w:lvl>
    <w:lvl w:ilvl="6">
      <w:start w:val="1"/>
      <w:numFmt w:val="decimal"/>
      <w:lvlText w:val="%1.%2.%3.%4.%5.%6.%7"/>
      <w:lvlJc w:val="left"/>
      <w:pPr>
        <w:ind w:left="3012" w:hanging="2160"/>
      </w:pPr>
      <w:rPr>
        <w:rFonts w:hint="default"/>
        <w:color w:val="auto"/>
      </w:rPr>
    </w:lvl>
    <w:lvl w:ilvl="7">
      <w:start w:val="1"/>
      <w:numFmt w:val="decimal"/>
      <w:lvlText w:val="%1.%2.%3.%4.%5.%6.%7.%8"/>
      <w:lvlJc w:val="left"/>
      <w:pPr>
        <w:ind w:left="3514" w:hanging="2520"/>
      </w:pPr>
      <w:rPr>
        <w:rFonts w:hint="default"/>
        <w:color w:val="auto"/>
      </w:rPr>
    </w:lvl>
    <w:lvl w:ilvl="8">
      <w:start w:val="1"/>
      <w:numFmt w:val="decimal"/>
      <w:lvlText w:val="%1.%2.%3.%4.%5.%6.%7.%8.%9"/>
      <w:lvlJc w:val="left"/>
      <w:pPr>
        <w:ind w:left="3656" w:hanging="2520"/>
      </w:pPr>
      <w:rPr>
        <w:rFonts w:hint="default"/>
        <w:color w:val="auto"/>
      </w:rPr>
    </w:lvl>
  </w:abstractNum>
  <w:abstractNum w:abstractNumId="18" w15:restartNumberingAfterBreak="0">
    <w:nsid w:val="66D4103C"/>
    <w:multiLevelType w:val="hybridMultilevel"/>
    <w:tmpl w:val="43BE4282"/>
    <w:lvl w:ilvl="0" w:tplc="D70ECCDE">
      <w:start w:val="1"/>
      <w:numFmt w:val="decimal"/>
      <w:pStyle w:val="Heading1"/>
      <w:lvlText w:val="%1.0"/>
      <w:lvlJc w:val="left"/>
      <w:pPr>
        <w:ind w:left="720" w:hanging="360"/>
      </w:pPr>
      <w:rPr>
        <w:rFonts w:hint="default"/>
        <w:color w:val="7732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F34C0E"/>
    <w:multiLevelType w:val="hybridMultilevel"/>
    <w:tmpl w:val="06CAD160"/>
    <w:lvl w:ilvl="0" w:tplc="7130A2FC">
      <w:start w:val="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3D44D8"/>
    <w:multiLevelType w:val="hybridMultilevel"/>
    <w:tmpl w:val="0ACEBF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CB2482E"/>
    <w:multiLevelType w:val="hybridMultilevel"/>
    <w:tmpl w:val="9D7E87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EFA4C28"/>
    <w:multiLevelType w:val="hybridMultilevel"/>
    <w:tmpl w:val="DC22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C616F7"/>
    <w:multiLevelType w:val="hybridMultilevel"/>
    <w:tmpl w:val="5E6252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7ADC16D7"/>
    <w:multiLevelType w:val="hybridMultilevel"/>
    <w:tmpl w:val="B29E0F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70418777">
    <w:abstractNumId w:val="18"/>
  </w:num>
  <w:num w:numId="2" w16cid:durableId="2021201871">
    <w:abstractNumId w:val="10"/>
  </w:num>
  <w:num w:numId="3" w16cid:durableId="1697584480">
    <w:abstractNumId w:val="17"/>
  </w:num>
  <w:num w:numId="4" w16cid:durableId="1234507824">
    <w:abstractNumId w:val="4"/>
  </w:num>
  <w:num w:numId="5" w16cid:durableId="1566721792">
    <w:abstractNumId w:val="5"/>
  </w:num>
  <w:num w:numId="6" w16cid:durableId="268508702">
    <w:abstractNumId w:val="1"/>
  </w:num>
  <w:num w:numId="7" w16cid:durableId="550192737">
    <w:abstractNumId w:val="2"/>
  </w:num>
  <w:num w:numId="8" w16cid:durableId="804470263">
    <w:abstractNumId w:val="22"/>
  </w:num>
  <w:num w:numId="9" w16cid:durableId="1807310744">
    <w:abstractNumId w:val="8"/>
  </w:num>
  <w:num w:numId="10" w16cid:durableId="1677533681">
    <w:abstractNumId w:val="14"/>
  </w:num>
  <w:num w:numId="11" w16cid:durableId="2005472350">
    <w:abstractNumId w:val="19"/>
  </w:num>
  <w:num w:numId="12" w16cid:durableId="1101032004">
    <w:abstractNumId w:val="9"/>
  </w:num>
  <w:num w:numId="13" w16cid:durableId="782112714">
    <w:abstractNumId w:val="16"/>
  </w:num>
  <w:num w:numId="14" w16cid:durableId="709961549">
    <w:abstractNumId w:val="3"/>
  </w:num>
  <w:num w:numId="15" w16cid:durableId="268129736">
    <w:abstractNumId w:val="12"/>
  </w:num>
  <w:num w:numId="16" w16cid:durableId="1505393347">
    <w:abstractNumId w:val="21"/>
  </w:num>
  <w:num w:numId="17" w16cid:durableId="1494026981">
    <w:abstractNumId w:val="6"/>
  </w:num>
  <w:num w:numId="18" w16cid:durableId="870532968">
    <w:abstractNumId w:val="13"/>
  </w:num>
  <w:num w:numId="19" w16cid:durableId="612595522">
    <w:abstractNumId w:val="11"/>
  </w:num>
  <w:num w:numId="20" w16cid:durableId="95174973">
    <w:abstractNumId w:val="23"/>
  </w:num>
  <w:num w:numId="21" w16cid:durableId="1575116872">
    <w:abstractNumId w:val="0"/>
  </w:num>
  <w:num w:numId="22" w16cid:durableId="1761675480">
    <w:abstractNumId w:val="24"/>
  </w:num>
  <w:num w:numId="23" w16cid:durableId="866479250">
    <w:abstractNumId w:val="7"/>
  </w:num>
  <w:num w:numId="24" w16cid:durableId="11785401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635647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22"/>
    <w:rsid w:val="00000BE1"/>
    <w:rsid w:val="00000F69"/>
    <w:rsid w:val="000011BD"/>
    <w:rsid w:val="00001287"/>
    <w:rsid w:val="00001694"/>
    <w:rsid w:val="00001B54"/>
    <w:rsid w:val="00001F8A"/>
    <w:rsid w:val="0000252B"/>
    <w:rsid w:val="000032A8"/>
    <w:rsid w:val="000034B0"/>
    <w:rsid w:val="000034F1"/>
    <w:rsid w:val="00004263"/>
    <w:rsid w:val="000042B0"/>
    <w:rsid w:val="0000466C"/>
    <w:rsid w:val="00004DB0"/>
    <w:rsid w:val="000051FD"/>
    <w:rsid w:val="000057F7"/>
    <w:rsid w:val="00005FE3"/>
    <w:rsid w:val="00006216"/>
    <w:rsid w:val="0000636D"/>
    <w:rsid w:val="00006777"/>
    <w:rsid w:val="00006B45"/>
    <w:rsid w:val="00006BEE"/>
    <w:rsid w:val="00006F24"/>
    <w:rsid w:val="0000703E"/>
    <w:rsid w:val="00007763"/>
    <w:rsid w:val="0000782A"/>
    <w:rsid w:val="00007A7B"/>
    <w:rsid w:val="00007B2C"/>
    <w:rsid w:val="00007CF8"/>
    <w:rsid w:val="00010960"/>
    <w:rsid w:val="0001099A"/>
    <w:rsid w:val="000112A8"/>
    <w:rsid w:val="000119A7"/>
    <w:rsid w:val="00011BC3"/>
    <w:rsid w:val="00011F1F"/>
    <w:rsid w:val="000121D4"/>
    <w:rsid w:val="000124D3"/>
    <w:rsid w:val="00013051"/>
    <w:rsid w:val="00013274"/>
    <w:rsid w:val="00013F4D"/>
    <w:rsid w:val="0001428A"/>
    <w:rsid w:val="000143AA"/>
    <w:rsid w:val="00014B5E"/>
    <w:rsid w:val="000151FE"/>
    <w:rsid w:val="0001529D"/>
    <w:rsid w:val="0001599E"/>
    <w:rsid w:val="00015A0E"/>
    <w:rsid w:val="00015B29"/>
    <w:rsid w:val="00015CF5"/>
    <w:rsid w:val="00016D81"/>
    <w:rsid w:val="00017D4A"/>
    <w:rsid w:val="00020447"/>
    <w:rsid w:val="0002067E"/>
    <w:rsid w:val="0002104E"/>
    <w:rsid w:val="000215C5"/>
    <w:rsid w:val="0002214B"/>
    <w:rsid w:val="00022394"/>
    <w:rsid w:val="00022BBA"/>
    <w:rsid w:val="0002330B"/>
    <w:rsid w:val="00023BDB"/>
    <w:rsid w:val="00023CDA"/>
    <w:rsid w:val="00023D23"/>
    <w:rsid w:val="0002408C"/>
    <w:rsid w:val="00024238"/>
    <w:rsid w:val="000244CA"/>
    <w:rsid w:val="00024849"/>
    <w:rsid w:val="0002594F"/>
    <w:rsid w:val="00025A30"/>
    <w:rsid w:val="00025B37"/>
    <w:rsid w:val="00025F09"/>
    <w:rsid w:val="00026A05"/>
    <w:rsid w:val="00026A8D"/>
    <w:rsid w:val="00027123"/>
    <w:rsid w:val="000271FD"/>
    <w:rsid w:val="000276B2"/>
    <w:rsid w:val="000277AC"/>
    <w:rsid w:val="0002786C"/>
    <w:rsid w:val="0002788A"/>
    <w:rsid w:val="00027F5D"/>
    <w:rsid w:val="000301B0"/>
    <w:rsid w:val="00030236"/>
    <w:rsid w:val="00030510"/>
    <w:rsid w:val="0003064A"/>
    <w:rsid w:val="0003084D"/>
    <w:rsid w:val="00030889"/>
    <w:rsid w:val="000312E4"/>
    <w:rsid w:val="00031463"/>
    <w:rsid w:val="0003179A"/>
    <w:rsid w:val="00031A51"/>
    <w:rsid w:val="00032093"/>
    <w:rsid w:val="000323FA"/>
    <w:rsid w:val="00032B22"/>
    <w:rsid w:val="00032C2A"/>
    <w:rsid w:val="00032FA0"/>
    <w:rsid w:val="00033200"/>
    <w:rsid w:val="00033922"/>
    <w:rsid w:val="00033E86"/>
    <w:rsid w:val="0003459F"/>
    <w:rsid w:val="000349CB"/>
    <w:rsid w:val="000354DB"/>
    <w:rsid w:val="00035546"/>
    <w:rsid w:val="00035AA2"/>
    <w:rsid w:val="00035D29"/>
    <w:rsid w:val="00035FD0"/>
    <w:rsid w:val="0003701A"/>
    <w:rsid w:val="00040081"/>
    <w:rsid w:val="0004098E"/>
    <w:rsid w:val="000409AF"/>
    <w:rsid w:val="000414D7"/>
    <w:rsid w:val="000419DB"/>
    <w:rsid w:val="00041C8B"/>
    <w:rsid w:val="00042F66"/>
    <w:rsid w:val="000430D0"/>
    <w:rsid w:val="00043957"/>
    <w:rsid w:val="00044522"/>
    <w:rsid w:val="0004488E"/>
    <w:rsid w:val="00044BF7"/>
    <w:rsid w:val="0004515C"/>
    <w:rsid w:val="000453F1"/>
    <w:rsid w:val="00045E29"/>
    <w:rsid w:val="00046093"/>
    <w:rsid w:val="0004619E"/>
    <w:rsid w:val="000464FA"/>
    <w:rsid w:val="00046730"/>
    <w:rsid w:val="00046D84"/>
    <w:rsid w:val="00046F47"/>
    <w:rsid w:val="0004718B"/>
    <w:rsid w:val="00047339"/>
    <w:rsid w:val="000473D0"/>
    <w:rsid w:val="0004758F"/>
    <w:rsid w:val="000475AF"/>
    <w:rsid w:val="000478FB"/>
    <w:rsid w:val="00050346"/>
    <w:rsid w:val="00050416"/>
    <w:rsid w:val="00051007"/>
    <w:rsid w:val="000520B7"/>
    <w:rsid w:val="000524A2"/>
    <w:rsid w:val="00052909"/>
    <w:rsid w:val="00052E3E"/>
    <w:rsid w:val="0005303D"/>
    <w:rsid w:val="00053715"/>
    <w:rsid w:val="00053FF9"/>
    <w:rsid w:val="0005426A"/>
    <w:rsid w:val="00054354"/>
    <w:rsid w:val="0005438A"/>
    <w:rsid w:val="00054400"/>
    <w:rsid w:val="00055888"/>
    <w:rsid w:val="00055D84"/>
    <w:rsid w:val="00056429"/>
    <w:rsid w:val="000565CF"/>
    <w:rsid w:val="0005662A"/>
    <w:rsid w:val="000568D6"/>
    <w:rsid w:val="00056A91"/>
    <w:rsid w:val="00056CDA"/>
    <w:rsid w:val="00056E38"/>
    <w:rsid w:val="000570EF"/>
    <w:rsid w:val="00057BC6"/>
    <w:rsid w:val="00060410"/>
    <w:rsid w:val="00060D1B"/>
    <w:rsid w:val="00060D56"/>
    <w:rsid w:val="00061303"/>
    <w:rsid w:val="0006138D"/>
    <w:rsid w:val="00061BDD"/>
    <w:rsid w:val="00061D94"/>
    <w:rsid w:val="00061E71"/>
    <w:rsid w:val="00061F6B"/>
    <w:rsid w:val="00062023"/>
    <w:rsid w:val="0006260F"/>
    <w:rsid w:val="0006282C"/>
    <w:rsid w:val="0006283C"/>
    <w:rsid w:val="00062D54"/>
    <w:rsid w:val="00062DE4"/>
    <w:rsid w:val="0006328E"/>
    <w:rsid w:val="00063731"/>
    <w:rsid w:val="000644B5"/>
    <w:rsid w:val="00064590"/>
    <w:rsid w:val="00064699"/>
    <w:rsid w:val="00064884"/>
    <w:rsid w:val="000649AC"/>
    <w:rsid w:val="00065D52"/>
    <w:rsid w:val="00066036"/>
    <w:rsid w:val="0006738F"/>
    <w:rsid w:val="0006741F"/>
    <w:rsid w:val="00067606"/>
    <w:rsid w:val="00067A7B"/>
    <w:rsid w:val="000705C4"/>
    <w:rsid w:val="0007082D"/>
    <w:rsid w:val="00071366"/>
    <w:rsid w:val="00071395"/>
    <w:rsid w:val="00071857"/>
    <w:rsid w:val="000718B5"/>
    <w:rsid w:val="00071C6C"/>
    <w:rsid w:val="00071E29"/>
    <w:rsid w:val="0007202D"/>
    <w:rsid w:val="0007226D"/>
    <w:rsid w:val="00072285"/>
    <w:rsid w:val="00072399"/>
    <w:rsid w:val="00072747"/>
    <w:rsid w:val="0007292E"/>
    <w:rsid w:val="00072B36"/>
    <w:rsid w:val="00072E7A"/>
    <w:rsid w:val="0007316A"/>
    <w:rsid w:val="000731AB"/>
    <w:rsid w:val="00073647"/>
    <w:rsid w:val="00073CA3"/>
    <w:rsid w:val="000750E4"/>
    <w:rsid w:val="000767CB"/>
    <w:rsid w:val="00076DD3"/>
    <w:rsid w:val="0007705C"/>
    <w:rsid w:val="00077631"/>
    <w:rsid w:val="0007774F"/>
    <w:rsid w:val="000778AF"/>
    <w:rsid w:val="0007797E"/>
    <w:rsid w:val="00077C2C"/>
    <w:rsid w:val="00077E73"/>
    <w:rsid w:val="00077EF6"/>
    <w:rsid w:val="00080911"/>
    <w:rsid w:val="00080C8F"/>
    <w:rsid w:val="00080ED7"/>
    <w:rsid w:val="0008100B"/>
    <w:rsid w:val="00082111"/>
    <w:rsid w:val="0008340F"/>
    <w:rsid w:val="0008437F"/>
    <w:rsid w:val="000847EE"/>
    <w:rsid w:val="000848CD"/>
    <w:rsid w:val="0008516D"/>
    <w:rsid w:val="0008549C"/>
    <w:rsid w:val="00085883"/>
    <w:rsid w:val="00085F63"/>
    <w:rsid w:val="000865C8"/>
    <w:rsid w:val="000868F7"/>
    <w:rsid w:val="00086FC8"/>
    <w:rsid w:val="0008748A"/>
    <w:rsid w:val="00087931"/>
    <w:rsid w:val="00087A14"/>
    <w:rsid w:val="000900E6"/>
    <w:rsid w:val="000903F0"/>
    <w:rsid w:val="000908CC"/>
    <w:rsid w:val="000909D0"/>
    <w:rsid w:val="000914E4"/>
    <w:rsid w:val="00091AC7"/>
    <w:rsid w:val="00091CBD"/>
    <w:rsid w:val="00092ED2"/>
    <w:rsid w:val="00093C57"/>
    <w:rsid w:val="00093CF8"/>
    <w:rsid w:val="00093D79"/>
    <w:rsid w:val="00094367"/>
    <w:rsid w:val="00095823"/>
    <w:rsid w:val="0009595A"/>
    <w:rsid w:val="00095A60"/>
    <w:rsid w:val="000962B7"/>
    <w:rsid w:val="0009694B"/>
    <w:rsid w:val="000970DC"/>
    <w:rsid w:val="00097D7D"/>
    <w:rsid w:val="000A04C5"/>
    <w:rsid w:val="000A0696"/>
    <w:rsid w:val="000A07F6"/>
    <w:rsid w:val="000A0AE5"/>
    <w:rsid w:val="000A16C9"/>
    <w:rsid w:val="000A1C63"/>
    <w:rsid w:val="000A1D31"/>
    <w:rsid w:val="000A2BA8"/>
    <w:rsid w:val="000A2FD4"/>
    <w:rsid w:val="000A32A9"/>
    <w:rsid w:val="000A3514"/>
    <w:rsid w:val="000A3DB1"/>
    <w:rsid w:val="000A3FE5"/>
    <w:rsid w:val="000A4236"/>
    <w:rsid w:val="000A44A7"/>
    <w:rsid w:val="000A4AB1"/>
    <w:rsid w:val="000A50BF"/>
    <w:rsid w:val="000A536E"/>
    <w:rsid w:val="000A54C1"/>
    <w:rsid w:val="000A57E2"/>
    <w:rsid w:val="000A580F"/>
    <w:rsid w:val="000A5EB2"/>
    <w:rsid w:val="000A604B"/>
    <w:rsid w:val="000A64C4"/>
    <w:rsid w:val="000A6D08"/>
    <w:rsid w:val="000A7027"/>
    <w:rsid w:val="000A76D2"/>
    <w:rsid w:val="000A7A07"/>
    <w:rsid w:val="000B004F"/>
    <w:rsid w:val="000B04B8"/>
    <w:rsid w:val="000B053D"/>
    <w:rsid w:val="000B1510"/>
    <w:rsid w:val="000B167D"/>
    <w:rsid w:val="000B213B"/>
    <w:rsid w:val="000B2176"/>
    <w:rsid w:val="000B227F"/>
    <w:rsid w:val="000B2604"/>
    <w:rsid w:val="000B2863"/>
    <w:rsid w:val="000B3102"/>
    <w:rsid w:val="000B335E"/>
    <w:rsid w:val="000B38A5"/>
    <w:rsid w:val="000B39F9"/>
    <w:rsid w:val="000B3C0C"/>
    <w:rsid w:val="000B3E76"/>
    <w:rsid w:val="000B42E8"/>
    <w:rsid w:val="000B43DF"/>
    <w:rsid w:val="000B4745"/>
    <w:rsid w:val="000B59B9"/>
    <w:rsid w:val="000B66AA"/>
    <w:rsid w:val="000B7634"/>
    <w:rsid w:val="000B781F"/>
    <w:rsid w:val="000B79C3"/>
    <w:rsid w:val="000B7B4A"/>
    <w:rsid w:val="000C03B1"/>
    <w:rsid w:val="000C06D7"/>
    <w:rsid w:val="000C0797"/>
    <w:rsid w:val="000C13C5"/>
    <w:rsid w:val="000C4D5E"/>
    <w:rsid w:val="000C4E5F"/>
    <w:rsid w:val="000C51D5"/>
    <w:rsid w:val="000C64DB"/>
    <w:rsid w:val="000C6784"/>
    <w:rsid w:val="000C67ED"/>
    <w:rsid w:val="000C6D7F"/>
    <w:rsid w:val="000C6DA8"/>
    <w:rsid w:val="000D000B"/>
    <w:rsid w:val="000D042D"/>
    <w:rsid w:val="000D0E51"/>
    <w:rsid w:val="000D1C72"/>
    <w:rsid w:val="000D23F1"/>
    <w:rsid w:val="000D2453"/>
    <w:rsid w:val="000D32D1"/>
    <w:rsid w:val="000D4096"/>
    <w:rsid w:val="000D434A"/>
    <w:rsid w:val="000D44A5"/>
    <w:rsid w:val="000D44B7"/>
    <w:rsid w:val="000D4D40"/>
    <w:rsid w:val="000D4F99"/>
    <w:rsid w:val="000D5775"/>
    <w:rsid w:val="000D597E"/>
    <w:rsid w:val="000D5F85"/>
    <w:rsid w:val="000D61A4"/>
    <w:rsid w:val="000D6446"/>
    <w:rsid w:val="000D6538"/>
    <w:rsid w:val="000D6713"/>
    <w:rsid w:val="000D6761"/>
    <w:rsid w:val="000D68CB"/>
    <w:rsid w:val="000D6B80"/>
    <w:rsid w:val="000D7020"/>
    <w:rsid w:val="000D7C51"/>
    <w:rsid w:val="000E05EA"/>
    <w:rsid w:val="000E06A7"/>
    <w:rsid w:val="000E0A8F"/>
    <w:rsid w:val="000E228E"/>
    <w:rsid w:val="000E2293"/>
    <w:rsid w:val="000E273B"/>
    <w:rsid w:val="000E2FB0"/>
    <w:rsid w:val="000E3B8A"/>
    <w:rsid w:val="000E3BD0"/>
    <w:rsid w:val="000E536F"/>
    <w:rsid w:val="000E68A7"/>
    <w:rsid w:val="000E70A8"/>
    <w:rsid w:val="000E7C38"/>
    <w:rsid w:val="000F012A"/>
    <w:rsid w:val="000F0132"/>
    <w:rsid w:val="000F0409"/>
    <w:rsid w:val="000F0F2C"/>
    <w:rsid w:val="000F175C"/>
    <w:rsid w:val="000F1F9A"/>
    <w:rsid w:val="000F201D"/>
    <w:rsid w:val="000F2EFB"/>
    <w:rsid w:val="000F33E2"/>
    <w:rsid w:val="000F3410"/>
    <w:rsid w:val="000F38A4"/>
    <w:rsid w:val="000F3B00"/>
    <w:rsid w:val="000F4ACF"/>
    <w:rsid w:val="000F4CE1"/>
    <w:rsid w:val="000F5496"/>
    <w:rsid w:val="000F5BE3"/>
    <w:rsid w:val="000F664D"/>
    <w:rsid w:val="000F67AD"/>
    <w:rsid w:val="000F684B"/>
    <w:rsid w:val="000F728E"/>
    <w:rsid w:val="000F76A2"/>
    <w:rsid w:val="000F7AE8"/>
    <w:rsid w:val="000F7E4E"/>
    <w:rsid w:val="000F7EAE"/>
    <w:rsid w:val="000F7EE9"/>
    <w:rsid w:val="001001EC"/>
    <w:rsid w:val="001012B8"/>
    <w:rsid w:val="00101629"/>
    <w:rsid w:val="001018FF"/>
    <w:rsid w:val="00101C70"/>
    <w:rsid w:val="0010203D"/>
    <w:rsid w:val="001026D7"/>
    <w:rsid w:val="00102A8E"/>
    <w:rsid w:val="00102AF4"/>
    <w:rsid w:val="00102CF0"/>
    <w:rsid w:val="00102D38"/>
    <w:rsid w:val="0010317F"/>
    <w:rsid w:val="0010326E"/>
    <w:rsid w:val="0010405C"/>
    <w:rsid w:val="00104ECA"/>
    <w:rsid w:val="001051F3"/>
    <w:rsid w:val="00105396"/>
    <w:rsid w:val="001058CF"/>
    <w:rsid w:val="00105BCC"/>
    <w:rsid w:val="001061EE"/>
    <w:rsid w:val="0010655A"/>
    <w:rsid w:val="00106796"/>
    <w:rsid w:val="00106A0C"/>
    <w:rsid w:val="001071C4"/>
    <w:rsid w:val="00107337"/>
    <w:rsid w:val="001075AF"/>
    <w:rsid w:val="00107B66"/>
    <w:rsid w:val="001108AC"/>
    <w:rsid w:val="00110DF1"/>
    <w:rsid w:val="00110E9D"/>
    <w:rsid w:val="0011131E"/>
    <w:rsid w:val="001116E0"/>
    <w:rsid w:val="00111778"/>
    <w:rsid w:val="00112167"/>
    <w:rsid w:val="001122FC"/>
    <w:rsid w:val="001126EA"/>
    <w:rsid w:val="00112A98"/>
    <w:rsid w:val="00112DE9"/>
    <w:rsid w:val="0011349F"/>
    <w:rsid w:val="001137BB"/>
    <w:rsid w:val="001138BF"/>
    <w:rsid w:val="00113A95"/>
    <w:rsid w:val="00113F18"/>
    <w:rsid w:val="0011400D"/>
    <w:rsid w:val="00114044"/>
    <w:rsid w:val="00114509"/>
    <w:rsid w:val="00114D8B"/>
    <w:rsid w:val="00114DAD"/>
    <w:rsid w:val="00115103"/>
    <w:rsid w:val="0011551A"/>
    <w:rsid w:val="0011551C"/>
    <w:rsid w:val="00115C3C"/>
    <w:rsid w:val="0011605A"/>
    <w:rsid w:val="0011652B"/>
    <w:rsid w:val="00116C51"/>
    <w:rsid w:val="001170D1"/>
    <w:rsid w:val="00117660"/>
    <w:rsid w:val="0011776F"/>
    <w:rsid w:val="001177A8"/>
    <w:rsid w:val="00117E44"/>
    <w:rsid w:val="00120857"/>
    <w:rsid w:val="00120E0A"/>
    <w:rsid w:val="00121117"/>
    <w:rsid w:val="00121973"/>
    <w:rsid w:val="001221E3"/>
    <w:rsid w:val="00122655"/>
    <w:rsid w:val="001231D3"/>
    <w:rsid w:val="00123AE5"/>
    <w:rsid w:val="00124020"/>
    <w:rsid w:val="00124161"/>
    <w:rsid w:val="001248B5"/>
    <w:rsid w:val="00124C39"/>
    <w:rsid w:val="00125699"/>
    <w:rsid w:val="0012695C"/>
    <w:rsid w:val="00127ED8"/>
    <w:rsid w:val="0013043C"/>
    <w:rsid w:val="00130A98"/>
    <w:rsid w:val="00130B7B"/>
    <w:rsid w:val="00130F7B"/>
    <w:rsid w:val="00131969"/>
    <w:rsid w:val="0013207C"/>
    <w:rsid w:val="0013229C"/>
    <w:rsid w:val="001322AE"/>
    <w:rsid w:val="001322D7"/>
    <w:rsid w:val="00132C84"/>
    <w:rsid w:val="00132F8D"/>
    <w:rsid w:val="00133AD2"/>
    <w:rsid w:val="00133CC8"/>
    <w:rsid w:val="00133F98"/>
    <w:rsid w:val="0013431C"/>
    <w:rsid w:val="001353E9"/>
    <w:rsid w:val="001356C1"/>
    <w:rsid w:val="001358BC"/>
    <w:rsid w:val="00135C5F"/>
    <w:rsid w:val="0013601E"/>
    <w:rsid w:val="00136544"/>
    <w:rsid w:val="00137037"/>
    <w:rsid w:val="0013756F"/>
    <w:rsid w:val="0014029C"/>
    <w:rsid w:val="001404D0"/>
    <w:rsid w:val="001408E7"/>
    <w:rsid w:val="00140938"/>
    <w:rsid w:val="00141272"/>
    <w:rsid w:val="00141CC5"/>
    <w:rsid w:val="001420C2"/>
    <w:rsid w:val="00142682"/>
    <w:rsid w:val="00142A40"/>
    <w:rsid w:val="00142D29"/>
    <w:rsid w:val="001432A1"/>
    <w:rsid w:val="00143A69"/>
    <w:rsid w:val="001443C8"/>
    <w:rsid w:val="00144862"/>
    <w:rsid w:val="00145292"/>
    <w:rsid w:val="00145CCE"/>
    <w:rsid w:val="001461C0"/>
    <w:rsid w:val="00146471"/>
    <w:rsid w:val="0014648E"/>
    <w:rsid w:val="00146D48"/>
    <w:rsid w:val="00147057"/>
    <w:rsid w:val="00147C5F"/>
    <w:rsid w:val="00147F8B"/>
    <w:rsid w:val="00147FE6"/>
    <w:rsid w:val="0015011E"/>
    <w:rsid w:val="00150B5F"/>
    <w:rsid w:val="00151020"/>
    <w:rsid w:val="001526E4"/>
    <w:rsid w:val="00152713"/>
    <w:rsid w:val="00152EF0"/>
    <w:rsid w:val="001534F7"/>
    <w:rsid w:val="00153608"/>
    <w:rsid w:val="001536C6"/>
    <w:rsid w:val="00153881"/>
    <w:rsid w:val="001540C2"/>
    <w:rsid w:val="001540D6"/>
    <w:rsid w:val="00154345"/>
    <w:rsid w:val="001546A0"/>
    <w:rsid w:val="00154837"/>
    <w:rsid w:val="00156A06"/>
    <w:rsid w:val="00156A6F"/>
    <w:rsid w:val="0015734D"/>
    <w:rsid w:val="00157DBE"/>
    <w:rsid w:val="00157F96"/>
    <w:rsid w:val="0016030F"/>
    <w:rsid w:val="0016035E"/>
    <w:rsid w:val="001609DF"/>
    <w:rsid w:val="00161BB1"/>
    <w:rsid w:val="0016266D"/>
    <w:rsid w:val="001633B1"/>
    <w:rsid w:val="001633CD"/>
    <w:rsid w:val="001633E9"/>
    <w:rsid w:val="0016346C"/>
    <w:rsid w:val="0016394F"/>
    <w:rsid w:val="00164614"/>
    <w:rsid w:val="0016479D"/>
    <w:rsid w:val="00164CCD"/>
    <w:rsid w:val="00164F62"/>
    <w:rsid w:val="00164FB3"/>
    <w:rsid w:val="00165558"/>
    <w:rsid w:val="00165682"/>
    <w:rsid w:val="0016575F"/>
    <w:rsid w:val="00165774"/>
    <w:rsid w:val="00165979"/>
    <w:rsid w:val="00165E2E"/>
    <w:rsid w:val="00166EA1"/>
    <w:rsid w:val="00167173"/>
    <w:rsid w:val="001678AC"/>
    <w:rsid w:val="00167AB0"/>
    <w:rsid w:val="00167C77"/>
    <w:rsid w:val="0017012B"/>
    <w:rsid w:val="0017061D"/>
    <w:rsid w:val="00170719"/>
    <w:rsid w:val="00170D1C"/>
    <w:rsid w:val="00171421"/>
    <w:rsid w:val="001714A5"/>
    <w:rsid w:val="001714AB"/>
    <w:rsid w:val="00172978"/>
    <w:rsid w:val="00172982"/>
    <w:rsid w:val="001729EE"/>
    <w:rsid w:val="001733AC"/>
    <w:rsid w:val="00174BDA"/>
    <w:rsid w:val="001751AA"/>
    <w:rsid w:val="001760C0"/>
    <w:rsid w:val="001760FD"/>
    <w:rsid w:val="001770B9"/>
    <w:rsid w:val="00177325"/>
    <w:rsid w:val="0017793B"/>
    <w:rsid w:val="001805E2"/>
    <w:rsid w:val="00180EF3"/>
    <w:rsid w:val="00181433"/>
    <w:rsid w:val="001824B9"/>
    <w:rsid w:val="00182601"/>
    <w:rsid w:val="001827AB"/>
    <w:rsid w:val="0018304F"/>
    <w:rsid w:val="0018327E"/>
    <w:rsid w:val="001832CC"/>
    <w:rsid w:val="0018348E"/>
    <w:rsid w:val="00183E18"/>
    <w:rsid w:val="001845C4"/>
    <w:rsid w:val="00184FD0"/>
    <w:rsid w:val="00184FF8"/>
    <w:rsid w:val="00185240"/>
    <w:rsid w:val="001854B0"/>
    <w:rsid w:val="001855D0"/>
    <w:rsid w:val="00185A78"/>
    <w:rsid w:val="00185AC6"/>
    <w:rsid w:val="00185E4E"/>
    <w:rsid w:val="001861D4"/>
    <w:rsid w:val="00186F31"/>
    <w:rsid w:val="00186FF1"/>
    <w:rsid w:val="00187121"/>
    <w:rsid w:val="00187708"/>
    <w:rsid w:val="00187CE9"/>
    <w:rsid w:val="00190B37"/>
    <w:rsid w:val="00190CFD"/>
    <w:rsid w:val="0019111E"/>
    <w:rsid w:val="00191171"/>
    <w:rsid w:val="001913C0"/>
    <w:rsid w:val="001917B9"/>
    <w:rsid w:val="00191BDF"/>
    <w:rsid w:val="00192452"/>
    <w:rsid w:val="00192A28"/>
    <w:rsid w:val="00192BBD"/>
    <w:rsid w:val="00192BDC"/>
    <w:rsid w:val="001933C6"/>
    <w:rsid w:val="0019369B"/>
    <w:rsid w:val="001938AB"/>
    <w:rsid w:val="001939A8"/>
    <w:rsid w:val="00193D63"/>
    <w:rsid w:val="00193EB9"/>
    <w:rsid w:val="001947FF"/>
    <w:rsid w:val="001948D0"/>
    <w:rsid w:val="00194BF1"/>
    <w:rsid w:val="00194C88"/>
    <w:rsid w:val="00194F27"/>
    <w:rsid w:val="001952DA"/>
    <w:rsid w:val="001954DB"/>
    <w:rsid w:val="00195890"/>
    <w:rsid w:val="00195AC8"/>
    <w:rsid w:val="00195F39"/>
    <w:rsid w:val="001960FD"/>
    <w:rsid w:val="00196D4F"/>
    <w:rsid w:val="00197524"/>
    <w:rsid w:val="0019753D"/>
    <w:rsid w:val="00197B51"/>
    <w:rsid w:val="00197F7E"/>
    <w:rsid w:val="001A00AD"/>
    <w:rsid w:val="001A0705"/>
    <w:rsid w:val="001A1825"/>
    <w:rsid w:val="001A1907"/>
    <w:rsid w:val="001A1D3B"/>
    <w:rsid w:val="001A1FE9"/>
    <w:rsid w:val="001A204D"/>
    <w:rsid w:val="001A2050"/>
    <w:rsid w:val="001A2473"/>
    <w:rsid w:val="001A29D3"/>
    <w:rsid w:val="001A2F09"/>
    <w:rsid w:val="001A2FC5"/>
    <w:rsid w:val="001A325A"/>
    <w:rsid w:val="001A36D7"/>
    <w:rsid w:val="001A37E8"/>
    <w:rsid w:val="001A404B"/>
    <w:rsid w:val="001A40C8"/>
    <w:rsid w:val="001A47AB"/>
    <w:rsid w:val="001A4EE1"/>
    <w:rsid w:val="001A4F76"/>
    <w:rsid w:val="001A502D"/>
    <w:rsid w:val="001A5153"/>
    <w:rsid w:val="001A51FB"/>
    <w:rsid w:val="001A5623"/>
    <w:rsid w:val="001A5B36"/>
    <w:rsid w:val="001A6025"/>
    <w:rsid w:val="001A6159"/>
    <w:rsid w:val="001A6475"/>
    <w:rsid w:val="001A7697"/>
    <w:rsid w:val="001A7B55"/>
    <w:rsid w:val="001B0612"/>
    <w:rsid w:val="001B098C"/>
    <w:rsid w:val="001B0B06"/>
    <w:rsid w:val="001B0E6A"/>
    <w:rsid w:val="001B10E2"/>
    <w:rsid w:val="001B1C3D"/>
    <w:rsid w:val="001B3118"/>
    <w:rsid w:val="001B3565"/>
    <w:rsid w:val="001B38AD"/>
    <w:rsid w:val="001B3A25"/>
    <w:rsid w:val="001B3F1C"/>
    <w:rsid w:val="001B4063"/>
    <w:rsid w:val="001B4788"/>
    <w:rsid w:val="001B5382"/>
    <w:rsid w:val="001B570B"/>
    <w:rsid w:val="001B5AFE"/>
    <w:rsid w:val="001B620D"/>
    <w:rsid w:val="001B644C"/>
    <w:rsid w:val="001B6870"/>
    <w:rsid w:val="001B6DBC"/>
    <w:rsid w:val="001B6E64"/>
    <w:rsid w:val="001B77C3"/>
    <w:rsid w:val="001B7DE3"/>
    <w:rsid w:val="001C0E55"/>
    <w:rsid w:val="001C1164"/>
    <w:rsid w:val="001C1224"/>
    <w:rsid w:val="001C2C77"/>
    <w:rsid w:val="001C327E"/>
    <w:rsid w:val="001C33D7"/>
    <w:rsid w:val="001C3420"/>
    <w:rsid w:val="001C4066"/>
    <w:rsid w:val="001C4136"/>
    <w:rsid w:val="001C453F"/>
    <w:rsid w:val="001C4554"/>
    <w:rsid w:val="001C47FE"/>
    <w:rsid w:val="001C65B0"/>
    <w:rsid w:val="001C6D7C"/>
    <w:rsid w:val="001C6FD8"/>
    <w:rsid w:val="001C761A"/>
    <w:rsid w:val="001C77DE"/>
    <w:rsid w:val="001C7A93"/>
    <w:rsid w:val="001D0DA0"/>
    <w:rsid w:val="001D1567"/>
    <w:rsid w:val="001D1780"/>
    <w:rsid w:val="001D2A2F"/>
    <w:rsid w:val="001D2B36"/>
    <w:rsid w:val="001D3300"/>
    <w:rsid w:val="001D36F7"/>
    <w:rsid w:val="001D3915"/>
    <w:rsid w:val="001D3CB9"/>
    <w:rsid w:val="001D42E1"/>
    <w:rsid w:val="001D448E"/>
    <w:rsid w:val="001D45D1"/>
    <w:rsid w:val="001D4BEC"/>
    <w:rsid w:val="001D690A"/>
    <w:rsid w:val="001D6AD5"/>
    <w:rsid w:val="001D70C7"/>
    <w:rsid w:val="001D7120"/>
    <w:rsid w:val="001D77C4"/>
    <w:rsid w:val="001D7A05"/>
    <w:rsid w:val="001D7C2D"/>
    <w:rsid w:val="001D7E13"/>
    <w:rsid w:val="001E0B4D"/>
    <w:rsid w:val="001E1A0F"/>
    <w:rsid w:val="001E1E4D"/>
    <w:rsid w:val="001E23CB"/>
    <w:rsid w:val="001E2480"/>
    <w:rsid w:val="001E2C99"/>
    <w:rsid w:val="001E2CEF"/>
    <w:rsid w:val="001E326F"/>
    <w:rsid w:val="001E3285"/>
    <w:rsid w:val="001E35E2"/>
    <w:rsid w:val="001E3D42"/>
    <w:rsid w:val="001E3EAA"/>
    <w:rsid w:val="001E445D"/>
    <w:rsid w:val="001E48EA"/>
    <w:rsid w:val="001E4C3F"/>
    <w:rsid w:val="001E54A3"/>
    <w:rsid w:val="001E5A07"/>
    <w:rsid w:val="001E6A5B"/>
    <w:rsid w:val="001E6C01"/>
    <w:rsid w:val="001E6E79"/>
    <w:rsid w:val="001E7514"/>
    <w:rsid w:val="001E769C"/>
    <w:rsid w:val="001F0020"/>
    <w:rsid w:val="001F095D"/>
    <w:rsid w:val="001F1379"/>
    <w:rsid w:val="001F142C"/>
    <w:rsid w:val="001F1B51"/>
    <w:rsid w:val="001F1CFF"/>
    <w:rsid w:val="001F1F30"/>
    <w:rsid w:val="001F1FD7"/>
    <w:rsid w:val="001F2156"/>
    <w:rsid w:val="001F2551"/>
    <w:rsid w:val="001F25C7"/>
    <w:rsid w:val="001F2AD6"/>
    <w:rsid w:val="001F2D2A"/>
    <w:rsid w:val="001F347F"/>
    <w:rsid w:val="001F3580"/>
    <w:rsid w:val="001F3B9A"/>
    <w:rsid w:val="001F3BF1"/>
    <w:rsid w:val="001F3CB7"/>
    <w:rsid w:val="001F53DC"/>
    <w:rsid w:val="001F5759"/>
    <w:rsid w:val="001F59C6"/>
    <w:rsid w:val="001F5ED1"/>
    <w:rsid w:val="001F63C7"/>
    <w:rsid w:val="001F6474"/>
    <w:rsid w:val="001F6602"/>
    <w:rsid w:val="001F66A0"/>
    <w:rsid w:val="001F68EA"/>
    <w:rsid w:val="001F6D53"/>
    <w:rsid w:val="001F71BE"/>
    <w:rsid w:val="001F761E"/>
    <w:rsid w:val="001F79B1"/>
    <w:rsid w:val="001F7A82"/>
    <w:rsid w:val="001F7EBD"/>
    <w:rsid w:val="001F7F67"/>
    <w:rsid w:val="002002AC"/>
    <w:rsid w:val="00200835"/>
    <w:rsid w:val="00200848"/>
    <w:rsid w:val="00201318"/>
    <w:rsid w:val="0020142E"/>
    <w:rsid w:val="0020164D"/>
    <w:rsid w:val="00201DF4"/>
    <w:rsid w:val="002022EA"/>
    <w:rsid w:val="00202813"/>
    <w:rsid w:val="00202AB9"/>
    <w:rsid w:val="002034B8"/>
    <w:rsid w:val="002036CD"/>
    <w:rsid w:val="00203702"/>
    <w:rsid w:val="00203938"/>
    <w:rsid w:val="0020402B"/>
    <w:rsid w:val="002043B5"/>
    <w:rsid w:val="00204401"/>
    <w:rsid w:val="002049BE"/>
    <w:rsid w:val="00205ECD"/>
    <w:rsid w:val="00206371"/>
    <w:rsid w:val="002065B4"/>
    <w:rsid w:val="002068DA"/>
    <w:rsid w:val="00206914"/>
    <w:rsid w:val="00206DAD"/>
    <w:rsid w:val="002070FE"/>
    <w:rsid w:val="002073DE"/>
    <w:rsid w:val="00207E3A"/>
    <w:rsid w:val="002103C4"/>
    <w:rsid w:val="00210DE7"/>
    <w:rsid w:val="00211748"/>
    <w:rsid w:val="00212056"/>
    <w:rsid w:val="00212127"/>
    <w:rsid w:val="0021220E"/>
    <w:rsid w:val="002127E7"/>
    <w:rsid w:val="00212D3D"/>
    <w:rsid w:val="00212D42"/>
    <w:rsid w:val="00213541"/>
    <w:rsid w:val="002135EA"/>
    <w:rsid w:val="002142CC"/>
    <w:rsid w:val="00214C77"/>
    <w:rsid w:val="00214EC1"/>
    <w:rsid w:val="00214F3D"/>
    <w:rsid w:val="002165A6"/>
    <w:rsid w:val="00216AAC"/>
    <w:rsid w:val="00216DD3"/>
    <w:rsid w:val="00217DE7"/>
    <w:rsid w:val="00220ADF"/>
    <w:rsid w:val="00220B39"/>
    <w:rsid w:val="00220B6A"/>
    <w:rsid w:val="00220BE9"/>
    <w:rsid w:val="00220C93"/>
    <w:rsid w:val="00221019"/>
    <w:rsid w:val="00221221"/>
    <w:rsid w:val="002214DE"/>
    <w:rsid w:val="00221E01"/>
    <w:rsid w:val="00221F77"/>
    <w:rsid w:val="00222D3B"/>
    <w:rsid w:val="00222EA1"/>
    <w:rsid w:val="002234D8"/>
    <w:rsid w:val="00224073"/>
    <w:rsid w:val="00224C52"/>
    <w:rsid w:val="002256BA"/>
    <w:rsid w:val="00225AFB"/>
    <w:rsid w:val="00225F7A"/>
    <w:rsid w:val="0022680C"/>
    <w:rsid w:val="002270EE"/>
    <w:rsid w:val="00227367"/>
    <w:rsid w:val="00227E5D"/>
    <w:rsid w:val="00230635"/>
    <w:rsid w:val="00230859"/>
    <w:rsid w:val="002308A4"/>
    <w:rsid w:val="00230927"/>
    <w:rsid w:val="002318E5"/>
    <w:rsid w:val="00231942"/>
    <w:rsid w:val="00232137"/>
    <w:rsid w:val="002337D8"/>
    <w:rsid w:val="00233A9D"/>
    <w:rsid w:val="00234489"/>
    <w:rsid w:val="00234834"/>
    <w:rsid w:val="002349E1"/>
    <w:rsid w:val="00235288"/>
    <w:rsid w:val="00235C73"/>
    <w:rsid w:val="002372F3"/>
    <w:rsid w:val="0023751A"/>
    <w:rsid w:val="0023768B"/>
    <w:rsid w:val="00237FC0"/>
    <w:rsid w:val="0024005C"/>
    <w:rsid w:val="00240164"/>
    <w:rsid w:val="00240D01"/>
    <w:rsid w:val="00240FC4"/>
    <w:rsid w:val="00241214"/>
    <w:rsid w:val="002416DA"/>
    <w:rsid w:val="00242C57"/>
    <w:rsid w:val="00243268"/>
    <w:rsid w:val="0024384D"/>
    <w:rsid w:val="00243946"/>
    <w:rsid w:val="002443F1"/>
    <w:rsid w:val="0024479A"/>
    <w:rsid w:val="002447E0"/>
    <w:rsid w:val="00244812"/>
    <w:rsid w:val="002457A1"/>
    <w:rsid w:val="002462B8"/>
    <w:rsid w:val="002463E7"/>
    <w:rsid w:val="002463F7"/>
    <w:rsid w:val="002463F9"/>
    <w:rsid w:val="0024662A"/>
    <w:rsid w:val="00246978"/>
    <w:rsid w:val="00247AFB"/>
    <w:rsid w:val="00250062"/>
    <w:rsid w:val="00250890"/>
    <w:rsid w:val="00250B8F"/>
    <w:rsid w:val="00250E7F"/>
    <w:rsid w:val="00250FDF"/>
    <w:rsid w:val="0025125C"/>
    <w:rsid w:val="00251379"/>
    <w:rsid w:val="002513CD"/>
    <w:rsid w:val="00251780"/>
    <w:rsid w:val="00252DE4"/>
    <w:rsid w:val="00252EBD"/>
    <w:rsid w:val="00253237"/>
    <w:rsid w:val="00253674"/>
    <w:rsid w:val="002536F6"/>
    <w:rsid w:val="00253EA9"/>
    <w:rsid w:val="00254326"/>
    <w:rsid w:val="0025441F"/>
    <w:rsid w:val="00254554"/>
    <w:rsid w:val="00254688"/>
    <w:rsid w:val="00254863"/>
    <w:rsid w:val="00254A16"/>
    <w:rsid w:val="00254C9D"/>
    <w:rsid w:val="00255467"/>
    <w:rsid w:val="00256836"/>
    <w:rsid w:val="00256984"/>
    <w:rsid w:val="00256B8E"/>
    <w:rsid w:val="00257700"/>
    <w:rsid w:val="00257B12"/>
    <w:rsid w:val="00260094"/>
    <w:rsid w:val="00260167"/>
    <w:rsid w:val="0026053B"/>
    <w:rsid w:val="00260C0E"/>
    <w:rsid w:val="0026120D"/>
    <w:rsid w:val="0026174F"/>
    <w:rsid w:val="00261AAE"/>
    <w:rsid w:val="00261F31"/>
    <w:rsid w:val="002621DF"/>
    <w:rsid w:val="00262846"/>
    <w:rsid w:val="00262CB5"/>
    <w:rsid w:val="00262F6F"/>
    <w:rsid w:val="00263360"/>
    <w:rsid w:val="00263690"/>
    <w:rsid w:val="00263AA6"/>
    <w:rsid w:val="00263D6C"/>
    <w:rsid w:val="0026440B"/>
    <w:rsid w:val="00264895"/>
    <w:rsid w:val="00264970"/>
    <w:rsid w:val="00264D6A"/>
    <w:rsid w:val="002652C1"/>
    <w:rsid w:val="002658FE"/>
    <w:rsid w:val="0026599B"/>
    <w:rsid w:val="00265A7F"/>
    <w:rsid w:val="00265D2B"/>
    <w:rsid w:val="002660ED"/>
    <w:rsid w:val="002667FE"/>
    <w:rsid w:val="00266853"/>
    <w:rsid w:val="0026692C"/>
    <w:rsid w:val="00267217"/>
    <w:rsid w:val="00267C74"/>
    <w:rsid w:val="00270242"/>
    <w:rsid w:val="002706B2"/>
    <w:rsid w:val="00270B89"/>
    <w:rsid w:val="00271A45"/>
    <w:rsid w:val="00271BF5"/>
    <w:rsid w:val="002720EB"/>
    <w:rsid w:val="0027211B"/>
    <w:rsid w:val="002721A7"/>
    <w:rsid w:val="002723B9"/>
    <w:rsid w:val="00272428"/>
    <w:rsid w:val="00272A50"/>
    <w:rsid w:val="00272EAC"/>
    <w:rsid w:val="0027325A"/>
    <w:rsid w:val="00273575"/>
    <w:rsid w:val="0027376F"/>
    <w:rsid w:val="002737AF"/>
    <w:rsid w:val="00273AC0"/>
    <w:rsid w:val="00274206"/>
    <w:rsid w:val="002746D8"/>
    <w:rsid w:val="002749FA"/>
    <w:rsid w:val="00275358"/>
    <w:rsid w:val="00275A59"/>
    <w:rsid w:val="00275A67"/>
    <w:rsid w:val="00276524"/>
    <w:rsid w:val="0027738C"/>
    <w:rsid w:val="00277B58"/>
    <w:rsid w:val="0028026C"/>
    <w:rsid w:val="002804FD"/>
    <w:rsid w:val="002809BD"/>
    <w:rsid w:val="00280BCA"/>
    <w:rsid w:val="002812C6"/>
    <w:rsid w:val="0028140D"/>
    <w:rsid w:val="0028262B"/>
    <w:rsid w:val="00282A48"/>
    <w:rsid w:val="002830F7"/>
    <w:rsid w:val="002844FA"/>
    <w:rsid w:val="00284998"/>
    <w:rsid w:val="00284C6F"/>
    <w:rsid w:val="00284E44"/>
    <w:rsid w:val="002856D7"/>
    <w:rsid w:val="00285789"/>
    <w:rsid w:val="002858D5"/>
    <w:rsid w:val="00285B83"/>
    <w:rsid w:val="002860DD"/>
    <w:rsid w:val="0028674D"/>
    <w:rsid w:val="00286922"/>
    <w:rsid w:val="00286A99"/>
    <w:rsid w:val="00286F8B"/>
    <w:rsid w:val="00286FB7"/>
    <w:rsid w:val="00287425"/>
    <w:rsid w:val="00290EBA"/>
    <w:rsid w:val="0029175D"/>
    <w:rsid w:val="00291789"/>
    <w:rsid w:val="00291896"/>
    <w:rsid w:val="00291CFD"/>
    <w:rsid w:val="00291D26"/>
    <w:rsid w:val="00292422"/>
    <w:rsid w:val="0029279E"/>
    <w:rsid w:val="00292A76"/>
    <w:rsid w:val="00292B84"/>
    <w:rsid w:val="00292D9D"/>
    <w:rsid w:val="002932CC"/>
    <w:rsid w:val="00293559"/>
    <w:rsid w:val="002937E7"/>
    <w:rsid w:val="00293831"/>
    <w:rsid w:val="00293938"/>
    <w:rsid w:val="00293AEF"/>
    <w:rsid w:val="00293D4A"/>
    <w:rsid w:val="00293DC7"/>
    <w:rsid w:val="0029405B"/>
    <w:rsid w:val="00294225"/>
    <w:rsid w:val="00294778"/>
    <w:rsid w:val="00294979"/>
    <w:rsid w:val="00294E69"/>
    <w:rsid w:val="0029513E"/>
    <w:rsid w:val="00295249"/>
    <w:rsid w:val="002952A4"/>
    <w:rsid w:val="00295675"/>
    <w:rsid w:val="002959A8"/>
    <w:rsid w:val="0029653D"/>
    <w:rsid w:val="00296727"/>
    <w:rsid w:val="0029688B"/>
    <w:rsid w:val="00296C58"/>
    <w:rsid w:val="0029755A"/>
    <w:rsid w:val="002977F8"/>
    <w:rsid w:val="00297D86"/>
    <w:rsid w:val="00297DEA"/>
    <w:rsid w:val="002A01D4"/>
    <w:rsid w:val="002A1B50"/>
    <w:rsid w:val="002A1C18"/>
    <w:rsid w:val="002A2612"/>
    <w:rsid w:val="002A33E2"/>
    <w:rsid w:val="002A3AC0"/>
    <w:rsid w:val="002A3AE6"/>
    <w:rsid w:val="002A4003"/>
    <w:rsid w:val="002A436B"/>
    <w:rsid w:val="002A4725"/>
    <w:rsid w:val="002A485E"/>
    <w:rsid w:val="002A4A6F"/>
    <w:rsid w:val="002A4AFA"/>
    <w:rsid w:val="002A4B81"/>
    <w:rsid w:val="002A506A"/>
    <w:rsid w:val="002A56E1"/>
    <w:rsid w:val="002A5ED6"/>
    <w:rsid w:val="002A5F68"/>
    <w:rsid w:val="002A6247"/>
    <w:rsid w:val="002A656D"/>
    <w:rsid w:val="002A721E"/>
    <w:rsid w:val="002A77AB"/>
    <w:rsid w:val="002B01D3"/>
    <w:rsid w:val="002B0315"/>
    <w:rsid w:val="002B0C63"/>
    <w:rsid w:val="002B152F"/>
    <w:rsid w:val="002B15ED"/>
    <w:rsid w:val="002B1925"/>
    <w:rsid w:val="002B192C"/>
    <w:rsid w:val="002B1B26"/>
    <w:rsid w:val="002B2651"/>
    <w:rsid w:val="002B277F"/>
    <w:rsid w:val="002B2837"/>
    <w:rsid w:val="002B2AF5"/>
    <w:rsid w:val="002B35CD"/>
    <w:rsid w:val="002B36C6"/>
    <w:rsid w:val="002B3816"/>
    <w:rsid w:val="002B3A27"/>
    <w:rsid w:val="002B3A77"/>
    <w:rsid w:val="002B6C69"/>
    <w:rsid w:val="002B74F0"/>
    <w:rsid w:val="002B7639"/>
    <w:rsid w:val="002B78C1"/>
    <w:rsid w:val="002B795D"/>
    <w:rsid w:val="002B7A2F"/>
    <w:rsid w:val="002C0102"/>
    <w:rsid w:val="002C0C44"/>
    <w:rsid w:val="002C0D89"/>
    <w:rsid w:val="002C0F32"/>
    <w:rsid w:val="002C109F"/>
    <w:rsid w:val="002C130E"/>
    <w:rsid w:val="002C136B"/>
    <w:rsid w:val="002C15B4"/>
    <w:rsid w:val="002C181F"/>
    <w:rsid w:val="002C1F26"/>
    <w:rsid w:val="002C1F33"/>
    <w:rsid w:val="002C2428"/>
    <w:rsid w:val="002C3CE4"/>
    <w:rsid w:val="002C3D69"/>
    <w:rsid w:val="002C3DD9"/>
    <w:rsid w:val="002C5169"/>
    <w:rsid w:val="002C5443"/>
    <w:rsid w:val="002C5705"/>
    <w:rsid w:val="002C57A9"/>
    <w:rsid w:val="002C65F1"/>
    <w:rsid w:val="002C69D6"/>
    <w:rsid w:val="002C6C15"/>
    <w:rsid w:val="002C6F21"/>
    <w:rsid w:val="002C70EF"/>
    <w:rsid w:val="002C713A"/>
    <w:rsid w:val="002C7396"/>
    <w:rsid w:val="002C7E64"/>
    <w:rsid w:val="002D02FE"/>
    <w:rsid w:val="002D054F"/>
    <w:rsid w:val="002D0A6E"/>
    <w:rsid w:val="002D0ACE"/>
    <w:rsid w:val="002D161B"/>
    <w:rsid w:val="002D1764"/>
    <w:rsid w:val="002D1832"/>
    <w:rsid w:val="002D1C3D"/>
    <w:rsid w:val="002D1C79"/>
    <w:rsid w:val="002D1CEE"/>
    <w:rsid w:val="002D24C6"/>
    <w:rsid w:val="002D270F"/>
    <w:rsid w:val="002D3907"/>
    <w:rsid w:val="002D3960"/>
    <w:rsid w:val="002D3C37"/>
    <w:rsid w:val="002D3DB9"/>
    <w:rsid w:val="002D41C0"/>
    <w:rsid w:val="002D4839"/>
    <w:rsid w:val="002D48A7"/>
    <w:rsid w:val="002D4E0C"/>
    <w:rsid w:val="002D50D4"/>
    <w:rsid w:val="002D5100"/>
    <w:rsid w:val="002D5644"/>
    <w:rsid w:val="002D58FD"/>
    <w:rsid w:val="002D5A2B"/>
    <w:rsid w:val="002D5CA9"/>
    <w:rsid w:val="002D61EE"/>
    <w:rsid w:val="002D6422"/>
    <w:rsid w:val="002D6696"/>
    <w:rsid w:val="002D7197"/>
    <w:rsid w:val="002D7631"/>
    <w:rsid w:val="002D7732"/>
    <w:rsid w:val="002E0189"/>
    <w:rsid w:val="002E01CA"/>
    <w:rsid w:val="002E03FF"/>
    <w:rsid w:val="002E0572"/>
    <w:rsid w:val="002E086A"/>
    <w:rsid w:val="002E0A59"/>
    <w:rsid w:val="002E0ED0"/>
    <w:rsid w:val="002E11C7"/>
    <w:rsid w:val="002E1AED"/>
    <w:rsid w:val="002E1C8F"/>
    <w:rsid w:val="002E22C4"/>
    <w:rsid w:val="002E24A4"/>
    <w:rsid w:val="002E2623"/>
    <w:rsid w:val="002E270D"/>
    <w:rsid w:val="002E29E7"/>
    <w:rsid w:val="002E2BDB"/>
    <w:rsid w:val="002E2BF5"/>
    <w:rsid w:val="002E2C00"/>
    <w:rsid w:val="002E3F65"/>
    <w:rsid w:val="002E4916"/>
    <w:rsid w:val="002E4D6A"/>
    <w:rsid w:val="002E4E5A"/>
    <w:rsid w:val="002E4F94"/>
    <w:rsid w:val="002E54AB"/>
    <w:rsid w:val="002E5743"/>
    <w:rsid w:val="002E5BA3"/>
    <w:rsid w:val="002E5C45"/>
    <w:rsid w:val="002E5C5C"/>
    <w:rsid w:val="002E63B0"/>
    <w:rsid w:val="002E649F"/>
    <w:rsid w:val="002E68D5"/>
    <w:rsid w:val="002E6D34"/>
    <w:rsid w:val="002E7203"/>
    <w:rsid w:val="002F006D"/>
    <w:rsid w:val="002F0268"/>
    <w:rsid w:val="002F064E"/>
    <w:rsid w:val="002F0888"/>
    <w:rsid w:val="002F08BF"/>
    <w:rsid w:val="002F0A15"/>
    <w:rsid w:val="002F0A77"/>
    <w:rsid w:val="002F0B53"/>
    <w:rsid w:val="002F179A"/>
    <w:rsid w:val="002F1A65"/>
    <w:rsid w:val="002F1B60"/>
    <w:rsid w:val="002F1BA3"/>
    <w:rsid w:val="002F1C13"/>
    <w:rsid w:val="002F1C42"/>
    <w:rsid w:val="002F212F"/>
    <w:rsid w:val="002F25AA"/>
    <w:rsid w:val="002F376D"/>
    <w:rsid w:val="002F3BAA"/>
    <w:rsid w:val="002F3D3C"/>
    <w:rsid w:val="002F418E"/>
    <w:rsid w:val="002F4333"/>
    <w:rsid w:val="002F464A"/>
    <w:rsid w:val="002F49D6"/>
    <w:rsid w:val="002F4FA5"/>
    <w:rsid w:val="002F537F"/>
    <w:rsid w:val="002F53A7"/>
    <w:rsid w:val="002F55BC"/>
    <w:rsid w:val="002F57EE"/>
    <w:rsid w:val="002F5F0A"/>
    <w:rsid w:val="002F5F83"/>
    <w:rsid w:val="002F6228"/>
    <w:rsid w:val="002F687C"/>
    <w:rsid w:val="002F69CB"/>
    <w:rsid w:val="002F6D21"/>
    <w:rsid w:val="002F6D53"/>
    <w:rsid w:val="002F715B"/>
    <w:rsid w:val="002F7422"/>
    <w:rsid w:val="0030001E"/>
    <w:rsid w:val="003003D3"/>
    <w:rsid w:val="003004F1"/>
    <w:rsid w:val="00300519"/>
    <w:rsid w:val="003006FF"/>
    <w:rsid w:val="003008D8"/>
    <w:rsid w:val="00300C42"/>
    <w:rsid w:val="00300D7D"/>
    <w:rsid w:val="00301A11"/>
    <w:rsid w:val="00301E53"/>
    <w:rsid w:val="00301EA9"/>
    <w:rsid w:val="00302265"/>
    <w:rsid w:val="00302A59"/>
    <w:rsid w:val="00302F3B"/>
    <w:rsid w:val="00303E3D"/>
    <w:rsid w:val="00304357"/>
    <w:rsid w:val="003044A6"/>
    <w:rsid w:val="00304A90"/>
    <w:rsid w:val="00304DDE"/>
    <w:rsid w:val="00304F58"/>
    <w:rsid w:val="00305278"/>
    <w:rsid w:val="003054B3"/>
    <w:rsid w:val="0030554F"/>
    <w:rsid w:val="003058E7"/>
    <w:rsid w:val="00305C48"/>
    <w:rsid w:val="00306364"/>
    <w:rsid w:val="0030666E"/>
    <w:rsid w:val="00306C6C"/>
    <w:rsid w:val="003071FB"/>
    <w:rsid w:val="00307AFD"/>
    <w:rsid w:val="00307BDA"/>
    <w:rsid w:val="00307F52"/>
    <w:rsid w:val="00310013"/>
    <w:rsid w:val="003101B5"/>
    <w:rsid w:val="0031025A"/>
    <w:rsid w:val="00310D5A"/>
    <w:rsid w:val="00311341"/>
    <w:rsid w:val="003119A1"/>
    <w:rsid w:val="00311F00"/>
    <w:rsid w:val="00312475"/>
    <w:rsid w:val="00312493"/>
    <w:rsid w:val="0031265E"/>
    <w:rsid w:val="0031299A"/>
    <w:rsid w:val="00312E34"/>
    <w:rsid w:val="0031378D"/>
    <w:rsid w:val="00314144"/>
    <w:rsid w:val="003147E5"/>
    <w:rsid w:val="00314886"/>
    <w:rsid w:val="00314AC6"/>
    <w:rsid w:val="00314D45"/>
    <w:rsid w:val="00315017"/>
    <w:rsid w:val="003151C1"/>
    <w:rsid w:val="003153FD"/>
    <w:rsid w:val="003157A9"/>
    <w:rsid w:val="00315A77"/>
    <w:rsid w:val="003160E0"/>
    <w:rsid w:val="0031690A"/>
    <w:rsid w:val="00316922"/>
    <w:rsid w:val="003170FF"/>
    <w:rsid w:val="0031754E"/>
    <w:rsid w:val="00317D38"/>
    <w:rsid w:val="00317F64"/>
    <w:rsid w:val="00320496"/>
    <w:rsid w:val="0032066E"/>
    <w:rsid w:val="0032068D"/>
    <w:rsid w:val="0032073C"/>
    <w:rsid w:val="00320C77"/>
    <w:rsid w:val="00321005"/>
    <w:rsid w:val="00321BFB"/>
    <w:rsid w:val="0032268E"/>
    <w:rsid w:val="003227A4"/>
    <w:rsid w:val="003234FE"/>
    <w:rsid w:val="00323ABA"/>
    <w:rsid w:val="00324D7D"/>
    <w:rsid w:val="00325193"/>
    <w:rsid w:val="003253B4"/>
    <w:rsid w:val="00325D22"/>
    <w:rsid w:val="0032647A"/>
    <w:rsid w:val="00326A06"/>
    <w:rsid w:val="00326C22"/>
    <w:rsid w:val="00326F3A"/>
    <w:rsid w:val="003273E8"/>
    <w:rsid w:val="00327650"/>
    <w:rsid w:val="00327D7E"/>
    <w:rsid w:val="00330695"/>
    <w:rsid w:val="003309C0"/>
    <w:rsid w:val="00330C57"/>
    <w:rsid w:val="00331337"/>
    <w:rsid w:val="00331758"/>
    <w:rsid w:val="003317BC"/>
    <w:rsid w:val="00331A11"/>
    <w:rsid w:val="00331AFA"/>
    <w:rsid w:val="00331C5F"/>
    <w:rsid w:val="00331EA7"/>
    <w:rsid w:val="00331F88"/>
    <w:rsid w:val="003322C1"/>
    <w:rsid w:val="003322CA"/>
    <w:rsid w:val="0033237B"/>
    <w:rsid w:val="003323D1"/>
    <w:rsid w:val="00332475"/>
    <w:rsid w:val="0033279B"/>
    <w:rsid w:val="00332B64"/>
    <w:rsid w:val="00332CB2"/>
    <w:rsid w:val="0033349F"/>
    <w:rsid w:val="003337C0"/>
    <w:rsid w:val="00334330"/>
    <w:rsid w:val="003348CC"/>
    <w:rsid w:val="00334F7E"/>
    <w:rsid w:val="003354C6"/>
    <w:rsid w:val="0033563F"/>
    <w:rsid w:val="00335AAE"/>
    <w:rsid w:val="00335DFD"/>
    <w:rsid w:val="00335F94"/>
    <w:rsid w:val="00335FD7"/>
    <w:rsid w:val="00337619"/>
    <w:rsid w:val="00337E67"/>
    <w:rsid w:val="003401AF"/>
    <w:rsid w:val="003407F5"/>
    <w:rsid w:val="00340EE9"/>
    <w:rsid w:val="00341FDE"/>
    <w:rsid w:val="00342098"/>
    <w:rsid w:val="00342863"/>
    <w:rsid w:val="00342A67"/>
    <w:rsid w:val="00342BB0"/>
    <w:rsid w:val="00343178"/>
    <w:rsid w:val="00343785"/>
    <w:rsid w:val="00344165"/>
    <w:rsid w:val="00344645"/>
    <w:rsid w:val="003449E8"/>
    <w:rsid w:val="00345429"/>
    <w:rsid w:val="0034589A"/>
    <w:rsid w:val="0034612B"/>
    <w:rsid w:val="003461F8"/>
    <w:rsid w:val="0034674D"/>
    <w:rsid w:val="00346E75"/>
    <w:rsid w:val="003473E3"/>
    <w:rsid w:val="003475E9"/>
    <w:rsid w:val="00350488"/>
    <w:rsid w:val="00350576"/>
    <w:rsid w:val="003518C8"/>
    <w:rsid w:val="00351FE9"/>
    <w:rsid w:val="0035271E"/>
    <w:rsid w:val="003527E4"/>
    <w:rsid w:val="00352873"/>
    <w:rsid w:val="003528CE"/>
    <w:rsid w:val="003534C4"/>
    <w:rsid w:val="00353853"/>
    <w:rsid w:val="00353C42"/>
    <w:rsid w:val="0035403B"/>
    <w:rsid w:val="0035420D"/>
    <w:rsid w:val="0035469D"/>
    <w:rsid w:val="0035525B"/>
    <w:rsid w:val="00356278"/>
    <w:rsid w:val="0035659D"/>
    <w:rsid w:val="00356774"/>
    <w:rsid w:val="00356785"/>
    <w:rsid w:val="003569F3"/>
    <w:rsid w:val="00356E85"/>
    <w:rsid w:val="00357CDF"/>
    <w:rsid w:val="0036057F"/>
    <w:rsid w:val="0036065C"/>
    <w:rsid w:val="0036116B"/>
    <w:rsid w:val="003612DF"/>
    <w:rsid w:val="0036135C"/>
    <w:rsid w:val="0036188E"/>
    <w:rsid w:val="00361AEA"/>
    <w:rsid w:val="00363614"/>
    <w:rsid w:val="00363B6C"/>
    <w:rsid w:val="00363C2A"/>
    <w:rsid w:val="00363C2C"/>
    <w:rsid w:val="00363E1E"/>
    <w:rsid w:val="00364024"/>
    <w:rsid w:val="00364768"/>
    <w:rsid w:val="0036499B"/>
    <w:rsid w:val="00364B47"/>
    <w:rsid w:val="00364C4B"/>
    <w:rsid w:val="00364F2D"/>
    <w:rsid w:val="00366702"/>
    <w:rsid w:val="00367150"/>
    <w:rsid w:val="003671D9"/>
    <w:rsid w:val="00367877"/>
    <w:rsid w:val="0036795D"/>
    <w:rsid w:val="00370F4F"/>
    <w:rsid w:val="003711C6"/>
    <w:rsid w:val="0037159A"/>
    <w:rsid w:val="003717F4"/>
    <w:rsid w:val="0037181B"/>
    <w:rsid w:val="003723C3"/>
    <w:rsid w:val="00372EF5"/>
    <w:rsid w:val="00373451"/>
    <w:rsid w:val="003740F6"/>
    <w:rsid w:val="0037421E"/>
    <w:rsid w:val="00374363"/>
    <w:rsid w:val="00374378"/>
    <w:rsid w:val="0037439A"/>
    <w:rsid w:val="003745F6"/>
    <w:rsid w:val="00374B94"/>
    <w:rsid w:val="00374BE3"/>
    <w:rsid w:val="003752B7"/>
    <w:rsid w:val="003756A2"/>
    <w:rsid w:val="00375ED5"/>
    <w:rsid w:val="0037615D"/>
    <w:rsid w:val="00376273"/>
    <w:rsid w:val="0037761C"/>
    <w:rsid w:val="00377A5B"/>
    <w:rsid w:val="00377A9B"/>
    <w:rsid w:val="00377E04"/>
    <w:rsid w:val="0038032A"/>
    <w:rsid w:val="003803DD"/>
    <w:rsid w:val="00382A43"/>
    <w:rsid w:val="0038334F"/>
    <w:rsid w:val="003836DA"/>
    <w:rsid w:val="00383FA1"/>
    <w:rsid w:val="0038461B"/>
    <w:rsid w:val="00384B44"/>
    <w:rsid w:val="003855C1"/>
    <w:rsid w:val="003857B4"/>
    <w:rsid w:val="00385868"/>
    <w:rsid w:val="00385C1F"/>
    <w:rsid w:val="00385CE5"/>
    <w:rsid w:val="00385E29"/>
    <w:rsid w:val="0038681E"/>
    <w:rsid w:val="0038698C"/>
    <w:rsid w:val="00386C8D"/>
    <w:rsid w:val="003875D1"/>
    <w:rsid w:val="00387F28"/>
    <w:rsid w:val="00390315"/>
    <w:rsid w:val="00390349"/>
    <w:rsid w:val="003905BF"/>
    <w:rsid w:val="0039150D"/>
    <w:rsid w:val="0039152C"/>
    <w:rsid w:val="00391A71"/>
    <w:rsid w:val="00391C6C"/>
    <w:rsid w:val="00391D08"/>
    <w:rsid w:val="00391E77"/>
    <w:rsid w:val="00392051"/>
    <w:rsid w:val="00392295"/>
    <w:rsid w:val="00393717"/>
    <w:rsid w:val="00393E2F"/>
    <w:rsid w:val="0039430E"/>
    <w:rsid w:val="00394E34"/>
    <w:rsid w:val="00395576"/>
    <w:rsid w:val="00395C8A"/>
    <w:rsid w:val="0039614E"/>
    <w:rsid w:val="00396678"/>
    <w:rsid w:val="003968D5"/>
    <w:rsid w:val="00396B10"/>
    <w:rsid w:val="00396CF4"/>
    <w:rsid w:val="0039712C"/>
    <w:rsid w:val="00397133"/>
    <w:rsid w:val="00397364"/>
    <w:rsid w:val="00397874"/>
    <w:rsid w:val="00397A9F"/>
    <w:rsid w:val="00397B5B"/>
    <w:rsid w:val="00397BCF"/>
    <w:rsid w:val="00397BEC"/>
    <w:rsid w:val="003A0866"/>
    <w:rsid w:val="003A0C68"/>
    <w:rsid w:val="003A0F9A"/>
    <w:rsid w:val="003A1279"/>
    <w:rsid w:val="003A1D20"/>
    <w:rsid w:val="003A23A5"/>
    <w:rsid w:val="003A2AC0"/>
    <w:rsid w:val="003A2B52"/>
    <w:rsid w:val="003A2D1E"/>
    <w:rsid w:val="003A38BC"/>
    <w:rsid w:val="003A39EA"/>
    <w:rsid w:val="003A39EE"/>
    <w:rsid w:val="003A43BE"/>
    <w:rsid w:val="003A43F2"/>
    <w:rsid w:val="003A4A2A"/>
    <w:rsid w:val="003A4FDF"/>
    <w:rsid w:val="003A55DD"/>
    <w:rsid w:val="003A5729"/>
    <w:rsid w:val="003A5B32"/>
    <w:rsid w:val="003A5FEF"/>
    <w:rsid w:val="003A684C"/>
    <w:rsid w:val="003A6B13"/>
    <w:rsid w:val="003A6F8C"/>
    <w:rsid w:val="003A71BD"/>
    <w:rsid w:val="003A7FCB"/>
    <w:rsid w:val="003B06ED"/>
    <w:rsid w:val="003B0C37"/>
    <w:rsid w:val="003B0C9F"/>
    <w:rsid w:val="003B0CB2"/>
    <w:rsid w:val="003B15E3"/>
    <w:rsid w:val="003B1650"/>
    <w:rsid w:val="003B19D6"/>
    <w:rsid w:val="003B208E"/>
    <w:rsid w:val="003B29F0"/>
    <w:rsid w:val="003B3304"/>
    <w:rsid w:val="003B36B1"/>
    <w:rsid w:val="003B3D40"/>
    <w:rsid w:val="003B46BD"/>
    <w:rsid w:val="003B49D4"/>
    <w:rsid w:val="003B54CF"/>
    <w:rsid w:val="003B5615"/>
    <w:rsid w:val="003B5AA6"/>
    <w:rsid w:val="003B67DE"/>
    <w:rsid w:val="003B702F"/>
    <w:rsid w:val="003B748C"/>
    <w:rsid w:val="003B7578"/>
    <w:rsid w:val="003B7A9B"/>
    <w:rsid w:val="003B7B37"/>
    <w:rsid w:val="003B7CF8"/>
    <w:rsid w:val="003C0140"/>
    <w:rsid w:val="003C0841"/>
    <w:rsid w:val="003C094B"/>
    <w:rsid w:val="003C0ACF"/>
    <w:rsid w:val="003C0D76"/>
    <w:rsid w:val="003C1318"/>
    <w:rsid w:val="003C1517"/>
    <w:rsid w:val="003C1B84"/>
    <w:rsid w:val="003C1F72"/>
    <w:rsid w:val="003C20E0"/>
    <w:rsid w:val="003C2389"/>
    <w:rsid w:val="003C2882"/>
    <w:rsid w:val="003C2C61"/>
    <w:rsid w:val="003C32DE"/>
    <w:rsid w:val="003C35E4"/>
    <w:rsid w:val="003C397D"/>
    <w:rsid w:val="003C3B26"/>
    <w:rsid w:val="003C40E6"/>
    <w:rsid w:val="003C4683"/>
    <w:rsid w:val="003C50C8"/>
    <w:rsid w:val="003C5D07"/>
    <w:rsid w:val="003C625C"/>
    <w:rsid w:val="003C6F11"/>
    <w:rsid w:val="003C727D"/>
    <w:rsid w:val="003C7379"/>
    <w:rsid w:val="003C7458"/>
    <w:rsid w:val="003C77FF"/>
    <w:rsid w:val="003C7994"/>
    <w:rsid w:val="003C7F7C"/>
    <w:rsid w:val="003D079D"/>
    <w:rsid w:val="003D096A"/>
    <w:rsid w:val="003D0A7B"/>
    <w:rsid w:val="003D1113"/>
    <w:rsid w:val="003D1491"/>
    <w:rsid w:val="003D1907"/>
    <w:rsid w:val="003D20EF"/>
    <w:rsid w:val="003D24EA"/>
    <w:rsid w:val="003D2525"/>
    <w:rsid w:val="003D2808"/>
    <w:rsid w:val="003D284E"/>
    <w:rsid w:val="003D2F4A"/>
    <w:rsid w:val="003D3196"/>
    <w:rsid w:val="003D38E2"/>
    <w:rsid w:val="003D38EB"/>
    <w:rsid w:val="003D3AE1"/>
    <w:rsid w:val="003D422C"/>
    <w:rsid w:val="003D454A"/>
    <w:rsid w:val="003D5636"/>
    <w:rsid w:val="003D66F4"/>
    <w:rsid w:val="003D6772"/>
    <w:rsid w:val="003D6F83"/>
    <w:rsid w:val="003D70BD"/>
    <w:rsid w:val="003D77F5"/>
    <w:rsid w:val="003D7B5F"/>
    <w:rsid w:val="003E0608"/>
    <w:rsid w:val="003E0857"/>
    <w:rsid w:val="003E1253"/>
    <w:rsid w:val="003E126F"/>
    <w:rsid w:val="003E12F6"/>
    <w:rsid w:val="003E164A"/>
    <w:rsid w:val="003E1C0B"/>
    <w:rsid w:val="003E1D93"/>
    <w:rsid w:val="003E2128"/>
    <w:rsid w:val="003E27F8"/>
    <w:rsid w:val="003E2A9B"/>
    <w:rsid w:val="003E2D7D"/>
    <w:rsid w:val="003E2F3A"/>
    <w:rsid w:val="003E3A11"/>
    <w:rsid w:val="003E3AD5"/>
    <w:rsid w:val="003E409A"/>
    <w:rsid w:val="003E41A4"/>
    <w:rsid w:val="003E44C2"/>
    <w:rsid w:val="003E5894"/>
    <w:rsid w:val="003E5ED1"/>
    <w:rsid w:val="003E5F49"/>
    <w:rsid w:val="003E6AEE"/>
    <w:rsid w:val="003E6D76"/>
    <w:rsid w:val="003E6E38"/>
    <w:rsid w:val="003E6FC4"/>
    <w:rsid w:val="003E7452"/>
    <w:rsid w:val="003E7579"/>
    <w:rsid w:val="003F055F"/>
    <w:rsid w:val="003F0649"/>
    <w:rsid w:val="003F08C5"/>
    <w:rsid w:val="003F16B1"/>
    <w:rsid w:val="003F1907"/>
    <w:rsid w:val="003F19B1"/>
    <w:rsid w:val="003F1CC1"/>
    <w:rsid w:val="003F234B"/>
    <w:rsid w:val="003F2C0C"/>
    <w:rsid w:val="003F30C2"/>
    <w:rsid w:val="003F3FCB"/>
    <w:rsid w:val="003F4187"/>
    <w:rsid w:val="003F4581"/>
    <w:rsid w:val="003F4B14"/>
    <w:rsid w:val="003F4C7E"/>
    <w:rsid w:val="003F549A"/>
    <w:rsid w:val="003F5747"/>
    <w:rsid w:val="003F7A99"/>
    <w:rsid w:val="0040033B"/>
    <w:rsid w:val="00400739"/>
    <w:rsid w:val="004012D3"/>
    <w:rsid w:val="00401354"/>
    <w:rsid w:val="004019B4"/>
    <w:rsid w:val="0040213D"/>
    <w:rsid w:val="0040219D"/>
    <w:rsid w:val="004022E2"/>
    <w:rsid w:val="00402549"/>
    <w:rsid w:val="00402670"/>
    <w:rsid w:val="00402C2A"/>
    <w:rsid w:val="00403D52"/>
    <w:rsid w:val="004052DB"/>
    <w:rsid w:val="0040591E"/>
    <w:rsid w:val="00405960"/>
    <w:rsid w:val="00405963"/>
    <w:rsid w:val="00405B14"/>
    <w:rsid w:val="00405B96"/>
    <w:rsid w:val="00406E2D"/>
    <w:rsid w:val="0040745C"/>
    <w:rsid w:val="00407E98"/>
    <w:rsid w:val="00407EF3"/>
    <w:rsid w:val="0041037B"/>
    <w:rsid w:val="004103F4"/>
    <w:rsid w:val="00411944"/>
    <w:rsid w:val="00411C30"/>
    <w:rsid w:val="00412417"/>
    <w:rsid w:val="004126E8"/>
    <w:rsid w:val="0041287A"/>
    <w:rsid w:val="00413160"/>
    <w:rsid w:val="004131DD"/>
    <w:rsid w:val="00413243"/>
    <w:rsid w:val="0041327E"/>
    <w:rsid w:val="00413CF3"/>
    <w:rsid w:val="00414758"/>
    <w:rsid w:val="00414838"/>
    <w:rsid w:val="004149A2"/>
    <w:rsid w:val="00414D1E"/>
    <w:rsid w:val="00414E91"/>
    <w:rsid w:val="00414F05"/>
    <w:rsid w:val="004150DA"/>
    <w:rsid w:val="0041541B"/>
    <w:rsid w:val="00415782"/>
    <w:rsid w:val="00415E10"/>
    <w:rsid w:val="00415FFD"/>
    <w:rsid w:val="00416542"/>
    <w:rsid w:val="0041710B"/>
    <w:rsid w:val="00417863"/>
    <w:rsid w:val="004201C1"/>
    <w:rsid w:val="004202C9"/>
    <w:rsid w:val="004206FB"/>
    <w:rsid w:val="00420A06"/>
    <w:rsid w:val="00420B6B"/>
    <w:rsid w:val="00421A58"/>
    <w:rsid w:val="00421C0E"/>
    <w:rsid w:val="004224D3"/>
    <w:rsid w:val="00422F19"/>
    <w:rsid w:val="00423179"/>
    <w:rsid w:val="00423393"/>
    <w:rsid w:val="004239BA"/>
    <w:rsid w:val="00423B62"/>
    <w:rsid w:val="00424445"/>
    <w:rsid w:val="004244B5"/>
    <w:rsid w:val="00424B39"/>
    <w:rsid w:val="00424F6B"/>
    <w:rsid w:val="0042514E"/>
    <w:rsid w:val="00425237"/>
    <w:rsid w:val="00425581"/>
    <w:rsid w:val="0042568E"/>
    <w:rsid w:val="00425C1B"/>
    <w:rsid w:val="00425C82"/>
    <w:rsid w:val="00425E8B"/>
    <w:rsid w:val="004260DD"/>
    <w:rsid w:val="00426350"/>
    <w:rsid w:val="00426755"/>
    <w:rsid w:val="004268C2"/>
    <w:rsid w:val="00426AB7"/>
    <w:rsid w:val="00427146"/>
    <w:rsid w:val="00427C39"/>
    <w:rsid w:val="00427C3B"/>
    <w:rsid w:val="00430624"/>
    <w:rsid w:val="00430ED6"/>
    <w:rsid w:val="004319A4"/>
    <w:rsid w:val="00431A72"/>
    <w:rsid w:val="00431D88"/>
    <w:rsid w:val="0043200A"/>
    <w:rsid w:val="004323D8"/>
    <w:rsid w:val="00432723"/>
    <w:rsid w:val="00432925"/>
    <w:rsid w:val="004339B2"/>
    <w:rsid w:val="00433CBE"/>
    <w:rsid w:val="00433D2F"/>
    <w:rsid w:val="0043423C"/>
    <w:rsid w:val="00434940"/>
    <w:rsid w:val="00434A5F"/>
    <w:rsid w:val="004352C0"/>
    <w:rsid w:val="004368E4"/>
    <w:rsid w:val="0043705C"/>
    <w:rsid w:val="00437286"/>
    <w:rsid w:val="004374F4"/>
    <w:rsid w:val="004375CE"/>
    <w:rsid w:val="00437CA9"/>
    <w:rsid w:val="00437E7D"/>
    <w:rsid w:val="00440259"/>
    <w:rsid w:val="004404E2"/>
    <w:rsid w:val="004408AB"/>
    <w:rsid w:val="00440E4B"/>
    <w:rsid w:val="0044101F"/>
    <w:rsid w:val="004418BA"/>
    <w:rsid w:val="0044205A"/>
    <w:rsid w:val="00442411"/>
    <w:rsid w:val="0044266B"/>
    <w:rsid w:val="004431CD"/>
    <w:rsid w:val="00443B6E"/>
    <w:rsid w:val="00443CD6"/>
    <w:rsid w:val="0044420B"/>
    <w:rsid w:val="00444355"/>
    <w:rsid w:val="0044440E"/>
    <w:rsid w:val="00444534"/>
    <w:rsid w:val="00444709"/>
    <w:rsid w:val="004447AA"/>
    <w:rsid w:val="00444AC6"/>
    <w:rsid w:val="00444F98"/>
    <w:rsid w:val="00445820"/>
    <w:rsid w:val="00445859"/>
    <w:rsid w:val="00446053"/>
    <w:rsid w:val="00446280"/>
    <w:rsid w:val="004462EA"/>
    <w:rsid w:val="0044672A"/>
    <w:rsid w:val="00446762"/>
    <w:rsid w:val="00446D5F"/>
    <w:rsid w:val="00446DC9"/>
    <w:rsid w:val="0044738E"/>
    <w:rsid w:val="0044776E"/>
    <w:rsid w:val="00447E66"/>
    <w:rsid w:val="0045019B"/>
    <w:rsid w:val="00451541"/>
    <w:rsid w:val="00451B31"/>
    <w:rsid w:val="004526E5"/>
    <w:rsid w:val="0045293E"/>
    <w:rsid w:val="00452A1D"/>
    <w:rsid w:val="00453092"/>
    <w:rsid w:val="00453184"/>
    <w:rsid w:val="00453256"/>
    <w:rsid w:val="00453A4A"/>
    <w:rsid w:val="00453E4D"/>
    <w:rsid w:val="00454392"/>
    <w:rsid w:val="00455846"/>
    <w:rsid w:val="00455CF8"/>
    <w:rsid w:val="00455D79"/>
    <w:rsid w:val="00455E4F"/>
    <w:rsid w:val="00456583"/>
    <w:rsid w:val="00456645"/>
    <w:rsid w:val="00456987"/>
    <w:rsid w:val="0045714A"/>
    <w:rsid w:val="0045730B"/>
    <w:rsid w:val="00457377"/>
    <w:rsid w:val="00457875"/>
    <w:rsid w:val="00457AF6"/>
    <w:rsid w:val="00457B77"/>
    <w:rsid w:val="00457D2E"/>
    <w:rsid w:val="00457E39"/>
    <w:rsid w:val="0046021D"/>
    <w:rsid w:val="004607BF"/>
    <w:rsid w:val="004607DF"/>
    <w:rsid w:val="004615DC"/>
    <w:rsid w:val="004616AB"/>
    <w:rsid w:val="0046197C"/>
    <w:rsid w:val="00461ADC"/>
    <w:rsid w:val="00461DF0"/>
    <w:rsid w:val="0046212D"/>
    <w:rsid w:val="00462C2F"/>
    <w:rsid w:val="00462F33"/>
    <w:rsid w:val="00462F61"/>
    <w:rsid w:val="00463057"/>
    <w:rsid w:val="004632E6"/>
    <w:rsid w:val="00463600"/>
    <w:rsid w:val="00463854"/>
    <w:rsid w:val="00463B38"/>
    <w:rsid w:val="00463B48"/>
    <w:rsid w:val="00463B4A"/>
    <w:rsid w:val="00463C8E"/>
    <w:rsid w:val="00463E92"/>
    <w:rsid w:val="004647C9"/>
    <w:rsid w:val="00464EA0"/>
    <w:rsid w:val="00465E24"/>
    <w:rsid w:val="00466E5A"/>
    <w:rsid w:val="00467118"/>
    <w:rsid w:val="00467B40"/>
    <w:rsid w:val="0047015F"/>
    <w:rsid w:val="004704D6"/>
    <w:rsid w:val="00470B91"/>
    <w:rsid w:val="00470BA6"/>
    <w:rsid w:val="004714F9"/>
    <w:rsid w:val="00471719"/>
    <w:rsid w:val="004718B0"/>
    <w:rsid w:val="00471DFC"/>
    <w:rsid w:val="0047212A"/>
    <w:rsid w:val="00472348"/>
    <w:rsid w:val="00472391"/>
    <w:rsid w:val="00472428"/>
    <w:rsid w:val="00472A2E"/>
    <w:rsid w:val="00472C7F"/>
    <w:rsid w:val="00472EDD"/>
    <w:rsid w:val="00473082"/>
    <w:rsid w:val="004730F0"/>
    <w:rsid w:val="00473BF9"/>
    <w:rsid w:val="00473D10"/>
    <w:rsid w:val="00473F9F"/>
    <w:rsid w:val="00474105"/>
    <w:rsid w:val="00474594"/>
    <w:rsid w:val="00474ADE"/>
    <w:rsid w:val="00474E5F"/>
    <w:rsid w:val="00475237"/>
    <w:rsid w:val="004752D6"/>
    <w:rsid w:val="00475E53"/>
    <w:rsid w:val="004763ED"/>
    <w:rsid w:val="00476422"/>
    <w:rsid w:val="004767DA"/>
    <w:rsid w:val="00476B11"/>
    <w:rsid w:val="00476C47"/>
    <w:rsid w:val="00476D46"/>
    <w:rsid w:val="00477074"/>
    <w:rsid w:val="004800FA"/>
    <w:rsid w:val="0048067A"/>
    <w:rsid w:val="004806B5"/>
    <w:rsid w:val="0048083F"/>
    <w:rsid w:val="00480958"/>
    <w:rsid w:val="00480F76"/>
    <w:rsid w:val="00481069"/>
    <w:rsid w:val="004810EC"/>
    <w:rsid w:val="0048142C"/>
    <w:rsid w:val="004816E4"/>
    <w:rsid w:val="00481F53"/>
    <w:rsid w:val="004822F9"/>
    <w:rsid w:val="004825D3"/>
    <w:rsid w:val="00482A1E"/>
    <w:rsid w:val="00482B0A"/>
    <w:rsid w:val="00482CAA"/>
    <w:rsid w:val="00483B33"/>
    <w:rsid w:val="00483C39"/>
    <w:rsid w:val="00483FAC"/>
    <w:rsid w:val="00484C86"/>
    <w:rsid w:val="00484CF8"/>
    <w:rsid w:val="0048538A"/>
    <w:rsid w:val="004854CA"/>
    <w:rsid w:val="0048556A"/>
    <w:rsid w:val="00485DA3"/>
    <w:rsid w:val="0048633D"/>
    <w:rsid w:val="00486708"/>
    <w:rsid w:val="00487F60"/>
    <w:rsid w:val="004907D3"/>
    <w:rsid w:val="00490DD4"/>
    <w:rsid w:val="00491113"/>
    <w:rsid w:val="00491603"/>
    <w:rsid w:val="004916BB"/>
    <w:rsid w:val="00492230"/>
    <w:rsid w:val="00492695"/>
    <w:rsid w:val="00492F02"/>
    <w:rsid w:val="0049312D"/>
    <w:rsid w:val="00493192"/>
    <w:rsid w:val="004942D2"/>
    <w:rsid w:val="00494320"/>
    <w:rsid w:val="0049441C"/>
    <w:rsid w:val="00494841"/>
    <w:rsid w:val="004950B7"/>
    <w:rsid w:val="0049565E"/>
    <w:rsid w:val="0049565F"/>
    <w:rsid w:val="00495816"/>
    <w:rsid w:val="00495909"/>
    <w:rsid w:val="00495989"/>
    <w:rsid w:val="0049613A"/>
    <w:rsid w:val="004967FF"/>
    <w:rsid w:val="00496804"/>
    <w:rsid w:val="00496BC0"/>
    <w:rsid w:val="004972FF"/>
    <w:rsid w:val="00497CAE"/>
    <w:rsid w:val="00497E45"/>
    <w:rsid w:val="004A01B3"/>
    <w:rsid w:val="004A0330"/>
    <w:rsid w:val="004A0D5B"/>
    <w:rsid w:val="004A0F3F"/>
    <w:rsid w:val="004A1086"/>
    <w:rsid w:val="004A14F6"/>
    <w:rsid w:val="004A2482"/>
    <w:rsid w:val="004A24C3"/>
    <w:rsid w:val="004A24CF"/>
    <w:rsid w:val="004A2AE6"/>
    <w:rsid w:val="004A39D9"/>
    <w:rsid w:val="004A42A8"/>
    <w:rsid w:val="004A4397"/>
    <w:rsid w:val="004A44A8"/>
    <w:rsid w:val="004A46F9"/>
    <w:rsid w:val="004A4F8E"/>
    <w:rsid w:val="004A5041"/>
    <w:rsid w:val="004A5118"/>
    <w:rsid w:val="004A5128"/>
    <w:rsid w:val="004A5303"/>
    <w:rsid w:val="004A58CC"/>
    <w:rsid w:val="004A6877"/>
    <w:rsid w:val="004A6CAC"/>
    <w:rsid w:val="004A6F3C"/>
    <w:rsid w:val="004A6FA2"/>
    <w:rsid w:val="004A7654"/>
    <w:rsid w:val="004A79C6"/>
    <w:rsid w:val="004A7BCE"/>
    <w:rsid w:val="004A7BDB"/>
    <w:rsid w:val="004B0966"/>
    <w:rsid w:val="004B0C39"/>
    <w:rsid w:val="004B0E45"/>
    <w:rsid w:val="004B148F"/>
    <w:rsid w:val="004B1ABF"/>
    <w:rsid w:val="004B1F44"/>
    <w:rsid w:val="004B21B0"/>
    <w:rsid w:val="004B291D"/>
    <w:rsid w:val="004B397A"/>
    <w:rsid w:val="004B3AC5"/>
    <w:rsid w:val="004B3AF4"/>
    <w:rsid w:val="004B3CEB"/>
    <w:rsid w:val="004B3EE3"/>
    <w:rsid w:val="004B4225"/>
    <w:rsid w:val="004B4B83"/>
    <w:rsid w:val="004B55EE"/>
    <w:rsid w:val="004B5659"/>
    <w:rsid w:val="004B581D"/>
    <w:rsid w:val="004B71CE"/>
    <w:rsid w:val="004B745E"/>
    <w:rsid w:val="004C00FB"/>
    <w:rsid w:val="004C019B"/>
    <w:rsid w:val="004C06CC"/>
    <w:rsid w:val="004C13C1"/>
    <w:rsid w:val="004C195E"/>
    <w:rsid w:val="004C252E"/>
    <w:rsid w:val="004C2BF5"/>
    <w:rsid w:val="004C3DD8"/>
    <w:rsid w:val="004C4542"/>
    <w:rsid w:val="004C4662"/>
    <w:rsid w:val="004C4983"/>
    <w:rsid w:val="004C4E66"/>
    <w:rsid w:val="004C5C70"/>
    <w:rsid w:val="004C6A54"/>
    <w:rsid w:val="004C7A83"/>
    <w:rsid w:val="004D0536"/>
    <w:rsid w:val="004D0A0E"/>
    <w:rsid w:val="004D0E83"/>
    <w:rsid w:val="004D0F5E"/>
    <w:rsid w:val="004D1156"/>
    <w:rsid w:val="004D1263"/>
    <w:rsid w:val="004D1833"/>
    <w:rsid w:val="004D1C20"/>
    <w:rsid w:val="004D1D75"/>
    <w:rsid w:val="004D2912"/>
    <w:rsid w:val="004D3185"/>
    <w:rsid w:val="004D5873"/>
    <w:rsid w:val="004D5A96"/>
    <w:rsid w:val="004D5D8C"/>
    <w:rsid w:val="004D5DDA"/>
    <w:rsid w:val="004D6066"/>
    <w:rsid w:val="004D65F0"/>
    <w:rsid w:val="004D6E08"/>
    <w:rsid w:val="004D7962"/>
    <w:rsid w:val="004E0599"/>
    <w:rsid w:val="004E1DB7"/>
    <w:rsid w:val="004E21A8"/>
    <w:rsid w:val="004E2808"/>
    <w:rsid w:val="004E3392"/>
    <w:rsid w:val="004E38E1"/>
    <w:rsid w:val="004E3A9D"/>
    <w:rsid w:val="004E3D45"/>
    <w:rsid w:val="004E3D65"/>
    <w:rsid w:val="004E41FE"/>
    <w:rsid w:val="004E4528"/>
    <w:rsid w:val="004E4CD4"/>
    <w:rsid w:val="004E53A6"/>
    <w:rsid w:val="004E56B0"/>
    <w:rsid w:val="004E767C"/>
    <w:rsid w:val="004E76AC"/>
    <w:rsid w:val="004E78BC"/>
    <w:rsid w:val="004E7D3F"/>
    <w:rsid w:val="004E7E21"/>
    <w:rsid w:val="004F016B"/>
    <w:rsid w:val="004F113B"/>
    <w:rsid w:val="004F12D7"/>
    <w:rsid w:val="004F1586"/>
    <w:rsid w:val="004F16BC"/>
    <w:rsid w:val="004F2B46"/>
    <w:rsid w:val="004F3019"/>
    <w:rsid w:val="004F3064"/>
    <w:rsid w:val="004F3BE3"/>
    <w:rsid w:val="004F419B"/>
    <w:rsid w:val="004F49B6"/>
    <w:rsid w:val="004F49BE"/>
    <w:rsid w:val="004F4E0A"/>
    <w:rsid w:val="004F5442"/>
    <w:rsid w:val="004F5643"/>
    <w:rsid w:val="004F589A"/>
    <w:rsid w:val="004F596D"/>
    <w:rsid w:val="004F5C72"/>
    <w:rsid w:val="004F5CB3"/>
    <w:rsid w:val="004F5DC7"/>
    <w:rsid w:val="004F6437"/>
    <w:rsid w:val="004F7687"/>
    <w:rsid w:val="004F7691"/>
    <w:rsid w:val="004F77F1"/>
    <w:rsid w:val="004F7BEC"/>
    <w:rsid w:val="004F7BFF"/>
    <w:rsid w:val="004F7F3D"/>
    <w:rsid w:val="00500165"/>
    <w:rsid w:val="00501095"/>
    <w:rsid w:val="00501FE6"/>
    <w:rsid w:val="00502030"/>
    <w:rsid w:val="00502132"/>
    <w:rsid w:val="00502173"/>
    <w:rsid w:val="0050233E"/>
    <w:rsid w:val="00502427"/>
    <w:rsid w:val="0050253D"/>
    <w:rsid w:val="00502722"/>
    <w:rsid w:val="00502B55"/>
    <w:rsid w:val="005034EC"/>
    <w:rsid w:val="00503DC4"/>
    <w:rsid w:val="00504731"/>
    <w:rsid w:val="005052AE"/>
    <w:rsid w:val="00505B48"/>
    <w:rsid w:val="00505C22"/>
    <w:rsid w:val="00505CAE"/>
    <w:rsid w:val="00505D90"/>
    <w:rsid w:val="00506083"/>
    <w:rsid w:val="00506174"/>
    <w:rsid w:val="005062A3"/>
    <w:rsid w:val="005065C0"/>
    <w:rsid w:val="00506635"/>
    <w:rsid w:val="00506847"/>
    <w:rsid w:val="00506DFA"/>
    <w:rsid w:val="00507720"/>
    <w:rsid w:val="00507E84"/>
    <w:rsid w:val="0051109D"/>
    <w:rsid w:val="0051126D"/>
    <w:rsid w:val="0051155B"/>
    <w:rsid w:val="00511CA4"/>
    <w:rsid w:val="0051209E"/>
    <w:rsid w:val="0051214E"/>
    <w:rsid w:val="0051319C"/>
    <w:rsid w:val="0051358A"/>
    <w:rsid w:val="00513867"/>
    <w:rsid w:val="00514E21"/>
    <w:rsid w:val="00514EDE"/>
    <w:rsid w:val="00514F40"/>
    <w:rsid w:val="00515749"/>
    <w:rsid w:val="005157DB"/>
    <w:rsid w:val="0051587A"/>
    <w:rsid w:val="00516935"/>
    <w:rsid w:val="0051716B"/>
    <w:rsid w:val="0051729C"/>
    <w:rsid w:val="00517815"/>
    <w:rsid w:val="005202F7"/>
    <w:rsid w:val="00520A47"/>
    <w:rsid w:val="00520B38"/>
    <w:rsid w:val="00521467"/>
    <w:rsid w:val="005219B8"/>
    <w:rsid w:val="00521C79"/>
    <w:rsid w:val="00521EA1"/>
    <w:rsid w:val="0052245C"/>
    <w:rsid w:val="00522AF1"/>
    <w:rsid w:val="00523732"/>
    <w:rsid w:val="00524182"/>
    <w:rsid w:val="00524216"/>
    <w:rsid w:val="005248B4"/>
    <w:rsid w:val="00524C5F"/>
    <w:rsid w:val="00524DC0"/>
    <w:rsid w:val="00524F38"/>
    <w:rsid w:val="00524FA6"/>
    <w:rsid w:val="00525B02"/>
    <w:rsid w:val="00525C02"/>
    <w:rsid w:val="00525F8D"/>
    <w:rsid w:val="0052648A"/>
    <w:rsid w:val="00526496"/>
    <w:rsid w:val="00526D25"/>
    <w:rsid w:val="00526FA2"/>
    <w:rsid w:val="005271FC"/>
    <w:rsid w:val="00527979"/>
    <w:rsid w:val="005309C0"/>
    <w:rsid w:val="00530E43"/>
    <w:rsid w:val="00530F8D"/>
    <w:rsid w:val="005316E1"/>
    <w:rsid w:val="00531BEF"/>
    <w:rsid w:val="0053259A"/>
    <w:rsid w:val="00533438"/>
    <w:rsid w:val="00533543"/>
    <w:rsid w:val="0053379A"/>
    <w:rsid w:val="00533913"/>
    <w:rsid w:val="00533A99"/>
    <w:rsid w:val="0053433E"/>
    <w:rsid w:val="00534A3A"/>
    <w:rsid w:val="00534A8D"/>
    <w:rsid w:val="00535502"/>
    <w:rsid w:val="005355EB"/>
    <w:rsid w:val="00535BD7"/>
    <w:rsid w:val="00535C2C"/>
    <w:rsid w:val="00535FC7"/>
    <w:rsid w:val="00536205"/>
    <w:rsid w:val="0053626F"/>
    <w:rsid w:val="005364B7"/>
    <w:rsid w:val="00537DB3"/>
    <w:rsid w:val="00540731"/>
    <w:rsid w:val="00540C12"/>
    <w:rsid w:val="005410DA"/>
    <w:rsid w:val="005412CE"/>
    <w:rsid w:val="00541699"/>
    <w:rsid w:val="00541BE8"/>
    <w:rsid w:val="00541CA9"/>
    <w:rsid w:val="00541DB7"/>
    <w:rsid w:val="00542C4B"/>
    <w:rsid w:val="005434EB"/>
    <w:rsid w:val="00543684"/>
    <w:rsid w:val="00543B6C"/>
    <w:rsid w:val="0054418B"/>
    <w:rsid w:val="005453DE"/>
    <w:rsid w:val="00545DCC"/>
    <w:rsid w:val="00546B39"/>
    <w:rsid w:val="00547177"/>
    <w:rsid w:val="00547435"/>
    <w:rsid w:val="00547CCF"/>
    <w:rsid w:val="00550ABA"/>
    <w:rsid w:val="00551898"/>
    <w:rsid w:val="00552886"/>
    <w:rsid w:val="00552C86"/>
    <w:rsid w:val="00552E19"/>
    <w:rsid w:val="00552FDD"/>
    <w:rsid w:val="00553CA8"/>
    <w:rsid w:val="00553F20"/>
    <w:rsid w:val="00553F28"/>
    <w:rsid w:val="00553FCA"/>
    <w:rsid w:val="0055485C"/>
    <w:rsid w:val="005548D6"/>
    <w:rsid w:val="00554CD2"/>
    <w:rsid w:val="00554D5E"/>
    <w:rsid w:val="00554DBF"/>
    <w:rsid w:val="00554F15"/>
    <w:rsid w:val="00555028"/>
    <w:rsid w:val="0055580D"/>
    <w:rsid w:val="00555A57"/>
    <w:rsid w:val="00556EDA"/>
    <w:rsid w:val="0055735C"/>
    <w:rsid w:val="0055772D"/>
    <w:rsid w:val="00557791"/>
    <w:rsid w:val="005577B3"/>
    <w:rsid w:val="0055796C"/>
    <w:rsid w:val="00560589"/>
    <w:rsid w:val="005606BE"/>
    <w:rsid w:val="00561F11"/>
    <w:rsid w:val="00562612"/>
    <w:rsid w:val="0056290C"/>
    <w:rsid w:val="00562AAD"/>
    <w:rsid w:val="005632E0"/>
    <w:rsid w:val="00563B3D"/>
    <w:rsid w:val="00563EAF"/>
    <w:rsid w:val="005645AB"/>
    <w:rsid w:val="005645D7"/>
    <w:rsid w:val="00564AA7"/>
    <w:rsid w:val="00564C3A"/>
    <w:rsid w:val="00564F9A"/>
    <w:rsid w:val="00564FB6"/>
    <w:rsid w:val="0056513C"/>
    <w:rsid w:val="00565561"/>
    <w:rsid w:val="00566063"/>
    <w:rsid w:val="005667ED"/>
    <w:rsid w:val="00566E0D"/>
    <w:rsid w:val="00566EC8"/>
    <w:rsid w:val="00567284"/>
    <w:rsid w:val="005673DE"/>
    <w:rsid w:val="005678BD"/>
    <w:rsid w:val="00567A0A"/>
    <w:rsid w:val="00567BAE"/>
    <w:rsid w:val="005703D7"/>
    <w:rsid w:val="0057072B"/>
    <w:rsid w:val="00570A5D"/>
    <w:rsid w:val="00570E3D"/>
    <w:rsid w:val="00571244"/>
    <w:rsid w:val="0057137F"/>
    <w:rsid w:val="005713D9"/>
    <w:rsid w:val="0057144B"/>
    <w:rsid w:val="00571C2B"/>
    <w:rsid w:val="0057267B"/>
    <w:rsid w:val="00572951"/>
    <w:rsid w:val="00572AE1"/>
    <w:rsid w:val="00573FE0"/>
    <w:rsid w:val="0057432B"/>
    <w:rsid w:val="00574596"/>
    <w:rsid w:val="00574EB9"/>
    <w:rsid w:val="005752BE"/>
    <w:rsid w:val="0057544C"/>
    <w:rsid w:val="00575A83"/>
    <w:rsid w:val="00575CB5"/>
    <w:rsid w:val="00576175"/>
    <w:rsid w:val="005763BE"/>
    <w:rsid w:val="005769FD"/>
    <w:rsid w:val="00577915"/>
    <w:rsid w:val="00580197"/>
    <w:rsid w:val="0058021B"/>
    <w:rsid w:val="0058158D"/>
    <w:rsid w:val="005815B9"/>
    <w:rsid w:val="00581B16"/>
    <w:rsid w:val="005823D1"/>
    <w:rsid w:val="00582C3A"/>
    <w:rsid w:val="00582F55"/>
    <w:rsid w:val="00582FC3"/>
    <w:rsid w:val="0058310A"/>
    <w:rsid w:val="005833FA"/>
    <w:rsid w:val="00583DA9"/>
    <w:rsid w:val="00583F41"/>
    <w:rsid w:val="005841C4"/>
    <w:rsid w:val="005843BD"/>
    <w:rsid w:val="005843DB"/>
    <w:rsid w:val="00584BE9"/>
    <w:rsid w:val="00585F53"/>
    <w:rsid w:val="00586A3F"/>
    <w:rsid w:val="00587014"/>
    <w:rsid w:val="0058743B"/>
    <w:rsid w:val="00587ECA"/>
    <w:rsid w:val="00591195"/>
    <w:rsid w:val="005912E0"/>
    <w:rsid w:val="005917B1"/>
    <w:rsid w:val="005919DB"/>
    <w:rsid w:val="00592957"/>
    <w:rsid w:val="00592CC9"/>
    <w:rsid w:val="005932A4"/>
    <w:rsid w:val="00593DFC"/>
    <w:rsid w:val="00594D79"/>
    <w:rsid w:val="00594E32"/>
    <w:rsid w:val="005954B5"/>
    <w:rsid w:val="00595BE0"/>
    <w:rsid w:val="00595E9F"/>
    <w:rsid w:val="00596320"/>
    <w:rsid w:val="005965A2"/>
    <w:rsid w:val="0059750A"/>
    <w:rsid w:val="005979B7"/>
    <w:rsid w:val="00597AE6"/>
    <w:rsid w:val="005A0276"/>
    <w:rsid w:val="005A031F"/>
    <w:rsid w:val="005A0A10"/>
    <w:rsid w:val="005A14B4"/>
    <w:rsid w:val="005A1506"/>
    <w:rsid w:val="005A2865"/>
    <w:rsid w:val="005A2A34"/>
    <w:rsid w:val="005A3471"/>
    <w:rsid w:val="005A3C10"/>
    <w:rsid w:val="005A3E5F"/>
    <w:rsid w:val="005A4768"/>
    <w:rsid w:val="005A4DDB"/>
    <w:rsid w:val="005A515E"/>
    <w:rsid w:val="005A5942"/>
    <w:rsid w:val="005A5C3B"/>
    <w:rsid w:val="005A5D1D"/>
    <w:rsid w:val="005A5FF8"/>
    <w:rsid w:val="005A6747"/>
    <w:rsid w:val="005A7362"/>
    <w:rsid w:val="005A7379"/>
    <w:rsid w:val="005A750A"/>
    <w:rsid w:val="005B0980"/>
    <w:rsid w:val="005B1AFC"/>
    <w:rsid w:val="005B1F6D"/>
    <w:rsid w:val="005B285B"/>
    <w:rsid w:val="005B29DB"/>
    <w:rsid w:val="005B30BF"/>
    <w:rsid w:val="005B31A1"/>
    <w:rsid w:val="005B31D4"/>
    <w:rsid w:val="005B36D7"/>
    <w:rsid w:val="005B3925"/>
    <w:rsid w:val="005B42BE"/>
    <w:rsid w:val="005B4452"/>
    <w:rsid w:val="005B4722"/>
    <w:rsid w:val="005B588A"/>
    <w:rsid w:val="005B6148"/>
    <w:rsid w:val="005B6A40"/>
    <w:rsid w:val="005B6A51"/>
    <w:rsid w:val="005B734B"/>
    <w:rsid w:val="005B7B71"/>
    <w:rsid w:val="005C04CE"/>
    <w:rsid w:val="005C054E"/>
    <w:rsid w:val="005C111A"/>
    <w:rsid w:val="005C211C"/>
    <w:rsid w:val="005C21B4"/>
    <w:rsid w:val="005C21DC"/>
    <w:rsid w:val="005C24FE"/>
    <w:rsid w:val="005C25D4"/>
    <w:rsid w:val="005C2870"/>
    <w:rsid w:val="005C2A34"/>
    <w:rsid w:val="005C2A52"/>
    <w:rsid w:val="005C2B7A"/>
    <w:rsid w:val="005C2CC5"/>
    <w:rsid w:val="005C2DD5"/>
    <w:rsid w:val="005C32BB"/>
    <w:rsid w:val="005C35C4"/>
    <w:rsid w:val="005C378B"/>
    <w:rsid w:val="005C3CAB"/>
    <w:rsid w:val="005C3FDD"/>
    <w:rsid w:val="005C42B2"/>
    <w:rsid w:val="005C49DA"/>
    <w:rsid w:val="005C5041"/>
    <w:rsid w:val="005C5255"/>
    <w:rsid w:val="005C530F"/>
    <w:rsid w:val="005C57B3"/>
    <w:rsid w:val="005C5936"/>
    <w:rsid w:val="005C63EA"/>
    <w:rsid w:val="005C699C"/>
    <w:rsid w:val="005C6AD2"/>
    <w:rsid w:val="005C73C8"/>
    <w:rsid w:val="005C7CBC"/>
    <w:rsid w:val="005C7CD7"/>
    <w:rsid w:val="005C7F84"/>
    <w:rsid w:val="005D055A"/>
    <w:rsid w:val="005D1AC7"/>
    <w:rsid w:val="005D36A0"/>
    <w:rsid w:val="005D389F"/>
    <w:rsid w:val="005D470C"/>
    <w:rsid w:val="005D47F9"/>
    <w:rsid w:val="005D4A29"/>
    <w:rsid w:val="005D4BD3"/>
    <w:rsid w:val="005D4D55"/>
    <w:rsid w:val="005D4E69"/>
    <w:rsid w:val="005D512A"/>
    <w:rsid w:val="005D52DB"/>
    <w:rsid w:val="005D5DF8"/>
    <w:rsid w:val="005D5F67"/>
    <w:rsid w:val="005D64C7"/>
    <w:rsid w:val="005D6FB2"/>
    <w:rsid w:val="005D71DD"/>
    <w:rsid w:val="005D75AD"/>
    <w:rsid w:val="005D764C"/>
    <w:rsid w:val="005D7B16"/>
    <w:rsid w:val="005E017F"/>
    <w:rsid w:val="005E042D"/>
    <w:rsid w:val="005E0972"/>
    <w:rsid w:val="005E0AE9"/>
    <w:rsid w:val="005E0DAC"/>
    <w:rsid w:val="005E0DC4"/>
    <w:rsid w:val="005E14BA"/>
    <w:rsid w:val="005E1597"/>
    <w:rsid w:val="005E19C2"/>
    <w:rsid w:val="005E22DF"/>
    <w:rsid w:val="005E29CD"/>
    <w:rsid w:val="005E3335"/>
    <w:rsid w:val="005E35C2"/>
    <w:rsid w:val="005E3C6E"/>
    <w:rsid w:val="005E410C"/>
    <w:rsid w:val="005E453B"/>
    <w:rsid w:val="005E4EAE"/>
    <w:rsid w:val="005E5748"/>
    <w:rsid w:val="005E6535"/>
    <w:rsid w:val="005E7BFC"/>
    <w:rsid w:val="005F0865"/>
    <w:rsid w:val="005F0D06"/>
    <w:rsid w:val="005F0EAF"/>
    <w:rsid w:val="005F11A9"/>
    <w:rsid w:val="005F1FC7"/>
    <w:rsid w:val="005F2020"/>
    <w:rsid w:val="005F24C9"/>
    <w:rsid w:val="005F2560"/>
    <w:rsid w:val="005F25DE"/>
    <w:rsid w:val="005F29B0"/>
    <w:rsid w:val="005F2A34"/>
    <w:rsid w:val="005F341E"/>
    <w:rsid w:val="005F3D2D"/>
    <w:rsid w:val="005F49FD"/>
    <w:rsid w:val="005F4C21"/>
    <w:rsid w:val="005F4C46"/>
    <w:rsid w:val="005F4C5B"/>
    <w:rsid w:val="005F58C9"/>
    <w:rsid w:val="005F61D7"/>
    <w:rsid w:val="005F66AC"/>
    <w:rsid w:val="005F6CA2"/>
    <w:rsid w:val="005F703C"/>
    <w:rsid w:val="005F71B3"/>
    <w:rsid w:val="005F7232"/>
    <w:rsid w:val="005F7311"/>
    <w:rsid w:val="005F74E7"/>
    <w:rsid w:val="005F762C"/>
    <w:rsid w:val="005F79B6"/>
    <w:rsid w:val="005F7EBD"/>
    <w:rsid w:val="00600106"/>
    <w:rsid w:val="0060046E"/>
    <w:rsid w:val="006007A4"/>
    <w:rsid w:val="00600835"/>
    <w:rsid w:val="00601399"/>
    <w:rsid w:val="00601C78"/>
    <w:rsid w:val="00602848"/>
    <w:rsid w:val="006028BF"/>
    <w:rsid w:val="00602AB0"/>
    <w:rsid w:val="0060335E"/>
    <w:rsid w:val="00603520"/>
    <w:rsid w:val="00603BF7"/>
    <w:rsid w:val="00603C7E"/>
    <w:rsid w:val="00604101"/>
    <w:rsid w:val="006042A4"/>
    <w:rsid w:val="00604755"/>
    <w:rsid w:val="00604D38"/>
    <w:rsid w:val="00604E9F"/>
    <w:rsid w:val="00604FCA"/>
    <w:rsid w:val="00605602"/>
    <w:rsid w:val="00606024"/>
    <w:rsid w:val="00606129"/>
    <w:rsid w:val="006062BA"/>
    <w:rsid w:val="00606754"/>
    <w:rsid w:val="006074B6"/>
    <w:rsid w:val="00607739"/>
    <w:rsid w:val="00607843"/>
    <w:rsid w:val="00610137"/>
    <w:rsid w:val="006114FA"/>
    <w:rsid w:val="0061165F"/>
    <w:rsid w:val="0061248F"/>
    <w:rsid w:val="00612497"/>
    <w:rsid w:val="00612B75"/>
    <w:rsid w:val="006133FB"/>
    <w:rsid w:val="00613BFA"/>
    <w:rsid w:val="00613E23"/>
    <w:rsid w:val="00614373"/>
    <w:rsid w:val="00615907"/>
    <w:rsid w:val="00615CD4"/>
    <w:rsid w:val="00615DC1"/>
    <w:rsid w:val="006163FA"/>
    <w:rsid w:val="00616EA9"/>
    <w:rsid w:val="0062031D"/>
    <w:rsid w:val="00620338"/>
    <w:rsid w:val="006207E1"/>
    <w:rsid w:val="00620F39"/>
    <w:rsid w:val="00621EBA"/>
    <w:rsid w:val="00621F19"/>
    <w:rsid w:val="0062296B"/>
    <w:rsid w:val="00622CCB"/>
    <w:rsid w:val="00622ECF"/>
    <w:rsid w:val="00623D4C"/>
    <w:rsid w:val="00623E04"/>
    <w:rsid w:val="006243C0"/>
    <w:rsid w:val="0062440E"/>
    <w:rsid w:val="006246A8"/>
    <w:rsid w:val="006248EF"/>
    <w:rsid w:val="0062518E"/>
    <w:rsid w:val="0062664B"/>
    <w:rsid w:val="00626BCE"/>
    <w:rsid w:val="00627FDF"/>
    <w:rsid w:val="006304C0"/>
    <w:rsid w:val="00630627"/>
    <w:rsid w:val="00630EB9"/>
    <w:rsid w:val="006310D5"/>
    <w:rsid w:val="00631616"/>
    <w:rsid w:val="00631A64"/>
    <w:rsid w:val="0063202C"/>
    <w:rsid w:val="006322DB"/>
    <w:rsid w:val="006323EE"/>
    <w:rsid w:val="00632D94"/>
    <w:rsid w:val="00632F7A"/>
    <w:rsid w:val="00634068"/>
    <w:rsid w:val="006340F0"/>
    <w:rsid w:val="006344FC"/>
    <w:rsid w:val="0063484C"/>
    <w:rsid w:val="00635E34"/>
    <w:rsid w:val="00635E83"/>
    <w:rsid w:val="006362CE"/>
    <w:rsid w:val="006368DE"/>
    <w:rsid w:val="006368F7"/>
    <w:rsid w:val="00636D73"/>
    <w:rsid w:val="00636FBC"/>
    <w:rsid w:val="0063718A"/>
    <w:rsid w:val="00637C23"/>
    <w:rsid w:val="00637E92"/>
    <w:rsid w:val="00640168"/>
    <w:rsid w:val="006412F5"/>
    <w:rsid w:val="006414A6"/>
    <w:rsid w:val="006416F3"/>
    <w:rsid w:val="00642B5D"/>
    <w:rsid w:val="00644470"/>
    <w:rsid w:val="00644690"/>
    <w:rsid w:val="00644D84"/>
    <w:rsid w:val="00645997"/>
    <w:rsid w:val="006459D4"/>
    <w:rsid w:val="00645B20"/>
    <w:rsid w:val="00645FFD"/>
    <w:rsid w:val="00647614"/>
    <w:rsid w:val="006502AE"/>
    <w:rsid w:val="00650726"/>
    <w:rsid w:val="00650B20"/>
    <w:rsid w:val="00650B3D"/>
    <w:rsid w:val="0065125A"/>
    <w:rsid w:val="006517AA"/>
    <w:rsid w:val="0065187D"/>
    <w:rsid w:val="00651D11"/>
    <w:rsid w:val="0065205F"/>
    <w:rsid w:val="00652225"/>
    <w:rsid w:val="006522F9"/>
    <w:rsid w:val="00652320"/>
    <w:rsid w:val="00652CA5"/>
    <w:rsid w:val="0065346D"/>
    <w:rsid w:val="006543D6"/>
    <w:rsid w:val="006545C5"/>
    <w:rsid w:val="00654AD3"/>
    <w:rsid w:val="0065550D"/>
    <w:rsid w:val="00656244"/>
    <w:rsid w:val="0065632E"/>
    <w:rsid w:val="00656AC8"/>
    <w:rsid w:val="006606FE"/>
    <w:rsid w:val="006610B2"/>
    <w:rsid w:val="006613FE"/>
    <w:rsid w:val="00661AD2"/>
    <w:rsid w:val="00661DB3"/>
    <w:rsid w:val="0066243C"/>
    <w:rsid w:val="00662988"/>
    <w:rsid w:val="00663229"/>
    <w:rsid w:val="00663599"/>
    <w:rsid w:val="00663E35"/>
    <w:rsid w:val="00664A8F"/>
    <w:rsid w:val="00665134"/>
    <w:rsid w:val="00665400"/>
    <w:rsid w:val="006654DF"/>
    <w:rsid w:val="00665FB3"/>
    <w:rsid w:val="00666C3E"/>
    <w:rsid w:val="00666EB0"/>
    <w:rsid w:val="00667822"/>
    <w:rsid w:val="00667B3A"/>
    <w:rsid w:val="00667EA3"/>
    <w:rsid w:val="006703AC"/>
    <w:rsid w:val="0067053A"/>
    <w:rsid w:val="006705CA"/>
    <w:rsid w:val="00670B67"/>
    <w:rsid w:val="00670EAF"/>
    <w:rsid w:val="00671275"/>
    <w:rsid w:val="00671484"/>
    <w:rsid w:val="00671615"/>
    <w:rsid w:val="00672467"/>
    <w:rsid w:val="006727B6"/>
    <w:rsid w:val="00672AE0"/>
    <w:rsid w:val="00673940"/>
    <w:rsid w:val="00673E0A"/>
    <w:rsid w:val="00673E58"/>
    <w:rsid w:val="00674465"/>
    <w:rsid w:val="006745D8"/>
    <w:rsid w:val="00674ACC"/>
    <w:rsid w:val="00674E13"/>
    <w:rsid w:val="00674F7B"/>
    <w:rsid w:val="00675BE7"/>
    <w:rsid w:val="00675D5E"/>
    <w:rsid w:val="00676371"/>
    <w:rsid w:val="006767DE"/>
    <w:rsid w:val="00676906"/>
    <w:rsid w:val="00676BDB"/>
    <w:rsid w:val="00676C25"/>
    <w:rsid w:val="00676CB1"/>
    <w:rsid w:val="00676CC2"/>
    <w:rsid w:val="00676EB7"/>
    <w:rsid w:val="00676F15"/>
    <w:rsid w:val="00676FF0"/>
    <w:rsid w:val="00677179"/>
    <w:rsid w:val="006773C0"/>
    <w:rsid w:val="006777FE"/>
    <w:rsid w:val="00677CBE"/>
    <w:rsid w:val="00680050"/>
    <w:rsid w:val="006800D4"/>
    <w:rsid w:val="00680211"/>
    <w:rsid w:val="00680746"/>
    <w:rsid w:val="00680757"/>
    <w:rsid w:val="006826FD"/>
    <w:rsid w:val="006829C1"/>
    <w:rsid w:val="00682B6F"/>
    <w:rsid w:val="00684477"/>
    <w:rsid w:val="00684A93"/>
    <w:rsid w:val="00684D42"/>
    <w:rsid w:val="00685004"/>
    <w:rsid w:val="00685196"/>
    <w:rsid w:val="0068520C"/>
    <w:rsid w:val="00685830"/>
    <w:rsid w:val="006870F5"/>
    <w:rsid w:val="006877C5"/>
    <w:rsid w:val="006879BA"/>
    <w:rsid w:val="00687A8D"/>
    <w:rsid w:val="00687A9B"/>
    <w:rsid w:val="00687AF5"/>
    <w:rsid w:val="006901EE"/>
    <w:rsid w:val="00690640"/>
    <w:rsid w:val="00690723"/>
    <w:rsid w:val="00690793"/>
    <w:rsid w:val="00690D84"/>
    <w:rsid w:val="00691415"/>
    <w:rsid w:val="00691584"/>
    <w:rsid w:val="0069160A"/>
    <w:rsid w:val="00691F9E"/>
    <w:rsid w:val="00692057"/>
    <w:rsid w:val="006921C7"/>
    <w:rsid w:val="006927BF"/>
    <w:rsid w:val="00693CCB"/>
    <w:rsid w:val="00693F03"/>
    <w:rsid w:val="006943D0"/>
    <w:rsid w:val="006943E5"/>
    <w:rsid w:val="00694519"/>
    <w:rsid w:val="006958DB"/>
    <w:rsid w:val="006959B4"/>
    <w:rsid w:val="006960A6"/>
    <w:rsid w:val="006972AA"/>
    <w:rsid w:val="0069744B"/>
    <w:rsid w:val="006A027A"/>
    <w:rsid w:val="006A07D8"/>
    <w:rsid w:val="006A098F"/>
    <w:rsid w:val="006A11F5"/>
    <w:rsid w:val="006A121D"/>
    <w:rsid w:val="006A1B85"/>
    <w:rsid w:val="006A1F62"/>
    <w:rsid w:val="006A2426"/>
    <w:rsid w:val="006A2740"/>
    <w:rsid w:val="006A2B16"/>
    <w:rsid w:val="006A339F"/>
    <w:rsid w:val="006A3BF9"/>
    <w:rsid w:val="006A4521"/>
    <w:rsid w:val="006A4CA0"/>
    <w:rsid w:val="006A4CCF"/>
    <w:rsid w:val="006A5469"/>
    <w:rsid w:val="006A562C"/>
    <w:rsid w:val="006A5EA2"/>
    <w:rsid w:val="006A61D3"/>
    <w:rsid w:val="006A627E"/>
    <w:rsid w:val="006A65D6"/>
    <w:rsid w:val="006A6674"/>
    <w:rsid w:val="006A693B"/>
    <w:rsid w:val="006A7652"/>
    <w:rsid w:val="006A7C4B"/>
    <w:rsid w:val="006A7D6E"/>
    <w:rsid w:val="006B02B0"/>
    <w:rsid w:val="006B0627"/>
    <w:rsid w:val="006B06A8"/>
    <w:rsid w:val="006B0D51"/>
    <w:rsid w:val="006B142C"/>
    <w:rsid w:val="006B16CD"/>
    <w:rsid w:val="006B1885"/>
    <w:rsid w:val="006B1A88"/>
    <w:rsid w:val="006B1DC6"/>
    <w:rsid w:val="006B239B"/>
    <w:rsid w:val="006B257F"/>
    <w:rsid w:val="006B29E5"/>
    <w:rsid w:val="006B29F9"/>
    <w:rsid w:val="006B33D4"/>
    <w:rsid w:val="006B3B6B"/>
    <w:rsid w:val="006B3CF3"/>
    <w:rsid w:val="006B40D2"/>
    <w:rsid w:val="006B5143"/>
    <w:rsid w:val="006B52E8"/>
    <w:rsid w:val="006B5AB1"/>
    <w:rsid w:val="006B5C34"/>
    <w:rsid w:val="006B5DDE"/>
    <w:rsid w:val="006B621D"/>
    <w:rsid w:val="006B656C"/>
    <w:rsid w:val="006B6676"/>
    <w:rsid w:val="006B6E9C"/>
    <w:rsid w:val="006B73B0"/>
    <w:rsid w:val="006B76B9"/>
    <w:rsid w:val="006B78E0"/>
    <w:rsid w:val="006B7E50"/>
    <w:rsid w:val="006B7EDF"/>
    <w:rsid w:val="006B7FAE"/>
    <w:rsid w:val="006C0162"/>
    <w:rsid w:val="006C033A"/>
    <w:rsid w:val="006C065C"/>
    <w:rsid w:val="006C09E7"/>
    <w:rsid w:val="006C1212"/>
    <w:rsid w:val="006C144B"/>
    <w:rsid w:val="006C31E1"/>
    <w:rsid w:val="006C366D"/>
    <w:rsid w:val="006C5AA7"/>
    <w:rsid w:val="006C5AFE"/>
    <w:rsid w:val="006C5C80"/>
    <w:rsid w:val="006C5D3F"/>
    <w:rsid w:val="006C6333"/>
    <w:rsid w:val="006C6376"/>
    <w:rsid w:val="006C6972"/>
    <w:rsid w:val="006C70F2"/>
    <w:rsid w:val="006C71F9"/>
    <w:rsid w:val="006C7544"/>
    <w:rsid w:val="006D0801"/>
    <w:rsid w:val="006D08C5"/>
    <w:rsid w:val="006D0C73"/>
    <w:rsid w:val="006D105B"/>
    <w:rsid w:val="006D1BBF"/>
    <w:rsid w:val="006D1F52"/>
    <w:rsid w:val="006D244E"/>
    <w:rsid w:val="006D2D85"/>
    <w:rsid w:val="006D2DBD"/>
    <w:rsid w:val="006D2EBE"/>
    <w:rsid w:val="006D3156"/>
    <w:rsid w:val="006D365B"/>
    <w:rsid w:val="006D38D9"/>
    <w:rsid w:val="006D3A74"/>
    <w:rsid w:val="006D3F09"/>
    <w:rsid w:val="006D5A6A"/>
    <w:rsid w:val="006D672A"/>
    <w:rsid w:val="006D71B3"/>
    <w:rsid w:val="006D71FE"/>
    <w:rsid w:val="006E002C"/>
    <w:rsid w:val="006E01EF"/>
    <w:rsid w:val="006E031D"/>
    <w:rsid w:val="006E0CBA"/>
    <w:rsid w:val="006E0E5F"/>
    <w:rsid w:val="006E1578"/>
    <w:rsid w:val="006E1E92"/>
    <w:rsid w:val="006E24EA"/>
    <w:rsid w:val="006E3084"/>
    <w:rsid w:val="006E329B"/>
    <w:rsid w:val="006E331B"/>
    <w:rsid w:val="006E3A2E"/>
    <w:rsid w:val="006E3EE5"/>
    <w:rsid w:val="006E414A"/>
    <w:rsid w:val="006E41E3"/>
    <w:rsid w:val="006E4892"/>
    <w:rsid w:val="006E50FF"/>
    <w:rsid w:val="006E567B"/>
    <w:rsid w:val="006E5715"/>
    <w:rsid w:val="006E58DE"/>
    <w:rsid w:val="006E64B1"/>
    <w:rsid w:val="006E725B"/>
    <w:rsid w:val="006E7580"/>
    <w:rsid w:val="006E7D16"/>
    <w:rsid w:val="006F067E"/>
    <w:rsid w:val="006F079D"/>
    <w:rsid w:val="006F0CB2"/>
    <w:rsid w:val="006F0D10"/>
    <w:rsid w:val="006F1498"/>
    <w:rsid w:val="006F18AB"/>
    <w:rsid w:val="006F2524"/>
    <w:rsid w:val="006F3233"/>
    <w:rsid w:val="006F3983"/>
    <w:rsid w:val="006F3AA7"/>
    <w:rsid w:val="006F4219"/>
    <w:rsid w:val="006F4C9C"/>
    <w:rsid w:val="006F5118"/>
    <w:rsid w:val="006F5657"/>
    <w:rsid w:val="006F655A"/>
    <w:rsid w:val="006F6E18"/>
    <w:rsid w:val="006F702B"/>
    <w:rsid w:val="006F79D0"/>
    <w:rsid w:val="006F7A4B"/>
    <w:rsid w:val="006F7F40"/>
    <w:rsid w:val="00700432"/>
    <w:rsid w:val="007007E8"/>
    <w:rsid w:val="0070130B"/>
    <w:rsid w:val="0070161A"/>
    <w:rsid w:val="007016E9"/>
    <w:rsid w:val="00701C2D"/>
    <w:rsid w:val="00701EC8"/>
    <w:rsid w:val="00702490"/>
    <w:rsid w:val="00702601"/>
    <w:rsid w:val="007026E3"/>
    <w:rsid w:val="007038EB"/>
    <w:rsid w:val="00703A00"/>
    <w:rsid w:val="00703F60"/>
    <w:rsid w:val="00704826"/>
    <w:rsid w:val="00704889"/>
    <w:rsid w:val="00705209"/>
    <w:rsid w:val="007052F2"/>
    <w:rsid w:val="007056D7"/>
    <w:rsid w:val="00705908"/>
    <w:rsid w:val="00705B0A"/>
    <w:rsid w:val="0070647C"/>
    <w:rsid w:val="0070667D"/>
    <w:rsid w:val="00706B6A"/>
    <w:rsid w:val="0070701F"/>
    <w:rsid w:val="00707C61"/>
    <w:rsid w:val="00707FA1"/>
    <w:rsid w:val="0071087D"/>
    <w:rsid w:val="00710F12"/>
    <w:rsid w:val="007111EC"/>
    <w:rsid w:val="0071138E"/>
    <w:rsid w:val="0071187C"/>
    <w:rsid w:val="00711B33"/>
    <w:rsid w:val="007120BB"/>
    <w:rsid w:val="007120C9"/>
    <w:rsid w:val="00712830"/>
    <w:rsid w:val="007135DE"/>
    <w:rsid w:val="00713922"/>
    <w:rsid w:val="00713935"/>
    <w:rsid w:val="00713EAB"/>
    <w:rsid w:val="007140B9"/>
    <w:rsid w:val="0071476B"/>
    <w:rsid w:val="00714EF6"/>
    <w:rsid w:val="00715083"/>
    <w:rsid w:val="00715475"/>
    <w:rsid w:val="007154BA"/>
    <w:rsid w:val="00715DB9"/>
    <w:rsid w:val="007160DC"/>
    <w:rsid w:val="00716127"/>
    <w:rsid w:val="0071734A"/>
    <w:rsid w:val="00717532"/>
    <w:rsid w:val="00717740"/>
    <w:rsid w:val="00717B42"/>
    <w:rsid w:val="007201EA"/>
    <w:rsid w:val="007202FC"/>
    <w:rsid w:val="00720854"/>
    <w:rsid w:val="00720A06"/>
    <w:rsid w:val="00720CA4"/>
    <w:rsid w:val="007211B7"/>
    <w:rsid w:val="00721EE6"/>
    <w:rsid w:val="0072201B"/>
    <w:rsid w:val="00722187"/>
    <w:rsid w:val="007227A5"/>
    <w:rsid w:val="0072307F"/>
    <w:rsid w:val="0072374C"/>
    <w:rsid w:val="00723863"/>
    <w:rsid w:val="007252E1"/>
    <w:rsid w:val="007259AF"/>
    <w:rsid w:val="00726075"/>
    <w:rsid w:val="007263F2"/>
    <w:rsid w:val="0072653C"/>
    <w:rsid w:val="00726BC1"/>
    <w:rsid w:val="00726C68"/>
    <w:rsid w:val="0072747D"/>
    <w:rsid w:val="00727754"/>
    <w:rsid w:val="00730B34"/>
    <w:rsid w:val="00731503"/>
    <w:rsid w:val="0073172A"/>
    <w:rsid w:val="00731797"/>
    <w:rsid w:val="00731872"/>
    <w:rsid w:val="0073197F"/>
    <w:rsid w:val="007319DD"/>
    <w:rsid w:val="00731ABC"/>
    <w:rsid w:val="00731F87"/>
    <w:rsid w:val="00732012"/>
    <w:rsid w:val="00732622"/>
    <w:rsid w:val="0073295B"/>
    <w:rsid w:val="00732D6F"/>
    <w:rsid w:val="007333B0"/>
    <w:rsid w:val="00733B74"/>
    <w:rsid w:val="00733C73"/>
    <w:rsid w:val="00733E92"/>
    <w:rsid w:val="007348A7"/>
    <w:rsid w:val="00734A87"/>
    <w:rsid w:val="00734BC9"/>
    <w:rsid w:val="00734C79"/>
    <w:rsid w:val="00735103"/>
    <w:rsid w:val="00735D23"/>
    <w:rsid w:val="007362B3"/>
    <w:rsid w:val="007362E0"/>
    <w:rsid w:val="00736BEA"/>
    <w:rsid w:val="0073705A"/>
    <w:rsid w:val="0073756D"/>
    <w:rsid w:val="00737F1F"/>
    <w:rsid w:val="00737F38"/>
    <w:rsid w:val="00741C48"/>
    <w:rsid w:val="00741D64"/>
    <w:rsid w:val="00741E61"/>
    <w:rsid w:val="007427E4"/>
    <w:rsid w:val="00742C0F"/>
    <w:rsid w:val="00742E6E"/>
    <w:rsid w:val="00742FFA"/>
    <w:rsid w:val="0074375A"/>
    <w:rsid w:val="00743A05"/>
    <w:rsid w:val="00743D55"/>
    <w:rsid w:val="00743DE9"/>
    <w:rsid w:val="00743FDB"/>
    <w:rsid w:val="00744059"/>
    <w:rsid w:val="007442E9"/>
    <w:rsid w:val="007443EF"/>
    <w:rsid w:val="00744A20"/>
    <w:rsid w:val="00744CE8"/>
    <w:rsid w:val="007452DF"/>
    <w:rsid w:val="00745570"/>
    <w:rsid w:val="007455F7"/>
    <w:rsid w:val="007458DB"/>
    <w:rsid w:val="00746152"/>
    <w:rsid w:val="00746371"/>
    <w:rsid w:val="007463A1"/>
    <w:rsid w:val="0074661F"/>
    <w:rsid w:val="007466E8"/>
    <w:rsid w:val="0074680B"/>
    <w:rsid w:val="00747561"/>
    <w:rsid w:val="007478A2"/>
    <w:rsid w:val="007502BE"/>
    <w:rsid w:val="007517C0"/>
    <w:rsid w:val="00751938"/>
    <w:rsid w:val="00751C7A"/>
    <w:rsid w:val="007521D4"/>
    <w:rsid w:val="0075379C"/>
    <w:rsid w:val="00753BAA"/>
    <w:rsid w:val="00753D30"/>
    <w:rsid w:val="00754048"/>
    <w:rsid w:val="007545ED"/>
    <w:rsid w:val="0075476B"/>
    <w:rsid w:val="00754A83"/>
    <w:rsid w:val="007554C0"/>
    <w:rsid w:val="00755971"/>
    <w:rsid w:val="00755BC6"/>
    <w:rsid w:val="00755D99"/>
    <w:rsid w:val="007568F3"/>
    <w:rsid w:val="00756C70"/>
    <w:rsid w:val="007575A1"/>
    <w:rsid w:val="00757916"/>
    <w:rsid w:val="00757B8B"/>
    <w:rsid w:val="00757CD5"/>
    <w:rsid w:val="00761151"/>
    <w:rsid w:val="00761446"/>
    <w:rsid w:val="0076177D"/>
    <w:rsid w:val="0076186E"/>
    <w:rsid w:val="0076189F"/>
    <w:rsid w:val="00761CDD"/>
    <w:rsid w:val="00762E92"/>
    <w:rsid w:val="00762EB0"/>
    <w:rsid w:val="00763544"/>
    <w:rsid w:val="007638A6"/>
    <w:rsid w:val="007638D1"/>
    <w:rsid w:val="00763B8B"/>
    <w:rsid w:val="00764694"/>
    <w:rsid w:val="007648AB"/>
    <w:rsid w:val="00764DFC"/>
    <w:rsid w:val="00765430"/>
    <w:rsid w:val="00765530"/>
    <w:rsid w:val="00765BBF"/>
    <w:rsid w:val="0076602C"/>
    <w:rsid w:val="00766AB7"/>
    <w:rsid w:val="00766F75"/>
    <w:rsid w:val="007677F0"/>
    <w:rsid w:val="00767E34"/>
    <w:rsid w:val="0077083B"/>
    <w:rsid w:val="00770C99"/>
    <w:rsid w:val="00771251"/>
    <w:rsid w:val="0077128D"/>
    <w:rsid w:val="00771CEE"/>
    <w:rsid w:val="00771EB8"/>
    <w:rsid w:val="0077256C"/>
    <w:rsid w:val="00772715"/>
    <w:rsid w:val="00772C0C"/>
    <w:rsid w:val="00773829"/>
    <w:rsid w:val="00773B1C"/>
    <w:rsid w:val="0077404D"/>
    <w:rsid w:val="00774576"/>
    <w:rsid w:val="00774847"/>
    <w:rsid w:val="007748AF"/>
    <w:rsid w:val="00774EA8"/>
    <w:rsid w:val="007750E8"/>
    <w:rsid w:val="0077585B"/>
    <w:rsid w:val="00775B06"/>
    <w:rsid w:val="00775B42"/>
    <w:rsid w:val="0077696B"/>
    <w:rsid w:val="00776993"/>
    <w:rsid w:val="00776ABC"/>
    <w:rsid w:val="00776C95"/>
    <w:rsid w:val="00776F34"/>
    <w:rsid w:val="0077711D"/>
    <w:rsid w:val="007772F0"/>
    <w:rsid w:val="007773D0"/>
    <w:rsid w:val="00777D9C"/>
    <w:rsid w:val="007801A7"/>
    <w:rsid w:val="007801F2"/>
    <w:rsid w:val="007810B8"/>
    <w:rsid w:val="0078121C"/>
    <w:rsid w:val="00781261"/>
    <w:rsid w:val="007815A1"/>
    <w:rsid w:val="007816F2"/>
    <w:rsid w:val="00781902"/>
    <w:rsid w:val="007819F5"/>
    <w:rsid w:val="00781FB5"/>
    <w:rsid w:val="007834B6"/>
    <w:rsid w:val="007835C4"/>
    <w:rsid w:val="00783B64"/>
    <w:rsid w:val="00783BF4"/>
    <w:rsid w:val="00783F79"/>
    <w:rsid w:val="0078457B"/>
    <w:rsid w:val="007846E3"/>
    <w:rsid w:val="00784B86"/>
    <w:rsid w:val="00784F00"/>
    <w:rsid w:val="0078544A"/>
    <w:rsid w:val="00785E3D"/>
    <w:rsid w:val="0078600D"/>
    <w:rsid w:val="00786338"/>
    <w:rsid w:val="00787136"/>
    <w:rsid w:val="00787A67"/>
    <w:rsid w:val="00787DE5"/>
    <w:rsid w:val="007907EC"/>
    <w:rsid w:val="00790B95"/>
    <w:rsid w:val="00790C40"/>
    <w:rsid w:val="00790FF1"/>
    <w:rsid w:val="007910F3"/>
    <w:rsid w:val="00791E4F"/>
    <w:rsid w:val="00792268"/>
    <w:rsid w:val="007922FB"/>
    <w:rsid w:val="0079242B"/>
    <w:rsid w:val="00792925"/>
    <w:rsid w:val="00793269"/>
    <w:rsid w:val="007934CB"/>
    <w:rsid w:val="00793E2E"/>
    <w:rsid w:val="00793F67"/>
    <w:rsid w:val="007940F6"/>
    <w:rsid w:val="00794188"/>
    <w:rsid w:val="007947A7"/>
    <w:rsid w:val="00795100"/>
    <w:rsid w:val="00795225"/>
    <w:rsid w:val="00795F88"/>
    <w:rsid w:val="007977BA"/>
    <w:rsid w:val="00797BF7"/>
    <w:rsid w:val="00797EA8"/>
    <w:rsid w:val="007A0449"/>
    <w:rsid w:val="007A0963"/>
    <w:rsid w:val="007A098C"/>
    <w:rsid w:val="007A0FF6"/>
    <w:rsid w:val="007A1005"/>
    <w:rsid w:val="007A2472"/>
    <w:rsid w:val="007A27D8"/>
    <w:rsid w:val="007A2923"/>
    <w:rsid w:val="007A336B"/>
    <w:rsid w:val="007A3510"/>
    <w:rsid w:val="007A3843"/>
    <w:rsid w:val="007A3F72"/>
    <w:rsid w:val="007A4600"/>
    <w:rsid w:val="007A46CC"/>
    <w:rsid w:val="007A4D53"/>
    <w:rsid w:val="007A51A0"/>
    <w:rsid w:val="007A5808"/>
    <w:rsid w:val="007A59DD"/>
    <w:rsid w:val="007A612D"/>
    <w:rsid w:val="007A6680"/>
    <w:rsid w:val="007A6986"/>
    <w:rsid w:val="007A6B62"/>
    <w:rsid w:val="007A6CBA"/>
    <w:rsid w:val="007A70A9"/>
    <w:rsid w:val="007A72FE"/>
    <w:rsid w:val="007A7433"/>
    <w:rsid w:val="007A775D"/>
    <w:rsid w:val="007B0A69"/>
    <w:rsid w:val="007B15DC"/>
    <w:rsid w:val="007B177B"/>
    <w:rsid w:val="007B1C01"/>
    <w:rsid w:val="007B1CA2"/>
    <w:rsid w:val="007B1DB2"/>
    <w:rsid w:val="007B23E3"/>
    <w:rsid w:val="007B2DEA"/>
    <w:rsid w:val="007B3BDF"/>
    <w:rsid w:val="007B4112"/>
    <w:rsid w:val="007B495B"/>
    <w:rsid w:val="007B4EA5"/>
    <w:rsid w:val="007B518B"/>
    <w:rsid w:val="007B5562"/>
    <w:rsid w:val="007B5709"/>
    <w:rsid w:val="007B5C2E"/>
    <w:rsid w:val="007B5D50"/>
    <w:rsid w:val="007B6025"/>
    <w:rsid w:val="007B6183"/>
    <w:rsid w:val="007B68E4"/>
    <w:rsid w:val="007B6F12"/>
    <w:rsid w:val="007B722F"/>
    <w:rsid w:val="007B7449"/>
    <w:rsid w:val="007B7F2E"/>
    <w:rsid w:val="007C03F2"/>
    <w:rsid w:val="007C0585"/>
    <w:rsid w:val="007C0B17"/>
    <w:rsid w:val="007C0BC5"/>
    <w:rsid w:val="007C1620"/>
    <w:rsid w:val="007C1A1E"/>
    <w:rsid w:val="007C1F32"/>
    <w:rsid w:val="007C20EA"/>
    <w:rsid w:val="007C227C"/>
    <w:rsid w:val="007C24AC"/>
    <w:rsid w:val="007C24C7"/>
    <w:rsid w:val="007C444C"/>
    <w:rsid w:val="007C46C1"/>
    <w:rsid w:val="007C4925"/>
    <w:rsid w:val="007C4C32"/>
    <w:rsid w:val="007C5441"/>
    <w:rsid w:val="007C5876"/>
    <w:rsid w:val="007C5DB6"/>
    <w:rsid w:val="007C6074"/>
    <w:rsid w:val="007C657A"/>
    <w:rsid w:val="007C6A1F"/>
    <w:rsid w:val="007C7108"/>
    <w:rsid w:val="007C7E43"/>
    <w:rsid w:val="007D063C"/>
    <w:rsid w:val="007D0CE7"/>
    <w:rsid w:val="007D2414"/>
    <w:rsid w:val="007D25AF"/>
    <w:rsid w:val="007D2EA1"/>
    <w:rsid w:val="007D36F4"/>
    <w:rsid w:val="007D37A2"/>
    <w:rsid w:val="007D4445"/>
    <w:rsid w:val="007D4487"/>
    <w:rsid w:val="007D4E77"/>
    <w:rsid w:val="007D5081"/>
    <w:rsid w:val="007D50E2"/>
    <w:rsid w:val="007D581E"/>
    <w:rsid w:val="007D64EB"/>
    <w:rsid w:val="007D66D3"/>
    <w:rsid w:val="007D6B6D"/>
    <w:rsid w:val="007D74A9"/>
    <w:rsid w:val="007D768B"/>
    <w:rsid w:val="007D7746"/>
    <w:rsid w:val="007D7ABC"/>
    <w:rsid w:val="007E0502"/>
    <w:rsid w:val="007E0935"/>
    <w:rsid w:val="007E0F28"/>
    <w:rsid w:val="007E173E"/>
    <w:rsid w:val="007E1858"/>
    <w:rsid w:val="007E191F"/>
    <w:rsid w:val="007E1BCA"/>
    <w:rsid w:val="007E2F66"/>
    <w:rsid w:val="007E3328"/>
    <w:rsid w:val="007E33F8"/>
    <w:rsid w:val="007E3BF2"/>
    <w:rsid w:val="007E3DDA"/>
    <w:rsid w:val="007E3DFC"/>
    <w:rsid w:val="007E4298"/>
    <w:rsid w:val="007E4307"/>
    <w:rsid w:val="007E46FD"/>
    <w:rsid w:val="007E49DD"/>
    <w:rsid w:val="007E4DB4"/>
    <w:rsid w:val="007E55D6"/>
    <w:rsid w:val="007E575F"/>
    <w:rsid w:val="007E57B1"/>
    <w:rsid w:val="007E598E"/>
    <w:rsid w:val="007E5E35"/>
    <w:rsid w:val="007E5ED4"/>
    <w:rsid w:val="007E6CA9"/>
    <w:rsid w:val="007E6DC2"/>
    <w:rsid w:val="007E6FDF"/>
    <w:rsid w:val="007E72A6"/>
    <w:rsid w:val="007E7886"/>
    <w:rsid w:val="007F0486"/>
    <w:rsid w:val="007F091A"/>
    <w:rsid w:val="007F1328"/>
    <w:rsid w:val="007F21DF"/>
    <w:rsid w:val="007F22CE"/>
    <w:rsid w:val="007F2835"/>
    <w:rsid w:val="007F2D69"/>
    <w:rsid w:val="007F2FD4"/>
    <w:rsid w:val="007F2FF9"/>
    <w:rsid w:val="007F309D"/>
    <w:rsid w:val="007F3D53"/>
    <w:rsid w:val="007F3DC7"/>
    <w:rsid w:val="007F4D3D"/>
    <w:rsid w:val="007F57AE"/>
    <w:rsid w:val="007F5D19"/>
    <w:rsid w:val="007F5E39"/>
    <w:rsid w:val="007F6011"/>
    <w:rsid w:val="007F656A"/>
    <w:rsid w:val="007F665B"/>
    <w:rsid w:val="007F6A00"/>
    <w:rsid w:val="007F6D51"/>
    <w:rsid w:val="007F7093"/>
    <w:rsid w:val="007F745E"/>
    <w:rsid w:val="00800091"/>
    <w:rsid w:val="008005DE"/>
    <w:rsid w:val="00800ACC"/>
    <w:rsid w:val="008013F1"/>
    <w:rsid w:val="00801943"/>
    <w:rsid w:val="00801CE9"/>
    <w:rsid w:val="00802054"/>
    <w:rsid w:val="00802F3F"/>
    <w:rsid w:val="008035BD"/>
    <w:rsid w:val="008036DB"/>
    <w:rsid w:val="00803C38"/>
    <w:rsid w:val="00803E8A"/>
    <w:rsid w:val="00803EDE"/>
    <w:rsid w:val="00804472"/>
    <w:rsid w:val="00804C0C"/>
    <w:rsid w:val="00804E9F"/>
    <w:rsid w:val="00805497"/>
    <w:rsid w:val="008059FC"/>
    <w:rsid w:val="00806784"/>
    <w:rsid w:val="00807296"/>
    <w:rsid w:val="00807814"/>
    <w:rsid w:val="008078B5"/>
    <w:rsid w:val="00807D04"/>
    <w:rsid w:val="00807F2A"/>
    <w:rsid w:val="008100BF"/>
    <w:rsid w:val="00810130"/>
    <w:rsid w:val="008108D9"/>
    <w:rsid w:val="00810DB7"/>
    <w:rsid w:val="00810E35"/>
    <w:rsid w:val="00811013"/>
    <w:rsid w:val="00811494"/>
    <w:rsid w:val="008122DA"/>
    <w:rsid w:val="0081230F"/>
    <w:rsid w:val="00812CC2"/>
    <w:rsid w:val="00812E1E"/>
    <w:rsid w:val="00813100"/>
    <w:rsid w:val="008132AF"/>
    <w:rsid w:val="00813DAC"/>
    <w:rsid w:val="00813DC0"/>
    <w:rsid w:val="008143F9"/>
    <w:rsid w:val="00814E03"/>
    <w:rsid w:val="00815246"/>
    <w:rsid w:val="00815CDD"/>
    <w:rsid w:val="0081679C"/>
    <w:rsid w:val="008169E0"/>
    <w:rsid w:val="00816FDF"/>
    <w:rsid w:val="00817BAA"/>
    <w:rsid w:val="0082079F"/>
    <w:rsid w:val="008207A1"/>
    <w:rsid w:val="00820D63"/>
    <w:rsid w:val="008218C0"/>
    <w:rsid w:val="0082191A"/>
    <w:rsid w:val="00821A0D"/>
    <w:rsid w:val="00821A87"/>
    <w:rsid w:val="00821B39"/>
    <w:rsid w:val="0082218B"/>
    <w:rsid w:val="0082226D"/>
    <w:rsid w:val="00822749"/>
    <w:rsid w:val="008229BD"/>
    <w:rsid w:val="00822AEC"/>
    <w:rsid w:val="008230B4"/>
    <w:rsid w:val="0082387B"/>
    <w:rsid w:val="00823D80"/>
    <w:rsid w:val="00823FC6"/>
    <w:rsid w:val="008244E6"/>
    <w:rsid w:val="0082467B"/>
    <w:rsid w:val="00824A86"/>
    <w:rsid w:val="00824C47"/>
    <w:rsid w:val="00824E43"/>
    <w:rsid w:val="008257D6"/>
    <w:rsid w:val="00825B4C"/>
    <w:rsid w:val="0082604B"/>
    <w:rsid w:val="0082744B"/>
    <w:rsid w:val="008279AA"/>
    <w:rsid w:val="0083041A"/>
    <w:rsid w:val="00830B76"/>
    <w:rsid w:val="00831563"/>
    <w:rsid w:val="00831B14"/>
    <w:rsid w:val="008320A2"/>
    <w:rsid w:val="00832196"/>
    <w:rsid w:val="008321B1"/>
    <w:rsid w:val="00832740"/>
    <w:rsid w:val="0083353D"/>
    <w:rsid w:val="00835A24"/>
    <w:rsid w:val="00835E9B"/>
    <w:rsid w:val="008363A5"/>
    <w:rsid w:val="00836412"/>
    <w:rsid w:val="00836855"/>
    <w:rsid w:val="008368DB"/>
    <w:rsid w:val="00836BEB"/>
    <w:rsid w:val="00836E85"/>
    <w:rsid w:val="0083731A"/>
    <w:rsid w:val="00840226"/>
    <w:rsid w:val="00840E07"/>
    <w:rsid w:val="0084113E"/>
    <w:rsid w:val="008417EF"/>
    <w:rsid w:val="008422E1"/>
    <w:rsid w:val="00842744"/>
    <w:rsid w:val="008427BA"/>
    <w:rsid w:val="00842AC3"/>
    <w:rsid w:val="00843613"/>
    <w:rsid w:val="008439CA"/>
    <w:rsid w:val="00843BB2"/>
    <w:rsid w:val="008440F0"/>
    <w:rsid w:val="00844211"/>
    <w:rsid w:val="0084465C"/>
    <w:rsid w:val="0084498D"/>
    <w:rsid w:val="00844EC6"/>
    <w:rsid w:val="00845343"/>
    <w:rsid w:val="00845C7A"/>
    <w:rsid w:val="00846440"/>
    <w:rsid w:val="00846A1C"/>
    <w:rsid w:val="00846F7A"/>
    <w:rsid w:val="00847724"/>
    <w:rsid w:val="008477C7"/>
    <w:rsid w:val="00847841"/>
    <w:rsid w:val="00847B60"/>
    <w:rsid w:val="008502EB"/>
    <w:rsid w:val="008502FD"/>
    <w:rsid w:val="008503D6"/>
    <w:rsid w:val="008507A7"/>
    <w:rsid w:val="0085094C"/>
    <w:rsid w:val="00850C42"/>
    <w:rsid w:val="00850E6D"/>
    <w:rsid w:val="00850F89"/>
    <w:rsid w:val="00851460"/>
    <w:rsid w:val="00851B94"/>
    <w:rsid w:val="00851CA5"/>
    <w:rsid w:val="008526E4"/>
    <w:rsid w:val="00852A17"/>
    <w:rsid w:val="00852AD2"/>
    <w:rsid w:val="00852E17"/>
    <w:rsid w:val="00853174"/>
    <w:rsid w:val="008538C0"/>
    <w:rsid w:val="0085397D"/>
    <w:rsid w:val="0085427F"/>
    <w:rsid w:val="008552D4"/>
    <w:rsid w:val="00855810"/>
    <w:rsid w:val="00856588"/>
    <w:rsid w:val="00856B71"/>
    <w:rsid w:val="008577EA"/>
    <w:rsid w:val="008600CD"/>
    <w:rsid w:val="008601B9"/>
    <w:rsid w:val="00860A41"/>
    <w:rsid w:val="00860F80"/>
    <w:rsid w:val="00861363"/>
    <w:rsid w:val="0086169C"/>
    <w:rsid w:val="00861DE5"/>
    <w:rsid w:val="00862110"/>
    <w:rsid w:val="00862193"/>
    <w:rsid w:val="00862226"/>
    <w:rsid w:val="008626F9"/>
    <w:rsid w:val="008627CE"/>
    <w:rsid w:val="00862C0A"/>
    <w:rsid w:val="00863730"/>
    <w:rsid w:val="00863B71"/>
    <w:rsid w:val="00863B94"/>
    <w:rsid w:val="00863C35"/>
    <w:rsid w:val="00863E31"/>
    <w:rsid w:val="00864316"/>
    <w:rsid w:val="00864608"/>
    <w:rsid w:val="00864CB3"/>
    <w:rsid w:val="0086553B"/>
    <w:rsid w:val="00865876"/>
    <w:rsid w:val="0086596F"/>
    <w:rsid w:val="00865995"/>
    <w:rsid w:val="00865CD2"/>
    <w:rsid w:val="00865FA7"/>
    <w:rsid w:val="008660E0"/>
    <w:rsid w:val="00867AD8"/>
    <w:rsid w:val="00867FDD"/>
    <w:rsid w:val="0087073E"/>
    <w:rsid w:val="00870A13"/>
    <w:rsid w:val="00870B7A"/>
    <w:rsid w:val="00870C5F"/>
    <w:rsid w:val="00871C55"/>
    <w:rsid w:val="00872DF8"/>
    <w:rsid w:val="008731FF"/>
    <w:rsid w:val="00874201"/>
    <w:rsid w:val="0087442D"/>
    <w:rsid w:val="00874A8D"/>
    <w:rsid w:val="0087576B"/>
    <w:rsid w:val="00876720"/>
    <w:rsid w:val="00876C85"/>
    <w:rsid w:val="00876EB9"/>
    <w:rsid w:val="0087711D"/>
    <w:rsid w:val="008772E4"/>
    <w:rsid w:val="008773C2"/>
    <w:rsid w:val="0087786E"/>
    <w:rsid w:val="00877BC9"/>
    <w:rsid w:val="00877C31"/>
    <w:rsid w:val="00877CF7"/>
    <w:rsid w:val="00877D79"/>
    <w:rsid w:val="00877FD3"/>
    <w:rsid w:val="008800CA"/>
    <w:rsid w:val="008802C2"/>
    <w:rsid w:val="00880F6F"/>
    <w:rsid w:val="008815D6"/>
    <w:rsid w:val="00881A7B"/>
    <w:rsid w:val="00881AC8"/>
    <w:rsid w:val="00882912"/>
    <w:rsid w:val="00882FDF"/>
    <w:rsid w:val="008830FD"/>
    <w:rsid w:val="0088372B"/>
    <w:rsid w:val="008839A9"/>
    <w:rsid w:val="00883BB1"/>
    <w:rsid w:val="00884770"/>
    <w:rsid w:val="00884BF2"/>
    <w:rsid w:val="00884DF5"/>
    <w:rsid w:val="008853E0"/>
    <w:rsid w:val="008858FF"/>
    <w:rsid w:val="00885AC4"/>
    <w:rsid w:val="008863E9"/>
    <w:rsid w:val="008866A1"/>
    <w:rsid w:val="00886D55"/>
    <w:rsid w:val="00886F04"/>
    <w:rsid w:val="008870B5"/>
    <w:rsid w:val="008872DF"/>
    <w:rsid w:val="00890254"/>
    <w:rsid w:val="00890346"/>
    <w:rsid w:val="00890410"/>
    <w:rsid w:val="00890968"/>
    <w:rsid w:val="00890A52"/>
    <w:rsid w:val="00890BA8"/>
    <w:rsid w:val="00890E12"/>
    <w:rsid w:val="00891047"/>
    <w:rsid w:val="008917A9"/>
    <w:rsid w:val="00891D93"/>
    <w:rsid w:val="00892091"/>
    <w:rsid w:val="008920C8"/>
    <w:rsid w:val="0089226D"/>
    <w:rsid w:val="008924E4"/>
    <w:rsid w:val="0089254E"/>
    <w:rsid w:val="0089330F"/>
    <w:rsid w:val="008936FD"/>
    <w:rsid w:val="00894831"/>
    <w:rsid w:val="00894B55"/>
    <w:rsid w:val="00894C9C"/>
    <w:rsid w:val="00894E8E"/>
    <w:rsid w:val="0089594D"/>
    <w:rsid w:val="00895DE2"/>
    <w:rsid w:val="0089604D"/>
    <w:rsid w:val="0089627C"/>
    <w:rsid w:val="00896369"/>
    <w:rsid w:val="00896A36"/>
    <w:rsid w:val="008974E4"/>
    <w:rsid w:val="00897526"/>
    <w:rsid w:val="00897FBC"/>
    <w:rsid w:val="00897FD8"/>
    <w:rsid w:val="008A0030"/>
    <w:rsid w:val="008A0A13"/>
    <w:rsid w:val="008A185B"/>
    <w:rsid w:val="008A1887"/>
    <w:rsid w:val="008A1F59"/>
    <w:rsid w:val="008A23D6"/>
    <w:rsid w:val="008A25D5"/>
    <w:rsid w:val="008A2929"/>
    <w:rsid w:val="008A2F9F"/>
    <w:rsid w:val="008A3399"/>
    <w:rsid w:val="008A3A11"/>
    <w:rsid w:val="008A3E53"/>
    <w:rsid w:val="008A440C"/>
    <w:rsid w:val="008A446C"/>
    <w:rsid w:val="008A526A"/>
    <w:rsid w:val="008A5399"/>
    <w:rsid w:val="008A62DE"/>
    <w:rsid w:val="008A6716"/>
    <w:rsid w:val="008A6A6C"/>
    <w:rsid w:val="008A6CB4"/>
    <w:rsid w:val="008A7402"/>
    <w:rsid w:val="008A76BA"/>
    <w:rsid w:val="008A775A"/>
    <w:rsid w:val="008B08F5"/>
    <w:rsid w:val="008B0910"/>
    <w:rsid w:val="008B0C30"/>
    <w:rsid w:val="008B2096"/>
    <w:rsid w:val="008B21F5"/>
    <w:rsid w:val="008B234B"/>
    <w:rsid w:val="008B2858"/>
    <w:rsid w:val="008B2C23"/>
    <w:rsid w:val="008B3833"/>
    <w:rsid w:val="008B3B11"/>
    <w:rsid w:val="008B414E"/>
    <w:rsid w:val="008B43BB"/>
    <w:rsid w:val="008B4C04"/>
    <w:rsid w:val="008B5627"/>
    <w:rsid w:val="008B5A05"/>
    <w:rsid w:val="008B60B0"/>
    <w:rsid w:val="008B61D6"/>
    <w:rsid w:val="008B6858"/>
    <w:rsid w:val="008B6A4B"/>
    <w:rsid w:val="008B7734"/>
    <w:rsid w:val="008B7B6E"/>
    <w:rsid w:val="008C00C3"/>
    <w:rsid w:val="008C02BB"/>
    <w:rsid w:val="008C0577"/>
    <w:rsid w:val="008C0928"/>
    <w:rsid w:val="008C0996"/>
    <w:rsid w:val="008C17AB"/>
    <w:rsid w:val="008C1ADE"/>
    <w:rsid w:val="008C29C3"/>
    <w:rsid w:val="008C29EE"/>
    <w:rsid w:val="008C3294"/>
    <w:rsid w:val="008C3433"/>
    <w:rsid w:val="008C36D0"/>
    <w:rsid w:val="008C3A7A"/>
    <w:rsid w:val="008C3C2D"/>
    <w:rsid w:val="008C3C53"/>
    <w:rsid w:val="008C4EE5"/>
    <w:rsid w:val="008C5339"/>
    <w:rsid w:val="008C5658"/>
    <w:rsid w:val="008C56AA"/>
    <w:rsid w:val="008C5C3A"/>
    <w:rsid w:val="008C5E13"/>
    <w:rsid w:val="008C5E93"/>
    <w:rsid w:val="008C6196"/>
    <w:rsid w:val="008C65FA"/>
    <w:rsid w:val="008C68D9"/>
    <w:rsid w:val="008C68FD"/>
    <w:rsid w:val="008C6A50"/>
    <w:rsid w:val="008C6F5F"/>
    <w:rsid w:val="008C7300"/>
    <w:rsid w:val="008C755F"/>
    <w:rsid w:val="008C7B4B"/>
    <w:rsid w:val="008D0152"/>
    <w:rsid w:val="008D0308"/>
    <w:rsid w:val="008D06AE"/>
    <w:rsid w:val="008D1980"/>
    <w:rsid w:val="008D1E6E"/>
    <w:rsid w:val="008D21E1"/>
    <w:rsid w:val="008D2353"/>
    <w:rsid w:val="008D2705"/>
    <w:rsid w:val="008D28FB"/>
    <w:rsid w:val="008D2900"/>
    <w:rsid w:val="008D2B46"/>
    <w:rsid w:val="008D303D"/>
    <w:rsid w:val="008D30CD"/>
    <w:rsid w:val="008D3425"/>
    <w:rsid w:val="008D3C2E"/>
    <w:rsid w:val="008D4237"/>
    <w:rsid w:val="008D44D9"/>
    <w:rsid w:val="008D47CD"/>
    <w:rsid w:val="008D480E"/>
    <w:rsid w:val="008D4B42"/>
    <w:rsid w:val="008D4BEC"/>
    <w:rsid w:val="008D52F4"/>
    <w:rsid w:val="008D541F"/>
    <w:rsid w:val="008D625B"/>
    <w:rsid w:val="008D63FF"/>
    <w:rsid w:val="008D66FD"/>
    <w:rsid w:val="008D6F63"/>
    <w:rsid w:val="008D70EA"/>
    <w:rsid w:val="008D718E"/>
    <w:rsid w:val="008D77FC"/>
    <w:rsid w:val="008D7A5F"/>
    <w:rsid w:val="008E08D6"/>
    <w:rsid w:val="008E0994"/>
    <w:rsid w:val="008E0A73"/>
    <w:rsid w:val="008E0D01"/>
    <w:rsid w:val="008E0E12"/>
    <w:rsid w:val="008E1693"/>
    <w:rsid w:val="008E1805"/>
    <w:rsid w:val="008E265D"/>
    <w:rsid w:val="008E2F56"/>
    <w:rsid w:val="008E33C8"/>
    <w:rsid w:val="008E34F0"/>
    <w:rsid w:val="008E3695"/>
    <w:rsid w:val="008E3799"/>
    <w:rsid w:val="008E3F84"/>
    <w:rsid w:val="008E40B3"/>
    <w:rsid w:val="008E49C0"/>
    <w:rsid w:val="008E504E"/>
    <w:rsid w:val="008E541E"/>
    <w:rsid w:val="008E5437"/>
    <w:rsid w:val="008E55F5"/>
    <w:rsid w:val="008E5DB8"/>
    <w:rsid w:val="008E6129"/>
    <w:rsid w:val="008E62B9"/>
    <w:rsid w:val="008E62F8"/>
    <w:rsid w:val="008E635E"/>
    <w:rsid w:val="008E685F"/>
    <w:rsid w:val="008E7285"/>
    <w:rsid w:val="008E7580"/>
    <w:rsid w:val="008E7597"/>
    <w:rsid w:val="008E77E4"/>
    <w:rsid w:val="008E799C"/>
    <w:rsid w:val="008E7CA7"/>
    <w:rsid w:val="008E7F6C"/>
    <w:rsid w:val="008F0112"/>
    <w:rsid w:val="008F085D"/>
    <w:rsid w:val="008F098A"/>
    <w:rsid w:val="008F10F7"/>
    <w:rsid w:val="008F16D9"/>
    <w:rsid w:val="008F224C"/>
    <w:rsid w:val="008F2583"/>
    <w:rsid w:val="008F26DA"/>
    <w:rsid w:val="008F2B01"/>
    <w:rsid w:val="008F2F8C"/>
    <w:rsid w:val="008F32B6"/>
    <w:rsid w:val="008F3363"/>
    <w:rsid w:val="008F39A5"/>
    <w:rsid w:val="008F3CB5"/>
    <w:rsid w:val="008F46C0"/>
    <w:rsid w:val="008F4786"/>
    <w:rsid w:val="008F4F55"/>
    <w:rsid w:val="008F5775"/>
    <w:rsid w:val="008F5875"/>
    <w:rsid w:val="008F58F5"/>
    <w:rsid w:val="008F596C"/>
    <w:rsid w:val="008F5F98"/>
    <w:rsid w:val="008F67FF"/>
    <w:rsid w:val="008F6D2F"/>
    <w:rsid w:val="008F6F2E"/>
    <w:rsid w:val="008F7900"/>
    <w:rsid w:val="008F7B90"/>
    <w:rsid w:val="008F7C82"/>
    <w:rsid w:val="00900688"/>
    <w:rsid w:val="00900A92"/>
    <w:rsid w:val="00900C68"/>
    <w:rsid w:val="00900D6B"/>
    <w:rsid w:val="009016AC"/>
    <w:rsid w:val="00901CE8"/>
    <w:rsid w:val="00902A7D"/>
    <w:rsid w:val="00902ACE"/>
    <w:rsid w:val="00903779"/>
    <w:rsid w:val="009038CD"/>
    <w:rsid w:val="0090406B"/>
    <w:rsid w:val="00904158"/>
    <w:rsid w:val="009042CD"/>
    <w:rsid w:val="0090430D"/>
    <w:rsid w:val="00904367"/>
    <w:rsid w:val="00904534"/>
    <w:rsid w:val="009047AE"/>
    <w:rsid w:val="00904DF7"/>
    <w:rsid w:val="00904F28"/>
    <w:rsid w:val="00905AF9"/>
    <w:rsid w:val="00905BF2"/>
    <w:rsid w:val="00905ED0"/>
    <w:rsid w:val="00906336"/>
    <w:rsid w:val="009066F0"/>
    <w:rsid w:val="009072AB"/>
    <w:rsid w:val="009078DE"/>
    <w:rsid w:val="00907930"/>
    <w:rsid w:val="00907AC6"/>
    <w:rsid w:val="00910830"/>
    <w:rsid w:val="009109E2"/>
    <w:rsid w:val="00911981"/>
    <w:rsid w:val="009123BC"/>
    <w:rsid w:val="009124B2"/>
    <w:rsid w:val="009124B9"/>
    <w:rsid w:val="00912967"/>
    <w:rsid w:val="00912A07"/>
    <w:rsid w:val="00913214"/>
    <w:rsid w:val="009135A8"/>
    <w:rsid w:val="0091399A"/>
    <w:rsid w:val="00913AB3"/>
    <w:rsid w:val="00914063"/>
    <w:rsid w:val="009144DA"/>
    <w:rsid w:val="00914834"/>
    <w:rsid w:val="00915231"/>
    <w:rsid w:val="00915243"/>
    <w:rsid w:val="009153D7"/>
    <w:rsid w:val="00915B98"/>
    <w:rsid w:val="00915C12"/>
    <w:rsid w:val="00916B58"/>
    <w:rsid w:val="00916C47"/>
    <w:rsid w:val="00916CEB"/>
    <w:rsid w:val="00916F03"/>
    <w:rsid w:val="009173B4"/>
    <w:rsid w:val="00917987"/>
    <w:rsid w:val="009179D4"/>
    <w:rsid w:val="00920B78"/>
    <w:rsid w:val="00920CCE"/>
    <w:rsid w:val="00921575"/>
    <w:rsid w:val="009216D6"/>
    <w:rsid w:val="00922FD0"/>
    <w:rsid w:val="009231FF"/>
    <w:rsid w:val="0092328E"/>
    <w:rsid w:val="0092348B"/>
    <w:rsid w:val="009238B9"/>
    <w:rsid w:val="00923D69"/>
    <w:rsid w:val="00924013"/>
    <w:rsid w:val="009240B7"/>
    <w:rsid w:val="009245A7"/>
    <w:rsid w:val="009248CB"/>
    <w:rsid w:val="00924B1A"/>
    <w:rsid w:val="00924E56"/>
    <w:rsid w:val="00924EE3"/>
    <w:rsid w:val="00925A06"/>
    <w:rsid w:val="009261F9"/>
    <w:rsid w:val="00926903"/>
    <w:rsid w:val="00926D81"/>
    <w:rsid w:val="00926D9B"/>
    <w:rsid w:val="009278FB"/>
    <w:rsid w:val="00931054"/>
    <w:rsid w:val="00931111"/>
    <w:rsid w:val="0093119B"/>
    <w:rsid w:val="009312F0"/>
    <w:rsid w:val="009313EE"/>
    <w:rsid w:val="009316B0"/>
    <w:rsid w:val="009318F7"/>
    <w:rsid w:val="00931D47"/>
    <w:rsid w:val="00931E15"/>
    <w:rsid w:val="00932438"/>
    <w:rsid w:val="009331E7"/>
    <w:rsid w:val="0093330A"/>
    <w:rsid w:val="009336B4"/>
    <w:rsid w:val="00933A71"/>
    <w:rsid w:val="00933BBE"/>
    <w:rsid w:val="00934633"/>
    <w:rsid w:val="0093532A"/>
    <w:rsid w:val="00935418"/>
    <w:rsid w:val="0093568A"/>
    <w:rsid w:val="009356D3"/>
    <w:rsid w:val="009364E5"/>
    <w:rsid w:val="00936922"/>
    <w:rsid w:val="00936D16"/>
    <w:rsid w:val="00936F14"/>
    <w:rsid w:val="00937738"/>
    <w:rsid w:val="00937749"/>
    <w:rsid w:val="0094080F"/>
    <w:rsid w:val="00940A82"/>
    <w:rsid w:val="00940F2B"/>
    <w:rsid w:val="00941170"/>
    <w:rsid w:val="00941495"/>
    <w:rsid w:val="00941741"/>
    <w:rsid w:val="00941B0D"/>
    <w:rsid w:val="0094218B"/>
    <w:rsid w:val="009427C4"/>
    <w:rsid w:val="00942DC1"/>
    <w:rsid w:val="00943397"/>
    <w:rsid w:val="00943413"/>
    <w:rsid w:val="00943558"/>
    <w:rsid w:val="00943620"/>
    <w:rsid w:val="009436B3"/>
    <w:rsid w:val="0094442D"/>
    <w:rsid w:val="009444A7"/>
    <w:rsid w:val="00945140"/>
    <w:rsid w:val="00945389"/>
    <w:rsid w:val="009460BA"/>
    <w:rsid w:val="0094747C"/>
    <w:rsid w:val="00947642"/>
    <w:rsid w:val="00947B9B"/>
    <w:rsid w:val="00947D9A"/>
    <w:rsid w:val="009500E2"/>
    <w:rsid w:val="009503D5"/>
    <w:rsid w:val="009512AE"/>
    <w:rsid w:val="0095146E"/>
    <w:rsid w:val="009519A8"/>
    <w:rsid w:val="00951B9A"/>
    <w:rsid w:val="009523A6"/>
    <w:rsid w:val="00952B31"/>
    <w:rsid w:val="00952E63"/>
    <w:rsid w:val="00953651"/>
    <w:rsid w:val="00953952"/>
    <w:rsid w:val="009543EA"/>
    <w:rsid w:val="00954433"/>
    <w:rsid w:val="0095447F"/>
    <w:rsid w:val="00954537"/>
    <w:rsid w:val="009548EC"/>
    <w:rsid w:val="00956092"/>
    <w:rsid w:val="0095611F"/>
    <w:rsid w:val="00956193"/>
    <w:rsid w:val="009563EA"/>
    <w:rsid w:val="009565F2"/>
    <w:rsid w:val="00957263"/>
    <w:rsid w:val="009579F9"/>
    <w:rsid w:val="00960150"/>
    <w:rsid w:val="009602DD"/>
    <w:rsid w:val="009612B6"/>
    <w:rsid w:val="009613C1"/>
    <w:rsid w:val="009623FC"/>
    <w:rsid w:val="00963299"/>
    <w:rsid w:val="00963A63"/>
    <w:rsid w:val="00963DB4"/>
    <w:rsid w:val="009644A6"/>
    <w:rsid w:val="009646F2"/>
    <w:rsid w:val="00964960"/>
    <w:rsid w:val="00964CB5"/>
    <w:rsid w:val="00965498"/>
    <w:rsid w:val="009657E1"/>
    <w:rsid w:val="009658BA"/>
    <w:rsid w:val="009658F9"/>
    <w:rsid w:val="009663B1"/>
    <w:rsid w:val="009667AA"/>
    <w:rsid w:val="0096762D"/>
    <w:rsid w:val="00971986"/>
    <w:rsid w:val="00971A94"/>
    <w:rsid w:val="00971D69"/>
    <w:rsid w:val="00972024"/>
    <w:rsid w:val="00972538"/>
    <w:rsid w:val="00972672"/>
    <w:rsid w:val="00972928"/>
    <w:rsid w:val="009736A1"/>
    <w:rsid w:val="00973761"/>
    <w:rsid w:val="009737DC"/>
    <w:rsid w:val="00974161"/>
    <w:rsid w:val="0097478F"/>
    <w:rsid w:val="009749F4"/>
    <w:rsid w:val="00974EC0"/>
    <w:rsid w:val="00974F44"/>
    <w:rsid w:val="009756B2"/>
    <w:rsid w:val="00975822"/>
    <w:rsid w:val="00976833"/>
    <w:rsid w:val="00976E90"/>
    <w:rsid w:val="00977086"/>
    <w:rsid w:val="009770C7"/>
    <w:rsid w:val="00977C1E"/>
    <w:rsid w:val="00977FB1"/>
    <w:rsid w:val="00980458"/>
    <w:rsid w:val="00980F31"/>
    <w:rsid w:val="00981004"/>
    <w:rsid w:val="009814D8"/>
    <w:rsid w:val="00981856"/>
    <w:rsid w:val="00981BA5"/>
    <w:rsid w:val="0098238A"/>
    <w:rsid w:val="00982518"/>
    <w:rsid w:val="009825EB"/>
    <w:rsid w:val="00982CFE"/>
    <w:rsid w:val="00982F8F"/>
    <w:rsid w:val="00983263"/>
    <w:rsid w:val="00983B0E"/>
    <w:rsid w:val="00983B2B"/>
    <w:rsid w:val="00983C30"/>
    <w:rsid w:val="0098408E"/>
    <w:rsid w:val="0098416D"/>
    <w:rsid w:val="00985594"/>
    <w:rsid w:val="009856A3"/>
    <w:rsid w:val="0098587E"/>
    <w:rsid w:val="00985AE6"/>
    <w:rsid w:val="00985D50"/>
    <w:rsid w:val="009866FF"/>
    <w:rsid w:val="0098694F"/>
    <w:rsid w:val="009869BF"/>
    <w:rsid w:val="00986CCA"/>
    <w:rsid w:val="00986EA0"/>
    <w:rsid w:val="00986F0D"/>
    <w:rsid w:val="00987527"/>
    <w:rsid w:val="00987F73"/>
    <w:rsid w:val="009901BE"/>
    <w:rsid w:val="009909E7"/>
    <w:rsid w:val="00990CC8"/>
    <w:rsid w:val="00990E39"/>
    <w:rsid w:val="00991532"/>
    <w:rsid w:val="00991611"/>
    <w:rsid w:val="0099194E"/>
    <w:rsid w:val="00991ECA"/>
    <w:rsid w:val="00991FF7"/>
    <w:rsid w:val="0099259F"/>
    <w:rsid w:val="00992775"/>
    <w:rsid w:val="00993110"/>
    <w:rsid w:val="00993147"/>
    <w:rsid w:val="00993A3C"/>
    <w:rsid w:val="00993D81"/>
    <w:rsid w:val="00993E64"/>
    <w:rsid w:val="009942E7"/>
    <w:rsid w:val="00994482"/>
    <w:rsid w:val="0099454F"/>
    <w:rsid w:val="00994810"/>
    <w:rsid w:val="00994C18"/>
    <w:rsid w:val="00994EF8"/>
    <w:rsid w:val="009950E0"/>
    <w:rsid w:val="00995426"/>
    <w:rsid w:val="009954F7"/>
    <w:rsid w:val="009957E0"/>
    <w:rsid w:val="00995CAB"/>
    <w:rsid w:val="009963C1"/>
    <w:rsid w:val="0099668F"/>
    <w:rsid w:val="00996D4A"/>
    <w:rsid w:val="00997467"/>
    <w:rsid w:val="009A1112"/>
    <w:rsid w:val="009A1537"/>
    <w:rsid w:val="009A1A47"/>
    <w:rsid w:val="009A1B7F"/>
    <w:rsid w:val="009A23EA"/>
    <w:rsid w:val="009A25F3"/>
    <w:rsid w:val="009A2E6C"/>
    <w:rsid w:val="009A34D7"/>
    <w:rsid w:val="009A417E"/>
    <w:rsid w:val="009A4436"/>
    <w:rsid w:val="009A458A"/>
    <w:rsid w:val="009A48A9"/>
    <w:rsid w:val="009A4DD6"/>
    <w:rsid w:val="009A4FF7"/>
    <w:rsid w:val="009A52BF"/>
    <w:rsid w:val="009A5358"/>
    <w:rsid w:val="009A5CA6"/>
    <w:rsid w:val="009A5E99"/>
    <w:rsid w:val="009A5FBF"/>
    <w:rsid w:val="009A625B"/>
    <w:rsid w:val="009A642E"/>
    <w:rsid w:val="009A66A2"/>
    <w:rsid w:val="009A69FF"/>
    <w:rsid w:val="009A6CAC"/>
    <w:rsid w:val="009A6EE1"/>
    <w:rsid w:val="009B07BA"/>
    <w:rsid w:val="009B0AAC"/>
    <w:rsid w:val="009B0D18"/>
    <w:rsid w:val="009B1848"/>
    <w:rsid w:val="009B1B38"/>
    <w:rsid w:val="009B1D7B"/>
    <w:rsid w:val="009B2196"/>
    <w:rsid w:val="009B25B0"/>
    <w:rsid w:val="009B2F4E"/>
    <w:rsid w:val="009B4011"/>
    <w:rsid w:val="009B425F"/>
    <w:rsid w:val="009B460F"/>
    <w:rsid w:val="009B4C20"/>
    <w:rsid w:val="009B4EB5"/>
    <w:rsid w:val="009B52DE"/>
    <w:rsid w:val="009B5ECA"/>
    <w:rsid w:val="009B6368"/>
    <w:rsid w:val="009B677B"/>
    <w:rsid w:val="009B6989"/>
    <w:rsid w:val="009B6D0E"/>
    <w:rsid w:val="009B7208"/>
    <w:rsid w:val="009B7608"/>
    <w:rsid w:val="009B76F8"/>
    <w:rsid w:val="009B7914"/>
    <w:rsid w:val="009B79DE"/>
    <w:rsid w:val="009C006C"/>
    <w:rsid w:val="009C01E4"/>
    <w:rsid w:val="009C0D51"/>
    <w:rsid w:val="009C14E6"/>
    <w:rsid w:val="009C1BD2"/>
    <w:rsid w:val="009C1E9E"/>
    <w:rsid w:val="009C2035"/>
    <w:rsid w:val="009C2494"/>
    <w:rsid w:val="009C2EB7"/>
    <w:rsid w:val="009C40CC"/>
    <w:rsid w:val="009C432A"/>
    <w:rsid w:val="009C451A"/>
    <w:rsid w:val="009C45FA"/>
    <w:rsid w:val="009C4B32"/>
    <w:rsid w:val="009C4D2A"/>
    <w:rsid w:val="009C4EBB"/>
    <w:rsid w:val="009C5459"/>
    <w:rsid w:val="009C5616"/>
    <w:rsid w:val="009C5B13"/>
    <w:rsid w:val="009C64D7"/>
    <w:rsid w:val="009C6A5D"/>
    <w:rsid w:val="009C6AA8"/>
    <w:rsid w:val="009C6C5A"/>
    <w:rsid w:val="009C7026"/>
    <w:rsid w:val="009C70EF"/>
    <w:rsid w:val="009C72D9"/>
    <w:rsid w:val="009C779A"/>
    <w:rsid w:val="009C7A12"/>
    <w:rsid w:val="009D02C7"/>
    <w:rsid w:val="009D0E7F"/>
    <w:rsid w:val="009D0EE3"/>
    <w:rsid w:val="009D125B"/>
    <w:rsid w:val="009D160B"/>
    <w:rsid w:val="009D1745"/>
    <w:rsid w:val="009D1E6B"/>
    <w:rsid w:val="009D1F82"/>
    <w:rsid w:val="009D1FCF"/>
    <w:rsid w:val="009D24CB"/>
    <w:rsid w:val="009D2B17"/>
    <w:rsid w:val="009D38C3"/>
    <w:rsid w:val="009D411E"/>
    <w:rsid w:val="009D4648"/>
    <w:rsid w:val="009D4F36"/>
    <w:rsid w:val="009D53A7"/>
    <w:rsid w:val="009D577B"/>
    <w:rsid w:val="009D57C8"/>
    <w:rsid w:val="009D57CD"/>
    <w:rsid w:val="009D5884"/>
    <w:rsid w:val="009D5E99"/>
    <w:rsid w:val="009D6C16"/>
    <w:rsid w:val="009D6D2C"/>
    <w:rsid w:val="009D6FBF"/>
    <w:rsid w:val="009D74CD"/>
    <w:rsid w:val="009D7967"/>
    <w:rsid w:val="009D7E6B"/>
    <w:rsid w:val="009D7FCF"/>
    <w:rsid w:val="009E023E"/>
    <w:rsid w:val="009E0657"/>
    <w:rsid w:val="009E0E5E"/>
    <w:rsid w:val="009E0FBD"/>
    <w:rsid w:val="009E136F"/>
    <w:rsid w:val="009E1D39"/>
    <w:rsid w:val="009E1E2B"/>
    <w:rsid w:val="009E22E5"/>
    <w:rsid w:val="009E25BF"/>
    <w:rsid w:val="009E26F8"/>
    <w:rsid w:val="009E2C40"/>
    <w:rsid w:val="009E3794"/>
    <w:rsid w:val="009E38BA"/>
    <w:rsid w:val="009E3F27"/>
    <w:rsid w:val="009E40B2"/>
    <w:rsid w:val="009E45E7"/>
    <w:rsid w:val="009E4679"/>
    <w:rsid w:val="009E50E3"/>
    <w:rsid w:val="009E55E7"/>
    <w:rsid w:val="009E5D23"/>
    <w:rsid w:val="009E640B"/>
    <w:rsid w:val="009E7325"/>
    <w:rsid w:val="009E7458"/>
    <w:rsid w:val="009E7859"/>
    <w:rsid w:val="009E7CCB"/>
    <w:rsid w:val="009E7D24"/>
    <w:rsid w:val="009E7FF8"/>
    <w:rsid w:val="009F00A7"/>
    <w:rsid w:val="009F0A82"/>
    <w:rsid w:val="009F0B7B"/>
    <w:rsid w:val="009F0F19"/>
    <w:rsid w:val="009F1224"/>
    <w:rsid w:val="009F1364"/>
    <w:rsid w:val="009F13C8"/>
    <w:rsid w:val="009F1BAD"/>
    <w:rsid w:val="009F1CCC"/>
    <w:rsid w:val="009F24C7"/>
    <w:rsid w:val="009F25AC"/>
    <w:rsid w:val="009F280E"/>
    <w:rsid w:val="009F2C82"/>
    <w:rsid w:val="009F3D00"/>
    <w:rsid w:val="009F437F"/>
    <w:rsid w:val="009F5537"/>
    <w:rsid w:val="009F5976"/>
    <w:rsid w:val="009F5ADE"/>
    <w:rsid w:val="009F5B17"/>
    <w:rsid w:val="009F5E47"/>
    <w:rsid w:val="009F6F0A"/>
    <w:rsid w:val="009F6FC1"/>
    <w:rsid w:val="009F71DE"/>
    <w:rsid w:val="009F7348"/>
    <w:rsid w:val="009F7558"/>
    <w:rsid w:val="009F7DC8"/>
    <w:rsid w:val="00A00202"/>
    <w:rsid w:val="00A00A1A"/>
    <w:rsid w:val="00A00D6E"/>
    <w:rsid w:val="00A0102B"/>
    <w:rsid w:val="00A010B2"/>
    <w:rsid w:val="00A01CAF"/>
    <w:rsid w:val="00A01EFF"/>
    <w:rsid w:val="00A023E9"/>
    <w:rsid w:val="00A032B7"/>
    <w:rsid w:val="00A04032"/>
    <w:rsid w:val="00A041DA"/>
    <w:rsid w:val="00A04BB5"/>
    <w:rsid w:val="00A0504B"/>
    <w:rsid w:val="00A051FB"/>
    <w:rsid w:val="00A05C50"/>
    <w:rsid w:val="00A06205"/>
    <w:rsid w:val="00A06D1F"/>
    <w:rsid w:val="00A06EFC"/>
    <w:rsid w:val="00A07577"/>
    <w:rsid w:val="00A07768"/>
    <w:rsid w:val="00A07A92"/>
    <w:rsid w:val="00A07D4D"/>
    <w:rsid w:val="00A07D57"/>
    <w:rsid w:val="00A07F52"/>
    <w:rsid w:val="00A10546"/>
    <w:rsid w:val="00A106B3"/>
    <w:rsid w:val="00A114F4"/>
    <w:rsid w:val="00A11ED2"/>
    <w:rsid w:val="00A120B0"/>
    <w:rsid w:val="00A1274D"/>
    <w:rsid w:val="00A1384A"/>
    <w:rsid w:val="00A13C70"/>
    <w:rsid w:val="00A13F83"/>
    <w:rsid w:val="00A13FB6"/>
    <w:rsid w:val="00A1409C"/>
    <w:rsid w:val="00A1445C"/>
    <w:rsid w:val="00A14895"/>
    <w:rsid w:val="00A14B62"/>
    <w:rsid w:val="00A14BD2"/>
    <w:rsid w:val="00A14F85"/>
    <w:rsid w:val="00A153D1"/>
    <w:rsid w:val="00A160C5"/>
    <w:rsid w:val="00A16190"/>
    <w:rsid w:val="00A16BDE"/>
    <w:rsid w:val="00A17039"/>
    <w:rsid w:val="00A171F1"/>
    <w:rsid w:val="00A175D2"/>
    <w:rsid w:val="00A177EB"/>
    <w:rsid w:val="00A17922"/>
    <w:rsid w:val="00A200EF"/>
    <w:rsid w:val="00A202C5"/>
    <w:rsid w:val="00A20316"/>
    <w:rsid w:val="00A20616"/>
    <w:rsid w:val="00A21409"/>
    <w:rsid w:val="00A22711"/>
    <w:rsid w:val="00A22901"/>
    <w:rsid w:val="00A22DFD"/>
    <w:rsid w:val="00A2356A"/>
    <w:rsid w:val="00A23726"/>
    <w:rsid w:val="00A23755"/>
    <w:rsid w:val="00A23A71"/>
    <w:rsid w:val="00A2470A"/>
    <w:rsid w:val="00A24FD3"/>
    <w:rsid w:val="00A25029"/>
    <w:rsid w:val="00A250AF"/>
    <w:rsid w:val="00A2537C"/>
    <w:rsid w:val="00A25A23"/>
    <w:rsid w:val="00A25BEC"/>
    <w:rsid w:val="00A267E2"/>
    <w:rsid w:val="00A269DF"/>
    <w:rsid w:val="00A26B52"/>
    <w:rsid w:val="00A30039"/>
    <w:rsid w:val="00A306EC"/>
    <w:rsid w:val="00A30F8F"/>
    <w:rsid w:val="00A31156"/>
    <w:rsid w:val="00A31243"/>
    <w:rsid w:val="00A312A5"/>
    <w:rsid w:val="00A3187E"/>
    <w:rsid w:val="00A31DE1"/>
    <w:rsid w:val="00A3255E"/>
    <w:rsid w:val="00A32C51"/>
    <w:rsid w:val="00A33491"/>
    <w:rsid w:val="00A33837"/>
    <w:rsid w:val="00A33A06"/>
    <w:rsid w:val="00A33A59"/>
    <w:rsid w:val="00A33E1F"/>
    <w:rsid w:val="00A34F15"/>
    <w:rsid w:val="00A35916"/>
    <w:rsid w:val="00A35A07"/>
    <w:rsid w:val="00A35BBC"/>
    <w:rsid w:val="00A369D1"/>
    <w:rsid w:val="00A36C63"/>
    <w:rsid w:val="00A370FE"/>
    <w:rsid w:val="00A37582"/>
    <w:rsid w:val="00A37925"/>
    <w:rsid w:val="00A40CA4"/>
    <w:rsid w:val="00A40FA1"/>
    <w:rsid w:val="00A41402"/>
    <w:rsid w:val="00A41FCC"/>
    <w:rsid w:val="00A41FF3"/>
    <w:rsid w:val="00A42CB5"/>
    <w:rsid w:val="00A42F69"/>
    <w:rsid w:val="00A434D4"/>
    <w:rsid w:val="00A4380B"/>
    <w:rsid w:val="00A43BFB"/>
    <w:rsid w:val="00A43D0D"/>
    <w:rsid w:val="00A43F52"/>
    <w:rsid w:val="00A44017"/>
    <w:rsid w:val="00A449D1"/>
    <w:rsid w:val="00A44E74"/>
    <w:rsid w:val="00A45F3D"/>
    <w:rsid w:val="00A45FFB"/>
    <w:rsid w:val="00A467C5"/>
    <w:rsid w:val="00A469AD"/>
    <w:rsid w:val="00A46EC4"/>
    <w:rsid w:val="00A476E1"/>
    <w:rsid w:val="00A477E2"/>
    <w:rsid w:val="00A47FCA"/>
    <w:rsid w:val="00A50D61"/>
    <w:rsid w:val="00A515C2"/>
    <w:rsid w:val="00A51B16"/>
    <w:rsid w:val="00A522FE"/>
    <w:rsid w:val="00A52792"/>
    <w:rsid w:val="00A529FD"/>
    <w:rsid w:val="00A52E97"/>
    <w:rsid w:val="00A53067"/>
    <w:rsid w:val="00A535C9"/>
    <w:rsid w:val="00A535E0"/>
    <w:rsid w:val="00A54182"/>
    <w:rsid w:val="00A543DB"/>
    <w:rsid w:val="00A548B5"/>
    <w:rsid w:val="00A54A40"/>
    <w:rsid w:val="00A55506"/>
    <w:rsid w:val="00A55A18"/>
    <w:rsid w:val="00A55C08"/>
    <w:rsid w:val="00A55C7C"/>
    <w:rsid w:val="00A55D41"/>
    <w:rsid w:val="00A56411"/>
    <w:rsid w:val="00A56652"/>
    <w:rsid w:val="00A56985"/>
    <w:rsid w:val="00A56BDA"/>
    <w:rsid w:val="00A56C24"/>
    <w:rsid w:val="00A5724E"/>
    <w:rsid w:val="00A575F5"/>
    <w:rsid w:val="00A57AC7"/>
    <w:rsid w:val="00A60025"/>
    <w:rsid w:val="00A60163"/>
    <w:rsid w:val="00A6031E"/>
    <w:rsid w:val="00A60970"/>
    <w:rsid w:val="00A61498"/>
    <w:rsid w:val="00A615A5"/>
    <w:rsid w:val="00A618EA"/>
    <w:rsid w:val="00A6227A"/>
    <w:rsid w:val="00A6291C"/>
    <w:rsid w:val="00A62920"/>
    <w:rsid w:val="00A62EBD"/>
    <w:rsid w:val="00A62F97"/>
    <w:rsid w:val="00A6361E"/>
    <w:rsid w:val="00A642AD"/>
    <w:rsid w:val="00A64407"/>
    <w:rsid w:val="00A645B1"/>
    <w:rsid w:val="00A64A30"/>
    <w:rsid w:val="00A6545E"/>
    <w:rsid w:val="00A654F1"/>
    <w:rsid w:val="00A65DC4"/>
    <w:rsid w:val="00A66038"/>
    <w:rsid w:val="00A66285"/>
    <w:rsid w:val="00A6669C"/>
    <w:rsid w:val="00A6699A"/>
    <w:rsid w:val="00A6720D"/>
    <w:rsid w:val="00A70057"/>
    <w:rsid w:val="00A7088D"/>
    <w:rsid w:val="00A70945"/>
    <w:rsid w:val="00A70C54"/>
    <w:rsid w:val="00A70D0F"/>
    <w:rsid w:val="00A71037"/>
    <w:rsid w:val="00A71201"/>
    <w:rsid w:val="00A718CE"/>
    <w:rsid w:val="00A71A05"/>
    <w:rsid w:val="00A72537"/>
    <w:rsid w:val="00A72F82"/>
    <w:rsid w:val="00A73BFD"/>
    <w:rsid w:val="00A73E48"/>
    <w:rsid w:val="00A7459F"/>
    <w:rsid w:val="00A758A4"/>
    <w:rsid w:val="00A75E6F"/>
    <w:rsid w:val="00A760B0"/>
    <w:rsid w:val="00A778E4"/>
    <w:rsid w:val="00A808B1"/>
    <w:rsid w:val="00A81188"/>
    <w:rsid w:val="00A81244"/>
    <w:rsid w:val="00A81524"/>
    <w:rsid w:val="00A81E56"/>
    <w:rsid w:val="00A82218"/>
    <w:rsid w:val="00A822C5"/>
    <w:rsid w:val="00A834DB"/>
    <w:rsid w:val="00A83BA9"/>
    <w:rsid w:val="00A83CE4"/>
    <w:rsid w:val="00A840D1"/>
    <w:rsid w:val="00A84168"/>
    <w:rsid w:val="00A841D6"/>
    <w:rsid w:val="00A84328"/>
    <w:rsid w:val="00A85A28"/>
    <w:rsid w:val="00A86A9E"/>
    <w:rsid w:val="00A86B9F"/>
    <w:rsid w:val="00A86F0C"/>
    <w:rsid w:val="00A879F3"/>
    <w:rsid w:val="00A9009C"/>
    <w:rsid w:val="00A90238"/>
    <w:rsid w:val="00A908AA"/>
    <w:rsid w:val="00A9095B"/>
    <w:rsid w:val="00A90F30"/>
    <w:rsid w:val="00A911C5"/>
    <w:rsid w:val="00A918FC"/>
    <w:rsid w:val="00A9190B"/>
    <w:rsid w:val="00A91C24"/>
    <w:rsid w:val="00A91C32"/>
    <w:rsid w:val="00A9205B"/>
    <w:rsid w:val="00A9223B"/>
    <w:rsid w:val="00A92FB5"/>
    <w:rsid w:val="00A9317D"/>
    <w:rsid w:val="00A93F76"/>
    <w:rsid w:val="00A94032"/>
    <w:rsid w:val="00A947A3"/>
    <w:rsid w:val="00A94B9A"/>
    <w:rsid w:val="00A94E72"/>
    <w:rsid w:val="00A94F59"/>
    <w:rsid w:val="00A95311"/>
    <w:rsid w:val="00A95F3B"/>
    <w:rsid w:val="00A9686D"/>
    <w:rsid w:val="00A96A2C"/>
    <w:rsid w:val="00A96FAE"/>
    <w:rsid w:val="00A971BB"/>
    <w:rsid w:val="00A9747C"/>
    <w:rsid w:val="00A9790B"/>
    <w:rsid w:val="00AA0BFE"/>
    <w:rsid w:val="00AA0C43"/>
    <w:rsid w:val="00AA18BD"/>
    <w:rsid w:val="00AA2F25"/>
    <w:rsid w:val="00AA3216"/>
    <w:rsid w:val="00AA3441"/>
    <w:rsid w:val="00AA3463"/>
    <w:rsid w:val="00AA3B11"/>
    <w:rsid w:val="00AA3BDB"/>
    <w:rsid w:val="00AA4034"/>
    <w:rsid w:val="00AA48C9"/>
    <w:rsid w:val="00AA504D"/>
    <w:rsid w:val="00AA5689"/>
    <w:rsid w:val="00AA5FC6"/>
    <w:rsid w:val="00AA6D58"/>
    <w:rsid w:val="00AA6F6D"/>
    <w:rsid w:val="00AA7386"/>
    <w:rsid w:val="00AA7B47"/>
    <w:rsid w:val="00AA7C60"/>
    <w:rsid w:val="00AB0566"/>
    <w:rsid w:val="00AB155F"/>
    <w:rsid w:val="00AB1C86"/>
    <w:rsid w:val="00AB21F4"/>
    <w:rsid w:val="00AB2264"/>
    <w:rsid w:val="00AB24E6"/>
    <w:rsid w:val="00AB26E6"/>
    <w:rsid w:val="00AB2C6D"/>
    <w:rsid w:val="00AB376F"/>
    <w:rsid w:val="00AB397E"/>
    <w:rsid w:val="00AB4376"/>
    <w:rsid w:val="00AB5315"/>
    <w:rsid w:val="00AB567E"/>
    <w:rsid w:val="00AB5DE9"/>
    <w:rsid w:val="00AB69EB"/>
    <w:rsid w:val="00AB6A83"/>
    <w:rsid w:val="00AB7153"/>
    <w:rsid w:val="00AC0F1B"/>
    <w:rsid w:val="00AC108F"/>
    <w:rsid w:val="00AC1390"/>
    <w:rsid w:val="00AC13F2"/>
    <w:rsid w:val="00AC1873"/>
    <w:rsid w:val="00AC1897"/>
    <w:rsid w:val="00AC21BA"/>
    <w:rsid w:val="00AC2713"/>
    <w:rsid w:val="00AC2F1C"/>
    <w:rsid w:val="00AC30E6"/>
    <w:rsid w:val="00AC35F8"/>
    <w:rsid w:val="00AC36C0"/>
    <w:rsid w:val="00AC36EA"/>
    <w:rsid w:val="00AC370B"/>
    <w:rsid w:val="00AC3987"/>
    <w:rsid w:val="00AC402A"/>
    <w:rsid w:val="00AC4496"/>
    <w:rsid w:val="00AC565A"/>
    <w:rsid w:val="00AC5963"/>
    <w:rsid w:val="00AC6156"/>
    <w:rsid w:val="00AC62F5"/>
    <w:rsid w:val="00AC6427"/>
    <w:rsid w:val="00AC6F13"/>
    <w:rsid w:val="00AC7B7A"/>
    <w:rsid w:val="00AD0125"/>
    <w:rsid w:val="00AD068D"/>
    <w:rsid w:val="00AD08CC"/>
    <w:rsid w:val="00AD149B"/>
    <w:rsid w:val="00AD18F6"/>
    <w:rsid w:val="00AD1976"/>
    <w:rsid w:val="00AD1A27"/>
    <w:rsid w:val="00AD1DD7"/>
    <w:rsid w:val="00AD1E1F"/>
    <w:rsid w:val="00AD22B6"/>
    <w:rsid w:val="00AD232A"/>
    <w:rsid w:val="00AD2497"/>
    <w:rsid w:val="00AD2F60"/>
    <w:rsid w:val="00AD3581"/>
    <w:rsid w:val="00AD36D2"/>
    <w:rsid w:val="00AD3D7B"/>
    <w:rsid w:val="00AD418A"/>
    <w:rsid w:val="00AD4435"/>
    <w:rsid w:val="00AD443D"/>
    <w:rsid w:val="00AD445E"/>
    <w:rsid w:val="00AD4483"/>
    <w:rsid w:val="00AD4DA1"/>
    <w:rsid w:val="00AD505B"/>
    <w:rsid w:val="00AD5665"/>
    <w:rsid w:val="00AD56A8"/>
    <w:rsid w:val="00AD5A35"/>
    <w:rsid w:val="00AD5EF7"/>
    <w:rsid w:val="00AD65A2"/>
    <w:rsid w:val="00AD661F"/>
    <w:rsid w:val="00AD66F5"/>
    <w:rsid w:val="00AD7039"/>
    <w:rsid w:val="00AD7770"/>
    <w:rsid w:val="00AD78E9"/>
    <w:rsid w:val="00AD7C62"/>
    <w:rsid w:val="00AD7D47"/>
    <w:rsid w:val="00AE059A"/>
    <w:rsid w:val="00AE0B5C"/>
    <w:rsid w:val="00AE1B72"/>
    <w:rsid w:val="00AE1C78"/>
    <w:rsid w:val="00AE22F3"/>
    <w:rsid w:val="00AE2B60"/>
    <w:rsid w:val="00AE3219"/>
    <w:rsid w:val="00AE35F7"/>
    <w:rsid w:val="00AE3FDF"/>
    <w:rsid w:val="00AE4460"/>
    <w:rsid w:val="00AE44C3"/>
    <w:rsid w:val="00AE49F7"/>
    <w:rsid w:val="00AE4B5B"/>
    <w:rsid w:val="00AE4F43"/>
    <w:rsid w:val="00AE5526"/>
    <w:rsid w:val="00AE560D"/>
    <w:rsid w:val="00AE58BE"/>
    <w:rsid w:val="00AE604C"/>
    <w:rsid w:val="00AE6206"/>
    <w:rsid w:val="00AE68D2"/>
    <w:rsid w:val="00AE7036"/>
    <w:rsid w:val="00AE760C"/>
    <w:rsid w:val="00AF075B"/>
    <w:rsid w:val="00AF0D94"/>
    <w:rsid w:val="00AF156E"/>
    <w:rsid w:val="00AF16EF"/>
    <w:rsid w:val="00AF1704"/>
    <w:rsid w:val="00AF197C"/>
    <w:rsid w:val="00AF1B2E"/>
    <w:rsid w:val="00AF216D"/>
    <w:rsid w:val="00AF222B"/>
    <w:rsid w:val="00AF2364"/>
    <w:rsid w:val="00AF4786"/>
    <w:rsid w:val="00AF4CE4"/>
    <w:rsid w:val="00AF4F35"/>
    <w:rsid w:val="00AF4F9A"/>
    <w:rsid w:val="00AF53DE"/>
    <w:rsid w:val="00AF5841"/>
    <w:rsid w:val="00AF5D06"/>
    <w:rsid w:val="00AF5FBA"/>
    <w:rsid w:val="00AF6C5C"/>
    <w:rsid w:val="00AF7601"/>
    <w:rsid w:val="00AF76D9"/>
    <w:rsid w:val="00AF7AB4"/>
    <w:rsid w:val="00AF7DE1"/>
    <w:rsid w:val="00AF7E70"/>
    <w:rsid w:val="00B00582"/>
    <w:rsid w:val="00B0114D"/>
    <w:rsid w:val="00B01163"/>
    <w:rsid w:val="00B01788"/>
    <w:rsid w:val="00B01D42"/>
    <w:rsid w:val="00B027D3"/>
    <w:rsid w:val="00B02D9E"/>
    <w:rsid w:val="00B03103"/>
    <w:rsid w:val="00B03420"/>
    <w:rsid w:val="00B0391C"/>
    <w:rsid w:val="00B03CCB"/>
    <w:rsid w:val="00B0431B"/>
    <w:rsid w:val="00B050B6"/>
    <w:rsid w:val="00B05249"/>
    <w:rsid w:val="00B059F3"/>
    <w:rsid w:val="00B05E99"/>
    <w:rsid w:val="00B0695A"/>
    <w:rsid w:val="00B06B71"/>
    <w:rsid w:val="00B06D07"/>
    <w:rsid w:val="00B07120"/>
    <w:rsid w:val="00B071E7"/>
    <w:rsid w:val="00B07373"/>
    <w:rsid w:val="00B07946"/>
    <w:rsid w:val="00B07BF1"/>
    <w:rsid w:val="00B10C09"/>
    <w:rsid w:val="00B11129"/>
    <w:rsid w:val="00B11B2B"/>
    <w:rsid w:val="00B125FD"/>
    <w:rsid w:val="00B12A86"/>
    <w:rsid w:val="00B12CF2"/>
    <w:rsid w:val="00B12F4A"/>
    <w:rsid w:val="00B133C8"/>
    <w:rsid w:val="00B135CC"/>
    <w:rsid w:val="00B13A9E"/>
    <w:rsid w:val="00B13BFB"/>
    <w:rsid w:val="00B14073"/>
    <w:rsid w:val="00B14507"/>
    <w:rsid w:val="00B15583"/>
    <w:rsid w:val="00B155CB"/>
    <w:rsid w:val="00B1599C"/>
    <w:rsid w:val="00B15D7E"/>
    <w:rsid w:val="00B15EDF"/>
    <w:rsid w:val="00B16B40"/>
    <w:rsid w:val="00B20064"/>
    <w:rsid w:val="00B204E4"/>
    <w:rsid w:val="00B20737"/>
    <w:rsid w:val="00B20B55"/>
    <w:rsid w:val="00B20C77"/>
    <w:rsid w:val="00B20D38"/>
    <w:rsid w:val="00B20E1F"/>
    <w:rsid w:val="00B20F4C"/>
    <w:rsid w:val="00B21F50"/>
    <w:rsid w:val="00B220E9"/>
    <w:rsid w:val="00B22455"/>
    <w:rsid w:val="00B237AA"/>
    <w:rsid w:val="00B246DC"/>
    <w:rsid w:val="00B2494E"/>
    <w:rsid w:val="00B24B02"/>
    <w:rsid w:val="00B25034"/>
    <w:rsid w:val="00B253B5"/>
    <w:rsid w:val="00B25489"/>
    <w:rsid w:val="00B259D8"/>
    <w:rsid w:val="00B25A18"/>
    <w:rsid w:val="00B25DD3"/>
    <w:rsid w:val="00B25F9A"/>
    <w:rsid w:val="00B26529"/>
    <w:rsid w:val="00B26887"/>
    <w:rsid w:val="00B27F9D"/>
    <w:rsid w:val="00B30AB2"/>
    <w:rsid w:val="00B313D0"/>
    <w:rsid w:val="00B31F74"/>
    <w:rsid w:val="00B32DCB"/>
    <w:rsid w:val="00B32E74"/>
    <w:rsid w:val="00B33590"/>
    <w:rsid w:val="00B33915"/>
    <w:rsid w:val="00B3395D"/>
    <w:rsid w:val="00B33AD5"/>
    <w:rsid w:val="00B343EA"/>
    <w:rsid w:val="00B34D56"/>
    <w:rsid w:val="00B34DF8"/>
    <w:rsid w:val="00B34E2F"/>
    <w:rsid w:val="00B34F5E"/>
    <w:rsid w:val="00B3544F"/>
    <w:rsid w:val="00B35C4C"/>
    <w:rsid w:val="00B361DE"/>
    <w:rsid w:val="00B36BC1"/>
    <w:rsid w:val="00B36D15"/>
    <w:rsid w:val="00B372C5"/>
    <w:rsid w:val="00B372E7"/>
    <w:rsid w:val="00B376C0"/>
    <w:rsid w:val="00B3796C"/>
    <w:rsid w:val="00B37C29"/>
    <w:rsid w:val="00B407CA"/>
    <w:rsid w:val="00B40DD3"/>
    <w:rsid w:val="00B41517"/>
    <w:rsid w:val="00B415C8"/>
    <w:rsid w:val="00B41F24"/>
    <w:rsid w:val="00B42711"/>
    <w:rsid w:val="00B42DD4"/>
    <w:rsid w:val="00B430E7"/>
    <w:rsid w:val="00B43157"/>
    <w:rsid w:val="00B43364"/>
    <w:rsid w:val="00B43A17"/>
    <w:rsid w:val="00B4429C"/>
    <w:rsid w:val="00B4504F"/>
    <w:rsid w:val="00B450E0"/>
    <w:rsid w:val="00B46302"/>
    <w:rsid w:val="00B468AD"/>
    <w:rsid w:val="00B46E3E"/>
    <w:rsid w:val="00B4741B"/>
    <w:rsid w:val="00B47A50"/>
    <w:rsid w:val="00B47DD0"/>
    <w:rsid w:val="00B50376"/>
    <w:rsid w:val="00B51694"/>
    <w:rsid w:val="00B518E9"/>
    <w:rsid w:val="00B51A79"/>
    <w:rsid w:val="00B51B9C"/>
    <w:rsid w:val="00B5228D"/>
    <w:rsid w:val="00B5243E"/>
    <w:rsid w:val="00B529A7"/>
    <w:rsid w:val="00B52D6B"/>
    <w:rsid w:val="00B52EB4"/>
    <w:rsid w:val="00B535F5"/>
    <w:rsid w:val="00B53D54"/>
    <w:rsid w:val="00B54845"/>
    <w:rsid w:val="00B55278"/>
    <w:rsid w:val="00B55448"/>
    <w:rsid w:val="00B567E4"/>
    <w:rsid w:val="00B56810"/>
    <w:rsid w:val="00B56FD1"/>
    <w:rsid w:val="00B5703A"/>
    <w:rsid w:val="00B572D8"/>
    <w:rsid w:val="00B5737B"/>
    <w:rsid w:val="00B5772C"/>
    <w:rsid w:val="00B602D1"/>
    <w:rsid w:val="00B60B1B"/>
    <w:rsid w:val="00B6123C"/>
    <w:rsid w:val="00B615FA"/>
    <w:rsid w:val="00B6172E"/>
    <w:rsid w:val="00B6187B"/>
    <w:rsid w:val="00B61935"/>
    <w:rsid w:val="00B61AA8"/>
    <w:rsid w:val="00B61AE4"/>
    <w:rsid w:val="00B61B6E"/>
    <w:rsid w:val="00B61D6E"/>
    <w:rsid w:val="00B61DDE"/>
    <w:rsid w:val="00B6304C"/>
    <w:rsid w:val="00B6323C"/>
    <w:rsid w:val="00B63506"/>
    <w:rsid w:val="00B63D16"/>
    <w:rsid w:val="00B640C7"/>
    <w:rsid w:val="00B64351"/>
    <w:rsid w:val="00B64D3E"/>
    <w:rsid w:val="00B65050"/>
    <w:rsid w:val="00B653A0"/>
    <w:rsid w:val="00B657BE"/>
    <w:rsid w:val="00B65D5C"/>
    <w:rsid w:val="00B65D7B"/>
    <w:rsid w:val="00B6618C"/>
    <w:rsid w:val="00B666AE"/>
    <w:rsid w:val="00B66CE5"/>
    <w:rsid w:val="00B66DC3"/>
    <w:rsid w:val="00B66ED2"/>
    <w:rsid w:val="00B671A7"/>
    <w:rsid w:val="00B672F0"/>
    <w:rsid w:val="00B6775D"/>
    <w:rsid w:val="00B67B44"/>
    <w:rsid w:val="00B701C2"/>
    <w:rsid w:val="00B70210"/>
    <w:rsid w:val="00B7163D"/>
    <w:rsid w:val="00B716A5"/>
    <w:rsid w:val="00B71F58"/>
    <w:rsid w:val="00B72016"/>
    <w:rsid w:val="00B721BB"/>
    <w:rsid w:val="00B7223E"/>
    <w:rsid w:val="00B72526"/>
    <w:rsid w:val="00B72870"/>
    <w:rsid w:val="00B73367"/>
    <w:rsid w:val="00B734A9"/>
    <w:rsid w:val="00B7368E"/>
    <w:rsid w:val="00B73A03"/>
    <w:rsid w:val="00B73C38"/>
    <w:rsid w:val="00B742A8"/>
    <w:rsid w:val="00B743BD"/>
    <w:rsid w:val="00B746EC"/>
    <w:rsid w:val="00B74CF4"/>
    <w:rsid w:val="00B74E0C"/>
    <w:rsid w:val="00B74E5A"/>
    <w:rsid w:val="00B754CA"/>
    <w:rsid w:val="00B75F20"/>
    <w:rsid w:val="00B768D8"/>
    <w:rsid w:val="00B76F65"/>
    <w:rsid w:val="00B77521"/>
    <w:rsid w:val="00B776A4"/>
    <w:rsid w:val="00B805FA"/>
    <w:rsid w:val="00B80B37"/>
    <w:rsid w:val="00B80D9C"/>
    <w:rsid w:val="00B811CB"/>
    <w:rsid w:val="00B81744"/>
    <w:rsid w:val="00B819D2"/>
    <w:rsid w:val="00B81CFE"/>
    <w:rsid w:val="00B82502"/>
    <w:rsid w:val="00B827AE"/>
    <w:rsid w:val="00B82A41"/>
    <w:rsid w:val="00B82E7D"/>
    <w:rsid w:val="00B82ED2"/>
    <w:rsid w:val="00B833D9"/>
    <w:rsid w:val="00B836A9"/>
    <w:rsid w:val="00B8388C"/>
    <w:rsid w:val="00B83CCF"/>
    <w:rsid w:val="00B841E4"/>
    <w:rsid w:val="00B844EE"/>
    <w:rsid w:val="00B848FE"/>
    <w:rsid w:val="00B84D46"/>
    <w:rsid w:val="00B84FA6"/>
    <w:rsid w:val="00B84FC2"/>
    <w:rsid w:val="00B85222"/>
    <w:rsid w:val="00B855F9"/>
    <w:rsid w:val="00B857E5"/>
    <w:rsid w:val="00B86931"/>
    <w:rsid w:val="00B869E8"/>
    <w:rsid w:val="00B875BC"/>
    <w:rsid w:val="00B87609"/>
    <w:rsid w:val="00B87622"/>
    <w:rsid w:val="00B87A8D"/>
    <w:rsid w:val="00B87D1D"/>
    <w:rsid w:val="00B900D6"/>
    <w:rsid w:val="00B901BC"/>
    <w:rsid w:val="00B90537"/>
    <w:rsid w:val="00B91304"/>
    <w:rsid w:val="00B9226C"/>
    <w:rsid w:val="00B9237B"/>
    <w:rsid w:val="00B9273C"/>
    <w:rsid w:val="00B92945"/>
    <w:rsid w:val="00B9296B"/>
    <w:rsid w:val="00B93006"/>
    <w:rsid w:val="00B932F3"/>
    <w:rsid w:val="00B938DB"/>
    <w:rsid w:val="00B939CD"/>
    <w:rsid w:val="00B9409A"/>
    <w:rsid w:val="00B94670"/>
    <w:rsid w:val="00B94E4B"/>
    <w:rsid w:val="00B9563C"/>
    <w:rsid w:val="00B9600F"/>
    <w:rsid w:val="00B9644B"/>
    <w:rsid w:val="00B96AC1"/>
    <w:rsid w:val="00B96DD1"/>
    <w:rsid w:val="00B96F4D"/>
    <w:rsid w:val="00B97A35"/>
    <w:rsid w:val="00B97B81"/>
    <w:rsid w:val="00BA02A2"/>
    <w:rsid w:val="00BA061D"/>
    <w:rsid w:val="00BA078F"/>
    <w:rsid w:val="00BA0E6C"/>
    <w:rsid w:val="00BA121B"/>
    <w:rsid w:val="00BA28B3"/>
    <w:rsid w:val="00BA29F2"/>
    <w:rsid w:val="00BA2BB3"/>
    <w:rsid w:val="00BA3D6E"/>
    <w:rsid w:val="00BA4211"/>
    <w:rsid w:val="00BA4642"/>
    <w:rsid w:val="00BA4BBA"/>
    <w:rsid w:val="00BA4EA8"/>
    <w:rsid w:val="00BA4F74"/>
    <w:rsid w:val="00BA5853"/>
    <w:rsid w:val="00BA5CFE"/>
    <w:rsid w:val="00BA5DFC"/>
    <w:rsid w:val="00BA5F60"/>
    <w:rsid w:val="00BA62C2"/>
    <w:rsid w:val="00BA69D4"/>
    <w:rsid w:val="00BA6D20"/>
    <w:rsid w:val="00BA6E97"/>
    <w:rsid w:val="00BA6F5F"/>
    <w:rsid w:val="00BA7DCF"/>
    <w:rsid w:val="00BB01F2"/>
    <w:rsid w:val="00BB04D1"/>
    <w:rsid w:val="00BB11A6"/>
    <w:rsid w:val="00BB26E0"/>
    <w:rsid w:val="00BB311E"/>
    <w:rsid w:val="00BB31EF"/>
    <w:rsid w:val="00BB3C1B"/>
    <w:rsid w:val="00BB409A"/>
    <w:rsid w:val="00BB42A3"/>
    <w:rsid w:val="00BB4363"/>
    <w:rsid w:val="00BB45CE"/>
    <w:rsid w:val="00BB4EEB"/>
    <w:rsid w:val="00BB4EF9"/>
    <w:rsid w:val="00BB507F"/>
    <w:rsid w:val="00BB5463"/>
    <w:rsid w:val="00BB5894"/>
    <w:rsid w:val="00BB58E0"/>
    <w:rsid w:val="00BB59C5"/>
    <w:rsid w:val="00BB62E5"/>
    <w:rsid w:val="00BB66B1"/>
    <w:rsid w:val="00BB71F6"/>
    <w:rsid w:val="00BB7527"/>
    <w:rsid w:val="00BB753E"/>
    <w:rsid w:val="00BB7977"/>
    <w:rsid w:val="00BB7C19"/>
    <w:rsid w:val="00BB7F65"/>
    <w:rsid w:val="00BC0C91"/>
    <w:rsid w:val="00BC175B"/>
    <w:rsid w:val="00BC1F2F"/>
    <w:rsid w:val="00BC2A11"/>
    <w:rsid w:val="00BC3177"/>
    <w:rsid w:val="00BC3235"/>
    <w:rsid w:val="00BC352D"/>
    <w:rsid w:val="00BC39EA"/>
    <w:rsid w:val="00BC3A8A"/>
    <w:rsid w:val="00BC3C62"/>
    <w:rsid w:val="00BC3F19"/>
    <w:rsid w:val="00BC437D"/>
    <w:rsid w:val="00BC4D93"/>
    <w:rsid w:val="00BC4F4D"/>
    <w:rsid w:val="00BC54DE"/>
    <w:rsid w:val="00BC55EE"/>
    <w:rsid w:val="00BC5BAF"/>
    <w:rsid w:val="00BC5D30"/>
    <w:rsid w:val="00BC5D7E"/>
    <w:rsid w:val="00BC61C4"/>
    <w:rsid w:val="00BC6601"/>
    <w:rsid w:val="00BC78F0"/>
    <w:rsid w:val="00BC7FC1"/>
    <w:rsid w:val="00BD0408"/>
    <w:rsid w:val="00BD10C1"/>
    <w:rsid w:val="00BD2246"/>
    <w:rsid w:val="00BD2622"/>
    <w:rsid w:val="00BD2731"/>
    <w:rsid w:val="00BD2790"/>
    <w:rsid w:val="00BD279C"/>
    <w:rsid w:val="00BD2D11"/>
    <w:rsid w:val="00BD2E04"/>
    <w:rsid w:val="00BD3047"/>
    <w:rsid w:val="00BD323A"/>
    <w:rsid w:val="00BD3729"/>
    <w:rsid w:val="00BD398B"/>
    <w:rsid w:val="00BD3ABE"/>
    <w:rsid w:val="00BD3F1B"/>
    <w:rsid w:val="00BD3FAC"/>
    <w:rsid w:val="00BD457C"/>
    <w:rsid w:val="00BD507B"/>
    <w:rsid w:val="00BD5147"/>
    <w:rsid w:val="00BD51ED"/>
    <w:rsid w:val="00BD5AC0"/>
    <w:rsid w:val="00BD646B"/>
    <w:rsid w:val="00BD667C"/>
    <w:rsid w:val="00BD68B9"/>
    <w:rsid w:val="00BD69E5"/>
    <w:rsid w:val="00BD7581"/>
    <w:rsid w:val="00BD7759"/>
    <w:rsid w:val="00BD7D7F"/>
    <w:rsid w:val="00BD7D92"/>
    <w:rsid w:val="00BD7F1E"/>
    <w:rsid w:val="00BD7F84"/>
    <w:rsid w:val="00BE0185"/>
    <w:rsid w:val="00BE04B4"/>
    <w:rsid w:val="00BE04E8"/>
    <w:rsid w:val="00BE14BE"/>
    <w:rsid w:val="00BE1A4B"/>
    <w:rsid w:val="00BE1CBF"/>
    <w:rsid w:val="00BE1EB4"/>
    <w:rsid w:val="00BE2A58"/>
    <w:rsid w:val="00BE2F8B"/>
    <w:rsid w:val="00BE30DF"/>
    <w:rsid w:val="00BE3327"/>
    <w:rsid w:val="00BE3482"/>
    <w:rsid w:val="00BE3816"/>
    <w:rsid w:val="00BE3F5F"/>
    <w:rsid w:val="00BE4A65"/>
    <w:rsid w:val="00BE560B"/>
    <w:rsid w:val="00BE586A"/>
    <w:rsid w:val="00BE65A1"/>
    <w:rsid w:val="00BE6CEF"/>
    <w:rsid w:val="00BE7407"/>
    <w:rsid w:val="00BE785D"/>
    <w:rsid w:val="00BE7C72"/>
    <w:rsid w:val="00BF0241"/>
    <w:rsid w:val="00BF02D6"/>
    <w:rsid w:val="00BF068C"/>
    <w:rsid w:val="00BF1195"/>
    <w:rsid w:val="00BF1C4E"/>
    <w:rsid w:val="00BF1FF7"/>
    <w:rsid w:val="00BF2706"/>
    <w:rsid w:val="00BF2797"/>
    <w:rsid w:val="00BF2ABB"/>
    <w:rsid w:val="00BF3231"/>
    <w:rsid w:val="00BF3240"/>
    <w:rsid w:val="00BF34AC"/>
    <w:rsid w:val="00BF38AA"/>
    <w:rsid w:val="00BF3E19"/>
    <w:rsid w:val="00BF3F71"/>
    <w:rsid w:val="00BF4287"/>
    <w:rsid w:val="00BF474F"/>
    <w:rsid w:val="00BF4B7B"/>
    <w:rsid w:val="00BF4D0E"/>
    <w:rsid w:val="00BF4D58"/>
    <w:rsid w:val="00BF5947"/>
    <w:rsid w:val="00BF59BA"/>
    <w:rsid w:val="00BF5CA4"/>
    <w:rsid w:val="00BF6213"/>
    <w:rsid w:val="00BF65CE"/>
    <w:rsid w:val="00BF662B"/>
    <w:rsid w:val="00BF6EE1"/>
    <w:rsid w:val="00BF751E"/>
    <w:rsid w:val="00BF766A"/>
    <w:rsid w:val="00BF7E1A"/>
    <w:rsid w:val="00BF7FD3"/>
    <w:rsid w:val="00C01827"/>
    <w:rsid w:val="00C02468"/>
    <w:rsid w:val="00C024D0"/>
    <w:rsid w:val="00C0274F"/>
    <w:rsid w:val="00C033A4"/>
    <w:rsid w:val="00C03501"/>
    <w:rsid w:val="00C035F9"/>
    <w:rsid w:val="00C0385F"/>
    <w:rsid w:val="00C03FC9"/>
    <w:rsid w:val="00C044A5"/>
    <w:rsid w:val="00C04506"/>
    <w:rsid w:val="00C05B35"/>
    <w:rsid w:val="00C06566"/>
    <w:rsid w:val="00C07567"/>
    <w:rsid w:val="00C0763B"/>
    <w:rsid w:val="00C07C69"/>
    <w:rsid w:val="00C10ABC"/>
    <w:rsid w:val="00C10B55"/>
    <w:rsid w:val="00C10DB6"/>
    <w:rsid w:val="00C11072"/>
    <w:rsid w:val="00C1121B"/>
    <w:rsid w:val="00C11459"/>
    <w:rsid w:val="00C114C7"/>
    <w:rsid w:val="00C11795"/>
    <w:rsid w:val="00C11C1D"/>
    <w:rsid w:val="00C11FA5"/>
    <w:rsid w:val="00C12DDC"/>
    <w:rsid w:val="00C13556"/>
    <w:rsid w:val="00C13F16"/>
    <w:rsid w:val="00C15458"/>
    <w:rsid w:val="00C15529"/>
    <w:rsid w:val="00C1591A"/>
    <w:rsid w:val="00C15E3F"/>
    <w:rsid w:val="00C16325"/>
    <w:rsid w:val="00C1653E"/>
    <w:rsid w:val="00C16E03"/>
    <w:rsid w:val="00C16F7B"/>
    <w:rsid w:val="00C20469"/>
    <w:rsid w:val="00C20B4D"/>
    <w:rsid w:val="00C20B7A"/>
    <w:rsid w:val="00C20D91"/>
    <w:rsid w:val="00C20E5F"/>
    <w:rsid w:val="00C211EA"/>
    <w:rsid w:val="00C2134E"/>
    <w:rsid w:val="00C21686"/>
    <w:rsid w:val="00C21776"/>
    <w:rsid w:val="00C21932"/>
    <w:rsid w:val="00C21A1F"/>
    <w:rsid w:val="00C21D7B"/>
    <w:rsid w:val="00C2238D"/>
    <w:rsid w:val="00C226DE"/>
    <w:rsid w:val="00C2270F"/>
    <w:rsid w:val="00C22D95"/>
    <w:rsid w:val="00C22F1D"/>
    <w:rsid w:val="00C2303F"/>
    <w:rsid w:val="00C24081"/>
    <w:rsid w:val="00C2460B"/>
    <w:rsid w:val="00C24894"/>
    <w:rsid w:val="00C24FF9"/>
    <w:rsid w:val="00C25710"/>
    <w:rsid w:val="00C258F7"/>
    <w:rsid w:val="00C2627B"/>
    <w:rsid w:val="00C26A76"/>
    <w:rsid w:val="00C26B2C"/>
    <w:rsid w:val="00C26E15"/>
    <w:rsid w:val="00C27280"/>
    <w:rsid w:val="00C275FC"/>
    <w:rsid w:val="00C27F08"/>
    <w:rsid w:val="00C30675"/>
    <w:rsid w:val="00C30A3C"/>
    <w:rsid w:val="00C31A76"/>
    <w:rsid w:val="00C31DAE"/>
    <w:rsid w:val="00C321A7"/>
    <w:rsid w:val="00C3308D"/>
    <w:rsid w:val="00C330E7"/>
    <w:rsid w:val="00C336C7"/>
    <w:rsid w:val="00C3440F"/>
    <w:rsid w:val="00C3477D"/>
    <w:rsid w:val="00C34D66"/>
    <w:rsid w:val="00C35731"/>
    <w:rsid w:val="00C35E5D"/>
    <w:rsid w:val="00C36FE9"/>
    <w:rsid w:val="00C40742"/>
    <w:rsid w:val="00C40A07"/>
    <w:rsid w:val="00C416F5"/>
    <w:rsid w:val="00C4186C"/>
    <w:rsid w:val="00C41D5F"/>
    <w:rsid w:val="00C41FDD"/>
    <w:rsid w:val="00C42596"/>
    <w:rsid w:val="00C42913"/>
    <w:rsid w:val="00C43CCD"/>
    <w:rsid w:val="00C43D37"/>
    <w:rsid w:val="00C440E4"/>
    <w:rsid w:val="00C44467"/>
    <w:rsid w:val="00C4461F"/>
    <w:rsid w:val="00C44909"/>
    <w:rsid w:val="00C4491B"/>
    <w:rsid w:val="00C44966"/>
    <w:rsid w:val="00C44B32"/>
    <w:rsid w:val="00C45588"/>
    <w:rsid w:val="00C45669"/>
    <w:rsid w:val="00C45687"/>
    <w:rsid w:val="00C4569B"/>
    <w:rsid w:val="00C45D24"/>
    <w:rsid w:val="00C46740"/>
    <w:rsid w:val="00C46879"/>
    <w:rsid w:val="00C474B0"/>
    <w:rsid w:val="00C50413"/>
    <w:rsid w:val="00C50739"/>
    <w:rsid w:val="00C5093B"/>
    <w:rsid w:val="00C50C15"/>
    <w:rsid w:val="00C50DE2"/>
    <w:rsid w:val="00C50DFF"/>
    <w:rsid w:val="00C51289"/>
    <w:rsid w:val="00C51329"/>
    <w:rsid w:val="00C51531"/>
    <w:rsid w:val="00C51CD7"/>
    <w:rsid w:val="00C51ECF"/>
    <w:rsid w:val="00C51F71"/>
    <w:rsid w:val="00C525F0"/>
    <w:rsid w:val="00C526B8"/>
    <w:rsid w:val="00C5276F"/>
    <w:rsid w:val="00C5294C"/>
    <w:rsid w:val="00C52B9E"/>
    <w:rsid w:val="00C52CB3"/>
    <w:rsid w:val="00C52D25"/>
    <w:rsid w:val="00C52E5F"/>
    <w:rsid w:val="00C52E6F"/>
    <w:rsid w:val="00C52F97"/>
    <w:rsid w:val="00C53607"/>
    <w:rsid w:val="00C54AE8"/>
    <w:rsid w:val="00C569CD"/>
    <w:rsid w:val="00C56D4D"/>
    <w:rsid w:val="00C57129"/>
    <w:rsid w:val="00C57159"/>
    <w:rsid w:val="00C571E8"/>
    <w:rsid w:val="00C5727C"/>
    <w:rsid w:val="00C5792C"/>
    <w:rsid w:val="00C57AA0"/>
    <w:rsid w:val="00C60B1B"/>
    <w:rsid w:val="00C61166"/>
    <w:rsid w:val="00C6120D"/>
    <w:rsid w:val="00C6176C"/>
    <w:rsid w:val="00C61CE0"/>
    <w:rsid w:val="00C620A1"/>
    <w:rsid w:val="00C62472"/>
    <w:rsid w:val="00C62EE7"/>
    <w:rsid w:val="00C631FE"/>
    <w:rsid w:val="00C63B31"/>
    <w:rsid w:val="00C63F87"/>
    <w:rsid w:val="00C63FE6"/>
    <w:rsid w:val="00C648D6"/>
    <w:rsid w:val="00C653EC"/>
    <w:rsid w:val="00C6559D"/>
    <w:rsid w:val="00C65A6C"/>
    <w:rsid w:val="00C66696"/>
    <w:rsid w:val="00C668F0"/>
    <w:rsid w:val="00C66A35"/>
    <w:rsid w:val="00C66CBF"/>
    <w:rsid w:val="00C66EEA"/>
    <w:rsid w:val="00C67784"/>
    <w:rsid w:val="00C67CC2"/>
    <w:rsid w:val="00C701D7"/>
    <w:rsid w:val="00C701D9"/>
    <w:rsid w:val="00C701F5"/>
    <w:rsid w:val="00C70348"/>
    <w:rsid w:val="00C71529"/>
    <w:rsid w:val="00C7198C"/>
    <w:rsid w:val="00C7220E"/>
    <w:rsid w:val="00C72312"/>
    <w:rsid w:val="00C724EB"/>
    <w:rsid w:val="00C7265D"/>
    <w:rsid w:val="00C72F84"/>
    <w:rsid w:val="00C7441F"/>
    <w:rsid w:val="00C749E1"/>
    <w:rsid w:val="00C75065"/>
    <w:rsid w:val="00C75256"/>
    <w:rsid w:val="00C7598B"/>
    <w:rsid w:val="00C75B4B"/>
    <w:rsid w:val="00C75B73"/>
    <w:rsid w:val="00C75F2A"/>
    <w:rsid w:val="00C761EF"/>
    <w:rsid w:val="00C7663E"/>
    <w:rsid w:val="00C768C3"/>
    <w:rsid w:val="00C768C5"/>
    <w:rsid w:val="00C771EF"/>
    <w:rsid w:val="00C77443"/>
    <w:rsid w:val="00C77F21"/>
    <w:rsid w:val="00C806D3"/>
    <w:rsid w:val="00C80787"/>
    <w:rsid w:val="00C80A17"/>
    <w:rsid w:val="00C80CF2"/>
    <w:rsid w:val="00C80E12"/>
    <w:rsid w:val="00C8103F"/>
    <w:rsid w:val="00C8209E"/>
    <w:rsid w:val="00C82856"/>
    <w:rsid w:val="00C833C7"/>
    <w:rsid w:val="00C837E1"/>
    <w:rsid w:val="00C8381F"/>
    <w:rsid w:val="00C83BC4"/>
    <w:rsid w:val="00C84205"/>
    <w:rsid w:val="00C84352"/>
    <w:rsid w:val="00C843DA"/>
    <w:rsid w:val="00C84B03"/>
    <w:rsid w:val="00C84D61"/>
    <w:rsid w:val="00C84DCB"/>
    <w:rsid w:val="00C85D90"/>
    <w:rsid w:val="00C86109"/>
    <w:rsid w:val="00C8655B"/>
    <w:rsid w:val="00C868D7"/>
    <w:rsid w:val="00C86E54"/>
    <w:rsid w:val="00C87183"/>
    <w:rsid w:val="00C87285"/>
    <w:rsid w:val="00C87A86"/>
    <w:rsid w:val="00C9009E"/>
    <w:rsid w:val="00C90BF6"/>
    <w:rsid w:val="00C90D95"/>
    <w:rsid w:val="00C91072"/>
    <w:rsid w:val="00C9160E"/>
    <w:rsid w:val="00C91BBF"/>
    <w:rsid w:val="00C921D5"/>
    <w:rsid w:val="00C92295"/>
    <w:rsid w:val="00C932A6"/>
    <w:rsid w:val="00C93DE8"/>
    <w:rsid w:val="00C94052"/>
    <w:rsid w:val="00C941A6"/>
    <w:rsid w:val="00C941CB"/>
    <w:rsid w:val="00C94548"/>
    <w:rsid w:val="00C94562"/>
    <w:rsid w:val="00C94A6C"/>
    <w:rsid w:val="00C94E9C"/>
    <w:rsid w:val="00C94FCB"/>
    <w:rsid w:val="00C9505C"/>
    <w:rsid w:val="00C95075"/>
    <w:rsid w:val="00C95184"/>
    <w:rsid w:val="00C95204"/>
    <w:rsid w:val="00C95AD8"/>
    <w:rsid w:val="00C95C9F"/>
    <w:rsid w:val="00C95CF2"/>
    <w:rsid w:val="00C96670"/>
    <w:rsid w:val="00C9685A"/>
    <w:rsid w:val="00C96A3A"/>
    <w:rsid w:val="00C9700D"/>
    <w:rsid w:val="00CA0DEF"/>
    <w:rsid w:val="00CA15D5"/>
    <w:rsid w:val="00CA170D"/>
    <w:rsid w:val="00CA18E4"/>
    <w:rsid w:val="00CA1FE7"/>
    <w:rsid w:val="00CA297B"/>
    <w:rsid w:val="00CA36FD"/>
    <w:rsid w:val="00CA3A3E"/>
    <w:rsid w:val="00CA3B40"/>
    <w:rsid w:val="00CA3D2F"/>
    <w:rsid w:val="00CA41B6"/>
    <w:rsid w:val="00CA4340"/>
    <w:rsid w:val="00CA480B"/>
    <w:rsid w:val="00CA4861"/>
    <w:rsid w:val="00CA4C01"/>
    <w:rsid w:val="00CA52E4"/>
    <w:rsid w:val="00CA5E4F"/>
    <w:rsid w:val="00CA6094"/>
    <w:rsid w:val="00CA6ABB"/>
    <w:rsid w:val="00CA6AEB"/>
    <w:rsid w:val="00CA6C6F"/>
    <w:rsid w:val="00CA6F92"/>
    <w:rsid w:val="00CA70D6"/>
    <w:rsid w:val="00CA75C8"/>
    <w:rsid w:val="00CA77A6"/>
    <w:rsid w:val="00CA7884"/>
    <w:rsid w:val="00CA7E5A"/>
    <w:rsid w:val="00CA7F8C"/>
    <w:rsid w:val="00CB0343"/>
    <w:rsid w:val="00CB0A77"/>
    <w:rsid w:val="00CB0E0D"/>
    <w:rsid w:val="00CB0E32"/>
    <w:rsid w:val="00CB14B6"/>
    <w:rsid w:val="00CB1782"/>
    <w:rsid w:val="00CB1C81"/>
    <w:rsid w:val="00CB1C98"/>
    <w:rsid w:val="00CB206A"/>
    <w:rsid w:val="00CB27E2"/>
    <w:rsid w:val="00CB29DC"/>
    <w:rsid w:val="00CB2A68"/>
    <w:rsid w:val="00CB2AF9"/>
    <w:rsid w:val="00CB2B34"/>
    <w:rsid w:val="00CB2C17"/>
    <w:rsid w:val="00CB2D50"/>
    <w:rsid w:val="00CB388E"/>
    <w:rsid w:val="00CB3A91"/>
    <w:rsid w:val="00CB4851"/>
    <w:rsid w:val="00CB4A9D"/>
    <w:rsid w:val="00CB529A"/>
    <w:rsid w:val="00CB5793"/>
    <w:rsid w:val="00CB5B00"/>
    <w:rsid w:val="00CB5E63"/>
    <w:rsid w:val="00CB6C99"/>
    <w:rsid w:val="00CB6DA0"/>
    <w:rsid w:val="00CB726F"/>
    <w:rsid w:val="00CC0901"/>
    <w:rsid w:val="00CC0952"/>
    <w:rsid w:val="00CC0978"/>
    <w:rsid w:val="00CC0AF4"/>
    <w:rsid w:val="00CC0CE8"/>
    <w:rsid w:val="00CC117D"/>
    <w:rsid w:val="00CC136A"/>
    <w:rsid w:val="00CC1709"/>
    <w:rsid w:val="00CC1C53"/>
    <w:rsid w:val="00CC1ED5"/>
    <w:rsid w:val="00CC2BF6"/>
    <w:rsid w:val="00CC2CCF"/>
    <w:rsid w:val="00CC36F5"/>
    <w:rsid w:val="00CC3D7D"/>
    <w:rsid w:val="00CC493B"/>
    <w:rsid w:val="00CC5178"/>
    <w:rsid w:val="00CC58E6"/>
    <w:rsid w:val="00CC5BA4"/>
    <w:rsid w:val="00CC609F"/>
    <w:rsid w:val="00CC62E0"/>
    <w:rsid w:val="00CC67C4"/>
    <w:rsid w:val="00CC7CEC"/>
    <w:rsid w:val="00CD1613"/>
    <w:rsid w:val="00CD1B36"/>
    <w:rsid w:val="00CD1E0E"/>
    <w:rsid w:val="00CD220E"/>
    <w:rsid w:val="00CD26F5"/>
    <w:rsid w:val="00CD28C7"/>
    <w:rsid w:val="00CD315D"/>
    <w:rsid w:val="00CD3A23"/>
    <w:rsid w:val="00CD49E5"/>
    <w:rsid w:val="00CD4DE3"/>
    <w:rsid w:val="00CD4E21"/>
    <w:rsid w:val="00CD5194"/>
    <w:rsid w:val="00CD572E"/>
    <w:rsid w:val="00CD5A94"/>
    <w:rsid w:val="00CD5FF2"/>
    <w:rsid w:val="00CD6270"/>
    <w:rsid w:val="00CD62F4"/>
    <w:rsid w:val="00CD68A4"/>
    <w:rsid w:val="00CD6AFB"/>
    <w:rsid w:val="00CD6DCA"/>
    <w:rsid w:val="00CD6E54"/>
    <w:rsid w:val="00CD7049"/>
    <w:rsid w:val="00CD761D"/>
    <w:rsid w:val="00CD7836"/>
    <w:rsid w:val="00CD790F"/>
    <w:rsid w:val="00CD7C9A"/>
    <w:rsid w:val="00CD7E84"/>
    <w:rsid w:val="00CE0237"/>
    <w:rsid w:val="00CE05A0"/>
    <w:rsid w:val="00CE0ADF"/>
    <w:rsid w:val="00CE11E4"/>
    <w:rsid w:val="00CE1282"/>
    <w:rsid w:val="00CE19C8"/>
    <w:rsid w:val="00CE1C04"/>
    <w:rsid w:val="00CE1E91"/>
    <w:rsid w:val="00CE23FE"/>
    <w:rsid w:val="00CE2649"/>
    <w:rsid w:val="00CE2730"/>
    <w:rsid w:val="00CE3648"/>
    <w:rsid w:val="00CE3874"/>
    <w:rsid w:val="00CE3932"/>
    <w:rsid w:val="00CE3C90"/>
    <w:rsid w:val="00CE3E86"/>
    <w:rsid w:val="00CE43FD"/>
    <w:rsid w:val="00CE45CD"/>
    <w:rsid w:val="00CE4821"/>
    <w:rsid w:val="00CE48FE"/>
    <w:rsid w:val="00CE49AF"/>
    <w:rsid w:val="00CE49F8"/>
    <w:rsid w:val="00CE4BCB"/>
    <w:rsid w:val="00CE4D5B"/>
    <w:rsid w:val="00CE4E32"/>
    <w:rsid w:val="00CE4F13"/>
    <w:rsid w:val="00CE5D9E"/>
    <w:rsid w:val="00CE64BB"/>
    <w:rsid w:val="00CE6858"/>
    <w:rsid w:val="00CE6B0B"/>
    <w:rsid w:val="00CE6E27"/>
    <w:rsid w:val="00CE728F"/>
    <w:rsid w:val="00CE748F"/>
    <w:rsid w:val="00CE7A5F"/>
    <w:rsid w:val="00CF0542"/>
    <w:rsid w:val="00CF1619"/>
    <w:rsid w:val="00CF1675"/>
    <w:rsid w:val="00CF1D3A"/>
    <w:rsid w:val="00CF20CB"/>
    <w:rsid w:val="00CF21B6"/>
    <w:rsid w:val="00CF2599"/>
    <w:rsid w:val="00CF2695"/>
    <w:rsid w:val="00CF3263"/>
    <w:rsid w:val="00CF354C"/>
    <w:rsid w:val="00CF35DF"/>
    <w:rsid w:val="00CF3900"/>
    <w:rsid w:val="00CF3E0E"/>
    <w:rsid w:val="00CF43D5"/>
    <w:rsid w:val="00CF4AE0"/>
    <w:rsid w:val="00CF4B03"/>
    <w:rsid w:val="00CF4DE3"/>
    <w:rsid w:val="00CF524F"/>
    <w:rsid w:val="00CF56CA"/>
    <w:rsid w:val="00CF704B"/>
    <w:rsid w:val="00CF729D"/>
    <w:rsid w:val="00CF72B7"/>
    <w:rsid w:val="00CF77CE"/>
    <w:rsid w:val="00CF7AA1"/>
    <w:rsid w:val="00CF7B45"/>
    <w:rsid w:val="00CF7F1D"/>
    <w:rsid w:val="00CF7F55"/>
    <w:rsid w:val="00D002E6"/>
    <w:rsid w:val="00D004C2"/>
    <w:rsid w:val="00D00DD6"/>
    <w:rsid w:val="00D01329"/>
    <w:rsid w:val="00D01527"/>
    <w:rsid w:val="00D0165F"/>
    <w:rsid w:val="00D01D33"/>
    <w:rsid w:val="00D01DA2"/>
    <w:rsid w:val="00D01E45"/>
    <w:rsid w:val="00D01FA3"/>
    <w:rsid w:val="00D02504"/>
    <w:rsid w:val="00D02760"/>
    <w:rsid w:val="00D02A5C"/>
    <w:rsid w:val="00D02B3D"/>
    <w:rsid w:val="00D03A31"/>
    <w:rsid w:val="00D03FFC"/>
    <w:rsid w:val="00D040E1"/>
    <w:rsid w:val="00D0472B"/>
    <w:rsid w:val="00D055E5"/>
    <w:rsid w:val="00D0584B"/>
    <w:rsid w:val="00D05B16"/>
    <w:rsid w:val="00D05FF8"/>
    <w:rsid w:val="00D06955"/>
    <w:rsid w:val="00D072C6"/>
    <w:rsid w:val="00D0731A"/>
    <w:rsid w:val="00D073F0"/>
    <w:rsid w:val="00D077FB"/>
    <w:rsid w:val="00D07E63"/>
    <w:rsid w:val="00D100FF"/>
    <w:rsid w:val="00D101A1"/>
    <w:rsid w:val="00D1128E"/>
    <w:rsid w:val="00D113B7"/>
    <w:rsid w:val="00D1240C"/>
    <w:rsid w:val="00D12694"/>
    <w:rsid w:val="00D126E4"/>
    <w:rsid w:val="00D12977"/>
    <w:rsid w:val="00D12C9D"/>
    <w:rsid w:val="00D13455"/>
    <w:rsid w:val="00D13EFD"/>
    <w:rsid w:val="00D13F64"/>
    <w:rsid w:val="00D14DC9"/>
    <w:rsid w:val="00D151E9"/>
    <w:rsid w:val="00D1531D"/>
    <w:rsid w:val="00D163E6"/>
    <w:rsid w:val="00D1651B"/>
    <w:rsid w:val="00D16B19"/>
    <w:rsid w:val="00D1752D"/>
    <w:rsid w:val="00D1775E"/>
    <w:rsid w:val="00D17D80"/>
    <w:rsid w:val="00D20047"/>
    <w:rsid w:val="00D208FA"/>
    <w:rsid w:val="00D20C4F"/>
    <w:rsid w:val="00D21AF7"/>
    <w:rsid w:val="00D21DDE"/>
    <w:rsid w:val="00D2203F"/>
    <w:rsid w:val="00D222F0"/>
    <w:rsid w:val="00D22AB0"/>
    <w:rsid w:val="00D230BB"/>
    <w:rsid w:val="00D23565"/>
    <w:rsid w:val="00D2388E"/>
    <w:rsid w:val="00D24945"/>
    <w:rsid w:val="00D2501B"/>
    <w:rsid w:val="00D2570A"/>
    <w:rsid w:val="00D26260"/>
    <w:rsid w:val="00D2627D"/>
    <w:rsid w:val="00D26640"/>
    <w:rsid w:val="00D26820"/>
    <w:rsid w:val="00D26F4D"/>
    <w:rsid w:val="00D278AC"/>
    <w:rsid w:val="00D27EA0"/>
    <w:rsid w:val="00D30717"/>
    <w:rsid w:val="00D31886"/>
    <w:rsid w:val="00D31A79"/>
    <w:rsid w:val="00D31BCF"/>
    <w:rsid w:val="00D32889"/>
    <w:rsid w:val="00D32FA5"/>
    <w:rsid w:val="00D33302"/>
    <w:rsid w:val="00D33DA5"/>
    <w:rsid w:val="00D34BC6"/>
    <w:rsid w:val="00D352A0"/>
    <w:rsid w:val="00D353ED"/>
    <w:rsid w:val="00D356EC"/>
    <w:rsid w:val="00D35C38"/>
    <w:rsid w:val="00D35CCA"/>
    <w:rsid w:val="00D35DFC"/>
    <w:rsid w:val="00D361BD"/>
    <w:rsid w:val="00D36B78"/>
    <w:rsid w:val="00D36BC0"/>
    <w:rsid w:val="00D3780E"/>
    <w:rsid w:val="00D40248"/>
    <w:rsid w:val="00D4050B"/>
    <w:rsid w:val="00D40839"/>
    <w:rsid w:val="00D415C3"/>
    <w:rsid w:val="00D417D9"/>
    <w:rsid w:val="00D41EAF"/>
    <w:rsid w:val="00D41FD6"/>
    <w:rsid w:val="00D42ABA"/>
    <w:rsid w:val="00D43262"/>
    <w:rsid w:val="00D434CC"/>
    <w:rsid w:val="00D434E7"/>
    <w:rsid w:val="00D43FD3"/>
    <w:rsid w:val="00D44672"/>
    <w:rsid w:val="00D45E7D"/>
    <w:rsid w:val="00D4645C"/>
    <w:rsid w:val="00D46EBB"/>
    <w:rsid w:val="00D470E2"/>
    <w:rsid w:val="00D476BE"/>
    <w:rsid w:val="00D477BD"/>
    <w:rsid w:val="00D47A4C"/>
    <w:rsid w:val="00D47E49"/>
    <w:rsid w:val="00D504AB"/>
    <w:rsid w:val="00D510DA"/>
    <w:rsid w:val="00D52096"/>
    <w:rsid w:val="00D521C0"/>
    <w:rsid w:val="00D52A1A"/>
    <w:rsid w:val="00D52E52"/>
    <w:rsid w:val="00D53301"/>
    <w:rsid w:val="00D53C5B"/>
    <w:rsid w:val="00D53E5B"/>
    <w:rsid w:val="00D54418"/>
    <w:rsid w:val="00D557CA"/>
    <w:rsid w:val="00D557CC"/>
    <w:rsid w:val="00D558A8"/>
    <w:rsid w:val="00D55A38"/>
    <w:rsid w:val="00D55BA4"/>
    <w:rsid w:val="00D55BBE"/>
    <w:rsid w:val="00D55C9B"/>
    <w:rsid w:val="00D561E1"/>
    <w:rsid w:val="00D56413"/>
    <w:rsid w:val="00D56786"/>
    <w:rsid w:val="00D56ABF"/>
    <w:rsid w:val="00D56B2D"/>
    <w:rsid w:val="00D56F3C"/>
    <w:rsid w:val="00D572A2"/>
    <w:rsid w:val="00D57395"/>
    <w:rsid w:val="00D577FD"/>
    <w:rsid w:val="00D57CA2"/>
    <w:rsid w:val="00D57E7D"/>
    <w:rsid w:val="00D6170F"/>
    <w:rsid w:val="00D6178A"/>
    <w:rsid w:val="00D6179C"/>
    <w:rsid w:val="00D617D9"/>
    <w:rsid w:val="00D61AB4"/>
    <w:rsid w:val="00D623B7"/>
    <w:rsid w:val="00D62757"/>
    <w:rsid w:val="00D62DD1"/>
    <w:rsid w:val="00D62E79"/>
    <w:rsid w:val="00D63003"/>
    <w:rsid w:val="00D63053"/>
    <w:rsid w:val="00D6318D"/>
    <w:rsid w:val="00D633BD"/>
    <w:rsid w:val="00D64411"/>
    <w:rsid w:val="00D644D7"/>
    <w:rsid w:val="00D64588"/>
    <w:rsid w:val="00D64F2C"/>
    <w:rsid w:val="00D652E8"/>
    <w:rsid w:val="00D65D5E"/>
    <w:rsid w:val="00D65E94"/>
    <w:rsid w:val="00D65F85"/>
    <w:rsid w:val="00D668C5"/>
    <w:rsid w:val="00D676A4"/>
    <w:rsid w:val="00D70C86"/>
    <w:rsid w:val="00D70D7F"/>
    <w:rsid w:val="00D70F96"/>
    <w:rsid w:val="00D71091"/>
    <w:rsid w:val="00D71D05"/>
    <w:rsid w:val="00D71D2D"/>
    <w:rsid w:val="00D7313C"/>
    <w:rsid w:val="00D731D1"/>
    <w:rsid w:val="00D7333A"/>
    <w:rsid w:val="00D73347"/>
    <w:rsid w:val="00D73417"/>
    <w:rsid w:val="00D73485"/>
    <w:rsid w:val="00D73739"/>
    <w:rsid w:val="00D73BBC"/>
    <w:rsid w:val="00D73EE8"/>
    <w:rsid w:val="00D73F37"/>
    <w:rsid w:val="00D73FAF"/>
    <w:rsid w:val="00D74297"/>
    <w:rsid w:val="00D7447F"/>
    <w:rsid w:val="00D755CF"/>
    <w:rsid w:val="00D75677"/>
    <w:rsid w:val="00D75F42"/>
    <w:rsid w:val="00D764C0"/>
    <w:rsid w:val="00D77086"/>
    <w:rsid w:val="00D7747D"/>
    <w:rsid w:val="00D778E4"/>
    <w:rsid w:val="00D80E06"/>
    <w:rsid w:val="00D80F7D"/>
    <w:rsid w:val="00D830CF"/>
    <w:rsid w:val="00D83262"/>
    <w:rsid w:val="00D83730"/>
    <w:rsid w:val="00D841D1"/>
    <w:rsid w:val="00D853B8"/>
    <w:rsid w:val="00D8541E"/>
    <w:rsid w:val="00D857E4"/>
    <w:rsid w:val="00D85F0E"/>
    <w:rsid w:val="00D8626D"/>
    <w:rsid w:val="00D86295"/>
    <w:rsid w:val="00D8661E"/>
    <w:rsid w:val="00D87504"/>
    <w:rsid w:val="00D87D67"/>
    <w:rsid w:val="00D87E09"/>
    <w:rsid w:val="00D87EE8"/>
    <w:rsid w:val="00D87F07"/>
    <w:rsid w:val="00D90738"/>
    <w:rsid w:val="00D90758"/>
    <w:rsid w:val="00D90FE3"/>
    <w:rsid w:val="00D912FE"/>
    <w:rsid w:val="00D913B9"/>
    <w:rsid w:val="00D91A65"/>
    <w:rsid w:val="00D92257"/>
    <w:rsid w:val="00D9324B"/>
    <w:rsid w:val="00D93743"/>
    <w:rsid w:val="00D93979"/>
    <w:rsid w:val="00D93E47"/>
    <w:rsid w:val="00D94215"/>
    <w:rsid w:val="00D94D5A"/>
    <w:rsid w:val="00D94E01"/>
    <w:rsid w:val="00D9500C"/>
    <w:rsid w:val="00D953D0"/>
    <w:rsid w:val="00D958A5"/>
    <w:rsid w:val="00D958D7"/>
    <w:rsid w:val="00D95988"/>
    <w:rsid w:val="00D971C2"/>
    <w:rsid w:val="00D97377"/>
    <w:rsid w:val="00D97535"/>
    <w:rsid w:val="00D9791E"/>
    <w:rsid w:val="00D97C9B"/>
    <w:rsid w:val="00DA0096"/>
    <w:rsid w:val="00DA061B"/>
    <w:rsid w:val="00DA0832"/>
    <w:rsid w:val="00DA0866"/>
    <w:rsid w:val="00DA0F7D"/>
    <w:rsid w:val="00DA1A64"/>
    <w:rsid w:val="00DA20A1"/>
    <w:rsid w:val="00DA20AA"/>
    <w:rsid w:val="00DA21E5"/>
    <w:rsid w:val="00DA2410"/>
    <w:rsid w:val="00DA2429"/>
    <w:rsid w:val="00DA248B"/>
    <w:rsid w:val="00DA254E"/>
    <w:rsid w:val="00DA26E1"/>
    <w:rsid w:val="00DA3526"/>
    <w:rsid w:val="00DA3891"/>
    <w:rsid w:val="00DA3A3D"/>
    <w:rsid w:val="00DA3AC7"/>
    <w:rsid w:val="00DA43EE"/>
    <w:rsid w:val="00DA4E9F"/>
    <w:rsid w:val="00DA5038"/>
    <w:rsid w:val="00DA5246"/>
    <w:rsid w:val="00DA5673"/>
    <w:rsid w:val="00DA5913"/>
    <w:rsid w:val="00DA64C8"/>
    <w:rsid w:val="00DA66E7"/>
    <w:rsid w:val="00DA6726"/>
    <w:rsid w:val="00DA7198"/>
    <w:rsid w:val="00DA73DA"/>
    <w:rsid w:val="00DA7F0B"/>
    <w:rsid w:val="00DB0784"/>
    <w:rsid w:val="00DB0C92"/>
    <w:rsid w:val="00DB0EF3"/>
    <w:rsid w:val="00DB152A"/>
    <w:rsid w:val="00DB17E1"/>
    <w:rsid w:val="00DB1E70"/>
    <w:rsid w:val="00DB2326"/>
    <w:rsid w:val="00DB2A56"/>
    <w:rsid w:val="00DB2FE1"/>
    <w:rsid w:val="00DB3358"/>
    <w:rsid w:val="00DB3BD9"/>
    <w:rsid w:val="00DB4FEB"/>
    <w:rsid w:val="00DB5072"/>
    <w:rsid w:val="00DB53C9"/>
    <w:rsid w:val="00DB5B49"/>
    <w:rsid w:val="00DB699F"/>
    <w:rsid w:val="00DB7312"/>
    <w:rsid w:val="00DB7A2A"/>
    <w:rsid w:val="00DB7ECF"/>
    <w:rsid w:val="00DC0E93"/>
    <w:rsid w:val="00DC104C"/>
    <w:rsid w:val="00DC1278"/>
    <w:rsid w:val="00DC1AED"/>
    <w:rsid w:val="00DC2116"/>
    <w:rsid w:val="00DC21A8"/>
    <w:rsid w:val="00DC2581"/>
    <w:rsid w:val="00DC26BE"/>
    <w:rsid w:val="00DC29A1"/>
    <w:rsid w:val="00DC2A2E"/>
    <w:rsid w:val="00DC2B78"/>
    <w:rsid w:val="00DC2D6E"/>
    <w:rsid w:val="00DC3248"/>
    <w:rsid w:val="00DC3501"/>
    <w:rsid w:val="00DC44ED"/>
    <w:rsid w:val="00DC4D69"/>
    <w:rsid w:val="00DC503B"/>
    <w:rsid w:val="00DC514F"/>
    <w:rsid w:val="00DC53E2"/>
    <w:rsid w:val="00DC5493"/>
    <w:rsid w:val="00DC55BF"/>
    <w:rsid w:val="00DC5FD1"/>
    <w:rsid w:val="00DC63B5"/>
    <w:rsid w:val="00DC66F9"/>
    <w:rsid w:val="00DD027D"/>
    <w:rsid w:val="00DD0CE6"/>
    <w:rsid w:val="00DD0EDD"/>
    <w:rsid w:val="00DD18D8"/>
    <w:rsid w:val="00DD1E56"/>
    <w:rsid w:val="00DD20B4"/>
    <w:rsid w:val="00DD227E"/>
    <w:rsid w:val="00DD2334"/>
    <w:rsid w:val="00DD280C"/>
    <w:rsid w:val="00DD29B6"/>
    <w:rsid w:val="00DD29C0"/>
    <w:rsid w:val="00DD2CD8"/>
    <w:rsid w:val="00DD2FAB"/>
    <w:rsid w:val="00DD2FF6"/>
    <w:rsid w:val="00DD394A"/>
    <w:rsid w:val="00DD3EFE"/>
    <w:rsid w:val="00DD41A4"/>
    <w:rsid w:val="00DD44A2"/>
    <w:rsid w:val="00DD45E1"/>
    <w:rsid w:val="00DD5349"/>
    <w:rsid w:val="00DD558E"/>
    <w:rsid w:val="00DD5CD6"/>
    <w:rsid w:val="00DD6214"/>
    <w:rsid w:val="00DD6D00"/>
    <w:rsid w:val="00DD6E55"/>
    <w:rsid w:val="00DD6F29"/>
    <w:rsid w:val="00DD7059"/>
    <w:rsid w:val="00DD7124"/>
    <w:rsid w:val="00DD741B"/>
    <w:rsid w:val="00DD75E3"/>
    <w:rsid w:val="00DD79C5"/>
    <w:rsid w:val="00DE004D"/>
    <w:rsid w:val="00DE1D5D"/>
    <w:rsid w:val="00DE253C"/>
    <w:rsid w:val="00DE2550"/>
    <w:rsid w:val="00DE2857"/>
    <w:rsid w:val="00DE2A61"/>
    <w:rsid w:val="00DE2FCE"/>
    <w:rsid w:val="00DE37D6"/>
    <w:rsid w:val="00DE3EA1"/>
    <w:rsid w:val="00DE3F99"/>
    <w:rsid w:val="00DE40EA"/>
    <w:rsid w:val="00DE42C5"/>
    <w:rsid w:val="00DE44B5"/>
    <w:rsid w:val="00DE4732"/>
    <w:rsid w:val="00DE5329"/>
    <w:rsid w:val="00DE5A96"/>
    <w:rsid w:val="00DE5EE4"/>
    <w:rsid w:val="00DE64EB"/>
    <w:rsid w:val="00DE670A"/>
    <w:rsid w:val="00DE6DF2"/>
    <w:rsid w:val="00DE6E2B"/>
    <w:rsid w:val="00DE7058"/>
    <w:rsid w:val="00DE76D4"/>
    <w:rsid w:val="00DE7F4B"/>
    <w:rsid w:val="00DF0610"/>
    <w:rsid w:val="00DF0737"/>
    <w:rsid w:val="00DF0771"/>
    <w:rsid w:val="00DF0849"/>
    <w:rsid w:val="00DF0A8C"/>
    <w:rsid w:val="00DF0EB1"/>
    <w:rsid w:val="00DF196A"/>
    <w:rsid w:val="00DF1EC2"/>
    <w:rsid w:val="00DF20FD"/>
    <w:rsid w:val="00DF279E"/>
    <w:rsid w:val="00DF282A"/>
    <w:rsid w:val="00DF2BFA"/>
    <w:rsid w:val="00DF2FEF"/>
    <w:rsid w:val="00DF32B8"/>
    <w:rsid w:val="00DF3C4F"/>
    <w:rsid w:val="00DF3CA5"/>
    <w:rsid w:val="00DF4624"/>
    <w:rsid w:val="00DF4E9D"/>
    <w:rsid w:val="00DF5066"/>
    <w:rsid w:val="00DF594B"/>
    <w:rsid w:val="00DF5CFE"/>
    <w:rsid w:val="00DF5D3A"/>
    <w:rsid w:val="00DF5F6D"/>
    <w:rsid w:val="00DF5FEA"/>
    <w:rsid w:val="00DF616B"/>
    <w:rsid w:val="00DF6359"/>
    <w:rsid w:val="00DF65D5"/>
    <w:rsid w:val="00DF6C9C"/>
    <w:rsid w:val="00DF6E22"/>
    <w:rsid w:val="00DF779F"/>
    <w:rsid w:val="00DF7B11"/>
    <w:rsid w:val="00DF7B95"/>
    <w:rsid w:val="00E005B4"/>
    <w:rsid w:val="00E01DAA"/>
    <w:rsid w:val="00E0247F"/>
    <w:rsid w:val="00E02BD8"/>
    <w:rsid w:val="00E02FEE"/>
    <w:rsid w:val="00E03338"/>
    <w:rsid w:val="00E034D7"/>
    <w:rsid w:val="00E0437C"/>
    <w:rsid w:val="00E044AF"/>
    <w:rsid w:val="00E04E28"/>
    <w:rsid w:val="00E04E9F"/>
    <w:rsid w:val="00E05002"/>
    <w:rsid w:val="00E052C9"/>
    <w:rsid w:val="00E059D8"/>
    <w:rsid w:val="00E05A03"/>
    <w:rsid w:val="00E05C91"/>
    <w:rsid w:val="00E0657A"/>
    <w:rsid w:val="00E07285"/>
    <w:rsid w:val="00E07472"/>
    <w:rsid w:val="00E074F8"/>
    <w:rsid w:val="00E0761C"/>
    <w:rsid w:val="00E077D0"/>
    <w:rsid w:val="00E1011D"/>
    <w:rsid w:val="00E10622"/>
    <w:rsid w:val="00E11768"/>
    <w:rsid w:val="00E11D2E"/>
    <w:rsid w:val="00E128EB"/>
    <w:rsid w:val="00E12C5C"/>
    <w:rsid w:val="00E1375B"/>
    <w:rsid w:val="00E147C9"/>
    <w:rsid w:val="00E14AAA"/>
    <w:rsid w:val="00E14D17"/>
    <w:rsid w:val="00E1522F"/>
    <w:rsid w:val="00E1528B"/>
    <w:rsid w:val="00E1544E"/>
    <w:rsid w:val="00E15859"/>
    <w:rsid w:val="00E16066"/>
    <w:rsid w:val="00E16460"/>
    <w:rsid w:val="00E16563"/>
    <w:rsid w:val="00E16705"/>
    <w:rsid w:val="00E16800"/>
    <w:rsid w:val="00E1682C"/>
    <w:rsid w:val="00E169A1"/>
    <w:rsid w:val="00E16B10"/>
    <w:rsid w:val="00E16F0A"/>
    <w:rsid w:val="00E171E6"/>
    <w:rsid w:val="00E17224"/>
    <w:rsid w:val="00E174D1"/>
    <w:rsid w:val="00E1769F"/>
    <w:rsid w:val="00E17979"/>
    <w:rsid w:val="00E17A71"/>
    <w:rsid w:val="00E17D1C"/>
    <w:rsid w:val="00E212ED"/>
    <w:rsid w:val="00E21335"/>
    <w:rsid w:val="00E219FD"/>
    <w:rsid w:val="00E22E82"/>
    <w:rsid w:val="00E23A94"/>
    <w:rsid w:val="00E23FF5"/>
    <w:rsid w:val="00E240EB"/>
    <w:rsid w:val="00E24435"/>
    <w:rsid w:val="00E248BF"/>
    <w:rsid w:val="00E24A27"/>
    <w:rsid w:val="00E25150"/>
    <w:rsid w:val="00E276BC"/>
    <w:rsid w:val="00E30009"/>
    <w:rsid w:val="00E302DA"/>
    <w:rsid w:val="00E306B7"/>
    <w:rsid w:val="00E3071E"/>
    <w:rsid w:val="00E30D78"/>
    <w:rsid w:val="00E31CA2"/>
    <w:rsid w:val="00E32795"/>
    <w:rsid w:val="00E32878"/>
    <w:rsid w:val="00E32E30"/>
    <w:rsid w:val="00E32EA5"/>
    <w:rsid w:val="00E331DE"/>
    <w:rsid w:val="00E337DF"/>
    <w:rsid w:val="00E33907"/>
    <w:rsid w:val="00E34A26"/>
    <w:rsid w:val="00E35644"/>
    <w:rsid w:val="00E35B72"/>
    <w:rsid w:val="00E35D95"/>
    <w:rsid w:val="00E36013"/>
    <w:rsid w:val="00E361DD"/>
    <w:rsid w:val="00E36D8D"/>
    <w:rsid w:val="00E377F7"/>
    <w:rsid w:val="00E4018B"/>
    <w:rsid w:val="00E4018F"/>
    <w:rsid w:val="00E40290"/>
    <w:rsid w:val="00E40CD5"/>
    <w:rsid w:val="00E40EC8"/>
    <w:rsid w:val="00E41455"/>
    <w:rsid w:val="00E414F5"/>
    <w:rsid w:val="00E41CE7"/>
    <w:rsid w:val="00E424F5"/>
    <w:rsid w:val="00E424FE"/>
    <w:rsid w:val="00E428D3"/>
    <w:rsid w:val="00E429EB"/>
    <w:rsid w:val="00E432F5"/>
    <w:rsid w:val="00E4342C"/>
    <w:rsid w:val="00E434E0"/>
    <w:rsid w:val="00E4414D"/>
    <w:rsid w:val="00E44344"/>
    <w:rsid w:val="00E4452A"/>
    <w:rsid w:val="00E45047"/>
    <w:rsid w:val="00E45088"/>
    <w:rsid w:val="00E45610"/>
    <w:rsid w:val="00E45BAA"/>
    <w:rsid w:val="00E46D45"/>
    <w:rsid w:val="00E4733F"/>
    <w:rsid w:val="00E47B9E"/>
    <w:rsid w:val="00E47CFE"/>
    <w:rsid w:val="00E5088E"/>
    <w:rsid w:val="00E50B0A"/>
    <w:rsid w:val="00E50DB2"/>
    <w:rsid w:val="00E51194"/>
    <w:rsid w:val="00E51922"/>
    <w:rsid w:val="00E51D34"/>
    <w:rsid w:val="00E52464"/>
    <w:rsid w:val="00E527D4"/>
    <w:rsid w:val="00E5321D"/>
    <w:rsid w:val="00E5364B"/>
    <w:rsid w:val="00E537CB"/>
    <w:rsid w:val="00E5397C"/>
    <w:rsid w:val="00E5416E"/>
    <w:rsid w:val="00E54583"/>
    <w:rsid w:val="00E551BD"/>
    <w:rsid w:val="00E55BAD"/>
    <w:rsid w:val="00E55F5B"/>
    <w:rsid w:val="00E5650C"/>
    <w:rsid w:val="00E56C3A"/>
    <w:rsid w:val="00E56E26"/>
    <w:rsid w:val="00E56F85"/>
    <w:rsid w:val="00E56F88"/>
    <w:rsid w:val="00E57583"/>
    <w:rsid w:val="00E577FF"/>
    <w:rsid w:val="00E57B2F"/>
    <w:rsid w:val="00E605FF"/>
    <w:rsid w:val="00E60A13"/>
    <w:rsid w:val="00E60E87"/>
    <w:rsid w:val="00E611B9"/>
    <w:rsid w:val="00E613E4"/>
    <w:rsid w:val="00E61E34"/>
    <w:rsid w:val="00E6204A"/>
    <w:rsid w:val="00E62088"/>
    <w:rsid w:val="00E62212"/>
    <w:rsid w:val="00E6283B"/>
    <w:rsid w:val="00E6341A"/>
    <w:rsid w:val="00E63D4E"/>
    <w:rsid w:val="00E6424D"/>
    <w:rsid w:val="00E644A5"/>
    <w:rsid w:val="00E656EA"/>
    <w:rsid w:val="00E666EB"/>
    <w:rsid w:val="00E66D5B"/>
    <w:rsid w:val="00E67117"/>
    <w:rsid w:val="00E67789"/>
    <w:rsid w:val="00E67993"/>
    <w:rsid w:val="00E679F7"/>
    <w:rsid w:val="00E67A7A"/>
    <w:rsid w:val="00E67ACA"/>
    <w:rsid w:val="00E67C13"/>
    <w:rsid w:val="00E70CAE"/>
    <w:rsid w:val="00E71002"/>
    <w:rsid w:val="00E720F2"/>
    <w:rsid w:val="00E72347"/>
    <w:rsid w:val="00E72B8F"/>
    <w:rsid w:val="00E72F80"/>
    <w:rsid w:val="00E739B7"/>
    <w:rsid w:val="00E73E7E"/>
    <w:rsid w:val="00E746BE"/>
    <w:rsid w:val="00E747F2"/>
    <w:rsid w:val="00E74EEC"/>
    <w:rsid w:val="00E75085"/>
    <w:rsid w:val="00E75200"/>
    <w:rsid w:val="00E7532E"/>
    <w:rsid w:val="00E7583D"/>
    <w:rsid w:val="00E75A65"/>
    <w:rsid w:val="00E76566"/>
    <w:rsid w:val="00E76969"/>
    <w:rsid w:val="00E77912"/>
    <w:rsid w:val="00E77A0D"/>
    <w:rsid w:val="00E77D26"/>
    <w:rsid w:val="00E8010E"/>
    <w:rsid w:val="00E8022F"/>
    <w:rsid w:val="00E805FF"/>
    <w:rsid w:val="00E80664"/>
    <w:rsid w:val="00E80952"/>
    <w:rsid w:val="00E80B0C"/>
    <w:rsid w:val="00E80F19"/>
    <w:rsid w:val="00E817CE"/>
    <w:rsid w:val="00E81FC6"/>
    <w:rsid w:val="00E82200"/>
    <w:rsid w:val="00E82217"/>
    <w:rsid w:val="00E8238C"/>
    <w:rsid w:val="00E830DD"/>
    <w:rsid w:val="00E838FA"/>
    <w:rsid w:val="00E8395D"/>
    <w:rsid w:val="00E839FC"/>
    <w:rsid w:val="00E83C0A"/>
    <w:rsid w:val="00E83ED3"/>
    <w:rsid w:val="00E83F07"/>
    <w:rsid w:val="00E842C9"/>
    <w:rsid w:val="00E84411"/>
    <w:rsid w:val="00E84E40"/>
    <w:rsid w:val="00E84F32"/>
    <w:rsid w:val="00E857BA"/>
    <w:rsid w:val="00E875E3"/>
    <w:rsid w:val="00E8791B"/>
    <w:rsid w:val="00E8791C"/>
    <w:rsid w:val="00E900C5"/>
    <w:rsid w:val="00E90932"/>
    <w:rsid w:val="00E909F7"/>
    <w:rsid w:val="00E90A4E"/>
    <w:rsid w:val="00E90E4C"/>
    <w:rsid w:val="00E90EAB"/>
    <w:rsid w:val="00E91030"/>
    <w:rsid w:val="00E917EE"/>
    <w:rsid w:val="00E9201D"/>
    <w:rsid w:val="00E926CE"/>
    <w:rsid w:val="00E92EAA"/>
    <w:rsid w:val="00E93275"/>
    <w:rsid w:val="00E937A0"/>
    <w:rsid w:val="00E9417C"/>
    <w:rsid w:val="00E9433C"/>
    <w:rsid w:val="00E94648"/>
    <w:rsid w:val="00E946EC"/>
    <w:rsid w:val="00E94809"/>
    <w:rsid w:val="00E94CBA"/>
    <w:rsid w:val="00E94D85"/>
    <w:rsid w:val="00E94FDC"/>
    <w:rsid w:val="00E9581A"/>
    <w:rsid w:val="00E96034"/>
    <w:rsid w:val="00E9656F"/>
    <w:rsid w:val="00E9671B"/>
    <w:rsid w:val="00E96D94"/>
    <w:rsid w:val="00E97AAC"/>
    <w:rsid w:val="00EA03A9"/>
    <w:rsid w:val="00EA0657"/>
    <w:rsid w:val="00EA1028"/>
    <w:rsid w:val="00EA1115"/>
    <w:rsid w:val="00EA1F7C"/>
    <w:rsid w:val="00EA2BF9"/>
    <w:rsid w:val="00EA2F9C"/>
    <w:rsid w:val="00EA337D"/>
    <w:rsid w:val="00EA3632"/>
    <w:rsid w:val="00EA3C02"/>
    <w:rsid w:val="00EA3C5F"/>
    <w:rsid w:val="00EA51CD"/>
    <w:rsid w:val="00EA5974"/>
    <w:rsid w:val="00EA5B3A"/>
    <w:rsid w:val="00EA6D15"/>
    <w:rsid w:val="00EA71E5"/>
    <w:rsid w:val="00EB0103"/>
    <w:rsid w:val="00EB017B"/>
    <w:rsid w:val="00EB0328"/>
    <w:rsid w:val="00EB1083"/>
    <w:rsid w:val="00EB2967"/>
    <w:rsid w:val="00EB31BB"/>
    <w:rsid w:val="00EB35DE"/>
    <w:rsid w:val="00EB40B3"/>
    <w:rsid w:val="00EB4267"/>
    <w:rsid w:val="00EB502B"/>
    <w:rsid w:val="00EB5470"/>
    <w:rsid w:val="00EB5A03"/>
    <w:rsid w:val="00EB5AB0"/>
    <w:rsid w:val="00EB5FDE"/>
    <w:rsid w:val="00EB6056"/>
    <w:rsid w:val="00EB6A83"/>
    <w:rsid w:val="00EB6F3F"/>
    <w:rsid w:val="00EB73DA"/>
    <w:rsid w:val="00EB7B93"/>
    <w:rsid w:val="00EB7BAC"/>
    <w:rsid w:val="00EB7DA0"/>
    <w:rsid w:val="00EB7EBD"/>
    <w:rsid w:val="00EC0127"/>
    <w:rsid w:val="00EC09DF"/>
    <w:rsid w:val="00EC0E59"/>
    <w:rsid w:val="00EC0F80"/>
    <w:rsid w:val="00EC117F"/>
    <w:rsid w:val="00EC1480"/>
    <w:rsid w:val="00EC174F"/>
    <w:rsid w:val="00EC181A"/>
    <w:rsid w:val="00EC1AE2"/>
    <w:rsid w:val="00EC1D53"/>
    <w:rsid w:val="00EC1DAD"/>
    <w:rsid w:val="00EC23DE"/>
    <w:rsid w:val="00EC278B"/>
    <w:rsid w:val="00EC27C2"/>
    <w:rsid w:val="00EC3366"/>
    <w:rsid w:val="00EC3541"/>
    <w:rsid w:val="00EC38A8"/>
    <w:rsid w:val="00EC3CCD"/>
    <w:rsid w:val="00EC4C36"/>
    <w:rsid w:val="00EC4F9A"/>
    <w:rsid w:val="00EC531F"/>
    <w:rsid w:val="00EC5344"/>
    <w:rsid w:val="00EC53F7"/>
    <w:rsid w:val="00EC56FC"/>
    <w:rsid w:val="00EC595F"/>
    <w:rsid w:val="00EC5B91"/>
    <w:rsid w:val="00EC5C90"/>
    <w:rsid w:val="00EC60F0"/>
    <w:rsid w:val="00EC614E"/>
    <w:rsid w:val="00EC6383"/>
    <w:rsid w:val="00EC6444"/>
    <w:rsid w:val="00EC67C0"/>
    <w:rsid w:val="00EC6831"/>
    <w:rsid w:val="00EC73F4"/>
    <w:rsid w:val="00EC7AB6"/>
    <w:rsid w:val="00ED03F3"/>
    <w:rsid w:val="00ED1013"/>
    <w:rsid w:val="00ED1E38"/>
    <w:rsid w:val="00ED20E8"/>
    <w:rsid w:val="00ED238A"/>
    <w:rsid w:val="00ED31F5"/>
    <w:rsid w:val="00ED34CD"/>
    <w:rsid w:val="00ED367E"/>
    <w:rsid w:val="00ED3E47"/>
    <w:rsid w:val="00ED4612"/>
    <w:rsid w:val="00ED47D4"/>
    <w:rsid w:val="00ED4F65"/>
    <w:rsid w:val="00ED57CB"/>
    <w:rsid w:val="00ED5A64"/>
    <w:rsid w:val="00ED5C75"/>
    <w:rsid w:val="00ED62CE"/>
    <w:rsid w:val="00ED665B"/>
    <w:rsid w:val="00ED69B2"/>
    <w:rsid w:val="00ED6B4F"/>
    <w:rsid w:val="00ED6B52"/>
    <w:rsid w:val="00ED6E31"/>
    <w:rsid w:val="00ED72D2"/>
    <w:rsid w:val="00ED7598"/>
    <w:rsid w:val="00ED791F"/>
    <w:rsid w:val="00ED7B61"/>
    <w:rsid w:val="00EE0083"/>
    <w:rsid w:val="00EE00DD"/>
    <w:rsid w:val="00EE0617"/>
    <w:rsid w:val="00EE07E1"/>
    <w:rsid w:val="00EE0938"/>
    <w:rsid w:val="00EE0BF1"/>
    <w:rsid w:val="00EE0F80"/>
    <w:rsid w:val="00EE15CA"/>
    <w:rsid w:val="00EE1832"/>
    <w:rsid w:val="00EE1E21"/>
    <w:rsid w:val="00EE1F94"/>
    <w:rsid w:val="00EE2265"/>
    <w:rsid w:val="00EE2627"/>
    <w:rsid w:val="00EE2A95"/>
    <w:rsid w:val="00EE3296"/>
    <w:rsid w:val="00EE37A3"/>
    <w:rsid w:val="00EE3D49"/>
    <w:rsid w:val="00EE3EF8"/>
    <w:rsid w:val="00EE40B6"/>
    <w:rsid w:val="00EE428C"/>
    <w:rsid w:val="00EE42F7"/>
    <w:rsid w:val="00EE4609"/>
    <w:rsid w:val="00EE4CCA"/>
    <w:rsid w:val="00EE5055"/>
    <w:rsid w:val="00EE5C6D"/>
    <w:rsid w:val="00EE5EC1"/>
    <w:rsid w:val="00EE6266"/>
    <w:rsid w:val="00EE6C26"/>
    <w:rsid w:val="00EE6F28"/>
    <w:rsid w:val="00EE7B15"/>
    <w:rsid w:val="00EE7DE3"/>
    <w:rsid w:val="00EE7F47"/>
    <w:rsid w:val="00EF02B4"/>
    <w:rsid w:val="00EF07C7"/>
    <w:rsid w:val="00EF0CE7"/>
    <w:rsid w:val="00EF1E09"/>
    <w:rsid w:val="00EF232D"/>
    <w:rsid w:val="00EF24D9"/>
    <w:rsid w:val="00EF28D1"/>
    <w:rsid w:val="00EF28F0"/>
    <w:rsid w:val="00EF317B"/>
    <w:rsid w:val="00EF31B9"/>
    <w:rsid w:val="00EF3D5C"/>
    <w:rsid w:val="00EF4CEC"/>
    <w:rsid w:val="00EF5023"/>
    <w:rsid w:val="00EF5271"/>
    <w:rsid w:val="00EF5AB1"/>
    <w:rsid w:val="00EF5F81"/>
    <w:rsid w:val="00EF62B2"/>
    <w:rsid w:val="00EF6729"/>
    <w:rsid w:val="00EF6EA0"/>
    <w:rsid w:val="00F004FD"/>
    <w:rsid w:val="00F00698"/>
    <w:rsid w:val="00F00973"/>
    <w:rsid w:val="00F00E72"/>
    <w:rsid w:val="00F0101F"/>
    <w:rsid w:val="00F01AC7"/>
    <w:rsid w:val="00F01B09"/>
    <w:rsid w:val="00F01CA8"/>
    <w:rsid w:val="00F01F80"/>
    <w:rsid w:val="00F028EC"/>
    <w:rsid w:val="00F02DDF"/>
    <w:rsid w:val="00F03016"/>
    <w:rsid w:val="00F0315E"/>
    <w:rsid w:val="00F03165"/>
    <w:rsid w:val="00F0342F"/>
    <w:rsid w:val="00F03C4A"/>
    <w:rsid w:val="00F046E6"/>
    <w:rsid w:val="00F0488C"/>
    <w:rsid w:val="00F04E76"/>
    <w:rsid w:val="00F05101"/>
    <w:rsid w:val="00F05574"/>
    <w:rsid w:val="00F05F8F"/>
    <w:rsid w:val="00F06734"/>
    <w:rsid w:val="00F06904"/>
    <w:rsid w:val="00F07641"/>
    <w:rsid w:val="00F07814"/>
    <w:rsid w:val="00F078FB"/>
    <w:rsid w:val="00F10CDE"/>
    <w:rsid w:val="00F112AB"/>
    <w:rsid w:val="00F11483"/>
    <w:rsid w:val="00F116F4"/>
    <w:rsid w:val="00F11D76"/>
    <w:rsid w:val="00F12402"/>
    <w:rsid w:val="00F124DB"/>
    <w:rsid w:val="00F12628"/>
    <w:rsid w:val="00F12BDA"/>
    <w:rsid w:val="00F12E75"/>
    <w:rsid w:val="00F130F0"/>
    <w:rsid w:val="00F134FB"/>
    <w:rsid w:val="00F13629"/>
    <w:rsid w:val="00F13B9C"/>
    <w:rsid w:val="00F14EB0"/>
    <w:rsid w:val="00F14EB3"/>
    <w:rsid w:val="00F1641C"/>
    <w:rsid w:val="00F164D7"/>
    <w:rsid w:val="00F16652"/>
    <w:rsid w:val="00F166BC"/>
    <w:rsid w:val="00F178E3"/>
    <w:rsid w:val="00F17AEA"/>
    <w:rsid w:val="00F17DCD"/>
    <w:rsid w:val="00F20629"/>
    <w:rsid w:val="00F20820"/>
    <w:rsid w:val="00F20E1D"/>
    <w:rsid w:val="00F2133D"/>
    <w:rsid w:val="00F21D1E"/>
    <w:rsid w:val="00F21DFA"/>
    <w:rsid w:val="00F2207C"/>
    <w:rsid w:val="00F22106"/>
    <w:rsid w:val="00F221AC"/>
    <w:rsid w:val="00F2223C"/>
    <w:rsid w:val="00F22675"/>
    <w:rsid w:val="00F227BD"/>
    <w:rsid w:val="00F22861"/>
    <w:rsid w:val="00F2294D"/>
    <w:rsid w:val="00F22BFE"/>
    <w:rsid w:val="00F2396A"/>
    <w:rsid w:val="00F23EBC"/>
    <w:rsid w:val="00F240DE"/>
    <w:rsid w:val="00F259D0"/>
    <w:rsid w:val="00F25ADF"/>
    <w:rsid w:val="00F26245"/>
    <w:rsid w:val="00F263E4"/>
    <w:rsid w:val="00F265C2"/>
    <w:rsid w:val="00F272E9"/>
    <w:rsid w:val="00F273B7"/>
    <w:rsid w:val="00F276A3"/>
    <w:rsid w:val="00F277E1"/>
    <w:rsid w:val="00F30064"/>
    <w:rsid w:val="00F306C8"/>
    <w:rsid w:val="00F311F5"/>
    <w:rsid w:val="00F315CE"/>
    <w:rsid w:val="00F326C5"/>
    <w:rsid w:val="00F326FD"/>
    <w:rsid w:val="00F32B61"/>
    <w:rsid w:val="00F32D1B"/>
    <w:rsid w:val="00F32D1F"/>
    <w:rsid w:val="00F3377C"/>
    <w:rsid w:val="00F33AD7"/>
    <w:rsid w:val="00F33DAB"/>
    <w:rsid w:val="00F33EB3"/>
    <w:rsid w:val="00F33EFB"/>
    <w:rsid w:val="00F352BB"/>
    <w:rsid w:val="00F3553D"/>
    <w:rsid w:val="00F36CD6"/>
    <w:rsid w:val="00F36E86"/>
    <w:rsid w:val="00F374C5"/>
    <w:rsid w:val="00F375BB"/>
    <w:rsid w:val="00F3784D"/>
    <w:rsid w:val="00F37858"/>
    <w:rsid w:val="00F37B85"/>
    <w:rsid w:val="00F40053"/>
    <w:rsid w:val="00F402BA"/>
    <w:rsid w:val="00F40D65"/>
    <w:rsid w:val="00F40F97"/>
    <w:rsid w:val="00F412D2"/>
    <w:rsid w:val="00F41880"/>
    <w:rsid w:val="00F42019"/>
    <w:rsid w:val="00F42035"/>
    <w:rsid w:val="00F42404"/>
    <w:rsid w:val="00F426D7"/>
    <w:rsid w:val="00F427FF"/>
    <w:rsid w:val="00F42D42"/>
    <w:rsid w:val="00F43173"/>
    <w:rsid w:val="00F431A2"/>
    <w:rsid w:val="00F4341C"/>
    <w:rsid w:val="00F438B4"/>
    <w:rsid w:val="00F43ABF"/>
    <w:rsid w:val="00F43C76"/>
    <w:rsid w:val="00F440AA"/>
    <w:rsid w:val="00F44996"/>
    <w:rsid w:val="00F450DE"/>
    <w:rsid w:val="00F4513C"/>
    <w:rsid w:val="00F4514E"/>
    <w:rsid w:val="00F46325"/>
    <w:rsid w:val="00F471EF"/>
    <w:rsid w:val="00F4756A"/>
    <w:rsid w:val="00F475E5"/>
    <w:rsid w:val="00F476E5"/>
    <w:rsid w:val="00F47F00"/>
    <w:rsid w:val="00F50449"/>
    <w:rsid w:val="00F51AD1"/>
    <w:rsid w:val="00F51B36"/>
    <w:rsid w:val="00F52D2A"/>
    <w:rsid w:val="00F52E1C"/>
    <w:rsid w:val="00F52E21"/>
    <w:rsid w:val="00F53C6E"/>
    <w:rsid w:val="00F53F8D"/>
    <w:rsid w:val="00F548E9"/>
    <w:rsid w:val="00F54BE0"/>
    <w:rsid w:val="00F55A63"/>
    <w:rsid w:val="00F55D21"/>
    <w:rsid w:val="00F55E07"/>
    <w:rsid w:val="00F56794"/>
    <w:rsid w:val="00F5689C"/>
    <w:rsid w:val="00F570DF"/>
    <w:rsid w:val="00F57244"/>
    <w:rsid w:val="00F57834"/>
    <w:rsid w:val="00F578DB"/>
    <w:rsid w:val="00F60A1A"/>
    <w:rsid w:val="00F61B5F"/>
    <w:rsid w:val="00F62030"/>
    <w:rsid w:val="00F628B5"/>
    <w:rsid w:val="00F630B3"/>
    <w:rsid w:val="00F63709"/>
    <w:rsid w:val="00F63BFE"/>
    <w:rsid w:val="00F63F62"/>
    <w:rsid w:val="00F6453A"/>
    <w:rsid w:val="00F646E3"/>
    <w:rsid w:val="00F6485B"/>
    <w:rsid w:val="00F6611D"/>
    <w:rsid w:val="00F663BD"/>
    <w:rsid w:val="00F66747"/>
    <w:rsid w:val="00F67329"/>
    <w:rsid w:val="00F6767F"/>
    <w:rsid w:val="00F679F3"/>
    <w:rsid w:val="00F67ABE"/>
    <w:rsid w:val="00F67E3D"/>
    <w:rsid w:val="00F70176"/>
    <w:rsid w:val="00F70437"/>
    <w:rsid w:val="00F70D61"/>
    <w:rsid w:val="00F70F40"/>
    <w:rsid w:val="00F71810"/>
    <w:rsid w:val="00F7183F"/>
    <w:rsid w:val="00F720CD"/>
    <w:rsid w:val="00F72735"/>
    <w:rsid w:val="00F72A4D"/>
    <w:rsid w:val="00F72E0D"/>
    <w:rsid w:val="00F73728"/>
    <w:rsid w:val="00F73884"/>
    <w:rsid w:val="00F739FC"/>
    <w:rsid w:val="00F73C0D"/>
    <w:rsid w:val="00F74020"/>
    <w:rsid w:val="00F74640"/>
    <w:rsid w:val="00F74AB7"/>
    <w:rsid w:val="00F74E70"/>
    <w:rsid w:val="00F74F8F"/>
    <w:rsid w:val="00F750AB"/>
    <w:rsid w:val="00F75265"/>
    <w:rsid w:val="00F753D8"/>
    <w:rsid w:val="00F7570C"/>
    <w:rsid w:val="00F768FF"/>
    <w:rsid w:val="00F76A3B"/>
    <w:rsid w:val="00F77AD6"/>
    <w:rsid w:val="00F77F3B"/>
    <w:rsid w:val="00F8008C"/>
    <w:rsid w:val="00F80127"/>
    <w:rsid w:val="00F82B97"/>
    <w:rsid w:val="00F83037"/>
    <w:rsid w:val="00F83231"/>
    <w:rsid w:val="00F84047"/>
    <w:rsid w:val="00F84061"/>
    <w:rsid w:val="00F840C7"/>
    <w:rsid w:val="00F844AF"/>
    <w:rsid w:val="00F84859"/>
    <w:rsid w:val="00F85899"/>
    <w:rsid w:val="00F85981"/>
    <w:rsid w:val="00F85AE1"/>
    <w:rsid w:val="00F8603F"/>
    <w:rsid w:val="00F8614A"/>
    <w:rsid w:val="00F865AC"/>
    <w:rsid w:val="00F86BA7"/>
    <w:rsid w:val="00F86BAF"/>
    <w:rsid w:val="00F86DBA"/>
    <w:rsid w:val="00F8712C"/>
    <w:rsid w:val="00F8720B"/>
    <w:rsid w:val="00F872AF"/>
    <w:rsid w:val="00F872DD"/>
    <w:rsid w:val="00F8756E"/>
    <w:rsid w:val="00F878AB"/>
    <w:rsid w:val="00F87FE8"/>
    <w:rsid w:val="00F9055C"/>
    <w:rsid w:val="00F9056D"/>
    <w:rsid w:val="00F90694"/>
    <w:rsid w:val="00F909AC"/>
    <w:rsid w:val="00F90AD0"/>
    <w:rsid w:val="00F90DB6"/>
    <w:rsid w:val="00F9127C"/>
    <w:rsid w:val="00F9186F"/>
    <w:rsid w:val="00F91B72"/>
    <w:rsid w:val="00F91DE5"/>
    <w:rsid w:val="00F91F0D"/>
    <w:rsid w:val="00F92197"/>
    <w:rsid w:val="00F9254D"/>
    <w:rsid w:val="00F92901"/>
    <w:rsid w:val="00F92E4F"/>
    <w:rsid w:val="00F9320E"/>
    <w:rsid w:val="00F93326"/>
    <w:rsid w:val="00F93484"/>
    <w:rsid w:val="00F9373C"/>
    <w:rsid w:val="00F93E5F"/>
    <w:rsid w:val="00F9440A"/>
    <w:rsid w:val="00F947FE"/>
    <w:rsid w:val="00F94A49"/>
    <w:rsid w:val="00F94DBC"/>
    <w:rsid w:val="00F9528C"/>
    <w:rsid w:val="00F95512"/>
    <w:rsid w:val="00F95BC2"/>
    <w:rsid w:val="00F96B76"/>
    <w:rsid w:val="00F97363"/>
    <w:rsid w:val="00F9737E"/>
    <w:rsid w:val="00F9775F"/>
    <w:rsid w:val="00F97C88"/>
    <w:rsid w:val="00F97E7F"/>
    <w:rsid w:val="00F97EA1"/>
    <w:rsid w:val="00FA026F"/>
    <w:rsid w:val="00FA1408"/>
    <w:rsid w:val="00FA1F72"/>
    <w:rsid w:val="00FA20AB"/>
    <w:rsid w:val="00FA24BE"/>
    <w:rsid w:val="00FA2ED4"/>
    <w:rsid w:val="00FA3971"/>
    <w:rsid w:val="00FA45FB"/>
    <w:rsid w:val="00FA471E"/>
    <w:rsid w:val="00FA4C1E"/>
    <w:rsid w:val="00FA4EE9"/>
    <w:rsid w:val="00FA6547"/>
    <w:rsid w:val="00FA6A4C"/>
    <w:rsid w:val="00FA711E"/>
    <w:rsid w:val="00FA7221"/>
    <w:rsid w:val="00FA760D"/>
    <w:rsid w:val="00FB0178"/>
    <w:rsid w:val="00FB078A"/>
    <w:rsid w:val="00FB158E"/>
    <w:rsid w:val="00FB17DF"/>
    <w:rsid w:val="00FB2016"/>
    <w:rsid w:val="00FB2C23"/>
    <w:rsid w:val="00FB30FF"/>
    <w:rsid w:val="00FB3547"/>
    <w:rsid w:val="00FB3D05"/>
    <w:rsid w:val="00FB4223"/>
    <w:rsid w:val="00FB42A7"/>
    <w:rsid w:val="00FB43ED"/>
    <w:rsid w:val="00FB467D"/>
    <w:rsid w:val="00FB4A5B"/>
    <w:rsid w:val="00FB4E04"/>
    <w:rsid w:val="00FB4F43"/>
    <w:rsid w:val="00FB4FF6"/>
    <w:rsid w:val="00FB50C7"/>
    <w:rsid w:val="00FB5DA2"/>
    <w:rsid w:val="00FB613E"/>
    <w:rsid w:val="00FB66AC"/>
    <w:rsid w:val="00FB6B23"/>
    <w:rsid w:val="00FB7195"/>
    <w:rsid w:val="00FB78A7"/>
    <w:rsid w:val="00FB7FE7"/>
    <w:rsid w:val="00FC006C"/>
    <w:rsid w:val="00FC10EE"/>
    <w:rsid w:val="00FC1756"/>
    <w:rsid w:val="00FC1F09"/>
    <w:rsid w:val="00FC246F"/>
    <w:rsid w:val="00FC26CD"/>
    <w:rsid w:val="00FC2BC8"/>
    <w:rsid w:val="00FC2E89"/>
    <w:rsid w:val="00FC34DE"/>
    <w:rsid w:val="00FC58DA"/>
    <w:rsid w:val="00FC5C72"/>
    <w:rsid w:val="00FC5FA3"/>
    <w:rsid w:val="00FC67A4"/>
    <w:rsid w:val="00FC67DE"/>
    <w:rsid w:val="00FC68B0"/>
    <w:rsid w:val="00FC6D93"/>
    <w:rsid w:val="00FC6F73"/>
    <w:rsid w:val="00FC7BC0"/>
    <w:rsid w:val="00FC7FE9"/>
    <w:rsid w:val="00FD00F1"/>
    <w:rsid w:val="00FD014E"/>
    <w:rsid w:val="00FD0760"/>
    <w:rsid w:val="00FD15B5"/>
    <w:rsid w:val="00FD1ED9"/>
    <w:rsid w:val="00FD270D"/>
    <w:rsid w:val="00FD2AB5"/>
    <w:rsid w:val="00FD2B80"/>
    <w:rsid w:val="00FD380B"/>
    <w:rsid w:val="00FD3E9B"/>
    <w:rsid w:val="00FD4B4E"/>
    <w:rsid w:val="00FD5200"/>
    <w:rsid w:val="00FD5619"/>
    <w:rsid w:val="00FD59CD"/>
    <w:rsid w:val="00FD59EC"/>
    <w:rsid w:val="00FD5A59"/>
    <w:rsid w:val="00FD5C7C"/>
    <w:rsid w:val="00FD61D6"/>
    <w:rsid w:val="00FD6488"/>
    <w:rsid w:val="00FD666C"/>
    <w:rsid w:val="00FD6B45"/>
    <w:rsid w:val="00FD6B70"/>
    <w:rsid w:val="00FD6EFC"/>
    <w:rsid w:val="00FD72E8"/>
    <w:rsid w:val="00FD7CBF"/>
    <w:rsid w:val="00FD7F58"/>
    <w:rsid w:val="00FE03C9"/>
    <w:rsid w:val="00FE0DDE"/>
    <w:rsid w:val="00FE1550"/>
    <w:rsid w:val="00FE17E8"/>
    <w:rsid w:val="00FE2126"/>
    <w:rsid w:val="00FE26CD"/>
    <w:rsid w:val="00FE31A3"/>
    <w:rsid w:val="00FE3485"/>
    <w:rsid w:val="00FE3568"/>
    <w:rsid w:val="00FE3A62"/>
    <w:rsid w:val="00FE41CB"/>
    <w:rsid w:val="00FE4510"/>
    <w:rsid w:val="00FE462A"/>
    <w:rsid w:val="00FE4DB5"/>
    <w:rsid w:val="00FE4E51"/>
    <w:rsid w:val="00FE5FA2"/>
    <w:rsid w:val="00FE63E1"/>
    <w:rsid w:val="00FE6CA1"/>
    <w:rsid w:val="00FE78D6"/>
    <w:rsid w:val="00FE7AC8"/>
    <w:rsid w:val="00FE7CA5"/>
    <w:rsid w:val="00FE7D78"/>
    <w:rsid w:val="00FE7F4F"/>
    <w:rsid w:val="00FF00A1"/>
    <w:rsid w:val="00FF06C6"/>
    <w:rsid w:val="00FF0D7E"/>
    <w:rsid w:val="00FF0DC8"/>
    <w:rsid w:val="00FF0E8B"/>
    <w:rsid w:val="00FF0FC0"/>
    <w:rsid w:val="00FF1550"/>
    <w:rsid w:val="00FF15A8"/>
    <w:rsid w:val="00FF16B6"/>
    <w:rsid w:val="00FF19BF"/>
    <w:rsid w:val="00FF1D54"/>
    <w:rsid w:val="00FF21A5"/>
    <w:rsid w:val="00FF2FA9"/>
    <w:rsid w:val="00FF30D7"/>
    <w:rsid w:val="00FF336E"/>
    <w:rsid w:val="00FF3C79"/>
    <w:rsid w:val="00FF3CF0"/>
    <w:rsid w:val="00FF3D19"/>
    <w:rsid w:val="00FF4063"/>
    <w:rsid w:val="00FF40B0"/>
    <w:rsid w:val="00FF41CF"/>
    <w:rsid w:val="00FF43D6"/>
    <w:rsid w:val="00FF4ADF"/>
    <w:rsid w:val="00FF5070"/>
    <w:rsid w:val="00FF540D"/>
    <w:rsid w:val="00FF64B7"/>
    <w:rsid w:val="00FF6B8A"/>
    <w:rsid w:val="00FF72AD"/>
    <w:rsid w:val="00FF7394"/>
    <w:rsid w:val="00FF75B3"/>
    <w:rsid w:val="00FF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4F66D"/>
  <w15:chartTrackingRefBased/>
  <w15:docId w15:val="{022DFE19-4B5B-4CCF-AAC9-57C40B7A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3B"/>
    <w:pPr>
      <w:spacing w:after="0" w:line="240" w:lineRule="auto"/>
    </w:pPr>
    <w:rPr>
      <w:rFonts w:ascii="Verdana" w:eastAsiaTheme="minorEastAsia" w:hAnsi="Verdana"/>
      <w:sz w:val="24"/>
      <w:szCs w:val="24"/>
    </w:rPr>
  </w:style>
  <w:style w:type="paragraph" w:styleId="Heading1">
    <w:name w:val="heading 1"/>
    <w:basedOn w:val="Normal"/>
    <w:next w:val="Normal"/>
    <w:link w:val="Heading1Char"/>
    <w:uiPriority w:val="9"/>
    <w:qFormat/>
    <w:rsid w:val="009E5D23"/>
    <w:pPr>
      <w:keepNext/>
      <w:keepLines/>
      <w:numPr>
        <w:numId w:val="1"/>
      </w:numPr>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9E5D23"/>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EF6EA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259D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FBC"/>
    <w:pPr>
      <w:ind w:left="720"/>
      <w:contextualSpacing/>
    </w:pPr>
  </w:style>
  <w:style w:type="character" w:styleId="Hyperlink">
    <w:name w:val="Hyperlink"/>
    <w:basedOn w:val="DefaultParagraphFont"/>
    <w:uiPriority w:val="99"/>
    <w:unhideWhenUsed/>
    <w:rsid w:val="009C14E6"/>
    <w:rPr>
      <w:color w:val="0000FF"/>
      <w:u w:val="single"/>
    </w:rPr>
  </w:style>
  <w:style w:type="table" w:styleId="TableGrid">
    <w:name w:val="Table Grid"/>
    <w:basedOn w:val="TableNormal"/>
    <w:uiPriority w:val="39"/>
    <w:rsid w:val="00CF7F5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5682"/>
    <w:rPr>
      <w:color w:val="605E5C"/>
      <w:shd w:val="clear" w:color="auto" w:fill="E1DFDD"/>
    </w:rPr>
  </w:style>
  <w:style w:type="character" w:styleId="FollowedHyperlink">
    <w:name w:val="FollowedHyperlink"/>
    <w:basedOn w:val="DefaultParagraphFont"/>
    <w:uiPriority w:val="99"/>
    <w:semiHidden/>
    <w:unhideWhenUsed/>
    <w:rsid w:val="00B901BC"/>
    <w:rPr>
      <w:color w:val="954F72" w:themeColor="followedHyperlink"/>
      <w:u w:val="single"/>
    </w:rPr>
  </w:style>
  <w:style w:type="character" w:customStyle="1" w:styleId="Heading1Char">
    <w:name w:val="Heading 1 Char"/>
    <w:basedOn w:val="DefaultParagraphFont"/>
    <w:link w:val="Heading1"/>
    <w:uiPriority w:val="9"/>
    <w:rsid w:val="009E5D23"/>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9E5D23"/>
    <w:rPr>
      <w:rFonts w:ascii="Verdana" w:eastAsiaTheme="majorEastAsia" w:hAnsi="Verdana" w:cstheme="majorBidi"/>
      <w:b/>
      <w:sz w:val="24"/>
      <w:szCs w:val="26"/>
    </w:rPr>
  </w:style>
  <w:style w:type="paragraph" w:styleId="Footer">
    <w:name w:val="footer"/>
    <w:basedOn w:val="Normal"/>
    <w:link w:val="FooterChar"/>
    <w:uiPriority w:val="99"/>
    <w:unhideWhenUsed/>
    <w:rsid w:val="009E5D23"/>
    <w:pPr>
      <w:tabs>
        <w:tab w:val="center" w:pos="4320"/>
        <w:tab w:val="right" w:pos="8640"/>
      </w:tabs>
    </w:pPr>
  </w:style>
  <w:style w:type="character" w:customStyle="1" w:styleId="FooterChar">
    <w:name w:val="Footer Char"/>
    <w:basedOn w:val="DefaultParagraphFont"/>
    <w:link w:val="Footer"/>
    <w:uiPriority w:val="99"/>
    <w:rsid w:val="009E5D23"/>
    <w:rPr>
      <w:rFonts w:ascii="Verdana" w:eastAsiaTheme="minorEastAsia" w:hAnsi="Verdana"/>
      <w:sz w:val="24"/>
      <w:szCs w:val="24"/>
    </w:rPr>
  </w:style>
  <w:style w:type="paragraph" w:customStyle="1" w:styleId="BasicParagraph">
    <w:name w:val="[Basic Paragraph]"/>
    <w:basedOn w:val="Normal"/>
    <w:uiPriority w:val="99"/>
    <w:rsid w:val="009E5D2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FootnoteText">
    <w:name w:val="footnote text"/>
    <w:basedOn w:val="Normal"/>
    <w:link w:val="FootnoteTextChar"/>
    <w:uiPriority w:val="99"/>
    <w:unhideWhenUsed/>
    <w:rsid w:val="009E5D23"/>
  </w:style>
  <w:style w:type="character" w:customStyle="1" w:styleId="FootnoteTextChar">
    <w:name w:val="Footnote Text Char"/>
    <w:basedOn w:val="DefaultParagraphFont"/>
    <w:link w:val="FootnoteText"/>
    <w:uiPriority w:val="99"/>
    <w:rsid w:val="009E5D23"/>
    <w:rPr>
      <w:rFonts w:ascii="Verdana" w:eastAsiaTheme="minorEastAsia" w:hAnsi="Verdana"/>
      <w:sz w:val="24"/>
      <w:szCs w:val="24"/>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unhideWhenUsed/>
    <w:qFormat/>
    <w:rsid w:val="009E5D23"/>
    <w:rPr>
      <w:vertAlign w:val="superscript"/>
    </w:rPr>
  </w:style>
  <w:style w:type="character" w:styleId="PageNumber">
    <w:name w:val="page number"/>
    <w:basedOn w:val="DefaultParagraphFont"/>
    <w:uiPriority w:val="99"/>
    <w:semiHidden/>
    <w:unhideWhenUsed/>
    <w:rsid w:val="009E5D23"/>
  </w:style>
  <w:style w:type="paragraph" w:customStyle="1" w:styleId="Default">
    <w:name w:val="Default"/>
    <w:rsid w:val="009E5D23"/>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customStyle="1" w:styleId="NIHRCFootnotes">
    <w:name w:val="NIHRC Footnotes"/>
    <w:basedOn w:val="Normal"/>
    <w:qFormat/>
    <w:rsid w:val="009E5D23"/>
    <w:pPr>
      <w:tabs>
        <w:tab w:val="left" w:pos="284"/>
      </w:tabs>
    </w:pPr>
    <w:rPr>
      <w:rFonts w:cs="Arial"/>
      <w:color w:val="77328A"/>
      <w:sz w:val="16"/>
      <w:szCs w:val="16"/>
    </w:rPr>
  </w:style>
  <w:style w:type="paragraph" w:styleId="TOCHeading">
    <w:name w:val="TOC Heading"/>
    <w:basedOn w:val="Heading1"/>
    <w:next w:val="Normal"/>
    <w:uiPriority w:val="39"/>
    <w:unhideWhenUsed/>
    <w:qFormat/>
    <w:rsid w:val="009E5D23"/>
    <w:pPr>
      <w:numPr>
        <w:numId w:val="0"/>
      </w:numPr>
      <w:spacing w:line="259" w:lineRule="auto"/>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9E5D23"/>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9E5D23"/>
    <w:pPr>
      <w:spacing w:after="100" w:line="259" w:lineRule="auto"/>
    </w:pPr>
    <w:rPr>
      <w:rFonts w:cs="Times New Roman"/>
      <w:sz w:val="22"/>
      <w:szCs w:val="22"/>
      <w:lang w:val="en-US"/>
    </w:rPr>
  </w:style>
  <w:style w:type="paragraph" w:styleId="Header">
    <w:name w:val="header"/>
    <w:basedOn w:val="Normal"/>
    <w:link w:val="HeaderChar"/>
    <w:uiPriority w:val="99"/>
    <w:unhideWhenUsed/>
    <w:rsid w:val="00847724"/>
    <w:pPr>
      <w:tabs>
        <w:tab w:val="center" w:pos="4513"/>
        <w:tab w:val="right" w:pos="9026"/>
      </w:tabs>
    </w:pPr>
  </w:style>
  <w:style w:type="character" w:customStyle="1" w:styleId="HeaderChar">
    <w:name w:val="Header Char"/>
    <w:basedOn w:val="DefaultParagraphFont"/>
    <w:link w:val="Header"/>
    <w:uiPriority w:val="99"/>
    <w:rsid w:val="00847724"/>
    <w:rPr>
      <w:rFonts w:ascii="Verdana" w:eastAsiaTheme="minorEastAsia" w:hAnsi="Verdana"/>
      <w:sz w:val="24"/>
      <w:szCs w:val="24"/>
    </w:rPr>
  </w:style>
  <w:style w:type="character" w:styleId="CommentReference">
    <w:name w:val="annotation reference"/>
    <w:basedOn w:val="DefaultParagraphFont"/>
    <w:uiPriority w:val="99"/>
    <w:semiHidden/>
    <w:unhideWhenUsed/>
    <w:rsid w:val="00F16652"/>
    <w:rPr>
      <w:sz w:val="16"/>
      <w:szCs w:val="16"/>
    </w:rPr>
  </w:style>
  <w:style w:type="paragraph" w:styleId="CommentText">
    <w:name w:val="annotation text"/>
    <w:basedOn w:val="Normal"/>
    <w:link w:val="CommentTextChar"/>
    <w:uiPriority w:val="99"/>
    <w:unhideWhenUsed/>
    <w:rsid w:val="00F16652"/>
    <w:rPr>
      <w:sz w:val="20"/>
      <w:szCs w:val="20"/>
    </w:rPr>
  </w:style>
  <w:style w:type="character" w:customStyle="1" w:styleId="CommentTextChar">
    <w:name w:val="Comment Text Char"/>
    <w:basedOn w:val="DefaultParagraphFont"/>
    <w:link w:val="CommentText"/>
    <w:uiPriority w:val="99"/>
    <w:rsid w:val="00F16652"/>
    <w:rPr>
      <w:rFonts w:ascii="Verdana" w:eastAsiaTheme="minorEastAsia" w:hAnsi="Verdana"/>
      <w:sz w:val="20"/>
      <w:szCs w:val="20"/>
    </w:rPr>
  </w:style>
  <w:style w:type="paragraph" w:styleId="CommentSubject">
    <w:name w:val="annotation subject"/>
    <w:basedOn w:val="CommentText"/>
    <w:next w:val="CommentText"/>
    <w:link w:val="CommentSubjectChar"/>
    <w:uiPriority w:val="99"/>
    <w:semiHidden/>
    <w:unhideWhenUsed/>
    <w:rsid w:val="00F16652"/>
    <w:rPr>
      <w:b/>
      <w:bCs/>
    </w:rPr>
  </w:style>
  <w:style w:type="character" w:customStyle="1" w:styleId="CommentSubjectChar">
    <w:name w:val="Comment Subject Char"/>
    <w:basedOn w:val="CommentTextChar"/>
    <w:link w:val="CommentSubject"/>
    <w:uiPriority w:val="99"/>
    <w:semiHidden/>
    <w:rsid w:val="00F16652"/>
    <w:rPr>
      <w:rFonts w:ascii="Verdana" w:eastAsiaTheme="minorEastAsia" w:hAnsi="Verdana"/>
      <w:b/>
      <w:bCs/>
      <w:sz w:val="20"/>
      <w:szCs w:val="20"/>
    </w:rPr>
  </w:style>
  <w:style w:type="paragraph" w:styleId="BalloonText">
    <w:name w:val="Balloon Text"/>
    <w:basedOn w:val="Normal"/>
    <w:link w:val="BalloonTextChar"/>
    <w:uiPriority w:val="99"/>
    <w:semiHidden/>
    <w:unhideWhenUsed/>
    <w:rsid w:val="00F166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52"/>
    <w:rPr>
      <w:rFonts w:ascii="Segoe UI" w:eastAsiaTheme="minorEastAsia" w:hAnsi="Segoe UI" w:cs="Segoe UI"/>
      <w:sz w:val="18"/>
      <w:szCs w:val="18"/>
    </w:rPr>
  </w:style>
  <w:style w:type="character" w:styleId="Emphasis">
    <w:name w:val="Emphasis"/>
    <w:basedOn w:val="DefaultParagraphFont"/>
    <w:uiPriority w:val="20"/>
    <w:qFormat/>
    <w:rsid w:val="001C0E55"/>
    <w:rPr>
      <w:i/>
      <w:iCs/>
    </w:rPr>
  </w:style>
  <w:style w:type="character" w:customStyle="1" w:styleId="UnresolvedMention2">
    <w:name w:val="Unresolved Mention2"/>
    <w:basedOn w:val="DefaultParagraphFont"/>
    <w:uiPriority w:val="99"/>
    <w:semiHidden/>
    <w:unhideWhenUsed/>
    <w:rsid w:val="00926903"/>
    <w:rPr>
      <w:color w:val="605E5C"/>
      <w:shd w:val="clear" w:color="auto" w:fill="E1DFDD"/>
    </w:rPr>
  </w:style>
  <w:style w:type="character" w:customStyle="1" w:styleId="Heading3Char">
    <w:name w:val="Heading 3 Char"/>
    <w:basedOn w:val="DefaultParagraphFont"/>
    <w:link w:val="Heading3"/>
    <w:uiPriority w:val="9"/>
    <w:semiHidden/>
    <w:rsid w:val="00EF6EA0"/>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38698C"/>
    <w:rPr>
      <w:color w:val="605E5C"/>
      <w:shd w:val="clear" w:color="auto" w:fill="E1DFDD"/>
    </w:rPr>
  </w:style>
  <w:style w:type="character" w:customStyle="1" w:styleId="UnresolvedMention4">
    <w:name w:val="Unresolved Mention4"/>
    <w:basedOn w:val="DefaultParagraphFont"/>
    <w:uiPriority w:val="99"/>
    <w:semiHidden/>
    <w:unhideWhenUsed/>
    <w:rsid w:val="00EC27C2"/>
    <w:rPr>
      <w:color w:val="605E5C"/>
      <w:shd w:val="clear" w:color="auto" w:fill="E1DFDD"/>
    </w:rPr>
  </w:style>
  <w:style w:type="paragraph" w:styleId="NormalWeb">
    <w:name w:val="Normal (Web)"/>
    <w:basedOn w:val="Normal"/>
    <w:uiPriority w:val="99"/>
    <w:semiHidden/>
    <w:unhideWhenUsed/>
    <w:rsid w:val="00684477"/>
    <w:rPr>
      <w:rFonts w:ascii="Times New Roman" w:hAnsi="Times New Roman" w:cs="Times New Roman"/>
    </w:rPr>
  </w:style>
  <w:style w:type="character" w:styleId="UnresolvedMention">
    <w:name w:val="Unresolved Mention"/>
    <w:basedOn w:val="DefaultParagraphFont"/>
    <w:uiPriority w:val="99"/>
    <w:semiHidden/>
    <w:unhideWhenUsed/>
    <w:rsid w:val="00704826"/>
    <w:rPr>
      <w:color w:val="605E5C"/>
      <w:shd w:val="clear" w:color="auto" w:fill="E1DFDD"/>
    </w:rPr>
  </w:style>
  <w:style w:type="paragraph" w:styleId="Revision">
    <w:name w:val="Revision"/>
    <w:hidden/>
    <w:uiPriority w:val="99"/>
    <w:semiHidden/>
    <w:rsid w:val="00704826"/>
    <w:pPr>
      <w:spacing w:after="0" w:line="240" w:lineRule="auto"/>
    </w:pPr>
    <w:rPr>
      <w:rFonts w:ascii="Arial" w:hAnsi="Arial"/>
      <w:sz w:val="24"/>
    </w:rPr>
  </w:style>
  <w:style w:type="paragraph" w:customStyle="1" w:styleId="NIHRCH1">
    <w:name w:val="NIHRC H1"/>
    <w:basedOn w:val="Normal"/>
    <w:link w:val="NIHRCH1Char"/>
    <w:qFormat/>
    <w:rsid w:val="00704826"/>
    <w:pPr>
      <w:autoSpaceDE w:val="0"/>
      <w:autoSpaceDN w:val="0"/>
      <w:adjustRightInd w:val="0"/>
    </w:pPr>
    <w:rPr>
      <w:rFonts w:eastAsiaTheme="minorHAnsi" w:cs="Arial"/>
      <w:b/>
      <w:bCs/>
      <w:i/>
      <w:iCs/>
      <w:color w:val="222222"/>
      <w:szCs w:val="22"/>
      <w:shd w:val="clear" w:color="auto" w:fill="FFFFFF"/>
    </w:rPr>
  </w:style>
  <w:style w:type="paragraph" w:customStyle="1" w:styleId="NIHRCH2">
    <w:name w:val="NIHRC H2"/>
    <w:basedOn w:val="Normal"/>
    <w:link w:val="NIHRCH2Char"/>
    <w:qFormat/>
    <w:rsid w:val="00704826"/>
    <w:pPr>
      <w:autoSpaceDE w:val="0"/>
      <w:autoSpaceDN w:val="0"/>
      <w:adjustRightInd w:val="0"/>
    </w:pPr>
    <w:rPr>
      <w:rFonts w:eastAsiaTheme="minorHAnsi" w:cs="Arial"/>
      <w:kern w:val="24"/>
      <w:u w:val="single"/>
    </w:rPr>
  </w:style>
  <w:style w:type="character" w:customStyle="1" w:styleId="NIHRCH1Char">
    <w:name w:val="NIHRC H1 Char"/>
    <w:basedOn w:val="DefaultParagraphFont"/>
    <w:link w:val="NIHRCH1"/>
    <w:rsid w:val="00704826"/>
    <w:rPr>
      <w:rFonts w:ascii="Verdana" w:hAnsi="Verdana" w:cs="Arial"/>
      <w:b/>
      <w:bCs/>
      <w:i/>
      <w:iCs/>
      <w:color w:val="222222"/>
      <w:sz w:val="24"/>
    </w:rPr>
  </w:style>
  <w:style w:type="character" w:customStyle="1" w:styleId="NIHRCH2Char">
    <w:name w:val="NIHRC H2 Char"/>
    <w:basedOn w:val="DefaultParagraphFont"/>
    <w:link w:val="NIHRCH2"/>
    <w:rsid w:val="00704826"/>
    <w:rPr>
      <w:rFonts w:ascii="Verdana" w:hAnsi="Verdana" w:cs="Arial"/>
      <w:kern w:val="24"/>
      <w:sz w:val="24"/>
      <w:szCs w:val="24"/>
      <w:u w:val="single"/>
    </w:rPr>
  </w:style>
  <w:style w:type="character" w:customStyle="1" w:styleId="Heading4Char">
    <w:name w:val="Heading 4 Char"/>
    <w:basedOn w:val="DefaultParagraphFont"/>
    <w:link w:val="Heading4"/>
    <w:uiPriority w:val="9"/>
    <w:semiHidden/>
    <w:rsid w:val="00F259D0"/>
    <w:rPr>
      <w:rFonts w:asciiTheme="majorHAnsi" w:eastAsiaTheme="majorEastAsia" w:hAnsiTheme="majorHAnsi" w:cstheme="majorBidi"/>
      <w:i/>
      <w:iCs/>
      <w:color w:val="2F5496" w:themeColor="accent1" w:themeShade="BF"/>
      <w:sz w:val="24"/>
      <w:szCs w:val="24"/>
    </w:rPr>
  </w:style>
  <w:style w:type="paragraph" w:styleId="EndnoteText">
    <w:name w:val="endnote text"/>
    <w:basedOn w:val="Normal"/>
    <w:link w:val="EndnoteTextChar"/>
    <w:uiPriority w:val="99"/>
    <w:semiHidden/>
    <w:unhideWhenUsed/>
    <w:rsid w:val="003D284E"/>
    <w:rPr>
      <w:sz w:val="20"/>
      <w:szCs w:val="20"/>
    </w:rPr>
  </w:style>
  <w:style w:type="character" w:customStyle="1" w:styleId="EndnoteTextChar">
    <w:name w:val="Endnote Text Char"/>
    <w:basedOn w:val="DefaultParagraphFont"/>
    <w:link w:val="EndnoteText"/>
    <w:uiPriority w:val="99"/>
    <w:semiHidden/>
    <w:rsid w:val="003D284E"/>
    <w:rPr>
      <w:rFonts w:ascii="Verdana" w:eastAsiaTheme="minorEastAsia" w:hAnsi="Verdana"/>
      <w:sz w:val="20"/>
      <w:szCs w:val="20"/>
    </w:rPr>
  </w:style>
  <w:style w:type="character" w:styleId="EndnoteReference">
    <w:name w:val="endnote reference"/>
    <w:basedOn w:val="DefaultParagraphFont"/>
    <w:uiPriority w:val="99"/>
    <w:semiHidden/>
    <w:unhideWhenUsed/>
    <w:rsid w:val="003D2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767">
      <w:bodyDiv w:val="1"/>
      <w:marLeft w:val="0"/>
      <w:marRight w:val="0"/>
      <w:marTop w:val="0"/>
      <w:marBottom w:val="0"/>
      <w:divBdr>
        <w:top w:val="none" w:sz="0" w:space="0" w:color="auto"/>
        <w:left w:val="none" w:sz="0" w:space="0" w:color="auto"/>
        <w:bottom w:val="none" w:sz="0" w:space="0" w:color="auto"/>
        <w:right w:val="none" w:sz="0" w:space="0" w:color="auto"/>
      </w:divBdr>
    </w:div>
    <w:div w:id="37172262">
      <w:bodyDiv w:val="1"/>
      <w:marLeft w:val="0"/>
      <w:marRight w:val="0"/>
      <w:marTop w:val="0"/>
      <w:marBottom w:val="0"/>
      <w:divBdr>
        <w:top w:val="none" w:sz="0" w:space="0" w:color="auto"/>
        <w:left w:val="none" w:sz="0" w:space="0" w:color="auto"/>
        <w:bottom w:val="none" w:sz="0" w:space="0" w:color="auto"/>
        <w:right w:val="none" w:sz="0" w:space="0" w:color="auto"/>
      </w:divBdr>
    </w:div>
    <w:div w:id="84807883">
      <w:bodyDiv w:val="1"/>
      <w:marLeft w:val="0"/>
      <w:marRight w:val="0"/>
      <w:marTop w:val="0"/>
      <w:marBottom w:val="0"/>
      <w:divBdr>
        <w:top w:val="none" w:sz="0" w:space="0" w:color="auto"/>
        <w:left w:val="none" w:sz="0" w:space="0" w:color="auto"/>
        <w:bottom w:val="none" w:sz="0" w:space="0" w:color="auto"/>
        <w:right w:val="none" w:sz="0" w:space="0" w:color="auto"/>
      </w:divBdr>
    </w:div>
    <w:div w:id="99183159">
      <w:bodyDiv w:val="1"/>
      <w:marLeft w:val="0"/>
      <w:marRight w:val="0"/>
      <w:marTop w:val="0"/>
      <w:marBottom w:val="0"/>
      <w:divBdr>
        <w:top w:val="none" w:sz="0" w:space="0" w:color="auto"/>
        <w:left w:val="none" w:sz="0" w:space="0" w:color="auto"/>
        <w:bottom w:val="none" w:sz="0" w:space="0" w:color="auto"/>
        <w:right w:val="none" w:sz="0" w:space="0" w:color="auto"/>
      </w:divBdr>
    </w:div>
    <w:div w:id="157622447">
      <w:bodyDiv w:val="1"/>
      <w:marLeft w:val="0"/>
      <w:marRight w:val="0"/>
      <w:marTop w:val="0"/>
      <w:marBottom w:val="0"/>
      <w:divBdr>
        <w:top w:val="none" w:sz="0" w:space="0" w:color="auto"/>
        <w:left w:val="none" w:sz="0" w:space="0" w:color="auto"/>
        <w:bottom w:val="none" w:sz="0" w:space="0" w:color="auto"/>
        <w:right w:val="none" w:sz="0" w:space="0" w:color="auto"/>
      </w:divBdr>
    </w:div>
    <w:div w:id="240872757">
      <w:bodyDiv w:val="1"/>
      <w:marLeft w:val="0"/>
      <w:marRight w:val="0"/>
      <w:marTop w:val="0"/>
      <w:marBottom w:val="0"/>
      <w:divBdr>
        <w:top w:val="none" w:sz="0" w:space="0" w:color="auto"/>
        <w:left w:val="none" w:sz="0" w:space="0" w:color="auto"/>
        <w:bottom w:val="none" w:sz="0" w:space="0" w:color="auto"/>
        <w:right w:val="none" w:sz="0" w:space="0" w:color="auto"/>
      </w:divBdr>
      <w:divsChild>
        <w:div w:id="1375738082">
          <w:marLeft w:val="0"/>
          <w:marRight w:val="0"/>
          <w:marTop w:val="0"/>
          <w:marBottom w:val="0"/>
          <w:divBdr>
            <w:top w:val="none" w:sz="0" w:space="0" w:color="auto"/>
            <w:left w:val="none" w:sz="0" w:space="0" w:color="auto"/>
            <w:bottom w:val="none" w:sz="0" w:space="0" w:color="auto"/>
            <w:right w:val="none" w:sz="0" w:space="0" w:color="auto"/>
          </w:divBdr>
        </w:div>
        <w:div w:id="857888967">
          <w:marLeft w:val="0"/>
          <w:marRight w:val="0"/>
          <w:marTop w:val="0"/>
          <w:marBottom w:val="0"/>
          <w:divBdr>
            <w:top w:val="none" w:sz="0" w:space="0" w:color="auto"/>
            <w:left w:val="none" w:sz="0" w:space="0" w:color="auto"/>
            <w:bottom w:val="none" w:sz="0" w:space="0" w:color="auto"/>
            <w:right w:val="none" w:sz="0" w:space="0" w:color="auto"/>
          </w:divBdr>
        </w:div>
        <w:div w:id="1887907129">
          <w:marLeft w:val="0"/>
          <w:marRight w:val="0"/>
          <w:marTop w:val="0"/>
          <w:marBottom w:val="0"/>
          <w:divBdr>
            <w:top w:val="none" w:sz="0" w:space="0" w:color="auto"/>
            <w:left w:val="none" w:sz="0" w:space="0" w:color="auto"/>
            <w:bottom w:val="none" w:sz="0" w:space="0" w:color="auto"/>
            <w:right w:val="none" w:sz="0" w:space="0" w:color="auto"/>
          </w:divBdr>
        </w:div>
        <w:div w:id="109671925">
          <w:marLeft w:val="0"/>
          <w:marRight w:val="0"/>
          <w:marTop w:val="0"/>
          <w:marBottom w:val="0"/>
          <w:divBdr>
            <w:top w:val="none" w:sz="0" w:space="0" w:color="auto"/>
            <w:left w:val="none" w:sz="0" w:space="0" w:color="auto"/>
            <w:bottom w:val="none" w:sz="0" w:space="0" w:color="auto"/>
            <w:right w:val="none" w:sz="0" w:space="0" w:color="auto"/>
          </w:divBdr>
        </w:div>
        <w:div w:id="1384014505">
          <w:marLeft w:val="0"/>
          <w:marRight w:val="0"/>
          <w:marTop w:val="0"/>
          <w:marBottom w:val="0"/>
          <w:divBdr>
            <w:top w:val="none" w:sz="0" w:space="0" w:color="auto"/>
            <w:left w:val="none" w:sz="0" w:space="0" w:color="auto"/>
            <w:bottom w:val="none" w:sz="0" w:space="0" w:color="auto"/>
            <w:right w:val="none" w:sz="0" w:space="0" w:color="auto"/>
          </w:divBdr>
        </w:div>
      </w:divsChild>
    </w:div>
    <w:div w:id="288779299">
      <w:bodyDiv w:val="1"/>
      <w:marLeft w:val="0"/>
      <w:marRight w:val="0"/>
      <w:marTop w:val="0"/>
      <w:marBottom w:val="0"/>
      <w:divBdr>
        <w:top w:val="none" w:sz="0" w:space="0" w:color="auto"/>
        <w:left w:val="none" w:sz="0" w:space="0" w:color="auto"/>
        <w:bottom w:val="none" w:sz="0" w:space="0" w:color="auto"/>
        <w:right w:val="none" w:sz="0" w:space="0" w:color="auto"/>
      </w:divBdr>
    </w:div>
    <w:div w:id="295448446">
      <w:bodyDiv w:val="1"/>
      <w:marLeft w:val="0"/>
      <w:marRight w:val="0"/>
      <w:marTop w:val="0"/>
      <w:marBottom w:val="0"/>
      <w:divBdr>
        <w:top w:val="none" w:sz="0" w:space="0" w:color="auto"/>
        <w:left w:val="none" w:sz="0" w:space="0" w:color="auto"/>
        <w:bottom w:val="none" w:sz="0" w:space="0" w:color="auto"/>
        <w:right w:val="none" w:sz="0" w:space="0" w:color="auto"/>
      </w:divBdr>
    </w:div>
    <w:div w:id="323120449">
      <w:bodyDiv w:val="1"/>
      <w:marLeft w:val="0"/>
      <w:marRight w:val="0"/>
      <w:marTop w:val="0"/>
      <w:marBottom w:val="0"/>
      <w:divBdr>
        <w:top w:val="none" w:sz="0" w:space="0" w:color="auto"/>
        <w:left w:val="none" w:sz="0" w:space="0" w:color="auto"/>
        <w:bottom w:val="none" w:sz="0" w:space="0" w:color="auto"/>
        <w:right w:val="none" w:sz="0" w:space="0" w:color="auto"/>
      </w:divBdr>
    </w:div>
    <w:div w:id="332954308">
      <w:bodyDiv w:val="1"/>
      <w:marLeft w:val="0"/>
      <w:marRight w:val="0"/>
      <w:marTop w:val="0"/>
      <w:marBottom w:val="0"/>
      <w:divBdr>
        <w:top w:val="none" w:sz="0" w:space="0" w:color="auto"/>
        <w:left w:val="none" w:sz="0" w:space="0" w:color="auto"/>
        <w:bottom w:val="none" w:sz="0" w:space="0" w:color="auto"/>
        <w:right w:val="none" w:sz="0" w:space="0" w:color="auto"/>
      </w:divBdr>
    </w:div>
    <w:div w:id="384791531">
      <w:bodyDiv w:val="1"/>
      <w:marLeft w:val="0"/>
      <w:marRight w:val="0"/>
      <w:marTop w:val="0"/>
      <w:marBottom w:val="0"/>
      <w:divBdr>
        <w:top w:val="none" w:sz="0" w:space="0" w:color="auto"/>
        <w:left w:val="none" w:sz="0" w:space="0" w:color="auto"/>
        <w:bottom w:val="none" w:sz="0" w:space="0" w:color="auto"/>
        <w:right w:val="none" w:sz="0" w:space="0" w:color="auto"/>
      </w:divBdr>
    </w:div>
    <w:div w:id="403182916">
      <w:bodyDiv w:val="1"/>
      <w:marLeft w:val="0"/>
      <w:marRight w:val="0"/>
      <w:marTop w:val="0"/>
      <w:marBottom w:val="0"/>
      <w:divBdr>
        <w:top w:val="none" w:sz="0" w:space="0" w:color="auto"/>
        <w:left w:val="none" w:sz="0" w:space="0" w:color="auto"/>
        <w:bottom w:val="none" w:sz="0" w:space="0" w:color="auto"/>
        <w:right w:val="none" w:sz="0" w:space="0" w:color="auto"/>
      </w:divBdr>
    </w:div>
    <w:div w:id="428623458">
      <w:bodyDiv w:val="1"/>
      <w:marLeft w:val="0"/>
      <w:marRight w:val="0"/>
      <w:marTop w:val="0"/>
      <w:marBottom w:val="0"/>
      <w:divBdr>
        <w:top w:val="none" w:sz="0" w:space="0" w:color="auto"/>
        <w:left w:val="none" w:sz="0" w:space="0" w:color="auto"/>
        <w:bottom w:val="none" w:sz="0" w:space="0" w:color="auto"/>
        <w:right w:val="none" w:sz="0" w:space="0" w:color="auto"/>
      </w:divBdr>
    </w:div>
    <w:div w:id="506792342">
      <w:bodyDiv w:val="1"/>
      <w:marLeft w:val="0"/>
      <w:marRight w:val="0"/>
      <w:marTop w:val="0"/>
      <w:marBottom w:val="0"/>
      <w:divBdr>
        <w:top w:val="none" w:sz="0" w:space="0" w:color="auto"/>
        <w:left w:val="none" w:sz="0" w:space="0" w:color="auto"/>
        <w:bottom w:val="none" w:sz="0" w:space="0" w:color="auto"/>
        <w:right w:val="none" w:sz="0" w:space="0" w:color="auto"/>
      </w:divBdr>
    </w:div>
    <w:div w:id="526647792">
      <w:bodyDiv w:val="1"/>
      <w:marLeft w:val="0"/>
      <w:marRight w:val="0"/>
      <w:marTop w:val="0"/>
      <w:marBottom w:val="0"/>
      <w:divBdr>
        <w:top w:val="none" w:sz="0" w:space="0" w:color="auto"/>
        <w:left w:val="none" w:sz="0" w:space="0" w:color="auto"/>
        <w:bottom w:val="none" w:sz="0" w:space="0" w:color="auto"/>
        <w:right w:val="none" w:sz="0" w:space="0" w:color="auto"/>
      </w:divBdr>
    </w:div>
    <w:div w:id="577592460">
      <w:bodyDiv w:val="1"/>
      <w:marLeft w:val="0"/>
      <w:marRight w:val="0"/>
      <w:marTop w:val="0"/>
      <w:marBottom w:val="0"/>
      <w:divBdr>
        <w:top w:val="none" w:sz="0" w:space="0" w:color="auto"/>
        <w:left w:val="none" w:sz="0" w:space="0" w:color="auto"/>
        <w:bottom w:val="none" w:sz="0" w:space="0" w:color="auto"/>
        <w:right w:val="none" w:sz="0" w:space="0" w:color="auto"/>
      </w:divBdr>
    </w:div>
    <w:div w:id="585304665">
      <w:bodyDiv w:val="1"/>
      <w:marLeft w:val="0"/>
      <w:marRight w:val="0"/>
      <w:marTop w:val="0"/>
      <w:marBottom w:val="0"/>
      <w:divBdr>
        <w:top w:val="none" w:sz="0" w:space="0" w:color="auto"/>
        <w:left w:val="none" w:sz="0" w:space="0" w:color="auto"/>
        <w:bottom w:val="none" w:sz="0" w:space="0" w:color="auto"/>
        <w:right w:val="none" w:sz="0" w:space="0" w:color="auto"/>
      </w:divBdr>
    </w:div>
    <w:div w:id="666905923">
      <w:bodyDiv w:val="1"/>
      <w:marLeft w:val="0"/>
      <w:marRight w:val="0"/>
      <w:marTop w:val="0"/>
      <w:marBottom w:val="0"/>
      <w:divBdr>
        <w:top w:val="none" w:sz="0" w:space="0" w:color="auto"/>
        <w:left w:val="none" w:sz="0" w:space="0" w:color="auto"/>
        <w:bottom w:val="none" w:sz="0" w:space="0" w:color="auto"/>
        <w:right w:val="none" w:sz="0" w:space="0" w:color="auto"/>
      </w:divBdr>
    </w:div>
    <w:div w:id="685442595">
      <w:bodyDiv w:val="1"/>
      <w:marLeft w:val="0"/>
      <w:marRight w:val="0"/>
      <w:marTop w:val="0"/>
      <w:marBottom w:val="0"/>
      <w:divBdr>
        <w:top w:val="none" w:sz="0" w:space="0" w:color="auto"/>
        <w:left w:val="none" w:sz="0" w:space="0" w:color="auto"/>
        <w:bottom w:val="none" w:sz="0" w:space="0" w:color="auto"/>
        <w:right w:val="none" w:sz="0" w:space="0" w:color="auto"/>
      </w:divBdr>
    </w:div>
    <w:div w:id="697702818">
      <w:bodyDiv w:val="1"/>
      <w:marLeft w:val="0"/>
      <w:marRight w:val="0"/>
      <w:marTop w:val="0"/>
      <w:marBottom w:val="0"/>
      <w:divBdr>
        <w:top w:val="none" w:sz="0" w:space="0" w:color="auto"/>
        <w:left w:val="none" w:sz="0" w:space="0" w:color="auto"/>
        <w:bottom w:val="none" w:sz="0" w:space="0" w:color="auto"/>
        <w:right w:val="none" w:sz="0" w:space="0" w:color="auto"/>
      </w:divBdr>
    </w:div>
    <w:div w:id="707879984">
      <w:bodyDiv w:val="1"/>
      <w:marLeft w:val="0"/>
      <w:marRight w:val="0"/>
      <w:marTop w:val="0"/>
      <w:marBottom w:val="0"/>
      <w:divBdr>
        <w:top w:val="none" w:sz="0" w:space="0" w:color="auto"/>
        <w:left w:val="none" w:sz="0" w:space="0" w:color="auto"/>
        <w:bottom w:val="none" w:sz="0" w:space="0" w:color="auto"/>
        <w:right w:val="none" w:sz="0" w:space="0" w:color="auto"/>
      </w:divBdr>
    </w:div>
    <w:div w:id="715661770">
      <w:bodyDiv w:val="1"/>
      <w:marLeft w:val="0"/>
      <w:marRight w:val="0"/>
      <w:marTop w:val="0"/>
      <w:marBottom w:val="0"/>
      <w:divBdr>
        <w:top w:val="none" w:sz="0" w:space="0" w:color="auto"/>
        <w:left w:val="none" w:sz="0" w:space="0" w:color="auto"/>
        <w:bottom w:val="none" w:sz="0" w:space="0" w:color="auto"/>
        <w:right w:val="none" w:sz="0" w:space="0" w:color="auto"/>
      </w:divBdr>
    </w:div>
    <w:div w:id="720052713">
      <w:bodyDiv w:val="1"/>
      <w:marLeft w:val="0"/>
      <w:marRight w:val="0"/>
      <w:marTop w:val="0"/>
      <w:marBottom w:val="0"/>
      <w:divBdr>
        <w:top w:val="none" w:sz="0" w:space="0" w:color="auto"/>
        <w:left w:val="none" w:sz="0" w:space="0" w:color="auto"/>
        <w:bottom w:val="none" w:sz="0" w:space="0" w:color="auto"/>
        <w:right w:val="none" w:sz="0" w:space="0" w:color="auto"/>
      </w:divBdr>
    </w:div>
    <w:div w:id="732966655">
      <w:bodyDiv w:val="1"/>
      <w:marLeft w:val="0"/>
      <w:marRight w:val="0"/>
      <w:marTop w:val="0"/>
      <w:marBottom w:val="0"/>
      <w:divBdr>
        <w:top w:val="none" w:sz="0" w:space="0" w:color="auto"/>
        <w:left w:val="none" w:sz="0" w:space="0" w:color="auto"/>
        <w:bottom w:val="none" w:sz="0" w:space="0" w:color="auto"/>
        <w:right w:val="none" w:sz="0" w:space="0" w:color="auto"/>
      </w:divBdr>
    </w:div>
    <w:div w:id="747653153">
      <w:bodyDiv w:val="1"/>
      <w:marLeft w:val="0"/>
      <w:marRight w:val="0"/>
      <w:marTop w:val="0"/>
      <w:marBottom w:val="0"/>
      <w:divBdr>
        <w:top w:val="none" w:sz="0" w:space="0" w:color="auto"/>
        <w:left w:val="none" w:sz="0" w:space="0" w:color="auto"/>
        <w:bottom w:val="none" w:sz="0" w:space="0" w:color="auto"/>
        <w:right w:val="none" w:sz="0" w:space="0" w:color="auto"/>
      </w:divBdr>
    </w:div>
    <w:div w:id="844907109">
      <w:bodyDiv w:val="1"/>
      <w:marLeft w:val="0"/>
      <w:marRight w:val="0"/>
      <w:marTop w:val="0"/>
      <w:marBottom w:val="0"/>
      <w:divBdr>
        <w:top w:val="none" w:sz="0" w:space="0" w:color="auto"/>
        <w:left w:val="none" w:sz="0" w:space="0" w:color="auto"/>
        <w:bottom w:val="none" w:sz="0" w:space="0" w:color="auto"/>
        <w:right w:val="none" w:sz="0" w:space="0" w:color="auto"/>
      </w:divBdr>
    </w:div>
    <w:div w:id="845827574">
      <w:bodyDiv w:val="1"/>
      <w:marLeft w:val="0"/>
      <w:marRight w:val="0"/>
      <w:marTop w:val="0"/>
      <w:marBottom w:val="0"/>
      <w:divBdr>
        <w:top w:val="none" w:sz="0" w:space="0" w:color="auto"/>
        <w:left w:val="none" w:sz="0" w:space="0" w:color="auto"/>
        <w:bottom w:val="none" w:sz="0" w:space="0" w:color="auto"/>
        <w:right w:val="none" w:sz="0" w:space="0" w:color="auto"/>
      </w:divBdr>
    </w:div>
    <w:div w:id="906380717">
      <w:bodyDiv w:val="1"/>
      <w:marLeft w:val="0"/>
      <w:marRight w:val="0"/>
      <w:marTop w:val="0"/>
      <w:marBottom w:val="0"/>
      <w:divBdr>
        <w:top w:val="none" w:sz="0" w:space="0" w:color="auto"/>
        <w:left w:val="none" w:sz="0" w:space="0" w:color="auto"/>
        <w:bottom w:val="none" w:sz="0" w:space="0" w:color="auto"/>
        <w:right w:val="none" w:sz="0" w:space="0" w:color="auto"/>
      </w:divBdr>
    </w:div>
    <w:div w:id="925647426">
      <w:bodyDiv w:val="1"/>
      <w:marLeft w:val="0"/>
      <w:marRight w:val="0"/>
      <w:marTop w:val="0"/>
      <w:marBottom w:val="0"/>
      <w:divBdr>
        <w:top w:val="none" w:sz="0" w:space="0" w:color="auto"/>
        <w:left w:val="none" w:sz="0" w:space="0" w:color="auto"/>
        <w:bottom w:val="none" w:sz="0" w:space="0" w:color="auto"/>
        <w:right w:val="none" w:sz="0" w:space="0" w:color="auto"/>
      </w:divBdr>
    </w:div>
    <w:div w:id="949166138">
      <w:bodyDiv w:val="1"/>
      <w:marLeft w:val="0"/>
      <w:marRight w:val="0"/>
      <w:marTop w:val="0"/>
      <w:marBottom w:val="0"/>
      <w:divBdr>
        <w:top w:val="none" w:sz="0" w:space="0" w:color="auto"/>
        <w:left w:val="none" w:sz="0" w:space="0" w:color="auto"/>
        <w:bottom w:val="none" w:sz="0" w:space="0" w:color="auto"/>
        <w:right w:val="none" w:sz="0" w:space="0" w:color="auto"/>
      </w:divBdr>
    </w:div>
    <w:div w:id="959068287">
      <w:bodyDiv w:val="1"/>
      <w:marLeft w:val="0"/>
      <w:marRight w:val="0"/>
      <w:marTop w:val="0"/>
      <w:marBottom w:val="0"/>
      <w:divBdr>
        <w:top w:val="none" w:sz="0" w:space="0" w:color="auto"/>
        <w:left w:val="none" w:sz="0" w:space="0" w:color="auto"/>
        <w:bottom w:val="none" w:sz="0" w:space="0" w:color="auto"/>
        <w:right w:val="none" w:sz="0" w:space="0" w:color="auto"/>
      </w:divBdr>
    </w:div>
    <w:div w:id="1034963804">
      <w:bodyDiv w:val="1"/>
      <w:marLeft w:val="0"/>
      <w:marRight w:val="0"/>
      <w:marTop w:val="0"/>
      <w:marBottom w:val="0"/>
      <w:divBdr>
        <w:top w:val="none" w:sz="0" w:space="0" w:color="auto"/>
        <w:left w:val="none" w:sz="0" w:space="0" w:color="auto"/>
        <w:bottom w:val="none" w:sz="0" w:space="0" w:color="auto"/>
        <w:right w:val="none" w:sz="0" w:space="0" w:color="auto"/>
      </w:divBdr>
    </w:div>
    <w:div w:id="1068578099">
      <w:bodyDiv w:val="1"/>
      <w:marLeft w:val="0"/>
      <w:marRight w:val="0"/>
      <w:marTop w:val="0"/>
      <w:marBottom w:val="0"/>
      <w:divBdr>
        <w:top w:val="none" w:sz="0" w:space="0" w:color="auto"/>
        <w:left w:val="none" w:sz="0" w:space="0" w:color="auto"/>
        <w:bottom w:val="none" w:sz="0" w:space="0" w:color="auto"/>
        <w:right w:val="none" w:sz="0" w:space="0" w:color="auto"/>
      </w:divBdr>
    </w:div>
    <w:div w:id="1069956737">
      <w:bodyDiv w:val="1"/>
      <w:marLeft w:val="0"/>
      <w:marRight w:val="0"/>
      <w:marTop w:val="0"/>
      <w:marBottom w:val="0"/>
      <w:divBdr>
        <w:top w:val="none" w:sz="0" w:space="0" w:color="auto"/>
        <w:left w:val="none" w:sz="0" w:space="0" w:color="auto"/>
        <w:bottom w:val="none" w:sz="0" w:space="0" w:color="auto"/>
        <w:right w:val="none" w:sz="0" w:space="0" w:color="auto"/>
      </w:divBdr>
    </w:div>
    <w:div w:id="1117485307">
      <w:bodyDiv w:val="1"/>
      <w:marLeft w:val="0"/>
      <w:marRight w:val="0"/>
      <w:marTop w:val="0"/>
      <w:marBottom w:val="0"/>
      <w:divBdr>
        <w:top w:val="none" w:sz="0" w:space="0" w:color="auto"/>
        <w:left w:val="none" w:sz="0" w:space="0" w:color="auto"/>
        <w:bottom w:val="none" w:sz="0" w:space="0" w:color="auto"/>
        <w:right w:val="none" w:sz="0" w:space="0" w:color="auto"/>
      </w:divBdr>
    </w:div>
    <w:div w:id="1258056999">
      <w:bodyDiv w:val="1"/>
      <w:marLeft w:val="0"/>
      <w:marRight w:val="0"/>
      <w:marTop w:val="0"/>
      <w:marBottom w:val="0"/>
      <w:divBdr>
        <w:top w:val="none" w:sz="0" w:space="0" w:color="auto"/>
        <w:left w:val="none" w:sz="0" w:space="0" w:color="auto"/>
        <w:bottom w:val="none" w:sz="0" w:space="0" w:color="auto"/>
        <w:right w:val="none" w:sz="0" w:space="0" w:color="auto"/>
      </w:divBdr>
    </w:div>
    <w:div w:id="1264460460">
      <w:bodyDiv w:val="1"/>
      <w:marLeft w:val="0"/>
      <w:marRight w:val="0"/>
      <w:marTop w:val="0"/>
      <w:marBottom w:val="0"/>
      <w:divBdr>
        <w:top w:val="none" w:sz="0" w:space="0" w:color="auto"/>
        <w:left w:val="none" w:sz="0" w:space="0" w:color="auto"/>
        <w:bottom w:val="none" w:sz="0" w:space="0" w:color="auto"/>
        <w:right w:val="none" w:sz="0" w:space="0" w:color="auto"/>
      </w:divBdr>
    </w:div>
    <w:div w:id="1311324004">
      <w:bodyDiv w:val="1"/>
      <w:marLeft w:val="0"/>
      <w:marRight w:val="0"/>
      <w:marTop w:val="0"/>
      <w:marBottom w:val="0"/>
      <w:divBdr>
        <w:top w:val="none" w:sz="0" w:space="0" w:color="auto"/>
        <w:left w:val="none" w:sz="0" w:space="0" w:color="auto"/>
        <w:bottom w:val="none" w:sz="0" w:space="0" w:color="auto"/>
        <w:right w:val="none" w:sz="0" w:space="0" w:color="auto"/>
      </w:divBdr>
    </w:div>
    <w:div w:id="1345329883">
      <w:bodyDiv w:val="1"/>
      <w:marLeft w:val="0"/>
      <w:marRight w:val="0"/>
      <w:marTop w:val="0"/>
      <w:marBottom w:val="0"/>
      <w:divBdr>
        <w:top w:val="none" w:sz="0" w:space="0" w:color="auto"/>
        <w:left w:val="none" w:sz="0" w:space="0" w:color="auto"/>
        <w:bottom w:val="none" w:sz="0" w:space="0" w:color="auto"/>
        <w:right w:val="none" w:sz="0" w:space="0" w:color="auto"/>
      </w:divBdr>
      <w:divsChild>
        <w:div w:id="5945121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98430902">
      <w:bodyDiv w:val="1"/>
      <w:marLeft w:val="0"/>
      <w:marRight w:val="0"/>
      <w:marTop w:val="0"/>
      <w:marBottom w:val="0"/>
      <w:divBdr>
        <w:top w:val="none" w:sz="0" w:space="0" w:color="auto"/>
        <w:left w:val="none" w:sz="0" w:space="0" w:color="auto"/>
        <w:bottom w:val="none" w:sz="0" w:space="0" w:color="auto"/>
        <w:right w:val="none" w:sz="0" w:space="0" w:color="auto"/>
      </w:divBdr>
    </w:div>
    <w:div w:id="1418592349">
      <w:bodyDiv w:val="1"/>
      <w:marLeft w:val="0"/>
      <w:marRight w:val="0"/>
      <w:marTop w:val="0"/>
      <w:marBottom w:val="0"/>
      <w:divBdr>
        <w:top w:val="none" w:sz="0" w:space="0" w:color="auto"/>
        <w:left w:val="none" w:sz="0" w:space="0" w:color="auto"/>
        <w:bottom w:val="none" w:sz="0" w:space="0" w:color="auto"/>
        <w:right w:val="none" w:sz="0" w:space="0" w:color="auto"/>
      </w:divBdr>
    </w:div>
    <w:div w:id="1421607048">
      <w:bodyDiv w:val="1"/>
      <w:marLeft w:val="0"/>
      <w:marRight w:val="0"/>
      <w:marTop w:val="0"/>
      <w:marBottom w:val="0"/>
      <w:divBdr>
        <w:top w:val="none" w:sz="0" w:space="0" w:color="auto"/>
        <w:left w:val="none" w:sz="0" w:space="0" w:color="auto"/>
        <w:bottom w:val="none" w:sz="0" w:space="0" w:color="auto"/>
        <w:right w:val="none" w:sz="0" w:space="0" w:color="auto"/>
      </w:divBdr>
    </w:div>
    <w:div w:id="1440179646">
      <w:bodyDiv w:val="1"/>
      <w:marLeft w:val="0"/>
      <w:marRight w:val="0"/>
      <w:marTop w:val="0"/>
      <w:marBottom w:val="0"/>
      <w:divBdr>
        <w:top w:val="none" w:sz="0" w:space="0" w:color="auto"/>
        <w:left w:val="none" w:sz="0" w:space="0" w:color="auto"/>
        <w:bottom w:val="none" w:sz="0" w:space="0" w:color="auto"/>
        <w:right w:val="none" w:sz="0" w:space="0" w:color="auto"/>
      </w:divBdr>
    </w:div>
    <w:div w:id="1444228753">
      <w:bodyDiv w:val="1"/>
      <w:marLeft w:val="0"/>
      <w:marRight w:val="0"/>
      <w:marTop w:val="0"/>
      <w:marBottom w:val="0"/>
      <w:divBdr>
        <w:top w:val="none" w:sz="0" w:space="0" w:color="auto"/>
        <w:left w:val="none" w:sz="0" w:space="0" w:color="auto"/>
        <w:bottom w:val="none" w:sz="0" w:space="0" w:color="auto"/>
        <w:right w:val="none" w:sz="0" w:space="0" w:color="auto"/>
      </w:divBdr>
    </w:div>
    <w:div w:id="1471942378">
      <w:bodyDiv w:val="1"/>
      <w:marLeft w:val="0"/>
      <w:marRight w:val="0"/>
      <w:marTop w:val="0"/>
      <w:marBottom w:val="0"/>
      <w:divBdr>
        <w:top w:val="none" w:sz="0" w:space="0" w:color="auto"/>
        <w:left w:val="none" w:sz="0" w:space="0" w:color="auto"/>
        <w:bottom w:val="none" w:sz="0" w:space="0" w:color="auto"/>
        <w:right w:val="none" w:sz="0" w:space="0" w:color="auto"/>
      </w:divBdr>
    </w:div>
    <w:div w:id="1501701574">
      <w:bodyDiv w:val="1"/>
      <w:marLeft w:val="0"/>
      <w:marRight w:val="0"/>
      <w:marTop w:val="0"/>
      <w:marBottom w:val="0"/>
      <w:divBdr>
        <w:top w:val="none" w:sz="0" w:space="0" w:color="auto"/>
        <w:left w:val="none" w:sz="0" w:space="0" w:color="auto"/>
        <w:bottom w:val="none" w:sz="0" w:space="0" w:color="auto"/>
        <w:right w:val="none" w:sz="0" w:space="0" w:color="auto"/>
      </w:divBdr>
    </w:div>
    <w:div w:id="1505049048">
      <w:bodyDiv w:val="1"/>
      <w:marLeft w:val="0"/>
      <w:marRight w:val="0"/>
      <w:marTop w:val="0"/>
      <w:marBottom w:val="0"/>
      <w:divBdr>
        <w:top w:val="none" w:sz="0" w:space="0" w:color="auto"/>
        <w:left w:val="none" w:sz="0" w:space="0" w:color="auto"/>
        <w:bottom w:val="none" w:sz="0" w:space="0" w:color="auto"/>
        <w:right w:val="none" w:sz="0" w:space="0" w:color="auto"/>
      </w:divBdr>
    </w:div>
    <w:div w:id="1657874994">
      <w:bodyDiv w:val="1"/>
      <w:marLeft w:val="0"/>
      <w:marRight w:val="0"/>
      <w:marTop w:val="0"/>
      <w:marBottom w:val="0"/>
      <w:divBdr>
        <w:top w:val="none" w:sz="0" w:space="0" w:color="auto"/>
        <w:left w:val="none" w:sz="0" w:space="0" w:color="auto"/>
        <w:bottom w:val="none" w:sz="0" w:space="0" w:color="auto"/>
        <w:right w:val="none" w:sz="0" w:space="0" w:color="auto"/>
      </w:divBdr>
    </w:div>
    <w:div w:id="1678071466">
      <w:bodyDiv w:val="1"/>
      <w:marLeft w:val="0"/>
      <w:marRight w:val="0"/>
      <w:marTop w:val="0"/>
      <w:marBottom w:val="0"/>
      <w:divBdr>
        <w:top w:val="none" w:sz="0" w:space="0" w:color="auto"/>
        <w:left w:val="none" w:sz="0" w:space="0" w:color="auto"/>
        <w:bottom w:val="none" w:sz="0" w:space="0" w:color="auto"/>
        <w:right w:val="none" w:sz="0" w:space="0" w:color="auto"/>
      </w:divBdr>
    </w:div>
    <w:div w:id="1702168340">
      <w:bodyDiv w:val="1"/>
      <w:marLeft w:val="0"/>
      <w:marRight w:val="0"/>
      <w:marTop w:val="0"/>
      <w:marBottom w:val="0"/>
      <w:divBdr>
        <w:top w:val="none" w:sz="0" w:space="0" w:color="auto"/>
        <w:left w:val="none" w:sz="0" w:space="0" w:color="auto"/>
        <w:bottom w:val="none" w:sz="0" w:space="0" w:color="auto"/>
        <w:right w:val="none" w:sz="0" w:space="0" w:color="auto"/>
      </w:divBdr>
    </w:div>
    <w:div w:id="1866477869">
      <w:bodyDiv w:val="1"/>
      <w:marLeft w:val="0"/>
      <w:marRight w:val="0"/>
      <w:marTop w:val="0"/>
      <w:marBottom w:val="0"/>
      <w:divBdr>
        <w:top w:val="none" w:sz="0" w:space="0" w:color="auto"/>
        <w:left w:val="none" w:sz="0" w:space="0" w:color="auto"/>
        <w:bottom w:val="none" w:sz="0" w:space="0" w:color="auto"/>
        <w:right w:val="none" w:sz="0" w:space="0" w:color="auto"/>
      </w:divBdr>
    </w:div>
    <w:div w:id="1873225675">
      <w:bodyDiv w:val="1"/>
      <w:marLeft w:val="0"/>
      <w:marRight w:val="0"/>
      <w:marTop w:val="0"/>
      <w:marBottom w:val="0"/>
      <w:divBdr>
        <w:top w:val="none" w:sz="0" w:space="0" w:color="auto"/>
        <w:left w:val="none" w:sz="0" w:space="0" w:color="auto"/>
        <w:bottom w:val="none" w:sz="0" w:space="0" w:color="auto"/>
        <w:right w:val="none" w:sz="0" w:space="0" w:color="auto"/>
      </w:divBdr>
    </w:div>
    <w:div w:id="1947879434">
      <w:bodyDiv w:val="1"/>
      <w:marLeft w:val="0"/>
      <w:marRight w:val="0"/>
      <w:marTop w:val="0"/>
      <w:marBottom w:val="0"/>
      <w:divBdr>
        <w:top w:val="none" w:sz="0" w:space="0" w:color="auto"/>
        <w:left w:val="none" w:sz="0" w:space="0" w:color="auto"/>
        <w:bottom w:val="none" w:sz="0" w:space="0" w:color="auto"/>
        <w:right w:val="none" w:sz="0" w:space="0" w:color="auto"/>
      </w:divBdr>
    </w:div>
    <w:div w:id="1977564421">
      <w:bodyDiv w:val="1"/>
      <w:marLeft w:val="0"/>
      <w:marRight w:val="0"/>
      <w:marTop w:val="0"/>
      <w:marBottom w:val="0"/>
      <w:divBdr>
        <w:top w:val="none" w:sz="0" w:space="0" w:color="auto"/>
        <w:left w:val="none" w:sz="0" w:space="0" w:color="auto"/>
        <w:bottom w:val="none" w:sz="0" w:space="0" w:color="auto"/>
        <w:right w:val="none" w:sz="0" w:space="0" w:color="auto"/>
      </w:divBdr>
    </w:div>
    <w:div w:id="2017607520">
      <w:bodyDiv w:val="1"/>
      <w:marLeft w:val="0"/>
      <w:marRight w:val="0"/>
      <w:marTop w:val="0"/>
      <w:marBottom w:val="0"/>
      <w:divBdr>
        <w:top w:val="none" w:sz="0" w:space="0" w:color="auto"/>
        <w:left w:val="none" w:sz="0" w:space="0" w:color="auto"/>
        <w:bottom w:val="none" w:sz="0" w:space="0" w:color="auto"/>
        <w:right w:val="none" w:sz="0" w:space="0" w:color="auto"/>
      </w:divBdr>
    </w:div>
    <w:div w:id="2063481949">
      <w:bodyDiv w:val="1"/>
      <w:marLeft w:val="0"/>
      <w:marRight w:val="0"/>
      <w:marTop w:val="0"/>
      <w:marBottom w:val="0"/>
      <w:divBdr>
        <w:top w:val="none" w:sz="0" w:space="0" w:color="auto"/>
        <w:left w:val="none" w:sz="0" w:space="0" w:color="auto"/>
        <w:bottom w:val="none" w:sz="0" w:space="0" w:color="auto"/>
        <w:right w:val="none" w:sz="0" w:space="0" w:color="auto"/>
      </w:divBdr>
    </w:div>
    <w:div w:id="2076783035">
      <w:bodyDiv w:val="1"/>
      <w:marLeft w:val="0"/>
      <w:marRight w:val="0"/>
      <w:marTop w:val="0"/>
      <w:marBottom w:val="0"/>
      <w:divBdr>
        <w:top w:val="none" w:sz="0" w:space="0" w:color="auto"/>
        <w:left w:val="none" w:sz="0" w:space="0" w:color="auto"/>
        <w:bottom w:val="none" w:sz="0" w:space="0" w:color="auto"/>
        <w:right w:val="none" w:sz="0" w:space="0" w:color="auto"/>
      </w:divBdr>
    </w:div>
    <w:div w:id="2098331893">
      <w:bodyDiv w:val="1"/>
      <w:marLeft w:val="0"/>
      <w:marRight w:val="0"/>
      <w:marTop w:val="0"/>
      <w:marBottom w:val="0"/>
      <w:divBdr>
        <w:top w:val="none" w:sz="0" w:space="0" w:color="auto"/>
        <w:left w:val="none" w:sz="0" w:space="0" w:color="auto"/>
        <w:bottom w:val="none" w:sz="0" w:space="0" w:color="auto"/>
        <w:right w:val="none" w:sz="0" w:space="0" w:color="auto"/>
      </w:divBdr>
    </w:div>
    <w:div w:id="2117020942">
      <w:bodyDiv w:val="1"/>
      <w:marLeft w:val="0"/>
      <w:marRight w:val="0"/>
      <w:marTop w:val="0"/>
      <w:marBottom w:val="0"/>
      <w:divBdr>
        <w:top w:val="none" w:sz="0" w:space="0" w:color="auto"/>
        <w:left w:val="none" w:sz="0" w:space="0" w:color="auto"/>
        <w:bottom w:val="none" w:sz="0" w:space="0" w:color="auto"/>
        <w:right w:val="none" w:sz="0" w:space="0" w:color="auto"/>
      </w:divBdr>
    </w:div>
    <w:div w:id="212199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nihr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ihrc.org/uploads/publications/NIHRC-DNA_Retention_Consultation-FINAL.P" TargetMode="External"/><Relationship Id="rId2" Type="http://schemas.openxmlformats.org/officeDocument/2006/relationships/hyperlink" Target="https://nihrc.org/uploads/publications/NIHRC-DNA_Retention_Consultation-FINAL.P" TargetMode="External"/><Relationship Id="rId1" Type="http://schemas.openxmlformats.org/officeDocument/2006/relationships/hyperlink" Target="https://nihrc.org/uploads/publications/NIHRC-DNA_Retention_Consultation-FINAL.P" TargetMode="External"/><Relationship Id="rId4" Type="http://schemas.openxmlformats.org/officeDocument/2006/relationships/hyperlink" Target="https://nihrc.org/uploads/publications/NIHRC-DNA_Retention_Consultation-FINA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31EC-9DA7-446F-A700-C256245D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Black</dc:creator>
  <cp:keywords/>
  <dc:description/>
  <cp:lastModifiedBy>Michael Black</cp:lastModifiedBy>
  <cp:revision>47</cp:revision>
  <cp:lastPrinted>2023-11-16T09:38:00Z</cp:lastPrinted>
  <dcterms:created xsi:type="dcterms:W3CDTF">2023-11-16T09:37:00Z</dcterms:created>
  <dcterms:modified xsi:type="dcterms:W3CDTF">2023-11-24T18:52:00Z</dcterms:modified>
</cp:coreProperties>
</file>