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EF87D" w14:textId="5EE2D461" w:rsidR="00F31387" w:rsidRDefault="00DD3300" w:rsidP="003B7D0E">
      <w:pPr>
        <w:pStyle w:val="BasicParagraph"/>
        <w:suppressAutoHyphens/>
        <w:jc w:val="center"/>
        <w:rPr>
          <w:rFonts w:ascii="Verdana" w:hAnsi="Verdana" w:cs="Arial"/>
          <w:b/>
          <w:bCs/>
          <w:color w:val="734791"/>
          <w:sz w:val="36"/>
          <w:szCs w:val="36"/>
        </w:rPr>
      </w:pPr>
      <w:bookmarkStart w:id="0" w:name="_GoBack"/>
      <w:bookmarkEnd w:id="0"/>
      <w:r>
        <w:rPr>
          <w:rFonts w:ascii="Verdana" w:hAnsi="Verdana" w:cs="Arial"/>
          <w:b/>
          <w:bCs/>
          <w:color w:val="734791"/>
          <w:sz w:val="36"/>
          <w:szCs w:val="36"/>
        </w:rPr>
        <w:t xml:space="preserve"> </w:t>
      </w:r>
      <w:r w:rsidR="00F31387" w:rsidRPr="00EA12CE">
        <w:rPr>
          <w:rFonts w:ascii="Verdana" w:hAnsi="Verdana" w:cs="Arial"/>
          <w:b/>
          <w:bCs/>
          <w:noProof/>
          <w:color w:val="734791"/>
          <w:sz w:val="36"/>
          <w:szCs w:val="36"/>
          <w:lang w:eastAsia="en-GB"/>
        </w:rPr>
        <w:drawing>
          <wp:inline distT="0" distB="0" distL="0" distR="0" wp14:anchorId="0ABB8E63" wp14:editId="58523385">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9DFB711"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367ED0FB" w14:textId="69E7D2FE" w:rsidR="0096459E" w:rsidRPr="003B7D0E" w:rsidRDefault="00A07CA8"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NIHRC Submission to </w:t>
      </w:r>
      <w:r w:rsidR="00591771">
        <w:rPr>
          <w:rFonts w:ascii="Verdana" w:hAnsi="Verdana" w:cs="Arial"/>
          <w:b/>
          <w:bCs/>
          <w:color w:val="77328A"/>
          <w:sz w:val="36"/>
          <w:szCs w:val="36"/>
        </w:rPr>
        <w:t>Department</w:t>
      </w:r>
      <w:r>
        <w:rPr>
          <w:rFonts w:ascii="Verdana" w:hAnsi="Verdana" w:cs="Arial"/>
          <w:b/>
          <w:bCs/>
          <w:color w:val="77328A"/>
          <w:sz w:val="36"/>
          <w:szCs w:val="36"/>
        </w:rPr>
        <w:t xml:space="preserve"> for Economy on </w:t>
      </w:r>
      <w:r w:rsidR="00E9130E">
        <w:rPr>
          <w:rFonts w:ascii="Verdana" w:hAnsi="Verdana" w:cs="Arial"/>
          <w:b/>
          <w:bCs/>
          <w:color w:val="77328A"/>
          <w:sz w:val="36"/>
          <w:szCs w:val="36"/>
        </w:rPr>
        <w:t>Miscarriage Leave and Pay</w:t>
      </w:r>
    </w:p>
    <w:p w14:paraId="3A2403CD" w14:textId="371545F5" w:rsidR="00F31387" w:rsidRDefault="00F31387" w:rsidP="003B7D0E">
      <w:pPr>
        <w:pStyle w:val="Default"/>
        <w:spacing w:line="288" w:lineRule="auto"/>
        <w:jc w:val="center"/>
        <w:rPr>
          <w:rFonts w:cs="Arial"/>
          <w:color w:val="232120"/>
          <w:sz w:val="36"/>
          <w:szCs w:val="36"/>
        </w:rPr>
      </w:pPr>
    </w:p>
    <w:p w14:paraId="46299C60" w14:textId="4FB34604" w:rsidR="00C750DD" w:rsidRDefault="00C750DD" w:rsidP="003B7D0E">
      <w:pPr>
        <w:pStyle w:val="Default"/>
        <w:spacing w:line="288" w:lineRule="auto"/>
        <w:jc w:val="center"/>
        <w:rPr>
          <w:rFonts w:cs="Arial"/>
          <w:color w:val="232120"/>
          <w:sz w:val="36"/>
          <w:szCs w:val="36"/>
        </w:rPr>
      </w:pPr>
    </w:p>
    <w:p w14:paraId="2B91EE1B" w14:textId="10D3CCBE" w:rsidR="00C750DD" w:rsidRDefault="00C750DD" w:rsidP="003B7D0E">
      <w:pPr>
        <w:pStyle w:val="Default"/>
        <w:spacing w:line="288" w:lineRule="auto"/>
        <w:jc w:val="center"/>
        <w:rPr>
          <w:rFonts w:cs="Arial"/>
          <w:color w:val="232120"/>
          <w:sz w:val="36"/>
          <w:szCs w:val="36"/>
        </w:rPr>
      </w:pPr>
    </w:p>
    <w:p w14:paraId="2862461A" w14:textId="40B29F9D" w:rsidR="00C750DD" w:rsidRDefault="00C750DD" w:rsidP="003B7D0E">
      <w:pPr>
        <w:pStyle w:val="Default"/>
        <w:spacing w:line="288" w:lineRule="auto"/>
        <w:jc w:val="center"/>
        <w:rPr>
          <w:rFonts w:cs="Arial"/>
          <w:color w:val="232120"/>
          <w:sz w:val="36"/>
          <w:szCs w:val="36"/>
        </w:rPr>
      </w:pPr>
    </w:p>
    <w:p w14:paraId="1FA21364" w14:textId="5C6A025D" w:rsidR="00C750DD" w:rsidRDefault="00C750DD" w:rsidP="003B7D0E">
      <w:pPr>
        <w:pStyle w:val="Default"/>
        <w:spacing w:line="288" w:lineRule="auto"/>
        <w:jc w:val="center"/>
        <w:rPr>
          <w:rFonts w:cs="Arial"/>
          <w:color w:val="232120"/>
          <w:sz w:val="36"/>
          <w:szCs w:val="36"/>
        </w:rPr>
      </w:pPr>
    </w:p>
    <w:p w14:paraId="69E9A364" w14:textId="49D6A3B3" w:rsidR="00C750DD" w:rsidRDefault="00C750DD" w:rsidP="003B7D0E">
      <w:pPr>
        <w:pStyle w:val="Default"/>
        <w:spacing w:line="288" w:lineRule="auto"/>
        <w:jc w:val="center"/>
        <w:rPr>
          <w:rFonts w:cs="Arial"/>
          <w:color w:val="232120"/>
          <w:sz w:val="36"/>
          <w:szCs w:val="36"/>
        </w:rPr>
      </w:pPr>
    </w:p>
    <w:p w14:paraId="4A52D8C7" w14:textId="5BACC0ED" w:rsidR="00C750DD" w:rsidRDefault="00C750DD" w:rsidP="003B7D0E">
      <w:pPr>
        <w:pStyle w:val="Default"/>
        <w:spacing w:line="288" w:lineRule="auto"/>
        <w:jc w:val="center"/>
        <w:rPr>
          <w:rFonts w:cs="Arial"/>
          <w:color w:val="232120"/>
          <w:sz w:val="36"/>
          <w:szCs w:val="36"/>
        </w:rPr>
      </w:pPr>
    </w:p>
    <w:p w14:paraId="0D722655" w14:textId="77777777" w:rsidR="00C750DD" w:rsidRPr="00331C61" w:rsidRDefault="00C750DD" w:rsidP="003B7D0E">
      <w:pPr>
        <w:pStyle w:val="Default"/>
        <w:spacing w:line="288" w:lineRule="auto"/>
        <w:jc w:val="center"/>
        <w:rPr>
          <w:rFonts w:cs="Arial"/>
          <w:color w:val="232120"/>
          <w:sz w:val="36"/>
          <w:szCs w:val="36"/>
        </w:rPr>
      </w:pPr>
    </w:p>
    <w:p w14:paraId="12B2A86A" w14:textId="6834BF43" w:rsidR="00046705" w:rsidRPr="00331C61" w:rsidRDefault="00E9130E" w:rsidP="003B7D0E">
      <w:pPr>
        <w:jc w:val="center"/>
        <w:rPr>
          <w:rFonts w:cs="Arial"/>
          <w:b/>
          <w:color w:val="232120"/>
          <w:sz w:val="28"/>
          <w:szCs w:val="28"/>
        </w:rPr>
      </w:pPr>
      <w:r>
        <w:rPr>
          <w:rFonts w:cs="Arial"/>
          <w:b/>
          <w:color w:val="232120"/>
          <w:sz w:val="30"/>
          <w:szCs w:val="30"/>
        </w:rPr>
        <w:t>December 2022</w:t>
      </w:r>
    </w:p>
    <w:p w14:paraId="6AF3B549" w14:textId="77777777" w:rsidR="00046705" w:rsidRPr="00331C61" w:rsidRDefault="00046705" w:rsidP="003B7D0E">
      <w:pPr>
        <w:jc w:val="center"/>
        <w:rPr>
          <w:rFonts w:cs="Arial"/>
          <w:b/>
          <w:color w:val="232120"/>
          <w:sz w:val="28"/>
          <w:szCs w:val="28"/>
        </w:rPr>
      </w:pPr>
    </w:p>
    <w:p w14:paraId="227E9600" w14:textId="77777777" w:rsidR="00EA12CE" w:rsidRPr="00331C61" w:rsidRDefault="00EA12CE" w:rsidP="003B7D0E">
      <w:pPr>
        <w:pStyle w:val="Default"/>
        <w:spacing w:line="288" w:lineRule="auto"/>
        <w:jc w:val="center"/>
        <w:rPr>
          <w:rFonts w:cs="Arial"/>
          <w:b/>
          <w:color w:val="232120"/>
          <w:sz w:val="28"/>
          <w:szCs w:val="28"/>
          <w:lang w:val="en-GB"/>
        </w:rPr>
      </w:pPr>
    </w:p>
    <w:p w14:paraId="6D4D47CD" w14:textId="77777777" w:rsidR="003B7D0E" w:rsidRPr="00331C61" w:rsidRDefault="003B7D0E" w:rsidP="003B7D0E">
      <w:pPr>
        <w:pStyle w:val="Default"/>
        <w:spacing w:line="480" w:lineRule="auto"/>
        <w:jc w:val="center"/>
        <w:rPr>
          <w:rFonts w:cs="Arial"/>
          <w:b/>
          <w:color w:val="232120"/>
          <w:sz w:val="36"/>
          <w:szCs w:val="36"/>
        </w:rPr>
      </w:pPr>
    </w:p>
    <w:sdt>
      <w:sdtPr>
        <w:rPr>
          <w:rFonts w:asciiTheme="minorHAnsi" w:eastAsiaTheme="minorEastAsia" w:hAnsiTheme="minorHAnsi" w:cstheme="minorBidi"/>
          <w:color w:val="auto"/>
          <w:sz w:val="24"/>
          <w:szCs w:val="24"/>
          <w:lang w:val="en-GB"/>
        </w:rPr>
        <w:id w:val="-341697565"/>
        <w:docPartObj>
          <w:docPartGallery w:val="Table of Contents"/>
          <w:docPartUnique/>
        </w:docPartObj>
      </w:sdtPr>
      <w:sdtEndPr>
        <w:rPr>
          <w:rFonts w:ascii="Verdana" w:hAnsi="Verdana"/>
          <w:b/>
          <w:bCs/>
          <w:noProof/>
        </w:rPr>
      </w:sdtEndPr>
      <w:sdtContent>
        <w:p w14:paraId="201E3D12" w14:textId="77777777" w:rsidR="000A1BB2" w:rsidRPr="000A1BB2" w:rsidRDefault="000A1BB2" w:rsidP="0020383D">
          <w:pPr>
            <w:pStyle w:val="TOCHeading"/>
            <w:numPr>
              <w:ilvl w:val="0"/>
              <w:numId w:val="0"/>
            </w:numPr>
            <w:rPr>
              <w:rFonts w:ascii="Verdana" w:hAnsi="Verdana"/>
              <w:b/>
              <w:color w:val="7030A0"/>
              <w:sz w:val="30"/>
              <w:szCs w:val="30"/>
            </w:rPr>
          </w:pPr>
          <w:r w:rsidRPr="000A1BB2">
            <w:rPr>
              <w:rFonts w:ascii="Verdana" w:hAnsi="Verdana"/>
              <w:b/>
              <w:color w:val="7030A0"/>
              <w:sz w:val="30"/>
              <w:szCs w:val="30"/>
            </w:rPr>
            <w:t>Contents</w:t>
          </w:r>
        </w:p>
        <w:p w14:paraId="4319AB30" w14:textId="77777777" w:rsidR="000A1BB2" w:rsidRPr="00E66856" w:rsidRDefault="000A1BB2" w:rsidP="000A1BB2">
          <w:pPr>
            <w:rPr>
              <w:b/>
              <w:lang w:val="en-US"/>
            </w:rPr>
          </w:pPr>
        </w:p>
        <w:p w14:paraId="382AA6F7" w14:textId="4EED6565" w:rsidR="00C750DD" w:rsidRDefault="000A1BB2">
          <w:pPr>
            <w:pStyle w:val="TOC1"/>
            <w:tabs>
              <w:tab w:val="right" w:leader="dot" w:pos="9848"/>
            </w:tabs>
            <w:rPr>
              <w:rFonts w:asciiTheme="minorHAnsi" w:hAnsiTheme="minorHAnsi"/>
              <w:noProof/>
              <w:sz w:val="22"/>
              <w:szCs w:val="22"/>
              <w:lang w:eastAsia="en-GB"/>
            </w:rPr>
          </w:pPr>
          <w:r w:rsidRPr="00E66856">
            <w:rPr>
              <w:b/>
            </w:rPr>
            <w:fldChar w:fldCharType="begin"/>
          </w:r>
          <w:r w:rsidRPr="00E66856">
            <w:rPr>
              <w:b/>
            </w:rPr>
            <w:instrText xml:space="preserve"> TOC \o "1-3" \h \z \u </w:instrText>
          </w:r>
          <w:r w:rsidRPr="00E66856">
            <w:rPr>
              <w:b/>
            </w:rPr>
            <w:fldChar w:fldCharType="separate"/>
          </w:r>
          <w:hyperlink w:anchor="_Toc121405529" w:history="1">
            <w:r w:rsidR="00C750DD" w:rsidRPr="00B35EE2">
              <w:rPr>
                <w:rStyle w:val="Hyperlink"/>
                <w:noProof/>
              </w:rPr>
              <w:t>Summary of Recommendations</w:t>
            </w:r>
            <w:r w:rsidR="00C750DD">
              <w:rPr>
                <w:noProof/>
                <w:webHidden/>
              </w:rPr>
              <w:tab/>
            </w:r>
            <w:r w:rsidR="00C750DD">
              <w:rPr>
                <w:noProof/>
                <w:webHidden/>
              </w:rPr>
              <w:fldChar w:fldCharType="begin"/>
            </w:r>
            <w:r w:rsidR="00C750DD">
              <w:rPr>
                <w:noProof/>
                <w:webHidden/>
              </w:rPr>
              <w:instrText xml:space="preserve"> PAGEREF _Toc121405529 \h </w:instrText>
            </w:r>
            <w:r w:rsidR="00C750DD">
              <w:rPr>
                <w:noProof/>
                <w:webHidden/>
              </w:rPr>
            </w:r>
            <w:r w:rsidR="00C750DD">
              <w:rPr>
                <w:noProof/>
                <w:webHidden/>
              </w:rPr>
              <w:fldChar w:fldCharType="separate"/>
            </w:r>
            <w:r w:rsidR="00627062">
              <w:rPr>
                <w:noProof/>
                <w:webHidden/>
              </w:rPr>
              <w:t>3</w:t>
            </w:r>
            <w:r w:rsidR="00C750DD">
              <w:rPr>
                <w:noProof/>
                <w:webHidden/>
              </w:rPr>
              <w:fldChar w:fldCharType="end"/>
            </w:r>
          </w:hyperlink>
        </w:p>
        <w:p w14:paraId="57541072" w14:textId="2B22AD2E" w:rsidR="00C750DD" w:rsidRDefault="00627062">
          <w:pPr>
            <w:pStyle w:val="TOC1"/>
            <w:tabs>
              <w:tab w:val="left" w:pos="660"/>
              <w:tab w:val="right" w:leader="dot" w:pos="9848"/>
            </w:tabs>
            <w:rPr>
              <w:rFonts w:asciiTheme="minorHAnsi" w:hAnsiTheme="minorHAnsi"/>
              <w:noProof/>
              <w:sz w:val="22"/>
              <w:szCs w:val="22"/>
              <w:lang w:eastAsia="en-GB"/>
            </w:rPr>
          </w:pPr>
          <w:hyperlink w:anchor="_Toc121405530" w:history="1">
            <w:r w:rsidR="00C750DD" w:rsidRPr="00B35EE2">
              <w:rPr>
                <w:rStyle w:val="Hyperlink"/>
                <w:noProof/>
              </w:rPr>
              <w:t>1.0</w:t>
            </w:r>
            <w:r w:rsidR="00C750DD">
              <w:rPr>
                <w:rFonts w:asciiTheme="minorHAnsi" w:hAnsiTheme="minorHAnsi"/>
                <w:noProof/>
                <w:sz w:val="22"/>
                <w:szCs w:val="22"/>
                <w:lang w:eastAsia="en-GB"/>
              </w:rPr>
              <w:tab/>
            </w:r>
            <w:r w:rsidR="00C750DD" w:rsidRPr="00B35EE2">
              <w:rPr>
                <w:rStyle w:val="Hyperlink"/>
                <w:noProof/>
              </w:rPr>
              <w:t>Introduction</w:t>
            </w:r>
            <w:r w:rsidR="00C750DD">
              <w:rPr>
                <w:noProof/>
                <w:webHidden/>
              </w:rPr>
              <w:tab/>
            </w:r>
            <w:r w:rsidR="00C750DD">
              <w:rPr>
                <w:noProof/>
                <w:webHidden/>
              </w:rPr>
              <w:fldChar w:fldCharType="begin"/>
            </w:r>
            <w:r w:rsidR="00C750DD">
              <w:rPr>
                <w:noProof/>
                <w:webHidden/>
              </w:rPr>
              <w:instrText xml:space="preserve"> PAGEREF _Toc121405530 \h </w:instrText>
            </w:r>
            <w:r w:rsidR="00C750DD">
              <w:rPr>
                <w:noProof/>
                <w:webHidden/>
              </w:rPr>
            </w:r>
            <w:r w:rsidR="00C750DD">
              <w:rPr>
                <w:noProof/>
                <w:webHidden/>
              </w:rPr>
              <w:fldChar w:fldCharType="separate"/>
            </w:r>
            <w:r>
              <w:rPr>
                <w:noProof/>
                <w:webHidden/>
              </w:rPr>
              <w:t>4</w:t>
            </w:r>
            <w:r w:rsidR="00C750DD">
              <w:rPr>
                <w:noProof/>
                <w:webHidden/>
              </w:rPr>
              <w:fldChar w:fldCharType="end"/>
            </w:r>
          </w:hyperlink>
        </w:p>
        <w:p w14:paraId="4F07CEEA" w14:textId="6904DE72" w:rsidR="00C750DD" w:rsidRDefault="00627062">
          <w:pPr>
            <w:pStyle w:val="TOC1"/>
            <w:tabs>
              <w:tab w:val="left" w:pos="660"/>
              <w:tab w:val="right" w:leader="dot" w:pos="9848"/>
            </w:tabs>
            <w:rPr>
              <w:rFonts w:asciiTheme="minorHAnsi" w:hAnsiTheme="minorHAnsi"/>
              <w:noProof/>
              <w:sz w:val="22"/>
              <w:szCs w:val="22"/>
              <w:lang w:eastAsia="en-GB"/>
            </w:rPr>
          </w:pPr>
          <w:hyperlink w:anchor="_Toc121405531" w:history="1">
            <w:r w:rsidR="00C750DD" w:rsidRPr="00B35EE2">
              <w:rPr>
                <w:rStyle w:val="Hyperlink"/>
                <w:noProof/>
                <w:lang w:val="en-US"/>
              </w:rPr>
              <w:t>2.0</w:t>
            </w:r>
            <w:r w:rsidR="00C750DD">
              <w:rPr>
                <w:rFonts w:asciiTheme="minorHAnsi" w:hAnsiTheme="minorHAnsi"/>
                <w:noProof/>
                <w:sz w:val="22"/>
                <w:szCs w:val="22"/>
                <w:lang w:eastAsia="en-GB"/>
              </w:rPr>
              <w:tab/>
            </w:r>
            <w:r w:rsidR="00C750DD" w:rsidRPr="00B35EE2">
              <w:rPr>
                <w:rStyle w:val="Hyperlink"/>
                <w:noProof/>
                <w:lang w:val="en-US"/>
              </w:rPr>
              <w:t>Protocol Article 2</w:t>
            </w:r>
            <w:r w:rsidR="00C750DD">
              <w:rPr>
                <w:noProof/>
                <w:webHidden/>
              </w:rPr>
              <w:tab/>
            </w:r>
            <w:r w:rsidR="00C750DD">
              <w:rPr>
                <w:noProof/>
                <w:webHidden/>
              </w:rPr>
              <w:fldChar w:fldCharType="begin"/>
            </w:r>
            <w:r w:rsidR="00C750DD">
              <w:rPr>
                <w:noProof/>
                <w:webHidden/>
              </w:rPr>
              <w:instrText xml:space="preserve"> PAGEREF _Toc121405531 \h </w:instrText>
            </w:r>
            <w:r w:rsidR="00C750DD">
              <w:rPr>
                <w:noProof/>
                <w:webHidden/>
              </w:rPr>
            </w:r>
            <w:r w:rsidR="00C750DD">
              <w:rPr>
                <w:noProof/>
                <w:webHidden/>
              </w:rPr>
              <w:fldChar w:fldCharType="separate"/>
            </w:r>
            <w:r>
              <w:rPr>
                <w:noProof/>
                <w:webHidden/>
              </w:rPr>
              <w:t>6</w:t>
            </w:r>
            <w:r w:rsidR="00C750DD">
              <w:rPr>
                <w:noProof/>
                <w:webHidden/>
              </w:rPr>
              <w:fldChar w:fldCharType="end"/>
            </w:r>
          </w:hyperlink>
        </w:p>
        <w:p w14:paraId="7999B741" w14:textId="196CFF25" w:rsidR="00C750DD" w:rsidRDefault="00627062">
          <w:pPr>
            <w:pStyle w:val="TOC1"/>
            <w:tabs>
              <w:tab w:val="right" w:leader="dot" w:pos="9848"/>
            </w:tabs>
            <w:rPr>
              <w:rFonts w:asciiTheme="minorHAnsi" w:hAnsiTheme="minorHAnsi"/>
              <w:noProof/>
              <w:sz w:val="22"/>
              <w:szCs w:val="22"/>
              <w:lang w:eastAsia="en-GB"/>
            </w:rPr>
          </w:pPr>
          <w:hyperlink w:anchor="_Toc121405532" w:history="1">
            <w:r w:rsidR="00C750DD" w:rsidRPr="00B35EE2">
              <w:rPr>
                <w:rStyle w:val="Hyperlink"/>
                <w:noProof/>
              </w:rPr>
              <w:t>3.0 Definitions</w:t>
            </w:r>
            <w:r w:rsidR="00C750DD">
              <w:rPr>
                <w:noProof/>
                <w:webHidden/>
              </w:rPr>
              <w:tab/>
            </w:r>
            <w:r w:rsidR="00C750DD">
              <w:rPr>
                <w:noProof/>
                <w:webHidden/>
              </w:rPr>
              <w:fldChar w:fldCharType="begin"/>
            </w:r>
            <w:r w:rsidR="00C750DD">
              <w:rPr>
                <w:noProof/>
                <w:webHidden/>
              </w:rPr>
              <w:instrText xml:space="preserve"> PAGEREF _Toc121405532 \h </w:instrText>
            </w:r>
            <w:r w:rsidR="00C750DD">
              <w:rPr>
                <w:noProof/>
                <w:webHidden/>
              </w:rPr>
            </w:r>
            <w:r w:rsidR="00C750DD">
              <w:rPr>
                <w:noProof/>
                <w:webHidden/>
              </w:rPr>
              <w:fldChar w:fldCharType="separate"/>
            </w:r>
            <w:r>
              <w:rPr>
                <w:noProof/>
                <w:webHidden/>
              </w:rPr>
              <w:t>7</w:t>
            </w:r>
            <w:r w:rsidR="00C750DD">
              <w:rPr>
                <w:noProof/>
                <w:webHidden/>
              </w:rPr>
              <w:fldChar w:fldCharType="end"/>
            </w:r>
          </w:hyperlink>
        </w:p>
        <w:p w14:paraId="1918270F" w14:textId="56D8BAA9" w:rsidR="00C750DD" w:rsidRDefault="00627062">
          <w:pPr>
            <w:pStyle w:val="TOC1"/>
            <w:tabs>
              <w:tab w:val="left" w:pos="660"/>
              <w:tab w:val="right" w:leader="dot" w:pos="9848"/>
            </w:tabs>
            <w:rPr>
              <w:rFonts w:asciiTheme="minorHAnsi" w:hAnsiTheme="minorHAnsi"/>
              <w:noProof/>
              <w:sz w:val="22"/>
              <w:szCs w:val="22"/>
              <w:lang w:eastAsia="en-GB"/>
            </w:rPr>
          </w:pPr>
          <w:hyperlink w:anchor="_Toc121405533" w:history="1">
            <w:r w:rsidR="00C750DD" w:rsidRPr="00B35EE2">
              <w:rPr>
                <w:rStyle w:val="Hyperlink"/>
                <w:noProof/>
              </w:rPr>
              <w:t>4.0</w:t>
            </w:r>
            <w:r w:rsidR="00C750DD">
              <w:rPr>
                <w:rFonts w:asciiTheme="minorHAnsi" w:hAnsiTheme="minorHAnsi"/>
                <w:noProof/>
                <w:sz w:val="22"/>
                <w:szCs w:val="22"/>
                <w:lang w:eastAsia="en-GB"/>
              </w:rPr>
              <w:tab/>
            </w:r>
            <w:r w:rsidR="00C750DD" w:rsidRPr="00B35EE2">
              <w:rPr>
                <w:rStyle w:val="Hyperlink"/>
                <w:noProof/>
              </w:rPr>
              <w:t>Evidence Requirement</w:t>
            </w:r>
            <w:r w:rsidR="00C750DD">
              <w:rPr>
                <w:noProof/>
                <w:webHidden/>
              </w:rPr>
              <w:tab/>
            </w:r>
            <w:r w:rsidR="00C750DD">
              <w:rPr>
                <w:noProof/>
                <w:webHidden/>
              </w:rPr>
              <w:fldChar w:fldCharType="begin"/>
            </w:r>
            <w:r w:rsidR="00C750DD">
              <w:rPr>
                <w:noProof/>
                <w:webHidden/>
              </w:rPr>
              <w:instrText xml:space="preserve"> PAGEREF _Toc121405533 \h </w:instrText>
            </w:r>
            <w:r w:rsidR="00C750DD">
              <w:rPr>
                <w:noProof/>
                <w:webHidden/>
              </w:rPr>
            </w:r>
            <w:r w:rsidR="00C750DD">
              <w:rPr>
                <w:noProof/>
                <w:webHidden/>
              </w:rPr>
              <w:fldChar w:fldCharType="separate"/>
            </w:r>
            <w:r>
              <w:rPr>
                <w:noProof/>
                <w:webHidden/>
              </w:rPr>
              <w:t>9</w:t>
            </w:r>
            <w:r w:rsidR="00C750DD">
              <w:rPr>
                <w:noProof/>
                <w:webHidden/>
              </w:rPr>
              <w:fldChar w:fldCharType="end"/>
            </w:r>
          </w:hyperlink>
        </w:p>
        <w:p w14:paraId="4E9F3A66" w14:textId="1D31CF09" w:rsidR="00C750DD" w:rsidRDefault="00627062">
          <w:pPr>
            <w:pStyle w:val="TOC1"/>
            <w:tabs>
              <w:tab w:val="left" w:pos="660"/>
              <w:tab w:val="right" w:leader="dot" w:pos="9848"/>
            </w:tabs>
            <w:rPr>
              <w:rFonts w:asciiTheme="minorHAnsi" w:hAnsiTheme="minorHAnsi"/>
              <w:noProof/>
              <w:sz w:val="22"/>
              <w:szCs w:val="22"/>
              <w:lang w:eastAsia="en-GB"/>
            </w:rPr>
          </w:pPr>
          <w:hyperlink w:anchor="_Toc121405534" w:history="1">
            <w:r w:rsidR="00C750DD" w:rsidRPr="00B35EE2">
              <w:rPr>
                <w:rStyle w:val="Hyperlink"/>
                <w:noProof/>
              </w:rPr>
              <w:t>5.0</w:t>
            </w:r>
            <w:r w:rsidR="00C750DD">
              <w:rPr>
                <w:rFonts w:asciiTheme="minorHAnsi" w:hAnsiTheme="minorHAnsi"/>
                <w:noProof/>
                <w:sz w:val="22"/>
                <w:szCs w:val="22"/>
                <w:lang w:eastAsia="en-GB"/>
              </w:rPr>
              <w:tab/>
            </w:r>
            <w:r w:rsidR="00C750DD" w:rsidRPr="00B35EE2">
              <w:rPr>
                <w:rStyle w:val="Hyperlink"/>
                <w:noProof/>
              </w:rPr>
              <w:t>Minimum qualifying earnings threshold</w:t>
            </w:r>
            <w:r w:rsidR="00C750DD">
              <w:rPr>
                <w:noProof/>
                <w:webHidden/>
              </w:rPr>
              <w:tab/>
            </w:r>
            <w:r w:rsidR="00C750DD">
              <w:rPr>
                <w:noProof/>
                <w:webHidden/>
              </w:rPr>
              <w:fldChar w:fldCharType="begin"/>
            </w:r>
            <w:r w:rsidR="00C750DD">
              <w:rPr>
                <w:noProof/>
                <w:webHidden/>
              </w:rPr>
              <w:instrText xml:space="preserve"> PAGEREF _Toc121405534 \h </w:instrText>
            </w:r>
            <w:r w:rsidR="00C750DD">
              <w:rPr>
                <w:noProof/>
                <w:webHidden/>
              </w:rPr>
            </w:r>
            <w:r w:rsidR="00C750DD">
              <w:rPr>
                <w:noProof/>
                <w:webHidden/>
              </w:rPr>
              <w:fldChar w:fldCharType="separate"/>
            </w:r>
            <w:r>
              <w:rPr>
                <w:noProof/>
                <w:webHidden/>
              </w:rPr>
              <w:t>11</w:t>
            </w:r>
            <w:r w:rsidR="00C750DD">
              <w:rPr>
                <w:noProof/>
                <w:webHidden/>
              </w:rPr>
              <w:fldChar w:fldCharType="end"/>
            </w:r>
          </w:hyperlink>
        </w:p>
        <w:p w14:paraId="4D902DA0" w14:textId="2B2AAF55" w:rsidR="00C750DD" w:rsidRDefault="00627062">
          <w:pPr>
            <w:pStyle w:val="TOC1"/>
            <w:tabs>
              <w:tab w:val="left" w:pos="660"/>
              <w:tab w:val="right" w:leader="dot" w:pos="9848"/>
            </w:tabs>
            <w:rPr>
              <w:rFonts w:asciiTheme="minorHAnsi" w:hAnsiTheme="minorHAnsi"/>
              <w:noProof/>
              <w:sz w:val="22"/>
              <w:szCs w:val="22"/>
              <w:lang w:eastAsia="en-GB"/>
            </w:rPr>
          </w:pPr>
          <w:hyperlink w:anchor="_Toc121405535" w:history="1">
            <w:r w:rsidR="00C750DD" w:rsidRPr="00B35EE2">
              <w:rPr>
                <w:rStyle w:val="Hyperlink"/>
                <w:noProof/>
              </w:rPr>
              <w:t>6.0</w:t>
            </w:r>
            <w:r w:rsidR="00C750DD">
              <w:rPr>
                <w:rFonts w:asciiTheme="minorHAnsi" w:hAnsiTheme="minorHAnsi"/>
                <w:noProof/>
                <w:sz w:val="22"/>
                <w:szCs w:val="22"/>
                <w:lang w:eastAsia="en-GB"/>
              </w:rPr>
              <w:tab/>
            </w:r>
            <w:r w:rsidR="00C750DD" w:rsidRPr="00B35EE2">
              <w:rPr>
                <w:rStyle w:val="Hyperlink"/>
                <w:noProof/>
              </w:rPr>
              <w:t>Human Rights Impact Assessment</w:t>
            </w:r>
            <w:r w:rsidR="00C750DD">
              <w:rPr>
                <w:noProof/>
                <w:webHidden/>
              </w:rPr>
              <w:tab/>
            </w:r>
            <w:r w:rsidR="00C750DD">
              <w:rPr>
                <w:noProof/>
                <w:webHidden/>
              </w:rPr>
              <w:fldChar w:fldCharType="begin"/>
            </w:r>
            <w:r w:rsidR="00C750DD">
              <w:rPr>
                <w:noProof/>
                <w:webHidden/>
              </w:rPr>
              <w:instrText xml:space="preserve"> PAGEREF _Toc121405535 \h </w:instrText>
            </w:r>
            <w:r w:rsidR="00C750DD">
              <w:rPr>
                <w:noProof/>
                <w:webHidden/>
              </w:rPr>
            </w:r>
            <w:r w:rsidR="00C750DD">
              <w:rPr>
                <w:noProof/>
                <w:webHidden/>
              </w:rPr>
              <w:fldChar w:fldCharType="separate"/>
            </w:r>
            <w:r>
              <w:rPr>
                <w:noProof/>
                <w:webHidden/>
              </w:rPr>
              <w:t>12</w:t>
            </w:r>
            <w:r w:rsidR="00C750DD">
              <w:rPr>
                <w:noProof/>
                <w:webHidden/>
              </w:rPr>
              <w:fldChar w:fldCharType="end"/>
            </w:r>
          </w:hyperlink>
        </w:p>
        <w:p w14:paraId="23311FD3" w14:textId="2F333369" w:rsidR="000A1BB2" w:rsidRDefault="000A1BB2">
          <w:r w:rsidRPr="00E66856">
            <w:rPr>
              <w:b/>
              <w:bCs/>
              <w:noProof/>
            </w:rPr>
            <w:fldChar w:fldCharType="end"/>
          </w:r>
        </w:p>
      </w:sdtContent>
    </w:sdt>
    <w:p w14:paraId="2E9E99ED" w14:textId="77777777" w:rsidR="000A1BB2" w:rsidRDefault="000A1BB2" w:rsidP="003B7D0E">
      <w:pPr>
        <w:pStyle w:val="Default"/>
        <w:spacing w:line="480" w:lineRule="auto"/>
        <w:jc w:val="center"/>
        <w:rPr>
          <w:rFonts w:cs="Arial"/>
          <w:b/>
          <w:color w:val="232120"/>
          <w:sz w:val="36"/>
          <w:szCs w:val="36"/>
        </w:rPr>
      </w:pPr>
    </w:p>
    <w:p w14:paraId="1583DC63" w14:textId="77777777" w:rsidR="000A1BB2" w:rsidRDefault="000A1BB2" w:rsidP="003B7D0E">
      <w:pPr>
        <w:pStyle w:val="Default"/>
        <w:spacing w:line="480" w:lineRule="auto"/>
        <w:jc w:val="center"/>
        <w:rPr>
          <w:rFonts w:cs="Arial"/>
          <w:b/>
          <w:color w:val="232120"/>
          <w:sz w:val="36"/>
          <w:szCs w:val="36"/>
        </w:rPr>
      </w:pPr>
    </w:p>
    <w:p w14:paraId="7EAA79C8" w14:textId="77777777" w:rsidR="000A1BB2" w:rsidRDefault="000A1BB2" w:rsidP="003B7D0E">
      <w:pPr>
        <w:pStyle w:val="Default"/>
        <w:spacing w:line="480" w:lineRule="auto"/>
        <w:jc w:val="center"/>
        <w:rPr>
          <w:rFonts w:cs="Arial"/>
          <w:b/>
          <w:color w:val="232120"/>
          <w:sz w:val="36"/>
          <w:szCs w:val="36"/>
        </w:rPr>
      </w:pPr>
    </w:p>
    <w:p w14:paraId="6D0EFA38" w14:textId="77777777" w:rsidR="000A1BB2" w:rsidRDefault="000A1BB2" w:rsidP="003B7D0E">
      <w:pPr>
        <w:pStyle w:val="Default"/>
        <w:spacing w:line="480" w:lineRule="auto"/>
        <w:jc w:val="center"/>
        <w:rPr>
          <w:rFonts w:cs="Arial"/>
          <w:b/>
          <w:color w:val="232120"/>
          <w:sz w:val="36"/>
          <w:szCs w:val="36"/>
        </w:rPr>
      </w:pPr>
    </w:p>
    <w:p w14:paraId="72A22D41" w14:textId="77777777" w:rsidR="000A1BB2" w:rsidRDefault="000A1BB2" w:rsidP="003B7D0E">
      <w:pPr>
        <w:pStyle w:val="Default"/>
        <w:spacing w:line="480" w:lineRule="auto"/>
        <w:jc w:val="center"/>
        <w:rPr>
          <w:rFonts w:cs="Arial"/>
          <w:b/>
          <w:color w:val="232120"/>
          <w:sz w:val="36"/>
          <w:szCs w:val="36"/>
        </w:rPr>
      </w:pPr>
    </w:p>
    <w:p w14:paraId="52AEFAA4" w14:textId="77777777" w:rsidR="000A1BB2" w:rsidRDefault="000A1BB2" w:rsidP="003B7D0E">
      <w:pPr>
        <w:pStyle w:val="Default"/>
        <w:spacing w:line="480" w:lineRule="auto"/>
        <w:jc w:val="center"/>
        <w:rPr>
          <w:rFonts w:cs="Arial"/>
          <w:b/>
          <w:color w:val="232120"/>
          <w:sz w:val="36"/>
          <w:szCs w:val="36"/>
        </w:rPr>
      </w:pPr>
    </w:p>
    <w:p w14:paraId="1DD2524D" w14:textId="77777777" w:rsidR="000A1BB2" w:rsidRDefault="000A1BB2" w:rsidP="003B7D0E">
      <w:pPr>
        <w:pStyle w:val="Default"/>
        <w:spacing w:line="480" w:lineRule="auto"/>
        <w:jc w:val="center"/>
        <w:rPr>
          <w:rFonts w:cs="Arial"/>
          <w:b/>
          <w:color w:val="232120"/>
          <w:sz w:val="36"/>
          <w:szCs w:val="36"/>
        </w:rPr>
      </w:pPr>
    </w:p>
    <w:p w14:paraId="28AC1CF4" w14:textId="77777777" w:rsidR="000A1BB2" w:rsidRDefault="000A1BB2" w:rsidP="003B7D0E">
      <w:pPr>
        <w:pStyle w:val="Default"/>
        <w:spacing w:line="480" w:lineRule="auto"/>
        <w:jc w:val="center"/>
        <w:rPr>
          <w:rFonts w:cs="Arial"/>
          <w:b/>
          <w:color w:val="232120"/>
          <w:sz w:val="36"/>
          <w:szCs w:val="36"/>
        </w:rPr>
      </w:pPr>
    </w:p>
    <w:p w14:paraId="6DDF9355" w14:textId="77777777" w:rsidR="000A1BB2" w:rsidRDefault="000A1BB2" w:rsidP="003B7D0E">
      <w:pPr>
        <w:pStyle w:val="Default"/>
        <w:spacing w:line="480" w:lineRule="auto"/>
        <w:jc w:val="center"/>
        <w:rPr>
          <w:rFonts w:cs="Arial"/>
          <w:b/>
          <w:color w:val="232120"/>
          <w:sz w:val="36"/>
          <w:szCs w:val="36"/>
        </w:rPr>
      </w:pPr>
    </w:p>
    <w:p w14:paraId="352403CA" w14:textId="77777777" w:rsidR="00173AF1" w:rsidRDefault="00173AF1" w:rsidP="003B7D0E">
      <w:pPr>
        <w:pStyle w:val="Default"/>
        <w:spacing w:line="480" w:lineRule="auto"/>
        <w:jc w:val="center"/>
        <w:rPr>
          <w:rFonts w:cs="Arial"/>
          <w:b/>
          <w:color w:val="232120"/>
          <w:sz w:val="36"/>
          <w:szCs w:val="36"/>
        </w:rPr>
      </w:pPr>
    </w:p>
    <w:p w14:paraId="41B2230A" w14:textId="77777777" w:rsidR="00173AF1" w:rsidRDefault="00173AF1" w:rsidP="003B7D0E">
      <w:pPr>
        <w:pStyle w:val="Default"/>
        <w:spacing w:line="480" w:lineRule="auto"/>
        <w:jc w:val="center"/>
        <w:rPr>
          <w:rFonts w:cs="Arial"/>
          <w:b/>
          <w:color w:val="232120"/>
          <w:sz w:val="36"/>
          <w:szCs w:val="36"/>
        </w:rPr>
      </w:pPr>
    </w:p>
    <w:p w14:paraId="21575F12" w14:textId="4DC8FD86" w:rsidR="000A1BB2" w:rsidRDefault="000A1BB2" w:rsidP="00C750DD">
      <w:pPr>
        <w:pStyle w:val="Heading1"/>
        <w:numPr>
          <w:ilvl w:val="0"/>
          <w:numId w:val="0"/>
        </w:numPr>
      </w:pPr>
      <w:bookmarkStart w:id="1" w:name="_Toc121405529"/>
      <w:r>
        <w:lastRenderedPageBreak/>
        <w:t>Summary of Recommendatio</w:t>
      </w:r>
      <w:r w:rsidR="000E5BE4">
        <w:t>ns</w:t>
      </w:r>
      <w:r w:rsidR="000E5BE4" w:rsidRPr="000E5BE4">
        <w:rPr>
          <w:rFonts w:cs="Arial"/>
          <w:b w:val="0"/>
          <w:noProof/>
          <w:color w:val="232120"/>
          <w:sz w:val="36"/>
          <w:szCs w:val="36"/>
          <w:lang w:eastAsia="en-GB"/>
        </w:rPr>
        <mc:AlternateContent>
          <mc:Choice Requires="wps">
            <w:drawing>
              <wp:anchor distT="45720" distB="45720" distL="114300" distR="114300" simplePos="0" relativeHeight="251658240" behindDoc="0" locked="0" layoutInCell="1" allowOverlap="1" wp14:anchorId="019AB525" wp14:editId="7E3E23C4">
                <wp:simplePos x="0" y="0"/>
                <wp:positionH relativeFrom="column">
                  <wp:posOffset>13335</wp:posOffset>
                </wp:positionH>
                <wp:positionV relativeFrom="paragraph">
                  <wp:posOffset>348615</wp:posOffset>
                </wp:positionV>
                <wp:extent cx="6433820" cy="8281670"/>
                <wp:effectExtent l="0" t="0" r="241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8281670"/>
                        </a:xfrm>
                        <a:prstGeom prst="rect">
                          <a:avLst/>
                        </a:prstGeom>
                        <a:solidFill>
                          <a:srgbClr val="FFFFFF"/>
                        </a:solidFill>
                        <a:ln w="9525">
                          <a:solidFill>
                            <a:srgbClr val="000000"/>
                          </a:solidFill>
                          <a:miter lim="800000"/>
                          <a:headEnd/>
                          <a:tailEnd/>
                        </a:ln>
                      </wps:spPr>
                      <wps:txbx>
                        <w:txbxContent>
                          <w:p w14:paraId="3BBB32C9" w14:textId="6A363E76" w:rsidR="00537EB2" w:rsidRDefault="00537EB2" w:rsidP="000E7DE4">
                            <w:pPr>
                              <w:ind w:left="720"/>
                              <w:rPr>
                                <w:b/>
                                <w:lang w:val="en-US"/>
                              </w:rPr>
                            </w:pPr>
                            <w:r w:rsidRPr="000E7DE4">
                              <w:rPr>
                                <w:b/>
                                <w:lang w:val="en-US"/>
                              </w:rPr>
                              <w:t>The NIHRC recommends</w:t>
                            </w:r>
                            <w:r>
                              <w:rPr>
                                <w:b/>
                                <w:lang w:val="en-US"/>
                              </w:rPr>
                              <w:t xml:space="preserve">: </w:t>
                            </w:r>
                          </w:p>
                          <w:p w14:paraId="32A751C8" w14:textId="77777777" w:rsidR="00537EB2" w:rsidRDefault="00537EB2" w:rsidP="000E7DE4">
                            <w:pPr>
                              <w:ind w:left="720"/>
                              <w:rPr>
                                <w:b/>
                                <w:lang w:val="en-US"/>
                              </w:rPr>
                            </w:pPr>
                          </w:p>
                          <w:p w14:paraId="1E79D517" w14:textId="08385D06" w:rsidR="00CB32D5" w:rsidRDefault="006279A5" w:rsidP="00CB32D5">
                            <w:pPr>
                              <w:pStyle w:val="ListParagraph"/>
                              <w:numPr>
                                <w:ilvl w:val="0"/>
                                <w:numId w:val="24"/>
                              </w:numPr>
                              <w:rPr>
                                <w:b/>
                                <w:lang w:val="en-US"/>
                              </w:rPr>
                            </w:pPr>
                            <w:r>
                              <w:rPr>
                                <w:b/>
                                <w:lang w:val="en-US"/>
                              </w:rPr>
                              <w:t>That t</w:t>
                            </w:r>
                            <w:r w:rsidR="00CB32D5" w:rsidRPr="00CB32D5">
                              <w:rPr>
                                <w:b/>
                                <w:lang w:val="en-US"/>
                              </w:rPr>
                              <w:t>he Department for the Economy should monitor any developments in EU law relating to the miscarriage leave and pay regulations to ensure compliance with Protocol Article 2.</w:t>
                            </w:r>
                          </w:p>
                          <w:p w14:paraId="6AD6BC98" w14:textId="77777777" w:rsidR="00CB32D5" w:rsidRPr="00CB32D5" w:rsidRDefault="00CB32D5" w:rsidP="00CB32D5">
                            <w:pPr>
                              <w:pStyle w:val="ListParagraph"/>
                              <w:ind w:left="1440"/>
                              <w:rPr>
                                <w:b/>
                                <w:lang w:val="en-US"/>
                              </w:rPr>
                            </w:pPr>
                          </w:p>
                          <w:p w14:paraId="4029E579" w14:textId="21E7FA23" w:rsidR="00CB32D5" w:rsidRDefault="00CB32D5" w:rsidP="00CB32D5">
                            <w:pPr>
                              <w:pStyle w:val="ListParagraph"/>
                              <w:numPr>
                                <w:ilvl w:val="0"/>
                                <w:numId w:val="24"/>
                              </w:numPr>
                              <w:rPr>
                                <w:b/>
                                <w:lang w:val="en-US"/>
                              </w:rPr>
                            </w:pPr>
                            <w:r>
                              <w:rPr>
                                <w:b/>
                                <w:lang w:val="en-US"/>
                              </w:rPr>
                              <w:t>T</w:t>
                            </w:r>
                            <w:r w:rsidRPr="00CB32D5">
                              <w:rPr>
                                <w:b/>
                                <w:lang w:val="en-US"/>
                              </w:rPr>
                              <w:t xml:space="preserve">hat the regulations follow medical and legal terminology, and are applied broadly to ensure there is appropriate support available to those who are affected by the wide range of circumstances that result in pregnancy loss. </w:t>
                            </w:r>
                          </w:p>
                          <w:p w14:paraId="5B73E455" w14:textId="382FCC87" w:rsidR="00CB32D5" w:rsidRPr="00CB32D5" w:rsidRDefault="00CB32D5" w:rsidP="00CB32D5">
                            <w:pPr>
                              <w:rPr>
                                <w:b/>
                                <w:lang w:val="en-US"/>
                              </w:rPr>
                            </w:pPr>
                          </w:p>
                          <w:p w14:paraId="5645DD83" w14:textId="464D6E7F" w:rsidR="00CB32D5" w:rsidRPr="00CB32D5" w:rsidRDefault="00CB32D5" w:rsidP="00CB32D5">
                            <w:pPr>
                              <w:pStyle w:val="ListParagraph"/>
                              <w:numPr>
                                <w:ilvl w:val="0"/>
                                <w:numId w:val="24"/>
                              </w:numPr>
                              <w:rPr>
                                <w:b/>
                                <w:lang w:val="en-US"/>
                              </w:rPr>
                            </w:pPr>
                            <w:r>
                              <w:rPr>
                                <w:b/>
                                <w:lang w:val="en-US"/>
                              </w:rPr>
                              <w:t>T</w:t>
                            </w:r>
                            <w:r w:rsidRPr="00CB32D5">
                              <w:rPr>
                                <w:b/>
                                <w:lang w:val="en-US"/>
                              </w:rPr>
                              <w:t xml:space="preserve">hat it should be clear that miscarriage leave can apply to women, trans men and other people who can experience pregnancy, including pregnancy partners, and in a way that reflects modern-day parental arrangements. </w:t>
                            </w:r>
                          </w:p>
                          <w:p w14:paraId="252A3E75" w14:textId="77777777" w:rsidR="00CB32D5" w:rsidRPr="00CB32D5" w:rsidRDefault="00CB32D5" w:rsidP="00CB32D5">
                            <w:pPr>
                              <w:pStyle w:val="ListParagraph"/>
                              <w:ind w:left="1440"/>
                              <w:rPr>
                                <w:b/>
                                <w:lang w:val="en-US"/>
                              </w:rPr>
                            </w:pPr>
                          </w:p>
                          <w:p w14:paraId="60AAE5F2" w14:textId="578659D9" w:rsidR="00CB32D5" w:rsidRDefault="00CB32D5" w:rsidP="00CB32D5">
                            <w:pPr>
                              <w:pStyle w:val="ListParagraph"/>
                              <w:numPr>
                                <w:ilvl w:val="0"/>
                                <w:numId w:val="24"/>
                              </w:numPr>
                              <w:rPr>
                                <w:b/>
                                <w:lang w:val="en-US"/>
                              </w:rPr>
                            </w:pPr>
                            <w:r>
                              <w:rPr>
                                <w:b/>
                                <w:lang w:val="en-US"/>
                              </w:rPr>
                              <w:t>That</w:t>
                            </w:r>
                            <w:r w:rsidRPr="00CB32D5">
                              <w:rPr>
                                <w:b/>
                                <w:lang w:val="en-US"/>
                              </w:rPr>
                              <w:t xml:space="preserve"> the evidential and administrative requirements for a person intending to claim miscarriage leave and pay should be consistent with the requirements of other forms of bereavement leave, this includes keeping such requirements to a minimum and adopting a self-declaration model. </w:t>
                            </w:r>
                          </w:p>
                          <w:p w14:paraId="233CE14C" w14:textId="5022491D" w:rsidR="00CB32D5" w:rsidRPr="00CB32D5" w:rsidRDefault="00CB32D5" w:rsidP="00CB32D5">
                            <w:pPr>
                              <w:rPr>
                                <w:b/>
                                <w:lang w:val="en-US"/>
                              </w:rPr>
                            </w:pPr>
                          </w:p>
                          <w:p w14:paraId="52435694" w14:textId="6A0E85F1" w:rsidR="00537EB2" w:rsidRDefault="00CB32D5" w:rsidP="00CB32D5">
                            <w:pPr>
                              <w:pStyle w:val="ListParagraph"/>
                              <w:numPr>
                                <w:ilvl w:val="0"/>
                                <w:numId w:val="24"/>
                              </w:numPr>
                              <w:rPr>
                                <w:b/>
                                <w:lang w:val="en-US"/>
                              </w:rPr>
                            </w:pPr>
                            <w:r>
                              <w:rPr>
                                <w:b/>
                                <w:lang w:val="en-US"/>
                              </w:rPr>
                              <w:t>T</w:t>
                            </w:r>
                            <w:r w:rsidR="006279A5">
                              <w:rPr>
                                <w:b/>
                                <w:lang w:val="en-US"/>
                              </w:rPr>
                              <w:t>hat t</w:t>
                            </w:r>
                            <w:r w:rsidRPr="00CB32D5">
                              <w:rPr>
                                <w:b/>
                                <w:lang w:val="en-US"/>
                              </w:rPr>
                              <w:t>he Department for the Economy ensures that the qualifying provisions in the new regulations do not negatively impact on people in temporary or precarious work and those on zero-hours contracts who may need to avail of miscarriage leave and pay. This will require a gender-sensitive approach to ensure that women are not disproportionately affected.</w:t>
                            </w:r>
                          </w:p>
                          <w:p w14:paraId="3BA9B6E4" w14:textId="77777777" w:rsidR="00CB32D5" w:rsidRPr="00CB32D5" w:rsidRDefault="00CB32D5" w:rsidP="00CB32D5">
                            <w:pPr>
                              <w:pStyle w:val="ListParagraph"/>
                              <w:rPr>
                                <w:b/>
                                <w:lang w:val="en-US"/>
                              </w:rPr>
                            </w:pPr>
                          </w:p>
                          <w:p w14:paraId="428FD8DF" w14:textId="661BC7DD" w:rsidR="00CB32D5" w:rsidRPr="00CB32D5" w:rsidRDefault="00CB32D5" w:rsidP="00CB32D5">
                            <w:pPr>
                              <w:pStyle w:val="ListParagraph"/>
                              <w:numPr>
                                <w:ilvl w:val="0"/>
                                <w:numId w:val="24"/>
                              </w:numPr>
                              <w:rPr>
                                <w:b/>
                                <w:lang w:val="en-US"/>
                              </w:rPr>
                            </w:pPr>
                            <w:r>
                              <w:rPr>
                                <w:b/>
                                <w:lang w:val="en-US"/>
                              </w:rPr>
                              <w:t>That</w:t>
                            </w:r>
                            <w:r w:rsidRPr="00CB32D5">
                              <w:rPr>
                                <w:b/>
                                <w:lang w:val="en-US"/>
                              </w:rPr>
                              <w:t xml:space="preserve"> the Department for the Economy carries out a thorough human rights impact assessment, including with respect to Protocol Article 2, regarding its miscarriage pay and leave proposals. This assessment should involve a detailed consideration of both the potential positive and negative impacts on each human right engaged by the proposals, drawing from the eight human rights treaties ratified by the UK as relevant.</w:t>
                            </w:r>
                          </w:p>
                          <w:p w14:paraId="237FCCF6" w14:textId="77777777" w:rsidR="00CB32D5" w:rsidRPr="00CB32D5" w:rsidRDefault="00CB32D5" w:rsidP="00CB32D5">
                            <w:pPr>
                              <w:pStyle w:val="ListParagraph"/>
                              <w:numPr>
                                <w:ilvl w:val="0"/>
                                <w:numId w:val="24"/>
                              </w:numPr>
                              <w:rPr>
                                <w:b/>
                                <w:lang w:val="en-US"/>
                              </w:rPr>
                            </w:pPr>
                          </w:p>
                          <w:p w14:paraId="78E6CD0F" w14:textId="77777777" w:rsidR="00CB32D5" w:rsidRPr="00CB32D5" w:rsidRDefault="00CB32D5" w:rsidP="00CB32D5">
                            <w:pPr>
                              <w:pStyle w:val="ListParagraph"/>
                              <w:numPr>
                                <w:ilvl w:val="0"/>
                                <w:numId w:val="24"/>
                              </w:numPr>
                              <w:rPr>
                                <w:b/>
                                <w:lang w:val="en-US"/>
                              </w:rPr>
                            </w:pPr>
                          </w:p>
                          <w:p w14:paraId="59C5AB92" w14:textId="77777777" w:rsidR="00CB32D5" w:rsidRPr="000E7DE4" w:rsidRDefault="00CB32D5" w:rsidP="00CB32D5">
                            <w:pPr>
                              <w:pStyle w:val="ListParagraph"/>
                              <w:numPr>
                                <w:ilvl w:val="0"/>
                                <w:numId w:val="24"/>
                              </w:numPr>
                              <w:rPr>
                                <w:b/>
                                <w:lang w:val="en-US"/>
                              </w:rPr>
                            </w:pPr>
                          </w:p>
                          <w:p w14:paraId="66252A84" w14:textId="77777777" w:rsidR="00537EB2" w:rsidRPr="000E7DE4" w:rsidRDefault="00537EB2" w:rsidP="000E7DE4">
                            <w:pPr>
                              <w:pStyle w:val="ListParagraph"/>
                              <w:rPr>
                                <w:b/>
                                <w:lang w:val="en-US"/>
                              </w:rPr>
                            </w:pPr>
                          </w:p>
                          <w:p w14:paraId="2105CBFB" w14:textId="77777777" w:rsidR="00537EB2" w:rsidRPr="000E7DE4" w:rsidRDefault="00537EB2" w:rsidP="000E7DE4">
                            <w:pPr>
                              <w:ind w:left="720"/>
                              <w:rPr>
                                <w:b/>
                                <w:lang w:val="en-US"/>
                              </w:rPr>
                            </w:pPr>
                          </w:p>
                          <w:p w14:paraId="30B9DB25" w14:textId="44ED4EE4" w:rsidR="00537EB2" w:rsidRDefault="00537E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AB525" id="_x0000_t202" coordsize="21600,21600" o:spt="202" path="m,l,21600r21600,l21600,xe">
                <v:stroke joinstyle="miter"/>
                <v:path gradientshapeok="t" o:connecttype="rect"/>
              </v:shapetype>
              <v:shape id="Text Box 2" o:spid="_x0000_s1026" type="#_x0000_t202" style="position:absolute;margin-left:1.05pt;margin-top:27.45pt;width:506.6pt;height:65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">
                <v:textbox>
                  <w:txbxContent>
                    <w:p w14:paraId="3BBB32C9" w14:textId="6A363E76" w:rsidR="00537EB2" w:rsidRDefault="00537EB2" w:rsidP="000E7DE4">
                      <w:pPr>
                        <w:ind w:left="720"/>
                        <w:rPr>
                          <w:b/>
                          <w:lang w:val="en-US"/>
                        </w:rPr>
                      </w:pPr>
                      <w:r w:rsidRPr="000E7DE4">
                        <w:rPr>
                          <w:b/>
                          <w:lang w:val="en-US"/>
                        </w:rPr>
                        <w:t>The NIHRC recommends</w:t>
                      </w:r>
                      <w:r>
                        <w:rPr>
                          <w:b/>
                          <w:lang w:val="en-US"/>
                        </w:rPr>
                        <w:t xml:space="preserve">: </w:t>
                      </w:r>
                    </w:p>
                    <w:p w14:paraId="32A751C8" w14:textId="77777777" w:rsidR="00537EB2" w:rsidRDefault="00537EB2" w:rsidP="000E7DE4">
                      <w:pPr>
                        <w:ind w:left="720"/>
                        <w:rPr>
                          <w:b/>
                          <w:lang w:val="en-US"/>
                        </w:rPr>
                      </w:pPr>
                    </w:p>
                    <w:p w14:paraId="1E79D517" w14:textId="08385D06" w:rsidR="00CB32D5" w:rsidRDefault="006279A5" w:rsidP="00CB32D5">
                      <w:pPr>
                        <w:pStyle w:val="ListParagraph"/>
                        <w:numPr>
                          <w:ilvl w:val="0"/>
                          <w:numId w:val="24"/>
                        </w:numPr>
                        <w:rPr>
                          <w:b/>
                          <w:lang w:val="en-US"/>
                        </w:rPr>
                      </w:pPr>
                      <w:r>
                        <w:rPr>
                          <w:b/>
                          <w:lang w:val="en-US"/>
                        </w:rPr>
                        <w:t>That t</w:t>
                      </w:r>
                      <w:r w:rsidR="00CB32D5" w:rsidRPr="00CB32D5">
                        <w:rPr>
                          <w:b/>
                          <w:lang w:val="en-US"/>
                        </w:rPr>
                        <w:t>he Department for the Economy should monitor any developments in EU law relating to the miscarriage leave and pay regulations to ensure compliance with Protocol Article 2.</w:t>
                      </w:r>
                    </w:p>
                    <w:p w14:paraId="6AD6BC98" w14:textId="77777777" w:rsidR="00CB32D5" w:rsidRPr="00CB32D5" w:rsidRDefault="00CB32D5" w:rsidP="00CB32D5">
                      <w:pPr>
                        <w:pStyle w:val="ListParagraph"/>
                        <w:ind w:left="1440"/>
                        <w:rPr>
                          <w:b/>
                          <w:lang w:val="en-US"/>
                        </w:rPr>
                      </w:pPr>
                    </w:p>
                    <w:p w14:paraId="4029E579" w14:textId="21E7FA23" w:rsidR="00CB32D5" w:rsidRDefault="00CB32D5" w:rsidP="00CB32D5">
                      <w:pPr>
                        <w:pStyle w:val="ListParagraph"/>
                        <w:numPr>
                          <w:ilvl w:val="0"/>
                          <w:numId w:val="24"/>
                        </w:numPr>
                        <w:rPr>
                          <w:b/>
                          <w:lang w:val="en-US"/>
                        </w:rPr>
                      </w:pPr>
                      <w:r>
                        <w:rPr>
                          <w:b/>
                          <w:lang w:val="en-US"/>
                        </w:rPr>
                        <w:t>T</w:t>
                      </w:r>
                      <w:r w:rsidRPr="00CB32D5">
                        <w:rPr>
                          <w:b/>
                          <w:lang w:val="en-US"/>
                        </w:rPr>
                        <w:t xml:space="preserve">hat the regulations follow medical and legal terminology, and are applied broadly to ensure there is appropriate support available to those who are affected by the wide range of circumstances that result in pregnancy loss. </w:t>
                      </w:r>
                    </w:p>
                    <w:p w14:paraId="5B73E455" w14:textId="382FCC87" w:rsidR="00CB32D5" w:rsidRPr="00CB32D5" w:rsidRDefault="00CB32D5" w:rsidP="00CB32D5">
                      <w:pPr>
                        <w:rPr>
                          <w:b/>
                          <w:lang w:val="en-US"/>
                        </w:rPr>
                      </w:pPr>
                    </w:p>
                    <w:p w14:paraId="5645DD83" w14:textId="464D6E7F" w:rsidR="00CB32D5" w:rsidRPr="00CB32D5" w:rsidRDefault="00CB32D5" w:rsidP="00CB32D5">
                      <w:pPr>
                        <w:pStyle w:val="ListParagraph"/>
                        <w:numPr>
                          <w:ilvl w:val="0"/>
                          <w:numId w:val="24"/>
                        </w:numPr>
                        <w:rPr>
                          <w:b/>
                          <w:lang w:val="en-US"/>
                        </w:rPr>
                      </w:pPr>
                      <w:r>
                        <w:rPr>
                          <w:b/>
                          <w:lang w:val="en-US"/>
                        </w:rPr>
                        <w:t>T</w:t>
                      </w:r>
                      <w:r w:rsidRPr="00CB32D5">
                        <w:rPr>
                          <w:b/>
                          <w:lang w:val="en-US"/>
                        </w:rPr>
                        <w:t xml:space="preserve">hat it should be clear that miscarriage leave can apply to women, trans men and other people who can experience pregnancy, including pregnancy partners, and in a way that reflects modern-day parental arrangements. </w:t>
                      </w:r>
                    </w:p>
                    <w:p w14:paraId="252A3E75" w14:textId="77777777" w:rsidR="00CB32D5" w:rsidRPr="00CB32D5" w:rsidRDefault="00CB32D5" w:rsidP="00CB32D5">
                      <w:pPr>
                        <w:pStyle w:val="ListParagraph"/>
                        <w:ind w:left="1440"/>
                        <w:rPr>
                          <w:b/>
                          <w:lang w:val="en-US"/>
                        </w:rPr>
                      </w:pPr>
                    </w:p>
                    <w:p w14:paraId="60AAE5F2" w14:textId="578659D9" w:rsidR="00CB32D5" w:rsidRDefault="00CB32D5" w:rsidP="00CB32D5">
                      <w:pPr>
                        <w:pStyle w:val="ListParagraph"/>
                        <w:numPr>
                          <w:ilvl w:val="0"/>
                          <w:numId w:val="24"/>
                        </w:numPr>
                        <w:rPr>
                          <w:b/>
                          <w:lang w:val="en-US"/>
                        </w:rPr>
                      </w:pPr>
                      <w:r>
                        <w:rPr>
                          <w:b/>
                          <w:lang w:val="en-US"/>
                        </w:rPr>
                        <w:t>That</w:t>
                      </w:r>
                      <w:r w:rsidRPr="00CB32D5">
                        <w:rPr>
                          <w:b/>
                          <w:lang w:val="en-US"/>
                        </w:rPr>
                        <w:t xml:space="preserve"> the evidential and administrative requirements for a person intending to claim miscarriage leave and pay should be consistent with the requirements of other forms of bereavement leave, this includes keeping such requirements to a minimum and adopting a self-declaration model. </w:t>
                      </w:r>
                    </w:p>
                    <w:p w14:paraId="233CE14C" w14:textId="5022491D" w:rsidR="00CB32D5" w:rsidRPr="00CB32D5" w:rsidRDefault="00CB32D5" w:rsidP="00CB32D5">
                      <w:pPr>
                        <w:rPr>
                          <w:b/>
                          <w:lang w:val="en-US"/>
                        </w:rPr>
                      </w:pPr>
                    </w:p>
                    <w:p w14:paraId="52435694" w14:textId="6A0E85F1" w:rsidR="00537EB2" w:rsidRDefault="00CB32D5" w:rsidP="00CB32D5">
                      <w:pPr>
                        <w:pStyle w:val="ListParagraph"/>
                        <w:numPr>
                          <w:ilvl w:val="0"/>
                          <w:numId w:val="24"/>
                        </w:numPr>
                        <w:rPr>
                          <w:b/>
                          <w:lang w:val="en-US"/>
                        </w:rPr>
                      </w:pPr>
                      <w:r>
                        <w:rPr>
                          <w:b/>
                          <w:lang w:val="en-US"/>
                        </w:rPr>
                        <w:t>T</w:t>
                      </w:r>
                      <w:r w:rsidR="006279A5">
                        <w:rPr>
                          <w:b/>
                          <w:lang w:val="en-US"/>
                        </w:rPr>
                        <w:t>hat</w:t>
                      </w:r>
                      <w:bookmarkStart w:id="2" w:name="_GoBack"/>
                      <w:bookmarkEnd w:id="2"/>
                      <w:r w:rsidR="006279A5">
                        <w:rPr>
                          <w:b/>
                          <w:lang w:val="en-US"/>
                        </w:rPr>
                        <w:t xml:space="preserve"> t</w:t>
                      </w:r>
                      <w:r w:rsidRPr="00CB32D5">
                        <w:rPr>
                          <w:b/>
                          <w:lang w:val="en-US"/>
                        </w:rPr>
                        <w:t>he Department for the Economy ensures that the qualifying provisions in the new regulations do not negatively impact on people in temporary or precarious work and those on zero-hours contracts who may need to avail of miscarriage leave and pay. This will require a gender-sensitive approach to ensure that women are not disproportionately affected.</w:t>
                      </w:r>
                    </w:p>
                    <w:p w14:paraId="3BA9B6E4" w14:textId="77777777" w:rsidR="00CB32D5" w:rsidRPr="00CB32D5" w:rsidRDefault="00CB32D5" w:rsidP="00CB32D5">
                      <w:pPr>
                        <w:pStyle w:val="ListParagraph"/>
                        <w:rPr>
                          <w:b/>
                          <w:lang w:val="en-US"/>
                        </w:rPr>
                      </w:pPr>
                    </w:p>
                    <w:p w14:paraId="428FD8DF" w14:textId="661BC7DD" w:rsidR="00CB32D5" w:rsidRPr="00CB32D5" w:rsidRDefault="00CB32D5" w:rsidP="00CB32D5">
                      <w:pPr>
                        <w:pStyle w:val="ListParagraph"/>
                        <w:numPr>
                          <w:ilvl w:val="0"/>
                          <w:numId w:val="24"/>
                        </w:numPr>
                        <w:rPr>
                          <w:b/>
                          <w:lang w:val="en-US"/>
                        </w:rPr>
                      </w:pPr>
                      <w:r>
                        <w:rPr>
                          <w:b/>
                          <w:lang w:val="en-US"/>
                        </w:rPr>
                        <w:t>That</w:t>
                      </w:r>
                      <w:r w:rsidRPr="00CB32D5">
                        <w:rPr>
                          <w:b/>
                          <w:lang w:val="en-US"/>
                        </w:rPr>
                        <w:t xml:space="preserve"> the Department for the Economy carries out a thorough human rights impact assessment, including with respect to Protocol Article 2, regarding its miscarriage pay and leave proposals. This assessment should involve a detailed consideration of both the potential positive and negative impacts on each human right engaged by the proposals, drawing from the eight human rights treaties ratified by the UK as relevant.</w:t>
                      </w:r>
                    </w:p>
                    <w:p w14:paraId="237FCCF6" w14:textId="77777777" w:rsidR="00CB32D5" w:rsidRPr="00CB32D5" w:rsidRDefault="00CB32D5" w:rsidP="00CB32D5">
                      <w:pPr>
                        <w:pStyle w:val="ListParagraph"/>
                        <w:numPr>
                          <w:ilvl w:val="0"/>
                          <w:numId w:val="24"/>
                        </w:numPr>
                        <w:rPr>
                          <w:b/>
                          <w:lang w:val="en-US"/>
                        </w:rPr>
                      </w:pPr>
                    </w:p>
                    <w:p w14:paraId="78E6CD0F" w14:textId="77777777" w:rsidR="00CB32D5" w:rsidRPr="00CB32D5" w:rsidRDefault="00CB32D5" w:rsidP="00CB32D5">
                      <w:pPr>
                        <w:pStyle w:val="ListParagraph"/>
                        <w:numPr>
                          <w:ilvl w:val="0"/>
                          <w:numId w:val="24"/>
                        </w:numPr>
                        <w:rPr>
                          <w:b/>
                          <w:lang w:val="en-US"/>
                        </w:rPr>
                      </w:pPr>
                    </w:p>
                    <w:p w14:paraId="59C5AB92" w14:textId="77777777" w:rsidR="00CB32D5" w:rsidRPr="000E7DE4" w:rsidRDefault="00CB32D5" w:rsidP="00CB32D5">
                      <w:pPr>
                        <w:pStyle w:val="ListParagraph"/>
                        <w:numPr>
                          <w:ilvl w:val="0"/>
                          <w:numId w:val="24"/>
                        </w:numPr>
                        <w:rPr>
                          <w:b/>
                          <w:lang w:val="en-US"/>
                        </w:rPr>
                      </w:pPr>
                    </w:p>
                    <w:p w14:paraId="66252A84" w14:textId="77777777" w:rsidR="00537EB2" w:rsidRPr="000E7DE4" w:rsidRDefault="00537EB2" w:rsidP="000E7DE4">
                      <w:pPr>
                        <w:pStyle w:val="ListParagraph"/>
                        <w:rPr>
                          <w:b/>
                          <w:lang w:val="en-US"/>
                        </w:rPr>
                      </w:pPr>
                    </w:p>
                    <w:p w14:paraId="2105CBFB" w14:textId="77777777" w:rsidR="00537EB2" w:rsidRPr="000E7DE4" w:rsidRDefault="00537EB2" w:rsidP="000E7DE4">
                      <w:pPr>
                        <w:ind w:left="720"/>
                        <w:rPr>
                          <w:b/>
                          <w:lang w:val="en-US"/>
                        </w:rPr>
                      </w:pPr>
                    </w:p>
                    <w:p w14:paraId="30B9DB25" w14:textId="44ED4EE4" w:rsidR="00537EB2" w:rsidRDefault="00537EB2"/>
                  </w:txbxContent>
                </v:textbox>
                <w10:wrap type="square"/>
              </v:shape>
            </w:pict>
          </mc:Fallback>
        </mc:AlternateContent>
      </w:r>
      <w:bookmarkEnd w:id="1"/>
    </w:p>
    <w:p w14:paraId="7C93EAA9" w14:textId="77777777" w:rsidR="00A07CA8" w:rsidRPr="00331C61" w:rsidRDefault="00A07CA8" w:rsidP="00331C61">
      <w:pPr>
        <w:pStyle w:val="Default"/>
        <w:spacing w:line="288" w:lineRule="auto"/>
        <w:rPr>
          <w:rFonts w:cs="Arial"/>
          <w:b/>
          <w:color w:val="232120"/>
        </w:rPr>
      </w:pPr>
    </w:p>
    <w:p w14:paraId="3F1924DA" w14:textId="1C634414" w:rsidR="007836A4" w:rsidRPr="00C750DD" w:rsidRDefault="007836A4" w:rsidP="00C750DD">
      <w:pPr>
        <w:pStyle w:val="Heading1"/>
        <w:numPr>
          <w:ilvl w:val="1"/>
          <w:numId w:val="8"/>
        </w:numPr>
        <w:spacing w:before="24" w:after="24"/>
      </w:pPr>
      <w:bookmarkStart w:id="2" w:name="_Toc121405530"/>
      <w:r w:rsidRPr="00A8382E">
        <w:lastRenderedPageBreak/>
        <w:t>Introduction</w:t>
      </w:r>
      <w:bookmarkEnd w:id="2"/>
      <w:r w:rsidRPr="00A8382E">
        <w:t xml:space="preserve"> </w:t>
      </w:r>
    </w:p>
    <w:p w14:paraId="42A7A7F2" w14:textId="13F28038" w:rsidR="0067610A" w:rsidRPr="000A1BB2" w:rsidRDefault="0067610A" w:rsidP="000A1BB2">
      <w:pPr>
        <w:pStyle w:val="ListParagraph"/>
        <w:widowControl w:val="0"/>
        <w:numPr>
          <w:ilvl w:val="1"/>
          <w:numId w:val="8"/>
        </w:numPr>
        <w:autoSpaceDE w:val="0"/>
        <w:autoSpaceDN w:val="0"/>
        <w:adjustRightInd w:val="0"/>
        <w:spacing w:before="24" w:after="24"/>
        <w:rPr>
          <w:rFonts w:eastAsia="MS Mincho" w:cs="Arial"/>
          <w:lang w:val="en-US"/>
        </w:rPr>
      </w:pPr>
      <w:r w:rsidRPr="000A1BB2">
        <w:rPr>
          <w:rFonts w:eastAsia="MS Mincho" w:cs="Arial"/>
          <w:lang w:val="en-US"/>
        </w:rPr>
        <w:t>The Northern Ireland Human Rights Commission (NIHRC), pursuant to section 69(</w:t>
      </w:r>
      <w:r w:rsidR="00F5217E">
        <w:rPr>
          <w:rFonts w:eastAsia="MS Mincho" w:cs="Arial"/>
          <w:lang w:val="en-US"/>
        </w:rPr>
        <w:t>4</w:t>
      </w:r>
      <w:r w:rsidRPr="000A1BB2">
        <w:rPr>
          <w:rFonts w:eastAsia="MS Mincho" w:cs="Arial"/>
          <w:lang w:val="en-US"/>
        </w:rPr>
        <w:t xml:space="preserve">) of the Northern Ireland Act 1998, reviews the adequacy and effectiveness of law and practice relating to the protection of human rights in Northern Ireland (NI). </w:t>
      </w:r>
      <w:r w:rsidR="003622A2">
        <w:rPr>
          <w:rFonts w:eastAsia="MS Mincho" w:cs="Arial"/>
          <w:lang w:val="en-US"/>
        </w:rPr>
        <w:t xml:space="preserve">The NIHRC, pursuant to section 78A(6) of the Northern Ireland Act 1998, must advise </w:t>
      </w:r>
      <w:r w:rsidR="0093330F">
        <w:rPr>
          <w:rFonts w:eastAsia="MS Mincho" w:cs="Arial"/>
          <w:lang w:val="en-US"/>
        </w:rPr>
        <w:t xml:space="preserve">the Assembly (or a committee of the Assembly) whether a Bill is compatible with Article 2(1) of the Ireland/Northern Ireland Protocol. </w:t>
      </w:r>
      <w:r w:rsidRPr="000A1BB2">
        <w:rPr>
          <w:rFonts w:eastAsia="MS Mincho" w:cs="Arial"/>
          <w:lang w:val="en-US"/>
        </w:rPr>
        <w:t xml:space="preserve">In accordance with </w:t>
      </w:r>
      <w:r w:rsidR="0093330F">
        <w:rPr>
          <w:rFonts w:eastAsia="MS Mincho" w:cs="Arial"/>
          <w:lang w:val="en-US"/>
        </w:rPr>
        <w:t>these functions</w:t>
      </w:r>
      <w:r w:rsidRPr="000A1BB2">
        <w:rPr>
          <w:rFonts w:eastAsia="MS Mincho" w:cs="Arial"/>
          <w:lang w:val="en-US"/>
        </w:rPr>
        <w:t xml:space="preserve">, the following advice is submitted to the </w:t>
      </w:r>
      <w:r w:rsidR="001E2A1A">
        <w:rPr>
          <w:rFonts w:eastAsia="MS Mincho" w:cs="Arial"/>
          <w:lang w:val="en-US"/>
        </w:rPr>
        <w:t>Department</w:t>
      </w:r>
      <w:r w:rsidRPr="000A1BB2">
        <w:rPr>
          <w:rFonts w:eastAsia="MS Mincho" w:cs="Arial"/>
          <w:lang w:val="en-US"/>
        </w:rPr>
        <w:t xml:space="preserve"> for </w:t>
      </w:r>
      <w:r w:rsidR="001E2A1A">
        <w:rPr>
          <w:rFonts w:eastAsia="MS Mincho" w:cs="Arial"/>
          <w:lang w:val="en-US"/>
        </w:rPr>
        <w:t xml:space="preserve">the </w:t>
      </w:r>
      <w:r w:rsidRPr="000A1BB2">
        <w:rPr>
          <w:rFonts w:eastAsia="MS Mincho" w:cs="Arial"/>
          <w:lang w:val="en-US"/>
        </w:rPr>
        <w:t xml:space="preserve">Economy on the </w:t>
      </w:r>
      <w:r w:rsidR="00601E50">
        <w:rPr>
          <w:rFonts w:eastAsia="MS Mincho" w:cs="Arial"/>
          <w:lang w:val="en-US"/>
        </w:rPr>
        <w:t xml:space="preserve">Miscarriage Leave and Pay Regulations. </w:t>
      </w:r>
      <w:r w:rsidRPr="000A1BB2">
        <w:rPr>
          <w:rFonts w:eastAsia="MS Mincho" w:cs="Arial"/>
          <w:lang w:val="en-US"/>
        </w:rPr>
        <w:t xml:space="preserve"> </w:t>
      </w:r>
    </w:p>
    <w:p w14:paraId="34E2C635" w14:textId="77777777" w:rsidR="0067610A" w:rsidRPr="00DC6DB1" w:rsidRDefault="0067610A" w:rsidP="0067610A">
      <w:pPr>
        <w:widowControl w:val="0"/>
        <w:autoSpaceDE w:val="0"/>
        <w:autoSpaceDN w:val="0"/>
        <w:adjustRightInd w:val="0"/>
        <w:spacing w:before="24" w:after="24"/>
        <w:ind w:left="720"/>
        <w:rPr>
          <w:rFonts w:eastAsia="MS Mincho" w:cs="Arial"/>
          <w:lang w:val="en-US"/>
        </w:rPr>
      </w:pPr>
    </w:p>
    <w:p w14:paraId="7ADAAA2E" w14:textId="2033C4CF" w:rsidR="0067610A" w:rsidRPr="00DC6DB1" w:rsidRDefault="0067610A" w:rsidP="000A1BB2">
      <w:pPr>
        <w:widowControl w:val="0"/>
        <w:numPr>
          <w:ilvl w:val="1"/>
          <w:numId w:val="8"/>
        </w:numPr>
        <w:autoSpaceDE w:val="0"/>
        <w:autoSpaceDN w:val="0"/>
        <w:adjustRightInd w:val="0"/>
        <w:spacing w:before="24" w:after="24"/>
        <w:rPr>
          <w:rFonts w:eastAsia="MS Mincho" w:cs="Arial"/>
          <w:b/>
          <w:lang w:val="en-US"/>
        </w:rPr>
      </w:pPr>
      <w:r w:rsidRPr="00DC6DB1">
        <w:rPr>
          <w:rFonts w:eastAsia="MS Mincho" w:cs="Arial"/>
          <w:lang w:val="en-US"/>
        </w:rPr>
        <w:t>The NIHRC bases its advice on the full range of internationally accepted human rights standards, including the European Convention on Human Rights, as incorporated by the Human Rights Act 1998, and the treaty obligations of the Council of Europe (CoE) and United Nations (UN). The relevant regional and international treaties in this context include:</w:t>
      </w:r>
    </w:p>
    <w:p w14:paraId="31BF9921" w14:textId="77777777" w:rsidR="0067610A" w:rsidRPr="00DC6DB1" w:rsidRDefault="0067610A" w:rsidP="0067610A">
      <w:pPr>
        <w:spacing w:before="24" w:after="24"/>
        <w:ind w:left="720"/>
        <w:contextualSpacing/>
        <w:rPr>
          <w:rFonts w:eastAsia="MS Mincho" w:cs="Arial"/>
        </w:rPr>
      </w:pPr>
    </w:p>
    <w:p w14:paraId="1E62488E" w14:textId="0989B318" w:rsidR="0067610A" w:rsidRPr="00BB4526" w:rsidRDefault="00272377" w:rsidP="0067610A">
      <w:pPr>
        <w:widowControl w:val="0"/>
        <w:numPr>
          <w:ilvl w:val="0"/>
          <w:numId w:val="14"/>
        </w:numPr>
        <w:autoSpaceDE w:val="0"/>
        <w:autoSpaceDN w:val="0"/>
        <w:adjustRightInd w:val="0"/>
        <w:spacing w:before="24" w:after="24"/>
        <w:rPr>
          <w:rFonts w:eastAsia="MS Mincho" w:cs="Arial"/>
          <w:b/>
          <w:lang w:val="en-US"/>
        </w:rPr>
      </w:pPr>
      <w:r>
        <w:rPr>
          <w:rFonts w:eastAsia="MS Mincho" w:cs="Arial"/>
          <w:lang w:val="en-US"/>
        </w:rPr>
        <w:t xml:space="preserve">CoE </w:t>
      </w:r>
      <w:r w:rsidR="0067610A" w:rsidRPr="00DC6DB1">
        <w:rPr>
          <w:rFonts w:eastAsia="MS Mincho" w:cs="Arial"/>
          <w:lang w:val="en-US"/>
        </w:rPr>
        <w:t xml:space="preserve">European Convention on Human Rights </w:t>
      </w:r>
      <w:r>
        <w:rPr>
          <w:rFonts w:eastAsia="MS Mincho" w:cs="Arial"/>
          <w:lang w:val="en-US"/>
        </w:rPr>
        <w:t xml:space="preserve">1950 </w:t>
      </w:r>
      <w:r w:rsidR="0067610A" w:rsidRPr="00DC6DB1">
        <w:rPr>
          <w:rFonts w:eastAsia="MS Mincho" w:cs="Arial"/>
          <w:lang w:val="en-US"/>
        </w:rPr>
        <w:t>(ECHR);</w:t>
      </w:r>
      <w:r w:rsidR="0067610A" w:rsidRPr="00DC6DB1">
        <w:rPr>
          <w:rFonts w:eastAsia="MS Mincho" w:cs="Arial"/>
          <w:vertAlign w:val="superscript"/>
          <w:lang w:val="en-US"/>
        </w:rPr>
        <w:footnoteReference w:id="2"/>
      </w:r>
      <w:r w:rsidR="0067610A" w:rsidRPr="00DC6DB1">
        <w:rPr>
          <w:rFonts w:eastAsia="MS Mincho" w:cs="Arial"/>
          <w:lang w:val="en-US"/>
        </w:rPr>
        <w:t xml:space="preserve"> </w:t>
      </w:r>
    </w:p>
    <w:p w14:paraId="3B862097" w14:textId="0E455628" w:rsidR="00BB4526" w:rsidRPr="00DC6DB1" w:rsidRDefault="00BB4526" w:rsidP="005230E2">
      <w:pPr>
        <w:widowControl w:val="0"/>
        <w:numPr>
          <w:ilvl w:val="0"/>
          <w:numId w:val="14"/>
        </w:numPr>
        <w:autoSpaceDE w:val="0"/>
        <w:autoSpaceDN w:val="0"/>
        <w:adjustRightInd w:val="0"/>
        <w:spacing w:before="24" w:after="24"/>
        <w:rPr>
          <w:rFonts w:eastAsia="MS Mincho" w:cs="Arial"/>
          <w:b/>
          <w:lang w:val="en-US"/>
        </w:rPr>
      </w:pPr>
      <w:r>
        <w:rPr>
          <w:rFonts w:eastAsia="MS Mincho" w:cs="Arial"/>
          <w:lang w:val="en-US"/>
        </w:rPr>
        <w:t xml:space="preserve">UN </w:t>
      </w:r>
      <w:r w:rsidR="004C2E2D">
        <w:rPr>
          <w:rFonts w:eastAsia="MS Mincho" w:cs="Arial"/>
          <w:lang w:val="en-US"/>
        </w:rPr>
        <w:t>International Covenant on</w:t>
      </w:r>
      <w:r>
        <w:rPr>
          <w:rFonts w:eastAsia="MS Mincho" w:cs="Arial"/>
          <w:lang w:val="en-US"/>
        </w:rPr>
        <w:t xml:space="preserve"> Economi</w:t>
      </w:r>
      <w:r w:rsidR="005230E2">
        <w:rPr>
          <w:rFonts w:eastAsia="MS Mincho" w:cs="Arial"/>
          <w:lang w:val="en-US"/>
        </w:rPr>
        <w:t xml:space="preserve">c, Social and Cultural Rights </w:t>
      </w:r>
      <w:r w:rsidR="00272377">
        <w:rPr>
          <w:rFonts w:eastAsia="MS Mincho" w:cs="Arial"/>
          <w:lang w:val="en-US"/>
        </w:rPr>
        <w:t xml:space="preserve">1966 </w:t>
      </w:r>
      <w:r w:rsidR="005230E2">
        <w:rPr>
          <w:rFonts w:eastAsia="MS Mincho" w:cs="Arial"/>
          <w:lang w:val="en-US"/>
        </w:rPr>
        <w:t>(</w:t>
      </w:r>
      <w:r>
        <w:rPr>
          <w:rFonts w:eastAsia="MS Mincho" w:cs="Arial"/>
          <w:lang w:val="en-US"/>
        </w:rPr>
        <w:t>UN ICESCR</w:t>
      </w:r>
      <w:r w:rsidR="005230E2">
        <w:rPr>
          <w:rFonts w:eastAsia="MS Mincho" w:cs="Arial"/>
          <w:lang w:val="en-US"/>
        </w:rPr>
        <w:t>)</w:t>
      </w:r>
      <w:r>
        <w:rPr>
          <w:rFonts w:eastAsia="MS Mincho" w:cs="Arial"/>
          <w:lang w:val="en-US"/>
        </w:rPr>
        <w:t>;</w:t>
      </w:r>
      <w:r>
        <w:rPr>
          <w:rStyle w:val="FootnoteReference"/>
          <w:rFonts w:eastAsia="MS Mincho" w:cs="Arial"/>
          <w:lang w:val="en-US"/>
        </w:rPr>
        <w:footnoteReference w:id="3"/>
      </w:r>
    </w:p>
    <w:p w14:paraId="7E74C6B3" w14:textId="04346E5F" w:rsidR="002110AF" w:rsidRPr="0055550A" w:rsidRDefault="0067610A" w:rsidP="0055550A">
      <w:pPr>
        <w:widowControl w:val="0"/>
        <w:numPr>
          <w:ilvl w:val="0"/>
          <w:numId w:val="14"/>
        </w:numPr>
        <w:autoSpaceDE w:val="0"/>
        <w:autoSpaceDN w:val="0"/>
        <w:adjustRightInd w:val="0"/>
        <w:spacing w:before="24" w:after="24"/>
        <w:rPr>
          <w:rFonts w:eastAsia="MS Mincho" w:cs="Arial"/>
          <w:lang w:val="en-US"/>
        </w:rPr>
      </w:pPr>
      <w:r w:rsidRPr="00DC6DB1">
        <w:rPr>
          <w:rFonts w:eastAsia="MS Mincho" w:cs="Verdana"/>
          <w:color w:val="000000"/>
          <w:lang w:val="en-US"/>
        </w:rPr>
        <w:t xml:space="preserve">UN Convention on Elimination of Discrimination against Women </w:t>
      </w:r>
      <w:r w:rsidR="00272377">
        <w:rPr>
          <w:rFonts w:eastAsia="MS Mincho" w:cs="Verdana"/>
          <w:color w:val="000000"/>
          <w:lang w:val="en-US"/>
        </w:rPr>
        <w:t xml:space="preserve">1981 </w:t>
      </w:r>
      <w:r>
        <w:rPr>
          <w:rFonts w:eastAsia="MS Mincho" w:cs="Verdana"/>
          <w:color w:val="000000"/>
          <w:lang w:val="en-US"/>
        </w:rPr>
        <w:t>(UN CEDAW)</w:t>
      </w:r>
      <w:r w:rsidR="002110AF">
        <w:rPr>
          <w:rFonts w:eastAsia="MS Mincho" w:cs="Verdana"/>
          <w:color w:val="000000"/>
          <w:lang w:val="en-US"/>
        </w:rPr>
        <w:t>;</w:t>
      </w:r>
      <w:r w:rsidRPr="00DC6DB1">
        <w:rPr>
          <w:rFonts w:eastAsia="MS Mincho" w:cs="Verdana"/>
          <w:color w:val="000000"/>
          <w:vertAlign w:val="superscript"/>
          <w:lang w:val="en-US"/>
        </w:rPr>
        <w:footnoteReference w:id="4"/>
      </w:r>
      <w:r w:rsidR="0055550A">
        <w:rPr>
          <w:rFonts w:eastAsia="MS Mincho" w:cs="Arial"/>
          <w:lang w:val="en-US"/>
        </w:rPr>
        <w:t xml:space="preserve"> </w:t>
      </w:r>
      <w:r w:rsidR="00291C0B">
        <w:t>and</w:t>
      </w:r>
    </w:p>
    <w:p w14:paraId="0CF1F06A" w14:textId="5F1BD687" w:rsidR="00291C0B" w:rsidRPr="002110AF" w:rsidRDefault="00291C0B" w:rsidP="005230E2">
      <w:pPr>
        <w:widowControl w:val="0"/>
        <w:numPr>
          <w:ilvl w:val="0"/>
          <w:numId w:val="14"/>
        </w:numPr>
        <w:autoSpaceDE w:val="0"/>
        <w:autoSpaceDN w:val="0"/>
        <w:adjustRightInd w:val="0"/>
        <w:spacing w:before="24" w:after="24"/>
        <w:rPr>
          <w:rFonts w:eastAsia="MS Mincho" w:cs="Arial"/>
          <w:lang w:val="en-US"/>
        </w:rPr>
      </w:pPr>
      <w:r>
        <w:rPr>
          <w:rFonts w:eastAsia="MS Mincho" w:cs="Arial"/>
          <w:lang w:val="en-US"/>
        </w:rPr>
        <w:t>CoE Convention on Preventing and Combating Violence Against Women and Domestic Violence 2011 (Istanbul Convention).</w:t>
      </w:r>
      <w:r>
        <w:rPr>
          <w:rStyle w:val="FootnoteReference"/>
          <w:rFonts w:eastAsia="MS Mincho" w:cs="Arial"/>
          <w:lang w:val="en-US"/>
        </w:rPr>
        <w:footnoteReference w:id="5"/>
      </w:r>
    </w:p>
    <w:p w14:paraId="5BE53E0B" w14:textId="77777777" w:rsidR="0067610A" w:rsidRPr="00DC6DB1" w:rsidRDefault="0067610A" w:rsidP="005230E2">
      <w:pPr>
        <w:spacing w:before="24" w:after="24"/>
        <w:ind w:left="720"/>
        <w:contextualSpacing/>
        <w:rPr>
          <w:rFonts w:eastAsia="MS Mincho" w:cs="Arial"/>
        </w:rPr>
      </w:pPr>
    </w:p>
    <w:p w14:paraId="1B678A31" w14:textId="207C65FC" w:rsidR="003664FB" w:rsidRDefault="0067610A" w:rsidP="0020383D">
      <w:pPr>
        <w:numPr>
          <w:ilvl w:val="1"/>
          <w:numId w:val="8"/>
        </w:numPr>
        <w:spacing w:before="24" w:after="24"/>
        <w:contextualSpacing/>
        <w:rPr>
          <w:rFonts w:eastAsia="MS Mincho" w:cs="Arial"/>
          <w:lang w:val="en-US"/>
        </w:rPr>
      </w:pPr>
      <w:r w:rsidRPr="00DC6DB1">
        <w:rPr>
          <w:rFonts w:eastAsia="MS Mincho" w:cs="Arial"/>
          <w:lang w:val="en-US"/>
        </w:rPr>
        <w:t xml:space="preserve">In addition to these treaty standards, </w:t>
      </w:r>
      <w:r w:rsidR="00272377">
        <w:t>the following</w:t>
      </w:r>
      <w:r w:rsidR="00272377" w:rsidRPr="00A11AF3">
        <w:t xml:space="preserve"> declarations and principles provide further guidance in respect of specific areas</w:t>
      </w:r>
      <w:r w:rsidRPr="00DC6DB1">
        <w:rPr>
          <w:rFonts w:eastAsia="MS Mincho" w:cs="Arial"/>
          <w:lang w:val="en-US"/>
        </w:rPr>
        <w:t>:</w:t>
      </w:r>
    </w:p>
    <w:p w14:paraId="4A85CD88" w14:textId="77777777" w:rsidR="000C7396" w:rsidRDefault="000C7396" w:rsidP="000C7396">
      <w:pPr>
        <w:spacing w:before="24" w:after="24"/>
        <w:ind w:left="720"/>
        <w:contextualSpacing/>
        <w:rPr>
          <w:rFonts w:eastAsia="MS Mincho" w:cs="Arial"/>
          <w:lang w:val="en-US"/>
        </w:rPr>
      </w:pPr>
    </w:p>
    <w:p w14:paraId="66F3CE3A" w14:textId="28C9781F" w:rsidR="003664FB" w:rsidRDefault="003664FB" w:rsidP="0020383D">
      <w:pPr>
        <w:pStyle w:val="ListParagraph"/>
        <w:numPr>
          <w:ilvl w:val="0"/>
          <w:numId w:val="26"/>
        </w:numPr>
        <w:spacing w:before="24" w:after="24"/>
        <w:rPr>
          <w:rFonts w:eastAsia="MS Mincho" w:cs="Arial"/>
          <w:lang w:val="en-US"/>
        </w:rPr>
      </w:pPr>
      <w:r w:rsidRPr="0020383D">
        <w:rPr>
          <w:rFonts w:eastAsia="MS Mincho" w:cs="Arial"/>
          <w:lang w:val="en-US"/>
        </w:rPr>
        <w:t xml:space="preserve">UN ICESCR Committee General </w:t>
      </w:r>
      <w:r w:rsidR="00272377">
        <w:rPr>
          <w:rFonts w:eastAsia="MS Mincho" w:cs="Arial"/>
          <w:lang w:val="en-US"/>
        </w:rPr>
        <w:t>C</w:t>
      </w:r>
      <w:r w:rsidRPr="0020383D">
        <w:rPr>
          <w:rFonts w:eastAsia="MS Mincho" w:cs="Arial"/>
          <w:lang w:val="en-US"/>
        </w:rPr>
        <w:t>omment No</w:t>
      </w:r>
      <w:r w:rsidR="00272377">
        <w:rPr>
          <w:rFonts w:eastAsia="MS Mincho" w:cs="Arial"/>
          <w:lang w:val="en-US"/>
        </w:rPr>
        <w:t xml:space="preserve"> </w:t>
      </w:r>
      <w:r w:rsidRPr="0020383D">
        <w:rPr>
          <w:rFonts w:eastAsia="MS Mincho" w:cs="Arial"/>
          <w:lang w:val="en-US"/>
        </w:rPr>
        <w:t>23</w:t>
      </w:r>
      <w:r w:rsidR="00272377">
        <w:rPr>
          <w:rFonts w:eastAsia="MS Mincho" w:cs="Arial"/>
          <w:lang w:val="en-US"/>
        </w:rPr>
        <w:t>;</w:t>
      </w:r>
      <w:r w:rsidRPr="00DC6DB1">
        <w:rPr>
          <w:vertAlign w:val="superscript"/>
          <w:lang w:val="en-US"/>
        </w:rPr>
        <w:footnoteReference w:id="6"/>
      </w:r>
    </w:p>
    <w:p w14:paraId="793669B9" w14:textId="4F62F935" w:rsidR="006C42EE" w:rsidRDefault="006C42EE" w:rsidP="006C42EE">
      <w:pPr>
        <w:pStyle w:val="ListParagraph"/>
        <w:numPr>
          <w:ilvl w:val="0"/>
          <w:numId w:val="26"/>
        </w:numPr>
        <w:spacing w:before="24" w:after="24"/>
        <w:rPr>
          <w:rFonts w:eastAsia="MS Mincho" w:cs="Arial"/>
          <w:lang w:val="en-US"/>
        </w:rPr>
      </w:pPr>
      <w:r w:rsidRPr="006C42EE">
        <w:rPr>
          <w:rFonts w:eastAsia="MS Mincho" w:cs="Arial"/>
          <w:lang w:val="en-US"/>
        </w:rPr>
        <w:t xml:space="preserve">UN CEDAW </w:t>
      </w:r>
      <w:r w:rsidR="00272377">
        <w:rPr>
          <w:rFonts w:eastAsia="MS Mincho" w:cs="Arial"/>
          <w:lang w:val="en-US"/>
        </w:rPr>
        <w:t xml:space="preserve">2019 </w:t>
      </w:r>
      <w:r w:rsidRPr="006C42EE">
        <w:rPr>
          <w:rFonts w:eastAsia="MS Mincho" w:cs="Arial"/>
          <w:lang w:val="en-US"/>
        </w:rPr>
        <w:t xml:space="preserve">Committee Concluding Observations </w:t>
      </w:r>
      <w:r w:rsidR="00272377">
        <w:rPr>
          <w:rFonts w:eastAsia="MS Mincho" w:cs="Arial"/>
          <w:lang w:val="en-US"/>
        </w:rPr>
        <w:t>on the UK</w:t>
      </w:r>
      <w:r w:rsidRPr="006C42EE">
        <w:rPr>
          <w:rFonts w:eastAsia="MS Mincho" w:cs="Arial"/>
          <w:lang w:val="en-US"/>
        </w:rPr>
        <w:t>;</w:t>
      </w:r>
      <w:r w:rsidRPr="006C42EE">
        <w:rPr>
          <w:rFonts w:eastAsia="MS Mincho" w:cs="Arial"/>
          <w:vertAlign w:val="superscript"/>
          <w:lang w:val="en-US"/>
        </w:rPr>
        <w:footnoteReference w:id="7"/>
      </w:r>
    </w:p>
    <w:p w14:paraId="2D7399FD" w14:textId="4F9C4705" w:rsidR="006C42EE" w:rsidRDefault="006C42EE" w:rsidP="006C42EE">
      <w:pPr>
        <w:pStyle w:val="ListParagraph"/>
        <w:numPr>
          <w:ilvl w:val="0"/>
          <w:numId w:val="26"/>
        </w:numPr>
        <w:spacing w:before="24" w:after="24"/>
        <w:rPr>
          <w:rFonts w:eastAsia="MS Mincho" w:cs="Arial"/>
          <w:lang w:val="en-US"/>
        </w:rPr>
      </w:pPr>
      <w:r>
        <w:rPr>
          <w:rFonts w:eastAsia="MS Mincho" w:cs="Arial"/>
          <w:lang w:val="en-US"/>
        </w:rPr>
        <w:t>UN ICCPR Committee General Comment No 36.</w:t>
      </w:r>
      <w:r>
        <w:rPr>
          <w:rStyle w:val="FootnoteReference"/>
          <w:rFonts w:eastAsia="MS Mincho" w:cs="Arial"/>
          <w:lang w:val="en-US"/>
        </w:rPr>
        <w:footnoteReference w:id="8"/>
      </w:r>
    </w:p>
    <w:p w14:paraId="7DA30B96" w14:textId="08F86E51" w:rsidR="006C42EE" w:rsidRDefault="006C42EE" w:rsidP="00A47C9B">
      <w:pPr>
        <w:spacing w:before="24" w:after="24"/>
        <w:rPr>
          <w:rFonts w:eastAsia="MS Mincho" w:cs="Arial"/>
          <w:lang w:val="en-US"/>
        </w:rPr>
      </w:pPr>
    </w:p>
    <w:p w14:paraId="6A000DAE" w14:textId="2E5A3E7C" w:rsidR="00AA4FFA" w:rsidRPr="00666802" w:rsidRDefault="00AA4FFA" w:rsidP="00AA4FFA">
      <w:pPr>
        <w:pStyle w:val="ListParagraph"/>
        <w:numPr>
          <w:ilvl w:val="1"/>
          <w:numId w:val="8"/>
        </w:numPr>
        <w:spacing w:before="24" w:after="24"/>
        <w:rPr>
          <w:rFonts w:eastAsia="MS Mincho" w:cs="Arial"/>
          <w:lang w:val="en-US"/>
        </w:rPr>
      </w:pPr>
      <w:r w:rsidRPr="00F93D82">
        <w:t>The NIHRC further advises on the UK Government’s commitment (in Protocol Article 2) to ensure there is no diminution of rights, safeguards and equality of opportunity in the relevant section of the Belfast (Good Friday) Agreement as a result of the UK’s withdrawal from the EU. This is given effect in UK law by section 7A of the EU (Withdrawal) Act 2018. In addition, section 6 of the NI Act 1998 prohibits the NI Assembly from making any law which is incompatible with Protocol Article 2. Section 24 of the 1998 Act also requires all acts of NI Ministers and NI Departments to be compatible with Protocol Article 2.  The relevant EU measures in this context include:</w:t>
      </w:r>
    </w:p>
    <w:p w14:paraId="571BE1A1" w14:textId="77777777" w:rsidR="00666802" w:rsidRPr="007F2AF0" w:rsidRDefault="00666802" w:rsidP="00666802">
      <w:pPr>
        <w:pStyle w:val="ListParagraph"/>
        <w:spacing w:before="24" w:after="24"/>
        <w:rPr>
          <w:rFonts w:eastAsia="MS Mincho" w:cs="Arial"/>
          <w:lang w:val="en-US"/>
        </w:rPr>
      </w:pPr>
    </w:p>
    <w:p w14:paraId="1F19BA22" w14:textId="77777777" w:rsidR="00AA4FFA" w:rsidRPr="00207E86" w:rsidRDefault="00AA4FFA" w:rsidP="00AA4FFA">
      <w:pPr>
        <w:pStyle w:val="ListParagraph"/>
        <w:numPr>
          <w:ilvl w:val="0"/>
          <w:numId w:val="39"/>
        </w:numPr>
        <w:spacing w:before="24" w:after="24"/>
        <w:rPr>
          <w:rFonts w:eastAsia="MS Mincho" w:cs="Arial"/>
          <w:lang w:val="en-US"/>
        </w:rPr>
      </w:pPr>
      <w:r>
        <w:t>EU Council Directive on Establishing a General Framework for Equal Treatment in Employment and Occupation;</w:t>
      </w:r>
      <w:r>
        <w:rPr>
          <w:rStyle w:val="FootnoteReference"/>
        </w:rPr>
        <w:footnoteReference w:id="9"/>
      </w:r>
      <w:r>
        <w:t xml:space="preserve"> </w:t>
      </w:r>
    </w:p>
    <w:p w14:paraId="39066FBC" w14:textId="77777777" w:rsidR="00AA4FFA" w:rsidRPr="00207E86" w:rsidRDefault="00AA4FFA" w:rsidP="00AA4FFA">
      <w:pPr>
        <w:pStyle w:val="ListParagraph"/>
        <w:numPr>
          <w:ilvl w:val="0"/>
          <w:numId w:val="39"/>
        </w:numPr>
        <w:spacing w:before="24" w:after="24"/>
        <w:rPr>
          <w:rFonts w:eastAsia="MS Mincho" w:cs="Arial"/>
          <w:lang w:val="en-US"/>
        </w:rPr>
      </w:pPr>
      <w:r>
        <w:t>EU Council Directive on the Implementation of the Principle of Equal Opportunities and Equal Treatment of Men and Women in Matters of Employment and Occupation;</w:t>
      </w:r>
      <w:r>
        <w:rPr>
          <w:rStyle w:val="FootnoteReference"/>
        </w:rPr>
        <w:footnoteReference w:id="10"/>
      </w:r>
      <w:r>
        <w:t xml:space="preserve"> </w:t>
      </w:r>
    </w:p>
    <w:p w14:paraId="46F960C7" w14:textId="77777777" w:rsidR="00AA4FFA" w:rsidRPr="007F2AF0" w:rsidRDefault="00AA4FFA" w:rsidP="00AA4FFA">
      <w:pPr>
        <w:pStyle w:val="ListParagraph"/>
        <w:numPr>
          <w:ilvl w:val="0"/>
          <w:numId w:val="39"/>
        </w:numPr>
        <w:spacing w:before="24" w:after="24"/>
        <w:rPr>
          <w:rFonts w:eastAsia="MS Mincho" w:cs="Arial"/>
          <w:lang w:val="en-US"/>
        </w:rPr>
      </w:pPr>
      <w:r>
        <w:t>EU Parliament and EU Council Directive on the Application of the Principle of Equal Treatment between Men and Women Engaged in an Activity in a Self -employed Capacity.</w:t>
      </w:r>
      <w:r>
        <w:rPr>
          <w:rStyle w:val="FootnoteReference"/>
        </w:rPr>
        <w:footnoteReference w:id="11"/>
      </w:r>
    </w:p>
    <w:p w14:paraId="72B04C77" w14:textId="77777777" w:rsidR="007F2AF0" w:rsidRPr="007F2AF0" w:rsidRDefault="007F2AF0" w:rsidP="007F2AF0">
      <w:pPr>
        <w:pStyle w:val="ListParagraph"/>
        <w:spacing w:before="24" w:after="24"/>
        <w:rPr>
          <w:rFonts w:eastAsia="MS Mincho" w:cs="Arial"/>
          <w:lang w:val="en-US"/>
        </w:rPr>
      </w:pPr>
    </w:p>
    <w:p w14:paraId="33DB31FA" w14:textId="1D1DE5ED" w:rsidR="007F2AF0" w:rsidRPr="00666802" w:rsidRDefault="007F2AF0" w:rsidP="007F2AF0">
      <w:pPr>
        <w:pStyle w:val="ListParagraph"/>
        <w:numPr>
          <w:ilvl w:val="1"/>
          <w:numId w:val="8"/>
        </w:numPr>
        <w:spacing w:before="24" w:after="24"/>
        <w:rPr>
          <w:rFonts w:cs="Arial"/>
        </w:rPr>
      </w:pPr>
      <w:r w:rsidRPr="007F2AF0">
        <w:rPr>
          <w:rFonts w:cs="Arial"/>
        </w:rPr>
        <w:t xml:space="preserve">Under the proposed regulations, which aim to introduce a legal requirement for miscarriage leave and pay, NI will become the first region in the UK to enshrine a legal requirement for miscarriage leave and pay. NI will also be amongst the first countries globally to offer this form of statutory leave. The Commission welcomes the proposed intention for NI to lead in providing such an important form of support. </w:t>
      </w:r>
      <w:r w:rsidR="009837D3">
        <w:rPr>
          <w:rFonts w:cs="Arial"/>
        </w:rPr>
        <w:t>The</w:t>
      </w:r>
      <w:r w:rsidRPr="007F2AF0">
        <w:rPr>
          <w:rFonts w:cs="Arial"/>
        </w:rPr>
        <w:t xml:space="preserve"> Commission has some recommendations for how the regulations could be improved to ensure it does provide in practice equality of access to leave entitlement and financial security when grieving.</w:t>
      </w:r>
    </w:p>
    <w:p w14:paraId="42A8DFB9" w14:textId="4BEB07B9" w:rsidR="003664FB" w:rsidRDefault="003664FB" w:rsidP="0020383D">
      <w:pPr>
        <w:spacing w:before="24" w:after="24"/>
        <w:contextualSpacing/>
        <w:rPr>
          <w:rFonts w:eastAsia="MS Mincho" w:cs="Arial"/>
          <w:lang w:val="en-US"/>
        </w:rPr>
      </w:pPr>
    </w:p>
    <w:p w14:paraId="3F170A3D" w14:textId="20FF64FC" w:rsidR="00A47C9B" w:rsidRPr="00E451B5" w:rsidRDefault="00A47C9B" w:rsidP="00A47C9B">
      <w:pPr>
        <w:pStyle w:val="Heading1"/>
        <w:numPr>
          <w:ilvl w:val="0"/>
          <w:numId w:val="31"/>
        </w:numPr>
        <w:rPr>
          <w:lang w:val="en-US"/>
        </w:rPr>
      </w:pPr>
      <w:bookmarkStart w:id="3" w:name="_Toc121405531"/>
      <w:r>
        <w:rPr>
          <w:lang w:val="en-US"/>
        </w:rPr>
        <w:lastRenderedPageBreak/>
        <w:t>Protocol Article 2</w:t>
      </w:r>
      <w:bookmarkEnd w:id="3"/>
      <w:r>
        <w:rPr>
          <w:lang w:val="en-US"/>
        </w:rPr>
        <w:t xml:space="preserve"> </w:t>
      </w:r>
    </w:p>
    <w:p w14:paraId="6E2AC5F3" w14:textId="3B0B842A" w:rsidR="003664FB" w:rsidRPr="00A47C9B" w:rsidRDefault="00E575C3" w:rsidP="00A47C9B">
      <w:pPr>
        <w:pStyle w:val="ListParagraph"/>
        <w:numPr>
          <w:ilvl w:val="1"/>
          <w:numId w:val="31"/>
        </w:numPr>
        <w:spacing w:before="24" w:after="24"/>
        <w:ind w:left="709"/>
        <w:rPr>
          <w:rFonts w:eastAsia="MS Mincho" w:cs="Arial"/>
        </w:rPr>
      </w:pPr>
      <w:r w:rsidRPr="00A47C9B">
        <w:rPr>
          <w:rFonts w:eastAsia="MS Mincho" w:cs="Arial"/>
          <w:lang w:val="en-US"/>
        </w:rPr>
        <w:t>Article 2 of the Ireland/Northern Irelan</w:t>
      </w:r>
      <w:r w:rsidR="003664FB" w:rsidRPr="00A47C9B">
        <w:rPr>
          <w:rFonts w:eastAsia="MS Mincho" w:cs="Arial"/>
          <w:lang w:val="en-US"/>
        </w:rPr>
        <w:t>d</w:t>
      </w:r>
      <w:r w:rsidRPr="00A47C9B">
        <w:rPr>
          <w:rFonts w:eastAsia="MS Mincho" w:cs="Arial"/>
          <w:lang w:val="en-US"/>
        </w:rPr>
        <w:t xml:space="preserve"> Protocol (the Protocol) </w:t>
      </w:r>
      <w:r w:rsidR="00F74BE2" w:rsidRPr="00A47C9B">
        <w:rPr>
          <w:rFonts w:eastAsia="MS Mincho" w:cs="Arial"/>
        </w:rPr>
        <w:t>requires the UK Government and NI Executive to ensure there is no diminution of rights, safeguards and equality of opportunity, as set out in the relevant chapter of the Belfast (Good Friday) Agreement 1998, as a result of the UK’s withdrawal from the EU. That chapter includes a commitment to the “civil rights and religious liberties of everyone in the community” and affirms in particular a list of rights.</w:t>
      </w:r>
      <w:r w:rsidR="00F74BE2" w:rsidRPr="00F74BE2">
        <w:rPr>
          <w:vertAlign w:val="superscript"/>
        </w:rPr>
        <w:footnoteReference w:id="12"/>
      </w:r>
      <w:r w:rsidR="00F74BE2" w:rsidRPr="00A47C9B">
        <w:rPr>
          <w:rFonts w:eastAsia="MS Mincho" w:cs="Arial"/>
        </w:rPr>
        <w:t xml:space="preserve"> The phrase “affirmed in particular” suggests that this is a non-exhaustive list of rights.</w:t>
      </w:r>
    </w:p>
    <w:p w14:paraId="170CA35D" w14:textId="77777777" w:rsidR="003664FB" w:rsidRDefault="003664FB" w:rsidP="0020383D">
      <w:pPr>
        <w:spacing w:before="24" w:after="24"/>
        <w:ind w:left="720"/>
        <w:contextualSpacing/>
        <w:rPr>
          <w:rFonts w:eastAsia="MS Mincho" w:cs="Arial"/>
        </w:rPr>
      </w:pPr>
    </w:p>
    <w:p w14:paraId="570A7D23" w14:textId="06B2584F" w:rsidR="00C23245" w:rsidRDefault="00F74BE2" w:rsidP="00A47C9B">
      <w:pPr>
        <w:numPr>
          <w:ilvl w:val="1"/>
          <w:numId w:val="31"/>
        </w:numPr>
        <w:spacing w:before="24" w:after="24"/>
        <w:ind w:left="709" w:hanging="709"/>
        <w:contextualSpacing/>
        <w:rPr>
          <w:rFonts w:eastAsia="MS Mincho" w:cs="Arial"/>
        </w:rPr>
      </w:pPr>
      <w:r w:rsidRPr="00F74BE2">
        <w:rPr>
          <w:rFonts w:eastAsia="MS Mincho" w:cs="Arial"/>
        </w:rPr>
        <w:t>Protocol Article 2 includes a commitment to ‘keep pace’ with EU law developments falling within the six EU Equality Directives listed in Annex 1 to the Protocol which improve the minimum levels of protection available after 1 January 2021, including relevant case law of the Court of Justice of the EU.</w:t>
      </w:r>
      <w:r w:rsidRPr="00F74BE2">
        <w:rPr>
          <w:rFonts w:eastAsia="MS Mincho" w:cs="Arial"/>
          <w:vertAlign w:val="superscript"/>
        </w:rPr>
        <w:footnoteReference w:id="13"/>
      </w:r>
      <w:r w:rsidRPr="00F74BE2">
        <w:rPr>
          <w:rFonts w:eastAsia="MS Mincho" w:cs="Arial"/>
        </w:rPr>
        <w:t xml:space="preserve"> This means that if the minimum standards in the Annex 1 Equality Directives are amended or replaced, the UK Government and NI Executive must ensure that domestic legislation in NI reflects any substantive enhancements in relevant protections.</w:t>
      </w:r>
      <w:r w:rsidRPr="00F74BE2">
        <w:rPr>
          <w:rFonts w:eastAsia="MS Mincho" w:cs="Arial"/>
          <w:vertAlign w:val="superscript"/>
        </w:rPr>
        <w:footnoteReference w:id="14"/>
      </w:r>
    </w:p>
    <w:p w14:paraId="02F29330" w14:textId="77777777" w:rsidR="00C23245" w:rsidRPr="00C23245" w:rsidRDefault="00C23245" w:rsidP="00A47C9B">
      <w:pPr>
        <w:spacing w:before="24" w:after="24"/>
        <w:ind w:left="709" w:hanging="709"/>
        <w:contextualSpacing/>
        <w:rPr>
          <w:rFonts w:eastAsia="MS Mincho" w:cs="Arial"/>
        </w:rPr>
      </w:pPr>
    </w:p>
    <w:p w14:paraId="34F8741F" w14:textId="41B166D5" w:rsidR="003664FB" w:rsidRDefault="00F74BE2" w:rsidP="00A47C9B">
      <w:pPr>
        <w:numPr>
          <w:ilvl w:val="1"/>
          <w:numId w:val="31"/>
        </w:numPr>
        <w:spacing w:before="24" w:after="24"/>
        <w:ind w:left="709" w:hanging="709"/>
        <w:contextualSpacing/>
        <w:rPr>
          <w:rFonts w:eastAsia="MS Mincho" w:cs="Arial"/>
        </w:rPr>
      </w:pPr>
      <w:r w:rsidRPr="003664FB">
        <w:rPr>
          <w:rFonts w:eastAsia="MS Mincho" w:cs="Arial"/>
        </w:rPr>
        <w:t>In addition to the six Annex 1 Equality Directives, there is other relevant EU law that underpins rights set out in the relevant chapter of the Belfast (Good Friday) Agreement. The UK Government has committed to ensuring that there will be no diminution of protections as were contained in relevant EU law on 31 December 2020.</w:t>
      </w:r>
    </w:p>
    <w:p w14:paraId="13FB105C" w14:textId="77777777" w:rsidR="005F17D2" w:rsidRDefault="005F17D2" w:rsidP="00A47C9B">
      <w:pPr>
        <w:spacing w:before="24" w:after="24"/>
        <w:ind w:left="709" w:hanging="709"/>
        <w:contextualSpacing/>
        <w:rPr>
          <w:rFonts w:eastAsia="MS Mincho" w:cs="Arial"/>
        </w:rPr>
      </w:pPr>
    </w:p>
    <w:p w14:paraId="0D8E2E80" w14:textId="52C7AFD7" w:rsidR="005F17D2" w:rsidRDefault="00F74BE2" w:rsidP="00A47C9B">
      <w:pPr>
        <w:numPr>
          <w:ilvl w:val="1"/>
          <w:numId w:val="31"/>
        </w:numPr>
        <w:spacing w:before="24" w:after="24"/>
        <w:ind w:left="709" w:hanging="709"/>
        <w:contextualSpacing/>
        <w:rPr>
          <w:rFonts w:eastAsia="MS Mincho" w:cs="Arial"/>
        </w:rPr>
      </w:pPr>
      <w:r w:rsidRPr="003664FB">
        <w:rPr>
          <w:rFonts w:eastAsia="MS Mincho" w:cs="Arial"/>
        </w:rPr>
        <w:t xml:space="preserve">In addition to the listed rights, safeguards and equality of opportunity protections, the Belfast (Good Friday) Agreement also commits the UK Government to the incorporation of the ECHR. Thus, the non-diminution commitment in Protocol Article 2 encompasses the full range of rights set </w:t>
      </w:r>
      <w:r w:rsidRPr="003664FB">
        <w:rPr>
          <w:rFonts w:eastAsia="MS Mincho" w:cs="Arial"/>
        </w:rPr>
        <w:lastRenderedPageBreak/>
        <w:t>out in the ECHR, to the extent that they are underpinned by EU legal obligations in force on or before 31 December 2020.</w:t>
      </w:r>
      <w:r w:rsidRPr="00F74BE2">
        <w:rPr>
          <w:rFonts w:eastAsia="MS Mincho" w:cs="Arial"/>
          <w:vertAlign w:val="superscript"/>
        </w:rPr>
        <w:footnoteReference w:id="15"/>
      </w:r>
    </w:p>
    <w:p w14:paraId="055C1BF1" w14:textId="77777777" w:rsidR="005F17D2" w:rsidRPr="003664FB" w:rsidRDefault="005F17D2" w:rsidP="00A47C9B">
      <w:pPr>
        <w:spacing w:before="24" w:after="24"/>
        <w:ind w:left="709" w:hanging="709"/>
        <w:contextualSpacing/>
        <w:rPr>
          <w:rFonts w:eastAsia="MS Mincho" w:cs="Arial"/>
        </w:rPr>
      </w:pPr>
    </w:p>
    <w:p w14:paraId="5C55ADB3" w14:textId="68C22F2B" w:rsidR="005F17D2" w:rsidRPr="0020383D" w:rsidRDefault="00F74BE2" w:rsidP="00A47C9B">
      <w:pPr>
        <w:numPr>
          <w:ilvl w:val="1"/>
          <w:numId w:val="31"/>
        </w:numPr>
        <w:spacing w:before="24" w:after="24"/>
        <w:ind w:left="709" w:hanging="709"/>
        <w:contextualSpacing/>
        <w:rPr>
          <w:rFonts w:eastAsia="MS Mincho" w:cs="Arial"/>
        </w:rPr>
      </w:pPr>
      <w:r w:rsidRPr="674D006F">
        <w:rPr>
          <w:rFonts w:eastAsia="MS Mincho" w:cs="Arial"/>
        </w:rPr>
        <w:t xml:space="preserve">No breach of Protocol Article 2 has been identified in relation to the proposed Miscarriage Leave and Pay Regulations. However, the Annex 1 </w:t>
      </w:r>
      <w:r w:rsidR="539FA469" w:rsidRPr="674D006F">
        <w:rPr>
          <w:rFonts w:eastAsia="MS Mincho" w:cs="Arial"/>
        </w:rPr>
        <w:t>E</w:t>
      </w:r>
      <w:r w:rsidRPr="674D006F">
        <w:rPr>
          <w:rFonts w:eastAsia="MS Mincho" w:cs="Arial"/>
        </w:rPr>
        <w:t xml:space="preserve">quality Directives contain provisions relating to </w:t>
      </w:r>
      <w:r w:rsidR="003664FB" w:rsidRPr="674D006F">
        <w:rPr>
          <w:rFonts w:eastAsia="MS Mincho" w:cs="Arial"/>
        </w:rPr>
        <w:t xml:space="preserve">non-discrimination in matters of </w:t>
      </w:r>
      <w:r w:rsidRPr="674D006F">
        <w:rPr>
          <w:rFonts w:eastAsia="MS Mincho" w:cs="Arial"/>
        </w:rPr>
        <w:t xml:space="preserve">employment, including </w:t>
      </w:r>
      <w:r w:rsidR="00486492">
        <w:rPr>
          <w:rFonts w:eastAsia="MS Mincho" w:cs="Arial"/>
        </w:rPr>
        <w:t>the Equality Framework Directive,</w:t>
      </w:r>
      <w:r w:rsidR="00486492">
        <w:rPr>
          <w:rStyle w:val="FootnoteReference"/>
          <w:rFonts w:eastAsia="MS Mincho" w:cs="Arial"/>
        </w:rPr>
        <w:footnoteReference w:id="16"/>
      </w:r>
      <w:r w:rsidR="00486492">
        <w:rPr>
          <w:rFonts w:eastAsia="MS Mincho" w:cs="Arial"/>
        </w:rPr>
        <w:t xml:space="preserve"> </w:t>
      </w:r>
      <w:r w:rsidRPr="674D006F">
        <w:rPr>
          <w:rFonts w:eastAsia="MS Mincho" w:cs="Arial"/>
        </w:rPr>
        <w:t>the Recast Equal Treatment (Employment) Directive</w:t>
      </w:r>
      <w:r w:rsidR="00E309A6">
        <w:rPr>
          <w:rStyle w:val="FootnoteReference"/>
          <w:rFonts w:eastAsia="MS Mincho" w:cs="Arial"/>
        </w:rPr>
        <w:footnoteReference w:id="17"/>
      </w:r>
      <w:r w:rsidRPr="674D006F">
        <w:rPr>
          <w:rFonts w:eastAsia="MS Mincho" w:cs="Arial"/>
        </w:rPr>
        <w:t xml:space="preserve"> and the Equal Treatment (Self-Employment) Directive.</w:t>
      </w:r>
      <w:r w:rsidR="00001F16">
        <w:rPr>
          <w:rStyle w:val="FootnoteReference"/>
          <w:rFonts w:eastAsia="MS Mincho" w:cs="Arial"/>
        </w:rPr>
        <w:footnoteReference w:id="18"/>
      </w:r>
      <w:r w:rsidRPr="674D006F">
        <w:rPr>
          <w:rFonts w:eastAsia="MS Mincho" w:cs="Arial"/>
        </w:rPr>
        <w:t xml:space="preserve"> There is a possibility that these Directives could be updated or replaced </w:t>
      </w:r>
      <w:r w:rsidR="005F17D2" w:rsidRPr="674D006F">
        <w:rPr>
          <w:rFonts w:eastAsia="MS Mincho" w:cs="Arial"/>
        </w:rPr>
        <w:t xml:space="preserve">by the EU </w:t>
      </w:r>
      <w:r w:rsidRPr="674D006F">
        <w:rPr>
          <w:rFonts w:eastAsia="MS Mincho" w:cs="Arial"/>
        </w:rPr>
        <w:t>with a higher level of protection relevant to the proposed Regulations. Therefore, ongoing monitoring of changes in relevant EU law will be required in the development and implementation of the proposed Regulations.</w:t>
      </w:r>
    </w:p>
    <w:p w14:paraId="5E296B88" w14:textId="77777777" w:rsidR="005F17D2" w:rsidRDefault="005F17D2" w:rsidP="00A47C9B">
      <w:pPr>
        <w:spacing w:before="24" w:after="24"/>
        <w:ind w:left="709" w:hanging="709"/>
        <w:contextualSpacing/>
        <w:rPr>
          <w:rFonts w:eastAsia="MS Mincho" w:cs="Arial"/>
        </w:rPr>
      </w:pPr>
    </w:p>
    <w:p w14:paraId="34A6BEEB" w14:textId="24AC1E22" w:rsidR="00F74BE2" w:rsidRPr="005F17D2" w:rsidRDefault="00F74BE2" w:rsidP="00A47C9B">
      <w:pPr>
        <w:numPr>
          <w:ilvl w:val="1"/>
          <w:numId w:val="31"/>
        </w:numPr>
        <w:spacing w:before="24" w:after="24"/>
        <w:ind w:left="709" w:hanging="709"/>
        <w:contextualSpacing/>
        <w:rPr>
          <w:rFonts w:eastAsia="MS Mincho" w:cs="Arial"/>
          <w:b/>
        </w:rPr>
      </w:pPr>
      <w:r w:rsidRPr="005F17D2">
        <w:rPr>
          <w:rFonts w:eastAsia="MS Mincho" w:cs="Arial"/>
          <w:b/>
        </w:rPr>
        <w:t xml:space="preserve">The Commission recommends the Department </w:t>
      </w:r>
      <w:r w:rsidR="00C23245">
        <w:rPr>
          <w:rFonts w:eastAsia="MS Mincho" w:cs="Arial"/>
          <w:b/>
        </w:rPr>
        <w:t xml:space="preserve">for the Economy </w:t>
      </w:r>
      <w:r w:rsidRPr="005F17D2">
        <w:rPr>
          <w:rFonts w:eastAsia="MS Mincho" w:cs="Arial"/>
          <w:b/>
        </w:rPr>
        <w:t>should monitor any developm</w:t>
      </w:r>
      <w:r w:rsidR="0055550A">
        <w:rPr>
          <w:rFonts w:eastAsia="MS Mincho" w:cs="Arial"/>
          <w:b/>
        </w:rPr>
        <w:t>ents in EU law relating to the miscarriage leave and pay r</w:t>
      </w:r>
      <w:r w:rsidRPr="005F17D2">
        <w:rPr>
          <w:rFonts w:eastAsia="MS Mincho" w:cs="Arial"/>
          <w:b/>
        </w:rPr>
        <w:t>egulations to ensure compliance with Protocol Article 2.</w:t>
      </w:r>
    </w:p>
    <w:p w14:paraId="7324A074" w14:textId="7CDEA7CF" w:rsidR="008B2D02" w:rsidRDefault="008B2D02" w:rsidP="008B2D02">
      <w:pPr>
        <w:spacing w:before="24" w:after="24"/>
        <w:ind w:left="1440"/>
        <w:contextualSpacing/>
        <w:rPr>
          <w:rFonts w:eastAsia="MS Mincho" w:cs="Arial"/>
          <w:b/>
        </w:rPr>
      </w:pPr>
    </w:p>
    <w:p w14:paraId="2D9BD653" w14:textId="55FC4EFB" w:rsidR="005F6094" w:rsidRPr="00E451B5" w:rsidRDefault="001E7FFD" w:rsidP="00E451B5">
      <w:pPr>
        <w:pStyle w:val="Heading1"/>
        <w:numPr>
          <w:ilvl w:val="0"/>
          <w:numId w:val="0"/>
        </w:numPr>
      </w:pPr>
      <w:bookmarkStart w:id="4" w:name="_Toc121405532"/>
      <w:r>
        <w:t>3.0</w:t>
      </w:r>
      <w:r w:rsidR="005F17D2">
        <w:t xml:space="preserve"> </w:t>
      </w:r>
      <w:r w:rsidR="008A1B3D">
        <w:t>Definitions</w:t>
      </w:r>
      <w:bookmarkEnd w:id="4"/>
      <w:r w:rsidR="008B2D02">
        <w:t xml:space="preserve"> </w:t>
      </w:r>
    </w:p>
    <w:p w14:paraId="2A4153BB" w14:textId="7BF14DA3" w:rsidR="00E355D5" w:rsidRDefault="00B9278D" w:rsidP="40200195">
      <w:pPr>
        <w:pStyle w:val="Default"/>
        <w:numPr>
          <w:ilvl w:val="1"/>
          <w:numId w:val="32"/>
        </w:numPr>
        <w:spacing w:before="24" w:after="24" w:line="288" w:lineRule="auto"/>
        <w:rPr>
          <w:iCs/>
          <w:lang w:val="en-GB"/>
        </w:rPr>
      </w:pPr>
      <w:r>
        <w:rPr>
          <w:iCs/>
          <w:lang w:val="en-GB"/>
        </w:rPr>
        <w:t xml:space="preserve">Article 8 of the ECHR provides for the right to </w:t>
      </w:r>
      <w:r w:rsidR="003C7DB5">
        <w:rPr>
          <w:iCs/>
          <w:lang w:val="en-GB"/>
        </w:rPr>
        <w:t xml:space="preserve">privacy and the </w:t>
      </w:r>
      <w:r>
        <w:rPr>
          <w:iCs/>
          <w:lang w:val="en-GB"/>
        </w:rPr>
        <w:t>right to physical and psychological integrity.</w:t>
      </w:r>
      <w:r w:rsidR="001B05E6">
        <w:rPr>
          <w:rStyle w:val="FootnoteReference"/>
          <w:rFonts w:cs="Arial"/>
          <w:color w:val="232120"/>
        </w:rPr>
        <w:footnoteReference w:id="19"/>
      </w:r>
      <w:r w:rsidR="001B05E6">
        <w:rPr>
          <w:iCs/>
          <w:lang w:val="en-GB"/>
        </w:rPr>
        <w:t xml:space="preserve"> </w:t>
      </w:r>
      <w:r w:rsidR="00E21252">
        <w:t xml:space="preserve">The consultation document </w:t>
      </w:r>
      <w:r w:rsidR="00CE7A56">
        <w:t xml:space="preserve">states </w:t>
      </w:r>
      <w:r w:rsidR="00E21252">
        <w:t>that the proposed leave entitlement is for those who experience “unintentional miscarriage”.</w:t>
      </w:r>
      <w:r w:rsidR="00E21252">
        <w:rPr>
          <w:rStyle w:val="FootnoteReference"/>
        </w:rPr>
        <w:footnoteReference w:id="20"/>
      </w:r>
      <w:r w:rsidR="00E21252">
        <w:t xml:space="preserve"> The consultation notes that medical and legal definitions of miscarriage are complex and varied and that the </w:t>
      </w:r>
      <w:r w:rsidR="008A1B3D">
        <w:t>r</w:t>
      </w:r>
      <w:r w:rsidR="00E21252">
        <w:t>egulations do not seek to redefine existing definitions.</w:t>
      </w:r>
      <w:r w:rsidR="00E21252">
        <w:rPr>
          <w:rStyle w:val="FootnoteReference"/>
        </w:rPr>
        <w:footnoteReference w:id="21"/>
      </w:r>
      <w:r w:rsidR="00E21252">
        <w:t xml:space="preserve"> </w:t>
      </w:r>
      <w:r w:rsidR="00746E8A">
        <w:t>However, t</w:t>
      </w:r>
      <w:r w:rsidR="008B0826">
        <w:t xml:space="preserve">his is not a medical or legal term and raises concerns as to the practical effect that </w:t>
      </w:r>
      <w:r w:rsidR="00A436A9">
        <w:t xml:space="preserve">using this term as a start point may have. </w:t>
      </w:r>
      <w:r w:rsidR="00BB6599">
        <w:t xml:space="preserve">Adopting this terminology runs the risk of disproportionately interfering with the psychological integrity </w:t>
      </w:r>
      <w:r w:rsidR="003348FC">
        <w:t xml:space="preserve">and privacy </w:t>
      </w:r>
      <w:r w:rsidR="00BB6599">
        <w:t xml:space="preserve">of the </w:t>
      </w:r>
      <w:r w:rsidR="009837D3">
        <w:t xml:space="preserve">individuals </w:t>
      </w:r>
      <w:r w:rsidR="00BB6599">
        <w:t xml:space="preserve">affected, by creating an extra layer </w:t>
      </w:r>
      <w:r w:rsidR="00BB6599">
        <w:lastRenderedPageBreak/>
        <w:t xml:space="preserve">of </w:t>
      </w:r>
      <w:r>
        <w:t xml:space="preserve">unnecessary and ill-founded </w:t>
      </w:r>
      <w:r w:rsidR="00BB6599">
        <w:t>bureaucracy for proving that a miscarriage was, by this distinction, ‘unintentional’</w:t>
      </w:r>
      <w:r>
        <w:t>. This can only lead to additional distress at an already difficult time for those that fall within this category and stigmati</w:t>
      </w:r>
      <w:r w:rsidR="00447B3A">
        <w:t>s</w:t>
      </w:r>
      <w:r>
        <w:t xml:space="preserve">ation </w:t>
      </w:r>
      <w:r w:rsidR="001B05E6">
        <w:t>of</w:t>
      </w:r>
      <w:r>
        <w:t xml:space="preserve"> parents that do not</w:t>
      </w:r>
      <w:r w:rsidR="00BB6599">
        <w:t xml:space="preserve">. </w:t>
      </w:r>
      <w:r w:rsidR="001B05E6">
        <w:t xml:space="preserve">From a practical point of view, it also </w:t>
      </w:r>
      <w:r w:rsidR="001B05E6">
        <w:rPr>
          <w:iCs/>
          <w:lang w:val="en-GB"/>
        </w:rPr>
        <w:t>has the potential to create confusion amongst employers and employees as to who can avail of the support.</w:t>
      </w:r>
    </w:p>
    <w:p w14:paraId="59F761EB" w14:textId="77777777" w:rsidR="00E355D5" w:rsidRPr="00E355D5" w:rsidRDefault="00E355D5" w:rsidP="00E355D5">
      <w:pPr>
        <w:pStyle w:val="Default"/>
        <w:spacing w:before="24" w:after="24" w:line="288" w:lineRule="auto"/>
        <w:ind w:left="720"/>
        <w:rPr>
          <w:iCs/>
          <w:lang w:val="en-GB"/>
        </w:rPr>
      </w:pPr>
    </w:p>
    <w:p w14:paraId="64920A6D" w14:textId="6FE983A1" w:rsidR="00CA520E" w:rsidRPr="001B05E6" w:rsidRDefault="00B853F1" w:rsidP="40200195">
      <w:pPr>
        <w:pStyle w:val="Default"/>
        <w:numPr>
          <w:ilvl w:val="1"/>
          <w:numId w:val="32"/>
        </w:numPr>
        <w:spacing w:before="24" w:after="24" w:line="288" w:lineRule="auto"/>
        <w:rPr>
          <w:iCs/>
          <w:lang w:val="en-GB"/>
        </w:rPr>
      </w:pPr>
      <w:r>
        <w:t>The UN CEDAW Committee noted that in NI “no structures, such as bereavement services, exist to support women following an abortion”.</w:t>
      </w:r>
      <w:r>
        <w:rPr>
          <w:rStyle w:val="FootnoteReference"/>
        </w:rPr>
        <w:footnoteReference w:id="22"/>
      </w:r>
      <w:r>
        <w:t xml:space="preserve"> </w:t>
      </w:r>
      <w:r w:rsidR="004360C9">
        <w:t xml:space="preserve">The use of the term ‘unintentional miscarriage’ indicates that the </w:t>
      </w:r>
      <w:r w:rsidR="00447B3A">
        <w:t xml:space="preserve">Department of the Economy is omitting individuals and their pregnancy partners who have experienced a termination of pregnancy. In addition to concerns around the stigmatising effect of this approach, if alternative additional support is not provided for </w:t>
      </w:r>
      <w:r w:rsidR="00DB00C4">
        <w:t>termination of pregnancy</w:t>
      </w:r>
      <w:r w:rsidR="00447B3A">
        <w:t xml:space="preserve">, this will leave a significant </w:t>
      </w:r>
      <w:r w:rsidR="00DB00C4">
        <w:t>gap</w:t>
      </w:r>
      <w:r w:rsidR="00447B3A">
        <w:t xml:space="preserve"> in support</w:t>
      </w:r>
      <w:r w:rsidR="00DB00C4">
        <w:t xml:space="preserve"> for a </w:t>
      </w:r>
      <w:r w:rsidR="00FD26AC">
        <w:t xml:space="preserve">now </w:t>
      </w:r>
      <w:r w:rsidR="00DB00C4">
        <w:t>legally recognised healthcare service</w:t>
      </w:r>
      <w:r w:rsidR="00447B3A">
        <w:t>.</w:t>
      </w:r>
      <w:r w:rsidR="00FD26AC">
        <w:rPr>
          <w:rStyle w:val="FootnoteReference"/>
        </w:rPr>
        <w:footnoteReference w:id="23"/>
      </w:r>
      <w:r w:rsidR="00447B3A">
        <w:t xml:space="preserve">  </w:t>
      </w:r>
    </w:p>
    <w:p w14:paraId="1FA3F8E4" w14:textId="4B13B0FE" w:rsidR="00E21252" w:rsidRPr="00666802" w:rsidRDefault="00E21252" w:rsidP="00A8382E">
      <w:pPr>
        <w:pStyle w:val="Default"/>
        <w:spacing w:before="24" w:after="24" w:line="288" w:lineRule="auto"/>
        <w:rPr>
          <w:b/>
        </w:rPr>
      </w:pPr>
    </w:p>
    <w:p w14:paraId="70900A9B" w14:textId="2505F7F6" w:rsidR="00E21252" w:rsidRPr="00666802" w:rsidRDefault="00E21252" w:rsidP="001E7FFD">
      <w:pPr>
        <w:pStyle w:val="Default"/>
        <w:numPr>
          <w:ilvl w:val="1"/>
          <w:numId w:val="32"/>
        </w:numPr>
        <w:spacing w:before="24" w:after="24" w:line="288" w:lineRule="auto"/>
        <w:rPr>
          <w:b/>
        </w:rPr>
      </w:pPr>
      <w:r w:rsidRPr="00666802">
        <w:rPr>
          <w:b/>
        </w:rPr>
        <w:t xml:space="preserve">The Commission recommends that the </w:t>
      </w:r>
      <w:r w:rsidR="001B05E6" w:rsidRPr="00666802">
        <w:rPr>
          <w:b/>
        </w:rPr>
        <w:t>r</w:t>
      </w:r>
      <w:r w:rsidRPr="00666802">
        <w:rPr>
          <w:b/>
        </w:rPr>
        <w:t xml:space="preserve">egulations </w:t>
      </w:r>
      <w:r w:rsidR="001B05E6" w:rsidRPr="00666802">
        <w:rPr>
          <w:b/>
        </w:rPr>
        <w:t xml:space="preserve">follow medical and legal terminology, and </w:t>
      </w:r>
      <w:r w:rsidRPr="00666802">
        <w:rPr>
          <w:b/>
        </w:rPr>
        <w:t xml:space="preserve">are applied broadly to ensure there is appropriate support available to those who are </w:t>
      </w:r>
      <w:r w:rsidR="00E451B5" w:rsidRPr="00666802">
        <w:rPr>
          <w:b/>
        </w:rPr>
        <w:t xml:space="preserve">affected </w:t>
      </w:r>
      <w:r w:rsidRPr="00666802">
        <w:rPr>
          <w:b/>
        </w:rPr>
        <w:t xml:space="preserve">by the wide range of circumstances that result in pregnancy loss. </w:t>
      </w:r>
    </w:p>
    <w:p w14:paraId="0B900742" w14:textId="77777777" w:rsidR="00CA520E" w:rsidRDefault="00CA520E" w:rsidP="00CA520E">
      <w:pPr>
        <w:pStyle w:val="ListParagraph"/>
        <w:rPr>
          <w:b/>
        </w:rPr>
      </w:pPr>
    </w:p>
    <w:p w14:paraId="01592A6D" w14:textId="70E86DAF" w:rsidR="008B25FD" w:rsidRPr="008B25FD" w:rsidRDefault="00DB1B37" w:rsidP="00A8382E">
      <w:pPr>
        <w:pStyle w:val="Default"/>
        <w:numPr>
          <w:ilvl w:val="1"/>
          <w:numId w:val="32"/>
        </w:numPr>
        <w:spacing w:before="24" w:after="24" w:line="288" w:lineRule="auto"/>
        <w:rPr>
          <w:b/>
        </w:rPr>
      </w:pPr>
      <w:r>
        <w:t xml:space="preserve">Article 14 of the ECHR prohibits discrimination </w:t>
      </w:r>
      <w:r w:rsidR="006270CA">
        <w:t xml:space="preserve">“on any ground such as sex, race, colour, language, religion, political or other opinion, national or social origin, association with a national minority, property, birth or other status”. The term ‘other status’ has been interpreted to include </w:t>
      </w:r>
      <w:r w:rsidR="000F2CC6">
        <w:t>sexual orientation,</w:t>
      </w:r>
      <w:r w:rsidR="000F2CC6">
        <w:rPr>
          <w:rStyle w:val="FootnoteReference"/>
        </w:rPr>
        <w:footnoteReference w:id="24"/>
      </w:r>
      <w:r w:rsidR="000F2CC6">
        <w:t xml:space="preserve"> </w:t>
      </w:r>
      <w:r>
        <w:t>gender identity</w:t>
      </w:r>
      <w:r w:rsidR="000F2CC6">
        <w:t>,</w:t>
      </w:r>
      <w:r w:rsidR="000F2CC6">
        <w:rPr>
          <w:rStyle w:val="FootnoteReference"/>
        </w:rPr>
        <w:footnoteReference w:id="25"/>
      </w:r>
      <w:r w:rsidR="000F2CC6">
        <w:t xml:space="preserve"> parental or marital status</w:t>
      </w:r>
      <w:r>
        <w:t>.</w:t>
      </w:r>
      <w:r>
        <w:rPr>
          <w:rStyle w:val="FootnoteReference"/>
        </w:rPr>
        <w:footnoteReference w:id="26"/>
      </w:r>
      <w:r>
        <w:t xml:space="preserve"> </w:t>
      </w:r>
    </w:p>
    <w:p w14:paraId="72C65F41" w14:textId="77777777" w:rsidR="008B25FD" w:rsidRDefault="008B25FD" w:rsidP="008B25FD">
      <w:pPr>
        <w:pStyle w:val="ListParagraph"/>
      </w:pPr>
    </w:p>
    <w:p w14:paraId="04927E2D" w14:textId="11E3BDE7" w:rsidR="008B25FD" w:rsidRPr="008B25FD" w:rsidRDefault="00313333" w:rsidP="00E451B5">
      <w:pPr>
        <w:pStyle w:val="Default"/>
        <w:numPr>
          <w:ilvl w:val="1"/>
          <w:numId w:val="32"/>
        </w:numPr>
        <w:spacing w:before="24" w:after="24" w:line="288" w:lineRule="auto"/>
        <w:rPr>
          <w:b/>
        </w:rPr>
      </w:pPr>
      <w:r>
        <w:t xml:space="preserve">The Belfast (Good Friday) Agreement 1998 protects the right to equality of opportunity. </w:t>
      </w:r>
      <w:r w:rsidR="008B25FD">
        <w:t xml:space="preserve">The EU </w:t>
      </w:r>
      <w:r w:rsidR="008B25FD" w:rsidRPr="00F74BE2">
        <w:rPr>
          <w:rFonts w:eastAsia="MS Mincho" w:cs="Arial"/>
        </w:rPr>
        <w:t>Recast Equal Treatment (Employment) Directive and the</w:t>
      </w:r>
      <w:r w:rsidR="001706CE">
        <w:rPr>
          <w:rFonts w:eastAsia="MS Mincho" w:cs="Arial"/>
        </w:rPr>
        <w:t xml:space="preserve"> EU</w:t>
      </w:r>
      <w:r w:rsidR="008B25FD" w:rsidRPr="00F74BE2">
        <w:rPr>
          <w:rFonts w:eastAsia="MS Mincho" w:cs="Arial"/>
        </w:rPr>
        <w:t xml:space="preserve"> Equal Treatment (Self-Employment) Directive</w:t>
      </w:r>
      <w:r>
        <w:t xml:space="preserve"> in Annex 1 to the NI Protocol </w:t>
      </w:r>
      <w:r w:rsidR="008B25FD">
        <w:rPr>
          <w:iCs/>
        </w:rPr>
        <w:t xml:space="preserve">prohibit </w:t>
      </w:r>
      <w:r w:rsidR="008B25FD" w:rsidRPr="008B25FD">
        <w:rPr>
          <w:iCs/>
        </w:rPr>
        <w:t>discrimination on grounds of sex, which includes transgender peop</w:t>
      </w:r>
      <w:r w:rsidR="0055550A">
        <w:rPr>
          <w:iCs/>
        </w:rPr>
        <w:t>le. The CJEU has made it clear</w:t>
      </w:r>
      <w:r w:rsidR="008B25FD" w:rsidRPr="008B25FD">
        <w:rPr>
          <w:iCs/>
        </w:rPr>
        <w:t xml:space="preserve"> that “to tolerate such </w:t>
      </w:r>
      <w:r w:rsidR="008B25FD" w:rsidRPr="008B25FD">
        <w:rPr>
          <w:iCs/>
        </w:rPr>
        <w:lastRenderedPageBreak/>
        <w:t>discrimination would be tantamount, as regards such a person, to a failure to respect the dignity and freedom to which he or she is entitled, and which the Court has a duty to safeguard”.</w:t>
      </w:r>
      <w:r w:rsidR="008B25FD">
        <w:rPr>
          <w:rStyle w:val="FootnoteReference"/>
          <w:iCs/>
        </w:rPr>
        <w:footnoteReference w:id="27"/>
      </w:r>
      <w:r w:rsidR="008B25FD" w:rsidRPr="008B25FD">
        <w:rPr>
          <w:iCs/>
        </w:rPr>
        <w:t xml:space="preserve"> NI law must keep pace with any changes made by the EU to improve the minimum levels of protection, on or after 1 January 2021, including monitoring relevant current and future CJEU case law.</w:t>
      </w:r>
      <w:r w:rsidR="008B25FD">
        <w:rPr>
          <w:rStyle w:val="FootnoteReference"/>
          <w:iCs/>
        </w:rPr>
        <w:footnoteReference w:id="28"/>
      </w:r>
      <w:r w:rsidR="008B25FD" w:rsidRPr="008B25FD">
        <w:rPr>
          <w:iCs/>
          <w:lang w:eastAsia="en-GB"/>
        </w:rPr>
        <w:t xml:space="preserve"> </w:t>
      </w:r>
    </w:p>
    <w:p w14:paraId="4FD8BE66" w14:textId="77777777" w:rsidR="00313333" w:rsidRDefault="00313333" w:rsidP="00A8382E"/>
    <w:p w14:paraId="1AC164F6" w14:textId="5D13DDD1" w:rsidR="00DB1B37" w:rsidRPr="00DB1B37" w:rsidRDefault="00DB1B37" w:rsidP="001E7FFD">
      <w:pPr>
        <w:pStyle w:val="Default"/>
        <w:numPr>
          <w:ilvl w:val="1"/>
          <w:numId w:val="32"/>
        </w:numPr>
        <w:spacing w:before="24" w:after="24" w:line="288" w:lineRule="auto"/>
        <w:rPr>
          <w:b/>
        </w:rPr>
      </w:pPr>
      <w:r>
        <w:t>The proposal that the</w:t>
      </w:r>
      <w:r w:rsidR="00CA520E">
        <w:t xml:space="preserve"> </w:t>
      </w:r>
      <w:r w:rsidR="002A28D1">
        <w:t>diversity of relationships</w:t>
      </w:r>
      <w:r>
        <w:t>, as currently</w:t>
      </w:r>
      <w:r w:rsidR="002A28D1">
        <w:t xml:space="preserve"> protected by the Parental Bereavement Bill</w:t>
      </w:r>
      <w:r>
        <w:t>,</w:t>
      </w:r>
      <w:r w:rsidR="00F1339D">
        <w:t xml:space="preserve"> will also apply to the Miscarriage Leave Regulations</w:t>
      </w:r>
      <w:r>
        <w:t xml:space="preserve"> is welcomed.</w:t>
      </w:r>
      <w:r w:rsidR="00F4322D">
        <w:t xml:space="preserve"> However, there should be clarity that this diversity covers the full extent </w:t>
      </w:r>
      <w:r w:rsidR="00746E8A">
        <w:t>of</w:t>
      </w:r>
      <w:r w:rsidR="00F4322D">
        <w:t xml:space="preserve"> </w:t>
      </w:r>
      <w:r w:rsidR="00746E8A">
        <w:t>modern-day</w:t>
      </w:r>
      <w:r w:rsidR="00F4322D">
        <w:t xml:space="preserve"> </w:t>
      </w:r>
      <w:r w:rsidR="00746E8A">
        <w:t>parental arrangements</w:t>
      </w:r>
      <w:r w:rsidR="00F4322D">
        <w:t>.</w:t>
      </w:r>
    </w:p>
    <w:p w14:paraId="084AF8A1" w14:textId="77777777" w:rsidR="00DB1B37" w:rsidRDefault="00DB1B37" w:rsidP="00DB1B37">
      <w:pPr>
        <w:pStyle w:val="ListParagraph"/>
      </w:pPr>
    </w:p>
    <w:p w14:paraId="30D558F3" w14:textId="742BCBC0" w:rsidR="00CA520E" w:rsidRDefault="00F1339D" w:rsidP="001E7FFD">
      <w:pPr>
        <w:pStyle w:val="Default"/>
        <w:numPr>
          <w:ilvl w:val="1"/>
          <w:numId w:val="32"/>
        </w:numPr>
        <w:spacing w:before="24" w:after="24" w:line="288" w:lineRule="auto"/>
        <w:rPr>
          <w:b/>
          <w:bCs/>
        </w:rPr>
      </w:pPr>
      <w:r w:rsidRPr="007E239A">
        <w:rPr>
          <w:b/>
          <w:bCs/>
        </w:rPr>
        <w:t xml:space="preserve">The Commission recommends that it should be clear that miscarriage leave </w:t>
      </w:r>
      <w:r w:rsidR="00F4322D" w:rsidRPr="007E239A">
        <w:rPr>
          <w:b/>
          <w:bCs/>
        </w:rPr>
        <w:t xml:space="preserve">can </w:t>
      </w:r>
      <w:r w:rsidRPr="007E239A">
        <w:rPr>
          <w:b/>
          <w:bCs/>
        </w:rPr>
        <w:t>apply to women, trans men and other people who can experience pregnancy</w:t>
      </w:r>
      <w:r w:rsidR="007E239A" w:rsidRPr="007E239A">
        <w:rPr>
          <w:b/>
          <w:bCs/>
        </w:rPr>
        <w:t xml:space="preserve">, including </w:t>
      </w:r>
      <w:r w:rsidR="00746E8A">
        <w:rPr>
          <w:b/>
          <w:bCs/>
        </w:rPr>
        <w:t>pregnancy partners, and in a way that reflects modern-day parental arrangements</w:t>
      </w:r>
      <w:r w:rsidR="00F4322D" w:rsidRPr="007E239A">
        <w:rPr>
          <w:b/>
          <w:bCs/>
        </w:rPr>
        <w:t>.</w:t>
      </w:r>
      <w:r w:rsidRPr="007E239A">
        <w:rPr>
          <w:b/>
          <w:bCs/>
        </w:rPr>
        <w:t xml:space="preserve"> </w:t>
      </w:r>
    </w:p>
    <w:p w14:paraId="4F348BFF" w14:textId="77777777" w:rsidR="00291C0B" w:rsidRPr="007E239A" w:rsidRDefault="00291C0B" w:rsidP="00291C0B">
      <w:pPr>
        <w:pStyle w:val="Default"/>
        <w:spacing w:before="24" w:after="24" w:line="288" w:lineRule="auto"/>
        <w:rPr>
          <w:b/>
          <w:bCs/>
        </w:rPr>
      </w:pPr>
    </w:p>
    <w:p w14:paraId="31163C3F" w14:textId="274A0AA3" w:rsidR="00B33793" w:rsidRPr="00C750DD" w:rsidRDefault="005109F5" w:rsidP="00C750DD">
      <w:pPr>
        <w:pStyle w:val="Heading1"/>
        <w:numPr>
          <w:ilvl w:val="1"/>
          <w:numId w:val="34"/>
        </w:numPr>
      </w:pPr>
      <w:bookmarkStart w:id="5" w:name="_Toc121405533"/>
      <w:r w:rsidRPr="00C750DD">
        <w:t>Evidence Requirement</w:t>
      </w:r>
      <w:bookmarkEnd w:id="5"/>
      <w:r w:rsidRPr="00C750DD">
        <w:t xml:space="preserve"> </w:t>
      </w:r>
    </w:p>
    <w:p w14:paraId="04B81400" w14:textId="77777777" w:rsidR="00D243A1" w:rsidRPr="00D243A1" w:rsidRDefault="00D243A1" w:rsidP="001E7FFD">
      <w:pPr>
        <w:pStyle w:val="ListParagraph"/>
        <w:widowControl w:val="0"/>
        <w:numPr>
          <w:ilvl w:val="0"/>
          <w:numId w:val="33"/>
        </w:numPr>
        <w:autoSpaceDE w:val="0"/>
        <w:autoSpaceDN w:val="0"/>
        <w:adjustRightInd w:val="0"/>
        <w:spacing w:before="24" w:after="24"/>
        <w:contextualSpacing w:val="0"/>
        <w:rPr>
          <w:rFonts w:cs="Arial"/>
          <w:vanish/>
          <w:color w:val="232120"/>
          <w:lang w:val="en-US"/>
        </w:rPr>
      </w:pPr>
    </w:p>
    <w:p w14:paraId="376B17F5" w14:textId="7C6968F1" w:rsidR="00723444" w:rsidRPr="00291C0B" w:rsidRDefault="00542284" w:rsidP="00C750DD">
      <w:pPr>
        <w:pStyle w:val="Default"/>
        <w:numPr>
          <w:ilvl w:val="1"/>
          <w:numId w:val="34"/>
        </w:numPr>
        <w:spacing w:line="288" w:lineRule="auto"/>
        <w:rPr>
          <w:rFonts w:cs="Arial"/>
          <w:color w:val="auto"/>
        </w:rPr>
      </w:pPr>
      <w:r w:rsidRPr="00291C0B">
        <w:rPr>
          <w:rFonts w:cs="Arial"/>
          <w:color w:val="auto"/>
        </w:rPr>
        <w:t>T</w:t>
      </w:r>
      <w:r w:rsidR="009D2352" w:rsidRPr="00291C0B">
        <w:rPr>
          <w:rFonts w:cs="Arial"/>
          <w:color w:val="auto"/>
        </w:rPr>
        <w:t xml:space="preserve">he </w:t>
      </w:r>
      <w:r w:rsidR="00F2662D" w:rsidRPr="00291C0B">
        <w:rPr>
          <w:rFonts w:cs="Arial"/>
          <w:color w:val="auto"/>
        </w:rPr>
        <w:t xml:space="preserve">right to privacy and the </w:t>
      </w:r>
      <w:r w:rsidR="009D2352" w:rsidRPr="00291C0B">
        <w:rPr>
          <w:iCs/>
          <w:color w:val="auto"/>
          <w:lang w:val="en-GB"/>
        </w:rPr>
        <w:t>right to physical and psychological integrity</w:t>
      </w:r>
      <w:r w:rsidRPr="00291C0B">
        <w:rPr>
          <w:iCs/>
          <w:color w:val="auto"/>
          <w:lang w:val="en-GB"/>
        </w:rPr>
        <w:t xml:space="preserve"> (Article 8 of the ECHR)</w:t>
      </w:r>
      <w:r w:rsidR="00723444" w:rsidRPr="00291C0B">
        <w:rPr>
          <w:rStyle w:val="FootnoteReference"/>
          <w:rFonts w:cs="Arial"/>
          <w:color w:val="auto"/>
        </w:rPr>
        <w:footnoteReference w:id="29"/>
      </w:r>
      <w:r w:rsidRPr="00291C0B">
        <w:rPr>
          <w:iCs/>
          <w:color w:val="auto"/>
          <w:lang w:val="en-GB"/>
        </w:rPr>
        <w:t xml:space="preserve"> </w:t>
      </w:r>
      <w:r w:rsidR="00F2662D" w:rsidRPr="00291C0B">
        <w:rPr>
          <w:iCs/>
          <w:color w:val="auto"/>
          <w:lang w:val="en-GB"/>
        </w:rPr>
        <w:t>are</w:t>
      </w:r>
      <w:r w:rsidRPr="00291C0B">
        <w:rPr>
          <w:iCs/>
          <w:color w:val="auto"/>
          <w:lang w:val="en-GB"/>
        </w:rPr>
        <w:t xml:space="preserve"> qualified right</w:t>
      </w:r>
      <w:r w:rsidR="00F2662D" w:rsidRPr="00291C0B">
        <w:rPr>
          <w:iCs/>
          <w:color w:val="auto"/>
          <w:lang w:val="en-GB"/>
        </w:rPr>
        <w:t>s</w:t>
      </w:r>
      <w:r w:rsidRPr="00291C0B">
        <w:rPr>
          <w:iCs/>
          <w:color w:val="auto"/>
          <w:lang w:val="en-GB"/>
        </w:rPr>
        <w:t xml:space="preserve"> that can only be interfered with when it is proportionate in pursuit of a legitimate aim, such as </w:t>
      </w:r>
      <w:r w:rsidR="00723444" w:rsidRPr="00291C0B">
        <w:rPr>
          <w:iCs/>
          <w:color w:val="auto"/>
          <w:lang w:val="en-GB"/>
        </w:rPr>
        <w:t>the “economic well-being of the country, prevention of disorder or crime, for the protection of health or morals, or for the protection of the rights and freedoms of others”.</w:t>
      </w:r>
      <w:r w:rsidR="00723444" w:rsidRPr="00291C0B">
        <w:rPr>
          <w:rStyle w:val="FootnoteReference"/>
          <w:iCs/>
          <w:color w:val="auto"/>
          <w:lang w:val="en-GB"/>
        </w:rPr>
        <w:footnoteReference w:id="30"/>
      </w:r>
    </w:p>
    <w:p w14:paraId="12919331" w14:textId="77777777" w:rsidR="00723444" w:rsidRPr="00291C0B" w:rsidRDefault="00723444" w:rsidP="00C750DD">
      <w:pPr>
        <w:pStyle w:val="Default"/>
        <w:spacing w:line="288" w:lineRule="auto"/>
        <w:ind w:left="720"/>
        <w:rPr>
          <w:rFonts w:cs="Arial"/>
          <w:color w:val="auto"/>
        </w:rPr>
      </w:pPr>
    </w:p>
    <w:p w14:paraId="004EFC4B" w14:textId="4CAC0537" w:rsidR="000B34A9" w:rsidRPr="00291C0B" w:rsidRDefault="003B77F3" w:rsidP="00C750DD">
      <w:pPr>
        <w:pStyle w:val="Default"/>
        <w:numPr>
          <w:ilvl w:val="1"/>
          <w:numId w:val="34"/>
        </w:numPr>
        <w:spacing w:line="288" w:lineRule="auto"/>
        <w:rPr>
          <w:rFonts w:cs="Arial"/>
          <w:color w:val="auto"/>
        </w:rPr>
      </w:pPr>
      <w:r w:rsidRPr="00291C0B">
        <w:rPr>
          <w:rFonts w:cs="Arial"/>
          <w:color w:val="auto"/>
        </w:rPr>
        <w:t>Article 2(e) of the UN CEDAW provides that State Parties should “undertake… to take all appropriate measures to eliminate discrimination against women by any person”. The UN CEDAW Committee has confirmed that gender-based violence is a form of discrimination</w:t>
      </w:r>
      <w:r w:rsidR="00011603" w:rsidRPr="00291C0B">
        <w:rPr>
          <w:rFonts w:cs="Arial"/>
          <w:color w:val="auto"/>
        </w:rPr>
        <w:t xml:space="preserve"> and there is an “obligation of due diligence” on State Parties to “take all appropriate measures to prevent… acts or omissions by non-State actors t</w:t>
      </w:r>
      <w:r w:rsidR="008A063F" w:rsidRPr="00291C0B">
        <w:rPr>
          <w:rFonts w:cs="Arial"/>
          <w:color w:val="auto"/>
        </w:rPr>
        <w:t>hat results</w:t>
      </w:r>
      <w:r w:rsidR="00011603" w:rsidRPr="00291C0B">
        <w:rPr>
          <w:rFonts w:cs="Arial"/>
          <w:color w:val="auto"/>
        </w:rPr>
        <w:t xml:space="preserve"> in gender-based violence against women”.</w:t>
      </w:r>
      <w:r w:rsidRPr="00291C0B">
        <w:rPr>
          <w:rStyle w:val="FootnoteReference"/>
          <w:rFonts w:cs="Arial"/>
          <w:color w:val="auto"/>
        </w:rPr>
        <w:footnoteReference w:id="31"/>
      </w:r>
      <w:r w:rsidR="00011603" w:rsidRPr="00291C0B">
        <w:rPr>
          <w:rFonts w:cs="Arial"/>
          <w:color w:val="auto"/>
        </w:rPr>
        <w:t xml:space="preserve"> This includes “having laws, </w:t>
      </w:r>
      <w:r w:rsidR="00011603" w:rsidRPr="00291C0B">
        <w:rPr>
          <w:rFonts w:cs="Arial"/>
          <w:color w:val="auto"/>
        </w:rPr>
        <w:lastRenderedPageBreak/>
        <w:t>institutions and systems in place to address such violence and ensuring that they function effectively in practice and are supported by all State agents and bodies who diligently enforce the laws”.</w:t>
      </w:r>
      <w:r w:rsidR="00011603" w:rsidRPr="00291C0B">
        <w:rPr>
          <w:rStyle w:val="FootnoteReference"/>
          <w:rFonts w:cs="Arial"/>
          <w:color w:val="auto"/>
        </w:rPr>
        <w:footnoteReference w:id="32"/>
      </w:r>
      <w:r w:rsidR="009D2352" w:rsidRPr="00291C0B">
        <w:rPr>
          <w:rFonts w:cs="Arial"/>
          <w:color w:val="auto"/>
        </w:rPr>
        <w:t xml:space="preserve"> The UN CEDAW Committee has also been clear that “all laws that constitute discrimination against women, including those which cause, promote or justify gender-based violence or perpetuate impunity for such acts, are to be repealed”.</w:t>
      </w:r>
      <w:r w:rsidR="009D2352" w:rsidRPr="00291C0B">
        <w:rPr>
          <w:rStyle w:val="FootnoteReference"/>
          <w:rFonts w:cs="Arial"/>
          <w:color w:val="auto"/>
        </w:rPr>
        <w:footnoteReference w:id="33"/>
      </w:r>
      <w:r w:rsidR="00D21D65" w:rsidRPr="00291C0B">
        <w:rPr>
          <w:rFonts w:eastAsiaTheme="minorHAnsi"/>
          <w:color w:val="auto"/>
          <w:sz w:val="22"/>
          <w:szCs w:val="22"/>
        </w:rPr>
        <w:t xml:space="preserve"> </w:t>
      </w:r>
    </w:p>
    <w:p w14:paraId="5145E6A6" w14:textId="49C05B99" w:rsidR="009D2352" w:rsidRPr="00291C0B" w:rsidRDefault="00D21D65" w:rsidP="00C750DD">
      <w:pPr>
        <w:pStyle w:val="Default"/>
        <w:spacing w:line="288" w:lineRule="auto"/>
        <w:ind w:left="720"/>
        <w:rPr>
          <w:rFonts w:cs="Arial"/>
          <w:color w:val="auto"/>
        </w:rPr>
      </w:pPr>
      <w:r w:rsidRPr="40200195">
        <w:rPr>
          <w:rFonts w:cs="Arial"/>
          <w:color w:val="auto"/>
        </w:rPr>
        <w:t>Article 4 of the Istanbul Convention further requires States to “take the necessary legislative and other measures to promote and protect the right for everyone, particularly women, to live free from violence in both the public and the private sphere”.</w:t>
      </w:r>
    </w:p>
    <w:p w14:paraId="7386CD6D" w14:textId="77777777" w:rsidR="009219AD" w:rsidRPr="00291C0B" w:rsidRDefault="009219AD" w:rsidP="00C750DD">
      <w:pPr>
        <w:pStyle w:val="Default"/>
        <w:spacing w:line="288" w:lineRule="auto"/>
        <w:ind w:left="720"/>
        <w:rPr>
          <w:rFonts w:cs="Arial"/>
          <w:color w:val="auto"/>
        </w:rPr>
      </w:pPr>
    </w:p>
    <w:p w14:paraId="0BBA1296" w14:textId="02E92DA0" w:rsidR="00F2662D" w:rsidRPr="00291C0B" w:rsidRDefault="00B6585A" w:rsidP="00C750DD">
      <w:pPr>
        <w:pStyle w:val="Default"/>
        <w:numPr>
          <w:ilvl w:val="1"/>
          <w:numId w:val="34"/>
        </w:numPr>
        <w:spacing w:line="288" w:lineRule="auto"/>
        <w:rPr>
          <w:rFonts w:cs="Arial"/>
          <w:color w:val="auto"/>
        </w:rPr>
      </w:pPr>
      <w:r w:rsidRPr="00291C0B">
        <w:rPr>
          <w:rFonts w:cs="Arial"/>
          <w:color w:val="auto"/>
        </w:rPr>
        <w:t xml:space="preserve">The Department </w:t>
      </w:r>
      <w:r w:rsidR="00AA5421" w:rsidRPr="00291C0B">
        <w:rPr>
          <w:rFonts w:cs="Arial"/>
          <w:color w:val="auto"/>
        </w:rPr>
        <w:t xml:space="preserve">for the Economy is considering </w:t>
      </w:r>
      <w:r w:rsidR="00E644A2" w:rsidRPr="00291C0B">
        <w:rPr>
          <w:rFonts w:cs="Arial"/>
          <w:color w:val="auto"/>
        </w:rPr>
        <w:t xml:space="preserve">whether </w:t>
      </w:r>
      <w:r w:rsidR="00E644A2" w:rsidRPr="00291C0B">
        <w:rPr>
          <w:rFonts w:cs="Arial"/>
          <w:color w:val="auto"/>
          <w:lang w:val="en-GB"/>
        </w:rPr>
        <w:t>it should be a requirement for a person intending to claim miscarriage leave and/or pay to provide medical confirmation of a miscarriage up to the end of the twenty-third week of pregnancy</w:t>
      </w:r>
      <w:r w:rsidR="007A3360" w:rsidRPr="00291C0B">
        <w:rPr>
          <w:rFonts w:cs="Arial"/>
          <w:color w:val="auto"/>
          <w:lang w:val="en-GB"/>
        </w:rPr>
        <w:t>.</w:t>
      </w:r>
      <w:r w:rsidR="000B34A9" w:rsidRPr="00291C0B">
        <w:rPr>
          <w:rFonts w:cs="Arial"/>
          <w:color w:val="auto"/>
          <w:lang w:val="en-GB"/>
        </w:rPr>
        <w:t xml:space="preserve"> </w:t>
      </w:r>
      <w:r w:rsidR="000B34A9" w:rsidRPr="00291C0B">
        <w:rPr>
          <w:rFonts w:cs="Arial"/>
          <w:color w:val="auto"/>
        </w:rPr>
        <w:t>The consultation document notes that an evidential requirement for miscarriage leave may “</w:t>
      </w:r>
      <w:r w:rsidR="000B34A9" w:rsidRPr="00291C0B">
        <w:rPr>
          <w:rFonts w:cs="Arial"/>
          <w:color w:val="auto"/>
          <w:lang w:val="en-GB"/>
        </w:rPr>
        <w:t>involve the sharing of sensitive personal medical information which may cause additional upset and distress”</w:t>
      </w:r>
      <w:r w:rsidR="000B34A9" w:rsidRPr="00291C0B">
        <w:rPr>
          <w:rFonts w:cs="Arial"/>
          <w:color w:val="auto"/>
        </w:rPr>
        <w:t>.</w:t>
      </w:r>
      <w:r w:rsidR="000B34A9" w:rsidRPr="00291C0B">
        <w:rPr>
          <w:rStyle w:val="FootnoteReference"/>
          <w:rFonts w:cs="Arial"/>
          <w:color w:val="auto"/>
        </w:rPr>
        <w:footnoteReference w:id="34"/>
      </w:r>
      <w:r w:rsidR="000B34A9" w:rsidRPr="00291C0B">
        <w:rPr>
          <w:rFonts w:cs="Arial"/>
          <w:color w:val="auto"/>
        </w:rPr>
        <w:t xml:space="preserve"> </w:t>
      </w:r>
      <w:r w:rsidR="00F2662D" w:rsidRPr="00291C0B">
        <w:rPr>
          <w:rFonts w:cs="Arial"/>
          <w:color w:val="auto"/>
          <w:lang w:val="en-GB"/>
        </w:rPr>
        <w:t>Considering the right to physiological integrity, the question is whether such an approach is proportionate in terms of what it aims to achieve and the additional upset and distress that the evidence provider</w:t>
      </w:r>
      <w:r w:rsidR="00C95496" w:rsidRPr="00291C0B">
        <w:rPr>
          <w:rFonts w:cs="Arial"/>
          <w:color w:val="auto"/>
          <w:lang w:val="en-GB"/>
        </w:rPr>
        <w:t>(s)</w:t>
      </w:r>
      <w:r w:rsidR="00F2662D" w:rsidRPr="00291C0B">
        <w:rPr>
          <w:rFonts w:cs="Arial"/>
          <w:color w:val="auto"/>
          <w:lang w:val="en-GB"/>
        </w:rPr>
        <w:t xml:space="preserve"> may experience as a result. </w:t>
      </w:r>
    </w:p>
    <w:p w14:paraId="7C67C501" w14:textId="77777777" w:rsidR="00F2662D" w:rsidRPr="00291C0B" w:rsidRDefault="00F2662D" w:rsidP="00C750DD">
      <w:pPr>
        <w:pStyle w:val="ListParagraph"/>
        <w:rPr>
          <w:rFonts w:cs="Arial"/>
        </w:rPr>
      </w:pPr>
    </w:p>
    <w:p w14:paraId="1F917EFD" w14:textId="1E4F671C" w:rsidR="00996780" w:rsidRDefault="000B34A9" w:rsidP="00ED00EC">
      <w:pPr>
        <w:pStyle w:val="Default"/>
        <w:numPr>
          <w:ilvl w:val="1"/>
          <w:numId w:val="34"/>
        </w:numPr>
        <w:spacing w:line="288" w:lineRule="auto"/>
        <w:rPr>
          <w:rFonts w:cs="Arial"/>
          <w:color w:val="auto"/>
        </w:rPr>
      </w:pPr>
      <w:r w:rsidRPr="00F95F3F">
        <w:rPr>
          <w:rFonts w:cs="Arial"/>
          <w:color w:val="auto"/>
        </w:rPr>
        <w:t xml:space="preserve">In addition, it should be considered whether the </w:t>
      </w:r>
      <w:r w:rsidR="00C95496" w:rsidRPr="00F95F3F">
        <w:rPr>
          <w:rFonts w:cs="Arial"/>
          <w:color w:val="auto"/>
        </w:rPr>
        <w:t xml:space="preserve">possible </w:t>
      </w:r>
      <w:r w:rsidRPr="00F95F3F">
        <w:rPr>
          <w:rFonts w:cs="Arial"/>
          <w:color w:val="auto"/>
        </w:rPr>
        <w:t xml:space="preserve">requirement </w:t>
      </w:r>
      <w:r w:rsidR="00C95496" w:rsidRPr="00F95F3F">
        <w:rPr>
          <w:rFonts w:cs="Arial"/>
          <w:color w:val="auto"/>
        </w:rPr>
        <w:t>to share sensitive personal</w:t>
      </w:r>
      <w:r w:rsidRPr="00F95F3F">
        <w:rPr>
          <w:rFonts w:cs="Arial"/>
          <w:color w:val="auto"/>
        </w:rPr>
        <w:t xml:space="preserve"> medical information could have any negative implications. For example, </w:t>
      </w:r>
      <w:r w:rsidR="00581524" w:rsidRPr="00F95F3F">
        <w:rPr>
          <w:rFonts w:cs="Arial"/>
          <w:color w:val="auto"/>
        </w:rPr>
        <w:t xml:space="preserve">even just the potential for such a scenario to arise may cause significant distress and disproportionately affect the psychological integrity of a victim or survivor of domestic violence or abuse. </w:t>
      </w:r>
    </w:p>
    <w:p w14:paraId="67335691" w14:textId="32AF4643" w:rsidR="00F95F3F" w:rsidRPr="00F95F3F" w:rsidRDefault="00F95F3F" w:rsidP="00F95F3F">
      <w:pPr>
        <w:pStyle w:val="Default"/>
        <w:spacing w:line="288" w:lineRule="auto"/>
        <w:rPr>
          <w:rFonts w:cs="Arial"/>
          <w:color w:val="auto"/>
        </w:rPr>
      </w:pPr>
    </w:p>
    <w:p w14:paraId="77EDC709" w14:textId="403F2FEA" w:rsidR="00015239" w:rsidRPr="00291C0B" w:rsidRDefault="00AA5421" w:rsidP="00C750DD">
      <w:pPr>
        <w:pStyle w:val="Default"/>
        <w:numPr>
          <w:ilvl w:val="1"/>
          <w:numId w:val="34"/>
        </w:numPr>
        <w:spacing w:line="288" w:lineRule="auto"/>
        <w:rPr>
          <w:rFonts w:cs="Arial"/>
          <w:color w:val="auto"/>
        </w:rPr>
      </w:pPr>
      <w:r w:rsidRPr="00291C0B">
        <w:rPr>
          <w:rFonts w:cs="Arial"/>
          <w:color w:val="auto"/>
        </w:rPr>
        <w:t>In the context of</w:t>
      </w:r>
      <w:r w:rsidR="00DE5FFE" w:rsidRPr="00291C0B">
        <w:rPr>
          <w:rFonts w:cs="Arial"/>
          <w:color w:val="auto"/>
        </w:rPr>
        <w:t xml:space="preserve"> parental bereavement leave,</w:t>
      </w:r>
      <w:r w:rsidR="00DF7118" w:rsidRPr="00291C0B">
        <w:rPr>
          <w:rFonts w:cs="Arial"/>
          <w:color w:val="auto"/>
          <w:lang w:val="en-GB"/>
        </w:rPr>
        <w:t xml:space="preserve"> </w:t>
      </w:r>
      <w:r w:rsidRPr="00291C0B">
        <w:rPr>
          <w:rFonts w:cs="Arial"/>
          <w:color w:val="auto"/>
          <w:lang w:val="en-GB"/>
        </w:rPr>
        <w:t xml:space="preserve">the </w:t>
      </w:r>
      <w:r w:rsidR="00DF7118" w:rsidRPr="00291C0B">
        <w:rPr>
          <w:rFonts w:cs="Arial"/>
          <w:color w:val="auto"/>
          <w:lang w:val="en-GB"/>
        </w:rPr>
        <w:t xml:space="preserve">Department </w:t>
      </w:r>
      <w:r w:rsidRPr="00291C0B">
        <w:rPr>
          <w:rFonts w:cs="Arial"/>
          <w:color w:val="auto"/>
          <w:lang w:val="en-GB"/>
        </w:rPr>
        <w:t>for</w:t>
      </w:r>
      <w:r w:rsidR="001C5EE3" w:rsidRPr="00291C0B">
        <w:rPr>
          <w:rFonts w:cs="Arial"/>
          <w:color w:val="auto"/>
          <w:lang w:val="en-GB"/>
        </w:rPr>
        <w:t xml:space="preserve"> the</w:t>
      </w:r>
      <w:r w:rsidRPr="00291C0B">
        <w:rPr>
          <w:rFonts w:cs="Arial"/>
          <w:color w:val="auto"/>
          <w:lang w:val="en-GB"/>
        </w:rPr>
        <w:t xml:space="preserve"> Economy has kept </w:t>
      </w:r>
      <w:r w:rsidR="00426B2D" w:rsidRPr="00291C0B">
        <w:rPr>
          <w:rFonts w:cs="Arial"/>
          <w:color w:val="auto"/>
          <w:lang w:val="en-GB"/>
        </w:rPr>
        <w:t xml:space="preserve">the evidential and administrative requirements </w:t>
      </w:r>
      <w:r w:rsidR="000B34A9" w:rsidRPr="00291C0B">
        <w:rPr>
          <w:rFonts w:cs="Arial"/>
          <w:color w:val="auto"/>
          <w:lang w:val="en-GB"/>
        </w:rPr>
        <w:t xml:space="preserve">to </w:t>
      </w:r>
      <w:r w:rsidRPr="00291C0B">
        <w:rPr>
          <w:rFonts w:cs="Arial"/>
          <w:color w:val="auto"/>
          <w:lang w:val="en-GB"/>
        </w:rPr>
        <w:t>a</w:t>
      </w:r>
      <w:r w:rsidR="00B6585A" w:rsidRPr="00291C0B">
        <w:rPr>
          <w:rFonts w:cs="Arial"/>
          <w:color w:val="auto"/>
          <w:lang w:val="en-GB"/>
        </w:rPr>
        <w:t xml:space="preserve"> minimum</w:t>
      </w:r>
      <w:r w:rsidR="000B34A9" w:rsidRPr="00291C0B">
        <w:rPr>
          <w:rFonts w:cs="Arial"/>
          <w:color w:val="auto"/>
          <w:lang w:val="en-GB"/>
        </w:rPr>
        <w:t xml:space="preserve"> and adopt</w:t>
      </w:r>
      <w:r w:rsidR="001C5EE3" w:rsidRPr="00291C0B">
        <w:rPr>
          <w:rFonts w:cs="Arial"/>
          <w:color w:val="auto"/>
          <w:lang w:val="en-GB"/>
        </w:rPr>
        <w:t>ed</w:t>
      </w:r>
      <w:r w:rsidR="000B34A9" w:rsidRPr="00291C0B">
        <w:rPr>
          <w:rFonts w:cs="Arial"/>
          <w:color w:val="auto"/>
          <w:lang w:val="en-GB"/>
        </w:rPr>
        <w:t xml:space="preserve"> a</w:t>
      </w:r>
      <w:r w:rsidR="00DF7118" w:rsidRPr="00291C0B">
        <w:rPr>
          <w:rFonts w:cs="Arial"/>
          <w:color w:val="auto"/>
          <w:lang w:val="en-GB"/>
        </w:rPr>
        <w:t xml:space="preserve"> self-declaration</w:t>
      </w:r>
      <w:r w:rsidR="000B34A9" w:rsidRPr="00291C0B">
        <w:rPr>
          <w:rFonts w:cs="Arial"/>
          <w:color w:val="auto"/>
          <w:lang w:val="en-GB"/>
        </w:rPr>
        <w:t xml:space="preserve"> model</w:t>
      </w:r>
      <w:r w:rsidR="00DF7118" w:rsidRPr="00291C0B">
        <w:rPr>
          <w:rFonts w:cs="Arial"/>
          <w:color w:val="auto"/>
          <w:lang w:val="en-GB"/>
        </w:rPr>
        <w:t>.</w:t>
      </w:r>
    </w:p>
    <w:p w14:paraId="29F46A55" w14:textId="77777777" w:rsidR="00D243A1" w:rsidRPr="00291C0B" w:rsidRDefault="00D243A1" w:rsidP="00C750DD">
      <w:pPr>
        <w:pStyle w:val="Default"/>
        <w:spacing w:line="288" w:lineRule="auto"/>
        <w:rPr>
          <w:rFonts w:cs="Arial"/>
          <w:color w:val="auto"/>
        </w:rPr>
      </w:pPr>
    </w:p>
    <w:p w14:paraId="47D48835" w14:textId="41EF6A52" w:rsidR="00D243A1" w:rsidRDefault="00847FB5" w:rsidP="00C750DD">
      <w:pPr>
        <w:pStyle w:val="Default"/>
        <w:numPr>
          <w:ilvl w:val="1"/>
          <w:numId w:val="34"/>
        </w:numPr>
        <w:spacing w:line="288" w:lineRule="auto"/>
        <w:rPr>
          <w:color w:val="auto"/>
        </w:rPr>
      </w:pPr>
      <w:r w:rsidRPr="00291C0B">
        <w:rPr>
          <w:b/>
          <w:color w:val="auto"/>
        </w:rPr>
        <w:t xml:space="preserve">The Commission recommends that the evidential and administrative requirements for a person intending to claim </w:t>
      </w:r>
      <w:r w:rsidRPr="00291C0B">
        <w:rPr>
          <w:b/>
          <w:color w:val="auto"/>
        </w:rPr>
        <w:lastRenderedPageBreak/>
        <w:t xml:space="preserve">miscarriage leave and pay </w:t>
      </w:r>
      <w:r w:rsidR="001C5EE3" w:rsidRPr="00291C0B">
        <w:rPr>
          <w:b/>
          <w:color w:val="auto"/>
        </w:rPr>
        <w:t>should be consistent with the requirements of other forms of bereavement leave, this includes keeping such requirements to a minimum and adopting a self-declaration model</w:t>
      </w:r>
      <w:r w:rsidRPr="00291C0B">
        <w:rPr>
          <w:b/>
          <w:color w:val="auto"/>
        </w:rPr>
        <w:t>.</w:t>
      </w:r>
      <w:r w:rsidRPr="00291C0B">
        <w:rPr>
          <w:color w:val="auto"/>
        </w:rPr>
        <w:t xml:space="preserve"> </w:t>
      </w:r>
    </w:p>
    <w:p w14:paraId="18CE9E10" w14:textId="77777777" w:rsidR="004043F8" w:rsidRPr="00291C0B" w:rsidRDefault="004043F8" w:rsidP="004043F8">
      <w:pPr>
        <w:pStyle w:val="Default"/>
        <w:spacing w:line="288" w:lineRule="auto"/>
        <w:rPr>
          <w:color w:val="auto"/>
        </w:rPr>
      </w:pPr>
    </w:p>
    <w:p w14:paraId="4E05B3B2" w14:textId="0B7BFC4D" w:rsidR="006A0174" w:rsidRPr="00C750DD" w:rsidRDefault="00D243A1" w:rsidP="00C750DD">
      <w:pPr>
        <w:pStyle w:val="Heading1"/>
        <w:numPr>
          <w:ilvl w:val="0"/>
          <w:numId w:val="37"/>
        </w:numPr>
      </w:pPr>
      <w:bookmarkStart w:id="6" w:name="_Toc121405534"/>
      <w:r w:rsidRPr="00324509">
        <w:t>Minimum qualifying earnings threshold</w:t>
      </w:r>
      <w:bookmarkEnd w:id="6"/>
    </w:p>
    <w:p w14:paraId="47647AA1" w14:textId="37D84417" w:rsidR="00C750DD" w:rsidRPr="00291C0B" w:rsidRDefault="00184FC2" w:rsidP="00C750DD">
      <w:pPr>
        <w:pStyle w:val="ListParagraph"/>
        <w:numPr>
          <w:ilvl w:val="1"/>
          <w:numId w:val="37"/>
        </w:numPr>
        <w:spacing w:before="24" w:after="24"/>
        <w:ind w:left="709"/>
        <w:rPr>
          <w:rFonts w:cs="Arial"/>
        </w:rPr>
      </w:pPr>
      <w:r w:rsidRPr="00291C0B">
        <w:rPr>
          <w:rFonts w:cs="Arial"/>
        </w:rPr>
        <w:t xml:space="preserve">The ‘other status’ aspect of Article 14 of the ECHR (prohibition of discrimination) is recognised as including that there should not be discrimination based on </w:t>
      </w:r>
      <w:r w:rsidR="00C97CFA" w:rsidRPr="00291C0B">
        <w:rPr>
          <w:rFonts w:cs="Arial"/>
        </w:rPr>
        <w:t>status relating to employment.</w:t>
      </w:r>
      <w:r w:rsidR="00C97CFA" w:rsidRPr="00291C0B">
        <w:rPr>
          <w:rStyle w:val="FootnoteReference"/>
          <w:rFonts w:cs="Arial"/>
        </w:rPr>
        <w:footnoteReference w:id="35"/>
      </w:r>
      <w:r w:rsidR="00C97CFA" w:rsidRPr="00291C0B">
        <w:rPr>
          <w:rFonts w:cs="Arial"/>
        </w:rPr>
        <w:t xml:space="preserve"> </w:t>
      </w:r>
      <w:r w:rsidR="00324509" w:rsidRPr="00291C0B">
        <w:rPr>
          <w:rFonts w:cs="Arial"/>
        </w:rPr>
        <w:t xml:space="preserve">The UN ICESCR </w:t>
      </w:r>
      <w:r w:rsidR="00C97CFA" w:rsidRPr="00291C0B">
        <w:rPr>
          <w:rFonts w:cs="Arial"/>
        </w:rPr>
        <w:t xml:space="preserve">provides for </w:t>
      </w:r>
      <w:r w:rsidR="00324509" w:rsidRPr="00291C0B">
        <w:rPr>
          <w:rFonts w:cs="Arial"/>
        </w:rPr>
        <w:t>the right to work (Article 6) and the right to just and favourable work conditions (Article 7).</w:t>
      </w:r>
    </w:p>
    <w:p w14:paraId="0EA98BD3" w14:textId="5749DB07" w:rsidR="00C750DD" w:rsidRPr="00291C0B" w:rsidRDefault="00324509" w:rsidP="00C750DD">
      <w:pPr>
        <w:pStyle w:val="ListParagraph"/>
        <w:spacing w:before="24" w:after="24"/>
        <w:ind w:left="709"/>
        <w:rPr>
          <w:rFonts w:cs="Arial"/>
        </w:rPr>
      </w:pPr>
      <w:r w:rsidRPr="00291C0B">
        <w:rPr>
          <w:rFonts w:cs="Arial"/>
        </w:rPr>
        <w:t xml:space="preserve"> </w:t>
      </w:r>
    </w:p>
    <w:p w14:paraId="78EA5AE7" w14:textId="04D855E0" w:rsidR="00324509" w:rsidRPr="00291C0B" w:rsidRDefault="001E7FFD" w:rsidP="00C750DD">
      <w:pPr>
        <w:pStyle w:val="ListParagraph"/>
        <w:numPr>
          <w:ilvl w:val="1"/>
          <w:numId w:val="37"/>
        </w:numPr>
        <w:spacing w:before="24" w:after="24"/>
        <w:ind w:left="709"/>
        <w:rPr>
          <w:rFonts w:cs="Arial"/>
        </w:rPr>
      </w:pPr>
      <w:r w:rsidRPr="00291C0B">
        <w:rPr>
          <w:rFonts w:cs="Arial"/>
        </w:rPr>
        <w:t xml:space="preserve">The </w:t>
      </w:r>
      <w:r w:rsidR="00324509" w:rsidRPr="00291C0B">
        <w:rPr>
          <w:rFonts w:cs="Arial"/>
        </w:rPr>
        <w:t>UN ICESCR Committee</w:t>
      </w:r>
      <w:r w:rsidRPr="00291C0B">
        <w:rPr>
          <w:rFonts w:cs="Arial"/>
        </w:rPr>
        <w:t xml:space="preserve"> is clear that</w:t>
      </w:r>
      <w:r w:rsidR="00324509" w:rsidRPr="00291C0B">
        <w:rPr>
          <w:rFonts w:cs="Arial"/>
        </w:rPr>
        <w:t xml:space="preserve"> “the right to just and favourable conditions of work is a right of everyone, without distinction of any kind. The reference to “everyone” highlights the fact that the right applies to all workers in all settings”.</w:t>
      </w:r>
      <w:r w:rsidR="00324509" w:rsidRPr="00291C0B">
        <w:rPr>
          <w:vertAlign w:val="superscript"/>
        </w:rPr>
        <w:footnoteReference w:id="36"/>
      </w:r>
      <w:r w:rsidR="004043F8">
        <w:rPr>
          <w:rFonts w:cs="Arial"/>
        </w:rPr>
        <w:t xml:space="preserve"> </w:t>
      </w:r>
      <w:r w:rsidR="00324509" w:rsidRPr="00291C0B">
        <w:rPr>
          <w:rFonts w:cs="Arial"/>
        </w:rPr>
        <w:t xml:space="preserve">The UN CEDAW Committee </w:t>
      </w:r>
      <w:r w:rsidR="00204848" w:rsidRPr="00291C0B">
        <w:rPr>
          <w:rFonts w:cs="Arial"/>
        </w:rPr>
        <w:t xml:space="preserve">has </w:t>
      </w:r>
      <w:r w:rsidR="00324509" w:rsidRPr="00291C0B">
        <w:rPr>
          <w:rFonts w:cs="Arial"/>
        </w:rPr>
        <w:t xml:space="preserve">highlighted that </w:t>
      </w:r>
      <w:r w:rsidR="00204848" w:rsidRPr="00291C0B">
        <w:rPr>
          <w:rFonts w:cs="Arial"/>
        </w:rPr>
        <w:t>“</w:t>
      </w:r>
      <w:r w:rsidR="00324509" w:rsidRPr="00291C0B">
        <w:rPr>
          <w:rFonts w:cs="Arial"/>
        </w:rPr>
        <w:t xml:space="preserve">women are more likely to be engaged in </w:t>
      </w:r>
      <w:r w:rsidR="00204848" w:rsidRPr="00291C0B">
        <w:rPr>
          <w:rFonts w:cs="Arial"/>
        </w:rPr>
        <w:t xml:space="preserve">informal, </w:t>
      </w:r>
      <w:r w:rsidR="00324509" w:rsidRPr="00291C0B">
        <w:rPr>
          <w:rFonts w:cs="Arial"/>
        </w:rPr>
        <w:t xml:space="preserve">temporary or precarious forms of employment, including with </w:t>
      </w:r>
      <w:r w:rsidR="00204848" w:rsidRPr="00291C0B">
        <w:rPr>
          <w:rFonts w:cs="Arial"/>
        </w:rPr>
        <w:t xml:space="preserve">employment with </w:t>
      </w:r>
      <w:r w:rsidR="00324509" w:rsidRPr="00291C0B">
        <w:rPr>
          <w:rFonts w:cs="Arial"/>
        </w:rPr>
        <w:t>zero-hours contracts</w:t>
      </w:r>
      <w:r w:rsidR="00204848" w:rsidRPr="00291C0B">
        <w:rPr>
          <w:rFonts w:cs="Arial"/>
        </w:rPr>
        <w:t>”</w:t>
      </w:r>
      <w:r w:rsidR="00324509" w:rsidRPr="00291C0B">
        <w:rPr>
          <w:rFonts w:cs="Arial"/>
        </w:rPr>
        <w:t>.</w:t>
      </w:r>
      <w:r w:rsidR="00324509" w:rsidRPr="00291C0B">
        <w:rPr>
          <w:vertAlign w:val="superscript"/>
        </w:rPr>
        <w:footnoteReference w:id="37"/>
      </w:r>
      <w:r w:rsidR="00EA3C3D" w:rsidRPr="00291C0B">
        <w:rPr>
          <w:rFonts w:cs="Arial"/>
        </w:rPr>
        <w:t xml:space="preserve"> Article 2 of the UN CEDAW requires that</w:t>
      </w:r>
      <w:r w:rsidR="008A2E86" w:rsidRPr="00291C0B">
        <w:rPr>
          <w:rFonts w:cs="Arial"/>
        </w:rPr>
        <w:t>:</w:t>
      </w:r>
    </w:p>
    <w:p w14:paraId="5148174C" w14:textId="7AB9B815" w:rsidR="008A2E86" w:rsidRPr="00291C0B" w:rsidRDefault="008A2E86" w:rsidP="00204848">
      <w:pPr>
        <w:spacing w:before="24" w:after="24"/>
        <w:rPr>
          <w:rFonts w:cs="Arial"/>
        </w:rPr>
      </w:pPr>
    </w:p>
    <w:p w14:paraId="51AE4E19" w14:textId="6F84BA68" w:rsidR="00324509" w:rsidRPr="00291C0B" w:rsidRDefault="008A2E86" w:rsidP="008A063F">
      <w:pPr>
        <w:pStyle w:val="Quote"/>
      </w:pPr>
      <w:r w:rsidRPr="00291C0B">
        <w:t>States Parties must address all aspects of their legal obligations under the [UN CEDAW]… to respect, protect and fulfil women’s right to non-discrimination and to the enjoyment of equality. The obligation to respect requires that States Parties refrain from making laws, policies, regulations, programmes, administrative procedures and institutional structures that directly or indirectly result in the denial of the equal enjoyment by women of their civil, political, economic, social and cultural rights.</w:t>
      </w:r>
      <w:r w:rsidRPr="00291C0B">
        <w:rPr>
          <w:rStyle w:val="FootnoteReference"/>
        </w:rPr>
        <w:footnoteReference w:id="38"/>
      </w:r>
      <w:r w:rsidR="00324509" w:rsidRPr="00291C0B">
        <w:rPr>
          <w:rFonts w:cs="Arial"/>
        </w:rPr>
        <w:t xml:space="preserve"> </w:t>
      </w:r>
    </w:p>
    <w:p w14:paraId="2D862DC2" w14:textId="3BF6B097" w:rsidR="006A0174" w:rsidRPr="00291C0B" w:rsidRDefault="006A0174" w:rsidP="00324509">
      <w:pPr>
        <w:pStyle w:val="ListParagraph"/>
        <w:spacing w:before="24" w:after="24"/>
        <w:rPr>
          <w:rFonts w:cs="Arial"/>
        </w:rPr>
      </w:pPr>
    </w:p>
    <w:p w14:paraId="01E15605" w14:textId="271EBCEE" w:rsidR="00C97CFA" w:rsidRPr="00291C0B" w:rsidRDefault="00C750DD" w:rsidP="00C97CFA">
      <w:pPr>
        <w:spacing w:before="24" w:after="24"/>
        <w:ind w:left="720" w:hanging="720"/>
        <w:rPr>
          <w:rFonts w:cs="Arial"/>
        </w:rPr>
      </w:pPr>
      <w:r w:rsidRPr="00291C0B">
        <w:rPr>
          <w:rFonts w:cs="Arial"/>
        </w:rPr>
        <w:t>5</w:t>
      </w:r>
      <w:r w:rsidR="00C97CFA" w:rsidRPr="00291C0B">
        <w:rPr>
          <w:rFonts w:cs="Arial"/>
        </w:rPr>
        <w:t>.</w:t>
      </w:r>
      <w:r w:rsidRPr="00291C0B">
        <w:rPr>
          <w:rFonts w:cs="Arial"/>
        </w:rPr>
        <w:t>3</w:t>
      </w:r>
      <w:r w:rsidR="00C97CFA" w:rsidRPr="00291C0B">
        <w:rPr>
          <w:rFonts w:cs="Arial"/>
        </w:rPr>
        <w:tab/>
        <w:t>The Commission welcomes the Department</w:t>
      </w:r>
      <w:r w:rsidR="000304C3" w:rsidRPr="00291C0B">
        <w:rPr>
          <w:rFonts w:cs="Arial"/>
        </w:rPr>
        <w:t xml:space="preserve"> for the Economy</w:t>
      </w:r>
      <w:r w:rsidR="00C97CFA" w:rsidRPr="00291C0B">
        <w:rPr>
          <w:rFonts w:cs="Arial"/>
        </w:rPr>
        <w:t xml:space="preserve">’s intention to introduce a day </w:t>
      </w:r>
      <w:r w:rsidR="000304C3" w:rsidRPr="00291C0B">
        <w:rPr>
          <w:rFonts w:cs="Arial"/>
        </w:rPr>
        <w:t>one</w:t>
      </w:r>
      <w:r w:rsidR="00C97CFA" w:rsidRPr="00291C0B">
        <w:rPr>
          <w:rFonts w:cs="Arial"/>
        </w:rPr>
        <w:t xml:space="preserve"> entitlement</w:t>
      </w:r>
      <w:r w:rsidR="000304C3" w:rsidRPr="00291C0B">
        <w:rPr>
          <w:rFonts w:cs="Arial"/>
        </w:rPr>
        <w:t>,</w:t>
      </w:r>
      <w:r w:rsidR="00C97CFA" w:rsidRPr="00291C0B">
        <w:rPr>
          <w:rFonts w:cs="Arial"/>
        </w:rPr>
        <w:t xml:space="preserve"> instead of limiting entitlement to those </w:t>
      </w:r>
      <w:r w:rsidR="00C97CFA" w:rsidRPr="00291C0B">
        <w:rPr>
          <w:rFonts w:cs="Arial"/>
        </w:rPr>
        <w:lastRenderedPageBreak/>
        <w:t xml:space="preserve">who have been in at least 26 weeks continuous employment. However, as with parental bereavement pay, there will be a minimum qualifying earnings threshold of £123 per week. </w:t>
      </w:r>
      <w:r w:rsidR="000304C3" w:rsidRPr="00291C0B">
        <w:rPr>
          <w:rFonts w:cs="Arial"/>
        </w:rPr>
        <w:t>This</w:t>
      </w:r>
      <w:r w:rsidR="00C97CFA" w:rsidRPr="00291C0B">
        <w:rPr>
          <w:rFonts w:cs="Arial"/>
        </w:rPr>
        <w:t xml:space="preserve"> qualifying threshold </w:t>
      </w:r>
      <w:r w:rsidR="000304C3" w:rsidRPr="00291C0B">
        <w:rPr>
          <w:rFonts w:cs="Arial"/>
        </w:rPr>
        <w:t>could</w:t>
      </w:r>
      <w:r w:rsidR="00C97CFA" w:rsidRPr="00291C0B">
        <w:rPr>
          <w:rFonts w:cs="Arial"/>
        </w:rPr>
        <w:t xml:space="preserve"> impact on the ability of agency workers and those on zero-hours contracts to make use of these provisions if they should require them.</w:t>
      </w:r>
      <w:r w:rsidR="000304C3" w:rsidRPr="00291C0B">
        <w:rPr>
          <w:rFonts w:cs="Arial"/>
        </w:rPr>
        <w:t xml:space="preserve"> If this is the case, it will particularly affect women. </w:t>
      </w:r>
    </w:p>
    <w:p w14:paraId="0DF756E1" w14:textId="77777777" w:rsidR="006A0174" w:rsidRPr="00291C0B" w:rsidRDefault="006A0174" w:rsidP="00C750DD">
      <w:pPr>
        <w:spacing w:before="24" w:after="24"/>
        <w:rPr>
          <w:rFonts w:cs="Arial"/>
        </w:rPr>
      </w:pPr>
    </w:p>
    <w:p w14:paraId="698C2D2A" w14:textId="48E41A30" w:rsidR="00324509" w:rsidRPr="00291C0B" w:rsidRDefault="00C750DD" w:rsidP="0020383D">
      <w:pPr>
        <w:spacing w:before="24" w:after="24"/>
        <w:ind w:left="720" w:hanging="720"/>
        <w:rPr>
          <w:rFonts w:cs="Arial"/>
          <w:b/>
        </w:rPr>
      </w:pPr>
      <w:r w:rsidRPr="00291C0B">
        <w:rPr>
          <w:rFonts w:cs="Arial"/>
          <w:b/>
        </w:rPr>
        <w:t>5.4</w:t>
      </w:r>
      <w:r w:rsidR="00D243A1" w:rsidRPr="00291C0B">
        <w:rPr>
          <w:rFonts w:cs="Arial"/>
          <w:b/>
        </w:rPr>
        <w:tab/>
      </w:r>
      <w:r w:rsidR="00324509" w:rsidRPr="00291C0B">
        <w:rPr>
          <w:rFonts w:cs="Arial"/>
          <w:b/>
        </w:rPr>
        <w:t xml:space="preserve">The Commission recommends the Department </w:t>
      </w:r>
      <w:r w:rsidR="000304C3" w:rsidRPr="00291C0B">
        <w:rPr>
          <w:rFonts w:cs="Arial"/>
          <w:b/>
        </w:rPr>
        <w:t xml:space="preserve">for the Economy </w:t>
      </w:r>
      <w:r w:rsidR="00324509" w:rsidRPr="00291C0B">
        <w:rPr>
          <w:rFonts w:cs="Arial"/>
          <w:b/>
        </w:rPr>
        <w:t xml:space="preserve">ensures that the qualifying provisions in the new </w:t>
      </w:r>
      <w:r w:rsidR="000304C3" w:rsidRPr="00291C0B">
        <w:rPr>
          <w:rFonts w:cs="Arial"/>
          <w:b/>
        </w:rPr>
        <w:t>r</w:t>
      </w:r>
      <w:r w:rsidR="00324509" w:rsidRPr="00291C0B">
        <w:rPr>
          <w:rFonts w:cs="Arial"/>
          <w:b/>
        </w:rPr>
        <w:t>egulations do not negatively impact on people in temporary or precarious work and those on zero-hours contracts who may need to avail of miscarriage leave and pay.</w:t>
      </w:r>
      <w:r w:rsidR="003416D1" w:rsidRPr="00291C0B">
        <w:rPr>
          <w:rFonts w:cs="Arial"/>
          <w:b/>
        </w:rPr>
        <w:t xml:space="preserve"> This will require a gender-sensitive approach to ensure that women are </w:t>
      </w:r>
      <w:r w:rsidR="004A7FA8" w:rsidRPr="00291C0B">
        <w:rPr>
          <w:rFonts w:cs="Arial"/>
          <w:b/>
        </w:rPr>
        <w:t xml:space="preserve">not </w:t>
      </w:r>
      <w:r w:rsidR="003416D1" w:rsidRPr="00291C0B">
        <w:rPr>
          <w:rFonts w:cs="Arial"/>
          <w:b/>
        </w:rPr>
        <w:t>disproportionately affected.</w:t>
      </w:r>
    </w:p>
    <w:p w14:paraId="50207B97" w14:textId="77777777" w:rsidR="00324509" w:rsidRPr="00C750DD" w:rsidRDefault="00324509" w:rsidP="00C750DD">
      <w:pPr>
        <w:spacing w:before="24" w:after="24"/>
        <w:rPr>
          <w:rFonts w:cs="Arial"/>
          <w:color w:val="232120"/>
        </w:rPr>
      </w:pPr>
    </w:p>
    <w:p w14:paraId="150B4399" w14:textId="3F4DA978" w:rsidR="009C6538" w:rsidRPr="00C750DD" w:rsidRDefault="00B37A5F" w:rsidP="00C750DD">
      <w:pPr>
        <w:pStyle w:val="Heading1"/>
        <w:numPr>
          <w:ilvl w:val="0"/>
          <w:numId w:val="38"/>
        </w:numPr>
        <w:spacing w:before="24" w:after="24"/>
      </w:pPr>
      <w:bookmarkStart w:id="7" w:name="_Toc121405535"/>
      <w:r>
        <w:t>Human Rights Impact Assessment</w:t>
      </w:r>
      <w:bookmarkEnd w:id="7"/>
      <w:r>
        <w:t xml:space="preserve"> </w:t>
      </w:r>
    </w:p>
    <w:p w14:paraId="7FB16DEE" w14:textId="6062D41B" w:rsidR="00BD78C3" w:rsidRPr="00C750DD" w:rsidRDefault="00C750DD" w:rsidP="00C750DD">
      <w:pPr>
        <w:pStyle w:val="Default"/>
        <w:spacing w:line="288" w:lineRule="auto"/>
        <w:ind w:left="720" w:hanging="720"/>
        <w:rPr>
          <w:rFonts w:cs="Arial"/>
          <w:color w:val="auto"/>
          <w:lang w:val="en-GB"/>
        </w:rPr>
      </w:pPr>
      <w:r>
        <w:rPr>
          <w:rFonts w:cs="Arial"/>
          <w:color w:val="232120"/>
        </w:rPr>
        <w:t>6.1</w:t>
      </w:r>
      <w:r>
        <w:tab/>
      </w:r>
      <w:r w:rsidR="003A1CAC" w:rsidRPr="00C750DD">
        <w:rPr>
          <w:rFonts w:cs="Arial"/>
          <w:color w:val="auto"/>
          <w:lang w:val="en-GB"/>
        </w:rPr>
        <w:t xml:space="preserve">The Commission notes that in </w:t>
      </w:r>
      <w:r w:rsidR="002539B8" w:rsidRPr="00C750DD">
        <w:rPr>
          <w:rFonts w:cs="Arial"/>
          <w:color w:val="auto"/>
          <w:lang w:val="en-GB"/>
        </w:rPr>
        <w:t xml:space="preserve">relation to the proposed Miscarriage Leave Regulations, the Department </w:t>
      </w:r>
      <w:r w:rsidR="004A7FA8" w:rsidRPr="00C750DD">
        <w:rPr>
          <w:rFonts w:cs="Arial"/>
          <w:color w:val="auto"/>
          <w:lang w:val="en-GB"/>
        </w:rPr>
        <w:t xml:space="preserve">for the Economy </w:t>
      </w:r>
      <w:r w:rsidR="002539B8" w:rsidRPr="00C750DD">
        <w:rPr>
          <w:rFonts w:cs="Arial"/>
          <w:color w:val="auto"/>
          <w:lang w:val="en-GB"/>
        </w:rPr>
        <w:t>has comp</w:t>
      </w:r>
      <w:r w:rsidR="00E07D4F" w:rsidRPr="00C750DD">
        <w:rPr>
          <w:rFonts w:cs="Arial"/>
          <w:color w:val="auto"/>
          <w:lang w:val="en-GB"/>
        </w:rPr>
        <w:t>l</w:t>
      </w:r>
      <w:r w:rsidR="002539B8" w:rsidRPr="00C750DD">
        <w:rPr>
          <w:rFonts w:cs="Arial"/>
          <w:color w:val="auto"/>
          <w:lang w:val="en-GB"/>
        </w:rPr>
        <w:t>eted an equality screening exercise. However</w:t>
      </w:r>
      <w:r w:rsidR="004A7FA8" w:rsidRPr="00C750DD">
        <w:rPr>
          <w:rFonts w:cs="Arial"/>
          <w:color w:val="auto"/>
          <w:lang w:val="en-GB"/>
        </w:rPr>
        <w:t>,</w:t>
      </w:r>
      <w:r w:rsidR="002539B8" w:rsidRPr="00C750DD">
        <w:rPr>
          <w:rFonts w:cs="Arial"/>
          <w:color w:val="auto"/>
          <w:lang w:val="en-GB"/>
        </w:rPr>
        <w:t xml:space="preserve"> </w:t>
      </w:r>
      <w:r w:rsidR="00BD78C3" w:rsidRPr="00C750DD">
        <w:rPr>
          <w:rFonts w:cs="Arial"/>
          <w:color w:val="auto"/>
          <w:lang w:val="en-GB"/>
        </w:rPr>
        <w:t>it</w:t>
      </w:r>
      <w:r w:rsidR="002539B8" w:rsidRPr="00C750DD">
        <w:rPr>
          <w:rFonts w:cs="Arial"/>
          <w:color w:val="auto"/>
          <w:lang w:val="en-GB"/>
        </w:rPr>
        <w:t xml:space="preserve"> has not published a human rights impact assessment.</w:t>
      </w:r>
      <w:r w:rsidR="00221F46">
        <w:rPr>
          <w:rStyle w:val="FootnoteReference"/>
          <w:rFonts w:cs="Arial"/>
          <w:color w:val="auto"/>
          <w:lang w:val="en-GB"/>
        </w:rPr>
        <w:footnoteReference w:id="39"/>
      </w:r>
      <w:r w:rsidR="00E07D4F" w:rsidRPr="00C750DD">
        <w:rPr>
          <w:rFonts w:cs="Arial"/>
          <w:color w:val="auto"/>
          <w:lang w:val="en-GB"/>
        </w:rPr>
        <w:t xml:space="preserve"> </w:t>
      </w:r>
    </w:p>
    <w:p w14:paraId="7C98ABB7" w14:textId="3460CE8B" w:rsidR="00BD78C3" w:rsidRPr="00C750DD" w:rsidRDefault="00BD78C3" w:rsidP="00C750DD">
      <w:pPr>
        <w:pStyle w:val="Default"/>
        <w:spacing w:line="288" w:lineRule="auto"/>
        <w:ind w:left="720" w:hanging="720"/>
        <w:rPr>
          <w:rFonts w:cs="Arial"/>
          <w:color w:val="auto"/>
          <w:lang w:val="en-GB"/>
        </w:rPr>
      </w:pPr>
    </w:p>
    <w:p w14:paraId="56A8D7EF" w14:textId="5E0CCF66" w:rsidR="006E30C4" w:rsidRPr="00C750DD" w:rsidRDefault="00C750DD" w:rsidP="00C750DD">
      <w:pPr>
        <w:pStyle w:val="Default"/>
        <w:spacing w:line="288" w:lineRule="auto"/>
        <w:ind w:left="720" w:hanging="720"/>
        <w:rPr>
          <w:rFonts w:cs="Arial"/>
          <w:color w:val="auto"/>
          <w:lang w:val="en-GB"/>
        </w:rPr>
      </w:pPr>
      <w:r w:rsidRPr="00C750DD">
        <w:rPr>
          <w:rFonts w:cs="Arial"/>
          <w:color w:val="auto"/>
          <w:lang w:val="en-GB"/>
        </w:rPr>
        <w:t>6</w:t>
      </w:r>
      <w:r w:rsidR="00BD78C3" w:rsidRPr="00C750DD">
        <w:rPr>
          <w:rFonts w:cs="Arial"/>
          <w:color w:val="auto"/>
          <w:lang w:val="en-GB"/>
        </w:rPr>
        <w:t>.2</w:t>
      </w:r>
      <w:r w:rsidR="00BD78C3" w:rsidRPr="00C750DD">
        <w:rPr>
          <w:rFonts w:cs="Arial"/>
          <w:color w:val="auto"/>
          <w:lang w:val="en-GB"/>
        </w:rPr>
        <w:tab/>
      </w:r>
      <w:r w:rsidR="00E07D4F" w:rsidRPr="00C750DD">
        <w:rPr>
          <w:rFonts w:cs="Arial"/>
          <w:b/>
          <w:bCs/>
          <w:color w:val="auto"/>
          <w:lang w:val="en-GB"/>
        </w:rPr>
        <w:t xml:space="preserve">The </w:t>
      </w:r>
      <w:r w:rsidR="002539B8" w:rsidRPr="00C750DD">
        <w:rPr>
          <w:rFonts w:cs="Arial"/>
          <w:b/>
          <w:bCs/>
          <w:color w:val="auto"/>
          <w:lang w:val="en-GB"/>
        </w:rPr>
        <w:t xml:space="preserve">Commission </w:t>
      </w:r>
      <w:r w:rsidR="00E07D4F" w:rsidRPr="00C750DD">
        <w:rPr>
          <w:rFonts w:cs="Arial"/>
          <w:b/>
          <w:bCs/>
          <w:color w:val="auto"/>
          <w:lang w:val="en-GB"/>
        </w:rPr>
        <w:t>recommend</w:t>
      </w:r>
      <w:r w:rsidR="00BD78C3" w:rsidRPr="00C750DD">
        <w:rPr>
          <w:rFonts w:cs="Arial"/>
          <w:b/>
          <w:bCs/>
          <w:color w:val="auto"/>
          <w:lang w:val="en-GB"/>
        </w:rPr>
        <w:t>s</w:t>
      </w:r>
      <w:r w:rsidR="00E07D4F" w:rsidRPr="00C750DD">
        <w:rPr>
          <w:rFonts w:cs="Arial"/>
          <w:b/>
          <w:bCs/>
          <w:color w:val="auto"/>
          <w:lang w:val="en-GB"/>
        </w:rPr>
        <w:t xml:space="preserve"> that the Department </w:t>
      </w:r>
      <w:r w:rsidR="00BD78C3" w:rsidRPr="00C750DD">
        <w:rPr>
          <w:rFonts w:cs="Arial"/>
          <w:b/>
          <w:bCs/>
          <w:color w:val="auto"/>
          <w:lang w:val="en-GB"/>
        </w:rPr>
        <w:t xml:space="preserve">for the Economy </w:t>
      </w:r>
      <w:r w:rsidR="00E07D4F" w:rsidRPr="00C750DD">
        <w:rPr>
          <w:rFonts w:cs="Arial"/>
          <w:b/>
          <w:bCs/>
          <w:color w:val="auto"/>
          <w:lang w:val="en-GB"/>
        </w:rPr>
        <w:t xml:space="preserve">carries out a </w:t>
      </w:r>
      <w:r w:rsidR="005F3CF8" w:rsidRPr="00C750DD">
        <w:rPr>
          <w:rFonts w:cs="Arial"/>
          <w:b/>
          <w:bCs/>
          <w:color w:val="auto"/>
          <w:lang w:val="en-GB"/>
        </w:rPr>
        <w:t xml:space="preserve">thorough </w:t>
      </w:r>
      <w:r w:rsidR="00E07D4F" w:rsidRPr="00C750DD">
        <w:rPr>
          <w:rFonts w:cs="Arial"/>
          <w:b/>
          <w:bCs/>
          <w:color w:val="auto"/>
          <w:lang w:val="en-GB"/>
        </w:rPr>
        <w:t>human rights impact assessment</w:t>
      </w:r>
      <w:r w:rsidR="00537EB2">
        <w:rPr>
          <w:rFonts w:cs="Arial"/>
          <w:b/>
          <w:bCs/>
          <w:color w:val="auto"/>
          <w:lang w:val="en-GB"/>
        </w:rPr>
        <w:t>, including with respect to Protocol Article 2,</w:t>
      </w:r>
      <w:r w:rsidR="00BD78C3" w:rsidRPr="00C750DD">
        <w:rPr>
          <w:rFonts w:cs="Arial"/>
          <w:b/>
          <w:bCs/>
          <w:color w:val="auto"/>
          <w:lang w:val="en-GB"/>
        </w:rPr>
        <w:t xml:space="preserve"> regarding its miscarriage pay and leave proposals.</w:t>
      </w:r>
      <w:r w:rsidR="00BD78C3" w:rsidRPr="00C750DD">
        <w:rPr>
          <w:rFonts w:cs="Arial"/>
          <w:color w:val="auto"/>
          <w:lang w:val="en-GB"/>
        </w:rPr>
        <w:t xml:space="preserve"> </w:t>
      </w:r>
      <w:r w:rsidR="00BD78C3" w:rsidRPr="00C750DD">
        <w:rPr>
          <w:rFonts w:cs="Arial"/>
          <w:b/>
          <w:bCs/>
          <w:color w:val="auto"/>
          <w:lang w:val="en-GB"/>
        </w:rPr>
        <w:t xml:space="preserve">This assessment should involve a detailed consideration </w:t>
      </w:r>
      <w:r w:rsidR="005F3CF8" w:rsidRPr="00C750DD">
        <w:rPr>
          <w:rFonts w:cs="Arial"/>
          <w:b/>
          <w:bCs/>
          <w:color w:val="auto"/>
          <w:lang w:val="en-GB"/>
        </w:rPr>
        <w:t>of both the potential positive and negative impacts on</w:t>
      </w:r>
      <w:r w:rsidR="00BD78C3" w:rsidRPr="00C750DD">
        <w:rPr>
          <w:rFonts w:cs="Arial"/>
          <w:b/>
          <w:bCs/>
          <w:color w:val="auto"/>
          <w:lang w:val="en-GB"/>
        </w:rPr>
        <w:t xml:space="preserve"> each human right engaged </w:t>
      </w:r>
      <w:r w:rsidR="005F3CF8" w:rsidRPr="00C750DD">
        <w:rPr>
          <w:rFonts w:cs="Arial"/>
          <w:b/>
          <w:bCs/>
          <w:color w:val="auto"/>
          <w:lang w:val="en-GB"/>
        </w:rPr>
        <w:t>by the proposals</w:t>
      </w:r>
      <w:r w:rsidR="00086A67" w:rsidRPr="00C750DD">
        <w:rPr>
          <w:rFonts w:cs="Arial"/>
          <w:b/>
          <w:bCs/>
          <w:color w:val="auto"/>
          <w:lang w:val="en-GB"/>
        </w:rPr>
        <w:t>, drawing from the eight human rights treaties ratified by the UK as relevant.</w:t>
      </w:r>
    </w:p>
    <w:p w14:paraId="2D71C3C7" w14:textId="5F78816D" w:rsidR="00EA12CE" w:rsidRPr="00331C61" w:rsidRDefault="00EA12CE" w:rsidP="00331C61">
      <w:pPr>
        <w:pStyle w:val="Default"/>
        <w:spacing w:line="288" w:lineRule="auto"/>
        <w:rPr>
          <w:rFonts w:cs="Arial"/>
          <w:b/>
          <w:color w:val="232120"/>
        </w:rPr>
      </w:pPr>
    </w:p>
    <w:p w14:paraId="00708516" w14:textId="77777777" w:rsidR="00EA12CE" w:rsidRPr="00331C61" w:rsidRDefault="00EA12CE" w:rsidP="00331C61">
      <w:pPr>
        <w:pStyle w:val="Default"/>
        <w:spacing w:line="288" w:lineRule="auto"/>
        <w:rPr>
          <w:rFonts w:cs="Arial"/>
          <w:b/>
          <w:color w:val="232120"/>
        </w:rPr>
      </w:pPr>
    </w:p>
    <w:p w14:paraId="77AE3DA8" w14:textId="2C43D0B0" w:rsidR="00EA12CE" w:rsidRPr="00331C61" w:rsidRDefault="00EA12CE" w:rsidP="00331C61">
      <w:pPr>
        <w:pStyle w:val="Default"/>
        <w:spacing w:line="288" w:lineRule="auto"/>
        <w:rPr>
          <w:rFonts w:cs="Arial"/>
          <w:b/>
          <w:color w:val="232120"/>
        </w:rPr>
      </w:pPr>
    </w:p>
    <w:p w14:paraId="72805DBA" w14:textId="77777777" w:rsidR="00EA12CE" w:rsidRPr="00331C61" w:rsidRDefault="00EA12CE" w:rsidP="00331C61">
      <w:pPr>
        <w:pStyle w:val="Default"/>
        <w:spacing w:line="288" w:lineRule="auto"/>
        <w:rPr>
          <w:rFonts w:cs="Arial"/>
          <w:b/>
          <w:color w:val="232120"/>
        </w:rPr>
      </w:pPr>
    </w:p>
    <w:p w14:paraId="41988C26" w14:textId="77777777" w:rsidR="007836A4" w:rsidRDefault="007836A4" w:rsidP="00331C61">
      <w:pPr>
        <w:pStyle w:val="Default"/>
        <w:spacing w:line="288" w:lineRule="auto"/>
        <w:rPr>
          <w:rFonts w:cs="Arial"/>
          <w:b/>
          <w:color w:val="232120"/>
        </w:rPr>
      </w:pPr>
    </w:p>
    <w:p w14:paraId="14457715" w14:textId="77777777" w:rsidR="007836A4" w:rsidRDefault="007836A4" w:rsidP="00331C61">
      <w:pPr>
        <w:pStyle w:val="Default"/>
        <w:spacing w:line="288" w:lineRule="auto"/>
        <w:rPr>
          <w:rFonts w:cs="Arial"/>
          <w:b/>
          <w:color w:val="232120"/>
        </w:rPr>
      </w:pPr>
    </w:p>
    <w:p w14:paraId="47F61BF9" w14:textId="77777777" w:rsidR="007836A4" w:rsidRDefault="007836A4" w:rsidP="00331C61">
      <w:pPr>
        <w:pStyle w:val="Default"/>
        <w:spacing w:line="288" w:lineRule="auto"/>
        <w:rPr>
          <w:rFonts w:cs="Arial"/>
          <w:b/>
          <w:color w:val="232120"/>
        </w:rPr>
      </w:pPr>
    </w:p>
    <w:p w14:paraId="479BF3E7" w14:textId="77777777" w:rsidR="007836A4" w:rsidRDefault="007836A4" w:rsidP="00331C61">
      <w:pPr>
        <w:pStyle w:val="Default"/>
        <w:spacing w:line="288" w:lineRule="auto"/>
        <w:rPr>
          <w:rFonts w:cs="Arial"/>
          <w:b/>
          <w:color w:val="232120"/>
        </w:rPr>
      </w:pPr>
    </w:p>
    <w:p w14:paraId="44E8B398" w14:textId="77777777" w:rsidR="00BC4539" w:rsidRDefault="00BC4539" w:rsidP="00331C61">
      <w:pPr>
        <w:pStyle w:val="Default"/>
        <w:spacing w:line="288" w:lineRule="auto"/>
        <w:rPr>
          <w:rFonts w:cs="Arial"/>
          <w:b/>
          <w:color w:val="232120"/>
        </w:rPr>
      </w:pPr>
    </w:p>
    <w:p w14:paraId="6B320C9C" w14:textId="39DE221F" w:rsidR="006930E1" w:rsidRDefault="006930E1" w:rsidP="00331C61">
      <w:pPr>
        <w:pStyle w:val="Default"/>
        <w:spacing w:line="288" w:lineRule="auto"/>
        <w:rPr>
          <w:rFonts w:cs="Arial"/>
          <w:b/>
          <w:color w:val="232120"/>
        </w:rPr>
      </w:pPr>
    </w:p>
    <w:p w14:paraId="19CFE28B" w14:textId="3237F84A" w:rsidR="006930E1" w:rsidRDefault="006930E1" w:rsidP="00331C61">
      <w:pPr>
        <w:pStyle w:val="Default"/>
        <w:spacing w:line="288" w:lineRule="auto"/>
        <w:rPr>
          <w:rFonts w:cs="Arial"/>
          <w:b/>
          <w:color w:val="232120"/>
        </w:rPr>
      </w:pPr>
    </w:p>
    <w:p w14:paraId="283CFAB6" w14:textId="745004C4" w:rsidR="006930E1" w:rsidRDefault="006930E1" w:rsidP="00331C61">
      <w:pPr>
        <w:pStyle w:val="Default"/>
        <w:spacing w:line="288" w:lineRule="auto"/>
        <w:rPr>
          <w:rFonts w:cs="Arial"/>
          <w:b/>
          <w:color w:val="232120"/>
        </w:rPr>
      </w:pPr>
    </w:p>
    <w:p w14:paraId="3CD3D581" w14:textId="72398404" w:rsidR="006930E1" w:rsidRDefault="006930E1" w:rsidP="00331C61">
      <w:pPr>
        <w:pStyle w:val="Default"/>
        <w:spacing w:line="288" w:lineRule="auto"/>
        <w:rPr>
          <w:rFonts w:cs="Arial"/>
          <w:b/>
          <w:color w:val="232120"/>
        </w:rPr>
      </w:pPr>
    </w:p>
    <w:p w14:paraId="238A9453" w14:textId="5A7AA236" w:rsidR="006930E1" w:rsidRDefault="006930E1" w:rsidP="00331C61">
      <w:pPr>
        <w:pStyle w:val="Default"/>
        <w:spacing w:line="288" w:lineRule="auto"/>
        <w:rPr>
          <w:rFonts w:cs="Arial"/>
          <w:b/>
          <w:color w:val="232120"/>
        </w:rPr>
      </w:pPr>
    </w:p>
    <w:p w14:paraId="2DADE921" w14:textId="4AF92646" w:rsidR="006930E1" w:rsidRDefault="006930E1" w:rsidP="00331C61">
      <w:pPr>
        <w:pStyle w:val="Default"/>
        <w:spacing w:line="288" w:lineRule="auto"/>
        <w:rPr>
          <w:rFonts w:cs="Arial"/>
          <w:b/>
          <w:color w:val="232120"/>
        </w:rPr>
      </w:pPr>
    </w:p>
    <w:p w14:paraId="533E37B3" w14:textId="2C19B23A" w:rsidR="006930E1" w:rsidRDefault="006930E1" w:rsidP="00331C61">
      <w:pPr>
        <w:pStyle w:val="Default"/>
        <w:spacing w:line="288" w:lineRule="auto"/>
        <w:rPr>
          <w:rFonts w:cs="Arial"/>
          <w:b/>
          <w:color w:val="232120"/>
        </w:rPr>
      </w:pPr>
    </w:p>
    <w:p w14:paraId="2501BD86" w14:textId="4B5D6F56" w:rsidR="00484889" w:rsidRDefault="00484889" w:rsidP="00331C61">
      <w:pPr>
        <w:pStyle w:val="Default"/>
        <w:spacing w:line="288" w:lineRule="auto"/>
        <w:rPr>
          <w:rFonts w:cs="Arial"/>
          <w:b/>
          <w:color w:val="232120"/>
        </w:rPr>
      </w:pPr>
    </w:p>
    <w:p w14:paraId="5A850C8F" w14:textId="77777777" w:rsidR="00CB32D5" w:rsidRDefault="00CB32D5" w:rsidP="00331C61">
      <w:pPr>
        <w:pStyle w:val="Default"/>
        <w:spacing w:line="288" w:lineRule="auto"/>
        <w:rPr>
          <w:rFonts w:cs="Arial"/>
          <w:b/>
          <w:color w:val="232120"/>
        </w:rPr>
      </w:pPr>
    </w:p>
    <w:p w14:paraId="6DF68DA5" w14:textId="738B97E4" w:rsidR="006930E1" w:rsidRDefault="006930E1" w:rsidP="003B7D0E">
      <w:pPr>
        <w:pStyle w:val="BasicParagraph"/>
        <w:suppressAutoHyphens/>
        <w:jc w:val="center"/>
        <w:rPr>
          <w:rFonts w:ascii="Verdana" w:hAnsi="Verdana" w:cs="Arial"/>
          <w:color w:val="3C3C3B"/>
          <w:sz w:val="20"/>
          <w:szCs w:val="20"/>
        </w:rPr>
      </w:pPr>
    </w:p>
    <w:p w14:paraId="1A71B8E3" w14:textId="77777777"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4E2C3BBE" w14:textId="77777777" w:rsidR="00331C61" w:rsidRPr="00331C61" w:rsidRDefault="00331C61" w:rsidP="003B7D0E">
      <w:pPr>
        <w:jc w:val="center"/>
        <w:rPr>
          <w:rFonts w:cs="Arial"/>
          <w:b/>
          <w:color w:val="232120"/>
          <w:sz w:val="30"/>
          <w:szCs w:val="30"/>
        </w:rPr>
      </w:pPr>
    </w:p>
    <w:p w14:paraId="11FCBA5F" w14:textId="77777777" w:rsidR="00331C61" w:rsidRPr="00331C61" w:rsidRDefault="00331C61" w:rsidP="003B7D0E">
      <w:pPr>
        <w:jc w:val="center"/>
        <w:rPr>
          <w:rFonts w:cs="Arial"/>
          <w:b/>
          <w:color w:val="232120"/>
          <w:sz w:val="30"/>
          <w:szCs w:val="30"/>
        </w:rPr>
      </w:pPr>
    </w:p>
    <w:p w14:paraId="278699E4" w14:textId="77777777" w:rsidR="00331C61" w:rsidRPr="00331C61" w:rsidRDefault="00627062" w:rsidP="00331C61">
      <w:pPr>
        <w:jc w:val="center"/>
        <w:rPr>
          <w:rFonts w:cs="Arial"/>
          <w:color w:val="232120"/>
          <w:sz w:val="28"/>
          <w:szCs w:val="28"/>
        </w:rPr>
      </w:pPr>
      <w:hyperlink r:id="rId12"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3"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71CA8F53"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02E958A5" w14:textId="77777777" w:rsidR="00F56C78" w:rsidRPr="00331C61" w:rsidRDefault="00F56C78" w:rsidP="003B7D0E">
      <w:pPr>
        <w:jc w:val="center"/>
        <w:rPr>
          <w:rFonts w:cs="Arial"/>
          <w:b/>
          <w:color w:val="232120"/>
          <w:sz w:val="28"/>
          <w:szCs w:val="28"/>
        </w:rPr>
      </w:pPr>
    </w:p>
    <w:p w14:paraId="4CFA5E39" w14:textId="77777777" w:rsidR="00F56C78" w:rsidRPr="00331C61" w:rsidRDefault="00F56C78" w:rsidP="003B7D0E">
      <w:pPr>
        <w:jc w:val="center"/>
        <w:rPr>
          <w:rFonts w:cs="Arial"/>
          <w:color w:val="232120"/>
          <w:sz w:val="20"/>
          <w:szCs w:val="20"/>
        </w:rPr>
      </w:pPr>
    </w:p>
    <w:p w14:paraId="3BFD97F6"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48F6110" wp14:editId="6B8B844B">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5"/>
      <w:footerReference w:type="first" r:id="rId16"/>
      <w:pgSz w:w="11900" w:h="16820"/>
      <w:pgMar w:top="1021" w:right="1021" w:bottom="1021" w:left="1021" w:header="1021" w:footer="102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17746" w16cex:dateUtc="2022-12-12T09:47:00Z"/>
  <w16cex:commentExtensible w16cex:durableId="0EED6FAA" w16cex:dateUtc="2022-12-12T09:22:00Z"/>
  <w16cex:commentExtensible w16cex:durableId="3BFCBC42" w16cex:dateUtc="2022-12-12T09:23:00Z"/>
  <w16cex:commentExtensible w16cex:durableId="04E207C0" w16cex:dateUtc="2022-12-12T09:24:00Z"/>
  <w16cex:commentExtensible w16cex:durableId="211914BD" w16cex:dateUtc="2022-12-12T09:26:00Z"/>
  <w16cex:commentExtensible w16cex:durableId="0ECFC78F" w16cex:dateUtc="2022-12-12T09:26:00Z"/>
  <w16cex:commentExtensible w16cex:durableId="274178C3" w16cex:dateUtc="2022-12-12T09:54:00Z"/>
  <w16cex:commentExtensible w16cex:durableId="39861291" w16cex:dateUtc="2022-12-12T09:27:00Z"/>
  <w16cex:commentExtensible w16cex:durableId="20A2F1BA" w16cex:dateUtc="2022-12-12T09:35:00Z"/>
  <w16cex:commentExtensible w16cex:durableId="114246F2" w16cex:dateUtc="2022-12-12T09:37:00Z"/>
  <w16cex:commentExtensible w16cex:durableId="27417961" w16cex:dateUtc="2022-12-12T09:56:00Z"/>
  <w16cex:commentExtensible w16cex:durableId="27417997" w16cex:dateUtc="2022-12-12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1C605F" w16cid:durableId="27417746"/>
  <w16cid:commentId w16cid:paraId="37B6BFA5" w16cid:durableId="0EED6FAA"/>
  <w16cid:commentId w16cid:paraId="0AB6F321" w16cid:durableId="3BFCBC42"/>
  <w16cid:commentId w16cid:paraId="3C9BD5E1" w16cid:durableId="04E207C0"/>
  <w16cid:commentId w16cid:paraId="5F569D90" w16cid:durableId="211914BD"/>
  <w16cid:commentId w16cid:paraId="78A4B0A5" w16cid:durableId="0ECFC78F"/>
  <w16cid:commentId w16cid:paraId="0D1E74EF" w16cid:durableId="274178C3"/>
  <w16cid:commentId w16cid:paraId="65C103F2" w16cid:durableId="39861291"/>
  <w16cid:commentId w16cid:paraId="4E5852B3" w16cid:durableId="20A2F1BA"/>
  <w16cid:commentId w16cid:paraId="3E9AAED3" w16cid:durableId="114246F2"/>
  <w16cid:commentId w16cid:paraId="2CA63B6B" w16cid:durableId="27417961"/>
  <w16cid:commentId w16cid:paraId="0D0FF38A" w16cid:durableId="274179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89AC2" w14:textId="77777777" w:rsidR="00537EB2" w:rsidRDefault="00537EB2" w:rsidP="00962B2B">
      <w:r>
        <w:separator/>
      </w:r>
    </w:p>
  </w:endnote>
  <w:endnote w:type="continuationSeparator" w:id="0">
    <w:p w14:paraId="5D117AF8" w14:textId="77777777" w:rsidR="00537EB2" w:rsidRDefault="00537EB2" w:rsidP="00962B2B">
      <w:r>
        <w:continuationSeparator/>
      </w:r>
    </w:p>
  </w:endnote>
  <w:endnote w:type="continuationNotice" w:id="1">
    <w:p w14:paraId="67E92B62" w14:textId="77777777" w:rsidR="00537EB2" w:rsidRDefault="00537E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altName w:val="﷽﷽﷽﷽﷽﷽﷽﷽怀"/>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1720A" w14:textId="77777777" w:rsidR="00537EB2" w:rsidRDefault="00537EB2" w:rsidP="00656ECD">
    <w:pPr>
      <w:pStyle w:val="Footer"/>
      <w:jc w:val="right"/>
      <w:rPr>
        <w:rStyle w:val="PageNumber"/>
        <w:rFonts w:ascii="Arial" w:hAnsi="Arial" w:cs="Arial"/>
        <w:b/>
        <w:sz w:val="16"/>
        <w:szCs w:val="16"/>
      </w:rPr>
    </w:pPr>
  </w:p>
  <w:p w14:paraId="7160DBD2" w14:textId="25C0DE28" w:rsidR="00537EB2" w:rsidRPr="00C750DD" w:rsidRDefault="00537EB2" w:rsidP="00656ECD">
    <w:pPr>
      <w:pStyle w:val="Footer"/>
      <w:jc w:val="right"/>
      <w:rPr>
        <w:rFonts w:cs="Arial"/>
        <w:bCs/>
        <w:color w:val="77328A"/>
      </w:rPr>
    </w:pPr>
    <w:r w:rsidRPr="00C750DD">
      <w:rPr>
        <w:rStyle w:val="PageNumber"/>
        <w:rFonts w:cs="Arial"/>
        <w:bCs/>
        <w:color w:val="77328A"/>
      </w:rPr>
      <w:fldChar w:fldCharType="begin"/>
    </w:r>
    <w:r w:rsidRPr="00C750DD">
      <w:rPr>
        <w:rStyle w:val="PageNumber"/>
        <w:rFonts w:cs="Arial"/>
        <w:bCs/>
        <w:color w:val="77328A"/>
      </w:rPr>
      <w:instrText xml:space="preserve"> PAGE </w:instrText>
    </w:r>
    <w:r w:rsidRPr="00C750DD">
      <w:rPr>
        <w:rStyle w:val="PageNumber"/>
        <w:rFonts w:cs="Arial"/>
        <w:bCs/>
        <w:color w:val="77328A"/>
      </w:rPr>
      <w:fldChar w:fldCharType="separate"/>
    </w:r>
    <w:r w:rsidR="00627062">
      <w:rPr>
        <w:rStyle w:val="PageNumber"/>
        <w:rFonts w:cs="Arial"/>
        <w:bCs/>
        <w:noProof/>
        <w:color w:val="77328A"/>
      </w:rPr>
      <w:t>13</w:t>
    </w:r>
    <w:r w:rsidRPr="00C750DD">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9CA6A" w14:textId="77777777" w:rsidR="00537EB2" w:rsidRDefault="00537EB2" w:rsidP="00046705">
    <w:pPr>
      <w:pStyle w:val="Footer"/>
      <w:jc w:val="right"/>
      <w:rPr>
        <w:rStyle w:val="PageNumber"/>
        <w:rFonts w:ascii="Arial" w:hAnsi="Arial" w:cs="Arial"/>
        <w:b/>
        <w:sz w:val="16"/>
        <w:szCs w:val="16"/>
      </w:rPr>
    </w:pPr>
  </w:p>
  <w:p w14:paraId="1E6746BC" w14:textId="77777777" w:rsidR="00537EB2" w:rsidRPr="00D12EF8" w:rsidRDefault="00537EB2"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1C34B" w14:textId="77777777" w:rsidR="00537EB2" w:rsidRDefault="00537EB2" w:rsidP="00B96D34">
      <w:r>
        <w:continuationSeparator/>
      </w:r>
    </w:p>
    <w:p w14:paraId="6CADFCEB" w14:textId="77777777" w:rsidR="00537EB2" w:rsidRPr="00B96D34" w:rsidRDefault="00537EB2" w:rsidP="00B96D34">
      <w:pPr>
        <w:pStyle w:val="Footer"/>
      </w:pPr>
    </w:p>
  </w:footnote>
  <w:footnote w:type="continuationSeparator" w:id="0">
    <w:p w14:paraId="6E0AA07F" w14:textId="77777777" w:rsidR="00537EB2" w:rsidRDefault="00537EB2" w:rsidP="00962B2B">
      <w:r>
        <w:continuationSeparator/>
      </w:r>
    </w:p>
  </w:footnote>
  <w:footnote w:type="continuationNotice" w:id="1">
    <w:p w14:paraId="53451BDE" w14:textId="77777777" w:rsidR="00537EB2" w:rsidRDefault="00537EB2"/>
  </w:footnote>
  <w:footnote w:id="2">
    <w:p w14:paraId="7B7B0C8F" w14:textId="77777777" w:rsidR="00537EB2" w:rsidRPr="00F8754A" w:rsidRDefault="00537EB2" w:rsidP="00E377BE">
      <w:pPr>
        <w:pStyle w:val="NIHRCFootnotes"/>
        <w:rPr>
          <w:rFonts w:cs="Times New Roman"/>
        </w:rPr>
      </w:pPr>
      <w:r w:rsidRPr="00F8754A">
        <w:rPr>
          <w:rStyle w:val="FootnoteReference"/>
          <w:color w:val="7030A0"/>
        </w:rPr>
        <w:footnoteRef/>
      </w:r>
      <w:r w:rsidRPr="00F8754A">
        <w:t xml:space="preserve"> Ratified by the UK 1951. Further guidance is also taken from the body of case law from the European Court of Human</w:t>
      </w:r>
    </w:p>
    <w:p w14:paraId="3A9DB865" w14:textId="77777777" w:rsidR="00537EB2" w:rsidRPr="00F8754A" w:rsidRDefault="00537EB2" w:rsidP="00E377BE">
      <w:pPr>
        <w:pStyle w:val="NIHRCFootnotes"/>
      </w:pPr>
      <w:r w:rsidRPr="00F8754A">
        <w:t xml:space="preserve">Rights (ECtHR). </w:t>
      </w:r>
    </w:p>
  </w:footnote>
  <w:footnote w:id="3">
    <w:p w14:paraId="4FB7CAA4" w14:textId="5024A791" w:rsidR="00537EB2" w:rsidRPr="00E66856" w:rsidRDefault="00537EB2" w:rsidP="00E377BE">
      <w:pPr>
        <w:pStyle w:val="NIHRCFootnotes"/>
      </w:pPr>
      <w:r w:rsidRPr="00E66856">
        <w:rPr>
          <w:rStyle w:val="FootnoteReference"/>
          <w:color w:val="7030A0"/>
        </w:rPr>
        <w:footnoteRef/>
      </w:r>
      <w:r w:rsidRPr="00E66856">
        <w:t xml:space="preserve"> Ratified by the UK </w:t>
      </w:r>
      <w:r w:rsidRPr="00F8754A">
        <w:t xml:space="preserve">1976. </w:t>
      </w:r>
    </w:p>
  </w:footnote>
  <w:footnote w:id="4">
    <w:p w14:paraId="58E5C826" w14:textId="77777777" w:rsidR="00537EB2" w:rsidRPr="00F8754A" w:rsidRDefault="00537EB2" w:rsidP="00E377BE">
      <w:pPr>
        <w:pStyle w:val="NIHRCFootnotes"/>
      </w:pPr>
      <w:r w:rsidRPr="00F8754A">
        <w:rPr>
          <w:rStyle w:val="FootnoteReference"/>
          <w:color w:val="7030A0"/>
        </w:rPr>
        <w:footnoteRef/>
      </w:r>
      <w:r w:rsidRPr="00F8754A">
        <w:t xml:space="preserve"> Ratified by the UK 1986.</w:t>
      </w:r>
    </w:p>
  </w:footnote>
  <w:footnote w:id="5">
    <w:p w14:paraId="595F8C21" w14:textId="416527D3" w:rsidR="00537EB2" w:rsidRDefault="00537EB2" w:rsidP="00E377BE">
      <w:pPr>
        <w:pStyle w:val="NIHRCFootnotes"/>
      </w:pPr>
      <w:r>
        <w:rPr>
          <w:rStyle w:val="FootnoteReference"/>
        </w:rPr>
        <w:footnoteRef/>
      </w:r>
      <w:r>
        <w:t xml:space="preserve"> </w:t>
      </w:r>
    </w:p>
  </w:footnote>
  <w:footnote w:id="6">
    <w:p w14:paraId="2E4BD66D" w14:textId="77777777" w:rsidR="00537EB2" w:rsidRPr="006549A6" w:rsidRDefault="00537EB2" w:rsidP="00E377BE">
      <w:pPr>
        <w:pStyle w:val="NIHRCFootnotes"/>
      </w:pPr>
      <w:r w:rsidRPr="00F8754A">
        <w:rPr>
          <w:rStyle w:val="FootnoteReference"/>
          <w:color w:val="7030A0"/>
        </w:rPr>
        <w:footnoteRef/>
      </w:r>
      <w:r w:rsidRPr="00F8754A">
        <w:t xml:space="preserve"> E/C.12/GC/23, ‘UN ICESCR Committee General comment No. 23: On the Right to Just and Favourable Conditions of Work’, 27 April 2016. </w:t>
      </w:r>
    </w:p>
  </w:footnote>
  <w:footnote w:id="7">
    <w:p w14:paraId="3782C60F" w14:textId="77777777" w:rsidR="00537EB2" w:rsidRPr="00F8754A" w:rsidRDefault="00537EB2" w:rsidP="00E377BE">
      <w:pPr>
        <w:pStyle w:val="NIHRCFootnotes"/>
      </w:pPr>
      <w:r w:rsidRPr="00F8754A">
        <w:rPr>
          <w:rStyle w:val="FootnoteReference"/>
          <w:color w:val="7030A0"/>
        </w:rPr>
        <w:footnoteRef/>
      </w:r>
      <w:r w:rsidRPr="00F8754A">
        <w:t xml:space="preserve"> CEDAW/C/GBR/CO/8, ‘UN CEDAW Committee Concluding </w:t>
      </w:r>
      <w:r w:rsidRPr="006C42EE">
        <w:t>Observations</w:t>
      </w:r>
      <w:r w:rsidRPr="00F8754A">
        <w:t xml:space="preserve"> on the UK Eighth Periodic Report’, 8 March 2019.</w:t>
      </w:r>
    </w:p>
  </w:footnote>
  <w:footnote w:id="8">
    <w:p w14:paraId="1497DB71" w14:textId="45789AFC" w:rsidR="00537EB2" w:rsidRPr="006C42EE" w:rsidRDefault="00537EB2" w:rsidP="00E377BE">
      <w:pPr>
        <w:pStyle w:val="NIHRCFootnotes"/>
      </w:pPr>
      <w:r w:rsidRPr="006C42EE">
        <w:rPr>
          <w:vertAlign w:val="superscript"/>
        </w:rPr>
        <w:footnoteRef/>
      </w:r>
      <w:r w:rsidRPr="006C42EE">
        <w:t xml:space="preserve"> CCPR/C/GC/35, ‘UN Human Rights Committee General comment no. 36, Article 6 (Right to Life)’, 3 September 2019.</w:t>
      </w:r>
    </w:p>
  </w:footnote>
  <w:footnote w:id="9">
    <w:p w14:paraId="68029831" w14:textId="3392B409" w:rsidR="00537EB2" w:rsidRDefault="00537EB2" w:rsidP="00AA4FFA">
      <w:pPr>
        <w:pStyle w:val="NIHRCFootnotes"/>
      </w:pPr>
      <w:r>
        <w:rPr>
          <w:rStyle w:val="FootnoteReference"/>
        </w:rPr>
        <w:footnoteRef/>
      </w:r>
      <w:r>
        <w:t xml:space="preserve"> Directive 2000/78/EC, ‘EU Council Directive on Establishing a General Framework for Equal Treatment in Employment and Occupation’, 27 November 2000.</w:t>
      </w:r>
    </w:p>
  </w:footnote>
  <w:footnote w:id="10">
    <w:p w14:paraId="46959134" w14:textId="77777777" w:rsidR="00537EB2" w:rsidRDefault="00537EB2" w:rsidP="00AA4FFA">
      <w:pPr>
        <w:pStyle w:val="NIHRCFootnotes"/>
      </w:pPr>
      <w:r>
        <w:rPr>
          <w:rStyle w:val="FootnoteReference"/>
        </w:rPr>
        <w:footnoteRef/>
      </w:r>
      <w:r>
        <w:t xml:space="preserve"> Directive 2006/54/EC, ‘EU Council Directive on the Implementation of the Principle of Equal Opportunities and Equal Treatment of Men and Women in Matters of Employment and Occupation’, 5 July 2006.</w:t>
      </w:r>
    </w:p>
  </w:footnote>
  <w:footnote w:id="11">
    <w:p w14:paraId="72F045F7" w14:textId="77777777" w:rsidR="00537EB2" w:rsidRDefault="00537EB2" w:rsidP="00AA4FFA">
      <w:pPr>
        <w:pStyle w:val="NIHRCFootnotes"/>
      </w:pPr>
      <w:r>
        <w:rPr>
          <w:rStyle w:val="FootnoteReference"/>
        </w:rPr>
        <w:footnoteRef/>
      </w:r>
      <w:r>
        <w:t xml:space="preserve"> Directive 2010/41/EU, ‘EU Parliament and EU Council Directive on the Application of the Principle of Equal Treatment between Men and Women Engaged in an Activity in a Self -employed Capacity’, 7 July 2010.</w:t>
      </w:r>
    </w:p>
  </w:footnote>
  <w:footnote w:id="12">
    <w:p w14:paraId="7BF70D9E" w14:textId="77777777" w:rsidR="00537EB2" w:rsidRDefault="00537EB2" w:rsidP="00E377BE">
      <w:pPr>
        <w:pStyle w:val="NIHRCFootnotes"/>
      </w:pPr>
      <w:r w:rsidRPr="006C42EE">
        <w:rPr>
          <w:vertAlign w:val="superscript"/>
        </w:rPr>
        <w:footnoteRef/>
      </w:r>
      <w:r>
        <w:t xml:space="preserve"> Belfast (Good Friday) Agreement 1998.</w:t>
      </w:r>
    </w:p>
  </w:footnote>
  <w:footnote w:id="13">
    <w:p w14:paraId="4FD254D8" w14:textId="77777777" w:rsidR="00537EB2" w:rsidRDefault="00537EB2" w:rsidP="00E377BE">
      <w:pPr>
        <w:pStyle w:val="NIHRCFootnotes"/>
      </w:pPr>
      <w:r>
        <w:rPr>
          <w:rStyle w:val="FootnoteReference"/>
        </w:rPr>
        <w:footnoteRef/>
      </w:r>
      <w:r>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 -employed Capacity’, 7 July 2010.; Directive 79/7/EEC, ‘EU Council Directive on the Progressive Implementation of the Principle of Equal Treatment for Men and Women in Matters of Social Security’, 19 December 1978.</w:t>
      </w:r>
    </w:p>
  </w:footnote>
  <w:footnote w:id="14">
    <w:p w14:paraId="530DB26B" w14:textId="77777777" w:rsidR="00537EB2" w:rsidRDefault="00537EB2" w:rsidP="00E377BE">
      <w:pPr>
        <w:pStyle w:val="NIHRCFootnotes"/>
      </w:pPr>
      <w:r>
        <w:rPr>
          <w:rStyle w:val="FootnoteReference"/>
        </w:rPr>
        <w:footnoteRef/>
      </w:r>
      <w:r>
        <w:t xml:space="preserve"> Article 13, The Ireland/NI Protocol to the EU/UK Withdrawal Agreement 2020.</w:t>
      </w:r>
    </w:p>
  </w:footnote>
  <w:footnote w:id="15">
    <w:p w14:paraId="4F828571" w14:textId="77777777" w:rsidR="00537EB2" w:rsidRDefault="00537EB2" w:rsidP="00E377BE">
      <w:pPr>
        <w:pStyle w:val="NIHRCFootnotes"/>
      </w:pPr>
      <w:r>
        <w:rPr>
          <w:rStyle w:val="FootnoteReference"/>
        </w:rPr>
        <w:footnoteRef/>
      </w:r>
      <w:r>
        <w:t xml:space="preserve"> NI Human Rights Commission and Equality Commission NI, ‘Working Paper: Scope of Article 2(1) of the Ireland/NI Protocol to the UK-EU Withdrawal Agreement 2020’, (NIHRC and ECNI, 2022).</w:t>
      </w:r>
    </w:p>
  </w:footnote>
  <w:footnote w:id="16">
    <w:p w14:paraId="7C98699F" w14:textId="413378BA" w:rsidR="00537EB2" w:rsidRDefault="00537EB2" w:rsidP="009837D3">
      <w:pPr>
        <w:pStyle w:val="NIHRCFootnotes"/>
      </w:pPr>
      <w:r>
        <w:rPr>
          <w:rStyle w:val="FootnoteReference"/>
        </w:rPr>
        <w:footnoteRef/>
      </w:r>
      <w:r>
        <w:t xml:space="preserve"> Directive 2000/78/EC, ‘EU Council Directive on Establishing a General Framework for Equal Treatment in Employment and Occupation’, 27 November 2000.</w:t>
      </w:r>
    </w:p>
  </w:footnote>
  <w:footnote w:id="17">
    <w:p w14:paraId="28579461" w14:textId="24E3DEA8" w:rsidR="00537EB2" w:rsidRDefault="00537EB2" w:rsidP="00001F16">
      <w:pPr>
        <w:pStyle w:val="NIHRCFootnotes"/>
      </w:pPr>
      <w:r>
        <w:rPr>
          <w:rStyle w:val="FootnoteReference"/>
        </w:rPr>
        <w:footnoteRef/>
      </w:r>
      <w:r>
        <w:t xml:space="preserve"> Directive 2006/54/EC, ‘EU Council Directive on the Implementation of the Principle of Equal Opportunities and Equal Treatment of Men and Women in Matters of Employment and Occupation’, 5 July 2006.</w:t>
      </w:r>
    </w:p>
  </w:footnote>
  <w:footnote w:id="18">
    <w:p w14:paraId="145F31D4" w14:textId="7541D991" w:rsidR="00537EB2" w:rsidRDefault="00537EB2" w:rsidP="006F75AE">
      <w:pPr>
        <w:pStyle w:val="NIHRCFootnotes"/>
      </w:pPr>
      <w:r>
        <w:rPr>
          <w:rStyle w:val="FootnoteReference"/>
        </w:rPr>
        <w:footnoteRef/>
      </w:r>
      <w:r>
        <w:t xml:space="preserve"> Directive 2010/41/EU, ‘EU Parliament and EU Council Directive on the Application of the Principle of Equal Treatment between Men and Women Engaged in an Activity in a Self -employed Capacity’, 7 July 2010.</w:t>
      </w:r>
    </w:p>
  </w:footnote>
  <w:footnote w:id="19">
    <w:p w14:paraId="30CFBDAF" w14:textId="77777777" w:rsidR="00537EB2" w:rsidRPr="007437FD" w:rsidRDefault="00537EB2" w:rsidP="00E377BE">
      <w:pPr>
        <w:pStyle w:val="NIHRCFootnotes"/>
      </w:pPr>
      <w:r>
        <w:rPr>
          <w:rStyle w:val="FootnoteReference"/>
        </w:rPr>
        <w:footnoteRef/>
      </w:r>
      <w:r>
        <w:t xml:space="preserve"> </w:t>
      </w:r>
      <w:r w:rsidRPr="0034616D">
        <w:rPr>
          <w:i/>
          <w:iCs/>
        </w:rPr>
        <w:t>Denisov v Ukraine</w:t>
      </w:r>
      <w:r>
        <w:rPr>
          <w:i/>
          <w:iCs/>
        </w:rPr>
        <w:t xml:space="preserve"> </w:t>
      </w:r>
      <w:r>
        <w:t xml:space="preserve">(2018) ECHR 1061. </w:t>
      </w:r>
    </w:p>
  </w:footnote>
  <w:footnote w:id="20">
    <w:p w14:paraId="60F3DCF5" w14:textId="77777777" w:rsidR="00537EB2" w:rsidRDefault="00537EB2" w:rsidP="00E377BE">
      <w:pPr>
        <w:pStyle w:val="NIHRCFootnotes"/>
      </w:pPr>
      <w:r>
        <w:rPr>
          <w:rStyle w:val="FootnoteReference"/>
        </w:rPr>
        <w:footnoteRef/>
      </w:r>
      <w:r>
        <w:t xml:space="preserve"> </w:t>
      </w:r>
      <w:r w:rsidRPr="00970699">
        <w:t>Department for the Economy, ‘Miscarriage Leave and Pay: Public Consultation’, (DfE, 2022)</w:t>
      </w:r>
      <w:r>
        <w:t xml:space="preserve"> at 7 and 9.  </w:t>
      </w:r>
    </w:p>
  </w:footnote>
  <w:footnote w:id="21">
    <w:p w14:paraId="06709E91" w14:textId="77777777" w:rsidR="00537EB2" w:rsidRDefault="00537EB2" w:rsidP="00E377BE">
      <w:pPr>
        <w:pStyle w:val="NIHRCFootnotes"/>
      </w:pPr>
      <w:r>
        <w:rPr>
          <w:rStyle w:val="FootnoteReference"/>
        </w:rPr>
        <w:footnoteRef/>
      </w:r>
      <w:r>
        <w:t xml:space="preserve"> </w:t>
      </w:r>
      <w:r w:rsidRPr="00B162EB">
        <w:t xml:space="preserve">Department for the Economy, ‘Miscarriage Leave and Pay: Public Consultation’, (DfE, 2022) at 9.  </w:t>
      </w:r>
    </w:p>
  </w:footnote>
  <w:footnote w:id="22">
    <w:p w14:paraId="4D71639F" w14:textId="21051988" w:rsidR="00537EB2" w:rsidRDefault="00537EB2" w:rsidP="00E377BE">
      <w:pPr>
        <w:pStyle w:val="NIHRCFootnotes"/>
      </w:pPr>
      <w:r>
        <w:rPr>
          <w:rStyle w:val="FootnoteReference"/>
        </w:rPr>
        <w:footnoteRef/>
      </w:r>
      <w:r>
        <w:t xml:space="preserve"> CEDAW/C/OP.8/GBR/1, ‘UN CEDAW Committee Inquiry Concerning the UK of Great Britain and NI Under Article 8 of the Optional Protocol to the UN CEDAW’, 6 March 2018, at para 31.</w:t>
      </w:r>
    </w:p>
  </w:footnote>
  <w:footnote w:id="23">
    <w:p w14:paraId="6CDCAF18" w14:textId="4BB2ED49" w:rsidR="00537EB2" w:rsidRDefault="00537EB2" w:rsidP="00E377BE">
      <w:pPr>
        <w:pStyle w:val="NIHRCFootnotes"/>
      </w:pPr>
      <w:r>
        <w:rPr>
          <w:rStyle w:val="FootnoteReference"/>
        </w:rPr>
        <w:footnoteRef/>
      </w:r>
      <w:r>
        <w:t xml:space="preserve"> Section 9(2), NI (Executive Formation etc) Act 2019.</w:t>
      </w:r>
    </w:p>
  </w:footnote>
  <w:footnote w:id="24">
    <w:p w14:paraId="33A10C67" w14:textId="2427620B" w:rsidR="00537EB2" w:rsidRDefault="00537EB2" w:rsidP="00E377BE">
      <w:pPr>
        <w:pStyle w:val="NIHRCFootnotes"/>
      </w:pPr>
      <w:r>
        <w:rPr>
          <w:rStyle w:val="FootnoteReference"/>
        </w:rPr>
        <w:footnoteRef/>
      </w:r>
      <w:r>
        <w:t xml:space="preserve"> </w:t>
      </w:r>
      <w:r w:rsidRPr="00261E9A">
        <w:rPr>
          <w:i/>
          <w:iCs/>
        </w:rPr>
        <w:t>Fretté v France</w:t>
      </w:r>
      <w:r>
        <w:t xml:space="preserve"> (2002) ECHR 156, at para 32.</w:t>
      </w:r>
    </w:p>
  </w:footnote>
  <w:footnote w:id="25">
    <w:p w14:paraId="572263BC" w14:textId="77777777" w:rsidR="00537EB2" w:rsidRDefault="00537EB2" w:rsidP="00E377BE">
      <w:pPr>
        <w:pStyle w:val="NIHRCFootnotes"/>
      </w:pPr>
      <w:r>
        <w:rPr>
          <w:rStyle w:val="FootnoteReference"/>
        </w:rPr>
        <w:footnoteRef/>
      </w:r>
      <w:r>
        <w:t xml:space="preserve"> </w:t>
      </w:r>
      <w:r w:rsidRPr="00261E9A">
        <w:rPr>
          <w:i/>
          <w:iCs/>
        </w:rPr>
        <w:t>Identoba and Others v Georgia</w:t>
      </w:r>
      <w:r>
        <w:t xml:space="preserve"> (2015) ECHR 474. </w:t>
      </w:r>
    </w:p>
  </w:footnote>
  <w:footnote w:id="26">
    <w:p w14:paraId="7E30E1BA" w14:textId="01FA14A2" w:rsidR="00537EB2" w:rsidRDefault="00537EB2" w:rsidP="00E377BE">
      <w:pPr>
        <w:pStyle w:val="NIHRCFootnotes"/>
      </w:pPr>
      <w:r>
        <w:rPr>
          <w:rStyle w:val="FootnoteReference"/>
        </w:rPr>
        <w:footnoteRef/>
      </w:r>
      <w:r>
        <w:t xml:space="preserve"> </w:t>
      </w:r>
      <w:r w:rsidRPr="00261E9A">
        <w:rPr>
          <w:i/>
          <w:iCs/>
        </w:rPr>
        <w:t>Weller v Hungary</w:t>
      </w:r>
      <w:r>
        <w:t xml:space="preserve"> (2009) ECHR 530; </w:t>
      </w:r>
      <w:r w:rsidRPr="00261E9A">
        <w:rPr>
          <w:i/>
          <w:iCs/>
        </w:rPr>
        <w:t>Serife Yigit v Turkey</w:t>
      </w:r>
      <w:r>
        <w:t xml:space="preserve"> (2010) ECHR 1672, at para 79. </w:t>
      </w:r>
    </w:p>
  </w:footnote>
  <w:footnote w:id="27">
    <w:p w14:paraId="3F4C2845" w14:textId="5EA4DFAE" w:rsidR="00537EB2" w:rsidRDefault="00537EB2" w:rsidP="00E377BE">
      <w:pPr>
        <w:pStyle w:val="NIHRCFootnotes"/>
      </w:pPr>
      <w:r>
        <w:rPr>
          <w:rStyle w:val="FootnoteReference"/>
        </w:rPr>
        <w:footnoteRef/>
      </w:r>
      <w:r>
        <w:t xml:space="preserve"> </w:t>
      </w:r>
      <w:r>
        <w:rPr>
          <w:i/>
          <w:iCs/>
        </w:rPr>
        <w:t>P v S and Cornwall County Council</w:t>
      </w:r>
      <w:r>
        <w:t>, Case C-13/94, 30 April 1996, at para 22.</w:t>
      </w:r>
    </w:p>
  </w:footnote>
  <w:footnote w:id="28">
    <w:p w14:paraId="461DEC6D" w14:textId="46AD4204" w:rsidR="00537EB2" w:rsidRDefault="00537EB2" w:rsidP="00E377BE">
      <w:pPr>
        <w:pStyle w:val="NIHRCFootnotes"/>
      </w:pPr>
      <w:r>
        <w:rPr>
          <w:rStyle w:val="FootnoteReference"/>
        </w:rPr>
        <w:footnoteRef/>
      </w:r>
      <w:r>
        <w:t xml:space="preserve"> Article 13, Ireland/NI Protocol to the UK-EU Withdrawal Agreement 2020.</w:t>
      </w:r>
    </w:p>
  </w:footnote>
  <w:footnote w:id="29">
    <w:p w14:paraId="7C045128" w14:textId="77777777" w:rsidR="00537EB2" w:rsidRPr="007437FD" w:rsidRDefault="00537EB2" w:rsidP="00E377BE">
      <w:pPr>
        <w:pStyle w:val="NIHRCFootnotes"/>
      </w:pPr>
      <w:r>
        <w:rPr>
          <w:rStyle w:val="FootnoteReference"/>
        </w:rPr>
        <w:footnoteRef/>
      </w:r>
      <w:r>
        <w:t xml:space="preserve"> </w:t>
      </w:r>
      <w:r w:rsidRPr="0034616D">
        <w:rPr>
          <w:i/>
          <w:iCs/>
        </w:rPr>
        <w:t>Denisov v Ukraine</w:t>
      </w:r>
      <w:r>
        <w:rPr>
          <w:i/>
          <w:iCs/>
        </w:rPr>
        <w:t xml:space="preserve"> </w:t>
      </w:r>
      <w:r>
        <w:t xml:space="preserve">(2018) ECHR 1061. </w:t>
      </w:r>
    </w:p>
  </w:footnote>
  <w:footnote w:id="30">
    <w:p w14:paraId="641AA3E0" w14:textId="2D9DEB2E" w:rsidR="00537EB2" w:rsidRDefault="00537EB2" w:rsidP="00E377BE">
      <w:pPr>
        <w:pStyle w:val="NIHRCFootnotes"/>
      </w:pPr>
      <w:r>
        <w:rPr>
          <w:rStyle w:val="FootnoteReference"/>
        </w:rPr>
        <w:footnoteRef/>
      </w:r>
      <w:r>
        <w:t xml:space="preserve"> Article 8(2), European Convention on Human Rights 1950.</w:t>
      </w:r>
    </w:p>
  </w:footnote>
  <w:footnote w:id="31">
    <w:p w14:paraId="69043014" w14:textId="0721B95B" w:rsidR="00537EB2" w:rsidRDefault="00537EB2" w:rsidP="00E377BE">
      <w:pPr>
        <w:pStyle w:val="NIHRCFootnotes"/>
      </w:pPr>
      <w:r>
        <w:rPr>
          <w:rStyle w:val="FootnoteReference"/>
        </w:rPr>
        <w:footnoteRef/>
      </w:r>
      <w:r>
        <w:t xml:space="preserve"> CEDAW/C/GC/35, ‘UN CEDAW Committee General Recommendation No 35: Gender Based Violence Against Women, Updating General Recommendation No 19’, at para 24(2)(b).</w:t>
      </w:r>
    </w:p>
  </w:footnote>
  <w:footnote w:id="32">
    <w:p w14:paraId="485AB94B" w14:textId="73326417" w:rsidR="00537EB2" w:rsidRDefault="00537EB2" w:rsidP="00E377BE">
      <w:pPr>
        <w:pStyle w:val="NIHRCFootnotes"/>
      </w:pPr>
      <w:r>
        <w:rPr>
          <w:rStyle w:val="FootnoteReference"/>
        </w:rPr>
        <w:footnoteRef/>
      </w:r>
      <w:r>
        <w:t xml:space="preserve"> CEDAW/C/GC/35, ‘UN CEDAW Committee General Recommendation No 35: Gender Based Violence Against Women, Updating General Recommendation No 19’, at para 24(2)(b).</w:t>
      </w:r>
    </w:p>
  </w:footnote>
  <w:footnote w:id="33">
    <w:p w14:paraId="2CAFC04F" w14:textId="19396C5C" w:rsidR="00537EB2" w:rsidRDefault="00537EB2" w:rsidP="00E377BE">
      <w:pPr>
        <w:pStyle w:val="NIHRCFootnotes"/>
      </w:pPr>
      <w:r>
        <w:rPr>
          <w:rStyle w:val="FootnoteReference"/>
        </w:rPr>
        <w:footnoteRef/>
      </w:r>
      <w:r>
        <w:t xml:space="preserve"> CEDAW/C/GC/35, ‘UN CEDAW Committee General Recommendation No 35: Gender Based Violence Against Women, Updating General Recommendation No 19’, at para 26(a).</w:t>
      </w:r>
    </w:p>
  </w:footnote>
  <w:footnote w:id="34">
    <w:p w14:paraId="1E5DFC72" w14:textId="77777777" w:rsidR="00537EB2" w:rsidRDefault="00537EB2" w:rsidP="00E377BE">
      <w:pPr>
        <w:pStyle w:val="NIHRCFootnotes"/>
      </w:pPr>
      <w:r>
        <w:rPr>
          <w:rStyle w:val="FootnoteReference"/>
        </w:rPr>
        <w:footnoteRef/>
      </w:r>
      <w:r>
        <w:t xml:space="preserve"> Department for the Economy, ‘Miscarriage Leave and Pay: Public Consultation’, (DfE, 2022).  </w:t>
      </w:r>
    </w:p>
  </w:footnote>
  <w:footnote w:id="35">
    <w:p w14:paraId="41F3541D" w14:textId="3E6BF56B" w:rsidR="00537EB2" w:rsidRDefault="00537EB2" w:rsidP="00E377BE">
      <w:pPr>
        <w:pStyle w:val="NIHRCFootnotes"/>
      </w:pPr>
      <w:r w:rsidRPr="008A063F">
        <w:rPr>
          <w:vertAlign w:val="superscript"/>
        </w:rPr>
        <w:footnoteRef/>
      </w:r>
      <w:r w:rsidRPr="008A063F">
        <w:rPr>
          <w:vertAlign w:val="superscript"/>
        </w:rPr>
        <w:t xml:space="preserve"> </w:t>
      </w:r>
      <w:r w:rsidRPr="008A063F">
        <w:t>Valkov and Others v Bulgaria (2011) ECHR 1956, at para 115.</w:t>
      </w:r>
    </w:p>
  </w:footnote>
  <w:footnote w:id="36">
    <w:p w14:paraId="1FDCC71B" w14:textId="77777777" w:rsidR="00537EB2" w:rsidRDefault="00537EB2" w:rsidP="00E377BE">
      <w:pPr>
        <w:pStyle w:val="NIHRCFootnotes"/>
      </w:pPr>
      <w:r>
        <w:rPr>
          <w:rStyle w:val="FootnoteReference"/>
        </w:rPr>
        <w:footnoteRef/>
      </w:r>
      <w:r>
        <w:t xml:space="preserve"> E/C.12/GC/23, ‘UN ICESCR Committee General comment No. 23: On the Right to Just and Favourable Conditions of Work’, 27 April 2016, at para 5.</w:t>
      </w:r>
    </w:p>
  </w:footnote>
  <w:footnote w:id="37">
    <w:p w14:paraId="73CF1406" w14:textId="77777777" w:rsidR="00537EB2" w:rsidRDefault="00537EB2" w:rsidP="00E377BE">
      <w:pPr>
        <w:pStyle w:val="NIHRCFootnotes"/>
      </w:pPr>
      <w:r>
        <w:rPr>
          <w:rStyle w:val="FootnoteReference"/>
        </w:rPr>
        <w:footnoteRef/>
      </w:r>
      <w:r>
        <w:t xml:space="preserve"> CEDAW/C/GBR/CO/8, ‘UN CEDAW Committee Concluding Observations on the eighth periodic report of the UK and NI’, 14 March 2019, at para 43(b).</w:t>
      </w:r>
    </w:p>
  </w:footnote>
  <w:footnote w:id="38">
    <w:p w14:paraId="2C173BFC" w14:textId="24BA1520" w:rsidR="00537EB2" w:rsidRDefault="00537EB2" w:rsidP="00E377BE">
      <w:pPr>
        <w:pStyle w:val="NIHRCFootnotes"/>
      </w:pPr>
      <w:r w:rsidRPr="008A063F">
        <w:rPr>
          <w:vertAlign w:val="superscript"/>
        </w:rPr>
        <w:footnoteRef/>
      </w:r>
      <w:r w:rsidRPr="008A063F">
        <w:t xml:space="preserve"> CEDAW/C/GC/28, ‘UN CEDAW Committee General Recommendation No 28: Core Obligations of States Parties Under Article 2 of the UN CEDAW’, 16 December 2010, at para 9.</w:t>
      </w:r>
    </w:p>
  </w:footnote>
  <w:footnote w:id="39">
    <w:p w14:paraId="4A6FF809" w14:textId="65117AED" w:rsidR="00221F46" w:rsidRDefault="00221F46">
      <w:pPr>
        <w:pStyle w:val="FootnoteText"/>
      </w:pPr>
      <w:r w:rsidRPr="00666802">
        <w:rPr>
          <w:rFonts w:cs="Arial"/>
          <w:color w:val="77328A"/>
          <w:sz w:val="16"/>
          <w:szCs w:val="16"/>
          <w:vertAlign w:val="superscript"/>
        </w:rPr>
        <w:footnoteRef/>
      </w:r>
      <w:r w:rsidRPr="00666802">
        <w:rPr>
          <w:rFonts w:cs="Arial"/>
          <w:color w:val="77328A"/>
          <w:sz w:val="16"/>
          <w:szCs w:val="16"/>
          <w:vertAlign w:val="superscript"/>
        </w:rPr>
        <w:t xml:space="preserve"> </w:t>
      </w:r>
      <w:r w:rsidRPr="00666802">
        <w:rPr>
          <w:rFonts w:cs="Arial"/>
          <w:color w:val="77328A"/>
          <w:sz w:val="16"/>
          <w:szCs w:val="16"/>
        </w:rPr>
        <w:t xml:space="preserve">The Executive Office, ‘Human Rights Impact Assessment </w:t>
      </w:r>
      <w:r w:rsidR="00E648EB" w:rsidRPr="00666802">
        <w:rPr>
          <w:rFonts w:cs="Arial"/>
          <w:color w:val="77328A"/>
          <w:sz w:val="16"/>
          <w:szCs w:val="16"/>
        </w:rPr>
        <w:t xml:space="preserve">Proforma’. Available at: </w:t>
      </w:r>
      <w:hyperlink r:id="rId1" w:history="1">
        <w:r w:rsidR="00EB63F8" w:rsidRPr="00666802">
          <w:rPr>
            <w:rFonts w:cs="Arial"/>
            <w:color w:val="77328A"/>
            <w:sz w:val="16"/>
            <w:szCs w:val="16"/>
          </w:rPr>
          <w:t>Human Rights Impact Assessment proforma | The Executive Office (executiveoffice-ni.gov.uk)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981"/>
    <w:multiLevelType w:val="hybridMultilevel"/>
    <w:tmpl w:val="3B1C05D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91047"/>
    <w:multiLevelType w:val="hybridMultilevel"/>
    <w:tmpl w:val="BABC48B6"/>
    <w:lvl w:ilvl="0" w:tplc="3B00F40A">
      <w:start w:val="1"/>
      <w:numFmt w:val="decimal"/>
      <w:pStyle w:val="Heading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C7FEC"/>
    <w:multiLevelType w:val="hybridMultilevel"/>
    <w:tmpl w:val="360E08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0A114E"/>
    <w:multiLevelType w:val="multilevel"/>
    <w:tmpl w:val="1BDC168C"/>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 w15:restartNumberingAfterBreak="0">
    <w:nsid w:val="061C7E0A"/>
    <w:multiLevelType w:val="hybridMultilevel"/>
    <w:tmpl w:val="1EEA5884"/>
    <w:lvl w:ilvl="0" w:tplc="08090017">
      <w:start w:val="1"/>
      <w:numFmt w:val="lowerLetter"/>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5" w15:restartNumberingAfterBreak="0">
    <w:nsid w:val="13D74158"/>
    <w:multiLevelType w:val="hybridMultilevel"/>
    <w:tmpl w:val="378A0B9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6" w15:restartNumberingAfterBreak="0">
    <w:nsid w:val="160611FA"/>
    <w:multiLevelType w:val="hybridMultilevel"/>
    <w:tmpl w:val="C5F2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180B86"/>
    <w:multiLevelType w:val="hybridMultilevel"/>
    <w:tmpl w:val="90FEE25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FFB2308"/>
    <w:multiLevelType w:val="multilevel"/>
    <w:tmpl w:val="592A243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0" w15:restartNumberingAfterBreak="0">
    <w:nsid w:val="200F13CD"/>
    <w:multiLevelType w:val="multilevel"/>
    <w:tmpl w:val="39E6A5B2"/>
    <w:lvl w:ilvl="0">
      <w:start w:val="3"/>
      <w:numFmt w:val="decimal"/>
      <w:lvlText w:val="%1.0"/>
      <w:lvlJc w:val="left"/>
      <w:pPr>
        <w:ind w:left="720" w:hanging="720"/>
      </w:pPr>
      <w:rPr>
        <w:rFonts w:hint="default"/>
      </w:rPr>
    </w:lvl>
    <w:lvl w:ilvl="1">
      <w:numFmt w:val="decimal"/>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3B137D"/>
    <w:multiLevelType w:val="hybridMultilevel"/>
    <w:tmpl w:val="ABC66DCC"/>
    <w:lvl w:ilvl="0" w:tplc="12FA65BC">
      <w:start w:val="1"/>
      <w:numFmt w:val="lowerLetter"/>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CBF5D7C"/>
    <w:multiLevelType w:val="multilevel"/>
    <w:tmpl w:val="436E418A"/>
    <w:lvl w:ilvl="0">
      <w:start w:val="3"/>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14" w15:restartNumberingAfterBreak="0">
    <w:nsid w:val="2D7D5188"/>
    <w:multiLevelType w:val="multilevel"/>
    <w:tmpl w:val="329CE398"/>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5" w15:restartNumberingAfterBreak="0">
    <w:nsid w:val="30CF4053"/>
    <w:multiLevelType w:val="hybridMultilevel"/>
    <w:tmpl w:val="5DF6FAE2"/>
    <w:lvl w:ilvl="0" w:tplc="12FA65B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094A68"/>
    <w:multiLevelType w:val="multilevel"/>
    <w:tmpl w:val="827C349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CBB786D"/>
    <w:multiLevelType w:val="multilevel"/>
    <w:tmpl w:val="80049FE0"/>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4D224682"/>
    <w:multiLevelType w:val="hybridMultilevel"/>
    <w:tmpl w:val="57A248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AE5959"/>
    <w:multiLevelType w:val="hybridMultilevel"/>
    <w:tmpl w:val="D86410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E7E6D6F"/>
    <w:multiLevelType w:val="hybridMultilevel"/>
    <w:tmpl w:val="05D2C7A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F1781A"/>
    <w:multiLevelType w:val="multilevel"/>
    <w:tmpl w:val="F5601DBE"/>
    <w:lvl w:ilvl="0">
      <w:start w:val="4"/>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634058FA"/>
    <w:multiLevelType w:val="hybridMultilevel"/>
    <w:tmpl w:val="77B49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57202D"/>
    <w:multiLevelType w:val="multilevel"/>
    <w:tmpl w:val="38685F8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7" w15:restartNumberingAfterBreak="0">
    <w:nsid w:val="656B7983"/>
    <w:multiLevelType w:val="multilevel"/>
    <w:tmpl w:val="2ABCF858"/>
    <w:lvl w:ilvl="0">
      <w:start w:val="1"/>
      <w:numFmt w:val="decimal"/>
      <w:lvlText w:val="%1.0"/>
      <w:lvlJc w:val="left"/>
      <w:pPr>
        <w:ind w:left="720" w:hanging="720"/>
      </w:pPr>
      <w:rPr>
        <w:rFonts w:hint="default"/>
      </w:rPr>
    </w:lvl>
    <w:lvl w:ilvl="1">
      <w:numFmt w:val="decimal"/>
      <w:lvlText w:val="%1.%2"/>
      <w:lvlJc w:val="left"/>
      <w:pPr>
        <w:ind w:left="72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8" w15:restartNumberingAfterBreak="0">
    <w:nsid w:val="6A464472"/>
    <w:multiLevelType w:val="multilevel"/>
    <w:tmpl w:val="C2166B60"/>
    <w:lvl w:ilvl="0">
      <w:start w:val="1"/>
      <w:numFmt w:val="decimal"/>
      <w:lvlText w:val="%1.0"/>
      <w:lvlJc w:val="left"/>
      <w:pPr>
        <w:ind w:left="720" w:hanging="720"/>
      </w:pPr>
      <w:rPr>
        <w:rFonts w:hint="default"/>
        <w:color w:val="77328A"/>
      </w:rPr>
    </w:lvl>
    <w:lvl w:ilv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9" w15:restartNumberingAfterBreak="0">
    <w:nsid w:val="6EEE5D34"/>
    <w:multiLevelType w:val="multilevel"/>
    <w:tmpl w:val="B066AC50"/>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0" w15:restartNumberingAfterBreak="0">
    <w:nsid w:val="7152285C"/>
    <w:multiLevelType w:val="hybridMultilevel"/>
    <w:tmpl w:val="306C1C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D83C24"/>
    <w:multiLevelType w:val="hybridMultilevel"/>
    <w:tmpl w:val="F640AA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7D1C6125"/>
    <w:multiLevelType w:val="multilevel"/>
    <w:tmpl w:val="3A24D64C"/>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4" w15:restartNumberingAfterBreak="0">
    <w:nsid w:val="7D5E62E9"/>
    <w:multiLevelType w:val="multilevel"/>
    <w:tmpl w:val="51220ACA"/>
    <w:lvl w:ilvl="0">
      <w:start w:val="5"/>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E552FA"/>
    <w:multiLevelType w:val="multilevel"/>
    <w:tmpl w:val="73E2043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23"/>
  </w:num>
  <w:num w:numId="2">
    <w:abstractNumId w:val="35"/>
  </w:num>
  <w:num w:numId="3">
    <w:abstractNumId w:val="7"/>
  </w:num>
  <w:num w:numId="4">
    <w:abstractNumId w:val="16"/>
  </w:num>
  <w:num w:numId="5">
    <w:abstractNumId w:val="31"/>
  </w:num>
  <w:num w:numId="6">
    <w:abstractNumId w:val="11"/>
  </w:num>
  <w:num w:numId="7">
    <w:abstractNumId w:val="17"/>
  </w:num>
  <w:num w:numId="8">
    <w:abstractNumId w:val="27"/>
  </w:num>
  <w:num w:numId="9">
    <w:abstractNumId w:val="6"/>
  </w:num>
  <w:num w:numId="10">
    <w:abstractNumId w:val="36"/>
  </w:num>
  <w:num w:numId="11">
    <w:abstractNumId w:val="19"/>
  </w:num>
  <w:num w:numId="12">
    <w:abstractNumId w:val="13"/>
  </w:num>
  <w:num w:numId="13">
    <w:abstractNumId w:val="28"/>
  </w:num>
  <w:num w:numId="14">
    <w:abstractNumId w:val="5"/>
  </w:num>
  <w:num w:numId="15">
    <w:abstractNumId w:val="32"/>
  </w:num>
  <w:num w:numId="16">
    <w:abstractNumId w:val="30"/>
  </w:num>
  <w:num w:numId="17">
    <w:abstractNumId w:val="21"/>
  </w:num>
  <w:num w:numId="18">
    <w:abstractNumId w:val="15"/>
  </w:num>
  <w:num w:numId="19">
    <w:abstractNumId w:val="12"/>
  </w:num>
  <w:num w:numId="20">
    <w:abstractNumId w:val="4"/>
  </w:num>
  <w:num w:numId="21">
    <w:abstractNumId w:val="0"/>
  </w:num>
  <w:num w:numId="22">
    <w:abstractNumId w:val="22"/>
  </w:num>
  <w:num w:numId="23">
    <w:abstractNumId w:val="20"/>
  </w:num>
  <w:num w:numId="24">
    <w:abstractNumId w:val="8"/>
  </w:num>
  <w:num w:numId="25">
    <w:abstractNumId w:val="34"/>
  </w:num>
  <w:num w:numId="26">
    <w:abstractNumId w:val="2"/>
  </w:num>
  <w:num w:numId="27">
    <w:abstractNumId w:val="1"/>
  </w:num>
  <w:num w:numId="28">
    <w:abstractNumId w:val="1"/>
    <w:lvlOverride w:ilvl="0">
      <w:startOverride w:val="2"/>
    </w:lvlOverride>
  </w:num>
  <w:num w:numId="29">
    <w:abstractNumId w:val="10"/>
  </w:num>
  <w:num w:numId="30">
    <w:abstractNumId w:val="1"/>
    <w:lvlOverride w:ilvl="0">
      <w:startOverride w:val="4"/>
    </w:lvlOverride>
  </w:num>
  <w:num w:numId="31">
    <w:abstractNumId w:val="26"/>
  </w:num>
  <w:num w:numId="32">
    <w:abstractNumId w:val="18"/>
  </w:num>
  <w:num w:numId="33">
    <w:abstractNumId w:val="29"/>
  </w:num>
  <w:num w:numId="34">
    <w:abstractNumId w:val="24"/>
  </w:num>
  <w:num w:numId="35">
    <w:abstractNumId w:val="3"/>
  </w:num>
  <w:num w:numId="36">
    <w:abstractNumId w:val="14"/>
  </w:num>
  <w:num w:numId="37">
    <w:abstractNumId w:val="33"/>
  </w:num>
  <w:num w:numId="38">
    <w:abstractNumId w:val="9"/>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001F16"/>
    <w:rsid w:val="00011603"/>
    <w:rsid w:val="00011EB9"/>
    <w:rsid w:val="00014BC9"/>
    <w:rsid w:val="00015239"/>
    <w:rsid w:val="00027DCB"/>
    <w:rsid w:val="00027FAC"/>
    <w:rsid w:val="000304C3"/>
    <w:rsid w:val="00030F45"/>
    <w:rsid w:val="0003540D"/>
    <w:rsid w:val="0003582D"/>
    <w:rsid w:val="00046705"/>
    <w:rsid w:val="000475AC"/>
    <w:rsid w:val="00047FE8"/>
    <w:rsid w:val="0005379E"/>
    <w:rsid w:val="00061CE9"/>
    <w:rsid w:val="00086A67"/>
    <w:rsid w:val="000A11FB"/>
    <w:rsid w:val="000A1BB2"/>
    <w:rsid w:val="000B01A1"/>
    <w:rsid w:val="000B34A9"/>
    <w:rsid w:val="000B6078"/>
    <w:rsid w:val="000C7396"/>
    <w:rsid w:val="000C73A5"/>
    <w:rsid w:val="000D1239"/>
    <w:rsid w:val="000D32E9"/>
    <w:rsid w:val="000E1F61"/>
    <w:rsid w:val="000E3B26"/>
    <w:rsid w:val="000E5BE4"/>
    <w:rsid w:val="000E7DE4"/>
    <w:rsid w:val="000E7F0C"/>
    <w:rsid w:val="000F2CC6"/>
    <w:rsid w:val="00105E91"/>
    <w:rsid w:val="001114AB"/>
    <w:rsid w:val="001124F9"/>
    <w:rsid w:val="00133A84"/>
    <w:rsid w:val="00136B7E"/>
    <w:rsid w:val="001520AA"/>
    <w:rsid w:val="00162722"/>
    <w:rsid w:val="001706CE"/>
    <w:rsid w:val="00173AF1"/>
    <w:rsid w:val="00177D52"/>
    <w:rsid w:val="00184660"/>
    <w:rsid w:val="00184FC2"/>
    <w:rsid w:val="00192091"/>
    <w:rsid w:val="0019491B"/>
    <w:rsid w:val="00196712"/>
    <w:rsid w:val="001A7A91"/>
    <w:rsid w:val="001B05E6"/>
    <w:rsid w:val="001C5EE3"/>
    <w:rsid w:val="001D2DAA"/>
    <w:rsid w:val="001D3277"/>
    <w:rsid w:val="001E2A1A"/>
    <w:rsid w:val="001E3563"/>
    <w:rsid w:val="001E79A9"/>
    <w:rsid w:val="001E7FFD"/>
    <w:rsid w:val="001F69EA"/>
    <w:rsid w:val="0020383D"/>
    <w:rsid w:val="00204848"/>
    <w:rsid w:val="00207E86"/>
    <w:rsid w:val="002110AF"/>
    <w:rsid w:val="00213B8A"/>
    <w:rsid w:val="00221F46"/>
    <w:rsid w:val="002238A3"/>
    <w:rsid w:val="00224140"/>
    <w:rsid w:val="002351CB"/>
    <w:rsid w:val="002409FB"/>
    <w:rsid w:val="00241396"/>
    <w:rsid w:val="002428EC"/>
    <w:rsid w:val="00243AE2"/>
    <w:rsid w:val="002539B8"/>
    <w:rsid w:val="00261E9A"/>
    <w:rsid w:val="00264009"/>
    <w:rsid w:val="002709CA"/>
    <w:rsid w:val="00272377"/>
    <w:rsid w:val="00291C0B"/>
    <w:rsid w:val="0029490B"/>
    <w:rsid w:val="002A28D1"/>
    <w:rsid w:val="002A67BF"/>
    <w:rsid w:val="002B1272"/>
    <w:rsid w:val="002C00A2"/>
    <w:rsid w:val="002C5044"/>
    <w:rsid w:val="002D1882"/>
    <w:rsid w:val="002E201C"/>
    <w:rsid w:val="00301A2C"/>
    <w:rsid w:val="00306317"/>
    <w:rsid w:val="00313333"/>
    <w:rsid w:val="00315C4B"/>
    <w:rsid w:val="00324509"/>
    <w:rsid w:val="00331C61"/>
    <w:rsid w:val="003348FC"/>
    <w:rsid w:val="003416D1"/>
    <w:rsid w:val="00341BFE"/>
    <w:rsid w:val="0034616D"/>
    <w:rsid w:val="00356DB5"/>
    <w:rsid w:val="0035787C"/>
    <w:rsid w:val="003622A2"/>
    <w:rsid w:val="00364F7C"/>
    <w:rsid w:val="003664FB"/>
    <w:rsid w:val="00367CCA"/>
    <w:rsid w:val="003833F7"/>
    <w:rsid w:val="00397562"/>
    <w:rsid w:val="003A1CAC"/>
    <w:rsid w:val="003B081B"/>
    <w:rsid w:val="003B216D"/>
    <w:rsid w:val="003B4778"/>
    <w:rsid w:val="003B77F3"/>
    <w:rsid w:val="003B7D0E"/>
    <w:rsid w:val="003C134D"/>
    <w:rsid w:val="003C7DB5"/>
    <w:rsid w:val="003D09D2"/>
    <w:rsid w:val="003D331C"/>
    <w:rsid w:val="003D3B82"/>
    <w:rsid w:val="003E0DE9"/>
    <w:rsid w:val="003E657D"/>
    <w:rsid w:val="003F1C7A"/>
    <w:rsid w:val="004043F8"/>
    <w:rsid w:val="00413D08"/>
    <w:rsid w:val="00421FD9"/>
    <w:rsid w:val="00426B2D"/>
    <w:rsid w:val="00432F17"/>
    <w:rsid w:val="004360C9"/>
    <w:rsid w:val="00447B3A"/>
    <w:rsid w:val="0045303B"/>
    <w:rsid w:val="00462255"/>
    <w:rsid w:val="00463D6B"/>
    <w:rsid w:val="00466A2E"/>
    <w:rsid w:val="004672AC"/>
    <w:rsid w:val="00471B64"/>
    <w:rsid w:val="00474728"/>
    <w:rsid w:val="00477B56"/>
    <w:rsid w:val="00484889"/>
    <w:rsid w:val="00486492"/>
    <w:rsid w:val="00497D01"/>
    <w:rsid w:val="004A787C"/>
    <w:rsid w:val="004A7FA8"/>
    <w:rsid w:val="004C2E2D"/>
    <w:rsid w:val="004C683C"/>
    <w:rsid w:val="004C7E4D"/>
    <w:rsid w:val="004D2ED2"/>
    <w:rsid w:val="004D592E"/>
    <w:rsid w:val="004E6954"/>
    <w:rsid w:val="004E73C0"/>
    <w:rsid w:val="004F36C3"/>
    <w:rsid w:val="005061A0"/>
    <w:rsid w:val="005109F5"/>
    <w:rsid w:val="005120F7"/>
    <w:rsid w:val="0051793C"/>
    <w:rsid w:val="005230E2"/>
    <w:rsid w:val="00535EA8"/>
    <w:rsid w:val="00537EB2"/>
    <w:rsid w:val="00542284"/>
    <w:rsid w:val="00552293"/>
    <w:rsid w:val="0055550A"/>
    <w:rsid w:val="00563B92"/>
    <w:rsid w:val="005651FC"/>
    <w:rsid w:val="00566574"/>
    <w:rsid w:val="00571313"/>
    <w:rsid w:val="00581524"/>
    <w:rsid w:val="00591771"/>
    <w:rsid w:val="005A4262"/>
    <w:rsid w:val="005B0B2A"/>
    <w:rsid w:val="005B723E"/>
    <w:rsid w:val="005C79AC"/>
    <w:rsid w:val="005E34F4"/>
    <w:rsid w:val="005F17D2"/>
    <w:rsid w:val="005F3CF8"/>
    <w:rsid w:val="005F6094"/>
    <w:rsid w:val="00601E50"/>
    <w:rsid w:val="006120E4"/>
    <w:rsid w:val="00627062"/>
    <w:rsid w:val="006270CA"/>
    <w:rsid w:val="006279A5"/>
    <w:rsid w:val="006345D6"/>
    <w:rsid w:val="00650208"/>
    <w:rsid w:val="00656ECD"/>
    <w:rsid w:val="0066433D"/>
    <w:rsid w:val="00666802"/>
    <w:rsid w:val="0067610A"/>
    <w:rsid w:val="00691575"/>
    <w:rsid w:val="006930E1"/>
    <w:rsid w:val="006A0174"/>
    <w:rsid w:val="006A2DFC"/>
    <w:rsid w:val="006A5696"/>
    <w:rsid w:val="006B1612"/>
    <w:rsid w:val="006C42EE"/>
    <w:rsid w:val="006D4C3F"/>
    <w:rsid w:val="006E0450"/>
    <w:rsid w:val="006E30C4"/>
    <w:rsid w:val="006F75AE"/>
    <w:rsid w:val="00703B5B"/>
    <w:rsid w:val="00705833"/>
    <w:rsid w:val="00706516"/>
    <w:rsid w:val="007144A9"/>
    <w:rsid w:val="0072114D"/>
    <w:rsid w:val="0072171C"/>
    <w:rsid w:val="00721ED3"/>
    <w:rsid w:val="00722717"/>
    <w:rsid w:val="00723444"/>
    <w:rsid w:val="007247E6"/>
    <w:rsid w:val="007268E3"/>
    <w:rsid w:val="00741E4A"/>
    <w:rsid w:val="007430A9"/>
    <w:rsid w:val="007437FD"/>
    <w:rsid w:val="0074527B"/>
    <w:rsid w:val="00746E8A"/>
    <w:rsid w:val="00756859"/>
    <w:rsid w:val="007569C1"/>
    <w:rsid w:val="00775968"/>
    <w:rsid w:val="007836A4"/>
    <w:rsid w:val="0078607A"/>
    <w:rsid w:val="007A3360"/>
    <w:rsid w:val="007A3E84"/>
    <w:rsid w:val="007A6272"/>
    <w:rsid w:val="007B1A66"/>
    <w:rsid w:val="007B45D6"/>
    <w:rsid w:val="007D001F"/>
    <w:rsid w:val="007D2F27"/>
    <w:rsid w:val="007D73D9"/>
    <w:rsid w:val="007E239A"/>
    <w:rsid w:val="007E3CE8"/>
    <w:rsid w:val="007F266D"/>
    <w:rsid w:val="007F2AF0"/>
    <w:rsid w:val="00802F2B"/>
    <w:rsid w:val="00810BCF"/>
    <w:rsid w:val="00812D47"/>
    <w:rsid w:val="00812E1C"/>
    <w:rsid w:val="008159E8"/>
    <w:rsid w:val="0083404E"/>
    <w:rsid w:val="00847FB5"/>
    <w:rsid w:val="00853A1C"/>
    <w:rsid w:val="0087161B"/>
    <w:rsid w:val="00872187"/>
    <w:rsid w:val="00875E68"/>
    <w:rsid w:val="008808D2"/>
    <w:rsid w:val="00885B1F"/>
    <w:rsid w:val="00892EA3"/>
    <w:rsid w:val="008A063F"/>
    <w:rsid w:val="008A1B3D"/>
    <w:rsid w:val="008A235B"/>
    <w:rsid w:val="008A2E86"/>
    <w:rsid w:val="008A76C1"/>
    <w:rsid w:val="008B0826"/>
    <w:rsid w:val="008B0A4E"/>
    <w:rsid w:val="008B1055"/>
    <w:rsid w:val="008B17C7"/>
    <w:rsid w:val="008B25FD"/>
    <w:rsid w:val="008B2D02"/>
    <w:rsid w:val="008C3F35"/>
    <w:rsid w:val="008C5C88"/>
    <w:rsid w:val="008D23D1"/>
    <w:rsid w:val="008D7C32"/>
    <w:rsid w:val="008E5DC0"/>
    <w:rsid w:val="008F708E"/>
    <w:rsid w:val="00913895"/>
    <w:rsid w:val="009219AD"/>
    <w:rsid w:val="00932628"/>
    <w:rsid w:val="0093330F"/>
    <w:rsid w:val="00937CE8"/>
    <w:rsid w:val="0094020E"/>
    <w:rsid w:val="00942400"/>
    <w:rsid w:val="00945D21"/>
    <w:rsid w:val="0096022D"/>
    <w:rsid w:val="00962B2B"/>
    <w:rsid w:val="0096459E"/>
    <w:rsid w:val="00970699"/>
    <w:rsid w:val="00970D44"/>
    <w:rsid w:val="009837D3"/>
    <w:rsid w:val="00983AE6"/>
    <w:rsid w:val="00986837"/>
    <w:rsid w:val="00987058"/>
    <w:rsid w:val="00991F97"/>
    <w:rsid w:val="009962B4"/>
    <w:rsid w:val="00996780"/>
    <w:rsid w:val="009C6538"/>
    <w:rsid w:val="009C6E70"/>
    <w:rsid w:val="009D2352"/>
    <w:rsid w:val="009D39FB"/>
    <w:rsid w:val="009D4879"/>
    <w:rsid w:val="009D763F"/>
    <w:rsid w:val="009D7EEE"/>
    <w:rsid w:val="009F041E"/>
    <w:rsid w:val="00A07CA8"/>
    <w:rsid w:val="00A156DB"/>
    <w:rsid w:val="00A27C98"/>
    <w:rsid w:val="00A33337"/>
    <w:rsid w:val="00A349F7"/>
    <w:rsid w:val="00A37749"/>
    <w:rsid w:val="00A410C1"/>
    <w:rsid w:val="00A436A9"/>
    <w:rsid w:val="00A47C9B"/>
    <w:rsid w:val="00A7610F"/>
    <w:rsid w:val="00A8030E"/>
    <w:rsid w:val="00A8382E"/>
    <w:rsid w:val="00A900BB"/>
    <w:rsid w:val="00A930BF"/>
    <w:rsid w:val="00AA4FFA"/>
    <w:rsid w:val="00AA5421"/>
    <w:rsid w:val="00AC2066"/>
    <w:rsid w:val="00AD0001"/>
    <w:rsid w:val="00AE3763"/>
    <w:rsid w:val="00B162EB"/>
    <w:rsid w:val="00B250D6"/>
    <w:rsid w:val="00B264A5"/>
    <w:rsid w:val="00B30586"/>
    <w:rsid w:val="00B333B0"/>
    <w:rsid w:val="00B33793"/>
    <w:rsid w:val="00B36137"/>
    <w:rsid w:val="00B37A5F"/>
    <w:rsid w:val="00B6585A"/>
    <w:rsid w:val="00B81F29"/>
    <w:rsid w:val="00B83E2B"/>
    <w:rsid w:val="00B853F1"/>
    <w:rsid w:val="00B9278D"/>
    <w:rsid w:val="00B96D34"/>
    <w:rsid w:val="00BA05DF"/>
    <w:rsid w:val="00BA11D3"/>
    <w:rsid w:val="00BA59C1"/>
    <w:rsid w:val="00BA650B"/>
    <w:rsid w:val="00BB1633"/>
    <w:rsid w:val="00BB32F0"/>
    <w:rsid w:val="00BB3673"/>
    <w:rsid w:val="00BB4526"/>
    <w:rsid w:val="00BB6599"/>
    <w:rsid w:val="00BC4539"/>
    <w:rsid w:val="00BC4718"/>
    <w:rsid w:val="00BD136E"/>
    <w:rsid w:val="00BD78C3"/>
    <w:rsid w:val="00BE1836"/>
    <w:rsid w:val="00BE5849"/>
    <w:rsid w:val="00BF3113"/>
    <w:rsid w:val="00C10A29"/>
    <w:rsid w:val="00C23245"/>
    <w:rsid w:val="00C25871"/>
    <w:rsid w:val="00C2725D"/>
    <w:rsid w:val="00C42D0C"/>
    <w:rsid w:val="00C4476B"/>
    <w:rsid w:val="00C479A3"/>
    <w:rsid w:val="00C55F5B"/>
    <w:rsid w:val="00C608CC"/>
    <w:rsid w:val="00C7172C"/>
    <w:rsid w:val="00C750DD"/>
    <w:rsid w:val="00C75EE7"/>
    <w:rsid w:val="00C76E49"/>
    <w:rsid w:val="00C80075"/>
    <w:rsid w:val="00C80097"/>
    <w:rsid w:val="00C84E98"/>
    <w:rsid w:val="00C95496"/>
    <w:rsid w:val="00C97CFA"/>
    <w:rsid w:val="00CA24C0"/>
    <w:rsid w:val="00CA4936"/>
    <w:rsid w:val="00CA520E"/>
    <w:rsid w:val="00CB32D5"/>
    <w:rsid w:val="00CB66BB"/>
    <w:rsid w:val="00CC0E72"/>
    <w:rsid w:val="00CD280A"/>
    <w:rsid w:val="00CE3039"/>
    <w:rsid w:val="00CE7A56"/>
    <w:rsid w:val="00CF0261"/>
    <w:rsid w:val="00D12EF8"/>
    <w:rsid w:val="00D14C22"/>
    <w:rsid w:val="00D16532"/>
    <w:rsid w:val="00D166BD"/>
    <w:rsid w:val="00D20355"/>
    <w:rsid w:val="00D21D65"/>
    <w:rsid w:val="00D243A1"/>
    <w:rsid w:val="00D271BD"/>
    <w:rsid w:val="00D2770F"/>
    <w:rsid w:val="00D27811"/>
    <w:rsid w:val="00D33BCD"/>
    <w:rsid w:val="00D36953"/>
    <w:rsid w:val="00D37281"/>
    <w:rsid w:val="00D45A5F"/>
    <w:rsid w:val="00D65080"/>
    <w:rsid w:val="00D6581C"/>
    <w:rsid w:val="00D721E0"/>
    <w:rsid w:val="00D802F9"/>
    <w:rsid w:val="00D87F7E"/>
    <w:rsid w:val="00D94A78"/>
    <w:rsid w:val="00DB00C4"/>
    <w:rsid w:val="00DB1B37"/>
    <w:rsid w:val="00DD3300"/>
    <w:rsid w:val="00DE5FFE"/>
    <w:rsid w:val="00DF7118"/>
    <w:rsid w:val="00E0031C"/>
    <w:rsid w:val="00E07D4F"/>
    <w:rsid w:val="00E17B09"/>
    <w:rsid w:val="00E21252"/>
    <w:rsid w:val="00E23E45"/>
    <w:rsid w:val="00E309A6"/>
    <w:rsid w:val="00E355D5"/>
    <w:rsid w:val="00E37150"/>
    <w:rsid w:val="00E377BE"/>
    <w:rsid w:val="00E446CB"/>
    <w:rsid w:val="00E44E0C"/>
    <w:rsid w:val="00E451B5"/>
    <w:rsid w:val="00E45BA8"/>
    <w:rsid w:val="00E575C3"/>
    <w:rsid w:val="00E6236C"/>
    <w:rsid w:val="00E644A2"/>
    <w:rsid w:val="00E648EB"/>
    <w:rsid w:val="00E64F33"/>
    <w:rsid w:val="00E6640D"/>
    <w:rsid w:val="00E66856"/>
    <w:rsid w:val="00E7775F"/>
    <w:rsid w:val="00E816AF"/>
    <w:rsid w:val="00E9130E"/>
    <w:rsid w:val="00E94B15"/>
    <w:rsid w:val="00E94E9C"/>
    <w:rsid w:val="00E97D19"/>
    <w:rsid w:val="00EA12CE"/>
    <w:rsid w:val="00EA2BAC"/>
    <w:rsid w:val="00EA2EB7"/>
    <w:rsid w:val="00EA3C3D"/>
    <w:rsid w:val="00EA4562"/>
    <w:rsid w:val="00EB3578"/>
    <w:rsid w:val="00EB63F8"/>
    <w:rsid w:val="00EC7A45"/>
    <w:rsid w:val="00ED0B9B"/>
    <w:rsid w:val="00ED4188"/>
    <w:rsid w:val="00EF78CD"/>
    <w:rsid w:val="00F00800"/>
    <w:rsid w:val="00F04371"/>
    <w:rsid w:val="00F04647"/>
    <w:rsid w:val="00F05BFA"/>
    <w:rsid w:val="00F1339D"/>
    <w:rsid w:val="00F20721"/>
    <w:rsid w:val="00F21F2D"/>
    <w:rsid w:val="00F2662D"/>
    <w:rsid w:val="00F31387"/>
    <w:rsid w:val="00F322E3"/>
    <w:rsid w:val="00F3742B"/>
    <w:rsid w:val="00F4322D"/>
    <w:rsid w:val="00F43CE4"/>
    <w:rsid w:val="00F454E1"/>
    <w:rsid w:val="00F5104C"/>
    <w:rsid w:val="00F5217E"/>
    <w:rsid w:val="00F53CD5"/>
    <w:rsid w:val="00F56C78"/>
    <w:rsid w:val="00F70FBB"/>
    <w:rsid w:val="00F72157"/>
    <w:rsid w:val="00F74BE2"/>
    <w:rsid w:val="00F83EA0"/>
    <w:rsid w:val="00F8754A"/>
    <w:rsid w:val="00F90407"/>
    <w:rsid w:val="00F92400"/>
    <w:rsid w:val="00F9345A"/>
    <w:rsid w:val="00F95F3F"/>
    <w:rsid w:val="00FB4EB6"/>
    <w:rsid w:val="00FC06B4"/>
    <w:rsid w:val="00FC29FE"/>
    <w:rsid w:val="00FC2C22"/>
    <w:rsid w:val="00FC3B5B"/>
    <w:rsid w:val="00FC50FE"/>
    <w:rsid w:val="00FD26AC"/>
    <w:rsid w:val="00FE7082"/>
    <w:rsid w:val="00FF3CBA"/>
    <w:rsid w:val="00FF66F3"/>
    <w:rsid w:val="01F90EAE"/>
    <w:rsid w:val="04631B22"/>
    <w:rsid w:val="14E8FD78"/>
    <w:rsid w:val="1E019D35"/>
    <w:rsid w:val="271E6936"/>
    <w:rsid w:val="2A7237E8"/>
    <w:rsid w:val="2B669158"/>
    <w:rsid w:val="2F4F4FEA"/>
    <w:rsid w:val="3365AAE0"/>
    <w:rsid w:val="35D95690"/>
    <w:rsid w:val="360B33F6"/>
    <w:rsid w:val="40200195"/>
    <w:rsid w:val="43CAF889"/>
    <w:rsid w:val="4C326257"/>
    <w:rsid w:val="4CEE9AA2"/>
    <w:rsid w:val="539FA469"/>
    <w:rsid w:val="5E275533"/>
    <w:rsid w:val="674D006F"/>
    <w:rsid w:val="71784B85"/>
    <w:rsid w:val="74702B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C014C3"/>
  <w14:defaultImageDpi w14:val="300"/>
  <w15:docId w15:val="{B0A2C3DB-C2B4-40F3-B001-A74ADA3D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0DD"/>
    <w:pPr>
      <w:spacing w:line="288" w:lineRule="auto"/>
    </w:pPr>
    <w:rPr>
      <w:rFonts w:ascii="Verdana" w:hAnsi="Verdana"/>
    </w:rPr>
  </w:style>
  <w:style w:type="paragraph" w:styleId="Heading1">
    <w:name w:val="heading 1"/>
    <w:basedOn w:val="Normal"/>
    <w:next w:val="Normal"/>
    <w:link w:val="Heading1Char"/>
    <w:uiPriority w:val="9"/>
    <w:qFormat/>
    <w:rsid w:val="00A8382E"/>
    <w:pPr>
      <w:keepNext/>
      <w:keepLines/>
      <w:numPr>
        <w:numId w:val="27"/>
      </w:numPr>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C42D0C"/>
    <w:pPr>
      <w:keepNext/>
      <w:keepLines/>
      <w:spacing w:before="40"/>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FC06B4"/>
    <w:pPr>
      <w:tabs>
        <w:tab w:val="left" w:pos="284"/>
      </w:tabs>
      <w:spacing w:line="240" w:lineRule="auto"/>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015239"/>
    <w:pPr>
      <w:ind w:left="720"/>
      <w:contextualSpacing/>
    </w:pPr>
  </w:style>
  <w:style w:type="character" w:customStyle="1" w:styleId="Heading2Char">
    <w:name w:val="Heading 2 Char"/>
    <w:basedOn w:val="DefaultParagraphFont"/>
    <w:link w:val="Heading2"/>
    <w:uiPriority w:val="9"/>
    <w:rsid w:val="00C42D0C"/>
    <w:rPr>
      <w:rFonts w:ascii="Verdana" w:eastAsiaTheme="majorEastAsia" w:hAnsi="Verdana" w:cstheme="majorBidi"/>
      <w:b/>
      <w:szCs w:val="26"/>
    </w:rPr>
  </w:style>
  <w:style w:type="character" w:customStyle="1" w:styleId="Heading1Char">
    <w:name w:val="Heading 1 Char"/>
    <w:basedOn w:val="DefaultParagraphFont"/>
    <w:link w:val="Heading1"/>
    <w:uiPriority w:val="9"/>
    <w:rsid w:val="00A8382E"/>
    <w:rPr>
      <w:rFonts w:ascii="Verdana" w:eastAsiaTheme="majorEastAsia" w:hAnsi="Verdana" w:cstheme="majorBidi"/>
      <w:b/>
      <w:color w:val="77328A"/>
      <w:sz w:val="30"/>
      <w:szCs w:val="32"/>
    </w:rPr>
  </w:style>
  <w:style w:type="character" w:styleId="CommentReference">
    <w:name w:val="annotation reference"/>
    <w:basedOn w:val="DefaultParagraphFont"/>
    <w:uiPriority w:val="99"/>
    <w:semiHidden/>
    <w:unhideWhenUsed/>
    <w:rsid w:val="00F72157"/>
    <w:rPr>
      <w:rFonts w:cs="Times New Roman"/>
      <w:sz w:val="16"/>
      <w:szCs w:val="16"/>
    </w:rPr>
  </w:style>
  <w:style w:type="paragraph" w:styleId="CommentText">
    <w:name w:val="annotation text"/>
    <w:basedOn w:val="Normal"/>
    <w:link w:val="CommentTextChar"/>
    <w:uiPriority w:val="99"/>
    <w:unhideWhenUsed/>
    <w:rsid w:val="00F72157"/>
    <w:pPr>
      <w:spacing w:after="160"/>
    </w:pPr>
    <w:rPr>
      <w:rFonts w:eastAsia="Times New Roman" w:cs="Times New Roman"/>
      <w:sz w:val="20"/>
      <w:szCs w:val="20"/>
    </w:rPr>
  </w:style>
  <w:style w:type="character" w:customStyle="1" w:styleId="CommentTextChar">
    <w:name w:val="Comment Text Char"/>
    <w:basedOn w:val="DefaultParagraphFont"/>
    <w:link w:val="CommentText"/>
    <w:uiPriority w:val="99"/>
    <w:rsid w:val="00F72157"/>
    <w:rPr>
      <w:rFonts w:eastAsia="Times New Roman" w:cs="Times New Roman"/>
      <w:sz w:val="20"/>
      <w:szCs w:val="20"/>
    </w:rPr>
  </w:style>
  <w:style w:type="paragraph" w:styleId="Quote">
    <w:name w:val="Quote"/>
    <w:basedOn w:val="Normal"/>
    <w:next w:val="Normal"/>
    <w:link w:val="QuoteChar"/>
    <w:uiPriority w:val="29"/>
    <w:qFormat/>
    <w:rsid w:val="00C750DD"/>
    <w:pPr>
      <w:ind w:left="1440" w:right="1440"/>
    </w:pPr>
    <w:rPr>
      <w:iCs/>
    </w:rPr>
  </w:style>
  <w:style w:type="character" w:customStyle="1" w:styleId="QuoteChar">
    <w:name w:val="Quote Char"/>
    <w:basedOn w:val="DefaultParagraphFont"/>
    <w:link w:val="Quote"/>
    <w:uiPriority w:val="29"/>
    <w:rsid w:val="00C750DD"/>
    <w:rPr>
      <w:rFonts w:ascii="Verdana" w:hAnsi="Verdana"/>
      <w:iCs/>
    </w:rPr>
  </w:style>
  <w:style w:type="paragraph" w:styleId="TOCHeading">
    <w:name w:val="TOC Heading"/>
    <w:basedOn w:val="Heading1"/>
    <w:next w:val="Normal"/>
    <w:uiPriority w:val="39"/>
    <w:unhideWhenUsed/>
    <w:qFormat/>
    <w:rsid w:val="000A1BB2"/>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0A1BB2"/>
    <w:pPr>
      <w:spacing w:after="100"/>
    </w:pPr>
  </w:style>
  <w:style w:type="paragraph" w:styleId="TOC2">
    <w:name w:val="toc 2"/>
    <w:basedOn w:val="Normal"/>
    <w:next w:val="Normal"/>
    <w:autoRedefine/>
    <w:uiPriority w:val="39"/>
    <w:unhideWhenUsed/>
    <w:rsid w:val="000A1BB2"/>
    <w:pPr>
      <w:spacing w:after="100"/>
      <w:ind w:left="240"/>
    </w:pPr>
  </w:style>
  <w:style w:type="paragraph" w:styleId="CommentSubject">
    <w:name w:val="annotation subject"/>
    <w:basedOn w:val="CommentText"/>
    <w:next w:val="CommentText"/>
    <w:link w:val="CommentSubjectChar"/>
    <w:uiPriority w:val="99"/>
    <w:semiHidden/>
    <w:unhideWhenUsed/>
    <w:rsid w:val="00892EA3"/>
    <w:pPr>
      <w:spacing w:after="0"/>
    </w:pPr>
    <w:rPr>
      <w:rFonts w:eastAsiaTheme="minorEastAsia" w:cstheme="minorBidi"/>
      <w:b/>
      <w:bCs/>
    </w:rPr>
  </w:style>
  <w:style w:type="character" w:customStyle="1" w:styleId="CommentSubjectChar">
    <w:name w:val="Comment Subject Char"/>
    <w:basedOn w:val="CommentTextChar"/>
    <w:link w:val="CommentSubject"/>
    <w:uiPriority w:val="99"/>
    <w:semiHidden/>
    <w:rsid w:val="00892EA3"/>
    <w:rPr>
      <w:rFonts w:eastAsia="Times New Roman" w:cs="Times New Roman"/>
      <w:b/>
      <w:bCs/>
      <w:sz w:val="20"/>
      <w:szCs w:val="20"/>
    </w:rPr>
  </w:style>
  <w:style w:type="paragraph" w:styleId="Revision">
    <w:name w:val="Revision"/>
    <w:hidden/>
    <w:uiPriority w:val="99"/>
    <w:semiHidden/>
    <w:rsid w:val="00272377"/>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8B25FD"/>
    <w:pPr>
      <w:spacing w:line="240" w:lineRule="exact"/>
      <w:jc w:val="both"/>
    </w:pPr>
    <w:rPr>
      <w:vertAlign w:val="superscript"/>
    </w:rPr>
  </w:style>
  <w:style w:type="character" w:customStyle="1" w:styleId="Mention1">
    <w:name w:val="Mention1"/>
    <w:basedOn w:val="DefaultParagraphFont"/>
    <w:uiPriority w:val="99"/>
    <w:unhideWhenUsed/>
    <w:rsid w:val="006F75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93336">
      <w:bodyDiv w:val="1"/>
      <w:marLeft w:val="0"/>
      <w:marRight w:val="0"/>
      <w:marTop w:val="0"/>
      <w:marBottom w:val="0"/>
      <w:divBdr>
        <w:top w:val="none" w:sz="0" w:space="0" w:color="auto"/>
        <w:left w:val="none" w:sz="0" w:space="0" w:color="auto"/>
        <w:bottom w:val="none" w:sz="0" w:space="0" w:color="auto"/>
        <w:right w:val="none" w:sz="0" w:space="0" w:color="auto"/>
      </w:divBdr>
    </w:div>
    <w:div w:id="547033421">
      <w:bodyDiv w:val="1"/>
      <w:marLeft w:val="0"/>
      <w:marRight w:val="0"/>
      <w:marTop w:val="0"/>
      <w:marBottom w:val="0"/>
      <w:divBdr>
        <w:top w:val="none" w:sz="0" w:space="0" w:color="auto"/>
        <w:left w:val="none" w:sz="0" w:space="0" w:color="auto"/>
        <w:bottom w:val="none" w:sz="0" w:space="0" w:color="auto"/>
        <w:right w:val="none" w:sz="0" w:space="0" w:color="auto"/>
      </w:divBdr>
    </w:div>
    <w:div w:id="869030044">
      <w:bodyDiv w:val="1"/>
      <w:marLeft w:val="0"/>
      <w:marRight w:val="0"/>
      <w:marTop w:val="0"/>
      <w:marBottom w:val="0"/>
      <w:divBdr>
        <w:top w:val="none" w:sz="0" w:space="0" w:color="auto"/>
        <w:left w:val="none" w:sz="0" w:space="0" w:color="auto"/>
        <w:bottom w:val="none" w:sz="0" w:space="0" w:color="auto"/>
        <w:right w:val="none" w:sz="0" w:space="0" w:color="auto"/>
      </w:divBdr>
    </w:div>
    <w:div w:id="912204715">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84314">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executiveoffice-ni.gov.uk/publications/human-rights-impact-assessment-profo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F899AC5F7C4C45BC8EF16AB4373A26" ma:contentTypeVersion="13" ma:contentTypeDescription="Create a new document." ma:contentTypeScope="" ma:versionID="44cf614f11596cfa60d671e12b79ef91">
  <xsd:schema xmlns:xsd="http://www.w3.org/2001/XMLSchema" xmlns:xs="http://www.w3.org/2001/XMLSchema" xmlns:p="http://schemas.microsoft.com/office/2006/metadata/properties" xmlns:ns3="1a27aaff-d31a-49f7-86dd-2acde9cae9cb" xmlns:ns4="0294a276-9c8c-4f8b-828e-ea5ddf8b436a" targetNamespace="http://schemas.microsoft.com/office/2006/metadata/properties" ma:root="true" ma:fieldsID="785861017e1f42623668a5b2a0d785e0" ns3:_="" ns4:_="">
    <xsd:import namespace="1a27aaff-d31a-49f7-86dd-2acde9cae9cb"/>
    <xsd:import namespace="0294a276-9c8c-4f8b-828e-ea5ddf8b43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7aaff-d31a-49f7-86dd-2acde9cae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4a276-9c8c-4f8b-828e-ea5ddf8b43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B6408-5DA1-446E-B581-F53C5ACE7B65}">
  <ds:schemaRefs>
    <ds:schemaRef ds:uri="http://schemas.microsoft.com/sharepoint/v3/contenttype/forms"/>
  </ds:schemaRefs>
</ds:datastoreItem>
</file>

<file path=customXml/itemProps2.xml><?xml version="1.0" encoding="utf-8"?>
<ds:datastoreItem xmlns:ds="http://schemas.openxmlformats.org/officeDocument/2006/customXml" ds:itemID="{B51BB63C-3C8F-4773-A22F-C9CF7B7B6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7aaff-d31a-49f7-86dd-2acde9cae9cb"/>
    <ds:schemaRef ds:uri="0294a276-9c8c-4f8b-828e-ea5ddf8b4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4FEA4-C5E5-43EB-A278-F637FCB88523}">
  <ds:schemaRefs>
    <ds:schemaRef ds:uri="0294a276-9c8c-4f8b-828e-ea5ddf8b436a"/>
    <ds:schemaRef ds:uri="http://purl.org/dc/elements/1.1/"/>
    <ds:schemaRef ds:uri="http://schemas.microsoft.com/office/2006/metadata/properties"/>
    <ds:schemaRef ds:uri="http://schemas.openxmlformats.org/package/2006/metadata/core-properties"/>
    <ds:schemaRef ds:uri="http://purl.org/dc/terms/"/>
    <ds:schemaRef ds:uri="1a27aaff-d31a-49f7-86dd-2acde9cae9cb"/>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D50DDC4-FA37-4546-88D8-6BFD8188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Lauren Shaw</cp:lastModifiedBy>
  <cp:revision>4</cp:revision>
  <cp:lastPrinted>2022-12-19T16:50:00Z</cp:lastPrinted>
  <dcterms:created xsi:type="dcterms:W3CDTF">2022-12-19T16:43:00Z</dcterms:created>
  <dcterms:modified xsi:type="dcterms:W3CDTF">2022-12-19T17:03:00Z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0x01010025F899AC5F7C4C45BC8EF16AB4373A26</vt:lpwstr>
  </property>
</Properties>
</file>