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D311E" w14:textId="77777777" w:rsidR="00015718" w:rsidRPr="00387C3F" w:rsidRDefault="00015718" w:rsidP="00015718">
      <w:pPr>
        <w:pStyle w:val="BasicParagraph"/>
        <w:suppressAutoHyphens/>
        <w:jc w:val="center"/>
        <w:rPr>
          <w:rFonts w:ascii="Verdana" w:hAnsi="Verdana" w:cs="Arial"/>
          <w:b/>
          <w:bCs/>
          <w:color w:val="734791"/>
          <w:sz w:val="36"/>
          <w:szCs w:val="36"/>
        </w:rPr>
      </w:pPr>
      <w:bookmarkStart w:id="0" w:name="_Toc118292599"/>
      <w:bookmarkStart w:id="1" w:name="_Hlk213328768"/>
      <w:r w:rsidRPr="00387C3F">
        <w:rPr>
          <w:rFonts w:ascii="Verdana" w:hAnsi="Verdana" w:cs="Arial"/>
          <w:b/>
          <w:bCs/>
          <w:noProof/>
          <w:color w:val="734791"/>
          <w:sz w:val="36"/>
          <w:szCs w:val="36"/>
          <w:lang w:eastAsia="en-GB"/>
        </w:rPr>
        <w:drawing>
          <wp:inline distT="0" distB="0" distL="0" distR="0" wp14:anchorId="49F49AF8" wp14:editId="47E9E60C">
            <wp:extent cx="2908485" cy="3886623"/>
            <wp:effectExtent l="0" t="0" r="0" b="0"/>
            <wp:docPr id="7" name="Picture 7" descr="Studio Volume:Corey Watson:Corey Watson CURRENT WORK:27689 - HUMAN RIGHTS Brand Guidelines:PDF:NIHRC LOGOs-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udio Volume:Corey Watson:Corey Watson CURRENT WORK:27689 - HUMAN RIGHTS Brand Guidelines:PDF:NIHRC LOGOs-0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8982" cy="3887287"/>
                    </a:xfrm>
                    <a:prstGeom prst="rect">
                      <a:avLst/>
                    </a:prstGeom>
                    <a:noFill/>
                    <a:ln>
                      <a:noFill/>
                    </a:ln>
                  </pic:spPr>
                </pic:pic>
              </a:graphicData>
            </a:graphic>
          </wp:inline>
        </w:drawing>
      </w:r>
    </w:p>
    <w:p w14:paraId="0A9203A6" w14:textId="77777777" w:rsidR="00015718" w:rsidRPr="00387C3F" w:rsidRDefault="00015718" w:rsidP="00015718">
      <w:pPr>
        <w:pStyle w:val="BasicParagraph"/>
        <w:suppressAutoHyphens/>
        <w:jc w:val="center"/>
        <w:rPr>
          <w:rFonts w:ascii="Verdana" w:hAnsi="Verdana" w:cs="Arial"/>
          <w:b/>
          <w:bCs/>
          <w:color w:val="734791"/>
          <w:sz w:val="36"/>
          <w:szCs w:val="36"/>
        </w:rPr>
      </w:pPr>
    </w:p>
    <w:p w14:paraId="1EA2B02D" w14:textId="74A9F0FB" w:rsidR="00015718" w:rsidRPr="00387C3F" w:rsidRDefault="00DA1E3F" w:rsidP="00E32D88">
      <w:pPr>
        <w:pStyle w:val="Title"/>
      </w:pPr>
      <w:r>
        <w:t>Submission: Northern Ireland Affairs Committee Inquiry on Policing and Security in Northern Ireland</w:t>
      </w:r>
    </w:p>
    <w:p w14:paraId="624D8304" w14:textId="77777777" w:rsidR="00015718" w:rsidRPr="00387C3F" w:rsidRDefault="00015718" w:rsidP="00015718">
      <w:pPr>
        <w:pStyle w:val="Default"/>
        <w:spacing w:line="288" w:lineRule="auto"/>
        <w:jc w:val="center"/>
        <w:rPr>
          <w:rFonts w:cs="Arial"/>
          <w:color w:val="232120"/>
          <w:sz w:val="36"/>
          <w:szCs w:val="36"/>
        </w:rPr>
      </w:pPr>
    </w:p>
    <w:p w14:paraId="52A81408" w14:textId="77777777" w:rsidR="00015718" w:rsidRPr="00387C3F" w:rsidRDefault="00015718" w:rsidP="00015718">
      <w:pPr>
        <w:pStyle w:val="Default"/>
        <w:spacing w:line="288" w:lineRule="auto"/>
        <w:jc w:val="center"/>
        <w:rPr>
          <w:rFonts w:cs="Arial"/>
          <w:color w:val="232120"/>
          <w:sz w:val="36"/>
          <w:szCs w:val="36"/>
        </w:rPr>
      </w:pPr>
    </w:p>
    <w:p w14:paraId="1515601C" w14:textId="77777777" w:rsidR="00015718" w:rsidRPr="00387C3F" w:rsidRDefault="00015718" w:rsidP="00015718">
      <w:pPr>
        <w:pStyle w:val="Default"/>
        <w:spacing w:line="288" w:lineRule="auto"/>
        <w:jc w:val="center"/>
        <w:rPr>
          <w:rFonts w:cs="Arial"/>
          <w:color w:val="232120"/>
          <w:sz w:val="36"/>
          <w:szCs w:val="36"/>
        </w:rPr>
      </w:pPr>
    </w:p>
    <w:p w14:paraId="7014C68B" w14:textId="77777777" w:rsidR="00015718" w:rsidRPr="00387C3F" w:rsidRDefault="00015718" w:rsidP="00015718">
      <w:pPr>
        <w:pStyle w:val="Default"/>
        <w:spacing w:line="288" w:lineRule="auto"/>
        <w:jc w:val="center"/>
        <w:rPr>
          <w:rFonts w:cs="Arial"/>
          <w:color w:val="232120"/>
          <w:sz w:val="36"/>
          <w:szCs w:val="36"/>
        </w:rPr>
      </w:pPr>
    </w:p>
    <w:p w14:paraId="6811C16C" w14:textId="77777777" w:rsidR="00015718" w:rsidRPr="00387C3F" w:rsidRDefault="00015718" w:rsidP="00015718">
      <w:pPr>
        <w:pStyle w:val="Default"/>
        <w:spacing w:line="288" w:lineRule="auto"/>
        <w:jc w:val="center"/>
        <w:rPr>
          <w:rFonts w:cs="Arial"/>
          <w:color w:val="232120"/>
          <w:sz w:val="36"/>
          <w:szCs w:val="36"/>
        </w:rPr>
      </w:pPr>
    </w:p>
    <w:p w14:paraId="0C36410D" w14:textId="77777777" w:rsidR="00015718" w:rsidRPr="00387C3F" w:rsidRDefault="00015718" w:rsidP="00015718">
      <w:pPr>
        <w:pStyle w:val="Default"/>
        <w:spacing w:line="288" w:lineRule="auto"/>
        <w:jc w:val="center"/>
        <w:rPr>
          <w:rFonts w:cs="Arial"/>
          <w:color w:val="232120"/>
          <w:sz w:val="36"/>
          <w:szCs w:val="36"/>
        </w:rPr>
      </w:pPr>
    </w:p>
    <w:p w14:paraId="186A4A05" w14:textId="51679510" w:rsidR="00015718" w:rsidRPr="00387C3F" w:rsidRDefault="00DA1E3F" w:rsidP="00015718">
      <w:pPr>
        <w:jc w:val="center"/>
        <w:rPr>
          <w:rFonts w:cs="Arial"/>
          <w:b/>
          <w:color w:val="232120"/>
          <w:sz w:val="30"/>
          <w:szCs w:val="30"/>
        </w:rPr>
      </w:pPr>
      <w:r>
        <w:rPr>
          <w:rFonts w:cs="Arial"/>
          <w:b/>
          <w:color w:val="232120"/>
          <w:sz w:val="30"/>
          <w:szCs w:val="30"/>
        </w:rPr>
        <w:t>November</w:t>
      </w:r>
      <w:r w:rsidR="000C115C">
        <w:rPr>
          <w:rFonts w:cs="Arial"/>
          <w:b/>
          <w:color w:val="232120"/>
          <w:sz w:val="30"/>
          <w:szCs w:val="30"/>
        </w:rPr>
        <w:t xml:space="preserve"> </w:t>
      </w:r>
      <w:r w:rsidR="00912D57">
        <w:rPr>
          <w:rFonts w:cs="Arial"/>
          <w:b/>
          <w:color w:val="232120"/>
          <w:sz w:val="30"/>
          <w:szCs w:val="30"/>
        </w:rPr>
        <w:t>2025</w:t>
      </w:r>
    </w:p>
    <w:p w14:paraId="40A6616E" w14:textId="77777777" w:rsidR="00015718" w:rsidRPr="00387C3F" w:rsidRDefault="00015718" w:rsidP="00015718"/>
    <w:p w14:paraId="56151385" w14:textId="77777777" w:rsidR="003F60F5" w:rsidRPr="00387C3F" w:rsidRDefault="003F60F5" w:rsidP="003F60F5"/>
    <w:p w14:paraId="3F07405E" w14:textId="77777777" w:rsidR="00015718" w:rsidRPr="00387C3F" w:rsidRDefault="00015718">
      <w:pPr>
        <w:rPr>
          <w:rFonts w:eastAsiaTheme="majorEastAsia" w:cstheme="majorBidi"/>
          <w:b/>
          <w:szCs w:val="26"/>
        </w:rPr>
      </w:pPr>
      <w:bookmarkStart w:id="2" w:name="_Toc121392669"/>
      <w:r w:rsidRPr="00387C3F">
        <w:br w:type="page"/>
      </w:r>
    </w:p>
    <w:bookmarkStart w:id="3" w:name="_Toc213340340" w:displacedByCustomXml="next"/>
    <w:sdt>
      <w:sdtPr>
        <w:rPr>
          <w:rFonts w:eastAsiaTheme="minorEastAsia" w:cstheme="minorBidi"/>
          <w:b w:val="0"/>
          <w:color w:val="auto"/>
          <w:sz w:val="24"/>
          <w:szCs w:val="24"/>
        </w:rPr>
        <w:id w:val="504181103"/>
        <w:docPartObj>
          <w:docPartGallery w:val="Table of Contents"/>
          <w:docPartUnique/>
        </w:docPartObj>
      </w:sdtPr>
      <w:sdtEndPr>
        <w:rPr>
          <w:noProof/>
        </w:rPr>
      </w:sdtEndPr>
      <w:sdtContent>
        <w:p w14:paraId="4456DCF5" w14:textId="5E3A599A" w:rsidR="00A250D0" w:rsidRPr="00387C3F" w:rsidRDefault="00A250D0" w:rsidP="00C231F7">
          <w:pPr>
            <w:pStyle w:val="Heading1"/>
            <w:numPr>
              <w:ilvl w:val="0"/>
              <w:numId w:val="0"/>
            </w:numPr>
            <w:ind w:left="720" w:hanging="720"/>
          </w:pPr>
          <w:r w:rsidRPr="00387C3F">
            <w:t>Table of Contents</w:t>
          </w:r>
          <w:bookmarkEnd w:id="3"/>
        </w:p>
        <w:p w14:paraId="7F8C4E3F" w14:textId="77777777" w:rsidR="00A250D0" w:rsidRPr="00387C3F" w:rsidRDefault="00A250D0" w:rsidP="00A250D0">
          <w:pPr>
            <w:rPr>
              <w:lang w:val="en-US"/>
            </w:rPr>
          </w:pPr>
        </w:p>
        <w:p w14:paraId="6FC2166B" w14:textId="5F50D586" w:rsidR="0097725C" w:rsidRDefault="00A250D0">
          <w:pPr>
            <w:pStyle w:val="TOC1"/>
            <w:rPr>
              <w:rFonts w:asciiTheme="minorHAnsi" w:hAnsiTheme="minorHAnsi"/>
              <w:b w:val="0"/>
              <w:bCs w:val="0"/>
              <w:kern w:val="2"/>
              <w:lang w:eastAsia="en-GB"/>
              <w14:ligatures w14:val="standardContextual"/>
            </w:rPr>
          </w:pPr>
          <w:r w:rsidRPr="00387C3F">
            <w:fldChar w:fldCharType="begin"/>
          </w:r>
          <w:r w:rsidRPr="00387C3F">
            <w:instrText xml:space="preserve"> TOC \o "1-3" \h \z \u </w:instrText>
          </w:r>
          <w:r w:rsidRPr="00387C3F">
            <w:fldChar w:fldCharType="separate"/>
          </w:r>
          <w:hyperlink w:anchor="_Toc213340340" w:history="1">
            <w:r w:rsidR="0097725C" w:rsidRPr="00877D4B">
              <w:rPr>
                <w:rStyle w:val="Hyperlink"/>
              </w:rPr>
              <w:t>Table of Contents</w:t>
            </w:r>
            <w:r w:rsidR="0097725C">
              <w:rPr>
                <w:webHidden/>
              </w:rPr>
              <w:tab/>
            </w:r>
            <w:r w:rsidR="0097725C">
              <w:rPr>
                <w:webHidden/>
              </w:rPr>
              <w:fldChar w:fldCharType="begin"/>
            </w:r>
            <w:r w:rsidR="0097725C">
              <w:rPr>
                <w:webHidden/>
              </w:rPr>
              <w:instrText xml:space="preserve"> PAGEREF _Toc213340340 \h </w:instrText>
            </w:r>
            <w:r w:rsidR="0097725C">
              <w:rPr>
                <w:webHidden/>
              </w:rPr>
            </w:r>
            <w:r w:rsidR="0097725C">
              <w:rPr>
                <w:webHidden/>
              </w:rPr>
              <w:fldChar w:fldCharType="separate"/>
            </w:r>
            <w:r w:rsidR="002F1D0B">
              <w:rPr>
                <w:webHidden/>
              </w:rPr>
              <w:t>2</w:t>
            </w:r>
            <w:r w:rsidR="0097725C">
              <w:rPr>
                <w:webHidden/>
              </w:rPr>
              <w:fldChar w:fldCharType="end"/>
            </w:r>
          </w:hyperlink>
        </w:p>
        <w:p w14:paraId="03E2F94A" w14:textId="1817EB9E" w:rsidR="0097725C" w:rsidRDefault="0097725C">
          <w:pPr>
            <w:pStyle w:val="TOC1"/>
            <w:rPr>
              <w:rFonts w:asciiTheme="minorHAnsi" w:hAnsiTheme="minorHAnsi"/>
              <w:b w:val="0"/>
              <w:bCs w:val="0"/>
              <w:kern w:val="2"/>
              <w:lang w:eastAsia="en-GB"/>
              <w14:ligatures w14:val="standardContextual"/>
            </w:rPr>
          </w:pPr>
          <w:hyperlink w:anchor="_Toc213340341" w:history="1">
            <w:r w:rsidRPr="00877D4B">
              <w:rPr>
                <w:rStyle w:val="Hyperlink"/>
              </w:rPr>
              <w:t>Summary of Advice and Recommendations</w:t>
            </w:r>
            <w:r>
              <w:rPr>
                <w:webHidden/>
              </w:rPr>
              <w:tab/>
            </w:r>
            <w:r>
              <w:rPr>
                <w:webHidden/>
              </w:rPr>
              <w:fldChar w:fldCharType="begin"/>
            </w:r>
            <w:r>
              <w:rPr>
                <w:webHidden/>
              </w:rPr>
              <w:instrText xml:space="preserve"> PAGEREF _Toc213340341 \h </w:instrText>
            </w:r>
            <w:r>
              <w:rPr>
                <w:webHidden/>
              </w:rPr>
            </w:r>
            <w:r>
              <w:rPr>
                <w:webHidden/>
              </w:rPr>
              <w:fldChar w:fldCharType="separate"/>
            </w:r>
            <w:r w:rsidR="002F1D0B">
              <w:rPr>
                <w:webHidden/>
              </w:rPr>
              <w:t>3</w:t>
            </w:r>
            <w:r>
              <w:rPr>
                <w:webHidden/>
              </w:rPr>
              <w:fldChar w:fldCharType="end"/>
            </w:r>
          </w:hyperlink>
        </w:p>
        <w:p w14:paraId="35824D72" w14:textId="49194173" w:rsidR="0097725C" w:rsidRDefault="0097725C">
          <w:pPr>
            <w:pStyle w:val="TOC1"/>
            <w:rPr>
              <w:rFonts w:asciiTheme="minorHAnsi" w:hAnsiTheme="minorHAnsi"/>
              <w:b w:val="0"/>
              <w:bCs w:val="0"/>
              <w:kern w:val="2"/>
              <w:lang w:eastAsia="en-GB"/>
              <w14:ligatures w14:val="standardContextual"/>
            </w:rPr>
          </w:pPr>
          <w:hyperlink w:anchor="_Toc213340345" w:history="1">
            <w:r w:rsidRPr="00877D4B">
              <w:rPr>
                <w:rStyle w:val="Hyperlink"/>
              </w:rPr>
              <w:t>1.0</w:t>
            </w:r>
            <w:r>
              <w:rPr>
                <w:rFonts w:asciiTheme="minorHAnsi" w:hAnsiTheme="minorHAnsi"/>
                <w:b w:val="0"/>
                <w:bCs w:val="0"/>
                <w:kern w:val="2"/>
                <w:lang w:eastAsia="en-GB"/>
                <w14:ligatures w14:val="standardContextual"/>
              </w:rPr>
              <w:tab/>
            </w:r>
            <w:r w:rsidRPr="00877D4B">
              <w:rPr>
                <w:rStyle w:val="Hyperlink"/>
              </w:rPr>
              <w:t>Introduction</w:t>
            </w:r>
            <w:r>
              <w:rPr>
                <w:webHidden/>
              </w:rPr>
              <w:tab/>
            </w:r>
            <w:r>
              <w:rPr>
                <w:webHidden/>
              </w:rPr>
              <w:fldChar w:fldCharType="begin"/>
            </w:r>
            <w:r>
              <w:rPr>
                <w:webHidden/>
              </w:rPr>
              <w:instrText xml:space="preserve"> PAGEREF _Toc213340345 \h </w:instrText>
            </w:r>
            <w:r>
              <w:rPr>
                <w:webHidden/>
              </w:rPr>
            </w:r>
            <w:r>
              <w:rPr>
                <w:webHidden/>
              </w:rPr>
              <w:fldChar w:fldCharType="separate"/>
            </w:r>
            <w:r w:rsidR="002F1D0B">
              <w:rPr>
                <w:webHidden/>
              </w:rPr>
              <w:t>5</w:t>
            </w:r>
            <w:r>
              <w:rPr>
                <w:webHidden/>
              </w:rPr>
              <w:fldChar w:fldCharType="end"/>
            </w:r>
          </w:hyperlink>
        </w:p>
        <w:p w14:paraId="62E1E5C7" w14:textId="72A2A45B" w:rsidR="0097725C" w:rsidRDefault="0097725C">
          <w:pPr>
            <w:pStyle w:val="TOC1"/>
            <w:rPr>
              <w:rFonts w:asciiTheme="minorHAnsi" w:hAnsiTheme="minorHAnsi"/>
              <w:b w:val="0"/>
              <w:bCs w:val="0"/>
              <w:kern w:val="2"/>
              <w:lang w:eastAsia="en-GB"/>
              <w14:ligatures w14:val="standardContextual"/>
            </w:rPr>
          </w:pPr>
          <w:hyperlink w:anchor="_Toc213340346" w:history="1">
            <w:r w:rsidRPr="00877D4B">
              <w:rPr>
                <w:rStyle w:val="Hyperlink"/>
              </w:rPr>
              <w:t>2.0</w:t>
            </w:r>
            <w:r>
              <w:rPr>
                <w:rFonts w:asciiTheme="minorHAnsi" w:hAnsiTheme="minorHAnsi"/>
                <w:b w:val="0"/>
                <w:bCs w:val="0"/>
                <w:kern w:val="2"/>
                <w:lang w:eastAsia="en-GB"/>
                <w14:ligatures w14:val="standardContextual"/>
              </w:rPr>
              <w:tab/>
            </w:r>
            <w:r w:rsidRPr="00877D4B">
              <w:rPr>
                <w:rStyle w:val="Hyperlink"/>
              </w:rPr>
              <w:t>Police Service of NI and An Garda Síochána Cooperation on Cross Policing and Security Matters.</w:t>
            </w:r>
            <w:r>
              <w:rPr>
                <w:webHidden/>
              </w:rPr>
              <w:tab/>
            </w:r>
            <w:r>
              <w:rPr>
                <w:webHidden/>
              </w:rPr>
              <w:fldChar w:fldCharType="begin"/>
            </w:r>
            <w:r>
              <w:rPr>
                <w:webHidden/>
              </w:rPr>
              <w:instrText xml:space="preserve"> PAGEREF _Toc213340346 \h </w:instrText>
            </w:r>
            <w:r>
              <w:rPr>
                <w:webHidden/>
              </w:rPr>
            </w:r>
            <w:r>
              <w:rPr>
                <w:webHidden/>
              </w:rPr>
              <w:fldChar w:fldCharType="separate"/>
            </w:r>
            <w:r w:rsidR="002F1D0B">
              <w:rPr>
                <w:webHidden/>
              </w:rPr>
              <w:t>6</w:t>
            </w:r>
            <w:r>
              <w:rPr>
                <w:webHidden/>
              </w:rPr>
              <w:fldChar w:fldCharType="end"/>
            </w:r>
          </w:hyperlink>
        </w:p>
        <w:p w14:paraId="0F38FB8E" w14:textId="56C00E0D" w:rsidR="0097725C" w:rsidRDefault="0097725C">
          <w:pPr>
            <w:pStyle w:val="TOC2"/>
            <w:tabs>
              <w:tab w:val="right" w:leader="dot" w:pos="9016"/>
            </w:tabs>
            <w:rPr>
              <w:rFonts w:asciiTheme="minorHAnsi" w:hAnsiTheme="minorHAnsi"/>
              <w:noProof/>
              <w:kern w:val="2"/>
              <w:lang w:eastAsia="en-GB"/>
              <w14:ligatures w14:val="standardContextual"/>
            </w:rPr>
          </w:pPr>
          <w:hyperlink w:anchor="_Toc213340347" w:history="1">
            <w:r w:rsidRPr="00877D4B">
              <w:rPr>
                <w:rStyle w:val="Hyperlink"/>
                <w:noProof/>
              </w:rPr>
              <w:t>Access to EU databases</w:t>
            </w:r>
            <w:r>
              <w:rPr>
                <w:noProof/>
                <w:webHidden/>
              </w:rPr>
              <w:tab/>
            </w:r>
            <w:r>
              <w:rPr>
                <w:noProof/>
                <w:webHidden/>
              </w:rPr>
              <w:fldChar w:fldCharType="begin"/>
            </w:r>
            <w:r>
              <w:rPr>
                <w:noProof/>
                <w:webHidden/>
              </w:rPr>
              <w:instrText xml:space="preserve"> PAGEREF _Toc213340347 \h </w:instrText>
            </w:r>
            <w:r>
              <w:rPr>
                <w:noProof/>
                <w:webHidden/>
              </w:rPr>
            </w:r>
            <w:r>
              <w:rPr>
                <w:noProof/>
                <w:webHidden/>
              </w:rPr>
              <w:fldChar w:fldCharType="separate"/>
            </w:r>
            <w:r w:rsidR="002F1D0B">
              <w:rPr>
                <w:noProof/>
                <w:webHidden/>
              </w:rPr>
              <w:t>6</w:t>
            </w:r>
            <w:r>
              <w:rPr>
                <w:noProof/>
                <w:webHidden/>
              </w:rPr>
              <w:fldChar w:fldCharType="end"/>
            </w:r>
          </w:hyperlink>
        </w:p>
        <w:p w14:paraId="18173E85" w14:textId="7D0507CC" w:rsidR="0097725C" w:rsidRDefault="0097725C">
          <w:pPr>
            <w:pStyle w:val="TOC2"/>
            <w:tabs>
              <w:tab w:val="right" w:leader="dot" w:pos="9016"/>
            </w:tabs>
            <w:rPr>
              <w:rFonts w:asciiTheme="minorHAnsi" w:hAnsiTheme="minorHAnsi"/>
              <w:noProof/>
              <w:kern w:val="2"/>
              <w:lang w:eastAsia="en-GB"/>
              <w14:ligatures w14:val="standardContextual"/>
            </w:rPr>
          </w:pPr>
          <w:hyperlink w:anchor="_Toc213340348" w:history="1">
            <w:r w:rsidRPr="00877D4B">
              <w:rPr>
                <w:rStyle w:val="Hyperlink"/>
                <w:noProof/>
              </w:rPr>
              <w:t>Rights of Victims and Defendants</w:t>
            </w:r>
            <w:r>
              <w:rPr>
                <w:noProof/>
                <w:webHidden/>
              </w:rPr>
              <w:tab/>
            </w:r>
            <w:r>
              <w:rPr>
                <w:noProof/>
                <w:webHidden/>
              </w:rPr>
              <w:fldChar w:fldCharType="begin"/>
            </w:r>
            <w:r>
              <w:rPr>
                <w:noProof/>
                <w:webHidden/>
              </w:rPr>
              <w:instrText xml:space="preserve"> PAGEREF _Toc213340348 \h </w:instrText>
            </w:r>
            <w:r>
              <w:rPr>
                <w:noProof/>
                <w:webHidden/>
              </w:rPr>
            </w:r>
            <w:r>
              <w:rPr>
                <w:noProof/>
                <w:webHidden/>
              </w:rPr>
              <w:fldChar w:fldCharType="separate"/>
            </w:r>
            <w:r w:rsidR="002F1D0B">
              <w:rPr>
                <w:noProof/>
                <w:webHidden/>
              </w:rPr>
              <w:t>8</w:t>
            </w:r>
            <w:r>
              <w:rPr>
                <w:noProof/>
                <w:webHidden/>
              </w:rPr>
              <w:fldChar w:fldCharType="end"/>
            </w:r>
          </w:hyperlink>
        </w:p>
        <w:p w14:paraId="4EC6362E" w14:textId="0923BE55" w:rsidR="0097725C" w:rsidRDefault="0097725C">
          <w:pPr>
            <w:pStyle w:val="TOC2"/>
            <w:tabs>
              <w:tab w:val="right" w:leader="dot" w:pos="9016"/>
            </w:tabs>
            <w:rPr>
              <w:rFonts w:asciiTheme="minorHAnsi" w:hAnsiTheme="minorHAnsi"/>
              <w:noProof/>
              <w:kern w:val="2"/>
              <w:lang w:eastAsia="en-GB"/>
              <w14:ligatures w14:val="standardContextual"/>
            </w:rPr>
          </w:pPr>
          <w:hyperlink w:anchor="_Toc213340349" w:history="1">
            <w:r w:rsidRPr="00877D4B">
              <w:rPr>
                <w:rStyle w:val="Hyperlink"/>
                <w:noProof/>
              </w:rPr>
              <w:t>Maintenance of Data Protection Standards</w:t>
            </w:r>
            <w:r>
              <w:rPr>
                <w:noProof/>
                <w:webHidden/>
              </w:rPr>
              <w:tab/>
            </w:r>
            <w:r>
              <w:rPr>
                <w:noProof/>
                <w:webHidden/>
              </w:rPr>
              <w:fldChar w:fldCharType="begin"/>
            </w:r>
            <w:r>
              <w:rPr>
                <w:noProof/>
                <w:webHidden/>
              </w:rPr>
              <w:instrText xml:space="preserve"> PAGEREF _Toc213340349 \h </w:instrText>
            </w:r>
            <w:r>
              <w:rPr>
                <w:noProof/>
                <w:webHidden/>
              </w:rPr>
            </w:r>
            <w:r>
              <w:rPr>
                <w:noProof/>
                <w:webHidden/>
              </w:rPr>
              <w:fldChar w:fldCharType="separate"/>
            </w:r>
            <w:r w:rsidR="002F1D0B">
              <w:rPr>
                <w:noProof/>
                <w:webHidden/>
              </w:rPr>
              <w:t>10</w:t>
            </w:r>
            <w:r>
              <w:rPr>
                <w:noProof/>
                <w:webHidden/>
              </w:rPr>
              <w:fldChar w:fldCharType="end"/>
            </w:r>
          </w:hyperlink>
        </w:p>
        <w:p w14:paraId="25194F97" w14:textId="0EFD53D3" w:rsidR="0097725C" w:rsidRDefault="0097725C">
          <w:pPr>
            <w:pStyle w:val="TOC1"/>
            <w:rPr>
              <w:rFonts w:asciiTheme="minorHAnsi" w:hAnsiTheme="minorHAnsi"/>
              <w:b w:val="0"/>
              <w:bCs w:val="0"/>
              <w:kern w:val="2"/>
              <w:lang w:eastAsia="en-GB"/>
              <w14:ligatures w14:val="standardContextual"/>
            </w:rPr>
          </w:pPr>
          <w:hyperlink w:anchor="_Toc213340350" w:history="1">
            <w:r w:rsidRPr="00877D4B">
              <w:rPr>
                <w:rStyle w:val="Hyperlink"/>
              </w:rPr>
              <w:t>3.0</w:t>
            </w:r>
            <w:r>
              <w:rPr>
                <w:rFonts w:asciiTheme="minorHAnsi" w:hAnsiTheme="minorHAnsi"/>
                <w:b w:val="0"/>
                <w:bCs w:val="0"/>
                <w:kern w:val="2"/>
                <w:lang w:eastAsia="en-GB"/>
                <w14:ligatures w14:val="standardContextual"/>
              </w:rPr>
              <w:tab/>
            </w:r>
            <w:r w:rsidRPr="00877D4B">
              <w:rPr>
                <w:rStyle w:val="Hyperlink"/>
              </w:rPr>
              <w:t>Police Service of NI Coordination with the Home Office in the Common Travel Area</w:t>
            </w:r>
            <w:r>
              <w:rPr>
                <w:webHidden/>
              </w:rPr>
              <w:tab/>
            </w:r>
            <w:r>
              <w:rPr>
                <w:webHidden/>
              </w:rPr>
              <w:fldChar w:fldCharType="begin"/>
            </w:r>
            <w:r>
              <w:rPr>
                <w:webHidden/>
              </w:rPr>
              <w:instrText xml:space="preserve"> PAGEREF _Toc213340350 \h </w:instrText>
            </w:r>
            <w:r>
              <w:rPr>
                <w:webHidden/>
              </w:rPr>
            </w:r>
            <w:r>
              <w:rPr>
                <w:webHidden/>
              </w:rPr>
              <w:fldChar w:fldCharType="separate"/>
            </w:r>
            <w:r w:rsidR="002F1D0B">
              <w:rPr>
                <w:webHidden/>
              </w:rPr>
              <w:t>12</w:t>
            </w:r>
            <w:r>
              <w:rPr>
                <w:webHidden/>
              </w:rPr>
              <w:fldChar w:fldCharType="end"/>
            </w:r>
          </w:hyperlink>
        </w:p>
        <w:p w14:paraId="570F1544" w14:textId="485383D7" w:rsidR="0097725C" w:rsidRDefault="0097725C">
          <w:pPr>
            <w:pStyle w:val="TOC2"/>
            <w:tabs>
              <w:tab w:val="right" w:leader="dot" w:pos="9016"/>
            </w:tabs>
            <w:rPr>
              <w:rFonts w:asciiTheme="minorHAnsi" w:hAnsiTheme="minorHAnsi"/>
              <w:noProof/>
              <w:kern w:val="2"/>
              <w:lang w:eastAsia="en-GB"/>
              <w14:ligatures w14:val="standardContextual"/>
            </w:rPr>
          </w:pPr>
          <w:hyperlink w:anchor="_Toc213340351" w:history="1">
            <w:r w:rsidRPr="00877D4B">
              <w:rPr>
                <w:rStyle w:val="Hyperlink"/>
                <w:noProof/>
              </w:rPr>
              <w:t>Electronic Travel Authorisations and Identity Documents</w:t>
            </w:r>
            <w:r>
              <w:rPr>
                <w:noProof/>
                <w:webHidden/>
              </w:rPr>
              <w:tab/>
            </w:r>
            <w:r>
              <w:rPr>
                <w:noProof/>
                <w:webHidden/>
              </w:rPr>
              <w:fldChar w:fldCharType="begin"/>
            </w:r>
            <w:r>
              <w:rPr>
                <w:noProof/>
                <w:webHidden/>
              </w:rPr>
              <w:instrText xml:space="preserve"> PAGEREF _Toc213340351 \h </w:instrText>
            </w:r>
            <w:r>
              <w:rPr>
                <w:noProof/>
                <w:webHidden/>
              </w:rPr>
            </w:r>
            <w:r>
              <w:rPr>
                <w:noProof/>
                <w:webHidden/>
              </w:rPr>
              <w:fldChar w:fldCharType="separate"/>
            </w:r>
            <w:r w:rsidR="002F1D0B">
              <w:rPr>
                <w:noProof/>
                <w:webHidden/>
              </w:rPr>
              <w:t>13</w:t>
            </w:r>
            <w:r>
              <w:rPr>
                <w:noProof/>
                <w:webHidden/>
              </w:rPr>
              <w:fldChar w:fldCharType="end"/>
            </w:r>
          </w:hyperlink>
        </w:p>
        <w:p w14:paraId="78AFC17E" w14:textId="579BD1E4" w:rsidR="0097725C" w:rsidRDefault="0097725C">
          <w:pPr>
            <w:pStyle w:val="TOC2"/>
            <w:tabs>
              <w:tab w:val="right" w:leader="dot" w:pos="9016"/>
            </w:tabs>
            <w:rPr>
              <w:rFonts w:asciiTheme="minorHAnsi" w:hAnsiTheme="minorHAnsi"/>
              <w:noProof/>
              <w:kern w:val="2"/>
              <w:lang w:eastAsia="en-GB"/>
              <w14:ligatures w14:val="standardContextual"/>
            </w:rPr>
          </w:pPr>
          <w:hyperlink w:anchor="_Toc213340352" w:history="1">
            <w:r w:rsidRPr="00877D4B">
              <w:rPr>
                <w:rStyle w:val="Hyperlink"/>
                <w:noProof/>
              </w:rPr>
              <w:t>Racial Profiling</w:t>
            </w:r>
            <w:r>
              <w:rPr>
                <w:noProof/>
                <w:webHidden/>
              </w:rPr>
              <w:tab/>
            </w:r>
            <w:r>
              <w:rPr>
                <w:noProof/>
                <w:webHidden/>
              </w:rPr>
              <w:fldChar w:fldCharType="begin"/>
            </w:r>
            <w:r>
              <w:rPr>
                <w:noProof/>
                <w:webHidden/>
              </w:rPr>
              <w:instrText xml:space="preserve"> PAGEREF _Toc213340352 \h </w:instrText>
            </w:r>
            <w:r>
              <w:rPr>
                <w:noProof/>
                <w:webHidden/>
              </w:rPr>
            </w:r>
            <w:r>
              <w:rPr>
                <w:noProof/>
                <w:webHidden/>
              </w:rPr>
              <w:fldChar w:fldCharType="separate"/>
            </w:r>
            <w:r w:rsidR="002F1D0B">
              <w:rPr>
                <w:noProof/>
                <w:webHidden/>
              </w:rPr>
              <w:t>15</w:t>
            </w:r>
            <w:r>
              <w:rPr>
                <w:noProof/>
                <w:webHidden/>
              </w:rPr>
              <w:fldChar w:fldCharType="end"/>
            </w:r>
          </w:hyperlink>
        </w:p>
        <w:p w14:paraId="53678529" w14:textId="099EFF47" w:rsidR="00A250D0" w:rsidRPr="00387C3F" w:rsidRDefault="00A250D0">
          <w:r w:rsidRPr="00387C3F">
            <w:rPr>
              <w:b/>
              <w:bCs/>
              <w:noProof/>
            </w:rPr>
            <w:fldChar w:fldCharType="end"/>
          </w:r>
        </w:p>
      </w:sdtContent>
    </w:sdt>
    <w:p w14:paraId="31218C30" w14:textId="77777777" w:rsidR="00A250D0" w:rsidRPr="00387C3F" w:rsidRDefault="00A250D0">
      <w:pPr>
        <w:spacing w:line="240" w:lineRule="auto"/>
        <w:rPr>
          <w:rFonts w:eastAsiaTheme="majorEastAsia" w:cstheme="majorBidi"/>
          <w:b/>
          <w:color w:val="77328A"/>
          <w:sz w:val="32"/>
          <w:szCs w:val="32"/>
        </w:rPr>
      </w:pPr>
      <w:r w:rsidRPr="00387C3F">
        <w:br w:type="page"/>
      </w:r>
    </w:p>
    <w:p w14:paraId="1ABE5F68" w14:textId="22914369" w:rsidR="00E32D88" w:rsidRDefault="00E32D88" w:rsidP="00E32D88">
      <w:pPr>
        <w:pStyle w:val="Heading1"/>
        <w:numPr>
          <w:ilvl w:val="0"/>
          <w:numId w:val="0"/>
        </w:numPr>
        <w:ind w:left="720" w:hanging="720"/>
      </w:pPr>
      <w:bookmarkStart w:id="4" w:name="_Toc213340341"/>
      <w:r>
        <w:lastRenderedPageBreak/>
        <w:t>Summary of Advice and Recommendations</w:t>
      </w:r>
      <w:bookmarkEnd w:id="4"/>
      <w:r>
        <w:t xml:space="preserve"> </w:t>
      </w:r>
    </w:p>
    <w:p w14:paraId="3A274B86" w14:textId="77777777" w:rsidR="001261FE" w:rsidRPr="001261FE" w:rsidRDefault="001261FE" w:rsidP="001261FE">
      <w:pPr>
        <w:pStyle w:val="ListParagraph"/>
        <w:keepNext/>
        <w:keepLines/>
        <w:widowControl/>
        <w:numPr>
          <w:ilvl w:val="0"/>
          <w:numId w:val="9"/>
        </w:numPr>
        <w:suppressAutoHyphens w:val="0"/>
        <w:autoSpaceDE/>
        <w:autoSpaceDN/>
        <w:adjustRightInd/>
        <w:spacing w:before="240" w:after="240"/>
        <w:textAlignment w:val="auto"/>
        <w:outlineLvl w:val="0"/>
        <w:rPr>
          <w:rFonts w:eastAsiaTheme="majorEastAsia" w:cstheme="majorBidi"/>
          <w:b/>
          <w:vanish/>
          <w:color w:val="77328A"/>
          <w:sz w:val="32"/>
          <w:szCs w:val="32"/>
        </w:rPr>
      </w:pPr>
      <w:bookmarkStart w:id="5" w:name="_Toc213340342"/>
      <w:bookmarkEnd w:id="5"/>
    </w:p>
    <w:p w14:paraId="767F3D32" w14:textId="77777777" w:rsidR="001261FE" w:rsidRPr="001261FE" w:rsidRDefault="001261FE" w:rsidP="001261FE">
      <w:pPr>
        <w:pStyle w:val="ListParagraph"/>
        <w:keepNext/>
        <w:keepLines/>
        <w:widowControl/>
        <w:numPr>
          <w:ilvl w:val="0"/>
          <w:numId w:val="9"/>
        </w:numPr>
        <w:suppressAutoHyphens w:val="0"/>
        <w:autoSpaceDE/>
        <w:autoSpaceDN/>
        <w:adjustRightInd/>
        <w:spacing w:before="240" w:after="240"/>
        <w:textAlignment w:val="auto"/>
        <w:outlineLvl w:val="0"/>
        <w:rPr>
          <w:rFonts w:eastAsiaTheme="majorEastAsia" w:cstheme="majorBidi"/>
          <w:b/>
          <w:vanish/>
          <w:color w:val="77328A"/>
          <w:sz w:val="32"/>
          <w:szCs w:val="32"/>
        </w:rPr>
      </w:pPr>
      <w:bookmarkStart w:id="6" w:name="_Toc213340343"/>
      <w:bookmarkEnd w:id="6"/>
    </w:p>
    <w:p w14:paraId="01AB893C" w14:textId="77777777" w:rsidR="001261FE" w:rsidRPr="001261FE" w:rsidRDefault="001261FE" w:rsidP="001261FE">
      <w:pPr>
        <w:pStyle w:val="ListParagraph"/>
        <w:rPr>
          <w:vanish/>
        </w:rPr>
      </w:pPr>
    </w:p>
    <w:p w14:paraId="543D76AC" w14:textId="77777777" w:rsidR="001261FE" w:rsidRPr="001261FE" w:rsidRDefault="001261FE" w:rsidP="001261FE">
      <w:pPr>
        <w:pStyle w:val="ListParagraph"/>
        <w:rPr>
          <w:vanish/>
        </w:rPr>
      </w:pPr>
    </w:p>
    <w:p w14:paraId="45578442" w14:textId="77777777" w:rsidR="001261FE" w:rsidRPr="001261FE" w:rsidRDefault="001261FE" w:rsidP="001261FE">
      <w:pPr>
        <w:pStyle w:val="ListParagraph"/>
        <w:rPr>
          <w:vanish/>
        </w:rPr>
      </w:pPr>
    </w:p>
    <w:p w14:paraId="5F39B2FB" w14:textId="77777777" w:rsidR="001261FE" w:rsidRPr="001261FE" w:rsidRDefault="001261FE" w:rsidP="001261FE">
      <w:pPr>
        <w:pStyle w:val="ListParagraph"/>
        <w:rPr>
          <w:vanish/>
        </w:rPr>
      </w:pPr>
    </w:p>
    <w:p w14:paraId="26FFBB1E" w14:textId="77777777" w:rsidR="001261FE" w:rsidRPr="001261FE" w:rsidRDefault="001261FE" w:rsidP="001261FE">
      <w:pPr>
        <w:pStyle w:val="ListParagraph"/>
        <w:rPr>
          <w:vanish/>
        </w:rPr>
      </w:pPr>
    </w:p>
    <w:p w14:paraId="119C7412" w14:textId="74F0C3CA" w:rsidR="0097725C" w:rsidRPr="0097725C" w:rsidRDefault="0097725C" w:rsidP="0097725C">
      <w:pPr>
        <w:spacing w:line="240" w:lineRule="auto"/>
        <w:rPr>
          <w:b/>
          <w:bCs/>
        </w:rPr>
      </w:pPr>
      <w:r>
        <w:rPr>
          <w:b/>
          <w:bCs/>
        </w:rPr>
        <w:t>The NIHRC:</w:t>
      </w:r>
    </w:p>
    <w:p w14:paraId="74E11752" w14:textId="168E4856" w:rsidR="001261FE" w:rsidRPr="00D64901" w:rsidRDefault="001261FE" w:rsidP="00D64901">
      <w:pPr>
        <w:pStyle w:val="ListParagraph"/>
        <w:spacing w:line="240" w:lineRule="auto"/>
        <w:rPr>
          <w:b/>
          <w:bCs/>
        </w:rPr>
      </w:pPr>
      <w:r w:rsidRPr="00D64901">
        <w:rPr>
          <w:b/>
          <w:bCs/>
        </w:rPr>
        <w:t>recommends that the NI Affairs Committee explore</w:t>
      </w:r>
      <w:r w:rsidR="0097725C">
        <w:rPr>
          <w:b/>
          <w:bCs/>
        </w:rPr>
        <w:t>s</w:t>
      </w:r>
      <w:r w:rsidRPr="00D64901">
        <w:rPr>
          <w:b/>
          <w:bCs/>
        </w:rPr>
        <w:t xml:space="preserve"> to what extent changes to EU policing and judicial cooperation mechanisms have affected the ability of the Police Service of NI and </w:t>
      </w:r>
      <w:proofErr w:type="gramStart"/>
      <w:r w:rsidRPr="00D64901">
        <w:rPr>
          <w:b/>
          <w:bCs/>
        </w:rPr>
        <w:t>An</w:t>
      </w:r>
      <w:proofErr w:type="gramEnd"/>
      <w:r w:rsidRPr="00D64901">
        <w:rPr>
          <w:b/>
          <w:bCs/>
        </w:rPr>
        <w:t xml:space="preserve"> Garda Síochána to share intelligence and coordinate effectively on cross-border policing and security matters.</w:t>
      </w:r>
    </w:p>
    <w:p w14:paraId="6EC7F53C" w14:textId="77777777" w:rsidR="001261FE" w:rsidRPr="00D64901" w:rsidRDefault="001261FE" w:rsidP="00D64901">
      <w:pPr>
        <w:pStyle w:val="ListParagraph"/>
        <w:numPr>
          <w:ilvl w:val="0"/>
          <w:numId w:val="0"/>
        </w:numPr>
        <w:spacing w:line="240" w:lineRule="auto"/>
        <w:ind w:left="720"/>
        <w:rPr>
          <w:b/>
          <w:bCs/>
        </w:rPr>
      </w:pPr>
    </w:p>
    <w:p w14:paraId="62898BBE" w14:textId="77777777" w:rsidR="001261FE" w:rsidRPr="00D64901" w:rsidRDefault="001261FE" w:rsidP="00D64901">
      <w:pPr>
        <w:pStyle w:val="ListParagraph"/>
        <w:spacing w:line="240" w:lineRule="auto"/>
        <w:rPr>
          <w:b/>
          <w:bCs/>
          <w:vanish/>
        </w:rPr>
      </w:pPr>
    </w:p>
    <w:p w14:paraId="3E0A8525" w14:textId="77777777" w:rsidR="001261FE" w:rsidRPr="00D64901" w:rsidRDefault="001261FE" w:rsidP="00D64901">
      <w:pPr>
        <w:pStyle w:val="ListParagraph"/>
        <w:spacing w:line="240" w:lineRule="auto"/>
        <w:rPr>
          <w:b/>
          <w:bCs/>
          <w:vanish/>
        </w:rPr>
      </w:pPr>
    </w:p>
    <w:p w14:paraId="607162C0" w14:textId="77777777" w:rsidR="001261FE" w:rsidRPr="00D64901" w:rsidRDefault="001261FE" w:rsidP="00D64901">
      <w:pPr>
        <w:pStyle w:val="ListParagraph"/>
        <w:spacing w:line="240" w:lineRule="auto"/>
        <w:rPr>
          <w:b/>
          <w:bCs/>
          <w:vanish/>
        </w:rPr>
      </w:pPr>
    </w:p>
    <w:p w14:paraId="35896D04" w14:textId="77777777" w:rsidR="001261FE" w:rsidRPr="00D64901" w:rsidRDefault="001261FE" w:rsidP="00D64901">
      <w:pPr>
        <w:pStyle w:val="ListParagraph"/>
        <w:spacing w:line="240" w:lineRule="auto"/>
        <w:rPr>
          <w:b/>
          <w:bCs/>
          <w:vanish/>
        </w:rPr>
      </w:pPr>
    </w:p>
    <w:p w14:paraId="3F3E6CFD" w14:textId="77777777" w:rsidR="001261FE" w:rsidRPr="00D64901" w:rsidRDefault="001261FE" w:rsidP="00D64901">
      <w:pPr>
        <w:pStyle w:val="ListParagraph"/>
        <w:spacing w:line="240" w:lineRule="auto"/>
        <w:rPr>
          <w:b/>
          <w:bCs/>
          <w:vanish/>
        </w:rPr>
      </w:pPr>
    </w:p>
    <w:p w14:paraId="54F626ED" w14:textId="6B79CE9A" w:rsidR="001261FE" w:rsidRPr="00D64901" w:rsidRDefault="001261FE" w:rsidP="00D64901">
      <w:pPr>
        <w:pStyle w:val="ListParagraph"/>
        <w:spacing w:line="240" w:lineRule="auto"/>
        <w:rPr>
          <w:b/>
          <w:bCs/>
        </w:rPr>
      </w:pPr>
      <w:r w:rsidRPr="00D64901">
        <w:rPr>
          <w:b/>
          <w:bCs/>
        </w:rPr>
        <w:t>recommends that the NI Affairs Committee explore</w:t>
      </w:r>
      <w:r w:rsidR="0097725C">
        <w:rPr>
          <w:b/>
          <w:bCs/>
        </w:rPr>
        <w:t>s</w:t>
      </w:r>
      <w:r w:rsidRPr="00D64901">
        <w:rPr>
          <w:b/>
          <w:bCs/>
        </w:rPr>
        <w:t xml:space="preserve"> how changes to extradition and evidence sharing arrangements under the </w:t>
      </w:r>
      <w:r w:rsidR="0097725C">
        <w:rPr>
          <w:b/>
          <w:bCs/>
        </w:rPr>
        <w:t xml:space="preserve">UK-EU </w:t>
      </w:r>
      <w:r w:rsidRPr="00D64901">
        <w:rPr>
          <w:b/>
          <w:bCs/>
        </w:rPr>
        <w:t xml:space="preserve">Trade Cooperation Agreement have impacted victims’ rights to timely justice and defendants’ rights to a fair and prompt trial. </w:t>
      </w:r>
    </w:p>
    <w:p w14:paraId="02403C0D" w14:textId="77777777" w:rsidR="001261FE" w:rsidRPr="00D64901" w:rsidRDefault="001261FE" w:rsidP="00D64901">
      <w:pPr>
        <w:pStyle w:val="ListParagraph"/>
        <w:numPr>
          <w:ilvl w:val="0"/>
          <w:numId w:val="0"/>
        </w:numPr>
        <w:spacing w:line="240" w:lineRule="auto"/>
        <w:ind w:left="720"/>
        <w:rPr>
          <w:b/>
          <w:bCs/>
        </w:rPr>
      </w:pPr>
    </w:p>
    <w:p w14:paraId="754C6C0D" w14:textId="3AF7CF19" w:rsidR="001261FE" w:rsidRPr="00D64901" w:rsidRDefault="001261FE" w:rsidP="00D64901">
      <w:pPr>
        <w:pStyle w:val="ListParagraph"/>
        <w:spacing w:line="240" w:lineRule="auto"/>
        <w:rPr>
          <w:b/>
          <w:bCs/>
        </w:rPr>
      </w:pPr>
      <w:r w:rsidRPr="00D64901">
        <w:rPr>
          <w:b/>
          <w:bCs/>
        </w:rPr>
        <w:t>recommends that the NI Affairs Committee explore</w:t>
      </w:r>
      <w:r w:rsidR="0097725C">
        <w:rPr>
          <w:b/>
          <w:bCs/>
        </w:rPr>
        <w:t>s</w:t>
      </w:r>
      <w:r w:rsidRPr="00D64901">
        <w:rPr>
          <w:b/>
          <w:bCs/>
        </w:rPr>
        <w:t xml:space="preserve"> the extent to which the all-island approach to policing and justice cooperation has been maintained in practice since Brexit, and what steps are being taken to address any operational or legal gaps that have emerged. </w:t>
      </w:r>
    </w:p>
    <w:p w14:paraId="0FDA2ACF" w14:textId="77777777" w:rsidR="001261FE" w:rsidRPr="00D64901" w:rsidRDefault="001261FE" w:rsidP="00D64901">
      <w:pPr>
        <w:spacing w:line="240" w:lineRule="auto"/>
        <w:rPr>
          <w:b/>
          <w:bCs/>
        </w:rPr>
      </w:pPr>
    </w:p>
    <w:p w14:paraId="3FA909F6" w14:textId="5962475F" w:rsidR="001261FE" w:rsidRPr="00D64901" w:rsidRDefault="001261FE" w:rsidP="00D64901">
      <w:pPr>
        <w:pStyle w:val="ListParagraph"/>
        <w:spacing w:line="240" w:lineRule="auto"/>
        <w:rPr>
          <w:b/>
          <w:bCs/>
        </w:rPr>
      </w:pPr>
      <w:r w:rsidRPr="00D64901">
        <w:rPr>
          <w:b/>
          <w:bCs/>
        </w:rPr>
        <w:t>advises that the highest standards of victims’ rights and rights of accused persons are central to cross-border criminal justice cooperation and recommends that the UK and the EU ensure that information sharing arrangements are sufficient to ensure investigations and proceedings are conducted in an efficient manner, in full compliance with the ECHR and EU Victims’ Directive.</w:t>
      </w:r>
    </w:p>
    <w:p w14:paraId="52EFF623" w14:textId="77777777" w:rsidR="001261FE" w:rsidRPr="00D64901" w:rsidRDefault="001261FE" w:rsidP="00D64901">
      <w:pPr>
        <w:spacing w:line="240" w:lineRule="auto"/>
        <w:rPr>
          <w:b/>
          <w:bCs/>
        </w:rPr>
      </w:pPr>
    </w:p>
    <w:p w14:paraId="5AC27966" w14:textId="2A58E9F8" w:rsidR="001261FE" w:rsidRPr="00D64901" w:rsidRDefault="001261FE" w:rsidP="00D64901">
      <w:pPr>
        <w:pStyle w:val="ListParagraph"/>
        <w:spacing w:line="240" w:lineRule="auto"/>
        <w:rPr>
          <w:b/>
          <w:bCs/>
        </w:rPr>
      </w:pPr>
      <w:r w:rsidRPr="00D64901">
        <w:rPr>
          <w:b/>
          <w:bCs/>
        </w:rPr>
        <w:t>recommends that in the absence of CJEU oversight of the extradition process, the UK and EU establish clear safeguards within the UK-EU Trade and Cooperation Agreement oversight mechanisms to ensure robust human rights safeguards for accused persons and victims of crime.</w:t>
      </w:r>
    </w:p>
    <w:p w14:paraId="6AB0E255" w14:textId="77777777" w:rsidR="001261FE" w:rsidRPr="00D64901" w:rsidRDefault="001261FE" w:rsidP="00D64901">
      <w:pPr>
        <w:pStyle w:val="ListParagraph"/>
        <w:numPr>
          <w:ilvl w:val="0"/>
          <w:numId w:val="0"/>
        </w:numPr>
        <w:spacing w:line="240" w:lineRule="auto"/>
        <w:ind w:left="720"/>
        <w:rPr>
          <w:b/>
          <w:bCs/>
        </w:rPr>
      </w:pPr>
    </w:p>
    <w:p w14:paraId="3FE81D61" w14:textId="77777777" w:rsidR="001261FE" w:rsidRPr="00D64901" w:rsidRDefault="001261FE" w:rsidP="00D64901">
      <w:pPr>
        <w:pStyle w:val="ListParagraph"/>
        <w:spacing w:line="240" w:lineRule="auto"/>
        <w:rPr>
          <w:b/>
          <w:bCs/>
          <w:vanish/>
        </w:rPr>
      </w:pPr>
    </w:p>
    <w:p w14:paraId="3306254F" w14:textId="77777777" w:rsidR="001261FE" w:rsidRPr="00D64901" w:rsidRDefault="001261FE" w:rsidP="00D64901">
      <w:pPr>
        <w:pStyle w:val="ListParagraph"/>
        <w:spacing w:line="240" w:lineRule="auto"/>
        <w:rPr>
          <w:b/>
          <w:bCs/>
          <w:vanish/>
        </w:rPr>
      </w:pPr>
    </w:p>
    <w:p w14:paraId="4F5AF3F4" w14:textId="77777777" w:rsidR="001261FE" w:rsidRPr="00D64901" w:rsidRDefault="001261FE" w:rsidP="00D64901">
      <w:pPr>
        <w:pStyle w:val="ListParagraph"/>
        <w:spacing w:line="240" w:lineRule="auto"/>
        <w:rPr>
          <w:b/>
          <w:bCs/>
          <w:vanish/>
        </w:rPr>
      </w:pPr>
    </w:p>
    <w:p w14:paraId="13DD9F01" w14:textId="77777777" w:rsidR="001261FE" w:rsidRPr="00D64901" w:rsidRDefault="001261FE" w:rsidP="00D64901">
      <w:pPr>
        <w:pStyle w:val="ListParagraph"/>
        <w:spacing w:line="240" w:lineRule="auto"/>
        <w:rPr>
          <w:b/>
          <w:bCs/>
          <w:vanish/>
        </w:rPr>
      </w:pPr>
    </w:p>
    <w:p w14:paraId="77F6C41E" w14:textId="30149C7F" w:rsidR="001261FE" w:rsidRPr="00D64901" w:rsidRDefault="001261FE" w:rsidP="00D64901">
      <w:pPr>
        <w:pStyle w:val="ListParagraph"/>
        <w:spacing w:line="240" w:lineRule="auto"/>
        <w:rPr>
          <w:b/>
          <w:bCs/>
        </w:rPr>
      </w:pPr>
      <w:r w:rsidRPr="00D64901">
        <w:rPr>
          <w:b/>
          <w:bCs/>
        </w:rPr>
        <w:t xml:space="preserve">recommends that, </w:t>
      </w:r>
      <w:r w:rsidRPr="00D64901">
        <w:rPr>
          <w:b/>
          <w:bCs/>
          <w:lang w:eastAsia="en-GB"/>
        </w:rPr>
        <w:t>to facilitate cross-border justice co-operation, the Secretary of State for Science, Innovation and Technology ensures that data protection standards in the UK, including under the Data (Use and Access) Act 2025 continue to enable data-sharing between the UK and the EU.</w:t>
      </w:r>
    </w:p>
    <w:p w14:paraId="50CEB619" w14:textId="77777777" w:rsidR="001261FE" w:rsidRPr="00D64901" w:rsidRDefault="001261FE" w:rsidP="00D64901">
      <w:pPr>
        <w:pStyle w:val="ListParagraph"/>
        <w:numPr>
          <w:ilvl w:val="0"/>
          <w:numId w:val="0"/>
        </w:numPr>
        <w:spacing w:line="240" w:lineRule="auto"/>
        <w:ind w:left="720"/>
        <w:rPr>
          <w:b/>
          <w:bCs/>
        </w:rPr>
      </w:pPr>
    </w:p>
    <w:p w14:paraId="252CB905" w14:textId="21C47FF7" w:rsidR="001261FE" w:rsidRPr="00D64901" w:rsidRDefault="001261FE" w:rsidP="00D64901">
      <w:pPr>
        <w:pStyle w:val="ListParagraph"/>
        <w:spacing w:line="240" w:lineRule="auto"/>
        <w:rPr>
          <w:b/>
          <w:bCs/>
          <w:szCs w:val="28"/>
        </w:rPr>
      </w:pPr>
      <w:r w:rsidRPr="00D64901">
        <w:rPr>
          <w:b/>
          <w:bCs/>
        </w:rPr>
        <w:t xml:space="preserve">recommends that the Secretary of State for Science, Innovation and Technology ensures that </w:t>
      </w:r>
      <w:r w:rsidRPr="00D64901">
        <w:rPr>
          <w:b/>
          <w:bCs/>
          <w:szCs w:val="28"/>
          <w:lang w:eastAsia="en-GB"/>
        </w:rPr>
        <w:t>any changes to data protection standards in the UK, including under the Data (Use and Access) Act 2025,</w:t>
      </w:r>
      <w:r w:rsidRPr="00D64901">
        <w:rPr>
          <w:b/>
          <w:bCs/>
          <w:lang w:eastAsia="en-GB"/>
        </w:rPr>
        <w:t xml:space="preserve"> </w:t>
      </w:r>
      <w:r w:rsidRPr="00D64901">
        <w:rPr>
          <w:b/>
          <w:bCs/>
        </w:rPr>
        <w:t>fully take account of the importance of data-sharing for effective North-South co-</w:t>
      </w:r>
      <w:r w:rsidRPr="00D64901">
        <w:rPr>
          <w:b/>
          <w:bCs/>
        </w:rPr>
        <w:lastRenderedPageBreak/>
        <w:t>operation on public services, such as healthcare and justice, and do not result in a lowering of standards which would put at risk the renewal of EU data adequacy decisions regarding the UK.</w:t>
      </w:r>
    </w:p>
    <w:p w14:paraId="050BAC5D" w14:textId="3FC2C9C9" w:rsidR="001261FE" w:rsidRPr="00D64901" w:rsidRDefault="001261FE" w:rsidP="00D64901">
      <w:pPr>
        <w:pStyle w:val="ListParagraph"/>
        <w:numPr>
          <w:ilvl w:val="0"/>
          <w:numId w:val="0"/>
        </w:numPr>
        <w:spacing w:line="240" w:lineRule="auto"/>
        <w:ind w:left="720"/>
        <w:rPr>
          <w:b/>
          <w:bCs/>
        </w:rPr>
      </w:pPr>
    </w:p>
    <w:p w14:paraId="6F8F601F" w14:textId="77777777" w:rsidR="001261FE" w:rsidRPr="00D64901" w:rsidRDefault="001261FE" w:rsidP="00D64901">
      <w:pPr>
        <w:pStyle w:val="ListParagraph"/>
        <w:keepNext/>
        <w:keepLines/>
        <w:widowControl/>
        <w:numPr>
          <w:ilvl w:val="0"/>
          <w:numId w:val="9"/>
        </w:numPr>
        <w:suppressAutoHyphens w:val="0"/>
        <w:autoSpaceDE/>
        <w:autoSpaceDN/>
        <w:adjustRightInd/>
        <w:spacing w:before="240" w:after="240" w:line="240" w:lineRule="auto"/>
        <w:textAlignment w:val="auto"/>
        <w:outlineLvl w:val="0"/>
        <w:rPr>
          <w:rFonts w:eastAsiaTheme="majorEastAsia" w:cstheme="majorBidi"/>
          <w:b/>
          <w:bCs/>
          <w:vanish/>
          <w:color w:val="77328A"/>
          <w:sz w:val="32"/>
          <w:szCs w:val="32"/>
        </w:rPr>
      </w:pPr>
      <w:bookmarkStart w:id="7" w:name="_Toc213340344"/>
      <w:bookmarkEnd w:id="7"/>
    </w:p>
    <w:p w14:paraId="593DCAFD" w14:textId="77777777" w:rsidR="001261FE" w:rsidRPr="00D64901" w:rsidRDefault="001261FE" w:rsidP="00D64901">
      <w:pPr>
        <w:pStyle w:val="ListParagraph"/>
        <w:spacing w:line="240" w:lineRule="auto"/>
        <w:rPr>
          <w:b/>
          <w:bCs/>
          <w:vanish/>
        </w:rPr>
      </w:pPr>
    </w:p>
    <w:p w14:paraId="6E90619F" w14:textId="77777777" w:rsidR="001261FE" w:rsidRPr="00D64901" w:rsidRDefault="001261FE" w:rsidP="00D64901">
      <w:pPr>
        <w:pStyle w:val="ListParagraph"/>
        <w:spacing w:line="240" w:lineRule="auto"/>
        <w:rPr>
          <w:b/>
          <w:bCs/>
          <w:vanish/>
        </w:rPr>
      </w:pPr>
    </w:p>
    <w:p w14:paraId="21B04054" w14:textId="0A6DF9AE" w:rsidR="001261FE" w:rsidRPr="00D64901" w:rsidRDefault="001261FE" w:rsidP="00D64901">
      <w:pPr>
        <w:pStyle w:val="ListParagraph"/>
        <w:spacing w:line="240" w:lineRule="auto"/>
        <w:rPr>
          <w:b/>
          <w:bCs/>
        </w:rPr>
      </w:pPr>
      <w:r w:rsidRPr="00D64901">
        <w:rPr>
          <w:b/>
          <w:bCs/>
        </w:rPr>
        <w:t>recommends that the Common Travel Area and rights associated with it are enshrined in a comprehensive bilateral treaty by the UK Government and Government of Ireland and incorporated into domestic legislation. The NIHRC further recommends that this agreement codifies reciprocal free movement rights and rights to employment, education, health care, justice and security to maintain at least the same level of protection as existed on 31 December 2020.</w:t>
      </w:r>
    </w:p>
    <w:p w14:paraId="5027F2E1" w14:textId="77777777" w:rsidR="001261FE" w:rsidRPr="00D64901" w:rsidRDefault="001261FE" w:rsidP="00D64901">
      <w:pPr>
        <w:pStyle w:val="ListParagraph"/>
        <w:numPr>
          <w:ilvl w:val="0"/>
          <w:numId w:val="0"/>
        </w:numPr>
        <w:spacing w:line="240" w:lineRule="auto"/>
        <w:ind w:left="720"/>
        <w:rPr>
          <w:b/>
          <w:bCs/>
        </w:rPr>
      </w:pPr>
    </w:p>
    <w:p w14:paraId="2D84D46B" w14:textId="77777777" w:rsidR="001261FE" w:rsidRPr="00D64901" w:rsidRDefault="001261FE" w:rsidP="00D64901">
      <w:pPr>
        <w:pStyle w:val="ListParagraph"/>
        <w:spacing w:line="240" w:lineRule="auto"/>
        <w:rPr>
          <w:b/>
          <w:bCs/>
          <w:vanish/>
        </w:rPr>
      </w:pPr>
    </w:p>
    <w:p w14:paraId="3588423E" w14:textId="77777777" w:rsidR="001261FE" w:rsidRPr="00D64901" w:rsidRDefault="001261FE" w:rsidP="00D64901">
      <w:pPr>
        <w:pStyle w:val="ListParagraph"/>
        <w:spacing w:line="240" w:lineRule="auto"/>
        <w:rPr>
          <w:b/>
          <w:bCs/>
          <w:vanish/>
        </w:rPr>
      </w:pPr>
    </w:p>
    <w:p w14:paraId="1806008D" w14:textId="77777777" w:rsidR="001261FE" w:rsidRPr="00D64901" w:rsidRDefault="001261FE" w:rsidP="00D64901">
      <w:pPr>
        <w:pStyle w:val="ListParagraph"/>
        <w:spacing w:line="240" w:lineRule="auto"/>
        <w:rPr>
          <w:b/>
          <w:bCs/>
          <w:vanish/>
        </w:rPr>
      </w:pPr>
    </w:p>
    <w:p w14:paraId="45A2B414" w14:textId="77777777" w:rsidR="001261FE" w:rsidRPr="00D64901" w:rsidRDefault="001261FE" w:rsidP="00D64901">
      <w:pPr>
        <w:pStyle w:val="ListParagraph"/>
        <w:spacing w:line="240" w:lineRule="auto"/>
        <w:rPr>
          <w:b/>
          <w:bCs/>
          <w:vanish/>
        </w:rPr>
      </w:pPr>
    </w:p>
    <w:p w14:paraId="17C455A7" w14:textId="38103E9C" w:rsidR="001261FE" w:rsidRPr="00D64901" w:rsidRDefault="001261FE" w:rsidP="00D64901">
      <w:pPr>
        <w:pStyle w:val="ListParagraph"/>
        <w:spacing w:line="240" w:lineRule="auto"/>
        <w:rPr>
          <w:b/>
          <w:bCs/>
        </w:rPr>
      </w:pPr>
      <w:r w:rsidRPr="00D64901">
        <w:rPr>
          <w:b/>
          <w:bCs/>
        </w:rPr>
        <w:t>continues to recommend that the Home Office ensures that all journeys into NI, originating from Ireland, are exempt from Electronic Travel Authorisation requirements.</w:t>
      </w:r>
    </w:p>
    <w:p w14:paraId="69A76375" w14:textId="77777777" w:rsidR="001261FE" w:rsidRPr="00D64901" w:rsidRDefault="001261FE" w:rsidP="00D64901">
      <w:pPr>
        <w:pStyle w:val="ListParagraph"/>
        <w:numPr>
          <w:ilvl w:val="0"/>
          <w:numId w:val="0"/>
        </w:numPr>
        <w:spacing w:line="240" w:lineRule="auto"/>
        <w:ind w:left="720"/>
        <w:rPr>
          <w:b/>
          <w:bCs/>
        </w:rPr>
      </w:pPr>
    </w:p>
    <w:p w14:paraId="245E5D3E" w14:textId="77777777" w:rsidR="001261FE" w:rsidRPr="00D64901" w:rsidRDefault="001261FE" w:rsidP="00D64901">
      <w:pPr>
        <w:pStyle w:val="ListParagraph"/>
        <w:spacing w:line="240" w:lineRule="auto"/>
        <w:rPr>
          <w:b/>
          <w:bCs/>
          <w:vanish/>
        </w:rPr>
      </w:pPr>
    </w:p>
    <w:p w14:paraId="52613274" w14:textId="77777777" w:rsidR="001261FE" w:rsidRPr="00D64901" w:rsidRDefault="001261FE" w:rsidP="00D64901">
      <w:pPr>
        <w:pStyle w:val="ListParagraph"/>
        <w:spacing w:line="240" w:lineRule="auto"/>
        <w:rPr>
          <w:b/>
          <w:bCs/>
          <w:vanish/>
        </w:rPr>
      </w:pPr>
    </w:p>
    <w:p w14:paraId="330CDE9F" w14:textId="77777777" w:rsidR="001261FE" w:rsidRPr="00D64901" w:rsidRDefault="001261FE" w:rsidP="00D64901">
      <w:pPr>
        <w:pStyle w:val="ListParagraph"/>
        <w:spacing w:line="240" w:lineRule="auto"/>
        <w:rPr>
          <w:b/>
          <w:bCs/>
          <w:vanish/>
        </w:rPr>
      </w:pPr>
    </w:p>
    <w:p w14:paraId="1C98B57D" w14:textId="77777777" w:rsidR="001261FE" w:rsidRPr="00D64901" w:rsidRDefault="001261FE" w:rsidP="00D64901">
      <w:pPr>
        <w:pStyle w:val="ListParagraph"/>
        <w:spacing w:line="240" w:lineRule="auto"/>
        <w:rPr>
          <w:b/>
          <w:bCs/>
          <w:vanish/>
        </w:rPr>
      </w:pPr>
    </w:p>
    <w:p w14:paraId="5C132D88" w14:textId="77777777" w:rsidR="001261FE" w:rsidRPr="00D64901" w:rsidRDefault="001261FE" w:rsidP="00D64901">
      <w:pPr>
        <w:pStyle w:val="ListParagraph"/>
        <w:spacing w:line="240" w:lineRule="auto"/>
        <w:rPr>
          <w:b/>
          <w:bCs/>
          <w:vanish/>
        </w:rPr>
      </w:pPr>
    </w:p>
    <w:p w14:paraId="6EE0DC23" w14:textId="77777777" w:rsidR="001261FE" w:rsidRPr="00D64901" w:rsidRDefault="001261FE" w:rsidP="00D64901">
      <w:pPr>
        <w:pStyle w:val="ListParagraph"/>
        <w:spacing w:line="240" w:lineRule="auto"/>
        <w:rPr>
          <w:b/>
          <w:bCs/>
          <w:vanish/>
        </w:rPr>
      </w:pPr>
    </w:p>
    <w:p w14:paraId="59931B69" w14:textId="77777777" w:rsidR="001261FE" w:rsidRPr="00D64901" w:rsidRDefault="001261FE" w:rsidP="00D64901">
      <w:pPr>
        <w:pStyle w:val="ListParagraph"/>
        <w:spacing w:line="240" w:lineRule="auto"/>
        <w:rPr>
          <w:b/>
          <w:bCs/>
          <w:vanish/>
        </w:rPr>
      </w:pPr>
    </w:p>
    <w:p w14:paraId="4C072428" w14:textId="623EBB90" w:rsidR="001261FE" w:rsidRPr="00D64901" w:rsidRDefault="001261FE" w:rsidP="00D64901">
      <w:pPr>
        <w:pStyle w:val="ListParagraph"/>
        <w:spacing w:line="240" w:lineRule="auto"/>
        <w:rPr>
          <w:b/>
          <w:bCs/>
        </w:rPr>
      </w:pPr>
      <w:r w:rsidRPr="00D64901">
        <w:rPr>
          <w:b/>
          <w:bCs/>
        </w:rPr>
        <w:t>recommends that the Home Office takes effective steps to enforce the prohibition on racial profiling and ensure it does not occur in immigration checks, including at entry to NI at ports and airports and in the context of cross-border travel. This should include the collection and monitoring of appropriate data, including disaggregated ethnic data, of people examined by enforcement officers.</w:t>
      </w:r>
    </w:p>
    <w:p w14:paraId="4902E0AE" w14:textId="77777777" w:rsidR="001261FE" w:rsidRPr="00D64901" w:rsidRDefault="001261FE" w:rsidP="00D64901">
      <w:pPr>
        <w:pStyle w:val="ListParagraph"/>
        <w:numPr>
          <w:ilvl w:val="0"/>
          <w:numId w:val="0"/>
        </w:numPr>
        <w:spacing w:line="240" w:lineRule="auto"/>
        <w:ind w:left="720"/>
        <w:rPr>
          <w:b/>
          <w:bCs/>
        </w:rPr>
      </w:pPr>
    </w:p>
    <w:p w14:paraId="4211DD39" w14:textId="78B4B078" w:rsidR="001261FE" w:rsidRPr="00D64901" w:rsidRDefault="001261FE" w:rsidP="00D64901">
      <w:pPr>
        <w:pStyle w:val="ListParagraph"/>
        <w:spacing w:line="240" w:lineRule="auto"/>
        <w:rPr>
          <w:rFonts w:eastAsia="Verdana" w:cs="Verdana"/>
          <w:b/>
          <w:bCs/>
        </w:rPr>
      </w:pPr>
      <w:r w:rsidRPr="00D64901">
        <w:rPr>
          <w:rFonts w:eastAsia="Verdana" w:cs="Verdana"/>
          <w:b/>
          <w:bCs/>
        </w:rPr>
        <w:t xml:space="preserve">recommends that the NI Affairs Committee explores how the Home Office ensures the operation of immigration and Electronic Travel Authorisation checks within </w:t>
      </w:r>
      <w:r w:rsidR="0097725C">
        <w:rPr>
          <w:rFonts w:eastAsia="Verdana" w:cs="Verdana"/>
          <w:b/>
          <w:bCs/>
        </w:rPr>
        <w:t>NI</w:t>
      </w:r>
      <w:r w:rsidRPr="00D64901">
        <w:rPr>
          <w:rFonts w:eastAsia="Verdana" w:cs="Verdana"/>
          <w:b/>
          <w:bCs/>
        </w:rPr>
        <w:t xml:space="preserve"> are conducted in compliance with human rights and equality obligations, including measures to prevent racial profiling</w:t>
      </w:r>
      <w:r w:rsidR="00831A80">
        <w:rPr>
          <w:rFonts w:eastAsia="Verdana" w:cs="Verdana"/>
          <w:b/>
          <w:bCs/>
        </w:rPr>
        <w:t>.</w:t>
      </w:r>
    </w:p>
    <w:p w14:paraId="61E1F75C" w14:textId="77777777" w:rsidR="001261FE" w:rsidRPr="00A016C8" w:rsidRDefault="001261FE" w:rsidP="00A762D2">
      <w:pPr>
        <w:pStyle w:val="ListParagraph"/>
        <w:numPr>
          <w:ilvl w:val="0"/>
          <w:numId w:val="0"/>
        </w:numPr>
        <w:ind w:left="720"/>
      </w:pPr>
    </w:p>
    <w:p w14:paraId="15D701C9" w14:textId="7A48AA4F" w:rsidR="00E32D88" w:rsidRDefault="00E32D88">
      <w:pPr>
        <w:spacing w:line="240" w:lineRule="auto"/>
      </w:pPr>
      <w:r>
        <w:br w:type="page"/>
      </w:r>
    </w:p>
    <w:p w14:paraId="05BC957A" w14:textId="648C8BF4" w:rsidR="00FE169D" w:rsidRDefault="00015718" w:rsidP="00383628">
      <w:pPr>
        <w:pStyle w:val="Heading1"/>
        <w:numPr>
          <w:ilvl w:val="0"/>
          <w:numId w:val="10"/>
        </w:numPr>
      </w:pPr>
      <w:bookmarkStart w:id="8" w:name="_Toc213340345"/>
      <w:r w:rsidRPr="00387C3F">
        <w:lastRenderedPageBreak/>
        <w:t>Introduction</w:t>
      </w:r>
      <w:bookmarkEnd w:id="8"/>
    </w:p>
    <w:p w14:paraId="5470D70D" w14:textId="4A8F5403" w:rsidR="001560F2" w:rsidRDefault="001560F2" w:rsidP="08F2F23F">
      <w:pPr>
        <w:pStyle w:val="ListParagraph"/>
      </w:pPr>
      <w:r w:rsidRPr="001560F2">
        <w:t xml:space="preserve">The Northern Ireland Human Rights Commission (NIHRC), pursuant to </w:t>
      </w:r>
      <w:r w:rsidRPr="0097725C">
        <w:t xml:space="preserve">section 69(1) of the Northern Ireland (NI) Act 1998, reviews the adequacy and effectiveness of law and practice relating to the protection of human rights in NI. The NIHRC is also </w:t>
      </w:r>
      <w:r w:rsidR="007A6B79" w:rsidRPr="0097725C">
        <w:t>required</w:t>
      </w:r>
      <w:r w:rsidRPr="0097725C">
        <w:t>, under section 78</w:t>
      </w:r>
      <w:proofErr w:type="gramStart"/>
      <w:r w:rsidRPr="0097725C">
        <w:t>A(</w:t>
      </w:r>
      <w:proofErr w:type="gramEnd"/>
      <w:r w:rsidRPr="0097725C">
        <w:t>1)</w:t>
      </w:r>
      <w:r w:rsidR="0097725C">
        <w:t>,</w:t>
      </w:r>
      <w:r w:rsidRPr="001560F2">
        <w:t xml:space="preserve"> to monitor the implementation of Article 2(1) of the </w:t>
      </w:r>
      <w:r w:rsidR="00073FEF">
        <w:t>Windsor Framework</w:t>
      </w:r>
      <w:r w:rsidRPr="001560F2">
        <w:t>.</w:t>
      </w:r>
      <w:r w:rsidR="003419DA">
        <w:rPr>
          <w:rStyle w:val="FootnoteReference"/>
        </w:rPr>
        <w:footnoteReference w:id="2"/>
      </w:r>
      <w:r w:rsidRPr="001560F2">
        <w:t xml:space="preserve"> </w:t>
      </w:r>
    </w:p>
    <w:p w14:paraId="0C50F090" w14:textId="77777777" w:rsidR="00E32D88" w:rsidRDefault="00E32D88" w:rsidP="00E32D88">
      <w:pPr>
        <w:ind w:left="709"/>
      </w:pPr>
    </w:p>
    <w:p w14:paraId="216E47FF" w14:textId="005F37A4" w:rsidR="00E32D88" w:rsidRDefault="00E32D88" w:rsidP="00771478">
      <w:pPr>
        <w:pStyle w:val="ListParagraph"/>
      </w:pPr>
      <w:r w:rsidRPr="006553FF">
        <w:t xml:space="preserve">The </w:t>
      </w:r>
      <w:r w:rsidRPr="00E32D88">
        <w:t>NIHRC</w:t>
      </w:r>
      <w:r w:rsidRPr="006553FF">
        <w:t xml:space="preserve"> bases its advice on the full range of internationally accepted human rights standards, including the European Convention on Human Rights (ECHR), as incorporated by the Human Rights Act 1998, and the treaty obligations of the Council of Europe (</w:t>
      </w:r>
      <w:proofErr w:type="spellStart"/>
      <w:r w:rsidRPr="006553FF">
        <w:t>CoE</w:t>
      </w:r>
      <w:proofErr w:type="spellEnd"/>
      <w:r w:rsidRPr="006553FF">
        <w:t xml:space="preserve">) and </w:t>
      </w:r>
      <w:r>
        <w:t xml:space="preserve">the </w:t>
      </w:r>
      <w:r w:rsidRPr="006553FF">
        <w:t xml:space="preserve">United Nations (UN).  </w:t>
      </w:r>
    </w:p>
    <w:p w14:paraId="79C72907" w14:textId="77777777" w:rsidR="00771478" w:rsidRDefault="00771478" w:rsidP="00771478">
      <w:pPr>
        <w:pStyle w:val="ListParagraph"/>
        <w:numPr>
          <w:ilvl w:val="0"/>
          <w:numId w:val="0"/>
        </w:numPr>
        <w:ind w:left="720"/>
      </w:pPr>
    </w:p>
    <w:p w14:paraId="5454B57A" w14:textId="080F0AEC" w:rsidR="00E32D88" w:rsidRDefault="00E32D88" w:rsidP="00E32D88">
      <w:pPr>
        <w:pStyle w:val="ListParagraph"/>
      </w:pPr>
      <w:r w:rsidRPr="004D47D9">
        <w:t>The NIHRC further advises on the UK Government’s commitment in Article 2</w:t>
      </w:r>
      <w:r>
        <w:t xml:space="preserve"> of the </w:t>
      </w:r>
      <w:r w:rsidRPr="004D47D9">
        <w:t xml:space="preserve">Windsor Framework to ensure there is no diminution of rights, safeguards and equality of opportunity in the relevant section of the Belfast (Good Friday) Agreement </w:t>
      </w:r>
      <w:proofErr w:type="gramStart"/>
      <w:r w:rsidRPr="004D47D9">
        <w:t>as a result of</w:t>
      </w:r>
      <w:proofErr w:type="gramEnd"/>
      <w:r w:rsidRPr="004D47D9">
        <w:t xml:space="preserve"> the UK’s withdrawal from the EU. This is given effect in UK law by section 7A of the EU (Withdrawal) Act 2018.</w:t>
      </w:r>
      <w:r w:rsidRPr="004D47D9">
        <w:rPr>
          <w:rStyle w:val="FootnoteReference"/>
        </w:rPr>
        <w:footnoteReference w:id="3"/>
      </w:r>
      <w:r w:rsidRPr="004D47D9">
        <w:t xml:space="preserve"> </w:t>
      </w:r>
    </w:p>
    <w:p w14:paraId="063CC037" w14:textId="77777777" w:rsidR="001560F2" w:rsidRDefault="001560F2" w:rsidP="00E32D88">
      <w:pPr>
        <w:ind w:left="720"/>
      </w:pPr>
    </w:p>
    <w:p w14:paraId="6B713544" w14:textId="5123B0D8" w:rsidR="007C58EA" w:rsidRDefault="00A414F3" w:rsidP="007C58EA">
      <w:pPr>
        <w:pStyle w:val="ListParagraph"/>
      </w:pPr>
      <w:r>
        <w:t>This</w:t>
      </w:r>
      <w:r w:rsidR="00723037">
        <w:t xml:space="preserve"> </w:t>
      </w:r>
      <w:r w:rsidR="00FE169D">
        <w:t>NIHRC welcomes the opportunity to respond</w:t>
      </w:r>
      <w:r w:rsidR="00E30A1B">
        <w:t xml:space="preserve"> to the Committee’s inquiry on Policing and Security in NI</w:t>
      </w:r>
      <w:r w:rsidR="00E14B87">
        <w:t xml:space="preserve"> and, if it would provide further assistance, would welcome the opportunity to provide further evidence to the Committee</w:t>
      </w:r>
      <w:r w:rsidR="007C58EA">
        <w:t xml:space="preserve">. </w:t>
      </w:r>
      <w:r w:rsidR="00E30A1B">
        <w:t xml:space="preserve">In this </w:t>
      </w:r>
      <w:r w:rsidR="007C58EA">
        <w:t>submission</w:t>
      </w:r>
      <w:r w:rsidR="00E30A1B">
        <w:t>, the NIHRC</w:t>
      </w:r>
      <w:r w:rsidR="007C58EA">
        <w:t xml:space="preserve"> focuses on </w:t>
      </w:r>
      <w:r w:rsidR="00270E2E">
        <w:t>two of the Committee’s</w:t>
      </w:r>
      <w:r w:rsidR="00E30A1B">
        <w:t xml:space="preserve"> questions</w:t>
      </w:r>
      <w:r w:rsidR="007C58EA">
        <w:t>:</w:t>
      </w:r>
    </w:p>
    <w:p w14:paraId="71157008" w14:textId="26CFB069" w:rsidR="007C58EA" w:rsidRDefault="007C58EA" w:rsidP="007C58EA">
      <w:pPr>
        <w:pStyle w:val="ListParagraph"/>
        <w:numPr>
          <w:ilvl w:val="0"/>
          <w:numId w:val="17"/>
        </w:numPr>
      </w:pPr>
      <w:r>
        <w:t xml:space="preserve">How effective is </w:t>
      </w:r>
      <w:r w:rsidR="00AC6D3B">
        <w:t xml:space="preserve">Police Service of NI </w:t>
      </w:r>
      <w:r>
        <w:t xml:space="preserve">and </w:t>
      </w:r>
      <w:proofErr w:type="gramStart"/>
      <w:r w:rsidR="00D10342">
        <w:t>An</w:t>
      </w:r>
      <w:proofErr w:type="gramEnd"/>
      <w:r w:rsidR="00D10342">
        <w:t xml:space="preserve"> </w:t>
      </w:r>
      <w:r>
        <w:t xml:space="preserve">Garda </w:t>
      </w:r>
      <w:r w:rsidR="00D10342">
        <w:t xml:space="preserve">Síochána </w:t>
      </w:r>
      <w:r>
        <w:t>cooperation on cross-border policing and security matters?</w:t>
      </w:r>
    </w:p>
    <w:p w14:paraId="5E77C656" w14:textId="4DA19BCC" w:rsidR="007C58EA" w:rsidRDefault="007C58EA" w:rsidP="007C58EA">
      <w:pPr>
        <w:pStyle w:val="ListParagraph"/>
        <w:numPr>
          <w:ilvl w:val="0"/>
          <w:numId w:val="17"/>
        </w:numPr>
      </w:pPr>
      <w:r>
        <w:t xml:space="preserve">How effective is </w:t>
      </w:r>
      <w:r w:rsidR="00BA3161">
        <w:t>Police Service of NI</w:t>
      </w:r>
      <w:r>
        <w:t xml:space="preserve"> co-ordination with the Home Office and other agencies in policing the Common Travel Area?</w:t>
      </w:r>
    </w:p>
    <w:p w14:paraId="20CD798B" w14:textId="02A67FE8" w:rsidR="00FE169D" w:rsidRPr="00387C3F" w:rsidRDefault="00E30A1B" w:rsidP="00A016C8">
      <w:r>
        <w:lastRenderedPageBreak/>
        <w:t xml:space="preserve"> </w:t>
      </w:r>
    </w:p>
    <w:p w14:paraId="45158935" w14:textId="702B1F29" w:rsidR="000C115C" w:rsidRPr="000C115C" w:rsidRDefault="002A602C" w:rsidP="000C115C">
      <w:pPr>
        <w:pStyle w:val="Heading1"/>
      </w:pPr>
      <w:bookmarkStart w:id="9" w:name="_Toc213340346"/>
      <w:r>
        <w:t>P</w:t>
      </w:r>
      <w:r w:rsidR="00D10342">
        <w:t xml:space="preserve">olice </w:t>
      </w:r>
      <w:r>
        <w:t>S</w:t>
      </w:r>
      <w:r w:rsidR="00D10342">
        <w:t xml:space="preserve">ervice of </w:t>
      </w:r>
      <w:r>
        <w:t xml:space="preserve">NI and </w:t>
      </w:r>
      <w:proofErr w:type="gramStart"/>
      <w:r w:rsidR="00570783">
        <w:t>A</w:t>
      </w:r>
      <w:r w:rsidR="00D64901">
        <w:t>n</w:t>
      </w:r>
      <w:proofErr w:type="gramEnd"/>
      <w:r w:rsidR="00D10342">
        <w:t xml:space="preserve"> </w:t>
      </w:r>
      <w:r>
        <w:t xml:space="preserve">Garda </w:t>
      </w:r>
      <w:r w:rsidR="00D10342">
        <w:t xml:space="preserve">Síochána </w:t>
      </w:r>
      <w:r>
        <w:t>Cooperation on Cross Policing and Security Matters.</w:t>
      </w:r>
      <w:bookmarkEnd w:id="9"/>
    </w:p>
    <w:p w14:paraId="20847FF4" w14:textId="7F47F126" w:rsidR="0084608F" w:rsidRDefault="008D4A6C" w:rsidP="00E32D88">
      <w:pPr>
        <w:pStyle w:val="ListParagraph"/>
      </w:pPr>
      <w:r w:rsidRPr="0038477F">
        <w:t xml:space="preserve">In 2019, the </w:t>
      </w:r>
      <w:r w:rsidR="009D2F0E">
        <w:t>NIHRC</w:t>
      </w:r>
      <w:r w:rsidRPr="0038477F">
        <w:t xml:space="preserve"> and the Irish Human Rights and Equality Commission published independent research on post-Brexit justice arrangements</w:t>
      </w:r>
      <w:r w:rsidR="00BA3161" w:rsidRPr="00BA3161">
        <w:t xml:space="preserve"> </w:t>
      </w:r>
      <w:r w:rsidR="00BA3161" w:rsidRPr="0038477F">
        <w:t>which emphasised that “data sharing has become an essential tool for justice and security cooperation between the EU and UK”</w:t>
      </w:r>
      <w:r>
        <w:t>.</w:t>
      </w:r>
      <w:r w:rsidRPr="0038477F">
        <w:rPr>
          <w:rStyle w:val="FootnoteReference"/>
        </w:rPr>
        <w:footnoteReference w:id="4"/>
      </w:r>
      <w:r w:rsidRPr="0038477F">
        <w:t xml:space="preserve"> </w:t>
      </w:r>
      <w:r w:rsidR="00DE66D8">
        <w:t xml:space="preserve">Effective cooperation between the </w:t>
      </w:r>
      <w:r w:rsidR="00BA3161">
        <w:t>Police Service of NI</w:t>
      </w:r>
      <w:r w:rsidR="00DE66D8">
        <w:t xml:space="preserve"> and </w:t>
      </w:r>
      <w:r w:rsidR="00BA3161">
        <w:t xml:space="preserve">An </w:t>
      </w:r>
      <w:r w:rsidR="00DE66D8">
        <w:t xml:space="preserve">Garda </w:t>
      </w:r>
      <w:r w:rsidR="00BA3161">
        <w:t xml:space="preserve">Síochána </w:t>
      </w:r>
      <w:r w:rsidR="00DE66D8">
        <w:t xml:space="preserve">remains a key element in supporting public safety and stability in both jurisdictions. Prior to the UK’s withdrawal from the EU, cooperation between the </w:t>
      </w:r>
      <w:r w:rsidR="00BA3161">
        <w:t>Police Service of NI</w:t>
      </w:r>
      <w:r w:rsidR="00DE66D8">
        <w:t xml:space="preserve"> and </w:t>
      </w:r>
      <w:proofErr w:type="gramStart"/>
      <w:r w:rsidR="00BA3161">
        <w:t>An</w:t>
      </w:r>
      <w:proofErr w:type="gramEnd"/>
      <w:r w:rsidR="00BA3161">
        <w:t xml:space="preserve"> Garda Síochána</w:t>
      </w:r>
      <w:r w:rsidR="00DE66D8">
        <w:t xml:space="preserve"> was facilitated by </w:t>
      </w:r>
      <w:r w:rsidR="00BA3161">
        <w:t xml:space="preserve">access to </w:t>
      </w:r>
      <w:r w:rsidR="00DE66D8">
        <w:t xml:space="preserve">EU </w:t>
      </w:r>
      <w:r w:rsidR="00BA3161">
        <w:t>mechanisms and databases</w:t>
      </w:r>
      <w:r w:rsidR="00DE66D8">
        <w:t>. These include the European Arrest Warrant, participation in Europol,</w:t>
      </w:r>
      <w:r w:rsidR="00BA3161">
        <w:rPr>
          <w:rStyle w:val="FootnoteReference"/>
        </w:rPr>
        <w:footnoteReference w:id="5"/>
      </w:r>
      <w:r w:rsidR="00DE66D8">
        <w:t xml:space="preserve"> and Eurojust,</w:t>
      </w:r>
      <w:r w:rsidR="00BA3161">
        <w:rPr>
          <w:rStyle w:val="FootnoteReference"/>
        </w:rPr>
        <w:footnoteReference w:id="6"/>
      </w:r>
      <w:r w:rsidR="00DE66D8">
        <w:t xml:space="preserve"> and access to shared data systems, such as the Schengen Information System </w:t>
      </w:r>
      <w:r w:rsidR="00AC6D3B">
        <w:t>II</w:t>
      </w:r>
      <w:r w:rsidR="00AC6D3B" w:rsidRPr="00B059D8">
        <w:rPr>
          <w:vertAlign w:val="superscript"/>
        </w:rPr>
        <w:footnoteReference w:id="7"/>
      </w:r>
      <w:r w:rsidR="00DE66D8">
        <w:t xml:space="preserve"> and the European Criminal Records Information System.</w:t>
      </w:r>
      <w:r w:rsidR="00DE66D8">
        <w:rPr>
          <w:rStyle w:val="FootnoteReference"/>
        </w:rPr>
        <w:footnoteReference w:id="8"/>
      </w:r>
      <w:r w:rsidR="00DE66D8">
        <w:t xml:space="preserve"> </w:t>
      </w:r>
    </w:p>
    <w:p w14:paraId="3FA32AE2" w14:textId="77777777" w:rsidR="00AC6D3B" w:rsidRDefault="00AC6D3B" w:rsidP="00AC6D3B">
      <w:pPr>
        <w:pStyle w:val="ListParagraph"/>
        <w:numPr>
          <w:ilvl w:val="0"/>
          <w:numId w:val="0"/>
        </w:numPr>
        <w:ind w:left="720"/>
      </w:pPr>
    </w:p>
    <w:p w14:paraId="0825A3C1" w14:textId="6ACA5BA8" w:rsidR="000C115C" w:rsidRDefault="009F1364" w:rsidP="00D64901">
      <w:pPr>
        <w:pStyle w:val="ListParagraph"/>
      </w:pPr>
      <w:r>
        <w:t>These mechanisms enabled efficient extradition procedures, reciprocal recognition of judicial decisions and timely sharing of evidence and intelligence. This framework significantly strengthened policing effectiveness and the protection of victims and witnesses on both sides of the border.</w:t>
      </w:r>
      <w:r>
        <w:rPr>
          <w:rStyle w:val="FootnoteReference"/>
        </w:rPr>
        <w:footnoteReference w:id="9"/>
      </w:r>
    </w:p>
    <w:p w14:paraId="6DDA6326" w14:textId="77777777" w:rsidR="0097725C" w:rsidRDefault="0097725C" w:rsidP="0097725C">
      <w:pPr>
        <w:pStyle w:val="ListParagraph"/>
        <w:numPr>
          <w:ilvl w:val="0"/>
          <w:numId w:val="0"/>
        </w:numPr>
        <w:ind w:left="720"/>
      </w:pPr>
    </w:p>
    <w:p w14:paraId="6A9DFC7F" w14:textId="1608C30A" w:rsidR="000C115C" w:rsidRDefault="00682C13" w:rsidP="000C115C">
      <w:pPr>
        <w:pStyle w:val="Heading2"/>
      </w:pPr>
      <w:bookmarkStart w:id="11" w:name="_Toc213340347"/>
      <w:r>
        <w:t>Access to EU databases</w:t>
      </w:r>
      <w:bookmarkEnd w:id="11"/>
    </w:p>
    <w:p w14:paraId="39AECE7D" w14:textId="53B8B1E4" w:rsidR="001434BC" w:rsidRDefault="000C21EA" w:rsidP="00796A14">
      <w:pPr>
        <w:pStyle w:val="ListParagraph"/>
      </w:pPr>
      <w:r>
        <w:t xml:space="preserve">Following EU withdrawal, the UK-EU Trade and Cooperation Agreement established a mechanism for law enforcement and </w:t>
      </w:r>
      <w:r>
        <w:lastRenderedPageBreak/>
        <w:t>judicial cooperation</w:t>
      </w:r>
      <w:r w:rsidR="00AC6D3B">
        <w:t xml:space="preserve"> between the UK and the EU</w:t>
      </w:r>
      <w:r>
        <w:t>.</w:t>
      </w:r>
      <w:r w:rsidR="00AC6D3B">
        <w:t xml:space="preserve">  This is</w:t>
      </w:r>
      <w:r w:rsidR="009D2F0E">
        <w:t xml:space="preserve"> </w:t>
      </w:r>
      <w:r w:rsidR="00085C37">
        <w:t>based on respect for democracy, the rule of law and the protection of fundamental rights and freedoms of individuals, as set out in the ECHR.</w:t>
      </w:r>
      <w:r w:rsidR="00085C37">
        <w:rPr>
          <w:rStyle w:val="FootnoteReference"/>
        </w:rPr>
        <w:footnoteReference w:id="10"/>
      </w:r>
      <w:r w:rsidR="00796A14">
        <w:t xml:space="preserve"> </w:t>
      </w:r>
      <w:r w:rsidR="001434BC" w:rsidRPr="40680A01">
        <w:t xml:space="preserve">Many of the essential </w:t>
      </w:r>
      <w:r w:rsidR="00E822F0" w:rsidRPr="40680A01">
        <w:t>features of prior UK-EU extradition cooperation ha</w:t>
      </w:r>
      <w:r w:rsidR="0079622D" w:rsidRPr="40680A01">
        <w:t>ve</w:t>
      </w:r>
      <w:r w:rsidR="00E822F0" w:rsidRPr="40680A01">
        <w:t xml:space="preserve"> been preserved under the </w:t>
      </w:r>
      <w:r w:rsidR="009D2F0E" w:rsidRPr="40680A01">
        <w:t>Trade and Cooperation Agreement</w:t>
      </w:r>
      <w:r w:rsidR="00434DAF" w:rsidRPr="40680A01">
        <w:t>, such as the fast-track system, enabling the extradition of either UK or EU nationals.</w:t>
      </w:r>
      <w:r w:rsidR="00434DAF" w:rsidRPr="40680A01">
        <w:rPr>
          <w:rStyle w:val="FootnoteReference"/>
        </w:rPr>
        <w:footnoteReference w:id="11"/>
      </w:r>
    </w:p>
    <w:p w14:paraId="2A2C6E7C" w14:textId="77777777" w:rsidR="00796A14" w:rsidRDefault="00796A14" w:rsidP="00796A14">
      <w:pPr>
        <w:pStyle w:val="ListParagraph"/>
        <w:numPr>
          <w:ilvl w:val="0"/>
          <w:numId w:val="0"/>
        </w:numPr>
        <w:ind w:left="720"/>
      </w:pPr>
    </w:p>
    <w:p w14:paraId="35E39389" w14:textId="0E99190D" w:rsidR="00796A14" w:rsidRDefault="00796A14" w:rsidP="00E32D88">
      <w:pPr>
        <w:pStyle w:val="ListParagraph"/>
      </w:pPr>
      <w:bookmarkStart w:id="12" w:name="_Hlk207183635"/>
      <w:bookmarkStart w:id="13" w:name="_Hlk211871308"/>
      <w:r>
        <w:t>As noted below, following</w:t>
      </w:r>
      <w:r w:rsidRPr="00B059D8">
        <w:t xml:space="preserve"> the UK’s exit from the EU, the free flow of data between the EU and the UK is currently made possible by two data adequacy decisions by the EU</w:t>
      </w:r>
      <w:r>
        <w:t>,</w:t>
      </w:r>
      <w:r w:rsidRPr="00B059D8">
        <w:t xml:space="preserve"> which recognise the “essentially equivalent level of protection” of personal data in the UK and the EU.</w:t>
      </w:r>
      <w:r w:rsidRPr="00B059D8">
        <w:rPr>
          <w:rStyle w:val="FootnoteReference"/>
        </w:rPr>
        <w:footnoteReference w:id="12"/>
      </w:r>
      <w:r w:rsidRPr="00B059D8">
        <w:t xml:space="preserve"> </w:t>
      </w:r>
      <w:bookmarkStart w:id="14" w:name="_Hlk207183692"/>
      <w:bookmarkEnd w:id="12"/>
      <w:r w:rsidRPr="00B059D8">
        <w:t xml:space="preserve">The data adequacy decisions are under the EU </w:t>
      </w:r>
      <w:r w:rsidRPr="00764CA0">
        <w:t>G</w:t>
      </w:r>
      <w:r>
        <w:t xml:space="preserve">eneral </w:t>
      </w:r>
      <w:r w:rsidRPr="00764CA0">
        <w:t>D</w:t>
      </w:r>
      <w:r>
        <w:t xml:space="preserve">ata </w:t>
      </w:r>
      <w:r w:rsidRPr="00764CA0">
        <w:t>P</w:t>
      </w:r>
      <w:r>
        <w:t xml:space="preserve">rotection </w:t>
      </w:r>
      <w:r w:rsidRPr="00764CA0">
        <w:t>R</w:t>
      </w:r>
      <w:r>
        <w:t>egulation</w:t>
      </w:r>
      <w:bookmarkStart w:id="15" w:name="_Hlk211871069"/>
      <w:r w:rsidRPr="00B059D8">
        <w:rPr>
          <w:rStyle w:val="FootnoteReference"/>
        </w:rPr>
        <w:footnoteReference w:id="13"/>
      </w:r>
      <w:bookmarkEnd w:id="15"/>
      <w:r w:rsidRPr="00B059D8">
        <w:t xml:space="preserve"> and the EU Data Protection Law Enforcement Directive</w:t>
      </w:r>
      <w:bookmarkStart w:id="16" w:name="_Hlk211871200"/>
      <w:r w:rsidRPr="6C0D9EDE">
        <w:rPr>
          <w:rStyle w:val="FootnoteReference"/>
        </w:rPr>
        <w:footnoteReference w:id="14"/>
      </w:r>
      <w:bookmarkEnd w:id="16"/>
      <w:r w:rsidRPr="002856E6">
        <w:t xml:space="preserve"> </w:t>
      </w:r>
      <w:r w:rsidRPr="00B059D8">
        <w:t>respectively</w:t>
      </w:r>
      <w:r>
        <w:t>, which were subject to review in 2025</w:t>
      </w:r>
      <w:r w:rsidRPr="00B059D8">
        <w:t xml:space="preserve">. </w:t>
      </w:r>
      <w:bookmarkStart w:id="17" w:name="_Hlk211871007"/>
      <w:bookmarkEnd w:id="13"/>
      <w:bookmarkEnd w:id="14"/>
      <w:r>
        <w:t xml:space="preserve">The </w:t>
      </w:r>
      <w:r w:rsidR="00D95FAB">
        <w:t xml:space="preserve">NIHRC </w:t>
      </w:r>
      <w:r>
        <w:t>welcomes the sharing of some information which has resulted, but regrets that access to information sharing tools, such as Schengen Information System II,</w:t>
      </w:r>
      <w:r>
        <w:rPr>
          <w:rStyle w:val="FootnoteReference"/>
        </w:rPr>
        <w:footnoteReference w:id="15"/>
      </w:r>
      <w:r>
        <w:t xml:space="preserve"> has been lost. </w:t>
      </w:r>
      <w:bookmarkEnd w:id="17"/>
    </w:p>
    <w:p w14:paraId="3580A471" w14:textId="77777777" w:rsidR="00A2556F" w:rsidRDefault="00A2556F" w:rsidP="00A2556F">
      <w:pPr>
        <w:pStyle w:val="ListParagraph"/>
        <w:numPr>
          <w:ilvl w:val="0"/>
          <w:numId w:val="0"/>
        </w:numPr>
        <w:ind w:left="720"/>
      </w:pPr>
    </w:p>
    <w:p w14:paraId="0108D60E" w14:textId="0A2B563D" w:rsidR="0084608F" w:rsidRPr="005C5C8E" w:rsidRDefault="00D90CAD" w:rsidP="00796A14">
      <w:pPr>
        <w:pStyle w:val="ListParagraph"/>
      </w:pPr>
      <w:r>
        <w:t>Further context on data adequacy and its relevance for cross-border policing and justice cooperation is set out below at paragraphs 2.16</w:t>
      </w:r>
      <w:r w:rsidR="000D317F">
        <w:t xml:space="preserve">-2.17. </w:t>
      </w:r>
      <w:r w:rsidR="005F6C02" w:rsidRPr="00B059D8">
        <w:t>To mitigate this loss</w:t>
      </w:r>
      <w:r w:rsidR="0068247F" w:rsidRPr="00B059D8">
        <w:t xml:space="preserve"> of access to the </w:t>
      </w:r>
      <w:r w:rsidR="0068247F">
        <w:t>Schengen Information System</w:t>
      </w:r>
      <w:bookmarkStart w:id="18" w:name="_Hlk211868789"/>
      <w:r w:rsidR="004C7FAA">
        <w:t xml:space="preserve"> II</w:t>
      </w:r>
      <w:r w:rsidR="0053586C">
        <w:t>,</w:t>
      </w:r>
      <w:bookmarkEnd w:id="18"/>
      <w:r w:rsidR="0068247F" w:rsidRPr="00B059D8">
        <w:t xml:space="preserve"> </w:t>
      </w:r>
      <w:r w:rsidR="0068247F">
        <w:t xml:space="preserve">the </w:t>
      </w:r>
      <w:r w:rsidR="00EF68BE">
        <w:t xml:space="preserve">UK committed to strengthening </w:t>
      </w:r>
      <w:r w:rsidR="0053586C">
        <w:t xml:space="preserve">international law enforcement </w:t>
      </w:r>
      <w:r w:rsidR="00EF68BE">
        <w:t>cooperation</w:t>
      </w:r>
      <w:r w:rsidR="000F0C22" w:rsidRPr="00B059D8">
        <w:rPr>
          <w:vertAlign w:val="superscript"/>
        </w:rPr>
        <w:footnoteReference w:id="16"/>
      </w:r>
      <w:r w:rsidR="0068247F">
        <w:t xml:space="preserve"> and, specifically,</w:t>
      </w:r>
      <w:r w:rsidR="003849FF">
        <w:t xml:space="preserve"> </w:t>
      </w:r>
      <w:r w:rsidR="00B97C38">
        <w:t xml:space="preserve">to improve the exchange of alert data between the UK, EU and third </w:t>
      </w:r>
      <w:r w:rsidR="00B97C38">
        <w:lastRenderedPageBreak/>
        <w:t xml:space="preserve">countries </w:t>
      </w:r>
      <w:r w:rsidR="00EF68BE">
        <w:t>through International Law Enforcement Platform</w:t>
      </w:r>
      <w:r w:rsidR="00030EDB">
        <w:rPr>
          <w:rStyle w:val="FootnoteReference"/>
        </w:rPr>
        <w:footnoteReference w:id="17"/>
      </w:r>
      <w:r w:rsidR="00EF68BE" w:rsidDel="00A2556F">
        <w:t xml:space="preserve"> with full implementation</w:t>
      </w:r>
      <w:r w:rsidR="00D80A45">
        <w:t xml:space="preserve"> expected in 2027/8</w:t>
      </w:r>
      <w:r w:rsidR="003849FF">
        <w:t>.</w:t>
      </w:r>
      <w:r w:rsidR="0068247F">
        <w:rPr>
          <w:rStyle w:val="FootnoteReference"/>
        </w:rPr>
        <w:footnoteReference w:id="18"/>
      </w:r>
      <w:r w:rsidR="00AD41ED">
        <w:t xml:space="preserve"> </w:t>
      </w:r>
      <w:r w:rsidR="00204FB0">
        <w:t xml:space="preserve">These developments directly </w:t>
      </w:r>
      <w:r w:rsidR="00BF02C9">
        <w:t xml:space="preserve">affect </w:t>
      </w:r>
      <w:r w:rsidR="00204FB0">
        <w:t xml:space="preserve">the effectiveness of </w:t>
      </w:r>
      <w:r w:rsidR="00796A14">
        <w:t xml:space="preserve">Police Service of NI and An </w:t>
      </w:r>
      <w:r w:rsidR="00204FB0">
        <w:t>Garda</w:t>
      </w:r>
      <w:r w:rsidR="00796A14">
        <w:t xml:space="preserve"> Síochána </w:t>
      </w:r>
      <w:r w:rsidR="00204FB0">
        <w:t xml:space="preserve">cooperation, particularly in terms of real-time alert sharing and intelligence exchange. </w:t>
      </w:r>
    </w:p>
    <w:p w14:paraId="110EF9B9" w14:textId="77777777" w:rsidR="002D71E4" w:rsidRDefault="002D71E4" w:rsidP="006A12D6"/>
    <w:p w14:paraId="542B5FFB" w14:textId="6200A4E2" w:rsidR="00682C13" w:rsidRPr="00A016C8" w:rsidRDefault="00682C13" w:rsidP="00682C13">
      <w:pPr>
        <w:pStyle w:val="ListParagraph"/>
        <w:rPr>
          <w:b/>
          <w:bCs/>
        </w:rPr>
      </w:pPr>
      <w:r w:rsidRPr="40680A01">
        <w:rPr>
          <w:b/>
          <w:bCs/>
        </w:rPr>
        <w:t>The NIHRC recommends that the NI Affairs Committee explore</w:t>
      </w:r>
      <w:r w:rsidR="004F7ADF">
        <w:rPr>
          <w:b/>
          <w:bCs/>
        </w:rPr>
        <w:t>s</w:t>
      </w:r>
      <w:r w:rsidRPr="40680A01">
        <w:rPr>
          <w:b/>
          <w:bCs/>
        </w:rPr>
        <w:t xml:space="preserve"> </w:t>
      </w:r>
      <w:r w:rsidR="0064397E" w:rsidRPr="40680A01">
        <w:rPr>
          <w:b/>
          <w:bCs/>
        </w:rPr>
        <w:t xml:space="preserve">to </w:t>
      </w:r>
      <w:r w:rsidRPr="40680A01">
        <w:rPr>
          <w:b/>
          <w:bCs/>
        </w:rPr>
        <w:t xml:space="preserve">what extent </w:t>
      </w:r>
      <w:r w:rsidR="7F4BB159" w:rsidRPr="40680A01">
        <w:rPr>
          <w:b/>
          <w:bCs/>
        </w:rPr>
        <w:t xml:space="preserve">changes to </w:t>
      </w:r>
      <w:r w:rsidRPr="40680A01">
        <w:rPr>
          <w:b/>
          <w:bCs/>
        </w:rPr>
        <w:t>EU policing and judicial cooperation mechanisms ha</w:t>
      </w:r>
      <w:r w:rsidR="00355EFD" w:rsidRPr="40680A01">
        <w:rPr>
          <w:b/>
          <w:bCs/>
        </w:rPr>
        <w:t>ve</w:t>
      </w:r>
      <w:r w:rsidRPr="40680A01">
        <w:rPr>
          <w:b/>
          <w:bCs/>
        </w:rPr>
        <w:t xml:space="preserve"> affected the ability</w:t>
      </w:r>
      <w:r>
        <w:t xml:space="preserve"> </w:t>
      </w:r>
      <w:r w:rsidRPr="40680A01">
        <w:rPr>
          <w:b/>
          <w:bCs/>
        </w:rPr>
        <w:t>of the Police Service of NI</w:t>
      </w:r>
      <w:r w:rsidR="00A016C8" w:rsidRPr="40680A01">
        <w:rPr>
          <w:b/>
          <w:bCs/>
        </w:rPr>
        <w:t xml:space="preserve"> </w:t>
      </w:r>
      <w:r w:rsidRPr="40680A01">
        <w:rPr>
          <w:b/>
          <w:bCs/>
        </w:rPr>
        <w:t xml:space="preserve">and </w:t>
      </w:r>
      <w:proofErr w:type="gramStart"/>
      <w:r w:rsidRPr="40680A01">
        <w:rPr>
          <w:b/>
          <w:bCs/>
        </w:rPr>
        <w:t>An</w:t>
      </w:r>
      <w:proofErr w:type="gramEnd"/>
      <w:r w:rsidRPr="40680A01">
        <w:rPr>
          <w:b/>
          <w:bCs/>
        </w:rPr>
        <w:t xml:space="preserve"> Garda Síochána to share intelligence and coordinate effectively on cross-border policing and security matters.</w:t>
      </w:r>
    </w:p>
    <w:p w14:paraId="0AC59A07" w14:textId="77777777" w:rsidR="00682C13" w:rsidRDefault="00682C13" w:rsidP="006A12D6"/>
    <w:p w14:paraId="3DD2C452" w14:textId="7A3E7D6F" w:rsidR="006A12D6" w:rsidRDefault="005C38E6" w:rsidP="007B72F5">
      <w:pPr>
        <w:pStyle w:val="Heading2"/>
      </w:pPr>
      <w:bookmarkStart w:id="19" w:name="_Toc213340348"/>
      <w:r>
        <w:t>Rights of Victims and Defendants</w:t>
      </w:r>
      <w:bookmarkEnd w:id="19"/>
      <w:r>
        <w:t xml:space="preserve"> </w:t>
      </w:r>
    </w:p>
    <w:p w14:paraId="0D8D5EB1" w14:textId="7CDFC677" w:rsidR="0012630B" w:rsidRDefault="00AE7D97" w:rsidP="000E297E">
      <w:pPr>
        <w:pStyle w:val="ListParagraph"/>
      </w:pPr>
      <w:r>
        <w:t xml:space="preserve">The </w:t>
      </w:r>
      <w:r w:rsidR="00575320">
        <w:t xml:space="preserve">rights of </w:t>
      </w:r>
      <w:r w:rsidR="00BE3B43">
        <w:t>victims</w:t>
      </w:r>
      <w:r w:rsidR="00575320">
        <w:t xml:space="preserve"> and accused persons are best safeguarded when UK-Ireland cooperation functions effectively. </w:t>
      </w:r>
      <w:r w:rsidR="00D10342">
        <w:t xml:space="preserve">As noted above, prior </w:t>
      </w:r>
      <w:r w:rsidR="0012630B">
        <w:t xml:space="preserve">to the EU exit, EU instruments provided direct processes for extradition, evidence gathering and victim support. Their absence </w:t>
      </w:r>
      <w:r w:rsidR="00BF0C86">
        <w:t xml:space="preserve">creates a risk of </w:t>
      </w:r>
      <w:r w:rsidR="0012630B">
        <w:t xml:space="preserve">operational gaps in cross-border justice. </w:t>
      </w:r>
    </w:p>
    <w:p w14:paraId="09416CD6" w14:textId="77777777" w:rsidR="00DB58BE" w:rsidRDefault="00DB58BE" w:rsidP="00A2556F">
      <w:pPr>
        <w:pStyle w:val="ListParagraph"/>
        <w:numPr>
          <w:ilvl w:val="0"/>
          <w:numId w:val="0"/>
        </w:numPr>
        <w:ind w:left="720"/>
      </w:pPr>
    </w:p>
    <w:p w14:paraId="2C8068F6" w14:textId="1F0143DD" w:rsidR="003C794D" w:rsidRDefault="008B1F8C" w:rsidP="006B481D">
      <w:pPr>
        <w:pStyle w:val="ListParagraph"/>
      </w:pPr>
      <w:r>
        <w:t>The</w:t>
      </w:r>
      <w:r w:rsidR="00C31B6A">
        <w:t xml:space="preserve"> UK has lost direct access to the S</w:t>
      </w:r>
      <w:r w:rsidR="005A4399">
        <w:t xml:space="preserve">chengen </w:t>
      </w:r>
      <w:r w:rsidR="00C31B6A">
        <w:t>I</w:t>
      </w:r>
      <w:r w:rsidR="005A4399">
        <w:t xml:space="preserve">nformation </w:t>
      </w:r>
      <w:r w:rsidR="00C31B6A">
        <w:t>S</w:t>
      </w:r>
      <w:r w:rsidR="005A4399">
        <w:t>ystem</w:t>
      </w:r>
      <w:r w:rsidR="00C31B6A">
        <w:t xml:space="preserve"> II, </w:t>
      </w:r>
      <w:r w:rsidR="00FD42E2">
        <w:t xml:space="preserve">and </w:t>
      </w:r>
      <w:r>
        <w:t xml:space="preserve">UK authorities no longer participate in </w:t>
      </w:r>
      <w:r w:rsidR="00FD42E2">
        <w:t>Europol’s management and operational centres</w:t>
      </w:r>
      <w:r w:rsidR="003B457B">
        <w:t>. This</w:t>
      </w:r>
      <w:r w:rsidR="00C31B6A">
        <w:t xml:space="preserve"> slows down law enforcement operations,</w:t>
      </w:r>
      <w:r w:rsidR="003B457B">
        <w:t xml:space="preserve"> and limits </w:t>
      </w:r>
      <w:r w:rsidR="00FF70FE">
        <w:t>coordinated responses to cross-border crime.</w:t>
      </w:r>
      <w:r w:rsidR="00C31B6A">
        <w:t xml:space="preserve"> </w:t>
      </w:r>
    </w:p>
    <w:p w14:paraId="6844373E" w14:textId="77777777" w:rsidR="00DB58BE" w:rsidRDefault="00DB58BE" w:rsidP="00A2556F">
      <w:pPr>
        <w:pStyle w:val="ListParagraph"/>
        <w:numPr>
          <w:ilvl w:val="0"/>
          <w:numId w:val="0"/>
        </w:numPr>
        <w:ind w:left="720"/>
      </w:pPr>
    </w:p>
    <w:p w14:paraId="6D4D3AF1" w14:textId="5A5B82ED" w:rsidR="007917D6" w:rsidRDefault="007917D6" w:rsidP="006B481D">
      <w:pPr>
        <w:pStyle w:val="ListParagraph"/>
      </w:pPr>
      <w:r>
        <w:t xml:space="preserve">The delays in information sharing </w:t>
      </w:r>
      <w:r w:rsidR="00033C78">
        <w:t>or extradition that the removal of</w:t>
      </w:r>
      <w:r w:rsidR="00904ED0">
        <w:t xml:space="preserve"> </w:t>
      </w:r>
      <w:r w:rsidR="00033C78">
        <w:t>these instruments provide can have human rights consequences</w:t>
      </w:r>
      <w:r w:rsidR="00904ED0">
        <w:t>,</w:t>
      </w:r>
      <w:r w:rsidR="006566D7">
        <w:t xml:space="preserve"> </w:t>
      </w:r>
      <w:r w:rsidR="00340D6B">
        <w:t>affe</w:t>
      </w:r>
      <w:r w:rsidR="00904ED0">
        <w:t>cting justice for victims and prolong</w:t>
      </w:r>
      <w:r w:rsidR="00EA5F0C">
        <w:t>ing</w:t>
      </w:r>
      <w:r w:rsidR="00904ED0">
        <w:t xml:space="preserve"> uncertainty for defendants. </w:t>
      </w:r>
      <w:r w:rsidR="00033C78">
        <w:t xml:space="preserve">Victims and witnesses of crime can experience prolonged uncertainty and trauma when proceedings are delayed, while defendants risk breaches in their right to a fair and timely trial. </w:t>
      </w:r>
    </w:p>
    <w:p w14:paraId="11640549" w14:textId="77777777" w:rsidR="00DB58BE" w:rsidRDefault="00DB58BE" w:rsidP="00A2556F">
      <w:pPr>
        <w:pStyle w:val="ListParagraph"/>
        <w:numPr>
          <w:ilvl w:val="0"/>
          <w:numId w:val="0"/>
        </w:numPr>
        <w:ind w:left="720"/>
      </w:pPr>
    </w:p>
    <w:p w14:paraId="5460B6D3" w14:textId="3B5AABC8" w:rsidR="00E23D0B" w:rsidRDefault="00372A20" w:rsidP="006B481D">
      <w:pPr>
        <w:pStyle w:val="ListParagraph"/>
      </w:pPr>
      <w:r>
        <w:t xml:space="preserve">Though the </w:t>
      </w:r>
      <w:r w:rsidR="005A4399">
        <w:t xml:space="preserve">Trade and Cooperation Agreement </w:t>
      </w:r>
      <w:r w:rsidR="00033D34">
        <w:t>does supplement</w:t>
      </w:r>
      <w:r w:rsidR="5F690A67">
        <w:t xml:space="preserve"> post-Brexit arrangements</w:t>
      </w:r>
      <w:r w:rsidR="00033D34">
        <w:t xml:space="preserve"> in areas such as the fast-track surrender </w:t>
      </w:r>
      <w:r w:rsidR="00033D34">
        <w:lastRenderedPageBreak/>
        <w:t>procedure,</w:t>
      </w:r>
      <w:r w:rsidR="008139B8">
        <w:t xml:space="preserve"> </w:t>
      </w:r>
      <w:r w:rsidR="00033D34">
        <w:t>enabling the extradition of either UK or EU nationals</w:t>
      </w:r>
      <w:r w:rsidR="005A4399">
        <w:t>.</w:t>
      </w:r>
      <w:r w:rsidR="00033D34">
        <w:t xml:space="preserve"> </w:t>
      </w:r>
      <w:r w:rsidR="005A4399">
        <w:t xml:space="preserve">While this aims to closely mirror the European Arrest Warrant process, there are </w:t>
      </w:r>
      <w:r w:rsidR="00033D34" w:rsidRPr="008139B8">
        <w:t>legal and procedural differences</w:t>
      </w:r>
      <w:r w:rsidR="00806C41">
        <w:t>.</w:t>
      </w:r>
      <w:r w:rsidR="00033D34" w:rsidRPr="008139B8">
        <w:rPr>
          <w:rStyle w:val="FootnoteReference"/>
        </w:rPr>
        <w:footnoteReference w:id="19"/>
      </w:r>
      <w:r w:rsidR="00033D34" w:rsidRPr="00A2556F">
        <w:t xml:space="preserve"> </w:t>
      </w:r>
      <w:r w:rsidR="00854785">
        <w:t>Notably, the European Arrest Warrant did not require dual criminality, whereas the Trade and Cooperation Agreement only provide for an optional waiver of dual criminality.</w:t>
      </w:r>
    </w:p>
    <w:p w14:paraId="5057EB01" w14:textId="77777777" w:rsidR="00DB58BE" w:rsidRPr="008139B8" w:rsidRDefault="00DB58BE" w:rsidP="00A2556F">
      <w:pPr>
        <w:pStyle w:val="ListParagraph"/>
        <w:numPr>
          <w:ilvl w:val="0"/>
          <w:numId w:val="0"/>
        </w:numPr>
        <w:ind w:left="720"/>
      </w:pPr>
    </w:p>
    <w:p w14:paraId="7A9C99DE" w14:textId="53EFA2A6" w:rsidR="00D2500D" w:rsidRPr="00F70AE4" w:rsidRDefault="00D2500D" w:rsidP="006B481D">
      <w:pPr>
        <w:pStyle w:val="ListParagraph"/>
      </w:pPr>
      <w:r>
        <w:t xml:space="preserve">The </w:t>
      </w:r>
      <w:r w:rsidR="00A17259">
        <w:t>Trade and Cooperation Agreement</w:t>
      </w:r>
      <w:r w:rsidR="00A17259" w:rsidRPr="00F70AE4">
        <w:t xml:space="preserve"> </w:t>
      </w:r>
      <w:r w:rsidRPr="00F70AE4">
        <w:t>operational frameworks</w:t>
      </w:r>
      <w:r w:rsidR="00A17259">
        <w:t xml:space="preserve"> in the area of criminal justice cooperation</w:t>
      </w:r>
      <w:r w:rsidRPr="00F70AE4">
        <w:t xml:space="preserve"> are underpinned by the UK’s commitment to the </w:t>
      </w:r>
      <w:r w:rsidR="00A17259">
        <w:t>ECHR</w:t>
      </w:r>
      <w:r w:rsidRPr="00F70AE4">
        <w:t>, serving as a foundational safeguard for individual rights.</w:t>
      </w:r>
      <w:r w:rsidR="005D06A6">
        <w:rPr>
          <w:rStyle w:val="FootnoteReference"/>
        </w:rPr>
        <w:footnoteReference w:id="20"/>
      </w:r>
      <w:r w:rsidRPr="00F70AE4">
        <w:t xml:space="preserve"> </w:t>
      </w:r>
      <w:r w:rsidR="009D46BE">
        <w:t>In addition to the wider impact on human rights protection in NI,</w:t>
      </w:r>
      <w:r w:rsidR="009D46BE">
        <w:rPr>
          <w:rStyle w:val="FootnoteReference"/>
        </w:rPr>
        <w:footnoteReference w:id="21"/>
      </w:r>
      <w:r w:rsidR="009D46BE">
        <w:t xml:space="preserve"> i</w:t>
      </w:r>
      <w:r w:rsidR="009D46BE" w:rsidRPr="00F70AE4">
        <w:t xml:space="preserve">f </w:t>
      </w:r>
      <w:r w:rsidRPr="00F70AE4">
        <w:t xml:space="preserve">the UK </w:t>
      </w:r>
      <w:r w:rsidR="00A17259">
        <w:t xml:space="preserve">withdraws </w:t>
      </w:r>
      <w:r w:rsidRPr="00F70AE4">
        <w:t xml:space="preserve">from the ECHR, </w:t>
      </w:r>
      <w:r w:rsidR="00A17259">
        <w:t xml:space="preserve">the criminal justice cooperation </w:t>
      </w:r>
      <w:r w:rsidRPr="00F70AE4">
        <w:t xml:space="preserve">elements of </w:t>
      </w:r>
      <w:r w:rsidR="00A17259">
        <w:t>that Agreement</w:t>
      </w:r>
      <w:r w:rsidR="00A17259" w:rsidRPr="00F70AE4">
        <w:t xml:space="preserve"> </w:t>
      </w:r>
      <w:r w:rsidR="00A17259">
        <w:t xml:space="preserve">would be terminated. This would inevitably </w:t>
      </w:r>
      <w:r w:rsidRPr="00F70AE4">
        <w:t>weakening the legal infrastructure that supports P</w:t>
      </w:r>
      <w:r w:rsidR="00A17259">
        <w:t xml:space="preserve">olice </w:t>
      </w:r>
      <w:r w:rsidRPr="00F70AE4">
        <w:t>S</w:t>
      </w:r>
      <w:r w:rsidR="00A17259">
        <w:t xml:space="preserve">ervice of </w:t>
      </w:r>
      <w:r w:rsidRPr="00F70AE4">
        <w:t>NI-</w:t>
      </w:r>
      <w:proofErr w:type="gramStart"/>
      <w:r w:rsidR="00A17259">
        <w:t>An</w:t>
      </w:r>
      <w:proofErr w:type="gramEnd"/>
      <w:r w:rsidR="00A17259">
        <w:t xml:space="preserve"> </w:t>
      </w:r>
      <w:r w:rsidRPr="00F70AE4">
        <w:t>G</w:t>
      </w:r>
      <w:r w:rsidR="00A17259">
        <w:t>ar</w:t>
      </w:r>
      <w:r w:rsidRPr="00F70AE4">
        <w:t xml:space="preserve">da </w:t>
      </w:r>
      <w:r w:rsidR="00A17259">
        <w:t xml:space="preserve">Síochána </w:t>
      </w:r>
      <w:r w:rsidRPr="00F70AE4">
        <w:t xml:space="preserve">coordination. </w:t>
      </w:r>
    </w:p>
    <w:p w14:paraId="08735B88" w14:textId="77777777" w:rsidR="00A17259" w:rsidRDefault="00A17259" w:rsidP="00A2556F">
      <w:pPr>
        <w:pStyle w:val="ListParagraph"/>
        <w:numPr>
          <w:ilvl w:val="0"/>
          <w:numId w:val="0"/>
        </w:numPr>
        <w:ind w:left="720"/>
      </w:pPr>
    </w:p>
    <w:p w14:paraId="101A47F4" w14:textId="23A48B38" w:rsidR="402CF800" w:rsidRDefault="402CF800" w:rsidP="40680A01">
      <w:pPr>
        <w:pStyle w:val="ListParagraph"/>
        <w:rPr>
          <w:b/>
          <w:bCs/>
        </w:rPr>
      </w:pPr>
      <w:r w:rsidRPr="40680A01">
        <w:rPr>
          <w:b/>
          <w:bCs/>
        </w:rPr>
        <w:t>The NIHRC recommends that the NI Affairs Committee explore</w:t>
      </w:r>
      <w:r w:rsidR="004F7ADF">
        <w:rPr>
          <w:b/>
          <w:bCs/>
        </w:rPr>
        <w:t>s</w:t>
      </w:r>
      <w:r w:rsidRPr="40680A01">
        <w:rPr>
          <w:b/>
          <w:bCs/>
        </w:rPr>
        <w:t xml:space="preserve"> how changes to extradition and evidence sharing arrangements under the </w:t>
      </w:r>
      <w:r w:rsidR="004F7ADF">
        <w:rPr>
          <w:b/>
          <w:bCs/>
        </w:rPr>
        <w:t xml:space="preserve">UK-EU </w:t>
      </w:r>
      <w:r w:rsidRPr="40680A01">
        <w:rPr>
          <w:b/>
          <w:bCs/>
        </w:rPr>
        <w:t xml:space="preserve">Trade Cooperation Agreement have impacted victims’ rights to timely justice and defendants’ rights to a fair and prompt trial. </w:t>
      </w:r>
    </w:p>
    <w:p w14:paraId="7E1DA06F" w14:textId="123B5510" w:rsidR="40680A01" w:rsidRDefault="40680A01" w:rsidP="40680A01">
      <w:pPr>
        <w:pStyle w:val="ListParagraph"/>
        <w:numPr>
          <w:ilvl w:val="0"/>
          <w:numId w:val="0"/>
        </w:numPr>
        <w:ind w:left="720"/>
        <w:rPr>
          <w:b/>
          <w:bCs/>
        </w:rPr>
      </w:pPr>
    </w:p>
    <w:p w14:paraId="72029F11" w14:textId="7899F052" w:rsidR="402CF800" w:rsidRDefault="402CF800" w:rsidP="40680A01">
      <w:pPr>
        <w:pStyle w:val="ListParagraph"/>
        <w:rPr>
          <w:b/>
          <w:bCs/>
        </w:rPr>
      </w:pPr>
      <w:r w:rsidRPr="40680A01">
        <w:rPr>
          <w:b/>
          <w:bCs/>
        </w:rPr>
        <w:t>The NIHRC recommends that the NI Affairs Committee explore</w:t>
      </w:r>
      <w:r w:rsidR="004F7ADF">
        <w:rPr>
          <w:b/>
          <w:bCs/>
        </w:rPr>
        <w:t>s</w:t>
      </w:r>
      <w:r w:rsidRPr="40680A01">
        <w:rPr>
          <w:b/>
          <w:bCs/>
        </w:rPr>
        <w:t xml:space="preserve"> the extent to which the all-island approach to policing and justice cooperation has been maintained in practice since Brexit, and what steps are being taken to address any operational or legal gaps that have emerged. </w:t>
      </w:r>
    </w:p>
    <w:p w14:paraId="167928DD" w14:textId="3BCE9043" w:rsidR="40680A01" w:rsidRDefault="40680A01" w:rsidP="40680A01">
      <w:pPr>
        <w:rPr>
          <w:b/>
          <w:bCs/>
        </w:rPr>
      </w:pPr>
    </w:p>
    <w:p w14:paraId="06564D36" w14:textId="54F93C19" w:rsidR="00A626D3" w:rsidRDefault="00A626D3" w:rsidP="006B481D">
      <w:pPr>
        <w:pStyle w:val="ListParagraph"/>
        <w:rPr>
          <w:b/>
          <w:bCs/>
        </w:rPr>
      </w:pPr>
      <w:r w:rsidRPr="00FF4ADB">
        <w:rPr>
          <w:b/>
          <w:bCs/>
        </w:rPr>
        <w:t>The NIHRC advises that the highest standards of victims’ rights and rights of accused persons are central to cross-border criminal justice cooperation and recommends that the UK and the EU ensure that information sharing arrangements are sufficient to ensure investigations and proceedings are conducted in an efficient manner, in full compliance with the ECHR and EU Victims’ Directive.</w:t>
      </w:r>
    </w:p>
    <w:p w14:paraId="6C4C56A8" w14:textId="60691B43" w:rsidR="08F2F23F" w:rsidRDefault="08F2F23F" w:rsidP="40680A01">
      <w:pPr>
        <w:rPr>
          <w:b/>
          <w:bCs/>
        </w:rPr>
      </w:pPr>
    </w:p>
    <w:p w14:paraId="06D01CAB" w14:textId="4BC2DDE0" w:rsidR="00851C04" w:rsidRPr="009D46BE" w:rsidRDefault="00312954" w:rsidP="006B481D">
      <w:pPr>
        <w:pStyle w:val="ListParagraph"/>
      </w:pPr>
      <w:r w:rsidRPr="40680A01">
        <w:rPr>
          <w:b/>
          <w:bCs/>
        </w:rPr>
        <w:lastRenderedPageBreak/>
        <w:t xml:space="preserve">The </w:t>
      </w:r>
      <w:r w:rsidR="00097C4A" w:rsidRPr="40680A01">
        <w:rPr>
          <w:b/>
          <w:bCs/>
        </w:rPr>
        <w:t xml:space="preserve">NIHRC </w:t>
      </w:r>
      <w:r w:rsidR="00AE7BF9" w:rsidRPr="40680A01">
        <w:rPr>
          <w:b/>
          <w:bCs/>
        </w:rPr>
        <w:t>recommend</w:t>
      </w:r>
      <w:r w:rsidR="00A17259" w:rsidRPr="40680A01">
        <w:rPr>
          <w:b/>
          <w:bCs/>
        </w:rPr>
        <w:t>s</w:t>
      </w:r>
      <w:r w:rsidR="00534FE6" w:rsidRPr="40680A01">
        <w:rPr>
          <w:b/>
          <w:bCs/>
        </w:rPr>
        <w:t xml:space="preserve"> that in the absence of C</w:t>
      </w:r>
      <w:r w:rsidR="00851C04" w:rsidRPr="40680A01">
        <w:rPr>
          <w:b/>
          <w:bCs/>
        </w:rPr>
        <w:t xml:space="preserve">JEU oversight of the extradition process, the UK and EU establish clear safeguards within the </w:t>
      </w:r>
      <w:r w:rsidR="00A17259" w:rsidRPr="40680A01">
        <w:rPr>
          <w:b/>
          <w:bCs/>
        </w:rPr>
        <w:t>UK-EU Trade and Cooperation Agreement</w:t>
      </w:r>
      <w:r w:rsidR="00851C04" w:rsidRPr="40680A01">
        <w:rPr>
          <w:b/>
          <w:bCs/>
        </w:rPr>
        <w:t xml:space="preserve"> oversight mechanisms to ensure robust human rights safeguards for accused persons and victims of crime.</w:t>
      </w:r>
    </w:p>
    <w:p w14:paraId="79A733A8" w14:textId="547762E3" w:rsidR="0030537E" w:rsidRDefault="0030537E" w:rsidP="40680A01">
      <w:pPr>
        <w:rPr>
          <w:b/>
          <w:bCs/>
        </w:rPr>
      </w:pPr>
    </w:p>
    <w:p w14:paraId="2DA265FE" w14:textId="5C4A3956" w:rsidR="00E32D88" w:rsidRDefault="006B481D" w:rsidP="007B72F5">
      <w:pPr>
        <w:pStyle w:val="Heading2"/>
      </w:pPr>
      <w:bookmarkStart w:id="20" w:name="_Toc213340349"/>
      <w:r>
        <w:t>Maintenance of Data Protection Standards</w:t>
      </w:r>
      <w:bookmarkEnd w:id="20"/>
      <w:r>
        <w:t xml:space="preserve"> </w:t>
      </w:r>
    </w:p>
    <w:p w14:paraId="1573ECEC" w14:textId="2D59370A" w:rsidR="000102E3" w:rsidRDefault="00217414" w:rsidP="000102E3">
      <w:pPr>
        <w:pStyle w:val="ListParagraph"/>
      </w:pPr>
      <w:r>
        <w:t>Effective cross-border policing relies on the lawful and secure exchange of personal data.</w:t>
      </w:r>
      <w:r w:rsidR="00913AA9">
        <w:t xml:space="preserve"> </w:t>
      </w:r>
      <w:r w:rsidR="00CD3C7C">
        <w:t xml:space="preserve">During the passage of the </w:t>
      </w:r>
      <w:r w:rsidR="00FB769F">
        <w:t xml:space="preserve">Data (Use and Access) </w:t>
      </w:r>
      <w:r w:rsidR="00E22665">
        <w:t>Act 2025</w:t>
      </w:r>
      <w:r w:rsidR="00CD3C7C">
        <w:t xml:space="preserve">, the NIHRC raised concerns about </w:t>
      </w:r>
      <w:r w:rsidR="001A3899">
        <w:t xml:space="preserve">potential </w:t>
      </w:r>
      <w:r w:rsidR="0042041E">
        <w:t xml:space="preserve">compliance issues under Windsor Framework Article 2 </w:t>
      </w:r>
      <w:proofErr w:type="gramStart"/>
      <w:r w:rsidR="0042041E">
        <w:t>on the basis of</w:t>
      </w:r>
      <w:proofErr w:type="gramEnd"/>
      <w:r w:rsidR="0042041E">
        <w:t xml:space="preserve"> a </w:t>
      </w:r>
      <w:r w:rsidR="001A3899">
        <w:t>reduction in minimum standards previously required under EU law.</w:t>
      </w:r>
      <w:r w:rsidR="00FA3DFB">
        <w:t xml:space="preserve"> The </w:t>
      </w:r>
      <w:r w:rsidR="00D64901">
        <w:t>NIHRC</w:t>
      </w:r>
      <w:r w:rsidR="00FA3DFB">
        <w:t xml:space="preserve"> highlighted </w:t>
      </w:r>
      <w:r w:rsidR="00CD3C7C" w:rsidRPr="6C0D9EDE">
        <w:rPr>
          <w:rFonts w:eastAsia="Verdana" w:cs="Verdana"/>
          <w:color w:val="000000" w:themeColor="text1"/>
        </w:rPr>
        <w:t xml:space="preserve">the impact of changes to the rules and safeguards on automated decision-making and onward transfers of data to third countries and international </w:t>
      </w:r>
      <w:r w:rsidR="00D64901" w:rsidRPr="6C0D9EDE">
        <w:rPr>
          <w:rFonts w:eastAsia="Verdana" w:cs="Verdana"/>
          <w:color w:val="000000" w:themeColor="text1"/>
        </w:rPr>
        <w:t>organisations</w:t>
      </w:r>
      <w:r w:rsidR="00D64901">
        <w:t xml:space="preserve"> and</w:t>
      </w:r>
      <w:r w:rsidR="00493940">
        <w:t xml:space="preserve"> emphasised the importance of these issues for</w:t>
      </w:r>
      <w:r w:rsidR="00CD3C7C" w:rsidRPr="003D6BD9">
        <w:t xml:space="preserve"> the protection of cross-border and all-island services which rely on free-flow of data</w:t>
      </w:r>
      <w:r w:rsidR="00CD3C7C">
        <w:t>.</w:t>
      </w:r>
      <w:r w:rsidR="00CD3C7C">
        <w:rPr>
          <w:rStyle w:val="FootnoteReference"/>
        </w:rPr>
        <w:footnoteReference w:id="22"/>
      </w:r>
    </w:p>
    <w:p w14:paraId="1EFEA572" w14:textId="77777777" w:rsidR="00824416" w:rsidRDefault="00824416" w:rsidP="009D46BE"/>
    <w:p w14:paraId="083742A8" w14:textId="5ED5EC17" w:rsidR="00B85A3C" w:rsidRDefault="006779FC" w:rsidP="00CD3C7C">
      <w:pPr>
        <w:pStyle w:val="ListParagraph"/>
      </w:pPr>
      <w:r>
        <w:t xml:space="preserve">Following </w:t>
      </w:r>
      <w:r w:rsidR="00FD6E6E">
        <w:t xml:space="preserve">the UK’s exit from the EU, the free flow of data between the EU and the UK is made possible by the power of two data adequacy </w:t>
      </w:r>
      <w:r w:rsidR="00F15F88">
        <w:t>decisions by the EU which recognise the “essentially equivalent level of protection” in the UK and EU.</w:t>
      </w:r>
      <w:r w:rsidR="00F15F88">
        <w:rPr>
          <w:rStyle w:val="FootnoteReference"/>
        </w:rPr>
        <w:footnoteReference w:id="23"/>
      </w:r>
      <w:r w:rsidR="00F15F88">
        <w:t xml:space="preserve"> The data adequacy decisions are respectively under the EU G</w:t>
      </w:r>
      <w:r w:rsidR="00167CB2">
        <w:t>eneral Data Protection Regulation</w:t>
      </w:r>
      <w:r w:rsidR="00F15F88">
        <w:rPr>
          <w:rStyle w:val="FootnoteReference"/>
        </w:rPr>
        <w:footnoteReference w:id="24"/>
      </w:r>
      <w:r w:rsidR="00F15F88">
        <w:t xml:space="preserve"> and under the EU Data Protection Law </w:t>
      </w:r>
      <w:r w:rsidR="00167CB2">
        <w:t xml:space="preserve">Enforcement </w:t>
      </w:r>
      <w:r w:rsidR="00F15F88">
        <w:t>Directive</w:t>
      </w:r>
      <w:r w:rsidR="00F15F88">
        <w:rPr>
          <w:rStyle w:val="FootnoteReference"/>
        </w:rPr>
        <w:footnoteReference w:id="25"/>
      </w:r>
      <w:r w:rsidR="00E22665">
        <w:t xml:space="preserve"> and are </w:t>
      </w:r>
      <w:r w:rsidR="00DB31C8">
        <w:t xml:space="preserve">currently </w:t>
      </w:r>
      <w:r w:rsidR="00E22665">
        <w:t>subject to review.</w:t>
      </w:r>
    </w:p>
    <w:p w14:paraId="772FD26D" w14:textId="77777777" w:rsidR="00824416" w:rsidRDefault="00824416" w:rsidP="00E22665">
      <w:pPr>
        <w:pStyle w:val="ListParagraph"/>
        <w:numPr>
          <w:ilvl w:val="0"/>
          <w:numId w:val="0"/>
        </w:numPr>
        <w:ind w:left="720"/>
      </w:pPr>
    </w:p>
    <w:p w14:paraId="7D145AE4" w14:textId="33C973F2" w:rsidR="007413FC" w:rsidRDefault="00B85A3C" w:rsidP="00CD3C7C">
      <w:pPr>
        <w:pStyle w:val="ListParagraph"/>
      </w:pPr>
      <w:r>
        <w:t>Data adequacy decisions are vital for facilitating the cross-border aspects of justice and require safe transfer, storage and process</w:t>
      </w:r>
      <w:r w:rsidR="00117B65">
        <w:t>ing</w:t>
      </w:r>
      <w:r>
        <w:t xml:space="preserve"> vast amounts of personal data across the border. Any </w:t>
      </w:r>
      <w:r w:rsidR="000009B7">
        <w:t>disruption</w:t>
      </w:r>
      <w:r>
        <w:t xml:space="preserve"> o</w:t>
      </w:r>
      <w:r w:rsidR="00E923D2">
        <w:t>f</w:t>
      </w:r>
      <w:r>
        <w:t xml:space="preserve"> </w:t>
      </w:r>
      <w:r>
        <w:lastRenderedPageBreak/>
        <w:t xml:space="preserve">the EU data adequacy </w:t>
      </w:r>
      <w:r w:rsidR="00167CB2">
        <w:t xml:space="preserve">decision in respect of the UK </w:t>
      </w:r>
      <w:r>
        <w:t>would hinder investigations and proceedings</w:t>
      </w:r>
      <w:r w:rsidR="00EF30CB">
        <w:t xml:space="preserve">, resulting in a detrimental effect on cross-border justice in </w:t>
      </w:r>
      <w:r w:rsidR="00971DAA">
        <w:t>NI</w:t>
      </w:r>
      <w:r w:rsidR="00EF30CB">
        <w:t>.</w:t>
      </w:r>
      <w:r w:rsidR="00DD137F">
        <w:rPr>
          <w:rStyle w:val="FootnoteReference"/>
        </w:rPr>
        <w:footnoteReference w:id="26"/>
      </w:r>
      <w:r w:rsidR="00EF30CB">
        <w:t xml:space="preserve"> </w:t>
      </w:r>
      <w:r w:rsidR="00A7595F">
        <w:t>The House of Lords European Affairs Committee emphasi</w:t>
      </w:r>
      <w:r w:rsidR="00CD3C7C">
        <w:t>s</w:t>
      </w:r>
      <w:r w:rsidR="00A7595F">
        <w:t>ed that losing adequacy would negatively impact NI.</w:t>
      </w:r>
      <w:r w:rsidR="00A7595F">
        <w:rPr>
          <w:rStyle w:val="FootnoteReference"/>
        </w:rPr>
        <w:footnoteReference w:id="27"/>
      </w:r>
      <w:r w:rsidR="00483093">
        <w:t xml:space="preserve"> </w:t>
      </w:r>
      <w:r w:rsidR="00CD3C7C">
        <w:t xml:space="preserve">The Committee </w:t>
      </w:r>
      <w:r w:rsidR="00CD3C7C" w:rsidRPr="003D6BD9">
        <w:t>urged the UK Government to pursue data protection policies aimed at retaining the UK’s data adequacy status with the EU, under both the EU General Data Protection Regulation and EU Law Enforcement Directive.</w:t>
      </w:r>
      <w:r w:rsidR="00CD3C7C" w:rsidRPr="003D6BD9">
        <w:rPr>
          <w:rStyle w:val="FootnoteReference"/>
        </w:rPr>
        <w:footnoteReference w:id="28"/>
      </w:r>
      <w:r w:rsidR="00CD3C7C" w:rsidRPr="003D6BD9">
        <w:t xml:space="preserve"> In response</w:t>
      </w:r>
      <w:r w:rsidR="0096207F">
        <w:t>,</w:t>
      </w:r>
      <w:r w:rsidR="00CD3C7C" w:rsidRPr="003D6BD9">
        <w:t xml:space="preserve"> the </w:t>
      </w:r>
      <w:r w:rsidR="00CD3C7C">
        <w:t xml:space="preserve">then </w:t>
      </w:r>
      <w:r w:rsidR="00CD3C7C" w:rsidRPr="003D6BD9">
        <w:t>Secretary of State for Science, Innovation and Technology</w:t>
      </w:r>
      <w:r w:rsidR="00CD3C7C">
        <w:t xml:space="preserve"> </w:t>
      </w:r>
      <w:r w:rsidR="00CD3C7C" w:rsidRPr="003D6BD9">
        <w:t>acknowledged that data flows support justice cooperation between the UK and EU.</w:t>
      </w:r>
      <w:r w:rsidR="00CD3C7C" w:rsidRPr="003D6BD9">
        <w:rPr>
          <w:rStyle w:val="FootnoteReference"/>
        </w:rPr>
        <w:footnoteReference w:id="29"/>
      </w:r>
      <w:r w:rsidR="00CD3C7C">
        <w:t xml:space="preserve"> </w:t>
      </w:r>
    </w:p>
    <w:p w14:paraId="3A48D03E" w14:textId="77777777" w:rsidR="00824416" w:rsidRDefault="00824416" w:rsidP="00E22665">
      <w:pPr>
        <w:pStyle w:val="ListParagraph"/>
        <w:numPr>
          <w:ilvl w:val="0"/>
          <w:numId w:val="0"/>
        </w:numPr>
        <w:ind w:left="720"/>
      </w:pPr>
    </w:p>
    <w:p w14:paraId="76F06498" w14:textId="3053F9B4" w:rsidR="00CD3C7C" w:rsidRPr="00E22665" w:rsidRDefault="00E22665" w:rsidP="40680A01">
      <w:pPr>
        <w:pStyle w:val="ListParagraph"/>
        <w:rPr>
          <w:rFonts w:eastAsia="Calibri" w:cs="Arial"/>
        </w:rPr>
      </w:pPr>
      <w:r w:rsidRPr="6C0D9EDE">
        <w:rPr>
          <w:rFonts w:eastAsia="Calibri" w:cs="Arial"/>
          <w:kern w:val="2"/>
          <w14:ligatures w14:val="standardContextual"/>
        </w:rPr>
        <w:t>In June 2025, the EU Commission extended the UK data adequacy decisions until 27 December 2025, as the UK was in the process of passing the then Data (Use and Access) Bill.</w:t>
      </w:r>
      <w:r w:rsidRPr="6C0D9EDE">
        <w:rPr>
          <w:rFonts w:eastAsia="Calibri" w:cs="Arial"/>
          <w:kern w:val="2"/>
          <w:vertAlign w:val="superscript"/>
          <w14:ligatures w14:val="standardContextual"/>
        </w:rPr>
        <w:footnoteReference w:id="30"/>
      </w:r>
      <w:r w:rsidRPr="6C0D9EDE">
        <w:rPr>
          <w:rFonts w:eastAsia="Calibri" w:cs="Arial"/>
          <w:kern w:val="2"/>
          <w14:ligatures w14:val="standardContextual"/>
        </w:rPr>
        <w:t xml:space="preserve"> </w:t>
      </w:r>
      <w:r w:rsidR="00CD3C7C">
        <w:t xml:space="preserve">In July 2025, the </w:t>
      </w:r>
      <w:r w:rsidR="00167CB2">
        <w:t>EU</w:t>
      </w:r>
      <w:r w:rsidR="00CD3C7C">
        <w:t xml:space="preserve"> Commission published a draft decision proposing the renewal of the EU adequacy decision in respect of the UK on the basis that it deemed data protection standards in the UK to be “essentially equivalent” to EU standards, based on relevant legislation and the UK’s commitment to the ECHR.</w:t>
      </w:r>
      <w:r w:rsidR="00CD3C7C" w:rsidRPr="6C0D9EDE">
        <w:rPr>
          <w:rStyle w:val="FootnoteReference"/>
          <w:rFonts w:eastAsia="Calibri" w:cs="Arial"/>
          <w:kern w:val="2"/>
          <w14:ligatures w14:val="standardContextual"/>
        </w:rPr>
        <w:footnoteReference w:id="31"/>
      </w:r>
      <w:r w:rsidR="00CD3C7C">
        <w:t xml:space="preserve">  </w:t>
      </w:r>
      <w:r w:rsidR="00737472">
        <w:t xml:space="preserve">In October 2025, the European Data Protection Board adopted its opinion on the </w:t>
      </w:r>
      <w:r w:rsidR="00167CB2">
        <w:t>EU</w:t>
      </w:r>
      <w:r w:rsidR="00737472">
        <w:t xml:space="preserve"> Commission’s draft decision extending the UK’s adequacy status under the EU Law Enforcement Directive.</w:t>
      </w:r>
      <w:r w:rsidR="00D442E4">
        <w:rPr>
          <w:rStyle w:val="FootnoteReference"/>
        </w:rPr>
        <w:footnoteReference w:id="32"/>
      </w:r>
      <w:r w:rsidR="00737472">
        <w:t xml:space="preserve"> The opinion highlighted areas requiring ongoing monitoring, including the transfer of data and the UK’s new powers to amend data protection law through secondary legislation under the Data (Use and Access) Act 2025.</w:t>
      </w:r>
      <w:r w:rsidR="000A3C11">
        <w:rPr>
          <w:rStyle w:val="FootnoteReference"/>
        </w:rPr>
        <w:footnoteReference w:id="33"/>
      </w:r>
      <w:r w:rsidR="00737472">
        <w:t xml:space="preserve"> </w:t>
      </w:r>
      <w:r w:rsidR="002418CA">
        <w:t xml:space="preserve"> </w:t>
      </w:r>
      <w:r w:rsidR="00CD3C7C" w:rsidRPr="6C0D9EDE">
        <w:rPr>
          <w:rFonts w:eastAsia="Calibri" w:cs="Arial"/>
          <w:kern w:val="2"/>
          <w14:ligatures w14:val="standardContextual"/>
        </w:rPr>
        <w:t xml:space="preserve">The draft decisions </w:t>
      </w:r>
      <w:r w:rsidR="00CD3C7C" w:rsidRPr="6C0D9EDE">
        <w:rPr>
          <w:rFonts w:eastAsia="Calibri" w:cs="Arial"/>
          <w:kern w:val="2"/>
          <w14:ligatures w14:val="standardContextual"/>
        </w:rPr>
        <w:lastRenderedPageBreak/>
        <w:t xml:space="preserve">are subject to </w:t>
      </w:r>
      <w:r w:rsidR="00DE3CC8">
        <w:rPr>
          <w:rFonts w:eastAsia="Calibri" w:cs="Arial"/>
          <w:kern w:val="2"/>
          <w14:ligatures w14:val="standardContextual"/>
        </w:rPr>
        <w:t>approval from representatives of EU countries and adoption of the final decision by the E</w:t>
      </w:r>
      <w:r w:rsidR="00E77FB2">
        <w:rPr>
          <w:rFonts w:eastAsia="Calibri" w:cs="Arial"/>
          <w:kern w:val="2"/>
          <w14:ligatures w14:val="standardContextual"/>
        </w:rPr>
        <w:t>U</w:t>
      </w:r>
      <w:r w:rsidR="00DE3CC8">
        <w:rPr>
          <w:rFonts w:eastAsia="Calibri" w:cs="Arial"/>
          <w:kern w:val="2"/>
          <w14:ligatures w14:val="standardContextual"/>
        </w:rPr>
        <w:t xml:space="preserve"> Commission</w:t>
      </w:r>
      <w:r w:rsidR="00A86DEC">
        <w:rPr>
          <w:rFonts w:eastAsia="Calibri" w:cs="Arial"/>
          <w:kern w:val="2"/>
          <w14:ligatures w14:val="standardContextual"/>
        </w:rPr>
        <w:t>.</w:t>
      </w:r>
    </w:p>
    <w:p w14:paraId="43E71473" w14:textId="77777777" w:rsidR="00824416" w:rsidRDefault="00824416" w:rsidP="00E22665">
      <w:pPr>
        <w:pStyle w:val="ListParagraph"/>
        <w:numPr>
          <w:ilvl w:val="0"/>
          <w:numId w:val="0"/>
        </w:numPr>
        <w:ind w:left="720"/>
      </w:pPr>
    </w:p>
    <w:p w14:paraId="62594D3F" w14:textId="2B47DA99" w:rsidR="00CD3C7C" w:rsidRDefault="00CD3C7C" w:rsidP="40680A01">
      <w:pPr>
        <w:pStyle w:val="ListParagraph"/>
        <w:rPr>
          <w:b/>
          <w:bCs/>
        </w:rPr>
      </w:pPr>
      <w:r w:rsidRPr="40680A01">
        <w:rPr>
          <w:b/>
          <w:bCs/>
        </w:rPr>
        <w:t xml:space="preserve">The </w:t>
      </w:r>
      <w:r w:rsidR="00FF4ADB" w:rsidRPr="40680A01">
        <w:rPr>
          <w:b/>
          <w:bCs/>
        </w:rPr>
        <w:t>NIHRC</w:t>
      </w:r>
      <w:r w:rsidRPr="40680A01">
        <w:rPr>
          <w:b/>
          <w:bCs/>
        </w:rPr>
        <w:t xml:space="preserve"> recommends that, </w:t>
      </w:r>
      <w:r w:rsidRPr="40680A01">
        <w:rPr>
          <w:b/>
          <w:bCs/>
          <w:lang w:eastAsia="en-GB"/>
        </w:rPr>
        <w:t xml:space="preserve">to facilitate cross-border justice co-operation, the Secretary of State for Science, Innovation and Technology ensures that data protection standards in the UK, including under the Data (Use and Access) </w:t>
      </w:r>
      <w:r w:rsidR="00F94B1B" w:rsidRPr="40680A01">
        <w:rPr>
          <w:b/>
          <w:bCs/>
          <w:lang w:eastAsia="en-GB"/>
        </w:rPr>
        <w:t xml:space="preserve">Act 2025 </w:t>
      </w:r>
      <w:r w:rsidRPr="40680A01">
        <w:rPr>
          <w:b/>
          <w:bCs/>
          <w:lang w:eastAsia="en-GB"/>
        </w:rPr>
        <w:t>continue to enable data-sharing between the UK and the EU.</w:t>
      </w:r>
    </w:p>
    <w:p w14:paraId="19FF36C4" w14:textId="77777777" w:rsidR="00824416" w:rsidRPr="00E22665" w:rsidRDefault="00824416" w:rsidP="00E22665">
      <w:pPr>
        <w:pStyle w:val="ListParagraph"/>
        <w:numPr>
          <w:ilvl w:val="0"/>
          <w:numId w:val="0"/>
        </w:numPr>
        <w:ind w:left="720"/>
        <w:rPr>
          <w:b/>
        </w:rPr>
      </w:pPr>
    </w:p>
    <w:p w14:paraId="5A6803BB" w14:textId="02696B80" w:rsidR="00A626D3" w:rsidRPr="00A626D3" w:rsidRDefault="00A626D3" w:rsidP="00A626D3">
      <w:pPr>
        <w:pStyle w:val="ListParagraph"/>
        <w:rPr>
          <w:b/>
          <w:bCs/>
          <w:szCs w:val="28"/>
        </w:rPr>
      </w:pPr>
      <w:bookmarkStart w:id="21" w:name="_Hlk210832532"/>
      <w:r w:rsidRPr="00A626D3">
        <w:rPr>
          <w:b/>
          <w:bCs/>
        </w:rPr>
        <w:t xml:space="preserve">The </w:t>
      </w:r>
      <w:r w:rsidR="00FF4ADB">
        <w:rPr>
          <w:b/>
          <w:bCs/>
        </w:rPr>
        <w:t>NIHRC</w:t>
      </w:r>
      <w:r w:rsidR="00A016C8">
        <w:rPr>
          <w:b/>
          <w:bCs/>
        </w:rPr>
        <w:t xml:space="preserve"> </w:t>
      </w:r>
      <w:r w:rsidRPr="00A626D3">
        <w:rPr>
          <w:b/>
          <w:bCs/>
        </w:rPr>
        <w:t xml:space="preserve">recommends </w:t>
      </w:r>
      <w:bookmarkStart w:id="22" w:name="_Hlk206016025"/>
      <w:r w:rsidRPr="00A626D3">
        <w:rPr>
          <w:b/>
          <w:bCs/>
        </w:rPr>
        <w:t xml:space="preserve">that the Secretary of State for Science, Innovation and Technology ensures that </w:t>
      </w:r>
      <w:r w:rsidRPr="00A626D3">
        <w:rPr>
          <w:b/>
          <w:bCs/>
          <w:szCs w:val="28"/>
          <w:lang w:eastAsia="en-GB"/>
        </w:rPr>
        <w:t>any changes to data protection standards in the UK, including under the Data (Use and Access) Act 2025,</w:t>
      </w:r>
      <w:r w:rsidRPr="00A626D3">
        <w:rPr>
          <w:b/>
          <w:bCs/>
          <w:lang w:eastAsia="en-GB"/>
        </w:rPr>
        <w:t xml:space="preserve"> </w:t>
      </w:r>
      <w:r w:rsidRPr="00A626D3">
        <w:rPr>
          <w:b/>
          <w:bCs/>
        </w:rPr>
        <w:t>fully take account of the importance of data-sharing for effective North-South co-operation on public services, such as healthcare and justice, and do not result in a lowering of standards which would put at risk the renewal of EU data adequacy decisions regarding the UK.</w:t>
      </w:r>
      <w:bookmarkEnd w:id="22"/>
    </w:p>
    <w:bookmarkEnd w:id="21"/>
    <w:p w14:paraId="23C13CDB" w14:textId="77777777" w:rsidR="0030537E" w:rsidRPr="00E22665" w:rsidRDefault="0030537E" w:rsidP="00E22665">
      <w:pPr>
        <w:rPr>
          <w:b/>
          <w:bCs/>
        </w:rPr>
      </w:pPr>
    </w:p>
    <w:p w14:paraId="14971A79" w14:textId="10253ACE" w:rsidR="000C115C" w:rsidRPr="000C115C" w:rsidRDefault="00E71B9E" w:rsidP="000C115C">
      <w:pPr>
        <w:pStyle w:val="Heading1"/>
      </w:pPr>
      <w:bookmarkStart w:id="23" w:name="_Toc213340350"/>
      <w:r>
        <w:t>P</w:t>
      </w:r>
      <w:r w:rsidR="00B22642">
        <w:t xml:space="preserve">olice </w:t>
      </w:r>
      <w:r>
        <w:t>S</w:t>
      </w:r>
      <w:r w:rsidR="00B22642">
        <w:t xml:space="preserve">ervice of </w:t>
      </w:r>
      <w:r>
        <w:t xml:space="preserve">NI Coordination with </w:t>
      </w:r>
      <w:r w:rsidR="00B22642">
        <w:t xml:space="preserve">the </w:t>
      </w:r>
      <w:r>
        <w:t>Home Office in the Common Travel Area</w:t>
      </w:r>
      <w:bookmarkEnd w:id="23"/>
      <w:r>
        <w:t xml:space="preserve"> </w:t>
      </w:r>
    </w:p>
    <w:p w14:paraId="1BDBFECA" w14:textId="78D33CE2" w:rsidR="000C115C" w:rsidRDefault="00F212F2" w:rsidP="00E32D88">
      <w:pPr>
        <w:pStyle w:val="ListParagraph"/>
      </w:pPr>
      <w:r>
        <w:t>Policing the C</w:t>
      </w:r>
      <w:r w:rsidR="00CF3B71">
        <w:t>ommon Travel Area</w:t>
      </w:r>
      <w:r>
        <w:t xml:space="preserve"> is directly affected by the underpinning legal framework between the UK and Ireland. </w:t>
      </w:r>
      <w:r w:rsidR="00407C23">
        <w:t xml:space="preserve">The Common Travel Area precedes both the UK and Irish membership of the EU and provides for the free movement for British and Irish citizens between both jurisdictions. However, the </w:t>
      </w:r>
      <w:r w:rsidR="00D95FAB">
        <w:t xml:space="preserve">NIHRC </w:t>
      </w:r>
      <w:r w:rsidR="00407C23">
        <w:t xml:space="preserve">has </w:t>
      </w:r>
      <w:r w:rsidR="00B22642">
        <w:t>long</w:t>
      </w:r>
      <w:r w:rsidR="00BF1690">
        <w:t>-</w:t>
      </w:r>
      <w:r w:rsidR="00B22642">
        <w:t>standing concerns</w:t>
      </w:r>
      <w:r w:rsidR="00407C23">
        <w:t xml:space="preserve"> that the </w:t>
      </w:r>
      <w:r w:rsidR="00B22642">
        <w:t xml:space="preserve">Common Travel Area </w:t>
      </w:r>
      <w:r w:rsidR="00407C23">
        <w:t xml:space="preserve">has never been placed on firm treaty footing and instead </w:t>
      </w:r>
      <w:r w:rsidR="7A11EE48">
        <w:t>operations</w:t>
      </w:r>
      <w:r w:rsidR="00407C23">
        <w:t xml:space="preserve"> through a combination of administrative arrangements and policy commitments. </w:t>
      </w:r>
    </w:p>
    <w:p w14:paraId="1DDACFE7" w14:textId="77777777" w:rsidR="00824416" w:rsidRDefault="00824416" w:rsidP="00BB067A">
      <w:pPr>
        <w:pStyle w:val="ListParagraph"/>
        <w:numPr>
          <w:ilvl w:val="0"/>
          <w:numId w:val="0"/>
        </w:numPr>
        <w:ind w:left="720"/>
      </w:pPr>
    </w:p>
    <w:p w14:paraId="15AD2DC4" w14:textId="1A1D2798" w:rsidR="00B22642" w:rsidRDefault="00B22642" w:rsidP="00B22642">
      <w:pPr>
        <w:pStyle w:val="ListParagraph"/>
      </w:pPr>
      <w:r w:rsidRPr="00A42902">
        <w:t xml:space="preserve">Research published by </w:t>
      </w:r>
      <w:r>
        <w:t xml:space="preserve">the </w:t>
      </w:r>
      <w:r w:rsidR="00D95FAB">
        <w:t>NIHRC</w:t>
      </w:r>
      <w:r w:rsidR="00D95FAB" w:rsidRPr="00A42902">
        <w:t xml:space="preserve"> </w:t>
      </w:r>
      <w:r w:rsidRPr="00A42902">
        <w:t xml:space="preserve">and </w:t>
      </w:r>
      <w:r>
        <w:t>the</w:t>
      </w:r>
      <w:r w:rsidRPr="00A42902">
        <w:t xml:space="preserve"> </w:t>
      </w:r>
      <w:r>
        <w:t xml:space="preserve">Irish Human Rights and Equality Commission </w:t>
      </w:r>
      <w:r w:rsidRPr="00A42902">
        <w:t xml:space="preserve">found that </w:t>
      </w:r>
      <w:r>
        <w:t xml:space="preserve">the </w:t>
      </w:r>
      <w:r w:rsidRPr="00A42902">
        <w:t xml:space="preserve">limited legal underpinning </w:t>
      </w:r>
      <w:r>
        <w:t>that the Common Travel Area</w:t>
      </w:r>
      <w:r w:rsidRPr="00A42902">
        <w:t xml:space="preserve"> had was largely dependent on EU </w:t>
      </w:r>
      <w:r w:rsidR="00A33CCD">
        <w:t>law</w:t>
      </w:r>
      <w:r w:rsidRPr="00A42902">
        <w:t>.</w:t>
      </w:r>
      <w:r>
        <w:rPr>
          <w:rStyle w:val="FootnoteReference"/>
        </w:rPr>
        <w:footnoteReference w:id="34"/>
      </w:r>
      <w:r w:rsidRPr="00A42902">
        <w:t xml:space="preserve"> </w:t>
      </w:r>
      <w:r w:rsidRPr="00B31CBB">
        <w:lastRenderedPageBreak/>
        <w:t>Rights under the EU Settlement Scheme are, by contrast, anchored in an international treaty, incorporated into domestic law.</w:t>
      </w:r>
      <w:r w:rsidRPr="00DA5CB4">
        <w:rPr>
          <w:rStyle w:val="FootnoteReference"/>
        </w:rPr>
        <w:footnoteReference w:id="35"/>
      </w:r>
      <w:r w:rsidR="6FC931AD" w:rsidRPr="40680A01">
        <w:rPr>
          <w:rStyle w:val="FootnoteReference"/>
        </w:rPr>
        <w:t xml:space="preserve"> </w:t>
      </w:r>
    </w:p>
    <w:p w14:paraId="4F6615EA" w14:textId="680A3895" w:rsidR="40680A01" w:rsidRDefault="40680A01" w:rsidP="40680A01">
      <w:pPr>
        <w:pStyle w:val="ListParagraph"/>
        <w:numPr>
          <w:ilvl w:val="0"/>
          <w:numId w:val="0"/>
        </w:numPr>
        <w:ind w:left="720"/>
      </w:pPr>
    </w:p>
    <w:p w14:paraId="6829E490" w14:textId="783A262F" w:rsidR="00C61945" w:rsidRPr="00C61945" w:rsidRDefault="00C61945" w:rsidP="00E32D88">
      <w:pPr>
        <w:pStyle w:val="ListParagraph"/>
        <w:rPr>
          <w:b/>
        </w:rPr>
      </w:pPr>
      <w:r w:rsidRPr="00C61945">
        <w:rPr>
          <w:rFonts w:cs="Arial"/>
          <w:b/>
        </w:rPr>
        <w:t xml:space="preserve">The NIHRC recommends that the Common Travel Area and rights associated with it are enshrined in a comprehensive bilateral treaty by the UK Government and Government of Ireland and incorporated into domestic legislation. The </w:t>
      </w:r>
      <w:r w:rsidR="00D95FAB">
        <w:rPr>
          <w:rFonts w:cs="Arial"/>
          <w:b/>
        </w:rPr>
        <w:t>NIHRC</w:t>
      </w:r>
      <w:r w:rsidR="00D95FAB" w:rsidRPr="00C61945">
        <w:rPr>
          <w:rFonts w:cs="Arial"/>
          <w:b/>
        </w:rPr>
        <w:t xml:space="preserve"> </w:t>
      </w:r>
      <w:r w:rsidRPr="00C61945">
        <w:rPr>
          <w:rFonts w:cs="Arial"/>
          <w:b/>
        </w:rPr>
        <w:t>further recommends that this agreement codifies reciprocal free movement rights and rights to employment, education, health care, justice and security to maintain at least the same level of protection as existed on 31 December 2020.</w:t>
      </w:r>
    </w:p>
    <w:p w14:paraId="0FD33FFF" w14:textId="77777777" w:rsidR="00C61945" w:rsidRPr="00C61945" w:rsidRDefault="00C61945" w:rsidP="00C61945">
      <w:pPr>
        <w:pStyle w:val="ListParagraph"/>
        <w:numPr>
          <w:ilvl w:val="0"/>
          <w:numId w:val="0"/>
        </w:numPr>
        <w:ind w:left="720"/>
        <w:rPr>
          <w:b/>
        </w:rPr>
      </w:pPr>
    </w:p>
    <w:p w14:paraId="312E63C8" w14:textId="668B6928" w:rsidR="00E71B9E" w:rsidRDefault="00233487" w:rsidP="00E71B9E">
      <w:pPr>
        <w:pStyle w:val="Heading2"/>
      </w:pPr>
      <w:bookmarkStart w:id="24" w:name="_Toc213340351"/>
      <w:r>
        <w:t>Electronic Travel Authorisations and Identity Documents</w:t>
      </w:r>
      <w:bookmarkEnd w:id="24"/>
      <w:r>
        <w:t xml:space="preserve"> </w:t>
      </w:r>
    </w:p>
    <w:p w14:paraId="05F7900A" w14:textId="77777777" w:rsidR="00C61945" w:rsidRDefault="00C61945" w:rsidP="0021535E">
      <w:pPr>
        <w:pStyle w:val="ListParagraph"/>
      </w:pPr>
      <w:r w:rsidRPr="00B059D8">
        <w:t>Electronic Travel Authorisatio</w:t>
      </w:r>
      <w:r>
        <w:t>n</w:t>
      </w:r>
      <w:r w:rsidRPr="00B059D8">
        <w:t xml:space="preserve"> </w:t>
      </w:r>
      <w:r>
        <w:t>is</w:t>
      </w:r>
      <w:r w:rsidRPr="00B059D8">
        <w:t xml:space="preserve"> required for all </w:t>
      </w:r>
      <w:r>
        <w:t xml:space="preserve">“visitors to the UK who do not currently </w:t>
      </w:r>
      <w:r w:rsidRPr="003D6BD9">
        <w:t>need</w:t>
      </w:r>
      <w:r>
        <w:t xml:space="preserve"> a visa for short stays, or who do not already have a UK immigration status”.</w:t>
      </w:r>
      <w:r>
        <w:rPr>
          <w:rStyle w:val="FootnoteReference"/>
        </w:rPr>
        <w:footnoteReference w:id="36"/>
      </w:r>
      <w:r>
        <w:t xml:space="preserve"> It is “a digital permission to travel – it is not a visa and does not permit entry into the UK – it authorises a person to travel to the UK”.</w:t>
      </w:r>
      <w:r>
        <w:rPr>
          <w:rStyle w:val="FootnoteReference"/>
        </w:rPr>
        <w:footnoteReference w:id="37"/>
      </w:r>
      <w:r>
        <w:t xml:space="preserve"> </w:t>
      </w:r>
      <w:r w:rsidRPr="40680A01">
        <w:rPr>
          <w:lang w:eastAsia="en-GB"/>
        </w:rPr>
        <w:t>Irish citizens,</w:t>
      </w:r>
      <w:r w:rsidRPr="40680A01">
        <w:rPr>
          <w:rStyle w:val="FootnoteReference"/>
          <w:lang w:eastAsia="en-GB"/>
        </w:rPr>
        <w:footnoteReference w:id="38"/>
      </w:r>
      <w:r w:rsidRPr="40680A01">
        <w:rPr>
          <w:lang w:eastAsia="en-GB"/>
        </w:rPr>
        <w:t xml:space="preserve"> non-visa nationals legally resident in Ireland,</w:t>
      </w:r>
      <w:r w:rsidRPr="40680A01">
        <w:rPr>
          <w:rStyle w:val="FootnoteReference"/>
          <w:lang w:eastAsia="en-GB"/>
        </w:rPr>
        <w:footnoteReference w:id="39"/>
      </w:r>
      <w:r w:rsidRPr="40680A01">
        <w:rPr>
          <w:lang w:eastAsia="en-GB"/>
        </w:rPr>
        <w:t xml:space="preserve"> and individuals with dual Irish/British citizenship</w:t>
      </w:r>
      <w:r w:rsidRPr="40680A01">
        <w:rPr>
          <w:rStyle w:val="FootnoteReference"/>
          <w:lang w:eastAsia="en-GB"/>
        </w:rPr>
        <w:footnoteReference w:id="40"/>
      </w:r>
      <w:r w:rsidRPr="40680A01">
        <w:rPr>
          <w:lang w:eastAsia="en-GB"/>
        </w:rPr>
        <w:t xml:space="preserve"> do not require an </w:t>
      </w:r>
      <w:r w:rsidRPr="00B059D8">
        <w:t>Electronic Travel Authorisatio</w:t>
      </w:r>
      <w:r>
        <w:t>n</w:t>
      </w:r>
      <w:r w:rsidRPr="40680A01">
        <w:rPr>
          <w:lang w:eastAsia="en-GB"/>
        </w:rPr>
        <w:t xml:space="preserve">. </w:t>
      </w:r>
      <w:r>
        <w:rPr>
          <w:lang w:eastAsia="en-GB"/>
        </w:rPr>
        <w:t xml:space="preserve">Since </w:t>
      </w:r>
      <w:r w:rsidRPr="00B14312">
        <w:rPr>
          <w:lang w:eastAsia="en-GB"/>
        </w:rPr>
        <w:t>January 2025, all non-European travellers</w:t>
      </w:r>
      <w:r>
        <w:rPr>
          <w:lang w:eastAsia="en-GB"/>
        </w:rPr>
        <w:t xml:space="preserve"> who do not require a visa</w:t>
      </w:r>
      <w:r w:rsidRPr="00B14312">
        <w:rPr>
          <w:lang w:eastAsia="en-GB"/>
        </w:rPr>
        <w:t xml:space="preserve"> </w:t>
      </w:r>
      <w:r>
        <w:rPr>
          <w:lang w:eastAsia="en-GB"/>
        </w:rPr>
        <w:t>a</w:t>
      </w:r>
      <w:r w:rsidRPr="00B14312">
        <w:rPr>
          <w:lang w:eastAsia="en-GB"/>
        </w:rPr>
        <w:t xml:space="preserve">re required to obtain an </w:t>
      </w:r>
      <w:r w:rsidRPr="00B059D8">
        <w:t>Electronic Travel Authorisatio</w:t>
      </w:r>
      <w:r>
        <w:t>n</w:t>
      </w:r>
      <w:r w:rsidRPr="00B14312">
        <w:rPr>
          <w:lang w:eastAsia="en-GB"/>
        </w:rPr>
        <w:t xml:space="preserve"> for entry into the UK</w:t>
      </w:r>
      <w:r>
        <w:rPr>
          <w:lang w:eastAsia="en-GB"/>
        </w:rPr>
        <w:t>.</w:t>
      </w:r>
      <w:r>
        <w:rPr>
          <w:rStyle w:val="FootnoteReference"/>
        </w:rPr>
        <w:footnoteReference w:id="41"/>
      </w:r>
      <w:r>
        <w:rPr>
          <w:lang w:eastAsia="en-GB"/>
        </w:rPr>
        <w:t xml:space="preserve"> Furthermore, f</w:t>
      </w:r>
      <w:r w:rsidRPr="00B14312">
        <w:rPr>
          <w:lang w:eastAsia="en-GB"/>
        </w:rPr>
        <w:t>rom April 2025</w:t>
      </w:r>
      <w:r>
        <w:rPr>
          <w:lang w:eastAsia="en-GB"/>
        </w:rPr>
        <w:t>, e</w:t>
      </w:r>
      <w:r w:rsidRPr="00B14312">
        <w:rPr>
          <w:lang w:eastAsia="en-GB"/>
        </w:rPr>
        <w:t xml:space="preserve">ligible European visitors need an </w:t>
      </w:r>
      <w:r w:rsidRPr="00B059D8">
        <w:t>Electronic Travel Authorisatio</w:t>
      </w:r>
      <w:r>
        <w:t>n</w:t>
      </w:r>
      <w:r w:rsidRPr="00B14312">
        <w:rPr>
          <w:lang w:eastAsia="en-GB"/>
        </w:rPr>
        <w:t xml:space="preserve"> to travel to the UK.</w:t>
      </w:r>
      <w:r>
        <w:rPr>
          <w:rStyle w:val="FootnoteReference"/>
        </w:rPr>
        <w:footnoteReference w:id="42"/>
      </w:r>
      <w:r>
        <w:rPr>
          <w:lang w:eastAsia="en-GB"/>
        </w:rPr>
        <w:t xml:space="preserve"> </w:t>
      </w:r>
      <w:r>
        <w:t xml:space="preserve">EU citizens with settled or pre-settled status and </w:t>
      </w:r>
      <w:r w:rsidRPr="00431B4A">
        <w:t xml:space="preserve">British Nationals (Overseas) passport holders </w:t>
      </w:r>
      <w:r>
        <w:t xml:space="preserve">are </w:t>
      </w:r>
      <w:r w:rsidRPr="00431B4A">
        <w:t>exempt.</w:t>
      </w:r>
      <w:r>
        <w:rPr>
          <w:rStyle w:val="FootnoteReference"/>
        </w:rPr>
        <w:footnoteReference w:id="43"/>
      </w:r>
    </w:p>
    <w:p w14:paraId="7BB2670B" w14:textId="77777777" w:rsidR="00824416" w:rsidRDefault="00824416" w:rsidP="00BB067A"/>
    <w:p w14:paraId="764E2EEA" w14:textId="434B589B" w:rsidR="00A26358" w:rsidRDefault="00D86AFB" w:rsidP="0021535E">
      <w:pPr>
        <w:pStyle w:val="ListParagraph"/>
      </w:pPr>
      <w:r>
        <w:t xml:space="preserve">The </w:t>
      </w:r>
      <w:r w:rsidR="00D95FAB">
        <w:t xml:space="preserve">NIHRC </w:t>
      </w:r>
      <w:r>
        <w:t xml:space="preserve">has expressed concern about the </w:t>
      </w:r>
      <w:r w:rsidR="00DE6B8C">
        <w:t xml:space="preserve">additional </w:t>
      </w:r>
      <w:r>
        <w:t xml:space="preserve">immigration checks associated with the operation of </w:t>
      </w:r>
      <w:r w:rsidR="00A26358" w:rsidRPr="00B059D8">
        <w:t>Electronic Travel Authorisatio</w:t>
      </w:r>
      <w:r w:rsidR="00A26358">
        <w:t>n</w:t>
      </w:r>
      <w:r>
        <w:t xml:space="preserve">s within the UK and </w:t>
      </w:r>
      <w:r w:rsidR="004979B7">
        <w:t>Irish</w:t>
      </w:r>
      <w:r>
        <w:t xml:space="preserve"> Government, including the </w:t>
      </w:r>
      <w:r>
        <w:lastRenderedPageBreak/>
        <w:t>risk of racial profiling and the impact on Article 8 of the ECHR.</w:t>
      </w:r>
      <w:r w:rsidR="000A2B3C">
        <w:rPr>
          <w:rStyle w:val="FootnoteReference"/>
        </w:rPr>
        <w:footnoteReference w:id="44"/>
      </w:r>
    </w:p>
    <w:p w14:paraId="650DF1AE" w14:textId="45D7DCA9" w:rsidR="40680A01" w:rsidRDefault="40680A01" w:rsidP="40680A01">
      <w:pPr>
        <w:pStyle w:val="ListParagraph"/>
        <w:numPr>
          <w:ilvl w:val="0"/>
          <w:numId w:val="0"/>
        </w:numPr>
        <w:ind w:left="720"/>
      </w:pPr>
    </w:p>
    <w:p w14:paraId="1C9288C1" w14:textId="0D2EA70E" w:rsidR="00A80227" w:rsidRDefault="00A80227" w:rsidP="0021535E">
      <w:pPr>
        <w:pStyle w:val="ListParagraph"/>
      </w:pPr>
      <w:r>
        <w:t xml:space="preserve">In 2024, the Chair of the Justice and Home Affairs Committee, Lord Foster of Bath, wrote to the then Minister for Legal Migration and the Border, Tom </w:t>
      </w:r>
      <w:proofErr w:type="spellStart"/>
      <w:r>
        <w:t>Pursglove</w:t>
      </w:r>
      <w:proofErr w:type="spellEnd"/>
      <w:r>
        <w:t xml:space="preserve"> MP, recommending that the UK Government monitor the operation of the scheme to ensure its operation does not impact on individuals who are exempt from Electronic Travel Authorisations or entitled to free movement under Common Travel Area rules.</w:t>
      </w:r>
      <w:r>
        <w:rPr>
          <w:rStyle w:val="FootnoteReference"/>
        </w:rPr>
        <w:footnoteReference w:id="45"/>
      </w:r>
      <w:r>
        <w:t xml:space="preserve"> In response, the Home Office restated its commitment to ensuring there is no hard border between NI and </w:t>
      </w:r>
      <w:r w:rsidR="00824416">
        <w:t>Ireland</w:t>
      </w:r>
      <w:r>
        <w:t xml:space="preserve"> and no routine immigration controls on journeys from within the Common Travel Area, with no immigration controls whatsoever on the Ireland-NI land border. The response also reiterated that individuals arriving in the UK, including individuals crossing the land border into NI, will need to enter in line with the UK’s immigration framework, including an Electronic Travel Authorisation, as required.</w:t>
      </w:r>
      <w:r>
        <w:rPr>
          <w:rStyle w:val="FootnoteReference"/>
        </w:rPr>
        <w:footnoteReference w:id="46"/>
      </w:r>
      <w:r>
        <w:t xml:space="preserve"> </w:t>
      </w:r>
    </w:p>
    <w:p w14:paraId="589D3E26" w14:textId="77777777" w:rsidR="00824416" w:rsidRDefault="00824416" w:rsidP="00BB067A">
      <w:pPr>
        <w:pStyle w:val="ListParagraph"/>
        <w:numPr>
          <w:ilvl w:val="0"/>
          <w:numId w:val="0"/>
        </w:numPr>
        <w:ind w:left="720"/>
      </w:pPr>
    </w:p>
    <w:p w14:paraId="05B64BDC" w14:textId="53D7DA1C" w:rsidR="00233487" w:rsidRDefault="00AA0D2C" w:rsidP="00DA63BB">
      <w:pPr>
        <w:pStyle w:val="ListParagraph"/>
      </w:pPr>
      <w:r w:rsidRPr="00AA0D2C">
        <w:t>Since June 2025, expired EU Settlement Scheme Biometric Residence Cards and Biometric Residence Permits are no longer accepted as proof of immigration status for travel to the UK,</w:t>
      </w:r>
      <w:r w:rsidR="009505C2">
        <w:rPr>
          <w:rStyle w:val="FootnoteReference"/>
        </w:rPr>
        <w:footnoteReference w:id="47"/>
      </w:r>
      <w:r w:rsidR="009505C2">
        <w:t xml:space="preserve"> </w:t>
      </w:r>
      <w:r w:rsidRPr="00AA0D2C">
        <w:t>with the UK transitioning to a digital immigration system</w:t>
      </w:r>
      <w:r w:rsidR="009505C2">
        <w:t>.</w:t>
      </w:r>
      <w:r w:rsidR="009505C2">
        <w:rPr>
          <w:rStyle w:val="FootnoteReference"/>
        </w:rPr>
        <w:footnoteReference w:id="48"/>
      </w:r>
      <w:r w:rsidRPr="00AA0D2C">
        <w:t xml:space="preserve"> The shift towards </w:t>
      </w:r>
      <w:proofErr w:type="spellStart"/>
      <w:r w:rsidRPr="00AA0D2C">
        <w:t>eVisas</w:t>
      </w:r>
      <w:proofErr w:type="spellEnd"/>
      <w:r w:rsidRPr="00AA0D2C">
        <w:t xml:space="preserve"> covers EU settled status and individuals with settled status will need to use their </w:t>
      </w:r>
      <w:proofErr w:type="spellStart"/>
      <w:r w:rsidRPr="00AA0D2C">
        <w:t>eVisa</w:t>
      </w:r>
      <w:proofErr w:type="spellEnd"/>
      <w:r w:rsidRPr="00AA0D2C">
        <w:t xml:space="preserve"> credentials to access their immigration status and use it to evidence their rights in the UK</w:t>
      </w:r>
      <w:r w:rsidR="009505C2">
        <w:t>.</w:t>
      </w:r>
      <w:r w:rsidR="009505C2">
        <w:rPr>
          <w:rStyle w:val="FootnoteReference"/>
        </w:rPr>
        <w:footnoteReference w:id="49"/>
      </w:r>
      <w:r w:rsidR="009505C2">
        <w:t xml:space="preserve"> </w:t>
      </w:r>
      <w:r w:rsidRPr="00AA0D2C">
        <w:t xml:space="preserve">The Independent Monitoring Authority is considering the implications of the wider Electronic Travel Authorisation and </w:t>
      </w:r>
      <w:proofErr w:type="spellStart"/>
      <w:r w:rsidRPr="00AA0D2C">
        <w:t>eVisa</w:t>
      </w:r>
      <w:proofErr w:type="spellEnd"/>
      <w:r w:rsidRPr="00AA0D2C">
        <w:t xml:space="preserve"> roll out and the impact on EU Settlement Scheme status holders</w:t>
      </w:r>
      <w:r w:rsidR="009505C2">
        <w:t>.</w:t>
      </w:r>
      <w:r w:rsidR="009505C2">
        <w:rPr>
          <w:rStyle w:val="FootnoteReference"/>
        </w:rPr>
        <w:footnoteReference w:id="50"/>
      </w:r>
    </w:p>
    <w:p w14:paraId="19E0A8FC" w14:textId="77777777" w:rsidR="00824416" w:rsidRDefault="00824416" w:rsidP="00BB067A">
      <w:pPr>
        <w:pStyle w:val="ListParagraph"/>
        <w:numPr>
          <w:ilvl w:val="0"/>
          <w:numId w:val="0"/>
        </w:numPr>
        <w:ind w:left="720"/>
      </w:pPr>
    </w:p>
    <w:p w14:paraId="3E145488" w14:textId="46F756A5" w:rsidR="00A272B6" w:rsidRDefault="00A272B6" w:rsidP="40680A01">
      <w:pPr>
        <w:pStyle w:val="ListParagraph"/>
        <w:rPr>
          <w:b/>
          <w:bCs/>
        </w:rPr>
      </w:pPr>
      <w:r w:rsidRPr="40680A01">
        <w:rPr>
          <w:rFonts w:cs="Arial"/>
          <w:b/>
          <w:bCs/>
        </w:rPr>
        <w:t xml:space="preserve">The NIHRC continues to recommend that the Home Office ensures that all journeys into NI, originating from Ireland, are exempt from Electronic </w:t>
      </w:r>
      <w:r w:rsidRPr="40680A01">
        <w:rPr>
          <w:b/>
          <w:bCs/>
        </w:rPr>
        <w:t>Travel Authorisation requirements.</w:t>
      </w:r>
    </w:p>
    <w:p w14:paraId="2278C13B" w14:textId="1F634468" w:rsidR="40680A01" w:rsidRDefault="40680A01" w:rsidP="40680A01">
      <w:pPr>
        <w:pStyle w:val="ListParagraph"/>
        <w:numPr>
          <w:ilvl w:val="0"/>
          <w:numId w:val="0"/>
        </w:numPr>
        <w:ind w:left="720"/>
        <w:rPr>
          <w:b/>
          <w:bCs/>
        </w:rPr>
      </w:pPr>
    </w:p>
    <w:p w14:paraId="796B6B5F" w14:textId="57CD5D41" w:rsidR="00233487" w:rsidRDefault="00233487">
      <w:pPr>
        <w:pStyle w:val="Heading2"/>
      </w:pPr>
      <w:bookmarkStart w:id="25" w:name="_Toc213340352"/>
      <w:r>
        <w:t>Racial Profiling</w:t>
      </w:r>
      <w:bookmarkEnd w:id="25"/>
      <w:r>
        <w:t xml:space="preserve"> </w:t>
      </w:r>
    </w:p>
    <w:p w14:paraId="3B23CC58" w14:textId="5D99E66C" w:rsidR="00B845CC" w:rsidRDefault="00A80227" w:rsidP="00B845CC">
      <w:pPr>
        <w:pStyle w:val="ListParagraph"/>
      </w:pPr>
      <w:r>
        <w:t xml:space="preserve">The </w:t>
      </w:r>
      <w:r w:rsidR="00BB067A">
        <w:t xml:space="preserve">UK </w:t>
      </w:r>
      <w:r w:rsidR="00B845CC">
        <w:t xml:space="preserve">Government has reiterated its commitment to avoiding routine immigration controls on </w:t>
      </w:r>
      <w:r w:rsidR="004F4312">
        <w:t xml:space="preserve">Common Travel Area </w:t>
      </w:r>
      <w:r w:rsidR="00B845CC">
        <w:t>journeys</w:t>
      </w:r>
      <w:r>
        <w:t>. In</w:t>
      </w:r>
      <w:r w:rsidR="004F4312" w:rsidRPr="00FF4DDD">
        <w:t xml:space="preserve"> </w:t>
      </w:r>
      <w:r w:rsidR="004F4312" w:rsidRPr="00C775F1">
        <w:t>2022, the Home Office advised</w:t>
      </w:r>
      <w:r w:rsidR="00BB067A">
        <w:t xml:space="preserve"> that the</w:t>
      </w:r>
      <w:r w:rsidR="004F4312" w:rsidRPr="00C775F1">
        <w:t xml:space="preserve"> reason for all examinations of members of the public </w:t>
      </w:r>
      <w:proofErr w:type="gramStart"/>
      <w:r w:rsidR="004F4312" w:rsidRPr="00C775F1">
        <w:t>are</w:t>
      </w:r>
      <w:proofErr w:type="gramEnd"/>
      <w:r w:rsidR="004F4312" w:rsidRPr="00C775F1">
        <w:t xml:space="preserve"> recorded in officers’ notebooks, but that the Home Office does not record racial profiles. It also</w:t>
      </w:r>
      <w:r w:rsidR="004F4312" w:rsidRPr="00DF3B93">
        <w:t xml:space="preserve"> confirmed that officers do not record racial profiles in the reasons for examination of members of the public.</w:t>
      </w:r>
      <w:r w:rsidR="004F4312" w:rsidRPr="00DF3B93">
        <w:rPr>
          <w:vertAlign w:val="superscript"/>
        </w:rPr>
        <w:footnoteReference w:id="51"/>
      </w:r>
    </w:p>
    <w:p w14:paraId="677E4FC3" w14:textId="77777777" w:rsidR="00824416" w:rsidRDefault="00824416" w:rsidP="00BB067A">
      <w:pPr>
        <w:pStyle w:val="ListParagraph"/>
        <w:numPr>
          <w:ilvl w:val="0"/>
          <w:numId w:val="0"/>
        </w:numPr>
        <w:ind w:left="720"/>
      </w:pPr>
    </w:p>
    <w:p w14:paraId="0A16AADA" w14:textId="292968C1" w:rsidR="00E83A97" w:rsidRDefault="00E83A97" w:rsidP="00B845CC">
      <w:pPr>
        <w:pStyle w:val="ListParagraph"/>
      </w:pPr>
      <w:r>
        <w:t>In 2024, The House of Lords Justice and Home Affairs Committee raised concerns about racial profiling in the UK’s new electronic border system and recommended monitoring its impact.</w:t>
      </w:r>
      <w:r>
        <w:rPr>
          <w:rStyle w:val="FootnoteReference"/>
        </w:rPr>
        <w:footnoteReference w:id="52"/>
      </w:r>
    </w:p>
    <w:p w14:paraId="6190B857" w14:textId="77777777" w:rsidR="00824416" w:rsidRDefault="00824416" w:rsidP="00BB067A">
      <w:pPr>
        <w:pStyle w:val="ListParagraph"/>
        <w:numPr>
          <w:ilvl w:val="0"/>
          <w:numId w:val="0"/>
        </w:numPr>
        <w:ind w:left="720"/>
      </w:pPr>
    </w:p>
    <w:p w14:paraId="0E5CCC8F" w14:textId="7479BF28" w:rsidR="00A97636" w:rsidRDefault="00A97636" w:rsidP="00B845CC">
      <w:pPr>
        <w:pStyle w:val="ListParagraph"/>
      </w:pPr>
      <w:r>
        <w:t xml:space="preserve">The Home Office </w:t>
      </w:r>
      <w:r w:rsidR="00C775F1">
        <w:t>continue</w:t>
      </w:r>
      <w:r w:rsidR="00E77FB2">
        <w:t>s</w:t>
      </w:r>
      <w:r w:rsidR="00C775F1">
        <w:t xml:space="preserve"> to </w:t>
      </w:r>
      <w:r>
        <w:t xml:space="preserve">advise that officials are strictly prohibited from using racial profiling and that all staff must undergo </w:t>
      </w:r>
      <w:r w:rsidR="00C775F1">
        <w:t xml:space="preserve">regular </w:t>
      </w:r>
      <w:r>
        <w:t>training to ensure that they comply with human rights and equality legislation.</w:t>
      </w:r>
      <w:r>
        <w:rPr>
          <w:rStyle w:val="FootnoteReference"/>
        </w:rPr>
        <w:footnoteReference w:id="53"/>
      </w:r>
      <w:r w:rsidR="00C00244">
        <w:t xml:space="preserve"> </w:t>
      </w:r>
    </w:p>
    <w:p w14:paraId="400C5446" w14:textId="77777777" w:rsidR="00824416" w:rsidRDefault="00824416" w:rsidP="00BB067A">
      <w:pPr>
        <w:pStyle w:val="ListParagraph"/>
        <w:numPr>
          <w:ilvl w:val="0"/>
          <w:numId w:val="0"/>
        </w:numPr>
        <w:ind w:left="720"/>
      </w:pPr>
    </w:p>
    <w:p w14:paraId="74A916E0" w14:textId="2F1E827F" w:rsidR="00485823" w:rsidRDefault="00485823" w:rsidP="00E91293">
      <w:pPr>
        <w:pStyle w:val="ListParagraph"/>
      </w:pPr>
      <w:r>
        <w:t xml:space="preserve">The </w:t>
      </w:r>
      <w:r w:rsidR="004F4312">
        <w:t xml:space="preserve">NIHRC </w:t>
      </w:r>
      <w:r w:rsidR="00C81316">
        <w:t>has expressed</w:t>
      </w:r>
      <w:r>
        <w:t xml:space="preserve"> concern that immigration checks on </w:t>
      </w:r>
      <w:r w:rsidR="004F4312">
        <w:t xml:space="preserve">Common Travel Area </w:t>
      </w:r>
      <w:r>
        <w:t xml:space="preserve">routes have been carried out in a manner that is inconsistent with the </w:t>
      </w:r>
      <w:r w:rsidR="004F4312">
        <w:t xml:space="preserve">UK </w:t>
      </w:r>
      <w:r>
        <w:t>Government’s commitment to maintaining no routine borde</w:t>
      </w:r>
      <w:r w:rsidRPr="00C25C75">
        <w:t xml:space="preserve">r controls. </w:t>
      </w:r>
      <w:r w:rsidR="00510CD5" w:rsidRPr="00BB067A">
        <w:t>It has been</w:t>
      </w:r>
      <w:r w:rsidR="00510CD5" w:rsidRPr="00C25C75">
        <w:t xml:space="preserve"> </w:t>
      </w:r>
      <w:r w:rsidRPr="00C25C75">
        <w:t>indicate</w:t>
      </w:r>
      <w:r w:rsidR="00510CD5" w:rsidRPr="00BB067A">
        <w:t>d</w:t>
      </w:r>
      <w:r w:rsidRPr="00C25C75">
        <w:t xml:space="preserve"> that immigration enforcement has occurred on journeys between </w:t>
      </w:r>
      <w:r w:rsidR="006A4235" w:rsidRPr="00C25C75">
        <w:t xml:space="preserve">Ireland and </w:t>
      </w:r>
      <w:r w:rsidR="004F4312" w:rsidRPr="00C25C75">
        <w:t>NI</w:t>
      </w:r>
      <w:r w:rsidR="006A4235" w:rsidRPr="00C25C75">
        <w:t>, particularly at ports and transport hubs, and that individuals from minority ethnic backgrounds are disproportionately targeted.</w:t>
      </w:r>
      <w:r w:rsidR="006A4235" w:rsidRPr="00C25C75">
        <w:rPr>
          <w:rStyle w:val="FootnoteReference"/>
        </w:rPr>
        <w:footnoteReference w:id="54"/>
      </w:r>
      <w:r w:rsidR="006A4235" w:rsidRPr="00C25C75">
        <w:t xml:space="preserve"> </w:t>
      </w:r>
    </w:p>
    <w:p w14:paraId="14804299" w14:textId="77777777" w:rsidR="00824416" w:rsidRDefault="00824416" w:rsidP="00BB067A">
      <w:pPr>
        <w:pStyle w:val="ListParagraph"/>
        <w:numPr>
          <w:ilvl w:val="0"/>
          <w:numId w:val="0"/>
        </w:numPr>
        <w:ind w:left="720"/>
      </w:pPr>
    </w:p>
    <w:p w14:paraId="23B1203E" w14:textId="4DAA1A0E" w:rsidR="00E91293" w:rsidRDefault="00C775F1" w:rsidP="00E91293">
      <w:pPr>
        <w:pStyle w:val="ListParagraph"/>
      </w:pPr>
      <w:r>
        <w:lastRenderedPageBreak/>
        <w:t>In 2024, up to 300 immigration checks of people travelling from NI to Ireland took place per month.</w:t>
      </w:r>
      <w:r>
        <w:rPr>
          <w:rStyle w:val="FootnoteReference"/>
        </w:rPr>
        <w:footnoteReference w:id="55"/>
      </w:r>
      <w:r>
        <w:t xml:space="preserve"> Civil society organisations have raised concerns that An Garda Síochána have engaged in racial profiling in identifying individuals for checks and immigration control.</w:t>
      </w:r>
      <w:r>
        <w:rPr>
          <w:rStyle w:val="FootnoteReference"/>
        </w:rPr>
        <w:footnoteReference w:id="56"/>
      </w:r>
      <w:r>
        <w:t xml:space="preserve"> </w:t>
      </w:r>
      <w:r w:rsidR="00A26358" w:rsidRPr="40680A01">
        <w:rPr>
          <w:rFonts w:cstheme="minorBidi"/>
        </w:rPr>
        <w:t xml:space="preserve">In 2024, the </w:t>
      </w:r>
      <w:r w:rsidR="00A26358" w:rsidRPr="005761FA">
        <w:rPr>
          <w:lang w:eastAsia="en-GB"/>
        </w:rPr>
        <w:t xml:space="preserve">House of Lords Justice and Home Affairs Committee inquiry on the new electronic border management system, </w:t>
      </w:r>
      <w:r w:rsidR="00A26358" w:rsidRPr="00E507AF">
        <w:rPr>
          <w:rFonts w:eastAsia="Calibri" w:cs="Arial"/>
          <w:kern w:val="2"/>
          <w14:ligatures w14:val="standardContextual"/>
        </w:rPr>
        <w:t>heard concerns about the potential for racial profiling in the area of advance passenger information.</w:t>
      </w:r>
      <w:r w:rsidR="00A26358" w:rsidRPr="000A43F3">
        <w:rPr>
          <w:rFonts w:eastAsia="Calibri" w:cs="Arial"/>
          <w:kern w:val="2"/>
          <w:vertAlign w:val="superscript"/>
          <w14:ligatures w14:val="standardContextual"/>
        </w:rPr>
        <w:footnoteReference w:id="57"/>
      </w:r>
      <w:r w:rsidR="00A26358" w:rsidRPr="40680A01">
        <w:rPr>
          <w:rFonts w:eastAsia="Calibri" w:cs="Arial"/>
          <w:kern w:val="2"/>
          <w14:ligatures w14:val="standardContextual"/>
        </w:rPr>
        <w:t xml:space="preserve"> </w:t>
      </w:r>
      <w:r w:rsidR="00E91293">
        <w:t xml:space="preserve">In 2024, the International Organisation for Migration published a report highlighting that concerns have been raised in relation to racial profiling, particularly around the need to carry identity documents, such as a passport, to prove identity </w:t>
      </w:r>
      <w:r w:rsidR="00C81316">
        <w:t>for individuals from ethnic minority or migrant backgrounds, including for British and Irish nationals.</w:t>
      </w:r>
      <w:r w:rsidR="00C81316">
        <w:rPr>
          <w:rStyle w:val="FootnoteReference"/>
        </w:rPr>
        <w:footnoteReference w:id="58"/>
      </w:r>
    </w:p>
    <w:p w14:paraId="40CEBFE5" w14:textId="77777777" w:rsidR="00824416" w:rsidRDefault="00824416" w:rsidP="00BB067A">
      <w:pPr>
        <w:pStyle w:val="ListParagraph"/>
        <w:numPr>
          <w:ilvl w:val="0"/>
          <w:numId w:val="0"/>
        </w:numPr>
        <w:ind w:left="720"/>
      </w:pPr>
    </w:p>
    <w:p w14:paraId="20254233" w14:textId="2B3F8C6D" w:rsidR="00C775F1" w:rsidRDefault="00C775F1" w:rsidP="00C775F1">
      <w:pPr>
        <w:pStyle w:val="ListParagraph"/>
      </w:pPr>
      <w:proofErr w:type="gramStart"/>
      <w:r>
        <w:t>An</w:t>
      </w:r>
      <w:proofErr w:type="gramEnd"/>
      <w:r>
        <w:t xml:space="preserve"> Garda Síochána has indicated that it undertakes a “human rights-based approach to checks”.</w:t>
      </w:r>
      <w:r>
        <w:rPr>
          <w:rStyle w:val="FootnoteReference"/>
        </w:rPr>
        <w:footnoteReference w:id="59"/>
      </w:r>
      <w:r>
        <w:t xml:space="preserve"> There were also reports of Gardaí conducting immigration checks based on racial profiling at Dublin airport for public buses travelling to NI.</w:t>
      </w:r>
      <w:r>
        <w:rPr>
          <w:rStyle w:val="FootnoteReference"/>
        </w:rPr>
        <w:footnoteReference w:id="60"/>
      </w:r>
      <w:r>
        <w:t xml:space="preserve"> These matters have been raised in the context of the Joint Committee of the </w:t>
      </w:r>
      <w:r w:rsidR="00D95FAB">
        <w:t xml:space="preserve">NIHRC </w:t>
      </w:r>
      <w:r>
        <w:t>and the Irish Human Rights and Equality Commission.</w:t>
      </w:r>
      <w:r>
        <w:rPr>
          <w:rStyle w:val="FootnoteReference"/>
        </w:rPr>
        <w:footnoteReference w:id="61"/>
      </w:r>
    </w:p>
    <w:p w14:paraId="2F3E2DC9" w14:textId="77777777" w:rsidR="00824416" w:rsidRDefault="00824416" w:rsidP="00BB067A">
      <w:pPr>
        <w:pStyle w:val="ListParagraph"/>
        <w:numPr>
          <w:ilvl w:val="0"/>
          <w:numId w:val="0"/>
        </w:numPr>
        <w:ind w:left="720"/>
      </w:pPr>
    </w:p>
    <w:p w14:paraId="3C810969" w14:textId="091C48E8" w:rsidR="004F4312" w:rsidRDefault="004F4312" w:rsidP="00FF4ADB">
      <w:pPr>
        <w:pStyle w:val="ListParagraph"/>
      </w:pPr>
      <w:r>
        <w:t>The Police Service of NI does not undertake immigration checks.</w:t>
      </w:r>
      <w:r>
        <w:rPr>
          <w:rStyle w:val="FootnoteReference"/>
        </w:rPr>
        <w:footnoteReference w:id="62"/>
      </w:r>
      <w:r>
        <w:t xml:space="preserve"> However, there were reports of Home Office Border Force undertaking immigration checks through racial profiling at bus stations in NI.</w:t>
      </w:r>
      <w:r>
        <w:rPr>
          <w:rStyle w:val="FootnoteReference"/>
        </w:rPr>
        <w:footnoteReference w:id="63"/>
      </w:r>
    </w:p>
    <w:p w14:paraId="581C31E6" w14:textId="77777777" w:rsidR="007A46C3" w:rsidRDefault="007A46C3" w:rsidP="008139B8"/>
    <w:p w14:paraId="400B77E9" w14:textId="0BFF6403" w:rsidR="004F4312" w:rsidRDefault="004F4312" w:rsidP="40680A01">
      <w:pPr>
        <w:pStyle w:val="ListParagraph"/>
        <w:rPr>
          <w:b/>
          <w:bCs/>
        </w:rPr>
      </w:pPr>
      <w:bookmarkStart w:id="26" w:name="_Hlk178868183"/>
      <w:r w:rsidRPr="40680A01">
        <w:rPr>
          <w:b/>
          <w:bCs/>
        </w:rPr>
        <w:lastRenderedPageBreak/>
        <w:t xml:space="preserve">The </w:t>
      </w:r>
      <w:r w:rsidR="008139B8" w:rsidRPr="40680A01">
        <w:rPr>
          <w:b/>
          <w:bCs/>
        </w:rPr>
        <w:t xml:space="preserve">NIHRC </w:t>
      </w:r>
      <w:r w:rsidRPr="40680A01">
        <w:rPr>
          <w:b/>
          <w:bCs/>
        </w:rPr>
        <w:t>recommends that the Home Office takes effective steps to enforce the prohibition on racial profiling and ensure it does not occur in immigration checks, including at entry to NI at ports and airports and in the context of cross-border travel. This should include the collection and monitoring of appropriate data, including disaggregated ethnic data, of people examined by enforcement officers.</w:t>
      </w:r>
      <w:bookmarkEnd w:id="26"/>
    </w:p>
    <w:p w14:paraId="3755291E" w14:textId="161F6424" w:rsidR="40680A01" w:rsidRDefault="40680A01" w:rsidP="40680A01">
      <w:pPr>
        <w:pStyle w:val="ListParagraph"/>
        <w:numPr>
          <w:ilvl w:val="0"/>
          <w:numId w:val="0"/>
        </w:numPr>
        <w:ind w:left="720"/>
        <w:rPr>
          <w:b/>
          <w:bCs/>
        </w:rPr>
      </w:pPr>
    </w:p>
    <w:p w14:paraId="3309FD29" w14:textId="416F5A2F" w:rsidR="29CE77D1" w:rsidRDefault="29CE77D1" w:rsidP="40680A01">
      <w:pPr>
        <w:pStyle w:val="ListParagraph"/>
        <w:rPr>
          <w:rFonts w:eastAsia="Verdana" w:cs="Verdana"/>
          <w:b/>
          <w:bCs/>
        </w:rPr>
      </w:pPr>
      <w:r w:rsidRPr="40680A01">
        <w:rPr>
          <w:rFonts w:eastAsia="Verdana" w:cs="Verdana"/>
          <w:b/>
          <w:bCs/>
        </w:rPr>
        <w:t>The NIHRC recommends that the NI Affairs Committee explore</w:t>
      </w:r>
      <w:r w:rsidR="006F16D7">
        <w:rPr>
          <w:rFonts w:eastAsia="Verdana" w:cs="Verdana"/>
          <w:b/>
          <w:bCs/>
        </w:rPr>
        <w:t>s</w:t>
      </w:r>
      <w:r w:rsidRPr="40680A01">
        <w:rPr>
          <w:rFonts w:eastAsia="Verdana" w:cs="Verdana"/>
          <w:b/>
          <w:bCs/>
        </w:rPr>
        <w:t xml:space="preserve"> how the Home Office ensures the operation of immigration and Electronic Travel Authori</w:t>
      </w:r>
      <w:r w:rsidR="006F16D7">
        <w:rPr>
          <w:rFonts w:eastAsia="Verdana" w:cs="Verdana"/>
          <w:b/>
          <w:bCs/>
        </w:rPr>
        <w:t>s</w:t>
      </w:r>
      <w:r w:rsidRPr="40680A01">
        <w:rPr>
          <w:rFonts w:eastAsia="Verdana" w:cs="Verdana"/>
          <w:b/>
          <w:bCs/>
        </w:rPr>
        <w:t>ation checks within Northern Ireland are conducted in compliance with human rights and equality obligations, including measures to prevent racial profiling.</w:t>
      </w:r>
    </w:p>
    <w:p w14:paraId="370A87B6" w14:textId="7D1AB873" w:rsidR="40680A01" w:rsidRDefault="40680A01" w:rsidP="40680A01">
      <w:pPr>
        <w:spacing w:line="300" w:lineRule="auto"/>
      </w:pPr>
    </w:p>
    <w:p w14:paraId="2AB77F5B" w14:textId="5519E506" w:rsidR="40680A01" w:rsidRDefault="40680A01" w:rsidP="40680A01">
      <w:pPr>
        <w:rPr>
          <w:b/>
          <w:bCs/>
        </w:rPr>
      </w:pPr>
    </w:p>
    <w:p w14:paraId="47D56C86" w14:textId="77777777" w:rsidR="00EF6451" w:rsidRPr="00BB067A" w:rsidRDefault="00EF6451" w:rsidP="00BB067A">
      <w:pPr>
        <w:pStyle w:val="ListParagraph"/>
        <w:numPr>
          <w:ilvl w:val="0"/>
          <w:numId w:val="0"/>
        </w:numPr>
        <w:ind w:left="720"/>
        <w:rPr>
          <w:b/>
          <w:bCs/>
        </w:rPr>
      </w:pPr>
    </w:p>
    <w:p w14:paraId="5626270C" w14:textId="77777777" w:rsidR="00645514" w:rsidRDefault="00645514" w:rsidP="00645514">
      <w:pPr>
        <w:rPr>
          <w:b/>
          <w:bCs/>
        </w:rPr>
      </w:pPr>
    </w:p>
    <w:p w14:paraId="68A581CB" w14:textId="77777777" w:rsidR="00645514" w:rsidRDefault="00645514" w:rsidP="00645514">
      <w:pPr>
        <w:rPr>
          <w:b/>
          <w:bCs/>
        </w:rPr>
      </w:pPr>
    </w:p>
    <w:p w14:paraId="129CA2B1" w14:textId="77777777" w:rsidR="00645514" w:rsidRDefault="00645514" w:rsidP="00645514">
      <w:pPr>
        <w:rPr>
          <w:b/>
          <w:bCs/>
        </w:rPr>
      </w:pPr>
    </w:p>
    <w:p w14:paraId="72DE3040" w14:textId="77777777" w:rsidR="00645514" w:rsidRPr="00BB067A" w:rsidRDefault="00645514" w:rsidP="00BB067A">
      <w:pPr>
        <w:rPr>
          <w:b/>
          <w:bCs/>
        </w:rPr>
      </w:pPr>
    </w:p>
    <w:bookmarkEnd w:id="0"/>
    <w:bookmarkEnd w:id="2"/>
    <w:p w14:paraId="0E6EFCB4" w14:textId="77777777" w:rsidR="00661F34" w:rsidRDefault="00661F34" w:rsidP="0062748F">
      <w:pPr>
        <w:ind w:left="720" w:hanging="720"/>
        <w:jc w:val="center"/>
        <w:rPr>
          <w:rFonts w:cs="Arial"/>
          <w:b/>
          <w:bCs/>
          <w:color w:val="77328A"/>
          <w:sz w:val="36"/>
          <w:szCs w:val="36"/>
        </w:rPr>
      </w:pPr>
    </w:p>
    <w:p w14:paraId="24F37276" w14:textId="77777777" w:rsidR="00661F34" w:rsidRDefault="00661F34" w:rsidP="0062748F">
      <w:pPr>
        <w:ind w:left="720" w:hanging="720"/>
        <w:jc w:val="center"/>
        <w:rPr>
          <w:rFonts w:cs="Arial"/>
          <w:b/>
          <w:bCs/>
          <w:color w:val="77328A"/>
          <w:sz w:val="36"/>
          <w:szCs w:val="36"/>
        </w:rPr>
      </w:pPr>
    </w:p>
    <w:p w14:paraId="34CE08DB" w14:textId="77777777" w:rsidR="0095788B" w:rsidRDefault="0095788B" w:rsidP="0062748F">
      <w:pPr>
        <w:ind w:left="720" w:hanging="720"/>
        <w:jc w:val="center"/>
        <w:rPr>
          <w:rFonts w:cs="Arial"/>
          <w:b/>
          <w:bCs/>
          <w:color w:val="77328A"/>
          <w:sz w:val="36"/>
          <w:szCs w:val="36"/>
        </w:rPr>
      </w:pPr>
    </w:p>
    <w:p w14:paraId="513BBDBB" w14:textId="77777777" w:rsidR="0095788B" w:rsidRDefault="0095788B" w:rsidP="0062748F">
      <w:pPr>
        <w:ind w:left="720" w:hanging="720"/>
        <w:jc w:val="center"/>
        <w:rPr>
          <w:rFonts w:cs="Arial"/>
          <w:b/>
          <w:bCs/>
          <w:color w:val="77328A"/>
          <w:sz w:val="36"/>
          <w:szCs w:val="36"/>
        </w:rPr>
      </w:pPr>
    </w:p>
    <w:p w14:paraId="50052982" w14:textId="77777777" w:rsidR="0095788B" w:rsidRDefault="0095788B" w:rsidP="0062748F">
      <w:pPr>
        <w:ind w:left="720" w:hanging="720"/>
        <w:jc w:val="center"/>
        <w:rPr>
          <w:rFonts w:cs="Arial"/>
          <w:b/>
          <w:bCs/>
          <w:color w:val="77328A"/>
          <w:sz w:val="36"/>
          <w:szCs w:val="36"/>
        </w:rPr>
      </w:pPr>
    </w:p>
    <w:p w14:paraId="5F5B341B" w14:textId="77777777" w:rsidR="0095788B" w:rsidRDefault="0095788B" w:rsidP="0062748F">
      <w:pPr>
        <w:ind w:left="720" w:hanging="720"/>
        <w:jc w:val="center"/>
        <w:rPr>
          <w:rFonts w:cs="Arial"/>
          <w:b/>
          <w:bCs/>
          <w:color w:val="77328A"/>
          <w:sz w:val="36"/>
          <w:szCs w:val="36"/>
        </w:rPr>
      </w:pPr>
    </w:p>
    <w:p w14:paraId="60D8ACB5" w14:textId="77777777" w:rsidR="0095788B" w:rsidRDefault="0095788B" w:rsidP="0062748F">
      <w:pPr>
        <w:ind w:left="720" w:hanging="720"/>
        <w:jc w:val="center"/>
        <w:rPr>
          <w:rFonts w:cs="Arial"/>
          <w:b/>
          <w:bCs/>
          <w:color w:val="77328A"/>
          <w:sz w:val="36"/>
          <w:szCs w:val="36"/>
        </w:rPr>
      </w:pPr>
    </w:p>
    <w:p w14:paraId="39392F0F" w14:textId="77777777" w:rsidR="0095788B" w:rsidRDefault="0095788B" w:rsidP="0062748F">
      <w:pPr>
        <w:ind w:left="720" w:hanging="720"/>
        <w:jc w:val="center"/>
        <w:rPr>
          <w:rFonts w:cs="Arial"/>
          <w:b/>
          <w:bCs/>
          <w:color w:val="77328A"/>
          <w:sz w:val="36"/>
          <w:szCs w:val="36"/>
        </w:rPr>
      </w:pPr>
    </w:p>
    <w:p w14:paraId="5F4A6428" w14:textId="77777777" w:rsidR="00661F34" w:rsidRDefault="00661F34" w:rsidP="0062748F">
      <w:pPr>
        <w:ind w:left="720" w:hanging="720"/>
        <w:jc w:val="center"/>
        <w:rPr>
          <w:rFonts w:cs="Arial"/>
          <w:b/>
          <w:bCs/>
          <w:color w:val="77328A"/>
          <w:sz w:val="36"/>
          <w:szCs w:val="36"/>
        </w:rPr>
      </w:pPr>
    </w:p>
    <w:p w14:paraId="17C9D878" w14:textId="77777777" w:rsidR="00661F34" w:rsidRDefault="00661F34" w:rsidP="0062748F">
      <w:pPr>
        <w:ind w:left="720" w:hanging="720"/>
        <w:jc w:val="center"/>
        <w:rPr>
          <w:rFonts w:cs="Arial"/>
          <w:b/>
          <w:bCs/>
          <w:color w:val="77328A"/>
          <w:sz w:val="36"/>
          <w:szCs w:val="36"/>
        </w:rPr>
      </w:pPr>
    </w:p>
    <w:p w14:paraId="73E52C5D" w14:textId="3F7721A5" w:rsidR="40680A01" w:rsidRDefault="40680A01" w:rsidP="40680A01">
      <w:pPr>
        <w:ind w:left="720" w:hanging="720"/>
        <w:jc w:val="center"/>
        <w:rPr>
          <w:rFonts w:cs="Arial"/>
          <w:b/>
          <w:bCs/>
          <w:color w:val="77328A"/>
          <w:sz w:val="36"/>
          <w:szCs w:val="36"/>
        </w:rPr>
      </w:pPr>
    </w:p>
    <w:p w14:paraId="19BB4410" w14:textId="2AE5B003" w:rsidR="40680A01" w:rsidRDefault="40680A01" w:rsidP="40680A01">
      <w:pPr>
        <w:ind w:left="720" w:hanging="720"/>
        <w:jc w:val="center"/>
        <w:rPr>
          <w:rFonts w:cs="Arial"/>
          <w:b/>
          <w:bCs/>
          <w:color w:val="77328A"/>
          <w:sz w:val="36"/>
          <w:szCs w:val="36"/>
        </w:rPr>
      </w:pPr>
    </w:p>
    <w:p w14:paraId="5EFC42CB" w14:textId="719D31C4" w:rsidR="40680A01" w:rsidRDefault="40680A01" w:rsidP="40680A01">
      <w:pPr>
        <w:ind w:left="720" w:hanging="720"/>
        <w:jc w:val="center"/>
        <w:rPr>
          <w:rFonts w:cs="Arial"/>
          <w:b/>
          <w:bCs/>
          <w:color w:val="77328A"/>
          <w:sz w:val="36"/>
          <w:szCs w:val="36"/>
        </w:rPr>
      </w:pPr>
    </w:p>
    <w:p w14:paraId="592DAA27" w14:textId="158B37BA" w:rsidR="40680A01" w:rsidRDefault="40680A01" w:rsidP="40680A01">
      <w:pPr>
        <w:ind w:left="720" w:hanging="720"/>
        <w:jc w:val="center"/>
        <w:rPr>
          <w:rFonts w:cs="Arial"/>
          <w:b/>
          <w:bCs/>
          <w:color w:val="77328A"/>
          <w:sz w:val="36"/>
          <w:szCs w:val="36"/>
        </w:rPr>
      </w:pPr>
    </w:p>
    <w:p w14:paraId="023778A0" w14:textId="5E0F5D13" w:rsidR="40680A01" w:rsidRDefault="40680A01" w:rsidP="40680A01">
      <w:pPr>
        <w:ind w:left="720" w:hanging="720"/>
        <w:jc w:val="center"/>
        <w:rPr>
          <w:rFonts w:cs="Arial"/>
          <w:b/>
          <w:bCs/>
          <w:color w:val="77328A"/>
          <w:sz w:val="36"/>
          <w:szCs w:val="36"/>
        </w:rPr>
      </w:pPr>
    </w:p>
    <w:p w14:paraId="41E1BE62" w14:textId="4D101E0D" w:rsidR="40680A01" w:rsidRDefault="40680A01" w:rsidP="40680A01">
      <w:pPr>
        <w:ind w:left="720" w:hanging="720"/>
        <w:jc w:val="center"/>
        <w:rPr>
          <w:rFonts w:cs="Arial"/>
          <w:b/>
          <w:bCs/>
          <w:color w:val="77328A"/>
          <w:sz w:val="36"/>
          <w:szCs w:val="36"/>
        </w:rPr>
      </w:pPr>
    </w:p>
    <w:p w14:paraId="19F5D5D8" w14:textId="2C090681" w:rsidR="40680A01" w:rsidRDefault="40680A01" w:rsidP="40680A01">
      <w:pPr>
        <w:ind w:left="720" w:hanging="720"/>
        <w:jc w:val="center"/>
        <w:rPr>
          <w:rFonts w:cs="Arial"/>
          <w:b/>
          <w:bCs/>
          <w:color w:val="77328A"/>
          <w:sz w:val="36"/>
          <w:szCs w:val="36"/>
        </w:rPr>
      </w:pPr>
    </w:p>
    <w:p w14:paraId="15A475B7" w14:textId="292753B7" w:rsidR="40680A01" w:rsidRDefault="40680A01" w:rsidP="40680A01">
      <w:pPr>
        <w:ind w:left="720" w:hanging="720"/>
        <w:jc w:val="center"/>
        <w:rPr>
          <w:rFonts w:cs="Arial"/>
          <w:b/>
          <w:bCs/>
          <w:color w:val="77328A"/>
          <w:sz w:val="36"/>
          <w:szCs w:val="36"/>
        </w:rPr>
      </w:pPr>
    </w:p>
    <w:p w14:paraId="35C4FB2A" w14:textId="31BB7B57" w:rsidR="40680A01" w:rsidRDefault="40680A01" w:rsidP="40680A01">
      <w:pPr>
        <w:ind w:left="720" w:hanging="720"/>
        <w:jc w:val="center"/>
        <w:rPr>
          <w:rFonts w:cs="Arial"/>
          <w:b/>
          <w:bCs/>
          <w:color w:val="77328A"/>
          <w:sz w:val="36"/>
          <w:szCs w:val="36"/>
        </w:rPr>
      </w:pPr>
    </w:p>
    <w:p w14:paraId="1D5C9149" w14:textId="71EB59E6" w:rsidR="0062748F" w:rsidRPr="00387C3F" w:rsidRDefault="0062748F" w:rsidP="0062748F">
      <w:pPr>
        <w:ind w:left="720" w:hanging="720"/>
        <w:jc w:val="center"/>
      </w:pPr>
      <w:r w:rsidRPr="00387C3F">
        <w:rPr>
          <w:rFonts w:cs="Arial"/>
          <w:b/>
          <w:bCs/>
          <w:color w:val="77328A"/>
          <w:sz w:val="36"/>
          <w:szCs w:val="36"/>
        </w:rPr>
        <w:t>Contact us</w:t>
      </w:r>
    </w:p>
    <w:p w14:paraId="033E5352" w14:textId="77777777" w:rsidR="0062748F" w:rsidRDefault="0062748F" w:rsidP="0062748F">
      <w:pPr>
        <w:pStyle w:val="BasicParagraph"/>
        <w:suppressAutoHyphens/>
        <w:jc w:val="center"/>
        <w:rPr>
          <w:rFonts w:ascii="Verdana" w:hAnsi="Verdana" w:cs="Arial"/>
          <w:b/>
          <w:color w:val="77328A"/>
          <w:sz w:val="36"/>
          <w:szCs w:val="36"/>
        </w:rPr>
      </w:pPr>
    </w:p>
    <w:p w14:paraId="5EB13D3C" w14:textId="77777777" w:rsidR="00661F34" w:rsidRPr="00387C3F" w:rsidRDefault="00661F34" w:rsidP="0062748F">
      <w:pPr>
        <w:pStyle w:val="BasicParagraph"/>
        <w:suppressAutoHyphens/>
        <w:jc w:val="center"/>
        <w:rPr>
          <w:rFonts w:ascii="Verdana" w:hAnsi="Verdana" w:cs="Arial"/>
          <w:b/>
          <w:color w:val="77328A"/>
          <w:sz w:val="36"/>
          <w:szCs w:val="36"/>
        </w:rPr>
      </w:pPr>
    </w:p>
    <w:p w14:paraId="090F344E" w14:textId="31B21376" w:rsidR="0062748F" w:rsidRPr="00387C3F" w:rsidRDefault="0062748F" w:rsidP="0062748F">
      <w:pPr>
        <w:jc w:val="center"/>
        <w:rPr>
          <w:rFonts w:cs="Arial"/>
          <w:b/>
          <w:color w:val="232120"/>
          <w:sz w:val="30"/>
          <w:szCs w:val="30"/>
        </w:rPr>
      </w:pPr>
      <w:r w:rsidRPr="00387C3F">
        <w:rPr>
          <w:rFonts w:cs="Arial"/>
          <w:b/>
          <w:color w:val="232120"/>
          <w:sz w:val="30"/>
          <w:szCs w:val="30"/>
        </w:rPr>
        <w:t>Please send any queries to</w:t>
      </w:r>
      <w:r w:rsidR="004C16C4" w:rsidRPr="00387C3F">
        <w:rPr>
          <w:rFonts w:cs="Arial"/>
          <w:b/>
          <w:color w:val="232120"/>
          <w:sz w:val="30"/>
          <w:szCs w:val="30"/>
        </w:rPr>
        <w:t xml:space="preserve"> </w:t>
      </w:r>
      <w:hyperlink r:id="rId9" w:history="1">
        <w:r w:rsidR="004C16C4" w:rsidRPr="00387C3F">
          <w:rPr>
            <w:rStyle w:val="Hyperlink"/>
            <w:rFonts w:cs="Arial"/>
            <w:b/>
            <w:sz w:val="30"/>
            <w:szCs w:val="30"/>
          </w:rPr>
          <w:t>Eilis.Haughey@nihrc.org</w:t>
        </w:r>
      </w:hyperlink>
      <w:r w:rsidR="004C16C4" w:rsidRPr="00387C3F">
        <w:rPr>
          <w:rFonts w:cs="Arial"/>
          <w:b/>
          <w:color w:val="232120"/>
          <w:sz w:val="30"/>
          <w:szCs w:val="30"/>
        </w:rPr>
        <w:t xml:space="preserve"> </w:t>
      </w:r>
    </w:p>
    <w:p w14:paraId="27563AB4" w14:textId="77777777" w:rsidR="0062748F" w:rsidRPr="00387C3F" w:rsidRDefault="0062748F" w:rsidP="0062748F">
      <w:pPr>
        <w:rPr>
          <w:rFonts w:cs="Arial"/>
          <w:b/>
          <w:color w:val="232120"/>
          <w:sz w:val="30"/>
          <w:szCs w:val="30"/>
        </w:rPr>
      </w:pPr>
    </w:p>
    <w:p w14:paraId="3216D5DC" w14:textId="77777777" w:rsidR="0062748F" w:rsidRPr="00387C3F" w:rsidRDefault="0062748F" w:rsidP="0062748F">
      <w:pPr>
        <w:jc w:val="center"/>
        <w:rPr>
          <w:rFonts w:cs="Arial"/>
          <w:b/>
          <w:color w:val="232120"/>
          <w:sz w:val="30"/>
          <w:szCs w:val="30"/>
        </w:rPr>
      </w:pPr>
    </w:p>
    <w:p w14:paraId="311738A5" w14:textId="77777777" w:rsidR="0062748F" w:rsidRPr="00387C3F" w:rsidRDefault="0062748F" w:rsidP="0062748F">
      <w:pPr>
        <w:jc w:val="center"/>
        <w:rPr>
          <w:rFonts w:cs="Arial"/>
          <w:b/>
          <w:color w:val="232120"/>
          <w:sz w:val="30"/>
          <w:szCs w:val="30"/>
        </w:rPr>
      </w:pPr>
    </w:p>
    <w:p w14:paraId="62E4DA5C" w14:textId="77777777" w:rsidR="0062748F" w:rsidRPr="00387C3F" w:rsidRDefault="0062748F" w:rsidP="0062748F">
      <w:pPr>
        <w:jc w:val="center"/>
        <w:rPr>
          <w:rFonts w:cs="Arial"/>
          <w:color w:val="232120"/>
          <w:sz w:val="28"/>
          <w:szCs w:val="28"/>
        </w:rPr>
      </w:pPr>
      <w:hyperlink r:id="rId10" w:history="1">
        <w:r w:rsidRPr="00387C3F">
          <w:rPr>
            <w:rStyle w:val="Hyperlink"/>
            <w:rFonts w:cs="Arial"/>
            <w:color w:val="232120"/>
            <w:sz w:val="28"/>
            <w:szCs w:val="28"/>
            <w:lang w:val="en-US"/>
          </w:rPr>
          <w:t>www.nihrc.org</w:t>
        </w:r>
      </w:hyperlink>
      <w:r w:rsidRPr="00387C3F">
        <w:rPr>
          <w:rFonts w:cs="Arial"/>
          <w:color w:val="232120"/>
          <w:sz w:val="28"/>
          <w:szCs w:val="28"/>
          <w:lang w:val="en-US"/>
        </w:rPr>
        <w:t xml:space="preserve">  |  </w:t>
      </w:r>
      <w:hyperlink r:id="rId11" w:history="1">
        <w:r w:rsidRPr="00387C3F">
          <w:rPr>
            <w:rStyle w:val="Hyperlink"/>
            <w:rFonts w:cs="Arial"/>
            <w:color w:val="232120"/>
            <w:sz w:val="28"/>
            <w:szCs w:val="28"/>
            <w:lang w:val="en-US"/>
          </w:rPr>
          <w:t>info@nihrc.org</w:t>
        </w:r>
      </w:hyperlink>
      <w:r w:rsidRPr="00387C3F">
        <w:rPr>
          <w:rFonts w:cs="Arial"/>
          <w:color w:val="232120"/>
          <w:sz w:val="28"/>
          <w:szCs w:val="28"/>
          <w:lang w:val="en-US"/>
        </w:rPr>
        <w:t xml:space="preserve">  |  +44 (0)28 9024 3987</w:t>
      </w:r>
    </w:p>
    <w:p w14:paraId="0099D767" w14:textId="77777777" w:rsidR="0062748F" w:rsidRPr="00387C3F" w:rsidRDefault="0062748F" w:rsidP="0062748F">
      <w:pPr>
        <w:jc w:val="center"/>
        <w:rPr>
          <w:rFonts w:cs="Arial"/>
          <w:color w:val="232120"/>
          <w:sz w:val="28"/>
          <w:szCs w:val="28"/>
        </w:rPr>
      </w:pPr>
      <w:r w:rsidRPr="00387C3F">
        <w:rPr>
          <w:rFonts w:cs="Arial"/>
          <w:color w:val="232120"/>
          <w:sz w:val="28"/>
          <w:szCs w:val="28"/>
          <w:lang w:val="en-US"/>
        </w:rPr>
        <w:t>4</w:t>
      </w:r>
      <w:r w:rsidRPr="00387C3F">
        <w:rPr>
          <w:rFonts w:cs="Arial"/>
          <w:color w:val="232120"/>
          <w:sz w:val="28"/>
          <w:szCs w:val="28"/>
          <w:vertAlign w:val="superscript"/>
          <w:lang w:val="en-US"/>
        </w:rPr>
        <w:t>th</w:t>
      </w:r>
      <w:r w:rsidRPr="00387C3F">
        <w:rPr>
          <w:rFonts w:cs="Arial"/>
          <w:color w:val="232120"/>
          <w:sz w:val="28"/>
          <w:szCs w:val="28"/>
          <w:lang w:val="en-US"/>
        </w:rPr>
        <w:t xml:space="preserve"> Floor, Alfred House, 19-21 Alfred Street, Belfast, BT2 8ED</w:t>
      </w:r>
    </w:p>
    <w:p w14:paraId="28E9294A" w14:textId="77777777" w:rsidR="0062748F" w:rsidRPr="00387C3F" w:rsidRDefault="0062748F" w:rsidP="0062748F">
      <w:pPr>
        <w:jc w:val="center"/>
        <w:rPr>
          <w:rFonts w:cs="Arial"/>
          <w:b/>
          <w:color w:val="232120"/>
          <w:sz w:val="28"/>
          <w:szCs w:val="28"/>
        </w:rPr>
      </w:pPr>
    </w:p>
    <w:p w14:paraId="13E1CF6F" w14:textId="77777777" w:rsidR="0062748F" w:rsidRPr="00387C3F" w:rsidRDefault="0062748F" w:rsidP="0062748F">
      <w:pPr>
        <w:jc w:val="center"/>
        <w:rPr>
          <w:rFonts w:cs="Arial"/>
          <w:color w:val="232120"/>
          <w:sz w:val="20"/>
          <w:szCs w:val="20"/>
        </w:rPr>
      </w:pPr>
    </w:p>
    <w:p w14:paraId="58DF823E" w14:textId="77777777" w:rsidR="0062748F" w:rsidRPr="00387C3F" w:rsidRDefault="0062748F" w:rsidP="0062748F">
      <w:pPr>
        <w:pStyle w:val="BasicParagraph"/>
        <w:suppressAutoHyphens/>
        <w:spacing w:line="240" w:lineRule="auto"/>
        <w:jc w:val="center"/>
        <w:rPr>
          <w:rFonts w:ascii="Verdana" w:hAnsi="Verdana" w:cs="Arial"/>
          <w:color w:val="232120"/>
          <w:sz w:val="28"/>
          <w:szCs w:val="28"/>
        </w:rPr>
      </w:pPr>
      <w:r w:rsidRPr="00387C3F">
        <w:rPr>
          <w:rFonts w:ascii="Verdana" w:hAnsi="Verdana" w:cs="Arial"/>
          <w:noProof/>
          <w:color w:val="232120"/>
          <w:sz w:val="28"/>
          <w:szCs w:val="28"/>
          <w:lang w:eastAsia="en-GB"/>
        </w:rPr>
        <w:drawing>
          <wp:inline distT="0" distB="0" distL="0" distR="0" wp14:anchorId="11946D77" wp14:editId="06381D70">
            <wp:extent cx="1515406" cy="274540"/>
            <wp:effectExtent l="0" t="0" r="889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1554" cy="275654"/>
                    </a:xfrm>
                    <a:prstGeom prst="rect">
                      <a:avLst/>
                    </a:prstGeom>
                    <a:noFill/>
                    <a:ln>
                      <a:noFill/>
                    </a:ln>
                  </pic:spPr>
                </pic:pic>
              </a:graphicData>
            </a:graphic>
          </wp:inline>
        </w:drawing>
      </w:r>
    </w:p>
    <w:bookmarkEnd w:id="1"/>
    <w:p w14:paraId="24133220" w14:textId="77777777" w:rsidR="0062748F" w:rsidRPr="00387C3F" w:rsidRDefault="0062748F">
      <w:pPr>
        <w:spacing w:line="240" w:lineRule="auto"/>
        <w:rPr>
          <w:rFonts w:eastAsiaTheme="minorHAnsi" w:cs="Times New Roman"/>
          <w:sz w:val="20"/>
          <w:szCs w:val="20"/>
        </w:rPr>
      </w:pPr>
    </w:p>
    <w:sectPr w:rsidR="0062748F" w:rsidRPr="00387C3F" w:rsidSect="00A63277">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A1D05" w14:textId="77777777" w:rsidR="00D01220" w:rsidRDefault="00D01220" w:rsidP="003F60F5">
      <w:r>
        <w:separator/>
      </w:r>
    </w:p>
  </w:endnote>
  <w:endnote w:type="continuationSeparator" w:id="0">
    <w:p w14:paraId="49522F35" w14:textId="77777777" w:rsidR="00D01220" w:rsidRDefault="00D01220" w:rsidP="003F60F5">
      <w:r>
        <w:continuationSeparator/>
      </w:r>
    </w:p>
  </w:endnote>
  <w:endnote w:type="continuationNotice" w:id="1">
    <w:p w14:paraId="5522A599" w14:textId="77777777" w:rsidR="00D01220" w:rsidRDefault="00D0122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86308" w14:textId="77777777" w:rsidR="00AF2779" w:rsidRDefault="00AF27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7328A"/>
      </w:rPr>
      <w:id w:val="831108615"/>
      <w:docPartObj>
        <w:docPartGallery w:val="Page Numbers (Bottom of Page)"/>
        <w:docPartUnique/>
      </w:docPartObj>
    </w:sdtPr>
    <w:sdtEndPr>
      <w:rPr>
        <w:noProof/>
      </w:rPr>
    </w:sdtEndPr>
    <w:sdtContent>
      <w:p w14:paraId="4A016D6A" w14:textId="030CA4F5" w:rsidR="007D17F2" w:rsidRPr="007D17F2" w:rsidRDefault="007D17F2">
        <w:pPr>
          <w:pStyle w:val="Footer"/>
          <w:jc w:val="right"/>
          <w:rPr>
            <w:color w:val="77328A"/>
          </w:rPr>
        </w:pPr>
        <w:r w:rsidRPr="007D17F2">
          <w:rPr>
            <w:color w:val="77328A"/>
          </w:rPr>
          <w:fldChar w:fldCharType="begin"/>
        </w:r>
        <w:r w:rsidRPr="007D17F2">
          <w:rPr>
            <w:color w:val="77328A"/>
          </w:rPr>
          <w:instrText xml:space="preserve"> PAGE   \* MERGEFORMAT </w:instrText>
        </w:r>
        <w:r w:rsidRPr="007D17F2">
          <w:rPr>
            <w:color w:val="77328A"/>
          </w:rPr>
          <w:fldChar w:fldCharType="separate"/>
        </w:r>
        <w:r w:rsidRPr="007D17F2">
          <w:rPr>
            <w:noProof/>
            <w:color w:val="77328A"/>
          </w:rPr>
          <w:t>2</w:t>
        </w:r>
        <w:r w:rsidRPr="007D17F2">
          <w:rPr>
            <w:noProof/>
            <w:color w:val="77328A"/>
          </w:rPr>
          <w:fldChar w:fldCharType="end"/>
        </w:r>
      </w:p>
    </w:sdtContent>
  </w:sdt>
  <w:p w14:paraId="4982FD1F" w14:textId="77777777" w:rsidR="007D17F2" w:rsidRDefault="007D17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CB951" w14:textId="77777777" w:rsidR="00AF2779" w:rsidRDefault="00AF27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150BD" w14:textId="77777777" w:rsidR="00D01220" w:rsidRDefault="00D01220" w:rsidP="003F60F5">
      <w:r>
        <w:separator/>
      </w:r>
    </w:p>
  </w:footnote>
  <w:footnote w:type="continuationSeparator" w:id="0">
    <w:p w14:paraId="0FE8E705" w14:textId="77777777" w:rsidR="00D01220" w:rsidRDefault="00D01220" w:rsidP="003F60F5">
      <w:r>
        <w:continuationSeparator/>
      </w:r>
    </w:p>
  </w:footnote>
  <w:footnote w:type="continuationNotice" w:id="1">
    <w:p w14:paraId="36B1BDB7" w14:textId="77777777" w:rsidR="00D01220" w:rsidRDefault="00D01220">
      <w:pPr>
        <w:spacing w:line="240" w:lineRule="auto"/>
      </w:pPr>
    </w:p>
  </w:footnote>
  <w:footnote w:id="2">
    <w:p w14:paraId="13DB3011" w14:textId="6392A6BC" w:rsidR="003419DA" w:rsidRPr="009505C2" w:rsidRDefault="003419DA" w:rsidP="00482544">
      <w:pPr>
        <w:pStyle w:val="FootnoteText"/>
        <w:spacing w:line="240" w:lineRule="auto"/>
        <w:rPr>
          <w:color w:val="77328A"/>
          <w:sz w:val="16"/>
          <w:szCs w:val="16"/>
        </w:rPr>
      </w:pPr>
      <w:r w:rsidRPr="009505C2">
        <w:rPr>
          <w:rStyle w:val="FootnoteReference"/>
          <w:color w:val="77328A"/>
          <w:sz w:val="16"/>
          <w:szCs w:val="16"/>
        </w:rPr>
        <w:footnoteRef/>
      </w:r>
      <w:r w:rsidRPr="009505C2">
        <w:rPr>
          <w:color w:val="77328A"/>
          <w:sz w:val="16"/>
          <w:szCs w:val="16"/>
        </w:rPr>
        <w:t xml:space="preserve"> The Windsor Framework was formerly known as the Protocol on Ireland/Northern Ireland to the to the Agreement on the Withdrawal of the UK of Great Britain and NI from the EU and the E</w:t>
      </w:r>
      <w:r w:rsidR="003A7130" w:rsidRPr="009505C2">
        <w:rPr>
          <w:color w:val="77328A"/>
          <w:sz w:val="16"/>
          <w:szCs w:val="16"/>
        </w:rPr>
        <w:t>AE</w:t>
      </w:r>
      <w:r w:rsidRPr="009505C2">
        <w:rPr>
          <w:color w:val="77328A"/>
          <w:sz w:val="16"/>
          <w:szCs w:val="16"/>
        </w:rPr>
        <w:t>C, 24 January 2020 (UK-EU Withdrawal Agreement). All references to the Protocol in this document have been updated to reflect this change (see Decision No 1/2023 of the Joint Committee established by the Agreement on the Withdrawal of the United Kingdom of Great Britain and Northern Ireland from the European Union and the European Atomic Energy Community of 24 March 2023 laying down arrangements relating to the Windsor Framework).</w:t>
      </w:r>
    </w:p>
  </w:footnote>
  <w:footnote w:id="3">
    <w:p w14:paraId="64198AC5" w14:textId="22AD9E62" w:rsidR="00E32D88" w:rsidRPr="009505C2" w:rsidRDefault="00E32D88" w:rsidP="00482544">
      <w:pPr>
        <w:pStyle w:val="FootnoteText"/>
        <w:spacing w:line="240" w:lineRule="auto"/>
        <w:rPr>
          <w:color w:val="77328A"/>
          <w:sz w:val="16"/>
          <w:szCs w:val="16"/>
        </w:rPr>
      </w:pPr>
      <w:r w:rsidRPr="009505C2">
        <w:rPr>
          <w:rStyle w:val="FootnoteReference"/>
          <w:color w:val="77328A"/>
          <w:sz w:val="16"/>
          <w:szCs w:val="16"/>
        </w:rPr>
        <w:footnoteRef/>
      </w:r>
      <w:r w:rsidRPr="009505C2">
        <w:rPr>
          <w:color w:val="77328A"/>
          <w:sz w:val="16"/>
          <w:szCs w:val="16"/>
        </w:rPr>
        <w:t xml:space="preserve"> </w:t>
      </w:r>
      <w:r w:rsidR="00E30A1B" w:rsidRPr="009505C2">
        <w:rPr>
          <w:color w:val="77328A"/>
          <w:sz w:val="16"/>
          <w:szCs w:val="16"/>
        </w:rPr>
        <w:t>Section 6 of the NI Act 1998 prohibits the NI Assembly from making any law which is incompatible with Windsor Framework Article 2. Section 24 of the 1998 Act also requires all acts of NI Ministers and NI Departments to be compatible with Windsor Framework Article 2.</w:t>
      </w:r>
    </w:p>
  </w:footnote>
  <w:footnote w:id="4">
    <w:p w14:paraId="4DC68266" w14:textId="324C1EC4" w:rsidR="008D4A6C" w:rsidRPr="009505C2" w:rsidRDefault="008D4A6C" w:rsidP="00482544">
      <w:pPr>
        <w:pStyle w:val="NIHRCFootnotes"/>
        <w:rPr>
          <w:rFonts w:cstheme="minorHAnsi"/>
        </w:rPr>
      </w:pPr>
      <w:r w:rsidRPr="009505C2">
        <w:rPr>
          <w:rStyle w:val="FootnoteReference"/>
          <w:rFonts w:cstheme="minorHAnsi"/>
        </w:rPr>
        <w:footnoteRef/>
      </w:r>
      <w:r w:rsidRPr="009505C2">
        <w:rPr>
          <w:rFonts w:cstheme="minorHAnsi"/>
        </w:rPr>
        <w:t xml:space="preserve"> </w:t>
      </w:r>
      <w:bookmarkStart w:id="10" w:name="_Hlk164424182"/>
      <w:r w:rsidRPr="009505C2">
        <w:rPr>
          <w:rFonts w:cstheme="minorHAnsi"/>
        </w:rPr>
        <w:t xml:space="preserve">Amanda Kramer, </w:t>
      </w:r>
      <w:r w:rsidRPr="009505C2">
        <w:t>Rachel Dickson and Anni Pues</w:t>
      </w:r>
      <w:r w:rsidRPr="009505C2">
        <w:rPr>
          <w:rFonts w:cstheme="minorHAnsi"/>
        </w:rPr>
        <w:t>, ‘Evolving Justice Arrangements Post-Brexit’ (IHREC and NIHRC, 2019)</w:t>
      </w:r>
      <w:bookmarkEnd w:id="10"/>
      <w:r w:rsidR="00BA3161" w:rsidRPr="009505C2">
        <w:rPr>
          <w:rFonts w:cstheme="minorHAnsi"/>
        </w:rPr>
        <w:t>, at 6</w:t>
      </w:r>
      <w:r w:rsidRPr="009505C2">
        <w:rPr>
          <w:rFonts w:cstheme="minorHAnsi"/>
        </w:rPr>
        <w:t>.</w:t>
      </w:r>
    </w:p>
  </w:footnote>
  <w:footnote w:id="5">
    <w:p w14:paraId="2A0F83FA" w14:textId="19B5A560" w:rsidR="00BA3161" w:rsidRPr="009505C2" w:rsidRDefault="00BA3161" w:rsidP="00482544">
      <w:pPr>
        <w:pStyle w:val="FootnoteText"/>
        <w:spacing w:line="240" w:lineRule="auto"/>
        <w:rPr>
          <w:color w:val="77328A"/>
          <w:sz w:val="16"/>
          <w:szCs w:val="16"/>
        </w:rPr>
      </w:pPr>
      <w:r w:rsidRPr="009505C2">
        <w:rPr>
          <w:rStyle w:val="FootnoteReference"/>
          <w:color w:val="77328A"/>
          <w:sz w:val="16"/>
          <w:szCs w:val="16"/>
        </w:rPr>
        <w:footnoteRef/>
      </w:r>
      <w:r w:rsidRPr="009505C2">
        <w:rPr>
          <w:color w:val="77328A"/>
          <w:sz w:val="16"/>
          <w:szCs w:val="16"/>
        </w:rPr>
        <w:t xml:space="preserve"> European Police Office offered support for law enforcement operations on the ground and provides a hub for information on criminal activities and a centre of law enforcement expertise. </w:t>
      </w:r>
    </w:p>
  </w:footnote>
  <w:footnote w:id="6">
    <w:p w14:paraId="546995E6" w14:textId="07F5EE08" w:rsidR="00BA3161" w:rsidRPr="009505C2" w:rsidRDefault="00BA3161" w:rsidP="00482544">
      <w:pPr>
        <w:pStyle w:val="FootnoteText"/>
        <w:spacing w:line="240" w:lineRule="auto"/>
        <w:rPr>
          <w:color w:val="77328A"/>
          <w:sz w:val="16"/>
          <w:szCs w:val="16"/>
        </w:rPr>
      </w:pPr>
      <w:r w:rsidRPr="009505C2">
        <w:rPr>
          <w:rStyle w:val="FootnoteReference"/>
          <w:color w:val="77328A"/>
          <w:sz w:val="16"/>
          <w:szCs w:val="16"/>
        </w:rPr>
        <w:footnoteRef/>
      </w:r>
      <w:r w:rsidRPr="009505C2">
        <w:rPr>
          <w:color w:val="77328A"/>
          <w:sz w:val="16"/>
          <w:szCs w:val="16"/>
        </w:rPr>
        <w:t xml:space="preserve"> Eurojust supported judicial coordination and co-operation between national authorities in combating serious organised crime affecting more than one EU country.</w:t>
      </w:r>
    </w:p>
  </w:footnote>
  <w:footnote w:id="7">
    <w:p w14:paraId="306B0685" w14:textId="77777777" w:rsidR="00AC6D3B" w:rsidRPr="009505C2" w:rsidRDefault="00AC6D3B" w:rsidP="00482544">
      <w:pPr>
        <w:pStyle w:val="NIHRCFootnotes"/>
        <w:rPr>
          <w:rFonts w:cstheme="minorHAnsi"/>
        </w:rPr>
      </w:pPr>
      <w:r w:rsidRPr="009505C2">
        <w:rPr>
          <w:rStyle w:val="FootnoteReference"/>
          <w:rFonts w:cstheme="minorHAnsi"/>
        </w:rPr>
        <w:footnoteRef/>
      </w:r>
      <w:r w:rsidRPr="009505C2">
        <w:rPr>
          <w:rFonts w:cstheme="minorHAnsi"/>
        </w:rPr>
        <w:t xml:space="preserve"> Schengen Information System is a European database, which provides alerts on the movement of people or objects of interest as they cross EU borders. See Regulation 1987/2006, ‘EU Parliament and Council Regulation on the Establishment, Operation and Use of the Second Generation Schengen Information System’, 28 December 2006.</w:t>
      </w:r>
    </w:p>
  </w:footnote>
  <w:footnote w:id="8">
    <w:p w14:paraId="3562ADA2" w14:textId="0BE7BB29" w:rsidR="00DE66D8" w:rsidRPr="009505C2" w:rsidRDefault="00DE66D8" w:rsidP="00482544">
      <w:pPr>
        <w:pStyle w:val="FootnoteText"/>
        <w:spacing w:line="240" w:lineRule="auto"/>
        <w:rPr>
          <w:rFonts w:cstheme="minorHAnsi"/>
          <w:color w:val="77328A"/>
          <w:sz w:val="16"/>
          <w:szCs w:val="16"/>
        </w:rPr>
      </w:pPr>
      <w:r w:rsidRPr="009505C2">
        <w:rPr>
          <w:rStyle w:val="FootnoteReference"/>
          <w:color w:val="77328A"/>
          <w:sz w:val="16"/>
          <w:szCs w:val="16"/>
        </w:rPr>
        <w:footnoteRef/>
      </w:r>
      <w:r w:rsidRPr="009505C2">
        <w:rPr>
          <w:color w:val="77328A"/>
          <w:sz w:val="16"/>
          <w:szCs w:val="16"/>
        </w:rPr>
        <w:t xml:space="preserve"> </w:t>
      </w:r>
      <w:r w:rsidR="00A02D0D" w:rsidRPr="009505C2">
        <w:rPr>
          <w:color w:val="77328A"/>
          <w:sz w:val="16"/>
          <w:szCs w:val="16"/>
        </w:rPr>
        <w:t xml:space="preserve">The European Criminal Records Information System </w:t>
      </w:r>
      <w:r w:rsidR="00A02D0D" w:rsidRPr="009505C2">
        <w:rPr>
          <w:rFonts w:cstheme="minorHAnsi"/>
          <w:color w:val="77328A"/>
          <w:sz w:val="16"/>
          <w:szCs w:val="16"/>
        </w:rPr>
        <w:t>is a European database, which provides for the sharing of criminal record data, including the translation of offences between EU Member States. See Council Framework Decision 2008/675/JHA on taking account of convictions in the Member States of the European Union in the course of new criminal proceedings, 24 July 2008.</w:t>
      </w:r>
    </w:p>
  </w:footnote>
  <w:footnote w:id="9">
    <w:p w14:paraId="56B92A09" w14:textId="2153FFE5" w:rsidR="009F1364" w:rsidRPr="009505C2" w:rsidRDefault="009F1364" w:rsidP="00482544">
      <w:pPr>
        <w:pStyle w:val="FootnoteText"/>
        <w:spacing w:line="240" w:lineRule="auto"/>
        <w:rPr>
          <w:color w:val="77328A"/>
          <w:sz w:val="16"/>
          <w:szCs w:val="16"/>
        </w:rPr>
      </w:pPr>
      <w:r w:rsidRPr="009505C2">
        <w:rPr>
          <w:rStyle w:val="FootnoteReference"/>
          <w:color w:val="77328A"/>
          <w:sz w:val="16"/>
          <w:szCs w:val="16"/>
        </w:rPr>
        <w:footnoteRef/>
      </w:r>
      <w:r w:rsidRPr="009505C2">
        <w:rPr>
          <w:color w:val="77328A"/>
          <w:sz w:val="16"/>
          <w:szCs w:val="16"/>
        </w:rPr>
        <w:t xml:space="preserve"> Amanda Kramer, Rachel Dickson and Anni Pues, ‘Evolving Justice Arrangements Post-Brexit’ (IHREC and NIHRC, 2019).</w:t>
      </w:r>
    </w:p>
  </w:footnote>
  <w:footnote w:id="10">
    <w:p w14:paraId="38C67E48" w14:textId="3758C044" w:rsidR="00085C37" w:rsidRPr="009505C2" w:rsidRDefault="00085C37" w:rsidP="00482544">
      <w:pPr>
        <w:pStyle w:val="FootnoteText"/>
        <w:spacing w:line="240" w:lineRule="auto"/>
        <w:rPr>
          <w:color w:val="77328A"/>
          <w:sz w:val="16"/>
          <w:szCs w:val="16"/>
        </w:rPr>
      </w:pPr>
      <w:r w:rsidRPr="009505C2">
        <w:rPr>
          <w:rStyle w:val="FootnoteReference"/>
          <w:color w:val="77328A"/>
          <w:sz w:val="16"/>
          <w:szCs w:val="16"/>
        </w:rPr>
        <w:footnoteRef/>
      </w:r>
      <w:r w:rsidRPr="009505C2">
        <w:rPr>
          <w:color w:val="77328A"/>
          <w:sz w:val="16"/>
          <w:szCs w:val="16"/>
        </w:rPr>
        <w:t xml:space="preserve"> </w:t>
      </w:r>
      <w:r w:rsidR="00E630D9" w:rsidRPr="009505C2">
        <w:rPr>
          <w:color w:val="77328A"/>
          <w:sz w:val="16"/>
          <w:szCs w:val="16"/>
        </w:rPr>
        <w:t>Article 524, UK-EU Trade and Cooperation Agreement 2020.</w:t>
      </w:r>
    </w:p>
  </w:footnote>
  <w:footnote w:id="11">
    <w:p w14:paraId="269E50C3" w14:textId="1AC1D0A3" w:rsidR="00434DAF" w:rsidRPr="009505C2" w:rsidRDefault="00434DAF" w:rsidP="00482544">
      <w:pPr>
        <w:pStyle w:val="FootnoteText"/>
        <w:spacing w:line="240" w:lineRule="auto"/>
        <w:rPr>
          <w:color w:val="77328A"/>
          <w:sz w:val="16"/>
          <w:szCs w:val="16"/>
        </w:rPr>
      </w:pPr>
      <w:r w:rsidRPr="009505C2">
        <w:rPr>
          <w:rStyle w:val="FootnoteReference"/>
          <w:color w:val="77328A"/>
          <w:sz w:val="16"/>
          <w:szCs w:val="16"/>
        </w:rPr>
        <w:footnoteRef/>
      </w:r>
      <w:r w:rsidRPr="009505C2">
        <w:rPr>
          <w:color w:val="77328A"/>
          <w:sz w:val="16"/>
          <w:szCs w:val="16"/>
        </w:rPr>
        <w:t xml:space="preserve"> </w:t>
      </w:r>
      <w:r w:rsidR="009D2F0E" w:rsidRPr="009505C2">
        <w:rPr>
          <w:rFonts w:cstheme="minorHAnsi"/>
          <w:color w:val="77328A"/>
          <w:sz w:val="16"/>
          <w:szCs w:val="16"/>
        </w:rPr>
        <w:t>Articles 596-632, UK-EU Trade and Cooperation Agreement 2020. Section 12 of the EU (Future Relationship) Act 2020 has repealed sections 64 and 65 of the Extradition Act 2003, which previously contained a waiver in relation to the requirement of dual criminality.</w:t>
      </w:r>
    </w:p>
  </w:footnote>
  <w:footnote w:id="12">
    <w:p w14:paraId="760FE1B2" w14:textId="77777777" w:rsidR="00796A14" w:rsidRPr="009505C2" w:rsidRDefault="00796A14" w:rsidP="00482544">
      <w:pPr>
        <w:pStyle w:val="NIHRCFootnotes"/>
        <w:rPr>
          <w:rFonts w:cstheme="minorHAnsi"/>
        </w:rPr>
      </w:pPr>
      <w:r w:rsidRPr="009505C2">
        <w:rPr>
          <w:rStyle w:val="FootnoteReference"/>
          <w:rFonts w:cstheme="minorHAnsi"/>
        </w:rPr>
        <w:footnoteRef/>
      </w:r>
      <w:r w:rsidRPr="009505C2">
        <w:rPr>
          <w:rFonts w:cstheme="minorHAnsi"/>
        </w:rPr>
        <w:t xml:space="preserve"> EU Commission, ‘Press Release: Data protection – Commission adopts adequacy decisions for the UK’, 28 June 2021.</w:t>
      </w:r>
    </w:p>
  </w:footnote>
  <w:footnote w:id="13">
    <w:p w14:paraId="5A52715C" w14:textId="37F2433B" w:rsidR="00796A14" w:rsidRPr="009505C2" w:rsidRDefault="00796A14" w:rsidP="00482544">
      <w:pPr>
        <w:pStyle w:val="NIHRCFootnotes"/>
        <w:rPr>
          <w:rFonts w:cstheme="minorHAnsi"/>
        </w:rPr>
      </w:pPr>
      <w:r w:rsidRPr="009505C2">
        <w:rPr>
          <w:rStyle w:val="FootnoteReference"/>
          <w:rFonts w:cstheme="minorHAnsi"/>
        </w:rPr>
        <w:footnoteRef/>
      </w:r>
      <w:r w:rsidRPr="009505C2">
        <w:rPr>
          <w:rFonts w:cstheme="minorHAnsi"/>
        </w:rPr>
        <w:t xml:space="preserve"> C/2021/4800, ‘European Commission Implementing Decision (EU) 2021/1772, Pursuant to Regulation (EU) 2016/679 of the European Parliament and of the Council on the Adequate Protection of Personal Data by the UK’, 28 June 2021</w:t>
      </w:r>
      <w:r w:rsidR="00F33AFE" w:rsidRPr="009505C2">
        <w:rPr>
          <w:rFonts w:cstheme="minorHAnsi"/>
        </w:rPr>
        <w:t xml:space="preserve">; </w:t>
      </w:r>
      <w:r w:rsidR="00167CB2" w:rsidRPr="009505C2">
        <w:t>Regulation 2016/679/EU, ‘Regulation of the EU Parliament and Council on the Protection of natural persons with regard to the processing of personal data and on the free movement of such data (EU GDPR)’, 27 April 2016</w:t>
      </w:r>
      <w:r w:rsidR="00F33AFE" w:rsidRPr="009505C2">
        <w:t>.</w:t>
      </w:r>
    </w:p>
  </w:footnote>
  <w:footnote w:id="14">
    <w:p w14:paraId="27D3AE77" w14:textId="5993A7EC" w:rsidR="00796A14" w:rsidRPr="009505C2" w:rsidRDefault="00796A14" w:rsidP="00482544">
      <w:pPr>
        <w:pStyle w:val="NIHRCFootnotes"/>
      </w:pPr>
      <w:r w:rsidRPr="009505C2">
        <w:rPr>
          <w:rStyle w:val="FootnoteReference"/>
        </w:rPr>
        <w:footnoteRef/>
      </w:r>
      <w:r w:rsidRPr="009505C2">
        <w:t xml:space="preserve"> </w:t>
      </w:r>
      <w:r w:rsidR="00F33AFE" w:rsidRPr="009505C2">
        <w:t xml:space="preserve">C/2021/4801 ‘European Commission Implementing Decision (EU) 2021/1773, pursuant to Directive (EU) 2016/680 of the European Parliament and of the Council on the adequate protection of personal data by the UK’ 28 June 2021; </w:t>
      </w:r>
      <w:r w:rsidR="00167CB2" w:rsidRPr="009505C2">
        <w:t>Directive 2016/680/EU, ‘Directive of the EU Parliament and Council on the Protection of Natural Persons with Regard to the Processing of Personal Data by Competent Authorities for the Purposes of the Prevention, Investigation, Detection or Prosecution of Criminal Offences or the Execution of Criminal Penalties, and on the Free Movement of Such Data’, 27 April 2016</w:t>
      </w:r>
      <w:r w:rsidRPr="009505C2">
        <w:t>.</w:t>
      </w:r>
    </w:p>
  </w:footnote>
  <w:footnote w:id="15">
    <w:p w14:paraId="5E8E7B1A" w14:textId="77777777" w:rsidR="00796A14" w:rsidRPr="009505C2" w:rsidRDefault="00796A14" w:rsidP="00482544">
      <w:pPr>
        <w:pStyle w:val="NIHRCFootnotes"/>
      </w:pPr>
      <w:r w:rsidRPr="009505C2">
        <w:rPr>
          <w:rStyle w:val="FootnoteReference"/>
        </w:rPr>
        <w:footnoteRef/>
      </w:r>
      <w:r w:rsidRPr="009505C2">
        <w:t xml:space="preserve"> Schengen Information System is a European database which provides alerts on the movement of people or objects of interest as they cross EU borders. See Regulation 1987/2006, ‘European Parliament and EU Council Regulation on the Establishment, Operation and Use of the Second Generation Schengen Information System’, 28 December 2006.</w:t>
      </w:r>
    </w:p>
  </w:footnote>
  <w:footnote w:id="16">
    <w:p w14:paraId="28491DC0" w14:textId="77777777" w:rsidR="000F0C22" w:rsidRPr="009505C2" w:rsidRDefault="000F0C22" w:rsidP="000F0C22">
      <w:pPr>
        <w:pStyle w:val="NIHRCFootnotes"/>
        <w:rPr>
          <w:rFonts w:cstheme="minorHAnsi"/>
        </w:rPr>
      </w:pPr>
      <w:r w:rsidRPr="009505C2">
        <w:rPr>
          <w:rStyle w:val="FootnoteReference"/>
          <w:rFonts w:cstheme="minorHAnsi"/>
        </w:rPr>
        <w:footnoteRef/>
      </w:r>
      <w:r w:rsidRPr="009505C2">
        <w:rPr>
          <w:rFonts w:cstheme="minorHAnsi"/>
        </w:rPr>
        <w:t xml:space="preserve"> House of Commons NI Affairs Committee, 'Cross-border Co-operation on Policing, Security and Criminal Justice After Brexit: Government Response to the NI Affairs Committee’s Fourth Report of Session 2019–2021' (NIAC, 2021).</w:t>
      </w:r>
    </w:p>
  </w:footnote>
  <w:footnote w:id="17">
    <w:p w14:paraId="359E6613" w14:textId="77777777" w:rsidR="00030EDB" w:rsidRPr="009505C2" w:rsidRDefault="00030EDB" w:rsidP="00030EDB">
      <w:pPr>
        <w:pStyle w:val="NIHRCFootnotes"/>
        <w:rPr>
          <w:rFonts w:cstheme="minorHAnsi"/>
        </w:rPr>
      </w:pPr>
      <w:r w:rsidRPr="009505C2">
        <w:rPr>
          <w:rStyle w:val="FootnoteReference"/>
          <w:rFonts w:cstheme="minorHAnsi"/>
        </w:rPr>
        <w:footnoteRef/>
      </w:r>
      <w:r w:rsidRPr="009505C2">
        <w:rPr>
          <w:rFonts w:cstheme="minorHAnsi"/>
        </w:rPr>
        <w:t xml:space="preserve"> House of Lords EU Committee ‘Beyond Brexit: Policing, Law Enforcement and Security Twenty-fifth Report of Session 2019–2021’ (EU Committee, 2021), at para 74.</w:t>
      </w:r>
    </w:p>
  </w:footnote>
  <w:footnote w:id="18">
    <w:p w14:paraId="6F51793C" w14:textId="03FC8087" w:rsidR="0068247F" w:rsidRPr="009505C2" w:rsidRDefault="0068247F" w:rsidP="00482544">
      <w:pPr>
        <w:pStyle w:val="NIHRCFootnotes"/>
        <w:rPr>
          <w:rFonts w:cstheme="minorHAnsi"/>
        </w:rPr>
      </w:pPr>
      <w:r w:rsidRPr="009505C2">
        <w:rPr>
          <w:rStyle w:val="FootnoteReference"/>
          <w:rFonts w:cstheme="minorHAnsi"/>
        </w:rPr>
        <w:footnoteRef/>
      </w:r>
      <w:r w:rsidRPr="009505C2">
        <w:rPr>
          <w:rFonts w:cstheme="minorHAnsi"/>
        </w:rPr>
        <w:t xml:space="preserve"> Home Office, ‘International Law Enforcement Alerts Platform Programme Accounting Officer Assessment’ (HO, 2023).</w:t>
      </w:r>
    </w:p>
  </w:footnote>
  <w:footnote w:id="19">
    <w:p w14:paraId="7384D4E2" w14:textId="77777777" w:rsidR="00033D34" w:rsidRPr="009505C2" w:rsidRDefault="00033D34" w:rsidP="00482544">
      <w:pPr>
        <w:pStyle w:val="FootnoteText"/>
        <w:spacing w:line="240" w:lineRule="auto"/>
        <w:rPr>
          <w:color w:val="77328A"/>
          <w:sz w:val="16"/>
          <w:szCs w:val="16"/>
        </w:rPr>
      </w:pPr>
      <w:r w:rsidRPr="009505C2">
        <w:rPr>
          <w:rStyle w:val="FootnoteReference"/>
          <w:color w:val="77328A"/>
          <w:sz w:val="16"/>
          <w:szCs w:val="16"/>
        </w:rPr>
        <w:footnoteRef/>
      </w:r>
      <w:r w:rsidRPr="009505C2">
        <w:rPr>
          <w:color w:val="77328A"/>
          <w:sz w:val="16"/>
          <w:szCs w:val="16"/>
        </w:rPr>
        <w:t xml:space="preserve"> Article 596-632, UK-EU Trade and Cooperation Agreement 2020.</w:t>
      </w:r>
    </w:p>
  </w:footnote>
  <w:footnote w:id="20">
    <w:p w14:paraId="1F69FFFE" w14:textId="51752B33" w:rsidR="005D06A6" w:rsidRPr="009505C2" w:rsidRDefault="005D06A6" w:rsidP="00A2556F">
      <w:pPr>
        <w:pStyle w:val="FootnoteText"/>
        <w:spacing w:line="240" w:lineRule="auto"/>
        <w:rPr>
          <w:color w:val="77328A"/>
          <w:sz w:val="16"/>
          <w:szCs w:val="16"/>
        </w:rPr>
      </w:pPr>
      <w:r w:rsidRPr="009505C2">
        <w:rPr>
          <w:rStyle w:val="FootnoteReference"/>
          <w:color w:val="77328A"/>
          <w:sz w:val="16"/>
          <w:szCs w:val="16"/>
        </w:rPr>
        <w:footnoteRef/>
      </w:r>
      <w:r w:rsidRPr="009505C2">
        <w:rPr>
          <w:color w:val="77328A"/>
          <w:sz w:val="16"/>
          <w:szCs w:val="16"/>
        </w:rPr>
        <w:t xml:space="preserve"> Article 524, UK-EU Trade and Cooperation Agreement 2020. </w:t>
      </w:r>
    </w:p>
  </w:footnote>
  <w:footnote w:id="21">
    <w:p w14:paraId="50691CEB" w14:textId="2C989EE8" w:rsidR="009D46BE" w:rsidRPr="009505C2" w:rsidRDefault="009D46BE" w:rsidP="009D46BE">
      <w:pPr>
        <w:pStyle w:val="FootnoteText"/>
        <w:spacing w:line="240" w:lineRule="auto"/>
        <w:rPr>
          <w:color w:val="77328A"/>
          <w:sz w:val="16"/>
          <w:szCs w:val="16"/>
        </w:rPr>
      </w:pPr>
      <w:r w:rsidRPr="009505C2">
        <w:rPr>
          <w:rStyle w:val="FootnoteReference"/>
          <w:color w:val="77328A"/>
          <w:sz w:val="16"/>
          <w:szCs w:val="16"/>
        </w:rPr>
        <w:footnoteRef/>
      </w:r>
      <w:r w:rsidRPr="009505C2">
        <w:rPr>
          <w:color w:val="77328A"/>
          <w:sz w:val="16"/>
          <w:szCs w:val="16"/>
        </w:rPr>
        <w:t xml:space="preserve"> The Belfast (Good Friday) Agreement 1998 provides that the UK Government will complete incorporation of the ECHR unto NI law with “direct access to the Courts, and remedies for breach of the Convention, including the power for the courts to overrule Assembly legislation on grounds of inconsistency’. </w:t>
      </w:r>
    </w:p>
  </w:footnote>
  <w:footnote w:id="22">
    <w:p w14:paraId="6F87BE51" w14:textId="77777777" w:rsidR="00CD3C7C" w:rsidRPr="009505C2" w:rsidRDefault="00CD3C7C" w:rsidP="00482544">
      <w:pPr>
        <w:pStyle w:val="NIHRCFootnotes"/>
      </w:pPr>
      <w:r w:rsidRPr="009505C2">
        <w:rPr>
          <w:rStyle w:val="FootnoteReference"/>
        </w:rPr>
        <w:footnoteRef/>
      </w:r>
      <w:r w:rsidRPr="009505C2">
        <w:t xml:space="preserve"> NI Human Rights Commission, ‘Briefing on the Data (Use and Access) Bill’ (NIHRC, 2025), at Sections 4 and 5.</w:t>
      </w:r>
    </w:p>
  </w:footnote>
  <w:footnote w:id="23">
    <w:p w14:paraId="0CBC92C5" w14:textId="0684FCEE" w:rsidR="00F15F88" w:rsidRPr="009505C2" w:rsidRDefault="00F15F88" w:rsidP="00482544">
      <w:pPr>
        <w:pStyle w:val="FootnoteText"/>
        <w:spacing w:line="240" w:lineRule="auto"/>
        <w:rPr>
          <w:color w:val="77328A"/>
          <w:sz w:val="16"/>
          <w:szCs w:val="16"/>
        </w:rPr>
      </w:pPr>
      <w:r w:rsidRPr="009505C2">
        <w:rPr>
          <w:rStyle w:val="FootnoteReference"/>
          <w:color w:val="77328A"/>
          <w:sz w:val="16"/>
          <w:szCs w:val="16"/>
        </w:rPr>
        <w:footnoteRef/>
      </w:r>
      <w:r w:rsidRPr="009505C2">
        <w:rPr>
          <w:color w:val="77328A"/>
          <w:sz w:val="16"/>
          <w:szCs w:val="16"/>
        </w:rPr>
        <w:t xml:space="preserve"> </w:t>
      </w:r>
      <w:r w:rsidR="009516A4" w:rsidRPr="009505C2">
        <w:rPr>
          <w:color w:val="77328A"/>
          <w:sz w:val="16"/>
          <w:szCs w:val="16"/>
        </w:rPr>
        <w:t>EU Commission ‘Press Release: Data protection: Commission adopts adequacy decisions for the UK’, 28 June 2021.</w:t>
      </w:r>
    </w:p>
  </w:footnote>
  <w:footnote w:id="24">
    <w:p w14:paraId="6D9F5E00" w14:textId="1128E7D7" w:rsidR="00F15F88" w:rsidRPr="009505C2" w:rsidRDefault="00F15F88" w:rsidP="00482544">
      <w:pPr>
        <w:pStyle w:val="FootnoteText"/>
        <w:spacing w:line="240" w:lineRule="auto"/>
        <w:rPr>
          <w:color w:val="77328A"/>
          <w:sz w:val="16"/>
          <w:szCs w:val="16"/>
        </w:rPr>
      </w:pPr>
      <w:r w:rsidRPr="009505C2">
        <w:rPr>
          <w:rStyle w:val="FootnoteReference"/>
          <w:color w:val="77328A"/>
          <w:sz w:val="16"/>
          <w:szCs w:val="16"/>
        </w:rPr>
        <w:footnoteRef/>
      </w:r>
      <w:r w:rsidRPr="009505C2">
        <w:rPr>
          <w:color w:val="77328A"/>
          <w:sz w:val="16"/>
          <w:szCs w:val="16"/>
        </w:rPr>
        <w:t xml:space="preserve"> </w:t>
      </w:r>
      <w:r w:rsidR="00167CB2" w:rsidRPr="009505C2">
        <w:rPr>
          <w:color w:val="77328A"/>
          <w:sz w:val="16"/>
          <w:szCs w:val="16"/>
        </w:rPr>
        <w:t>C/2021/4800, ‘European Commission Implementing Decision (EU) 2021/1772, Pursuant to Regulation (EU) 2016/679 of the European Parliament and of the Council on the Adequate Protection of Personal Data by the UK’, 28 June 2021; Regulation 2016/679/EU, ‘Regulation of the EU Parliament and Council on the Protection of natural persons with regard to the processing of personal data and on the free movement of such data (EU GDPR)’, 27 April 2016.</w:t>
      </w:r>
    </w:p>
  </w:footnote>
  <w:footnote w:id="25">
    <w:p w14:paraId="58C0641D" w14:textId="29F1EB11" w:rsidR="00F15F88" w:rsidRPr="009505C2" w:rsidRDefault="00F15F88" w:rsidP="00482544">
      <w:pPr>
        <w:pStyle w:val="FootnoteText"/>
        <w:spacing w:line="240" w:lineRule="auto"/>
        <w:rPr>
          <w:color w:val="77328A"/>
          <w:sz w:val="16"/>
          <w:szCs w:val="16"/>
        </w:rPr>
      </w:pPr>
      <w:r w:rsidRPr="009505C2">
        <w:rPr>
          <w:rStyle w:val="FootnoteReference"/>
          <w:color w:val="77328A"/>
          <w:sz w:val="16"/>
          <w:szCs w:val="16"/>
        </w:rPr>
        <w:footnoteRef/>
      </w:r>
      <w:r w:rsidRPr="009505C2">
        <w:rPr>
          <w:color w:val="77328A"/>
          <w:sz w:val="16"/>
          <w:szCs w:val="16"/>
        </w:rPr>
        <w:t xml:space="preserve"> </w:t>
      </w:r>
      <w:r w:rsidR="00167CB2" w:rsidRPr="009505C2">
        <w:rPr>
          <w:color w:val="77328A"/>
          <w:sz w:val="16"/>
          <w:szCs w:val="16"/>
        </w:rPr>
        <w:t>C/2021/4801 ‘European Commission Implementing Decision (EU) 2021/1773, pursuant to Directive (EU) 2016/680 of the European Parliament and of the Council on the adequate protection of personal data by the UK’ 28 June 2021; Directive 2016/680/EU, ‘Directive of the EU Parliament and Council on the Protection of Natural Persons with Regard to the Processing of Personal Data by Competent Authorities for the Purposes of the Prevention, Investigation, Detection or Prosecution of Criminal Offences or the Execution of Criminal Penalties, and on the Free Movement of Such Data’, 27 April 2016</w:t>
      </w:r>
      <w:r w:rsidR="009516A4" w:rsidRPr="009505C2">
        <w:rPr>
          <w:color w:val="77328A"/>
          <w:sz w:val="16"/>
          <w:szCs w:val="16"/>
        </w:rPr>
        <w:t>.</w:t>
      </w:r>
    </w:p>
  </w:footnote>
  <w:footnote w:id="26">
    <w:p w14:paraId="5FB982CB" w14:textId="25B49829" w:rsidR="00DD137F" w:rsidRPr="009505C2" w:rsidRDefault="00DD137F" w:rsidP="00482544">
      <w:pPr>
        <w:pStyle w:val="FootnoteText"/>
        <w:spacing w:line="240" w:lineRule="auto"/>
        <w:rPr>
          <w:color w:val="77328A"/>
          <w:sz w:val="16"/>
          <w:szCs w:val="16"/>
        </w:rPr>
      </w:pPr>
      <w:r w:rsidRPr="009505C2">
        <w:rPr>
          <w:rStyle w:val="FootnoteReference"/>
          <w:color w:val="77328A"/>
          <w:sz w:val="16"/>
          <w:szCs w:val="16"/>
        </w:rPr>
        <w:footnoteRef/>
      </w:r>
      <w:r w:rsidRPr="009505C2">
        <w:rPr>
          <w:color w:val="77328A"/>
          <w:sz w:val="16"/>
          <w:szCs w:val="16"/>
        </w:rPr>
        <w:t xml:space="preserve"> NI</w:t>
      </w:r>
      <w:r w:rsidR="003A7130" w:rsidRPr="009505C2">
        <w:rPr>
          <w:color w:val="77328A"/>
          <w:sz w:val="16"/>
          <w:szCs w:val="16"/>
        </w:rPr>
        <w:t xml:space="preserve"> Human Rights Commission and Equality Commission for NI </w:t>
      </w:r>
      <w:r w:rsidRPr="009505C2">
        <w:rPr>
          <w:color w:val="77328A"/>
          <w:sz w:val="16"/>
          <w:szCs w:val="16"/>
        </w:rPr>
        <w:t>‘Submission of the NIHRC and ECNI to the European Affairs Committee Inquiry on UK-EU Data Adequacy Agreements’ (NIHRC</w:t>
      </w:r>
      <w:r w:rsidR="00E22665" w:rsidRPr="009505C2">
        <w:rPr>
          <w:color w:val="77328A"/>
          <w:sz w:val="16"/>
          <w:szCs w:val="16"/>
        </w:rPr>
        <w:t xml:space="preserve"> and </w:t>
      </w:r>
      <w:r w:rsidRPr="009505C2">
        <w:rPr>
          <w:color w:val="77328A"/>
          <w:sz w:val="16"/>
          <w:szCs w:val="16"/>
        </w:rPr>
        <w:t>ECNI 2024)</w:t>
      </w:r>
      <w:r w:rsidR="00B84A9C" w:rsidRPr="009505C2">
        <w:rPr>
          <w:color w:val="77328A"/>
          <w:sz w:val="16"/>
          <w:szCs w:val="16"/>
        </w:rPr>
        <w:t>.</w:t>
      </w:r>
    </w:p>
  </w:footnote>
  <w:footnote w:id="27">
    <w:p w14:paraId="0D46EF5E" w14:textId="529AA820" w:rsidR="00A7595F" w:rsidRPr="009505C2" w:rsidRDefault="00A7595F" w:rsidP="00482544">
      <w:pPr>
        <w:pStyle w:val="FootnoteText"/>
        <w:spacing w:line="240" w:lineRule="auto"/>
        <w:rPr>
          <w:color w:val="77328A"/>
          <w:sz w:val="16"/>
          <w:szCs w:val="16"/>
        </w:rPr>
      </w:pPr>
      <w:r w:rsidRPr="009505C2">
        <w:rPr>
          <w:rStyle w:val="FootnoteReference"/>
          <w:color w:val="77328A"/>
          <w:sz w:val="16"/>
          <w:szCs w:val="16"/>
        </w:rPr>
        <w:footnoteRef/>
      </w:r>
      <w:r w:rsidRPr="009505C2">
        <w:rPr>
          <w:color w:val="77328A"/>
          <w:sz w:val="16"/>
          <w:szCs w:val="16"/>
        </w:rPr>
        <w:t xml:space="preserve"> </w:t>
      </w:r>
      <w:r w:rsidR="001A58CA" w:rsidRPr="009505C2">
        <w:rPr>
          <w:color w:val="77328A"/>
          <w:sz w:val="16"/>
          <w:szCs w:val="16"/>
        </w:rPr>
        <w:t>Letter from Chair of the House of Lords European Affairs Committee, Lord Rickets, to Secretary of State for Science, Innovation and Technology, Peter Kyle MP, 22 October 2024, at para b.  </w:t>
      </w:r>
    </w:p>
  </w:footnote>
  <w:footnote w:id="28">
    <w:p w14:paraId="350DF776" w14:textId="77777777" w:rsidR="00CD3C7C" w:rsidRPr="009505C2" w:rsidRDefault="00CD3C7C" w:rsidP="00482544">
      <w:pPr>
        <w:pStyle w:val="NIHRCFootnotes"/>
        <w:rPr>
          <w:rFonts w:cstheme="minorHAnsi"/>
        </w:rPr>
      </w:pPr>
      <w:r w:rsidRPr="009505C2">
        <w:rPr>
          <w:rStyle w:val="FootnoteReference"/>
          <w:rFonts w:cstheme="minorHAnsi"/>
        </w:rPr>
        <w:footnoteRef/>
      </w:r>
      <w:r w:rsidRPr="009505C2">
        <w:rPr>
          <w:rFonts w:cstheme="minorHAnsi"/>
        </w:rPr>
        <w:t xml:space="preserve"> Letter from Chair of the House of Lords European Affairs Committee, Lord Rickets, to Secretary of State for Science, Innovation and Technology, Peter Kyle MP, 22 October 2024, at para b. </w:t>
      </w:r>
    </w:p>
  </w:footnote>
  <w:footnote w:id="29">
    <w:p w14:paraId="73DB30D2" w14:textId="77777777" w:rsidR="00CD3C7C" w:rsidRPr="009505C2" w:rsidRDefault="00CD3C7C" w:rsidP="00482544">
      <w:pPr>
        <w:pStyle w:val="NIHRCFootnotes"/>
        <w:rPr>
          <w:rFonts w:cstheme="minorHAnsi"/>
        </w:rPr>
      </w:pPr>
      <w:r w:rsidRPr="009505C2">
        <w:rPr>
          <w:rStyle w:val="FootnoteReference"/>
          <w:rFonts w:cstheme="minorHAnsi"/>
        </w:rPr>
        <w:footnoteRef/>
      </w:r>
      <w:r w:rsidRPr="009505C2">
        <w:rPr>
          <w:rFonts w:cstheme="minorHAnsi"/>
        </w:rPr>
        <w:t xml:space="preserve"> Letter from Secretary of State for Science, Innovation and Technology, Peter Kyle MP, to Chair of the House of Lords European Affairs Committee, Lord Rickets, 20 November 2024.</w:t>
      </w:r>
    </w:p>
  </w:footnote>
  <w:footnote w:id="30">
    <w:p w14:paraId="370FD63B" w14:textId="77777777" w:rsidR="00E22665" w:rsidRPr="009505C2" w:rsidRDefault="00E22665" w:rsidP="00E22665">
      <w:pPr>
        <w:pStyle w:val="NIHRCFootnotes"/>
      </w:pPr>
      <w:r w:rsidRPr="009505C2">
        <w:rPr>
          <w:rStyle w:val="FootnoteReference"/>
        </w:rPr>
        <w:footnoteRef/>
      </w:r>
      <w:r w:rsidRPr="009505C2">
        <w:t xml:space="preserve"> C(2025)3928, ‘Commission Implementing Decision (EU) 2025/1226, Amending Implementing Decision (EU) 2021/1772 Pursuant to Regulation (EU) 2016/679 of the European Parliament and of the Council on the Adequate Protection of Personal Data by the UK’, 24 June 2025, at para 3. </w:t>
      </w:r>
    </w:p>
  </w:footnote>
  <w:footnote w:id="31">
    <w:p w14:paraId="381022E5" w14:textId="77777777" w:rsidR="00CD3C7C" w:rsidRPr="009505C2" w:rsidRDefault="00CD3C7C" w:rsidP="00482544">
      <w:pPr>
        <w:pStyle w:val="NIHRCFootnotes"/>
      </w:pPr>
      <w:r w:rsidRPr="009505C2">
        <w:rPr>
          <w:rStyle w:val="FootnoteReference"/>
        </w:rPr>
        <w:footnoteRef/>
      </w:r>
      <w:r w:rsidRPr="009505C2">
        <w:t xml:space="preserve"> EU Commission, ‘Commission Implementing Decision of XXX amending Commission Implementing Decision (EU) 2021/1773 of 28 June 2021 pursuant to Directive (EU) 2016/680 of the European Parliament and of the Council on the Adequate Protection of Personal Data by the UK’, 22 July 2025.</w:t>
      </w:r>
    </w:p>
  </w:footnote>
  <w:footnote w:id="32">
    <w:p w14:paraId="029B0709" w14:textId="7E57A085" w:rsidR="00D442E4" w:rsidRPr="009505C2" w:rsidRDefault="00D442E4" w:rsidP="00A762D2">
      <w:pPr>
        <w:pStyle w:val="FootnoteText"/>
        <w:spacing w:line="240" w:lineRule="auto"/>
        <w:rPr>
          <w:color w:val="77328A"/>
          <w:sz w:val="16"/>
          <w:szCs w:val="16"/>
        </w:rPr>
      </w:pPr>
      <w:r w:rsidRPr="009505C2">
        <w:rPr>
          <w:rStyle w:val="FootnoteReference"/>
          <w:color w:val="77328A"/>
          <w:sz w:val="16"/>
          <w:szCs w:val="16"/>
        </w:rPr>
        <w:footnoteRef/>
      </w:r>
      <w:r w:rsidR="40680A01" w:rsidRPr="009505C2">
        <w:rPr>
          <w:color w:val="77328A"/>
          <w:sz w:val="16"/>
          <w:szCs w:val="16"/>
        </w:rPr>
        <w:t xml:space="preserve"> European Data Protection Board, ‘Opinion 27/2025 regarding the European Commission Draft Implementing Decision pursuant to Directive (EU) 2016/680 on the adequate protection of personal data by the United Kingdom’ (EDPB, 2025). The European Data Protection Board also adopted a decision regarding the EU General Data Protection Regulation (see also European Data Protection Board, ‘Opinion 26/2025 regarding the European Commission Draft Implementing Decision pursuant to Regulation (EU) 2016/679 on the adequate protection of personal data by the United Kingdom’ (EDPB, 2025)).</w:t>
      </w:r>
    </w:p>
  </w:footnote>
  <w:footnote w:id="33">
    <w:p w14:paraId="541AF51F" w14:textId="02B5FF76" w:rsidR="000A3C11" w:rsidRPr="009505C2" w:rsidRDefault="000A3C11" w:rsidP="00A762D2">
      <w:pPr>
        <w:pStyle w:val="FootnoteText"/>
        <w:spacing w:line="240" w:lineRule="auto"/>
        <w:rPr>
          <w:color w:val="77328A"/>
          <w:sz w:val="16"/>
          <w:szCs w:val="16"/>
        </w:rPr>
      </w:pPr>
      <w:r w:rsidRPr="009505C2">
        <w:rPr>
          <w:rStyle w:val="FootnoteReference"/>
          <w:color w:val="77328A"/>
          <w:sz w:val="16"/>
          <w:szCs w:val="16"/>
        </w:rPr>
        <w:footnoteRef/>
      </w:r>
      <w:r w:rsidR="40680A01" w:rsidRPr="009505C2">
        <w:rPr>
          <w:color w:val="77328A"/>
          <w:sz w:val="16"/>
          <w:szCs w:val="16"/>
        </w:rPr>
        <w:t xml:space="preserve"> European Data Protection Board, ‘Opinion 27/2025 regarding the European Commission Draft Implementing Decision pursuant to Directive (EU) 2016/680 on the adequate protection of personal data by the United</w:t>
      </w:r>
      <w:r w:rsidR="00DB5875" w:rsidRPr="009505C2">
        <w:rPr>
          <w:color w:val="77328A"/>
          <w:sz w:val="16"/>
          <w:szCs w:val="16"/>
        </w:rPr>
        <w:t xml:space="preserve"> </w:t>
      </w:r>
      <w:r w:rsidR="40680A01" w:rsidRPr="009505C2">
        <w:rPr>
          <w:color w:val="77328A"/>
          <w:sz w:val="16"/>
          <w:szCs w:val="16"/>
        </w:rPr>
        <w:t>Kingdom’ (EDPB, 2025), at para 12-17, 18-22 and 24-29. </w:t>
      </w:r>
    </w:p>
  </w:footnote>
  <w:footnote w:id="34">
    <w:p w14:paraId="643E2B22" w14:textId="707042CD" w:rsidR="00B22642" w:rsidRPr="009505C2" w:rsidRDefault="00B22642" w:rsidP="00482544">
      <w:pPr>
        <w:pStyle w:val="NIHRCFootnotes"/>
        <w:rPr>
          <w:rFonts w:cstheme="minorHAnsi"/>
        </w:rPr>
      </w:pPr>
      <w:r w:rsidRPr="009505C2">
        <w:rPr>
          <w:rStyle w:val="FootnoteReference"/>
          <w:rFonts w:cstheme="minorHAnsi"/>
        </w:rPr>
        <w:footnoteRef/>
      </w:r>
      <w:r w:rsidRPr="009505C2">
        <w:rPr>
          <w:rFonts w:cstheme="minorHAnsi"/>
        </w:rPr>
        <w:t xml:space="preserve"> Sylvia de Mars</w:t>
      </w:r>
      <w:r w:rsidR="003A7130" w:rsidRPr="009505C2">
        <w:rPr>
          <w:rFonts w:cstheme="minorHAnsi"/>
        </w:rPr>
        <w:t>, Colin Murray, Aoife O’Donoghue and Ben Warwick</w:t>
      </w:r>
      <w:r w:rsidRPr="009505C2">
        <w:rPr>
          <w:rFonts w:cstheme="minorHAnsi"/>
        </w:rPr>
        <w:t>, ‘Discussion Paper on the Common Travel Area’ (IHREC and NIHRC, 2018).</w:t>
      </w:r>
    </w:p>
  </w:footnote>
  <w:footnote w:id="35">
    <w:p w14:paraId="4009AA84" w14:textId="4FC31595" w:rsidR="00B22642" w:rsidRPr="009505C2" w:rsidRDefault="00B22642" w:rsidP="00482544">
      <w:pPr>
        <w:pStyle w:val="NIHRCFootnotes"/>
      </w:pPr>
      <w:r w:rsidRPr="009505C2">
        <w:rPr>
          <w:rStyle w:val="FootnoteReference"/>
          <w:rFonts w:eastAsiaTheme="majorEastAsia"/>
        </w:rPr>
        <w:footnoteRef/>
      </w:r>
      <w:r w:rsidRPr="009505C2">
        <w:t xml:space="preserve"> Part 2, UK-EU Withdrawal Agreement 2020; </w:t>
      </w:r>
      <w:r w:rsidR="002B539E" w:rsidRPr="009505C2">
        <w:t xml:space="preserve">Part 3, </w:t>
      </w:r>
      <w:r w:rsidRPr="009505C2">
        <w:t xml:space="preserve">EU (Withdrawal Agreement) Act 2020. </w:t>
      </w:r>
    </w:p>
  </w:footnote>
  <w:footnote w:id="36">
    <w:p w14:paraId="20AE1A85" w14:textId="77777777" w:rsidR="00C61945" w:rsidRPr="009505C2" w:rsidRDefault="00C61945" w:rsidP="00482544">
      <w:pPr>
        <w:pStyle w:val="NIHRCFootnotes"/>
        <w:rPr>
          <w:rFonts w:cstheme="minorHAnsi"/>
        </w:rPr>
      </w:pPr>
      <w:r w:rsidRPr="009505C2">
        <w:rPr>
          <w:rStyle w:val="FootnoteReference"/>
          <w:rFonts w:cstheme="minorHAnsi"/>
        </w:rPr>
        <w:footnoteRef/>
      </w:r>
      <w:r w:rsidRPr="009505C2">
        <w:rPr>
          <w:rFonts w:cstheme="minorHAnsi"/>
        </w:rPr>
        <w:t xml:space="preserve"> Nationality and Borders Act 2022 provided for Electronic Travel Authorisation and it has been rolled out on a gradual basis. See Home Office, ‘Electronic Travel Authorisation: Scheme Factsheet’ (HO, 2024). </w:t>
      </w:r>
    </w:p>
  </w:footnote>
  <w:footnote w:id="37">
    <w:p w14:paraId="523C277F" w14:textId="77777777" w:rsidR="00C61945" w:rsidRPr="009505C2" w:rsidRDefault="00C61945" w:rsidP="00482544">
      <w:pPr>
        <w:pStyle w:val="NIHRCFootnotes"/>
        <w:rPr>
          <w:rFonts w:cstheme="minorHAnsi"/>
        </w:rPr>
      </w:pPr>
      <w:r w:rsidRPr="009505C2">
        <w:rPr>
          <w:rStyle w:val="FootnoteReference"/>
          <w:rFonts w:cstheme="minorHAnsi"/>
        </w:rPr>
        <w:footnoteRef/>
      </w:r>
      <w:r w:rsidRPr="009505C2">
        <w:rPr>
          <w:rFonts w:cstheme="minorHAnsi"/>
        </w:rPr>
        <w:t xml:space="preserve"> Home Office, ‘Electronic Travel Authorisation Guidance, Version 7.0’ (HO, 2025).</w:t>
      </w:r>
    </w:p>
  </w:footnote>
  <w:footnote w:id="38">
    <w:p w14:paraId="68C42267" w14:textId="77777777" w:rsidR="00C61945" w:rsidRPr="009505C2" w:rsidRDefault="00C61945" w:rsidP="00482544">
      <w:pPr>
        <w:pStyle w:val="NIHRCFootnotes"/>
        <w:rPr>
          <w:rFonts w:cstheme="minorHAnsi"/>
        </w:rPr>
      </w:pPr>
      <w:r w:rsidRPr="009505C2">
        <w:rPr>
          <w:rStyle w:val="FootnoteReference"/>
          <w:rFonts w:cstheme="minorHAnsi"/>
        </w:rPr>
        <w:footnoteRef/>
      </w:r>
      <w:r w:rsidRPr="009505C2">
        <w:rPr>
          <w:rFonts w:cstheme="minorHAnsi"/>
        </w:rPr>
        <w:t xml:space="preserve"> Section 3ZA, Immigration Act 1971.</w:t>
      </w:r>
    </w:p>
  </w:footnote>
  <w:footnote w:id="39">
    <w:p w14:paraId="4768BF81" w14:textId="77777777" w:rsidR="00C61945" w:rsidRPr="009505C2" w:rsidRDefault="00C61945" w:rsidP="00482544">
      <w:pPr>
        <w:pStyle w:val="NIHRCFootnotes"/>
        <w:rPr>
          <w:rFonts w:cstheme="minorHAnsi"/>
        </w:rPr>
      </w:pPr>
      <w:r w:rsidRPr="009505C2">
        <w:rPr>
          <w:rStyle w:val="FootnoteReference"/>
          <w:rFonts w:cstheme="minorHAnsi"/>
        </w:rPr>
        <w:footnoteRef/>
      </w:r>
      <w:r w:rsidRPr="009505C2">
        <w:rPr>
          <w:rFonts w:cstheme="minorHAnsi"/>
        </w:rPr>
        <w:t xml:space="preserve"> Home Office, ‘Guidance: Electronic Travel Authorisation: Irish Resident Exemption’ (HO, 2023).</w:t>
      </w:r>
    </w:p>
  </w:footnote>
  <w:footnote w:id="40">
    <w:p w14:paraId="18879BE5" w14:textId="77777777" w:rsidR="00C61945" w:rsidRPr="009505C2" w:rsidRDefault="00C61945" w:rsidP="00482544">
      <w:pPr>
        <w:pStyle w:val="NIHRCFootnotes"/>
        <w:rPr>
          <w:rFonts w:cstheme="minorHAnsi"/>
        </w:rPr>
      </w:pPr>
      <w:r w:rsidRPr="009505C2">
        <w:rPr>
          <w:rStyle w:val="FootnoteReference"/>
          <w:rFonts w:cstheme="minorHAnsi"/>
        </w:rPr>
        <w:footnoteRef/>
      </w:r>
      <w:r w:rsidRPr="009505C2">
        <w:rPr>
          <w:rFonts w:cstheme="minorHAnsi"/>
        </w:rPr>
        <w:t xml:space="preserve"> Home Office, ‘Electronic Travel Authorisation: Scheme Factsheet’ (HO, 2024).</w:t>
      </w:r>
    </w:p>
  </w:footnote>
  <w:footnote w:id="41">
    <w:p w14:paraId="2574667A" w14:textId="77777777" w:rsidR="00C61945" w:rsidRPr="009505C2" w:rsidRDefault="00C61945" w:rsidP="00482544">
      <w:pPr>
        <w:pStyle w:val="NIHRCFootnotes"/>
        <w:rPr>
          <w:rFonts w:cstheme="minorHAnsi"/>
        </w:rPr>
      </w:pPr>
      <w:r w:rsidRPr="009505C2">
        <w:rPr>
          <w:rStyle w:val="FootnoteReference"/>
          <w:rFonts w:cstheme="minorHAnsi"/>
        </w:rPr>
        <w:footnoteRef/>
      </w:r>
      <w:r w:rsidRPr="009505C2">
        <w:rPr>
          <w:rFonts w:cstheme="minorHAnsi"/>
        </w:rPr>
        <w:t xml:space="preserve"> UK Parliament Hansard, ‘Written Statement from Parliamentary Under-Secretary of State for the Home Department, Immigration Rules: Statement of Changes’, 10 September 2024.</w:t>
      </w:r>
    </w:p>
  </w:footnote>
  <w:footnote w:id="42">
    <w:p w14:paraId="7D8C1854" w14:textId="5548253B" w:rsidR="00C61945" w:rsidRPr="009505C2" w:rsidRDefault="00C61945" w:rsidP="00482544">
      <w:pPr>
        <w:pStyle w:val="NIHRCFootnotes"/>
        <w:rPr>
          <w:rFonts w:cstheme="minorHAnsi"/>
        </w:rPr>
      </w:pPr>
      <w:r w:rsidRPr="009505C2">
        <w:rPr>
          <w:rStyle w:val="FootnoteReference"/>
          <w:rFonts w:cstheme="minorHAnsi"/>
        </w:rPr>
        <w:footnoteRef/>
      </w:r>
      <w:r w:rsidRPr="009505C2">
        <w:rPr>
          <w:rFonts w:cstheme="minorHAnsi"/>
        </w:rPr>
        <w:t xml:space="preserve"> </w:t>
      </w:r>
      <w:r w:rsidR="002B539E" w:rsidRPr="009505C2">
        <w:rPr>
          <w:rFonts w:cstheme="minorHAnsi"/>
        </w:rPr>
        <w:t>Ibid</w:t>
      </w:r>
      <w:r w:rsidRPr="009505C2">
        <w:rPr>
          <w:rFonts w:cstheme="minorHAnsi"/>
        </w:rPr>
        <w:t>.</w:t>
      </w:r>
    </w:p>
  </w:footnote>
  <w:footnote w:id="43">
    <w:p w14:paraId="028E4FB2" w14:textId="77777777" w:rsidR="00C61945" w:rsidRPr="009505C2" w:rsidRDefault="00C61945" w:rsidP="00482544">
      <w:pPr>
        <w:pStyle w:val="NIHRCFootnotes"/>
        <w:rPr>
          <w:rFonts w:cstheme="minorHAnsi"/>
        </w:rPr>
      </w:pPr>
      <w:r w:rsidRPr="009505C2">
        <w:rPr>
          <w:rStyle w:val="FootnoteReference"/>
          <w:rFonts w:cstheme="minorHAnsi"/>
        </w:rPr>
        <w:footnoteRef/>
      </w:r>
      <w:r w:rsidRPr="009505C2">
        <w:rPr>
          <w:rFonts w:cstheme="minorHAnsi"/>
        </w:rPr>
        <w:t xml:space="preserve"> UK Visas and Immigration, ‘Guidance: Check If You Can Get an Electronic Travel Authorisation’ (HO, 2025). </w:t>
      </w:r>
    </w:p>
  </w:footnote>
  <w:footnote w:id="44">
    <w:p w14:paraId="319D2164" w14:textId="487D937C" w:rsidR="000A2B3C" w:rsidRPr="009505C2" w:rsidRDefault="000A2B3C" w:rsidP="00482544">
      <w:pPr>
        <w:pStyle w:val="FootnoteText"/>
        <w:spacing w:line="240" w:lineRule="auto"/>
        <w:rPr>
          <w:color w:val="77328A"/>
          <w:sz w:val="16"/>
          <w:szCs w:val="16"/>
        </w:rPr>
      </w:pPr>
      <w:r w:rsidRPr="009505C2">
        <w:rPr>
          <w:rStyle w:val="FootnoteReference"/>
          <w:color w:val="77328A"/>
          <w:sz w:val="16"/>
          <w:szCs w:val="16"/>
        </w:rPr>
        <w:footnoteRef/>
      </w:r>
      <w:r w:rsidRPr="009505C2">
        <w:rPr>
          <w:color w:val="77328A"/>
          <w:sz w:val="16"/>
          <w:szCs w:val="16"/>
        </w:rPr>
        <w:t xml:space="preserve"> Under the Windsor Framework, the UK Government committed to avoiding a hard border, including related checks and controls, and gave undertakings in respect of protecting North-South co-operation and the Common Travel Area. See NI Human Rights Commission and Equality Commission for NI, ‘Joint NI Human Rights Commission/Equality Commission for NI Briefing Paper on the Modern Slavery and Human Trafficking and Electronic Travel Authorisation Provisions in the Nationality and Borders Bill’ (NIHRC and ECNI, 2022), at 13-14; Letter from NI Human Rights Commission and Equality Commission for NI to Home Office, 9 February 2022; Letter from NI Human Rights Commission and Equality Commission for NI to NI Office, 9 February 2022. </w:t>
      </w:r>
    </w:p>
  </w:footnote>
  <w:footnote w:id="45">
    <w:p w14:paraId="2B6347F7" w14:textId="55DD9E46" w:rsidR="00A80227" w:rsidRPr="009505C2" w:rsidRDefault="00A80227" w:rsidP="00BB067A">
      <w:pPr>
        <w:pStyle w:val="FootnoteText"/>
        <w:spacing w:line="240" w:lineRule="auto"/>
        <w:rPr>
          <w:color w:val="77328A"/>
          <w:sz w:val="16"/>
          <w:szCs w:val="16"/>
        </w:rPr>
      </w:pPr>
      <w:r w:rsidRPr="009505C2">
        <w:rPr>
          <w:rStyle w:val="FootnoteReference"/>
          <w:color w:val="77328A"/>
          <w:sz w:val="16"/>
          <w:szCs w:val="16"/>
        </w:rPr>
        <w:footnoteRef/>
      </w:r>
      <w:r w:rsidRPr="009505C2">
        <w:rPr>
          <w:color w:val="77328A"/>
          <w:sz w:val="16"/>
          <w:szCs w:val="16"/>
        </w:rPr>
        <w:t xml:space="preserve"> Letter from Chair of the House of Lords Justice and Home Affairs Committee, Lord Foster of Bath, to Minister for Legal Migration and the Border, Tom Pursglove MP, 20 May 2024.</w:t>
      </w:r>
    </w:p>
  </w:footnote>
  <w:footnote w:id="46">
    <w:p w14:paraId="15D59B38" w14:textId="7BE0D364" w:rsidR="00A80227" w:rsidRPr="009505C2" w:rsidRDefault="00A80227" w:rsidP="00BB067A">
      <w:pPr>
        <w:pStyle w:val="FootnoteText"/>
        <w:spacing w:line="240" w:lineRule="auto"/>
        <w:rPr>
          <w:color w:val="77328A"/>
          <w:sz w:val="16"/>
          <w:szCs w:val="16"/>
        </w:rPr>
      </w:pPr>
      <w:r w:rsidRPr="009505C2">
        <w:rPr>
          <w:rStyle w:val="FootnoteReference"/>
          <w:color w:val="77328A"/>
          <w:sz w:val="16"/>
          <w:szCs w:val="16"/>
        </w:rPr>
        <w:footnoteRef/>
      </w:r>
      <w:r w:rsidRPr="009505C2">
        <w:rPr>
          <w:color w:val="77328A"/>
          <w:sz w:val="16"/>
          <w:szCs w:val="16"/>
        </w:rPr>
        <w:t xml:space="preserve"> Home Office, ‘Response to the House of Lords Justice and Home Affairs Committee Report: Electronic Border Management Systems’ (HO, 2024), at para 34.</w:t>
      </w:r>
    </w:p>
  </w:footnote>
  <w:footnote w:id="47">
    <w:p w14:paraId="08E9FCAF" w14:textId="6E44EC15" w:rsidR="009505C2" w:rsidRPr="009505C2" w:rsidRDefault="009505C2" w:rsidP="009505C2">
      <w:pPr>
        <w:pStyle w:val="FootnoteText"/>
        <w:spacing w:line="240" w:lineRule="auto"/>
        <w:rPr>
          <w:color w:val="77328A"/>
          <w:sz w:val="16"/>
          <w:szCs w:val="16"/>
        </w:rPr>
      </w:pPr>
      <w:r w:rsidRPr="009505C2">
        <w:rPr>
          <w:rStyle w:val="FootnoteReference"/>
          <w:color w:val="77328A"/>
          <w:sz w:val="16"/>
          <w:szCs w:val="16"/>
        </w:rPr>
        <w:footnoteRef/>
      </w:r>
      <w:r w:rsidRPr="009505C2">
        <w:rPr>
          <w:color w:val="77328A"/>
          <w:sz w:val="16"/>
          <w:szCs w:val="16"/>
        </w:rPr>
        <w:t xml:space="preserve"> Independent Monitoring Authority, ‘Press Release: Expired EU Settlement Scheme Biometric Resident Cards and Biometric Resident Permits are no longer valid for travel’, 4 June 2025. </w:t>
      </w:r>
    </w:p>
  </w:footnote>
  <w:footnote w:id="48">
    <w:p w14:paraId="43425DA5" w14:textId="5984CFC6" w:rsidR="009505C2" w:rsidRPr="009505C2" w:rsidRDefault="009505C2" w:rsidP="009505C2">
      <w:pPr>
        <w:pStyle w:val="FootnoteText"/>
        <w:spacing w:line="240" w:lineRule="auto"/>
        <w:rPr>
          <w:color w:val="77328A"/>
          <w:sz w:val="16"/>
          <w:szCs w:val="16"/>
        </w:rPr>
      </w:pPr>
      <w:r w:rsidRPr="009505C2">
        <w:rPr>
          <w:rStyle w:val="FootnoteReference"/>
          <w:color w:val="77328A"/>
          <w:sz w:val="16"/>
          <w:szCs w:val="16"/>
        </w:rPr>
        <w:footnoteRef/>
      </w:r>
      <w:r w:rsidRPr="009505C2">
        <w:rPr>
          <w:color w:val="77328A"/>
          <w:sz w:val="16"/>
          <w:szCs w:val="16"/>
        </w:rPr>
        <w:t xml:space="preserve"> UK Visas and Immigration, ‘Updates on the Move to eVisas’ (HO, 2025). </w:t>
      </w:r>
    </w:p>
  </w:footnote>
  <w:footnote w:id="49">
    <w:p w14:paraId="53AEE6DE" w14:textId="31E08250" w:rsidR="009505C2" w:rsidRPr="009505C2" w:rsidRDefault="009505C2" w:rsidP="009505C2">
      <w:pPr>
        <w:pStyle w:val="FootnoteText"/>
        <w:spacing w:line="240" w:lineRule="auto"/>
        <w:rPr>
          <w:sz w:val="16"/>
          <w:szCs w:val="16"/>
        </w:rPr>
      </w:pPr>
      <w:r w:rsidRPr="009505C2">
        <w:rPr>
          <w:rStyle w:val="FootnoteReference"/>
          <w:color w:val="77328A"/>
          <w:sz w:val="16"/>
          <w:szCs w:val="16"/>
        </w:rPr>
        <w:footnoteRef/>
      </w:r>
      <w:r w:rsidRPr="009505C2">
        <w:rPr>
          <w:color w:val="77328A"/>
          <w:sz w:val="16"/>
          <w:szCs w:val="16"/>
        </w:rPr>
        <w:t xml:space="preserve"> Home Office, ‘Fact Sheet: EU Settlement Scheme’ (HO, 2025). </w:t>
      </w:r>
    </w:p>
  </w:footnote>
  <w:footnote w:id="50">
    <w:p w14:paraId="1AD74701" w14:textId="5CD6FC96" w:rsidR="009505C2" w:rsidRPr="009505C2" w:rsidRDefault="009505C2" w:rsidP="009505C2">
      <w:pPr>
        <w:pStyle w:val="FootnoteText"/>
        <w:spacing w:line="240" w:lineRule="auto"/>
        <w:rPr>
          <w:sz w:val="16"/>
          <w:szCs w:val="16"/>
        </w:rPr>
      </w:pPr>
      <w:r w:rsidRPr="009505C2">
        <w:rPr>
          <w:rStyle w:val="FootnoteReference"/>
          <w:sz w:val="16"/>
          <w:szCs w:val="16"/>
        </w:rPr>
        <w:footnoteRef/>
      </w:r>
      <w:r w:rsidRPr="009505C2">
        <w:rPr>
          <w:sz w:val="16"/>
          <w:szCs w:val="16"/>
        </w:rPr>
        <w:t xml:space="preserve"> </w:t>
      </w:r>
      <w:r w:rsidRPr="009505C2">
        <w:rPr>
          <w:color w:val="77328A"/>
          <w:sz w:val="16"/>
          <w:szCs w:val="16"/>
        </w:rPr>
        <w:t>Independent Monitoring Authority, ‘Press Release: Expired EU Settlement Scheme Biometric Resident Cards and Biometric Resident Permits are no longer valid for travel’, 4 June 2025. Having been made aware of some travellers having experienced problems with travel following the eVisa roll out, the Independent Monitoring Authority is further exploring the issue. See Independent Monitoring Authority, ‘Independent Monitoring Authority calls on citizens to share experiences of difficulties travelling following wider eVisa roll out’, 31 January 2025.</w:t>
      </w:r>
    </w:p>
  </w:footnote>
  <w:footnote w:id="51">
    <w:p w14:paraId="7E257289" w14:textId="4275C802" w:rsidR="004F4312" w:rsidRPr="009505C2" w:rsidRDefault="004F4312" w:rsidP="00482544">
      <w:pPr>
        <w:pStyle w:val="NIHRCFootnotes"/>
        <w:rPr>
          <w:rFonts w:cstheme="minorHAnsi"/>
        </w:rPr>
      </w:pPr>
      <w:r w:rsidRPr="009505C2">
        <w:rPr>
          <w:rStyle w:val="FootnoteReference"/>
          <w:rFonts w:cstheme="minorHAnsi"/>
        </w:rPr>
        <w:footnoteRef/>
      </w:r>
      <w:r w:rsidRPr="009505C2">
        <w:rPr>
          <w:rFonts w:cstheme="minorHAnsi"/>
        </w:rPr>
        <w:t xml:space="preserve"> Letter from the Home Office to the NI Human Rights Commission, 5 July 2022.</w:t>
      </w:r>
    </w:p>
  </w:footnote>
  <w:footnote w:id="52">
    <w:p w14:paraId="2DC0749B" w14:textId="77777777" w:rsidR="00E83A97" w:rsidRPr="009505C2" w:rsidRDefault="00E83A97" w:rsidP="00482544">
      <w:pPr>
        <w:pStyle w:val="FootnoteText"/>
        <w:spacing w:line="240" w:lineRule="auto"/>
        <w:rPr>
          <w:color w:val="77328A"/>
          <w:sz w:val="16"/>
          <w:szCs w:val="16"/>
        </w:rPr>
      </w:pPr>
      <w:r w:rsidRPr="009505C2">
        <w:rPr>
          <w:rStyle w:val="FootnoteReference"/>
          <w:color w:val="77328A"/>
          <w:sz w:val="16"/>
          <w:szCs w:val="16"/>
        </w:rPr>
        <w:footnoteRef/>
      </w:r>
      <w:r w:rsidRPr="009505C2">
        <w:rPr>
          <w:color w:val="77328A"/>
          <w:sz w:val="16"/>
          <w:szCs w:val="16"/>
        </w:rPr>
        <w:t xml:space="preserve"> Letter from Chair of the House of Lords Justice and Home Affairs Committee, Lord Foster of Bath, to Minister for Legal Migration and the Border, Tom Pursglove MP, 20 May 2024.</w:t>
      </w:r>
    </w:p>
  </w:footnote>
  <w:footnote w:id="53">
    <w:p w14:paraId="07740D54" w14:textId="4B542CF6" w:rsidR="00A97636" w:rsidRPr="009505C2" w:rsidRDefault="00A97636" w:rsidP="00482544">
      <w:pPr>
        <w:pStyle w:val="FootnoteText"/>
        <w:spacing w:line="240" w:lineRule="auto"/>
        <w:rPr>
          <w:color w:val="77328A"/>
          <w:sz w:val="16"/>
          <w:szCs w:val="16"/>
        </w:rPr>
      </w:pPr>
      <w:r w:rsidRPr="009505C2">
        <w:rPr>
          <w:rStyle w:val="FootnoteReference"/>
          <w:color w:val="77328A"/>
          <w:sz w:val="16"/>
          <w:szCs w:val="16"/>
        </w:rPr>
        <w:footnoteRef/>
      </w:r>
      <w:r w:rsidRPr="009505C2">
        <w:rPr>
          <w:color w:val="77328A"/>
          <w:sz w:val="16"/>
          <w:szCs w:val="16"/>
        </w:rPr>
        <w:t xml:space="preserve"> </w:t>
      </w:r>
      <w:r w:rsidR="00C00244" w:rsidRPr="009505C2">
        <w:rPr>
          <w:color w:val="77328A"/>
          <w:sz w:val="16"/>
          <w:szCs w:val="16"/>
        </w:rPr>
        <w:t xml:space="preserve">Letter from the </w:t>
      </w:r>
      <w:r w:rsidR="00C775F1" w:rsidRPr="009505C2">
        <w:rPr>
          <w:color w:val="77328A"/>
          <w:sz w:val="16"/>
          <w:szCs w:val="16"/>
        </w:rPr>
        <w:t>NI Office</w:t>
      </w:r>
      <w:r w:rsidR="00C00244" w:rsidRPr="009505C2">
        <w:rPr>
          <w:color w:val="77328A"/>
          <w:sz w:val="16"/>
          <w:szCs w:val="16"/>
        </w:rPr>
        <w:t xml:space="preserve"> to the NI Human Rights Commission, </w:t>
      </w:r>
      <w:r w:rsidR="00C775F1" w:rsidRPr="009505C2">
        <w:rPr>
          <w:color w:val="77328A"/>
          <w:sz w:val="16"/>
          <w:szCs w:val="16"/>
        </w:rPr>
        <w:t>31 July 2025</w:t>
      </w:r>
      <w:r w:rsidR="00C00244" w:rsidRPr="009505C2">
        <w:rPr>
          <w:color w:val="77328A"/>
          <w:sz w:val="16"/>
          <w:szCs w:val="16"/>
        </w:rPr>
        <w:t>.</w:t>
      </w:r>
    </w:p>
  </w:footnote>
  <w:footnote w:id="54">
    <w:p w14:paraId="4150D42B" w14:textId="01FA7DA7" w:rsidR="006A4235" w:rsidRPr="009505C2" w:rsidRDefault="006A4235" w:rsidP="00482544">
      <w:pPr>
        <w:pStyle w:val="FootnoteText"/>
        <w:spacing w:line="240" w:lineRule="auto"/>
        <w:rPr>
          <w:color w:val="77328A"/>
          <w:sz w:val="16"/>
          <w:szCs w:val="16"/>
        </w:rPr>
      </w:pPr>
      <w:r w:rsidRPr="009505C2">
        <w:rPr>
          <w:rStyle w:val="FootnoteReference"/>
          <w:color w:val="77328A"/>
          <w:sz w:val="16"/>
          <w:szCs w:val="16"/>
        </w:rPr>
        <w:footnoteRef/>
      </w:r>
      <w:r w:rsidRPr="009505C2">
        <w:rPr>
          <w:color w:val="77328A"/>
          <w:sz w:val="16"/>
          <w:szCs w:val="16"/>
        </w:rPr>
        <w:t xml:space="preserve"> </w:t>
      </w:r>
      <w:r w:rsidR="00512A2C" w:rsidRPr="009505C2">
        <w:rPr>
          <w:color w:val="77328A"/>
          <w:sz w:val="16"/>
          <w:szCs w:val="16"/>
        </w:rPr>
        <w:t>David Thompson, ‘Allegations that NI travellers are being racially profiled during Irish immigration checks on the border’, Newsletter, 13 June 2024</w:t>
      </w:r>
      <w:r w:rsidR="002B539E" w:rsidRPr="009505C2">
        <w:rPr>
          <w:color w:val="77328A"/>
          <w:sz w:val="16"/>
          <w:szCs w:val="16"/>
        </w:rPr>
        <w:t>;</w:t>
      </w:r>
      <w:r w:rsidR="00C25C75" w:rsidRPr="009505C2">
        <w:rPr>
          <w:color w:val="77328A"/>
          <w:sz w:val="16"/>
          <w:szCs w:val="16"/>
        </w:rPr>
        <w:t xml:space="preserve"> Meeting between Committee on the Administration of Justice NI and NI Human Rights Commission, 8 August 2024.</w:t>
      </w:r>
    </w:p>
  </w:footnote>
  <w:footnote w:id="55">
    <w:p w14:paraId="33F15779" w14:textId="77777777" w:rsidR="00C775F1" w:rsidRPr="009505C2" w:rsidRDefault="00C775F1" w:rsidP="00482544">
      <w:pPr>
        <w:pStyle w:val="NIHRCFootnotes"/>
      </w:pPr>
      <w:r w:rsidRPr="009505C2">
        <w:rPr>
          <w:rStyle w:val="FootnoteReference"/>
        </w:rPr>
        <w:footnoteRef/>
      </w:r>
      <w:r w:rsidRPr="009505C2">
        <w:t xml:space="preserve"> David Thompson, ‘Allegations that NI travellers are being racially profiled during Irish immigration checks on the border’, </w:t>
      </w:r>
      <w:r w:rsidRPr="009505C2">
        <w:rPr>
          <w:i/>
          <w:iCs/>
        </w:rPr>
        <w:t>Newsletter</w:t>
      </w:r>
      <w:r w:rsidRPr="009505C2">
        <w:t>, 13 June 2024.</w:t>
      </w:r>
    </w:p>
  </w:footnote>
  <w:footnote w:id="56">
    <w:p w14:paraId="4CB57E12" w14:textId="77777777" w:rsidR="00C775F1" w:rsidRPr="009505C2" w:rsidRDefault="00C775F1" w:rsidP="00482544">
      <w:pPr>
        <w:pStyle w:val="NIHRCFootnotes"/>
      </w:pPr>
      <w:r w:rsidRPr="009505C2">
        <w:rPr>
          <w:rStyle w:val="FootnoteReference"/>
        </w:rPr>
        <w:footnoteRef/>
      </w:r>
      <w:r w:rsidRPr="009505C2">
        <w:t xml:space="preserve"> David Thompson, ‘Allegations that NI travellers are being racially profiled during Irish immigration checks on the border’, </w:t>
      </w:r>
      <w:r w:rsidRPr="009505C2">
        <w:rPr>
          <w:i/>
          <w:iCs/>
        </w:rPr>
        <w:t>Newsletter</w:t>
      </w:r>
      <w:r w:rsidRPr="009505C2">
        <w:t>, 13 June 2024; Irish Network Against Racism and Irish Council for Civil Liberties, ‘Policing and Racial Discrimination in Ireland: A Community and Rights Perspective’ (ICCL and INAR, 2024); Irish Council for Civil Liberties, ‘Press Release: Irish Network Against Racism Report Revealing Racial Profiling and Discrimination by An Garda Síochána’, 31 March 2025.</w:t>
      </w:r>
    </w:p>
  </w:footnote>
  <w:footnote w:id="57">
    <w:p w14:paraId="4ED237AE" w14:textId="77777777" w:rsidR="00A26358" w:rsidRPr="009505C2" w:rsidRDefault="00A26358" w:rsidP="00482544">
      <w:pPr>
        <w:pStyle w:val="NIHRCFootnotes"/>
        <w:rPr>
          <w:rFonts w:cs="Calibri"/>
        </w:rPr>
      </w:pPr>
      <w:r w:rsidRPr="009505C2">
        <w:rPr>
          <w:rStyle w:val="FootnoteReference"/>
          <w:rFonts w:cs="Calibri"/>
        </w:rPr>
        <w:footnoteRef/>
      </w:r>
      <w:r w:rsidRPr="009505C2">
        <w:rPr>
          <w:rFonts w:cs="Calibri"/>
        </w:rPr>
        <w:t xml:space="preserve"> UK Parliament Hansard ‘House of Lords Justice and Home Affairs Committee Corrected Oral Evidence: Electronic Border Management Systems’, 12 March 2024.</w:t>
      </w:r>
    </w:p>
  </w:footnote>
  <w:footnote w:id="58">
    <w:p w14:paraId="0AF104E7" w14:textId="68D33C67" w:rsidR="00C81316" w:rsidRPr="009505C2" w:rsidRDefault="00C81316" w:rsidP="00482544">
      <w:pPr>
        <w:pStyle w:val="FootnoteText"/>
        <w:spacing w:line="240" w:lineRule="auto"/>
        <w:rPr>
          <w:color w:val="77328A"/>
          <w:sz w:val="16"/>
          <w:szCs w:val="16"/>
        </w:rPr>
      </w:pPr>
      <w:r w:rsidRPr="009505C2">
        <w:rPr>
          <w:rStyle w:val="FootnoteReference"/>
          <w:color w:val="77328A"/>
          <w:sz w:val="16"/>
          <w:szCs w:val="16"/>
        </w:rPr>
        <w:footnoteRef/>
      </w:r>
      <w:r w:rsidRPr="009505C2">
        <w:rPr>
          <w:color w:val="77328A"/>
          <w:sz w:val="16"/>
          <w:szCs w:val="16"/>
        </w:rPr>
        <w:t xml:space="preserve"> </w:t>
      </w:r>
      <w:r w:rsidR="005E7302" w:rsidRPr="009505C2">
        <w:rPr>
          <w:color w:val="77328A"/>
          <w:sz w:val="16"/>
          <w:szCs w:val="16"/>
        </w:rPr>
        <w:t>International Organisation for Migration, ‘An Assessment of Migrant Safety and Community Policing in Border Regions Between Ireland and NI’ (IOM, 2024).</w:t>
      </w:r>
    </w:p>
  </w:footnote>
  <w:footnote w:id="59">
    <w:p w14:paraId="50697525" w14:textId="77777777" w:rsidR="00C775F1" w:rsidRPr="009505C2" w:rsidRDefault="00C775F1" w:rsidP="00482544">
      <w:pPr>
        <w:pStyle w:val="NIHRCFootnotes"/>
      </w:pPr>
      <w:r w:rsidRPr="009505C2">
        <w:rPr>
          <w:rStyle w:val="FootnoteReference"/>
        </w:rPr>
        <w:footnoteRef/>
      </w:r>
      <w:r w:rsidRPr="009505C2">
        <w:t xml:space="preserve"> David Thompson, ‘Allegations that NI travellers are being racially profiled during Irish immigration checks on the border’, </w:t>
      </w:r>
      <w:r w:rsidRPr="009505C2">
        <w:rPr>
          <w:i/>
          <w:iCs/>
        </w:rPr>
        <w:t>Newsletter</w:t>
      </w:r>
      <w:r w:rsidRPr="009505C2">
        <w:t>, 13 June 2024.</w:t>
      </w:r>
    </w:p>
  </w:footnote>
  <w:footnote w:id="60">
    <w:p w14:paraId="78BFE561" w14:textId="77777777" w:rsidR="00C775F1" w:rsidRPr="009505C2" w:rsidRDefault="00C775F1" w:rsidP="00482544">
      <w:pPr>
        <w:pStyle w:val="NIHRCFootnotes"/>
      </w:pPr>
      <w:r w:rsidRPr="009505C2">
        <w:rPr>
          <w:rStyle w:val="FootnoteReference"/>
        </w:rPr>
        <w:footnoteRef/>
      </w:r>
      <w:r w:rsidRPr="009505C2">
        <w:t xml:space="preserve"> Meeting between Committee on the Administration of Justice NI and NI Human Rights Commission, 8 August 2024.</w:t>
      </w:r>
    </w:p>
  </w:footnote>
  <w:footnote w:id="61">
    <w:p w14:paraId="74CFAB61" w14:textId="77777777" w:rsidR="00C775F1" w:rsidRPr="009505C2" w:rsidRDefault="00C775F1" w:rsidP="00482544">
      <w:pPr>
        <w:pStyle w:val="NIHRCFootnotes"/>
      </w:pPr>
      <w:r w:rsidRPr="009505C2">
        <w:rPr>
          <w:rStyle w:val="FootnoteReference"/>
        </w:rPr>
        <w:footnoteRef/>
      </w:r>
      <w:r w:rsidRPr="009505C2">
        <w:t xml:space="preserve"> Meeting of the Joint Committee of the NI Human Rights Commission and the Irish Human Rights and Equality Commission, 6 November 2024; Meeting of the Joint Committee of the NI Human Rights Commission and the Irish Human Rights and Equality Commission, 29 May 2025.</w:t>
      </w:r>
    </w:p>
  </w:footnote>
  <w:footnote w:id="62">
    <w:p w14:paraId="3D52D537" w14:textId="77777777" w:rsidR="004F4312" w:rsidRPr="009505C2" w:rsidRDefault="004F4312" w:rsidP="00482544">
      <w:pPr>
        <w:pStyle w:val="NIHRCFootnotes"/>
      </w:pPr>
      <w:r w:rsidRPr="009505C2">
        <w:rPr>
          <w:rStyle w:val="FootnoteReference"/>
        </w:rPr>
        <w:footnoteRef/>
      </w:r>
      <w:r w:rsidRPr="009505C2">
        <w:t xml:space="preserve"> Meeting between Committee on the Administration of Justice NI and NI Human Rights Commission, 8 August 2024.</w:t>
      </w:r>
    </w:p>
  </w:footnote>
  <w:footnote w:id="63">
    <w:p w14:paraId="2DCA712E" w14:textId="77777777" w:rsidR="004F4312" w:rsidRPr="009505C2" w:rsidRDefault="004F4312" w:rsidP="00482544">
      <w:pPr>
        <w:pStyle w:val="NIHRCFootnotes"/>
      </w:pPr>
      <w:r w:rsidRPr="009505C2">
        <w:rPr>
          <w:rStyle w:val="FootnoteReference"/>
        </w:rPr>
        <w:footnoteRef/>
      </w:r>
      <w:r w:rsidRPr="009505C2">
        <w:t xml:space="preserve"> Letter from NI Human Rights Commission and Equality Commission for NI to Home Office, 9 February 2022; Meeting between Committee on the Administration of Justice NI and NI Human Rights Commission, 8 August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A91C8" w14:textId="77777777" w:rsidR="00AF2779" w:rsidRDefault="00AF27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32E77" w14:textId="07800199" w:rsidR="00AF2779" w:rsidRDefault="00AF27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AEFF4" w14:textId="59A47A4C" w:rsidR="00AF2779" w:rsidRDefault="00AF27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A48F4"/>
    <w:multiLevelType w:val="hybridMultilevel"/>
    <w:tmpl w:val="E73C99EA"/>
    <w:lvl w:ilvl="0" w:tplc="80B2ABD2">
      <w:start w:val="1"/>
      <w:numFmt w:val="decimal"/>
      <w:lvlText w:val="%1.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D395B"/>
    <w:multiLevelType w:val="hybridMultilevel"/>
    <w:tmpl w:val="10D4EEBC"/>
    <w:lvl w:ilvl="0" w:tplc="23D28A18">
      <w:start w:val="1"/>
      <w:numFmt w:val="decimal"/>
      <w:lvlText w:val="%1."/>
      <w:lvlJc w:val="left"/>
      <w:pPr>
        <w:ind w:left="1020" w:hanging="360"/>
      </w:pPr>
    </w:lvl>
    <w:lvl w:ilvl="1" w:tplc="6616EFE4">
      <w:start w:val="1"/>
      <w:numFmt w:val="decimal"/>
      <w:lvlText w:val="%2."/>
      <w:lvlJc w:val="left"/>
      <w:pPr>
        <w:ind w:left="1020" w:hanging="360"/>
      </w:pPr>
    </w:lvl>
    <w:lvl w:ilvl="2" w:tplc="C5280DD8">
      <w:start w:val="1"/>
      <w:numFmt w:val="decimal"/>
      <w:lvlText w:val="%3."/>
      <w:lvlJc w:val="left"/>
      <w:pPr>
        <w:ind w:left="1020" w:hanging="360"/>
      </w:pPr>
    </w:lvl>
    <w:lvl w:ilvl="3" w:tplc="8DBCFEB6">
      <w:start w:val="1"/>
      <w:numFmt w:val="decimal"/>
      <w:lvlText w:val="%4."/>
      <w:lvlJc w:val="left"/>
      <w:pPr>
        <w:ind w:left="1020" w:hanging="360"/>
      </w:pPr>
    </w:lvl>
    <w:lvl w:ilvl="4" w:tplc="544C5546">
      <w:start w:val="1"/>
      <w:numFmt w:val="decimal"/>
      <w:lvlText w:val="%5."/>
      <w:lvlJc w:val="left"/>
      <w:pPr>
        <w:ind w:left="1020" w:hanging="360"/>
      </w:pPr>
    </w:lvl>
    <w:lvl w:ilvl="5" w:tplc="C0D421BC">
      <w:start w:val="1"/>
      <w:numFmt w:val="decimal"/>
      <w:lvlText w:val="%6."/>
      <w:lvlJc w:val="left"/>
      <w:pPr>
        <w:ind w:left="1020" w:hanging="360"/>
      </w:pPr>
    </w:lvl>
    <w:lvl w:ilvl="6" w:tplc="88828B98">
      <w:start w:val="1"/>
      <w:numFmt w:val="decimal"/>
      <w:lvlText w:val="%7."/>
      <w:lvlJc w:val="left"/>
      <w:pPr>
        <w:ind w:left="1020" w:hanging="360"/>
      </w:pPr>
    </w:lvl>
    <w:lvl w:ilvl="7" w:tplc="DAACA802">
      <w:start w:val="1"/>
      <w:numFmt w:val="decimal"/>
      <w:lvlText w:val="%8."/>
      <w:lvlJc w:val="left"/>
      <w:pPr>
        <w:ind w:left="1020" w:hanging="360"/>
      </w:pPr>
    </w:lvl>
    <w:lvl w:ilvl="8" w:tplc="E3E2F9B6">
      <w:start w:val="1"/>
      <w:numFmt w:val="decimal"/>
      <w:lvlText w:val="%9."/>
      <w:lvlJc w:val="left"/>
      <w:pPr>
        <w:ind w:left="1020" w:hanging="360"/>
      </w:pPr>
    </w:lvl>
  </w:abstractNum>
  <w:abstractNum w:abstractNumId="2" w15:restartNumberingAfterBreak="0">
    <w:nsid w:val="0AAC283F"/>
    <w:multiLevelType w:val="hybridMultilevel"/>
    <w:tmpl w:val="E69A4F0E"/>
    <w:lvl w:ilvl="0" w:tplc="046608AA">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1432710B"/>
    <w:multiLevelType w:val="hybridMultilevel"/>
    <w:tmpl w:val="FF4814BE"/>
    <w:lvl w:ilvl="0" w:tplc="28B4E582">
      <w:start w:val="1"/>
      <w:numFmt w:val="decimal"/>
      <w:lvlText w:val="%1."/>
      <w:lvlJc w:val="left"/>
      <w:pPr>
        <w:ind w:left="1440" w:hanging="360"/>
      </w:pPr>
    </w:lvl>
    <w:lvl w:ilvl="1" w:tplc="3E86FB14">
      <w:start w:val="1"/>
      <w:numFmt w:val="decimal"/>
      <w:lvlText w:val="%2."/>
      <w:lvlJc w:val="left"/>
      <w:pPr>
        <w:ind w:left="1440" w:hanging="360"/>
      </w:pPr>
    </w:lvl>
    <w:lvl w:ilvl="2" w:tplc="D2E65E46">
      <w:start w:val="1"/>
      <w:numFmt w:val="decimal"/>
      <w:lvlText w:val="%3."/>
      <w:lvlJc w:val="left"/>
      <w:pPr>
        <w:ind w:left="1440" w:hanging="360"/>
      </w:pPr>
    </w:lvl>
    <w:lvl w:ilvl="3" w:tplc="3D14A552">
      <w:start w:val="1"/>
      <w:numFmt w:val="decimal"/>
      <w:lvlText w:val="%4."/>
      <w:lvlJc w:val="left"/>
      <w:pPr>
        <w:ind w:left="1440" w:hanging="360"/>
      </w:pPr>
    </w:lvl>
    <w:lvl w:ilvl="4" w:tplc="E4AC5846">
      <w:start w:val="1"/>
      <w:numFmt w:val="decimal"/>
      <w:lvlText w:val="%5."/>
      <w:lvlJc w:val="left"/>
      <w:pPr>
        <w:ind w:left="1440" w:hanging="360"/>
      </w:pPr>
    </w:lvl>
    <w:lvl w:ilvl="5" w:tplc="066E0504">
      <w:start w:val="1"/>
      <w:numFmt w:val="decimal"/>
      <w:lvlText w:val="%6."/>
      <w:lvlJc w:val="left"/>
      <w:pPr>
        <w:ind w:left="1440" w:hanging="360"/>
      </w:pPr>
    </w:lvl>
    <w:lvl w:ilvl="6" w:tplc="B9905CCE">
      <w:start w:val="1"/>
      <w:numFmt w:val="decimal"/>
      <w:lvlText w:val="%7."/>
      <w:lvlJc w:val="left"/>
      <w:pPr>
        <w:ind w:left="1440" w:hanging="360"/>
      </w:pPr>
    </w:lvl>
    <w:lvl w:ilvl="7" w:tplc="C91AA7B0">
      <w:start w:val="1"/>
      <w:numFmt w:val="decimal"/>
      <w:lvlText w:val="%8."/>
      <w:lvlJc w:val="left"/>
      <w:pPr>
        <w:ind w:left="1440" w:hanging="360"/>
      </w:pPr>
    </w:lvl>
    <w:lvl w:ilvl="8" w:tplc="AEAA295A">
      <w:start w:val="1"/>
      <w:numFmt w:val="decimal"/>
      <w:lvlText w:val="%9."/>
      <w:lvlJc w:val="left"/>
      <w:pPr>
        <w:ind w:left="1440" w:hanging="360"/>
      </w:pPr>
    </w:lvl>
  </w:abstractNum>
  <w:abstractNum w:abstractNumId="4" w15:restartNumberingAfterBreak="0">
    <w:nsid w:val="14472294"/>
    <w:multiLevelType w:val="hybridMultilevel"/>
    <w:tmpl w:val="E3D03D5E"/>
    <w:lvl w:ilvl="0" w:tplc="BC7C6458">
      <w:start w:val="1"/>
      <w:numFmt w:val="decimal"/>
      <w:lvlText w:val="1.%1"/>
      <w:lvlJc w:val="left"/>
      <w:pPr>
        <w:ind w:left="1440" w:hanging="360"/>
      </w:pPr>
      <w:rPr>
        <w:rFonts w:hint="default"/>
        <w:vanish w:val="0"/>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20DD6112"/>
    <w:multiLevelType w:val="multilevel"/>
    <w:tmpl w:val="64E05FFE"/>
    <w:lvl w:ilvl="0">
      <w:numFmt w:val="none"/>
      <w:lvlText w:val=""/>
      <w:lvlJc w:val="left"/>
      <w:pPr>
        <w:tabs>
          <w:tab w:val="num" w:pos="360"/>
        </w:tabs>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22793423"/>
    <w:multiLevelType w:val="multilevel"/>
    <w:tmpl w:val="97C4AB84"/>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7" w15:restartNumberingAfterBreak="0">
    <w:nsid w:val="245874F0"/>
    <w:multiLevelType w:val="multilevel"/>
    <w:tmpl w:val="3D485C02"/>
    <w:lvl w:ilvl="0">
      <w:start w:val="3"/>
      <w:numFmt w:val="decimal"/>
      <w:lvlText w:val="%1.0"/>
      <w:lvlJc w:val="left"/>
      <w:pPr>
        <w:ind w:left="720" w:hanging="720"/>
      </w:pPr>
      <w:rPr>
        <w:rFonts w:hint="default"/>
        <w:color w:val="auto"/>
      </w:rPr>
    </w:lvl>
    <w:lvl w:ilvl="1">
      <w:start w:val="1"/>
      <w:numFmt w:val="decimal"/>
      <w:lvlText w:val="%1.%2"/>
      <w:lvlJc w:val="left"/>
      <w:pPr>
        <w:ind w:left="720" w:hanging="720"/>
      </w:pPr>
      <w:rPr>
        <w:rFonts w:ascii="Verdana" w:hAnsi="Verdana" w:hint="default"/>
        <w:b w:val="0"/>
        <w:color w:val="auto"/>
        <w:sz w:val="24"/>
        <w:szCs w:val="24"/>
        <w:vertAlign w:val="baseline"/>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8" w15:restartNumberingAfterBreak="0">
    <w:nsid w:val="265D6531"/>
    <w:multiLevelType w:val="multilevel"/>
    <w:tmpl w:val="70E6B036"/>
    <w:lvl w:ilvl="0">
      <w:start w:val="1"/>
      <w:numFmt w:val="decimal"/>
      <w:lvlText w:val="1.%1"/>
      <w:lvlJc w:val="left"/>
      <w:pPr>
        <w:ind w:left="720" w:hanging="720"/>
      </w:pPr>
      <w:rPr>
        <w:rFonts w:hint="default"/>
        <w:b w:val="0"/>
        <w:bCs/>
      </w:rPr>
    </w:lvl>
    <w:lvl w:ilvl="1">
      <w:start w:val="1"/>
      <w:numFmt w:val="decimal"/>
      <w:lvlText w:val="%1.%2"/>
      <w:lvlJc w:val="left"/>
      <w:pPr>
        <w:ind w:left="1440" w:hanging="720"/>
      </w:pPr>
      <w:rPr>
        <w:rFonts w:hint="default"/>
        <w:b w:val="0"/>
        <w:bCs/>
      </w:rPr>
    </w:lvl>
    <w:lvl w:ilvl="2">
      <w:start w:val="1"/>
      <w:numFmt w:val="decimal"/>
      <w:lvlText w:val="%1.%2.%3"/>
      <w:lvlJc w:val="left"/>
      <w:pPr>
        <w:ind w:left="2520" w:hanging="108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400" w:hanging="1800"/>
      </w:pPr>
      <w:rPr>
        <w:rFonts w:hint="default"/>
        <w:b/>
      </w:rPr>
    </w:lvl>
    <w:lvl w:ilvl="6">
      <w:start w:val="1"/>
      <w:numFmt w:val="decimal"/>
      <w:lvlText w:val="%1.%2.%3.%4.%5.%6.%7"/>
      <w:lvlJc w:val="left"/>
      <w:pPr>
        <w:ind w:left="6480" w:hanging="2160"/>
      </w:pPr>
      <w:rPr>
        <w:rFonts w:hint="default"/>
        <w:b/>
      </w:rPr>
    </w:lvl>
    <w:lvl w:ilvl="7">
      <w:start w:val="1"/>
      <w:numFmt w:val="decimal"/>
      <w:lvlText w:val="%1.%2.%3.%4.%5.%6.%7.%8"/>
      <w:lvlJc w:val="left"/>
      <w:pPr>
        <w:ind w:left="7560" w:hanging="2520"/>
      </w:pPr>
      <w:rPr>
        <w:rFonts w:hint="default"/>
        <w:b/>
      </w:rPr>
    </w:lvl>
    <w:lvl w:ilvl="8">
      <w:start w:val="1"/>
      <w:numFmt w:val="decimal"/>
      <w:lvlText w:val="%1.%2.%3.%4.%5.%6.%7.%8.%9"/>
      <w:lvlJc w:val="left"/>
      <w:pPr>
        <w:ind w:left="8280" w:hanging="2520"/>
      </w:pPr>
      <w:rPr>
        <w:rFonts w:hint="default"/>
        <w:b/>
      </w:rPr>
    </w:lvl>
  </w:abstractNum>
  <w:abstractNum w:abstractNumId="9" w15:restartNumberingAfterBreak="0">
    <w:nsid w:val="2A261FD4"/>
    <w:multiLevelType w:val="multilevel"/>
    <w:tmpl w:val="3BF6C39E"/>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b w:val="0"/>
        <w:bCs/>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2B11541B"/>
    <w:multiLevelType w:val="hybridMultilevel"/>
    <w:tmpl w:val="2DBAC8EA"/>
    <w:lvl w:ilvl="0" w:tplc="2F9CF8CC">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DFE30B1"/>
    <w:multiLevelType w:val="multilevel"/>
    <w:tmpl w:val="7214F38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12" w15:restartNumberingAfterBreak="0">
    <w:nsid w:val="34502D83"/>
    <w:multiLevelType w:val="hybridMultilevel"/>
    <w:tmpl w:val="EF88E4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08B51D8"/>
    <w:multiLevelType w:val="multilevel"/>
    <w:tmpl w:val="FFFFFFFF"/>
    <w:lvl w:ilvl="0">
      <w:start w:val="3"/>
      <w:numFmt w:val="decimal"/>
      <w:lvlText w:val="%1"/>
      <w:lvlJc w:val="left"/>
      <w:pPr>
        <w:ind w:left="608" w:hanging="608"/>
      </w:pPr>
      <w:rPr>
        <w:rFonts w:cs="MinionPro-Regular" w:hint="default"/>
        <w:color w:val="000000"/>
      </w:rPr>
    </w:lvl>
    <w:lvl w:ilvl="1">
      <w:start w:val="1"/>
      <w:numFmt w:val="decimal"/>
      <w:lvlText w:val="%1.%2"/>
      <w:lvlJc w:val="left"/>
      <w:pPr>
        <w:ind w:left="720" w:hanging="720"/>
      </w:pPr>
      <w:rPr>
        <w:rFonts w:cs="MinionPro-Regular" w:hint="default"/>
        <w:b w:val="0"/>
        <w:color w:val="000000"/>
        <w:sz w:val="24"/>
        <w:szCs w:val="24"/>
      </w:rPr>
    </w:lvl>
    <w:lvl w:ilvl="2">
      <w:start w:val="1"/>
      <w:numFmt w:val="decimal"/>
      <w:lvlText w:val="%1.%2.%3"/>
      <w:lvlJc w:val="left"/>
      <w:pPr>
        <w:ind w:left="1080" w:hanging="1080"/>
      </w:pPr>
      <w:rPr>
        <w:rFonts w:cs="MinionPro-Regular" w:hint="default"/>
        <w:color w:val="000000"/>
      </w:rPr>
    </w:lvl>
    <w:lvl w:ilvl="3">
      <w:start w:val="1"/>
      <w:numFmt w:val="decimal"/>
      <w:lvlText w:val="%1.%2.%3.%4"/>
      <w:lvlJc w:val="left"/>
      <w:pPr>
        <w:ind w:left="1440" w:hanging="1440"/>
      </w:pPr>
      <w:rPr>
        <w:rFonts w:cs="MinionPro-Regular" w:hint="default"/>
        <w:color w:val="000000"/>
      </w:rPr>
    </w:lvl>
    <w:lvl w:ilvl="4">
      <w:start w:val="1"/>
      <w:numFmt w:val="decimal"/>
      <w:lvlText w:val="%1.%2.%3.%4.%5"/>
      <w:lvlJc w:val="left"/>
      <w:pPr>
        <w:ind w:left="1440" w:hanging="1440"/>
      </w:pPr>
      <w:rPr>
        <w:rFonts w:cs="MinionPro-Regular" w:hint="default"/>
        <w:color w:val="000000"/>
      </w:rPr>
    </w:lvl>
    <w:lvl w:ilvl="5">
      <w:start w:val="1"/>
      <w:numFmt w:val="decimal"/>
      <w:lvlText w:val="%1.%2.%3.%4.%5.%6"/>
      <w:lvlJc w:val="left"/>
      <w:pPr>
        <w:ind w:left="1800" w:hanging="1800"/>
      </w:pPr>
      <w:rPr>
        <w:rFonts w:cs="MinionPro-Regular" w:hint="default"/>
        <w:color w:val="000000"/>
      </w:rPr>
    </w:lvl>
    <w:lvl w:ilvl="6">
      <w:start w:val="1"/>
      <w:numFmt w:val="decimal"/>
      <w:lvlText w:val="%1.%2.%3.%4.%5.%6.%7"/>
      <w:lvlJc w:val="left"/>
      <w:pPr>
        <w:ind w:left="2160" w:hanging="2160"/>
      </w:pPr>
      <w:rPr>
        <w:rFonts w:cs="MinionPro-Regular" w:hint="default"/>
        <w:color w:val="000000"/>
      </w:rPr>
    </w:lvl>
    <w:lvl w:ilvl="7">
      <w:start w:val="1"/>
      <w:numFmt w:val="decimal"/>
      <w:lvlText w:val="%1.%2.%3.%4.%5.%6.%7.%8"/>
      <w:lvlJc w:val="left"/>
      <w:pPr>
        <w:ind w:left="2520" w:hanging="2520"/>
      </w:pPr>
      <w:rPr>
        <w:rFonts w:cs="MinionPro-Regular" w:hint="default"/>
        <w:color w:val="000000"/>
      </w:rPr>
    </w:lvl>
    <w:lvl w:ilvl="8">
      <w:start w:val="1"/>
      <w:numFmt w:val="decimal"/>
      <w:lvlText w:val="%1.%2.%3.%4.%5.%6.%7.%8.%9"/>
      <w:lvlJc w:val="left"/>
      <w:pPr>
        <w:ind w:left="2880" w:hanging="2880"/>
      </w:pPr>
      <w:rPr>
        <w:rFonts w:cs="MinionPro-Regular" w:hint="default"/>
        <w:color w:val="000000"/>
      </w:rPr>
    </w:lvl>
  </w:abstractNum>
  <w:abstractNum w:abstractNumId="14" w15:restartNumberingAfterBreak="0">
    <w:nsid w:val="4D6A2093"/>
    <w:multiLevelType w:val="multilevel"/>
    <w:tmpl w:val="C7E422DC"/>
    <w:lvl w:ilvl="0">
      <w:start w:val="5"/>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5613701B"/>
    <w:multiLevelType w:val="hybridMultilevel"/>
    <w:tmpl w:val="E3385934"/>
    <w:lvl w:ilvl="0" w:tplc="C198A0BC">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71F64100"/>
    <w:multiLevelType w:val="multilevel"/>
    <w:tmpl w:val="B2FE3354"/>
    <w:lvl w:ilvl="0">
      <w:start w:val="1"/>
      <w:numFmt w:val="decimal"/>
      <w:pStyle w:val="Heading1"/>
      <w:lvlText w:val="%1.0"/>
      <w:lvlJc w:val="left"/>
      <w:pPr>
        <w:ind w:left="720" w:hanging="720"/>
      </w:pPr>
      <w:rPr>
        <w:rFonts w:hint="default"/>
      </w:rPr>
    </w:lvl>
    <w:lvl w:ilvl="1">
      <w:start w:val="1"/>
      <w:numFmt w:val="decimal"/>
      <w:pStyle w:val="ListParagraph"/>
      <w:lvlText w:val="%1.%2"/>
      <w:lvlJc w:val="left"/>
      <w:pPr>
        <w:ind w:left="1440" w:hanging="720"/>
      </w:pPr>
      <w:rPr>
        <w:sz w:val="24"/>
        <w:szCs w:val="24"/>
        <w:vertAlign w:val="baseline"/>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17" w15:restartNumberingAfterBreak="0">
    <w:nsid w:val="73194F91"/>
    <w:multiLevelType w:val="hybridMultilevel"/>
    <w:tmpl w:val="698ED0AE"/>
    <w:lvl w:ilvl="0" w:tplc="4E9C1FC4">
      <w:start w:val="1"/>
      <w:numFmt w:val="decimal"/>
      <w:lvlText w:val="%1."/>
      <w:lvlJc w:val="left"/>
      <w:pPr>
        <w:ind w:left="1020" w:hanging="360"/>
      </w:pPr>
    </w:lvl>
    <w:lvl w:ilvl="1" w:tplc="2E62C086">
      <w:start w:val="1"/>
      <w:numFmt w:val="decimal"/>
      <w:lvlText w:val="%2."/>
      <w:lvlJc w:val="left"/>
      <w:pPr>
        <w:ind w:left="1020" w:hanging="360"/>
      </w:pPr>
    </w:lvl>
    <w:lvl w:ilvl="2" w:tplc="6C101F88">
      <w:start w:val="1"/>
      <w:numFmt w:val="decimal"/>
      <w:lvlText w:val="%3."/>
      <w:lvlJc w:val="left"/>
      <w:pPr>
        <w:ind w:left="1020" w:hanging="360"/>
      </w:pPr>
    </w:lvl>
    <w:lvl w:ilvl="3" w:tplc="E6A258E4">
      <w:start w:val="1"/>
      <w:numFmt w:val="decimal"/>
      <w:lvlText w:val="%4."/>
      <w:lvlJc w:val="left"/>
      <w:pPr>
        <w:ind w:left="1020" w:hanging="360"/>
      </w:pPr>
    </w:lvl>
    <w:lvl w:ilvl="4" w:tplc="AE740A7C">
      <w:start w:val="1"/>
      <w:numFmt w:val="decimal"/>
      <w:lvlText w:val="%5."/>
      <w:lvlJc w:val="left"/>
      <w:pPr>
        <w:ind w:left="1020" w:hanging="360"/>
      </w:pPr>
    </w:lvl>
    <w:lvl w:ilvl="5" w:tplc="83281F78">
      <w:start w:val="1"/>
      <w:numFmt w:val="decimal"/>
      <w:lvlText w:val="%6."/>
      <w:lvlJc w:val="left"/>
      <w:pPr>
        <w:ind w:left="1020" w:hanging="360"/>
      </w:pPr>
    </w:lvl>
    <w:lvl w:ilvl="6" w:tplc="B5C025D8">
      <w:start w:val="1"/>
      <w:numFmt w:val="decimal"/>
      <w:lvlText w:val="%7."/>
      <w:lvlJc w:val="left"/>
      <w:pPr>
        <w:ind w:left="1020" w:hanging="360"/>
      </w:pPr>
    </w:lvl>
    <w:lvl w:ilvl="7" w:tplc="49B06BEE">
      <w:start w:val="1"/>
      <w:numFmt w:val="decimal"/>
      <w:lvlText w:val="%8."/>
      <w:lvlJc w:val="left"/>
      <w:pPr>
        <w:ind w:left="1020" w:hanging="360"/>
      </w:pPr>
    </w:lvl>
    <w:lvl w:ilvl="8" w:tplc="ECD2B830">
      <w:start w:val="1"/>
      <w:numFmt w:val="decimal"/>
      <w:lvlText w:val="%9."/>
      <w:lvlJc w:val="left"/>
      <w:pPr>
        <w:ind w:left="1020" w:hanging="360"/>
      </w:pPr>
    </w:lvl>
  </w:abstractNum>
  <w:abstractNum w:abstractNumId="18" w15:restartNumberingAfterBreak="0">
    <w:nsid w:val="7A056AD8"/>
    <w:multiLevelType w:val="hybridMultilevel"/>
    <w:tmpl w:val="BFE06F6C"/>
    <w:lvl w:ilvl="0" w:tplc="72C45022">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num w:numId="1" w16cid:durableId="1052995491">
    <w:abstractNumId w:val="5"/>
  </w:num>
  <w:num w:numId="2" w16cid:durableId="1363439006">
    <w:abstractNumId w:val="4"/>
  </w:num>
  <w:num w:numId="3" w16cid:durableId="2084377726">
    <w:abstractNumId w:val="6"/>
  </w:num>
  <w:num w:numId="4" w16cid:durableId="1718973592">
    <w:abstractNumId w:val="14"/>
  </w:num>
  <w:num w:numId="5" w16cid:durableId="53702865">
    <w:abstractNumId w:val="11"/>
  </w:num>
  <w:num w:numId="6" w16cid:durableId="650061469">
    <w:abstractNumId w:val="7"/>
  </w:num>
  <w:num w:numId="7" w16cid:durableId="830947591">
    <w:abstractNumId w:val="9"/>
  </w:num>
  <w:num w:numId="8" w16cid:durableId="1041634808">
    <w:abstractNumId w:val="0"/>
  </w:num>
  <w:num w:numId="9" w16cid:durableId="1067923461">
    <w:abstractNumId w:val="16"/>
  </w:num>
  <w:num w:numId="10" w16cid:durableId="1179274761">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24854399">
    <w:abstractNumId w:val="13"/>
  </w:num>
  <w:num w:numId="12" w16cid:durableId="1261528903">
    <w:abstractNumId w:val="16"/>
    <w:lvlOverride w:ilvl="0">
      <w:startOverride w:val="2"/>
    </w:lvlOverride>
    <w:lvlOverride w:ilvl="1">
      <w:startOverride w:val="6"/>
    </w:lvlOverride>
  </w:num>
  <w:num w:numId="13" w16cid:durableId="1197432068">
    <w:abstractNumId w:val="16"/>
    <w:lvlOverride w:ilvl="0">
      <w:startOverride w:val="2"/>
    </w:lvlOverride>
    <w:lvlOverride w:ilvl="1">
      <w:startOverride w:val="4"/>
    </w:lvlOverride>
  </w:num>
  <w:num w:numId="14" w16cid:durableId="699161386">
    <w:abstractNumId w:val="16"/>
    <w:lvlOverride w:ilvl="0">
      <w:startOverride w:val="4"/>
    </w:lvlOverride>
    <w:lvlOverride w:ilvl="1">
      <w:startOverride w:val="4"/>
    </w:lvlOverride>
  </w:num>
  <w:num w:numId="15" w16cid:durableId="1135834195">
    <w:abstractNumId w:val="8"/>
  </w:num>
  <w:num w:numId="16" w16cid:durableId="718627844">
    <w:abstractNumId w:val="12"/>
  </w:num>
  <w:num w:numId="17" w16cid:durableId="1524712828">
    <w:abstractNumId w:val="15"/>
  </w:num>
  <w:num w:numId="18" w16cid:durableId="1608852642">
    <w:abstractNumId w:val="17"/>
  </w:num>
  <w:num w:numId="19" w16cid:durableId="684477642">
    <w:abstractNumId w:val="1"/>
  </w:num>
  <w:num w:numId="20" w16cid:durableId="1061756555">
    <w:abstractNumId w:val="2"/>
  </w:num>
  <w:num w:numId="21" w16cid:durableId="1629360592">
    <w:abstractNumId w:val="3"/>
  </w:num>
  <w:num w:numId="22" w16cid:durableId="1998456202">
    <w:abstractNumId w:val="18"/>
  </w:num>
  <w:num w:numId="23" w16cid:durableId="9264241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0F5"/>
    <w:rsid w:val="00000569"/>
    <w:rsid w:val="000009B7"/>
    <w:rsid w:val="00003299"/>
    <w:rsid w:val="000034F7"/>
    <w:rsid w:val="00003D2C"/>
    <w:rsid w:val="00004F5A"/>
    <w:rsid w:val="000058EE"/>
    <w:rsid w:val="0000694B"/>
    <w:rsid w:val="00006D83"/>
    <w:rsid w:val="00007001"/>
    <w:rsid w:val="00007BF2"/>
    <w:rsid w:val="000102E3"/>
    <w:rsid w:val="00010CBA"/>
    <w:rsid w:val="00010F27"/>
    <w:rsid w:val="00011A55"/>
    <w:rsid w:val="00014557"/>
    <w:rsid w:val="000150A2"/>
    <w:rsid w:val="00015718"/>
    <w:rsid w:val="00015797"/>
    <w:rsid w:val="00015F3A"/>
    <w:rsid w:val="00016357"/>
    <w:rsid w:val="00016773"/>
    <w:rsid w:val="000178DE"/>
    <w:rsid w:val="00017B38"/>
    <w:rsid w:val="00017BA0"/>
    <w:rsid w:val="00017BEB"/>
    <w:rsid w:val="000200D6"/>
    <w:rsid w:val="00020168"/>
    <w:rsid w:val="0002347A"/>
    <w:rsid w:val="00023D04"/>
    <w:rsid w:val="00023FE1"/>
    <w:rsid w:val="000257B2"/>
    <w:rsid w:val="00026532"/>
    <w:rsid w:val="0002742A"/>
    <w:rsid w:val="00027ACC"/>
    <w:rsid w:val="00027E46"/>
    <w:rsid w:val="00027FDD"/>
    <w:rsid w:val="00027FE7"/>
    <w:rsid w:val="00030EDB"/>
    <w:rsid w:val="000316ED"/>
    <w:rsid w:val="00033C78"/>
    <w:rsid w:val="00033D34"/>
    <w:rsid w:val="00035F00"/>
    <w:rsid w:val="0003604E"/>
    <w:rsid w:val="000401CD"/>
    <w:rsid w:val="00040A16"/>
    <w:rsid w:val="00040BB9"/>
    <w:rsid w:val="000411D8"/>
    <w:rsid w:val="00041CBD"/>
    <w:rsid w:val="0004292D"/>
    <w:rsid w:val="00042BDF"/>
    <w:rsid w:val="000431CA"/>
    <w:rsid w:val="0004362F"/>
    <w:rsid w:val="000441AD"/>
    <w:rsid w:val="00045039"/>
    <w:rsid w:val="00045C45"/>
    <w:rsid w:val="00046514"/>
    <w:rsid w:val="00046AF5"/>
    <w:rsid w:val="00047A85"/>
    <w:rsid w:val="00051289"/>
    <w:rsid w:val="0005316F"/>
    <w:rsid w:val="0005375F"/>
    <w:rsid w:val="00053C00"/>
    <w:rsid w:val="00053DD6"/>
    <w:rsid w:val="00053F32"/>
    <w:rsid w:val="000545E8"/>
    <w:rsid w:val="00057ECE"/>
    <w:rsid w:val="00060A98"/>
    <w:rsid w:val="000622FE"/>
    <w:rsid w:val="000635D7"/>
    <w:rsid w:val="00064F3A"/>
    <w:rsid w:val="0006643C"/>
    <w:rsid w:val="00066732"/>
    <w:rsid w:val="00066984"/>
    <w:rsid w:val="00070919"/>
    <w:rsid w:val="00070ADC"/>
    <w:rsid w:val="00071982"/>
    <w:rsid w:val="00072390"/>
    <w:rsid w:val="00072C14"/>
    <w:rsid w:val="00073C16"/>
    <w:rsid w:val="00073FEF"/>
    <w:rsid w:val="00074714"/>
    <w:rsid w:val="00076187"/>
    <w:rsid w:val="00076E3E"/>
    <w:rsid w:val="00080ED1"/>
    <w:rsid w:val="0008215E"/>
    <w:rsid w:val="00082433"/>
    <w:rsid w:val="00082D38"/>
    <w:rsid w:val="0008320E"/>
    <w:rsid w:val="000833B1"/>
    <w:rsid w:val="00083CC5"/>
    <w:rsid w:val="000850A7"/>
    <w:rsid w:val="00085C37"/>
    <w:rsid w:val="00086959"/>
    <w:rsid w:val="000869A3"/>
    <w:rsid w:val="00087A54"/>
    <w:rsid w:val="00090EFB"/>
    <w:rsid w:val="00091962"/>
    <w:rsid w:val="000935A3"/>
    <w:rsid w:val="000940AE"/>
    <w:rsid w:val="00095716"/>
    <w:rsid w:val="00095D20"/>
    <w:rsid w:val="00095EE7"/>
    <w:rsid w:val="000969DC"/>
    <w:rsid w:val="00096D4D"/>
    <w:rsid w:val="00097C4A"/>
    <w:rsid w:val="000A1184"/>
    <w:rsid w:val="000A1246"/>
    <w:rsid w:val="000A2B3C"/>
    <w:rsid w:val="000A2B67"/>
    <w:rsid w:val="000A3C11"/>
    <w:rsid w:val="000A4EA2"/>
    <w:rsid w:val="000A7756"/>
    <w:rsid w:val="000B5089"/>
    <w:rsid w:val="000B6A9E"/>
    <w:rsid w:val="000B739B"/>
    <w:rsid w:val="000C0725"/>
    <w:rsid w:val="000C09D7"/>
    <w:rsid w:val="000C115C"/>
    <w:rsid w:val="000C21EA"/>
    <w:rsid w:val="000C2750"/>
    <w:rsid w:val="000C28F0"/>
    <w:rsid w:val="000C426D"/>
    <w:rsid w:val="000C4538"/>
    <w:rsid w:val="000C4C0E"/>
    <w:rsid w:val="000C6C66"/>
    <w:rsid w:val="000C6D2F"/>
    <w:rsid w:val="000D141C"/>
    <w:rsid w:val="000D317F"/>
    <w:rsid w:val="000D3354"/>
    <w:rsid w:val="000D4656"/>
    <w:rsid w:val="000D7649"/>
    <w:rsid w:val="000D77F8"/>
    <w:rsid w:val="000E274F"/>
    <w:rsid w:val="000E2933"/>
    <w:rsid w:val="000E3215"/>
    <w:rsid w:val="000E3722"/>
    <w:rsid w:val="000E472A"/>
    <w:rsid w:val="000E5ECF"/>
    <w:rsid w:val="000E7E72"/>
    <w:rsid w:val="000F0183"/>
    <w:rsid w:val="000F0C22"/>
    <w:rsid w:val="000F0C62"/>
    <w:rsid w:val="000F2801"/>
    <w:rsid w:val="000F3258"/>
    <w:rsid w:val="000F3A33"/>
    <w:rsid w:val="000F5AAC"/>
    <w:rsid w:val="000F66C7"/>
    <w:rsid w:val="0010174E"/>
    <w:rsid w:val="00103730"/>
    <w:rsid w:val="0010473E"/>
    <w:rsid w:val="00104F36"/>
    <w:rsid w:val="001057CD"/>
    <w:rsid w:val="00106EA2"/>
    <w:rsid w:val="00107961"/>
    <w:rsid w:val="00107D3B"/>
    <w:rsid w:val="00111108"/>
    <w:rsid w:val="0011248B"/>
    <w:rsid w:val="00112997"/>
    <w:rsid w:val="0011343D"/>
    <w:rsid w:val="00113453"/>
    <w:rsid w:val="00113890"/>
    <w:rsid w:val="00113AC5"/>
    <w:rsid w:val="001151A5"/>
    <w:rsid w:val="00117B65"/>
    <w:rsid w:val="00117E0B"/>
    <w:rsid w:val="00120662"/>
    <w:rsid w:val="00120839"/>
    <w:rsid w:val="00120D07"/>
    <w:rsid w:val="001211E9"/>
    <w:rsid w:val="001214D0"/>
    <w:rsid w:val="00122010"/>
    <w:rsid w:val="00122805"/>
    <w:rsid w:val="00122B2F"/>
    <w:rsid w:val="00123F15"/>
    <w:rsid w:val="00124184"/>
    <w:rsid w:val="00124248"/>
    <w:rsid w:val="00124447"/>
    <w:rsid w:val="001261FE"/>
    <w:rsid w:val="0012630B"/>
    <w:rsid w:val="001277B0"/>
    <w:rsid w:val="001308E9"/>
    <w:rsid w:val="0013314C"/>
    <w:rsid w:val="00134289"/>
    <w:rsid w:val="001357ED"/>
    <w:rsid w:val="00137531"/>
    <w:rsid w:val="001378B7"/>
    <w:rsid w:val="00142AF9"/>
    <w:rsid w:val="001434BC"/>
    <w:rsid w:val="001443E2"/>
    <w:rsid w:val="00144BF8"/>
    <w:rsid w:val="00145180"/>
    <w:rsid w:val="00145659"/>
    <w:rsid w:val="00145A2B"/>
    <w:rsid w:val="00145F1A"/>
    <w:rsid w:val="00146A95"/>
    <w:rsid w:val="001479C0"/>
    <w:rsid w:val="00147D78"/>
    <w:rsid w:val="00150F7E"/>
    <w:rsid w:val="00151114"/>
    <w:rsid w:val="00153E35"/>
    <w:rsid w:val="001560F2"/>
    <w:rsid w:val="00160BA8"/>
    <w:rsid w:val="00161850"/>
    <w:rsid w:val="00161E67"/>
    <w:rsid w:val="00162BF8"/>
    <w:rsid w:val="00162E1F"/>
    <w:rsid w:val="001637EF"/>
    <w:rsid w:val="001639FA"/>
    <w:rsid w:val="00164C5B"/>
    <w:rsid w:val="0016673D"/>
    <w:rsid w:val="001670CC"/>
    <w:rsid w:val="00167BCF"/>
    <w:rsid w:val="00167CB2"/>
    <w:rsid w:val="00171BAA"/>
    <w:rsid w:val="00173D18"/>
    <w:rsid w:val="001741E2"/>
    <w:rsid w:val="001758D0"/>
    <w:rsid w:val="001774BC"/>
    <w:rsid w:val="0017777B"/>
    <w:rsid w:val="001778AF"/>
    <w:rsid w:val="0018071A"/>
    <w:rsid w:val="0018075D"/>
    <w:rsid w:val="0018187A"/>
    <w:rsid w:val="00181D87"/>
    <w:rsid w:val="001824B9"/>
    <w:rsid w:val="00182A7D"/>
    <w:rsid w:val="00182C3B"/>
    <w:rsid w:val="0018312B"/>
    <w:rsid w:val="00184321"/>
    <w:rsid w:val="00184717"/>
    <w:rsid w:val="001847E8"/>
    <w:rsid w:val="00184A66"/>
    <w:rsid w:val="00185701"/>
    <w:rsid w:val="0018761A"/>
    <w:rsid w:val="00191025"/>
    <w:rsid w:val="001919E0"/>
    <w:rsid w:val="00192F37"/>
    <w:rsid w:val="00195597"/>
    <w:rsid w:val="001978F0"/>
    <w:rsid w:val="00197BD4"/>
    <w:rsid w:val="001A23CA"/>
    <w:rsid w:val="001A3899"/>
    <w:rsid w:val="001A3E97"/>
    <w:rsid w:val="001A58CA"/>
    <w:rsid w:val="001A6C65"/>
    <w:rsid w:val="001A6DD1"/>
    <w:rsid w:val="001A7ED6"/>
    <w:rsid w:val="001B148A"/>
    <w:rsid w:val="001B1FD1"/>
    <w:rsid w:val="001B236D"/>
    <w:rsid w:val="001B2A0A"/>
    <w:rsid w:val="001B4B74"/>
    <w:rsid w:val="001B6359"/>
    <w:rsid w:val="001B6FCF"/>
    <w:rsid w:val="001B7A5E"/>
    <w:rsid w:val="001C0A4B"/>
    <w:rsid w:val="001C0BA4"/>
    <w:rsid w:val="001C0EA1"/>
    <w:rsid w:val="001C2A56"/>
    <w:rsid w:val="001C2ECC"/>
    <w:rsid w:val="001C4D74"/>
    <w:rsid w:val="001C5A4B"/>
    <w:rsid w:val="001C6068"/>
    <w:rsid w:val="001C6E81"/>
    <w:rsid w:val="001C73BA"/>
    <w:rsid w:val="001D01A8"/>
    <w:rsid w:val="001D0887"/>
    <w:rsid w:val="001D25FA"/>
    <w:rsid w:val="001D3A74"/>
    <w:rsid w:val="001D5254"/>
    <w:rsid w:val="001D6848"/>
    <w:rsid w:val="001D6D90"/>
    <w:rsid w:val="001E0791"/>
    <w:rsid w:val="001E1DC8"/>
    <w:rsid w:val="001E3302"/>
    <w:rsid w:val="001E4D9F"/>
    <w:rsid w:val="001E54AF"/>
    <w:rsid w:val="001E6A34"/>
    <w:rsid w:val="001E7723"/>
    <w:rsid w:val="001F038B"/>
    <w:rsid w:val="001F20CD"/>
    <w:rsid w:val="001F2989"/>
    <w:rsid w:val="001F2C37"/>
    <w:rsid w:val="001F31A4"/>
    <w:rsid w:val="001F56F0"/>
    <w:rsid w:val="001F665C"/>
    <w:rsid w:val="001F7C69"/>
    <w:rsid w:val="0020081D"/>
    <w:rsid w:val="00200BC5"/>
    <w:rsid w:val="00201C08"/>
    <w:rsid w:val="00202F03"/>
    <w:rsid w:val="00204FB0"/>
    <w:rsid w:val="00211708"/>
    <w:rsid w:val="00211C65"/>
    <w:rsid w:val="002138A6"/>
    <w:rsid w:val="00213AB2"/>
    <w:rsid w:val="00214AD5"/>
    <w:rsid w:val="0021535E"/>
    <w:rsid w:val="00215878"/>
    <w:rsid w:val="00217414"/>
    <w:rsid w:val="00217D8A"/>
    <w:rsid w:val="0022028C"/>
    <w:rsid w:val="00220839"/>
    <w:rsid w:val="00223A89"/>
    <w:rsid w:val="0022449D"/>
    <w:rsid w:val="002249DE"/>
    <w:rsid w:val="00225D12"/>
    <w:rsid w:val="00226697"/>
    <w:rsid w:val="002304D9"/>
    <w:rsid w:val="0023065B"/>
    <w:rsid w:val="00230D64"/>
    <w:rsid w:val="00231B24"/>
    <w:rsid w:val="00233212"/>
    <w:rsid w:val="00233487"/>
    <w:rsid w:val="0023454D"/>
    <w:rsid w:val="00234888"/>
    <w:rsid w:val="00234ECE"/>
    <w:rsid w:val="00235D30"/>
    <w:rsid w:val="002401AA"/>
    <w:rsid w:val="00240637"/>
    <w:rsid w:val="002418CA"/>
    <w:rsid w:val="00241FB2"/>
    <w:rsid w:val="0024221F"/>
    <w:rsid w:val="00242EE4"/>
    <w:rsid w:val="00242F64"/>
    <w:rsid w:val="00243C8C"/>
    <w:rsid w:val="00245784"/>
    <w:rsid w:val="00245CC6"/>
    <w:rsid w:val="00245D3C"/>
    <w:rsid w:val="0024632D"/>
    <w:rsid w:val="00246448"/>
    <w:rsid w:val="0025033C"/>
    <w:rsid w:val="00250E1B"/>
    <w:rsid w:val="0025120D"/>
    <w:rsid w:val="00251C09"/>
    <w:rsid w:val="002545E7"/>
    <w:rsid w:val="00255758"/>
    <w:rsid w:val="00255D08"/>
    <w:rsid w:val="0025601F"/>
    <w:rsid w:val="00261203"/>
    <w:rsid w:val="0026482F"/>
    <w:rsid w:val="002652B9"/>
    <w:rsid w:val="00266703"/>
    <w:rsid w:val="0026762A"/>
    <w:rsid w:val="00267A88"/>
    <w:rsid w:val="00270E2E"/>
    <w:rsid w:val="00270F51"/>
    <w:rsid w:val="00272A52"/>
    <w:rsid w:val="00275831"/>
    <w:rsid w:val="0027680F"/>
    <w:rsid w:val="002768D7"/>
    <w:rsid w:val="0027799E"/>
    <w:rsid w:val="002779D1"/>
    <w:rsid w:val="00280B57"/>
    <w:rsid w:val="00281D5E"/>
    <w:rsid w:val="00282225"/>
    <w:rsid w:val="002829C0"/>
    <w:rsid w:val="00283F99"/>
    <w:rsid w:val="00284124"/>
    <w:rsid w:val="00284BC6"/>
    <w:rsid w:val="0028578A"/>
    <w:rsid w:val="00287B82"/>
    <w:rsid w:val="002904B7"/>
    <w:rsid w:val="00292933"/>
    <w:rsid w:val="00293D6C"/>
    <w:rsid w:val="00295514"/>
    <w:rsid w:val="002968EF"/>
    <w:rsid w:val="00297197"/>
    <w:rsid w:val="00297985"/>
    <w:rsid w:val="002A0EAD"/>
    <w:rsid w:val="002A1A4C"/>
    <w:rsid w:val="002A3774"/>
    <w:rsid w:val="002A4EF1"/>
    <w:rsid w:val="002A5CB4"/>
    <w:rsid w:val="002A602C"/>
    <w:rsid w:val="002A6406"/>
    <w:rsid w:val="002A6B85"/>
    <w:rsid w:val="002B0B8E"/>
    <w:rsid w:val="002B1910"/>
    <w:rsid w:val="002B27A5"/>
    <w:rsid w:val="002B3744"/>
    <w:rsid w:val="002B539E"/>
    <w:rsid w:val="002B5C41"/>
    <w:rsid w:val="002B72AD"/>
    <w:rsid w:val="002B7B72"/>
    <w:rsid w:val="002B7C57"/>
    <w:rsid w:val="002C0236"/>
    <w:rsid w:val="002C1EAD"/>
    <w:rsid w:val="002C5281"/>
    <w:rsid w:val="002C5BD8"/>
    <w:rsid w:val="002C6154"/>
    <w:rsid w:val="002C7707"/>
    <w:rsid w:val="002D0AD7"/>
    <w:rsid w:val="002D1B5E"/>
    <w:rsid w:val="002D21B5"/>
    <w:rsid w:val="002D2447"/>
    <w:rsid w:val="002D2B2C"/>
    <w:rsid w:val="002D429A"/>
    <w:rsid w:val="002D4854"/>
    <w:rsid w:val="002D63E1"/>
    <w:rsid w:val="002D71E4"/>
    <w:rsid w:val="002D7850"/>
    <w:rsid w:val="002E0931"/>
    <w:rsid w:val="002E0B93"/>
    <w:rsid w:val="002E0D5A"/>
    <w:rsid w:val="002E29A3"/>
    <w:rsid w:val="002E2B01"/>
    <w:rsid w:val="002E5273"/>
    <w:rsid w:val="002E60E1"/>
    <w:rsid w:val="002E6698"/>
    <w:rsid w:val="002E72A3"/>
    <w:rsid w:val="002E7FF0"/>
    <w:rsid w:val="002F08A0"/>
    <w:rsid w:val="002F1D0B"/>
    <w:rsid w:val="002F21E2"/>
    <w:rsid w:val="002F2DDD"/>
    <w:rsid w:val="002F33B0"/>
    <w:rsid w:val="002F44D9"/>
    <w:rsid w:val="002F4E8E"/>
    <w:rsid w:val="002F5348"/>
    <w:rsid w:val="002F62F5"/>
    <w:rsid w:val="002F71A2"/>
    <w:rsid w:val="00300900"/>
    <w:rsid w:val="00301C3E"/>
    <w:rsid w:val="00302EF4"/>
    <w:rsid w:val="00303722"/>
    <w:rsid w:val="0030395C"/>
    <w:rsid w:val="00303E8E"/>
    <w:rsid w:val="0030537E"/>
    <w:rsid w:val="00306B9F"/>
    <w:rsid w:val="003106DB"/>
    <w:rsid w:val="00310E91"/>
    <w:rsid w:val="00312954"/>
    <w:rsid w:val="00312E28"/>
    <w:rsid w:val="00313868"/>
    <w:rsid w:val="00314965"/>
    <w:rsid w:val="00314BE5"/>
    <w:rsid w:val="00314D6A"/>
    <w:rsid w:val="0031554A"/>
    <w:rsid w:val="00315E6C"/>
    <w:rsid w:val="00315F49"/>
    <w:rsid w:val="00316565"/>
    <w:rsid w:val="00316585"/>
    <w:rsid w:val="003165A0"/>
    <w:rsid w:val="003168FE"/>
    <w:rsid w:val="0031747A"/>
    <w:rsid w:val="003175A6"/>
    <w:rsid w:val="00321847"/>
    <w:rsid w:val="00322282"/>
    <w:rsid w:val="003259BE"/>
    <w:rsid w:val="0033176C"/>
    <w:rsid w:val="0033187D"/>
    <w:rsid w:val="00332B67"/>
    <w:rsid w:val="00332F2B"/>
    <w:rsid w:val="003341F0"/>
    <w:rsid w:val="00335592"/>
    <w:rsid w:val="0033563B"/>
    <w:rsid w:val="00337090"/>
    <w:rsid w:val="0033756B"/>
    <w:rsid w:val="00337694"/>
    <w:rsid w:val="003406C1"/>
    <w:rsid w:val="00340D6B"/>
    <w:rsid w:val="00340D92"/>
    <w:rsid w:val="00340FD0"/>
    <w:rsid w:val="003419DA"/>
    <w:rsid w:val="00342329"/>
    <w:rsid w:val="00344B4C"/>
    <w:rsid w:val="003456EF"/>
    <w:rsid w:val="003457BF"/>
    <w:rsid w:val="00345C2F"/>
    <w:rsid w:val="00346026"/>
    <w:rsid w:val="00347277"/>
    <w:rsid w:val="00350102"/>
    <w:rsid w:val="0035164B"/>
    <w:rsid w:val="00352549"/>
    <w:rsid w:val="003541A0"/>
    <w:rsid w:val="00355773"/>
    <w:rsid w:val="0035578F"/>
    <w:rsid w:val="00355EFD"/>
    <w:rsid w:val="00356D1A"/>
    <w:rsid w:val="00356EAF"/>
    <w:rsid w:val="003577AA"/>
    <w:rsid w:val="0035796C"/>
    <w:rsid w:val="003600C5"/>
    <w:rsid w:val="00361406"/>
    <w:rsid w:val="00361F78"/>
    <w:rsid w:val="00363F9F"/>
    <w:rsid w:val="0036466F"/>
    <w:rsid w:val="00365B5B"/>
    <w:rsid w:val="0036737C"/>
    <w:rsid w:val="0037133C"/>
    <w:rsid w:val="003718E3"/>
    <w:rsid w:val="00371B69"/>
    <w:rsid w:val="00371BC2"/>
    <w:rsid w:val="00371D5C"/>
    <w:rsid w:val="00371ECF"/>
    <w:rsid w:val="0037208E"/>
    <w:rsid w:val="00372261"/>
    <w:rsid w:val="00372A20"/>
    <w:rsid w:val="00372E2F"/>
    <w:rsid w:val="003737E0"/>
    <w:rsid w:val="0037385F"/>
    <w:rsid w:val="00375410"/>
    <w:rsid w:val="00375546"/>
    <w:rsid w:val="003757B5"/>
    <w:rsid w:val="00377957"/>
    <w:rsid w:val="00382A4C"/>
    <w:rsid w:val="00383628"/>
    <w:rsid w:val="00384098"/>
    <w:rsid w:val="003849FF"/>
    <w:rsid w:val="003867A9"/>
    <w:rsid w:val="003878B5"/>
    <w:rsid w:val="00387C3F"/>
    <w:rsid w:val="003920A8"/>
    <w:rsid w:val="00394F3E"/>
    <w:rsid w:val="003950DA"/>
    <w:rsid w:val="00395F0C"/>
    <w:rsid w:val="00396D57"/>
    <w:rsid w:val="00397327"/>
    <w:rsid w:val="003A0BFC"/>
    <w:rsid w:val="003A108D"/>
    <w:rsid w:val="003A1E3A"/>
    <w:rsid w:val="003A224D"/>
    <w:rsid w:val="003A3D5B"/>
    <w:rsid w:val="003A4DF4"/>
    <w:rsid w:val="003A6A7F"/>
    <w:rsid w:val="003A6BB5"/>
    <w:rsid w:val="003A6EA4"/>
    <w:rsid w:val="003A7130"/>
    <w:rsid w:val="003A7249"/>
    <w:rsid w:val="003A7841"/>
    <w:rsid w:val="003A78D8"/>
    <w:rsid w:val="003B0738"/>
    <w:rsid w:val="003B1845"/>
    <w:rsid w:val="003B231D"/>
    <w:rsid w:val="003B457B"/>
    <w:rsid w:val="003B457E"/>
    <w:rsid w:val="003B56B8"/>
    <w:rsid w:val="003B6A33"/>
    <w:rsid w:val="003C032A"/>
    <w:rsid w:val="003C0D1E"/>
    <w:rsid w:val="003C137B"/>
    <w:rsid w:val="003C189E"/>
    <w:rsid w:val="003C1DAE"/>
    <w:rsid w:val="003C3FAF"/>
    <w:rsid w:val="003C4BCE"/>
    <w:rsid w:val="003C4E82"/>
    <w:rsid w:val="003C5E2A"/>
    <w:rsid w:val="003C7076"/>
    <w:rsid w:val="003C7883"/>
    <w:rsid w:val="003C794D"/>
    <w:rsid w:val="003D1068"/>
    <w:rsid w:val="003D2632"/>
    <w:rsid w:val="003D3C81"/>
    <w:rsid w:val="003D423F"/>
    <w:rsid w:val="003D69D6"/>
    <w:rsid w:val="003D6A14"/>
    <w:rsid w:val="003D7119"/>
    <w:rsid w:val="003E0701"/>
    <w:rsid w:val="003E07EC"/>
    <w:rsid w:val="003E1CD5"/>
    <w:rsid w:val="003E2224"/>
    <w:rsid w:val="003E5275"/>
    <w:rsid w:val="003E57A9"/>
    <w:rsid w:val="003E5A73"/>
    <w:rsid w:val="003E5F1B"/>
    <w:rsid w:val="003E749E"/>
    <w:rsid w:val="003E75C4"/>
    <w:rsid w:val="003E7878"/>
    <w:rsid w:val="003E7BD6"/>
    <w:rsid w:val="003F1103"/>
    <w:rsid w:val="003F4326"/>
    <w:rsid w:val="003F549D"/>
    <w:rsid w:val="003F60F5"/>
    <w:rsid w:val="003F6820"/>
    <w:rsid w:val="003F6AB9"/>
    <w:rsid w:val="004013E2"/>
    <w:rsid w:val="004019F8"/>
    <w:rsid w:val="00401A7F"/>
    <w:rsid w:val="00402DDE"/>
    <w:rsid w:val="004030B5"/>
    <w:rsid w:val="00403F0F"/>
    <w:rsid w:val="004047C4"/>
    <w:rsid w:val="00406466"/>
    <w:rsid w:val="00406ABD"/>
    <w:rsid w:val="00407A8F"/>
    <w:rsid w:val="00407C23"/>
    <w:rsid w:val="00407E4B"/>
    <w:rsid w:val="004102B3"/>
    <w:rsid w:val="00410A9F"/>
    <w:rsid w:val="00414762"/>
    <w:rsid w:val="00414A15"/>
    <w:rsid w:val="00414A2F"/>
    <w:rsid w:val="0041580C"/>
    <w:rsid w:val="00416064"/>
    <w:rsid w:val="004161B7"/>
    <w:rsid w:val="0042041E"/>
    <w:rsid w:val="004212DA"/>
    <w:rsid w:val="004220F8"/>
    <w:rsid w:val="004224A1"/>
    <w:rsid w:val="0042337B"/>
    <w:rsid w:val="00423D3D"/>
    <w:rsid w:val="004246F7"/>
    <w:rsid w:val="00424850"/>
    <w:rsid w:val="00425570"/>
    <w:rsid w:val="004264C5"/>
    <w:rsid w:val="004276A9"/>
    <w:rsid w:val="00427DC4"/>
    <w:rsid w:val="004300FB"/>
    <w:rsid w:val="00430681"/>
    <w:rsid w:val="004308C2"/>
    <w:rsid w:val="00432799"/>
    <w:rsid w:val="00434D3D"/>
    <w:rsid w:val="00434DAF"/>
    <w:rsid w:val="00434E27"/>
    <w:rsid w:val="00435781"/>
    <w:rsid w:val="00435858"/>
    <w:rsid w:val="00436D26"/>
    <w:rsid w:val="00437334"/>
    <w:rsid w:val="00437D33"/>
    <w:rsid w:val="00437DF9"/>
    <w:rsid w:val="0044047A"/>
    <w:rsid w:val="00440B37"/>
    <w:rsid w:val="00444C12"/>
    <w:rsid w:val="00445123"/>
    <w:rsid w:val="0044607B"/>
    <w:rsid w:val="00451A84"/>
    <w:rsid w:val="004544A7"/>
    <w:rsid w:val="004562DF"/>
    <w:rsid w:val="00456AB5"/>
    <w:rsid w:val="00456CA9"/>
    <w:rsid w:val="00461980"/>
    <w:rsid w:val="0046388E"/>
    <w:rsid w:val="00464A02"/>
    <w:rsid w:val="00464DE9"/>
    <w:rsid w:val="00464F48"/>
    <w:rsid w:val="00466E2F"/>
    <w:rsid w:val="00466FBF"/>
    <w:rsid w:val="00467018"/>
    <w:rsid w:val="00467F4A"/>
    <w:rsid w:val="004717DE"/>
    <w:rsid w:val="00471917"/>
    <w:rsid w:val="00472B29"/>
    <w:rsid w:val="00473ABA"/>
    <w:rsid w:val="0047488B"/>
    <w:rsid w:val="00476505"/>
    <w:rsid w:val="00476627"/>
    <w:rsid w:val="004776A7"/>
    <w:rsid w:val="00480BBF"/>
    <w:rsid w:val="00480BC0"/>
    <w:rsid w:val="00482544"/>
    <w:rsid w:val="00482915"/>
    <w:rsid w:val="00482D7B"/>
    <w:rsid w:val="0048308F"/>
    <w:rsid w:val="00483093"/>
    <w:rsid w:val="00483E12"/>
    <w:rsid w:val="00485823"/>
    <w:rsid w:val="00487FD9"/>
    <w:rsid w:val="004904DB"/>
    <w:rsid w:val="00490FF0"/>
    <w:rsid w:val="0049104D"/>
    <w:rsid w:val="00491774"/>
    <w:rsid w:val="00491A0A"/>
    <w:rsid w:val="00491C08"/>
    <w:rsid w:val="00491D60"/>
    <w:rsid w:val="00491E2D"/>
    <w:rsid w:val="00491FD9"/>
    <w:rsid w:val="00492A7A"/>
    <w:rsid w:val="00492B5B"/>
    <w:rsid w:val="0049335D"/>
    <w:rsid w:val="00493940"/>
    <w:rsid w:val="004979B7"/>
    <w:rsid w:val="004A03C1"/>
    <w:rsid w:val="004A26BE"/>
    <w:rsid w:val="004A29FC"/>
    <w:rsid w:val="004A3820"/>
    <w:rsid w:val="004A3D0A"/>
    <w:rsid w:val="004A3F80"/>
    <w:rsid w:val="004A46FF"/>
    <w:rsid w:val="004A4A7F"/>
    <w:rsid w:val="004A4DE7"/>
    <w:rsid w:val="004A5F80"/>
    <w:rsid w:val="004A6E80"/>
    <w:rsid w:val="004A6ED8"/>
    <w:rsid w:val="004B107C"/>
    <w:rsid w:val="004B1577"/>
    <w:rsid w:val="004B223B"/>
    <w:rsid w:val="004B2C29"/>
    <w:rsid w:val="004B33DB"/>
    <w:rsid w:val="004B563A"/>
    <w:rsid w:val="004B5693"/>
    <w:rsid w:val="004B60FC"/>
    <w:rsid w:val="004B629D"/>
    <w:rsid w:val="004B635F"/>
    <w:rsid w:val="004B6DE1"/>
    <w:rsid w:val="004B7209"/>
    <w:rsid w:val="004B7A04"/>
    <w:rsid w:val="004B7B02"/>
    <w:rsid w:val="004C16C4"/>
    <w:rsid w:val="004C2CDD"/>
    <w:rsid w:val="004C2F06"/>
    <w:rsid w:val="004C30D2"/>
    <w:rsid w:val="004C4449"/>
    <w:rsid w:val="004C6E40"/>
    <w:rsid w:val="004C7FAA"/>
    <w:rsid w:val="004D086A"/>
    <w:rsid w:val="004D0FCE"/>
    <w:rsid w:val="004D1461"/>
    <w:rsid w:val="004D3BC6"/>
    <w:rsid w:val="004D4A6C"/>
    <w:rsid w:val="004D6946"/>
    <w:rsid w:val="004D75A4"/>
    <w:rsid w:val="004E03E8"/>
    <w:rsid w:val="004E12F8"/>
    <w:rsid w:val="004E2026"/>
    <w:rsid w:val="004E4157"/>
    <w:rsid w:val="004E4A16"/>
    <w:rsid w:val="004E6564"/>
    <w:rsid w:val="004F0345"/>
    <w:rsid w:val="004F0B37"/>
    <w:rsid w:val="004F10A1"/>
    <w:rsid w:val="004F176D"/>
    <w:rsid w:val="004F1C4B"/>
    <w:rsid w:val="004F21CB"/>
    <w:rsid w:val="004F24BC"/>
    <w:rsid w:val="004F319B"/>
    <w:rsid w:val="004F368B"/>
    <w:rsid w:val="004F3904"/>
    <w:rsid w:val="004F4312"/>
    <w:rsid w:val="004F483C"/>
    <w:rsid w:val="004F5E2B"/>
    <w:rsid w:val="004F6841"/>
    <w:rsid w:val="004F7ADF"/>
    <w:rsid w:val="004F7B8F"/>
    <w:rsid w:val="00501781"/>
    <w:rsid w:val="00502391"/>
    <w:rsid w:val="00502ED6"/>
    <w:rsid w:val="00503D42"/>
    <w:rsid w:val="00504235"/>
    <w:rsid w:val="00504872"/>
    <w:rsid w:val="0050581A"/>
    <w:rsid w:val="00505871"/>
    <w:rsid w:val="005061EA"/>
    <w:rsid w:val="0050684E"/>
    <w:rsid w:val="00510AB8"/>
    <w:rsid w:val="00510CD5"/>
    <w:rsid w:val="00511508"/>
    <w:rsid w:val="00512A2C"/>
    <w:rsid w:val="00512A53"/>
    <w:rsid w:val="005144D5"/>
    <w:rsid w:val="0051474D"/>
    <w:rsid w:val="00515DC0"/>
    <w:rsid w:val="00520184"/>
    <w:rsid w:val="005204AE"/>
    <w:rsid w:val="00520A90"/>
    <w:rsid w:val="00523DA9"/>
    <w:rsid w:val="00524B8D"/>
    <w:rsid w:val="005254F4"/>
    <w:rsid w:val="00525B48"/>
    <w:rsid w:val="005265E5"/>
    <w:rsid w:val="005274C9"/>
    <w:rsid w:val="0053033C"/>
    <w:rsid w:val="00530CDF"/>
    <w:rsid w:val="0053129A"/>
    <w:rsid w:val="00531683"/>
    <w:rsid w:val="00531A93"/>
    <w:rsid w:val="00533210"/>
    <w:rsid w:val="0053466E"/>
    <w:rsid w:val="00534FE6"/>
    <w:rsid w:val="0053586C"/>
    <w:rsid w:val="005375D1"/>
    <w:rsid w:val="005402C2"/>
    <w:rsid w:val="0054051F"/>
    <w:rsid w:val="00540975"/>
    <w:rsid w:val="00541E65"/>
    <w:rsid w:val="00542450"/>
    <w:rsid w:val="00543288"/>
    <w:rsid w:val="00543EAF"/>
    <w:rsid w:val="0054495B"/>
    <w:rsid w:val="00544C2C"/>
    <w:rsid w:val="00545334"/>
    <w:rsid w:val="00545A6E"/>
    <w:rsid w:val="005463AB"/>
    <w:rsid w:val="00551143"/>
    <w:rsid w:val="005511BC"/>
    <w:rsid w:val="005522DB"/>
    <w:rsid w:val="0055337B"/>
    <w:rsid w:val="00554D43"/>
    <w:rsid w:val="005559D3"/>
    <w:rsid w:val="00556879"/>
    <w:rsid w:val="005570D1"/>
    <w:rsid w:val="00557F2B"/>
    <w:rsid w:val="00560427"/>
    <w:rsid w:val="005611C7"/>
    <w:rsid w:val="00562CA2"/>
    <w:rsid w:val="00563BFF"/>
    <w:rsid w:val="00565515"/>
    <w:rsid w:val="00566417"/>
    <w:rsid w:val="005679EA"/>
    <w:rsid w:val="00570783"/>
    <w:rsid w:val="00570AE5"/>
    <w:rsid w:val="00571B2E"/>
    <w:rsid w:val="00575320"/>
    <w:rsid w:val="00575FD0"/>
    <w:rsid w:val="005762D5"/>
    <w:rsid w:val="0057799E"/>
    <w:rsid w:val="005802D9"/>
    <w:rsid w:val="00581A5D"/>
    <w:rsid w:val="00581AD0"/>
    <w:rsid w:val="00582470"/>
    <w:rsid w:val="005824BF"/>
    <w:rsid w:val="00582574"/>
    <w:rsid w:val="00582813"/>
    <w:rsid w:val="005836C5"/>
    <w:rsid w:val="00583AB4"/>
    <w:rsid w:val="00583B3F"/>
    <w:rsid w:val="005848A0"/>
    <w:rsid w:val="00585CB3"/>
    <w:rsid w:val="005875C6"/>
    <w:rsid w:val="0059079E"/>
    <w:rsid w:val="00590AFE"/>
    <w:rsid w:val="00590BA1"/>
    <w:rsid w:val="00590CB9"/>
    <w:rsid w:val="005911EB"/>
    <w:rsid w:val="005918A0"/>
    <w:rsid w:val="00594909"/>
    <w:rsid w:val="00595156"/>
    <w:rsid w:val="00597349"/>
    <w:rsid w:val="00597647"/>
    <w:rsid w:val="005A01DB"/>
    <w:rsid w:val="005A05A7"/>
    <w:rsid w:val="005A0F0A"/>
    <w:rsid w:val="005A148A"/>
    <w:rsid w:val="005A1C20"/>
    <w:rsid w:val="005A22FA"/>
    <w:rsid w:val="005A3BEA"/>
    <w:rsid w:val="005A4399"/>
    <w:rsid w:val="005A4A6C"/>
    <w:rsid w:val="005A5706"/>
    <w:rsid w:val="005A7007"/>
    <w:rsid w:val="005A7E94"/>
    <w:rsid w:val="005B188B"/>
    <w:rsid w:val="005B2494"/>
    <w:rsid w:val="005B3C58"/>
    <w:rsid w:val="005B5F92"/>
    <w:rsid w:val="005B6315"/>
    <w:rsid w:val="005B7B27"/>
    <w:rsid w:val="005C00F4"/>
    <w:rsid w:val="005C1B32"/>
    <w:rsid w:val="005C38E6"/>
    <w:rsid w:val="005C4CC8"/>
    <w:rsid w:val="005C5135"/>
    <w:rsid w:val="005C5C8E"/>
    <w:rsid w:val="005C68B4"/>
    <w:rsid w:val="005C7899"/>
    <w:rsid w:val="005C7CA6"/>
    <w:rsid w:val="005D0135"/>
    <w:rsid w:val="005D0141"/>
    <w:rsid w:val="005D044A"/>
    <w:rsid w:val="005D0584"/>
    <w:rsid w:val="005D06A6"/>
    <w:rsid w:val="005D2474"/>
    <w:rsid w:val="005D255B"/>
    <w:rsid w:val="005D3202"/>
    <w:rsid w:val="005D3A45"/>
    <w:rsid w:val="005D458C"/>
    <w:rsid w:val="005D541D"/>
    <w:rsid w:val="005D61C3"/>
    <w:rsid w:val="005D6B77"/>
    <w:rsid w:val="005E0B0B"/>
    <w:rsid w:val="005E12D6"/>
    <w:rsid w:val="005E159D"/>
    <w:rsid w:val="005E160F"/>
    <w:rsid w:val="005E2398"/>
    <w:rsid w:val="005E2A7A"/>
    <w:rsid w:val="005E385D"/>
    <w:rsid w:val="005E5068"/>
    <w:rsid w:val="005E6550"/>
    <w:rsid w:val="005E6BF7"/>
    <w:rsid w:val="005E7302"/>
    <w:rsid w:val="005E7CF7"/>
    <w:rsid w:val="005F15D6"/>
    <w:rsid w:val="005F1E61"/>
    <w:rsid w:val="005F2637"/>
    <w:rsid w:val="005F2EA1"/>
    <w:rsid w:val="005F36A2"/>
    <w:rsid w:val="005F39DD"/>
    <w:rsid w:val="005F40C3"/>
    <w:rsid w:val="005F6C02"/>
    <w:rsid w:val="006011B1"/>
    <w:rsid w:val="0060319A"/>
    <w:rsid w:val="006033E1"/>
    <w:rsid w:val="0060679E"/>
    <w:rsid w:val="006105C8"/>
    <w:rsid w:val="00610C34"/>
    <w:rsid w:val="00612CFE"/>
    <w:rsid w:val="00612D1D"/>
    <w:rsid w:val="0061315F"/>
    <w:rsid w:val="00617AD7"/>
    <w:rsid w:val="00621C3A"/>
    <w:rsid w:val="00623671"/>
    <w:rsid w:val="006258C1"/>
    <w:rsid w:val="00625B3B"/>
    <w:rsid w:val="00626AF2"/>
    <w:rsid w:val="006270F3"/>
    <w:rsid w:val="00627366"/>
    <w:rsid w:val="0062748F"/>
    <w:rsid w:val="006277B1"/>
    <w:rsid w:val="00627D49"/>
    <w:rsid w:val="00630044"/>
    <w:rsid w:val="0063168B"/>
    <w:rsid w:val="00632179"/>
    <w:rsid w:val="006334CE"/>
    <w:rsid w:val="00633F9F"/>
    <w:rsid w:val="00634824"/>
    <w:rsid w:val="006355A5"/>
    <w:rsid w:val="006363DE"/>
    <w:rsid w:val="006365AC"/>
    <w:rsid w:val="00636B75"/>
    <w:rsid w:val="00636F3B"/>
    <w:rsid w:val="006371E3"/>
    <w:rsid w:val="0064067D"/>
    <w:rsid w:val="006418D2"/>
    <w:rsid w:val="00642F12"/>
    <w:rsid w:val="0064397E"/>
    <w:rsid w:val="00645514"/>
    <w:rsid w:val="0064660E"/>
    <w:rsid w:val="00647354"/>
    <w:rsid w:val="00650C2E"/>
    <w:rsid w:val="0065176E"/>
    <w:rsid w:val="006532B1"/>
    <w:rsid w:val="006543A7"/>
    <w:rsid w:val="00656421"/>
    <w:rsid w:val="006566D7"/>
    <w:rsid w:val="00656F19"/>
    <w:rsid w:val="0065786F"/>
    <w:rsid w:val="006578EB"/>
    <w:rsid w:val="006579BF"/>
    <w:rsid w:val="00657F86"/>
    <w:rsid w:val="006618DD"/>
    <w:rsid w:val="00661F34"/>
    <w:rsid w:val="0066224A"/>
    <w:rsid w:val="00662E41"/>
    <w:rsid w:val="00663120"/>
    <w:rsid w:val="0066361F"/>
    <w:rsid w:val="00663F51"/>
    <w:rsid w:val="00670770"/>
    <w:rsid w:val="00670F26"/>
    <w:rsid w:val="00671C50"/>
    <w:rsid w:val="00673120"/>
    <w:rsid w:val="006743A4"/>
    <w:rsid w:val="006744EE"/>
    <w:rsid w:val="0067463E"/>
    <w:rsid w:val="006759B5"/>
    <w:rsid w:val="00675A44"/>
    <w:rsid w:val="00675FD4"/>
    <w:rsid w:val="006779FC"/>
    <w:rsid w:val="00677AD3"/>
    <w:rsid w:val="00677C1B"/>
    <w:rsid w:val="00680313"/>
    <w:rsid w:val="00680459"/>
    <w:rsid w:val="006804B0"/>
    <w:rsid w:val="0068247F"/>
    <w:rsid w:val="00682C13"/>
    <w:rsid w:val="00684399"/>
    <w:rsid w:val="0068458D"/>
    <w:rsid w:val="00684CAC"/>
    <w:rsid w:val="00687BC5"/>
    <w:rsid w:val="006908DB"/>
    <w:rsid w:val="00692585"/>
    <w:rsid w:val="00694E65"/>
    <w:rsid w:val="00694FB0"/>
    <w:rsid w:val="00695144"/>
    <w:rsid w:val="00696BCA"/>
    <w:rsid w:val="00696F91"/>
    <w:rsid w:val="00697C17"/>
    <w:rsid w:val="006A0228"/>
    <w:rsid w:val="006A0ADE"/>
    <w:rsid w:val="006A12D6"/>
    <w:rsid w:val="006A4235"/>
    <w:rsid w:val="006A44C2"/>
    <w:rsid w:val="006A4E03"/>
    <w:rsid w:val="006A7A66"/>
    <w:rsid w:val="006B0279"/>
    <w:rsid w:val="006B3227"/>
    <w:rsid w:val="006B3E31"/>
    <w:rsid w:val="006B481D"/>
    <w:rsid w:val="006B4EAF"/>
    <w:rsid w:val="006B5172"/>
    <w:rsid w:val="006B6600"/>
    <w:rsid w:val="006B73CC"/>
    <w:rsid w:val="006B7F1D"/>
    <w:rsid w:val="006C1CE2"/>
    <w:rsid w:val="006C2642"/>
    <w:rsid w:val="006C2B73"/>
    <w:rsid w:val="006C3BF1"/>
    <w:rsid w:val="006C5378"/>
    <w:rsid w:val="006D218D"/>
    <w:rsid w:val="006D3566"/>
    <w:rsid w:val="006D3C8F"/>
    <w:rsid w:val="006D4528"/>
    <w:rsid w:val="006D47E7"/>
    <w:rsid w:val="006D498A"/>
    <w:rsid w:val="006D5AD7"/>
    <w:rsid w:val="006D67B4"/>
    <w:rsid w:val="006D6ECF"/>
    <w:rsid w:val="006D72AD"/>
    <w:rsid w:val="006D7603"/>
    <w:rsid w:val="006E04E8"/>
    <w:rsid w:val="006E27B3"/>
    <w:rsid w:val="006E2B9E"/>
    <w:rsid w:val="006E4A3A"/>
    <w:rsid w:val="006E4C59"/>
    <w:rsid w:val="006E54BB"/>
    <w:rsid w:val="006E77D5"/>
    <w:rsid w:val="006E7FAE"/>
    <w:rsid w:val="006F16D7"/>
    <w:rsid w:val="006F22E6"/>
    <w:rsid w:val="006F298C"/>
    <w:rsid w:val="006F2E2D"/>
    <w:rsid w:val="006F3B17"/>
    <w:rsid w:val="006F3BFC"/>
    <w:rsid w:val="006F483B"/>
    <w:rsid w:val="006F4AE5"/>
    <w:rsid w:val="006F5161"/>
    <w:rsid w:val="006F58DC"/>
    <w:rsid w:val="006F5D2E"/>
    <w:rsid w:val="006F7AC2"/>
    <w:rsid w:val="006F7F0A"/>
    <w:rsid w:val="0070046F"/>
    <w:rsid w:val="00700CFD"/>
    <w:rsid w:val="00701D59"/>
    <w:rsid w:val="00702CB6"/>
    <w:rsid w:val="00703A42"/>
    <w:rsid w:val="00704090"/>
    <w:rsid w:val="00705034"/>
    <w:rsid w:val="00705583"/>
    <w:rsid w:val="00710E20"/>
    <w:rsid w:val="007116F3"/>
    <w:rsid w:val="007117F3"/>
    <w:rsid w:val="00711AFA"/>
    <w:rsid w:val="00712C37"/>
    <w:rsid w:val="00716219"/>
    <w:rsid w:val="00716249"/>
    <w:rsid w:val="00716AB9"/>
    <w:rsid w:val="0071712C"/>
    <w:rsid w:val="00720EA9"/>
    <w:rsid w:val="00722140"/>
    <w:rsid w:val="00722A19"/>
    <w:rsid w:val="00722D79"/>
    <w:rsid w:val="00722DD4"/>
    <w:rsid w:val="00723037"/>
    <w:rsid w:val="00725E58"/>
    <w:rsid w:val="00727B3F"/>
    <w:rsid w:val="00727C0C"/>
    <w:rsid w:val="007305B7"/>
    <w:rsid w:val="00731D45"/>
    <w:rsid w:val="007325F3"/>
    <w:rsid w:val="00732782"/>
    <w:rsid w:val="007335E9"/>
    <w:rsid w:val="0073445F"/>
    <w:rsid w:val="007348B4"/>
    <w:rsid w:val="00736711"/>
    <w:rsid w:val="00736A12"/>
    <w:rsid w:val="00736A7C"/>
    <w:rsid w:val="00737472"/>
    <w:rsid w:val="007413FC"/>
    <w:rsid w:val="007417CA"/>
    <w:rsid w:val="00741E4B"/>
    <w:rsid w:val="007422B6"/>
    <w:rsid w:val="007434F4"/>
    <w:rsid w:val="0074383D"/>
    <w:rsid w:val="00744C04"/>
    <w:rsid w:val="00745230"/>
    <w:rsid w:val="00747388"/>
    <w:rsid w:val="00747A41"/>
    <w:rsid w:val="00747B3C"/>
    <w:rsid w:val="0075115F"/>
    <w:rsid w:val="007512F0"/>
    <w:rsid w:val="00752DEE"/>
    <w:rsid w:val="00753C04"/>
    <w:rsid w:val="007555D4"/>
    <w:rsid w:val="007565BB"/>
    <w:rsid w:val="00756984"/>
    <w:rsid w:val="007616FF"/>
    <w:rsid w:val="0076223F"/>
    <w:rsid w:val="00762486"/>
    <w:rsid w:val="00762E60"/>
    <w:rsid w:val="00763AE5"/>
    <w:rsid w:val="00764720"/>
    <w:rsid w:val="00764A9F"/>
    <w:rsid w:val="00764B37"/>
    <w:rsid w:val="00764D0D"/>
    <w:rsid w:val="00764DDA"/>
    <w:rsid w:val="00765532"/>
    <w:rsid w:val="00767C8D"/>
    <w:rsid w:val="00767E1D"/>
    <w:rsid w:val="00767F71"/>
    <w:rsid w:val="0077024A"/>
    <w:rsid w:val="00770366"/>
    <w:rsid w:val="007706AE"/>
    <w:rsid w:val="00771478"/>
    <w:rsid w:val="00771EB6"/>
    <w:rsid w:val="0077248A"/>
    <w:rsid w:val="00773E1C"/>
    <w:rsid w:val="0077531D"/>
    <w:rsid w:val="00775B9B"/>
    <w:rsid w:val="00776285"/>
    <w:rsid w:val="00776881"/>
    <w:rsid w:val="00777C53"/>
    <w:rsid w:val="00780AE6"/>
    <w:rsid w:val="00781C50"/>
    <w:rsid w:val="007820D2"/>
    <w:rsid w:val="00782284"/>
    <w:rsid w:val="00785288"/>
    <w:rsid w:val="007863A8"/>
    <w:rsid w:val="007864B3"/>
    <w:rsid w:val="0078679C"/>
    <w:rsid w:val="00787116"/>
    <w:rsid w:val="007873B6"/>
    <w:rsid w:val="00791522"/>
    <w:rsid w:val="00791743"/>
    <w:rsid w:val="007917D6"/>
    <w:rsid w:val="0079287F"/>
    <w:rsid w:val="0079366E"/>
    <w:rsid w:val="00793F40"/>
    <w:rsid w:val="00794BFA"/>
    <w:rsid w:val="0079622D"/>
    <w:rsid w:val="00796A14"/>
    <w:rsid w:val="00796EA6"/>
    <w:rsid w:val="00797A92"/>
    <w:rsid w:val="007A0AB9"/>
    <w:rsid w:val="007A1704"/>
    <w:rsid w:val="007A1A6F"/>
    <w:rsid w:val="007A1C8C"/>
    <w:rsid w:val="007A1D99"/>
    <w:rsid w:val="007A1E0A"/>
    <w:rsid w:val="007A268C"/>
    <w:rsid w:val="007A3238"/>
    <w:rsid w:val="007A46C3"/>
    <w:rsid w:val="007A5168"/>
    <w:rsid w:val="007A58F2"/>
    <w:rsid w:val="007A6B79"/>
    <w:rsid w:val="007B01A8"/>
    <w:rsid w:val="007B3D72"/>
    <w:rsid w:val="007B3FD7"/>
    <w:rsid w:val="007B3FF2"/>
    <w:rsid w:val="007B404C"/>
    <w:rsid w:val="007B65FA"/>
    <w:rsid w:val="007B6CD5"/>
    <w:rsid w:val="007B72F5"/>
    <w:rsid w:val="007B7F32"/>
    <w:rsid w:val="007C01CC"/>
    <w:rsid w:val="007C0783"/>
    <w:rsid w:val="007C0ACC"/>
    <w:rsid w:val="007C0F13"/>
    <w:rsid w:val="007C1566"/>
    <w:rsid w:val="007C1E27"/>
    <w:rsid w:val="007C216E"/>
    <w:rsid w:val="007C2A5D"/>
    <w:rsid w:val="007C3456"/>
    <w:rsid w:val="007C4FF5"/>
    <w:rsid w:val="007C52E2"/>
    <w:rsid w:val="007C55A5"/>
    <w:rsid w:val="007C58EA"/>
    <w:rsid w:val="007C5D01"/>
    <w:rsid w:val="007C7115"/>
    <w:rsid w:val="007C7CEF"/>
    <w:rsid w:val="007D0495"/>
    <w:rsid w:val="007D08FC"/>
    <w:rsid w:val="007D1719"/>
    <w:rsid w:val="007D17F2"/>
    <w:rsid w:val="007D2650"/>
    <w:rsid w:val="007D3D31"/>
    <w:rsid w:val="007D3D80"/>
    <w:rsid w:val="007D5D4F"/>
    <w:rsid w:val="007D6299"/>
    <w:rsid w:val="007D6C32"/>
    <w:rsid w:val="007D74B2"/>
    <w:rsid w:val="007E1640"/>
    <w:rsid w:val="007E20A3"/>
    <w:rsid w:val="007E28D2"/>
    <w:rsid w:val="007E3150"/>
    <w:rsid w:val="007E41AA"/>
    <w:rsid w:val="007E41D8"/>
    <w:rsid w:val="007E4CAA"/>
    <w:rsid w:val="007E6B3D"/>
    <w:rsid w:val="007E74A8"/>
    <w:rsid w:val="007E7D42"/>
    <w:rsid w:val="007E7EA3"/>
    <w:rsid w:val="007F0186"/>
    <w:rsid w:val="007F022A"/>
    <w:rsid w:val="007F0E1F"/>
    <w:rsid w:val="007F331D"/>
    <w:rsid w:val="007F3C16"/>
    <w:rsid w:val="007F400A"/>
    <w:rsid w:val="007F4453"/>
    <w:rsid w:val="00800588"/>
    <w:rsid w:val="00800AF0"/>
    <w:rsid w:val="00802138"/>
    <w:rsid w:val="008031F8"/>
    <w:rsid w:val="00803459"/>
    <w:rsid w:val="00804204"/>
    <w:rsid w:val="008054D5"/>
    <w:rsid w:val="008060CB"/>
    <w:rsid w:val="008068F0"/>
    <w:rsid w:val="00806C41"/>
    <w:rsid w:val="00806DCF"/>
    <w:rsid w:val="00807F71"/>
    <w:rsid w:val="00810206"/>
    <w:rsid w:val="008102D7"/>
    <w:rsid w:val="00810D96"/>
    <w:rsid w:val="00811D4B"/>
    <w:rsid w:val="008127D7"/>
    <w:rsid w:val="00812DD6"/>
    <w:rsid w:val="008139B8"/>
    <w:rsid w:val="00814927"/>
    <w:rsid w:val="0081650B"/>
    <w:rsid w:val="008166DD"/>
    <w:rsid w:val="0081698B"/>
    <w:rsid w:val="00816998"/>
    <w:rsid w:val="00816B45"/>
    <w:rsid w:val="00816E0E"/>
    <w:rsid w:val="00821C3B"/>
    <w:rsid w:val="00822311"/>
    <w:rsid w:val="00822553"/>
    <w:rsid w:val="00824159"/>
    <w:rsid w:val="00824416"/>
    <w:rsid w:val="00824E64"/>
    <w:rsid w:val="00825147"/>
    <w:rsid w:val="008272CA"/>
    <w:rsid w:val="008303EF"/>
    <w:rsid w:val="00830513"/>
    <w:rsid w:val="0083124B"/>
    <w:rsid w:val="00831A1A"/>
    <w:rsid w:val="00831A80"/>
    <w:rsid w:val="00833239"/>
    <w:rsid w:val="00833822"/>
    <w:rsid w:val="00835100"/>
    <w:rsid w:val="00835229"/>
    <w:rsid w:val="00835856"/>
    <w:rsid w:val="00843CC8"/>
    <w:rsid w:val="008452BD"/>
    <w:rsid w:val="0084608F"/>
    <w:rsid w:val="00846657"/>
    <w:rsid w:val="008466B0"/>
    <w:rsid w:val="008466FE"/>
    <w:rsid w:val="00846859"/>
    <w:rsid w:val="00847BD7"/>
    <w:rsid w:val="00851C04"/>
    <w:rsid w:val="00853650"/>
    <w:rsid w:val="0085452E"/>
    <w:rsid w:val="00854785"/>
    <w:rsid w:val="0085526A"/>
    <w:rsid w:val="008557FA"/>
    <w:rsid w:val="008559F3"/>
    <w:rsid w:val="008601AC"/>
    <w:rsid w:val="00863586"/>
    <w:rsid w:val="00863F96"/>
    <w:rsid w:val="00864294"/>
    <w:rsid w:val="00865459"/>
    <w:rsid w:val="0086572B"/>
    <w:rsid w:val="00865E4D"/>
    <w:rsid w:val="00866131"/>
    <w:rsid w:val="008663BA"/>
    <w:rsid w:val="00866B78"/>
    <w:rsid w:val="00867046"/>
    <w:rsid w:val="00867951"/>
    <w:rsid w:val="00870038"/>
    <w:rsid w:val="0087005F"/>
    <w:rsid w:val="00870B4E"/>
    <w:rsid w:val="0087130F"/>
    <w:rsid w:val="00871B21"/>
    <w:rsid w:val="00873688"/>
    <w:rsid w:val="00873F36"/>
    <w:rsid w:val="00873FCB"/>
    <w:rsid w:val="008747B8"/>
    <w:rsid w:val="00874823"/>
    <w:rsid w:val="00875954"/>
    <w:rsid w:val="008761BD"/>
    <w:rsid w:val="00876E02"/>
    <w:rsid w:val="008826D5"/>
    <w:rsid w:val="008829A6"/>
    <w:rsid w:val="00883DC4"/>
    <w:rsid w:val="00885CA1"/>
    <w:rsid w:val="008866A7"/>
    <w:rsid w:val="00887135"/>
    <w:rsid w:val="00890E3E"/>
    <w:rsid w:val="00891329"/>
    <w:rsid w:val="00891340"/>
    <w:rsid w:val="00892462"/>
    <w:rsid w:val="008926DA"/>
    <w:rsid w:val="00892E9A"/>
    <w:rsid w:val="00892F85"/>
    <w:rsid w:val="00893009"/>
    <w:rsid w:val="008941EA"/>
    <w:rsid w:val="0089429B"/>
    <w:rsid w:val="00896B58"/>
    <w:rsid w:val="0089799F"/>
    <w:rsid w:val="00897CB3"/>
    <w:rsid w:val="00897F32"/>
    <w:rsid w:val="008A0AC8"/>
    <w:rsid w:val="008A1593"/>
    <w:rsid w:val="008A2796"/>
    <w:rsid w:val="008A2BB9"/>
    <w:rsid w:val="008A3F86"/>
    <w:rsid w:val="008A4645"/>
    <w:rsid w:val="008A6CAD"/>
    <w:rsid w:val="008A6E70"/>
    <w:rsid w:val="008A77D7"/>
    <w:rsid w:val="008A7FBB"/>
    <w:rsid w:val="008B0F60"/>
    <w:rsid w:val="008B1CEB"/>
    <w:rsid w:val="008B1F8C"/>
    <w:rsid w:val="008B243B"/>
    <w:rsid w:val="008B2473"/>
    <w:rsid w:val="008B27B0"/>
    <w:rsid w:val="008B3521"/>
    <w:rsid w:val="008B364E"/>
    <w:rsid w:val="008B436F"/>
    <w:rsid w:val="008B46BD"/>
    <w:rsid w:val="008B4B63"/>
    <w:rsid w:val="008B4BC7"/>
    <w:rsid w:val="008B61D0"/>
    <w:rsid w:val="008B7E88"/>
    <w:rsid w:val="008B7F51"/>
    <w:rsid w:val="008C00D3"/>
    <w:rsid w:val="008C09A3"/>
    <w:rsid w:val="008C23B5"/>
    <w:rsid w:val="008C2AF8"/>
    <w:rsid w:val="008C325B"/>
    <w:rsid w:val="008C3545"/>
    <w:rsid w:val="008C505D"/>
    <w:rsid w:val="008C58C2"/>
    <w:rsid w:val="008C64DD"/>
    <w:rsid w:val="008C744E"/>
    <w:rsid w:val="008C7C9A"/>
    <w:rsid w:val="008D00D2"/>
    <w:rsid w:val="008D069C"/>
    <w:rsid w:val="008D06FA"/>
    <w:rsid w:val="008D1CEA"/>
    <w:rsid w:val="008D2AA8"/>
    <w:rsid w:val="008D314E"/>
    <w:rsid w:val="008D3ADC"/>
    <w:rsid w:val="008D3F29"/>
    <w:rsid w:val="008D4088"/>
    <w:rsid w:val="008D444A"/>
    <w:rsid w:val="008D4A6C"/>
    <w:rsid w:val="008D544F"/>
    <w:rsid w:val="008D67DE"/>
    <w:rsid w:val="008D730C"/>
    <w:rsid w:val="008D7B70"/>
    <w:rsid w:val="008D7C70"/>
    <w:rsid w:val="008E1295"/>
    <w:rsid w:val="008E1F21"/>
    <w:rsid w:val="008E2258"/>
    <w:rsid w:val="008E2881"/>
    <w:rsid w:val="008E3842"/>
    <w:rsid w:val="008E4045"/>
    <w:rsid w:val="008E4354"/>
    <w:rsid w:val="008E45DE"/>
    <w:rsid w:val="008E7A10"/>
    <w:rsid w:val="008E7EF7"/>
    <w:rsid w:val="008F162A"/>
    <w:rsid w:val="008F1C04"/>
    <w:rsid w:val="008F2857"/>
    <w:rsid w:val="008F2DD0"/>
    <w:rsid w:val="008F33C6"/>
    <w:rsid w:val="008F343E"/>
    <w:rsid w:val="008F3B39"/>
    <w:rsid w:val="008F41F5"/>
    <w:rsid w:val="008F434C"/>
    <w:rsid w:val="008F440D"/>
    <w:rsid w:val="008F4E0F"/>
    <w:rsid w:val="008F519C"/>
    <w:rsid w:val="008F5AB5"/>
    <w:rsid w:val="008F5E9F"/>
    <w:rsid w:val="008F635B"/>
    <w:rsid w:val="008F6903"/>
    <w:rsid w:val="008F7290"/>
    <w:rsid w:val="008F7D71"/>
    <w:rsid w:val="00900E22"/>
    <w:rsid w:val="00904ED0"/>
    <w:rsid w:val="00906E52"/>
    <w:rsid w:val="00907D9B"/>
    <w:rsid w:val="009100A2"/>
    <w:rsid w:val="009102E4"/>
    <w:rsid w:val="009103A3"/>
    <w:rsid w:val="009104D9"/>
    <w:rsid w:val="00910DC3"/>
    <w:rsid w:val="00911DED"/>
    <w:rsid w:val="00912D57"/>
    <w:rsid w:val="00913738"/>
    <w:rsid w:val="00913AA9"/>
    <w:rsid w:val="00915084"/>
    <w:rsid w:val="009157C0"/>
    <w:rsid w:val="009175E5"/>
    <w:rsid w:val="00917626"/>
    <w:rsid w:val="009179E6"/>
    <w:rsid w:val="0092072F"/>
    <w:rsid w:val="0092324B"/>
    <w:rsid w:val="00924DA5"/>
    <w:rsid w:val="009255AA"/>
    <w:rsid w:val="009257D2"/>
    <w:rsid w:val="009270E9"/>
    <w:rsid w:val="009308E6"/>
    <w:rsid w:val="00933CB6"/>
    <w:rsid w:val="00933E1C"/>
    <w:rsid w:val="0093401B"/>
    <w:rsid w:val="009344A9"/>
    <w:rsid w:val="00934A6E"/>
    <w:rsid w:val="00936A31"/>
    <w:rsid w:val="009404EF"/>
    <w:rsid w:val="0094054A"/>
    <w:rsid w:val="00940B6F"/>
    <w:rsid w:val="009415B7"/>
    <w:rsid w:val="00941B91"/>
    <w:rsid w:val="00941DAF"/>
    <w:rsid w:val="009435B3"/>
    <w:rsid w:val="009438A2"/>
    <w:rsid w:val="00944016"/>
    <w:rsid w:val="0094486A"/>
    <w:rsid w:val="00944DF8"/>
    <w:rsid w:val="00947237"/>
    <w:rsid w:val="009473B7"/>
    <w:rsid w:val="00947930"/>
    <w:rsid w:val="009505C2"/>
    <w:rsid w:val="00950C70"/>
    <w:rsid w:val="009510A9"/>
    <w:rsid w:val="009516A4"/>
    <w:rsid w:val="00951785"/>
    <w:rsid w:val="009524BE"/>
    <w:rsid w:val="00953D5F"/>
    <w:rsid w:val="00954B81"/>
    <w:rsid w:val="00954DBB"/>
    <w:rsid w:val="00957671"/>
    <w:rsid w:val="0095788B"/>
    <w:rsid w:val="00960A93"/>
    <w:rsid w:val="00960CE1"/>
    <w:rsid w:val="0096207F"/>
    <w:rsid w:val="00962443"/>
    <w:rsid w:val="0096452A"/>
    <w:rsid w:val="009654F9"/>
    <w:rsid w:val="00965CAE"/>
    <w:rsid w:val="009661C1"/>
    <w:rsid w:val="00966765"/>
    <w:rsid w:val="0096696D"/>
    <w:rsid w:val="00966B6A"/>
    <w:rsid w:val="009703D2"/>
    <w:rsid w:val="00970891"/>
    <w:rsid w:val="0097098E"/>
    <w:rsid w:val="00971DAA"/>
    <w:rsid w:val="00971F79"/>
    <w:rsid w:val="00972ABC"/>
    <w:rsid w:val="00973562"/>
    <w:rsid w:val="009744ED"/>
    <w:rsid w:val="0097725C"/>
    <w:rsid w:val="009778EE"/>
    <w:rsid w:val="00980068"/>
    <w:rsid w:val="00980B49"/>
    <w:rsid w:val="00981BF1"/>
    <w:rsid w:val="0098421A"/>
    <w:rsid w:val="00984375"/>
    <w:rsid w:val="00985932"/>
    <w:rsid w:val="00987034"/>
    <w:rsid w:val="00987984"/>
    <w:rsid w:val="00987A2D"/>
    <w:rsid w:val="0099010D"/>
    <w:rsid w:val="00991774"/>
    <w:rsid w:val="00994DE1"/>
    <w:rsid w:val="00995BDC"/>
    <w:rsid w:val="0099669F"/>
    <w:rsid w:val="00996804"/>
    <w:rsid w:val="009974A1"/>
    <w:rsid w:val="009977D0"/>
    <w:rsid w:val="009A1136"/>
    <w:rsid w:val="009A2F2F"/>
    <w:rsid w:val="009A3253"/>
    <w:rsid w:val="009A41BF"/>
    <w:rsid w:val="009A43AF"/>
    <w:rsid w:val="009A520B"/>
    <w:rsid w:val="009A5D45"/>
    <w:rsid w:val="009A5D63"/>
    <w:rsid w:val="009B0344"/>
    <w:rsid w:val="009B1263"/>
    <w:rsid w:val="009B2BDC"/>
    <w:rsid w:val="009B34FD"/>
    <w:rsid w:val="009B48B0"/>
    <w:rsid w:val="009B677E"/>
    <w:rsid w:val="009C01B2"/>
    <w:rsid w:val="009C0EE2"/>
    <w:rsid w:val="009C1FC7"/>
    <w:rsid w:val="009C2CF1"/>
    <w:rsid w:val="009C65F6"/>
    <w:rsid w:val="009D0FF3"/>
    <w:rsid w:val="009D1F74"/>
    <w:rsid w:val="009D1FB6"/>
    <w:rsid w:val="009D2119"/>
    <w:rsid w:val="009D2F0E"/>
    <w:rsid w:val="009D46BE"/>
    <w:rsid w:val="009D4E7B"/>
    <w:rsid w:val="009D52F3"/>
    <w:rsid w:val="009D5E19"/>
    <w:rsid w:val="009D735A"/>
    <w:rsid w:val="009D757C"/>
    <w:rsid w:val="009E1109"/>
    <w:rsid w:val="009E17C8"/>
    <w:rsid w:val="009E1AD6"/>
    <w:rsid w:val="009E43A9"/>
    <w:rsid w:val="009E4F7C"/>
    <w:rsid w:val="009E584E"/>
    <w:rsid w:val="009E6D4F"/>
    <w:rsid w:val="009F1364"/>
    <w:rsid w:val="009F16B4"/>
    <w:rsid w:val="009F260B"/>
    <w:rsid w:val="009F2B25"/>
    <w:rsid w:val="009F5447"/>
    <w:rsid w:val="009F7B92"/>
    <w:rsid w:val="00A0076D"/>
    <w:rsid w:val="00A016C8"/>
    <w:rsid w:val="00A017C9"/>
    <w:rsid w:val="00A02117"/>
    <w:rsid w:val="00A025F4"/>
    <w:rsid w:val="00A02D0D"/>
    <w:rsid w:val="00A04819"/>
    <w:rsid w:val="00A0708D"/>
    <w:rsid w:val="00A07D90"/>
    <w:rsid w:val="00A11168"/>
    <w:rsid w:val="00A11C2B"/>
    <w:rsid w:val="00A13A83"/>
    <w:rsid w:val="00A1429E"/>
    <w:rsid w:val="00A15478"/>
    <w:rsid w:val="00A158DD"/>
    <w:rsid w:val="00A160A8"/>
    <w:rsid w:val="00A16242"/>
    <w:rsid w:val="00A16EDE"/>
    <w:rsid w:val="00A17156"/>
    <w:rsid w:val="00A17259"/>
    <w:rsid w:val="00A224BF"/>
    <w:rsid w:val="00A22783"/>
    <w:rsid w:val="00A22FA6"/>
    <w:rsid w:val="00A250D0"/>
    <w:rsid w:val="00A2556F"/>
    <w:rsid w:val="00A25D6E"/>
    <w:rsid w:val="00A26358"/>
    <w:rsid w:val="00A26BB8"/>
    <w:rsid w:val="00A27233"/>
    <w:rsid w:val="00A272B6"/>
    <w:rsid w:val="00A307CD"/>
    <w:rsid w:val="00A31F3A"/>
    <w:rsid w:val="00A33CCD"/>
    <w:rsid w:val="00A345CA"/>
    <w:rsid w:val="00A34ADA"/>
    <w:rsid w:val="00A3540B"/>
    <w:rsid w:val="00A354DA"/>
    <w:rsid w:val="00A35AA1"/>
    <w:rsid w:val="00A3600F"/>
    <w:rsid w:val="00A36B12"/>
    <w:rsid w:val="00A37A7A"/>
    <w:rsid w:val="00A37DC2"/>
    <w:rsid w:val="00A37F1E"/>
    <w:rsid w:val="00A40695"/>
    <w:rsid w:val="00A40CF0"/>
    <w:rsid w:val="00A40E75"/>
    <w:rsid w:val="00A414F3"/>
    <w:rsid w:val="00A4284F"/>
    <w:rsid w:val="00A42BCD"/>
    <w:rsid w:val="00A42F48"/>
    <w:rsid w:val="00A430C3"/>
    <w:rsid w:val="00A43AA4"/>
    <w:rsid w:val="00A43C92"/>
    <w:rsid w:val="00A44F90"/>
    <w:rsid w:val="00A454C6"/>
    <w:rsid w:val="00A45640"/>
    <w:rsid w:val="00A470E2"/>
    <w:rsid w:val="00A47F9E"/>
    <w:rsid w:val="00A504A0"/>
    <w:rsid w:val="00A50895"/>
    <w:rsid w:val="00A5303C"/>
    <w:rsid w:val="00A54C09"/>
    <w:rsid w:val="00A56099"/>
    <w:rsid w:val="00A56A8F"/>
    <w:rsid w:val="00A56F1D"/>
    <w:rsid w:val="00A56FD7"/>
    <w:rsid w:val="00A570F6"/>
    <w:rsid w:val="00A57D8C"/>
    <w:rsid w:val="00A60B48"/>
    <w:rsid w:val="00A616D8"/>
    <w:rsid w:val="00A61A9A"/>
    <w:rsid w:val="00A626D3"/>
    <w:rsid w:val="00A62F52"/>
    <w:rsid w:val="00A63277"/>
    <w:rsid w:val="00A632BA"/>
    <w:rsid w:val="00A63B45"/>
    <w:rsid w:val="00A6578F"/>
    <w:rsid w:val="00A6596D"/>
    <w:rsid w:val="00A65A7A"/>
    <w:rsid w:val="00A67BC4"/>
    <w:rsid w:val="00A67CB1"/>
    <w:rsid w:val="00A703AB"/>
    <w:rsid w:val="00A70DA5"/>
    <w:rsid w:val="00A7147F"/>
    <w:rsid w:val="00A724E5"/>
    <w:rsid w:val="00A7417B"/>
    <w:rsid w:val="00A74180"/>
    <w:rsid w:val="00A7593E"/>
    <w:rsid w:val="00A7595F"/>
    <w:rsid w:val="00A75D08"/>
    <w:rsid w:val="00A762D2"/>
    <w:rsid w:val="00A7785E"/>
    <w:rsid w:val="00A80227"/>
    <w:rsid w:val="00A80427"/>
    <w:rsid w:val="00A8124C"/>
    <w:rsid w:val="00A81CFC"/>
    <w:rsid w:val="00A81D2E"/>
    <w:rsid w:val="00A82438"/>
    <w:rsid w:val="00A8275F"/>
    <w:rsid w:val="00A8408B"/>
    <w:rsid w:val="00A84B15"/>
    <w:rsid w:val="00A84FBF"/>
    <w:rsid w:val="00A862C3"/>
    <w:rsid w:val="00A86610"/>
    <w:rsid w:val="00A86DEC"/>
    <w:rsid w:val="00A8756C"/>
    <w:rsid w:val="00A90100"/>
    <w:rsid w:val="00A9064F"/>
    <w:rsid w:val="00A90E57"/>
    <w:rsid w:val="00A925FD"/>
    <w:rsid w:val="00A9377B"/>
    <w:rsid w:val="00A93B18"/>
    <w:rsid w:val="00A93F37"/>
    <w:rsid w:val="00A94518"/>
    <w:rsid w:val="00A95376"/>
    <w:rsid w:val="00A95BB6"/>
    <w:rsid w:val="00A95BFA"/>
    <w:rsid w:val="00A975EC"/>
    <w:rsid w:val="00A97636"/>
    <w:rsid w:val="00A97E60"/>
    <w:rsid w:val="00AA0D2C"/>
    <w:rsid w:val="00AA0E9E"/>
    <w:rsid w:val="00AA238C"/>
    <w:rsid w:val="00AA24FB"/>
    <w:rsid w:val="00AA3E4C"/>
    <w:rsid w:val="00AA6837"/>
    <w:rsid w:val="00AA777D"/>
    <w:rsid w:val="00AA79CF"/>
    <w:rsid w:val="00AB0FBD"/>
    <w:rsid w:val="00AB2C38"/>
    <w:rsid w:val="00AB2FDC"/>
    <w:rsid w:val="00AB40AE"/>
    <w:rsid w:val="00AB4409"/>
    <w:rsid w:val="00AB4CCA"/>
    <w:rsid w:val="00AB59BC"/>
    <w:rsid w:val="00AB6455"/>
    <w:rsid w:val="00AC04BC"/>
    <w:rsid w:val="00AC095A"/>
    <w:rsid w:val="00AC2C21"/>
    <w:rsid w:val="00AC328B"/>
    <w:rsid w:val="00AC5765"/>
    <w:rsid w:val="00AC5AE8"/>
    <w:rsid w:val="00AC68BE"/>
    <w:rsid w:val="00AC6D3B"/>
    <w:rsid w:val="00AC73DE"/>
    <w:rsid w:val="00AD41ED"/>
    <w:rsid w:val="00AD65BF"/>
    <w:rsid w:val="00AD7148"/>
    <w:rsid w:val="00AD7524"/>
    <w:rsid w:val="00AE04B5"/>
    <w:rsid w:val="00AE2049"/>
    <w:rsid w:val="00AE3CF2"/>
    <w:rsid w:val="00AE4057"/>
    <w:rsid w:val="00AE5AA6"/>
    <w:rsid w:val="00AE637B"/>
    <w:rsid w:val="00AE6566"/>
    <w:rsid w:val="00AE72B2"/>
    <w:rsid w:val="00AE7795"/>
    <w:rsid w:val="00AE7BF9"/>
    <w:rsid w:val="00AE7D97"/>
    <w:rsid w:val="00AF0645"/>
    <w:rsid w:val="00AF14FA"/>
    <w:rsid w:val="00AF1D72"/>
    <w:rsid w:val="00AF2779"/>
    <w:rsid w:val="00AF3712"/>
    <w:rsid w:val="00AF4682"/>
    <w:rsid w:val="00AF5B49"/>
    <w:rsid w:val="00B01019"/>
    <w:rsid w:val="00B01248"/>
    <w:rsid w:val="00B0125F"/>
    <w:rsid w:val="00B01A75"/>
    <w:rsid w:val="00B023A4"/>
    <w:rsid w:val="00B03396"/>
    <w:rsid w:val="00B07D97"/>
    <w:rsid w:val="00B10AF1"/>
    <w:rsid w:val="00B12EC1"/>
    <w:rsid w:val="00B134A9"/>
    <w:rsid w:val="00B1407F"/>
    <w:rsid w:val="00B16804"/>
    <w:rsid w:val="00B17950"/>
    <w:rsid w:val="00B17FBB"/>
    <w:rsid w:val="00B21055"/>
    <w:rsid w:val="00B21985"/>
    <w:rsid w:val="00B22642"/>
    <w:rsid w:val="00B230FA"/>
    <w:rsid w:val="00B233B5"/>
    <w:rsid w:val="00B23C99"/>
    <w:rsid w:val="00B249DA"/>
    <w:rsid w:val="00B255CE"/>
    <w:rsid w:val="00B25962"/>
    <w:rsid w:val="00B2652F"/>
    <w:rsid w:val="00B26B86"/>
    <w:rsid w:val="00B26C13"/>
    <w:rsid w:val="00B27726"/>
    <w:rsid w:val="00B277E8"/>
    <w:rsid w:val="00B31051"/>
    <w:rsid w:val="00B31E02"/>
    <w:rsid w:val="00B3284A"/>
    <w:rsid w:val="00B33E0E"/>
    <w:rsid w:val="00B342D9"/>
    <w:rsid w:val="00B350FB"/>
    <w:rsid w:val="00B3546E"/>
    <w:rsid w:val="00B355DE"/>
    <w:rsid w:val="00B366F0"/>
    <w:rsid w:val="00B37FD3"/>
    <w:rsid w:val="00B41058"/>
    <w:rsid w:val="00B41258"/>
    <w:rsid w:val="00B425C2"/>
    <w:rsid w:val="00B42A1C"/>
    <w:rsid w:val="00B43DCB"/>
    <w:rsid w:val="00B43EE6"/>
    <w:rsid w:val="00B444D1"/>
    <w:rsid w:val="00B44BE1"/>
    <w:rsid w:val="00B44E40"/>
    <w:rsid w:val="00B46828"/>
    <w:rsid w:val="00B46ED6"/>
    <w:rsid w:val="00B50243"/>
    <w:rsid w:val="00B502AD"/>
    <w:rsid w:val="00B51067"/>
    <w:rsid w:val="00B519F1"/>
    <w:rsid w:val="00B51AEA"/>
    <w:rsid w:val="00B51B44"/>
    <w:rsid w:val="00B52ACB"/>
    <w:rsid w:val="00B52C13"/>
    <w:rsid w:val="00B53B5C"/>
    <w:rsid w:val="00B53E2B"/>
    <w:rsid w:val="00B54214"/>
    <w:rsid w:val="00B55B62"/>
    <w:rsid w:val="00B567B2"/>
    <w:rsid w:val="00B604F7"/>
    <w:rsid w:val="00B61029"/>
    <w:rsid w:val="00B615A9"/>
    <w:rsid w:val="00B618CF"/>
    <w:rsid w:val="00B6218C"/>
    <w:rsid w:val="00B63325"/>
    <w:rsid w:val="00B63E27"/>
    <w:rsid w:val="00B6456D"/>
    <w:rsid w:val="00B6481D"/>
    <w:rsid w:val="00B64B71"/>
    <w:rsid w:val="00B64C43"/>
    <w:rsid w:val="00B64F6F"/>
    <w:rsid w:val="00B664D1"/>
    <w:rsid w:val="00B708A6"/>
    <w:rsid w:val="00B75521"/>
    <w:rsid w:val="00B758F0"/>
    <w:rsid w:val="00B80729"/>
    <w:rsid w:val="00B810E1"/>
    <w:rsid w:val="00B8187F"/>
    <w:rsid w:val="00B819CD"/>
    <w:rsid w:val="00B81E69"/>
    <w:rsid w:val="00B81E8A"/>
    <w:rsid w:val="00B82E77"/>
    <w:rsid w:val="00B83EFF"/>
    <w:rsid w:val="00B8411E"/>
    <w:rsid w:val="00B845CC"/>
    <w:rsid w:val="00B84A9C"/>
    <w:rsid w:val="00B84B7E"/>
    <w:rsid w:val="00B851B7"/>
    <w:rsid w:val="00B85A3C"/>
    <w:rsid w:val="00B86463"/>
    <w:rsid w:val="00B87EFD"/>
    <w:rsid w:val="00B90DFE"/>
    <w:rsid w:val="00B91796"/>
    <w:rsid w:val="00B93A4C"/>
    <w:rsid w:val="00B93A65"/>
    <w:rsid w:val="00B96088"/>
    <w:rsid w:val="00B96D8C"/>
    <w:rsid w:val="00B97C38"/>
    <w:rsid w:val="00BA00BA"/>
    <w:rsid w:val="00BA10CF"/>
    <w:rsid w:val="00BA14E9"/>
    <w:rsid w:val="00BA1CD8"/>
    <w:rsid w:val="00BA2AB6"/>
    <w:rsid w:val="00BA3161"/>
    <w:rsid w:val="00BA3573"/>
    <w:rsid w:val="00BA37F7"/>
    <w:rsid w:val="00BA4337"/>
    <w:rsid w:val="00BA6522"/>
    <w:rsid w:val="00BA6E19"/>
    <w:rsid w:val="00BB067A"/>
    <w:rsid w:val="00BB0714"/>
    <w:rsid w:val="00BB09E4"/>
    <w:rsid w:val="00BB0EE3"/>
    <w:rsid w:val="00BB0FA5"/>
    <w:rsid w:val="00BB16CA"/>
    <w:rsid w:val="00BB18DB"/>
    <w:rsid w:val="00BB2765"/>
    <w:rsid w:val="00BB2E8E"/>
    <w:rsid w:val="00BB4A10"/>
    <w:rsid w:val="00BB4A8D"/>
    <w:rsid w:val="00BB4DFF"/>
    <w:rsid w:val="00BB6514"/>
    <w:rsid w:val="00BB678B"/>
    <w:rsid w:val="00BB698C"/>
    <w:rsid w:val="00BB703B"/>
    <w:rsid w:val="00BB7B07"/>
    <w:rsid w:val="00BC0F7F"/>
    <w:rsid w:val="00BC1361"/>
    <w:rsid w:val="00BC23A9"/>
    <w:rsid w:val="00BC266C"/>
    <w:rsid w:val="00BC4D57"/>
    <w:rsid w:val="00BD05B8"/>
    <w:rsid w:val="00BD0E95"/>
    <w:rsid w:val="00BD0FD5"/>
    <w:rsid w:val="00BD4A0B"/>
    <w:rsid w:val="00BD4DD1"/>
    <w:rsid w:val="00BD5A76"/>
    <w:rsid w:val="00BD71E1"/>
    <w:rsid w:val="00BE1239"/>
    <w:rsid w:val="00BE147C"/>
    <w:rsid w:val="00BE323A"/>
    <w:rsid w:val="00BE37F4"/>
    <w:rsid w:val="00BE3B43"/>
    <w:rsid w:val="00BE47A6"/>
    <w:rsid w:val="00BE4BE9"/>
    <w:rsid w:val="00BE5240"/>
    <w:rsid w:val="00BE61C3"/>
    <w:rsid w:val="00BE7A2A"/>
    <w:rsid w:val="00BF02C9"/>
    <w:rsid w:val="00BF03AE"/>
    <w:rsid w:val="00BF0619"/>
    <w:rsid w:val="00BF0C86"/>
    <w:rsid w:val="00BF1522"/>
    <w:rsid w:val="00BF1690"/>
    <w:rsid w:val="00BF2C41"/>
    <w:rsid w:val="00BF355F"/>
    <w:rsid w:val="00BF4A4E"/>
    <w:rsid w:val="00BF6424"/>
    <w:rsid w:val="00BF79D8"/>
    <w:rsid w:val="00C00244"/>
    <w:rsid w:val="00C0087F"/>
    <w:rsid w:val="00C00A1F"/>
    <w:rsid w:val="00C0241E"/>
    <w:rsid w:val="00C02749"/>
    <w:rsid w:val="00C02816"/>
    <w:rsid w:val="00C0291E"/>
    <w:rsid w:val="00C069CB"/>
    <w:rsid w:val="00C10502"/>
    <w:rsid w:val="00C10B26"/>
    <w:rsid w:val="00C10DDE"/>
    <w:rsid w:val="00C11C01"/>
    <w:rsid w:val="00C12BB4"/>
    <w:rsid w:val="00C12EB9"/>
    <w:rsid w:val="00C135A2"/>
    <w:rsid w:val="00C13AEE"/>
    <w:rsid w:val="00C13CCF"/>
    <w:rsid w:val="00C14947"/>
    <w:rsid w:val="00C173C4"/>
    <w:rsid w:val="00C17C01"/>
    <w:rsid w:val="00C200F2"/>
    <w:rsid w:val="00C20DDE"/>
    <w:rsid w:val="00C21866"/>
    <w:rsid w:val="00C231F7"/>
    <w:rsid w:val="00C253F5"/>
    <w:rsid w:val="00C25C75"/>
    <w:rsid w:val="00C25F86"/>
    <w:rsid w:val="00C26DD7"/>
    <w:rsid w:val="00C2777B"/>
    <w:rsid w:val="00C309BF"/>
    <w:rsid w:val="00C31B6A"/>
    <w:rsid w:val="00C31D7F"/>
    <w:rsid w:val="00C32338"/>
    <w:rsid w:val="00C3273B"/>
    <w:rsid w:val="00C32BA7"/>
    <w:rsid w:val="00C32E1C"/>
    <w:rsid w:val="00C336F3"/>
    <w:rsid w:val="00C3475C"/>
    <w:rsid w:val="00C353E3"/>
    <w:rsid w:val="00C41851"/>
    <w:rsid w:val="00C41936"/>
    <w:rsid w:val="00C42047"/>
    <w:rsid w:val="00C4216C"/>
    <w:rsid w:val="00C425C5"/>
    <w:rsid w:val="00C43882"/>
    <w:rsid w:val="00C43E68"/>
    <w:rsid w:val="00C44950"/>
    <w:rsid w:val="00C44A06"/>
    <w:rsid w:val="00C45513"/>
    <w:rsid w:val="00C457F5"/>
    <w:rsid w:val="00C46A34"/>
    <w:rsid w:val="00C47AFA"/>
    <w:rsid w:val="00C47B09"/>
    <w:rsid w:val="00C47BFB"/>
    <w:rsid w:val="00C47C09"/>
    <w:rsid w:val="00C51932"/>
    <w:rsid w:val="00C54538"/>
    <w:rsid w:val="00C56AD6"/>
    <w:rsid w:val="00C56C4A"/>
    <w:rsid w:val="00C56EE0"/>
    <w:rsid w:val="00C607D4"/>
    <w:rsid w:val="00C614C5"/>
    <w:rsid w:val="00C61945"/>
    <w:rsid w:val="00C635F7"/>
    <w:rsid w:val="00C63B16"/>
    <w:rsid w:val="00C64867"/>
    <w:rsid w:val="00C64903"/>
    <w:rsid w:val="00C6535F"/>
    <w:rsid w:val="00C65D69"/>
    <w:rsid w:val="00C66729"/>
    <w:rsid w:val="00C66897"/>
    <w:rsid w:val="00C67298"/>
    <w:rsid w:val="00C67896"/>
    <w:rsid w:val="00C67E3F"/>
    <w:rsid w:val="00C704F6"/>
    <w:rsid w:val="00C719DC"/>
    <w:rsid w:val="00C71EC0"/>
    <w:rsid w:val="00C7289E"/>
    <w:rsid w:val="00C7354C"/>
    <w:rsid w:val="00C73F83"/>
    <w:rsid w:val="00C74DE4"/>
    <w:rsid w:val="00C75ABA"/>
    <w:rsid w:val="00C7662D"/>
    <w:rsid w:val="00C775F1"/>
    <w:rsid w:val="00C77928"/>
    <w:rsid w:val="00C80353"/>
    <w:rsid w:val="00C80F21"/>
    <w:rsid w:val="00C81316"/>
    <w:rsid w:val="00C8228C"/>
    <w:rsid w:val="00C835D8"/>
    <w:rsid w:val="00C83C04"/>
    <w:rsid w:val="00C862A6"/>
    <w:rsid w:val="00C8634D"/>
    <w:rsid w:val="00C86C02"/>
    <w:rsid w:val="00C87270"/>
    <w:rsid w:val="00C8768D"/>
    <w:rsid w:val="00C91F74"/>
    <w:rsid w:val="00C92F56"/>
    <w:rsid w:val="00C93914"/>
    <w:rsid w:val="00C95443"/>
    <w:rsid w:val="00C972E0"/>
    <w:rsid w:val="00C97F51"/>
    <w:rsid w:val="00CA09C8"/>
    <w:rsid w:val="00CA0A31"/>
    <w:rsid w:val="00CA0F2E"/>
    <w:rsid w:val="00CA0F87"/>
    <w:rsid w:val="00CA11A8"/>
    <w:rsid w:val="00CA36F6"/>
    <w:rsid w:val="00CA3890"/>
    <w:rsid w:val="00CA45A6"/>
    <w:rsid w:val="00CA78A5"/>
    <w:rsid w:val="00CA7FBD"/>
    <w:rsid w:val="00CB151D"/>
    <w:rsid w:val="00CB2315"/>
    <w:rsid w:val="00CB4AD7"/>
    <w:rsid w:val="00CB4B29"/>
    <w:rsid w:val="00CB55B9"/>
    <w:rsid w:val="00CB58F6"/>
    <w:rsid w:val="00CB6522"/>
    <w:rsid w:val="00CB6A2E"/>
    <w:rsid w:val="00CB6D17"/>
    <w:rsid w:val="00CB707C"/>
    <w:rsid w:val="00CC069E"/>
    <w:rsid w:val="00CC06F7"/>
    <w:rsid w:val="00CC1069"/>
    <w:rsid w:val="00CC13E7"/>
    <w:rsid w:val="00CC1444"/>
    <w:rsid w:val="00CC1E2E"/>
    <w:rsid w:val="00CC241C"/>
    <w:rsid w:val="00CC353E"/>
    <w:rsid w:val="00CC451E"/>
    <w:rsid w:val="00CC4BD1"/>
    <w:rsid w:val="00CC4D17"/>
    <w:rsid w:val="00CC589B"/>
    <w:rsid w:val="00CC5D27"/>
    <w:rsid w:val="00CC6D01"/>
    <w:rsid w:val="00CC7B6C"/>
    <w:rsid w:val="00CD0321"/>
    <w:rsid w:val="00CD21A0"/>
    <w:rsid w:val="00CD2A79"/>
    <w:rsid w:val="00CD2B0B"/>
    <w:rsid w:val="00CD2FA5"/>
    <w:rsid w:val="00CD3480"/>
    <w:rsid w:val="00CD3C7C"/>
    <w:rsid w:val="00CD4329"/>
    <w:rsid w:val="00CD5179"/>
    <w:rsid w:val="00CD75DD"/>
    <w:rsid w:val="00CE109E"/>
    <w:rsid w:val="00CE1733"/>
    <w:rsid w:val="00CE32F2"/>
    <w:rsid w:val="00CE4725"/>
    <w:rsid w:val="00CE47BB"/>
    <w:rsid w:val="00CE4CD9"/>
    <w:rsid w:val="00CE4E20"/>
    <w:rsid w:val="00CE73B4"/>
    <w:rsid w:val="00CE782A"/>
    <w:rsid w:val="00CE79CF"/>
    <w:rsid w:val="00CF0779"/>
    <w:rsid w:val="00CF2704"/>
    <w:rsid w:val="00CF2B5F"/>
    <w:rsid w:val="00CF3B71"/>
    <w:rsid w:val="00CF442F"/>
    <w:rsid w:val="00CF4771"/>
    <w:rsid w:val="00CF53EB"/>
    <w:rsid w:val="00CF60AD"/>
    <w:rsid w:val="00CF62CF"/>
    <w:rsid w:val="00CF66CB"/>
    <w:rsid w:val="00CF6B5A"/>
    <w:rsid w:val="00CF6BDE"/>
    <w:rsid w:val="00CF7548"/>
    <w:rsid w:val="00D007A6"/>
    <w:rsid w:val="00D00DEF"/>
    <w:rsid w:val="00D00FD7"/>
    <w:rsid w:val="00D01220"/>
    <w:rsid w:val="00D01EA1"/>
    <w:rsid w:val="00D04CC7"/>
    <w:rsid w:val="00D06C73"/>
    <w:rsid w:val="00D07509"/>
    <w:rsid w:val="00D0785F"/>
    <w:rsid w:val="00D1013B"/>
    <w:rsid w:val="00D10342"/>
    <w:rsid w:val="00D10D0D"/>
    <w:rsid w:val="00D113D0"/>
    <w:rsid w:val="00D11BB2"/>
    <w:rsid w:val="00D1307C"/>
    <w:rsid w:val="00D15F79"/>
    <w:rsid w:val="00D16E17"/>
    <w:rsid w:val="00D17E6E"/>
    <w:rsid w:val="00D23AEB"/>
    <w:rsid w:val="00D23BE9"/>
    <w:rsid w:val="00D244E1"/>
    <w:rsid w:val="00D249F1"/>
    <w:rsid w:val="00D2500D"/>
    <w:rsid w:val="00D2601D"/>
    <w:rsid w:val="00D320C7"/>
    <w:rsid w:val="00D32B22"/>
    <w:rsid w:val="00D34160"/>
    <w:rsid w:val="00D34E3B"/>
    <w:rsid w:val="00D35B5E"/>
    <w:rsid w:val="00D37DFD"/>
    <w:rsid w:val="00D41110"/>
    <w:rsid w:val="00D442E4"/>
    <w:rsid w:val="00D44629"/>
    <w:rsid w:val="00D46E16"/>
    <w:rsid w:val="00D4728E"/>
    <w:rsid w:val="00D4736A"/>
    <w:rsid w:val="00D50660"/>
    <w:rsid w:val="00D51CAF"/>
    <w:rsid w:val="00D52B94"/>
    <w:rsid w:val="00D54D56"/>
    <w:rsid w:val="00D57F4B"/>
    <w:rsid w:val="00D60172"/>
    <w:rsid w:val="00D60BF6"/>
    <w:rsid w:val="00D63E05"/>
    <w:rsid w:val="00D64901"/>
    <w:rsid w:val="00D64C6E"/>
    <w:rsid w:val="00D64F5D"/>
    <w:rsid w:val="00D6504A"/>
    <w:rsid w:val="00D65E9D"/>
    <w:rsid w:val="00D67082"/>
    <w:rsid w:val="00D6792E"/>
    <w:rsid w:val="00D70BAD"/>
    <w:rsid w:val="00D7194D"/>
    <w:rsid w:val="00D723BC"/>
    <w:rsid w:val="00D72882"/>
    <w:rsid w:val="00D72BF6"/>
    <w:rsid w:val="00D74187"/>
    <w:rsid w:val="00D742EF"/>
    <w:rsid w:val="00D75D97"/>
    <w:rsid w:val="00D8009F"/>
    <w:rsid w:val="00D8017D"/>
    <w:rsid w:val="00D80635"/>
    <w:rsid w:val="00D80A45"/>
    <w:rsid w:val="00D8102C"/>
    <w:rsid w:val="00D811C1"/>
    <w:rsid w:val="00D81BEF"/>
    <w:rsid w:val="00D83DAF"/>
    <w:rsid w:val="00D84207"/>
    <w:rsid w:val="00D85C3B"/>
    <w:rsid w:val="00D85CD6"/>
    <w:rsid w:val="00D868F1"/>
    <w:rsid w:val="00D86AFB"/>
    <w:rsid w:val="00D90CAD"/>
    <w:rsid w:val="00D90E42"/>
    <w:rsid w:val="00D90EA6"/>
    <w:rsid w:val="00D9298C"/>
    <w:rsid w:val="00D93DC5"/>
    <w:rsid w:val="00D946FF"/>
    <w:rsid w:val="00D9527A"/>
    <w:rsid w:val="00D954F6"/>
    <w:rsid w:val="00D95C1D"/>
    <w:rsid w:val="00D95FAB"/>
    <w:rsid w:val="00D9624D"/>
    <w:rsid w:val="00D96705"/>
    <w:rsid w:val="00D97659"/>
    <w:rsid w:val="00DA008B"/>
    <w:rsid w:val="00DA165A"/>
    <w:rsid w:val="00DA1E3F"/>
    <w:rsid w:val="00DA235C"/>
    <w:rsid w:val="00DA50C7"/>
    <w:rsid w:val="00DA63BB"/>
    <w:rsid w:val="00DA6D88"/>
    <w:rsid w:val="00DA778A"/>
    <w:rsid w:val="00DA7AA1"/>
    <w:rsid w:val="00DA7D76"/>
    <w:rsid w:val="00DA7DBE"/>
    <w:rsid w:val="00DA7FAA"/>
    <w:rsid w:val="00DA7FF0"/>
    <w:rsid w:val="00DB0615"/>
    <w:rsid w:val="00DB0828"/>
    <w:rsid w:val="00DB1397"/>
    <w:rsid w:val="00DB1B0B"/>
    <w:rsid w:val="00DB31C8"/>
    <w:rsid w:val="00DB3720"/>
    <w:rsid w:val="00DB3FB7"/>
    <w:rsid w:val="00DB488A"/>
    <w:rsid w:val="00DB52CD"/>
    <w:rsid w:val="00DB5448"/>
    <w:rsid w:val="00DB5875"/>
    <w:rsid w:val="00DB58BE"/>
    <w:rsid w:val="00DB665F"/>
    <w:rsid w:val="00DB6C4B"/>
    <w:rsid w:val="00DB6D28"/>
    <w:rsid w:val="00DB78BB"/>
    <w:rsid w:val="00DC0D2F"/>
    <w:rsid w:val="00DC1A45"/>
    <w:rsid w:val="00DC1D7A"/>
    <w:rsid w:val="00DC32E7"/>
    <w:rsid w:val="00DC39AE"/>
    <w:rsid w:val="00DC4A83"/>
    <w:rsid w:val="00DC515B"/>
    <w:rsid w:val="00DC7303"/>
    <w:rsid w:val="00DC7318"/>
    <w:rsid w:val="00DD0287"/>
    <w:rsid w:val="00DD0BE3"/>
    <w:rsid w:val="00DD137F"/>
    <w:rsid w:val="00DD1A2C"/>
    <w:rsid w:val="00DD1EBE"/>
    <w:rsid w:val="00DD2808"/>
    <w:rsid w:val="00DD33A3"/>
    <w:rsid w:val="00DD39AC"/>
    <w:rsid w:val="00DD4526"/>
    <w:rsid w:val="00DD525F"/>
    <w:rsid w:val="00DD54BE"/>
    <w:rsid w:val="00DD560A"/>
    <w:rsid w:val="00DD7F92"/>
    <w:rsid w:val="00DE0419"/>
    <w:rsid w:val="00DE0989"/>
    <w:rsid w:val="00DE1257"/>
    <w:rsid w:val="00DE150C"/>
    <w:rsid w:val="00DE273C"/>
    <w:rsid w:val="00DE3CC8"/>
    <w:rsid w:val="00DE40B7"/>
    <w:rsid w:val="00DE435B"/>
    <w:rsid w:val="00DE444F"/>
    <w:rsid w:val="00DE50B0"/>
    <w:rsid w:val="00DE5326"/>
    <w:rsid w:val="00DE5A68"/>
    <w:rsid w:val="00DE5DC1"/>
    <w:rsid w:val="00DE65C1"/>
    <w:rsid w:val="00DE66D8"/>
    <w:rsid w:val="00DE6B8C"/>
    <w:rsid w:val="00DF14F1"/>
    <w:rsid w:val="00DF15C9"/>
    <w:rsid w:val="00DF1DFA"/>
    <w:rsid w:val="00DF1FC6"/>
    <w:rsid w:val="00DF2D18"/>
    <w:rsid w:val="00DF31BA"/>
    <w:rsid w:val="00DF3284"/>
    <w:rsid w:val="00DF3294"/>
    <w:rsid w:val="00DF3F15"/>
    <w:rsid w:val="00DF4346"/>
    <w:rsid w:val="00DF4ECB"/>
    <w:rsid w:val="00DF60A7"/>
    <w:rsid w:val="00DF6CA9"/>
    <w:rsid w:val="00E00306"/>
    <w:rsid w:val="00E01BFE"/>
    <w:rsid w:val="00E02DF6"/>
    <w:rsid w:val="00E0488D"/>
    <w:rsid w:val="00E06E95"/>
    <w:rsid w:val="00E104FC"/>
    <w:rsid w:val="00E10E9B"/>
    <w:rsid w:val="00E139C7"/>
    <w:rsid w:val="00E14A0E"/>
    <w:rsid w:val="00E14B87"/>
    <w:rsid w:val="00E15654"/>
    <w:rsid w:val="00E15FF4"/>
    <w:rsid w:val="00E16B91"/>
    <w:rsid w:val="00E16E19"/>
    <w:rsid w:val="00E200DB"/>
    <w:rsid w:val="00E203F9"/>
    <w:rsid w:val="00E223B6"/>
    <w:rsid w:val="00E224B1"/>
    <w:rsid w:val="00E22665"/>
    <w:rsid w:val="00E2267B"/>
    <w:rsid w:val="00E22FC4"/>
    <w:rsid w:val="00E23D0B"/>
    <w:rsid w:val="00E25402"/>
    <w:rsid w:val="00E25758"/>
    <w:rsid w:val="00E277A0"/>
    <w:rsid w:val="00E30A1B"/>
    <w:rsid w:val="00E320EB"/>
    <w:rsid w:val="00E32D88"/>
    <w:rsid w:val="00E33E36"/>
    <w:rsid w:val="00E341C3"/>
    <w:rsid w:val="00E34CF8"/>
    <w:rsid w:val="00E34EBD"/>
    <w:rsid w:val="00E354C5"/>
    <w:rsid w:val="00E3606F"/>
    <w:rsid w:val="00E36E6A"/>
    <w:rsid w:val="00E37596"/>
    <w:rsid w:val="00E40723"/>
    <w:rsid w:val="00E40D35"/>
    <w:rsid w:val="00E40FA2"/>
    <w:rsid w:val="00E43DE3"/>
    <w:rsid w:val="00E442ED"/>
    <w:rsid w:val="00E445D8"/>
    <w:rsid w:val="00E44801"/>
    <w:rsid w:val="00E45349"/>
    <w:rsid w:val="00E471B4"/>
    <w:rsid w:val="00E52A2F"/>
    <w:rsid w:val="00E534F9"/>
    <w:rsid w:val="00E539C0"/>
    <w:rsid w:val="00E53B77"/>
    <w:rsid w:val="00E54FCC"/>
    <w:rsid w:val="00E54FD5"/>
    <w:rsid w:val="00E553FC"/>
    <w:rsid w:val="00E55934"/>
    <w:rsid w:val="00E55994"/>
    <w:rsid w:val="00E5619D"/>
    <w:rsid w:val="00E568E4"/>
    <w:rsid w:val="00E56CCD"/>
    <w:rsid w:val="00E57DB9"/>
    <w:rsid w:val="00E57E21"/>
    <w:rsid w:val="00E61BB9"/>
    <w:rsid w:val="00E6253B"/>
    <w:rsid w:val="00E6299F"/>
    <w:rsid w:val="00E630D9"/>
    <w:rsid w:val="00E63655"/>
    <w:rsid w:val="00E638AA"/>
    <w:rsid w:val="00E638F7"/>
    <w:rsid w:val="00E63F86"/>
    <w:rsid w:val="00E64E18"/>
    <w:rsid w:val="00E651FD"/>
    <w:rsid w:val="00E666B2"/>
    <w:rsid w:val="00E67547"/>
    <w:rsid w:val="00E70E96"/>
    <w:rsid w:val="00E7199C"/>
    <w:rsid w:val="00E71B9E"/>
    <w:rsid w:val="00E7201C"/>
    <w:rsid w:val="00E726D0"/>
    <w:rsid w:val="00E73819"/>
    <w:rsid w:val="00E73FC1"/>
    <w:rsid w:val="00E74311"/>
    <w:rsid w:val="00E74A30"/>
    <w:rsid w:val="00E74FD6"/>
    <w:rsid w:val="00E75B14"/>
    <w:rsid w:val="00E76DF1"/>
    <w:rsid w:val="00E77FB2"/>
    <w:rsid w:val="00E80203"/>
    <w:rsid w:val="00E822F0"/>
    <w:rsid w:val="00E82AAB"/>
    <w:rsid w:val="00E82CD6"/>
    <w:rsid w:val="00E83A97"/>
    <w:rsid w:val="00E83D34"/>
    <w:rsid w:val="00E83E31"/>
    <w:rsid w:val="00E8455E"/>
    <w:rsid w:val="00E85BF0"/>
    <w:rsid w:val="00E85C9F"/>
    <w:rsid w:val="00E86192"/>
    <w:rsid w:val="00E86876"/>
    <w:rsid w:val="00E87456"/>
    <w:rsid w:val="00E904FB"/>
    <w:rsid w:val="00E91293"/>
    <w:rsid w:val="00E9203F"/>
    <w:rsid w:val="00E923D2"/>
    <w:rsid w:val="00E928C3"/>
    <w:rsid w:val="00E92C90"/>
    <w:rsid w:val="00E93369"/>
    <w:rsid w:val="00E93E7C"/>
    <w:rsid w:val="00E95DE1"/>
    <w:rsid w:val="00E96912"/>
    <w:rsid w:val="00E96F3F"/>
    <w:rsid w:val="00E9763A"/>
    <w:rsid w:val="00E977F1"/>
    <w:rsid w:val="00EA0438"/>
    <w:rsid w:val="00EA0BE9"/>
    <w:rsid w:val="00EA2725"/>
    <w:rsid w:val="00EA35C7"/>
    <w:rsid w:val="00EA36A0"/>
    <w:rsid w:val="00EA5463"/>
    <w:rsid w:val="00EA54C9"/>
    <w:rsid w:val="00EA5F0C"/>
    <w:rsid w:val="00EA6584"/>
    <w:rsid w:val="00EA7122"/>
    <w:rsid w:val="00EA71D5"/>
    <w:rsid w:val="00EA77B3"/>
    <w:rsid w:val="00EB0CB9"/>
    <w:rsid w:val="00EB3F83"/>
    <w:rsid w:val="00EB478B"/>
    <w:rsid w:val="00EB4C12"/>
    <w:rsid w:val="00EB5747"/>
    <w:rsid w:val="00EB6215"/>
    <w:rsid w:val="00EB7915"/>
    <w:rsid w:val="00EC13EB"/>
    <w:rsid w:val="00EC18E2"/>
    <w:rsid w:val="00EC1AD1"/>
    <w:rsid w:val="00EC1C9D"/>
    <w:rsid w:val="00EC2BB4"/>
    <w:rsid w:val="00EC31E0"/>
    <w:rsid w:val="00EC3275"/>
    <w:rsid w:val="00EC342A"/>
    <w:rsid w:val="00EC37F5"/>
    <w:rsid w:val="00EC78E5"/>
    <w:rsid w:val="00ED2305"/>
    <w:rsid w:val="00ED3EC0"/>
    <w:rsid w:val="00ED48C1"/>
    <w:rsid w:val="00ED4F17"/>
    <w:rsid w:val="00ED63BE"/>
    <w:rsid w:val="00ED69DE"/>
    <w:rsid w:val="00ED7FE5"/>
    <w:rsid w:val="00EE58E4"/>
    <w:rsid w:val="00EE597B"/>
    <w:rsid w:val="00EE6F4B"/>
    <w:rsid w:val="00EF0356"/>
    <w:rsid w:val="00EF0FDC"/>
    <w:rsid w:val="00EF19C3"/>
    <w:rsid w:val="00EF1ED4"/>
    <w:rsid w:val="00EF221D"/>
    <w:rsid w:val="00EF3078"/>
    <w:rsid w:val="00EF30CB"/>
    <w:rsid w:val="00EF591B"/>
    <w:rsid w:val="00EF6451"/>
    <w:rsid w:val="00EF6479"/>
    <w:rsid w:val="00EF68BE"/>
    <w:rsid w:val="00EF71C8"/>
    <w:rsid w:val="00EF735C"/>
    <w:rsid w:val="00F00196"/>
    <w:rsid w:val="00F00B0B"/>
    <w:rsid w:val="00F01422"/>
    <w:rsid w:val="00F01A30"/>
    <w:rsid w:val="00F02325"/>
    <w:rsid w:val="00F02CB7"/>
    <w:rsid w:val="00F02D9F"/>
    <w:rsid w:val="00F02DA8"/>
    <w:rsid w:val="00F03450"/>
    <w:rsid w:val="00F04550"/>
    <w:rsid w:val="00F05183"/>
    <w:rsid w:val="00F055AB"/>
    <w:rsid w:val="00F05E1C"/>
    <w:rsid w:val="00F103B9"/>
    <w:rsid w:val="00F11EF7"/>
    <w:rsid w:val="00F11FE6"/>
    <w:rsid w:val="00F12338"/>
    <w:rsid w:val="00F1566C"/>
    <w:rsid w:val="00F159C0"/>
    <w:rsid w:val="00F15C6F"/>
    <w:rsid w:val="00F15F88"/>
    <w:rsid w:val="00F1618F"/>
    <w:rsid w:val="00F1634E"/>
    <w:rsid w:val="00F16571"/>
    <w:rsid w:val="00F21187"/>
    <w:rsid w:val="00F212E5"/>
    <w:rsid w:val="00F212F2"/>
    <w:rsid w:val="00F220C1"/>
    <w:rsid w:val="00F22B05"/>
    <w:rsid w:val="00F22E6D"/>
    <w:rsid w:val="00F23121"/>
    <w:rsid w:val="00F23167"/>
    <w:rsid w:val="00F23B2F"/>
    <w:rsid w:val="00F23C69"/>
    <w:rsid w:val="00F244DB"/>
    <w:rsid w:val="00F24E59"/>
    <w:rsid w:val="00F2681A"/>
    <w:rsid w:val="00F27282"/>
    <w:rsid w:val="00F27723"/>
    <w:rsid w:val="00F30367"/>
    <w:rsid w:val="00F30CAF"/>
    <w:rsid w:val="00F31C9A"/>
    <w:rsid w:val="00F324DA"/>
    <w:rsid w:val="00F326A8"/>
    <w:rsid w:val="00F33AFE"/>
    <w:rsid w:val="00F34418"/>
    <w:rsid w:val="00F34E08"/>
    <w:rsid w:val="00F34EA5"/>
    <w:rsid w:val="00F3573A"/>
    <w:rsid w:val="00F369A6"/>
    <w:rsid w:val="00F41573"/>
    <w:rsid w:val="00F41CD0"/>
    <w:rsid w:val="00F41E5C"/>
    <w:rsid w:val="00F424BD"/>
    <w:rsid w:val="00F42C0B"/>
    <w:rsid w:val="00F42C88"/>
    <w:rsid w:val="00F43A57"/>
    <w:rsid w:val="00F44529"/>
    <w:rsid w:val="00F45704"/>
    <w:rsid w:val="00F457D2"/>
    <w:rsid w:val="00F46F83"/>
    <w:rsid w:val="00F47D53"/>
    <w:rsid w:val="00F5186E"/>
    <w:rsid w:val="00F51C84"/>
    <w:rsid w:val="00F52270"/>
    <w:rsid w:val="00F524EE"/>
    <w:rsid w:val="00F52FF8"/>
    <w:rsid w:val="00F532E5"/>
    <w:rsid w:val="00F5498A"/>
    <w:rsid w:val="00F566B0"/>
    <w:rsid w:val="00F573CB"/>
    <w:rsid w:val="00F575D3"/>
    <w:rsid w:val="00F61534"/>
    <w:rsid w:val="00F61D1E"/>
    <w:rsid w:val="00F61E97"/>
    <w:rsid w:val="00F632AF"/>
    <w:rsid w:val="00F6466E"/>
    <w:rsid w:val="00F6599F"/>
    <w:rsid w:val="00F65D6B"/>
    <w:rsid w:val="00F668F0"/>
    <w:rsid w:val="00F6760E"/>
    <w:rsid w:val="00F67DCD"/>
    <w:rsid w:val="00F7090D"/>
    <w:rsid w:val="00F716FA"/>
    <w:rsid w:val="00F71A34"/>
    <w:rsid w:val="00F71C3F"/>
    <w:rsid w:val="00F72266"/>
    <w:rsid w:val="00F72A5D"/>
    <w:rsid w:val="00F743C3"/>
    <w:rsid w:val="00F75201"/>
    <w:rsid w:val="00F7593E"/>
    <w:rsid w:val="00F75BC5"/>
    <w:rsid w:val="00F76823"/>
    <w:rsid w:val="00F76F47"/>
    <w:rsid w:val="00F8067A"/>
    <w:rsid w:val="00F80926"/>
    <w:rsid w:val="00F819B2"/>
    <w:rsid w:val="00F81EF4"/>
    <w:rsid w:val="00F825DD"/>
    <w:rsid w:val="00F82C77"/>
    <w:rsid w:val="00F835E3"/>
    <w:rsid w:val="00F83BA1"/>
    <w:rsid w:val="00F84611"/>
    <w:rsid w:val="00F84659"/>
    <w:rsid w:val="00F85BAA"/>
    <w:rsid w:val="00F901CD"/>
    <w:rsid w:val="00F90A31"/>
    <w:rsid w:val="00F91C04"/>
    <w:rsid w:val="00F93964"/>
    <w:rsid w:val="00F9426E"/>
    <w:rsid w:val="00F9457B"/>
    <w:rsid w:val="00F94B1B"/>
    <w:rsid w:val="00F94C87"/>
    <w:rsid w:val="00F94DD6"/>
    <w:rsid w:val="00F951BC"/>
    <w:rsid w:val="00F9522A"/>
    <w:rsid w:val="00F95246"/>
    <w:rsid w:val="00F9661C"/>
    <w:rsid w:val="00FA079E"/>
    <w:rsid w:val="00FA10D5"/>
    <w:rsid w:val="00FA1FB0"/>
    <w:rsid w:val="00FA3DFB"/>
    <w:rsid w:val="00FA6202"/>
    <w:rsid w:val="00FA685D"/>
    <w:rsid w:val="00FB06DA"/>
    <w:rsid w:val="00FB14B5"/>
    <w:rsid w:val="00FB2ADB"/>
    <w:rsid w:val="00FB3611"/>
    <w:rsid w:val="00FB374D"/>
    <w:rsid w:val="00FB3E61"/>
    <w:rsid w:val="00FB4F8B"/>
    <w:rsid w:val="00FB5D90"/>
    <w:rsid w:val="00FB6250"/>
    <w:rsid w:val="00FB769F"/>
    <w:rsid w:val="00FB76A8"/>
    <w:rsid w:val="00FB7CCD"/>
    <w:rsid w:val="00FB7F79"/>
    <w:rsid w:val="00FC026C"/>
    <w:rsid w:val="00FC304B"/>
    <w:rsid w:val="00FC3CEC"/>
    <w:rsid w:val="00FC5262"/>
    <w:rsid w:val="00FC5866"/>
    <w:rsid w:val="00FC5F67"/>
    <w:rsid w:val="00FC612B"/>
    <w:rsid w:val="00FC62AF"/>
    <w:rsid w:val="00FC6424"/>
    <w:rsid w:val="00FC6C27"/>
    <w:rsid w:val="00FD0B76"/>
    <w:rsid w:val="00FD127F"/>
    <w:rsid w:val="00FD1D30"/>
    <w:rsid w:val="00FD2771"/>
    <w:rsid w:val="00FD278A"/>
    <w:rsid w:val="00FD2801"/>
    <w:rsid w:val="00FD3051"/>
    <w:rsid w:val="00FD42E2"/>
    <w:rsid w:val="00FD44E4"/>
    <w:rsid w:val="00FD54BB"/>
    <w:rsid w:val="00FD55F6"/>
    <w:rsid w:val="00FD6118"/>
    <w:rsid w:val="00FD6E6E"/>
    <w:rsid w:val="00FD7E71"/>
    <w:rsid w:val="00FE04F6"/>
    <w:rsid w:val="00FE0C8F"/>
    <w:rsid w:val="00FE169D"/>
    <w:rsid w:val="00FE173B"/>
    <w:rsid w:val="00FE2D6E"/>
    <w:rsid w:val="00FE34EE"/>
    <w:rsid w:val="00FE3D75"/>
    <w:rsid w:val="00FE487B"/>
    <w:rsid w:val="00FE4901"/>
    <w:rsid w:val="00FE54D3"/>
    <w:rsid w:val="00FE5DD0"/>
    <w:rsid w:val="00FF06A6"/>
    <w:rsid w:val="00FF0E9B"/>
    <w:rsid w:val="00FF1940"/>
    <w:rsid w:val="00FF2084"/>
    <w:rsid w:val="00FF490E"/>
    <w:rsid w:val="00FF4ADB"/>
    <w:rsid w:val="00FF70FE"/>
    <w:rsid w:val="00FF7405"/>
    <w:rsid w:val="00FF7EC4"/>
    <w:rsid w:val="010FC041"/>
    <w:rsid w:val="018F12B4"/>
    <w:rsid w:val="03E2ABF1"/>
    <w:rsid w:val="04DDC2AE"/>
    <w:rsid w:val="08F2F23F"/>
    <w:rsid w:val="0904C570"/>
    <w:rsid w:val="0AC63981"/>
    <w:rsid w:val="0B4ADD20"/>
    <w:rsid w:val="0D660E04"/>
    <w:rsid w:val="0DB7490D"/>
    <w:rsid w:val="0F8280EB"/>
    <w:rsid w:val="15C31AE8"/>
    <w:rsid w:val="16EC0580"/>
    <w:rsid w:val="18C1829B"/>
    <w:rsid w:val="192EA7F6"/>
    <w:rsid w:val="1F85498A"/>
    <w:rsid w:val="216F7DCD"/>
    <w:rsid w:val="29CE77D1"/>
    <w:rsid w:val="2BB54B51"/>
    <w:rsid w:val="2D61BF51"/>
    <w:rsid w:val="2E6A47D9"/>
    <w:rsid w:val="2E77748F"/>
    <w:rsid w:val="2F52758C"/>
    <w:rsid w:val="2FDC5B02"/>
    <w:rsid w:val="3166CE51"/>
    <w:rsid w:val="31AA6C9E"/>
    <w:rsid w:val="34DBD73F"/>
    <w:rsid w:val="383ABD67"/>
    <w:rsid w:val="3C069E89"/>
    <w:rsid w:val="3C8685B4"/>
    <w:rsid w:val="3D5FECA4"/>
    <w:rsid w:val="3FE870D4"/>
    <w:rsid w:val="402CF800"/>
    <w:rsid w:val="4054318A"/>
    <w:rsid w:val="40680A01"/>
    <w:rsid w:val="4159B73D"/>
    <w:rsid w:val="436A7472"/>
    <w:rsid w:val="4D993469"/>
    <w:rsid w:val="4E29F7D1"/>
    <w:rsid w:val="4FBD7605"/>
    <w:rsid w:val="4FC5C832"/>
    <w:rsid w:val="50FA20FE"/>
    <w:rsid w:val="534C0D95"/>
    <w:rsid w:val="54002491"/>
    <w:rsid w:val="59435508"/>
    <w:rsid w:val="5A2DD922"/>
    <w:rsid w:val="5CE24D16"/>
    <w:rsid w:val="5D84CC1A"/>
    <w:rsid w:val="5F690A67"/>
    <w:rsid w:val="64D58256"/>
    <w:rsid w:val="64DB520F"/>
    <w:rsid w:val="65A342DE"/>
    <w:rsid w:val="65BD54BB"/>
    <w:rsid w:val="67124CDF"/>
    <w:rsid w:val="6FC931AD"/>
    <w:rsid w:val="70590A42"/>
    <w:rsid w:val="715939F3"/>
    <w:rsid w:val="716C6292"/>
    <w:rsid w:val="7222D7DD"/>
    <w:rsid w:val="725F3BF9"/>
    <w:rsid w:val="733EBA5C"/>
    <w:rsid w:val="75C24205"/>
    <w:rsid w:val="77E7AE0F"/>
    <w:rsid w:val="78B20421"/>
    <w:rsid w:val="78D2739E"/>
    <w:rsid w:val="79B4CD26"/>
    <w:rsid w:val="7A11EE48"/>
    <w:rsid w:val="7E325981"/>
    <w:rsid w:val="7F4BB159"/>
    <w:rsid w:val="7F4EEB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449951"/>
  <w15:chartTrackingRefBased/>
  <w15:docId w15:val="{D1C4D51F-1DB0-4816-9286-AD86B8917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718"/>
    <w:pPr>
      <w:spacing w:line="288" w:lineRule="auto"/>
    </w:pPr>
    <w:rPr>
      <w:rFonts w:ascii="Verdana" w:eastAsiaTheme="minorEastAsia" w:hAnsi="Verdana" w:cstheme="minorBidi"/>
      <w:sz w:val="24"/>
      <w:szCs w:val="24"/>
    </w:rPr>
  </w:style>
  <w:style w:type="paragraph" w:styleId="Heading1">
    <w:name w:val="heading 1"/>
    <w:basedOn w:val="Normal"/>
    <w:next w:val="Normal"/>
    <w:link w:val="Heading1Char"/>
    <w:uiPriority w:val="9"/>
    <w:qFormat/>
    <w:rsid w:val="00086959"/>
    <w:pPr>
      <w:keepNext/>
      <w:keepLines/>
      <w:numPr>
        <w:numId w:val="9"/>
      </w:numPr>
      <w:spacing w:before="240" w:after="240"/>
      <w:outlineLvl w:val="0"/>
    </w:pPr>
    <w:rPr>
      <w:rFonts w:eastAsiaTheme="majorEastAsia" w:cstheme="majorBidi"/>
      <w:b/>
      <w:color w:val="77328A"/>
      <w:sz w:val="32"/>
      <w:szCs w:val="32"/>
    </w:rPr>
  </w:style>
  <w:style w:type="paragraph" w:styleId="Heading2">
    <w:name w:val="heading 2"/>
    <w:basedOn w:val="Normal"/>
    <w:next w:val="Normal"/>
    <w:link w:val="Heading2Char"/>
    <w:uiPriority w:val="9"/>
    <w:unhideWhenUsed/>
    <w:qFormat/>
    <w:rsid w:val="00866131"/>
    <w:pPr>
      <w:keepNext/>
      <w:keepLines/>
      <w:spacing w:before="40" w:line="360" w:lineRule="auto"/>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E32D88"/>
    <w:pPr>
      <w:spacing w:after="240"/>
      <w:ind w:left="-11"/>
      <w:outlineLvl w:val="2"/>
    </w:pPr>
    <w:rPr>
      <w:i/>
      <w:iCs/>
    </w:rPr>
  </w:style>
  <w:style w:type="paragraph" w:styleId="Heading4">
    <w:name w:val="heading 4"/>
    <w:basedOn w:val="Normal"/>
    <w:next w:val="Normal"/>
    <w:link w:val="Heading4Char"/>
    <w:uiPriority w:val="9"/>
    <w:unhideWhenUsed/>
    <w:qFormat/>
    <w:rsid w:val="006B481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66131"/>
    <w:rPr>
      <w:rFonts w:ascii="Verdana" w:eastAsiaTheme="majorEastAsia" w:hAnsi="Verdana" w:cstheme="majorBidi"/>
      <w:b/>
      <w:sz w:val="24"/>
      <w:szCs w:val="26"/>
    </w:rPr>
  </w:style>
  <w:style w:type="paragraph" w:customStyle="1" w:styleId="NIHRCFootnotes">
    <w:name w:val="NIHRC Footnotes"/>
    <w:basedOn w:val="Normal"/>
    <w:qFormat/>
    <w:rsid w:val="00AF4682"/>
    <w:pPr>
      <w:tabs>
        <w:tab w:val="left" w:pos="284"/>
      </w:tabs>
      <w:spacing w:line="240" w:lineRule="auto"/>
    </w:pPr>
    <w:rPr>
      <w:rFonts w:cs="Arial"/>
      <w:color w:val="77328A"/>
      <w:sz w:val="16"/>
      <w:szCs w:val="16"/>
    </w:rPr>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L"/>
    <w:basedOn w:val="BasicParagraph"/>
    <w:link w:val="ListParagraphChar"/>
    <w:uiPriority w:val="34"/>
    <w:qFormat/>
    <w:rsid w:val="00E32D88"/>
    <w:pPr>
      <w:numPr>
        <w:ilvl w:val="1"/>
        <w:numId w:val="9"/>
      </w:numPr>
      <w:suppressAutoHyphens/>
      <w:ind w:left="720"/>
      <w:jc w:val="left"/>
    </w:pPr>
    <w:rPr>
      <w:rFonts w:ascii="Verdana" w:hAnsi="Verdana"/>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L Char"/>
    <w:link w:val="ListParagraph"/>
    <w:uiPriority w:val="34"/>
    <w:qFormat/>
    <w:locked/>
    <w:rsid w:val="00E32D88"/>
    <w:rPr>
      <w:rFonts w:ascii="Verdana" w:eastAsiaTheme="minorEastAsia" w:hAnsi="Verdana" w:cs="MinionPro-Regular"/>
      <w:color w:val="000000"/>
      <w:sz w:val="24"/>
      <w:szCs w:val="24"/>
    </w:rPr>
  </w:style>
  <w:style w:type="character" w:customStyle="1" w:styleId="normaltextrun">
    <w:name w:val="normaltextrun"/>
    <w:basedOn w:val="DefaultParagraphFont"/>
    <w:rsid w:val="003F60F5"/>
  </w:style>
  <w:style w:type="paragraph" w:customStyle="1" w:styleId="paragraph">
    <w:name w:val="paragraph"/>
    <w:basedOn w:val="Normal"/>
    <w:rsid w:val="003F60F5"/>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3F60F5"/>
    <w:rPr>
      <w:color w:val="0563C1" w:themeColor="hyperlink"/>
      <w:u w:val="single"/>
    </w:rPr>
  </w:style>
  <w:style w:type="paragraph" w:styleId="EndnoteText">
    <w:name w:val="endnote text"/>
    <w:basedOn w:val="Normal"/>
    <w:link w:val="EndnoteTextChar"/>
    <w:uiPriority w:val="99"/>
    <w:semiHidden/>
    <w:unhideWhenUsed/>
    <w:rsid w:val="003F60F5"/>
    <w:rPr>
      <w:sz w:val="20"/>
      <w:szCs w:val="20"/>
    </w:rPr>
  </w:style>
  <w:style w:type="character" w:customStyle="1" w:styleId="EndnoteTextChar">
    <w:name w:val="Endnote Text Char"/>
    <w:basedOn w:val="DefaultParagraphFont"/>
    <w:link w:val="EndnoteText"/>
    <w:uiPriority w:val="99"/>
    <w:semiHidden/>
    <w:rsid w:val="003F60F5"/>
    <w:rPr>
      <w:rFonts w:ascii="Verdana" w:eastAsiaTheme="minorEastAsia" w:hAnsi="Verdana" w:cstheme="minorBidi"/>
    </w:rPr>
  </w:style>
  <w:style w:type="character" w:styleId="EndnoteReference">
    <w:name w:val="endnote reference"/>
    <w:basedOn w:val="DefaultParagraphFont"/>
    <w:uiPriority w:val="99"/>
    <w:semiHidden/>
    <w:unhideWhenUsed/>
    <w:rsid w:val="003F60F5"/>
    <w:rPr>
      <w:vertAlign w:val="superscript"/>
    </w:rPr>
  </w:style>
  <w:style w:type="paragraph" w:styleId="FootnoteText">
    <w:name w:val="footnote text"/>
    <w:aliases w:val="5_G,Footnote Text Char1,Footnote Text Char Char,Footnote Text1,Footnote Text Char1 Char Char,Footnote Text Char Char Char Char,Footnote Text Char1 Char Char1 Char Char,Footnote Text Char Char Char Char1 Char Char,Char,Footnote Quot, Char,f"/>
    <w:basedOn w:val="Normal"/>
    <w:link w:val="FootnoteTextChar"/>
    <w:uiPriority w:val="99"/>
    <w:unhideWhenUsed/>
    <w:qFormat/>
    <w:rsid w:val="002779D1"/>
    <w:rPr>
      <w:sz w:val="20"/>
      <w:szCs w:val="20"/>
    </w:rPr>
  </w:style>
  <w:style w:type="character" w:customStyle="1" w:styleId="FootnoteTextChar">
    <w:name w:val="Footnote Text Char"/>
    <w:aliases w:val="5_G Char,Footnote Text Char1 Char,Footnote Text Char Char Char,Footnote Text1 Char,Footnote Text Char1 Char Char Char,Footnote Text Char Char Char Char Char,Footnote Text Char1 Char Char1 Char Char Char,Char Char,Footnote Quot Char"/>
    <w:basedOn w:val="DefaultParagraphFont"/>
    <w:link w:val="FootnoteText"/>
    <w:uiPriority w:val="99"/>
    <w:rsid w:val="002779D1"/>
    <w:rPr>
      <w:rFonts w:ascii="Verdana" w:eastAsiaTheme="minorEastAsia" w:hAnsi="Verdana" w:cstheme="minorBidi"/>
    </w:rPr>
  </w:style>
  <w:style w:type="character" w:styleId="FootnoteReference">
    <w:name w:val="footnote reference"/>
    <w:aliases w:val="Footnotes refss,Odwołanie przypisu,Footnote symbol,Footnote Reference Number,Appel note de bas de p,Appel note de bas de p + (Asian) Batang,Black,(NECG) Footnote Reference,Nota,Footnote Refernece,Footnote Refernece + (Latein) Arial,4"/>
    <w:basedOn w:val="DefaultParagraphFont"/>
    <w:link w:val="4GChar"/>
    <w:uiPriority w:val="99"/>
    <w:unhideWhenUsed/>
    <w:qFormat/>
    <w:rsid w:val="002779D1"/>
    <w:rPr>
      <w:vertAlign w:val="superscript"/>
    </w:rPr>
  </w:style>
  <w:style w:type="paragraph" w:customStyle="1" w:styleId="4GChar">
    <w:name w:val="4_G Char"/>
    <w:aliases w:val="Footnote Reference1 Char,Footnotes refss Char,ftref Char,BVI fnr Char,BVI fnr Car Car Char,BVI fnr Car Char,BVI fnr Car Car Car Car Char,BVI fnr Char Car Car Car Char,ftref,BVI fnr Car Car,BVI fnr Car,Appel note de bas de page Char"/>
    <w:basedOn w:val="Normal"/>
    <w:link w:val="FootnoteReference"/>
    <w:uiPriority w:val="99"/>
    <w:qFormat/>
    <w:rsid w:val="00E3606F"/>
    <w:pPr>
      <w:spacing w:line="240" w:lineRule="exact"/>
      <w:jc w:val="both"/>
    </w:pPr>
    <w:rPr>
      <w:rFonts w:ascii="Times New Roman" w:eastAsiaTheme="minorHAnsi" w:hAnsi="Times New Roman" w:cs="Times New Roman"/>
      <w:sz w:val="20"/>
      <w:szCs w:val="20"/>
      <w:vertAlign w:val="superscript"/>
    </w:rPr>
  </w:style>
  <w:style w:type="character" w:styleId="CommentReference">
    <w:name w:val="annotation reference"/>
    <w:basedOn w:val="DefaultParagraphFont"/>
    <w:uiPriority w:val="99"/>
    <w:unhideWhenUsed/>
    <w:rsid w:val="007A268C"/>
    <w:rPr>
      <w:sz w:val="16"/>
      <w:szCs w:val="16"/>
    </w:rPr>
  </w:style>
  <w:style w:type="paragraph" w:styleId="CommentText">
    <w:name w:val="annotation text"/>
    <w:basedOn w:val="Normal"/>
    <w:link w:val="CommentTextChar"/>
    <w:uiPriority w:val="99"/>
    <w:unhideWhenUsed/>
    <w:rsid w:val="007A268C"/>
    <w:rPr>
      <w:sz w:val="20"/>
      <w:szCs w:val="20"/>
    </w:rPr>
  </w:style>
  <w:style w:type="character" w:customStyle="1" w:styleId="CommentTextChar">
    <w:name w:val="Comment Text Char"/>
    <w:basedOn w:val="DefaultParagraphFont"/>
    <w:link w:val="CommentText"/>
    <w:uiPriority w:val="99"/>
    <w:rsid w:val="007A268C"/>
    <w:rPr>
      <w:rFonts w:ascii="Verdana" w:eastAsiaTheme="minorEastAsia" w:hAnsi="Verdana" w:cstheme="minorBidi"/>
    </w:rPr>
  </w:style>
  <w:style w:type="paragraph" w:styleId="CommentSubject">
    <w:name w:val="annotation subject"/>
    <w:basedOn w:val="CommentText"/>
    <w:next w:val="CommentText"/>
    <w:link w:val="CommentSubjectChar"/>
    <w:uiPriority w:val="99"/>
    <w:semiHidden/>
    <w:unhideWhenUsed/>
    <w:rsid w:val="007A268C"/>
    <w:rPr>
      <w:b/>
      <w:bCs/>
    </w:rPr>
  </w:style>
  <w:style w:type="character" w:customStyle="1" w:styleId="CommentSubjectChar">
    <w:name w:val="Comment Subject Char"/>
    <w:basedOn w:val="CommentTextChar"/>
    <w:link w:val="CommentSubject"/>
    <w:uiPriority w:val="99"/>
    <w:semiHidden/>
    <w:rsid w:val="007A268C"/>
    <w:rPr>
      <w:rFonts w:ascii="Verdana" w:eastAsiaTheme="minorEastAsia" w:hAnsi="Verdana" w:cstheme="minorBidi"/>
      <w:b/>
      <w:bCs/>
    </w:rPr>
  </w:style>
  <w:style w:type="paragraph" w:customStyle="1" w:styleId="BasicParagraph">
    <w:name w:val="[Basic Paragraph]"/>
    <w:basedOn w:val="Normal"/>
    <w:link w:val="BasicParagraphChar"/>
    <w:uiPriority w:val="99"/>
    <w:rsid w:val="00015718"/>
    <w:pPr>
      <w:widowControl w:val="0"/>
      <w:autoSpaceDE w:val="0"/>
      <w:autoSpaceDN w:val="0"/>
      <w:adjustRightInd w:val="0"/>
      <w:jc w:val="both"/>
      <w:textAlignment w:val="center"/>
    </w:pPr>
    <w:rPr>
      <w:rFonts w:ascii="MinionPro-Regular" w:hAnsi="MinionPro-Regular" w:cs="MinionPro-Regular"/>
      <w:color w:val="000000"/>
    </w:rPr>
  </w:style>
  <w:style w:type="paragraph" w:customStyle="1" w:styleId="Default">
    <w:name w:val="Default"/>
    <w:rsid w:val="00015718"/>
    <w:pPr>
      <w:widowControl w:val="0"/>
      <w:autoSpaceDE w:val="0"/>
      <w:autoSpaceDN w:val="0"/>
      <w:adjustRightInd w:val="0"/>
      <w:spacing w:line="360" w:lineRule="auto"/>
      <w:jc w:val="both"/>
    </w:pPr>
    <w:rPr>
      <w:rFonts w:ascii="Verdana" w:eastAsiaTheme="minorEastAsia" w:hAnsi="Verdana" w:cs="Verdana"/>
      <w:color w:val="000000"/>
      <w:sz w:val="24"/>
      <w:szCs w:val="24"/>
      <w:lang w:val="en-US"/>
    </w:rPr>
  </w:style>
  <w:style w:type="character" w:customStyle="1" w:styleId="Heading1Char">
    <w:name w:val="Heading 1 Char"/>
    <w:basedOn w:val="DefaultParagraphFont"/>
    <w:link w:val="Heading1"/>
    <w:uiPriority w:val="9"/>
    <w:rsid w:val="00086959"/>
    <w:rPr>
      <w:rFonts w:ascii="Verdana" w:eastAsiaTheme="majorEastAsia" w:hAnsi="Verdana" w:cstheme="majorBidi"/>
      <w:b/>
      <w:color w:val="77328A"/>
      <w:sz w:val="32"/>
      <w:szCs w:val="32"/>
    </w:rPr>
  </w:style>
  <w:style w:type="character" w:styleId="UnresolvedMention">
    <w:name w:val="Unresolved Mention"/>
    <w:basedOn w:val="DefaultParagraphFont"/>
    <w:uiPriority w:val="99"/>
    <w:semiHidden/>
    <w:unhideWhenUsed/>
    <w:rsid w:val="0062748F"/>
    <w:rPr>
      <w:color w:val="605E5C"/>
      <w:shd w:val="clear" w:color="auto" w:fill="E1DFDD"/>
    </w:rPr>
  </w:style>
  <w:style w:type="character" w:styleId="Emphasis">
    <w:name w:val="Emphasis"/>
    <w:basedOn w:val="DefaultParagraphFont"/>
    <w:uiPriority w:val="20"/>
    <w:qFormat/>
    <w:rsid w:val="005E0B0B"/>
    <w:rPr>
      <w:i/>
      <w:iCs/>
    </w:rPr>
  </w:style>
  <w:style w:type="paragraph" w:styleId="TOCHeading">
    <w:name w:val="TOC Heading"/>
    <w:basedOn w:val="Heading1"/>
    <w:next w:val="Normal"/>
    <w:uiPriority w:val="39"/>
    <w:unhideWhenUsed/>
    <w:qFormat/>
    <w:rsid w:val="00A250D0"/>
    <w:pPr>
      <w:spacing w:line="259" w:lineRule="auto"/>
      <w:outlineLvl w:val="9"/>
    </w:pPr>
    <w:rPr>
      <w:rFonts w:asciiTheme="majorHAnsi" w:hAnsiTheme="majorHAnsi"/>
      <w:b w:val="0"/>
      <w:color w:val="2F5496" w:themeColor="accent1" w:themeShade="BF"/>
      <w:lang w:val="en-US"/>
    </w:rPr>
  </w:style>
  <w:style w:type="paragraph" w:styleId="TOC1">
    <w:name w:val="toc 1"/>
    <w:basedOn w:val="Normal"/>
    <w:next w:val="Normal"/>
    <w:autoRedefine/>
    <w:uiPriority w:val="39"/>
    <w:unhideWhenUsed/>
    <w:rsid w:val="00F716FA"/>
    <w:pPr>
      <w:tabs>
        <w:tab w:val="left" w:pos="660"/>
        <w:tab w:val="right" w:leader="dot" w:pos="9016"/>
      </w:tabs>
      <w:spacing w:after="100"/>
    </w:pPr>
    <w:rPr>
      <w:b/>
      <w:bCs/>
      <w:noProof/>
    </w:rPr>
  </w:style>
  <w:style w:type="paragraph" w:styleId="TOC2">
    <w:name w:val="toc 2"/>
    <w:basedOn w:val="Normal"/>
    <w:next w:val="Normal"/>
    <w:autoRedefine/>
    <w:uiPriority w:val="39"/>
    <w:unhideWhenUsed/>
    <w:rsid w:val="00A250D0"/>
    <w:pPr>
      <w:spacing w:after="100"/>
      <w:ind w:left="240"/>
    </w:pPr>
  </w:style>
  <w:style w:type="paragraph" w:styleId="Header">
    <w:name w:val="header"/>
    <w:basedOn w:val="Normal"/>
    <w:link w:val="HeaderChar"/>
    <w:uiPriority w:val="99"/>
    <w:unhideWhenUsed/>
    <w:rsid w:val="007D17F2"/>
    <w:pPr>
      <w:tabs>
        <w:tab w:val="center" w:pos="4513"/>
        <w:tab w:val="right" w:pos="9026"/>
      </w:tabs>
      <w:spacing w:line="240" w:lineRule="auto"/>
    </w:pPr>
  </w:style>
  <w:style w:type="character" w:customStyle="1" w:styleId="HeaderChar">
    <w:name w:val="Header Char"/>
    <w:basedOn w:val="DefaultParagraphFont"/>
    <w:link w:val="Header"/>
    <w:uiPriority w:val="99"/>
    <w:rsid w:val="007D17F2"/>
    <w:rPr>
      <w:rFonts w:ascii="Verdana" w:eastAsiaTheme="minorEastAsia" w:hAnsi="Verdana" w:cstheme="minorBidi"/>
      <w:sz w:val="24"/>
      <w:szCs w:val="24"/>
    </w:rPr>
  </w:style>
  <w:style w:type="paragraph" w:styleId="Footer">
    <w:name w:val="footer"/>
    <w:basedOn w:val="Normal"/>
    <w:link w:val="FooterChar"/>
    <w:uiPriority w:val="99"/>
    <w:unhideWhenUsed/>
    <w:rsid w:val="007D17F2"/>
    <w:pPr>
      <w:tabs>
        <w:tab w:val="center" w:pos="4513"/>
        <w:tab w:val="right" w:pos="9026"/>
      </w:tabs>
      <w:spacing w:line="240" w:lineRule="auto"/>
    </w:pPr>
  </w:style>
  <w:style w:type="character" w:customStyle="1" w:styleId="FooterChar">
    <w:name w:val="Footer Char"/>
    <w:basedOn w:val="DefaultParagraphFont"/>
    <w:link w:val="Footer"/>
    <w:uiPriority w:val="99"/>
    <w:rsid w:val="007D17F2"/>
    <w:rPr>
      <w:rFonts w:ascii="Verdana" w:eastAsiaTheme="minorEastAsia" w:hAnsi="Verdana" w:cstheme="minorBidi"/>
      <w:sz w:val="24"/>
      <w:szCs w:val="24"/>
    </w:rPr>
  </w:style>
  <w:style w:type="paragraph" w:styleId="Revision">
    <w:name w:val="Revision"/>
    <w:hidden/>
    <w:uiPriority w:val="99"/>
    <w:semiHidden/>
    <w:rsid w:val="00171BAA"/>
    <w:rPr>
      <w:rFonts w:ascii="Verdana" w:eastAsiaTheme="minorEastAsia" w:hAnsi="Verdana" w:cstheme="minorBidi"/>
      <w:sz w:val="24"/>
      <w:szCs w:val="24"/>
    </w:rPr>
  </w:style>
  <w:style w:type="character" w:customStyle="1" w:styleId="BasicParagraphChar">
    <w:name w:val="[Basic Paragraph] Char"/>
    <w:basedOn w:val="DefaultParagraphFont"/>
    <w:link w:val="BasicParagraph"/>
    <w:uiPriority w:val="99"/>
    <w:rsid w:val="002F62F5"/>
    <w:rPr>
      <w:rFonts w:ascii="MinionPro-Regular" w:eastAsiaTheme="minorEastAsia" w:hAnsi="MinionPro-Regular" w:cs="MinionPro-Regular"/>
      <w:color w:val="000000"/>
      <w:sz w:val="24"/>
      <w:szCs w:val="24"/>
    </w:rPr>
  </w:style>
  <w:style w:type="paragraph" w:styleId="Quote">
    <w:name w:val="Quote"/>
    <w:basedOn w:val="Normal"/>
    <w:next w:val="Normal"/>
    <w:link w:val="QuoteChar"/>
    <w:uiPriority w:val="29"/>
    <w:qFormat/>
    <w:rsid w:val="002F62F5"/>
    <w:pPr>
      <w:ind w:left="862" w:right="862"/>
    </w:pPr>
    <w:rPr>
      <w:iCs/>
    </w:rPr>
  </w:style>
  <w:style w:type="character" w:customStyle="1" w:styleId="QuoteChar">
    <w:name w:val="Quote Char"/>
    <w:basedOn w:val="DefaultParagraphFont"/>
    <w:link w:val="Quote"/>
    <w:uiPriority w:val="29"/>
    <w:rsid w:val="002F62F5"/>
    <w:rPr>
      <w:rFonts w:ascii="Verdana" w:eastAsiaTheme="minorEastAsia" w:hAnsi="Verdana" w:cstheme="minorBidi"/>
      <w:iCs/>
      <w:sz w:val="24"/>
      <w:szCs w:val="24"/>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uiPriority w:val="99"/>
    <w:rsid w:val="00C77928"/>
    <w:pPr>
      <w:spacing w:after="160" w:line="240" w:lineRule="exact"/>
      <w:jc w:val="both"/>
    </w:pPr>
    <w:rPr>
      <w:rFonts w:asciiTheme="minorHAnsi" w:eastAsiaTheme="minorHAnsi" w:hAnsiTheme="minorHAnsi"/>
      <w:sz w:val="22"/>
      <w:szCs w:val="22"/>
      <w:vertAlign w:val="superscript"/>
    </w:rPr>
  </w:style>
  <w:style w:type="paragraph" w:styleId="NoSpacing">
    <w:name w:val="No Spacing"/>
    <w:uiPriority w:val="1"/>
    <w:qFormat/>
    <w:rsid w:val="000F3258"/>
    <w:rPr>
      <w:rFonts w:ascii="Verdana" w:eastAsiaTheme="minorEastAsia" w:hAnsi="Verdana" w:cstheme="minorBidi"/>
      <w:sz w:val="24"/>
      <w:szCs w:val="24"/>
    </w:rPr>
  </w:style>
  <w:style w:type="paragraph" w:customStyle="1" w:styleId="Pa2">
    <w:name w:val="Pa2"/>
    <w:basedOn w:val="Default"/>
    <w:next w:val="Default"/>
    <w:uiPriority w:val="99"/>
    <w:rsid w:val="008559F3"/>
    <w:pPr>
      <w:widowControl/>
      <w:spacing w:line="241" w:lineRule="atLeast"/>
      <w:jc w:val="left"/>
    </w:pPr>
    <w:rPr>
      <w:rFonts w:ascii="Gotham" w:eastAsiaTheme="minorHAnsi" w:hAnsi="Gotham" w:cs="Times New Roman"/>
      <w:color w:val="auto"/>
      <w:lang w:val="en-GB"/>
    </w:rPr>
  </w:style>
  <w:style w:type="character" w:customStyle="1" w:styleId="cf01">
    <w:name w:val="cf01"/>
    <w:basedOn w:val="DefaultParagraphFont"/>
    <w:rsid w:val="0030395C"/>
    <w:rPr>
      <w:rFonts w:ascii="Segoe UI" w:hAnsi="Segoe UI" w:cs="Segoe UI" w:hint="default"/>
      <w:sz w:val="18"/>
      <w:szCs w:val="18"/>
    </w:rPr>
  </w:style>
  <w:style w:type="paragraph" w:styleId="Title">
    <w:name w:val="Title"/>
    <w:basedOn w:val="BasicParagraph"/>
    <w:next w:val="Normal"/>
    <w:link w:val="TitleChar"/>
    <w:uiPriority w:val="10"/>
    <w:qFormat/>
    <w:rsid w:val="00E32D88"/>
    <w:pPr>
      <w:suppressAutoHyphens/>
      <w:jc w:val="center"/>
    </w:pPr>
    <w:rPr>
      <w:rFonts w:ascii="Verdana" w:hAnsi="Verdana" w:cs="Arial"/>
      <w:b/>
      <w:bCs/>
      <w:color w:val="77328A"/>
      <w:sz w:val="36"/>
      <w:szCs w:val="36"/>
    </w:rPr>
  </w:style>
  <w:style w:type="character" w:customStyle="1" w:styleId="TitleChar">
    <w:name w:val="Title Char"/>
    <w:basedOn w:val="DefaultParagraphFont"/>
    <w:link w:val="Title"/>
    <w:uiPriority w:val="10"/>
    <w:rsid w:val="00E32D88"/>
    <w:rPr>
      <w:rFonts w:ascii="Verdana" w:eastAsiaTheme="minorEastAsia" w:hAnsi="Verdana" w:cs="Arial"/>
      <w:b/>
      <w:bCs/>
      <w:color w:val="77328A"/>
      <w:sz w:val="36"/>
      <w:szCs w:val="36"/>
    </w:rPr>
  </w:style>
  <w:style w:type="character" w:customStyle="1" w:styleId="Heading3Char">
    <w:name w:val="Heading 3 Char"/>
    <w:basedOn w:val="DefaultParagraphFont"/>
    <w:link w:val="Heading3"/>
    <w:uiPriority w:val="9"/>
    <w:rsid w:val="00E32D88"/>
    <w:rPr>
      <w:rFonts w:ascii="Verdana" w:eastAsiaTheme="minorEastAsia" w:hAnsi="Verdana" w:cstheme="minorBidi"/>
      <w:i/>
      <w:iCs/>
      <w:sz w:val="24"/>
      <w:szCs w:val="24"/>
    </w:rPr>
  </w:style>
  <w:style w:type="paragraph" w:styleId="TOC3">
    <w:name w:val="toc 3"/>
    <w:basedOn w:val="Normal"/>
    <w:next w:val="Normal"/>
    <w:autoRedefine/>
    <w:uiPriority w:val="39"/>
    <w:unhideWhenUsed/>
    <w:rsid w:val="00E32D88"/>
    <w:pPr>
      <w:spacing w:after="100"/>
      <w:ind w:left="480"/>
    </w:pPr>
  </w:style>
  <w:style w:type="character" w:customStyle="1" w:styleId="Heading4Char">
    <w:name w:val="Heading 4 Char"/>
    <w:basedOn w:val="DefaultParagraphFont"/>
    <w:link w:val="Heading4"/>
    <w:uiPriority w:val="9"/>
    <w:rsid w:val="006B481D"/>
    <w:rPr>
      <w:rFonts w:asciiTheme="majorHAnsi" w:eastAsiaTheme="majorEastAsia" w:hAnsiTheme="majorHAnsi" w:cstheme="majorBidi"/>
      <w:i/>
      <w:iCs/>
      <w:color w:val="2F5496" w:themeColor="accent1" w:themeShade="BF"/>
      <w:sz w:val="24"/>
      <w:szCs w:val="24"/>
    </w:rPr>
  </w:style>
  <w:style w:type="paragraph" w:customStyle="1" w:styleId="Numbparas11">
    <w:name w:val="Numb paras 1.1..."/>
    <w:basedOn w:val="ListParagraph"/>
    <w:link w:val="Numbparas11Char"/>
    <w:autoRedefine/>
    <w:qFormat/>
    <w:rsid w:val="00C775F1"/>
    <w:pPr>
      <w:widowControl/>
      <w:numPr>
        <w:ilvl w:val="0"/>
        <w:numId w:val="0"/>
      </w:numPr>
      <w:suppressAutoHyphens w:val="0"/>
      <w:autoSpaceDE/>
      <w:autoSpaceDN/>
      <w:adjustRightInd/>
      <w:spacing w:before="240" w:after="240" w:line="240" w:lineRule="auto"/>
      <w:textAlignment w:val="auto"/>
    </w:pPr>
    <w:rPr>
      <w:rFonts w:ascii="Calibri" w:eastAsia="Times New Roman" w:hAnsi="Calibri" w:cs="Arial"/>
      <w:color w:val="auto"/>
      <w:sz w:val="28"/>
      <w:szCs w:val="28"/>
      <w14:ligatures w14:val="standardContextual"/>
    </w:rPr>
  </w:style>
  <w:style w:type="character" w:customStyle="1" w:styleId="Numbparas11Char">
    <w:name w:val="Numb paras 1.1... Char"/>
    <w:basedOn w:val="DefaultParagraphFont"/>
    <w:link w:val="Numbparas11"/>
    <w:rsid w:val="00C775F1"/>
    <w:rPr>
      <w:rFonts w:ascii="Calibri" w:eastAsia="Times New Roman" w:hAnsi="Calibri" w:cs="Arial"/>
      <w:sz w:val="28"/>
      <w:szCs w:val="2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9209">
      <w:bodyDiv w:val="1"/>
      <w:marLeft w:val="0"/>
      <w:marRight w:val="0"/>
      <w:marTop w:val="0"/>
      <w:marBottom w:val="0"/>
      <w:divBdr>
        <w:top w:val="none" w:sz="0" w:space="0" w:color="auto"/>
        <w:left w:val="none" w:sz="0" w:space="0" w:color="auto"/>
        <w:bottom w:val="none" w:sz="0" w:space="0" w:color="auto"/>
        <w:right w:val="none" w:sz="0" w:space="0" w:color="auto"/>
      </w:divBdr>
    </w:div>
    <w:div w:id="153494347">
      <w:bodyDiv w:val="1"/>
      <w:marLeft w:val="0"/>
      <w:marRight w:val="0"/>
      <w:marTop w:val="0"/>
      <w:marBottom w:val="0"/>
      <w:divBdr>
        <w:top w:val="none" w:sz="0" w:space="0" w:color="auto"/>
        <w:left w:val="none" w:sz="0" w:space="0" w:color="auto"/>
        <w:bottom w:val="none" w:sz="0" w:space="0" w:color="auto"/>
        <w:right w:val="none" w:sz="0" w:space="0" w:color="auto"/>
      </w:divBdr>
    </w:div>
    <w:div w:id="388656216">
      <w:bodyDiv w:val="1"/>
      <w:marLeft w:val="0"/>
      <w:marRight w:val="0"/>
      <w:marTop w:val="0"/>
      <w:marBottom w:val="0"/>
      <w:divBdr>
        <w:top w:val="none" w:sz="0" w:space="0" w:color="auto"/>
        <w:left w:val="none" w:sz="0" w:space="0" w:color="auto"/>
        <w:bottom w:val="none" w:sz="0" w:space="0" w:color="auto"/>
        <w:right w:val="none" w:sz="0" w:space="0" w:color="auto"/>
      </w:divBdr>
    </w:div>
    <w:div w:id="544685571">
      <w:bodyDiv w:val="1"/>
      <w:marLeft w:val="0"/>
      <w:marRight w:val="0"/>
      <w:marTop w:val="0"/>
      <w:marBottom w:val="0"/>
      <w:divBdr>
        <w:top w:val="none" w:sz="0" w:space="0" w:color="auto"/>
        <w:left w:val="none" w:sz="0" w:space="0" w:color="auto"/>
        <w:bottom w:val="none" w:sz="0" w:space="0" w:color="auto"/>
        <w:right w:val="none" w:sz="0" w:space="0" w:color="auto"/>
      </w:divBdr>
    </w:div>
    <w:div w:id="680163017">
      <w:bodyDiv w:val="1"/>
      <w:marLeft w:val="0"/>
      <w:marRight w:val="0"/>
      <w:marTop w:val="0"/>
      <w:marBottom w:val="0"/>
      <w:divBdr>
        <w:top w:val="none" w:sz="0" w:space="0" w:color="auto"/>
        <w:left w:val="none" w:sz="0" w:space="0" w:color="auto"/>
        <w:bottom w:val="none" w:sz="0" w:space="0" w:color="auto"/>
        <w:right w:val="none" w:sz="0" w:space="0" w:color="auto"/>
      </w:divBdr>
    </w:div>
    <w:div w:id="721104085">
      <w:bodyDiv w:val="1"/>
      <w:marLeft w:val="0"/>
      <w:marRight w:val="0"/>
      <w:marTop w:val="0"/>
      <w:marBottom w:val="0"/>
      <w:divBdr>
        <w:top w:val="none" w:sz="0" w:space="0" w:color="auto"/>
        <w:left w:val="none" w:sz="0" w:space="0" w:color="auto"/>
        <w:bottom w:val="none" w:sz="0" w:space="0" w:color="auto"/>
        <w:right w:val="none" w:sz="0" w:space="0" w:color="auto"/>
      </w:divBdr>
    </w:div>
    <w:div w:id="809830417">
      <w:bodyDiv w:val="1"/>
      <w:marLeft w:val="0"/>
      <w:marRight w:val="0"/>
      <w:marTop w:val="0"/>
      <w:marBottom w:val="0"/>
      <w:divBdr>
        <w:top w:val="none" w:sz="0" w:space="0" w:color="auto"/>
        <w:left w:val="none" w:sz="0" w:space="0" w:color="auto"/>
        <w:bottom w:val="none" w:sz="0" w:space="0" w:color="auto"/>
        <w:right w:val="none" w:sz="0" w:space="0" w:color="auto"/>
      </w:divBdr>
    </w:div>
    <w:div w:id="864515309">
      <w:bodyDiv w:val="1"/>
      <w:marLeft w:val="0"/>
      <w:marRight w:val="0"/>
      <w:marTop w:val="0"/>
      <w:marBottom w:val="0"/>
      <w:divBdr>
        <w:top w:val="none" w:sz="0" w:space="0" w:color="auto"/>
        <w:left w:val="none" w:sz="0" w:space="0" w:color="auto"/>
        <w:bottom w:val="none" w:sz="0" w:space="0" w:color="auto"/>
        <w:right w:val="none" w:sz="0" w:space="0" w:color="auto"/>
      </w:divBdr>
      <w:divsChild>
        <w:div w:id="2047832625">
          <w:marLeft w:val="0"/>
          <w:marRight w:val="0"/>
          <w:marTop w:val="0"/>
          <w:marBottom w:val="0"/>
          <w:divBdr>
            <w:top w:val="none" w:sz="0" w:space="0" w:color="auto"/>
            <w:left w:val="none" w:sz="0" w:space="0" w:color="auto"/>
            <w:bottom w:val="none" w:sz="0" w:space="0" w:color="auto"/>
            <w:right w:val="none" w:sz="0" w:space="0" w:color="auto"/>
          </w:divBdr>
        </w:div>
        <w:div w:id="1672219473">
          <w:marLeft w:val="0"/>
          <w:marRight w:val="0"/>
          <w:marTop w:val="0"/>
          <w:marBottom w:val="0"/>
          <w:divBdr>
            <w:top w:val="none" w:sz="0" w:space="0" w:color="auto"/>
            <w:left w:val="none" w:sz="0" w:space="0" w:color="auto"/>
            <w:bottom w:val="none" w:sz="0" w:space="0" w:color="auto"/>
            <w:right w:val="none" w:sz="0" w:space="0" w:color="auto"/>
          </w:divBdr>
        </w:div>
      </w:divsChild>
    </w:div>
    <w:div w:id="1059598244">
      <w:bodyDiv w:val="1"/>
      <w:marLeft w:val="0"/>
      <w:marRight w:val="0"/>
      <w:marTop w:val="0"/>
      <w:marBottom w:val="0"/>
      <w:divBdr>
        <w:top w:val="none" w:sz="0" w:space="0" w:color="auto"/>
        <w:left w:val="none" w:sz="0" w:space="0" w:color="auto"/>
        <w:bottom w:val="none" w:sz="0" w:space="0" w:color="auto"/>
        <w:right w:val="none" w:sz="0" w:space="0" w:color="auto"/>
      </w:divBdr>
    </w:div>
    <w:div w:id="1321271613">
      <w:bodyDiv w:val="1"/>
      <w:marLeft w:val="0"/>
      <w:marRight w:val="0"/>
      <w:marTop w:val="0"/>
      <w:marBottom w:val="0"/>
      <w:divBdr>
        <w:top w:val="none" w:sz="0" w:space="0" w:color="auto"/>
        <w:left w:val="none" w:sz="0" w:space="0" w:color="auto"/>
        <w:bottom w:val="none" w:sz="0" w:space="0" w:color="auto"/>
        <w:right w:val="none" w:sz="0" w:space="0" w:color="auto"/>
      </w:divBdr>
    </w:div>
    <w:div w:id="1361517853">
      <w:bodyDiv w:val="1"/>
      <w:marLeft w:val="0"/>
      <w:marRight w:val="0"/>
      <w:marTop w:val="0"/>
      <w:marBottom w:val="0"/>
      <w:divBdr>
        <w:top w:val="none" w:sz="0" w:space="0" w:color="auto"/>
        <w:left w:val="none" w:sz="0" w:space="0" w:color="auto"/>
        <w:bottom w:val="none" w:sz="0" w:space="0" w:color="auto"/>
        <w:right w:val="none" w:sz="0" w:space="0" w:color="auto"/>
      </w:divBdr>
      <w:divsChild>
        <w:div w:id="2032800345">
          <w:marLeft w:val="0"/>
          <w:marRight w:val="0"/>
          <w:marTop w:val="0"/>
          <w:marBottom w:val="0"/>
          <w:divBdr>
            <w:top w:val="none" w:sz="0" w:space="0" w:color="auto"/>
            <w:left w:val="none" w:sz="0" w:space="0" w:color="auto"/>
            <w:bottom w:val="none" w:sz="0" w:space="0" w:color="auto"/>
            <w:right w:val="none" w:sz="0" w:space="0" w:color="auto"/>
          </w:divBdr>
        </w:div>
        <w:div w:id="1690330128">
          <w:marLeft w:val="0"/>
          <w:marRight w:val="0"/>
          <w:marTop w:val="0"/>
          <w:marBottom w:val="0"/>
          <w:divBdr>
            <w:top w:val="none" w:sz="0" w:space="0" w:color="auto"/>
            <w:left w:val="none" w:sz="0" w:space="0" w:color="auto"/>
            <w:bottom w:val="none" w:sz="0" w:space="0" w:color="auto"/>
            <w:right w:val="none" w:sz="0" w:space="0" w:color="auto"/>
          </w:divBdr>
        </w:div>
      </w:divsChild>
    </w:div>
    <w:div w:id="137503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nihrc.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nihrc.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ilis.Haughey@nihrc.org"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C9E0F9C0-7429-4633-BB4D-D668288A7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3828</Words>
  <Characters>21094</Characters>
  <Application>Microsoft Office Word</Application>
  <DocSecurity>0</DocSecurity>
  <Lines>540</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McCann</dc:creator>
  <cp:keywords/>
  <dc:description/>
  <cp:lastModifiedBy>Daniella Raso</cp:lastModifiedBy>
  <cp:revision>4</cp:revision>
  <cp:lastPrinted>2025-11-27T11:09:00Z</cp:lastPrinted>
  <dcterms:created xsi:type="dcterms:W3CDTF">2025-11-27T11:08:00Z</dcterms:created>
  <dcterms:modified xsi:type="dcterms:W3CDTF">2025-11-27T11:09:00Z</dcterms:modified>
</cp:coreProperties>
</file>