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D9A5F" w14:textId="2A44A455" w:rsidR="00F31387" w:rsidRPr="00564A3B" w:rsidRDefault="00F31387" w:rsidP="0055193F">
      <w:pPr>
        <w:pStyle w:val="BasicParagraph"/>
        <w:suppressAutoHyphens/>
        <w:spacing w:before="24" w:after="24"/>
        <w:jc w:val="center"/>
        <w:rPr>
          <w:rFonts w:ascii="Verdana" w:hAnsi="Verdana" w:cs="Arial"/>
          <w:b/>
          <w:bCs/>
          <w:color w:val="734791"/>
          <w:sz w:val="36"/>
          <w:szCs w:val="36"/>
        </w:rPr>
      </w:pPr>
      <w:r w:rsidRPr="00564A3B">
        <w:rPr>
          <w:rFonts w:ascii="Verdana" w:hAnsi="Verdana" w:cs="Arial"/>
          <w:b/>
          <w:bCs/>
          <w:noProof/>
          <w:color w:val="734791"/>
          <w:sz w:val="36"/>
          <w:szCs w:val="36"/>
          <w:lang w:eastAsia="en-GB"/>
        </w:rPr>
        <w:drawing>
          <wp:inline distT="0" distB="0" distL="0" distR="0" wp14:anchorId="5698FF1B" wp14:editId="467FA306">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0CF8267A" w14:textId="77777777" w:rsidR="003B7D0E" w:rsidRPr="00564A3B" w:rsidRDefault="003B7D0E" w:rsidP="0055193F">
      <w:pPr>
        <w:pStyle w:val="BasicParagraph"/>
        <w:suppressAutoHyphens/>
        <w:spacing w:before="24" w:after="24"/>
        <w:jc w:val="center"/>
        <w:rPr>
          <w:rFonts w:ascii="Verdana" w:hAnsi="Verdana" w:cs="Arial"/>
          <w:b/>
          <w:bCs/>
          <w:color w:val="734791"/>
          <w:sz w:val="36"/>
          <w:szCs w:val="36"/>
        </w:rPr>
      </w:pPr>
    </w:p>
    <w:p w14:paraId="26E8C261" w14:textId="3546961A" w:rsidR="0096459E" w:rsidRPr="00564A3B" w:rsidRDefault="001E2B95" w:rsidP="0055193F">
      <w:pPr>
        <w:pStyle w:val="BasicParagraph"/>
        <w:suppressAutoHyphens/>
        <w:spacing w:before="24" w:after="24"/>
        <w:jc w:val="center"/>
        <w:rPr>
          <w:rFonts w:ascii="Verdana" w:hAnsi="Verdana" w:cs="Arial"/>
          <w:b/>
          <w:color w:val="77328A"/>
          <w:sz w:val="36"/>
          <w:szCs w:val="36"/>
        </w:rPr>
      </w:pPr>
      <w:r w:rsidRPr="00564A3B">
        <w:rPr>
          <w:rFonts w:ascii="Verdana" w:hAnsi="Verdana" w:cs="Arial"/>
          <w:b/>
          <w:bCs/>
          <w:color w:val="77328A"/>
          <w:sz w:val="36"/>
          <w:szCs w:val="36"/>
        </w:rPr>
        <w:t>Re</w:t>
      </w:r>
      <w:r w:rsidR="00BF738E" w:rsidRPr="00564A3B">
        <w:rPr>
          <w:rFonts w:ascii="Verdana" w:hAnsi="Verdana" w:cs="Arial"/>
          <w:b/>
          <w:bCs/>
          <w:color w:val="77328A"/>
          <w:sz w:val="36"/>
          <w:szCs w:val="36"/>
        </w:rPr>
        <w:t xml:space="preserve">sponse </w:t>
      </w:r>
      <w:r w:rsidR="00810B19">
        <w:rPr>
          <w:rFonts w:ascii="Verdana" w:hAnsi="Verdana" w:cs="Arial"/>
          <w:b/>
          <w:bCs/>
          <w:color w:val="77328A"/>
          <w:sz w:val="36"/>
          <w:szCs w:val="36"/>
        </w:rPr>
        <w:t xml:space="preserve">to </w:t>
      </w:r>
      <w:r w:rsidR="001C389B" w:rsidRPr="00564A3B">
        <w:rPr>
          <w:rFonts w:ascii="Verdana" w:hAnsi="Verdana" w:cs="Arial"/>
          <w:b/>
          <w:bCs/>
          <w:color w:val="77328A"/>
          <w:sz w:val="36"/>
          <w:szCs w:val="36"/>
        </w:rPr>
        <w:t xml:space="preserve">the Department of </w:t>
      </w:r>
      <w:r w:rsidR="00F43122">
        <w:rPr>
          <w:rFonts w:ascii="Verdana" w:hAnsi="Verdana" w:cs="Arial"/>
          <w:b/>
          <w:bCs/>
          <w:color w:val="77328A"/>
          <w:sz w:val="36"/>
          <w:szCs w:val="36"/>
        </w:rPr>
        <w:t xml:space="preserve">Education Consultation on </w:t>
      </w:r>
      <w:r w:rsidR="000401F2">
        <w:rPr>
          <w:rFonts w:ascii="Verdana" w:hAnsi="Verdana" w:cs="Arial"/>
          <w:b/>
          <w:bCs/>
          <w:color w:val="77328A"/>
          <w:sz w:val="36"/>
          <w:szCs w:val="36"/>
        </w:rPr>
        <w:t xml:space="preserve">Relationships and Sexuality Education </w:t>
      </w:r>
    </w:p>
    <w:p w14:paraId="4A75D596" w14:textId="29D8D203" w:rsidR="00F31387" w:rsidRDefault="00F31387" w:rsidP="0055193F">
      <w:pPr>
        <w:pStyle w:val="Default"/>
        <w:spacing w:before="24" w:after="24" w:line="288" w:lineRule="auto"/>
        <w:jc w:val="center"/>
        <w:rPr>
          <w:rFonts w:cs="Arial"/>
          <w:color w:val="232120"/>
          <w:sz w:val="36"/>
          <w:szCs w:val="36"/>
        </w:rPr>
      </w:pPr>
    </w:p>
    <w:p w14:paraId="7DFD7FC6" w14:textId="011BC219" w:rsidR="00810B19" w:rsidRDefault="00810B19" w:rsidP="0055193F">
      <w:pPr>
        <w:pStyle w:val="Default"/>
        <w:spacing w:before="24" w:after="24" w:line="288" w:lineRule="auto"/>
        <w:jc w:val="center"/>
        <w:rPr>
          <w:rFonts w:cs="Arial"/>
          <w:color w:val="232120"/>
          <w:sz w:val="36"/>
          <w:szCs w:val="36"/>
        </w:rPr>
      </w:pPr>
    </w:p>
    <w:p w14:paraId="20F1F39A" w14:textId="7D1B2F76" w:rsidR="00810B19" w:rsidRDefault="00810B19" w:rsidP="0055193F">
      <w:pPr>
        <w:pStyle w:val="Default"/>
        <w:spacing w:before="24" w:after="24" w:line="288" w:lineRule="auto"/>
        <w:jc w:val="center"/>
        <w:rPr>
          <w:rFonts w:cs="Arial"/>
          <w:color w:val="232120"/>
          <w:sz w:val="36"/>
          <w:szCs w:val="36"/>
        </w:rPr>
      </w:pPr>
    </w:p>
    <w:p w14:paraId="16F8C961" w14:textId="615241B6" w:rsidR="00810B19" w:rsidRDefault="00810B19" w:rsidP="0055193F">
      <w:pPr>
        <w:pStyle w:val="Default"/>
        <w:spacing w:before="24" w:after="24" w:line="288" w:lineRule="auto"/>
        <w:jc w:val="center"/>
        <w:rPr>
          <w:rFonts w:cs="Arial"/>
          <w:color w:val="232120"/>
          <w:sz w:val="36"/>
          <w:szCs w:val="36"/>
        </w:rPr>
      </w:pPr>
    </w:p>
    <w:p w14:paraId="2BAFDB27" w14:textId="1477408F" w:rsidR="00810B19" w:rsidRDefault="00810B19" w:rsidP="0055193F">
      <w:pPr>
        <w:pStyle w:val="Default"/>
        <w:spacing w:before="24" w:after="24" w:line="288" w:lineRule="auto"/>
        <w:jc w:val="center"/>
        <w:rPr>
          <w:rFonts w:cs="Arial"/>
          <w:color w:val="232120"/>
          <w:sz w:val="36"/>
          <w:szCs w:val="36"/>
        </w:rPr>
      </w:pPr>
    </w:p>
    <w:p w14:paraId="3DF47C2D" w14:textId="77777777" w:rsidR="00810B19" w:rsidRPr="00564A3B" w:rsidRDefault="00810B19" w:rsidP="0055193F">
      <w:pPr>
        <w:pStyle w:val="Default"/>
        <w:spacing w:before="24" w:after="24" w:line="288" w:lineRule="auto"/>
        <w:jc w:val="center"/>
        <w:rPr>
          <w:rFonts w:cs="Arial"/>
          <w:color w:val="232120"/>
          <w:sz w:val="36"/>
          <w:szCs w:val="36"/>
        </w:rPr>
      </w:pPr>
    </w:p>
    <w:p w14:paraId="258FA6DF" w14:textId="269E2238" w:rsidR="008159E8" w:rsidRPr="00564A3B" w:rsidRDefault="005E6C9B" w:rsidP="0055193F">
      <w:pPr>
        <w:spacing w:before="24" w:after="24" w:line="288" w:lineRule="auto"/>
        <w:jc w:val="center"/>
        <w:rPr>
          <w:rFonts w:ascii="Verdana" w:hAnsi="Verdana" w:cs="Arial"/>
          <w:b/>
          <w:color w:val="232120"/>
          <w:sz w:val="30"/>
          <w:szCs w:val="30"/>
        </w:rPr>
      </w:pPr>
      <w:r>
        <w:rPr>
          <w:rFonts w:ascii="Verdana" w:hAnsi="Verdana" w:cs="Arial"/>
          <w:b/>
          <w:color w:val="232120"/>
          <w:sz w:val="30"/>
          <w:szCs w:val="30"/>
        </w:rPr>
        <w:t>November 2023</w:t>
      </w:r>
    </w:p>
    <w:p w14:paraId="13018884" w14:textId="77777777" w:rsidR="00046705" w:rsidRPr="00564A3B" w:rsidRDefault="00046705" w:rsidP="0055193F">
      <w:pPr>
        <w:spacing w:before="24" w:after="24" w:line="288" w:lineRule="auto"/>
        <w:jc w:val="center"/>
        <w:rPr>
          <w:rFonts w:ascii="Verdana" w:hAnsi="Verdana" w:cs="Arial"/>
          <w:b/>
          <w:color w:val="232120"/>
          <w:sz w:val="28"/>
          <w:szCs w:val="28"/>
        </w:rPr>
      </w:pPr>
    </w:p>
    <w:p w14:paraId="3CDED8B7" w14:textId="77777777" w:rsidR="00046705" w:rsidRPr="00564A3B" w:rsidRDefault="00046705" w:rsidP="0055193F">
      <w:pPr>
        <w:spacing w:before="24" w:after="24" w:line="288" w:lineRule="auto"/>
        <w:jc w:val="center"/>
        <w:rPr>
          <w:rFonts w:ascii="Verdana" w:hAnsi="Verdana" w:cs="Arial"/>
          <w:b/>
          <w:color w:val="232120"/>
          <w:sz w:val="28"/>
          <w:szCs w:val="28"/>
        </w:rPr>
      </w:pPr>
    </w:p>
    <w:p w14:paraId="4C2CB720" w14:textId="77777777" w:rsidR="00EA12CE" w:rsidRPr="00564A3B" w:rsidRDefault="00EA12CE" w:rsidP="0055193F">
      <w:pPr>
        <w:pStyle w:val="Default"/>
        <w:spacing w:before="24" w:after="24" w:line="288" w:lineRule="auto"/>
        <w:jc w:val="center"/>
        <w:rPr>
          <w:rFonts w:cs="Arial"/>
          <w:b/>
          <w:color w:val="232120"/>
          <w:sz w:val="28"/>
          <w:szCs w:val="28"/>
          <w:lang w:val="en-GB"/>
        </w:rPr>
      </w:pPr>
    </w:p>
    <w:p w14:paraId="6A7A2DE0" w14:textId="77777777" w:rsidR="003B7D0E" w:rsidRPr="00564A3B" w:rsidRDefault="003B7D0E" w:rsidP="0055193F">
      <w:pPr>
        <w:pStyle w:val="Default"/>
        <w:spacing w:before="24" w:after="24" w:line="480" w:lineRule="auto"/>
        <w:jc w:val="center"/>
        <w:rPr>
          <w:rFonts w:cs="Arial"/>
          <w:b/>
          <w:color w:val="232120"/>
          <w:sz w:val="36"/>
          <w:szCs w:val="36"/>
        </w:rPr>
      </w:pPr>
    </w:p>
    <w:p w14:paraId="45EF47E6" w14:textId="77777777" w:rsidR="00245E58" w:rsidRPr="00564A3B" w:rsidRDefault="00EA12CE" w:rsidP="0055193F">
      <w:pPr>
        <w:pStyle w:val="TOCHeading"/>
        <w:spacing w:before="24" w:after="24"/>
        <w:rPr>
          <w:rFonts w:ascii="Verdana" w:hAnsi="Verdana" w:cs="Arial"/>
          <w:b/>
          <w:color w:val="77328A"/>
          <w:sz w:val="36"/>
          <w:szCs w:val="36"/>
        </w:rPr>
      </w:pPr>
      <w:r w:rsidRPr="00564A3B">
        <w:rPr>
          <w:rFonts w:ascii="Verdana" w:hAnsi="Verdana" w:cs="Arial"/>
          <w:b/>
          <w:color w:val="77328A"/>
          <w:sz w:val="36"/>
          <w:szCs w:val="36"/>
        </w:rPr>
        <w:lastRenderedPageBreak/>
        <w:t>Table of Contents</w:t>
      </w:r>
    </w:p>
    <w:sdt>
      <w:sdtPr>
        <w:rPr>
          <w:rFonts w:ascii="Verdana" w:eastAsiaTheme="minorEastAsia" w:hAnsi="Verdana" w:cstheme="minorBidi"/>
          <w:color w:val="auto"/>
          <w:sz w:val="24"/>
          <w:szCs w:val="24"/>
          <w:lang w:val="en-GB"/>
        </w:rPr>
        <w:id w:val="-859198742"/>
        <w:docPartObj>
          <w:docPartGallery w:val="Table of Contents"/>
          <w:docPartUnique/>
        </w:docPartObj>
      </w:sdtPr>
      <w:sdtEndPr>
        <w:rPr>
          <w:b/>
          <w:bCs/>
          <w:noProof/>
        </w:rPr>
      </w:sdtEndPr>
      <w:sdtContent>
        <w:p w14:paraId="344912BB" w14:textId="79549648" w:rsidR="00A92DC2" w:rsidRPr="00564A3B" w:rsidRDefault="00A92DC2">
          <w:pPr>
            <w:pStyle w:val="TOCHeading"/>
            <w:rPr>
              <w:rFonts w:ascii="Verdana" w:hAnsi="Verdana"/>
            </w:rPr>
          </w:pPr>
        </w:p>
        <w:p w14:paraId="34E96A74" w14:textId="05E2C31A" w:rsidR="00BA1C30" w:rsidRDefault="00A92DC2">
          <w:pPr>
            <w:pStyle w:val="TOC1"/>
            <w:rPr>
              <w:rFonts w:asciiTheme="minorHAnsi" w:hAnsiTheme="minorHAnsi"/>
              <w:b w:val="0"/>
              <w:kern w:val="2"/>
              <w:sz w:val="22"/>
              <w:szCs w:val="22"/>
              <w:lang w:eastAsia="en-GB"/>
              <w14:ligatures w14:val="standardContextual"/>
            </w:rPr>
          </w:pPr>
          <w:r w:rsidRPr="000778C1">
            <w:fldChar w:fldCharType="begin"/>
          </w:r>
          <w:r w:rsidRPr="000778C1">
            <w:instrText xml:space="preserve"> TOC \o "1-3" \h \z \u </w:instrText>
          </w:r>
          <w:r w:rsidRPr="000778C1">
            <w:fldChar w:fldCharType="separate"/>
          </w:r>
          <w:hyperlink w:anchor="_Toc151712152" w:history="1">
            <w:r w:rsidR="00BA1C30" w:rsidRPr="00B97262">
              <w:rPr>
                <w:rStyle w:val="Hyperlink"/>
              </w:rPr>
              <w:t>Summary of Recommendations</w:t>
            </w:r>
            <w:r w:rsidR="00BA1C30">
              <w:rPr>
                <w:webHidden/>
              </w:rPr>
              <w:tab/>
            </w:r>
            <w:r w:rsidR="00BA1C30">
              <w:rPr>
                <w:webHidden/>
              </w:rPr>
              <w:fldChar w:fldCharType="begin"/>
            </w:r>
            <w:r w:rsidR="00BA1C30">
              <w:rPr>
                <w:webHidden/>
              </w:rPr>
              <w:instrText xml:space="preserve"> PAGEREF _Toc151712152 \h </w:instrText>
            </w:r>
            <w:r w:rsidR="00BA1C30">
              <w:rPr>
                <w:webHidden/>
              </w:rPr>
            </w:r>
            <w:r w:rsidR="00BA1C30">
              <w:rPr>
                <w:webHidden/>
              </w:rPr>
              <w:fldChar w:fldCharType="separate"/>
            </w:r>
            <w:r w:rsidR="00581561">
              <w:rPr>
                <w:webHidden/>
              </w:rPr>
              <w:t>3</w:t>
            </w:r>
            <w:r w:rsidR="00BA1C30">
              <w:rPr>
                <w:webHidden/>
              </w:rPr>
              <w:fldChar w:fldCharType="end"/>
            </w:r>
          </w:hyperlink>
        </w:p>
        <w:p w14:paraId="79A5B4AF" w14:textId="7BD95DCE" w:rsidR="00BA1C30" w:rsidRDefault="00F05CC7">
          <w:pPr>
            <w:pStyle w:val="TOC1"/>
            <w:rPr>
              <w:rFonts w:asciiTheme="minorHAnsi" w:hAnsiTheme="minorHAnsi"/>
              <w:b w:val="0"/>
              <w:kern w:val="2"/>
              <w:sz w:val="22"/>
              <w:szCs w:val="22"/>
              <w:lang w:eastAsia="en-GB"/>
              <w14:ligatures w14:val="standardContextual"/>
            </w:rPr>
          </w:pPr>
          <w:hyperlink w:anchor="_Toc151712153" w:history="1">
            <w:r w:rsidR="00BA1C30" w:rsidRPr="00B97262">
              <w:rPr>
                <w:rStyle w:val="Hyperlink"/>
              </w:rPr>
              <w:t>1.0</w:t>
            </w:r>
            <w:r w:rsidR="00BA1C30">
              <w:rPr>
                <w:rFonts w:asciiTheme="minorHAnsi" w:hAnsiTheme="minorHAnsi"/>
                <w:b w:val="0"/>
                <w:kern w:val="2"/>
                <w:sz w:val="22"/>
                <w:szCs w:val="22"/>
                <w:lang w:eastAsia="en-GB"/>
                <w14:ligatures w14:val="standardContextual"/>
              </w:rPr>
              <w:tab/>
            </w:r>
            <w:r w:rsidR="00BA1C30" w:rsidRPr="00B97262">
              <w:rPr>
                <w:rStyle w:val="Hyperlink"/>
              </w:rPr>
              <w:t>Introduction</w:t>
            </w:r>
            <w:r w:rsidR="00BA1C30">
              <w:rPr>
                <w:webHidden/>
              </w:rPr>
              <w:tab/>
            </w:r>
            <w:r w:rsidR="00BA1C30">
              <w:rPr>
                <w:webHidden/>
              </w:rPr>
              <w:fldChar w:fldCharType="begin"/>
            </w:r>
            <w:r w:rsidR="00BA1C30">
              <w:rPr>
                <w:webHidden/>
              </w:rPr>
              <w:instrText xml:space="preserve"> PAGEREF _Toc151712153 \h </w:instrText>
            </w:r>
            <w:r w:rsidR="00BA1C30">
              <w:rPr>
                <w:webHidden/>
              </w:rPr>
            </w:r>
            <w:r w:rsidR="00BA1C30">
              <w:rPr>
                <w:webHidden/>
              </w:rPr>
              <w:fldChar w:fldCharType="separate"/>
            </w:r>
            <w:r w:rsidR="00581561">
              <w:rPr>
                <w:webHidden/>
              </w:rPr>
              <w:t>5</w:t>
            </w:r>
            <w:r w:rsidR="00BA1C30">
              <w:rPr>
                <w:webHidden/>
              </w:rPr>
              <w:fldChar w:fldCharType="end"/>
            </w:r>
          </w:hyperlink>
        </w:p>
        <w:p w14:paraId="6511A7E4" w14:textId="1717FD35" w:rsidR="00BA1C30" w:rsidRDefault="00F05CC7">
          <w:pPr>
            <w:pStyle w:val="TOC1"/>
            <w:rPr>
              <w:rFonts w:asciiTheme="minorHAnsi" w:hAnsiTheme="minorHAnsi"/>
              <w:b w:val="0"/>
              <w:kern w:val="2"/>
              <w:sz w:val="22"/>
              <w:szCs w:val="22"/>
              <w:lang w:eastAsia="en-GB"/>
              <w14:ligatures w14:val="standardContextual"/>
            </w:rPr>
          </w:pPr>
          <w:hyperlink w:anchor="_Toc151712154" w:history="1">
            <w:r w:rsidR="00BA1C30" w:rsidRPr="00B97262">
              <w:rPr>
                <w:rStyle w:val="Hyperlink"/>
              </w:rPr>
              <w:t>2.0</w:t>
            </w:r>
            <w:r w:rsidR="00BA1C30">
              <w:rPr>
                <w:rFonts w:asciiTheme="minorHAnsi" w:hAnsiTheme="minorHAnsi"/>
                <w:b w:val="0"/>
                <w:kern w:val="2"/>
                <w:sz w:val="22"/>
                <w:szCs w:val="22"/>
                <w:lang w:eastAsia="en-GB"/>
                <w14:ligatures w14:val="standardContextual"/>
              </w:rPr>
              <w:tab/>
            </w:r>
            <w:r w:rsidR="00BA1C30" w:rsidRPr="00B97262">
              <w:rPr>
                <w:rStyle w:val="Hyperlink"/>
              </w:rPr>
              <w:t>Parental Opt-Outs</w:t>
            </w:r>
            <w:r w:rsidR="00BA1C30">
              <w:rPr>
                <w:webHidden/>
              </w:rPr>
              <w:tab/>
            </w:r>
            <w:r w:rsidR="00BA1C30">
              <w:rPr>
                <w:webHidden/>
              </w:rPr>
              <w:fldChar w:fldCharType="begin"/>
            </w:r>
            <w:r w:rsidR="00BA1C30">
              <w:rPr>
                <w:webHidden/>
              </w:rPr>
              <w:instrText xml:space="preserve"> PAGEREF _Toc151712154 \h </w:instrText>
            </w:r>
            <w:r w:rsidR="00BA1C30">
              <w:rPr>
                <w:webHidden/>
              </w:rPr>
            </w:r>
            <w:r w:rsidR="00BA1C30">
              <w:rPr>
                <w:webHidden/>
              </w:rPr>
              <w:fldChar w:fldCharType="separate"/>
            </w:r>
            <w:r w:rsidR="00581561">
              <w:rPr>
                <w:webHidden/>
              </w:rPr>
              <w:t>7</w:t>
            </w:r>
            <w:r w:rsidR="00BA1C30">
              <w:rPr>
                <w:webHidden/>
              </w:rPr>
              <w:fldChar w:fldCharType="end"/>
            </w:r>
          </w:hyperlink>
        </w:p>
        <w:p w14:paraId="7162BBA7" w14:textId="1F4E11B3" w:rsidR="00BA1C30" w:rsidRDefault="00F05CC7">
          <w:pPr>
            <w:pStyle w:val="TOC1"/>
            <w:rPr>
              <w:rFonts w:asciiTheme="minorHAnsi" w:hAnsiTheme="minorHAnsi"/>
              <w:b w:val="0"/>
              <w:kern w:val="2"/>
              <w:sz w:val="22"/>
              <w:szCs w:val="22"/>
              <w:lang w:eastAsia="en-GB"/>
              <w14:ligatures w14:val="standardContextual"/>
            </w:rPr>
          </w:pPr>
          <w:hyperlink w:anchor="_Toc151712155" w:history="1">
            <w:r w:rsidR="00BA1C30" w:rsidRPr="00B97262">
              <w:rPr>
                <w:rStyle w:val="Hyperlink"/>
              </w:rPr>
              <w:t>3.0</w:t>
            </w:r>
            <w:r w:rsidR="00BA1C30">
              <w:rPr>
                <w:rFonts w:asciiTheme="minorHAnsi" w:hAnsiTheme="minorHAnsi"/>
                <w:b w:val="0"/>
                <w:kern w:val="2"/>
                <w:sz w:val="22"/>
                <w:szCs w:val="22"/>
                <w:lang w:eastAsia="en-GB"/>
                <w14:ligatures w14:val="standardContextual"/>
              </w:rPr>
              <w:tab/>
            </w:r>
            <w:r w:rsidR="00BA1C30" w:rsidRPr="00B97262">
              <w:rPr>
                <w:rStyle w:val="Hyperlink"/>
              </w:rPr>
              <w:t>Guidance on Comprehensive RSE</w:t>
            </w:r>
            <w:r w:rsidR="00BA1C30">
              <w:rPr>
                <w:webHidden/>
              </w:rPr>
              <w:tab/>
            </w:r>
            <w:r w:rsidR="00BA1C30">
              <w:rPr>
                <w:webHidden/>
              </w:rPr>
              <w:fldChar w:fldCharType="begin"/>
            </w:r>
            <w:r w:rsidR="00BA1C30">
              <w:rPr>
                <w:webHidden/>
              </w:rPr>
              <w:instrText xml:space="preserve"> PAGEREF _Toc151712155 \h </w:instrText>
            </w:r>
            <w:r w:rsidR="00BA1C30">
              <w:rPr>
                <w:webHidden/>
              </w:rPr>
            </w:r>
            <w:r w:rsidR="00BA1C30">
              <w:rPr>
                <w:webHidden/>
              </w:rPr>
              <w:fldChar w:fldCharType="separate"/>
            </w:r>
            <w:r w:rsidR="00581561">
              <w:rPr>
                <w:webHidden/>
              </w:rPr>
              <w:t>13</w:t>
            </w:r>
            <w:r w:rsidR="00BA1C30">
              <w:rPr>
                <w:webHidden/>
              </w:rPr>
              <w:fldChar w:fldCharType="end"/>
            </w:r>
          </w:hyperlink>
        </w:p>
        <w:p w14:paraId="73C5F019" w14:textId="3E06F8B7" w:rsidR="00BA1C30" w:rsidRDefault="00F05CC7">
          <w:pPr>
            <w:pStyle w:val="TOC1"/>
            <w:rPr>
              <w:rFonts w:asciiTheme="minorHAnsi" w:hAnsiTheme="minorHAnsi"/>
              <w:b w:val="0"/>
              <w:kern w:val="2"/>
              <w:sz w:val="22"/>
              <w:szCs w:val="22"/>
              <w:lang w:eastAsia="en-GB"/>
              <w14:ligatures w14:val="standardContextual"/>
            </w:rPr>
          </w:pPr>
          <w:hyperlink w:anchor="_Toc151712156" w:history="1">
            <w:r w:rsidR="00BA1C30" w:rsidRPr="00B97262">
              <w:rPr>
                <w:rStyle w:val="Hyperlink"/>
              </w:rPr>
              <w:t>4.0</w:t>
            </w:r>
            <w:r w:rsidR="00BA1C30">
              <w:rPr>
                <w:rFonts w:asciiTheme="minorHAnsi" w:hAnsiTheme="minorHAnsi"/>
                <w:b w:val="0"/>
                <w:kern w:val="2"/>
                <w:sz w:val="22"/>
                <w:szCs w:val="22"/>
                <w:lang w:eastAsia="en-GB"/>
                <w14:ligatures w14:val="standardContextual"/>
              </w:rPr>
              <w:tab/>
            </w:r>
            <w:r w:rsidR="00BA1C30" w:rsidRPr="00B97262">
              <w:rPr>
                <w:rStyle w:val="Hyperlink"/>
              </w:rPr>
              <w:t>Data Collection and Monitoring</w:t>
            </w:r>
            <w:r w:rsidR="00BA1C30">
              <w:rPr>
                <w:webHidden/>
              </w:rPr>
              <w:tab/>
            </w:r>
            <w:r w:rsidR="00BA1C30">
              <w:rPr>
                <w:webHidden/>
              </w:rPr>
              <w:fldChar w:fldCharType="begin"/>
            </w:r>
            <w:r w:rsidR="00BA1C30">
              <w:rPr>
                <w:webHidden/>
              </w:rPr>
              <w:instrText xml:space="preserve"> PAGEREF _Toc151712156 \h </w:instrText>
            </w:r>
            <w:r w:rsidR="00BA1C30">
              <w:rPr>
                <w:webHidden/>
              </w:rPr>
            </w:r>
            <w:r w:rsidR="00BA1C30">
              <w:rPr>
                <w:webHidden/>
              </w:rPr>
              <w:fldChar w:fldCharType="separate"/>
            </w:r>
            <w:r w:rsidR="00581561">
              <w:rPr>
                <w:webHidden/>
              </w:rPr>
              <w:t>15</w:t>
            </w:r>
            <w:r w:rsidR="00BA1C30">
              <w:rPr>
                <w:webHidden/>
              </w:rPr>
              <w:fldChar w:fldCharType="end"/>
            </w:r>
          </w:hyperlink>
        </w:p>
        <w:p w14:paraId="0B98E7CC" w14:textId="51EBF5C4" w:rsidR="00BA1C30" w:rsidRDefault="00F05CC7">
          <w:pPr>
            <w:pStyle w:val="TOC1"/>
            <w:rPr>
              <w:rFonts w:asciiTheme="minorHAnsi" w:hAnsiTheme="minorHAnsi"/>
              <w:b w:val="0"/>
              <w:kern w:val="2"/>
              <w:sz w:val="22"/>
              <w:szCs w:val="22"/>
              <w:lang w:eastAsia="en-GB"/>
              <w14:ligatures w14:val="standardContextual"/>
            </w:rPr>
          </w:pPr>
          <w:hyperlink w:anchor="_Toc151712157" w:history="1">
            <w:r w:rsidR="00BA1C30" w:rsidRPr="00B97262">
              <w:rPr>
                <w:rStyle w:val="Hyperlink"/>
              </w:rPr>
              <w:t>5.0</w:t>
            </w:r>
            <w:r w:rsidR="00BA1C30">
              <w:rPr>
                <w:rFonts w:asciiTheme="minorHAnsi" w:hAnsiTheme="minorHAnsi"/>
                <w:b w:val="0"/>
                <w:kern w:val="2"/>
                <w:sz w:val="22"/>
                <w:szCs w:val="22"/>
                <w:lang w:eastAsia="en-GB"/>
                <w14:ligatures w14:val="standardContextual"/>
              </w:rPr>
              <w:tab/>
            </w:r>
            <w:r w:rsidR="00BA1C30" w:rsidRPr="00B97262">
              <w:rPr>
                <w:rStyle w:val="Hyperlink"/>
              </w:rPr>
              <w:t>The Voice of Children and Young People</w:t>
            </w:r>
            <w:r w:rsidR="00BA1C30">
              <w:rPr>
                <w:webHidden/>
              </w:rPr>
              <w:tab/>
            </w:r>
            <w:r w:rsidR="00BA1C30">
              <w:rPr>
                <w:webHidden/>
              </w:rPr>
              <w:fldChar w:fldCharType="begin"/>
            </w:r>
            <w:r w:rsidR="00BA1C30">
              <w:rPr>
                <w:webHidden/>
              </w:rPr>
              <w:instrText xml:space="preserve"> PAGEREF _Toc151712157 \h </w:instrText>
            </w:r>
            <w:r w:rsidR="00BA1C30">
              <w:rPr>
                <w:webHidden/>
              </w:rPr>
            </w:r>
            <w:r w:rsidR="00BA1C30">
              <w:rPr>
                <w:webHidden/>
              </w:rPr>
              <w:fldChar w:fldCharType="separate"/>
            </w:r>
            <w:r w:rsidR="00581561">
              <w:rPr>
                <w:webHidden/>
              </w:rPr>
              <w:t>16</w:t>
            </w:r>
            <w:r w:rsidR="00BA1C30">
              <w:rPr>
                <w:webHidden/>
              </w:rPr>
              <w:fldChar w:fldCharType="end"/>
            </w:r>
          </w:hyperlink>
        </w:p>
        <w:p w14:paraId="04012234" w14:textId="0E27F35F" w:rsidR="00BA1C30" w:rsidRDefault="00F05CC7">
          <w:pPr>
            <w:pStyle w:val="TOC1"/>
            <w:rPr>
              <w:rFonts w:asciiTheme="minorHAnsi" w:hAnsiTheme="minorHAnsi"/>
              <w:b w:val="0"/>
              <w:kern w:val="2"/>
              <w:sz w:val="22"/>
              <w:szCs w:val="22"/>
              <w:lang w:eastAsia="en-GB"/>
              <w14:ligatures w14:val="standardContextual"/>
            </w:rPr>
          </w:pPr>
          <w:hyperlink w:anchor="_Toc151712158" w:history="1">
            <w:r w:rsidR="00BA1C30" w:rsidRPr="00B97262">
              <w:rPr>
                <w:rStyle w:val="Hyperlink"/>
              </w:rPr>
              <w:t>6.0</w:t>
            </w:r>
            <w:r w:rsidR="00BA1C30">
              <w:rPr>
                <w:rFonts w:asciiTheme="minorHAnsi" w:hAnsiTheme="minorHAnsi"/>
                <w:b w:val="0"/>
                <w:kern w:val="2"/>
                <w:sz w:val="22"/>
                <w:szCs w:val="22"/>
                <w:lang w:eastAsia="en-GB"/>
                <w14:ligatures w14:val="standardContextual"/>
              </w:rPr>
              <w:tab/>
            </w:r>
            <w:r w:rsidR="00BA1C30" w:rsidRPr="00B97262">
              <w:rPr>
                <w:rStyle w:val="Hyperlink"/>
              </w:rPr>
              <w:t>Teaching and Learning Resources</w:t>
            </w:r>
            <w:r w:rsidR="00BA1C30">
              <w:rPr>
                <w:webHidden/>
              </w:rPr>
              <w:tab/>
            </w:r>
            <w:r w:rsidR="00BA1C30">
              <w:rPr>
                <w:webHidden/>
              </w:rPr>
              <w:fldChar w:fldCharType="begin"/>
            </w:r>
            <w:r w:rsidR="00BA1C30">
              <w:rPr>
                <w:webHidden/>
              </w:rPr>
              <w:instrText xml:space="preserve"> PAGEREF _Toc151712158 \h </w:instrText>
            </w:r>
            <w:r w:rsidR="00BA1C30">
              <w:rPr>
                <w:webHidden/>
              </w:rPr>
            </w:r>
            <w:r w:rsidR="00BA1C30">
              <w:rPr>
                <w:webHidden/>
              </w:rPr>
              <w:fldChar w:fldCharType="separate"/>
            </w:r>
            <w:r w:rsidR="00581561">
              <w:rPr>
                <w:webHidden/>
              </w:rPr>
              <w:t>17</w:t>
            </w:r>
            <w:r w:rsidR="00BA1C30">
              <w:rPr>
                <w:webHidden/>
              </w:rPr>
              <w:fldChar w:fldCharType="end"/>
            </w:r>
          </w:hyperlink>
        </w:p>
        <w:p w14:paraId="3A89D4FF" w14:textId="5C7C769B" w:rsidR="00BA1C30" w:rsidRDefault="00F05CC7">
          <w:pPr>
            <w:pStyle w:val="TOC1"/>
            <w:rPr>
              <w:rFonts w:asciiTheme="minorHAnsi" w:hAnsiTheme="minorHAnsi"/>
              <w:b w:val="0"/>
              <w:kern w:val="2"/>
              <w:sz w:val="22"/>
              <w:szCs w:val="22"/>
              <w:lang w:eastAsia="en-GB"/>
              <w14:ligatures w14:val="standardContextual"/>
            </w:rPr>
          </w:pPr>
          <w:hyperlink w:anchor="_Toc151712159" w:history="1">
            <w:r w:rsidR="00BA1C30" w:rsidRPr="00B97262">
              <w:rPr>
                <w:rStyle w:val="Hyperlink"/>
              </w:rPr>
              <w:t>7.0 Human Rights Impact Assessment</w:t>
            </w:r>
            <w:r w:rsidR="00BA1C30">
              <w:rPr>
                <w:webHidden/>
              </w:rPr>
              <w:tab/>
            </w:r>
            <w:r w:rsidR="00BA1C30">
              <w:rPr>
                <w:webHidden/>
              </w:rPr>
              <w:fldChar w:fldCharType="begin"/>
            </w:r>
            <w:r w:rsidR="00BA1C30">
              <w:rPr>
                <w:webHidden/>
              </w:rPr>
              <w:instrText xml:space="preserve"> PAGEREF _Toc151712159 \h </w:instrText>
            </w:r>
            <w:r w:rsidR="00BA1C30">
              <w:rPr>
                <w:webHidden/>
              </w:rPr>
            </w:r>
            <w:r w:rsidR="00BA1C30">
              <w:rPr>
                <w:webHidden/>
              </w:rPr>
              <w:fldChar w:fldCharType="separate"/>
            </w:r>
            <w:r w:rsidR="00581561">
              <w:rPr>
                <w:webHidden/>
              </w:rPr>
              <w:t>18</w:t>
            </w:r>
            <w:r w:rsidR="00BA1C30">
              <w:rPr>
                <w:webHidden/>
              </w:rPr>
              <w:fldChar w:fldCharType="end"/>
            </w:r>
          </w:hyperlink>
        </w:p>
        <w:p w14:paraId="72606A98" w14:textId="54BD05A4" w:rsidR="00A92DC2" w:rsidRPr="00564A3B" w:rsidRDefault="00A92DC2">
          <w:pPr>
            <w:rPr>
              <w:rFonts w:ascii="Verdana" w:hAnsi="Verdana"/>
            </w:rPr>
          </w:pPr>
          <w:r w:rsidRPr="000778C1">
            <w:rPr>
              <w:rFonts w:ascii="Verdana" w:hAnsi="Verdana"/>
              <w:b/>
              <w:bCs/>
              <w:noProof/>
            </w:rPr>
            <w:fldChar w:fldCharType="end"/>
          </w:r>
        </w:p>
      </w:sdtContent>
    </w:sdt>
    <w:p w14:paraId="6F09D0D5" w14:textId="77777777" w:rsidR="001E79A9" w:rsidRPr="00564A3B" w:rsidRDefault="001E79A9" w:rsidP="0055193F">
      <w:pPr>
        <w:pStyle w:val="Default"/>
        <w:spacing w:before="24" w:after="24" w:line="288" w:lineRule="auto"/>
        <w:rPr>
          <w:rFonts w:cs="Arial"/>
          <w:b/>
          <w:color w:val="232120"/>
        </w:rPr>
      </w:pPr>
    </w:p>
    <w:p w14:paraId="669D6E2B" w14:textId="77777777" w:rsidR="00EA12CE" w:rsidRPr="00564A3B" w:rsidRDefault="00EA12CE" w:rsidP="0055193F">
      <w:pPr>
        <w:pStyle w:val="Default"/>
        <w:spacing w:before="24" w:after="24" w:line="288" w:lineRule="auto"/>
        <w:rPr>
          <w:rFonts w:cs="Arial"/>
          <w:b/>
          <w:color w:val="232120"/>
        </w:rPr>
      </w:pPr>
    </w:p>
    <w:p w14:paraId="40984BF3" w14:textId="77777777" w:rsidR="00EA12CE" w:rsidRPr="00564A3B" w:rsidRDefault="00EA12CE" w:rsidP="0055193F">
      <w:pPr>
        <w:pStyle w:val="Default"/>
        <w:spacing w:before="24" w:after="24" w:line="288" w:lineRule="auto"/>
        <w:rPr>
          <w:rFonts w:cs="Arial"/>
          <w:b/>
          <w:color w:val="232120"/>
        </w:rPr>
      </w:pPr>
    </w:p>
    <w:p w14:paraId="2DA68B6F" w14:textId="77777777" w:rsidR="00EA12CE" w:rsidRPr="00564A3B" w:rsidRDefault="00EA12CE" w:rsidP="0055193F">
      <w:pPr>
        <w:pStyle w:val="Default"/>
        <w:spacing w:before="24" w:after="24" w:line="288" w:lineRule="auto"/>
        <w:rPr>
          <w:rFonts w:cs="Arial"/>
          <w:b/>
          <w:color w:val="232120"/>
        </w:rPr>
      </w:pPr>
    </w:p>
    <w:p w14:paraId="693FF937" w14:textId="77777777" w:rsidR="00EA12CE" w:rsidRPr="00564A3B" w:rsidRDefault="00EA12CE" w:rsidP="0055193F">
      <w:pPr>
        <w:pStyle w:val="Default"/>
        <w:spacing w:before="24" w:after="24" w:line="288" w:lineRule="auto"/>
        <w:rPr>
          <w:rFonts w:cs="Arial"/>
          <w:b/>
          <w:color w:val="232120"/>
        </w:rPr>
      </w:pPr>
    </w:p>
    <w:p w14:paraId="56488F4B" w14:textId="77777777" w:rsidR="00EA12CE" w:rsidRPr="00564A3B" w:rsidRDefault="00EA12CE" w:rsidP="0055193F">
      <w:pPr>
        <w:pStyle w:val="Default"/>
        <w:spacing w:before="24" w:after="24" w:line="288" w:lineRule="auto"/>
        <w:rPr>
          <w:rFonts w:cs="Arial"/>
          <w:b/>
          <w:color w:val="232120"/>
        </w:rPr>
      </w:pPr>
    </w:p>
    <w:p w14:paraId="38AE01B2" w14:textId="77777777" w:rsidR="00EA12CE" w:rsidRPr="00564A3B" w:rsidRDefault="00EA12CE" w:rsidP="0055193F">
      <w:pPr>
        <w:pStyle w:val="Default"/>
        <w:spacing w:before="24" w:after="24" w:line="288" w:lineRule="auto"/>
        <w:rPr>
          <w:rFonts w:cs="Arial"/>
          <w:b/>
          <w:color w:val="232120"/>
        </w:rPr>
      </w:pPr>
    </w:p>
    <w:p w14:paraId="0683CE27" w14:textId="77777777" w:rsidR="00EA12CE" w:rsidRDefault="00EA12CE" w:rsidP="0055193F">
      <w:pPr>
        <w:pStyle w:val="Default"/>
        <w:spacing w:before="24" w:after="24" w:line="288" w:lineRule="auto"/>
        <w:rPr>
          <w:rFonts w:cs="Arial"/>
          <w:b/>
          <w:color w:val="232120"/>
        </w:rPr>
      </w:pPr>
    </w:p>
    <w:p w14:paraId="3234D422" w14:textId="77777777" w:rsidR="00CB168C" w:rsidRDefault="00CB168C" w:rsidP="0055193F">
      <w:pPr>
        <w:pStyle w:val="Default"/>
        <w:spacing w:before="24" w:after="24" w:line="288" w:lineRule="auto"/>
        <w:rPr>
          <w:rFonts w:cs="Arial"/>
          <w:b/>
          <w:color w:val="232120"/>
        </w:rPr>
      </w:pPr>
    </w:p>
    <w:p w14:paraId="30923DD9" w14:textId="77777777" w:rsidR="00CB168C" w:rsidRDefault="00CB168C" w:rsidP="0055193F">
      <w:pPr>
        <w:pStyle w:val="Default"/>
        <w:spacing w:before="24" w:after="24" w:line="288" w:lineRule="auto"/>
        <w:rPr>
          <w:rFonts w:cs="Arial"/>
          <w:b/>
          <w:color w:val="232120"/>
        </w:rPr>
      </w:pPr>
    </w:p>
    <w:p w14:paraId="3373856D" w14:textId="77777777" w:rsidR="00CB168C" w:rsidRDefault="00CB168C" w:rsidP="0055193F">
      <w:pPr>
        <w:pStyle w:val="Default"/>
        <w:spacing w:before="24" w:after="24" w:line="288" w:lineRule="auto"/>
        <w:rPr>
          <w:rFonts w:cs="Arial"/>
          <w:b/>
          <w:color w:val="232120"/>
        </w:rPr>
      </w:pPr>
    </w:p>
    <w:p w14:paraId="2D4DB743" w14:textId="77777777" w:rsidR="00CB168C" w:rsidRDefault="00CB168C" w:rsidP="0055193F">
      <w:pPr>
        <w:pStyle w:val="Default"/>
        <w:spacing w:before="24" w:after="24" w:line="288" w:lineRule="auto"/>
        <w:rPr>
          <w:rFonts w:cs="Arial"/>
          <w:b/>
          <w:color w:val="232120"/>
        </w:rPr>
      </w:pPr>
    </w:p>
    <w:p w14:paraId="1834EF35" w14:textId="77777777" w:rsidR="00CB168C" w:rsidRDefault="00CB168C" w:rsidP="0055193F">
      <w:pPr>
        <w:pStyle w:val="Default"/>
        <w:spacing w:before="24" w:after="24" w:line="288" w:lineRule="auto"/>
        <w:rPr>
          <w:rFonts w:cs="Arial"/>
          <w:b/>
          <w:color w:val="232120"/>
        </w:rPr>
      </w:pPr>
    </w:p>
    <w:p w14:paraId="726F79A9" w14:textId="77777777" w:rsidR="00CB168C" w:rsidRDefault="00CB168C" w:rsidP="0055193F">
      <w:pPr>
        <w:pStyle w:val="Default"/>
        <w:spacing w:before="24" w:after="24" w:line="288" w:lineRule="auto"/>
        <w:rPr>
          <w:rFonts w:cs="Arial"/>
          <w:b/>
          <w:color w:val="232120"/>
        </w:rPr>
      </w:pPr>
    </w:p>
    <w:p w14:paraId="72D774CA" w14:textId="77777777" w:rsidR="00CB168C" w:rsidRDefault="00CB168C" w:rsidP="0055193F">
      <w:pPr>
        <w:pStyle w:val="Default"/>
        <w:spacing w:before="24" w:after="24" w:line="288" w:lineRule="auto"/>
        <w:rPr>
          <w:rFonts w:cs="Arial"/>
          <w:b/>
          <w:color w:val="232120"/>
        </w:rPr>
      </w:pPr>
    </w:p>
    <w:p w14:paraId="2CE236A5" w14:textId="77777777" w:rsidR="00CB168C" w:rsidRDefault="00CB168C" w:rsidP="0055193F">
      <w:pPr>
        <w:pStyle w:val="Default"/>
        <w:spacing w:before="24" w:after="24" w:line="288" w:lineRule="auto"/>
        <w:rPr>
          <w:rFonts w:cs="Arial"/>
          <w:b/>
          <w:color w:val="232120"/>
        </w:rPr>
      </w:pPr>
    </w:p>
    <w:p w14:paraId="640A6D80" w14:textId="77777777" w:rsidR="00CB168C" w:rsidRDefault="00CB168C" w:rsidP="0055193F">
      <w:pPr>
        <w:pStyle w:val="Default"/>
        <w:spacing w:before="24" w:after="24" w:line="288" w:lineRule="auto"/>
        <w:rPr>
          <w:rFonts w:cs="Arial"/>
          <w:b/>
          <w:color w:val="232120"/>
        </w:rPr>
      </w:pPr>
    </w:p>
    <w:p w14:paraId="709BA341" w14:textId="77777777" w:rsidR="00CB168C" w:rsidRDefault="00CB168C" w:rsidP="0055193F">
      <w:pPr>
        <w:pStyle w:val="Default"/>
        <w:spacing w:before="24" w:after="24" w:line="288" w:lineRule="auto"/>
        <w:rPr>
          <w:rFonts w:cs="Arial"/>
          <w:b/>
          <w:color w:val="232120"/>
        </w:rPr>
      </w:pPr>
    </w:p>
    <w:p w14:paraId="54CF1EE6" w14:textId="77777777" w:rsidR="00CB168C" w:rsidRDefault="00CB168C" w:rsidP="0055193F">
      <w:pPr>
        <w:pStyle w:val="Default"/>
        <w:spacing w:before="24" w:after="24" w:line="288" w:lineRule="auto"/>
        <w:rPr>
          <w:rFonts w:cs="Arial"/>
          <w:b/>
          <w:color w:val="232120"/>
        </w:rPr>
      </w:pPr>
    </w:p>
    <w:p w14:paraId="3F30942B" w14:textId="77777777" w:rsidR="00CB168C" w:rsidRDefault="00CB168C" w:rsidP="0055193F">
      <w:pPr>
        <w:pStyle w:val="Default"/>
        <w:spacing w:before="24" w:after="24" w:line="288" w:lineRule="auto"/>
        <w:rPr>
          <w:rFonts w:cs="Arial"/>
          <w:b/>
          <w:color w:val="232120"/>
        </w:rPr>
      </w:pPr>
    </w:p>
    <w:p w14:paraId="1E2C1E29" w14:textId="77777777" w:rsidR="00CB168C" w:rsidRDefault="00CB168C" w:rsidP="0055193F">
      <w:pPr>
        <w:pStyle w:val="Default"/>
        <w:spacing w:before="24" w:after="24" w:line="288" w:lineRule="auto"/>
        <w:rPr>
          <w:rFonts w:cs="Arial"/>
          <w:b/>
          <w:color w:val="232120"/>
        </w:rPr>
      </w:pPr>
    </w:p>
    <w:p w14:paraId="4BFD0F29" w14:textId="77777777" w:rsidR="00CB168C" w:rsidRDefault="00CB168C" w:rsidP="0055193F">
      <w:pPr>
        <w:pStyle w:val="Default"/>
        <w:spacing w:before="24" w:after="24" w:line="288" w:lineRule="auto"/>
        <w:rPr>
          <w:rFonts w:cs="Arial"/>
          <w:b/>
          <w:color w:val="232120"/>
        </w:rPr>
      </w:pPr>
    </w:p>
    <w:p w14:paraId="32B9ABDE" w14:textId="77777777" w:rsidR="00CB168C" w:rsidRDefault="00CB168C" w:rsidP="0055193F">
      <w:pPr>
        <w:pStyle w:val="Default"/>
        <w:spacing w:before="24" w:after="24" w:line="288" w:lineRule="auto"/>
        <w:rPr>
          <w:rFonts w:cs="Arial"/>
          <w:b/>
          <w:color w:val="232120"/>
        </w:rPr>
      </w:pPr>
    </w:p>
    <w:p w14:paraId="78A4B846" w14:textId="77777777" w:rsidR="00CB168C" w:rsidRDefault="00CB168C" w:rsidP="0055193F">
      <w:pPr>
        <w:pStyle w:val="Default"/>
        <w:spacing w:before="24" w:after="24" w:line="288" w:lineRule="auto"/>
        <w:rPr>
          <w:rFonts w:cs="Arial"/>
          <w:b/>
          <w:color w:val="232120"/>
        </w:rPr>
      </w:pPr>
    </w:p>
    <w:p w14:paraId="01E23621" w14:textId="77777777" w:rsidR="00CB168C" w:rsidRDefault="00CB168C" w:rsidP="0055193F">
      <w:pPr>
        <w:pStyle w:val="Default"/>
        <w:spacing w:before="24" w:after="24" w:line="288" w:lineRule="auto"/>
        <w:rPr>
          <w:rFonts w:cs="Arial"/>
          <w:b/>
          <w:color w:val="232120"/>
        </w:rPr>
      </w:pPr>
    </w:p>
    <w:p w14:paraId="6998E5AE" w14:textId="77777777" w:rsidR="00CB168C" w:rsidRPr="00564A3B" w:rsidRDefault="00CB168C" w:rsidP="0055193F">
      <w:pPr>
        <w:pStyle w:val="Default"/>
        <w:spacing w:before="24" w:after="24" w:line="288" w:lineRule="auto"/>
        <w:rPr>
          <w:rFonts w:cs="Arial"/>
          <w:b/>
          <w:color w:val="232120"/>
        </w:rPr>
      </w:pPr>
    </w:p>
    <w:p w14:paraId="7CE73BCF" w14:textId="77777777" w:rsidR="00580048" w:rsidRPr="00564A3B" w:rsidRDefault="00580048" w:rsidP="00580048">
      <w:pPr>
        <w:pStyle w:val="Heading1"/>
      </w:pPr>
      <w:bookmarkStart w:id="0" w:name="_Toc151712152"/>
      <w:r w:rsidRPr="00564A3B">
        <w:lastRenderedPageBreak/>
        <w:t>Summary of Recommendations</w:t>
      </w:r>
      <w:bookmarkEnd w:id="0"/>
    </w:p>
    <w:tbl>
      <w:tblPr>
        <w:tblStyle w:val="TableGrid"/>
        <w:tblW w:w="0" w:type="auto"/>
        <w:tblLook w:val="04A0" w:firstRow="1" w:lastRow="0" w:firstColumn="1" w:lastColumn="0" w:noHBand="0" w:noVBand="1"/>
      </w:tblPr>
      <w:tblGrid>
        <w:gridCol w:w="9848"/>
      </w:tblGrid>
      <w:tr w:rsidR="00DE7230" w14:paraId="16D842EB" w14:textId="77777777" w:rsidTr="00DE7230">
        <w:tc>
          <w:tcPr>
            <w:tcW w:w="9848" w:type="dxa"/>
          </w:tcPr>
          <w:p w14:paraId="2B6A3C89" w14:textId="3A929CA8" w:rsidR="00DE7230" w:rsidRDefault="00BA1C30" w:rsidP="009E4E97">
            <w:pPr>
              <w:pStyle w:val="Default"/>
              <w:spacing w:before="24" w:after="24" w:line="288" w:lineRule="auto"/>
              <w:rPr>
                <w:rFonts w:cs="Arial"/>
                <w:bCs/>
                <w:color w:val="232120"/>
              </w:rPr>
            </w:pPr>
            <w:r>
              <w:rPr>
                <w:rFonts w:cs="Arial"/>
                <w:bCs/>
                <w:color w:val="232120"/>
              </w:rPr>
              <w:t>The NI Human Rights Commission recommends:</w:t>
            </w:r>
          </w:p>
          <w:p w14:paraId="31BEBE19" w14:textId="77777777" w:rsidR="00BA1C30" w:rsidRDefault="00BA1C30" w:rsidP="009E4E97">
            <w:pPr>
              <w:pStyle w:val="Default"/>
              <w:spacing w:before="24" w:after="24" w:line="288" w:lineRule="auto"/>
              <w:rPr>
                <w:rFonts w:cs="Arial"/>
                <w:bCs/>
                <w:color w:val="232120"/>
              </w:rPr>
            </w:pPr>
          </w:p>
          <w:p w14:paraId="6D69353C" w14:textId="77777777" w:rsidR="00BA1C30" w:rsidRPr="00571B07" w:rsidRDefault="00BA1C30" w:rsidP="00BA1C30">
            <w:pPr>
              <w:pStyle w:val="BasicParagraph"/>
              <w:tabs>
                <w:tab w:val="left" w:pos="993"/>
              </w:tabs>
              <w:suppressAutoHyphens/>
              <w:rPr>
                <w:rFonts w:ascii="Verdana" w:hAnsi="Verdana" w:cs="Arial"/>
                <w:b/>
                <w:bCs/>
                <w:color w:val="232120"/>
                <w:lang w:val="en-US"/>
              </w:rPr>
            </w:pPr>
            <w:r>
              <w:rPr>
                <w:rFonts w:ascii="Verdana" w:hAnsi="Verdana" w:cs="Arial"/>
                <w:b/>
                <w:bCs/>
                <w:color w:val="232120"/>
                <w:lang w:val="en-US"/>
              </w:rPr>
              <w:t xml:space="preserve">2.20 </w:t>
            </w:r>
            <w:r w:rsidRPr="00571B07">
              <w:rPr>
                <w:rFonts w:ascii="Verdana" w:hAnsi="Verdana" w:cs="Arial"/>
                <w:b/>
                <w:bCs/>
                <w:color w:val="232120"/>
                <w:lang w:val="en-US"/>
              </w:rPr>
              <w:t xml:space="preserve">that the guidance being developed by the Department of Education articulates expressly the fundamental right of children and young people to an education and to exercise agency and autonomy in the exercise of that right.  </w:t>
            </w:r>
          </w:p>
          <w:p w14:paraId="782C2DB0" w14:textId="77777777" w:rsidR="00BA1C30" w:rsidRPr="00571B07" w:rsidRDefault="00BA1C30" w:rsidP="00BA1C30">
            <w:pPr>
              <w:pStyle w:val="BasicParagraph"/>
              <w:tabs>
                <w:tab w:val="left" w:pos="993"/>
              </w:tabs>
              <w:suppressAutoHyphens/>
              <w:ind w:left="360"/>
              <w:rPr>
                <w:rFonts w:ascii="Verdana" w:hAnsi="Verdana" w:cs="Arial"/>
                <w:b/>
                <w:bCs/>
                <w:color w:val="232120"/>
                <w:lang w:val="en-US"/>
              </w:rPr>
            </w:pPr>
          </w:p>
          <w:p w14:paraId="51E1B28C" w14:textId="77777777" w:rsidR="00BA1C30" w:rsidRPr="00571B07" w:rsidRDefault="00BA1C30" w:rsidP="00BA1C30">
            <w:pPr>
              <w:pStyle w:val="BasicParagraph"/>
              <w:tabs>
                <w:tab w:val="left" w:pos="993"/>
              </w:tabs>
              <w:suppressAutoHyphens/>
              <w:rPr>
                <w:rFonts w:ascii="Verdana" w:hAnsi="Verdana" w:cs="Arial"/>
                <w:b/>
                <w:bCs/>
                <w:color w:val="232120"/>
                <w:lang w:val="en-US"/>
              </w:rPr>
            </w:pPr>
            <w:r>
              <w:rPr>
                <w:rFonts w:ascii="Verdana" w:hAnsi="Verdana" w:cs="Arial"/>
                <w:b/>
                <w:bCs/>
                <w:color w:val="232120"/>
                <w:lang w:val="en-US"/>
              </w:rPr>
              <w:t xml:space="preserve">2.21 </w:t>
            </w:r>
            <w:r w:rsidRPr="00571B07">
              <w:rPr>
                <w:rFonts w:ascii="Verdana" w:hAnsi="Verdana" w:cs="Arial"/>
                <w:b/>
                <w:bCs/>
                <w:color w:val="232120"/>
                <w:lang w:val="en-US"/>
              </w:rPr>
              <w:t xml:space="preserve">that the Department of Education ensures that the criteria for parental withdrawal are clear and limited. </w:t>
            </w:r>
          </w:p>
          <w:p w14:paraId="5A8B7734" w14:textId="77777777" w:rsidR="00BA1C30" w:rsidRDefault="00BA1C30" w:rsidP="00BA1C30">
            <w:pPr>
              <w:pStyle w:val="BasicParagraph"/>
              <w:tabs>
                <w:tab w:val="left" w:pos="993"/>
              </w:tabs>
              <w:suppressAutoHyphens/>
              <w:ind w:left="360"/>
              <w:rPr>
                <w:rFonts w:ascii="Verdana" w:hAnsi="Verdana" w:cs="Arial"/>
                <w:b/>
                <w:bCs/>
                <w:color w:val="232120"/>
                <w:lang w:val="en-US"/>
              </w:rPr>
            </w:pPr>
            <w:r w:rsidRPr="00571B07">
              <w:rPr>
                <w:rFonts w:ascii="Verdana" w:hAnsi="Verdana" w:cs="Arial"/>
                <w:b/>
                <w:bCs/>
                <w:color w:val="232120"/>
                <w:lang w:val="en-US"/>
              </w:rPr>
              <w:t xml:space="preserve"> </w:t>
            </w:r>
          </w:p>
          <w:p w14:paraId="3368F7A2" w14:textId="77777777" w:rsidR="00BA1C30" w:rsidRPr="00571B07" w:rsidRDefault="00BA1C30" w:rsidP="00BA1C30">
            <w:pPr>
              <w:pStyle w:val="BasicParagraph"/>
              <w:tabs>
                <w:tab w:val="left" w:pos="993"/>
              </w:tabs>
              <w:suppressAutoHyphens/>
              <w:rPr>
                <w:rFonts w:ascii="Verdana" w:hAnsi="Verdana" w:cs="Arial"/>
                <w:b/>
                <w:bCs/>
                <w:color w:val="232120"/>
                <w:lang w:val="en-US"/>
              </w:rPr>
            </w:pPr>
            <w:r>
              <w:rPr>
                <w:rFonts w:ascii="Verdana" w:hAnsi="Verdana" w:cs="Arial"/>
                <w:b/>
                <w:bCs/>
                <w:color w:val="232120"/>
                <w:lang w:val="en-US"/>
              </w:rPr>
              <w:t xml:space="preserve">2.22 </w:t>
            </w:r>
            <w:r w:rsidRPr="00571B07">
              <w:rPr>
                <w:rFonts w:ascii="Verdana" w:hAnsi="Verdana" w:cs="Arial"/>
                <w:b/>
                <w:bCs/>
                <w:color w:val="232120"/>
                <w:lang w:val="en-US"/>
              </w:rPr>
              <w:t xml:space="preserve">that the Department of Education develops a strategy to raise awareness of the benefits of holistic RSE and to address any myths or misconceptions relating to the provision of RSE lessons that may increase the likelihood of parental withdrawal. </w:t>
            </w:r>
          </w:p>
          <w:p w14:paraId="5CF0D159" w14:textId="77777777" w:rsidR="00BA1C30" w:rsidRPr="00571B07" w:rsidRDefault="00BA1C30" w:rsidP="00BA1C30">
            <w:pPr>
              <w:pStyle w:val="BasicParagraph"/>
              <w:tabs>
                <w:tab w:val="left" w:pos="993"/>
              </w:tabs>
              <w:suppressAutoHyphens/>
              <w:ind w:left="360"/>
              <w:rPr>
                <w:rFonts w:ascii="Verdana" w:hAnsi="Verdana" w:cs="Arial"/>
                <w:b/>
                <w:bCs/>
                <w:color w:val="232120"/>
                <w:lang w:val="en-US"/>
              </w:rPr>
            </w:pPr>
          </w:p>
          <w:p w14:paraId="1D9C38D2" w14:textId="77777777" w:rsidR="00BA1C30" w:rsidRPr="00571B07" w:rsidRDefault="00BA1C30" w:rsidP="00BA1C30">
            <w:pPr>
              <w:pStyle w:val="BasicParagraph"/>
              <w:tabs>
                <w:tab w:val="left" w:pos="993"/>
              </w:tabs>
              <w:suppressAutoHyphens/>
              <w:rPr>
                <w:rFonts w:ascii="Verdana" w:hAnsi="Verdana" w:cs="Arial"/>
                <w:b/>
                <w:bCs/>
                <w:color w:val="232120"/>
              </w:rPr>
            </w:pPr>
            <w:r>
              <w:rPr>
                <w:rFonts w:ascii="Verdana" w:hAnsi="Verdana" w:cs="Arial"/>
                <w:b/>
                <w:bCs/>
                <w:color w:val="232120"/>
                <w:lang w:val="en-US"/>
              </w:rPr>
              <w:t xml:space="preserve">2.23 </w:t>
            </w:r>
            <w:r w:rsidRPr="00571B07">
              <w:rPr>
                <w:rFonts w:ascii="Verdana" w:hAnsi="Verdana" w:cs="Arial"/>
                <w:b/>
                <w:bCs/>
                <w:color w:val="232120"/>
                <w:lang w:val="en-US"/>
              </w:rPr>
              <w:t xml:space="preserve">that the Department of Education develops measures to mitigate against the adverse impact of children and young people being withdrawn from RSE lessons. For example, requiring schools to advise parents of the right of children and young people to education and participation; developing guidance on when children and young people may decide to opt back in to RSE lessons; and providing alternative educational arrangements for children and young people who have been withdrawn from RSE. </w:t>
            </w:r>
          </w:p>
          <w:p w14:paraId="0D3CA2F0" w14:textId="77777777" w:rsidR="00BA1C30" w:rsidRPr="00C71414" w:rsidRDefault="00BA1C30" w:rsidP="00BA1C30">
            <w:pPr>
              <w:pStyle w:val="BasicParagraph"/>
              <w:tabs>
                <w:tab w:val="left" w:pos="993"/>
              </w:tabs>
              <w:suppressAutoHyphens/>
              <w:ind w:left="360"/>
              <w:rPr>
                <w:rFonts w:ascii="Verdana" w:hAnsi="Verdana" w:cs="Arial"/>
                <w:color w:val="232120"/>
              </w:rPr>
            </w:pPr>
          </w:p>
          <w:p w14:paraId="6A439213" w14:textId="77777777" w:rsidR="00BA1C30" w:rsidRPr="00AF5136" w:rsidRDefault="00BA1C30" w:rsidP="00BA1C30">
            <w:pPr>
              <w:pStyle w:val="BasicParagraph"/>
              <w:tabs>
                <w:tab w:val="left" w:pos="993"/>
              </w:tabs>
              <w:suppressAutoHyphens/>
              <w:rPr>
                <w:rFonts w:ascii="Verdana" w:hAnsi="Verdana" w:cs="Arial"/>
                <w:bCs/>
                <w:color w:val="232120"/>
              </w:rPr>
            </w:pPr>
            <w:r>
              <w:rPr>
                <w:rFonts w:ascii="Verdana" w:hAnsi="Verdana" w:cs="Arial"/>
                <w:b/>
                <w:bCs/>
                <w:color w:val="232120"/>
              </w:rPr>
              <w:t xml:space="preserve">3.5 </w:t>
            </w:r>
            <w:r w:rsidRPr="00AF5136">
              <w:rPr>
                <w:rFonts w:ascii="Verdana" w:hAnsi="Verdana" w:cs="Arial"/>
                <w:b/>
                <w:bCs/>
                <w:color w:val="232120"/>
              </w:rPr>
              <w:t>that the guidance being developed by the Department of Education outlines the key elements that should be included within ‘comprehensive’ RSE. This should be developed to achieve the aim of ensuring that all elements of comprehensive RSE are delivered within every post-primary school in NI.</w:t>
            </w:r>
          </w:p>
          <w:p w14:paraId="3D47C848" w14:textId="77777777" w:rsidR="00BA1C30" w:rsidRPr="00AF5136" w:rsidRDefault="00BA1C30" w:rsidP="00BA1C30">
            <w:pPr>
              <w:pStyle w:val="BasicParagraph"/>
              <w:tabs>
                <w:tab w:val="left" w:pos="993"/>
              </w:tabs>
              <w:suppressAutoHyphens/>
              <w:rPr>
                <w:rFonts w:ascii="Verdana" w:hAnsi="Verdana" w:cs="Arial"/>
                <w:b/>
                <w:bCs/>
                <w:color w:val="232120"/>
              </w:rPr>
            </w:pPr>
          </w:p>
          <w:p w14:paraId="05DB42C8" w14:textId="77777777" w:rsidR="00BA1C30" w:rsidRPr="00AF5136" w:rsidRDefault="00BA1C30" w:rsidP="00BA1C30">
            <w:pPr>
              <w:pStyle w:val="BasicParagraph"/>
              <w:tabs>
                <w:tab w:val="left" w:pos="993"/>
              </w:tabs>
              <w:suppressAutoHyphens/>
              <w:rPr>
                <w:rFonts w:ascii="Verdana" w:hAnsi="Verdana" w:cs="Arial"/>
                <w:color w:val="232120"/>
              </w:rPr>
            </w:pPr>
            <w:r>
              <w:rPr>
                <w:rFonts w:ascii="Verdana" w:hAnsi="Verdana" w:cs="Arial"/>
                <w:b/>
                <w:bCs/>
                <w:color w:val="232120"/>
              </w:rPr>
              <w:t xml:space="preserve">3.6 </w:t>
            </w:r>
            <w:r w:rsidRPr="00AF5136">
              <w:rPr>
                <w:rFonts w:ascii="Verdana" w:hAnsi="Verdana" w:cs="Arial"/>
                <w:b/>
                <w:bCs/>
                <w:color w:val="232120"/>
              </w:rPr>
              <w:t xml:space="preserve">that guidance is developed following engagement with relevant stakeholders and experts to ensure that RSE programmes are inclusive and meet the educational needs of all students including but not limited to disabled students, ethnic minority students those with diverse gender and sexual identities.  </w:t>
            </w:r>
          </w:p>
          <w:p w14:paraId="479DB737" w14:textId="77777777" w:rsidR="00BA1C30" w:rsidRDefault="00BA1C30" w:rsidP="00BA1C30">
            <w:pPr>
              <w:pStyle w:val="BasicParagraph"/>
              <w:tabs>
                <w:tab w:val="left" w:pos="993"/>
              </w:tabs>
              <w:suppressAutoHyphens/>
              <w:rPr>
                <w:rFonts w:ascii="Verdana" w:hAnsi="Verdana" w:cs="Arial"/>
                <w:color w:val="232120"/>
              </w:rPr>
            </w:pPr>
          </w:p>
          <w:p w14:paraId="088A9A8A" w14:textId="77777777" w:rsidR="00BA1C30" w:rsidRPr="00926015" w:rsidRDefault="00BA1C30" w:rsidP="00BA1C30">
            <w:pPr>
              <w:pStyle w:val="BasicParagraph"/>
              <w:tabs>
                <w:tab w:val="left" w:pos="993"/>
              </w:tabs>
              <w:suppressAutoHyphens/>
              <w:rPr>
                <w:rFonts w:ascii="Verdana" w:hAnsi="Verdana" w:cs="Arial"/>
                <w:b/>
                <w:color w:val="232120"/>
              </w:rPr>
            </w:pPr>
            <w:r>
              <w:rPr>
                <w:rFonts w:ascii="Verdana" w:hAnsi="Verdana" w:cs="Arial"/>
                <w:b/>
                <w:color w:val="232120"/>
              </w:rPr>
              <w:t xml:space="preserve">4.3 </w:t>
            </w:r>
            <w:r w:rsidRPr="00926015">
              <w:rPr>
                <w:rFonts w:ascii="Verdana" w:hAnsi="Verdana" w:cs="Arial"/>
                <w:b/>
                <w:color w:val="232120"/>
              </w:rPr>
              <w:t xml:space="preserve">that the Department of Education collects data on the number of children and young people being withdrawn from </w:t>
            </w:r>
            <w:r w:rsidRPr="00926015">
              <w:rPr>
                <w:rFonts w:ascii="Verdana" w:hAnsi="Verdana" w:cs="Arial"/>
                <w:b/>
                <w:color w:val="232120"/>
                <w:lang w:val="en-US"/>
              </w:rPr>
              <w:t xml:space="preserve">RSE lessons, </w:t>
            </w:r>
            <w:r w:rsidRPr="00926015">
              <w:rPr>
                <w:rFonts w:ascii="Verdana" w:hAnsi="Verdana" w:cs="Arial"/>
                <w:b/>
                <w:color w:val="232120"/>
              </w:rPr>
              <w:lastRenderedPageBreak/>
              <w:t>including the reason for their withdrawal.</w:t>
            </w:r>
            <w:r w:rsidRPr="00926015">
              <w:rPr>
                <w:rFonts w:ascii="Verdana" w:hAnsi="Verdana" w:cs="Arial"/>
                <w:b/>
                <w:color w:val="232120"/>
                <w:lang w:val="en-US"/>
              </w:rPr>
              <w:t xml:space="preserve"> Data should be disaggregated to determine whether any specific groups are disproportionately impacted by the provision for opt-outs. For example, by age, disability, ethnicity, </w:t>
            </w:r>
            <w:proofErr w:type="gramStart"/>
            <w:r w:rsidRPr="00926015">
              <w:rPr>
                <w:rFonts w:ascii="Verdana" w:hAnsi="Verdana" w:cs="Arial"/>
                <w:b/>
                <w:color w:val="232120"/>
                <w:lang w:val="en-US"/>
              </w:rPr>
              <w:t>religion</w:t>
            </w:r>
            <w:proofErr w:type="gramEnd"/>
            <w:r w:rsidRPr="00926015">
              <w:rPr>
                <w:rFonts w:ascii="Verdana" w:hAnsi="Verdana" w:cs="Arial"/>
                <w:b/>
                <w:color w:val="232120"/>
                <w:lang w:val="en-US"/>
              </w:rPr>
              <w:t xml:space="preserve"> and sex. </w:t>
            </w:r>
          </w:p>
          <w:p w14:paraId="485766A4" w14:textId="77777777" w:rsidR="00BA1C30" w:rsidRDefault="00BA1C30" w:rsidP="00BA1C30">
            <w:pPr>
              <w:pStyle w:val="BasicParagraph"/>
              <w:tabs>
                <w:tab w:val="left" w:pos="993"/>
              </w:tabs>
              <w:suppressAutoHyphens/>
              <w:rPr>
                <w:rFonts w:ascii="Verdana" w:hAnsi="Verdana" w:cs="Arial"/>
                <w:color w:val="232120"/>
              </w:rPr>
            </w:pPr>
          </w:p>
          <w:p w14:paraId="5C09787E" w14:textId="77777777" w:rsidR="00BA1C30" w:rsidRPr="00283069" w:rsidRDefault="00BA1C30" w:rsidP="00BA1C30">
            <w:pPr>
              <w:pStyle w:val="BasicParagraph"/>
              <w:tabs>
                <w:tab w:val="left" w:pos="993"/>
              </w:tabs>
              <w:suppressAutoHyphens/>
              <w:rPr>
                <w:rFonts w:ascii="Verdana" w:hAnsi="Verdana" w:cs="Arial"/>
                <w:bCs/>
                <w:color w:val="232120"/>
              </w:rPr>
            </w:pPr>
            <w:r>
              <w:rPr>
                <w:rFonts w:ascii="Verdana" w:hAnsi="Verdana" w:cs="Arial"/>
                <w:b/>
                <w:bCs/>
                <w:color w:val="232120"/>
              </w:rPr>
              <w:t xml:space="preserve">4.5 </w:t>
            </w:r>
            <w:r w:rsidRPr="00283069">
              <w:rPr>
                <w:rFonts w:ascii="Verdana" w:hAnsi="Verdana" w:cs="Arial"/>
                <w:b/>
                <w:bCs/>
                <w:color w:val="232120"/>
              </w:rPr>
              <w:t xml:space="preserve">that in line with pre-existing arrangements, the ETI monitors the delivery of </w:t>
            </w:r>
            <w:r w:rsidRPr="00283069">
              <w:rPr>
                <w:rFonts w:ascii="Verdana" w:hAnsi="Verdana" w:cs="Arial"/>
                <w:b/>
                <w:color w:val="232120"/>
              </w:rPr>
              <w:t>comprehensive RSE.</w:t>
            </w:r>
            <w:r w:rsidRPr="00283069">
              <w:rPr>
                <w:rFonts w:ascii="Verdana" w:hAnsi="Verdana" w:cs="Arial"/>
                <w:bCs/>
                <w:color w:val="232120"/>
              </w:rPr>
              <w:t xml:space="preserve"> </w:t>
            </w:r>
          </w:p>
          <w:p w14:paraId="72606E95" w14:textId="77777777" w:rsidR="00BA1C30" w:rsidRDefault="00BA1C30" w:rsidP="00BA1C30">
            <w:pPr>
              <w:pStyle w:val="BasicParagraph"/>
              <w:tabs>
                <w:tab w:val="left" w:pos="993"/>
              </w:tabs>
              <w:suppressAutoHyphens/>
              <w:rPr>
                <w:rFonts w:ascii="Verdana" w:hAnsi="Verdana" w:cs="Arial"/>
                <w:color w:val="232120"/>
              </w:rPr>
            </w:pPr>
          </w:p>
          <w:p w14:paraId="787F5126" w14:textId="77777777" w:rsidR="00BA1C30" w:rsidRPr="0065322D" w:rsidRDefault="00BA1C30" w:rsidP="00BA1C30">
            <w:pPr>
              <w:pStyle w:val="BasicParagraph"/>
              <w:tabs>
                <w:tab w:val="left" w:pos="993"/>
              </w:tabs>
              <w:suppressAutoHyphens/>
              <w:rPr>
                <w:rFonts w:ascii="Verdana" w:hAnsi="Verdana" w:cs="Arial"/>
                <w:b/>
                <w:bCs/>
                <w:color w:val="232120"/>
              </w:rPr>
            </w:pPr>
            <w:r>
              <w:rPr>
                <w:rFonts w:ascii="Verdana" w:hAnsi="Verdana" w:cs="Arial"/>
                <w:b/>
                <w:bCs/>
                <w:color w:val="232120"/>
              </w:rPr>
              <w:t xml:space="preserve">4.7 </w:t>
            </w:r>
            <w:r w:rsidRPr="0065322D">
              <w:rPr>
                <w:rFonts w:ascii="Verdana" w:hAnsi="Verdana" w:cs="Arial"/>
                <w:b/>
                <w:bCs/>
                <w:color w:val="232120"/>
              </w:rPr>
              <w:t xml:space="preserve">that the RSE Curriculum and statutory guidance are regularly evaluated and revised by the Department of Education NI to ensure that they are accurate, human rights compliant, and adapting to emerging needs. </w:t>
            </w:r>
          </w:p>
          <w:p w14:paraId="475904EF" w14:textId="77777777" w:rsidR="00BA1C30" w:rsidRDefault="00BA1C30" w:rsidP="00BA1C30">
            <w:pPr>
              <w:pStyle w:val="BasicParagraph"/>
              <w:tabs>
                <w:tab w:val="left" w:pos="993"/>
              </w:tabs>
              <w:suppressAutoHyphens/>
              <w:rPr>
                <w:rFonts w:ascii="Verdana" w:hAnsi="Verdana" w:cs="Arial"/>
                <w:color w:val="232120"/>
              </w:rPr>
            </w:pPr>
          </w:p>
          <w:p w14:paraId="3D1F0E7B" w14:textId="77777777" w:rsidR="00BA1C30" w:rsidRDefault="00BA1C30" w:rsidP="00BA1C30">
            <w:pPr>
              <w:pStyle w:val="BasicParagraph"/>
              <w:tabs>
                <w:tab w:val="left" w:pos="993"/>
              </w:tabs>
              <w:suppressAutoHyphens/>
              <w:rPr>
                <w:rFonts w:ascii="Verdana" w:hAnsi="Verdana" w:cs="Arial"/>
                <w:b/>
                <w:color w:val="232120"/>
              </w:rPr>
            </w:pPr>
            <w:r>
              <w:rPr>
                <w:rFonts w:ascii="Verdana" w:hAnsi="Verdana" w:cs="Arial"/>
                <w:b/>
                <w:color w:val="232120"/>
              </w:rPr>
              <w:t>5.3 t</w:t>
            </w:r>
            <w:r w:rsidRPr="00F83A8E">
              <w:rPr>
                <w:rFonts w:ascii="Verdana" w:hAnsi="Verdana" w:cs="Arial"/>
                <w:b/>
                <w:color w:val="232120"/>
              </w:rPr>
              <w:t>hat the implementation of the amendments to the Minimum Content Order is informed by the views and educational needs of children and young people. Care should be taken to ensure that engagement and consultation considers the needs of students with diverse gender and sexual identities, ethnic minority students and disabled students.</w:t>
            </w:r>
          </w:p>
          <w:p w14:paraId="6B7B4D5D" w14:textId="77777777" w:rsidR="00BA1C30" w:rsidRDefault="00BA1C30" w:rsidP="00BA1C30">
            <w:pPr>
              <w:pStyle w:val="BasicParagraph"/>
              <w:tabs>
                <w:tab w:val="left" w:pos="993"/>
              </w:tabs>
              <w:suppressAutoHyphens/>
              <w:rPr>
                <w:rFonts w:ascii="Verdana" w:hAnsi="Verdana" w:cs="Arial"/>
                <w:b/>
                <w:color w:val="232120"/>
              </w:rPr>
            </w:pPr>
          </w:p>
          <w:p w14:paraId="7453C9F7" w14:textId="77777777" w:rsidR="00BA1C30" w:rsidRDefault="00BA1C30" w:rsidP="00BA1C30">
            <w:pPr>
              <w:pStyle w:val="BasicParagraph"/>
              <w:tabs>
                <w:tab w:val="left" w:pos="993"/>
              </w:tabs>
              <w:suppressAutoHyphens/>
              <w:rPr>
                <w:rFonts w:ascii="Verdana" w:hAnsi="Verdana" w:cs="Arial"/>
                <w:b/>
                <w:bCs/>
                <w:color w:val="232120"/>
              </w:rPr>
            </w:pPr>
            <w:r>
              <w:rPr>
                <w:rFonts w:ascii="Verdana" w:hAnsi="Verdana" w:cs="Arial"/>
                <w:b/>
                <w:bCs/>
                <w:color w:val="232120"/>
              </w:rPr>
              <w:t xml:space="preserve">6.4 </w:t>
            </w:r>
            <w:r w:rsidRPr="00123615">
              <w:rPr>
                <w:rFonts w:ascii="Verdana" w:hAnsi="Verdana" w:cs="Arial"/>
                <w:b/>
                <w:bCs/>
                <w:color w:val="232120"/>
              </w:rPr>
              <w:t>that the CCEA should review resources provided under the RSE hub to ensure they align with a rights-based approach to RSE and meet the requirements set out in CEDAW Committee recommendation 86(d).</w:t>
            </w:r>
          </w:p>
          <w:p w14:paraId="4D77F933" w14:textId="77777777" w:rsidR="00BA1C30" w:rsidRDefault="00BA1C30" w:rsidP="00BA1C30">
            <w:pPr>
              <w:pStyle w:val="BasicParagraph"/>
              <w:tabs>
                <w:tab w:val="left" w:pos="993"/>
              </w:tabs>
              <w:suppressAutoHyphens/>
              <w:rPr>
                <w:rFonts w:ascii="Verdana" w:hAnsi="Verdana" w:cs="Arial"/>
                <w:b/>
                <w:bCs/>
                <w:color w:val="232120"/>
              </w:rPr>
            </w:pPr>
          </w:p>
          <w:p w14:paraId="0E9FE5BC" w14:textId="77777777" w:rsidR="00BA1C30" w:rsidRPr="00864EF3" w:rsidRDefault="00BA1C30" w:rsidP="00BA1C30">
            <w:pPr>
              <w:pStyle w:val="BasicParagraph"/>
              <w:tabs>
                <w:tab w:val="left" w:pos="993"/>
              </w:tabs>
              <w:suppressAutoHyphens/>
              <w:rPr>
                <w:rFonts w:ascii="Verdana" w:hAnsi="Verdana" w:cs="Arial"/>
                <w:color w:val="232120"/>
              </w:rPr>
            </w:pPr>
            <w:r>
              <w:rPr>
                <w:rFonts w:ascii="Verdana" w:hAnsi="Verdana" w:cs="Arial"/>
                <w:b/>
                <w:bCs/>
                <w:color w:val="232120"/>
                <w:lang w:val="en-US"/>
              </w:rPr>
              <w:t xml:space="preserve">7.3 </w:t>
            </w:r>
            <w:r w:rsidRPr="008E5CE4">
              <w:rPr>
                <w:rFonts w:ascii="Verdana" w:hAnsi="Verdana" w:cs="Arial"/>
                <w:b/>
                <w:bCs/>
                <w:color w:val="232120"/>
                <w:lang w:val="en-US"/>
              </w:rPr>
              <w:t>that the Department of Education conducts a Human Rights Impact Assessment.</w:t>
            </w:r>
          </w:p>
          <w:p w14:paraId="31F3B4BB" w14:textId="77777777" w:rsidR="00BA1C30" w:rsidRDefault="00BA1C30" w:rsidP="009E4E97">
            <w:pPr>
              <w:pStyle w:val="Default"/>
              <w:spacing w:before="24" w:after="24" w:line="288" w:lineRule="auto"/>
              <w:rPr>
                <w:rFonts w:cs="Arial"/>
                <w:bCs/>
                <w:color w:val="232120"/>
              </w:rPr>
            </w:pPr>
          </w:p>
          <w:p w14:paraId="074F9240" w14:textId="77777777" w:rsidR="00BA1C30" w:rsidRDefault="00BA1C30" w:rsidP="009E4E97">
            <w:pPr>
              <w:pStyle w:val="Default"/>
              <w:spacing w:before="24" w:after="24" w:line="288" w:lineRule="auto"/>
              <w:rPr>
                <w:rFonts w:cs="Arial"/>
                <w:bCs/>
                <w:color w:val="232120"/>
              </w:rPr>
            </w:pPr>
          </w:p>
          <w:p w14:paraId="225E4DB8" w14:textId="1BBD5980" w:rsidR="00BA1C30" w:rsidRPr="00BA1C30" w:rsidRDefault="00BA1C30" w:rsidP="009E4E97">
            <w:pPr>
              <w:pStyle w:val="Default"/>
              <w:spacing w:before="24" w:after="24" w:line="288" w:lineRule="auto"/>
              <w:rPr>
                <w:rFonts w:cs="Arial"/>
                <w:bCs/>
                <w:color w:val="232120"/>
              </w:rPr>
            </w:pPr>
          </w:p>
        </w:tc>
      </w:tr>
    </w:tbl>
    <w:p w14:paraId="3CFF4F9F" w14:textId="77777777" w:rsidR="0013729A" w:rsidRPr="00564A3B" w:rsidRDefault="0013729A" w:rsidP="009E4E97">
      <w:pPr>
        <w:pStyle w:val="Default"/>
        <w:spacing w:before="24" w:after="24" w:line="288" w:lineRule="auto"/>
        <w:rPr>
          <w:rFonts w:cs="Arial"/>
          <w:b/>
          <w:color w:val="232120"/>
        </w:rPr>
      </w:pPr>
    </w:p>
    <w:p w14:paraId="772B73A2" w14:textId="0A7376AB" w:rsidR="00491D2B" w:rsidRPr="00564A3B" w:rsidRDefault="00491D2B" w:rsidP="00491D2B">
      <w:pPr>
        <w:spacing w:before="24" w:after="24" w:line="288" w:lineRule="auto"/>
        <w:rPr>
          <w:rFonts w:ascii="Verdana" w:hAnsi="Verdana" w:cs="Arial"/>
          <w:b/>
          <w:color w:val="232120"/>
        </w:rPr>
      </w:pPr>
    </w:p>
    <w:p w14:paraId="12614BF7" w14:textId="54092EC8" w:rsidR="00491D2B" w:rsidRPr="00564A3B" w:rsidRDefault="00491D2B" w:rsidP="00D461C1">
      <w:pPr>
        <w:spacing w:before="24" w:after="24" w:line="360" w:lineRule="auto"/>
        <w:rPr>
          <w:rFonts w:ascii="Verdana" w:hAnsi="Verdana" w:cs="Arial"/>
          <w:b/>
          <w:color w:val="232120"/>
        </w:rPr>
      </w:pPr>
    </w:p>
    <w:p w14:paraId="7F549382" w14:textId="38C8C4E0" w:rsidR="00491D2B" w:rsidRPr="00564A3B" w:rsidRDefault="00491D2B" w:rsidP="00D461C1">
      <w:pPr>
        <w:spacing w:before="24" w:after="24" w:line="360" w:lineRule="auto"/>
        <w:rPr>
          <w:rFonts w:ascii="Verdana" w:hAnsi="Verdana" w:cs="Arial"/>
          <w:b/>
          <w:color w:val="232120"/>
        </w:rPr>
      </w:pPr>
    </w:p>
    <w:p w14:paraId="0935A9C8" w14:textId="16650809" w:rsidR="00491D2B" w:rsidRPr="00564A3B" w:rsidRDefault="00491D2B" w:rsidP="00D461C1">
      <w:pPr>
        <w:spacing w:before="24" w:after="24" w:line="360" w:lineRule="auto"/>
        <w:rPr>
          <w:rFonts w:ascii="Verdana" w:hAnsi="Verdana" w:cs="Arial"/>
          <w:b/>
          <w:color w:val="232120"/>
        </w:rPr>
      </w:pPr>
    </w:p>
    <w:p w14:paraId="5885E1C3" w14:textId="5AF7D6B4" w:rsidR="00491D2B" w:rsidRDefault="00491D2B" w:rsidP="00D461C1">
      <w:pPr>
        <w:spacing w:before="24" w:after="24" w:line="360" w:lineRule="auto"/>
        <w:rPr>
          <w:rFonts w:ascii="Verdana" w:hAnsi="Verdana" w:cs="Arial"/>
          <w:b/>
          <w:color w:val="232120"/>
        </w:rPr>
      </w:pPr>
    </w:p>
    <w:p w14:paraId="5F4B394E" w14:textId="6E3B948B" w:rsidR="00BA1C30" w:rsidRDefault="00BA1C30">
      <w:pPr>
        <w:rPr>
          <w:rFonts w:ascii="Verdana" w:hAnsi="Verdana" w:cs="Arial"/>
          <w:b/>
          <w:color w:val="232120"/>
        </w:rPr>
      </w:pPr>
      <w:r>
        <w:rPr>
          <w:rFonts w:ascii="Verdana" w:hAnsi="Verdana" w:cs="Arial"/>
          <w:b/>
          <w:color w:val="232120"/>
        </w:rPr>
        <w:br w:type="page"/>
      </w:r>
    </w:p>
    <w:p w14:paraId="7EBE9459" w14:textId="77777777" w:rsidR="00BA1C30" w:rsidRDefault="00BA1C30" w:rsidP="00D461C1">
      <w:pPr>
        <w:spacing w:before="24" w:after="24" w:line="360" w:lineRule="auto"/>
        <w:rPr>
          <w:rFonts w:ascii="Verdana" w:hAnsi="Verdana" w:cs="Arial"/>
          <w:b/>
          <w:color w:val="232120"/>
        </w:rPr>
      </w:pPr>
    </w:p>
    <w:p w14:paraId="359E6983" w14:textId="65674B21" w:rsidR="00836A88" w:rsidRDefault="007E0719">
      <w:pPr>
        <w:pStyle w:val="Heading1"/>
        <w:numPr>
          <w:ilvl w:val="0"/>
          <w:numId w:val="1"/>
        </w:numPr>
        <w:spacing w:before="24" w:after="24" w:line="360" w:lineRule="auto"/>
      </w:pPr>
      <w:bookmarkStart w:id="1" w:name="_Toc151712153"/>
      <w:r w:rsidRPr="00564A3B">
        <w:t>Introduction</w:t>
      </w:r>
      <w:bookmarkEnd w:id="1"/>
    </w:p>
    <w:p w14:paraId="3C56EFD5" w14:textId="77777777" w:rsidR="00BA1C30" w:rsidRPr="00BA1C30" w:rsidRDefault="00BA1C30" w:rsidP="00BA1C30"/>
    <w:p w14:paraId="5571959D" w14:textId="39F09AC2" w:rsidR="004716F9" w:rsidRPr="00564A3B" w:rsidRDefault="004716F9" w:rsidP="00874285">
      <w:pPr>
        <w:numPr>
          <w:ilvl w:val="1"/>
          <w:numId w:val="2"/>
        </w:numPr>
        <w:spacing w:line="360" w:lineRule="auto"/>
        <w:ind w:left="709"/>
        <w:contextualSpacing/>
        <w:jc w:val="both"/>
        <w:rPr>
          <w:rFonts w:ascii="Verdana" w:hAnsi="Verdana"/>
        </w:rPr>
      </w:pPr>
      <w:r w:rsidRPr="00564A3B">
        <w:rPr>
          <w:rFonts w:ascii="Verdana" w:hAnsi="Verdana"/>
        </w:rPr>
        <w:t>The Northern Ireland Human Rights Commission (the NIHRC), pursuant to section 69(1) of the Northern Ireland Act 1998, reviews the adequacy and effectiveness of law and practice relating to the protection of human rights in Northern Ireland (NI).</w:t>
      </w:r>
      <w:r w:rsidR="000B3647" w:rsidRPr="00564A3B">
        <w:rPr>
          <w:rFonts w:ascii="Verdana" w:hAnsi="Verdana"/>
        </w:rPr>
        <w:t xml:space="preserve"> The NIHRC is also mandated, under section 78A(1) of the Northern Ireland Act 1998, to monitor the implementation of Article 2 of the Windsor Framework, to ensure there is no diminution of rights protected in the “Rights,</w:t>
      </w:r>
      <w:r w:rsidR="009634FF" w:rsidRPr="00564A3B">
        <w:rPr>
          <w:rFonts w:ascii="Verdana" w:hAnsi="Verdana"/>
        </w:rPr>
        <w:t xml:space="preserve"> Safeguards and Equality of Opportunity” chapter of the Belfast (Good Friday) Agreement 1998 as a result of the UK’s withdrawal from the EU.</w:t>
      </w:r>
      <w:r w:rsidR="00416E0A" w:rsidRPr="00564A3B">
        <w:rPr>
          <w:rStyle w:val="FootnoteReference"/>
          <w:rFonts w:ascii="Verdana" w:hAnsi="Verdana"/>
        </w:rPr>
        <w:footnoteReference w:id="2"/>
      </w:r>
      <w:r w:rsidRPr="00564A3B">
        <w:rPr>
          <w:rFonts w:ascii="Verdana" w:hAnsi="Verdana"/>
        </w:rPr>
        <w:t xml:space="preserve"> In accordance with these functions the following statutory advice is submitted to the Department of </w:t>
      </w:r>
      <w:r w:rsidR="000756B3">
        <w:rPr>
          <w:rFonts w:ascii="Verdana" w:hAnsi="Verdana"/>
        </w:rPr>
        <w:t>Education</w:t>
      </w:r>
      <w:r w:rsidRPr="00564A3B">
        <w:rPr>
          <w:rFonts w:ascii="Verdana" w:hAnsi="Verdana"/>
        </w:rPr>
        <w:t xml:space="preserve"> in response to </w:t>
      </w:r>
      <w:r w:rsidR="000756B3">
        <w:rPr>
          <w:rFonts w:ascii="Verdana" w:hAnsi="Verdana"/>
        </w:rPr>
        <w:t xml:space="preserve">its </w:t>
      </w:r>
      <w:r w:rsidRPr="00564A3B">
        <w:rPr>
          <w:rFonts w:ascii="Verdana" w:hAnsi="Verdana"/>
        </w:rPr>
        <w:t xml:space="preserve">consultation on </w:t>
      </w:r>
      <w:r w:rsidR="000756B3">
        <w:rPr>
          <w:rFonts w:ascii="Verdana" w:hAnsi="Verdana"/>
        </w:rPr>
        <w:t>relationships and sexuality education.</w:t>
      </w:r>
      <w:r w:rsidRPr="00564A3B">
        <w:rPr>
          <w:rFonts w:ascii="Verdana" w:hAnsi="Verdana"/>
        </w:rPr>
        <w:t xml:space="preserve"> </w:t>
      </w:r>
    </w:p>
    <w:p w14:paraId="6D9440B2" w14:textId="77777777" w:rsidR="004716F9" w:rsidRPr="00564A3B" w:rsidRDefault="004716F9" w:rsidP="004716F9">
      <w:pPr>
        <w:pStyle w:val="ListParagraph"/>
        <w:widowControl w:val="0"/>
        <w:autoSpaceDE w:val="0"/>
        <w:autoSpaceDN w:val="0"/>
        <w:adjustRightInd w:val="0"/>
        <w:spacing w:before="24" w:after="24" w:line="360" w:lineRule="auto"/>
        <w:rPr>
          <w:rFonts w:ascii="Verdana" w:hAnsi="Verdana" w:cs="Arial"/>
          <w:b/>
          <w:lang w:val="en-US"/>
        </w:rPr>
      </w:pPr>
    </w:p>
    <w:p w14:paraId="40C7F545" w14:textId="74FCE32E" w:rsidR="0055193F" w:rsidRPr="00E06E6E" w:rsidRDefault="0055193F" w:rsidP="00E06E6E">
      <w:pPr>
        <w:pStyle w:val="ListParagraph"/>
        <w:widowControl w:val="0"/>
        <w:numPr>
          <w:ilvl w:val="1"/>
          <w:numId w:val="2"/>
        </w:numPr>
        <w:autoSpaceDE w:val="0"/>
        <w:autoSpaceDN w:val="0"/>
        <w:adjustRightInd w:val="0"/>
        <w:spacing w:before="24" w:after="24" w:line="360" w:lineRule="auto"/>
        <w:ind w:left="709"/>
        <w:rPr>
          <w:rFonts w:ascii="Verdana" w:hAnsi="Verdana" w:cs="Arial"/>
          <w:b/>
          <w:lang w:val="en-US"/>
        </w:rPr>
      </w:pPr>
      <w:r w:rsidRPr="00564A3B">
        <w:rPr>
          <w:rFonts w:ascii="Verdana" w:hAnsi="Verdana" w:cs="Arial"/>
          <w:lang w:val="en-US"/>
        </w:rPr>
        <w:t xml:space="preserve">The </w:t>
      </w:r>
      <w:r w:rsidR="00F86E77" w:rsidRPr="00564A3B">
        <w:rPr>
          <w:rFonts w:ascii="Verdana" w:hAnsi="Verdana" w:cs="Arial"/>
          <w:lang w:val="en-US"/>
        </w:rPr>
        <w:t>NIHRC</w:t>
      </w:r>
      <w:r w:rsidRPr="00564A3B">
        <w:rPr>
          <w:rFonts w:ascii="Verdana" w:hAnsi="Verdana" w:cs="Arial"/>
          <w:lang w:val="en-US"/>
        </w:rPr>
        <w:t xml:space="preserve"> bases its advice on the European Convention on Human Rights (ECHR), </w:t>
      </w:r>
      <w:r w:rsidR="00F27AC1">
        <w:rPr>
          <w:rFonts w:ascii="Verdana" w:hAnsi="Verdana" w:cs="Arial"/>
          <w:lang w:val="en-US"/>
        </w:rPr>
        <w:t>which is</w:t>
      </w:r>
      <w:r w:rsidR="00F27AC1" w:rsidRPr="00564A3B">
        <w:rPr>
          <w:rFonts w:ascii="Verdana" w:hAnsi="Verdana" w:cs="Arial"/>
          <w:lang w:val="en-US"/>
        </w:rPr>
        <w:t xml:space="preserve"> </w:t>
      </w:r>
      <w:r w:rsidRPr="00564A3B">
        <w:rPr>
          <w:rFonts w:ascii="Verdana" w:hAnsi="Verdana" w:cs="Arial"/>
          <w:lang w:val="en-US"/>
        </w:rPr>
        <w:t xml:space="preserve">incorporated </w:t>
      </w:r>
      <w:r w:rsidR="00F27AC1">
        <w:rPr>
          <w:rFonts w:ascii="Verdana" w:hAnsi="Verdana" w:cs="Arial"/>
          <w:lang w:val="en-US"/>
        </w:rPr>
        <w:t xml:space="preserve">into UK law </w:t>
      </w:r>
      <w:r w:rsidRPr="00564A3B">
        <w:rPr>
          <w:rFonts w:ascii="Verdana" w:hAnsi="Verdana" w:cs="Arial"/>
          <w:lang w:val="en-US"/>
        </w:rPr>
        <w:t>by the Human Rights Act 1998</w:t>
      </w:r>
      <w:r w:rsidR="00F27AC1">
        <w:rPr>
          <w:rFonts w:ascii="Verdana" w:hAnsi="Verdana" w:cs="Arial"/>
          <w:lang w:val="en-US"/>
        </w:rPr>
        <w:t xml:space="preserve">. Also </w:t>
      </w:r>
      <w:proofErr w:type="gramStart"/>
      <w:r w:rsidR="00F27AC1">
        <w:rPr>
          <w:rFonts w:ascii="Verdana" w:hAnsi="Verdana" w:cs="Arial"/>
          <w:lang w:val="en-US"/>
        </w:rPr>
        <w:t>taken into account</w:t>
      </w:r>
      <w:proofErr w:type="gramEnd"/>
      <w:r w:rsidR="00F27AC1">
        <w:rPr>
          <w:rFonts w:ascii="Verdana" w:hAnsi="Verdana" w:cs="Arial"/>
          <w:lang w:val="en-US"/>
        </w:rPr>
        <w:t xml:space="preserve"> are the other relevant </w:t>
      </w:r>
      <w:r w:rsidRPr="00564A3B">
        <w:rPr>
          <w:rFonts w:ascii="Verdana" w:hAnsi="Verdana" w:cs="Arial"/>
          <w:lang w:val="en-US"/>
        </w:rPr>
        <w:t>treaty obligations of the Council of Europe (CoE) and United Nations (UN). The relevant regional and international treaties in this context include:</w:t>
      </w:r>
    </w:p>
    <w:p w14:paraId="73009888" w14:textId="77777777" w:rsidR="00E06E6E" w:rsidRPr="00E06E6E" w:rsidRDefault="00E06E6E" w:rsidP="00E06E6E">
      <w:pPr>
        <w:pStyle w:val="ListParagraph"/>
        <w:rPr>
          <w:rFonts w:ascii="Verdana" w:hAnsi="Verdana" w:cs="Arial"/>
          <w:b/>
          <w:lang w:val="en-US"/>
        </w:rPr>
      </w:pPr>
    </w:p>
    <w:p w14:paraId="386E1AA2" w14:textId="77777777" w:rsidR="00E06E6E" w:rsidRPr="00E06E6E" w:rsidRDefault="00E06E6E" w:rsidP="00E06E6E">
      <w:pPr>
        <w:pStyle w:val="ListParagraph"/>
        <w:widowControl w:val="0"/>
        <w:autoSpaceDE w:val="0"/>
        <w:autoSpaceDN w:val="0"/>
        <w:adjustRightInd w:val="0"/>
        <w:spacing w:before="24" w:after="24" w:line="360" w:lineRule="auto"/>
        <w:ind w:left="709"/>
        <w:rPr>
          <w:rFonts w:ascii="Verdana" w:hAnsi="Verdana" w:cs="Arial"/>
          <w:b/>
          <w:lang w:val="en-US"/>
        </w:rPr>
      </w:pPr>
    </w:p>
    <w:p w14:paraId="72DD3F9E" w14:textId="709164C1" w:rsidR="00D85F81" w:rsidRPr="00564A3B" w:rsidRDefault="00D85F81">
      <w:pPr>
        <w:widowControl w:val="0"/>
        <w:numPr>
          <w:ilvl w:val="0"/>
          <w:numId w:val="3"/>
        </w:numPr>
        <w:autoSpaceDE w:val="0"/>
        <w:autoSpaceDN w:val="0"/>
        <w:adjustRightInd w:val="0"/>
        <w:spacing w:before="24" w:after="24" w:line="360" w:lineRule="auto"/>
        <w:rPr>
          <w:rFonts w:ascii="Verdana" w:hAnsi="Verdana" w:cs="Arial"/>
          <w:lang w:val="en-US"/>
        </w:rPr>
      </w:pPr>
      <w:r w:rsidRPr="00564A3B">
        <w:rPr>
          <w:rFonts w:ascii="Verdana" w:hAnsi="Verdana" w:cs="Arial"/>
          <w:lang w:val="en-US"/>
        </w:rPr>
        <w:t>CoE Convention on Preventing and Combating Violence against Women 2011 (CoE Istanbul Convention);</w:t>
      </w:r>
      <w:r w:rsidRPr="00564A3B">
        <w:rPr>
          <w:rFonts w:ascii="Verdana" w:hAnsi="Verdana" w:cs="Arial"/>
          <w:vertAlign w:val="superscript"/>
          <w:lang w:val="en-US"/>
        </w:rPr>
        <w:footnoteReference w:id="3"/>
      </w:r>
    </w:p>
    <w:p w14:paraId="5295BF55" w14:textId="79C80E5E" w:rsidR="0055193F" w:rsidRPr="00564A3B" w:rsidRDefault="0055193F">
      <w:pPr>
        <w:widowControl w:val="0"/>
        <w:numPr>
          <w:ilvl w:val="0"/>
          <w:numId w:val="3"/>
        </w:numPr>
        <w:autoSpaceDE w:val="0"/>
        <w:autoSpaceDN w:val="0"/>
        <w:adjustRightInd w:val="0"/>
        <w:spacing w:before="24" w:after="24" w:line="360" w:lineRule="auto"/>
        <w:rPr>
          <w:rFonts w:ascii="Verdana" w:hAnsi="Verdana" w:cs="Arial"/>
          <w:lang w:val="en-US"/>
        </w:rPr>
      </w:pPr>
      <w:r w:rsidRPr="00564A3B">
        <w:rPr>
          <w:rFonts w:ascii="Verdana" w:hAnsi="Verdana" w:cs="Verdana"/>
          <w:color w:val="000000"/>
          <w:lang w:val="en-US"/>
        </w:rPr>
        <w:t xml:space="preserve">UN Convention on Elimination of Discrimination against Women </w:t>
      </w:r>
      <w:r w:rsidR="00AC5CF0" w:rsidRPr="00564A3B">
        <w:rPr>
          <w:rFonts w:ascii="Verdana" w:hAnsi="Verdana" w:cs="Verdana"/>
          <w:color w:val="000000"/>
          <w:lang w:val="en-US"/>
        </w:rPr>
        <w:t xml:space="preserve">1981 </w:t>
      </w:r>
      <w:r w:rsidRPr="00564A3B">
        <w:rPr>
          <w:rFonts w:ascii="Verdana" w:hAnsi="Verdana" w:cs="Verdana"/>
          <w:color w:val="000000"/>
          <w:lang w:val="en-US"/>
        </w:rPr>
        <w:t>(UN CEDAW);</w:t>
      </w:r>
      <w:r w:rsidRPr="00564A3B">
        <w:rPr>
          <w:rFonts w:ascii="Verdana" w:hAnsi="Verdana" w:cs="Verdana"/>
          <w:color w:val="000000"/>
          <w:vertAlign w:val="superscript"/>
          <w:lang w:val="en-US"/>
        </w:rPr>
        <w:footnoteReference w:id="4"/>
      </w:r>
    </w:p>
    <w:p w14:paraId="70B5FDBC" w14:textId="2BC49442" w:rsidR="00611079" w:rsidRPr="00564A3B" w:rsidRDefault="00611079">
      <w:pPr>
        <w:widowControl w:val="0"/>
        <w:numPr>
          <w:ilvl w:val="0"/>
          <w:numId w:val="3"/>
        </w:numPr>
        <w:autoSpaceDE w:val="0"/>
        <w:autoSpaceDN w:val="0"/>
        <w:adjustRightInd w:val="0"/>
        <w:spacing w:before="24" w:after="24" w:line="360" w:lineRule="auto"/>
        <w:rPr>
          <w:rFonts w:ascii="Verdana" w:hAnsi="Verdana" w:cs="Verdana"/>
          <w:color w:val="000000"/>
          <w:lang w:val="en-US"/>
        </w:rPr>
      </w:pPr>
      <w:r w:rsidRPr="00564A3B">
        <w:rPr>
          <w:rFonts w:ascii="Verdana" w:hAnsi="Verdana" w:cs="Verdana"/>
          <w:color w:val="000000"/>
          <w:lang w:val="en-US"/>
        </w:rPr>
        <w:t>UN Convention on the Rights of the Child</w:t>
      </w:r>
      <w:r w:rsidR="000534BA" w:rsidRPr="00564A3B">
        <w:rPr>
          <w:rFonts w:ascii="Verdana" w:hAnsi="Verdana" w:cs="Verdana"/>
          <w:color w:val="000000"/>
          <w:lang w:val="en-US"/>
        </w:rPr>
        <w:t xml:space="preserve"> </w:t>
      </w:r>
      <w:r w:rsidR="00AC5CF0" w:rsidRPr="00564A3B">
        <w:rPr>
          <w:rFonts w:ascii="Verdana" w:hAnsi="Verdana" w:cs="Verdana"/>
          <w:color w:val="000000"/>
          <w:lang w:val="en-US"/>
        </w:rPr>
        <w:t xml:space="preserve">1989 </w:t>
      </w:r>
      <w:r w:rsidR="000534BA" w:rsidRPr="00564A3B">
        <w:rPr>
          <w:rFonts w:ascii="Verdana" w:hAnsi="Verdana" w:cs="Verdana"/>
          <w:color w:val="000000"/>
          <w:lang w:val="en-US"/>
        </w:rPr>
        <w:t>(UN CRC)</w:t>
      </w:r>
      <w:r w:rsidRPr="00564A3B">
        <w:rPr>
          <w:rFonts w:ascii="Verdana" w:hAnsi="Verdana" w:cs="Verdana"/>
          <w:color w:val="000000"/>
          <w:lang w:val="en-US"/>
        </w:rPr>
        <w:t>;</w:t>
      </w:r>
      <w:r w:rsidRPr="00564A3B">
        <w:rPr>
          <w:rStyle w:val="FootnoteReference"/>
          <w:rFonts w:ascii="Verdana" w:hAnsi="Verdana" w:cs="Verdana"/>
          <w:color w:val="000000"/>
          <w:lang w:val="en-US"/>
        </w:rPr>
        <w:footnoteReference w:id="5"/>
      </w:r>
      <w:r w:rsidR="004A76FF">
        <w:rPr>
          <w:rFonts w:ascii="Verdana" w:hAnsi="Verdana" w:cs="Verdana"/>
          <w:color w:val="000000"/>
          <w:lang w:val="en-US"/>
        </w:rPr>
        <w:t xml:space="preserve"> and</w:t>
      </w:r>
    </w:p>
    <w:p w14:paraId="407BB892" w14:textId="6EA612DB" w:rsidR="00C724E4" w:rsidRPr="00564A3B" w:rsidRDefault="002F2C1B">
      <w:pPr>
        <w:widowControl w:val="0"/>
        <w:numPr>
          <w:ilvl w:val="0"/>
          <w:numId w:val="3"/>
        </w:numPr>
        <w:autoSpaceDE w:val="0"/>
        <w:autoSpaceDN w:val="0"/>
        <w:adjustRightInd w:val="0"/>
        <w:spacing w:before="24" w:after="24" w:line="360" w:lineRule="auto"/>
        <w:rPr>
          <w:rFonts w:ascii="Verdana" w:hAnsi="Verdana" w:cs="Arial"/>
          <w:lang w:val="en-US"/>
        </w:rPr>
      </w:pPr>
      <w:r w:rsidRPr="00564A3B">
        <w:rPr>
          <w:rFonts w:ascii="Verdana" w:hAnsi="Verdana" w:cs="Verdana"/>
          <w:color w:val="000000"/>
          <w:lang w:val="en-US"/>
        </w:rPr>
        <w:lastRenderedPageBreak/>
        <w:t>UN Convention on the Rights of Persons with Disabilities</w:t>
      </w:r>
      <w:r w:rsidR="000534BA" w:rsidRPr="00564A3B">
        <w:rPr>
          <w:rFonts w:ascii="Verdana" w:hAnsi="Verdana" w:cs="Verdana"/>
          <w:color w:val="000000"/>
          <w:lang w:val="en-US"/>
        </w:rPr>
        <w:t xml:space="preserve"> </w:t>
      </w:r>
      <w:r w:rsidR="00AC5CF0" w:rsidRPr="00564A3B">
        <w:rPr>
          <w:rFonts w:ascii="Verdana" w:hAnsi="Verdana" w:cs="Verdana"/>
          <w:color w:val="000000"/>
          <w:lang w:val="en-US"/>
        </w:rPr>
        <w:t xml:space="preserve">2006 </w:t>
      </w:r>
      <w:r w:rsidR="000534BA" w:rsidRPr="00564A3B">
        <w:rPr>
          <w:rFonts w:ascii="Verdana" w:hAnsi="Verdana" w:cs="Verdana"/>
          <w:color w:val="000000"/>
          <w:lang w:val="en-US"/>
        </w:rPr>
        <w:t>(UN CRPD)</w:t>
      </w:r>
      <w:r w:rsidR="00611079" w:rsidRPr="00564A3B">
        <w:rPr>
          <w:rFonts w:ascii="Verdana" w:hAnsi="Verdana" w:cs="Verdana"/>
          <w:color w:val="000000"/>
          <w:lang w:val="en-US"/>
        </w:rPr>
        <w:t>.</w:t>
      </w:r>
      <w:r w:rsidR="00C14DCD" w:rsidRPr="00564A3B">
        <w:rPr>
          <w:rStyle w:val="FootnoteReference"/>
          <w:rFonts w:ascii="Verdana" w:hAnsi="Verdana" w:cs="Verdana"/>
          <w:color w:val="000000"/>
          <w:lang w:val="en-US"/>
        </w:rPr>
        <w:footnoteReference w:id="6"/>
      </w:r>
    </w:p>
    <w:p w14:paraId="286A4134" w14:textId="77777777" w:rsidR="0055193F" w:rsidRPr="00564A3B" w:rsidRDefault="0055193F" w:rsidP="00D461C1">
      <w:pPr>
        <w:spacing w:before="24" w:after="24" w:line="360" w:lineRule="auto"/>
        <w:ind w:left="720"/>
        <w:contextualSpacing/>
        <w:rPr>
          <w:rFonts w:ascii="Verdana" w:hAnsi="Verdana" w:cs="Arial"/>
        </w:rPr>
      </w:pPr>
    </w:p>
    <w:p w14:paraId="0F5439CA" w14:textId="1FAD3810" w:rsidR="0055193F" w:rsidRPr="00564A3B" w:rsidRDefault="0055193F" w:rsidP="00874285">
      <w:pPr>
        <w:numPr>
          <w:ilvl w:val="1"/>
          <w:numId w:val="2"/>
        </w:numPr>
        <w:spacing w:before="24" w:after="24" w:line="360" w:lineRule="auto"/>
        <w:ind w:left="709"/>
        <w:contextualSpacing/>
        <w:rPr>
          <w:rFonts w:ascii="Verdana" w:hAnsi="Verdana" w:cs="Arial"/>
          <w:bCs/>
        </w:rPr>
      </w:pPr>
      <w:r w:rsidRPr="00564A3B">
        <w:rPr>
          <w:rFonts w:ascii="Verdana" w:hAnsi="Verdana" w:cs="Arial"/>
          <w:lang w:val="en-US"/>
        </w:rPr>
        <w:t xml:space="preserve">In </w:t>
      </w:r>
      <w:r w:rsidR="007C553A" w:rsidRPr="00564A3B">
        <w:rPr>
          <w:rFonts w:ascii="Verdana" w:hAnsi="Verdana" w:cs="Arial"/>
        </w:rPr>
        <w:t>addition to these treaty standards, the following declarations and principles provide further guidance in respect of specific areas:</w:t>
      </w:r>
    </w:p>
    <w:p w14:paraId="534C6FA4" w14:textId="77777777" w:rsidR="006D1825" w:rsidRPr="00564A3B" w:rsidRDefault="006D1825" w:rsidP="006D1825">
      <w:pPr>
        <w:spacing w:before="24" w:after="24" w:line="360" w:lineRule="auto"/>
        <w:ind w:left="720"/>
        <w:contextualSpacing/>
        <w:rPr>
          <w:rFonts w:ascii="Verdana" w:hAnsi="Verdana" w:cs="Arial"/>
          <w:bCs/>
        </w:rPr>
      </w:pPr>
    </w:p>
    <w:p w14:paraId="251B59EE" w14:textId="1D78B7BF" w:rsidR="0047216A" w:rsidRPr="00D1545F" w:rsidRDefault="003A08DA" w:rsidP="00C70B68">
      <w:pPr>
        <w:pStyle w:val="ListParagraph"/>
        <w:numPr>
          <w:ilvl w:val="0"/>
          <w:numId w:val="4"/>
        </w:numPr>
        <w:spacing w:line="360" w:lineRule="auto"/>
        <w:rPr>
          <w:rFonts w:ascii="Verdana" w:hAnsi="Verdana" w:cs="Arial"/>
          <w:lang w:val="en-US"/>
        </w:rPr>
      </w:pPr>
      <w:r>
        <w:rPr>
          <w:rFonts w:ascii="Verdana" w:hAnsi="Verdana" w:cs="Arial"/>
        </w:rPr>
        <w:t>UN ICESCR Committee General</w:t>
      </w:r>
      <w:r w:rsidR="0047216A" w:rsidRPr="0047216A">
        <w:rPr>
          <w:rFonts w:ascii="Verdana" w:hAnsi="Verdana" w:cs="Arial"/>
        </w:rPr>
        <w:t xml:space="preserve"> Comment No 22</w:t>
      </w:r>
      <w:r>
        <w:rPr>
          <w:rFonts w:ascii="Verdana" w:hAnsi="Verdana" w:cs="Arial"/>
        </w:rPr>
        <w:t>;</w:t>
      </w:r>
      <w:r w:rsidR="00C45C32">
        <w:rPr>
          <w:rStyle w:val="FootnoteReference"/>
          <w:rFonts w:ascii="Verdana" w:hAnsi="Verdana" w:cs="Arial"/>
        </w:rPr>
        <w:footnoteReference w:id="7"/>
      </w:r>
    </w:p>
    <w:p w14:paraId="311EEDDF" w14:textId="529F03E3" w:rsidR="00D1545F" w:rsidRPr="00E34672" w:rsidRDefault="00D1545F" w:rsidP="00C70B68">
      <w:pPr>
        <w:pStyle w:val="ListParagraph"/>
        <w:numPr>
          <w:ilvl w:val="0"/>
          <w:numId w:val="4"/>
        </w:numPr>
        <w:spacing w:line="360" w:lineRule="auto"/>
        <w:rPr>
          <w:rFonts w:ascii="Verdana" w:hAnsi="Verdana" w:cs="Arial"/>
          <w:lang w:val="en-US"/>
        </w:rPr>
      </w:pPr>
      <w:r>
        <w:rPr>
          <w:rFonts w:ascii="Verdana" w:hAnsi="Verdana" w:cs="Arial"/>
        </w:rPr>
        <w:t>UN CRC Committee General Comment No 12;</w:t>
      </w:r>
      <w:r w:rsidR="006E545E">
        <w:rPr>
          <w:rStyle w:val="FootnoteReference"/>
          <w:rFonts w:ascii="Verdana" w:hAnsi="Verdana" w:cs="Arial"/>
        </w:rPr>
        <w:footnoteReference w:id="8"/>
      </w:r>
    </w:p>
    <w:p w14:paraId="39E71836" w14:textId="313C4CE0" w:rsidR="00E34672" w:rsidRDefault="00E34672" w:rsidP="00C70B68">
      <w:pPr>
        <w:pStyle w:val="ListParagraph"/>
        <w:numPr>
          <w:ilvl w:val="0"/>
          <w:numId w:val="4"/>
        </w:numPr>
        <w:spacing w:line="360" w:lineRule="auto"/>
        <w:rPr>
          <w:rFonts w:ascii="Verdana" w:hAnsi="Verdana" w:cs="Arial"/>
          <w:lang w:val="en-US"/>
        </w:rPr>
      </w:pPr>
      <w:r>
        <w:rPr>
          <w:rFonts w:ascii="Verdana" w:hAnsi="Verdana" w:cs="Arial"/>
        </w:rPr>
        <w:t>UN CRPD Committee General Comment No 3;</w:t>
      </w:r>
      <w:r>
        <w:rPr>
          <w:rStyle w:val="FootnoteReference"/>
          <w:rFonts w:ascii="Verdana" w:hAnsi="Verdana" w:cs="Arial"/>
        </w:rPr>
        <w:footnoteReference w:id="9"/>
      </w:r>
    </w:p>
    <w:p w14:paraId="3F53A731" w14:textId="2CA9BAFD" w:rsidR="000B2806" w:rsidRDefault="000B2806" w:rsidP="00C70B68">
      <w:pPr>
        <w:pStyle w:val="ListParagraph"/>
        <w:numPr>
          <w:ilvl w:val="0"/>
          <w:numId w:val="4"/>
        </w:numPr>
        <w:spacing w:line="360" w:lineRule="auto"/>
        <w:rPr>
          <w:rFonts w:ascii="Verdana" w:hAnsi="Verdana" w:cs="Arial"/>
          <w:lang w:val="en-US"/>
        </w:rPr>
      </w:pPr>
      <w:r>
        <w:rPr>
          <w:rFonts w:ascii="Verdana" w:hAnsi="Verdana" w:cs="Arial"/>
          <w:lang w:val="en-US"/>
        </w:rPr>
        <w:t>UN CEDAW Inquiry Report 2018;</w:t>
      </w:r>
      <w:r w:rsidR="001217DF">
        <w:rPr>
          <w:rStyle w:val="FootnoteReference"/>
          <w:rFonts w:ascii="Verdana" w:hAnsi="Verdana" w:cs="Arial"/>
          <w:lang w:val="en-US"/>
        </w:rPr>
        <w:footnoteReference w:id="10"/>
      </w:r>
    </w:p>
    <w:p w14:paraId="5F21AC76" w14:textId="1C0AB2BF" w:rsidR="00C724E4" w:rsidRDefault="00C724E4" w:rsidP="00C70B68">
      <w:pPr>
        <w:pStyle w:val="ListParagraph"/>
        <w:numPr>
          <w:ilvl w:val="0"/>
          <w:numId w:val="4"/>
        </w:numPr>
        <w:spacing w:line="360" w:lineRule="auto"/>
        <w:rPr>
          <w:rFonts w:ascii="Verdana" w:hAnsi="Verdana" w:cs="Arial"/>
          <w:lang w:val="en-US"/>
        </w:rPr>
      </w:pPr>
      <w:r w:rsidRPr="00564A3B">
        <w:rPr>
          <w:rFonts w:ascii="Verdana" w:hAnsi="Verdana" w:cs="Arial"/>
          <w:lang w:val="en-US"/>
        </w:rPr>
        <w:t>UN CEDAW Committee Concluding Observations 2019</w:t>
      </w:r>
      <w:r w:rsidR="00857B7C">
        <w:rPr>
          <w:rFonts w:ascii="Verdana" w:hAnsi="Verdana" w:cs="Arial"/>
          <w:lang w:val="en-US"/>
        </w:rPr>
        <w:t>;</w:t>
      </w:r>
      <w:r w:rsidRPr="00564A3B">
        <w:rPr>
          <w:rFonts w:ascii="Verdana" w:hAnsi="Verdana" w:cs="Arial"/>
          <w:vertAlign w:val="superscript"/>
          <w:lang w:val="en-US"/>
        </w:rPr>
        <w:footnoteReference w:id="11"/>
      </w:r>
    </w:p>
    <w:p w14:paraId="39329CEE" w14:textId="2FB7FF68" w:rsidR="00857B7C" w:rsidRDefault="00857B7C" w:rsidP="00C70B68">
      <w:pPr>
        <w:pStyle w:val="ListParagraph"/>
        <w:numPr>
          <w:ilvl w:val="0"/>
          <w:numId w:val="4"/>
        </w:numPr>
        <w:spacing w:line="360" w:lineRule="auto"/>
        <w:rPr>
          <w:rFonts w:ascii="Verdana" w:hAnsi="Verdana" w:cs="Arial"/>
          <w:lang w:val="en-US"/>
        </w:rPr>
      </w:pPr>
      <w:r w:rsidRPr="00857B7C">
        <w:rPr>
          <w:rFonts w:ascii="Verdana" w:hAnsi="Verdana" w:cs="Arial"/>
          <w:lang w:val="en-US"/>
        </w:rPr>
        <w:t>UN CRC Concluding Observations 20</w:t>
      </w:r>
      <w:r>
        <w:rPr>
          <w:rFonts w:ascii="Verdana" w:hAnsi="Verdana" w:cs="Arial"/>
          <w:lang w:val="en-US"/>
        </w:rPr>
        <w:t>23</w:t>
      </w:r>
      <w:r w:rsidR="00617FA7">
        <w:rPr>
          <w:rFonts w:ascii="Verdana" w:hAnsi="Verdana" w:cs="Arial"/>
          <w:lang w:val="en-US"/>
        </w:rPr>
        <w:t>;</w:t>
      </w:r>
      <w:r w:rsidRPr="00857B7C">
        <w:rPr>
          <w:rFonts w:ascii="Verdana" w:hAnsi="Verdana" w:cs="Arial"/>
          <w:vertAlign w:val="superscript"/>
          <w:lang w:val="en-US"/>
        </w:rPr>
        <w:footnoteReference w:id="12"/>
      </w:r>
      <w:r w:rsidR="00564572">
        <w:rPr>
          <w:rFonts w:ascii="Verdana" w:hAnsi="Verdana" w:cs="Arial"/>
          <w:lang w:val="en-US"/>
        </w:rPr>
        <w:t xml:space="preserve"> and</w:t>
      </w:r>
    </w:p>
    <w:p w14:paraId="0E6AFB2D" w14:textId="3BC0E109" w:rsidR="00857B7C" w:rsidRPr="00617FA7" w:rsidRDefault="00617FA7" w:rsidP="00C70B68">
      <w:pPr>
        <w:pStyle w:val="ListParagraph"/>
        <w:numPr>
          <w:ilvl w:val="0"/>
          <w:numId w:val="4"/>
        </w:numPr>
        <w:spacing w:line="360" w:lineRule="auto"/>
        <w:rPr>
          <w:rFonts w:ascii="Verdana" w:hAnsi="Verdana" w:cs="Arial"/>
          <w:lang w:val="en-US"/>
        </w:rPr>
      </w:pPr>
      <w:r w:rsidRPr="00617FA7">
        <w:rPr>
          <w:rFonts w:ascii="Verdana" w:hAnsi="Verdana" w:cs="Arial"/>
        </w:rPr>
        <w:t>UN CRC Committee</w:t>
      </w:r>
      <w:r w:rsidR="003D4497">
        <w:rPr>
          <w:rFonts w:ascii="Verdana" w:hAnsi="Verdana" w:cs="Arial"/>
        </w:rPr>
        <w:t xml:space="preserve"> </w:t>
      </w:r>
      <w:r w:rsidRPr="00617FA7">
        <w:rPr>
          <w:rFonts w:ascii="Verdana" w:hAnsi="Verdana" w:cs="Arial"/>
        </w:rPr>
        <w:t xml:space="preserve">Statement </w:t>
      </w:r>
      <w:r>
        <w:rPr>
          <w:rFonts w:ascii="Verdana" w:hAnsi="Verdana" w:cs="Arial"/>
        </w:rPr>
        <w:t>on Article</w:t>
      </w:r>
      <w:r w:rsidR="003D4497">
        <w:rPr>
          <w:rFonts w:ascii="Verdana" w:hAnsi="Verdana" w:cs="Arial"/>
        </w:rPr>
        <w:t xml:space="preserve"> </w:t>
      </w:r>
      <w:r w:rsidR="00C70B68">
        <w:rPr>
          <w:rFonts w:ascii="Verdana" w:hAnsi="Verdana" w:cs="Arial"/>
        </w:rPr>
        <w:t>5</w:t>
      </w:r>
      <w:r w:rsidR="00F61528">
        <w:rPr>
          <w:rFonts w:ascii="Verdana" w:hAnsi="Verdana" w:cs="Arial"/>
        </w:rPr>
        <w:t>.</w:t>
      </w:r>
      <w:r w:rsidR="0020115B">
        <w:rPr>
          <w:rStyle w:val="FootnoteReference"/>
          <w:rFonts w:ascii="Verdana" w:hAnsi="Verdana" w:cs="Arial"/>
        </w:rPr>
        <w:footnoteReference w:id="13"/>
      </w:r>
      <w:r w:rsidR="00FB142D">
        <w:rPr>
          <w:rFonts w:ascii="Verdana" w:hAnsi="Verdana" w:cs="Arial"/>
        </w:rPr>
        <w:tab/>
      </w:r>
      <w:r w:rsidR="00FB142D">
        <w:rPr>
          <w:rFonts w:ascii="Verdana" w:hAnsi="Verdana" w:cs="Arial"/>
        </w:rPr>
        <w:tab/>
      </w:r>
      <w:r w:rsidR="00C70B68">
        <w:rPr>
          <w:rFonts w:ascii="Verdana" w:hAnsi="Verdana" w:cs="Arial"/>
        </w:rPr>
        <w:t xml:space="preserve"> </w:t>
      </w:r>
      <w:r w:rsidR="003D4497">
        <w:rPr>
          <w:rStyle w:val="FootnoteReference"/>
          <w:rFonts w:ascii="Verdana" w:hAnsi="Verdana" w:cs="Arial"/>
        </w:rPr>
        <w:footnoteReference w:id="14"/>
      </w:r>
    </w:p>
    <w:p w14:paraId="75CA2F28" w14:textId="77777777" w:rsidR="00A941C7" w:rsidRDefault="00A941C7" w:rsidP="00A941C7">
      <w:pPr>
        <w:spacing w:before="24" w:after="24" w:line="360" w:lineRule="auto"/>
        <w:rPr>
          <w:rFonts w:ascii="Verdana" w:eastAsia="Times New Roman" w:hAnsi="Verdana" w:cs="Times New Roman"/>
          <w:bCs/>
          <w:color w:val="000000"/>
          <w:shd w:val="clear" w:color="auto" w:fill="FFFFFF"/>
        </w:rPr>
      </w:pPr>
    </w:p>
    <w:p w14:paraId="184EF89D" w14:textId="68AADF1B" w:rsidR="00CA6464" w:rsidRPr="00E52FD9" w:rsidRDefault="00A941C7" w:rsidP="00874285">
      <w:pPr>
        <w:numPr>
          <w:ilvl w:val="1"/>
          <w:numId w:val="2"/>
        </w:numPr>
        <w:spacing w:before="24" w:after="24" w:line="360" w:lineRule="auto"/>
        <w:ind w:left="709"/>
        <w:contextualSpacing/>
        <w:rPr>
          <w:rFonts w:ascii="Verdana" w:hAnsi="Verdana" w:cs="Arial"/>
          <w:b/>
          <w:bCs/>
        </w:rPr>
      </w:pPr>
      <w:r w:rsidRPr="00A941C7">
        <w:rPr>
          <w:rFonts w:ascii="Verdana" w:hAnsi="Verdana" w:cs="Arial"/>
          <w:lang w:val="en-US"/>
        </w:rPr>
        <w:t xml:space="preserve">In June 2023, the NIHRC </w:t>
      </w:r>
      <w:r w:rsidR="00F27AC1">
        <w:rPr>
          <w:rFonts w:ascii="Verdana" w:hAnsi="Verdana" w:cs="Arial"/>
          <w:lang w:val="en-US"/>
        </w:rPr>
        <w:t>published</w:t>
      </w:r>
      <w:r w:rsidR="00F27AC1" w:rsidRPr="00A941C7">
        <w:rPr>
          <w:rFonts w:ascii="Verdana" w:hAnsi="Verdana" w:cs="Arial"/>
          <w:lang w:val="en-US"/>
        </w:rPr>
        <w:t xml:space="preserve"> </w:t>
      </w:r>
      <w:r w:rsidRPr="00A941C7">
        <w:rPr>
          <w:rFonts w:ascii="Verdana" w:hAnsi="Verdana" w:cs="Arial"/>
          <w:lang w:val="en-US"/>
        </w:rPr>
        <w:t xml:space="preserve">its report following its investigation into </w:t>
      </w:r>
      <w:r w:rsidR="00330125">
        <w:rPr>
          <w:rFonts w:ascii="Verdana" w:hAnsi="Verdana" w:cs="Arial"/>
          <w:lang w:val="en-US"/>
        </w:rPr>
        <w:t>relationships and sexuality education (</w:t>
      </w:r>
      <w:r w:rsidRPr="00A941C7">
        <w:rPr>
          <w:rFonts w:ascii="Verdana" w:hAnsi="Verdana" w:cs="Arial"/>
          <w:lang w:val="en-US"/>
        </w:rPr>
        <w:t>RSE</w:t>
      </w:r>
      <w:r w:rsidR="00330125">
        <w:rPr>
          <w:rFonts w:ascii="Verdana" w:hAnsi="Verdana" w:cs="Arial"/>
          <w:lang w:val="en-US"/>
        </w:rPr>
        <w:t>)</w:t>
      </w:r>
      <w:r w:rsidRPr="00A941C7">
        <w:rPr>
          <w:rFonts w:ascii="Verdana" w:hAnsi="Verdana" w:cs="Arial"/>
          <w:lang w:val="en-US"/>
        </w:rPr>
        <w:t xml:space="preserve"> in post primary schools in Northern Ireland.</w:t>
      </w:r>
      <w:r w:rsidR="00606A11">
        <w:rPr>
          <w:rStyle w:val="FootnoteReference"/>
          <w:rFonts w:ascii="Verdana" w:hAnsi="Verdana" w:cs="Arial"/>
          <w:lang w:val="en-US"/>
        </w:rPr>
        <w:footnoteReference w:id="15"/>
      </w:r>
      <w:r w:rsidRPr="00A941C7">
        <w:rPr>
          <w:rFonts w:ascii="Verdana" w:hAnsi="Verdana" w:cs="Arial"/>
          <w:lang w:val="en-US"/>
        </w:rPr>
        <w:t xml:space="preserve"> The investigation </w:t>
      </w:r>
      <w:r w:rsidR="00F27AC1">
        <w:rPr>
          <w:rFonts w:ascii="Verdana" w:hAnsi="Verdana" w:cs="Arial"/>
          <w:lang w:val="en-US"/>
        </w:rPr>
        <w:t xml:space="preserve">concentrated on whether </w:t>
      </w:r>
      <w:r w:rsidRPr="00A941C7">
        <w:rPr>
          <w:rFonts w:ascii="Verdana" w:hAnsi="Verdana" w:cs="Arial"/>
          <w:lang w:val="en-US"/>
        </w:rPr>
        <w:t xml:space="preserve">the UK Government and NI Executive </w:t>
      </w:r>
      <w:r w:rsidR="00F27AC1">
        <w:rPr>
          <w:rFonts w:ascii="Verdana" w:hAnsi="Verdana" w:cs="Arial"/>
          <w:lang w:val="en-US"/>
        </w:rPr>
        <w:t xml:space="preserve">had made </w:t>
      </w:r>
      <w:r w:rsidRPr="00A941C7">
        <w:rPr>
          <w:rFonts w:ascii="Verdana" w:hAnsi="Verdana" w:cs="Arial"/>
          <w:lang w:val="en-US"/>
        </w:rPr>
        <w:t>“age-appropriate, comprehensive and scientifically accurate education on sexual and reproductive health and rights a compulsory component of curriculum for adolescents, covering prevention of early pregnancy and access to abortion”.</w:t>
      </w:r>
      <w:r w:rsidRPr="00A941C7">
        <w:rPr>
          <w:rFonts w:ascii="Verdana" w:hAnsi="Verdana" w:cs="Arial"/>
          <w:vertAlign w:val="superscript"/>
          <w:lang w:val="en-US"/>
        </w:rPr>
        <w:footnoteReference w:id="16"/>
      </w:r>
      <w:r w:rsidR="00120603" w:rsidRPr="00B1028B">
        <w:rPr>
          <w:rFonts w:ascii="Verdana" w:hAnsi="Verdana" w:cs="Arial"/>
          <w:lang w:val="en-US"/>
        </w:rPr>
        <w:t xml:space="preserve"> </w:t>
      </w:r>
      <w:r w:rsidR="00F27AC1">
        <w:rPr>
          <w:rFonts w:ascii="Verdana" w:hAnsi="Verdana" w:cs="Arial"/>
          <w:lang w:val="en-US"/>
        </w:rPr>
        <w:t xml:space="preserve">The Commission’s report </w:t>
      </w:r>
      <w:r w:rsidR="008A06BB" w:rsidRPr="00B1028B">
        <w:rPr>
          <w:rFonts w:ascii="Verdana" w:hAnsi="Verdana" w:cs="Arial"/>
          <w:lang w:val="en-US"/>
        </w:rPr>
        <w:t xml:space="preserve">provides a detailed analysis of the legal and policy framework </w:t>
      </w:r>
      <w:r w:rsidR="008A06BB" w:rsidRPr="00B1028B">
        <w:rPr>
          <w:rFonts w:ascii="Verdana" w:hAnsi="Verdana" w:cs="Arial"/>
          <w:lang w:val="en-US"/>
        </w:rPr>
        <w:lastRenderedPageBreak/>
        <w:t>relating to the provision of</w:t>
      </w:r>
      <w:r w:rsidR="00FE6384">
        <w:rPr>
          <w:rFonts w:ascii="Verdana" w:hAnsi="Verdana" w:cs="Arial"/>
          <w:lang w:val="en-US"/>
        </w:rPr>
        <w:t xml:space="preserve"> </w:t>
      </w:r>
      <w:r w:rsidR="008A06BB" w:rsidRPr="00B1028B">
        <w:rPr>
          <w:rFonts w:ascii="Verdana" w:hAnsi="Verdana" w:cs="Arial"/>
          <w:lang w:val="en-US"/>
        </w:rPr>
        <w:t>RS</w:t>
      </w:r>
      <w:r w:rsidR="00FE6384">
        <w:rPr>
          <w:rFonts w:ascii="Verdana" w:hAnsi="Verdana" w:cs="Arial"/>
          <w:lang w:val="en-US"/>
        </w:rPr>
        <w:t>E</w:t>
      </w:r>
      <w:r w:rsidR="0097230D" w:rsidRPr="00B1028B">
        <w:rPr>
          <w:rFonts w:ascii="Verdana" w:hAnsi="Verdana" w:cs="Arial"/>
          <w:lang w:val="en-US"/>
        </w:rPr>
        <w:t xml:space="preserve">. </w:t>
      </w:r>
      <w:r w:rsidR="004B3051" w:rsidRPr="00B1028B">
        <w:rPr>
          <w:rFonts w:ascii="Verdana" w:hAnsi="Verdana" w:cs="Arial"/>
          <w:lang w:val="en-US"/>
        </w:rPr>
        <w:t xml:space="preserve">Along with recommending </w:t>
      </w:r>
      <w:r w:rsidR="006317DB" w:rsidRPr="00B1028B">
        <w:rPr>
          <w:rFonts w:ascii="Verdana" w:hAnsi="Verdana" w:cs="Arial"/>
          <w:lang w:val="en-US"/>
        </w:rPr>
        <w:t>an amendment to the</w:t>
      </w:r>
      <w:r w:rsidR="006317DB" w:rsidRPr="00B1028B">
        <w:rPr>
          <w:rFonts w:ascii="Verdana" w:hAnsi="Verdana" w:cs="Arial"/>
        </w:rPr>
        <w:t xml:space="preserve"> </w:t>
      </w:r>
      <w:bookmarkStart w:id="3" w:name="_Hlk135222227"/>
      <w:r w:rsidR="006317DB" w:rsidRPr="00B1028B">
        <w:rPr>
          <w:rFonts w:ascii="Verdana" w:hAnsi="Verdana" w:cs="Arial"/>
        </w:rPr>
        <w:t>Education (Curriculum Minimum Content) Order (NI) 2007 (Minimum Content Order)</w:t>
      </w:r>
      <w:bookmarkEnd w:id="3"/>
      <w:r w:rsidR="00914F02">
        <w:rPr>
          <w:rFonts w:ascii="Verdana" w:hAnsi="Verdana" w:cs="Arial"/>
        </w:rPr>
        <w:t>,</w:t>
      </w:r>
      <w:r w:rsidR="004B3051" w:rsidRPr="00B1028B">
        <w:rPr>
          <w:rFonts w:ascii="Verdana" w:hAnsi="Verdana" w:cs="Arial"/>
          <w:lang w:val="en-US"/>
        </w:rPr>
        <w:t xml:space="preserve"> </w:t>
      </w:r>
      <w:r w:rsidR="0099052D" w:rsidRPr="00B1028B">
        <w:rPr>
          <w:rFonts w:ascii="Verdana" w:hAnsi="Verdana" w:cs="Arial"/>
          <w:lang w:val="en-US"/>
        </w:rPr>
        <w:t>the investigation report</w:t>
      </w:r>
      <w:r w:rsidR="0011134C">
        <w:rPr>
          <w:rFonts w:ascii="Verdana" w:hAnsi="Verdana" w:cs="Arial"/>
          <w:lang w:val="en-US"/>
        </w:rPr>
        <w:t xml:space="preserve"> </w:t>
      </w:r>
      <w:r w:rsidR="0097230D" w:rsidRPr="00B1028B">
        <w:rPr>
          <w:rFonts w:ascii="Verdana" w:hAnsi="Verdana" w:cs="Arial"/>
          <w:lang w:val="en-US"/>
        </w:rPr>
        <w:t xml:space="preserve">contains </w:t>
      </w:r>
      <w:proofErr w:type="gramStart"/>
      <w:r w:rsidR="0097230D" w:rsidRPr="00B1028B">
        <w:rPr>
          <w:rFonts w:ascii="Verdana" w:hAnsi="Verdana" w:cs="Arial"/>
          <w:lang w:val="en-US"/>
        </w:rPr>
        <w:t>a number of</w:t>
      </w:r>
      <w:proofErr w:type="gramEnd"/>
      <w:r w:rsidR="0097230D" w:rsidRPr="00B1028B">
        <w:rPr>
          <w:rFonts w:ascii="Verdana" w:hAnsi="Verdana" w:cs="Arial"/>
          <w:lang w:val="en-US"/>
        </w:rPr>
        <w:t xml:space="preserve"> recommendations </w:t>
      </w:r>
      <w:r w:rsidR="00090E1E" w:rsidRPr="00B1028B">
        <w:rPr>
          <w:rFonts w:ascii="Verdana" w:hAnsi="Verdana" w:cs="Arial"/>
          <w:lang w:val="en-US"/>
        </w:rPr>
        <w:t>to support implementation</w:t>
      </w:r>
      <w:r w:rsidR="00F27AC1">
        <w:rPr>
          <w:rFonts w:ascii="Verdana" w:hAnsi="Verdana" w:cs="Arial"/>
          <w:lang w:val="en-US"/>
        </w:rPr>
        <w:t>. The report can also be taken in support of this response to the consultation.</w:t>
      </w:r>
      <w:r w:rsidR="0011134C">
        <w:rPr>
          <w:rFonts w:ascii="Verdana" w:hAnsi="Verdana" w:cs="Arial"/>
          <w:lang w:val="en-US"/>
        </w:rPr>
        <w:t xml:space="preserve"> </w:t>
      </w:r>
    </w:p>
    <w:p w14:paraId="5F77FA62" w14:textId="77777777" w:rsidR="00DA20E7" w:rsidRPr="00564A3B" w:rsidRDefault="00DA20E7" w:rsidP="000C759B">
      <w:pPr>
        <w:rPr>
          <w:rFonts w:ascii="Verdana" w:hAnsi="Verdana"/>
        </w:rPr>
      </w:pPr>
    </w:p>
    <w:p w14:paraId="55E1BB63" w14:textId="4B921AA4" w:rsidR="00A02489" w:rsidRDefault="00EC2294" w:rsidP="004D2BFF">
      <w:pPr>
        <w:pStyle w:val="Heading1"/>
        <w:numPr>
          <w:ilvl w:val="0"/>
          <w:numId w:val="13"/>
        </w:numPr>
        <w:spacing w:before="24" w:after="24" w:line="360" w:lineRule="auto"/>
      </w:pPr>
      <w:bookmarkStart w:id="4" w:name="_Toc151712154"/>
      <w:r>
        <w:t>Parental Opt-Outs</w:t>
      </w:r>
      <w:bookmarkEnd w:id="4"/>
      <w:r>
        <w:t xml:space="preserve"> </w:t>
      </w:r>
    </w:p>
    <w:p w14:paraId="2052CBF5" w14:textId="77777777" w:rsidR="006625D4" w:rsidRPr="006625D4" w:rsidRDefault="006625D4" w:rsidP="006625D4"/>
    <w:p w14:paraId="513B86FA" w14:textId="77777777" w:rsidR="004D2BFF" w:rsidRPr="004D2BFF" w:rsidRDefault="004D2BFF" w:rsidP="004D2BFF">
      <w:pPr>
        <w:pStyle w:val="ListParagraph"/>
        <w:numPr>
          <w:ilvl w:val="0"/>
          <w:numId w:val="2"/>
        </w:numPr>
        <w:spacing w:before="24" w:after="24" w:line="360" w:lineRule="auto"/>
        <w:rPr>
          <w:rFonts w:ascii="Verdana" w:hAnsi="Verdana" w:cs="Arial"/>
          <w:vanish/>
          <w:lang w:val="en-US"/>
        </w:rPr>
      </w:pPr>
    </w:p>
    <w:p w14:paraId="67C7C52B" w14:textId="34C516B4" w:rsidR="003E2E5C" w:rsidRPr="00374078" w:rsidRDefault="000F11C6" w:rsidP="00874285">
      <w:pPr>
        <w:numPr>
          <w:ilvl w:val="1"/>
          <w:numId w:val="2"/>
        </w:numPr>
        <w:spacing w:before="24" w:after="24" w:line="360" w:lineRule="auto"/>
        <w:ind w:left="709"/>
        <w:contextualSpacing/>
        <w:rPr>
          <w:rFonts w:ascii="Verdana" w:hAnsi="Verdana" w:cs="Arial"/>
          <w:lang w:val="en-US"/>
        </w:rPr>
      </w:pPr>
      <w:r w:rsidRPr="00374078">
        <w:rPr>
          <w:rFonts w:ascii="Verdana" w:hAnsi="Verdana" w:cs="Arial"/>
          <w:lang w:val="en-US"/>
        </w:rPr>
        <w:t xml:space="preserve">This issue </w:t>
      </w:r>
      <w:r w:rsidR="00F27AC1">
        <w:rPr>
          <w:rFonts w:ascii="Verdana" w:hAnsi="Verdana" w:cs="Arial"/>
          <w:lang w:val="en-US"/>
        </w:rPr>
        <w:t xml:space="preserve">- </w:t>
      </w:r>
      <w:r w:rsidRPr="00374078">
        <w:rPr>
          <w:rFonts w:ascii="Verdana" w:hAnsi="Verdana" w:cs="Arial"/>
          <w:lang w:val="en-US"/>
        </w:rPr>
        <w:t xml:space="preserve">parental opt-outs to RSE </w:t>
      </w:r>
      <w:r w:rsidR="00F27AC1">
        <w:rPr>
          <w:rFonts w:ascii="Verdana" w:hAnsi="Verdana" w:cs="Arial"/>
          <w:lang w:val="en-US"/>
        </w:rPr>
        <w:t xml:space="preserve">- </w:t>
      </w:r>
      <w:r w:rsidRPr="00374078">
        <w:rPr>
          <w:rFonts w:ascii="Verdana" w:hAnsi="Verdana" w:cs="Arial"/>
          <w:lang w:val="en-US"/>
        </w:rPr>
        <w:t xml:space="preserve">has been considered by the European Court of Human Rights (ECtHR). </w:t>
      </w:r>
      <w:r w:rsidR="003E2E5C" w:rsidRPr="00374078">
        <w:rPr>
          <w:rFonts w:ascii="Verdana" w:hAnsi="Verdana" w:cs="Arial"/>
          <w:lang w:val="en-US"/>
        </w:rPr>
        <w:t xml:space="preserve">Of </w:t>
      </w:r>
      <w:proofErr w:type="gramStart"/>
      <w:r w:rsidR="00825D7F" w:rsidRPr="00374078">
        <w:rPr>
          <w:rFonts w:ascii="Verdana" w:hAnsi="Verdana" w:cs="Arial"/>
          <w:lang w:val="en-US"/>
        </w:rPr>
        <w:t>particular relevance</w:t>
      </w:r>
      <w:proofErr w:type="gramEnd"/>
      <w:r w:rsidR="00825D7F" w:rsidRPr="00374078">
        <w:rPr>
          <w:rFonts w:ascii="Verdana" w:hAnsi="Verdana" w:cs="Arial"/>
          <w:lang w:val="en-US"/>
        </w:rPr>
        <w:t xml:space="preserve"> </w:t>
      </w:r>
      <w:r w:rsidR="00F27AC1">
        <w:rPr>
          <w:rFonts w:ascii="Verdana" w:hAnsi="Verdana" w:cs="Arial"/>
          <w:lang w:val="en-US"/>
        </w:rPr>
        <w:t>to that consideration was</w:t>
      </w:r>
      <w:r w:rsidR="003E2E5C" w:rsidRPr="00374078">
        <w:rPr>
          <w:rFonts w:ascii="Verdana" w:hAnsi="Verdana" w:cs="Arial"/>
          <w:lang w:val="en-US"/>
        </w:rPr>
        <w:t xml:space="preserve"> Article 2 of Protocol No 1 </w:t>
      </w:r>
      <w:r w:rsidR="002B4684" w:rsidRPr="00374078">
        <w:rPr>
          <w:rFonts w:ascii="Verdana" w:hAnsi="Verdana" w:cs="Arial"/>
          <w:lang w:val="en-US"/>
        </w:rPr>
        <w:t>of the</w:t>
      </w:r>
      <w:r w:rsidR="00825D7F" w:rsidRPr="00374078">
        <w:rPr>
          <w:rFonts w:ascii="Verdana" w:hAnsi="Verdana" w:cs="Arial"/>
          <w:lang w:val="en-US"/>
        </w:rPr>
        <w:t xml:space="preserve"> European Convention of Human Rights</w:t>
      </w:r>
      <w:r w:rsidR="002B4684" w:rsidRPr="00374078">
        <w:rPr>
          <w:rFonts w:ascii="Verdana" w:hAnsi="Verdana" w:cs="Arial"/>
          <w:lang w:val="en-US"/>
        </w:rPr>
        <w:t xml:space="preserve"> </w:t>
      </w:r>
      <w:r w:rsidR="00A00692">
        <w:rPr>
          <w:rFonts w:ascii="Verdana" w:hAnsi="Verdana" w:cs="Arial"/>
          <w:lang w:val="en-US"/>
        </w:rPr>
        <w:t>(</w:t>
      </w:r>
      <w:r w:rsidR="002B4684" w:rsidRPr="00374078">
        <w:rPr>
          <w:rFonts w:ascii="Verdana" w:hAnsi="Verdana" w:cs="Arial"/>
          <w:lang w:val="en-US"/>
        </w:rPr>
        <w:t>ECHR</w:t>
      </w:r>
      <w:r w:rsidR="00A00692">
        <w:rPr>
          <w:rFonts w:ascii="Verdana" w:hAnsi="Verdana" w:cs="Arial"/>
          <w:lang w:val="en-US"/>
        </w:rPr>
        <w:t>)</w:t>
      </w:r>
      <w:r w:rsidR="00962B8E">
        <w:rPr>
          <w:rFonts w:ascii="Verdana" w:hAnsi="Verdana" w:cs="Arial"/>
          <w:lang w:val="en-US"/>
        </w:rPr>
        <w:t>,</w:t>
      </w:r>
      <w:r w:rsidR="002B4684" w:rsidRPr="00374078">
        <w:rPr>
          <w:rFonts w:ascii="Verdana" w:hAnsi="Verdana" w:cs="Arial"/>
          <w:lang w:val="en-US"/>
        </w:rPr>
        <w:t xml:space="preserve"> </w:t>
      </w:r>
      <w:r w:rsidR="003E2E5C" w:rsidRPr="00374078">
        <w:rPr>
          <w:rFonts w:ascii="Verdana" w:hAnsi="Verdana" w:cs="Arial"/>
          <w:lang w:val="en-US"/>
        </w:rPr>
        <w:t>which provides the right to education. It states that:</w:t>
      </w:r>
    </w:p>
    <w:p w14:paraId="68394CC5" w14:textId="77777777" w:rsidR="00877C7F" w:rsidRPr="00877C7F" w:rsidRDefault="00877C7F" w:rsidP="00877C7F">
      <w:pPr>
        <w:pStyle w:val="ListParagraph"/>
        <w:spacing w:before="24" w:after="24" w:line="360" w:lineRule="auto"/>
        <w:rPr>
          <w:rFonts w:ascii="Verdana" w:eastAsia="Times New Roman" w:hAnsi="Verdana" w:cs="Times New Roman"/>
        </w:rPr>
      </w:pPr>
    </w:p>
    <w:p w14:paraId="71F6A12F" w14:textId="77777777" w:rsidR="003E2E5C" w:rsidRPr="00D90046" w:rsidRDefault="003E2E5C" w:rsidP="006634AB">
      <w:pPr>
        <w:pStyle w:val="ListParagraph"/>
        <w:spacing w:before="24" w:after="24" w:line="360" w:lineRule="auto"/>
        <w:ind w:left="862" w:right="862"/>
        <w:rPr>
          <w:rFonts w:ascii="Verdana" w:eastAsia="Times New Roman" w:hAnsi="Verdana" w:cs="Times New Roman"/>
        </w:rPr>
      </w:pPr>
      <w:r w:rsidRPr="00D90046">
        <w:rPr>
          <w:rFonts w:ascii="Verdana" w:eastAsia="Times New Roman" w:hAnsi="Verdana" w:cs="Times New Roman"/>
        </w:rPr>
        <w:t>no person shall be denied the right to education. In the exercise of any functions which it assumes in relation to education and to teaching, the State shall respect the right of parents to ensure such education and teaching in conformity with their own religious and philosophical convictions.</w:t>
      </w:r>
    </w:p>
    <w:p w14:paraId="44C3878D" w14:textId="77777777" w:rsidR="003E2E5C" w:rsidRPr="00D90046" w:rsidRDefault="003E2E5C" w:rsidP="00D90046">
      <w:pPr>
        <w:pStyle w:val="ListParagraph"/>
        <w:spacing w:before="24" w:after="24" w:line="360" w:lineRule="auto"/>
        <w:rPr>
          <w:rFonts w:ascii="Verdana" w:eastAsia="Times New Roman" w:hAnsi="Verdana" w:cs="Times New Roman"/>
        </w:rPr>
      </w:pPr>
    </w:p>
    <w:p w14:paraId="33059405" w14:textId="3B36D076" w:rsidR="003E2E5C" w:rsidRPr="00F00848" w:rsidRDefault="003E2E5C" w:rsidP="00874285">
      <w:pPr>
        <w:numPr>
          <w:ilvl w:val="1"/>
          <w:numId w:val="2"/>
        </w:numPr>
        <w:spacing w:before="24" w:after="24" w:line="360" w:lineRule="auto"/>
        <w:ind w:left="709"/>
        <w:contextualSpacing/>
        <w:rPr>
          <w:rFonts w:ascii="Verdana" w:hAnsi="Verdana" w:cs="Arial"/>
          <w:lang w:val="en-US"/>
        </w:rPr>
      </w:pPr>
      <w:r w:rsidRPr="00741538">
        <w:rPr>
          <w:rFonts w:ascii="Verdana" w:hAnsi="Verdana" w:cs="Arial"/>
          <w:lang w:val="en-US"/>
        </w:rPr>
        <w:t>Article 2 of Protocol No 1 requires the State to respect parents’ religious and philosophical convictions, throughout the State education system.</w:t>
      </w:r>
      <w:r w:rsidRPr="00741538">
        <w:rPr>
          <w:rFonts w:ascii="Verdana" w:hAnsi="Verdana" w:cs="Arial"/>
          <w:vertAlign w:val="superscript"/>
          <w:lang w:val="en-US"/>
        </w:rPr>
        <w:footnoteReference w:id="17"/>
      </w:r>
      <w:r w:rsidRPr="00741538">
        <w:rPr>
          <w:rFonts w:ascii="Verdana" w:hAnsi="Verdana" w:cs="Arial"/>
          <w:vertAlign w:val="superscript"/>
          <w:lang w:val="en-US"/>
        </w:rPr>
        <w:t> </w:t>
      </w:r>
      <w:r w:rsidRPr="00741538">
        <w:rPr>
          <w:rFonts w:ascii="Verdana" w:hAnsi="Verdana" w:cs="Arial"/>
          <w:lang w:val="en-US"/>
        </w:rPr>
        <w:t xml:space="preserve"> </w:t>
      </w:r>
      <w:r w:rsidRPr="00F00848">
        <w:rPr>
          <w:rFonts w:ascii="Verdana" w:hAnsi="Verdana" w:cs="Arial"/>
          <w:lang w:val="en-US"/>
        </w:rPr>
        <w:t>However, the primary purpose of Article 2 of Protocol 1 is to guarantee to an individual the right to education. The ECtHR has highlighted that “[i]n a democratic society, the right to education … is indispensable to the furtherance of human rights [and] plays … a fundamental role”.</w:t>
      </w:r>
      <w:r w:rsidRPr="00741538">
        <w:rPr>
          <w:rFonts w:ascii="Verdana" w:hAnsi="Verdana" w:cs="Arial"/>
          <w:vertAlign w:val="superscript"/>
          <w:lang w:val="en-US"/>
        </w:rPr>
        <w:footnoteReference w:id="18"/>
      </w:r>
      <w:r w:rsidRPr="00F00848">
        <w:rPr>
          <w:rFonts w:ascii="Verdana" w:hAnsi="Verdana" w:cs="Arial"/>
          <w:vertAlign w:val="superscript"/>
          <w:lang w:val="en-US"/>
        </w:rPr>
        <w:t xml:space="preserve"> </w:t>
      </w:r>
    </w:p>
    <w:p w14:paraId="7DE86E6C" w14:textId="77777777" w:rsidR="008C1A87" w:rsidRPr="00741538" w:rsidRDefault="008C1A87" w:rsidP="00741538">
      <w:pPr>
        <w:spacing w:before="24" w:after="24" w:line="360" w:lineRule="auto"/>
        <w:ind w:left="720"/>
        <w:contextualSpacing/>
        <w:rPr>
          <w:rFonts w:ascii="Verdana" w:hAnsi="Verdana" w:cs="Arial"/>
          <w:lang w:val="en-US"/>
        </w:rPr>
      </w:pPr>
    </w:p>
    <w:p w14:paraId="780C570F" w14:textId="290C5639" w:rsidR="003E2E5C" w:rsidRPr="00741538" w:rsidRDefault="003E2E5C" w:rsidP="00874285">
      <w:pPr>
        <w:numPr>
          <w:ilvl w:val="1"/>
          <w:numId w:val="2"/>
        </w:numPr>
        <w:spacing w:before="24" w:after="24" w:line="360" w:lineRule="auto"/>
        <w:ind w:left="709"/>
        <w:contextualSpacing/>
        <w:rPr>
          <w:rFonts w:ascii="Verdana" w:hAnsi="Verdana" w:cs="Arial"/>
          <w:lang w:val="en-US"/>
        </w:rPr>
      </w:pPr>
      <w:r w:rsidRPr="00741538">
        <w:rPr>
          <w:rFonts w:ascii="Verdana" w:hAnsi="Verdana" w:cs="Arial"/>
          <w:lang w:val="en-US"/>
        </w:rPr>
        <w:lastRenderedPageBreak/>
        <w:t>In its jurisprudence</w:t>
      </w:r>
      <w:r w:rsidR="00F204E2">
        <w:rPr>
          <w:rFonts w:ascii="Verdana" w:hAnsi="Verdana" w:cs="Arial"/>
          <w:lang w:val="en-US"/>
        </w:rPr>
        <w:t>,</w:t>
      </w:r>
      <w:r w:rsidRPr="00741538">
        <w:rPr>
          <w:rFonts w:ascii="Verdana" w:hAnsi="Verdana" w:cs="Arial"/>
          <w:lang w:val="en-US"/>
        </w:rPr>
        <w:t xml:space="preserve"> the ECtHR has identified that RSE pursues a number of legitimate aims including the preservation of health, </w:t>
      </w:r>
      <w:r w:rsidR="00F204E2">
        <w:rPr>
          <w:rFonts w:ascii="Verdana" w:hAnsi="Verdana" w:cs="Arial"/>
          <w:lang w:val="en-US"/>
        </w:rPr>
        <w:t xml:space="preserve">and </w:t>
      </w:r>
      <w:r w:rsidRPr="00741538">
        <w:rPr>
          <w:rFonts w:ascii="Verdana" w:hAnsi="Verdana" w:cs="Arial"/>
          <w:lang w:val="en-US"/>
        </w:rPr>
        <w:t>the prevention of sexual violence and exploitation.</w:t>
      </w:r>
      <w:r w:rsidRPr="00741538">
        <w:rPr>
          <w:rFonts w:ascii="Verdana" w:hAnsi="Verdana" w:cs="Arial"/>
          <w:vertAlign w:val="superscript"/>
          <w:lang w:val="en-US"/>
        </w:rPr>
        <w:footnoteReference w:id="19"/>
      </w:r>
      <w:r w:rsidRPr="00741538">
        <w:rPr>
          <w:rFonts w:ascii="Verdana" w:hAnsi="Verdana" w:cs="Arial"/>
          <w:vertAlign w:val="superscript"/>
          <w:lang w:val="en-US"/>
        </w:rPr>
        <w:t xml:space="preserve"> </w:t>
      </w:r>
    </w:p>
    <w:p w14:paraId="47085BD3" w14:textId="77777777" w:rsidR="00680C72" w:rsidRPr="00741538" w:rsidRDefault="00680C72" w:rsidP="00741538">
      <w:pPr>
        <w:spacing w:before="24" w:after="24" w:line="360" w:lineRule="auto"/>
        <w:ind w:left="720"/>
        <w:contextualSpacing/>
        <w:rPr>
          <w:rFonts w:ascii="Verdana" w:hAnsi="Verdana" w:cs="Arial"/>
          <w:lang w:val="en-US"/>
        </w:rPr>
      </w:pPr>
    </w:p>
    <w:p w14:paraId="0C74D316" w14:textId="5BED2526" w:rsidR="003E2E5C" w:rsidRPr="00741538" w:rsidRDefault="003E2E5C" w:rsidP="00874285">
      <w:pPr>
        <w:numPr>
          <w:ilvl w:val="1"/>
          <w:numId w:val="2"/>
        </w:numPr>
        <w:spacing w:before="24" w:after="24" w:line="360" w:lineRule="auto"/>
        <w:ind w:left="709"/>
        <w:contextualSpacing/>
        <w:rPr>
          <w:rFonts w:ascii="Verdana" w:hAnsi="Verdana" w:cs="Arial"/>
          <w:lang w:val="en-US"/>
        </w:rPr>
      </w:pPr>
      <w:r w:rsidRPr="00741538">
        <w:rPr>
          <w:rFonts w:ascii="Verdana" w:hAnsi="Verdana" w:cs="Arial"/>
          <w:lang w:val="en-US"/>
        </w:rPr>
        <w:t>The ECtHR has held that Article 2 of Protocol 1 should be viewed collectively. In Kjeldsen v Denmark (1976), the ECtHR highlighted that</w:t>
      </w:r>
      <w:r w:rsidR="00741538">
        <w:rPr>
          <w:rFonts w:ascii="Verdana" w:hAnsi="Verdana" w:cs="Arial"/>
          <w:lang w:val="en-US"/>
        </w:rPr>
        <w:t>:</w:t>
      </w:r>
    </w:p>
    <w:p w14:paraId="64F93ABD" w14:textId="77777777" w:rsidR="00AE5362" w:rsidRDefault="00AE5362" w:rsidP="00DC7ED3">
      <w:pPr>
        <w:pStyle w:val="ListParagraph"/>
        <w:spacing w:line="360" w:lineRule="auto"/>
        <w:ind w:right="862"/>
        <w:rPr>
          <w:rFonts w:ascii="Verdana" w:eastAsia="Times New Roman" w:hAnsi="Verdana" w:cs="Times New Roman"/>
        </w:rPr>
      </w:pPr>
    </w:p>
    <w:p w14:paraId="78D2B78C" w14:textId="5AA77325" w:rsidR="003E2E5C" w:rsidRPr="000F797A" w:rsidRDefault="003E2E5C" w:rsidP="006634AB">
      <w:pPr>
        <w:pStyle w:val="ListParagraph"/>
        <w:spacing w:line="360" w:lineRule="auto"/>
        <w:ind w:left="862" w:right="862"/>
        <w:rPr>
          <w:rFonts w:ascii="Verdana" w:eastAsia="Times New Roman" w:hAnsi="Verdana" w:cs="Times New Roman"/>
        </w:rPr>
      </w:pPr>
      <w:r w:rsidRPr="000F797A">
        <w:rPr>
          <w:rFonts w:ascii="Verdana" w:eastAsia="Times New Roman" w:hAnsi="Verdana" w:cs="Times New Roman"/>
        </w:rPr>
        <w:t>the second sentence of Article 2 (P1-2) must be read together with the first which enshrines the right of everyone to education. It is on to this fundamental right that is grafted the right of parents to respect for their religious and philosophical convictions.</w:t>
      </w:r>
      <w:r w:rsidRPr="00E26161">
        <w:rPr>
          <w:rFonts w:ascii="Verdana" w:eastAsia="Times New Roman" w:hAnsi="Verdana" w:cs="Times New Roman"/>
          <w:vertAlign w:val="superscript"/>
        </w:rPr>
        <w:footnoteReference w:id="20"/>
      </w:r>
      <w:r w:rsidRPr="00E26161">
        <w:rPr>
          <w:rFonts w:ascii="Verdana" w:eastAsia="Times New Roman" w:hAnsi="Verdana" w:cs="Times New Roman"/>
          <w:vertAlign w:val="superscript"/>
        </w:rPr>
        <w:t xml:space="preserve"> </w:t>
      </w:r>
    </w:p>
    <w:p w14:paraId="53A9886F" w14:textId="77777777" w:rsidR="00680C72" w:rsidRPr="00741538" w:rsidRDefault="00680C72" w:rsidP="00741538">
      <w:pPr>
        <w:spacing w:before="24" w:after="24" w:line="360" w:lineRule="auto"/>
        <w:ind w:left="720"/>
        <w:contextualSpacing/>
        <w:rPr>
          <w:rFonts w:ascii="Verdana" w:hAnsi="Verdana" w:cs="Arial"/>
          <w:lang w:val="en-US"/>
        </w:rPr>
      </w:pPr>
    </w:p>
    <w:p w14:paraId="4A756396" w14:textId="0DE4A516" w:rsidR="00680C72" w:rsidRPr="00741538" w:rsidRDefault="003E2E5C" w:rsidP="00874285">
      <w:pPr>
        <w:numPr>
          <w:ilvl w:val="1"/>
          <w:numId w:val="2"/>
        </w:numPr>
        <w:spacing w:before="24" w:after="24" w:line="360" w:lineRule="auto"/>
        <w:ind w:left="709"/>
        <w:contextualSpacing/>
        <w:rPr>
          <w:rFonts w:ascii="Verdana" w:hAnsi="Verdana" w:cs="Arial"/>
          <w:lang w:val="en-US"/>
        </w:rPr>
      </w:pPr>
      <w:r w:rsidRPr="00741538">
        <w:rPr>
          <w:rFonts w:ascii="Verdana" w:hAnsi="Verdana" w:cs="Arial"/>
          <w:lang w:val="en-US"/>
        </w:rPr>
        <w:t>Parents therefore may not refuse a child’s right to educat</w:t>
      </w:r>
      <w:r w:rsidR="00F75DD5" w:rsidRPr="00741538">
        <w:rPr>
          <w:rFonts w:ascii="Verdana" w:hAnsi="Verdana" w:cs="Arial"/>
          <w:lang w:val="en-US"/>
        </w:rPr>
        <w:t>ion</w:t>
      </w:r>
      <w:r w:rsidRPr="00741538">
        <w:rPr>
          <w:rFonts w:ascii="Verdana" w:hAnsi="Verdana" w:cs="Arial"/>
          <w:lang w:val="en-US"/>
        </w:rPr>
        <w:t xml:space="preserve"> on the basis of their religious and philosophical convictions.  Rather, the second sentence of Article 2 of Protocol No 1 aims to safeguard pluralism in education to protect the democratic society envisaged by the Convention.</w:t>
      </w:r>
      <w:r w:rsidRPr="00741538">
        <w:rPr>
          <w:rFonts w:ascii="Verdana" w:hAnsi="Verdana" w:cs="Arial"/>
          <w:vertAlign w:val="superscript"/>
          <w:lang w:val="en-US"/>
        </w:rPr>
        <w:footnoteReference w:id="21"/>
      </w:r>
      <w:r w:rsidRPr="00741538">
        <w:rPr>
          <w:rFonts w:ascii="Verdana" w:hAnsi="Verdana" w:cs="Arial"/>
          <w:vertAlign w:val="superscript"/>
          <w:lang w:val="en-US"/>
        </w:rPr>
        <w:t xml:space="preserve"> </w:t>
      </w:r>
    </w:p>
    <w:p w14:paraId="27C05394" w14:textId="77777777" w:rsidR="005C3FA5" w:rsidRPr="00741538" w:rsidRDefault="005C3FA5" w:rsidP="00741538">
      <w:pPr>
        <w:spacing w:before="24" w:after="24" w:line="360" w:lineRule="auto"/>
        <w:ind w:left="720"/>
        <w:contextualSpacing/>
        <w:rPr>
          <w:rFonts w:ascii="Verdana" w:hAnsi="Verdana" w:cs="Arial"/>
          <w:lang w:val="en-US"/>
        </w:rPr>
      </w:pPr>
    </w:p>
    <w:p w14:paraId="4199CF54" w14:textId="672498F1" w:rsidR="0033575E" w:rsidRPr="00741538" w:rsidRDefault="003E2E5C" w:rsidP="00874285">
      <w:pPr>
        <w:numPr>
          <w:ilvl w:val="1"/>
          <w:numId w:val="2"/>
        </w:numPr>
        <w:spacing w:before="24" w:after="24" w:line="360" w:lineRule="auto"/>
        <w:ind w:left="709"/>
        <w:contextualSpacing/>
        <w:rPr>
          <w:rFonts w:ascii="Verdana" w:hAnsi="Verdana" w:cs="Arial"/>
          <w:lang w:val="en-US"/>
        </w:rPr>
      </w:pPr>
      <w:r w:rsidRPr="00741538">
        <w:rPr>
          <w:rFonts w:ascii="Verdana" w:hAnsi="Verdana" w:cs="Arial"/>
          <w:lang w:val="en-US"/>
        </w:rPr>
        <w:t>In the case of Isherwood and Others v The Welsh Ministers, the Welsh RSE Code and Guidance were subject to judicial review</w:t>
      </w:r>
      <w:r w:rsidR="00232892">
        <w:rPr>
          <w:rFonts w:ascii="Verdana" w:hAnsi="Verdana" w:cs="Arial"/>
          <w:lang w:val="en-US"/>
        </w:rPr>
        <w:t xml:space="preserve">. The grounds of challenge included the </w:t>
      </w:r>
      <w:r w:rsidR="00232892" w:rsidRPr="00741538">
        <w:rPr>
          <w:rFonts w:ascii="Verdana" w:hAnsi="Verdana" w:cs="Arial"/>
          <w:lang w:val="en-US"/>
        </w:rPr>
        <w:t>failure to allow for parental exemptions</w:t>
      </w:r>
      <w:r w:rsidR="00EB474B">
        <w:rPr>
          <w:rFonts w:ascii="Verdana" w:hAnsi="Verdana" w:cs="Arial"/>
          <w:lang w:val="en-US"/>
        </w:rPr>
        <w:t xml:space="preserve"> was</w:t>
      </w:r>
      <w:r w:rsidR="00232892" w:rsidRPr="00741538">
        <w:rPr>
          <w:rFonts w:ascii="Verdana" w:hAnsi="Verdana" w:cs="Arial"/>
          <w:lang w:val="en-US"/>
        </w:rPr>
        <w:t xml:space="preserve"> in breach of the requirements of the second sentence of Article 2 of Protocol No 1</w:t>
      </w:r>
      <w:r w:rsidR="00232892">
        <w:rPr>
          <w:rFonts w:ascii="Verdana" w:hAnsi="Verdana" w:cs="Arial"/>
          <w:lang w:val="en-US"/>
        </w:rPr>
        <w:t>.</w:t>
      </w:r>
      <w:r w:rsidRPr="008F5D96">
        <w:rPr>
          <w:rFonts w:ascii="Verdana" w:hAnsi="Verdana" w:cs="Arial"/>
          <w:vertAlign w:val="superscript"/>
          <w:lang w:val="en-US"/>
        </w:rPr>
        <w:footnoteReference w:id="22"/>
      </w:r>
      <w:r w:rsidRPr="00741538">
        <w:rPr>
          <w:rFonts w:ascii="Verdana" w:hAnsi="Verdana" w:cs="Arial"/>
          <w:lang w:val="en-US"/>
        </w:rPr>
        <w:t xml:space="preserve"> It was further claimed that the rights protected by Article 2 of Protocol No 1 were breached by a ‘whole school’ approach to RSE, without any right of excusal and without any guarantee as to the content of that education.</w:t>
      </w:r>
    </w:p>
    <w:p w14:paraId="44B3B1F7" w14:textId="77777777" w:rsidR="0033575E" w:rsidRPr="00741538" w:rsidRDefault="0033575E" w:rsidP="00741538">
      <w:pPr>
        <w:spacing w:before="24" w:after="24" w:line="360" w:lineRule="auto"/>
        <w:ind w:left="720"/>
        <w:contextualSpacing/>
        <w:rPr>
          <w:rFonts w:ascii="Verdana" w:hAnsi="Verdana" w:cs="Arial"/>
          <w:lang w:val="en-US"/>
        </w:rPr>
      </w:pPr>
    </w:p>
    <w:p w14:paraId="0FA6D953" w14:textId="6B0CEB3A" w:rsidR="003E2E5C" w:rsidRPr="00741538" w:rsidRDefault="003E2E5C" w:rsidP="00874285">
      <w:pPr>
        <w:numPr>
          <w:ilvl w:val="1"/>
          <w:numId w:val="2"/>
        </w:numPr>
        <w:spacing w:before="24" w:after="24" w:line="360" w:lineRule="auto"/>
        <w:ind w:left="709"/>
        <w:contextualSpacing/>
        <w:rPr>
          <w:rFonts w:ascii="Verdana" w:hAnsi="Verdana" w:cs="Arial"/>
          <w:lang w:val="en-US"/>
        </w:rPr>
      </w:pPr>
      <w:r w:rsidRPr="00741538">
        <w:rPr>
          <w:rFonts w:ascii="Verdana" w:hAnsi="Verdana" w:cs="Arial"/>
          <w:lang w:val="en-US"/>
        </w:rPr>
        <w:t>In her judgment</w:t>
      </w:r>
      <w:r w:rsidR="001B6797">
        <w:rPr>
          <w:rFonts w:ascii="Verdana" w:hAnsi="Verdana" w:cs="Arial"/>
          <w:lang w:val="en-US"/>
        </w:rPr>
        <w:t>,</w:t>
      </w:r>
      <w:r w:rsidRPr="00741538">
        <w:rPr>
          <w:rFonts w:ascii="Verdana" w:hAnsi="Verdana" w:cs="Arial"/>
          <w:lang w:val="en-US"/>
        </w:rPr>
        <w:t xml:space="preserve"> Mrs</w:t>
      </w:r>
      <w:r w:rsidR="00232892">
        <w:rPr>
          <w:rFonts w:ascii="Verdana" w:hAnsi="Verdana" w:cs="Arial"/>
          <w:lang w:val="en-US"/>
        </w:rPr>
        <w:t>.</w:t>
      </w:r>
      <w:r w:rsidRPr="00741538">
        <w:rPr>
          <w:rFonts w:ascii="Verdana" w:hAnsi="Verdana" w:cs="Arial"/>
          <w:lang w:val="en-US"/>
        </w:rPr>
        <w:t xml:space="preserve"> Justice Steyn DBE stated:</w:t>
      </w:r>
    </w:p>
    <w:p w14:paraId="0EEC0B5D" w14:textId="77777777" w:rsidR="003E2E5C" w:rsidRPr="003E2E5C" w:rsidRDefault="003E2E5C" w:rsidP="00B23948">
      <w:pPr>
        <w:pStyle w:val="ListParagraph"/>
        <w:autoSpaceDE w:val="0"/>
        <w:autoSpaceDN w:val="0"/>
        <w:adjustRightInd w:val="0"/>
        <w:spacing w:line="360" w:lineRule="auto"/>
        <w:rPr>
          <w:rFonts w:ascii="Verdana" w:hAnsi="Verdana"/>
        </w:rPr>
      </w:pPr>
    </w:p>
    <w:p w14:paraId="29CC09AE" w14:textId="641F0185" w:rsidR="00B068D3" w:rsidRDefault="00920A81" w:rsidP="00B068D3">
      <w:pPr>
        <w:pStyle w:val="ListParagraph"/>
        <w:autoSpaceDE w:val="0"/>
        <w:autoSpaceDN w:val="0"/>
        <w:adjustRightInd w:val="0"/>
        <w:spacing w:line="360" w:lineRule="auto"/>
        <w:ind w:left="862" w:right="862"/>
        <w:rPr>
          <w:rFonts w:ascii="Verdana" w:hAnsi="Verdana"/>
        </w:rPr>
      </w:pPr>
      <w:r>
        <w:rPr>
          <w:rFonts w:ascii="Verdana" w:hAnsi="Verdana"/>
        </w:rPr>
        <w:lastRenderedPageBreak/>
        <w:t>T</w:t>
      </w:r>
      <w:r w:rsidR="003E2E5C" w:rsidRPr="003E2E5C">
        <w:rPr>
          <w:rFonts w:ascii="Verdana" w:hAnsi="Verdana"/>
        </w:rPr>
        <w:t>he State is entitled to provide teaching that (i) addresses considerations of a moral nature, provided it does not constitute an attempt at indoctrination aimed at advocating a specific kind of sexual behaviour; (ii) aims to equip pupils to protect themselves and to show consideration for others; (iii) seeks to provide pupils with knowledge of biological, ethical, social and cultural aspects of sexuality in order to enable them to develop their own moral views and an independent approach to their own sexuality, and that encourages tolerance towards human beings irrespective of their sexual orientation and identity; and (iv) aims to enable pupils to be tolerant and open to dialogue and to people whose beliefs differ from their own.</w:t>
      </w:r>
      <w:r w:rsidR="003E2E5C" w:rsidRPr="00DB5981">
        <w:rPr>
          <w:rFonts w:ascii="Verdana" w:hAnsi="Verdana"/>
          <w:vertAlign w:val="superscript"/>
        </w:rPr>
        <w:footnoteReference w:id="23"/>
      </w:r>
      <w:r w:rsidR="003E2E5C" w:rsidRPr="00DB5981">
        <w:rPr>
          <w:rFonts w:ascii="Verdana" w:hAnsi="Verdana"/>
        </w:rPr>
        <w:t xml:space="preserve">   </w:t>
      </w:r>
    </w:p>
    <w:p w14:paraId="2F596E10" w14:textId="77777777" w:rsidR="0000790C" w:rsidRPr="00B068D3" w:rsidRDefault="0000790C" w:rsidP="00B068D3">
      <w:pPr>
        <w:pStyle w:val="ListParagraph"/>
        <w:autoSpaceDE w:val="0"/>
        <w:autoSpaceDN w:val="0"/>
        <w:adjustRightInd w:val="0"/>
        <w:spacing w:line="360" w:lineRule="auto"/>
        <w:ind w:left="862" w:right="862"/>
        <w:rPr>
          <w:rFonts w:ascii="Verdana" w:hAnsi="Verdana"/>
        </w:rPr>
      </w:pPr>
    </w:p>
    <w:p w14:paraId="3FB2982D" w14:textId="3502F642" w:rsidR="00B068D3" w:rsidRPr="00B068D3" w:rsidRDefault="00B068D3" w:rsidP="00874285">
      <w:pPr>
        <w:numPr>
          <w:ilvl w:val="1"/>
          <w:numId w:val="2"/>
        </w:numPr>
        <w:spacing w:before="24" w:after="24" w:line="360" w:lineRule="auto"/>
        <w:ind w:left="709"/>
        <w:contextualSpacing/>
        <w:rPr>
          <w:rFonts w:ascii="Verdana" w:hAnsi="Verdana" w:cs="Arial"/>
          <w:lang w:val="en-US"/>
        </w:rPr>
      </w:pPr>
      <w:r w:rsidRPr="00B068D3">
        <w:rPr>
          <w:rFonts w:ascii="Verdana" w:hAnsi="Verdana" w:cs="Arial"/>
        </w:rPr>
        <w:t xml:space="preserve">In dismissing the </w:t>
      </w:r>
      <w:r w:rsidR="00232892">
        <w:rPr>
          <w:rFonts w:ascii="Verdana" w:hAnsi="Verdana" w:cs="Arial"/>
        </w:rPr>
        <w:t>claim</w:t>
      </w:r>
      <w:r w:rsidR="00E06E6E">
        <w:rPr>
          <w:rFonts w:ascii="Verdana" w:hAnsi="Verdana" w:cs="Arial"/>
        </w:rPr>
        <w:t>,</w:t>
      </w:r>
      <w:r w:rsidR="00232892" w:rsidRPr="00B068D3">
        <w:rPr>
          <w:rFonts w:ascii="Verdana" w:hAnsi="Verdana" w:cs="Arial"/>
        </w:rPr>
        <w:t xml:space="preserve"> </w:t>
      </w:r>
      <w:r w:rsidRPr="00B068D3">
        <w:rPr>
          <w:rFonts w:ascii="Verdana" w:hAnsi="Verdana" w:cs="Arial"/>
        </w:rPr>
        <w:t>she found “a close resemblance between the Welsh Government’s objectives and the purposes of teaching that the Strasbourg court considered compatible with [Article 2 of Protocol No 1] in </w:t>
      </w:r>
      <w:r w:rsidRPr="00B068D3">
        <w:rPr>
          <w:rFonts w:ascii="Verdana" w:hAnsi="Verdana" w:cs="Arial"/>
          <w:i/>
          <w:iCs/>
        </w:rPr>
        <w:t>Kjeldsen</w:t>
      </w:r>
      <w:r w:rsidR="0000790C">
        <w:rPr>
          <w:rFonts w:ascii="Verdana" w:hAnsi="Verdana" w:cs="Arial"/>
          <w:i/>
          <w:iCs/>
        </w:rPr>
        <w:t>…”</w:t>
      </w:r>
      <w:r w:rsidR="0000790C">
        <w:rPr>
          <w:rStyle w:val="FootnoteReference"/>
          <w:rFonts w:ascii="Verdana" w:hAnsi="Verdana" w:cs="Arial"/>
          <w:i/>
          <w:iCs/>
        </w:rPr>
        <w:footnoteReference w:id="24"/>
      </w:r>
      <w:r w:rsidRPr="00B068D3">
        <w:rPr>
          <w:rFonts w:ascii="Verdana" w:hAnsi="Verdana" w:cs="Arial"/>
          <w:i/>
          <w:iCs/>
        </w:rPr>
        <w:t> </w:t>
      </w:r>
    </w:p>
    <w:p w14:paraId="12A6625F" w14:textId="77777777" w:rsidR="00B068D3" w:rsidRDefault="00B068D3" w:rsidP="00B068D3">
      <w:pPr>
        <w:spacing w:before="24" w:after="24" w:line="360" w:lineRule="auto"/>
        <w:ind w:left="720"/>
        <w:contextualSpacing/>
        <w:rPr>
          <w:rFonts w:ascii="Verdana" w:hAnsi="Verdana" w:cs="Arial"/>
          <w:lang w:val="en-US"/>
        </w:rPr>
      </w:pPr>
    </w:p>
    <w:p w14:paraId="06CFF85F" w14:textId="3FCD8D81" w:rsidR="00764697" w:rsidRPr="008F5D96" w:rsidRDefault="00845CFB" w:rsidP="00874285">
      <w:pPr>
        <w:numPr>
          <w:ilvl w:val="1"/>
          <w:numId w:val="2"/>
        </w:numPr>
        <w:spacing w:before="24" w:after="24" w:line="360" w:lineRule="auto"/>
        <w:ind w:left="709"/>
        <w:contextualSpacing/>
        <w:rPr>
          <w:rFonts w:ascii="Verdana" w:hAnsi="Verdana" w:cs="Arial"/>
          <w:lang w:val="en-US"/>
        </w:rPr>
      </w:pPr>
      <w:proofErr w:type="gramStart"/>
      <w:r w:rsidRPr="008F5D96">
        <w:rPr>
          <w:rFonts w:ascii="Verdana" w:hAnsi="Verdana" w:cs="Arial"/>
          <w:lang w:val="en-US"/>
        </w:rPr>
        <w:t>Parental</w:t>
      </w:r>
      <w:proofErr w:type="gramEnd"/>
      <w:r w:rsidRPr="008F5D96">
        <w:rPr>
          <w:rFonts w:ascii="Verdana" w:hAnsi="Verdana" w:cs="Arial"/>
          <w:lang w:val="en-US"/>
        </w:rPr>
        <w:t xml:space="preserve"> opt-outs have </w:t>
      </w:r>
      <w:r w:rsidR="005941C7" w:rsidRPr="008F5D96">
        <w:rPr>
          <w:rFonts w:ascii="Verdana" w:hAnsi="Verdana" w:cs="Arial"/>
          <w:lang w:val="en-US"/>
        </w:rPr>
        <w:t xml:space="preserve">been </w:t>
      </w:r>
      <w:r w:rsidR="00232892">
        <w:rPr>
          <w:rFonts w:ascii="Verdana" w:hAnsi="Verdana" w:cs="Arial"/>
          <w:lang w:val="en-US"/>
        </w:rPr>
        <w:t>considered</w:t>
      </w:r>
      <w:r w:rsidR="00232892" w:rsidRPr="008F5D96">
        <w:rPr>
          <w:rFonts w:ascii="Verdana" w:hAnsi="Verdana" w:cs="Arial"/>
          <w:lang w:val="en-US"/>
        </w:rPr>
        <w:t xml:space="preserve"> </w:t>
      </w:r>
      <w:r w:rsidR="00F8016B" w:rsidRPr="008F5D96">
        <w:rPr>
          <w:rFonts w:ascii="Verdana" w:hAnsi="Verdana" w:cs="Arial"/>
          <w:lang w:val="en-US"/>
        </w:rPr>
        <w:t xml:space="preserve">by </w:t>
      </w:r>
      <w:r w:rsidR="00764697" w:rsidRPr="008F5D96">
        <w:rPr>
          <w:rFonts w:ascii="Verdana" w:hAnsi="Verdana" w:cs="Arial"/>
          <w:lang w:val="en-US"/>
        </w:rPr>
        <w:t>the UN CRC Committee</w:t>
      </w:r>
      <w:r w:rsidR="00F8016B" w:rsidRPr="008F5D96">
        <w:rPr>
          <w:rFonts w:ascii="Verdana" w:hAnsi="Verdana" w:cs="Arial"/>
          <w:lang w:val="en-US"/>
        </w:rPr>
        <w:t xml:space="preserve"> </w:t>
      </w:r>
      <w:r w:rsidR="005941C7" w:rsidRPr="008F5D96">
        <w:rPr>
          <w:rFonts w:ascii="Verdana" w:hAnsi="Verdana" w:cs="Arial"/>
          <w:lang w:val="en-US"/>
        </w:rPr>
        <w:t xml:space="preserve">which </w:t>
      </w:r>
      <w:r w:rsidR="00764697" w:rsidRPr="008F5D96">
        <w:rPr>
          <w:rFonts w:ascii="Verdana" w:hAnsi="Verdana" w:cs="Arial"/>
          <w:lang w:val="en-US"/>
        </w:rPr>
        <w:t xml:space="preserve">recommended that the UK Government and NI Executive: </w:t>
      </w:r>
    </w:p>
    <w:p w14:paraId="0B2622ED" w14:textId="77777777" w:rsidR="005815D2" w:rsidRPr="00764697" w:rsidRDefault="005815D2" w:rsidP="005815D2">
      <w:pPr>
        <w:pStyle w:val="ListParagraph"/>
        <w:widowControl w:val="0"/>
        <w:suppressAutoHyphens/>
        <w:autoSpaceDE w:val="0"/>
        <w:autoSpaceDN w:val="0"/>
        <w:adjustRightInd w:val="0"/>
        <w:spacing w:before="24" w:after="24" w:line="360" w:lineRule="auto"/>
        <w:textAlignment w:val="center"/>
        <w:rPr>
          <w:rFonts w:ascii="Verdana" w:eastAsia="Times New Roman" w:hAnsi="Verdana" w:cs="Arial"/>
          <w:bCs/>
          <w:color w:val="161616"/>
          <w:lang w:eastAsia="en-GB"/>
        </w:rPr>
      </w:pPr>
    </w:p>
    <w:p w14:paraId="1A9947D8" w14:textId="7093E802" w:rsidR="00F34489" w:rsidRPr="00F34489" w:rsidRDefault="00764697" w:rsidP="00DB5981">
      <w:pPr>
        <w:pStyle w:val="ListParagraph"/>
        <w:widowControl w:val="0"/>
        <w:suppressAutoHyphens/>
        <w:autoSpaceDE w:val="0"/>
        <w:autoSpaceDN w:val="0"/>
        <w:adjustRightInd w:val="0"/>
        <w:spacing w:before="24" w:after="24" w:line="360" w:lineRule="auto"/>
        <w:ind w:left="862" w:right="862"/>
        <w:textAlignment w:val="center"/>
        <w:rPr>
          <w:rFonts w:ascii="Verdana" w:eastAsia="Times New Roman" w:hAnsi="Verdana" w:cs="Arial"/>
          <w:bCs/>
          <w:color w:val="161616"/>
          <w:lang w:eastAsia="en-GB"/>
        </w:rPr>
      </w:pPr>
      <w:r w:rsidRPr="00764697">
        <w:rPr>
          <w:rFonts w:ascii="Verdana" w:eastAsia="Times New Roman" w:hAnsi="Verdana" w:cs="Arial"/>
          <w:bCs/>
          <w:color w:val="161616"/>
          <w:lang w:eastAsia="en-GB"/>
        </w:rPr>
        <w:t>integrate comprehensive, age-appropriate and evidence-based education on sexual and reproductive health into mandatory school curricula at all levels of education and into teacher training, and ensure that it includes education on sexual diversity, sexual and reproductive health rights, responsible sexual behaviour and violence prevention, without the possibility for faith-based schools or parents to opt out of such education.</w:t>
      </w:r>
      <w:r>
        <w:rPr>
          <w:rStyle w:val="FootnoteReference"/>
          <w:rFonts w:ascii="Verdana" w:eastAsia="Times New Roman" w:hAnsi="Verdana" w:cs="Arial"/>
          <w:bCs/>
          <w:color w:val="161616"/>
          <w:lang w:eastAsia="en-GB"/>
        </w:rPr>
        <w:footnoteReference w:id="25"/>
      </w:r>
    </w:p>
    <w:p w14:paraId="2D411C7C" w14:textId="77777777" w:rsidR="00F34489" w:rsidRPr="00F34489" w:rsidRDefault="00F34489" w:rsidP="00F34489">
      <w:pPr>
        <w:spacing w:before="24" w:after="24" w:line="360" w:lineRule="auto"/>
        <w:contextualSpacing/>
        <w:rPr>
          <w:rFonts w:ascii="Verdana" w:hAnsi="Verdana" w:cs="Arial"/>
          <w:bCs/>
        </w:rPr>
      </w:pPr>
    </w:p>
    <w:p w14:paraId="666D7895" w14:textId="78C8988B" w:rsidR="00BF4A04" w:rsidRDefault="00A07390" w:rsidP="00874285">
      <w:pPr>
        <w:numPr>
          <w:ilvl w:val="1"/>
          <w:numId w:val="2"/>
        </w:numPr>
        <w:spacing w:before="24" w:after="24" w:line="360" w:lineRule="auto"/>
        <w:ind w:left="709"/>
        <w:contextualSpacing/>
        <w:rPr>
          <w:rFonts w:ascii="Verdana" w:hAnsi="Verdana" w:cs="Arial"/>
          <w:bCs/>
        </w:rPr>
      </w:pPr>
      <w:r>
        <w:rPr>
          <w:rFonts w:ascii="Verdana" w:hAnsi="Verdana" w:cs="Arial"/>
          <w:bCs/>
        </w:rPr>
        <w:lastRenderedPageBreak/>
        <w:t xml:space="preserve">Article 5 </w:t>
      </w:r>
      <w:r w:rsidR="00192351">
        <w:rPr>
          <w:rFonts w:ascii="Verdana" w:hAnsi="Verdana" w:cs="Arial"/>
          <w:bCs/>
        </w:rPr>
        <w:t xml:space="preserve">of the UN CRC </w:t>
      </w:r>
      <w:r w:rsidR="00BF4A04">
        <w:rPr>
          <w:rFonts w:ascii="Verdana" w:hAnsi="Verdana" w:cs="Arial"/>
          <w:bCs/>
        </w:rPr>
        <w:t>requires States Parties to:</w:t>
      </w:r>
    </w:p>
    <w:p w14:paraId="210D84BE" w14:textId="77777777" w:rsidR="00BF4A04" w:rsidRDefault="00BF4A04" w:rsidP="00BF4A04">
      <w:pPr>
        <w:spacing w:before="24" w:after="24" w:line="360" w:lineRule="auto"/>
        <w:ind w:left="720"/>
        <w:contextualSpacing/>
        <w:rPr>
          <w:rFonts w:ascii="Verdana" w:hAnsi="Verdana" w:cs="Arial"/>
          <w:bCs/>
        </w:rPr>
      </w:pPr>
    </w:p>
    <w:p w14:paraId="1CD2D27C" w14:textId="3017EDE0" w:rsidR="00F34489" w:rsidRDefault="00BF4A04" w:rsidP="00DB5981">
      <w:pPr>
        <w:spacing w:before="24" w:after="24" w:line="360" w:lineRule="auto"/>
        <w:ind w:left="862" w:right="862"/>
        <w:contextualSpacing/>
        <w:rPr>
          <w:rFonts w:ascii="Verdana" w:hAnsi="Verdana" w:cs="Arial"/>
          <w:bCs/>
        </w:rPr>
      </w:pPr>
      <w:r w:rsidRPr="00BF4A04">
        <w:rPr>
          <w:rFonts w:ascii="Verdana" w:hAnsi="Verdana" w:cs="Arial"/>
          <w:bCs/>
        </w:rPr>
        <w:t>respect the responsibilities, rights and duties of parents or, where applicable, the members of the extended family or community as provided for by local custom, legal guardians or other persons legally responsible for the child, to provide, in a manner consistent with the evolving capacities of the child, appropriate direction and guidance in the exercise by the child of the rights recognized in the present Convention.</w:t>
      </w:r>
    </w:p>
    <w:p w14:paraId="3FE8E52E" w14:textId="77777777" w:rsidR="00F34489" w:rsidRPr="00F34489" w:rsidRDefault="00F34489" w:rsidP="00F34489">
      <w:pPr>
        <w:spacing w:before="24" w:after="24" w:line="360" w:lineRule="auto"/>
        <w:ind w:left="720"/>
        <w:contextualSpacing/>
        <w:rPr>
          <w:rFonts w:ascii="Verdana" w:hAnsi="Verdana" w:cs="Arial"/>
          <w:bCs/>
        </w:rPr>
      </w:pPr>
    </w:p>
    <w:p w14:paraId="71182568" w14:textId="3BE5C86B" w:rsidR="00A57449" w:rsidRDefault="00192351" w:rsidP="00874285">
      <w:pPr>
        <w:numPr>
          <w:ilvl w:val="1"/>
          <w:numId w:val="2"/>
        </w:numPr>
        <w:spacing w:before="24" w:after="24" w:line="360" w:lineRule="auto"/>
        <w:ind w:left="709"/>
        <w:contextualSpacing/>
        <w:rPr>
          <w:rFonts w:ascii="Verdana" w:hAnsi="Verdana" w:cs="Arial"/>
          <w:bCs/>
        </w:rPr>
      </w:pPr>
      <w:r>
        <w:rPr>
          <w:rFonts w:ascii="Verdana" w:hAnsi="Verdana" w:cs="Arial"/>
          <w:bCs/>
        </w:rPr>
        <w:t xml:space="preserve">In October 2023, the UN CRC Committee published a statement on Article 5 of the UN CRC. </w:t>
      </w:r>
      <w:r w:rsidR="0064129C">
        <w:rPr>
          <w:rFonts w:ascii="Verdana" w:hAnsi="Verdana" w:cs="Arial"/>
          <w:bCs/>
        </w:rPr>
        <w:t>In its statement, the Committee “</w:t>
      </w:r>
      <w:r w:rsidR="0064129C" w:rsidRPr="0064129C">
        <w:rPr>
          <w:rFonts w:ascii="Verdana" w:hAnsi="Verdana" w:cs="Arial"/>
          <w:bCs/>
        </w:rPr>
        <w:t>affirms that all children have rights, irrespective of their age, and that, as they grow, develop, mature, and expand their social circle beyond their family, they are entitled to an increasing level of responsibility, agency, and autonomy in the exercise of those rights</w:t>
      </w:r>
      <w:r w:rsidR="00730228">
        <w:rPr>
          <w:rFonts w:ascii="Verdana" w:hAnsi="Verdana" w:cs="Arial"/>
          <w:bCs/>
        </w:rPr>
        <w:t>”</w:t>
      </w:r>
      <w:r w:rsidR="0064129C" w:rsidRPr="0064129C">
        <w:rPr>
          <w:rFonts w:ascii="Verdana" w:hAnsi="Verdana" w:cs="Arial"/>
          <w:bCs/>
        </w:rPr>
        <w:t>.</w:t>
      </w:r>
      <w:r w:rsidR="000752B6">
        <w:rPr>
          <w:rStyle w:val="FootnoteReference"/>
          <w:rFonts w:ascii="Verdana" w:hAnsi="Verdana" w:cs="Arial"/>
          <w:bCs/>
        </w:rPr>
        <w:footnoteReference w:id="26"/>
      </w:r>
      <w:r w:rsidR="00AC1D86">
        <w:rPr>
          <w:rFonts w:ascii="Verdana" w:hAnsi="Verdana" w:cs="Arial"/>
          <w:bCs/>
        </w:rPr>
        <w:t xml:space="preserve"> It further </w:t>
      </w:r>
      <w:r w:rsidR="00232892">
        <w:rPr>
          <w:rFonts w:ascii="Verdana" w:hAnsi="Verdana" w:cs="Arial"/>
          <w:bCs/>
        </w:rPr>
        <w:t xml:space="preserve">observes </w:t>
      </w:r>
      <w:r w:rsidR="00C77800" w:rsidRPr="00C77800">
        <w:rPr>
          <w:rFonts w:ascii="Verdana" w:hAnsi="Verdana" w:cs="Arial"/>
          <w:bCs/>
        </w:rPr>
        <w:t xml:space="preserve">that </w:t>
      </w:r>
      <w:r w:rsidR="00AC1D86">
        <w:rPr>
          <w:rFonts w:ascii="Verdana" w:hAnsi="Verdana" w:cs="Arial"/>
          <w:bCs/>
        </w:rPr>
        <w:t>“</w:t>
      </w:r>
      <w:r w:rsidR="00C77800" w:rsidRPr="00C77800">
        <w:rPr>
          <w:rFonts w:ascii="Verdana" w:hAnsi="Verdana" w:cs="Arial"/>
          <w:bCs/>
        </w:rPr>
        <w:t>parents’ responsibilities, rights and duties to guide their children is not absolute but, rather, delimited by children’s status as rights holders</w:t>
      </w:r>
      <w:r w:rsidR="00AC1D86">
        <w:rPr>
          <w:rFonts w:ascii="Verdana" w:hAnsi="Verdana" w:cs="Arial"/>
          <w:bCs/>
        </w:rPr>
        <w:t>”.</w:t>
      </w:r>
      <w:r w:rsidR="00BD7F2D">
        <w:rPr>
          <w:rStyle w:val="FootnoteReference"/>
          <w:rFonts w:ascii="Verdana" w:hAnsi="Verdana" w:cs="Arial"/>
          <w:bCs/>
        </w:rPr>
        <w:footnoteReference w:id="27"/>
      </w:r>
      <w:r w:rsidR="00AC1D86">
        <w:rPr>
          <w:rFonts w:ascii="Verdana" w:hAnsi="Verdana" w:cs="Arial"/>
          <w:bCs/>
        </w:rPr>
        <w:t xml:space="preserve"> </w:t>
      </w:r>
    </w:p>
    <w:p w14:paraId="6A11C574" w14:textId="77777777" w:rsidR="00AC1D86" w:rsidRPr="00A57449" w:rsidRDefault="00AC1D86" w:rsidP="008D35BF">
      <w:pPr>
        <w:spacing w:before="24" w:after="24" w:line="360" w:lineRule="auto"/>
        <w:contextualSpacing/>
        <w:rPr>
          <w:rFonts w:ascii="Verdana" w:hAnsi="Verdana" w:cs="Arial"/>
          <w:bCs/>
        </w:rPr>
      </w:pPr>
    </w:p>
    <w:p w14:paraId="2D55D3BF" w14:textId="6E137F61" w:rsidR="00805B3B" w:rsidRPr="009A1858" w:rsidRDefault="00805B3B" w:rsidP="00874285">
      <w:pPr>
        <w:numPr>
          <w:ilvl w:val="1"/>
          <w:numId w:val="2"/>
        </w:numPr>
        <w:spacing w:before="24" w:after="24" w:line="360" w:lineRule="auto"/>
        <w:ind w:left="709"/>
        <w:contextualSpacing/>
        <w:rPr>
          <w:rFonts w:ascii="Verdana" w:hAnsi="Verdana" w:cs="Arial"/>
          <w:bCs/>
        </w:rPr>
      </w:pPr>
      <w:bookmarkStart w:id="6" w:name="_Hlk151109536"/>
      <w:r w:rsidRPr="009A1858">
        <w:rPr>
          <w:rFonts w:ascii="Verdana" w:hAnsi="Verdana" w:cs="Arial"/>
          <w:lang w:val="en-US"/>
        </w:rPr>
        <w:t>The Relationships and Sexuality Education (Northern Ireland) (Amendment) Regulations 2023 amended the Education (Northern Ireland) Order 2006 to provide a new Article 5 (1A) that provides</w:t>
      </w:r>
      <w:r w:rsidR="00232892">
        <w:rPr>
          <w:rFonts w:ascii="Verdana" w:hAnsi="Verdana" w:cs="Arial"/>
          <w:lang w:val="en-US"/>
        </w:rPr>
        <w:t>:</w:t>
      </w:r>
    </w:p>
    <w:p w14:paraId="50A91BBB" w14:textId="77777777" w:rsidR="00805B3B" w:rsidRPr="009A1858" w:rsidRDefault="00805B3B" w:rsidP="009A1858">
      <w:pPr>
        <w:pStyle w:val="ListParagraph"/>
        <w:rPr>
          <w:rFonts w:ascii="Verdana" w:hAnsi="Verdana" w:cs="Arial"/>
          <w:lang w:val="en-US"/>
        </w:rPr>
      </w:pPr>
    </w:p>
    <w:p w14:paraId="2E6ABCA4" w14:textId="07DD6071" w:rsidR="00805B3B" w:rsidRPr="009A1858" w:rsidRDefault="00805B3B" w:rsidP="003E7729">
      <w:pPr>
        <w:spacing w:before="24" w:after="24" w:line="360" w:lineRule="auto"/>
        <w:ind w:left="862" w:right="862"/>
        <w:contextualSpacing/>
        <w:rPr>
          <w:rFonts w:ascii="Verdana" w:hAnsi="Verdana" w:cs="Arial"/>
          <w:lang w:val="en-US"/>
        </w:rPr>
      </w:pPr>
      <w:r w:rsidRPr="009A1858">
        <w:rPr>
          <w:rFonts w:ascii="Verdana" w:hAnsi="Verdana" w:cs="Arial"/>
          <w:lang w:val="en-US"/>
        </w:rPr>
        <w:t xml:space="preserve">The curriculum for every grant-aided school shall, in relation to key stages 3 and 4, include age-appropriate, comprehensive and scientifically accurate education on sexual and reproductive health and rights, covering prevention of early pregnancy and access to abortion. </w:t>
      </w:r>
    </w:p>
    <w:p w14:paraId="61398342" w14:textId="1397C346" w:rsidR="00805B3B" w:rsidRPr="009A1858" w:rsidRDefault="00805B3B" w:rsidP="009A1858">
      <w:pPr>
        <w:pStyle w:val="ListParagraph"/>
        <w:rPr>
          <w:rFonts w:ascii="Verdana" w:hAnsi="Verdana" w:cs="Arial"/>
          <w:lang w:val="en-US"/>
        </w:rPr>
      </w:pPr>
    </w:p>
    <w:p w14:paraId="2652D145" w14:textId="5F1EA369" w:rsidR="00805B3B" w:rsidRPr="009A1858" w:rsidRDefault="00805B3B" w:rsidP="00874285">
      <w:pPr>
        <w:pStyle w:val="ListParagraph"/>
        <w:numPr>
          <w:ilvl w:val="1"/>
          <w:numId w:val="2"/>
        </w:numPr>
        <w:spacing w:before="24" w:after="24" w:line="360" w:lineRule="auto"/>
        <w:ind w:left="709"/>
        <w:rPr>
          <w:rFonts w:ascii="Verdana" w:hAnsi="Verdana" w:cs="Arial"/>
          <w:bCs/>
        </w:rPr>
      </w:pPr>
      <w:r w:rsidRPr="009A1858">
        <w:rPr>
          <w:rFonts w:ascii="Verdana" w:hAnsi="Verdana" w:cs="Arial"/>
          <w:bCs/>
        </w:rPr>
        <w:lastRenderedPageBreak/>
        <w:t xml:space="preserve">Furthermore the 2023 Regulations amend the Education (Curriculum Minimum Content) Order (Northern Ireland) 2007. </w:t>
      </w:r>
    </w:p>
    <w:bookmarkEnd w:id="6"/>
    <w:p w14:paraId="6A4A6610" w14:textId="77777777" w:rsidR="00805B3B" w:rsidRPr="009A1858" w:rsidRDefault="00805B3B" w:rsidP="009A1858">
      <w:pPr>
        <w:pStyle w:val="ListParagraph"/>
        <w:spacing w:before="24" w:after="24" w:line="360" w:lineRule="auto"/>
        <w:rPr>
          <w:rFonts w:ascii="Verdana" w:hAnsi="Verdana" w:cs="Arial"/>
          <w:bCs/>
        </w:rPr>
      </w:pPr>
    </w:p>
    <w:p w14:paraId="666809C2" w14:textId="136D1DB3" w:rsidR="00874285" w:rsidRPr="00874285" w:rsidRDefault="00805B3B" w:rsidP="00ED112E">
      <w:pPr>
        <w:pStyle w:val="ListParagraph"/>
        <w:widowControl w:val="0"/>
        <w:numPr>
          <w:ilvl w:val="1"/>
          <w:numId w:val="2"/>
        </w:numPr>
        <w:suppressAutoHyphens/>
        <w:autoSpaceDE w:val="0"/>
        <w:autoSpaceDN w:val="0"/>
        <w:adjustRightInd w:val="0"/>
        <w:spacing w:before="24" w:after="24" w:line="360" w:lineRule="auto"/>
        <w:ind w:left="709"/>
        <w:textAlignment w:val="center"/>
        <w:rPr>
          <w:rFonts w:ascii="Verdana" w:eastAsia="Times New Roman" w:hAnsi="Verdana" w:cs="Arial"/>
          <w:b/>
          <w:color w:val="161616"/>
          <w:lang w:eastAsia="en-GB"/>
        </w:rPr>
      </w:pPr>
      <w:r w:rsidRPr="00874285">
        <w:rPr>
          <w:rFonts w:ascii="Verdana" w:hAnsi="Verdana" w:cs="Arial"/>
          <w:lang w:val="en-US"/>
        </w:rPr>
        <w:t xml:space="preserve">The NIHRC notes that the 2023 Regulations </w:t>
      </w:r>
      <w:r w:rsidR="00232892">
        <w:rPr>
          <w:rFonts w:ascii="Verdana" w:hAnsi="Verdana" w:cs="Arial"/>
          <w:lang w:val="en-US"/>
        </w:rPr>
        <w:t>require</w:t>
      </w:r>
      <w:r w:rsidRPr="00874285">
        <w:rPr>
          <w:rFonts w:ascii="Verdana" w:hAnsi="Verdana" w:cs="Arial"/>
          <w:lang w:val="en-US"/>
        </w:rPr>
        <w:t xml:space="preserve"> the Department of Education</w:t>
      </w:r>
      <w:r w:rsidR="00232892">
        <w:rPr>
          <w:rFonts w:ascii="Verdana" w:hAnsi="Verdana" w:cs="Arial"/>
          <w:lang w:val="en-US"/>
        </w:rPr>
        <w:t xml:space="preserve"> to</w:t>
      </w:r>
      <w:r w:rsidRPr="00874285">
        <w:rPr>
          <w:rFonts w:ascii="Verdana" w:hAnsi="Verdana" w:cs="Arial"/>
          <w:lang w:val="en-US"/>
        </w:rPr>
        <w:t>, ‘</w:t>
      </w:r>
      <w:r w:rsidRPr="00874285">
        <w:rPr>
          <w:rFonts w:ascii="Verdana" w:hAnsi="Verdana" w:cs="Arial"/>
          <w:shd w:val="clear" w:color="auto" w:fill="FFFFFF"/>
        </w:rPr>
        <w:t>by regulations make provision about the circumstances in which, at the request of a parent, a pupil may be excused from receiving the education required to be provided by virtue of Article 5(1A), or specified elements of that education’.</w:t>
      </w:r>
    </w:p>
    <w:p w14:paraId="404B3FDA" w14:textId="77777777" w:rsidR="00874285" w:rsidRPr="00874285" w:rsidRDefault="00874285" w:rsidP="00874285">
      <w:pPr>
        <w:pStyle w:val="ListParagraph"/>
        <w:rPr>
          <w:rFonts w:ascii="Verdana" w:hAnsi="Verdana" w:cs="Arial"/>
          <w:lang w:val="en-US"/>
        </w:rPr>
      </w:pPr>
    </w:p>
    <w:p w14:paraId="0FBD2CBB" w14:textId="0BB9F0BD" w:rsidR="00874285" w:rsidRPr="00874285" w:rsidRDefault="00805B3B" w:rsidP="00172215">
      <w:pPr>
        <w:pStyle w:val="ListParagraph"/>
        <w:widowControl w:val="0"/>
        <w:numPr>
          <w:ilvl w:val="1"/>
          <w:numId w:val="2"/>
        </w:numPr>
        <w:suppressAutoHyphens/>
        <w:autoSpaceDE w:val="0"/>
        <w:autoSpaceDN w:val="0"/>
        <w:adjustRightInd w:val="0"/>
        <w:spacing w:before="24" w:after="24" w:line="360" w:lineRule="auto"/>
        <w:ind w:left="709"/>
        <w:textAlignment w:val="center"/>
        <w:rPr>
          <w:rFonts w:ascii="Verdana" w:eastAsia="Times New Roman" w:hAnsi="Verdana" w:cs="Arial"/>
          <w:bCs/>
          <w:color w:val="161616"/>
          <w:lang w:eastAsia="en-GB"/>
        </w:rPr>
      </w:pPr>
      <w:r w:rsidRPr="00874285">
        <w:rPr>
          <w:rFonts w:ascii="Verdana" w:hAnsi="Verdana" w:cs="Arial"/>
          <w:lang w:val="en-US"/>
        </w:rPr>
        <w:t xml:space="preserve">The </w:t>
      </w:r>
      <w:r w:rsidR="00232892">
        <w:rPr>
          <w:rFonts w:ascii="Verdana" w:hAnsi="Verdana" w:cs="Arial"/>
          <w:lang w:val="en-US"/>
        </w:rPr>
        <w:t xml:space="preserve">current </w:t>
      </w:r>
      <w:r w:rsidR="009A1858" w:rsidRPr="00874285">
        <w:rPr>
          <w:rFonts w:ascii="Verdana" w:hAnsi="Verdana" w:cs="Arial"/>
          <w:lang w:val="en-US"/>
        </w:rPr>
        <w:t>consultation</w:t>
      </w:r>
      <w:r w:rsidRPr="00874285">
        <w:rPr>
          <w:rFonts w:ascii="Verdana" w:hAnsi="Verdana" w:cs="Arial"/>
          <w:lang w:val="en-US"/>
        </w:rPr>
        <w:t xml:space="preserve"> </w:t>
      </w:r>
      <w:r w:rsidR="00232892">
        <w:rPr>
          <w:rFonts w:ascii="Verdana" w:hAnsi="Verdana" w:cs="Arial"/>
          <w:lang w:val="en-US"/>
        </w:rPr>
        <w:t xml:space="preserve">is unclear about whether </w:t>
      </w:r>
      <w:r w:rsidRPr="00874285">
        <w:rPr>
          <w:rFonts w:ascii="Verdana" w:hAnsi="Verdana" w:cs="Arial"/>
          <w:lang w:val="en-US"/>
        </w:rPr>
        <w:t>the Department of Education intend</w:t>
      </w:r>
      <w:r w:rsidR="00232892">
        <w:rPr>
          <w:rFonts w:ascii="Verdana" w:hAnsi="Verdana" w:cs="Arial"/>
          <w:lang w:val="en-US"/>
        </w:rPr>
        <w:t>s</w:t>
      </w:r>
      <w:r w:rsidRPr="00874285">
        <w:rPr>
          <w:rFonts w:ascii="Verdana" w:hAnsi="Verdana" w:cs="Arial"/>
          <w:lang w:val="en-US"/>
        </w:rPr>
        <w:t xml:space="preserve"> to allow parents to request </w:t>
      </w:r>
      <w:r w:rsidR="00232892">
        <w:rPr>
          <w:rFonts w:ascii="Verdana" w:hAnsi="Verdana" w:cs="Arial"/>
          <w:lang w:val="en-US"/>
        </w:rPr>
        <w:t xml:space="preserve">excusal from </w:t>
      </w:r>
      <w:proofErr w:type="gramStart"/>
      <w:r w:rsidR="00232892">
        <w:rPr>
          <w:rFonts w:ascii="Verdana" w:hAnsi="Verdana" w:cs="Arial"/>
          <w:lang w:val="en-US"/>
        </w:rPr>
        <w:t>all of</w:t>
      </w:r>
      <w:proofErr w:type="gramEnd"/>
      <w:r w:rsidR="00232892">
        <w:rPr>
          <w:rFonts w:ascii="Verdana" w:hAnsi="Verdana" w:cs="Arial"/>
          <w:lang w:val="en-US"/>
        </w:rPr>
        <w:t xml:space="preserve"> the education provided under Article 5(1A)</w:t>
      </w:r>
      <w:r w:rsidRPr="00874285">
        <w:rPr>
          <w:rFonts w:ascii="Verdana" w:hAnsi="Verdana" w:cs="Arial"/>
          <w:lang w:val="en-US"/>
        </w:rPr>
        <w:t xml:space="preserve"> </w:t>
      </w:r>
      <w:r w:rsidR="00232892">
        <w:rPr>
          <w:rFonts w:ascii="Verdana" w:hAnsi="Verdana" w:cs="Arial"/>
          <w:lang w:val="en-US"/>
        </w:rPr>
        <w:t xml:space="preserve">or from </w:t>
      </w:r>
      <w:r w:rsidRPr="00874285">
        <w:rPr>
          <w:rFonts w:ascii="Verdana" w:hAnsi="Verdana" w:cs="Arial"/>
          <w:lang w:val="en-US"/>
        </w:rPr>
        <w:t>specified elements of it</w:t>
      </w:r>
      <w:r w:rsidR="00232892">
        <w:rPr>
          <w:rFonts w:ascii="Verdana" w:hAnsi="Verdana" w:cs="Arial"/>
          <w:lang w:val="en-US"/>
        </w:rPr>
        <w:t>.</w:t>
      </w:r>
      <w:r w:rsidRPr="00874285">
        <w:rPr>
          <w:rFonts w:ascii="Verdana" w:hAnsi="Verdana" w:cs="Arial"/>
          <w:lang w:val="en-US"/>
        </w:rPr>
        <w:t xml:space="preserve"> </w:t>
      </w:r>
      <w:r w:rsidR="00232892">
        <w:rPr>
          <w:rFonts w:ascii="Verdana" w:hAnsi="Verdana" w:cs="Arial"/>
          <w:lang w:val="en-US"/>
        </w:rPr>
        <w:t>T</w:t>
      </w:r>
      <w:r w:rsidRPr="00874285">
        <w:rPr>
          <w:rFonts w:ascii="Verdana" w:hAnsi="Verdana" w:cs="Arial"/>
          <w:lang w:val="en-US"/>
        </w:rPr>
        <w:t xml:space="preserve">he consultation document does </w:t>
      </w:r>
      <w:r w:rsidR="00232892">
        <w:rPr>
          <w:rFonts w:ascii="Verdana" w:hAnsi="Verdana" w:cs="Arial"/>
          <w:lang w:val="en-US"/>
        </w:rPr>
        <w:t xml:space="preserve">however </w:t>
      </w:r>
      <w:r w:rsidR="00803241">
        <w:rPr>
          <w:rFonts w:ascii="Verdana" w:hAnsi="Verdana" w:cs="Arial"/>
          <w:lang w:val="en-US"/>
        </w:rPr>
        <w:t>note</w:t>
      </w:r>
      <w:r w:rsidR="00803241" w:rsidRPr="00874285">
        <w:rPr>
          <w:rFonts w:ascii="Verdana" w:hAnsi="Verdana" w:cs="Arial"/>
          <w:lang w:val="en-US"/>
        </w:rPr>
        <w:t xml:space="preserve"> </w:t>
      </w:r>
      <w:r w:rsidRPr="00874285">
        <w:rPr>
          <w:rFonts w:ascii="Verdana" w:hAnsi="Verdana" w:cs="Arial"/>
          <w:lang w:val="en-US"/>
        </w:rPr>
        <w:t>that the proposed opt</w:t>
      </w:r>
      <w:r w:rsidR="00803241">
        <w:rPr>
          <w:rFonts w:ascii="Verdana" w:hAnsi="Verdana" w:cs="Arial"/>
          <w:lang w:val="en-US"/>
        </w:rPr>
        <w:t>-</w:t>
      </w:r>
      <w:r w:rsidRPr="00874285">
        <w:rPr>
          <w:rFonts w:ascii="Verdana" w:hAnsi="Verdana" w:cs="Arial"/>
          <w:lang w:val="en-US"/>
        </w:rPr>
        <w:t>outs relate “</w:t>
      </w:r>
      <w:r w:rsidRPr="00874285">
        <w:rPr>
          <w:rFonts w:ascii="Verdana" w:hAnsi="Verdana"/>
        </w:rPr>
        <w:t>only to the change in legislation”.</w:t>
      </w:r>
      <w:r w:rsidRPr="009A1858">
        <w:rPr>
          <w:rStyle w:val="FootnoteReference"/>
          <w:rFonts w:ascii="Verdana" w:eastAsia="Times New Roman" w:hAnsi="Verdana" w:cs="Arial"/>
          <w:bCs/>
          <w:color w:val="161616"/>
          <w:lang w:eastAsia="en-GB"/>
        </w:rPr>
        <w:footnoteReference w:id="28"/>
      </w:r>
      <w:r w:rsidRPr="00874285">
        <w:rPr>
          <w:rFonts w:ascii="Verdana" w:hAnsi="Verdana"/>
        </w:rPr>
        <w:t xml:space="preserve"> </w:t>
      </w:r>
      <w:r w:rsidRPr="00874285">
        <w:rPr>
          <w:rFonts w:ascii="Verdana" w:eastAsia="Times New Roman" w:hAnsi="Verdana" w:cs="Arial"/>
          <w:bCs/>
          <w:color w:val="161616"/>
          <w:lang w:eastAsia="en-GB"/>
        </w:rPr>
        <w:t>The consultation document records that the proposed opt out:</w:t>
      </w:r>
      <w:r w:rsidRPr="00874285">
        <w:rPr>
          <w:rFonts w:ascii="Verdana" w:eastAsia="Times New Roman" w:hAnsi="Verdana" w:cs="Arial"/>
          <w:b/>
          <w:color w:val="161616"/>
          <w:lang w:eastAsia="en-GB"/>
        </w:rPr>
        <w:t xml:space="preserve">  </w:t>
      </w:r>
    </w:p>
    <w:p w14:paraId="04C96F3C" w14:textId="77777777" w:rsidR="00874285" w:rsidRPr="00874285" w:rsidRDefault="00874285" w:rsidP="00874285">
      <w:pPr>
        <w:pStyle w:val="ListParagraph"/>
        <w:rPr>
          <w:rFonts w:ascii="Verdana" w:eastAsia="Times New Roman" w:hAnsi="Verdana" w:cs="Arial"/>
          <w:bCs/>
          <w:color w:val="161616"/>
          <w:lang w:eastAsia="en-GB"/>
        </w:rPr>
      </w:pPr>
    </w:p>
    <w:p w14:paraId="5C21E914" w14:textId="6FCFB92C" w:rsidR="00874285" w:rsidRPr="00F722E8" w:rsidRDefault="00874285" w:rsidP="003E7729">
      <w:pPr>
        <w:widowControl w:val="0"/>
        <w:suppressAutoHyphens/>
        <w:autoSpaceDE w:val="0"/>
        <w:autoSpaceDN w:val="0"/>
        <w:adjustRightInd w:val="0"/>
        <w:spacing w:before="24" w:after="24" w:line="360" w:lineRule="auto"/>
        <w:ind w:left="862" w:right="862"/>
        <w:textAlignment w:val="center"/>
        <w:rPr>
          <w:rFonts w:ascii="Verdana" w:eastAsia="Times New Roman" w:hAnsi="Verdana" w:cs="Arial"/>
          <w:bCs/>
          <w:color w:val="161616"/>
          <w:lang w:eastAsia="en-GB"/>
        </w:rPr>
      </w:pPr>
      <w:r>
        <w:rPr>
          <w:rFonts w:ascii="Verdana" w:eastAsia="Times New Roman" w:hAnsi="Verdana" w:cs="Arial"/>
          <w:bCs/>
          <w:color w:val="161616"/>
          <w:lang w:eastAsia="en-GB"/>
        </w:rPr>
        <w:t>D</w:t>
      </w:r>
      <w:r w:rsidRPr="00F722E8">
        <w:rPr>
          <w:rFonts w:ascii="Verdana" w:eastAsia="Times New Roman" w:hAnsi="Verdana" w:cs="Arial"/>
          <w:bCs/>
          <w:color w:val="161616"/>
          <w:lang w:eastAsia="en-GB"/>
        </w:rPr>
        <w:t>oes not apply to other areas of Relationships and Sexuality Education whether taught as part of Learning for Life and Work or as part of other subjects, including Religious Education, Drama, English, Biology and History.</w:t>
      </w:r>
      <w:r>
        <w:rPr>
          <w:rStyle w:val="FootnoteReference"/>
          <w:rFonts w:ascii="Verdana" w:eastAsia="Times New Roman" w:hAnsi="Verdana" w:cs="Arial"/>
          <w:bCs/>
          <w:color w:val="161616"/>
          <w:lang w:eastAsia="en-GB"/>
        </w:rPr>
        <w:footnoteReference w:id="29"/>
      </w:r>
    </w:p>
    <w:p w14:paraId="6769AF90" w14:textId="77777777" w:rsidR="00874285" w:rsidRPr="00874285" w:rsidRDefault="00874285" w:rsidP="00874285">
      <w:pPr>
        <w:pStyle w:val="ListParagraph"/>
        <w:rPr>
          <w:rFonts w:ascii="Verdana" w:eastAsia="Times New Roman" w:hAnsi="Verdana" w:cs="Arial"/>
          <w:bCs/>
          <w:color w:val="161616"/>
          <w:lang w:eastAsia="en-GB"/>
        </w:rPr>
      </w:pPr>
    </w:p>
    <w:p w14:paraId="743D059D" w14:textId="55941A40" w:rsidR="00805B3B" w:rsidRPr="00874285" w:rsidRDefault="00232892" w:rsidP="00172215">
      <w:pPr>
        <w:pStyle w:val="ListParagraph"/>
        <w:widowControl w:val="0"/>
        <w:numPr>
          <w:ilvl w:val="1"/>
          <w:numId w:val="2"/>
        </w:numPr>
        <w:suppressAutoHyphens/>
        <w:autoSpaceDE w:val="0"/>
        <w:autoSpaceDN w:val="0"/>
        <w:adjustRightInd w:val="0"/>
        <w:spacing w:before="24" w:after="24" w:line="360" w:lineRule="auto"/>
        <w:ind w:left="709"/>
        <w:textAlignment w:val="center"/>
        <w:rPr>
          <w:rFonts w:ascii="Verdana" w:eastAsia="Times New Roman" w:hAnsi="Verdana" w:cs="Arial"/>
          <w:bCs/>
          <w:color w:val="161616"/>
          <w:lang w:eastAsia="en-GB"/>
        </w:rPr>
      </w:pPr>
      <w:r>
        <w:rPr>
          <w:rFonts w:ascii="Verdana" w:eastAsia="Times New Roman" w:hAnsi="Verdana" w:cs="Arial"/>
          <w:bCs/>
          <w:color w:val="161616"/>
          <w:lang w:eastAsia="en-GB"/>
        </w:rPr>
        <w:t xml:space="preserve">It continues with </w:t>
      </w:r>
      <w:r w:rsidR="00805B3B" w:rsidRPr="00874285">
        <w:rPr>
          <w:rFonts w:ascii="Verdana" w:eastAsia="Times New Roman" w:hAnsi="Verdana" w:cs="Arial"/>
          <w:bCs/>
          <w:color w:val="161616"/>
          <w:lang w:eastAsia="en-GB"/>
        </w:rPr>
        <w:t>a list of topics “</w:t>
      </w:r>
      <w:r w:rsidR="00805B3B" w:rsidRPr="00874285">
        <w:rPr>
          <w:rFonts w:ascii="Verdana" w:hAnsi="Verdana"/>
        </w:rPr>
        <w:t>which all pupils must legally receive” including</w:t>
      </w:r>
      <w:r w:rsidR="00805B3B" w:rsidRPr="00874285">
        <w:rPr>
          <w:rFonts w:ascii="Verdana" w:eastAsia="Times New Roman" w:hAnsi="Verdana" w:cs="Arial"/>
          <w:bCs/>
          <w:color w:val="161616"/>
          <w:lang w:eastAsia="en-GB"/>
        </w:rPr>
        <w:t>:</w:t>
      </w:r>
    </w:p>
    <w:p w14:paraId="640D3F36" w14:textId="77777777" w:rsidR="00805B3B" w:rsidRPr="00CC5D2E" w:rsidRDefault="00805B3B" w:rsidP="00805B3B">
      <w:pPr>
        <w:widowControl w:val="0"/>
        <w:suppressAutoHyphens/>
        <w:autoSpaceDE w:val="0"/>
        <w:autoSpaceDN w:val="0"/>
        <w:adjustRightInd w:val="0"/>
        <w:spacing w:before="24" w:after="24" w:line="360" w:lineRule="auto"/>
        <w:textAlignment w:val="center"/>
        <w:rPr>
          <w:rFonts w:ascii="Verdana" w:eastAsia="Times New Roman" w:hAnsi="Verdana" w:cs="Arial"/>
          <w:bCs/>
          <w:color w:val="161616"/>
          <w:lang w:eastAsia="en-GB"/>
        </w:rPr>
      </w:pPr>
    </w:p>
    <w:p w14:paraId="6B3ED919" w14:textId="77777777" w:rsidR="00805B3B" w:rsidRPr="00CC5D2E" w:rsidRDefault="00805B3B" w:rsidP="00805B3B">
      <w:pPr>
        <w:widowControl w:val="0"/>
        <w:suppressAutoHyphens/>
        <w:autoSpaceDE w:val="0"/>
        <w:autoSpaceDN w:val="0"/>
        <w:adjustRightInd w:val="0"/>
        <w:spacing w:before="24" w:after="24" w:line="360" w:lineRule="auto"/>
        <w:ind w:left="964"/>
        <w:textAlignment w:val="center"/>
        <w:rPr>
          <w:rFonts w:ascii="Verdana" w:eastAsia="Times New Roman" w:hAnsi="Verdana" w:cs="Arial"/>
          <w:bCs/>
          <w:color w:val="161616"/>
          <w:lang w:eastAsia="en-GB"/>
        </w:rPr>
      </w:pPr>
      <w:r w:rsidRPr="00CC5D2E">
        <w:rPr>
          <w:rFonts w:ascii="Verdana" w:eastAsia="Times New Roman" w:hAnsi="Verdana" w:cs="Arial"/>
          <w:bCs/>
          <w:color w:val="161616"/>
          <w:lang w:eastAsia="en-GB"/>
        </w:rPr>
        <w:t xml:space="preserve">• Consent </w:t>
      </w:r>
    </w:p>
    <w:p w14:paraId="651B9628" w14:textId="77777777" w:rsidR="00805B3B" w:rsidRPr="00CC5D2E" w:rsidRDefault="00805B3B" w:rsidP="00805B3B">
      <w:pPr>
        <w:widowControl w:val="0"/>
        <w:suppressAutoHyphens/>
        <w:autoSpaceDE w:val="0"/>
        <w:autoSpaceDN w:val="0"/>
        <w:adjustRightInd w:val="0"/>
        <w:spacing w:before="24" w:after="24" w:line="360" w:lineRule="auto"/>
        <w:ind w:left="964"/>
        <w:textAlignment w:val="center"/>
        <w:rPr>
          <w:rFonts w:ascii="Verdana" w:eastAsia="Times New Roman" w:hAnsi="Verdana" w:cs="Arial"/>
          <w:bCs/>
          <w:color w:val="161616"/>
          <w:lang w:eastAsia="en-GB"/>
        </w:rPr>
      </w:pPr>
      <w:r w:rsidRPr="00CC5D2E">
        <w:rPr>
          <w:rFonts w:ascii="Verdana" w:eastAsia="Times New Roman" w:hAnsi="Verdana" w:cs="Arial"/>
          <w:bCs/>
          <w:color w:val="161616"/>
          <w:lang w:eastAsia="en-GB"/>
        </w:rPr>
        <w:t xml:space="preserve">• Violence against women and girls </w:t>
      </w:r>
    </w:p>
    <w:p w14:paraId="6E5C62F5" w14:textId="77777777" w:rsidR="00805B3B" w:rsidRPr="00CC5D2E" w:rsidRDefault="00805B3B" w:rsidP="00805B3B">
      <w:pPr>
        <w:widowControl w:val="0"/>
        <w:suppressAutoHyphens/>
        <w:autoSpaceDE w:val="0"/>
        <w:autoSpaceDN w:val="0"/>
        <w:adjustRightInd w:val="0"/>
        <w:spacing w:before="24" w:after="24" w:line="360" w:lineRule="auto"/>
        <w:ind w:left="964"/>
        <w:textAlignment w:val="center"/>
        <w:rPr>
          <w:rFonts w:ascii="Verdana" w:eastAsia="Times New Roman" w:hAnsi="Verdana" w:cs="Arial"/>
          <w:bCs/>
          <w:color w:val="161616"/>
          <w:lang w:eastAsia="en-GB"/>
        </w:rPr>
      </w:pPr>
      <w:r w:rsidRPr="00CC5D2E">
        <w:rPr>
          <w:rFonts w:ascii="Verdana" w:eastAsia="Times New Roman" w:hAnsi="Verdana" w:cs="Arial"/>
          <w:bCs/>
          <w:color w:val="161616"/>
          <w:lang w:eastAsia="en-GB"/>
        </w:rPr>
        <w:t xml:space="preserve">• Domestic abuse </w:t>
      </w:r>
    </w:p>
    <w:p w14:paraId="694D3674" w14:textId="77777777" w:rsidR="00805B3B" w:rsidRPr="00CC5D2E" w:rsidRDefault="00805B3B" w:rsidP="00805B3B">
      <w:pPr>
        <w:widowControl w:val="0"/>
        <w:suppressAutoHyphens/>
        <w:autoSpaceDE w:val="0"/>
        <w:autoSpaceDN w:val="0"/>
        <w:adjustRightInd w:val="0"/>
        <w:spacing w:before="24" w:after="24" w:line="360" w:lineRule="auto"/>
        <w:ind w:left="964"/>
        <w:textAlignment w:val="center"/>
        <w:rPr>
          <w:rFonts w:ascii="Verdana" w:eastAsia="Times New Roman" w:hAnsi="Verdana" w:cs="Arial"/>
          <w:bCs/>
          <w:color w:val="161616"/>
          <w:lang w:eastAsia="en-GB"/>
        </w:rPr>
      </w:pPr>
      <w:r w:rsidRPr="00CC5D2E">
        <w:rPr>
          <w:rFonts w:ascii="Verdana" w:eastAsia="Times New Roman" w:hAnsi="Verdana" w:cs="Arial"/>
          <w:bCs/>
          <w:color w:val="161616"/>
          <w:lang w:eastAsia="en-GB"/>
        </w:rPr>
        <w:t xml:space="preserve">• Healthy and Respectful Sexual Relationships </w:t>
      </w:r>
    </w:p>
    <w:p w14:paraId="522EFE3F" w14:textId="77777777" w:rsidR="00805B3B" w:rsidRPr="00CC5D2E" w:rsidRDefault="00805B3B" w:rsidP="00805B3B">
      <w:pPr>
        <w:widowControl w:val="0"/>
        <w:suppressAutoHyphens/>
        <w:autoSpaceDE w:val="0"/>
        <w:autoSpaceDN w:val="0"/>
        <w:adjustRightInd w:val="0"/>
        <w:spacing w:before="24" w:after="24" w:line="360" w:lineRule="auto"/>
        <w:ind w:left="964"/>
        <w:textAlignment w:val="center"/>
        <w:rPr>
          <w:rFonts w:ascii="Verdana" w:eastAsia="Times New Roman" w:hAnsi="Verdana" w:cs="Arial"/>
          <w:bCs/>
          <w:color w:val="161616"/>
          <w:lang w:eastAsia="en-GB"/>
        </w:rPr>
      </w:pPr>
      <w:r w:rsidRPr="00CC5D2E">
        <w:rPr>
          <w:rFonts w:ascii="Verdana" w:eastAsia="Times New Roman" w:hAnsi="Verdana" w:cs="Arial"/>
          <w:bCs/>
          <w:color w:val="161616"/>
          <w:lang w:eastAsia="en-GB"/>
        </w:rPr>
        <w:t xml:space="preserve">• Marriage </w:t>
      </w:r>
    </w:p>
    <w:p w14:paraId="6FDC8542" w14:textId="77777777" w:rsidR="00805B3B" w:rsidRPr="00CC5D2E" w:rsidRDefault="00805B3B" w:rsidP="00805B3B">
      <w:pPr>
        <w:widowControl w:val="0"/>
        <w:suppressAutoHyphens/>
        <w:autoSpaceDE w:val="0"/>
        <w:autoSpaceDN w:val="0"/>
        <w:adjustRightInd w:val="0"/>
        <w:spacing w:before="24" w:after="24" w:line="360" w:lineRule="auto"/>
        <w:ind w:left="964"/>
        <w:textAlignment w:val="center"/>
        <w:rPr>
          <w:rFonts w:ascii="Verdana" w:eastAsia="Times New Roman" w:hAnsi="Verdana" w:cs="Arial"/>
          <w:bCs/>
          <w:color w:val="161616"/>
          <w:lang w:eastAsia="en-GB"/>
        </w:rPr>
      </w:pPr>
      <w:r w:rsidRPr="00CC5D2E">
        <w:rPr>
          <w:rFonts w:ascii="Verdana" w:eastAsia="Times New Roman" w:hAnsi="Verdana" w:cs="Arial"/>
          <w:bCs/>
          <w:color w:val="161616"/>
          <w:lang w:eastAsia="en-GB"/>
        </w:rPr>
        <w:t>• LGBTQ+ issues</w:t>
      </w:r>
    </w:p>
    <w:p w14:paraId="79F13507" w14:textId="77777777" w:rsidR="00805B3B" w:rsidRPr="00CC5D2E" w:rsidRDefault="00805B3B" w:rsidP="00805B3B">
      <w:pPr>
        <w:widowControl w:val="0"/>
        <w:suppressAutoHyphens/>
        <w:autoSpaceDE w:val="0"/>
        <w:autoSpaceDN w:val="0"/>
        <w:adjustRightInd w:val="0"/>
        <w:spacing w:before="24" w:after="24" w:line="360" w:lineRule="auto"/>
        <w:ind w:left="964"/>
        <w:textAlignment w:val="center"/>
        <w:rPr>
          <w:rFonts w:ascii="Verdana" w:eastAsia="Times New Roman" w:hAnsi="Verdana" w:cs="Arial"/>
          <w:bCs/>
          <w:color w:val="161616"/>
          <w:lang w:eastAsia="en-GB"/>
        </w:rPr>
      </w:pPr>
      <w:r w:rsidRPr="00CC5D2E">
        <w:rPr>
          <w:rFonts w:ascii="Verdana" w:eastAsia="Times New Roman" w:hAnsi="Verdana" w:cs="Arial"/>
          <w:bCs/>
          <w:color w:val="161616"/>
          <w:lang w:eastAsia="en-GB"/>
        </w:rPr>
        <w:lastRenderedPageBreak/>
        <w:t xml:space="preserve">• Abstinence </w:t>
      </w:r>
    </w:p>
    <w:p w14:paraId="358C37B8" w14:textId="77777777" w:rsidR="00805B3B" w:rsidRPr="00CC5D2E" w:rsidRDefault="00805B3B" w:rsidP="00805B3B">
      <w:pPr>
        <w:widowControl w:val="0"/>
        <w:suppressAutoHyphens/>
        <w:autoSpaceDE w:val="0"/>
        <w:autoSpaceDN w:val="0"/>
        <w:adjustRightInd w:val="0"/>
        <w:spacing w:before="24" w:after="24" w:line="360" w:lineRule="auto"/>
        <w:ind w:left="964"/>
        <w:textAlignment w:val="center"/>
        <w:rPr>
          <w:rFonts w:ascii="Verdana" w:eastAsia="Times New Roman" w:hAnsi="Verdana" w:cs="Arial"/>
          <w:bCs/>
          <w:color w:val="161616"/>
          <w:lang w:eastAsia="en-GB"/>
        </w:rPr>
      </w:pPr>
      <w:r w:rsidRPr="00CC5D2E">
        <w:rPr>
          <w:rFonts w:ascii="Verdana" w:eastAsia="Times New Roman" w:hAnsi="Verdana" w:cs="Arial"/>
          <w:bCs/>
          <w:color w:val="161616"/>
          <w:lang w:eastAsia="en-GB"/>
        </w:rPr>
        <w:t xml:space="preserve">• Menstrual health and wellbeing </w:t>
      </w:r>
    </w:p>
    <w:p w14:paraId="5F425027" w14:textId="77777777" w:rsidR="00805B3B" w:rsidRPr="00CC5D2E" w:rsidRDefault="00805B3B" w:rsidP="00805B3B">
      <w:pPr>
        <w:widowControl w:val="0"/>
        <w:suppressAutoHyphens/>
        <w:autoSpaceDE w:val="0"/>
        <w:autoSpaceDN w:val="0"/>
        <w:adjustRightInd w:val="0"/>
        <w:spacing w:before="24" w:after="24" w:line="360" w:lineRule="auto"/>
        <w:ind w:left="964"/>
        <w:textAlignment w:val="center"/>
        <w:rPr>
          <w:rFonts w:ascii="Verdana" w:eastAsia="Times New Roman" w:hAnsi="Verdana" w:cs="Arial"/>
          <w:bCs/>
          <w:color w:val="161616"/>
          <w:lang w:eastAsia="en-GB"/>
        </w:rPr>
      </w:pPr>
      <w:r w:rsidRPr="00CC5D2E">
        <w:rPr>
          <w:rFonts w:ascii="Verdana" w:eastAsia="Times New Roman" w:hAnsi="Verdana" w:cs="Arial"/>
          <w:bCs/>
          <w:color w:val="161616"/>
          <w:lang w:eastAsia="en-GB"/>
        </w:rPr>
        <w:t>• Social Media and Online safety</w:t>
      </w:r>
      <w:r>
        <w:rPr>
          <w:rStyle w:val="FootnoteReference"/>
          <w:rFonts w:ascii="Verdana" w:eastAsia="Times New Roman" w:hAnsi="Verdana" w:cs="Arial"/>
          <w:bCs/>
          <w:color w:val="161616"/>
          <w:lang w:eastAsia="en-GB"/>
        </w:rPr>
        <w:footnoteReference w:id="30"/>
      </w:r>
    </w:p>
    <w:p w14:paraId="0E09DEDC" w14:textId="77777777" w:rsidR="00805B3B" w:rsidRPr="00CC5D2E" w:rsidRDefault="00805B3B" w:rsidP="00805B3B">
      <w:pPr>
        <w:widowControl w:val="0"/>
        <w:suppressAutoHyphens/>
        <w:autoSpaceDE w:val="0"/>
        <w:autoSpaceDN w:val="0"/>
        <w:adjustRightInd w:val="0"/>
        <w:spacing w:before="24" w:after="24" w:line="360" w:lineRule="auto"/>
        <w:textAlignment w:val="center"/>
        <w:rPr>
          <w:rFonts w:ascii="Verdana" w:eastAsia="Times New Roman" w:hAnsi="Verdana" w:cs="Arial"/>
          <w:bCs/>
          <w:color w:val="161616"/>
          <w:lang w:eastAsia="en-GB"/>
        </w:rPr>
      </w:pPr>
    </w:p>
    <w:p w14:paraId="66B05A79" w14:textId="3A342B64" w:rsidR="00805B3B" w:rsidRPr="009A1858" w:rsidRDefault="003661AD" w:rsidP="00874285">
      <w:pPr>
        <w:pStyle w:val="ListParagraph"/>
        <w:numPr>
          <w:ilvl w:val="1"/>
          <w:numId w:val="2"/>
        </w:numPr>
        <w:spacing w:before="24" w:after="24" w:line="360" w:lineRule="auto"/>
        <w:ind w:left="709"/>
        <w:rPr>
          <w:rFonts w:ascii="Verdana" w:hAnsi="Verdana" w:cs="Arial"/>
          <w:bCs/>
        </w:rPr>
      </w:pPr>
      <w:r>
        <w:rPr>
          <w:rFonts w:ascii="Verdana" w:eastAsia="Times New Roman" w:hAnsi="Verdana" w:cs="Arial"/>
          <w:bCs/>
          <w:color w:val="161616"/>
          <w:lang w:eastAsia="en-GB"/>
        </w:rPr>
        <w:t xml:space="preserve">That suggests that </w:t>
      </w:r>
      <w:r w:rsidR="00805B3B">
        <w:rPr>
          <w:rFonts w:ascii="Verdana" w:eastAsia="Times New Roman" w:hAnsi="Verdana" w:cs="Arial"/>
          <w:bCs/>
          <w:color w:val="161616"/>
          <w:lang w:eastAsia="en-GB"/>
        </w:rPr>
        <w:t xml:space="preserve">the Department of Education </w:t>
      </w:r>
      <w:r>
        <w:rPr>
          <w:rFonts w:ascii="Verdana" w:eastAsia="Times New Roman" w:hAnsi="Verdana" w:cs="Arial"/>
          <w:bCs/>
          <w:color w:val="161616"/>
          <w:lang w:eastAsia="en-GB"/>
        </w:rPr>
        <w:t xml:space="preserve">intends </w:t>
      </w:r>
      <w:r w:rsidR="00805B3B">
        <w:rPr>
          <w:rFonts w:ascii="Verdana" w:eastAsia="Times New Roman" w:hAnsi="Verdana" w:cs="Arial"/>
          <w:bCs/>
          <w:color w:val="161616"/>
          <w:lang w:eastAsia="en-GB"/>
        </w:rPr>
        <w:t xml:space="preserve">that </w:t>
      </w:r>
      <w:r>
        <w:rPr>
          <w:rFonts w:ascii="Verdana" w:eastAsia="Times New Roman" w:hAnsi="Verdana" w:cs="Arial"/>
          <w:bCs/>
          <w:color w:val="161616"/>
          <w:lang w:eastAsia="en-GB"/>
        </w:rPr>
        <w:t xml:space="preserve">any exemption will be limited and not be permitted </w:t>
      </w:r>
      <w:r w:rsidR="00E611B7">
        <w:rPr>
          <w:rFonts w:ascii="Verdana" w:eastAsia="Times New Roman" w:hAnsi="Verdana" w:cs="Arial"/>
          <w:bCs/>
          <w:color w:val="161616"/>
          <w:lang w:eastAsia="en-GB"/>
        </w:rPr>
        <w:t>for</w:t>
      </w:r>
      <w:r>
        <w:rPr>
          <w:rFonts w:ascii="Verdana" w:eastAsia="Times New Roman" w:hAnsi="Verdana" w:cs="Arial"/>
          <w:bCs/>
          <w:color w:val="161616"/>
          <w:lang w:eastAsia="en-GB"/>
        </w:rPr>
        <w:t xml:space="preserve"> the </w:t>
      </w:r>
      <w:r w:rsidR="00E611B7">
        <w:rPr>
          <w:rFonts w:ascii="Verdana" w:eastAsia="Times New Roman" w:hAnsi="Verdana" w:cs="Arial"/>
          <w:bCs/>
          <w:color w:val="161616"/>
          <w:lang w:eastAsia="en-GB"/>
        </w:rPr>
        <w:t xml:space="preserve">above </w:t>
      </w:r>
      <w:r>
        <w:rPr>
          <w:rFonts w:ascii="Verdana" w:eastAsia="Times New Roman" w:hAnsi="Verdana" w:cs="Arial"/>
          <w:bCs/>
          <w:color w:val="161616"/>
          <w:lang w:eastAsia="en-GB"/>
        </w:rPr>
        <w:t>specified</w:t>
      </w:r>
      <w:r w:rsidR="00E611B7">
        <w:rPr>
          <w:rFonts w:ascii="Verdana" w:eastAsia="Times New Roman" w:hAnsi="Verdana" w:cs="Arial"/>
          <w:bCs/>
          <w:color w:val="161616"/>
          <w:lang w:eastAsia="en-GB"/>
        </w:rPr>
        <w:t xml:space="preserve"> topics</w:t>
      </w:r>
      <w:r>
        <w:rPr>
          <w:rFonts w:ascii="Verdana" w:eastAsia="Times New Roman" w:hAnsi="Verdana" w:cs="Arial"/>
          <w:bCs/>
          <w:color w:val="161616"/>
          <w:lang w:eastAsia="en-GB"/>
        </w:rPr>
        <w:t>. The</w:t>
      </w:r>
      <w:r w:rsidR="00805B3B">
        <w:rPr>
          <w:rFonts w:ascii="Verdana" w:eastAsia="Times New Roman" w:hAnsi="Verdana" w:cs="Arial"/>
          <w:bCs/>
          <w:color w:val="161616"/>
          <w:lang w:eastAsia="en-GB"/>
        </w:rPr>
        <w:t xml:space="preserve"> NIHRC notes</w:t>
      </w:r>
      <w:r>
        <w:rPr>
          <w:rFonts w:ascii="Verdana" w:eastAsia="Times New Roman" w:hAnsi="Verdana" w:cs="Arial"/>
          <w:bCs/>
          <w:color w:val="161616"/>
          <w:lang w:eastAsia="en-GB"/>
        </w:rPr>
        <w:t>, however,</w:t>
      </w:r>
      <w:r w:rsidR="00805B3B">
        <w:rPr>
          <w:rFonts w:ascii="Verdana" w:eastAsia="Times New Roman" w:hAnsi="Verdana" w:cs="Arial"/>
          <w:bCs/>
          <w:color w:val="161616"/>
          <w:lang w:eastAsia="en-GB"/>
        </w:rPr>
        <w:t xml:space="preserve"> that </w:t>
      </w:r>
      <w:r w:rsidR="00805B3B" w:rsidRPr="00CC5D2E">
        <w:rPr>
          <w:rFonts w:ascii="Verdana" w:eastAsia="Times New Roman" w:hAnsi="Verdana" w:cs="Arial"/>
          <w:bCs/>
          <w:color w:val="161616"/>
          <w:lang w:eastAsia="en-GB"/>
        </w:rPr>
        <w:t xml:space="preserve">many of topics </w:t>
      </w:r>
      <w:r>
        <w:rPr>
          <w:rFonts w:ascii="Verdana" w:eastAsia="Times New Roman" w:hAnsi="Verdana" w:cs="Arial"/>
          <w:bCs/>
          <w:color w:val="161616"/>
          <w:lang w:eastAsia="en-GB"/>
        </w:rPr>
        <w:t xml:space="preserve">listed </w:t>
      </w:r>
      <w:r w:rsidR="00805B3B">
        <w:rPr>
          <w:rFonts w:ascii="Verdana" w:eastAsia="Times New Roman" w:hAnsi="Verdana" w:cs="Arial"/>
          <w:bCs/>
          <w:color w:val="161616"/>
          <w:lang w:eastAsia="en-GB"/>
        </w:rPr>
        <w:t>were</w:t>
      </w:r>
      <w:r w:rsidR="00805B3B" w:rsidRPr="00CC5D2E">
        <w:rPr>
          <w:rFonts w:ascii="Verdana" w:eastAsia="Times New Roman" w:hAnsi="Verdana" w:cs="Arial"/>
          <w:bCs/>
          <w:color w:val="161616"/>
          <w:lang w:eastAsia="en-GB"/>
        </w:rPr>
        <w:t xml:space="preserve"> not</w:t>
      </w:r>
      <w:r w:rsidR="00805B3B">
        <w:rPr>
          <w:rFonts w:ascii="Verdana" w:eastAsia="Times New Roman" w:hAnsi="Verdana" w:cs="Arial"/>
          <w:bCs/>
          <w:color w:val="161616"/>
          <w:lang w:eastAsia="en-GB"/>
        </w:rPr>
        <w:t xml:space="preserve"> </w:t>
      </w:r>
      <w:r w:rsidR="00E611B7">
        <w:rPr>
          <w:rFonts w:ascii="Verdana" w:eastAsia="Times New Roman" w:hAnsi="Verdana" w:cs="Arial"/>
          <w:bCs/>
          <w:color w:val="161616"/>
          <w:lang w:eastAsia="en-GB"/>
        </w:rPr>
        <w:t>specified</w:t>
      </w:r>
      <w:r w:rsidR="00805B3B" w:rsidRPr="00CC5D2E">
        <w:rPr>
          <w:rFonts w:ascii="Verdana" w:eastAsia="Times New Roman" w:hAnsi="Verdana" w:cs="Arial"/>
          <w:bCs/>
          <w:color w:val="161616"/>
          <w:lang w:eastAsia="en-GB"/>
        </w:rPr>
        <w:t xml:space="preserve"> by the Minimum Content Order</w:t>
      </w:r>
      <w:r w:rsidR="00805B3B">
        <w:rPr>
          <w:rFonts w:ascii="Verdana" w:eastAsia="Times New Roman" w:hAnsi="Verdana" w:cs="Arial"/>
          <w:bCs/>
          <w:color w:val="161616"/>
          <w:lang w:eastAsia="en-GB"/>
        </w:rPr>
        <w:t xml:space="preserve"> prior to its amendment by the 2023 Regulations.   </w:t>
      </w:r>
    </w:p>
    <w:p w14:paraId="0734E1B5" w14:textId="77777777" w:rsidR="009A1858" w:rsidRPr="009A1858" w:rsidRDefault="009A1858" w:rsidP="009A1858">
      <w:pPr>
        <w:pStyle w:val="ListParagraph"/>
        <w:spacing w:before="24" w:after="24" w:line="360" w:lineRule="auto"/>
        <w:rPr>
          <w:rFonts w:ascii="Verdana" w:hAnsi="Verdana" w:cs="Arial"/>
          <w:bCs/>
        </w:rPr>
      </w:pPr>
    </w:p>
    <w:p w14:paraId="5D02D8C5" w14:textId="42579CC4" w:rsidR="00EE4436" w:rsidRPr="001A002F" w:rsidRDefault="00762A1D" w:rsidP="00874285">
      <w:pPr>
        <w:numPr>
          <w:ilvl w:val="1"/>
          <w:numId w:val="2"/>
        </w:numPr>
        <w:spacing w:before="24" w:after="24" w:line="360" w:lineRule="auto"/>
        <w:ind w:left="709"/>
        <w:contextualSpacing/>
        <w:rPr>
          <w:rFonts w:ascii="Verdana" w:hAnsi="Verdana" w:cs="Arial"/>
          <w:bCs/>
        </w:rPr>
      </w:pPr>
      <w:r w:rsidRPr="008F5D96">
        <w:rPr>
          <w:rFonts w:ascii="Verdana" w:hAnsi="Verdana" w:cs="Arial"/>
          <w:lang w:val="en-US"/>
        </w:rPr>
        <w:t>The Department</w:t>
      </w:r>
      <w:r w:rsidR="0007324C">
        <w:rPr>
          <w:rFonts w:ascii="Verdana" w:hAnsi="Verdana" w:cs="Arial"/>
          <w:lang w:val="en-US"/>
        </w:rPr>
        <w:t xml:space="preserve"> of Education’s</w:t>
      </w:r>
      <w:r w:rsidRPr="008F5D96">
        <w:rPr>
          <w:rFonts w:ascii="Verdana" w:hAnsi="Verdana" w:cs="Arial"/>
          <w:lang w:val="en-US"/>
        </w:rPr>
        <w:t xml:space="preserve"> </w:t>
      </w:r>
      <w:r w:rsidR="0007324C">
        <w:rPr>
          <w:rFonts w:ascii="Verdana" w:hAnsi="Verdana" w:cs="Arial"/>
          <w:lang w:val="en-US"/>
        </w:rPr>
        <w:t>e</w:t>
      </w:r>
      <w:r w:rsidRPr="008F5D96">
        <w:rPr>
          <w:rFonts w:ascii="Verdana" w:hAnsi="Verdana" w:cs="Arial"/>
          <w:lang w:val="en-US"/>
        </w:rPr>
        <w:t xml:space="preserve">quality and </w:t>
      </w:r>
      <w:r w:rsidR="0007324C">
        <w:rPr>
          <w:rFonts w:ascii="Verdana" w:hAnsi="Verdana" w:cs="Arial"/>
          <w:lang w:val="en-US"/>
        </w:rPr>
        <w:t>h</w:t>
      </w:r>
      <w:r w:rsidRPr="008F5D96">
        <w:rPr>
          <w:rFonts w:ascii="Verdana" w:hAnsi="Verdana" w:cs="Arial"/>
          <w:lang w:val="en-US"/>
        </w:rPr>
        <w:t xml:space="preserve">uman </w:t>
      </w:r>
      <w:r w:rsidR="0007324C">
        <w:rPr>
          <w:rFonts w:ascii="Verdana" w:hAnsi="Verdana" w:cs="Arial"/>
          <w:lang w:val="en-US"/>
        </w:rPr>
        <w:t>r</w:t>
      </w:r>
      <w:r w:rsidRPr="008F5D96">
        <w:rPr>
          <w:rFonts w:ascii="Verdana" w:hAnsi="Verdana" w:cs="Arial"/>
          <w:lang w:val="en-US"/>
        </w:rPr>
        <w:t xml:space="preserve">ights </w:t>
      </w:r>
      <w:r w:rsidR="0007324C">
        <w:rPr>
          <w:rFonts w:ascii="Verdana" w:hAnsi="Verdana" w:cs="Arial"/>
          <w:lang w:val="en-US"/>
        </w:rPr>
        <w:t>s</w:t>
      </w:r>
      <w:r w:rsidRPr="008F5D96">
        <w:rPr>
          <w:rFonts w:ascii="Verdana" w:hAnsi="Verdana" w:cs="Arial"/>
          <w:lang w:val="en-US"/>
        </w:rPr>
        <w:t xml:space="preserve">creening </w:t>
      </w:r>
      <w:r w:rsidR="003661AD">
        <w:rPr>
          <w:rFonts w:ascii="Verdana" w:hAnsi="Verdana" w:cs="Arial"/>
          <w:lang w:val="en-US"/>
        </w:rPr>
        <w:t xml:space="preserve">records that </w:t>
      </w:r>
      <w:r w:rsidR="00805B3B">
        <w:rPr>
          <w:rFonts w:ascii="Verdana" w:hAnsi="Verdana" w:cs="Arial"/>
          <w:lang w:val="en-US"/>
        </w:rPr>
        <w:t>parental</w:t>
      </w:r>
      <w:r w:rsidR="00805B3B" w:rsidRPr="008F5D96">
        <w:rPr>
          <w:rFonts w:ascii="Verdana" w:hAnsi="Verdana" w:cs="Arial"/>
          <w:lang w:val="en-US"/>
        </w:rPr>
        <w:t xml:space="preserve"> </w:t>
      </w:r>
      <w:r w:rsidRPr="008F5D96">
        <w:rPr>
          <w:rFonts w:ascii="Verdana" w:hAnsi="Verdana" w:cs="Arial"/>
          <w:lang w:val="en-US"/>
        </w:rPr>
        <w:t xml:space="preserve">exemptions may have an impact on the effectiveness of the changes to </w:t>
      </w:r>
      <w:r w:rsidR="003661AD">
        <w:rPr>
          <w:rFonts w:ascii="Verdana" w:hAnsi="Verdana" w:cs="Arial"/>
          <w:lang w:val="en-US"/>
        </w:rPr>
        <w:t xml:space="preserve">the </w:t>
      </w:r>
      <w:r w:rsidR="00564293">
        <w:rPr>
          <w:rFonts w:ascii="Verdana" w:hAnsi="Verdana" w:cs="Arial"/>
          <w:lang w:val="en-US"/>
        </w:rPr>
        <w:t>Minimum Content Order.</w:t>
      </w:r>
      <w:r w:rsidR="00515EB1">
        <w:rPr>
          <w:rStyle w:val="FootnoteReference"/>
          <w:rFonts w:ascii="Verdana" w:hAnsi="Verdana" w:cs="Arial"/>
          <w:lang w:val="en-US"/>
        </w:rPr>
        <w:footnoteReference w:id="31"/>
      </w:r>
      <w:r w:rsidR="003E55AC">
        <w:rPr>
          <w:rFonts w:ascii="Verdana" w:hAnsi="Verdana" w:cs="Arial"/>
          <w:lang w:val="en-US"/>
        </w:rPr>
        <w:t xml:space="preserve"> </w:t>
      </w:r>
      <w:r w:rsidR="00EE4436">
        <w:rPr>
          <w:rFonts w:ascii="Verdana" w:hAnsi="Verdana" w:cs="Arial"/>
          <w:lang w:val="en-US"/>
        </w:rPr>
        <w:t xml:space="preserve">The NIHRC suggests </w:t>
      </w:r>
      <w:r w:rsidR="00EE4436" w:rsidRPr="00EE4436">
        <w:rPr>
          <w:rFonts w:ascii="Verdana" w:hAnsi="Verdana" w:cs="Arial"/>
          <w:lang w:val="en-US"/>
        </w:rPr>
        <w:t>that</w:t>
      </w:r>
      <w:r w:rsidR="00790FB5">
        <w:rPr>
          <w:rFonts w:ascii="Verdana" w:hAnsi="Verdana" w:cs="Arial"/>
          <w:lang w:val="en-US"/>
        </w:rPr>
        <w:t>,</w:t>
      </w:r>
      <w:r w:rsidR="00EE4436" w:rsidRPr="00EE4436">
        <w:rPr>
          <w:rFonts w:ascii="Verdana" w:hAnsi="Verdana" w:cs="Arial"/>
          <w:lang w:val="en-US"/>
        </w:rPr>
        <w:t xml:space="preserve"> </w:t>
      </w:r>
      <w:r w:rsidR="003661AD">
        <w:rPr>
          <w:rFonts w:ascii="Verdana" w:hAnsi="Verdana" w:cs="Arial"/>
          <w:lang w:val="en-US"/>
        </w:rPr>
        <w:t xml:space="preserve">if parental opt-outs are to be permitted, the </w:t>
      </w:r>
      <w:r w:rsidR="00805B3B">
        <w:rPr>
          <w:rFonts w:ascii="Verdana" w:hAnsi="Verdana" w:cs="Arial"/>
          <w:lang w:val="en-US"/>
        </w:rPr>
        <w:t xml:space="preserve">topics which a parent may excuse their child from should be defined </w:t>
      </w:r>
      <w:r w:rsidR="003661AD">
        <w:rPr>
          <w:rFonts w:ascii="Verdana" w:hAnsi="Verdana" w:cs="Arial"/>
          <w:lang w:val="en-US"/>
        </w:rPr>
        <w:t xml:space="preserve">clearly </w:t>
      </w:r>
      <w:r w:rsidR="00805B3B">
        <w:rPr>
          <w:rFonts w:ascii="Verdana" w:hAnsi="Verdana" w:cs="Arial"/>
          <w:lang w:val="en-US"/>
        </w:rPr>
        <w:t>and subject to appropriate limitations</w:t>
      </w:r>
      <w:r w:rsidR="00482743">
        <w:rPr>
          <w:rFonts w:ascii="Verdana" w:hAnsi="Verdana" w:cs="Arial"/>
          <w:lang w:val="en-US"/>
        </w:rPr>
        <w:t xml:space="preserve">. </w:t>
      </w:r>
      <w:r w:rsidR="003E7729">
        <w:rPr>
          <w:rFonts w:ascii="Verdana" w:hAnsi="Verdana" w:cs="Arial"/>
          <w:lang w:val="en-US"/>
        </w:rPr>
        <w:t>For example, the</w:t>
      </w:r>
      <w:r w:rsidR="00805B3B">
        <w:rPr>
          <w:rFonts w:ascii="Verdana" w:hAnsi="Verdana" w:cs="Arial"/>
          <w:lang w:val="en-US"/>
        </w:rPr>
        <w:t xml:space="preserve"> NIHRC does not consider that it is appropriate to allow a parent to excuse their child from education on identifying and reporting instances of abuse, including abusive relationships. </w:t>
      </w:r>
    </w:p>
    <w:p w14:paraId="7C0CDC9B" w14:textId="77777777" w:rsidR="001A002F" w:rsidRDefault="001A002F" w:rsidP="001A002F">
      <w:pPr>
        <w:pStyle w:val="ListParagraph"/>
        <w:rPr>
          <w:rFonts w:ascii="Verdana" w:hAnsi="Verdana" w:cs="Arial"/>
          <w:bCs/>
        </w:rPr>
      </w:pPr>
    </w:p>
    <w:p w14:paraId="483BE835" w14:textId="18098F5E" w:rsidR="00477A8C" w:rsidRPr="001A002F" w:rsidRDefault="00EE4436" w:rsidP="00874285">
      <w:pPr>
        <w:numPr>
          <w:ilvl w:val="1"/>
          <w:numId w:val="2"/>
        </w:numPr>
        <w:spacing w:before="24" w:after="24" w:line="360" w:lineRule="auto"/>
        <w:ind w:left="709"/>
        <w:contextualSpacing/>
        <w:rPr>
          <w:rFonts w:ascii="Verdana" w:hAnsi="Verdana" w:cs="Arial"/>
          <w:bCs/>
        </w:rPr>
      </w:pPr>
      <w:r w:rsidRPr="001A002F">
        <w:rPr>
          <w:rFonts w:ascii="Verdana" w:hAnsi="Verdana" w:cs="Arial"/>
          <w:lang w:val="en-US"/>
        </w:rPr>
        <w:t xml:space="preserve">The screening document </w:t>
      </w:r>
      <w:r w:rsidR="003661AD">
        <w:rPr>
          <w:rFonts w:ascii="Verdana" w:hAnsi="Verdana" w:cs="Arial"/>
          <w:lang w:val="en-US"/>
        </w:rPr>
        <w:t xml:space="preserve">also notes the </w:t>
      </w:r>
      <w:r w:rsidR="00396289" w:rsidRPr="001A002F">
        <w:rPr>
          <w:rFonts w:ascii="Verdana" w:hAnsi="Verdana" w:cs="Arial"/>
          <w:lang w:val="en-US"/>
        </w:rPr>
        <w:t xml:space="preserve">approach </w:t>
      </w:r>
      <w:r w:rsidR="00EB474B">
        <w:rPr>
          <w:rFonts w:ascii="Verdana" w:hAnsi="Verdana" w:cs="Arial"/>
          <w:lang w:val="en-US"/>
        </w:rPr>
        <w:t xml:space="preserve">that </w:t>
      </w:r>
      <w:r w:rsidR="003661AD">
        <w:rPr>
          <w:rFonts w:ascii="Verdana" w:hAnsi="Verdana" w:cs="Arial"/>
          <w:lang w:val="en-US"/>
        </w:rPr>
        <w:t xml:space="preserve">has been </w:t>
      </w:r>
      <w:r w:rsidR="00D152A2" w:rsidRPr="001A002F">
        <w:rPr>
          <w:rFonts w:ascii="Verdana" w:hAnsi="Verdana" w:cs="Arial"/>
          <w:lang w:val="en-US"/>
        </w:rPr>
        <w:t>taken in England and Scotland</w:t>
      </w:r>
      <w:r w:rsidR="003661AD">
        <w:rPr>
          <w:rFonts w:ascii="Verdana" w:hAnsi="Verdana" w:cs="Arial"/>
          <w:lang w:val="en-US"/>
        </w:rPr>
        <w:t xml:space="preserve">. For example, </w:t>
      </w:r>
      <w:r w:rsidR="00D152A2" w:rsidRPr="001A002F">
        <w:rPr>
          <w:rFonts w:ascii="Verdana" w:hAnsi="Verdana" w:cs="Arial"/>
          <w:lang w:val="en-US"/>
        </w:rPr>
        <w:t>children and young people</w:t>
      </w:r>
      <w:r w:rsidR="00E35706" w:rsidRPr="001A002F">
        <w:rPr>
          <w:rFonts w:ascii="Verdana" w:hAnsi="Verdana" w:cs="Arial"/>
          <w:lang w:val="en-US"/>
        </w:rPr>
        <w:t xml:space="preserve"> </w:t>
      </w:r>
      <w:r w:rsidR="002F6B9D" w:rsidRPr="001A002F">
        <w:rPr>
          <w:rFonts w:ascii="Verdana" w:hAnsi="Verdana" w:cs="Arial"/>
          <w:lang w:val="en-US"/>
        </w:rPr>
        <w:t xml:space="preserve">who have been withdrawn from RSE </w:t>
      </w:r>
      <w:r w:rsidR="003661AD">
        <w:rPr>
          <w:rFonts w:ascii="Verdana" w:hAnsi="Verdana" w:cs="Arial"/>
          <w:lang w:val="en-US"/>
        </w:rPr>
        <w:t xml:space="preserve">may </w:t>
      </w:r>
      <w:r w:rsidR="002F6B9D" w:rsidRPr="001A002F">
        <w:rPr>
          <w:rFonts w:ascii="Verdana" w:hAnsi="Verdana" w:cs="Arial"/>
          <w:lang w:val="en-US"/>
        </w:rPr>
        <w:t xml:space="preserve">attend lessons in one of the three terms before their </w:t>
      </w:r>
      <w:r w:rsidR="00C94743" w:rsidRPr="001A002F">
        <w:rPr>
          <w:rFonts w:ascii="Verdana" w:hAnsi="Verdana" w:cs="Arial"/>
          <w:lang w:val="en-US"/>
        </w:rPr>
        <w:t>16th birthday</w:t>
      </w:r>
      <w:r w:rsidR="00C91418" w:rsidRPr="001A002F">
        <w:rPr>
          <w:rFonts w:ascii="Verdana" w:hAnsi="Verdana" w:cs="Arial"/>
          <w:lang w:val="en-US"/>
        </w:rPr>
        <w:t>.</w:t>
      </w:r>
      <w:r w:rsidR="009F089D" w:rsidRPr="002D6C95">
        <w:rPr>
          <w:rFonts w:ascii="Verdana" w:hAnsi="Verdana"/>
          <w:vertAlign w:val="superscript"/>
        </w:rPr>
        <w:footnoteReference w:id="32"/>
      </w:r>
      <w:r w:rsidR="00C91418" w:rsidRPr="002D6C95">
        <w:rPr>
          <w:rFonts w:ascii="Verdana" w:hAnsi="Verdana" w:cs="Arial"/>
          <w:vertAlign w:val="superscript"/>
          <w:lang w:val="en-US"/>
        </w:rPr>
        <w:t xml:space="preserve"> </w:t>
      </w:r>
      <w:r w:rsidR="003661AD">
        <w:rPr>
          <w:rFonts w:ascii="Verdana" w:hAnsi="Verdana" w:cs="Arial"/>
          <w:lang w:val="en-US"/>
        </w:rPr>
        <w:t>First and foremost, t</w:t>
      </w:r>
      <w:r w:rsidR="001D5EE5" w:rsidRPr="001A002F">
        <w:rPr>
          <w:rFonts w:ascii="Verdana" w:hAnsi="Verdana" w:cs="Arial"/>
          <w:lang w:val="en-US"/>
        </w:rPr>
        <w:t xml:space="preserve">he Department of Education </w:t>
      </w:r>
      <w:r w:rsidR="003661AD">
        <w:rPr>
          <w:rFonts w:ascii="Verdana" w:hAnsi="Verdana" w:cs="Arial"/>
          <w:lang w:val="en-US"/>
        </w:rPr>
        <w:t xml:space="preserve">must </w:t>
      </w:r>
      <w:r w:rsidR="001D5EE5" w:rsidRPr="001A002F">
        <w:rPr>
          <w:rFonts w:ascii="Verdana" w:hAnsi="Verdana" w:cs="Arial"/>
          <w:lang w:val="en-US"/>
        </w:rPr>
        <w:t>identif</w:t>
      </w:r>
      <w:r w:rsidR="003661AD">
        <w:rPr>
          <w:rFonts w:ascii="Verdana" w:hAnsi="Verdana" w:cs="Arial"/>
          <w:lang w:val="en-US"/>
        </w:rPr>
        <w:t>y</w:t>
      </w:r>
      <w:r w:rsidR="001D5EE5" w:rsidRPr="001A002F">
        <w:rPr>
          <w:rFonts w:ascii="Verdana" w:hAnsi="Verdana" w:cs="Arial"/>
          <w:lang w:val="en-US"/>
        </w:rPr>
        <w:t xml:space="preserve"> the most appropriate measures to </w:t>
      </w:r>
      <w:r w:rsidR="00CA484E" w:rsidRPr="001A002F">
        <w:rPr>
          <w:rFonts w:ascii="Verdana" w:hAnsi="Verdana" w:cs="Arial"/>
          <w:lang w:val="en-US"/>
        </w:rPr>
        <w:t xml:space="preserve">ensure </w:t>
      </w:r>
      <w:r w:rsidR="000D0630" w:rsidRPr="001A002F">
        <w:rPr>
          <w:rFonts w:ascii="Verdana" w:hAnsi="Verdana" w:cs="Arial"/>
          <w:lang w:val="en-US"/>
        </w:rPr>
        <w:t xml:space="preserve">that </w:t>
      </w:r>
      <w:r w:rsidR="00CA484E" w:rsidRPr="001A002F">
        <w:rPr>
          <w:rFonts w:ascii="Verdana" w:hAnsi="Verdana" w:cs="Arial"/>
          <w:lang w:val="en-US"/>
        </w:rPr>
        <w:t>the right</w:t>
      </w:r>
      <w:r w:rsidR="003661AD">
        <w:rPr>
          <w:rFonts w:ascii="Verdana" w:hAnsi="Verdana" w:cs="Arial"/>
          <w:lang w:val="en-US"/>
        </w:rPr>
        <w:t xml:space="preserve"> to education</w:t>
      </w:r>
      <w:r w:rsidR="00CA484E" w:rsidRPr="001A002F">
        <w:rPr>
          <w:rFonts w:ascii="Verdana" w:hAnsi="Verdana" w:cs="Arial"/>
          <w:lang w:val="en-US"/>
        </w:rPr>
        <w:t xml:space="preserve"> of children</w:t>
      </w:r>
      <w:r w:rsidR="003E55AC" w:rsidRPr="001A002F">
        <w:rPr>
          <w:rFonts w:ascii="Verdana" w:hAnsi="Verdana" w:cs="Arial"/>
          <w:lang w:val="en-US"/>
        </w:rPr>
        <w:t xml:space="preserve"> and young people</w:t>
      </w:r>
      <w:r w:rsidR="00CA484E" w:rsidRPr="001A002F">
        <w:rPr>
          <w:rFonts w:ascii="Verdana" w:hAnsi="Verdana" w:cs="Arial"/>
          <w:lang w:val="en-US"/>
        </w:rPr>
        <w:t xml:space="preserve"> is fulfilled</w:t>
      </w:r>
      <w:r w:rsidR="003661AD">
        <w:rPr>
          <w:rFonts w:ascii="Verdana" w:hAnsi="Verdana" w:cs="Arial"/>
          <w:lang w:val="en-US"/>
        </w:rPr>
        <w:t>.</w:t>
      </w:r>
      <w:r w:rsidR="00CA484E" w:rsidRPr="001A002F">
        <w:rPr>
          <w:rFonts w:ascii="Verdana" w:hAnsi="Verdana" w:cs="Arial"/>
          <w:lang w:val="en-US"/>
        </w:rPr>
        <w:t xml:space="preserve"> </w:t>
      </w:r>
      <w:r w:rsidRPr="001A002F">
        <w:rPr>
          <w:rFonts w:ascii="Verdana" w:hAnsi="Verdana" w:cs="Arial"/>
          <w:lang w:val="en-US"/>
        </w:rPr>
        <w:t xml:space="preserve">Care should </w:t>
      </w:r>
      <w:r w:rsidR="003661AD">
        <w:rPr>
          <w:rFonts w:ascii="Verdana" w:hAnsi="Verdana" w:cs="Arial"/>
          <w:lang w:val="en-US"/>
        </w:rPr>
        <w:t xml:space="preserve">also </w:t>
      </w:r>
      <w:r w:rsidRPr="001A002F">
        <w:rPr>
          <w:rFonts w:ascii="Verdana" w:hAnsi="Verdana" w:cs="Arial"/>
          <w:lang w:val="en-US"/>
        </w:rPr>
        <w:t xml:space="preserve">be taken to ensure that children and young people are not </w:t>
      </w:r>
      <w:proofErr w:type="spellStart"/>
      <w:r w:rsidRPr="001A002F">
        <w:rPr>
          <w:rFonts w:ascii="Verdana" w:hAnsi="Verdana" w:cs="Arial"/>
          <w:lang w:val="en-US"/>
        </w:rPr>
        <w:t>stigmatised</w:t>
      </w:r>
      <w:proofErr w:type="spellEnd"/>
      <w:r w:rsidRPr="001A002F">
        <w:rPr>
          <w:rFonts w:ascii="Verdana" w:hAnsi="Verdana" w:cs="Arial"/>
          <w:lang w:val="en-US"/>
        </w:rPr>
        <w:t xml:space="preserve"> </w:t>
      </w:r>
      <w:r w:rsidR="003661AD">
        <w:rPr>
          <w:rFonts w:ascii="Verdana" w:hAnsi="Verdana" w:cs="Arial"/>
          <w:lang w:val="en-US"/>
        </w:rPr>
        <w:t>for</w:t>
      </w:r>
      <w:r w:rsidRPr="001A002F">
        <w:rPr>
          <w:rFonts w:ascii="Verdana" w:hAnsi="Verdana" w:cs="Arial"/>
          <w:lang w:val="en-US"/>
        </w:rPr>
        <w:t xml:space="preserve"> being withdrawn, or </w:t>
      </w:r>
      <w:r w:rsidR="003661AD">
        <w:rPr>
          <w:rFonts w:ascii="Verdana" w:hAnsi="Verdana" w:cs="Arial"/>
          <w:lang w:val="en-US"/>
        </w:rPr>
        <w:t>otherwise</w:t>
      </w:r>
      <w:r w:rsidRPr="001A002F">
        <w:rPr>
          <w:rFonts w:ascii="Verdana" w:hAnsi="Verdana" w:cs="Arial"/>
          <w:lang w:val="en-US"/>
        </w:rPr>
        <w:t xml:space="preserve">, from RSE lessons. </w:t>
      </w:r>
    </w:p>
    <w:p w14:paraId="3B23B40F" w14:textId="77777777" w:rsidR="00530152" w:rsidRDefault="00530152" w:rsidP="00530152">
      <w:pPr>
        <w:pStyle w:val="ListParagraph"/>
        <w:rPr>
          <w:rFonts w:ascii="Verdana" w:hAnsi="Verdana" w:cs="Arial"/>
          <w:lang w:val="en-US"/>
        </w:rPr>
      </w:pPr>
    </w:p>
    <w:p w14:paraId="4448E270" w14:textId="2BDD4D90" w:rsidR="00530152" w:rsidRDefault="00391264" w:rsidP="00874285">
      <w:pPr>
        <w:numPr>
          <w:ilvl w:val="1"/>
          <w:numId w:val="2"/>
        </w:numPr>
        <w:spacing w:before="24" w:after="24" w:line="360" w:lineRule="auto"/>
        <w:ind w:left="709"/>
        <w:contextualSpacing/>
        <w:rPr>
          <w:rFonts w:ascii="Verdana" w:hAnsi="Verdana" w:cs="Arial"/>
          <w:b/>
          <w:bCs/>
          <w:lang w:val="en-US"/>
        </w:rPr>
      </w:pPr>
      <w:bookmarkStart w:id="7" w:name="_Hlk151109074"/>
      <w:r w:rsidRPr="00D8179F">
        <w:rPr>
          <w:rFonts w:ascii="Verdana" w:hAnsi="Verdana" w:cs="Arial"/>
          <w:b/>
          <w:bCs/>
          <w:lang w:val="en-US"/>
        </w:rPr>
        <w:lastRenderedPageBreak/>
        <w:t>The NIHRC recommends that the guidance being develop</w:t>
      </w:r>
      <w:r w:rsidR="00807BDC" w:rsidRPr="00D8179F">
        <w:rPr>
          <w:rFonts w:ascii="Verdana" w:hAnsi="Verdana" w:cs="Arial"/>
          <w:b/>
          <w:bCs/>
          <w:lang w:val="en-US"/>
        </w:rPr>
        <w:t xml:space="preserve">ed by the Department of Education </w:t>
      </w:r>
      <w:r w:rsidR="00C24705" w:rsidRPr="00D8179F">
        <w:rPr>
          <w:rFonts w:ascii="Verdana" w:hAnsi="Verdana" w:cs="Arial"/>
          <w:b/>
          <w:bCs/>
          <w:lang w:val="en-US"/>
        </w:rPr>
        <w:t>articulates</w:t>
      </w:r>
      <w:r w:rsidR="003661AD">
        <w:rPr>
          <w:rFonts w:ascii="Verdana" w:hAnsi="Verdana" w:cs="Arial"/>
          <w:b/>
          <w:bCs/>
          <w:lang w:val="en-US"/>
        </w:rPr>
        <w:t xml:space="preserve"> expressly</w:t>
      </w:r>
      <w:r w:rsidR="00C24705" w:rsidRPr="00D8179F">
        <w:rPr>
          <w:rFonts w:ascii="Verdana" w:hAnsi="Verdana" w:cs="Arial"/>
          <w:b/>
          <w:bCs/>
          <w:lang w:val="en-US"/>
        </w:rPr>
        <w:t xml:space="preserve"> the </w:t>
      </w:r>
      <w:r w:rsidR="008E3DF7" w:rsidRPr="00D8179F">
        <w:rPr>
          <w:rFonts w:ascii="Verdana" w:hAnsi="Verdana" w:cs="Arial"/>
          <w:b/>
          <w:bCs/>
          <w:lang w:val="en-US"/>
        </w:rPr>
        <w:t xml:space="preserve">fundamental right of children and young people to an education </w:t>
      </w:r>
      <w:r w:rsidR="00CB7B8B" w:rsidRPr="00D8179F">
        <w:rPr>
          <w:rFonts w:ascii="Verdana" w:hAnsi="Verdana" w:cs="Arial"/>
          <w:b/>
          <w:bCs/>
          <w:lang w:val="en-US"/>
        </w:rPr>
        <w:t xml:space="preserve">and to exercise agency and autonomy in the exercise of </w:t>
      </w:r>
      <w:r w:rsidR="003661AD">
        <w:rPr>
          <w:rFonts w:ascii="Verdana" w:hAnsi="Verdana" w:cs="Arial"/>
          <w:b/>
          <w:bCs/>
          <w:lang w:val="en-US"/>
        </w:rPr>
        <w:t>that</w:t>
      </w:r>
      <w:r w:rsidR="003661AD" w:rsidRPr="00D8179F">
        <w:rPr>
          <w:rFonts w:ascii="Verdana" w:hAnsi="Verdana" w:cs="Arial"/>
          <w:b/>
          <w:bCs/>
          <w:lang w:val="en-US"/>
        </w:rPr>
        <w:t xml:space="preserve"> </w:t>
      </w:r>
      <w:r w:rsidR="00CB7B8B" w:rsidRPr="00D8179F">
        <w:rPr>
          <w:rFonts w:ascii="Verdana" w:hAnsi="Verdana" w:cs="Arial"/>
          <w:b/>
          <w:bCs/>
          <w:lang w:val="en-US"/>
        </w:rPr>
        <w:t xml:space="preserve">right.  </w:t>
      </w:r>
    </w:p>
    <w:p w14:paraId="2E822A8F" w14:textId="77777777" w:rsidR="00EE4436" w:rsidRDefault="00EE4436" w:rsidP="00EE4436">
      <w:pPr>
        <w:spacing w:before="24" w:after="24" w:line="360" w:lineRule="auto"/>
        <w:ind w:left="720"/>
        <w:contextualSpacing/>
        <w:rPr>
          <w:rFonts w:ascii="Verdana" w:hAnsi="Verdana" w:cs="Arial"/>
          <w:b/>
          <w:bCs/>
          <w:lang w:val="en-US"/>
        </w:rPr>
      </w:pPr>
    </w:p>
    <w:p w14:paraId="335A18B6" w14:textId="0CCEC2AC" w:rsidR="00EE4436" w:rsidRPr="00EE4436" w:rsidRDefault="00EE4436" w:rsidP="00874285">
      <w:pPr>
        <w:pStyle w:val="ListParagraph"/>
        <w:numPr>
          <w:ilvl w:val="1"/>
          <w:numId w:val="2"/>
        </w:numPr>
        <w:spacing w:line="360" w:lineRule="auto"/>
        <w:ind w:left="709"/>
        <w:rPr>
          <w:rFonts w:ascii="Verdana" w:hAnsi="Verdana" w:cs="Arial"/>
          <w:b/>
          <w:bCs/>
          <w:lang w:val="en-US"/>
        </w:rPr>
      </w:pPr>
      <w:r w:rsidRPr="00EE4436">
        <w:rPr>
          <w:rFonts w:ascii="Verdana" w:hAnsi="Verdana" w:cs="Arial"/>
          <w:b/>
          <w:bCs/>
          <w:lang w:val="en-US"/>
        </w:rPr>
        <w:t xml:space="preserve">The NIHRC recommends that the Department </w:t>
      </w:r>
      <w:r w:rsidR="003661AD">
        <w:rPr>
          <w:rFonts w:ascii="Verdana" w:hAnsi="Verdana" w:cs="Arial"/>
          <w:b/>
          <w:bCs/>
          <w:lang w:val="en-US"/>
        </w:rPr>
        <w:t>of</w:t>
      </w:r>
      <w:r w:rsidR="003661AD" w:rsidRPr="00EE4436">
        <w:rPr>
          <w:rFonts w:ascii="Verdana" w:hAnsi="Verdana" w:cs="Arial"/>
          <w:b/>
          <w:bCs/>
          <w:lang w:val="en-US"/>
        </w:rPr>
        <w:t xml:space="preserve"> </w:t>
      </w:r>
      <w:r w:rsidRPr="00EE4436">
        <w:rPr>
          <w:rFonts w:ascii="Verdana" w:hAnsi="Verdana" w:cs="Arial"/>
          <w:b/>
          <w:bCs/>
          <w:lang w:val="en-US"/>
        </w:rPr>
        <w:t xml:space="preserve">Education ensures that the criteria for parental withdrawal </w:t>
      </w:r>
      <w:r w:rsidR="00805B3B">
        <w:rPr>
          <w:rFonts w:ascii="Verdana" w:hAnsi="Verdana" w:cs="Arial"/>
          <w:b/>
          <w:bCs/>
          <w:lang w:val="en-US"/>
        </w:rPr>
        <w:t>are</w:t>
      </w:r>
      <w:r w:rsidRPr="00EE4436">
        <w:rPr>
          <w:rFonts w:ascii="Verdana" w:hAnsi="Verdana" w:cs="Arial"/>
          <w:b/>
          <w:bCs/>
          <w:lang w:val="en-US"/>
        </w:rPr>
        <w:t xml:space="preserve"> clear and limited. </w:t>
      </w:r>
    </w:p>
    <w:p w14:paraId="1CF4DA3B" w14:textId="16898BED" w:rsidR="00501106" w:rsidRPr="00EE4436" w:rsidRDefault="00EE4436" w:rsidP="001A002F">
      <w:pPr>
        <w:spacing w:line="360" w:lineRule="auto"/>
        <w:rPr>
          <w:rFonts w:ascii="Verdana" w:hAnsi="Verdana" w:cs="Arial"/>
          <w:b/>
          <w:bCs/>
          <w:lang w:val="en-US"/>
        </w:rPr>
      </w:pPr>
      <w:r>
        <w:rPr>
          <w:rFonts w:ascii="Verdana" w:hAnsi="Verdana" w:cs="Arial"/>
          <w:b/>
          <w:bCs/>
          <w:lang w:val="en-US"/>
        </w:rPr>
        <w:t xml:space="preserve"> </w:t>
      </w:r>
    </w:p>
    <w:p w14:paraId="2FE5C64A" w14:textId="09626616" w:rsidR="00501106" w:rsidRDefault="00501106" w:rsidP="00874285">
      <w:pPr>
        <w:numPr>
          <w:ilvl w:val="1"/>
          <w:numId w:val="2"/>
        </w:numPr>
        <w:spacing w:before="24" w:after="24" w:line="360" w:lineRule="auto"/>
        <w:ind w:left="709"/>
        <w:contextualSpacing/>
        <w:rPr>
          <w:rFonts w:ascii="Verdana" w:hAnsi="Verdana" w:cs="Arial"/>
          <w:b/>
          <w:bCs/>
          <w:lang w:val="en-US"/>
        </w:rPr>
      </w:pPr>
      <w:r>
        <w:rPr>
          <w:rFonts w:ascii="Verdana" w:hAnsi="Verdana" w:cs="Arial"/>
          <w:b/>
          <w:bCs/>
          <w:lang w:val="en-US"/>
        </w:rPr>
        <w:t xml:space="preserve">The NIHRC recommends that the Department </w:t>
      </w:r>
      <w:r w:rsidR="00CF5B1F">
        <w:rPr>
          <w:rFonts w:ascii="Verdana" w:hAnsi="Verdana" w:cs="Arial"/>
          <w:b/>
          <w:bCs/>
          <w:lang w:val="en-US"/>
        </w:rPr>
        <w:t>of</w:t>
      </w:r>
      <w:r>
        <w:rPr>
          <w:rFonts w:ascii="Verdana" w:hAnsi="Verdana" w:cs="Arial"/>
          <w:b/>
          <w:bCs/>
          <w:lang w:val="en-US"/>
        </w:rPr>
        <w:t xml:space="preserve"> Education </w:t>
      </w:r>
      <w:r w:rsidR="00D07534">
        <w:rPr>
          <w:rFonts w:ascii="Verdana" w:hAnsi="Verdana" w:cs="Arial"/>
          <w:b/>
          <w:bCs/>
          <w:lang w:val="en-US"/>
        </w:rPr>
        <w:t>develops a strategy to raise</w:t>
      </w:r>
      <w:r w:rsidR="000C2C6F">
        <w:rPr>
          <w:rFonts w:ascii="Verdana" w:hAnsi="Verdana" w:cs="Arial"/>
          <w:b/>
          <w:bCs/>
          <w:lang w:val="en-US"/>
        </w:rPr>
        <w:t xml:space="preserve"> awareness </w:t>
      </w:r>
      <w:r w:rsidR="00D07534">
        <w:rPr>
          <w:rFonts w:ascii="Verdana" w:hAnsi="Verdana" w:cs="Arial"/>
          <w:b/>
          <w:bCs/>
          <w:lang w:val="en-US"/>
        </w:rPr>
        <w:t xml:space="preserve">of the benefits of holistic RSE </w:t>
      </w:r>
      <w:r w:rsidR="00252ADF">
        <w:rPr>
          <w:rFonts w:ascii="Verdana" w:hAnsi="Verdana" w:cs="Arial"/>
          <w:b/>
          <w:bCs/>
          <w:lang w:val="en-US"/>
        </w:rPr>
        <w:t xml:space="preserve">and to address any myths or misconceptions </w:t>
      </w:r>
      <w:r w:rsidR="00FC2E73">
        <w:rPr>
          <w:rFonts w:ascii="Verdana" w:hAnsi="Verdana" w:cs="Arial"/>
          <w:b/>
          <w:bCs/>
          <w:lang w:val="en-US"/>
        </w:rPr>
        <w:t>relating to the provision of RSE lessons</w:t>
      </w:r>
      <w:r w:rsidR="009C1DC0">
        <w:rPr>
          <w:rFonts w:ascii="Verdana" w:hAnsi="Verdana" w:cs="Arial"/>
          <w:b/>
          <w:bCs/>
          <w:lang w:val="en-US"/>
        </w:rPr>
        <w:t xml:space="preserve"> that may increase the likelihood of parent</w:t>
      </w:r>
      <w:r w:rsidR="007A08F7">
        <w:rPr>
          <w:rFonts w:ascii="Verdana" w:hAnsi="Verdana" w:cs="Arial"/>
          <w:b/>
          <w:bCs/>
          <w:lang w:val="en-US"/>
        </w:rPr>
        <w:t xml:space="preserve">al withdrawal. </w:t>
      </w:r>
    </w:p>
    <w:p w14:paraId="0D223D13" w14:textId="77777777" w:rsidR="002F4E95" w:rsidRDefault="002F4E95" w:rsidP="002F4E95">
      <w:pPr>
        <w:pStyle w:val="ListParagraph"/>
        <w:rPr>
          <w:rFonts w:ascii="Verdana" w:hAnsi="Verdana" w:cs="Arial"/>
          <w:b/>
          <w:bCs/>
          <w:lang w:val="en-US"/>
        </w:rPr>
      </w:pPr>
    </w:p>
    <w:p w14:paraId="1344684A" w14:textId="485E7957" w:rsidR="003471D7" w:rsidRPr="000115F8" w:rsidRDefault="00AE167D" w:rsidP="00874285">
      <w:pPr>
        <w:numPr>
          <w:ilvl w:val="1"/>
          <w:numId w:val="2"/>
        </w:numPr>
        <w:spacing w:before="24" w:after="24" w:line="360" w:lineRule="auto"/>
        <w:ind w:left="709"/>
        <w:rPr>
          <w:rFonts w:ascii="Verdana" w:hAnsi="Verdana" w:cs="Arial"/>
          <w:b/>
          <w:bCs/>
        </w:rPr>
      </w:pPr>
      <w:r>
        <w:rPr>
          <w:rFonts w:ascii="Verdana" w:hAnsi="Verdana" w:cs="Arial"/>
          <w:b/>
          <w:bCs/>
          <w:lang w:val="en-US"/>
        </w:rPr>
        <w:t xml:space="preserve">The NIHRC recommends that the Department </w:t>
      </w:r>
      <w:r w:rsidR="00CF5B1F">
        <w:rPr>
          <w:rFonts w:ascii="Verdana" w:hAnsi="Verdana" w:cs="Arial"/>
          <w:b/>
          <w:bCs/>
          <w:lang w:val="en-US"/>
        </w:rPr>
        <w:t xml:space="preserve">of </w:t>
      </w:r>
      <w:r>
        <w:rPr>
          <w:rFonts w:ascii="Verdana" w:hAnsi="Verdana" w:cs="Arial"/>
          <w:b/>
          <w:bCs/>
          <w:lang w:val="en-US"/>
        </w:rPr>
        <w:t xml:space="preserve">Education </w:t>
      </w:r>
      <w:r w:rsidR="00242C36">
        <w:rPr>
          <w:rFonts w:ascii="Verdana" w:hAnsi="Verdana" w:cs="Arial"/>
          <w:b/>
          <w:bCs/>
          <w:lang w:val="en-US"/>
        </w:rPr>
        <w:t xml:space="preserve">develops measures to mitigate against the </w:t>
      </w:r>
      <w:r w:rsidR="00431D94">
        <w:rPr>
          <w:rFonts w:ascii="Verdana" w:hAnsi="Verdana" w:cs="Arial"/>
          <w:b/>
          <w:bCs/>
          <w:lang w:val="en-US"/>
        </w:rPr>
        <w:t xml:space="preserve">adverse impact of children and young people being withdrawn from RSE lessons. </w:t>
      </w:r>
      <w:r w:rsidR="00FA702E">
        <w:rPr>
          <w:rFonts w:ascii="Verdana" w:hAnsi="Verdana" w:cs="Arial"/>
          <w:b/>
          <w:bCs/>
          <w:lang w:val="en-US"/>
        </w:rPr>
        <w:t>For example</w:t>
      </w:r>
      <w:r w:rsidR="00BF2CFB">
        <w:rPr>
          <w:rFonts w:ascii="Verdana" w:hAnsi="Verdana" w:cs="Arial"/>
          <w:b/>
          <w:bCs/>
          <w:lang w:val="en-US"/>
        </w:rPr>
        <w:t>,</w:t>
      </w:r>
      <w:r w:rsidR="00FA702E">
        <w:rPr>
          <w:rFonts w:ascii="Verdana" w:hAnsi="Verdana" w:cs="Arial"/>
          <w:b/>
          <w:bCs/>
          <w:lang w:val="en-US"/>
        </w:rPr>
        <w:t xml:space="preserve"> requiring schools to </w:t>
      </w:r>
      <w:r w:rsidR="00117A2D">
        <w:rPr>
          <w:rFonts w:ascii="Verdana" w:hAnsi="Verdana" w:cs="Arial"/>
          <w:b/>
          <w:bCs/>
          <w:lang w:val="en-US"/>
        </w:rPr>
        <w:t>advise parents of the right of children</w:t>
      </w:r>
      <w:r w:rsidR="000806ED">
        <w:rPr>
          <w:rFonts w:ascii="Verdana" w:hAnsi="Verdana" w:cs="Arial"/>
          <w:b/>
          <w:bCs/>
          <w:lang w:val="en-US"/>
        </w:rPr>
        <w:t xml:space="preserve"> and young</w:t>
      </w:r>
      <w:r w:rsidR="00117A2D">
        <w:rPr>
          <w:rFonts w:ascii="Verdana" w:hAnsi="Verdana" w:cs="Arial"/>
          <w:b/>
          <w:bCs/>
          <w:lang w:val="en-US"/>
        </w:rPr>
        <w:t xml:space="preserve"> </w:t>
      </w:r>
      <w:r w:rsidR="00D73EDF">
        <w:rPr>
          <w:rFonts w:ascii="Verdana" w:hAnsi="Verdana" w:cs="Arial"/>
          <w:b/>
          <w:bCs/>
          <w:lang w:val="en-US"/>
        </w:rPr>
        <w:t xml:space="preserve">people </w:t>
      </w:r>
      <w:r w:rsidR="00117A2D">
        <w:rPr>
          <w:rFonts w:ascii="Verdana" w:hAnsi="Verdana" w:cs="Arial"/>
          <w:b/>
          <w:bCs/>
          <w:lang w:val="en-US"/>
        </w:rPr>
        <w:t>to education and participation</w:t>
      </w:r>
      <w:r w:rsidR="001E1A3F">
        <w:rPr>
          <w:rFonts w:ascii="Verdana" w:hAnsi="Verdana" w:cs="Arial"/>
          <w:b/>
          <w:bCs/>
          <w:lang w:val="en-US"/>
        </w:rPr>
        <w:t>;</w:t>
      </w:r>
      <w:r w:rsidR="009B470C">
        <w:rPr>
          <w:rFonts w:ascii="Verdana" w:hAnsi="Verdana" w:cs="Arial"/>
          <w:b/>
          <w:bCs/>
          <w:lang w:val="en-US"/>
        </w:rPr>
        <w:t xml:space="preserve"> </w:t>
      </w:r>
      <w:r w:rsidR="00157F35">
        <w:rPr>
          <w:rFonts w:ascii="Verdana" w:hAnsi="Verdana" w:cs="Arial"/>
          <w:b/>
          <w:bCs/>
          <w:lang w:val="en-US"/>
        </w:rPr>
        <w:t>developing guidance on when children</w:t>
      </w:r>
      <w:r w:rsidR="000806ED">
        <w:rPr>
          <w:rFonts w:ascii="Verdana" w:hAnsi="Verdana" w:cs="Arial"/>
          <w:b/>
          <w:bCs/>
          <w:lang w:val="en-US"/>
        </w:rPr>
        <w:t xml:space="preserve"> and young people</w:t>
      </w:r>
      <w:r w:rsidR="00157F35">
        <w:rPr>
          <w:rFonts w:ascii="Verdana" w:hAnsi="Verdana" w:cs="Arial"/>
          <w:b/>
          <w:bCs/>
          <w:lang w:val="en-US"/>
        </w:rPr>
        <w:t xml:space="preserve"> may decide to opt back in to RSE </w:t>
      </w:r>
      <w:r w:rsidR="00082253">
        <w:rPr>
          <w:rFonts w:ascii="Verdana" w:hAnsi="Verdana" w:cs="Arial"/>
          <w:b/>
          <w:bCs/>
          <w:lang w:val="en-US"/>
        </w:rPr>
        <w:t>lesson</w:t>
      </w:r>
      <w:r w:rsidR="00157F35">
        <w:rPr>
          <w:rFonts w:ascii="Verdana" w:hAnsi="Verdana" w:cs="Arial"/>
          <w:b/>
          <w:bCs/>
          <w:lang w:val="en-US"/>
        </w:rPr>
        <w:t>s</w:t>
      </w:r>
      <w:r w:rsidR="001B0B7D">
        <w:rPr>
          <w:rFonts w:ascii="Verdana" w:hAnsi="Verdana" w:cs="Arial"/>
          <w:b/>
          <w:bCs/>
          <w:lang w:val="en-US"/>
        </w:rPr>
        <w:t>;</w:t>
      </w:r>
      <w:r w:rsidR="009C2469">
        <w:rPr>
          <w:rFonts w:ascii="Verdana" w:hAnsi="Verdana" w:cs="Arial"/>
          <w:b/>
          <w:bCs/>
          <w:lang w:val="en-US"/>
        </w:rPr>
        <w:t xml:space="preserve"> and</w:t>
      </w:r>
      <w:r w:rsidR="009B470C">
        <w:rPr>
          <w:rFonts w:ascii="Verdana" w:hAnsi="Verdana" w:cs="Arial"/>
          <w:b/>
          <w:bCs/>
          <w:lang w:val="en-US"/>
        </w:rPr>
        <w:t xml:space="preserve"> </w:t>
      </w:r>
      <w:r w:rsidR="00164281">
        <w:rPr>
          <w:rFonts w:ascii="Verdana" w:hAnsi="Verdana" w:cs="Arial"/>
          <w:b/>
          <w:bCs/>
          <w:lang w:val="en-US"/>
        </w:rPr>
        <w:t xml:space="preserve">providing alternative educational arrangements for children and young people who have been withdrawn from RSE. </w:t>
      </w:r>
    </w:p>
    <w:bookmarkEnd w:id="7"/>
    <w:p w14:paraId="4261A65D" w14:textId="77777777" w:rsidR="003471D7" w:rsidRDefault="003471D7" w:rsidP="003471D7">
      <w:pPr>
        <w:pStyle w:val="ListParagraph"/>
        <w:rPr>
          <w:rFonts w:ascii="Verdana" w:hAnsi="Verdana" w:cs="Arial"/>
          <w:b/>
          <w:bCs/>
          <w:lang w:val="en-US"/>
        </w:rPr>
      </w:pPr>
    </w:p>
    <w:p w14:paraId="77A99C1B" w14:textId="13D93ACF" w:rsidR="002715AE" w:rsidRDefault="002715AE" w:rsidP="005E38DF">
      <w:pPr>
        <w:spacing w:before="24" w:after="24" w:line="360" w:lineRule="auto"/>
        <w:contextualSpacing/>
        <w:rPr>
          <w:rFonts w:ascii="Verdana" w:eastAsia="Times New Roman" w:hAnsi="Verdana" w:cs="Arial"/>
          <w:bCs/>
          <w:iCs/>
          <w:color w:val="161616"/>
          <w:lang w:eastAsia="en-GB"/>
        </w:rPr>
      </w:pPr>
    </w:p>
    <w:p w14:paraId="5D5EBC65" w14:textId="19EE2435" w:rsidR="002715AE" w:rsidRDefault="00A93B5E" w:rsidP="00806BCC">
      <w:pPr>
        <w:pStyle w:val="Heading1"/>
        <w:numPr>
          <w:ilvl w:val="0"/>
          <w:numId w:val="13"/>
        </w:numPr>
        <w:spacing w:before="24" w:after="24" w:line="360" w:lineRule="auto"/>
      </w:pPr>
      <w:bookmarkStart w:id="8" w:name="_Toc151712155"/>
      <w:r w:rsidRPr="00A93B5E">
        <w:t>Guidance on Comprehensive RSE</w:t>
      </w:r>
      <w:bookmarkEnd w:id="8"/>
    </w:p>
    <w:p w14:paraId="0D157283" w14:textId="77777777" w:rsidR="00806BCC" w:rsidRPr="00806BCC" w:rsidRDefault="00806BCC" w:rsidP="00806BCC"/>
    <w:p w14:paraId="1C1A6A0E" w14:textId="77777777" w:rsidR="004D2BFF" w:rsidRPr="004D2BFF" w:rsidRDefault="004D2BFF" w:rsidP="004D2BFF">
      <w:pPr>
        <w:pStyle w:val="ListParagraph"/>
        <w:numPr>
          <w:ilvl w:val="0"/>
          <w:numId w:val="2"/>
        </w:numPr>
        <w:spacing w:before="24" w:after="24" w:line="360" w:lineRule="auto"/>
        <w:rPr>
          <w:rFonts w:ascii="Verdana" w:eastAsia="Times New Roman" w:hAnsi="Verdana" w:cs="Arial"/>
          <w:bCs/>
          <w:vanish/>
          <w:color w:val="161616"/>
          <w:lang w:eastAsia="en-GB"/>
        </w:rPr>
      </w:pPr>
    </w:p>
    <w:p w14:paraId="4FFAA9AD" w14:textId="72B49EAD" w:rsidR="002715AE" w:rsidRDefault="002715AE" w:rsidP="00874285">
      <w:pPr>
        <w:numPr>
          <w:ilvl w:val="1"/>
          <w:numId w:val="2"/>
        </w:numPr>
        <w:spacing w:before="24" w:after="24" w:line="360" w:lineRule="auto"/>
        <w:ind w:left="709"/>
        <w:contextualSpacing/>
        <w:rPr>
          <w:rFonts w:ascii="Verdana" w:eastAsia="Times New Roman" w:hAnsi="Verdana" w:cs="Arial"/>
          <w:bCs/>
          <w:color w:val="161616"/>
          <w:lang w:eastAsia="en-GB"/>
        </w:rPr>
      </w:pPr>
      <w:r w:rsidRPr="002715AE">
        <w:rPr>
          <w:rFonts w:ascii="Verdana" w:eastAsia="Times New Roman" w:hAnsi="Verdana" w:cs="Arial"/>
          <w:bCs/>
          <w:color w:val="161616"/>
          <w:lang w:eastAsia="en-GB"/>
        </w:rPr>
        <w:t xml:space="preserve">As well as providing information on reproductive health, comprehensive RSE has a role in ensuring effective safeguarding </w:t>
      </w:r>
      <w:r w:rsidR="006A408D">
        <w:rPr>
          <w:rFonts w:ascii="Verdana" w:eastAsia="Times New Roman" w:hAnsi="Verdana" w:cs="Arial"/>
          <w:bCs/>
          <w:color w:val="161616"/>
          <w:lang w:eastAsia="en-GB"/>
        </w:rPr>
        <w:t>by</w:t>
      </w:r>
      <w:r w:rsidR="006A408D" w:rsidRPr="002715AE">
        <w:rPr>
          <w:rFonts w:ascii="Verdana" w:eastAsia="Times New Roman" w:hAnsi="Verdana" w:cs="Arial"/>
          <w:bCs/>
          <w:color w:val="161616"/>
          <w:lang w:eastAsia="en-GB"/>
        </w:rPr>
        <w:t xml:space="preserve"> </w:t>
      </w:r>
      <w:r w:rsidRPr="002715AE">
        <w:rPr>
          <w:rFonts w:ascii="Verdana" w:eastAsia="Times New Roman" w:hAnsi="Verdana" w:cs="Arial"/>
          <w:bCs/>
          <w:color w:val="161616"/>
          <w:lang w:eastAsia="en-GB"/>
        </w:rPr>
        <w:t>raising awareness of the risks of sexual violence and abuse and promoting an understanding of the importance of consent within sexual relationships.</w:t>
      </w:r>
      <w:r w:rsidRPr="002715AE">
        <w:rPr>
          <w:rFonts w:ascii="Verdana" w:eastAsia="Times New Roman" w:hAnsi="Verdana" w:cs="Arial"/>
          <w:bCs/>
          <w:color w:val="161616"/>
          <w:vertAlign w:val="superscript"/>
          <w:lang w:eastAsia="en-GB"/>
        </w:rPr>
        <w:footnoteReference w:id="33"/>
      </w:r>
      <w:r w:rsidRPr="002715AE">
        <w:rPr>
          <w:rFonts w:ascii="Verdana" w:eastAsia="Times New Roman" w:hAnsi="Verdana" w:cs="Arial"/>
          <w:bCs/>
          <w:color w:val="161616"/>
          <w:lang w:eastAsia="en-GB"/>
        </w:rPr>
        <w:t xml:space="preserve"> It has a further </w:t>
      </w:r>
      <w:r w:rsidRPr="002715AE">
        <w:rPr>
          <w:rFonts w:ascii="Verdana" w:eastAsia="Times New Roman" w:hAnsi="Verdana" w:cs="Arial"/>
          <w:bCs/>
          <w:color w:val="161616"/>
          <w:lang w:eastAsia="en-GB"/>
        </w:rPr>
        <w:lastRenderedPageBreak/>
        <w:t xml:space="preserve">role in </w:t>
      </w:r>
      <w:r w:rsidR="00790FB5">
        <w:rPr>
          <w:rFonts w:ascii="Verdana" w:eastAsia="Times New Roman" w:hAnsi="Verdana" w:cs="Arial"/>
          <w:bCs/>
          <w:color w:val="161616"/>
          <w:lang w:eastAsia="en-GB"/>
        </w:rPr>
        <w:t xml:space="preserve">the </w:t>
      </w:r>
      <w:r w:rsidRPr="002715AE">
        <w:rPr>
          <w:rFonts w:ascii="Verdana" w:eastAsia="Times New Roman" w:hAnsi="Verdana" w:cs="Arial"/>
          <w:bCs/>
          <w:color w:val="161616"/>
          <w:lang w:eastAsia="en-GB"/>
        </w:rPr>
        <w:t xml:space="preserve">prevention of harmful practices such as child early and forced marriage and </w:t>
      </w:r>
      <w:r w:rsidR="004A30AF">
        <w:rPr>
          <w:rFonts w:ascii="Verdana" w:eastAsia="Times New Roman" w:hAnsi="Verdana" w:cs="Arial"/>
          <w:bCs/>
          <w:color w:val="161616"/>
          <w:lang w:eastAsia="en-GB"/>
        </w:rPr>
        <w:t>female genital mutilation</w:t>
      </w:r>
      <w:r w:rsidRPr="002715AE">
        <w:rPr>
          <w:rFonts w:ascii="Verdana" w:eastAsia="Times New Roman" w:hAnsi="Verdana" w:cs="Arial"/>
          <w:bCs/>
          <w:color w:val="161616"/>
          <w:lang w:eastAsia="en-GB"/>
        </w:rPr>
        <w:t>.</w:t>
      </w:r>
      <w:r w:rsidRPr="002715AE">
        <w:rPr>
          <w:rFonts w:ascii="Verdana" w:eastAsia="Times New Roman" w:hAnsi="Verdana" w:cs="Arial"/>
          <w:bCs/>
          <w:color w:val="161616"/>
          <w:vertAlign w:val="superscript"/>
          <w:lang w:eastAsia="en-GB"/>
        </w:rPr>
        <w:footnoteReference w:id="34"/>
      </w:r>
      <w:r w:rsidRPr="002715AE">
        <w:rPr>
          <w:rFonts w:ascii="Verdana" w:eastAsia="Times New Roman" w:hAnsi="Verdana" w:cs="Arial"/>
          <w:bCs/>
          <w:color w:val="161616"/>
          <w:lang w:eastAsia="en-GB"/>
        </w:rPr>
        <w:t xml:space="preserve"> </w:t>
      </w:r>
    </w:p>
    <w:p w14:paraId="7B1C2ED7" w14:textId="77777777" w:rsidR="005E38DF" w:rsidRDefault="005E38DF" w:rsidP="005E38DF">
      <w:pPr>
        <w:pStyle w:val="ListParagraph"/>
        <w:rPr>
          <w:rFonts w:ascii="Verdana" w:eastAsia="Times New Roman" w:hAnsi="Verdana" w:cs="Arial"/>
          <w:bCs/>
          <w:color w:val="161616"/>
          <w:lang w:eastAsia="en-GB"/>
        </w:rPr>
      </w:pPr>
    </w:p>
    <w:p w14:paraId="6DCA0B30" w14:textId="19A96D77" w:rsidR="005E38DF" w:rsidRPr="005E38DF" w:rsidRDefault="005E38DF" w:rsidP="00874285">
      <w:pPr>
        <w:numPr>
          <w:ilvl w:val="1"/>
          <w:numId w:val="2"/>
        </w:numPr>
        <w:spacing w:before="24" w:after="24" w:line="360" w:lineRule="auto"/>
        <w:ind w:left="709"/>
        <w:contextualSpacing/>
        <w:rPr>
          <w:rFonts w:ascii="Verdana" w:eastAsia="Times New Roman" w:hAnsi="Verdana" w:cs="Arial"/>
          <w:bCs/>
          <w:color w:val="161616"/>
          <w:lang w:eastAsia="en-GB"/>
        </w:rPr>
      </w:pPr>
      <w:r>
        <w:rPr>
          <w:rFonts w:ascii="Verdana" w:eastAsia="Times New Roman" w:hAnsi="Verdana" w:cs="Arial"/>
          <w:bCs/>
          <w:color w:val="161616"/>
          <w:lang w:eastAsia="en-GB"/>
        </w:rPr>
        <w:t xml:space="preserve">The UNESCO </w:t>
      </w:r>
      <w:r w:rsidRPr="004B2E5F">
        <w:rPr>
          <w:rFonts w:ascii="Verdana" w:eastAsia="Times New Roman" w:hAnsi="Verdana" w:cs="Arial"/>
          <w:bCs/>
          <w:color w:val="161616"/>
          <w:lang w:eastAsia="en-GB"/>
        </w:rPr>
        <w:t>International Guidelines on Sexuality Education</w:t>
      </w:r>
      <w:r w:rsidRPr="001045DF">
        <w:rPr>
          <w:rFonts w:ascii="Verdana" w:eastAsiaTheme="minorHAnsi" w:hAnsi="Verdana"/>
        </w:rPr>
        <w:t xml:space="preserve"> </w:t>
      </w:r>
      <w:r w:rsidRPr="001045DF">
        <w:rPr>
          <w:rFonts w:ascii="Verdana" w:eastAsia="Times New Roman" w:hAnsi="Verdana" w:cs="Arial"/>
          <w:bCs/>
          <w:color w:val="161616"/>
          <w:lang w:eastAsia="en-GB"/>
        </w:rPr>
        <w:t>finds that education programmes will be less effective if they omit key issues. For example, it states that “failure to discuss menstruation can contribute to the persistence of negative social and cultural attitudes towards it”.</w:t>
      </w:r>
      <w:r w:rsidRPr="001045DF">
        <w:rPr>
          <w:rFonts w:ascii="Verdana" w:eastAsia="Times New Roman" w:hAnsi="Verdana" w:cs="Arial"/>
          <w:bCs/>
          <w:color w:val="161616"/>
          <w:vertAlign w:val="superscript"/>
          <w:lang w:eastAsia="en-GB"/>
        </w:rPr>
        <w:footnoteReference w:id="35"/>
      </w:r>
      <w:r w:rsidRPr="001045DF">
        <w:rPr>
          <w:rFonts w:ascii="Verdana" w:eastAsia="Times New Roman" w:hAnsi="Verdana" w:cs="Arial"/>
          <w:bCs/>
          <w:color w:val="161616"/>
          <w:lang w:eastAsia="en-GB"/>
        </w:rPr>
        <w:t xml:space="preserve"> </w:t>
      </w:r>
    </w:p>
    <w:p w14:paraId="4FFEB383" w14:textId="77777777" w:rsidR="00530717" w:rsidRDefault="00530717" w:rsidP="00530717">
      <w:pPr>
        <w:pStyle w:val="ListParagraph"/>
        <w:rPr>
          <w:rFonts w:ascii="Verdana" w:eastAsia="Times New Roman" w:hAnsi="Verdana" w:cs="Arial"/>
          <w:bCs/>
          <w:color w:val="161616"/>
          <w:lang w:eastAsia="en-GB"/>
        </w:rPr>
      </w:pPr>
    </w:p>
    <w:p w14:paraId="5B507260" w14:textId="70FE60B4" w:rsidR="002715AE" w:rsidRDefault="00087933" w:rsidP="00874285">
      <w:pPr>
        <w:numPr>
          <w:ilvl w:val="1"/>
          <w:numId w:val="2"/>
        </w:numPr>
        <w:spacing w:before="24" w:after="24" w:line="360" w:lineRule="auto"/>
        <w:ind w:left="709"/>
        <w:contextualSpacing/>
        <w:rPr>
          <w:rFonts w:ascii="Verdana" w:eastAsia="Times New Roman" w:hAnsi="Verdana" w:cs="Arial"/>
          <w:bCs/>
          <w:iCs/>
          <w:color w:val="161616"/>
          <w:lang w:eastAsia="en-GB"/>
        </w:rPr>
      </w:pPr>
      <w:r>
        <w:rPr>
          <w:rFonts w:ascii="Verdana" w:eastAsia="Times New Roman" w:hAnsi="Verdana" w:cs="Arial"/>
          <w:bCs/>
          <w:iCs/>
          <w:color w:val="161616"/>
          <w:lang w:eastAsia="en-GB"/>
        </w:rPr>
        <w:t>Human rights treaty bodies have further found that h</w:t>
      </w:r>
      <w:r w:rsidR="00530717" w:rsidRPr="002715AE">
        <w:rPr>
          <w:rFonts w:ascii="Verdana" w:eastAsia="Times New Roman" w:hAnsi="Verdana" w:cs="Arial"/>
          <w:bCs/>
          <w:iCs/>
          <w:color w:val="161616"/>
          <w:lang w:eastAsia="en-GB"/>
        </w:rPr>
        <w:t>olistic RSE goes beyond education about risks and provides an opportunity to present relationships and sexuality in a way that also includes its positive aspects, such as friendship and relationships based on mutual respect and gender equality</w:t>
      </w:r>
      <w:r w:rsidR="00195B7B">
        <w:rPr>
          <w:rFonts w:ascii="Verdana" w:eastAsia="Times New Roman" w:hAnsi="Verdana" w:cs="Arial"/>
          <w:bCs/>
          <w:iCs/>
          <w:color w:val="161616"/>
          <w:lang w:eastAsia="en-GB"/>
        </w:rPr>
        <w:t>.</w:t>
      </w:r>
      <w:r w:rsidR="00530717" w:rsidRPr="002715AE">
        <w:rPr>
          <w:rFonts w:ascii="Verdana" w:eastAsia="Times New Roman" w:hAnsi="Verdana" w:cs="Arial"/>
          <w:bCs/>
          <w:iCs/>
          <w:color w:val="161616"/>
          <w:vertAlign w:val="superscript"/>
          <w:lang w:eastAsia="en-GB"/>
        </w:rPr>
        <w:footnoteReference w:id="36"/>
      </w:r>
      <w:r w:rsidR="00530717" w:rsidRPr="002715AE">
        <w:rPr>
          <w:rFonts w:ascii="Verdana" w:eastAsia="Times New Roman" w:hAnsi="Verdana" w:cs="Arial"/>
          <w:bCs/>
          <w:iCs/>
          <w:color w:val="161616"/>
          <w:lang w:eastAsia="en-GB"/>
        </w:rPr>
        <w:t xml:space="preserve"> </w:t>
      </w:r>
      <w:r w:rsidR="00195B7B">
        <w:rPr>
          <w:rFonts w:ascii="Verdana" w:eastAsia="Times New Roman" w:hAnsi="Verdana" w:cs="Arial"/>
          <w:bCs/>
          <w:iCs/>
          <w:color w:val="161616"/>
          <w:lang w:eastAsia="en-GB"/>
        </w:rPr>
        <w:t xml:space="preserve">It </w:t>
      </w:r>
      <w:r w:rsidR="00530717" w:rsidRPr="002715AE">
        <w:rPr>
          <w:rFonts w:ascii="Verdana" w:eastAsia="Times New Roman" w:hAnsi="Verdana" w:cs="Arial"/>
          <w:bCs/>
          <w:iCs/>
          <w:color w:val="161616"/>
          <w:lang w:eastAsia="en-GB"/>
        </w:rPr>
        <w:t>should be inclusive of the needs of marginalised groups including, but not limited to, deaf and disabled persons,</w:t>
      </w:r>
      <w:r w:rsidR="00530717" w:rsidRPr="002715AE">
        <w:rPr>
          <w:rFonts w:ascii="Verdana" w:eastAsia="Times New Roman" w:hAnsi="Verdana" w:cs="Arial"/>
          <w:bCs/>
          <w:iCs/>
          <w:color w:val="161616"/>
          <w:vertAlign w:val="superscript"/>
          <w:lang w:eastAsia="en-GB"/>
        </w:rPr>
        <w:footnoteReference w:id="37"/>
      </w:r>
      <w:r w:rsidR="00530717" w:rsidRPr="002715AE">
        <w:rPr>
          <w:rFonts w:ascii="Verdana" w:eastAsia="Times New Roman" w:hAnsi="Verdana" w:cs="Arial"/>
          <w:bCs/>
          <w:iCs/>
          <w:color w:val="161616"/>
          <w:lang w:eastAsia="en-GB"/>
        </w:rPr>
        <w:t xml:space="preserve"> LGBTQIA+ persons,</w:t>
      </w:r>
      <w:r w:rsidR="00530717" w:rsidRPr="002715AE">
        <w:rPr>
          <w:rFonts w:ascii="Verdana" w:eastAsia="Times New Roman" w:hAnsi="Verdana" w:cs="Arial"/>
          <w:bCs/>
          <w:iCs/>
          <w:color w:val="161616"/>
          <w:vertAlign w:val="superscript"/>
          <w:lang w:eastAsia="en-GB"/>
        </w:rPr>
        <w:footnoteReference w:id="38"/>
      </w:r>
      <w:r w:rsidR="00530717" w:rsidRPr="002715AE">
        <w:rPr>
          <w:rFonts w:ascii="Verdana" w:eastAsia="Times New Roman" w:hAnsi="Verdana" w:cs="Arial"/>
          <w:bCs/>
          <w:iCs/>
          <w:color w:val="161616"/>
          <w:lang w:eastAsia="en-GB"/>
        </w:rPr>
        <w:t xml:space="preserve"> and persons of national or ethnic minority background.</w:t>
      </w:r>
      <w:r w:rsidR="00530717" w:rsidRPr="002715AE">
        <w:rPr>
          <w:rFonts w:ascii="Verdana" w:eastAsia="Times New Roman" w:hAnsi="Verdana" w:cs="Arial"/>
          <w:bCs/>
          <w:iCs/>
          <w:color w:val="161616"/>
          <w:vertAlign w:val="superscript"/>
          <w:lang w:eastAsia="en-GB"/>
        </w:rPr>
        <w:footnoteReference w:id="39"/>
      </w:r>
      <w:r w:rsidR="00530717" w:rsidRPr="002715AE">
        <w:rPr>
          <w:rFonts w:ascii="Verdana" w:eastAsia="Times New Roman" w:hAnsi="Verdana" w:cs="Arial"/>
          <w:bCs/>
          <w:iCs/>
          <w:color w:val="161616"/>
          <w:lang w:eastAsia="en-GB"/>
        </w:rPr>
        <w:t xml:space="preserve"> </w:t>
      </w:r>
    </w:p>
    <w:p w14:paraId="2C317441" w14:textId="77777777" w:rsidR="009B00BC" w:rsidRDefault="009B00BC" w:rsidP="00EB474B">
      <w:pPr>
        <w:spacing w:before="24" w:after="24" w:line="360" w:lineRule="auto"/>
        <w:contextualSpacing/>
        <w:rPr>
          <w:rFonts w:ascii="Verdana" w:eastAsia="Times New Roman" w:hAnsi="Verdana" w:cs="Arial"/>
          <w:bCs/>
          <w:color w:val="161616"/>
          <w:lang w:eastAsia="en-GB"/>
        </w:rPr>
      </w:pPr>
    </w:p>
    <w:p w14:paraId="5E1E220F" w14:textId="2376F687" w:rsidR="00EF7EE5" w:rsidRPr="00874285" w:rsidRDefault="008722AE" w:rsidP="00874285">
      <w:pPr>
        <w:numPr>
          <w:ilvl w:val="1"/>
          <w:numId w:val="2"/>
        </w:numPr>
        <w:spacing w:before="24" w:after="24" w:line="360" w:lineRule="auto"/>
        <w:ind w:left="709"/>
        <w:contextualSpacing/>
        <w:rPr>
          <w:rFonts w:ascii="Verdana" w:eastAsia="Times New Roman" w:hAnsi="Verdana" w:cs="Arial"/>
          <w:bCs/>
          <w:lang w:eastAsia="en-GB"/>
        </w:rPr>
      </w:pPr>
      <w:r w:rsidRPr="00874285">
        <w:rPr>
          <w:rFonts w:ascii="Verdana" w:eastAsia="Times New Roman" w:hAnsi="Verdana" w:cs="Arial"/>
          <w:bCs/>
          <w:lang w:eastAsia="en-GB"/>
        </w:rPr>
        <w:t xml:space="preserve">To satisfy </w:t>
      </w:r>
      <w:r w:rsidR="00805B3B" w:rsidRPr="00874285">
        <w:rPr>
          <w:rFonts w:ascii="Verdana" w:eastAsia="Times New Roman" w:hAnsi="Verdana" w:cs="Arial"/>
          <w:bCs/>
          <w:lang w:eastAsia="en-GB"/>
        </w:rPr>
        <w:t xml:space="preserve">its duty </w:t>
      </w:r>
      <w:r w:rsidR="00805B3B" w:rsidRPr="00874285">
        <w:rPr>
          <w:rFonts w:ascii="Verdana" w:hAnsi="Verdana" w:cs="Arial"/>
        </w:rPr>
        <w:t>to issue</w:t>
      </w:r>
      <w:r w:rsidR="00805B3B" w:rsidRPr="00874285">
        <w:rPr>
          <w:rFonts w:ascii="Verdana" w:hAnsi="Verdana" w:cs="Arial"/>
          <w:shd w:val="clear" w:color="auto" w:fill="FFFFFF"/>
        </w:rPr>
        <w:t xml:space="preserve"> ‘guidance on the content and delivery of the education required to be provided by virtue of Article 5(1A)’</w:t>
      </w:r>
      <w:r w:rsidRPr="00874285">
        <w:rPr>
          <w:rFonts w:ascii="Verdana" w:eastAsia="Times New Roman" w:hAnsi="Verdana" w:cs="Arial"/>
          <w:bCs/>
          <w:lang w:eastAsia="en-GB"/>
        </w:rPr>
        <w:t>,</w:t>
      </w:r>
      <w:r w:rsidR="00725B16" w:rsidRPr="00874285">
        <w:rPr>
          <w:rFonts w:ascii="Verdana" w:eastAsia="Times New Roman" w:hAnsi="Verdana" w:cs="Arial"/>
          <w:bCs/>
          <w:lang w:eastAsia="en-GB"/>
        </w:rPr>
        <w:t xml:space="preserve"> the Department </w:t>
      </w:r>
      <w:r w:rsidR="007313AC" w:rsidRPr="00874285">
        <w:rPr>
          <w:rFonts w:ascii="Verdana" w:eastAsia="Times New Roman" w:hAnsi="Verdana" w:cs="Arial"/>
          <w:bCs/>
          <w:lang w:eastAsia="en-GB"/>
        </w:rPr>
        <w:t>of</w:t>
      </w:r>
      <w:r w:rsidR="00725B16" w:rsidRPr="00874285">
        <w:rPr>
          <w:rFonts w:ascii="Verdana" w:eastAsia="Times New Roman" w:hAnsi="Verdana" w:cs="Arial"/>
          <w:bCs/>
          <w:lang w:eastAsia="en-GB"/>
        </w:rPr>
        <w:t xml:space="preserve"> Education</w:t>
      </w:r>
      <w:r w:rsidR="00BA7E46" w:rsidRPr="00874285">
        <w:rPr>
          <w:rFonts w:ascii="Verdana" w:eastAsia="Times New Roman" w:hAnsi="Verdana" w:cs="Arial"/>
          <w:bCs/>
          <w:lang w:eastAsia="en-GB"/>
        </w:rPr>
        <w:t xml:space="preserve"> </w:t>
      </w:r>
      <w:r w:rsidR="00725B16" w:rsidRPr="00874285">
        <w:rPr>
          <w:rFonts w:ascii="Verdana" w:eastAsia="Times New Roman" w:hAnsi="Verdana" w:cs="Arial"/>
          <w:bCs/>
          <w:lang w:eastAsia="en-GB"/>
        </w:rPr>
        <w:t xml:space="preserve">should clearly </w:t>
      </w:r>
      <w:r w:rsidR="009217D2" w:rsidRPr="00874285">
        <w:rPr>
          <w:rFonts w:ascii="Verdana" w:eastAsia="Times New Roman" w:hAnsi="Verdana" w:cs="Arial"/>
          <w:bCs/>
          <w:lang w:eastAsia="en-GB"/>
        </w:rPr>
        <w:t>define the elements that must be included</w:t>
      </w:r>
      <w:r w:rsidR="00805B3B" w:rsidRPr="00874285">
        <w:rPr>
          <w:rFonts w:ascii="Verdana" w:eastAsia="Times New Roman" w:hAnsi="Verdana" w:cs="Arial"/>
          <w:bCs/>
          <w:lang w:eastAsia="en-GB"/>
        </w:rPr>
        <w:t xml:space="preserve"> within the </w:t>
      </w:r>
      <w:r w:rsidR="00805B3B" w:rsidRPr="00874285">
        <w:rPr>
          <w:rFonts w:ascii="Verdana" w:hAnsi="Verdana" w:cs="Arial"/>
          <w:lang w:val="en-US"/>
        </w:rPr>
        <w:t>curriculum for every grant-aided school.</w:t>
      </w:r>
      <w:r w:rsidR="00B00F40" w:rsidRPr="00874285">
        <w:rPr>
          <w:rFonts w:ascii="Verdana" w:eastAsia="Times New Roman" w:hAnsi="Verdana" w:cs="Arial"/>
          <w:bCs/>
          <w:lang w:eastAsia="en-GB"/>
        </w:rPr>
        <w:t xml:space="preserve"> </w:t>
      </w:r>
      <w:r w:rsidR="00805B3B" w:rsidRPr="00874285">
        <w:rPr>
          <w:rFonts w:ascii="Verdana" w:eastAsia="Times New Roman" w:hAnsi="Verdana" w:cs="Arial"/>
          <w:bCs/>
          <w:lang w:eastAsia="en-GB"/>
        </w:rPr>
        <w:t xml:space="preserve">In doing so the Department should </w:t>
      </w:r>
      <w:r w:rsidR="006A408D">
        <w:rPr>
          <w:rFonts w:ascii="Verdana" w:eastAsia="Times New Roman" w:hAnsi="Verdana" w:cs="Arial"/>
          <w:bCs/>
          <w:lang w:eastAsia="en-GB"/>
        </w:rPr>
        <w:t>have</w:t>
      </w:r>
      <w:r w:rsidR="006A408D" w:rsidRPr="00874285">
        <w:rPr>
          <w:rFonts w:ascii="Verdana" w:eastAsia="Times New Roman" w:hAnsi="Verdana" w:cs="Arial"/>
          <w:bCs/>
          <w:lang w:eastAsia="en-GB"/>
        </w:rPr>
        <w:t xml:space="preserve"> </w:t>
      </w:r>
      <w:r w:rsidR="006A408D">
        <w:rPr>
          <w:rFonts w:ascii="Verdana" w:eastAsia="Times New Roman" w:hAnsi="Verdana" w:cs="Arial"/>
          <w:bCs/>
          <w:lang w:eastAsia="en-GB"/>
        </w:rPr>
        <w:t>due</w:t>
      </w:r>
      <w:r w:rsidR="006A408D" w:rsidRPr="00874285">
        <w:rPr>
          <w:rFonts w:ascii="Verdana" w:eastAsia="Times New Roman" w:hAnsi="Verdana" w:cs="Arial"/>
          <w:bCs/>
          <w:lang w:eastAsia="en-GB"/>
        </w:rPr>
        <w:t xml:space="preserve"> </w:t>
      </w:r>
      <w:r w:rsidR="00805B3B" w:rsidRPr="00874285">
        <w:rPr>
          <w:rFonts w:ascii="Verdana" w:eastAsia="Times New Roman" w:hAnsi="Verdana" w:cs="Arial"/>
          <w:bCs/>
          <w:lang w:eastAsia="en-GB"/>
        </w:rPr>
        <w:t xml:space="preserve">regard </w:t>
      </w:r>
      <w:r w:rsidR="00EB474B">
        <w:rPr>
          <w:rFonts w:ascii="Verdana" w:eastAsia="Times New Roman" w:hAnsi="Verdana" w:cs="Arial"/>
          <w:bCs/>
          <w:lang w:eastAsia="en-GB"/>
        </w:rPr>
        <w:t>for</w:t>
      </w:r>
      <w:r w:rsidR="00805B3B" w:rsidRPr="00874285">
        <w:rPr>
          <w:rFonts w:ascii="Verdana" w:eastAsia="Times New Roman" w:hAnsi="Verdana" w:cs="Arial"/>
          <w:bCs/>
          <w:lang w:eastAsia="en-GB"/>
        </w:rPr>
        <w:t xml:space="preserve"> international human rights standards. </w:t>
      </w:r>
    </w:p>
    <w:p w14:paraId="331C2B21" w14:textId="77777777" w:rsidR="00894C88" w:rsidRDefault="00894C88" w:rsidP="005830F9">
      <w:pPr>
        <w:spacing w:before="24" w:after="24" w:line="360" w:lineRule="auto"/>
        <w:contextualSpacing/>
        <w:rPr>
          <w:rFonts w:ascii="Verdana" w:eastAsia="Times New Roman" w:hAnsi="Verdana" w:cs="Arial"/>
          <w:bCs/>
          <w:color w:val="161616"/>
          <w:lang w:eastAsia="en-GB"/>
        </w:rPr>
      </w:pPr>
    </w:p>
    <w:p w14:paraId="18EE0853" w14:textId="22E2C8FE" w:rsidR="00F16A39" w:rsidRPr="00F16A39" w:rsidRDefault="00894C88" w:rsidP="00874285">
      <w:pPr>
        <w:numPr>
          <w:ilvl w:val="1"/>
          <w:numId w:val="2"/>
        </w:numPr>
        <w:spacing w:before="24" w:after="24" w:line="360" w:lineRule="auto"/>
        <w:ind w:left="709"/>
        <w:contextualSpacing/>
        <w:rPr>
          <w:rFonts w:ascii="Verdana" w:eastAsia="Times New Roman" w:hAnsi="Verdana" w:cs="Arial"/>
          <w:bCs/>
          <w:color w:val="161616"/>
          <w:lang w:eastAsia="en-GB"/>
        </w:rPr>
      </w:pPr>
      <w:bookmarkStart w:id="11" w:name="_Hlk151109130"/>
      <w:r w:rsidRPr="00894C88">
        <w:rPr>
          <w:rFonts w:ascii="Verdana" w:eastAsia="Times New Roman" w:hAnsi="Verdana" w:cs="Arial"/>
          <w:b/>
          <w:color w:val="161616"/>
          <w:lang w:eastAsia="en-GB"/>
        </w:rPr>
        <w:t>The NIHRC recommends</w:t>
      </w:r>
      <w:r>
        <w:rPr>
          <w:rFonts w:ascii="Verdana" w:eastAsia="Times New Roman" w:hAnsi="Verdana" w:cs="Arial"/>
          <w:bCs/>
          <w:color w:val="161616"/>
          <w:lang w:eastAsia="en-GB"/>
        </w:rPr>
        <w:t xml:space="preserve"> </w:t>
      </w:r>
      <w:r w:rsidR="0012717A">
        <w:rPr>
          <w:rFonts w:ascii="Verdana" w:eastAsia="Times New Roman" w:hAnsi="Verdana" w:cs="Arial"/>
          <w:b/>
          <w:bCs/>
          <w:color w:val="161616"/>
          <w:lang w:eastAsia="en-GB"/>
        </w:rPr>
        <w:t xml:space="preserve">that the guidance being developed by the Department </w:t>
      </w:r>
      <w:r w:rsidR="00F72D1B">
        <w:rPr>
          <w:rFonts w:ascii="Verdana" w:eastAsia="Times New Roman" w:hAnsi="Verdana" w:cs="Arial"/>
          <w:b/>
          <w:bCs/>
          <w:color w:val="161616"/>
          <w:lang w:eastAsia="en-GB"/>
        </w:rPr>
        <w:t>of Education</w:t>
      </w:r>
      <w:r w:rsidR="0012717A">
        <w:rPr>
          <w:rFonts w:ascii="Verdana" w:eastAsia="Times New Roman" w:hAnsi="Verdana" w:cs="Arial"/>
          <w:b/>
          <w:bCs/>
          <w:color w:val="161616"/>
          <w:lang w:eastAsia="en-GB"/>
        </w:rPr>
        <w:t xml:space="preserve"> </w:t>
      </w:r>
      <w:r w:rsidR="00B00F40">
        <w:rPr>
          <w:rFonts w:ascii="Verdana" w:eastAsia="Times New Roman" w:hAnsi="Verdana" w:cs="Arial"/>
          <w:b/>
          <w:bCs/>
          <w:color w:val="161616"/>
          <w:lang w:eastAsia="en-GB"/>
        </w:rPr>
        <w:t>outlines</w:t>
      </w:r>
      <w:r w:rsidRPr="00894C88">
        <w:rPr>
          <w:rFonts w:ascii="Verdana" w:eastAsia="Times New Roman" w:hAnsi="Verdana" w:cs="Arial"/>
          <w:b/>
          <w:bCs/>
          <w:color w:val="161616"/>
          <w:lang w:eastAsia="en-GB"/>
        </w:rPr>
        <w:t xml:space="preserve"> the key elements </w:t>
      </w:r>
      <w:r w:rsidR="00F90330">
        <w:rPr>
          <w:rFonts w:ascii="Verdana" w:eastAsia="Times New Roman" w:hAnsi="Verdana" w:cs="Arial"/>
          <w:b/>
          <w:bCs/>
          <w:color w:val="161616"/>
          <w:lang w:eastAsia="en-GB"/>
        </w:rPr>
        <w:t xml:space="preserve">that should be included within </w:t>
      </w:r>
      <w:r w:rsidRPr="00894C88">
        <w:rPr>
          <w:rFonts w:ascii="Verdana" w:eastAsia="Times New Roman" w:hAnsi="Verdana" w:cs="Arial"/>
          <w:b/>
          <w:bCs/>
          <w:color w:val="161616"/>
          <w:lang w:eastAsia="en-GB"/>
        </w:rPr>
        <w:t xml:space="preserve">‘comprehensive’ RSE. </w:t>
      </w:r>
      <w:r w:rsidR="00275D50">
        <w:rPr>
          <w:rFonts w:ascii="Verdana" w:eastAsia="Times New Roman" w:hAnsi="Verdana" w:cs="Arial"/>
          <w:b/>
          <w:bCs/>
          <w:color w:val="161616"/>
          <w:lang w:eastAsia="en-GB"/>
        </w:rPr>
        <w:t xml:space="preserve">This should be </w:t>
      </w:r>
      <w:r w:rsidR="00275D50" w:rsidRPr="00275D50">
        <w:rPr>
          <w:rFonts w:ascii="Verdana" w:eastAsia="Times New Roman" w:hAnsi="Verdana" w:cs="Arial"/>
          <w:b/>
          <w:bCs/>
          <w:color w:val="161616"/>
          <w:lang w:eastAsia="en-GB"/>
        </w:rPr>
        <w:t xml:space="preserve">developed to </w:t>
      </w:r>
      <w:r w:rsidR="00275D50" w:rsidRPr="00275D50">
        <w:rPr>
          <w:rFonts w:ascii="Verdana" w:eastAsia="Times New Roman" w:hAnsi="Verdana" w:cs="Arial"/>
          <w:b/>
          <w:bCs/>
          <w:color w:val="161616"/>
          <w:lang w:eastAsia="en-GB"/>
        </w:rPr>
        <w:lastRenderedPageBreak/>
        <w:t>achieve the aim of ensuring that all elements of comprehensive RSE are delivered within every</w:t>
      </w:r>
      <w:r w:rsidR="00350832">
        <w:rPr>
          <w:rFonts w:ascii="Verdana" w:eastAsia="Times New Roman" w:hAnsi="Verdana" w:cs="Arial"/>
          <w:b/>
          <w:bCs/>
          <w:color w:val="161616"/>
          <w:lang w:eastAsia="en-GB"/>
        </w:rPr>
        <w:t xml:space="preserve"> post-primary</w:t>
      </w:r>
      <w:r w:rsidR="00275D50" w:rsidRPr="00275D50">
        <w:rPr>
          <w:rFonts w:ascii="Verdana" w:eastAsia="Times New Roman" w:hAnsi="Verdana" w:cs="Arial"/>
          <w:b/>
          <w:bCs/>
          <w:color w:val="161616"/>
          <w:lang w:eastAsia="en-GB"/>
        </w:rPr>
        <w:t xml:space="preserve"> school in NI.</w:t>
      </w:r>
    </w:p>
    <w:p w14:paraId="455550C5" w14:textId="77777777" w:rsidR="00F16A39" w:rsidRDefault="00F16A39" w:rsidP="00F16A39">
      <w:pPr>
        <w:pStyle w:val="ListParagraph"/>
        <w:rPr>
          <w:rFonts w:ascii="Verdana" w:eastAsia="Times New Roman" w:hAnsi="Verdana" w:cs="Arial"/>
          <w:b/>
          <w:bCs/>
          <w:color w:val="161616"/>
          <w:lang w:eastAsia="en-GB"/>
        </w:rPr>
      </w:pPr>
    </w:p>
    <w:p w14:paraId="6587E506" w14:textId="18E52937" w:rsidR="00BD2BDB" w:rsidRPr="00AB7AC8" w:rsidRDefault="0045092F" w:rsidP="00874285">
      <w:pPr>
        <w:numPr>
          <w:ilvl w:val="1"/>
          <w:numId w:val="2"/>
        </w:numPr>
        <w:spacing w:before="24" w:after="24" w:line="360" w:lineRule="auto"/>
        <w:ind w:left="709"/>
        <w:contextualSpacing/>
        <w:rPr>
          <w:rFonts w:ascii="Verdana" w:eastAsia="Times New Roman" w:hAnsi="Verdana" w:cs="Arial"/>
          <w:color w:val="161616"/>
          <w:lang w:eastAsia="en-GB"/>
        </w:rPr>
      </w:pPr>
      <w:r>
        <w:rPr>
          <w:rFonts w:ascii="Verdana" w:eastAsia="Times New Roman" w:hAnsi="Verdana" w:cs="Arial"/>
          <w:b/>
          <w:bCs/>
          <w:color w:val="161616"/>
          <w:lang w:eastAsia="en-GB"/>
        </w:rPr>
        <w:t>The NIHRC recommends that guidance is developed following</w:t>
      </w:r>
      <w:r w:rsidR="00894C88" w:rsidRPr="00894C88">
        <w:rPr>
          <w:rFonts w:ascii="Verdana" w:eastAsia="Times New Roman" w:hAnsi="Verdana" w:cs="Arial"/>
          <w:b/>
          <w:bCs/>
          <w:color w:val="161616"/>
          <w:lang w:eastAsia="en-GB"/>
        </w:rPr>
        <w:t xml:space="preserve"> engagement with relevant stakeholders and experts to ensure that RSE programmes are inclusive and meet the educational needs </w:t>
      </w:r>
      <w:r w:rsidR="00F90330">
        <w:rPr>
          <w:rFonts w:ascii="Verdana" w:eastAsia="Times New Roman" w:hAnsi="Verdana" w:cs="Arial"/>
          <w:b/>
          <w:bCs/>
          <w:color w:val="161616"/>
          <w:lang w:eastAsia="en-GB"/>
        </w:rPr>
        <w:t>of</w:t>
      </w:r>
      <w:r w:rsidR="00F90330" w:rsidRPr="00F90330">
        <w:rPr>
          <w:rFonts w:ascii="Verdana" w:eastAsia="Times New Roman" w:hAnsi="Verdana" w:cs="Arial"/>
          <w:b/>
          <w:bCs/>
          <w:color w:val="161616"/>
          <w:lang w:eastAsia="en-GB"/>
        </w:rPr>
        <w:t xml:space="preserve"> all students including but not limited to disabled students, ethnic minority students those with diverse gender and sexual identities.  </w:t>
      </w:r>
    </w:p>
    <w:bookmarkEnd w:id="11"/>
    <w:p w14:paraId="185D9E54" w14:textId="77777777" w:rsidR="00543C2C" w:rsidRDefault="00543C2C" w:rsidP="00C264F1">
      <w:pPr>
        <w:widowControl w:val="0"/>
        <w:suppressAutoHyphens/>
        <w:autoSpaceDE w:val="0"/>
        <w:autoSpaceDN w:val="0"/>
        <w:adjustRightInd w:val="0"/>
        <w:spacing w:before="24" w:after="24" w:line="360" w:lineRule="auto"/>
        <w:textAlignment w:val="center"/>
        <w:rPr>
          <w:rFonts w:ascii="Verdana" w:eastAsia="Times New Roman" w:hAnsi="Verdana" w:cs="Arial"/>
          <w:bCs/>
          <w:color w:val="161616"/>
          <w:lang w:eastAsia="en-GB"/>
        </w:rPr>
      </w:pPr>
    </w:p>
    <w:p w14:paraId="3BA0748D" w14:textId="262EBC39" w:rsidR="009726F9" w:rsidRDefault="0089766D" w:rsidP="00874285">
      <w:pPr>
        <w:pStyle w:val="Heading1"/>
        <w:numPr>
          <w:ilvl w:val="0"/>
          <w:numId w:val="15"/>
        </w:numPr>
      </w:pPr>
      <w:bookmarkStart w:id="12" w:name="_Toc151712156"/>
      <w:r w:rsidRPr="00F96E18">
        <w:t xml:space="preserve">Data Collection </w:t>
      </w:r>
      <w:r w:rsidR="001404E8">
        <w:t>and Monitoring</w:t>
      </w:r>
      <w:bookmarkEnd w:id="12"/>
    </w:p>
    <w:p w14:paraId="359CB14F" w14:textId="53BBEEBF" w:rsidR="00874285" w:rsidRPr="00EB474B" w:rsidRDefault="00874285" w:rsidP="00874285">
      <w:pPr>
        <w:pStyle w:val="ListParagraph"/>
        <w:numPr>
          <w:ilvl w:val="1"/>
          <w:numId w:val="15"/>
        </w:numPr>
        <w:spacing w:before="24" w:after="24" w:line="360" w:lineRule="auto"/>
        <w:rPr>
          <w:rFonts w:ascii="Verdana" w:eastAsia="Times New Roman" w:hAnsi="Verdana" w:cs="Arial"/>
          <w:bCs/>
          <w:color w:val="161616"/>
          <w:lang w:eastAsia="en-GB"/>
        </w:rPr>
      </w:pPr>
      <w:r w:rsidRPr="00EB474B">
        <w:rPr>
          <w:rFonts w:ascii="Verdana" w:hAnsi="Verdana"/>
        </w:rPr>
        <w:t>The UN</w:t>
      </w:r>
      <w:r w:rsidRPr="00874285">
        <w:rPr>
          <w:rFonts w:ascii="Verdana" w:hAnsi="Verdana" w:cs="Arial"/>
          <w:lang w:val="en-US"/>
        </w:rPr>
        <w:t xml:space="preserve"> Committee, in its 2019 concluding observations to the UK, recommended that the UK Government and NI Executive “s</w:t>
      </w:r>
      <w:r w:rsidRPr="00874285">
        <w:rPr>
          <w:rFonts w:ascii="Verdana" w:hAnsi="Verdana" w:cs="Verdana"/>
          <w:bCs/>
          <w:color w:val="000000"/>
          <w:lang w:val="en-US"/>
        </w:rPr>
        <w:t>ystematically collect and publish data, disaggregated by sex, gender, ethnicity, disability and age, throughout the whole of its territory to inform policymaking and assess the impact of measures taken”.</w:t>
      </w:r>
      <w:r w:rsidRPr="00EB474B">
        <w:rPr>
          <w:rFonts w:ascii="Verdana" w:hAnsi="Verdana"/>
          <w:vertAlign w:val="superscript"/>
          <w:lang w:val="en-US"/>
        </w:rPr>
        <w:footnoteReference w:id="40"/>
      </w:r>
      <w:r w:rsidRPr="00EB474B">
        <w:rPr>
          <w:rFonts w:ascii="Verdana" w:hAnsi="Verdana" w:cs="Verdana"/>
          <w:bCs/>
          <w:color w:val="000000"/>
          <w:lang w:val="en-US"/>
        </w:rPr>
        <w:t xml:space="preserve"> </w:t>
      </w:r>
    </w:p>
    <w:p w14:paraId="434F3852" w14:textId="77777777" w:rsidR="006A408D" w:rsidRPr="00874285" w:rsidRDefault="006A408D" w:rsidP="00EB474B">
      <w:pPr>
        <w:pStyle w:val="ListParagraph"/>
        <w:spacing w:before="24" w:after="24" w:line="360" w:lineRule="auto"/>
        <w:rPr>
          <w:rFonts w:ascii="Verdana" w:eastAsia="Times New Roman" w:hAnsi="Verdana" w:cs="Arial"/>
          <w:bCs/>
          <w:color w:val="161616"/>
          <w:lang w:eastAsia="en-GB"/>
        </w:rPr>
      </w:pPr>
    </w:p>
    <w:p w14:paraId="02996E56" w14:textId="77777777" w:rsidR="00874285" w:rsidRDefault="009726F9" w:rsidP="00874285">
      <w:pPr>
        <w:pStyle w:val="ListParagraph"/>
        <w:numPr>
          <w:ilvl w:val="1"/>
          <w:numId w:val="15"/>
        </w:numPr>
        <w:spacing w:before="24" w:after="24" w:line="360" w:lineRule="auto"/>
        <w:rPr>
          <w:rFonts w:ascii="Verdana" w:eastAsia="Times New Roman" w:hAnsi="Verdana" w:cs="Arial"/>
          <w:bCs/>
          <w:color w:val="161616"/>
          <w:lang w:eastAsia="en-GB"/>
        </w:rPr>
      </w:pPr>
      <w:r w:rsidRPr="00874285">
        <w:rPr>
          <w:rFonts w:ascii="Verdana" w:eastAsia="Times New Roman" w:hAnsi="Verdana" w:cs="Arial"/>
          <w:bCs/>
          <w:color w:val="161616"/>
          <w:lang w:eastAsia="en-GB"/>
        </w:rPr>
        <w:t xml:space="preserve">The Relationships and Sexuality Education (Northern Ireland) (Amendment) Regulations 2023 require the Department of Education to publish a report on the implementation of </w:t>
      </w:r>
      <w:r w:rsidR="001D1D0F" w:rsidRPr="00874285">
        <w:rPr>
          <w:rFonts w:ascii="Verdana" w:eastAsia="Times New Roman" w:hAnsi="Verdana" w:cs="Arial"/>
          <w:bCs/>
          <w:color w:val="161616"/>
          <w:lang w:eastAsia="en-GB"/>
        </w:rPr>
        <w:t>RSE</w:t>
      </w:r>
      <w:r w:rsidRPr="00874285">
        <w:rPr>
          <w:rFonts w:ascii="Verdana" w:eastAsia="Times New Roman" w:hAnsi="Verdana" w:cs="Arial"/>
          <w:bCs/>
          <w:color w:val="161616"/>
          <w:lang w:eastAsia="en-GB"/>
        </w:rPr>
        <w:t xml:space="preserve"> in grant-aided schools by the </w:t>
      </w:r>
      <w:proofErr w:type="gramStart"/>
      <w:r w:rsidRPr="00874285">
        <w:rPr>
          <w:rFonts w:ascii="Verdana" w:eastAsia="Times New Roman" w:hAnsi="Verdana" w:cs="Arial"/>
          <w:bCs/>
          <w:color w:val="161616"/>
          <w:lang w:eastAsia="en-GB"/>
        </w:rPr>
        <w:t>1st</w:t>
      </w:r>
      <w:proofErr w:type="gramEnd"/>
      <w:r w:rsidRPr="00874285">
        <w:rPr>
          <w:rFonts w:ascii="Verdana" w:eastAsia="Times New Roman" w:hAnsi="Verdana" w:cs="Arial"/>
          <w:bCs/>
          <w:color w:val="161616"/>
          <w:lang w:eastAsia="en-GB"/>
        </w:rPr>
        <w:t xml:space="preserve"> September 2026.</w:t>
      </w:r>
      <w:r w:rsidR="00506A71" w:rsidRPr="00874285">
        <w:rPr>
          <w:rFonts w:ascii="Verdana" w:eastAsia="Times New Roman" w:hAnsi="Verdana" w:cs="Arial"/>
          <w:bCs/>
          <w:color w:val="161616"/>
          <w:lang w:eastAsia="en-GB"/>
        </w:rPr>
        <w:t xml:space="preserve"> </w:t>
      </w:r>
      <w:r w:rsidR="00A75F6B" w:rsidRPr="00874285">
        <w:rPr>
          <w:rFonts w:ascii="Verdana" w:eastAsia="Times New Roman" w:hAnsi="Verdana" w:cs="Arial"/>
          <w:bCs/>
          <w:color w:val="161616"/>
          <w:lang w:eastAsia="en-GB"/>
        </w:rPr>
        <w:t>I</w:t>
      </w:r>
      <w:r w:rsidR="002C0E88" w:rsidRPr="00874285">
        <w:rPr>
          <w:rFonts w:ascii="Verdana" w:eastAsia="Times New Roman" w:hAnsi="Verdana" w:cs="Arial"/>
          <w:bCs/>
          <w:color w:val="161616"/>
          <w:lang w:eastAsia="en-GB"/>
        </w:rPr>
        <w:t>n</w:t>
      </w:r>
      <w:r w:rsidR="00AD6B83" w:rsidRPr="00874285">
        <w:rPr>
          <w:rFonts w:ascii="Verdana" w:eastAsia="Times New Roman" w:hAnsi="Verdana" w:cs="Arial"/>
          <w:bCs/>
          <w:color w:val="161616"/>
          <w:lang w:eastAsia="en-GB"/>
        </w:rPr>
        <w:t xml:space="preserve"> assessing the effectiveness </w:t>
      </w:r>
      <w:r w:rsidR="009969C9" w:rsidRPr="00874285">
        <w:rPr>
          <w:rFonts w:ascii="Verdana" w:eastAsia="Times New Roman" w:hAnsi="Verdana" w:cs="Arial"/>
          <w:bCs/>
          <w:color w:val="161616"/>
          <w:lang w:eastAsia="en-GB"/>
        </w:rPr>
        <w:t>of the amendments to the c</w:t>
      </w:r>
      <w:r w:rsidR="00084484" w:rsidRPr="00874285">
        <w:rPr>
          <w:rFonts w:ascii="Verdana" w:eastAsia="Times New Roman" w:hAnsi="Verdana" w:cs="Arial"/>
          <w:bCs/>
          <w:color w:val="161616"/>
          <w:lang w:eastAsia="en-GB"/>
        </w:rPr>
        <w:t xml:space="preserve">urriculum, it will be essential to </w:t>
      </w:r>
      <w:r w:rsidR="0068464F" w:rsidRPr="00874285">
        <w:rPr>
          <w:rFonts w:ascii="Verdana" w:eastAsia="Times New Roman" w:hAnsi="Verdana" w:cs="Arial"/>
          <w:bCs/>
          <w:color w:val="161616"/>
          <w:lang w:eastAsia="en-GB"/>
        </w:rPr>
        <w:t xml:space="preserve">collect data on the </w:t>
      </w:r>
      <w:r w:rsidR="00F45534" w:rsidRPr="00874285">
        <w:rPr>
          <w:rFonts w:ascii="Verdana" w:eastAsia="Times New Roman" w:hAnsi="Verdana" w:cs="Arial"/>
          <w:bCs/>
          <w:color w:val="161616"/>
          <w:lang w:eastAsia="en-GB"/>
        </w:rPr>
        <w:t xml:space="preserve">extent </w:t>
      </w:r>
      <w:r w:rsidR="004422DD" w:rsidRPr="00874285">
        <w:rPr>
          <w:rFonts w:ascii="Verdana" w:eastAsia="Times New Roman" w:hAnsi="Verdana" w:cs="Arial"/>
          <w:bCs/>
          <w:color w:val="161616"/>
          <w:lang w:eastAsia="en-GB"/>
        </w:rPr>
        <w:t xml:space="preserve">and impact </w:t>
      </w:r>
      <w:r w:rsidR="00F45534" w:rsidRPr="00874285">
        <w:rPr>
          <w:rFonts w:ascii="Verdana" w:eastAsia="Times New Roman" w:hAnsi="Verdana" w:cs="Arial"/>
          <w:bCs/>
          <w:color w:val="161616"/>
          <w:lang w:eastAsia="en-GB"/>
        </w:rPr>
        <w:t xml:space="preserve">of parental opt-outs. </w:t>
      </w:r>
      <w:r w:rsidR="00E84ED0" w:rsidRPr="00874285">
        <w:rPr>
          <w:rFonts w:ascii="Verdana" w:eastAsia="Times New Roman" w:hAnsi="Verdana" w:cs="Arial"/>
          <w:bCs/>
          <w:color w:val="161616"/>
          <w:lang w:eastAsia="en-GB"/>
        </w:rPr>
        <w:t xml:space="preserve"> </w:t>
      </w:r>
    </w:p>
    <w:p w14:paraId="23DAEFB5" w14:textId="77777777" w:rsidR="00874285" w:rsidRDefault="00874285" w:rsidP="00874285">
      <w:pPr>
        <w:pStyle w:val="ListParagraph"/>
        <w:spacing w:before="24" w:after="24" w:line="360" w:lineRule="auto"/>
        <w:rPr>
          <w:rFonts w:ascii="Verdana" w:eastAsia="Times New Roman" w:hAnsi="Verdana" w:cs="Arial"/>
          <w:bCs/>
          <w:color w:val="161616"/>
          <w:lang w:eastAsia="en-GB"/>
        </w:rPr>
      </w:pPr>
    </w:p>
    <w:p w14:paraId="68395574" w14:textId="18054869" w:rsidR="001404E8" w:rsidRPr="00BB5456" w:rsidRDefault="004422DD" w:rsidP="00CC3099">
      <w:pPr>
        <w:pStyle w:val="ListParagraph"/>
        <w:numPr>
          <w:ilvl w:val="1"/>
          <w:numId w:val="15"/>
        </w:numPr>
        <w:spacing w:before="24" w:after="24" w:line="360" w:lineRule="auto"/>
        <w:rPr>
          <w:rFonts w:ascii="Verdana" w:eastAsia="Times New Roman" w:hAnsi="Verdana" w:cs="Arial"/>
          <w:b/>
          <w:color w:val="161616"/>
          <w:lang w:eastAsia="en-GB"/>
        </w:rPr>
      </w:pPr>
      <w:bookmarkStart w:id="13" w:name="_Hlk151109185"/>
      <w:r w:rsidRPr="00874285">
        <w:rPr>
          <w:rFonts w:ascii="Verdana" w:eastAsia="Times New Roman" w:hAnsi="Verdana" w:cs="Arial"/>
          <w:b/>
          <w:color w:val="161616"/>
          <w:lang w:eastAsia="en-GB"/>
        </w:rPr>
        <w:t xml:space="preserve">The NIHRC recommends that </w:t>
      </w:r>
      <w:r w:rsidR="00747F6C" w:rsidRPr="00874285">
        <w:rPr>
          <w:rFonts w:ascii="Verdana" w:eastAsia="Times New Roman" w:hAnsi="Verdana" w:cs="Arial"/>
          <w:b/>
          <w:color w:val="161616"/>
          <w:lang w:eastAsia="en-GB"/>
        </w:rPr>
        <w:t xml:space="preserve">the Department of Education collects data on the </w:t>
      </w:r>
      <w:r w:rsidR="006D3AB5" w:rsidRPr="00874285">
        <w:rPr>
          <w:rFonts w:ascii="Verdana" w:eastAsia="Times New Roman" w:hAnsi="Verdana" w:cs="Arial"/>
          <w:b/>
          <w:color w:val="161616"/>
          <w:lang w:eastAsia="en-GB"/>
        </w:rPr>
        <w:t xml:space="preserve">number of children and young people </w:t>
      </w:r>
      <w:r w:rsidR="00B920E5" w:rsidRPr="00874285">
        <w:rPr>
          <w:rFonts w:ascii="Verdana" w:eastAsia="Times New Roman" w:hAnsi="Verdana" w:cs="Arial"/>
          <w:b/>
          <w:color w:val="161616"/>
          <w:lang w:eastAsia="en-GB"/>
        </w:rPr>
        <w:t xml:space="preserve">being withdrawn from </w:t>
      </w:r>
      <w:r w:rsidR="007C6929" w:rsidRPr="00874285">
        <w:rPr>
          <w:rFonts w:ascii="Verdana" w:eastAsia="Times New Roman" w:hAnsi="Verdana" w:cs="Arial"/>
          <w:b/>
          <w:color w:val="161616"/>
          <w:lang w:val="en-US" w:eastAsia="en-GB"/>
        </w:rPr>
        <w:t xml:space="preserve">RSE lessons, </w:t>
      </w:r>
      <w:r w:rsidR="00881FB8" w:rsidRPr="00874285">
        <w:rPr>
          <w:rFonts w:ascii="Verdana" w:eastAsia="Times New Roman" w:hAnsi="Verdana" w:cs="Arial"/>
          <w:b/>
          <w:color w:val="161616"/>
          <w:lang w:eastAsia="en-GB"/>
        </w:rPr>
        <w:t>including the reason for their withdrawal.</w:t>
      </w:r>
      <w:r w:rsidR="0017488A" w:rsidRPr="00874285">
        <w:rPr>
          <w:rFonts w:ascii="Verdana" w:eastAsia="Times New Roman" w:hAnsi="Verdana" w:cs="Arial"/>
          <w:b/>
          <w:color w:val="161616"/>
          <w:lang w:val="en-US" w:eastAsia="en-GB"/>
        </w:rPr>
        <w:t xml:space="preserve"> Data should be </w:t>
      </w:r>
      <w:r w:rsidR="003A4228" w:rsidRPr="00874285">
        <w:rPr>
          <w:rFonts w:ascii="Verdana" w:eastAsia="Times New Roman" w:hAnsi="Verdana" w:cs="Arial"/>
          <w:b/>
          <w:color w:val="161616"/>
          <w:lang w:val="en-US" w:eastAsia="en-GB"/>
        </w:rPr>
        <w:t xml:space="preserve">disaggregated </w:t>
      </w:r>
      <w:r w:rsidR="00B6740A" w:rsidRPr="00874285">
        <w:rPr>
          <w:rFonts w:ascii="Verdana" w:eastAsia="Times New Roman" w:hAnsi="Verdana" w:cs="Arial"/>
          <w:b/>
          <w:color w:val="161616"/>
          <w:lang w:val="en-US" w:eastAsia="en-GB"/>
        </w:rPr>
        <w:t xml:space="preserve">to determine whether any specific groups </w:t>
      </w:r>
      <w:r w:rsidR="00050ACC" w:rsidRPr="00874285">
        <w:rPr>
          <w:rFonts w:ascii="Verdana" w:eastAsia="Times New Roman" w:hAnsi="Verdana" w:cs="Arial"/>
          <w:b/>
          <w:color w:val="161616"/>
          <w:lang w:val="en-US" w:eastAsia="en-GB"/>
        </w:rPr>
        <w:t xml:space="preserve">are disproportionately impacted by </w:t>
      </w:r>
      <w:r w:rsidR="00BB2A80" w:rsidRPr="00874285">
        <w:rPr>
          <w:rFonts w:ascii="Verdana" w:eastAsia="Times New Roman" w:hAnsi="Verdana" w:cs="Arial"/>
          <w:b/>
          <w:color w:val="161616"/>
          <w:lang w:val="en-US" w:eastAsia="en-GB"/>
        </w:rPr>
        <w:t>the provision for opt-outs</w:t>
      </w:r>
      <w:r w:rsidR="00050ACC" w:rsidRPr="00874285">
        <w:rPr>
          <w:rFonts w:ascii="Verdana" w:eastAsia="Times New Roman" w:hAnsi="Verdana" w:cs="Arial"/>
          <w:b/>
          <w:color w:val="161616"/>
          <w:lang w:val="en-US" w:eastAsia="en-GB"/>
        </w:rPr>
        <w:t>. For example</w:t>
      </w:r>
      <w:r w:rsidR="00BB2A80" w:rsidRPr="00874285">
        <w:rPr>
          <w:rFonts w:ascii="Verdana" w:eastAsia="Times New Roman" w:hAnsi="Verdana" w:cs="Arial"/>
          <w:b/>
          <w:color w:val="161616"/>
          <w:lang w:val="en-US" w:eastAsia="en-GB"/>
        </w:rPr>
        <w:t>,</w:t>
      </w:r>
      <w:r w:rsidR="00050ACC" w:rsidRPr="00874285">
        <w:rPr>
          <w:rFonts w:ascii="Verdana" w:eastAsia="Times New Roman" w:hAnsi="Verdana" w:cs="Arial"/>
          <w:b/>
          <w:color w:val="161616"/>
          <w:lang w:val="en-US" w:eastAsia="en-GB"/>
        </w:rPr>
        <w:t xml:space="preserve"> by age, </w:t>
      </w:r>
      <w:r w:rsidR="00DD5CAE" w:rsidRPr="00874285">
        <w:rPr>
          <w:rFonts w:ascii="Verdana" w:eastAsia="Times New Roman" w:hAnsi="Verdana" w:cs="Arial"/>
          <w:b/>
          <w:color w:val="161616"/>
          <w:lang w:val="en-US" w:eastAsia="en-GB"/>
        </w:rPr>
        <w:t xml:space="preserve">disability, </w:t>
      </w:r>
      <w:r w:rsidR="00050ACC" w:rsidRPr="00874285">
        <w:rPr>
          <w:rFonts w:ascii="Verdana" w:eastAsia="Times New Roman" w:hAnsi="Verdana" w:cs="Arial"/>
          <w:b/>
          <w:color w:val="161616"/>
          <w:lang w:val="en-US" w:eastAsia="en-GB"/>
        </w:rPr>
        <w:t>ethnicity</w:t>
      </w:r>
      <w:r w:rsidR="00317792" w:rsidRPr="00874285">
        <w:rPr>
          <w:rFonts w:ascii="Verdana" w:eastAsia="Times New Roman" w:hAnsi="Verdana" w:cs="Arial"/>
          <w:b/>
          <w:color w:val="161616"/>
          <w:lang w:val="en-US" w:eastAsia="en-GB"/>
        </w:rPr>
        <w:t>, religion</w:t>
      </w:r>
      <w:r w:rsidR="00DD5CAE" w:rsidRPr="00874285">
        <w:rPr>
          <w:rFonts w:ascii="Verdana" w:eastAsia="Times New Roman" w:hAnsi="Verdana" w:cs="Arial"/>
          <w:b/>
          <w:color w:val="161616"/>
          <w:lang w:val="en-US" w:eastAsia="en-GB"/>
        </w:rPr>
        <w:t xml:space="preserve"> and sex. </w:t>
      </w:r>
    </w:p>
    <w:bookmarkEnd w:id="13"/>
    <w:p w14:paraId="09A69E68" w14:textId="77777777" w:rsidR="00BB5456" w:rsidRPr="00BB5456" w:rsidRDefault="00BB5456" w:rsidP="00BB5456">
      <w:pPr>
        <w:pStyle w:val="ListParagraph"/>
        <w:rPr>
          <w:rFonts w:ascii="Verdana" w:eastAsia="Times New Roman" w:hAnsi="Verdana" w:cs="Arial"/>
          <w:b/>
          <w:color w:val="161616"/>
          <w:lang w:eastAsia="en-GB"/>
        </w:rPr>
      </w:pPr>
    </w:p>
    <w:p w14:paraId="53E08ACA" w14:textId="4B970A21" w:rsidR="001404E8" w:rsidRPr="00BB5456" w:rsidRDefault="006A408D" w:rsidP="00BB5456">
      <w:pPr>
        <w:pStyle w:val="ListParagraph"/>
        <w:numPr>
          <w:ilvl w:val="1"/>
          <w:numId w:val="15"/>
        </w:numPr>
        <w:spacing w:before="24" w:after="24" w:line="360" w:lineRule="auto"/>
        <w:rPr>
          <w:rFonts w:ascii="Verdana" w:eastAsia="Times New Roman" w:hAnsi="Verdana" w:cs="Arial"/>
          <w:color w:val="161616"/>
          <w:lang w:eastAsia="en-GB"/>
        </w:rPr>
      </w:pPr>
      <w:r>
        <w:rPr>
          <w:rFonts w:ascii="Verdana" w:eastAsia="Times New Roman" w:hAnsi="Verdana" w:cs="Arial"/>
          <w:color w:val="161616"/>
          <w:lang w:eastAsia="en-GB"/>
        </w:rPr>
        <w:t>By</w:t>
      </w:r>
      <w:r w:rsidRPr="00BB5456">
        <w:rPr>
          <w:rFonts w:ascii="Verdana" w:eastAsia="Times New Roman" w:hAnsi="Verdana" w:cs="Arial"/>
          <w:color w:val="161616"/>
          <w:lang w:eastAsia="en-GB"/>
        </w:rPr>
        <w:t xml:space="preserve"> </w:t>
      </w:r>
      <w:r w:rsidR="001404E8" w:rsidRPr="00BB5456">
        <w:rPr>
          <w:rFonts w:ascii="Verdana" w:eastAsia="Times New Roman" w:hAnsi="Verdana" w:cs="Arial"/>
          <w:color w:val="161616"/>
          <w:lang w:eastAsia="en-GB"/>
        </w:rPr>
        <w:t>its inspection of child protection and safeguarding policies and practices, the E</w:t>
      </w:r>
      <w:r w:rsidR="00920BDA" w:rsidRPr="00BB5456">
        <w:rPr>
          <w:rFonts w:ascii="Verdana" w:eastAsia="Times New Roman" w:hAnsi="Verdana" w:cs="Arial"/>
          <w:color w:val="161616"/>
          <w:lang w:eastAsia="en-GB"/>
        </w:rPr>
        <w:t xml:space="preserve">ducation and </w:t>
      </w:r>
      <w:r w:rsidR="001404E8" w:rsidRPr="00BB5456">
        <w:rPr>
          <w:rFonts w:ascii="Verdana" w:eastAsia="Times New Roman" w:hAnsi="Verdana" w:cs="Arial"/>
          <w:color w:val="161616"/>
          <w:lang w:eastAsia="en-GB"/>
        </w:rPr>
        <w:t>T</w:t>
      </w:r>
      <w:r w:rsidR="00920BDA" w:rsidRPr="00BB5456">
        <w:rPr>
          <w:rFonts w:ascii="Verdana" w:eastAsia="Times New Roman" w:hAnsi="Verdana" w:cs="Arial"/>
          <w:color w:val="161616"/>
          <w:lang w:eastAsia="en-GB"/>
        </w:rPr>
        <w:t xml:space="preserve">raining </w:t>
      </w:r>
      <w:r w:rsidR="001404E8" w:rsidRPr="00BB5456">
        <w:rPr>
          <w:rFonts w:ascii="Verdana" w:eastAsia="Times New Roman" w:hAnsi="Verdana" w:cs="Arial"/>
          <w:color w:val="161616"/>
          <w:lang w:eastAsia="en-GB"/>
        </w:rPr>
        <w:t>I</w:t>
      </w:r>
      <w:r w:rsidR="00920BDA" w:rsidRPr="00BB5456">
        <w:rPr>
          <w:rFonts w:ascii="Verdana" w:eastAsia="Times New Roman" w:hAnsi="Verdana" w:cs="Arial"/>
          <w:color w:val="161616"/>
          <w:lang w:eastAsia="en-GB"/>
        </w:rPr>
        <w:t>nspectorate (ETI)</w:t>
      </w:r>
      <w:r w:rsidR="001404E8" w:rsidRPr="00BB5456">
        <w:rPr>
          <w:rFonts w:ascii="Verdana" w:eastAsia="Times New Roman" w:hAnsi="Verdana" w:cs="Arial"/>
          <w:color w:val="161616"/>
          <w:lang w:eastAsia="en-GB"/>
        </w:rPr>
        <w:t xml:space="preserve"> routinely assesses whether schools have an appropriate policy for the delivery of RSE within the curriculum. Continued monitoring of the implementation of amendments to the Minimum Content Order will be </w:t>
      </w:r>
      <w:r w:rsidR="00A9248B" w:rsidRPr="00BB5456">
        <w:rPr>
          <w:rFonts w:ascii="Verdana" w:eastAsia="Times New Roman" w:hAnsi="Verdana" w:cs="Arial"/>
          <w:color w:val="161616"/>
          <w:lang w:eastAsia="en-GB"/>
        </w:rPr>
        <w:t xml:space="preserve">necessary </w:t>
      </w:r>
      <w:r w:rsidR="00F573D4" w:rsidRPr="00BB5456">
        <w:rPr>
          <w:rFonts w:ascii="Verdana" w:eastAsia="Times New Roman" w:hAnsi="Verdana" w:cs="Arial"/>
          <w:color w:val="161616"/>
          <w:lang w:eastAsia="en-GB"/>
        </w:rPr>
        <w:t xml:space="preserve">to ensure </w:t>
      </w:r>
      <w:r w:rsidR="00A9248B" w:rsidRPr="00BB5456">
        <w:rPr>
          <w:rFonts w:ascii="Verdana" w:eastAsia="Times New Roman" w:hAnsi="Verdana" w:cs="Arial"/>
          <w:color w:val="161616"/>
          <w:lang w:eastAsia="en-GB"/>
        </w:rPr>
        <w:t xml:space="preserve">compliance. </w:t>
      </w:r>
    </w:p>
    <w:p w14:paraId="59049655" w14:textId="77777777" w:rsidR="00920BDA" w:rsidRDefault="00920BDA" w:rsidP="00920BDA">
      <w:pPr>
        <w:pStyle w:val="ListParagraph"/>
        <w:rPr>
          <w:rFonts w:ascii="Verdana" w:eastAsia="Times New Roman" w:hAnsi="Verdana" w:cs="Arial"/>
          <w:color w:val="161616"/>
          <w:lang w:eastAsia="en-GB"/>
        </w:rPr>
      </w:pPr>
    </w:p>
    <w:p w14:paraId="30DB4BEE" w14:textId="6B003F45" w:rsidR="00805B3B" w:rsidRPr="00BB5456" w:rsidRDefault="00F573D4" w:rsidP="00BB5456">
      <w:pPr>
        <w:pStyle w:val="ListParagraph"/>
        <w:numPr>
          <w:ilvl w:val="1"/>
          <w:numId w:val="15"/>
        </w:numPr>
        <w:spacing w:before="24" w:after="24" w:line="360" w:lineRule="auto"/>
        <w:rPr>
          <w:rFonts w:ascii="Verdana" w:eastAsia="Times New Roman" w:hAnsi="Verdana" w:cs="Arial"/>
          <w:bCs/>
          <w:color w:val="161616"/>
          <w:lang w:eastAsia="en-GB"/>
        </w:rPr>
      </w:pPr>
      <w:bookmarkStart w:id="14" w:name="_Hlk151109209"/>
      <w:r w:rsidRPr="00BB5456">
        <w:rPr>
          <w:rFonts w:ascii="Verdana" w:eastAsia="Times New Roman" w:hAnsi="Verdana" w:cs="Arial"/>
          <w:b/>
          <w:bCs/>
          <w:color w:val="161616"/>
          <w:lang w:eastAsia="en-GB"/>
        </w:rPr>
        <w:t>The NIHRC recommends that</w:t>
      </w:r>
      <w:r w:rsidR="00920BDA" w:rsidRPr="00BB5456">
        <w:rPr>
          <w:rFonts w:ascii="Verdana" w:eastAsia="Times New Roman" w:hAnsi="Verdana" w:cs="Arial"/>
          <w:b/>
          <w:bCs/>
          <w:color w:val="161616"/>
          <w:lang w:eastAsia="en-GB"/>
        </w:rPr>
        <w:t xml:space="preserve"> </w:t>
      </w:r>
      <w:r w:rsidRPr="00BB5456">
        <w:rPr>
          <w:rFonts w:ascii="Verdana" w:eastAsia="Times New Roman" w:hAnsi="Verdana" w:cs="Arial"/>
          <w:b/>
          <w:bCs/>
          <w:color w:val="161616"/>
          <w:lang w:eastAsia="en-GB"/>
        </w:rPr>
        <w:t xml:space="preserve">in line with pre-existing arrangements, </w:t>
      </w:r>
      <w:r w:rsidR="003617EA" w:rsidRPr="00BB5456">
        <w:rPr>
          <w:rFonts w:ascii="Verdana" w:eastAsia="Times New Roman" w:hAnsi="Verdana" w:cs="Arial"/>
          <w:b/>
          <w:bCs/>
          <w:color w:val="161616"/>
          <w:lang w:eastAsia="en-GB"/>
        </w:rPr>
        <w:t xml:space="preserve">the </w:t>
      </w:r>
      <w:r w:rsidR="0041663C" w:rsidRPr="00BB5456">
        <w:rPr>
          <w:rFonts w:ascii="Verdana" w:eastAsia="Times New Roman" w:hAnsi="Verdana" w:cs="Arial"/>
          <w:b/>
          <w:bCs/>
          <w:color w:val="161616"/>
          <w:lang w:eastAsia="en-GB"/>
        </w:rPr>
        <w:t xml:space="preserve">ETI monitors the delivery of </w:t>
      </w:r>
      <w:r w:rsidR="00805B3B" w:rsidRPr="00BB5456">
        <w:rPr>
          <w:rFonts w:ascii="Verdana" w:eastAsia="Times New Roman" w:hAnsi="Verdana" w:cs="Arial"/>
          <w:b/>
          <w:color w:val="161616"/>
          <w:lang w:eastAsia="en-GB"/>
        </w:rPr>
        <w:t>comprehensive RSE.</w:t>
      </w:r>
      <w:r w:rsidR="00805B3B" w:rsidRPr="00BB5456">
        <w:rPr>
          <w:rFonts w:ascii="Verdana" w:eastAsia="Times New Roman" w:hAnsi="Verdana" w:cs="Arial"/>
          <w:bCs/>
          <w:color w:val="161616"/>
          <w:lang w:eastAsia="en-GB"/>
        </w:rPr>
        <w:t xml:space="preserve"> </w:t>
      </w:r>
    </w:p>
    <w:bookmarkEnd w:id="14"/>
    <w:p w14:paraId="630D74D6" w14:textId="3F15D95D" w:rsidR="00F60F3F" w:rsidRDefault="00F60F3F" w:rsidP="00BB5456">
      <w:pPr>
        <w:spacing w:before="24" w:after="24" w:line="360" w:lineRule="auto"/>
        <w:contextualSpacing/>
        <w:rPr>
          <w:rFonts w:ascii="Verdana" w:eastAsia="Times New Roman" w:hAnsi="Verdana" w:cs="Arial"/>
          <w:color w:val="161616"/>
          <w:lang w:eastAsia="en-GB"/>
        </w:rPr>
      </w:pPr>
    </w:p>
    <w:p w14:paraId="0144D0F9" w14:textId="3DC8C4FE" w:rsidR="002B2A15" w:rsidRPr="00BB5456" w:rsidRDefault="002B2A15" w:rsidP="00BB5456">
      <w:pPr>
        <w:pStyle w:val="ListParagraph"/>
        <w:numPr>
          <w:ilvl w:val="1"/>
          <w:numId w:val="15"/>
        </w:numPr>
        <w:spacing w:before="24" w:after="24" w:line="360" w:lineRule="auto"/>
        <w:rPr>
          <w:rFonts w:ascii="Verdana" w:eastAsia="Times New Roman" w:hAnsi="Verdana" w:cs="Arial"/>
          <w:color w:val="161616"/>
          <w:lang w:eastAsia="en-GB"/>
        </w:rPr>
      </w:pPr>
      <w:r w:rsidRPr="00BB5456">
        <w:rPr>
          <w:rFonts w:ascii="Verdana" w:eastAsia="Times New Roman" w:hAnsi="Verdana" w:cs="Arial"/>
          <w:color w:val="161616"/>
          <w:lang w:eastAsia="en-GB"/>
        </w:rPr>
        <w:t>The CoE Commissioner for Human Rights has recommended</w:t>
      </w:r>
      <w:r w:rsidR="009B3547" w:rsidRPr="00BB5456">
        <w:rPr>
          <w:rFonts w:ascii="Verdana" w:eastAsia="Times New Roman" w:hAnsi="Verdana" w:cs="Arial"/>
          <w:color w:val="161616"/>
          <w:lang w:eastAsia="en-GB"/>
        </w:rPr>
        <w:t xml:space="preserve"> that RSE curricula </w:t>
      </w:r>
      <w:r w:rsidR="00F60F3F" w:rsidRPr="00BB5456">
        <w:rPr>
          <w:rFonts w:ascii="Verdana" w:eastAsia="Times New Roman" w:hAnsi="Verdana" w:cs="Arial"/>
          <w:color w:val="161616"/>
          <w:lang w:eastAsia="en-GB"/>
        </w:rPr>
        <w:t>“</w:t>
      </w:r>
      <w:r w:rsidR="009B3547" w:rsidRPr="00BB5456">
        <w:rPr>
          <w:rFonts w:ascii="Verdana" w:eastAsia="Times New Roman" w:hAnsi="Verdana" w:cs="Arial"/>
          <w:color w:val="161616"/>
          <w:lang w:eastAsia="en-GB"/>
        </w:rPr>
        <w:t>should also be regularly evaluated and revised, in order to ensure that they are accurate and meet existing needs”.</w:t>
      </w:r>
      <w:r w:rsidR="009B3547" w:rsidRPr="00790FB5">
        <w:rPr>
          <w:rFonts w:ascii="Verdana" w:hAnsi="Verdana"/>
          <w:vertAlign w:val="superscript"/>
          <w:lang w:eastAsia="en-GB"/>
        </w:rPr>
        <w:footnoteReference w:id="41"/>
      </w:r>
      <w:r w:rsidRPr="00BB5456">
        <w:rPr>
          <w:rFonts w:ascii="Verdana" w:eastAsia="Times New Roman" w:hAnsi="Verdana" w:cs="Arial"/>
          <w:color w:val="161616"/>
          <w:lang w:eastAsia="en-GB"/>
        </w:rPr>
        <w:t xml:space="preserve"> The NIHRC  </w:t>
      </w:r>
      <w:r w:rsidR="00026EBB" w:rsidRPr="00BB5456">
        <w:rPr>
          <w:rFonts w:ascii="Verdana" w:eastAsia="Times New Roman" w:hAnsi="Verdana" w:cs="Arial"/>
          <w:color w:val="161616"/>
          <w:lang w:eastAsia="en-GB"/>
        </w:rPr>
        <w:t>considers that there is a</w:t>
      </w:r>
      <w:r w:rsidRPr="00BB5456">
        <w:rPr>
          <w:rFonts w:ascii="Verdana" w:eastAsia="Times New Roman" w:hAnsi="Verdana" w:cs="Arial"/>
          <w:color w:val="161616"/>
          <w:lang w:eastAsia="en-GB"/>
        </w:rPr>
        <w:t xml:space="preserve"> need for continual monitoring of arrangements to ensure that reforms to the Minimum Content Order are properly implemented. </w:t>
      </w:r>
    </w:p>
    <w:p w14:paraId="4D0F179D" w14:textId="77777777" w:rsidR="00F60F3F" w:rsidRPr="002B2A15" w:rsidRDefault="00F60F3F" w:rsidP="00F60F3F">
      <w:pPr>
        <w:spacing w:before="24" w:after="24" w:line="360" w:lineRule="auto"/>
        <w:contextualSpacing/>
        <w:rPr>
          <w:rFonts w:ascii="Verdana" w:eastAsia="Times New Roman" w:hAnsi="Verdana" w:cs="Arial"/>
          <w:color w:val="161616"/>
          <w:lang w:eastAsia="en-GB"/>
        </w:rPr>
      </w:pPr>
    </w:p>
    <w:p w14:paraId="4B69D47C" w14:textId="17EDBCE2" w:rsidR="003F1ECD" w:rsidRPr="00BB5456" w:rsidRDefault="002B2A15" w:rsidP="00BB5456">
      <w:pPr>
        <w:pStyle w:val="ListParagraph"/>
        <w:numPr>
          <w:ilvl w:val="1"/>
          <w:numId w:val="15"/>
        </w:numPr>
        <w:spacing w:before="24" w:after="24" w:line="360" w:lineRule="auto"/>
        <w:rPr>
          <w:rFonts w:ascii="Verdana" w:eastAsia="Times New Roman" w:hAnsi="Verdana" w:cs="Arial"/>
          <w:b/>
          <w:bCs/>
          <w:color w:val="161616"/>
          <w:lang w:eastAsia="en-GB"/>
        </w:rPr>
      </w:pPr>
      <w:r w:rsidRPr="00BB5456">
        <w:rPr>
          <w:rFonts w:ascii="Verdana" w:eastAsia="Times New Roman" w:hAnsi="Verdana" w:cs="Arial"/>
          <w:b/>
          <w:bCs/>
          <w:color w:val="161616"/>
          <w:lang w:eastAsia="en-GB"/>
        </w:rPr>
        <w:t xml:space="preserve">The NIHRC recommends </w:t>
      </w:r>
      <w:bookmarkStart w:id="15" w:name="_Hlk151109240"/>
      <w:r w:rsidRPr="00BB5456">
        <w:rPr>
          <w:rFonts w:ascii="Verdana" w:eastAsia="Times New Roman" w:hAnsi="Verdana" w:cs="Arial"/>
          <w:b/>
          <w:bCs/>
          <w:color w:val="161616"/>
          <w:lang w:eastAsia="en-GB"/>
        </w:rPr>
        <w:t>that the RSE Curriculum</w:t>
      </w:r>
      <w:r w:rsidR="005F7F15" w:rsidRPr="00BB5456">
        <w:rPr>
          <w:rFonts w:ascii="Verdana" w:eastAsia="Times New Roman" w:hAnsi="Verdana" w:cs="Arial"/>
          <w:b/>
          <w:bCs/>
          <w:color w:val="161616"/>
          <w:lang w:eastAsia="en-GB"/>
        </w:rPr>
        <w:t xml:space="preserve"> and </w:t>
      </w:r>
      <w:r w:rsidR="000115F8" w:rsidRPr="00BB5456">
        <w:rPr>
          <w:rFonts w:ascii="Verdana" w:eastAsia="Times New Roman" w:hAnsi="Verdana" w:cs="Arial"/>
          <w:b/>
          <w:bCs/>
          <w:color w:val="161616"/>
          <w:lang w:eastAsia="en-GB"/>
        </w:rPr>
        <w:t>statutory guidance are</w:t>
      </w:r>
      <w:r w:rsidRPr="00BB5456">
        <w:rPr>
          <w:rFonts w:ascii="Verdana" w:eastAsia="Times New Roman" w:hAnsi="Verdana" w:cs="Arial"/>
          <w:b/>
          <w:bCs/>
          <w:color w:val="161616"/>
          <w:lang w:eastAsia="en-GB"/>
        </w:rPr>
        <w:t xml:space="preserve"> regularly evaluated and revised by the Department of Education NI to ensure that </w:t>
      </w:r>
      <w:r w:rsidR="00790FB5">
        <w:rPr>
          <w:rFonts w:ascii="Verdana" w:eastAsia="Times New Roman" w:hAnsi="Verdana" w:cs="Arial"/>
          <w:b/>
          <w:bCs/>
          <w:color w:val="161616"/>
          <w:lang w:eastAsia="en-GB"/>
        </w:rPr>
        <w:t>they are</w:t>
      </w:r>
      <w:r w:rsidRPr="00BB5456">
        <w:rPr>
          <w:rFonts w:ascii="Verdana" w:eastAsia="Times New Roman" w:hAnsi="Verdana" w:cs="Arial"/>
          <w:b/>
          <w:bCs/>
          <w:color w:val="161616"/>
          <w:lang w:eastAsia="en-GB"/>
        </w:rPr>
        <w:t xml:space="preserve"> accurate, human rights compliant, and adapting to emerging needs. </w:t>
      </w:r>
    </w:p>
    <w:bookmarkEnd w:id="15"/>
    <w:p w14:paraId="2F50DFE8" w14:textId="77777777" w:rsidR="003E03D0" w:rsidRPr="003E03D0" w:rsidRDefault="003E03D0" w:rsidP="003E03D0">
      <w:pPr>
        <w:spacing w:before="24" w:after="24" w:line="360" w:lineRule="auto"/>
        <w:contextualSpacing/>
        <w:rPr>
          <w:rFonts w:ascii="Verdana" w:eastAsia="Times New Roman" w:hAnsi="Verdana" w:cs="Arial"/>
          <w:b/>
          <w:bCs/>
          <w:color w:val="161616"/>
          <w:lang w:eastAsia="en-GB"/>
        </w:rPr>
      </w:pPr>
    </w:p>
    <w:p w14:paraId="216DF3D8" w14:textId="5181941D" w:rsidR="003B067F" w:rsidRPr="00BB5456" w:rsidRDefault="003B067F" w:rsidP="00BB5456">
      <w:pPr>
        <w:pStyle w:val="Heading1"/>
        <w:numPr>
          <w:ilvl w:val="0"/>
          <w:numId w:val="15"/>
        </w:numPr>
      </w:pPr>
      <w:bookmarkStart w:id="16" w:name="_Toc151712157"/>
      <w:r w:rsidRPr="00BB5456">
        <w:t>The Voice of Children and Young People</w:t>
      </w:r>
      <w:bookmarkEnd w:id="16"/>
      <w:r w:rsidRPr="00BB5456">
        <w:t xml:space="preserve"> </w:t>
      </w:r>
    </w:p>
    <w:p w14:paraId="7ADFD8CE" w14:textId="77777777" w:rsidR="00F23C6E" w:rsidRPr="00F23C6E" w:rsidRDefault="00F23C6E" w:rsidP="00F23C6E">
      <w:pPr>
        <w:pStyle w:val="ListParagraph"/>
        <w:numPr>
          <w:ilvl w:val="0"/>
          <w:numId w:val="2"/>
        </w:numPr>
        <w:spacing w:before="24" w:after="24" w:line="360" w:lineRule="auto"/>
        <w:rPr>
          <w:rFonts w:ascii="Verdana" w:eastAsia="Times New Roman" w:hAnsi="Verdana" w:cs="Arial"/>
          <w:bCs/>
          <w:vanish/>
          <w:color w:val="161616"/>
          <w:lang w:eastAsia="en-GB"/>
        </w:rPr>
      </w:pPr>
    </w:p>
    <w:p w14:paraId="5AD08071" w14:textId="03F576EB" w:rsidR="00D60DEF" w:rsidRPr="00BB5456" w:rsidRDefault="006D2323" w:rsidP="00BB5456">
      <w:pPr>
        <w:pStyle w:val="ListParagraph"/>
        <w:numPr>
          <w:ilvl w:val="1"/>
          <w:numId w:val="15"/>
        </w:numPr>
        <w:spacing w:before="24" w:after="24" w:line="360" w:lineRule="auto"/>
        <w:rPr>
          <w:rFonts w:ascii="Verdana" w:eastAsia="Times New Roman" w:hAnsi="Verdana" w:cs="Arial"/>
          <w:bCs/>
          <w:color w:val="161616"/>
          <w:lang w:eastAsia="en-GB"/>
        </w:rPr>
      </w:pPr>
      <w:r w:rsidRPr="00BB5456">
        <w:rPr>
          <w:rFonts w:ascii="Verdana" w:eastAsia="Times New Roman" w:hAnsi="Verdana" w:cs="Arial"/>
          <w:bCs/>
          <w:color w:val="161616"/>
          <w:lang w:eastAsia="en-GB"/>
        </w:rPr>
        <w:t xml:space="preserve">In its </w:t>
      </w:r>
      <w:r w:rsidR="00EA0EFE" w:rsidRPr="00BB5456">
        <w:rPr>
          <w:rFonts w:ascii="Verdana" w:eastAsia="Times New Roman" w:hAnsi="Verdana" w:cs="Arial"/>
          <w:bCs/>
          <w:color w:val="161616"/>
          <w:lang w:eastAsia="en-GB"/>
        </w:rPr>
        <w:t>General Comment No 12</w:t>
      </w:r>
      <w:r w:rsidR="006C3DBE" w:rsidRPr="00BB5456">
        <w:rPr>
          <w:rFonts w:ascii="Verdana" w:eastAsia="Times New Roman" w:hAnsi="Verdana" w:cs="Arial"/>
          <w:bCs/>
          <w:color w:val="161616"/>
          <w:lang w:eastAsia="en-GB"/>
        </w:rPr>
        <w:t>,</w:t>
      </w:r>
      <w:r w:rsidR="00EA0EFE" w:rsidRPr="00BB5456">
        <w:rPr>
          <w:rFonts w:ascii="Verdana" w:eastAsia="Times New Roman" w:hAnsi="Verdana" w:cs="Arial"/>
          <w:bCs/>
          <w:color w:val="161616"/>
          <w:lang w:eastAsia="en-GB"/>
        </w:rPr>
        <w:t xml:space="preserve"> </w:t>
      </w:r>
      <w:r w:rsidRPr="00BB5456">
        <w:rPr>
          <w:rFonts w:ascii="Verdana" w:eastAsia="Times New Roman" w:hAnsi="Verdana" w:cs="Arial"/>
          <w:bCs/>
          <w:color w:val="161616"/>
          <w:lang w:eastAsia="en-GB"/>
        </w:rPr>
        <w:t xml:space="preserve">the UN CRC Committee </w:t>
      </w:r>
      <w:r w:rsidR="00B8628E" w:rsidRPr="00BB5456">
        <w:rPr>
          <w:rFonts w:ascii="Verdana" w:eastAsia="Times New Roman" w:hAnsi="Verdana" w:cs="Arial"/>
          <w:bCs/>
          <w:color w:val="161616"/>
          <w:lang w:eastAsia="en-GB"/>
        </w:rPr>
        <w:t xml:space="preserve">advises </w:t>
      </w:r>
      <w:r w:rsidR="001A5757" w:rsidRPr="00BB5456">
        <w:rPr>
          <w:rFonts w:ascii="Verdana" w:eastAsia="Times New Roman" w:hAnsi="Verdana" w:cs="Arial"/>
          <w:bCs/>
          <w:color w:val="161616"/>
          <w:lang w:eastAsia="en-GB"/>
        </w:rPr>
        <w:t>that “States parties should consult children at the local and national levels on all aspects of education policy</w:t>
      </w:r>
      <w:r w:rsidR="00FA73B4" w:rsidRPr="00BB5456">
        <w:rPr>
          <w:rFonts w:ascii="Verdana" w:eastAsia="Times New Roman" w:hAnsi="Verdana" w:cs="Arial"/>
          <w:bCs/>
          <w:color w:val="161616"/>
          <w:lang w:eastAsia="en-GB"/>
        </w:rPr>
        <w:t>”</w:t>
      </w:r>
      <w:r w:rsidR="00A93506">
        <w:rPr>
          <w:rStyle w:val="FootnoteReference"/>
          <w:rFonts w:ascii="Verdana" w:eastAsia="Times New Roman" w:hAnsi="Verdana" w:cs="Arial"/>
          <w:bCs/>
          <w:color w:val="161616"/>
          <w:lang w:eastAsia="en-GB"/>
        </w:rPr>
        <w:footnoteReference w:id="42"/>
      </w:r>
      <w:r w:rsidR="00FA73B4" w:rsidRPr="00BB5456">
        <w:rPr>
          <w:rFonts w:ascii="Verdana" w:eastAsia="Times New Roman" w:hAnsi="Verdana" w:cs="Arial"/>
          <w:bCs/>
          <w:color w:val="161616"/>
          <w:lang w:eastAsia="en-GB"/>
        </w:rPr>
        <w:t xml:space="preserve">, noting that </w:t>
      </w:r>
      <w:r w:rsidR="00B8628E" w:rsidRPr="00BB5456">
        <w:rPr>
          <w:rFonts w:ascii="Verdana" w:eastAsia="Times New Roman" w:hAnsi="Verdana" w:cs="Arial"/>
          <w:bCs/>
          <w:color w:val="161616"/>
          <w:lang w:eastAsia="en-GB"/>
        </w:rPr>
        <w:t>“t</w:t>
      </w:r>
      <w:r w:rsidR="00EA0EFE" w:rsidRPr="00BB5456">
        <w:rPr>
          <w:rFonts w:ascii="Verdana" w:eastAsia="Times New Roman" w:hAnsi="Verdana" w:cs="Arial"/>
          <w:bCs/>
          <w:color w:val="161616"/>
          <w:lang w:eastAsia="en-GB"/>
        </w:rPr>
        <w:t xml:space="preserve">he views expressed by </w:t>
      </w:r>
      <w:r w:rsidR="00EA0EFE" w:rsidRPr="00BB5456">
        <w:rPr>
          <w:rFonts w:ascii="Verdana" w:eastAsia="Times New Roman" w:hAnsi="Verdana" w:cs="Arial"/>
          <w:bCs/>
          <w:color w:val="161616"/>
          <w:lang w:eastAsia="en-GB"/>
        </w:rPr>
        <w:lastRenderedPageBreak/>
        <w:t>children may add relevant perspectives and experience and should be considered in decision-making, policymaking and preparation of laws and/or measures as well as their evaluation</w:t>
      </w:r>
      <w:r w:rsidR="000759F3" w:rsidRPr="00BB5456">
        <w:rPr>
          <w:rFonts w:ascii="Verdana" w:eastAsia="Times New Roman" w:hAnsi="Verdana" w:cs="Arial"/>
          <w:bCs/>
          <w:color w:val="161616"/>
          <w:lang w:eastAsia="en-GB"/>
        </w:rPr>
        <w:t>”.</w:t>
      </w:r>
      <w:r w:rsidR="00DD2647">
        <w:rPr>
          <w:rStyle w:val="FootnoteReference"/>
          <w:rFonts w:ascii="Verdana" w:eastAsia="Times New Roman" w:hAnsi="Verdana" w:cs="Arial"/>
          <w:bCs/>
          <w:color w:val="161616"/>
          <w:lang w:eastAsia="en-GB"/>
        </w:rPr>
        <w:footnoteReference w:id="43"/>
      </w:r>
      <w:r w:rsidR="000759F3" w:rsidRPr="00BB5456">
        <w:rPr>
          <w:rFonts w:ascii="Verdana" w:eastAsia="Times New Roman" w:hAnsi="Verdana" w:cs="Arial"/>
          <w:bCs/>
          <w:color w:val="161616"/>
          <w:lang w:eastAsia="en-GB"/>
        </w:rPr>
        <w:t xml:space="preserve"> </w:t>
      </w:r>
    </w:p>
    <w:p w14:paraId="11900AD6" w14:textId="77777777" w:rsidR="00763700" w:rsidRDefault="00763700" w:rsidP="00763700">
      <w:pPr>
        <w:spacing w:before="24" w:after="24" w:line="360" w:lineRule="auto"/>
        <w:ind w:left="720"/>
        <w:contextualSpacing/>
        <w:rPr>
          <w:rFonts w:ascii="Verdana" w:eastAsia="Times New Roman" w:hAnsi="Verdana" w:cs="Arial"/>
          <w:bCs/>
          <w:color w:val="161616"/>
          <w:lang w:eastAsia="en-GB"/>
        </w:rPr>
      </w:pPr>
    </w:p>
    <w:p w14:paraId="2429BF20" w14:textId="0362A551" w:rsidR="00A63626" w:rsidRPr="00BB5456" w:rsidRDefault="00A76D96" w:rsidP="00BB5456">
      <w:pPr>
        <w:pStyle w:val="ListParagraph"/>
        <w:numPr>
          <w:ilvl w:val="1"/>
          <w:numId w:val="15"/>
        </w:numPr>
        <w:spacing w:before="24" w:after="24" w:line="360" w:lineRule="auto"/>
        <w:rPr>
          <w:rFonts w:ascii="Verdana" w:eastAsia="Times New Roman" w:hAnsi="Verdana" w:cs="Arial"/>
          <w:bCs/>
          <w:color w:val="161616"/>
          <w:lang w:eastAsia="en-GB"/>
        </w:rPr>
      </w:pPr>
      <w:r w:rsidRPr="00BB5456">
        <w:rPr>
          <w:rFonts w:ascii="Verdana" w:eastAsia="Times New Roman" w:hAnsi="Verdana" w:cs="Arial"/>
          <w:bCs/>
          <w:color w:val="161616"/>
          <w:lang w:eastAsia="en-GB"/>
        </w:rPr>
        <w:t>The NIHRC</w:t>
      </w:r>
      <w:r w:rsidR="00286648" w:rsidRPr="00BB5456">
        <w:rPr>
          <w:rFonts w:ascii="Verdana" w:eastAsia="Times New Roman" w:hAnsi="Verdana" w:cs="Arial"/>
          <w:bCs/>
          <w:color w:val="161616"/>
          <w:lang w:eastAsia="en-GB"/>
        </w:rPr>
        <w:t xml:space="preserve"> </w:t>
      </w:r>
      <w:r w:rsidR="00E5617C" w:rsidRPr="00BB5456">
        <w:rPr>
          <w:rFonts w:ascii="Verdana" w:eastAsia="Times New Roman" w:hAnsi="Verdana" w:cs="Arial"/>
          <w:bCs/>
          <w:color w:val="161616"/>
          <w:lang w:eastAsia="en-GB"/>
        </w:rPr>
        <w:t xml:space="preserve">recognises that the Department </w:t>
      </w:r>
      <w:r w:rsidR="00DC2B46" w:rsidRPr="00BB5456">
        <w:rPr>
          <w:rFonts w:ascii="Verdana" w:eastAsia="Times New Roman" w:hAnsi="Verdana" w:cs="Arial"/>
          <w:bCs/>
          <w:color w:val="161616"/>
          <w:lang w:eastAsia="en-GB"/>
        </w:rPr>
        <w:t xml:space="preserve">of </w:t>
      </w:r>
      <w:r w:rsidR="00E5617C" w:rsidRPr="00BB5456">
        <w:rPr>
          <w:rFonts w:ascii="Verdana" w:eastAsia="Times New Roman" w:hAnsi="Verdana" w:cs="Arial"/>
          <w:bCs/>
          <w:color w:val="161616"/>
          <w:lang w:eastAsia="en-GB"/>
        </w:rPr>
        <w:t xml:space="preserve">Education is working to a </w:t>
      </w:r>
      <w:r w:rsidR="00791CD2">
        <w:rPr>
          <w:rFonts w:ascii="Verdana" w:eastAsia="Times New Roman" w:hAnsi="Verdana" w:cs="Arial"/>
          <w:bCs/>
          <w:color w:val="161616"/>
          <w:lang w:eastAsia="en-GB"/>
        </w:rPr>
        <w:t xml:space="preserve">tight </w:t>
      </w:r>
      <w:r w:rsidR="00E5617C" w:rsidRPr="00BB5456">
        <w:rPr>
          <w:rFonts w:ascii="Verdana" w:eastAsia="Times New Roman" w:hAnsi="Verdana" w:cs="Arial"/>
          <w:bCs/>
          <w:color w:val="161616"/>
          <w:lang w:eastAsia="en-GB"/>
        </w:rPr>
        <w:t>timeframe</w:t>
      </w:r>
      <w:r w:rsidR="00791CD2">
        <w:rPr>
          <w:rFonts w:ascii="Verdana" w:eastAsia="Times New Roman" w:hAnsi="Verdana" w:cs="Arial"/>
          <w:bCs/>
          <w:color w:val="161616"/>
          <w:lang w:eastAsia="en-GB"/>
        </w:rPr>
        <w:t>,</w:t>
      </w:r>
      <w:r w:rsidR="00E5617C" w:rsidRPr="00BB5456">
        <w:rPr>
          <w:rFonts w:ascii="Verdana" w:eastAsia="Times New Roman" w:hAnsi="Verdana" w:cs="Arial"/>
          <w:bCs/>
          <w:color w:val="161616"/>
          <w:lang w:eastAsia="en-GB"/>
        </w:rPr>
        <w:t xml:space="preserve"> of </w:t>
      </w:r>
      <w:r w:rsidR="007373AB" w:rsidRPr="00BB5456">
        <w:rPr>
          <w:rFonts w:ascii="Verdana" w:eastAsia="Times New Roman" w:hAnsi="Verdana" w:cs="Arial"/>
          <w:bCs/>
          <w:color w:val="161616"/>
          <w:lang w:eastAsia="en-GB"/>
        </w:rPr>
        <w:t>1 January</w:t>
      </w:r>
      <w:r w:rsidR="00805B3B" w:rsidRPr="00BB5456">
        <w:rPr>
          <w:rFonts w:ascii="Verdana" w:eastAsia="Times New Roman" w:hAnsi="Verdana" w:cs="Arial"/>
          <w:bCs/>
          <w:color w:val="161616"/>
          <w:lang w:eastAsia="en-GB"/>
        </w:rPr>
        <w:t xml:space="preserve"> 2024</w:t>
      </w:r>
      <w:r w:rsidR="00791CD2">
        <w:rPr>
          <w:rFonts w:ascii="Verdana" w:eastAsia="Times New Roman" w:hAnsi="Verdana" w:cs="Arial"/>
          <w:bCs/>
          <w:color w:val="161616"/>
          <w:lang w:eastAsia="en-GB"/>
        </w:rPr>
        <w:t>,</w:t>
      </w:r>
      <w:r w:rsidR="007373AB" w:rsidRPr="00BB5456">
        <w:rPr>
          <w:rFonts w:ascii="Verdana" w:eastAsia="Times New Roman" w:hAnsi="Verdana" w:cs="Arial"/>
          <w:bCs/>
          <w:color w:val="161616"/>
          <w:lang w:eastAsia="en-GB"/>
        </w:rPr>
        <w:t xml:space="preserve"> to develop its statutory guidance, but</w:t>
      </w:r>
      <w:r w:rsidRPr="00BB5456">
        <w:rPr>
          <w:rFonts w:ascii="Verdana" w:eastAsia="Times New Roman" w:hAnsi="Verdana" w:cs="Arial"/>
          <w:bCs/>
          <w:color w:val="161616"/>
          <w:lang w:eastAsia="en-GB"/>
        </w:rPr>
        <w:t xml:space="preserve"> notes </w:t>
      </w:r>
      <w:r w:rsidR="00791CD2">
        <w:rPr>
          <w:rFonts w:ascii="Verdana" w:eastAsia="Times New Roman" w:hAnsi="Verdana" w:cs="Arial"/>
          <w:bCs/>
          <w:color w:val="161616"/>
          <w:lang w:eastAsia="en-GB"/>
        </w:rPr>
        <w:t xml:space="preserve">the absence of any </w:t>
      </w:r>
      <w:r w:rsidRPr="00BB5456">
        <w:rPr>
          <w:rFonts w:ascii="Verdana" w:eastAsia="Times New Roman" w:hAnsi="Verdana" w:cs="Arial"/>
          <w:bCs/>
          <w:color w:val="161616"/>
          <w:lang w:eastAsia="en-GB"/>
        </w:rPr>
        <w:t xml:space="preserve">children and young </w:t>
      </w:r>
      <w:r w:rsidR="00754E84" w:rsidRPr="00BB5456">
        <w:rPr>
          <w:rFonts w:ascii="Verdana" w:eastAsia="Times New Roman" w:hAnsi="Verdana" w:cs="Arial"/>
          <w:bCs/>
          <w:color w:val="161616"/>
          <w:lang w:eastAsia="en-GB"/>
        </w:rPr>
        <w:t>person’s</w:t>
      </w:r>
      <w:r w:rsidRPr="00BB5456">
        <w:rPr>
          <w:rFonts w:ascii="Verdana" w:eastAsia="Times New Roman" w:hAnsi="Verdana" w:cs="Arial"/>
          <w:bCs/>
          <w:color w:val="161616"/>
          <w:lang w:eastAsia="en-GB"/>
        </w:rPr>
        <w:t xml:space="preserve"> version of the consultation document</w:t>
      </w:r>
      <w:r w:rsidR="008972FA">
        <w:rPr>
          <w:rFonts w:ascii="Verdana" w:eastAsia="Times New Roman" w:hAnsi="Verdana" w:cs="Arial"/>
          <w:bCs/>
          <w:color w:val="161616"/>
          <w:lang w:eastAsia="en-GB"/>
        </w:rPr>
        <w:t xml:space="preserve">. </w:t>
      </w:r>
      <w:r w:rsidR="008C41FA" w:rsidRPr="00BB5456">
        <w:rPr>
          <w:rFonts w:ascii="Verdana" w:eastAsia="Times New Roman" w:hAnsi="Verdana" w:cs="Arial"/>
          <w:bCs/>
          <w:color w:val="161616"/>
          <w:lang w:eastAsia="en-GB"/>
        </w:rPr>
        <w:t>The NIHRC considers that children and young people should be engaged in</w:t>
      </w:r>
      <w:r w:rsidR="00C52F09" w:rsidRPr="00BB5456">
        <w:rPr>
          <w:rFonts w:ascii="Verdana" w:eastAsia="Times New Roman" w:hAnsi="Verdana" w:cs="Arial"/>
          <w:bCs/>
          <w:color w:val="161616"/>
          <w:lang w:eastAsia="en-GB"/>
        </w:rPr>
        <w:t xml:space="preserve"> both</w:t>
      </w:r>
      <w:r w:rsidR="008C41FA" w:rsidRPr="00BB5456">
        <w:rPr>
          <w:rFonts w:ascii="Verdana" w:eastAsia="Times New Roman" w:hAnsi="Verdana" w:cs="Arial"/>
          <w:bCs/>
          <w:color w:val="161616"/>
          <w:lang w:eastAsia="en-GB"/>
        </w:rPr>
        <w:t xml:space="preserve"> the development of</w:t>
      </w:r>
      <w:r w:rsidR="00C52F09" w:rsidRPr="00BB5456">
        <w:rPr>
          <w:rFonts w:ascii="Verdana" w:eastAsia="Times New Roman" w:hAnsi="Verdana" w:cs="Arial"/>
          <w:bCs/>
          <w:color w:val="161616"/>
          <w:lang w:eastAsia="en-GB"/>
        </w:rPr>
        <w:t xml:space="preserve"> RSE</w:t>
      </w:r>
      <w:r w:rsidR="008C41FA" w:rsidRPr="00BB5456">
        <w:rPr>
          <w:rFonts w:ascii="Verdana" w:eastAsia="Times New Roman" w:hAnsi="Verdana" w:cs="Arial"/>
          <w:bCs/>
          <w:color w:val="161616"/>
          <w:lang w:eastAsia="en-GB"/>
        </w:rPr>
        <w:t xml:space="preserve"> guidance and in the circumstances </w:t>
      </w:r>
      <w:r w:rsidR="00C52F09" w:rsidRPr="00BB5456">
        <w:rPr>
          <w:rFonts w:ascii="Verdana" w:eastAsia="Times New Roman" w:hAnsi="Verdana" w:cs="Arial"/>
          <w:bCs/>
          <w:color w:val="161616"/>
          <w:lang w:eastAsia="en-GB"/>
        </w:rPr>
        <w:t>relating to</w:t>
      </w:r>
      <w:r w:rsidR="008C41FA" w:rsidRPr="00BB5456">
        <w:rPr>
          <w:rFonts w:ascii="Verdana" w:eastAsia="Times New Roman" w:hAnsi="Verdana" w:cs="Arial"/>
          <w:bCs/>
          <w:color w:val="161616"/>
          <w:lang w:eastAsia="en-GB"/>
        </w:rPr>
        <w:t xml:space="preserve"> opt-outs. </w:t>
      </w:r>
    </w:p>
    <w:p w14:paraId="3D99F7C1" w14:textId="77777777" w:rsidR="00315D0D" w:rsidRDefault="00315D0D" w:rsidP="00315D0D">
      <w:pPr>
        <w:pStyle w:val="ListParagraph"/>
        <w:rPr>
          <w:rFonts w:ascii="Verdana" w:eastAsia="Times New Roman" w:hAnsi="Verdana" w:cs="Arial"/>
          <w:bCs/>
          <w:color w:val="161616"/>
          <w:lang w:eastAsia="en-GB"/>
        </w:rPr>
      </w:pPr>
    </w:p>
    <w:p w14:paraId="66A730F9" w14:textId="77777777" w:rsidR="008972FA" w:rsidRDefault="008972FA" w:rsidP="00315D0D">
      <w:pPr>
        <w:pStyle w:val="ListParagraph"/>
        <w:rPr>
          <w:rFonts w:ascii="Verdana" w:eastAsia="Times New Roman" w:hAnsi="Verdana" w:cs="Arial"/>
          <w:bCs/>
          <w:color w:val="161616"/>
          <w:lang w:eastAsia="en-GB"/>
        </w:rPr>
      </w:pPr>
    </w:p>
    <w:p w14:paraId="78238B75" w14:textId="3E4465A7" w:rsidR="00315D0D" w:rsidRPr="00BB5456" w:rsidRDefault="00315D0D" w:rsidP="00BB5456">
      <w:pPr>
        <w:pStyle w:val="ListParagraph"/>
        <w:numPr>
          <w:ilvl w:val="1"/>
          <w:numId w:val="15"/>
        </w:numPr>
        <w:spacing w:before="24" w:after="24" w:line="360" w:lineRule="auto"/>
        <w:rPr>
          <w:rFonts w:ascii="Verdana" w:eastAsia="Times New Roman" w:hAnsi="Verdana" w:cs="Arial"/>
          <w:b/>
          <w:color w:val="161616"/>
          <w:lang w:eastAsia="en-GB"/>
        </w:rPr>
      </w:pPr>
      <w:r w:rsidRPr="00BB5456">
        <w:rPr>
          <w:rFonts w:ascii="Verdana" w:eastAsia="Times New Roman" w:hAnsi="Verdana" w:cs="Arial"/>
          <w:b/>
          <w:color w:val="161616"/>
          <w:lang w:eastAsia="en-GB"/>
        </w:rPr>
        <w:t>The NIHRC recommends t</w:t>
      </w:r>
      <w:bookmarkStart w:id="18" w:name="_Hlk151109259"/>
      <w:r w:rsidRPr="00BB5456">
        <w:rPr>
          <w:rFonts w:ascii="Verdana" w:eastAsia="Times New Roman" w:hAnsi="Verdana" w:cs="Arial"/>
          <w:b/>
          <w:color w:val="161616"/>
          <w:lang w:eastAsia="en-GB"/>
        </w:rPr>
        <w:t xml:space="preserve">hat the implementation of the </w:t>
      </w:r>
      <w:r w:rsidR="00F322A4" w:rsidRPr="00BB5456">
        <w:rPr>
          <w:rFonts w:ascii="Verdana" w:eastAsia="Times New Roman" w:hAnsi="Verdana" w:cs="Arial"/>
          <w:b/>
          <w:color w:val="161616"/>
          <w:lang w:eastAsia="en-GB"/>
        </w:rPr>
        <w:t>amendments</w:t>
      </w:r>
      <w:r w:rsidRPr="00BB5456">
        <w:rPr>
          <w:rFonts w:ascii="Verdana" w:eastAsia="Times New Roman" w:hAnsi="Verdana" w:cs="Arial"/>
          <w:b/>
          <w:color w:val="161616"/>
          <w:lang w:eastAsia="en-GB"/>
        </w:rPr>
        <w:t xml:space="preserve"> to the Minimum Content Order </w:t>
      </w:r>
      <w:r w:rsidR="00285133" w:rsidRPr="00BB5456">
        <w:rPr>
          <w:rFonts w:ascii="Verdana" w:eastAsia="Times New Roman" w:hAnsi="Verdana" w:cs="Arial"/>
          <w:b/>
          <w:color w:val="161616"/>
          <w:lang w:eastAsia="en-GB"/>
        </w:rPr>
        <w:t>is</w:t>
      </w:r>
      <w:r w:rsidRPr="00BB5456">
        <w:rPr>
          <w:rFonts w:ascii="Verdana" w:eastAsia="Times New Roman" w:hAnsi="Verdana" w:cs="Arial"/>
          <w:b/>
          <w:color w:val="161616"/>
          <w:lang w:eastAsia="en-GB"/>
        </w:rPr>
        <w:t xml:space="preserve"> informed by the views and educational needs of </w:t>
      </w:r>
      <w:r w:rsidR="00D17FE1" w:rsidRPr="00BB5456">
        <w:rPr>
          <w:rFonts w:ascii="Verdana" w:eastAsia="Times New Roman" w:hAnsi="Verdana" w:cs="Arial"/>
          <w:b/>
          <w:color w:val="161616"/>
          <w:lang w:eastAsia="en-GB"/>
        </w:rPr>
        <w:t xml:space="preserve">children and </w:t>
      </w:r>
      <w:r w:rsidRPr="00BB5456">
        <w:rPr>
          <w:rFonts w:ascii="Verdana" w:eastAsia="Times New Roman" w:hAnsi="Verdana" w:cs="Arial"/>
          <w:b/>
          <w:color w:val="161616"/>
          <w:lang w:eastAsia="en-GB"/>
        </w:rPr>
        <w:t>young people. Care should be taken to ensure that engagement and consultation considers the needs of students with diverse gender and sexual identities, ethnic minority students and disabled students.</w:t>
      </w:r>
      <w:bookmarkEnd w:id="18"/>
    </w:p>
    <w:p w14:paraId="312F2435" w14:textId="77777777" w:rsidR="00B80404" w:rsidRPr="00C52F09" w:rsidRDefault="00B80404" w:rsidP="00C52F09">
      <w:pPr>
        <w:rPr>
          <w:rFonts w:ascii="Verdana" w:hAnsi="Verdana"/>
          <w:b/>
        </w:rPr>
      </w:pPr>
    </w:p>
    <w:p w14:paraId="772B8428" w14:textId="5E4E8F0A" w:rsidR="00CE60E9" w:rsidRPr="00DA40BA" w:rsidRDefault="00F23C6E" w:rsidP="00DA40BA">
      <w:pPr>
        <w:pStyle w:val="Heading1"/>
      </w:pPr>
      <w:bookmarkStart w:id="19" w:name="_Toc151712158"/>
      <w:r>
        <w:t>6</w:t>
      </w:r>
      <w:r w:rsidR="00CE60E9" w:rsidRPr="00564A3B">
        <w:t>.0</w:t>
      </w:r>
      <w:r w:rsidR="00CE60E9" w:rsidRPr="00564A3B">
        <w:tab/>
      </w:r>
      <w:r w:rsidR="00CE60E9">
        <w:t>Teaching and Learning Resources</w:t>
      </w:r>
      <w:bookmarkEnd w:id="19"/>
      <w:r w:rsidR="00CE60E9">
        <w:t xml:space="preserve">  </w:t>
      </w:r>
      <w:r w:rsidR="00CE60E9" w:rsidRPr="00564A3B">
        <w:t xml:space="preserve"> </w:t>
      </w:r>
    </w:p>
    <w:p w14:paraId="58B224A4" w14:textId="77777777" w:rsidR="00F23C6E" w:rsidRPr="00F23C6E" w:rsidRDefault="00F23C6E" w:rsidP="00F23C6E">
      <w:pPr>
        <w:pStyle w:val="ListParagraph"/>
        <w:numPr>
          <w:ilvl w:val="0"/>
          <w:numId w:val="12"/>
        </w:numPr>
        <w:spacing w:before="24" w:after="24" w:line="360" w:lineRule="auto"/>
        <w:rPr>
          <w:rFonts w:ascii="Verdana" w:hAnsi="Verdana" w:cs="Arial"/>
          <w:vanish/>
          <w:lang w:val="en-US"/>
        </w:rPr>
      </w:pPr>
    </w:p>
    <w:p w14:paraId="0C38A1D2" w14:textId="77777777" w:rsidR="00F23C6E" w:rsidRPr="00F23C6E" w:rsidRDefault="00F23C6E" w:rsidP="00F23C6E">
      <w:pPr>
        <w:pStyle w:val="ListParagraph"/>
        <w:numPr>
          <w:ilvl w:val="0"/>
          <w:numId w:val="12"/>
        </w:numPr>
        <w:spacing w:before="24" w:after="24" w:line="360" w:lineRule="auto"/>
        <w:rPr>
          <w:rFonts w:ascii="Verdana" w:hAnsi="Verdana" w:cs="Arial"/>
          <w:vanish/>
          <w:lang w:val="en-US"/>
        </w:rPr>
      </w:pPr>
    </w:p>
    <w:p w14:paraId="0E94FCC2" w14:textId="77777777" w:rsidR="00F23C6E" w:rsidRPr="00F23C6E" w:rsidRDefault="00F23C6E" w:rsidP="00F23C6E">
      <w:pPr>
        <w:pStyle w:val="ListParagraph"/>
        <w:numPr>
          <w:ilvl w:val="0"/>
          <w:numId w:val="12"/>
        </w:numPr>
        <w:spacing w:before="24" w:after="24" w:line="360" w:lineRule="auto"/>
        <w:rPr>
          <w:rFonts w:ascii="Verdana" w:hAnsi="Verdana" w:cs="Arial"/>
          <w:vanish/>
          <w:lang w:val="en-US"/>
        </w:rPr>
      </w:pPr>
    </w:p>
    <w:p w14:paraId="22D84159" w14:textId="77777777" w:rsidR="00F23C6E" w:rsidRPr="00F23C6E" w:rsidRDefault="00F23C6E" w:rsidP="00F23C6E">
      <w:pPr>
        <w:pStyle w:val="ListParagraph"/>
        <w:numPr>
          <w:ilvl w:val="0"/>
          <w:numId w:val="12"/>
        </w:numPr>
        <w:spacing w:before="24" w:after="24" w:line="360" w:lineRule="auto"/>
        <w:rPr>
          <w:rFonts w:ascii="Verdana" w:hAnsi="Verdana" w:cs="Arial"/>
          <w:vanish/>
          <w:lang w:val="en-US"/>
        </w:rPr>
      </w:pPr>
    </w:p>
    <w:p w14:paraId="55F84B43" w14:textId="77777777" w:rsidR="00F23C6E" w:rsidRPr="00F23C6E" w:rsidRDefault="00F23C6E" w:rsidP="00F23C6E">
      <w:pPr>
        <w:pStyle w:val="ListParagraph"/>
        <w:numPr>
          <w:ilvl w:val="0"/>
          <w:numId w:val="12"/>
        </w:numPr>
        <w:spacing w:before="24" w:after="24" w:line="360" w:lineRule="auto"/>
        <w:rPr>
          <w:rFonts w:ascii="Verdana" w:hAnsi="Verdana" w:cs="Arial"/>
          <w:vanish/>
          <w:lang w:val="en-US"/>
        </w:rPr>
      </w:pPr>
    </w:p>
    <w:p w14:paraId="5B79E1F3" w14:textId="7EE1D83D" w:rsidR="00CE60E9" w:rsidRPr="008A5CBE" w:rsidRDefault="00CE60E9" w:rsidP="00F23C6E">
      <w:pPr>
        <w:pStyle w:val="ListParagraph"/>
        <w:numPr>
          <w:ilvl w:val="1"/>
          <w:numId w:val="12"/>
        </w:numPr>
        <w:spacing w:before="24" w:after="24" w:line="360" w:lineRule="auto"/>
        <w:rPr>
          <w:rFonts w:ascii="Verdana" w:hAnsi="Verdana" w:cs="Arial"/>
          <w:lang w:val="en-US"/>
        </w:rPr>
      </w:pPr>
      <w:r w:rsidRPr="00B1028B">
        <w:rPr>
          <w:rFonts w:ascii="Verdana" w:hAnsi="Verdana" w:cs="Arial"/>
          <w:lang w:val="en-US"/>
        </w:rPr>
        <w:t>The UN CEDAW Committee has made clear that RSE should include scientifically based information relating to contraceptives and access to abortion services.</w:t>
      </w:r>
      <w:r>
        <w:rPr>
          <w:rStyle w:val="FootnoteReference"/>
          <w:rFonts w:ascii="Verdana" w:hAnsi="Verdana" w:cs="Arial"/>
          <w:lang w:val="en-US"/>
        </w:rPr>
        <w:footnoteReference w:id="44"/>
      </w:r>
      <w:r w:rsidRPr="00B1028B">
        <w:rPr>
          <w:rFonts w:ascii="Verdana" w:hAnsi="Verdana" w:cs="Arial"/>
          <w:lang w:val="en-US"/>
        </w:rPr>
        <w:t xml:space="preserve"> Human rights bodies have further found that education programmes should be </w:t>
      </w:r>
      <w:r w:rsidR="00D6659D">
        <w:rPr>
          <w:rFonts w:ascii="Verdana" w:hAnsi="Verdana" w:cs="Arial"/>
          <w:lang w:val="en-US"/>
        </w:rPr>
        <w:t>‘</w:t>
      </w:r>
      <w:r w:rsidRPr="00B1028B">
        <w:rPr>
          <w:rFonts w:ascii="Verdana" w:hAnsi="Verdana" w:cs="Arial"/>
          <w:lang w:val="en-US"/>
        </w:rPr>
        <w:t>non-judgemental</w:t>
      </w:r>
      <w:r w:rsidR="00D6659D">
        <w:rPr>
          <w:rFonts w:ascii="Verdana" w:hAnsi="Verdana" w:cs="Arial"/>
          <w:lang w:val="en-US"/>
        </w:rPr>
        <w:t>’</w:t>
      </w:r>
      <w:r w:rsidRPr="00B1028B">
        <w:rPr>
          <w:rFonts w:ascii="Verdana" w:hAnsi="Verdana" w:cs="Arial"/>
          <w:lang w:val="en-US"/>
        </w:rPr>
        <w:t xml:space="preserve"> and should take care not to reinforce harmful and demeaning stereotypes.</w:t>
      </w:r>
      <w:r w:rsidRPr="007224B6">
        <w:rPr>
          <w:rFonts w:ascii="Verdana" w:hAnsi="Verdana"/>
          <w:vertAlign w:val="superscript"/>
          <w:lang w:val="en-US"/>
        </w:rPr>
        <w:footnoteReference w:id="45"/>
      </w:r>
      <w:r w:rsidRPr="007224B6">
        <w:rPr>
          <w:rFonts w:ascii="Verdana" w:hAnsi="Verdana" w:cs="Arial"/>
          <w:vertAlign w:val="superscript"/>
          <w:lang w:val="en-US"/>
        </w:rPr>
        <w:t xml:space="preserve"> </w:t>
      </w:r>
    </w:p>
    <w:p w14:paraId="6DDE0503" w14:textId="77777777" w:rsidR="00CE60E9" w:rsidRPr="008A5CBE" w:rsidRDefault="00CE60E9" w:rsidP="00CE60E9">
      <w:pPr>
        <w:pStyle w:val="ListParagraph"/>
        <w:spacing w:before="24" w:after="24" w:line="360" w:lineRule="auto"/>
        <w:rPr>
          <w:rFonts w:ascii="Verdana" w:hAnsi="Verdana" w:cs="Arial"/>
          <w:lang w:val="en-US"/>
        </w:rPr>
      </w:pPr>
    </w:p>
    <w:p w14:paraId="797326D8" w14:textId="2FD2A345" w:rsidR="00CE60E9" w:rsidRPr="008A5CBE" w:rsidRDefault="00CE60E9" w:rsidP="00CE60E9">
      <w:pPr>
        <w:pStyle w:val="ListParagraph"/>
        <w:numPr>
          <w:ilvl w:val="1"/>
          <w:numId w:val="12"/>
        </w:numPr>
        <w:spacing w:before="24" w:after="24" w:line="360" w:lineRule="auto"/>
        <w:rPr>
          <w:rFonts w:ascii="Verdana" w:hAnsi="Verdana" w:cs="Arial"/>
          <w:lang w:val="en-US"/>
        </w:rPr>
      </w:pPr>
      <w:r w:rsidRPr="008A5CBE">
        <w:rPr>
          <w:rFonts w:ascii="Verdana" w:hAnsi="Verdana" w:cs="Arial"/>
        </w:rPr>
        <w:t>Within th</w:t>
      </w:r>
      <w:r w:rsidR="00D6659D">
        <w:rPr>
          <w:rFonts w:ascii="Verdana" w:hAnsi="Verdana" w:cs="Arial"/>
        </w:rPr>
        <w:t>is</w:t>
      </w:r>
      <w:r w:rsidRPr="008A5CBE">
        <w:rPr>
          <w:rFonts w:ascii="Verdana" w:hAnsi="Verdana" w:cs="Arial"/>
        </w:rPr>
        <w:t xml:space="preserve"> consultation document, </w:t>
      </w:r>
      <w:r w:rsidR="00DA0695">
        <w:rPr>
          <w:rFonts w:ascii="Verdana" w:hAnsi="Verdana" w:cs="Arial"/>
        </w:rPr>
        <w:t>t</w:t>
      </w:r>
      <w:r w:rsidRPr="008A5CBE">
        <w:rPr>
          <w:rFonts w:ascii="Verdana" w:hAnsi="Verdana" w:cs="Arial"/>
        </w:rPr>
        <w:t>he Department of Education is seeking views on whether:</w:t>
      </w:r>
    </w:p>
    <w:p w14:paraId="51A615E4" w14:textId="77777777" w:rsidR="00CE60E9" w:rsidRDefault="00CE60E9" w:rsidP="00CE60E9">
      <w:pPr>
        <w:spacing w:before="24" w:after="24" w:line="360" w:lineRule="auto"/>
        <w:rPr>
          <w:rFonts w:ascii="Verdana" w:hAnsi="Verdana" w:cs="Arial"/>
        </w:rPr>
      </w:pPr>
    </w:p>
    <w:p w14:paraId="6BA2BB8B" w14:textId="0B783AD1" w:rsidR="00CE60E9" w:rsidRPr="008A5CBE" w:rsidRDefault="00CE60E9" w:rsidP="00DB5981">
      <w:pPr>
        <w:spacing w:before="24" w:after="24" w:line="360" w:lineRule="auto"/>
        <w:ind w:left="862" w:right="862"/>
        <w:rPr>
          <w:rFonts w:ascii="Verdana" w:hAnsi="Verdana" w:cs="Arial"/>
        </w:rPr>
      </w:pPr>
      <w:r>
        <w:rPr>
          <w:rFonts w:ascii="Verdana" w:hAnsi="Verdana" w:cs="Arial"/>
        </w:rPr>
        <w:t>T</w:t>
      </w:r>
      <w:r w:rsidRPr="00AC2EA0">
        <w:rPr>
          <w:rFonts w:ascii="Verdana" w:hAnsi="Verdana" w:cs="Arial"/>
        </w:rPr>
        <w:t>he content of teaching and learning resources for Learning for Life and Work developed by CCEA should be factual and contain age-appropriate, comprehensive and scientifically accurate education on sexual and reproductive health and rights, covering prevention of early pregnancy and access to abortion and these resources should not advocate, or oppose, a particular view on the moral and ethical considerations of abortion or contraception</w:t>
      </w:r>
      <w:r w:rsidR="00EE3233">
        <w:rPr>
          <w:rFonts w:ascii="Verdana" w:hAnsi="Verdana" w:cs="Arial"/>
        </w:rPr>
        <w:t>.</w:t>
      </w:r>
      <w:r w:rsidR="002436EB">
        <w:rPr>
          <w:rStyle w:val="FootnoteReference"/>
          <w:rFonts w:ascii="Verdana" w:hAnsi="Verdana" w:cs="Arial"/>
        </w:rPr>
        <w:footnoteReference w:id="46"/>
      </w:r>
    </w:p>
    <w:p w14:paraId="5D01BD07" w14:textId="77777777" w:rsidR="00CE60E9" w:rsidRPr="00ED6036" w:rsidRDefault="00CE60E9" w:rsidP="00CE60E9">
      <w:pPr>
        <w:spacing w:before="24" w:after="24" w:line="360" w:lineRule="auto"/>
        <w:rPr>
          <w:rFonts w:ascii="Verdana" w:hAnsi="Verdana" w:cs="Arial"/>
          <w:lang w:val="en-US"/>
        </w:rPr>
      </w:pPr>
    </w:p>
    <w:p w14:paraId="26BDA75C" w14:textId="6317B598" w:rsidR="00CE60E9" w:rsidRDefault="00CE60E9" w:rsidP="00CE60E9">
      <w:pPr>
        <w:pStyle w:val="ListParagraph"/>
        <w:numPr>
          <w:ilvl w:val="1"/>
          <w:numId w:val="12"/>
        </w:numPr>
        <w:spacing w:before="24" w:after="24" w:line="360" w:lineRule="auto"/>
        <w:rPr>
          <w:rFonts w:ascii="Verdana" w:hAnsi="Verdana" w:cs="Arial"/>
          <w:lang w:val="en-US"/>
        </w:rPr>
      </w:pPr>
      <w:r w:rsidRPr="00B1028B">
        <w:rPr>
          <w:rFonts w:ascii="Verdana" w:hAnsi="Verdana" w:cs="Arial"/>
          <w:lang w:val="en-US"/>
        </w:rPr>
        <w:t xml:space="preserve">The NIHRC investigation found many resources available on the CCEA RSE Hub that align with a rights-based approach to RSE. However, further analysis is required to ensure </w:t>
      </w:r>
      <w:r w:rsidR="00D6659D">
        <w:rPr>
          <w:rFonts w:ascii="Verdana" w:hAnsi="Verdana" w:cs="Arial"/>
          <w:lang w:val="en-US"/>
        </w:rPr>
        <w:t xml:space="preserve">that </w:t>
      </w:r>
      <w:r w:rsidRPr="00B1028B">
        <w:rPr>
          <w:rFonts w:ascii="Verdana" w:hAnsi="Verdana" w:cs="Arial"/>
          <w:lang w:val="en-US"/>
        </w:rPr>
        <w:t>there is comprehensive and scientifically accurate information on access to abortion services and that resources do not reinforce harmful norms and stereotypes.</w:t>
      </w:r>
      <w:r w:rsidR="00700C8D">
        <w:rPr>
          <w:rStyle w:val="FootnoteReference"/>
          <w:rFonts w:ascii="Verdana" w:hAnsi="Verdana" w:cs="Arial"/>
          <w:lang w:val="en-US"/>
        </w:rPr>
        <w:footnoteReference w:id="47"/>
      </w:r>
      <w:r w:rsidRPr="00B1028B">
        <w:rPr>
          <w:rFonts w:ascii="Verdana" w:hAnsi="Verdana" w:cs="Arial"/>
          <w:lang w:val="en-US"/>
        </w:rPr>
        <w:t xml:space="preserve"> </w:t>
      </w:r>
    </w:p>
    <w:p w14:paraId="54CA4AE3" w14:textId="77777777" w:rsidR="00CE60E9" w:rsidRDefault="00CE60E9" w:rsidP="00CE60E9">
      <w:pPr>
        <w:pStyle w:val="ListParagraph"/>
        <w:spacing w:before="24" w:after="24" w:line="360" w:lineRule="auto"/>
        <w:rPr>
          <w:rFonts w:ascii="Verdana" w:hAnsi="Verdana" w:cs="Arial"/>
          <w:lang w:val="en-US"/>
        </w:rPr>
      </w:pPr>
    </w:p>
    <w:p w14:paraId="3ED7FA2E" w14:textId="674A03FB" w:rsidR="0030318C" w:rsidRPr="008D040A" w:rsidRDefault="00CE60E9" w:rsidP="0030318C">
      <w:pPr>
        <w:pStyle w:val="ListParagraph"/>
        <w:numPr>
          <w:ilvl w:val="1"/>
          <w:numId w:val="12"/>
        </w:numPr>
        <w:spacing w:before="24" w:after="24" w:line="360" w:lineRule="auto"/>
        <w:rPr>
          <w:rFonts w:ascii="Verdana" w:hAnsi="Verdana" w:cs="Arial"/>
          <w:lang w:val="en-US"/>
        </w:rPr>
      </w:pPr>
      <w:r w:rsidRPr="00852BE9">
        <w:rPr>
          <w:rFonts w:ascii="Verdana" w:eastAsiaTheme="minorHAnsi" w:hAnsi="Verdana"/>
          <w:b/>
          <w:bCs/>
          <w:kern w:val="2"/>
          <w14:ligatures w14:val="standardContextual"/>
        </w:rPr>
        <w:t xml:space="preserve">The NIHRC recommends </w:t>
      </w:r>
      <w:bookmarkStart w:id="20" w:name="_Hlk151109314"/>
      <w:r w:rsidRPr="00852BE9">
        <w:rPr>
          <w:rFonts w:ascii="Verdana" w:eastAsiaTheme="minorHAnsi" w:hAnsi="Verdana"/>
          <w:b/>
          <w:bCs/>
          <w:kern w:val="2"/>
          <w14:ligatures w14:val="standardContextual"/>
        </w:rPr>
        <w:t xml:space="preserve">that the CCEA should review resources provided under the RSE hub to ensure they align with a rights-based approach to RSE and meet the requirements set out in CEDAW Committee recommendation 86(d). </w:t>
      </w:r>
      <w:bookmarkEnd w:id="20"/>
    </w:p>
    <w:p w14:paraId="24023E49" w14:textId="0CB3223F" w:rsidR="00EA0C16" w:rsidRPr="00564A3B" w:rsidRDefault="00EA0C16" w:rsidP="002D5470">
      <w:pPr>
        <w:rPr>
          <w:rFonts w:ascii="Verdana" w:hAnsi="Verdana"/>
        </w:rPr>
      </w:pPr>
    </w:p>
    <w:p w14:paraId="308566A4" w14:textId="718FA521" w:rsidR="00057D06" w:rsidRPr="00564A3B" w:rsidRDefault="00F23C6E" w:rsidP="00982183">
      <w:pPr>
        <w:pStyle w:val="Heading1"/>
      </w:pPr>
      <w:bookmarkStart w:id="21" w:name="_Toc151712159"/>
      <w:r>
        <w:t xml:space="preserve">7.0 </w:t>
      </w:r>
      <w:r w:rsidR="004675D5">
        <w:t>Human Rights Impact Assessment</w:t>
      </w:r>
      <w:bookmarkEnd w:id="21"/>
      <w:r w:rsidR="004675D5">
        <w:t xml:space="preserve"> </w:t>
      </w:r>
    </w:p>
    <w:p w14:paraId="24BFDEA2" w14:textId="77777777" w:rsidR="00F23C6E" w:rsidRPr="00F23C6E" w:rsidRDefault="00F23C6E" w:rsidP="00F23C6E">
      <w:pPr>
        <w:pStyle w:val="ListParagraph"/>
        <w:numPr>
          <w:ilvl w:val="0"/>
          <w:numId w:val="12"/>
        </w:numPr>
        <w:spacing w:before="24" w:after="24" w:line="360" w:lineRule="auto"/>
        <w:rPr>
          <w:rFonts w:ascii="Verdana" w:hAnsi="Verdana" w:cs="Arial"/>
          <w:vanish/>
          <w:lang w:val="en-US"/>
        </w:rPr>
      </w:pPr>
    </w:p>
    <w:p w14:paraId="6580D337" w14:textId="78A02ADC" w:rsidR="003C4C3C" w:rsidRPr="00F41B33" w:rsidRDefault="002E217B" w:rsidP="00F23C6E">
      <w:pPr>
        <w:pStyle w:val="ListParagraph"/>
        <w:numPr>
          <w:ilvl w:val="1"/>
          <w:numId w:val="12"/>
        </w:numPr>
        <w:spacing w:before="24" w:after="24" w:line="360" w:lineRule="auto"/>
        <w:rPr>
          <w:rFonts w:ascii="Verdana" w:hAnsi="Verdana" w:cs="Arial"/>
          <w:lang w:val="en-US"/>
        </w:rPr>
      </w:pPr>
      <w:r w:rsidRPr="00F41B33">
        <w:rPr>
          <w:rFonts w:ascii="Verdana" w:hAnsi="Verdana" w:cs="Arial"/>
          <w:lang w:val="en-US"/>
        </w:rPr>
        <w:t xml:space="preserve">The screening document </w:t>
      </w:r>
      <w:r w:rsidR="0086472E" w:rsidRPr="00F41B33">
        <w:rPr>
          <w:rFonts w:ascii="Verdana" w:hAnsi="Verdana" w:cs="Arial"/>
          <w:lang w:val="en-US"/>
        </w:rPr>
        <w:t xml:space="preserve">notes that </w:t>
      </w:r>
      <w:proofErr w:type="gramStart"/>
      <w:r w:rsidR="0086472E" w:rsidRPr="00F41B33">
        <w:rPr>
          <w:rFonts w:ascii="Verdana" w:hAnsi="Verdana" w:cs="Arial"/>
          <w:lang w:val="en-US"/>
        </w:rPr>
        <w:t>a number of</w:t>
      </w:r>
      <w:proofErr w:type="gramEnd"/>
      <w:r w:rsidR="0086472E" w:rsidRPr="00F41B33">
        <w:rPr>
          <w:rFonts w:ascii="Verdana" w:hAnsi="Verdana" w:cs="Arial"/>
          <w:lang w:val="en-US"/>
        </w:rPr>
        <w:t xml:space="preserve"> rights may be </w:t>
      </w:r>
      <w:r w:rsidR="00D955A4">
        <w:rPr>
          <w:rFonts w:ascii="Verdana" w:hAnsi="Verdana" w:cs="Arial"/>
          <w:lang w:val="en-US"/>
        </w:rPr>
        <w:t>engaged</w:t>
      </w:r>
      <w:r w:rsidR="00D955A4" w:rsidRPr="00F41B33">
        <w:rPr>
          <w:rFonts w:ascii="Verdana" w:hAnsi="Verdana" w:cs="Arial"/>
          <w:lang w:val="en-US"/>
        </w:rPr>
        <w:t xml:space="preserve"> </w:t>
      </w:r>
      <w:r w:rsidR="0086472E" w:rsidRPr="00F41B33">
        <w:rPr>
          <w:rFonts w:ascii="Verdana" w:hAnsi="Verdana" w:cs="Arial"/>
          <w:lang w:val="en-US"/>
        </w:rPr>
        <w:t xml:space="preserve">by </w:t>
      </w:r>
      <w:r w:rsidR="0089316A" w:rsidRPr="00F41B33">
        <w:rPr>
          <w:rFonts w:ascii="Verdana" w:hAnsi="Verdana" w:cs="Arial"/>
          <w:lang w:val="en-US"/>
        </w:rPr>
        <w:t xml:space="preserve">the </w:t>
      </w:r>
      <w:r w:rsidR="00B96E78" w:rsidRPr="00F41B33">
        <w:rPr>
          <w:rFonts w:ascii="Verdana" w:hAnsi="Verdana" w:cs="Arial"/>
          <w:lang w:val="en-US"/>
        </w:rPr>
        <w:t xml:space="preserve">amendment to the Minimum Content Order and its implementation. It </w:t>
      </w:r>
      <w:r w:rsidR="00D955A4">
        <w:rPr>
          <w:rFonts w:ascii="Verdana" w:hAnsi="Verdana" w:cs="Arial"/>
          <w:lang w:val="en-US"/>
        </w:rPr>
        <w:t>states</w:t>
      </w:r>
      <w:r w:rsidR="00D955A4" w:rsidRPr="00F41B33">
        <w:rPr>
          <w:rFonts w:ascii="Verdana" w:hAnsi="Verdana" w:cs="Arial"/>
          <w:lang w:val="en-US"/>
        </w:rPr>
        <w:t xml:space="preserve"> </w:t>
      </w:r>
      <w:r w:rsidRPr="00F41B33">
        <w:rPr>
          <w:rFonts w:ascii="Verdana" w:hAnsi="Verdana" w:cs="Arial"/>
          <w:lang w:val="en-US"/>
        </w:rPr>
        <w:t>that actions to promote human rights will be included in the guidance being developed by the Department of Education</w:t>
      </w:r>
      <w:r w:rsidR="00097DA7" w:rsidRPr="00F41B33">
        <w:rPr>
          <w:rFonts w:ascii="Verdana" w:hAnsi="Verdana" w:cs="Arial"/>
          <w:lang w:val="en-US"/>
        </w:rPr>
        <w:t>.</w:t>
      </w:r>
      <w:r w:rsidR="00850AF7">
        <w:rPr>
          <w:rStyle w:val="FootnoteReference"/>
          <w:rFonts w:ascii="Verdana" w:hAnsi="Verdana" w:cs="Arial"/>
          <w:lang w:val="en-US"/>
        </w:rPr>
        <w:footnoteReference w:id="48"/>
      </w:r>
      <w:r w:rsidR="00097DA7" w:rsidRPr="00F41B33">
        <w:rPr>
          <w:rFonts w:ascii="Verdana" w:hAnsi="Verdana" w:cs="Arial"/>
          <w:lang w:val="en-US"/>
        </w:rPr>
        <w:t xml:space="preserve"> </w:t>
      </w:r>
    </w:p>
    <w:p w14:paraId="2FCC0C1C" w14:textId="77777777" w:rsidR="00F41B33" w:rsidRPr="003C4C3C" w:rsidRDefault="00F41B33" w:rsidP="001744A0">
      <w:pPr>
        <w:spacing w:before="24" w:after="24" w:line="360" w:lineRule="auto"/>
        <w:rPr>
          <w:rFonts w:ascii="Verdana" w:hAnsi="Verdana"/>
          <w:bCs/>
        </w:rPr>
      </w:pPr>
    </w:p>
    <w:p w14:paraId="08C65889" w14:textId="762CB5C8" w:rsidR="00780574" w:rsidRDefault="003C4C3C" w:rsidP="00F41B33">
      <w:pPr>
        <w:pStyle w:val="ListParagraph"/>
        <w:numPr>
          <w:ilvl w:val="1"/>
          <w:numId w:val="12"/>
        </w:numPr>
        <w:spacing w:before="24" w:after="24" w:line="360" w:lineRule="auto"/>
        <w:rPr>
          <w:rFonts w:ascii="Verdana" w:hAnsi="Verdana" w:cs="Arial"/>
          <w:lang w:val="en-US"/>
        </w:rPr>
      </w:pPr>
      <w:r w:rsidRPr="00F41B33">
        <w:rPr>
          <w:rFonts w:ascii="Verdana" w:hAnsi="Verdana" w:cs="Arial"/>
          <w:lang w:val="en-US"/>
        </w:rPr>
        <w:lastRenderedPageBreak/>
        <w:t xml:space="preserve">In line with the Department’s obligations under the Human Rights Act 1998 and </w:t>
      </w:r>
      <w:r w:rsidR="00D955A4">
        <w:rPr>
          <w:rFonts w:ascii="Verdana" w:hAnsi="Verdana" w:cs="Arial"/>
          <w:lang w:val="en-US"/>
        </w:rPr>
        <w:t xml:space="preserve">the </w:t>
      </w:r>
      <w:r w:rsidRPr="00F41B33">
        <w:rPr>
          <w:rFonts w:ascii="Verdana" w:hAnsi="Verdana" w:cs="Arial"/>
          <w:lang w:val="en-US"/>
        </w:rPr>
        <w:t xml:space="preserve">Northern Ireland Act 1998, a Human Rights Impact Assessment </w:t>
      </w:r>
      <w:r w:rsidR="00D955A4">
        <w:rPr>
          <w:rFonts w:ascii="Verdana" w:hAnsi="Verdana" w:cs="Arial"/>
          <w:lang w:val="en-US"/>
        </w:rPr>
        <w:t>should always be completed before the development of law and policy.</w:t>
      </w:r>
      <w:r w:rsidRPr="00F41B33">
        <w:rPr>
          <w:rFonts w:ascii="Verdana" w:hAnsi="Verdana" w:cs="Arial"/>
          <w:lang w:val="en-US"/>
        </w:rPr>
        <w:t xml:space="preserve"> </w:t>
      </w:r>
      <w:r w:rsidR="00D955A4">
        <w:rPr>
          <w:rFonts w:ascii="Verdana" w:hAnsi="Verdana" w:cs="Arial"/>
          <w:lang w:val="en-US"/>
        </w:rPr>
        <w:t xml:space="preserve">In the instant case, this means </w:t>
      </w:r>
      <w:r w:rsidR="00366BF4">
        <w:rPr>
          <w:rFonts w:ascii="Verdana" w:hAnsi="Verdana" w:cs="Arial"/>
          <w:lang w:val="en-US"/>
        </w:rPr>
        <w:t>that a full human rights impact assessment should be conducted to inform the development of the</w:t>
      </w:r>
      <w:r w:rsidR="00466225">
        <w:rPr>
          <w:rFonts w:ascii="Verdana" w:hAnsi="Verdana" w:cs="Arial"/>
          <w:lang w:val="en-US"/>
        </w:rPr>
        <w:t xml:space="preserve"> </w:t>
      </w:r>
      <w:r w:rsidR="00366BF4">
        <w:rPr>
          <w:rFonts w:ascii="Verdana" w:hAnsi="Verdana" w:cs="Arial"/>
          <w:lang w:val="en-US"/>
        </w:rPr>
        <w:t>statutory guidance</w:t>
      </w:r>
      <w:r w:rsidR="00BA5236">
        <w:rPr>
          <w:rFonts w:ascii="Verdana" w:hAnsi="Verdana" w:cs="Arial"/>
          <w:lang w:val="en-US"/>
        </w:rPr>
        <w:t xml:space="preserve"> and </w:t>
      </w:r>
      <w:r w:rsidR="00805B3B">
        <w:rPr>
          <w:rFonts w:ascii="Verdana" w:hAnsi="Verdana" w:cs="Arial"/>
          <w:lang w:val="en-US"/>
        </w:rPr>
        <w:t xml:space="preserve">regulations </w:t>
      </w:r>
      <w:r w:rsidR="00BA5236">
        <w:rPr>
          <w:rFonts w:ascii="Verdana" w:hAnsi="Verdana" w:cs="Arial"/>
          <w:lang w:val="en-US"/>
        </w:rPr>
        <w:t>on parental withdrawal</w:t>
      </w:r>
      <w:r w:rsidR="00AA5FBC">
        <w:rPr>
          <w:rFonts w:ascii="Verdana" w:hAnsi="Verdana" w:cs="Arial"/>
          <w:lang w:val="en-US"/>
        </w:rPr>
        <w:t xml:space="preserve">. </w:t>
      </w:r>
    </w:p>
    <w:p w14:paraId="7337D3BC" w14:textId="77777777" w:rsidR="00894697" w:rsidRPr="00894697" w:rsidRDefault="00894697" w:rsidP="00894697">
      <w:pPr>
        <w:pStyle w:val="ListParagraph"/>
        <w:rPr>
          <w:rFonts w:ascii="Verdana" w:hAnsi="Verdana" w:cs="Arial"/>
          <w:lang w:val="en-US"/>
        </w:rPr>
      </w:pPr>
    </w:p>
    <w:p w14:paraId="098F12E0" w14:textId="4976BAD1" w:rsidR="00894697" w:rsidRPr="00894697" w:rsidRDefault="00894697" w:rsidP="00894697">
      <w:pPr>
        <w:pStyle w:val="ListParagraph"/>
        <w:numPr>
          <w:ilvl w:val="1"/>
          <w:numId w:val="12"/>
        </w:numPr>
        <w:spacing w:line="360" w:lineRule="auto"/>
        <w:rPr>
          <w:rFonts w:ascii="Verdana" w:hAnsi="Verdana" w:cs="Arial"/>
          <w:b/>
          <w:bCs/>
          <w:lang w:val="en-US"/>
        </w:rPr>
      </w:pPr>
      <w:r w:rsidRPr="00894697">
        <w:rPr>
          <w:rFonts w:ascii="Verdana" w:hAnsi="Verdana" w:cs="Arial"/>
          <w:b/>
          <w:bCs/>
          <w:lang w:val="en-US"/>
        </w:rPr>
        <w:t xml:space="preserve">The NIHRC recommends </w:t>
      </w:r>
      <w:bookmarkStart w:id="22" w:name="_Hlk151109343"/>
      <w:r w:rsidRPr="00894697">
        <w:rPr>
          <w:rFonts w:ascii="Verdana" w:hAnsi="Verdana" w:cs="Arial"/>
          <w:b/>
          <w:bCs/>
          <w:lang w:val="en-US"/>
        </w:rPr>
        <w:t xml:space="preserve">that the Department </w:t>
      </w:r>
      <w:r w:rsidR="00494D30">
        <w:rPr>
          <w:rFonts w:ascii="Verdana" w:hAnsi="Verdana" w:cs="Arial"/>
          <w:b/>
          <w:bCs/>
          <w:lang w:val="en-US"/>
        </w:rPr>
        <w:t xml:space="preserve">of Education </w:t>
      </w:r>
      <w:r w:rsidRPr="00894697">
        <w:rPr>
          <w:rFonts w:ascii="Verdana" w:hAnsi="Verdana" w:cs="Arial"/>
          <w:b/>
          <w:bCs/>
          <w:lang w:val="en-US"/>
        </w:rPr>
        <w:t>conduct</w:t>
      </w:r>
      <w:r w:rsidR="00494D30">
        <w:rPr>
          <w:rFonts w:ascii="Verdana" w:hAnsi="Verdana" w:cs="Arial"/>
          <w:b/>
          <w:bCs/>
          <w:lang w:val="en-US"/>
        </w:rPr>
        <w:t xml:space="preserve">s </w:t>
      </w:r>
      <w:r w:rsidRPr="00894697">
        <w:rPr>
          <w:rFonts w:ascii="Verdana" w:hAnsi="Verdana" w:cs="Arial"/>
          <w:b/>
          <w:bCs/>
          <w:lang w:val="en-US"/>
        </w:rPr>
        <w:t>a Human Rights Impact Assessment</w:t>
      </w:r>
      <w:r w:rsidR="00D955A4">
        <w:rPr>
          <w:rFonts w:ascii="Verdana" w:hAnsi="Verdana" w:cs="Arial"/>
          <w:b/>
          <w:bCs/>
          <w:lang w:val="en-US"/>
        </w:rPr>
        <w:t>.</w:t>
      </w:r>
      <w:bookmarkEnd w:id="22"/>
    </w:p>
    <w:p w14:paraId="66F8D608" w14:textId="77777777" w:rsidR="00894697" w:rsidRPr="00F41B33" w:rsidRDefault="00894697" w:rsidP="00894697">
      <w:pPr>
        <w:pStyle w:val="ListParagraph"/>
        <w:spacing w:before="24" w:after="24" w:line="360" w:lineRule="auto"/>
        <w:rPr>
          <w:rFonts w:ascii="Verdana" w:hAnsi="Verdana" w:cs="Arial"/>
          <w:lang w:val="en-US"/>
        </w:rPr>
      </w:pPr>
    </w:p>
    <w:p w14:paraId="4EC2AD7D" w14:textId="77777777" w:rsidR="001720E8" w:rsidRDefault="001720E8" w:rsidP="001720E8">
      <w:pPr>
        <w:spacing w:before="24" w:after="24"/>
        <w:rPr>
          <w:rFonts w:ascii="Verdana" w:hAnsi="Verdana"/>
        </w:rPr>
      </w:pPr>
    </w:p>
    <w:p w14:paraId="5CBA0245" w14:textId="77777777" w:rsidR="00F05A90" w:rsidRDefault="00F05A90" w:rsidP="001720E8">
      <w:pPr>
        <w:spacing w:before="24" w:after="24"/>
        <w:rPr>
          <w:rFonts w:ascii="Verdana" w:hAnsi="Verdana"/>
        </w:rPr>
      </w:pPr>
    </w:p>
    <w:p w14:paraId="05528029" w14:textId="77777777" w:rsidR="00F05A90" w:rsidRDefault="00F05A90" w:rsidP="001720E8">
      <w:pPr>
        <w:spacing w:before="24" w:after="24"/>
        <w:rPr>
          <w:rFonts w:ascii="Verdana" w:hAnsi="Verdana"/>
        </w:rPr>
      </w:pPr>
    </w:p>
    <w:p w14:paraId="5491B771" w14:textId="77777777" w:rsidR="00F05A90" w:rsidRDefault="00F05A90" w:rsidP="001720E8">
      <w:pPr>
        <w:spacing w:before="24" w:after="24"/>
        <w:rPr>
          <w:rFonts w:ascii="Verdana" w:hAnsi="Verdana"/>
        </w:rPr>
      </w:pPr>
    </w:p>
    <w:p w14:paraId="62B8E492" w14:textId="77777777" w:rsidR="00F05A90" w:rsidRDefault="00F05A90" w:rsidP="001720E8">
      <w:pPr>
        <w:spacing w:before="24" w:after="24"/>
        <w:rPr>
          <w:rFonts w:ascii="Verdana" w:hAnsi="Verdana"/>
        </w:rPr>
      </w:pPr>
    </w:p>
    <w:p w14:paraId="3EE41408" w14:textId="77777777" w:rsidR="00F05A90" w:rsidRDefault="00F05A90" w:rsidP="001720E8">
      <w:pPr>
        <w:spacing w:before="24" w:after="24"/>
        <w:rPr>
          <w:rFonts w:ascii="Verdana" w:hAnsi="Verdana"/>
        </w:rPr>
      </w:pPr>
    </w:p>
    <w:p w14:paraId="32375FD7" w14:textId="77777777" w:rsidR="00F05A90" w:rsidRDefault="00F05A90" w:rsidP="001720E8">
      <w:pPr>
        <w:spacing w:before="24" w:after="24"/>
        <w:rPr>
          <w:rFonts w:ascii="Verdana" w:hAnsi="Verdana"/>
        </w:rPr>
      </w:pPr>
    </w:p>
    <w:p w14:paraId="58237712" w14:textId="77777777" w:rsidR="00F05A90" w:rsidRDefault="00F05A90" w:rsidP="001720E8">
      <w:pPr>
        <w:spacing w:before="24" w:after="24"/>
        <w:rPr>
          <w:rFonts w:ascii="Verdana" w:hAnsi="Verdana"/>
        </w:rPr>
      </w:pPr>
    </w:p>
    <w:p w14:paraId="6CFFC618" w14:textId="77777777" w:rsidR="00F05A90" w:rsidRDefault="00F05A90" w:rsidP="001720E8">
      <w:pPr>
        <w:spacing w:before="24" w:after="24"/>
        <w:rPr>
          <w:rFonts w:ascii="Verdana" w:hAnsi="Verdana"/>
        </w:rPr>
      </w:pPr>
    </w:p>
    <w:p w14:paraId="0843FA74" w14:textId="77777777" w:rsidR="00F05A90" w:rsidRDefault="00F05A90" w:rsidP="001720E8">
      <w:pPr>
        <w:spacing w:before="24" w:after="24"/>
        <w:rPr>
          <w:rFonts w:ascii="Verdana" w:hAnsi="Verdana"/>
        </w:rPr>
      </w:pPr>
    </w:p>
    <w:p w14:paraId="20777AAF" w14:textId="77777777" w:rsidR="00F05A90" w:rsidRDefault="00F05A90" w:rsidP="001720E8">
      <w:pPr>
        <w:spacing w:before="24" w:after="24"/>
        <w:rPr>
          <w:rFonts w:ascii="Verdana" w:hAnsi="Verdana"/>
        </w:rPr>
      </w:pPr>
    </w:p>
    <w:p w14:paraId="4AF69118" w14:textId="77777777" w:rsidR="008972FA" w:rsidRDefault="008972FA" w:rsidP="001720E8">
      <w:pPr>
        <w:spacing w:before="24" w:after="24"/>
        <w:rPr>
          <w:rFonts w:ascii="Verdana" w:hAnsi="Verdana"/>
        </w:rPr>
      </w:pPr>
    </w:p>
    <w:p w14:paraId="748CE40A" w14:textId="77777777" w:rsidR="008972FA" w:rsidRDefault="008972FA" w:rsidP="001720E8">
      <w:pPr>
        <w:spacing w:before="24" w:after="24"/>
        <w:rPr>
          <w:rFonts w:ascii="Verdana" w:hAnsi="Verdana"/>
        </w:rPr>
      </w:pPr>
    </w:p>
    <w:p w14:paraId="3A3AFF1C" w14:textId="77777777" w:rsidR="008972FA" w:rsidRDefault="008972FA" w:rsidP="001720E8">
      <w:pPr>
        <w:spacing w:before="24" w:after="24"/>
        <w:rPr>
          <w:rFonts w:ascii="Verdana" w:hAnsi="Verdana"/>
        </w:rPr>
      </w:pPr>
    </w:p>
    <w:p w14:paraId="7DFB0A83" w14:textId="77777777" w:rsidR="008972FA" w:rsidRDefault="008972FA" w:rsidP="001720E8">
      <w:pPr>
        <w:spacing w:before="24" w:after="24"/>
        <w:rPr>
          <w:rFonts w:ascii="Verdana" w:hAnsi="Verdana"/>
        </w:rPr>
      </w:pPr>
    </w:p>
    <w:p w14:paraId="01E79143" w14:textId="77777777" w:rsidR="008972FA" w:rsidRDefault="008972FA" w:rsidP="001720E8">
      <w:pPr>
        <w:spacing w:before="24" w:after="24"/>
        <w:rPr>
          <w:rFonts w:ascii="Verdana" w:hAnsi="Verdana"/>
        </w:rPr>
      </w:pPr>
    </w:p>
    <w:p w14:paraId="76074959" w14:textId="77777777" w:rsidR="008972FA" w:rsidRDefault="008972FA" w:rsidP="001720E8">
      <w:pPr>
        <w:spacing w:before="24" w:after="24"/>
        <w:rPr>
          <w:rFonts w:ascii="Verdana" w:hAnsi="Verdana"/>
        </w:rPr>
      </w:pPr>
    </w:p>
    <w:p w14:paraId="5E5EFC2C" w14:textId="77777777" w:rsidR="008972FA" w:rsidRDefault="008972FA" w:rsidP="001720E8">
      <w:pPr>
        <w:spacing w:before="24" w:after="24"/>
        <w:rPr>
          <w:rFonts w:ascii="Verdana" w:hAnsi="Verdana"/>
        </w:rPr>
      </w:pPr>
    </w:p>
    <w:p w14:paraId="137F5859" w14:textId="77777777" w:rsidR="008972FA" w:rsidRDefault="008972FA" w:rsidP="001720E8">
      <w:pPr>
        <w:spacing w:before="24" w:after="24"/>
        <w:rPr>
          <w:rFonts w:ascii="Verdana" w:hAnsi="Verdana"/>
        </w:rPr>
      </w:pPr>
    </w:p>
    <w:p w14:paraId="4F5ACC4C" w14:textId="77777777" w:rsidR="008972FA" w:rsidRDefault="008972FA" w:rsidP="001720E8">
      <w:pPr>
        <w:spacing w:before="24" w:after="24"/>
        <w:rPr>
          <w:rFonts w:ascii="Verdana" w:hAnsi="Verdana"/>
        </w:rPr>
      </w:pPr>
    </w:p>
    <w:p w14:paraId="178CDAB1" w14:textId="77777777" w:rsidR="008972FA" w:rsidRDefault="008972FA" w:rsidP="001720E8">
      <w:pPr>
        <w:spacing w:before="24" w:after="24"/>
        <w:rPr>
          <w:rFonts w:ascii="Verdana" w:hAnsi="Verdana"/>
        </w:rPr>
      </w:pPr>
    </w:p>
    <w:p w14:paraId="6E889F02" w14:textId="77777777" w:rsidR="008972FA" w:rsidRDefault="008972FA" w:rsidP="001720E8">
      <w:pPr>
        <w:spacing w:before="24" w:after="24"/>
        <w:rPr>
          <w:rFonts w:ascii="Verdana" w:hAnsi="Verdana"/>
        </w:rPr>
      </w:pPr>
    </w:p>
    <w:p w14:paraId="30ACE6EF" w14:textId="77777777" w:rsidR="008972FA" w:rsidRDefault="008972FA" w:rsidP="001720E8">
      <w:pPr>
        <w:spacing w:before="24" w:after="24"/>
        <w:rPr>
          <w:rFonts w:ascii="Verdana" w:hAnsi="Verdana"/>
        </w:rPr>
      </w:pPr>
    </w:p>
    <w:p w14:paraId="2890F21E" w14:textId="77777777" w:rsidR="008972FA" w:rsidRDefault="008972FA" w:rsidP="001720E8">
      <w:pPr>
        <w:spacing w:before="24" w:after="24"/>
        <w:rPr>
          <w:rFonts w:ascii="Verdana" w:hAnsi="Verdana"/>
        </w:rPr>
      </w:pPr>
    </w:p>
    <w:p w14:paraId="6CAAED97" w14:textId="77777777" w:rsidR="008972FA" w:rsidRDefault="008972FA" w:rsidP="001720E8">
      <w:pPr>
        <w:spacing w:before="24" w:after="24"/>
        <w:rPr>
          <w:rFonts w:ascii="Verdana" w:hAnsi="Verdana"/>
        </w:rPr>
      </w:pPr>
    </w:p>
    <w:p w14:paraId="15253971" w14:textId="77777777" w:rsidR="008972FA" w:rsidRDefault="008972FA" w:rsidP="001720E8">
      <w:pPr>
        <w:spacing w:before="24" w:after="24"/>
        <w:rPr>
          <w:rFonts w:ascii="Verdana" w:hAnsi="Verdana"/>
        </w:rPr>
      </w:pPr>
    </w:p>
    <w:p w14:paraId="7AF9FCC6" w14:textId="77777777" w:rsidR="008972FA" w:rsidRDefault="008972FA" w:rsidP="001720E8">
      <w:pPr>
        <w:spacing w:before="24" w:after="24"/>
        <w:rPr>
          <w:rFonts w:ascii="Verdana" w:hAnsi="Verdana"/>
        </w:rPr>
      </w:pPr>
    </w:p>
    <w:p w14:paraId="724A6CA1" w14:textId="77777777" w:rsidR="008972FA" w:rsidRDefault="008972FA" w:rsidP="001720E8">
      <w:pPr>
        <w:spacing w:before="24" w:after="24"/>
        <w:rPr>
          <w:rFonts w:ascii="Verdana" w:hAnsi="Verdana"/>
        </w:rPr>
      </w:pPr>
    </w:p>
    <w:p w14:paraId="38C04FD1" w14:textId="77777777" w:rsidR="008972FA" w:rsidRDefault="008972FA" w:rsidP="001720E8">
      <w:pPr>
        <w:spacing w:before="24" w:after="24"/>
        <w:rPr>
          <w:rFonts w:ascii="Verdana" w:hAnsi="Verdana"/>
        </w:rPr>
      </w:pPr>
    </w:p>
    <w:p w14:paraId="7F7C1E51" w14:textId="77777777" w:rsidR="008972FA" w:rsidRDefault="008972FA" w:rsidP="001720E8">
      <w:pPr>
        <w:spacing w:before="24" w:after="24"/>
        <w:rPr>
          <w:rFonts w:ascii="Verdana" w:hAnsi="Verdana"/>
        </w:rPr>
      </w:pPr>
    </w:p>
    <w:p w14:paraId="49A52796" w14:textId="77777777" w:rsidR="008972FA" w:rsidRDefault="008972FA" w:rsidP="001720E8">
      <w:pPr>
        <w:spacing w:before="24" w:after="24"/>
        <w:rPr>
          <w:rFonts w:ascii="Verdana" w:hAnsi="Verdana"/>
        </w:rPr>
      </w:pPr>
    </w:p>
    <w:p w14:paraId="0CBE69FF" w14:textId="77777777" w:rsidR="008972FA" w:rsidRDefault="008972FA" w:rsidP="001720E8">
      <w:pPr>
        <w:spacing w:before="24" w:after="24"/>
        <w:rPr>
          <w:rFonts w:ascii="Verdana" w:hAnsi="Verdana"/>
        </w:rPr>
      </w:pPr>
    </w:p>
    <w:p w14:paraId="2A6E31CA" w14:textId="77777777" w:rsidR="006B3799" w:rsidRDefault="006B3799" w:rsidP="00331C61">
      <w:pPr>
        <w:pStyle w:val="BasicParagraph"/>
        <w:suppressAutoHyphens/>
        <w:jc w:val="center"/>
        <w:rPr>
          <w:rFonts w:ascii="Verdana" w:hAnsi="Verdana" w:cs="Arial"/>
          <w:b/>
          <w:bCs/>
          <w:color w:val="77328A"/>
          <w:sz w:val="36"/>
          <w:szCs w:val="36"/>
        </w:rPr>
      </w:pPr>
    </w:p>
    <w:p w14:paraId="2AEFCE57" w14:textId="77777777" w:rsidR="008972FA" w:rsidRDefault="008972FA" w:rsidP="00331C61">
      <w:pPr>
        <w:pStyle w:val="BasicParagraph"/>
        <w:suppressAutoHyphens/>
        <w:jc w:val="center"/>
        <w:rPr>
          <w:rFonts w:ascii="Verdana" w:hAnsi="Verdana" w:cs="Arial"/>
          <w:b/>
          <w:bCs/>
          <w:color w:val="77328A"/>
          <w:sz w:val="36"/>
          <w:szCs w:val="36"/>
        </w:rPr>
      </w:pPr>
    </w:p>
    <w:p w14:paraId="3B49021C" w14:textId="77777777" w:rsidR="008972FA" w:rsidRDefault="008972FA" w:rsidP="00331C61">
      <w:pPr>
        <w:pStyle w:val="BasicParagraph"/>
        <w:suppressAutoHyphens/>
        <w:jc w:val="center"/>
        <w:rPr>
          <w:rFonts w:ascii="Verdana" w:hAnsi="Verdana" w:cs="Arial"/>
          <w:b/>
          <w:bCs/>
          <w:color w:val="77328A"/>
          <w:sz w:val="36"/>
          <w:szCs w:val="36"/>
        </w:rPr>
      </w:pPr>
    </w:p>
    <w:p w14:paraId="665ACF36" w14:textId="77777777" w:rsidR="008972FA" w:rsidRDefault="008972FA" w:rsidP="00331C61">
      <w:pPr>
        <w:pStyle w:val="BasicParagraph"/>
        <w:suppressAutoHyphens/>
        <w:jc w:val="center"/>
        <w:rPr>
          <w:rFonts w:ascii="Verdana" w:hAnsi="Verdana" w:cs="Arial"/>
          <w:b/>
          <w:bCs/>
          <w:color w:val="77328A"/>
          <w:sz w:val="36"/>
          <w:szCs w:val="36"/>
        </w:rPr>
      </w:pPr>
    </w:p>
    <w:p w14:paraId="6A3744CA" w14:textId="77777777" w:rsidR="008972FA" w:rsidRDefault="008972FA" w:rsidP="00331C61">
      <w:pPr>
        <w:pStyle w:val="BasicParagraph"/>
        <w:suppressAutoHyphens/>
        <w:jc w:val="center"/>
        <w:rPr>
          <w:rFonts w:ascii="Verdana" w:hAnsi="Verdana" w:cs="Arial"/>
          <w:b/>
          <w:bCs/>
          <w:color w:val="77328A"/>
          <w:sz w:val="36"/>
          <w:szCs w:val="36"/>
        </w:rPr>
      </w:pPr>
    </w:p>
    <w:p w14:paraId="52789AC5" w14:textId="77777777" w:rsidR="008972FA" w:rsidRDefault="008972FA" w:rsidP="00331C61">
      <w:pPr>
        <w:pStyle w:val="BasicParagraph"/>
        <w:suppressAutoHyphens/>
        <w:jc w:val="center"/>
        <w:rPr>
          <w:rFonts w:ascii="Verdana" w:hAnsi="Verdana" w:cs="Arial"/>
          <w:b/>
          <w:bCs/>
          <w:color w:val="77328A"/>
          <w:sz w:val="36"/>
          <w:szCs w:val="36"/>
        </w:rPr>
      </w:pPr>
    </w:p>
    <w:p w14:paraId="75794361" w14:textId="77777777" w:rsidR="008972FA" w:rsidRDefault="008972FA" w:rsidP="00331C61">
      <w:pPr>
        <w:pStyle w:val="BasicParagraph"/>
        <w:suppressAutoHyphens/>
        <w:jc w:val="center"/>
        <w:rPr>
          <w:rFonts w:ascii="Verdana" w:hAnsi="Verdana" w:cs="Arial"/>
          <w:b/>
          <w:bCs/>
          <w:color w:val="77328A"/>
          <w:sz w:val="36"/>
          <w:szCs w:val="36"/>
        </w:rPr>
      </w:pPr>
    </w:p>
    <w:p w14:paraId="7856C533" w14:textId="1635D662" w:rsidR="00705833" w:rsidRPr="00564A3B" w:rsidRDefault="00705833" w:rsidP="00331C61">
      <w:pPr>
        <w:pStyle w:val="BasicParagraph"/>
        <w:suppressAutoHyphens/>
        <w:jc w:val="center"/>
        <w:rPr>
          <w:rFonts w:ascii="Verdana" w:hAnsi="Verdana" w:cs="Arial"/>
          <w:b/>
          <w:bCs/>
          <w:color w:val="77328A"/>
          <w:sz w:val="36"/>
          <w:szCs w:val="36"/>
        </w:rPr>
      </w:pPr>
      <w:r w:rsidRPr="00564A3B">
        <w:rPr>
          <w:rFonts w:ascii="Verdana" w:hAnsi="Verdana" w:cs="Arial"/>
          <w:b/>
          <w:bCs/>
          <w:color w:val="77328A"/>
          <w:sz w:val="36"/>
          <w:szCs w:val="36"/>
        </w:rPr>
        <w:t>Co</w:t>
      </w:r>
      <w:r w:rsidR="0096459E" w:rsidRPr="00564A3B">
        <w:rPr>
          <w:rFonts w:ascii="Verdana" w:hAnsi="Verdana" w:cs="Arial"/>
          <w:b/>
          <w:bCs/>
          <w:color w:val="77328A"/>
          <w:sz w:val="36"/>
          <w:szCs w:val="36"/>
        </w:rPr>
        <w:t xml:space="preserve">ntact us </w:t>
      </w:r>
    </w:p>
    <w:p w14:paraId="33D83BCD" w14:textId="26E2B3B6" w:rsidR="00331C61" w:rsidRDefault="00331C61" w:rsidP="00331C61">
      <w:pPr>
        <w:pStyle w:val="BasicParagraph"/>
        <w:suppressAutoHyphens/>
        <w:jc w:val="center"/>
        <w:rPr>
          <w:rFonts w:ascii="Verdana" w:hAnsi="Verdana" w:cs="Arial"/>
          <w:b/>
          <w:color w:val="77328A"/>
          <w:sz w:val="36"/>
          <w:szCs w:val="36"/>
        </w:rPr>
      </w:pPr>
    </w:p>
    <w:p w14:paraId="62151CB0" w14:textId="77777777" w:rsidR="00386226" w:rsidRPr="00564A3B" w:rsidRDefault="00386226" w:rsidP="00331C61">
      <w:pPr>
        <w:pStyle w:val="BasicParagraph"/>
        <w:suppressAutoHyphens/>
        <w:jc w:val="center"/>
        <w:rPr>
          <w:rFonts w:ascii="Verdana" w:hAnsi="Verdana" w:cs="Arial"/>
          <w:b/>
          <w:color w:val="77328A"/>
          <w:sz w:val="36"/>
          <w:szCs w:val="36"/>
        </w:rPr>
      </w:pPr>
    </w:p>
    <w:p w14:paraId="4C0E4CD7" w14:textId="3B8180A8" w:rsidR="007E0719" w:rsidRDefault="00DE7230" w:rsidP="003B7D0E">
      <w:pPr>
        <w:spacing w:line="288" w:lineRule="auto"/>
        <w:jc w:val="center"/>
        <w:rPr>
          <w:rFonts w:ascii="Verdana" w:hAnsi="Verdana" w:cs="Arial"/>
          <w:b/>
          <w:color w:val="232120"/>
          <w:sz w:val="30"/>
          <w:szCs w:val="30"/>
        </w:rPr>
      </w:pPr>
      <w:r>
        <w:rPr>
          <w:rFonts w:ascii="Verdana" w:hAnsi="Verdana"/>
          <w:sz w:val="30"/>
          <w:szCs w:val="30"/>
        </w:rPr>
        <w:t>A</w:t>
      </w:r>
      <w:r w:rsidRPr="00DE7230">
        <w:rPr>
          <w:rFonts w:ascii="Verdana" w:hAnsi="Verdana"/>
          <w:sz w:val="30"/>
          <w:szCs w:val="30"/>
        </w:rPr>
        <w:t>ny queries please contact:</w:t>
      </w:r>
      <w:r w:rsidRPr="00DE7230">
        <w:rPr>
          <w:rFonts w:ascii="Verdana" w:hAnsi="Verdana"/>
        </w:rPr>
        <w:t xml:space="preserve"> </w:t>
      </w:r>
      <w:hyperlink r:id="rId12" w:history="1">
        <w:r w:rsidR="00782B53" w:rsidRPr="00564A3B">
          <w:rPr>
            <w:rStyle w:val="Hyperlink"/>
            <w:rFonts w:ascii="Verdana" w:hAnsi="Verdana" w:cs="Arial"/>
            <w:b/>
            <w:sz w:val="30"/>
            <w:szCs w:val="30"/>
          </w:rPr>
          <w:t>Colin.Caughey@nihrc.org</w:t>
        </w:r>
      </w:hyperlink>
      <w:r w:rsidR="007E0719" w:rsidRPr="00564A3B">
        <w:rPr>
          <w:rFonts w:ascii="Verdana" w:hAnsi="Verdana" w:cs="Arial"/>
          <w:b/>
          <w:color w:val="232120"/>
          <w:sz w:val="30"/>
          <w:szCs w:val="30"/>
        </w:rPr>
        <w:t xml:space="preserve"> </w:t>
      </w:r>
    </w:p>
    <w:p w14:paraId="0D9C9822" w14:textId="77777777" w:rsidR="000778C1" w:rsidRPr="00564A3B" w:rsidRDefault="000778C1" w:rsidP="003B7D0E">
      <w:pPr>
        <w:spacing w:line="288" w:lineRule="auto"/>
        <w:jc w:val="center"/>
        <w:rPr>
          <w:rFonts w:ascii="Verdana" w:hAnsi="Verdana" w:cs="Arial"/>
          <w:b/>
          <w:color w:val="232120"/>
          <w:sz w:val="30"/>
          <w:szCs w:val="30"/>
        </w:rPr>
      </w:pPr>
    </w:p>
    <w:p w14:paraId="5BA6C0AD" w14:textId="77777777" w:rsidR="00331C61" w:rsidRPr="00564A3B" w:rsidRDefault="00331C61" w:rsidP="003B7D0E">
      <w:pPr>
        <w:spacing w:line="288" w:lineRule="auto"/>
        <w:jc w:val="center"/>
        <w:rPr>
          <w:rFonts w:ascii="Verdana" w:hAnsi="Verdana" w:cs="Arial"/>
          <w:b/>
          <w:color w:val="232120"/>
          <w:sz w:val="30"/>
          <w:szCs w:val="30"/>
        </w:rPr>
      </w:pPr>
    </w:p>
    <w:p w14:paraId="273A8E42" w14:textId="77777777" w:rsidR="00331C61" w:rsidRPr="00564A3B" w:rsidRDefault="00331C61" w:rsidP="003B7D0E">
      <w:pPr>
        <w:spacing w:line="288" w:lineRule="auto"/>
        <w:jc w:val="center"/>
        <w:rPr>
          <w:rFonts w:ascii="Verdana" w:hAnsi="Verdana" w:cs="Arial"/>
          <w:b/>
          <w:color w:val="232120"/>
          <w:sz w:val="30"/>
          <w:szCs w:val="30"/>
        </w:rPr>
      </w:pPr>
    </w:p>
    <w:p w14:paraId="0C70328D" w14:textId="77777777" w:rsidR="00331C61" w:rsidRPr="00564A3B" w:rsidRDefault="00F05CC7" w:rsidP="00331C61">
      <w:pPr>
        <w:spacing w:line="288" w:lineRule="auto"/>
        <w:jc w:val="center"/>
        <w:rPr>
          <w:rFonts w:ascii="Verdana" w:hAnsi="Verdana" w:cs="Arial"/>
          <w:color w:val="232120"/>
          <w:sz w:val="28"/>
          <w:szCs w:val="28"/>
        </w:rPr>
      </w:pPr>
      <w:hyperlink r:id="rId13" w:history="1">
        <w:r w:rsidR="00331C61" w:rsidRPr="00564A3B">
          <w:rPr>
            <w:rStyle w:val="Hyperlink"/>
            <w:rFonts w:ascii="Verdana" w:hAnsi="Verdana" w:cs="Arial"/>
            <w:color w:val="232120"/>
            <w:sz w:val="28"/>
            <w:szCs w:val="28"/>
            <w:u w:val="none"/>
            <w:lang w:val="en-US"/>
          </w:rPr>
          <w:t>www.nihrc.org</w:t>
        </w:r>
      </w:hyperlink>
      <w:r w:rsidR="00331C61" w:rsidRPr="00564A3B">
        <w:rPr>
          <w:rFonts w:ascii="Verdana" w:hAnsi="Verdana" w:cs="Arial"/>
          <w:color w:val="232120"/>
          <w:sz w:val="28"/>
          <w:szCs w:val="28"/>
          <w:lang w:val="en-US"/>
        </w:rPr>
        <w:t xml:space="preserve">  |  </w:t>
      </w:r>
      <w:hyperlink r:id="rId14" w:history="1">
        <w:r w:rsidR="00331C61" w:rsidRPr="00564A3B">
          <w:rPr>
            <w:rStyle w:val="Hyperlink"/>
            <w:rFonts w:ascii="Verdana" w:hAnsi="Verdana" w:cs="Arial"/>
            <w:color w:val="232120"/>
            <w:sz w:val="28"/>
            <w:szCs w:val="28"/>
            <w:u w:val="none"/>
            <w:lang w:val="en-US"/>
          </w:rPr>
          <w:t>info@nihrc.org</w:t>
        </w:r>
      </w:hyperlink>
      <w:r w:rsidR="00331C61" w:rsidRPr="00564A3B">
        <w:rPr>
          <w:rFonts w:ascii="Verdana" w:hAnsi="Verdana" w:cs="Arial"/>
          <w:color w:val="232120"/>
          <w:sz w:val="28"/>
          <w:szCs w:val="28"/>
          <w:lang w:val="en-US"/>
        </w:rPr>
        <w:t xml:space="preserve">  |  +44 (0)28 9024 3987</w:t>
      </w:r>
    </w:p>
    <w:p w14:paraId="47500405" w14:textId="77777777" w:rsidR="00F56C78" w:rsidRPr="00564A3B" w:rsidRDefault="00D16532" w:rsidP="00331C61">
      <w:pPr>
        <w:spacing w:line="288" w:lineRule="auto"/>
        <w:jc w:val="center"/>
        <w:rPr>
          <w:rFonts w:ascii="Verdana" w:hAnsi="Verdana" w:cs="Arial"/>
          <w:color w:val="232120"/>
          <w:sz w:val="28"/>
          <w:szCs w:val="28"/>
        </w:rPr>
      </w:pPr>
      <w:r w:rsidRPr="00564A3B">
        <w:rPr>
          <w:rFonts w:ascii="Verdana" w:hAnsi="Verdana" w:cs="Arial"/>
          <w:color w:val="232120"/>
          <w:sz w:val="28"/>
          <w:szCs w:val="28"/>
          <w:lang w:val="en-US"/>
        </w:rPr>
        <w:t>4</w:t>
      </w:r>
      <w:r w:rsidRPr="00564A3B">
        <w:rPr>
          <w:rFonts w:ascii="Verdana" w:hAnsi="Verdana" w:cs="Arial"/>
          <w:color w:val="232120"/>
          <w:sz w:val="28"/>
          <w:szCs w:val="28"/>
          <w:vertAlign w:val="superscript"/>
          <w:lang w:val="en-US"/>
        </w:rPr>
        <w:t>th</w:t>
      </w:r>
      <w:r w:rsidRPr="00564A3B">
        <w:rPr>
          <w:rFonts w:ascii="Verdana" w:hAnsi="Verdana" w:cs="Arial"/>
          <w:color w:val="232120"/>
          <w:sz w:val="28"/>
          <w:szCs w:val="28"/>
          <w:lang w:val="en-US"/>
        </w:rPr>
        <w:t xml:space="preserve"> Floor, Alfred House, 19-21 Alfred Street, Belfast, BT2 8ED</w:t>
      </w:r>
    </w:p>
    <w:p w14:paraId="63B70184" w14:textId="77777777" w:rsidR="00F56C78" w:rsidRPr="00564A3B" w:rsidRDefault="00F56C78" w:rsidP="003B7D0E">
      <w:pPr>
        <w:spacing w:line="288" w:lineRule="auto"/>
        <w:jc w:val="center"/>
        <w:rPr>
          <w:rFonts w:ascii="Verdana" w:hAnsi="Verdana" w:cs="Arial"/>
          <w:b/>
          <w:color w:val="232120"/>
          <w:sz w:val="28"/>
          <w:szCs w:val="28"/>
        </w:rPr>
      </w:pPr>
    </w:p>
    <w:p w14:paraId="7EC20CA6" w14:textId="77777777" w:rsidR="00F56C78" w:rsidRPr="00564A3B" w:rsidRDefault="00F56C78" w:rsidP="003B7D0E">
      <w:pPr>
        <w:spacing w:line="288" w:lineRule="auto"/>
        <w:jc w:val="center"/>
        <w:rPr>
          <w:rFonts w:ascii="Verdana" w:hAnsi="Verdana" w:cs="Arial"/>
          <w:color w:val="232120"/>
          <w:sz w:val="20"/>
          <w:szCs w:val="20"/>
        </w:rPr>
      </w:pPr>
    </w:p>
    <w:p w14:paraId="756C4B7D" w14:textId="77777777" w:rsidR="00705833" w:rsidRPr="00564A3B" w:rsidRDefault="00F56C78" w:rsidP="003B7D0E">
      <w:pPr>
        <w:pStyle w:val="BasicParagraph"/>
        <w:suppressAutoHyphens/>
        <w:spacing w:line="240" w:lineRule="auto"/>
        <w:jc w:val="center"/>
        <w:rPr>
          <w:rFonts w:ascii="Verdana" w:hAnsi="Verdana" w:cs="Arial"/>
          <w:color w:val="232120"/>
          <w:sz w:val="28"/>
          <w:szCs w:val="28"/>
        </w:rPr>
      </w:pPr>
      <w:r w:rsidRPr="00564A3B">
        <w:rPr>
          <w:rFonts w:ascii="Verdana" w:hAnsi="Verdana" w:cs="Arial"/>
          <w:noProof/>
          <w:color w:val="232120"/>
          <w:sz w:val="28"/>
          <w:szCs w:val="28"/>
          <w:lang w:eastAsia="en-GB"/>
        </w:rPr>
        <w:drawing>
          <wp:inline distT="0" distB="0" distL="0" distR="0" wp14:anchorId="299DEC75" wp14:editId="2A84FEBA">
            <wp:extent cx="1515406" cy="274540"/>
            <wp:effectExtent l="0" t="0" r="889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sectPr w:rsidR="00705833" w:rsidRPr="00564A3B" w:rsidSect="003B7D0E">
      <w:footerReference w:type="default" r:id="rId16"/>
      <w:footerReference w:type="first" r:id="rId17"/>
      <w:pgSz w:w="11900" w:h="16820"/>
      <w:pgMar w:top="1021" w:right="1021" w:bottom="1021" w:left="1021"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9D0B2" w14:textId="77777777" w:rsidR="000A0C4F" w:rsidRDefault="000A0C4F" w:rsidP="00962B2B">
      <w:r>
        <w:separator/>
      </w:r>
    </w:p>
  </w:endnote>
  <w:endnote w:type="continuationSeparator" w:id="0">
    <w:p w14:paraId="7F28D08F" w14:textId="77777777" w:rsidR="000A0C4F" w:rsidRDefault="000A0C4F" w:rsidP="00962B2B">
      <w:r>
        <w:continuationSeparator/>
      </w:r>
    </w:p>
  </w:endnote>
  <w:endnote w:type="continuationNotice" w:id="1">
    <w:p w14:paraId="3B645143" w14:textId="77777777" w:rsidR="000A0C4F" w:rsidRDefault="000A0C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F7FEB" w14:textId="77777777" w:rsidR="00D2770F" w:rsidRDefault="00D2770F" w:rsidP="00656ECD">
    <w:pPr>
      <w:pStyle w:val="Footer"/>
      <w:jc w:val="right"/>
      <w:rPr>
        <w:rStyle w:val="PageNumber"/>
        <w:rFonts w:ascii="Arial" w:hAnsi="Arial" w:cs="Arial"/>
        <w:b/>
        <w:sz w:val="16"/>
        <w:szCs w:val="16"/>
      </w:rPr>
    </w:pPr>
  </w:p>
  <w:p w14:paraId="097B2DEB" w14:textId="779B6EBF" w:rsidR="00D2770F" w:rsidRPr="00533270" w:rsidRDefault="00D2770F" w:rsidP="00656ECD">
    <w:pPr>
      <w:pStyle w:val="Footer"/>
      <w:jc w:val="right"/>
      <w:rPr>
        <w:rFonts w:ascii="Verdana" w:hAnsi="Verdana" w:cs="Arial"/>
        <w:bCs/>
        <w:color w:val="77328A"/>
      </w:rPr>
    </w:pPr>
    <w:r w:rsidRPr="00533270">
      <w:rPr>
        <w:rStyle w:val="PageNumber"/>
        <w:rFonts w:ascii="Verdana" w:hAnsi="Verdana" w:cs="Arial"/>
        <w:bCs/>
        <w:color w:val="77328A"/>
      </w:rPr>
      <w:fldChar w:fldCharType="begin"/>
    </w:r>
    <w:r w:rsidRPr="00533270">
      <w:rPr>
        <w:rStyle w:val="PageNumber"/>
        <w:rFonts w:ascii="Verdana" w:hAnsi="Verdana" w:cs="Arial"/>
        <w:bCs/>
        <w:color w:val="77328A"/>
      </w:rPr>
      <w:instrText xml:space="preserve"> PAGE </w:instrText>
    </w:r>
    <w:r w:rsidRPr="00533270">
      <w:rPr>
        <w:rStyle w:val="PageNumber"/>
        <w:rFonts w:ascii="Verdana" w:hAnsi="Verdana" w:cs="Arial"/>
        <w:bCs/>
        <w:color w:val="77328A"/>
      </w:rPr>
      <w:fldChar w:fldCharType="separate"/>
    </w:r>
    <w:r w:rsidR="00C93D90" w:rsidRPr="00533270">
      <w:rPr>
        <w:rStyle w:val="PageNumber"/>
        <w:rFonts w:ascii="Verdana" w:hAnsi="Verdana" w:cs="Arial"/>
        <w:bCs/>
        <w:noProof/>
        <w:color w:val="77328A"/>
      </w:rPr>
      <w:t>22</w:t>
    </w:r>
    <w:r w:rsidRPr="00533270">
      <w:rPr>
        <w:rStyle w:val="PageNumber"/>
        <w:rFonts w:ascii="Verdana" w:hAnsi="Verdana" w:cs="Arial"/>
        <w:bCs/>
        <w:color w:val="77328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BAA76" w14:textId="77777777" w:rsidR="00D2770F" w:rsidRDefault="00D2770F" w:rsidP="00046705">
    <w:pPr>
      <w:pStyle w:val="Footer"/>
      <w:jc w:val="right"/>
      <w:rPr>
        <w:rStyle w:val="PageNumber"/>
        <w:rFonts w:ascii="Arial" w:hAnsi="Arial" w:cs="Arial"/>
        <w:b/>
        <w:sz w:val="16"/>
        <w:szCs w:val="16"/>
      </w:rPr>
    </w:pPr>
  </w:p>
  <w:p w14:paraId="41D71F9F" w14:textId="77777777" w:rsidR="00D2770F" w:rsidRPr="00D12EF8" w:rsidRDefault="00D2770F"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AE9C9" w14:textId="77777777" w:rsidR="000A0C4F" w:rsidRDefault="000A0C4F" w:rsidP="00B96D34">
      <w:r>
        <w:continuationSeparator/>
      </w:r>
    </w:p>
    <w:p w14:paraId="1B47AC66" w14:textId="77777777" w:rsidR="000A0C4F" w:rsidRPr="00B96D34" w:rsidRDefault="000A0C4F" w:rsidP="00B96D34">
      <w:pPr>
        <w:pStyle w:val="Footer"/>
      </w:pPr>
    </w:p>
  </w:footnote>
  <w:footnote w:type="continuationSeparator" w:id="0">
    <w:p w14:paraId="451B2966" w14:textId="77777777" w:rsidR="000A0C4F" w:rsidRDefault="000A0C4F" w:rsidP="00962B2B">
      <w:r>
        <w:continuationSeparator/>
      </w:r>
    </w:p>
  </w:footnote>
  <w:footnote w:type="continuationNotice" w:id="1">
    <w:p w14:paraId="05B2E8E5" w14:textId="77777777" w:rsidR="000A0C4F" w:rsidRDefault="000A0C4F"/>
  </w:footnote>
  <w:footnote w:id="2">
    <w:p w14:paraId="1B0AFA3A" w14:textId="01BA1006" w:rsidR="00416E0A" w:rsidRDefault="00416E0A" w:rsidP="0045051B">
      <w:pPr>
        <w:pStyle w:val="NIHRCFootnotes"/>
      </w:pPr>
      <w:r>
        <w:rPr>
          <w:rStyle w:val="FootnoteReference"/>
        </w:rPr>
        <w:footnoteRef/>
      </w:r>
      <w:r>
        <w:t xml:space="preserve"> </w:t>
      </w:r>
      <w:r w:rsidRPr="005F6125">
        <w:t>The Windsor Framework was formerly known as the Protocol on Ireland/Northern Ireland to the UK-EU Withdrawal Agreement and all references to the Protocol in this document have been updated to reflect this change. (see Decision No 1/2023 of the Joint Committee established by the Agreement on the Withdrawal of the United Kingdom of Great Britain and Northern Ireland from the European Union and the European Atomic Energy Community of 24 March 2023 laying down arrangements relating to the Windsor Framework).</w:t>
      </w:r>
    </w:p>
  </w:footnote>
  <w:footnote w:id="3">
    <w:p w14:paraId="6E225AEF" w14:textId="77777777" w:rsidR="00D85F81" w:rsidRPr="0055193F" w:rsidRDefault="00D85F81" w:rsidP="0045051B">
      <w:pPr>
        <w:pStyle w:val="NIHRCFootnotes"/>
      </w:pPr>
      <w:r w:rsidRPr="0055193F">
        <w:rPr>
          <w:rStyle w:val="FootnoteReference"/>
        </w:rPr>
        <w:footnoteRef/>
      </w:r>
      <w:r w:rsidRPr="0055193F">
        <w:t xml:space="preserve"> </w:t>
      </w:r>
      <w:r>
        <w:t xml:space="preserve">Ratified by the UK in 2022. </w:t>
      </w:r>
    </w:p>
  </w:footnote>
  <w:footnote w:id="4">
    <w:p w14:paraId="59C044FD" w14:textId="77777777" w:rsidR="0055193F" w:rsidRPr="0055193F" w:rsidRDefault="0055193F" w:rsidP="0045051B">
      <w:pPr>
        <w:pStyle w:val="NIHRCFootnotes"/>
      </w:pPr>
      <w:r w:rsidRPr="0055193F">
        <w:rPr>
          <w:rStyle w:val="FootnoteReference"/>
        </w:rPr>
        <w:footnoteRef/>
      </w:r>
      <w:r w:rsidRPr="0055193F">
        <w:t xml:space="preserve"> Ratified by the UK 1986.</w:t>
      </w:r>
    </w:p>
  </w:footnote>
  <w:footnote w:id="5">
    <w:p w14:paraId="038B283A" w14:textId="23CCEE81" w:rsidR="00611079" w:rsidRPr="00D96863" w:rsidRDefault="00611079" w:rsidP="0045051B">
      <w:pPr>
        <w:pStyle w:val="NIHRCFootnotes"/>
        <w:rPr>
          <w:color w:val="76328A"/>
        </w:rPr>
      </w:pPr>
      <w:r w:rsidRPr="00D96863">
        <w:rPr>
          <w:rStyle w:val="FootnoteReference"/>
          <w:color w:val="76328A"/>
        </w:rPr>
        <w:footnoteRef/>
      </w:r>
      <w:r w:rsidRPr="00D96863">
        <w:rPr>
          <w:color w:val="76328A"/>
        </w:rPr>
        <w:t xml:space="preserve"> </w:t>
      </w:r>
      <w:r w:rsidR="00D96863" w:rsidRPr="00D96863">
        <w:rPr>
          <w:color w:val="76328A"/>
        </w:rPr>
        <w:t>Ratified by the UK 1991.</w:t>
      </w:r>
    </w:p>
  </w:footnote>
  <w:footnote w:id="6">
    <w:p w14:paraId="62FF5523" w14:textId="2CE3DE3F" w:rsidR="00C14DCD" w:rsidRDefault="00C14DCD" w:rsidP="0045051B">
      <w:pPr>
        <w:pStyle w:val="NIHRCFootnotes"/>
      </w:pPr>
      <w:r w:rsidRPr="00D96863">
        <w:rPr>
          <w:rStyle w:val="FootnoteReference"/>
          <w:color w:val="76328A"/>
        </w:rPr>
        <w:footnoteRef/>
      </w:r>
      <w:r w:rsidRPr="00D96863">
        <w:rPr>
          <w:color w:val="76328A"/>
        </w:rPr>
        <w:t xml:space="preserve"> </w:t>
      </w:r>
      <w:r w:rsidR="00873241" w:rsidRPr="00D96863">
        <w:rPr>
          <w:color w:val="76328A"/>
        </w:rPr>
        <w:t>Ratified by the UK 2009.</w:t>
      </w:r>
    </w:p>
  </w:footnote>
  <w:footnote w:id="7">
    <w:p w14:paraId="3B2DD6C8" w14:textId="64C35592" w:rsidR="00C45C32" w:rsidRDefault="00C45C32">
      <w:pPr>
        <w:pStyle w:val="FootnoteText"/>
      </w:pPr>
      <w:r w:rsidRPr="00C45C32">
        <w:rPr>
          <w:rFonts w:ascii="Verdana" w:hAnsi="Verdana" w:cs="Arial"/>
          <w:color w:val="77328A"/>
          <w:sz w:val="16"/>
          <w:szCs w:val="16"/>
          <w:vertAlign w:val="superscript"/>
        </w:rPr>
        <w:footnoteRef/>
      </w:r>
      <w:r w:rsidRPr="00C45C32">
        <w:rPr>
          <w:rFonts w:ascii="Verdana" w:hAnsi="Verdana" w:cs="Arial"/>
          <w:color w:val="77328A"/>
          <w:sz w:val="16"/>
          <w:szCs w:val="16"/>
          <w:vertAlign w:val="superscript"/>
        </w:rPr>
        <w:t xml:space="preserve"> </w:t>
      </w:r>
      <w:r w:rsidRPr="00C45C32">
        <w:rPr>
          <w:rFonts w:ascii="Verdana" w:hAnsi="Verdana" w:cs="Arial"/>
          <w:color w:val="77328A"/>
          <w:sz w:val="16"/>
          <w:szCs w:val="16"/>
        </w:rPr>
        <w:t>E/C.12/GC/22, Committee on Economic, Social and Cultural Rights, General Comment No 22 on the Right to Sexual and Reproductive Health’, 2 May 2016</w:t>
      </w:r>
      <w:r>
        <w:rPr>
          <w:rFonts w:ascii="Verdana" w:hAnsi="Verdana" w:cs="Arial"/>
          <w:color w:val="77328A"/>
          <w:sz w:val="16"/>
          <w:szCs w:val="16"/>
        </w:rPr>
        <w:t>.</w:t>
      </w:r>
    </w:p>
  </w:footnote>
  <w:footnote w:id="8">
    <w:p w14:paraId="396503D7" w14:textId="45FF9F85" w:rsidR="006E545E" w:rsidRDefault="006E545E">
      <w:pPr>
        <w:pStyle w:val="FootnoteText"/>
      </w:pPr>
      <w:r w:rsidRPr="00341238">
        <w:rPr>
          <w:rStyle w:val="FootnoteReference"/>
          <w:rFonts w:ascii="Verdana" w:hAnsi="Verdana" w:cs="Arial"/>
          <w:color w:val="76328A"/>
          <w:sz w:val="16"/>
          <w:szCs w:val="16"/>
        </w:rPr>
        <w:footnoteRef/>
      </w:r>
      <w:r w:rsidRPr="00341238">
        <w:rPr>
          <w:rStyle w:val="FootnoteReference"/>
          <w:rFonts w:ascii="Verdana" w:hAnsi="Verdana" w:cs="Arial"/>
          <w:color w:val="76328A"/>
          <w:sz w:val="16"/>
          <w:szCs w:val="16"/>
        </w:rPr>
        <w:t xml:space="preserve"> </w:t>
      </w:r>
      <w:r w:rsidRPr="004E2C08">
        <w:rPr>
          <w:rFonts w:ascii="Verdana" w:hAnsi="Verdana" w:cs="Arial"/>
          <w:color w:val="76328A"/>
          <w:sz w:val="16"/>
          <w:szCs w:val="16"/>
        </w:rPr>
        <w:t>CRC/C/GC/12, ‘UN CRC Committee General Comment No 12 on the Right of the Child to be Heard’, 20 July 2009</w:t>
      </w:r>
      <w:r>
        <w:rPr>
          <w:rFonts w:ascii="Verdana" w:hAnsi="Verdana" w:cs="Arial"/>
          <w:color w:val="76328A"/>
          <w:sz w:val="16"/>
          <w:szCs w:val="16"/>
        </w:rPr>
        <w:t>.</w:t>
      </w:r>
    </w:p>
  </w:footnote>
  <w:footnote w:id="9">
    <w:p w14:paraId="715DF202" w14:textId="75B5081D" w:rsidR="00E34672" w:rsidRDefault="00E34672">
      <w:pPr>
        <w:pStyle w:val="FootnoteText"/>
      </w:pPr>
      <w:r w:rsidRPr="00E34672">
        <w:rPr>
          <w:rFonts w:ascii="Verdana" w:hAnsi="Verdana"/>
          <w:color w:val="76328A"/>
          <w:sz w:val="16"/>
          <w:szCs w:val="16"/>
          <w:vertAlign w:val="superscript"/>
        </w:rPr>
        <w:footnoteRef/>
      </w:r>
      <w:r w:rsidRPr="00E34672">
        <w:rPr>
          <w:rFonts w:ascii="Verdana" w:hAnsi="Verdana"/>
          <w:color w:val="76328A"/>
          <w:sz w:val="16"/>
          <w:szCs w:val="16"/>
          <w:vertAlign w:val="superscript"/>
        </w:rPr>
        <w:t xml:space="preserve"> </w:t>
      </w:r>
      <w:r w:rsidRPr="00E34672">
        <w:rPr>
          <w:rFonts w:ascii="Verdana" w:hAnsi="Verdana"/>
          <w:color w:val="76328A"/>
          <w:sz w:val="16"/>
          <w:szCs w:val="16"/>
        </w:rPr>
        <w:t>CRPD/C/GC/3, ‘UN CRPD Committee General Comment No 3 on Women and Girls with Disabilities’, 25 November 2016.</w:t>
      </w:r>
    </w:p>
  </w:footnote>
  <w:footnote w:id="10">
    <w:p w14:paraId="06774B6A" w14:textId="07368A80" w:rsidR="001217DF" w:rsidRDefault="001217DF">
      <w:pPr>
        <w:pStyle w:val="FootnoteText"/>
      </w:pPr>
      <w:r w:rsidRPr="001217DF">
        <w:rPr>
          <w:rFonts w:ascii="Verdana" w:hAnsi="Verdana"/>
          <w:color w:val="76328A"/>
          <w:sz w:val="16"/>
          <w:szCs w:val="16"/>
          <w:vertAlign w:val="superscript"/>
        </w:rPr>
        <w:footnoteRef/>
      </w:r>
      <w:r w:rsidRPr="001217DF">
        <w:rPr>
          <w:rFonts w:ascii="Verdana" w:hAnsi="Verdana"/>
          <w:color w:val="76328A"/>
          <w:sz w:val="16"/>
          <w:szCs w:val="16"/>
        </w:rPr>
        <w:t xml:space="preserve"> CEDAW/C/OP.8/GBR/1, ‘UN CEDAW Committee Inquiry Concerning the United Kingdom of Great Britain and Northern Ireland under Article 8 of the Optional Protocol to the UN CEDAW Report of the Committee’, 6 March 2018.</w:t>
      </w:r>
    </w:p>
  </w:footnote>
  <w:footnote w:id="11">
    <w:p w14:paraId="65E89E59" w14:textId="77777777" w:rsidR="00C724E4" w:rsidRPr="0055193F" w:rsidRDefault="00C724E4" w:rsidP="0045051B">
      <w:pPr>
        <w:pStyle w:val="NIHRCFootnotes"/>
      </w:pPr>
      <w:r w:rsidRPr="0055193F">
        <w:rPr>
          <w:rStyle w:val="FootnoteReference"/>
        </w:rPr>
        <w:footnoteRef/>
      </w:r>
      <w:r w:rsidRPr="0055193F">
        <w:t xml:space="preserve"> CEDAW/C/GBR/CO/8, ‘UN CEDAW Committee Concluding Observations on the UK Eighth Periodic Report’, 8 March 2019.</w:t>
      </w:r>
    </w:p>
  </w:footnote>
  <w:footnote w:id="12">
    <w:p w14:paraId="65BB170C" w14:textId="77777777" w:rsidR="00857B7C" w:rsidRDefault="00857B7C" w:rsidP="00857B7C">
      <w:pPr>
        <w:pStyle w:val="FootnoteText"/>
      </w:pPr>
      <w:r w:rsidRPr="004E64BC">
        <w:rPr>
          <w:rStyle w:val="FootnoteReference"/>
          <w:rFonts w:ascii="Verdana" w:hAnsi="Verdana" w:cs="Arial"/>
          <w:color w:val="77328A"/>
          <w:sz w:val="16"/>
          <w:szCs w:val="16"/>
        </w:rPr>
        <w:footnoteRef/>
      </w:r>
      <w:r w:rsidRPr="004E64BC">
        <w:rPr>
          <w:rStyle w:val="FootnoteReference"/>
          <w:rFonts w:ascii="Verdana" w:hAnsi="Verdana" w:cs="Arial"/>
          <w:color w:val="77328A"/>
          <w:sz w:val="16"/>
          <w:szCs w:val="16"/>
        </w:rPr>
        <w:t xml:space="preserve"> </w:t>
      </w:r>
      <w:r w:rsidRPr="00612D91">
        <w:rPr>
          <w:rFonts w:ascii="Verdana" w:hAnsi="Verdana"/>
          <w:color w:val="76328A"/>
          <w:sz w:val="16"/>
          <w:szCs w:val="16"/>
        </w:rPr>
        <w:t>CRC/C/GBR/CO/6-7, ‘UN CRC Committee Concluding Observations on the Combined Sixth and Seventh Reports of the United Kingdom of Great Britain and Northern Ireland’, 2 June 2023</w:t>
      </w:r>
      <w:r>
        <w:rPr>
          <w:rFonts w:ascii="Verdana" w:hAnsi="Verdana"/>
          <w:color w:val="76328A"/>
          <w:sz w:val="16"/>
          <w:szCs w:val="16"/>
        </w:rPr>
        <w:t>.</w:t>
      </w:r>
    </w:p>
  </w:footnote>
  <w:footnote w:id="13">
    <w:p w14:paraId="7185F666" w14:textId="2E9E6CD0" w:rsidR="0020115B" w:rsidRDefault="0020115B">
      <w:pPr>
        <w:pStyle w:val="FootnoteText"/>
      </w:pPr>
      <w:r w:rsidRPr="0020115B">
        <w:rPr>
          <w:rFonts w:ascii="Verdana" w:hAnsi="Verdana"/>
          <w:color w:val="76328A"/>
          <w:sz w:val="16"/>
          <w:szCs w:val="16"/>
          <w:vertAlign w:val="superscript"/>
        </w:rPr>
        <w:footnoteRef/>
      </w:r>
      <w:r w:rsidRPr="0020115B">
        <w:rPr>
          <w:rFonts w:ascii="Verdana" w:hAnsi="Verdana"/>
          <w:color w:val="76328A"/>
          <w:sz w:val="16"/>
          <w:szCs w:val="16"/>
        </w:rPr>
        <w:t xml:space="preserve"> UN CRC Committee, ‘Statement of the Committee on the Rights of the Child on Article 5 of the Convention on the Rights of the Child’, 11 October 2023.</w:t>
      </w:r>
    </w:p>
  </w:footnote>
  <w:footnote w:id="14">
    <w:p w14:paraId="58BA711F" w14:textId="3395714D" w:rsidR="003D4497" w:rsidRDefault="003D4497">
      <w:pPr>
        <w:pStyle w:val="FootnoteText"/>
      </w:pPr>
      <w:r w:rsidRPr="003D4497">
        <w:rPr>
          <w:rStyle w:val="FootnoteReference"/>
          <w:rFonts w:ascii="Verdana" w:hAnsi="Verdana" w:cs="Arial"/>
          <w:color w:val="77328A"/>
          <w:sz w:val="16"/>
          <w:szCs w:val="16"/>
        </w:rPr>
        <w:footnoteRef/>
      </w:r>
      <w:r w:rsidRPr="003D4497">
        <w:rPr>
          <w:rStyle w:val="FootnoteReference"/>
          <w:rFonts w:ascii="Verdana" w:hAnsi="Verdana" w:cs="Arial"/>
          <w:color w:val="77328A"/>
          <w:sz w:val="16"/>
          <w:szCs w:val="16"/>
        </w:rPr>
        <w:t xml:space="preserve"> </w:t>
      </w:r>
      <w:r w:rsidRPr="00612D91">
        <w:rPr>
          <w:rFonts w:ascii="Verdana" w:hAnsi="Verdana"/>
          <w:color w:val="76328A"/>
          <w:sz w:val="16"/>
          <w:szCs w:val="16"/>
        </w:rPr>
        <w:t xml:space="preserve">UN CRC Committee, ‘Statement of the Committee on the Rights of the Child on </w:t>
      </w:r>
      <w:r>
        <w:rPr>
          <w:rFonts w:ascii="Verdana" w:hAnsi="Verdana"/>
          <w:color w:val="76328A"/>
          <w:sz w:val="16"/>
          <w:szCs w:val="16"/>
        </w:rPr>
        <w:t>A</w:t>
      </w:r>
      <w:r w:rsidRPr="00612D91">
        <w:rPr>
          <w:rFonts w:ascii="Verdana" w:hAnsi="Verdana"/>
          <w:color w:val="76328A"/>
          <w:sz w:val="16"/>
          <w:szCs w:val="16"/>
        </w:rPr>
        <w:t>rticle 5 of the Convention on the Rights of the Child’, 11 October 2023</w:t>
      </w:r>
      <w:r w:rsidR="00341238">
        <w:rPr>
          <w:rFonts w:ascii="Verdana" w:hAnsi="Verdana"/>
          <w:color w:val="76328A"/>
          <w:sz w:val="16"/>
          <w:szCs w:val="16"/>
        </w:rPr>
        <w:t>.</w:t>
      </w:r>
    </w:p>
  </w:footnote>
  <w:footnote w:id="15">
    <w:p w14:paraId="4006E1D1" w14:textId="00AC496B" w:rsidR="00606A11" w:rsidRDefault="00606A11">
      <w:pPr>
        <w:pStyle w:val="FootnoteText"/>
      </w:pPr>
      <w:r w:rsidRPr="00560C9E">
        <w:rPr>
          <w:rFonts w:ascii="Verdana" w:hAnsi="Verdana"/>
          <w:color w:val="76328A"/>
          <w:sz w:val="16"/>
          <w:szCs w:val="16"/>
          <w:vertAlign w:val="superscript"/>
        </w:rPr>
        <w:footnoteRef/>
      </w:r>
      <w:r w:rsidRPr="00560C9E">
        <w:rPr>
          <w:rFonts w:ascii="Verdana" w:hAnsi="Verdana"/>
          <w:color w:val="76328A"/>
          <w:sz w:val="16"/>
          <w:szCs w:val="16"/>
        </w:rPr>
        <w:t xml:space="preserve"> </w:t>
      </w:r>
      <w:r w:rsidR="002C0E0F" w:rsidRPr="00560C9E">
        <w:rPr>
          <w:rFonts w:ascii="Verdana" w:hAnsi="Verdana"/>
          <w:color w:val="76328A"/>
          <w:sz w:val="16"/>
          <w:szCs w:val="16"/>
        </w:rPr>
        <w:t>NI Human Rights Commission, ‘Relationships and Sexuality Education in Post-Primary School in NI: A Compelling Case for Reform’ (NIHRC, 20</w:t>
      </w:r>
      <w:r w:rsidR="00560C9E" w:rsidRPr="00560C9E">
        <w:rPr>
          <w:rFonts w:ascii="Verdana" w:hAnsi="Verdana"/>
          <w:color w:val="76328A"/>
          <w:sz w:val="16"/>
          <w:szCs w:val="16"/>
        </w:rPr>
        <w:t>23</w:t>
      </w:r>
      <w:r w:rsidR="002C0E0F" w:rsidRPr="00560C9E">
        <w:rPr>
          <w:rFonts w:ascii="Verdana" w:hAnsi="Verdana"/>
          <w:color w:val="76328A"/>
          <w:sz w:val="16"/>
          <w:szCs w:val="16"/>
        </w:rPr>
        <w:t>).</w:t>
      </w:r>
    </w:p>
  </w:footnote>
  <w:footnote w:id="16">
    <w:p w14:paraId="0A184E8B" w14:textId="77777777" w:rsidR="00A941C7" w:rsidRPr="00006912" w:rsidRDefault="00A941C7" w:rsidP="00A941C7">
      <w:pPr>
        <w:pStyle w:val="FootnoteText"/>
        <w:rPr>
          <w:rFonts w:ascii="Verdana" w:hAnsi="Verdana"/>
          <w:color w:val="76328A"/>
          <w:sz w:val="16"/>
          <w:szCs w:val="16"/>
        </w:rPr>
      </w:pPr>
      <w:r w:rsidRPr="00383889">
        <w:rPr>
          <w:rStyle w:val="FootnoteReference"/>
          <w:rFonts w:ascii="Verdana" w:hAnsi="Verdana"/>
          <w:color w:val="76328A"/>
          <w:sz w:val="16"/>
          <w:szCs w:val="16"/>
        </w:rPr>
        <w:footnoteRef/>
      </w:r>
      <w:r w:rsidRPr="00383889">
        <w:rPr>
          <w:rFonts w:ascii="Verdana" w:hAnsi="Verdana"/>
          <w:color w:val="76328A"/>
          <w:sz w:val="16"/>
          <w:szCs w:val="16"/>
        </w:rPr>
        <w:t xml:space="preserve"> </w:t>
      </w:r>
      <w:bookmarkStart w:id="2" w:name="_Hlk149142027"/>
      <w:r w:rsidRPr="00383889">
        <w:rPr>
          <w:rFonts w:ascii="Verdana" w:hAnsi="Verdana"/>
          <w:color w:val="76328A"/>
          <w:sz w:val="16"/>
          <w:szCs w:val="16"/>
        </w:rPr>
        <w:t>CEDAW/C/OP.8/GBR/1, ‘UN CEDAW Committee Inquiry Concerning the United Kingdom of Great Britain and Northern Ireland under Article 8 of the Optional Protocol to the UN CEDAW Report of the Committee’, 6 March 2018, at para 86(d).</w:t>
      </w:r>
      <w:bookmarkEnd w:id="2"/>
    </w:p>
  </w:footnote>
  <w:footnote w:id="17">
    <w:p w14:paraId="18470225" w14:textId="77777777" w:rsidR="003E2E5C" w:rsidRPr="00110CEA" w:rsidRDefault="003E2E5C" w:rsidP="003E2E5C">
      <w:pPr>
        <w:pStyle w:val="FootnoteText"/>
        <w:rPr>
          <w:rFonts w:ascii="Verdana" w:hAnsi="Verdana"/>
          <w:color w:val="76328A"/>
          <w:sz w:val="16"/>
          <w:szCs w:val="16"/>
        </w:rPr>
      </w:pPr>
      <w:r w:rsidRPr="00110CEA">
        <w:rPr>
          <w:rFonts w:ascii="Verdana" w:hAnsi="Verdana"/>
          <w:color w:val="76328A"/>
          <w:sz w:val="16"/>
          <w:szCs w:val="16"/>
          <w:vertAlign w:val="superscript"/>
        </w:rPr>
        <w:footnoteRef/>
      </w:r>
      <w:r w:rsidRPr="00110CEA">
        <w:rPr>
          <w:rFonts w:ascii="Verdana" w:hAnsi="Verdana"/>
          <w:color w:val="76328A"/>
          <w:sz w:val="16"/>
          <w:szCs w:val="16"/>
          <w:vertAlign w:val="superscript"/>
        </w:rPr>
        <w:t xml:space="preserve"> </w:t>
      </w:r>
      <w:r w:rsidRPr="00110CEA">
        <w:rPr>
          <w:rFonts w:ascii="Verdana" w:hAnsi="Verdana"/>
          <w:color w:val="76328A"/>
          <w:sz w:val="16"/>
          <w:szCs w:val="16"/>
        </w:rPr>
        <w:t xml:space="preserve">Kjeldsen, Busk Madsen and Pedersen v Denmark (1976) ECHR 6, at para 51. </w:t>
      </w:r>
    </w:p>
  </w:footnote>
  <w:footnote w:id="18">
    <w:p w14:paraId="7F65653A" w14:textId="77777777" w:rsidR="003E2E5C" w:rsidRPr="00293D42" w:rsidRDefault="003E2E5C" w:rsidP="003E2E5C">
      <w:pPr>
        <w:pStyle w:val="FootnoteText"/>
        <w:rPr>
          <w:rFonts w:ascii="Verdana" w:hAnsi="Verdana"/>
          <w:color w:val="76328A"/>
          <w:sz w:val="16"/>
          <w:szCs w:val="16"/>
        </w:rPr>
      </w:pPr>
      <w:r w:rsidRPr="00B8198E">
        <w:rPr>
          <w:rStyle w:val="FootnoteReference"/>
          <w:color w:val="76328A"/>
        </w:rPr>
        <w:footnoteRef/>
      </w:r>
      <w:r w:rsidRPr="00B8198E">
        <w:rPr>
          <w:color w:val="76328A"/>
        </w:rPr>
        <w:t xml:space="preserve"> </w:t>
      </w:r>
      <w:r w:rsidRPr="00293D42">
        <w:rPr>
          <w:rStyle w:val="s6b621b36"/>
          <w:rFonts w:ascii="Verdana" w:hAnsi="Verdana" w:cs="Arial"/>
          <w:iCs/>
          <w:color w:val="76328A"/>
          <w:sz w:val="16"/>
          <w:szCs w:val="16"/>
          <w:shd w:val="clear" w:color="auto" w:fill="FFFFFF"/>
        </w:rPr>
        <w:t>Leyla Şahin v Turkey, (</w:t>
      </w:r>
      <w:r w:rsidRPr="00293D42">
        <w:rPr>
          <w:rFonts w:ascii="Verdana" w:hAnsi="Verdana" w:cs="Arial"/>
          <w:iCs/>
          <w:color w:val="76328A"/>
          <w:sz w:val="16"/>
          <w:szCs w:val="16"/>
          <w:shd w:val="clear" w:color="auto" w:fill="FFFFFF"/>
        </w:rPr>
        <w:t xml:space="preserve">2004) ECHR 299, at </w:t>
      </w:r>
      <w:r w:rsidRPr="00293D42">
        <w:rPr>
          <w:rStyle w:val="s6b621b36"/>
          <w:rFonts w:ascii="Verdana" w:hAnsi="Verdana" w:cs="Arial"/>
          <w:iCs/>
          <w:color w:val="76328A"/>
          <w:sz w:val="16"/>
          <w:szCs w:val="16"/>
          <w:shd w:val="clear" w:color="auto" w:fill="FFFFFF"/>
        </w:rPr>
        <w:t xml:space="preserve">para 137. </w:t>
      </w:r>
    </w:p>
  </w:footnote>
  <w:footnote w:id="19">
    <w:p w14:paraId="7B48F1AF" w14:textId="77777777" w:rsidR="003E2E5C" w:rsidRPr="00293D42" w:rsidRDefault="003E2E5C" w:rsidP="003E2E5C">
      <w:pPr>
        <w:pStyle w:val="FootnoteText"/>
        <w:rPr>
          <w:rFonts w:ascii="Verdana" w:hAnsi="Verdana"/>
          <w:color w:val="76328A"/>
          <w:sz w:val="16"/>
          <w:szCs w:val="16"/>
        </w:rPr>
      </w:pPr>
      <w:r w:rsidRPr="00293D42">
        <w:rPr>
          <w:rFonts w:ascii="Verdana" w:hAnsi="Verdana"/>
          <w:color w:val="76328A"/>
          <w:sz w:val="16"/>
          <w:szCs w:val="16"/>
          <w:vertAlign w:val="superscript"/>
        </w:rPr>
        <w:footnoteRef/>
      </w:r>
      <w:r w:rsidRPr="00293D42">
        <w:rPr>
          <w:rFonts w:ascii="Verdana" w:hAnsi="Verdana"/>
          <w:color w:val="76328A"/>
          <w:sz w:val="16"/>
          <w:szCs w:val="16"/>
          <w:vertAlign w:val="superscript"/>
        </w:rPr>
        <w:t xml:space="preserve"> </w:t>
      </w:r>
      <w:r w:rsidRPr="00293D42">
        <w:rPr>
          <w:rFonts w:ascii="Verdana" w:hAnsi="Verdana"/>
          <w:color w:val="76328A"/>
          <w:sz w:val="16"/>
          <w:szCs w:val="16"/>
        </w:rPr>
        <w:t>A.R. and L.R. v. Switzerland, Application No 22338/15, judgement of 18 January 2018.</w:t>
      </w:r>
    </w:p>
  </w:footnote>
  <w:footnote w:id="20">
    <w:p w14:paraId="3EF03F2D" w14:textId="77777777" w:rsidR="003E2E5C" w:rsidRPr="00B8198E" w:rsidRDefault="003E2E5C" w:rsidP="003E2E5C">
      <w:pPr>
        <w:pStyle w:val="FootnoteText"/>
        <w:rPr>
          <w:color w:val="76328A"/>
        </w:rPr>
      </w:pPr>
      <w:r w:rsidRPr="00293D42">
        <w:rPr>
          <w:rStyle w:val="FootnoteReference"/>
          <w:rFonts w:ascii="Verdana" w:hAnsi="Verdana"/>
          <w:color w:val="76328A"/>
          <w:sz w:val="16"/>
          <w:szCs w:val="16"/>
        </w:rPr>
        <w:footnoteRef/>
      </w:r>
      <w:r w:rsidRPr="00293D42">
        <w:rPr>
          <w:rFonts w:ascii="Verdana" w:hAnsi="Verdana"/>
          <w:color w:val="76328A"/>
          <w:sz w:val="16"/>
          <w:szCs w:val="16"/>
        </w:rPr>
        <w:t xml:space="preserve"> Kjeldsen, Busk Madsen and Pedersen v Denmark (1976) ECHR 6, at para 50.</w:t>
      </w:r>
      <w:r w:rsidRPr="00293D42">
        <w:rPr>
          <w:color w:val="76328A"/>
        </w:rPr>
        <w:t xml:space="preserve"> </w:t>
      </w:r>
    </w:p>
  </w:footnote>
  <w:footnote w:id="21">
    <w:p w14:paraId="250EC4CA" w14:textId="77777777" w:rsidR="003E2E5C" w:rsidRPr="00B8198E" w:rsidRDefault="003E2E5C" w:rsidP="003E2E5C">
      <w:pPr>
        <w:pStyle w:val="FootnoteText"/>
        <w:rPr>
          <w:rFonts w:ascii="Verdana" w:hAnsi="Verdana"/>
          <w:color w:val="76328A"/>
          <w:sz w:val="16"/>
          <w:szCs w:val="16"/>
        </w:rPr>
      </w:pPr>
      <w:r w:rsidRPr="00B8198E">
        <w:rPr>
          <w:rFonts w:ascii="Verdana" w:hAnsi="Verdana"/>
          <w:color w:val="76328A"/>
          <w:sz w:val="16"/>
          <w:szCs w:val="16"/>
          <w:vertAlign w:val="superscript"/>
        </w:rPr>
        <w:footnoteRef/>
      </w:r>
      <w:r w:rsidRPr="00B8198E">
        <w:rPr>
          <w:rFonts w:ascii="Verdana" w:hAnsi="Verdana"/>
          <w:color w:val="76328A"/>
          <w:sz w:val="16"/>
          <w:szCs w:val="16"/>
          <w:vertAlign w:val="superscript"/>
        </w:rPr>
        <w:t xml:space="preserve"> </w:t>
      </w:r>
      <w:r w:rsidRPr="00B8198E">
        <w:rPr>
          <w:rFonts w:ascii="Verdana" w:hAnsi="Verdana"/>
          <w:color w:val="76328A"/>
          <w:sz w:val="16"/>
          <w:szCs w:val="16"/>
        </w:rPr>
        <w:t>Folgerø and Others v Norw</w:t>
      </w:r>
      <w:r>
        <w:rPr>
          <w:rFonts w:ascii="Verdana" w:hAnsi="Verdana"/>
          <w:color w:val="76328A"/>
          <w:sz w:val="16"/>
          <w:szCs w:val="16"/>
        </w:rPr>
        <w:t>ay (2007) ECHR 2148, at para 84</w:t>
      </w:r>
      <w:r w:rsidRPr="00B8198E">
        <w:rPr>
          <w:rFonts w:ascii="Verdana" w:hAnsi="Verdana"/>
          <w:color w:val="76328A"/>
          <w:sz w:val="16"/>
          <w:szCs w:val="16"/>
        </w:rPr>
        <w:t>(b).</w:t>
      </w:r>
    </w:p>
  </w:footnote>
  <w:footnote w:id="22">
    <w:p w14:paraId="0A7EB922" w14:textId="77777777" w:rsidR="003E2E5C" w:rsidRPr="00DD1D85" w:rsidRDefault="003E2E5C" w:rsidP="003E2E5C">
      <w:pPr>
        <w:pStyle w:val="FootnoteText"/>
        <w:rPr>
          <w:rFonts w:ascii="Verdana" w:hAnsi="Verdana"/>
          <w:sz w:val="16"/>
          <w:szCs w:val="16"/>
        </w:rPr>
      </w:pPr>
      <w:r w:rsidRPr="00DD1D85">
        <w:rPr>
          <w:rStyle w:val="FootnoteReference"/>
          <w:rFonts w:ascii="Verdana" w:hAnsi="Verdana"/>
          <w:color w:val="76328A"/>
          <w:sz w:val="16"/>
          <w:szCs w:val="16"/>
        </w:rPr>
        <w:footnoteRef/>
      </w:r>
      <w:r w:rsidRPr="00DD1D85">
        <w:rPr>
          <w:rFonts w:ascii="Verdana" w:hAnsi="Verdana"/>
          <w:color w:val="76328A"/>
          <w:sz w:val="16"/>
          <w:szCs w:val="16"/>
        </w:rPr>
        <w:t>Isherwood &amp; O</w:t>
      </w:r>
      <w:r>
        <w:rPr>
          <w:rFonts w:ascii="Verdana" w:hAnsi="Verdana"/>
          <w:color w:val="76328A"/>
          <w:sz w:val="16"/>
          <w:szCs w:val="16"/>
        </w:rPr>
        <w:t>the</w:t>
      </w:r>
      <w:r w:rsidRPr="00DD1D85">
        <w:rPr>
          <w:rFonts w:ascii="Verdana" w:hAnsi="Verdana"/>
          <w:color w:val="76328A"/>
          <w:sz w:val="16"/>
          <w:szCs w:val="16"/>
        </w:rPr>
        <w:t>rs, R. (On the Application Of) v The Welsh Ministers [2022] EWHC 3331.</w:t>
      </w:r>
    </w:p>
  </w:footnote>
  <w:footnote w:id="23">
    <w:p w14:paraId="3A910F24" w14:textId="10B75AD4" w:rsidR="003E2E5C" w:rsidRPr="00D1224A" w:rsidRDefault="003E2E5C" w:rsidP="003E2E5C">
      <w:pPr>
        <w:pStyle w:val="FootnoteText"/>
        <w:rPr>
          <w:rFonts w:ascii="Verdana" w:hAnsi="Verdana"/>
          <w:color w:val="76328A"/>
          <w:sz w:val="16"/>
          <w:szCs w:val="16"/>
        </w:rPr>
      </w:pPr>
      <w:r w:rsidRPr="00D1224A">
        <w:rPr>
          <w:rStyle w:val="FootnoteReference"/>
          <w:rFonts w:ascii="Verdana" w:hAnsi="Verdana"/>
          <w:color w:val="76328A"/>
          <w:sz w:val="16"/>
          <w:szCs w:val="16"/>
        </w:rPr>
        <w:footnoteRef/>
      </w:r>
      <w:r w:rsidRPr="00D1224A">
        <w:rPr>
          <w:rFonts w:ascii="Verdana" w:hAnsi="Verdana"/>
          <w:color w:val="76328A"/>
          <w:sz w:val="16"/>
          <w:szCs w:val="16"/>
        </w:rPr>
        <w:t xml:space="preserve"> </w:t>
      </w:r>
      <w:r w:rsidR="000069A3" w:rsidRPr="000069A3">
        <w:rPr>
          <w:rFonts w:ascii="Verdana" w:hAnsi="Verdana"/>
          <w:color w:val="76328A"/>
          <w:sz w:val="16"/>
          <w:szCs w:val="16"/>
        </w:rPr>
        <w:t>Isherwood &amp; Others, R. (On the Application Of) v The Welsh Ministers [2022] EWHC 3331</w:t>
      </w:r>
      <w:r w:rsidR="000069A3">
        <w:rPr>
          <w:rFonts w:ascii="Verdana" w:hAnsi="Verdana"/>
          <w:color w:val="76328A"/>
          <w:sz w:val="16"/>
          <w:szCs w:val="16"/>
        </w:rPr>
        <w:t xml:space="preserve">, </w:t>
      </w:r>
      <w:r w:rsidRPr="00D1224A">
        <w:rPr>
          <w:rFonts w:ascii="Verdana" w:hAnsi="Verdana"/>
          <w:color w:val="76328A"/>
          <w:sz w:val="16"/>
          <w:szCs w:val="16"/>
        </w:rPr>
        <w:t>at</w:t>
      </w:r>
      <w:r>
        <w:rPr>
          <w:rFonts w:ascii="Verdana" w:hAnsi="Verdana"/>
          <w:color w:val="76328A"/>
          <w:sz w:val="16"/>
          <w:szCs w:val="16"/>
        </w:rPr>
        <w:t xml:space="preserve"> </w:t>
      </w:r>
      <w:r w:rsidRPr="00D1224A">
        <w:rPr>
          <w:rFonts w:ascii="Verdana" w:hAnsi="Verdana"/>
          <w:color w:val="76328A"/>
          <w:sz w:val="16"/>
          <w:szCs w:val="16"/>
        </w:rPr>
        <w:t xml:space="preserve">Para 146. </w:t>
      </w:r>
    </w:p>
  </w:footnote>
  <w:footnote w:id="24">
    <w:p w14:paraId="27B188E9" w14:textId="77777777" w:rsidR="008D0952" w:rsidRPr="008D0952" w:rsidRDefault="0000790C" w:rsidP="008D0952">
      <w:pPr>
        <w:pStyle w:val="FootnoteText"/>
        <w:rPr>
          <w:rFonts w:ascii="Verdana" w:hAnsi="Verdana"/>
          <w:color w:val="76328A"/>
          <w:sz w:val="16"/>
          <w:szCs w:val="16"/>
        </w:rPr>
      </w:pPr>
      <w:r w:rsidRPr="008D0952">
        <w:rPr>
          <w:rFonts w:ascii="Verdana" w:hAnsi="Verdana"/>
          <w:color w:val="76328A"/>
          <w:sz w:val="16"/>
          <w:szCs w:val="16"/>
          <w:vertAlign w:val="superscript"/>
        </w:rPr>
        <w:footnoteRef/>
      </w:r>
      <w:r w:rsidRPr="008D0952">
        <w:rPr>
          <w:rFonts w:ascii="Verdana" w:hAnsi="Verdana"/>
          <w:color w:val="76328A"/>
          <w:sz w:val="16"/>
          <w:szCs w:val="16"/>
        </w:rPr>
        <w:t xml:space="preserve"> </w:t>
      </w:r>
      <w:r w:rsidR="008D0952" w:rsidRPr="008D0952">
        <w:rPr>
          <w:rFonts w:ascii="Verdana" w:hAnsi="Verdana"/>
          <w:color w:val="76328A"/>
          <w:sz w:val="16"/>
          <w:szCs w:val="16"/>
        </w:rPr>
        <w:t>Isherwood &amp; Others, R. (On the Application Of) v The Welsh Ministers [2022] EWHC 3331, at</w:t>
      </w:r>
    </w:p>
    <w:p w14:paraId="6C3DBDD3" w14:textId="25288C5A" w:rsidR="0000790C" w:rsidRDefault="008D0952" w:rsidP="008D0952">
      <w:pPr>
        <w:pStyle w:val="FootnoteText"/>
      </w:pPr>
      <w:r w:rsidRPr="008D0952">
        <w:rPr>
          <w:rFonts w:ascii="Verdana" w:hAnsi="Verdana"/>
          <w:color w:val="76328A"/>
          <w:sz w:val="16"/>
          <w:szCs w:val="16"/>
        </w:rPr>
        <w:t xml:space="preserve">Para </w:t>
      </w:r>
      <w:r>
        <w:rPr>
          <w:rFonts w:ascii="Verdana" w:hAnsi="Verdana"/>
          <w:color w:val="76328A"/>
          <w:sz w:val="16"/>
          <w:szCs w:val="16"/>
        </w:rPr>
        <w:t>201</w:t>
      </w:r>
      <w:r w:rsidRPr="008D0952">
        <w:rPr>
          <w:rFonts w:ascii="Verdana" w:hAnsi="Verdana"/>
          <w:color w:val="76328A"/>
          <w:sz w:val="16"/>
          <w:szCs w:val="16"/>
        </w:rPr>
        <w:t>.</w:t>
      </w:r>
    </w:p>
  </w:footnote>
  <w:footnote w:id="25">
    <w:p w14:paraId="6B417CC6" w14:textId="2782101A" w:rsidR="00764697" w:rsidRDefault="00764697">
      <w:pPr>
        <w:pStyle w:val="FootnoteText"/>
      </w:pPr>
      <w:r w:rsidRPr="00612D91">
        <w:rPr>
          <w:rFonts w:ascii="Verdana" w:hAnsi="Verdana"/>
          <w:color w:val="76328A"/>
          <w:sz w:val="16"/>
          <w:szCs w:val="16"/>
          <w:vertAlign w:val="superscript"/>
        </w:rPr>
        <w:footnoteRef/>
      </w:r>
      <w:r w:rsidRPr="00612D91">
        <w:rPr>
          <w:rFonts w:ascii="Verdana" w:hAnsi="Verdana"/>
          <w:color w:val="76328A"/>
          <w:sz w:val="16"/>
          <w:szCs w:val="16"/>
        </w:rPr>
        <w:t xml:space="preserve"> </w:t>
      </w:r>
      <w:r w:rsidR="00275E8B" w:rsidRPr="00612D91">
        <w:rPr>
          <w:rFonts w:ascii="Verdana" w:hAnsi="Verdana"/>
          <w:color w:val="76328A"/>
          <w:sz w:val="16"/>
          <w:szCs w:val="16"/>
        </w:rPr>
        <w:t>CRC/C/GBR/CO/6-7, ‘UN CRC Committee Concluding Observations on the Combined Sixth and Seventh Reports of the United Kingdom of Great Britain and Northern Ireland’, 2 June 2023, at para 44(b).</w:t>
      </w:r>
    </w:p>
  </w:footnote>
  <w:footnote w:id="26">
    <w:p w14:paraId="04B32F97" w14:textId="1F2594C9" w:rsidR="000752B6" w:rsidRPr="00612D91" w:rsidRDefault="000752B6">
      <w:pPr>
        <w:pStyle w:val="FootnoteText"/>
        <w:rPr>
          <w:rFonts w:ascii="Verdana" w:hAnsi="Verdana"/>
          <w:color w:val="76328A"/>
          <w:sz w:val="16"/>
          <w:szCs w:val="16"/>
        </w:rPr>
      </w:pPr>
      <w:r w:rsidRPr="00612D91">
        <w:rPr>
          <w:rFonts w:ascii="Verdana" w:hAnsi="Verdana"/>
          <w:color w:val="76328A"/>
          <w:sz w:val="16"/>
          <w:szCs w:val="16"/>
          <w:vertAlign w:val="superscript"/>
        </w:rPr>
        <w:footnoteRef/>
      </w:r>
      <w:r w:rsidRPr="00612D91">
        <w:rPr>
          <w:rFonts w:ascii="Verdana" w:hAnsi="Verdana"/>
          <w:color w:val="76328A"/>
          <w:sz w:val="16"/>
          <w:szCs w:val="16"/>
          <w:vertAlign w:val="superscript"/>
        </w:rPr>
        <w:t xml:space="preserve"> </w:t>
      </w:r>
      <w:bookmarkStart w:id="5" w:name="_Hlk149126531"/>
      <w:r w:rsidRPr="00612D91">
        <w:rPr>
          <w:rFonts w:ascii="Verdana" w:hAnsi="Verdana"/>
          <w:color w:val="76328A"/>
          <w:sz w:val="16"/>
          <w:szCs w:val="16"/>
        </w:rPr>
        <w:t xml:space="preserve">UN </w:t>
      </w:r>
      <w:r w:rsidR="008C01C3" w:rsidRPr="00612D91">
        <w:rPr>
          <w:rFonts w:ascii="Verdana" w:hAnsi="Verdana"/>
          <w:color w:val="76328A"/>
          <w:sz w:val="16"/>
          <w:szCs w:val="16"/>
        </w:rPr>
        <w:t xml:space="preserve">CRC Committee, ‘Statement of the Committee on the Rights of the Child on </w:t>
      </w:r>
      <w:r w:rsidR="003D4497">
        <w:rPr>
          <w:rFonts w:ascii="Verdana" w:hAnsi="Verdana"/>
          <w:color w:val="76328A"/>
          <w:sz w:val="16"/>
          <w:szCs w:val="16"/>
        </w:rPr>
        <w:t>A</w:t>
      </w:r>
      <w:r w:rsidR="008C01C3" w:rsidRPr="00612D91">
        <w:rPr>
          <w:rFonts w:ascii="Verdana" w:hAnsi="Verdana"/>
          <w:color w:val="76328A"/>
          <w:sz w:val="16"/>
          <w:szCs w:val="16"/>
        </w:rPr>
        <w:t>rticle 5 of the Convention on the Rights of the Child’, 11 October 2023, at</w:t>
      </w:r>
      <w:r w:rsidR="00BD7F2D" w:rsidRPr="00612D91">
        <w:rPr>
          <w:rFonts w:ascii="Verdana" w:hAnsi="Verdana"/>
          <w:color w:val="76328A"/>
          <w:sz w:val="16"/>
          <w:szCs w:val="16"/>
        </w:rPr>
        <w:t xml:space="preserve"> 5. </w:t>
      </w:r>
      <w:bookmarkEnd w:id="5"/>
    </w:p>
  </w:footnote>
  <w:footnote w:id="27">
    <w:p w14:paraId="059D094E" w14:textId="73DBB517" w:rsidR="00BD7F2D" w:rsidRDefault="00BD7F2D">
      <w:pPr>
        <w:pStyle w:val="FootnoteText"/>
      </w:pPr>
      <w:r w:rsidRPr="00612D91">
        <w:rPr>
          <w:rFonts w:ascii="Verdana" w:hAnsi="Verdana"/>
          <w:color w:val="76328A"/>
          <w:sz w:val="16"/>
          <w:szCs w:val="16"/>
          <w:vertAlign w:val="superscript"/>
        </w:rPr>
        <w:footnoteRef/>
      </w:r>
      <w:r w:rsidRPr="00612D91">
        <w:rPr>
          <w:rFonts w:ascii="Verdana" w:hAnsi="Verdana"/>
          <w:color w:val="76328A"/>
          <w:sz w:val="16"/>
          <w:szCs w:val="16"/>
        </w:rPr>
        <w:t xml:space="preserve"> UN CRC Committee, ‘Statement of the Committee on the Rights of the Child on </w:t>
      </w:r>
      <w:r w:rsidR="003D4497">
        <w:rPr>
          <w:rFonts w:ascii="Verdana" w:hAnsi="Verdana"/>
          <w:color w:val="76328A"/>
          <w:sz w:val="16"/>
          <w:szCs w:val="16"/>
        </w:rPr>
        <w:t>A</w:t>
      </w:r>
      <w:r w:rsidRPr="00612D91">
        <w:rPr>
          <w:rFonts w:ascii="Verdana" w:hAnsi="Verdana"/>
          <w:color w:val="76328A"/>
          <w:sz w:val="16"/>
          <w:szCs w:val="16"/>
        </w:rPr>
        <w:t xml:space="preserve">rticle 5 of the Convention on the Rights of the Child’, 11 October 2023, at </w:t>
      </w:r>
      <w:r w:rsidR="00CE47BA" w:rsidRPr="00612D91">
        <w:rPr>
          <w:rFonts w:ascii="Verdana" w:hAnsi="Verdana"/>
          <w:color w:val="76328A"/>
          <w:sz w:val="16"/>
          <w:szCs w:val="16"/>
        </w:rPr>
        <w:t>7</w:t>
      </w:r>
      <w:r w:rsidR="00E84960" w:rsidRPr="00612D91">
        <w:rPr>
          <w:rFonts w:ascii="Verdana" w:hAnsi="Verdana"/>
          <w:color w:val="76328A"/>
          <w:sz w:val="16"/>
          <w:szCs w:val="16"/>
        </w:rPr>
        <w:t>.</w:t>
      </w:r>
    </w:p>
  </w:footnote>
  <w:footnote w:id="28">
    <w:p w14:paraId="2661CF05" w14:textId="77777777" w:rsidR="00805B3B" w:rsidRPr="00982F87" w:rsidRDefault="00805B3B" w:rsidP="00805B3B">
      <w:pPr>
        <w:pStyle w:val="FootnoteText"/>
        <w:rPr>
          <w:rFonts w:ascii="Verdana" w:hAnsi="Verdana"/>
          <w:color w:val="76328A"/>
          <w:sz w:val="16"/>
          <w:szCs w:val="16"/>
        </w:rPr>
      </w:pPr>
      <w:r w:rsidRPr="00982F87">
        <w:rPr>
          <w:rFonts w:ascii="Verdana" w:hAnsi="Verdana"/>
          <w:color w:val="76328A"/>
          <w:sz w:val="16"/>
          <w:szCs w:val="16"/>
          <w:vertAlign w:val="superscript"/>
        </w:rPr>
        <w:footnoteRef/>
      </w:r>
      <w:r w:rsidRPr="00982F87">
        <w:rPr>
          <w:rFonts w:ascii="Verdana" w:hAnsi="Verdana"/>
          <w:color w:val="76328A"/>
          <w:sz w:val="16"/>
          <w:szCs w:val="16"/>
          <w:vertAlign w:val="superscript"/>
        </w:rPr>
        <w:t xml:space="preserve"> </w:t>
      </w:r>
      <w:r w:rsidRPr="00982F87">
        <w:rPr>
          <w:rFonts w:ascii="Verdana" w:hAnsi="Verdana"/>
          <w:color w:val="76328A"/>
          <w:sz w:val="16"/>
          <w:szCs w:val="16"/>
        </w:rPr>
        <w:t>Department of Education, ‘Consultation on Relationships and Sexuality Education (RSE)’ (DE, 2023), at 9.</w:t>
      </w:r>
    </w:p>
  </w:footnote>
  <w:footnote w:id="29">
    <w:p w14:paraId="1BF791BD" w14:textId="77777777" w:rsidR="00874285" w:rsidRPr="00982F87" w:rsidRDefault="00874285" w:rsidP="00874285">
      <w:pPr>
        <w:pStyle w:val="FootnoteText"/>
        <w:rPr>
          <w:rFonts w:ascii="Verdana" w:hAnsi="Verdana"/>
          <w:color w:val="76328A"/>
          <w:sz w:val="16"/>
          <w:szCs w:val="16"/>
        </w:rPr>
      </w:pPr>
      <w:r w:rsidRPr="00982F87">
        <w:rPr>
          <w:rFonts w:ascii="Verdana" w:hAnsi="Verdana"/>
          <w:color w:val="76328A"/>
          <w:sz w:val="16"/>
          <w:szCs w:val="16"/>
          <w:vertAlign w:val="superscript"/>
        </w:rPr>
        <w:footnoteRef/>
      </w:r>
      <w:r w:rsidRPr="00982F87">
        <w:rPr>
          <w:rFonts w:ascii="Verdana" w:hAnsi="Verdana"/>
          <w:color w:val="76328A"/>
          <w:sz w:val="16"/>
          <w:szCs w:val="16"/>
          <w:vertAlign w:val="superscript"/>
        </w:rPr>
        <w:t xml:space="preserve"> </w:t>
      </w:r>
      <w:r w:rsidRPr="00982F87">
        <w:rPr>
          <w:rFonts w:ascii="Verdana" w:hAnsi="Verdana"/>
          <w:color w:val="76328A"/>
          <w:sz w:val="16"/>
          <w:szCs w:val="16"/>
        </w:rPr>
        <w:t>Department of Education, ‘Consultation on Relationships and Sexuality Education (RSE)’ (DE, 2023), at 9.</w:t>
      </w:r>
    </w:p>
  </w:footnote>
  <w:footnote w:id="30">
    <w:p w14:paraId="315A33B5" w14:textId="77777777" w:rsidR="00805B3B" w:rsidRDefault="00805B3B" w:rsidP="00805B3B">
      <w:pPr>
        <w:pStyle w:val="FootnoteText"/>
      </w:pPr>
      <w:r w:rsidRPr="00982F87">
        <w:rPr>
          <w:rFonts w:ascii="Verdana" w:hAnsi="Verdana"/>
          <w:color w:val="76328A"/>
          <w:sz w:val="16"/>
          <w:szCs w:val="16"/>
          <w:vertAlign w:val="superscript"/>
        </w:rPr>
        <w:footnoteRef/>
      </w:r>
      <w:r w:rsidRPr="00982F87">
        <w:rPr>
          <w:rFonts w:ascii="Verdana" w:hAnsi="Verdana"/>
          <w:color w:val="76328A"/>
          <w:sz w:val="16"/>
          <w:szCs w:val="16"/>
          <w:vertAlign w:val="superscript"/>
        </w:rPr>
        <w:t xml:space="preserve"> </w:t>
      </w:r>
      <w:r w:rsidRPr="00982F87">
        <w:rPr>
          <w:rFonts w:ascii="Verdana" w:hAnsi="Verdana"/>
          <w:color w:val="76328A"/>
          <w:sz w:val="16"/>
          <w:szCs w:val="16"/>
        </w:rPr>
        <w:t>Department of Education, ‘Consultation on Relationships and Sexuality Education (RSE)’ (DE, 2023), at 9.</w:t>
      </w:r>
    </w:p>
  </w:footnote>
  <w:footnote w:id="31">
    <w:p w14:paraId="01DAFE8C" w14:textId="19747F80" w:rsidR="00515EB1" w:rsidRDefault="00515EB1">
      <w:pPr>
        <w:pStyle w:val="FootnoteText"/>
      </w:pPr>
      <w:r w:rsidRPr="005C720A">
        <w:rPr>
          <w:rFonts w:ascii="Verdana" w:hAnsi="Verdana"/>
          <w:color w:val="76328A"/>
          <w:sz w:val="16"/>
          <w:szCs w:val="16"/>
          <w:vertAlign w:val="superscript"/>
        </w:rPr>
        <w:footnoteRef/>
      </w:r>
      <w:r w:rsidRPr="005C720A">
        <w:rPr>
          <w:rFonts w:ascii="Verdana" w:hAnsi="Verdana"/>
          <w:color w:val="76328A"/>
          <w:sz w:val="16"/>
          <w:szCs w:val="16"/>
          <w:vertAlign w:val="superscript"/>
        </w:rPr>
        <w:t xml:space="preserve"> </w:t>
      </w:r>
      <w:r w:rsidR="0090706C" w:rsidRPr="005C720A">
        <w:rPr>
          <w:rFonts w:ascii="Verdana" w:hAnsi="Verdana"/>
          <w:color w:val="76328A"/>
          <w:sz w:val="16"/>
          <w:szCs w:val="16"/>
        </w:rPr>
        <w:t>Department of Education, ‘</w:t>
      </w:r>
      <w:r w:rsidR="00290D7A" w:rsidRPr="005C720A">
        <w:rPr>
          <w:rFonts w:ascii="Verdana" w:hAnsi="Verdana"/>
          <w:color w:val="76328A"/>
          <w:sz w:val="16"/>
          <w:szCs w:val="16"/>
        </w:rPr>
        <w:t>Equality and Human Rights Screening for</w:t>
      </w:r>
      <w:r w:rsidR="0090706C" w:rsidRPr="005C720A">
        <w:rPr>
          <w:rFonts w:ascii="Verdana" w:hAnsi="Verdana"/>
          <w:color w:val="76328A"/>
          <w:sz w:val="16"/>
          <w:szCs w:val="16"/>
        </w:rPr>
        <w:t xml:space="preserve"> Relationships and Sexuality Education (RSE)’ (DE, 2023), at </w:t>
      </w:r>
      <w:r w:rsidR="009F089D" w:rsidRPr="005C720A">
        <w:rPr>
          <w:rFonts w:ascii="Verdana" w:hAnsi="Verdana"/>
          <w:color w:val="76328A"/>
          <w:sz w:val="16"/>
          <w:szCs w:val="16"/>
        </w:rPr>
        <w:t>23.</w:t>
      </w:r>
    </w:p>
  </w:footnote>
  <w:footnote w:id="32">
    <w:p w14:paraId="72AF423C" w14:textId="29B68638" w:rsidR="009F089D" w:rsidRDefault="009F089D">
      <w:pPr>
        <w:pStyle w:val="FootnoteText"/>
      </w:pPr>
      <w:r w:rsidRPr="005C720A">
        <w:rPr>
          <w:rFonts w:ascii="Verdana" w:hAnsi="Verdana"/>
          <w:color w:val="76328A"/>
          <w:sz w:val="16"/>
          <w:szCs w:val="16"/>
          <w:vertAlign w:val="superscript"/>
        </w:rPr>
        <w:footnoteRef/>
      </w:r>
      <w:r w:rsidRPr="005C720A">
        <w:rPr>
          <w:rFonts w:ascii="Verdana" w:hAnsi="Verdana"/>
          <w:color w:val="76328A"/>
          <w:sz w:val="16"/>
          <w:szCs w:val="16"/>
        </w:rPr>
        <w:t xml:space="preserve"> Department of Education, ‘Equality and Human Rights Screening for Relationships and Sexuality Education (RSE)’ (DE, 2023), at 3.</w:t>
      </w:r>
    </w:p>
  </w:footnote>
  <w:footnote w:id="33">
    <w:p w14:paraId="2BECC856" w14:textId="77777777" w:rsidR="002715AE" w:rsidRPr="00506F29" w:rsidRDefault="002715AE" w:rsidP="002715AE">
      <w:pPr>
        <w:pStyle w:val="FootnoteText"/>
        <w:rPr>
          <w:rFonts w:ascii="Verdana" w:hAnsi="Verdana"/>
          <w:color w:val="76328A"/>
          <w:sz w:val="16"/>
          <w:szCs w:val="16"/>
        </w:rPr>
      </w:pPr>
      <w:r w:rsidRPr="00612D91">
        <w:rPr>
          <w:rFonts w:ascii="Verdana" w:hAnsi="Verdana"/>
          <w:color w:val="76328A"/>
          <w:sz w:val="16"/>
          <w:szCs w:val="16"/>
          <w:vertAlign w:val="superscript"/>
        </w:rPr>
        <w:footnoteRef/>
      </w:r>
      <w:r w:rsidRPr="00612D91">
        <w:rPr>
          <w:rFonts w:ascii="Verdana" w:hAnsi="Verdana"/>
          <w:color w:val="76328A"/>
          <w:sz w:val="16"/>
          <w:szCs w:val="16"/>
          <w:vertAlign w:val="superscript"/>
        </w:rPr>
        <w:t xml:space="preserve"> </w:t>
      </w:r>
      <w:r w:rsidRPr="00506F29">
        <w:rPr>
          <w:rFonts w:ascii="Verdana" w:hAnsi="Verdana"/>
          <w:color w:val="76328A"/>
          <w:sz w:val="16"/>
          <w:szCs w:val="16"/>
        </w:rPr>
        <w:t>Council of Europe, ‘Mid-term Horizontal Review of GREVIO Baseline Evaluation Reports’, (CoE, 2022) at 164</w:t>
      </w:r>
    </w:p>
  </w:footnote>
  <w:footnote w:id="34">
    <w:p w14:paraId="35CE4311" w14:textId="77777777" w:rsidR="002715AE" w:rsidRPr="00506F29" w:rsidRDefault="002715AE" w:rsidP="002715AE">
      <w:pPr>
        <w:pStyle w:val="FootnoteText"/>
        <w:rPr>
          <w:rFonts w:ascii="Verdana" w:hAnsi="Verdana"/>
          <w:color w:val="76328A"/>
          <w:sz w:val="16"/>
          <w:szCs w:val="16"/>
        </w:rPr>
      </w:pPr>
      <w:r w:rsidRPr="00612D91">
        <w:rPr>
          <w:rFonts w:ascii="Verdana" w:hAnsi="Verdana"/>
          <w:color w:val="76328A"/>
          <w:sz w:val="16"/>
          <w:szCs w:val="16"/>
          <w:vertAlign w:val="superscript"/>
        </w:rPr>
        <w:footnoteRef/>
      </w:r>
      <w:r w:rsidRPr="00506F29">
        <w:rPr>
          <w:rFonts w:ascii="Verdana" w:hAnsi="Verdana"/>
          <w:color w:val="76328A"/>
          <w:sz w:val="16"/>
          <w:szCs w:val="16"/>
        </w:rPr>
        <w:t xml:space="preserve"> United Nations Educational, Scientific and Cultural Organization, ‘International Guidelines on Sexuality Education: An Evidence Informed Approach to Effective Sex, Relationships and HIV/STI Education’, (UNESCO, 2009) at 18.</w:t>
      </w:r>
    </w:p>
  </w:footnote>
  <w:footnote w:id="35">
    <w:p w14:paraId="3695FE48" w14:textId="77777777" w:rsidR="005E38DF" w:rsidRPr="00471707" w:rsidRDefault="005E38DF" w:rsidP="005E38DF">
      <w:pPr>
        <w:pStyle w:val="FootnoteText"/>
        <w:rPr>
          <w:rFonts w:ascii="Verdana" w:hAnsi="Verdana"/>
          <w:color w:val="76328A"/>
          <w:sz w:val="16"/>
          <w:szCs w:val="16"/>
        </w:rPr>
      </w:pPr>
      <w:r w:rsidRPr="00471707">
        <w:rPr>
          <w:rStyle w:val="FootnoteReference"/>
          <w:rFonts w:ascii="Verdana" w:hAnsi="Verdana"/>
          <w:color w:val="76328A"/>
          <w:sz w:val="16"/>
          <w:szCs w:val="16"/>
        </w:rPr>
        <w:footnoteRef/>
      </w:r>
      <w:r w:rsidRPr="00471707">
        <w:rPr>
          <w:rFonts w:ascii="Verdana" w:hAnsi="Verdana"/>
          <w:color w:val="76328A"/>
          <w:sz w:val="16"/>
          <w:szCs w:val="16"/>
        </w:rPr>
        <w:t xml:space="preserve"> United Nations Educational, Scientific and Cultural Organization, ‘International Guidelines on Sexuality Education: An Evidence Informed Approach to Effective Sex, Relationships and HIV/STI Education’, (UNESCO, 2009) at 18.</w:t>
      </w:r>
    </w:p>
  </w:footnote>
  <w:footnote w:id="36">
    <w:p w14:paraId="6C4402DD" w14:textId="77777777" w:rsidR="00530717" w:rsidRPr="00506F29" w:rsidRDefault="00530717" w:rsidP="00530717">
      <w:pPr>
        <w:pStyle w:val="FootnoteText"/>
        <w:rPr>
          <w:rFonts w:ascii="Verdana" w:hAnsi="Verdana"/>
          <w:color w:val="76328A"/>
          <w:sz w:val="16"/>
          <w:szCs w:val="16"/>
        </w:rPr>
      </w:pPr>
      <w:r w:rsidRPr="00612D91">
        <w:rPr>
          <w:rFonts w:ascii="Verdana" w:hAnsi="Verdana"/>
          <w:color w:val="76328A"/>
          <w:sz w:val="16"/>
          <w:szCs w:val="16"/>
          <w:vertAlign w:val="superscript"/>
        </w:rPr>
        <w:footnoteRef/>
      </w:r>
      <w:r w:rsidRPr="00612D91">
        <w:rPr>
          <w:rFonts w:ascii="Verdana" w:hAnsi="Verdana"/>
          <w:color w:val="76328A"/>
          <w:sz w:val="16"/>
          <w:szCs w:val="16"/>
          <w:vertAlign w:val="superscript"/>
        </w:rPr>
        <w:t xml:space="preserve"> </w:t>
      </w:r>
      <w:r w:rsidRPr="00506F29">
        <w:rPr>
          <w:rFonts w:ascii="Verdana" w:hAnsi="Verdana"/>
          <w:color w:val="76328A"/>
          <w:sz w:val="16"/>
          <w:szCs w:val="16"/>
        </w:rPr>
        <w:t>Council of Europe, ‘Explanatory Report to the Council of Europe Convention on Preventing and Combating Violence Against Women and Domestic Violence’, (CoE, 2011) at para 94.</w:t>
      </w:r>
    </w:p>
  </w:footnote>
  <w:footnote w:id="37">
    <w:p w14:paraId="082EDBCA" w14:textId="77777777" w:rsidR="00530717" w:rsidRPr="00506F29" w:rsidRDefault="00530717" w:rsidP="00530717">
      <w:pPr>
        <w:pStyle w:val="FootnoteText"/>
        <w:rPr>
          <w:rFonts w:ascii="Verdana" w:hAnsi="Verdana"/>
          <w:color w:val="76328A"/>
          <w:sz w:val="16"/>
          <w:szCs w:val="16"/>
        </w:rPr>
      </w:pPr>
      <w:r w:rsidRPr="00612D91">
        <w:rPr>
          <w:rFonts w:ascii="Verdana" w:hAnsi="Verdana"/>
          <w:color w:val="76328A"/>
          <w:sz w:val="16"/>
          <w:szCs w:val="16"/>
          <w:vertAlign w:val="superscript"/>
        </w:rPr>
        <w:footnoteRef/>
      </w:r>
      <w:r w:rsidRPr="00612D91">
        <w:rPr>
          <w:rFonts w:ascii="Verdana" w:hAnsi="Verdana"/>
          <w:color w:val="76328A"/>
          <w:sz w:val="16"/>
          <w:szCs w:val="16"/>
          <w:vertAlign w:val="superscript"/>
        </w:rPr>
        <w:t xml:space="preserve"> </w:t>
      </w:r>
      <w:bookmarkStart w:id="9" w:name="_Hlk133941431"/>
      <w:r w:rsidRPr="00506F29">
        <w:rPr>
          <w:rFonts w:ascii="Verdana" w:hAnsi="Verdana"/>
          <w:color w:val="76328A"/>
          <w:sz w:val="16"/>
          <w:szCs w:val="16"/>
        </w:rPr>
        <w:t>CRPD/C/GC/3, ‘UN CRPD Committee General Comment No 3 on Women and Girls with Disabilities’, 25 November 2016, at para 64(b).</w:t>
      </w:r>
      <w:bookmarkEnd w:id="9"/>
    </w:p>
  </w:footnote>
  <w:footnote w:id="38">
    <w:p w14:paraId="08B27F78" w14:textId="77777777" w:rsidR="00530717" w:rsidRPr="00506F29" w:rsidRDefault="00530717" w:rsidP="00530717">
      <w:pPr>
        <w:pStyle w:val="FootnoteText"/>
        <w:rPr>
          <w:rFonts w:ascii="Verdana" w:hAnsi="Verdana"/>
          <w:color w:val="76328A"/>
          <w:sz w:val="16"/>
          <w:szCs w:val="16"/>
        </w:rPr>
      </w:pPr>
      <w:r w:rsidRPr="00612D91">
        <w:rPr>
          <w:rFonts w:ascii="Verdana" w:hAnsi="Verdana"/>
          <w:color w:val="76328A"/>
          <w:sz w:val="16"/>
          <w:szCs w:val="16"/>
          <w:vertAlign w:val="superscript"/>
        </w:rPr>
        <w:footnoteRef/>
      </w:r>
      <w:r w:rsidRPr="00506F29">
        <w:rPr>
          <w:rFonts w:ascii="Verdana" w:hAnsi="Verdana"/>
          <w:color w:val="76328A"/>
          <w:sz w:val="16"/>
          <w:szCs w:val="16"/>
        </w:rPr>
        <w:t xml:space="preserve"> </w:t>
      </w:r>
      <w:bookmarkStart w:id="10" w:name="_Hlk149666913"/>
      <w:r w:rsidRPr="00506F29">
        <w:rPr>
          <w:rFonts w:ascii="Verdana" w:hAnsi="Verdana"/>
          <w:color w:val="76328A"/>
          <w:sz w:val="16"/>
          <w:szCs w:val="16"/>
        </w:rPr>
        <w:t>E/C.12/GC/22, Committee on Economic, Social and Cultural Rights, General Comment No 22 on the Right to Sexual and Reproductive Health’, 2 May 2016, at para 23.</w:t>
      </w:r>
      <w:bookmarkEnd w:id="10"/>
    </w:p>
  </w:footnote>
  <w:footnote w:id="39">
    <w:p w14:paraId="42D0E314" w14:textId="77777777" w:rsidR="00530717" w:rsidRDefault="00530717" w:rsidP="00530717">
      <w:pPr>
        <w:pStyle w:val="FootnoteText"/>
      </w:pPr>
      <w:r w:rsidRPr="00612D91">
        <w:rPr>
          <w:rFonts w:ascii="Verdana" w:hAnsi="Verdana"/>
          <w:color w:val="76328A"/>
          <w:sz w:val="16"/>
          <w:szCs w:val="16"/>
          <w:vertAlign w:val="superscript"/>
        </w:rPr>
        <w:footnoteRef/>
      </w:r>
      <w:r w:rsidRPr="00506F29">
        <w:rPr>
          <w:rFonts w:ascii="Verdana" w:hAnsi="Verdana"/>
          <w:color w:val="76328A"/>
          <w:sz w:val="16"/>
          <w:szCs w:val="16"/>
        </w:rPr>
        <w:t xml:space="preserve"> E/C.12/GC/22, Committee on Economic, Social and Cultural Rights, General Comment No 22 on the Right to Sexual and Reproductive Health’, 2 May 2016, at para 30.</w:t>
      </w:r>
    </w:p>
  </w:footnote>
  <w:footnote w:id="40">
    <w:p w14:paraId="741B3B39" w14:textId="77777777" w:rsidR="00874285" w:rsidRPr="00661AB1" w:rsidRDefault="00874285" w:rsidP="00874285">
      <w:pPr>
        <w:pStyle w:val="NIHRCFootnotes"/>
        <w:rPr>
          <w:color w:val="76328A"/>
        </w:rPr>
      </w:pPr>
      <w:r w:rsidRPr="00661AB1">
        <w:rPr>
          <w:rStyle w:val="FootnoteReference"/>
          <w:color w:val="76328A"/>
        </w:rPr>
        <w:footnoteRef/>
      </w:r>
      <w:r w:rsidRPr="00661AB1">
        <w:rPr>
          <w:color w:val="76328A"/>
        </w:rPr>
        <w:t xml:space="preserve"> CEDAW/C/GBR/CO/8, ‘UN CEDAW Committee Concluding Observations on the Eighth Periodic Report of the UK of Great Britain and NI’, 14 March 2019, at para 26(d).</w:t>
      </w:r>
    </w:p>
  </w:footnote>
  <w:footnote w:id="41">
    <w:p w14:paraId="25C608F7" w14:textId="24FF2F1F" w:rsidR="009B3547" w:rsidRDefault="009B3547" w:rsidP="009B3547">
      <w:pPr>
        <w:pStyle w:val="FootnoteText"/>
      </w:pPr>
      <w:r w:rsidRPr="00DD1D85">
        <w:rPr>
          <w:rStyle w:val="FootnoteReference"/>
          <w:rFonts w:ascii="Verdana" w:hAnsi="Verdana"/>
          <w:color w:val="76328A"/>
          <w:sz w:val="16"/>
          <w:szCs w:val="16"/>
        </w:rPr>
        <w:footnoteRef/>
      </w:r>
      <w:r w:rsidRPr="00DD1D85">
        <w:rPr>
          <w:rFonts w:ascii="Verdana" w:hAnsi="Verdana"/>
          <w:color w:val="76328A"/>
          <w:sz w:val="16"/>
          <w:szCs w:val="16"/>
        </w:rPr>
        <w:t xml:space="preserve"> </w:t>
      </w:r>
      <w:r w:rsidR="00E06BC8" w:rsidRPr="00E06BC8">
        <w:rPr>
          <w:rFonts w:ascii="Verdana" w:hAnsi="Verdana"/>
          <w:color w:val="76328A"/>
          <w:sz w:val="16"/>
          <w:szCs w:val="16"/>
        </w:rPr>
        <w:t>Dunja Mijatović, ‘Press Release: Comprehensive sexuality education protects children and helps build a safer, inclusive society’, 21 July 2020.</w:t>
      </w:r>
    </w:p>
  </w:footnote>
  <w:footnote w:id="42">
    <w:p w14:paraId="2CC6439B" w14:textId="47ABD390" w:rsidR="00A93506" w:rsidRPr="004E2C08" w:rsidRDefault="00A93506">
      <w:pPr>
        <w:pStyle w:val="FootnoteText"/>
        <w:rPr>
          <w:rFonts w:ascii="Verdana" w:hAnsi="Verdana" w:cs="Arial"/>
          <w:color w:val="76328A"/>
          <w:sz w:val="16"/>
          <w:szCs w:val="16"/>
        </w:rPr>
      </w:pPr>
      <w:r w:rsidRPr="004E2C08">
        <w:rPr>
          <w:rFonts w:ascii="Verdana" w:hAnsi="Verdana" w:cs="Arial"/>
          <w:color w:val="76328A"/>
          <w:sz w:val="16"/>
          <w:szCs w:val="16"/>
          <w:vertAlign w:val="superscript"/>
        </w:rPr>
        <w:footnoteRef/>
      </w:r>
      <w:r w:rsidRPr="004E2C08">
        <w:rPr>
          <w:rFonts w:ascii="Verdana" w:hAnsi="Verdana" w:cs="Arial"/>
          <w:color w:val="76328A"/>
          <w:sz w:val="16"/>
          <w:szCs w:val="16"/>
          <w:vertAlign w:val="superscript"/>
        </w:rPr>
        <w:t xml:space="preserve"> </w:t>
      </w:r>
      <w:bookmarkStart w:id="17" w:name="_Hlk149216132"/>
      <w:r w:rsidRPr="004E2C08">
        <w:rPr>
          <w:rFonts w:ascii="Verdana" w:hAnsi="Verdana" w:cs="Arial"/>
          <w:color w:val="76328A"/>
          <w:sz w:val="16"/>
          <w:szCs w:val="16"/>
        </w:rPr>
        <w:t>CRC/C/GC/12, ‘</w:t>
      </w:r>
      <w:r w:rsidR="008959E5" w:rsidRPr="004E2C08">
        <w:rPr>
          <w:rFonts w:ascii="Verdana" w:hAnsi="Verdana" w:cs="Arial"/>
          <w:color w:val="76328A"/>
          <w:sz w:val="16"/>
          <w:szCs w:val="16"/>
        </w:rPr>
        <w:t>UN CRC Committee</w:t>
      </w:r>
      <w:r w:rsidR="00D4518D" w:rsidRPr="004E2C08">
        <w:rPr>
          <w:rFonts w:ascii="Verdana" w:hAnsi="Verdana" w:cs="Arial"/>
          <w:color w:val="76328A"/>
          <w:sz w:val="16"/>
          <w:szCs w:val="16"/>
        </w:rPr>
        <w:t xml:space="preserve"> General Comment No 12 on</w:t>
      </w:r>
      <w:r w:rsidR="008959E5" w:rsidRPr="004E2C08">
        <w:rPr>
          <w:rFonts w:ascii="Verdana" w:hAnsi="Verdana" w:cs="Arial"/>
          <w:color w:val="76328A"/>
          <w:sz w:val="16"/>
          <w:szCs w:val="16"/>
        </w:rPr>
        <w:t xml:space="preserve"> </w:t>
      </w:r>
      <w:r w:rsidR="00D4518D" w:rsidRPr="004E2C08">
        <w:rPr>
          <w:rFonts w:ascii="Verdana" w:hAnsi="Verdana" w:cs="Arial"/>
          <w:color w:val="76328A"/>
          <w:sz w:val="16"/>
          <w:szCs w:val="16"/>
        </w:rPr>
        <w:t>t</w:t>
      </w:r>
      <w:r w:rsidR="008959E5" w:rsidRPr="004E2C08">
        <w:rPr>
          <w:rFonts w:ascii="Verdana" w:hAnsi="Verdana" w:cs="Arial"/>
          <w:color w:val="76328A"/>
          <w:sz w:val="16"/>
          <w:szCs w:val="16"/>
        </w:rPr>
        <w:t xml:space="preserve">he </w:t>
      </w:r>
      <w:r w:rsidR="00D4518D" w:rsidRPr="004E2C08">
        <w:rPr>
          <w:rFonts w:ascii="Verdana" w:hAnsi="Verdana" w:cs="Arial"/>
          <w:color w:val="76328A"/>
          <w:sz w:val="16"/>
          <w:szCs w:val="16"/>
        </w:rPr>
        <w:t>R</w:t>
      </w:r>
      <w:r w:rsidR="008959E5" w:rsidRPr="004E2C08">
        <w:rPr>
          <w:rFonts w:ascii="Verdana" w:hAnsi="Verdana" w:cs="Arial"/>
          <w:color w:val="76328A"/>
          <w:sz w:val="16"/>
          <w:szCs w:val="16"/>
        </w:rPr>
        <w:t xml:space="preserve">ight of the </w:t>
      </w:r>
      <w:r w:rsidR="00D4518D" w:rsidRPr="004E2C08">
        <w:rPr>
          <w:rFonts w:ascii="Verdana" w:hAnsi="Verdana" w:cs="Arial"/>
          <w:color w:val="76328A"/>
          <w:sz w:val="16"/>
          <w:szCs w:val="16"/>
        </w:rPr>
        <w:t>C</w:t>
      </w:r>
      <w:r w:rsidR="008959E5" w:rsidRPr="004E2C08">
        <w:rPr>
          <w:rFonts w:ascii="Verdana" w:hAnsi="Verdana" w:cs="Arial"/>
          <w:color w:val="76328A"/>
          <w:sz w:val="16"/>
          <w:szCs w:val="16"/>
        </w:rPr>
        <w:t xml:space="preserve">hild to be </w:t>
      </w:r>
      <w:r w:rsidR="00D4518D" w:rsidRPr="004E2C08">
        <w:rPr>
          <w:rFonts w:ascii="Verdana" w:hAnsi="Verdana" w:cs="Arial"/>
          <w:color w:val="76328A"/>
          <w:sz w:val="16"/>
          <w:szCs w:val="16"/>
        </w:rPr>
        <w:t>H</w:t>
      </w:r>
      <w:r w:rsidR="008959E5" w:rsidRPr="004E2C08">
        <w:rPr>
          <w:rFonts w:ascii="Verdana" w:hAnsi="Verdana" w:cs="Arial"/>
          <w:color w:val="76328A"/>
          <w:sz w:val="16"/>
          <w:szCs w:val="16"/>
        </w:rPr>
        <w:t>eard</w:t>
      </w:r>
      <w:r w:rsidR="00D4518D" w:rsidRPr="004E2C08">
        <w:rPr>
          <w:rFonts w:ascii="Verdana" w:hAnsi="Verdana" w:cs="Arial"/>
          <w:color w:val="76328A"/>
          <w:sz w:val="16"/>
          <w:szCs w:val="16"/>
        </w:rPr>
        <w:t xml:space="preserve">’, </w:t>
      </w:r>
      <w:r w:rsidR="00C2724E" w:rsidRPr="004E2C08">
        <w:rPr>
          <w:rFonts w:ascii="Verdana" w:hAnsi="Verdana" w:cs="Arial"/>
          <w:color w:val="76328A"/>
          <w:sz w:val="16"/>
          <w:szCs w:val="16"/>
        </w:rPr>
        <w:t>20 July 2009, at</w:t>
      </w:r>
      <w:r w:rsidR="00DD2647" w:rsidRPr="004E2C08">
        <w:rPr>
          <w:rFonts w:ascii="Verdana" w:hAnsi="Verdana" w:cs="Arial"/>
          <w:color w:val="76328A"/>
          <w:sz w:val="16"/>
          <w:szCs w:val="16"/>
        </w:rPr>
        <w:t xml:space="preserve"> para 111. </w:t>
      </w:r>
      <w:r w:rsidR="00C2724E" w:rsidRPr="004E2C08">
        <w:rPr>
          <w:rFonts w:ascii="Verdana" w:hAnsi="Verdana" w:cs="Arial"/>
          <w:color w:val="76328A"/>
          <w:sz w:val="16"/>
          <w:szCs w:val="16"/>
        </w:rPr>
        <w:t xml:space="preserve"> </w:t>
      </w:r>
      <w:bookmarkEnd w:id="17"/>
    </w:p>
  </w:footnote>
  <w:footnote w:id="43">
    <w:p w14:paraId="20EE9499" w14:textId="3E92457B" w:rsidR="00DD2647" w:rsidRDefault="00DD2647">
      <w:pPr>
        <w:pStyle w:val="FootnoteText"/>
      </w:pPr>
      <w:r w:rsidRPr="004E2C08">
        <w:rPr>
          <w:rFonts w:ascii="Verdana" w:hAnsi="Verdana" w:cs="Arial"/>
          <w:color w:val="76328A"/>
          <w:sz w:val="16"/>
          <w:szCs w:val="16"/>
          <w:vertAlign w:val="superscript"/>
        </w:rPr>
        <w:footnoteRef/>
      </w:r>
      <w:r w:rsidRPr="004E2C08">
        <w:rPr>
          <w:rFonts w:ascii="Verdana" w:hAnsi="Verdana" w:cs="Arial"/>
          <w:color w:val="76328A"/>
          <w:sz w:val="16"/>
          <w:szCs w:val="16"/>
        </w:rPr>
        <w:t xml:space="preserve"> CRC/C/GC/12, ‘UN CRC Committee General Comment No 12 on the Right of the Child to be Heard’, 20 July 2009, at para 1</w:t>
      </w:r>
      <w:r w:rsidR="004E2C08" w:rsidRPr="004E2C08">
        <w:rPr>
          <w:rFonts w:ascii="Verdana" w:hAnsi="Verdana" w:cs="Arial"/>
          <w:color w:val="76328A"/>
          <w:sz w:val="16"/>
          <w:szCs w:val="16"/>
        </w:rPr>
        <w:t>2</w:t>
      </w:r>
      <w:r w:rsidRPr="004E2C08">
        <w:rPr>
          <w:rFonts w:ascii="Verdana" w:hAnsi="Verdana" w:cs="Arial"/>
          <w:color w:val="76328A"/>
          <w:sz w:val="16"/>
          <w:szCs w:val="16"/>
        </w:rPr>
        <w:t>.</w:t>
      </w:r>
      <w:r w:rsidRPr="00DD2647">
        <w:t xml:space="preserve">  </w:t>
      </w:r>
    </w:p>
  </w:footnote>
  <w:footnote w:id="44">
    <w:p w14:paraId="150FD967" w14:textId="77777777" w:rsidR="00CE60E9" w:rsidRPr="00507DE8" w:rsidRDefault="00CE60E9" w:rsidP="00CE60E9">
      <w:pPr>
        <w:pStyle w:val="FootnoteText"/>
        <w:rPr>
          <w:rFonts w:ascii="Verdana" w:hAnsi="Verdana" w:cs="Arial"/>
          <w:color w:val="76328A"/>
          <w:sz w:val="16"/>
          <w:szCs w:val="16"/>
        </w:rPr>
      </w:pPr>
      <w:r w:rsidRPr="00507DE8">
        <w:rPr>
          <w:rFonts w:ascii="Verdana" w:hAnsi="Verdana" w:cs="Arial"/>
          <w:color w:val="76328A"/>
          <w:sz w:val="16"/>
          <w:szCs w:val="16"/>
          <w:vertAlign w:val="superscript"/>
        </w:rPr>
        <w:footnoteRef/>
      </w:r>
      <w:r w:rsidRPr="00507DE8">
        <w:rPr>
          <w:rFonts w:ascii="Verdana" w:hAnsi="Verdana" w:cs="Arial"/>
          <w:color w:val="76328A"/>
          <w:sz w:val="16"/>
          <w:szCs w:val="16"/>
          <w:vertAlign w:val="superscript"/>
        </w:rPr>
        <w:t xml:space="preserve"> </w:t>
      </w:r>
      <w:r w:rsidRPr="00507DE8">
        <w:rPr>
          <w:rFonts w:ascii="Verdana" w:hAnsi="Verdana" w:cs="Arial"/>
          <w:color w:val="76328A"/>
          <w:sz w:val="16"/>
          <w:szCs w:val="16"/>
        </w:rPr>
        <w:t>CEDAW/C/OP.8/GBR/1, ‘UN CEDAW Committee Inquiry Concerning the United Kingdom of Great Britain and Northern Ireland under Article 8 of the Optional Protocol to the UN CEDAW Report of the Committee’, 6 March 2018, at para 86(d).</w:t>
      </w:r>
    </w:p>
  </w:footnote>
  <w:footnote w:id="45">
    <w:p w14:paraId="1C1401C9" w14:textId="77777777" w:rsidR="00CE60E9" w:rsidRDefault="00CE60E9" w:rsidP="00CE60E9">
      <w:pPr>
        <w:pStyle w:val="FootnoteText"/>
      </w:pPr>
      <w:r w:rsidRPr="00507DE8">
        <w:rPr>
          <w:rFonts w:ascii="Verdana" w:hAnsi="Verdana" w:cs="Arial"/>
          <w:color w:val="76328A"/>
          <w:sz w:val="16"/>
          <w:szCs w:val="16"/>
          <w:vertAlign w:val="superscript"/>
        </w:rPr>
        <w:footnoteRef/>
      </w:r>
      <w:r w:rsidRPr="00507DE8">
        <w:rPr>
          <w:rFonts w:ascii="Verdana" w:hAnsi="Verdana" w:cs="Arial"/>
          <w:color w:val="76328A"/>
          <w:sz w:val="16"/>
          <w:szCs w:val="16"/>
        </w:rPr>
        <w:t xml:space="preserve"> INTERIGHTS v. Croatia (2009) Complaint No. 45/2007 (European Committee of Social Rights), at para 61.</w:t>
      </w:r>
    </w:p>
  </w:footnote>
  <w:footnote w:id="46">
    <w:p w14:paraId="1E750CC4" w14:textId="32DC360D" w:rsidR="002436EB" w:rsidRDefault="002436EB">
      <w:pPr>
        <w:pStyle w:val="FootnoteText"/>
      </w:pPr>
      <w:r w:rsidRPr="005F30C0">
        <w:rPr>
          <w:rFonts w:ascii="Verdana" w:hAnsi="Verdana" w:cs="Arial"/>
          <w:color w:val="76328A"/>
          <w:sz w:val="16"/>
          <w:szCs w:val="16"/>
          <w:vertAlign w:val="superscript"/>
        </w:rPr>
        <w:footnoteRef/>
      </w:r>
      <w:r w:rsidRPr="005F30C0">
        <w:rPr>
          <w:rFonts w:ascii="Verdana" w:hAnsi="Verdana" w:cs="Arial"/>
          <w:color w:val="76328A"/>
          <w:sz w:val="16"/>
          <w:szCs w:val="16"/>
        </w:rPr>
        <w:t xml:space="preserve"> </w:t>
      </w:r>
      <w:r w:rsidR="005F30C0" w:rsidRPr="005F30C0">
        <w:rPr>
          <w:rFonts w:ascii="Verdana" w:hAnsi="Verdana" w:cs="Arial"/>
          <w:color w:val="76328A"/>
          <w:sz w:val="16"/>
          <w:szCs w:val="16"/>
        </w:rPr>
        <w:t>Department of Education, ‘Consultation on Relationships and Sexuality Education (RSE)’ (DE, 2023), at 9.</w:t>
      </w:r>
    </w:p>
  </w:footnote>
  <w:footnote w:id="47">
    <w:p w14:paraId="7F1865A8" w14:textId="3D8AAAE7" w:rsidR="00700C8D" w:rsidRDefault="00700C8D">
      <w:pPr>
        <w:pStyle w:val="FootnoteText"/>
      </w:pPr>
      <w:r w:rsidRPr="001F4C6A">
        <w:rPr>
          <w:rFonts w:ascii="Verdana" w:hAnsi="Verdana" w:cs="Arial"/>
          <w:color w:val="76328A"/>
          <w:sz w:val="16"/>
          <w:szCs w:val="16"/>
          <w:vertAlign w:val="superscript"/>
        </w:rPr>
        <w:footnoteRef/>
      </w:r>
      <w:r w:rsidRPr="001F4C6A">
        <w:rPr>
          <w:rFonts w:ascii="Verdana" w:hAnsi="Verdana" w:cs="Arial"/>
          <w:color w:val="76328A"/>
          <w:sz w:val="16"/>
          <w:szCs w:val="16"/>
          <w:vertAlign w:val="superscript"/>
        </w:rPr>
        <w:t xml:space="preserve"> </w:t>
      </w:r>
      <w:r w:rsidR="002358B1" w:rsidRPr="001F4C6A">
        <w:rPr>
          <w:rFonts w:ascii="Verdana" w:hAnsi="Verdana" w:cs="Arial"/>
          <w:color w:val="76328A"/>
          <w:sz w:val="16"/>
          <w:szCs w:val="16"/>
        </w:rPr>
        <w:t xml:space="preserve">NI Human Rights Commission, ‘Relationships and Sexuality Education in Post-Primary School in NI: A Compelling Case for Reform’ (NIHRC, 2023), at 64 </w:t>
      </w:r>
      <w:r w:rsidR="001F4C6A" w:rsidRPr="001F4C6A">
        <w:rPr>
          <w:rFonts w:ascii="Verdana" w:hAnsi="Verdana" w:cs="Arial"/>
          <w:color w:val="76328A"/>
          <w:sz w:val="16"/>
          <w:szCs w:val="16"/>
        </w:rPr>
        <w:t>and 68.</w:t>
      </w:r>
      <w:r w:rsidR="001F4C6A">
        <w:t xml:space="preserve"> </w:t>
      </w:r>
    </w:p>
  </w:footnote>
  <w:footnote w:id="48">
    <w:p w14:paraId="70684228" w14:textId="02D2EB9D" w:rsidR="00850AF7" w:rsidRDefault="00850AF7">
      <w:pPr>
        <w:pStyle w:val="FootnoteText"/>
      </w:pPr>
      <w:r w:rsidRPr="00850AF7">
        <w:rPr>
          <w:rFonts w:ascii="Verdana" w:hAnsi="Verdana" w:cs="Arial"/>
          <w:color w:val="76328A"/>
          <w:sz w:val="16"/>
          <w:szCs w:val="16"/>
          <w:vertAlign w:val="superscript"/>
        </w:rPr>
        <w:footnoteRef/>
      </w:r>
      <w:r w:rsidRPr="00850AF7">
        <w:rPr>
          <w:rFonts w:ascii="Verdana" w:hAnsi="Verdana" w:cs="Arial"/>
          <w:color w:val="76328A"/>
          <w:sz w:val="16"/>
          <w:szCs w:val="16"/>
        </w:rPr>
        <w:t xml:space="preserve"> Department of Education, ‘Equality and Human Rights Screening for Relationships and Sexuality Education (RSE)’ (DE, 2023), at 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7716"/>
    <w:multiLevelType w:val="hybridMultilevel"/>
    <w:tmpl w:val="7452D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17166F"/>
    <w:multiLevelType w:val="multilevel"/>
    <w:tmpl w:val="955C5CDE"/>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 w15:restartNumberingAfterBreak="0">
    <w:nsid w:val="13D74158"/>
    <w:multiLevelType w:val="hybridMultilevel"/>
    <w:tmpl w:val="378A0B9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17A727E1"/>
    <w:multiLevelType w:val="hybridMultilevel"/>
    <w:tmpl w:val="B3902A2A"/>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25E56EDE"/>
    <w:multiLevelType w:val="multilevel"/>
    <w:tmpl w:val="A28EBF5A"/>
    <w:lvl w:ilvl="0">
      <w:start w:val="2"/>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5" w15:restartNumberingAfterBreak="0">
    <w:nsid w:val="3B7A7125"/>
    <w:multiLevelType w:val="hybridMultilevel"/>
    <w:tmpl w:val="9222C396"/>
    <w:lvl w:ilvl="0" w:tplc="7F3463CA">
      <w:start w:val="1"/>
      <w:numFmt w:val="decimal"/>
      <w:suff w:val="space"/>
      <w:lvlText w:val="%1."/>
      <w:lvlJc w:val="left"/>
      <w:pPr>
        <w:ind w:left="720" w:hanging="360"/>
      </w:pPr>
      <w:rPr>
        <w:rFonts w:hint="default"/>
        <w:b/>
        <w:bCs/>
        <w:color w:val="76328A"/>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9D1A9D"/>
    <w:multiLevelType w:val="multilevel"/>
    <w:tmpl w:val="F64697B8"/>
    <w:lvl w:ilvl="0">
      <w:start w:val="1"/>
      <w:numFmt w:val="decimal"/>
      <w:lvlText w:val="%1.0"/>
      <w:lvlJc w:val="left"/>
      <w:pPr>
        <w:ind w:left="720" w:hanging="720"/>
      </w:pPr>
      <w:rPr>
        <w:rFonts w:hint="default"/>
        <w:color w:val="77328A"/>
      </w:rPr>
    </w:lvl>
    <w:lvl w:ilvl="1">
      <w:start w:val="1"/>
      <w:numFmt w:val="decimal"/>
      <w:lvlText w:val="%1.%2"/>
      <w:lvlJc w:val="left"/>
      <w:pPr>
        <w:ind w:left="720" w:hanging="720"/>
      </w:pPr>
      <w:rPr>
        <w:rFonts w:hint="default"/>
        <w:b w:val="0"/>
        <w:color w:val="auto"/>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7" w15:restartNumberingAfterBreak="0">
    <w:nsid w:val="546D33E0"/>
    <w:multiLevelType w:val="hybridMultilevel"/>
    <w:tmpl w:val="B3902A2A"/>
    <w:lvl w:ilvl="0" w:tplc="1A10364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5C876729"/>
    <w:multiLevelType w:val="hybridMultilevel"/>
    <w:tmpl w:val="F552D8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0DF2934"/>
    <w:multiLevelType w:val="multilevel"/>
    <w:tmpl w:val="1F7E773E"/>
    <w:lvl w:ilvl="0">
      <w:start w:val="4"/>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0" w15:restartNumberingAfterBreak="0">
    <w:nsid w:val="6A464472"/>
    <w:multiLevelType w:val="multilevel"/>
    <w:tmpl w:val="9C0AD57A"/>
    <w:lvl w:ilvl="0">
      <w:start w:val="1"/>
      <w:numFmt w:val="decimal"/>
      <w:lvlText w:val="%1.0"/>
      <w:lvlJc w:val="left"/>
      <w:pPr>
        <w:ind w:left="720" w:hanging="720"/>
      </w:pPr>
      <w:rPr>
        <w:rFonts w:hint="default"/>
        <w:color w:val="auto"/>
      </w:rPr>
    </w:lvl>
    <w:lvl w:ilvl="1">
      <w:start w:val="1"/>
      <w:numFmt w:val="decimal"/>
      <w:lvlText w:val="%1.%2"/>
      <w:lvlJc w:val="left"/>
      <w:pPr>
        <w:ind w:left="1287" w:hanging="720"/>
      </w:pPr>
      <w:rPr>
        <w:rFonts w:ascii="Verdana" w:hAnsi="Verdana" w:hint="default"/>
        <w:b w:val="0"/>
        <w:color w:val="auto"/>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1" w15:restartNumberingAfterBreak="0">
    <w:nsid w:val="756E498D"/>
    <w:multiLevelType w:val="multilevel"/>
    <w:tmpl w:val="B21A2CC2"/>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7AA4400D"/>
    <w:multiLevelType w:val="multilevel"/>
    <w:tmpl w:val="CD4A24A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7CD83C24"/>
    <w:multiLevelType w:val="hybridMultilevel"/>
    <w:tmpl w:val="F640AA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E7F16C7"/>
    <w:multiLevelType w:val="hybridMultilevel"/>
    <w:tmpl w:val="4F98E916"/>
    <w:lvl w:ilvl="0" w:tplc="6C50AD20">
      <w:start w:val="2"/>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7585589">
    <w:abstractNumId w:val="1"/>
  </w:num>
  <w:num w:numId="2" w16cid:durableId="416370075">
    <w:abstractNumId w:val="10"/>
  </w:num>
  <w:num w:numId="3" w16cid:durableId="2084250829">
    <w:abstractNumId w:val="2"/>
  </w:num>
  <w:num w:numId="4" w16cid:durableId="1755280007">
    <w:abstractNumId w:val="13"/>
  </w:num>
  <w:num w:numId="5" w16cid:durableId="136727057">
    <w:abstractNumId w:val="11"/>
  </w:num>
  <w:num w:numId="6" w16cid:durableId="1683320425">
    <w:abstractNumId w:val="7"/>
  </w:num>
  <w:num w:numId="7" w16cid:durableId="379862720">
    <w:abstractNumId w:val="3"/>
  </w:num>
  <w:num w:numId="8" w16cid:durableId="380978691">
    <w:abstractNumId w:val="8"/>
  </w:num>
  <w:num w:numId="9" w16cid:durableId="302085387">
    <w:abstractNumId w:val="0"/>
  </w:num>
  <w:num w:numId="10" w16cid:durableId="1102341566">
    <w:abstractNumId w:val="5"/>
  </w:num>
  <w:num w:numId="11" w16cid:durableId="388310362">
    <w:abstractNumId w:val="14"/>
  </w:num>
  <w:num w:numId="12" w16cid:durableId="2010252452">
    <w:abstractNumId w:val="12"/>
  </w:num>
  <w:num w:numId="13" w16cid:durableId="726031430">
    <w:abstractNumId w:val="4"/>
  </w:num>
  <w:num w:numId="14" w16cid:durableId="1042435718">
    <w:abstractNumId w:val="6"/>
  </w:num>
  <w:num w:numId="15" w16cid:durableId="198030492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32"/>
    <w:rsid w:val="00001954"/>
    <w:rsid w:val="00002C9F"/>
    <w:rsid w:val="00002F54"/>
    <w:rsid w:val="00003304"/>
    <w:rsid w:val="0000398C"/>
    <w:rsid w:val="000069A3"/>
    <w:rsid w:val="0000790C"/>
    <w:rsid w:val="00010293"/>
    <w:rsid w:val="00010BC6"/>
    <w:rsid w:val="00010DB3"/>
    <w:rsid w:val="000115F8"/>
    <w:rsid w:val="0001164D"/>
    <w:rsid w:val="00012367"/>
    <w:rsid w:val="00020135"/>
    <w:rsid w:val="000225EE"/>
    <w:rsid w:val="00023F96"/>
    <w:rsid w:val="000241DB"/>
    <w:rsid w:val="000255D9"/>
    <w:rsid w:val="0002663B"/>
    <w:rsid w:val="00026EBB"/>
    <w:rsid w:val="00030DE6"/>
    <w:rsid w:val="000331D6"/>
    <w:rsid w:val="000333AD"/>
    <w:rsid w:val="000335EE"/>
    <w:rsid w:val="000336A5"/>
    <w:rsid w:val="00033E63"/>
    <w:rsid w:val="000366F1"/>
    <w:rsid w:val="000401F2"/>
    <w:rsid w:val="00040427"/>
    <w:rsid w:val="00040DBF"/>
    <w:rsid w:val="000423F6"/>
    <w:rsid w:val="00043B57"/>
    <w:rsid w:val="00045A92"/>
    <w:rsid w:val="00045B47"/>
    <w:rsid w:val="00045E66"/>
    <w:rsid w:val="00046705"/>
    <w:rsid w:val="00046993"/>
    <w:rsid w:val="00047E1C"/>
    <w:rsid w:val="00050ACC"/>
    <w:rsid w:val="000512DD"/>
    <w:rsid w:val="00051594"/>
    <w:rsid w:val="00051A70"/>
    <w:rsid w:val="0005296A"/>
    <w:rsid w:val="000534BA"/>
    <w:rsid w:val="00053550"/>
    <w:rsid w:val="0005379E"/>
    <w:rsid w:val="00053FAB"/>
    <w:rsid w:val="000543FB"/>
    <w:rsid w:val="00054A1E"/>
    <w:rsid w:val="00055E93"/>
    <w:rsid w:val="00055FFE"/>
    <w:rsid w:val="000574D9"/>
    <w:rsid w:val="00057D06"/>
    <w:rsid w:val="00060A87"/>
    <w:rsid w:val="00060E8B"/>
    <w:rsid w:val="00061042"/>
    <w:rsid w:val="00062520"/>
    <w:rsid w:val="00063040"/>
    <w:rsid w:val="00063F45"/>
    <w:rsid w:val="0006568F"/>
    <w:rsid w:val="00070EEB"/>
    <w:rsid w:val="00071571"/>
    <w:rsid w:val="0007205E"/>
    <w:rsid w:val="00073013"/>
    <w:rsid w:val="0007324C"/>
    <w:rsid w:val="000752B6"/>
    <w:rsid w:val="000756B3"/>
    <w:rsid w:val="000759F3"/>
    <w:rsid w:val="00076F04"/>
    <w:rsid w:val="000778C1"/>
    <w:rsid w:val="000806ED"/>
    <w:rsid w:val="0008083A"/>
    <w:rsid w:val="00080C19"/>
    <w:rsid w:val="00081FAC"/>
    <w:rsid w:val="00082253"/>
    <w:rsid w:val="00082379"/>
    <w:rsid w:val="000823EE"/>
    <w:rsid w:val="00083182"/>
    <w:rsid w:val="00083B40"/>
    <w:rsid w:val="00083CE0"/>
    <w:rsid w:val="00084484"/>
    <w:rsid w:val="00084B01"/>
    <w:rsid w:val="00086CBC"/>
    <w:rsid w:val="00087130"/>
    <w:rsid w:val="0008768A"/>
    <w:rsid w:val="00087933"/>
    <w:rsid w:val="00090AD1"/>
    <w:rsid w:val="00090E1E"/>
    <w:rsid w:val="00095D40"/>
    <w:rsid w:val="00095D76"/>
    <w:rsid w:val="0009678D"/>
    <w:rsid w:val="00097DA7"/>
    <w:rsid w:val="000A0C4F"/>
    <w:rsid w:val="000A18CD"/>
    <w:rsid w:val="000A22F8"/>
    <w:rsid w:val="000A2380"/>
    <w:rsid w:val="000A2860"/>
    <w:rsid w:val="000A2B36"/>
    <w:rsid w:val="000A2E1D"/>
    <w:rsid w:val="000A381C"/>
    <w:rsid w:val="000A3DEA"/>
    <w:rsid w:val="000A488A"/>
    <w:rsid w:val="000A5484"/>
    <w:rsid w:val="000A6DF4"/>
    <w:rsid w:val="000A792D"/>
    <w:rsid w:val="000B196E"/>
    <w:rsid w:val="000B22C2"/>
    <w:rsid w:val="000B2806"/>
    <w:rsid w:val="000B32DD"/>
    <w:rsid w:val="000B3647"/>
    <w:rsid w:val="000B4F97"/>
    <w:rsid w:val="000C11F9"/>
    <w:rsid w:val="000C17A3"/>
    <w:rsid w:val="000C2779"/>
    <w:rsid w:val="000C2C6F"/>
    <w:rsid w:val="000C4325"/>
    <w:rsid w:val="000C6006"/>
    <w:rsid w:val="000C667D"/>
    <w:rsid w:val="000C759B"/>
    <w:rsid w:val="000D04F7"/>
    <w:rsid w:val="000D0630"/>
    <w:rsid w:val="000D1E73"/>
    <w:rsid w:val="000D345B"/>
    <w:rsid w:val="000D3C28"/>
    <w:rsid w:val="000D3C99"/>
    <w:rsid w:val="000D5B75"/>
    <w:rsid w:val="000D66A8"/>
    <w:rsid w:val="000D7A63"/>
    <w:rsid w:val="000E135F"/>
    <w:rsid w:val="000E1F52"/>
    <w:rsid w:val="000E1F61"/>
    <w:rsid w:val="000E228B"/>
    <w:rsid w:val="000E31CC"/>
    <w:rsid w:val="000E5B6D"/>
    <w:rsid w:val="000E5FA7"/>
    <w:rsid w:val="000E666D"/>
    <w:rsid w:val="000E6BEB"/>
    <w:rsid w:val="000E707F"/>
    <w:rsid w:val="000E7980"/>
    <w:rsid w:val="000E7D0F"/>
    <w:rsid w:val="000E7F0C"/>
    <w:rsid w:val="000F11C6"/>
    <w:rsid w:val="000F67CE"/>
    <w:rsid w:val="000F6F0D"/>
    <w:rsid w:val="000F77A0"/>
    <w:rsid w:val="000F797A"/>
    <w:rsid w:val="00100146"/>
    <w:rsid w:val="00100A11"/>
    <w:rsid w:val="00100C57"/>
    <w:rsid w:val="00103DCB"/>
    <w:rsid w:val="001045DF"/>
    <w:rsid w:val="001048A2"/>
    <w:rsid w:val="00105F5B"/>
    <w:rsid w:val="0010640A"/>
    <w:rsid w:val="001070B0"/>
    <w:rsid w:val="00107E68"/>
    <w:rsid w:val="00110B85"/>
    <w:rsid w:val="0011134C"/>
    <w:rsid w:val="00113801"/>
    <w:rsid w:val="00115593"/>
    <w:rsid w:val="00117A2D"/>
    <w:rsid w:val="0012015E"/>
    <w:rsid w:val="00120603"/>
    <w:rsid w:val="001217DF"/>
    <w:rsid w:val="00121D4F"/>
    <w:rsid w:val="00121EB0"/>
    <w:rsid w:val="00123128"/>
    <w:rsid w:val="001239B9"/>
    <w:rsid w:val="001247EA"/>
    <w:rsid w:val="0012717A"/>
    <w:rsid w:val="001277F8"/>
    <w:rsid w:val="001309ED"/>
    <w:rsid w:val="00130A58"/>
    <w:rsid w:val="00133BDA"/>
    <w:rsid w:val="00134063"/>
    <w:rsid w:val="00135C19"/>
    <w:rsid w:val="00136723"/>
    <w:rsid w:val="00136920"/>
    <w:rsid w:val="00136CF6"/>
    <w:rsid w:val="00136EF5"/>
    <w:rsid w:val="0013729A"/>
    <w:rsid w:val="001374DE"/>
    <w:rsid w:val="001404E8"/>
    <w:rsid w:val="00141629"/>
    <w:rsid w:val="00141785"/>
    <w:rsid w:val="00141BB9"/>
    <w:rsid w:val="00142884"/>
    <w:rsid w:val="00144131"/>
    <w:rsid w:val="00146484"/>
    <w:rsid w:val="0014797B"/>
    <w:rsid w:val="00154DE3"/>
    <w:rsid w:val="00156091"/>
    <w:rsid w:val="0015733D"/>
    <w:rsid w:val="001577FC"/>
    <w:rsid w:val="00157F35"/>
    <w:rsid w:val="00161B41"/>
    <w:rsid w:val="0016318D"/>
    <w:rsid w:val="00163C38"/>
    <w:rsid w:val="00163FCD"/>
    <w:rsid w:val="00164281"/>
    <w:rsid w:val="00165BE6"/>
    <w:rsid w:val="00165E17"/>
    <w:rsid w:val="0016710C"/>
    <w:rsid w:val="00170D75"/>
    <w:rsid w:val="00171080"/>
    <w:rsid w:val="001711B9"/>
    <w:rsid w:val="00171254"/>
    <w:rsid w:val="001720E8"/>
    <w:rsid w:val="001744A0"/>
    <w:rsid w:val="0017488A"/>
    <w:rsid w:val="001748D1"/>
    <w:rsid w:val="001748FE"/>
    <w:rsid w:val="00174E0B"/>
    <w:rsid w:val="001756C1"/>
    <w:rsid w:val="00175932"/>
    <w:rsid w:val="0018088A"/>
    <w:rsid w:val="00181288"/>
    <w:rsid w:val="0018304E"/>
    <w:rsid w:val="001840E9"/>
    <w:rsid w:val="00184373"/>
    <w:rsid w:val="00184409"/>
    <w:rsid w:val="00184AD4"/>
    <w:rsid w:val="00184EF3"/>
    <w:rsid w:val="001851F0"/>
    <w:rsid w:val="001872A4"/>
    <w:rsid w:val="001912F4"/>
    <w:rsid w:val="00192351"/>
    <w:rsid w:val="00192CEB"/>
    <w:rsid w:val="001946A2"/>
    <w:rsid w:val="00194E17"/>
    <w:rsid w:val="001952F3"/>
    <w:rsid w:val="00195795"/>
    <w:rsid w:val="00195B7B"/>
    <w:rsid w:val="0019615B"/>
    <w:rsid w:val="001961DD"/>
    <w:rsid w:val="00196635"/>
    <w:rsid w:val="00197EB7"/>
    <w:rsid w:val="001A002F"/>
    <w:rsid w:val="001A0AD4"/>
    <w:rsid w:val="001A1349"/>
    <w:rsid w:val="001A3990"/>
    <w:rsid w:val="001A541E"/>
    <w:rsid w:val="001A5757"/>
    <w:rsid w:val="001A5993"/>
    <w:rsid w:val="001A72B7"/>
    <w:rsid w:val="001B048C"/>
    <w:rsid w:val="001B0B41"/>
    <w:rsid w:val="001B0B7D"/>
    <w:rsid w:val="001B153A"/>
    <w:rsid w:val="001B1992"/>
    <w:rsid w:val="001B4FC4"/>
    <w:rsid w:val="001B5273"/>
    <w:rsid w:val="001B5A9D"/>
    <w:rsid w:val="001B6797"/>
    <w:rsid w:val="001C019D"/>
    <w:rsid w:val="001C2AB4"/>
    <w:rsid w:val="001C389B"/>
    <w:rsid w:val="001C3B27"/>
    <w:rsid w:val="001C4CE2"/>
    <w:rsid w:val="001C66F7"/>
    <w:rsid w:val="001C67B8"/>
    <w:rsid w:val="001C72BC"/>
    <w:rsid w:val="001C7BEF"/>
    <w:rsid w:val="001C7C36"/>
    <w:rsid w:val="001D067E"/>
    <w:rsid w:val="001D1D0F"/>
    <w:rsid w:val="001D4E63"/>
    <w:rsid w:val="001D5EE5"/>
    <w:rsid w:val="001D678E"/>
    <w:rsid w:val="001D6CE4"/>
    <w:rsid w:val="001D7AA7"/>
    <w:rsid w:val="001D7CEC"/>
    <w:rsid w:val="001D7F4E"/>
    <w:rsid w:val="001E00D2"/>
    <w:rsid w:val="001E0545"/>
    <w:rsid w:val="001E0815"/>
    <w:rsid w:val="001E1A3F"/>
    <w:rsid w:val="001E264F"/>
    <w:rsid w:val="001E2B95"/>
    <w:rsid w:val="001E2E75"/>
    <w:rsid w:val="001E3808"/>
    <w:rsid w:val="001E3DA0"/>
    <w:rsid w:val="001E57E8"/>
    <w:rsid w:val="001E6A24"/>
    <w:rsid w:val="001E7247"/>
    <w:rsid w:val="001E79A9"/>
    <w:rsid w:val="001F063E"/>
    <w:rsid w:val="001F1B67"/>
    <w:rsid w:val="001F4C6A"/>
    <w:rsid w:val="001F69F7"/>
    <w:rsid w:val="001F7D20"/>
    <w:rsid w:val="001F7F0E"/>
    <w:rsid w:val="002002FE"/>
    <w:rsid w:val="00200733"/>
    <w:rsid w:val="00200B39"/>
    <w:rsid w:val="00201044"/>
    <w:rsid w:val="0020115B"/>
    <w:rsid w:val="00201A08"/>
    <w:rsid w:val="002023E0"/>
    <w:rsid w:val="0020266E"/>
    <w:rsid w:val="00202D5A"/>
    <w:rsid w:val="00203758"/>
    <w:rsid w:val="00206B5E"/>
    <w:rsid w:val="00211213"/>
    <w:rsid w:val="0021279A"/>
    <w:rsid w:val="00213B8A"/>
    <w:rsid w:val="002164ED"/>
    <w:rsid w:val="002205B3"/>
    <w:rsid w:val="002220B3"/>
    <w:rsid w:val="00222FCA"/>
    <w:rsid w:val="00223697"/>
    <w:rsid w:val="00224140"/>
    <w:rsid w:val="00227909"/>
    <w:rsid w:val="00227FD1"/>
    <w:rsid w:val="00232892"/>
    <w:rsid w:val="002329EF"/>
    <w:rsid w:val="00232B41"/>
    <w:rsid w:val="00232C5C"/>
    <w:rsid w:val="002340AD"/>
    <w:rsid w:val="002351CB"/>
    <w:rsid w:val="002353FA"/>
    <w:rsid w:val="002357DC"/>
    <w:rsid w:val="002358B1"/>
    <w:rsid w:val="00236529"/>
    <w:rsid w:val="002414B0"/>
    <w:rsid w:val="00241F60"/>
    <w:rsid w:val="002428EC"/>
    <w:rsid w:val="00242C36"/>
    <w:rsid w:val="0024322B"/>
    <w:rsid w:val="002436DE"/>
    <w:rsid w:val="002436EB"/>
    <w:rsid w:val="00245A93"/>
    <w:rsid w:val="00245E58"/>
    <w:rsid w:val="002462C5"/>
    <w:rsid w:val="002464FD"/>
    <w:rsid w:val="00247706"/>
    <w:rsid w:val="00251535"/>
    <w:rsid w:val="00251943"/>
    <w:rsid w:val="00252ADF"/>
    <w:rsid w:val="00252E07"/>
    <w:rsid w:val="00253978"/>
    <w:rsid w:val="00254C9E"/>
    <w:rsid w:val="0025570B"/>
    <w:rsid w:val="00255987"/>
    <w:rsid w:val="0025610C"/>
    <w:rsid w:val="00257363"/>
    <w:rsid w:val="00257E69"/>
    <w:rsid w:val="0026113A"/>
    <w:rsid w:val="00261363"/>
    <w:rsid w:val="00262DFA"/>
    <w:rsid w:val="00263484"/>
    <w:rsid w:val="0026402F"/>
    <w:rsid w:val="00264CD9"/>
    <w:rsid w:val="002663B5"/>
    <w:rsid w:val="002668AC"/>
    <w:rsid w:val="002671EE"/>
    <w:rsid w:val="00270793"/>
    <w:rsid w:val="002709B4"/>
    <w:rsid w:val="00270A95"/>
    <w:rsid w:val="00270BC0"/>
    <w:rsid w:val="002715AE"/>
    <w:rsid w:val="00271A91"/>
    <w:rsid w:val="002720EB"/>
    <w:rsid w:val="00274371"/>
    <w:rsid w:val="00275A5B"/>
    <w:rsid w:val="00275D50"/>
    <w:rsid w:val="00275E8B"/>
    <w:rsid w:val="002765B5"/>
    <w:rsid w:val="00276AE9"/>
    <w:rsid w:val="002775FF"/>
    <w:rsid w:val="00277871"/>
    <w:rsid w:val="00280426"/>
    <w:rsid w:val="00280622"/>
    <w:rsid w:val="00281C41"/>
    <w:rsid w:val="00285133"/>
    <w:rsid w:val="00286303"/>
    <w:rsid w:val="00286648"/>
    <w:rsid w:val="00286E8E"/>
    <w:rsid w:val="00290D7A"/>
    <w:rsid w:val="00291DA9"/>
    <w:rsid w:val="00292CE8"/>
    <w:rsid w:val="00293A8A"/>
    <w:rsid w:val="00295DA4"/>
    <w:rsid w:val="002960FE"/>
    <w:rsid w:val="002966E6"/>
    <w:rsid w:val="002A0FB1"/>
    <w:rsid w:val="002A16F9"/>
    <w:rsid w:val="002A204E"/>
    <w:rsid w:val="002A26DC"/>
    <w:rsid w:val="002A4249"/>
    <w:rsid w:val="002A5FFC"/>
    <w:rsid w:val="002A7598"/>
    <w:rsid w:val="002B1272"/>
    <w:rsid w:val="002B2166"/>
    <w:rsid w:val="002B260B"/>
    <w:rsid w:val="002B26AE"/>
    <w:rsid w:val="002B2775"/>
    <w:rsid w:val="002B2799"/>
    <w:rsid w:val="002B2A15"/>
    <w:rsid w:val="002B39F8"/>
    <w:rsid w:val="002B4372"/>
    <w:rsid w:val="002B4684"/>
    <w:rsid w:val="002B49FC"/>
    <w:rsid w:val="002B69CD"/>
    <w:rsid w:val="002B7D94"/>
    <w:rsid w:val="002B7F85"/>
    <w:rsid w:val="002C018C"/>
    <w:rsid w:val="002C0E0F"/>
    <w:rsid w:val="002C0E88"/>
    <w:rsid w:val="002C14A3"/>
    <w:rsid w:val="002C1A77"/>
    <w:rsid w:val="002C1EBD"/>
    <w:rsid w:val="002C2F6F"/>
    <w:rsid w:val="002C3C8B"/>
    <w:rsid w:val="002C55DC"/>
    <w:rsid w:val="002C744C"/>
    <w:rsid w:val="002C745E"/>
    <w:rsid w:val="002D0715"/>
    <w:rsid w:val="002D14A6"/>
    <w:rsid w:val="002D16C3"/>
    <w:rsid w:val="002D2CE4"/>
    <w:rsid w:val="002D41F5"/>
    <w:rsid w:val="002D53AC"/>
    <w:rsid w:val="002D5470"/>
    <w:rsid w:val="002D67B4"/>
    <w:rsid w:val="002D6C95"/>
    <w:rsid w:val="002D6E53"/>
    <w:rsid w:val="002E0206"/>
    <w:rsid w:val="002E02F7"/>
    <w:rsid w:val="002E217B"/>
    <w:rsid w:val="002E682A"/>
    <w:rsid w:val="002E7657"/>
    <w:rsid w:val="002F1B73"/>
    <w:rsid w:val="002F2240"/>
    <w:rsid w:val="002F2C1B"/>
    <w:rsid w:val="002F327A"/>
    <w:rsid w:val="002F4244"/>
    <w:rsid w:val="002F4E95"/>
    <w:rsid w:val="002F666A"/>
    <w:rsid w:val="002F6B9D"/>
    <w:rsid w:val="002F7190"/>
    <w:rsid w:val="0030105D"/>
    <w:rsid w:val="00301709"/>
    <w:rsid w:val="00302F2A"/>
    <w:rsid w:val="0030318C"/>
    <w:rsid w:val="0030418B"/>
    <w:rsid w:val="00306317"/>
    <w:rsid w:val="00306DDF"/>
    <w:rsid w:val="00310E52"/>
    <w:rsid w:val="003122FD"/>
    <w:rsid w:val="00314518"/>
    <w:rsid w:val="00314522"/>
    <w:rsid w:val="003149C2"/>
    <w:rsid w:val="00315C62"/>
    <w:rsid w:val="00315D0D"/>
    <w:rsid w:val="00316020"/>
    <w:rsid w:val="00316E34"/>
    <w:rsid w:val="00317792"/>
    <w:rsid w:val="00320A8C"/>
    <w:rsid w:val="00322326"/>
    <w:rsid w:val="0032396F"/>
    <w:rsid w:val="00323A1D"/>
    <w:rsid w:val="00323E74"/>
    <w:rsid w:val="003240ED"/>
    <w:rsid w:val="003244B4"/>
    <w:rsid w:val="00326F56"/>
    <w:rsid w:val="00327A2A"/>
    <w:rsid w:val="00330125"/>
    <w:rsid w:val="00331195"/>
    <w:rsid w:val="00331571"/>
    <w:rsid w:val="003317DB"/>
    <w:rsid w:val="00331C61"/>
    <w:rsid w:val="00333A71"/>
    <w:rsid w:val="00334B05"/>
    <w:rsid w:val="00335455"/>
    <w:rsid w:val="0033575E"/>
    <w:rsid w:val="00335E36"/>
    <w:rsid w:val="003362BE"/>
    <w:rsid w:val="00341238"/>
    <w:rsid w:val="00341BFE"/>
    <w:rsid w:val="003471D7"/>
    <w:rsid w:val="00350832"/>
    <w:rsid w:val="0035128C"/>
    <w:rsid w:val="003517C1"/>
    <w:rsid w:val="003518B6"/>
    <w:rsid w:val="003518D9"/>
    <w:rsid w:val="00351AF9"/>
    <w:rsid w:val="00352AE6"/>
    <w:rsid w:val="00353264"/>
    <w:rsid w:val="00354F40"/>
    <w:rsid w:val="00355AAC"/>
    <w:rsid w:val="0035730D"/>
    <w:rsid w:val="00357734"/>
    <w:rsid w:val="003607BC"/>
    <w:rsid w:val="003617EA"/>
    <w:rsid w:val="00362902"/>
    <w:rsid w:val="003637C0"/>
    <w:rsid w:val="00363A0B"/>
    <w:rsid w:val="00364747"/>
    <w:rsid w:val="00364FFF"/>
    <w:rsid w:val="003653F8"/>
    <w:rsid w:val="00365D77"/>
    <w:rsid w:val="00365F2C"/>
    <w:rsid w:val="003661AD"/>
    <w:rsid w:val="00366BF4"/>
    <w:rsid w:val="00367CCA"/>
    <w:rsid w:val="003706E1"/>
    <w:rsid w:val="00371C26"/>
    <w:rsid w:val="00373B3C"/>
    <w:rsid w:val="00374078"/>
    <w:rsid w:val="00376373"/>
    <w:rsid w:val="00380DF6"/>
    <w:rsid w:val="0038164D"/>
    <w:rsid w:val="00384576"/>
    <w:rsid w:val="00386226"/>
    <w:rsid w:val="003864A9"/>
    <w:rsid w:val="0038799A"/>
    <w:rsid w:val="003910B6"/>
    <w:rsid w:val="00391264"/>
    <w:rsid w:val="0039148A"/>
    <w:rsid w:val="003914AA"/>
    <w:rsid w:val="00392324"/>
    <w:rsid w:val="00392F76"/>
    <w:rsid w:val="0039344E"/>
    <w:rsid w:val="00393AE9"/>
    <w:rsid w:val="00394444"/>
    <w:rsid w:val="003947AC"/>
    <w:rsid w:val="00396289"/>
    <w:rsid w:val="00397D30"/>
    <w:rsid w:val="00397F83"/>
    <w:rsid w:val="003A019C"/>
    <w:rsid w:val="003A077F"/>
    <w:rsid w:val="003A08DA"/>
    <w:rsid w:val="003A0E15"/>
    <w:rsid w:val="003A306D"/>
    <w:rsid w:val="003A4228"/>
    <w:rsid w:val="003A68D8"/>
    <w:rsid w:val="003B067F"/>
    <w:rsid w:val="003B11EA"/>
    <w:rsid w:val="003B194B"/>
    <w:rsid w:val="003B2D4C"/>
    <w:rsid w:val="003B2FB1"/>
    <w:rsid w:val="003B4591"/>
    <w:rsid w:val="003B463F"/>
    <w:rsid w:val="003B46ED"/>
    <w:rsid w:val="003B4BF2"/>
    <w:rsid w:val="003B4F76"/>
    <w:rsid w:val="003B5DEC"/>
    <w:rsid w:val="003B7D0E"/>
    <w:rsid w:val="003C0C59"/>
    <w:rsid w:val="003C1199"/>
    <w:rsid w:val="003C267C"/>
    <w:rsid w:val="003C3375"/>
    <w:rsid w:val="003C38F6"/>
    <w:rsid w:val="003C4C3C"/>
    <w:rsid w:val="003C5A2E"/>
    <w:rsid w:val="003C5CD1"/>
    <w:rsid w:val="003C72AB"/>
    <w:rsid w:val="003C754C"/>
    <w:rsid w:val="003D09D2"/>
    <w:rsid w:val="003D30B2"/>
    <w:rsid w:val="003D3EEA"/>
    <w:rsid w:val="003D4497"/>
    <w:rsid w:val="003D4877"/>
    <w:rsid w:val="003D53E6"/>
    <w:rsid w:val="003D6038"/>
    <w:rsid w:val="003D61E3"/>
    <w:rsid w:val="003D752C"/>
    <w:rsid w:val="003E0206"/>
    <w:rsid w:val="003E03D0"/>
    <w:rsid w:val="003E049F"/>
    <w:rsid w:val="003E1054"/>
    <w:rsid w:val="003E14E2"/>
    <w:rsid w:val="003E1F5E"/>
    <w:rsid w:val="003E2BF8"/>
    <w:rsid w:val="003E2D96"/>
    <w:rsid w:val="003E2E5C"/>
    <w:rsid w:val="003E55AC"/>
    <w:rsid w:val="003E7729"/>
    <w:rsid w:val="003F1ECD"/>
    <w:rsid w:val="003F22F0"/>
    <w:rsid w:val="003F409C"/>
    <w:rsid w:val="003F5473"/>
    <w:rsid w:val="003F63EC"/>
    <w:rsid w:val="003F799B"/>
    <w:rsid w:val="003F7C10"/>
    <w:rsid w:val="003F7EDB"/>
    <w:rsid w:val="0040017A"/>
    <w:rsid w:val="0040101D"/>
    <w:rsid w:val="00402DF5"/>
    <w:rsid w:val="00404770"/>
    <w:rsid w:val="00405B3F"/>
    <w:rsid w:val="00405C26"/>
    <w:rsid w:val="00407C18"/>
    <w:rsid w:val="00410663"/>
    <w:rsid w:val="0041070C"/>
    <w:rsid w:val="004128AC"/>
    <w:rsid w:val="00413CE3"/>
    <w:rsid w:val="00414159"/>
    <w:rsid w:val="004156A4"/>
    <w:rsid w:val="00415D1A"/>
    <w:rsid w:val="0041663C"/>
    <w:rsid w:val="00416E0A"/>
    <w:rsid w:val="00416F55"/>
    <w:rsid w:val="004174EC"/>
    <w:rsid w:val="00420B2B"/>
    <w:rsid w:val="00421764"/>
    <w:rsid w:val="00424B0D"/>
    <w:rsid w:val="00425782"/>
    <w:rsid w:val="0042640B"/>
    <w:rsid w:val="004265E3"/>
    <w:rsid w:val="00426901"/>
    <w:rsid w:val="00430302"/>
    <w:rsid w:val="00431D94"/>
    <w:rsid w:val="00432756"/>
    <w:rsid w:val="004340E3"/>
    <w:rsid w:val="00434431"/>
    <w:rsid w:val="004348F5"/>
    <w:rsid w:val="00434EC0"/>
    <w:rsid w:val="00435478"/>
    <w:rsid w:val="00435884"/>
    <w:rsid w:val="00440808"/>
    <w:rsid w:val="004422DD"/>
    <w:rsid w:val="004443FF"/>
    <w:rsid w:val="00445468"/>
    <w:rsid w:val="00445497"/>
    <w:rsid w:val="0044619E"/>
    <w:rsid w:val="0045051B"/>
    <w:rsid w:val="0045092F"/>
    <w:rsid w:val="00451C4C"/>
    <w:rsid w:val="004528D9"/>
    <w:rsid w:val="00452CD5"/>
    <w:rsid w:val="0045463C"/>
    <w:rsid w:val="00454781"/>
    <w:rsid w:val="00456C9C"/>
    <w:rsid w:val="00456D51"/>
    <w:rsid w:val="00461155"/>
    <w:rsid w:val="004612C0"/>
    <w:rsid w:val="004627E8"/>
    <w:rsid w:val="00462A16"/>
    <w:rsid w:val="00463D6B"/>
    <w:rsid w:val="00464EB8"/>
    <w:rsid w:val="00466225"/>
    <w:rsid w:val="00466A2E"/>
    <w:rsid w:val="00466AAE"/>
    <w:rsid w:val="00466FBA"/>
    <w:rsid w:val="004672AC"/>
    <w:rsid w:val="004675D5"/>
    <w:rsid w:val="0047000E"/>
    <w:rsid w:val="00471461"/>
    <w:rsid w:val="004716F9"/>
    <w:rsid w:val="00471707"/>
    <w:rsid w:val="004718BF"/>
    <w:rsid w:val="00471D60"/>
    <w:rsid w:val="0047216A"/>
    <w:rsid w:val="00474000"/>
    <w:rsid w:val="00474B80"/>
    <w:rsid w:val="00477A8C"/>
    <w:rsid w:val="00480241"/>
    <w:rsid w:val="00480C1B"/>
    <w:rsid w:val="00480E06"/>
    <w:rsid w:val="00481B30"/>
    <w:rsid w:val="00481BD2"/>
    <w:rsid w:val="00481D55"/>
    <w:rsid w:val="00481FFC"/>
    <w:rsid w:val="00482743"/>
    <w:rsid w:val="00483007"/>
    <w:rsid w:val="0048416E"/>
    <w:rsid w:val="00484659"/>
    <w:rsid w:val="00484777"/>
    <w:rsid w:val="00484DA1"/>
    <w:rsid w:val="004858B2"/>
    <w:rsid w:val="00485C28"/>
    <w:rsid w:val="00485E53"/>
    <w:rsid w:val="00491D2B"/>
    <w:rsid w:val="00492A6F"/>
    <w:rsid w:val="00492F97"/>
    <w:rsid w:val="0049304F"/>
    <w:rsid w:val="00494D30"/>
    <w:rsid w:val="00494E24"/>
    <w:rsid w:val="004A0508"/>
    <w:rsid w:val="004A1877"/>
    <w:rsid w:val="004A1910"/>
    <w:rsid w:val="004A30AF"/>
    <w:rsid w:val="004A30C8"/>
    <w:rsid w:val="004A3D21"/>
    <w:rsid w:val="004A4A1D"/>
    <w:rsid w:val="004A4E29"/>
    <w:rsid w:val="004A6056"/>
    <w:rsid w:val="004A61E2"/>
    <w:rsid w:val="004A68C4"/>
    <w:rsid w:val="004A76FF"/>
    <w:rsid w:val="004B2E5F"/>
    <w:rsid w:val="004B3051"/>
    <w:rsid w:val="004B35C3"/>
    <w:rsid w:val="004B3C3D"/>
    <w:rsid w:val="004B42F3"/>
    <w:rsid w:val="004B6745"/>
    <w:rsid w:val="004B74FE"/>
    <w:rsid w:val="004C1514"/>
    <w:rsid w:val="004C169A"/>
    <w:rsid w:val="004C4970"/>
    <w:rsid w:val="004D020D"/>
    <w:rsid w:val="004D2BFF"/>
    <w:rsid w:val="004D4EDC"/>
    <w:rsid w:val="004D5633"/>
    <w:rsid w:val="004D64C3"/>
    <w:rsid w:val="004E0444"/>
    <w:rsid w:val="004E0922"/>
    <w:rsid w:val="004E0AE9"/>
    <w:rsid w:val="004E1C74"/>
    <w:rsid w:val="004E21CC"/>
    <w:rsid w:val="004E2C08"/>
    <w:rsid w:val="004E2C7C"/>
    <w:rsid w:val="004E52D8"/>
    <w:rsid w:val="004E59CD"/>
    <w:rsid w:val="004E5CB2"/>
    <w:rsid w:val="004E64BC"/>
    <w:rsid w:val="004E6588"/>
    <w:rsid w:val="004E7970"/>
    <w:rsid w:val="004E7D18"/>
    <w:rsid w:val="004F289E"/>
    <w:rsid w:val="004F2E0D"/>
    <w:rsid w:val="004F35F9"/>
    <w:rsid w:val="004F3DBA"/>
    <w:rsid w:val="004F42B9"/>
    <w:rsid w:val="004F5BC4"/>
    <w:rsid w:val="004F7F63"/>
    <w:rsid w:val="00501106"/>
    <w:rsid w:val="0050150B"/>
    <w:rsid w:val="00503730"/>
    <w:rsid w:val="00503B0F"/>
    <w:rsid w:val="0050435E"/>
    <w:rsid w:val="00505207"/>
    <w:rsid w:val="00505E00"/>
    <w:rsid w:val="0050635F"/>
    <w:rsid w:val="00506599"/>
    <w:rsid w:val="00506A71"/>
    <w:rsid w:val="00506F29"/>
    <w:rsid w:val="00507DE8"/>
    <w:rsid w:val="00507E18"/>
    <w:rsid w:val="00511DBD"/>
    <w:rsid w:val="00511E26"/>
    <w:rsid w:val="005127A7"/>
    <w:rsid w:val="00513D99"/>
    <w:rsid w:val="00514389"/>
    <w:rsid w:val="00514F90"/>
    <w:rsid w:val="00515EB1"/>
    <w:rsid w:val="005160C2"/>
    <w:rsid w:val="005162D9"/>
    <w:rsid w:val="0052301C"/>
    <w:rsid w:val="00523832"/>
    <w:rsid w:val="0052406F"/>
    <w:rsid w:val="005241B2"/>
    <w:rsid w:val="005255D7"/>
    <w:rsid w:val="005274F9"/>
    <w:rsid w:val="00527650"/>
    <w:rsid w:val="00527917"/>
    <w:rsid w:val="00530152"/>
    <w:rsid w:val="0053037B"/>
    <w:rsid w:val="00530717"/>
    <w:rsid w:val="005313A3"/>
    <w:rsid w:val="00533270"/>
    <w:rsid w:val="00533FCB"/>
    <w:rsid w:val="00536E03"/>
    <w:rsid w:val="005376DF"/>
    <w:rsid w:val="005407BD"/>
    <w:rsid w:val="00541919"/>
    <w:rsid w:val="00541A13"/>
    <w:rsid w:val="00542D53"/>
    <w:rsid w:val="00543C2C"/>
    <w:rsid w:val="005441D4"/>
    <w:rsid w:val="00544DF7"/>
    <w:rsid w:val="005457F5"/>
    <w:rsid w:val="00545922"/>
    <w:rsid w:val="0054647D"/>
    <w:rsid w:val="00546E7E"/>
    <w:rsid w:val="00550C41"/>
    <w:rsid w:val="0055193F"/>
    <w:rsid w:val="00551FB8"/>
    <w:rsid w:val="00552293"/>
    <w:rsid w:val="00553C28"/>
    <w:rsid w:val="00555048"/>
    <w:rsid w:val="00555696"/>
    <w:rsid w:val="00556C23"/>
    <w:rsid w:val="00557B79"/>
    <w:rsid w:val="00560C9E"/>
    <w:rsid w:val="0056252C"/>
    <w:rsid w:val="00563204"/>
    <w:rsid w:val="00564293"/>
    <w:rsid w:val="00564572"/>
    <w:rsid w:val="00564A3B"/>
    <w:rsid w:val="005651FC"/>
    <w:rsid w:val="00566574"/>
    <w:rsid w:val="00571640"/>
    <w:rsid w:val="005729BB"/>
    <w:rsid w:val="00573D3F"/>
    <w:rsid w:val="00575F32"/>
    <w:rsid w:val="00576C76"/>
    <w:rsid w:val="00576EF0"/>
    <w:rsid w:val="005773E8"/>
    <w:rsid w:val="00580048"/>
    <w:rsid w:val="005800A7"/>
    <w:rsid w:val="005801AF"/>
    <w:rsid w:val="00580500"/>
    <w:rsid w:val="00581561"/>
    <w:rsid w:val="005815D2"/>
    <w:rsid w:val="00582011"/>
    <w:rsid w:val="005830F9"/>
    <w:rsid w:val="005858C1"/>
    <w:rsid w:val="005859DE"/>
    <w:rsid w:val="00585F16"/>
    <w:rsid w:val="00586A2C"/>
    <w:rsid w:val="005916F2"/>
    <w:rsid w:val="005941C7"/>
    <w:rsid w:val="00597BD4"/>
    <w:rsid w:val="005A0DB0"/>
    <w:rsid w:val="005A2388"/>
    <w:rsid w:val="005A2F04"/>
    <w:rsid w:val="005A50AA"/>
    <w:rsid w:val="005A5451"/>
    <w:rsid w:val="005A54BD"/>
    <w:rsid w:val="005A5DFE"/>
    <w:rsid w:val="005A675B"/>
    <w:rsid w:val="005B025D"/>
    <w:rsid w:val="005B02AA"/>
    <w:rsid w:val="005B150F"/>
    <w:rsid w:val="005B2855"/>
    <w:rsid w:val="005B6438"/>
    <w:rsid w:val="005B68B1"/>
    <w:rsid w:val="005B723E"/>
    <w:rsid w:val="005C0E11"/>
    <w:rsid w:val="005C1D6C"/>
    <w:rsid w:val="005C3FA5"/>
    <w:rsid w:val="005C4006"/>
    <w:rsid w:val="005C4590"/>
    <w:rsid w:val="005C50EC"/>
    <w:rsid w:val="005C68B7"/>
    <w:rsid w:val="005C720A"/>
    <w:rsid w:val="005D0938"/>
    <w:rsid w:val="005D32A8"/>
    <w:rsid w:val="005D71D6"/>
    <w:rsid w:val="005D78D3"/>
    <w:rsid w:val="005E220C"/>
    <w:rsid w:val="005E29C9"/>
    <w:rsid w:val="005E36AB"/>
    <w:rsid w:val="005E38DF"/>
    <w:rsid w:val="005E5755"/>
    <w:rsid w:val="005E5E39"/>
    <w:rsid w:val="005E6A94"/>
    <w:rsid w:val="005E6C9B"/>
    <w:rsid w:val="005F1534"/>
    <w:rsid w:val="005F1CB6"/>
    <w:rsid w:val="005F1CDD"/>
    <w:rsid w:val="005F30C0"/>
    <w:rsid w:val="005F66B4"/>
    <w:rsid w:val="005F6A46"/>
    <w:rsid w:val="005F71BC"/>
    <w:rsid w:val="005F71F6"/>
    <w:rsid w:val="005F72B9"/>
    <w:rsid w:val="005F7F15"/>
    <w:rsid w:val="0060062B"/>
    <w:rsid w:val="006039AA"/>
    <w:rsid w:val="006041B4"/>
    <w:rsid w:val="00604340"/>
    <w:rsid w:val="0060599D"/>
    <w:rsid w:val="00606A11"/>
    <w:rsid w:val="00606C1D"/>
    <w:rsid w:val="00610B45"/>
    <w:rsid w:val="00611079"/>
    <w:rsid w:val="00611160"/>
    <w:rsid w:val="00612D91"/>
    <w:rsid w:val="00613846"/>
    <w:rsid w:val="00614189"/>
    <w:rsid w:val="006156AE"/>
    <w:rsid w:val="00617FA7"/>
    <w:rsid w:val="00620A01"/>
    <w:rsid w:val="00621DD7"/>
    <w:rsid w:val="00622CBF"/>
    <w:rsid w:val="00627C1C"/>
    <w:rsid w:val="006302B3"/>
    <w:rsid w:val="0063145F"/>
    <w:rsid w:val="006315B0"/>
    <w:rsid w:val="006317DB"/>
    <w:rsid w:val="006329F8"/>
    <w:rsid w:val="00633B51"/>
    <w:rsid w:val="00635024"/>
    <w:rsid w:val="006351F3"/>
    <w:rsid w:val="00635FAD"/>
    <w:rsid w:val="006365A4"/>
    <w:rsid w:val="00640902"/>
    <w:rsid w:val="00640E6A"/>
    <w:rsid w:val="0064129C"/>
    <w:rsid w:val="006417E1"/>
    <w:rsid w:val="00643C41"/>
    <w:rsid w:val="00644BEA"/>
    <w:rsid w:val="00650108"/>
    <w:rsid w:val="006539E2"/>
    <w:rsid w:val="00653CD9"/>
    <w:rsid w:val="00654D2B"/>
    <w:rsid w:val="00656A30"/>
    <w:rsid w:val="00656ECD"/>
    <w:rsid w:val="00657C97"/>
    <w:rsid w:val="00660025"/>
    <w:rsid w:val="00661742"/>
    <w:rsid w:val="006618AD"/>
    <w:rsid w:val="00661A7E"/>
    <w:rsid w:val="00661AB1"/>
    <w:rsid w:val="006625D4"/>
    <w:rsid w:val="006634AB"/>
    <w:rsid w:val="006651A6"/>
    <w:rsid w:val="00670729"/>
    <w:rsid w:val="00673125"/>
    <w:rsid w:val="00674F97"/>
    <w:rsid w:val="00675840"/>
    <w:rsid w:val="00680C72"/>
    <w:rsid w:val="0068464F"/>
    <w:rsid w:val="00687EE3"/>
    <w:rsid w:val="006900B4"/>
    <w:rsid w:val="006917AB"/>
    <w:rsid w:val="006931A9"/>
    <w:rsid w:val="006937D3"/>
    <w:rsid w:val="00693D0E"/>
    <w:rsid w:val="006942B1"/>
    <w:rsid w:val="00694F38"/>
    <w:rsid w:val="00695A69"/>
    <w:rsid w:val="00696229"/>
    <w:rsid w:val="00697059"/>
    <w:rsid w:val="00697A38"/>
    <w:rsid w:val="00697D97"/>
    <w:rsid w:val="006A14C8"/>
    <w:rsid w:val="006A1740"/>
    <w:rsid w:val="006A26E2"/>
    <w:rsid w:val="006A2FC5"/>
    <w:rsid w:val="006A38E3"/>
    <w:rsid w:val="006A403E"/>
    <w:rsid w:val="006A408D"/>
    <w:rsid w:val="006A421A"/>
    <w:rsid w:val="006A49C6"/>
    <w:rsid w:val="006A52AF"/>
    <w:rsid w:val="006A5F8E"/>
    <w:rsid w:val="006A68CE"/>
    <w:rsid w:val="006A7855"/>
    <w:rsid w:val="006B1D4E"/>
    <w:rsid w:val="006B29A6"/>
    <w:rsid w:val="006B3799"/>
    <w:rsid w:val="006B4C56"/>
    <w:rsid w:val="006B4FDD"/>
    <w:rsid w:val="006B5114"/>
    <w:rsid w:val="006B5827"/>
    <w:rsid w:val="006B5C3E"/>
    <w:rsid w:val="006B6985"/>
    <w:rsid w:val="006C144C"/>
    <w:rsid w:val="006C1B00"/>
    <w:rsid w:val="006C225A"/>
    <w:rsid w:val="006C30D5"/>
    <w:rsid w:val="006C33EE"/>
    <w:rsid w:val="006C3DBE"/>
    <w:rsid w:val="006D040D"/>
    <w:rsid w:val="006D0846"/>
    <w:rsid w:val="006D1096"/>
    <w:rsid w:val="006D14D5"/>
    <w:rsid w:val="006D1825"/>
    <w:rsid w:val="006D2323"/>
    <w:rsid w:val="006D2E3F"/>
    <w:rsid w:val="006D3AB5"/>
    <w:rsid w:val="006D3B88"/>
    <w:rsid w:val="006D430A"/>
    <w:rsid w:val="006D4815"/>
    <w:rsid w:val="006D4F4D"/>
    <w:rsid w:val="006D5BA5"/>
    <w:rsid w:val="006E1941"/>
    <w:rsid w:val="006E1EC9"/>
    <w:rsid w:val="006E3ADC"/>
    <w:rsid w:val="006E3E2E"/>
    <w:rsid w:val="006E3E5C"/>
    <w:rsid w:val="006E545E"/>
    <w:rsid w:val="006E6304"/>
    <w:rsid w:val="006E698D"/>
    <w:rsid w:val="006F1BB8"/>
    <w:rsid w:val="006F249D"/>
    <w:rsid w:val="006F25E3"/>
    <w:rsid w:val="006F6119"/>
    <w:rsid w:val="006F7DE0"/>
    <w:rsid w:val="0070054D"/>
    <w:rsid w:val="00700C8D"/>
    <w:rsid w:val="00701B72"/>
    <w:rsid w:val="00703205"/>
    <w:rsid w:val="007039D4"/>
    <w:rsid w:val="00705833"/>
    <w:rsid w:val="00706DF2"/>
    <w:rsid w:val="00710152"/>
    <w:rsid w:val="00710626"/>
    <w:rsid w:val="00710697"/>
    <w:rsid w:val="00714315"/>
    <w:rsid w:val="00714F28"/>
    <w:rsid w:val="00715E3B"/>
    <w:rsid w:val="00720942"/>
    <w:rsid w:val="00720B51"/>
    <w:rsid w:val="007221D2"/>
    <w:rsid w:val="00722450"/>
    <w:rsid w:val="007224B6"/>
    <w:rsid w:val="007224EB"/>
    <w:rsid w:val="00722645"/>
    <w:rsid w:val="007259F2"/>
    <w:rsid w:val="00725B16"/>
    <w:rsid w:val="00726A90"/>
    <w:rsid w:val="00726D62"/>
    <w:rsid w:val="00727401"/>
    <w:rsid w:val="00727EB9"/>
    <w:rsid w:val="00730228"/>
    <w:rsid w:val="00731115"/>
    <w:rsid w:val="007313AC"/>
    <w:rsid w:val="007324E6"/>
    <w:rsid w:val="007324F5"/>
    <w:rsid w:val="0073370B"/>
    <w:rsid w:val="0073478E"/>
    <w:rsid w:val="00734932"/>
    <w:rsid w:val="00736A28"/>
    <w:rsid w:val="00736BE3"/>
    <w:rsid w:val="007373AB"/>
    <w:rsid w:val="00737DC5"/>
    <w:rsid w:val="00741538"/>
    <w:rsid w:val="00742459"/>
    <w:rsid w:val="00742CB5"/>
    <w:rsid w:val="00743E6E"/>
    <w:rsid w:val="0074591F"/>
    <w:rsid w:val="00746233"/>
    <w:rsid w:val="00746917"/>
    <w:rsid w:val="00746B6E"/>
    <w:rsid w:val="007477A1"/>
    <w:rsid w:val="007478F9"/>
    <w:rsid w:val="00747F6C"/>
    <w:rsid w:val="00747FEE"/>
    <w:rsid w:val="007510CB"/>
    <w:rsid w:val="0075186E"/>
    <w:rsid w:val="00752684"/>
    <w:rsid w:val="00753A99"/>
    <w:rsid w:val="00754E84"/>
    <w:rsid w:val="0075528F"/>
    <w:rsid w:val="007569C1"/>
    <w:rsid w:val="00756B11"/>
    <w:rsid w:val="00756B38"/>
    <w:rsid w:val="00756D88"/>
    <w:rsid w:val="007609D1"/>
    <w:rsid w:val="00761A0F"/>
    <w:rsid w:val="00762293"/>
    <w:rsid w:val="00762A1D"/>
    <w:rsid w:val="00763700"/>
    <w:rsid w:val="00763F80"/>
    <w:rsid w:val="00764697"/>
    <w:rsid w:val="00765726"/>
    <w:rsid w:val="0077185A"/>
    <w:rsid w:val="007726D1"/>
    <w:rsid w:val="007735E9"/>
    <w:rsid w:val="007739E4"/>
    <w:rsid w:val="007742FF"/>
    <w:rsid w:val="0077678E"/>
    <w:rsid w:val="00777DED"/>
    <w:rsid w:val="00780574"/>
    <w:rsid w:val="007815F1"/>
    <w:rsid w:val="00781BD2"/>
    <w:rsid w:val="00781F52"/>
    <w:rsid w:val="0078241F"/>
    <w:rsid w:val="00782B53"/>
    <w:rsid w:val="00785100"/>
    <w:rsid w:val="00785D4D"/>
    <w:rsid w:val="007875F2"/>
    <w:rsid w:val="00790FB5"/>
    <w:rsid w:val="0079136F"/>
    <w:rsid w:val="00791CD2"/>
    <w:rsid w:val="00791D88"/>
    <w:rsid w:val="0079216F"/>
    <w:rsid w:val="007925BF"/>
    <w:rsid w:val="00792F4A"/>
    <w:rsid w:val="007933DB"/>
    <w:rsid w:val="0079388F"/>
    <w:rsid w:val="0079471E"/>
    <w:rsid w:val="00796CEE"/>
    <w:rsid w:val="007A0051"/>
    <w:rsid w:val="007A08F7"/>
    <w:rsid w:val="007A1D44"/>
    <w:rsid w:val="007A2178"/>
    <w:rsid w:val="007A2A96"/>
    <w:rsid w:val="007A556C"/>
    <w:rsid w:val="007A6414"/>
    <w:rsid w:val="007A7653"/>
    <w:rsid w:val="007B253B"/>
    <w:rsid w:val="007B70AB"/>
    <w:rsid w:val="007B7853"/>
    <w:rsid w:val="007C2F85"/>
    <w:rsid w:val="007C5475"/>
    <w:rsid w:val="007C553A"/>
    <w:rsid w:val="007C5632"/>
    <w:rsid w:val="007C5DB9"/>
    <w:rsid w:val="007C6929"/>
    <w:rsid w:val="007D0C36"/>
    <w:rsid w:val="007D2D4D"/>
    <w:rsid w:val="007D38A3"/>
    <w:rsid w:val="007D419B"/>
    <w:rsid w:val="007D5E9E"/>
    <w:rsid w:val="007D6A8C"/>
    <w:rsid w:val="007D6E77"/>
    <w:rsid w:val="007D6FB2"/>
    <w:rsid w:val="007E0719"/>
    <w:rsid w:val="007E0F13"/>
    <w:rsid w:val="007E1B84"/>
    <w:rsid w:val="007E45E6"/>
    <w:rsid w:val="007E4855"/>
    <w:rsid w:val="007E4A5E"/>
    <w:rsid w:val="007E5E97"/>
    <w:rsid w:val="007F132B"/>
    <w:rsid w:val="007F266D"/>
    <w:rsid w:val="007F3315"/>
    <w:rsid w:val="007F5544"/>
    <w:rsid w:val="007F640E"/>
    <w:rsid w:val="007F6812"/>
    <w:rsid w:val="007F6B60"/>
    <w:rsid w:val="007F7047"/>
    <w:rsid w:val="00800225"/>
    <w:rsid w:val="00801EEF"/>
    <w:rsid w:val="00803241"/>
    <w:rsid w:val="0080387A"/>
    <w:rsid w:val="00805B3B"/>
    <w:rsid w:val="008066E1"/>
    <w:rsid w:val="00806BCC"/>
    <w:rsid w:val="00807BDC"/>
    <w:rsid w:val="008104E9"/>
    <w:rsid w:val="00810B19"/>
    <w:rsid w:val="0081110D"/>
    <w:rsid w:val="008129B2"/>
    <w:rsid w:val="00812D47"/>
    <w:rsid w:val="008159E8"/>
    <w:rsid w:val="00816A21"/>
    <w:rsid w:val="00816D9D"/>
    <w:rsid w:val="00821C3C"/>
    <w:rsid w:val="00824EE9"/>
    <w:rsid w:val="00825D7F"/>
    <w:rsid w:val="0082602E"/>
    <w:rsid w:val="008265F5"/>
    <w:rsid w:val="008275D0"/>
    <w:rsid w:val="0083050A"/>
    <w:rsid w:val="008310B0"/>
    <w:rsid w:val="00834260"/>
    <w:rsid w:val="00836279"/>
    <w:rsid w:val="00836A88"/>
    <w:rsid w:val="008410A8"/>
    <w:rsid w:val="00841553"/>
    <w:rsid w:val="00844A8C"/>
    <w:rsid w:val="008453AD"/>
    <w:rsid w:val="00845CFB"/>
    <w:rsid w:val="00846BDE"/>
    <w:rsid w:val="00850520"/>
    <w:rsid w:val="00850AF7"/>
    <w:rsid w:val="008526D9"/>
    <w:rsid w:val="00852BE9"/>
    <w:rsid w:val="00852F16"/>
    <w:rsid w:val="00852F84"/>
    <w:rsid w:val="00856BCF"/>
    <w:rsid w:val="00856F73"/>
    <w:rsid w:val="00856FBD"/>
    <w:rsid w:val="00857B7C"/>
    <w:rsid w:val="008610B0"/>
    <w:rsid w:val="00862A65"/>
    <w:rsid w:val="0086343E"/>
    <w:rsid w:val="0086472E"/>
    <w:rsid w:val="008648C9"/>
    <w:rsid w:val="00865C9C"/>
    <w:rsid w:val="00865F22"/>
    <w:rsid w:val="00866BFD"/>
    <w:rsid w:val="00870DB7"/>
    <w:rsid w:val="0087161B"/>
    <w:rsid w:val="00872187"/>
    <w:rsid w:val="00872287"/>
    <w:rsid w:val="008722AE"/>
    <w:rsid w:val="00872E1F"/>
    <w:rsid w:val="00873241"/>
    <w:rsid w:val="00874163"/>
    <w:rsid w:val="00874208"/>
    <w:rsid w:val="00874285"/>
    <w:rsid w:val="00874C77"/>
    <w:rsid w:val="00874FE7"/>
    <w:rsid w:val="00875E68"/>
    <w:rsid w:val="00876241"/>
    <w:rsid w:val="00877C7F"/>
    <w:rsid w:val="00881905"/>
    <w:rsid w:val="00881BDE"/>
    <w:rsid w:val="00881FB8"/>
    <w:rsid w:val="00883A8D"/>
    <w:rsid w:val="00886F9E"/>
    <w:rsid w:val="008878B6"/>
    <w:rsid w:val="00887A94"/>
    <w:rsid w:val="00890A58"/>
    <w:rsid w:val="00890B4F"/>
    <w:rsid w:val="0089316A"/>
    <w:rsid w:val="00893904"/>
    <w:rsid w:val="0089468E"/>
    <w:rsid w:val="00894697"/>
    <w:rsid w:val="008948BC"/>
    <w:rsid w:val="00894C88"/>
    <w:rsid w:val="008957FC"/>
    <w:rsid w:val="008959E5"/>
    <w:rsid w:val="008972FA"/>
    <w:rsid w:val="00897318"/>
    <w:rsid w:val="0089766D"/>
    <w:rsid w:val="008A06BB"/>
    <w:rsid w:val="008A1145"/>
    <w:rsid w:val="008A3EA4"/>
    <w:rsid w:val="008A40DC"/>
    <w:rsid w:val="008A4A42"/>
    <w:rsid w:val="008A5CBE"/>
    <w:rsid w:val="008B1836"/>
    <w:rsid w:val="008B4345"/>
    <w:rsid w:val="008B4868"/>
    <w:rsid w:val="008B5633"/>
    <w:rsid w:val="008B7E99"/>
    <w:rsid w:val="008C01C3"/>
    <w:rsid w:val="008C020A"/>
    <w:rsid w:val="008C121D"/>
    <w:rsid w:val="008C16F7"/>
    <w:rsid w:val="008C18F0"/>
    <w:rsid w:val="008C1A87"/>
    <w:rsid w:val="008C1ACA"/>
    <w:rsid w:val="008C2079"/>
    <w:rsid w:val="008C20D7"/>
    <w:rsid w:val="008C41FA"/>
    <w:rsid w:val="008C4F39"/>
    <w:rsid w:val="008C56EA"/>
    <w:rsid w:val="008C5770"/>
    <w:rsid w:val="008C5A05"/>
    <w:rsid w:val="008C5BF8"/>
    <w:rsid w:val="008C6735"/>
    <w:rsid w:val="008C6874"/>
    <w:rsid w:val="008C7AC3"/>
    <w:rsid w:val="008D040A"/>
    <w:rsid w:val="008D0952"/>
    <w:rsid w:val="008D35BF"/>
    <w:rsid w:val="008D36E0"/>
    <w:rsid w:val="008D4060"/>
    <w:rsid w:val="008D4551"/>
    <w:rsid w:val="008D4D82"/>
    <w:rsid w:val="008D7C32"/>
    <w:rsid w:val="008D7CE7"/>
    <w:rsid w:val="008E0899"/>
    <w:rsid w:val="008E0930"/>
    <w:rsid w:val="008E2C6D"/>
    <w:rsid w:val="008E3DF7"/>
    <w:rsid w:val="008E4D7F"/>
    <w:rsid w:val="008E519B"/>
    <w:rsid w:val="008E733E"/>
    <w:rsid w:val="008E7E04"/>
    <w:rsid w:val="008F0F0B"/>
    <w:rsid w:val="008F1CD9"/>
    <w:rsid w:val="008F5D96"/>
    <w:rsid w:val="008F69CC"/>
    <w:rsid w:val="008F720F"/>
    <w:rsid w:val="00901943"/>
    <w:rsid w:val="00903DCD"/>
    <w:rsid w:val="0090706C"/>
    <w:rsid w:val="009074E2"/>
    <w:rsid w:val="00907FB8"/>
    <w:rsid w:val="009108AC"/>
    <w:rsid w:val="00911B93"/>
    <w:rsid w:val="00911DC9"/>
    <w:rsid w:val="00912E68"/>
    <w:rsid w:val="00914815"/>
    <w:rsid w:val="00914F02"/>
    <w:rsid w:val="0091544E"/>
    <w:rsid w:val="00915C04"/>
    <w:rsid w:val="00920A3D"/>
    <w:rsid w:val="00920A81"/>
    <w:rsid w:val="00920BDA"/>
    <w:rsid w:val="00920C03"/>
    <w:rsid w:val="009217D2"/>
    <w:rsid w:val="00923962"/>
    <w:rsid w:val="0092749A"/>
    <w:rsid w:val="00927583"/>
    <w:rsid w:val="00927821"/>
    <w:rsid w:val="009304BA"/>
    <w:rsid w:val="009331DB"/>
    <w:rsid w:val="00933B12"/>
    <w:rsid w:val="00933D48"/>
    <w:rsid w:val="0093421E"/>
    <w:rsid w:val="00934814"/>
    <w:rsid w:val="00934AA4"/>
    <w:rsid w:val="00940617"/>
    <w:rsid w:val="00941901"/>
    <w:rsid w:val="00947C32"/>
    <w:rsid w:val="009500E1"/>
    <w:rsid w:val="00951180"/>
    <w:rsid w:val="00951278"/>
    <w:rsid w:val="00951EAC"/>
    <w:rsid w:val="00952E64"/>
    <w:rsid w:val="00953577"/>
    <w:rsid w:val="00953C50"/>
    <w:rsid w:val="009559D5"/>
    <w:rsid w:val="00956E79"/>
    <w:rsid w:val="00957131"/>
    <w:rsid w:val="009573E6"/>
    <w:rsid w:val="009575B2"/>
    <w:rsid w:val="00961072"/>
    <w:rsid w:val="00961CDC"/>
    <w:rsid w:val="00962459"/>
    <w:rsid w:val="00962B2B"/>
    <w:rsid w:val="00962B8E"/>
    <w:rsid w:val="00962F05"/>
    <w:rsid w:val="009634FF"/>
    <w:rsid w:val="00963937"/>
    <w:rsid w:val="00963C12"/>
    <w:rsid w:val="00964542"/>
    <w:rsid w:val="0096459E"/>
    <w:rsid w:val="00965249"/>
    <w:rsid w:val="00965EE0"/>
    <w:rsid w:val="00966459"/>
    <w:rsid w:val="00967ABC"/>
    <w:rsid w:val="00970148"/>
    <w:rsid w:val="0097064E"/>
    <w:rsid w:val="0097230D"/>
    <w:rsid w:val="009726F9"/>
    <w:rsid w:val="00974F5C"/>
    <w:rsid w:val="009763F4"/>
    <w:rsid w:val="0097652F"/>
    <w:rsid w:val="00982183"/>
    <w:rsid w:val="009823E3"/>
    <w:rsid w:val="00982874"/>
    <w:rsid w:val="00982F87"/>
    <w:rsid w:val="00983851"/>
    <w:rsid w:val="0098461D"/>
    <w:rsid w:val="00984A13"/>
    <w:rsid w:val="0098503C"/>
    <w:rsid w:val="00985249"/>
    <w:rsid w:val="009859A9"/>
    <w:rsid w:val="0099052D"/>
    <w:rsid w:val="009905A9"/>
    <w:rsid w:val="00991E69"/>
    <w:rsid w:val="00991F97"/>
    <w:rsid w:val="00995970"/>
    <w:rsid w:val="0099601A"/>
    <w:rsid w:val="00996801"/>
    <w:rsid w:val="009969C9"/>
    <w:rsid w:val="009973CE"/>
    <w:rsid w:val="00997EA6"/>
    <w:rsid w:val="009A006E"/>
    <w:rsid w:val="009A1132"/>
    <w:rsid w:val="009A16B4"/>
    <w:rsid w:val="009A1858"/>
    <w:rsid w:val="009A3569"/>
    <w:rsid w:val="009A3AB2"/>
    <w:rsid w:val="009A3F6D"/>
    <w:rsid w:val="009A44DC"/>
    <w:rsid w:val="009A6019"/>
    <w:rsid w:val="009A64F9"/>
    <w:rsid w:val="009A74D8"/>
    <w:rsid w:val="009B00BC"/>
    <w:rsid w:val="009B0438"/>
    <w:rsid w:val="009B0D9F"/>
    <w:rsid w:val="009B3547"/>
    <w:rsid w:val="009B3CF2"/>
    <w:rsid w:val="009B4297"/>
    <w:rsid w:val="009B470C"/>
    <w:rsid w:val="009B4E57"/>
    <w:rsid w:val="009B5D7D"/>
    <w:rsid w:val="009B6534"/>
    <w:rsid w:val="009B6B24"/>
    <w:rsid w:val="009C078D"/>
    <w:rsid w:val="009C1DC0"/>
    <w:rsid w:val="009C2469"/>
    <w:rsid w:val="009C259D"/>
    <w:rsid w:val="009C3788"/>
    <w:rsid w:val="009C42D2"/>
    <w:rsid w:val="009C7E30"/>
    <w:rsid w:val="009D1D84"/>
    <w:rsid w:val="009D1E94"/>
    <w:rsid w:val="009D212F"/>
    <w:rsid w:val="009D2859"/>
    <w:rsid w:val="009D3B18"/>
    <w:rsid w:val="009D3BE3"/>
    <w:rsid w:val="009D5561"/>
    <w:rsid w:val="009E1042"/>
    <w:rsid w:val="009E1893"/>
    <w:rsid w:val="009E4C83"/>
    <w:rsid w:val="009E4E97"/>
    <w:rsid w:val="009E5853"/>
    <w:rsid w:val="009E5BD0"/>
    <w:rsid w:val="009E7373"/>
    <w:rsid w:val="009F089D"/>
    <w:rsid w:val="009F24DD"/>
    <w:rsid w:val="009F2C54"/>
    <w:rsid w:val="009F3B2C"/>
    <w:rsid w:val="009F5CB8"/>
    <w:rsid w:val="009F5D2D"/>
    <w:rsid w:val="009F5F00"/>
    <w:rsid w:val="009F709C"/>
    <w:rsid w:val="009F7191"/>
    <w:rsid w:val="00A00692"/>
    <w:rsid w:val="00A0191B"/>
    <w:rsid w:val="00A02489"/>
    <w:rsid w:val="00A03BD5"/>
    <w:rsid w:val="00A0451D"/>
    <w:rsid w:val="00A050D9"/>
    <w:rsid w:val="00A068F6"/>
    <w:rsid w:val="00A07390"/>
    <w:rsid w:val="00A0778E"/>
    <w:rsid w:val="00A11A14"/>
    <w:rsid w:val="00A11FC7"/>
    <w:rsid w:val="00A12145"/>
    <w:rsid w:val="00A13E8C"/>
    <w:rsid w:val="00A14B2D"/>
    <w:rsid w:val="00A14E6A"/>
    <w:rsid w:val="00A157F3"/>
    <w:rsid w:val="00A1638D"/>
    <w:rsid w:val="00A16C33"/>
    <w:rsid w:val="00A201B6"/>
    <w:rsid w:val="00A27B8A"/>
    <w:rsid w:val="00A27E14"/>
    <w:rsid w:val="00A27FEB"/>
    <w:rsid w:val="00A32F11"/>
    <w:rsid w:val="00A33337"/>
    <w:rsid w:val="00A33CF8"/>
    <w:rsid w:val="00A33D79"/>
    <w:rsid w:val="00A349F7"/>
    <w:rsid w:val="00A355C7"/>
    <w:rsid w:val="00A35E7B"/>
    <w:rsid w:val="00A362BF"/>
    <w:rsid w:val="00A40CC8"/>
    <w:rsid w:val="00A4137E"/>
    <w:rsid w:val="00A42BEF"/>
    <w:rsid w:val="00A44812"/>
    <w:rsid w:val="00A455C1"/>
    <w:rsid w:val="00A45DCF"/>
    <w:rsid w:val="00A46180"/>
    <w:rsid w:val="00A463C9"/>
    <w:rsid w:val="00A475D1"/>
    <w:rsid w:val="00A503DC"/>
    <w:rsid w:val="00A523F2"/>
    <w:rsid w:val="00A53907"/>
    <w:rsid w:val="00A54230"/>
    <w:rsid w:val="00A5495E"/>
    <w:rsid w:val="00A56E0E"/>
    <w:rsid w:val="00A56EDD"/>
    <w:rsid w:val="00A57449"/>
    <w:rsid w:val="00A6195E"/>
    <w:rsid w:val="00A622B0"/>
    <w:rsid w:val="00A6249A"/>
    <w:rsid w:val="00A62DAF"/>
    <w:rsid w:val="00A630F9"/>
    <w:rsid w:val="00A63626"/>
    <w:rsid w:val="00A63933"/>
    <w:rsid w:val="00A644DF"/>
    <w:rsid w:val="00A657C6"/>
    <w:rsid w:val="00A6604D"/>
    <w:rsid w:val="00A67FDF"/>
    <w:rsid w:val="00A70B6A"/>
    <w:rsid w:val="00A713C5"/>
    <w:rsid w:val="00A715D1"/>
    <w:rsid w:val="00A7336D"/>
    <w:rsid w:val="00A73ACB"/>
    <w:rsid w:val="00A75DA2"/>
    <w:rsid w:val="00A75F6B"/>
    <w:rsid w:val="00A76039"/>
    <w:rsid w:val="00A76895"/>
    <w:rsid w:val="00A76C18"/>
    <w:rsid w:val="00A76CF6"/>
    <w:rsid w:val="00A76D96"/>
    <w:rsid w:val="00A76EC8"/>
    <w:rsid w:val="00A777A0"/>
    <w:rsid w:val="00A80DCC"/>
    <w:rsid w:val="00A81200"/>
    <w:rsid w:val="00A812FB"/>
    <w:rsid w:val="00A82BC5"/>
    <w:rsid w:val="00A83A85"/>
    <w:rsid w:val="00A83D41"/>
    <w:rsid w:val="00A844E9"/>
    <w:rsid w:val="00A86DE4"/>
    <w:rsid w:val="00A8750D"/>
    <w:rsid w:val="00A87A44"/>
    <w:rsid w:val="00A87D23"/>
    <w:rsid w:val="00A90554"/>
    <w:rsid w:val="00A911AF"/>
    <w:rsid w:val="00A9248B"/>
    <w:rsid w:val="00A92DC2"/>
    <w:rsid w:val="00A93506"/>
    <w:rsid w:val="00A93B5E"/>
    <w:rsid w:val="00A941C7"/>
    <w:rsid w:val="00A96CF0"/>
    <w:rsid w:val="00A9702F"/>
    <w:rsid w:val="00AA0CF7"/>
    <w:rsid w:val="00AA3008"/>
    <w:rsid w:val="00AA3332"/>
    <w:rsid w:val="00AA5427"/>
    <w:rsid w:val="00AA55BF"/>
    <w:rsid w:val="00AA5FBC"/>
    <w:rsid w:val="00AA6457"/>
    <w:rsid w:val="00AA6D96"/>
    <w:rsid w:val="00AB2E8A"/>
    <w:rsid w:val="00AB38E6"/>
    <w:rsid w:val="00AB4010"/>
    <w:rsid w:val="00AB46EB"/>
    <w:rsid w:val="00AB4B99"/>
    <w:rsid w:val="00AB5092"/>
    <w:rsid w:val="00AB5216"/>
    <w:rsid w:val="00AB560B"/>
    <w:rsid w:val="00AB7AC8"/>
    <w:rsid w:val="00AC0915"/>
    <w:rsid w:val="00AC1244"/>
    <w:rsid w:val="00AC1D86"/>
    <w:rsid w:val="00AC25CA"/>
    <w:rsid w:val="00AC2EA0"/>
    <w:rsid w:val="00AC5CBE"/>
    <w:rsid w:val="00AC5CF0"/>
    <w:rsid w:val="00AC6628"/>
    <w:rsid w:val="00AC748B"/>
    <w:rsid w:val="00AD293E"/>
    <w:rsid w:val="00AD29CC"/>
    <w:rsid w:val="00AD2F78"/>
    <w:rsid w:val="00AD4AC3"/>
    <w:rsid w:val="00AD6391"/>
    <w:rsid w:val="00AD6B83"/>
    <w:rsid w:val="00AE167D"/>
    <w:rsid w:val="00AE22E6"/>
    <w:rsid w:val="00AE3201"/>
    <w:rsid w:val="00AE3744"/>
    <w:rsid w:val="00AE4342"/>
    <w:rsid w:val="00AE5362"/>
    <w:rsid w:val="00AE53AA"/>
    <w:rsid w:val="00AE62D6"/>
    <w:rsid w:val="00AE6867"/>
    <w:rsid w:val="00AE72A6"/>
    <w:rsid w:val="00AE7397"/>
    <w:rsid w:val="00AF022D"/>
    <w:rsid w:val="00AF2260"/>
    <w:rsid w:val="00AF41F6"/>
    <w:rsid w:val="00AF5B32"/>
    <w:rsid w:val="00B00F40"/>
    <w:rsid w:val="00B013BE"/>
    <w:rsid w:val="00B01BFE"/>
    <w:rsid w:val="00B01EFD"/>
    <w:rsid w:val="00B01FA8"/>
    <w:rsid w:val="00B0264D"/>
    <w:rsid w:val="00B05963"/>
    <w:rsid w:val="00B05EA7"/>
    <w:rsid w:val="00B068D3"/>
    <w:rsid w:val="00B1028B"/>
    <w:rsid w:val="00B10B41"/>
    <w:rsid w:val="00B11A87"/>
    <w:rsid w:val="00B12BDD"/>
    <w:rsid w:val="00B1408F"/>
    <w:rsid w:val="00B144D9"/>
    <w:rsid w:val="00B16292"/>
    <w:rsid w:val="00B17FEA"/>
    <w:rsid w:val="00B20DC1"/>
    <w:rsid w:val="00B22E12"/>
    <w:rsid w:val="00B23948"/>
    <w:rsid w:val="00B27992"/>
    <w:rsid w:val="00B27AD6"/>
    <w:rsid w:val="00B30DBC"/>
    <w:rsid w:val="00B31167"/>
    <w:rsid w:val="00B321C0"/>
    <w:rsid w:val="00B36F82"/>
    <w:rsid w:val="00B37130"/>
    <w:rsid w:val="00B375A0"/>
    <w:rsid w:val="00B378AD"/>
    <w:rsid w:val="00B37FC0"/>
    <w:rsid w:val="00B4025A"/>
    <w:rsid w:val="00B40921"/>
    <w:rsid w:val="00B40BB4"/>
    <w:rsid w:val="00B40D22"/>
    <w:rsid w:val="00B40DFD"/>
    <w:rsid w:val="00B4130E"/>
    <w:rsid w:val="00B4146F"/>
    <w:rsid w:val="00B4185F"/>
    <w:rsid w:val="00B436F1"/>
    <w:rsid w:val="00B43B63"/>
    <w:rsid w:val="00B443A8"/>
    <w:rsid w:val="00B44623"/>
    <w:rsid w:val="00B44A01"/>
    <w:rsid w:val="00B451B8"/>
    <w:rsid w:val="00B454D1"/>
    <w:rsid w:val="00B4577C"/>
    <w:rsid w:val="00B46B8B"/>
    <w:rsid w:val="00B4739D"/>
    <w:rsid w:val="00B50124"/>
    <w:rsid w:val="00B50BFC"/>
    <w:rsid w:val="00B520AC"/>
    <w:rsid w:val="00B522B1"/>
    <w:rsid w:val="00B525EC"/>
    <w:rsid w:val="00B52798"/>
    <w:rsid w:val="00B5326F"/>
    <w:rsid w:val="00B53300"/>
    <w:rsid w:val="00B5352B"/>
    <w:rsid w:val="00B5562A"/>
    <w:rsid w:val="00B56AB3"/>
    <w:rsid w:val="00B57FFB"/>
    <w:rsid w:val="00B6168C"/>
    <w:rsid w:val="00B619CE"/>
    <w:rsid w:val="00B619D7"/>
    <w:rsid w:val="00B61A1A"/>
    <w:rsid w:val="00B63523"/>
    <w:rsid w:val="00B6508B"/>
    <w:rsid w:val="00B66700"/>
    <w:rsid w:val="00B6740A"/>
    <w:rsid w:val="00B7079A"/>
    <w:rsid w:val="00B71B31"/>
    <w:rsid w:val="00B73FE6"/>
    <w:rsid w:val="00B75911"/>
    <w:rsid w:val="00B7731C"/>
    <w:rsid w:val="00B80235"/>
    <w:rsid w:val="00B80404"/>
    <w:rsid w:val="00B81555"/>
    <w:rsid w:val="00B81BC9"/>
    <w:rsid w:val="00B82730"/>
    <w:rsid w:val="00B84FD9"/>
    <w:rsid w:val="00B8503C"/>
    <w:rsid w:val="00B8628E"/>
    <w:rsid w:val="00B8663B"/>
    <w:rsid w:val="00B873C1"/>
    <w:rsid w:val="00B87DA4"/>
    <w:rsid w:val="00B920E5"/>
    <w:rsid w:val="00B9232D"/>
    <w:rsid w:val="00B92E9F"/>
    <w:rsid w:val="00B939AE"/>
    <w:rsid w:val="00B94B37"/>
    <w:rsid w:val="00B94D8A"/>
    <w:rsid w:val="00B94DA5"/>
    <w:rsid w:val="00B96D34"/>
    <w:rsid w:val="00B96E78"/>
    <w:rsid w:val="00B97920"/>
    <w:rsid w:val="00B97FC4"/>
    <w:rsid w:val="00BA0C36"/>
    <w:rsid w:val="00BA0CF9"/>
    <w:rsid w:val="00BA0D72"/>
    <w:rsid w:val="00BA1C30"/>
    <w:rsid w:val="00BA292E"/>
    <w:rsid w:val="00BA3652"/>
    <w:rsid w:val="00BA43B3"/>
    <w:rsid w:val="00BA4444"/>
    <w:rsid w:val="00BA4C3F"/>
    <w:rsid w:val="00BA5236"/>
    <w:rsid w:val="00BA528B"/>
    <w:rsid w:val="00BA7587"/>
    <w:rsid w:val="00BA7C8A"/>
    <w:rsid w:val="00BA7E46"/>
    <w:rsid w:val="00BB05C2"/>
    <w:rsid w:val="00BB1C43"/>
    <w:rsid w:val="00BB2A80"/>
    <w:rsid w:val="00BB3ECE"/>
    <w:rsid w:val="00BB4569"/>
    <w:rsid w:val="00BB4949"/>
    <w:rsid w:val="00BB5456"/>
    <w:rsid w:val="00BB6B1D"/>
    <w:rsid w:val="00BC149D"/>
    <w:rsid w:val="00BC14B0"/>
    <w:rsid w:val="00BC45D1"/>
    <w:rsid w:val="00BC5B72"/>
    <w:rsid w:val="00BC7083"/>
    <w:rsid w:val="00BC79A8"/>
    <w:rsid w:val="00BD188F"/>
    <w:rsid w:val="00BD2BDB"/>
    <w:rsid w:val="00BD45DF"/>
    <w:rsid w:val="00BD590C"/>
    <w:rsid w:val="00BD7F2D"/>
    <w:rsid w:val="00BE0644"/>
    <w:rsid w:val="00BE09CD"/>
    <w:rsid w:val="00BE1A0C"/>
    <w:rsid w:val="00BE38FC"/>
    <w:rsid w:val="00BE3A90"/>
    <w:rsid w:val="00BE55E3"/>
    <w:rsid w:val="00BE5765"/>
    <w:rsid w:val="00BE5849"/>
    <w:rsid w:val="00BE6F94"/>
    <w:rsid w:val="00BF1165"/>
    <w:rsid w:val="00BF1C5F"/>
    <w:rsid w:val="00BF1CB0"/>
    <w:rsid w:val="00BF2CFB"/>
    <w:rsid w:val="00BF3838"/>
    <w:rsid w:val="00BF4A04"/>
    <w:rsid w:val="00BF4BC7"/>
    <w:rsid w:val="00BF6585"/>
    <w:rsid w:val="00BF738E"/>
    <w:rsid w:val="00BF788E"/>
    <w:rsid w:val="00C0453F"/>
    <w:rsid w:val="00C0484F"/>
    <w:rsid w:val="00C05A40"/>
    <w:rsid w:val="00C05DC8"/>
    <w:rsid w:val="00C069C2"/>
    <w:rsid w:val="00C06AAA"/>
    <w:rsid w:val="00C06CBB"/>
    <w:rsid w:val="00C10D50"/>
    <w:rsid w:val="00C11FD3"/>
    <w:rsid w:val="00C1248A"/>
    <w:rsid w:val="00C14B52"/>
    <w:rsid w:val="00C14DCD"/>
    <w:rsid w:val="00C14F7D"/>
    <w:rsid w:val="00C179E5"/>
    <w:rsid w:val="00C17C05"/>
    <w:rsid w:val="00C22823"/>
    <w:rsid w:val="00C22F85"/>
    <w:rsid w:val="00C24705"/>
    <w:rsid w:val="00C24BE2"/>
    <w:rsid w:val="00C264F1"/>
    <w:rsid w:val="00C268E6"/>
    <w:rsid w:val="00C2724E"/>
    <w:rsid w:val="00C2725D"/>
    <w:rsid w:val="00C30636"/>
    <w:rsid w:val="00C30D1B"/>
    <w:rsid w:val="00C31A65"/>
    <w:rsid w:val="00C359ED"/>
    <w:rsid w:val="00C407E3"/>
    <w:rsid w:val="00C40DED"/>
    <w:rsid w:val="00C4173F"/>
    <w:rsid w:val="00C41A65"/>
    <w:rsid w:val="00C41B3C"/>
    <w:rsid w:val="00C41B8D"/>
    <w:rsid w:val="00C42283"/>
    <w:rsid w:val="00C45C32"/>
    <w:rsid w:val="00C460C5"/>
    <w:rsid w:val="00C47A6B"/>
    <w:rsid w:val="00C47F08"/>
    <w:rsid w:val="00C5084B"/>
    <w:rsid w:val="00C52F09"/>
    <w:rsid w:val="00C52F5E"/>
    <w:rsid w:val="00C53773"/>
    <w:rsid w:val="00C54F1E"/>
    <w:rsid w:val="00C55292"/>
    <w:rsid w:val="00C55EF3"/>
    <w:rsid w:val="00C55F75"/>
    <w:rsid w:val="00C564BC"/>
    <w:rsid w:val="00C565F2"/>
    <w:rsid w:val="00C62279"/>
    <w:rsid w:val="00C62900"/>
    <w:rsid w:val="00C633F2"/>
    <w:rsid w:val="00C64D6D"/>
    <w:rsid w:val="00C66FBB"/>
    <w:rsid w:val="00C67596"/>
    <w:rsid w:val="00C679A2"/>
    <w:rsid w:val="00C70B68"/>
    <w:rsid w:val="00C7217D"/>
    <w:rsid w:val="00C724E4"/>
    <w:rsid w:val="00C72836"/>
    <w:rsid w:val="00C73FB8"/>
    <w:rsid w:val="00C752F5"/>
    <w:rsid w:val="00C76E49"/>
    <w:rsid w:val="00C77800"/>
    <w:rsid w:val="00C810E3"/>
    <w:rsid w:val="00C8173A"/>
    <w:rsid w:val="00C819DC"/>
    <w:rsid w:val="00C82A59"/>
    <w:rsid w:val="00C83B2B"/>
    <w:rsid w:val="00C842B3"/>
    <w:rsid w:val="00C84365"/>
    <w:rsid w:val="00C91418"/>
    <w:rsid w:val="00C91549"/>
    <w:rsid w:val="00C91774"/>
    <w:rsid w:val="00C92A5E"/>
    <w:rsid w:val="00C92A77"/>
    <w:rsid w:val="00C93D90"/>
    <w:rsid w:val="00C942F1"/>
    <w:rsid w:val="00C94743"/>
    <w:rsid w:val="00C94A55"/>
    <w:rsid w:val="00C9571E"/>
    <w:rsid w:val="00C95932"/>
    <w:rsid w:val="00C96F82"/>
    <w:rsid w:val="00CA046B"/>
    <w:rsid w:val="00CA29A1"/>
    <w:rsid w:val="00CA2D36"/>
    <w:rsid w:val="00CA2F78"/>
    <w:rsid w:val="00CA484E"/>
    <w:rsid w:val="00CA4A30"/>
    <w:rsid w:val="00CA4A9A"/>
    <w:rsid w:val="00CA6464"/>
    <w:rsid w:val="00CA6691"/>
    <w:rsid w:val="00CA6C46"/>
    <w:rsid w:val="00CB0487"/>
    <w:rsid w:val="00CB168C"/>
    <w:rsid w:val="00CB1C79"/>
    <w:rsid w:val="00CB5D0A"/>
    <w:rsid w:val="00CB6703"/>
    <w:rsid w:val="00CB7B8B"/>
    <w:rsid w:val="00CC10F9"/>
    <w:rsid w:val="00CC5697"/>
    <w:rsid w:val="00CC5D2E"/>
    <w:rsid w:val="00CC6416"/>
    <w:rsid w:val="00CD2391"/>
    <w:rsid w:val="00CD25D4"/>
    <w:rsid w:val="00CD2825"/>
    <w:rsid w:val="00CD30A2"/>
    <w:rsid w:val="00CD3583"/>
    <w:rsid w:val="00CD4CCF"/>
    <w:rsid w:val="00CD583A"/>
    <w:rsid w:val="00CD6307"/>
    <w:rsid w:val="00CE082A"/>
    <w:rsid w:val="00CE0E6B"/>
    <w:rsid w:val="00CE1E6A"/>
    <w:rsid w:val="00CE3039"/>
    <w:rsid w:val="00CE39A8"/>
    <w:rsid w:val="00CE47BA"/>
    <w:rsid w:val="00CE4ECD"/>
    <w:rsid w:val="00CE60E9"/>
    <w:rsid w:val="00CE6517"/>
    <w:rsid w:val="00CE6C39"/>
    <w:rsid w:val="00CE7C21"/>
    <w:rsid w:val="00CE7F49"/>
    <w:rsid w:val="00CF0261"/>
    <w:rsid w:val="00CF25F6"/>
    <w:rsid w:val="00CF37E5"/>
    <w:rsid w:val="00CF42D2"/>
    <w:rsid w:val="00CF5B1F"/>
    <w:rsid w:val="00CF5D7F"/>
    <w:rsid w:val="00CF6392"/>
    <w:rsid w:val="00D000F3"/>
    <w:rsid w:val="00D01D5D"/>
    <w:rsid w:val="00D02211"/>
    <w:rsid w:val="00D07534"/>
    <w:rsid w:val="00D111C5"/>
    <w:rsid w:val="00D1228B"/>
    <w:rsid w:val="00D12EF8"/>
    <w:rsid w:val="00D13B66"/>
    <w:rsid w:val="00D152A2"/>
    <w:rsid w:val="00D1545F"/>
    <w:rsid w:val="00D15DCE"/>
    <w:rsid w:val="00D15DDF"/>
    <w:rsid w:val="00D16532"/>
    <w:rsid w:val="00D17FE1"/>
    <w:rsid w:val="00D24CC7"/>
    <w:rsid w:val="00D2770F"/>
    <w:rsid w:val="00D30BAF"/>
    <w:rsid w:val="00D3138E"/>
    <w:rsid w:val="00D32C3F"/>
    <w:rsid w:val="00D33568"/>
    <w:rsid w:val="00D40474"/>
    <w:rsid w:val="00D4083F"/>
    <w:rsid w:val="00D4089F"/>
    <w:rsid w:val="00D40B93"/>
    <w:rsid w:val="00D413F7"/>
    <w:rsid w:val="00D416BA"/>
    <w:rsid w:val="00D42CBA"/>
    <w:rsid w:val="00D43D52"/>
    <w:rsid w:val="00D44C4C"/>
    <w:rsid w:val="00D4518D"/>
    <w:rsid w:val="00D461C1"/>
    <w:rsid w:val="00D47209"/>
    <w:rsid w:val="00D47578"/>
    <w:rsid w:val="00D50FDD"/>
    <w:rsid w:val="00D52187"/>
    <w:rsid w:val="00D52B90"/>
    <w:rsid w:val="00D53162"/>
    <w:rsid w:val="00D549A7"/>
    <w:rsid w:val="00D55D7B"/>
    <w:rsid w:val="00D570A1"/>
    <w:rsid w:val="00D60DEF"/>
    <w:rsid w:val="00D63FEB"/>
    <w:rsid w:val="00D63FF1"/>
    <w:rsid w:val="00D6659D"/>
    <w:rsid w:val="00D6679A"/>
    <w:rsid w:val="00D67D47"/>
    <w:rsid w:val="00D700F7"/>
    <w:rsid w:val="00D709A6"/>
    <w:rsid w:val="00D71534"/>
    <w:rsid w:val="00D73EDF"/>
    <w:rsid w:val="00D74029"/>
    <w:rsid w:val="00D74301"/>
    <w:rsid w:val="00D7461A"/>
    <w:rsid w:val="00D74AE5"/>
    <w:rsid w:val="00D773B9"/>
    <w:rsid w:val="00D77A12"/>
    <w:rsid w:val="00D807B7"/>
    <w:rsid w:val="00D807C2"/>
    <w:rsid w:val="00D80C39"/>
    <w:rsid w:val="00D811D9"/>
    <w:rsid w:val="00D8179F"/>
    <w:rsid w:val="00D85F81"/>
    <w:rsid w:val="00D8639C"/>
    <w:rsid w:val="00D90046"/>
    <w:rsid w:val="00D91AF6"/>
    <w:rsid w:val="00D927A5"/>
    <w:rsid w:val="00D93186"/>
    <w:rsid w:val="00D955A4"/>
    <w:rsid w:val="00D957AA"/>
    <w:rsid w:val="00D96566"/>
    <w:rsid w:val="00D9682F"/>
    <w:rsid w:val="00D96863"/>
    <w:rsid w:val="00D97797"/>
    <w:rsid w:val="00DA0695"/>
    <w:rsid w:val="00DA20E7"/>
    <w:rsid w:val="00DA29D9"/>
    <w:rsid w:val="00DA3CC0"/>
    <w:rsid w:val="00DA40BA"/>
    <w:rsid w:val="00DA428D"/>
    <w:rsid w:val="00DA534D"/>
    <w:rsid w:val="00DA78D7"/>
    <w:rsid w:val="00DB193D"/>
    <w:rsid w:val="00DB1E0C"/>
    <w:rsid w:val="00DB2F74"/>
    <w:rsid w:val="00DB3E8B"/>
    <w:rsid w:val="00DB4694"/>
    <w:rsid w:val="00DB5981"/>
    <w:rsid w:val="00DC0218"/>
    <w:rsid w:val="00DC1198"/>
    <w:rsid w:val="00DC2B46"/>
    <w:rsid w:val="00DC35DB"/>
    <w:rsid w:val="00DC4CE9"/>
    <w:rsid w:val="00DC5800"/>
    <w:rsid w:val="00DC6022"/>
    <w:rsid w:val="00DC60F9"/>
    <w:rsid w:val="00DC7691"/>
    <w:rsid w:val="00DC7BDE"/>
    <w:rsid w:val="00DC7DE4"/>
    <w:rsid w:val="00DC7ED3"/>
    <w:rsid w:val="00DD0A91"/>
    <w:rsid w:val="00DD2135"/>
    <w:rsid w:val="00DD2647"/>
    <w:rsid w:val="00DD2C30"/>
    <w:rsid w:val="00DD44B8"/>
    <w:rsid w:val="00DD5CAE"/>
    <w:rsid w:val="00DD6F26"/>
    <w:rsid w:val="00DE0378"/>
    <w:rsid w:val="00DE039C"/>
    <w:rsid w:val="00DE0E35"/>
    <w:rsid w:val="00DE51B0"/>
    <w:rsid w:val="00DE5DE3"/>
    <w:rsid w:val="00DE6F13"/>
    <w:rsid w:val="00DE7230"/>
    <w:rsid w:val="00DF39C4"/>
    <w:rsid w:val="00DF3F51"/>
    <w:rsid w:val="00DF573D"/>
    <w:rsid w:val="00DF6BF2"/>
    <w:rsid w:val="00DF7BCB"/>
    <w:rsid w:val="00DF7BCC"/>
    <w:rsid w:val="00E02D4A"/>
    <w:rsid w:val="00E03743"/>
    <w:rsid w:val="00E06BC8"/>
    <w:rsid w:val="00E06E6E"/>
    <w:rsid w:val="00E12102"/>
    <w:rsid w:val="00E12CD3"/>
    <w:rsid w:val="00E1412D"/>
    <w:rsid w:val="00E1496D"/>
    <w:rsid w:val="00E161D5"/>
    <w:rsid w:val="00E169D1"/>
    <w:rsid w:val="00E174D3"/>
    <w:rsid w:val="00E201BE"/>
    <w:rsid w:val="00E21F3A"/>
    <w:rsid w:val="00E242D5"/>
    <w:rsid w:val="00E24DF2"/>
    <w:rsid w:val="00E26161"/>
    <w:rsid w:val="00E26D91"/>
    <w:rsid w:val="00E307E6"/>
    <w:rsid w:val="00E32578"/>
    <w:rsid w:val="00E32745"/>
    <w:rsid w:val="00E342A5"/>
    <w:rsid w:val="00E34672"/>
    <w:rsid w:val="00E3545E"/>
    <w:rsid w:val="00E35706"/>
    <w:rsid w:val="00E36617"/>
    <w:rsid w:val="00E36658"/>
    <w:rsid w:val="00E37D4F"/>
    <w:rsid w:val="00E41533"/>
    <w:rsid w:val="00E417C9"/>
    <w:rsid w:val="00E41D23"/>
    <w:rsid w:val="00E43B2C"/>
    <w:rsid w:val="00E448F1"/>
    <w:rsid w:val="00E461F6"/>
    <w:rsid w:val="00E46F0B"/>
    <w:rsid w:val="00E46FF0"/>
    <w:rsid w:val="00E47F2C"/>
    <w:rsid w:val="00E506C1"/>
    <w:rsid w:val="00E508DA"/>
    <w:rsid w:val="00E50DF5"/>
    <w:rsid w:val="00E51B0B"/>
    <w:rsid w:val="00E51CCC"/>
    <w:rsid w:val="00E52FD9"/>
    <w:rsid w:val="00E53A15"/>
    <w:rsid w:val="00E55885"/>
    <w:rsid w:val="00E55DE1"/>
    <w:rsid w:val="00E5617C"/>
    <w:rsid w:val="00E56C23"/>
    <w:rsid w:val="00E611B7"/>
    <w:rsid w:val="00E630F9"/>
    <w:rsid w:val="00E641EC"/>
    <w:rsid w:val="00E64B72"/>
    <w:rsid w:val="00E64E3F"/>
    <w:rsid w:val="00E6510E"/>
    <w:rsid w:val="00E66A54"/>
    <w:rsid w:val="00E715C5"/>
    <w:rsid w:val="00E71FBF"/>
    <w:rsid w:val="00E73893"/>
    <w:rsid w:val="00E75020"/>
    <w:rsid w:val="00E75EAF"/>
    <w:rsid w:val="00E7661E"/>
    <w:rsid w:val="00E7674F"/>
    <w:rsid w:val="00E77608"/>
    <w:rsid w:val="00E77856"/>
    <w:rsid w:val="00E83C7A"/>
    <w:rsid w:val="00E84193"/>
    <w:rsid w:val="00E84960"/>
    <w:rsid w:val="00E84ED0"/>
    <w:rsid w:val="00E86279"/>
    <w:rsid w:val="00E91DB5"/>
    <w:rsid w:val="00E91F35"/>
    <w:rsid w:val="00E94814"/>
    <w:rsid w:val="00EA0C16"/>
    <w:rsid w:val="00EA0E21"/>
    <w:rsid w:val="00EA0EFE"/>
    <w:rsid w:val="00EA12CE"/>
    <w:rsid w:val="00EA1592"/>
    <w:rsid w:val="00EA2EB7"/>
    <w:rsid w:val="00EA4932"/>
    <w:rsid w:val="00EA55F1"/>
    <w:rsid w:val="00EA5908"/>
    <w:rsid w:val="00EA6CA9"/>
    <w:rsid w:val="00EB08CA"/>
    <w:rsid w:val="00EB431F"/>
    <w:rsid w:val="00EB4529"/>
    <w:rsid w:val="00EB45DC"/>
    <w:rsid w:val="00EB474B"/>
    <w:rsid w:val="00EB4B67"/>
    <w:rsid w:val="00EB5386"/>
    <w:rsid w:val="00EB5769"/>
    <w:rsid w:val="00EB6C72"/>
    <w:rsid w:val="00EB7325"/>
    <w:rsid w:val="00EB7D75"/>
    <w:rsid w:val="00EB7DB5"/>
    <w:rsid w:val="00EC03D0"/>
    <w:rsid w:val="00EC0878"/>
    <w:rsid w:val="00EC2294"/>
    <w:rsid w:val="00EC332C"/>
    <w:rsid w:val="00EC35F4"/>
    <w:rsid w:val="00EC3852"/>
    <w:rsid w:val="00EC4679"/>
    <w:rsid w:val="00EC4F11"/>
    <w:rsid w:val="00EC5544"/>
    <w:rsid w:val="00ED095A"/>
    <w:rsid w:val="00ED1B5F"/>
    <w:rsid w:val="00ED2960"/>
    <w:rsid w:val="00ED324E"/>
    <w:rsid w:val="00ED3C35"/>
    <w:rsid w:val="00ED6036"/>
    <w:rsid w:val="00ED6405"/>
    <w:rsid w:val="00EE04C2"/>
    <w:rsid w:val="00EE0DDE"/>
    <w:rsid w:val="00EE1765"/>
    <w:rsid w:val="00EE29AD"/>
    <w:rsid w:val="00EE2F3E"/>
    <w:rsid w:val="00EE309B"/>
    <w:rsid w:val="00EE3170"/>
    <w:rsid w:val="00EE3233"/>
    <w:rsid w:val="00EE3CDC"/>
    <w:rsid w:val="00EE4436"/>
    <w:rsid w:val="00EE4B0F"/>
    <w:rsid w:val="00EE5968"/>
    <w:rsid w:val="00EE610B"/>
    <w:rsid w:val="00EE7AA0"/>
    <w:rsid w:val="00EE7B1D"/>
    <w:rsid w:val="00EF216A"/>
    <w:rsid w:val="00EF3BAD"/>
    <w:rsid w:val="00EF7EE5"/>
    <w:rsid w:val="00F00848"/>
    <w:rsid w:val="00F023F1"/>
    <w:rsid w:val="00F03CC2"/>
    <w:rsid w:val="00F04A33"/>
    <w:rsid w:val="00F04F05"/>
    <w:rsid w:val="00F05A90"/>
    <w:rsid w:val="00F05CC7"/>
    <w:rsid w:val="00F07491"/>
    <w:rsid w:val="00F07581"/>
    <w:rsid w:val="00F078E6"/>
    <w:rsid w:val="00F078FA"/>
    <w:rsid w:val="00F07ED1"/>
    <w:rsid w:val="00F10360"/>
    <w:rsid w:val="00F12FD1"/>
    <w:rsid w:val="00F1448A"/>
    <w:rsid w:val="00F16A39"/>
    <w:rsid w:val="00F2038E"/>
    <w:rsid w:val="00F204E2"/>
    <w:rsid w:val="00F206CF"/>
    <w:rsid w:val="00F23C6E"/>
    <w:rsid w:val="00F254D4"/>
    <w:rsid w:val="00F25721"/>
    <w:rsid w:val="00F26454"/>
    <w:rsid w:val="00F26457"/>
    <w:rsid w:val="00F2762F"/>
    <w:rsid w:val="00F27AC1"/>
    <w:rsid w:val="00F30305"/>
    <w:rsid w:val="00F31387"/>
    <w:rsid w:val="00F31EAF"/>
    <w:rsid w:val="00F322A4"/>
    <w:rsid w:val="00F33FA0"/>
    <w:rsid w:val="00F34489"/>
    <w:rsid w:val="00F34BFE"/>
    <w:rsid w:val="00F404F5"/>
    <w:rsid w:val="00F41862"/>
    <w:rsid w:val="00F41B33"/>
    <w:rsid w:val="00F4270B"/>
    <w:rsid w:val="00F43122"/>
    <w:rsid w:val="00F43157"/>
    <w:rsid w:val="00F43A6F"/>
    <w:rsid w:val="00F43CE4"/>
    <w:rsid w:val="00F45534"/>
    <w:rsid w:val="00F4572F"/>
    <w:rsid w:val="00F4582C"/>
    <w:rsid w:val="00F45AB6"/>
    <w:rsid w:val="00F5057D"/>
    <w:rsid w:val="00F50ABA"/>
    <w:rsid w:val="00F50ADB"/>
    <w:rsid w:val="00F56C78"/>
    <w:rsid w:val="00F573A3"/>
    <w:rsid w:val="00F573D4"/>
    <w:rsid w:val="00F576B6"/>
    <w:rsid w:val="00F60F3F"/>
    <w:rsid w:val="00F61528"/>
    <w:rsid w:val="00F61662"/>
    <w:rsid w:val="00F61EFE"/>
    <w:rsid w:val="00F64B7F"/>
    <w:rsid w:val="00F70505"/>
    <w:rsid w:val="00F722E8"/>
    <w:rsid w:val="00F72D1B"/>
    <w:rsid w:val="00F73D4C"/>
    <w:rsid w:val="00F75DD5"/>
    <w:rsid w:val="00F77145"/>
    <w:rsid w:val="00F8016B"/>
    <w:rsid w:val="00F8068B"/>
    <w:rsid w:val="00F821D9"/>
    <w:rsid w:val="00F82EBE"/>
    <w:rsid w:val="00F84BCC"/>
    <w:rsid w:val="00F86E77"/>
    <w:rsid w:val="00F86EC7"/>
    <w:rsid w:val="00F878B0"/>
    <w:rsid w:val="00F90330"/>
    <w:rsid w:val="00F93BE4"/>
    <w:rsid w:val="00F943E4"/>
    <w:rsid w:val="00F949FE"/>
    <w:rsid w:val="00F9509F"/>
    <w:rsid w:val="00F96D23"/>
    <w:rsid w:val="00F96E18"/>
    <w:rsid w:val="00F96F6D"/>
    <w:rsid w:val="00FA17CC"/>
    <w:rsid w:val="00FA28CE"/>
    <w:rsid w:val="00FA4DE8"/>
    <w:rsid w:val="00FA4EC5"/>
    <w:rsid w:val="00FA5018"/>
    <w:rsid w:val="00FA5C00"/>
    <w:rsid w:val="00FA63A2"/>
    <w:rsid w:val="00FA67CF"/>
    <w:rsid w:val="00FA702E"/>
    <w:rsid w:val="00FA73B4"/>
    <w:rsid w:val="00FA7DE8"/>
    <w:rsid w:val="00FB0322"/>
    <w:rsid w:val="00FB03FA"/>
    <w:rsid w:val="00FB0D09"/>
    <w:rsid w:val="00FB142D"/>
    <w:rsid w:val="00FB16C5"/>
    <w:rsid w:val="00FB63C8"/>
    <w:rsid w:val="00FB7C78"/>
    <w:rsid w:val="00FC014E"/>
    <w:rsid w:val="00FC01A8"/>
    <w:rsid w:val="00FC1342"/>
    <w:rsid w:val="00FC2E73"/>
    <w:rsid w:val="00FC5038"/>
    <w:rsid w:val="00FC520C"/>
    <w:rsid w:val="00FC5E93"/>
    <w:rsid w:val="00FC7877"/>
    <w:rsid w:val="00FD04DD"/>
    <w:rsid w:val="00FD2D64"/>
    <w:rsid w:val="00FD3D1C"/>
    <w:rsid w:val="00FD4C66"/>
    <w:rsid w:val="00FD6386"/>
    <w:rsid w:val="00FD7101"/>
    <w:rsid w:val="00FE07EA"/>
    <w:rsid w:val="00FE2072"/>
    <w:rsid w:val="00FE4383"/>
    <w:rsid w:val="00FE47B1"/>
    <w:rsid w:val="00FE5178"/>
    <w:rsid w:val="00FE570E"/>
    <w:rsid w:val="00FE592C"/>
    <w:rsid w:val="00FE5B7E"/>
    <w:rsid w:val="00FE6384"/>
    <w:rsid w:val="00FE6841"/>
    <w:rsid w:val="00FE701A"/>
    <w:rsid w:val="00FE71FE"/>
    <w:rsid w:val="00FF0BAC"/>
    <w:rsid w:val="00FF0C2F"/>
    <w:rsid w:val="00FF1B58"/>
    <w:rsid w:val="00FF21BD"/>
    <w:rsid w:val="00FF2C5A"/>
    <w:rsid w:val="00FF35D5"/>
    <w:rsid w:val="00FF3CBA"/>
    <w:rsid w:val="00FF608C"/>
    <w:rsid w:val="00FF7048"/>
    <w:rsid w:val="00FF76BF"/>
    <w:rsid w:val="00FF7D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6EBE5D"/>
  <w14:defaultImageDpi w14:val="300"/>
  <w15:docId w15:val="{9558ACF5-730C-4249-8FD5-9B35A979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3C41"/>
    <w:pPr>
      <w:keepNext/>
      <w:keepLines/>
      <w:spacing w:before="240" w:line="480" w:lineRule="auto"/>
      <w:outlineLvl w:val="0"/>
    </w:pPr>
    <w:rPr>
      <w:rFonts w:ascii="Verdana" w:eastAsiaTheme="majorEastAsia" w:hAnsi="Verdana" w:cstheme="majorBidi"/>
      <w:b/>
      <w:color w:val="77328A"/>
      <w:sz w:val="30"/>
      <w:szCs w:val="32"/>
    </w:rPr>
  </w:style>
  <w:style w:type="paragraph" w:styleId="Heading2">
    <w:name w:val="heading 2"/>
    <w:basedOn w:val="Normal"/>
    <w:next w:val="Normal"/>
    <w:link w:val="Heading2Char"/>
    <w:uiPriority w:val="9"/>
    <w:unhideWhenUsed/>
    <w:qFormat/>
    <w:rsid w:val="00643C41"/>
    <w:pPr>
      <w:keepNext/>
      <w:keepLines/>
      <w:spacing w:before="40" w:line="480" w:lineRule="auto"/>
      <w:outlineLvl w:val="1"/>
    </w:pPr>
    <w:rPr>
      <w:rFonts w:ascii="Verdana" w:eastAsiaTheme="majorEastAsia" w:hAnsi="Verdana" w:cstheme="majorBidi"/>
      <w:b/>
      <w:color w:val="000000" w:themeColor="text1"/>
      <w:szCs w:val="26"/>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uiPriority w:val="99"/>
    <w:rsid w:val="00962B2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aliases w:val="5_G,Footnote Text Char Char,Footnote Text1,Footnote Text Char1 Char Char,Footnote Text Char Char Char Char,Footnote Text Char1 Char Char1 Char Char,Footnote Text Char Char Char Char1 Char Char,Char,Footnote Quot,Footnote Text Char1, Char"/>
    <w:basedOn w:val="Normal"/>
    <w:link w:val="FootnoteTextChar"/>
    <w:uiPriority w:val="99"/>
    <w:unhideWhenUsed/>
    <w:qFormat/>
    <w:rsid w:val="00224140"/>
  </w:style>
  <w:style w:type="character" w:customStyle="1" w:styleId="FootnoteTextChar">
    <w:name w:val="Footnote Text Char"/>
    <w:aliases w:val="5_G Char,Footnote Text Char Char Char,Footnote Text1 Char,Footnote Text Char1 Char Char Char,Footnote Text Char Char Char Char Char,Footnote Text Char1 Char Char1 Char Char Char,Footnote Text Char Char Char Char1 Char Char Char"/>
    <w:basedOn w:val="DefaultParagraphFont"/>
    <w:link w:val="FootnoteText"/>
    <w:uiPriority w:val="99"/>
    <w:rsid w:val="00224140"/>
  </w:style>
  <w:style w:type="character" w:styleId="FootnoteReference">
    <w:name w:val="footnote reference"/>
    <w:aliases w:val="4_G,4_G Char Char,Footnote Reference1 Char Char,Footnotes refss Char Char,ftref Char Char,BVI fnr Char Char,BVI fnr Car Car Char Char,BVI fnr Car Char Char,BVI fnr Car Car Car Car Char Char1,BVI fnr Char Car Car Car Char Char,Black,Re"/>
    <w:basedOn w:val="DefaultParagraphFont"/>
    <w:link w:val="4GChar"/>
    <w:uiPriority w:val="99"/>
    <w:unhideWhenUsed/>
    <w:qFormat/>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4672AC"/>
    <w:pPr>
      <w:tabs>
        <w:tab w:val="left" w:pos="284"/>
      </w:tabs>
    </w:pPr>
    <w:rPr>
      <w:rFonts w:ascii="Verdana" w:hAnsi="Verdana"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7E0719"/>
    <w:pPr>
      <w:spacing w:line="240" w:lineRule="exact"/>
      <w:jc w:val="both"/>
    </w:pPr>
    <w:rPr>
      <w:vertAlign w:val="superscript"/>
    </w:rPr>
  </w:style>
  <w:style w:type="character" w:styleId="CommentReference">
    <w:name w:val="annotation reference"/>
    <w:basedOn w:val="DefaultParagraphFont"/>
    <w:uiPriority w:val="99"/>
    <w:semiHidden/>
    <w:unhideWhenUsed/>
    <w:rsid w:val="007E0719"/>
    <w:rPr>
      <w:rFonts w:cs="Times New Roman"/>
      <w:sz w:val="16"/>
      <w:szCs w:val="16"/>
    </w:rPr>
  </w:style>
  <w:style w:type="paragraph" w:styleId="CommentText">
    <w:name w:val="annotation text"/>
    <w:basedOn w:val="Normal"/>
    <w:link w:val="CommentTextChar1"/>
    <w:uiPriority w:val="99"/>
    <w:unhideWhenUsed/>
    <w:rsid w:val="007E0719"/>
    <w:rPr>
      <w:sz w:val="20"/>
      <w:szCs w:val="20"/>
    </w:rPr>
  </w:style>
  <w:style w:type="character" w:customStyle="1" w:styleId="CommentTextChar">
    <w:name w:val="Comment Text Char"/>
    <w:basedOn w:val="DefaultParagraphFont"/>
    <w:uiPriority w:val="99"/>
    <w:semiHidden/>
    <w:rsid w:val="007E0719"/>
    <w:rPr>
      <w:sz w:val="20"/>
      <w:szCs w:val="20"/>
    </w:rPr>
  </w:style>
  <w:style w:type="character" w:customStyle="1" w:styleId="CommentTextChar1">
    <w:name w:val="Comment Text Char1"/>
    <w:basedOn w:val="DefaultParagraphFont"/>
    <w:link w:val="CommentText"/>
    <w:uiPriority w:val="99"/>
    <w:rsid w:val="007E0719"/>
    <w:rPr>
      <w:sz w:val="20"/>
      <w:szCs w:val="20"/>
    </w:rPr>
  </w:style>
  <w:style w:type="character" w:customStyle="1" w:styleId="Heading1Char">
    <w:name w:val="Heading 1 Char"/>
    <w:basedOn w:val="DefaultParagraphFont"/>
    <w:link w:val="Heading1"/>
    <w:uiPriority w:val="9"/>
    <w:rsid w:val="00643C41"/>
    <w:rPr>
      <w:rFonts w:ascii="Verdana" w:eastAsiaTheme="majorEastAsia" w:hAnsi="Verdana" w:cstheme="majorBidi"/>
      <w:b/>
      <w:color w:val="77328A"/>
      <w:sz w:val="30"/>
      <w:szCs w:val="32"/>
    </w:rPr>
  </w:style>
  <w:style w:type="paragraph" w:styleId="ListParagraph">
    <w:name w:val="List Paragraph"/>
    <w:basedOn w:val="Normal"/>
    <w:uiPriority w:val="34"/>
    <w:qFormat/>
    <w:rsid w:val="007E0719"/>
    <w:pPr>
      <w:ind w:left="720"/>
      <w:contextualSpacing/>
    </w:pPr>
  </w:style>
  <w:style w:type="character" w:customStyle="1" w:styleId="Heading2Char">
    <w:name w:val="Heading 2 Char"/>
    <w:basedOn w:val="DefaultParagraphFont"/>
    <w:link w:val="Heading2"/>
    <w:uiPriority w:val="9"/>
    <w:rsid w:val="00643C41"/>
    <w:rPr>
      <w:rFonts w:ascii="Verdana" w:eastAsiaTheme="majorEastAsia" w:hAnsi="Verdana" w:cstheme="majorBidi"/>
      <w:b/>
      <w:color w:val="000000" w:themeColor="text1"/>
      <w:szCs w:val="26"/>
    </w:rPr>
  </w:style>
  <w:style w:type="paragraph" w:styleId="Quote">
    <w:name w:val="Quote"/>
    <w:basedOn w:val="Normal"/>
    <w:next w:val="Normal"/>
    <w:link w:val="QuoteChar"/>
    <w:uiPriority w:val="29"/>
    <w:qFormat/>
    <w:rsid w:val="005376DF"/>
    <w:pPr>
      <w:spacing w:before="200" w:after="160"/>
      <w:ind w:left="864" w:right="864"/>
    </w:pPr>
    <w:rPr>
      <w:rFonts w:ascii="Verdana" w:hAnsi="Verdana"/>
      <w:iCs/>
    </w:rPr>
  </w:style>
  <w:style w:type="character" w:customStyle="1" w:styleId="QuoteChar">
    <w:name w:val="Quote Char"/>
    <w:basedOn w:val="DefaultParagraphFont"/>
    <w:link w:val="Quote"/>
    <w:uiPriority w:val="29"/>
    <w:rsid w:val="005376DF"/>
    <w:rPr>
      <w:rFonts w:ascii="Verdana" w:hAnsi="Verdana"/>
      <w:iCs/>
    </w:rPr>
  </w:style>
  <w:style w:type="paragraph" w:styleId="TOCHeading">
    <w:name w:val="TOC Heading"/>
    <w:basedOn w:val="Heading1"/>
    <w:next w:val="Normal"/>
    <w:uiPriority w:val="39"/>
    <w:unhideWhenUsed/>
    <w:qFormat/>
    <w:rsid w:val="0075528F"/>
    <w:pPr>
      <w:spacing w:line="259" w:lineRule="auto"/>
      <w:outlineLvl w:val="9"/>
    </w:pPr>
    <w:rPr>
      <w:rFonts w:asciiTheme="majorHAnsi" w:hAnsiTheme="majorHAnsi"/>
      <w:b w:val="0"/>
      <w:color w:val="365F91" w:themeColor="accent1" w:themeShade="BF"/>
      <w:sz w:val="32"/>
      <w:lang w:val="en-US"/>
    </w:rPr>
  </w:style>
  <w:style w:type="paragraph" w:styleId="TOC1">
    <w:name w:val="toc 1"/>
    <w:basedOn w:val="Normal"/>
    <w:next w:val="Normal"/>
    <w:autoRedefine/>
    <w:uiPriority w:val="39"/>
    <w:unhideWhenUsed/>
    <w:rsid w:val="00564A3B"/>
    <w:pPr>
      <w:tabs>
        <w:tab w:val="left" w:pos="660"/>
        <w:tab w:val="right" w:leader="dot" w:pos="9848"/>
      </w:tabs>
      <w:spacing w:after="100"/>
    </w:pPr>
    <w:rPr>
      <w:rFonts w:ascii="Verdana" w:hAnsi="Verdana"/>
      <w:b/>
      <w:noProof/>
    </w:rPr>
  </w:style>
  <w:style w:type="paragraph" w:styleId="TOC2">
    <w:name w:val="toc 2"/>
    <w:basedOn w:val="Normal"/>
    <w:next w:val="Normal"/>
    <w:autoRedefine/>
    <w:uiPriority w:val="39"/>
    <w:unhideWhenUsed/>
    <w:rsid w:val="00810B19"/>
    <w:pPr>
      <w:tabs>
        <w:tab w:val="right" w:leader="dot" w:pos="9848"/>
      </w:tabs>
      <w:spacing w:after="100"/>
      <w:ind w:left="240"/>
    </w:pPr>
  </w:style>
  <w:style w:type="paragraph" w:styleId="CommentSubject">
    <w:name w:val="annotation subject"/>
    <w:basedOn w:val="CommentText"/>
    <w:next w:val="CommentText"/>
    <w:link w:val="CommentSubjectChar"/>
    <w:uiPriority w:val="99"/>
    <w:semiHidden/>
    <w:unhideWhenUsed/>
    <w:rsid w:val="00245E58"/>
    <w:rPr>
      <w:b/>
      <w:bCs/>
    </w:rPr>
  </w:style>
  <w:style w:type="character" w:customStyle="1" w:styleId="CommentSubjectChar">
    <w:name w:val="Comment Subject Char"/>
    <w:basedOn w:val="CommentTextChar1"/>
    <w:link w:val="CommentSubject"/>
    <w:uiPriority w:val="99"/>
    <w:semiHidden/>
    <w:rsid w:val="00245E58"/>
    <w:rPr>
      <w:b/>
      <w:bCs/>
      <w:sz w:val="20"/>
      <w:szCs w:val="20"/>
    </w:rPr>
  </w:style>
  <w:style w:type="paragraph" w:styleId="Revision">
    <w:name w:val="Revision"/>
    <w:hidden/>
    <w:uiPriority w:val="99"/>
    <w:semiHidden/>
    <w:rsid w:val="0005296A"/>
  </w:style>
  <w:style w:type="paragraph" w:styleId="BodyText">
    <w:name w:val="Body Text"/>
    <w:basedOn w:val="Normal"/>
    <w:link w:val="BodyTextChar"/>
    <w:uiPriority w:val="99"/>
    <w:semiHidden/>
    <w:unhideWhenUsed/>
    <w:rsid w:val="0077185A"/>
    <w:pPr>
      <w:spacing w:after="120"/>
    </w:pPr>
  </w:style>
  <w:style w:type="character" w:customStyle="1" w:styleId="BodyTextChar">
    <w:name w:val="Body Text Char"/>
    <w:basedOn w:val="DefaultParagraphFont"/>
    <w:link w:val="BodyText"/>
    <w:uiPriority w:val="99"/>
    <w:semiHidden/>
    <w:rsid w:val="0077185A"/>
  </w:style>
  <w:style w:type="character" w:styleId="UnresolvedMention">
    <w:name w:val="Unresolved Mention"/>
    <w:basedOn w:val="DefaultParagraphFont"/>
    <w:uiPriority w:val="99"/>
    <w:semiHidden/>
    <w:unhideWhenUsed/>
    <w:rsid w:val="002B7D94"/>
    <w:rPr>
      <w:color w:val="605E5C"/>
      <w:shd w:val="clear" w:color="auto" w:fill="E1DFDD"/>
    </w:rPr>
  </w:style>
  <w:style w:type="character" w:styleId="Emphasis">
    <w:name w:val="Emphasis"/>
    <w:basedOn w:val="DefaultParagraphFont"/>
    <w:uiPriority w:val="20"/>
    <w:qFormat/>
    <w:rsid w:val="000E228B"/>
    <w:rPr>
      <w:i/>
      <w:iCs/>
    </w:rPr>
  </w:style>
  <w:style w:type="character" w:styleId="FollowedHyperlink">
    <w:name w:val="FollowedHyperlink"/>
    <w:basedOn w:val="DefaultParagraphFont"/>
    <w:uiPriority w:val="99"/>
    <w:semiHidden/>
    <w:unhideWhenUsed/>
    <w:rsid w:val="005B68B1"/>
    <w:rPr>
      <w:color w:val="800080" w:themeColor="followedHyperlink"/>
      <w:u w:val="single"/>
    </w:rPr>
  </w:style>
  <w:style w:type="paragraph" w:styleId="EndnoteText">
    <w:name w:val="endnote text"/>
    <w:basedOn w:val="Normal"/>
    <w:link w:val="EndnoteTextChar"/>
    <w:uiPriority w:val="99"/>
    <w:semiHidden/>
    <w:unhideWhenUsed/>
    <w:rsid w:val="00416E0A"/>
    <w:pPr>
      <w:spacing w:line="288" w:lineRule="auto"/>
    </w:pPr>
    <w:rPr>
      <w:rFonts w:ascii="Verdana" w:hAnsi="Verdana"/>
      <w:sz w:val="20"/>
      <w:szCs w:val="20"/>
    </w:rPr>
  </w:style>
  <w:style w:type="character" w:customStyle="1" w:styleId="EndnoteTextChar">
    <w:name w:val="Endnote Text Char"/>
    <w:basedOn w:val="DefaultParagraphFont"/>
    <w:link w:val="EndnoteText"/>
    <w:uiPriority w:val="99"/>
    <w:semiHidden/>
    <w:rsid w:val="00416E0A"/>
    <w:rPr>
      <w:rFonts w:ascii="Verdana" w:hAnsi="Verdana"/>
      <w:sz w:val="20"/>
      <w:szCs w:val="20"/>
    </w:rPr>
  </w:style>
  <w:style w:type="table" w:styleId="TableGrid">
    <w:name w:val="Table Grid"/>
    <w:basedOn w:val="TableNormal"/>
    <w:uiPriority w:val="59"/>
    <w:rsid w:val="00DE7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b8d990e2">
    <w:name w:val="sb8d990e2"/>
    <w:basedOn w:val="DefaultParagraphFont"/>
    <w:rsid w:val="003E2E5C"/>
  </w:style>
  <w:style w:type="character" w:customStyle="1" w:styleId="s6b621b36">
    <w:name w:val="s6b621b36"/>
    <w:basedOn w:val="DefaultParagraphFont"/>
    <w:rsid w:val="003E2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16615">
      <w:bodyDiv w:val="1"/>
      <w:marLeft w:val="0"/>
      <w:marRight w:val="0"/>
      <w:marTop w:val="0"/>
      <w:marBottom w:val="0"/>
      <w:divBdr>
        <w:top w:val="none" w:sz="0" w:space="0" w:color="auto"/>
        <w:left w:val="none" w:sz="0" w:space="0" w:color="auto"/>
        <w:bottom w:val="none" w:sz="0" w:space="0" w:color="auto"/>
        <w:right w:val="none" w:sz="0" w:space="0" w:color="auto"/>
      </w:divBdr>
    </w:div>
    <w:div w:id="349769759">
      <w:bodyDiv w:val="1"/>
      <w:marLeft w:val="0"/>
      <w:marRight w:val="0"/>
      <w:marTop w:val="0"/>
      <w:marBottom w:val="0"/>
      <w:divBdr>
        <w:top w:val="none" w:sz="0" w:space="0" w:color="auto"/>
        <w:left w:val="none" w:sz="0" w:space="0" w:color="auto"/>
        <w:bottom w:val="none" w:sz="0" w:space="0" w:color="auto"/>
        <w:right w:val="none" w:sz="0" w:space="0" w:color="auto"/>
      </w:divBdr>
    </w:div>
    <w:div w:id="366948985">
      <w:bodyDiv w:val="1"/>
      <w:marLeft w:val="0"/>
      <w:marRight w:val="0"/>
      <w:marTop w:val="0"/>
      <w:marBottom w:val="0"/>
      <w:divBdr>
        <w:top w:val="none" w:sz="0" w:space="0" w:color="auto"/>
        <w:left w:val="none" w:sz="0" w:space="0" w:color="auto"/>
        <w:bottom w:val="none" w:sz="0" w:space="0" w:color="auto"/>
        <w:right w:val="none" w:sz="0" w:space="0" w:color="auto"/>
      </w:divBdr>
    </w:div>
    <w:div w:id="946545615">
      <w:bodyDiv w:val="1"/>
      <w:marLeft w:val="0"/>
      <w:marRight w:val="0"/>
      <w:marTop w:val="0"/>
      <w:marBottom w:val="0"/>
      <w:divBdr>
        <w:top w:val="none" w:sz="0" w:space="0" w:color="auto"/>
        <w:left w:val="none" w:sz="0" w:space="0" w:color="auto"/>
        <w:bottom w:val="none" w:sz="0" w:space="0" w:color="auto"/>
        <w:right w:val="none" w:sz="0" w:space="0" w:color="auto"/>
      </w:divBdr>
    </w:div>
    <w:div w:id="1064723220">
      <w:bodyDiv w:val="1"/>
      <w:marLeft w:val="0"/>
      <w:marRight w:val="0"/>
      <w:marTop w:val="0"/>
      <w:marBottom w:val="0"/>
      <w:divBdr>
        <w:top w:val="none" w:sz="0" w:space="0" w:color="auto"/>
        <w:left w:val="none" w:sz="0" w:space="0" w:color="auto"/>
        <w:bottom w:val="none" w:sz="0" w:space="0" w:color="auto"/>
        <w:right w:val="none" w:sz="0" w:space="0" w:color="auto"/>
      </w:divBdr>
    </w:div>
    <w:div w:id="1094857045">
      <w:bodyDiv w:val="1"/>
      <w:marLeft w:val="0"/>
      <w:marRight w:val="0"/>
      <w:marTop w:val="0"/>
      <w:marBottom w:val="0"/>
      <w:divBdr>
        <w:top w:val="none" w:sz="0" w:space="0" w:color="auto"/>
        <w:left w:val="none" w:sz="0" w:space="0" w:color="auto"/>
        <w:bottom w:val="none" w:sz="0" w:space="0" w:color="auto"/>
        <w:right w:val="none" w:sz="0" w:space="0" w:color="auto"/>
      </w:divBdr>
    </w:div>
    <w:div w:id="1145128199">
      <w:bodyDiv w:val="1"/>
      <w:marLeft w:val="0"/>
      <w:marRight w:val="0"/>
      <w:marTop w:val="0"/>
      <w:marBottom w:val="0"/>
      <w:divBdr>
        <w:top w:val="none" w:sz="0" w:space="0" w:color="auto"/>
        <w:left w:val="none" w:sz="0" w:space="0" w:color="auto"/>
        <w:bottom w:val="none" w:sz="0" w:space="0" w:color="auto"/>
        <w:right w:val="none" w:sz="0" w:space="0" w:color="auto"/>
      </w:divBdr>
    </w:div>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59842">
      <w:bodyDiv w:val="1"/>
      <w:marLeft w:val="0"/>
      <w:marRight w:val="0"/>
      <w:marTop w:val="0"/>
      <w:marBottom w:val="0"/>
      <w:divBdr>
        <w:top w:val="none" w:sz="0" w:space="0" w:color="auto"/>
        <w:left w:val="none" w:sz="0" w:space="0" w:color="auto"/>
        <w:bottom w:val="none" w:sz="0" w:space="0" w:color="auto"/>
        <w:right w:val="none" w:sz="0" w:space="0" w:color="auto"/>
      </w:divBdr>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1482431190">
      <w:bodyDiv w:val="1"/>
      <w:marLeft w:val="0"/>
      <w:marRight w:val="0"/>
      <w:marTop w:val="0"/>
      <w:marBottom w:val="0"/>
      <w:divBdr>
        <w:top w:val="none" w:sz="0" w:space="0" w:color="auto"/>
        <w:left w:val="none" w:sz="0" w:space="0" w:color="auto"/>
        <w:bottom w:val="none" w:sz="0" w:space="0" w:color="auto"/>
        <w:right w:val="none" w:sz="0" w:space="0" w:color="auto"/>
      </w:divBdr>
    </w:div>
    <w:div w:id="1509982039">
      <w:bodyDiv w:val="1"/>
      <w:marLeft w:val="0"/>
      <w:marRight w:val="0"/>
      <w:marTop w:val="0"/>
      <w:marBottom w:val="0"/>
      <w:divBdr>
        <w:top w:val="none" w:sz="0" w:space="0" w:color="auto"/>
        <w:left w:val="none" w:sz="0" w:space="0" w:color="auto"/>
        <w:bottom w:val="none" w:sz="0" w:space="0" w:color="auto"/>
        <w:right w:val="none" w:sz="0" w:space="0" w:color="auto"/>
      </w:divBdr>
    </w:div>
    <w:div w:id="1600215602">
      <w:bodyDiv w:val="1"/>
      <w:marLeft w:val="0"/>
      <w:marRight w:val="0"/>
      <w:marTop w:val="0"/>
      <w:marBottom w:val="0"/>
      <w:divBdr>
        <w:top w:val="none" w:sz="0" w:space="0" w:color="auto"/>
        <w:left w:val="none" w:sz="0" w:space="0" w:color="auto"/>
        <w:bottom w:val="none" w:sz="0" w:space="0" w:color="auto"/>
        <w:right w:val="none" w:sz="0" w:space="0" w:color="auto"/>
      </w:divBdr>
    </w:div>
    <w:div w:id="1756441484">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082561469">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ihrc.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nihrc.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nih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7" ma:contentTypeDescription="Create a new document." ma:contentTypeScope="" ma:versionID="0bd0b96d39a7edb68c59a4b86a4fb938">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f78ddd02ca569a6086de957103db8ce3"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EC2F3C-918D-4A8F-BE21-200173024B72}">
  <ds:schemaRefs>
    <ds:schemaRef ds:uri="http://schemas.openxmlformats.org/package/2006/metadata/core-properties"/>
    <ds:schemaRef ds:uri="http://purl.org/dc/terms/"/>
    <ds:schemaRef ds:uri="http://schemas.microsoft.com/office/2006/documentManagement/types"/>
    <ds:schemaRef ds:uri="http://www.w3.org/XML/1998/namespace"/>
    <ds:schemaRef ds:uri="806d6863-a85d-4a14-ba5d-ada9e5b222dd"/>
    <ds:schemaRef ds:uri="http://purl.org/dc/elements/1.1/"/>
    <ds:schemaRef ds:uri="http://schemas.microsoft.com/office/infopath/2007/PartnerControls"/>
    <ds:schemaRef ds:uri="12479bdc-b58c-44ab-9f0f-fa5baefb3da2"/>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6D7E8C9-C990-45D5-9CCB-9AEFF30A49CE}">
  <ds:schemaRefs>
    <ds:schemaRef ds:uri="http://schemas.openxmlformats.org/officeDocument/2006/bibliography"/>
  </ds:schemaRefs>
</ds:datastoreItem>
</file>

<file path=customXml/itemProps3.xml><?xml version="1.0" encoding="utf-8"?>
<ds:datastoreItem xmlns:ds="http://schemas.openxmlformats.org/officeDocument/2006/customXml" ds:itemID="{D10245C5-5F22-4208-AD05-79EFD73F8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945F49-9D1A-4456-9EF7-7B5826351C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3662</Words>
  <Characters>20880</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24494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McKeown</dc:creator>
  <cp:keywords/>
  <dc:description/>
  <cp:lastModifiedBy>Lauren Shaw</cp:lastModifiedBy>
  <cp:revision>2</cp:revision>
  <cp:lastPrinted>2023-11-24T11:24:00Z</cp:lastPrinted>
  <dcterms:created xsi:type="dcterms:W3CDTF">2023-12-05T16:06:00Z</dcterms:created>
  <dcterms:modified xsi:type="dcterms:W3CDTF">2023-12-05T16:06:00Z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ies>
</file>