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9A5F" w14:textId="77777777" w:rsidR="00F31387" w:rsidRDefault="00F31387" w:rsidP="0055193F">
      <w:pPr>
        <w:pStyle w:val="BasicParagraph"/>
        <w:suppressAutoHyphens/>
        <w:spacing w:before="24" w:after="24"/>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5698FF1B" wp14:editId="467FA306">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0CF8267A" w14:textId="77777777" w:rsidR="003B7D0E" w:rsidRPr="00EA12CE" w:rsidRDefault="003B7D0E" w:rsidP="0055193F">
      <w:pPr>
        <w:pStyle w:val="BasicParagraph"/>
        <w:suppressAutoHyphens/>
        <w:spacing w:before="24" w:after="24"/>
        <w:jc w:val="center"/>
        <w:rPr>
          <w:rFonts w:ascii="Verdana" w:hAnsi="Verdana" w:cs="Arial"/>
          <w:b/>
          <w:bCs/>
          <w:color w:val="734791"/>
          <w:sz w:val="36"/>
          <w:szCs w:val="36"/>
        </w:rPr>
      </w:pPr>
    </w:p>
    <w:p w14:paraId="26E8C261" w14:textId="77777777" w:rsidR="0096459E" w:rsidRPr="003B7D0E" w:rsidRDefault="001E2B95" w:rsidP="0055193F">
      <w:pPr>
        <w:pStyle w:val="BasicParagraph"/>
        <w:suppressAutoHyphens/>
        <w:spacing w:before="24" w:after="24"/>
        <w:jc w:val="center"/>
        <w:rPr>
          <w:rFonts w:ascii="Verdana" w:hAnsi="Verdana" w:cs="Arial"/>
          <w:b/>
          <w:color w:val="77328A"/>
          <w:sz w:val="36"/>
          <w:szCs w:val="36"/>
        </w:rPr>
      </w:pPr>
      <w:r>
        <w:rPr>
          <w:rFonts w:ascii="Verdana" w:hAnsi="Verdana" w:cs="Arial"/>
          <w:b/>
          <w:bCs/>
          <w:color w:val="77328A"/>
          <w:sz w:val="36"/>
          <w:szCs w:val="36"/>
        </w:rPr>
        <w:t>NIHRC Re</w:t>
      </w:r>
      <w:r w:rsidR="00BF738E">
        <w:rPr>
          <w:rFonts w:ascii="Verdana" w:hAnsi="Verdana" w:cs="Arial"/>
          <w:b/>
          <w:bCs/>
          <w:color w:val="77328A"/>
          <w:sz w:val="36"/>
          <w:szCs w:val="36"/>
        </w:rPr>
        <w:t>sponse to Call for Views:</w:t>
      </w:r>
      <w:r>
        <w:rPr>
          <w:rFonts w:ascii="Verdana" w:hAnsi="Verdana" w:cs="Arial"/>
          <w:b/>
          <w:bCs/>
          <w:color w:val="77328A"/>
          <w:sz w:val="36"/>
          <w:szCs w:val="36"/>
        </w:rPr>
        <w:t xml:space="preserve"> Domesti</w:t>
      </w:r>
      <w:r w:rsidR="00BF738E">
        <w:rPr>
          <w:rFonts w:ascii="Verdana" w:hAnsi="Verdana" w:cs="Arial"/>
          <w:b/>
          <w:bCs/>
          <w:color w:val="77328A"/>
          <w:sz w:val="36"/>
          <w:szCs w:val="36"/>
        </w:rPr>
        <w:t>c Abuse Strategy and Equally Safe</w:t>
      </w:r>
      <w:r>
        <w:rPr>
          <w:rFonts w:ascii="Verdana" w:hAnsi="Verdana" w:cs="Arial"/>
          <w:b/>
          <w:bCs/>
          <w:color w:val="77328A"/>
          <w:sz w:val="36"/>
          <w:szCs w:val="36"/>
        </w:rPr>
        <w:t xml:space="preserve"> Strategy</w:t>
      </w:r>
      <w:r w:rsidR="00BF738E">
        <w:rPr>
          <w:rFonts w:ascii="Verdana" w:hAnsi="Verdana" w:cs="Arial"/>
          <w:b/>
          <w:bCs/>
          <w:color w:val="77328A"/>
          <w:sz w:val="36"/>
          <w:szCs w:val="36"/>
        </w:rPr>
        <w:t xml:space="preserve"> – A Strategy to Tackle Violence against Women and Girls</w:t>
      </w:r>
    </w:p>
    <w:p w14:paraId="4A75D596" w14:textId="77777777" w:rsidR="00F31387" w:rsidRPr="00331C61" w:rsidRDefault="00F31387" w:rsidP="0055193F">
      <w:pPr>
        <w:pStyle w:val="Default"/>
        <w:spacing w:before="24" w:after="24" w:line="288" w:lineRule="auto"/>
        <w:jc w:val="center"/>
        <w:rPr>
          <w:rFonts w:cs="Arial"/>
          <w:color w:val="232120"/>
          <w:sz w:val="36"/>
          <w:szCs w:val="36"/>
        </w:rPr>
      </w:pPr>
    </w:p>
    <w:p w14:paraId="258FA6DF" w14:textId="77777777" w:rsidR="008159E8" w:rsidRPr="00331C61" w:rsidRDefault="007E0719" w:rsidP="0055193F">
      <w:pPr>
        <w:spacing w:before="24" w:after="24" w:line="288" w:lineRule="auto"/>
        <w:jc w:val="center"/>
        <w:rPr>
          <w:rFonts w:ascii="Verdana" w:hAnsi="Verdana" w:cs="Arial"/>
          <w:b/>
          <w:color w:val="232120"/>
          <w:sz w:val="30"/>
          <w:szCs w:val="30"/>
        </w:rPr>
      </w:pPr>
      <w:r>
        <w:rPr>
          <w:rFonts w:ascii="Verdana" w:hAnsi="Verdana" w:cs="Arial"/>
          <w:b/>
          <w:color w:val="232120"/>
          <w:sz w:val="30"/>
          <w:szCs w:val="30"/>
        </w:rPr>
        <w:t>March 2022</w:t>
      </w:r>
    </w:p>
    <w:p w14:paraId="13018884" w14:textId="77777777" w:rsidR="00046705" w:rsidRPr="00331C61" w:rsidRDefault="00046705" w:rsidP="0055193F">
      <w:pPr>
        <w:spacing w:before="24" w:after="24" w:line="288" w:lineRule="auto"/>
        <w:jc w:val="center"/>
        <w:rPr>
          <w:rFonts w:ascii="Verdana" w:hAnsi="Verdana" w:cs="Arial"/>
          <w:b/>
          <w:color w:val="232120"/>
          <w:sz w:val="28"/>
          <w:szCs w:val="28"/>
        </w:rPr>
      </w:pPr>
    </w:p>
    <w:p w14:paraId="3CDED8B7" w14:textId="77777777" w:rsidR="00046705" w:rsidRPr="00331C61" w:rsidRDefault="00046705" w:rsidP="0055193F">
      <w:pPr>
        <w:spacing w:before="24" w:after="24" w:line="288" w:lineRule="auto"/>
        <w:jc w:val="center"/>
        <w:rPr>
          <w:rFonts w:ascii="Verdana" w:hAnsi="Verdana" w:cs="Arial"/>
          <w:b/>
          <w:color w:val="232120"/>
          <w:sz w:val="28"/>
          <w:szCs w:val="28"/>
        </w:rPr>
      </w:pPr>
    </w:p>
    <w:p w14:paraId="4C2CB720" w14:textId="77777777" w:rsidR="00EA12CE" w:rsidRPr="00331C61" w:rsidRDefault="00EA12CE" w:rsidP="0055193F">
      <w:pPr>
        <w:pStyle w:val="Default"/>
        <w:spacing w:before="24" w:after="24" w:line="288" w:lineRule="auto"/>
        <w:jc w:val="center"/>
        <w:rPr>
          <w:rFonts w:cs="Arial"/>
          <w:b/>
          <w:color w:val="232120"/>
          <w:sz w:val="28"/>
          <w:szCs w:val="28"/>
          <w:lang w:val="en-GB"/>
        </w:rPr>
      </w:pPr>
    </w:p>
    <w:p w14:paraId="6A7A2DE0" w14:textId="77777777" w:rsidR="003B7D0E" w:rsidRPr="00331C61" w:rsidRDefault="003B7D0E" w:rsidP="0055193F">
      <w:pPr>
        <w:pStyle w:val="Default"/>
        <w:spacing w:before="24" w:after="24" w:line="480" w:lineRule="auto"/>
        <w:jc w:val="center"/>
        <w:rPr>
          <w:rFonts w:cs="Arial"/>
          <w:b/>
          <w:color w:val="232120"/>
          <w:sz w:val="36"/>
          <w:szCs w:val="36"/>
        </w:rPr>
      </w:pPr>
    </w:p>
    <w:p w14:paraId="6C3ECFC0" w14:textId="77777777" w:rsidR="003B7D0E" w:rsidRDefault="003B7D0E" w:rsidP="0055193F">
      <w:pPr>
        <w:pStyle w:val="Default"/>
        <w:spacing w:before="24" w:after="24" w:line="480" w:lineRule="auto"/>
        <w:jc w:val="center"/>
        <w:rPr>
          <w:rFonts w:cs="Arial"/>
          <w:b/>
          <w:color w:val="232120"/>
          <w:sz w:val="36"/>
          <w:szCs w:val="36"/>
        </w:rPr>
      </w:pPr>
    </w:p>
    <w:p w14:paraId="40B4EFBD" w14:textId="77777777" w:rsidR="007E0719" w:rsidRDefault="007E0719" w:rsidP="0055193F">
      <w:pPr>
        <w:pStyle w:val="Default"/>
        <w:spacing w:before="24" w:after="24" w:line="480" w:lineRule="auto"/>
        <w:jc w:val="center"/>
        <w:rPr>
          <w:rFonts w:cs="Arial"/>
          <w:b/>
          <w:color w:val="232120"/>
          <w:sz w:val="36"/>
          <w:szCs w:val="36"/>
        </w:rPr>
      </w:pPr>
    </w:p>
    <w:p w14:paraId="785DEA37" w14:textId="77777777" w:rsidR="003B7D0E" w:rsidRPr="00331C61" w:rsidRDefault="003B7D0E" w:rsidP="0055193F">
      <w:pPr>
        <w:pStyle w:val="Default"/>
        <w:spacing w:before="24" w:after="24" w:line="480" w:lineRule="auto"/>
        <w:jc w:val="center"/>
        <w:rPr>
          <w:rFonts w:cs="Arial"/>
          <w:b/>
          <w:color w:val="232120"/>
          <w:sz w:val="36"/>
          <w:szCs w:val="36"/>
        </w:rPr>
      </w:pPr>
    </w:p>
    <w:p w14:paraId="45EF47E6" w14:textId="77777777" w:rsidR="00245E58" w:rsidRPr="00245E58" w:rsidRDefault="00EA12CE" w:rsidP="0055193F">
      <w:pPr>
        <w:pStyle w:val="TOCHeading"/>
        <w:spacing w:before="24" w:after="24"/>
        <w:rPr>
          <w:rFonts w:ascii="Verdana" w:hAnsi="Verdana" w:cs="Arial"/>
          <w:b/>
          <w:color w:val="77328A"/>
          <w:sz w:val="36"/>
          <w:szCs w:val="36"/>
        </w:rPr>
      </w:pPr>
      <w:r w:rsidRPr="00245E58">
        <w:rPr>
          <w:rFonts w:ascii="Verdana" w:hAnsi="Verdana" w:cs="Arial"/>
          <w:b/>
          <w:color w:val="77328A"/>
          <w:sz w:val="36"/>
          <w:szCs w:val="36"/>
        </w:rPr>
        <w:lastRenderedPageBreak/>
        <w:t>Table of Contents</w:t>
      </w:r>
    </w:p>
    <w:sdt>
      <w:sdtPr>
        <w:rPr>
          <w:rFonts w:asciiTheme="minorHAnsi" w:hAnsiTheme="minorHAnsi" w:cstheme="minorBidi"/>
          <w:color w:val="auto"/>
          <w:lang w:val="en-GB"/>
        </w:rPr>
        <w:id w:val="987133359"/>
        <w:docPartObj>
          <w:docPartGallery w:val="Table of Contents"/>
          <w:docPartUnique/>
        </w:docPartObj>
      </w:sdtPr>
      <w:sdtEndPr>
        <w:rPr>
          <w:b/>
          <w:bCs/>
          <w:noProof/>
        </w:rPr>
      </w:sdtEndPr>
      <w:sdtContent>
        <w:p w14:paraId="07A62F94" w14:textId="77777777" w:rsidR="0075528F" w:rsidRPr="00580048" w:rsidRDefault="0075528F" w:rsidP="0055193F">
          <w:pPr>
            <w:pStyle w:val="Default"/>
            <w:spacing w:before="24" w:after="24" w:line="480" w:lineRule="auto"/>
          </w:pPr>
        </w:p>
        <w:p w14:paraId="0D7BFF42" w14:textId="0A7368BB" w:rsidR="00580048" w:rsidRPr="00580048" w:rsidRDefault="0075528F">
          <w:pPr>
            <w:pStyle w:val="TOC1"/>
            <w:rPr>
              <w:b w:val="0"/>
              <w:sz w:val="22"/>
              <w:szCs w:val="22"/>
              <w:lang w:eastAsia="en-GB"/>
            </w:rPr>
          </w:pPr>
          <w:r w:rsidRPr="00580048">
            <w:fldChar w:fldCharType="begin"/>
          </w:r>
          <w:r w:rsidRPr="00580048">
            <w:instrText xml:space="preserve"> TOC \o "1-3" \h \z \u </w:instrText>
          </w:r>
          <w:r w:rsidRPr="00580048">
            <w:fldChar w:fldCharType="separate"/>
          </w:r>
          <w:hyperlink w:anchor="_Toc96700063" w:history="1">
            <w:r w:rsidR="00580048" w:rsidRPr="00580048">
              <w:rPr>
                <w:rStyle w:val="Hyperlink"/>
              </w:rPr>
              <w:t>Summary of Recommendations</w:t>
            </w:r>
            <w:r w:rsidR="00580048" w:rsidRPr="00580048">
              <w:rPr>
                <w:webHidden/>
              </w:rPr>
              <w:tab/>
            </w:r>
            <w:r w:rsidR="00580048" w:rsidRPr="00580048">
              <w:rPr>
                <w:webHidden/>
              </w:rPr>
              <w:fldChar w:fldCharType="begin"/>
            </w:r>
            <w:r w:rsidR="00580048" w:rsidRPr="00580048">
              <w:rPr>
                <w:webHidden/>
              </w:rPr>
              <w:instrText xml:space="preserve"> PAGEREF _Toc96700063 \h </w:instrText>
            </w:r>
            <w:r w:rsidR="00580048" w:rsidRPr="00580048">
              <w:rPr>
                <w:webHidden/>
              </w:rPr>
            </w:r>
            <w:r w:rsidR="00580048" w:rsidRPr="00580048">
              <w:rPr>
                <w:webHidden/>
              </w:rPr>
              <w:fldChar w:fldCharType="separate"/>
            </w:r>
            <w:r w:rsidR="004A4A1D">
              <w:rPr>
                <w:webHidden/>
              </w:rPr>
              <w:t>3</w:t>
            </w:r>
            <w:r w:rsidR="00580048" w:rsidRPr="00580048">
              <w:rPr>
                <w:webHidden/>
              </w:rPr>
              <w:fldChar w:fldCharType="end"/>
            </w:r>
          </w:hyperlink>
        </w:p>
        <w:p w14:paraId="68FC4D2F" w14:textId="2E441C7D" w:rsidR="00580048" w:rsidRPr="00580048" w:rsidRDefault="008275D0">
          <w:pPr>
            <w:pStyle w:val="TOC1"/>
            <w:rPr>
              <w:b w:val="0"/>
              <w:sz w:val="22"/>
              <w:szCs w:val="22"/>
              <w:lang w:eastAsia="en-GB"/>
            </w:rPr>
          </w:pPr>
          <w:hyperlink w:anchor="_Toc96700064" w:history="1">
            <w:r w:rsidR="00580048" w:rsidRPr="00580048">
              <w:rPr>
                <w:rStyle w:val="Hyperlink"/>
              </w:rPr>
              <w:t>1.0</w:t>
            </w:r>
            <w:r w:rsidR="00580048" w:rsidRPr="00580048">
              <w:rPr>
                <w:b w:val="0"/>
                <w:sz w:val="22"/>
                <w:szCs w:val="22"/>
                <w:lang w:eastAsia="en-GB"/>
              </w:rPr>
              <w:tab/>
            </w:r>
            <w:r w:rsidR="00580048" w:rsidRPr="00580048">
              <w:rPr>
                <w:rStyle w:val="Hyperlink"/>
              </w:rPr>
              <w:t>Introduction</w:t>
            </w:r>
            <w:r w:rsidR="00580048" w:rsidRPr="00580048">
              <w:rPr>
                <w:webHidden/>
              </w:rPr>
              <w:tab/>
            </w:r>
            <w:r w:rsidR="00580048" w:rsidRPr="00580048">
              <w:rPr>
                <w:webHidden/>
              </w:rPr>
              <w:fldChar w:fldCharType="begin"/>
            </w:r>
            <w:r w:rsidR="00580048" w:rsidRPr="00580048">
              <w:rPr>
                <w:webHidden/>
              </w:rPr>
              <w:instrText xml:space="preserve"> PAGEREF _Toc96700064 \h </w:instrText>
            </w:r>
            <w:r w:rsidR="00580048" w:rsidRPr="00580048">
              <w:rPr>
                <w:webHidden/>
              </w:rPr>
            </w:r>
            <w:r w:rsidR="00580048" w:rsidRPr="00580048">
              <w:rPr>
                <w:webHidden/>
              </w:rPr>
              <w:fldChar w:fldCharType="separate"/>
            </w:r>
            <w:r w:rsidR="004A4A1D">
              <w:rPr>
                <w:webHidden/>
              </w:rPr>
              <w:t>4</w:t>
            </w:r>
            <w:r w:rsidR="00580048" w:rsidRPr="00580048">
              <w:rPr>
                <w:webHidden/>
              </w:rPr>
              <w:fldChar w:fldCharType="end"/>
            </w:r>
          </w:hyperlink>
        </w:p>
        <w:p w14:paraId="3229E57B" w14:textId="25F8E43E" w:rsidR="00580048" w:rsidRPr="00580048" w:rsidRDefault="008275D0">
          <w:pPr>
            <w:pStyle w:val="TOC1"/>
            <w:rPr>
              <w:b w:val="0"/>
              <w:sz w:val="22"/>
              <w:szCs w:val="22"/>
              <w:lang w:eastAsia="en-GB"/>
            </w:rPr>
          </w:pPr>
          <w:hyperlink w:anchor="_Toc96700065" w:history="1">
            <w:r w:rsidR="00580048" w:rsidRPr="00580048">
              <w:rPr>
                <w:rStyle w:val="Hyperlink"/>
              </w:rPr>
              <w:t>2.0</w:t>
            </w:r>
            <w:r w:rsidR="00580048" w:rsidRPr="00580048">
              <w:rPr>
                <w:b w:val="0"/>
                <w:sz w:val="22"/>
                <w:szCs w:val="22"/>
                <w:lang w:eastAsia="en-GB"/>
              </w:rPr>
              <w:tab/>
            </w:r>
            <w:r w:rsidR="00580048" w:rsidRPr="00580048">
              <w:rPr>
                <w:rStyle w:val="Hyperlink"/>
              </w:rPr>
              <w:t>Human Rights Standards</w:t>
            </w:r>
            <w:r w:rsidR="00580048" w:rsidRPr="00580048">
              <w:rPr>
                <w:webHidden/>
              </w:rPr>
              <w:tab/>
            </w:r>
            <w:r w:rsidR="00580048" w:rsidRPr="00580048">
              <w:rPr>
                <w:webHidden/>
              </w:rPr>
              <w:fldChar w:fldCharType="begin"/>
            </w:r>
            <w:r w:rsidR="00580048" w:rsidRPr="00580048">
              <w:rPr>
                <w:webHidden/>
              </w:rPr>
              <w:instrText xml:space="preserve"> PAGEREF _Toc96700065 \h </w:instrText>
            </w:r>
            <w:r w:rsidR="00580048" w:rsidRPr="00580048">
              <w:rPr>
                <w:webHidden/>
              </w:rPr>
            </w:r>
            <w:r w:rsidR="00580048" w:rsidRPr="00580048">
              <w:rPr>
                <w:webHidden/>
              </w:rPr>
              <w:fldChar w:fldCharType="separate"/>
            </w:r>
            <w:r w:rsidR="004A4A1D">
              <w:rPr>
                <w:webHidden/>
              </w:rPr>
              <w:t>5</w:t>
            </w:r>
            <w:r w:rsidR="00580048" w:rsidRPr="00580048">
              <w:rPr>
                <w:webHidden/>
              </w:rPr>
              <w:fldChar w:fldCharType="end"/>
            </w:r>
          </w:hyperlink>
        </w:p>
        <w:p w14:paraId="0C557E9F" w14:textId="65E4147C" w:rsidR="00580048" w:rsidRPr="00580048" w:rsidRDefault="008275D0">
          <w:pPr>
            <w:pStyle w:val="TOC2"/>
            <w:tabs>
              <w:tab w:val="right" w:leader="dot" w:pos="9848"/>
            </w:tabs>
            <w:rPr>
              <w:rFonts w:ascii="Verdana" w:hAnsi="Verdana"/>
              <w:noProof/>
              <w:sz w:val="22"/>
              <w:szCs w:val="22"/>
              <w:lang w:eastAsia="en-GB"/>
            </w:rPr>
          </w:pPr>
          <w:hyperlink w:anchor="_Toc96700066" w:history="1">
            <w:r w:rsidR="00580048" w:rsidRPr="00580048">
              <w:rPr>
                <w:rStyle w:val="Hyperlink"/>
                <w:rFonts w:ascii="Verdana" w:hAnsi="Verdana"/>
                <w:noProof/>
              </w:rPr>
              <w:t>European Convention on Human Rights</w:t>
            </w:r>
            <w:r w:rsidR="00580048" w:rsidRPr="00580048">
              <w:rPr>
                <w:rFonts w:ascii="Verdana" w:hAnsi="Verdana"/>
                <w:noProof/>
                <w:webHidden/>
              </w:rPr>
              <w:tab/>
            </w:r>
            <w:r w:rsidR="00580048" w:rsidRPr="00580048">
              <w:rPr>
                <w:rFonts w:ascii="Verdana" w:hAnsi="Verdana"/>
                <w:noProof/>
                <w:webHidden/>
              </w:rPr>
              <w:fldChar w:fldCharType="begin"/>
            </w:r>
            <w:r w:rsidR="00580048" w:rsidRPr="00580048">
              <w:rPr>
                <w:rFonts w:ascii="Verdana" w:hAnsi="Verdana"/>
                <w:noProof/>
                <w:webHidden/>
              </w:rPr>
              <w:instrText xml:space="preserve"> PAGEREF _Toc96700066 \h </w:instrText>
            </w:r>
            <w:r w:rsidR="00580048" w:rsidRPr="00580048">
              <w:rPr>
                <w:rFonts w:ascii="Verdana" w:hAnsi="Verdana"/>
                <w:noProof/>
                <w:webHidden/>
              </w:rPr>
            </w:r>
            <w:r w:rsidR="00580048" w:rsidRPr="00580048">
              <w:rPr>
                <w:rFonts w:ascii="Verdana" w:hAnsi="Verdana"/>
                <w:noProof/>
                <w:webHidden/>
              </w:rPr>
              <w:fldChar w:fldCharType="separate"/>
            </w:r>
            <w:r w:rsidR="004A4A1D">
              <w:rPr>
                <w:rFonts w:ascii="Verdana" w:hAnsi="Verdana"/>
                <w:noProof/>
                <w:webHidden/>
              </w:rPr>
              <w:t>6</w:t>
            </w:r>
            <w:r w:rsidR="00580048" w:rsidRPr="00580048">
              <w:rPr>
                <w:rFonts w:ascii="Verdana" w:hAnsi="Verdana"/>
                <w:noProof/>
                <w:webHidden/>
              </w:rPr>
              <w:fldChar w:fldCharType="end"/>
            </w:r>
          </w:hyperlink>
        </w:p>
        <w:p w14:paraId="46E7528F" w14:textId="714C4309" w:rsidR="00580048" w:rsidRPr="00580048" w:rsidRDefault="008275D0">
          <w:pPr>
            <w:pStyle w:val="TOC2"/>
            <w:tabs>
              <w:tab w:val="right" w:leader="dot" w:pos="9848"/>
            </w:tabs>
            <w:rPr>
              <w:rFonts w:ascii="Verdana" w:hAnsi="Verdana"/>
              <w:noProof/>
              <w:sz w:val="22"/>
              <w:szCs w:val="22"/>
              <w:lang w:eastAsia="en-GB"/>
            </w:rPr>
          </w:pPr>
          <w:hyperlink w:anchor="_Toc96700067" w:history="1">
            <w:r w:rsidR="00580048" w:rsidRPr="00580048">
              <w:rPr>
                <w:rStyle w:val="Hyperlink"/>
                <w:rFonts w:ascii="Verdana" w:hAnsi="Verdana"/>
                <w:noProof/>
              </w:rPr>
              <w:t xml:space="preserve">International Human Rights Standards </w:t>
            </w:r>
            <w:r w:rsidR="00580048" w:rsidRPr="00580048">
              <w:rPr>
                <w:rFonts w:ascii="Verdana" w:hAnsi="Verdana"/>
                <w:noProof/>
                <w:webHidden/>
              </w:rPr>
              <w:tab/>
            </w:r>
            <w:r w:rsidR="00580048" w:rsidRPr="00580048">
              <w:rPr>
                <w:rFonts w:ascii="Verdana" w:hAnsi="Verdana"/>
                <w:noProof/>
                <w:webHidden/>
              </w:rPr>
              <w:fldChar w:fldCharType="begin"/>
            </w:r>
            <w:r w:rsidR="00580048" w:rsidRPr="00580048">
              <w:rPr>
                <w:rFonts w:ascii="Verdana" w:hAnsi="Verdana"/>
                <w:noProof/>
                <w:webHidden/>
              </w:rPr>
              <w:instrText xml:space="preserve"> PAGEREF _Toc96700067 \h </w:instrText>
            </w:r>
            <w:r w:rsidR="00580048" w:rsidRPr="00580048">
              <w:rPr>
                <w:rFonts w:ascii="Verdana" w:hAnsi="Verdana"/>
                <w:noProof/>
                <w:webHidden/>
              </w:rPr>
            </w:r>
            <w:r w:rsidR="00580048" w:rsidRPr="00580048">
              <w:rPr>
                <w:rFonts w:ascii="Verdana" w:hAnsi="Verdana"/>
                <w:noProof/>
                <w:webHidden/>
              </w:rPr>
              <w:fldChar w:fldCharType="separate"/>
            </w:r>
            <w:r w:rsidR="004A4A1D">
              <w:rPr>
                <w:rFonts w:ascii="Verdana" w:hAnsi="Verdana"/>
                <w:noProof/>
                <w:webHidden/>
              </w:rPr>
              <w:t>7</w:t>
            </w:r>
            <w:r w:rsidR="00580048" w:rsidRPr="00580048">
              <w:rPr>
                <w:rFonts w:ascii="Verdana" w:hAnsi="Verdana"/>
                <w:noProof/>
                <w:webHidden/>
              </w:rPr>
              <w:fldChar w:fldCharType="end"/>
            </w:r>
          </w:hyperlink>
        </w:p>
        <w:p w14:paraId="335705A7" w14:textId="4EDA6F9A" w:rsidR="00580048" w:rsidRPr="00580048" w:rsidRDefault="008275D0">
          <w:pPr>
            <w:pStyle w:val="TOC2"/>
            <w:tabs>
              <w:tab w:val="right" w:leader="dot" w:pos="9848"/>
            </w:tabs>
            <w:rPr>
              <w:rFonts w:ascii="Verdana" w:hAnsi="Verdana"/>
              <w:noProof/>
              <w:sz w:val="22"/>
              <w:szCs w:val="22"/>
              <w:lang w:eastAsia="en-GB"/>
            </w:rPr>
          </w:pPr>
          <w:hyperlink w:anchor="_Toc96700068" w:history="1">
            <w:r w:rsidR="00580048" w:rsidRPr="00580048">
              <w:rPr>
                <w:rStyle w:val="Hyperlink"/>
                <w:rFonts w:ascii="Verdana" w:hAnsi="Verdana"/>
                <w:noProof/>
              </w:rPr>
              <w:t>Istanbul Convention</w:t>
            </w:r>
            <w:r w:rsidR="00580048" w:rsidRPr="00580048">
              <w:rPr>
                <w:rFonts w:ascii="Verdana" w:hAnsi="Verdana"/>
                <w:noProof/>
                <w:webHidden/>
              </w:rPr>
              <w:tab/>
            </w:r>
            <w:r w:rsidR="00580048" w:rsidRPr="00580048">
              <w:rPr>
                <w:rFonts w:ascii="Verdana" w:hAnsi="Verdana"/>
                <w:noProof/>
                <w:webHidden/>
              </w:rPr>
              <w:fldChar w:fldCharType="begin"/>
            </w:r>
            <w:r w:rsidR="00580048" w:rsidRPr="00580048">
              <w:rPr>
                <w:rFonts w:ascii="Verdana" w:hAnsi="Verdana"/>
                <w:noProof/>
                <w:webHidden/>
              </w:rPr>
              <w:instrText xml:space="preserve"> PAGEREF _Toc96700068 \h </w:instrText>
            </w:r>
            <w:r w:rsidR="00580048" w:rsidRPr="00580048">
              <w:rPr>
                <w:rFonts w:ascii="Verdana" w:hAnsi="Verdana"/>
                <w:noProof/>
                <w:webHidden/>
              </w:rPr>
            </w:r>
            <w:r w:rsidR="00580048" w:rsidRPr="00580048">
              <w:rPr>
                <w:rFonts w:ascii="Verdana" w:hAnsi="Verdana"/>
                <w:noProof/>
                <w:webHidden/>
              </w:rPr>
              <w:fldChar w:fldCharType="separate"/>
            </w:r>
            <w:r w:rsidR="004A4A1D">
              <w:rPr>
                <w:rFonts w:ascii="Verdana" w:hAnsi="Verdana"/>
                <w:noProof/>
                <w:webHidden/>
              </w:rPr>
              <w:t>8</w:t>
            </w:r>
            <w:r w:rsidR="00580048" w:rsidRPr="00580048">
              <w:rPr>
                <w:rFonts w:ascii="Verdana" w:hAnsi="Verdana"/>
                <w:noProof/>
                <w:webHidden/>
              </w:rPr>
              <w:fldChar w:fldCharType="end"/>
            </w:r>
          </w:hyperlink>
        </w:p>
        <w:p w14:paraId="2C809902" w14:textId="4B27CD33" w:rsidR="00580048" w:rsidRPr="00580048" w:rsidRDefault="008275D0">
          <w:pPr>
            <w:pStyle w:val="TOC2"/>
            <w:tabs>
              <w:tab w:val="right" w:leader="dot" w:pos="9848"/>
            </w:tabs>
            <w:rPr>
              <w:rFonts w:ascii="Verdana" w:hAnsi="Verdana"/>
              <w:noProof/>
              <w:sz w:val="22"/>
              <w:szCs w:val="22"/>
              <w:lang w:eastAsia="en-GB"/>
            </w:rPr>
          </w:pPr>
          <w:hyperlink w:anchor="_Toc96700069" w:history="1">
            <w:r w:rsidR="00580048" w:rsidRPr="00580048">
              <w:rPr>
                <w:rStyle w:val="Hyperlink"/>
                <w:rFonts w:ascii="Verdana" w:hAnsi="Verdana"/>
                <w:noProof/>
              </w:rPr>
              <w:t>Protocol Article 2 and the Victims’ Directive</w:t>
            </w:r>
            <w:r w:rsidR="00580048" w:rsidRPr="00580048">
              <w:rPr>
                <w:rFonts w:ascii="Verdana" w:hAnsi="Verdana"/>
                <w:noProof/>
                <w:webHidden/>
              </w:rPr>
              <w:tab/>
            </w:r>
            <w:r w:rsidR="00580048" w:rsidRPr="00580048">
              <w:rPr>
                <w:rFonts w:ascii="Verdana" w:hAnsi="Verdana"/>
                <w:noProof/>
                <w:webHidden/>
              </w:rPr>
              <w:fldChar w:fldCharType="begin"/>
            </w:r>
            <w:r w:rsidR="00580048" w:rsidRPr="00580048">
              <w:rPr>
                <w:rFonts w:ascii="Verdana" w:hAnsi="Verdana"/>
                <w:noProof/>
                <w:webHidden/>
              </w:rPr>
              <w:instrText xml:space="preserve"> PAGEREF _Toc96700069 \h </w:instrText>
            </w:r>
            <w:r w:rsidR="00580048" w:rsidRPr="00580048">
              <w:rPr>
                <w:rFonts w:ascii="Verdana" w:hAnsi="Verdana"/>
                <w:noProof/>
                <w:webHidden/>
              </w:rPr>
            </w:r>
            <w:r w:rsidR="00580048" w:rsidRPr="00580048">
              <w:rPr>
                <w:rFonts w:ascii="Verdana" w:hAnsi="Verdana"/>
                <w:noProof/>
                <w:webHidden/>
              </w:rPr>
              <w:fldChar w:fldCharType="separate"/>
            </w:r>
            <w:r w:rsidR="004A4A1D">
              <w:rPr>
                <w:rFonts w:ascii="Verdana" w:hAnsi="Verdana"/>
                <w:noProof/>
                <w:webHidden/>
              </w:rPr>
              <w:t>9</w:t>
            </w:r>
            <w:r w:rsidR="00580048" w:rsidRPr="00580048">
              <w:rPr>
                <w:rFonts w:ascii="Verdana" w:hAnsi="Verdana"/>
                <w:noProof/>
                <w:webHidden/>
              </w:rPr>
              <w:fldChar w:fldCharType="end"/>
            </w:r>
          </w:hyperlink>
        </w:p>
        <w:p w14:paraId="5C7AA430" w14:textId="545AFD00" w:rsidR="00580048" w:rsidRPr="00580048" w:rsidRDefault="008275D0">
          <w:pPr>
            <w:pStyle w:val="TOC1"/>
            <w:rPr>
              <w:b w:val="0"/>
              <w:sz w:val="22"/>
              <w:szCs w:val="22"/>
              <w:lang w:eastAsia="en-GB"/>
            </w:rPr>
          </w:pPr>
          <w:hyperlink w:anchor="_Toc96700070" w:history="1">
            <w:r w:rsidR="00580048" w:rsidRPr="00580048">
              <w:rPr>
                <w:rStyle w:val="Hyperlink"/>
              </w:rPr>
              <w:t>3.0</w:t>
            </w:r>
            <w:r w:rsidR="00580048" w:rsidRPr="00580048">
              <w:rPr>
                <w:b w:val="0"/>
                <w:sz w:val="22"/>
                <w:szCs w:val="22"/>
                <w:lang w:eastAsia="en-GB"/>
              </w:rPr>
              <w:tab/>
            </w:r>
            <w:r w:rsidR="00580048" w:rsidRPr="00580048">
              <w:rPr>
                <w:rStyle w:val="Hyperlink"/>
              </w:rPr>
              <w:t>General comments on the development of the strategies</w:t>
            </w:r>
            <w:r w:rsidR="00580048" w:rsidRPr="00580048">
              <w:rPr>
                <w:webHidden/>
              </w:rPr>
              <w:tab/>
            </w:r>
            <w:r w:rsidR="00580048" w:rsidRPr="00580048">
              <w:rPr>
                <w:webHidden/>
              </w:rPr>
              <w:fldChar w:fldCharType="begin"/>
            </w:r>
            <w:r w:rsidR="00580048" w:rsidRPr="00580048">
              <w:rPr>
                <w:webHidden/>
              </w:rPr>
              <w:instrText xml:space="preserve"> PAGEREF _Toc96700070 \h </w:instrText>
            </w:r>
            <w:r w:rsidR="00580048" w:rsidRPr="00580048">
              <w:rPr>
                <w:webHidden/>
              </w:rPr>
            </w:r>
            <w:r w:rsidR="00580048" w:rsidRPr="00580048">
              <w:rPr>
                <w:webHidden/>
              </w:rPr>
              <w:fldChar w:fldCharType="separate"/>
            </w:r>
            <w:r w:rsidR="004A4A1D">
              <w:rPr>
                <w:webHidden/>
              </w:rPr>
              <w:t>11</w:t>
            </w:r>
            <w:r w:rsidR="00580048" w:rsidRPr="00580048">
              <w:rPr>
                <w:webHidden/>
              </w:rPr>
              <w:fldChar w:fldCharType="end"/>
            </w:r>
          </w:hyperlink>
        </w:p>
        <w:p w14:paraId="67F9A3B2" w14:textId="7DE86D8E" w:rsidR="0075528F" w:rsidRDefault="0075528F" w:rsidP="0055193F">
          <w:pPr>
            <w:spacing w:before="24" w:after="24"/>
          </w:pPr>
          <w:r w:rsidRPr="00580048">
            <w:rPr>
              <w:rFonts w:ascii="Verdana" w:hAnsi="Verdana"/>
              <w:b/>
              <w:bCs/>
              <w:noProof/>
            </w:rPr>
            <w:fldChar w:fldCharType="end"/>
          </w:r>
        </w:p>
      </w:sdtContent>
    </w:sdt>
    <w:p w14:paraId="6F09D0D5" w14:textId="77777777" w:rsidR="001E79A9" w:rsidRPr="00331C61" w:rsidRDefault="001E79A9" w:rsidP="0055193F">
      <w:pPr>
        <w:pStyle w:val="Default"/>
        <w:spacing w:before="24" w:after="24" w:line="288" w:lineRule="auto"/>
        <w:rPr>
          <w:rFonts w:cs="Arial"/>
          <w:b/>
          <w:color w:val="232120"/>
        </w:rPr>
      </w:pPr>
    </w:p>
    <w:p w14:paraId="669D6E2B" w14:textId="77777777" w:rsidR="00EA12CE" w:rsidRPr="00331C61" w:rsidRDefault="00EA12CE" w:rsidP="0055193F">
      <w:pPr>
        <w:pStyle w:val="Default"/>
        <w:spacing w:before="24" w:after="24" w:line="288" w:lineRule="auto"/>
        <w:rPr>
          <w:rFonts w:cs="Arial"/>
          <w:b/>
          <w:color w:val="232120"/>
        </w:rPr>
      </w:pPr>
    </w:p>
    <w:p w14:paraId="40984BF3" w14:textId="77777777" w:rsidR="00EA12CE" w:rsidRPr="00331C61" w:rsidRDefault="00EA12CE" w:rsidP="0055193F">
      <w:pPr>
        <w:pStyle w:val="Default"/>
        <w:spacing w:before="24" w:after="24" w:line="288" w:lineRule="auto"/>
        <w:rPr>
          <w:rFonts w:cs="Arial"/>
          <w:b/>
          <w:color w:val="232120"/>
        </w:rPr>
      </w:pPr>
    </w:p>
    <w:p w14:paraId="2DA68B6F" w14:textId="77777777" w:rsidR="00EA12CE" w:rsidRPr="00331C61" w:rsidRDefault="00EA12CE" w:rsidP="0055193F">
      <w:pPr>
        <w:pStyle w:val="Default"/>
        <w:spacing w:before="24" w:after="24" w:line="288" w:lineRule="auto"/>
        <w:rPr>
          <w:rFonts w:cs="Arial"/>
          <w:b/>
          <w:color w:val="232120"/>
        </w:rPr>
      </w:pPr>
    </w:p>
    <w:p w14:paraId="693FF937" w14:textId="77777777" w:rsidR="00EA12CE" w:rsidRPr="00331C61" w:rsidRDefault="00EA12CE" w:rsidP="0055193F">
      <w:pPr>
        <w:pStyle w:val="Default"/>
        <w:spacing w:before="24" w:after="24" w:line="288" w:lineRule="auto"/>
        <w:rPr>
          <w:rFonts w:cs="Arial"/>
          <w:b/>
          <w:color w:val="232120"/>
        </w:rPr>
      </w:pPr>
    </w:p>
    <w:p w14:paraId="56488F4B" w14:textId="77777777" w:rsidR="00EA12CE" w:rsidRPr="00331C61" w:rsidRDefault="00EA12CE" w:rsidP="0055193F">
      <w:pPr>
        <w:pStyle w:val="Default"/>
        <w:spacing w:before="24" w:after="24" w:line="288" w:lineRule="auto"/>
        <w:rPr>
          <w:rFonts w:cs="Arial"/>
          <w:b/>
          <w:color w:val="232120"/>
        </w:rPr>
      </w:pPr>
    </w:p>
    <w:p w14:paraId="38AE01B2" w14:textId="77777777" w:rsidR="00EA12CE" w:rsidRPr="00331C61" w:rsidRDefault="00EA12CE" w:rsidP="0055193F">
      <w:pPr>
        <w:pStyle w:val="Default"/>
        <w:spacing w:before="24" w:after="24" w:line="288" w:lineRule="auto"/>
        <w:rPr>
          <w:rFonts w:cs="Arial"/>
          <w:b/>
          <w:color w:val="232120"/>
        </w:rPr>
      </w:pPr>
    </w:p>
    <w:p w14:paraId="0683CE27" w14:textId="77777777" w:rsidR="00EA12CE" w:rsidRPr="00331C61" w:rsidRDefault="00EA12CE" w:rsidP="0055193F">
      <w:pPr>
        <w:pStyle w:val="Default"/>
        <w:spacing w:before="24" w:after="24" w:line="288" w:lineRule="auto"/>
        <w:rPr>
          <w:rFonts w:cs="Arial"/>
          <w:b/>
          <w:color w:val="232120"/>
        </w:rPr>
      </w:pPr>
    </w:p>
    <w:p w14:paraId="09886266" w14:textId="77777777" w:rsidR="00EA12CE" w:rsidRPr="00331C61" w:rsidRDefault="00EA12CE" w:rsidP="0055193F">
      <w:pPr>
        <w:pStyle w:val="Default"/>
        <w:spacing w:before="24" w:after="24" w:line="288" w:lineRule="auto"/>
        <w:rPr>
          <w:rFonts w:cs="Arial"/>
          <w:b/>
          <w:color w:val="232120"/>
        </w:rPr>
      </w:pPr>
    </w:p>
    <w:p w14:paraId="50338752" w14:textId="77777777" w:rsidR="00EA12CE" w:rsidRPr="00331C61" w:rsidRDefault="00EA12CE" w:rsidP="0055193F">
      <w:pPr>
        <w:pStyle w:val="Default"/>
        <w:spacing w:before="24" w:after="24" w:line="288" w:lineRule="auto"/>
        <w:rPr>
          <w:rFonts w:cs="Arial"/>
          <w:b/>
          <w:color w:val="232120"/>
        </w:rPr>
      </w:pPr>
    </w:p>
    <w:p w14:paraId="63DB2B54" w14:textId="77777777" w:rsidR="00EA12CE" w:rsidRPr="00331C61" w:rsidRDefault="00EA12CE" w:rsidP="0055193F">
      <w:pPr>
        <w:pStyle w:val="Default"/>
        <w:spacing w:before="24" w:after="24" w:line="288" w:lineRule="auto"/>
        <w:rPr>
          <w:rFonts w:cs="Arial"/>
          <w:b/>
          <w:color w:val="232120"/>
        </w:rPr>
      </w:pPr>
    </w:p>
    <w:p w14:paraId="6A1A2DD9" w14:textId="77777777" w:rsidR="00EA12CE" w:rsidRPr="00331C61" w:rsidRDefault="00EA12CE" w:rsidP="0055193F">
      <w:pPr>
        <w:pStyle w:val="Default"/>
        <w:spacing w:before="24" w:after="24" w:line="288" w:lineRule="auto"/>
        <w:rPr>
          <w:rFonts w:cs="Arial"/>
          <w:b/>
          <w:color w:val="232120"/>
        </w:rPr>
      </w:pPr>
    </w:p>
    <w:p w14:paraId="095DD319" w14:textId="77777777" w:rsidR="00EA12CE" w:rsidRPr="00331C61" w:rsidRDefault="00EA12CE" w:rsidP="0055193F">
      <w:pPr>
        <w:pStyle w:val="Default"/>
        <w:spacing w:before="24" w:after="24" w:line="288" w:lineRule="auto"/>
        <w:rPr>
          <w:rFonts w:cs="Arial"/>
          <w:b/>
          <w:color w:val="232120"/>
        </w:rPr>
      </w:pPr>
    </w:p>
    <w:p w14:paraId="6F7823D2" w14:textId="77777777" w:rsidR="00EA12CE" w:rsidRPr="00331C61" w:rsidRDefault="00EA12CE" w:rsidP="0055193F">
      <w:pPr>
        <w:pStyle w:val="Default"/>
        <w:spacing w:before="24" w:after="24" w:line="288" w:lineRule="auto"/>
        <w:rPr>
          <w:rFonts w:cs="Arial"/>
          <w:b/>
          <w:color w:val="232120"/>
        </w:rPr>
      </w:pPr>
    </w:p>
    <w:p w14:paraId="6F0322E7" w14:textId="77777777" w:rsidR="00EA12CE" w:rsidRPr="00331C61" w:rsidRDefault="00EA12CE" w:rsidP="0055193F">
      <w:pPr>
        <w:pStyle w:val="Default"/>
        <w:spacing w:before="24" w:after="24" w:line="288" w:lineRule="auto"/>
        <w:rPr>
          <w:rFonts w:cs="Arial"/>
          <w:b/>
          <w:color w:val="232120"/>
        </w:rPr>
      </w:pPr>
    </w:p>
    <w:p w14:paraId="665EDC3F" w14:textId="77777777" w:rsidR="00EA12CE" w:rsidRPr="00331C61" w:rsidRDefault="00EA12CE" w:rsidP="0055193F">
      <w:pPr>
        <w:pStyle w:val="Default"/>
        <w:spacing w:before="24" w:after="24" w:line="288" w:lineRule="auto"/>
        <w:rPr>
          <w:rFonts w:cs="Arial"/>
          <w:b/>
          <w:color w:val="232120"/>
        </w:rPr>
      </w:pPr>
    </w:p>
    <w:p w14:paraId="60343F1E" w14:textId="77777777" w:rsidR="00EA12CE" w:rsidRPr="00331C61" w:rsidRDefault="00EA12CE" w:rsidP="0055193F">
      <w:pPr>
        <w:pStyle w:val="Default"/>
        <w:spacing w:before="24" w:after="24" w:line="288" w:lineRule="auto"/>
        <w:rPr>
          <w:rFonts w:cs="Arial"/>
          <w:b/>
          <w:color w:val="232120"/>
        </w:rPr>
      </w:pPr>
    </w:p>
    <w:p w14:paraId="4F6640C2" w14:textId="77777777" w:rsidR="003B7D0E" w:rsidRDefault="003B7D0E" w:rsidP="0055193F">
      <w:pPr>
        <w:pStyle w:val="Default"/>
        <w:spacing w:before="24" w:after="24" w:line="288" w:lineRule="auto"/>
        <w:rPr>
          <w:rFonts w:cs="Arial"/>
          <w:b/>
          <w:color w:val="232120"/>
        </w:rPr>
      </w:pPr>
    </w:p>
    <w:p w14:paraId="20CF2AAB" w14:textId="77777777" w:rsidR="0030418B" w:rsidRDefault="0030418B" w:rsidP="0055193F">
      <w:pPr>
        <w:pStyle w:val="Default"/>
        <w:spacing w:before="24" w:after="24" w:line="288" w:lineRule="auto"/>
        <w:rPr>
          <w:rFonts w:cs="Arial"/>
          <w:b/>
          <w:color w:val="232120"/>
        </w:rPr>
      </w:pPr>
    </w:p>
    <w:p w14:paraId="46A4B3F1" w14:textId="77777777" w:rsidR="0030418B" w:rsidRDefault="0030418B" w:rsidP="0055193F">
      <w:pPr>
        <w:pStyle w:val="Default"/>
        <w:spacing w:before="24" w:after="24" w:line="288" w:lineRule="auto"/>
        <w:rPr>
          <w:rFonts w:cs="Arial"/>
          <w:b/>
          <w:color w:val="232120"/>
        </w:rPr>
      </w:pPr>
    </w:p>
    <w:p w14:paraId="37980BE1" w14:textId="77777777" w:rsidR="0030418B" w:rsidRDefault="0030418B" w:rsidP="0055193F">
      <w:pPr>
        <w:pStyle w:val="Default"/>
        <w:spacing w:before="24" w:after="24" w:line="288" w:lineRule="auto"/>
        <w:rPr>
          <w:rFonts w:cs="Arial"/>
          <w:b/>
          <w:color w:val="232120"/>
        </w:rPr>
      </w:pPr>
    </w:p>
    <w:p w14:paraId="5F0C7CB8" w14:textId="77777777" w:rsidR="001E2B95" w:rsidRDefault="001E2B95" w:rsidP="0055193F">
      <w:pPr>
        <w:pStyle w:val="Default"/>
        <w:spacing w:before="24" w:after="24" w:line="288" w:lineRule="auto"/>
        <w:rPr>
          <w:rFonts w:cs="Arial"/>
          <w:b/>
          <w:color w:val="232120"/>
        </w:rPr>
      </w:pPr>
    </w:p>
    <w:p w14:paraId="7D1991B5" w14:textId="77777777" w:rsidR="00245E58" w:rsidRDefault="00245E58" w:rsidP="0055193F">
      <w:pPr>
        <w:pStyle w:val="Default"/>
        <w:spacing w:before="24" w:after="24" w:line="288" w:lineRule="auto"/>
        <w:rPr>
          <w:rFonts w:cs="Arial"/>
          <w:b/>
          <w:color w:val="232120"/>
        </w:rPr>
      </w:pPr>
    </w:p>
    <w:p w14:paraId="58F7B80D" w14:textId="77777777" w:rsidR="00245E58" w:rsidRDefault="00245E58" w:rsidP="0055193F">
      <w:pPr>
        <w:pStyle w:val="Default"/>
        <w:spacing w:before="24" w:after="24" w:line="288" w:lineRule="auto"/>
        <w:rPr>
          <w:rFonts w:cs="Arial"/>
          <w:b/>
          <w:color w:val="232120"/>
        </w:rPr>
      </w:pPr>
    </w:p>
    <w:p w14:paraId="325CA8C2" w14:textId="77777777" w:rsidR="001E2B95" w:rsidRDefault="001E2B95" w:rsidP="0055193F">
      <w:pPr>
        <w:pStyle w:val="Default"/>
        <w:spacing w:before="24" w:after="24" w:line="288" w:lineRule="auto"/>
        <w:rPr>
          <w:rFonts w:cs="Arial"/>
          <w:b/>
          <w:color w:val="232120"/>
        </w:rPr>
      </w:pPr>
    </w:p>
    <w:p w14:paraId="27C2F2BE" w14:textId="77777777" w:rsidR="00580048" w:rsidRDefault="00580048" w:rsidP="0055193F">
      <w:pPr>
        <w:pStyle w:val="Default"/>
        <w:spacing w:before="24" w:after="24" w:line="288" w:lineRule="auto"/>
        <w:rPr>
          <w:rFonts w:cs="Arial"/>
          <w:b/>
          <w:color w:val="232120"/>
        </w:rPr>
      </w:pPr>
    </w:p>
    <w:p w14:paraId="7CE73BCF" w14:textId="77777777" w:rsidR="00580048" w:rsidRDefault="00580048" w:rsidP="00580048">
      <w:pPr>
        <w:pStyle w:val="Heading1"/>
      </w:pPr>
      <w:bookmarkStart w:id="0" w:name="_Toc96700063"/>
      <w:r>
        <w:lastRenderedPageBreak/>
        <w:t>Summary of Recommendations</w:t>
      </w:r>
      <w:bookmarkEnd w:id="0"/>
    </w:p>
    <w:p w14:paraId="4DEE7DC4" w14:textId="12660810" w:rsidR="00580048" w:rsidRDefault="00580048" w:rsidP="0055193F">
      <w:pPr>
        <w:pStyle w:val="Default"/>
        <w:spacing w:before="24" w:after="24" w:line="288" w:lineRule="auto"/>
        <w:rPr>
          <w:rFonts w:cs="Arial"/>
          <w:b/>
          <w:color w:val="232120"/>
        </w:rPr>
      </w:pPr>
    </w:p>
    <w:p w14:paraId="6F4FFC0A" w14:textId="5B5BEEA9" w:rsidR="00C810E3" w:rsidRDefault="002B4372" w:rsidP="0055193F">
      <w:pPr>
        <w:pStyle w:val="Default"/>
        <w:spacing w:before="24" w:after="24" w:line="288" w:lineRule="auto"/>
        <w:rPr>
          <w:rFonts w:cs="Arial"/>
          <w:b/>
          <w:color w:val="232120"/>
        </w:rPr>
      </w:pPr>
      <w:r w:rsidRPr="007E0719">
        <w:rPr>
          <w:rFonts w:eastAsia="Times New Roman" w:cs="Times New Roman"/>
        </w:rPr>
        <w:t>The Northern Ireland Human Rights Commission (the Commission)</w:t>
      </w:r>
      <w:r>
        <w:rPr>
          <w:rFonts w:eastAsia="Times New Roman" w:cs="Times New Roman"/>
        </w:rPr>
        <w:t xml:space="preserve"> recommends:</w:t>
      </w:r>
    </w:p>
    <w:p w14:paraId="18AE310D" w14:textId="77777777" w:rsidR="00836A88" w:rsidRDefault="00836A88" w:rsidP="00836A88">
      <w:pPr>
        <w:spacing w:before="24" w:after="24" w:line="288" w:lineRule="auto"/>
        <w:rPr>
          <w:rFonts w:ascii="Verdana" w:eastAsia="Times New Roman" w:hAnsi="Verdana" w:cs="Times New Roman"/>
          <w:color w:val="000000"/>
          <w:shd w:val="clear" w:color="auto" w:fill="FFFFFF"/>
        </w:rPr>
      </w:pPr>
    </w:p>
    <w:p w14:paraId="6C2F1CC9" w14:textId="4C5DE3F6" w:rsidR="00C810E3" w:rsidRPr="00045B47" w:rsidRDefault="00C810E3" w:rsidP="00045B47">
      <w:pPr>
        <w:pStyle w:val="ListParagraph"/>
        <w:numPr>
          <w:ilvl w:val="1"/>
          <w:numId w:val="28"/>
        </w:numPr>
        <w:spacing w:before="24" w:after="24" w:line="288" w:lineRule="auto"/>
        <w:rPr>
          <w:rFonts w:ascii="Verdana" w:eastAsia="Times New Roman" w:hAnsi="Verdana" w:cs="Times New Roman"/>
          <w:color w:val="000000"/>
          <w:shd w:val="clear" w:color="auto" w:fill="FFFFFF"/>
        </w:rPr>
      </w:pPr>
      <w:r w:rsidRPr="00045B47">
        <w:rPr>
          <w:rFonts w:ascii="Verdana" w:eastAsia="Times New Roman" w:hAnsi="Verdana" w:cs="Times New Roman"/>
          <w:color w:val="000000"/>
          <w:shd w:val="clear" w:color="auto" w:fill="FFFFFF"/>
        </w:rPr>
        <w:t xml:space="preserve">that the NI Executive and Departments consider and </w:t>
      </w:r>
      <w:proofErr w:type="gramStart"/>
      <w:r w:rsidRPr="00045B47">
        <w:rPr>
          <w:rFonts w:ascii="Verdana" w:eastAsia="Times New Roman" w:hAnsi="Verdana" w:cs="Times New Roman"/>
          <w:color w:val="000000"/>
          <w:shd w:val="clear" w:color="auto" w:fill="FFFFFF"/>
        </w:rPr>
        <w:t>take into account</w:t>
      </w:r>
      <w:proofErr w:type="gramEnd"/>
      <w:r w:rsidRPr="00045B47">
        <w:rPr>
          <w:rFonts w:ascii="Verdana" w:eastAsia="Times New Roman" w:hAnsi="Verdana" w:cs="Times New Roman"/>
          <w:color w:val="000000"/>
          <w:shd w:val="clear" w:color="auto" w:fill="FFFFFF"/>
        </w:rPr>
        <w:t xml:space="preserve"> the Victims’ Directive and Protocol Article 2 during the development and implementation of both Strategies.</w:t>
      </w:r>
    </w:p>
    <w:p w14:paraId="667045E6" w14:textId="77777777" w:rsidR="00C810E3" w:rsidRPr="00F752FA" w:rsidRDefault="00C810E3" w:rsidP="00C810E3"/>
    <w:p w14:paraId="7C36848F" w14:textId="5FCFEEAE" w:rsidR="00C810E3" w:rsidRPr="00045B47" w:rsidRDefault="00C810E3" w:rsidP="00045B47">
      <w:pPr>
        <w:pStyle w:val="ListParagraph"/>
        <w:numPr>
          <w:ilvl w:val="1"/>
          <w:numId w:val="29"/>
        </w:numPr>
        <w:spacing w:before="24" w:after="24" w:line="288" w:lineRule="auto"/>
        <w:rPr>
          <w:rFonts w:ascii="Verdana" w:eastAsia="Times New Roman" w:hAnsi="Verdana" w:cs="Times New Roman"/>
          <w:color w:val="000000"/>
          <w:shd w:val="clear" w:color="auto" w:fill="FFFFFF"/>
        </w:rPr>
      </w:pPr>
      <w:r w:rsidRPr="00045B47">
        <w:rPr>
          <w:rFonts w:ascii="Verdana" w:eastAsia="Times New Roman" w:hAnsi="Verdana" w:cs="Times New Roman"/>
          <w:color w:val="000000"/>
          <w:shd w:val="clear" w:color="auto" w:fill="FFFFFF"/>
        </w:rPr>
        <w:t xml:space="preserve">that the NI Executive and Departments reference specifically the relevant human rights standards. </w:t>
      </w:r>
    </w:p>
    <w:p w14:paraId="52885364" w14:textId="77777777" w:rsidR="00C810E3" w:rsidRPr="00836A88" w:rsidRDefault="00C810E3" w:rsidP="00836A88">
      <w:pPr>
        <w:pStyle w:val="ListParagraph"/>
        <w:spacing w:before="24" w:after="24" w:line="288" w:lineRule="auto"/>
        <w:rPr>
          <w:rFonts w:ascii="Verdana" w:eastAsia="Times New Roman" w:hAnsi="Verdana" w:cs="Times New Roman"/>
          <w:color w:val="000000"/>
          <w:shd w:val="clear" w:color="auto" w:fill="FFFFFF"/>
        </w:rPr>
      </w:pPr>
    </w:p>
    <w:p w14:paraId="52F3FD77" w14:textId="0083B2D3" w:rsidR="00C810E3" w:rsidRPr="00045B47" w:rsidRDefault="00C810E3" w:rsidP="00045B47">
      <w:pPr>
        <w:pStyle w:val="ListParagraph"/>
        <w:numPr>
          <w:ilvl w:val="1"/>
          <w:numId w:val="30"/>
        </w:numPr>
        <w:spacing w:before="24" w:after="24" w:line="288" w:lineRule="auto"/>
        <w:rPr>
          <w:rFonts w:ascii="Verdana" w:eastAsia="Times New Roman" w:hAnsi="Verdana" w:cs="Times New Roman"/>
          <w:color w:val="000000"/>
          <w:shd w:val="clear" w:color="auto" w:fill="FFFFFF"/>
        </w:rPr>
      </w:pPr>
      <w:r w:rsidRPr="00045B47">
        <w:rPr>
          <w:rFonts w:ascii="Verdana" w:eastAsia="Times New Roman" w:hAnsi="Verdana" w:cs="Times New Roman"/>
          <w:color w:val="000000"/>
          <w:shd w:val="clear" w:color="auto" w:fill="FFFFFF"/>
        </w:rPr>
        <w:t xml:space="preserve">the NI Executive and relevant Departments ensure that both strategies have dedicated ring-fenced funding that lasts the lifetime of each strategy. </w:t>
      </w:r>
    </w:p>
    <w:p w14:paraId="754FABC6" w14:textId="77777777" w:rsidR="00C810E3" w:rsidRPr="00836A88" w:rsidRDefault="00C810E3" w:rsidP="00836A88">
      <w:pPr>
        <w:pStyle w:val="ListParagraph"/>
        <w:spacing w:before="24" w:after="24" w:line="288" w:lineRule="auto"/>
        <w:rPr>
          <w:rFonts w:ascii="Verdana" w:eastAsia="Times New Roman" w:hAnsi="Verdana" w:cs="Times New Roman"/>
          <w:color w:val="000000"/>
          <w:shd w:val="clear" w:color="auto" w:fill="FFFFFF"/>
        </w:rPr>
      </w:pPr>
    </w:p>
    <w:p w14:paraId="0C7DBA34" w14:textId="7140F859" w:rsidR="00C810E3" w:rsidRPr="00045B47" w:rsidRDefault="00C810E3" w:rsidP="00045B47">
      <w:pPr>
        <w:pStyle w:val="ListParagraph"/>
        <w:numPr>
          <w:ilvl w:val="1"/>
          <w:numId w:val="31"/>
        </w:numPr>
        <w:spacing w:before="24" w:after="24" w:line="288" w:lineRule="auto"/>
        <w:rPr>
          <w:rFonts w:ascii="Verdana" w:eastAsia="Times New Roman" w:hAnsi="Verdana" w:cs="Times New Roman"/>
          <w:color w:val="000000"/>
          <w:shd w:val="clear" w:color="auto" w:fill="FFFFFF"/>
        </w:rPr>
      </w:pPr>
      <w:r w:rsidRPr="00045B47">
        <w:rPr>
          <w:rFonts w:ascii="Verdana" w:eastAsia="Times New Roman" w:hAnsi="Verdana" w:cs="Times New Roman"/>
          <w:color w:val="000000"/>
          <w:shd w:val="clear" w:color="auto" w:fill="FFFFFF"/>
        </w:rPr>
        <w:t xml:space="preserve">reconsideration of a gender-neutral approach to the Domestic and Sexual Abuse Strategy and ensure the strategy includes specialised, gender-sensitive accessible support and actions for victims of domestic and sexual abuse.  </w:t>
      </w:r>
    </w:p>
    <w:p w14:paraId="4E5D0653" w14:textId="77777777" w:rsidR="00C810E3" w:rsidRPr="00836A88" w:rsidRDefault="00C810E3" w:rsidP="00836A88">
      <w:pPr>
        <w:pStyle w:val="ListParagraph"/>
        <w:spacing w:before="24" w:after="24" w:line="288" w:lineRule="auto"/>
        <w:rPr>
          <w:rFonts w:ascii="Verdana" w:eastAsia="Times New Roman" w:hAnsi="Verdana" w:cs="Times New Roman"/>
          <w:color w:val="000000"/>
          <w:shd w:val="clear" w:color="auto" w:fill="FFFFFF"/>
        </w:rPr>
      </w:pPr>
    </w:p>
    <w:p w14:paraId="61C88926" w14:textId="693DDFAF" w:rsidR="00C810E3" w:rsidRPr="008E7E04" w:rsidRDefault="00C810E3" w:rsidP="008E7E04">
      <w:pPr>
        <w:pStyle w:val="ListParagraph"/>
        <w:numPr>
          <w:ilvl w:val="1"/>
          <w:numId w:val="32"/>
        </w:numPr>
        <w:spacing w:before="24" w:after="24" w:line="288" w:lineRule="auto"/>
        <w:rPr>
          <w:rFonts w:ascii="Verdana" w:eastAsia="Times New Roman" w:hAnsi="Verdana" w:cs="Times New Roman"/>
          <w:color w:val="000000"/>
          <w:shd w:val="clear" w:color="auto" w:fill="FFFFFF"/>
        </w:rPr>
      </w:pPr>
      <w:r w:rsidRPr="008E7E04">
        <w:rPr>
          <w:rFonts w:ascii="Verdana" w:eastAsia="Times New Roman" w:hAnsi="Verdana" w:cs="Times New Roman"/>
          <w:color w:val="000000"/>
          <w:shd w:val="clear" w:color="auto" w:fill="FFFFFF"/>
        </w:rPr>
        <w:t>that the NI Executive develop the Equally Safe Strategy to specifically address violence against women and girls perpetrated by men without further delay.</w:t>
      </w:r>
    </w:p>
    <w:p w14:paraId="65425F54" w14:textId="77777777" w:rsidR="00C810E3" w:rsidRPr="00836A88" w:rsidRDefault="00C810E3" w:rsidP="00836A88">
      <w:pPr>
        <w:pStyle w:val="ListParagraph"/>
        <w:spacing w:before="24" w:after="24" w:line="288" w:lineRule="auto"/>
        <w:rPr>
          <w:rFonts w:ascii="Verdana" w:eastAsia="Times New Roman" w:hAnsi="Verdana" w:cs="Times New Roman"/>
          <w:color w:val="000000"/>
          <w:shd w:val="clear" w:color="auto" w:fill="FFFFFF"/>
        </w:rPr>
      </w:pPr>
    </w:p>
    <w:p w14:paraId="3E500244" w14:textId="164480E0" w:rsidR="00C810E3" w:rsidRPr="008E7E04" w:rsidRDefault="00C810E3" w:rsidP="008E7E04">
      <w:pPr>
        <w:pStyle w:val="ListParagraph"/>
        <w:numPr>
          <w:ilvl w:val="1"/>
          <w:numId w:val="33"/>
        </w:numPr>
        <w:spacing w:before="24" w:after="24" w:line="288" w:lineRule="auto"/>
        <w:rPr>
          <w:rFonts w:ascii="Verdana" w:eastAsia="Times New Roman" w:hAnsi="Verdana" w:cs="Times New Roman"/>
          <w:color w:val="000000"/>
          <w:shd w:val="clear" w:color="auto" w:fill="FFFFFF"/>
        </w:rPr>
      </w:pPr>
      <w:r w:rsidRPr="008E7E04">
        <w:rPr>
          <w:rFonts w:ascii="Verdana" w:eastAsia="Times New Roman" w:hAnsi="Verdana" w:cs="Times New Roman"/>
          <w:color w:val="000000"/>
          <w:shd w:val="clear" w:color="auto" w:fill="FFFFFF"/>
        </w:rPr>
        <w:t xml:space="preserve">that the NI Executive and Departments ensure that both strategies address online gender-based </w:t>
      </w:r>
      <w:proofErr w:type="gramStart"/>
      <w:r w:rsidRPr="008E7E04">
        <w:rPr>
          <w:rFonts w:ascii="Verdana" w:eastAsia="Times New Roman" w:hAnsi="Verdana" w:cs="Times New Roman"/>
          <w:color w:val="000000"/>
          <w:shd w:val="clear" w:color="auto" w:fill="FFFFFF"/>
        </w:rPr>
        <w:t>violence, and</w:t>
      </w:r>
      <w:proofErr w:type="gramEnd"/>
      <w:r w:rsidRPr="008E7E04">
        <w:rPr>
          <w:rFonts w:ascii="Verdana" w:eastAsia="Times New Roman" w:hAnsi="Verdana" w:cs="Times New Roman"/>
          <w:color w:val="000000"/>
          <w:shd w:val="clear" w:color="auto" w:fill="FFFFFF"/>
        </w:rPr>
        <w:t xml:space="preserve"> are adaptable to take account of such developments. </w:t>
      </w:r>
    </w:p>
    <w:p w14:paraId="1E73C1FF" w14:textId="77777777" w:rsidR="00C810E3" w:rsidRPr="00836A88" w:rsidRDefault="00C810E3" w:rsidP="00836A88">
      <w:pPr>
        <w:pStyle w:val="ListParagraph"/>
        <w:spacing w:before="24" w:after="24" w:line="288" w:lineRule="auto"/>
        <w:rPr>
          <w:rFonts w:ascii="Verdana" w:eastAsia="Times New Roman" w:hAnsi="Verdana" w:cs="Times New Roman"/>
          <w:color w:val="000000"/>
          <w:shd w:val="clear" w:color="auto" w:fill="FFFFFF"/>
        </w:rPr>
      </w:pPr>
    </w:p>
    <w:p w14:paraId="59E61E90" w14:textId="4C125A1C" w:rsidR="00C810E3" w:rsidRPr="008E7E04" w:rsidRDefault="00C810E3" w:rsidP="008E7E04">
      <w:pPr>
        <w:pStyle w:val="ListParagraph"/>
        <w:numPr>
          <w:ilvl w:val="1"/>
          <w:numId w:val="34"/>
        </w:numPr>
        <w:spacing w:before="24" w:after="24" w:line="288" w:lineRule="auto"/>
        <w:rPr>
          <w:rFonts w:ascii="Verdana" w:eastAsia="Times New Roman" w:hAnsi="Verdana" w:cs="Times New Roman"/>
          <w:color w:val="000000"/>
          <w:shd w:val="clear" w:color="auto" w:fill="FFFFFF"/>
        </w:rPr>
      </w:pPr>
      <w:r w:rsidRPr="008E7E04">
        <w:rPr>
          <w:rFonts w:ascii="Verdana" w:eastAsia="Times New Roman" w:hAnsi="Verdana" w:cs="Times New Roman"/>
          <w:color w:val="000000"/>
          <w:shd w:val="clear" w:color="auto" w:fill="FFFFFF"/>
        </w:rPr>
        <w:t xml:space="preserve">the NI Executive and Departments ensure both strategies include measures to target marginalised and vulnerable women and girls. </w:t>
      </w:r>
    </w:p>
    <w:p w14:paraId="6C2F6CBA" w14:textId="77777777" w:rsidR="00C810E3" w:rsidRPr="00836A88" w:rsidRDefault="00C810E3" w:rsidP="00836A88">
      <w:pPr>
        <w:pStyle w:val="ListParagraph"/>
        <w:spacing w:before="24" w:after="24" w:line="288" w:lineRule="auto"/>
        <w:rPr>
          <w:rFonts w:ascii="Verdana" w:eastAsia="Times New Roman" w:hAnsi="Verdana" w:cs="Times New Roman"/>
          <w:color w:val="000000"/>
          <w:shd w:val="clear" w:color="auto" w:fill="FFFFFF"/>
        </w:rPr>
      </w:pPr>
    </w:p>
    <w:p w14:paraId="726B036B" w14:textId="6CFAFF3B" w:rsidR="00C810E3" w:rsidRPr="008E7E04" w:rsidRDefault="00C810E3" w:rsidP="008E7E04">
      <w:pPr>
        <w:pStyle w:val="ListParagraph"/>
        <w:numPr>
          <w:ilvl w:val="1"/>
          <w:numId w:val="35"/>
        </w:numPr>
        <w:spacing w:before="24" w:after="24" w:line="288" w:lineRule="auto"/>
        <w:rPr>
          <w:rFonts w:ascii="Verdana" w:eastAsia="Times New Roman" w:hAnsi="Verdana" w:cs="Times New Roman"/>
          <w:color w:val="000000"/>
          <w:shd w:val="clear" w:color="auto" w:fill="FFFFFF"/>
        </w:rPr>
      </w:pPr>
      <w:r w:rsidRPr="008E7E04">
        <w:rPr>
          <w:rFonts w:ascii="Verdana" w:eastAsia="Times New Roman" w:hAnsi="Verdana" w:cs="Times New Roman"/>
          <w:color w:val="000000"/>
          <w:shd w:val="clear" w:color="auto" w:fill="FFFFFF"/>
        </w:rPr>
        <w:t xml:space="preserve">the strategies include measures to improve the collection of disaggregated data on domestic and sexual abuse and gender-based violence. </w:t>
      </w:r>
    </w:p>
    <w:p w14:paraId="48473F76" w14:textId="77777777" w:rsidR="00580048" w:rsidRPr="00836A88" w:rsidRDefault="00580048" w:rsidP="00836A88">
      <w:pPr>
        <w:pStyle w:val="ListParagraph"/>
        <w:spacing w:before="24" w:after="24" w:line="288" w:lineRule="auto"/>
        <w:rPr>
          <w:rFonts w:ascii="Verdana" w:eastAsia="Times New Roman" w:hAnsi="Verdana" w:cs="Times New Roman"/>
          <w:color w:val="000000"/>
          <w:shd w:val="clear" w:color="auto" w:fill="FFFFFF"/>
        </w:rPr>
      </w:pPr>
    </w:p>
    <w:p w14:paraId="705A6DF4" w14:textId="77777777" w:rsidR="00580048" w:rsidRDefault="00580048" w:rsidP="0055193F">
      <w:pPr>
        <w:pStyle w:val="Default"/>
        <w:spacing w:before="24" w:after="24" w:line="288" w:lineRule="auto"/>
        <w:rPr>
          <w:rFonts w:cs="Arial"/>
          <w:b/>
          <w:color w:val="232120"/>
        </w:rPr>
      </w:pPr>
    </w:p>
    <w:p w14:paraId="58390C8B" w14:textId="77777777" w:rsidR="00580048" w:rsidRDefault="00580048" w:rsidP="0055193F">
      <w:pPr>
        <w:pStyle w:val="Default"/>
        <w:spacing w:before="24" w:after="24" w:line="288" w:lineRule="auto"/>
        <w:rPr>
          <w:rFonts w:cs="Arial"/>
          <w:b/>
          <w:color w:val="232120"/>
        </w:rPr>
      </w:pPr>
    </w:p>
    <w:p w14:paraId="1FA327B6" w14:textId="77777777" w:rsidR="00580048" w:rsidRDefault="00580048" w:rsidP="0055193F">
      <w:pPr>
        <w:pStyle w:val="Default"/>
        <w:spacing w:before="24" w:after="24" w:line="288" w:lineRule="auto"/>
        <w:rPr>
          <w:rFonts w:cs="Arial"/>
          <w:b/>
          <w:color w:val="232120"/>
        </w:rPr>
      </w:pPr>
    </w:p>
    <w:p w14:paraId="51372438" w14:textId="77777777" w:rsidR="00580048" w:rsidRDefault="00580048" w:rsidP="0055193F">
      <w:pPr>
        <w:pStyle w:val="Default"/>
        <w:spacing w:before="24" w:after="24" w:line="288" w:lineRule="auto"/>
        <w:rPr>
          <w:rFonts w:cs="Arial"/>
          <w:b/>
          <w:color w:val="232120"/>
        </w:rPr>
      </w:pPr>
    </w:p>
    <w:p w14:paraId="4B754D89" w14:textId="77777777" w:rsidR="00580048" w:rsidRDefault="00580048" w:rsidP="0055193F">
      <w:pPr>
        <w:pStyle w:val="Default"/>
        <w:spacing w:before="24" w:after="24" w:line="288" w:lineRule="auto"/>
        <w:rPr>
          <w:rFonts w:cs="Arial"/>
          <w:b/>
          <w:color w:val="232120"/>
        </w:rPr>
      </w:pPr>
    </w:p>
    <w:p w14:paraId="6E2C6EC3" w14:textId="77777777" w:rsidR="00580048" w:rsidRDefault="00580048" w:rsidP="0055193F">
      <w:pPr>
        <w:pStyle w:val="Default"/>
        <w:spacing w:before="24" w:after="24" w:line="288" w:lineRule="auto"/>
        <w:rPr>
          <w:rFonts w:cs="Arial"/>
          <w:b/>
          <w:color w:val="232120"/>
        </w:rPr>
      </w:pPr>
    </w:p>
    <w:p w14:paraId="39A2218E" w14:textId="77777777" w:rsidR="00580048" w:rsidRDefault="00580048" w:rsidP="0055193F">
      <w:pPr>
        <w:pStyle w:val="Default"/>
        <w:spacing w:before="24" w:after="24" w:line="288" w:lineRule="auto"/>
        <w:rPr>
          <w:rFonts w:cs="Arial"/>
          <w:b/>
          <w:color w:val="232120"/>
        </w:rPr>
      </w:pPr>
    </w:p>
    <w:p w14:paraId="11C7C436" w14:textId="77777777" w:rsidR="007E0719" w:rsidRDefault="007E0719" w:rsidP="0055193F">
      <w:pPr>
        <w:pStyle w:val="Heading1"/>
        <w:numPr>
          <w:ilvl w:val="0"/>
          <w:numId w:val="9"/>
        </w:numPr>
        <w:spacing w:before="24" w:after="24"/>
      </w:pPr>
      <w:bookmarkStart w:id="1" w:name="_Toc96700064"/>
      <w:r>
        <w:lastRenderedPageBreak/>
        <w:t>Introduction</w:t>
      </w:r>
      <w:bookmarkEnd w:id="1"/>
    </w:p>
    <w:p w14:paraId="37BF0576" w14:textId="77777777" w:rsidR="007E0719" w:rsidRDefault="007E0719" w:rsidP="0055193F">
      <w:pPr>
        <w:spacing w:before="24" w:after="24" w:line="288" w:lineRule="auto"/>
        <w:rPr>
          <w:rFonts w:ascii="Verdana" w:eastAsia="Times New Roman" w:hAnsi="Verdana" w:cs="Times New Roman"/>
        </w:rPr>
      </w:pPr>
    </w:p>
    <w:p w14:paraId="067A663C" w14:textId="77777777" w:rsidR="00836A88" w:rsidRPr="00836A88" w:rsidRDefault="007E0719" w:rsidP="00DA5381">
      <w:pPr>
        <w:pStyle w:val="ListParagraph"/>
        <w:widowControl w:val="0"/>
        <w:numPr>
          <w:ilvl w:val="1"/>
          <w:numId w:val="14"/>
        </w:numPr>
        <w:autoSpaceDE w:val="0"/>
        <w:autoSpaceDN w:val="0"/>
        <w:adjustRightInd w:val="0"/>
        <w:spacing w:before="24" w:after="24" w:line="288" w:lineRule="auto"/>
        <w:rPr>
          <w:rFonts w:ascii="Verdana" w:hAnsi="Verdana" w:cs="Arial"/>
          <w:b/>
          <w:lang w:val="en-US"/>
        </w:rPr>
      </w:pPr>
      <w:r w:rsidRPr="00836A88">
        <w:rPr>
          <w:rFonts w:ascii="Verdana" w:eastAsia="Times New Roman" w:hAnsi="Verdana" w:cs="Times New Roman"/>
        </w:rPr>
        <w:t>The Northern Ireland Human Rights Commission (the Commission),</w:t>
      </w:r>
      <w:r w:rsidRPr="00836A88">
        <w:rPr>
          <w:rFonts w:ascii="Verdana" w:hAnsi="Verdana"/>
        </w:rPr>
        <w:t xml:space="preserve"> </w:t>
      </w:r>
      <w:r w:rsidRPr="00836A88">
        <w:rPr>
          <w:rFonts w:ascii="Verdana" w:eastAsia="Times New Roman" w:hAnsi="Verdana" w:cs="Times New Roman"/>
        </w:rPr>
        <w:t xml:space="preserve">pursuant to Section 69(1) the Northern Ireland Act 1998, reviews the adequacy and effectiveness of law and practice relating to the protection of human rights. </w:t>
      </w:r>
      <w:r w:rsidR="00393AE9" w:rsidRPr="00836A88">
        <w:rPr>
          <w:rFonts w:ascii="Verdana" w:eastAsia="Times New Roman" w:hAnsi="Verdana" w:cs="Times New Roman"/>
        </w:rPr>
        <w:t xml:space="preserve">The Commission pursuant to section 69(3) of the Northern Ireland Act 1998 shall advise the Executive Committee of the Assembly of legislative and other measures which ought to be taken to protect human rights. </w:t>
      </w:r>
      <w:r w:rsidRPr="00836A88">
        <w:rPr>
          <w:rFonts w:ascii="Verdana" w:eastAsia="Times New Roman" w:hAnsi="Verdana" w:cs="Times New Roman"/>
        </w:rPr>
        <w:t>Further, the NIHRC, pursuant to section 78</w:t>
      </w:r>
      <w:proofErr w:type="gramStart"/>
      <w:r w:rsidRPr="00836A88">
        <w:rPr>
          <w:rFonts w:ascii="Verdana" w:eastAsia="Times New Roman" w:hAnsi="Verdana" w:cs="Times New Roman"/>
        </w:rPr>
        <w:t>A(</w:t>
      </w:r>
      <w:proofErr w:type="gramEnd"/>
      <w:r w:rsidR="0005296A" w:rsidRPr="00836A88">
        <w:rPr>
          <w:rFonts w:ascii="Verdana" w:eastAsia="Times New Roman" w:hAnsi="Verdana" w:cs="Times New Roman"/>
        </w:rPr>
        <w:t>5</w:t>
      </w:r>
      <w:r w:rsidRPr="00836A88">
        <w:rPr>
          <w:rFonts w:ascii="Verdana" w:eastAsia="Times New Roman" w:hAnsi="Verdana" w:cs="Times New Roman"/>
        </w:rPr>
        <w:t xml:space="preserve">) of the Northern Ireland Act, must </w:t>
      </w:r>
      <w:r w:rsidR="0005296A" w:rsidRPr="00836A88">
        <w:rPr>
          <w:rFonts w:ascii="Verdana" w:eastAsia="Times New Roman" w:hAnsi="Verdana" w:cs="Times New Roman"/>
        </w:rPr>
        <w:t xml:space="preserve">advise the Executive Committee of the Assembly of legislative and other measures which ought to be taken to implement </w:t>
      </w:r>
      <w:r w:rsidRPr="00836A88">
        <w:rPr>
          <w:rFonts w:ascii="Verdana" w:eastAsia="Times New Roman" w:hAnsi="Verdana" w:cs="Times New Roman"/>
        </w:rPr>
        <w:t xml:space="preserve"> Article 2(1) of the Protocol on Ireland/Northern Ireland (Protocol Article 2) in the EU Withdrawal Agreement (rights of individuals).</w:t>
      </w:r>
    </w:p>
    <w:p w14:paraId="359E6983" w14:textId="77777777" w:rsidR="00836A88" w:rsidRPr="00836A88" w:rsidRDefault="00836A88" w:rsidP="00836A88">
      <w:pPr>
        <w:pStyle w:val="ListParagraph"/>
        <w:widowControl w:val="0"/>
        <w:autoSpaceDE w:val="0"/>
        <w:autoSpaceDN w:val="0"/>
        <w:adjustRightInd w:val="0"/>
        <w:spacing w:before="24" w:after="24" w:line="288" w:lineRule="auto"/>
        <w:rPr>
          <w:rFonts w:ascii="Verdana" w:hAnsi="Verdana" w:cs="Arial"/>
          <w:b/>
          <w:lang w:val="en-US"/>
        </w:rPr>
      </w:pPr>
    </w:p>
    <w:p w14:paraId="1D51984E" w14:textId="20B0B1B6" w:rsidR="0055193F" w:rsidRPr="00836A88" w:rsidRDefault="0055193F" w:rsidP="00DA5381">
      <w:pPr>
        <w:pStyle w:val="ListParagraph"/>
        <w:widowControl w:val="0"/>
        <w:numPr>
          <w:ilvl w:val="1"/>
          <w:numId w:val="14"/>
        </w:numPr>
        <w:autoSpaceDE w:val="0"/>
        <w:autoSpaceDN w:val="0"/>
        <w:adjustRightInd w:val="0"/>
        <w:spacing w:before="24" w:after="24" w:line="288" w:lineRule="auto"/>
        <w:rPr>
          <w:rFonts w:ascii="Verdana" w:hAnsi="Verdana" w:cs="Arial"/>
          <w:b/>
          <w:lang w:val="en-US"/>
        </w:rPr>
      </w:pPr>
      <w:r w:rsidRPr="00836A88">
        <w:rPr>
          <w:rFonts w:ascii="Verdana" w:hAnsi="Verdana" w:cs="Arial"/>
          <w:lang w:val="en-US"/>
        </w:rPr>
        <w:t xml:space="preserve">The </w:t>
      </w:r>
      <w:r w:rsidR="00836A88" w:rsidRPr="00836A88">
        <w:rPr>
          <w:rFonts w:ascii="Verdana" w:hAnsi="Verdana" w:cs="Arial"/>
          <w:lang w:val="en-US"/>
        </w:rPr>
        <w:t>Commission</w:t>
      </w:r>
      <w:r w:rsidRPr="00836A88">
        <w:rPr>
          <w:rFonts w:ascii="Verdana" w:hAnsi="Verdana" w:cs="Arial"/>
          <w:lang w:val="en-US"/>
        </w:rPr>
        <w:t xml:space="preserve"> bases its advice on the full range of internationally accepted human rights standards, including the European Convention on Human Rights (ECHR), as incorporated by the Human Rights Act 1998, and the United Nations (UN) system and treaty obligations of the Council of Europe (</w:t>
      </w:r>
      <w:proofErr w:type="spellStart"/>
      <w:r w:rsidRPr="00836A88">
        <w:rPr>
          <w:rFonts w:ascii="Verdana" w:hAnsi="Verdana" w:cs="Arial"/>
          <w:lang w:val="en-US"/>
        </w:rPr>
        <w:t>CoE</w:t>
      </w:r>
      <w:proofErr w:type="spellEnd"/>
      <w:r w:rsidRPr="00836A88">
        <w:rPr>
          <w:rFonts w:ascii="Verdana" w:hAnsi="Verdana" w:cs="Arial"/>
          <w:lang w:val="en-US"/>
        </w:rPr>
        <w:t>) and United Nations (UN). The relevant regional and international treaties in this context include:</w:t>
      </w:r>
    </w:p>
    <w:p w14:paraId="5E4CBBA8" w14:textId="77777777" w:rsidR="0055193F" w:rsidRPr="0055193F" w:rsidRDefault="0055193F" w:rsidP="0055193F">
      <w:pPr>
        <w:spacing w:before="24" w:after="24" w:line="288" w:lineRule="auto"/>
        <w:ind w:left="720"/>
        <w:contextualSpacing/>
        <w:rPr>
          <w:rFonts w:ascii="Verdana" w:hAnsi="Verdana" w:cs="Arial"/>
        </w:rPr>
      </w:pPr>
    </w:p>
    <w:p w14:paraId="40C7F545" w14:textId="77777777" w:rsidR="0055193F" w:rsidRPr="0055193F" w:rsidRDefault="0055193F" w:rsidP="0055193F">
      <w:pPr>
        <w:widowControl w:val="0"/>
        <w:numPr>
          <w:ilvl w:val="0"/>
          <w:numId w:val="15"/>
        </w:numPr>
        <w:autoSpaceDE w:val="0"/>
        <w:autoSpaceDN w:val="0"/>
        <w:adjustRightInd w:val="0"/>
        <w:spacing w:before="24" w:after="24" w:line="288" w:lineRule="auto"/>
        <w:rPr>
          <w:rFonts w:ascii="Verdana" w:hAnsi="Verdana" w:cs="Arial"/>
          <w:b/>
          <w:lang w:val="en-US"/>
        </w:rPr>
      </w:pPr>
      <w:r w:rsidRPr="0055193F">
        <w:rPr>
          <w:rFonts w:ascii="Verdana" w:hAnsi="Verdana" w:cs="Arial"/>
          <w:lang w:val="en-US"/>
        </w:rPr>
        <w:t>European Convention on Human Rights (ECHR);</w:t>
      </w:r>
      <w:r w:rsidRPr="0055193F">
        <w:rPr>
          <w:rFonts w:ascii="Verdana" w:hAnsi="Verdana" w:cs="Arial"/>
          <w:vertAlign w:val="superscript"/>
          <w:lang w:val="en-US"/>
        </w:rPr>
        <w:footnoteReference w:id="2"/>
      </w:r>
      <w:r w:rsidRPr="0055193F">
        <w:rPr>
          <w:rFonts w:ascii="Verdana" w:hAnsi="Verdana" w:cs="Arial"/>
          <w:lang w:val="en-US"/>
        </w:rPr>
        <w:t xml:space="preserve"> </w:t>
      </w:r>
    </w:p>
    <w:p w14:paraId="52193EB8" w14:textId="77777777" w:rsidR="0055193F" w:rsidRPr="0055193F" w:rsidRDefault="0055193F" w:rsidP="0055193F">
      <w:pPr>
        <w:widowControl w:val="0"/>
        <w:numPr>
          <w:ilvl w:val="0"/>
          <w:numId w:val="15"/>
        </w:numPr>
        <w:autoSpaceDE w:val="0"/>
        <w:autoSpaceDN w:val="0"/>
        <w:adjustRightInd w:val="0"/>
        <w:spacing w:before="24" w:after="24" w:line="288" w:lineRule="auto"/>
        <w:rPr>
          <w:rFonts w:ascii="Verdana" w:hAnsi="Verdana" w:cs="Arial"/>
          <w:lang w:val="en-US"/>
        </w:rPr>
      </w:pPr>
      <w:proofErr w:type="spellStart"/>
      <w:r w:rsidRPr="0055193F">
        <w:rPr>
          <w:rFonts w:ascii="Verdana" w:hAnsi="Verdana" w:cs="Arial"/>
          <w:lang w:val="en-US"/>
        </w:rPr>
        <w:t>CoE</w:t>
      </w:r>
      <w:proofErr w:type="spellEnd"/>
      <w:r w:rsidRPr="0055193F">
        <w:rPr>
          <w:rFonts w:ascii="Verdana" w:hAnsi="Verdana" w:cs="Arial"/>
          <w:lang w:val="en-US"/>
        </w:rPr>
        <w:t xml:space="preserve"> Convention on Preventing and Combating Violence against Women (Istanbul Convention);</w:t>
      </w:r>
      <w:r w:rsidRPr="0055193F">
        <w:rPr>
          <w:rFonts w:ascii="Verdana" w:hAnsi="Verdana" w:cs="Arial"/>
          <w:vertAlign w:val="superscript"/>
          <w:lang w:val="en-US"/>
        </w:rPr>
        <w:footnoteReference w:id="3"/>
      </w:r>
    </w:p>
    <w:p w14:paraId="2D87ECD7" w14:textId="77777777" w:rsidR="0055193F" w:rsidRPr="0055193F" w:rsidRDefault="0055193F" w:rsidP="0055193F">
      <w:pPr>
        <w:widowControl w:val="0"/>
        <w:numPr>
          <w:ilvl w:val="0"/>
          <w:numId w:val="15"/>
        </w:numPr>
        <w:autoSpaceDE w:val="0"/>
        <w:autoSpaceDN w:val="0"/>
        <w:adjustRightInd w:val="0"/>
        <w:spacing w:before="24" w:after="24" w:line="288" w:lineRule="auto"/>
        <w:rPr>
          <w:rFonts w:ascii="Verdana" w:hAnsi="Verdana" w:cs="Arial"/>
          <w:lang w:val="en-US"/>
        </w:rPr>
      </w:pPr>
      <w:r w:rsidRPr="0055193F">
        <w:rPr>
          <w:rFonts w:ascii="Verdana" w:hAnsi="Verdana" w:cs="Arial"/>
          <w:lang w:val="en-US"/>
        </w:rPr>
        <w:t>UN Convention on Civil and Political Rights (UN ICCPR);</w:t>
      </w:r>
      <w:r w:rsidRPr="0055193F">
        <w:rPr>
          <w:rFonts w:ascii="Verdana" w:hAnsi="Verdana" w:cs="Arial"/>
          <w:vertAlign w:val="superscript"/>
          <w:lang w:val="en-US"/>
        </w:rPr>
        <w:footnoteReference w:id="4"/>
      </w:r>
    </w:p>
    <w:p w14:paraId="5295BF55" w14:textId="77777777" w:rsidR="0055193F" w:rsidRPr="0055193F" w:rsidRDefault="0055193F" w:rsidP="0055193F">
      <w:pPr>
        <w:widowControl w:val="0"/>
        <w:numPr>
          <w:ilvl w:val="0"/>
          <w:numId w:val="15"/>
        </w:numPr>
        <w:autoSpaceDE w:val="0"/>
        <w:autoSpaceDN w:val="0"/>
        <w:adjustRightInd w:val="0"/>
        <w:spacing w:before="24" w:after="24" w:line="288" w:lineRule="auto"/>
        <w:rPr>
          <w:rFonts w:ascii="Verdana" w:hAnsi="Verdana" w:cs="Arial"/>
          <w:lang w:val="en-US"/>
        </w:rPr>
      </w:pPr>
      <w:r w:rsidRPr="0055193F">
        <w:rPr>
          <w:rFonts w:ascii="Verdana" w:hAnsi="Verdana" w:cs="Verdana"/>
          <w:color w:val="000000"/>
          <w:lang w:val="en-US"/>
        </w:rPr>
        <w:t>UN Convention on Elimination of Discrimination against Women (UN CEDAW);</w:t>
      </w:r>
      <w:r w:rsidRPr="0055193F">
        <w:rPr>
          <w:rFonts w:ascii="Verdana" w:hAnsi="Verdana" w:cs="Verdana"/>
          <w:color w:val="000000"/>
          <w:vertAlign w:val="superscript"/>
          <w:lang w:val="en-US"/>
        </w:rPr>
        <w:footnoteReference w:id="5"/>
      </w:r>
    </w:p>
    <w:p w14:paraId="55DA07CE" w14:textId="77777777" w:rsidR="0055193F" w:rsidRPr="0055193F" w:rsidRDefault="0055193F" w:rsidP="0055193F">
      <w:pPr>
        <w:widowControl w:val="0"/>
        <w:numPr>
          <w:ilvl w:val="0"/>
          <w:numId w:val="15"/>
        </w:numPr>
        <w:autoSpaceDE w:val="0"/>
        <w:autoSpaceDN w:val="0"/>
        <w:adjustRightInd w:val="0"/>
        <w:spacing w:before="24" w:after="24" w:line="288" w:lineRule="auto"/>
        <w:rPr>
          <w:rFonts w:ascii="Verdana" w:hAnsi="Verdana" w:cs="Arial"/>
          <w:lang w:val="en-US"/>
        </w:rPr>
      </w:pPr>
      <w:r w:rsidRPr="0055193F">
        <w:rPr>
          <w:rFonts w:ascii="Verdana" w:hAnsi="Verdana" w:cs="Verdana"/>
          <w:color w:val="000000"/>
          <w:lang w:val="en-US"/>
        </w:rPr>
        <w:t>UN Convention against Torture (UN CAT);</w:t>
      </w:r>
      <w:r w:rsidRPr="0055193F">
        <w:rPr>
          <w:rFonts w:ascii="Verdana" w:hAnsi="Verdana" w:cs="Verdana"/>
          <w:color w:val="000000"/>
          <w:vertAlign w:val="superscript"/>
          <w:lang w:val="en-US"/>
        </w:rPr>
        <w:footnoteReference w:id="6"/>
      </w:r>
    </w:p>
    <w:p w14:paraId="286A4134" w14:textId="77777777" w:rsidR="0055193F" w:rsidRPr="0055193F" w:rsidRDefault="0055193F" w:rsidP="0055193F">
      <w:pPr>
        <w:spacing w:before="24" w:after="24" w:line="288" w:lineRule="auto"/>
        <w:ind w:left="720"/>
        <w:contextualSpacing/>
        <w:rPr>
          <w:rFonts w:ascii="Verdana" w:hAnsi="Verdana" w:cs="Arial"/>
        </w:rPr>
      </w:pPr>
    </w:p>
    <w:p w14:paraId="0F5439CA" w14:textId="77777777" w:rsidR="0055193F" w:rsidRPr="0055193F" w:rsidRDefault="0055193F" w:rsidP="0055193F">
      <w:pPr>
        <w:numPr>
          <w:ilvl w:val="1"/>
          <w:numId w:val="14"/>
        </w:numPr>
        <w:spacing w:before="24" w:after="24" w:line="288" w:lineRule="auto"/>
        <w:contextualSpacing/>
        <w:rPr>
          <w:rFonts w:ascii="Verdana" w:hAnsi="Verdana" w:cs="Arial"/>
          <w:lang w:val="en-US"/>
        </w:rPr>
      </w:pPr>
      <w:r w:rsidRPr="0055193F">
        <w:rPr>
          <w:rFonts w:ascii="Verdana" w:hAnsi="Verdana" w:cs="Arial"/>
          <w:lang w:val="en-US"/>
        </w:rPr>
        <w:t xml:space="preserve">In addition to these treaty standards, there exists a body of ‘soft law’ developed by the human rights bodies of the </w:t>
      </w:r>
      <w:proofErr w:type="spellStart"/>
      <w:r w:rsidRPr="0055193F">
        <w:rPr>
          <w:rFonts w:ascii="Verdana" w:hAnsi="Verdana" w:cs="Arial"/>
          <w:lang w:val="en-US"/>
        </w:rPr>
        <w:t>CoE</w:t>
      </w:r>
      <w:proofErr w:type="spellEnd"/>
      <w:r w:rsidRPr="0055193F">
        <w:rPr>
          <w:rFonts w:ascii="Verdana" w:hAnsi="Verdana" w:cs="Arial"/>
          <w:lang w:val="en-US"/>
        </w:rPr>
        <w:t xml:space="preserve"> and UN. These declarations and principles are non-</w:t>
      </w:r>
      <w:proofErr w:type="gramStart"/>
      <w:r w:rsidRPr="0055193F">
        <w:rPr>
          <w:rFonts w:ascii="Verdana" w:hAnsi="Verdana" w:cs="Arial"/>
          <w:lang w:val="en-US"/>
        </w:rPr>
        <w:t>binding, but</w:t>
      </w:r>
      <w:proofErr w:type="gramEnd"/>
      <w:r w:rsidRPr="0055193F">
        <w:rPr>
          <w:rFonts w:ascii="Verdana" w:hAnsi="Verdana" w:cs="Arial"/>
          <w:lang w:val="en-US"/>
        </w:rPr>
        <w:t xml:space="preserve"> provide further guidance in respect of specific areas. The relevant standards in this context include:</w:t>
      </w:r>
    </w:p>
    <w:p w14:paraId="2D39C251" w14:textId="77777777" w:rsidR="0055193F" w:rsidRPr="0055193F" w:rsidRDefault="0055193F" w:rsidP="0055193F">
      <w:pPr>
        <w:spacing w:before="24" w:after="24" w:line="288" w:lineRule="auto"/>
        <w:ind w:left="720"/>
        <w:contextualSpacing/>
        <w:rPr>
          <w:rFonts w:ascii="Verdana" w:hAnsi="Verdana" w:cs="Arial"/>
          <w:lang w:val="en-US"/>
        </w:rPr>
      </w:pPr>
    </w:p>
    <w:p w14:paraId="1BE05F4A" w14:textId="77777777" w:rsidR="0055193F" w:rsidRPr="0055193F" w:rsidRDefault="0055193F" w:rsidP="0055193F">
      <w:pPr>
        <w:numPr>
          <w:ilvl w:val="0"/>
          <w:numId w:val="16"/>
        </w:numPr>
        <w:spacing w:before="24" w:after="24" w:line="288" w:lineRule="auto"/>
        <w:contextualSpacing/>
        <w:rPr>
          <w:rFonts w:ascii="Verdana" w:hAnsi="Verdana" w:cs="Arial"/>
          <w:lang w:val="en-US"/>
        </w:rPr>
      </w:pPr>
      <w:r w:rsidRPr="0055193F">
        <w:rPr>
          <w:rFonts w:ascii="Verdana" w:hAnsi="Verdana" w:cs="Arial"/>
          <w:lang w:val="en-US"/>
        </w:rPr>
        <w:lastRenderedPageBreak/>
        <w:t>UN CAT Committee Concluding Observations 2019;</w:t>
      </w:r>
      <w:r w:rsidRPr="0055193F">
        <w:rPr>
          <w:rFonts w:ascii="Verdana" w:hAnsi="Verdana" w:cs="Arial"/>
          <w:vertAlign w:val="superscript"/>
          <w:lang w:val="en-US"/>
        </w:rPr>
        <w:footnoteReference w:id="7"/>
      </w:r>
    </w:p>
    <w:p w14:paraId="09B466C3" w14:textId="77777777" w:rsidR="0055193F" w:rsidRPr="0055193F" w:rsidRDefault="0055193F" w:rsidP="0055193F">
      <w:pPr>
        <w:numPr>
          <w:ilvl w:val="0"/>
          <w:numId w:val="16"/>
        </w:numPr>
        <w:spacing w:before="24" w:after="24" w:line="288" w:lineRule="auto"/>
        <w:contextualSpacing/>
        <w:rPr>
          <w:rFonts w:ascii="Verdana" w:hAnsi="Verdana" w:cs="Arial"/>
          <w:lang w:val="en-US"/>
        </w:rPr>
      </w:pPr>
      <w:r w:rsidRPr="0055193F">
        <w:rPr>
          <w:rFonts w:ascii="Verdana" w:hAnsi="Verdana" w:cs="Arial"/>
          <w:lang w:val="en-US"/>
        </w:rPr>
        <w:t>UN CEDAW Committee Concluding Observations 2019;</w:t>
      </w:r>
      <w:r w:rsidRPr="0055193F">
        <w:rPr>
          <w:rFonts w:ascii="Verdana" w:hAnsi="Verdana" w:cs="Arial"/>
          <w:vertAlign w:val="superscript"/>
          <w:lang w:val="en-US"/>
        </w:rPr>
        <w:footnoteReference w:id="8"/>
      </w:r>
    </w:p>
    <w:p w14:paraId="68D70840" w14:textId="77777777" w:rsidR="0055193F" w:rsidRPr="0055193F" w:rsidRDefault="0055193F" w:rsidP="0055193F">
      <w:pPr>
        <w:numPr>
          <w:ilvl w:val="0"/>
          <w:numId w:val="16"/>
        </w:numPr>
        <w:spacing w:before="24" w:after="24" w:line="288" w:lineRule="auto"/>
        <w:contextualSpacing/>
        <w:rPr>
          <w:rFonts w:ascii="Verdana" w:hAnsi="Verdana" w:cs="Arial"/>
          <w:lang w:val="en-US"/>
        </w:rPr>
      </w:pPr>
      <w:r w:rsidRPr="0055193F">
        <w:rPr>
          <w:rFonts w:ascii="Verdana" w:hAnsi="Verdana" w:cs="Arial"/>
          <w:lang w:val="en-US"/>
        </w:rPr>
        <w:t>UN Human Rights Committee General Comment 32;</w:t>
      </w:r>
      <w:r w:rsidRPr="0055193F">
        <w:rPr>
          <w:rFonts w:ascii="Verdana" w:hAnsi="Verdana" w:cs="Arial"/>
          <w:vertAlign w:val="superscript"/>
          <w:lang w:val="en-US"/>
        </w:rPr>
        <w:footnoteReference w:id="9"/>
      </w:r>
      <w:r w:rsidRPr="0055193F">
        <w:rPr>
          <w:rFonts w:ascii="Verdana" w:hAnsi="Verdana" w:cs="Arial"/>
          <w:lang w:val="en-US"/>
        </w:rPr>
        <w:t xml:space="preserve"> and </w:t>
      </w:r>
    </w:p>
    <w:p w14:paraId="1C646F0C" w14:textId="77777777" w:rsidR="0055193F" w:rsidRPr="0055193F" w:rsidRDefault="0055193F" w:rsidP="0055193F">
      <w:pPr>
        <w:numPr>
          <w:ilvl w:val="0"/>
          <w:numId w:val="16"/>
        </w:numPr>
        <w:spacing w:before="24" w:after="24" w:line="288" w:lineRule="auto"/>
        <w:contextualSpacing/>
        <w:rPr>
          <w:rFonts w:ascii="Verdana" w:hAnsi="Verdana" w:cs="Arial"/>
          <w:lang w:val="en-US"/>
        </w:rPr>
      </w:pPr>
      <w:r w:rsidRPr="0055193F">
        <w:rPr>
          <w:rFonts w:ascii="Verdana" w:hAnsi="Verdana" w:cs="Arial"/>
          <w:lang w:val="en-US"/>
        </w:rPr>
        <w:t>UN Declaration on the Elimination of Violence against Women.</w:t>
      </w:r>
      <w:r w:rsidRPr="0055193F">
        <w:rPr>
          <w:rFonts w:ascii="Verdana" w:hAnsi="Verdana" w:cs="Arial"/>
          <w:vertAlign w:val="superscript"/>
          <w:lang w:val="en-US"/>
        </w:rPr>
        <w:footnoteReference w:id="10"/>
      </w:r>
    </w:p>
    <w:p w14:paraId="5404D322" w14:textId="77777777" w:rsidR="007E0719" w:rsidRPr="007E0719" w:rsidRDefault="007E0719" w:rsidP="0055193F">
      <w:pPr>
        <w:pStyle w:val="ListParagraph"/>
        <w:spacing w:before="24" w:after="24"/>
        <w:rPr>
          <w:rFonts w:ascii="Verdana" w:eastAsia="Times New Roman" w:hAnsi="Verdana" w:cs="Times New Roman"/>
        </w:rPr>
      </w:pPr>
    </w:p>
    <w:p w14:paraId="5824ACE5" w14:textId="77777777" w:rsidR="007E0719" w:rsidRDefault="007E0719" w:rsidP="00836A88">
      <w:pPr>
        <w:numPr>
          <w:ilvl w:val="1"/>
          <w:numId w:val="14"/>
        </w:numPr>
        <w:spacing w:before="24" w:after="24" w:line="288" w:lineRule="auto"/>
        <w:contextualSpacing/>
        <w:rPr>
          <w:rFonts w:ascii="Verdana" w:eastAsia="Times New Roman" w:hAnsi="Verdana" w:cs="Times New Roman"/>
        </w:rPr>
      </w:pPr>
      <w:r w:rsidRPr="007E0719">
        <w:rPr>
          <w:rFonts w:ascii="Verdana" w:eastAsia="Times New Roman" w:hAnsi="Verdana" w:cs="Times New Roman"/>
        </w:rPr>
        <w:t>The Commission further advises on the UK Government commitment in Protocol Article 2(1) to ensure there is no diminution of rights, safeguards and equality of opportunity in the relevant section of the Belfast (Good Friday) Agreement as a result of the UK’s withdrawal from the EU. This is given effect in UK law by section 7A of the EU (Withdrawal) Act 2018. In addition, Section 6 of the Northern Ireland Act 1998 provides that the NI Assembly is prohibited from making any law which is incompatible with Protocol Article 2. Section 24 of the 1998 Act also provides that all acts of the Department should be compatible with Protocol Article 2.</w:t>
      </w:r>
    </w:p>
    <w:p w14:paraId="1209BC77" w14:textId="77777777" w:rsidR="007E0719" w:rsidRPr="007E0719" w:rsidRDefault="007E0719" w:rsidP="0055193F">
      <w:pPr>
        <w:pStyle w:val="ListParagraph"/>
        <w:spacing w:before="24" w:after="24"/>
        <w:rPr>
          <w:rFonts w:ascii="Verdana" w:eastAsia="Times New Roman" w:hAnsi="Verdana" w:cs="Times New Roman"/>
        </w:rPr>
      </w:pPr>
    </w:p>
    <w:p w14:paraId="1A8FCA98" w14:textId="77777777" w:rsidR="007E0719" w:rsidRPr="007E0719" w:rsidRDefault="007E0719" w:rsidP="00836A88">
      <w:pPr>
        <w:numPr>
          <w:ilvl w:val="1"/>
          <w:numId w:val="14"/>
        </w:numPr>
        <w:spacing w:before="24" w:after="24" w:line="288" w:lineRule="auto"/>
        <w:contextualSpacing/>
        <w:rPr>
          <w:rFonts w:ascii="Verdana" w:eastAsia="Times New Roman" w:hAnsi="Verdana" w:cs="Times New Roman"/>
        </w:rPr>
      </w:pPr>
      <w:r w:rsidRPr="007E0719">
        <w:rPr>
          <w:rFonts w:ascii="Verdana" w:eastAsia="Times New Roman" w:hAnsi="Verdana" w:cs="Times New Roman"/>
        </w:rPr>
        <w:t>The Commission welcomes the Call for Views to inform the development of a new “Domestic and Sexual Abuse Strategy” and an “Equally Safe Strategy – A Strategy to tackle Violence against Women and Girls”. This submission outlines relevant human rights standards that the Department</w:t>
      </w:r>
      <w:r w:rsidR="00201044">
        <w:rPr>
          <w:rFonts w:ascii="Verdana" w:eastAsia="Times New Roman" w:hAnsi="Verdana" w:cs="Times New Roman"/>
        </w:rPr>
        <w:t xml:space="preserve"> of Health, the Department of Justice</w:t>
      </w:r>
      <w:r w:rsidRPr="007E0719">
        <w:rPr>
          <w:rFonts w:ascii="Verdana" w:eastAsia="Times New Roman" w:hAnsi="Verdana" w:cs="Times New Roman"/>
        </w:rPr>
        <w:t xml:space="preserve"> and Executive should consider </w:t>
      </w:r>
      <w:proofErr w:type="gramStart"/>
      <w:r w:rsidRPr="007E0719">
        <w:rPr>
          <w:rFonts w:ascii="Verdana" w:eastAsia="Times New Roman" w:hAnsi="Verdana" w:cs="Times New Roman"/>
        </w:rPr>
        <w:t>to help</w:t>
      </w:r>
      <w:proofErr w:type="gramEnd"/>
      <w:r w:rsidRPr="007E0719">
        <w:rPr>
          <w:rFonts w:ascii="Verdana" w:eastAsia="Times New Roman" w:hAnsi="Verdana" w:cs="Times New Roman"/>
        </w:rPr>
        <w:t xml:space="preserve"> inform the content, actions and overall direction of the two strategies. The Commission understands the final draft strategies will also be subject to a full public consultation and welcomes the opportunity to provide further detail and advice on the content of the strategies at that stage. </w:t>
      </w:r>
    </w:p>
    <w:p w14:paraId="195BE6E3" w14:textId="77777777" w:rsidR="007E0719" w:rsidRPr="007E0719" w:rsidRDefault="007E0719" w:rsidP="0055193F">
      <w:pPr>
        <w:widowControl w:val="0"/>
        <w:suppressAutoHyphens/>
        <w:autoSpaceDE w:val="0"/>
        <w:autoSpaceDN w:val="0"/>
        <w:adjustRightInd w:val="0"/>
        <w:spacing w:before="24" w:after="24" w:line="288" w:lineRule="auto"/>
        <w:textAlignment w:val="center"/>
        <w:rPr>
          <w:rFonts w:ascii="Verdana" w:eastAsia="Times New Roman" w:hAnsi="Verdana" w:cs="Times New Roman"/>
          <w:color w:val="000000"/>
        </w:rPr>
      </w:pPr>
    </w:p>
    <w:p w14:paraId="75B558BF" w14:textId="77777777" w:rsidR="007E0719" w:rsidRPr="007E0719" w:rsidRDefault="007E0719" w:rsidP="0055193F">
      <w:pPr>
        <w:pStyle w:val="Heading1"/>
        <w:numPr>
          <w:ilvl w:val="0"/>
          <w:numId w:val="9"/>
        </w:numPr>
        <w:spacing w:before="24" w:after="24"/>
      </w:pPr>
      <w:bookmarkStart w:id="2" w:name="_Toc96700065"/>
      <w:r w:rsidRPr="007E0719">
        <w:t>Human Rights Standards</w:t>
      </w:r>
      <w:bookmarkEnd w:id="2"/>
      <w:r w:rsidRPr="007E0719">
        <w:t xml:space="preserve"> </w:t>
      </w:r>
    </w:p>
    <w:p w14:paraId="491A7FC3" w14:textId="77777777" w:rsidR="007E0719" w:rsidRPr="007E0719" w:rsidRDefault="007E0719" w:rsidP="0055193F">
      <w:pPr>
        <w:widowControl w:val="0"/>
        <w:suppressAutoHyphens/>
        <w:autoSpaceDE w:val="0"/>
        <w:autoSpaceDN w:val="0"/>
        <w:adjustRightInd w:val="0"/>
        <w:spacing w:before="24" w:after="24" w:line="288" w:lineRule="auto"/>
        <w:textAlignment w:val="center"/>
        <w:rPr>
          <w:rFonts w:ascii="Verdana" w:eastAsia="Times New Roman" w:hAnsi="Verdana" w:cs="Times New Roman"/>
          <w:color w:val="000000"/>
        </w:rPr>
      </w:pPr>
    </w:p>
    <w:p w14:paraId="18A436BB" w14:textId="5D9F4809" w:rsidR="007E0719" w:rsidRPr="007E0719" w:rsidRDefault="007E0719" w:rsidP="0055193F">
      <w:pPr>
        <w:pStyle w:val="ListParagraph"/>
        <w:widowControl w:val="0"/>
        <w:numPr>
          <w:ilvl w:val="1"/>
          <w:numId w:val="9"/>
        </w:numPr>
        <w:suppressAutoHyphens/>
        <w:autoSpaceDE w:val="0"/>
        <w:autoSpaceDN w:val="0"/>
        <w:adjustRightInd w:val="0"/>
        <w:spacing w:before="24" w:after="24" w:line="288" w:lineRule="auto"/>
        <w:textAlignment w:val="center"/>
        <w:rPr>
          <w:rFonts w:ascii="Verdana" w:hAnsi="Verdana" w:cs="MinionPro-Regular"/>
          <w:color w:val="000000"/>
        </w:rPr>
      </w:pPr>
      <w:r w:rsidRPr="007E0719">
        <w:rPr>
          <w:rFonts w:ascii="Verdana" w:hAnsi="Verdana" w:cs="MinionPro-Regular"/>
          <w:color w:val="000000"/>
        </w:rPr>
        <w:t xml:space="preserve">International human rights law places </w:t>
      </w:r>
      <w:proofErr w:type="gramStart"/>
      <w:r w:rsidRPr="007E0719">
        <w:rPr>
          <w:rFonts w:ascii="Verdana" w:hAnsi="Verdana" w:cs="MinionPro-Regular"/>
          <w:color w:val="000000"/>
        </w:rPr>
        <w:t>a number of</w:t>
      </w:r>
      <w:proofErr w:type="gramEnd"/>
      <w:r w:rsidRPr="007E0719">
        <w:rPr>
          <w:rFonts w:ascii="Verdana" w:hAnsi="Verdana" w:cs="MinionPro-Regular"/>
          <w:color w:val="000000"/>
        </w:rPr>
        <w:t xml:space="preserve"> specific positive obligations on the Northern Ireland (NI) Executive to safeguard the rights of individuals who have been victims of domestic and</w:t>
      </w:r>
      <w:r w:rsidR="00715E3B">
        <w:rPr>
          <w:rFonts w:ascii="Verdana" w:hAnsi="Verdana" w:cs="MinionPro-Regular"/>
          <w:color w:val="000000"/>
        </w:rPr>
        <w:t>/or</w:t>
      </w:r>
      <w:r w:rsidRPr="007E0719">
        <w:rPr>
          <w:rFonts w:ascii="Verdana" w:hAnsi="Verdana" w:cs="MinionPro-Regular"/>
          <w:color w:val="000000"/>
        </w:rPr>
        <w:t xml:space="preserve"> sexual abuse and</w:t>
      </w:r>
      <w:r w:rsidR="00715E3B">
        <w:rPr>
          <w:rFonts w:ascii="Verdana" w:hAnsi="Verdana" w:cs="MinionPro-Regular"/>
          <w:color w:val="000000"/>
        </w:rPr>
        <w:t>/or</w:t>
      </w:r>
      <w:r w:rsidRPr="007E0719">
        <w:rPr>
          <w:rFonts w:ascii="Verdana" w:hAnsi="Verdana" w:cs="MinionPro-Regular"/>
          <w:color w:val="000000"/>
        </w:rPr>
        <w:t xml:space="preserve"> gender-based violence. There is also a positive obligation to ensure that an appropriate legal framework is in place to protect individuals from human rights abuses and violations. Domestic and sexual abuse and gender</w:t>
      </w:r>
      <w:r w:rsidR="00715E3B">
        <w:rPr>
          <w:rFonts w:ascii="Verdana" w:hAnsi="Verdana" w:cs="MinionPro-Regular"/>
          <w:color w:val="000000"/>
        </w:rPr>
        <w:t>-</w:t>
      </w:r>
      <w:r w:rsidRPr="007E0719">
        <w:rPr>
          <w:rFonts w:ascii="Verdana" w:hAnsi="Verdana" w:cs="MinionPro-Regular"/>
          <w:color w:val="000000"/>
        </w:rPr>
        <w:t xml:space="preserve">based violence violate </w:t>
      </w:r>
      <w:proofErr w:type="gramStart"/>
      <w:r w:rsidRPr="007E0719">
        <w:rPr>
          <w:rFonts w:ascii="Verdana" w:hAnsi="Verdana" w:cs="MinionPro-Regular"/>
          <w:color w:val="000000"/>
        </w:rPr>
        <w:t>a number of</w:t>
      </w:r>
      <w:proofErr w:type="gramEnd"/>
      <w:r w:rsidRPr="007E0719">
        <w:rPr>
          <w:rFonts w:ascii="Verdana" w:hAnsi="Verdana" w:cs="MinionPro-Regular"/>
          <w:color w:val="000000"/>
        </w:rPr>
        <w:t xml:space="preserve"> human rights. The primary standards are set out below. </w:t>
      </w:r>
    </w:p>
    <w:p w14:paraId="6ED46412" w14:textId="77777777" w:rsidR="007E0719" w:rsidRPr="007E0719" w:rsidRDefault="007E0719" w:rsidP="0055193F">
      <w:pPr>
        <w:pStyle w:val="Heading2"/>
        <w:spacing w:before="24" w:after="24"/>
      </w:pPr>
    </w:p>
    <w:p w14:paraId="650FF2F5" w14:textId="77777777" w:rsidR="007E0719" w:rsidRPr="007E0719" w:rsidRDefault="007E0719" w:rsidP="0055193F">
      <w:pPr>
        <w:pStyle w:val="Heading2"/>
        <w:spacing w:before="24" w:after="24"/>
      </w:pPr>
      <w:bookmarkStart w:id="3" w:name="_Toc96700066"/>
      <w:r w:rsidRPr="007E0719">
        <w:t>European Convention on Human Rights</w:t>
      </w:r>
      <w:bookmarkEnd w:id="3"/>
    </w:p>
    <w:p w14:paraId="2FE89AEA" w14:textId="77777777" w:rsidR="007E0719" w:rsidRPr="007E0719" w:rsidRDefault="007E0719" w:rsidP="0055193F">
      <w:pPr>
        <w:widowControl w:val="0"/>
        <w:suppressAutoHyphens/>
        <w:autoSpaceDE w:val="0"/>
        <w:autoSpaceDN w:val="0"/>
        <w:adjustRightInd w:val="0"/>
        <w:spacing w:before="24" w:after="24" w:line="288" w:lineRule="auto"/>
        <w:textAlignment w:val="center"/>
        <w:rPr>
          <w:rFonts w:ascii="Verdana" w:hAnsi="Verdana" w:cs="MinionPro-Regular"/>
          <w:color w:val="000000"/>
          <w:u w:val="single"/>
        </w:rPr>
      </w:pPr>
    </w:p>
    <w:p w14:paraId="098BCACB" w14:textId="07A363DF" w:rsidR="007E0719" w:rsidRDefault="007E0719" w:rsidP="0055193F">
      <w:pPr>
        <w:pStyle w:val="ListParagraph"/>
        <w:widowControl w:val="0"/>
        <w:numPr>
          <w:ilvl w:val="1"/>
          <w:numId w:val="9"/>
        </w:numPr>
        <w:suppressAutoHyphens/>
        <w:autoSpaceDE w:val="0"/>
        <w:autoSpaceDN w:val="0"/>
        <w:adjustRightInd w:val="0"/>
        <w:spacing w:before="24" w:after="24" w:line="288" w:lineRule="auto"/>
        <w:textAlignment w:val="center"/>
        <w:rPr>
          <w:rFonts w:ascii="Verdana" w:hAnsi="Verdana" w:cs="MinionPro-Regular"/>
          <w:color w:val="000000"/>
        </w:rPr>
      </w:pPr>
      <w:r w:rsidRPr="007E0719">
        <w:rPr>
          <w:rFonts w:ascii="Verdana" w:hAnsi="Verdana" w:cs="MinionPro-Regular"/>
          <w:color w:val="000000"/>
        </w:rPr>
        <w:t xml:space="preserve">Domestic </w:t>
      </w:r>
      <w:r w:rsidR="00715E3B">
        <w:rPr>
          <w:rFonts w:ascii="Verdana" w:hAnsi="Verdana" w:cs="MinionPro-Regular"/>
          <w:color w:val="000000"/>
        </w:rPr>
        <w:t xml:space="preserve">and sexual </w:t>
      </w:r>
      <w:r w:rsidRPr="007E0719">
        <w:rPr>
          <w:rFonts w:ascii="Verdana" w:hAnsi="Verdana" w:cs="MinionPro-Regular"/>
          <w:color w:val="000000"/>
        </w:rPr>
        <w:t>abuse and gender</w:t>
      </w:r>
      <w:r w:rsidR="00715E3B">
        <w:rPr>
          <w:rFonts w:ascii="Verdana" w:hAnsi="Verdana" w:cs="MinionPro-Regular"/>
          <w:color w:val="000000"/>
        </w:rPr>
        <w:t>-</w:t>
      </w:r>
      <w:r w:rsidRPr="007E0719">
        <w:rPr>
          <w:rFonts w:ascii="Verdana" w:hAnsi="Verdana" w:cs="MinionPro-Regular"/>
          <w:color w:val="000000"/>
        </w:rPr>
        <w:t xml:space="preserve">based violence engage </w:t>
      </w:r>
      <w:proofErr w:type="gramStart"/>
      <w:r w:rsidRPr="007E0719">
        <w:rPr>
          <w:rFonts w:ascii="Verdana" w:hAnsi="Verdana" w:cs="MinionPro-Regular"/>
          <w:color w:val="000000"/>
        </w:rPr>
        <w:t>a number of</w:t>
      </w:r>
      <w:proofErr w:type="gramEnd"/>
      <w:r w:rsidRPr="007E0719">
        <w:rPr>
          <w:rFonts w:ascii="Verdana" w:hAnsi="Verdana" w:cs="MinionPro-Regular"/>
          <w:color w:val="000000"/>
        </w:rPr>
        <w:t xml:space="preserve"> rights under the European Convention of Human Rights (ECHR)</w:t>
      </w:r>
      <w:r w:rsidR="00715E3B">
        <w:rPr>
          <w:rFonts w:ascii="Verdana" w:hAnsi="Verdana" w:cs="MinionPro-Regular"/>
          <w:color w:val="000000"/>
        </w:rPr>
        <w:t xml:space="preserve">. These include </w:t>
      </w:r>
      <w:r w:rsidRPr="007E0719">
        <w:rPr>
          <w:rFonts w:ascii="Verdana" w:hAnsi="Verdana" w:cs="MinionPro-Regular"/>
          <w:color w:val="000000"/>
        </w:rPr>
        <w:t xml:space="preserve">Article 2 </w:t>
      </w:r>
      <w:r w:rsidR="00715E3B">
        <w:rPr>
          <w:rFonts w:ascii="Verdana" w:hAnsi="Verdana" w:cs="MinionPro-Regular"/>
          <w:color w:val="000000"/>
        </w:rPr>
        <w:t>(</w:t>
      </w:r>
      <w:r w:rsidRPr="007E0719">
        <w:rPr>
          <w:rFonts w:ascii="Verdana" w:hAnsi="Verdana" w:cs="MinionPro-Regular"/>
          <w:color w:val="000000"/>
        </w:rPr>
        <w:t>the right to life</w:t>
      </w:r>
      <w:r w:rsidR="00715E3B">
        <w:rPr>
          <w:rFonts w:ascii="Verdana" w:hAnsi="Verdana" w:cs="MinionPro-Regular"/>
          <w:color w:val="000000"/>
        </w:rPr>
        <w:t>)</w:t>
      </w:r>
      <w:r w:rsidRPr="007E0719">
        <w:rPr>
          <w:rFonts w:ascii="Verdana" w:hAnsi="Verdana" w:cs="MinionPro-Regular"/>
          <w:color w:val="000000"/>
        </w:rPr>
        <w:t xml:space="preserve">; Article 3 </w:t>
      </w:r>
      <w:r w:rsidR="00715E3B">
        <w:rPr>
          <w:rFonts w:ascii="Verdana" w:hAnsi="Verdana" w:cs="MinionPro-Regular"/>
          <w:color w:val="000000"/>
        </w:rPr>
        <w:t>(fre</w:t>
      </w:r>
      <w:r w:rsidRPr="007E0719">
        <w:rPr>
          <w:rFonts w:ascii="Verdana" w:hAnsi="Verdana" w:cs="MinionPro-Regular"/>
          <w:color w:val="000000"/>
        </w:rPr>
        <w:t>edom from torture, inhuman and degrading treatment</w:t>
      </w:r>
      <w:r w:rsidR="00715E3B">
        <w:rPr>
          <w:rFonts w:ascii="Verdana" w:hAnsi="Verdana" w:cs="MinionPro-Regular"/>
          <w:color w:val="000000"/>
        </w:rPr>
        <w:t>)</w:t>
      </w:r>
      <w:r w:rsidRPr="007E0719">
        <w:rPr>
          <w:rFonts w:ascii="Verdana" w:hAnsi="Verdana" w:cs="MinionPro-Regular"/>
          <w:color w:val="000000"/>
        </w:rPr>
        <w:t xml:space="preserve">; Article 8 </w:t>
      </w:r>
      <w:r w:rsidR="00715E3B">
        <w:rPr>
          <w:rFonts w:ascii="Verdana" w:hAnsi="Verdana" w:cs="MinionPro-Regular"/>
          <w:color w:val="000000"/>
        </w:rPr>
        <w:t>(</w:t>
      </w:r>
      <w:r w:rsidRPr="007E0719">
        <w:rPr>
          <w:rFonts w:ascii="Verdana" w:hAnsi="Verdana" w:cs="MinionPro-Regular"/>
          <w:color w:val="000000"/>
        </w:rPr>
        <w:t>right to a private and family life, including bodily integrity</w:t>
      </w:r>
      <w:r w:rsidR="00715E3B">
        <w:rPr>
          <w:rFonts w:ascii="Verdana" w:hAnsi="Verdana" w:cs="MinionPro-Regular"/>
          <w:color w:val="000000"/>
        </w:rPr>
        <w:t>;</w:t>
      </w:r>
      <w:r w:rsidRPr="007E0719">
        <w:rPr>
          <w:rFonts w:ascii="Verdana" w:hAnsi="Verdana" w:cs="MinionPro-Regular"/>
          <w:color w:val="000000"/>
        </w:rPr>
        <w:t xml:space="preserve"> </w:t>
      </w:r>
      <w:proofErr w:type="gramStart"/>
      <w:r w:rsidRPr="007E0719">
        <w:rPr>
          <w:rFonts w:ascii="Verdana" w:hAnsi="Verdana" w:cs="MinionPro-Regular"/>
          <w:color w:val="000000"/>
        </w:rPr>
        <w:t>and</w:t>
      </w:r>
      <w:r w:rsidR="00715E3B">
        <w:rPr>
          <w:rFonts w:ascii="Verdana" w:hAnsi="Verdana" w:cs="MinionPro-Regular"/>
          <w:color w:val="000000"/>
        </w:rPr>
        <w:t>,</w:t>
      </w:r>
      <w:proofErr w:type="gramEnd"/>
      <w:r w:rsidRPr="007E0719">
        <w:rPr>
          <w:rFonts w:ascii="Verdana" w:hAnsi="Verdana" w:cs="MinionPro-Regular"/>
          <w:color w:val="000000"/>
        </w:rPr>
        <w:t xml:space="preserve"> Article 14 </w:t>
      </w:r>
      <w:r w:rsidR="00715E3B">
        <w:rPr>
          <w:rFonts w:ascii="Verdana" w:hAnsi="Verdana" w:cs="MinionPro-Regular"/>
          <w:color w:val="000000"/>
        </w:rPr>
        <w:t>(</w:t>
      </w:r>
      <w:r w:rsidRPr="007E0719">
        <w:rPr>
          <w:rFonts w:ascii="Verdana" w:hAnsi="Verdana" w:cs="MinionPro-Regular"/>
          <w:color w:val="000000"/>
        </w:rPr>
        <w:t xml:space="preserve">freedom from discrimination in the enjoyment of other </w:t>
      </w:r>
      <w:r w:rsidR="00715E3B">
        <w:rPr>
          <w:rFonts w:ascii="Verdana" w:hAnsi="Verdana" w:cs="MinionPro-Regular"/>
          <w:color w:val="000000"/>
        </w:rPr>
        <w:t>ECHR</w:t>
      </w:r>
      <w:r w:rsidR="00715E3B" w:rsidRPr="007E0719">
        <w:rPr>
          <w:rFonts w:ascii="Verdana" w:hAnsi="Verdana" w:cs="MinionPro-Regular"/>
          <w:color w:val="000000"/>
        </w:rPr>
        <w:t xml:space="preserve"> </w:t>
      </w:r>
      <w:r w:rsidRPr="007E0719">
        <w:rPr>
          <w:rFonts w:ascii="Verdana" w:hAnsi="Verdana" w:cs="MinionPro-Regular"/>
          <w:color w:val="000000"/>
        </w:rPr>
        <w:t>rights</w:t>
      </w:r>
      <w:r w:rsidR="00715E3B">
        <w:rPr>
          <w:rFonts w:ascii="Verdana" w:hAnsi="Verdana" w:cs="MinionPro-Regular"/>
          <w:color w:val="000000"/>
        </w:rPr>
        <w:t>)</w:t>
      </w:r>
      <w:r w:rsidRPr="007E0719">
        <w:rPr>
          <w:rFonts w:ascii="Verdana" w:hAnsi="Verdana" w:cs="MinionPro-Regular"/>
          <w:color w:val="000000"/>
        </w:rPr>
        <w:t xml:space="preserve">. </w:t>
      </w:r>
    </w:p>
    <w:p w14:paraId="52EF81AC" w14:textId="77777777" w:rsidR="007E0719" w:rsidRDefault="007E0719" w:rsidP="0055193F">
      <w:pPr>
        <w:pStyle w:val="ListParagraph"/>
        <w:widowControl w:val="0"/>
        <w:suppressAutoHyphens/>
        <w:autoSpaceDE w:val="0"/>
        <w:autoSpaceDN w:val="0"/>
        <w:adjustRightInd w:val="0"/>
        <w:spacing w:before="24" w:after="24" w:line="288" w:lineRule="auto"/>
        <w:textAlignment w:val="center"/>
        <w:rPr>
          <w:rFonts w:ascii="Verdana" w:hAnsi="Verdana" w:cs="MinionPro-Regular"/>
          <w:color w:val="000000"/>
        </w:rPr>
      </w:pPr>
    </w:p>
    <w:p w14:paraId="494E789A" w14:textId="20A8C6C8" w:rsidR="007E0719" w:rsidRPr="007E0719" w:rsidRDefault="007E0719" w:rsidP="0055193F">
      <w:pPr>
        <w:pStyle w:val="ListParagraph"/>
        <w:widowControl w:val="0"/>
        <w:numPr>
          <w:ilvl w:val="1"/>
          <w:numId w:val="9"/>
        </w:numPr>
        <w:suppressAutoHyphens/>
        <w:autoSpaceDE w:val="0"/>
        <w:autoSpaceDN w:val="0"/>
        <w:adjustRightInd w:val="0"/>
        <w:spacing w:before="24" w:after="24" w:line="288" w:lineRule="auto"/>
        <w:textAlignment w:val="center"/>
        <w:rPr>
          <w:rFonts w:ascii="Verdana" w:hAnsi="Verdana" w:cs="MinionPro-Regular"/>
          <w:color w:val="000000"/>
        </w:rPr>
      </w:pPr>
      <w:r w:rsidRPr="007E0719">
        <w:rPr>
          <w:rFonts w:ascii="Verdana" w:hAnsi="Verdana" w:cs="Arial"/>
          <w:color w:val="000000"/>
        </w:rPr>
        <w:t xml:space="preserve">The European Court of Human Rights (ECtHR) has held that the State has a responsibility to protect individuals from violence by third parties. This has been particularly true in cases involving victims of domestic and sexual abuse and gender-based violence. </w:t>
      </w:r>
      <w:r w:rsidR="006F249D">
        <w:rPr>
          <w:rFonts w:ascii="Verdana" w:hAnsi="Verdana" w:cs="Arial"/>
          <w:color w:val="000000"/>
        </w:rPr>
        <w:t>There</w:t>
      </w:r>
      <w:r w:rsidRPr="007E0719">
        <w:rPr>
          <w:rFonts w:ascii="Verdana" w:hAnsi="Verdana" w:cs="Arial"/>
          <w:color w:val="000000"/>
        </w:rPr>
        <w:t xml:space="preserve"> are positive obligations under Article 2 ECHR to take appropriate steps to safeguard the lives of </w:t>
      </w:r>
      <w:r w:rsidR="006F249D">
        <w:rPr>
          <w:rFonts w:ascii="Verdana" w:hAnsi="Verdana" w:cs="Arial"/>
          <w:color w:val="000000"/>
        </w:rPr>
        <w:t xml:space="preserve">people, </w:t>
      </w:r>
      <w:r w:rsidRPr="007E0719">
        <w:rPr>
          <w:rFonts w:ascii="Verdana" w:hAnsi="Verdana" w:cs="Arial"/>
          <w:color w:val="000000"/>
        </w:rPr>
        <w:t>in the context of any activity, whether public or not, in which the right to life may be at stake.</w:t>
      </w:r>
      <w:r w:rsidRPr="007E0719">
        <w:rPr>
          <w:rFonts w:cs="Arial"/>
          <w:vertAlign w:val="superscript"/>
        </w:rPr>
        <w:footnoteReference w:id="11"/>
      </w:r>
      <w:r w:rsidRPr="007E0719">
        <w:rPr>
          <w:rFonts w:ascii="Verdana" w:hAnsi="Verdana" w:cs="Arial"/>
          <w:color w:val="000000"/>
        </w:rPr>
        <w:t xml:space="preserve"> </w:t>
      </w:r>
      <w:r w:rsidR="006F249D">
        <w:rPr>
          <w:rFonts w:ascii="Verdana" w:hAnsi="Verdana" w:cs="Arial"/>
          <w:color w:val="000000"/>
        </w:rPr>
        <w:t xml:space="preserve">The duty is to </w:t>
      </w:r>
      <w:r w:rsidRPr="007E0719">
        <w:rPr>
          <w:rFonts w:ascii="Verdana" w:hAnsi="Verdana" w:cs="Arial"/>
          <w:color w:val="000000"/>
        </w:rPr>
        <w:t xml:space="preserve">take reasonable steps </w:t>
      </w:r>
      <w:r w:rsidR="006F249D">
        <w:rPr>
          <w:rFonts w:ascii="Verdana" w:hAnsi="Verdana" w:cs="Arial"/>
          <w:color w:val="000000"/>
        </w:rPr>
        <w:t xml:space="preserve">where there are </w:t>
      </w:r>
      <w:r w:rsidRPr="007E0719">
        <w:rPr>
          <w:rFonts w:ascii="Verdana" w:hAnsi="Verdana" w:cs="Arial"/>
          <w:color w:val="000000"/>
        </w:rPr>
        <w:t>real and immediate threats to life, including by a third party</w:t>
      </w:r>
      <w:r w:rsidR="006F249D">
        <w:rPr>
          <w:rFonts w:ascii="Verdana" w:hAnsi="Verdana" w:cs="Arial"/>
          <w:color w:val="000000"/>
        </w:rPr>
        <w:t>.</w:t>
      </w:r>
      <w:r w:rsidRPr="007E0719">
        <w:rPr>
          <w:rFonts w:cs="Arial"/>
          <w:vertAlign w:val="superscript"/>
        </w:rPr>
        <w:footnoteReference w:id="12"/>
      </w:r>
      <w:r w:rsidRPr="007E0719">
        <w:rPr>
          <w:rFonts w:ascii="Verdana" w:hAnsi="Verdana" w:cs="Arial"/>
          <w:color w:val="000000"/>
        </w:rPr>
        <w:t xml:space="preserve"> </w:t>
      </w:r>
    </w:p>
    <w:p w14:paraId="627592F8" w14:textId="77777777" w:rsidR="007E0719" w:rsidRPr="007E0719" w:rsidRDefault="007E0719" w:rsidP="0055193F">
      <w:pPr>
        <w:pStyle w:val="ListParagraph"/>
        <w:spacing w:before="24" w:after="24"/>
        <w:rPr>
          <w:rFonts w:ascii="Verdana" w:hAnsi="Verdana" w:cs="Arial"/>
          <w:color w:val="000000"/>
          <w:lang w:val="en-US"/>
        </w:rPr>
      </w:pPr>
    </w:p>
    <w:p w14:paraId="53942AEE" w14:textId="05DEABE5" w:rsidR="007E0719" w:rsidRDefault="007E0719" w:rsidP="0055193F">
      <w:pPr>
        <w:pStyle w:val="ListParagraph"/>
        <w:widowControl w:val="0"/>
        <w:numPr>
          <w:ilvl w:val="1"/>
          <w:numId w:val="9"/>
        </w:numPr>
        <w:suppressAutoHyphens/>
        <w:autoSpaceDE w:val="0"/>
        <w:autoSpaceDN w:val="0"/>
        <w:adjustRightInd w:val="0"/>
        <w:spacing w:before="24" w:after="24" w:line="288" w:lineRule="auto"/>
        <w:textAlignment w:val="center"/>
        <w:rPr>
          <w:rFonts w:ascii="Verdana" w:hAnsi="Verdana" w:cs="MinionPro-Regular"/>
          <w:color w:val="000000"/>
        </w:rPr>
      </w:pPr>
      <w:r w:rsidRPr="007E0719">
        <w:rPr>
          <w:rFonts w:ascii="Verdana" w:hAnsi="Verdana" w:cs="Arial"/>
          <w:color w:val="000000"/>
          <w:lang w:val="en-US"/>
        </w:rPr>
        <w:t>Article 3 ECHR is an absolute right, from which no interference can be justified.</w:t>
      </w:r>
      <w:r w:rsidRPr="007E0719">
        <w:rPr>
          <w:vertAlign w:val="superscript"/>
          <w:lang w:val="en-US"/>
        </w:rPr>
        <w:footnoteReference w:id="13"/>
      </w:r>
      <w:r w:rsidRPr="007E0719">
        <w:rPr>
          <w:rFonts w:ascii="Verdana" w:hAnsi="Verdana" w:cs="Arial"/>
          <w:color w:val="000000"/>
          <w:lang w:val="en-US"/>
        </w:rPr>
        <w:t xml:space="preserve"> </w:t>
      </w:r>
      <w:r w:rsidRPr="007E0719">
        <w:rPr>
          <w:rFonts w:ascii="Verdana" w:hAnsi="Verdana" w:cs="MinionPro-Regular"/>
          <w:color w:val="000000"/>
        </w:rPr>
        <w:t>If measures designed to protect victims of violence are not used in an individual case, the State can be held responsible for the breach.</w:t>
      </w:r>
      <w:r w:rsidRPr="007E0719">
        <w:rPr>
          <w:rFonts w:cs="MinionPro-Regular"/>
          <w:vertAlign w:val="superscript"/>
        </w:rPr>
        <w:footnoteReference w:id="14"/>
      </w:r>
      <w:r w:rsidRPr="007E0719">
        <w:rPr>
          <w:rFonts w:ascii="Verdana" w:hAnsi="Verdana" w:cs="MinionPro-Regular"/>
          <w:color w:val="000000"/>
        </w:rPr>
        <w:t xml:space="preserve"> </w:t>
      </w:r>
    </w:p>
    <w:p w14:paraId="763FC972" w14:textId="77777777" w:rsidR="007E0719" w:rsidRPr="007E0719" w:rsidRDefault="007E0719" w:rsidP="0055193F">
      <w:pPr>
        <w:pStyle w:val="ListParagraph"/>
        <w:spacing w:before="24" w:after="24"/>
        <w:rPr>
          <w:rFonts w:ascii="Verdana" w:hAnsi="Verdana" w:cs="MinionPro-Regular"/>
          <w:color w:val="000000"/>
        </w:rPr>
      </w:pPr>
    </w:p>
    <w:p w14:paraId="08200437" w14:textId="0B9D0E53" w:rsidR="007E0719" w:rsidRDefault="007E0719" w:rsidP="0055193F">
      <w:pPr>
        <w:pStyle w:val="ListParagraph"/>
        <w:widowControl w:val="0"/>
        <w:numPr>
          <w:ilvl w:val="1"/>
          <w:numId w:val="9"/>
        </w:numPr>
        <w:suppressAutoHyphens/>
        <w:autoSpaceDE w:val="0"/>
        <w:autoSpaceDN w:val="0"/>
        <w:adjustRightInd w:val="0"/>
        <w:spacing w:before="24" w:after="24" w:line="288" w:lineRule="auto"/>
        <w:textAlignment w:val="center"/>
        <w:rPr>
          <w:rFonts w:ascii="Verdana" w:hAnsi="Verdana" w:cs="MinionPro-Regular"/>
          <w:color w:val="000000"/>
        </w:rPr>
      </w:pPr>
      <w:r w:rsidRPr="007E0719">
        <w:rPr>
          <w:rFonts w:ascii="Verdana" w:hAnsi="Verdana" w:cs="MinionPro-Regular"/>
          <w:color w:val="000000"/>
        </w:rPr>
        <w:t>Article 8 ECHR protects against arbitrary interference with the right to respect for private and family life, home and correspondence. The ECtHR has held that the scope of Article 8 includes the physical and psychological integrity of the individual.</w:t>
      </w:r>
      <w:r w:rsidRPr="007E0719">
        <w:rPr>
          <w:vertAlign w:val="superscript"/>
        </w:rPr>
        <w:footnoteReference w:id="15"/>
      </w:r>
      <w:r w:rsidRPr="007E0719">
        <w:rPr>
          <w:rFonts w:ascii="Verdana" w:hAnsi="Verdana" w:cs="MinionPro-Regular"/>
          <w:color w:val="000000"/>
        </w:rPr>
        <w:t xml:space="preserve"> The obligation extends to protecting citizens from violence by others, including private individuals.</w:t>
      </w:r>
      <w:r w:rsidRPr="007E0719">
        <w:rPr>
          <w:vertAlign w:val="superscript"/>
        </w:rPr>
        <w:footnoteReference w:id="16"/>
      </w:r>
      <w:r w:rsidRPr="007E0719">
        <w:rPr>
          <w:rFonts w:ascii="Verdana" w:hAnsi="Verdana" w:cs="MinionPro-Regular"/>
          <w:color w:val="000000"/>
        </w:rPr>
        <w:t xml:space="preserve"> There must be in place effective and accessible means of protecting the right.</w:t>
      </w:r>
      <w:r w:rsidRPr="007E0719">
        <w:rPr>
          <w:vertAlign w:val="superscript"/>
        </w:rPr>
        <w:footnoteReference w:id="17"/>
      </w:r>
      <w:r w:rsidRPr="007E0719">
        <w:rPr>
          <w:rFonts w:ascii="Verdana" w:hAnsi="Verdana" w:cs="MinionPro-Regular"/>
          <w:color w:val="000000"/>
        </w:rPr>
        <w:t xml:space="preserve"> </w:t>
      </w:r>
      <w:r w:rsidRPr="007E0719">
        <w:t xml:space="preserve"> </w:t>
      </w:r>
      <w:r w:rsidR="006F249D">
        <w:rPr>
          <w:rFonts w:ascii="Verdana" w:hAnsi="Verdana" w:cs="MinionPro-Regular"/>
          <w:color w:val="000000"/>
        </w:rPr>
        <w:t>There</w:t>
      </w:r>
      <w:r w:rsidRPr="007E0719">
        <w:rPr>
          <w:rFonts w:ascii="Verdana" w:hAnsi="Verdana" w:cs="MinionPro-Regular"/>
          <w:color w:val="000000"/>
        </w:rPr>
        <w:t xml:space="preserve"> is a positive obligation to develop, maintain and apply in practice an adequate legal framework affording protection against acts of violence by private individuals.</w:t>
      </w:r>
      <w:r w:rsidRPr="007E0719">
        <w:rPr>
          <w:vertAlign w:val="superscript"/>
        </w:rPr>
        <w:footnoteReference w:id="18"/>
      </w:r>
      <w:r w:rsidRPr="007E0719">
        <w:rPr>
          <w:rFonts w:ascii="Verdana" w:hAnsi="Verdana" w:cs="MinionPro-Regular"/>
          <w:color w:val="000000"/>
        </w:rPr>
        <w:t xml:space="preserve"> </w:t>
      </w:r>
      <w:r w:rsidR="006F249D">
        <w:rPr>
          <w:rFonts w:ascii="Verdana" w:hAnsi="Verdana" w:cs="MinionPro-Regular"/>
          <w:color w:val="000000"/>
        </w:rPr>
        <w:t xml:space="preserve">That includes the duty to </w:t>
      </w:r>
      <w:r w:rsidRPr="007E0719">
        <w:rPr>
          <w:rFonts w:ascii="Verdana" w:hAnsi="Verdana" w:cs="MinionPro-Regular"/>
          <w:color w:val="000000"/>
        </w:rPr>
        <w:t>ensure that efficient criminal law provisions are in place.</w:t>
      </w:r>
      <w:r w:rsidRPr="007E0719">
        <w:rPr>
          <w:vertAlign w:val="superscript"/>
        </w:rPr>
        <w:footnoteReference w:id="19"/>
      </w:r>
      <w:r w:rsidRPr="007E0719">
        <w:rPr>
          <w:rFonts w:ascii="Verdana" w:hAnsi="Verdana" w:cs="MinionPro-Regular"/>
          <w:color w:val="000000"/>
        </w:rPr>
        <w:t xml:space="preserve"> </w:t>
      </w:r>
    </w:p>
    <w:p w14:paraId="4F4E77BD" w14:textId="77777777" w:rsidR="007E0719" w:rsidRPr="007E0719" w:rsidRDefault="007E0719" w:rsidP="0055193F">
      <w:pPr>
        <w:pStyle w:val="ListParagraph"/>
        <w:spacing w:before="24" w:after="24"/>
        <w:rPr>
          <w:rFonts w:ascii="Verdana" w:hAnsi="Verdana" w:cs="MinionPro-Regular"/>
          <w:color w:val="000000"/>
        </w:rPr>
      </w:pPr>
    </w:p>
    <w:p w14:paraId="10546BA0" w14:textId="074666F9" w:rsidR="007E0719" w:rsidRPr="007E0719" w:rsidRDefault="007E0719" w:rsidP="0055193F">
      <w:pPr>
        <w:pStyle w:val="ListParagraph"/>
        <w:widowControl w:val="0"/>
        <w:numPr>
          <w:ilvl w:val="1"/>
          <w:numId w:val="9"/>
        </w:numPr>
        <w:suppressAutoHyphens/>
        <w:autoSpaceDE w:val="0"/>
        <w:autoSpaceDN w:val="0"/>
        <w:adjustRightInd w:val="0"/>
        <w:spacing w:before="24" w:after="24" w:line="288" w:lineRule="auto"/>
        <w:textAlignment w:val="center"/>
        <w:rPr>
          <w:rFonts w:ascii="Verdana" w:hAnsi="Verdana" w:cs="MinionPro-Regular"/>
          <w:color w:val="000000"/>
        </w:rPr>
      </w:pPr>
      <w:r w:rsidRPr="007E0719">
        <w:rPr>
          <w:rFonts w:ascii="Verdana" w:hAnsi="Verdana" w:cs="MinionPro-Regular"/>
          <w:color w:val="000000"/>
        </w:rPr>
        <w:t xml:space="preserve">Article 14 ECHR protects against discrimination in the enjoyment of another </w:t>
      </w:r>
      <w:r w:rsidR="005F1CB6">
        <w:rPr>
          <w:rFonts w:ascii="Verdana" w:hAnsi="Verdana" w:cs="MinionPro-Regular"/>
          <w:color w:val="000000"/>
        </w:rPr>
        <w:t>ECHR</w:t>
      </w:r>
      <w:r w:rsidR="005F1CB6" w:rsidRPr="007E0719">
        <w:rPr>
          <w:rFonts w:ascii="Verdana" w:hAnsi="Verdana" w:cs="MinionPro-Regular"/>
          <w:color w:val="000000"/>
        </w:rPr>
        <w:t xml:space="preserve"> </w:t>
      </w:r>
      <w:r w:rsidRPr="007E0719">
        <w:rPr>
          <w:rFonts w:ascii="Verdana" w:hAnsi="Verdana" w:cs="MinionPro-Regular"/>
          <w:color w:val="000000"/>
        </w:rPr>
        <w:t>right on any ground such as sex, race, colour, language, religion, political or other opinion, national or social origin, association with a national minority, property, birth or other status. Domestic and sexual abuse and gender-based violence affect women and girls disproportionately.</w:t>
      </w:r>
      <w:r w:rsidRPr="007E0719">
        <w:rPr>
          <w:vertAlign w:val="superscript"/>
        </w:rPr>
        <w:footnoteReference w:id="20"/>
      </w:r>
      <w:r w:rsidRPr="007E0719">
        <w:rPr>
          <w:rFonts w:ascii="Verdana" w:hAnsi="Verdana" w:cs="MinionPro-Regular"/>
          <w:color w:val="000000"/>
        </w:rPr>
        <w:t xml:space="preserve"> Therefore, in respect of the enjoyment of Article </w:t>
      </w:r>
      <w:r w:rsidR="005F1CB6">
        <w:rPr>
          <w:rFonts w:ascii="Verdana" w:hAnsi="Verdana" w:cs="MinionPro-Regular"/>
          <w:color w:val="000000"/>
        </w:rPr>
        <w:t xml:space="preserve">2, 3 and </w:t>
      </w:r>
      <w:r w:rsidRPr="007E0719">
        <w:rPr>
          <w:rFonts w:ascii="Verdana" w:hAnsi="Verdana" w:cs="MinionPro-Regular"/>
          <w:color w:val="000000"/>
        </w:rPr>
        <w:t xml:space="preserve">8 rights, Article 14 </w:t>
      </w:r>
      <w:r w:rsidR="005F1CB6">
        <w:rPr>
          <w:rFonts w:ascii="Verdana" w:hAnsi="Verdana" w:cs="MinionPro-Regular"/>
          <w:color w:val="000000"/>
        </w:rPr>
        <w:t>will</w:t>
      </w:r>
      <w:r w:rsidR="005F1CB6" w:rsidRPr="007E0719">
        <w:rPr>
          <w:rFonts w:ascii="Verdana" w:hAnsi="Verdana" w:cs="MinionPro-Regular"/>
          <w:color w:val="000000"/>
        </w:rPr>
        <w:t xml:space="preserve"> </w:t>
      </w:r>
      <w:r w:rsidRPr="007E0719">
        <w:rPr>
          <w:rFonts w:ascii="Verdana" w:hAnsi="Verdana" w:cs="MinionPro-Regular"/>
          <w:color w:val="000000"/>
        </w:rPr>
        <w:t xml:space="preserve">also </w:t>
      </w:r>
      <w:r w:rsidR="005F1CB6">
        <w:rPr>
          <w:rFonts w:ascii="Verdana" w:hAnsi="Verdana" w:cs="MinionPro-Regular"/>
          <w:color w:val="000000"/>
        </w:rPr>
        <w:t xml:space="preserve">be </w:t>
      </w:r>
      <w:r w:rsidRPr="007E0719">
        <w:rPr>
          <w:rFonts w:ascii="Verdana" w:hAnsi="Verdana" w:cs="MinionPro-Regular"/>
          <w:color w:val="000000"/>
        </w:rPr>
        <w:t xml:space="preserve">engaged. </w:t>
      </w:r>
      <w:r w:rsidR="005F1CB6">
        <w:rPr>
          <w:rFonts w:ascii="Verdana" w:hAnsi="Verdana" w:cs="MinionPro-Regular"/>
          <w:color w:val="000000"/>
        </w:rPr>
        <w:t xml:space="preserve">That means the State is obligated to </w:t>
      </w:r>
      <w:r w:rsidRPr="007E0719">
        <w:rPr>
          <w:rFonts w:ascii="Verdana" w:hAnsi="Verdana" w:cs="MinionPro-Regular"/>
          <w:color w:val="000000"/>
        </w:rPr>
        <w:t>identify and address the disproportionate, discriminatory impact of domestic and sexual abuse and gender-based violence.</w:t>
      </w:r>
      <w:r w:rsidRPr="007E0719">
        <w:rPr>
          <w:vertAlign w:val="superscript"/>
        </w:rPr>
        <w:footnoteReference w:id="21"/>
      </w:r>
    </w:p>
    <w:p w14:paraId="11B18410" w14:textId="77777777" w:rsidR="007E0719" w:rsidRPr="007E0719" w:rsidRDefault="007E0719" w:rsidP="0055193F">
      <w:pPr>
        <w:widowControl w:val="0"/>
        <w:suppressAutoHyphens/>
        <w:autoSpaceDE w:val="0"/>
        <w:autoSpaceDN w:val="0"/>
        <w:adjustRightInd w:val="0"/>
        <w:spacing w:before="24" w:after="24" w:line="288" w:lineRule="auto"/>
        <w:textAlignment w:val="center"/>
        <w:rPr>
          <w:rFonts w:ascii="Verdana" w:hAnsi="Verdana" w:cs="MinionPro-Regular"/>
          <w:color w:val="000000"/>
        </w:rPr>
      </w:pPr>
    </w:p>
    <w:p w14:paraId="6224105C" w14:textId="77777777" w:rsidR="007E0719" w:rsidRPr="007E0719" w:rsidRDefault="007E0719" w:rsidP="0055193F">
      <w:pPr>
        <w:pStyle w:val="Heading2"/>
        <w:spacing w:before="24" w:after="24"/>
      </w:pPr>
      <w:bookmarkStart w:id="4" w:name="_Toc96700067"/>
      <w:r w:rsidRPr="007E0719">
        <w:t xml:space="preserve">International Human Rights Standards </w:t>
      </w:r>
      <w:bookmarkEnd w:id="4"/>
    </w:p>
    <w:p w14:paraId="1C947C41" w14:textId="77777777" w:rsidR="007E0719" w:rsidRPr="007E0719" w:rsidRDefault="007E0719" w:rsidP="0055193F">
      <w:pPr>
        <w:spacing w:before="24" w:after="24"/>
        <w:rPr>
          <w:rFonts w:ascii="Verdana" w:hAnsi="Verdana"/>
          <w:u w:val="single"/>
        </w:rPr>
      </w:pPr>
    </w:p>
    <w:p w14:paraId="076F937F" w14:textId="77777777" w:rsidR="007E0719" w:rsidRPr="00245E58" w:rsidRDefault="007E0719" w:rsidP="0055193F">
      <w:pPr>
        <w:pStyle w:val="ListParagraph"/>
        <w:numPr>
          <w:ilvl w:val="1"/>
          <w:numId w:val="9"/>
        </w:numPr>
        <w:spacing w:before="24" w:after="24" w:line="288" w:lineRule="auto"/>
        <w:rPr>
          <w:rFonts w:ascii="Verdana" w:hAnsi="Verdana" w:cs="Arial"/>
          <w:lang w:val="en-US"/>
        </w:rPr>
      </w:pPr>
      <w:r w:rsidRPr="007E0719">
        <w:rPr>
          <w:rFonts w:ascii="Verdana" w:hAnsi="Verdana" w:cs="Arial"/>
          <w:lang w:val="en-US"/>
        </w:rPr>
        <w:t xml:space="preserve">The relevant international human rights standards are the UN Convention on Elimination and Discrimination against Women </w:t>
      </w:r>
      <w:r w:rsidR="00245E58">
        <w:rPr>
          <w:rFonts w:ascii="Verdana" w:hAnsi="Verdana" w:cs="Arial"/>
          <w:lang w:val="en-US"/>
        </w:rPr>
        <w:t xml:space="preserve">(UN CEDAW) </w:t>
      </w:r>
      <w:r w:rsidRPr="007E0719">
        <w:rPr>
          <w:rFonts w:ascii="Verdana" w:hAnsi="Verdana" w:cs="Arial"/>
          <w:lang w:val="en-US"/>
        </w:rPr>
        <w:t>and the UN Convention against Torture</w:t>
      </w:r>
      <w:r w:rsidR="00245E58">
        <w:rPr>
          <w:rFonts w:ascii="Verdana" w:hAnsi="Verdana" w:cs="Arial"/>
          <w:lang w:val="en-US"/>
        </w:rPr>
        <w:t xml:space="preserve"> (UN CAT)</w:t>
      </w:r>
      <w:r w:rsidRPr="007E0719">
        <w:rPr>
          <w:rFonts w:ascii="Verdana" w:hAnsi="Verdana" w:cs="Arial"/>
          <w:lang w:val="en-US"/>
        </w:rPr>
        <w:t xml:space="preserve">. </w:t>
      </w:r>
      <w:r w:rsidR="00245E58">
        <w:rPr>
          <w:rFonts w:ascii="Verdana" w:hAnsi="Verdana" w:cs="Arial"/>
          <w:lang w:val="en-US"/>
        </w:rPr>
        <w:t>Article 2 of the UN CEDAW provides that states must</w:t>
      </w:r>
      <w:r w:rsidR="00245E58" w:rsidRPr="00245E58">
        <w:rPr>
          <w:rFonts w:ascii="Verdana" w:hAnsi="Verdana" w:cs="Arial"/>
          <w:lang w:val="en-US"/>
        </w:rPr>
        <w:t xml:space="preserve"> condemn discrimination </w:t>
      </w:r>
      <w:r w:rsidR="00245E58">
        <w:rPr>
          <w:rFonts w:ascii="Verdana" w:hAnsi="Verdana" w:cs="Arial"/>
          <w:lang w:val="en-US"/>
        </w:rPr>
        <w:t xml:space="preserve">against women in all its forms and </w:t>
      </w:r>
      <w:r w:rsidR="00245E58" w:rsidRPr="00245E58">
        <w:rPr>
          <w:rFonts w:ascii="Verdana" w:hAnsi="Verdana" w:cs="Arial"/>
          <w:lang w:val="en-US"/>
        </w:rPr>
        <w:t>agree to pursue by all appropriate means and without delay a policy of eliminating discrimination against women</w:t>
      </w:r>
      <w:r w:rsidR="00245E58">
        <w:rPr>
          <w:rFonts w:ascii="Verdana" w:hAnsi="Verdana" w:cs="Arial"/>
          <w:lang w:val="en-US"/>
        </w:rPr>
        <w:t>, including t</w:t>
      </w:r>
      <w:r w:rsidR="00245E58" w:rsidRPr="00245E58">
        <w:rPr>
          <w:rFonts w:ascii="Verdana" w:hAnsi="Verdana" w:cs="Arial"/>
          <w:lang w:val="en-US"/>
        </w:rPr>
        <w:t>o adopt appropriate legislative and other measures, including sanctions where appropriate, prohibiting all discrimination against women</w:t>
      </w:r>
      <w:r w:rsidR="00245E58">
        <w:rPr>
          <w:rFonts w:ascii="Verdana" w:hAnsi="Verdana" w:cs="Arial"/>
          <w:lang w:val="en-US"/>
        </w:rPr>
        <w:t xml:space="preserve">. Article 16 of the UN CAT provides that the state shall prevent </w:t>
      </w:r>
      <w:r w:rsidR="00245E58" w:rsidRPr="00245E58">
        <w:rPr>
          <w:rFonts w:ascii="Verdana" w:hAnsi="Verdana" w:cs="Arial"/>
          <w:lang w:val="en-US"/>
        </w:rPr>
        <w:t>under its jurisdiction other acts of cruel, inhuman or degrading treatment or punishment which do not a</w:t>
      </w:r>
      <w:r w:rsidR="00245E58">
        <w:rPr>
          <w:rFonts w:ascii="Verdana" w:hAnsi="Verdana" w:cs="Arial"/>
          <w:lang w:val="en-US"/>
        </w:rPr>
        <w:t xml:space="preserve">mount to torture. </w:t>
      </w:r>
    </w:p>
    <w:p w14:paraId="5E7A265B" w14:textId="77777777" w:rsidR="007E0719" w:rsidRDefault="007E0719" w:rsidP="0055193F">
      <w:pPr>
        <w:pStyle w:val="ListParagraph"/>
        <w:spacing w:before="24" w:after="24" w:line="288" w:lineRule="auto"/>
        <w:rPr>
          <w:rFonts w:ascii="Verdana" w:hAnsi="Verdana" w:cs="Arial"/>
          <w:lang w:val="en-US"/>
        </w:rPr>
      </w:pPr>
    </w:p>
    <w:p w14:paraId="0F1E6C3E" w14:textId="77777777" w:rsidR="007E0719" w:rsidRDefault="007E0719" w:rsidP="0055193F">
      <w:pPr>
        <w:pStyle w:val="ListParagraph"/>
        <w:numPr>
          <w:ilvl w:val="1"/>
          <w:numId w:val="9"/>
        </w:numPr>
        <w:spacing w:before="24" w:after="24" w:line="288" w:lineRule="auto"/>
        <w:rPr>
          <w:rFonts w:ascii="Verdana" w:hAnsi="Verdana" w:cs="Arial"/>
          <w:lang w:val="en-US"/>
        </w:rPr>
      </w:pPr>
      <w:r w:rsidRPr="007E0719">
        <w:rPr>
          <w:rFonts w:ascii="Verdana" w:hAnsi="Verdana" w:cs="Arial"/>
          <w:lang w:val="en-US"/>
        </w:rPr>
        <w:t xml:space="preserve">The </w:t>
      </w:r>
      <w:r w:rsidR="00245E58">
        <w:rPr>
          <w:rFonts w:ascii="Verdana" w:hAnsi="Verdana" w:cs="Arial"/>
          <w:lang w:val="en-US"/>
        </w:rPr>
        <w:t>UN CAT Committee</w:t>
      </w:r>
      <w:r w:rsidR="00033E63">
        <w:rPr>
          <w:rFonts w:ascii="Verdana" w:hAnsi="Verdana" w:cs="Arial"/>
          <w:lang w:val="en-US"/>
        </w:rPr>
        <w:t xml:space="preserve"> and UN</w:t>
      </w:r>
      <w:r w:rsidR="00245E58">
        <w:rPr>
          <w:rFonts w:ascii="Verdana" w:hAnsi="Verdana" w:cs="Arial"/>
          <w:lang w:val="en-US"/>
        </w:rPr>
        <w:t xml:space="preserve"> CEDAW Committee</w:t>
      </w:r>
      <w:r w:rsidRPr="007E0719">
        <w:rPr>
          <w:rFonts w:ascii="Verdana" w:hAnsi="Verdana" w:cs="Arial"/>
          <w:lang w:val="en-US"/>
        </w:rPr>
        <w:t xml:space="preserve"> have highlighted domestic and sexual abuse and gender-based violence as a persistent issue in N</w:t>
      </w:r>
      <w:r w:rsidR="00D40474">
        <w:rPr>
          <w:rFonts w:ascii="Verdana" w:hAnsi="Verdana" w:cs="Arial"/>
          <w:lang w:val="en-US"/>
        </w:rPr>
        <w:t>I</w:t>
      </w:r>
      <w:r w:rsidRPr="007E0719">
        <w:rPr>
          <w:rFonts w:ascii="Verdana" w:hAnsi="Verdana" w:cs="Arial"/>
          <w:lang w:val="en-US"/>
        </w:rPr>
        <w:t>.</w:t>
      </w:r>
      <w:r w:rsidRPr="007E0719">
        <w:rPr>
          <w:vertAlign w:val="superscript"/>
          <w:lang w:val="en-US"/>
        </w:rPr>
        <w:footnoteReference w:id="22"/>
      </w:r>
      <w:r w:rsidRPr="007E0719">
        <w:rPr>
          <w:rFonts w:ascii="Verdana" w:hAnsi="Verdana" w:cs="Arial"/>
          <w:lang w:val="en-US"/>
        </w:rPr>
        <w:t xml:space="preserve"> Both UN Committees have highlighted the disproportionate impact on women and girls and the need for gender sensitive policies to provide protection, prosecution and redress.</w:t>
      </w:r>
      <w:r w:rsidRPr="007E0719">
        <w:rPr>
          <w:vertAlign w:val="superscript"/>
          <w:lang w:val="en-US"/>
        </w:rPr>
        <w:footnoteReference w:id="23"/>
      </w:r>
    </w:p>
    <w:p w14:paraId="1D2B51AE" w14:textId="77777777" w:rsidR="007E0719" w:rsidRPr="007E0719" w:rsidRDefault="007E0719" w:rsidP="0055193F">
      <w:pPr>
        <w:pStyle w:val="ListParagraph"/>
        <w:spacing w:before="24" w:after="24"/>
        <w:rPr>
          <w:rFonts w:ascii="Verdana" w:hAnsi="Verdana" w:cs="Arial"/>
          <w:lang w:val="en-US"/>
        </w:rPr>
      </w:pPr>
    </w:p>
    <w:p w14:paraId="21E93ACF" w14:textId="77777777" w:rsidR="007E0719" w:rsidRPr="007E0719" w:rsidRDefault="007E0719" w:rsidP="0055193F">
      <w:pPr>
        <w:pStyle w:val="ListParagraph"/>
        <w:numPr>
          <w:ilvl w:val="1"/>
          <w:numId w:val="9"/>
        </w:numPr>
        <w:spacing w:before="24" w:after="24" w:line="288" w:lineRule="auto"/>
        <w:rPr>
          <w:rFonts w:ascii="Verdana" w:hAnsi="Verdana" w:cs="Arial"/>
          <w:lang w:val="en-US"/>
        </w:rPr>
      </w:pPr>
      <w:r w:rsidRPr="007E0719">
        <w:rPr>
          <w:rFonts w:ascii="Verdana" w:hAnsi="Verdana" w:cs="Arial"/>
          <w:lang w:val="en-US"/>
        </w:rPr>
        <w:t xml:space="preserve">The UN CAT Committee, in its 2019 Concluding Observations on the UK, raised concerns about </w:t>
      </w:r>
      <w:r w:rsidRPr="007E0719">
        <w:rPr>
          <w:rFonts w:ascii="Verdana" w:hAnsi="Verdana"/>
        </w:rPr>
        <w:t xml:space="preserve">sexual and gender-based violence, recording increasing numbers of domestic abuse crimes and sexual offences, mainly against women, while also recording low prosecution and conviction </w:t>
      </w:r>
      <w:r w:rsidRPr="007E0719">
        <w:rPr>
          <w:rFonts w:ascii="Verdana" w:hAnsi="Verdana"/>
        </w:rPr>
        <w:lastRenderedPageBreak/>
        <w:t>rates.</w:t>
      </w:r>
      <w:r w:rsidRPr="007E0719">
        <w:rPr>
          <w:vertAlign w:val="superscript"/>
        </w:rPr>
        <w:footnoteReference w:id="24"/>
      </w:r>
      <w:r w:rsidRPr="007E0719">
        <w:rPr>
          <w:rFonts w:ascii="Verdana" w:eastAsia="MS Mincho" w:hAnsi="Verdana" w:cs="Times New Roman"/>
        </w:rPr>
        <w:t xml:space="preserve"> The UN CAT Committee recommended “that all domestic violence cases, in all United Kingdom (UK) territories and dependencies, are thoroughly investigated, that perpetrators are prosecuted and, if they are convicted, are punished with appropriate sanctions”.</w:t>
      </w:r>
      <w:r w:rsidRPr="007E0719">
        <w:rPr>
          <w:rFonts w:eastAsia="MS Mincho" w:cs="Times New Roman"/>
          <w:vertAlign w:val="superscript"/>
        </w:rPr>
        <w:footnoteReference w:id="25"/>
      </w:r>
      <w:r w:rsidRPr="007E0719">
        <w:rPr>
          <w:rFonts w:ascii="Verdana" w:eastAsia="MS Mincho" w:hAnsi="Verdana" w:cs="Times New Roman"/>
        </w:rPr>
        <w:t xml:space="preserve"> Furthermore, that “victims have access to effective remedies and means of protection, including strong police protection”.</w:t>
      </w:r>
      <w:r w:rsidRPr="007E0719">
        <w:rPr>
          <w:rFonts w:eastAsia="MS Mincho" w:cs="Times New Roman"/>
          <w:vertAlign w:val="superscript"/>
        </w:rPr>
        <w:footnoteReference w:id="26"/>
      </w:r>
    </w:p>
    <w:p w14:paraId="0B81CC54" w14:textId="77777777" w:rsidR="007E0719" w:rsidRPr="007E0719" w:rsidRDefault="007E0719" w:rsidP="0055193F">
      <w:pPr>
        <w:pStyle w:val="ListParagraph"/>
        <w:spacing w:before="24" w:after="24"/>
        <w:rPr>
          <w:rFonts w:ascii="Verdana" w:eastAsia="Times New Roman" w:hAnsi="Verdana" w:cs="Arial"/>
        </w:rPr>
      </w:pPr>
    </w:p>
    <w:p w14:paraId="0D885DAD" w14:textId="77777777" w:rsidR="007E0719" w:rsidRPr="007E0719" w:rsidRDefault="007E0719" w:rsidP="0055193F">
      <w:pPr>
        <w:pStyle w:val="ListParagraph"/>
        <w:numPr>
          <w:ilvl w:val="1"/>
          <w:numId w:val="9"/>
        </w:numPr>
        <w:spacing w:before="24" w:after="24" w:line="288" w:lineRule="auto"/>
        <w:rPr>
          <w:rFonts w:ascii="Verdana" w:hAnsi="Verdana" w:cs="Arial"/>
          <w:lang w:val="en-US"/>
        </w:rPr>
      </w:pPr>
      <w:r w:rsidRPr="007E0719">
        <w:rPr>
          <w:rFonts w:ascii="Verdana" w:eastAsia="Times New Roman" w:hAnsi="Verdana" w:cs="Arial"/>
        </w:rPr>
        <w:t>The UN CEDAW Committee, in its 2019 Concluding Observations on the UK, noted “with particular concern the inadequacy of laws and policies to protect women in Northern Ireland (from gender-based violence)” and recommended that the UK ratify the Istanbul Convention.</w:t>
      </w:r>
      <w:r w:rsidRPr="007E0719">
        <w:rPr>
          <w:rFonts w:eastAsia="Times New Roman" w:cs="Arial"/>
          <w:vertAlign w:val="superscript"/>
        </w:rPr>
        <w:footnoteReference w:id="27"/>
      </w:r>
      <w:r w:rsidRPr="007E0719">
        <w:rPr>
          <w:rFonts w:ascii="Verdana" w:eastAsia="Times New Roman" w:hAnsi="Verdana" w:cs="Arial"/>
        </w:rPr>
        <w:t xml:space="preserve"> The Commission agrees that the Convention should be ratified. </w:t>
      </w:r>
    </w:p>
    <w:p w14:paraId="437E814D" w14:textId="77777777" w:rsidR="007E0719" w:rsidRPr="007E0719" w:rsidRDefault="007E0719" w:rsidP="0055193F">
      <w:pPr>
        <w:pStyle w:val="ListParagraph"/>
        <w:spacing w:before="24" w:after="24"/>
        <w:rPr>
          <w:rFonts w:ascii="Verdana" w:eastAsia="Times New Roman" w:hAnsi="Verdana" w:cs="Arial"/>
        </w:rPr>
      </w:pPr>
    </w:p>
    <w:p w14:paraId="67333D70" w14:textId="77777777" w:rsidR="007E0719" w:rsidRPr="007E0719" w:rsidRDefault="007E0719" w:rsidP="0055193F">
      <w:pPr>
        <w:pStyle w:val="ListParagraph"/>
        <w:numPr>
          <w:ilvl w:val="1"/>
          <w:numId w:val="9"/>
        </w:numPr>
        <w:spacing w:before="24" w:after="24" w:line="288" w:lineRule="auto"/>
        <w:rPr>
          <w:rFonts w:ascii="Verdana" w:hAnsi="Verdana" w:cs="Arial"/>
          <w:lang w:val="en-US"/>
        </w:rPr>
      </w:pPr>
      <w:r w:rsidRPr="007E0719">
        <w:rPr>
          <w:rFonts w:ascii="Verdana" w:eastAsia="Times New Roman" w:hAnsi="Verdana" w:cs="Arial"/>
        </w:rPr>
        <w:t>The UN CEDAW General Recommendation No.35 on gender-based violence against women recommends that States parties take the following measures in the areas of prevention, protection, prosecution, punishment and redress; data collection and monitoring and international cooperation to accelerate elimination of gender-based violence against women. All these measures should be implemented with a victim/survivor centred approach, acknowledging women as subjects of rights and promoting their agency and autonomy, including the evolving capacity of girls, from childhood to adolescence.</w:t>
      </w:r>
      <w:r w:rsidRPr="007E0719">
        <w:rPr>
          <w:vertAlign w:val="superscript"/>
        </w:rPr>
        <w:footnoteReference w:id="28"/>
      </w:r>
      <w:r w:rsidR="00A03BD5">
        <w:rPr>
          <w:rFonts w:ascii="Verdana" w:eastAsia="Times New Roman" w:hAnsi="Verdana" w:cs="Arial"/>
        </w:rPr>
        <w:t xml:space="preserve"> The Commission advises</w:t>
      </w:r>
      <w:r w:rsidRPr="007E0719">
        <w:rPr>
          <w:rFonts w:ascii="Verdana" w:eastAsia="Times New Roman" w:hAnsi="Verdana" w:cs="Arial"/>
        </w:rPr>
        <w:t xml:space="preserve"> the Departments and Executive use General Recommendation No.35 as a guide to the development of both strategies. </w:t>
      </w:r>
    </w:p>
    <w:p w14:paraId="33C8E30E" w14:textId="77777777" w:rsidR="007E0719" w:rsidRPr="007E0719" w:rsidRDefault="007E0719" w:rsidP="0055193F">
      <w:pPr>
        <w:widowControl w:val="0"/>
        <w:suppressAutoHyphens/>
        <w:autoSpaceDE w:val="0"/>
        <w:autoSpaceDN w:val="0"/>
        <w:adjustRightInd w:val="0"/>
        <w:spacing w:before="24" w:after="24" w:line="288" w:lineRule="auto"/>
        <w:textAlignment w:val="center"/>
        <w:rPr>
          <w:rFonts w:ascii="Verdana" w:hAnsi="Verdana" w:cs="MinionPro-Regular"/>
          <w:color w:val="000000"/>
        </w:rPr>
      </w:pPr>
    </w:p>
    <w:p w14:paraId="3CBB631B" w14:textId="77777777" w:rsidR="007E0719" w:rsidRPr="007E0719" w:rsidRDefault="007E0719" w:rsidP="0055193F">
      <w:pPr>
        <w:pStyle w:val="Heading2"/>
        <w:spacing w:before="24" w:after="24"/>
      </w:pPr>
      <w:bookmarkStart w:id="5" w:name="_Toc96700068"/>
      <w:r w:rsidRPr="007E0719">
        <w:t>Istanbul Convention</w:t>
      </w:r>
      <w:bookmarkEnd w:id="5"/>
    </w:p>
    <w:p w14:paraId="7BD5E689" w14:textId="77777777" w:rsidR="007E0719" w:rsidRPr="007E0719" w:rsidRDefault="007E0719" w:rsidP="0055193F">
      <w:pPr>
        <w:widowControl w:val="0"/>
        <w:suppressAutoHyphens/>
        <w:autoSpaceDE w:val="0"/>
        <w:autoSpaceDN w:val="0"/>
        <w:adjustRightInd w:val="0"/>
        <w:spacing w:before="24" w:after="24" w:line="288" w:lineRule="auto"/>
        <w:textAlignment w:val="center"/>
        <w:rPr>
          <w:rFonts w:ascii="Verdana" w:hAnsi="Verdana" w:cs="MinionPro-Regular"/>
          <w:color w:val="000000"/>
        </w:rPr>
      </w:pPr>
    </w:p>
    <w:p w14:paraId="57FA0CE8" w14:textId="77777777" w:rsidR="0030418B" w:rsidRDefault="007E0719" w:rsidP="0055193F">
      <w:pPr>
        <w:pStyle w:val="ListParagraph"/>
        <w:widowControl w:val="0"/>
        <w:numPr>
          <w:ilvl w:val="1"/>
          <w:numId w:val="9"/>
        </w:numPr>
        <w:suppressAutoHyphens/>
        <w:autoSpaceDE w:val="0"/>
        <w:autoSpaceDN w:val="0"/>
        <w:adjustRightInd w:val="0"/>
        <w:spacing w:before="24" w:after="24" w:line="288" w:lineRule="auto"/>
        <w:textAlignment w:val="center"/>
        <w:rPr>
          <w:rFonts w:ascii="Verdana" w:eastAsia="Times New Roman" w:hAnsi="Verdana" w:cs="Arial"/>
          <w:bCs/>
          <w:color w:val="161616"/>
          <w:lang w:eastAsia="en-GB"/>
        </w:rPr>
      </w:pPr>
      <w:r w:rsidRPr="007E0719">
        <w:rPr>
          <w:rFonts w:ascii="Verdana" w:eastAsia="Times New Roman" w:hAnsi="Verdana" w:cs="Arial"/>
          <w:bCs/>
          <w:color w:val="161616"/>
          <w:lang w:eastAsia="en-GB"/>
        </w:rPr>
        <w:t xml:space="preserve">The Council of Europe Convention on Preventing and Combating Violence against Women and Domestic Violence (the Istanbul Convention) provides a legal framework at pan-European level to protect women against all forms of violence, and prevent, prosecute and eliminate violence against women and domestic violence. It can also be used as an indicator of best practice and provide guidance on how to develop legislation in relation to sexual offences. </w:t>
      </w:r>
    </w:p>
    <w:p w14:paraId="2ECDF2EE" w14:textId="77777777" w:rsidR="0030418B" w:rsidRDefault="0030418B" w:rsidP="0055193F">
      <w:pPr>
        <w:pStyle w:val="ListParagraph"/>
        <w:widowControl w:val="0"/>
        <w:suppressAutoHyphens/>
        <w:autoSpaceDE w:val="0"/>
        <w:autoSpaceDN w:val="0"/>
        <w:adjustRightInd w:val="0"/>
        <w:spacing w:before="24" w:after="24" w:line="288" w:lineRule="auto"/>
        <w:textAlignment w:val="center"/>
        <w:rPr>
          <w:rFonts w:ascii="Verdana" w:eastAsia="Times New Roman" w:hAnsi="Verdana" w:cs="Arial"/>
          <w:bCs/>
          <w:color w:val="161616"/>
          <w:lang w:eastAsia="en-GB"/>
        </w:rPr>
      </w:pPr>
    </w:p>
    <w:p w14:paraId="2DED555A" w14:textId="77777777" w:rsidR="007E0719" w:rsidRDefault="007E0719" w:rsidP="0055193F">
      <w:pPr>
        <w:pStyle w:val="ListParagraph"/>
        <w:widowControl w:val="0"/>
        <w:numPr>
          <w:ilvl w:val="1"/>
          <w:numId w:val="9"/>
        </w:numPr>
        <w:suppressAutoHyphens/>
        <w:autoSpaceDE w:val="0"/>
        <w:autoSpaceDN w:val="0"/>
        <w:adjustRightInd w:val="0"/>
        <w:spacing w:before="24" w:after="24" w:line="288" w:lineRule="auto"/>
        <w:textAlignment w:val="center"/>
        <w:rPr>
          <w:rFonts w:ascii="Verdana" w:eastAsia="Times New Roman" w:hAnsi="Verdana" w:cs="Arial"/>
          <w:bCs/>
          <w:color w:val="161616"/>
          <w:lang w:eastAsia="en-GB"/>
        </w:rPr>
      </w:pPr>
      <w:r w:rsidRPr="007E0719">
        <w:rPr>
          <w:rFonts w:ascii="Verdana" w:eastAsia="Times New Roman" w:hAnsi="Verdana" w:cs="Arial"/>
          <w:bCs/>
          <w:color w:val="161616"/>
          <w:lang w:eastAsia="en-GB"/>
        </w:rPr>
        <w:t>Article 7 of the Istanbul Convention provides that states must have comprehensive and co-ordinated policies and take the necessary legislative and other measures to adopt and implement State-wide effective, comprehensive and co-ordinated policies encompassing all relevant measures to prevent and combat all forms of violence covered by the scope of this Convention and offer a holistic response to violence against women. Article 12 of the Convention further provides that states shall take the necessary legislative and other measures to prevent all forms of violence covered by the scope of the Convention by any natural or legal person.</w:t>
      </w:r>
    </w:p>
    <w:p w14:paraId="04F01CB7" w14:textId="77777777" w:rsidR="00A03BD5" w:rsidRPr="00A03BD5" w:rsidRDefault="00A03BD5" w:rsidP="0055193F">
      <w:pPr>
        <w:pStyle w:val="ListParagraph"/>
        <w:spacing w:before="24" w:after="24"/>
        <w:rPr>
          <w:rFonts w:ascii="Verdana" w:eastAsia="Times New Roman" w:hAnsi="Verdana" w:cs="Arial"/>
          <w:bCs/>
          <w:color w:val="161616"/>
          <w:lang w:eastAsia="en-GB"/>
        </w:rPr>
      </w:pPr>
    </w:p>
    <w:p w14:paraId="0A8A42BE" w14:textId="77777777" w:rsidR="00A03BD5" w:rsidRPr="007E0719" w:rsidRDefault="00A03BD5" w:rsidP="0055193F">
      <w:pPr>
        <w:pStyle w:val="ListParagraph"/>
        <w:widowControl w:val="0"/>
        <w:numPr>
          <w:ilvl w:val="1"/>
          <w:numId w:val="9"/>
        </w:numPr>
        <w:suppressAutoHyphens/>
        <w:autoSpaceDE w:val="0"/>
        <w:autoSpaceDN w:val="0"/>
        <w:adjustRightInd w:val="0"/>
        <w:spacing w:before="24" w:after="24" w:line="288" w:lineRule="auto"/>
        <w:textAlignment w:val="center"/>
        <w:rPr>
          <w:rFonts w:ascii="Verdana" w:eastAsia="Times New Roman" w:hAnsi="Verdana" w:cs="Arial"/>
          <w:bCs/>
          <w:color w:val="161616"/>
          <w:lang w:eastAsia="en-GB"/>
        </w:rPr>
      </w:pPr>
      <w:r w:rsidRPr="007E0719">
        <w:rPr>
          <w:rFonts w:ascii="Verdana" w:eastAsia="Times New Roman" w:hAnsi="Verdana" w:cs="Arial"/>
          <w:bCs/>
          <w:color w:val="161616"/>
          <w:lang w:eastAsia="en-GB"/>
        </w:rPr>
        <w:t>Though signed, the UK has not yet ratified the Istanbul Convention. However, the UK Government has made it clear that it intends to ratify the Istanbul Convention and is currently in the process of addressing existing areas of non-compliance within its domestic legal frameworks.</w:t>
      </w:r>
      <w:r w:rsidRPr="007E0719">
        <w:rPr>
          <w:vertAlign w:val="superscript"/>
          <w:lang w:eastAsia="en-GB"/>
        </w:rPr>
        <w:footnoteReference w:id="29"/>
      </w:r>
      <w:r w:rsidRPr="007E0719">
        <w:rPr>
          <w:rFonts w:ascii="Verdana" w:eastAsia="Times New Roman" w:hAnsi="Verdana" w:cs="Arial"/>
          <w:bCs/>
          <w:color w:val="161616"/>
          <w:lang w:eastAsia="en-GB"/>
        </w:rPr>
        <w:t xml:space="preserve"> Therefore, the Commission would highlight that the Department must be cognisant of the Istanbul Convention and use it as guide when developing both strategies.</w:t>
      </w:r>
    </w:p>
    <w:p w14:paraId="752F3794" w14:textId="77777777" w:rsidR="007E0719" w:rsidRPr="007E0719" w:rsidRDefault="007E0719" w:rsidP="0055193F">
      <w:pPr>
        <w:widowControl w:val="0"/>
        <w:suppressAutoHyphens/>
        <w:autoSpaceDE w:val="0"/>
        <w:autoSpaceDN w:val="0"/>
        <w:adjustRightInd w:val="0"/>
        <w:spacing w:before="24" w:after="24" w:line="288" w:lineRule="auto"/>
        <w:textAlignment w:val="center"/>
        <w:rPr>
          <w:rFonts w:ascii="Verdana" w:hAnsi="Verdana"/>
        </w:rPr>
      </w:pPr>
    </w:p>
    <w:p w14:paraId="2F7430B0" w14:textId="77777777" w:rsidR="007E0719" w:rsidRPr="007E0719" w:rsidRDefault="007E0719" w:rsidP="0055193F">
      <w:pPr>
        <w:pStyle w:val="Heading2"/>
        <w:spacing w:before="24" w:after="24"/>
      </w:pPr>
      <w:bookmarkStart w:id="6" w:name="_Toc96700069"/>
      <w:r w:rsidRPr="007E0719">
        <w:t>Protocol Article 2 and the Victims’ Directive</w:t>
      </w:r>
      <w:bookmarkEnd w:id="6"/>
    </w:p>
    <w:p w14:paraId="177C9699" w14:textId="77777777" w:rsidR="007E0719" w:rsidRPr="007E0719" w:rsidRDefault="007E0719" w:rsidP="0055193F">
      <w:pPr>
        <w:spacing w:before="24" w:after="24" w:line="259" w:lineRule="auto"/>
        <w:rPr>
          <w:rFonts w:ascii="Verdana" w:eastAsia="Times New Roman" w:hAnsi="Verdana" w:cs="Times New Roman"/>
          <w:b/>
        </w:rPr>
      </w:pPr>
    </w:p>
    <w:p w14:paraId="21AA2A13" w14:textId="77777777" w:rsidR="007E0719" w:rsidRDefault="007E0719" w:rsidP="0055193F">
      <w:pPr>
        <w:pStyle w:val="ListParagraph"/>
        <w:numPr>
          <w:ilvl w:val="1"/>
          <w:numId w:val="9"/>
        </w:numPr>
        <w:spacing w:before="24" w:after="24" w:line="288" w:lineRule="auto"/>
        <w:rPr>
          <w:rFonts w:ascii="Verdana" w:eastAsia="Times New Roman" w:hAnsi="Verdana" w:cs="Times New Roman"/>
        </w:rPr>
      </w:pPr>
      <w:r w:rsidRPr="007E0719">
        <w:rPr>
          <w:rFonts w:ascii="Verdana" w:eastAsia="Times New Roman" w:hAnsi="Verdana" w:cs="Times New Roman"/>
        </w:rPr>
        <w:t>Protocol Article 2 requires the UK Government and the NI Executive to ensure that no diminution of rights, safeguards and equality of opportunities contained in the relevant part of the Belfast (Good Friday) Agreement 1998 occurs as a result of the UK’s withdrawal from the EU.  This includes an obligation to “keep pace” with any changes made by the six Annex 1 Equality Directives which improve the minimum levels of protection available, after 1 January 2021.</w:t>
      </w:r>
      <w:r w:rsidRPr="007E0719">
        <w:rPr>
          <w:vertAlign w:val="superscript"/>
        </w:rPr>
        <w:footnoteReference w:id="30"/>
      </w:r>
    </w:p>
    <w:p w14:paraId="181CE11D" w14:textId="77777777" w:rsidR="007E0719" w:rsidRDefault="007E0719" w:rsidP="0055193F">
      <w:pPr>
        <w:pStyle w:val="ListParagraph"/>
        <w:spacing w:before="24" w:after="24" w:line="288" w:lineRule="auto"/>
        <w:rPr>
          <w:rFonts w:ascii="Verdana" w:eastAsia="Times New Roman" w:hAnsi="Verdana" w:cs="Times New Roman"/>
        </w:rPr>
      </w:pPr>
    </w:p>
    <w:p w14:paraId="26F4D095" w14:textId="77777777" w:rsidR="007E0719" w:rsidRDefault="007E0719" w:rsidP="0055193F">
      <w:pPr>
        <w:pStyle w:val="ListParagraph"/>
        <w:numPr>
          <w:ilvl w:val="1"/>
          <w:numId w:val="9"/>
        </w:numPr>
        <w:spacing w:before="24" w:after="24" w:line="288" w:lineRule="auto"/>
        <w:rPr>
          <w:rFonts w:ascii="Verdana" w:eastAsia="Times New Roman" w:hAnsi="Verdana" w:cs="Times New Roman"/>
        </w:rPr>
      </w:pPr>
      <w:r w:rsidRPr="007E0719">
        <w:rPr>
          <w:rFonts w:ascii="Verdana" w:eastAsia="Times New Roman" w:hAnsi="Verdana" w:cs="Times New Roman"/>
        </w:rPr>
        <w:t>For other EU obligations which underpin the rights, safeguards and equality of opportunity in Article 2, the UK Government commitment to ensure ‘no diminution’ is measured by the relevant EU standards on 31 December 2020.</w:t>
      </w:r>
      <w:r w:rsidRPr="007E0719">
        <w:rPr>
          <w:vertAlign w:val="superscript"/>
        </w:rPr>
        <w:footnoteReference w:id="31"/>
      </w:r>
    </w:p>
    <w:p w14:paraId="18F29CB4" w14:textId="77777777" w:rsidR="007E0719" w:rsidRPr="007E0719" w:rsidRDefault="007E0719" w:rsidP="0055193F">
      <w:pPr>
        <w:pStyle w:val="ListParagraph"/>
        <w:spacing w:before="24" w:after="24"/>
        <w:rPr>
          <w:rFonts w:ascii="Verdana" w:eastAsia="Times New Roman" w:hAnsi="Verdana" w:cs="Times New Roman"/>
        </w:rPr>
      </w:pPr>
    </w:p>
    <w:p w14:paraId="2E725E30" w14:textId="77777777" w:rsidR="007E0719" w:rsidRDefault="007E0719" w:rsidP="0055193F">
      <w:pPr>
        <w:pStyle w:val="ListParagraph"/>
        <w:numPr>
          <w:ilvl w:val="1"/>
          <w:numId w:val="9"/>
        </w:numPr>
        <w:spacing w:before="24" w:after="24" w:line="288" w:lineRule="auto"/>
        <w:rPr>
          <w:rFonts w:ascii="Verdana" w:eastAsia="Times New Roman" w:hAnsi="Verdana" w:cs="Times New Roman"/>
        </w:rPr>
      </w:pPr>
      <w:r w:rsidRPr="007E0719">
        <w:rPr>
          <w:rFonts w:ascii="Verdana" w:eastAsia="Times New Roman" w:hAnsi="Verdana" w:cs="Times New Roman"/>
        </w:rPr>
        <w:lastRenderedPageBreak/>
        <w:t>The rights, safeguards and equality of opportunity in the relevant part of the Belfast (Good Friday) Agreement include “the rights of victims to remember as well as to contribute to a changed society”.</w:t>
      </w:r>
      <w:r w:rsidRPr="007E0719">
        <w:rPr>
          <w:vertAlign w:val="superscript"/>
        </w:rPr>
        <w:footnoteReference w:id="32"/>
      </w:r>
      <w:r w:rsidRPr="007E0719">
        <w:rPr>
          <w:rFonts w:ascii="Verdana" w:eastAsia="Times New Roman" w:hAnsi="Verdana" w:cs="Times New Roman"/>
        </w:rPr>
        <w:t xml:space="preserve"> The UK Government has recognised a non-exhaustive list of relevant measures which fall within scope of the commitment in Protocol Article 2, which include the Victims’ Directive.</w:t>
      </w:r>
      <w:r w:rsidRPr="007E0719">
        <w:rPr>
          <w:vertAlign w:val="superscript"/>
        </w:rPr>
        <w:footnoteReference w:id="33"/>
      </w:r>
      <w:r w:rsidRPr="007E0719">
        <w:rPr>
          <w:rFonts w:ascii="Verdana" w:eastAsia="Times New Roman" w:hAnsi="Verdana" w:cs="Times New Roman"/>
        </w:rPr>
        <w:t xml:space="preserve">  </w:t>
      </w:r>
    </w:p>
    <w:p w14:paraId="74942523" w14:textId="77777777" w:rsidR="007E0719" w:rsidRPr="007E0719" w:rsidRDefault="007E0719" w:rsidP="0055193F">
      <w:pPr>
        <w:pStyle w:val="ListParagraph"/>
        <w:spacing w:before="24" w:after="24"/>
        <w:rPr>
          <w:rFonts w:ascii="Verdana" w:eastAsia="Times New Roman" w:hAnsi="Verdana" w:cs="Times New Roman"/>
        </w:rPr>
      </w:pPr>
    </w:p>
    <w:p w14:paraId="7261976A" w14:textId="77777777" w:rsidR="007E0719" w:rsidRDefault="007E0719" w:rsidP="0055193F">
      <w:pPr>
        <w:pStyle w:val="ListParagraph"/>
        <w:numPr>
          <w:ilvl w:val="1"/>
          <w:numId w:val="9"/>
        </w:numPr>
        <w:spacing w:before="24" w:after="24" w:line="288" w:lineRule="auto"/>
        <w:rPr>
          <w:rFonts w:ascii="Verdana" w:eastAsia="Times New Roman" w:hAnsi="Verdana" w:cs="Times New Roman"/>
        </w:rPr>
      </w:pPr>
      <w:r w:rsidRPr="007E0719">
        <w:rPr>
          <w:rFonts w:ascii="Verdana" w:eastAsia="Times New Roman" w:hAnsi="Verdana" w:cs="Times New Roman"/>
        </w:rPr>
        <w:t>The Victims’ Directive reinforces existing national laws and EU minimum standards on victims’ rights and support and protection for victims of crime.</w:t>
      </w:r>
      <w:r w:rsidRPr="007E0719">
        <w:rPr>
          <w:vertAlign w:val="superscript"/>
        </w:rPr>
        <w:footnoteReference w:id="34"/>
      </w:r>
      <w:r w:rsidRPr="007E0719">
        <w:rPr>
          <w:rFonts w:ascii="Verdana" w:eastAsia="Times New Roman" w:hAnsi="Verdana" w:cs="Times New Roman"/>
        </w:rPr>
        <w:t xml:space="preserve"> The Directive recognises that where </w:t>
      </w:r>
      <w:r w:rsidRPr="007E0719">
        <w:rPr>
          <w:rFonts w:ascii="Verdana" w:eastAsia="Times New Roman" w:hAnsi="Verdana" w:cs="Times New Roman"/>
          <w:bCs/>
        </w:rPr>
        <w:t>physical, sexual, psychological or economic violence</w:t>
      </w:r>
      <w:r w:rsidRPr="007E0719">
        <w:rPr>
          <w:rFonts w:ascii="Verdana" w:eastAsia="Times New Roman" w:hAnsi="Verdana" w:cs="Times New Roman"/>
        </w:rPr>
        <w:t> is committed in a close relationship, this can cause psychological and physical trauma and such victims are therefore in need of special protection measures.</w:t>
      </w:r>
      <w:r w:rsidRPr="007E0719">
        <w:rPr>
          <w:vertAlign w:val="superscript"/>
        </w:rPr>
        <w:footnoteReference w:id="35"/>
      </w:r>
      <w:r w:rsidRPr="007E0719">
        <w:rPr>
          <w:rFonts w:ascii="Verdana" w:eastAsia="Times New Roman" w:hAnsi="Verdana" w:cs="Times New Roman"/>
        </w:rPr>
        <w:t xml:space="preserve"> Moreover, the Directive acknowledges that women are disproportionately impacted by this harm.</w:t>
      </w:r>
      <w:r w:rsidRPr="007E0719">
        <w:rPr>
          <w:vertAlign w:val="superscript"/>
        </w:rPr>
        <w:footnoteReference w:id="36"/>
      </w:r>
    </w:p>
    <w:p w14:paraId="24FAA656" w14:textId="77777777" w:rsidR="007E0719" w:rsidRPr="007E0719" w:rsidRDefault="007E0719" w:rsidP="0055193F">
      <w:pPr>
        <w:pStyle w:val="ListParagraph"/>
        <w:spacing w:before="24" w:after="24"/>
        <w:rPr>
          <w:rFonts w:ascii="Verdana" w:eastAsia="Times New Roman" w:hAnsi="Verdana" w:cs="Times New Roman"/>
        </w:rPr>
      </w:pPr>
    </w:p>
    <w:p w14:paraId="3ECBE937" w14:textId="77777777" w:rsidR="007E0719" w:rsidRDefault="007E0719" w:rsidP="0055193F">
      <w:pPr>
        <w:pStyle w:val="ListParagraph"/>
        <w:numPr>
          <w:ilvl w:val="1"/>
          <w:numId w:val="9"/>
        </w:numPr>
        <w:spacing w:before="24" w:after="24" w:line="288" w:lineRule="auto"/>
        <w:rPr>
          <w:rFonts w:ascii="Verdana" w:eastAsia="Times New Roman" w:hAnsi="Verdana" w:cs="Times New Roman"/>
        </w:rPr>
      </w:pPr>
      <w:r w:rsidRPr="005376DF">
        <w:rPr>
          <w:rFonts w:ascii="Verdana" w:eastAsia="Times New Roman" w:hAnsi="Verdana" w:cs="Times New Roman"/>
        </w:rPr>
        <w:t xml:space="preserve">The Victims’ Directive identifies </w:t>
      </w:r>
      <w:r w:rsidRPr="005376DF">
        <w:rPr>
          <w:rFonts w:ascii="Verdana" w:eastAsia="Times New Roman" w:hAnsi="Verdana" w:cs="Times New Roman"/>
          <w:color w:val="000000"/>
          <w:shd w:val="clear" w:color="auto" w:fill="FFFFFF"/>
        </w:rPr>
        <w:t>that gender-based violence is directed at a person because of their gender, gender identity or gender expression, noting</w:t>
      </w:r>
      <w:r w:rsidRPr="005376DF">
        <w:rPr>
          <w:rFonts w:ascii="Verdana" w:eastAsia="Times New Roman" w:hAnsi="Verdana" w:cs="Times New Roman"/>
        </w:rPr>
        <w:t xml:space="preserve">: </w:t>
      </w:r>
    </w:p>
    <w:p w14:paraId="2FBEB0C2" w14:textId="77777777" w:rsidR="005376DF" w:rsidRPr="005376DF" w:rsidRDefault="005376DF" w:rsidP="0055193F">
      <w:pPr>
        <w:pStyle w:val="ListParagraph"/>
        <w:spacing w:before="24" w:after="24" w:line="288" w:lineRule="auto"/>
        <w:rPr>
          <w:rFonts w:ascii="Verdana" w:eastAsia="Times New Roman" w:hAnsi="Verdana" w:cs="Times New Roman"/>
        </w:rPr>
      </w:pPr>
    </w:p>
    <w:p w14:paraId="418FCAC8" w14:textId="77777777" w:rsidR="007E0719" w:rsidRPr="005376DF" w:rsidRDefault="007E0719" w:rsidP="00F949FE">
      <w:pPr>
        <w:pStyle w:val="Quote"/>
        <w:spacing w:before="24" w:after="24"/>
        <w:ind w:left="1440"/>
        <w:rPr>
          <w:shd w:val="clear" w:color="auto" w:fill="FFFFFF"/>
        </w:rPr>
      </w:pPr>
      <w:r w:rsidRPr="005376DF">
        <w:rPr>
          <w:shd w:val="clear" w:color="auto" w:fill="FFFFFF"/>
        </w:rPr>
        <w:t xml:space="preserve">Gender-based violence is understood to be a form of discrimination and a violation of the fundamental freedoms of the victim and includes violence in close relationships, sexual violence (including rape, sexual assault and harassment), trafficking in human beings, slavery, and different forms of harmful practices, such as forced marriages, female genital mutilation and so-called ‘honour </w:t>
      </w:r>
      <w:proofErr w:type="gramStart"/>
      <w:r w:rsidRPr="005376DF">
        <w:rPr>
          <w:shd w:val="clear" w:color="auto" w:fill="FFFFFF"/>
        </w:rPr>
        <w:t>crimes’</w:t>
      </w:r>
      <w:proofErr w:type="gramEnd"/>
      <w:r w:rsidRPr="005376DF">
        <w:rPr>
          <w:shd w:val="clear" w:color="auto" w:fill="FFFFFF"/>
        </w:rPr>
        <w:t>.</w:t>
      </w:r>
      <w:r w:rsidRPr="005376DF">
        <w:rPr>
          <w:shd w:val="clear" w:color="auto" w:fill="FFFFFF"/>
          <w:vertAlign w:val="superscript"/>
        </w:rPr>
        <w:footnoteReference w:id="37"/>
      </w:r>
    </w:p>
    <w:p w14:paraId="44633F5C" w14:textId="77777777" w:rsidR="007E0719" w:rsidRPr="005376DF" w:rsidRDefault="007E0719" w:rsidP="0055193F">
      <w:pPr>
        <w:spacing w:before="24" w:after="24" w:line="288" w:lineRule="auto"/>
        <w:ind w:left="720"/>
        <w:rPr>
          <w:rFonts w:ascii="Verdana" w:eastAsia="Times New Roman" w:hAnsi="Verdana" w:cs="Times New Roman"/>
          <w:color w:val="000000"/>
          <w:shd w:val="clear" w:color="auto" w:fill="FFFFFF"/>
        </w:rPr>
      </w:pPr>
    </w:p>
    <w:p w14:paraId="2E828B0F" w14:textId="77777777" w:rsidR="005376DF" w:rsidRPr="005376DF" w:rsidRDefault="007E0719" w:rsidP="0055193F">
      <w:pPr>
        <w:pStyle w:val="ListParagraph"/>
        <w:numPr>
          <w:ilvl w:val="1"/>
          <w:numId w:val="9"/>
        </w:numPr>
        <w:spacing w:before="24" w:after="24" w:line="288" w:lineRule="auto"/>
        <w:rPr>
          <w:rFonts w:ascii="Verdana" w:eastAsia="Times New Roman" w:hAnsi="Verdana" w:cs="Times New Roman"/>
          <w:color w:val="000000"/>
          <w:shd w:val="clear" w:color="auto" w:fill="FFFFFF"/>
        </w:rPr>
      </w:pPr>
      <w:r w:rsidRPr="005376DF">
        <w:rPr>
          <w:rFonts w:ascii="Verdana" w:eastAsia="Times New Roman" w:hAnsi="Verdana" w:cs="Times New Roman"/>
          <w:color w:val="000000"/>
          <w:shd w:val="clear" w:color="auto" w:fill="FFFFFF"/>
        </w:rPr>
        <w:t>The Directive states that women victims and their children require specialist support and protection due to the high risk of repeat and secondary victimisation, intimidation or retaliation associated with this type of violence.</w:t>
      </w:r>
      <w:r w:rsidRPr="005376DF">
        <w:rPr>
          <w:rFonts w:ascii="Verdana" w:hAnsi="Verdana"/>
          <w:shd w:val="clear" w:color="auto" w:fill="FFFFFF"/>
          <w:vertAlign w:val="superscript"/>
        </w:rPr>
        <w:footnoteReference w:id="38"/>
      </w:r>
    </w:p>
    <w:p w14:paraId="611D81BC" w14:textId="77777777" w:rsidR="005376DF" w:rsidRDefault="005376DF" w:rsidP="0055193F">
      <w:pPr>
        <w:pStyle w:val="ListParagraph"/>
        <w:spacing w:before="24" w:after="24" w:line="288" w:lineRule="auto"/>
        <w:ind w:left="862"/>
        <w:rPr>
          <w:rFonts w:ascii="Verdana" w:eastAsia="Times New Roman" w:hAnsi="Verdana" w:cs="Times New Roman"/>
          <w:color w:val="000000"/>
          <w:shd w:val="clear" w:color="auto" w:fill="FFFFFF"/>
        </w:rPr>
      </w:pPr>
    </w:p>
    <w:p w14:paraId="4406E77B" w14:textId="57DD4C78" w:rsidR="005376DF" w:rsidRDefault="007E0719" w:rsidP="0055193F">
      <w:pPr>
        <w:pStyle w:val="ListParagraph"/>
        <w:numPr>
          <w:ilvl w:val="1"/>
          <w:numId w:val="9"/>
        </w:numPr>
        <w:spacing w:before="24" w:after="24" w:line="288" w:lineRule="auto"/>
        <w:rPr>
          <w:rFonts w:ascii="Verdana" w:eastAsia="Times New Roman" w:hAnsi="Verdana" w:cs="Times New Roman"/>
          <w:color w:val="000000"/>
          <w:shd w:val="clear" w:color="auto" w:fill="FFFFFF"/>
        </w:rPr>
      </w:pPr>
      <w:r w:rsidRPr="005376DF">
        <w:rPr>
          <w:rFonts w:ascii="Verdana" w:eastAsia="Times New Roman" w:hAnsi="Verdana" w:cs="Times New Roman"/>
        </w:rPr>
        <w:t xml:space="preserve">The Victims’ Directive notes that States should ensure appropriate training to identify victims and their specific needs is provided to police services, </w:t>
      </w:r>
      <w:r w:rsidRPr="005376DF">
        <w:rPr>
          <w:rFonts w:ascii="Verdana" w:eastAsia="Times New Roman" w:hAnsi="Verdana" w:cs="Times New Roman"/>
        </w:rPr>
        <w:lastRenderedPageBreak/>
        <w:t>court staff, lawyers, prosecutors and judges, as well as providing gender sensitive specialist support services where relevant.</w:t>
      </w:r>
      <w:r w:rsidRPr="007E0719">
        <w:rPr>
          <w:vertAlign w:val="superscript"/>
        </w:rPr>
        <w:footnoteReference w:id="39"/>
      </w:r>
      <w:r w:rsidRPr="005376DF">
        <w:rPr>
          <w:rFonts w:ascii="Verdana" w:eastAsia="Times New Roman" w:hAnsi="Verdana" w:cs="Times New Roman"/>
        </w:rPr>
        <w:t xml:space="preserve"> Article 9 of the Directive provides for specialist</w:t>
      </w:r>
      <w:r w:rsidRPr="005376DF">
        <w:rPr>
          <w:rFonts w:ascii="Verdana" w:eastAsia="Times New Roman" w:hAnsi="Verdana" w:cs="Times New Roman"/>
          <w:color w:val="000000"/>
          <w:shd w:val="clear" w:color="auto" w:fill="FFFFFF"/>
        </w:rPr>
        <w:t xml:space="preserve"> support for victims with specific needs including “victims of sexual violence, victims of gender-based violence and victims of violence in close relationships, including trauma support and counselling”.</w:t>
      </w:r>
      <w:r w:rsidRPr="007E0719">
        <w:rPr>
          <w:color w:val="000000"/>
          <w:shd w:val="clear" w:color="auto" w:fill="FFFFFF"/>
          <w:vertAlign w:val="superscript"/>
        </w:rPr>
        <w:footnoteReference w:id="40"/>
      </w:r>
    </w:p>
    <w:p w14:paraId="57EB3FE2" w14:textId="77777777" w:rsidR="005376DF" w:rsidRDefault="005376DF" w:rsidP="0055193F">
      <w:pPr>
        <w:pStyle w:val="ListParagraph"/>
        <w:spacing w:before="24" w:after="24" w:line="288" w:lineRule="auto"/>
        <w:ind w:left="862"/>
        <w:rPr>
          <w:rFonts w:ascii="Verdana" w:eastAsia="Times New Roman" w:hAnsi="Verdana" w:cs="Times New Roman"/>
          <w:color w:val="000000"/>
          <w:shd w:val="clear" w:color="auto" w:fill="FFFFFF"/>
        </w:rPr>
      </w:pPr>
    </w:p>
    <w:p w14:paraId="76FEB802" w14:textId="339FBE96" w:rsidR="005376DF" w:rsidRDefault="007E0719" w:rsidP="0055193F">
      <w:pPr>
        <w:pStyle w:val="ListParagraph"/>
        <w:numPr>
          <w:ilvl w:val="1"/>
          <w:numId w:val="9"/>
        </w:numPr>
        <w:spacing w:before="24" w:after="24" w:line="288" w:lineRule="auto"/>
        <w:rPr>
          <w:rFonts w:ascii="Verdana" w:eastAsia="Times New Roman" w:hAnsi="Verdana" w:cs="Times New Roman"/>
          <w:color w:val="000000"/>
          <w:shd w:val="clear" w:color="auto" w:fill="FFFFFF"/>
        </w:rPr>
      </w:pPr>
      <w:r w:rsidRPr="005376DF">
        <w:rPr>
          <w:rFonts w:ascii="Verdana" w:eastAsia="Times New Roman" w:hAnsi="Verdana" w:cs="Times New Roman"/>
          <w:color w:val="000000"/>
          <w:shd w:val="clear" w:color="auto" w:fill="FFFFFF"/>
        </w:rPr>
        <w:t>Article 22 of the Victims’ Directive requires States to ensure victims receive a timely and individual assessment to identify protection needs. Article 22(3) requires states to pay particular attention to victims who have suffered a crime with a biased or discriminatory motive and victims whose relationship with the offender makes them particularly vulnerable, including victims of gender-based violence or violence within a close relationship.</w:t>
      </w:r>
      <w:r w:rsidRPr="007E0719">
        <w:rPr>
          <w:shd w:val="clear" w:color="auto" w:fill="FFFFFF"/>
          <w:vertAlign w:val="superscript"/>
        </w:rPr>
        <w:footnoteReference w:id="41"/>
      </w:r>
      <w:r w:rsidRPr="005376DF">
        <w:rPr>
          <w:rFonts w:ascii="Verdana" w:eastAsia="Times New Roman" w:hAnsi="Verdana" w:cs="Times New Roman"/>
          <w:color w:val="000000"/>
          <w:shd w:val="clear" w:color="auto" w:fill="FFFFFF"/>
        </w:rPr>
        <w:t xml:space="preserve"> Article 23 of the Directive provides for the right to protection for victims during criminal proceedings where a victim has been assessed as requiring special support and protection under Article 22.</w:t>
      </w:r>
      <w:r w:rsidRPr="007E0719">
        <w:rPr>
          <w:shd w:val="clear" w:color="auto" w:fill="FFFFFF"/>
          <w:vertAlign w:val="superscript"/>
        </w:rPr>
        <w:footnoteReference w:id="42"/>
      </w:r>
    </w:p>
    <w:p w14:paraId="24E62F0C" w14:textId="77777777" w:rsidR="005376DF" w:rsidRPr="005376DF" w:rsidRDefault="005376DF" w:rsidP="0055193F">
      <w:pPr>
        <w:pStyle w:val="ListParagraph"/>
        <w:spacing w:before="24" w:after="24"/>
        <w:rPr>
          <w:rFonts w:ascii="Verdana" w:eastAsia="Times New Roman" w:hAnsi="Verdana" w:cs="Times New Roman"/>
          <w:color w:val="000000"/>
          <w:shd w:val="clear" w:color="auto" w:fill="FFFFFF"/>
        </w:rPr>
      </w:pPr>
    </w:p>
    <w:p w14:paraId="2DA79ED3" w14:textId="18064D6B" w:rsidR="007E0719" w:rsidRPr="00BB4949" w:rsidRDefault="007E0719" w:rsidP="0055193F">
      <w:pPr>
        <w:pStyle w:val="ListParagraph"/>
        <w:numPr>
          <w:ilvl w:val="1"/>
          <w:numId w:val="9"/>
        </w:numPr>
        <w:spacing w:before="24" w:after="24" w:line="288" w:lineRule="auto"/>
        <w:rPr>
          <w:rFonts w:ascii="Verdana" w:eastAsia="Times New Roman" w:hAnsi="Verdana" w:cs="Times New Roman"/>
          <w:b/>
          <w:bCs/>
          <w:color w:val="000000"/>
          <w:shd w:val="clear" w:color="auto" w:fill="FFFFFF"/>
        </w:rPr>
      </w:pPr>
      <w:r w:rsidRPr="00BB4949">
        <w:rPr>
          <w:rFonts w:ascii="Verdana" w:eastAsia="Times New Roman" w:hAnsi="Verdana" w:cs="Times New Roman"/>
          <w:b/>
          <w:bCs/>
          <w:color w:val="000000"/>
          <w:shd w:val="clear" w:color="auto" w:fill="FFFFFF"/>
        </w:rPr>
        <w:t xml:space="preserve">The Commission </w:t>
      </w:r>
      <w:r w:rsidR="0005296A">
        <w:rPr>
          <w:rFonts w:ascii="Verdana" w:eastAsia="Times New Roman" w:hAnsi="Verdana" w:cs="Times New Roman"/>
          <w:b/>
          <w:bCs/>
          <w:color w:val="000000"/>
          <w:shd w:val="clear" w:color="auto" w:fill="FFFFFF"/>
        </w:rPr>
        <w:t xml:space="preserve">recommends </w:t>
      </w:r>
      <w:r w:rsidR="00F2762F">
        <w:rPr>
          <w:rFonts w:ascii="Verdana" w:eastAsia="Times New Roman" w:hAnsi="Verdana" w:cs="Times New Roman"/>
          <w:b/>
          <w:bCs/>
          <w:color w:val="000000"/>
          <w:shd w:val="clear" w:color="auto" w:fill="FFFFFF"/>
        </w:rPr>
        <w:t xml:space="preserve">that the NI Executive and </w:t>
      </w:r>
      <w:r w:rsidRPr="00BB4949">
        <w:rPr>
          <w:rFonts w:ascii="Verdana" w:eastAsia="Times New Roman" w:hAnsi="Verdana" w:cs="Times New Roman"/>
          <w:b/>
          <w:bCs/>
          <w:color w:val="000000"/>
          <w:shd w:val="clear" w:color="auto" w:fill="FFFFFF"/>
        </w:rPr>
        <w:t xml:space="preserve">Departments consider </w:t>
      </w:r>
      <w:r w:rsidR="00F2762F">
        <w:rPr>
          <w:rFonts w:ascii="Verdana" w:eastAsia="Times New Roman" w:hAnsi="Verdana" w:cs="Times New Roman"/>
          <w:b/>
          <w:bCs/>
          <w:color w:val="000000"/>
          <w:shd w:val="clear" w:color="auto" w:fill="FFFFFF"/>
        </w:rPr>
        <w:t xml:space="preserve">and </w:t>
      </w:r>
      <w:proofErr w:type="gramStart"/>
      <w:r w:rsidR="00F2762F">
        <w:rPr>
          <w:rFonts w:ascii="Verdana" w:eastAsia="Times New Roman" w:hAnsi="Verdana" w:cs="Times New Roman"/>
          <w:b/>
          <w:bCs/>
          <w:color w:val="000000"/>
          <w:shd w:val="clear" w:color="auto" w:fill="FFFFFF"/>
        </w:rPr>
        <w:t>take into account</w:t>
      </w:r>
      <w:proofErr w:type="gramEnd"/>
      <w:r w:rsidR="00F2762F">
        <w:rPr>
          <w:rFonts w:ascii="Verdana" w:eastAsia="Times New Roman" w:hAnsi="Verdana" w:cs="Times New Roman"/>
          <w:b/>
          <w:bCs/>
          <w:color w:val="000000"/>
          <w:shd w:val="clear" w:color="auto" w:fill="FFFFFF"/>
        </w:rPr>
        <w:t xml:space="preserve"> </w:t>
      </w:r>
      <w:r w:rsidRPr="00BB4949">
        <w:rPr>
          <w:rFonts w:ascii="Verdana" w:eastAsia="Times New Roman" w:hAnsi="Verdana" w:cs="Times New Roman"/>
          <w:b/>
          <w:bCs/>
          <w:color w:val="000000"/>
          <w:shd w:val="clear" w:color="auto" w:fill="FFFFFF"/>
        </w:rPr>
        <w:t>the Victims’ Directive and Protocol Article 2 during the development and implementation of both Strategies.</w:t>
      </w:r>
    </w:p>
    <w:p w14:paraId="1284D8BA" w14:textId="77777777" w:rsidR="007E0719" w:rsidRPr="007E0719" w:rsidRDefault="007E0719" w:rsidP="0055193F">
      <w:pPr>
        <w:spacing w:before="24" w:after="24" w:line="259" w:lineRule="auto"/>
        <w:rPr>
          <w:rFonts w:ascii="Verdana" w:eastAsia="Times New Roman" w:hAnsi="Verdana" w:cs="Times New Roman"/>
          <w:b/>
          <w:color w:val="000000"/>
          <w:shd w:val="clear" w:color="auto" w:fill="FFFFFF"/>
        </w:rPr>
      </w:pPr>
    </w:p>
    <w:p w14:paraId="0D7B0368" w14:textId="77777777" w:rsidR="005376DF" w:rsidRDefault="007E0719" w:rsidP="0055193F">
      <w:pPr>
        <w:pStyle w:val="Heading1"/>
        <w:numPr>
          <w:ilvl w:val="0"/>
          <w:numId w:val="9"/>
        </w:numPr>
        <w:spacing w:before="24" w:after="24"/>
      </w:pPr>
      <w:bookmarkStart w:id="7" w:name="_Toc96700070"/>
      <w:r w:rsidRPr="007E0719">
        <w:t>General comments on the development of the strategies</w:t>
      </w:r>
      <w:bookmarkEnd w:id="7"/>
      <w:r w:rsidRPr="007E0719">
        <w:t xml:space="preserve"> </w:t>
      </w:r>
    </w:p>
    <w:p w14:paraId="433E6A39" w14:textId="77777777" w:rsidR="005376DF" w:rsidRPr="005376DF" w:rsidRDefault="005376DF" w:rsidP="0055193F">
      <w:pPr>
        <w:spacing w:before="24" w:after="24"/>
        <w:rPr>
          <w:rFonts w:ascii="Verdana" w:hAnsi="Verdana"/>
        </w:rPr>
      </w:pPr>
    </w:p>
    <w:p w14:paraId="4C7DE473" w14:textId="3C61C6BA" w:rsidR="00A03BD5" w:rsidRPr="00D40474" w:rsidRDefault="007E0719" w:rsidP="0055193F">
      <w:pPr>
        <w:pStyle w:val="ListParagraph"/>
        <w:numPr>
          <w:ilvl w:val="1"/>
          <w:numId w:val="9"/>
        </w:numPr>
        <w:spacing w:before="24" w:after="24"/>
        <w:rPr>
          <w:rFonts w:ascii="Verdana" w:hAnsi="Verdana"/>
        </w:rPr>
      </w:pPr>
      <w:r w:rsidRPr="005376DF">
        <w:rPr>
          <w:rFonts w:ascii="Verdana" w:hAnsi="Verdana"/>
        </w:rPr>
        <w:t xml:space="preserve">The Commission welcomes the strategies as a step towards the positive realisation of the rights of women and girls, as protected by the international human rights framework. The Commission also notes that these strategies </w:t>
      </w:r>
      <w:r w:rsidR="00A622B0">
        <w:rPr>
          <w:rFonts w:ascii="Verdana" w:hAnsi="Verdana"/>
        </w:rPr>
        <w:t xml:space="preserve">provide </w:t>
      </w:r>
      <w:r w:rsidRPr="005376DF">
        <w:rPr>
          <w:rFonts w:ascii="Verdana" w:hAnsi="Verdana"/>
        </w:rPr>
        <w:t xml:space="preserve">an opportunity to address the </w:t>
      </w:r>
      <w:proofErr w:type="gramStart"/>
      <w:r w:rsidRPr="005376DF">
        <w:rPr>
          <w:rFonts w:ascii="Verdana" w:hAnsi="Verdana"/>
        </w:rPr>
        <w:t>particular recommendations</w:t>
      </w:r>
      <w:proofErr w:type="gramEnd"/>
      <w:r w:rsidRPr="005376DF">
        <w:rPr>
          <w:rFonts w:ascii="Verdana" w:hAnsi="Verdana"/>
        </w:rPr>
        <w:t xml:space="preserve"> and guidance of the</w:t>
      </w:r>
      <w:r w:rsidR="00A03BD5">
        <w:rPr>
          <w:rFonts w:ascii="Verdana" w:hAnsi="Verdana"/>
        </w:rPr>
        <w:t xml:space="preserve"> UN CAT and UN CEDAW Committees</w:t>
      </w:r>
      <w:r w:rsidRPr="005376DF">
        <w:rPr>
          <w:rFonts w:ascii="Verdana" w:hAnsi="Verdana"/>
        </w:rPr>
        <w:t xml:space="preserve">. </w:t>
      </w:r>
      <w:r w:rsidRPr="00D40474">
        <w:rPr>
          <w:rFonts w:ascii="Verdana" w:hAnsi="Verdana"/>
        </w:rPr>
        <w:t xml:space="preserve">Taking a human </w:t>
      </w:r>
      <w:r w:rsidR="00A622B0" w:rsidRPr="00D40474">
        <w:rPr>
          <w:rFonts w:ascii="Verdana" w:hAnsi="Verdana"/>
        </w:rPr>
        <w:t>rights-based</w:t>
      </w:r>
      <w:r w:rsidRPr="00D40474">
        <w:rPr>
          <w:rFonts w:ascii="Verdana" w:hAnsi="Verdana"/>
        </w:rPr>
        <w:t xml:space="preserve"> approach </w:t>
      </w:r>
      <w:r w:rsidR="00A622B0">
        <w:rPr>
          <w:rFonts w:ascii="Verdana" w:hAnsi="Verdana"/>
        </w:rPr>
        <w:t xml:space="preserve">will </w:t>
      </w:r>
      <w:r w:rsidRPr="00D40474">
        <w:rPr>
          <w:rFonts w:ascii="Verdana" w:hAnsi="Verdana"/>
        </w:rPr>
        <w:t xml:space="preserve">ensure that human rights are put at the centre of policies and practice. </w:t>
      </w:r>
      <w:r w:rsidR="00A03BD5" w:rsidRPr="00D40474">
        <w:rPr>
          <w:rFonts w:ascii="Verdana" w:hAnsi="Verdana"/>
        </w:rPr>
        <w:t xml:space="preserve">In doing so, explicit reference </w:t>
      </w:r>
      <w:r w:rsidR="00A622B0">
        <w:rPr>
          <w:rFonts w:ascii="Verdana" w:hAnsi="Verdana"/>
        </w:rPr>
        <w:t xml:space="preserve">should be made </w:t>
      </w:r>
      <w:r w:rsidR="00A03BD5" w:rsidRPr="00D40474">
        <w:rPr>
          <w:rFonts w:ascii="Verdana" w:hAnsi="Verdana"/>
        </w:rPr>
        <w:t xml:space="preserve">to the relevant human rights standards </w:t>
      </w:r>
      <w:r w:rsidR="00A622B0">
        <w:rPr>
          <w:rFonts w:ascii="Verdana" w:hAnsi="Verdana"/>
        </w:rPr>
        <w:t>which should be used to guide substantive content.</w:t>
      </w:r>
    </w:p>
    <w:p w14:paraId="14B1DE28" w14:textId="77777777" w:rsidR="00A03BD5" w:rsidRDefault="00A03BD5" w:rsidP="0055193F">
      <w:pPr>
        <w:pStyle w:val="ListParagraph"/>
        <w:spacing w:before="24" w:after="24"/>
        <w:rPr>
          <w:rFonts w:ascii="Verdana" w:hAnsi="Verdana"/>
        </w:rPr>
      </w:pPr>
    </w:p>
    <w:p w14:paraId="06A457DC" w14:textId="5447F039" w:rsidR="005376DF" w:rsidRDefault="007E0719" w:rsidP="0055193F">
      <w:pPr>
        <w:pStyle w:val="ListParagraph"/>
        <w:numPr>
          <w:ilvl w:val="1"/>
          <w:numId w:val="9"/>
        </w:numPr>
        <w:spacing w:before="24" w:after="24"/>
        <w:rPr>
          <w:rFonts w:ascii="Verdana" w:hAnsi="Verdana"/>
        </w:rPr>
      </w:pPr>
      <w:r w:rsidRPr="005376DF">
        <w:rPr>
          <w:rFonts w:ascii="Verdana" w:hAnsi="Verdana"/>
        </w:rPr>
        <w:t xml:space="preserve">The PANEL principles </w:t>
      </w:r>
      <w:r w:rsidR="00A622B0">
        <w:rPr>
          <w:rFonts w:ascii="Verdana" w:hAnsi="Verdana"/>
        </w:rPr>
        <w:t>should</w:t>
      </w:r>
      <w:r w:rsidR="00A622B0" w:rsidRPr="005376DF">
        <w:rPr>
          <w:rFonts w:ascii="Verdana" w:hAnsi="Verdana"/>
        </w:rPr>
        <w:t xml:space="preserve"> </w:t>
      </w:r>
      <w:r w:rsidRPr="005376DF">
        <w:rPr>
          <w:rFonts w:ascii="Verdana" w:hAnsi="Verdana"/>
        </w:rPr>
        <w:t xml:space="preserve">be used as a guide to </w:t>
      </w:r>
      <w:proofErr w:type="gramStart"/>
      <w:r w:rsidRPr="005376DF">
        <w:rPr>
          <w:rFonts w:ascii="Verdana" w:hAnsi="Verdana"/>
        </w:rPr>
        <w:t>developing</w:t>
      </w:r>
      <w:proofErr w:type="gramEnd"/>
      <w:r w:rsidRPr="005376DF">
        <w:rPr>
          <w:rFonts w:ascii="Verdana" w:hAnsi="Verdana"/>
        </w:rPr>
        <w:t xml:space="preserve"> a human </w:t>
      </w:r>
      <w:r w:rsidR="00A622B0" w:rsidRPr="005376DF">
        <w:rPr>
          <w:rFonts w:ascii="Verdana" w:hAnsi="Verdana"/>
        </w:rPr>
        <w:t>rights-based</w:t>
      </w:r>
      <w:r w:rsidRPr="005376DF">
        <w:rPr>
          <w:rFonts w:ascii="Verdana" w:hAnsi="Verdana"/>
        </w:rPr>
        <w:t xml:space="preserve"> approach in practice. PANEL stands for Participation, </w:t>
      </w:r>
      <w:r w:rsidRPr="005376DF">
        <w:rPr>
          <w:rFonts w:ascii="Verdana" w:hAnsi="Verdana"/>
        </w:rPr>
        <w:lastRenderedPageBreak/>
        <w:t xml:space="preserve">Accountability, Non-Discrimination and Equality, Empowerment and Legality. Participation provides that people should be involved in decisions that affect their rights. Accountability provides that there should be monitoring of how people’s rights are being affected, as well as remedies when things go wrong. Non-Discrimination and Equality ensures that all forms of discrimination must be prohibited, prevented and eliminated and that people who face the biggest barriers to realising their rights should be prioritised. Empowerment provides that everyone should understand their </w:t>
      </w:r>
      <w:proofErr w:type="gramStart"/>
      <w:r w:rsidRPr="005376DF">
        <w:rPr>
          <w:rFonts w:ascii="Verdana" w:hAnsi="Verdana"/>
        </w:rPr>
        <w:t>rights, and</w:t>
      </w:r>
      <w:proofErr w:type="gramEnd"/>
      <w:r w:rsidRPr="005376DF">
        <w:rPr>
          <w:rFonts w:ascii="Verdana" w:hAnsi="Verdana"/>
        </w:rPr>
        <w:t xml:space="preserve"> be fully supported to take part in developing policy and practices which affect their lives. Legality provides that approaches should be grounded in the legal rights that are set out in domestic and international laws.</w:t>
      </w:r>
      <w:r w:rsidRPr="005376DF">
        <w:rPr>
          <w:rFonts w:ascii="Verdana" w:hAnsi="Verdana"/>
          <w:vertAlign w:val="superscript"/>
        </w:rPr>
        <w:footnoteReference w:id="43"/>
      </w:r>
    </w:p>
    <w:p w14:paraId="69CB56A8" w14:textId="77777777" w:rsidR="00A03BD5" w:rsidRPr="0055193F" w:rsidRDefault="00A03BD5" w:rsidP="0055193F">
      <w:pPr>
        <w:pStyle w:val="ListParagraph"/>
        <w:spacing w:before="24" w:after="24"/>
        <w:rPr>
          <w:rFonts w:ascii="Verdana" w:hAnsi="Verdana"/>
          <w:b/>
        </w:rPr>
      </w:pPr>
    </w:p>
    <w:p w14:paraId="38C84CAA" w14:textId="0378954A" w:rsidR="00A03BD5" w:rsidRPr="0055193F" w:rsidRDefault="00A03BD5" w:rsidP="0055193F">
      <w:pPr>
        <w:pStyle w:val="ListParagraph"/>
        <w:numPr>
          <w:ilvl w:val="1"/>
          <w:numId w:val="9"/>
        </w:numPr>
        <w:spacing w:before="24" w:after="24"/>
        <w:rPr>
          <w:rFonts w:ascii="Verdana" w:hAnsi="Verdana"/>
          <w:b/>
        </w:rPr>
      </w:pPr>
      <w:r w:rsidRPr="0055193F">
        <w:rPr>
          <w:rFonts w:ascii="Verdana" w:hAnsi="Verdana"/>
          <w:b/>
        </w:rPr>
        <w:t>The Commission recommends</w:t>
      </w:r>
      <w:r w:rsidR="0055193F" w:rsidRPr="0055193F">
        <w:rPr>
          <w:rFonts w:ascii="Verdana" w:hAnsi="Verdana"/>
          <w:b/>
        </w:rPr>
        <w:t xml:space="preserve"> that </w:t>
      </w:r>
      <w:r w:rsidR="0055193F">
        <w:rPr>
          <w:rFonts w:ascii="Verdana" w:hAnsi="Verdana"/>
          <w:b/>
        </w:rPr>
        <w:t xml:space="preserve">the </w:t>
      </w:r>
      <w:r w:rsidR="00A622B0">
        <w:rPr>
          <w:rFonts w:ascii="Verdana" w:hAnsi="Verdana"/>
          <w:b/>
        </w:rPr>
        <w:t xml:space="preserve">NI </w:t>
      </w:r>
      <w:r w:rsidR="0055193F">
        <w:rPr>
          <w:rFonts w:ascii="Verdana" w:hAnsi="Verdana"/>
          <w:b/>
        </w:rPr>
        <w:t xml:space="preserve">Executive and Departments </w:t>
      </w:r>
      <w:r w:rsidR="00A622B0">
        <w:rPr>
          <w:rFonts w:ascii="Verdana" w:hAnsi="Verdana"/>
          <w:b/>
        </w:rPr>
        <w:t xml:space="preserve">reference </w:t>
      </w:r>
      <w:r w:rsidR="0055193F" w:rsidRPr="0055193F">
        <w:rPr>
          <w:rFonts w:ascii="Verdana" w:hAnsi="Verdana"/>
          <w:b/>
        </w:rPr>
        <w:t xml:space="preserve">specifically </w:t>
      </w:r>
      <w:r w:rsidR="00A622B0">
        <w:rPr>
          <w:rFonts w:ascii="Verdana" w:hAnsi="Verdana"/>
          <w:b/>
        </w:rPr>
        <w:t xml:space="preserve">the relevant human rights standards. </w:t>
      </w:r>
    </w:p>
    <w:p w14:paraId="7731E33B" w14:textId="77777777" w:rsidR="005376DF" w:rsidRDefault="005376DF" w:rsidP="0055193F">
      <w:pPr>
        <w:pStyle w:val="ListParagraph"/>
        <w:spacing w:before="24" w:after="24"/>
        <w:rPr>
          <w:rFonts w:ascii="Verdana" w:hAnsi="Verdana"/>
        </w:rPr>
      </w:pPr>
    </w:p>
    <w:p w14:paraId="4FE74798" w14:textId="6CE0DECB" w:rsidR="005376DF" w:rsidRDefault="007E0719" w:rsidP="0055193F">
      <w:pPr>
        <w:pStyle w:val="ListParagraph"/>
        <w:numPr>
          <w:ilvl w:val="1"/>
          <w:numId w:val="9"/>
        </w:numPr>
        <w:spacing w:before="24" w:after="24"/>
        <w:rPr>
          <w:rFonts w:ascii="Verdana" w:hAnsi="Verdana"/>
        </w:rPr>
      </w:pPr>
      <w:r w:rsidRPr="005376DF">
        <w:rPr>
          <w:rFonts w:ascii="Verdana" w:hAnsi="Verdana"/>
        </w:rPr>
        <w:t xml:space="preserve">The Commission </w:t>
      </w:r>
      <w:r w:rsidR="00E7674F">
        <w:rPr>
          <w:rFonts w:ascii="Verdana" w:hAnsi="Verdana"/>
        </w:rPr>
        <w:t xml:space="preserve">reminds that </w:t>
      </w:r>
      <w:r w:rsidRPr="005376DF">
        <w:rPr>
          <w:rFonts w:ascii="Verdana" w:hAnsi="Verdana"/>
        </w:rPr>
        <w:t>Article 8 of the Istanbul Convention states:</w:t>
      </w:r>
    </w:p>
    <w:p w14:paraId="76B2611D" w14:textId="77777777" w:rsidR="005376DF" w:rsidRPr="005376DF" w:rsidRDefault="005376DF" w:rsidP="0055193F">
      <w:pPr>
        <w:pStyle w:val="ListParagraph"/>
        <w:spacing w:before="24" w:after="24"/>
        <w:rPr>
          <w:rFonts w:ascii="Verdana" w:hAnsi="Verdana"/>
        </w:rPr>
      </w:pPr>
    </w:p>
    <w:p w14:paraId="3444A001" w14:textId="77777777" w:rsidR="005376DF" w:rsidRDefault="007E0719" w:rsidP="00F949FE">
      <w:pPr>
        <w:pStyle w:val="Quote"/>
        <w:spacing w:before="24" w:after="24"/>
        <w:ind w:left="1440"/>
      </w:pPr>
      <w:r w:rsidRPr="005376DF">
        <w:t>parties shall allocate appropriate financial and human resources for the adequate implementation of integrated policies, measures and programmes to prevent and combat all forms of violence covered by the scope of this Convention, including those carried out by non-governmental organisations and civil society.</w:t>
      </w:r>
    </w:p>
    <w:p w14:paraId="47BB139D" w14:textId="77777777" w:rsidR="005376DF" w:rsidRDefault="005376DF" w:rsidP="0055193F">
      <w:pPr>
        <w:pStyle w:val="ListParagraph"/>
        <w:spacing w:before="24" w:after="24"/>
        <w:rPr>
          <w:rFonts w:ascii="Verdana" w:hAnsi="Verdana"/>
        </w:rPr>
      </w:pPr>
    </w:p>
    <w:p w14:paraId="6EEC5249" w14:textId="09CFF0AF" w:rsidR="005376DF" w:rsidRDefault="007E0719" w:rsidP="0055193F">
      <w:pPr>
        <w:pStyle w:val="ListParagraph"/>
        <w:numPr>
          <w:ilvl w:val="1"/>
          <w:numId w:val="9"/>
        </w:numPr>
        <w:spacing w:before="24" w:after="24"/>
        <w:rPr>
          <w:rFonts w:ascii="Verdana" w:hAnsi="Verdana"/>
        </w:rPr>
      </w:pPr>
      <w:r w:rsidRPr="007E0719">
        <w:rPr>
          <w:rFonts w:ascii="Verdana" w:hAnsi="Verdana"/>
          <w:b/>
        </w:rPr>
        <w:t xml:space="preserve">The Commission recommends the </w:t>
      </w:r>
      <w:r w:rsidR="00E7674F">
        <w:rPr>
          <w:rFonts w:ascii="Verdana" w:hAnsi="Verdana"/>
          <w:b/>
        </w:rPr>
        <w:t xml:space="preserve">NI Executive and </w:t>
      </w:r>
      <w:r w:rsidRPr="007E0719">
        <w:rPr>
          <w:rFonts w:ascii="Verdana" w:hAnsi="Verdana"/>
          <w:b/>
        </w:rPr>
        <w:t>relevant Departments ensure that both strategies have dedicated ring-fenced funding that lasts the lifetime of each strategy</w:t>
      </w:r>
      <w:r w:rsidRPr="007E0719">
        <w:rPr>
          <w:rFonts w:ascii="Verdana" w:hAnsi="Verdana"/>
        </w:rPr>
        <w:t xml:space="preserve">. </w:t>
      </w:r>
    </w:p>
    <w:p w14:paraId="7B1DBC11" w14:textId="77777777" w:rsidR="00A03BD5" w:rsidRDefault="00A03BD5" w:rsidP="0055193F">
      <w:pPr>
        <w:pStyle w:val="ListParagraph"/>
        <w:spacing w:before="24" w:after="24"/>
        <w:rPr>
          <w:rFonts w:ascii="Verdana" w:hAnsi="Verdana"/>
        </w:rPr>
      </w:pPr>
    </w:p>
    <w:p w14:paraId="3EC4DAA0" w14:textId="08A34416" w:rsidR="005376DF" w:rsidRDefault="007E0719" w:rsidP="0055193F">
      <w:pPr>
        <w:pStyle w:val="ListParagraph"/>
        <w:numPr>
          <w:ilvl w:val="1"/>
          <w:numId w:val="9"/>
        </w:numPr>
        <w:spacing w:before="24" w:after="24"/>
        <w:rPr>
          <w:rFonts w:ascii="Verdana" w:hAnsi="Verdana"/>
        </w:rPr>
      </w:pPr>
      <w:r w:rsidRPr="005376DF">
        <w:rPr>
          <w:rFonts w:ascii="Verdana" w:hAnsi="Verdana"/>
        </w:rPr>
        <w:t xml:space="preserve">The Commission welcomes the objectives and work streams of the Domestic and Sexual Abuse Strategy </w:t>
      </w:r>
      <w:proofErr w:type="gramStart"/>
      <w:r w:rsidRPr="005376DF">
        <w:rPr>
          <w:rFonts w:ascii="Verdana" w:hAnsi="Verdana"/>
        </w:rPr>
        <w:t>including:</w:t>
      </w:r>
      <w:proofErr w:type="gramEnd"/>
      <w:r w:rsidRPr="005376DF">
        <w:rPr>
          <w:rFonts w:ascii="Verdana" w:hAnsi="Verdana"/>
        </w:rPr>
        <w:t xml:space="preserve"> driving change together; prevention and early intervention; responsive services; supporting different needs and; protection and justice. However, the Commission is concerned that the strategy will take a </w:t>
      </w:r>
      <w:r w:rsidR="00E7674F" w:rsidRPr="005376DF">
        <w:rPr>
          <w:rFonts w:ascii="Verdana" w:hAnsi="Verdana"/>
        </w:rPr>
        <w:t>gender-neutral</w:t>
      </w:r>
      <w:r w:rsidRPr="005376DF">
        <w:rPr>
          <w:rFonts w:ascii="Verdana" w:hAnsi="Verdana"/>
        </w:rPr>
        <w:t xml:space="preserve"> approach to add</w:t>
      </w:r>
      <w:bookmarkStart w:id="8" w:name="_Hlk96527188"/>
      <w:r w:rsidR="005376DF">
        <w:rPr>
          <w:rFonts w:ascii="Verdana" w:hAnsi="Verdana"/>
        </w:rPr>
        <w:t>ress domestic and sexual abuse.</w:t>
      </w:r>
    </w:p>
    <w:p w14:paraId="21040F1C" w14:textId="77777777" w:rsidR="005376DF" w:rsidRDefault="005376DF" w:rsidP="0055193F">
      <w:pPr>
        <w:pStyle w:val="ListParagraph"/>
        <w:spacing w:before="24" w:after="24"/>
        <w:rPr>
          <w:rFonts w:ascii="Verdana" w:hAnsi="Verdana"/>
        </w:rPr>
      </w:pPr>
    </w:p>
    <w:p w14:paraId="33C456A0" w14:textId="0DF079A4" w:rsidR="00A03BD5" w:rsidRDefault="007E0719" w:rsidP="0055193F">
      <w:pPr>
        <w:pStyle w:val="ListParagraph"/>
        <w:numPr>
          <w:ilvl w:val="1"/>
          <w:numId w:val="9"/>
        </w:numPr>
        <w:spacing w:before="24" w:after="24"/>
        <w:rPr>
          <w:rFonts w:ascii="Verdana" w:hAnsi="Verdana"/>
        </w:rPr>
      </w:pPr>
      <w:r w:rsidRPr="005376DF">
        <w:rPr>
          <w:rFonts w:ascii="Verdana" w:hAnsi="Verdana"/>
        </w:rPr>
        <w:t xml:space="preserve">The Commission understands that domestic and sexual abuse effects people of all genders and that the strategy will ensure measures to assist all </w:t>
      </w:r>
      <w:proofErr w:type="gramStart"/>
      <w:r w:rsidRPr="005376DF">
        <w:rPr>
          <w:rFonts w:ascii="Verdana" w:hAnsi="Verdana"/>
        </w:rPr>
        <w:t>victims</w:t>
      </w:r>
      <w:proofErr w:type="gramEnd"/>
      <w:r w:rsidR="00E7674F">
        <w:rPr>
          <w:rFonts w:ascii="Verdana" w:hAnsi="Verdana"/>
        </w:rPr>
        <w:t xml:space="preserve"> but </w:t>
      </w:r>
      <w:r w:rsidRPr="005376DF">
        <w:rPr>
          <w:rFonts w:ascii="Verdana" w:hAnsi="Verdana"/>
        </w:rPr>
        <w:t xml:space="preserve">statistics </w:t>
      </w:r>
      <w:r w:rsidR="00E7674F">
        <w:rPr>
          <w:rFonts w:ascii="Verdana" w:hAnsi="Verdana"/>
        </w:rPr>
        <w:t xml:space="preserve">establish </w:t>
      </w:r>
      <w:r w:rsidRPr="005376DF">
        <w:rPr>
          <w:rFonts w:ascii="Verdana" w:hAnsi="Verdana"/>
        </w:rPr>
        <w:t>that domestic and sexual abuse disproportionately affect women and girls</w:t>
      </w:r>
      <w:r w:rsidR="00E7674F">
        <w:rPr>
          <w:rFonts w:ascii="Verdana" w:hAnsi="Verdana"/>
        </w:rPr>
        <w:t xml:space="preserve">. Therefore, </w:t>
      </w:r>
      <w:r w:rsidRPr="005376DF">
        <w:rPr>
          <w:rFonts w:ascii="Verdana" w:hAnsi="Verdana"/>
        </w:rPr>
        <w:t xml:space="preserve">the proposed measures and objectives should specifically recognise and address </w:t>
      </w:r>
      <w:r w:rsidR="00E7674F">
        <w:rPr>
          <w:rFonts w:ascii="Verdana" w:hAnsi="Verdana"/>
        </w:rPr>
        <w:t>that disproportionate impact.</w:t>
      </w:r>
      <w:r w:rsidRPr="005376DF">
        <w:rPr>
          <w:rFonts w:ascii="Verdana" w:hAnsi="Verdana"/>
        </w:rPr>
        <w:t xml:space="preserve"> </w:t>
      </w:r>
    </w:p>
    <w:p w14:paraId="0E3C0D79" w14:textId="77777777" w:rsidR="00A03BD5" w:rsidRPr="00A03BD5" w:rsidRDefault="00A03BD5" w:rsidP="0055193F">
      <w:pPr>
        <w:pStyle w:val="ListParagraph"/>
        <w:spacing w:before="24" w:after="24"/>
        <w:rPr>
          <w:rFonts w:ascii="Verdana" w:hAnsi="Verdana"/>
        </w:rPr>
      </w:pPr>
    </w:p>
    <w:p w14:paraId="30DD8A2A" w14:textId="5D773502" w:rsidR="00A03BD5" w:rsidRDefault="007E0719" w:rsidP="0055193F">
      <w:pPr>
        <w:pStyle w:val="ListParagraph"/>
        <w:numPr>
          <w:ilvl w:val="1"/>
          <w:numId w:val="9"/>
        </w:numPr>
        <w:spacing w:before="24" w:after="24"/>
        <w:rPr>
          <w:rFonts w:ascii="Verdana" w:hAnsi="Verdana"/>
        </w:rPr>
      </w:pPr>
      <w:r w:rsidRPr="005376DF">
        <w:rPr>
          <w:rFonts w:ascii="Verdana" w:hAnsi="Verdana"/>
        </w:rPr>
        <w:t xml:space="preserve">The UN CEDAW Committee recommended that UK </w:t>
      </w:r>
      <w:r w:rsidR="00E7674F">
        <w:rPr>
          <w:rFonts w:ascii="Verdana" w:hAnsi="Verdana"/>
        </w:rPr>
        <w:t>G</w:t>
      </w:r>
      <w:r w:rsidRPr="005376DF">
        <w:rPr>
          <w:rFonts w:ascii="Verdana" w:hAnsi="Verdana"/>
        </w:rPr>
        <w:t xml:space="preserve">overnment and NI Assembly ensure that the policy of commissioning services does not </w:t>
      </w:r>
      <w:r w:rsidRPr="005376DF">
        <w:rPr>
          <w:rFonts w:ascii="Verdana" w:hAnsi="Verdana"/>
        </w:rPr>
        <w:lastRenderedPageBreak/>
        <w:t>undermine the provision of specialised services for women who are victims of gender-based violence.</w:t>
      </w:r>
      <w:r w:rsidRPr="007E0719">
        <w:rPr>
          <w:vertAlign w:val="superscript"/>
        </w:rPr>
        <w:footnoteReference w:id="44"/>
      </w:r>
    </w:p>
    <w:p w14:paraId="3E0A315E" w14:textId="77777777" w:rsidR="005F71F6" w:rsidRPr="00BC149D" w:rsidRDefault="005F71F6" w:rsidP="00BC149D">
      <w:pPr>
        <w:pStyle w:val="ListParagraph"/>
        <w:rPr>
          <w:rFonts w:ascii="Verdana" w:hAnsi="Verdana"/>
        </w:rPr>
      </w:pPr>
    </w:p>
    <w:p w14:paraId="2814C143" w14:textId="77777777" w:rsidR="005F71F6" w:rsidRDefault="005F71F6" w:rsidP="0055193F">
      <w:pPr>
        <w:pStyle w:val="ListParagraph"/>
        <w:numPr>
          <w:ilvl w:val="1"/>
          <w:numId w:val="9"/>
        </w:numPr>
        <w:spacing w:before="24" w:after="24"/>
        <w:rPr>
          <w:rFonts w:ascii="Verdana" w:hAnsi="Verdana"/>
        </w:rPr>
      </w:pPr>
      <w:r>
        <w:rPr>
          <w:rFonts w:ascii="Verdana" w:hAnsi="Verdana"/>
        </w:rPr>
        <w:t xml:space="preserve">The EU Victims’ Directive </w:t>
      </w:r>
      <w:r w:rsidR="00BC149D">
        <w:rPr>
          <w:rFonts w:ascii="Verdana" w:hAnsi="Verdana"/>
        </w:rPr>
        <w:t>recognises that women are disproportionately affected by violence in a close relationship and that women victims require specialised support and protection because of a high risk of secondary and repeat victimisation.</w:t>
      </w:r>
      <w:r w:rsidR="00BC149D">
        <w:rPr>
          <w:rStyle w:val="FootnoteReference"/>
          <w:rFonts w:ascii="Verdana" w:hAnsi="Verdana"/>
        </w:rPr>
        <w:footnoteReference w:id="45"/>
      </w:r>
      <w:r w:rsidR="00BC149D">
        <w:rPr>
          <w:rFonts w:ascii="Verdana" w:hAnsi="Verdana"/>
        </w:rPr>
        <w:t xml:space="preserve"> The Directive </w:t>
      </w:r>
      <w:r>
        <w:rPr>
          <w:rFonts w:ascii="Verdana" w:hAnsi="Verdana"/>
        </w:rPr>
        <w:t>contains specific provisions to deal with gender-based violence, including identifying specific protection needs and accessing special measures during criminal proceedings.</w:t>
      </w:r>
      <w:r>
        <w:rPr>
          <w:rStyle w:val="FootnoteReference"/>
          <w:rFonts w:ascii="Verdana" w:hAnsi="Verdana"/>
        </w:rPr>
        <w:footnoteReference w:id="46"/>
      </w:r>
      <w:r w:rsidR="00BC149D">
        <w:rPr>
          <w:rFonts w:ascii="Verdana" w:hAnsi="Verdana"/>
        </w:rPr>
        <w:t xml:space="preserve"> </w:t>
      </w:r>
    </w:p>
    <w:p w14:paraId="3F46E036" w14:textId="77777777" w:rsidR="00A03BD5" w:rsidRPr="00A03BD5" w:rsidRDefault="00A03BD5" w:rsidP="0055193F">
      <w:pPr>
        <w:pStyle w:val="ListParagraph"/>
        <w:spacing w:before="24" w:after="24"/>
        <w:rPr>
          <w:rFonts w:ascii="Verdana" w:hAnsi="Verdana"/>
        </w:rPr>
      </w:pPr>
    </w:p>
    <w:p w14:paraId="1D144C4A" w14:textId="77777777" w:rsidR="005376DF" w:rsidRDefault="007E0719" w:rsidP="0055193F">
      <w:pPr>
        <w:pStyle w:val="ListParagraph"/>
        <w:numPr>
          <w:ilvl w:val="1"/>
          <w:numId w:val="9"/>
        </w:numPr>
        <w:spacing w:before="24" w:after="24"/>
        <w:rPr>
          <w:rFonts w:ascii="Verdana" w:hAnsi="Verdana"/>
        </w:rPr>
      </w:pPr>
      <w:r w:rsidRPr="005376DF">
        <w:rPr>
          <w:rFonts w:ascii="Verdana" w:hAnsi="Verdana"/>
        </w:rPr>
        <w:t xml:space="preserve">Furthermore, Article 6 of the Istanbul Convention refers to the need for gender-sensitive policies providing that parties shall undertake to include a gender perspective in the implementation and evaluation of the </w:t>
      </w:r>
      <w:r w:rsidR="00A03BD5">
        <w:rPr>
          <w:rFonts w:ascii="Verdana" w:hAnsi="Verdana"/>
        </w:rPr>
        <w:t>impact of the provisions of the</w:t>
      </w:r>
      <w:r w:rsidRPr="005376DF">
        <w:rPr>
          <w:rFonts w:ascii="Verdana" w:hAnsi="Verdana"/>
        </w:rPr>
        <w:t xml:space="preserve"> Convention and to promote and effectively implement policies of equality between women and me</w:t>
      </w:r>
      <w:r w:rsidR="005376DF">
        <w:rPr>
          <w:rFonts w:ascii="Verdana" w:hAnsi="Verdana"/>
        </w:rPr>
        <w:t>n and the empowerment of women.</w:t>
      </w:r>
      <w:r w:rsidR="00A03BD5">
        <w:rPr>
          <w:rFonts w:ascii="Verdana" w:hAnsi="Verdana"/>
        </w:rPr>
        <w:t xml:space="preserve"> </w:t>
      </w:r>
    </w:p>
    <w:p w14:paraId="2EBF701A" w14:textId="77777777" w:rsidR="005376DF" w:rsidRDefault="005376DF" w:rsidP="0055193F">
      <w:pPr>
        <w:pStyle w:val="ListParagraph"/>
        <w:spacing w:before="24" w:after="24"/>
        <w:rPr>
          <w:rFonts w:ascii="Verdana" w:hAnsi="Verdana"/>
        </w:rPr>
      </w:pPr>
    </w:p>
    <w:p w14:paraId="013C5849" w14:textId="41F0E4D0" w:rsidR="005376DF" w:rsidRDefault="007E0719" w:rsidP="0055193F">
      <w:pPr>
        <w:pStyle w:val="ListParagraph"/>
        <w:numPr>
          <w:ilvl w:val="1"/>
          <w:numId w:val="9"/>
        </w:numPr>
        <w:spacing w:before="24" w:after="24"/>
        <w:rPr>
          <w:rFonts w:ascii="Verdana" w:hAnsi="Verdana"/>
        </w:rPr>
      </w:pPr>
      <w:r w:rsidRPr="005376DF">
        <w:rPr>
          <w:rFonts w:ascii="Verdana" w:hAnsi="Verdana"/>
          <w:b/>
        </w:rPr>
        <w:t xml:space="preserve">The Commission recommends </w:t>
      </w:r>
      <w:r w:rsidR="00E7674F">
        <w:rPr>
          <w:rFonts w:ascii="Verdana" w:hAnsi="Verdana"/>
          <w:b/>
        </w:rPr>
        <w:t xml:space="preserve">reconsideration of a </w:t>
      </w:r>
      <w:r w:rsidRPr="005376DF">
        <w:rPr>
          <w:rFonts w:ascii="Verdana" w:hAnsi="Verdana"/>
          <w:b/>
        </w:rPr>
        <w:t>gender</w:t>
      </w:r>
      <w:r w:rsidR="00E7674F">
        <w:rPr>
          <w:rFonts w:ascii="Verdana" w:hAnsi="Verdana"/>
          <w:b/>
        </w:rPr>
        <w:t>-</w:t>
      </w:r>
      <w:r w:rsidRPr="005376DF">
        <w:rPr>
          <w:rFonts w:ascii="Verdana" w:hAnsi="Verdana"/>
          <w:b/>
        </w:rPr>
        <w:t>neutral approach to the Domestic and Sexual Abuse Strategy</w:t>
      </w:r>
      <w:bookmarkEnd w:id="8"/>
      <w:r w:rsidR="00A03BD5">
        <w:rPr>
          <w:rFonts w:ascii="Verdana" w:hAnsi="Verdana"/>
          <w:b/>
        </w:rPr>
        <w:t xml:space="preserve"> and</w:t>
      </w:r>
      <w:r w:rsidR="00A03BD5" w:rsidRPr="00A03BD5">
        <w:rPr>
          <w:rFonts w:ascii="Verdana" w:hAnsi="Verdana"/>
        </w:rPr>
        <w:t xml:space="preserve"> </w:t>
      </w:r>
      <w:r w:rsidR="00A03BD5" w:rsidRPr="00A03BD5">
        <w:rPr>
          <w:rFonts w:ascii="Verdana" w:hAnsi="Verdana"/>
          <w:b/>
        </w:rPr>
        <w:t xml:space="preserve">ensure </w:t>
      </w:r>
      <w:r w:rsidR="00A03BD5">
        <w:rPr>
          <w:rFonts w:ascii="Verdana" w:hAnsi="Verdana"/>
          <w:b/>
        </w:rPr>
        <w:t xml:space="preserve">the strategy includes </w:t>
      </w:r>
      <w:r w:rsidR="00A03BD5" w:rsidRPr="00A03BD5">
        <w:rPr>
          <w:rFonts w:ascii="Verdana" w:hAnsi="Verdana"/>
          <w:b/>
        </w:rPr>
        <w:t>specialised, gen</w:t>
      </w:r>
      <w:r w:rsidR="00A03BD5">
        <w:rPr>
          <w:rFonts w:ascii="Verdana" w:hAnsi="Verdana"/>
          <w:b/>
        </w:rPr>
        <w:t>der-sensitive accessible support and actions</w:t>
      </w:r>
      <w:r w:rsidR="00A03BD5" w:rsidRPr="00A03BD5">
        <w:rPr>
          <w:rFonts w:ascii="Verdana" w:hAnsi="Verdana"/>
          <w:b/>
        </w:rPr>
        <w:t xml:space="preserve"> for victims of domestic and sexual abuse.</w:t>
      </w:r>
      <w:r w:rsidR="00A03BD5" w:rsidRPr="00A03BD5">
        <w:rPr>
          <w:rFonts w:ascii="Verdana" w:hAnsi="Verdana"/>
        </w:rPr>
        <w:t xml:space="preserve">  </w:t>
      </w:r>
    </w:p>
    <w:p w14:paraId="03139CE6" w14:textId="77777777" w:rsidR="005376DF" w:rsidRPr="005376DF" w:rsidRDefault="005376DF" w:rsidP="0055193F">
      <w:pPr>
        <w:pStyle w:val="ListParagraph"/>
        <w:spacing w:before="24" w:after="24"/>
        <w:rPr>
          <w:rFonts w:ascii="Verdana" w:hAnsi="Verdana"/>
        </w:rPr>
      </w:pPr>
    </w:p>
    <w:p w14:paraId="2276D5C3" w14:textId="77777777" w:rsidR="00A03BD5" w:rsidRDefault="007E0719" w:rsidP="0055193F">
      <w:pPr>
        <w:pStyle w:val="ListParagraph"/>
        <w:numPr>
          <w:ilvl w:val="1"/>
          <w:numId w:val="9"/>
        </w:numPr>
        <w:spacing w:before="24" w:after="24"/>
        <w:rPr>
          <w:rFonts w:ascii="Verdana" w:hAnsi="Verdana"/>
        </w:rPr>
      </w:pPr>
      <w:r w:rsidRPr="005376DF">
        <w:rPr>
          <w:rFonts w:ascii="Verdana" w:hAnsi="Verdana"/>
        </w:rPr>
        <w:t xml:space="preserve">The Commission welcomes the development of the Equally Safe Strategy to tackle violence against women and girls as an Executive priority and that the Executive recognises there is work to be done to understand the nature, scope and extent of the violence and unwanted behaviour women and girls face, in both the physical world and online. </w:t>
      </w:r>
    </w:p>
    <w:p w14:paraId="43F34D47" w14:textId="77777777" w:rsidR="00A03BD5" w:rsidRPr="00A03BD5" w:rsidRDefault="00A03BD5" w:rsidP="0055193F">
      <w:pPr>
        <w:pStyle w:val="ListParagraph"/>
        <w:spacing w:before="24" w:after="24"/>
        <w:rPr>
          <w:rFonts w:ascii="Verdana" w:hAnsi="Verdana"/>
        </w:rPr>
      </w:pPr>
    </w:p>
    <w:p w14:paraId="67E86728" w14:textId="4CA3D9F9" w:rsidR="005376DF" w:rsidRDefault="007E0719" w:rsidP="0055193F">
      <w:pPr>
        <w:pStyle w:val="ListParagraph"/>
        <w:numPr>
          <w:ilvl w:val="1"/>
          <w:numId w:val="9"/>
        </w:numPr>
        <w:spacing w:before="24" w:after="24"/>
        <w:rPr>
          <w:rFonts w:ascii="Verdana" w:hAnsi="Verdana"/>
        </w:rPr>
      </w:pPr>
      <w:r w:rsidRPr="005376DF">
        <w:rPr>
          <w:rFonts w:ascii="Verdana" w:hAnsi="Verdana"/>
        </w:rPr>
        <w:t xml:space="preserve">The Commission highlight that NI remains significantly behind the rest of the UK jurisdictions in developing a strategy to tackle violence against women and girls. </w:t>
      </w:r>
      <w:r w:rsidR="00245E58">
        <w:rPr>
          <w:rFonts w:ascii="Verdana" w:hAnsi="Verdana"/>
        </w:rPr>
        <w:t xml:space="preserve">The </w:t>
      </w:r>
      <w:r w:rsidRPr="005376DF">
        <w:rPr>
          <w:rFonts w:ascii="Verdana" w:hAnsi="Verdana"/>
        </w:rPr>
        <w:t>UK Government</w:t>
      </w:r>
      <w:r w:rsidR="00393AE9">
        <w:rPr>
          <w:rFonts w:ascii="Verdana" w:hAnsi="Verdana"/>
        </w:rPr>
        <w:t>’s</w:t>
      </w:r>
      <w:r w:rsidRPr="005376DF">
        <w:rPr>
          <w:rFonts w:ascii="Verdana" w:hAnsi="Verdana"/>
        </w:rPr>
        <w:t xml:space="preserve"> ‘Violence against Women and Girls Strategy’ includes actions addressing domestic abuse, ‘honour-based’ abuse, stalking and sexual violence, and the attitudes and behaviours that discriminate against women and girls.</w:t>
      </w:r>
      <w:r w:rsidRPr="007E0719">
        <w:rPr>
          <w:vertAlign w:val="superscript"/>
        </w:rPr>
        <w:footnoteReference w:id="47"/>
      </w:r>
      <w:r w:rsidRPr="005376DF">
        <w:rPr>
          <w:rFonts w:ascii="Verdana" w:hAnsi="Verdana"/>
        </w:rPr>
        <w:t xml:space="preserve"> The UK Government published a refreshed Strategy for England and Wales in 2019.</w:t>
      </w:r>
      <w:r w:rsidRPr="007E0719">
        <w:rPr>
          <w:vertAlign w:val="superscript"/>
        </w:rPr>
        <w:footnoteReference w:id="48"/>
      </w:r>
      <w:r w:rsidRPr="005376DF">
        <w:rPr>
          <w:rFonts w:ascii="Verdana" w:hAnsi="Verdana"/>
        </w:rPr>
        <w:t xml:space="preserve"> </w:t>
      </w:r>
      <w:r w:rsidR="00245E58">
        <w:rPr>
          <w:rFonts w:ascii="Verdana" w:hAnsi="Verdana"/>
        </w:rPr>
        <w:t xml:space="preserve">The Scottish Government </w:t>
      </w:r>
      <w:r w:rsidR="00393AE9">
        <w:rPr>
          <w:rFonts w:ascii="Verdana" w:hAnsi="Verdana"/>
        </w:rPr>
        <w:t xml:space="preserve">have </w:t>
      </w:r>
      <w:r w:rsidR="00245E58">
        <w:rPr>
          <w:rFonts w:ascii="Verdana" w:hAnsi="Verdana"/>
        </w:rPr>
        <w:t xml:space="preserve">also published the </w:t>
      </w:r>
      <w:r w:rsidR="00245E58" w:rsidRPr="00245E58">
        <w:rPr>
          <w:rFonts w:ascii="Verdana" w:hAnsi="Verdana"/>
        </w:rPr>
        <w:t>Equally Safe: Scotland's strategy to eradicate violence against women</w:t>
      </w:r>
      <w:r w:rsidR="00245E58">
        <w:rPr>
          <w:rFonts w:ascii="Verdana" w:hAnsi="Verdana"/>
        </w:rPr>
        <w:t xml:space="preserve"> in 2018.</w:t>
      </w:r>
      <w:r w:rsidR="00245E58">
        <w:rPr>
          <w:rStyle w:val="FootnoteReference"/>
          <w:rFonts w:ascii="Verdana" w:hAnsi="Verdana"/>
        </w:rPr>
        <w:footnoteReference w:id="49"/>
      </w:r>
      <w:r w:rsidR="00245E58">
        <w:rPr>
          <w:rFonts w:ascii="Verdana" w:hAnsi="Verdana"/>
        </w:rPr>
        <w:t xml:space="preserve"> </w:t>
      </w:r>
    </w:p>
    <w:p w14:paraId="59CA6144" w14:textId="77777777" w:rsidR="005376DF" w:rsidRDefault="005376DF" w:rsidP="0055193F">
      <w:pPr>
        <w:pStyle w:val="ListParagraph"/>
        <w:spacing w:before="24" w:after="24"/>
        <w:rPr>
          <w:rFonts w:ascii="Verdana" w:hAnsi="Verdana"/>
        </w:rPr>
      </w:pPr>
    </w:p>
    <w:p w14:paraId="44025195" w14:textId="6E5B9D67" w:rsidR="005376DF" w:rsidRDefault="007E0719" w:rsidP="0055193F">
      <w:pPr>
        <w:pStyle w:val="ListParagraph"/>
        <w:numPr>
          <w:ilvl w:val="1"/>
          <w:numId w:val="9"/>
        </w:numPr>
        <w:spacing w:before="24" w:after="24"/>
        <w:rPr>
          <w:rFonts w:ascii="Verdana" w:hAnsi="Verdana"/>
        </w:rPr>
      </w:pPr>
      <w:r w:rsidRPr="005376DF">
        <w:rPr>
          <w:rFonts w:ascii="Verdana" w:hAnsi="Verdana"/>
        </w:rPr>
        <w:lastRenderedPageBreak/>
        <w:t xml:space="preserve">The Commission </w:t>
      </w:r>
      <w:r w:rsidR="00923962">
        <w:rPr>
          <w:rFonts w:ascii="Verdana" w:hAnsi="Verdana"/>
        </w:rPr>
        <w:t>notes</w:t>
      </w:r>
      <w:r w:rsidRPr="005376DF">
        <w:rPr>
          <w:rFonts w:ascii="Verdana" w:hAnsi="Verdana"/>
        </w:rPr>
        <w:t xml:space="preserve"> that the Executive </w:t>
      </w:r>
      <w:proofErr w:type="gramStart"/>
      <w:r w:rsidR="00E7674F">
        <w:rPr>
          <w:rFonts w:ascii="Verdana" w:hAnsi="Verdana"/>
        </w:rPr>
        <w:t xml:space="preserve">is </w:t>
      </w:r>
      <w:r w:rsidR="00BC79A8">
        <w:rPr>
          <w:rFonts w:ascii="Verdana" w:hAnsi="Verdana"/>
        </w:rPr>
        <w:t>”</w:t>
      </w:r>
      <w:r w:rsidRPr="005376DF">
        <w:rPr>
          <w:rFonts w:ascii="Verdana" w:hAnsi="Verdana"/>
        </w:rPr>
        <w:t>inclined</w:t>
      </w:r>
      <w:proofErr w:type="gramEnd"/>
      <w:r w:rsidR="00BC79A8">
        <w:rPr>
          <w:rFonts w:ascii="Verdana" w:hAnsi="Verdana"/>
        </w:rPr>
        <w:t>”</w:t>
      </w:r>
      <w:r w:rsidRPr="005376DF">
        <w:rPr>
          <w:rFonts w:ascii="Verdana" w:hAnsi="Verdana"/>
        </w:rPr>
        <w:t xml:space="preserve"> to think the Equally Safe Strategy should focus on women and girls</w:t>
      </w:r>
      <w:r w:rsidR="00923962">
        <w:rPr>
          <w:rFonts w:ascii="Verdana" w:hAnsi="Verdana"/>
        </w:rPr>
        <w:t xml:space="preserve"> but </w:t>
      </w:r>
      <w:r w:rsidRPr="005376DF">
        <w:rPr>
          <w:rFonts w:ascii="Verdana" w:hAnsi="Verdana"/>
        </w:rPr>
        <w:t xml:space="preserve">is concerned this </w:t>
      </w:r>
      <w:r w:rsidR="00923962">
        <w:rPr>
          <w:rFonts w:ascii="Verdana" w:hAnsi="Verdana"/>
        </w:rPr>
        <w:t xml:space="preserve">means </w:t>
      </w:r>
      <w:r w:rsidRPr="005376DF">
        <w:rPr>
          <w:rFonts w:ascii="Verdana" w:hAnsi="Verdana"/>
        </w:rPr>
        <w:t>the strategy could be diluted to address violence more generally</w:t>
      </w:r>
      <w:r w:rsidR="00923962">
        <w:rPr>
          <w:rFonts w:ascii="Verdana" w:hAnsi="Verdana"/>
        </w:rPr>
        <w:t>.</w:t>
      </w:r>
      <w:r w:rsidRPr="005376DF">
        <w:rPr>
          <w:rFonts w:ascii="Verdana" w:hAnsi="Verdana"/>
        </w:rPr>
        <w:t xml:space="preserve"> As highlighted above</w:t>
      </w:r>
      <w:r w:rsidR="00BC79A8">
        <w:rPr>
          <w:rFonts w:ascii="Verdana" w:hAnsi="Verdana"/>
        </w:rPr>
        <w:t>,</w:t>
      </w:r>
      <w:r w:rsidRPr="005376DF">
        <w:rPr>
          <w:rFonts w:ascii="Verdana" w:hAnsi="Verdana"/>
        </w:rPr>
        <w:t xml:space="preserve"> a gender</w:t>
      </w:r>
      <w:r w:rsidR="00923962">
        <w:rPr>
          <w:rFonts w:ascii="Verdana" w:hAnsi="Verdana"/>
        </w:rPr>
        <w:t>-</w:t>
      </w:r>
      <w:r w:rsidRPr="005376DF">
        <w:rPr>
          <w:rFonts w:ascii="Verdana" w:hAnsi="Verdana"/>
        </w:rPr>
        <w:t>neutral approach is not recommended to address gender-based violence</w:t>
      </w:r>
      <w:r w:rsidR="00923962">
        <w:rPr>
          <w:rFonts w:ascii="Verdana" w:hAnsi="Verdana"/>
        </w:rPr>
        <w:t>.</w:t>
      </w:r>
      <w:r w:rsidRPr="005376DF">
        <w:rPr>
          <w:rFonts w:ascii="Verdana" w:hAnsi="Verdana"/>
        </w:rPr>
        <w:t xml:space="preserve"> </w:t>
      </w:r>
    </w:p>
    <w:p w14:paraId="28009FD7" w14:textId="77777777" w:rsidR="005376DF" w:rsidRPr="005376DF" w:rsidRDefault="005376DF" w:rsidP="0055193F">
      <w:pPr>
        <w:pStyle w:val="ListParagraph"/>
        <w:spacing w:before="24" w:after="24"/>
        <w:rPr>
          <w:rFonts w:ascii="Verdana" w:hAnsi="Verdana"/>
          <w:b/>
        </w:rPr>
      </w:pPr>
    </w:p>
    <w:p w14:paraId="3B00C55C" w14:textId="2AA70F7F" w:rsidR="005376DF" w:rsidRPr="005376DF" w:rsidRDefault="007E0719" w:rsidP="0055193F">
      <w:pPr>
        <w:pStyle w:val="ListParagraph"/>
        <w:numPr>
          <w:ilvl w:val="1"/>
          <w:numId w:val="9"/>
        </w:numPr>
        <w:spacing w:before="24" w:after="24"/>
        <w:rPr>
          <w:rFonts w:ascii="Verdana" w:hAnsi="Verdana"/>
        </w:rPr>
      </w:pPr>
      <w:r w:rsidRPr="005376DF">
        <w:rPr>
          <w:rFonts w:ascii="Verdana" w:hAnsi="Verdana"/>
          <w:b/>
        </w:rPr>
        <w:t xml:space="preserve">The Commission recommends that the </w:t>
      </w:r>
      <w:r w:rsidR="00923962">
        <w:rPr>
          <w:rFonts w:ascii="Verdana" w:hAnsi="Verdana"/>
          <w:b/>
        </w:rPr>
        <w:t xml:space="preserve">NI </w:t>
      </w:r>
      <w:r w:rsidRPr="005376DF">
        <w:rPr>
          <w:rFonts w:ascii="Verdana" w:hAnsi="Verdana"/>
          <w:b/>
        </w:rPr>
        <w:t xml:space="preserve">Executive develop the Equally Safe Strategy </w:t>
      </w:r>
      <w:r w:rsidR="00245E58">
        <w:rPr>
          <w:rFonts w:ascii="Verdana" w:hAnsi="Verdana"/>
          <w:b/>
        </w:rPr>
        <w:t xml:space="preserve">to </w:t>
      </w:r>
      <w:r w:rsidR="00393AE9">
        <w:rPr>
          <w:rFonts w:ascii="Verdana" w:hAnsi="Verdana"/>
          <w:b/>
        </w:rPr>
        <w:t>specifically address</w:t>
      </w:r>
      <w:r w:rsidRPr="005376DF">
        <w:rPr>
          <w:rFonts w:ascii="Verdana" w:hAnsi="Verdana"/>
          <w:b/>
        </w:rPr>
        <w:t xml:space="preserve"> violence against women and girls perpetrated by men without further delay.</w:t>
      </w:r>
    </w:p>
    <w:p w14:paraId="27A0347D" w14:textId="77777777" w:rsidR="005376DF" w:rsidRPr="005376DF" w:rsidRDefault="005376DF" w:rsidP="0055193F">
      <w:pPr>
        <w:pStyle w:val="ListParagraph"/>
        <w:spacing w:before="24" w:after="24"/>
        <w:rPr>
          <w:rFonts w:ascii="Verdana" w:hAnsi="Verdana" w:cs="MinionPro-Regular"/>
          <w:color w:val="000000"/>
        </w:rPr>
      </w:pPr>
    </w:p>
    <w:p w14:paraId="480A5FA0" w14:textId="34BAC0D7" w:rsidR="00393AE9" w:rsidRPr="00393AE9" w:rsidRDefault="007E0719" w:rsidP="0055193F">
      <w:pPr>
        <w:pStyle w:val="ListParagraph"/>
        <w:numPr>
          <w:ilvl w:val="1"/>
          <w:numId w:val="9"/>
        </w:numPr>
        <w:spacing w:before="24" w:after="24"/>
        <w:rPr>
          <w:rFonts w:ascii="Verdana" w:hAnsi="Verdana"/>
        </w:rPr>
      </w:pPr>
      <w:r w:rsidRPr="005376DF">
        <w:rPr>
          <w:rFonts w:ascii="Verdana" w:hAnsi="Verdana" w:cs="MinionPro-Regular"/>
          <w:color w:val="000000"/>
        </w:rPr>
        <w:t>The Commission welcomes the inclusion of violence and abuse online. Cyberviolence is an increasing problem worldwi</w:t>
      </w:r>
      <w:r w:rsidR="00393AE9">
        <w:rPr>
          <w:rFonts w:ascii="Verdana" w:hAnsi="Verdana" w:cs="MinionPro-Regular"/>
          <w:color w:val="000000"/>
        </w:rPr>
        <w:t>de and is often gender-based,</w:t>
      </w:r>
      <w:r w:rsidRPr="005376DF">
        <w:rPr>
          <w:rFonts w:ascii="Verdana" w:hAnsi="Verdana" w:cs="MinionPro-Regular"/>
          <w:color w:val="000000"/>
        </w:rPr>
        <w:t xml:space="preserve"> targeting women and girls. </w:t>
      </w:r>
      <w:r w:rsidR="00D63FF1">
        <w:rPr>
          <w:rFonts w:ascii="Verdana" w:hAnsi="Verdana" w:cs="MinionPro-Regular"/>
          <w:color w:val="000000"/>
        </w:rPr>
        <w:t xml:space="preserve">Such </w:t>
      </w:r>
      <w:r w:rsidR="00D63FF1">
        <w:rPr>
          <w:rFonts w:ascii="Verdana" w:hAnsi="Verdana" w:cs="MinionPro-Regular"/>
          <w:bCs/>
          <w:color w:val="000000"/>
        </w:rPr>
        <w:t>v</w:t>
      </w:r>
      <w:r w:rsidRPr="005376DF">
        <w:rPr>
          <w:rFonts w:ascii="Verdana" w:hAnsi="Verdana" w:cs="MinionPro-Regular"/>
          <w:bCs/>
          <w:color w:val="000000"/>
        </w:rPr>
        <w:t>iolence take</w:t>
      </w:r>
      <w:r w:rsidR="00D63FF1">
        <w:rPr>
          <w:rFonts w:ascii="Verdana" w:hAnsi="Verdana" w:cs="MinionPro-Regular"/>
          <w:bCs/>
          <w:color w:val="000000"/>
        </w:rPr>
        <w:t>s</w:t>
      </w:r>
      <w:r w:rsidRPr="005376DF">
        <w:rPr>
          <w:rFonts w:ascii="Verdana" w:hAnsi="Verdana" w:cs="MinionPro-Regular"/>
          <w:bCs/>
          <w:color w:val="000000"/>
        </w:rPr>
        <w:t xml:space="preserve"> many forms</w:t>
      </w:r>
      <w:r w:rsidR="00D63FF1">
        <w:rPr>
          <w:rFonts w:ascii="Verdana" w:hAnsi="Verdana" w:cs="MinionPro-Regular"/>
          <w:bCs/>
          <w:color w:val="000000"/>
        </w:rPr>
        <w:t xml:space="preserve"> including:</w:t>
      </w:r>
      <w:r w:rsidRPr="005376DF">
        <w:rPr>
          <w:rFonts w:ascii="Verdana" w:hAnsi="Verdana" w:cs="MinionPro-Regular"/>
          <w:color w:val="000000"/>
        </w:rPr>
        <w:t xml:space="preserve"> </w:t>
      </w:r>
      <w:proofErr w:type="spellStart"/>
      <w:r w:rsidRPr="005376DF">
        <w:rPr>
          <w:rFonts w:ascii="Verdana" w:hAnsi="Verdana" w:cs="MinionPro-Regular"/>
          <w:color w:val="000000"/>
        </w:rPr>
        <w:t>cyberharassment</w:t>
      </w:r>
      <w:proofErr w:type="spellEnd"/>
      <w:r w:rsidR="00D63FF1">
        <w:rPr>
          <w:rFonts w:ascii="Verdana" w:hAnsi="Verdana" w:cs="MinionPro-Regular"/>
          <w:color w:val="000000"/>
        </w:rPr>
        <w:t>;</w:t>
      </w:r>
      <w:r w:rsidRPr="005376DF">
        <w:rPr>
          <w:rFonts w:ascii="Verdana" w:hAnsi="Verdana" w:cs="MinionPro-Regular"/>
          <w:color w:val="000000"/>
        </w:rPr>
        <w:t xml:space="preserve"> revenge porn</w:t>
      </w:r>
      <w:r w:rsidR="00D63FF1">
        <w:rPr>
          <w:rFonts w:ascii="Verdana" w:hAnsi="Verdana" w:cs="MinionPro-Regular"/>
          <w:color w:val="000000"/>
        </w:rPr>
        <w:t>;</w:t>
      </w:r>
      <w:r w:rsidRPr="005376DF">
        <w:rPr>
          <w:rFonts w:ascii="Verdana" w:hAnsi="Verdana" w:cs="MinionPro-Regular"/>
          <w:color w:val="000000"/>
        </w:rPr>
        <w:t xml:space="preserve"> </w:t>
      </w:r>
      <w:proofErr w:type="gramStart"/>
      <w:r w:rsidR="00D63FF1">
        <w:rPr>
          <w:rFonts w:ascii="Verdana" w:hAnsi="Verdana" w:cs="MinionPro-Regular"/>
          <w:color w:val="000000"/>
        </w:rPr>
        <w:t>and,</w:t>
      </w:r>
      <w:proofErr w:type="gramEnd"/>
      <w:r w:rsidR="00D63FF1">
        <w:rPr>
          <w:rFonts w:ascii="Verdana" w:hAnsi="Verdana" w:cs="MinionPro-Regular"/>
          <w:color w:val="000000"/>
        </w:rPr>
        <w:t xml:space="preserve"> </w:t>
      </w:r>
      <w:r w:rsidRPr="005376DF">
        <w:rPr>
          <w:rFonts w:ascii="Verdana" w:hAnsi="Verdana" w:cs="MinionPro-Regular"/>
          <w:color w:val="000000"/>
        </w:rPr>
        <w:t>threats of rape, sexual assault or murder. </w:t>
      </w:r>
      <w:r w:rsidRPr="005376DF">
        <w:rPr>
          <w:rFonts w:ascii="Verdana" w:hAnsi="Verdana" w:cs="MinionPro-Regular"/>
          <w:bCs/>
          <w:color w:val="000000"/>
        </w:rPr>
        <w:t>States must address cyberviolence as much as any other form of violence against women.</w:t>
      </w:r>
      <w:r w:rsidRPr="007E0719">
        <w:rPr>
          <w:rFonts w:cs="MinionPro-Regular"/>
          <w:bCs/>
          <w:color w:val="000000"/>
          <w:vertAlign w:val="superscript"/>
        </w:rPr>
        <w:footnoteReference w:id="50"/>
      </w:r>
      <w:r w:rsidRPr="005376DF">
        <w:rPr>
          <w:rFonts w:ascii="Verdana" w:hAnsi="Verdana" w:cs="MinionPro-Regular"/>
          <w:bCs/>
          <w:color w:val="000000"/>
        </w:rPr>
        <w:t xml:space="preserve"> The European Court of Human Rights in </w:t>
      </w:r>
      <w:proofErr w:type="spellStart"/>
      <w:r w:rsidRPr="005376DF">
        <w:rPr>
          <w:rFonts w:ascii="Verdana" w:hAnsi="Verdana" w:cs="MinionPro-Regular"/>
          <w:bCs/>
          <w:i/>
          <w:color w:val="000000"/>
        </w:rPr>
        <w:t>Buturugă</w:t>
      </w:r>
      <w:proofErr w:type="spellEnd"/>
      <w:r w:rsidRPr="005376DF">
        <w:rPr>
          <w:rFonts w:ascii="Verdana" w:hAnsi="Verdana" w:cs="MinionPro-Regular"/>
          <w:bCs/>
          <w:i/>
          <w:color w:val="000000"/>
        </w:rPr>
        <w:t xml:space="preserve"> v. Romania</w:t>
      </w:r>
      <w:r w:rsidRPr="005376DF">
        <w:rPr>
          <w:rFonts w:ascii="Verdana" w:hAnsi="Verdana" w:cs="MinionPro-Regular"/>
          <w:bCs/>
          <w:color w:val="000000"/>
        </w:rPr>
        <w:t xml:space="preserve">, emphasised the need to comprehensively address the phenomenon of domestic violence in all its forms. </w:t>
      </w:r>
      <w:r w:rsidR="00D63FF1">
        <w:rPr>
          <w:rFonts w:ascii="Verdana" w:hAnsi="Verdana" w:cs="MinionPro-Regular"/>
          <w:bCs/>
          <w:color w:val="000000"/>
        </w:rPr>
        <w:t>In that case, the authorities were wrong to dismiss the link between cyberbullying and</w:t>
      </w:r>
      <w:r w:rsidRPr="005376DF">
        <w:rPr>
          <w:rFonts w:ascii="Verdana" w:hAnsi="Verdana" w:cs="MinionPro-Regular"/>
          <w:bCs/>
          <w:color w:val="000000"/>
        </w:rPr>
        <w:t xml:space="preserve"> domestic violence which the victim had already reported to them. </w:t>
      </w:r>
      <w:r w:rsidR="00D63FF1">
        <w:rPr>
          <w:rFonts w:ascii="Verdana" w:hAnsi="Verdana" w:cs="MinionPro-Regular"/>
          <w:bCs/>
          <w:color w:val="000000"/>
        </w:rPr>
        <w:t>The</w:t>
      </w:r>
      <w:r w:rsidRPr="005376DF">
        <w:rPr>
          <w:rFonts w:ascii="Verdana" w:hAnsi="Verdana" w:cs="MinionPro-Regular"/>
          <w:bCs/>
          <w:color w:val="000000"/>
        </w:rPr>
        <w:t xml:space="preserve"> authorities failed to take into consideration the various forms that domestic violence could take and </w:t>
      </w:r>
      <w:r w:rsidR="00B16292">
        <w:rPr>
          <w:rFonts w:ascii="Verdana" w:hAnsi="Verdana" w:cs="MinionPro-Regular"/>
          <w:bCs/>
          <w:color w:val="000000"/>
        </w:rPr>
        <w:t>in so doing violated</w:t>
      </w:r>
      <w:r w:rsidRPr="005376DF">
        <w:rPr>
          <w:rFonts w:ascii="Verdana" w:hAnsi="Verdana" w:cs="MinionPro-Regular"/>
          <w:bCs/>
          <w:color w:val="000000"/>
        </w:rPr>
        <w:t xml:space="preserve"> Article 8 ECHR. </w:t>
      </w:r>
    </w:p>
    <w:p w14:paraId="51034A27" w14:textId="77777777" w:rsidR="00393AE9" w:rsidRPr="00393AE9" w:rsidRDefault="00393AE9" w:rsidP="0055193F">
      <w:pPr>
        <w:pStyle w:val="ListParagraph"/>
        <w:spacing w:before="24" w:after="24"/>
        <w:rPr>
          <w:rFonts w:ascii="Verdana" w:hAnsi="Verdana" w:cs="MinionPro-Regular"/>
          <w:bCs/>
          <w:color w:val="000000"/>
        </w:rPr>
      </w:pPr>
    </w:p>
    <w:p w14:paraId="06408985" w14:textId="1957AFB7" w:rsidR="005376DF" w:rsidRPr="005376DF" w:rsidRDefault="00B16292" w:rsidP="0055193F">
      <w:pPr>
        <w:pStyle w:val="ListParagraph"/>
        <w:numPr>
          <w:ilvl w:val="1"/>
          <w:numId w:val="9"/>
        </w:numPr>
        <w:spacing w:before="24" w:after="24"/>
        <w:rPr>
          <w:rFonts w:ascii="Verdana" w:hAnsi="Verdana"/>
        </w:rPr>
      </w:pPr>
      <w:r>
        <w:rPr>
          <w:rFonts w:ascii="Verdana" w:hAnsi="Verdana" w:cs="MinionPro-Regular"/>
          <w:bCs/>
          <w:color w:val="000000"/>
        </w:rPr>
        <w:t>T</w:t>
      </w:r>
      <w:r w:rsidR="007E0719" w:rsidRPr="005376DF">
        <w:rPr>
          <w:rFonts w:ascii="Verdana" w:hAnsi="Verdana" w:cs="MinionPro-Regular"/>
          <w:bCs/>
          <w:color w:val="000000"/>
        </w:rPr>
        <w:t xml:space="preserve">he Commission </w:t>
      </w:r>
      <w:r>
        <w:rPr>
          <w:rFonts w:ascii="Verdana" w:hAnsi="Verdana" w:cs="MinionPro-Regular"/>
          <w:bCs/>
          <w:color w:val="000000"/>
        </w:rPr>
        <w:t>also</w:t>
      </w:r>
      <w:r w:rsidRPr="005376DF">
        <w:rPr>
          <w:rFonts w:ascii="Verdana" w:hAnsi="Verdana" w:cs="MinionPro-Regular"/>
          <w:bCs/>
          <w:color w:val="000000"/>
        </w:rPr>
        <w:t xml:space="preserve"> </w:t>
      </w:r>
      <w:r w:rsidR="007E0719" w:rsidRPr="005376DF">
        <w:rPr>
          <w:rFonts w:ascii="Verdana" w:hAnsi="Verdana" w:cs="MinionPro-Regular"/>
          <w:bCs/>
          <w:color w:val="000000"/>
        </w:rPr>
        <w:t>highlight</w:t>
      </w:r>
      <w:r>
        <w:rPr>
          <w:rFonts w:ascii="Verdana" w:hAnsi="Verdana" w:cs="MinionPro-Regular"/>
          <w:bCs/>
          <w:color w:val="000000"/>
        </w:rPr>
        <w:t>s</w:t>
      </w:r>
      <w:r w:rsidR="007E0719" w:rsidRPr="005376DF">
        <w:rPr>
          <w:rFonts w:ascii="Verdana" w:hAnsi="Verdana" w:cs="MinionPro-Regular"/>
          <w:bCs/>
          <w:color w:val="000000"/>
        </w:rPr>
        <w:t xml:space="preserve"> </w:t>
      </w:r>
      <w:r>
        <w:rPr>
          <w:rFonts w:ascii="Verdana" w:hAnsi="Verdana" w:cs="MinionPro-Regular"/>
          <w:bCs/>
          <w:color w:val="000000"/>
        </w:rPr>
        <w:t>the fact that</w:t>
      </w:r>
      <w:r w:rsidRPr="005376DF">
        <w:rPr>
          <w:rFonts w:ascii="Verdana" w:hAnsi="Verdana" w:cs="MinionPro-Regular"/>
          <w:bCs/>
          <w:color w:val="000000"/>
        </w:rPr>
        <w:t xml:space="preserve"> </w:t>
      </w:r>
      <w:r w:rsidR="007E0719" w:rsidRPr="005376DF">
        <w:rPr>
          <w:rFonts w:ascii="Verdana" w:hAnsi="Verdana" w:cs="MinionPro-Regular"/>
          <w:bCs/>
          <w:color w:val="000000"/>
        </w:rPr>
        <w:t xml:space="preserve">new forms of cyberviolence and gender-based violence using technology are emerging and developing </w:t>
      </w:r>
      <w:r>
        <w:rPr>
          <w:rFonts w:ascii="Verdana" w:hAnsi="Verdana" w:cs="MinionPro-Regular"/>
          <w:bCs/>
          <w:color w:val="000000"/>
        </w:rPr>
        <w:t>rapidly. T</w:t>
      </w:r>
      <w:r w:rsidR="007E0719" w:rsidRPr="005376DF">
        <w:rPr>
          <w:rFonts w:ascii="Verdana" w:hAnsi="Verdana" w:cs="MinionPro-Regular"/>
          <w:bCs/>
          <w:color w:val="000000"/>
        </w:rPr>
        <w:t>he strategies should recognise and be sufficiently flexible to adapt to th</w:t>
      </w:r>
      <w:r>
        <w:rPr>
          <w:rFonts w:ascii="Verdana" w:hAnsi="Verdana" w:cs="MinionPro-Regular"/>
          <w:bCs/>
          <w:color w:val="000000"/>
        </w:rPr>
        <w:t>is</w:t>
      </w:r>
      <w:r w:rsidR="007E0719" w:rsidRPr="005376DF">
        <w:rPr>
          <w:rFonts w:ascii="Verdana" w:hAnsi="Verdana" w:cs="MinionPro-Regular"/>
          <w:bCs/>
          <w:color w:val="000000"/>
        </w:rPr>
        <w:t xml:space="preserve"> ever-changing landscape. For example, there have been increasing reports of the use of cyber </w:t>
      </w:r>
      <w:r>
        <w:rPr>
          <w:rFonts w:ascii="Verdana" w:hAnsi="Verdana" w:cs="MinionPro-Regular"/>
          <w:bCs/>
          <w:color w:val="000000"/>
        </w:rPr>
        <w:t>‘</w:t>
      </w:r>
      <w:proofErr w:type="spellStart"/>
      <w:r w:rsidR="007E0719" w:rsidRPr="005376DF">
        <w:rPr>
          <w:rFonts w:ascii="Verdana" w:hAnsi="Verdana" w:cs="MinionPro-Regular"/>
          <w:bCs/>
          <w:color w:val="000000"/>
        </w:rPr>
        <w:t>stalkerware</w:t>
      </w:r>
      <w:proofErr w:type="spellEnd"/>
      <w:r>
        <w:rPr>
          <w:rFonts w:ascii="Verdana" w:hAnsi="Verdana" w:cs="MinionPro-Regular"/>
          <w:bCs/>
          <w:color w:val="000000"/>
        </w:rPr>
        <w:t>’.</w:t>
      </w:r>
      <w:r w:rsidR="007E0719" w:rsidRPr="005376DF">
        <w:rPr>
          <w:rFonts w:ascii="Verdana" w:hAnsi="Verdana" w:cs="MinionPro-Regular"/>
          <w:bCs/>
          <w:color w:val="000000"/>
        </w:rPr>
        <w:t xml:space="preserve"> </w:t>
      </w:r>
      <w:proofErr w:type="spellStart"/>
      <w:r w:rsidR="007E0719" w:rsidRPr="005376DF">
        <w:rPr>
          <w:rFonts w:ascii="Verdana" w:hAnsi="Verdana" w:cs="MinionPro-Regular"/>
          <w:bCs/>
          <w:color w:val="000000"/>
        </w:rPr>
        <w:t>Stalkerware</w:t>
      </w:r>
      <w:proofErr w:type="spellEnd"/>
      <w:r w:rsidR="007E0719" w:rsidRPr="005376DF">
        <w:rPr>
          <w:rFonts w:ascii="Verdana" w:hAnsi="Verdana" w:cs="MinionPro-Regular"/>
          <w:bCs/>
          <w:color w:val="000000"/>
        </w:rPr>
        <w:t xml:space="preserve"> are highly intrusive spy applications that monitor someone's activities and communications without their knowledge or consent.</w:t>
      </w:r>
      <w:r w:rsidR="007E0719" w:rsidRPr="007E0719">
        <w:rPr>
          <w:rFonts w:cs="MinionPro-Regular"/>
          <w:bCs/>
          <w:color w:val="000000"/>
          <w:vertAlign w:val="superscript"/>
        </w:rPr>
        <w:footnoteReference w:id="51"/>
      </w:r>
    </w:p>
    <w:p w14:paraId="74E87480" w14:textId="77777777" w:rsidR="005376DF" w:rsidRPr="005376DF" w:rsidRDefault="005376DF" w:rsidP="0055193F">
      <w:pPr>
        <w:pStyle w:val="ListParagraph"/>
        <w:spacing w:before="24" w:after="24"/>
        <w:rPr>
          <w:rFonts w:ascii="Verdana" w:hAnsi="Verdana"/>
        </w:rPr>
      </w:pPr>
    </w:p>
    <w:p w14:paraId="14CA53C1" w14:textId="24E8B606" w:rsidR="005376DF" w:rsidRPr="005376DF" w:rsidRDefault="007E0719" w:rsidP="0055193F">
      <w:pPr>
        <w:pStyle w:val="ListParagraph"/>
        <w:numPr>
          <w:ilvl w:val="1"/>
          <w:numId w:val="9"/>
        </w:numPr>
        <w:spacing w:before="24" w:after="24"/>
        <w:rPr>
          <w:rFonts w:ascii="Verdana" w:hAnsi="Verdana"/>
        </w:rPr>
      </w:pPr>
      <w:r w:rsidRPr="005376DF">
        <w:rPr>
          <w:rFonts w:ascii="Verdana" w:hAnsi="Verdana" w:cs="MinionPro-Regular"/>
          <w:b/>
          <w:color w:val="000000"/>
        </w:rPr>
        <w:t xml:space="preserve">The Commission recommends that the </w:t>
      </w:r>
      <w:r w:rsidR="00B16292">
        <w:rPr>
          <w:rFonts w:ascii="Verdana" w:hAnsi="Verdana" w:cs="MinionPro-Regular"/>
          <w:b/>
          <w:color w:val="000000"/>
        </w:rPr>
        <w:t>NI</w:t>
      </w:r>
      <w:r w:rsidRPr="005376DF">
        <w:rPr>
          <w:rFonts w:ascii="Verdana" w:hAnsi="Verdana" w:cs="MinionPro-Regular"/>
          <w:b/>
          <w:color w:val="000000"/>
        </w:rPr>
        <w:t xml:space="preserve"> Executive </w:t>
      </w:r>
      <w:r w:rsidR="00B16292">
        <w:rPr>
          <w:rFonts w:ascii="Verdana" w:hAnsi="Verdana" w:cs="MinionPro-Regular"/>
          <w:b/>
          <w:color w:val="000000"/>
        </w:rPr>
        <w:t xml:space="preserve">and Departments </w:t>
      </w:r>
      <w:r w:rsidRPr="005376DF">
        <w:rPr>
          <w:rFonts w:ascii="Verdana" w:hAnsi="Verdana" w:cs="MinionPro-Regular"/>
          <w:b/>
          <w:color w:val="000000"/>
        </w:rPr>
        <w:t xml:space="preserve">ensure that both strategies address online gender-based </w:t>
      </w:r>
      <w:proofErr w:type="gramStart"/>
      <w:r w:rsidRPr="005376DF">
        <w:rPr>
          <w:rFonts w:ascii="Verdana" w:hAnsi="Verdana" w:cs="MinionPro-Regular"/>
          <w:b/>
          <w:color w:val="000000"/>
        </w:rPr>
        <w:t>violence, and</w:t>
      </w:r>
      <w:proofErr w:type="gramEnd"/>
      <w:r w:rsidRPr="005376DF">
        <w:rPr>
          <w:rFonts w:ascii="Verdana" w:hAnsi="Verdana" w:cs="MinionPro-Regular"/>
          <w:b/>
          <w:color w:val="000000"/>
        </w:rPr>
        <w:t xml:space="preserve"> are adaptable to take account of such developments. </w:t>
      </w:r>
    </w:p>
    <w:p w14:paraId="30FBD354" w14:textId="77777777" w:rsidR="005376DF" w:rsidRPr="005376DF" w:rsidRDefault="005376DF" w:rsidP="0055193F">
      <w:pPr>
        <w:pStyle w:val="ListParagraph"/>
        <w:spacing w:before="24" w:after="24"/>
        <w:rPr>
          <w:rFonts w:ascii="Verdana" w:hAnsi="Verdana"/>
        </w:rPr>
      </w:pPr>
    </w:p>
    <w:p w14:paraId="47E70A8B" w14:textId="0E9BDCC0" w:rsidR="00393AE9" w:rsidRDefault="007E0719" w:rsidP="0055193F">
      <w:pPr>
        <w:pStyle w:val="ListParagraph"/>
        <w:numPr>
          <w:ilvl w:val="1"/>
          <w:numId w:val="9"/>
        </w:numPr>
        <w:spacing w:before="24" w:after="24"/>
        <w:rPr>
          <w:rFonts w:ascii="Verdana" w:hAnsi="Verdana"/>
        </w:rPr>
      </w:pPr>
      <w:r w:rsidRPr="005376DF">
        <w:rPr>
          <w:rFonts w:ascii="Verdana" w:hAnsi="Verdana"/>
        </w:rPr>
        <w:t>The Commission highlight</w:t>
      </w:r>
      <w:r w:rsidR="00B16292">
        <w:rPr>
          <w:rFonts w:ascii="Verdana" w:hAnsi="Verdana"/>
        </w:rPr>
        <w:t>s</w:t>
      </w:r>
      <w:r w:rsidRPr="005376DF">
        <w:rPr>
          <w:rFonts w:ascii="Verdana" w:hAnsi="Verdana"/>
        </w:rPr>
        <w:t xml:space="preserve"> that the strategies should include measures to recognise intersectionality and ensure the needs of groups with </w:t>
      </w:r>
      <w:proofErr w:type="gramStart"/>
      <w:r w:rsidRPr="005376DF">
        <w:rPr>
          <w:rFonts w:ascii="Verdana" w:hAnsi="Verdana"/>
        </w:rPr>
        <w:t>particular vulnerabilities</w:t>
      </w:r>
      <w:proofErr w:type="gramEnd"/>
      <w:r w:rsidRPr="005376DF">
        <w:rPr>
          <w:rFonts w:ascii="Verdana" w:hAnsi="Verdana"/>
        </w:rPr>
        <w:t xml:space="preserve"> are addressed. </w:t>
      </w:r>
    </w:p>
    <w:p w14:paraId="058C45D9" w14:textId="77777777" w:rsidR="00650108" w:rsidRPr="00D773B9" w:rsidRDefault="00650108" w:rsidP="00D773B9">
      <w:pPr>
        <w:pStyle w:val="ListParagraph"/>
        <w:rPr>
          <w:rFonts w:ascii="Verdana" w:hAnsi="Verdana"/>
        </w:rPr>
      </w:pPr>
    </w:p>
    <w:p w14:paraId="71605704" w14:textId="77777777" w:rsidR="00650108" w:rsidRDefault="00650108" w:rsidP="0055193F">
      <w:pPr>
        <w:pStyle w:val="ListParagraph"/>
        <w:numPr>
          <w:ilvl w:val="1"/>
          <w:numId w:val="9"/>
        </w:numPr>
        <w:spacing w:before="24" w:after="24"/>
        <w:rPr>
          <w:rFonts w:ascii="Verdana" w:hAnsi="Verdana"/>
        </w:rPr>
      </w:pPr>
      <w:r>
        <w:rPr>
          <w:rFonts w:ascii="Verdana" w:hAnsi="Verdana"/>
        </w:rPr>
        <w:t>The Victims’ Directive requires all victims of crime be recognised and treated in a respectful and sensitive manner, without discrimination of any kind based on any ground</w:t>
      </w:r>
      <w:r w:rsidR="00D773B9">
        <w:rPr>
          <w:rFonts w:ascii="Verdana" w:hAnsi="Verdana"/>
        </w:rPr>
        <w:t xml:space="preserve"> including</w:t>
      </w:r>
      <w:r w:rsidR="00BC149D">
        <w:rPr>
          <w:rFonts w:ascii="Verdana" w:hAnsi="Verdana"/>
        </w:rPr>
        <w:t>, but not limited to,</w:t>
      </w:r>
      <w:r w:rsidR="00D773B9">
        <w:rPr>
          <w:rFonts w:ascii="Verdana" w:hAnsi="Verdana"/>
        </w:rPr>
        <w:t xml:space="preserve"> </w:t>
      </w:r>
      <w:r w:rsidR="00001954">
        <w:rPr>
          <w:rFonts w:ascii="Verdana" w:hAnsi="Verdana"/>
        </w:rPr>
        <w:t xml:space="preserve">race, </w:t>
      </w:r>
      <w:r w:rsidR="00BC149D">
        <w:rPr>
          <w:rFonts w:ascii="Verdana" w:hAnsi="Verdana"/>
        </w:rPr>
        <w:t>membership of a national minority, residence status and disability</w:t>
      </w:r>
      <w:r w:rsidR="00D773B9">
        <w:rPr>
          <w:rFonts w:ascii="Verdana" w:hAnsi="Verdana"/>
        </w:rPr>
        <w:t>.</w:t>
      </w:r>
      <w:r w:rsidR="00D773B9">
        <w:rPr>
          <w:rStyle w:val="FootnoteReference"/>
          <w:rFonts w:ascii="Verdana" w:hAnsi="Verdana"/>
        </w:rPr>
        <w:footnoteReference w:id="52"/>
      </w:r>
    </w:p>
    <w:p w14:paraId="17F735B5" w14:textId="77777777" w:rsidR="005376DF" w:rsidRDefault="007E0719" w:rsidP="0055193F">
      <w:pPr>
        <w:pStyle w:val="ListParagraph"/>
        <w:numPr>
          <w:ilvl w:val="1"/>
          <w:numId w:val="9"/>
        </w:numPr>
        <w:spacing w:before="24" w:after="24"/>
        <w:rPr>
          <w:rFonts w:ascii="Verdana" w:hAnsi="Verdana"/>
        </w:rPr>
      </w:pPr>
      <w:r w:rsidRPr="005376DF">
        <w:rPr>
          <w:rFonts w:ascii="Verdana" w:hAnsi="Verdana"/>
        </w:rPr>
        <w:lastRenderedPageBreak/>
        <w:t xml:space="preserve">The UN CEDAW Committee has expressed concerns </w:t>
      </w:r>
      <w:proofErr w:type="gramStart"/>
      <w:r w:rsidRPr="005376DF">
        <w:rPr>
          <w:rFonts w:ascii="Verdana" w:hAnsi="Verdana"/>
        </w:rPr>
        <w:t>in regards to</w:t>
      </w:r>
      <w:proofErr w:type="gramEnd"/>
      <w:r w:rsidRPr="005376DF">
        <w:rPr>
          <w:rFonts w:ascii="Verdana" w:hAnsi="Verdana"/>
        </w:rPr>
        <w:t xml:space="preserve"> asylum-seeking women, migrants and women with insecure immigration status who experience gender-based violence, including domestic violence and rape, refrain from seeking protection and support services for fear of having their immigration status reported to authorities. As well as women with disabilities face challenges in gaining access to justice and seeking protection for gender-based violence, </w:t>
      </w:r>
      <w:proofErr w:type="gramStart"/>
      <w:r w:rsidRPr="005376DF">
        <w:rPr>
          <w:rFonts w:ascii="Verdana" w:hAnsi="Verdana"/>
        </w:rPr>
        <w:t>in particular when</w:t>
      </w:r>
      <w:proofErr w:type="gramEnd"/>
      <w:r w:rsidRPr="005376DF">
        <w:rPr>
          <w:rFonts w:ascii="Verdana" w:hAnsi="Verdana"/>
        </w:rPr>
        <w:t xml:space="preserve"> violence is perpetrated by their caregivers.</w:t>
      </w:r>
      <w:r w:rsidRPr="007E0719">
        <w:rPr>
          <w:vertAlign w:val="superscript"/>
        </w:rPr>
        <w:footnoteReference w:id="53"/>
      </w:r>
    </w:p>
    <w:p w14:paraId="01D420F9" w14:textId="77777777" w:rsidR="005376DF" w:rsidRPr="005376DF" w:rsidRDefault="005376DF" w:rsidP="0055193F">
      <w:pPr>
        <w:pStyle w:val="ListParagraph"/>
        <w:spacing w:before="24" w:after="24"/>
        <w:rPr>
          <w:rFonts w:ascii="Verdana" w:hAnsi="Verdana"/>
          <w:b/>
        </w:rPr>
      </w:pPr>
    </w:p>
    <w:p w14:paraId="4201971F" w14:textId="4D2D87A8" w:rsidR="005376DF" w:rsidRPr="005376DF" w:rsidRDefault="007E0719" w:rsidP="0055193F">
      <w:pPr>
        <w:pStyle w:val="ListParagraph"/>
        <w:numPr>
          <w:ilvl w:val="1"/>
          <w:numId w:val="9"/>
        </w:numPr>
        <w:spacing w:before="24" w:after="24"/>
        <w:rPr>
          <w:rFonts w:ascii="Verdana" w:hAnsi="Verdana"/>
        </w:rPr>
      </w:pPr>
      <w:r w:rsidRPr="005376DF">
        <w:rPr>
          <w:rFonts w:ascii="Verdana" w:hAnsi="Verdana"/>
          <w:b/>
        </w:rPr>
        <w:t xml:space="preserve">The Commission recommends the </w:t>
      </w:r>
      <w:r w:rsidR="00484659">
        <w:rPr>
          <w:rFonts w:ascii="Verdana" w:hAnsi="Verdana"/>
          <w:b/>
        </w:rPr>
        <w:t xml:space="preserve">NI </w:t>
      </w:r>
      <w:r w:rsidRPr="005376DF">
        <w:rPr>
          <w:rFonts w:ascii="Verdana" w:hAnsi="Verdana"/>
          <w:b/>
        </w:rPr>
        <w:t xml:space="preserve">Executive </w:t>
      </w:r>
      <w:r w:rsidR="00484659">
        <w:rPr>
          <w:rFonts w:ascii="Verdana" w:hAnsi="Verdana"/>
          <w:b/>
        </w:rPr>
        <w:t xml:space="preserve">and Departments </w:t>
      </w:r>
      <w:r w:rsidRPr="005376DF">
        <w:rPr>
          <w:rFonts w:ascii="Verdana" w:hAnsi="Verdana"/>
          <w:b/>
        </w:rPr>
        <w:t xml:space="preserve">ensure both strategies include measures to target marginalised and vulnerable women and girls. </w:t>
      </w:r>
    </w:p>
    <w:p w14:paraId="520F4F9D" w14:textId="77777777" w:rsidR="005376DF" w:rsidRPr="005376DF" w:rsidRDefault="005376DF" w:rsidP="0055193F">
      <w:pPr>
        <w:pStyle w:val="ListParagraph"/>
        <w:spacing w:before="24" w:after="24"/>
        <w:rPr>
          <w:rFonts w:ascii="Verdana" w:hAnsi="Verdana"/>
        </w:rPr>
      </w:pPr>
    </w:p>
    <w:p w14:paraId="306E123A" w14:textId="77777777" w:rsidR="005376DF" w:rsidRDefault="007E0719" w:rsidP="0055193F">
      <w:pPr>
        <w:pStyle w:val="ListParagraph"/>
        <w:numPr>
          <w:ilvl w:val="1"/>
          <w:numId w:val="9"/>
        </w:numPr>
        <w:spacing w:before="24" w:after="24"/>
        <w:rPr>
          <w:rFonts w:ascii="Verdana" w:hAnsi="Verdana"/>
        </w:rPr>
      </w:pPr>
      <w:r w:rsidRPr="005376DF">
        <w:rPr>
          <w:rFonts w:ascii="Verdana" w:hAnsi="Verdana"/>
        </w:rPr>
        <w:t xml:space="preserve">The Commission recommends that both strategies include provision for the collection of disaggregated data. </w:t>
      </w:r>
      <w:r w:rsidRPr="005376DF">
        <w:rPr>
          <w:rFonts w:ascii="Verdana" w:hAnsi="Verdana" w:cs="Arial"/>
          <w:lang w:val="en-US"/>
        </w:rPr>
        <w:t>The UN CEDAW Committee, in its 2019 concluding observations on the UK, recommended that the UK Government and NI Executive “s</w:t>
      </w:r>
      <w:r w:rsidRPr="005376DF">
        <w:rPr>
          <w:rFonts w:ascii="Verdana" w:hAnsi="Verdana" w:cs="Verdana"/>
          <w:bCs/>
          <w:color w:val="000000"/>
          <w:lang w:val="en-US"/>
        </w:rPr>
        <w:t>ystematically collect and publish data, disaggregated by sex, gender, ethnicity, disability and age, throughout the whole of its territory to inform policymaking and assess the impact of measures taken”.</w:t>
      </w:r>
      <w:r w:rsidRPr="007E0719">
        <w:rPr>
          <w:rFonts w:cs="Verdana"/>
          <w:bCs/>
          <w:color w:val="000000"/>
          <w:vertAlign w:val="superscript"/>
          <w:lang w:val="en-US"/>
        </w:rPr>
        <w:footnoteReference w:id="54"/>
      </w:r>
      <w:r w:rsidRPr="005376DF">
        <w:rPr>
          <w:rFonts w:ascii="Verdana" w:hAnsi="Verdana" w:cs="Verdana"/>
          <w:bCs/>
          <w:color w:val="000000"/>
          <w:lang w:val="en-US"/>
        </w:rPr>
        <w:t xml:space="preserve">  </w:t>
      </w:r>
      <w:r w:rsidRPr="005376DF">
        <w:rPr>
          <w:rFonts w:ascii="Verdana" w:hAnsi="Verdana"/>
        </w:rPr>
        <w:t>Article 11 of the Istanbul Convention also highlights the importance of data collection and research, which must be disaggregated if it is to be helpful.</w:t>
      </w:r>
      <w:r w:rsidR="00245E58">
        <w:rPr>
          <w:rFonts w:ascii="Verdana" w:hAnsi="Verdana"/>
        </w:rPr>
        <w:t xml:space="preserve"> Furthermore, Recital</w:t>
      </w:r>
      <w:r w:rsidRPr="005376DF">
        <w:rPr>
          <w:rFonts w:ascii="Verdana" w:hAnsi="Verdana"/>
        </w:rPr>
        <w:t xml:space="preserve"> 64 of the Victims’ Directive highlights systematic and adequate statistical data collection as an essential component of effective policymaking in the field of rights set out in the Directive.</w:t>
      </w:r>
      <w:r w:rsidR="005E29C9" w:rsidRPr="007E0719">
        <w:rPr>
          <w:shd w:val="clear" w:color="auto" w:fill="FFFFFF"/>
          <w:vertAlign w:val="superscript"/>
        </w:rPr>
        <w:footnoteReference w:id="55"/>
      </w:r>
      <w:r w:rsidRPr="005376DF">
        <w:rPr>
          <w:rFonts w:ascii="Verdana" w:hAnsi="Verdana"/>
        </w:rPr>
        <w:t xml:space="preserve"> </w:t>
      </w:r>
    </w:p>
    <w:p w14:paraId="09BE0CE5" w14:textId="77777777" w:rsidR="005376DF" w:rsidRPr="005376DF" w:rsidRDefault="005376DF" w:rsidP="0055193F">
      <w:pPr>
        <w:pStyle w:val="ListParagraph"/>
        <w:spacing w:before="24" w:after="24"/>
        <w:rPr>
          <w:rFonts w:ascii="Verdana" w:hAnsi="Verdana"/>
          <w:b/>
        </w:rPr>
      </w:pPr>
    </w:p>
    <w:p w14:paraId="5B016E27" w14:textId="77777777" w:rsidR="005376DF" w:rsidRPr="005376DF" w:rsidRDefault="007E0719" w:rsidP="0055193F">
      <w:pPr>
        <w:pStyle w:val="ListParagraph"/>
        <w:numPr>
          <w:ilvl w:val="1"/>
          <w:numId w:val="9"/>
        </w:numPr>
        <w:spacing w:before="24" w:after="24"/>
        <w:rPr>
          <w:rFonts w:ascii="Verdana" w:hAnsi="Verdana"/>
        </w:rPr>
      </w:pPr>
      <w:r w:rsidRPr="005376DF">
        <w:rPr>
          <w:rFonts w:ascii="Verdana" w:hAnsi="Verdana"/>
          <w:b/>
        </w:rPr>
        <w:t xml:space="preserve">The Commission recommends the strategies include measures to improve the collection of disaggregated data on domestic and sexual abuse and gender-based violence. </w:t>
      </w:r>
    </w:p>
    <w:p w14:paraId="60EBBA83" w14:textId="77777777" w:rsidR="005376DF" w:rsidRPr="005376DF" w:rsidRDefault="005376DF" w:rsidP="0055193F">
      <w:pPr>
        <w:pStyle w:val="ListParagraph"/>
        <w:spacing w:before="24" w:after="24"/>
        <w:rPr>
          <w:rFonts w:ascii="Verdana" w:hAnsi="Verdana"/>
        </w:rPr>
      </w:pPr>
    </w:p>
    <w:p w14:paraId="4E5F2674" w14:textId="4DF75B01" w:rsidR="005376DF" w:rsidRDefault="007E0719" w:rsidP="0055193F">
      <w:pPr>
        <w:pStyle w:val="ListParagraph"/>
        <w:numPr>
          <w:ilvl w:val="1"/>
          <w:numId w:val="9"/>
        </w:numPr>
        <w:spacing w:before="24" w:after="24"/>
        <w:rPr>
          <w:rFonts w:ascii="Verdana" w:hAnsi="Verdana"/>
        </w:rPr>
      </w:pPr>
      <w:r w:rsidRPr="005376DF">
        <w:rPr>
          <w:rFonts w:ascii="Verdana" w:hAnsi="Verdana"/>
        </w:rPr>
        <w:t xml:space="preserve">The Commission welcomes the </w:t>
      </w:r>
      <w:r w:rsidR="00484659">
        <w:rPr>
          <w:rFonts w:ascii="Verdana" w:hAnsi="Verdana"/>
        </w:rPr>
        <w:t xml:space="preserve">fact that </w:t>
      </w:r>
      <w:r w:rsidRPr="005376DF">
        <w:rPr>
          <w:rFonts w:ascii="Verdana" w:hAnsi="Verdana"/>
        </w:rPr>
        <w:t>the two strategies will be informed by evidence of people’s lived experience and that there will be engagement with relevant stakeholders</w:t>
      </w:r>
      <w:r w:rsidR="00484659">
        <w:rPr>
          <w:rFonts w:ascii="Verdana" w:hAnsi="Verdana"/>
        </w:rPr>
        <w:t>,</w:t>
      </w:r>
      <w:r w:rsidRPr="005376DF">
        <w:rPr>
          <w:rFonts w:ascii="Verdana" w:hAnsi="Verdana"/>
        </w:rPr>
        <w:t xml:space="preserve"> including </w:t>
      </w:r>
      <w:proofErr w:type="gramStart"/>
      <w:r w:rsidRPr="005376DF">
        <w:rPr>
          <w:rFonts w:ascii="Verdana" w:hAnsi="Verdana"/>
        </w:rPr>
        <w:t>a number of</w:t>
      </w:r>
      <w:proofErr w:type="gramEnd"/>
      <w:r w:rsidRPr="005376DF">
        <w:rPr>
          <w:rFonts w:ascii="Verdana" w:hAnsi="Verdana"/>
        </w:rPr>
        <w:t xml:space="preserve"> focus groups throughout the development of the strategies. The Commission </w:t>
      </w:r>
      <w:r w:rsidR="00484659">
        <w:rPr>
          <w:rFonts w:ascii="Verdana" w:hAnsi="Verdana"/>
        </w:rPr>
        <w:t xml:space="preserve">stresses </w:t>
      </w:r>
      <w:r w:rsidRPr="005376DF">
        <w:rPr>
          <w:rFonts w:ascii="Verdana" w:hAnsi="Verdana"/>
        </w:rPr>
        <w:t xml:space="preserve">that engagement with those with lived experience </w:t>
      </w:r>
      <w:r w:rsidR="00484659">
        <w:rPr>
          <w:rFonts w:ascii="Verdana" w:hAnsi="Verdana"/>
        </w:rPr>
        <w:t>must</w:t>
      </w:r>
      <w:r w:rsidR="00484659" w:rsidRPr="005376DF">
        <w:rPr>
          <w:rFonts w:ascii="Verdana" w:hAnsi="Verdana"/>
        </w:rPr>
        <w:t xml:space="preserve"> </w:t>
      </w:r>
      <w:r w:rsidRPr="005376DF">
        <w:rPr>
          <w:rFonts w:ascii="Verdana" w:hAnsi="Verdana"/>
        </w:rPr>
        <w:t xml:space="preserve">be conducted </w:t>
      </w:r>
      <w:r w:rsidR="00484659">
        <w:rPr>
          <w:rFonts w:ascii="Verdana" w:hAnsi="Verdana"/>
        </w:rPr>
        <w:t xml:space="preserve">with appropriate support and </w:t>
      </w:r>
      <w:r w:rsidRPr="005376DF">
        <w:rPr>
          <w:rFonts w:ascii="Verdana" w:hAnsi="Verdana"/>
        </w:rPr>
        <w:t>in a sensitive and appropriate manner so as not to re-traumatise victims</w:t>
      </w:r>
      <w:r w:rsidR="00484659">
        <w:rPr>
          <w:rFonts w:ascii="Verdana" w:hAnsi="Verdana"/>
        </w:rPr>
        <w:t xml:space="preserve">. </w:t>
      </w:r>
      <w:r w:rsidR="005F71F6">
        <w:rPr>
          <w:rFonts w:ascii="Verdana" w:hAnsi="Verdana"/>
        </w:rPr>
        <w:t>Recital</w:t>
      </w:r>
      <w:r w:rsidR="005F71F6" w:rsidRPr="005376DF">
        <w:rPr>
          <w:rFonts w:ascii="Verdana" w:hAnsi="Verdana"/>
        </w:rPr>
        <w:t xml:space="preserve"> </w:t>
      </w:r>
      <w:r w:rsidRPr="005376DF">
        <w:rPr>
          <w:rFonts w:ascii="Verdana" w:hAnsi="Verdana"/>
        </w:rPr>
        <w:t>57 of the Victims’ Directive makes specific reference to victims of violence in close relationships, sexual violence or exploitation, gender-based violence tend to experience a high rate of secondary and repeat victimisation, of intimidation and of retaliation and that therefore particular care should be taken when assessing whether such victims are at risk and will benefit from special protection measures.</w:t>
      </w:r>
      <w:r w:rsidR="00DC5800">
        <w:rPr>
          <w:rStyle w:val="FootnoteReference"/>
          <w:rFonts w:ascii="Verdana" w:hAnsi="Verdana"/>
        </w:rPr>
        <w:footnoteReference w:id="56"/>
      </w:r>
    </w:p>
    <w:p w14:paraId="33531B70" w14:textId="77777777" w:rsidR="005376DF" w:rsidRPr="005376DF" w:rsidRDefault="005376DF" w:rsidP="0055193F">
      <w:pPr>
        <w:pStyle w:val="ListParagraph"/>
        <w:spacing w:before="24" w:after="24"/>
        <w:rPr>
          <w:rFonts w:ascii="Verdana" w:hAnsi="Verdana"/>
        </w:rPr>
      </w:pPr>
    </w:p>
    <w:p w14:paraId="165075BA" w14:textId="12CE7D41" w:rsidR="00201044" w:rsidRDefault="007E0719" w:rsidP="00201044">
      <w:pPr>
        <w:pStyle w:val="ListParagraph"/>
        <w:numPr>
          <w:ilvl w:val="1"/>
          <w:numId w:val="9"/>
        </w:numPr>
        <w:spacing w:before="24" w:after="24"/>
        <w:rPr>
          <w:rFonts w:ascii="Verdana" w:hAnsi="Verdana"/>
        </w:rPr>
      </w:pPr>
      <w:r w:rsidRPr="005376DF">
        <w:rPr>
          <w:rFonts w:ascii="Verdana" w:hAnsi="Verdana"/>
        </w:rPr>
        <w:t xml:space="preserve">The Commission </w:t>
      </w:r>
      <w:r w:rsidR="00484659">
        <w:rPr>
          <w:rFonts w:ascii="Verdana" w:hAnsi="Verdana"/>
        </w:rPr>
        <w:t xml:space="preserve">appreciates the </w:t>
      </w:r>
      <w:r w:rsidRPr="005376DF">
        <w:rPr>
          <w:rFonts w:ascii="Verdana" w:hAnsi="Verdana"/>
        </w:rPr>
        <w:t xml:space="preserve">significant progress </w:t>
      </w:r>
      <w:r w:rsidR="00B40D22">
        <w:rPr>
          <w:rFonts w:ascii="Verdana" w:hAnsi="Verdana"/>
        </w:rPr>
        <w:t xml:space="preserve">that is being made </w:t>
      </w:r>
      <w:r w:rsidRPr="005376DF">
        <w:rPr>
          <w:rFonts w:ascii="Verdana" w:hAnsi="Verdana"/>
        </w:rPr>
        <w:t>in legislative and policy developments</w:t>
      </w:r>
      <w:r w:rsidR="00B40D22">
        <w:rPr>
          <w:rFonts w:ascii="Verdana" w:hAnsi="Verdana"/>
        </w:rPr>
        <w:t>.</w:t>
      </w:r>
      <w:r w:rsidRPr="005376DF">
        <w:rPr>
          <w:rFonts w:ascii="Verdana" w:hAnsi="Verdana"/>
        </w:rPr>
        <w:t xml:space="preserve"> However, there remains </w:t>
      </w:r>
      <w:proofErr w:type="gramStart"/>
      <w:r w:rsidRPr="005376DF">
        <w:rPr>
          <w:rFonts w:ascii="Verdana" w:hAnsi="Verdana"/>
        </w:rPr>
        <w:t>a number of</w:t>
      </w:r>
      <w:proofErr w:type="gramEnd"/>
      <w:r w:rsidRPr="005376DF">
        <w:rPr>
          <w:rFonts w:ascii="Verdana" w:hAnsi="Verdana"/>
        </w:rPr>
        <w:t xml:space="preserve"> areas which require further action</w:t>
      </w:r>
      <w:r w:rsidR="00B40D22">
        <w:rPr>
          <w:rFonts w:ascii="Verdana" w:hAnsi="Verdana"/>
        </w:rPr>
        <w:t xml:space="preserve">. This includes full </w:t>
      </w:r>
      <w:r w:rsidRPr="005376DF">
        <w:rPr>
          <w:rFonts w:ascii="Verdana" w:hAnsi="Verdana"/>
        </w:rPr>
        <w:t>implementation of the Gillen Review recommendations and measures</w:t>
      </w:r>
      <w:r w:rsidR="00B40D22">
        <w:rPr>
          <w:rFonts w:ascii="Verdana" w:hAnsi="Verdana"/>
        </w:rPr>
        <w:t xml:space="preserve">. </w:t>
      </w:r>
    </w:p>
    <w:p w14:paraId="27C11279" w14:textId="77777777" w:rsidR="00201044" w:rsidRPr="00201044" w:rsidRDefault="00201044" w:rsidP="00201044">
      <w:pPr>
        <w:pStyle w:val="ListParagraph"/>
        <w:rPr>
          <w:rFonts w:ascii="Verdana" w:hAnsi="Verdana"/>
        </w:rPr>
      </w:pPr>
    </w:p>
    <w:p w14:paraId="34EE84C0" w14:textId="77777777" w:rsidR="00201044" w:rsidRPr="00201044" w:rsidRDefault="00201044" w:rsidP="00201044">
      <w:pPr>
        <w:pStyle w:val="ListParagraph"/>
        <w:spacing w:before="24" w:after="24"/>
        <w:rPr>
          <w:rFonts w:ascii="Verdana" w:hAnsi="Verdana"/>
        </w:rPr>
      </w:pPr>
    </w:p>
    <w:p w14:paraId="3D677698" w14:textId="77777777" w:rsidR="00201044" w:rsidRDefault="00201044" w:rsidP="003B7D0E">
      <w:pPr>
        <w:pStyle w:val="BasicParagraph"/>
        <w:suppressAutoHyphens/>
        <w:jc w:val="center"/>
        <w:rPr>
          <w:rFonts w:ascii="Verdana" w:hAnsi="Verdana" w:cs="Arial"/>
          <w:color w:val="3C3C3B"/>
          <w:sz w:val="20"/>
          <w:szCs w:val="20"/>
        </w:rPr>
      </w:pPr>
    </w:p>
    <w:p w14:paraId="453D6B94" w14:textId="77777777" w:rsidR="00201044" w:rsidRDefault="00201044" w:rsidP="003B7D0E">
      <w:pPr>
        <w:pStyle w:val="BasicParagraph"/>
        <w:suppressAutoHyphens/>
        <w:jc w:val="center"/>
        <w:rPr>
          <w:rFonts w:ascii="Verdana" w:hAnsi="Verdana" w:cs="Arial"/>
          <w:color w:val="3C3C3B"/>
          <w:sz w:val="20"/>
          <w:szCs w:val="20"/>
        </w:rPr>
      </w:pPr>
    </w:p>
    <w:p w14:paraId="6054D5BE" w14:textId="77777777" w:rsidR="00201044" w:rsidRDefault="00201044" w:rsidP="003B7D0E">
      <w:pPr>
        <w:pStyle w:val="BasicParagraph"/>
        <w:suppressAutoHyphens/>
        <w:jc w:val="center"/>
        <w:rPr>
          <w:rFonts w:ascii="Verdana" w:hAnsi="Verdana" w:cs="Arial"/>
          <w:color w:val="3C3C3B"/>
          <w:sz w:val="20"/>
          <w:szCs w:val="20"/>
        </w:rPr>
      </w:pPr>
    </w:p>
    <w:p w14:paraId="3198D714" w14:textId="77777777" w:rsidR="00201044" w:rsidRDefault="00201044" w:rsidP="003B7D0E">
      <w:pPr>
        <w:pStyle w:val="BasicParagraph"/>
        <w:suppressAutoHyphens/>
        <w:jc w:val="center"/>
        <w:rPr>
          <w:rFonts w:ascii="Verdana" w:hAnsi="Verdana" w:cs="Arial"/>
          <w:color w:val="3C3C3B"/>
          <w:sz w:val="20"/>
          <w:szCs w:val="20"/>
        </w:rPr>
      </w:pPr>
    </w:p>
    <w:p w14:paraId="4F7FFA2C" w14:textId="77777777" w:rsidR="00201044" w:rsidRDefault="00201044" w:rsidP="003B7D0E">
      <w:pPr>
        <w:pStyle w:val="BasicParagraph"/>
        <w:suppressAutoHyphens/>
        <w:jc w:val="center"/>
        <w:rPr>
          <w:rFonts w:ascii="Verdana" w:hAnsi="Verdana" w:cs="Arial"/>
          <w:color w:val="3C3C3B"/>
          <w:sz w:val="20"/>
          <w:szCs w:val="20"/>
        </w:rPr>
      </w:pPr>
    </w:p>
    <w:p w14:paraId="7BAD5700" w14:textId="01C4DC19" w:rsidR="00580048" w:rsidRDefault="00580048" w:rsidP="003B7D0E">
      <w:pPr>
        <w:pStyle w:val="BasicParagraph"/>
        <w:suppressAutoHyphens/>
        <w:jc w:val="center"/>
        <w:rPr>
          <w:rFonts w:ascii="Verdana" w:hAnsi="Verdana" w:cs="Arial"/>
          <w:color w:val="3C3C3B"/>
          <w:sz w:val="20"/>
          <w:szCs w:val="20"/>
        </w:rPr>
      </w:pPr>
    </w:p>
    <w:p w14:paraId="783C6D77" w14:textId="41406BE3" w:rsidR="00F949FE" w:rsidRDefault="00F949FE" w:rsidP="003B7D0E">
      <w:pPr>
        <w:pStyle w:val="BasicParagraph"/>
        <w:suppressAutoHyphens/>
        <w:jc w:val="center"/>
        <w:rPr>
          <w:rFonts w:ascii="Verdana" w:hAnsi="Verdana" w:cs="Arial"/>
          <w:color w:val="3C3C3B"/>
          <w:sz w:val="20"/>
          <w:szCs w:val="20"/>
        </w:rPr>
      </w:pPr>
    </w:p>
    <w:p w14:paraId="5F77C565" w14:textId="10DC9D0B" w:rsidR="00F949FE" w:rsidRDefault="00F949FE" w:rsidP="003B7D0E">
      <w:pPr>
        <w:pStyle w:val="BasicParagraph"/>
        <w:suppressAutoHyphens/>
        <w:jc w:val="center"/>
        <w:rPr>
          <w:rFonts w:ascii="Verdana" w:hAnsi="Verdana" w:cs="Arial"/>
          <w:color w:val="3C3C3B"/>
          <w:sz w:val="20"/>
          <w:szCs w:val="20"/>
        </w:rPr>
      </w:pPr>
    </w:p>
    <w:p w14:paraId="7A81714E" w14:textId="52E4B406" w:rsidR="00F949FE" w:rsidRDefault="00F949FE" w:rsidP="003B7D0E">
      <w:pPr>
        <w:pStyle w:val="BasicParagraph"/>
        <w:suppressAutoHyphens/>
        <w:jc w:val="center"/>
        <w:rPr>
          <w:rFonts w:ascii="Verdana" w:hAnsi="Verdana" w:cs="Arial"/>
          <w:color w:val="3C3C3B"/>
          <w:sz w:val="20"/>
          <w:szCs w:val="20"/>
        </w:rPr>
      </w:pPr>
    </w:p>
    <w:p w14:paraId="2ADB193B" w14:textId="3263B81D" w:rsidR="00F949FE" w:rsidRDefault="00F949FE" w:rsidP="003B7D0E">
      <w:pPr>
        <w:pStyle w:val="BasicParagraph"/>
        <w:suppressAutoHyphens/>
        <w:jc w:val="center"/>
        <w:rPr>
          <w:rFonts w:ascii="Verdana" w:hAnsi="Verdana" w:cs="Arial"/>
          <w:color w:val="3C3C3B"/>
          <w:sz w:val="20"/>
          <w:szCs w:val="20"/>
        </w:rPr>
      </w:pPr>
    </w:p>
    <w:p w14:paraId="369AF58C" w14:textId="71CABA7F" w:rsidR="00F949FE" w:rsidRDefault="00F949FE" w:rsidP="003B7D0E">
      <w:pPr>
        <w:pStyle w:val="BasicParagraph"/>
        <w:suppressAutoHyphens/>
        <w:jc w:val="center"/>
        <w:rPr>
          <w:rFonts w:ascii="Verdana" w:hAnsi="Verdana" w:cs="Arial"/>
          <w:color w:val="3C3C3B"/>
          <w:sz w:val="20"/>
          <w:szCs w:val="20"/>
        </w:rPr>
      </w:pPr>
    </w:p>
    <w:p w14:paraId="096194A6" w14:textId="7F90572D" w:rsidR="00F949FE" w:rsidRDefault="00F949FE" w:rsidP="003B7D0E">
      <w:pPr>
        <w:pStyle w:val="BasicParagraph"/>
        <w:suppressAutoHyphens/>
        <w:jc w:val="center"/>
        <w:rPr>
          <w:rFonts w:ascii="Verdana" w:hAnsi="Verdana" w:cs="Arial"/>
          <w:color w:val="3C3C3B"/>
          <w:sz w:val="20"/>
          <w:szCs w:val="20"/>
        </w:rPr>
      </w:pPr>
    </w:p>
    <w:p w14:paraId="5F6D665C" w14:textId="02FCD1EF" w:rsidR="00F949FE" w:rsidRDefault="00F949FE" w:rsidP="003B7D0E">
      <w:pPr>
        <w:pStyle w:val="BasicParagraph"/>
        <w:suppressAutoHyphens/>
        <w:jc w:val="center"/>
        <w:rPr>
          <w:rFonts w:ascii="Verdana" w:hAnsi="Verdana" w:cs="Arial"/>
          <w:color w:val="3C3C3B"/>
          <w:sz w:val="20"/>
          <w:szCs w:val="20"/>
        </w:rPr>
      </w:pPr>
    </w:p>
    <w:p w14:paraId="380E70A0" w14:textId="1D0389D0" w:rsidR="00F949FE" w:rsidRDefault="00F949FE" w:rsidP="003B7D0E">
      <w:pPr>
        <w:pStyle w:val="BasicParagraph"/>
        <w:suppressAutoHyphens/>
        <w:jc w:val="center"/>
        <w:rPr>
          <w:rFonts w:ascii="Verdana" w:hAnsi="Verdana" w:cs="Arial"/>
          <w:color w:val="3C3C3B"/>
          <w:sz w:val="20"/>
          <w:szCs w:val="20"/>
        </w:rPr>
      </w:pPr>
    </w:p>
    <w:p w14:paraId="2BCAB952" w14:textId="1B344094" w:rsidR="00F949FE" w:rsidRDefault="00F949FE" w:rsidP="003B7D0E">
      <w:pPr>
        <w:pStyle w:val="BasicParagraph"/>
        <w:suppressAutoHyphens/>
        <w:jc w:val="center"/>
        <w:rPr>
          <w:rFonts w:ascii="Verdana" w:hAnsi="Verdana" w:cs="Arial"/>
          <w:color w:val="3C3C3B"/>
          <w:sz w:val="20"/>
          <w:szCs w:val="20"/>
        </w:rPr>
      </w:pPr>
    </w:p>
    <w:p w14:paraId="3E9E33AD" w14:textId="56313961" w:rsidR="00F949FE" w:rsidRDefault="00F949FE" w:rsidP="003B7D0E">
      <w:pPr>
        <w:pStyle w:val="BasicParagraph"/>
        <w:suppressAutoHyphens/>
        <w:jc w:val="center"/>
        <w:rPr>
          <w:rFonts w:ascii="Verdana" w:hAnsi="Verdana" w:cs="Arial"/>
          <w:color w:val="3C3C3B"/>
          <w:sz w:val="20"/>
          <w:szCs w:val="20"/>
        </w:rPr>
      </w:pPr>
    </w:p>
    <w:p w14:paraId="39732DA8" w14:textId="12AB63B2" w:rsidR="00F949FE" w:rsidRDefault="00F949FE" w:rsidP="003B7D0E">
      <w:pPr>
        <w:pStyle w:val="BasicParagraph"/>
        <w:suppressAutoHyphens/>
        <w:jc w:val="center"/>
        <w:rPr>
          <w:rFonts w:ascii="Verdana" w:hAnsi="Verdana" w:cs="Arial"/>
          <w:color w:val="3C3C3B"/>
          <w:sz w:val="20"/>
          <w:szCs w:val="20"/>
        </w:rPr>
      </w:pPr>
    </w:p>
    <w:p w14:paraId="541C5916" w14:textId="5E928E63" w:rsidR="00F949FE" w:rsidRDefault="00F949FE" w:rsidP="003B7D0E">
      <w:pPr>
        <w:pStyle w:val="BasicParagraph"/>
        <w:suppressAutoHyphens/>
        <w:jc w:val="center"/>
        <w:rPr>
          <w:rFonts w:ascii="Verdana" w:hAnsi="Verdana" w:cs="Arial"/>
          <w:color w:val="3C3C3B"/>
          <w:sz w:val="20"/>
          <w:szCs w:val="20"/>
        </w:rPr>
      </w:pPr>
    </w:p>
    <w:p w14:paraId="376D4D4C" w14:textId="773B3492" w:rsidR="00F949FE" w:rsidRDefault="00F949FE" w:rsidP="003B7D0E">
      <w:pPr>
        <w:pStyle w:val="BasicParagraph"/>
        <w:suppressAutoHyphens/>
        <w:jc w:val="center"/>
        <w:rPr>
          <w:rFonts w:ascii="Verdana" w:hAnsi="Verdana" w:cs="Arial"/>
          <w:color w:val="3C3C3B"/>
          <w:sz w:val="20"/>
          <w:szCs w:val="20"/>
        </w:rPr>
      </w:pPr>
    </w:p>
    <w:p w14:paraId="355CCEAF" w14:textId="4471DCFA" w:rsidR="00F949FE" w:rsidRDefault="00F949FE" w:rsidP="003B7D0E">
      <w:pPr>
        <w:pStyle w:val="BasicParagraph"/>
        <w:suppressAutoHyphens/>
        <w:jc w:val="center"/>
        <w:rPr>
          <w:rFonts w:ascii="Verdana" w:hAnsi="Verdana" w:cs="Arial"/>
          <w:color w:val="3C3C3B"/>
          <w:sz w:val="20"/>
          <w:szCs w:val="20"/>
        </w:rPr>
      </w:pPr>
    </w:p>
    <w:p w14:paraId="5F372EA5" w14:textId="63056940" w:rsidR="00F949FE" w:rsidRDefault="00F949FE" w:rsidP="003B7D0E">
      <w:pPr>
        <w:pStyle w:val="BasicParagraph"/>
        <w:suppressAutoHyphens/>
        <w:jc w:val="center"/>
        <w:rPr>
          <w:rFonts w:ascii="Verdana" w:hAnsi="Verdana" w:cs="Arial"/>
          <w:color w:val="3C3C3B"/>
          <w:sz w:val="20"/>
          <w:szCs w:val="20"/>
        </w:rPr>
      </w:pPr>
    </w:p>
    <w:p w14:paraId="61A39902" w14:textId="5C31DCFB" w:rsidR="00F949FE" w:rsidRDefault="00F949FE" w:rsidP="003B7D0E">
      <w:pPr>
        <w:pStyle w:val="BasicParagraph"/>
        <w:suppressAutoHyphens/>
        <w:jc w:val="center"/>
        <w:rPr>
          <w:rFonts w:ascii="Verdana" w:hAnsi="Verdana" w:cs="Arial"/>
          <w:color w:val="3C3C3B"/>
          <w:sz w:val="20"/>
          <w:szCs w:val="20"/>
        </w:rPr>
      </w:pPr>
    </w:p>
    <w:p w14:paraId="7FF781AA" w14:textId="553659F5" w:rsidR="00F949FE" w:rsidRDefault="00F949FE" w:rsidP="003B7D0E">
      <w:pPr>
        <w:pStyle w:val="BasicParagraph"/>
        <w:suppressAutoHyphens/>
        <w:jc w:val="center"/>
        <w:rPr>
          <w:rFonts w:ascii="Verdana" w:hAnsi="Verdana" w:cs="Arial"/>
          <w:color w:val="3C3C3B"/>
          <w:sz w:val="20"/>
          <w:szCs w:val="20"/>
        </w:rPr>
      </w:pPr>
    </w:p>
    <w:p w14:paraId="2125E7F1" w14:textId="463FDD85" w:rsidR="00F949FE" w:rsidRDefault="00F949FE" w:rsidP="003B7D0E">
      <w:pPr>
        <w:pStyle w:val="BasicParagraph"/>
        <w:suppressAutoHyphens/>
        <w:jc w:val="center"/>
        <w:rPr>
          <w:rFonts w:ascii="Verdana" w:hAnsi="Verdana" w:cs="Arial"/>
          <w:color w:val="3C3C3B"/>
          <w:sz w:val="20"/>
          <w:szCs w:val="20"/>
        </w:rPr>
      </w:pPr>
    </w:p>
    <w:p w14:paraId="1B221069" w14:textId="04DC3E80" w:rsidR="00F949FE" w:rsidRDefault="00F949FE" w:rsidP="003B7D0E">
      <w:pPr>
        <w:pStyle w:val="BasicParagraph"/>
        <w:suppressAutoHyphens/>
        <w:jc w:val="center"/>
        <w:rPr>
          <w:rFonts w:ascii="Verdana" w:hAnsi="Verdana" w:cs="Arial"/>
          <w:color w:val="3C3C3B"/>
          <w:sz w:val="20"/>
          <w:szCs w:val="20"/>
        </w:rPr>
      </w:pPr>
    </w:p>
    <w:p w14:paraId="10566A60" w14:textId="5E3BAF5A" w:rsidR="00F949FE" w:rsidRDefault="00F949FE" w:rsidP="003B7D0E">
      <w:pPr>
        <w:pStyle w:val="BasicParagraph"/>
        <w:suppressAutoHyphens/>
        <w:jc w:val="center"/>
        <w:rPr>
          <w:rFonts w:ascii="Verdana" w:hAnsi="Verdana" w:cs="Arial"/>
          <w:color w:val="3C3C3B"/>
          <w:sz w:val="20"/>
          <w:szCs w:val="20"/>
        </w:rPr>
      </w:pPr>
    </w:p>
    <w:p w14:paraId="32C2FEAA" w14:textId="7DB099F8" w:rsidR="00F949FE" w:rsidRDefault="00F949FE" w:rsidP="003B7D0E">
      <w:pPr>
        <w:pStyle w:val="BasicParagraph"/>
        <w:suppressAutoHyphens/>
        <w:jc w:val="center"/>
        <w:rPr>
          <w:rFonts w:ascii="Verdana" w:hAnsi="Verdana" w:cs="Arial"/>
          <w:color w:val="3C3C3B"/>
          <w:sz w:val="20"/>
          <w:szCs w:val="20"/>
        </w:rPr>
      </w:pPr>
    </w:p>
    <w:p w14:paraId="7B0FB39B" w14:textId="246A2C88" w:rsidR="00F949FE" w:rsidRDefault="00F949FE" w:rsidP="003B7D0E">
      <w:pPr>
        <w:pStyle w:val="BasicParagraph"/>
        <w:suppressAutoHyphens/>
        <w:jc w:val="center"/>
        <w:rPr>
          <w:rFonts w:ascii="Verdana" w:hAnsi="Verdana" w:cs="Arial"/>
          <w:color w:val="3C3C3B"/>
          <w:sz w:val="20"/>
          <w:szCs w:val="20"/>
        </w:rPr>
      </w:pPr>
    </w:p>
    <w:p w14:paraId="183B348D" w14:textId="325BC237" w:rsidR="00F949FE" w:rsidRDefault="00F949FE" w:rsidP="003B7D0E">
      <w:pPr>
        <w:pStyle w:val="BasicParagraph"/>
        <w:suppressAutoHyphens/>
        <w:jc w:val="center"/>
        <w:rPr>
          <w:rFonts w:ascii="Verdana" w:hAnsi="Verdana" w:cs="Arial"/>
          <w:color w:val="3C3C3B"/>
          <w:sz w:val="20"/>
          <w:szCs w:val="20"/>
        </w:rPr>
      </w:pPr>
    </w:p>
    <w:p w14:paraId="05368C47" w14:textId="18B04089" w:rsidR="00F949FE" w:rsidRDefault="00F949FE" w:rsidP="003B7D0E">
      <w:pPr>
        <w:pStyle w:val="BasicParagraph"/>
        <w:suppressAutoHyphens/>
        <w:jc w:val="center"/>
        <w:rPr>
          <w:rFonts w:ascii="Verdana" w:hAnsi="Verdana" w:cs="Arial"/>
          <w:color w:val="3C3C3B"/>
          <w:sz w:val="20"/>
          <w:szCs w:val="20"/>
        </w:rPr>
      </w:pPr>
    </w:p>
    <w:p w14:paraId="3CA878D9" w14:textId="2630F5B3" w:rsidR="00F949FE" w:rsidRDefault="00F949FE" w:rsidP="003B7D0E">
      <w:pPr>
        <w:pStyle w:val="BasicParagraph"/>
        <w:suppressAutoHyphens/>
        <w:jc w:val="center"/>
        <w:rPr>
          <w:rFonts w:ascii="Verdana" w:hAnsi="Verdana" w:cs="Arial"/>
          <w:color w:val="3C3C3B"/>
          <w:sz w:val="20"/>
          <w:szCs w:val="20"/>
        </w:rPr>
      </w:pPr>
    </w:p>
    <w:p w14:paraId="3F4E97D6" w14:textId="4523D558" w:rsidR="00F949FE" w:rsidRDefault="00F949FE" w:rsidP="003B7D0E">
      <w:pPr>
        <w:pStyle w:val="BasicParagraph"/>
        <w:suppressAutoHyphens/>
        <w:jc w:val="center"/>
        <w:rPr>
          <w:rFonts w:ascii="Verdana" w:hAnsi="Verdana" w:cs="Arial"/>
          <w:color w:val="3C3C3B"/>
          <w:sz w:val="20"/>
          <w:szCs w:val="20"/>
        </w:rPr>
      </w:pPr>
    </w:p>
    <w:p w14:paraId="0ABC5A54" w14:textId="76E1F552" w:rsidR="00F949FE" w:rsidRDefault="00F949FE" w:rsidP="003B7D0E">
      <w:pPr>
        <w:pStyle w:val="BasicParagraph"/>
        <w:suppressAutoHyphens/>
        <w:jc w:val="center"/>
        <w:rPr>
          <w:rFonts w:ascii="Verdana" w:hAnsi="Verdana" w:cs="Arial"/>
          <w:color w:val="3C3C3B"/>
          <w:sz w:val="20"/>
          <w:szCs w:val="20"/>
        </w:rPr>
      </w:pPr>
    </w:p>
    <w:p w14:paraId="558D3C74" w14:textId="26551D1C" w:rsidR="00F949FE" w:rsidRDefault="00F949FE" w:rsidP="003B7D0E">
      <w:pPr>
        <w:pStyle w:val="BasicParagraph"/>
        <w:suppressAutoHyphens/>
        <w:jc w:val="center"/>
        <w:rPr>
          <w:rFonts w:ascii="Verdana" w:hAnsi="Verdana" w:cs="Arial"/>
          <w:color w:val="3C3C3B"/>
          <w:sz w:val="20"/>
          <w:szCs w:val="20"/>
        </w:rPr>
      </w:pPr>
    </w:p>
    <w:p w14:paraId="2A4A9563" w14:textId="0A51C51E" w:rsidR="00F949FE" w:rsidRDefault="00F949FE" w:rsidP="003B7D0E">
      <w:pPr>
        <w:pStyle w:val="BasicParagraph"/>
        <w:suppressAutoHyphens/>
        <w:jc w:val="center"/>
        <w:rPr>
          <w:rFonts w:ascii="Verdana" w:hAnsi="Verdana" w:cs="Arial"/>
          <w:color w:val="3C3C3B"/>
          <w:sz w:val="20"/>
          <w:szCs w:val="20"/>
        </w:rPr>
      </w:pPr>
    </w:p>
    <w:p w14:paraId="7E03D4AE" w14:textId="74030DAB" w:rsidR="00F949FE" w:rsidRDefault="00F949FE" w:rsidP="003B7D0E">
      <w:pPr>
        <w:pStyle w:val="BasicParagraph"/>
        <w:suppressAutoHyphens/>
        <w:jc w:val="center"/>
        <w:rPr>
          <w:rFonts w:ascii="Verdana" w:hAnsi="Verdana" w:cs="Arial"/>
          <w:color w:val="3C3C3B"/>
          <w:sz w:val="20"/>
          <w:szCs w:val="20"/>
        </w:rPr>
      </w:pPr>
    </w:p>
    <w:p w14:paraId="34306011" w14:textId="3EE24B43" w:rsidR="00F949FE" w:rsidRDefault="00F949FE" w:rsidP="003B7D0E">
      <w:pPr>
        <w:pStyle w:val="BasicParagraph"/>
        <w:suppressAutoHyphens/>
        <w:jc w:val="center"/>
        <w:rPr>
          <w:rFonts w:ascii="Verdana" w:hAnsi="Verdana" w:cs="Arial"/>
          <w:color w:val="3C3C3B"/>
          <w:sz w:val="20"/>
          <w:szCs w:val="20"/>
        </w:rPr>
      </w:pPr>
    </w:p>
    <w:p w14:paraId="0A6E1013" w14:textId="3B6B6E5D" w:rsidR="00F949FE" w:rsidRDefault="00F949FE" w:rsidP="003B7D0E">
      <w:pPr>
        <w:pStyle w:val="BasicParagraph"/>
        <w:suppressAutoHyphens/>
        <w:jc w:val="center"/>
        <w:rPr>
          <w:rFonts w:ascii="Verdana" w:hAnsi="Verdana" w:cs="Arial"/>
          <w:color w:val="3C3C3B"/>
          <w:sz w:val="20"/>
          <w:szCs w:val="20"/>
        </w:rPr>
      </w:pPr>
    </w:p>
    <w:p w14:paraId="2375A7E0" w14:textId="73B5F7CA" w:rsidR="00F949FE" w:rsidRDefault="00F949FE" w:rsidP="003B7D0E">
      <w:pPr>
        <w:pStyle w:val="BasicParagraph"/>
        <w:suppressAutoHyphens/>
        <w:jc w:val="center"/>
        <w:rPr>
          <w:rFonts w:ascii="Verdana" w:hAnsi="Verdana" w:cs="Arial"/>
          <w:color w:val="3C3C3B"/>
          <w:sz w:val="20"/>
          <w:szCs w:val="20"/>
        </w:rPr>
      </w:pPr>
    </w:p>
    <w:p w14:paraId="26F00229" w14:textId="608FA972" w:rsidR="00F949FE" w:rsidRDefault="00F949FE" w:rsidP="003B7D0E">
      <w:pPr>
        <w:pStyle w:val="BasicParagraph"/>
        <w:suppressAutoHyphens/>
        <w:jc w:val="center"/>
        <w:rPr>
          <w:rFonts w:ascii="Verdana" w:hAnsi="Verdana" w:cs="Arial"/>
          <w:color w:val="3C3C3B"/>
          <w:sz w:val="20"/>
          <w:szCs w:val="20"/>
        </w:rPr>
      </w:pPr>
    </w:p>
    <w:p w14:paraId="0264705B" w14:textId="623702C9" w:rsidR="00F949FE" w:rsidRDefault="00F949FE" w:rsidP="003B7D0E">
      <w:pPr>
        <w:pStyle w:val="BasicParagraph"/>
        <w:suppressAutoHyphens/>
        <w:jc w:val="center"/>
        <w:rPr>
          <w:rFonts w:ascii="Verdana" w:hAnsi="Verdana" w:cs="Arial"/>
          <w:color w:val="3C3C3B"/>
          <w:sz w:val="20"/>
          <w:szCs w:val="20"/>
        </w:rPr>
      </w:pPr>
    </w:p>
    <w:p w14:paraId="7372CDE8" w14:textId="16523BEA" w:rsidR="00F949FE" w:rsidRDefault="00F949FE" w:rsidP="003B7D0E">
      <w:pPr>
        <w:pStyle w:val="BasicParagraph"/>
        <w:suppressAutoHyphens/>
        <w:jc w:val="center"/>
        <w:rPr>
          <w:rFonts w:ascii="Verdana" w:hAnsi="Verdana" w:cs="Arial"/>
          <w:color w:val="3C3C3B"/>
          <w:sz w:val="20"/>
          <w:szCs w:val="20"/>
        </w:rPr>
      </w:pPr>
    </w:p>
    <w:p w14:paraId="6BD13295" w14:textId="538E6F45" w:rsidR="00F949FE" w:rsidRDefault="00F949FE" w:rsidP="003B7D0E">
      <w:pPr>
        <w:pStyle w:val="BasicParagraph"/>
        <w:suppressAutoHyphens/>
        <w:jc w:val="center"/>
        <w:rPr>
          <w:rFonts w:ascii="Verdana" w:hAnsi="Verdana" w:cs="Arial"/>
          <w:color w:val="3C3C3B"/>
          <w:sz w:val="20"/>
          <w:szCs w:val="20"/>
        </w:rPr>
      </w:pPr>
    </w:p>
    <w:p w14:paraId="1A4F8EB3" w14:textId="79221A54" w:rsidR="00F949FE" w:rsidRDefault="00F949FE" w:rsidP="003B7D0E">
      <w:pPr>
        <w:pStyle w:val="BasicParagraph"/>
        <w:suppressAutoHyphens/>
        <w:jc w:val="center"/>
        <w:rPr>
          <w:rFonts w:ascii="Verdana" w:hAnsi="Verdana" w:cs="Arial"/>
          <w:color w:val="3C3C3B"/>
          <w:sz w:val="20"/>
          <w:szCs w:val="20"/>
        </w:rPr>
      </w:pPr>
    </w:p>
    <w:p w14:paraId="2C58F649" w14:textId="6BED2C67" w:rsidR="00F949FE" w:rsidRDefault="00F949FE" w:rsidP="003B7D0E">
      <w:pPr>
        <w:pStyle w:val="BasicParagraph"/>
        <w:suppressAutoHyphens/>
        <w:jc w:val="center"/>
        <w:rPr>
          <w:rFonts w:ascii="Verdana" w:hAnsi="Verdana" w:cs="Arial"/>
          <w:color w:val="3C3C3B"/>
          <w:sz w:val="20"/>
          <w:szCs w:val="20"/>
        </w:rPr>
      </w:pPr>
    </w:p>
    <w:p w14:paraId="04CD5C1D" w14:textId="55537F34" w:rsidR="00F949FE" w:rsidRDefault="00F949FE" w:rsidP="003B7D0E">
      <w:pPr>
        <w:pStyle w:val="BasicParagraph"/>
        <w:suppressAutoHyphens/>
        <w:jc w:val="center"/>
        <w:rPr>
          <w:rFonts w:ascii="Verdana" w:hAnsi="Verdana" w:cs="Arial"/>
          <w:color w:val="3C3C3B"/>
          <w:sz w:val="20"/>
          <w:szCs w:val="20"/>
        </w:rPr>
      </w:pPr>
    </w:p>
    <w:p w14:paraId="7F43D058" w14:textId="679CB3BB" w:rsidR="00F949FE" w:rsidRDefault="00F949FE" w:rsidP="003B7D0E">
      <w:pPr>
        <w:pStyle w:val="BasicParagraph"/>
        <w:suppressAutoHyphens/>
        <w:jc w:val="center"/>
        <w:rPr>
          <w:rFonts w:ascii="Verdana" w:hAnsi="Verdana" w:cs="Arial"/>
          <w:color w:val="3C3C3B"/>
          <w:sz w:val="20"/>
          <w:szCs w:val="20"/>
        </w:rPr>
      </w:pPr>
    </w:p>
    <w:p w14:paraId="01A7FF34" w14:textId="24F62171" w:rsidR="00F949FE" w:rsidRDefault="00F949FE" w:rsidP="003B7D0E">
      <w:pPr>
        <w:pStyle w:val="BasicParagraph"/>
        <w:suppressAutoHyphens/>
        <w:jc w:val="center"/>
        <w:rPr>
          <w:rFonts w:ascii="Verdana" w:hAnsi="Verdana" w:cs="Arial"/>
          <w:color w:val="3C3C3B"/>
          <w:sz w:val="20"/>
          <w:szCs w:val="20"/>
        </w:rPr>
      </w:pPr>
    </w:p>
    <w:p w14:paraId="116DC4B2" w14:textId="3B1F9B12" w:rsidR="00F949FE" w:rsidRDefault="00F949FE" w:rsidP="003B7D0E">
      <w:pPr>
        <w:pStyle w:val="BasicParagraph"/>
        <w:suppressAutoHyphens/>
        <w:jc w:val="center"/>
        <w:rPr>
          <w:rFonts w:ascii="Verdana" w:hAnsi="Verdana" w:cs="Arial"/>
          <w:color w:val="3C3C3B"/>
          <w:sz w:val="20"/>
          <w:szCs w:val="20"/>
        </w:rPr>
      </w:pPr>
    </w:p>
    <w:p w14:paraId="6447AAFE" w14:textId="77777777" w:rsidR="00F949FE" w:rsidRDefault="00F949FE" w:rsidP="003B7D0E">
      <w:pPr>
        <w:pStyle w:val="BasicParagraph"/>
        <w:suppressAutoHyphens/>
        <w:jc w:val="center"/>
        <w:rPr>
          <w:rFonts w:ascii="Verdana" w:hAnsi="Verdana" w:cs="Arial"/>
          <w:color w:val="3C3C3B"/>
          <w:sz w:val="20"/>
          <w:szCs w:val="20"/>
        </w:rPr>
      </w:pPr>
    </w:p>
    <w:p w14:paraId="43EFA638" w14:textId="77777777" w:rsidR="00580048" w:rsidRDefault="00580048" w:rsidP="003B7D0E">
      <w:pPr>
        <w:pStyle w:val="BasicParagraph"/>
        <w:suppressAutoHyphens/>
        <w:jc w:val="center"/>
        <w:rPr>
          <w:rFonts w:ascii="Verdana" w:hAnsi="Verdana" w:cs="Arial"/>
          <w:color w:val="3C3C3B"/>
          <w:sz w:val="20"/>
          <w:szCs w:val="20"/>
        </w:rPr>
      </w:pPr>
    </w:p>
    <w:p w14:paraId="5BC878B3" w14:textId="77777777" w:rsidR="00580048" w:rsidRDefault="00580048" w:rsidP="003B7D0E">
      <w:pPr>
        <w:pStyle w:val="BasicParagraph"/>
        <w:suppressAutoHyphens/>
        <w:jc w:val="center"/>
        <w:rPr>
          <w:rFonts w:ascii="Verdana" w:hAnsi="Verdana" w:cs="Arial"/>
          <w:color w:val="3C3C3B"/>
          <w:sz w:val="20"/>
          <w:szCs w:val="20"/>
        </w:rPr>
      </w:pPr>
    </w:p>
    <w:p w14:paraId="34CB5A5F" w14:textId="77777777" w:rsidR="00580048" w:rsidRDefault="00580048" w:rsidP="003B7D0E">
      <w:pPr>
        <w:pStyle w:val="BasicParagraph"/>
        <w:suppressAutoHyphens/>
        <w:jc w:val="center"/>
        <w:rPr>
          <w:rFonts w:ascii="Verdana" w:hAnsi="Verdana" w:cs="Arial"/>
          <w:color w:val="3C3C3B"/>
          <w:sz w:val="20"/>
          <w:szCs w:val="20"/>
        </w:rPr>
      </w:pPr>
    </w:p>
    <w:p w14:paraId="7856C533" w14:textId="77777777" w:rsidR="00705833" w:rsidRPr="00331C61"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33D83BCD" w14:textId="77777777" w:rsidR="00331C61" w:rsidRPr="00331C61" w:rsidRDefault="00331C61" w:rsidP="00331C61">
      <w:pPr>
        <w:pStyle w:val="BasicParagraph"/>
        <w:suppressAutoHyphens/>
        <w:jc w:val="center"/>
        <w:rPr>
          <w:rFonts w:ascii="Verdana" w:hAnsi="Verdana" w:cs="Arial"/>
          <w:b/>
          <w:color w:val="77328A"/>
          <w:sz w:val="36"/>
          <w:szCs w:val="36"/>
        </w:rPr>
      </w:pPr>
    </w:p>
    <w:p w14:paraId="097AEE22" w14:textId="77777777" w:rsidR="004672AC" w:rsidRDefault="007E0719" w:rsidP="003B7D0E">
      <w:pPr>
        <w:spacing w:line="288" w:lineRule="auto"/>
        <w:jc w:val="center"/>
        <w:rPr>
          <w:rFonts w:ascii="Verdana" w:hAnsi="Verdana" w:cs="Arial"/>
          <w:b/>
          <w:color w:val="232120"/>
          <w:sz w:val="30"/>
          <w:szCs w:val="30"/>
        </w:rPr>
      </w:pPr>
      <w:r>
        <w:rPr>
          <w:rFonts w:ascii="Verdana" w:hAnsi="Verdana" w:cs="Arial"/>
          <w:b/>
          <w:color w:val="232120"/>
          <w:sz w:val="30"/>
          <w:szCs w:val="30"/>
        </w:rPr>
        <w:t>Rhyannon Blythe – Director of Legal, Policy, Research and Investigations</w:t>
      </w:r>
    </w:p>
    <w:p w14:paraId="4C0E4CD7" w14:textId="77777777" w:rsidR="007E0719" w:rsidRPr="00331C61" w:rsidRDefault="008275D0" w:rsidP="003B7D0E">
      <w:pPr>
        <w:spacing w:line="288" w:lineRule="auto"/>
        <w:jc w:val="center"/>
        <w:rPr>
          <w:rFonts w:ascii="Verdana" w:hAnsi="Verdana" w:cs="Arial"/>
          <w:b/>
          <w:color w:val="232120"/>
          <w:sz w:val="30"/>
          <w:szCs w:val="30"/>
        </w:rPr>
      </w:pPr>
      <w:hyperlink r:id="rId9" w:history="1">
        <w:r w:rsidR="007E0719" w:rsidRPr="009A2AA8">
          <w:rPr>
            <w:rStyle w:val="Hyperlink"/>
            <w:rFonts w:ascii="Verdana" w:hAnsi="Verdana" w:cs="Arial"/>
            <w:b/>
            <w:sz w:val="30"/>
            <w:szCs w:val="30"/>
          </w:rPr>
          <w:t>Rhyannon.blythe@nihrc.org</w:t>
        </w:r>
      </w:hyperlink>
      <w:r w:rsidR="007E0719">
        <w:rPr>
          <w:rFonts w:ascii="Verdana" w:hAnsi="Verdana" w:cs="Arial"/>
          <w:b/>
          <w:color w:val="232120"/>
          <w:sz w:val="30"/>
          <w:szCs w:val="30"/>
        </w:rPr>
        <w:t xml:space="preserve"> </w:t>
      </w:r>
    </w:p>
    <w:p w14:paraId="5BA6C0AD" w14:textId="77777777" w:rsidR="00331C61" w:rsidRPr="00331C61" w:rsidRDefault="00331C61" w:rsidP="003B7D0E">
      <w:pPr>
        <w:spacing w:line="288" w:lineRule="auto"/>
        <w:jc w:val="center"/>
        <w:rPr>
          <w:rFonts w:ascii="Verdana" w:hAnsi="Verdana" w:cs="Arial"/>
          <w:b/>
          <w:color w:val="232120"/>
          <w:sz w:val="30"/>
          <w:szCs w:val="30"/>
        </w:rPr>
      </w:pPr>
    </w:p>
    <w:p w14:paraId="273A8E42" w14:textId="77777777" w:rsidR="00331C61" w:rsidRPr="00331C61" w:rsidRDefault="00331C61" w:rsidP="003B7D0E">
      <w:pPr>
        <w:spacing w:line="288" w:lineRule="auto"/>
        <w:jc w:val="center"/>
        <w:rPr>
          <w:rFonts w:ascii="Verdana" w:hAnsi="Verdana" w:cs="Arial"/>
          <w:b/>
          <w:color w:val="232120"/>
          <w:sz w:val="30"/>
          <w:szCs w:val="30"/>
        </w:rPr>
      </w:pPr>
    </w:p>
    <w:p w14:paraId="0C70328D" w14:textId="77777777" w:rsidR="00331C61" w:rsidRPr="00331C61" w:rsidRDefault="008275D0" w:rsidP="00331C61">
      <w:pPr>
        <w:spacing w:line="288" w:lineRule="auto"/>
        <w:jc w:val="center"/>
        <w:rPr>
          <w:rFonts w:ascii="Verdana" w:hAnsi="Verdana" w:cs="Arial"/>
          <w:color w:val="232120"/>
          <w:sz w:val="28"/>
          <w:szCs w:val="28"/>
        </w:rPr>
      </w:pPr>
      <w:hyperlink r:id="rId10"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hyperlink r:id="rId11"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47500405" w14:textId="77777777" w:rsidR="00F56C78" w:rsidRPr="00331C61" w:rsidRDefault="00D16532" w:rsidP="00331C61">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63B70184" w14:textId="77777777" w:rsidR="00F56C78" w:rsidRPr="00331C61" w:rsidRDefault="00F56C78" w:rsidP="003B7D0E">
      <w:pPr>
        <w:spacing w:line="288" w:lineRule="auto"/>
        <w:jc w:val="center"/>
        <w:rPr>
          <w:rFonts w:ascii="Verdana" w:hAnsi="Verdana" w:cs="Arial"/>
          <w:b/>
          <w:color w:val="232120"/>
          <w:sz w:val="28"/>
          <w:szCs w:val="28"/>
        </w:rPr>
      </w:pPr>
    </w:p>
    <w:p w14:paraId="7EC20CA6" w14:textId="77777777" w:rsidR="00F56C78" w:rsidRPr="00331C61" w:rsidRDefault="00F56C78" w:rsidP="003B7D0E">
      <w:pPr>
        <w:spacing w:line="288" w:lineRule="auto"/>
        <w:jc w:val="center"/>
        <w:rPr>
          <w:rFonts w:ascii="Verdana" w:hAnsi="Verdana" w:cs="Arial"/>
          <w:color w:val="232120"/>
          <w:sz w:val="20"/>
          <w:szCs w:val="20"/>
        </w:rPr>
      </w:pPr>
    </w:p>
    <w:p w14:paraId="756C4B7D"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299DEC75" wp14:editId="2A84FEBA">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3"/>
      <w:footerReference w:type="first" r:id="rId14"/>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418F" w14:textId="77777777" w:rsidR="008275D0" w:rsidRDefault="008275D0" w:rsidP="00962B2B">
      <w:r>
        <w:separator/>
      </w:r>
    </w:p>
  </w:endnote>
  <w:endnote w:type="continuationSeparator" w:id="0">
    <w:p w14:paraId="166E74F1" w14:textId="77777777" w:rsidR="008275D0" w:rsidRDefault="008275D0"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7FEB" w14:textId="77777777" w:rsidR="00D2770F" w:rsidRDefault="00D2770F" w:rsidP="00656ECD">
    <w:pPr>
      <w:pStyle w:val="Footer"/>
      <w:jc w:val="right"/>
      <w:rPr>
        <w:rStyle w:val="PageNumber"/>
        <w:rFonts w:ascii="Arial" w:hAnsi="Arial" w:cs="Arial"/>
        <w:b/>
        <w:sz w:val="16"/>
        <w:szCs w:val="16"/>
      </w:rPr>
    </w:pPr>
  </w:p>
  <w:p w14:paraId="097B2DEB" w14:textId="77777777"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201044">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AA76" w14:textId="77777777" w:rsidR="00D2770F" w:rsidRDefault="00D2770F" w:rsidP="00046705">
    <w:pPr>
      <w:pStyle w:val="Footer"/>
      <w:jc w:val="right"/>
      <w:rPr>
        <w:rStyle w:val="PageNumber"/>
        <w:rFonts w:ascii="Arial" w:hAnsi="Arial" w:cs="Arial"/>
        <w:b/>
        <w:sz w:val="16"/>
        <w:szCs w:val="16"/>
      </w:rPr>
    </w:pPr>
  </w:p>
  <w:p w14:paraId="41D71F9F"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07E0" w14:textId="77777777" w:rsidR="008275D0" w:rsidRDefault="008275D0" w:rsidP="00B96D34">
      <w:r>
        <w:continuationSeparator/>
      </w:r>
    </w:p>
    <w:p w14:paraId="49C30D4B" w14:textId="77777777" w:rsidR="008275D0" w:rsidRPr="00B96D34" w:rsidRDefault="008275D0" w:rsidP="00B96D34">
      <w:pPr>
        <w:pStyle w:val="Footer"/>
      </w:pPr>
    </w:p>
  </w:footnote>
  <w:footnote w:type="continuationSeparator" w:id="0">
    <w:p w14:paraId="2271BF41" w14:textId="77777777" w:rsidR="008275D0" w:rsidRDefault="008275D0" w:rsidP="00962B2B">
      <w:r>
        <w:continuationSeparator/>
      </w:r>
    </w:p>
  </w:footnote>
  <w:footnote w:type="continuationNotice" w:id="1">
    <w:p w14:paraId="50BEE074" w14:textId="77777777" w:rsidR="008275D0" w:rsidRDefault="008275D0"/>
  </w:footnote>
  <w:footnote w:id="2">
    <w:p w14:paraId="7885F4B1" w14:textId="77777777" w:rsidR="0055193F" w:rsidRPr="0055193F" w:rsidRDefault="0055193F" w:rsidP="0055193F">
      <w:pPr>
        <w:pStyle w:val="FootnoteText"/>
        <w:rPr>
          <w:rFonts w:ascii="Verdana" w:hAnsi="Verdana"/>
          <w:color w:val="77328A"/>
          <w:sz w:val="16"/>
          <w:szCs w:val="16"/>
        </w:rPr>
      </w:pPr>
      <w:r w:rsidRPr="0055193F">
        <w:rPr>
          <w:rStyle w:val="FootnoteReference"/>
          <w:rFonts w:ascii="Verdana" w:hAnsi="Verdana"/>
          <w:color w:val="77328A"/>
          <w:sz w:val="16"/>
          <w:szCs w:val="16"/>
        </w:rPr>
        <w:footnoteRef/>
      </w:r>
      <w:r w:rsidRPr="0055193F">
        <w:rPr>
          <w:rFonts w:ascii="Verdana" w:hAnsi="Verdana"/>
          <w:color w:val="77328A"/>
          <w:sz w:val="16"/>
          <w:szCs w:val="16"/>
        </w:rPr>
        <w:t xml:space="preserve"> Ratified by the UK 1951. Further guidance is also taken from the body of case law from the European Court of Human</w:t>
      </w:r>
    </w:p>
    <w:p w14:paraId="46092209" w14:textId="77777777" w:rsidR="0055193F" w:rsidRPr="0055193F" w:rsidRDefault="0055193F" w:rsidP="0055193F">
      <w:pPr>
        <w:pStyle w:val="FootnoteText"/>
        <w:rPr>
          <w:rFonts w:ascii="Verdana" w:hAnsi="Verdana"/>
          <w:color w:val="77328A"/>
          <w:sz w:val="16"/>
          <w:szCs w:val="16"/>
        </w:rPr>
      </w:pPr>
      <w:r w:rsidRPr="0055193F">
        <w:rPr>
          <w:rFonts w:ascii="Verdana" w:hAnsi="Verdana"/>
          <w:color w:val="77328A"/>
          <w:sz w:val="16"/>
          <w:szCs w:val="16"/>
        </w:rPr>
        <w:t>Rights (ECtHR).</w:t>
      </w:r>
    </w:p>
  </w:footnote>
  <w:footnote w:id="3">
    <w:p w14:paraId="676B974C" w14:textId="77777777" w:rsidR="0055193F" w:rsidRPr="0055193F" w:rsidRDefault="0055193F" w:rsidP="0055193F">
      <w:pPr>
        <w:pStyle w:val="FootnoteText"/>
        <w:rPr>
          <w:rFonts w:ascii="Verdana" w:hAnsi="Verdana"/>
          <w:color w:val="77328A"/>
          <w:sz w:val="16"/>
          <w:szCs w:val="16"/>
        </w:rPr>
      </w:pPr>
      <w:r w:rsidRPr="0055193F">
        <w:rPr>
          <w:rStyle w:val="FootnoteReference"/>
          <w:rFonts w:ascii="Verdana" w:hAnsi="Verdana"/>
          <w:color w:val="77328A"/>
          <w:sz w:val="16"/>
          <w:szCs w:val="16"/>
        </w:rPr>
        <w:footnoteRef/>
      </w:r>
      <w:r w:rsidRPr="0055193F">
        <w:rPr>
          <w:rFonts w:ascii="Verdana" w:hAnsi="Verdana"/>
          <w:color w:val="77328A"/>
          <w:sz w:val="16"/>
          <w:szCs w:val="16"/>
        </w:rPr>
        <w:t xml:space="preserve"> Council of Europe Convention on preventing and combating violence against women and domestic violence (Istanbul Convention), 11 April 2011.</w:t>
      </w:r>
    </w:p>
  </w:footnote>
  <w:footnote w:id="4">
    <w:p w14:paraId="25982B42" w14:textId="77777777" w:rsidR="0055193F" w:rsidRPr="0055193F" w:rsidRDefault="0055193F" w:rsidP="0055193F">
      <w:pPr>
        <w:pStyle w:val="FootnoteText"/>
        <w:rPr>
          <w:rFonts w:ascii="Verdana" w:hAnsi="Verdana"/>
          <w:color w:val="77328A"/>
          <w:sz w:val="16"/>
          <w:szCs w:val="16"/>
        </w:rPr>
      </w:pPr>
      <w:r w:rsidRPr="0055193F">
        <w:rPr>
          <w:rStyle w:val="FootnoteReference"/>
          <w:rFonts w:ascii="Verdana" w:hAnsi="Verdana"/>
          <w:color w:val="77328A"/>
          <w:sz w:val="16"/>
          <w:szCs w:val="16"/>
        </w:rPr>
        <w:footnoteRef/>
      </w:r>
      <w:r w:rsidRPr="0055193F">
        <w:rPr>
          <w:rFonts w:ascii="Verdana" w:hAnsi="Verdana"/>
          <w:color w:val="77328A"/>
          <w:sz w:val="16"/>
          <w:szCs w:val="16"/>
        </w:rPr>
        <w:t xml:space="preserve"> Ratified by the UK 1966. </w:t>
      </w:r>
    </w:p>
  </w:footnote>
  <w:footnote w:id="5">
    <w:p w14:paraId="59C044FD" w14:textId="77777777" w:rsidR="0055193F" w:rsidRPr="0055193F" w:rsidRDefault="0055193F" w:rsidP="0055193F">
      <w:pPr>
        <w:pStyle w:val="FootnoteText"/>
        <w:rPr>
          <w:rFonts w:ascii="Verdana" w:hAnsi="Verdana"/>
          <w:color w:val="77328A"/>
          <w:sz w:val="16"/>
          <w:szCs w:val="16"/>
        </w:rPr>
      </w:pPr>
      <w:r w:rsidRPr="0055193F">
        <w:rPr>
          <w:rStyle w:val="FootnoteReference"/>
          <w:rFonts w:ascii="Verdana" w:hAnsi="Verdana"/>
          <w:color w:val="77328A"/>
          <w:sz w:val="16"/>
          <w:szCs w:val="16"/>
        </w:rPr>
        <w:footnoteRef/>
      </w:r>
      <w:r w:rsidRPr="0055193F">
        <w:rPr>
          <w:rFonts w:ascii="Verdana" w:hAnsi="Verdana"/>
          <w:color w:val="77328A"/>
          <w:sz w:val="16"/>
          <w:szCs w:val="16"/>
        </w:rPr>
        <w:t xml:space="preserve"> Ratified by the UK 1986.</w:t>
      </w:r>
    </w:p>
  </w:footnote>
  <w:footnote w:id="6">
    <w:p w14:paraId="402378B9" w14:textId="77777777" w:rsidR="0055193F" w:rsidRPr="00EA7C68" w:rsidRDefault="0055193F" w:rsidP="0055193F">
      <w:pPr>
        <w:pStyle w:val="FootnoteText"/>
        <w:rPr>
          <w:color w:val="7030A0"/>
          <w:sz w:val="16"/>
          <w:szCs w:val="16"/>
        </w:rPr>
      </w:pPr>
      <w:r w:rsidRPr="0055193F">
        <w:rPr>
          <w:rStyle w:val="FootnoteReference"/>
          <w:rFonts w:ascii="Verdana" w:hAnsi="Verdana"/>
          <w:color w:val="77328A"/>
          <w:sz w:val="16"/>
          <w:szCs w:val="16"/>
        </w:rPr>
        <w:footnoteRef/>
      </w:r>
      <w:r w:rsidRPr="0055193F">
        <w:rPr>
          <w:rFonts w:ascii="Verdana" w:hAnsi="Verdana"/>
          <w:color w:val="77328A"/>
          <w:sz w:val="16"/>
          <w:szCs w:val="16"/>
        </w:rPr>
        <w:t xml:space="preserve"> Ratified by the UK 1988.</w:t>
      </w:r>
      <w:r w:rsidRPr="0055193F">
        <w:rPr>
          <w:color w:val="77328A"/>
          <w:sz w:val="16"/>
          <w:szCs w:val="16"/>
        </w:rPr>
        <w:t xml:space="preserve"> </w:t>
      </w:r>
    </w:p>
  </w:footnote>
  <w:footnote w:id="7">
    <w:p w14:paraId="2BDB30BE" w14:textId="77777777" w:rsidR="0055193F" w:rsidRPr="0055193F" w:rsidRDefault="0055193F" w:rsidP="0055193F">
      <w:pPr>
        <w:pStyle w:val="FootnoteText"/>
        <w:rPr>
          <w:rFonts w:ascii="Verdana" w:hAnsi="Verdana"/>
          <w:color w:val="77328A"/>
          <w:sz w:val="16"/>
          <w:szCs w:val="16"/>
        </w:rPr>
      </w:pPr>
      <w:r w:rsidRPr="0055193F">
        <w:rPr>
          <w:rStyle w:val="FootnoteReference"/>
          <w:rFonts w:ascii="Verdana" w:hAnsi="Verdana"/>
          <w:color w:val="77328A"/>
          <w:sz w:val="16"/>
          <w:szCs w:val="16"/>
        </w:rPr>
        <w:footnoteRef/>
      </w:r>
      <w:r w:rsidRPr="0055193F">
        <w:rPr>
          <w:rFonts w:ascii="Verdana" w:hAnsi="Verdana"/>
          <w:color w:val="77328A"/>
          <w:sz w:val="16"/>
          <w:szCs w:val="16"/>
        </w:rPr>
        <w:t xml:space="preserve"> CAT/C/GBR/CO/6, ‘UN CAT Committee Concluding Observations on the Sixth Periodic Report of the UK of Great Britain and NI’, 7 June 2019.</w:t>
      </w:r>
    </w:p>
  </w:footnote>
  <w:footnote w:id="8">
    <w:p w14:paraId="12E9B335" w14:textId="77777777" w:rsidR="0055193F" w:rsidRPr="0055193F" w:rsidRDefault="0055193F" w:rsidP="0055193F">
      <w:pPr>
        <w:pStyle w:val="FootnoteText"/>
        <w:rPr>
          <w:rFonts w:ascii="Verdana" w:hAnsi="Verdana"/>
          <w:color w:val="77328A"/>
          <w:sz w:val="16"/>
          <w:szCs w:val="16"/>
        </w:rPr>
      </w:pPr>
      <w:r w:rsidRPr="0055193F">
        <w:rPr>
          <w:rStyle w:val="FootnoteReference"/>
          <w:rFonts w:ascii="Verdana" w:hAnsi="Verdana"/>
          <w:color w:val="77328A"/>
          <w:sz w:val="16"/>
          <w:szCs w:val="16"/>
        </w:rPr>
        <w:footnoteRef/>
      </w:r>
      <w:r w:rsidRPr="0055193F">
        <w:rPr>
          <w:rFonts w:ascii="Verdana" w:hAnsi="Verdana"/>
          <w:color w:val="77328A"/>
          <w:sz w:val="16"/>
          <w:szCs w:val="16"/>
        </w:rPr>
        <w:t xml:space="preserve"> CEDAW/C/GBR/CO/8, ‘UN CEDAW Committee Concluding Observations on the UK Eighth Periodic Report’, 8 March 2019.</w:t>
      </w:r>
    </w:p>
  </w:footnote>
  <w:footnote w:id="9">
    <w:p w14:paraId="2A8CA4FD" w14:textId="77777777" w:rsidR="0055193F" w:rsidRPr="0055193F" w:rsidRDefault="0055193F" w:rsidP="0055193F">
      <w:pPr>
        <w:pStyle w:val="FootnoteText"/>
        <w:rPr>
          <w:rFonts w:ascii="Verdana" w:hAnsi="Verdana"/>
          <w:color w:val="77328A"/>
          <w:sz w:val="16"/>
          <w:szCs w:val="16"/>
        </w:rPr>
      </w:pPr>
      <w:r w:rsidRPr="0055193F">
        <w:rPr>
          <w:rStyle w:val="FootnoteReference"/>
          <w:rFonts w:ascii="Verdana" w:hAnsi="Verdana"/>
          <w:color w:val="77328A"/>
          <w:sz w:val="16"/>
          <w:szCs w:val="16"/>
        </w:rPr>
        <w:footnoteRef/>
      </w:r>
      <w:r w:rsidRPr="0055193F">
        <w:rPr>
          <w:rFonts w:ascii="Verdana" w:hAnsi="Verdana"/>
          <w:color w:val="77328A"/>
          <w:sz w:val="16"/>
          <w:szCs w:val="16"/>
        </w:rPr>
        <w:t xml:space="preserve"> CCPR/C/GC/32, ‘UN Human Rights Committee General Comment No 32: Article 14 on the Right to Equality Before the Courts and Tribunals and to a Fair Trial’, 23 August 2007, at para 29.</w:t>
      </w:r>
    </w:p>
  </w:footnote>
  <w:footnote w:id="10">
    <w:p w14:paraId="70A2423E" w14:textId="77777777" w:rsidR="0055193F" w:rsidRPr="00EA7C68" w:rsidRDefault="0055193F" w:rsidP="0055193F">
      <w:pPr>
        <w:pStyle w:val="FootnoteText"/>
        <w:rPr>
          <w:color w:val="7030A0"/>
          <w:sz w:val="16"/>
          <w:szCs w:val="16"/>
        </w:rPr>
      </w:pPr>
      <w:r w:rsidRPr="0055193F">
        <w:rPr>
          <w:rStyle w:val="FootnoteReference"/>
          <w:rFonts w:ascii="Verdana" w:hAnsi="Verdana"/>
          <w:color w:val="77328A"/>
          <w:sz w:val="16"/>
          <w:szCs w:val="16"/>
        </w:rPr>
        <w:footnoteRef/>
      </w:r>
      <w:r w:rsidRPr="0055193F">
        <w:rPr>
          <w:rFonts w:ascii="Verdana" w:hAnsi="Verdana"/>
          <w:color w:val="77328A"/>
          <w:sz w:val="16"/>
          <w:szCs w:val="16"/>
        </w:rPr>
        <w:t xml:space="preserve"> UN General Assembly, ‘Declaration on the Elimination of Violence against Women’, 20 December 1993.</w:t>
      </w:r>
    </w:p>
  </w:footnote>
  <w:footnote w:id="11">
    <w:p w14:paraId="1BD4378A" w14:textId="77777777" w:rsidR="007E0719" w:rsidRPr="0055193F" w:rsidRDefault="007E0719" w:rsidP="007E0719">
      <w:pPr>
        <w:pStyle w:val="FootnoteText"/>
        <w:rPr>
          <w:rFonts w:ascii="Verdana" w:hAnsi="Verdana"/>
          <w:color w:val="77328A"/>
          <w:sz w:val="16"/>
          <w:szCs w:val="16"/>
        </w:rPr>
      </w:pPr>
      <w:r w:rsidRPr="0055193F">
        <w:rPr>
          <w:rStyle w:val="FootnoteReference"/>
          <w:rFonts w:ascii="Verdana" w:hAnsi="Verdana"/>
          <w:color w:val="77328A"/>
          <w:sz w:val="16"/>
          <w:szCs w:val="16"/>
        </w:rPr>
        <w:footnoteRef/>
      </w:r>
      <w:r w:rsidRPr="0055193F">
        <w:rPr>
          <w:rFonts w:ascii="Verdana" w:hAnsi="Verdana"/>
          <w:color w:val="77328A"/>
          <w:sz w:val="16"/>
          <w:szCs w:val="16"/>
        </w:rPr>
        <w:t xml:space="preserve"> </w:t>
      </w:r>
      <w:r w:rsidRPr="0055193F">
        <w:rPr>
          <w:rFonts w:ascii="Verdana" w:hAnsi="Verdana"/>
          <w:i/>
          <w:color w:val="77328A"/>
          <w:sz w:val="16"/>
          <w:szCs w:val="16"/>
        </w:rPr>
        <w:t xml:space="preserve">Case of Centre for Legal Resources on Behalf of Valentin </w:t>
      </w:r>
      <w:proofErr w:type="spellStart"/>
      <w:r w:rsidRPr="0055193F">
        <w:rPr>
          <w:rFonts w:ascii="Verdana" w:hAnsi="Verdana"/>
          <w:i/>
          <w:color w:val="77328A"/>
          <w:sz w:val="16"/>
          <w:szCs w:val="16"/>
        </w:rPr>
        <w:t>Campeanu</w:t>
      </w:r>
      <w:proofErr w:type="spellEnd"/>
      <w:r w:rsidRPr="0055193F">
        <w:rPr>
          <w:rFonts w:ascii="Verdana" w:hAnsi="Verdana"/>
          <w:i/>
          <w:color w:val="77328A"/>
          <w:sz w:val="16"/>
          <w:szCs w:val="16"/>
        </w:rPr>
        <w:t xml:space="preserve"> v Romania</w:t>
      </w:r>
      <w:r w:rsidRPr="0055193F">
        <w:rPr>
          <w:rFonts w:ascii="Verdana" w:hAnsi="Verdana"/>
          <w:color w:val="77328A"/>
          <w:sz w:val="16"/>
          <w:szCs w:val="16"/>
        </w:rPr>
        <w:t xml:space="preserve"> (2014) ECHR 14.</w:t>
      </w:r>
    </w:p>
  </w:footnote>
  <w:footnote w:id="12">
    <w:p w14:paraId="37637C14" w14:textId="77777777" w:rsidR="007E0719" w:rsidRPr="0055193F" w:rsidRDefault="007E0719" w:rsidP="007E0719">
      <w:pPr>
        <w:pStyle w:val="FootnoteText"/>
        <w:rPr>
          <w:rFonts w:ascii="Verdana" w:hAnsi="Verdana"/>
          <w:color w:val="77328A"/>
          <w:sz w:val="16"/>
          <w:szCs w:val="16"/>
        </w:rPr>
      </w:pPr>
      <w:r w:rsidRPr="0055193F">
        <w:rPr>
          <w:rStyle w:val="FootnoteReference"/>
          <w:rFonts w:ascii="Verdana" w:hAnsi="Verdana"/>
          <w:color w:val="77328A"/>
          <w:sz w:val="16"/>
          <w:szCs w:val="16"/>
        </w:rPr>
        <w:footnoteRef/>
      </w:r>
      <w:r w:rsidRPr="0055193F">
        <w:rPr>
          <w:rFonts w:ascii="Verdana" w:hAnsi="Verdana"/>
          <w:color w:val="77328A"/>
          <w:sz w:val="16"/>
          <w:szCs w:val="16"/>
        </w:rPr>
        <w:t xml:space="preserve"> </w:t>
      </w:r>
      <w:r w:rsidRPr="0055193F">
        <w:rPr>
          <w:rFonts w:ascii="Verdana" w:hAnsi="Verdana"/>
          <w:i/>
          <w:color w:val="77328A"/>
          <w:sz w:val="16"/>
          <w:szCs w:val="16"/>
        </w:rPr>
        <w:t>Osman v the United Kingdom</w:t>
      </w:r>
      <w:r w:rsidRPr="0055193F">
        <w:rPr>
          <w:rFonts w:ascii="Verdana" w:hAnsi="Verdana"/>
          <w:color w:val="77328A"/>
          <w:sz w:val="16"/>
          <w:szCs w:val="16"/>
        </w:rPr>
        <w:t xml:space="preserve"> (1998) ECHR 101, at para 116.</w:t>
      </w:r>
    </w:p>
  </w:footnote>
  <w:footnote w:id="13">
    <w:p w14:paraId="7E9BE806" w14:textId="77777777" w:rsidR="007E0719" w:rsidRPr="0055193F" w:rsidRDefault="007E0719" w:rsidP="007E0719">
      <w:pPr>
        <w:pStyle w:val="FootnoteText"/>
        <w:rPr>
          <w:rFonts w:ascii="Verdana" w:hAnsi="Verdana"/>
          <w:color w:val="77328A"/>
          <w:sz w:val="16"/>
          <w:szCs w:val="16"/>
        </w:rPr>
      </w:pPr>
      <w:r w:rsidRPr="0055193F">
        <w:rPr>
          <w:rStyle w:val="FootnoteReference"/>
          <w:rFonts w:ascii="Verdana" w:hAnsi="Verdana"/>
          <w:color w:val="77328A"/>
          <w:sz w:val="16"/>
          <w:szCs w:val="16"/>
        </w:rPr>
        <w:footnoteRef/>
      </w:r>
      <w:r w:rsidRPr="0055193F">
        <w:rPr>
          <w:rFonts w:ascii="Verdana" w:hAnsi="Verdana"/>
          <w:color w:val="77328A"/>
          <w:sz w:val="16"/>
          <w:szCs w:val="16"/>
        </w:rPr>
        <w:t xml:space="preserve"> </w:t>
      </w:r>
      <w:r w:rsidRPr="0055193F">
        <w:rPr>
          <w:rFonts w:ascii="Verdana" w:hAnsi="Verdana"/>
          <w:i/>
          <w:color w:val="77328A"/>
          <w:sz w:val="16"/>
          <w:szCs w:val="16"/>
        </w:rPr>
        <w:t xml:space="preserve">Chahal v the United Kingdom </w:t>
      </w:r>
      <w:r w:rsidRPr="0055193F">
        <w:rPr>
          <w:rFonts w:ascii="Verdana" w:hAnsi="Verdana"/>
          <w:color w:val="77328A"/>
          <w:sz w:val="16"/>
          <w:szCs w:val="16"/>
        </w:rPr>
        <w:t xml:space="preserve">(1996) ECHR 413. </w:t>
      </w:r>
    </w:p>
  </w:footnote>
  <w:footnote w:id="14">
    <w:p w14:paraId="3E212970" w14:textId="77777777" w:rsidR="007E0719" w:rsidRPr="0055193F" w:rsidRDefault="007E0719" w:rsidP="00245E58">
      <w:pPr>
        <w:pStyle w:val="FootnoteText"/>
        <w:rPr>
          <w:rFonts w:ascii="Verdana" w:hAnsi="Verdana"/>
          <w:color w:val="77328A"/>
          <w:sz w:val="16"/>
          <w:szCs w:val="16"/>
        </w:rPr>
      </w:pPr>
      <w:r w:rsidRPr="0055193F">
        <w:rPr>
          <w:rStyle w:val="FootnoteReference"/>
          <w:rFonts w:ascii="Verdana" w:hAnsi="Verdana"/>
          <w:color w:val="77328A"/>
          <w:sz w:val="16"/>
          <w:szCs w:val="16"/>
        </w:rPr>
        <w:footnoteRef/>
      </w:r>
      <w:r w:rsidRPr="0055193F">
        <w:rPr>
          <w:rFonts w:ascii="Verdana" w:hAnsi="Verdana"/>
          <w:color w:val="77328A"/>
          <w:sz w:val="16"/>
          <w:szCs w:val="16"/>
        </w:rPr>
        <w:t xml:space="preserve"> For example</w:t>
      </w:r>
      <w:r w:rsidRPr="0055193F">
        <w:rPr>
          <w:rFonts w:ascii="Verdana" w:hAnsi="Verdana"/>
          <w:i/>
          <w:color w:val="77328A"/>
          <w:sz w:val="16"/>
          <w:szCs w:val="16"/>
        </w:rPr>
        <w:t xml:space="preserve">, </w:t>
      </w:r>
      <w:proofErr w:type="spellStart"/>
      <w:r w:rsidR="00245E58" w:rsidRPr="0055193F">
        <w:rPr>
          <w:rFonts w:ascii="Verdana" w:hAnsi="Verdana"/>
          <w:i/>
          <w:color w:val="77328A"/>
          <w:sz w:val="16"/>
          <w:szCs w:val="16"/>
        </w:rPr>
        <w:t>Levchuk</w:t>
      </w:r>
      <w:proofErr w:type="spellEnd"/>
      <w:r w:rsidR="00245E58" w:rsidRPr="0055193F">
        <w:rPr>
          <w:rFonts w:ascii="Verdana" w:hAnsi="Verdana"/>
          <w:i/>
          <w:color w:val="77328A"/>
          <w:sz w:val="16"/>
          <w:szCs w:val="16"/>
        </w:rPr>
        <w:t xml:space="preserve"> v. Ukraine</w:t>
      </w:r>
      <w:r w:rsidR="00245E58" w:rsidRPr="0055193F">
        <w:rPr>
          <w:rFonts w:ascii="Verdana" w:hAnsi="Verdana"/>
          <w:color w:val="77328A"/>
          <w:sz w:val="16"/>
          <w:szCs w:val="16"/>
        </w:rPr>
        <w:t>, Application no. 17496/19, 3 September 2020</w:t>
      </w:r>
      <w:r w:rsidRPr="0055193F">
        <w:rPr>
          <w:rFonts w:ascii="Verdana" w:hAnsi="Verdana"/>
          <w:color w:val="77328A"/>
          <w:sz w:val="16"/>
          <w:szCs w:val="16"/>
        </w:rPr>
        <w:t xml:space="preserve">; </w:t>
      </w:r>
      <w:r w:rsidRPr="0055193F">
        <w:rPr>
          <w:rFonts w:ascii="Verdana" w:hAnsi="Verdana"/>
          <w:i/>
          <w:color w:val="77328A"/>
          <w:sz w:val="16"/>
          <w:szCs w:val="16"/>
        </w:rPr>
        <w:t>Bevacqua and S. v. Bulgaria</w:t>
      </w:r>
      <w:r w:rsidR="00245E58" w:rsidRPr="0055193F">
        <w:rPr>
          <w:rFonts w:ascii="Verdana" w:hAnsi="Verdana"/>
          <w:i/>
          <w:color w:val="77328A"/>
          <w:sz w:val="16"/>
          <w:szCs w:val="16"/>
        </w:rPr>
        <w:t xml:space="preserve">, </w:t>
      </w:r>
      <w:r w:rsidR="00245E58" w:rsidRPr="0055193F">
        <w:rPr>
          <w:rFonts w:ascii="Verdana" w:hAnsi="Verdana"/>
          <w:color w:val="77328A"/>
          <w:sz w:val="16"/>
          <w:szCs w:val="16"/>
        </w:rPr>
        <w:t xml:space="preserve">Application no. 71127/01 </w:t>
      </w:r>
      <w:proofErr w:type="gramStart"/>
      <w:r w:rsidR="00245E58" w:rsidRPr="0055193F">
        <w:rPr>
          <w:rFonts w:ascii="Verdana" w:hAnsi="Verdana"/>
          <w:color w:val="77328A"/>
          <w:sz w:val="16"/>
          <w:szCs w:val="16"/>
        </w:rPr>
        <w:t xml:space="preserve">&amp; </w:t>
      </w:r>
      <w:r w:rsidR="00245E58" w:rsidRPr="0055193F">
        <w:rPr>
          <w:rFonts w:ascii="Verdana" w:hAnsi="Verdana"/>
          <w:i/>
          <w:color w:val="77328A"/>
          <w:sz w:val="16"/>
          <w:szCs w:val="16"/>
        </w:rPr>
        <w:t xml:space="preserve"> A.</w:t>
      </w:r>
      <w:proofErr w:type="gramEnd"/>
      <w:r w:rsidR="00245E58" w:rsidRPr="0055193F">
        <w:rPr>
          <w:rFonts w:ascii="Verdana" w:hAnsi="Verdana"/>
          <w:i/>
          <w:color w:val="77328A"/>
          <w:sz w:val="16"/>
          <w:szCs w:val="16"/>
        </w:rPr>
        <w:t xml:space="preserve"> v. Croatia, </w:t>
      </w:r>
      <w:r w:rsidR="00245E58" w:rsidRPr="0055193F">
        <w:rPr>
          <w:rFonts w:ascii="Verdana" w:hAnsi="Verdana"/>
          <w:color w:val="77328A"/>
          <w:sz w:val="16"/>
          <w:szCs w:val="16"/>
        </w:rPr>
        <w:t>Application no. 55164/08,</w:t>
      </w:r>
      <w:r w:rsidR="00245E58" w:rsidRPr="0055193F">
        <w:rPr>
          <w:rFonts w:ascii="Verdana" w:hAnsi="Verdana"/>
          <w:i/>
          <w:color w:val="77328A"/>
          <w:sz w:val="16"/>
          <w:szCs w:val="16"/>
        </w:rPr>
        <w:t xml:space="preserve"> </w:t>
      </w:r>
      <w:r w:rsidR="00245E58" w:rsidRPr="0055193F">
        <w:rPr>
          <w:rFonts w:ascii="Verdana" w:hAnsi="Verdana"/>
          <w:color w:val="77328A"/>
          <w:sz w:val="16"/>
          <w:szCs w:val="16"/>
        </w:rPr>
        <w:t xml:space="preserve">14 January 2011. </w:t>
      </w:r>
    </w:p>
  </w:footnote>
  <w:footnote w:id="15">
    <w:p w14:paraId="193F7FE3" w14:textId="77777777" w:rsidR="007E0719" w:rsidRPr="0055193F" w:rsidRDefault="007E0719" w:rsidP="007E0719">
      <w:pPr>
        <w:pStyle w:val="FootnoteText"/>
        <w:rPr>
          <w:rFonts w:ascii="Verdana" w:hAnsi="Verdana"/>
          <w:color w:val="77328A"/>
          <w:sz w:val="16"/>
          <w:szCs w:val="16"/>
        </w:rPr>
      </w:pPr>
      <w:r w:rsidRPr="0055193F">
        <w:rPr>
          <w:rStyle w:val="FootnoteReference"/>
          <w:rFonts w:ascii="Verdana" w:hAnsi="Verdana"/>
          <w:color w:val="77328A"/>
          <w:sz w:val="16"/>
          <w:szCs w:val="16"/>
        </w:rPr>
        <w:footnoteRef/>
      </w:r>
      <w:r w:rsidRPr="0055193F">
        <w:rPr>
          <w:rFonts w:ascii="Verdana" w:hAnsi="Verdana"/>
          <w:color w:val="77328A"/>
          <w:sz w:val="16"/>
          <w:szCs w:val="16"/>
        </w:rPr>
        <w:t xml:space="preserve"> </w:t>
      </w:r>
      <w:r w:rsidRPr="0055193F">
        <w:rPr>
          <w:rFonts w:ascii="Verdana" w:hAnsi="Verdana"/>
          <w:i/>
          <w:color w:val="77328A"/>
          <w:sz w:val="16"/>
          <w:szCs w:val="16"/>
        </w:rPr>
        <w:t>X and Y v the Netherlands</w:t>
      </w:r>
      <w:r w:rsidR="00245E58" w:rsidRPr="0055193F">
        <w:rPr>
          <w:rFonts w:ascii="Verdana" w:hAnsi="Verdana"/>
          <w:color w:val="77328A"/>
          <w:sz w:val="16"/>
          <w:szCs w:val="16"/>
        </w:rPr>
        <w:t>, A</w:t>
      </w:r>
      <w:r w:rsidRPr="0055193F">
        <w:rPr>
          <w:rFonts w:ascii="Verdana" w:hAnsi="Verdana"/>
          <w:color w:val="77328A"/>
          <w:sz w:val="16"/>
          <w:szCs w:val="16"/>
        </w:rPr>
        <w:t>pplication no</w:t>
      </w:r>
      <w:r w:rsidR="00245E58" w:rsidRPr="0055193F">
        <w:rPr>
          <w:rFonts w:ascii="Verdana" w:hAnsi="Verdana"/>
          <w:color w:val="77328A"/>
          <w:sz w:val="16"/>
          <w:szCs w:val="16"/>
        </w:rPr>
        <w:t>.</w:t>
      </w:r>
      <w:r w:rsidRPr="0055193F">
        <w:rPr>
          <w:rFonts w:ascii="Verdana" w:hAnsi="Verdana"/>
          <w:color w:val="77328A"/>
          <w:sz w:val="16"/>
          <w:szCs w:val="16"/>
        </w:rPr>
        <w:t xml:space="preserve"> 8978/80, 26 March 1985, at para 22. </w:t>
      </w:r>
    </w:p>
  </w:footnote>
  <w:footnote w:id="16">
    <w:p w14:paraId="3419E4E8" w14:textId="77777777" w:rsidR="007E0719" w:rsidRPr="00245E58" w:rsidRDefault="007E0719" w:rsidP="007E0719">
      <w:pPr>
        <w:pStyle w:val="FootnoteText"/>
        <w:rPr>
          <w:rFonts w:ascii="Verdana" w:hAnsi="Verdana"/>
          <w:color w:val="77328A"/>
          <w:sz w:val="16"/>
          <w:szCs w:val="16"/>
        </w:rPr>
      </w:pPr>
      <w:r w:rsidRPr="0055193F">
        <w:rPr>
          <w:rStyle w:val="FootnoteReference"/>
          <w:rFonts w:ascii="Verdana" w:hAnsi="Verdana"/>
          <w:color w:val="77328A"/>
          <w:sz w:val="16"/>
          <w:szCs w:val="16"/>
        </w:rPr>
        <w:footnoteRef/>
      </w:r>
      <w:r w:rsidRPr="0055193F">
        <w:rPr>
          <w:rFonts w:ascii="Verdana" w:hAnsi="Verdana"/>
          <w:color w:val="77328A"/>
          <w:sz w:val="16"/>
          <w:szCs w:val="16"/>
        </w:rPr>
        <w:t xml:space="preserve"> For example, </w:t>
      </w:r>
      <w:proofErr w:type="spellStart"/>
      <w:r w:rsidRPr="0055193F">
        <w:rPr>
          <w:rFonts w:ascii="Verdana" w:hAnsi="Verdana"/>
          <w:i/>
          <w:color w:val="77328A"/>
          <w:sz w:val="16"/>
          <w:szCs w:val="16"/>
        </w:rPr>
        <w:t>Milićević</w:t>
      </w:r>
      <w:proofErr w:type="spellEnd"/>
      <w:r w:rsidRPr="0055193F">
        <w:rPr>
          <w:rFonts w:ascii="Verdana" w:hAnsi="Verdana"/>
          <w:i/>
          <w:color w:val="77328A"/>
          <w:sz w:val="16"/>
          <w:szCs w:val="16"/>
        </w:rPr>
        <w:t xml:space="preserve"> v. Montenegro</w:t>
      </w:r>
      <w:r w:rsidR="00245E58" w:rsidRPr="0055193F">
        <w:rPr>
          <w:rFonts w:ascii="Verdana" w:hAnsi="Verdana"/>
          <w:i/>
          <w:color w:val="77328A"/>
          <w:sz w:val="16"/>
          <w:szCs w:val="16"/>
        </w:rPr>
        <w:t xml:space="preserve">, </w:t>
      </w:r>
      <w:r w:rsidR="00245E58" w:rsidRPr="0055193F">
        <w:rPr>
          <w:rFonts w:ascii="Verdana" w:hAnsi="Verdana"/>
          <w:color w:val="77328A"/>
          <w:sz w:val="16"/>
          <w:szCs w:val="16"/>
        </w:rPr>
        <w:t xml:space="preserve">Application no. 27821/16, 6 November 2018; </w:t>
      </w:r>
      <w:proofErr w:type="spellStart"/>
      <w:r w:rsidR="00245E58" w:rsidRPr="0055193F">
        <w:rPr>
          <w:rFonts w:ascii="Verdana" w:hAnsi="Verdana"/>
          <w:i/>
          <w:color w:val="77328A"/>
          <w:sz w:val="16"/>
          <w:szCs w:val="16"/>
        </w:rPr>
        <w:t>Nitecki</w:t>
      </w:r>
      <w:proofErr w:type="spellEnd"/>
      <w:r w:rsidR="00245E58" w:rsidRPr="0055193F">
        <w:rPr>
          <w:rFonts w:ascii="Verdana" w:hAnsi="Verdana"/>
          <w:i/>
          <w:color w:val="77328A"/>
          <w:sz w:val="16"/>
          <w:szCs w:val="16"/>
        </w:rPr>
        <w:t xml:space="preserve"> v. Poland </w:t>
      </w:r>
      <w:r w:rsidR="00245E58" w:rsidRPr="0055193F">
        <w:rPr>
          <w:rFonts w:ascii="Verdana" w:hAnsi="Verdana"/>
          <w:color w:val="77328A"/>
          <w:sz w:val="16"/>
          <w:szCs w:val="16"/>
        </w:rPr>
        <w:t xml:space="preserve">(2002) </w:t>
      </w:r>
      <w:proofErr w:type="gramStart"/>
      <w:r w:rsidR="00245E58" w:rsidRPr="0055193F">
        <w:rPr>
          <w:rFonts w:ascii="Verdana" w:hAnsi="Verdana"/>
          <w:color w:val="77328A"/>
          <w:sz w:val="16"/>
          <w:szCs w:val="16"/>
        </w:rPr>
        <w:t xml:space="preserve">ECHR  </w:t>
      </w:r>
      <w:proofErr w:type="spellStart"/>
      <w:r w:rsidR="00245E58" w:rsidRPr="0055193F">
        <w:rPr>
          <w:rFonts w:ascii="Verdana" w:hAnsi="Verdana"/>
          <w:color w:val="77328A"/>
          <w:sz w:val="16"/>
          <w:szCs w:val="16"/>
        </w:rPr>
        <w:t>ECHR</w:t>
      </w:r>
      <w:proofErr w:type="spellEnd"/>
      <w:proofErr w:type="gramEnd"/>
      <w:r w:rsidR="00245E58" w:rsidRPr="0055193F">
        <w:rPr>
          <w:rFonts w:ascii="Verdana" w:hAnsi="Verdana"/>
          <w:color w:val="77328A"/>
          <w:sz w:val="16"/>
          <w:szCs w:val="16"/>
        </w:rPr>
        <w:t xml:space="preserve"> 21 &amp;; </w:t>
      </w:r>
      <w:proofErr w:type="spellStart"/>
      <w:r w:rsidRPr="0055193F">
        <w:rPr>
          <w:rFonts w:ascii="Verdana" w:hAnsi="Verdana"/>
          <w:i/>
          <w:color w:val="77328A"/>
          <w:sz w:val="16"/>
          <w:szCs w:val="16"/>
        </w:rPr>
        <w:t>Sentges</w:t>
      </w:r>
      <w:proofErr w:type="spellEnd"/>
      <w:r w:rsidRPr="0055193F">
        <w:rPr>
          <w:rFonts w:ascii="Verdana" w:hAnsi="Verdana"/>
          <w:i/>
          <w:color w:val="77328A"/>
          <w:sz w:val="16"/>
          <w:szCs w:val="16"/>
        </w:rPr>
        <w:t xml:space="preserve"> v. the </w:t>
      </w:r>
      <w:r w:rsidR="00245E58" w:rsidRPr="0055193F">
        <w:rPr>
          <w:rFonts w:ascii="Verdana" w:hAnsi="Verdana"/>
          <w:i/>
          <w:color w:val="77328A"/>
          <w:sz w:val="16"/>
          <w:szCs w:val="16"/>
        </w:rPr>
        <w:t xml:space="preserve">Netherlands, </w:t>
      </w:r>
      <w:r w:rsidR="00245E58" w:rsidRPr="0055193F">
        <w:rPr>
          <w:rFonts w:ascii="Verdana" w:hAnsi="Verdana"/>
          <w:color w:val="77328A"/>
          <w:sz w:val="16"/>
          <w:szCs w:val="16"/>
        </w:rPr>
        <w:t>Application no. 27677/02, 8 July 2003.</w:t>
      </w:r>
    </w:p>
  </w:footnote>
  <w:footnote w:id="17">
    <w:p w14:paraId="606F7005" w14:textId="77777777" w:rsidR="007E0719" w:rsidRPr="00245E58" w:rsidRDefault="007E0719" w:rsidP="007E0719">
      <w:pPr>
        <w:pStyle w:val="FootnoteText"/>
        <w:rPr>
          <w:rFonts w:ascii="Verdana" w:hAnsi="Verdana"/>
          <w:i/>
          <w:color w:val="77328A"/>
          <w:sz w:val="16"/>
          <w:szCs w:val="16"/>
        </w:rPr>
      </w:pPr>
      <w:r w:rsidRPr="00245E58">
        <w:rPr>
          <w:rStyle w:val="FootnoteReference"/>
          <w:rFonts w:ascii="Verdana" w:hAnsi="Verdana"/>
          <w:color w:val="77328A"/>
          <w:sz w:val="16"/>
          <w:szCs w:val="16"/>
        </w:rPr>
        <w:footnoteRef/>
      </w:r>
      <w:r w:rsidRPr="00245E58">
        <w:rPr>
          <w:rFonts w:ascii="Verdana" w:hAnsi="Verdana"/>
          <w:color w:val="77328A"/>
          <w:sz w:val="16"/>
          <w:szCs w:val="16"/>
        </w:rPr>
        <w:t xml:space="preserve"> For example,</w:t>
      </w:r>
      <w:r w:rsidR="00245E58" w:rsidRPr="00245E58">
        <w:rPr>
          <w:color w:val="77328A"/>
        </w:rPr>
        <w:t xml:space="preserve"> </w:t>
      </w:r>
      <w:r w:rsidR="00245E58" w:rsidRPr="00245E58">
        <w:rPr>
          <w:rFonts w:ascii="Verdana" w:hAnsi="Verdana"/>
          <w:i/>
          <w:color w:val="77328A"/>
          <w:sz w:val="16"/>
          <w:szCs w:val="16"/>
        </w:rPr>
        <w:t>Airey v Ireland</w:t>
      </w:r>
      <w:r w:rsidR="00245E58" w:rsidRPr="00245E58">
        <w:rPr>
          <w:rFonts w:ascii="Verdana" w:hAnsi="Verdana"/>
          <w:color w:val="77328A"/>
          <w:sz w:val="16"/>
          <w:szCs w:val="16"/>
        </w:rPr>
        <w:t xml:space="preserve"> (1979) 2 EHRR 305; </w:t>
      </w:r>
      <w:r w:rsidR="00245E58" w:rsidRPr="00245E58">
        <w:rPr>
          <w:rFonts w:ascii="Verdana" w:hAnsi="Verdana"/>
          <w:i/>
          <w:color w:val="77328A"/>
          <w:sz w:val="16"/>
          <w:szCs w:val="16"/>
        </w:rPr>
        <w:t>McGinley and Egan v United Kingdom</w:t>
      </w:r>
      <w:r w:rsidR="00245E58" w:rsidRPr="00245E58">
        <w:rPr>
          <w:rFonts w:ascii="Verdana" w:hAnsi="Verdana"/>
          <w:color w:val="77328A"/>
          <w:sz w:val="16"/>
          <w:szCs w:val="16"/>
        </w:rPr>
        <w:t xml:space="preserve"> (1998) ECHR 51</w:t>
      </w:r>
      <w:r w:rsidRPr="00245E58">
        <w:rPr>
          <w:rFonts w:ascii="Verdana" w:hAnsi="Verdana"/>
          <w:color w:val="77328A"/>
          <w:sz w:val="16"/>
          <w:szCs w:val="16"/>
        </w:rPr>
        <w:t>;</w:t>
      </w:r>
      <w:r w:rsidRPr="00245E58">
        <w:rPr>
          <w:rFonts w:ascii="Verdana" w:hAnsi="Verdana"/>
          <w:i/>
          <w:color w:val="77328A"/>
          <w:sz w:val="16"/>
          <w:szCs w:val="16"/>
        </w:rPr>
        <w:t xml:space="preserve"> </w:t>
      </w:r>
      <w:r w:rsidR="00245E58" w:rsidRPr="00245E58">
        <w:rPr>
          <w:rFonts w:ascii="Verdana" w:hAnsi="Verdana"/>
          <w:i/>
          <w:color w:val="77328A"/>
          <w:sz w:val="16"/>
          <w:szCs w:val="16"/>
        </w:rPr>
        <w:t xml:space="preserve">Roche v The United Kingdom </w:t>
      </w:r>
      <w:r w:rsidR="00245E58" w:rsidRPr="00245E58">
        <w:rPr>
          <w:rFonts w:ascii="Verdana" w:hAnsi="Verdana"/>
          <w:color w:val="77328A"/>
          <w:sz w:val="16"/>
          <w:szCs w:val="16"/>
        </w:rPr>
        <w:t>(2005)</w:t>
      </w:r>
      <w:r w:rsidR="00245E58" w:rsidRPr="00245E58">
        <w:rPr>
          <w:rFonts w:ascii="Verdana" w:hAnsi="Verdana"/>
          <w:i/>
          <w:color w:val="77328A"/>
          <w:sz w:val="16"/>
          <w:szCs w:val="16"/>
        </w:rPr>
        <w:t xml:space="preserve"> </w:t>
      </w:r>
      <w:r w:rsidR="00245E58" w:rsidRPr="00245E58">
        <w:rPr>
          <w:rFonts w:ascii="Verdana" w:hAnsi="Verdana"/>
          <w:color w:val="77328A"/>
          <w:sz w:val="16"/>
          <w:szCs w:val="16"/>
        </w:rPr>
        <w:t>ECHR 19.</w:t>
      </w:r>
    </w:p>
  </w:footnote>
  <w:footnote w:id="18">
    <w:p w14:paraId="2E29648E" w14:textId="77777777" w:rsidR="007E0719" w:rsidRPr="00245E58" w:rsidRDefault="007E0719" w:rsidP="00245E58">
      <w:pPr>
        <w:pStyle w:val="FootnoteText"/>
        <w:rPr>
          <w:rFonts w:ascii="Verdana" w:hAnsi="Verdana"/>
          <w:color w:val="77328A"/>
          <w:sz w:val="16"/>
          <w:szCs w:val="16"/>
        </w:rPr>
      </w:pPr>
      <w:r w:rsidRPr="00245E58">
        <w:rPr>
          <w:rStyle w:val="FootnoteReference"/>
          <w:rFonts w:ascii="Verdana" w:hAnsi="Verdana"/>
          <w:color w:val="77328A"/>
          <w:sz w:val="16"/>
          <w:szCs w:val="16"/>
        </w:rPr>
        <w:footnoteRef/>
      </w:r>
      <w:r w:rsidRPr="00245E58">
        <w:rPr>
          <w:rFonts w:ascii="Verdana" w:hAnsi="Verdana"/>
          <w:color w:val="77328A"/>
          <w:sz w:val="16"/>
          <w:szCs w:val="16"/>
        </w:rPr>
        <w:t xml:space="preserve"> </w:t>
      </w:r>
      <w:r w:rsidR="00245E58" w:rsidRPr="00245E58">
        <w:rPr>
          <w:rFonts w:ascii="Verdana" w:hAnsi="Verdana"/>
          <w:color w:val="77328A"/>
          <w:sz w:val="16"/>
          <w:szCs w:val="16"/>
        </w:rPr>
        <w:t>For example,</w:t>
      </w:r>
      <w:r w:rsidR="00245E58" w:rsidRPr="00245E58">
        <w:rPr>
          <w:color w:val="77328A"/>
        </w:rPr>
        <w:t xml:space="preserve"> </w:t>
      </w:r>
      <w:r w:rsidR="00245E58" w:rsidRPr="00245E58">
        <w:rPr>
          <w:rFonts w:ascii="Verdana" w:hAnsi="Verdana"/>
          <w:i/>
          <w:color w:val="77328A"/>
          <w:sz w:val="16"/>
          <w:szCs w:val="16"/>
        </w:rPr>
        <w:t>Sandra Jankovic v. Croatia,</w:t>
      </w:r>
      <w:r w:rsidR="00245E58" w:rsidRPr="00245E58">
        <w:rPr>
          <w:rFonts w:ascii="Verdana" w:hAnsi="Verdana"/>
          <w:color w:val="77328A"/>
          <w:sz w:val="16"/>
          <w:szCs w:val="16"/>
        </w:rPr>
        <w:t xml:space="preserve"> Application no. 38478/05, 14 September 2009. </w:t>
      </w:r>
    </w:p>
  </w:footnote>
  <w:footnote w:id="19">
    <w:p w14:paraId="05037547" w14:textId="77777777" w:rsidR="007E0719" w:rsidRPr="00245E58" w:rsidRDefault="007E0719" w:rsidP="00245E58">
      <w:pPr>
        <w:pStyle w:val="FootnoteText"/>
        <w:rPr>
          <w:rFonts w:ascii="Verdana" w:hAnsi="Verdana"/>
          <w:color w:val="77328A"/>
          <w:sz w:val="16"/>
          <w:szCs w:val="16"/>
        </w:rPr>
      </w:pPr>
      <w:r w:rsidRPr="00245E58">
        <w:rPr>
          <w:rStyle w:val="FootnoteReference"/>
          <w:rFonts w:ascii="Verdana" w:hAnsi="Verdana"/>
          <w:color w:val="77328A"/>
          <w:sz w:val="16"/>
          <w:szCs w:val="16"/>
        </w:rPr>
        <w:footnoteRef/>
      </w:r>
      <w:r w:rsidRPr="00245E58">
        <w:rPr>
          <w:rFonts w:ascii="Verdana" w:hAnsi="Verdana"/>
          <w:color w:val="77328A"/>
          <w:sz w:val="16"/>
          <w:szCs w:val="16"/>
        </w:rPr>
        <w:t xml:space="preserve"> </w:t>
      </w:r>
      <w:r w:rsidR="00245E58" w:rsidRPr="00245E58">
        <w:rPr>
          <w:rFonts w:ascii="Verdana" w:hAnsi="Verdana"/>
          <w:color w:val="77328A"/>
          <w:sz w:val="16"/>
          <w:szCs w:val="16"/>
        </w:rPr>
        <w:t xml:space="preserve">For example, E. S. and Others v. Slovakia, Application no. 8227/04, 15 December 2009. </w:t>
      </w:r>
    </w:p>
  </w:footnote>
  <w:footnote w:id="20">
    <w:p w14:paraId="70B6E887" w14:textId="77777777" w:rsidR="007E0719" w:rsidRPr="00245E58" w:rsidRDefault="007E0719" w:rsidP="007E0719">
      <w:pPr>
        <w:pStyle w:val="FootnoteText"/>
        <w:rPr>
          <w:rFonts w:ascii="Verdana" w:hAnsi="Verdana"/>
          <w:color w:val="77328A"/>
          <w:sz w:val="16"/>
          <w:szCs w:val="16"/>
        </w:rPr>
      </w:pPr>
      <w:r w:rsidRPr="00245E58">
        <w:rPr>
          <w:rStyle w:val="FootnoteReference"/>
          <w:rFonts w:ascii="Verdana" w:hAnsi="Verdana"/>
          <w:color w:val="77328A"/>
          <w:sz w:val="16"/>
          <w:szCs w:val="16"/>
        </w:rPr>
        <w:footnoteRef/>
      </w:r>
      <w:r w:rsidRPr="00245E58">
        <w:rPr>
          <w:rFonts w:ascii="Verdana" w:hAnsi="Verdana"/>
          <w:color w:val="77328A"/>
          <w:sz w:val="16"/>
          <w:szCs w:val="16"/>
        </w:rPr>
        <w:t xml:space="preserve"> </w:t>
      </w:r>
      <w:r w:rsidR="00245E58" w:rsidRPr="00245E58">
        <w:rPr>
          <w:rFonts w:ascii="Verdana" w:hAnsi="Verdana"/>
          <w:color w:val="77328A"/>
          <w:sz w:val="16"/>
          <w:szCs w:val="16"/>
        </w:rPr>
        <w:t xml:space="preserve"> CAT/C/GBR/CO/6, ‘UN CAT Committee Concluding Observations on the Sixth Periodic Report of the UK of Great Britain and NI’, 7 June 2019, at para 56; CEDAW/C/GBR/CO/8, ‘UN CEDAW Committee Concluding Observations on the Eighth Periodic Report of the UK of Great Britain and NI’, 14 March 2019, at para 29.</w:t>
      </w:r>
    </w:p>
  </w:footnote>
  <w:footnote w:id="21">
    <w:p w14:paraId="340364AD" w14:textId="77777777" w:rsidR="007E0719" w:rsidRDefault="007E0719" w:rsidP="00245E58">
      <w:pPr>
        <w:pStyle w:val="FootnoteText"/>
      </w:pPr>
      <w:r w:rsidRPr="00245E58">
        <w:rPr>
          <w:rStyle w:val="FootnoteReference"/>
          <w:rFonts w:ascii="Verdana" w:hAnsi="Verdana"/>
          <w:color w:val="77328A"/>
          <w:sz w:val="16"/>
          <w:szCs w:val="16"/>
        </w:rPr>
        <w:footnoteRef/>
      </w:r>
      <w:r w:rsidRPr="00245E58">
        <w:rPr>
          <w:rFonts w:ascii="Verdana" w:hAnsi="Verdana"/>
          <w:color w:val="77328A"/>
          <w:sz w:val="16"/>
          <w:szCs w:val="16"/>
        </w:rPr>
        <w:t xml:space="preserve"> </w:t>
      </w:r>
      <w:r w:rsidR="00245E58" w:rsidRPr="00245E58">
        <w:rPr>
          <w:rFonts w:ascii="Verdana" w:hAnsi="Verdana"/>
          <w:color w:val="77328A"/>
          <w:sz w:val="16"/>
          <w:szCs w:val="16"/>
        </w:rPr>
        <w:t xml:space="preserve">For example, </w:t>
      </w:r>
      <w:proofErr w:type="spellStart"/>
      <w:r w:rsidR="00245E58" w:rsidRPr="00245E58">
        <w:rPr>
          <w:rFonts w:ascii="Verdana" w:hAnsi="Verdana"/>
          <w:i/>
          <w:color w:val="77328A"/>
          <w:sz w:val="16"/>
          <w:szCs w:val="16"/>
        </w:rPr>
        <w:t>Opuz</w:t>
      </w:r>
      <w:proofErr w:type="spellEnd"/>
      <w:r w:rsidR="00245E58" w:rsidRPr="00245E58">
        <w:rPr>
          <w:rFonts w:ascii="Verdana" w:hAnsi="Verdana"/>
          <w:i/>
          <w:color w:val="77328A"/>
          <w:sz w:val="16"/>
          <w:szCs w:val="16"/>
        </w:rPr>
        <w:t xml:space="preserve"> v. Turkey</w:t>
      </w:r>
      <w:r w:rsidR="00245E58" w:rsidRPr="00245E58">
        <w:rPr>
          <w:rFonts w:ascii="Verdana" w:hAnsi="Verdana"/>
          <w:color w:val="77328A"/>
          <w:sz w:val="16"/>
          <w:szCs w:val="16"/>
        </w:rPr>
        <w:t>, Application no. 33401/02, 9 September 2009</w:t>
      </w:r>
      <w:r w:rsidR="00245E58" w:rsidRPr="00245E58">
        <w:rPr>
          <w:rFonts w:ascii="Verdana" w:hAnsi="Verdana"/>
          <w:sz w:val="16"/>
          <w:szCs w:val="16"/>
        </w:rPr>
        <w:t>.</w:t>
      </w:r>
      <w:r w:rsidR="00245E58">
        <w:t xml:space="preserve"> </w:t>
      </w:r>
    </w:p>
  </w:footnote>
  <w:footnote w:id="22">
    <w:p w14:paraId="013A0E67" w14:textId="77777777" w:rsidR="007E0719" w:rsidRPr="001F1D2B" w:rsidRDefault="007E0719" w:rsidP="007E0719">
      <w:pPr>
        <w:pStyle w:val="FootnoteText"/>
        <w:rPr>
          <w:rFonts w:ascii="Verdana" w:hAnsi="Verdana"/>
          <w:color w:val="77328A"/>
          <w:sz w:val="16"/>
          <w:szCs w:val="16"/>
        </w:rPr>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w:t>
      </w:r>
      <w:hyperlink w:history="1"/>
      <w:r>
        <w:rPr>
          <w:rFonts w:ascii="Verdana" w:hAnsi="Verdana"/>
          <w:color w:val="77328A"/>
          <w:sz w:val="16"/>
          <w:szCs w:val="16"/>
        </w:rPr>
        <w:t xml:space="preserve"> </w:t>
      </w:r>
      <w:r w:rsidRPr="001F1D2B">
        <w:rPr>
          <w:rFonts w:ascii="Verdana" w:hAnsi="Verdana"/>
          <w:color w:val="77328A"/>
          <w:sz w:val="16"/>
          <w:szCs w:val="16"/>
        </w:rPr>
        <w:t>CAT/C/GBR/CO/6, ‘UN CAT Committee Concluding Observations on the Sixth Periodic Report of the UK of Great Britain and NI’, 7 June 2019, at para 56; CEDAW/C/GBR/CO/8, ‘UN CEDAW Committee Concluding Observations on the Eighth Periodic Report of the UK of Great Britain and NI’, 14 March 2019, at para 29.</w:t>
      </w:r>
    </w:p>
  </w:footnote>
  <w:footnote w:id="23">
    <w:p w14:paraId="2B4738D2" w14:textId="77777777" w:rsidR="007E0719" w:rsidRPr="001F1D2B" w:rsidRDefault="007E0719" w:rsidP="007E0719">
      <w:pPr>
        <w:pStyle w:val="FootnoteText"/>
        <w:rPr>
          <w:rFonts w:ascii="Verdana" w:hAnsi="Verdana"/>
          <w:color w:val="77328A"/>
          <w:sz w:val="16"/>
          <w:szCs w:val="16"/>
        </w:rPr>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w:t>
      </w:r>
      <w:r>
        <w:rPr>
          <w:rFonts w:ascii="Verdana" w:hAnsi="Verdana"/>
          <w:color w:val="77328A"/>
          <w:sz w:val="16"/>
          <w:szCs w:val="16"/>
        </w:rPr>
        <w:t xml:space="preserve"> Ibid.</w:t>
      </w:r>
    </w:p>
  </w:footnote>
  <w:footnote w:id="24">
    <w:p w14:paraId="665B9AFE" w14:textId="77777777" w:rsidR="007E0719" w:rsidRPr="001F1D2B" w:rsidRDefault="007E0719" w:rsidP="007E0719">
      <w:pPr>
        <w:pStyle w:val="FootnoteText"/>
        <w:rPr>
          <w:rFonts w:ascii="Verdana" w:hAnsi="Verdana"/>
          <w:color w:val="77328A"/>
          <w:sz w:val="16"/>
          <w:szCs w:val="16"/>
        </w:rPr>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CAT/C/GBR/CO/6, ‘UN CAT Committee Concluding Observations on the Sixth Periodic Report of the UK of Great Britain and NI’, 7 June 2019, at para 56</w:t>
      </w:r>
      <w:r>
        <w:rPr>
          <w:rFonts w:ascii="Verdana" w:hAnsi="Verdana"/>
          <w:color w:val="77328A"/>
          <w:sz w:val="16"/>
          <w:szCs w:val="16"/>
        </w:rPr>
        <w:t>.</w:t>
      </w:r>
    </w:p>
  </w:footnote>
  <w:footnote w:id="25">
    <w:p w14:paraId="6355EB49" w14:textId="77777777" w:rsidR="007E0719" w:rsidRPr="001F1D2B" w:rsidRDefault="007E0719" w:rsidP="007E0719">
      <w:pPr>
        <w:pStyle w:val="FootnoteText"/>
        <w:rPr>
          <w:rFonts w:ascii="Verdana" w:hAnsi="Verdana"/>
          <w:color w:val="77328A"/>
          <w:sz w:val="16"/>
          <w:szCs w:val="16"/>
        </w:rPr>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CAT/C/GBR/CO/6, ‘UN CAT Committee Concluding Observations on the Sixth Periodic Report of the UK of Great Britain and NI’, 7 June 2019, at para 57.</w:t>
      </w:r>
    </w:p>
  </w:footnote>
  <w:footnote w:id="26">
    <w:p w14:paraId="72302BFA" w14:textId="77777777" w:rsidR="007E0719" w:rsidRPr="009C2D5F" w:rsidRDefault="007E0719" w:rsidP="007E0719">
      <w:pPr>
        <w:pStyle w:val="FootnoteText"/>
        <w:rPr>
          <w:rFonts w:ascii="Verdana" w:hAnsi="Verdana"/>
          <w:color w:val="7030A0"/>
          <w:sz w:val="16"/>
          <w:szCs w:val="16"/>
        </w:rPr>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CAT/C/GBR/CO/6, ‘UN CAT Committee Concluding Observations on the Sixth Periodic Report of the UK of Great Britain and NI’, 7 June 2019, at para 57.</w:t>
      </w:r>
    </w:p>
  </w:footnote>
  <w:footnote w:id="27">
    <w:p w14:paraId="3D141B91" w14:textId="77777777" w:rsidR="007E0719" w:rsidRPr="00834510" w:rsidRDefault="007E0719" w:rsidP="007E0719">
      <w:pPr>
        <w:pStyle w:val="FootnoteText"/>
        <w:rPr>
          <w:rFonts w:ascii="Verdana" w:hAnsi="Verdana"/>
          <w:color w:val="77328A"/>
          <w:sz w:val="16"/>
          <w:szCs w:val="16"/>
        </w:rPr>
      </w:pPr>
      <w:r w:rsidRPr="00834510">
        <w:rPr>
          <w:rStyle w:val="FootnoteReference"/>
          <w:rFonts w:ascii="Verdana" w:hAnsi="Verdana" w:cs="Arial"/>
          <w:color w:val="77328A"/>
          <w:sz w:val="16"/>
          <w:szCs w:val="16"/>
        </w:rPr>
        <w:footnoteRef/>
      </w:r>
      <w:r w:rsidRPr="00834510">
        <w:rPr>
          <w:rFonts w:ascii="Verdana" w:hAnsi="Verdana"/>
          <w:color w:val="77328A"/>
          <w:sz w:val="16"/>
          <w:szCs w:val="16"/>
        </w:rPr>
        <w:t xml:space="preserve"> CEDAW/C/GBR/CO/8, ‘UN CEDAW Committee Concluding Observations on the Eighth Periodic Report of the UK of Great Britain and NI’, 14 March 2019, at para 29. </w:t>
      </w:r>
    </w:p>
  </w:footnote>
  <w:footnote w:id="28">
    <w:p w14:paraId="47726C5B" w14:textId="77777777" w:rsidR="007E0719" w:rsidRPr="00834510" w:rsidRDefault="007E0719" w:rsidP="007E0719">
      <w:pPr>
        <w:pStyle w:val="FootnoteText"/>
        <w:rPr>
          <w:rFonts w:ascii="Verdana" w:hAnsi="Verdana"/>
          <w:color w:val="77328A"/>
          <w:sz w:val="16"/>
          <w:szCs w:val="16"/>
        </w:rPr>
      </w:pPr>
      <w:r w:rsidRPr="00834510">
        <w:rPr>
          <w:rStyle w:val="FootnoteReference"/>
          <w:rFonts w:ascii="Verdana" w:hAnsi="Verdana"/>
          <w:color w:val="77328A"/>
          <w:sz w:val="16"/>
          <w:szCs w:val="16"/>
        </w:rPr>
        <w:footnoteRef/>
      </w:r>
      <w:r w:rsidRPr="00834510">
        <w:rPr>
          <w:rFonts w:ascii="Verdana" w:hAnsi="Verdana"/>
          <w:color w:val="77328A"/>
          <w:sz w:val="16"/>
          <w:szCs w:val="16"/>
        </w:rPr>
        <w:t xml:space="preserve"> CEDAW/C/GC/35, ‘Committee on the Elimination of Discrimination against Women General recommendation No. 35 on gender-based violence against women, updating general recommendation No. 19’, 14 July 2017. </w:t>
      </w:r>
    </w:p>
  </w:footnote>
  <w:footnote w:id="29">
    <w:p w14:paraId="0BB3C15E" w14:textId="77777777" w:rsidR="00A03BD5" w:rsidRDefault="00A03BD5" w:rsidP="00A03BD5">
      <w:pPr>
        <w:pStyle w:val="FootnoteText"/>
      </w:pPr>
      <w:r w:rsidRPr="00834510">
        <w:rPr>
          <w:rStyle w:val="FootnoteReference"/>
          <w:rFonts w:ascii="Verdana" w:hAnsi="Verdana"/>
          <w:color w:val="77328A"/>
          <w:sz w:val="16"/>
          <w:szCs w:val="16"/>
        </w:rPr>
        <w:footnoteRef/>
      </w:r>
      <w:r w:rsidRPr="00834510">
        <w:rPr>
          <w:rFonts w:ascii="Verdana" w:hAnsi="Verdana"/>
          <w:color w:val="77328A"/>
          <w:sz w:val="16"/>
          <w:szCs w:val="16"/>
        </w:rPr>
        <w:t xml:space="preserve"> </w:t>
      </w:r>
      <w:r w:rsidRPr="00834510">
        <w:rPr>
          <w:rFonts w:ascii="Verdana" w:eastAsia="Verdana" w:hAnsi="Verdana" w:cs="Verdana"/>
          <w:color w:val="77328A"/>
          <w:sz w:val="16"/>
          <w:szCs w:val="16"/>
        </w:rPr>
        <w:t xml:space="preserve">Preventing and Combating Violence against Women and Domestic Violence (Ratification of Convention) Act 2017; </w:t>
      </w:r>
      <w:r w:rsidRPr="00834510">
        <w:rPr>
          <w:rFonts w:ascii="Verdana" w:hAnsi="Verdana"/>
          <w:color w:val="77328A"/>
          <w:sz w:val="16"/>
          <w:szCs w:val="16"/>
        </w:rPr>
        <w:t xml:space="preserve">Home Office, ‘Ratification of the </w:t>
      </w:r>
      <w:proofErr w:type="spellStart"/>
      <w:r w:rsidRPr="00834510">
        <w:rPr>
          <w:rFonts w:ascii="Verdana" w:hAnsi="Verdana"/>
          <w:color w:val="77328A"/>
          <w:sz w:val="16"/>
          <w:szCs w:val="16"/>
        </w:rPr>
        <w:t>CoE</w:t>
      </w:r>
      <w:proofErr w:type="spellEnd"/>
      <w:r w:rsidRPr="00834510">
        <w:rPr>
          <w:rFonts w:ascii="Verdana" w:hAnsi="Verdana"/>
          <w:color w:val="77328A"/>
          <w:sz w:val="16"/>
          <w:szCs w:val="16"/>
        </w:rPr>
        <w:t xml:space="preserve"> Convention on Combating Violence against Women and Girls and Domestic Violence (Istanbul Convention) – 2020 Report on Progress’ (HO, 2020), at Annex A.</w:t>
      </w:r>
    </w:p>
  </w:footnote>
  <w:footnote w:id="30">
    <w:p w14:paraId="0A0DF29E" w14:textId="77777777" w:rsidR="007E0719" w:rsidRPr="001F1D2B" w:rsidRDefault="007E0719" w:rsidP="007E0719">
      <w:pPr>
        <w:pStyle w:val="FootnoteText"/>
        <w:rPr>
          <w:color w:val="77328A"/>
        </w:rPr>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UK Government, ‘UK Government commitment to no-diminution of rights, safeguards and equality of opportunity in Northern Ireland’, (NIO, 2020), at 13.</w:t>
      </w:r>
    </w:p>
  </w:footnote>
  <w:footnote w:id="31">
    <w:p w14:paraId="5421451B" w14:textId="77777777" w:rsidR="007E0719" w:rsidRPr="001F1D2B" w:rsidRDefault="007E0719" w:rsidP="007E0719">
      <w:pPr>
        <w:pStyle w:val="FootnoteText"/>
        <w:rPr>
          <w:color w:val="77328A"/>
        </w:rPr>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UK Government, ‘UK Government commitment to no-diminution of rights, safeguards and equality of opportunity in Northern Ireland’, (NIO, 2020), at para 13.</w:t>
      </w:r>
    </w:p>
  </w:footnote>
  <w:footnote w:id="32">
    <w:p w14:paraId="1B64EF02" w14:textId="77777777" w:rsidR="007E0719" w:rsidRPr="001F1D2B" w:rsidRDefault="007E0719" w:rsidP="007E0719">
      <w:pPr>
        <w:pStyle w:val="FootnoteText"/>
        <w:rPr>
          <w:color w:val="77328A"/>
        </w:rPr>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Belfast (Good Friday) Agreement, 10 April 1998, Part 6 on Rights, Safeguards and Equality of Opportunity.</w:t>
      </w:r>
    </w:p>
  </w:footnote>
  <w:footnote w:id="33">
    <w:p w14:paraId="0A31DD2C" w14:textId="77777777" w:rsidR="007E0719" w:rsidRPr="001F1D2B" w:rsidRDefault="007E0719" w:rsidP="007E0719">
      <w:pPr>
        <w:pStyle w:val="FootnoteText"/>
        <w:rPr>
          <w:color w:val="77328A"/>
        </w:rPr>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Directive 2012/29/EU, ‘Directive of the European Parliament and of the Council establishing minimum standards on the rights, support and protection of victims of crime’, 25 October 2012.</w:t>
      </w:r>
    </w:p>
  </w:footnote>
  <w:footnote w:id="34">
    <w:p w14:paraId="35FE925D" w14:textId="77777777" w:rsidR="007E0719" w:rsidRPr="001F1D2B" w:rsidRDefault="007E0719" w:rsidP="007E0719">
      <w:pPr>
        <w:pStyle w:val="FootnoteText"/>
        <w:rPr>
          <w:color w:val="77328A"/>
        </w:rPr>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Directive 2012/29/EU, ‘Directive of the European Parliament and of the Council establishing minimum standards on the rights, support and protection of victims of crime’, 25 October 2012.</w:t>
      </w:r>
    </w:p>
  </w:footnote>
  <w:footnote w:id="35">
    <w:p w14:paraId="0241C82A" w14:textId="77777777" w:rsidR="007E0719" w:rsidRPr="001F1D2B" w:rsidRDefault="007E0719" w:rsidP="007E0719">
      <w:pPr>
        <w:pStyle w:val="FootnoteText"/>
        <w:rPr>
          <w:color w:val="77328A"/>
        </w:rPr>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Recital 18, Directive 2012/29/EU, ‘Directive of the European Parliament and of the Council establishing minimum standards on the rights, support and protection of victims of crime’, 25 October 2012.</w:t>
      </w:r>
    </w:p>
  </w:footnote>
  <w:footnote w:id="36">
    <w:p w14:paraId="30A8A696" w14:textId="77777777" w:rsidR="007E0719" w:rsidRPr="001F1D2B" w:rsidRDefault="007E0719" w:rsidP="007E0719">
      <w:pPr>
        <w:pStyle w:val="FootnoteText"/>
        <w:rPr>
          <w:color w:val="77328A"/>
        </w:rPr>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Ibid.</w:t>
      </w:r>
    </w:p>
  </w:footnote>
  <w:footnote w:id="37">
    <w:p w14:paraId="510B8C3B" w14:textId="77777777" w:rsidR="007E0719" w:rsidRPr="001F1D2B" w:rsidRDefault="007E0719" w:rsidP="007E0719">
      <w:pPr>
        <w:pStyle w:val="FootnoteText"/>
        <w:rPr>
          <w:color w:val="77328A"/>
        </w:rPr>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Recital 18, Directive 2012/29/EU, ‘Directive of the European Parliament and of the Council establishing minimum standards on the rights, support and protection of victims of crime’, 25 October 2012.</w:t>
      </w:r>
    </w:p>
  </w:footnote>
  <w:footnote w:id="38">
    <w:p w14:paraId="430F85B4" w14:textId="77777777" w:rsidR="007E0719" w:rsidRDefault="007E0719" w:rsidP="007E0719">
      <w:pPr>
        <w:pStyle w:val="FootnoteText"/>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Ibid. See also; Recital 57, Directive 2012/29/EU, ‘Directive of the European Parliament and of the Council establishing minimum standards on the rights, support and protection of victims of crime’, 25 October 2012.</w:t>
      </w:r>
    </w:p>
  </w:footnote>
  <w:footnote w:id="39">
    <w:p w14:paraId="4589352A" w14:textId="77777777" w:rsidR="007E0719" w:rsidRPr="001F1D2B" w:rsidRDefault="007E0719" w:rsidP="007E0719">
      <w:pPr>
        <w:pStyle w:val="FootnoteText"/>
        <w:rPr>
          <w:color w:val="77328A"/>
        </w:rPr>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Recital 61, Directive 2012/29/EU, ‘Directive of the European Parliament and of the Council establishing minimum standards on the rights, support and protection of victims of crime’, 25 October 2012.</w:t>
      </w:r>
    </w:p>
  </w:footnote>
  <w:footnote w:id="40">
    <w:p w14:paraId="3BC95FE1" w14:textId="77777777" w:rsidR="007E0719" w:rsidRPr="001F1D2B" w:rsidRDefault="007E0719" w:rsidP="007E0719">
      <w:pPr>
        <w:pStyle w:val="FootnoteText"/>
        <w:rPr>
          <w:color w:val="77328A"/>
        </w:rPr>
      </w:pPr>
      <w:r w:rsidRPr="001F1D2B">
        <w:rPr>
          <w:rStyle w:val="FootnoteReference"/>
          <w:rFonts w:ascii="Verdana" w:hAnsi="Verdana" w:cs="Cambria"/>
          <w:color w:val="77328A"/>
          <w:sz w:val="16"/>
          <w:szCs w:val="16"/>
        </w:rPr>
        <w:footnoteRef/>
      </w:r>
      <w:r w:rsidRPr="001F1D2B">
        <w:rPr>
          <w:rFonts w:ascii="Verdana" w:hAnsi="Verdana" w:cs="Cambria"/>
          <w:color w:val="77328A"/>
          <w:sz w:val="16"/>
          <w:szCs w:val="16"/>
        </w:rPr>
        <w:t xml:space="preserve"> Article 9, Directive 2012/29/EU, ‘Directive of the European Parliament and of the Council establishing minimum standards on the rights, support and protection of victims of crime’, 25 October 2012.</w:t>
      </w:r>
    </w:p>
  </w:footnote>
  <w:footnote w:id="41">
    <w:p w14:paraId="3770097D" w14:textId="77777777" w:rsidR="007E0719" w:rsidRPr="001F1D2B" w:rsidRDefault="007E0719" w:rsidP="007E0719">
      <w:pPr>
        <w:pStyle w:val="FootnoteText"/>
        <w:rPr>
          <w:color w:val="77328A"/>
        </w:rPr>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Article 22, Directive 2012/29/EU, ‘Directive of the European Parliament and of the Council establishing minimum standards on the rights, support and protection of victims of crime’, 25 October 2012.</w:t>
      </w:r>
    </w:p>
  </w:footnote>
  <w:footnote w:id="42">
    <w:p w14:paraId="6028D693" w14:textId="77777777" w:rsidR="007E0719" w:rsidRDefault="007E0719" w:rsidP="007E0719">
      <w:pPr>
        <w:pStyle w:val="FootnoteText"/>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Article 23, Directive 2012/29/EU, ‘Directive of the European Parliament and of the Council establishing minimum standards on the rights, support and protection of victims of crime’, 25 October 2012.</w:t>
      </w:r>
    </w:p>
  </w:footnote>
  <w:footnote w:id="43">
    <w:p w14:paraId="19BCC143" w14:textId="77777777" w:rsidR="007E0719" w:rsidRPr="005376DF" w:rsidRDefault="007E0719" w:rsidP="007E0719">
      <w:pPr>
        <w:pStyle w:val="FootnoteText"/>
        <w:rPr>
          <w:rFonts w:ascii="Verdana" w:hAnsi="Verdana"/>
          <w:sz w:val="16"/>
          <w:szCs w:val="16"/>
        </w:rPr>
      </w:pPr>
      <w:r w:rsidRPr="00245E58">
        <w:rPr>
          <w:rStyle w:val="FootnoteReference"/>
          <w:rFonts w:ascii="Verdana" w:hAnsi="Verdana"/>
          <w:color w:val="77328A"/>
          <w:sz w:val="16"/>
          <w:szCs w:val="16"/>
        </w:rPr>
        <w:footnoteRef/>
      </w:r>
      <w:r w:rsidRPr="00245E58">
        <w:rPr>
          <w:rFonts w:ascii="Verdana" w:hAnsi="Verdana"/>
          <w:color w:val="77328A"/>
          <w:sz w:val="16"/>
          <w:szCs w:val="16"/>
        </w:rPr>
        <w:t xml:space="preserve"> ENNHRI, ‘Human Rights Based Approach’. Available at: </w:t>
      </w:r>
      <w:hyperlink r:id="rId1" w:history="1">
        <w:r w:rsidRPr="005376DF">
          <w:rPr>
            <w:rStyle w:val="Hyperlink"/>
            <w:rFonts w:ascii="Verdana" w:hAnsi="Verdana"/>
            <w:sz w:val="16"/>
            <w:szCs w:val="16"/>
          </w:rPr>
          <w:t>https://ennhri.org/about-nhris/human-rights-based-approach/</w:t>
        </w:r>
      </w:hyperlink>
      <w:r w:rsidRPr="005376DF">
        <w:rPr>
          <w:rFonts w:ascii="Verdana" w:hAnsi="Verdana"/>
          <w:sz w:val="16"/>
          <w:szCs w:val="16"/>
        </w:rPr>
        <w:t xml:space="preserve"> </w:t>
      </w:r>
    </w:p>
  </w:footnote>
  <w:footnote w:id="44">
    <w:p w14:paraId="794EE47A" w14:textId="77777777" w:rsidR="007E0719" w:rsidRPr="00834510" w:rsidRDefault="007E0719" w:rsidP="007E0719">
      <w:pPr>
        <w:pStyle w:val="FootnoteText"/>
        <w:rPr>
          <w:rFonts w:ascii="Verdana" w:hAnsi="Verdana"/>
          <w:color w:val="77328A"/>
          <w:sz w:val="16"/>
          <w:szCs w:val="16"/>
        </w:rPr>
      </w:pPr>
      <w:r w:rsidRPr="00834510">
        <w:rPr>
          <w:rStyle w:val="FootnoteReference"/>
          <w:rFonts w:ascii="Verdana" w:hAnsi="Verdana"/>
          <w:color w:val="77328A"/>
          <w:sz w:val="16"/>
          <w:szCs w:val="16"/>
        </w:rPr>
        <w:footnoteRef/>
      </w:r>
      <w:r w:rsidRPr="00834510">
        <w:rPr>
          <w:rFonts w:ascii="Verdana" w:hAnsi="Verdana"/>
          <w:color w:val="77328A"/>
          <w:sz w:val="16"/>
          <w:szCs w:val="16"/>
        </w:rPr>
        <w:t xml:space="preserve"> CEDAW/C/GBR/CO/8, ‘UN CEDAW Committee Concluding Observations on the Eighth Periodic Report of the UK of Great Britain and NI’, 14 March 2019, at para 29.</w:t>
      </w:r>
    </w:p>
  </w:footnote>
  <w:footnote w:id="45">
    <w:p w14:paraId="62A024EA" w14:textId="77777777" w:rsidR="00BC149D" w:rsidRPr="00BC149D" w:rsidRDefault="00BC149D">
      <w:pPr>
        <w:pStyle w:val="FootnoteText"/>
        <w:rPr>
          <w:rFonts w:ascii="Verdana" w:hAnsi="Verdana"/>
          <w:sz w:val="16"/>
          <w:szCs w:val="16"/>
        </w:rPr>
      </w:pPr>
      <w:r w:rsidRPr="00BC149D">
        <w:rPr>
          <w:rStyle w:val="FootnoteReference"/>
          <w:rFonts w:ascii="Verdana" w:hAnsi="Verdana"/>
          <w:sz w:val="16"/>
          <w:szCs w:val="16"/>
        </w:rPr>
        <w:footnoteRef/>
      </w:r>
      <w:r w:rsidRPr="00BC149D">
        <w:rPr>
          <w:rFonts w:ascii="Verdana" w:hAnsi="Verdana"/>
          <w:sz w:val="16"/>
          <w:szCs w:val="16"/>
        </w:rPr>
        <w:t xml:space="preserve"> Recitals 17 and 18</w:t>
      </w:r>
      <w:r w:rsidRPr="00BC149D">
        <w:rPr>
          <w:rFonts w:ascii="Verdana" w:hAnsi="Verdana"/>
          <w:color w:val="77328A"/>
          <w:sz w:val="16"/>
          <w:szCs w:val="16"/>
        </w:rPr>
        <w:t>, Directive 2012/29/EU, ‘Directive of the European Parliament and of the Council establishing minimum standards on the rights, support and protection of victims of crime’, 25 October 2012.</w:t>
      </w:r>
    </w:p>
  </w:footnote>
  <w:footnote w:id="46">
    <w:p w14:paraId="34B503F1" w14:textId="77777777" w:rsidR="005F71F6" w:rsidRDefault="005F71F6">
      <w:pPr>
        <w:pStyle w:val="FootnoteText"/>
      </w:pPr>
      <w:r w:rsidRPr="00BC149D">
        <w:rPr>
          <w:rStyle w:val="FootnoteReference"/>
          <w:rFonts w:ascii="Verdana" w:hAnsi="Verdana"/>
          <w:sz w:val="16"/>
          <w:szCs w:val="16"/>
        </w:rPr>
        <w:footnoteRef/>
      </w:r>
      <w:r>
        <w:t xml:space="preserve"> </w:t>
      </w:r>
      <w:r>
        <w:rPr>
          <w:rFonts w:ascii="Verdana" w:hAnsi="Verdana"/>
          <w:sz w:val="16"/>
          <w:szCs w:val="16"/>
        </w:rPr>
        <w:t>Articles 22 and 23</w:t>
      </w:r>
      <w:r w:rsidRPr="001F1D2B">
        <w:rPr>
          <w:rFonts w:ascii="Verdana" w:hAnsi="Verdana"/>
          <w:color w:val="77328A"/>
          <w:sz w:val="16"/>
          <w:szCs w:val="16"/>
        </w:rPr>
        <w:t>, Directive 2012/29/EU, ‘Directive of the European Parliament and of the Council establishing minimum standards on the rights, support and protection of victims of crime’, 25 October 2012.</w:t>
      </w:r>
    </w:p>
  </w:footnote>
  <w:footnote w:id="47">
    <w:p w14:paraId="1F6513B6" w14:textId="77777777" w:rsidR="007E0719" w:rsidRPr="00834510" w:rsidRDefault="007E0719" w:rsidP="007E0719">
      <w:pPr>
        <w:pStyle w:val="FootnoteText"/>
        <w:rPr>
          <w:rFonts w:ascii="Verdana" w:hAnsi="Verdana"/>
          <w:color w:val="77328A"/>
          <w:sz w:val="16"/>
          <w:szCs w:val="16"/>
        </w:rPr>
      </w:pPr>
      <w:r w:rsidRPr="00834510">
        <w:rPr>
          <w:rStyle w:val="FootnoteReference"/>
          <w:rFonts w:ascii="Verdana" w:hAnsi="Verdana"/>
          <w:color w:val="77328A"/>
          <w:sz w:val="16"/>
          <w:szCs w:val="16"/>
        </w:rPr>
        <w:footnoteRef/>
      </w:r>
      <w:r w:rsidRPr="00834510">
        <w:rPr>
          <w:rFonts w:ascii="Verdana" w:hAnsi="Verdana"/>
          <w:color w:val="77328A"/>
          <w:sz w:val="16"/>
          <w:szCs w:val="16"/>
        </w:rPr>
        <w:t xml:space="preserve"> Home Office, ‘Policy paper: </w:t>
      </w:r>
      <w:r w:rsidRPr="00834510">
        <w:rPr>
          <w:rFonts w:ascii="Verdana" w:hAnsi="Verdana"/>
          <w:bCs/>
          <w:color w:val="77328A"/>
          <w:sz w:val="16"/>
          <w:szCs w:val="16"/>
        </w:rPr>
        <w:t xml:space="preserve">Tackling violence against women and </w:t>
      </w:r>
      <w:proofErr w:type="gramStart"/>
      <w:r w:rsidRPr="00834510">
        <w:rPr>
          <w:rFonts w:ascii="Verdana" w:hAnsi="Verdana"/>
          <w:bCs/>
          <w:color w:val="77328A"/>
          <w:sz w:val="16"/>
          <w:szCs w:val="16"/>
        </w:rPr>
        <w:t>girls</w:t>
      </w:r>
      <w:proofErr w:type="gramEnd"/>
      <w:r w:rsidRPr="00834510">
        <w:rPr>
          <w:rFonts w:ascii="Verdana" w:hAnsi="Verdana"/>
          <w:bCs/>
          <w:color w:val="77328A"/>
          <w:sz w:val="16"/>
          <w:szCs w:val="16"/>
        </w:rPr>
        <w:t xml:space="preserve"> strategy’, July 2021. Available at: </w:t>
      </w:r>
      <w:hyperlink r:id="rId2" w:history="1">
        <w:r w:rsidRPr="00834510">
          <w:rPr>
            <w:rStyle w:val="Hyperlink"/>
            <w:rFonts w:ascii="Verdana" w:hAnsi="Verdana"/>
            <w:bCs/>
            <w:color w:val="77328A"/>
            <w:sz w:val="16"/>
            <w:szCs w:val="16"/>
          </w:rPr>
          <w:t>https://assets.publishing.service.gov.uk/government/uploads/system/uploads/attachment_data/file/1033934/Tackling_Violence_Against_Women_and_Girls_Strategy_-_July_2021.pdf</w:t>
        </w:r>
      </w:hyperlink>
      <w:r>
        <w:rPr>
          <w:rFonts w:ascii="Verdana" w:hAnsi="Verdana"/>
          <w:bCs/>
          <w:color w:val="77328A"/>
          <w:sz w:val="16"/>
          <w:szCs w:val="16"/>
        </w:rPr>
        <w:t xml:space="preserve"> </w:t>
      </w:r>
    </w:p>
  </w:footnote>
  <w:footnote w:id="48">
    <w:p w14:paraId="03B1FAD2" w14:textId="77777777" w:rsidR="007E0719" w:rsidRPr="00834510" w:rsidRDefault="007E0719" w:rsidP="007E0719">
      <w:pPr>
        <w:pStyle w:val="FootnoteText"/>
        <w:rPr>
          <w:rFonts w:ascii="Verdana" w:hAnsi="Verdana"/>
          <w:color w:val="77328A"/>
          <w:sz w:val="16"/>
          <w:szCs w:val="16"/>
        </w:rPr>
      </w:pPr>
      <w:r w:rsidRPr="00834510">
        <w:rPr>
          <w:rStyle w:val="FootnoteReference"/>
          <w:rFonts w:ascii="Verdana" w:hAnsi="Verdana"/>
          <w:color w:val="77328A"/>
          <w:sz w:val="16"/>
          <w:szCs w:val="16"/>
        </w:rPr>
        <w:footnoteRef/>
      </w:r>
      <w:r w:rsidRPr="00834510">
        <w:rPr>
          <w:rFonts w:ascii="Verdana" w:hAnsi="Verdana"/>
          <w:color w:val="77328A"/>
          <w:sz w:val="16"/>
          <w:szCs w:val="16"/>
        </w:rPr>
        <w:t xml:space="preserve"> Ibid. </w:t>
      </w:r>
    </w:p>
  </w:footnote>
  <w:footnote w:id="49">
    <w:p w14:paraId="5DF00BA0" w14:textId="77777777" w:rsidR="00245E58" w:rsidRPr="00245E58" w:rsidRDefault="00245E58">
      <w:pPr>
        <w:pStyle w:val="FootnoteText"/>
        <w:rPr>
          <w:rFonts w:ascii="Verdana" w:hAnsi="Verdana"/>
          <w:color w:val="77328A"/>
          <w:sz w:val="16"/>
          <w:szCs w:val="16"/>
        </w:rPr>
      </w:pPr>
      <w:r w:rsidRPr="00245E58">
        <w:rPr>
          <w:rStyle w:val="FootnoteReference"/>
          <w:rFonts w:ascii="Verdana" w:hAnsi="Verdana"/>
          <w:color w:val="77328A"/>
          <w:sz w:val="16"/>
          <w:szCs w:val="16"/>
        </w:rPr>
        <w:footnoteRef/>
      </w:r>
      <w:r w:rsidRPr="00245E58">
        <w:rPr>
          <w:rFonts w:ascii="Verdana" w:hAnsi="Verdana"/>
          <w:color w:val="77328A"/>
          <w:sz w:val="16"/>
          <w:szCs w:val="16"/>
        </w:rPr>
        <w:t xml:space="preserve"> Available at: </w:t>
      </w:r>
      <w:hyperlink r:id="rId3" w:history="1">
        <w:r w:rsidRPr="00245E58">
          <w:rPr>
            <w:rStyle w:val="Hyperlink"/>
            <w:rFonts w:ascii="Verdana" w:hAnsi="Verdana"/>
            <w:color w:val="77328A"/>
            <w:sz w:val="16"/>
            <w:szCs w:val="16"/>
          </w:rPr>
          <w:t>https://www.gov.scot/publications/equally-safe-scotlands-strategy-prevent-eradicate-violence-against-women-girls/documents/</w:t>
        </w:r>
      </w:hyperlink>
      <w:r w:rsidRPr="00245E58">
        <w:rPr>
          <w:rFonts w:ascii="Verdana" w:hAnsi="Verdana"/>
          <w:color w:val="77328A"/>
          <w:sz w:val="16"/>
          <w:szCs w:val="16"/>
        </w:rPr>
        <w:t xml:space="preserve"> </w:t>
      </w:r>
    </w:p>
  </w:footnote>
  <w:footnote w:id="50">
    <w:p w14:paraId="5CFAE1F3" w14:textId="77777777" w:rsidR="007E0719" w:rsidRDefault="007E0719" w:rsidP="007E0719">
      <w:pPr>
        <w:pStyle w:val="FootnoteText"/>
      </w:pPr>
      <w:r w:rsidRPr="00245E58">
        <w:rPr>
          <w:rStyle w:val="FootnoteReference"/>
          <w:rFonts w:ascii="Verdana" w:hAnsi="Verdana"/>
          <w:color w:val="77328A"/>
          <w:sz w:val="16"/>
          <w:szCs w:val="16"/>
        </w:rPr>
        <w:footnoteRef/>
      </w:r>
      <w:r w:rsidRPr="00245E58">
        <w:rPr>
          <w:rFonts w:ascii="Verdana" w:hAnsi="Verdana"/>
          <w:color w:val="77328A"/>
          <w:sz w:val="16"/>
          <w:szCs w:val="16"/>
        </w:rPr>
        <w:t xml:space="preserve"> Council of Europe, ‘Cyberviolenc</w:t>
      </w:r>
      <w:r w:rsidR="001E2B95" w:rsidRPr="00245E58">
        <w:rPr>
          <w:rFonts w:ascii="Verdana" w:hAnsi="Verdana"/>
          <w:color w:val="77328A"/>
          <w:sz w:val="16"/>
          <w:szCs w:val="16"/>
        </w:rPr>
        <w:t xml:space="preserve">e against women’. Available at: </w:t>
      </w:r>
      <w:hyperlink r:id="rId4" w:history="1">
        <w:r w:rsidRPr="00245E58">
          <w:rPr>
            <w:rStyle w:val="Hyperlink"/>
            <w:rFonts w:ascii="Verdana" w:hAnsi="Verdana"/>
            <w:color w:val="77328A"/>
            <w:sz w:val="16"/>
            <w:szCs w:val="16"/>
          </w:rPr>
          <w:t>https://www.coe.int/en/web/cyberviolence/cyberviolence-against-women</w:t>
        </w:r>
      </w:hyperlink>
      <w:r w:rsidRPr="00245E58">
        <w:rPr>
          <w:color w:val="77328A"/>
        </w:rPr>
        <w:t xml:space="preserve"> </w:t>
      </w:r>
    </w:p>
  </w:footnote>
  <w:footnote w:id="51">
    <w:p w14:paraId="1FBB058A" w14:textId="77777777" w:rsidR="007E0719" w:rsidRPr="00245E58" w:rsidRDefault="007E0719" w:rsidP="00245E58">
      <w:pPr>
        <w:pStyle w:val="FootnoteText"/>
        <w:rPr>
          <w:rFonts w:ascii="Verdana" w:hAnsi="Verdana"/>
          <w:color w:val="77328A"/>
          <w:sz w:val="16"/>
          <w:szCs w:val="16"/>
        </w:rPr>
      </w:pPr>
      <w:r w:rsidRPr="00245E58">
        <w:rPr>
          <w:rStyle w:val="FootnoteReference"/>
          <w:rFonts w:ascii="Verdana" w:hAnsi="Verdana"/>
          <w:color w:val="77328A"/>
          <w:sz w:val="16"/>
          <w:szCs w:val="16"/>
        </w:rPr>
        <w:footnoteRef/>
      </w:r>
      <w:r w:rsidRPr="00245E58">
        <w:rPr>
          <w:rFonts w:ascii="Verdana" w:hAnsi="Verdana"/>
          <w:color w:val="77328A"/>
          <w:sz w:val="16"/>
          <w:szCs w:val="16"/>
        </w:rPr>
        <w:t xml:space="preserve"> </w:t>
      </w:r>
      <w:r w:rsidR="00245E58" w:rsidRPr="00245E58">
        <w:rPr>
          <w:rFonts w:ascii="Verdana" w:hAnsi="Verdana"/>
          <w:color w:val="77328A"/>
          <w:sz w:val="16"/>
          <w:szCs w:val="16"/>
        </w:rPr>
        <w:t xml:space="preserve">European Parliamentary Research Service, ‘Combating gender-based violence: Cyber violence’, March 2021. </w:t>
      </w:r>
    </w:p>
  </w:footnote>
  <w:footnote w:id="52">
    <w:p w14:paraId="64D045F0" w14:textId="77777777" w:rsidR="00D773B9" w:rsidRDefault="00D773B9">
      <w:pPr>
        <w:pStyle w:val="FootnoteText"/>
      </w:pPr>
      <w:r w:rsidRPr="00D773B9">
        <w:rPr>
          <w:rStyle w:val="FootnoteReference"/>
          <w:rFonts w:ascii="Verdana" w:hAnsi="Verdana"/>
          <w:color w:val="77328A"/>
          <w:sz w:val="16"/>
          <w:szCs w:val="16"/>
        </w:rPr>
        <w:footnoteRef/>
      </w:r>
      <w:r w:rsidRPr="00D773B9">
        <w:rPr>
          <w:rFonts w:ascii="Verdana" w:hAnsi="Verdana"/>
          <w:color w:val="77328A"/>
          <w:sz w:val="16"/>
          <w:szCs w:val="16"/>
        </w:rPr>
        <w:t xml:space="preserve"> Recital 9,</w:t>
      </w:r>
      <w:r>
        <w:t xml:space="preserve"> </w:t>
      </w:r>
      <w:r w:rsidRPr="001F1D2B">
        <w:rPr>
          <w:rFonts w:ascii="Verdana" w:hAnsi="Verdana"/>
          <w:color w:val="77328A"/>
          <w:sz w:val="16"/>
          <w:szCs w:val="16"/>
        </w:rPr>
        <w:t>Directive 2012/29/EU, ‘Directive of the European Parliament and of the Council establishing minimum standards on the rights, support and protection of victims of crime’, 25 October 2012.</w:t>
      </w:r>
    </w:p>
  </w:footnote>
  <w:footnote w:id="53">
    <w:p w14:paraId="2517FAFB" w14:textId="77777777" w:rsidR="007E0719" w:rsidRPr="00245E58" w:rsidRDefault="007E0719" w:rsidP="007E0719">
      <w:pPr>
        <w:pStyle w:val="FootnoteText"/>
        <w:rPr>
          <w:rFonts w:ascii="Verdana" w:hAnsi="Verdana"/>
          <w:color w:val="77328A"/>
          <w:sz w:val="16"/>
          <w:szCs w:val="16"/>
        </w:rPr>
      </w:pPr>
      <w:r w:rsidRPr="00245E58">
        <w:rPr>
          <w:rStyle w:val="FootnoteReference"/>
          <w:rFonts w:ascii="Verdana" w:hAnsi="Verdana"/>
          <w:color w:val="77328A"/>
          <w:sz w:val="16"/>
          <w:szCs w:val="16"/>
        </w:rPr>
        <w:footnoteRef/>
      </w:r>
      <w:r w:rsidRPr="00245E58">
        <w:rPr>
          <w:rFonts w:ascii="Verdana" w:hAnsi="Verdana"/>
          <w:color w:val="77328A"/>
          <w:sz w:val="16"/>
          <w:szCs w:val="16"/>
        </w:rPr>
        <w:t xml:space="preserve"> CEDAW/C/GBR/CO/8, ‘UN CEDAW Committee Concluding Observations on the Eighth Periodic Report of the UK of Great Britain and NI’, 14 March 2019, at para 29.</w:t>
      </w:r>
    </w:p>
  </w:footnote>
  <w:footnote w:id="54">
    <w:p w14:paraId="24042D27" w14:textId="77777777" w:rsidR="007E0719" w:rsidRPr="00EA7C68" w:rsidRDefault="007E0719" w:rsidP="007E0719">
      <w:pPr>
        <w:pStyle w:val="FootnoteText"/>
        <w:rPr>
          <w:color w:val="7030A0"/>
          <w:sz w:val="16"/>
          <w:szCs w:val="16"/>
        </w:rPr>
      </w:pPr>
      <w:r w:rsidRPr="00245E58">
        <w:rPr>
          <w:rStyle w:val="FootnoteReference"/>
          <w:rFonts w:ascii="Verdana" w:hAnsi="Verdana"/>
          <w:color w:val="77328A"/>
          <w:sz w:val="16"/>
          <w:szCs w:val="16"/>
        </w:rPr>
        <w:footnoteRef/>
      </w:r>
      <w:r w:rsidRPr="00245E58">
        <w:rPr>
          <w:rFonts w:ascii="Verdana" w:hAnsi="Verdana"/>
          <w:color w:val="77328A"/>
          <w:sz w:val="16"/>
          <w:szCs w:val="16"/>
        </w:rPr>
        <w:t xml:space="preserve"> CEDAW/C/GBR/CO/8, ‘UN CEDAW Committee Concluding Observations on the Eighth Periodic Report of the UK of Great Britain and NI’, 14 March 2019, at para 26(d).</w:t>
      </w:r>
    </w:p>
  </w:footnote>
  <w:footnote w:id="55">
    <w:p w14:paraId="4F44ECF6" w14:textId="77777777" w:rsidR="005E29C9" w:rsidRDefault="005E29C9" w:rsidP="005E29C9">
      <w:pPr>
        <w:pStyle w:val="FootnoteText"/>
      </w:pPr>
      <w:r w:rsidRPr="001F1D2B">
        <w:rPr>
          <w:rStyle w:val="FootnoteReference"/>
          <w:rFonts w:ascii="Verdana" w:hAnsi="Verdana"/>
          <w:color w:val="77328A"/>
          <w:sz w:val="16"/>
          <w:szCs w:val="16"/>
        </w:rPr>
        <w:footnoteRef/>
      </w:r>
      <w:r w:rsidRPr="001F1D2B">
        <w:rPr>
          <w:rFonts w:ascii="Verdana" w:hAnsi="Verdana"/>
          <w:color w:val="77328A"/>
          <w:sz w:val="16"/>
          <w:szCs w:val="16"/>
        </w:rPr>
        <w:t xml:space="preserve"> </w:t>
      </w:r>
      <w:r>
        <w:rPr>
          <w:rFonts w:ascii="Verdana" w:hAnsi="Verdana"/>
          <w:color w:val="77328A"/>
          <w:sz w:val="16"/>
          <w:szCs w:val="16"/>
        </w:rPr>
        <w:t>Recital 64</w:t>
      </w:r>
      <w:r w:rsidRPr="001F1D2B">
        <w:rPr>
          <w:rFonts w:ascii="Verdana" w:hAnsi="Verdana"/>
          <w:color w:val="77328A"/>
          <w:sz w:val="16"/>
          <w:szCs w:val="16"/>
        </w:rPr>
        <w:t>, Directive 2012/29/EU, ‘Directive of the European Parliament and of the Council establishing minimum standards on the rights, support and protection of victims of crime’, 25 October 2012.</w:t>
      </w:r>
    </w:p>
  </w:footnote>
  <w:footnote w:id="56">
    <w:p w14:paraId="22437143" w14:textId="77777777" w:rsidR="00DC5800" w:rsidRDefault="00DC5800">
      <w:pPr>
        <w:pStyle w:val="FootnoteText"/>
      </w:pPr>
      <w:r w:rsidRPr="00DC5800">
        <w:rPr>
          <w:rStyle w:val="FootnoteReference"/>
          <w:rFonts w:ascii="Verdana" w:hAnsi="Verdana"/>
          <w:color w:val="77328A"/>
          <w:sz w:val="16"/>
          <w:szCs w:val="16"/>
        </w:rPr>
        <w:footnoteRef/>
      </w:r>
      <w:r w:rsidRPr="00DC5800">
        <w:rPr>
          <w:rFonts w:ascii="Verdana" w:hAnsi="Verdana"/>
          <w:color w:val="77328A"/>
          <w:sz w:val="16"/>
          <w:szCs w:val="16"/>
        </w:rPr>
        <w:t xml:space="preserve"> Recital 57,</w:t>
      </w:r>
      <w:r w:rsidRPr="001F1D2B">
        <w:rPr>
          <w:rFonts w:ascii="Verdana" w:hAnsi="Verdana"/>
          <w:color w:val="77328A"/>
          <w:sz w:val="16"/>
          <w:szCs w:val="16"/>
        </w:rPr>
        <w:t xml:space="preserve"> Directive 2012/29/EU, ‘Directive of the European Parliament and of the Council establishing minimum standards on the rights, support and protection of victims of crime’, 25 October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936"/>
    <w:multiLevelType w:val="multilevel"/>
    <w:tmpl w:val="BA7EFF18"/>
    <w:lvl w:ilvl="0">
      <w:start w:val="3"/>
      <w:numFmt w:val="decimal"/>
      <w:lvlText w:val="%1"/>
      <w:lvlJc w:val="left"/>
      <w:pPr>
        <w:ind w:left="540" w:hanging="54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6F10D95"/>
    <w:multiLevelType w:val="multilevel"/>
    <w:tmpl w:val="AE2A001A"/>
    <w:lvl w:ilvl="0">
      <w:start w:val="3"/>
      <w:numFmt w:val="decimal"/>
      <w:lvlText w:val="%1"/>
      <w:lvlJc w:val="left"/>
      <w:pPr>
        <w:ind w:left="570" w:hanging="570"/>
      </w:pPr>
      <w:rPr>
        <w:rFonts w:hint="default"/>
        <w:b/>
      </w:rPr>
    </w:lvl>
    <w:lvl w:ilvl="1">
      <w:start w:val="1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 w15:restartNumberingAfterBreak="0">
    <w:nsid w:val="071D0DD6"/>
    <w:multiLevelType w:val="multilevel"/>
    <w:tmpl w:val="CFD23E2E"/>
    <w:lvl w:ilvl="0">
      <w:start w:val="3"/>
      <w:numFmt w:val="decimal"/>
      <w:lvlText w:val="%1"/>
      <w:lvlJc w:val="left"/>
      <w:pPr>
        <w:ind w:left="570" w:hanging="570"/>
      </w:pPr>
      <w:rPr>
        <w:rFonts w:hint="default"/>
        <w:b/>
      </w:rPr>
    </w:lvl>
    <w:lvl w:ilvl="1">
      <w:start w:val="22"/>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15:restartNumberingAfterBreak="0">
    <w:nsid w:val="0F17166F"/>
    <w:multiLevelType w:val="multilevel"/>
    <w:tmpl w:val="955C5CD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 w15:restartNumberingAfterBreak="0">
    <w:nsid w:val="10BD4B93"/>
    <w:multiLevelType w:val="hybridMultilevel"/>
    <w:tmpl w:val="1F067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74158"/>
    <w:multiLevelType w:val="hybridMultilevel"/>
    <w:tmpl w:val="378A0B9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4228CC"/>
    <w:multiLevelType w:val="hybridMultilevel"/>
    <w:tmpl w:val="B3380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C2F21"/>
    <w:multiLevelType w:val="multilevel"/>
    <w:tmpl w:val="AF861776"/>
    <w:lvl w:ilvl="0">
      <w:start w:val="3"/>
      <w:numFmt w:val="decimal"/>
      <w:lvlText w:val="%1"/>
      <w:lvlJc w:val="left"/>
      <w:pPr>
        <w:ind w:left="570" w:hanging="570"/>
      </w:pPr>
      <w:rPr>
        <w:rFonts w:hint="default"/>
        <w:b/>
      </w:rPr>
    </w:lvl>
    <w:lvl w:ilvl="1">
      <w:start w:val="15"/>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9"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07E2C"/>
    <w:multiLevelType w:val="hybridMultilevel"/>
    <w:tmpl w:val="68ECB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87CF0"/>
    <w:multiLevelType w:val="multilevel"/>
    <w:tmpl w:val="962A6888"/>
    <w:lvl w:ilvl="0">
      <w:start w:val="2"/>
      <w:numFmt w:val="decimal"/>
      <w:lvlText w:val="%1"/>
      <w:lvlJc w:val="left"/>
      <w:pPr>
        <w:ind w:left="570" w:hanging="57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DA2810"/>
    <w:multiLevelType w:val="multilevel"/>
    <w:tmpl w:val="955C5C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5" w15:restartNumberingAfterBreak="0">
    <w:nsid w:val="47031197"/>
    <w:multiLevelType w:val="multilevel"/>
    <w:tmpl w:val="F52C3F04"/>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8645C8E"/>
    <w:multiLevelType w:val="multilevel"/>
    <w:tmpl w:val="955C5C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7" w15:restartNumberingAfterBreak="0">
    <w:nsid w:val="48FE00BC"/>
    <w:multiLevelType w:val="multilevel"/>
    <w:tmpl w:val="95BAAA70"/>
    <w:lvl w:ilvl="0">
      <w:start w:val="2"/>
      <w:numFmt w:val="decimal"/>
      <w:lvlText w:val="%1"/>
      <w:lvlJc w:val="left"/>
      <w:pPr>
        <w:ind w:left="540" w:hanging="54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4D0A3468"/>
    <w:multiLevelType w:val="multilevel"/>
    <w:tmpl w:val="66C065FA"/>
    <w:lvl w:ilvl="0">
      <w:start w:val="3"/>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E710896"/>
    <w:multiLevelType w:val="multilevel"/>
    <w:tmpl w:val="955C5C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0"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6F7E07"/>
    <w:multiLevelType w:val="multilevel"/>
    <w:tmpl w:val="5CFC81F2"/>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D106AA6"/>
    <w:multiLevelType w:val="multilevel"/>
    <w:tmpl w:val="4120FEA0"/>
    <w:lvl w:ilvl="0">
      <w:start w:val="3"/>
      <w:numFmt w:val="decimal"/>
      <w:lvlText w:val="%1"/>
      <w:lvlJc w:val="left"/>
      <w:pPr>
        <w:ind w:left="540" w:hanging="54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613A2774"/>
    <w:multiLevelType w:val="multilevel"/>
    <w:tmpl w:val="955C5C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4" w15:restartNumberingAfterBreak="0">
    <w:nsid w:val="6483486B"/>
    <w:multiLevelType w:val="multilevel"/>
    <w:tmpl w:val="D31465EE"/>
    <w:lvl w:ilvl="0">
      <w:start w:val="3"/>
      <w:numFmt w:val="decimal"/>
      <w:lvlText w:val="%1"/>
      <w:lvlJc w:val="left"/>
      <w:pPr>
        <w:ind w:left="540" w:hanging="54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6A464472"/>
    <w:multiLevelType w:val="multilevel"/>
    <w:tmpl w:val="F64697B8"/>
    <w:lvl w:ilvl="0">
      <w:start w:val="1"/>
      <w:numFmt w:val="decimal"/>
      <w:lvlText w:val="%1.0"/>
      <w:lvlJc w:val="left"/>
      <w:pPr>
        <w:ind w:left="720" w:hanging="720"/>
      </w:pPr>
      <w:rPr>
        <w:rFonts w:hint="default"/>
        <w:color w:val="77328A"/>
      </w:rPr>
    </w:lvl>
    <w:lvl w:ilvl="1">
      <w:start w:val="1"/>
      <w:numFmt w:val="decimal"/>
      <w:lvlText w:val="%1.%2"/>
      <w:lvlJc w:val="left"/>
      <w:pPr>
        <w:ind w:left="72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6" w15:restartNumberingAfterBreak="0">
    <w:nsid w:val="6D9B25E7"/>
    <w:multiLevelType w:val="hybridMultilevel"/>
    <w:tmpl w:val="A9AE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C20BE0"/>
    <w:multiLevelType w:val="multilevel"/>
    <w:tmpl w:val="A35EF05A"/>
    <w:lvl w:ilvl="0">
      <w:start w:val="3"/>
      <w:numFmt w:val="decimal"/>
      <w:lvlText w:val="%1"/>
      <w:lvlJc w:val="left"/>
      <w:pPr>
        <w:ind w:left="570" w:hanging="570"/>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1D4B81"/>
    <w:multiLevelType w:val="multilevel"/>
    <w:tmpl w:val="C9DEF134"/>
    <w:lvl w:ilvl="0">
      <w:start w:val="3"/>
      <w:numFmt w:val="decimal"/>
      <w:lvlText w:val="%1"/>
      <w:lvlJc w:val="left"/>
      <w:pPr>
        <w:ind w:left="540" w:hanging="540"/>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77166331"/>
    <w:multiLevelType w:val="multilevel"/>
    <w:tmpl w:val="29760FB0"/>
    <w:lvl w:ilvl="0">
      <w:start w:val="3"/>
      <w:numFmt w:val="decimal"/>
      <w:lvlText w:val="%1"/>
      <w:lvlJc w:val="left"/>
      <w:pPr>
        <w:ind w:left="540" w:hanging="54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77913E17"/>
    <w:multiLevelType w:val="multilevel"/>
    <w:tmpl w:val="59EACDD4"/>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CD83C24"/>
    <w:multiLevelType w:val="hybridMultilevel"/>
    <w:tmpl w:val="F640A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1E7796"/>
    <w:multiLevelType w:val="multilevel"/>
    <w:tmpl w:val="381015CC"/>
    <w:lvl w:ilvl="0">
      <w:start w:val="3"/>
      <w:numFmt w:val="decimal"/>
      <w:lvlText w:val="%1"/>
      <w:lvlJc w:val="left"/>
      <w:pPr>
        <w:ind w:left="570" w:hanging="570"/>
      </w:pPr>
      <w:rPr>
        <w:rFonts w:cs="MinionPro-Regular" w:hint="default"/>
        <w:b/>
        <w:color w:val="000000"/>
      </w:rPr>
    </w:lvl>
    <w:lvl w:ilvl="1">
      <w:start w:val="18"/>
      <w:numFmt w:val="decimal"/>
      <w:lvlText w:val="%1.%2"/>
      <w:lvlJc w:val="left"/>
      <w:pPr>
        <w:ind w:left="720" w:hanging="720"/>
      </w:pPr>
      <w:rPr>
        <w:rFonts w:cs="MinionPro-Regular" w:hint="default"/>
        <w:b w:val="0"/>
        <w:bCs/>
        <w:color w:val="000000"/>
      </w:rPr>
    </w:lvl>
    <w:lvl w:ilvl="2">
      <w:start w:val="1"/>
      <w:numFmt w:val="decimal"/>
      <w:lvlText w:val="%1.%2.%3"/>
      <w:lvlJc w:val="left"/>
      <w:pPr>
        <w:ind w:left="720" w:hanging="720"/>
      </w:pPr>
      <w:rPr>
        <w:rFonts w:cs="MinionPro-Regular" w:hint="default"/>
        <w:b/>
        <w:color w:val="000000"/>
      </w:rPr>
    </w:lvl>
    <w:lvl w:ilvl="3">
      <w:start w:val="1"/>
      <w:numFmt w:val="decimal"/>
      <w:lvlText w:val="%1.%2.%3.%4"/>
      <w:lvlJc w:val="left"/>
      <w:pPr>
        <w:ind w:left="1080" w:hanging="1080"/>
      </w:pPr>
      <w:rPr>
        <w:rFonts w:cs="MinionPro-Regular" w:hint="default"/>
        <w:b/>
        <w:color w:val="000000"/>
      </w:rPr>
    </w:lvl>
    <w:lvl w:ilvl="4">
      <w:start w:val="1"/>
      <w:numFmt w:val="decimal"/>
      <w:lvlText w:val="%1.%2.%3.%4.%5"/>
      <w:lvlJc w:val="left"/>
      <w:pPr>
        <w:ind w:left="1440" w:hanging="1440"/>
      </w:pPr>
      <w:rPr>
        <w:rFonts w:cs="MinionPro-Regular" w:hint="default"/>
        <w:b/>
        <w:color w:val="000000"/>
      </w:rPr>
    </w:lvl>
    <w:lvl w:ilvl="5">
      <w:start w:val="1"/>
      <w:numFmt w:val="decimal"/>
      <w:lvlText w:val="%1.%2.%3.%4.%5.%6"/>
      <w:lvlJc w:val="left"/>
      <w:pPr>
        <w:ind w:left="1800" w:hanging="1800"/>
      </w:pPr>
      <w:rPr>
        <w:rFonts w:cs="MinionPro-Regular" w:hint="default"/>
        <w:b/>
        <w:color w:val="000000"/>
      </w:rPr>
    </w:lvl>
    <w:lvl w:ilvl="6">
      <w:start w:val="1"/>
      <w:numFmt w:val="decimal"/>
      <w:lvlText w:val="%1.%2.%3.%4.%5.%6.%7"/>
      <w:lvlJc w:val="left"/>
      <w:pPr>
        <w:ind w:left="1800" w:hanging="1800"/>
      </w:pPr>
      <w:rPr>
        <w:rFonts w:cs="MinionPro-Regular" w:hint="default"/>
        <w:b/>
        <w:color w:val="000000"/>
      </w:rPr>
    </w:lvl>
    <w:lvl w:ilvl="7">
      <w:start w:val="1"/>
      <w:numFmt w:val="decimal"/>
      <w:lvlText w:val="%1.%2.%3.%4.%5.%6.%7.%8"/>
      <w:lvlJc w:val="left"/>
      <w:pPr>
        <w:ind w:left="2160" w:hanging="2160"/>
      </w:pPr>
      <w:rPr>
        <w:rFonts w:cs="MinionPro-Regular" w:hint="default"/>
        <w:b/>
        <w:color w:val="000000"/>
      </w:rPr>
    </w:lvl>
    <w:lvl w:ilvl="8">
      <w:start w:val="1"/>
      <w:numFmt w:val="decimal"/>
      <w:lvlText w:val="%1.%2.%3.%4.%5.%6.%7.%8.%9"/>
      <w:lvlJc w:val="left"/>
      <w:pPr>
        <w:ind w:left="2520" w:hanging="2520"/>
      </w:pPr>
      <w:rPr>
        <w:rFonts w:cs="MinionPro-Regular" w:hint="default"/>
        <w:b/>
        <w:color w:val="000000"/>
      </w:rPr>
    </w:lvl>
  </w:abstractNum>
  <w:num w:numId="1">
    <w:abstractNumId w:val="20"/>
  </w:num>
  <w:num w:numId="2">
    <w:abstractNumId w:val="33"/>
  </w:num>
  <w:num w:numId="3">
    <w:abstractNumId w:val="6"/>
  </w:num>
  <w:num w:numId="4">
    <w:abstractNumId w:val="12"/>
  </w:num>
  <w:num w:numId="5">
    <w:abstractNumId w:val="28"/>
  </w:num>
  <w:num w:numId="6">
    <w:abstractNumId w:val="9"/>
  </w:num>
  <w:num w:numId="7">
    <w:abstractNumId w:val="13"/>
  </w:num>
  <w:num w:numId="8">
    <w:abstractNumId w:val="4"/>
  </w:num>
  <w:num w:numId="9">
    <w:abstractNumId w:val="3"/>
  </w:num>
  <w:num w:numId="10">
    <w:abstractNumId w:val="19"/>
  </w:num>
  <w:num w:numId="11">
    <w:abstractNumId w:val="16"/>
  </w:num>
  <w:num w:numId="12">
    <w:abstractNumId w:val="23"/>
  </w:num>
  <w:num w:numId="13">
    <w:abstractNumId w:val="14"/>
  </w:num>
  <w:num w:numId="14">
    <w:abstractNumId w:val="25"/>
  </w:num>
  <w:num w:numId="15">
    <w:abstractNumId w:val="5"/>
  </w:num>
  <w:num w:numId="16">
    <w:abstractNumId w:val="32"/>
  </w:num>
  <w:num w:numId="17">
    <w:abstractNumId w:val="11"/>
  </w:num>
  <w:num w:numId="18">
    <w:abstractNumId w:val="18"/>
  </w:num>
  <w:num w:numId="19">
    <w:abstractNumId w:val="31"/>
  </w:num>
  <w:num w:numId="20">
    <w:abstractNumId w:val="1"/>
  </w:num>
  <w:num w:numId="21">
    <w:abstractNumId w:val="8"/>
  </w:num>
  <w:num w:numId="22">
    <w:abstractNumId w:val="34"/>
  </w:num>
  <w:num w:numId="23">
    <w:abstractNumId w:val="2"/>
  </w:num>
  <w:num w:numId="24">
    <w:abstractNumId w:val="27"/>
  </w:num>
  <w:num w:numId="25">
    <w:abstractNumId w:val="7"/>
  </w:num>
  <w:num w:numId="26">
    <w:abstractNumId w:val="10"/>
  </w:num>
  <w:num w:numId="27">
    <w:abstractNumId w:val="26"/>
  </w:num>
  <w:num w:numId="28">
    <w:abstractNumId w:val="17"/>
  </w:num>
  <w:num w:numId="29">
    <w:abstractNumId w:val="15"/>
  </w:num>
  <w:num w:numId="30">
    <w:abstractNumId w:val="21"/>
  </w:num>
  <w:num w:numId="31">
    <w:abstractNumId w:val="24"/>
  </w:num>
  <w:num w:numId="32">
    <w:abstractNumId w:val="0"/>
  </w:num>
  <w:num w:numId="33">
    <w:abstractNumId w:val="22"/>
  </w:num>
  <w:num w:numId="34">
    <w:abstractNumId w:val="3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1954"/>
    <w:rsid w:val="00033E63"/>
    <w:rsid w:val="00045B47"/>
    <w:rsid w:val="00046705"/>
    <w:rsid w:val="0005296A"/>
    <w:rsid w:val="0005379E"/>
    <w:rsid w:val="000E1F61"/>
    <w:rsid w:val="000E7F0C"/>
    <w:rsid w:val="0016710C"/>
    <w:rsid w:val="001E2B95"/>
    <w:rsid w:val="001E79A9"/>
    <w:rsid w:val="00201044"/>
    <w:rsid w:val="00213B8A"/>
    <w:rsid w:val="00224140"/>
    <w:rsid w:val="002351CB"/>
    <w:rsid w:val="002353FA"/>
    <w:rsid w:val="002428EC"/>
    <w:rsid w:val="00245E58"/>
    <w:rsid w:val="002A26DC"/>
    <w:rsid w:val="002B1272"/>
    <w:rsid w:val="002B4372"/>
    <w:rsid w:val="0030418B"/>
    <w:rsid w:val="00306317"/>
    <w:rsid w:val="00331C61"/>
    <w:rsid w:val="00335455"/>
    <w:rsid w:val="00341BFE"/>
    <w:rsid w:val="00367CCA"/>
    <w:rsid w:val="00393AE9"/>
    <w:rsid w:val="003B7D0E"/>
    <w:rsid w:val="003D09D2"/>
    <w:rsid w:val="00463D6B"/>
    <w:rsid w:val="00466A2E"/>
    <w:rsid w:val="004672AC"/>
    <w:rsid w:val="00484659"/>
    <w:rsid w:val="004A4A1D"/>
    <w:rsid w:val="005376DF"/>
    <w:rsid w:val="0055193F"/>
    <w:rsid w:val="00552293"/>
    <w:rsid w:val="005651FC"/>
    <w:rsid w:val="00566574"/>
    <w:rsid w:val="00580048"/>
    <w:rsid w:val="005916F2"/>
    <w:rsid w:val="005A50AA"/>
    <w:rsid w:val="005B723E"/>
    <w:rsid w:val="005E29C9"/>
    <w:rsid w:val="005F1CB6"/>
    <w:rsid w:val="005F71F6"/>
    <w:rsid w:val="00650108"/>
    <w:rsid w:val="00656ECD"/>
    <w:rsid w:val="006900B4"/>
    <w:rsid w:val="006A49C6"/>
    <w:rsid w:val="006D430A"/>
    <w:rsid w:val="006F249D"/>
    <w:rsid w:val="00705833"/>
    <w:rsid w:val="00715E3B"/>
    <w:rsid w:val="0075528F"/>
    <w:rsid w:val="007569C1"/>
    <w:rsid w:val="007726D1"/>
    <w:rsid w:val="007E0719"/>
    <w:rsid w:val="007F266D"/>
    <w:rsid w:val="007F7047"/>
    <w:rsid w:val="00812D47"/>
    <w:rsid w:val="008159E8"/>
    <w:rsid w:val="008275D0"/>
    <w:rsid w:val="00836A88"/>
    <w:rsid w:val="0087161B"/>
    <w:rsid w:val="00872187"/>
    <w:rsid w:val="00875E68"/>
    <w:rsid w:val="008878B6"/>
    <w:rsid w:val="008D36E0"/>
    <w:rsid w:val="008D7C32"/>
    <w:rsid w:val="008E7E04"/>
    <w:rsid w:val="00923962"/>
    <w:rsid w:val="00962B2B"/>
    <w:rsid w:val="0096459E"/>
    <w:rsid w:val="00991F97"/>
    <w:rsid w:val="009F5CB8"/>
    <w:rsid w:val="00A03BD5"/>
    <w:rsid w:val="00A33337"/>
    <w:rsid w:val="00A349F7"/>
    <w:rsid w:val="00A622B0"/>
    <w:rsid w:val="00B16292"/>
    <w:rsid w:val="00B40BB4"/>
    <w:rsid w:val="00B40D22"/>
    <w:rsid w:val="00B82730"/>
    <w:rsid w:val="00B96D34"/>
    <w:rsid w:val="00BB4949"/>
    <w:rsid w:val="00BC149D"/>
    <w:rsid w:val="00BC5B72"/>
    <w:rsid w:val="00BC79A8"/>
    <w:rsid w:val="00BE5849"/>
    <w:rsid w:val="00BF738E"/>
    <w:rsid w:val="00C2725D"/>
    <w:rsid w:val="00C76E49"/>
    <w:rsid w:val="00C810E3"/>
    <w:rsid w:val="00CE3039"/>
    <w:rsid w:val="00CF0261"/>
    <w:rsid w:val="00D12EF8"/>
    <w:rsid w:val="00D16532"/>
    <w:rsid w:val="00D2770F"/>
    <w:rsid w:val="00D40474"/>
    <w:rsid w:val="00D40B93"/>
    <w:rsid w:val="00D63FF1"/>
    <w:rsid w:val="00D773B9"/>
    <w:rsid w:val="00DC5800"/>
    <w:rsid w:val="00E7674F"/>
    <w:rsid w:val="00EA12CE"/>
    <w:rsid w:val="00EA2EB7"/>
    <w:rsid w:val="00F2762F"/>
    <w:rsid w:val="00F31387"/>
    <w:rsid w:val="00F43CE4"/>
    <w:rsid w:val="00F56C78"/>
    <w:rsid w:val="00F949FE"/>
    <w:rsid w:val="00FF3C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6EBE5D"/>
  <w14:defaultImageDpi w14:val="300"/>
  <w15:docId w15:val="{23E5609A-C55C-4B1C-B58C-927A2101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719"/>
    <w:pPr>
      <w:keepNext/>
      <w:keepLines/>
      <w:spacing w:before="240"/>
      <w:outlineLvl w:val="0"/>
    </w:pPr>
    <w:rPr>
      <w:rFonts w:ascii="Verdana" w:eastAsiaTheme="majorEastAsia" w:hAnsi="Verdana" w:cstheme="majorBidi"/>
      <w:b/>
      <w:color w:val="77328A"/>
      <w:sz w:val="30"/>
      <w:szCs w:val="32"/>
    </w:rPr>
  </w:style>
  <w:style w:type="paragraph" w:styleId="Heading2">
    <w:name w:val="heading 2"/>
    <w:basedOn w:val="Normal"/>
    <w:next w:val="Normal"/>
    <w:link w:val="Heading2Char"/>
    <w:uiPriority w:val="9"/>
    <w:unhideWhenUsed/>
    <w:qFormat/>
    <w:rsid w:val="007E0719"/>
    <w:pPr>
      <w:keepNext/>
      <w:keepLines/>
      <w:spacing w:before="40"/>
      <w:outlineLvl w:val="1"/>
    </w:pPr>
    <w:rPr>
      <w:rFonts w:ascii="Verdana" w:eastAsiaTheme="majorEastAsia" w:hAnsi="Verdana" w:cstheme="majorBidi"/>
      <w:b/>
      <w:color w:val="000000" w:themeColor="text1"/>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Black"/>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7E0719"/>
    <w:pPr>
      <w:spacing w:line="240" w:lineRule="exact"/>
      <w:jc w:val="both"/>
    </w:pPr>
    <w:rPr>
      <w:vertAlign w:val="superscript"/>
    </w:rPr>
  </w:style>
  <w:style w:type="character" w:styleId="CommentReference">
    <w:name w:val="annotation reference"/>
    <w:basedOn w:val="DefaultParagraphFont"/>
    <w:uiPriority w:val="99"/>
    <w:semiHidden/>
    <w:unhideWhenUsed/>
    <w:rsid w:val="007E0719"/>
    <w:rPr>
      <w:rFonts w:cs="Times New Roman"/>
      <w:sz w:val="16"/>
      <w:szCs w:val="16"/>
    </w:rPr>
  </w:style>
  <w:style w:type="paragraph" w:styleId="CommentText">
    <w:name w:val="annotation text"/>
    <w:basedOn w:val="Normal"/>
    <w:link w:val="CommentTextChar1"/>
    <w:uiPriority w:val="99"/>
    <w:unhideWhenUsed/>
    <w:rsid w:val="007E0719"/>
    <w:rPr>
      <w:sz w:val="20"/>
      <w:szCs w:val="20"/>
    </w:rPr>
  </w:style>
  <w:style w:type="character" w:customStyle="1" w:styleId="CommentTextChar">
    <w:name w:val="Comment Text Char"/>
    <w:basedOn w:val="DefaultParagraphFont"/>
    <w:uiPriority w:val="99"/>
    <w:semiHidden/>
    <w:rsid w:val="007E0719"/>
    <w:rPr>
      <w:sz w:val="20"/>
      <w:szCs w:val="20"/>
    </w:rPr>
  </w:style>
  <w:style w:type="character" w:customStyle="1" w:styleId="CommentTextChar1">
    <w:name w:val="Comment Text Char1"/>
    <w:basedOn w:val="DefaultParagraphFont"/>
    <w:link w:val="CommentText"/>
    <w:uiPriority w:val="99"/>
    <w:rsid w:val="007E0719"/>
    <w:rPr>
      <w:sz w:val="20"/>
      <w:szCs w:val="20"/>
    </w:rPr>
  </w:style>
  <w:style w:type="character" w:customStyle="1" w:styleId="Heading1Char">
    <w:name w:val="Heading 1 Char"/>
    <w:basedOn w:val="DefaultParagraphFont"/>
    <w:link w:val="Heading1"/>
    <w:uiPriority w:val="9"/>
    <w:rsid w:val="007E0719"/>
    <w:rPr>
      <w:rFonts w:ascii="Verdana" w:eastAsiaTheme="majorEastAsia" w:hAnsi="Verdana" w:cstheme="majorBidi"/>
      <w:b/>
      <w:color w:val="77328A"/>
      <w:sz w:val="30"/>
      <w:szCs w:val="32"/>
    </w:rPr>
  </w:style>
  <w:style w:type="paragraph" w:styleId="ListParagraph">
    <w:name w:val="List Paragraph"/>
    <w:basedOn w:val="Normal"/>
    <w:uiPriority w:val="34"/>
    <w:qFormat/>
    <w:rsid w:val="007E0719"/>
    <w:pPr>
      <w:ind w:left="720"/>
      <w:contextualSpacing/>
    </w:pPr>
  </w:style>
  <w:style w:type="character" w:customStyle="1" w:styleId="Heading2Char">
    <w:name w:val="Heading 2 Char"/>
    <w:basedOn w:val="DefaultParagraphFont"/>
    <w:link w:val="Heading2"/>
    <w:uiPriority w:val="9"/>
    <w:rsid w:val="007E0719"/>
    <w:rPr>
      <w:rFonts w:ascii="Verdana" w:eastAsiaTheme="majorEastAsia" w:hAnsi="Verdana" w:cstheme="majorBidi"/>
      <w:b/>
      <w:color w:val="000000" w:themeColor="text1"/>
      <w:szCs w:val="26"/>
    </w:rPr>
  </w:style>
  <w:style w:type="paragraph" w:styleId="Quote">
    <w:name w:val="Quote"/>
    <w:basedOn w:val="Normal"/>
    <w:next w:val="Normal"/>
    <w:link w:val="QuoteChar"/>
    <w:uiPriority w:val="29"/>
    <w:qFormat/>
    <w:rsid w:val="005376DF"/>
    <w:pPr>
      <w:spacing w:before="200" w:after="160"/>
      <w:ind w:left="864" w:right="864"/>
    </w:pPr>
    <w:rPr>
      <w:rFonts w:ascii="Verdana" w:hAnsi="Verdana"/>
      <w:iCs/>
    </w:rPr>
  </w:style>
  <w:style w:type="character" w:customStyle="1" w:styleId="QuoteChar">
    <w:name w:val="Quote Char"/>
    <w:basedOn w:val="DefaultParagraphFont"/>
    <w:link w:val="Quote"/>
    <w:uiPriority w:val="29"/>
    <w:rsid w:val="005376DF"/>
    <w:rPr>
      <w:rFonts w:ascii="Verdana" w:hAnsi="Verdana"/>
      <w:iCs/>
    </w:rPr>
  </w:style>
  <w:style w:type="paragraph" w:styleId="TOCHeading">
    <w:name w:val="TOC Heading"/>
    <w:basedOn w:val="Heading1"/>
    <w:next w:val="Normal"/>
    <w:uiPriority w:val="39"/>
    <w:unhideWhenUsed/>
    <w:qFormat/>
    <w:rsid w:val="0075528F"/>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245E58"/>
    <w:pPr>
      <w:tabs>
        <w:tab w:val="left" w:pos="660"/>
        <w:tab w:val="right" w:leader="dot" w:pos="9848"/>
      </w:tabs>
      <w:spacing w:after="100"/>
    </w:pPr>
    <w:rPr>
      <w:rFonts w:ascii="Verdana" w:hAnsi="Verdana"/>
      <w:b/>
      <w:noProof/>
    </w:rPr>
  </w:style>
  <w:style w:type="paragraph" w:styleId="TOC2">
    <w:name w:val="toc 2"/>
    <w:basedOn w:val="Normal"/>
    <w:next w:val="Normal"/>
    <w:autoRedefine/>
    <w:uiPriority w:val="39"/>
    <w:unhideWhenUsed/>
    <w:rsid w:val="0075528F"/>
    <w:pPr>
      <w:spacing w:after="100"/>
      <w:ind w:left="240"/>
    </w:pPr>
  </w:style>
  <w:style w:type="paragraph" w:styleId="CommentSubject">
    <w:name w:val="annotation subject"/>
    <w:basedOn w:val="CommentText"/>
    <w:next w:val="CommentText"/>
    <w:link w:val="CommentSubjectChar"/>
    <w:uiPriority w:val="99"/>
    <w:semiHidden/>
    <w:unhideWhenUsed/>
    <w:rsid w:val="00245E58"/>
    <w:rPr>
      <w:b/>
      <w:bCs/>
    </w:rPr>
  </w:style>
  <w:style w:type="character" w:customStyle="1" w:styleId="CommentSubjectChar">
    <w:name w:val="Comment Subject Char"/>
    <w:basedOn w:val="CommentTextChar1"/>
    <w:link w:val="CommentSubject"/>
    <w:uiPriority w:val="99"/>
    <w:semiHidden/>
    <w:rsid w:val="00245E58"/>
    <w:rPr>
      <w:b/>
      <w:bCs/>
      <w:sz w:val="20"/>
      <w:szCs w:val="20"/>
    </w:rPr>
  </w:style>
  <w:style w:type="paragraph" w:styleId="Revision">
    <w:name w:val="Revision"/>
    <w:hidden/>
    <w:uiPriority w:val="99"/>
    <w:semiHidden/>
    <w:rsid w:val="00052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hr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hrc.org" TargetMode="External"/><Relationship Id="rId4" Type="http://schemas.openxmlformats.org/officeDocument/2006/relationships/settings" Target="settings.xml"/><Relationship Id="rId9" Type="http://schemas.openxmlformats.org/officeDocument/2006/relationships/hyperlink" Target="mailto:Rhyannon.blythe@nihrc.or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scot/publications/equally-safe-scotlands-strategy-prevent-eradicate-violence-against-women-girls/documents/" TargetMode="External"/><Relationship Id="rId2" Type="http://schemas.openxmlformats.org/officeDocument/2006/relationships/hyperlink" Target="https://assets.publishing.service.gov.uk/government/uploads/system/uploads/attachment_data/file/1033934/Tackling_Violence_Against_Women_and_Girls_Strategy_-_July_2021.pdf" TargetMode="External"/><Relationship Id="rId1" Type="http://schemas.openxmlformats.org/officeDocument/2006/relationships/hyperlink" Target="https://ennhri.org/about-nhris/human-rights-based-approach/" TargetMode="External"/><Relationship Id="rId4" Type="http://schemas.openxmlformats.org/officeDocument/2006/relationships/hyperlink" Target="https://www.coe.int/en/web/cyberviolence/cyberviolence-against-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83B74-D9BD-4D60-974B-ED6E06233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4164</Words>
  <Characters>23739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Julia Buchanan</cp:lastModifiedBy>
  <cp:revision>11</cp:revision>
  <cp:lastPrinted>2022-03-21T14:30:00Z</cp:lastPrinted>
  <dcterms:created xsi:type="dcterms:W3CDTF">2022-03-21T14:15:00Z</dcterms:created>
  <dcterms:modified xsi:type="dcterms:W3CDTF">2022-03-21T14:30:00Z</dcterms:modified>
</cp:coreProperties>
</file>