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9D86" w14:textId="77777777" w:rsidR="009E5D23" w:rsidRDefault="009E5D23" w:rsidP="009E5D23">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7E32A0A6" wp14:editId="774A093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A3FEE4D" w14:textId="77777777" w:rsidR="009E5D23" w:rsidRPr="00EA12CE" w:rsidRDefault="009E5D23" w:rsidP="009E5D23">
      <w:pPr>
        <w:pStyle w:val="BasicParagraph"/>
        <w:suppressAutoHyphens/>
        <w:jc w:val="center"/>
        <w:rPr>
          <w:rFonts w:ascii="Verdana" w:hAnsi="Verdana" w:cs="Arial"/>
          <w:b/>
          <w:bCs/>
          <w:color w:val="734791"/>
          <w:sz w:val="36"/>
          <w:szCs w:val="36"/>
        </w:rPr>
      </w:pPr>
    </w:p>
    <w:p w14:paraId="01A5EAE6" w14:textId="77777777" w:rsidR="009E5D23" w:rsidRPr="00C5276F" w:rsidRDefault="001F3580" w:rsidP="00C5276F">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Response</w:t>
      </w:r>
      <w:r w:rsidR="009E5D23">
        <w:rPr>
          <w:rFonts w:ascii="Verdana" w:hAnsi="Verdana" w:cs="Arial"/>
          <w:b/>
          <w:bCs/>
          <w:color w:val="77328A"/>
          <w:sz w:val="36"/>
          <w:szCs w:val="36"/>
        </w:rPr>
        <w:t xml:space="preserve"> to the Department for Communities </w:t>
      </w:r>
      <w:r w:rsidR="00C5276F">
        <w:rPr>
          <w:rFonts w:ascii="Verdana" w:hAnsi="Verdana" w:cs="Arial"/>
          <w:b/>
          <w:bCs/>
          <w:color w:val="77328A"/>
          <w:sz w:val="36"/>
          <w:szCs w:val="36"/>
        </w:rPr>
        <w:t>on</w:t>
      </w:r>
      <w:r w:rsidR="004E3D65">
        <w:rPr>
          <w:rFonts w:ascii="Verdana" w:hAnsi="Verdana" w:cs="Arial"/>
          <w:b/>
          <w:bCs/>
          <w:color w:val="77328A"/>
          <w:sz w:val="36"/>
          <w:szCs w:val="36"/>
        </w:rPr>
        <w:t xml:space="preserve"> Housing Supply Strategy – 2021</w:t>
      </w:r>
    </w:p>
    <w:p w14:paraId="553134D2" w14:textId="77777777" w:rsidR="009E5D23" w:rsidRDefault="009E5D23" w:rsidP="009E5D23">
      <w:pPr>
        <w:pStyle w:val="Default"/>
        <w:spacing w:line="288" w:lineRule="auto"/>
        <w:jc w:val="center"/>
        <w:rPr>
          <w:rFonts w:cs="Arial"/>
          <w:color w:val="232120"/>
          <w:sz w:val="36"/>
          <w:szCs w:val="36"/>
        </w:rPr>
      </w:pPr>
    </w:p>
    <w:p w14:paraId="5BC45021" w14:textId="77777777" w:rsidR="0062440E" w:rsidRDefault="0062440E" w:rsidP="009E5D23">
      <w:pPr>
        <w:pStyle w:val="Default"/>
        <w:spacing w:line="288" w:lineRule="auto"/>
        <w:jc w:val="center"/>
        <w:rPr>
          <w:rFonts w:cs="Arial"/>
          <w:color w:val="232120"/>
          <w:sz w:val="36"/>
          <w:szCs w:val="36"/>
        </w:rPr>
      </w:pPr>
    </w:p>
    <w:p w14:paraId="1542E040" w14:textId="77777777" w:rsidR="0062440E" w:rsidRDefault="0062440E" w:rsidP="009E5D23">
      <w:pPr>
        <w:pStyle w:val="Default"/>
        <w:spacing w:line="288" w:lineRule="auto"/>
        <w:jc w:val="center"/>
        <w:rPr>
          <w:rFonts w:cs="Arial"/>
          <w:color w:val="232120"/>
          <w:sz w:val="36"/>
          <w:szCs w:val="36"/>
        </w:rPr>
      </w:pPr>
    </w:p>
    <w:p w14:paraId="41A1BE0F" w14:textId="77777777" w:rsidR="0062440E" w:rsidRPr="00331C61" w:rsidRDefault="0062440E" w:rsidP="009E5D23">
      <w:pPr>
        <w:pStyle w:val="Default"/>
        <w:spacing w:line="288" w:lineRule="auto"/>
        <w:jc w:val="center"/>
        <w:rPr>
          <w:rFonts w:cs="Arial"/>
          <w:color w:val="232120"/>
          <w:sz w:val="36"/>
          <w:szCs w:val="36"/>
        </w:rPr>
      </w:pPr>
    </w:p>
    <w:p w14:paraId="750511E0" w14:textId="2F7D366A" w:rsidR="009E5D23" w:rsidRPr="00331C61" w:rsidRDefault="00ED34CD" w:rsidP="009E5D23">
      <w:pPr>
        <w:spacing w:line="288" w:lineRule="auto"/>
        <w:jc w:val="center"/>
        <w:rPr>
          <w:rFonts w:cs="Arial"/>
          <w:b/>
          <w:color w:val="232120"/>
          <w:sz w:val="30"/>
          <w:szCs w:val="30"/>
        </w:rPr>
      </w:pPr>
      <w:r>
        <w:rPr>
          <w:rFonts w:cs="Arial"/>
          <w:b/>
          <w:color w:val="232120"/>
          <w:sz w:val="30"/>
          <w:szCs w:val="30"/>
        </w:rPr>
        <w:t>Ju</w:t>
      </w:r>
      <w:r w:rsidR="00EE428C">
        <w:rPr>
          <w:rFonts w:cs="Arial"/>
          <w:b/>
          <w:color w:val="232120"/>
          <w:sz w:val="30"/>
          <w:szCs w:val="30"/>
        </w:rPr>
        <w:t>ly</w:t>
      </w:r>
      <w:r>
        <w:rPr>
          <w:rFonts w:cs="Arial"/>
          <w:b/>
          <w:color w:val="232120"/>
          <w:sz w:val="30"/>
          <w:szCs w:val="30"/>
        </w:rPr>
        <w:t xml:space="preserve"> 2021</w:t>
      </w:r>
    </w:p>
    <w:p w14:paraId="5E8BA2B4" w14:textId="77777777" w:rsidR="009E5D23" w:rsidRPr="00331C61" w:rsidRDefault="009E5D23" w:rsidP="009E5D23">
      <w:pPr>
        <w:spacing w:line="288" w:lineRule="auto"/>
        <w:jc w:val="center"/>
        <w:rPr>
          <w:rFonts w:cs="Arial"/>
          <w:b/>
          <w:color w:val="232120"/>
          <w:sz w:val="28"/>
          <w:szCs w:val="28"/>
        </w:rPr>
      </w:pPr>
    </w:p>
    <w:p w14:paraId="2DEDB59F" w14:textId="77777777" w:rsidR="009E5D23" w:rsidRPr="00331C61" w:rsidRDefault="009E5D23" w:rsidP="009E5D23">
      <w:pPr>
        <w:spacing w:line="288" w:lineRule="auto"/>
        <w:jc w:val="center"/>
        <w:rPr>
          <w:rFonts w:cs="Arial"/>
          <w:b/>
          <w:color w:val="232120"/>
          <w:sz w:val="28"/>
          <w:szCs w:val="28"/>
        </w:rPr>
      </w:pPr>
    </w:p>
    <w:p w14:paraId="135D73A0" w14:textId="77777777" w:rsidR="009E5D23" w:rsidRPr="00331C61" w:rsidRDefault="009E5D23" w:rsidP="009E5D23">
      <w:pPr>
        <w:pStyle w:val="Default"/>
        <w:spacing w:line="288" w:lineRule="auto"/>
        <w:jc w:val="center"/>
        <w:rPr>
          <w:rFonts w:cs="Arial"/>
          <w:b/>
          <w:color w:val="232120"/>
          <w:sz w:val="28"/>
          <w:szCs w:val="28"/>
          <w:lang w:val="en-GB"/>
        </w:rPr>
      </w:pPr>
    </w:p>
    <w:p w14:paraId="032972F5" w14:textId="77777777" w:rsidR="009E5D23" w:rsidRPr="00331C61" w:rsidRDefault="009E5D23" w:rsidP="009E5D23">
      <w:pPr>
        <w:pStyle w:val="Default"/>
        <w:spacing w:line="480" w:lineRule="auto"/>
        <w:jc w:val="center"/>
        <w:rPr>
          <w:rFonts w:cs="Arial"/>
          <w:b/>
          <w:color w:val="232120"/>
          <w:sz w:val="36"/>
          <w:szCs w:val="36"/>
        </w:rPr>
      </w:pPr>
    </w:p>
    <w:p w14:paraId="682BCC76" w14:textId="77777777" w:rsidR="008E504E" w:rsidRDefault="008E504E" w:rsidP="009E5D23">
      <w:pPr>
        <w:pStyle w:val="Default"/>
        <w:spacing w:line="480" w:lineRule="auto"/>
        <w:jc w:val="center"/>
        <w:rPr>
          <w:rFonts w:cs="Arial"/>
          <w:b/>
          <w:color w:val="232120"/>
          <w:sz w:val="36"/>
          <w:szCs w:val="36"/>
        </w:rPr>
      </w:pPr>
    </w:p>
    <w:p w14:paraId="734FB231" w14:textId="77777777" w:rsidR="008E504E" w:rsidRDefault="008E504E" w:rsidP="009E5D23">
      <w:pPr>
        <w:pStyle w:val="Default"/>
        <w:spacing w:line="480" w:lineRule="auto"/>
        <w:jc w:val="center"/>
        <w:rPr>
          <w:rFonts w:cs="Arial"/>
          <w:b/>
          <w:color w:val="232120"/>
          <w:sz w:val="36"/>
          <w:szCs w:val="36"/>
        </w:rPr>
      </w:pPr>
    </w:p>
    <w:p w14:paraId="53740526" w14:textId="77777777" w:rsidR="008E504E" w:rsidRDefault="004950B7" w:rsidP="004950B7">
      <w:pPr>
        <w:pStyle w:val="Default"/>
        <w:spacing w:line="480" w:lineRule="auto"/>
        <w:rPr>
          <w:rFonts w:cs="Arial"/>
          <w:b/>
          <w:color w:val="7030A0"/>
          <w:sz w:val="36"/>
          <w:szCs w:val="36"/>
          <w:lang w:val="en-GB"/>
        </w:rPr>
      </w:pPr>
      <w:r w:rsidRPr="004950B7">
        <w:rPr>
          <w:rFonts w:cs="Arial"/>
          <w:b/>
          <w:color w:val="7030A0"/>
          <w:sz w:val="36"/>
          <w:szCs w:val="36"/>
          <w:lang w:val="en-GB"/>
        </w:rPr>
        <w:lastRenderedPageBreak/>
        <w:t xml:space="preserve">Table of </w:t>
      </w:r>
      <w:r w:rsidRPr="00BF02D6">
        <w:rPr>
          <w:rFonts w:cs="Arial"/>
          <w:b/>
          <w:color w:val="7030A0"/>
          <w:sz w:val="36"/>
          <w:szCs w:val="36"/>
          <w:lang w:val="en-GB"/>
        </w:rPr>
        <w:t>Contents</w:t>
      </w:r>
    </w:p>
    <w:p w14:paraId="24F66CAE" w14:textId="77777777" w:rsidR="00661AD2" w:rsidRPr="000B3102" w:rsidRDefault="00661AD2" w:rsidP="004950B7">
      <w:pPr>
        <w:pStyle w:val="Default"/>
        <w:spacing w:line="480" w:lineRule="auto"/>
        <w:rPr>
          <w:rFonts w:cs="Arial"/>
          <w:b/>
          <w:color w:val="000000" w:themeColor="text1"/>
        </w:rPr>
      </w:pPr>
    </w:p>
    <w:p w14:paraId="5049863F" w14:textId="419E313B" w:rsidR="00D05FF8" w:rsidRPr="00661AD2" w:rsidRDefault="00D05FF8" w:rsidP="00D05FF8">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86" w:history="1">
        <w:r>
          <w:rPr>
            <w:rFonts w:eastAsia="MS Mincho" w:cs="Times New Roman"/>
            <w:b/>
            <w:bCs/>
            <w:noProof/>
            <w:color w:val="000000" w:themeColor="text1"/>
            <w:lang w:val="en-US"/>
          </w:rPr>
          <w:t>Reccommendations</w:t>
        </w:r>
        <w:r w:rsidRPr="00661AD2">
          <w:rPr>
            <w:rFonts w:eastAsia="MS Mincho" w:cs="Times New Roman"/>
            <w:b/>
            <w:bCs/>
            <w:noProof/>
            <w:webHidden/>
            <w:color w:val="000000" w:themeColor="text1"/>
            <w:lang w:val="en-US"/>
          </w:rPr>
          <w:tab/>
        </w:r>
        <w:r>
          <w:rPr>
            <w:rFonts w:eastAsia="MS Mincho" w:cs="Times New Roman"/>
            <w:b/>
            <w:bCs/>
            <w:noProof/>
            <w:webHidden/>
            <w:color w:val="000000" w:themeColor="text1"/>
            <w:lang w:val="en-US"/>
          </w:rPr>
          <w:t>3</w:t>
        </w:r>
      </w:hyperlink>
    </w:p>
    <w:p w14:paraId="44A0A007" w14:textId="58CB6CA9" w:rsidR="00661AD2" w:rsidRPr="00661AD2" w:rsidRDefault="00D05FF8" w:rsidP="00391A71">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86" w:history="1">
        <w:r w:rsidR="00661AD2" w:rsidRPr="00661AD2">
          <w:rPr>
            <w:rFonts w:eastAsia="MS Mincho" w:cs="Times New Roman"/>
            <w:b/>
            <w:bCs/>
            <w:noProof/>
            <w:color w:val="000000" w:themeColor="text1"/>
            <w:lang w:val="en-US"/>
          </w:rPr>
          <w:t>1.0</w:t>
        </w:r>
        <w:r w:rsidR="00661AD2" w:rsidRPr="00661AD2">
          <w:rPr>
            <w:rFonts w:ascii="Cambria" w:eastAsia="MS Mincho" w:hAnsi="Cambria" w:cs="Times New Roman"/>
            <w:b/>
            <w:bCs/>
            <w:noProof/>
            <w:color w:val="000000" w:themeColor="text1"/>
            <w:lang w:eastAsia="en-GB"/>
          </w:rPr>
          <w:tab/>
        </w:r>
        <w:r w:rsidR="00661AD2" w:rsidRPr="00661AD2">
          <w:rPr>
            <w:rFonts w:eastAsia="MS Mincho" w:cs="Times New Roman"/>
            <w:b/>
            <w:bCs/>
            <w:noProof/>
            <w:color w:val="000000" w:themeColor="text1"/>
            <w:lang w:val="en-US"/>
          </w:rPr>
          <w:t>Introduction</w:t>
        </w:r>
        <w:r w:rsidR="00661AD2" w:rsidRPr="00661AD2">
          <w:rPr>
            <w:rFonts w:eastAsia="MS Mincho" w:cs="Times New Roman"/>
            <w:b/>
            <w:bCs/>
            <w:noProof/>
            <w:webHidden/>
            <w:color w:val="000000" w:themeColor="text1"/>
            <w:lang w:val="en-US"/>
          </w:rPr>
          <w:tab/>
        </w:r>
        <w:r w:rsidR="00F0101F">
          <w:rPr>
            <w:rFonts w:eastAsia="MS Mincho" w:cs="Times New Roman"/>
            <w:b/>
            <w:bCs/>
            <w:noProof/>
            <w:webHidden/>
            <w:color w:val="000000" w:themeColor="text1"/>
            <w:lang w:val="en-US"/>
          </w:rPr>
          <w:t>5</w:t>
        </w:r>
      </w:hyperlink>
    </w:p>
    <w:p w14:paraId="56505D5E" w14:textId="08EED9FD" w:rsidR="00661AD2" w:rsidRPr="00DA26E1" w:rsidRDefault="00D05FF8" w:rsidP="00DA26E1">
      <w:pPr>
        <w:tabs>
          <w:tab w:val="left" w:pos="660"/>
          <w:tab w:val="right" w:leader="dot" w:pos="9848"/>
        </w:tabs>
        <w:spacing w:after="100" w:line="360" w:lineRule="auto"/>
        <w:rPr>
          <w:rFonts w:eastAsia="MS Mincho" w:cs="Times New Roman"/>
          <w:b/>
          <w:bCs/>
          <w:noProof/>
          <w:color w:val="000000" w:themeColor="text1"/>
          <w:lang w:val="en-US"/>
        </w:rPr>
      </w:pPr>
      <w:hyperlink w:anchor="_Toc65145487" w:history="1">
        <w:r w:rsidR="00661AD2" w:rsidRPr="00661AD2">
          <w:rPr>
            <w:rFonts w:eastAsia="MS Mincho" w:cs="Times New Roman"/>
            <w:b/>
            <w:bCs/>
            <w:noProof/>
            <w:color w:val="000000" w:themeColor="text1"/>
            <w:lang w:val="en-US"/>
          </w:rPr>
          <w:t>2.0</w:t>
        </w:r>
        <w:r w:rsidR="00661AD2" w:rsidRPr="00661AD2">
          <w:rPr>
            <w:rFonts w:ascii="Cambria" w:eastAsia="MS Mincho" w:hAnsi="Cambria" w:cs="Times New Roman"/>
            <w:b/>
            <w:bCs/>
            <w:noProof/>
            <w:color w:val="000000" w:themeColor="text1"/>
            <w:lang w:eastAsia="en-GB"/>
          </w:rPr>
          <w:tab/>
        </w:r>
        <w:r w:rsidR="00DA26E1">
          <w:rPr>
            <w:rFonts w:eastAsia="MS Mincho" w:cs="Times New Roman"/>
            <w:b/>
            <w:bCs/>
            <w:noProof/>
            <w:color w:val="000000" w:themeColor="text1"/>
            <w:lang w:val="en-US"/>
          </w:rPr>
          <w:t>International Human Rights Standards</w:t>
        </w:r>
        <w:r w:rsidR="00661AD2" w:rsidRPr="00661AD2">
          <w:rPr>
            <w:rFonts w:eastAsia="MS Mincho" w:cs="Times New Roman"/>
            <w:b/>
            <w:bCs/>
            <w:noProof/>
            <w:webHidden/>
            <w:color w:val="000000" w:themeColor="text1"/>
            <w:lang w:val="en-US"/>
          </w:rPr>
          <w:tab/>
        </w:r>
        <w:r w:rsidR="00294E69">
          <w:rPr>
            <w:rFonts w:eastAsia="MS Mincho" w:cs="Times New Roman"/>
            <w:b/>
            <w:bCs/>
            <w:noProof/>
            <w:webHidden/>
            <w:color w:val="000000" w:themeColor="text1"/>
            <w:lang w:val="en-US"/>
          </w:rPr>
          <w:t>6</w:t>
        </w:r>
      </w:hyperlink>
    </w:p>
    <w:p w14:paraId="641AD3BC" w14:textId="3E8A68A8" w:rsidR="00112A98" w:rsidRPr="00661AD2" w:rsidRDefault="00DF196A" w:rsidP="00DF196A">
      <w:pPr>
        <w:tabs>
          <w:tab w:val="right" w:leader="dot" w:pos="9848"/>
        </w:tabs>
        <w:spacing w:after="100" w:line="360" w:lineRule="auto"/>
        <w:ind w:left="720"/>
        <w:rPr>
          <w:rFonts w:ascii="Cambria" w:eastAsia="MS Mincho" w:hAnsi="Cambria" w:cs="Times New Roman"/>
          <w:noProof/>
          <w:color w:val="000000" w:themeColor="text1"/>
          <w:lang w:eastAsia="en-GB"/>
        </w:rPr>
      </w:pPr>
      <w:r>
        <w:t xml:space="preserve">Housing and the </w:t>
      </w:r>
      <w:hyperlink w:anchor="_Toc65145488" w:history="1">
        <w:r>
          <w:rPr>
            <w:rFonts w:eastAsia="MS Mincho" w:cs="Times New Roman"/>
            <w:noProof/>
            <w:color w:val="000000" w:themeColor="text1"/>
            <w:lang w:val="en-US"/>
          </w:rPr>
          <w:t>European Convention on Human Rights</w:t>
        </w:r>
        <w:r w:rsidR="00112A98" w:rsidRPr="00661AD2">
          <w:rPr>
            <w:rFonts w:eastAsia="MS Mincho" w:cs="Times New Roman"/>
            <w:noProof/>
            <w:webHidden/>
            <w:color w:val="000000" w:themeColor="text1"/>
            <w:lang w:val="en-US"/>
          </w:rPr>
          <w:tab/>
        </w:r>
        <w:r w:rsidR="00294E69">
          <w:rPr>
            <w:rFonts w:eastAsia="MS Mincho" w:cs="Times New Roman"/>
            <w:noProof/>
            <w:webHidden/>
            <w:color w:val="000000" w:themeColor="text1"/>
            <w:lang w:val="en-US"/>
          </w:rPr>
          <w:t>7</w:t>
        </w:r>
      </w:hyperlink>
    </w:p>
    <w:p w14:paraId="7439C569" w14:textId="7EF70B70" w:rsidR="00661AD2" w:rsidRPr="00661AD2" w:rsidRDefault="00D05FF8" w:rsidP="00391A71">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93" w:history="1">
        <w:r w:rsidR="00661AD2" w:rsidRPr="00661AD2">
          <w:rPr>
            <w:rFonts w:eastAsia="MS Mincho" w:cs="Times New Roman"/>
            <w:b/>
            <w:bCs/>
            <w:noProof/>
            <w:color w:val="000000" w:themeColor="text1"/>
            <w:lang w:val="en-US"/>
          </w:rPr>
          <w:t>3.0</w:t>
        </w:r>
        <w:r w:rsidR="00661AD2" w:rsidRPr="00661AD2">
          <w:rPr>
            <w:rFonts w:ascii="Cambria" w:eastAsia="MS Mincho" w:hAnsi="Cambria" w:cs="Times New Roman"/>
            <w:b/>
            <w:bCs/>
            <w:noProof/>
            <w:color w:val="000000" w:themeColor="text1"/>
            <w:lang w:eastAsia="en-GB"/>
          </w:rPr>
          <w:tab/>
        </w:r>
        <w:r w:rsidR="00CB1C98" w:rsidRPr="000A4AB1">
          <w:rPr>
            <w:rFonts w:eastAsia="MS Mincho" w:cs="Times New Roman"/>
            <w:b/>
            <w:bCs/>
            <w:noProof/>
            <w:color w:val="000000" w:themeColor="text1"/>
            <w:lang w:val="en-US"/>
          </w:rPr>
          <w:t>Substantive Response to DfC Housing Strategy</w:t>
        </w:r>
        <w:r w:rsidR="00661AD2" w:rsidRPr="00661AD2">
          <w:rPr>
            <w:rFonts w:eastAsia="MS Mincho" w:cs="Times New Roman"/>
            <w:b/>
            <w:bCs/>
            <w:noProof/>
            <w:webHidden/>
            <w:color w:val="000000" w:themeColor="text1"/>
            <w:lang w:val="en-US"/>
          </w:rPr>
          <w:tab/>
        </w:r>
        <w:r w:rsidR="00294E69">
          <w:rPr>
            <w:rFonts w:eastAsia="MS Mincho" w:cs="Times New Roman"/>
            <w:b/>
            <w:bCs/>
            <w:noProof/>
            <w:webHidden/>
            <w:color w:val="000000" w:themeColor="text1"/>
            <w:lang w:val="en-US"/>
          </w:rPr>
          <w:t>8</w:t>
        </w:r>
      </w:hyperlink>
    </w:p>
    <w:p w14:paraId="67573F7C" w14:textId="13D74A1C" w:rsidR="00661AD2" w:rsidRPr="00661AD2" w:rsidRDefault="00D05FF8" w:rsidP="00391A71">
      <w:pPr>
        <w:tabs>
          <w:tab w:val="right" w:leader="dot" w:pos="9848"/>
        </w:tabs>
        <w:spacing w:after="100" w:line="360" w:lineRule="auto"/>
        <w:ind w:left="720"/>
        <w:rPr>
          <w:rFonts w:ascii="Cambria" w:eastAsia="MS Mincho" w:hAnsi="Cambria" w:cs="Times New Roman"/>
          <w:noProof/>
          <w:color w:val="000000" w:themeColor="text1"/>
          <w:lang w:eastAsia="en-GB"/>
        </w:rPr>
      </w:pPr>
      <w:hyperlink w:anchor="_Toc65145494" w:history="1">
        <w:r w:rsidR="00A41FCC">
          <w:rPr>
            <w:rFonts w:eastAsia="MS Mincho" w:cs="Times New Roman"/>
            <w:noProof/>
            <w:color w:val="000000" w:themeColor="text1"/>
            <w:lang w:val="en-US"/>
          </w:rPr>
          <w:t>Sustainable Communities and Homes</w:t>
        </w:r>
        <w:r w:rsidR="00661AD2" w:rsidRPr="00661AD2">
          <w:rPr>
            <w:rFonts w:eastAsia="MS Mincho" w:cs="Times New Roman"/>
            <w:noProof/>
            <w:webHidden/>
            <w:color w:val="000000" w:themeColor="text1"/>
            <w:lang w:val="en-US"/>
          </w:rPr>
          <w:tab/>
        </w:r>
        <w:r w:rsidR="00294E69">
          <w:rPr>
            <w:rFonts w:eastAsia="MS Mincho" w:cs="Times New Roman"/>
            <w:noProof/>
            <w:webHidden/>
            <w:color w:val="000000" w:themeColor="text1"/>
            <w:lang w:val="en-US"/>
          </w:rPr>
          <w:t>8</w:t>
        </w:r>
      </w:hyperlink>
    </w:p>
    <w:p w14:paraId="192B5915" w14:textId="2D8A81A2" w:rsidR="00661AD2" w:rsidRPr="00661AD2" w:rsidRDefault="00D05FF8" w:rsidP="00391A71">
      <w:pPr>
        <w:tabs>
          <w:tab w:val="right" w:leader="dot" w:pos="9848"/>
        </w:tabs>
        <w:spacing w:after="100" w:line="360" w:lineRule="auto"/>
        <w:ind w:left="720"/>
        <w:rPr>
          <w:rFonts w:ascii="Cambria" w:eastAsia="MS Mincho" w:hAnsi="Cambria" w:cs="Times New Roman"/>
          <w:noProof/>
          <w:color w:val="000000" w:themeColor="text1"/>
          <w:lang w:eastAsia="en-GB"/>
        </w:rPr>
      </w:pPr>
      <w:hyperlink w:anchor="_Toc65145495" w:history="1">
        <w:r w:rsidR="00A41FCC">
          <w:rPr>
            <w:rFonts w:eastAsia="MS Mincho" w:cs="Times New Roman"/>
            <w:noProof/>
            <w:color w:val="000000" w:themeColor="text1"/>
            <w:lang w:val="en-US"/>
          </w:rPr>
          <w:t>Housing Suppl</w:t>
        </w:r>
        <w:r w:rsidR="00525B02">
          <w:rPr>
            <w:rFonts w:eastAsia="MS Mincho" w:cs="Times New Roman"/>
            <w:noProof/>
            <w:color w:val="000000" w:themeColor="text1"/>
            <w:lang w:val="en-US"/>
          </w:rPr>
          <w:t>y</w:t>
        </w:r>
        <w:r w:rsidR="00A41FCC">
          <w:rPr>
            <w:rFonts w:eastAsia="MS Mincho" w:cs="Times New Roman"/>
            <w:noProof/>
            <w:color w:val="000000" w:themeColor="text1"/>
            <w:lang w:val="en-US"/>
          </w:rPr>
          <w:t xml:space="preserve"> and Finance</w:t>
        </w:r>
        <w:r w:rsidR="00661AD2" w:rsidRPr="00661AD2">
          <w:rPr>
            <w:rFonts w:eastAsia="MS Mincho" w:cs="Times New Roman"/>
            <w:noProof/>
            <w:webHidden/>
            <w:color w:val="000000" w:themeColor="text1"/>
            <w:lang w:val="en-US"/>
          </w:rPr>
          <w:tab/>
        </w:r>
        <w:r w:rsidR="00294E69">
          <w:rPr>
            <w:rFonts w:eastAsia="MS Mincho" w:cs="Times New Roman"/>
            <w:noProof/>
            <w:webHidden/>
            <w:color w:val="000000" w:themeColor="text1"/>
            <w:lang w:val="en-US"/>
          </w:rPr>
          <w:t>9</w:t>
        </w:r>
      </w:hyperlink>
    </w:p>
    <w:p w14:paraId="2F0536B9" w14:textId="2FCF20A0" w:rsidR="00661AD2" w:rsidRPr="00661AD2" w:rsidRDefault="00D05FF8" w:rsidP="00391A71">
      <w:pPr>
        <w:tabs>
          <w:tab w:val="right" w:leader="dot" w:pos="9848"/>
        </w:tabs>
        <w:spacing w:after="100" w:line="360" w:lineRule="auto"/>
        <w:ind w:left="720"/>
        <w:rPr>
          <w:rFonts w:ascii="Cambria" w:eastAsia="MS Mincho" w:hAnsi="Cambria" w:cs="Times New Roman"/>
          <w:noProof/>
          <w:color w:val="000000" w:themeColor="text1"/>
          <w:lang w:eastAsia="en-GB"/>
        </w:rPr>
      </w:pPr>
      <w:hyperlink w:anchor="_Toc65145496" w:history="1">
        <w:r w:rsidR="00525B02">
          <w:rPr>
            <w:rFonts w:eastAsia="MS Mincho" w:cs="Times New Roman"/>
            <w:noProof/>
            <w:color w:val="000000" w:themeColor="text1"/>
            <w:lang w:val="en-US"/>
          </w:rPr>
          <w:t>Housing and P</w:t>
        </w:r>
        <w:r w:rsidR="007F1328">
          <w:rPr>
            <w:rFonts w:eastAsia="MS Mincho" w:cs="Times New Roman"/>
            <w:noProof/>
            <w:color w:val="000000" w:themeColor="text1"/>
            <w:lang w:val="en-US"/>
          </w:rPr>
          <w:t>overty</w:t>
        </w:r>
        <w:r w:rsidR="00661AD2" w:rsidRPr="00661AD2">
          <w:rPr>
            <w:rFonts w:eastAsia="MS Mincho" w:cs="Times New Roman"/>
            <w:noProof/>
            <w:webHidden/>
            <w:color w:val="000000" w:themeColor="text1"/>
            <w:lang w:val="en-US"/>
          </w:rPr>
          <w:tab/>
        </w:r>
        <w:r w:rsidR="00294E69">
          <w:rPr>
            <w:rFonts w:eastAsia="MS Mincho" w:cs="Times New Roman"/>
            <w:noProof/>
            <w:webHidden/>
            <w:color w:val="000000" w:themeColor="text1"/>
            <w:lang w:val="en-US"/>
          </w:rPr>
          <w:t>11</w:t>
        </w:r>
      </w:hyperlink>
    </w:p>
    <w:bookmarkStart w:id="0" w:name="_Hlk75805377"/>
    <w:p w14:paraId="7611249B" w14:textId="377D4E6B" w:rsidR="00661AD2" w:rsidRPr="000B3102" w:rsidRDefault="00661AD2" w:rsidP="00391A71">
      <w:pPr>
        <w:tabs>
          <w:tab w:val="right" w:leader="dot" w:pos="9848"/>
        </w:tabs>
        <w:spacing w:after="100" w:line="360" w:lineRule="auto"/>
        <w:ind w:left="720"/>
        <w:rPr>
          <w:rFonts w:eastAsia="MS Mincho" w:cs="Times New Roman"/>
          <w:noProof/>
          <w:color w:val="000000" w:themeColor="text1"/>
        </w:rPr>
      </w:pPr>
      <w:r w:rsidRPr="00661AD2">
        <w:rPr>
          <w:rFonts w:eastAsia="MS Mincho" w:cs="Times New Roman"/>
          <w:color w:val="000000" w:themeColor="text1"/>
          <w:lang w:val="en-US"/>
        </w:rPr>
        <w:fldChar w:fldCharType="begin"/>
      </w:r>
      <w:r w:rsidRPr="00661AD2">
        <w:rPr>
          <w:rFonts w:eastAsia="MS Mincho" w:cs="Times New Roman"/>
          <w:color w:val="000000" w:themeColor="text1"/>
          <w:lang w:val="en-US"/>
        </w:rPr>
        <w:instrText xml:space="preserve"> HYPERLINK \l "_Toc65145497" </w:instrText>
      </w:r>
      <w:r w:rsidRPr="00661AD2">
        <w:rPr>
          <w:rFonts w:eastAsia="MS Mincho" w:cs="Times New Roman"/>
          <w:color w:val="000000" w:themeColor="text1"/>
          <w:lang w:val="en-US"/>
        </w:rPr>
        <w:fldChar w:fldCharType="separate"/>
      </w:r>
      <w:r w:rsidR="00EF3D5C">
        <w:rPr>
          <w:rFonts w:eastAsia="MS Mincho" w:cs="Times New Roman"/>
          <w:noProof/>
          <w:color w:val="000000" w:themeColor="text1"/>
          <w:lang w:val="en-US"/>
        </w:rPr>
        <w:t>Equality and Human Rights</w:t>
      </w:r>
      <w:r w:rsidRPr="00661AD2">
        <w:rPr>
          <w:rFonts w:eastAsia="MS Mincho" w:cs="Times New Roman"/>
          <w:noProof/>
          <w:webHidden/>
          <w:color w:val="000000" w:themeColor="text1"/>
          <w:lang w:val="en-US"/>
        </w:rPr>
        <w:tab/>
      </w:r>
      <w:r w:rsidR="00294E69">
        <w:rPr>
          <w:rFonts w:eastAsia="MS Mincho" w:cs="Times New Roman"/>
          <w:noProof/>
          <w:webHidden/>
          <w:color w:val="000000" w:themeColor="text1"/>
          <w:lang w:val="en-US"/>
        </w:rPr>
        <w:t>11</w:t>
      </w:r>
      <w:r w:rsidRPr="00661AD2">
        <w:rPr>
          <w:rFonts w:eastAsia="MS Mincho" w:cs="Times New Roman"/>
          <w:noProof/>
          <w:color w:val="000000" w:themeColor="text1"/>
          <w:lang w:val="en-US"/>
        </w:rPr>
        <w:fldChar w:fldCharType="end"/>
      </w:r>
    </w:p>
    <w:bookmarkEnd w:id="0"/>
    <w:p w14:paraId="0AB64081" w14:textId="3976E0EF" w:rsidR="007F1328" w:rsidRPr="000B3102" w:rsidRDefault="007F1328" w:rsidP="00EF3D5C">
      <w:pPr>
        <w:tabs>
          <w:tab w:val="right" w:leader="dot" w:pos="9848"/>
        </w:tabs>
        <w:spacing w:after="100" w:line="360" w:lineRule="auto"/>
        <w:ind w:left="720"/>
        <w:rPr>
          <w:rFonts w:eastAsia="MS Mincho" w:cs="Times New Roman"/>
          <w:noProof/>
          <w:color w:val="000000" w:themeColor="text1"/>
        </w:rPr>
      </w:pPr>
      <w:r w:rsidRPr="00661AD2">
        <w:rPr>
          <w:rFonts w:eastAsia="MS Mincho" w:cs="Times New Roman"/>
          <w:color w:val="000000" w:themeColor="text1"/>
          <w:lang w:val="en-US"/>
        </w:rPr>
        <w:fldChar w:fldCharType="begin"/>
      </w:r>
      <w:r w:rsidRPr="00661AD2">
        <w:rPr>
          <w:rFonts w:eastAsia="MS Mincho" w:cs="Times New Roman"/>
          <w:color w:val="000000" w:themeColor="text1"/>
          <w:lang w:val="en-US"/>
        </w:rPr>
        <w:instrText xml:space="preserve"> HYPERLINK \l "_Toc65145497" </w:instrText>
      </w:r>
      <w:r w:rsidRPr="00661AD2">
        <w:rPr>
          <w:rFonts w:eastAsia="MS Mincho" w:cs="Times New Roman"/>
          <w:color w:val="000000" w:themeColor="text1"/>
          <w:lang w:val="en-US"/>
        </w:rPr>
        <w:fldChar w:fldCharType="separate"/>
      </w:r>
      <w:r w:rsidR="00EF3D5C">
        <w:rPr>
          <w:rFonts w:eastAsia="MS Mincho" w:cs="Times New Roman"/>
          <w:noProof/>
          <w:color w:val="000000" w:themeColor="text1"/>
          <w:lang w:val="en-US"/>
        </w:rPr>
        <w:t>Climate Change / Net Zero</w:t>
      </w:r>
      <w:r w:rsidRPr="00661AD2">
        <w:rPr>
          <w:rFonts w:eastAsia="MS Mincho" w:cs="Times New Roman"/>
          <w:noProof/>
          <w:webHidden/>
          <w:color w:val="000000" w:themeColor="text1"/>
          <w:lang w:val="en-US"/>
        </w:rPr>
        <w:tab/>
      </w:r>
      <w:r w:rsidR="00297DEA">
        <w:rPr>
          <w:rFonts w:eastAsia="MS Mincho" w:cs="Times New Roman"/>
          <w:noProof/>
          <w:webHidden/>
          <w:color w:val="000000" w:themeColor="text1"/>
          <w:lang w:val="en-US"/>
        </w:rPr>
        <w:t>15</w:t>
      </w:r>
      <w:r w:rsidRPr="00661AD2">
        <w:rPr>
          <w:rFonts w:eastAsia="MS Mincho" w:cs="Times New Roman"/>
          <w:noProof/>
          <w:color w:val="000000" w:themeColor="text1"/>
          <w:lang w:val="en-US"/>
        </w:rPr>
        <w:fldChar w:fldCharType="end"/>
      </w:r>
    </w:p>
    <w:p w14:paraId="0CD54173" w14:textId="77777777" w:rsidR="008E504E" w:rsidRPr="000B3102" w:rsidRDefault="008E504E" w:rsidP="004950B7">
      <w:pPr>
        <w:pStyle w:val="Default"/>
        <w:spacing w:line="480" w:lineRule="auto"/>
        <w:rPr>
          <w:rFonts w:cs="Arial"/>
          <w:b/>
          <w:color w:val="000000" w:themeColor="text1"/>
        </w:rPr>
      </w:pPr>
    </w:p>
    <w:p w14:paraId="6C3C8F2C" w14:textId="77777777" w:rsidR="008E504E" w:rsidRPr="004950B7" w:rsidRDefault="008E504E" w:rsidP="004950B7">
      <w:pPr>
        <w:pStyle w:val="Default"/>
        <w:spacing w:line="480" w:lineRule="auto"/>
        <w:rPr>
          <w:rFonts w:cs="Arial"/>
          <w:b/>
          <w:color w:val="232120"/>
        </w:rPr>
      </w:pPr>
    </w:p>
    <w:p w14:paraId="6A4D863D" w14:textId="77777777" w:rsidR="008E504E" w:rsidRDefault="008E504E" w:rsidP="004950B7">
      <w:pPr>
        <w:pStyle w:val="Default"/>
        <w:spacing w:line="480" w:lineRule="auto"/>
        <w:rPr>
          <w:rFonts w:cs="Arial"/>
          <w:b/>
          <w:color w:val="232120"/>
        </w:rPr>
      </w:pPr>
    </w:p>
    <w:p w14:paraId="3B23CAB8" w14:textId="77777777" w:rsidR="000B3102" w:rsidRDefault="000B3102" w:rsidP="004950B7">
      <w:pPr>
        <w:pStyle w:val="Default"/>
        <w:spacing w:line="480" w:lineRule="auto"/>
        <w:rPr>
          <w:rFonts w:cs="Arial"/>
          <w:b/>
          <w:color w:val="232120"/>
        </w:rPr>
      </w:pPr>
    </w:p>
    <w:p w14:paraId="6724D8A5" w14:textId="77777777" w:rsidR="000B3102" w:rsidRDefault="000B3102" w:rsidP="004950B7">
      <w:pPr>
        <w:pStyle w:val="Default"/>
        <w:spacing w:line="480" w:lineRule="auto"/>
        <w:rPr>
          <w:rFonts w:cs="Arial"/>
          <w:b/>
          <w:color w:val="232120"/>
        </w:rPr>
      </w:pPr>
    </w:p>
    <w:p w14:paraId="0B98300D" w14:textId="77777777" w:rsidR="000B3102" w:rsidRDefault="000B3102" w:rsidP="004950B7">
      <w:pPr>
        <w:pStyle w:val="Default"/>
        <w:spacing w:line="480" w:lineRule="auto"/>
        <w:rPr>
          <w:rFonts w:cs="Arial"/>
          <w:b/>
          <w:color w:val="232120"/>
        </w:rPr>
      </w:pPr>
    </w:p>
    <w:p w14:paraId="68780ABB" w14:textId="77777777" w:rsidR="000B3102" w:rsidRDefault="000B3102" w:rsidP="004950B7">
      <w:pPr>
        <w:pStyle w:val="Default"/>
        <w:spacing w:line="480" w:lineRule="auto"/>
        <w:rPr>
          <w:rFonts w:cs="Arial"/>
          <w:b/>
          <w:color w:val="232120"/>
        </w:rPr>
      </w:pPr>
    </w:p>
    <w:p w14:paraId="6040A7FC" w14:textId="77777777" w:rsidR="000B3102" w:rsidRDefault="000B3102" w:rsidP="004950B7">
      <w:pPr>
        <w:pStyle w:val="Default"/>
        <w:spacing w:line="480" w:lineRule="auto"/>
        <w:rPr>
          <w:rFonts w:cs="Arial"/>
          <w:b/>
          <w:color w:val="232120"/>
        </w:rPr>
      </w:pPr>
    </w:p>
    <w:p w14:paraId="2B7958A6" w14:textId="77777777" w:rsidR="000B3102" w:rsidRDefault="000B3102" w:rsidP="004950B7">
      <w:pPr>
        <w:pStyle w:val="Default"/>
        <w:spacing w:line="480" w:lineRule="auto"/>
        <w:rPr>
          <w:rFonts w:cs="Arial"/>
          <w:b/>
          <w:color w:val="232120"/>
        </w:rPr>
      </w:pPr>
    </w:p>
    <w:p w14:paraId="694A9392" w14:textId="45CF9D7A" w:rsidR="000B3102" w:rsidRDefault="000B3102" w:rsidP="004950B7">
      <w:pPr>
        <w:pStyle w:val="Default"/>
        <w:spacing w:line="480" w:lineRule="auto"/>
        <w:rPr>
          <w:rFonts w:cs="Arial"/>
          <w:b/>
          <w:color w:val="232120"/>
        </w:rPr>
      </w:pPr>
    </w:p>
    <w:p w14:paraId="48D9362C" w14:textId="5000228E" w:rsidR="00DA26E1" w:rsidRDefault="00DA26E1" w:rsidP="004950B7">
      <w:pPr>
        <w:pStyle w:val="Default"/>
        <w:spacing w:line="480" w:lineRule="auto"/>
        <w:rPr>
          <w:rFonts w:cs="Arial"/>
          <w:b/>
          <w:color w:val="232120"/>
        </w:rPr>
      </w:pPr>
    </w:p>
    <w:p w14:paraId="303A82FE" w14:textId="77777777" w:rsidR="00DA26E1" w:rsidRDefault="00DA26E1" w:rsidP="004950B7">
      <w:pPr>
        <w:pStyle w:val="Default"/>
        <w:spacing w:line="480" w:lineRule="auto"/>
        <w:rPr>
          <w:rFonts w:cs="Arial"/>
          <w:b/>
          <w:color w:val="232120"/>
        </w:rPr>
      </w:pPr>
    </w:p>
    <w:p w14:paraId="6D0C3BE0" w14:textId="77777777" w:rsidR="00870B7A" w:rsidRDefault="00870B7A" w:rsidP="004950B7">
      <w:pPr>
        <w:pStyle w:val="Default"/>
        <w:spacing w:line="480" w:lineRule="auto"/>
        <w:rPr>
          <w:rFonts w:cs="Arial"/>
          <w:b/>
          <w:color w:val="232120"/>
        </w:rPr>
      </w:pPr>
    </w:p>
    <w:p w14:paraId="0961F98A" w14:textId="77777777" w:rsidR="00870B7A" w:rsidRDefault="00870B7A" w:rsidP="004950B7">
      <w:pPr>
        <w:pStyle w:val="Default"/>
        <w:spacing w:line="480" w:lineRule="auto"/>
        <w:rPr>
          <w:rFonts w:cs="Arial"/>
          <w:b/>
          <w:color w:val="232120"/>
        </w:rPr>
      </w:pPr>
    </w:p>
    <w:p w14:paraId="0EAECBAC" w14:textId="77777777" w:rsidR="000B3102" w:rsidRPr="000B335E" w:rsidRDefault="0062440E" w:rsidP="00BF02D6">
      <w:pPr>
        <w:rPr>
          <w:b/>
          <w:bCs/>
          <w:color w:val="7030A0"/>
          <w:sz w:val="32"/>
          <w:szCs w:val="32"/>
        </w:rPr>
      </w:pPr>
      <w:r>
        <w:rPr>
          <w:b/>
          <w:bCs/>
          <w:color w:val="7030A0"/>
          <w:sz w:val="32"/>
          <w:szCs w:val="32"/>
        </w:rPr>
        <w:t xml:space="preserve">Summary of </w:t>
      </w:r>
      <w:r w:rsidR="000B3102" w:rsidRPr="000B335E">
        <w:rPr>
          <w:b/>
          <w:bCs/>
          <w:color w:val="7030A0"/>
          <w:sz w:val="32"/>
          <w:szCs w:val="32"/>
        </w:rPr>
        <w:t xml:space="preserve">Recommendations </w:t>
      </w:r>
    </w:p>
    <w:p w14:paraId="62C84339" w14:textId="77777777" w:rsidR="000B3102" w:rsidRPr="005841C4" w:rsidRDefault="000B3102" w:rsidP="000B3102">
      <w:pPr>
        <w:pStyle w:val="ListParagraph"/>
      </w:pPr>
    </w:p>
    <w:p w14:paraId="37C7D552" w14:textId="77777777" w:rsidR="000B3102" w:rsidRDefault="000B3102" w:rsidP="000B3102"/>
    <w:p w14:paraId="4AAEE81D" w14:textId="77777777" w:rsidR="007A3843" w:rsidRPr="00571C2B" w:rsidRDefault="007A3843" w:rsidP="00C525F0">
      <w:pPr>
        <w:pStyle w:val="ListParagraph"/>
        <w:numPr>
          <w:ilvl w:val="0"/>
          <w:numId w:val="22"/>
        </w:numPr>
        <w:jc w:val="both"/>
        <w:rPr>
          <w:b/>
          <w:color w:val="000000"/>
        </w:rPr>
      </w:pPr>
      <w:r w:rsidRPr="00571C2B">
        <w:rPr>
          <w:b/>
        </w:rPr>
        <w:t xml:space="preserve">The NIHRC recommends that any reform of the NI Housing Executive is progressed on the basis of meaningful consultation with tenants and other stakeholders. </w:t>
      </w:r>
    </w:p>
    <w:p w14:paraId="084F8F0C" w14:textId="77777777" w:rsidR="000B3102" w:rsidRDefault="000B3102" w:rsidP="00C525F0">
      <w:pPr>
        <w:pStyle w:val="Default"/>
        <w:rPr>
          <w:rFonts w:cs="Arial"/>
          <w:b/>
          <w:color w:val="232120"/>
        </w:rPr>
      </w:pPr>
    </w:p>
    <w:p w14:paraId="0B48D53A" w14:textId="77777777" w:rsidR="00EE3296" w:rsidRPr="00571C2B" w:rsidRDefault="00EE3296" w:rsidP="00C525F0">
      <w:pPr>
        <w:pStyle w:val="ListParagraph"/>
        <w:numPr>
          <w:ilvl w:val="0"/>
          <w:numId w:val="22"/>
        </w:numPr>
        <w:jc w:val="both"/>
        <w:rPr>
          <w:color w:val="000000"/>
        </w:rPr>
      </w:pPr>
      <w:r w:rsidRPr="00571C2B">
        <w:rPr>
          <w:b/>
          <w:bCs/>
        </w:rPr>
        <w:t>The NIHRC recommends a rebalancing of housing provision in NI an increased focus on provision of publicly owned, social housing and increased regulation of the private rented housing sector.</w:t>
      </w:r>
    </w:p>
    <w:p w14:paraId="6F2F742E" w14:textId="77777777" w:rsidR="000B3102" w:rsidRDefault="000B3102" w:rsidP="00C525F0">
      <w:pPr>
        <w:pStyle w:val="Default"/>
        <w:rPr>
          <w:rFonts w:cs="Arial"/>
          <w:b/>
          <w:color w:val="232120"/>
        </w:rPr>
      </w:pPr>
    </w:p>
    <w:p w14:paraId="0A890B17" w14:textId="1A12B297" w:rsidR="000B3102" w:rsidRDefault="00EE3296" w:rsidP="00C525F0">
      <w:pPr>
        <w:pStyle w:val="Default"/>
        <w:numPr>
          <w:ilvl w:val="0"/>
          <w:numId w:val="22"/>
        </w:numPr>
        <w:rPr>
          <w:rFonts w:cs="Arial"/>
          <w:b/>
          <w:color w:val="232120"/>
        </w:rPr>
      </w:pPr>
      <w:r w:rsidRPr="00EE3296">
        <w:rPr>
          <w:rFonts w:cs="Arial"/>
          <w:b/>
          <w:color w:val="232120"/>
        </w:rPr>
        <w:t>The NIHRC recommends that the ending of so called ‘right to buy’ for housing association tenants be extended to NI Housing Executive properties. We also recommend that any schemes for discretionary or voluntary sale for social housing be restricted to reflect the necessity of retaining public housing assets.</w:t>
      </w:r>
    </w:p>
    <w:p w14:paraId="467B26EE" w14:textId="77777777" w:rsidR="000B3102" w:rsidRDefault="000B3102" w:rsidP="00C525F0">
      <w:pPr>
        <w:pStyle w:val="Default"/>
        <w:rPr>
          <w:rFonts w:cs="Arial"/>
          <w:b/>
          <w:color w:val="232120"/>
        </w:rPr>
      </w:pPr>
    </w:p>
    <w:p w14:paraId="6AD07775" w14:textId="77777777" w:rsidR="00A840D1" w:rsidRPr="00571C2B" w:rsidRDefault="00A840D1" w:rsidP="00C525F0">
      <w:pPr>
        <w:pStyle w:val="ListParagraph"/>
        <w:numPr>
          <w:ilvl w:val="0"/>
          <w:numId w:val="22"/>
        </w:numPr>
        <w:jc w:val="both"/>
        <w:rPr>
          <w:b/>
          <w:bCs/>
        </w:rPr>
      </w:pPr>
      <w:r w:rsidRPr="00571C2B">
        <w:rPr>
          <w:b/>
          <w:bCs/>
        </w:rPr>
        <w:t>The NIHRC recommends, as a minimum, the permanent retention of the uplift to the Local Housing Allowance (LHA) rate to the bottom 30th percentile and suggest DfC seek additional funding to increase the LHA further.</w:t>
      </w:r>
    </w:p>
    <w:p w14:paraId="7D914D6D" w14:textId="77777777" w:rsidR="000B3102" w:rsidRDefault="000B3102" w:rsidP="00C525F0">
      <w:pPr>
        <w:pStyle w:val="Default"/>
        <w:rPr>
          <w:rFonts w:cs="Arial"/>
          <w:b/>
          <w:color w:val="232120"/>
        </w:rPr>
      </w:pPr>
    </w:p>
    <w:p w14:paraId="25945EBB" w14:textId="4E97E058" w:rsidR="00A840D1" w:rsidRPr="00571C2B" w:rsidRDefault="00A840D1" w:rsidP="00C525F0">
      <w:pPr>
        <w:pStyle w:val="ListParagraph"/>
        <w:numPr>
          <w:ilvl w:val="0"/>
          <w:numId w:val="22"/>
        </w:numPr>
        <w:jc w:val="both"/>
        <w:rPr>
          <w:b/>
          <w:bCs/>
        </w:rPr>
      </w:pPr>
      <w:r w:rsidRPr="00571C2B">
        <w:rPr>
          <w:b/>
          <w:bCs/>
        </w:rPr>
        <w:t>The NIHRC recommends the introduction of legislation to prohibit the discriminatory practice of refusing tenancies to those in receipt of social security benefits.</w:t>
      </w:r>
    </w:p>
    <w:p w14:paraId="338663AA" w14:textId="45AA467A" w:rsidR="00A6545E" w:rsidRDefault="00A6545E" w:rsidP="00C525F0">
      <w:pPr>
        <w:jc w:val="both"/>
        <w:rPr>
          <w:b/>
          <w:bCs/>
        </w:rPr>
      </w:pPr>
    </w:p>
    <w:p w14:paraId="35A25404" w14:textId="77777777" w:rsidR="00A6545E" w:rsidRPr="00571C2B" w:rsidRDefault="00A6545E" w:rsidP="00C525F0">
      <w:pPr>
        <w:pStyle w:val="ListParagraph"/>
        <w:numPr>
          <w:ilvl w:val="0"/>
          <w:numId w:val="22"/>
        </w:numPr>
        <w:jc w:val="both"/>
        <w:rPr>
          <w:b/>
          <w:bCs/>
        </w:rPr>
      </w:pPr>
      <w:r w:rsidRPr="00571C2B">
        <w:rPr>
          <w:b/>
          <w:bCs/>
        </w:rPr>
        <w:t>The NIHRC recommends the supplementing of the DfC target of 10% of new build housing being disability accessible by making more new build houses easily adaptable to become disability accessible in the future.</w:t>
      </w:r>
    </w:p>
    <w:p w14:paraId="305E885E" w14:textId="77777777" w:rsidR="00A6545E" w:rsidRPr="00A840D1" w:rsidRDefault="00A6545E" w:rsidP="00C525F0">
      <w:pPr>
        <w:jc w:val="both"/>
        <w:rPr>
          <w:b/>
          <w:bCs/>
        </w:rPr>
      </w:pPr>
    </w:p>
    <w:p w14:paraId="54B3788E" w14:textId="77777777" w:rsidR="00A6545E" w:rsidRPr="00571C2B" w:rsidRDefault="00A6545E" w:rsidP="00C525F0">
      <w:pPr>
        <w:pStyle w:val="ListParagraph"/>
        <w:numPr>
          <w:ilvl w:val="0"/>
          <w:numId w:val="22"/>
        </w:numPr>
        <w:jc w:val="both"/>
        <w:rPr>
          <w:b/>
          <w:bCs/>
        </w:rPr>
      </w:pPr>
      <w:r w:rsidRPr="00571C2B">
        <w:rPr>
          <w:b/>
          <w:bCs/>
        </w:rPr>
        <w:t>The NIHRC recommends recognising the cultural rights of the Irish Traveller Community to live their traditional lifestyle and to provide appropriate sites for Traveller accommodation with sufficient access to essential utilities.</w:t>
      </w:r>
    </w:p>
    <w:p w14:paraId="6B593918" w14:textId="77777777" w:rsidR="007835C4" w:rsidRDefault="007835C4" w:rsidP="00C525F0">
      <w:pPr>
        <w:jc w:val="both"/>
        <w:rPr>
          <w:b/>
          <w:bCs/>
        </w:rPr>
      </w:pPr>
    </w:p>
    <w:p w14:paraId="1A340487" w14:textId="77777777" w:rsidR="00571C2B" w:rsidRPr="00571C2B" w:rsidRDefault="00A6545E" w:rsidP="00C525F0">
      <w:pPr>
        <w:pStyle w:val="ListParagraph"/>
        <w:numPr>
          <w:ilvl w:val="0"/>
          <w:numId w:val="22"/>
        </w:numPr>
        <w:jc w:val="both"/>
      </w:pPr>
      <w:r w:rsidRPr="00571C2B">
        <w:rPr>
          <w:b/>
          <w:bCs/>
        </w:rPr>
        <w:t>NIHRC recommends further regulation of Houses of Multiple Occupancy and giving tenants greater rights to security of tenure in private rental housing and protection from no fault eviction.</w:t>
      </w:r>
    </w:p>
    <w:p w14:paraId="589E7122" w14:textId="77777777" w:rsidR="00571C2B" w:rsidRPr="00571C2B" w:rsidRDefault="00571C2B" w:rsidP="00C525F0">
      <w:pPr>
        <w:pStyle w:val="ListParagraph"/>
        <w:rPr>
          <w:b/>
          <w:bCs/>
        </w:rPr>
      </w:pPr>
    </w:p>
    <w:p w14:paraId="72983CB6" w14:textId="77777777" w:rsidR="00C6559D" w:rsidRPr="00C6559D" w:rsidRDefault="00571C2B" w:rsidP="00C525F0">
      <w:pPr>
        <w:pStyle w:val="ListParagraph"/>
        <w:numPr>
          <w:ilvl w:val="0"/>
          <w:numId w:val="22"/>
        </w:numPr>
        <w:jc w:val="both"/>
      </w:pPr>
      <w:r w:rsidRPr="00571C2B">
        <w:rPr>
          <w:b/>
          <w:bCs/>
        </w:rPr>
        <w:t>The NIHRC recommends more consideration be given at planning and design stage for provision of greater private outdoor and public communal areas for increased socialising.</w:t>
      </w:r>
    </w:p>
    <w:p w14:paraId="555E1923" w14:textId="77777777" w:rsidR="00C6559D" w:rsidRPr="00C6559D" w:rsidRDefault="00C6559D" w:rsidP="00C525F0">
      <w:pPr>
        <w:pStyle w:val="ListParagraph"/>
        <w:rPr>
          <w:b/>
          <w:bCs/>
        </w:rPr>
      </w:pPr>
    </w:p>
    <w:p w14:paraId="65F40025" w14:textId="77777777" w:rsidR="00C6559D" w:rsidRPr="00C6559D" w:rsidRDefault="00571C2B" w:rsidP="00C525F0">
      <w:pPr>
        <w:pStyle w:val="ListParagraph"/>
        <w:numPr>
          <w:ilvl w:val="0"/>
          <w:numId w:val="22"/>
        </w:numPr>
        <w:jc w:val="both"/>
      </w:pPr>
      <w:r w:rsidRPr="00C6559D">
        <w:rPr>
          <w:b/>
          <w:bCs/>
        </w:rPr>
        <w:lastRenderedPageBreak/>
        <w:t>The NIHRC recommends the continuation and expansion of the ‘Shared Housing Programme’ whilst also ensuring that provision of house building and housing allocation being prioritised on need.</w:t>
      </w:r>
    </w:p>
    <w:p w14:paraId="5CB676AA" w14:textId="77777777" w:rsidR="00C6559D" w:rsidRPr="00C6559D" w:rsidRDefault="00C6559D" w:rsidP="00C525F0">
      <w:pPr>
        <w:pStyle w:val="ListParagraph"/>
        <w:rPr>
          <w:b/>
          <w:bCs/>
        </w:rPr>
      </w:pPr>
    </w:p>
    <w:p w14:paraId="1C3C0E55" w14:textId="06B4ECFB" w:rsidR="00C6559D" w:rsidRPr="00C6559D" w:rsidRDefault="00C6559D" w:rsidP="00C525F0">
      <w:pPr>
        <w:pStyle w:val="ListParagraph"/>
        <w:numPr>
          <w:ilvl w:val="0"/>
          <w:numId w:val="22"/>
        </w:numPr>
        <w:jc w:val="both"/>
      </w:pPr>
      <w:r w:rsidRPr="00C6559D">
        <w:rPr>
          <w:b/>
          <w:bCs/>
        </w:rPr>
        <w:t xml:space="preserve">The NIHRC recommends utilising a number of initiatives to ensure both public and private housing in NI is as carbon neutral as possible. </w:t>
      </w:r>
    </w:p>
    <w:p w14:paraId="1F432184" w14:textId="77777777" w:rsidR="000B3102" w:rsidRDefault="000B3102" w:rsidP="00EE3296">
      <w:pPr>
        <w:pStyle w:val="Default"/>
        <w:spacing w:line="276" w:lineRule="auto"/>
        <w:rPr>
          <w:rFonts w:cs="Arial"/>
          <w:b/>
          <w:color w:val="232120"/>
        </w:rPr>
      </w:pPr>
    </w:p>
    <w:p w14:paraId="6D6981CB" w14:textId="77777777" w:rsidR="006A7652" w:rsidRDefault="006A7652" w:rsidP="00EE3296">
      <w:pPr>
        <w:pStyle w:val="Default"/>
        <w:spacing w:line="276" w:lineRule="auto"/>
        <w:rPr>
          <w:rFonts w:cs="Arial"/>
          <w:b/>
          <w:color w:val="232120"/>
        </w:rPr>
      </w:pPr>
    </w:p>
    <w:p w14:paraId="03A53579" w14:textId="77777777" w:rsidR="006A7652" w:rsidRDefault="006A7652" w:rsidP="004950B7">
      <w:pPr>
        <w:pStyle w:val="Default"/>
        <w:spacing w:line="480" w:lineRule="auto"/>
        <w:rPr>
          <w:rFonts w:cs="Arial"/>
          <w:b/>
          <w:color w:val="232120"/>
        </w:rPr>
      </w:pPr>
    </w:p>
    <w:p w14:paraId="740105A5" w14:textId="77777777" w:rsidR="006A7652" w:rsidRDefault="006A7652" w:rsidP="004950B7">
      <w:pPr>
        <w:pStyle w:val="Default"/>
        <w:spacing w:line="480" w:lineRule="auto"/>
        <w:rPr>
          <w:rFonts w:cs="Arial"/>
          <w:b/>
          <w:color w:val="232120"/>
        </w:rPr>
      </w:pPr>
    </w:p>
    <w:p w14:paraId="66428EF7" w14:textId="77777777" w:rsidR="006A7652" w:rsidRDefault="006A7652" w:rsidP="004950B7">
      <w:pPr>
        <w:pStyle w:val="Default"/>
        <w:spacing w:line="480" w:lineRule="auto"/>
        <w:rPr>
          <w:rFonts w:cs="Arial"/>
          <w:b/>
          <w:color w:val="232120"/>
        </w:rPr>
      </w:pPr>
    </w:p>
    <w:p w14:paraId="227375AB" w14:textId="77777777" w:rsidR="006A7652" w:rsidRDefault="006A7652" w:rsidP="004950B7">
      <w:pPr>
        <w:pStyle w:val="Default"/>
        <w:spacing w:line="480" w:lineRule="auto"/>
        <w:rPr>
          <w:rFonts w:cs="Arial"/>
          <w:b/>
          <w:color w:val="232120"/>
        </w:rPr>
      </w:pPr>
    </w:p>
    <w:p w14:paraId="4275F617" w14:textId="75266FFB" w:rsidR="006A7652" w:rsidRDefault="006A7652" w:rsidP="004950B7">
      <w:pPr>
        <w:pStyle w:val="Default"/>
        <w:spacing w:line="480" w:lineRule="auto"/>
        <w:rPr>
          <w:rFonts w:cs="Arial"/>
          <w:b/>
          <w:color w:val="232120"/>
        </w:rPr>
      </w:pPr>
    </w:p>
    <w:p w14:paraId="5EA2D45C" w14:textId="27B9C815" w:rsidR="00C6559D" w:rsidRDefault="00C6559D" w:rsidP="004950B7">
      <w:pPr>
        <w:pStyle w:val="Default"/>
        <w:spacing w:line="480" w:lineRule="auto"/>
        <w:rPr>
          <w:rFonts w:cs="Arial"/>
          <w:b/>
          <w:color w:val="232120"/>
        </w:rPr>
      </w:pPr>
    </w:p>
    <w:p w14:paraId="1D3D8E5F" w14:textId="5D8B8397" w:rsidR="00C6559D" w:rsidRDefault="00C6559D" w:rsidP="004950B7">
      <w:pPr>
        <w:pStyle w:val="Default"/>
        <w:spacing w:line="480" w:lineRule="auto"/>
        <w:rPr>
          <w:rFonts w:cs="Arial"/>
          <w:b/>
          <w:color w:val="232120"/>
        </w:rPr>
      </w:pPr>
    </w:p>
    <w:p w14:paraId="4C4410B8" w14:textId="6A424D04" w:rsidR="00C6559D" w:rsidRDefault="00C6559D" w:rsidP="004950B7">
      <w:pPr>
        <w:pStyle w:val="Default"/>
        <w:spacing w:line="480" w:lineRule="auto"/>
        <w:rPr>
          <w:rFonts w:cs="Arial"/>
          <w:b/>
          <w:color w:val="232120"/>
        </w:rPr>
      </w:pPr>
    </w:p>
    <w:p w14:paraId="0C917B0E" w14:textId="442A9171" w:rsidR="00C6559D" w:rsidRDefault="00C6559D" w:rsidP="004950B7">
      <w:pPr>
        <w:pStyle w:val="Default"/>
        <w:spacing w:line="480" w:lineRule="auto"/>
        <w:rPr>
          <w:rFonts w:cs="Arial"/>
          <w:b/>
          <w:color w:val="232120"/>
        </w:rPr>
      </w:pPr>
    </w:p>
    <w:p w14:paraId="301A6F39" w14:textId="0129A904" w:rsidR="00C6559D" w:rsidRDefault="00C6559D" w:rsidP="004950B7">
      <w:pPr>
        <w:pStyle w:val="Default"/>
        <w:spacing w:line="480" w:lineRule="auto"/>
        <w:rPr>
          <w:rFonts w:cs="Arial"/>
          <w:b/>
          <w:color w:val="232120"/>
        </w:rPr>
      </w:pPr>
    </w:p>
    <w:p w14:paraId="3645A09F" w14:textId="282FC703" w:rsidR="00C6559D" w:rsidRDefault="00C6559D" w:rsidP="004950B7">
      <w:pPr>
        <w:pStyle w:val="Default"/>
        <w:spacing w:line="480" w:lineRule="auto"/>
        <w:rPr>
          <w:rFonts w:cs="Arial"/>
          <w:b/>
          <w:color w:val="232120"/>
        </w:rPr>
      </w:pPr>
    </w:p>
    <w:p w14:paraId="4BF27576" w14:textId="2F9112A0" w:rsidR="00C6559D" w:rsidRDefault="00C6559D" w:rsidP="004950B7">
      <w:pPr>
        <w:pStyle w:val="Default"/>
        <w:spacing w:line="480" w:lineRule="auto"/>
        <w:rPr>
          <w:rFonts w:cs="Arial"/>
          <w:b/>
          <w:color w:val="232120"/>
        </w:rPr>
      </w:pPr>
    </w:p>
    <w:p w14:paraId="6B844709" w14:textId="4CA605FA" w:rsidR="00C6559D" w:rsidRDefault="00C6559D" w:rsidP="004950B7">
      <w:pPr>
        <w:pStyle w:val="Default"/>
        <w:spacing w:line="480" w:lineRule="auto"/>
        <w:rPr>
          <w:rFonts w:cs="Arial"/>
          <w:b/>
          <w:color w:val="232120"/>
        </w:rPr>
      </w:pPr>
    </w:p>
    <w:p w14:paraId="18401C44" w14:textId="6E892B60" w:rsidR="00C6559D" w:rsidRDefault="00C6559D" w:rsidP="004950B7">
      <w:pPr>
        <w:pStyle w:val="Default"/>
        <w:spacing w:line="480" w:lineRule="auto"/>
        <w:rPr>
          <w:rFonts w:cs="Arial"/>
          <w:b/>
          <w:color w:val="232120"/>
        </w:rPr>
      </w:pPr>
    </w:p>
    <w:p w14:paraId="1F51F771" w14:textId="268E5D61" w:rsidR="00C6559D" w:rsidRDefault="00C6559D" w:rsidP="004950B7">
      <w:pPr>
        <w:pStyle w:val="Default"/>
        <w:spacing w:line="480" w:lineRule="auto"/>
        <w:rPr>
          <w:rFonts w:cs="Arial"/>
          <w:b/>
          <w:color w:val="232120"/>
        </w:rPr>
      </w:pPr>
    </w:p>
    <w:p w14:paraId="3EA115F9" w14:textId="44D4D317" w:rsidR="00C6559D" w:rsidRDefault="00C6559D" w:rsidP="004950B7">
      <w:pPr>
        <w:pStyle w:val="Default"/>
        <w:spacing w:line="480" w:lineRule="auto"/>
        <w:rPr>
          <w:rFonts w:cs="Arial"/>
          <w:b/>
          <w:color w:val="232120"/>
        </w:rPr>
      </w:pPr>
    </w:p>
    <w:p w14:paraId="33B2E6D5" w14:textId="714E4C2C" w:rsidR="00C6559D" w:rsidRDefault="00C6559D" w:rsidP="004950B7">
      <w:pPr>
        <w:pStyle w:val="Default"/>
        <w:spacing w:line="480" w:lineRule="auto"/>
        <w:rPr>
          <w:rFonts w:cs="Arial"/>
          <w:b/>
          <w:color w:val="232120"/>
        </w:rPr>
      </w:pPr>
    </w:p>
    <w:p w14:paraId="63CD292C" w14:textId="50B15A1F" w:rsidR="00C6559D" w:rsidRDefault="00C6559D" w:rsidP="004950B7">
      <w:pPr>
        <w:pStyle w:val="Default"/>
        <w:spacing w:line="480" w:lineRule="auto"/>
        <w:rPr>
          <w:rFonts w:cs="Arial"/>
          <w:b/>
          <w:color w:val="232120"/>
        </w:rPr>
      </w:pPr>
    </w:p>
    <w:p w14:paraId="3EDB28A2" w14:textId="77777777" w:rsidR="00C6559D" w:rsidRDefault="00C6559D" w:rsidP="004950B7">
      <w:pPr>
        <w:pStyle w:val="Default"/>
        <w:spacing w:line="480" w:lineRule="auto"/>
        <w:rPr>
          <w:rFonts w:cs="Arial"/>
          <w:b/>
          <w:color w:val="232120"/>
        </w:rPr>
      </w:pPr>
    </w:p>
    <w:p w14:paraId="609D4022" w14:textId="77777777" w:rsidR="002234D8" w:rsidRDefault="002234D8" w:rsidP="00870B7A">
      <w:pPr>
        <w:tabs>
          <w:tab w:val="left" w:pos="915"/>
        </w:tabs>
      </w:pPr>
    </w:p>
    <w:p w14:paraId="0BB251E4" w14:textId="77777777" w:rsidR="00870B7A" w:rsidRPr="00840974" w:rsidRDefault="00870B7A" w:rsidP="00870B7A">
      <w:pPr>
        <w:tabs>
          <w:tab w:val="left" w:pos="915"/>
        </w:tabs>
      </w:pPr>
    </w:p>
    <w:p w14:paraId="52FC3CC4" w14:textId="77777777" w:rsidR="009E5D23" w:rsidRPr="009C40CC" w:rsidRDefault="0051729C" w:rsidP="009C40CC">
      <w:pPr>
        <w:pStyle w:val="ListParagraph"/>
        <w:numPr>
          <w:ilvl w:val="0"/>
          <w:numId w:val="21"/>
        </w:numPr>
        <w:rPr>
          <w:b/>
          <w:bCs/>
          <w:color w:val="7030A0"/>
          <w:sz w:val="32"/>
          <w:szCs w:val="32"/>
        </w:rPr>
      </w:pPr>
      <w:r>
        <w:rPr>
          <w:b/>
          <w:bCs/>
          <w:color w:val="7030A0"/>
          <w:sz w:val="32"/>
          <w:szCs w:val="32"/>
        </w:rPr>
        <w:t>Introduction</w:t>
      </w:r>
      <w:bookmarkStart w:id="1" w:name="_Hlk75798661"/>
    </w:p>
    <w:bookmarkEnd w:id="1"/>
    <w:p w14:paraId="31B41A19" w14:textId="77777777" w:rsidR="00EF0CE7" w:rsidRPr="00EF0CE7" w:rsidRDefault="00EF0CE7" w:rsidP="00EF0CE7">
      <w:pPr>
        <w:pStyle w:val="ListParagraph"/>
        <w:rPr>
          <w:color w:val="000000"/>
        </w:rPr>
      </w:pPr>
    </w:p>
    <w:p w14:paraId="655A0453" w14:textId="77777777" w:rsidR="00EF0CE7" w:rsidRPr="00EF0CE7" w:rsidRDefault="009E5D23" w:rsidP="0027376F">
      <w:pPr>
        <w:pStyle w:val="ListParagraph"/>
        <w:numPr>
          <w:ilvl w:val="1"/>
          <w:numId w:val="18"/>
        </w:numPr>
        <w:jc w:val="both"/>
        <w:rPr>
          <w:color w:val="000000"/>
        </w:rPr>
      </w:pPr>
      <w:r w:rsidRPr="00EF0CE7">
        <w:rPr>
          <w:rFonts w:eastAsia="Times New Roman" w:cs="Times New Roman"/>
        </w:rPr>
        <w:t xml:space="preserve">The Northern Ireland Human Rights Commission (NIHRC), pursuant to Section 69(1) of the Northern Ireland Act 1998, reviews the adequacy and effectiveness of law and practice relating to the protection of human rights in Northern Ireland (NI). In accordance with this function, the following advice is submitted to the Department for Communities (DfC) in respect of </w:t>
      </w:r>
      <w:r w:rsidR="00D73EE8" w:rsidRPr="00EF0CE7">
        <w:rPr>
          <w:rFonts w:eastAsia="Times New Roman" w:cs="Times New Roman"/>
        </w:rPr>
        <w:t>its</w:t>
      </w:r>
      <w:r w:rsidRPr="00EF0CE7">
        <w:rPr>
          <w:rFonts w:eastAsia="Times New Roman" w:cs="Times New Roman"/>
        </w:rPr>
        <w:t xml:space="preserve"> </w:t>
      </w:r>
      <w:r w:rsidR="00D73EE8" w:rsidRPr="00EF0CE7">
        <w:rPr>
          <w:rFonts w:eastAsia="Times New Roman" w:cs="Times New Roman"/>
        </w:rPr>
        <w:t>call for evidence</w:t>
      </w:r>
      <w:r w:rsidRPr="00EF0CE7">
        <w:rPr>
          <w:rFonts w:eastAsia="Times New Roman" w:cs="Times New Roman"/>
        </w:rPr>
        <w:t xml:space="preserve"> on </w:t>
      </w:r>
      <w:r w:rsidR="00832196" w:rsidRPr="00EF0CE7">
        <w:rPr>
          <w:rFonts w:eastAsia="Times New Roman" w:cs="Times New Roman"/>
        </w:rPr>
        <w:t>its Housing Supply Strategy of May 2021</w:t>
      </w:r>
      <w:r w:rsidR="00364F2D" w:rsidRPr="00EF0CE7">
        <w:rPr>
          <w:rFonts w:eastAsia="Times New Roman" w:cs="Times New Roman"/>
        </w:rPr>
        <w:t>.</w:t>
      </w:r>
    </w:p>
    <w:p w14:paraId="4964DCC9" w14:textId="77777777" w:rsidR="00EF0CE7" w:rsidRDefault="00EF0CE7" w:rsidP="0027376F">
      <w:pPr>
        <w:pStyle w:val="ListParagraph"/>
        <w:jc w:val="both"/>
      </w:pPr>
    </w:p>
    <w:p w14:paraId="3D76F5CB" w14:textId="77777777" w:rsidR="00EF0CE7" w:rsidRPr="0038032A" w:rsidRDefault="009E5D23" w:rsidP="0027376F">
      <w:pPr>
        <w:pStyle w:val="ListParagraph"/>
        <w:numPr>
          <w:ilvl w:val="1"/>
          <w:numId w:val="18"/>
        </w:numPr>
        <w:jc w:val="both"/>
        <w:rPr>
          <w:color w:val="000000"/>
        </w:rPr>
      </w:pPr>
      <w: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17C0405E" w14:textId="77777777" w:rsidR="0038032A" w:rsidRPr="0038032A" w:rsidRDefault="0038032A" w:rsidP="0027376F">
      <w:pPr>
        <w:pStyle w:val="ListParagraph"/>
        <w:jc w:val="both"/>
        <w:rPr>
          <w:color w:val="000000"/>
        </w:rPr>
      </w:pPr>
    </w:p>
    <w:p w14:paraId="457224E6" w14:textId="77777777" w:rsidR="005C7CBC" w:rsidRPr="00A73459" w:rsidRDefault="005C7CBC" w:rsidP="005C7CBC">
      <w:pPr>
        <w:ind w:firstLine="1418"/>
        <w:jc w:val="both"/>
        <w:rPr>
          <w:rFonts w:eastAsia="Times New Roman" w:cs="Times New Roman"/>
        </w:rPr>
      </w:pPr>
      <w:bookmarkStart w:id="2" w:name="_Hlk75348166"/>
      <w:r>
        <w:sym w:font="Symbol" w:char="F0B7"/>
      </w:r>
      <w:r>
        <w:t xml:space="preserve"> European Convention on Human Rights (ECHR);</w:t>
      </w:r>
      <w:r>
        <w:rPr>
          <w:rStyle w:val="FootnoteReference"/>
        </w:rPr>
        <w:footnoteReference w:id="1"/>
      </w:r>
      <w:r>
        <w:t xml:space="preserve"> </w:t>
      </w:r>
    </w:p>
    <w:p w14:paraId="46FE61B9" w14:textId="77777777" w:rsidR="005C7CBC" w:rsidRPr="00A73459" w:rsidRDefault="005C7CBC" w:rsidP="005C7CBC">
      <w:pPr>
        <w:ind w:left="1418"/>
        <w:jc w:val="both"/>
        <w:rPr>
          <w:rFonts w:eastAsia="Times New Roman" w:cs="Times New Roman"/>
        </w:rPr>
      </w:pPr>
      <w:r>
        <w:sym w:font="Symbol" w:char="F0B7"/>
      </w:r>
      <w:r>
        <w:t xml:space="preserve"> UN Convention on Economic, Social and Cultural Rights (UN ICESCR);</w:t>
      </w:r>
      <w:r>
        <w:rPr>
          <w:rStyle w:val="FootnoteReference"/>
        </w:rPr>
        <w:footnoteReference w:id="2"/>
      </w:r>
      <w:r>
        <w:t xml:space="preserve"> </w:t>
      </w:r>
    </w:p>
    <w:p w14:paraId="27F7CBB4" w14:textId="77777777" w:rsidR="005C7CBC" w:rsidRPr="00A73459" w:rsidRDefault="005C7CBC" w:rsidP="005C7CBC">
      <w:pPr>
        <w:ind w:left="1418"/>
        <w:jc w:val="both"/>
        <w:rPr>
          <w:rFonts w:eastAsia="Times New Roman" w:cs="Times New Roman"/>
        </w:rPr>
      </w:pPr>
      <w:r>
        <w:sym w:font="Symbol" w:char="F0B7"/>
      </w:r>
      <w:r>
        <w:t xml:space="preserve"> UN Convention on Elimination of Discrimination against Women (UN CEDAW);</w:t>
      </w:r>
      <w:r>
        <w:rPr>
          <w:rStyle w:val="FootnoteReference"/>
        </w:rPr>
        <w:footnoteReference w:id="3"/>
      </w:r>
    </w:p>
    <w:p w14:paraId="684E7588" w14:textId="77777777" w:rsidR="005C7CBC" w:rsidRPr="00A73459" w:rsidRDefault="005C7CBC" w:rsidP="005C7CBC">
      <w:pPr>
        <w:ind w:firstLine="1418"/>
        <w:jc w:val="both"/>
        <w:rPr>
          <w:rFonts w:eastAsia="Times New Roman" w:cs="Times New Roman"/>
        </w:rPr>
      </w:pPr>
      <w:r>
        <w:sym w:font="Symbol" w:char="F0B7"/>
      </w:r>
      <w:r>
        <w:t xml:space="preserve"> UN Convention on the Rights of the Child (UN CRC)</w:t>
      </w:r>
      <w:r>
        <w:rPr>
          <w:rStyle w:val="FootnoteReference"/>
        </w:rPr>
        <w:footnoteReference w:id="4"/>
      </w:r>
      <w:r>
        <w:t xml:space="preserve">; and </w:t>
      </w:r>
    </w:p>
    <w:p w14:paraId="24FFC4A4" w14:textId="77777777" w:rsidR="005C7CBC" w:rsidRPr="0038032A" w:rsidRDefault="005C7CBC" w:rsidP="005C7CBC">
      <w:pPr>
        <w:ind w:left="1418"/>
        <w:jc w:val="both"/>
        <w:rPr>
          <w:rFonts w:eastAsia="Times New Roman" w:cs="Times New Roman"/>
        </w:rPr>
      </w:pPr>
      <w:r>
        <w:sym w:font="Symbol" w:char="F0B7"/>
      </w:r>
      <w:r>
        <w:t xml:space="preserve"> UN Convention on the Rights of Persons with Disabilities (UN CRPD).</w:t>
      </w:r>
      <w:r>
        <w:rPr>
          <w:rStyle w:val="FootnoteReference"/>
        </w:rPr>
        <w:footnoteReference w:id="5"/>
      </w:r>
    </w:p>
    <w:p w14:paraId="03278014" w14:textId="77777777" w:rsidR="0038032A" w:rsidRDefault="0038032A" w:rsidP="0027376F">
      <w:pPr>
        <w:jc w:val="both"/>
        <w:rPr>
          <w:color w:val="000000"/>
        </w:rPr>
      </w:pPr>
    </w:p>
    <w:p w14:paraId="1D693118" w14:textId="3B8D0873" w:rsidR="003473E3" w:rsidRDefault="003473E3" w:rsidP="003473E3">
      <w:pPr>
        <w:pStyle w:val="BasicParagraph"/>
        <w:numPr>
          <w:ilvl w:val="1"/>
          <w:numId w:val="18"/>
        </w:numPr>
        <w:suppressAutoHyphens/>
        <w:spacing w:before="120" w:after="120" w:line="240" w:lineRule="auto"/>
        <w:rPr>
          <w:rFonts w:ascii="Verdana" w:hAnsi="Verdana"/>
        </w:rPr>
      </w:pPr>
      <w:r w:rsidRPr="11C2A680">
        <w:rPr>
          <w:rFonts w:ascii="Verdana" w:hAnsi="Verdana"/>
        </w:rPr>
        <w:t>In addition to these treaty standards, there exists a body of ‘soft law’ developed by the human rights bodies of the CoE and UN. These declarations and principles are non-binding but</w:t>
      </w:r>
      <w:r w:rsidR="005C699C">
        <w:rPr>
          <w:rFonts w:ascii="Verdana" w:hAnsi="Verdana"/>
        </w:rPr>
        <w:t xml:space="preserve"> are intended to</w:t>
      </w:r>
      <w:r w:rsidRPr="11C2A680">
        <w:rPr>
          <w:rFonts w:ascii="Verdana" w:hAnsi="Verdana"/>
        </w:rPr>
        <w:t xml:space="preserve"> provide further guidanc</w:t>
      </w:r>
      <w:r w:rsidR="005C699C">
        <w:rPr>
          <w:rFonts w:ascii="Verdana" w:hAnsi="Verdana"/>
        </w:rPr>
        <w:t>e</w:t>
      </w:r>
      <w:r w:rsidRPr="11C2A680">
        <w:rPr>
          <w:rFonts w:ascii="Verdana" w:hAnsi="Verdana"/>
        </w:rPr>
        <w:t>.</w:t>
      </w:r>
      <w:r w:rsidR="00723863">
        <w:rPr>
          <w:rStyle w:val="FootnoteReference"/>
          <w:rFonts w:ascii="Verdana" w:hAnsi="Verdana"/>
        </w:rPr>
        <w:footnoteReference w:id="6"/>
      </w:r>
    </w:p>
    <w:p w14:paraId="678D378A" w14:textId="77777777" w:rsidR="003473E3" w:rsidRDefault="003473E3" w:rsidP="003473E3">
      <w:pPr>
        <w:pStyle w:val="BasicParagraph"/>
        <w:suppressAutoHyphens/>
        <w:spacing w:before="120" w:after="120" w:line="240" w:lineRule="auto"/>
        <w:ind w:left="720"/>
        <w:rPr>
          <w:rFonts w:ascii="Verdana" w:hAnsi="Verdana"/>
        </w:rPr>
      </w:pPr>
    </w:p>
    <w:p w14:paraId="2F98A777" w14:textId="77777777" w:rsidR="00F16652" w:rsidRPr="003473E3" w:rsidRDefault="00F16652" w:rsidP="003473E3">
      <w:pPr>
        <w:pStyle w:val="BasicParagraph"/>
        <w:numPr>
          <w:ilvl w:val="1"/>
          <w:numId w:val="18"/>
        </w:numPr>
        <w:suppressAutoHyphens/>
        <w:spacing w:before="120" w:after="120" w:line="240" w:lineRule="auto"/>
        <w:rPr>
          <w:rFonts w:ascii="Verdana" w:hAnsi="Verdana"/>
        </w:rPr>
      </w:pPr>
      <w:r w:rsidRPr="003473E3">
        <w:rPr>
          <w:rFonts w:ascii="Verdana" w:hAnsi="Verdana"/>
        </w:rPr>
        <w:t xml:space="preserve">The NIHRC welcomes the opportunity to respond to the DfC call for evidence and consultation on its housing supply strategy. </w:t>
      </w:r>
      <w:r w:rsidR="003473E3">
        <w:rPr>
          <w:rFonts w:ascii="Verdana" w:hAnsi="Verdana"/>
        </w:rPr>
        <w:t xml:space="preserve">The NIHRC will focus its submission on a number of key areas, highlighting the relevant international human rights standards. </w:t>
      </w:r>
    </w:p>
    <w:p w14:paraId="0E5D3D27" w14:textId="77777777" w:rsidR="00F16652" w:rsidRDefault="00F16652" w:rsidP="0027376F">
      <w:pPr>
        <w:jc w:val="both"/>
        <w:rPr>
          <w:color w:val="000000"/>
        </w:rPr>
      </w:pPr>
    </w:p>
    <w:p w14:paraId="29FFA822" w14:textId="77777777" w:rsidR="009D6FBF" w:rsidRDefault="009D6FBF" w:rsidP="0027376F">
      <w:pPr>
        <w:jc w:val="both"/>
        <w:rPr>
          <w:color w:val="000000"/>
        </w:rPr>
      </w:pPr>
    </w:p>
    <w:p w14:paraId="4FE1E536" w14:textId="77777777" w:rsidR="009D6FBF" w:rsidRDefault="009D6FBF" w:rsidP="0027376F">
      <w:pPr>
        <w:jc w:val="both"/>
        <w:rPr>
          <w:color w:val="000000"/>
        </w:rPr>
      </w:pPr>
    </w:p>
    <w:p w14:paraId="28231FB0" w14:textId="77777777" w:rsidR="009D6FBF" w:rsidRDefault="009D6FBF" w:rsidP="0027376F">
      <w:pPr>
        <w:jc w:val="both"/>
        <w:rPr>
          <w:color w:val="000000"/>
        </w:rPr>
      </w:pPr>
    </w:p>
    <w:p w14:paraId="668358F5" w14:textId="77777777" w:rsidR="0051729C" w:rsidRDefault="0051729C" w:rsidP="0027376F">
      <w:pPr>
        <w:jc w:val="both"/>
        <w:rPr>
          <w:color w:val="000000"/>
        </w:rPr>
      </w:pPr>
    </w:p>
    <w:p w14:paraId="57F8ADC8" w14:textId="77777777" w:rsidR="0051729C" w:rsidRDefault="0051729C" w:rsidP="0027376F">
      <w:pPr>
        <w:jc w:val="both"/>
        <w:rPr>
          <w:color w:val="000000"/>
        </w:rPr>
      </w:pPr>
    </w:p>
    <w:p w14:paraId="7A2FB861" w14:textId="77777777" w:rsidR="0062440E" w:rsidRDefault="0062440E" w:rsidP="0027376F">
      <w:pPr>
        <w:jc w:val="both"/>
        <w:rPr>
          <w:color w:val="000000"/>
        </w:rPr>
      </w:pPr>
    </w:p>
    <w:p w14:paraId="13C16291" w14:textId="77777777" w:rsidR="00A41FCC" w:rsidRDefault="00A41FCC" w:rsidP="0027376F">
      <w:pPr>
        <w:jc w:val="both"/>
        <w:rPr>
          <w:color w:val="000000"/>
        </w:rPr>
      </w:pPr>
    </w:p>
    <w:p w14:paraId="7CEF1BEE" w14:textId="77777777" w:rsidR="0051729C" w:rsidRDefault="0051729C" w:rsidP="0027376F">
      <w:pPr>
        <w:jc w:val="both"/>
        <w:rPr>
          <w:color w:val="000000"/>
        </w:rPr>
      </w:pPr>
    </w:p>
    <w:p w14:paraId="7C0F6FB2" w14:textId="77777777" w:rsidR="00ED72D2" w:rsidRPr="004B0C39" w:rsidRDefault="00ED72D2" w:rsidP="004B0C39">
      <w:pPr>
        <w:pStyle w:val="ListParagraph"/>
        <w:numPr>
          <w:ilvl w:val="0"/>
          <w:numId w:val="21"/>
        </w:numPr>
        <w:rPr>
          <w:b/>
          <w:bCs/>
          <w:color w:val="7030A0"/>
          <w:sz w:val="32"/>
          <w:szCs w:val="32"/>
        </w:rPr>
      </w:pPr>
      <w:r>
        <w:rPr>
          <w:b/>
          <w:bCs/>
          <w:color w:val="7030A0"/>
          <w:sz w:val="32"/>
          <w:szCs w:val="32"/>
        </w:rPr>
        <w:t>International</w:t>
      </w:r>
      <w:r w:rsidR="009C40CC">
        <w:rPr>
          <w:b/>
          <w:bCs/>
          <w:color w:val="7030A0"/>
          <w:sz w:val="32"/>
          <w:szCs w:val="32"/>
        </w:rPr>
        <w:t xml:space="preserve"> </w:t>
      </w:r>
      <w:bookmarkStart w:id="3" w:name="_Hlk75798789"/>
      <w:r w:rsidR="00364024">
        <w:rPr>
          <w:b/>
          <w:bCs/>
          <w:color w:val="7030A0"/>
          <w:sz w:val="32"/>
          <w:szCs w:val="32"/>
        </w:rPr>
        <w:t>Human Rights Standards</w:t>
      </w:r>
    </w:p>
    <w:bookmarkEnd w:id="3"/>
    <w:p w14:paraId="773CF1C7" w14:textId="77777777" w:rsidR="00420B6B" w:rsidRDefault="00420B6B" w:rsidP="0027376F">
      <w:pPr>
        <w:jc w:val="both"/>
        <w:rPr>
          <w:b/>
          <w:bCs/>
          <w:color w:val="7030A0"/>
          <w:sz w:val="28"/>
          <w:szCs w:val="28"/>
        </w:rPr>
      </w:pPr>
    </w:p>
    <w:p w14:paraId="781451B5" w14:textId="77777777" w:rsidR="00F16652" w:rsidRPr="00297D86" w:rsidRDefault="00F16652" w:rsidP="0027376F">
      <w:pPr>
        <w:jc w:val="both"/>
        <w:rPr>
          <w:color w:val="000000"/>
        </w:rPr>
      </w:pPr>
    </w:p>
    <w:p w14:paraId="0A27B850" w14:textId="77777777" w:rsidR="00244812" w:rsidRPr="00244812" w:rsidRDefault="00244812" w:rsidP="00244812">
      <w:pPr>
        <w:pStyle w:val="ListParagraph"/>
        <w:numPr>
          <w:ilvl w:val="0"/>
          <w:numId w:val="18"/>
        </w:numPr>
        <w:jc w:val="both"/>
        <w:rPr>
          <w:vanish/>
        </w:rPr>
      </w:pPr>
    </w:p>
    <w:p w14:paraId="3E8F74AE" w14:textId="5484EA92" w:rsidR="009663B1" w:rsidRPr="00A04032" w:rsidRDefault="00FA6547" w:rsidP="00244812">
      <w:pPr>
        <w:pStyle w:val="ListParagraph"/>
        <w:numPr>
          <w:ilvl w:val="1"/>
          <w:numId w:val="18"/>
        </w:numPr>
        <w:jc w:val="both"/>
        <w:rPr>
          <w:color w:val="000000"/>
        </w:rPr>
      </w:pPr>
      <w:r>
        <w:t xml:space="preserve">The right to adequate housing </w:t>
      </w:r>
      <w:r w:rsidR="004A79C6">
        <w:t xml:space="preserve">is derived from the </w:t>
      </w:r>
      <w:r>
        <w:t>right to an adequate standard of living</w:t>
      </w:r>
      <w:r w:rsidR="009814D8">
        <w:rPr>
          <w:rStyle w:val="FootnoteReference"/>
        </w:rPr>
        <w:footnoteReference w:id="7"/>
      </w:r>
      <w:r>
        <w:t>, enshrined</w:t>
      </w:r>
      <w:r w:rsidR="005C04CE">
        <w:t xml:space="preserve"> </w:t>
      </w:r>
      <w:r>
        <w:t>in Article 11(1) of the International Covenant on Economic, Social and Cultural Rights (ICECSR):</w:t>
      </w:r>
    </w:p>
    <w:p w14:paraId="207C0EA8" w14:textId="77777777" w:rsidR="00417863" w:rsidRPr="00417863" w:rsidRDefault="00417863" w:rsidP="0027376F">
      <w:pPr>
        <w:ind w:left="709"/>
        <w:jc w:val="both"/>
        <w:rPr>
          <w:rFonts w:eastAsia="Times New Roman" w:cs="Times New Roman"/>
        </w:rPr>
      </w:pPr>
    </w:p>
    <w:p w14:paraId="524AF588" w14:textId="77777777" w:rsidR="00417863" w:rsidRPr="00253674" w:rsidRDefault="00FA6547" w:rsidP="0027376F">
      <w:pPr>
        <w:ind w:left="1440"/>
        <w:jc w:val="both"/>
        <w:rPr>
          <w:rFonts w:eastAsia="Times New Roman" w:cs="Times New Roman"/>
          <w:iCs/>
        </w:rPr>
      </w:pPr>
      <w:r w:rsidRPr="00D87EE8">
        <w:rPr>
          <w:iCs/>
        </w:rPr>
        <w:t>The States Parties to the present Covenant recognize the right of everyone to an adequate standard of living for himself and his family, including adequate food, clothing and housing, and to the continuous improvement of living conditions.</w:t>
      </w:r>
    </w:p>
    <w:bookmarkEnd w:id="2"/>
    <w:p w14:paraId="20BA4C95" w14:textId="77777777" w:rsidR="00417863" w:rsidRPr="00417863" w:rsidRDefault="00417863" w:rsidP="0027376F">
      <w:pPr>
        <w:ind w:left="709"/>
        <w:jc w:val="both"/>
        <w:rPr>
          <w:rFonts w:eastAsia="Times New Roman" w:cs="Times New Roman"/>
        </w:rPr>
      </w:pPr>
    </w:p>
    <w:p w14:paraId="2618B25E" w14:textId="77777777" w:rsidR="00575CB5" w:rsidRPr="008830FD" w:rsidRDefault="00FA24BE" w:rsidP="00575CB5">
      <w:pPr>
        <w:pStyle w:val="ListParagraph"/>
        <w:numPr>
          <w:ilvl w:val="1"/>
          <w:numId w:val="18"/>
        </w:numPr>
        <w:jc w:val="both"/>
        <w:rPr>
          <w:color w:val="000000"/>
        </w:rPr>
      </w:pPr>
      <w:r w:rsidRPr="004F7BFF">
        <w:rPr>
          <w:color w:val="000000"/>
        </w:rPr>
        <w:t>The Committee on Economic, Social and Cultural Rights</w:t>
      </w:r>
      <w:r w:rsidR="00D87EE8">
        <w:rPr>
          <w:color w:val="000000"/>
        </w:rPr>
        <w:t xml:space="preserve"> has</w:t>
      </w:r>
      <w:r w:rsidR="00035546" w:rsidRPr="004F7BFF">
        <w:rPr>
          <w:color w:val="000000"/>
        </w:rPr>
        <w:t xml:space="preserve"> underlined</w:t>
      </w:r>
      <w:r w:rsidRPr="004F7BFF">
        <w:rPr>
          <w:color w:val="000000"/>
        </w:rPr>
        <w:t xml:space="preserve"> that the right to adequate housing should not be interpreted narrowly. Rather, it should be seen as the right to live somewhere in security, peace and dignity.</w:t>
      </w:r>
      <w:r w:rsidR="004F7BFF">
        <w:rPr>
          <w:rStyle w:val="FootnoteReference"/>
          <w:color w:val="000000"/>
        </w:rPr>
        <w:footnoteReference w:id="8"/>
      </w:r>
      <w:r w:rsidR="00525F8D">
        <w:rPr>
          <w:color w:val="000000"/>
        </w:rPr>
        <w:t xml:space="preserve"> </w:t>
      </w:r>
      <w:r w:rsidR="00575CB5">
        <w:rPr>
          <w:color w:val="000000"/>
        </w:rPr>
        <w:t xml:space="preserve">The </w:t>
      </w:r>
      <w:r w:rsidR="00525F8D" w:rsidRPr="00525F8D">
        <w:rPr>
          <w:color w:val="000000"/>
        </w:rPr>
        <w:t>Committee identif</w:t>
      </w:r>
      <w:r w:rsidR="00BE1EB4">
        <w:rPr>
          <w:color w:val="000000"/>
        </w:rPr>
        <w:t>ied</w:t>
      </w:r>
      <w:r w:rsidR="00525F8D" w:rsidRPr="00525F8D">
        <w:rPr>
          <w:color w:val="000000"/>
        </w:rPr>
        <w:t xml:space="preserve"> certain </w:t>
      </w:r>
      <w:r w:rsidR="00575CB5">
        <w:rPr>
          <w:color w:val="000000"/>
        </w:rPr>
        <w:t xml:space="preserve">aspects </w:t>
      </w:r>
      <w:r w:rsidR="00275A59">
        <w:rPr>
          <w:color w:val="000000"/>
        </w:rPr>
        <w:t>that should</w:t>
      </w:r>
      <w:r w:rsidR="00575CB5">
        <w:rPr>
          <w:color w:val="000000"/>
        </w:rPr>
        <w:t xml:space="preserve"> </w:t>
      </w:r>
      <w:r w:rsidR="00275A59">
        <w:rPr>
          <w:color w:val="000000"/>
        </w:rPr>
        <w:t>be included</w:t>
      </w:r>
      <w:r w:rsidR="00575CB5">
        <w:rPr>
          <w:color w:val="000000"/>
        </w:rPr>
        <w:t xml:space="preserve"> in this right. They include; </w:t>
      </w:r>
      <w:r w:rsidR="00575CB5" w:rsidRPr="00575CB5">
        <w:rPr>
          <w:color w:val="000000"/>
        </w:rPr>
        <w:t>security of tenure</w:t>
      </w:r>
      <w:r w:rsidR="00AB155F">
        <w:rPr>
          <w:color w:val="000000"/>
        </w:rPr>
        <w:t xml:space="preserve">, </w:t>
      </w:r>
      <w:r w:rsidR="00AB155F">
        <w:t>availability of services</w:t>
      </w:r>
      <w:r w:rsidR="00EE0938">
        <w:t xml:space="preserve"> and infrastructure, affordability</w:t>
      </w:r>
      <w:r w:rsidR="008440F0">
        <w:t>, habitability</w:t>
      </w:r>
      <w:r w:rsidR="00185240">
        <w:t>, accessibility, location</w:t>
      </w:r>
      <w:r w:rsidR="008830FD">
        <w:t>, and cultural adequacy.</w:t>
      </w:r>
      <w:r w:rsidR="008830FD">
        <w:rPr>
          <w:rStyle w:val="FootnoteReference"/>
        </w:rPr>
        <w:footnoteReference w:id="9"/>
      </w:r>
    </w:p>
    <w:p w14:paraId="1C7F8981" w14:textId="77777777" w:rsidR="008830FD" w:rsidRPr="008830FD" w:rsidRDefault="008830FD" w:rsidP="008830FD">
      <w:pPr>
        <w:pStyle w:val="ListParagraph"/>
        <w:jc w:val="both"/>
        <w:rPr>
          <w:color w:val="000000"/>
        </w:rPr>
      </w:pPr>
    </w:p>
    <w:p w14:paraId="63CAED08" w14:textId="77777777" w:rsidR="007C657A" w:rsidRPr="002234D8" w:rsidRDefault="00C7663E" w:rsidP="00C7663E">
      <w:pPr>
        <w:pStyle w:val="ListParagraph"/>
        <w:numPr>
          <w:ilvl w:val="1"/>
          <w:numId w:val="18"/>
        </w:numPr>
        <w:jc w:val="both"/>
        <w:rPr>
          <w:color w:val="000000"/>
        </w:rPr>
      </w:pPr>
      <w:r>
        <w:t>A number of</w:t>
      </w:r>
      <w:r w:rsidR="004D0536">
        <w:t xml:space="preserve"> the other</w:t>
      </w:r>
      <w:r>
        <w:t xml:space="preserve"> </w:t>
      </w:r>
      <w:r w:rsidR="004D0536">
        <w:t xml:space="preserve">UN </w:t>
      </w:r>
      <w:r>
        <w:t xml:space="preserve">treaties </w:t>
      </w:r>
      <w:r w:rsidR="004D0536">
        <w:t>also protect</w:t>
      </w:r>
      <w:r>
        <w:t xml:space="preserve"> the right to adequate housing</w:t>
      </w:r>
      <w:r w:rsidR="004D0536">
        <w:t>; for example,</w:t>
      </w:r>
      <w:r>
        <w:t xml:space="preserve"> the Convention on the Elimination of All Forms of Racial Discrimination (CERD);</w:t>
      </w:r>
      <w:r>
        <w:rPr>
          <w:rStyle w:val="FootnoteReference"/>
        </w:rPr>
        <w:footnoteReference w:id="10"/>
      </w:r>
      <w:r>
        <w:t xml:space="preserve"> the Convention on the Elimination of All Forms of Discrimination Against Women (CEDAW);</w:t>
      </w:r>
      <w:r>
        <w:rPr>
          <w:rStyle w:val="FootnoteReference"/>
        </w:rPr>
        <w:footnoteReference w:id="11"/>
      </w:r>
      <w:r>
        <w:t xml:space="preserve"> the Convention on the Rights of the Child (CRC);</w:t>
      </w:r>
      <w:r>
        <w:rPr>
          <w:rStyle w:val="FootnoteReference"/>
        </w:rPr>
        <w:footnoteReference w:id="12"/>
      </w:r>
      <w:r>
        <w:t xml:space="preserve"> and the Convention on the Rights of Persons with Disabilities (CRPD).</w:t>
      </w:r>
      <w:r>
        <w:rPr>
          <w:rStyle w:val="FootnoteReference"/>
        </w:rPr>
        <w:footnoteReference w:id="13"/>
      </w:r>
      <w:r w:rsidR="009A25F3">
        <w:t xml:space="preserve"> </w:t>
      </w:r>
    </w:p>
    <w:p w14:paraId="7AF43D92" w14:textId="77777777" w:rsidR="007C657A" w:rsidRDefault="007C657A" w:rsidP="002234D8">
      <w:pPr>
        <w:pStyle w:val="ListParagraph"/>
      </w:pPr>
    </w:p>
    <w:p w14:paraId="06EAF8F0" w14:textId="1ADBA5EA" w:rsidR="00F42D42" w:rsidRPr="007466E8" w:rsidRDefault="00B07946" w:rsidP="002234D8">
      <w:pPr>
        <w:pStyle w:val="ListParagraph"/>
        <w:numPr>
          <w:ilvl w:val="1"/>
          <w:numId w:val="18"/>
        </w:numPr>
        <w:jc w:val="both"/>
        <w:rPr>
          <w:color w:val="000000"/>
        </w:rPr>
      </w:pPr>
      <w:r>
        <w:t xml:space="preserve">The </w:t>
      </w:r>
      <w:r w:rsidR="000A57E2">
        <w:t xml:space="preserve">UN Committee on the Rights of Persons with Disabilities has also </w:t>
      </w:r>
      <w:r w:rsidR="007B5562">
        <w:t xml:space="preserve">issued </w:t>
      </w:r>
      <w:r w:rsidR="007C657A">
        <w:t xml:space="preserve">a </w:t>
      </w:r>
      <w:r w:rsidR="007B5562">
        <w:t>general comment</w:t>
      </w:r>
      <w:r w:rsidR="001F6602">
        <w:t xml:space="preserve"> </w:t>
      </w:r>
      <w:r w:rsidR="007C657A">
        <w:t>on</w:t>
      </w:r>
      <w:r w:rsidR="001F6602">
        <w:t xml:space="preserve"> </w:t>
      </w:r>
      <w:r w:rsidR="001F6602" w:rsidRPr="001F6602">
        <w:t>the right to live independently</w:t>
      </w:r>
      <w:r w:rsidR="007C657A">
        <w:t xml:space="preserve"> which confirms that this right is tied to the obligations on accessibility under Article 9 CRPD, which requires the establishment of accessibility standards for housing.</w:t>
      </w:r>
      <w:r w:rsidR="007C657A">
        <w:rPr>
          <w:rStyle w:val="FootnoteReference"/>
        </w:rPr>
        <w:footnoteReference w:id="14"/>
      </w:r>
    </w:p>
    <w:p w14:paraId="6E38B7CF" w14:textId="77777777" w:rsidR="007466E8" w:rsidRPr="007466E8" w:rsidRDefault="007466E8" w:rsidP="007466E8">
      <w:pPr>
        <w:pStyle w:val="ListParagraph"/>
        <w:rPr>
          <w:color w:val="000000"/>
        </w:rPr>
      </w:pPr>
    </w:p>
    <w:p w14:paraId="7F5CBC11" w14:textId="6628C523" w:rsidR="00180EF3" w:rsidRPr="007466E8" w:rsidRDefault="006042A4" w:rsidP="007466E8">
      <w:pPr>
        <w:pStyle w:val="ListParagraph"/>
        <w:numPr>
          <w:ilvl w:val="1"/>
          <w:numId w:val="18"/>
        </w:numPr>
        <w:jc w:val="both"/>
        <w:rPr>
          <w:color w:val="000000"/>
        </w:rPr>
      </w:pPr>
      <w:r w:rsidRPr="007466E8">
        <w:rPr>
          <w:color w:val="000000"/>
        </w:rPr>
        <w:t>It is recognised</w:t>
      </w:r>
      <w:r w:rsidR="003D6F83" w:rsidRPr="007466E8">
        <w:rPr>
          <w:color w:val="000000"/>
        </w:rPr>
        <w:t xml:space="preserve"> </w:t>
      </w:r>
      <w:r w:rsidR="00586A3F" w:rsidRPr="007466E8">
        <w:rPr>
          <w:color w:val="000000"/>
        </w:rPr>
        <w:t xml:space="preserve">that </w:t>
      </w:r>
      <w:r w:rsidR="00AC36C0" w:rsidRPr="007466E8">
        <w:rPr>
          <w:color w:val="000000"/>
        </w:rPr>
        <w:t xml:space="preserve">fulfilment of </w:t>
      </w:r>
      <w:r w:rsidR="004A79C6" w:rsidRPr="007466E8">
        <w:rPr>
          <w:color w:val="000000"/>
        </w:rPr>
        <w:t xml:space="preserve">social, economic and cultural </w:t>
      </w:r>
      <w:r w:rsidR="00AC36C0" w:rsidRPr="007466E8">
        <w:rPr>
          <w:color w:val="000000"/>
        </w:rPr>
        <w:t>rights</w:t>
      </w:r>
      <w:r w:rsidR="003D6F83" w:rsidRPr="007466E8">
        <w:rPr>
          <w:color w:val="000000"/>
        </w:rPr>
        <w:t xml:space="preserve">, </w:t>
      </w:r>
      <w:r w:rsidRPr="007466E8">
        <w:rPr>
          <w:color w:val="000000"/>
        </w:rPr>
        <w:t>can only be achieved over time</w:t>
      </w:r>
      <w:r w:rsidR="00AF6C5C" w:rsidRPr="007466E8">
        <w:rPr>
          <w:color w:val="000000"/>
        </w:rPr>
        <w:t xml:space="preserve"> in a process of ‘</w:t>
      </w:r>
      <w:r w:rsidR="00733E92" w:rsidRPr="007466E8">
        <w:rPr>
          <w:color w:val="000000"/>
        </w:rPr>
        <w:t>p</w:t>
      </w:r>
      <w:r w:rsidR="00AF6C5C" w:rsidRPr="007466E8">
        <w:rPr>
          <w:color w:val="000000"/>
        </w:rPr>
        <w:t xml:space="preserve">rogressive </w:t>
      </w:r>
      <w:r w:rsidR="00733E92" w:rsidRPr="007466E8">
        <w:rPr>
          <w:color w:val="000000"/>
        </w:rPr>
        <w:t>r</w:t>
      </w:r>
      <w:r w:rsidR="00AF6C5C" w:rsidRPr="007466E8">
        <w:rPr>
          <w:color w:val="000000"/>
        </w:rPr>
        <w:t>ealisation</w:t>
      </w:r>
      <w:r w:rsidR="00F130F0" w:rsidRPr="007466E8">
        <w:rPr>
          <w:color w:val="000000"/>
        </w:rPr>
        <w:t>’</w:t>
      </w:r>
      <w:r w:rsidR="007F3DC7" w:rsidRPr="007466E8">
        <w:rPr>
          <w:color w:val="000000"/>
        </w:rPr>
        <w:t>.</w:t>
      </w:r>
      <w:r w:rsidR="00D1775E">
        <w:rPr>
          <w:rStyle w:val="FootnoteReference"/>
          <w:color w:val="000000"/>
        </w:rPr>
        <w:footnoteReference w:id="15"/>
      </w:r>
      <w:r w:rsidR="00733E92" w:rsidRPr="007466E8">
        <w:rPr>
          <w:color w:val="000000"/>
        </w:rPr>
        <w:t xml:space="preserve"> </w:t>
      </w:r>
      <w:r w:rsidR="003449E8" w:rsidRPr="007466E8">
        <w:rPr>
          <w:color w:val="000000"/>
        </w:rPr>
        <w:t>The Committee on Economic Social and Cultural Rights has confirmed that States</w:t>
      </w:r>
      <w:r w:rsidR="006958DB">
        <w:rPr>
          <w:color w:val="000000"/>
        </w:rPr>
        <w:t xml:space="preserve"> </w:t>
      </w:r>
      <w:r w:rsidR="003449E8">
        <w:t>are expected to “move as expeditiously and effectively as possible”</w:t>
      </w:r>
      <w:r w:rsidR="003449E8">
        <w:rPr>
          <w:rStyle w:val="FootnoteReference"/>
        </w:rPr>
        <w:footnoteReference w:id="16"/>
      </w:r>
      <w:r w:rsidR="003449E8">
        <w:t xml:space="preserve"> and </w:t>
      </w:r>
      <w:r w:rsidR="003449E8">
        <w:lastRenderedPageBreak/>
        <w:t>take “deliberate, concrete and targeted” steps towards the realisation of the right in question.</w:t>
      </w:r>
      <w:r w:rsidR="003449E8">
        <w:rPr>
          <w:rStyle w:val="FootnoteReference"/>
        </w:rPr>
        <w:footnoteReference w:id="17"/>
      </w:r>
      <w:r w:rsidR="003449E8">
        <w:t xml:space="preserve"> </w:t>
      </w:r>
    </w:p>
    <w:p w14:paraId="23A7D0D0" w14:textId="77777777" w:rsidR="00180EF3" w:rsidRDefault="00180EF3" w:rsidP="002234D8">
      <w:pPr>
        <w:pStyle w:val="ListParagraph"/>
        <w:jc w:val="both"/>
        <w:rPr>
          <w:color w:val="000000"/>
        </w:rPr>
      </w:pPr>
    </w:p>
    <w:p w14:paraId="7802801E" w14:textId="0D7A8E19" w:rsidR="00420B6B" w:rsidRPr="002234D8" w:rsidRDefault="00086FC8" w:rsidP="002234D8">
      <w:pPr>
        <w:pStyle w:val="ListParagraph"/>
        <w:numPr>
          <w:ilvl w:val="1"/>
          <w:numId w:val="18"/>
        </w:numPr>
        <w:jc w:val="both"/>
        <w:rPr>
          <w:color w:val="000000"/>
        </w:rPr>
      </w:pPr>
      <w:r>
        <w:rPr>
          <w:color w:val="000000"/>
        </w:rPr>
        <w:t xml:space="preserve">Alongside the </w:t>
      </w:r>
      <w:r w:rsidR="00E857BA">
        <w:rPr>
          <w:color w:val="000000"/>
        </w:rPr>
        <w:t>principle of progressive realisation is that of ‘n</w:t>
      </w:r>
      <w:r w:rsidR="00E857BA" w:rsidRPr="00E857BA">
        <w:rPr>
          <w:color w:val="000000"/>
        </w:rPr>
        <w:t>on</w:t>
      </w:r>
      <w:r w:rsidR="001B1C3D">
        <w:rPr>
          <w:color w:val="000000"/>
        </w:rPr>
        <w:t xml:space="preserve"> </w:t>
      </w:r>
      <w:r w:rsidR="00E857BA" w:rsidRPr="00E857BA">
        <w:rPr>
          <w:color w:val="000000"/>
        </w:rPr>
        <w:t>re</w:t>
      </w:r>
      <w:r w:rsidR="003449E8">
        <w:rPr>
          <w:color w:val="000000"/>
        </w:rPr>
        <w:t>tro</w:t>
      </w:r>
      <w:r w:rsidR="00E857BA" w:rsidRPr="00E857BA">
        <w:rPr>
          <w:color w:val="000000"/>
        </w:rPr>
        <w:t>gression</w:t>
      </w:r>
      <w:r w:rsidR="001B1C3D">
        <w:rPr>
          <w:color w:val="000000"/>
        </w:rPr>
        <w:t>’ on rights</w:t>
      </w:r>
      <w:r w:rsidR="00E857BA">
        <w:rPr>
          <w:color w:val="000000"/>
        </w:rPr>
        <w:t xml:space="preserve">. </w:t>
      </w:r>
      <w:r w:rsidR="00E857BA" w:rsidRPr="00E857BA">
        <w:rPr>
          <w:color w:val="000000"/>
        </w:rPr>
        <w:t>Regressive steps i</w:t>
      </w:r>
      <w:r w:rsidR="00E147C9">
        <w:rPr>
          <w:color w:val="000000"/>
        </w:rPr>
        <w:t xml:space="preserve">n the fulfilment of rights </w:t>
      </w:r>
      <w:r w:rsidR="00E857BA" w:rsidRPr="00E857BA">
        <w:rPr>
          <w:color w:val="000000"/>
        </w:rPr>
        <w:t>are in contradiction to the progressive reali</w:t>
      </w:r>
      <w:r w:rsidR="00E147C9">
        <w:rPr>
          <w:color w:val="000000"/>
        </w:rPr>
        <w:t>s</w:t>
      </w:r>
      <w:r w:rsidR="00E857BA" w:rsidRPr="00E857BA">
        <w:rPr>
          <w:color w:val="000000"/>
        </w:rPr>
        <w:t xml:space="preserve">ation principle and constitute a violation of these rights. Regressive steps include acts of omission or of commission on the part of the state, which deprive people of </w:t>
      </w:r>
      <w:r w:rsidR="00180EF3">
        <w:rPr>
          <w:color w:val="000000"/>
        </w:rPr>
        <w:t xml:space="preserve">existing </w:t>
      </w:r>
      <w:r w:rsidR="00E857BA" w:rsidRPr="00E857BA">
        <w:rPr>
          <w:color w:val="000000"/>
        </w:rPr>
        <w:t>rights</w:t>
      </w:r>
      <w:r w:rsidR="00566E0D">
        <w:rPr>
          <w:color w:val="000000"/>
        </w:rPr>
        <w:t>.</w:t>
      </w:r>
      <w:r w:rsidR="00180EF3">
        <w:rPr>
          <w:color w:val="000000"/>
        </w:rPr>
        <w:t xml:space="preserve"> Any retrogressive measures </w:t>
      </w:r>
      <w:r w:rsidR="00180EF3" w:rsidRPr="00180EF3">
        <w:rPr>
          <w:color w:val="000000"/>
        </w:rPr>
        <w:t xml:space="preserve">“would </w:t>
      </w:r>
      <w:r w:rsidR="00180EF3" w:rsidRPr="002234D8">
        <w:rPr>
          <w:color w:val="000000"/>
        </w:rPr>
        <w:t>require the most careful consideration and would need to be fully justified by reference to the totality of the rights provided for in the Covenant and in the context of the full use of th</w:t>
      </w:r>
      <w:r w:rsidR="00180EF3" w:rsidRPr="00180EF3">
        <w:rPr>
          <w:color w:val="000000"/>
        </w:rPr>
        <w:t>e maximum available resources”.</w:t>
      </w:r>
      <w:r w:rsidR="00180EF3">
        <w:rPr>
          <w:rStyle w:val="FootnoteReference"/>
          <w:color w:val="000000"/>
        </w:rPr>
        <w:footnoteReference w:id="18"/>
      </w:r>
    </w:p>
    <w:p w14:paraId="12FA06D2" w14:textId="77777777" w:rsidR="00DF196A" w:rsidRDefault="00DF196A" w:rsidP="00C7663E">
      <w:pPr>
        <w:rPr>
          <w:b/>
          <w:bCs/>
          <w:color w:val="7030A0"/>
          <w:sz w:val="28"/>
          <w:szCs w:val="28"/>
        </w:rPr>
      </w:pPr>
    </w:p>
    <w:p w14:paraId="1CE46CF3" w14:textId="77777777" w:rsidR="00C7663E" w:rsidRPr="00971A94" w:rsidRDefault="004D0536" w:rsidP="00C7663E">
      <w:pPr>
        <w:rPr>
          <w:b/>
          <w:bCs/>
          <w:color w:val="7030A0"/>
          <w:sz w:val="28"/>
          <w:szCs w:val="28"/>
        </w:rPr>
      </w:pPr>
      <w:r w:rsidRPr="002234D8">
        <w:rPr>
          <w:b/>
          <w:bCs/>
        </w:rPr>
        <w:t>European Convention on Human Rights</w:t>
      </w:r>
      <w:r w:rsidRPr="002234D8">
        <w:rPr>
          <w:b/>
          <w:bCs/>
          <w:sz w:val="28"/>
          <w:szCs w:val="28"/>
        </w:rPr>
        <w:t xml:space="preserve"> </w:t>
      </w:r>
    </w:p>
    <w:p w14:paraId="023464C6" w14:textId="77777777" w:rsidR="004D0536" w:rsidRDefault="004D0536" w:rsidP="00C7663E">
      <w:pPr>
        <w:pStyle w:val="ListParagraph"/>
      </w:pPr>
    </w:p>
    <w:p w14:paraId="2F0A9FC7" w14:textId="77777777" w:rsidR="00180EF3" w:rsidRPr="00F42D42" w:rsidRDefault="00180EF3" w:rsidP="00180EF3">
      <w:pPr>
        <w:pStyle w:val="ListParagraph"/>
        <w:numPr>
          <w:ilvl w:val="1"/>
          <w:numId w:val="18"/>
        </w:numPr>
        <w:jc w:val="both"/>
        <w:rPr>
          <w:color w:val="000000"/>
        </w:rPr>
      </w:pPr>
      <w:r>
        <w:t xml:space="preserve">The Human Rights Act 1998 (HRA) and the fact that the provision and regulation of housing is a devolved matter within the competency of the NI Assembly and Executive means that the ECHR and associated jurisprudence is directly applicable in NI. Established public authorities such as the Housing Executive are bound by these rules but also independent housing associations. Under Section 6(3)(b) of the HRA, a public authority is defined as “any person certain of whose functions are functions of a public nature”. The case </w:t>
      </w:r>
      <w:r w:rsidRPr="00F42D42">
        <w:rPr>
          <w:i/>
          <w:iCs/>
        </w:rPr>
        <w:t>Weaver v London and Quadrant Housing Trust</w:t>
      </w:r>
      <w:r>
        <w:rPr>
          <w:rStyle w:val="FootnoteReference"/>
          <w:i/>
          <w:iCs/>
        </w:rPr>
        <w:footnoteReference w:id="19"/>
      </w:r>
      <w:r w:rsidRPr="00F42D42">
        <w:rPr>
          <w:i/>
          <w:iCs/>
        </w:rPr>
        <w:t xml:space="preserve"> </w:t>
      </w:r>
      <w:r>
        <w:t>confirmed that a private authority that exercises both public and private functions is a public authority of the purposes of the HRA and so must act in accordance with ECHR rights.</w:t>
      </w:r>
    </w:p>
    <w:p w14:paraId="45A05057" w14:textId="77777777" w:rsidR="00180EF3" w:rsidRPr="002234D8" w:rsidRDefault="00180EF3" w:rsidP="002234D8">
      <w:pPr>
        <w:pStyle w:val="ListParagraph"/>
        <w:jc w:val="both"/>
        <w:rPr>
          <w:color w:val="000000"/>
        </w:rPr>
      </w:pPr>
    </w:p>
    <w:p w14:paraId="3236E92E" w14:textId="71456074" w:rsidR="00AA3463" w:rsidRPr="002234D8" w:rsidRDefault="007A4600" w:rsidP="002234D8">
      <w:pPr>
        <w:pStyle w:val="ListParagraph"/>
        <w:numPr>
          <w:ilvl w:val="1"/>
          <w:numId w:val="18"/>
        </w:numPr>
        <w:jc w:val="both"/>
        <w:rPr>
          <w:color w:val="000000"/>
        </w:rPr>
      </w:pPr>
      <w:r>
        <w:t>T</w:t>
      </w:r>
      <w:r w:rsidRPr="00CC6E47">
        <w:t xml:space="preserve">here is no explicit right to </w:t>
      </w:r>
      <w:r>
        <w:t>housing or indeed public housing</w:t>
      </w:r>
      <w:r w:rsidRPr="00CC6E47">
        <w:t xml:space="preserve"> in the European Convention on Human Rights (ECHR)</w:t>
      </w:r>
      <w:r>
        <w:t xml:space="preserve">. However, the </w:t>
      </w:r>
      <w:r w:rsidRPr="00CC6E47">
        <w:t xml:space="preserve">European Court of Human Rights (ECtHR) </w:t>
      </w:r>
      <w:r>
        <w:t xml:space="preserve">has </w:t>
      </w:r>
      <w:r w:rsidR="004D0536">
        <w:t>considered applications</w:t>
      </w:r>
      <w:r>
        <w:t xml:space="preserve"> seeking to secure this right using </w:t>
      </w:r>
      <w:r w:rsidR="004D0536">
        <w:t>the right to private and family life (A</w:t>
      </w:r>
      <w:r>
        <w:t>rticles 8</w:t>
      </w:r>
      <w:r w:rsidR="004D0536">
        <w:t>), the right to peace</w:t>
      </w:r>
      <w:r w:rsidR="00862193">
        <w:t>ful</w:t>
      </w:r>
      <w:r w:rsidR="004D0536">
        <w:t xml:space="preserve"> enjoyment of possessions (Article 1 of Protocol 1) and non-discrimination</w:t>
      </w:r>
      <w:r w:rsidR="004A4397">
        <w:t xml:space="preserve"> </w:t>
      </w:r>
      <w:r w:rsidR="004D0536">
        <w:t xml:space="preserve">(Article </w:t>
      </w:r>
      <w:r>
        <w:t>14</w:t>
      </w:r>
      <w:r w:rsidR="004D0536">
        <w:t>).</w:t>
      </w:r>
      <w:r>
        <w:t xml:space="preserve"> The </w:t>
      </w:r>
      <w:r w:rsidR="004D0536">
        <w:t>ECtHR</w:t>
      </w:r>
      <w:r>
        <w:t xml:space="preserve"> however has chosen to tread lightly in this area, finding that</w:t>
      </w:r>
      <w:r w:rsidRPr="00CC6E47">
        <w:t xml:space="preserve"> </w:t>
      </w:r>
      <w:r w:rsidRPr="00671275">
        <w:t>Article 8 cannot be construed as recognising a right to be provided with a home</w:t>
      </w:r>
      <w:r>
        <w:rPr>
          <w:rStyle w:val="FootnoteReference"/>
        </w:rPr>
        <w:footnoteReference w:id="20"/>
      </w:r>
      <w:r w:rsidRPr="00671275">
        <w:t xml:space="preserve"> or as conferring a right to live in a particular location</w:t>
      </w:r>
      <w:r w:rsidR="00A6291C">
        <w:t>.</w:t>
      </w:r>
      <w:r>
        <w:rPr>
          <w:rStyle w:val="FootnoteReference"/>
        </w:rPr>
        <w:footnoteReference w:id="21"/>
      </w:r>
      <w:r w:rsidRPr="00671275">
        <w:t xml:space="preserve"> Moreover, the scope of any positive obligation </w:t>
      </w:r>
      <w:r>
        <w:t>on the state to provide housing</w:t>
      </w:r>
      <w:r w:rsidRPr="00671275">
        <w:t xml:space="preserve"> is limited</w:t>
      </w:r>
      <w:r>
        <w:t>.</w:t>
      </w:r>
      <w:r>
        <w:rPr>
          <w:rStyle w:val="FootnoteReference"/>
        </w:rPr>
        <w:footnoteReference w:id="22"/>
      </w:r>
      <w:r w:rsidR="009756B2">
        <w:t xml:space="preserve"> </w:t>
      </w:r>
      <w:r w:rsidR="00463E92">
        <w:t>R</w:t>
      </w:r>
      <w:r w:rsidR="00254554">
        <w:t xml:space="preserve">ecent </w:t>
      </w:r>
      <w:r w:rsidR="00B81CFE">
        <w:t>tentative step</w:t>
      </w:r>
      <w:r w:rsidR="00463E92">
        <w:t>s</w:t>
      </w:r>
      <w:r w:rsidR="00B81CFE">
        <w:t xml:space="preserve"> the ECtHR has made in </w:t>
      </w:r>
      <w:r w:rsidR="00AA3BDB">
        <w:t>the area of housing include that</w:t>
      </w:r>
      <w:r w:rsidR="00235288">
        <w:t xml:space="preserve"> restitution by the public authorities of a flat in a condition unfit for human habitation was held to infringe the</w:t>
      </w:r>
      <w:r w:rsidR="0045730B">
        <w:t xml:space="preserve"> Article 8</w:t>
      </w:r>
      <w:r w:rsidR="00235288">
        <w:t xml:space="preserve"> right to respect for the home</w:t>
      </w:r>
      <w:r w:rsidR="009756B2">
        <w:t>.</w:t>
      </w:r>
      <w:r w:rsidR="00485DA3">
        <w:rPr>
          <w:rStyle w:val="FootnoteReference"/>
        </w:rPr>
        <w:footnoteReference w:id="23"/>
      </w:r>
      <w:r w:rsidR="0055485C">
        <w:t xml:space="preserve"> It has also found that the criteria by which social housing can be allocated</w:t>
      </w:r>
      <w:r w:rsidR="008B7734">
        <w:t xml:space="preserve"> should not be arbitrary or discriminatory</w:t>
      </w:r>
      <w:r w:rsidR="00B65050">
        <w:t>.</w:t>
      </w:r>
      <w:r w:rsidR="008B7734">
        <w:rPr>
          <w:rStyle w:val="FootnoteReference"/>
        </w:rPr>
        <w:footnoteReference w:id="24"/>
      </w:r>
      <w:r w:rsidR="00B65050">
        <w:t xml:space="preserve"> </w:t>
      </w:r>
      <w:r w:rsidR="00B65050">
        <w:lastRenderedPageBreak/>
        <w:t xml:space="preserve">The </w:t>
      </w:r>
      <w:r w:rsidR="00180EF3">
        <w:t xml:space="preserve">ECtHR </w:t>
      </w:r>
      <w:r w:rsidR="00B65050">
        <w:t xml:space="preserve">may develop </w:t>
      </w:r>
      <w:r w:rsidR="00964960">
        <w:t>a more active interpretation of these rights to housing in the future.</w:t>
      </w:r>
    </w:p>
    <w:p w14:paraId="7F9C5FCD" w14:textId="77777777" w:rsidR="00B20C77" w:rsidRDefault="00B20C77" w:rsidP="0027376F">
      <w:pPr>
        <w:suppressAutoHyphens/>
        <w:jc w:val="both"/>
        <w:rPr>
          <w:rFonts w:cs="Arial"/>
          <w:b/>
          <w:color w:val="734791"/>
        </w:rPr>
      </w:pPr>
    </w:p>
    <w:p w14:paraId="2D14305D" w14:textId="77777777" w:rsidR="00B55278" w:rsidRPr="000B335E" w:rsidRDefault="00B55278" w:rsidP="00B55278">
      <w:pPr>
        <w:pStyle w:val="ListParagraph"/>
        <w:numPr>
          <w:ilvl w:val="0"/>
          <w:numId w:val="21"/>
        </w:numPr>
        <w:rPr>
          <w:b/>
          <w:bCs/>
          <w:color w:val="7030A0"/>
          <w:sz w:val="32"/>
          <w:szCs w:val="32"/>
        </w:rPr>
      </w:pPr>
      <w:r>
        <w:rPr>
          <w:b/>
          <w:bCs/>
          <w:color w:val="7030A0"/>
          <w:sz w:val="32"/>
          <w:szCs w:val="32"/>
        </w:rPr>
        <w:t>Substantive response to Housing Strategy</w:t>
      </w:r>
    </w:p>
    <w:p w14:paraId="7A90210B" w14:textId="77777777" w:rsidR="00621EBA" w:rsidRPr="00DE40EA" w:rsidRDefault="00621EBA" w:rsidP="0027376F">
      <w:pPr>
        <w:jc w:val="both"/>
        <w:rPr>
          <w:color w:val="7030A0"/>
        </w:rPr>
      </w:pPr>
    </w:p>
    <w:p w14:paraId="0650AB38" w14:textId="77777777" w:rsidR="00B61AA8" w:rsidRPr="00553F20" w:rsidRDefault="0009694B" w:rsidP="00553F20">
      <w:pPr>
        <w:jc w:val="both"/>
        <w:rPr>
          <w:b/>
          <w:bCs/>
          <w:color w:val="7030A0"/>
          <w:sz w:val="28"/>
          <w:szCs w:val="28"/>
        </w:rPr>
      </w:pPr>
      <w:r w:rsidRPr="00DE40EA">
        <w:rPr>
          <w:b/>
          <w:bCs/>
          <w:color w:val="7030A0"/>
          <w:sz w:val="28"/>
          <w:szCs w:val="28"/>
        </w:rPr>
        <w:t>Sustainable Communities and Homes</w:t>
      </w:r>
    </w:p>
    <w:p w14:paraId="5FC53F82" w14:textId="77777777" w:rsidR="004B0C39" w:rsidRPr="004B0C39" w:rsidRDefault="004B0C39" w:rsidP="004B0C39">
      <w:pPr>
        <w:pStyle w:val="ListParagraph"/>
        <w:numPr>
          <w:ilvl w:val="0"/>
          <w:numId w:val="6"/>
        </w:numPr>
        <w:jc w:val="both"/>
        <w:rPr>
          <w:vanish/>
        </w:rPr>
      </w:pPr>
    </w:p>
    <w:p w14:paraId="2D2258F6" w14:textId="77777777" w:rsidR="004B0C39" w:rsidRPr="004B0C39" w:rsidRDefault="004B0C39" w:rsidP="004B0C39">
      <w:pPr>
        <w:pStyle w:val="ListParagraph"/>
        <w:numPr>
          <w:ilvl w:val="0"/>
          <w:numId w:val="6"/>
        </w:numPr>
        <w:jc w:val="both"/>
        <w:rPr>
          <w:vanish/>
        </w:rPr>
      </w:pPr>
    </w:p>
    <w:p w14:paraId="19BB9D14" w14:textId="77777777" w:rsidR="00F54BE0" w:rsidRDefault="00F54BE0" w:rsidP="00553F20">
      <w:pPr>
        <w:jc w:val="both"/>
      </w:pPr>
    </w:p>
    <w:p w14:paraId="4D85B539" w14:textId="199BCA9D" w:rsidR="00F42404" w:rsidRDefault="00B61AA8" w:rsidP="00F51AD1">
      <w:pPr>
        <w:pStyle w:val="ListParagraph"/>
        <w:numPr>
          <w:ilvl w:val="1"/>
          <w:numId w:val="6"/>
        </w:numPr>
        <w:ind w:left="709" w:hanging="709"/>
        <w:jc w:val="both"/>
      </w:pPr>
      <w:r>
        <w:t>Housing is a significantly important and multifaceted issue and one where government policy can have wide ranging effect on the social and financial prospects of individuals and of society as a whole</w:t>
      </w:r>
      <w:r w:rsidR="00F51AD1">
        <w:t>.</w:t>
      </w:r>
      <w:r>
        <w:t xml:space="preserve"> It is for this reason that </w:t>
      </w:r>
      <w:r w:rsidR="00F51AD1">
        <w:t xml:space="preserve">The </w:t>
      </w:r>
      <w:r>
        <w:t>NIHRC welcome</w:t>
      </w:r>
      <w:r w:rsidR="00F51AD1">
        <w:t>s</w:t>
      </w:r>
      <w:r>
        <w:t xml:space="preserve"> that DfC have opted for a long-term housing strategy and that their proposed 15 year </w:t>
      </w:r>
      <w:r w:rsidR="00F51AD1">
        <w:t xml:space="preserve">time period offers potential for </w:t>
      </w:r>
      <w:r w:rsidR="008059FC">
        <w:t>a long</w:t>
      </w:r>
      <w:r w:rsidR="00952E63">
        <w:t>-term</w:t>
      </w:r>
      <w:r>
        <w:t xml:space="preserve"> vision and a level of stability that will hopefully provide positive outcomes</w:t>
      </w:r>
      <w:r w:rsidR="00F51AD1">
        <w:t>.</w:t>
      </w:r>
    </w:p>
    <w:p w14:paraId="1D8624F3" w14:textId="77777777" w:rsidR="00B61AA8" w:rsidRDefault="00B61AA8" w:rsidP="00F42404">
      <w:pPr>
        <w:pStyle w:val="ListParagraph"/>
        <w:ind w:left="709"/>
        <w:jc w:val="both"/>
      </w:pPr>
      <w:r>
        <w:t xml:space="preserve"> </w:t>
      </w:r>
    </w:p>
    <w:p w14:paraId="3E443E91" w14:textId="38D95959" w:rsidR="00917987" w:rsidRPr="00026A8D" w:rsidRDefault="00F51AD1" w:rsidP="0027376F">
      <w:pPr>
        <w:pStyle w:val="ListParagraph"/>
        <w:numPr>
          <w:ilvl w:val="1"/>
          <w:numId w:val="6"/>
        </w:numPr>
        <w:ind w:left="709" w:hanging="709"/>
        <w:jc w:val="both"/>
        <w:rPr>
          <w:color w:val="000000"/>
        </w:rPr>
      </w:pPr>
      <w:r>
        <w:t xml:space="preserve">The </w:t>
      </w:r>
      <w:r w:rsidR="00095823">
        <w:t>NIHRC note</w:t>
      </w:r>
      <w:r>
        <w:t>s</w:t>
      </w:r>
      <w:r w:rsidR="00095823">
        <w:t xml:space="preserve"> </w:t>
      </w:r>
      <w:r w:rsidR="007C0B17" w:rsidRPr="007C0B17">
        <w:t>the</w:t>
      </w:r>
      <w:r w:rsidR="007C0B17">
        <w:t xml:space="preserve"> reference to the</w:t>
      </w:r>
      <w:r w:rsidR="007C0B17" w:rsidRPr="007C0B17">
        <w:t xml:space="preserve"> ‘revitalisation of the Housing Executive’</w:t>
      </w:r>
      <w:r w:rsidR="00180EF3">
        <w:rPr>
          <w:rStyle w:val="FootnoteReference"/>
        </w:rPr>
        <w:footnoteReference w:id="25"/>
      </w:r>
      <w:r w:rsidR="007C0B17" w:rsidRPr="007C0B17">
        <w:t xml:space="preserve"> </w:t>
      </w:r>
      <w:r w:rsidR="009B677B">
        <w:t xml:space="preserve">and </w:t>
      </w:r>
      <w:r w:rsidR="00095823">
        <w:t xml:space="preserve">the recent statement from the DfC concerning the reform of the </w:t>
      </w:r>
      <w:r w:rsidR="00180EF3">
        <w:t xml:space="preserve">NI </w:t>
      </w:r>
      <w:r w:rsidR="00095823">
        <w:t>Housing Executive</w:t>
      </w:r>
      <w:r w:rsidR="00157DBE">
        <w:t>’s</w:t>
      </w:r>
      <w:r w:rsidR="00095823">
        <w:t xml:space="preserve"> status and ownership structure.</w:t>
      </w:r>
      <w:r w:rsidR="00095823">
        <w:rPr>
          <w:rStyle w:val="FootnoteReference"/>
        </w:rPr>
        <w:footnoteReference w:id="26"/>
      </w:r>
      <w:r w:rsidR="00095823">
        <w:t xml:space="preserve"> </w:t>
      </w:r>
      <w:r w:rsidRPr="002234D8">
        <w:t xml:space="preserve">The </w:t>
      </w:r>
      <w:r w:rsidR="000A44A7" w:rsidRPr="002234D8">
        <w:t>NIHRC welcome</w:t>
      </w:r>
      <w:r w:rsidRPr="002234D8">
        <w:t>s</w:t>
      </w:r>
      <w:r w:rsidR="000A44A7" w:rsidRPr="002234D8">
        <w:t xml:space="preserve"> the proposed reform of the Housing Executive, insofar as it </w:t>
      </w:r>
      <w:r w:rsidR="00917987">
        <w:t xml:space="preserve">seeks to </w:t>
      </w:r>
      <w:r w:rsidR="000A44A7" w:rsidRPr="002234D8">
        <w:t>financ</w:t>
      </w:r>
      <w:r w:rsidR="00917987">
        <w:t>e</w:t>
      </w:r>
      <w:r w:rsidR="000A44A7" w:rsidRPr="002234D8">
        <w:t xml:space="preserve"> the much needed building, renovation and maintenance of social housing in NI.</w:t>
      </w:r>
      <w:r w:rsidR="00917987">
        <w:t xml:space="preserve"> In light of th</w:t>
      </w:r>
      <w:r w:rsidR="007D2414">
        <w:t>is</w:t>
      </w:r>
      <w:r w:rsidR="00917987">
        <w:t xml:space="preserve"> significant change it is important that existing tenants and others are fully consulted on and kept informed of the proposals.</w:t>
      </w:r>
      <w:r w:rsidR="00917987" w:rsidDel="00917987">
        <w:t xml:space="preserve"> </w:t>
      </w:r>
    </w:p>
    <w:p w14:paraId="5B2114AB" w14:textId="77777777" w:rsidR="00917987" w:rsidRDefault="00917987" w:rsidP="00026A8D">
      <w:pPr>
        <w:pStyle w:val="ListParagraph"/>
      </w:pPr>
    </w:p>
    <w:p w14:paraId="0415705E" w14:textId="77777777" w:rsidR="000A44A7" w:rsidRPr="009B677B" w:rsidRDefault="00F51AD1" w:rsidP="0027376F">
      <w:pPr>
        <w:pStyle w:val="ListParagraph"/>
        <w:numPr>
          <w:ilvl w:val="1"/>
          <w:numId w:val="6"/>
        </w:numPr>
        <w:ind w:left="709" w:hanging="709"/>
        <w:jc w:val="both"/>
        <w:rPr>
          <w:b/>
          <w:color w:val="000000"/>
        </w:rPr>
      </w:pPr>
      <w:bookmarkStart w:id="4" w:name="_Hlk76644942"/>
      <w:r w:rsidRPr="009B677B">
        <w:rPr>
          <w:b/>
        </w:rPr>
        <w:t xml:space="preserve">The </w:t>
      </w:r>
      <w:r w:rsidR="00395C8A" w:rsidRPr="009B677B">
        <w:rPr>
          <w:b/>
        </w:rPr>
        <w:t xml:space="preserve">NIHRC </w:t>
      </w:r>
      <w:r w:rsidRPr="009B677B">
        <w:rPr>
          <w:b/>
        </w:rPr>
        <w:t>recommends</w:t>
      </w:r>
      <w:r w:rsidR="000215C5" w:rsidRPr="009B677B">
        <w:rPr>
          <w:b/>
        </w:rPr>
        <w:t xml:space="preserve"> that </w:t>
      </w:r>
      <w:r w:rsidRPr="009B677B">
        <w:rPr>
          <w:b/>
        </w:rPr>
        <w:t>any</w:t>
      </w:r>
      <w:r w:rsidR="000215C5" w:rsidRPr="009B677B">
        <w:rPr>
          <w:b/>
        </w:rPr>
        <w:t xml:space="preserve"> reform</w:t>
      </w:r>
      <w:r w:rsidR="00B848FE">
        <w:rPr>
          <w:b/>
        </w:rPr>
        <w:t xml:space="preserve"> of the </w:t>
      </w:r>
      <w:r w:rsidR="00180EF3">
        <w:rPr>
          <w:b/>
        </w:rPr>
        <w:t xml:space="preserve">NI </w:t>
      </w:r>
      <w:r w:rsidR="00B848FE">
        <w:rPr>
          <w:b/>
        </w:rPr>
        <w:t>Housing Executive</w:t>
      </w:r>
      <w:r w:rsidR="000215C5" w:rsidRPr="009B677B">
        <w:rPr>
          <w:b/>
        </w:rPr>
        <w:t xml:space="preserve"> is </w:t>
      </w:r>
      <w:r w:rsidRPr="009B677B">
        <w:rPr>
          <w:b/>
        </w:rPr>
        <w:t xml:space="preserve">progressed </w:t>
      </w:r>
      <w:r w:rsidR="000215C5" w:rsidRPr="009B677B">
        <w:rPr>
          <w:b/>
        </w:rPr>
        <w:t>on the basis of</w:t>
      </w:r>
      <w:r w:rsidR="0027376F" w:rsidRPr="009B677B">
        <w:rPr>
          <w:b/>
        </w:rPr>
        <w:t xml:space="preserve"> </w:t>
      </w:r>
      <w:r w:rsidRPr="009B677B">
        <w:rPr>
          <w:b/>
        </w:rPr>
        <w:t xml:space="preserve">meaningful </w:t>
      </w:r>
      <w:r w:rsidR="000215C5" w:rsidRPr="009B677B">
        <w:rPr>
          <w:b/>
        </w:rPr>
        <w:t xml:space="preserve">consultation </w:t>
      </w:r>
      <w:r w:rsidRPr="009B677B">
        <w:rPr>
          <w:b/>
        </w:rPr>
        <w:t>with</w:t>
      </w:r>
      <w:r w:rsidR="000215C5" w:rsidRPr="009B677B">
        <w:rPr>
          <w:b/>
        </w:rPr>
        <w:t xml:space="preserve"> tenants and</w:t>
      </w:r>
      <w:r w:rsidRPr="009B677B">
        <w:rPr>
          <w:b/>
        </w:rPr>
        <w:t xml:space="preserve"> other stakeholders.</w:t>
      </w:r>
      <w:r w:rsidR="000A44A7" w:rsidRPr="009B677B">
        <w:rPr>
          <w:b/>
        </w:rPr>
        <w:t xml:space="preserve"> </w:t>
      </w:r>
    </w:p>
    <w:bookmarkEnd w:id="4"/>
    <w:p w14:paraId="458471AF" w14:textId="77777777" w:rsidR="000A44A7" w:rsidRDefault="000A44A7" w:rsidP="0027376F">
      <w:pPr>
        <w:pStyle w:val="ListParagraph"/>
        <w:jc w:val="both"/>
      </w:pPr>
    </w:p>
    <w:p w14:paraId="050A0E82" w14:textId="3F00C25A" w:rsidR="002C1F26" w:rsidRPr="003473E3" w:rsidRDefault="00F51AD1" w:rsidP="002C1F26">
      <w:pPr>
        <w:pStyle w:val="ListParagraph"/>
        <w:numPr>
          <w:ilvl w:val="1"/>
          <w:numId w:val="6"/>
        </w:numPr>
        <w:ind w:left="709" w:hanging="709"/>
        <w:jc w:val="both"/>
        <w:rPr>
          <w:color w:val="000000"/>
        </w:rPr>
      </w:pPr>
      <w:r>
        <w:t>Th</w:t>
      </w:r>
      <w:r w:rsidRPr="003473E3">
        <w:t xml:space="preserve">e </w:t>
      </w:r>
      <w:r w:rsidR="007F2835" w:rsidRPr="003473E3">
        <w:t xml:space="preserve">NIHRC welcomes </w:t>
      </w:r>
      <w:r w:rsidR="000A07F6" w:rsidRPr="003473E3">
        <w:t>that a major focus of</w:t>
      </w:r>
      <w:r w:rsidR="0002594F" w:rsidRPr="003473E3">
        <w:t xml:space="preserve"> DfC’s attention in </w:t>
      </w:r>
      <w:r w:rsidR="00180EF3">
        <w:t>the</w:t>
      </w:r>
      <w:r w:rsidR="00180EF3" w:rsidRPr="003473E3">
        <w:t xml:space="preserve"> </w:t>
      </w:r>
      <w:r w:rsidR="0002594F" w:rsidRPr="003473E3">
        <w:t xml:space="preserve">housing strategy </w:t>
      </w:r>
      <w:r w:rsidR="005F703C" w:rsidRPr="003473E3">
        <w:t xml:space="preserve">is on </w:t>
      </w:r>
      <w:r w:rsidR="00A31156" w:rsidRPr="003473E3">
        <w:t xml:space="preserve">provision of </w:t>
      </w:r>
      <w:r w:rsidR="003723C3" w:rsidRPr="003473E3">
        <w:t>social housing.</w:t>
      </w:r>
      <w:r w:rsidR="00737F38" w:rsidRPr="003473E3">
        <w:t xml:space="preserve"> </w:t>
      </w:r>
      <w:r w:rsidR="00180EF3" w:rsidRPr="0062440E">
        <w:t xml:space="preserve">The </w:t>
      </w:r>
      <w:r w:rsidR="0092348B" w:rsidRPr="0062440E">
        <w:t>NIHRC</w:t>
      </w:r>
      <w:r w:rsidR="001D3CB9" w:rsidRPr="0062440E">
        <w:t xml:space="preserve"> </w:t>
      </w:r>
      <w:r w:rsidR="0062440E" w:rsidRPr="002234D8">
        <w:t>notes</w:t>
      </w:r>
      <w:r w:rsidR="0062440E" w:rsidRPr="0062440E">
        <w:t xml:space="preserve"> </w:t>
      </w:r>
      <w:r w:rsidR="003D0A7B" w:rsidRPr="0062440E">
        <w:t>that t</w:t>
      </w:r>
      <w:r w:rsidR="000914E4" w:rsidRPr="0062440E">
        <w:t>here is a place for</w:t>
      </w:r>
      <w:r w:rsidR="00C6120D" w:rsidRPr="0062440E">
        <w:t xml:space="preserve"> a strong </w:t>
      </w:r>
      <w:r w:rsidR="001D3CB9" w:rsidRPr="0062440E">
        <w:t>p</w:t>
      </w:r>
      <w:r w:rsidR="00C6120D" w:rsidRPr="0062440E">
        <w:t xml:space="preserve">rivate </w:t>
      </w:r>
      <w:r w:rsidR="001D3CB9" w:rsidRPr="0062440E">
        <w:t>r</w:t>
      </w:r>
      <w:r w:rsidR="00C6120D" w:rsidRPr="0062440E">
        <w:t xml:space="preserve">ented </w:t>
      </w:r>
      <w:r w:rsidR="001D3CB9" w:rsidRPr="0062440E">
        <w:t>s</w:t>
      </w:r>
      <w:r w:rsidR="00C6120D" w:rsidRPr="0062440E">
        <w:t>ector in</w:t>
      </w:r>
      <w:r w:rsidR="00ED6B4F" w:rsidRPr="0062440E">
        <w:t xml:space="preserve"> any housing strategy</w:t>
      </w:r>
      <w:r w:rsidR="00C6120D" w:rsidRPr="0062440E">
        <w:t xml:space="preserve"> </w:t>
      </w:r>
      <w:r w:rsidR="004967FF" w:rsidRPr="0062440E">
        <w:t>in NI</w:t>
      </w:r>
      <w:r w:rsidR="00C7220E" w:rsidRPr="0062440E">
        <w:t xml:space="preserve"> and</w:t>
      </w:r>
      <w:r w:rsidR="006E58DE" w:rsidRPr="0062440E">
        <w:t xml:space="preserve"> </w:t>
      </w:r>
      <w:r w:rsidR="00C7220E" w:rsidRPr="0062440E">
        <w:t xml:space="preserve">we would recommend that </w:t>
      </w:r>
      <w:r w:rsidR="00D90758" w:rsidRPr="0062440E">
        <w:t xml:space="preserve">the private rented sector be </w:t>
      </w:r>
      <w:r w:rsidR="00BD10C1" w:rsidRPr="0062440E">
        <w:t xml:space="preserve">subject to </w:t>
      </w:r>
      <w:r w:rsidR="00ED6B4F" w:rsidRPr="0062440E">
        <w:t>regulat</w:t>
      </w:r>
      <w:r w:rsidR="00D73739" w:rsidRPr="0062440E">
        <w:t>ion that secures the rights of tenants as well as the property rights of landlords</w:t>
      </w:r>
      <w:r w:rsidR="00A202C5" w:rsidRPr="0062440E">
        <w:t>. However,</w:t>
      </w:r>
      <w:r w:rsidR="009B07BA" w:rsidRPr="0062440E">
        <w:t xml:space="preserve"> </w:t>
      </w:r>
      <w:r w:rsidR="00CE2649" w:rsidRPr="0062440E">
        <w:t>NIHRC</w:t>
      </w:r>
      <w:r w:rsidR="00AF5841" w:rsidRPr="0062440E">
        <w:t xml:space="preserve"> consider</w:t>
      </w:r>
      <w:r w:rsidR="003473E3" w:rsidRPr="0062440E">
        <w:t>s</w:t>
      </w:r>
      <w:r w:rsidR="00AF5841" w:rsidRPr="0062440E">
        <w:t xml:space="preserve"> tha</w:t>
      </w:r>
      <w:r w:rsidR="00F40F97" w:rsidRPr="0062440E">
        <w:t>t</w:t>
      </w:r>
      <w:r w:rsidR="00C6120D" w:rsidRPr="0062440E">
        <w:t xml:space="preserve"> housing provision</w:t>
      </w:r>
      <w:r w:rsidR="00F40F97" w:rsidRPr="0062440E">
        <w:t xml:space="preserve"> is in need of a significant rebalancing </w:t>
      </w:r>
      <w:r w:rsidR="000914E4" w:rsidRPr="0062440E">
        <w:t>so</w:t>
      </w:r>
      <w:r w:rsidR="00F40F97" w:rsidRPr="0062440E">
        <w:t xml:space="preserve"> that</w:t>
      </w:r>
      <w:r w:rsidR="000914E4" w:rsidRPr="0062440E">
        <w:t xml:space="preserve"> social housing is more of a priority</w:t>
      </w:r>
      <w:r w:rsidR="003473E3" w:rsidRPr="0062440E">
        <w:t>,</w:t>
      </w:r>
      <w:r w:rsidR="00535FC7" w:rsidRPr="0062440E">
        <w:t xml:space="preserve"> </w:t>
      </w:r>
      <w:r w:rsidR="003473E3" w:rsidRPr="0062440E">
        <w:t xml:space="preserve">which may </w:t>
      </w:r>
      <w:r w:rsidR="00925A06" w:rsidRPr="0062440E">
        <w:t>produce</w:t>
      </w:r>
      <w:r w:rsidR="00CE2649" w:rsidRPr="0062440E">
        <w:t xml:space="preserve"> not just</w:t>
      </w:r>
      <w:r w:rsidR="00925A06" w:rsidRPr="0062440E">
        <w:t xml:space="preserve"> social</w:t>
      </w:r>
      <w:r w:rsidR="00807296" w:rsidRPr="0062440E">
        <w:t>ly</w:t>
      </w:r>
      <w:r w:rsidR="007C46C1" w:rsidRPr="0062440E">
        <w:t xml:space="preserve"> </w:t>
      </w:r>
      <w:r w:rsidR="00925A06" w:rsidRPr="0062440E">
        <w:t>positive outcomes</w:t>
      </w:r>
      <w:r w:rsidR="007C46C1" w:rsidRPr="0062440E">
        <w:t xml:space="preserve"> but </w:t>
      </w:r>
      <w:r w:rsidR="00B855F9" w:rsidRPr="0062440E">
        <w:t>long</w:t>
      </w:r>
      <w:r w:rsidR="00B246DC">
        <w:t>-</w:t>
      </w:r>
      <w:r w:rsidR="00B855F9" w:rsidRPr="0062440E">
        <w:t xml:space="preserve">term </w:t>
      </w:r>
      <w:r w:rsidR="007C46C1" w:rsidRPr="0062440E">
        <w:t>financial</w:t>
      </w:r>
      <w:r w:rsidR="00EA3632" w:rsidRPr="0062440E">
        <w:t xml:space="preserve"> rewards</w:t>
      </w:r>
      <w:r w:rsidR="005C42B2">
        <w:t xml:space="preserve"> too</w:t>
      </w:r>
      <w:r w:rsidR="00B855F9" w:rsidRPr="0062440E">
        <w:t>.</w:t>
      </w:r>
      <w:r w:rsidR="00C21686" w:rsidRPr="0062440E">
        <w:t xml:space="preserve"> </w:t>
      </w:r>
      <w:r w:rsidR="00B96AC1" w:rsidRPr="0062440E">
        <w:t xml:space="preserve">This will </w:t>
      </w:r>
      <w:r w:rsidR="00C21686" w:rsidRPr="0062440E">
        <w:t xml:space="preserve">mean an increase in housing supply </w:t>
      </w:r>
      <w:r w:rsidR="0095611F" w:rsidRPr="0062440E">
        <w:t>and we welcome action</w:t>
      </w:r>
      <w:r w:rsidR="00B96AC1" w:rsidRPr="0062440E">
        <w:t xml:space="preserve"> on the part of the DfC</w:t>
      </w:r>
      <w:r w:rsidR="0095611F" w:rsidRPr="0062440E">
        <w:t xml:space="preserve"> that will make the sourcing of areas for public hous</w:t>
      </w:r>
      <w:r w:rsidR="00B96AC1" w:rsidRPr="0062440E">
        <w:t>e</w:t>
      </w:r>
      <w:r w:rsidR="0095611F" w:rsidRPr="0062440E">
        <w:t xml:space="preserve"> </w:t>
      </w:r>
      <w:r w:rsidR="00457D2E" w:rsidRPr="0062440E">
        <w:t>building and the construction of that housing easier.</w:t>
      </w:r>
    </w:p>
    <w:p w14:paraId="6DDB5316" w14:textId="77777777" w:rsidR="002C1F26" w:rsidRDefault="002C1F26" w:rsidP="002C1F26">
      <w:pPr>
        <w:pStyle w:val="ListParagraph"/>
      </w:pPr>
    </w:p>
    <w:p w14:paraId="120F663C" w14:textId="4737129B" w:rsidR="008E265D" w:rsidRPr="0062440E" w:rsidRDefault="002C1F26" w:rsidP="008E265D">
      <w:pPr>
        <w:pStyle w:val="ListParagraph"/>
        <w:numPr>
          <w:ilvl w:val="1"/>
          <w:numId w:val="6"/>
        </w:numPr>
        <w:ind w:left="709" w:hanging="709"/>
        <w:jc w:val="both"/>
        <w:rPr>
          <w:color w:val="000000"/>
        </w:rPr>
      </w:pPr>
      <w:r>
        <w:t xml:space="preserve">A robust social housing sector can have a positive effect even on the wider housing market. </w:t>
      </w:r>
      <w:r w:rsidR="00894831">
        <w:t>Across the developed world</w:t>
      </w:r>
      <w:r w:rsidR="0061165F">
        <w:t xml:space="preserve"> s</w:t>
      </w:r>
      <w:r>
        <w:t>ocial housing in the past few decades has</w:t>
      </w:r>
      <w:r w:rsidR="00894831">
        <w:t xml:space="preserve"> increasingly been</w:t>
      </w:r>
      <w:r>
        <w:t xml:space="preserve"> run on a residual model</w:t>
      </w:r>
      <w:r w:rsidR="0061165F">
        <w:t>.</w:t>
      </w:r>
      <w:r w:rsidR="00693CCB">
        <w:rPr>
          <w:rStyle w:val="FootnoteReference"/>
        </w:rPr>
        <w:footnoteReference w:id="27"/>
      </w:r>
      <w:r w:rsidR="0061165F">
        <w:t xml:space="preserve"> </w:t>
      </w:r>
      <w:r w:rsidR="00105396">
        <w:t>In nearly all countries, the social housing stock has become home to an increasing share of low-income and vulnerable tenants</w:t>
      </w:r>
      <w:r w:rsidR="006A2740">
        <w:rPr>
          <w:rStyle w:val="FootnoteReference"/>
        </w:rPr>
        <w:footnoteReference w:id="28"/>
      </w:r>
      <w:r w:rsidR="00C9685A">
        <w:t>.</w:t>
      </w:r>
      <w:r w:rsidR="00482CAA">
        <w:t xml:space="preserve"> </w:t>
      </w:r>
      <w:r w:rsidR="001B0B06">
        <w:t xml:space="preserve">There has been a move away from </w:t>
      </w:r>
      <w:r w:rsidR="001B0B06">
        <w:lastRenderedPageBreak/>
        <w:t>social housing being run on an ‘institutional model</w:t>
      </w:r>
      <w:r w:rsidR="004C3DD8">
        <w:t>’</w:t>
      </w:r>
      <w:r w:rsidR="00CE4821">
        <w:rPr>
          <w:rStyle w:val="FootnoteReference"/>
        </w:rPr>
        <w:footnoteReference w:id="29"/>
      </w:r>
      <w:r w:rsidR="007E3DFC">
        <w:t xml:space="preserve"> </w:t>
      </w:r>
      <w:r w:rsidR="006D71B3">
        <w:t>w</w:t>
      </w:r>
      <w:r w:rsidR="006767DE">
        <w:t>ith a</w:t>
      </w:r>
      <w:r>
        <w:t xml:space="preserve"> purpose of improving housing quality throughout society. In </w:t>
      </w:r>
      <w:r w:rsidR="00363C2A">
        <w:t>improving</w:t>
      </w:r>
      <w:r>
        <w:t xml:space="preserve"> </w:t>
      </w:r>
      <w:r w:rsidR="008230B4">
        <w:t>standards and</w:t>
      </w:r>
      <w:r w:rsidR="00363C2A">
        <w:t xml:space="preserve"> securing</w:t>
      </w:r>
      <w:r w:rsidR="008230B4">
        <w:t xml:space="preserve"> </w:t>
      </w:r>
      <w:r w:rsidR="00180EF3">
        <w:t xml:space="preserve">the </w:t>
      </w:r>
      <w:r>
        <w:t>right to</w:t>
      </w:r>
      <w:r w:rsidR="008230B4">
        <w:t xml:space="preserve"> adequate</w:t>
      </w:r>
      <w:r>
        <w:t xml:space="preserve"> hou</w:t>
      </w:r>
      <w:r w:rsidR="004F7BEC">
        <w:t>sing</w:t>
      </w:r>
      <w:r>
        <w:t>, often the most efficient mechanism in achieving this is for government bodies and public housing associations to provide affordable, good quality and secure accommodation</w:t>
      </w:r>
      <w:r w:rsidR="00D71D2D">
        <w:t xml:space="preserve">, as envisaged in CESCR </w:t>
      </w:r>
      <w:r w:rsidR="003C50C8">
        <w:t>General Comment No. 4</w:t>
      </w:r>
      <w:r w:rsidR="0098416D">
        <w:t>,</w:t>
      </w:r>
      <w:r w:rsidR="003C50C8">
        <w:rPr>
          <w:rStyle w:val="FootnoteReference"/>
        </w:rPr>
        <w:footnoteReference w:id="30"/>
      </w:r>
      <w:r>
        <w:t xml:space="preserve"> to those across a wide range of incomes. </w:t>
      </w:r>
      <w:r w:rsidR="00E21335" w:rsidRPr="0062440E">
        <w:t>R</w:t>
      </w:r>
      <w:r w:rsidRPr="0062440E">
        <w:t>ental proceeds</w:t>
      </w:r>
      <w:r w:rsidR="00E21335" w:rsidRPr="0062440E">
        <w:t xml:space="preserve"> from publicly owned</w:t>
      </w:r>
      <w:r w:rsidR="00592CC9" w:rsidRPr="0062440E">
        <w:t xml:space="preserve"> properties can also be c</w:t>
      </w:r>
      <w:r w:rsidR="00FC6F73" w:rsidRPr="0062440E">
        <w:t>h</w:t>
      </w:r>
      <w:r w:rsidR="00592CC9" w:rsidRPr="0062440E">
        <w:t>annelled</w:t>
      </w:r>
      <w:r w:rsidRPr="0062440E">
        <w:t xml:space="preserve"> into the building of even more public</w:t>
      </w:r>
      <w:r w:rsidR="00474105" w:rsidRPr="0062440E">
        <w:t>ly owned</w:t>
      </w:r>
      <w:r w:rsidRPr="0062440E">
        <w:t xml:space="preserve"> homes. This would reduce</w:t>
      </w:r>
      <w:r w:rsidR="0014029C" w:rsidRPr="0062440E">
        <w:t xml:space="preserve"> general</w:t>
      </w:r>
      <w:r w:rsidRPr="0062440E">
        <w:t xml:space="preserve"> housing costs for renters and owner occupiers whilst also creating a greater incentive for private sector landlords to</w:t>
      </w:r>
      <w:r w:rsidR="00FC6F73" w:rsidRPr="0062440E">
        <w:t xml:space="preserve"> </w:t>
      </w:r>
      <w:r w:rsidR="00D70C86" w:rsidRPr="0062440E">
        <w:t>be competitive with</w:t>
      </w:r>
      <w:r w:rsidR="00FA7221">
        <w:t xml:space="preserve"> the</w:t>
      </w:r>
      <w:r w:rsidRPr="0062440E">
        <w:t xml:space="preserve"> prices and conditions of public sector housing.</w:t>
      </w:r>
    </w:p>
    <w:p w14:paraId="73D1CD5B" w14:textId="77777777" w:rsidR="004E56B0" w:rsidRDefault="004E56B0" w:rsidP="0027376F">
      <w:pPr>
        <w:pStyle w:val="ListParagraph"/>
        <w:jc w:val="both"/>
      </w:pPr>
    </w:p>
    <w:p w14:paraId="52C019CA" w14:textId="70E8D7C4" w:rsidR="009F6F0A" w:rsidRPr="009F6F0A" w:rsidRDefault="008C65FA" w:rsidP="009F6F0A">
      <w:pPr>
        <w:pStyle w:val="ListParagraph"/>
        <w:numPr>
          <w:ilvl w:val="1"/>
          <w:numId w:val="6"/>
        </w:numPr>
        <w:ind w:left="709" w:hanging="709"/>
        <w:jc w:val="both"/>
        <w:rPr>
          <w:color w:val="000000"/>
        </w:rPr>
      </w:pPr>
      <w:r>
        <w:t>O</w:t>
      </w:r>
      <w:r w:rsidR="000A44A7">
        <w:t xml:space="preserve">ver </w:t>
      </w:r>
      <w:r w:rsidR="004D0F5E">
        <w:t xml:space="preserve">the </w:t>
      </w:r>
      <w:r w:rsidR="00917987">
        <w:t xml:space="preserve">past four </w:t>
      </w:r>
      <w:r w:rsidR="004D0F5E">
        <w:t>decades, there has been a shift from renting in public sector housing to renting in the private rented sector.</w:t>
      </w:r>
      <w:r w:rsidR="00997467">
        <w:rPr>
          <w:rStyle w:val="FootnoteReference"/>
        </w:rPr>
        <w:footnoteReference w:id="31"/>
      </w:r>
      <w:r w:rsidR="004D0F5E">
        <w:t xml:space="preserve"> </w:t>
      </w:r>
      <w:r w:rsidR="009646F2">
        <w:t xml:space="preserve">Part of this shift </w:t>
      </w:r>
      <w:r w:rsidR="008143F9">
        <w:t xml:space="preserve">has involved changes in public policy around the responsibilities of government vis a vis </w:t>
      </w:r>
      <w:r w:rsidR="00D55A38">
        <w:t xml:space="preserve">the individual and private enterprise and </w:t>
      </w:r>
      <w:r w:rsidR="007D36F4">
        <w:t>has been</w:t>
      </w:r>
      <w:r w:rsidR="00D55A38">
        <w:t xml:space="preserve"> reflected in</w:t>
      </w:r>
      <w:r w:rsidR="0049613A">
        <w:t xml:space="preserve"> societal norms and</w:t>
      </w:r>
      <w:r w:rsidR="00D55A38">
        <w:t xml:space="preserve"> changed public attitudes towards home ownership.</w:t>
      </w:r>
      <w:r w:rsidR="00310D5A">
        <w:t xml:space="preserve"> </w:t>
      </w:r>
      <w:r w:rsidR="00FB2016">
        <w:t xml:space="preserve">The proportion of housing stock </w:t>
      </w:r>
      <w:r w:rsidR="00472391">
        <w:t xml:space="preserve">in public ownership has dramatically decreased </w:t>
      </w:r>
      <w:r w:rsidR="00472391" w:rsidRPr="00AA4034">
        <w:t>whilst private ownership</w:t>
      </w:r>
      <w:r w:rsidR="00701C2D" w:rsidRPr="00AA4034">
        <w:t>, including owner occupier and private let</w:t>
      </w:r>
      <w:r w:rsidR="00483B33" w:rsidRPr="00AA4034">
        <w:t xml:space="preserve"> has increased.</w:t>
      </w:r>
      <w:r w:rsidR="00C330E7" w:rsidRPr="00AA4034">
        <w:t xml:space="preserve"> </w:t>
      </w:r>
      <w:r w:rsidR="002A33E2" w:rsidRPr="002234D8">
        <w:rPr>
          <w:rFonts w:cs="Helvetica"/>
          <w:shd w:val="clear" w:color="auto" w:fill="FFFFFF"/>
        </w:rPr>
        <w:t>The long-term historic trend has been a decrease in the size of the social sector. In the late 1970s the social sector represented 33% of all housing</w:t>
      </w:r>
      <w:r w:rsidR="009D2B17" w:rsidRPr="002234D8">
        <w:rPr>
          <w:rFonts w:cs="Helvetica"/>
          <w:shd w:val="clear" w:color="auto" w:fill="FFFFFF"/>
        </w:rPr>
        <w:t xml:space="preserve"> across the UK</w:t>
      </w:r>
      <w:r w:rsidR="002A33E2" w:rsidRPr="002234D8">
        <w:rPr>
          <w:rFonts w:cs="Helvetica"/>
          <w:shd w:val="clear" w:color="auto" w:fill="FFFFFF"/>
        </w:rPr>
        <w:t>.</w:t>
      </w:r>
      <w:r w:rsidR="009D2B17" w:rsidRPr="002234D8">
        <w:rPr>
          <w:rFonts w:cs="Helvetica"/>
          <w:shd w:val="clear" w:color="auto" w:fill="FFFFFF"/>
        </w:rPr>
        <w:t xml:space="preserve"> </w:t>
      </w:r>
      <w:r w:rsidR="00BE1A4B" w:rsidRPr="002234D8">
        <w:rPr>
          <w:rFonts w:cs="Helvetica"/>
          <w:shd w:val="clear" w:color="auto" w:fill="FFFFFF"/>
        </w:rPr>
        <w:t>This figure now stands at around 18%</w:t>
      </w:r>
      <w:r w:rsidR="000731AB" w:rsidRPr="002234D8">
        <w:rPr>
          <w:rFonts w:cs="Helvetica"/>
          <w:shd w:val="clear" w:color="auto" w:fill="FFFFFF"/>
        </w:rPr>
        <w:t xml:space="preserve"> across the UK and 15% in NI.</w:t>
      </w:r>
      <w:r w:rsidR="0038698C" w:rsidRPr="002234D8">
        <w:rPr>
          <w:rStyle w:val="FootnoteReference"/>
          <w:rFonts w:cs="Helvetica"/>
          <w:shd w:val="clear" w:color="auto" w:fill="FFFFFF"/>
        </w:rPr>
        <w:footnoteReference w:id="32"/>
      </w:r>
    </w:p>
    <w:p w14:paraId="2EAA2C6E" w14:textId="77777777" w:rsidR="009F6F0A" w:rsidRPr="009F6F0A" w:rsidRDefault="009F6F0A" w:rsidP="009F6F0A">
      <w:pPr>
        <w:pStyle w:val="ListParagraph"/>
        <w:rPr>
          <w:b/>
          <w:bCs/>
        </w:rPr>
      </w:pPr>
    </w:p>
    <w:p w14:paraId="51774DD4" w14:textId="561283CF" w:rsidR="00FF7929" w:rsidRPr="009F6F0A" w:rsidRDefault="00EB35DE" w:rsidP="009F6F0A">
      <w:pPr>
        <w:pStyle w:val="ListParagraph"/>
        <w:numPr>
          <w:ilvl w:val="1"/>
          <w:numId w:val="6"/>
        </w:numPr>
        <w:ind w:left="709" w:hanging="709"/>
        <w:jc w:val="both"/>
        <w:rPr>
          <w:color w:val="000000"/>
        </w:rPr>
      </w:pPr>
      <w:bookmarkStart w:id="5" w:name="_Hlk76645057"/>
      <w:r>
        <w:rPr>
          <w:b/>
          <w:bCs/>
        </w:rPr>
        <w:t xml:space="preserve">The </w:t>
      </w:r>
      <w:r w:rsidR="00FF7929" w:rsidRPr="009F6F0A">
        <w:rPr>
          <w:b/>
          <w:bCs/>
        </w:rPr>
        <w:t>NIHRC recommends a rebalancing of housing provision in NI an increased focus on provision of publicly owned, social housing and increased regulation of the private rented housing sector.</w:t>
      </w:r>
    </w:p>
    <w:bookmarkEnd w:id="5"/>
    <w:p w14:paraId="184733A1" w14:textId="77777777" w:rsidR="007E3DDA" w:rsidRDefault="007E3DDA" w:rsidP="007E3DDA">
      <w:pPr>
        <w:jc w:val="both"/>
      </w:pPr>
    </w:p>
    <w:p w14:paraId="7E9461DB" w14:textId="77777777" w:rsidR="007E3DDA" w:rsidRPr="00DE40EA" w:rsidRDefault="007E3DDA" w:rsidP="007E3DDA">
      <w:pPr>
        <w:jc w:val="both"/>
        <w:rPr>
          <w:b/>
          <w:bCs/>
          <w:color w:val="7030A0"/>
          <w:sz w:val="28"/>
          <w:szCs w:val="28"/>
        </w:rPr>
      </w:pPr>
      <w:r w:rsidRPr="00DE40EA">
        <w:rPr>
          <w:b/>
          <w:bCs/>
          <w:color w:val="7030A0"/>
          <w:sz w:val="28"/>
          <w:szCs w:val="28"/>
        </w:rPr>
        <w:t>Housing Supply</w:t>
      </w:r>
      <w:r w:rsidR="0082387B" w:rsidRPr="00DE40EA">
        <w:rPr>
          <w:b/>
          <w:bCs/>
          <w:color w:val="7030A0"/>
          <w:sz w:val="28"/>
          <w:szCs w:val="28"/>
        </w:rPr>
        <w:t xml:space="preserve"> and Finance</w:t>
      </w:r>
    </w:p>
    <w:p w14:paraId="1D7AFB82" w14:textId="77777777" w:rsidR="00D73347" w:rsidRDefault="00D73347" w:rsidP="00D73347">
      <w:pPr>
        <w:pStyle w:val="ListParagraph"/>
      </w:pPr>
    </w:p>
    <w:p w14:paraId="120F61E7" w14:textId="186A4E7D" w:rsidR="009856A3" w:rsidRDefault="007A51A0" w:rsidP="009856A3">
      <w:pPr>
        <w:pStyle w:val="ListParagraph"/>
        <w:numPr>
          <w:ilvl w:val="1"/>
          <w:numId w:val="6"/>
        </w:numPr>
        <w:ind w:left="709" w:hanging="709"/>
        <w:jc w:val="both"/>
      </w:pPr>
      <w:r>
        <w:t xml:space="preserve">The </w:t>
      </w:r>
      <w:r w:rsidR="00774576">
        <w:t xml:space="preserve">NIHRC notes that </w:t>
      </w:r>
      <w:r w:rsidR="003309C0">
        <w:t>the general fulfilment of a right to housing</w:t>
      </w:r>
      <w:r w:rsidR="00A33A59">
        <w:t xml:space="preserve"> relies</w:t>
      </w:r>
      <w:r w:rsidR="003309C0">
        <w:t xml:space="preserve"> upon a good and </w:t>
      </w:r>
      <w:r w:rsidR="0034612B">
        <w:t>high-quality</w:t>
      </w:r>
      <w:r w:rsidR="003309C0">
        <w:t xml:space="preserve"> supply of housing</w:t>
      </w:r>
      <w:r w:rsidR="0007316A">
        <w:t>, particularly</w:t>
      </w:r>
      <w:r w:rsidR="00667B3A">
        <w:t xml:space="preserve"> publicly owned</w:t>
      </w:r>
      <w:r w:rsidR="00554D5E">
        <w:t xml:space="preserve"> social</w:t>
      </w:r>
      <w:r w:rsidR="00667B3A">
        <w:t xml:space="preserve"> housing. </w:t>
      </w:r>
      <w:r w:rsidR="00A33A59">
        <w:t>A</w:t>
      </w:r>
      <w:r w:rsidR="00667B3A">
        <w:t xml:space="preserve"> ser</w:t>
      </w:r>
      <w:r w:rsidR="00554D5E">
        <w:t>i</w:t>
      </w:r>
      <w:r w:rsidR="00667B3A">
        <w:t xml:space="preserve">ous </w:t>
      </w:r>
      <w:r w:rsidR="00A33A59">
        <w:t>analysis</w:t>
      </w:r>
      <w:r w:rsidR="00667B3A">
        <w:t xml:space="preserve"> on</w:t>
      </w:r>
      <w:r w:rsidR="00554D5E">
        <w:t xml:space="preserve"> the </w:t>
      </w:r>
      <w:r w:rsidR="0007316A">
        <w:t>long-term</w:t>
      </w:r>
      <w:r w:rsidR="00667B3A">
        <w:t xml:space="preserve"> supply of </w:t>
      </w:r>
      <w:r w:rsidR="00554D5E">
        <w:t xml:space="preserve">such </w:t>
      </w:r>
      <w:r w:rsidR="00667B3A">
        <w:t xml:space="preserve">housing </w:t>
      </w:r>
      <w:r w:rsidR="005F71B3">
        <w:t>must</w:t>
      </w:r>
      <w:r w:rsidR="00554D5E">
        <w:t xml:space="preserve"> also address </w:t>
      </w:r>
      <w:r w:rsidR="006322DB">
        <w:t>the</w:t>
      </w:r>
      <w:r w:rsidR="00772C0C">
        <w:t xml:space="preserve"> issue of</w:t>
      </w:r>
      <w:r w:rsidR="006322DB">
        <w:t xml:space="preserve"> so called ‘right to buy’. NI is the only devolved region in the UK that has not yet ende</w:t>
      </w:r>
      <w:r w:rsidR="003A1279">
        <w:t>d</w:t>
      </w:r>
      <w:r w:rsidR="006322DB">
        <w:t xml:space="preserve"> the mandatory sale of social housing to</w:t>
      </w:r>
      <w:r w:rsidR="005F71B3">
        <w:t xml:space="preserve"> secure</w:t>
      </w:r>
      <w:r w:rsidR="006322DB">
        <w:t xml:space="preserve"> tenant</w:t>
      </w:r>
      <w:r w:rsidR="003A1279">
        <w:t>s</w:t>
      </w:r>
      <w:r w:rsidR="006322DB">
        <w:t xml:space="preserve"> that appl</w:t>
      </w:r>
      <w:r w:rsidR="003A1279">
        <w:t>y</w:t>
      </w:r>
      <w:r w:rsidR="006322DB">
        <w:t xml:space="preserve"> for it.</w:t>
      </w:r>
      <w:r w:rsidR="005E7BFC">
        <w:t xml:space="preserve"> </w:t>
      </w:r>
      <w:r w:rsidR="00AA4034">
        <w:t xml:space="preserve">The </w:t>
      </w:r>
      <w:r w:rsidR="005E7BFC">
        <w:t xml:space="preserve">NIHRC is </w:t>
      </w:r>
      <w:r w:rsidR="000F2EFB">
        <w:t xml:space="preserve">concerned that </w:t>
      </w:r>
      <w:r w:rsidR="00976E90">
        <w:t xml:space="preserve">the </w:t>
      </w:r>
      <w:r w:rsidR="00483FAC">
        <w:t>positive effects of the DfC housing strategy</w:t>
      </w:r>
      <w:r w:rsidR="005F71B3">
        <w:t>,</w:t>
      </w:r>
      <w:r w:rsidR="007F7093">
        <w:t xml:space="preserve"> </w:t>
      </w:r>
      <w:r w:rsidR="00D87D67">
        <w:t>particularly</w:t>
      </w:r>
      <w:r w:rsidR="00F73884">
        <w:t xml:space="preserve"> attempts</w:t>
      </w:r>
      <w:r w:rsidR="00F426D7">
        <w:t xml:space="preserve"> </w:t>
      </w:r>
      <w:r w:rsidR="00F73884">
        <w:t>to increase</w:t>
      </w:r>
      <w:r w:rsidR="00F426D7">
        <w:t xml:space="preserve"> supply</w:t>
      </w:r>
      <w:r w:rsidR="00F73884">
        <w:t xml:space="preserve"> </w:t>
      </w:r>
      <w:r w:rsidR="00F426D7">
        <w:t>of public housing</w:t>
      </w:r>
      <w:r w:rsidR="005F71B3">
        <w:t>,</w:t>
      </w:r>
      <w:r w:rsidR="00F426D7">
        <w:t xml:space="preserve"> will be undermined whilst </w:t>
      </w:r>
      <w:r w:rsidR="00514E21">
        <w:t>forced sale</w:t>
      </w:r>
      <w:r w:rsidR="004F16BC">
        <w:t xml:space="preserve"> continues to take place.</w:t>
      </w:r>
      <w:r w:rsidR="00D8661E">
        <w:t xml:space="preserve"> </w:t>
      </w:r>
      <w:r w:rsidR="009C72D9">
        <w:t>Social housing of particular benefit to disabled</w:t>
      </w:r>
      <w:r w:rsidR="00AA4034">
        <w:t xml:space="preserve"> persons</w:t>
      </w:r>
      <w:r w:rsidR="009C72D9">
        <w:t xml:space="preserve"> and the elderly such as b</w:t>
      </w:r>
      <w:r w:rsidR="00B6775D">
        <w:t>ungalows, ground floor apartments and disability accessible ho</w:t>
      </w:r>
      <w:r w:rsidR="00766F75">
        <w:t xml:space="preserve">mes are also at risk of being </w:t>
      </w:r>
      <w:r w:rsidR="002E086A">
        <w:t>lost to forced sale.</w:t>
      </w:r>
      <w:r w:rsidR="00004DB0">
        <w:t xml:space="preserve"> </w:t>
      </w:r>
      <w:r w:rsidR="00AA4034">
        <w:t>T</w:t>
      </w:r>
      <w:r w:rsidR="005A5942">
        <w:t>he ECtHR has found</w:t>
      </w:r>
      <w:r w:rsidR="00080ED7">
        <w:t xml:space="preserve"> Article 1 of Protocol 1 rights to property </w:t>
      </w:r>
      <w:r w:rsidR="005A5942">
        <w:t>d</w:t>
      </w:r>
      <w:r w:rsidR="00583DA9">
        <w:t>o</w:t>
      </w:r>
      <w:r w:rsidR="005A5942">
        <w:t xml:space="preserve"> not encompass the right to acquire </w:t>
      </w:r>
      <w:r w:rsidR="005A5942">
        <w:lastRenderedPageBreak/>
        <w:t>property</w:t>
      </w:r>
      <w:r w:rsidR="00583DA9">
        <w:t>.</w:t>
      </w:r>
      <w:r w:rsidR="00080ED7">
        <w:rPr>
          <w:rStyle w:val="FootnoteReference"/>
        </w:rPr>
        <w:footnoteReference w:id="33"/>
      </w:r>
      <w:r w:rsidR="003B67DE">
        <w:t xml:space="preserve"> </w:t>
      </w:r>
      <w:r w:rsidR="00583DA9">
        <w:t xml:space="preserve">It has also found </w:t>
      </w:r>
      <w:r w:rsidR="003B67DE">
        <w:t>that a right to a lease did amount to a “possession”</w:t>
      </w:r>
      <w:r w:rsidR="00583DA9">
        <w:t xml:space="preserve"> </w:t>
      </w:r>
      <w:r w:rsidR="00F844AF">
        <w:t>and that whil</w:t>
      </w:r>
      <w:r w:rsidR="00307BDA">
        <w:t>st</w:t>
      </w:r>
      <w:r w:rsidR="00F844AF">
        <w:t xml:space="preserve"> </w:t>
      </w:r>
      <w:r w:rsidR="00583DA9">
        <w:t>an individual</w:t>
      </w:r>
      <w:r w:rsidR="00F844AF">
        <w:t xml:space="preserve"> could have the right to</w:t>
      </w:r>
      <w:r w:rsidR="004A1086">
        <w:t xml:space="preserve"> use a </w:t>
      </w:r>
      <w:r w:rsidR="00A94032">
        <w:t>property, there was no right</w:t>
      </w:r>
      <w:r w:rsidR="004A1086">
        <w:t xml:space="preserve"> to acquire one</w:t>
      </w:r>
      <w:r w:rsidR="00A94032">
        <w:t>.</w:t>
      </w:r>
      <w:r w:rsidR="000A536E">
        <w:rPr>
          <w:rStyle w:val="FootnoteReference"/>
        </w:rPr>
        <w:footnoteReference w:id="34"/>
      </w:r>
    </w:p>
    <w:p w14:paraId="732B8CD1" w14:textId="77777777" w:rsidR="009856A3" w:rsidRDefault="009856A3" w:rsidP="009856A3">
      <w:pPr>
        <w:pStyle w:val="ListParagraph"/>
        <w:ind w:left="709"/>
        <w:jc w:val="both"/>
      </w:pPr>
    </w:p>
    <w:p w14:paraId="68C62D14" w14:textId="77777777" w:rsidR="009856A3" w:rsidRDefault="00A9686D" w:rsidP="009856A3">
      <w:pPr>
        <w:pStyle w:val="ListParagraph"/>
        <w:numPr>
          <w:ilvl w:val="1"/>
          <w:numId w:val="6"/>
        </w:numPr>
        <w:ind w:left="709" w:hanging="709"/>
        <w:jc w:val="both"/>
      </w:pPr>
      <w:r w:rsidRPr="00A9686D">
        <w:t>The Housing (Amendment) Act (N</w:t>
      </w:r>
      <w:r w:rsidR="005A14B4">
        <w:t>I</w:t>
      </w:r>
      <w:r w:rsidRPr="00A9686D">
        <w:t>) 2020 received Royal Assent on 28 August 2020. Th</w:t>
      </w:r>
      <w:r w:rsidR="005F71B3">
        <w:t>e</w:t>
      </w:r>
      <w:r w:rsidRPr="00A9686D">
        <w:t xml:space="preserve"> intention of this act is to reverse the effect of the Office of National Statistics decision to classify housing associations as public bodies. One significant effect the </w:t>
      </w:r>
      <w:r w:rsidR="007A51A0">
        <w:t>A</w:t>
      </w:r>
      <w:r w:rsidR="007A51A0" w:rsidRPr="00A9686D">
        <w:t xml:space="preserve">ct </w:t>
      </w:r>
      <w:r w:rsidRPr="00A9686D">
        <w:t>will have is the removal of the statutory right for housing association tenants to purchase their home from 28 August 2022. The Act includes provisions which will allow housing associations to choose to provide a voluntary house sales scheme and to avail of grants from the DfC to provide tenants with discounts on such purchases</w:t>
      </w:r>
      <w:r w:rsidR="00A9790B">
        <w:t>. DfC</w:t>
      </w:r>
      <w:r w:rsidRPr="00A9686D">
        <w:t xml:space="preserve"> will decide appropriate terms and conditions for any such grant. This legislation does not affect NI Housing Executive tenants</w:t>
      </w:r>
      <w:r w:rsidR="00AD36D2">
        <w:t>, h</w:t>
      </w:r>
      <w:r w:rsidRPr="00A9686D">
        <w:t xml:space="preserve">owever, during </w:t>
      </w:r>
      <w:r w:rsidR="007A51A0">
        <w:t xml:space="preserve">NI </w:t>
      </w:r>
      <w:r w:rsidRPr="00A9686D">
        <w:t>Assembly debates on the passage of this legislation</w:t>
      </w:r>
      <w:r w:rsidR="00674465">
        <w:t>,</w:t>
      </w:r>
      <w:r w:rsidRPr="00A9686D">
        <w:t xml:space="preserve"> the Minister for Communities confirmed </w:t>
      </w:r>
      <w:r w:rsidR="00A114F4">
        <w:t>the</w:t>
      </w:r>
      <w:r w:rsidRPr="00A9686D">
        <w:t xml:space="preserve"> intention to</w:t>
      </w:r>
      <w:r w:rsidR="00674465">
        <w:t xml:space="preserve"> “</w:t>
      </w:r>
      <w:r w:rsidRPr="00A9686D">
        <w:t>address the Housing Executive sales scheme... with all urgency</w:t>
      </w:r>
      <w:r w:rsidR="00674465">
        <w:t>”</w:t>
      </w:r>
      <w:r w:rsidRPr="00A9686D">
        <w:t>.</w:t>
      </w:r>
    </w:p>
    <w:p w14:paraId="15BC3B8C" w14:textId="77777777" w:rsidR="009856A3" w:rsidRDefault="009856A3" w:rsidP="009856A3">
      <w:pPr>
        <w:pStyle w:val="ListParagraph"/>
      </w:pPr>
    </w:p>
    <w:p w14:paraId="7145372F" w14:textId="3A93F49D" w:rsidR="00620338" w:rsidRDefault="00877BC9" w:rsidP="00620338">
      <w:pPr>
        <w:pStyle w:val="ListParagraph"/>
        <w:numPr>
          <w:ilvl w:val="1"/>
          <w:numId w:val="6"/>
        </w:numPr>
        <w:ind w:left="709" w:hanging="709"/>
        <w:jc w:val="both"/>
      </w:pPr>
      <w:r>
        <w:t xml:space="preserve">The </w:t>
      </w:r>
      <w:r w:rsidR="00AD36D2">
        <w:t xml:space="preserve">NIHRC </w:t>
      </w:r>
      <w:r w:rsidR="00917987">
        <w:t>agrees with</w:t>
      </w:r>
      <w:r w:rsidR="0026599B" w:rsidRPr="00474E5F">
        <w:t xml:space="preserve"> the removal of the statutory obligation to sell properties on request of tenants in housing associatio</w:t>
      </w:r>
      <w:r w:rsidR="00225AFB">
        <w:t>ns</w:t>
      </w:r>
      <w:r w:rsidR="00917987">
        <w:t xml:space="preserve"> given it reduces the overall public housing stock</w:t>
      </w:r>
      <w:r w:rsidR="0026599B" w:rsidRPr="00474E5F">
        <w:t xml:space="preserve"> and</w:t>
      </w:r>
      <w:r w:rsidR="008C3A7A">
        <w:t xml:space="preserve"> would</w:t>
      </w:r>
      <w:r w:rsidR="0026599B" w:rsidRPr="00474E5F">
        <w:t xml:space="preserve"> recommend this also be extended to NI Housing Executive properties.</w:t>
      </w:r>
      <w:r w:rsidR="009C5616">
        <w:rPr>
          <w:rStyle w:val="FootnoteReference"/>
        </w:rPr>
        <w:footnoteReference w:id="35"/>
      </w:r>
      <w:r w:rsidR="0026599B" w:rsidRPr="00474E5F">
        <w:t xml:space="preserve"> We also </w:t>
      </w:r>
      <w:r w:rsidR="00393E2F">
        <w:t xml:space="preserve">advise </w:t>
      </w:r>
      <w:r w:rsidR="0026599B" w:rsidRPr="00474E5F">
        <w:t xml:space="preserve">against </w:t>
      </w:r>
      <w:r w:rsidR="006F18AB">
        <w:t>allowing</w:t>
      </w:r>
      <w:r w:rsidR="0026599B" w:rsidRPr="00474E5F">
        <w:t xml:space="preserve"> housing associations or</w:t>
      </w:r>
      <w:r w:rsidR="0026599B">
        <w:t xml:space="preserve"> any</w:t>
      </w:r>
      <w:r w:rsidR="00632D94">
        <w:t xml:space="preserve"> future organisation</w:t>
      </w:r>
      <w:r w:rsidR="0026599B" w:rsidRPr="00474E5F">
        <w:t xml:space="preserve"> in charge of </w:t>
      </w:r>
      <w:r w:rsidR="00AA4034">
        <w:t xml:space="preserve">NI </w:t>
      </w:r>
      <w:r w:rsidR="0026599B" w:rsidRPr="00474E5F">
        <w:t>Housing Executive properties to produce their own voluntary purchase schemes. Any voluntary purchase scheme and grants made available under any voluntary scheme should meet strict terms and conditions set out by the DfC and any purchase scheme should align with and supplement the goals set out in this DfC Housing Strategy.</w:t>
      </w:r>
    </w:p>
    <w:p w14:paraId="0762F14D" w14:textId="77777777" w:rsidR="00620338" w:rsidRDefault="00620338" w:rsidP="00620338">
      <w:pPr>
        <w:pStyle w:val="ListParagraph"/>
      </w:pPr>
    </w:p>
    <w:p w14:paraId="79CFC7BF" w14:textId="6874C7FF" w:rsidR="001322AE" w:rsidRDefault="006322DB" w:rsidP="00620338">
      <w:pPr>
        <w:pStyle w:val="ListParagraph"/>
        <w:numPr>
          <w:ilvl w:val="1"/>
          <w:numId w:val="6"/>
        </w:numPr>
        <w:ind w:left="709" w:hanging="709"/>
        <w:jc w:val="both"/>
      </w:pPr>
      <w:r>
        <w:t xml:space="preserve">DfC may draw on </w:t>
      </w:r>
      <w:r w:rsidR="007362B3">
        <w:t>the</w:t>
      </w:r>
      <w:r>
        <w:t xml:space="preserve"> experiences of the devolved regions of Scotland and Wales</w:t>
      </w:r>
      <w:r w:rsidR="00FA711E">
        <w:t>.</w:t>
      </w:r>
      <w:r w:rsidR="00905ED0">
        <w:rPr>
          <w:rStyle w:val="FootnoteReference"/>
        </w:rPr>
        <w:footnoteReference w:id="36"/>
      </w:r>
      <w:r w:rsidR="00FA711E">
        <w:t xml:space="preserve"> Ending</w:t>
      </w:r>
      <w:r w:rsidR="00AA4034">
        <w:t xml:space="preserve"> the</w:t>
      </w:r>
      <w:r w:rsidR="00FA711E">
        <w:t xml:space="preserve"> ‘right to buy’</w:t>
      </w:r>
      <w:r>
        <w:t xml:space="preserve"> could have the effect that not only is housing stock retained, but social landlords and local authorities are more willing to build much needed social housing if they know that they are able to prevent it being sold off, particularly at discounted prices. </w:t>
      </w:r>
      <w:r w:rsidR="00917987">
        <w:t xml:space="preserve">Moreover, </w:t>
      </w:r>
      <w:r w:rsidR="0099194E">
        <w:t>Social</w:t>
      </w:r>
      <w:r>
        <w:t xml:space="preserve"> landlords </w:t>
      </w:r>
      <w:r w:rsidR="00917987">
        <w:t xml:space="preserve">will then </w:t>
      </w:r>
      <w:r>
        <w:t>know that the significant initial outlay in paying for the building of these properties will be retained and continue to generate both a financial and social good over the longer term.</w:t>
      </w:r>
      <w:r w:rsidR="00FF4ADF">
        <w:rPr>
          <w:rStyle w:val="FootnoteReference"/>
        </w:rPr>
        <w:footnoteReference w:id="37"/>
      </w:r>
      <w:r>
        <w:t xml:space="preserve"> </w:t>
      </w:r>
    </w:p>
    <w:p w14:paraId="332EF41B" w14:textId="77777777" w:rsidR="002463F7" w:rsidRDefault="002463F7" w:rsidP="002463F7">
      <w:pPr>
        <w:pStyle w:val="ListParagraph"/>
      </w:pPr>
    </w:p>
    <w:p w14:paraId="2B578441" w14:textId="63298369" w:rsidR="002463F7" w:rsidRDefault="00EB35DE" w:rsidP="00620338">
      <w:pPr>
        <w:pStyle w:val="ListParagraph"/>
        <w:numPr>
          <w:ilvl w:val="1"/>
          <w:numId w:val="6"/>
        </w:numPr>
        <w:ind w:left="709" w:hanging="709"/>
        <w:jc w:val="both"/>
        <w:rPr>
          <w:b/>
          <w:bCs/>
        </w:rPr>
      </w:pPr>
      <w:bookmarkStart w:id="6" w:name="_Hlk76645093"/>
      <w:r>
        <w:rPr>
          <w:b/>
          <w:bCs/>
        </w:rPr>
        <w:t xml:space="preserve">The </w:t>
      </w:r>
      <w:r w:rsidR="002463F7" w:rsidRPr="002463F7">
        <w:rPr>
          <w:b/>
          <w:bCs/>
        </w:rPr>
        <w:t xml:space="preserve">NIHRC recommends that the ending of so called ‘right to buy’ for housing association tenants be extended to </w:t>
      </w:r>
      <w:r w:rsidR="00AA4034">
        <w:rPr>
          <w:b/>
          <w:bCs/>
        </w:rPr>
        <w:t xml:space="preserve">NI </w:t>
      </w:r>
      <w:r w:rsidR="002463F7" w:rsidRPr="002463F7">
        <w:rPr>
          <w:b/>
          <w:bCs/>
        </w:rPr>
        <w:t xml:space="preserve">Housing Executive </w:t>
      </w:r>
      <w:r w:rsidR="002463F7" w:rsidRPr="002463F7">
        <w:rPr>
          <w:b/>
          <w:bCs/>
        </w:rPr>
        <w:lastRenderedPageBreak/>
        <w:t xml:space="preserve">properties. We also recommend that any schemes for discretionary or voluntary sale for social housing be restricted </w:t>
      </w:r>
      <w:r w:rsidR="00553FCA">
        <w:rPr>
          <w:b/>
          <w:bCs/>
        </w:rPr>
        <w:t>to</w:t>
      </w:r>
      <w:r w:rsidR="00553FCA" w:rsidRPr="002463F7">
        <w:rPr>
          <w:b/>
          <w:bCs/>
        </w:rPr>
        <w:t xml:space="preserve"> </w:t>
      </w:r>
      <w:r w:rsidR="002463F7" w:rsidRPr="002463F7">
        <w:rPr>
          <w:b/>
          <w:bCs/>
        </w:rPr>
        <w:t>reflect the necessity of retaining public housing assets.</w:t>
      </w:r>
    </w:p>
    <w:bookmarkEnd w:id="6"/>
    <w:p w14:paraId="289F0963" w14:textId="77777777" w:rsidR="00294E69" w:rsidRPr="00A3255E" w:rsidRDefault="00294E69" w:rsidP="00A3255E">
      <w:pPr>
        <w:jc w:val="both"/>
        <w:rPr>
          <w:b/>
          <w:bCs/>
        </w:rPr>
      </w:pPr>
    </w:p>
    <w:p w14:paraId="57798049" w14:textId="77777777" w:rsidR="005B7B71" w:rsidRPr="00DE40EA" w:rsidRDefault="005B7B71" w:rsidP="005B7B71">
      <w:pPr>
        <w:jc w:val="both"/>
        <w:rPr>
          <w:b/>
          <w:bCs/>
          <w:color w:val="7030A0"/>
          <w:sz w:val="28"/>
          <w:szCs w:val="28"/>
        </w:rPr>
      </w:pPr>
      <w:r w:rsidRPr="00DE40EA">
        <w:rPr>
          <w:b/>
          <w:bCs/>
          <w:color w:val="7030A0"/>
          <w:sz w:val="28"/>
          <w:szCs w:val="28"/>
        </w:rPr>
        <w:t>Housing and Poverty</w:t>
      </w:r>
    </w:p>
    <w:p w14:paraId="6B3B6614" w14:textId="77777777" w:rsidR="005B7B71" w:rsidRDefault="005B7B71" w:rsidP="00197524"/>
    <w:p w14:paraId="60C80D3E" w14:textId="1438E9FA" w:rsidR="005B7B71" w:rsidRPr="00A06205" w:rsidRDefault="005B7B71" w:rsidP="005B7B71">
      <w:pPr>
        <w:pStyle w:val="ListParagraph"/>
        <w:numPr>
          <w:ilvl w:val="1"/>
          <w:numId w:val="6"/>
        </w:numPr>
        <w:ind w:left="709" w:hanging="709"/>
        <w:jc w:val="both"/>
        <w:rPr>
          <w:color w:val="000000"/>
        </w:rPr>
      </w:pPr>
      <w:r>
        <w:t>A lack of supply in both the public and private sector has been a contributing factor in the cost of renting in the private sector increasing.</w:t>
      </w:r>
      <w:r>
        <w:rPr>
          <w:rStyle w:val="FootnoteReference"/>
        </w:rPr>
        <w:footnoteReference w:id="38"/>
      </w:r>
      <w:r>
        <w:t xml:space="preserve"> This increase is often beyond what a tenant dependent on social security would receive from housing assistance.</w:t>
      </w:r>
      <w:r>
        <w:rPr>
          <w:rStyle w:val="FootnoteReference"/>
        </w:rPr>
        <w:footnoteReference w:id="39"/>
      </w:r>
      <w:r>
        <w:t xml:space="preserve"> The deficit between what a tenant receives under Local Housing Allowance (LHA) and their rent is subsequently topped up</w:t>
      </w:r>
      <w:r>
        <w:rPr>
          <w:rStyle w:val="FootnoteReference"/>
        </w:rPr>
        <w:footnoteReference w:id="40"/>
      </w:r>
      <w:r>
        <w:t xml:space="preserve">, often out of a tenant’s </w:t>
      </w:r>
      <w:r w:rsidR="00917987">
        <w:t xml:space="preserve">other </w:t>
      </w:r>
      <w:r>
        <w:t>social security benefit</w:t>
      </w:r>
      <w:r w:rsidR="00917987">
        <w:t>s</w:t>
      </w:r>
      <w:r>
        <w:t>.</w:t>
      </w:r>
      <w:r>
        <w:rPr>
          <w:rStyle w:val="FootnoteReference"/>
        </w:rPr>
        <w:footnoteReference w:id="41"/>
      </w:r>
      <w:r w:rsidRPr="00B30AB2">
        <w:rPr>
          <w:rStyle w:val="FootnoteReference"/>
        </w:rPr>
        <w:t xml:space="preserve"> </w:t>
      </w:r>
      <w:r w:rsidR="00917987">
        <w:t>Means tested</w:t>
      </w:r>
      <w:r>
        <w:t xml:space="preserve"> benefit</w:t>
      </w:r>
      <w:r w:rsidR="00917987">
        <w:t>s</w:t>
      </w:r>
      <w:r>
        <w:t xml:space="preserve"> are supposed to cover </w:t>
      </w:r>
      <w:r w:rsidR="00917987">
        <w:t xml:space="preserve">other essential </w:t>
      </w:r>
      <w:r>
        <w:t xml:space="preserve">living expenses such as food or fuel. The NIHRC would therefore be concerned that some tenants are at risk of being pushed further into poverty in order to </w:t>
      </w:r>
      <w:r w:rsidR="00FB6B23">
        <w:t>avoid</w:t>
      </w:r>
      <w:r>
        <w:t xml:space="preserve"> becoming homeless.</w:t>
      </w:r>
    </w:p>
    <w:p w14:paraId="75B0E6A7" w14:textId="77777777" w:rsidR="005B7B71" w:rsidRDefault="005B7B71" w:rsidP="005B7B71">
      <w:pPr>
        <w:pStyle w:val="ListParagraph"/>
      </w:pPr>
    </w:p>
    <w:p w14:paraId="1E8D7A6C" w14:textId="1A4A35BA" w:rsidR="005B7B71" w:rsidRDefault="005B7B71" w:rsidP="005B7B71">
      <w:pPr>
        <w:pStyle w:val="ListParagraph"/>
        <w:numPr>
          <w:ilvl w:val="1"/>
          <w:numId w:val="6"/>
        </w:numPr>
        <w:ind w:left="709" w:hanging="709"/>
        <w:jc w:val="both"/>
      </w:pPr>
      <w:r>
        <w:t>Local Housing Allowance</w:t>
      </w:r>
      <w:r w:rsidRPr="00CF20CB">
        <w:t xml:space="preserve"> rates</w:t>
      </w:r>
      <w:r>
        <w:t xml:space="preserve"> in previous years had been set at</w:t>
      </w:r>
      <w:r w:rsidRPr="00CF20CB">
        <w:t xml:space="preserve"> </w:t>
      </w:r>
      <w:r>
        <w:t xml:space="preserve">the </w:t>
      </w:r>
      <w:r w:rsidRPr="00CF20CB">
        <w:t>50th percentile (median) of market rents</w:t>
      </w:r>
      <w:r>
        <w:t xml:space="preserve"> for an area</w:t>
      </w:r>
      <w:r w:rsidRPr="00CF20CB">
        <w:t>.</w:t>
      </w:r>
      <w:r>
        <w:rPr>
          <w:rStyle w:val="FootnoteReference"/>
        </w:rPr>
        <w:footnoteReference w:id="42"/>
      </w:r>
      <w:r w:rsidRPr="00CF20CB">
        <w:t xml:space="preserve"> This</w:t>
      </w:r>
      <w:r>
        <w:t xml:space="preserve"> has subsequently been lowered substantially over a number of years. </w:t>
      </w:r>
      <w:r w:rsidRPr="00CD1B36">
        <w:t>In 2020/21</w:t>
      </w:r>
      <w:r>
        <w:t>, in part due to the crisis caused by the COVID 19 pandemic and associated lockdown,</w:t>
      </w:r>
      <w:r w:rsidRPr="00CD1B36">
        <w:t xml:space="preserve"> the Local Housing Allowance (LHA) rates in NI were increased to provide additional financial support for private tenants in receipt of Housing Benefit or the housing costs element of Universal Credit. LHA rates</w:t>
      </w:r>
      <w:r>
        <w:t xml:space="preserve"> were uplifted to the bottom</w:t>
      </w:r>
      <w:r w:rsidRPr="00CD1B36">
        <w:t xml:space="preserve"> 30</w:t>
      </w:r>
      <w:r w:rsidR="00320496" w:rsidRPr="00320496">
        <w:rPr>
          <w:vertAlign w:val="superscript"/>
        </w:rPr>
        <w:t>th</w:t>
      </w:r>
      <w:r w:rsidR="00320496">
        <w:t xml:space="preserve"> </w:t>
      </w:r>
      <w:r w:rsidRPr="00CD1B36">
        <w:t>percentile of market rents.</w:t>
      </w:r>
      <w:r>
        <w:rPr>
          <w:rStyle w:val="FootnoteReference"/>
        </w:rPr>
        <w:footnoteReference w:id="43"/>
      </w:r>
      <w:r w:rsidRPr="00CD1B36">
        <w:t xml:space="preserve"> Whilst this </w:t>
      </w:r>
      <w:r>
        <w:t>was</w:t>
      </w:r>
      <w:r w:rsidRPr="00CD1B36">
        <w:t xml:space="preserve"> a welcome move</w:t>
      </w:r>
      <w:r>
        <w:t>,</w:t>
      </w:r>
      <w:r w:rsidRPr="00CD1B36">
        <w:t xml:space="preserve"> </w:t>
      </w:r>
      <w:r>
        <w:t xml:space="preserve">the </w:t>
      </w:r>
      <w:r w:rsidRPr="00CD1B36">
        <w:t>NIHRC</w:t>
      </w:r>
      <w:r>
        <w:t xml:space="preserve"> would like to see this temporary measure become permanent. We would also recommend that DfC seek funding from the Department of Finance in order to uplift the LHA further.</w:t>
      </w:r>
    </w:p>
    <w:p w14:paraId="349E4E7D" w14:textId="77777777" w:rsidR="00015CF5" w:rsidRDefault="00015CF5" w:rsidP="00015CF5">
      <w:pPr>
        <w:pStyle w:val="ListParagraph"/>
      </w:pPr>
    </w:p>
    <w:p w14:paraId="035E982A" w14:textId="22823ACB" w:rsidR="00F450DE" w:rsidRPr="00297DEA" w:rsidRDefault="00EB35DE" w:rsidP="00294E69">
      <w:pPr>
        <w:pStyle w:val="ListParagraph"/>
        <w:numPr>
          <w:ilvl w:val="1"/>
          <w:numId w:val="6"/>
        </w:numPr>
        <w:ind w:left="709" w:hanging="709"/>
        <w:jc w:val="both"/>
        <w:rPr>
          <w:b/>
          <w:bCs/>
        </w:rPr>
      </w:pPr>
      <w:r>
        <w:rPr>
          <w:b/>
          <w:bCs/>
        </w:rPr>
        <w:t xml:space="preserve">The </w:t>
      </w:r>
      <w:r w:rsidR="00015CF5" w:rsidRPr="00015CF5">
        <w:rPr>
          <w:b/>
          <w:bCs/>
        </w:rPr>
        <w:t>NIHRC recommends</w:t>
      </w:r>
      <w:r w:rsidR="00032C2A">
        <w:rPr>
          <w:b/>
          <w:bCs/>
        </w:rPr>
        <w:t>,</w:t>
      </w:r>
      <w:r w:rsidR="00015CF5" w:rsidRPr="00015CF5">
        <w:rPr>
          <w:b/>
          <w:bCs/>
        </w:rPr>
        <w:t xml:space="preserve"> a</w:t>
      </w:r>
      <w:r w:rsidR="00917987">
        <w:rPr>
          <w:b/>
          <w:bCs/>
        </w:rPr>
        <w:t>s a minimum</w:t>
      </w:r>
      <w:r w:rsidR="00032C2A">
        <w:rPr>
          <w:b/>
          <w:bCs/>
        </w:rPr>
        <w:t>,</w:t>
      </w:r>
      <w:r w:rsidR="00917987">
        <w:rPr>
          <w:b/>
          <w:bCs/>
        </w:rPr>
        <w:t xml:space="preserve"> the</w:t>
      </w:r>
      <w:r w:rsidR="00015CF5" w:rsidRPr="00015CF5">
        <w:rPr>
          <w:b/>
          <w:bCs/>
        </w:rPr>
        <w:t xml:space="preserve"> permanent retention of the uplift to the Local Housing Allowance (LHA) rate to the bottom 30th percentile and suggest DfC seek </w:t>
      </w:r>
      <w:r w:rsidR="00553FCA">
        <w:rPr>
          <w:b/>
          <w:bCs/>
        </w:rPr>
        <w:t xml:space="preserve">additional </w:t>
      </w:r>
      <w:r w:rsidR="00015CF5" w:rsidRPr="00015CF5">
        <w:rPr>
          <w:b/>
          <w:bCs/>
        </w:rPr>
        <w:t>funding to increase the LHA further.</w:t>
      </w:r>
    </w:p>
    <w:p w14:paraId="47B0E6E2" w14:textId="77777777" w:rsidR="00294E69" w:rsidRDefault="00294E69" w:rsidP="00294E69"/>
    <w:p w14:paraId="2693F838" w14:textId="77777777" w:rsidR="005833FA" w:rsidRPr="00DE40EA" w:rsidRDefault="005833FA" w:rsidP="005833FA">
      <w:pPr>
        <w:jc w:val="both"/>
        <w:rPr>
          <w:b/>
          <w:bCs/>
          <w:color w:val="7030A0"/>
          <w:sz w:val="28"/>
          <w:szCs w:val="28"/>
        </w:rPr>
      </w:pPr>
      <w:r w:rsidRPr="00DE40EA">
        <w:rPr>
          <w:b/>
          <w:bCs/>
          <w:color w:val="7030A0"/>
          <w:sz w:val="28"/>
          <w:szCs w:val="28"/>
        </w:rPr>
        <w:t>Equality</w:t>
      </w:r>
      <w:r w:rsidR="00E83ED3">
        <w:rPr>
          <w:b/>
          <w:bCs/>
          <w:color w:val="7030A0"/>
          <w:sz w:val="28"/>
          <w:szCs w:val="28"/>
        </w:rPr>
        <w:t xml:space="preserve"> </w:t>
      </w:r>
      <w:r w:rsidR="002234D8">
        <w:rPr>
          <w:b/>
          <w:bCs/>
          <w:color w:val="7030A0"/>
          <w:sz w:val="28"/>
          <w:szCs w:val="28"/>
        </w:rPr>
        <w:t>and</w:t>
      </w:r>
      <w:r w:rsidR="00E83ED3">
        <w:rPr>
          <w:b/>
          <w:bCs/>
          <w:color w:val="7030A0"/>
          <w:sz w:val="28"/>
          <w:szCs w:val="28"/>
        </w:rPr>
        <w:t xml:space="preserve"> Human Rights</w:t>
      </w:r>
    </w:p>
    <w:p w14:paraId="15A65151" w14:textId="77777777" w:rsidR="00F4341C" w:rsidRPr="00F450DE" w:rsidRDefault="00F4341C" w:rsidP="005833FA">
      <w:pPr>
        <w:jc w:val="both"/>
        <w:rPr>
          <w:b/>
          <w:bCs/>
          <w:sz w:val="28"/>
          <w:szCs w:val="28"/>
        </w:rPr>
      </w:pPr>
    </w:p>
    <w:p w14:paraId="288A4327" w14:textId="77777777" w:rsidR="00553F20" w:rsidRPr="00553F20" w:rsidRDefault="00553F20" w:rsidP="00AF156E">
      <w:pPr>
        <w:pStyle w:val="ListParagraph"/>
        <w:numPr>
          <w:ilvl w:val="1"/>
          <w:numId w:val="6"/>
        </w:numPr>
        <w:ind w:left="709" w:hanging="709"/>
        <w:jc w:val="both"/>
      </w:pPr>
      <w:r>
        <w:t xml:space="preserve">The NIHRC note that </w:t>
      </w:r>
      <w:r w:rsidR="003151C1">
        <w:t xml:space="preserve">the section of the DfC’s </w:t>
      </w:r>
      <w:r w:rsidR="00D30717">
        <w:t xml:space="preserve">strategy document </w:t>
      </w:r>
      <w:r w:rsidR="00D208FA">
        <w:t>concerning</w:t>
      </w:r>
      <w:r w:rsidR="00330695">
        <w:t xml:space="preserve"> </w:t>
      </w:r>
      <w:r w:rsidR="00D208FA">
        <w:t>‘</w:t>
      </w:r>
      <w:r w:rsidR="00C52E5F">
        <w:rPr>
          <w:rFonts w:eastAsia="Times New Roman"/>
        </w:rPr>
        <w:t>Equal</w:t>
      </w:r>
      <w:r w:rsidR="00D208FA">
        <w:rPr>
          <w:rFonts w:eastAsia="Times New Roman"/>
        </w:rPr>
        <w:t>ity and Human Rights’</w:t>
      </w:r>
      <w:r w:rsidR="00C52E5F">
        <w:rPr>
          <w:rFonts w:eastAsia="Times New Roman"/>
        </w:rPr>
        <w:t xml:space="preserve"> </w:t>
      </w:r>
      <w:r w:rsidR="00EB35DE">
        <w:rPr>
          <w:rFonts w:eastAsia="Times New Roman"/>
        </w:rPr>
        <w:t>does not</w:t>
      </w:r>
      <w:r w:rsidR="00D208FA">
        <w:rPr>
          <w:rFonts w:eastAsia="Times New Roman"/>
        </w:rPr>
        <w:t xml:space="preserve"> sufficiently</w:t>
      </w:r>
      <w:r w:rsidR="00EB35DE">
        <w:rPr>
          <w:rFonts w:eastAsia="Times New Roman"/>
        </w:rPr>
        <w:t xml:space="preserve"> identify the relevant rights framework</w:t>
      </w:r>
      <w:r w:rsidR="00756C70">
        <w:rPr>
          <w:rFonts w:eastAsia="Times New Roman"/>
        </w:rPr>
        <w:t xml:space="preserve"> for housing and </w:t>
      </w:r>
      <w:r w:rsidR="00EB35DE">
        <w:rPr>
          <w:rFonts w:eastAsia="Times New Roman"/>
        </w:rPr>
        <w:t>focus</w:t>
      </w:r>
      <w:r w:rsidR="007819F5">
        <w:rPr>
          <w:rFonts w:eastAsia="Times New Roman"/>
        </w:rPr>
        <w:t>es almost exclusively</w:t>
      </w:r>
      <w:r w:rsidR="00EB35DE">
        <w:rPr>
          <w:rFonts w:eastAsia="Times New Roman"/>
        </w:rPr>
        <w:t xml:space="preserve"> on the</w:t>
      </w:r>
      <w:r w:rsidR="007819F5">
        <w:rPr>
          <w:rFonts w:eastAsia="Times New Roman"/>
        </w:rPr>
        <w:t xml:space="preserve"> </w:t>
      </w:r>
      <w:r w:rsidR="00770C99">
        <w:rPr>
          <w:rFonts w:eastAsia="Times New Roman"/>
        </w:rPr>
        <w:t xml:space="preserve">Section 75 </w:t>
      </w:r>
      <w:r w:rsidR="00EB35DE">
        <w:rPr>
          <w:rFonts w:eastAsia="Times New Roman"/>
        </w:rPr>
        <w:t>obligations</w:t>
      </w:r>
      <w:r w:rsidR="00553FCA">
        <w:rPr>
          <w:rFonts w:eastAsia="Times New Roman"/>
        </w:rPr>
        <w:t>, as</w:t>
      </w:r>
      <w:r w:rsidR="00EB35DE">
        <w:rPr>
          <w:rFonts w:eastAsia="Times New Roman"/>
        </w:rPr>
        <w:t xml:space="preserve"> </w:t>
      </w:r>
      <w:r w:rsidR="00770C99">
        <w:rPr>
          <w:rFonts w:eastAsia="Times New Roman"/>
        </w:rPr>
        <w:t>set out in the Northern Ireland Act</w:t>
      </w:r>
      <w:r w:rsidR="00EB35DE">
        <w:rPr>
          <w:rFonts w:eastAsia="Times New Roman"/>
        </w:rPr>
        <w:t xml:space="preserve"> 1998.</w:t>
      </w:r>
      <w:r w:rsidR="00AF156E">
        <w:rPr>
          <w:rFonts w:eastAsia="Times New Roman"/>
        </w:rPr>
        <w:t xml:space="preserve"> </w:t>
      </w:r>
      <w:r w:rsidRPr="00AF156E">
        <w:rPr>
          <w:rFonts w:eastAsia="Times New Roman"/>
        </w:rPr>
        <w:t xml:space="preserve">The NIHRC recommends that DfC </w:t>
      </w:r>
      <w:r w:rsidR="00AF156E" w:rsidRPr="00AF156E">
        <w:rPr>
          <w:rFonts w:eastAsia="Times New Roman"/>
        </w:rPr>
        <w:t>consider</w:t>
      </w:r>
      <w:r w:rsidRPr="00AF156E">
        <w:rPr>
          <w:rFonts w:eastAsia="Times New Roman"/>
        </w:rPr>
        <w:t xml:space="preserve"> a </w:t>
      </w:r>
      <w:r w:rsidR="006F0D10">
        <w:rPr>
          <w:rFonts w:eastAsia="Times New Roman"/>
        </w:rPr>
        <w:t>H</w:t>
      </w:r>
      <w:r w:rsidRPr="00AF156E">
        <w:rPr>
          <w:rFonts w:eastAsia="Times New Roman"/>
        </w:rPr>
        <w:t xml:space="preserve">uman </w:t>
      </w:r>
      <w:r w:rsidR="006F0D10">
        <w:rPr>
          <w:rFonts w:eastAsia="Times New Roman"/>
        </w:rPr>
        <w:t>R</w:t>
      </w:r>
      <w:r w:rsidRPr="00AF156E">
        <w:rPr>
          <w:rFonts w:eastAsia="Times New Roman"/>
        </w:rPr>
        <w:t>ights</w:t>
      </w:r>
      <w:r w:rsidR="006F0D10">
        <w:rPr>
          <w:rFonts w:eastAsia="Times New Roman"/>
        </w:rPr>
        <w:t xml:space="preserve"> B</w:t>
      </w:r>
      <w:r w:rsidRPr="00AF156E">
        <w:rPr>
          <w:rFonts w:eastAsia="Times New Roman"/>
        </w:rPr>
        <w:t xml:space="preserve">ased </w:t>
      </w:r>
      <w:r w:rsidR="006F0D10">
        <w:rPr>
          <w:rFonts w:eastAsia="Times New Roman"/>
        </w:rPr>
        <w:t>A</w:t>
      </w:r>
      <w:r w:rsidRPr="00AF156E">
        <w:rPr>
          <w:rFonts w:eastAsia="Times New Roman"/>
        </w:rPr>
        <w:t>pproach</w:t>
      </w:r>
      <w:r w:rsidR="006F0D10">
        <w:rPr>
          <w:rFonts w:eastAsia="Times New Roman"/>
        </w:rPr>
        <w:t xml:space="preserve"> (HRBA)</w:t>
      </w:r>
      <w:r w:rsidRPr="00AF156E">
        <w:rPr>
          <w:rFonts w:eastAsia="Times New Roman"/>
        </w:rPr>
        <w:t xml:space="preserve"> in its proposed housing strategy.</w:t>
      </w:r>
      <w:r w:rsidR="006F0D10" w:rsidRPr="006F0D10">
        <w:t xml:space="preserve"> </w:t>
      </w:r>
      <w:r w:rsidR="002F687C" w:rsidRPr="00AF156E">
        <w:rPr>
          <w:rFonts w:eastAsia="Times New Roman"/>
        </w:rPr>
        <w:t xml:space="preserve">Such an approach is underpinned by five key </w:t>
      </w:r>
      <w:r w:rsidR="002F687C" w:rsidRPr="00AF156E">
        <w:rPr>
          <w:rFonts w:eastAsia="Times New Roman"/>
        </w:rPr>
        <w:lastRenderedPageBreak/>
        <w:t>human rights principles: participation, accountability, non-discrimination and equality, empowerment and legality.</w:t>
      </w:r>
      <w:r w:rsidR="002F687C">
        <w:rPr>
          <w:rStyle w:val="FootnoteReference"/>
          <w:rFonts w:eastAsia="Times New Roman"/>
        </w:rPr>
        <w:footnoteReference w:id="44"/>
      </w:r>
      <w:r w:rsidR="002F687C" w:rsidRPr="00AF156E">
        <w:rPr>
          <w:rFonts w:eastAsia="Times New Roman"/>
        </w:rPr>
        <w:t xml:space="preserve"> </w:t>
      </w:r>
      <w:r w:rsidR="00A250AF">
        <w:rPr>
          <w:rFonts w:eastAsia="Times New Roman"/>
        </w:rPr>
        <w:t>This</w:t>
      </w:r>
      <w:r w:rsidR="006F0D10" w:rsidRPr="006F0D10">
        <w:rPr>
          <w:rFonts w:eastAsia="Times New Roman"/>
        </w:rPr>
        <w:t xml:space="preserve"> is a conceptual framework directed towards promoting and protecting human rights, based on international human rights standards. It puts human rights and state obligations at the heart of policy and can be used as a tool to empower</w:t>
      </w:r>
      <w:r w:rsidR="00A250AF">
        <w:rPr>
          <w:rFonts w:eastAsia="Times New Roman"/>
        </w:rPr>
        <w:t xml:space="preserve"> even</w:t>
      </w:r>
      <w:r w:rsidR="006F0D10" w:rsidRPr="006F0D10">
        <w:rPr>
          <w:rFonts w:eastAsia="Times New Roman"/>
        </w:rPr>
        <w:t xml:space="preserve"> the most vulnerable people to participate in decision-making processes</w:t>
      </w:r>
      <w:r w:rsidR="005A5C3B">
        <w:rPr>
          <w:rFonts w:eastAsia="Times New Roman"/>
        </w:rPr>
        <w:t xml:space="preserve"> and to hold </w:t>
      </w:r>
      <w:r w:rsidR="002F687C">
        <w:rPr>
          <w:rFonts w:eastAsia="Times New Roman"/>
        </w:rPr>
        <w:t>decision makers to account</w:t>
      </w:r>
      <w:r w:rsidR="006F0D10" w:rsidRPr="006F0D10">
        <w:rPr>
          <w:rFonts w:eastAsia="Times New Roman"/>
        </w:rPr>
        <w:t>.</w:t>
      </w:r>
    </w:p>
    <w:p w14:paraId="5B3F07E2" w14:textId="77777777" w:rsidR="00EB35DE" w:rsidRDefault="00EB35DE" w:rsidP="00553F20">
      <w:pPr>
        <w:pStyle w:val="ListParagraph"/>
        <w:ind w:left="709"/>
        <w:jc w:val="both"/>
      </w:pPr>
    </w:p>
    <w:p w14:paraId="1C1E4557" w14:textId="77777777" w:rsidR="00F4341C" w:rsidRDefault="00EB35DE" w:rsidP="00F4341C">
      <w:pPr>
        <w:pStyle w:val="ListParagraph"/>
        <w:numPr>
          <w:ilvl w:val="1"/>
          <w:numId w:val="6"/>
        </w:numPr>
        <w:ind w:left="709" w:hanging="709"/>
        <w:jc w:val="both"/>
      </w:pPr>
      <w:r>
        <w:t>T</w:t>
      </w:r>
      <w:r w:rsidR="00F4341C">
        <w:t>he NIHRC notes that there remains a further access to housing issue for those in receipt of Housing Benefit or Universal Credit. ‘</w:t>
      </w:r>
      <w:r w:rsidR="00F4341C" w:rsidRPr="003A2AC0">
        <w:t>No DHSS</w:t>
      </w:r>
      <w:r w:rsidR="00F4341C">
        <w:t>’</w:t>
      </w:r>
      <w:r w:rsidR="00F4341C" w:rsidRPr="003A2AC0">
        <w:t xml:space="preserve"> </w:t>
      </w:r>
      <w:r w:rsidR="00F4341C">
        <w:t>unfortunately remains a feature of the NI private rental market.</w:t>
      </w:r>
      <w:r w:rsidR="00F4341C" w:rsidRPr="003A2AC0">
        <w:t xml:space="preserve"> </w:t>
      </w:r>
      <w:r w:rsidR="00F4341C">
        <w:t>As well as putting an additional barrier in the path of those on social security seeking somewhere to live, the practice itself is arguably discriminatory and an interference in the right to access a home. The County Court in England and Wales has found letting bans of this nature to be unlawful.</w:t>
      </w:r>
      <w:r w:rsidR="00F4341C">
        <w:rPr>
          <w:rStyle w:val="FootnoteReference"/>
        </w:rPr>
        <w:footnoteReference w:id="45"/>
      </w:r>
      <w:r w:rsidR="00F4341C">
        <w:t xml:space="preserve"> Although the court did not find that such practice was directly discriminatory against those on social security benefits, it did find that it caused indirect discrimination against women, as they were more likely to be denied a tenancy on this basis. Research showed that 5</w:t>
      </w:r>
      <w:r w:rsidR="00F4341C" w:rsidRPr="00450BA0">
        <w:t>3.1% of female single-adult households renting privately claim Housing Benefit compared to 34% of male single adult households</w:t>
      </w:r>
      <w:r w:rsidR="00F4341C">
        <w:t>.</w:t>
      </w:r>
      <w:r w:rsidR="00F4341C">
        <w:rPr>
          <w:rStyle w:val="FootnoteReference"/>
        </w:rPr>
        <w:footnoteReference w:id="46"/>
      </w:r>
    </w:p>
    <w:p w14:paraId="5056E515" w14:textId="77777777" w:rsidR="00F4341C" w:rsidRDefault="00F4341C" w:rsidP="00F4341C">
      <w:pPr>
        <w:pStyle w:val="ListParagraph"/>
      </w:pPr>
    </w:p>
    <w:p w14:paraId="309F4599" w14:textId="77777777" w:rsidR="00F4341C" w:rsidRDefault="00F4341C" w:rsidP="00F4341C">
      <w:pPr>
        <w:pStyle w:val="ListParagraph"/>
        <w:numPr>
          <w:ilvl w:val="1"/>
          <w:numId w:val="6"/>
        </w:numPr>
        <w:ind w:left="709" w:hanging="709"/>
        <w:jc w:val="both"/>
      </w:pPr>
      <w:r w:rsidRPr="002F2C7C">
        <w:t>This c</w:t>
      </w:r>
      <w:r>
        <w:t>ourt’s judgment in this instance was based on</w:t>
      </w:r>
      <w:r w:rsidRPr="002F2C7C">
        <w:t xml:space="preserve"> the Equality Act 2010</w:t>
      </w:r>
      <w:r>
        <w:t xml:space="preserve">, which </w:t>
      </w:r>
      <w:r w:rsidRPr="002F2C7C">
        <w:t>does not extend to N</w:t>
      </w:r>
      <w:r>
        <w:t>I</w:t>
      </w:r>
      <w:r w:rsidRPr="002F2C7C">
        <w:t>. However, N</w:t>
      </w:r>
      <w:r>
        <w:t xml:space="preserve">I </w:t>
      </w:r>
      <w:r w:rsidRPr="002F2C7C">
        <w:t>has its own anti-discrimination legislation which</w:t>
      </w:r>
      <w:r>
        <w:t xml:space="preserve"> should similarly make</w:t>
      </w:r>
      <w:r w:rsidRPr="002F2C7C">
        <w:t xml:space="preserve"> this kind of indirect discrimination unlawful. There are clear parallels between the Equality Act 2010 and the Sex Discrimination (NI) Order 1976.</w:t>
      </w:r>
      <w:r>
        <w:rPr>
          <w:rStyle w:val="FootnoteReference"/>
        </w:rPr>
        <w:footnoteReference w:id="47"/>
      </w:r>
      <w:r w:rsidRPr="002F2C7C">
        <w:t xml:space="preserve"> Although the case is not legally binding</w:t>
      </w:r>
      <w:r>
        <w:t>,</w:t>
      </w:r>
      <w:r w:rsidRPr="002F2C7C">
        <w:t xml:space="preserve"> the arguments advanced in this case</w:t>
      </w:r>
      <w:r>
        <w:t xml:space="preserve"> can</w:t>
      </w:r>
      <w:r w:rsidRPr="002F2C7C">
        <w:t xml:space="preserve"> apply equally to landlords and letting agents in N</w:t>
      </w:r>
      <w:r>
        <w:t>I</w:t>
      </w:r>
      <w:r w:rsidRPr="002F2C7C">
        <w:t xml:space="preserve"> and </w:t>
      </w:r>
      <w:r>
        <w:t xml:space="preserve">any </w:t>
      </w:r>
      <w:r w:rsidRPr="002F2C7C">
        <w:t xml:space="preserve">court </w:t>
      </w:r>
      <w:r>
        <w:t>this issue would come before would</w:t>
      </w:r>
      <w:r w:rsidRPr="002F2C7C">
        <w:t xml:space="preserve"> likely to reach a similar decision.</w:t>
      </w:r>
      <w:r>
        <w:t xml:space="preserve"> Rather than having to rely on potential tenants having to go to the courts to uphold their human rights against such discrimination here in NI, the NIHRC recommends that DfC consider introducing legislation that clearly bans such practices.</w:t>
      </w:r>
    </w:p>
    <w:p w14:paraId="693DD8CB" w14:textId="77777777" w:rsidR="00563B3D" w:rsidRDefault="00563B3D" w:rsidP="00563B3D">
      <w:pPr>
        <w:pStyle w:val="ListParagraph"/>
      </w:pPr>
    </w:p>
    <w:p w14:paraId="04B2D843" w14:textId="77777777" w:rsidR="00563B3D" w:rsidRPr="00E56F88" w:rsidRDefault="00EB35DE" w:rsidP="00F4341C">
      <w:pPr>
        <w:pStyle w:val="ListParagraph"/>
        <w:numPr>
          <w:ilvl w:val="1"/>
          <w:numId w:val="6"/>
        </w:numPr>
        <w:ind w:left="709" w:hanging="709"/>
        <w:jc w:val="both"/>
        <w:rPr>
          <w:b/>
          <w:bCs/>
        </w:rPr>
      </w:pPr>
      <w:bookmarkStart w:id="7" w:name="_Hlk76645190"/>
      <w:r>
        <w:rPr>
          <w:b/>
          <w:bCs/>
        </w:rPr>
        <w:t xml:space="preserve">The </w:t>
      </w:r>
      <w:r w:rsidR="00E56F88" w:rsidRPr="00E56F88">
        <w:rPr>
          <w:b/>
          <w:bCs/>
        </w:rPr>
        <w:t xml:space="preserve">NIHRC recommends the </w:t>
      </w:r>
      <w:r w:rsidR="00553FCA">
        <w:rPr>
          <w:b/>
          <w:bCs/>
        </w:rPr>
        <w:t xml:space="preserve">introduction of legislation to prohibit </w:t>
      </w:r>
      <w:r w:rsidR="00E56F88" w:rsidRPr="00E56F88">
        <w:rPr>
          <w:b/>
          <w:bCs/>
        </w:rPr>
        <w:t>the discriminatory practice of refusing tenancies to those in receipt of social security</w:t>
      </w:r>
      <w:r w:rsidR="00553FCA">
        <w:rPr>
          <w:b/>
          <w:bCs/>
        </w:rPr>
        <w:t xml:space="preserve"> benefits</w:t>
      </w:r>
      <w:r w:rsidR="00E56F88" w:rsidRPr="00E56F88">
        <w:rPr>
          <w:b/>
          <w:bCs/>
        </w:rPr>
        <w:t xml:space="preserve">. </w:t>
      </w:r>
    </w:p>
    <w:bookmarkEnd w:id="7"/>
    <w:p w14:paraId="5C1F471F" w14:textId="77777777" w:rsidR="001322AE" w:rsidRDefault="001322AE" w:rsidP="00710F12">
      <w:pPr>
        <w:pStyle w:val="ListParagraph"/>
        <w:jc w:val="both"/>
      </w:pPr>
    </w:p>
    <w:p w14:paraId="36F866B9" w14:textId="77777777" w:rsidR="0002788A" w:rsidRDefault="00553FCA" w:rsidP="00710F12">
      <w:pPr>
        <w:pStyle w:val="ListParagraph"/>
        <w:numPr>
          <w:ilvl w:val="1"/>
          <w:numId w:val="6"/>
        </w:numPr>
        <w:ind w:left="709" w:hanging="709"/>
        <w:jc w:val="both"/>
      </w:pPr>
      <w:r>
        <w:t xml:space="preserve">The </w:t>
      </w:r>
      <w:r w:rsidR="00286922">
        <w:t xml:space="preserve">NIHRC welcomes the DfC setting a target for the building of </w:t>
      </w:r>
      <w:r w:rsidR="00E34A26">
        <w:t xml:space="preserve">10% of </w:t>
      </w:r>
      <w:r w:rsidR="00013F4D">
        <w:t>new housing that is disability accessible.</w:t>
      </w:r>
      <w:r w:rsidR="00EE5055">
        <w:t xml:space="preserve"> This will help secure </w:t>
      </w:r>
      <w:r w:rsidR="00BD7581">
        <w:t>the rights of disabled</w:t>
      </w:r>
      <w:r w:rsidR="00F86DBA">
        <w:t xml:space="preserve"> persons</w:t>
      </w:r>
      <w:r w:rsidR="00BA5F60">
        <w:t xml:space="preserve"> and of </w:t>
      </w:r>
      <w:r w:rsidR="00F86DBA">
        <w:t>older persons</w:t>
      </w:r>
      <w:r w:rsidR="00BA5F60">
        <w:t xml:space="preserve"> to accessible and suitable accommodation.</w:t>
      </w:r>
      <w:r w:rsidR="005B0980">
        <w:t xml:space="preserve"> </w:t>
      </w:r>
      <w:r w:rsidR="00803C38">
        <w:t xml:space="preserve">However, </w:t>
      </w:r>
      <w:r w:rsidR="00FF0E8B">
        <w:t xml:space="preserve">given the </w:t>
      </w:r>
      <w:r w:rsidR="00845C7A">
        <w:t>long-term</w:t>
      </w:r>
      <w:r w:rsidR="00FF0E8B">
        <w:t xml:space="preserve"> nature of this housing strategy, </w:t>
      </w:r>
      <w:r w:rsidR="00F86DBA">
        <w:t xml:space="preserve">the </w:t>
      </w:r>
      <w:r w:rsidR="00FF0E8B">
        <w:t xml:space="preserve">NIHRC </w:t>
      </w:r>
      <w:r w:rsidR="00BD3FAC">
        <w:t xml:space="preserve">recommends that DfC could </w:t>
      </w:r>
      <w:r w:rsidR="00FF0E8B">
        <w:t>supplement this target</w:t>
      </w:r>
      <w:r w:rsidR="00254688">
        <w:t xml:space="preserve"> </w:t>
      </w:r>
      <w:r w:rsidR="00BD3FAC">
        <w:t xml:space="preserve">by </w:t>
      </w:r>
      <w:r w:rsidR="00BD3FAC">
        <w:lastRenderedPageBreak/>
        <w:t xml:space="preserve">ensuring that all </w:t>
      </w:r>
      <w:r w:rsidR="00254688">
        <w:t xml:space="preserve">new houses </w:t>
      </w:r>
      <w:r w:rsidR="00F86DBA">
        <w:t xml:space="preserve">are </w:t>
      </w:r>
      <w:r w:rsidR="00E24435">
        <w:t>easily adaptable to become accessible</w:t>
      </w:r>
      <w:r w:rsidR="00F86DBA">
        <w:t xml:space="preserve"> for person with disabilities</w:t>
      </w:r>
      <w:r w:rsidR="00705209">
        <w:t>.</w:t>
      </w:r>
    </w:p>
    <w:p w14:paraId="7289A7B6" w14:textId="77777777" w:rsidR="0002788A" w:rsidRDefault="0002788A" w:rsidP="0002788A">
      <w:pPr>
        <w:pStyle w:val="ListParagraph"/>
      </w:pPr>
    </w:p>
    <w:p w14:paraId="25F3EF86" w14:textId="77777777" w:rsidR="00E248BF" w:rsidRDefault="009C451A" w:rsidP="00E248BF">
      <w:pPr>
        <w:pStyle w:val="ListParagraph"/>
        <w:numPr>
          <w:ilvl w:val="1"/>
          <w:numId w:val="6"/>
        </w:numPr>
        <w:ind w:left="709" w:hanging="709"/>
        <w:jc w:val="both"/>
      </w:pPr>
      <w:r>
        <w:t xml:space="preserve">Housing that can be more readily retrofitted into </w:t>
      </w:r>
      <w:r w:rsidR="006D2DBD">
        <w:t>being disability accessible would have a number of benefits</w:t>
      </w:r>
      <w:r w:rsidR="00EC4C36">
        <w:t xml:space="preserve">. It would help </w:t>
      </w:r>
      <w:r w:rsidR="00AA0BFE">
        <w:t xml:space="preserve">in </w:t>
      </w:r>
      <w:r w:rsidR="003A1D20">
        <w:t>ensuring</w:t>
      </w:r>
      <w:r w:rsidR="00AA0BFE">
        <w:t xml:space="preserve"> </w:t>
      </w:r>
      <w:r w:rsidR="000419DB">
        <w:t>rights</w:t>
      </w:r>
      <w:r w:rsidR="00AA0BFE">
        <w:t xml:space="preserve"> </w:t>
      </w:r>
      <w:r w:rsidR="00B204E4">
        <w:t>to</w:t>
      </w:r>
      <w:r w:rsidR="00AA0BFE">
        <w:t xml:space="preserve"> equal access and</w:t>
      </w:r>
      <w:r w:rsidR="00B204E4">
        <w:t xml:space="preserve"> suitable</w:t>
      </w:r>
      <w:r w:rsidR="00AA0BFE">
        <w:t xml:space="preserve"> provision for the disabled.</w:t>
      </w:r>
      <w:r w:rsidR="00495909">
        <w:t xml:space="preserve"> It would</w:t>
      </w:r>
      <w:r w:rsidR="00B204E4">
        <w:t xml:space="preserve"> also</w:t>
      </w:r>
      <w:r w:rsidR="00495909">
        <w:t xml:space="preserve"> help future proof housing stock</w:t>
      </w:r>
      <w:r w:rsidR="0007774F">
        <w:t xml:space="preserve"> for a population</w:t>
      </w:r>
      <w:r w:rsidR="00495909">
        <w:t xml:space="preserve"> </w:t>
      </w:r>
      <w:r w:rsidR="0007774F">
        <w:t>that is increasingly ag</w:t>
      </w:r>
      <w:r w:rsidR="00917987">
        <w:t>e</w:t>
      </w:r>
      <w:r w:rsidR="0007774F">
        <w:t xml:space="preserve">ing and so </w:t>
      </w:r>
      <w:r w:rsidR="003153FD">
        <w:t xml:space="preserve">will require easily accessible housing as they age. It may </w:t>
      </w:r>
      <w:r w:rsidR="00F352BB">
        <w:t xml:space="preserve">also </w:t>
      </w:r>
      <w:r w:rsidR="003153FD">
        <w:t xml:space="preserve">have long term </w:t>
      </w:r>
      <w:r w:rsidR="00524182">
        <w:t>financial benefits in not having to, at a later point, build specific disabled access housing for tenants</w:t>
      </w:r>
      <w:r w:rsidR="00845C7A">
        <w:t>.</w:t>
      </w:r>
      <w:r w:rsidR="00645997">
        <w:t xml:space="preserve"> For example, adapting a typical home can cost five times more </w:t>
      </w:r>
      <w:r w:rsidR="00140938">
        <w:t>than making one adaptable at d</w:t>
      </w:r>
      <w:r w:rsidR="000565CF">
        <w:t>esign stage.</w:t>
      </w:r>
      <w:r w:rsidR="000750E4">
        <w:rPr>
          <w:rStyle w:val="FootnoteReference"/>
        </w:rPr>
        <w:footnoteReference w:id="48"/>
      </w:r>
      <w:r w:rsidR="00524182">
        <w:t xml:space="preserve"> </w:t>
      </w:r>
      <w:r w:rsidR="00845C7A">
        <w:t>I</w:t>
      </w:r>
      <w:r w:rsidR="00524182">
        <w:t>t</w:t>
      </w:r>
      <w:r w:rsidR="00AA0BFE">
        <w:t xml:space="preserve"> would </w:t>
      </w:r>
      <w:r w:rsidR="00524182">
        <w:t xml:space="preserve">also </w:t>
      </w:r>
      <w:r w:rsidR="00AA0BFE">
        <w:t>alleviate the</w:t>
      </w:r>
      <w:r w:rsidR="0098408E">
        <w:t xml:space="preserve"> upheaval and</w:t>
      </w:r>
      <w:r w:rsidR="00AA0BFE">
        <w:t xml:space="preserve"> </w:t>
      </w:r>
      <w:r w:rsidR="00495909">
        <w:t xml:space="preserve">emotional stress caused </w:t>
      </w:r>
      <w:r w:rsidR="0098408E">
        <w:t xml:space="preserve">when a tenant must move </w:t>
      </w:r>
      <w:r w:rsidR="003253B4">
        <w:t xml:space="preserve">to more </w:t>
      </w:r>
      <w:r w:rsidR="00845C7A">
        <w:t xml:space="preserve">accessible </w:t>
      </w:r>
      <w:r w:rsidR="003253B4">
        <w:t>accommodation from a home they may have lived in for a long time and feel comfortable in</w:t>
      </w:r>
      <w:r w:rsidR="0098408E">
        <w:t>.</w:t>
      </w:r>
    </w:p>
    <w:p w14:paraId="1A38ABA4" w14:textId="77777777" w:rsidR="00E248BF" w:rsidRDefault="00E248BF" w:rsidP="00E248BF">
      <w:pPr>
        <w:pStyle w:val="ListParagraph"/>
      </w:pPr>
    </w:p>
    <w:p w14:paraId="0B1D82C1" w14:textId="4755A759" w:rsidR="00E248BF" w:rsidRPr="00E248BF" w:rsidRDefault="00EB35DE" w:rsidP="00E248BF">
      <w:pPr>
        <w:pStyle w:val="ListParagraph"/>
        <w:numPr>
          <w:ilvl w:val="1"/>
          <w:numId w:val="6"/>
        </w:numPr>
        <w:ind w:left="709" w:hanging="709"/>
        <w:jc w:val="both"/>
        <w:rPr>
          <w:b/>
          <w:bCs/>
        </w:rPr>
      </w:pPr>
      <w:r>
        <w:rPr>
          <w:b/>
          <w:bCs/>
        </w:rPr>
        <w:t xml:space="preserve">The </w:t>
      </w:r>
      <w:r w:rsidR="00E248BF" w:rsidRPr="00E248BF">
        <w:rPr>
          <w:b/>
          <w:bCs/>
        </w:rPr>
        <w:t>NIHRC recommends the supplementing of the DfC target of 10% of new build housing being disability accessible by making more new build houses easily adaptable to become disability accessible in the future.</w:t>
      </w:r>
    </w:p>
    <w:p w14:paraId="062DE73B" w14:textId="77777777" w:rsidR="00E248BF" w:rsidRDefault="00E248BF" w:rsidP="00E248BF">
      <w:pPr>
        <w:pStyle w:val="ListParagraph"/>
      </w:pPr>
    </w:p>
    <w:p w14:paraId="2A0C6FFE" w14:textId="1DADADBD" w:rsidR="0070701F" w:rsidRDefault="00F86DBA" w:rsidP="00E248BF">
      <w:pPr>
        <w:pStyle w:val="ListParagraph"/>
        <w:numPr>
          <w:ilvl w:val="1"/>
          <w:numId w:val="6"/>
        </w:numPr>
        <w:ind w:left="709" w:hanging="709"/>
        <w:jc w:val="both"/>
      </w:pPr>
      <w:r>
        <w:t xml:space="preserve">The </w:t>
      </w:r>
      <w:r w:rsidR="00AD1A27">
        <w:t>DfC has correctly identifie</w:t>
      </w:r>
      <w:r w:rsidR="00407EF3">
        <w:t>d</w:t>
      </w:r>
      <w:r w:rsidR="00434940">
        <w:rPr>
          <w:rStyle w:val="FootnoteReference"/>
        </w:rPr>
        <w:footnoteReference w:id="49"/>
      </w:r>
      <w:r w:rsidR="00AD1A27">
        <w:t xml:space="preserve"> that </w:t>
      </w:r>
      <w:r w:rsidR="00DD29C0">
        <w:t>access to appropriate accommodation for Irish Travellers is limite</w:t>
      </w:r>
      <w:r w:rsidR="008E7F6C">
        <w:t xml:space="preserve">d. </w:t>
      </w:r>
      <w:r w:rsidR="00BD3FAC">
        <w:t xml:space="preserve">The </w:t>
      </w:r>
      <w:r w:rsidR="00A548B5">
        <w:t>NIHRC</w:t>
      </w:r>
      <w:r w:rsidR="008E7F6C">
        <w:t xml:space="preserve"> welcome</w:t>
      </w:r>
      <w:r w:rsidR="00BD3FAC">
        <w:t>s</w:t>
      </w:r>
      <w:r w:rsidR="00881A7B">
        <w:t xml:space="preserve"> the</w:t>
      </w:r>
      <w:r w:rsidR="00A548B5">
        <w:t xml:space="preserve"> acknowledgment</w:t>
      </w:r>
      <w:r w:rsidR="00881A7B">
        <w:t xml:space="preserve"> of this issue in the strategy and </w:t>
      </w:r>
      <w:r w:rsidR="00F40053">
        <w:t xml:space="preserve">would </w:t>
      </w:r>
      <w:r w:rsidR="00E90932">
        <w:t xml:space="preserve">refer to our </w:t>
      </w:r>
      <w:r w:rsidR="00BD3FAC">
        <w:t xml:space="preserve">investigation report, and recommendations, into </w:t>
      </w:r>
      <w:r w:rsidR="00DC1AED">
        <w:t>Traveller accommodation in NI.</w:t>
      </w:r>
      <w:r w:rsidR="00DC1AED">
        <w:rPr>
          <w:rStyle w:val="FootnoteReference"/>
        </w:rPr>
        <w:footnoteReference w:id="50"/>
      </w:r>
      <w:r w:rsidR="006F7A4B">
        <w:t xml:space="preserve"> </w:t>
      </w:r>
      <w:r w:rsidR="008E33C8">
        <w:t>In this</w:t>
      </w:r>
      <w:r w:rsidR="00600835">
        <w:t>,</w:t>
      </w:r>
      <w:r w:rsidR="008E33C8">
        <w:t xml:space="preserve"> </w:t>
      </w:r>
      <w:r w:rsidR="00600835">
        <w:t>the NIHRC highlighted that</w:t>
      </w:r>
      <w:r w:rsidR="008E33C8">
        <w:t xml:space="preserve"> there is n</w:t>
      </w:r>
      <w:r w:rsidR="006F7A4B">
        <w:t>o legislation or policy</w:t>
      </w:r>
      <w:r w:rsidR="007052F2">
        <w:t xml:space="preserve"> that</w:t>
      </w:r>
      <w:r w:rsidR="006F7A4B">
        <w:t xml:space="preserve"> specifically deals with homelessness within the Traveller communities in NI.</w:t>
      </w:r>
      <w:r w:rsidR="007C227C">
        <w:rPr>
          <w:rStyle w:val="FootnoteReference"/>
        </w:rPr>
        <w:footnoteReference w:id="51"/>
      </w:r>
      <w:r w:rsidR="00420A06">
        <w:t xml:space="preserve"> </w:t>
      </w:r>
      <w:r w:rsidR="006F7A4B">
        <w:t xml:space="preserve">The negative </w:t>
      </w:r>
      <w:r w:rsidR="00482B0A">
        <w:t>e</w:t>
      </w:r>
      <w:r w:rsidR="006F7A4B">
        <w:t>ffect on health that the lack of culturally adequate options for homeless Travellers and the prolonged period of homelessness Travellers can experience engages the</w:t>
      </w:r>
      <w:r w:rsidR="00600835">
        <w:t xml:space="preserve"> right to private and family life</w:t>
      </w:r>
      <w:r w:rsidR="006F7A4B">
        <w:t xml:space="preserve"> </w:t>
      </w:r>
      <w:r w:rsidR="00600835">
        <w:t>(</w:t>
      </w:r>
      <w:r w:rsidR="006F7A4B">
        <w:t>Article 8</w:t>
      </w:r>
      <w:r w:rsidR="00600835">
        <w:t xml:space="preserve"> ECHR),</w:t>
      </w:r>
      <w:r w:rsidR="006F7A4B">
        <w:t xml:space="preserve"> and, in extreme cases, may engage</w:t>
      </w:r>
      <w:r w:rsidR="00C336C7">
        <w:t xml:space="preserve"> a</w:t>
      </w:r>
      <w:r w:rsidR="001A4F76">
        <w:t xml:space="preserve"> </w:t>
      </w:r>
      <w:r w:rsidR="00C336C7">
        <w:t>right against</w:t>
      </w:r>
      <w:r w:rsidR="00600835">
        <w:t xml:space="preserve"> torture,</w:t>
      </w:r>
      <w:r w:rsidR="00C336C7">
        <w:t xml:space="preserve"> inhuman and degrading treatment</w:t>
      </w:r>
      <w:r w:rsidR="00600835">
        <w:t xml:space="preserve"> or punishment (Article 3 ECHR)</w:t>
      </w:r>
      <w:r w:rsidR="00C63F87">
        <w:t>.</w:t>
      </w:r>
      <w:r w:rsidR="0076189F">
        <w:t xml:space="preserve"> </w:t>
      </w:r>
      <w:r w:rsidR="00600835">
        <w:t xml:space="preserve">The NIHRC also conducted </w:t>
      </w:r>
      <w:r w:rsidR="0076189F">
        <w:t>interviews with Travellers who</w:t>
      </w:r>
      <w:r w:rsidR="008A25D5">
        <w:t xml:space="preserve"> had experienced homelessness.</w:t>
      </w:r>
      <w:r w:rsidR="00C63F87">
        <w:t xml:space="preserve"> </w:t>
      </w:r>
      <w:r w:rsidR="008A25D5">
        <w:t xml:space="preserve">Those </w:t>
      </w:r>
      <w:r w:rsidR="002F0A77">
        <w:t>interviewed</w:t>
      </w:r>
      <w:r w:rsidR="008A25D5">
        <w:t xml:space="preserve"> felt there were a number of contributing factors</w:t>
      </w:r>
      <w:r w:rsidR="002F0A77">
        <w:t xml:space="preserve"> to homelessness in the Traveller community</w:t>
      </w:r>
      <w:r w:rsidR="00145292">
        <w:t xml:space="preserve">; for </w:t>
      </w:r>
      <w:r w:rsidR="008A25D5">
        <w:t>example, a lack of support and guidance from the NI Housing Executive in accessing standard social housing</w:t>
      </w:r>
      <w:r w:rsidR="00145292">
        <w:t xml:space="preserve"> and the unsuitable nature of</w:t>
      </w:r>
      <w:r w:rsidR="008A25D5">
        <w:t xml:space="preserve"> alternative accommodation for their cultural needs regarding size or location</w:t>
      </w:r>
      <w:r w:rsidR="00AD505B">
        <w:t>.</w:t>
      </w:r>
      <w:r w:rsidR="00145292">
        <w:rPr>
          <w:rStyle w:val="FootnoteReference"/>
        </w:rPr>
        <w:footnoteReference w:id="52"/>
      </w:r>
      <w:r w:rsidR="008A25D5">
        <w:t xml:space="preserve"> The limited provision of Traveller-specific accommodation and the existence of the Unauthorised Encampments (NI) Order 2005 also leave</w:t>
      </w:r>
      <w:r w:rsidR="00600835">
        <w:t>s</w:t>
      </w:r>
      <w:r w:rsidR="008A25D5">
        <w:t xml:space="preserve"> Travellers vulnerable to homelessness</w:t>
      </w:r>
      <w:r w:rsidR="00E12C5C">
        <w:t>.</w:t>
      </w:r>
      <w:r w:rsidR="00145292">
        <w:rPr>
          <w:rStyle w:val="FootnoteReference"/>
        </w:rPr>
        <w:footnoteReference w:id="53"/>
      </w:r>
    </w:p>
    <w:p w14:paraId="3A312789" w14:textId="77777777" w:rsidR="000A3DB1" w:rsidRDefault="000A3DB1" w:rsidP="000A3DB1">
      <w:pPr>
        <w:pStyle w:val="ListParagraph"/>
        <w:ind w:left="709"/>
        <w:jc w:val="both"/>
      </w:pPr>
    </w:p>
    <w:p w14:paraId="0AC67875" w14:textId="4372E80C" w:rsidR="00B672F0" w:rsidRDefault="0070701F" w:rsidP="009A1537">
      <w:pPr>
        <w:pStyle w:val="ListParagraph"/>
        <w:numPr>
          <w:ilvl w:val="1"/>
          <w:numId w:val="6"/>
        </w:numPr>
        <w:ind w:left="709" w:hanging="709"/>
        <w:jc w:val="both"/>
      </w:pPr>
      <w:r>
        <w:t xml:space="preserve">The NIHRC recommends </w:t>
      </w:r>
      <w:r w:rsidR="007E3328">
        <w:t xml:space="preserve">that any </w:t>
      </w:r>
      <w:r w:rsidR="008C7B4B">
        <w:t>h</w:t>
      </w:r>
      <w:r w:rsidR="00533913">
        <w:t xml:space="preserve">ousing </w:t>
      </w:r>
      <w:r w:rsidR="008C7B4B">
        <w:t>s</w:t>
      </w:r>
      <w:r w:rsidR="00533913">
        <w:t>trategy</w:t>
      </w:r>
      <w:r w:rsidR="00C86109">
        <w:t xml:space="preserve"> includes e</w:t>
      </w:r>
      <w:r w:rsidR="000914E4">
        <w:t xml:space="preserve">nsuring sufficient </w:t>
      </w:r>
      <w:r w:rsidR="00BD3FAC">
        <w:t xml:space="preserve">sites </w:t>
      </w:r>
      <w:r w:rsidR="000914E4">
        <w:t xml:space="preserve">for </w:t>
      </w:r>
      <w:r w:rsidR="00533913">
        <w:t>Travellers</w:t>
      </w:r>
      <w:r w:rsidR="00C86109">
        <w:t xml:space="preserve"> to set up</w:t>
      </w:r>
      <w:r w:rsidR="008C7B4B">
        <w:t xml:space="preserve"> accommodation</w:t>
      </w:r>
      <w:r w:rsidR="00C86109">
        <w:t xml:space="preserve"> and that these </w:t>
      </w:r>
      <w:r w:rsidR="0032068D">
        <w:t>sites</w:t>
      </w:r>
      <w:r w:rsidR="00C86109">
        <w:t xml:space="preserve"> </w:t>
      </w:r>
      <w:r w:rsidR="00DF2BFA">
        <w:t>have sufficient access to essential utilities</w:t>
      </w:r>
      <w:r w:rsidR="000914E4">
        <w:t>.</w:t>
      </w:r>
      <w:r w:rsidR="00D2388E">
        <w:t xml:space="preserve"> Previous government policies have focused </w:t>
      </w:r>
      <w:r w:rsidR="00106A0C">
        <w:t xml:space="preserve">on provision of settled housing for </w:t>
      </w:r>
      <w:r w:rsidR="00C30A3C">
        <w:t xml:space="preserve">Travellers. </w:t>
      </w:r>
      <w:r w:rsidR="005C5936">
        <w:t xml:space="preserve">Some in the </w:t>
      </w:r>
      <w:r w:rsidR="005C5936">
        <w:lastRenderedPageBreak/>
        <w:t>Travelling community</w:t>
      </w:r>
      <w:r w:rsidR="001760FD">
        <w:t xml:space="preserve"> are</w:t>
      </w:r>
      <w:r w:rsidR="005C5936">
        <w:t xml:space="preserve"> content to move into a more settled way of living but a focus on settled housing has</w:t>
      </w:r>
      <w:r w:rsidR="00C30A3C">
        <w:t xml:space="preserve"> led </w:t>
      </w:r>
      <w:r w:rsidR="00011BC3">
        <w:t>others</w:t>
      </w:r>
      <w:r w:rsidR="00C30A3C">
        <w:t xml:space="preserve"> in the </w:t>
      </w:r>
      <w:r w:rsidR="005C5936">
        <w:t xml:space="preserve">Traveller </w:t>
      </w:r>
      <w:r w:rsidR="00C30A3C">
        <w:t>community</w:t>
      </w:r>
      <w:r w:rsidR="00011BC3">
        <w:t>,</w:t>
      </w:r>
      <w:r w:rsidR="005C5936">
        <w:t xml:space="preserve"> </w:t>
      </w:r>
      <w:r w:rsidR="001760FD">
        <w:t xml:space="preserve">who </w:t>
      </w:r>
      <w:r w:rsidR="00011BC3">
        <w:t>would prefer their traditional itinerant</w:t>
      </w:r>
      <w:r w:rsidR="00396678">
        <w:t xml:space="preserve"> culture</w:t>
      </w:r>
      <w:r w:rsidR="00011BC3">
        <w:t>,</w:t>
      </w:r>
      <w:r w:rsidR="00396678">
        <w:t xml:space="preserve"> to </w:t>
      </w:r>
      <w:r w:rsidR="00C30A3C">
        <w:t xml:space="preserve">feel that they are being </w:t>
      </w:r>
      <w:r w:rsidR="000914E4">
        <w:t>pushed or corralled into</w:t>
      </w:r>
      <w:r w:rsidR="00C30A3C">
        <w:t xml:space="preserve"> </w:t>
      </w:r>
      <w:r w:rsidR="000914E4">
        <w:t>settled housin</w:t>
      </w:r>
      <w:r w:rsidR="00F76A3B">
        <w:t>g and a</w:t>
      </w:r>
      <w:r w:rsidR="00A22901">
        <w:t xml:space="preserve"> sedentary</w:t>
      </w:r>
      <w:r w:rsidR="00F76A3B">
        <w:t xml:space="preserve"> way of lif</w:t>
      </w:r>
      <w:r w:rsidR="00396678">
        <w:t>e</w:t>
      </w:r>
      <w:r w:rsidR="00F76A3B">
        <w:t xml:space="preserve"> not in keeping with their cultural heritage</w:t>
      </w:r>
      <w:r w:rsidR="00582C3A">
        <w:t>.</w:t>
      </w:r>
      <w:r w:rsidR="00B66DC3">
        <w:rPr>
          <w:rStyle w:val="FootnoteReference"/>
        </w:rPr>
        <w:footnoteReference w:id="54"/>
      </w:r>
      <w:r w:rsidR="00582C3A">
        <w:t xml:space="preserve"> </w:t>
      </w:r>
      <w:r w:rsidR="002A3AC0">
        <w:t xml:space="preserve">Providing </w:t>
      </w:r>
      <w:r w:rsidR="00582C3A">
        <w:t>suitable</w:t>
      </w:r>
      <w:r w:rsidR="00C57129">
        <w:t xml:space="preserve"> accommodation</w:t>
      </w:r>
      <w:r w:rsidR="00071366">
        <w:t xml:space="preserve"> sites</w:t>
      </w:r>
      <w:r w:rsidR="00582C3A">
        <w:t xml:space="preserve"> op</w:t>
      </w:r>
      <w:r w:rsidR="002A3AC0">
        <w:t>tion</w:t>
      </w:r>
      <w:r w:rsidR="00582C3A">
        <w:t>s</w:t>
      </w:r>
      <w:r w:rsidR="002A3AC0">
        <w:t xml:space="preserve"> </w:t>
      </w:r>
      <w:r w:rsidR="00C57129">
        <w:t>for</w:t>
      </w:r>
      <w:r w:rsidR="002A3AC0">
        <w:t xml:space="preserve"> Travellers to continue</w:t>
      </w:r>
      <w:r w:rsidR="00384B44">
        <w:t xml:space="preserve"> their</w:t>
      </w:r>
      <w:r w:rsidR="00C57129">
        <w:t xml:space="preserve"> i</w:t>
      </w:r>
      <w:r w:rsidR="00620F39">
        <w:t>tin</w:t>
      </w:r>
      <w:r w:rsidR="00C57129">
        <w:t xml:space="preserve">erant lifestyle </w:t>
      </w:r>
      <w:r w:rsidR="009C45FA">
        <w:t xml:space="preserve">would </w:t>
      </w:r>
      <w:r w:rsidR="00620F39">
        <w:t>assist in</w:t>
      </w:r>
      <w:r w:rsidR="00384B44">
        <w:t xml:space="preserve"> preventing discrimination and</w:t>
      </w:r>
      <w:r w:rsidR="004F7687">
        <w:t xml:space="preserve"> in enshrining</w:t>
      </w:r>
      <w:r w:rsidR="000914E4">
        <w:t xml:space="preserve"> </w:t>
      </w:r>
      <w:r w:rsidR="00D2388E">
        <w:t xml:space="preserve">of the </w:t>
      </w:r>
      <w:r w:rsidR="000914E4">
        <w:t>cultural rights</w:t>
      </w:r>
      <w:r w:rsidR="00D2388E">
        <w:t xml:space="preserve"> of the Traveller </w:t>
      </w:r>
      <w:r w:rsidR="004F7687">
        <w:t>c</w:t>
      </w:r>
      <w:r w:rsidR="00D2388E">
        <w:t>ommunit</w:t>
      </w:r>
      <w:r w:rsidR="00CF1619">
        <w:t>y</w:t>
      </w:r>
      <w:r w:rsidR="000914E4">
        <w:t>.</w:t>
      </w:r>
      <w:r w:rsidR="00B716A5">
        <w:rPr>
          <w:rStyle w:val="FootnoteReference"/>
        </w:rPr>
        <w:footnoteReference w:id="55"/>
      </w:r>
      <w:r w:rsidR="00E44344">
        <w:t xml:space="preserve"> </w:t>
      </w:r>
      <w:r w:rsidR="008E3F84">
        <w:t>When considering the rights of the Traveller community DfC</w:t>
      </w:r>
      <w:r w:rsidR="00E44344">
        <w:t xml:space="preserve"> should ensure it offers the opportunity for Travellers to present their views on the cultural adequacy of their accommodation when conducting its Travellers’ accommodation needs assessments.</w:t>
      </w:r>
      <w:r w:rsidR="00416542">
        <w:rPr>
          <w:rStyle w:val="FootnoteReference"/>
        </w:rPr>
        <w:footnoteReference w:id="56"/>
      </w:r>
    </w:p>
    <w:p w14:paraId="7B07D121" w14:textId="77777777" w:rsidR="0012695C" w:rsidRDefault="0012695C" w:rsidP="0012695C">
      <w:pPr>
        <w:pStyle w:val="ListParagraph"/>
        <w:ind w:left="709"/>
        <w:jc w:val="both"/>
      </w:pPr>
    </w:p>
    <w:p w14:paraId="75EEDAC4" w14:textId="55B6158F" w:rsidR="00E248BF" w:rsidRPr="0012695C" w:rsidRDefault="00EB35DE" w:rsidP="009A1537">
      <w:pPr>
        <w:pStyle w:val="ListParagraph"/>
        <w:numPr>
          <w:ilvl w:val="1"/>
          <w:numId w:val="6"/>
        </w:numPr>
        <w:ind w:left="709" w:hanging="709"/>
        <w:jc w:val="both"/>
        <w:rPr>
          <w:b/>
          <w:bCs/>
        </w:rPr>
      </w:pPr>
      <w:bookmarkStart w:id="8" w:name="_Hlk76645262"/>
      <w:r>
        <w:rPr>
          <w:b/>
          <w:bCs/>
        </w:rPr>
        <w:t xml:space="preserve">The </w:t>
      </w:r>
      <w:r w:rsidR="0012695C" w:rsidRPr="0012695C">
        <w:rPr>
          <w:b/>
          <w:bCs/>
        </w:rPr>
        <w:t>NIHRC recommends recognising the cultural rights of the Irish Traveller Community to live their traditional lifestyle and to provide appropriate sites for Traveller accommodation with sufficient access to essential utilities.</w:t>
      </w:r>
    </w:p>
    <w:p w14:paraId="674B941A" w14:textId="77777777" w:rsidR="00B672F0" w:rsidRDefault="00B672F0" w:rsidP="00710F12">
      <w:pPr>
        <w:pStyle w:val="ListParagraph"/>
        <w:jc w:val="both"/>
      </w:pPr>
    </w:p>
    <w:p w14:paraId="597D8FDF" w14:textId="77777777" w:rsidR="00EC6831" w:rsidRDefault="00BA6E97" w:rsidP="00710F12">
      <w:pPr>
        <w:pStyle w:val="ListParagraph"/>
        <w:numPr>
          <w:ilvl w:val="1"/>
          <w:numId w:val="6"/>
        </w:numPr>
        <w:ind w:left="709" w:hanging="709"/>
        <w:jc w:val="both"/>
      </w:pPr>
      <w:r>
        <w:t xml:space="preserve">The </w:t>
      </w:r>
      <w:r w:rsidR="005A5D1D">
        <w:t>NIHRC recognises</w:t>
      </w:r>
      <w:r w:rsidR="00033922">
        <w:t xml:space="preserve"> the longstanding</w:t>
      </w:r>
      <w:r w:rsidR="00E276BC">
        <w:t xml:space="preserve"> issue of overcrowd</w:t>
      </w:r>
      <w:r w:rsidR="00E5364B">
        <w:t>ed</w:t>
      </w:r>
      <w:r w:rsidR="001E1A0F">
        <w:t xml:space="preserve"> and insecure</w:t>
      </w:r>
      <w:r w:rsidR="00B6323C">
        <w:t xml:space="preserve"> </w:t>
      </w:r>
      <w:r w:rsidR="00E5364B">
        <w:t>housing</w:t>
      </w:r>
      <w:r w:rsidR="00F01AC7">
        <w:t xml:space="preserve"> and agree</w:t>
      </w:r>
      <w:r>
        <w:t>s</w:t>
      </w:r>
      <w:r w:rsidR="00B96DD1">
        <w:t xml:space="preserve"> with</w:t>
      </w:r>
      <w:r w:rsidR="005E0AE9">
        <w:t xml:space="preserve"> the</w:t>
      </w:r>
      <w:r w:rsidR="00B96DD1">
        <w:t xml:space="preserve"> </w:t>
      </w:r>
      <w:r w:rsidR="00E6341A">
        <w:t>DfC</w:t>
      </w:r>
      <w:r w:rsidR="005E0AE9">
        <w:t xml:space="preserve"> where it notes</w:t>
      </w:r>
      <w:r w:rsidR="00D85F0E">
        <w:t xml:space="preserve"> </w:t>
      </w:r>
      <w:r w:rsidR="00F01AC7">
        <w:t xml:space="preserve">that </w:t>
      </w:r>
      <w:r w:rsidR="00AB5315">
        <w:t>m</w:t>
      </w:r>
      <w:r w:rsidR="003D2F4A">
        <w:t>igrant workers are particularly vulnerable</w:t>
      </w:r>
      <w:r w:rsidR="00E6341A">
        <w:t xml:space="preserve"> to poor conditions</w:t>
      </w:r>
      <w:r w:rsidR="00734C79">
        <w:t xml:space="preserve"> and overcrowding</w:t>
      </w:r>
      <w:r w:rsidR="00033922">
        <w:t>.</w:t>
      </w:r>
      <w:r w:rsidR="005E0AE9">
        <w:rPr>
          <w:rStyle w:val="FootnoteReference"/>
        </w:rPr>
        <w:footnoteReference w:id="57"/>
      </w:r>
      <w:r w:rsidR="00033922">
        <w:t xml:space="preserve"> We also recognise that</w:t>
      </w:r>
      <w:r w:rsidR="00E5364B">
        <w:t xml:space="preserve"> the need to alleviate these issues</w:t>
      </w:r>
      <w:r w:rsidR="00033922">
        <w:t xml:space="preserve"> </w:t>
      </w:r>
      <w:r w:rsidR="00BD7D92">
        <w:t>has been given greater impetus</w:t>
      </w:r>
      <w:r w:rsidR="00E5364B">
        <w:t xml:space="preserve"> by the</w:t>
      </w:r>
      <w:r w:rsidR="00AB5315">
        <w:t xml:space="preserve"> eff</w:t>
      </w:r>
      <w:r w:rsidR="001E1A0F">
        <w:t>e</w:t>
      </w:r>
      <w:r w:rsidR="00AB5315">
        <w:t>cts of COVID 19 and the associated lockdown</w:t>
      </w:r>
      <w:r w:rsidR="001E1A0F">
        <w:t>. To help alleviate this, DfC may c</w:t>
      </w:r>
      <w:r w:rsidR="00BD7D92">
        <w:t>onsider further regulation</w:t>
      </w:r>
      <w:r w:rsidR="00FC2E89">
        <w:t xml:space="preserve"> to increase standards</w:t>
      </w:r>
      <w:r w:rsidR="00E32EA5">
        <w:t xml:space="preserve"> in</w:t>
      </w:r>
      <w:r w:rsidR="00BD7D92">
        <w:t xml:space="preserve"> Houses of Multiple Occupancy</w:t>
      </w:r>
      <w:r w:rsidR="002B6C69">
        <w:t xml:space="preserve"> to </w:t>
      </w:r>
      <w:r w:rsidR="0041541B">
        <w:t>assist in the prevention of exploitation</w:t>
      </w:r>
      <w:r w:rsidR="00AD1DD7">
        <w:t xml:space="preserve"> of tenants, with particular regard to</w:t>
      </w:r>
      <w:r w:rsidR="0041541B">
        <w:t xml:space="preserve"> migrant workers</w:t>
      </w:r>
      <w:r w:rsidR="00BD7D92">
        <w:t xml:space="preserve">. DfC </w:t>
      </w:r>
      <w:r w:rsidR="00BD7D92" w:rsidRPr="005841C4">
        <w:t xml:space="preserve">could also consider </w:t>
      </w:r>
      <w:r w:rsidR="00F94A49" w:rsidRPr="005841C4">
        <w:t xml:space="preserve">giving tenants a greater right to security of tenure in private rental </w:t>
      </w:r>
      <w:r w:rsidR="007B5D50" w:rsidRPr="005841C4">
        <w:t>h</w:t>
      </w:r>
      <w:r w:rsidR="000914E4" w:rsidRPr="005841C4">
        <w:t>ousing</w:t>
      </w:r>
      <w:r w:rsidR="007B5D50" w:rsidRPr="005841C4">
        <w:t>.</w:t>
      </w:r>
    </w:p>
    <w:p w14:paraId="41054377" w14:textId="77777777" w:rsidR="007E0502" w:rsidRDefault="007E0502" w:rsidP="007E0502">
      <w:pPr>
        <w:pStyle w:val="ListParagraph"/>
      </w:pPr>
    </w:p>
    <w:p w14:paraId="01FA03D3" w14:textId="77777777" w:rsidR="007E0502" w:rsidRPr="007E0502" w:rsidRDefault="00EB35DE" w:rsidP="00710F12">
      <w:pPr>
        <w:pStyle w:val="ListParagraph"/>
        <w:numPr>
          <w:ilvl w:val="1"/>
          <w:numId w:val="6"/>
        </w:numPr>
        <w:ind w:left="709" w:hanging="709"/>
        <w:jc w:val="both"/>
        <w:rPr>
          <w:b/>
          <w:bCs/>
        </w:rPr>
      </w:pPr>
      <w:r>
        <w:rPr>
          <w:b/>
          <w:bCs/>
        </w:rPr>
        <w:t xml:space="preserve">The </w:t>
      </w:r>
      <w:r w:rsidR="007E0502" w:rsidRPr="007E0502">
        <w:rPr>
          <w:b/>
          <w:bCs/>
        </w:rPr>
        <w:t>NIHRC recommends further regulation of Houses of Multiple Occupancy and giving tenants greater rights to security of tenure in private rental housing and protection from no fault eviction.</w:t>
      </w:r>
    </w:p>
    <w:bookmarkEnd w:id="8"/>
    <w:p w14:paraId="6F717617" w14:textId="77777777" w:rsidR="00EC6831" w:rsidRPr="005841C4" w:rsidRDefault="00EC6831" w:rsidP="00EC6831">
      <w:pPr>
        <w:pStyle w:val="ListParagraph"/>
      </w:pPr>
    </w:p>
    <w:p w14:paraId="6ECC3249" w14:textId="7144D215" w:rsidR="007D6B6D" w:rsidRDefault="00EC6831" w:rsidP="007D6B6D">
      <w:pPr>
        <w:pStyle w:val="ListParagraph"/>
        <w:numPr>
          <w:ilvl w:val="1"/>
          <w:numId w:val="6"/>
        </w:numPr>
        <w:ind w:left="709" w:hanging="709"/>
        <w:jc w:val="both"/>
      </w:pPr>
      <w:r w:rsidRPr="005841C4">
        <w:t>C</w:t>
      </w:r>
      <w:r w:rsidR="000914E4" w:rsidRPr="005841C4">
        <w:t xml:space="preserve">oming out of </w:t>
      </w:r>
      <w:r w:rsidR="008F7C82">
        <w:t xml:space="preserve">the COVID 19 </w:t>
      </w:r>
      <w:r w:rsidR="000914E4" w:rsidRPr="005841C4">
        <w:t>pandemic</w:t>
      </w:r>
      <w:r w:rsidR="007B68E4" w:rsidRPr="005841C4">
        <w:t xml:space="preserve"> may also requir</w:t>
      </w:r>
      <w:r w:rsidRPr="005841C4">
        <w:t xml:space="preserve">e </w:t>
      </w:r>
      <w:r w:rsidR="007B68E4" w:rsidRPr="005841C4">
        <w:t xml:space="preserve">more of a focus on </w:t>
      </w:r>
      <w:r w:rsidR="00A908AA" w:rsidRPr="005841C4">
        <w:t>a right to</w:t>
      </w:r>
      <w:r w:rsidR="00072B36" w:rsidRPr="005841C4">
        <w:t xml:space="preserve"> enjoyment of </w:t>
      </w:r>
      <w:r w:rsidR="00581B16" w:rsidRPr="005841C4">
        <w:t>outdoor spaces for tenants</w:t>
      </w:r>
      <w:r w:rsidR="00742FFA">
        <w:t xml:space="preserve"> as part of their right</w:t>
      </w:r>
      <w:r w:rsidR="00AD1976">
        <w:t xml:space="preserve"> to private and family life</w:t>
      </w:r>
      <w:r w:rsidR="00186FF1">
        <w:t xml:space="preserve"> and</w:t>
      </w:r>
      <w:r w:rsidR="00FF30D7">
        <w:t xml:space="preserve"> also the rights</w:t>
      </w:r>
      <w:r w:rsidR="00064699">
        <w:t xml:space="preserve"> of</w:t>
      </w:r>
      <w:r w:rsidR="00186FF1">
        <w:t xml:space="preserve"> their children</w:t>
      </w:r>
      <w:r w:rsidR="00E034D7">
        <w:t xml:space="preserve"> to </w:t>
      </w:r>
      <w:r w:rsidR="00E034D7" w:rsidRPr="00E034D7">
        <w:t>rest and leisure, to engage in play and recreational activities</w:t>
      </w:r>
      <w:r w:rsidR="00A908AA" w:rsidRPr="005841C4">
        <w:t>.</w:t>
      </w:r>
      <w:r w:rsidR="00E611B9">
        <w:rPr>
          <w:rStyle w:val="FootnoteReference"/>
        </w:rPr>
        <w:footnoteReference w:id="58"/>
      </w:r>
      <w:r w:rsidR="00A908AA" w:rsidRPr="005841C4">
        <w:t xml:space="preserve"> This can be</w:t>
      </w:r>
      <w:r w:rsidR="00581B16" w:rsidRPr="005841C4">
        <w:t xml:space="preserve"> private </w:t>
      </w:r>
      <w:r w:rsidR="00A908AA" w:rsidRPr="005841C4">
        <w:t xml:space="preserve">spaces such as </w:t>
      </w:r>
      <w:r w:rsidR="0090406B" w:rsidRPr="005841C4">
        <w:t>private gardens or balconies</w:t>
      </w:r>
      <w:r w:rsidR="00072B36" w:rsidRPr="005841C4">
        <w:t xml:space="preserve">. It can also </w:t>
      </w:r>
      <w:r w:rsidR="009072AB" w:rsidRPr="005841C4">
        <w:t>mean more provision</w:t>
      </w:r>
      <w:r w:rsidR="00243946" w:rsidRPr="005841C4">
        <w:t xml:space="preserve"> of</w:t>
      </w:r>
      <w:r w:rsidR="00581B16" w:rsidRPr="005841C4">
        <w:t xml:space="preserve"> public communal areas</w:t>
      </w:r>
      <w:r w:rsidR="008503D6" w:rsidRPr="005841C4">
        <w:t xml:space="preserve"> for tenants to socialise</w:t>
      </w:r>
      <w:r w:rsidR="008F7C82">
        <w:t>. A</w:t>
      </w:r>
      <w:r w:rsidR="007A0963" w:rsidRPr="005841C4">
        <w:t>ny</w:t>
      </w:r>
      <w:r w:rsidR="008503D6" w:rsidRPr="005841C4">
        <w:t xml:space="preserve"> </w:t>
      </w:r>
      <w:r w:rsidR="007A0963" w:rsidRPr="005841C4">
        <w:t>social housing project</w:t>
      </w:r>
      <w:r w:rsidR="008503D6" w:rsidRPr="005841C4">
        <w:t xml:space="preserve"> </w:t>
      </w:r>
      <w:r w:rsidR="00AD1976">
        <w:t>should take account of the human rights framework</w:t>
      </w:r>
      <w:r w:rsidR="007A0963" w:rsidRPr="005841C4">
        <w:t xml:space="preserve"> </w:t>
      </w:r>
      <w:r w:rsidR="0071087D" w:rsidRPr="005841C4">
        <w:t>at the planning and design stage</w:t>
      </w:r>
      <w:r w:rsidR="003C6F11" w:rsidRPr="005841C4">
        <w:t>.</w:t>
      </w:r>
      <w:r w:rsidR="00CE4F13" w:rsidRPr="005841C4">
        <w:t xml:space="preserve"> Communal areas for tenants will also assist with a potential </w:t>
      </w:r>
      <w:r w:rsidR="000D597E" w:rsidRPr="005841C4">
        <w:t>crisis</w:t>
      </w:r>
      <w:r w:rsidR="00CE4F13" w:rsidRPr="005841C4">
        <w:t xml:space="preserve"> of loneliness in </w:t>
      </w:r>
      <w:r w:rsidR="0071087D" w:rsidRPr="005841C4">
        <w:t>our</w:t>
      </w:r>
      <w:r w:rsidR="00CE4F13" w:rsidRPr="005841C4">
        <w:t xml:space="preserve"> increasingly aging population</w:t>
      </w:r>
      <w:r w:rsidR="000D597E" w:rsidRPr="005841C4">
        <w:t>.</w:t>
      </w:r>
      <w:r w:rsidR="007455F7" w:rsidRPr="005841C4">
        <w:rPr>
          <w:rStyle w:val="FootnoteReference"/>
        </w:rPr>
        <w:footnoteReference w:id="59"/>
      </w:r>
      <w:r w:rsidR="000D597E" w:rsidRPr="005841C4">
        <w:t xml:space="preserve"> In the future</w:t>
      </w:r>
      <w:r w:rsidR="002E1AED" w:rsidRPr="005841C4">
        <w:t xml:space="preserve">, as our population becomes more </w:t>
      </w:r>
      <w:r w:rsidR="002462B8" w:rsidRPr="005841C4">
        <w:t>gerontic,</w:t>
      </w:r>
      <w:r w:rsidR="00637C23" w:rsidRPr="005841C4">
        <w:t xml:space="preserve"> it may be necessary </w:t>
      </w:r>
      <w:r w:rsidR="002E2BF5" w:rsidRPr="005841C4">
        <w:t xml:space="preserve">to give more consideration to the </w:t>
      </w:r>
      <w:r w:rsidR="00AD1976">
        <w:t xml:space="preserve">particular </w:t>
      </w:r>
      <w:r w:rsidR="002E2BF5" w:rsidRPr="005841C4">
        <w:t>rights of the elderly and part of this</w:t>
      </w:r>
      <w:r w:rsidR="000D597E" w:rsidRPr="005841C4">
        <w:t xml:space="preserve"> may </w:t>
      </w:r>
      <w:r w:rsidR="001F347F" w:rsidRPr="005841C4">
        <w:lastRenderedPageBreak/>
        <w:t>require</w:t>
      </w:r>
      <w:r w:rsidR="00AE4B5B" w:rsidRPr="005841C4">
        <w:t xml:space="preserve"> </w:t>
      </w:r>
      <w:r w:rsidR="001404D0">
        <w:t xml:space="preserve">a strategy to help prevent loneliness and </w:t>
      </w:r>
      <w:r w:rsidR="00AE4B5B" w:rsidRPr="005841C4">
        <w:t>the development</w:t>
      </w:r>
      <w:r w:rsidR="004A4F8E" w:rsidRPr="005841C4">
        <w:t xml:space="preserve"> of</w:t>
      </w:r>
      <w:r w:rsidR="00DD558E">
        <w:t xml:space="preserve"> </w:t>
      </w:r>
      <w:r w:rsidR="00B96F4D" w:rsidRPr="005A5FF8">
        <w:t>opportunities</w:t>
      </w:r>
      <w:r w:rsidR="00B96F4D">
        <w:t xml:space="preserve"> </w:t>
      </w:r>
      <w:r w:rsidR="00573FE0">
        <w:t xml:space="preserve">to </w:t>
      </w:r>
      <w:r w:rsidR="009E40B2" w:rsidRPr="005841C4">
        <w:t>social interaction</w:t>
      </w:r>
      <w:r w:rsidR="00E84F32">
        <w:t xml:space="preserve"> that build upon existing </w:t>
      </w:r>
      <w:r w:rsidR="006B257F">
        <w:t>right</w:t>
      </w:r>
      <w:r w:rsidR="00E746BE">
        <w:t xml:space="preserve">s </w:t>
      </w:r>
      <w:r w:rsidR="000F76A2">
        <w:t>to create and maintain social relationships established in</w:t>
      </w:r>
      <w:r w:rsidR="006B257F">
        <w:t xml:space="preserve"> Article 8</w:t>
      </w:r>
      <w:r w:rsidR="004A4F8E" w:rsidRPr="005841C4">
        <w:t>.</w:t>
      </w:r>
      <w:r w:rsidR="00523732">
        <w:rPr>
          <w:rStyle w:val="FootnoteReference"/>
        </w:rPr>
        <w:footnoteReference w:id="60"/>
      </w:r>
      <w:r w:rsidR="00304F58" w:rsidRPr="00304F58">
        <w:t xml:space="preserve"> According to a report by Age UK</w:t>
      </w:r>
      <w:r w:rsidR="00030510">
        <w:rPr>
          <w:rStyle w:val="FootnoteReference"/>
        </w:rPr>
        <w:footnoteReference w:id="61"/>
      </w:r>
      <w:r w:rsidR="00304F58" w:rsidRPr="00304F58">
        <w:t>, the number of over-50s experiencing loneliness is set to reach two million by 2025/6. This compares to around 1.4 million in 2016/7 – a 49% increase in 10 years</w:t>
      </w:r>
      <w:r w:rsidR="00304F58">
        <w:t>.</w:t>
      </w:r>
    </w:p>
    <w:p w14:paraId="2AB21AE0" w14:textId="77777777" w:rsidR="007E0502" w:rsidRDefault="007E0502" w:rsidP="007E0502">
      <w:pPr>
        <w:pStyle w:val="ListParagraph"/>
        <w:ind w:left="709"/>
        <w:jc w:val="both"/>
      </w:pPr>
    </w:p>
    <w:p w14:paraId="0DBDBCB3" w14:textId="77777777" w:rsidR="007E0502" w:rsidRPr="007E0502" w:rsidRDefault="00EB35DE" w:rsidP="007D6B6D">
      <w:pPr>
        <w:pStyle w:val="ListParagraph"/>
        <w:numPr>
          <w:ilvl w:val="1"/>
          <w:numId w:val="6"/>
        </w:numPr>
        <w:ind w:left="709" w:hanging="709"/>
        <w:jc w:val="both"/>
        <w:rPr>
          <w:b/>
          <w:bCs/>
        </w:rPr>
      </w:pPr>
      <w:bookmarkStart w:id="9" w:name="_Hlk76645355"/>
      <w:r>
        <w:rPr>
          <w:b/>
          <w:bCs/>
        </w:rPr>
        <w:t xml:space="preserve">The </w:t>
      </w:r>
      <w:r w:rsidR="007E0502" w:rsidRPr="007E0502">
        <w:rPr>
          <w:b/>
          <w:bCs/>
        </w:rPr>
        <w:t>NIHRC recommends more consideration be given at planning and design stage for provision of greater private outdoor and public communal areas for increased socialising.</w:t>
      </w:r>
    </w:p>
    <w:bookmarkEnd w:id="9"/>
    <w:p w14:paraId="42FCD0C8" w14:textId="77777777" w:rsidR="007D6B6D" w:rsidRPr="005841C4" w:rsidRDefault="007D6B6D" w:rsidP="007D6B6D">
      <w:pPr>
        <w:pStyle w:val="ListParagraph"/>
      </w:pPr>
    </w:p>
    <w:p w14:paraId="77E25382" w14:textId="77777777" w:rsidR="00AD1976" w:rsidRDefault="001C0E55" w:rsidP="007D6B6D">
      <w:pPr>
        <w:pStyle w:val="ListParagraph"/>
        <w:numPr>
          <w:ilvl w:val="1"/>
          <w:numId w:val="6"/>
        </w:numPr>
        <w:ind w:left="709" w:hanging="709"/>
        <w:jc w:val="both"/>
      </w:pPr>
      <w:r>
        <w:t xml:space="preserve">The </w:t>
      </w:r>
      <w:r w:rsidR="00DB53C9" w:rsidRPr="005841C4">
        <w:t xml:space="preserve">NIHRC recognises the divided and segregated </w:t>
      </w:r>
      <w:r w:rsidR="0086553B" w:rsidRPr="005841C4">
        <w:t>nature of housing in N</w:t>
      </w:r>
      <w:r w:rsidR="005C49DA" w:rsidRPr="005841C4">
        <w:t>I</w:t>
      </w:r>
      <w:r w:rsidR="0036135C" w:rsidRPr="005841C4">
        <w:t xml:space="preserve"> </w:t>
      </w:r>
      <w:r w:rsidR="0086553B" w:rsidRPr="005841C4">
        <w:t xml:space="preserve">and how this is particularly </w:t>
      </w:r>
      <w:r w:rsidR="001760C0" w:rsidRPr="005841C4">
        <w:t>prevalent in social housing estates and in some densely populated urban areas</w:t>
      </w:r>
      <w:r w:rsidR="00D05B16">
        <w:t>.</w:t>
      </w:r>
      <w:r w:rsidR="00DC2581">
        <w:t xml:space="preserve"> </w:t>
      </w:r>
      <w:r w:rsidR="00EF31B9">
        <w:t xml:space="preserve">The </w:t>
      </w:r>
      <w:r w:rsidR="00DC2581">
        <w:t>Equality Commission for NI’s report</w:t>
      </w:r>
      <w:r w:rsidR="00EF31B9">
        <w:t xml:space="preserve"> into key inequalities in housing,</w:t>
      </w:r>
      <w:r w:rsidR="00DC2581">
        <w:t xml:space="preserve"> has identified that single, divorced, separated and older people are most likely to live in inadequate housing.</w:t>
      </w:r>
      <w:r w:rsidR="00C13556">
        <w:rPr>
          <w:rStyle w:val="FootnoteReference"/>
        </w:rPr>
        <w:footnoteReference w:id="62"/>
      </w:r>
      <w:r w:rsidR="00D05B16">
        <w:t xml:space="preserve"> </w:t>
      </w:r>
    </w:p>
    <w:p w14:paraId="40AA8DAD" w14:textId="77777777" w:rsidR="00AD1976" w:rsidRDefault="00AD1976" w:rsidP="002234D8">
      <w:pPr>
        <w:pStyle w:val="ListParagraph"/>
      </w:pPr>
    </w:p>
    <w:p w14:paraId="6A09EB9B" w14:textId="77777777" w:rsidR="001F0020" w:rsidRDefault="00EF31B9" w:rsidP="007D6B6D">
      <w:pPr>
        <w:pStyle w:val="ListParagraph"/>
        <w:numPr>
          <w:ilvl w:val="1"/>
          <w:numId w:val="6"/>
        </w:numPr>
        <w:ind w:left="709" w:hanging="709"/>
        <w:jc w:val="both"/>
      </w:pPr>
      <w:r>
        <w:t xml:space="preserve">The NIHRC </w:t>
      </w:r>
      <w:r w:rsidR="00DC2581">
        <w:t>also</w:t>
      </w:r>
      <w:r w:rsidR="00112DE9">
        <w:t xml:space="preserve"> recognise</w:t>
      </w:r>
      <w:r>
        <w:t>s</w:t>
      </w:r>
      <w:r w:rsidR="00112DE9">
        <w:t xml:space="preserve"> that Catholics are more vulnerable to facing inadequate access to affordable housing than Protestants and that this is particularly prevalent in North Belfast.</w:t>
      </w:r>
      <w:r w:rsidR="00112DE9">
        <w:rPr>
          <w:rStyle w:val="FootnoteReference"/>
        </w:rPr>
        <w:footnoteReference w:id="63"/>
      </w:r>
      <w:r w:rsidR="00112DE9">
        <w:t xml:space="preserve"> </w:t>
      </w:r>
      <w:r w:rsidR="001760C0" w:rsidRPr="005841C4">
        <w:t xml:space="preserve">We recognise </w:t>
      </w:r>
      <w:r w:rsidR="00B36BC1" w:rsidRPr="005841C4">
        <w:t xml:space="preserve">also </w:t>
      </w:r>
      <w:r w:rsidR="0036135C" w:rsidRPr="005841C4">
        <w:t xml:space="preserve">the </w:t>
      </w:r>
      <w:r w:rsidR="00B36BC1" w:rsidRPr="005841C4">
        <w:t>demographic changes and sensitivities this can cause</w:t>
      </w:r>
      <w:r w:rsidR="00CE49AF" w:rsidRPr="005841C4">
        <w:t xml:space="preserve"> in highly segregated </w:t>
      </w:r>
      <w:r w:rsidR="0077696B" w:rsidRPr="005841C4">
        <w:t>communities and the effect demographic changes can have</w:t>
      </w:r>
      <w:r w:rsidR="00B36BC1" w:rsidRPr="005841C4">
        <w:t xml:space="preserve"> i</w:t>
      </w:r>
      <w:r w:rsidR="00663229" w:rsidRPr="005841C4">
        <w:t xml:space="preserve">n </w:t>
      </w:r>
      <w:r w:rsidR="0077696B" w:rsidRPr="005841C4">
        <w:t xml:space="preserve">electoral boundaries and the wider </w:t>
      </w:r>
      <w:r w:rsidR="005713D9" w:rsidRPr="005841C4">
        <w:t>divided political system</w:t>
      </w:r>
      <w:r w:rsidR="00AE6206" w:rsidRPr="005841C4">
        <w:t xml:space="preserve">. </w:t>
      </w:r>
      <w:r w:rsidR="001C0E55">
        <w:t xml:space="preserve">The </w:t>
      </w:r>
      <w:r w:rsidR="00AE6206" w:rsidRPr="005841C4">
        <w:t xml:space="preserve">NIHRC would support the ‘Shared Housing Programme’ </w:t>
      </w:r>
      <w:r w:rsidR="00B12CF2" w:rsidRPr="005841C4">
        <w:t>outlined by DfC in their strategy</w:t>
      </w:r>
      <w:r w:rsidR="00BF65CE" w:rsidRPr="005841C4">
        <w:t xml:space="preserve"> </w:t>
      </w:r>
      <w:r w:rsidR="00AE6206" w:rsidRPr="005841C4">
        <w:t xml:space="preserve">as </w:t>
      </w:r>
      <w:r w:rsidR="00BF65CE" w:rsidRPr="005841C4">
        <w:t>a helpful</w:t>
      </w:r>
      <w:r w:rsidR="002660ED" w:rsidRPr="005841C4">
        <w:t xml:space="preserve"> method of trying to overcome this deep division in NI society.</w:t>
      </w:r>
      <w:r w:rsidR="00385E29" w:rsidRPr="005841C4">
        <w:t xml:space="preserve"> </w:t>
      </w:r>
      <w:r w:rsidR="005B285B" w:rsidRPr="005841C4">
        <w:t xml:space="preserve">We understand the necessity of maintaining the desired (70/30) community mix of any such shared scheme. </w:t>
      </w:r>
      <w:r w:rsidR="002660ED" w:rsidRPr="005841C4">
        <w:t>Nevertheless</w:t>
      </w:r>
      <w:r w:rsidR="00AE6206" w:rsidRPr="005841C4">
        <w:t>,</w:t>
      </w:r>
      <w:r w:rsidR="002660ED" w:rsidRPr="005841C4">
        <w:t xml:space="preserve"> to avoid possible discrimination</w:t>
      </w:r>
      <w:r w:rsidR="00BF65CE" w:rsidRPr="005841C4">
        <w:t xml:space="preserve"> and to ensure equal and </w:t>
      </w:r>
      <w:r w:rsidR="00AD2F60" w:rsidRPr="005841C4">
        <w:t xml:space="preserve">fair housing policy, </w:t>
      </w:r>
      <w:r w:rsidR="00AE6206" w:rsidRPr="005841C4">
        <w:t>NIHRC</w:t>
      </w:r>
      <w:r w:rsidR="00663229" w:rsidRPr="005841C4">
        <w:t xml:space="preserve"> would encourage</w:t>
      </w:r>
      <w:r w:rsidR="00F9373C" w:rsidRPr="005841C4">
        <w:t>, as far as is possible, house building and h</w:t>
      </w:r>
      <w:r w:rsidR="000914E4" w:rsidRPr="005841C4">
        <w:t xml:space="preserve">ousing allocation </w:t>
      </w:r>
      <w:r w:rsidR="0053626F">
        <w:t>being prioritised</w:t>
      </w:r>
      <w:r w:rsidR="000914E4" w:rsidRPr="005841C4">
        <w:t xml:space="preserve"> on need</w:t>
      </w:r>
      <w:r w:rsidR="0053626F">
        <w:t xml:space="preserve"> above other factors</w:t>
      </w:r>
      <w:r w:rsidR="00EC5B91" w:rsidRPr="005841C4">
        <w:t>.</w:t>
      </w:r>
    </w:p>
    <w:p w14:paraId="19A07745" w14:textId="77777777" w:rsidR="007D6B6D" w:rsidRDefault="000E536F" w:rsidP="001F0020">
      <w:pPr>
        <w:pStyle w:val="ListParagraph"/>
        <w:ind w:left="709"/>
        <w:jc w:val="both"/>
      </w:pPr>
      <w:r>
        <w:t xml:space="preserve"> </w:t>
      </w:r>
    </w:p>
    <w:p w14:paraId="3DCDB796" w14:textId="4CF29E48" w:rsidR="00294E69" w:rsidRPr="00297DEA" w:rsidRDefault="001F0020" w:rsidP="00C837E1">
      <w:pPr>
        <w:pStyle w:val="ListParagraph"/>
        <w:numPr>
          <w:ilvl w:val="1"/>
          <w:numId w:val="6"/>
        </w:numPr>
        <w:ind w:left="709" w:hanging="709"/>
        <w:jc w:val="both"/>
        <w:rPr>
          <w:b/>
          <w:bCs/>
        </w:rPr>
      </w:pPr>
      <w:bookmarkStart w:id="10" w:name="_Hlk76645395"/>
      <w:r w:rsidRPr="001F0020">
        <w:rPr>
          <w:b/>
          <w:bCs/>
        </w:rPr>
        <w:t>The NIHRC recommends the continuation and expansion of the ‘Shared Housing Programme’ whilst also ensuring that provision of house building and housing allocation being prioritised on need.</w:t>
      </w:r>
      <w:bookmarkEnd w:id="10"/>
    </w:p>
    <w:p w14:paraId="15FC667F" w14:textId="77777777" w:rsidR="00C837E1" w:rsidRDefault="00C837E1" w:rsidP="00C837E1">
      <w:pPr>
        <w:jc w:val="both"/>
      </w:pPr>
    </w:p>
    <w:p w14:paraId="0EF4E005" w14:textId="77777777" w:rsidR="00C837E1" w:rsidRPr="00DE40EA" w:rsidRDefault="00C837E1" w:rsidP="00C837E1">
      <w:pPr>
        <w:jc w:val="both"/>
        <w:rPr>
          <w:b/>
          <w:bCs/>
          <w:color w:val="7030A0"/>
          <w:sz w:val="28"/>
          <w:szCs w:val="28"/>
        </w:rPr>
      </w:pPr>
      <w:r w:rsidRPr="00DE40EA">
        <w:rPr>
          <w:b/>
          <w:bCs/>
          <w:color w:val="7030A0"/>
          <w:sz w:val="28"/>
          <w:szCs w:val="28"/>
        </w:rPr>
        <w:t>Climate Change</w:t>
      </w:r>
      <w:r w:rsidR="00E72F80" w:rsidRPr="00DE40EA">
        <w:rPr>
          <w:b/>
          <w:bCs/>
          <w:color w:val="7030A0"/>
          <w:sz w:val="28"/>
          <w:szCs w:val="28"/>
        </w:rPr>
        <w:t xml:space="preserve"> /</w:t>
      </w:r>
      <w:r w:rsidRPr="00DE40EA">
        <w:rPr>
          <w:b/>
          <w:bCs/>
          <w:color w:val="7030A0"/>
          <w:sz w:val="28"/>
          <w:szCs w:val="28"/>
        </w:rPr>
        <w:t xml:space="preserve"> Net Zero</w:t>
      </w:r>
    </w:p>
    <w:p w14:paraId="6342D709" w14:textId="77777777" w:rsidR="007D6B6D" w:rsidRPr="005841C4" w:rsidRDefault="007D6B6D" w:rsidP="007D6B6D">
      <w:pPr>
        <w:pStyle w:val="ListParagraph"/>
      </w:pPr>
    </w:p>
    <w:p w14:paraId="16406F74" w14:textId="77777777" w:rsidR="00A60970" w:rsidRDefault="001C0E55" w:rsidP="00F4514E">
      <w:pPr>
        <w:pStyle w:val="ListParagraph"/>
        <w:numPr>
          <w:ilvl w:val="1"/>
          <w:numId w:val="6"/>
        </w:numPr>
        <w:ind w:left="709" w:hanging="709"/>
        <w:jc w:val="both"/>
      </w:pPr>
      <w:r>
        <w:t xml:space="preserve">The </w:t>
      </w:r>
      <w:r w:rsidR="002F69CB" w:rsidRPr="005841C4">
        <w:t>NIHRC</w:t>
      </w:r>
      <w:r w:rsidR="00C11795" w:rsidRPr="005841C4">
        <w:t xml:space="preserve"> welcome </w:t>
      </w:r>
      <w:r w:rsidR="002A721E" w:rsidRPr="005841C4">
        <w:t>DfC</w:t>
      </w:r>
      <w:r w:rsidR="001B7DE3">
        <w:t xml:space="preserve">’s recognition </w:t>
      </w:r>
      <w:r w:rsidR="009427C4">
        <w:t xml:space="preserve">of the role housing will play in combating climate change and in meeting the overall target of net zero carbon </w:t>
      </w:r>
      <w:r w:rsidR="008D52F4">
        <w:t>emissions.</w:t>
      </w:r>
      <w:r w:rsidR="00D71091">
        <w:t xml:space="preserve"> </w:t>
      </w:r>
      <w:r w:rsidR="00D71091" w:rsidRPr="00D71091">
        <w:t>The U</w:t>
      </w:r>
      <w:r w:rsidR="00D71091">
        <w:t>N</w:t>
      </w:r>
      <w:r w:rsidR="00D71091" w:rsidRPr="00D71091">
        <w:t xml:space="preserve"> has cited climate change as “the defining issue of our time</w:t>
      </w:r>
      <w:r w:rsidR="00D71091">
        <w:t>”</w:t>
      </w:r>
      <w:r w:rsidR="006B16CD">
        <w:rPr>
          <w:rStyle w:val="FootnoteReference"/>
        </w:rPr>
        <w:footnoteReference w:id="64"/>
      </w:r>
      <w:r w:rsidR="00317D38">
        <w:t xml:space="preserve"> </w:t>
      </w:r>
      <w:r w:rsidR="00912967">
        <w:t xml:space="preserve">and </w:t>
      </w:r>
      <w:r w:rsidR="00912967" w:rsidRPr="00912967">
        <w:t>threatens the enjoyment of all human rights, including the rights to health, water, food, housing, self-determination, and</w:t>
      </w:r>
      <w:r w:rsidR="003E6FC4">
        <w:t xml:space="preserve"> even the right to life for millions across the world. </w:t>
      </w:r>
      <w:r w:rsidR="00145CCE">
        <w:t>To this end</w:t>
      </w:r>
      <w:r w:rsidR="00912967" w:rsidRPr="00912967">
        <w:t xml:space="preserve"> </w:t>
      </w:r>
      <w:r w:rsidR="00CB4851">
        <w:t>The UK</w:t>
      </w:r>
      <w:r w:rsidR="00A42CB5">
        <w:t xml:space="preserve"> </w:t>
      </w:r>
      <w:r w:rsidR="00CB4851">
        <w:t>Climate Change</w:t>
      </w:r>
      <w:r w:rsidR="00A42CB5">
        <w:t xml:space="preserve"> Act </w:t>
      </w:r>
      <w:r w:rsidR="00A42CB5">
        <w:lastRenderedPageBreak/>
        <w:t>2008 sets a</w:t>
      </w:r>
      <w:r w:rsidR="00CB4851" w:rsidRPr="00CB4851">
        <w:t xml:space="preserve"> duty</w:t>
      </w:r>
      <w:r w:rsidR="00A42CB5">
        <w:t xml:space="preserve"> on government</w:t>
      </w:r>
      <w:r w:rsidR="00CB4851" w:rsidRPr="00CB4851">
        <w:t xml:space="preserve"> </w:t>
      </w:r>
      <w:r w:rsidR="00A42CB5">
        <w:t>to ensure</w:t>
      </w:r>
      <w:r w:rsidR="00F646E3">
        <w:t xml:space="preserve"> that</w:t>
      </w:r>
      <w:r w:rsidR="00A42CB5">
        <w:t xml:space="preserve"> </w:t>
      </w:r>
      <w:r w:rsidR="00CB4851" w:rsidRPr="00CB4851">
        <w:t xml:space="preserve">net UK carbon </w:t>
      </w:r>
      <w:r w:rsidR="00A42CB5">
        <w:t>emissions</w:t>
      </w:r>
      <w:r w:rsidR="00CB4851" w:rsidRPr="00CB4851">
        <w:t xml:space="preserve"> for greenhouse gases for the year 2050 is at least 80%</w:t>
      </w:r>
      <w:r w:rsidR="00747561">
        <w:t xml:space="preserve"> (later amended to 100%)</w:t>
      </w:r>
      <w:r w:rsidR="00DD280C">
        <w:rPr>
          <w:rStyle w:val="FootnoteReference"/>
        </w:rPr>
        <w:footnoteReference w:id="65"/>
      </w:r>
      <w:r w:rsidR="00CB4851" w:rsidRPr="00CB4851">
        <w:t xml:space="preserve"> lower than the 1990 baseline</w:t>
      </w:r>
      <w:r w:rsidR="00F646E3">
        <w:t xml:space="preserve">. </w:t>
      </w:r>
      <w:r w:rsidR="00CB4851" w:rsidRPr="00CB4851">
        <w:t>The Act</w:t>
      </w:r>
      <w:r w:rsidR="00F646E3">
        <w:t xml:space="preserve"> gave </w:t>
      </w:r>
      <w:r w:rsidR="00CB4851" w:rsidRPr="00CB4851">
        <w:t>ministers powers to introduce the measures necessary to achieve a range of greenhouse gas reduction targets</w:t>
      </w:r>
      <w:r w:rsidR="00475E53">
        <w:t xml:space="preserve"> and an</w:t>
      </w:r>
      <w:r w:rsidR="00CB4851" w:rsidRPr="00CB4851">
        <w:t xml:space="preserve"> independent Committee on Climate Change has been created</w:t>
      </w:r>
      <w:r w:rsidR="00475E53">
        <w:t xml:space="preserve"> to monitor progress.</w:t>
      </w:r>
    </w:p>
    <w:p w14:paraId="4100804B" w14:textId="77777777" w:rsidR="00A60970" w:rsidRDefault="00A60970" w:rsidP="00A60970">
      <w:pPr>
        <w:pStyle w:val="ListParagraph"/>
      </w:pPr>
    </w:p>
    <w:p w14:paraId="4B469E34" w14:textId="77777777" w:rsidR="00317D38" w:rsidRDefault="006C065C" w:rsidP="00F4514E">
      <w:pPr>
        <w:pStyle w:val="ListParagraph"/>
        <w:numPr>
          <w:ilvl w:val="1"/>
          <w:numId w:val="6"/>
        </w:numPr>
        <w:ind w:left="709" w:hanging="709"/>
        <w:jc w:val="both"/>
      </w:pPr>
      <w:r w:rsidRPr="006C065C">
        <w:t>The Paris Agreemen</w:t>
      </w:r>
      <w:r w:rsidR="0058021B">
        <w:t>t on climate change</w:t>
      </w:r>
      <w:r w:rsidR="00B819D2">
        <w:t xml:space="preserve"> </w:t>
      </w:r>
      <w:r w:rsidR="008A5399">
        <w:t>forms part of</w:t>
      </w:r>
      <w:r w:rsidR="00B819D2" w:rsidRPr="00B819D2">
        <w:t xml:space="preserve"> the United Nations Framework Convention on Climate Change (UNFCCC)</w:t>
      </w:r>
      <w:r w:rsidR="008A5399">
        <w:t xml:space="preserve"> and</w:t>
      </w:r>
      <w:r w:rsidR="009C1E9E">
        <w:t xml:space="preserve"> has set</w:t>
      </w:r>
      <w:r w:rsidRPr="006C065C">
        <w:t xml:space="preserve"> </w:t>
      </w:r>
      <w:r w:rsidR="003A7FCB">
        <w:t xml:space="preserve">a </w:t>
      </w:r>
      <w:r w:rsidRPr="006C065C">
        <w:t>long-term temperature goal to keep the rise in global average temperature to</w:t>
      </w:r>
      <w:r w:rsidR="003A7FCB">
        <w:t xml:space="preserve"> </w:t>
      </w:r>
      <w:r w:rsidRPr="006C065C">
        <w:t>below 2 °C above pre-industrial level</w:t>
      </w:r>
      <w:r w:rsidR="00734A87">
        <w:t>s.</w:t>
      </w:r>
      <w:r w:rsidR="00454392">
        <w:t xml:space="preserve"> It was agreed that t</w:t>
      </w:r>
      <w:r w:rsidR="00454392" w:rsidRPr="00454392">
        <w:t xml:space="preserve">his should be done by reducing emissions as soon as possible and achieving a net-zero emissions </w:t>
      </w:r>
      <w:r w:rsidR="00C94E9C">
        <w:t>by 2050.</w:t>
      </w:r>
      <w:r w:rsidR="003B7B37">
        <w:t xml:space="preserve"> </w:t>
      </w:r>
      <w:r w:rsidR="003B7B37" w:rsidRPr="003B7B37">
        <w:t>The NIHRC</w:t>
      </w:r>
      <w:r w:rsidR="00903779">
        <w:t xml:space="preserve"> note with approval</w:t>
      </w:r>
      <w:r w:rsidR="003B7B37" w:rsidRPr="003B7B37">
        <w:t xml:space="preserve"> the commitment to introducing legislation in line with the Paris </w:t>
      </w:r>
      <w:r w:rsidR="00C15458">
        <w:t>Agreement</w:t>
      </w:r>
      <w:r w:rsidR="003B7B37" w:rsidRPr="003B7B37">
        <w:t xml:space="preserve"> in the New Decade New Approach agreement</w:t>
      </w:r>
      <w:r w:rsidR="00CE19C8">
        <w:t xml:space="preserve"> and encourage th</w:t>
      </w:r>
      <w:r w:rsidR="00A60970">
        <w:t>e continued passage of this legislation through the NI Assembly.</w:t>
      </w:r>
      <w:r w:rsidR="00B01D42">
        <w:rPr>
          <w:rStyle w:val="FootnoteReference"/>
        </w:rPr>
        <w:footnoteReference w:id="66"/>
      </w:r>
    </w:p>
    <w:p w14:paraId="6F300C60" w14:textId="77777777" w:rsidR="00317D38" w:rsidRDefault="00317D38" w:rsidP="00317D38">
      <w:pPr>
        <w:pStyle w:val="ListParagraph"/>
      </w:pPr>
    </w:p>
    <w:p w14:paraId="2157B6C3" w14:textId="234B944A" w:rsidR="00F4514E" w:rsidRDefault="00BF7E1A" w:rsidP="00AD1976">
      <w:pPr>
        <w:pStyle w:val="ListParagraph"/>
        <w:numPr>
          <w:ilvl w:val="1"/>
          <w:numId w:val="6"/>
        </w:numPr>
        <w:ind w:left="709" w:hanging="709"/>
        <w:jc w:val="both"/>
      </w:pPr>
      <w:r w:rsidRPr="005841C4">
        <w:t>The Committee on Climate Change states that 40% of UK carbon emissions come from households</w:t>
      </w:r>
      <w:r w:rsidRPr="005841C4">
        <w:rPr>
          <w:rStyle w:val="FootnoteReference"/>
        </w:rPr>
        <w:footnoteReference w:id="67"/>
      </w:r>
      <w:r w:rsidR="00B53D54">
        <w:t xml:space="preserve"> </w:t>
      </w:r>
      <w:r w:rsidRPr="005841C4">
        <w:t>so any meaningful attempt to meet</w:t>
      </w:r>
      <w:r w:rsidR="00B53D54">
        <w:t xml:space="preserve"> climate change</w:t>
      </w:r>
      <w:r w:rsidRPr="005841C4">
        <w:t xml:space="preserve"> targets will require thought being given and effort being made to make both public and private housing in NI as carbon neutral as possible.</w:t>
      </w:r>
      <w:r w:rsidR="00F71810">
        <w:t xml:space="preserve"> </w:t>
      </w:r>
      <w:r w:rsidR="00AD1976">
        <w:t xml:space="preserve">The </w:t>
      </w:r>
      <w:r w:rsidR="00F71810">
        <w:t>NIHRC also recognise</w:t>
      </w:r>
      <w:r w:rsidR="00AD1976">
        <w:t>s</w:t>
      </w:r>
      <w:r w:rsidR="00F71810">
        <w:t xml:space="preserve"> the</w:t>
      </w:r>
      <w:r w:rsidR="00AD1976">
        <w:t xml:space="preserve"> </w:t>
      </w:r>
      <w:r w:rsidR="00CB29DC">
        <w:t>right to life</w:t>
      </w:r>
      <w:r w:rsidR="008F16D9">
        <w:t xml:space="preserve"> and the right to</w:t>
      </w:r>
      <w:r w:rsidR="0035271E">
        <w:t xml:space="preserve"> an </w:t>
      </w:r>
      <w:r w:rsidR="008F16D9">
        <w:t>adequate standard of living</w:t>
      </w:r>
      <w:r w:rsidR="00CB29DC">
        <w:t xml:space="preserve"> that may be threate</w:t>
      </w:r>
      <w:r w:rsidR="00AD1976">
        <w:t>ne</w:t>
      </w:r>
      <w:r w:rsidR="00CB29DC">
        <w:t xml:space="preserve">d if </w:t>
      </w:r>
      <w:r w:rsidR="00EF28F0">
        <w:t xml:space="preserve">climate change </w:t>
      </w:r>
      <w:r w:rsidR="00865FA7">
        <w:t>and associated carbon emissions continue unchecked.</w:t>
      </w:r>
    </w:p>
    <w:p w14:paraId="3D0B224B" w14:textId="77777777" w:rsidR="00F4514E" w:rsidRDefault="00F4514E" w:rsidP="00F4514E">
      <w:pPr>
        <w:pStyle w:val="ListParagraph"/>
      </w:pPr>
    </w:p>
    <w:p w14:paraId="6F2F6DB6" w14:textId="0588260F" w:rsidR="00F4514E" w:rsidRDefault="008858FF" w:rsidP="00F4514E">
      <w:pPr>
        <w:pStyle w:val="ListParagraph"/>
        <w:numPr>
          <w:ilvl w:val="1"/>
          <w:numId w:val="6"/>
        </w:numPr>
        <w:ind w:left="709" w:hanging="709"/>
        <w:jc w:val="both"/>
      </w:pPr>
      <w:r>
        <w:t>Many homes in NI rely on individual gas boilers for heating and it has been suggested that, in order to meet carbon emission targets, the UK government will need to ban the installation of new gas boilers from as early as 2025 and is already considering plans to do so.</w:t>
      </w:r>
      <w:r>
        <w:rPr>
          <w:rStyle w:val="FootnoteReference"/>
        </w:rPr>
        <w:footnoteReference w:id="68"/>
      </w:r>
      <w:r>
        <w:t xml:space="preserve"> </w:t>
      </w:r>
      <w:r w:rsidR="00767E34">
        <w:t xml:space="preserve">The </w:t>
      </w:r>
      <w:r w:rsidR="008D52F4">
        <w:t>NIHRC</w:t>
      </w:r>
      <w:r w:rsidR="002F69CB" w:rsidRPr="005841C4">
        <w:t xml:space="preserve"> </w:t>
      </w:r>
      <w:r w:rsidR="00767E34">
        <w:t xml:space="preserve">is </w:t>
      </w:r>
      <w:r w:rsidR="00767E34" w:rsidRPr="005841C4">
        <w:t xml:space="preserve"> </w:t>
      </w:r>
      <w:r w:rsidR="002F69CB" w:rsidRPr="005841C4">
        <w:t>supp</w:t>
      </w:r>
      <w:r w:rsidR="00C11795" w:rsidRPr="005841C4">
        <w:t>ortive</w:t>
      </w:r>
      <w:r w:rsidR="002F69CB" w:rsidRPr="005841C4">
        <w:t xml:space="preserve"> of carbon reduction initiatives</w:t>
      </w:r>
      <w:r w:rsidR="008D52F4">
        <w:t xml:space="preserve"> in housing</w:t>
      </w:r>
      <w:r w:rsidR="002F69CB" w:rsidRPr="005841C4">
        <w:t xml:space="preserve"> such as the boiler replacement scheme</w:t>
      </w:r>
      <w:r>
        <w:t xml:space="preserve"> and </w:t>
      </w:r>
      <w:r w:rsidR="002F69CB" w:rsidRPr="005841C4">
        <w:t xml:space="preserve">DfC may wish to consider expansion of similar schemes that would </w:t>
      </w:r>
      <w:r w:rsidR="008D52F4" w:rsidRPr="005841C4">
        <w:t>encourage</w:t>
      </w:r>
      <w:r w:rsidR="00B841E4">
        <w:t xml:space="preserve"> homes to be as fully insulated as possible</w:t>
      </w:r>
      <w:r w:rsidR="0065125A">
        <w:t xml:space="preserve"> </w:t>
      </w:r>
      <w:r w:rsidR="002F418E">
        <w:t>and</w:t>
      </w:r>
      <w:r w:rsidR="0065125A">
        <w:t xml:space="preserve"> for</w:t>
      </w:r>
      <w:r w:rsidR="002F69CB" w:rsidRPr="005841C4">
        <w:t xml:space="preserve"> the installation</w:t>
      </w:r>
      <w:r w:rsidR="0065125A">
        <w:t xml:space="preserve"> of</w:t>
      </w:r>
      <w:r w:rsidR="002F69CB" w:rsidRPr="005841C4">
        <w:t xml:space="preserve"> renewable and carbon neutral ener</w:t>
      </w:r>
      <w:r w:rsidR="0065125A">
        <w:t>g</w:t>
      </w:r>
      <w:r w:rsidR="002F69CB" w:rsidRPr="005841C4">
        <w:t>y sources for homes</w:t>
      </w:r>
      <w:r w:rsidR="0065125A">
        <w:t>.</w:t>
      </w:r>
      <w:r w:rsidR="00931054">
        <w:t xml:space="preserve"> </w:t>
      </w:r>
      <w:r w:rsidR="00EF31B9">
        <w:t>NI</w:t>
      </w:r>
      <w:r w:rsidR="00C56D4D">
        <w:t xml:space="preserve"> playing its part in </w:t>
      </w:r>
      <w:r w:rsidR="00C416F5">
        <w:t>meeting climate change obligations</w:t>
      </w:r>
      <w:r w:rsidR="00931054">
        <w:t>,</w:t>
      </w:r>
      <w:r w:rsidR="00C416F5">
        <w:t xml:space="preserve"> whilst providing secure energy needs for households</w:t>
      </w:r>
      <w:r w:rsidR="00931054">
        <w:t>,</w:t>
      </w:r>
      <w:r w:rsidR="00C416F5">
        <w:t xml:space="preserve"> </w:t>
      </w:r>
      <w:r w:rsidR="008C3C2D">
        <w:t xml:space="preserve">will </w:t>
      </w:r>
      <w:r w:rsidR="006B29F9">
        <w:t xml:space="preserve">mean considering </w:t>
      </w:r>
      <w:r w:rsidR="00325193">
        <w:t>e</w:t>
      </w:r>
      <w:r w:rsidR="00C416F5">
        <w:t>merging renewable</w:t>
      </w:r>
      <w:r w:rsidR="00AF4786">
        <w:t xml:space="preserve"> energy</w:t>
      </w:r>
      <w:r w:rsidR="00C416F5">
        <w:t xml:space="preserve"> technologies such as </w:t>
      </w:r>
      <w:r w:rsidR="00D652E8">
        <w:t>s</w:t>
      </w:r>
      <w:r w:rsidR="00C416F5">
        <w:t xml:space="preserve">olar and </w:t>
      </w:r>
      <w:r w:rsidR="00D652E8">
        <w:t>w</w:t>
      </w:r>
      <w:r w:rsidR="00C416F5">
        <w:t>ind</w:t>
      </w:r>
      <w:r w:rsidR="00F840C7">
        <w:t xml:space="preserve"> as well as other alternative form</w:t>
      </w:r>
      <w:r w:rsidR="00AF4786">
        <w:t>ats</w:t>
      </w:r>
      <w:r w:rsidR="00C416F5">
        <w:t xml:space="preserve"> of energy supply</w:t>
      </w:r>
      <w:r w:rsidR="00AF4786">
        <w:t xml:space="preserve"> that will increase energy efficiency</w:t>
      </w:r>
      <w:r w:rsidR="00C416F5">
        <w:t>.</w:t>
      </w:r>
      <w:r w:rsidR="00E93275" w:rsidRPr="005841C4">
        <w:rPr>
          <w:rStyle w:val="FootnoteReference"/>
        </w:rPr>
        <w:footnoteReference w:id="69"/>
      </w:r>
    </w:p>
    <w:p w14:paraId="0990D07D" w14:textId="77777777" w:rsidR="00F4514E" w:rsidRDefault="00F4514E" w:rsidP="00F4514E">
      <w:pPr>
        <w:pStyle w:val="ListParagraph"/>
      </w:pPr>
    </w:p>
    <w:p w14:paraId="139AF825" w14:textId="77777777" w:rsidR="003322C1" w:rsidRDefault="001C0E55" w:rsidP="00F4514E">
      <w:pPr>
        <w:pStyle w:val="ListParagraph"/>
        <w:numPr>
          <w:ilvl w:val="1"/>
          <w:numId w:val="6"/>
        </w:numPr>
        <w:ind w:left="709" w:hanging="709"/>
        <w:jc w:val="both"/>
      </w:pPr>
      <w:r>
        <w:t xml:space="preserve">The </w:t>
      </w:r>
      <w:r w:rsidR="006C09E7">
        <w:t xml:space="preserve">NIHRC has observed that </w:t>
      </w:r>
      <w:r>
        <w:t xml:space="preserve">issues related to </w:t>
      </w:r>
      <w:r w:rsidR="004F3064" w:rsidRPr="005841C4">
        <w:t>climate change</w:t>
      </w:r>
      <w:r>
        <w:t xml:space="preserve"> are more frequently arising before national and international courts</w:t>
      </w:r>
      <w:r w:rsidR="004F3064" w:rsidRPr="005841C4">
        <w:t xml:space="preserve">, and </w:t>
      </w:r>
      <w:r w:rsidR="00F41880" w:rsidRPr="005841C4">
        <w:t>i</w:t>
      </w:r>
      <w:r w:rsidR="00E47B9E" w:rsidRPr="005841C4">
        <w:t xml:space="preserve">nternational legal jurisprudence is becoming </w:t>
      </w:r>
      <w:r w:rsidR="004F3064" w:rsidRPr="005841C4">
        <w:t>more activ</w:t>
      </w:r>
      <w:r w:rsidR="005B6148">
        <w:t>ist</w:t>
      </w:r>
      <w:r w:rsidR="004F3064" w:rsidRPr="005841C4">
        <w:t xml:space="preserve"> </w:t>
      </w:r>
      <w:r>
        <w:t>in</w:t>
      </w:r>
      <w:r w:rsidRPr="005841C4">
        <w:t xml:space="preserve"> </w:t>
      </w:r>
      <w:r w:rsidR="004F3064" w:rsidRPr="005841C4">
        <w:t xml:space="preserve">holding </w:t>
      </w:r>
      <w:r w:rsidR="000D32D1" w:rsidRPr="005841C4">
        <w:t>states to account on their climate change obligations</w:t>
      </w:r>
      <w:r w:rsidR="009F5B17" w:rsidRPr="005841C4">
        <w:t>.</w:t>
      </w:r>
      <w:r w:rsidR="00AD661F" w:rsidRPr="005841C4">
        <w:t xml:space="preserve"> </w:t>
      </w:r>
      <w:r>
        <w:t>For example, in 2019</w:t>
      </w:r>
      <w:r w:rsidR="009E7D24">
        <w:t xml:space="preserve"> </w:t>
      </w:r>
      <w:r>
        <w:t xml:space="preserve">a challenge </w:t>
      </w:r>
      <w:r w:rsidR="00524DC0" w:rsidRPr="005841C4">
        <w:t>was</w:t>
      </w:r>
      <w:r w:rsidR="0004515C" w:rsidRPr="005841C4">
        <w:t xml:space="preserve"> successfully</w:t>
      </w:r>
      <w:r w:rsidR="00524DC0" w:rsidRPr="005841C4">
        <w:t xml:space="preserve"> </w:t>
      </w:r>
      <w:r w:rsidR="00516935" w:rsidRPr="005841C4">
        <w:t>brought against the Dutch government</w:t>
      </w:r>
      <w:r w:rsidR="0037159A">
        <w:t xml:space="preserve"> on the basis</w:t>
      </w:r>
      <w:r w:rsidR="0004515C" w:rsidRPr="005841C4">
        <w:t xml:space="preserve"> that</w:t>
      </w:r>
      <w:r w:rsidR="00FE26CD">
        <w:t>,</w:t>
      </w:r>
      <w:r w:rsidR="0004515C" w:rsidRPr="005841C4">
        <w:t xml:space="preserve"> </w:t>
      </w:r>
      <w:r w:rsidR="001F6474">
        <w:t>by</w:t>
      </w:r>
      <w:r w:rsidR="00516935" w:rsidRPr="005841C4">
        <w:t xml:space="preserve"> not meeting a minimum carbon dioxide emission-reduction goal established by </w:t>
      </w:r>
      <w:r w:rsidR="00516935" w:rsidRPr="005841C4">
        <w:lastRenderedPageBreak/>
        <w:t>scientists to avert harmful climate change</w:t>
      </w:r>
      <w:r w:rsidR="009216D6">
        <w:t>, the government</w:t>
      </w:r>
      <w:r w:rsidR="001F6474">
        <w:t xml:space="preserve"> </w:t>
      </w:r>
      <w:r w:rsidR="00516935" w:rsidRPr="005841C4">
        <w:t xml:space="preserve">was </w:t>
      </w:r>
      <w:r w:rsidR="0037159A">
        <w:t>violating</w:t>
      </w:r>
      <w:r w:rsidR="00516935" w:rsidRPr="005841C4">
        <w:t xml:space="preserve"> the human rights of Dutch citizens as set by national and European laws.</w:t>
      </w:r>
      <w:r w:rsidR="00872DF8" w:rsidRPr="005841C4">
        <w:rPr>
          <w:rStyle w:val="FootnoteReference"/>
        </w:rPr>
        <w:footnoteReference w:id="70"/>
      </w:r>
    </w:p>
    <w:p w14:paraId="3B2E67C7" w14:textId="77777777" w:rsidR="003322C1" w:rsidRDefault="003322C1" w:rsidP="003322C1">
      <w:pPr>
        <w:pStyle w:val="ListParagraph"/>
      </w:pPr>
    </w:p>
    <w:p w14:paraId="3E6D59B6" w14:textId="0417721D" w:rsidR="00F720CD" w:rsidRPr="00F720CD" w:rsidRDefault="001C0E55" w:rsidP="00F720CD">
      <w:pPr>
        <w:pStyle w:val="ListParagraph"/>
        <w:numPr>
          <w:ilvl w:val="1"/>
          <w:numId w:val="6"/>
        </w:numPr>
        <w:ind w:left="709" w:hanging="709"/>
        <w:jc w:val="both"/>
      </w:pPr>
      <w:r>
        <w:t>More recently,</w:t>
      </w:r>
      <w:r w:rsidR="00325193">
        <w:t xml:space="preserve"> the</w:t>
      </w:r>
      <w:r w:rsidR="00CD26F5" w:rsidRPr="005841C4">
        <w:t xml:space="preserve"> I</w:t>
      </w:r>
      <w:r w:rsidR="00334F7E">
        <w:t xml:space="preserve">rish </w:t>
      </w:r>
      <w:r w:rsidR="00293DC7" w:rsidRPr="00F4514E">
        <w:rPr>
          <w:rFonts w:cs="Arial"/>
          <w:color w:val="000000"/>
        </w:rPr>
        <w:t>High Court accepted that</w:t>
      </w:r>
      <w:r w:rsidR="008C29C3" w:rsidRPr="00F4514E">
        <w:rPr>
          <w:rFonts w:cs="Arial"/>
          <w:color w:val="000000"/>
        </w:rPr>
        <w:t xml:space="preserve"> </w:t>
      </w:r>
      <w:r w:rsidR="00291789" w:rsidRPr="00F4514E">
        <w:rPr>
          <w:rFonts w:cs="Arial"/>
          <w:color w:val="000000"/>
        </w:rPr>
        <w:t>the ability existed</w:t>
      </w:r>
      <w:r w:rsidR="00293DC7" w:rsidRPr="00F4514E">
        <w:rPr>
          <w:rFonts w:cs="Arial"/>
          <w:color w:val="000000"/>
        </w:rPr>
        <w:t xml:space="preserve"> to challenge the</w:t>
      </w:r>
      <w:r w:rsidR="008C29C3" w:rsidRPr="00F4514E">
        <w:rPr>
          <w:rFonts w:cs="Arial"/>
          <w:color w:val="000000"/>
        </w:rPr>
        <w:t xml:space="preserve"> Irish Government</w:t>
      </w:r>
      <w:r w:rsidR="006E031D" w:rsidRPr="00F4514E">
        <w:rPr>
          <w:rFonts w:cs="Arial"/>
          <w:color w:val="000000"/>
        </w:rPr>
        <w:t>’s</w:t>
      </w:r>
      <w:r w:rsidR="00293DC7" w:rsidRPr="00F4514E">
        <w:rPr>
          <w:rFonts w:cs="Arial"/>
          <w:color w:val="000000"/>
        </w:rPr>
        <w:t xml:space="preserve"> </w:t>
      </w:r>
      <w:r w:rsidR="006E031D" w:rsidRPr="00F4514E">
        <w:rPr>
          <w:rFonts w:cs="Arial"/>
          <w:color w:val="000000"/>
        </w:rPr>
        <w:t>climate change p</w:t>
      </w:r>
      <w:r w:rsidR="00293DC7" w:rsidRPr="00F4514E">
        <w:rPr>
          <w:rFonts w:cs="Arial"/>
          <w:color w:val="000000"/>
        </w:rPr>
        <w:t xml:space="preserve">lan on </w:t>
      </w:r>
      <w:r w:rsidR="00291789" w:rsidRPr="00F4514E">
        <w:rPr>
          <w:rFonts w:cs="Arial"/>
          <w:color w:val="000000"/>
        </w:rPr>
        <w:t>human</w:t>
      </w:r>
      <w:r w:rsidR="00293DC7" w:rsidRPr="00F4514E">
        <w:rPr>
          <w:rFonts w:cs="Arial"/>
          <w:color w:val="000000"/>
        </w:rPr>
        <w:t xml:space="preserve"> rights grounds and also accepted “for the purposes of the case” the existence of</w:t>
      </w:r>
      <w:r w:rsidR="00C416F5" w:rsidRPr="00F4514E">
        <w:rPr>
          <w:rFonts w:cs="Arial"/>
          <w:color w:val="000000"/>
        </w:rPr>
        <w:t xml:space="preserve"> a</w:t>
      </w:r>
      <w:r w:rsidR="00293DC7" w:rsidRPr="00F4514E">
        <w:rPr>
          <w:rFonts w:cs="Arial"/>
          <w:color w:val="000000"/>
        </w:rPr>
        <w:t xml:space="preserve"> constitutional right to an environment consistent with human dignity</w:t>
      </w:r>
      <w:r w:rsidR="00B805FA" w:rsidRPr="00F4514E">
        <w:rPr>
          <w:rFonts w:cs="Arial"/>
          <w:color w:val="000000"/>
        </w:rPr>
        <w:t>.</w:t>
      </w:r>
      <w:r w:rsidR="003101B5" w:rsidRPr="005841C4">
        <w:rPr>
          <w:rStyle w:val="FootnoteReference"/>
        </w:rPr>
        <w:footnoteReference w:id="71"/>
      </w:r>
      <w:r w:rsidR="002F0888" w:rsidRPr="00F4514E">
        <w:rPr>
          <w:rFonts w:cs="Arial"/>
          <w:color w:val="000000"/>
        </w:rPr>
        <w:t xml:space="preserve"> </w:t>
      </w:r>
      <w:r w:rsidR="00054400" w:rsidRPr="00F4514E">
        <w:rPr>
          <w:rFonts w:cs="Arial"/>
          <w:color w:val="000000"/>
        </w:rPr>
        <w:t>The case was appealed and heard before the Supreme Court of Ireland</w:t>
      </w:r>
      <w:r w:rsidR="00054400">
        <w:rPr>
          <w:rStyle w:val="FootnoteReference"/>
          <w:rFonts w:cs="Arial"/>
          <w:color w:val="000000"/>
        </w:rPr>
        <w:footnoteReference w:id="72"/>
      </w:r>
      <w:r w:rsidR="008B2858">
        <w:rPr>
          <w:rFonts w:cs="Arial"/>
          <w:color w:val="000000"/>
        </w:rPr>
        <w:t xml:space="preserve"> </w:t>
      </w:r>
      <w:r w:rsidR="00192BDC">
        <w:rPr>
          <w:rFonts w:cs="Arial"/>
          <w:color w:val="000000"/>
        </w:rPr>
        <w:t xml:space="preserve">which </w:t>
      </w:r>
      <w:r w:rsidR="00BB7F65" w:rsidRPr="00BB7F65">
        <w:rPr>
          <w:rFonts w:cs="Arial"/>
          <w:color w:val="000000"/>
        </w:rPr>
        <w:t>ruled that the</w:t>
      </w:r>
      <w:r w:rsidR="00BB7F65">
        <w:rPr>
          <w:rFonts w:cs="Arial"/>
          <w:color w:val="000000"/>
        </w:rPr>
        <w:t xml:space="preserve"> Irish Government’s </w:t>
      </w:r>
      <w:r w:rsidR="009E0657">
        <w:rPr>
          <w:rFonts w:cs="Arial"/>
          <w:color w:val="000000"/>
        </w:rPr>
        <w:t>climate change plan</w:t>
      </w:r>
      <w:r w:rsidR="00BB7F65" w:rsidRPr="00BB7F65">
        <w:rPr>
          <w:rFonts w:cs="Arial"/>
          <w:color w:val="000000"/>
        </w:rPr>
        <w:t xml:space="preserve"> was subject to judicial review</w:t>
      </w:r>
      <w:r w:rsidR="00B34E2F">
        <w:t xml:space="preserve"> and</w:t>
      </w:r>
      <w:r w:rsidR="003322C1" w:rsidRPr="003322C1">
        <w:rPr>
          <w:rFonts w:cs="Arial"/>
          <w:color w:val="000000"/>
        </w:rPr>
        <w:t xml:space="preserve"> quashed the</w:t>
      </w:r>
      <w:r w:rsidR="00B34E2F">
        <w:rPr>
          <w:rFonts w:cs="Arial"/>
          <w:color w:val="000000"/>
        </w:rPr>
        <w:t>ir climate change plan</w:t>
      </w:r>
      <w:r w:rsidR="003322C1" w:rsidRPr="003322C1">
        <w:rPr>
          <w:rFonts w:cs="Arial"/>
          <w:color w:val="000000"/>
        </w:rPr>
        <w:t>, finding it to be ultra vires</w:t>
      </w:r>
      <w:r w:rsidR="009B52DE">
        <w:rPr>
          <w:rFonts w:cs="Arial"/>
          <w:color w:val="000000"/>
        </w:rPr>
        <w:t xml:space="preserve"> </w:t>
      </w:r>
      <w:r w:rsidR="003322C1" w:rsidRPr="003322C1">
        <w:rPr>
          <w:rFonts w:cs="Arial"/>
          <w:color w:val="000000"/>
        </w:rPr>
        <w:t>because it did not conform with the requirement</w:t>
      </w:r>
      <w:r w:rsidR="009B52DE">
        <w:rPr>
          <w:rFonts w:cs="Arial"/>
          <w:color w:val="000000"/>
        </w:rPr>
        <w:t>s</w:t>
      </w:r>
      <w:r w:rsidR="003322C1" w:rsidRPr="003322C1">
        <w:rPr>
          <w:rFonts w:cs="Arial"/>
          <w:color w:val="000000"/>
        </w:rPr>
        <w:t xml:space="preserve"> of the 2015 Climate Act as it did not provide specific details as to how the national transition objective would be achieved. The Court found that the Plan fell short of the level of detail required under the 2015 Climate Act</w:t>
      </w:r>
      <w:r w:rsidR="00E67993">
        <w:rPr>
          <w:rFonts w:cs="Arial"/>
          <w:color w:val="000000"/>
        </w:rPr>
        <w:t>.</w:t>
      </w:r>
      <w:r w:rsidR="00054400" w:rsidRPr="00F4514E">
        <w:rPr>
          <w:rFonts w:cs="Arial"/>
          <w:color w:val="000000"/>
        </w:rPr>
        <w:t xml:space="preserve"> </w:t>
      </w:r>
      <w:r w:rsidR="000D4F99" w:rsidRPr="00F4514E">
        <w:rPr>
          <w:rFonts w:cs="Arial"/>
          <w:color w:val="000000"/>
        </w:rPr>
        <w:t>The UN Special Rapporteur on human rights and the environment, David R. Boyd, called the case "a landmark decision" which "sets a precedent for courts around the world to follow"</w:t>
      </w:r>
      <w:r w:rsidR="00326C22" w:rsidRPr="00F4514E">
        <w:rPr>
          <w:rFonts w:cs="Arial"/>
          <w:color w:val="000000"/>
        </w:rPr>
        <w:t>.</w:t>
      </w:r>
      <w:r w:rsidR="00326C22">
        <w:rPr>
          <w:rStyle w:val="FootnoteReference"/>
          <w:rFonts w:cs="Arial"/>
          <w:color w:val="000000"/>
        </w:rPr>
        <w:footnoteReference w:id="73"/>
      </w:r>
      <w:r w:rsidR="00952B31">
        <w:rPr>
          <w:rFonts w:cs="Arial"/>
          <w:color w:val="000000"/>
        </w:rPr>
        <w:t xml:space="preserve"> This </w:t>
      </w:r>
      <w:r w:rsidR="00E67993">
        <w:rPr>
          <w:rFonts w:cs="Arial"/>
          <w:color w:val="000000"/>
        </w:rPr>
        <w:t>may</w:t>
      </w:r>
      <w:r w:rsidR="00952B31">
        <w:rPr>
          <w:rFonts w:cs="Arial"/>
          <w:color w:val="000000"/>
        </w:rPr>
        <w:t xml:space="preserve"> become more relevant in </w:t>
      </w:r>
      <w:r w:rsidR="00EF31B9">
        <w:rPr>
          <w:rFonts w:cs="Arial"/>
          <w:color w:val="000000"/>
        </w:rPr>
        <w:t>NI</w:t>
      </w:r>
      <w:r w:rsidR="00F63709">
        <w:rPr>
          <w:rFonts w:cs="Arial"/>
          <w:color w:val="000000"/>
        </w:rPr>
        <w:t xml:space="preserve"> as the NI Assembly</w:t>
      </w:r>
      <w:r w:rsidR="002D7732">
        <w:rPr>
          <w:rFonts w:cs="Arial"/>
          <w:color w:val="000000"/>
        </w:rPr>
        <w:t xml:space="preserve"> is in the process of producing its own climate change legislation</w:t>
      </w:r>
      <w:r w:rsidR="00AB7153">
        <w:rPr>
          <w:rFonts w:cs="Arial"/>
          <w:color w:val="000000"/>
        </w:rPr>
        <w:t>.</w:t>
      </w:r>
      <w:r w:rsidR="00AB7153">
        <w:rPr>
          <w:rStyle w:val="FootnoteReference"/>
          <w:rFonts w:cs="Arial"/>
          <w:color w:val="000000"/>
        </w:rPr>
        <w:footnoteReference w:id="74"/>
      </w:r>
      <w:r w:rsidR="00AB7153">
        <w:rPr>
          <w:rFonts w:cs="Arial"/>
          <w:color w:val="000000"/>
        </w:rPr>
        <w:t xml:space="preserve"> T</w:t>
      </w:r>
      <w:r w:rsidR="002B35CD">
        <w:rPr>
          <w:rFonts w:cs="Arial"/>
          <w:color w:val="000000"/>
        </w:rPr>
        <w:t>he NI Executive may find itself subject to court interdict if it does not meet targets set in that legislation.</w:t>
      </w:r>
    </w:p>
    <w:p w14:paraId="12817198" w14:textId="77777777" w:rsidR="00F720CD" w:rsidRPr="00F720CD" w:rsidRDefault="00F720CD" w:rsidP="00F720CD">
      <w:pPr>
        <w:pStyle w:val="ListParagraph"/>
        <w:ind w:left="709"/>
        <w:jc w:val="both"/>
      </w:pPr>
    </w:p>
    <w:p w14:paraId="028CFED6" w14:textId="2B521CB2" w:rsidR="008132AF" w:rsidRPr="008132AF" w:rsidRDefault="002F0888" w:rsidP="008132AF">
      <w:pPr>
        <w:pStyle w:val="ListParagraph"/>
        <w:numPr>
          <w:ilvl w:val="1"/>
          <w:numId w:val="6"/>
        </w:numPr>
        <w:ind w:left="709" w:hanging="709"/>
        <w:jc w:val="both"/>
      </w:pPr>
      <w:r w:rsidRPr="00F720CD">
        <w:rPr>
          <w:rFonts w:cs="Arial"/>
          <w:color w:val="000000"/>
        </w:rPr>
        <w:t xml:space="preserve">In </w:t>
      </w:r>
      <w:r w:rsidR="00AD1976" w:rsidRPr="00F720CD">
        <w:rPr>
          <w:rFonts w:cs="Arial"/>
          <w:color w:val="000000"/>
        </w:rPr>
        <w:t>the case of Duarte Agostinho and Others v Portugal and Others, six youn</w:t>
      </w:r>
      <w:r w:rsidR="00325193" w:rsidRPr="00F720CD">
        <w:rPr>
          <w:rFonts w:cs="Arial"/>
          <w:color w:val="000000"/>
        </w:rPr>
        <w:t>g</w:t>
      </w:r>
      <w:r w:rsidR="00AD1976" w:rsidRPr="00F720CD">
        <w:rPr>
          <w:rFonts w:cs="Arial"/>
          <w:color w:val="000000"/>
        </w:rPr>
        <w:t xml:space="preserve"> people have filed a complaint </w:t>
      </w:r>
      <w:r w:rsidR="00530E43" w:rsidRPr="00F720CD">
        <w:rPr>
          <w:rFonts w:cs="Arial"/>
          <w:color w:val="000000"/>
        </w:rPr>
        <w:t>before</w:t>
      </w:r>
      <w:r w:rsidR="009500E2" w:rsidRPr="00F720CD">
        <w:rPr>
          <w:rFonts w:cs="Arial"/>
          <w:color w:val="000000"/>
        </w:rPr>
        <w:t xml:space="preserve"> the E</w:t>
      </w:r>
      <w:r w:rsidR="00953651" w:rsidRPr="00F720CD">
        <w:rPr>
          <w:rFonts w:cs="Arial"/>
          <w:color w:val="000000"/>
        </w:rPr>
        <w:t>CtHR</w:t>
      </w:r>
      <w:r w:rsidR="00AD1976" w:rsidRPr="00F720CD">
        <w:rPr>
          <w:rFonts w:cs="Arial"/>
          <w:color w:val="000000"/>
        </w:rPr>
        <w:t xml:space="preserve"> against 33 countries, alleging </w:t>
      </w:r>
      <w:r w:rsidR="006E50FF" w:rsidRPr="00F720CD">
        <w:rPr>
          <w:rFonts w:cs="Arial"/>
          <w:color w:val="000000"/>
        </w:rPr>
        <w:t>failure</w:t>
      </w:r>
      <w:r w:rsidR="00AD1976" w:rsidRPr="00F720CD">
        <w:rPr>
          <w:rFonts w:cs="Arial"/>
          <w:color w:val="000000"/>
        </w:rPr>
        <w:t xml:space="preserve"> to take sufficient action against climate change in breach of the ECHR.</w:t>
      </w:r>
      <w:r w:rsidR="00AD1976">
        <w:rPr>
          <w:rStyle w:val="FootnoteReference"/>
          <w:rFonts w:cs="Arial"/>
          <w:color w:val="000000"/>
        </w:rPr>
        <w:footnoteReference w:id="75"/>
      </w:r>
      <w:r w:rsidR="00AD1976" w:rsidRPr="00F720CD">
        <w:rPr>
          <w:rFonts w:cs="Arial"/>
          <w:color w:val="000000"/>
        </w:rPr>
        <w:t xml:space="preserve"> </w:t>
      </w:r>
      <w:r w:rsidR="00605602" w:rsidRPr="00F720CD">
        <w:rPr>
          <w:rFonts w:cs="Arial"/>
          <w:color w:val="000000"/>
        </w:rPr>
        <w:t>In December 2020</w:t>
      </w:r>
      <w:r w:rsidR="00AD1976" w:rsidRPr="00F720CD">
        <w:rPr>
          <w:rFonts w:cs="Arial"/>
          <w:color w:val="000000"/>
        </w:rPr>
        <w:t>,</w:t>
      </w:r>
      <w:r w:rsidR="00B372E7" w:rsidRPr="00F720CD">
        <w:rPr>
          <w:rFonts w:cs="Arial"/>
          <w:color w:val="000000"/>
        </w:rPr>
        <w:t xml:space="preserve"> the ECt</w:t>
      </w:r>
      <w:r w:rsidRPr="00F720CD">
        <w:rPr>
          <w:rFonts w:cs="Arial"/>
          <w:color w:val="000000"/>
        </w:rPr>
        <w:t>HR agreed to fast track</w:t>
      </w:r>
      <w:r w:rsidR="00605602" w:rsidRPr="00F720CD">
        <w:rPr>
          <w:rFonts w:cs="Arial"/>
          <w:color w:val="000000"/>
        </w:rPr>
        <w:t xml:space="preserve"> the case and </w:t>
      </w:r>
      <w:r w:rsidRPr="00F720CD">
        <w:rPr>
          <w:rFonts w:cs="Arial"/>
          <w:color w:val="000000"/>
        </w:rPr>
        <w:t>33 European states</w:t>
      </w:r>
      <w:r w:rsidR="004972FF" w:rsidRPr="00F720CD">
        <w:rPr>
          <w:rFonts w:cs="Arial"/>
          <w:color w:val="000000"/>
        </w:rPr>
        <w:t xml:space="preserve">, </w:t>
      </w:r>
      <w:r w:rsidRPr="00F720CD">
        <w:rPr>
          <w:rFonts w:cs="Arial"/>
          <w:color w:val="000000"/>
        </w:rPr>
        <w:t>including the UK</w:t>
      </w:r>
      <w:r w:rsidR="004972FF" w:rsidRPr="00F720CD">
        <w:rPr>
          <w:rFonts w:cs="Arial"/>
          <w:color w:val="000000"/>
        </w:rPr>
        <w:t xml:space="preserve">, </w:t>
      </w:r>
      <w:r w:rsidRPr="00F720CD">
        <w:rPr>
          <w:rFonts w:cs="Arial"/>
          <w:color w:val="000000"/>
        </w:rPr>
        <w:t>now have to respond with information about how they will reduce the greenhouse gas emissions that are destabilising the climate.</w:t>
      </w:r>
      <w:bookmarkStart w:id="11" w:name="_Hlk76645477"/>
    </w:p>
    <w:p w14:paraId="7618FAE1" w14:textId="77777777" w:rsidR="008132AF" w:rsidRPr="008132AF" w:rsidRDefault="008132AF" w:rsidP="008132AF">
      <w:pPr>
        <w:pStyle w:val="ListParagraph"/>
        <w:rPr>
          <w:b/>
          <w:bCs/>
        </w:rPr>
      </w:pPr>
    </w:p>
    <w:p w14:paraId="6C3EA24B" w14:textId="6ECB2666" w:rsidR="007E0502" w:rsidRPr="008132AF" w:rsidRDefault="00EB35DE" w:rsidP="008132AF">
      <w:pPr>
        <w:pStyle w:val="ListParagraph"/>
        <w:numPr>
          <w:ilvl w:val="1"/>
          <w:numId w:val="6"/>
        </w:numPr>
        <w:ind w:left="709" w:hanging="709"/>
        <w:jc w:val="both"/>
        <w:rPr>
          <w:b/>
          <w:bCs/>
        </w:rPr>
      </w:pPr>
      <w:r w:rsidRPr="008132AF">
        <w:rPr>
          <w:b/>
          <w:bCs/>
        </w:rPr>
        <w:t xml:space="preserve">The </w:t>
      </w:r>
      <w:r w:rsidR="007E0502" w:rsidRPr="008132AF">
        <w:rPr>
          <w:b/>
          <w:bCs/>
        </w:rPr>
        <w:t xml:space="preserve">NIHRC recommends utilising a number of initiatives to ensure both public and private housing in NI is as carbon neutral as possible. </w:t>
      </w:r>
    </w:p>
    <w:bookmarkEnd w:id="11"/>
    <w:p w14:paraId="39E4F85B" w14:textId="77777777" w:rsidR="00F07641" w:rsidRDefault="00F07641" w:rsidP="00F07641">
      <w:pPr>
        <w:pStyle w:val="ListParagraph"/>
      </w:pPr>
    </w:p>
    <w:p w14:paraId="20187E1F" w14:textId="77777777" w:rsidR="00F43173" w:rsidRDefault="00F43173" w:rsidP="00AC108F">
      <w:pPr>
        <w:pStyle w:val="BasicParagraph"/>
        <w:suppressAutoHyphens/>
        <w:rPr>
          <w:rFonts w:ascii="Verdana" w:hAnsi="Verdana" w:cs="Arial"/>
          <w:b/>
          <w:bCs/>
          <w:color w:val="77328A"/>
          <w:sz w:val="36"/>
          <w:szCs w:val="36"/>
        </w:rPr>
      </w:pPr>
    </w:p>
    <w:p w14:paraId="66AB348A" w14:textId="77777777" w:rsidR="006C6972" w:rsidRDefault="006C6972" w:rsidP="00AC108F">
      <w:pPr>
        <w:pStyle w:val="BasicParagraph"/>
        <w:suppressAutoHyphens/>
        <w:rPr>
          <w:rFonts w:ascii="Verdana" w:hAnsi="Verdana" w:cs="Arial"/>
          <w:b/>
          <w:bCs/>
          <w:color w:val="77328A"/>
          <w:sz w:val="36"/>
          <w:szCs w:val="36"/>
        </w:rPr>
      </w:pPr>
    </w:p>
    <w:p w14:paraId="420E43E7" w14:textId="77777777" w:rsidR="00EF3D5C" w:rsidRDefault="00EF3D5C" w:rsidP="00AC108F">
      <w:pPr>
        <w:pStyle w:val="BasicParagraph"/>
        <w:suppressAutoHyphens/>
        <w:rPr>
          <w:rFonts w:ascii="Verdana" w:hAnsi="Verdana" w:cs="Arial"/>
          <w:b/>
          <w:bCs/>
          <w:color w:val="77328A"/>
          <w:sz w:val="36"/>
          <w:szCs w:val="36"/>
        </w:rPr>
      </w:pPr>
    </w:p>
    <w:p w14:paraId="384FC564" w14:textId="77777777" w:rsidR="00EF3D5C" w:rsidRDefault="00EF3D5C" w:rsidP="00AC108F">
      <w:pPr>
        <w:pStyle w:val="BasicParagraph"/>
        <w:suppressAutoHyphens/>
        <w:rPr>
          <w:rFonts w:ascii="Verdana" w:hAnsi="Verdana" w:cs="Arial"/>
          <w:b/>
          <w:bCs/>
          <w:color w:val="77328A"/>
          <w:sz w:val="36"/>
          <w:szCs w:val="36"/>
        </w:rPr>
      </w:pPr>
    </w:p>
    <w:p w14:paraId="67546A50" w14:textId="77777777" w:rsidR="00426350" w:rsidRDefault="00426350" w:rsidP="00AC108F">
      <w:pPr>
        <w:pStyle w:val="BasicParagraph"/>
        <w:suppressAutoHyphens/>
        <w:rPr>
          <w:rFonts w:ascii="Verdana" w:hAnsi="Verdana" w:cs="Arial"/>
          <w:b/>
          <w:bCs/>
          <w:color w:val="77328A"/>
          <w:sz w:val="36"/>
          <w:szCs w:val="36"/>
        </w:rPr>
      </w:pPr>
    </w:p>
    <w:p w14:paraId="2C7F68DD" w14:textId="77777777" w:rsidR="00426350" w:rsidRDefault="00426350" w:rsidP="00AC108F">
      <w:pPr>
        <w:pStyle w:val="BasicParagraph"/>
        <w:suppressAutoHyphens/>
        <w:rPr>
          <w:rFonts w:ascii="Verdana" w:hAnsi="Verdana" w:cs="Arial"/>
          <w:b/>
          <w:bCs/>
          <w:color w:val="77328A"/>
          <w:sz w:val="36"/>
          <w:szCs w:val="36"/>
        </w:rPr>
      </w:pPr>
    </w:p>
    <w:p w14:paraId="2EE6AC0B" w14:textId="77777777" w:rsidR="00426350" w:rsidRDefault="00426350" w:rsidP="00AC108F">
      <w:pPr>
        <w:pStyle w:val="BasicParagraph"/>
        <w:suppressAutoHyphens/>
        <w:rPr>
          <w:rFonts w:ascii="Verdana" w:hAnsi="Verdana" w:cs="Arial"/>
          <w:b/>
          <w:bCs/>
          <w:color w:val="77328A"/>
          <w:sz w:val="36"/>
          <w:szCs w:val="36"/>
        </w:rPr>
      </w:pPr>
    </w:p>
    <w:p w14:paraId="6262FFF4" w14:textId="77777777" w:rsidR="00426350" w:rsidRDefault="00426350" w:rsidP="00AC108F">
      <w:pPr>
        <w:pStyle w:val="BasicParagraph"/>
        <w:suppressAutoHyphens/>
        <w:rPr>
          <w:rFonts w:ascii="Verdana" w:hAnsi="Verdana" w:cs="Arial"/>
          <w:b/>
          <w:bCs/>
          <w:color w:val="77328A"/>
          <w:sz w:val="36"/>
          <w:szCs w:val="36"/>
        </w:rPr>
      </w:pPr>
    </w:p>
    <w:p w14:paraId="0B022B4E" w14:textId="0C520236" w:rsidR="00E40EC8" w:rsidRDefault="00E40EC8" w:rsidP="00AC108F">
      <w:pPr>
        <w:pStyle w:val="BasicParagraph"/>
        <w:suppressAutoHyphens/>
        <w:rPr>
          <w:rFonts w:ascii="Verdana" w:hAnsi="Verdana" w:cs="Arial"/>
          <w:b/>
          <w:bCs/>
          <w:color w:val="77328A"/>
          <w:sz w:val="36"/>
          <w:szCs w:val="36"/>
        </w:rPr>
      </w:pPr>
    </w:p>
    <w:p w14:paraId="412B76EF" w14:textId="3B7E73D5" w:rsidR="00C6559D" w:rsidRDefault="00C6559D" w:rsidP="00AC108F">
      <w:pPr>
        <w:pStyle w:val="BasicParagraph"/>
        <w:suppressAutoHyphens/>
        <w:rPr>
          <w:rFonts w:ascii="Verdana" w:hAnsi="Verdana" w:cs="Arial"/>
          <w:b/>
          <w:bCs/>
          <w:color w:val="77328A"/>
          <w:sz w:val="36"/>
          <w:szCs w:val="36"/>
        </w:rPr>
      </w:pPr>
    </w:p>
    <w:p w14:paraId="7D2E9761" w14:textId="7F725EBE" w:rsidR="00C6559D" w:rsidRDefault="00C6559D" w:rsidP="00AC108F">
      <w:pPr>
        <w:pStyle w:val="BasicParagraph"/>
        <w:suppressAutoHyphens/>
        <w:rPr>
          <w:rFonts w:ascii="Verdana" w:hAnsi="Verdana" w:cs="Arial"/>
          <w:b/>
          <w:bCs/>
          <w:color w:val="77328A"/>
          <w:sz w:val="36"/>
          <w:szCs w:val="36"/>
        </w:rPr>
      </w:pPr>
    </w:p>
    <w:p w14:paraId="61A99EA0" w14:textId="433746DA" w:rsidR="00C6559D" w:rsidRDefault="00C6559D" w:rsidP="00AC108F">
      <w:pPr>
        <w:pStyle w:val="BasicParagraph"/>
        <w:suppressAutoHyphens/>
        <w:rPr>
          <w:rFonts w:ascii="Verdana" w:hAnsi="Verdana" w:cs="Arial"/>
          <w:b/>
          <w:bCs/>
          <w:color w:val="77328A"/>
          <w:sz w:val="36"/>
          <w:szCs w:val="36"/>
        </w:rPr>
      </w:pPr>
    </w:p>
    <w:p w14:paraId="3AA5F429" w14:textId="0B949001" w:rsidR="00C6559D" w:rsidRDefault="00C6559D" w:rsidP="00AC108F">
      <w:pPr>
        <w:pStyle w:val="BasicParagraph"/>
        <w:suppressAutoHyphens/>
        <w:rPr>
          <w:rFonts w:ascii="Verdana" w:hAnsi="Verdana" w:cs="Arial"/>
          <w:b/>
          <w:bCs/>
          <w:color w:val="77328A"/>
          <w:sz w:val="36"/>
          <w:szCs w:val="36"/>
        </w:rPr>
      </w:pPr>
    </w:p>
    <w:p w14:paraId="5D65384C" w14:textId="0F2DB5D2" w:rsidR="00C6559D" w:rsidRDefault="00C6559D" w:rsidP="00AC108F">
      <w:pPr>
        <w:pStyle w:val="BasicParagraph"/>
        <w:suppressAutoHyphens/>
        <w:rPr>
          <w:rFonts w:ascii="Verdana" w:hAnsi="Verdana" w:cs="Arial"/>
          <w:b/>
          <w:bCs/>
          <w:color w:val="77328A"/>
          <w:sz w:val="36"/>
          <w:szCs w:val="36"/>
        </w:rPr>
      </w:pPr>
    </w:p>
    <w:p w14:paraId="67A4F694" w14:textId="3E947BEF" w:rsidR="00C6559D" w:rsidRDefault="00C6559D" w:rsidP="00AC108F">
      <w:pPr>
        <w:pStyle w:val="BasicParagraph"/>
        <w:suppressAutoHyphens/>
        <w:rPr>
          <w:rFonts w:ascii="Verdana" w:hAnsi="Verdana" w:cs="Arial"/>
          <w:b/>
          <w:bCs/>
          <w:color w:val="77328A"/>
          <w:sz w:val="36"/>
          <w:szCs w:val="36"/>
        </w:rPr>
      </w:pPr>
    </w:p>
    <w:p w14:paraId="61635671" w14:textId="3AF805FE" w:rsidR="00C6559D" w:rsidRDefault="00C6559D" w:rsidP="00AC108F">
      <w:pPr>
        <w:pStyle w:val="BasicParagraph"/>
        <w:suppressAutoHyphens/>
        <w:rPr>
          <w:rFonts w:ascii="Verdana" w:hAnsi="Verdana" w:cs="Arial"/>
          <w:b/>
          <w:bCs/>
          <w:color w:val="77328A"/>
          <w:sz w:val="36"/>
          <w:szCs w:val="36"/>
        </w:rPr>
      </w:pPr>
    </w:p>
    <w:p w14:paraId="7FA151F6" w14:textId="6AD23896" w:rsidR="00C6559D" w:rsidRDefault="00C6559D" w:rsidP="00AC108F">
      <w:pPr>
        <w:pStyle w:val="BasicParagraph"/>
        <w:suppressAutoHyphens/>
        <w:rPr>
          <w:rFonts w:ascii="Verdana" w:hAnsi="Verdana" w:cs="Arial"/>
          <w:b/>
          <w:bCs/>
          <w:color w:val="77328A"/>
          <w:sz w:val="36"/>
          <w:szCs w:val="36"/>
        </w:rPr>
      </w:pPr>
    </w:p>
    <w:p w14:paraId="1DD1B3D4" w14:textId="10EC7DB2" w:rsidR="00C6559D" w:rsidRDefault="00C6559D" w:rsidP="00AC108F">
      <w:pPr>
        <w:pStyle w:val="BasicParagraph"/>
        <w:suppressAutoHyphens/>
        <w:rPr>
          <w:rFonts w:ascii="Verdana" w:hAnsi="Verdana" w:cs="Arial"/>
          <w:b/>
          <w:bCs/>
          <w:color w:val="77328A"/>
          <w:sz w:val="36"/>
          <w:szCs w:val="36"/>
        </w:rPr>
      </w:pPr>
    </w:p>
    <w:p w14:paraId="5B9ED98C" w14:textId="780CBF6D" w:rsidR="00C6559D" w:rsidRDefault="00C6559D" w:rsidP="00AC108F">
      <w:pPr>
        <w:pStyle w:val="BasicParagraph"/>
        <w:suppressAutoHyphens/>
        <w:rPr>
          <w:rFonts w:ascii="Verdana" w:hAnsi="Verdana" w:cs="Arial"/>
          <w:b/>
          <w:bCs/>
          <w:color w:val="77328A"/>
          <w:sz w:val="36"/>
          <w:szCs w:val="36"/>
        </w:rPr>
      </w:pPr>
    </w:p>
    <w:p w14:paraId="1C18A432" w14:textId="77777777" w:rsidR="00C6559D" w:rsidRDefault="00C6559D" w:rsidP="00AC108F">
      <w:pPr>
        <w:pStyle w:val="BasicParagraph"/>
        <w:suppressAutoHyphens/>
        <w:rPr>
          <w:rFonts w:ascii="Verdana" w:hAnsi="Verdana" w:cs="Arial"/>
          <w:b/>
          <w:bCs/>
          <w:color w:val="77328A"/>
          <w:sz w:val="36"/>
          <w:szCs w:val="36"/>
        </w:rPr>
      </w:pPr>
    </w:p>
    <w:p w14:paraId="6D4405E2" w14:textId="77777777" w:rsidR="009E5D23" w:rsidRDefault="009E5D23" w:rsidP="009E5D23">
      <w:pPr>
        <w:pStyle w:val="BasicParagraph"/>
        <w:suppressAutoHyphens/>
        <w:jc w:val="center"/>
        <w:rPr>
          <w:rFonts w:ascii="Verdana" w:hAnsi="Verdana" w:cs="Arial"/>
          <w:b/>
          <w:bCs/>
          <w:color w:val="77328A"/>
          <w:sz w:val="36"/>
          <w:szCs w:val="36"/>
        </w:rPr>
      </w:pPr>
    </w:p>
    <w:p w14:paraId="65A291EE" w14:textId="77777777" w:rsidR="009E5D23" w:rsidRPr="00331C61" w:rsidRDefault="009E5D23" w:rsidP="009E5D23">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28C547C8" w14:textId="77777777" w:rsidR="009E5D23" w:rsidRPr="00331C61" w:rsidRDefault="009E5D23" w:rsidP="009E5D23">
      <w:pPr>
        <w:pStyle w:val="BasicParagraph"/>
        <w:suppressAutoHyphens/>
        <w:jc w:val="center"/>
        <w:rPr>
          <w:rFonts w:ascii="Verdana" w:hAnsi="Verdana" w:cs="Arial"/>
          <w:b/>
          <w:color w:val="77328A"/>
          <w:sz w:val="36"/>
          <w:szCs w:val="36"/>
        </w:rPr>
      </w:pPr>
    </w:p>
    <w:p w14:paraId="335F81D9" w14:textId="77777777" w:rsidR="009E5D23" w:rsidRPr="00331C61" w:rsidRDefault="00D05FF8" w:rsidP="009E5D23">
      <w:pPr>
        <w:spacing w:line="288" w:lineRule="auto"/>
        <w:jc w:val="center"/>
        <w:rPr>
          <w:rFonts w:cs="Arial"/>
          <w:color w:val="232120"/>
          <w:sz w:val="28"/>
          <w:szCs w:val="28"/>
        </w:rPr>
      </w:pPr>
      <w:hyperlink r:id="rId9" w:history="1">
        <w:r w:rsidR="009E5D23" w:rsidRPr="00331C61">
          <w:rPr>
            <w:rStyle w:val="Hyperlink"/>
            <w:rFonts w:cs="Arial"/>
            <w:color w:val="232120"/>
            <w:sz w:val="28"/>
            <w:szCs w:val="28"/>
            <w:lang w:val="en-US"/>
          </w:rPr>
          <w:t>www.nihrc.org</w:t>
        </w:r>
      </w:hyperlink>
      <w:r w:rsidR="009E5D23" w:rsidRPr="00331C61">
        <w:rPr>
          <w:rFonts w:cs="Arial"/>
          <w:color w:val="232120"/>
          <w:sz w:val="28"/>
          <w:szCs w:val="28"/>
          <w:lang w:val="en-US"/>
        </w:rPr>
        <w:t xml:space="preserve">  |  </w:t>
      </w:r>
      <w:hyperlink r:id="rId10" w:history="1">
        <w:r w:rsidR="009E5D23" w:rsidRPr="00331C61">
          <w:rPr>
            <w:rStyle w:val="Hyperlink"/>
            <w:rFonts w:cs="Arial"/>
            <w:color w:val="232120"/>
            <w:sz w:val="28"/>
            <w:szCs w:val="28"/>
            <w:lang w:val="en-US"/>
          </w:rPr>
          <w:t>info@nihrc.org</w:t>
        </w:r>
      </w:hyperlink>
      <w:r w:rsidR="009E5D23" w:rsidRPr="00331C61">
        <w:rPr>
          <w:rFonts w:cs="Arial"/>
          <w:color w:val="232120"/>
          <w:sz w:val="28"/>
          <w:szCs w:val="28"/>
          <w:lang w:val="en-US"/>
        </w:rPr>
        <w:t xml:space="preserve">  |  +44 (0)28 9024 3987</w:t>
      </w:r>
    </w:p>
    <w:p w14:paraId="72053287" w14:textId="77777777" w:rsidR="009E5D23" w:rsidRPr="00331C61" w:rsidRDefault="009E5D23" w:rsidP="009E5D23">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4C7056EF" w14:textId="77777777" w:rsidR="009E5D23" w:rsidRPr="00331C61" w:rsidRDefault="009E5D23" w:rsidP="009E5D23">
      <w:pPr>
        <w:spacing w:line="288" w:lineRule="auto"/>
        <w:jc w:val="center"/>
        <w:rPr>
          <w:rFonts w:cs="Arial"/>
          <w:b/>
          <w:color w:val="232120"/>
          <w:sz w:val="28"/>
          <w:szCs w:val="28"/>
        </w:rPr>
      </w:pPr>
    </w:p>
    <w:p w14:paraId="0CC3EC43" w14:textId="77777777" w:rsidR="009E5D23" w:rsidRPr="00331C61" w:rsidRDefault="009E5D23" w:rsidP="009E5D23">
      <w:pPr>
        <w:spacing w:line="288" w:lineRule="auto"/>
        <w:jc w:val="center"/>
        <w:rPr>
          <w:rFonts w:cs="Arial"/>
          <w:color w:val="232120"/>
          <w:sz w:val="20"/>
          <w:szCs w:val="20"/>
        </w:rPr>
      </w:pPr>
    </w:p>
    <w:p w14:paraId="534B8D39" w14:textId="77777777" w:rsidR="009E5D23" w:rsidRPr="00331C61" w:rsidRDefault="009E5D23" w:rsidP="009E5D23">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E4FBDF8" wp14:editId="0437C836">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1475971B" w14:textId="77777777" w:rsidR="00DE76D4" w:rsidRPr="002B2837" w:rsidRDefault="00DE76D4" w:rsidP="002B2837">
      <w:pPr>
        <w:spacing w:line="276" w:lineRule="auto"/>
      </w:pPr>
    </w:p>
    <w:sectPr w:rsidR="00DE76D4" w:rsidRPr="002B2837" w:rsidSect="00553FCA">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4839" w14:textId="77777777" w:rsidR="006B78E0" w:rsidRDefault="006B78E0" w:rsidP="00A476E1">
      <w:r>
        <w:separator/>
      </w:r>
    </w:p>
  </w:endnote>
  <w:endnote w:type="continuationSeparator" w:id="0">
    <w:p w14:paraId="43A1B50F" w14:textId="77777777" w:rsidR="006B78E0" w:rsidRDefault="006B78E0" w:rsidP="00A4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11741"/>
      <w:docPartObj>
        <w:docPartGallery w:val="Page Numbers (Bottom of Page)"/>
        <w:docPartUnique/>
      </w:docPartObj>
    </w:sdtPr>
    <w:sdtEndPr>
      <w:rPr>
        <w:noProof/>
        <w:color w:val="7030A0"/>
        <w:sz w:val="20"/>
        <w:szCs w:val="20"/>
      </w:rPr>
    </w:sdtEndPr>
    <w:sdtContent>
      <w:p w14:paraId="42F82F48" w14:textId="6732CDEE" w:rsidR="00553FCA" w:rsidRPr="004E1DB7" w:rsidRDefault="00553FCA">
        <w:pPr>
          <w:pStyle w:val="Footer"/>
          <w:jc w:val="right"/>
          <w:rPr>
            <w:color w:val="7030A0"/>
            <w:sz w:val="20"/>
            <w:szCs w:val="20"/>
          </w:rPr>
        </w:pPr>
        <w:r w:rsidRPr="004E1DB7">
          <w:rPr>
            <w:color w:val="7030A0"/>
            <w:sz w:val="20"/>
            <w:szCs w:val="20"/>
          </w:rPr>
          <w:fldChar w:fldCharType="begin"/>
        </w:r>
        <w:r w:rsidRPr="004E1DB7">
          <w:rPr>
            <w:color w:val="7030A0"/>
            <w:sz w:val="20"/>
            <w:szCs w:val="20"/>
          </w:rPr>
          <w:instrText xml:space="preserve"> PAGE   \* MERGEFORMAT </w:instrText>
        </w:r>
        <w:r w:rsidRPr="004E1DB7">
          <w:rPr>
            <w:color w:val="7030A0"/>
            <w:sz w:val="20"/>
            <w:szCs w:val="20"/>
          </w:rPr>
          <w:fldChar w:fldCharType="separate"/>
        </w:r>
        <w:r w:rsidR="00B96F4D">
          <w:rPr>
            <w:noProof/>
            <w:color w:val="7030A0"/>
            <w:sz w:val="20"/>
            <w:szCs w:val="20"/>
          </w:rPr>
          <w:t>15</w:t>
        </w:r>
        <w:r w:rsidRPr="004E1DB7">
          <w:rPr>
            <w:noProof/>
            <w:color w:val="7030A0"/>
            <w:sz w:val="20"/>
            <w:szCs w:val="20"/>
          </w:rPr>
          <w:fldChar w:fldCharType="end"/>
        </w:r>
      </w:p>
    </w:sdtContent>
  </w:sdt>
  <w:p w14:paraId="463AB57F" w14:textId="77777777" w:rsidR="00553FCA" w:rsidRPr="007569C1" w:rsidRDefault="00553FCA" w:rsidP="00553FCA">
    <w:pPr>
      <w:pStyle w:val="Footer"/>
      <w:jc w:val="right"/>
      <w:rPr>
        <w:rFonts w:ascii="Arial" w:hAnsi="Arial" w:cs="Arial"/>
        <w:b/>
        <w:color w:val="77328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942075"/>
      <w:docPartObj>
        <w:docPartGallery w:val="Page Numbers (Bottom of Page)"/>
        <w:docPartUnique/>
      </w:docPartObj>
    </w:sdtPr>
    <w:sdtEndPr>
      <w:rPr>
        <w:noProof/>
        <w:color w:val="7030A0"/>
        <w:sz w:val="20"/>
        <w:szCs w:val="20"/>
      </w:rPr>
    </w:sdtEndPr>
    <w:sdtContent>
      <w:p w14:paraId="38C93847" w14:textId="684BEB29" w:rsidR="00553FCA" w:rsidRPr="004E1DB7" w:rsidRDefault="00553FCA">
        <w:pPr>
          <w:pStyle w:val="Footer"/>
          <w:jc w:val="right"/>
          <w:rPr>
            <w:color w:val="7030A0"/>
            <w:sz w:val="20"/>
            <w:szCs w:val="20"/>
          </w:rPr>
        </w:pPr>
        <w:r w:rsidRPr="004E1DB7">
          <w:rPr>
            <w:color w:val="7030A0"/>
            <w:sz w:val="20"/>
            <w:szCs w:val="20"/>
          </w:rPr>
          <w:fldChar w:fldCharType="begin"/>
        </w:r>
        <w:r w:rsidRPr="004E1DB7">
          <w:rPr>
            <w:color w:val="7030A0"/>
            <w:sz w:val="20"/>
            <w:szCs w:val="20"/>
          </w:rPr>
          <w:instrText xml:space="preserve"> PAGE   \* MERGEFORMAT </w:instrText>
        </w:r>
        <w:r w:rsidRPr="004E1DB7">
          <w:rPr>
            <w:color w:val="7030A0"/>
            <w:sz w:val="20"/>
            <w:szCs w:val="20"/>
          </w:rPr>
          <w:fldChar w:fldCharType="separate"/>
        </w:r>
        <w:r w:rsidR="00B96F4D">
          <w:rPr>
            <w:noProof/>
            <w:color w:val="7030A0"/>
            <w:sz w:val="20"/>
            <w:szCs w:val="20"/>
          </w:rPr>
          <w:t>1</w:t>
        </w:r>
        <w:r w:rsidRPr="004E1DB7">
          <w:rPr>
            <w:noProof/>
            <w:color w:val="7030A0"/>
            <w:sz w:val="20"/>
            <w:szCs w:val="20"/>
          </w:rPr>
          <w:fldChar w:fldCharType="end"/>
        </w:r>
      </w:p>
    </w:sdtContent>
  </w:sdt>
  <w:p w14:paraId="1A80C287" w14:textId="77777777" w:rsidR="00553FCA" w:rsidRPr="00D12EF8" w:rsidRDefault="00553FCA" w:rsidP="00553FCA">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6F99" w14:textId="77777777" w:rsidR="006B78E0" w:rsidRDefault="006B78E0" w:rsidP="00A476E1">
      <w:r>
        <w:separator/>
      </w:r>
    </w:p>
  </w:footnote>
  <w:footnote w:type="continuationSeparator" w:id="0">
    <w:p w14:paraId="13622D7A" w14:textId="77777777" w:rsidR="006B78E0" w:rsidRDefault="006B78E0" w:rsidP="00A476E1">
      <w:r>
        <w:continuationSeparator/>
      </w:r>
    </w:p>
  </w:footnote>
  <w:footnote w:id="1">
    <w:p w14:paraId="651A140F" w14:textId="77777777" w:rsidR="00553FCA" w:rsidRPr="002234D8" w:rsidRDefault="00553FCA" w:rsidP="005C7CBC">
      <w:pPr>
        <w:pStyle w:val="NIHRCFootnotes"/>
        <w:rPr>
          <w:color w:val="7030A0"/>
        </w:rPr>
      </w:pPr>
      <w:r w:rsidRPr="002234D8">
        <w:rPr>
          <w:rStyle w:val="FootnoteReference"/>
          <w:color w:val="7030A0"/>
        </w:rPr>
        <w:footnoteRef/>
      </w:r>
      <w:r w:rsidRPr="002234D8">
        <w:rPr>
          <w:color w:val="7030A0"/>
        </w:rPr>
        <w:t xml:space="preserve"> Ratified by the UK in 1951.</w:t>
      </w:r>
    </w:p>
  </w:footnote>
  <w:footnote w:id="2">
    <w:p w14:paraId="34805EF0" w14:textId="77777777" w:rsidR="00553FCA" w:rsidRPr="002234D8" w:rsidRDefault="00553FCA" w:rsidP="005C7CBC">
      <w:pPr>
        <w:pStyle w:val="NIHRCFootnotes"/>
        <w:rPr>
          <w:color w:val="7030A0"/>
        </w:rPr>
      </w:pPr>
      <w:r w:rsidRPr="002234D8">
        <w:rPr>
          <w:rStyle w:val="FootnoteReference"/>
          <w:color w:val="7030A0"/>
        </w:rPr>
        <w:footnoteRef/>
      </w:r>
      <w:r w:rsidRPr="002234D8">
        <w:rPr>
          <w:color w:val="7030A0"/>
        </w:rPr>
        <w:t xml:space="preserve"> Ratified by the UK in 1976.</w:t>
      </w:r>
    </w:p>
  </w:footnote>
  <w:footnote w:id="3">
    <w:p w14:paraId="3BC6EEB6" w14:textId="77777777" w:rsidR="00553FCA" w:rsidRPr="002234D8" w:rsidRDefault="00553FCA" w:rsidP="005C7CBC">
      <w:pPr>
        <w:pStyle w:val="NIHRCFootnotes"/>
        <w:rPr>
          <w:color w:val="7030A0"/>
        </w:rPr>
      </w:pPr>
      <w:r w:rsidRPr="002234D8">
        <w:rPr>
          <w:rStyle w:val="FootnoteReference"/>
          <w:color w:val="7030A0"/>
        </w:rPr>
        <w:footnoteRef/>
      </w:r>
      <w:r w:rsidRPr="002234D8">
        <w:rPr>
          <w:color w:val="7030A0"/>
        </w:rPr>
        <w:t xml:space="preserve"> Ratified by the UK in 1979.</w:t>
      </w:r>
    </w:p>
  </w:footnote>
  <w:footnote w:id="4">
    <w:p w14:paraId="59C08792" w14:textId="77777777" w:rsidR="00553FCA" w:rsidRPr="002234D8" w:rsidRDefault="00553FCA" w:rsidP="005C7CBC">
      <w:pPr>
        <w:pStyle w:val="NIHRCFootnotes"/>
        <w:rPr>
          <w:color w:val="7030A0"/>
        </w:rPr>
      </w:pPr>
      <w:r w:rsidRPr="002234D8">
        <w:rPr>
          <w:rStyle w:val="FootnoteReference"/>
          <w:color w:val="7030A0"/>
        </w:rPr>
        <w:footnoteRef/>
      </w:r>
      <w:r w:rsidRPr="002234D8">
        <w:rPr>
          <w:color w:val="7030A0"/>
        </w:rPr>
        <w:t xml:space="preserve"> Ratified by the UK in 1991.</w:t>
      </w:r>
    </w:p>
  </w:footnote>
  <w:footnote w:id="5">
    <w:p w14:paraId="4A1DC282" w14:textId="77777777" w:rsidR="00553FCA" w:rsidRPr="002234D8" w:rsidRDefault="00553FCA" w:rsidP="005C7CBC">
      <w:pPr>
        <w:pStyle w:val="NIHRCFootnotes"/>
        <w:rPr>
          <w:color w:val="7030A0"/>
        </w:rPr>
      </w:pPr>
      <w:r w:rsidRPr="002234D8">
        <w:rPr>
          <w:rStyle w:val="FootnoteReference"/>
          <w:color w:val="7030A0"/>
        </w:rPr>
        <w:footnoteRef/>
      </w:r>
      <w:r w:rsidRPr="002234D8">
        <w:rPr>
          <w:color w:val="7030A0"/>
        </w:rPr>
        <w:t xml:space="preserve"> Ratified by the UK in 2009.</w:t>
      </w:r>
    </w:p>
  </w:footnote>
  <w:footnote w:id="6">
    <w:p w14:paraId="72BBC03A" w14:textId="19AE8CCF" w:rsidR="00553FCA" w:rsidRPr="00A40CA4" w:rsidRDefault="00553FCA" w:rsidP="00A40CA4">
      <w:pPr>
        <w:pStyle w:val="FootnoteText"/>
        <w:rPr>
          <w:color w:val="7030A0"/>
        </w:rPr>
      </w:pPr>
      <w:r w:rsidRPr="002234D8">
        <w:rPr>
          <w:rStyle w:val="FootnoteReference"/>
          <w:color w:val="7030A0"/>
          <w:sz w:val="16"/>
          <w:szCs w:val="16"/>
        </w:rPr>
        <w:footnoteRef/>
      </w:r>
      <w:r w:rsidRPr="002234D8">
        <w:rPr>
          <w:color w:val="7030A0"/>
          <w:sz w:val="16"/>
          <w:szCs w:val="16"/>
        </w:rPr>
        <w:t xml:space="preserve"> </w:t>
      </w:r>
      <w:r w:rsidR="008477C7">
        <w:rPr>
          <w:color w:val="7030A0"/>
          <w:sz w:val="16"/>
          <w:szCs w:val="16"/>
        </w:rPr>
        <w:t xml:space="preserve">This includes </w:t>
      </w:r>
      <w:r w:rsidRPr="002234D8">
        <w:rPr>
          <w:rFonts w:cs="Arial"/>
          <w:color w:val="7030A0"/>
          <w:sz w:val="16"/>
          <w:szCs w:val="16"/>
          <w:shd w:val="clear" w:color="auto" w:fill="FFFFFF"/>
        </w:rPr>
        <w:t>resolutions and recommendations of international bodies such as the UN General Assembly or the Council of Europe.</w:t>
      </w:r>
    </w:p>
  </w:footnote>
  <w:footnote w:id="7">
    <w:p w14:paraId="27CA6A75"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Committee on Economic Social and Cultural Rights general comments No. 4 (1991) on the right to adequate housing and No. 7 (1997)</w:t>
      </w:r>
      <w:r>
        <w:rPr>
          <w:color w:val="7030A0"/>
          <w:sz w:val="16"/>
          <w:szCs w:val="16"/>
        </w:rPr>
        <w:t>.</w:t>
      </w:r>
    </w:p>
  </w:footnote>
  <w:footnote w:id="8">
    <w:p w14:paraId="1B62C7DF"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Ibid</w:t>
      </w:r>
      <w:r>
        <w:rPr>
          <w:color w:val="7030A0"/>
          <w:sz w:val="16"/>
          <w:szCs w:val="16"/>
        </w:rPr>
        <w:t>, para 8.</w:t>
      </w:r>
    </w:p>
  </w:footnote>
  <w:footnote w:id="9">
    <w:p w14:paraId="379A86C9"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Ibid</w:t>
      </w:r>
      <w:r>
        <w:rPr>
          <w:color w:val="7030A0"/>
          <w:sz w:val="16"/>
          <w:szCs w:val="16"/>
        </w:rPr>
        <w:t>.</w:t>
      </w:r>
    </w:p>
  </w:footnote>
  <w:footnote w:id="10">
    <w:p w14:paraId="3E319F84" w14:textId="77777777" w:rsidR="00553FCA" w:rsidRPr="002234D8" w:rsidRDefault="00553FCA" w:rsidP="00C7663E">
      <w:pPr>
        <w:rPr>
          <w:color w:val="7030A0"/>
          <w:sz w:val="16"/>
          <w:szCs w:val="16"/>
        </w:rPr>
      </w:pPr>
      <w:r w:rsidRPr="002234D8">
        <w:rPr>
          <w:rStyle w:val="FootnoteReference"/>
          <w:color w:val="7030A0"/>
          <w:sz w:val="16"/>
          <w:szCs w:val="16"/>
        </w:rPr>
        <w:footnoteRef/>
      </w:r>
      <w:r w:rsidRPr="002234D8">
        <w:rPr>
          <w:color w:val="7030A0"/>
          <w:sz w:val="16"/>
          <w:szCs w:val="16"/>
        </w:rPr>
        <w:t xml:space="preserve"> Article 5(e)(iii), Convention on the Elimination of Racial Discrimination 1965.</w:t>
      </w:r>
    </w:p>
  </w:footnote>
  <w:footnote w:id="11">
    <w:p w14:paraId="10C16445" w14:textId="4B7D436D" w:rsidR="00553FCA" w:rsidRPr="002234D8" w:rsidRDefault="00553FCA" w:rsidP="00C7663E">
      <w:pPr>
        <w:rPr>
          <w:color w:val="7030A0"/>
          <w:sz w:val="16"/>
          <w:szCs w:val="16"/>
        </w:rPr>
      </w:pPr>
      <w:r w:rsidRPr="002234D8">
        <w:rPr>
          <w:rStyle w:val="FootnoteReference"/>
          <w:color w:val="7030A0"/>
          <w:sz w:val="16"/>
          <w:szCs w:val="16"/>
        </w:rPr>
        <w:footnoteRef/>
      </w:r>
      <w:r w:rsidRPr="002234D8">
        <w:rPr>
          <w:color w:val="7030A0"/>
          <w:sz w:val="16"/>
          <w:szCs w:val="16"/>
        </w:rPr>
        <w:t xml:space="preserve"> Article 14(2)(h), Convention on the Elimination of Discrimination against Women 1979</w:t>
      </w:r>
      <w:r w:rsidR="00BD2731">
        <w:rPr>
          <w:color w:val="7030A0"/>
          <w:sz w:val="16"/>
          <w:szCs w:val="16"/>
        </w:rPr>
        <w:t>.</w:t>
      </w:r>
    </w:p>
  </w:footnote>
  <w:footnote w:id="12">
    <w:p w14:paraId="66307252" w14:textId="1F907AE6" w:rsidR="00553FCA" w:rsidRPr="002234D8" w:rsidRDefault="00553FCA" w:rsidP="00C7663E">
      <w:pPr>
        <w:rPr>
          <w:color w:val="7030A0"/>
          <w:sz w:val="16"/>
          <w:szCs w:val="16"/>
        </w:rPr>
      </w:pPr>
      <w:r w:rsidRPr="002234D8">
        <w:rPr>
          <w:rStyle w:val="FootnoteReference"/>
          <w:color w:val="7030A0"/>
          <w:sz w:val="16"/>
          <w:szCs w:val="16"/>
        </w:rPr>
        <w:footnoteRef/>
      </w:r>
      <w:r w:rsidRPr="002234D8">
        <w:rPr>
          <w:color w:val="7030A0"/>
          <w:sz w:val="16"/>
          <w:szCs w:val="16"/>
        </w:rPr>
        <w:t xml:space="preserve"> Article 27(3), Convention on the Rights of the Child 1989</w:t>
      </w:r>
      <w:r w:rsidR="00BD2731">
        <w:rPr>
          <w:color w:val="7030A0"/>
          <w:sz w:val="16"/>
          <w:szCs w:val="16"/>
        </w:rPr>
        <w:t>.</w:t>
      </w:r>
    </w:p>
  </w:footnote>
  <w:footnote w:id="13">
    <w:p w14:paraId="6B9EAA06" w14:textId="04C79C48" w:rsidR="00553FCA" w:rsidRPr="002234D8" w:rsidRDefault="00553FCA" w:rsidP="00C7663E">
      <w:pPr>
        <w:rPr>
          <w:color w:val="7030A0"/>
          <w:sz w:val="16"/>
          <w:szCs w:val="16"/>
        </w:rPr>
      </w:pPr>
      <w:r w:rsidRPr="002234D8">
        <w:rPr>
          <w:rStyle w:val="FootnoteReference"/>
          <w:color w:val="7030A0"/>
          <w:sz w:val="16"/>
          <w:szCs w:val="16"/>
        </w:rPr>
        <w:footnoteRef/>
      </w:r>
      <w:r w:rsidRPr="002234D8">
        <w:rPr>
          <w:color w:val="7030A0"/>
          <w:sz w:val="16"/>
          <w:szCs w:val="16"/>
        </w:rPr>
        <w:t xml:space="preserve"> Articles 9, 28(1) and 28(2)(d), Convention on the Rights of Persons with Disabilities 2006</w:t>
      </w:r>
      <w:r w:rsidR="00BD2731">
        <w:rPr>
          <w:color w:val="7030A0"/>
          <w:sz w:val="16"/>
          <w:szCs w:val="16"/>
        </w:rPr>
        <w:t>.</w:t>
      </w:r>
    </w:p>
  </w:footnote>
  <w:footnote w:id="14">
    <w:p w14:paraId="40ED9A25" w14:textId="14A79176" w:rsidR="00553FCA" w:rsidRDefault="00553FCA">
      <w:pPr>
        <w:pStyle w:val="FootnoteText"/>
      </w:pPr>
      <w:r w:rsidRPr="002234D8">
        <w:rPr>
          <w:rStyle w:val="FootnoteReference"/>
          <w:color w:val="7030A0"/>
          <w:sz w:val="16"/>
          <w:szCs w:val="16"/>
        </w:rPr>
        <w:footnoteRef/>
      </w:r>
      <w:r w:rsidRPr="002234D8">
        <w:rPr>
          <w:color w:val="7030A0"/>
          <w:sz w:val="16"/>
          <w:szCs w:val="16"/>
        </w:rPr>
        <w:t xml:space="preserve"> CRPD/C/18/1, UNCRPD General comment on article 19: Living independently and being included in the community (29 August 2017), </w:t>
      </w:r>
      <w:r w:rsidR="00BD2731">
        <w:rPr>
          <w:color w:val="7030A0"/>
          <w:sz w:val="16"/>
          <w:szCs w:val="16"/>
        </w:rPr>
        <w:t xml:space="preserve">at </w:t>
      </w:r>
      <w:r w:rsidRPr="002234D8">
        <w:rPr>
          <w:color w:val="7030A0"/>
          <w:sz w:val="16"/>
          <w:szCs w:val="16"/>
        </w:rPr>
        <w:t>para 79. See also CRPD/C/GC/2, UNCRPD, General Comment No 2 (22 May 2014).</w:t>
      </w:r>
      <w:r w:rsidRPr="002234D8">
        <w:rPr>
          <w:color w:val="7030A0"/>
        </w:rPr>
        <w:t xml:space="preserve"> </w:t>
      </w:r>
    </w:p>
  </w:footnote>
  <w:footnote w:id="15">
    <w:p w14:paraId="763F61EB" w14:textId="7B842AEA" w:rsidR="00553FCA" w:rsidRPr="002234D8" w:rsidRDefault="00553FCA" w:rsidP="00006B45">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009238B9" w:rsidRPr="002234D8">
        <w:rPr>
          <w:color w:val="7030A0"/>
          <w:sz w:val="16"/>
          <w:szCs w:val="16"/>
        </w:rPr>
        <w:t>Office of the United Nations High Commissioner for Human Rights</w:t>
      </w:r>
      <w:r w:rsidR="009238B9">
        <w:rPr>
          <w:color w:val="7030A0"/>
          <w:sz w:val="16"/>
          <w:szCs w:val="16"/>
        </w:rPr>
        <w:t>,</w:t>
      </w:r>
      <w:r w:rsidR="009238B9" w:rsidRPr="002234D8">
        <w:rPr>
          <w:color w:val="7030A0"/>
          <w:sz w:val="16"/>
          <w:szCs w:val="16"/>
        </w:rPr>
        <w:t xml:space="preserve"> </w:t>
      </w:r>
      <w:r w:rsidRPr="002234D8">
        <w:rPr>
          <w:color w:val="7030A0"/>
          <w:sz w:val="16"/>
          <w:szCs w:val="16"/>
        </w:rPr>
        <w:t>Questions on Economic, Social and Cultural Rights (Factsheet 33)</w:t>
      </w:r>
      <w:r w:rsidR="005678BD">
        <w:rPr>
          <w:color w:val="7030A0"/>
          <w:sz w:val="16"/>
          <w:szCs w:val="16"/>
        </w:rPr>
        <w:t xml:space="preserve">, at </w:t>
      </w:r>
      <w:r w:rsidRPr="002234D8">
        <w:rPr>
          <w:color w:val="7030A0"/>
          <w:sz w:val="16"/>
          <w:szCs w:val="16"/>
        </w:rPr>
        <w:t>13</w:t>
      </w:r>
      <w:r w:rsidR="00BD2731">
        <w:rPr>
          <w:color w:val="7030A0"/>
          <w:sz w:val="16"/>
          <w:szCs w:val="16"/>
        </w:rPr>
        <w:t>.</w:t>
      </w:r>
    </w:p>
  </w:footnote>
  <w:footnote w:id="16">
    <w:p w14:paraId="789C6476"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Pr="00180EF3">
        <w:rPr>
          <w:color w:val="7030A0"/>
          <w:sz w:val="16"/>
          <w:szCs w:val="16"/>
        </w:rPr>
        <w:t>E/1991/23, UN Committee on Economic, Social and Cultural Rights, ‘General Comment No. 3: The Nature of States Parties’ Obligations’, (CESCR, 1990), at para 9.</w:t>
      </w:r>
    </w:p>
  </w:footnote>
  <w:footnote w:id="17">
    <w:p w14:paraId="22C6F8E2" w14:textId="29554F38"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Ibid, </w:t>
      </w:r>
      <w:r w:rsidR="00310013">
        <w:rPr>
          <w:color w:val="7030A0"/>
          <w:sz w:val="16"/>
          <w:szCs w:val="16"/>
        </w:rPr>
        <w:t xml:space="preserve">at </w:t>
      </w:r>
      <w:r w:rsidRPr="002234D8">
        <w:rPr>
          <w:color w:val="7030A0"/>
          <w:sz w:val="16"/>
          <w:szCs w:val="16"/>
        </w:rPr>
        <w:t>para 2.</w:t>
      </w:r>
    </w:p>
  </w:footnote>
  <w:footnote w:id="18">
    <w:p w14:paraId="4646ACE0" w14:textId="77777777" w:rsidR="00553FCA" w:rsidRPr="00180EF3" w:rsidRDefault="00553FCA" w:rsidP="00180EF3">
      <w:pPr>
        <w:rPr>
          <w:color w:val="7030A0"/>
          <w:sz w:val="16"/>
          <w:szCs w:val="16"/>
        </w:rPr>
      </w:pPr>
      <w:r w:rsidRPr="00180EF3">
        <w:rPr>
          <w:rStyle w:val="FootnoteReference"/>
          <w:color w:val="7030A0"/>
          <w:sz w:val="16"/>
          <w:szCs w:val="16"/>
        </w:rPr>
        <w:footnoteRef/>
      </w:r>
      <w:r w:rsidRPr="00180EF3">
        <w:rPr>
          <w:color w:val="7030A0"/>
          <w:sz w:val="16"/>
          <w:szCs w:val="16"/>
        </w:rPr>
        <w:t xml:space="preserve"> E/1991/23, UN Committee on Economic, Social and Cultural Rights, ‘General Comment No. 3: The Nature of States Parties’ Obligations’, (CESCR, 1990), at para 9.</w:t>
      </w:r>
    </w:p>
  </w:footnote>
  <w:footnote w:id="19">
    <w:p w14:paraId="2062DEC0" w14:textId="7FB8C8E1" w:rsidR="00553FCA" w:rsidRPr="00405517" w:rsidRDefault="00553FCA" w:rsidP="00180EF3">
      <w:pPr>
        <w:rPr>
          <w:color w:val="7030A0"/>
          <w:sz w:val="16"/>
          <w:szCs w:val="16"/>
        </w:rPr>
      </w:pPr>
      <w:r w:rsidRPr="00405517">
        <w:rPr>
          <w:rStyle w:val="FootnoteReference"/>
          <w:color w:val="7030A0"/>
          <w:sz w:val="16"/>
          <w:szCs w:val="16"/>
        </w:rPr>
        <w:footnoteRef/>
      </w:r>
      <w:r w:rsidRPr="00405517">
        <w:rPr>
          <w:color w:val="7030A0"/>
          <w:sz w:val="16"/>
          <w:szCs w:val="16"/>
        </w:rPr>
        <w:t xml:space="preserve"> Weaver v London and Quadrant Housing Trust [2009] EWCA Civ 587</w:t>
      </w:r>
    </w:p>
  </w:footnote>
  <w:footnote w:id="20">
    <w:p w14:paraId="0C082945" w14:textId="6EFF52AD" w:rsidR="00553FCA" w:rsidRPr="002234D8" w:rsidRDefault="00553FCA" w:rsidP="007A4600">
      <w:pPr>
        <w:rPr>
          <w:color w:val="7030A0"/>
          <w:sz w:val="16"/>
          <w:szCs w:val="16"/>
        </w:rPr>
      </w:pPr>
      <w:r w:rsidRPr="002234D8">
        <w:rPr>
          <w:rStyle w:val="FootnoteReference"/>
          <w:color w:val="7030A0"/>
          <w:sz w:val="16"/>
          <w:szCs w:val="16"/>
        </w:rPr>
        <w:footnoteRef/>
      </w:r>
      <w:r w:rsidRPr="002234D8">
        <w:rPr>
          <w:color w:val="7030A0"/>
          <w:sz w:val="16"/>
          <w:szCs w:val="16"/>
        </w:rPr>
        <w:t xml:space="preserve"> Chapman v United Kingdom,</w:t>
      </w:r>
      <w:r w:rsidR="001A1907">
        <w:rPr>
          <w:color w:val="7030A0"/>
          <w:sz w:val="16"/>
          <w:szCs w:val="16"/>
        </w:rPr>
        <w:t xml:space="preserve"> no. </w:t>
      </w:r>
      <w:r w:rsidR="001A1907" w:rsidRPr="001A1907">
        <w:rPr>
          <w:color w:val="7030A0"/>
          <w:sz w:val="16"/>
          <w:szCs w:val="16"/>
        </w:rPr>
        <w:t>27238/95</w:t>
      </w:r>
      <w:r w:rsidR="001A1907">
        <w:rPr>
          <w:color w:val="7030A0"/>
          <w:sz w:val="16"/>
          <w:szCs w:val="16"/>
        </w:rPr>
        <w:t>, 2001</w:t>
      </w:r>
      <w:r w:rsidR="00310013">
        <w:rPr>
          <w:color w:val="7030A0"/>
          <w:sz w:val="16"/>
          <w:szCs w:val="16"/>
        </w:rPr>
        <w:t>, at</w:t>
      </w:r>
      <w:r w:rsidRPr="002234D8">
        <w:rPr>
          <w:color w:val="7030A0"/>
          <w:sz w:val="16"/>
          <w:szCs w:val="16"/>
        </w:rPr>
        <w:t xml:space="preserve"> para 99</w:t>
      </w:r>
      <w:r w:rsidR="00BD2731">
        <w:rPr>
          <w:color w:val="7030A0"/>
          <w:sz w:val="16"/>
          <w:szCs w:val="16"/>
        </w:rPr>
        <w:t>.</w:t>
      </w:r>
    </w:p>
  </w:footnote>
  <w:footnote w:id="21">
    <w:p w14:paraId="3023F46A" w14:textId="7BF3E949" w:rsidR="00553FCA" w:rsidRPr="002234D8" w:rsidRDefault="00553FCA" w:rsidP="007A4600">
      <w:pPr>
        <w:rPr>
          <w:color w:val="7030A0"/>
          <w:sz w:val="16"/>
          <w:szCs w:val="16"/>
        </w:rPr>
      </w:pPr>
      <w:r w:rsidRPr="002234D8">
        <w:rPr>
          <w:rStyle w:val="FootnoteReference"/>
          <w:color w:val="7030A0"/>
          <w:sz w:val="16"/>
          <w:szCs w:val="16"/>
        </w:rPr>
        <w:footnoteRef/>
      </w:r>
      <w:r w:rsidRPr="002234D8">
        <w:rPr>
          <w:color w:val="7030A0"/>
          <w:sz w:val="16"/>
          <w:szCs w:val="16"/>
        </w:rPr>
        <w:t xml:space="preserve"> Garib v Netherlands,</w:t>
      </w:r>
      <w:r w:rsidR="007201EA">
        <w:rPr>
          <w:color w:val="7030A0"/>
          <w:sz w:val="16"/>
          <w:szCs w:val="16"/>
        </w:rPr>
        <w:t xml:space="preserve"> </w:t>
      </w:r>
      <w:r w:rsidR="007201EA" w:rsidRPr="007201EA">
        <w:rPr>
          <w:color w:val="7030A0"/>
          <w:sz w:val="16"/>
          <w:szCs w:val="16"/>
        </w:rPr>
        <w:t>n</w:t>
      </w:r>
      <w:r w:rsidR="007201EA">
        <w:rPr>
          <w:color w:val="7030A0"/>
          <w:sz w:val="16"/>
          <w:szCs w:val="16"/>
        </w:rPr>
        <w:t xml:space="preserve">o </w:t>
      </w:r>
      <w:r w:rsidR="007201EA" w:rsidRPr="007201EA">
        <w:rPr>
          <w:color w:val="7030A0"/>
          <w:sz w:val="16"/>
          <w:szCs w:val="16"/>
        </w:rPr>
        <w:t>43494/09</w:t>
      </w:r>
      <w:r w:rsidR="009A48A9">
        <w:rPr>
          <w:color w:val="7030A0"/>
          <w:sz w:val="16"/>
          <w:szCs w:val="16"/>
        </w:rPr>
        <w:t>, 2017,</w:t>
      </w:r>
      <w:r w:rsidRPr="002234D8">
        <w:rPr>
          <w:color w:val="7030A0"/>
          <w:sz w:val="16"/>
          <w:szCs w:val="16"/>
        </w:rPr>
        <w:t xml:space="preserve"> </w:t>
      </w:r>
      <w:r w:rsidR="00B11B2B">
        <w:rPr>
          <w:color w:val="7030A0"/>
          <w:sz w:val="16"/>
          <w:szCs w:val="16"/>
        </w:rPr>
        <w:t xml:space="preserve">at </w:t>
      </w:r>
      <w:r w:rsidRPr="002234D8">
        <w:rPr>
          <w:color w:val="7030A0"/>
          <w:sz w:val="16"/>
          <w:szCs w:val="16"/>
        </w:rPr>
        <w:t>para 141</w:t>
      </w:r>
      <w:r w:rsidR="00B11B2B">
        <w:rPr>
          <w:color w:val="7030A0"/>
          <w:sz w:val="16"/>
          <w:szCs w:val="16"/>
        </w:rPr>
        <w:t>.</w:t>
      </w:r>
    </w:p>
  </w:footnote>
  <w:footnote w:id="22">
    <w:p w14:paraId="6E6450C2" w14:textId="00126168" w:rsidR="00553FCA" w:rsidRPr="002234D8" w:rsidRDefault="00553FCA" w:rsidP="007A4600">
      <w:pPr>
        <w:rPr>
          <w:color w:val="7030A0"/>
          <w:sz w:val="16"/>
          <w:szCs w:val="16"/>
        </w:rPr>
      </w:pPr>
      <w:r w:rsidRPr="002234D8">
        <w:rPr>
          <w:rStyle w:val="FootnoteReference"/>
          <w:color w:val="7030A0"/>
          <w:sz w:val="16"/>
          <w:szCs w:val="16"/>
        </w:rPr>
        <w:footnoteRef/>
      </w:r>
      <w:r w:rsidRPr="002234D8">
        <w:rPr>
          <w:color w:val="7030A0"/>
          <w:sz w:val="16"/>
          <w:szCs w:val="16"/>
        </w:rPr>
        <w:t xml:space="preserve"> Hudorovič and Others v Slovenia,</w:t>
      </w:r>
      <w:r w:rsidR="0048142C">
        <w:rPr>
          <w:color w:val="7030A0"/>
          <w:sz w:val="16"/>
          <w:szCs w:val="16"/>
        </w:rPr>
        <w:t xml:space="preserve"> </w:t>
      </w:r>
      <w:r w:rsidR="0048142C" w:rsidRPr="0048142C">
        <w:rPr>
          <w:color w:val="7030A0"/>
          <w:sz w:val="16"/>
          <w:szCs w:val="16"/>
        </w:rPr>
        <w:t>nos. 24816/14 and 25140/14</w:t>
      </w:r>
      <w:r w:rsidR="0048142C">
        <w:rPr>
          <w:color w:val="7030A0"/>
          <w:sz w:val="16"/>
          <w:szCs w:val="16"/>
        </w:rPr>
        <w:t>, 2020</w:t>
      </w:r>
      <w:r w:rsidR="002E4916">
        <w:rPr>
          <w:color w:val="7030A0"/>
          <w:sz w:val="16"/>
          <w:szCs w:val="16"/>
        </w:rPr>
        <w:t>,</w:t>
      </w:r>
      <w:r w:rsidRPr="002234D8">
        <w:rPr>
          <w:color w:val="7030A0"/>
          <w:sz w:val="16"/>
          <w:szCs w:val="16"/>
        </w:rPr>
        <w:t xml:space="preserve"> </w:t>
      </w:r>
      <w:r w:rsidR="00B11B2B">
        <w:rPr>
          <w:color w:val="7030A0"/>
          <w:sz w:val="16"/>
          <w:szCs w:val="16"/>
        </w:rPr>
        <w:t xml:space="preserve">at </w:t>
      </w:r>
      <w:r w:rsidRPr="002234D8">
        <w:rPr>
          <w:color w:val="7030A0"/>
          <w:sz w:val="16"/>
          <w:szCs w:val="16"/>
        </w:rPr>
        <w:t>para 114</w:t>
      </w:r>
      <w:r w:rsidR="00B11B2B">
        <w:rPr>
          <w:color w:val="7030A0"/>
          <w:sz w:val="16"/>
          <w:szCs w:val="16"/>
        </w:rPr>
        <w:t>.</w:t>
      </w:r>
      <w:r w:rsidRPr="002234D8">
        <w:rPr>
          <w:color w:val="7030A0"/>
          <w:sz w:val="16"/>
          <w:szCs w:val="16"/>
        </w:rPr>
        <w:t xml:space="preserve"> </w:t>
      </w:r>
    </w:p>
  </w:footnote>
  <w:footnote w:id="23">
    <w:p w14:paraId="197B22E8" w14:textId="7C264B84"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Novoseletskiy v. Ukraine,</w:t>
      </w:r>
      <w:r w:rsidR="002E4916">
        <w:rPr>
          <w:color w:val="7030A0"/>
          <w:sz w:val="16"/>
          <w:szCs w:val="16"/>
        </w:rPr>
        <w:t xml:space="preserve"> </w:t>
      </w:r>
      <w:r w:rsidR="002E4916" w:rsidRPr="002E4916">
        <w:rPr>
          <w:color w:val="7030A0"/>
          <w:sz w:val="16"/>
          <w:szCs w:val="16"/>
        </w:rPr>
        <w:t>47148/99</w:t>
      </w:r>
      <w:r w:rsidR="002E4916">
        <w:rPr>
          <w:color w:val="7030A0"/>
          <w:sz w:val="16"/>
          <w:szCs w:val="16"/>
        </w:rPr>
        <w:t>, 2005,</w:t>
      </w:r>
      <w:r w:rsidRPr="002234D8">
        <w:rPr>
          <w:color w:val="7030A0"/>
          <w:sz w:val="16"/>
          <w:szCs w:val="16"/>
        </w:rPr>
        <w:t xml:space="preserve"> </w:t>
      </w:r>
      <w:r w:rsidR="00B11B2B">
        <w:rPr>
          <w:color w:val="7030A0"/>
          <w:sz w:val="16"/>
          <w:szCs w:val="16"/>
        </w:rPr>
        <w:t xml:space="preserve">at </w:t>
      </w:r>
      <w:r w:rsidRPr="002234D8">
        <w:rPr>
          <w:color w:val="7030A0"/>
          <w:sz w:val="16"/>
          <w:szCs w:val="16"/>
        </w:rPr>
        <w:t>para</w:t>
      </w:r>
      <w:r w:rsidR="00B11B2B">
        <w:rPr>
          <w:color w:val="7030A0"/>
          <w:sz w:val="16"/>
          <w:szCs w:val="16"/>
        </w:rPr>
        <w:t>s</w:t>
      </w:r>
      <w:r w:rsidRPr="002234D8">
        <w:rPr>
          <w:color w:val="7030A0"/>
          <w:sz w:val="16"/>
          <w:szCs w:val="16"/>
        </w:rPr>
        <w:t xml:space="preserve"> 84-88</w:t>
      </w:r>
      <w:r w:rsidR="00B11B2B">
        <w:rPr>
          <w:color w:val="7030A0"/>
          <w:sz w:val="16"/>
          <w:szCs w:val="16"/>
        </w:rPr>
        <w:t>.</w:t>
      </w:r>
    </w:p>
  </w:footnote>
  <w:footnote w:id="24">
    <w:p w14:paraId="23F6DEA6" w14:textId="11F634F6" w:rsidR="00553FCA" w:rsidRDefault="00553FCA">
      <w:pPr>
        <w:pStyle w:val="FootnoteText"/>
      </w:pPr>
      <w:r w:rsidRPr="002234D8">
        <w:rPr>
          <w:rStyle w:val="FootnoteReference"/>
          <w:color w:val="7030A0"/>
          <w:sz w:val="16"/>
          <w:szCs w:val="16"/>
        </w:rPr>
        <w:footnoteRef/>
      </w:r>
      <w:r w:rsidRPr="002234D8">
        <w:rPr>
          <w:color w:val="7030A0"/>
          <w:sz w:val="16"/>
          <w:szCs w:val="16"/>
        </w:rPr>
        <w:t xml:space="preserve"> Bah v United Kingdom,</w:t>
      </w:r>
      <w:r w:rsidR="00941495">
        <w:rPr>
          <w:color w:val="7030A0"/>
          <w:sz w:val="16"/>
          <w:szCs w:val="16"/>
        </w:rPr>
        <w:t xml:space="preserve"> </w:t>
      </w:r>
      <w:r w:rsidR="00941495" w:rsidRPr="00941495">
        <w:rPr>
          <w:color w:val="7030A0"/>
          <w:sz w:val="16"/>
          <w:szCs w:val="16"/>
        </w:rPr>
        <w:t>no. 56328/07</w:t>
      </w:r>
      <w:r w:rsidR="00DF616B">
        <w:rPr>
          <w:color w:val="7030A0"/>
          <w:sz w:val="16"/>
          <w:szCs w:val="16"/>
        </w:rPr>
        <w:t xml:space="preserve">, </w:t>
      </w:r>
      <w:r w:rsidR="00941495" w:rsidRPr="00941495">
        <w:rPr>
          <w:color w:val="7030A0"/>
          <w:sz w:val="16"/>
          <w:szCs w:val="16"/>
        </w:rPr>
        <w:t>2011</w:t>
      </w:r>
      <w:r w:rsidR="00DF616B">
        <w:rPr>
          <w:color w:val="7030A0"/>
          <w:sz w:val="16"/>
          <w:szCs w:val="16"/>
        </w:rPr>
        <w:t xml:space="preserve">, </w:t>
      </w:r>
      <w:r w:rsidR="00B11B2B">
        <w:rPr>
          <w:color w:val="7030A0"/>
          <w:sz w:val="16"/>
          <w:szCs w:val="16"/>
        </w:rPr>
        <w:t xml:space="preserve">at </w:t>
      </w:r>
      <w:r w:rsidRPr="002234D8">
        <w:rPr>
          <w:color w:val="7030A0"/>
          <w:sz w:val="16"/>
          <w:szCs w:val="16"/>
        </w:rPr>
        <w:t>para 49; Paulić v Croatia</w:t>
      </w:r>
      <w:r w:rsidR="00146D48">
        <w:rPr>
          <w:color w:val="7030A0"/>
          <w:sz w:val="16"/>
          <w:szCs w:val="16"/>
        </w:rPr>
        <w:t>, n</w:t>
      </w:r>
      <w:r w:rsidR="00146D48" w:rsidRPr="00146D48">
        <w:rPr>
          <w:color w:val="7030A0"/>
          <w:sz w:val="16"/>
          <w:szCs w:val="16"/>
        </w:rPr>
        <w:t>o</w:t>
      </w:r>
      <w:r w:rsidR="00146D48">
        <w:rPr>
          <w:color w:val="7030A0"/>
          <w:sz w:val="16"/>
          <w:szCs w:val="16"/>
        </w:rPr>
        <w:t>.</w:t>
      </w:r>
      <w:r w:rsidR="00146D48" w:rsidRPr="00146D48">
        <w:rPr>
          <w:color w:val="7030A0"/>
          <w:sz w:val="16"/>
          <w:szCs w:val="16"/>
        </w:rPr>
        <w:t xml:space="preserve"> 3572/06</w:t>
      </w:r>
      <w:r w:rsidR="00146D48">
        <w:rPr>
          <w:color w:val="7030A0"/>
          <w:sz w:val="16"/>
          <w:szCs w:val="16"/>
        </w:rPr>
        <w:t>, 2009</w:t>
      </w:r>
      <w:r w:rsidRPr="002234D8">
        <w:rPr>
          <w:color w:val="7030A0"/>
          <w:sz w:val="16"/>
          <w:szCs w:val="16"/>
        </w:rPr>
        <w:t>; Kay and Others v United Kingdom</w:t>
      </w:r>
      <w:r w:rsidR="00D6179C">
        <w:rPr>
          <w:color w:val="7030A0"/>
          <w:sz w:val="16"/>
          <w:szCs w:val="16"/>
        </w:rPr>
        <w:t xml:space="preserve">, </w:t>
      </w:r>
      <w:r w:rsidR="00D6179C" w:rsidRPr="00D6179C">
        <w:rPr>
          <w:color w:val="7030A0"/>
          <w:sz w:val="16"/>
          <w:szCs w:val="16"/>
        </w:rPr>
        <w:t>no. 37341/06</w:t>
      </w:r>
      <w:r w:rsidR="00D6179C">
        <w:rPr>
          <w:color w:val="7030A0"/>
          <w:sz w:val="16"/>
          <w:szCs w:val="16"/>
        </w:rPr>
        <w:t xml:space="preserve">, </w:t>
      </w:r>
      <w:r w:rsidR="00E4342C">
        <w:rPr>
          <w:color w:val="7030A0"/>
          <w:sz w:val="16"/>
          <w:szCs w:val="16"/>
        </w:rPr>
        <w:t>2010</w:t>
      </w:r>
      <w:r w:rsidR="00B11B2B">
        <w:rPr>
          <w:color w:val="7030A0"/>
          <w:sz w:val="16"/>
          <w:szCs w:val="16"/>
        </w:rPr>
        <w:t>.</w:t>
      </w:r>
    </w:p>
  </w:footnote>
  <w:footnote w:id="25">
    <w:p w14:paraId="50C83AE7" w14:textId="2AD76DE6" w:rsidR="00553FCA" w:rsidRPr="002234D8" w:rsidRDefault="00553FCA">
      <w:pPr>
        <w:pStyle w:val="FootnoteText"/>
        <w:rPr>
          <w:sz w:val="16"/>
          <w:szCs w:val="16"/>
        </w:rPr>
      </w:pPr>
      <w:r w:rsidRPr="002234D8">
        <w:rPr>
          <w:rStyle w:val="FootnoteReference"/>
          <w:color w:val="7030A0"/>
          <w:sz w:val="16"/>
          <w:szCs w:val="16"/>
        </w:rPr>
        <w:footnoteRef/>
      </w:r>
      <w:r w:rsidRPr="002234D8">
        <w:rPr>
          <w:color w:val="7030A0"/>
          <w:sz w:val="16"/>
          <w:szCs w:val="16"/>
        </w:rPr>
        <w:t xml:space="preserve"> DfC, ‘Housing Supply Strategy: Call for Evidence’ (May 2021)</w:t>
      </w:r>
      <w:r>
        <w:rPr>
          <w:color w:val="7030A0"/>
          <w:sz w:val="16"/>
          <w:szCs w:val="16"/>
        </w:rPr>
        <w:t xml:space="preserve"> </w:t>
      </w:r>
      <w:r w:rsidR="00B83CCF">
        <w:rPr>
          <w:color w:val="7030A0"/>
          <w:sz w:val="16"/>
          <w:szCs w:val="16"/>
        </w:rPr>
        <w:t xml:space="preserve">at </w:t>
      </w:r>
      <w:r>
        <w:rPr>
          <w:color w:val="7030A0"/>
          <w:sz w:val="16"/>
          <w:szCs w:val="16"/>
        </w:rPr>
        <w:t>9</w:t>
      </w:r>
      <w:r w:rsidRPr="002234D8">
        <w:rPr>
          <w:color w:val="7030A0"/>
          <w:sz w:val="16"/>
          <w:szCs w:val="16"/>
        </w:rPr>
        <w:t>.</w:t>
      </w:r>
    </w:p>
  </w:footnote>
  <w:footnote w:id="26">
    <w:p w14:paraId="2C889D64" w14:textId="77777777" w:rsidR="00553FCA" w:rsidRPr="00157DBE" w:rsidRDefault="00553FCA" w:rsidP="00095823">
      <w:pPr>
        <w:pStyle w:val="FootnoteText"/>
        <w:rPr>
          <w:sz w:val="20"/>
          <w:szCs w:val="20"/>
        </w:rPr>
      </w:pPr>
      <w:r w:rsidRPr="002234D8">
        <w:rPr>
          <w:rStyle w:val="FootnoteReference"/>
          <w:color w:val="7030A0"/>
          <w:sz w:val="16"/>
          <w:szCs w:val="16"/>
        </w:rPr>
        <w:footnoteRef/>
      </w:r>
      <w:r w:rsidRPr="002234D8">
        <w:rPr>
          <w:color w:val="7030A0"/>
          <w:sz w:val="16"/>
          <w:szCs w:val="16"/>
        </w:rPr>
        <w:t xml:space="preserve"> </w:t>
      </w:r>
      <w:hyperlink r:id="rId1" w:history="1">
        <w:r w:rsidRPr="002234D8">
          <w:rPr>
            <w:rStyle w:val="Hyperlink"/>
            <w:color w:val="7030A0"/>
            <w:sz w:val="16"/>
            <w:szCs w:val="16"/>
          </w:rPr>
          <w:t>https://www.communities-ni.gov.uk/news/housing-statement-communities-minister-caral-ni-chuilin-3-november-2020</w:t>
        </w:r>
      </w:hyperlink>
    </w:p>
  </w:footnote>
  <w:footnote w:id="27">
    <w:p w14:paraId="100AC745" w14:textId="7AEF6F18" w:rsidR="00553FCA" w:rsidRPr="002234D8" w:rsidRDefault="00553FCA" w:rsidP="00693CCB">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Hoekstra, J. (2017), </w:t>
      </w:r>
      <w:r w:rsidR="00EC3366">
        <w:rPr>
          <w:color w:val="7030A0"/>
          <w:sz w:val="16"/>
          <w:szCs w:val="16"/>
        </w:rPr>
        <w:t>‘</w:t>
      </w:r>
      <w:r w:rsidRPr="002234D8">
        <w:rPr>
          <w:color w:val="7030A0"/>
          <w:sz w:val="16"/>
          <w:szCs w:val="16"/>
        </w:rPr>
        <w:t>Reregulation and Residualization in Dutch social Housing: a critical Evaluation of new Policies</w:t>
      </w:r>
      <w:r w:rsidR="00BD5AC0">
        <w:rPr>
          <w:color w:val="7030A0"/>
          <w:sz w:val="16"/>
          <w:szCs w:val="16"/>
        </w:rPr>
        <w:t>’</w:t>
      </w:r>
      <w:r w:rsidR="0062440E" w:rsidRPr="002234D8">
        <w:rPr>
          <w:color w:val="7030A0"/>
          <w:sz w:val="16"/>
          <w:szCs w:val="16"/>
        </w:rPr>
        <w:t xml:space="preserve">, </w:t>
      </w:r>
      <w:r w:rsidRPr="002234D8">
        <w:rPr>
          <w:color w:val="7030A0"/>
          <w:sz w:val="16"/>
          <w:szCs w:val="16"/>
        </w:rPr>
        <w:t xml:space="preserve">Critical Housing Analysis, Vol. 4/1, </w:t>
      </w:r>
      <w:r w:rsidR="00B11B2B">
        <w:rPr>
          <w:color w:val="7030A0"/>
          <w:sz w:val="16"/>
          <w:szCs w:val="16"/>
        </w:rPr>
        <w:t xml:space="preserve">at </w:t>
      </w:r>
      <w:r w:rsidRPr="002234D8">
        <w:rPr>
          <w:color w:val="7030A0"/>
          <w:sz w:val="16"/>
          <w:szCs w:val="16"/>
        </w:rPr>
        <w:t>pp. 31-39</w:t>
      </w:r>
      <w:r w:rsidR="00B11B2B">
        <w:rPr>
          <w:color w:val="7030A0"/>
          <w:sz w:val="16"/>
          <w:szCs w:val="16"/>
        </w:rPr>
        <w:t>.</w:t>
      </w:r>
    </w:p>
    <w:p w14:paraId="088B4F8D" w14:textId="77777777" w:rsidR="00553FCA" w:rsidRPr="002234D8" w:rsidRDefault="00553FCA" w:rsidP="00060410">
      <w:pPr>
        <w:pStyle w:val="FootnoteText"/>
        <w:rPr>
          <w:color w:val="7030A0"/>
          <w:sz w:val="16"/>
          <w:szCs w:val="16"/>
        </w:rPr>
      </w:pPr>
    </w:p>
  </w:footnote>
  <w:footnote w:id="28">
    <w:p w14:paraId="63779183" w14:textId="3B2D3DED" w:rsidR="00553FCA" w:rsidRPr="002234D8" w:rsidRDefault="00553FCA" w:rsidP="00060410">
      <w:pPr>
        <w:rPr>
          <w:rFonts w:cs="Arial"/>
          <w:color w:val="7030A0"/>
          <w:sz w:val="16"/>
          <w:szCs w:val="16"/>
          <w:shd w:val="clear" w:color="auto" w:fill="FFFFFF"/>
        </w:rPr>
      </w:pPr>
      <w:r w:rsidRPr="002234D8">
        <w:rPr>
          <w:rStyle w:val="FootnoteReference"/>
          <w:color w:val="7030A0"/>
          <w:sz w:val="16"/>
          <w:szCs w:val="16"/>
        </w:rPr>
        <w:footnoteRef/>
      </w:r>
      <w:r w:rsidRPr="002234D8">
        <w:rPr>
          <w:color w:val="7030A0"/>
          <w:sz w:val="16"/>
          <w:szCs w:val="16"/>
        </w:rPr>
        <w:t xml:space="preserve"> </w:t>
      </w:r>
      <w:r w:rsidRPr="002234D8">
        <w:rPr>
          <w:rFonts w:cs="Arial"/>
          <w:color w:val="7030A0"/>
          <w:sz w:val="16"/>
          <w:szCs w:val="16"/>
          <w:shd w:val="clear" w:color="auto" w:fill="FFFFFF"/>
        </w:rPr>
        <w:t xml:space="preserve">The Organisation for Economic </w:t>
      </w:r>
      <w:r w:rsidR="00FC67A4" w:rsidRPr="002234D8">
        <w:rPr>
          <w:rFonts w:cs="Arial"/>
          <w:color w:val="7030A0"/>
          <w:sz w:val="16"/>
          <w:szCs w:val="16"/>
          <w:shd w:val="clear" w:color="auto" w:fill="FFFFFF"/>
        </w:rPr>
        <w:t>Co-</w:t>
      </w:r>
      <w:r w:rsidR="00FC67A4" w:rsidRPr="002234D8">
        <w:rPr>
          <w:rFonts w:ascii="Arial" w:hAnsi="Arial" w:cs="Arial"/>
          <w:color w:val="7030A0"/>
          <w:sz w:val="16"/>
          <w:szCs w:val="16"/>
          <w:shd w:val="clear" w:color="auto" w:fill="FFFFFF"/>
        </w:rPr>
        <w:t>o</w:t>
      </w:r>
      <w:r w:rsidR="00FC67A4" w:rsidRPr="002234D8">
        <w:rPr>
          <w:rFonts w:cs="Arial"/>
          <w:color w:val="7030A0"/>
          <w:sz w:val="16"/>
          <w:szCs w:val="16"/>
          <w:shd w:val="clear" w:color="auto" w:fill="FFFFFF"/>
        </w:rPr>
        <w:t>peration</w:t>
      </w:r>
      <w:r w:rsidRPr="002234D8">
        <w:rPr>
          <w:rFonts w:cs="Arial"/>
          <w:color w:val="7030A0"/>
          <w:sz w:val="16"/>
          <w:szCs w:val="16"/>
          <w:shd w:val="clear" w:color="auto" w:fill="FFFFFF"/>
        </w:rPr>
        <w:t xml:space="preserve"> and Development (OECD) report - Social housing: A key part of past and future housing policy OECD 2020, p</w:t>
      </w:r>
      <w:r w:rsidR="0062440E">
        <w:rPr>
          <w:rFonts w:cs="Arial"/>
          <w:color w:val="7030A0"/>
          <w:sz w:val="16"/>
          <w:szCs w:val="16"/>
          <w:shd w:val="clear" w:color="auto" w:fill="FFFFFF"/>
        </w:rPr>
        <w:t>.</w:t>
      </w:r>
      <w:r w:rsidRPr="002234D8">
        <w:rPr>
          <w:rFonts w:cs="Arial"/>
          <w:color w:val="7030A0"/>
          <w:sz w:val="16"/>
          <w:szCs w:val="16"/>
          <w:shd w:val="clear" w:color="auto" w:fill="FFFFFF"/>
        </w:rPr>
        <w:t>15.</w:t>
      </w:r>
    </w:p>
  </w:footnote>
  <w:footnote w:id="29">
    <w:p w14:paraId="7D163EC1" w14:textId="141041AD" w:rsidR="00553FCA" w:rsidRPr="002234D8" w:rsidRDefault="00553FCA" w:rsidP="00CE4821">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Developing and rehabilitating social housing from the perspective of institutional model: Structure of provision, Research Institute for the Built &amp; Human Environment (BuHu), University of Salford</w:t>
      </w:r>
      <w:r w:rsidR="001947FF">
        <w:rPr>
          <w:color w:val="7030A0"/>
          <w:sz w:val="16"/>
          <w:szCs w:val="16"/>
        </w:rPr>
        <w:t>.</w:t>
      </w:r>
      <w:r w:rsidRPr="002234D8">
        <w:rPr>
          <w:color w:val="7030A0"/>
          <w:sz w:val="16"/>
          <w:szCs w:val="16"/>
        </w:rPr>
        <w:t xml:space="preserve"> </w:t>
      </w:r>
    </w:p>
  </w:footnote>
  <w:footnote w:id="30">
    <w:p w14:paraId="59726F18"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0062440E">
        <w:rPr>
          <w:color w:val="7030A0"/>
          <w:sz w:val="16"/>
          <w:szCs w:val="16"/>
        </w:rPr>
        <w:t xml:space="preserve">E/1992/23, </w:t>
      </w:r>
      <w:r w:rsidR="0062440E" w:rsidRPr="0062440E">
        <w:rPr>
          <w:color w:val="7030A0"/>
          <w:sz w:val="16"/>
          <w:szCs w:val="16"/>
        </w:rPr>
        <w:t>Committee on Economic Social and Cultural Rights, ‘</w:t>
      </w:r>
      <w:r w:rsidR="0062440E">
        <w:rPr>
          <w:color w:val="7030A0"/>
          <w:sz w:val="16"/>
          <w:szCs w:val="16"/>
        </w:rPr>
        <w:t xml:space="preserve">General </w:t>
      </w:r>
      <w:r w:rsidR="0062440E" w:rsidRPr="0062440E">
        <w:rPr>
          <w:color w:val="7030A0"/>
          <w:sz w:val="16"/>
          <w:szCs w:val="16"/>
        </w:rPr>
        <w:t>Comment No. 4’</w:t>
      </w:r>
      <w:r w:rsidR="0062440E">
        <w:rPr>
          <w:color w:val="7030A0"/>
          <w:sz w:val="16"/>
          <w:szCs w:val="16"/>
        </w:rPr>
        <w:t xml:space="preserve"> (1991) on the Right to A</w:t>
      </w:r>
      <w:r w:rsidR="0062440E" w:rsidRPr="0062440E">
        <w:rPr>
          <w:color w:val="7030A0"/>
          <w:sz w:val="16"/>
          <w:szCs w:val="16"/>
        </w:rPr>
        <w:t>dequate Housing (13 December 1991); E/1998/22, Committee on Economic Social and Cultural Rights, ‘General Comment No. 7 (20 May 1997)</w:t>
      </w:r>
      <w:r w:rsidR="0062440E">
        <w:rPr>
          <w:color w:val="7030A0"/>
          <w:sz w:val="16"/>
          <w:szCs w:val="16"/>
        </w:rPr>
        <w:t>.</w:t>
      </w:r>
    </w:p>
  </w:footnote>
  <w:footnote w:id="31">
    <w:p w14:paraId="161CC4A9"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Pr="002234D8">
        <w:rPr>
          <w:rFonts w:cs="Arial"/>
          <w:color w:val="7030A0"/>
          <w:sz w:val="16"/>
          <w:szCs w:val="16"/>
          <w:shd w:val="clear" w:color="auto" w:fill="FFFFFF"/>
        </w:rPr>
        <w:t>The Organisation for Economic Co-</w:t>
      </w:r>
      <w:r w:rsidRPr="002234D8">
        <w:rPr>
          <w:rFonts w:ascii="Arial" w:hAnsi="Arial" w:cs="Arial"/>
          <w:color w:val="7030A0"/>
          <w:sz w:val="16"/>
          <w:szCs w:val="16"/>
          <w:shd w:val="clear" w:color="auto" w:fill="FFFFFF"/>
        </w:rPr>
        <w:t>​</w:t>
      </w:r>
      <w:r w:rsidRPr="002234D8">
        <w:rPr>
          <w:rFonts w:cs="Arial"/>
          <w:color w:val="7030A0"/>
          <w:sz w:val="16"/>
          <w:szCs w:val="16"/>
          <w:shd w:val="clear" w:color="auto" w:fill="FFFFFF"/>
        </w:rPr>
        <w:t>operation and Development (OECD) report - Social housing: A key part of past and future housing policy © OECD 2020, pg 15.</w:t>
      </w:r>
    </w:p>
  </w:footnote>
  <w:footnote w:id="32">
    <w:p w14:paraId="68B1522C" w14:textId="77777777" w:rsidR="00553FCA" w:rsidRPr="0038698C" w:rsidRDefault="00553FCA">
      <w:pPr>
        <w:pStyle w:val="FootnoteText"/>
        <w:rPr>
          <w:sz w:val="20"/>
          <w:szCs w:val="20"/>
        </w:rPr>
      </w:pPr>
      <w:r w:rsidRPr="002234D8">
        <w:rPr>
          <w:rStyle w:val="FootnoteReference"/>
          <w:color w:val="7030A0"/>
          <w:sz w:val="16"/>
          <w:szCs w:val="16"/>
        </w:rPr>
        <w:footnoteRef/>
      </w:r>
      <w:hyperlink r:id="rId2" w:history="1">
        <w:r w:rsidRPr="002234D8">
          <w:rPr>
            <w:rStyle w:val="Hyperlink"/>
            <w:color w:val="7030A0"/>
            <w:sz w:val="16"/>
            <w:szCs w:val="16"/>
          </w:rPr>
          <w:t>https://www.ons.gov.uk/peoplepopulationandcommunity/housing/articles/comparingaffordablehousingintheuk/april2008tomarch2018</w:t>
        </w:r>
      </w:hyperlink>
    </w:p>
  </w:footnote>
  <w:footnote w:id="33">
    <w:p w14:paraId="75AA4676" w14:textId="7100A1AF"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Grishchenko v Russia</w:t>
      </w:r>
      <w:r w:rsidR="00726075">
        <w:rPr>
          <w:color w:val="7030A0"/>
          <w:sz w:val="16"/>
          <w:szCs w:val="16"/>
        </w:rPr>
        <w:t xml:space="preserve">, </w:t>
      </w:r>
      <w:r w:rsidR="00726075" w:rsidRPr="00726075">
        <w:rPr>
          <w:color w:val="7030A0"/>
          <w:sz w:val="16"/>
          <w:szCs w:val="16"/>
        </w:rPr>
        <w:t>no. 75907/01</w:t>
      </w:r>
      <w:r w:rsidR="00726075">
        <w:rPr>
          <w:color w:val="7030A0"/>
          <w:sz w:val="16"/>
          <w:szCs w:val="16"/>
        </w:rPr>
        <w:t>,</w:t>
      </w:r>
      <w:r w:rsidR="00726075" w:rsidRPr="00726075">
        <w:rPr>
          <w:color w:val="7030A0"/>
          <w:sz w:val="16"/>
          <w:szCs w:val="16"/>
        </w:rPr>
        <w:t xml:space="preserve"> 2004</w:t>
      </w:r>
      <w:r w:rsidRPr="002234D8">
        <w:rPr>
          <w:color w:val="7030A0"/>
          <w:sz w:val="16"/>
          <w:szCs w:val="16"/>
        </w:rPr>
        <w:t xml:space="preserve">; </w:t>
      </w:r>
      <w:r w:rsidRPr="002234D8">
        <w:rPr>
          <w:rFonts w:cs="Arial"/>
          <w:color w:val="7030A0"/>
          <w:sz w:val="16"/>
          <w:szCs w:val="16"/>
          <w:shd w:val="clear" w:color="auto" w:fill="FFFFFF"/>
        </w:rPr>
        <w:t>Denisov v Ukraine</w:t>
      </w:r>
      <w:r w:rsidR="00C87A86">
        <w:rPr>
          <w:rFonts w:cs="Arial"/>
          <w:color w:val="7030A0"/>
          <w:sz w:val="16"/>
          <w:szCs w:val="16"/>
          <w:shd w:val="clear" w:color="auto" w:fill="FFFFFF"/>
        </w:rPr>
        <w:t xml:space="preserve">, no. </w:t>
      </w:r>
      <w:r w:rsidR="00C87A86" w:rsidRPr="00C87A86">
        <w:rPr>
          <w:rFonts w:cs="Arial"/>
          <w:color w:val="7030A0"/>
          <w:sz w:val="16"/>
          <w:szCs w:val="16"/>
          <w:shd w:val="clear" w:color="auto" w:fill="FFFFFF"/>
        </w:rPr>
        <w:t>76639/11</w:t>
      </w:r>
      <w:r w:rsidR="00C87A86">
        <w:rPr>
          <w:rFonts w:cs="Arial"/>
          <w:color w:val="7030A0"/>
          <w:sz w:val="16"/>
          <w:szCs w:val="16"/>
          <w:shd w:val="clear" w:color="auto" w:fill="FFFFFF"/>
        </w:rPr>
        <w:t>, 2018</w:t>
      </w:r>
    </w:p>
  </w:footnote>
  <w:footnote w:id="34">
    <w:p w14:paraId="205E0CF6" w14:textId="6AEA51D8"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Stretch v United Kingdom</w:t>
      </w:r>
      <w:r w:rsidR="00E1769F">
        <w:rPr>
          <w:color w:val="7030A0"/>
          <w:sz w:val="16"/>
          <w:szCs w:val="16"/>
        </w:rPr>
        <w:t xml:space="preserve">, no. </w:t>
      </w:r>
      <w:r w:rsidR="00E1769F" w:rsidRPr="00E1769F">
        <w:rPr>
          <w:color w:val="7030A0"/>
          <w:sz w:val="16"/>
          <w:szCs w:val="16"/>
        </w:rPr>
        <w:t>44277/98</w:t>
      </w:r>
      <w:r w:rsidR="00E1769F">
        <w:rPr>
          <w:color w:val="7030A0"/>
          <w:sz w:val="16"/>
          <w:szCs w:val="16"/>
        </w:rPr>
        <w:t>, 20</w:t>
      </w:r>
      <w:r w:rsidR="00BC3177">
        <w:rPr>
          <w:color w:val="7030A0"/>
          <w:sz w:val="16"/>
          <w:szCs w:val="16"/>
        </w:rPr>
        <w:t>01</w:t>
      </w:r>
      <w:r w:rsidRPr="002234D8">
        <w:rPr>
          <w:color w:val="7030A0"/>
          <w:sz w:val="16"/>
          <w:szCs w:val="16"/>
        </w:rPr>
        <w:t>; Tchokontio Happi v France</w:t>
      </w:r>
      <w:r w:rsidR="008C7300">
        <w:rPr>
          <w:color w:val="7030A0"/>
          <w:sz w:val="16"/>
          <w:szCs w:val="16"/>
        </w:rPr>
        <w:t xml:space="preserve">, no. </w:t>
      </w:r>
      <w:r w:rsidR="008C7300" w:rsidRPr="008C7300">
        <w:rPr>
          <w:color w:val="7030A0"/>
          <w:sz w:val="16"/>
          <w:szCs w:val="16"/>
        </w:rPr>
        <w:t>65829/12</w:t>
      </w:r>
      <w:r w:rsidR="008C7300">
        <w:rPr>
          <w:color w:val="7030A0"/>
          <w:sz w:val="16"/>
          <w:szCs w:val="16"/>
        </w:rPr>
        <w:t>, 2015</w:t>
      </w:r>
    </w:p>
  </w:footnote>
  <w:footnote w:id="35">
    <w:p w14:paraId="53240904"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As previously mentioned, whilst there is a right in ECtHR jurisprudence to the use of a property, there is no right for an individual to acquire it. There would also be a wider public interest not having to allow a tenant to purchase their home.</w:t>
      </w:r>
    </w:p>
  </w:footnote>
  <w:footnote w:id="36">
    <w:p w14:paraId="287ABB84" w14:textId="45286FF6" w:rsidR="00553FCA" w:rsidRPr="000D6761" w:rsidRDefault="00553FCA" w:rsidP="00582F55">
      <w:pPr>
        <w:pStyle w:val="FootnoteText"/>
        <w:rPr>
          <w:sz w:val="20"/>
          <w:szCs w:val="20"/>
        </w:rPr>
      </w:pPr>
      <w:r w:rsidRPr="002234D8">
        <w:rPr>
          <w:rStyle w:val="FootnoteReference"/>
          <w:color w:val="7030A0"/>
          <w:sz w:val="16"/>
          <w:szCs w:val="16"/>
        </w:rPr>
        <w:footnoteRef/>
      </w:r>
      <w:r w:rsidRPr="002234D8">
        <w:rPr>
          <w:color w:val="7030A0"/>
          <w:sz w:val="16"/>
          <w:szCs w:val="16"/>
        </w:rPr>
        <w:t xml:space="preserve"> The End of the Right to Buy and the Future of Social Housing in Scotland - Kim McKee Centre for Housing Research</w:t>
      </w:r>
      <w:r w:rsidR="00972672">
        <w:rPr>
          <w:color w:val="7030A0"/>
          <w:sz w:val="16"/>
          <w:szCs w:val="16"/>
        </w:rPr>
        <w:t>.</w:t>
      </w:r>
      <w:r w:rsidRPr="002234D8">
        <w:rPr>
          <w:color w:val="7030A0"/>
          <w:sz w:val="16"/>
          <w:szCs w:val="16"/>
        </w:rPr>
        <w:t xml:space="preserve"> School of Geography and Geosciences, University of St. Andrews. </w:t>
      </w:r>
      <w:hyperlink r:id="rId3" w:history="1">
        <w:r w:rsidRPr="002234D8">
          <w:rPr>
            <w:rStyle w:val="Hyperlink"/>
            <w:color w:val="7030A0"/>
            <w:sz w:val="16"/>
            <w:szCs w:val="16"/>
          </w:rPr>
          <w:t>https://core.ac.uk/download/pdf/9821221.pdf</w:t>
        </w:r>
      </w:hyperlink>
    </w:p>
  </w:footnote>
  <w:footnote w:id="37">
    <w:p w14:paraId="0778815C" w14:textId="1DCCE8E1" w:rsidR="00553FCA" w:rsidRPr="002234D8" w:rsidRDefault="00553FCA" w:rsidP="00FF4ADF">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The Impact of the Existing Right to Buy and the Implications for the Proposed Extension of Right to Buy to Housing Associations - Headline Findings from the Evidence Review - Ian Cole, Stephen Green, Lindsey McCarthy, Ben Pattison Centre for Regional Economic and Social Research, Sheffield Hallam University</w:t>
      </w:r>
      <w:r w:rsidR="00972672">
        <w:rPr>
          <w:color w:val="7030A0"/>
          <w:sz w:val="16"/>
          <w:szCs w:val="16"/>
        </w:rPr>
        <w:t xml:space="preserve">, </w:t>
      </w:r>
      <w:r w:rsidRPr="002234D8">
        <w:rPr>
          <w:color w:val="7030A0"/>
          <w:sz w:val="16"/>
          <w:szCs w:val="16"/>
        </w:rPr>
        <w:t>2015</w:t>
      </w:r>
      <w:r w:rsidR="00972672">
        <w:rPr>
          <w:color w:val="7030A0"/>
          <w:sz w:val="16"/>
          <w:szCs w:val="16"/>
        </w:rPr>
        <w:t>.</w:t>
      </w:r>
      <w:r w:rsidRPr="002234D8">
        <w:rPr>
          <w:color w:val="7030A0"/>
          <w:sz w:val="16"/>
          <w:szCs w:val="16"/>
        </w:rPr>
        <w:t xml:space="preserve"> </w:t>
      </w:r>
      <w:hyperlink r:id="rId4" w:history="1">
        <w:r w:rsidRPr="002234D8">
          <w:rPr>
            <w:rStyle w:val="Hyperlink"/>
            <w:color w:val="7030A0"/>
            <w:sz w:val="16"/>
            <w:szCs w:val="16"/>
          </w:rPr>
          <w:t>https://www.parliament.uk/globalassets/documents/commons-committees/communities-and-local-government/Full-Report-for-Select-Committee-141015final.pdf</w:t>
        </w:r>
      </w:hyperlink>
    </w:p>
  </w:footnote>
  <w:footnote w:id="38">
    <w:p w14:paraId="3507680F" w14:textId="77777777" w:rsidR="00553FCA" w:rsidRPr="002234D8" w:rsidRDefault="00553FCA" w:rsidP="005B7B71">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5" w:history="1">
        <w:r w:rsidRPr="002234D8">
          <w:rPr>
            <w:rStyle w:val="Hyperlink"/>
            <w:color w:val="7030A0"/>
            <w:sz w:val="16"/>
            <w:szCs w:val="16"/>
          </w:rPr>
          <w:t>https://www.nihe.gov.uk/Documents/Research/Private-Rental-Market-CURRENT/performance-private-rental-market-NI-january-june.aspx?ext=</w:t>
        </w:r>
      </w:hyperlink>
      <w:r w:rsidRPr="002234D8">
        <w:rPr>
          <w:color w:val="7030A0"/>
          <w:sz w:val="16"/>
          <w:szCs w:val="16"/>
        </w:rPr>
        <w:t>.</w:t>
      </w:r>
    </w:p>
  </w:footnote>
  <w:footnote w:id="39">
    <w:p w14:paraId="782FE5C8" w14:textId="77777777" w:rsidR="00553FCA" w:rsidRPr="002234D8" w:rsidRDefault="00553FCA" w:rsidP="005B7B71">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6" w:history="1">
        <w:r w:rsidRPr="002234D8">
          <w:rPr>
            <w:rStyle w:val="Hyperlink"/>
            <w:color w:val="7030A0"/>
            <w:sz w:val="16"/>
            <w:szCs w:val="16"/>
          </w:rPr>
          <w:t>https://www.gov.uk/government/statistics/universal-credit-statistics-29-april-2013-to-14-january-2021</w:t>
        </w:r>
      </w:hyperlink>
    </w:p>
  </w:footnote>
  <w:footnote w:id="40">
    <w:p w14:paraId="608F1DCB" w14:textId="77777777" w:rsidR="00553FCA" w:rsidRPr="002234D8" w:rsidRDefault="00553FCA" w:rsidP="005B7B71">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7" w:history="1">
        <w:r w:rsidRPr="002234D8">
          <w:rPr>
            <w:rStyle w:val="Hyperlink"/>
            <w:color w:val="7030A0"/>
            <w:sz w:val="16"/>
            <w:szCs w:val="16"/>
          </w:rPr>
          <w:t>https://www.opendemocracy.net/en/opendemocracyuk/number-private-tenants-facing-rent-shortfall-leaps-nearly-50-during-covid-19-pandemic/</w:t>
        </w:r>
      </w:hyperlink>
    </w:p>
  </w:footnote>
  <w:footnote w:id="41">
    <w:p w14:paraId="6D76E390" w14:textId="77777777" w:rsidR="00553FCA" w:rsidRPr="002234D8" w:rsidRDefault="00553FCA" w:rsidP="005B7B71">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8" w:history="1">
        <w:r w:rsidRPr="002234D8">
          <w:rPr>
            <w:rStyle w:val="Hyperlink"/>
            <w:color w:val="7030A0"/>
            <w:sz w:val="16"/>
            <w:szCs w:val="16"/>
          </w:rPr>
          <w:t>https://www.crisis.org.uk/about-us/media-centre/families-forced-to-give-up-food-shopping-to-cover-rent-says-crisis/</w:t>
        </w:r>
      </w:hyperlink>
    </w:p>
  </w:footnote>
  <w:footnote w:id="42">
    <w:p w14:paraId="0504FDF5" w14:textId="77777777" w:rsidR="00553FCA" w:rsidRPr="002234D8" w:rsidRDefault="00553FCA" w:rsidP="005B7B71">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9" w:history="1">
        <w:r w:rsidRPr="002234D8">
          <w:rPr>
            <w:rStyle w:val="Hyperlink"/>
            <w:color w:val="7030A0"/>
            <w:sz w:val="16"/>
            <w:szCs w:val="16"/>
          </w:rPr>
          <w:t>https://www.gov.uk/government/publications/local-housing-allowance-uprating-equality-analysis-april-2020/equality-analysis-for-uprating-local-housing-allowance-rates-to-the-30th-percentile-of-local-rents</w:t>
        </w:r>
      </w:hyperlink>
    </w:p>
  </w:footnote>
  <w:footnote w:id="43">
    <w:p w14:paraId="2B8F502F" w14:textId="77777777" w:rsidR="00553FCA" w:rsidRPr="00E36D8D" w:rsidRDefault="00553FCA" w:rsidP="005B7B71">
      <w:pPr>
        <w:pStyle w:val="FootnoteText"/>
        <w:rPr>
          <w:sz w:val="20"/>
          <w:szCs w:val="20"/>
        </w:rPr>
      </w:pPr>
      <w:r w:rsidRPr="002234D8">
        <w:rPr>
          <w:rStyle w:val="FootnoteReference"/>
          <w:color w:val="7030A0"/>
          <w:sz w:val="16"/>
          <w:szCs w:val="16"/>
        </w:rPr>
        <w:footnoteRef/>
      </w:r>
      <w:r w:rsidRPr="002234D8">
        <w:rPr>
          <w:color w:val="7030A0"/>
          <w:sz w:val="16"/>
          <w:szCs w:val="16"/>
        </w:rPr>
        <w:t xml:space="preserve"> </w:t>
      </w:r>
      <w:hyperlink r:id="rId10" w:history="1">
        <w:r w:rsidRPr="002234D8">
          <w:rPr>
            <w:rStyle w:val="Hyperlink"/>
            <w:color w:val="7030A0"/>
            <w:sz w:val="16"/>
            <w:szCs w:val="16"/>
          </w:rPr>
          <w:t>https://www.nihe.gov.uk/Housing-Help/Local-Housing-Allowance/How-we-calculate-LHA-rent-levels</w:t>
        </w:r>
      </w:hyperlink>
    </w:p>
  </w:footnote>
  <w:footnote w:id="44">
    <w:p w14:paraId="3403ED0C" w14:textId="77777777" w:rsidR="00553FCA" w:rsidRPr="002234D8" w:rsidRDefault="00553FCA" w:rsidP="002F687C">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http://ennhri.org/about-nhris/human-rights-based-approach/</w:t>
      </w:r>
    </w:p>
  </w:footnote>
  <w:footnote w:id="45">
    <w:p w14:paraId="15A9B443" w14:textId="77777777" w:rsidR="00553FCA" w:rsidRPr="002234D8" w:rsidRDefault="00553FCA" w:rsidP="00F4341C">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11" w:history="1">
        <w:r w:rsidRPr="002234D8">
          <w:rPr>
            <w:rStyle w:val="Hyperlink"/>
            <w:color w:val="7030A0"/>
            <w:sz w:val="16"/>
            <w:szCs w:val="16"/>
          </w:rPr>
          <w:t>http://nearlylegal.co.uk/wp-content/uploads/2020/07/20.07.02-Redacted-Court-Order.pdf?utm_source=mailpoet&amp;utm_medium=email&amp;utm_campaign=new-on-nearly-legal-newsletter-total-new-posts_1</w:t>
        </w:r>
      </w:hyperlink>
    </w:p>
  </w:footnote>
  <w:footnote w:id="46">
    <w:p w14:paraId="2A752C15" w14:textId="77777777" w:rsidR="00553FCA" w:rsidRPr="0000636D" w:rsidRDefault="00553FCA" w:rsidP="00F4341C">
      <w:pPr>
        <w:pStyle w:val="FootnoteText"/>
        <w:rPr>
          <w:sz w:val="20"/>
          <w:szCs w:val="20"/>
        </w:rPr>
      </w:pPr>
      <w:r w:rsidRPr="002234D8">
        <w:rPr>
          <w:rStyle w:val="FootnoteReference"/>
          <w:color w:val="7030A0"/>
          <w:sz w:val="16"/>
          <w:szCs w:val="16"/>
        </w:rPr>
        <w:footnoteRef/>
      </w:r>
      <w:r w:rsidRPr="002234D8">
        <w:rPr>
          <w:color w:val="7030A0"/>
          <w:sz w:val="16"/>
          <w:szCs w:val="16"/>
        </w:rPr>
        <w:t xml:space="preserve"> </w:t>
      </w:r>
      <w:hyperlink r:id="rId12" w:history="1">
        <w:r w:rsidRPr="002234D8">
          <w:rPr>
            <w:rStyle w:val="Hyperlink"/>
            <w:color w:val="7030A0"/>
            <w:sz w:val="16"/>
            <w:szCs w:val="16"/>
          </w:rPr>
          <w:t>https://nearlylegal.co.uk/2020/07/discrimination-and-no-dss/</w:t>
        </w:r>
      </w:hyperlink>
    </w:p>
  </w:footnote>
  <w:footnote w:id="47">
    <w:p w14:paraId="6C28EEE1" w14:textId="77777777" w:rsidR="00553FCA" w:rsidRPr="002234D8" w:rsidRDefault="00553FCA" w:rsidP="00F4341C">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Article 3A of the Sex Discrimination (Northern Ireland) Order 1976 forbids indirect discrimination on the ground of sex</w:t>
      </w:r>
    </w:p>
  </w:footnote>
  <w:footnote w:id="48">
    <w:p w14:paraId="796111FD" w14:textId="73A81019" w:rsidR="00553FCA" w:rsidRPr="002234D8" w:rsidRDefault="00553FCA" w:rsidP="00546B39">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005F1FC7">
        <w:rPr>
          <w:color w:val="7030A0"/>
          <w:sz w:val="16"/>
          <w:szCs w:val="16"/>
        </w:rPr>
        <w:t>Equality and Human Rights Commission</w:t>
      </w:r>
      <w:r w:rsidR="00EB1083">
        <w:rPr>
          <w:color w:val="7030A0"/>
          <w:sz w:val="16"/>
          <w:szCs w:val="16"/>
        </w:rPr>
        <w:t xml:space="preserve">, </w:t>
      </w:r>
      <w:r w:rsidRPr="002234D8">
        <w:rPr>
          <w:color w:val="7030A0"/>
          <w:sz w:val="16"/>
          <w:szCs w:val="16"/>
        </w:rPr>
        <w:t>Housing and disabled people - Britain’s hidden crisis</w:t>
      </w:r>
      <w:r w:rsidR="00EB1083">
        <w:rPr>
          <w:color w:val="7030A0"/>
          <w:sz w:val="16"/>
          <w:szCs w:val="16"/>
        </w:rPr>
        <w:t xml:space="preserve">, </w:t>
      </w:r>
      <w:r w:rsidRPr="002234D8">
        <w:rPr>
          <w:color w:val="7030A0"/>
          <w:sz w:val="16"/>
          <w:szCs w:val="16"/>
        </w:rPr>
        <w:t>May 2018</w:t>
      </w:r>
      <w:r w:rsidR="00E4018F">
        <w:rPr>
          <w:color w:val="7030A0"/>
          <w:sz w:val="16"/>
          <w:szCs w:val="16"/>
        </w:rPr>
        <w:t>.</w:t>
      </w:r>
      <w:r w:rsidRPr="002234D8">
        <w:rPr>
          <w:color w:val="7030A0"/>
          <w:sz w:val="16"/>
          <w:szCs w:val="16"/>
        </w:rPr>
        <w:t xml:space="preserve"> </w:t>
      </w:r>
    </w:p>
  </w:footnote>
  <w:footnote w:id="49">
    <w:p w14:paraId="1BFC189D" w14:textId="4FB0539F"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Pr="00405517">
        <w:rPr>
          <w:color w:val="7030A0"/>
          <w:sz w:val="16"/>
          <w:szCs w:val="16"/>
        </w:rPr>
        <w:t>DfC, ‘Housing Supply Strategy: Call for Evidence’</w:t>
      </w:r>
      <w:r w:rsidR="00EB1083">
        <w:rPr>
          <w:color w:val="7030A0"/>
          <w:sz w:val="16"/>
          <w:szCs w:val="16"/>
        </w:rPr>
        <w:t xml:space="preserve">, </w:t>
      </w:r>
      <w:r w:rsidRPr="00405517">
        <w:rPr>
          <w:color w:val="7030A0"/>
          <w:sz w:val="16"/>
          <w:szCs w:val="16"/>
        </w:rPr>
        <w:t>May 2021</w:t>
      </w:r>
      <w:r w:rsidR="00D01DA2">
        <w:rPr>
          <w:color w:val="7030A0"/>
          <w:sz w:val="16"/>
          <w:szCs w:val="16"/>
        </w:rPr>
        <w:t>,</w:t>
      </w:r>
      <w:r w:rsidR="00E4018F">
        <w:rPr>
          <w:color w:val="7030A0"/>
          <w:sz w:val="16"/>
          <w:szCs w:val="16"/>
        </w:rPr>
        <w:t xml:space="preserve"> at </w:t>
      </w:r>
      <w:r w:rsidRPr="002234D8">
        <w:rPr>
          <w:color w:val="7030A0"/>
          <w:sz w:val="16"/>
          <w:szCs w:val="16"/>
        </w:rPr>
        <w:t>24</w:t>
      </w:r>
      <w:r>
        <w:rPr>
          <w:color w:val="7030A0"/>
          <w:sz w:val="16"/>
          <w:szCs w:val="16"/>
        </w:rPr>
        <w:t>.</w:t>
      </w:r>
    </w:p>
  </w:footnote>
  <w:footnote w:id="50">
    <w:p w14:paraId="314902B2"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00145292" w:rsidRPr="002234D8">
        <w:rPr>
          <w:color w:val="7030A0"/>
          <w:sz w:val="16"/>
          <w:szCs w:val="16"/>
        </w:rPr>
        <w:t>NIHRC, ‘</w:t>
      </w:r>
      <w:r w:rsidRPr="002234D8">
        <w:rPr>
          <w:color w:val="7030A0"/>
          <w:sz w:val="16"/>
          <w:szCs w:val="16"/>
        </w:rPr>
        <w:t>Out of Sight, Out of Mind: Travellers Accommodation in Northern Ireland</w:t>
      </w:r>
      <w:r w:rsidR="00145292" w:rsidRPr="002234D8">
        <w:rPr>
          <w:color w:val="7030A0"/>
          <w:sz w:val="16"/>
          <w:szCs w:val="16"/>
        </w:rPr>
        <w:t>’</w:t>
      </w:r>
      <w:r w:rsidRPr="002234D8">
        <w:rPr>
          <w:color w:val="7030A0"/>
          <w:sz w:val="16"/>
          <w:szCs w:val="16"/>
        </w:rPr>
        <w:t>, March 2018</w:t>
      </w:r>
      <w:r w:rsidR="00145292" w:rsidRPr="002234D8">
        <w:rPr>
          <w:color w:val="7030A0"/>
          <w:sz w:val="16"/>
          <w:szCs w:val="16"/>
        </w:rPr>
        <w:t>.</w:t>
      </w:r>
    </w:p>
  </w:footnote>
  <w:footnote w:id="51">
    <w:p w14:paraId="58F94153"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Ibid p.35.</w:t>
      </w:r>
    </w:p>
  </w:footnote>
  <w:footnote w:id="52">
    <w:p w14:paraId="6D4C051C" w14:textId="77777777" w:rsidR="00145292" w:rsidRPr="002234D8" w:rsidRDefault="00145292">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Ibid, p.34.</w:t>
      </w:r>
    </w:p>
  </w:footnote>
  <w:footnote w:id="53">
    <w:p w14:paraId="186CFBF6" w14:textId="77777777" w:rsidR="00145292" w:rsidRPr="002234D8" w:rsidRDefault="00145292">
      <w:pPr>
        <w:pStyle w:val="FootnoteText"/>
        <w:rPr>
          <w:sz w:val="16"/>
          <w:szCs w:val="16"/>
        </w:rPr>
      </w:pPr>
      <w:r w:rsidRPr="002234D8">
        <w:rPr>
          <w:rStyle w:val="FootnoteReference"/>
          <w:color w:val="7030A0"/>
          <w:sz w:val="16"/>
          <w:szCs w:val="16"/>
        </w:rPr>
        <w:footnoteRef/>
      </w:r>
      <w:r w:rsidRPr="002234D8">
        <w:rPr>
          <w:color w:val="7030A0"/>
          <w:sz w:val="16"/>
          <w:szCs w:val="16"/>
        </w:rPr>
        <w:t xml:space="preserve"> Ibid.</w:t>
      </w:r>
    </w:p>
  </w:footnote>
  <w:footnote w:id="54">
    <w:p w14:paraId="280AB85A"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Ibid, </w:t>
      </w:r>
      <w:r w:rsidR="00145292" w:rsidRPr="002234D8">
        <w:rPr>
          <w:color w:val="7030A0"/>
          <w:sz w:val="16"/>
          <w:szCs w:val="16"/>
        </w:rPr>
        <w:t>p</w:t>
      </w:r>
      <w:r w:rsidR="00145292">
        <w:rPr>
          <w:color w:val="7030A0"/>
          <w:sz w:val="16"/>
          <w:szCs w:val="16"/>
        </w:rPr>
        <w:t>.</w:t>
      </w:r>
      <w:r w:rsidRPr="002234D8">
        <w:rPr>
          <w:color w:val="7030A0"/>
          <w:sz w:val="16"/>
          <w:szCs w:val="16"/>
        </w:rPr>
        <w:t>38</w:t>
      </w:r>
      <w:r w:rsidR="00145292">
        <w:rPr>
          <w:color w:val="7030A0"/>
          <w:sz w:val="16"/>
          <w:szCs w:val="16"/>
        </w:rPr>
        <w:t>.</w:t>
      </w:r>
    </w:p>
  </w:footnote>
  <w:footnote w:id="55">
    <w:p w14:paraId="3E4F2013"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00145292">
        <w:rPr>
          <w:color w:val="7030A0"/>
          <w:sz w:val="16"/>
          <w:szCs w:val="16"/>
        </w:rPr>
        <w:t>E/1992/23,</w:t>
      </w:r>
      <w:r w:rsidRPr="002234D8">
        <w:rPr>
          <w:color w:val="7030A0"/>
          <w:sz w:val="16"/>
          <w:szCs w:val="16"/>
        </w:rPr>
        <w:t>Committee on Economic Social and Cultural Rights</w:t>
      </w:r>
      <w:r w:rsidR="00145292">
        <w:rPr>
          <w:color w:val="7030A0"/>
          <w:sz w:val="16"/>
          <w:szCs w:val="16"/>
        </w:rPr>
        <w:t>,</w:t>
      </w:r>
      <w:r w:rsidRPr="002234D8">
        <w:rPr>
          <w:color w:val="7030A0"/>
          <w:sz w:val="16"/>
          <w:szCs w:val="16"/>
        </w:rPr>
        <w:t xml:space="preserve"> </w:t>
      </w:r>
      <w:r w:rsidR="00145292">
        <w:rPr>
          <w:color w:val="7030A0"/>
          <w:sz w:val="16"/>
          <w:szCs w:val="16"/>
        </w:rPr>
        <w:t>‘G</w:t>
      </w:r>
      <w:r w:rsidR="00145292" w:rsidRPr="002234D8">
        <w:rPr>
          <w:color w:val="7030A0"/>
          <w:sz w:val="16"/>
          <w:szCs w:val="16"/>
        </w:rPr>
        <w:t xml:space="preserve">eneral </w:t>
      </w:r>
      <w:r w:rsidR="00145292">
        <w:rPr>
          <w:color w:val="7030A0"/>
          <w:sz w:val="16"/>
          <w:szCs w:val="16"/>
        </w:rPr>
        <w:t>C</w:t>
      </w:r>
      <w:r w:rsidR="00145292" w:rsidRPr="00145292">
        <w:rPr>
          <w:color w:val="7030A0"/>
          <w:sz w:val="16"/>
          <w:szCs w:val="16"/>
        </w:rPr>
        <w:t>omment</w:t>
      </w:r>
      <w:r w:rsidR="00145292" w:rsidRPr="002234D8">
        <w:rPr>
          <w:color w:val="7030A0"/>
          <w:sz w:val="16"/>
          <w:szCs w:val="16"/>
        </w:rPr>
        <w:t xml:space="preserve"> </w:t>
      </w:r>
      <w:r w:rsidRPr="002234D8">
        <w:rPr>
          <w:color w:val="7030A0"/>
          <w:sz w:val="16"/>
          <w:szCs w:val="16"/>
        </w:rPr>
        <w:t xml:space="preserve">No. 4 on the </w:t>
      </w:r>
      <w:r w:rsidR="00145292">
        <w:rPr>
          <w:color w:val="7030A0"/>
          <w:sz w:val="16"/>
          <w:szCs w:val="16"/>
        </w:rPr>
        <w:t>R</w:t>
      </w:r>
      <w:r w:rsidR="00145292" w:rsidRPr="002234D8">
        <w:rPr>
          <w:color w:val="7030A0"/>
          <w:sz w:val="16"/>
          <w:szCs w:val="16"/>
        </w:rPr>
        <w:t xml:space="preserve">ight </w:t>
      </w:r>
      <w:r w:rsidRPr="002234D8">
        <w:rPr>
          <w:color w:val="7030A0"/>
          <w:sz w:val="16"/>
          <w:szCs w:val="16"/>
        </w:rPr>
        <w:t xml:space="preserve">to </w:t>
      </w:r>
      <w:r w:rsidR="00145292">
        <w:rPr>
          <w:color w:val="7030A0"/>
          <w:sz w:val="16"/>
          <w:szCs w:val="16"/>
        </w:rPr>
        <w:t>A</w:t>
      </w:r>
      <w:r w:rsidRPr="002234D8">
        <w:rPr>
          <w:color w:val="7030A0"/>
          <w:sz w:val="16"/>
          <w:szCs w:val="16"/>
        </w:rPr>
        <w:t xml:space="preserve">dequate </w:t>
      </w:r>
      <w:r w:rsidR="00145292">
        <w:rPr>
          <w:color w:val="7030A0"/>
          <w:sz w:val="16"/>
          <w:szCs w:val="16"/>
        </w:rPr>
        <w:t>H</w:t>
      </w:r>
      <w:r w:rsidR="00145292" w:rsidRPr="002234D8">
        <w:rPr>
          <w:color w:val="7030A0"/>
          <w:sz w:val="16"/>
          <w:szCs w:val="16"/>
        </w:rPr>
        <w:t xml:space="preserve">ousing </w:t>
      </w:r>
      <w:r w:rsidR="00145292">
        <w:rPr>
          <w:color w:val="7030A0"/>
          <w:sz w:val="16"/>
          <w:szCs w:val="16"/>
        </w:rPr>
        <w:t xml:space="preserve">(13 December 1991); E/1998/22, </w:t>
      </w:r>
      <w:r w:rsidR="00145292" w:rsidRPr="00405517">
        <w:rPr>
          <w:color w:val="7030A0"/>
          <w:sz w:val="16"/>
          <w:szCs w:val="16"/>
        </w:rPr>
        <w:t>Committee on Economic Social and Cultural Rights</w:t>
      </w:r>
      <w:r w:rsidR="00145292">
        <w:rPr>
          <w:color w:val="7030A0"/>
          <w:sz w:val="16"/>
          <w:szCs w:val="16"/>
        </w:rPr>
        <w:t>,</w:t>
      </w:r>
      <w:r w:rsidR="00145292" w:rsidRPr="00405517">
        <w:rPr>
          <w:color w:val="7030A0"/>
          <w:sz w:val="16"/>
          <w:szCs w:val="16"/>
        </w:rPr>
        <w:t xml:space="preserve"> </w:t>
      </w:r>
      <w:r w:rsidR="00145292">
        <w:rPr>
          <w:color w:val="7030A0"/>
          <w:sz w:val="16"/>
          <w:szCs w:val="16"/>
        </w:rPr>
        <w:t>‘G</w:t>
      </w:r>
      <w:r w:rsidR="00145292" w:rsidRPr="00405517">
        <w:rPr>
          <w:color w:val="7030A0"/>
          <w:sz w:val="16"/>
          <w:szCs w:val="16"/>
        </w:rPr>
        <w:t xml:space="preserve">eneral </w:t>
      </w:r>
      <w:r w:rsidR="00145292">
        <w:rPr>
          <w:color w:val="7030A0"/>
          <w:sz w:val="16"/>
          <w:szCs w:val="16"/>
        </w:rPr>
        <w:t>C</w:t>
      </w:r>
      <w:r w:rsidR="00145292" w:rsidRPr="00145292">
        <w:rPr>
          <w:color w:val="7030A0"/>
          <w:sz w:val="16"/>
          <w:szCs w:val="16"/>
        </w:rPr>
        <w:t>omment</w:t>
      </w:r>
      <w:r w:rsidRPr="002234D8">
        <w:rPr>
          <w:color w:val="7030A0"/>
          <w:sz w:val="16"/>
          <w:szCs w:val="16"/>
        </w:rPr>
        <w:t xml:space="preserve"> No. 7 (</w:t>
      </w:r>
      <w:r w:rsidR="00145292">
        <w:rPr>
          <w:color w:val="7030A0"/>
          <w:sz w:val="16"/>
          <w:szCs w:val="16"/>
        </w:rPr>
        <w:t xml:space="preserve">20 May </w:t>
      </w:r>
      <w:r w:rsidRPr="002234D8">
        <w:rPr>
          <w:color w:val="7030A0"/>
          <w:sz w:val="16"/>
          <w:szCs w:val="16"/>
        </w:rPr>
        <w:t>1997)</w:t>
      </w:r>
    </w:p>
  </w:footnote>
  <w:footnote w:id="56">
    <w:p w14:paraId="7C8E4866" w14:textId="1854E1D8"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r w:rsidR="00145292">
        <w:rPr>
          <w:color w:val="7030A0"/>
          <w:sz w:val="16"/>
          <w:szCs w:val="16"/>
        </w:rPr>
        <w:t>NIHRC, ‘</w:t>
      </w:r>
      <w:r w:rsidR="00145292" w:rsidRPr="00405517">
        <w:rPr>
          <w:color w:val="7030A0"/>
          <w:sz w:val="16"/>
          <w:szCs w:val="16"/>
        </w:rPr>
        <w:t>Out of Sight, Out of Mind: Travellers Accommodation in Northern Ireland</w:t>
      </w:r>
      <w:r w:rsidR="00145292">
        <w:rPr>
          <w:color w:val="7030A0"/>
          <w:sz w:val="16"/>
          <w:szCs w:val="16"/>
        </w:rPr>
        <w:t>’</w:t>
      </w:r>
      <w:r w:rsidR="00145292" w:rsidRPr="00405517">
        <w:rPr>
          <w:color w:val="7030A0"/>
          <w:sz w:val="16"/>
          <w:szCs w:val="16"/>
        </w:rPr>
        <w:t>, March 2018</w:t>
      </w:r>
      <w:r w:rsidRPr="002234D8">
        <w:rPr>
          <w:color w:val="7030A0"/>
          <w:sz w:val="16"/>
          <w:szCs w:val="16"/>
        </w:rPr>
        <w:t xml:space="preserve">, </w:t>
      </w:r>
      <w:r w:rsidR="00EE6F28">
        <w:rPr>
          <w:color w:val="7030A0"/>
          <w:sz w:val="16"/>
          <w:szCs w:val="16"/>
        </w:rPr>
        <w:t xml:space="preserve">at </w:t>
      </w:r>
      <w:r w:rsidRPr="002234D8">
        <w:rPr>
          <w:color w:val="7030A0"/>
          <w:sz w:val="16"/>
          <w:szCs w:val="16"/>
        </w:rPr>
        <w:t>43</w:t>
      </w:r>
      <w:r w:rsidR="00145292">
        <w:rPr>
          <w:color w:val="7030A0"/>
          <w:sz w:val="16"/>
          <w:szCs w:val="16"/>
        </w:rPr>
        <w:t>.</w:t>
      </w:r>
    </w:p>
  </w:footnote>
  <w:footnote w:id="57">
    <w:p w14:paraId="797C668A" w14:textId="0D054AC6" w:rsidR="00553FCA" w:rsidRPr="005E0AE9" w:rsidRDefault="00553FCA">
      <w:pPr>
        <w:pStyle w:val="FootnoteText"/>
        <w:rPr>
          <w:sz w:val="20"/>
          <w:szCs w:val="20"/>
        </w:rPr>
      </w:pPr>
      <w:r w:rsidRPr="002234D8">
        <w:rPr>
          <w:rStyle w:val="FootnoteReference"/>
          <w:color w:val="7030A0"/>
          <w:sz w:val="16"/>
          <w:szCs w:val="16"/>
        </w:rPr>
        <w:footnoteRef/>
      </w:r>
      <w:r w:rsidRPr="002234D8">
        <w:rPr>
          <w:color w:val="7030A0"/>
          <w:sz w:val="16"/>
          <w:szCs w:val="16"/>
        </w:rPr>
        <w:t xml:space="preserve"> </w:t>
      </w:r>
      <w:r w:rsidR="00145292" w:rsidRPr="00405517">
        <w:rPr>
          <w:color w:val="7030A0"/>
          <w:sz w:val="16"/>
          <w:szCs w:val="16"/>
        </w:rPr>
        <w:t>DfC, ‘Housing Supply Strategy: Call for Evidence’ (May 2021)</w:t>
      </w:r>
      <w:r w:rsidR="00145292">
        <w:rPr>
          <w:color w:val="7030A0"/>
          <w:sz w:val="16"/>
          <w:szCs w:val="16"/>
        </w:rPr>
        <w:t xml:space="preserve"> </w:t>
      </w:r>
      <w:r w:rsidR="00EE6F28">
        <w:rPr>
          <w:color w:val="7030A0"/>
          <w:sz w:val="16"/>
          <w:szCs w:val="16"/>
        </w:rPr>
        <w:t xml:space="preserve">at </w:t>
      </w:r>
      <w:r w:rsidR="00145292">
        <w:rPr>
          <w:color w:val="7030A0"/>
          <w:sz w:val="16"/>
          <w:szCs w:val="16"/>
        </w:rPr>
        <w:t xml:space="preserve">24. </w:t>
      </w:r>
    </w:p>
  </w:footnote>
  <w:footnote w:id="58">
    <w:p w14:paraId="3476B525"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Article 31 UN Convention on the Rights of the Child</w:t>
      </w:r>
    </w:p>
  </w:footnote>
  <w:footnote w:id="59">
    <w:p w14:paraId="49100D67" w14:textId="77777777" w:rsidR="00553FCA" w:rsidRPr="002234D8" w:rsidRDefault="00553FCA">
      <w:pPr>
        <w:pStyle w:val="FootnoteText"/>
        <w:rPr>
          <w:color w:val="7030A0"/>
          <w:sz w:val="16"/>
          <w:szCs w:val="16"/>
        </w:rPr>
      </w:pPr>
      <w:r w:rsidRPr="002234D8">
        <w:rPr>
          <w:rStyle w:val="FootnoteReference"/>
          <w:color w:val="7030A0"/>
          <w:sz w:val="16"/>
          <w:szCs w:val="16"/>
        </w:rPr>
        <w:footnoteRef/>
      </w:r>
      <w:hyperlink r:id="rId13" w:history="1">
        <w:r w:rsidRPr="002234D8">
          <w:rPr>
            <w:rStyle w:val="Hyperlink"/>
            <w:color w:val="7030A0"/>
            <w:sz w:val="16"/>
            <w:szCs w:val="16"/>
          </w:rPr>
          <w:t>https://www.nisra.gov.uk/sites/nisra.gov.uk/files/publications/Loneliness%20in%20Northern%20Ireland%202018-19%20report.pdf</w:t>
        </w:r>
      </w:hyperlink>
    </w:p>
  </w:footnote>
  <w:footnote w:id="60">
    <w:p w14:paraId="3AE88A2B" w14:textId="3FBBD832" w:rsidR="00523732" w:rsidRPr="000970DC" w:rsidRDefault="00523732">
      <w:pPr>
        <w:pStyle w:val="FootnoteText"/>
        <w:rPr>
          <w:color w:val="7030A0"/>
          <w:sz w:val="16"/>
          <w:szCs w:val="16"/>
        </w:rPr>
      </w:pPr>
      <w:r w:rsidRPr="000970DC">
        <w:rPr>
          <w:rStyle w:val="FootnoteReference"/>
          <w:color w:val="7030A0"/>
          <w:sz w:val="16"/>
          <w:szCs w:val="16"/>
        </w:rPr>
        <w:footnoteRef/>
      </w:r>
      <w:r w:rsidRPr="000970DC">
        <w:rPr>
          <w:color w:val="7030A0"/>
          <w:sz w:val="16"/>
          <w:szCs w:val="16"/>
        </w:rPr>
        <w:t xml:space="preserve"> </w:t>
      </w:r>
      <w:r w:rsidR="002D5CA9" w:rsidRPr="000970DC">
        <w:rPr>
          <w:color w:val="7030A0"/>
          <w:sz w:val="16"/>
          <w:szCs w:val="16"/>
        </w:rPr>
        <w:t>X v Iceland</w:t>
      </w:r>
      <w:r w:rsidR="004F113B">
        <w:rPr>
          <w:color w:val="7030A0"/>
          <w:sz w:val="16"/>
          <w:szCs w:val="16"/>
        </w:rPr>
        <w:t>,</w:t>
      </w:r>
      <w:r w:rsidR="002D5CA9" w:rsidRPr="000970DC">
        <w:rPr>
          <w:color w:val="7030A0"/>
          <w:sz w:val="16"/>
          <w:szCs w:val="16"/>
        </w:rPr>
        <w:t xml:space="preserve"> No. 6825/74,</w:t>
      </w:r>
      <w:r w:rsidR="00DB0EF3">
        <w:rPr>
          <w:color w:val="7030A0"/>
          <w:sz w:val="16"/>
          <w:szCs w:val="16"/>
        </w:rPr>
        <w:t xml:space="preserve"> 1976</w:t>
      </w:r>
      <w:r w:rsidR="00784F00">
        <w:rPr>
          <w:color w:val="7030A0"/>
          <w:sz w:val="16"/>
          <w:szCs w:val="16"/>
        </w:rPr>
        <w:t xml:space="preserve"> at</w:t>
      </w:r>
      <w:r w:rsidR="002D5CA9" w:rsidRPr="000970DC">
        <w:rPr>
          <w:color w:val="7030A0"/>
          <w:sz w:val="16"/>
          <w:szCs w:val="16"/>
        </w:rPr>
        <w:t xml:space="preserve"> p</w:t>
      </w:r>
      <w:r w:rsidR="00784F00">
        <w:rPr>
          <w:color w:val="7030A0"/>
          <w:sz w:val="16"/>
          <w:szCs w:val="16"/>
        </w:rPr>
        <w:t>aras</w:t>
      </w:r>
      <w:r w:rsidR="002D5CA9" w:rsidRPr="000970DC">
        <w:rPr>
          <w:color w:val="7030A0"/>
          <w:sz w:val="16"/>
          <w:szCs w:val="16"/>
        </w:rPr>
        <w:t xml:space="preserve"> 86-87; McFeeley et al v U</w:t>
      </w:r>
      <w:r w:rsidR="00DB0EF3">
        <w:rPr>
          <w:color w:val="7030A0"/>
          <w:sz w:val="16"/>
          <w:szCs w:val="16"/>
        </w:rPr>
        <w:t xml:space="preserve">nited </w:t>
      </w:r>
      <w:r w:rsidR="002D5CA9" w:rsidRPr="000970DC">
        <w:rPr>
          <w:color w:val="7030A0"/>
          <w:sz w:val="16"/>
          <w:szCs w:val="16"/>
        </w:rPr>
        <w:t>K</w:t>
      </w:r>
      <w:r w:rsidR="00DB0EF3">
        <w:rPr>
          <w:color w:val="7030A0"/>
          <w:sz w:val="16"/>
          <w:szCs w:val="16"/>
        </w:rPr>
        <w:t>ingdom</w:t>
      </w:r>
      <w:r w:rsidR="00784F00">
        <w:rPr>
          <w:color w:val="7030A0"/>
          <w:sz w:val="16"/>
          <w:szCs w:val="16"/>
        </w:rPr>
        <w:t>,</w:t>
      </w:r>
      <w:r w:rsidR="002D5CA9" w:rsidRPr="000970DC">
        <w:rPr>
          <w:color w:val="7030A0"/>
          <w:sz w:val="16"/>
          <w:szCs w:val="16"/>
        </w:rPr>
        <w:t xml:space="preserve"> No. 8317/78</w:t>
      </w:r>
      <w:r w:rsidR="0007202D">
        <w:rPr>
          <w:color w:val="7030A0"/>
          <w:sz w:val="16"/>
          <w:szCs w:val="16"/>
        </w:rPr>
        <w:t>, 1980</w:t>
      </w:r>
      <w:r w:rsidR="00784F00">
        <w:rPr>
          <w:color w:val="7030A0"/>
          <w:sz w:val="16"/>
          <w:szCs w:val="16"/>
        </w:rPr>
        <w:t xml:space="preserve"> at</w:t>
      </w:r>
      <w:r w:rsidR="002D5CA9" w:rsidRPr="000970DC">
        <w:rPr>
          <w:color w:val="7030A0"/>
          <w:sz w:val="16"/>
          <w:szCs w:val="16"/>
        </w:rPr>
        <w:t xml:space="preserve"> para 82.</w:t>
      </w:r>
    </w:p>
  </w:footnote>
  <w:footnote w:id="61">
    <w:p w14:paraId="07DF14C5" w14:textId="4C997FEF" w:rsidR="00553FCA" w:rsidRPr="000970DC" w:rsidRDefault="00553FCA" w:rsidP="00030510">
      <w:pPr>
        <w:pStyle w:val="FootnoteText"/>
        <w:rPr>
          <w:color w:val="7030A0"/>
          <w:sz w:val="16"/>
          <w:szCs w:val="16"/>
        </w:rPr>
      </w:pPr>
      <w:r w:rsidRPr="000970DC">
        <w:rPr>
          <w:rStyle w:val="FootnoteReference"/>
          <w:color w:val="7030A0"/>
          <w:sz w:val="16"/>
          <w:szCs w:val="16"/>
        </w:rPr>
        <w:footnoteRef/>
      </w:r>
      <w:r w:rsidRPr="000970DC">
        <w:rPr>
          <w:color w:val="7030A0"/>
          <w:sz w:val="16"/>
          <w:szCs w:val="16"/>
        </w:rPr>
        <w:t xml:space="preserve"> </w:t>
      </w:r>
      <w:r w:rsidR="0062440E" w:rsidRPr="000970DC">
        <w:rPr>
          <w:color w:val="7030A0"/>
          <w:sz w:val="16"/>
          <w:szCs w:val="16"/>
        </w:rPr>
        <w:t>Age Uk, ‘</w:t>
      </w:r>
      <w:r w:rsidRPr="000970DC">
        <w:rPr>
          <w:color w:val="7030A0"/>
          <w:sz w:val="16"/>
          <w:szCs w:val="16"/>
        </w:rPr>
        <w:t>All the Lonely People - Loneliness in Later Life</w:t>
      </w:r>
      <w:r w:rsidR="0062440E" w:rsidRPr="000970DC">
        <w:rPr>
          <w:color w:val="7030A0"/>
          <w:sz w:val="16"/>
          <w:szCs w:val="16"/>
        </w:rPr>
        <w:t xml:space="preserve">’ </w:t>
      </w:r>
      <w:r w:rsidRPr="000970DC">
        <w:rPr>
          <w:color w:val="7030A0"/>
          <w:sz w:val="16"/>
          <w:szCs w:val="16"/>
        </w:rPr>
        <w:t>(September 2018)</w:t>
      </w:r>
      <w:r w:rsidR="00B47DD0" w:rsidRPr="000970DC">
        <w:rPr>
          <w:color w:val="7030A0"/>
          <w:sz w:val="16"/>
          <w:szCs w:val="16"/>
        </w:rPr>
        <w:t>.</w:t>
      </w:r>
    </w:p>
  </w:footnote>
  <w:footnote w:id="62">
    <w:p w14:paraId="142C6FB5" w14:textId="4AB40055" w:rsidR="00553FCA" w:rsidRPr="000970DC" w:rsidRDefault="00553FCA" w:rsidP="00C13556">
      <w:pPr>
        <w:pStyle w:val="FootnoteText"/>
        <w:rPr>
          <w:color w:val="7030A0"/>
          <w:sz w:val="16"/>
          <w:szCs w:val="16"/>
        </w:rPr>
      </w:pPr>
      <w:r w:rsidRPr="000970DC">
        <w:rPr>
          <w:rStyle w:val="FootnoteReference"/>
          <w:color w:val="7030A0"/>
          <w:sz w:val="16"/>
          <w:szCs w:val="16"/>
        </w:rPr>
        <w:footnoteRef/>
      </w:r>
      <w:r w:rsidRPr="000970DC">
        <w:rPr>
          <w:color w:val="7030A0"/>
          <w:sz w:val="16"/>
          <w:szCs w:val="16"/>
        </w:rPr>
        <w:t xml:space="preserve"> </w:t>
      </w:r>
      <w:r w:rsidR="00474594" w:rsidRPr="000970DC">
        <w:rPr>
          <w:color w:val="7030A0"/>
          <w:sz w:val="16"/>
          <w:szCs w:val="16"/>
        </w:rPr>
        <w:t>Allison</w:t>
      </w:r>
      <w:r w:rsidR="00AB24E6" w:rsidRPr="000970DC">
        <w:rPr>
          <w:color w:val="7030A0"/>
          <w:sz w:val="16"/>
          <w:szCs w:val="16"/>
        </w:rPr>
        <w:t xml:space="preserve"> Wallace</w:t>
      </w:r>
      <w:r w:rsidRPr="000970DC">
        <w:rPr>
          <w:color w:val="7030A0"/>
          <w:sz w:val="16"/>
          <w:szCs w:val="16"/>
        </w:rPr>
        <w:t xml:space="preserve">, ‘Housing and Communities Inequalities in NI’ (University of York and ECNI, 2015), at 12-13. </w:t>
      </w:r>
      <w:hyperlink r:id="rId14" w:history="1">
        <w:r w:rsidRPr="000970DC">
          <w:rPr>
            <w:rStyle w:val="Hyperlink"/>
            <w:color w:val="7030A0"/>
            <w:sz w:val="16"/>
            <w:szCs w:val="16"/>
          </w:rPr>
          <w:t>https://www.equalityni.org/ECNI/media/ECNI/Publications/Delivering%20Equality/HousingInequalities-FullReport.pdf</w:t>
        </w:r>
      </w:hyperlink>
    </w:p>
  </w:footnote>
  <w:footnote w:id="63">
    <w:p w14:paraId="07C637B1" w14:textId="7F923CB4" w:rsidR="00553FCA" w:rsidRPr="003E0857" w:rsidRDefault="00553FCA" w:rsidP="00112DE9">
      <w:pPr>
        <w:pStyle w:val="FootnoteText"/>
        <w:rPr>
          <w:sz w:val="20"/>
          <w:szCs w:val="20"/>
        </w:rPr>
      </w:pPr>
      <w:r w:rsidRPr="000970DC">
        <w:rPr>
          <w:rStyle w:val="FootnoteReference"/>
          <w:color w:val="7030A0"/>
          <w:sz w:val="16"/>
          <w:szCs w:val="16"/>
        </w:rPr>
        <w:footnoteRef/>
      </w:r>
      <w:r w:rsidRPr="000970DC">
        <w:rPr>
          <w:color w:val="7030A0"/>
          <w:sz w:val="16"/>
          <w:szCs w:val="16"/>
        </w:rPr>
        <w:t xml:space="preserve"> E/C.12/GBR/CO/5’, 12 June 2009; UN Special Rapporteur Press Statement, 11 </w:t>
      </w:r>
      <w:r w:rsidRPr="002234D8">
        <w:rPr>
          <w:color w:val="7030A0"/>
          <w:sz w:val="16"/>
          <w:szCs w:val="16"/>
        </w:rPr>
        <w:t xml:space="preserve">September 2013; Alison Wallace, ‘Housing and Communities Inequalities in NI’ (University of York, 2015), </w:t>
      </w:r>
      <w:r w:rsidR="00B47DD0">
        <w:rPr>
          <w:color w:val="7030A0"/>
          <w:sz w:val="16"/>
          <w:szCs w:val="16"/>
        </w:rPr>
        <w:t>at</w:t>
      </w:r>
      <w:r w:rsidRPr="002234D8">
        <w:rPr>
          <w:color w:val="7030A0"/>
          <w:sz w:val="16"/>
          <w:szCs w:val="16"/>
        </w:rPr>
        <w:t xml:space="preserve"> 83.</w:t>
      </w:r>
    </w:p>
  </w:footnote>
  <w:footnote w:id="64">
    <w:p w14:paraId="5A5338F9"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15" w:history="1">
        <w:r w:rsidRPr="002234D8">
          <w:rPr>
            <w:rStyle w:val="Hyperlink"/>
            <w:color w:val="7030A0"/>
            <w:sz w:val="16"/>
            <w:szCs w:val="16"/>
          </w:rPr>
          <w:t>https://www.un.org/en/sections/issues-depth/climate-change/index.html</w:t>
        </w:r>
      </w:hyperlink>
    </w:p>
  </w:footnote>
  <w:footnote w:id="65">
    <w:p w14:paraId="45BD80B9" w14:textId="3B5BF9BA"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The Climate Change Act 2008 (2050 Target Amendment) Order 2019</w:t>
      </w:r>
      <w:r w:rsidR="003745F6">
        <w:rPr>
          <w:color w:val="7030A0"/>
          <w:sz w:val="16"/>
          <w:szCs w:val="16"/>
        </w:rPr>
        <w:t>.</w:t>
      </w:r>
    </w:p>
  </w:footnote>
  <w:footnote w:id="66">
    <w:p w14:paraId="12001200" w14:textId="7B9FFB69"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16" w:history="1">
        <w:r w:rsidRPr="002234D8">
          <w:rPr>
            <w:rStyle w:val="Hyperlink"/>
            <w:rFonts w:eastAsia="Verdana"/>
            <w:color w:val="7030A0"/>
            <w:sz w:val="16"/>
            <w:szCs w:val="16"/>
            <w:u w:val="none"/>
          </w:rPr>
          <w:t xml:space="preserve">New Decade, New Approach </w:t>
        </w:r>
      </w:hyperlink>
      <w:r w:rsidRPr="002234D8">
        <w:rPr>
          <w:rFonts w:eastAsia="Verdana"/>
          <w:color w:val="7030A0"/>
          <w:sz w:val="16"/>
          <w:szCs w:val="16"/>
        </w:rPr>
        <w:t>(January 2020)</w:t>
      </w:r>
      <w:r w:rsidR="003745F6">
        <w:rPr>
          <w:rFonts w:eastAsia="Verdana"/>
          <w:color w:val="7030A0"/>
          <w:sz w:val="16"/>
          <w:szCs w:val="16"/>
        </w:rPr>
        <w:t xml:space="preserve">, at </w:t>
      </w:r>
      <w:r w:rsidRPr="002234D8">
        <w:rPr>
          <w:rFonts w:eastAsia="Verdana"/>
          <w:color w:val="7030A0"/>
          <w:sz w:val="16"/>
          <w:szCs w:val="16"/>
        </w:rPr>
        <w:t>8.</w:t>
      </w:r>
    </w:p>
  </w:footnote>
  <w:footnote w:id="67">
    <w:p w14:paraId="27BF46D8" w14:textId="77777777" w:rsidR="00553FCA" w:rsidRPr="00D31A79" w:rsidRDefault="00553FCA" w:rsidP="00BF7E1A">
      <w:pPr>
        <w:pStyle w:val="FootnoteText"/>
        <w:rPr>
          <w:sz w:val="20"/>
          <w:szCs w:val="20"/>
        </w:rPr>
      </w:pPr>
      <w:r w:rsidRPr="002234D8">
        <w:rPr>
          <w:rStyle w:val="FootnoteReference"/>
          <w:color w:val="7030A0"/>
          <w:sz w:val="16"/>
          <w:szCs w:val="16"/>
        </w:rPr>
        <w:footnoteRef/>
      </w:r>
      <w:r w:rsidRPr="002234D8">
        <w:rPr>
          <w:color w:val="7030A0"/>
          <w:sz w:val="16"/>
          <w:szCs w:val="16"/>
        </w:rPr>
        <w:t xml:space="preserve"> </w:t>
      </w:r>
      <w:hyperlink r:id="rId17" w:history="1">
        <w:r w:rsidRPr="002234D8">
          <w:rPr>
            <w:rStyle w:val="Hyperlink"/>
            <w:color w:val="7030A0"/>
            <w:sz w:val="16"/>
            <w:szCs w:val="16"/>
          </w:rPr>
          <w:t>https://www.theccc.org.uk/wp-content/uploads/2016/07/5CB-Infographic-FINAL-.pdf</w:t>
        </w:r>
      </w:hyperlink>
    </w:p>
  </w:footnote>
  <w:footnote w:id="68">
    <w:p w14:paraId="700D92D3" w14:textId="28553E90" w:rsidR="00553FCA" w:rsidRPr="002234D8" w:rsidRDefault="00553FCA" w:rsidP="008858FF">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18" w:history="1">
        <w:r w:rsidRPr="002234D8">
          <w:rPr>
            <w:rStyle w:val="Hyperlink"/>
            <w:color w:val="7030A0"/>
            <w:sz w:val="16"/>
            <w:szCs w:val="16"/>
          </w:rPr>
          <w:t>https://www.iea.org/reports/net-zero-by-2050</w:t>
        </w:r>
      </w:hyperlink>
    </w:p>
  </w:footnote>
  <w:footnote w:id="69">
    <w:p w14:paraId="53C697FF" w14:textId="77777777" w:rsidR="00553FCA" w:rsidRPr="002234D8" w:rsidRDefault="00553FCA" w:rsidP="00E93275">
      <w:pPr>
        <w:pStyle w:val="FootnoteText"/>
        <w:rPr>
          <w:color w:val="7030A0"/>
          <w:sz w:val="16"/>
          <w:szCs w:val="16"/>
        </w:rPr>
      </w:pPr>
      <w:r w:rsidRPr="002234D8">
        <w:rPr>
          <w:rStyle w:val="FootnoteReference"/>
          <w:color w:val="7030A0"/>
          <w:sz w:val="16"/>
          <w:szCs w:val="16"/>
        </w:rPr>
        <w:footnoteRef/>
      </w:r>
      <w:hyperlink r:id="rId19" w:history="1">
        <w:r w:rsidRPr="002234D8">
          <w:rPr>
            <w:rStyle w:val="Hyperlink"/>
            <w:color w:val="7030A0"/>
            <w:sz w:val="16"/>
            <w:szCs w:val="16"/>
          </w:rPr>
          <w:t>https://assets.publishing.service.gov.uk/government/uploads/system/uploads/attachment_data/file/424254/heat_networks.pdf</w:t>
        </w:r>
      </w:hyperlink>
    </w:p>
  </w:footnote>
  <w:footnote w:id="70">
    <w:p w14:paraId="04C1E87C" w14:textId="21036D74"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State of the Netherlands v Urgenda Foundation, ECLI:NL:HR:2019:2006</w:t>
      </w:r>
      <w:r w:rsidR="005453DE">
        <w:rPr>
          <w:color w:val="7030A0"/>
          <w:sz w:val="16"/>
          <w:szCs w:val="16"/>
        </w:rPr>
        <w:t>.</w:t>
      </w:r>
    </w:p>
  </w:footnote>
  <w:footnote w:id="71">
    <w:p w14:paraId="1E007E2B" w14:textId="77777777" w:rsidR="00553FCA" w:rsidRPr="002234D8" w:rsidRDefault="00553FCA" w:rsidP="003101B5">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20" w:anchor="view=fitH" w:history="1">
        <w:r w:rsidRPr="002234D8">
          <w:rPr>
            <w:rStyle w:val="Hyperlink"/>
            <w:color w:val="7030A0"/>
            <w:sz w:val="16"/>
            <w:szCs w:val="16"/>
          </w:rPr>
          <w:t>https://www.courts.ie/acc/alfresco/20562a43-5bed-4524-9b60-e18ef35aae44/2019_IEHC_747.pdf/pdf#view=fitH</w:t>
        </w:r>
      </w:hyperlink>
    </w:p>
  </w:footnote>
  <w:footnote w:id="72">
    <w:p w14:paraId="13F4F60A" w14:textId="1B8AD20F"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Friends of the Irish Environment v The Government of Ireland &amp; Ors [2020] IESC 49</w:t>
      </w:r>
      <w:r w:rsidR="005453DE">
        <w:rPr>
          <w:color w:val="7030A0"/>
          <w:sz w:val="16"/>
          <w:szCs w:val="16"/>
        </w:rPr>
        <w:t>.</w:t>
      </w:r>
    </w:p>
    <w:p w14:paraId="378F9CE0" w14:textId="37A957E6" w:rsidR="00553FCA" w:rsidRPr="002234D8" w:rsidRDefault="00D05FF8">
      <w:pPr>
        <w:pStyle w:val="FootnoteText"/>
        <w:rPr>
          <w:color w:val="7030A0"/>
          <w:sz w:val="16"/>
          <w:szCs w:val="16"/>
        </w:rPr>
      </w:pPr>
      <w:hyperlink r:id="rId21" w:history="1">
        <w:r w:rsidR="00553FCA" w:rsidRPr="002234D8">
          <w:rPr>
            <w:rStyle w:val="Hyperlink"/>
            <w:color w:val="7030A0"/>
            <w:sz w:val="16"/>
            <w:szCs w:val="16"/>
          </w:rPr>
          <w:t>https://www.courts.ie/view/judgments/681b8633-3f57-41b5-9362-8cbc8e7d9215/981c098a-462b-4a9a-9941-5d601903c9af/2020_IESC_49.pdf/pdf</w:t>
        </w:r>
      </w:hyperlink>
      <w:r w:rsidR="005453DE">
        <w:rPr>
          <w:rStyle w:val="Hyperlink"/>
          <w:color w:val="7030A0"/>
          <w:sz w:val="16"/>
          <w:szCs w:val="16"/>
        </w:rPr>
        <w:t>.</w:t>
      </w:r>
    </w:p>
  </w:footnote>
  <w:footnote w:id="73">
    <w:p w14:paraId="1B81FC8B" w14:textId="77777777"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22" w:history="1">
        <w:r w:rsidRPr="002234D8">
          <w:rPr>
            <w:rStyle w:val="Hyperlink"/>
            <w:color w:val="7030A0"/>
            <w:sz w:val="16"/>
            <w:szCs w:val="16"/>
          </w:rPr>
          <w:t>https://www.climatecaseireland.ie/amidst-a-climate-and-biodiversity-crisis-hope-emerges-friends-of-the-irish-environment-win-historic-climate-case-ireland-in-the-irish-supreme-court/</w:t>
        </w:r>
      </w:hyperlink>
    </w:p>
  </w:footnote>
  <w:footnote w:id="74">
    <w:p w14:paraId="64C218B1" w14:textId="769DF336" w:rsidR="00553FCA" w:rsidRPr="002234D8" w:rsidRDefault="00553FCA">
      <w:pPr>
        <w:pStyle w:val="FootnoteText"/>
        <w:rPr>
          <w:color w:val="7030A0"/>
          <w:sz w:val="16"/>
          <w:szCs w:val="16"/>
        </w:rPr>
      </w:pPr>
      <w:r w:rsidRPr="002234D8">
        <w:rPr>
          <w:rStyle w:val="FootnoteReference"/>
          <w:color w:val="7030A0"/>
          <w:sz w:val="16"/>
          <w:szCs w:val="16"/>
        </w:rPr>
        <w:footnoteRef/>
      </w:r>
      <w:r w:rsidRPr="002234D8">
        <w:rPr>
          <w:color w:val="7030A0"/>
          <w:sz w:val="16"/>
          <w:szCs w:val="16"/>
        </w:rPr>
        <w:t xml:space="preserve"> </w:t>
      </w:r>
      <w:hyperlink r:id="rId23" w:history="1">
        <w:r w:rsidRPr="002234D8">
          <w:rPr>
            <w:rStyle w:val="Hyperlink"/>
            <w:color w:val="7030A0"/>
            <w:sz w:val="16"/>
            <w:szCs w:val="16"/>
          </w:rPr>
          <w:t>http://www.niassembly.gov.uk/assembly-business/legislation/2017-2022-mandate/non-executive-bill-proposals/climate-change-bill/</w:t>
        </w:r>
      </w:hyperlink>
      <w:r w:rsidR="005453DE">
        <w:rPr>
          <w:rStyle w:val="Hyperlink"/>
          <w:color w:val="7030A0"/>
          <w:sz w:val="16"/>
          <w:szCs w:val="16"/>
        </w:rPr>
        <w:t>.</w:t>
      </w:r>
    </w:p>
  </w:footnote>
  <w:footnote w:id="75">
    <w:p w14:paraId="053A20FC" w14:textId="77777777" w:rsidR="00AD1976" w:rsidRDefault="00AD1976" w:rsidP="00AD1976">
      <w:pPr>
        <w:pStyle w:val="FootnoteText"/>
      </w:pPr>
      <w:r w:rsidRPr="00405517">
        <w:rPr>
          <w:rStyle w:val="FootnoteReference"/>
          <w:color w:val="7030A0"/>
          <w:sz w:val="16"/>
          <w:szCs w:val="16"/>
        </w:rPr>
        <w:footnoteRef/>
      </w:r>
      <w:r w:rsidRPr="00405517">
        <w:rPr>
          <w:color w:val="7030A0"/>
          <w:sz w:val="16"/>
          <w:szCs w:val="16"/>
        </w:rPr>
        <w:t xml:space="preserve"> Duarte Agostinho and Others v Portugal and Others</w:t>
      </w:r>
      <w:r>
        <w:rPr>
          <w:color w:val="7030A0"/>
          <w:sz w:val="16"/>
          <w:szCs w:val="16"/>
        </w:rPr>
        <w:t xml:space="preserve">, Application no 39371/20.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F9A"/>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41393"/>
    <w:multiLevelType w:val="multilevel"/>
    <w:tmpl w:val="3E6C329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620A02"/>
    <w:multiLevelType w:val="multilevel"/>
    <w:tmpl w:val="2A1E09A2"/>
    <w:lvl w:ilvl="0">
      <w:start w:val="2"/>
      <w:numFmt w:val="decimal"/>
      <w:lvlText w:val="%1"/>
      <w:lvlJc w:val="left"/>
      <w:pPr>
        <w:ind w:left="608" w:hanging="608"/>
      </w:pPr>
      <w:rPr>
        <w:rFonts w:hint="default"/>
      </w:rPr>
    </w:lvl>
    <w:lvl w:ilvl="1">
      <w:start w:val="14"/>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3" w15:restartNumberingAfterBreak="0">
    <w:nsid w:val="0F3A5696"/>
    <w:multiLevelType w:val="multilevel"/>
    <w:tmpl w:val="0EFAE71E"/>
    <w:lvl w:ilvl="0">
      <w:start w:val="3"/>
      <w:numFmt w:val="decimal"/>
      <w:lvlText w:val="%1"/>
      <w:lvlJc w:val="left"/>
      <w:pPr>
        <w:ind w:left="608" w:hanging="608"/>
      </w:pPr>
      <w:rPr>
        <w:rFonts w:hint="default"/>
      </w:rPr>
    </w:lvl>
    <w:lvl w:ilvl="1">
      <w:start w:val="20"/>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920" w:hanging="144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640" w:hanging="2520"/>
      </w:pPr>
      <w:rPr>
        <w:rFonts w:hint="default"/>
      </w:rPr>
    </w:lvl>
    <w:lvl w:ilvl="8">
      <w:start w:val="1"/>
      <w:numFmt w:val="decimal"/>
      <w:lvlText w:val="%1.%2.%3.%4.%5.%6.%7.%8.%9"/>
      <w:lvlJc w:val="left"/>
      <w:pPr>
        <w:ind w:left="20160" w:hanging="2880"/>
      </w:pPr>
      <w:rPr>
        <w:rFonts w:hint="default"/>
      </w:rPr>
    </w:lvl>
  </w:abstractNum>
  <w:abstractNum w:abstractNumId="4" w15:restartNumberingAfterBreak="0">
    <w:nsid w:val="137A5AA8"/>
    <w:multiLevelType w:val="multilevel"/>
    <w:tmpl w:val="5866D1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5" w15:restartNumberingAfterBreak="0">
    <w:nsid w:val="1ECA59FC"/>
    <w:multiLevelType w:val="multilevel"/>
    <w:tmpl w:val="A7E8F5F8"/>
    <w:lvl w:ilvl="0">
      <w:start w:val="3"/>
      <w:numFmt w:val="decimal"/>
      <w:lvlText w:val="%1"/>
      <w:lvlJc w:val="left"/>
      <w:pPr>
        <w:ind w:left="608" w:hanging="608"/>
      </w:pPr>
      <w:rPr>
        <w:rFonts w:hint="default"/>
      </w:rPr>
    </w:lvl>
    <w:lvl w:ilvl="1">
      <w:start w:val="32"/>
      <w:numFmt w:val="decimal"/>
      <w:lvlText w:val="%1.%2"/>
      <w:lvlJc w:val="left"/>
      <w:pPr>
        <w:ind w:left="4320" w:hanging="720"/>
      </w:pPr>
      <w:rPr>
        <w:rFonts w:hint="default"/>
      </w:rPr>
    </w:lvl>
    <w:lvl w:ilvl="2">
      <w:start w:val="1"/>
      <w:numFmt w:val="decimal"/>
      <w:lvlText w:val="%1.%2.%3"/>
      <w:lvlJc w:val="left"/>
      <w:pPr>
        <w:ind w:left="8280" w:hanging="1080"/>
      </w:pPr>
      <w:rPr>
        <w:rFonts w:hint="default"/>
      </w:rPr>
    </w:lvl>
    <w:lvl w:ilvl="3">
      <w:start w:val="1"/>
      <w:numFmt w:val="decimal"/>
      <w:lvlText w:val="%1.%2.%3.%4"/>
      <w:lvlJc w:val="left"/>
      <w:pPr>
        <w:ind w:left="12240" w:hanging="1440"/>
      </w:pPr>
      <w:rPr>
        <w:rFonts w:hint="default"/>
      </w:rPr>
    </w:lvl>
    <w:lvl w:ilvl="4">
      <w:start w:val="1"/>
      <w:numFmt w:val="decimal"/>
      <w:lvlText w:val="%1.%2.%3.%4.%5"/>
      <w:lvlJc w:val="left"/>
      <w:pPr>
        <w:ind w:left="15840" w:hanging="1440"/>
      </w:pPr>
      <w:rPr>
        <w:rFonts w:hint="default"/>
      </w:rPr>
    </w:lvl>
    <w:lvl w:ilvl="5">
      <w:start w:val="1"/>
      <w:numFmt w:val="decimal"/>
      <w:lvlText w:val="%1.%2.%3.%4.%5.%6"/>
      <w:lvlJc w:val="left"/>
      <w:pPr>
        <w:ind w:left="19800" w:hanging="1800"/>
      </w:pPr>
      <w:rPr>
        <w:rFonts w:hint="default"/>
      </w:rPr>
    </w:lvl>
    <w:lvl w:ilvl="6">
      <w:start w:val="1"/>
      <w:numFmt w:val="decimal"/>
      <w:lvlText w:val="%1.%2.%3.%4.%5.%6.%7"/>
      <w:lvlJc w:val="left"/>
      <w:pPr>
        <w:ind w:left="23760" w:hanging="2160"/>
      </w:pPr>
      <w:rPr>
        <w:rFonts w:hint="default"/>
      </w:rPr>
    </w:lvl>
    <w:lvl w:ilvl="7">
      <w:start w:val="1"/>
      <w:numFmt w:val="decimal"/>
      <w:lvlText w:val="%1.%2.%3.%4.%5.%6.%7.%8"/>
      <w:lvlJc w:val="left"/>
      <w:pPr>
        <w:ind w:left="27720" w:hanging="2520"/>
      </w:pPr>
      <w:rPr>
        <w:rFonts w:hint="default"/>
      </w:rPr>
    </w:lvl>
    <w:lvl w:ilvl="8">
      <w:start w:val="1"/>
      <w:numFmt w:val="decimal"/>
      <w:lvlText w:val="%1.%2.%3.%4.%5.%6.%7.%8.%9"/>
      <w:lvlJc w:val="left"/>
      <w:pPr>
        <w:ind w:hanging="2880"/>
      </w:pPr>
      <w:rPr>
        <w:rFonts w:hint="default"/>
      </w:rPr>
    </w:lvl>
  </w:abstractNum>
  <w:abstractNum w:abstractNumId="6" w15:restartNumberingAfterBreak="0">
    <w:nsid w:val="245467B0"/>
    <w:multiLevelType w:val="multilevel"/>
    <w:tmpl w:val="1C289966"/>
    <w:lvl w:ilvl="0">
      <w:start w:val="3"/>
      <w:numFmt w:val="decimal"/>
      <w:lvlText w:val="%1"/>
      <w:lvlJc w:val="left"/>
      <w:pPr>
        <w:ind w:left="608" w:hanging="608"/>
      </w:pPr>
      <w:rPr>
        <w:rFonts w:hint="default"/>
      </w:rPr>
    </w:lvl>
    <w:lvl w:ilvl="1">
      <w:start w:val="1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400" w:hanging="2880"/>
      </w:pPr>
      <w:rPr>
        <w:rFonts w:hint="default"/>
      </w:rPr>
    </w:lvl>
  </w:abstractNum>
  <w:abstractNum w:abstractNumId="7" w15:restartNumberingAfterBreak="0">
    <w:nsid w:val="2A234CF6"/>
    <w:multiLevelType w:val="multilevel"/>
    <w:tmpl w:val="14EE32D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0CA695D"/>
    <w:multiLevelType w:val="multilevel"/>
    <w:tmpl w:val="7688A9A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7A613B"/>
    <w:multiLevelType w:val="hybridMultilevel"/>
    <w:tmpl w:val="A8C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60A21"/>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146"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1" w15:restartNumberingAfterBreak="0">
    <w:nsid w:val="45C56286"/>
    <w:multiLevelType w:val="multilevel"/>
    <w:tmpl w:val="D8F01F28"/>
    <w:lvl w:ilvl="0">
      <w:start w:val="2"/>
      <w:numFmt w:val="decimal"/>
      <w:lvlText w:val="%1"/>
      <w:lvlJc w:val="left"/>
      <w:pPr>
        <w:ind w:left="435" w:hanging="435"/>
      </w:pPr>
      <w:rPr>
        <w:rFonts w:cs="MinionPro-Regular" w:hint="default"/>
        <w:color w:val="000000"/>
      </w:rPr>
    </w:lvl>
    <w:lvl w:ilvl="1">
      <w:start w:val="8"/>
      <w:numFmt w:val="decimal"/>
      <w:lvlText w:val="%1.%2"/>
      <w:lvlJc w:val="left"/>
      <w:pPr>
        <w:ind w:left="1429" w:hanging="720"/>
      </w:pPr>
      <w:rPr>
        <w:rFonts w:cs="MinionPro-Regular" w:hint="default"/>
        <w:color w:val="000000"/>
      </w:rPr>
    </w:lvl>
    <w:lvl w:ilvl="2">
      <w:start w:val="1"/>
      <w:numFmt w:val="decimal"/>
      <w:lvlText w:val="%1.%2.%3"/>
      <w:lvlJc w:val="left"/>
      <w:pPr>
        <w:ind w:left="2498" w:hanging="1080"/>
      </w:pPr>
      <w:rPr>
        <w:rFonts w:cs="MinionPro-Regular" w:hint="default"/>
        <w:color w:val="000000"/>
      </w:rPr>
    </w:lvl>
    <w:lvl w:ilvl="3">
      <w:start w:val="1"/>
      <w:numFmt w:val="decimal"/>
      <w:lvlText w:val="%1.%2.%3.%4"/>
      <w:lvlJc w:val="left"/>
      <w:pPr>
        <w:ind w:left="3567" w:hanging="1440"/>
      </w:pPr>
      <w:rPr>
        <w:rFonts w:cs="MinionPro-Regular" w:hint="default"/>
        <w:color w:val="000000"/>
      </w:rPr>
    </w:lvl>
    <w:lvl w:ilvl="4">
      <w:start w:val="1"/>
      <w:numFmt w:val="decimal"/>
      <w:lvlText w:val="%1.%2.%3.%4.%5"/>
      <w:lvlJc w:val="left"/>
      <w:pPr>
        <w:ind w:left="4276" w:hanging="1440"/>
      </w:pPr>
      <w:rPr>
        <w:rFonts w:cs="MinionPro-Regular" w:hint="default"/>
        <w:color w:val="000000"/>
      </w:rPr>
    </w:lvl>
    <w:lvl w:ilvl="5">
      <w:start w:val="1"/>
      <w:numFmt w:val="decimal"/>
      <w:lvlText w:val="%1.%2.%3.%4.%5.%6"/>
      <w:lvlJc w:val="left"/>
      <w:pPr>
        <w:ind w:left="5345" w:hanging="1800"/>
      </w:pPr>
      <w:rPr>
        <w:rFonts w:cs="MinionPro-Regular" w:hint="default"/>
        <w:color w:val="000000"/>
      </w:rPr>
    </w:lvl>
    <w:lvl w:ilvl="6">
      <w:start w:val="1"/>
      <w:numFmt w:val="decimal"/>
      <w:lvlText w:val="%1.%2.%3.%4.%5.%6.%7"/>
      <w:lvlJc w:val="left"/>
      <w:pPr>
        <w:ind w:left="6414" w:hanging="2160"/>
      </w:pPr>
      <w:rPr>
        <w:rFonts w:cs="MinionPro-Regular" w:hint="default"/>
        <w:color w:val="000000"/>
      </w:rPr>
    </w:lvl>
    <w:lvl w:ilvl="7">
      <w:start w:val="1"/>
      <w:numFmt w:val="decimal"/>
      <w:lvlText w:val="%1.%2.%3.%4.%5.%6.%7.%8"/>
      <w:lvlJc w:val="left"/>
      <w:pPr>
        <w:ind w:left="7483" w:hanging="2520"/>
      </w:pPr>
      <w:rPr>
        <w:rFonts w:cs="MinionPro-Regular" w:hint="default"/>
        <w:color w:val="000000"/>
      </w:rPr>
    </w:lvl>
    <w:lvl w:ilvl="8">
      <w:start w:val="1"/>
      <w:numFmt w:val="decimal"/>
      <w:lvlText w:val="%1.%2.%3.%4.%5.%6.%7.%8.%9"/>
      <w:lvlJc w:val="left"/>
      <w:pPr>
        <w:ind w:left="8552" w:hanging="2880"/>
      </w:pPr>
      <w:rPr>
        <w:rFonts w:cs="MinionPro-Regular" w:hint="default"/>
        <w:color w:val="000000"/>
      </w:rPr>
    </w:lvl>
  </w:abstractNum>
  <w:abstractNum w:abstractNumId="12" w15:restartNumberingAfterBreak="0">
    <w:nsid w:val="57E2526B"/>
    <w:multiLevelType w:val="multilevel"/>
    <w:tmpl w:val="514A0534"/>
    <w:lvl w:ilvl="0">
      <w:start w:val="2"/>
      <w:numFmt w:val="decimal"/>
      <w:lvlText w:val="%1"/>
      <w:lvlJc w:val="left"/>
      <w:pPr>
        <w:ind w:left="608" w:hanging="608"/>
      </w:pPr>
      <w:rPr>
        <w:rFonts w:hint="default"/>
      </w:rPr>
    </w:lvl>
    <w:lvl w:ilvl="1">
      <w:start w:val="30"/>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3" w15:restartNumberingAfterBreak="0">
    <w:nsid w:val="598B68FA"/>
    <w:multiLevelType w:val="multilevel"/>
    <w:tmpl w:val="0AF4B6E2"/>
    <w:lvl w:ilvl="0">
      <w:start w:val="2"/>
      <w:numFmt w:val="decimal"/>
      <w:lvlText w:val="%1"/>
      <w:lvlJc w:val="left"/>
      <w:pPr>
        <w:ind w:left="608" w:hanging="608"/>
      </w:pPr>
      <w:rPr>
        <w:rFonts w:hint="default"/>
      </w:rPr>
    </w:lvl>
    <w:lvl w:ilvl="1">
      <w:start w:val="40"/>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4" w15:restartNumberingAfterBreak="0">
    <w:nsid w:val="5D56003E"/>
    <w:multiLevelType w:val="multilevel"/>
    <w:tmpl w:val="D03E640C"/>
    <w:lvl w:ilvl="0">
      <w:start w:val="3"/>
      <w:numFmt w:val="decimal"/>
      <w:lvlText w:val="%1"/>
      <w:lvlJc w:val="left"/>
      <w:pPr>
        <w:ind w:left="608" w:hanging="608"/>
      </w:pPr>
      <w:rPr>
        <w:rFonts w:hint="default"/>
      </w:rPr>
    </w:lvl>
    <w:lvl w:ilvl="1">
      <w:start w:val="26"/>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10080" w:hanging="144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920" w:hanging="2880"/>
      </w:pPr>
      <w:rPr>
        <w:rFonts w:hint="default"/>
      </w:rPr>
    </w:lvl>
  </w:abstractNum>
  <w:abstractNum w:abstractNumId="15" w15:restartNumberingAfterBreak="0">
    <w:nsid w:val="5F73035E"/>
    <w:multiLevelType w:val="multilevel"/>
    <w:tmpl w:val="DBB2FC98"/>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364" w:hanging="108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2008" w:hanging="1440"/>
      </w:pPr>
      <w:rPr>
        <w:rFonts w:hint="default"/>
        <w:color w:val="auto"/>
      </w:rPr>
    </w:lvl>
    <w:lvl w:ilvl="5">
      <w:start w:val="1"/>
      <w:numFmt w:val="decimal"/>
      <w:lvlText w:val="%1.%2.%3.%4.%5.%6"/>
      <w:lvlJc w:val="left"/>
      <w:pPr>
        <w:ind w:left="2510" w:hanging="1800"/>
      </w:pPr>
      <w:rPr>
        <w:rFonts w:hint="default"/>
        <w:color w:val="auto"/>
      </w:rPr>
    </w:lvl>
    <w:lvl w:ilvl="6">
      <w:start w:val="1"/>
      <w:numFmt w:val="decimal"/>
      <w:lvlText w:val="%1.%2.%3.%4.%5.%6.%7"/>
      <w:lvlJc w:val="left"/>
      <w:pPr>
        <w:ind w:left="3012" w:hanging="2160"/>
      </w:pPr>
      <w:rPr>
        <w:rFonts w:hint="default"/>
        <w:color w:val="auto"/>
      </w:rPr>
    </w:lvl>
    <w:lvl w:ilvl="7">
      <w:start w:val="1"/>
      <w:numFmt w:val="decimal"/>
      <w:lvlText w:val="%1.%2.%3.%4.%5.%6.%7.%8"/>
      <w:lvlJc w:val="left"/>
      <w:pPr>
        <w:ind w:left="3514" w:hanging="2520"/>
      </w:pPr>
      <w:rPr>
        <w:rFonts w:hint="default"/>
        <w:color w:val="auto"/>
      </w:rPr>
    </w:lvl>
    <w:lvl w:ilvl="8">
      <w:start w:val="1"/>
      <w:numFmt w:val="decimal"/>
      <w:lvlText w:val="%1.%2.%3.%4.%5.%6.%7.%8.%9"/>
      <w:lvlJc w:val="left"/>
      <w:pPr>
        <w:ind w:left="3656" w:hanging="2520"/>
      </w:pPr>
      <w:rPr>
        <w:rFonts w:hint="default"/>
        <w:color w:val="auto"/>
      </w:rPr>
    </w:lvl>
  </w:abstractNum>
  <w:abstractNum w:abstractNumId="16" w15:restartNumberingAfterBreak="0">
    <w:nsid w:val="6529114A"/>
    <w:multiLevelType w:val="hybridMultilevel"/>
    <w:tmpl w:val="673E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4103C"/>
    <w:multiLevelType w:val="hybridMultilevel"/>
    <w:tmpl w:val="43BE4282"/>
    <w:lvl w:ilvl="0" w:tplc="D70ECCDE">
      <w:start w:val="1"/>
      <w:numFmt w:val="decimal"/>
      <w:pStyle w:val="Heading1"/>
      <w:lvlText w:val="%1.0"/>
      <w:lvlJc w:val="left"/>
      <w:pPr>
        <w:ind w:left="720" w:hanging="360"/>
      </w:pPr>
      <w:rPr>
        <w:rFonts w:hint="default"/>
        <w:color w:val="7732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74502"/>
    <w:multiLevelType w:val="hybridMultilevel"/>
    <w:tmpl w:val="616CC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C618A"/>
    <w:multiLevelType w:val="hybridMultilevel"/>
    <w:tmpl w:val="73F4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52E44"/>
    <w:multiLevelType w:val="multilevel"/>
    <w:tmpl w:val="28FE12A4"/>
    <w:lvl w:ilvl="0">
      <w:start w:val="2"/>
      <w:numFmt w:val="decimal"/>
      <w:lvlText w:val="%1"/>
      <w:lvlJc w:val="left"/>
      <w:pPr>
        <w:ind w:left="608" w:hanging="608"/>
      </w:pPr>
      <w:rPr>
        <w:rFonts w:hint="default"/>
      </w:rPr>
    </w:lvl>
    <w:lvl w:ilvl="1">
      <w:start w:val="24"/>
      <w:numFmt w:val="decimal"/>
      <w:lvlText w:val="%1.%2"/>
      <w:lvlJc w:val="left"/>
      <w:pPr>
        <w:ind w:left="2433" w:hanging="720"/>
      </w:pPr>
      <w:rPr>
        <w:rFonts w:hint="default"/>
      </w:rPr>
    </w:lvl>
    <w:lvl w:ilvl="2">
      <w:start w:val="1"/>
      <w:numFmt w:val="decimal"/>
      <w:lvlText w:val="%1.%2.%3"/>
      <w:lvlJc w:val="left"/>
      <w:pPr>
        <w:ind w:left="4506" w:hanging="1080"/>
      </w:pPr>
      <w:rPr>
        <w:rFonts w:hint="default"/>
      </w:rPr>
    </w:lvl>
    <w:lvl w:ilvl="3">
      <w:start w:val="1"/>
      <w:numFmt w:val="decimal"/>
      <w:lvlText w:val="%1.%2.%3.%4"/>
      <w:lvlJc w:val="left"/>
      <w:pPr>
        <w:ind w:left="6579" w:hanging="1440"/>
      </w:pPr>
      <w:rPr>
        <w:rFonts w:hint="default"/>
      </w:rPr>
    </w:lvl>
    <w:lvl w:ilvl="4">
      <w:start w:val="1"/>
      <w:numFmt w:val="decimal"/>
      <w:lvlText w:val="%1.%2.%3.%4.%5"/>
      <w:lvlJc w:val="left"/>
      <w:pPr>
        <w:ind w:left="8292" w:hanging="144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438" w:hanging="2160"/>
      </w:pPr>
      <w:rPr>
        <w:rFonts w:hint="default"/>
      </w:rPr>
    </w:lvl>
    <w:lvl w:ilvl="7">
      <w:start w:val="1"/>
      <w:numFmt w:val="decimal"/>
      <w:lvlText w:val="%1.%2.%3.%4.%5.%6.%7.%8"/>
      <w:lvlJc w:val="left"/>
      <w:pPr>
        <w:ind w:left="14511" w:hanging="2520"/>
      </w:pPr>
      <w:rPr>
        <w:rFonts w:hint="default"/>
      </w:rPr>
    </w:lvl>
    <w:lvl w:ilvl="8">
      <w:start w:val="1"/>
      <w:numFmt w:val="decimal"/>
      <w:lvlText w:val="%1.%2.%3.%4.%5.%6.%7.%8.%9"/>
      <w:lvlJc w:val="left"/>
      <w:pPr>
        <w:ind w:left="16584" w:hanging="2880"/>
      </w:pPr>
      <w:rPr>
        <w:rFonts w:hint="default"/>
      </w:rPr>
    </w:lvl>
  </w:abstractNum>
  <w:abstractNum w:abstractNumId="21" w15:restartNumberingAfterBreak="0">
    <w:nsid w:val="78FB799F"/>
    <w:multiLevelType w:val="multilevel"/>
    <w:tmpl w:val="5A6C3EE8"/>
    <w:lvl w:ilvl="0">
      <w:start w:val="2"/>
      <w:numFmt w:val="decimal"/>
      <w:lvlText w:val="%1"/>
      <w:lvlJc w:val="left"/>
      <w:pPr>
        <w:ind w:left="608" w:hanging="608"/>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6"/>
  </w:num>
  <w:num w:numId="2">
    <w:abstractNumId w:val="19"/>
  </w:num>
  <w:num w:numId="3">
    <w:abstractNumId w:val="9"/>
  </w:num>
  <w:num w:numId="4">
    <w:abstractNumId w:val="8"/>
  </w:num>
  <w:num w:numId="5">
    <w:abstractNumId w:val="17"/>
  </w:num>
  <w:num w:numId="6">
    <w:abstractNumId w:val="7"/>
  </w:num>
  <w:num w:numId="7">
    <w:abstractNumId w:val="0"/>
  </w:num>
  <w:num w:numId="8">
    <w:abstractNumId w:val="11"/>
  </w:num>
  <w:num w:numId="9">
    <w:abstractNumId w:val="2"/>
  </w:num>
  <w:num w:numId="10">
    <w:abstractNumId w:val="20"/>
  </w:num>
  <w:num w:numId="11">
    <w:abstractNumId w:val="12"/>
  </w:num>
  <w:num w:numId="12">
    <w:abstractNumId w:val="21"/>
  </w:num>
  <w:num w:numId="13">
    <w:abstractNumId w:val="13"/>
  </w:num>
  <w:num w:numId="14">
    <w:abstractNumId w:val="6"/>
  </w:num>
  <w:num w:numId="15">
    <w:abstractNumId w:val="3"/>
  </w:num>
  <w:num w:numId="16">
    <w:abstractNumId w:val="14"/>
  </w:num>
  <w:num w:numId="17">
    <w:abstractNumId w:val="5"/>
  </w:num>
  <w:num w:numId="18">
    <w:abstractNumId w:val="15"/>
  </w:num>
  <w:num w:numId="19">
    <w:abstractNumId w:val="1"/>
  </w:num>
  <w:num w:numId="20">
    <w:abstractNumId w:val="10"/>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22"/>
    <w:rsid w:val="000032A8"/>
    <w:rsid w:val="000034F1"/>
    <w:rsid w:val="00004DB0"/>
    <w:rsid w:val="0000636D"/>
    <w:rsid w:val="00006B45"/>
    <w:rsid w:val="00006F24"/>
    <w:rsid w:val="0000782A"/>
    <w:rsid w:val="00007B2C"/>
    <w:rsid w:val="00007CF8"/>
    <w:rsid w:val="00010960"/>
    <w:rsid w:val="0001099A"/>
    <w:rsid w:val="00011BC3"/>
    <w:rsid w:val="00011F1F"/>
    <w:rsid w:val="00013F4D"/>
    <w:rsid w:val="000151FE"/>
    <w:rsid w:val="00015CF5"/>
    <w:rsid w:val="0002104E"/>
    <w:rsid w:val="000215C5"/>
    <w:rsid w:val="00022394"/>
    <w:rsid w:val="0002330B"/>
    <w:rsid w:val="00023BDB"/>
    <w:rsid w:val="00023CDA"/>
    <w:rsid w:val="00023D23"/>
    <w:rsid w:val="00024238"/>
    <w:rsid w:val="000244CA"/>
    <w:rsid w:val="0002594F"/>
    <w:rsid w:val="00025B37"/>
    <w:rsid w:val="00025F09"/>
    <w:rsid w:val="00026A8D"/>
    <w:rsid w:val="0002788A"/>
    <w:rsid w:val="00027F5D"/>
    <w:rsid w:val="00030510"/>
    <w:rsid w:val="0003179A"/>
    <w:rsid w:val="00032B22"/>
    <w:rsid w:val="00032C2A"/>
    <w:rsid w:val="00033922"/>
    <w:rsid w:val="000354DB"/>
    <w:rsid w:val="00035546"/>
    <w:rsid w:val="00040081"/>
    <w:rsid w:val="000414D7"/>
    <w:rsid w:val="000419DB"/>
    <w:rsid w:val="0004515C"/>
    <w:rsid w:val="00046093"/>
    <w:rsid w:val="00046730"/>
    <w:rsid w:val="000478FB"/>
    <w:rsid w:val="0005438A"/>
    <w:rsid w:val="00054400"/>
    <w:rsid w:val="00055888"/>
    <w:rsid w:val="000565CF"/>
    <w:rsid w:val="00060410"/>
    <w:rsid w:val="0006138D"/>
    <w:rsid w:val="0006283C"/>
    <w:rsid w:val="00062D54"/>
    <w:rsid w:val="0006328E"/>
    <w:rsid w:val="00064699"/>
    <w:rsid w:val="00065D52"/>
    <w:rsid w:val="0006738F"/>
    <w:rsid w:val="00067606"/>
    <w:rsid w:val="00067A7B"/>
    <w:rsid w:val="00071366"/>
    <w:rsid w:val="00071E29"/>
    <w:rsid w:val="0007202D"/>
    <w:rsid w:val="00072285"/>
    <w:rsid w:val="00072B36"/>
    <w:rsid w:val="0007316A"/>
    <w:rsid w:val="000731AB"/>
    <w:rsid w:val="00073647"/>
    <w:rsid w:val="000750E4"/>
    <w:rsid w:val="0007774F"/>
    <w:rsid w:val="00077C2C"/>
    <w:rsid w:val="00080911"/>
    <w:rsid w:val="00080ED7"/>
    <w:rsid w:val="0008516D"/>
    <w:rsid w:val="00086FC8"/>
    <w:rsid w:val="0008748A"/>
    <w:rsid w:val="00087931"/>
    <w:rsid w:val="000909D0"/>
    <w:rsid w:val="000914E4"/>
    <w:rsid w:val="00093D79"/>
    <w:rsid w:val="00095823"/>
    <w:rsid w:val="00095A60"/>
    <w:rsid w:val="000962B7"/>
    <w:rsid w:val="0009694B"/>
    <w:rsid w:val="000970DC"/>
    <w:rsid w:val="000A07F6"/>
    <w:rsid w:val="000A3DB1"/>
    <w:rsid w:val="000A4236"/>
    <w:rsid w:val="000A44A7"/>
    <w:rsid w:val="000A4AB1"/>
    <w:rsid w:val="000A536E"/>
    <w:rsid w:val="000A54C1"/>
    <w:rsid w:val="000A57E2"/>
    <w:rsid w:val="000A5EB2"/>
    <w:rsid w:val="000A7027"/>
    <w:rsid w:val="000A7A07"/>
    <w:rsid w:val="000B2863"/>
    <w:rsid w:val="000B3102"/>
    <w:rsid w:val="000B335E"/>
    <w:rsid w:val="000B3E76"/>
    <w:rsid w:val="000B42E8"/>
    <w:rsid w:val="000B781F"/>
    <w:rsid w:val="000C0797"/>
    <w:rsid w:val="000C4D5E"/>
    <w:rsid w:val="000D042D"/>
    <w:rsid w:val="000D32D1"/>
    <w:rsid w:val="000D4096"/>
    <w:rsid w:val="000D44B7"/>
    <w:rsid w:val="000D4D40"/>
    <w:rsid w:val="000D4F99"/>
    <w:rsid w:val="000D597E"/>
    <w:rsid w:val="000D6761"/>
    <w:rsid w:val="000D68CB"/>
    <w:rsid w:val="000D7C51"/>
    <w:rsid w:val="000E228E"/>
    <w:rsid w:val="000E536F"/>
    <w:rsid w:val="000E68A7"/>
    <w:rsid w:val="000F0F2C"/>
    <w:rsid w:val="000F201D"/>
    <w:rsid w:val="000F2EFB"/>
    <w:rsid w:val="000F5BE3"/>
    <w:rsid w:val="000F664D"/>
    <w:rsid w:val="000F76A2"/>
    <w:rsid w:val="000F7EAE"/>
    <w:rsid w:val="00101C70"/>
    <w:rsid w:val="001026D7"/>
    <w:rsid w:val="00105396"/>
    <w:rsid w:val="001058CF"/>
    <w:rsid w:val="0010655A"/>
    <w:rsid w:val="00106A0C"/>
    <w:rsid w:val="00107B66"/>
    <w:rsid w:val="00112A98"/>
    <w:rsid w:val="00112DE9"/>
    <w:rsid w:val="0011349F"/>
    <w:rsid w:val="0011400D"/>
    <w:rsid w:val="00114D8B"/>
    <w:rsid w:val="00114DAD"/>
    <w:rsid w:val="00115C3C"/>
    <w:rsid w:val="0011652B"/>
    <w:rsid w:val="00125699"/>
    <w:rsid w:val="0012695C"/>
    <w:rsid w:val="0013043C"/>
    <w:rsid w:val="00130F7B"/>
    <w:rsid w:val="001322AE"/>
    <w:rsid w:val="001358BC"/>
    <w:rsid w:val="0013756F"/>
    <w:rsid w:val="0014029C"/>
    <w:rsid w:val="001404D0"/>
    <w:rsid w:val="00140938"/>
    <w:rsid w:val="00141272"/>
    <w:rsid w:val="00141CC5"/>
    <w:rsid w:val="001420C2"/>
    <w:rsid w:val="00142D29"/>
    <w:rsid w:val="00143A69"/>
    <w:rsid w:val="001443C8"/>
    <w:rsid w:val="00145292"/>
    <w:rsid w:val="00145CCE"/>
    <w:rsid w:val="00146471"/>
    <w:rsid w:val="00146D48"/>
    <w:rsid w:val="00147057"/>
    <w:rsid w:val="00152EF0"/>
    <w:rsid w:val="00153608"/>
    <w:rsid w:val="001536C6"/>
    <w:rsid w:val="001540D6"/>
    <w:rsid w:val="00157DBE"/>
    <w:rsid w:val="00164CCD"/>
    <w:rsid w:val="00164F62"/>
    <w:rsid w:val="00165682"/>
    <w:rsid w:val="00165979"/>
    <w:rsid w:val="00171421"/>
    <w:rsid w:val="001714AB"/>
    <w:rsid w:val="00172982"/>
    <w:rsid w:val="001729EE"/>
    <w:rsid w:val="001760C0"/>
    <w:rsid w:val="001760FD"/>
    <w:rsid w:val="00180EF3"/>
    <w:rsid w:val="00185240"/>
    <w:rsid w:val="00185A78"/>
    <w:rsid w:val="00185E4E"/>
    <w:rsid w:val="00186FF1"/>
    <w:rsid w:val="00187121"/>
    <w:rsid w:val="00190B37"/>
    <w:rsid w:val="00192BDC"/>
    <w:rsid w:val="00193D63"/>
    <w:rsid w:val="001947FF"/>
    <w:rsid w:val="00195AC8"/>
    <w:rsid w:val="00197524"/>
    <w:rsid w:val="001A00AD"/>
    <w:rsid w:val="001A1907"/>
    <w:rsid w:val="001A204D"/>
    <w:rsid w:val="001A2F09"/>
    <w:rsid w:val="001A325A"/>
    <w:rsid w:val="001A4F76"/>
    <w:rsid w:val="001A5153"/>
    <w:rsid w:val="001A6025"/>
    <w:rsid w:val="001A7B55"/>
    <w:rsid w:val="001B0B06"/>
    <w:rsid w:val="001B0E6A"/>
    <w:rsid w:val="001B1C3D"/>
    <w:rsid w:val="001B4063"/>
    <w:rsid w:val="001B570B"/>
    <w:rsid w:val="001B644C"/>
    <w:rsid w:val="001B6E64"/>
    <w:rsid w:val="001B7DE3"/>
    <w:rsid w:val="001C0E55"/>
    <w:rsid w:val="001C33D7"/>
    <w:rsid w:val="001C4066"/>
    <w:rsid w:val="001C4554"/>
    <w:rsid w:val="001C6FD8"/>
    <w:rsid w:val="001D0DA0"/>
    <w:rsid w:val="001D2B36"/>
    <w:rsid w:val="001D3300"/>
    <w:rsid w:val="001D3CB9"/>
    <w:rsid w:val="001D45D1"/>
    <w:rsid w:val="001D7120"/>
    <w:rsid w:val="001D7A05"/>
    <w:rsid w:val="001E1A0F"/>
    <w:rsid w:val="001E326F"/>
    <w:rsid w:val="001E445D"/>
    <w:rsid w:val="001E54A3"/>
    <w:rsid w:val="001E6A5B"/>
    <w:rsid w:val="001E769C"/>
    <w:rsid w:val="001F0020"/>
    <w:rsid w:val="001F095D"/>
    <w:rsid w:val="001F1B51"/>
    <w:rsid w:val="001F1F30"/>
    <w:rsid w:val="001F25C7"/>
    <w:rsid w:val="001F2AD6"/>
    <w:rsid w:val="001F2D2A"/>
    <w:rsid w:val="001F347F"/>
    <w:rsid w:val="001F3580"/>
    <w:rsid w:val="001F5ED1"/>
    <w:rsid w:val="001F6474"/>
    <w:rsid w:val="001F6602"/>
    <w:rsid w:val="001F6D53"/>
    <w:rsid w:val="001F71BE"/>
    <w:rsid w:val="001F7EBD"/>
    <w:rsid w:val="0020142E"/>
    <w:rsid w:val="0020164D"/>
    <w:rsid w:val="002022EA"/>
    <w:rsid w:val="00202813"/>
    <w:rsid w:val="002043B5"/>
    <w:rsid w:val="00206914"/>
    <w:rsid w:val="002070FE"/>
    <w:rsid w:val="002073DE"/>
    <w:rsid w:val="00212056"/>
    <w:rsid w:val="00214C77"/>
    <w:rsid w:val="00214EC1"/>
    <w:rsid w:val="00220B39"/>
    <w:rsid w:val="00220B6A"/>
    <w:rsid w:val="00220BE9"/>
    <w:rsid w:val="00221221"/>
    <w:rsid w:val="002234D8"/>
    <w:rsid w:val="00224073"/>
    <w:rsid w:val="00224C52"/>
    <w:rsid w:val="00225AFB"/>
    <w:rsid w:val="00230635"/>
    <w:rsid w:val="00232137"/>
    <w:rsid w:val="00235288"/>
    <w:rsid w:val="0023751A"/>
    <w:rsid w:val="00237FC0"/>
    <w:rsid w:val="00240FC4"/>
    <w:rsid w:val="00243946"/>
    <w:rsid w:val="002443F1"/>
    <w:rsid w:val="002447E0"/>
    <w:rsid w:val="00244812"/>
    <w:rsid w:val="002462B8"/>
    <w:rsid w:val="002463F7"/>
    <w:rsid w:val="00247AFB"/>
    <w:rsid w:val="00253674"/>
    <w:rsid w:val="00253EA9"/>
    <w:rsid w:val="00254554"/>
    <w:rsid w:val="00254688"/>
    <w:rsid w:val="00256836"/>
    <w:rsid w:val="00256984"/>
    <w:rsid w:val="00257700"/>
    <w:rsid w:val="00260C0E"/>
    <w:rsid w:val="00263D6C"/>
    <w:rsid w:val="002658FE"/>
    <w:rsid w:val="0026599B"/>
    <w:rsid w:val="00265D2B"/>
    <w:rsid w:val="002660ED"/>
    <w:rsid w:val="002721A7"/>
    <w:rsid w:val="00272428"/>
    <w:rsid w:val="0027376F"/>
    <w:rsid w:val="002737AF"/>
    <w:rsid w:val="00275A59"/>
    <w:rsid w:val="00277B58"/>
    <w:rsid w:val="002812C6"/>
    <w:rsid w:val="00284C6F"/>
    <w:rsid w:val="00286922"/>
    <w:rsid w:val="00291789"/>
    <w:rsid w:val="00291896"/>
    <w:rsid w:val="00292A76"/>
    <w:rsid w:val="00292D9D"/>
    <w:rsid w:val="002932CC"/>
    <w:rsid w:val="002937E7"/>
    <w:rsid w:val="00293AEF"/>
    <w:rsid w:val="00293DC7"/>
    <w:rsid w:val="00294E69"/>
    <w:rsid w:val="00295675"/>
    <w:rsid w:val="00297D86"/>
    <w:rsid w:val="00297DEA"/>
    <w:rsid w:val="002A2612"/>
    <w:rsid w:val="002A33E2"/>
    <w:rsid w:val="002A3AC0"/>
    <w:rsid w:val="002A4003"/>
    <w:rsid w:val="002A4725"/>
    <w:rsid w:val="002A4A6F"/>
    <w:rsid w:val="002A4AFA"/>
    <w:rsid w:val="002A656D"/>
    <w:rsid w:val="002A721E"/>
    <w:rsid w:val="002B01D3"/>
    <w:rsid w:val="002B2651"/>
    <w:rsid w:val="002B277F"/>
    <w:rsid w:val="002B2837"/>
    <w:rsid w:val="002B35CD"/>
    <w:rsid w:val="002B6C69"/>
    <w:rsid w:val="002C15B4"/>
    <w:rsid w:val="002C1F26"/>
    <w:rsid w:val="002C3CE4"/>
    <w:rsid w:val="002C5443"/>
    <w:rsid w:val="002C5705"/>
    <w:rsid w:val="002C57A9"/>
    <w:rsid w:val="002C6C15"/>
    <w:rsid w:val="002C6F21"/>
    <w:rsid w:val="002C7E64"/>
    <w:rsid w:val="002D054F"/>
    <w:rsid w:val="002D3DB9"/>
    <w:rsid w:val="002D5CA9"/>
    <w:rsid w:val="002D7631"/>
    <w:rsid w:val="002D7732"/>
    <w:rsid w:val="002E086A"/>
    <w:rsid w:val="002E1AED"/>
    <w:rsid w:val="002E1C8F"/>
    <w:rsid w:val="002E2BF5"/>
    <w:rsid w:val="002E4916"/>
    <w:rsid w:val="002E4F94"/>
    <w:rsid w:val="002F006D"/>
    <w:rsid w:val="002F0888"/>
    <w:rsid w:val="002F08BF"/>
    <w:rsid w:val="002F0A77"/>
    <w:rsid w:val="002F212F"/>
    <w:rsid w:val="002F418E"/>
    <w:rsid w:val="002F4333"/>
    <w:rsid w:val="002F49D6"/>
    <w:rsid w:val="002F687C"/>
    <w:rsid w:val="002F69CB"/>
    <w:rsid w:val="002F6D53"/>
    <w:rsid w:val="0030001E"/>
    <w:rsid w:val="003004F1"/>
    <w:rsid w:val="00301E53"/>
    <w:rsid w:val="00302265"/>
    <w:rsid w:val="00303E3D"/>
    <w:rsid w:val="003044A6"/>
    <w:rsid w:val="00304DDE"/>
    <w:rsid w:val="00304F58"/>
    <w:rsid w:val="003071FB"/>
    <w:rsid w:val="00307BDA"/>
    <w:rsid w:val="00310013"/>
    <w:rsid w:val="003101B5"/>
    <w:rsid w:val="00310D5A"/>
    <w:rsid w:val="0031378D"/>
    <w:rsid w:val="00314D45"/>
    <w:rsid w:val="00315017"/>
    <w:rsid w:val="003151C1"/>
    <w:rsid w:val="003153FD"/>
    <w:rsid w:val="003157A9"/>
    <w:rsid w:val="00315A77"/>
    <w:rsid w:val="003160E0"/>
    <w:rsid w:val="003170FF"/>
    <w:rsid w:val="00317D38"/>
    <w:rsid w:val="00317F64"/>
    <w:rsid w:val="00320496"/>
    <w:rsid w:val="0032068D"/>
    <w:rsid w:val="0032073C"/>
    <w:rsid w:val="00320C77"/>
    <w:rsid w:val="003227A4"/>
    <w:rsid w:val="00325193"/>
    <w:rsid w:val="003253B4"/>
    <w:rsid w:val="0032647A"/>
    <w:rsid w:val="00326C22"/>
    <w:rsid w:val="00330695"/>
    <w:rsid w:val="003309C0"/>
    <w:rsid w:val="003317BC"/>
    <w:rsid w:val="00331A11"/>
    <w:rsid w:val="003322C1"/>
    <w:rsid w:val="003322CA"/>
    <w:rsid w:val="00332475"/>
    <w:rsid w:val="00334F7E"/>
    <w:rsid w:val="00343785"/>
    <w:rsid w:val="003449E8"/>
    <w:rsid w:val="00345429"/>
    <w:rsid w:val="0034612B"/>
    <w:rsid w:val="003473E3"/>
    <w:rsid w:val="003475E9"/>
    <w:rsid w:val="0035271E"/>
    <w:rsid w:val="003534C4"/>
    <w:rsid w:val="00353C42"/>
    <w:rsid w:val="0035403B"/>
    <w:rsid w:val="00356774"/>
    <w:rsid w:val="0036135C"/>
    <w:rsid w:val="00363C2A"/>
    <w:rsid w:val="00364024"/>
    <w:rsid w:val="00364768"/>
    <w:rsid w:val="00364F2D"/>
    <w:rsid w:val="0036795D"/>
    <w:rsid w:val="00370F4F"/>
    <w:rsid w:val="0037159A"/>
    <w:rsid w:val="003717F4"/>
    <w:rsid w:val="003723C3"/>
    <w:rsid w:val="00372EF5"/>
    <w:rsid w:val="0037421E"/>
    <w:rsid w:val="003745F6"/>
    <w:rsid w:val="003752B7"/>
    <w:rsid w:val="0037615D"/>
    <w:rsid w:val="00376273"/>
    <w:rsid w:val="0038032A"/>
    <w:rsid w:val="0038334F"/>
    <w:rsid w:val="00383FA1"/>
    <w:rsid w:val="00384B44"/>
    <w:rsid w:val="003855C1"/>
    <w:rsid w:val="00385E29"/>
    <w:rsid w:val="0038698C"/>
    <w:rsid w:val="00390349"/>
    <w:rsid w:val="00391A71"/>
    <w:rsid w:val="00391D08"/>
    <w:rsid w:val="00392295"/>
    <w:rsid w:val="00393E2F"/>
    <w:rsid w:val="00395C8A"/>
    <w:rsid w:val="00396678"/>
    <w:rsid w:val="003968D5"/>
    <w:rsid w:val="00396CF4"/>
    <w:rsid w:val="003A0C68"/>
    <w:rsid w:val="003A1279"/>
    <w:rsid w:val="003A1D20"/>
    <w:rsid w:val="003A23A5"/>
    <w:rsid w:val="003A2AC0"/>
    <w:rsid w:val="003A39EA"/>
    <w:rsid w:val="003A5FEF"/>
    <w:rsid w:val="003A6B13"/>
    <w:rsid w:val="003A6F8C"/>
    <w:rsid w:val="003A7FCB"/>
    <w:rsid w:val="003B0C37"/>
    <w:rsid w:val="003B36B1"/>
    <w:rsid w:val="003B5615"/>
    <w:rsid w:val="003B67DE"/>
    <w:rsid w:val="003B702F"/>
    <w:rsid w:val="003B7578"/>
    <w:rsid w:val="003B7B37"/>
    <w:rsid w:val="003C0140"/>
    <w:rsid w:val="003C0841"/>
    <w:rsid w:val="003C1318"/>
    <w:rsid w:val="003C1517"/>
    <w:rsid w:val="003C32DE"/>
    <w:rsid w:val="003C397D"/>
    <w:rsid w:val="003C3B26"/>
    <w:rsid w:val="003C50C8"/>
    <w:rsid w:val="003C6F11"/>
    <w:rsid w:val="003D0A7B"/>
    <w:rsid w:val="003D20EF"/>
    <w:rsid w:val="003D2F4A"/>
    <w:rsid w:val="003D3196"/>
    <w:rsid w:val="003D38E2"/>
    <w:rsid w:val="003D422C"/>
    <w:rsid w:val="003D6F83"/>
    <w:rsid w:val="003D70BD"/>
    <w:rsid w:val="003E0608"/>
    <w:rsid w:val="003E0857"/>
    <w:rsid w:val="003E164A"/>
    <w:rsid w:val="003E2D7D"/>
    <w:rsid w:val="003E41A4"/>
    <w:rsid w:val="003E44C2"/>
    <w:rsid w:val="003E6AEE"/>
    <w:rsid w:val="003E6E38"/>
    <w:rsid w:val="003E6FC4"/>
    <w:rsid w:val="003F2C0C"/>
    <w:rsid w:val="003F4B14"/>
    <w:rsid w:val="003F4C7E"/>
    <w:rsid w:val="003F5747"/>
    <w:rsid w:val="0040033B"/>
    <w:rsid w:val="00400739"/>
    <w:rsid w:val="004019B4"/>
    <w:rsid w:val="0040213D"/>
    <w:rsid w:val="00402C2A"/>
    <w:rsid w:val="00405963"/>
    <w:rsid w:val="00407EF3"/>
    <w:rsid w:val="0041037B"/>
    <w:rsid w:val="00411C30"/>
    <w:rsid w:val="004126E8"/>
    <w:rsid w:val="0041327E"/>
    <w:rsid w:val="00414758"/>
    <w:rsid w:val="00414838"/>
    <w:rsid w:val="0041541B"/>
    <w:rsid w:val="00415782"/>
    <w:rsid w:val="00415FFD"/>
    <w:rsid w:val="00416542"/>
    <w:rsid w:val="00417863"/>
    <w:rsid w:val="004206FB"/>
    <w:rsid w:val="00420A06"/>
    <w:rsid w:val="00420B6B"/>
    <w:rsid w:val="00421C0E"/>
    <w:rsid w:val="00423179"/>
    <w:rsid w:val="004239BA"/>
    <w:rsid w:val="00425C82"/>
    <w:rsid w:val="00425E8B"/>
    <w:rsid w:val="00426350"/>
    <w:rsid w:val="00430624"/>
    <w:rsid w:val="00433CBE"/>
    <w:rsid w:val="00433D2F"/>
    <w:rsid w:val="00434940"/>
    <w:rsid w:val="00437286"/>
    <w:rsid w:val="004375CE"/>
    <w:rsid w:val="00437CA9"/>
    <w:rsid w:val="004408AB"/>
    <w:rsid w:val="004418BA"/>
    <w:rsid w:val="00442411"/>
    <w:rsid w:val="00443B6E"/>
    <w:rsid w:val="00444355"/>
    <w:rsid w:val="0044440E"/>
    <w:rsid w:val="00444F98"/>
    <w:rsid w:val="0044738E"/>
    <w:rsid w:val="00451541"/>
    <w:rsid w:val="00453092"/>
    <w:rsid w:val="00454392"/>
    <w:rsid w:val="00455846"/>
    <w:rsid w:val="0045730B"/>
    <w:rsid w:val="00457D2E"/>
    <w:rsid w:val="00457E39"/>
    <w:rsid w:val="0046021D"/>
    <w:rsid w:val="00461DF0"/>
    <w:rsid w:val="00463E92"/>
    <w:rsid w:val="00464EA0"/>
    <w:rsid w:val="00467118"/>
    <w:rsid w:val="00470BA6"/>
    <w:rsid w:val="0047212A"/>
    <w:rsid w:val="00472391"/>
    <w:rsid w:val="00472428"/>
    <w:rsid w:val="00472C7F"/>
    <w:rsid w:val="00473D10"/>
    <w:rsid w:val="00474105"/>
    <w:rsid w:val="00474594"/>
    <w:rsid w:val="00474ADE"/>
    <w:rsid w:val="00474E5F"/>
    <w:rsid w:val="00475E53"/>
    <w:rsid w:val="004763ED"/>
    <w:rsid w:val="0048067A"/>
    <w:rsid w:val="00480958"/>
    <w:rsid w:val="0048142C"/>
    <w:rsid w:val="00482B0A"/>
    <w:rsid w:val="00482CAA"/>
    <w:rsid w:val="00483B33"/>
    <w:rsid w:val="00483FAC"/>
    <w:rsid w:val="00485DA3"/>
    <w:rsid w:val="00492F02"/>
    <w:rsid w:val="00493192"/>
    <w:rsid w:val="00494320"/>
    <w:rsid w:val="004950B7"/>
    <w:rsid w:val="00495909"/>
    <w:rsid w:val="0049613A"/>
    <w:rsid w:val="004967FF"/>
    <w:rsid w:val="00496804"/>
    <w:rsid w:val="004972FF"/>
    <w:rsid w:val="00497CAE"/>
    <w:rsid w:val="004A1086"/>
    <w:rsid w:val="004A24C3"/>
    <w:rsid w:val="004A4397"/>
    <w:rsid w:val="004A4F8E"/>
    <w:rsid w:val="004A6CAC"/>
    <w:rsid w:val="004A79C6"/>
    <w:rsid w:val="004B0C39"/>
    <w:rsid w:val="004B0E45"/>
    <w:rsid w:val="004B3AF4"/>
    <w:rsid w:val="004B3EE3"/>
    <w:rsid w:val="004B4225"/>
    <w:rsid w:val="004C00FB"/>
    <w:rsid w:val="004C3DD8"/>
    <w:rsid w:val="004C4983"/>
    <w:rsid w:val="004C4E66"/>
    <w:rsid w:val="004C7A83"/>
    <w:rsid w:val="004D0536"/>
    <w:rsid w:val="004D0A0E"/>
    <w:rsid w:val="004D0F5E"/>
    <w:rsid w:val="004D2912"/>
    <w:rsid w:val="004D5A96"/>
    <w:rsid w:val="004D65F0"/>
    <w:rsid w:val="004E1DB7"/>
    <w:rsid w:val="004E2808"/>
    <w:rsid w:val="004E3392"/>
    <w:rsid w:val="004E38E1"/>
    <w:rsid w:val="004E3A9D"/>
    <w:rsid w:val="004E3D65"/>
    <w:rsid w:val="004E41FE"/>
    <w:rsid w:val="004E56B0"/>
    <w:rsid w:val="004F113B"/>
    <w:rsid w:val="004F16BC"/>
    <w:rsid w:val="004F3064"/>
    <w:rsid w:val="004F5643"/>
    <w:rsid w:val="004F5C72"/>
    <w:rsid w:val="004F7687"/>
    <w:rsid w:val="004F7BEC"/>
    <w:rsid w:val="004F7BFF"/>
    <w:rsid w:val="004F7F3D"/>
    <w:rsid w:val="00501FE6"/>
    <w:rsid w:val="00502427"/>
    <w:rsid w:val="00502722"/>
    <w:rsid w:val="00503DC4"/>
    <w:rsid w:val="00505B48"/>
    <w:rsid w:val="00505D90"/>
    <w:rsid w:val="00514E21"/>
    <w:rsid w:val="00515749"/>
    <w:rsid w:val="00516935"/>
    <w:rsid w:val="0051729C"/>
    <w:rsid w:val="00520A47"/>
    <w:rsid w:val="005219B8"/>
    <w:rsid w:val="00521C79"/>
    <w:rsid w:val="00523732"/>
    <w:rsid w:val="00524182"/>
    <w:rsid w:val="00524C5F"/>
    <w:rsid w:val="00524DC0"/>
    <w:rsid w:val="00525B02"/>
    <w:rsid w:val="00525F8D"/>
    <w:rsid w:val="005271FC"/>
    <w:rsid w:val="00530E43"/>
    <w:rsid w:val="00533438"/>
    <w:rsid w:val="0053379A"/>
    <w:rsid w:val="00533913"/>
    <w:rsid w:val="00535BD7"/>
    <w:rsid w:val="00535FC7"/>
    <w:rsid w:val="00536205"/>
    <w:rsid w:val="0053626F"/>
    <w:rsid w:val="005364B7"/>
    <w:rsid w:val="00540731"/>
    <w:rsid w:val="005412CE"/>
    <w:rsid w:val="00541BE8"/>
    <w:rsid w:val="005434EB"/>
    <w:rsid w:val="00543B6C"/>
    <w:rsid w:val="005453DE"/>
    <w:rsid w:val="00546B39"/>
    <w:rsid w:val="00547177"/>
    <w:rsid w:val="00547435"/>
    <w:rsid w:val="00552C86"/>
    <w:rsid w:val="00553F20"/>
    <w:rsid w:val="00553FCA"/>
    <w:rsid w:val="0055485C"/>
    <w:rsid w:val="00554D5E"/>
    <w:rsid w:val="00554DBF"/>
    <w:rsid w:val="00554F15"/>
    <w:rsid w:val="00555028"/>
    <w:rsid w:val="00556EDA"/>
    <w:rsid w:val="005606BE"/>
    <w:rsid w:val="00563B3D"/>
    <w:rsid w:val="00564F9A"/>
    <w:rsid w:val="00565561"/>
    <w:rsid w:val="00566063"/>
    <w:rsid w:val="00566E0D"/>
    <w:rsid w:val="00566EC8"/>
    <w:rsid w:val="005678BD"/>
    <w:rsid w:val="0057072B"/>
    <w:rsid w:val="00571244"/>
    <w:rsid w:val="0057137F"/>
    <w:rsid w:val="005713D9"/>
    <w:rsid w:val="00571C2B"/>
    <w:rsid w:val="0057267B"/>
    <w:rsid w:val="00573FE0"/>
    <w:rsid w:val="0057544C"/>
    <w:rsid w:val="00575CB5"/>
    <w:rsid w:val="0058021B"/>
    <w:rsid w:val="00581B16"/>
    <w:rsid w:val="00582C3A"/>
    <w:rsid w:val="00582F55"/>
    <w:rsid w:val="00582FC3"/>
    <w:rsid w:val="005833FA"/>
    <w:rsid w:val="00583DA9"/>
    <w:rsid w:val="005841C4"/>
    <w:rsid w:val="00586A3F"/>
    <w:rsid w:val="00587014"/>
    <w:rsid w:val="00592CC9"/>
    <w:rsid w:val="00595BE0"/>
    <w:rsid w:val="00595E9F"/>
    <w:rsid w:val="0059750A"/>
    <w:rsid w:val="005A14B4"/>
    <w:rsid w:val="005A3471"/>
    <w:rsid w:val="005A5942"/>
    <w:rsid w:val="005A5C3B"/>
    <w:rsid w:val="005A5D1D"/>
    <w:rsid w:val="005A5FF8"/>
    <w:rsid w:val="005A6747"/>
    <w:rsid w:val="005A7379"/>
    <w:rsid w:val="005B0980"/>
    <w:rsid w:val="005B285B"/>
    <w:rsid w:val="005B29DB"/>
    <w:rsid w:val="005B30BF"/>
    <w:rsid w:val="005B42BE"/>
    <w:rsid w:val="005B6148"/>
    <w:rsid w:val="005B7B71"/>
    <w:rsid w:val="005C04CE"/>
    <w:rsid w:val="005C211C"/>
    <w:rsid w:val="005C21B4"/>
    <w:rsid w:val="005C25D4"/>
    <w:rsid w:val="005C2A52"/>
    <w:rsid w:val="005C378B"/>
    <w:rsid w:val="005C3CAB"/>
    <w:rsid w:val="005C42B2"/>
    <w:rsid w:val="005C49DA"/>
    <w:rsid w:val="005C5041"/>
    <w:rsid w:val="005C5936"/>
    <w:rsid w:val="005C699C"/>
    <w:rsid w:val="005C7CBC"/>
    <w:rsid w:val="005C7CD7"/>
    <w:rsid w:val="005D055A"/>
    <w:rsid w:val="005D4A29"/>
    <w:rsid w:val="005D4BD3"/>
    <w:rsid w:val="005D4E69"/>
    <w:rsid w:val="005D64C7"/>
    <w:rsid w:val="005E0AE9"/>
    <w:rsid w:val="005E7BFC"/>
    <w:rsid w:val="005F1FC7"/>
    <w:rsid w:val="005F2A34"/>
    <w:rsid w:val="005F4C5B"/>
    <w:rsid w:val="005F58C9"/>
    <w:rsid w:val="005F703C"/>
    <w:rsid w:val="005F71B3"/>
    <w:rsid w:val="005F79B6"/>
    <w:rsid w:val="005F7EBD"/>
    <w:rsid w:val="00600835"/>
    <w:rsid w:val="00604101"/>
    <w:rsid w:val="006042A4"/>
    <w:rsid w:val="00604FCA"/>
    <w:rsid w:val="00605602"/>
    <w:rsid w:val="006062BA"/>
    <w:rsid w:val="00607739"/>
    <w:rsid w:val="00607843"/>
    <w:rsid w:val="0061165F"/>
    <w:rsid w:val="00614373"/>
    <w:rsid w:val="00615DC1"/>
    <w:rsid w:val="00616EA9"/>
    <w:rsid w:val="00620338"/>
    <w:rsid w:val="006207E1"/>
    <w:rsid w:val="00620F39"/>
    <w:rsid w:val="00621EBA"/>
    <w:rsid w:val="00621F19"/>
    <w:rsid w:val="0062440E"/>
    <w:rsid w:val="006248EF"/>
    <w:rsid w:val="0062518E"/>
    <w:rsid w:val="0062664B"/>
    <w:rsid w:val="006304C0"/>
    <w:rsid w:val="00630EB9"/>
    <w:rsid w:val="006322DB"/>
    <w:rsid w:val="00632D94"/>
    <w:rsid w:val="006340F0"/>
    <w:rsid w:val="006344FC"/>
    <w:rsid w:val="006368F7"/>
    <w:rsid w:val="00636FBC"/>
    <w:rsid w:val="0063718A"/>
    <w:rsid w:val="00637C23"/>
    <w:rsid w:val="00637E92"/>
    <w:rsid w:val="006416F3"/>
    <w:rsid w:val="00642B5D"/>
    <w:rsid w:val="00644470"/>
    <w:rsid w:val="00645997"/>
    <w:rsid w:val="00645FFD"/>
    <w:rsid w:val="00650726"/>
    <w:rsid w:val="0065125A"/>
    <w:rsid w:val="006517AA"/>
    <w:rsid w:val="00661AD2"/>
    <w:rsid w:val="00661DB3"/>
    <w:rsid w:val="00663229"/>
    <w:rsid w:val="00663E35"/>
    <w:rsid w:val="00664A8F"/>
    <w:rsid w:val="006654DF"/>
    <w:rsid w:val="00666EB0"/>
    <w:rsid w:val="00667B3A"/>
    <w:rsid w:val="00671275"/>
    <w:rsid w:val="00673940"/>
    <w:rsid w:val="00674465"/>
    <w:rsid w:val="00674E13"/>
    <w:rsid w:val="00675BE7"/>
    <w:rsid w:val="006767DE"/>
    <w:rsid w:val="00676C25"/>
    <w:rsid w:val="00676CB1"/>
    <w:rsid w:val="006773C0"/>
    <w:rsid w:val="00690793"/>
    <w:rsid w:val="00693CCB"/>
    <w:rsid w:val="006943E5"/>
    <w:rsid w:val="00694519"/>
    <w:rsid w:val="006958DB"/>
    <w:rsid w:val="006960A6"/>
    <w:rsid w:val="006A11F5"/>
    <w:rsid w:val="006A2740"/>
    <w:rsid w:val="006A2B16"/>
    <w:rsid w:val="006A4521"/>
    <w:rsid w:val="006A65D6"/>
    <w:rsid w:val="006A7652"/>
    <w:rsid w:val="006B02B0"/>
    <w:rsid w:val="006B16CD"/>
    <w:rsid w:val="006B1A88"/>
    <w:rsid w:val="006B257F"/>
    <w:rsid w:val="006B29E5"/>
    <w:rsid w:val="006B29F9"/>
    <w:rsid w:val="006B3CF3"/>
    <w:rsid w:val="006B656C"/>
    <w:rsid w:val="006B6676"/>
    <w:rsid w:val="006B73B0"/>
    <w:rsid w:val="006B78E0"/>
    <w:rsid w:val="006B7EDF"/>
    <w:rsid w:val="006C0162"/>
    <w:rsid w:val="006C033A"/>
    <w:rsid w:val="006C065C"/>
    <w:rsid w:val="006C09E7"/>
    <w:rsid w:val="006C1212"/>
    <w:rsid w:val="006C5C80"/>
    <w:rsid w:val="006C6972"/>
    <w:rsid w:val="006C70F2"/>
    <w:rsid w:val="006D1F52"/>
    <w:rsid w:val="006D2DBD"/>
    <w:rsid w:val="006D38D9"/>
    <w:rsid w:val="006D71B3"/>
    <w:rsid w:val="006E031D"/>
    <w:rsid w:val="006E1578"/>
    <w:rsid w:val="006E1E92"/>
    <w:rsid w:val="006E41E3"/>
    <w:rsid w:val="006E50FF"/>
    <w:rsid w:val="006E567B"/>
    <w:rsid w:val="006E58DE"/>
    <w:rsid w:val="006F067E"/>
    <w:rsid w:val="006F0D10"/>
    <w:rsid w:val="006F18AB"/>
    <w:rsid w:val="006F4C9C"/>
    <w:rsid w:val="006F6E18"/>
    <w:rsid w:val="006F702B"/>
    <w:rsid w:val="006F7A4B"/>
    <w:rsid w:val="006F7F40"/>
    <w:rsid w:val="007016E9"/>
    <w:rsid w:val="00701C2D"/>
    <w:rsid w:val="00703F60"/>
    <w:rsid w:val="00705209"/>
    <w:rsid w:val="007052F2"/>
    <w:rsid w:val="007056D7"/>
    <w:rsid w:val="00705908"/>
    <w:rsid w:val="0070647C"/>
    <w:rsid w:val="0070701F"/>
    <w:rsid w:val="00707FA1"/>
    <w:rsid w:val="0071087D"/>
    <w:rsid w:val="00710F12"/>
    <w:rsid w:val="0071187C"/>
    <w:rsid w:val="00713EAB"/>
    <w:rsid w:val="00715475"/>
    <w:rsid w:val="007154BA"/>
    <w:rsid w:val="0071734A"/>
    <w:rsid w:val="007201EA"/>
    <w:rsid w:val="00720854"/>
    <w:rsid w:val="0072307F"/>
    <w:rsid w:val="00723863"/>
    <w:rsid w:val="00726075"/>
    <w:rsid w:val="007263F2"/>
    <w:rsid w:val="00730B34"/>
    <w:rsid w:val="00732D6F"/>
    <w:rsid w:val="00733B74"/>
    <w:rsid w:val="00733E92"/>
    <w:rsid w:val="00734A87"/>
    <w:rsid w:val="00734C79"/>
    <w:rsid w:val="007362B3"/>
    <w:rsid w:val="00737F38"/>
    <w:rsid w:val="00742FFA"/>
    <w:rsid w:val="00743D55"/>
    <w:rsid w:val="00744CE8"/>
    <w:rsid w:val="00745570"/>
    <w:rsid w:val="007455F7"/>
    <w:rsid w:val="00746152"/>
    <w:rsid w:val="007466E8"/>
    <w:rsid w:val="00747561"/>
    <w:rsid w:val="007478A2"/>
    <w:rsid w:val="007517C0"/>
    <w:rsid w:val="00751938"/>
    <w:rsid w:val="00753BAA"/>
    <w:rsid w:val="00754048"/>
    <w:rsid w:val="00754A83"/>
    <w:rsid w:val="00755971"/>
    <w:rsid w:val="00755D99"/>
    <w:rsid w:val="00756C70"/>
    <w:rsid w:val="0076177D"/>
    <w:rsid w:val="0076189F"/>
    <w:rsid w:val="00762EB0"/>
    <w:rsid w:val="007638D1"/>
    <w:rsid w:val="00763B8B"/>
    <w:rsid w:val="007648AB"/>
    <w:rsid w:val="00764DFC"/>
    <w:rsid w:val="00766F75"/>
    <w:rsid w:val="007677F0"/>
    <w:rsid w:val="00767E34"/>
    <w:rsid w:val="00770C99"/>
    <w:rsid w:val="00772C0C"/>
    <w:rsid w:val="00774576"/>
    <w:rsid w:val="00774847"/>
    <w:rsid w:val="007750E8"/>
    <w:rsid w:val="0077696B"/>
    <w:rsid w:val="00776C95"/>
    <w:rsid w:val="007815A1"/>
    <w:rsid w:val="007819F5"/>
    <w:rsid w:val="007835C4"/>
    <w:rsid w:val="007846E3"/>
    <w:rsid w:val="00784F00"/>
    <w:rsid w:val="00785E3D"/>
    <w:rsid w:val="00787DE5"/>
    <w:rsid w:val="00791E4F"/>
    <w:rsid w:val="00792268"/>
    <w:rsid w:val="0079242B"/>
    <w:rsid w:val="007934CB"/>
    <w:rsid w:val="00793F67"/>
    <w:rsid w:val="00795225"/>
    <w:rsid w:val="007A0963"/>
    <w:rsid w:val="007A1005"/>
    <w:rsid w:val="007A3843"/>
    <w:rsid w:val="007A4600"/>
    <w:rsid w:val="007A51A0"/>
    <w:rsid w:val="007A6986"/>
    <w:rsid w:val="007A6B62"/>
    <w:rsid w:val="007B1CA2"/>
    <w:rsid w:val="007B5562"/>
    <w:rsid w:val="007B5D50"/>
    <w:rsid w:val="007B68E4"/>
    <w:rsid w:val="007B7F2E"/>
    <w:rsid w:val="007C0585"/>
    <w:rsid w:val="007C0B17"/>
    <w:rsid w:val="007C1A1E"/>
    <w:rsid w:val="007C227C"/>
    <w:rsid w:val="007C46C1"/>
    <w:rsid w:val="007C5441"/>
    <w:rsid w:val="007C5DB6"/>
    <w:rsid w:val="007C6074"/>
    <w:rsid w:val="007C657A"/>
    <w:rsid w:val="007D2414"/>
    <w:rsid w:val="007D25AF"/>
    <w:rsid w:val="007D36F4"/>
    <w:rsid w:val="007D4445"/>
    <w:rsid w:val="007D66D3"/>
    <w:rsid w:val="007D6B6D"/>
    <w:rsid w:val="007E0502"/>
    <w:rsid w:val="007E2F66"/>
    <w:rsid w:val="007E3328"/>
    <w:rsid w:val="007E3DDA"/>
    <w:rsid w:val="007E3DFC"/>
    <w:rsid w:val="007E4298"/>
    <w:rsid w:val="007E4DB4"/>
    <w:rsid w:val="007E5ED4"/>
    <w:rsid w:val="007E72A6"/>
    <w:rsid w:val="007E7886"/>
    <w:rsid w:val="007F0486"/>
    <w:rsid w:val="007F1328"/>
    <w:rsid w:val="007F22CE"/>
    <w:rsid w:val="007F2835"/>
    <w:rsid w:val="007F309D"/>
    <w:rsid w:val="007F3DC7"/>
    <w:rsid w:val="007F6A00"/>
    <w:rsid w:val="007F6D51"/>
    <w:rsid w:val="007F7093"/>
    <w:rsid w:val="00800091"/>
    <w:rsid w:val="008013F1"/>
    <w:rsid w:val="008036DB"/>
    <w:rsid w:val="00803C38"/>
    <w:rsid w:val="00803EDE"/>
    <w:rsid w:val="008059FC"/>
    <w:rsid w:val="00807296"/>
    <w:rsid w:val="00807814"/>
    <w:rsid w:val="00807D04"/>
    <w:rsid w:val="00807F2A"/>
    <w:rsid w:val="008100BF"/>
    <w:rsid w:val="00810130"/>
    <w:rsid w:val="00810DB7"/>
    <w:rsid w:val="008132AF"/>
    <w:rsid w:val="008143F9"/>
    <w:rsid w:val="00814E03"/>
    <w:rsid w:val="00815246"/>
    <w:rsid w:val="00815CDD"/>
    <w:rsid w:val="00820D63"/>
    <w:rsid w:val="008218C0"/>
    <w:rsid w:val="0082191A"/>
    <w:rsid w:val="00821A87"/>
    <w:rsid w:val="00822AEC"/>
    <w:rsid w:val="008230B4"/>
    <w:rsid w:val="0082387B"/>
    <w:rsid w:val="00824A86"/>
    <w:rsid w:val="0083041A"/>
    <w:rsid w:val="00832196"/>
    <w:rsid w:val="008321B1"/>
    <w:rsid w:val="00835E9B"/>
    <w:rsid w:val="00840226"/>
    <w:rsid w:val="00840E07"/>
    <w:rsid w:val="008417EF"/>
    <w:rsid w:val="008440F0"/>
    <w:rsid w:val="0084465C"/>
    <w:rsid w:val="00845C7A"/>
    <w:rsid w:val="00847724"/>
    <w:rsid w:val="008477C7"/>
    <w:rsid w:val="00847841"/>
    <w:rsid w:val="008503D6"/>
    <w:rsid w:val="00851460"/>
    <w:rsid w:val="0085397D"/>
    <w:rsid w:val="00856B71"/>
    <w:rsid w:val="00861DE5"/>
    <w:rsid w:val="00862193"/>
    <w:rsid w:val="008626F9"/>
    <w:rsid w:val="00864316"/>
    <w:rsid w:val="0086553B"/>
    <w:rsid w:val="00865FA7"/>
    <w:rsid w:val="00870B7A"/>
    <w:rsid w:val="00872DF8"/>
    <w:rsid w:val="0087442D"/>
    <w:rsid w:val="00874A8D"/>
    <w:rsid w:val="00877BC9"/>
    <w:rsid w:val="00877FD3"/>
    <w:rsid w:val="008815D6"/>
    <w:rsid w:val="00881A7B"/>
    <w:rsid w:val="00882FDF"/>
    <w:rsid w:val="008830FD"/>
    <w:rsid w:val="0088372B"/>
    <w:rsid w:val="00884770"/>
    <w:rsid w:val="008858FF"/>
    <w:rsid w:val="008863E9"/>
    <w:rsid w:val="00890968"/>
    <w:rsid w:val="00890BA8"/>
    <w:rsid w:val="0089330F"/>
    <w:rsid w:val="008936FD"/>
    <w:rsid w:val="00894831"/>
    <w:rsid w:val="0089594D"/>
    <w:rsid w:val="008974E4"/>
    <w:rsid w:val="008A0030"/>
    <w:rsid w:val="008A1F59"/>
    <w:rsid w:val="008A25D5"/>
    <w:rsid w:val="008A3E53"/>
    <w:rsid w:val="008A5399"/>
    <w:rsid w:val="008A76BA"/>
    <w:rsid w:val="008A775A"/>
    <w:rsid w:val="008B21F5"/>
    <w:rsid w:val="008B234B"/>
    <w:rsid w:val="008B2858"/>
    <w:rsid w:val="008B3B11"/>
    <w:rsid w:val="008B61D6"/>
    <w:rsid w:val="008B6858"/>
    <w:rsid w:val="008B7734"/>
    <w:rsid w:val="008C00C3"/>
    <w:rsid w:val="008C0577"/>
    <w:rsid w:val="008C0996"/>
    <w:rsid w:val="008C17AB"/>
    <w:rsid w:val="008C1ADE"/>
    <w:rsid w:val="008C29C3"/>
    <w:rsid w:val="008C29EE"/>
    <w:rsid w:val="008C3A7A"/>
    <w:rsid w:val="008C3C2D"/>
    <w:rsid w:val="008C3C53"/>
    <w:rsid w:val="008C5658"/>
    <w:rsid w:val="008C5C3A"/>
    <w:rsid w:val="008C6196"/>
    <w:rsid w:val="008C65FA"/>
    <w:rsid w:val="008C68D9"/>
    <w:rsid w:val="008C7300"/>
    <w:rsid w:val="008C7B4B"/>
    <w:rsid w:val="008D1980"/>
    <w:rsid w:val="008D1E6E"/>
    <w:rsid w:val="008D2900"/>
    <w:rsid w:val="008D3425"/>
    <w:rsid w:val="008D52F4"/>
    <w:rsid w:val="008D63FF"/>
    <w:rsid w:val="008D7A5F"/>
    <w:rsid w:val="008E0994"/>
    <w:rsid w:val="008E0E12"/>
    <w:rsid w:val="008E1805"/>
    <w:rsid w:val="008E265D"/>
    <w:rsid w:val="008E33C8"/>
    <w:rsid w:val="008E3799"/>
    <w:rsid w:val="008E3F84"/>
    <w:rsid w:val="008E504E"/>
    <w:rsid w:val="008E55F5"/>
    <w:rsid w:val="008E635E"/>
    <w:rsid w:val="008E799C"/>
    <w:rsid w:val="008E7F6C"/>
    <w:rsid w:val="008F0112"/>
    <w:rsid w:val="008F16D9"/>
    <w:rsid w:val="008F2F8C"/>
    <w:rsid w:val="008F4786"/>
    <w:rsid w:val="008F5775"/>
    <w:rsid w:val="008F596C"/>
    <w:rsid w:val="008F6F2E"/>
    <w:rsid w:val="008F7C82"/>
    <w:rsid w:val="00901CE8"/>
    <w:rsid w:val="00903779"/>
    <w:rsid w:val="0090406B"/>
    <w:rsid w:val="00905BF2"/>
    <w:rsid w:val="00905ED0"/>
    <w:rsid w:val="009072AB"/>
    <w:rsid w:val="009123BC"/>
    <w:rsid w:val="009124B2"/>
    <w:rsid w:val="00912967"/>
    <w:rsid w:val="00912A07"/>
    <w:rsid w:val="009144DA"/>
    <w:rsid w:val="00914834"/>
    <w:rsid w:val="00915C12"/>
    <w:rsid w:val="00916C47"/>
    <w:rsid w:val="00917987"/>
    <w:rsid w:val="009216D6"/>
    <w:rsid w:val="0092348B"/>
    <w:rsid w:val="009238B9"/>
    <w:rsid w:val="00924B1A"/>
    <w:rsid w:val="00925A06"/>
    <w:rsid w:val="00926903"/>
    <w:rsid w:val="009278FB"/>
    <w:rsid w:val="00931054"/>
    <w:rsid w:val="009313EE"/>
    <w:rsid w:val="00934633"/>
    <w:rsid w:val="00936F14"/>
    <w:rsid w:val="00941495"/>
    <w:rsid w:val="009427C4"/>
    <w:rsid w:val="00942DC1"/>
    <w:rsid w:val="00943620"/>
    <w:rsid w:val="00947B9B"/>
    <w:rsid w:val="009500E2"/>
    <w:rsid w:val="009503D5"/>
    <w:rsid w:val="00951B9A"/>
    <w:rsid w:val="00952B31"/>
    <w:rsid w:val="00952E63"/>
    <w:rsid w:val="00953651"/>
    <w:rsid w:val="00953952"/>
    <w:rsid w:val="009543EA"/>
    <w:rsid w:val="0095611F"/>
    <w:rsid w:val="009563EA"/>
    <w:rsid w:val="009565F2"/>
    <w:rsid w:val="009579F9"/>
    <w:rsid w:val="00963299"/>
    <w:rsid w:val="00963DB4"/>
    <w:rsid w:val="009646F2"/>
    <w:rsid w:val="00964960"/>
    <w:rsid w:val="009663B1"/>
    <w:rsid w:val="00971A94"/>
    <w:rsid w:val="00972672"/>
    <w:rsid w:val="009756B2"/>
    <w:rsid w:val="00976833"/>
    <w:rsid w:val="00976E90"/>
    <w:rsid w:val="00980F31"/>
    <w:rsid w:val="009814D8"/>
    <w:rsid w:val="00982CFE"/>
    <w:rsid w:val="00983B0E"/>
    <w:rsid w:val="0098408E"/>
    <w:rsid w:val="0098416D"/>
    <w:rsid w:val="009856A3"/>
    <w:rsid w:val="0098694F"/>
    <w:rsid w:val="009909E7"/>
    <w:rsid w:val="00990CC8"/>
    <w:rsid w:val="00991532"/>
    <w:rsid w:val="0099194E"/>
    <w:rsid w:val="00993110"/>
    <w:rsid w:val="00993A3C"/>
    <w:rsid w:val="00993E64"/>
    <w:rsid w:val="0099454F"/>
    <w:rsid w:val="00994EF8"/>
    <w:rsid w:val="0099668F"/>
    <w:rsid w:val="00997467"/>
    <w:rsid w:val="009A1537"/>
    <w:rsid w:val="009A23EA"/>
    <w:rsid w:val="009A25F3"/>
    <w:rsid w:val="009A48A9"/>
    <w:rsid w:val="009A66A2"/>
    <w:rsid w:val="009A6CAC"/>
    <w:rsid w:val="009B07BA"/>
    <w:rsid w:val="009B25B0"/>
    <w:rsid w:val="009B4011"/>
    <w:rsid w:val="009B4C20"/>
    <w:rsid w:val="009B52DE"/>
    <w:rsid w:val="009B677B"/>
    <w:rsid w:val="009B6989"/>
    <w:rsid w:val="009B7914"/>
    <w:rsid w:val="009C006C"/>
    <w:rsid w:val="009C14E6"/>
    <w:rsid w:val="009C1E9E"/>
    <w:rsid w:val="009C40CC"/>
    <w:rsid w:val="009C451A"/>
    <w:rsid w:val="009C45FA"/>
    <w:rsid w:val="009C5616"/>
    <w:rsid w:val="009C6AA8"/>
    <w:rsid w:val="009C70EF"/>
    <w:rsid w:val="009C72D9"/>
    <w:rsid w:val="009D24CB"/>
    <w:rsid w:val="009D2B17"/>
    <w:rsid w:val="009D38C3"/>
    <w:rsid w:val="009D57C8"/>
    <w:rsid w:val="009D57CD"/>
    <w:rsid w:val="009D6FBF"/>
    <w:rsid w:val="009D7E6B"/>
    <w:rsid w:val="009E0657"/>
    <w:rsid w:val="009E0FBD"/>
    <w:rsid w:val="009E40B2"/>
    <w:rsid w:val="009E50E3"/>
    <w:rsid w:val="009E5D23"/>
    <w:rsid w:val="009E7458"/>
    <w:rsid w:val="009E7CCB"/>
    <w:rsid w:val="009E7D24"/>
    <w:rsid w:val="009E7FF8"/>
    <w:rsid w:val="009F0B7B"/>
    <w:rsid w:val="009F1CCC"/>
    <w:rsid w:val="009F280E"/>
    <w:rsid w:val="009F5B17"/>
    <w:rsid w:val="009F6F0A"/>
    <w:rsid w:val="009F6FC1"/>
    <w:rsid w:val="00A01CAF"/>
    <w:rsid w:val="00A032B7"/>
    <w:rsid w:val="00A04032"/>
    <w:rsid w:val="00A06205"/>
    <w:rsid w:val="00A06D1F"/>
    <w:rsid w:val="00A07A92"/>
    <w:rsid w:val="00A07F52"/>
    <w:rsid w:val="00A106B3"/>
    <w:rsid w:val="00A114F4"/>
    <w:rsid w:val="00A1384A"/>
    <w:rsid w:val="00A13F83"/>
    <w:rsid w:val="00A1445C"/>
    <w:rsid w:val="00A17922"/>
    <w:rsid w:val="00A202C5"/>
    <w:rsid w:val="00A22901"/>
    <w:rsid w:val="00A22DFD"/>
    <w:rsid w:val="00A23A71"/>
    <w:rsid w:val="00A250AF"/>
    <w:rsid w:val="00A2537C"/>
    <w:rsid w:val="00A25BEC"/>
    <w:rsid w:val="00A267E2"/>
    <w:rsid w:val="00A26B52"/>
    <w:rsid w:val="00A31156"/>
    <w:rsid w:val="00A312A5"/>
    <w:rsid w:val="00A3187E"/>
    <w:rsid w:val="00A3255E"/>
    <w:rsid w:val="00A33491"/>
    <w:rsid w:val="00A33837"/>
    <w:rsid w:val="00A33A59"/>
    <w:rsid w:val="00A35BBC"/>
    <w:rsid w:val="00A40CA4"/>
    <w:rsid w:val="00A41FCC"/>
    <w:rsid w:val="00A42CB5"/>
    <w:rsid w:val="00A434D4"/>
    <w:rsid w:val="00A43BFB"/>
    <w:rsid w:val="00A44017"/>
    <w:rsid w:val="00A44E74"/>
    <w:rsid w:val="00A469AD"/>
    <w:rsid w:val="00A476E1"/>
    <w:rsid w:val="00A515C2"/>
    <w:rsid w:val="00A51B16"/>
    <w:rsid w:val="00A529FD"/>
    <w:rsid w:val="00A52E97"/>
    <w:rsid w:val="00A548B5"/>
    <w:rsid w:val="00A55D41"/>
    <w:rsid w:val="00A56411"/>
    <w:rsid w:val="00A56BDA"/>
    <w:rsid w:val="00A575F5"/>
    <w:rsid w:val="00A60163"/>
    <w:rsid w:val="00A60970"/>
    <w:rsid w:val="00A6291C"/>
    <w:rsid w:val="00A645B1"/>
    <w:rsid w:val="00A6545E"/>
    <w:rsid w:val="00A7088D"/>
    <w:rsid w:val="00A718CE"/>
    <w:rsid w:val="00A73E48"/>
    <w:rsid w:val="00A778E4"/>
    <w:rsid w:val="00A81244"/>
    <w:rsid w:val="00A83BA9"/>
    <w:rsid w:val="00A840D1"/>
    <w:rsid w:val="00A841D6"/>
    <w:rsid w:val="00A879F3"/>
    <w:rsid w:val="00A908AA"/>
    <w:rsid w:val="00A9095B"/>
    <w:rsid w:val="00A90F30"/>
    <w:rsid w:val="00A9190B"/>
    <w:rsid w:val="00A91C24"/>
    <w:rsid w:val="00A91C32"/>
    <w:rsid w:val="00A92FB5"/>
    <w:rsid w:val="00A93F76"/>
    <w:rsid w:val="00A94032"/>
    <w:rsid w:val="00A947A3"/>
    <w:rsid w:val="00A94F59"/>
    <w:rsid w:val="00A9686D"/>
    <w:rsid w:val="00A96A2C"/>
    <w:rsid w:val="00A9790B"/>
    <w:rsid w:val="00AA0BFE"/>
    <w:rsid w:val="00AA3441"/>
    <w:rsid w:val="00AA3463"/>
    <w:rsid w:val="00AA3BDB"/>
    <w:rsid w:val="00AA4034"/>
    <w:rsid w:val="00AA6F6D"/>
    <w:rsid w:val="00AA7386"/>
    <w:rsid w:val="00AA7B47"/>
    <w:rsid w:val="00AB155F"/>
    <w:rsid w:val="00AB24E6"/>
    <w:rsid w:val="00AB376F"/>
    <w:rsid w:val="00AB5315"/>
    <w:rsid w:val="00AB567E"/>
    <w:rsid w:val="00AB6A83"/>
    <w:rsid w:val="00AB7153"/>
    <w:rsid w:val="00AC108F"/>
    <w:rsid w:val="00AC1873"/>
    <w:rsid w:val="00AC1897"/>
    <w:rsid w:val="00AC36C0"/>
    <w:rsid w:val="00AC3987"/>
    <w:rsid w:val="00AC6427"/>
    <w:rsid w:val="00AD068D"/>
    <w:rsid w:val="00AD1976"/>
    <w:rsid w:val="00AD1A27"/>
    <w:rsid w:val="00AD1DD7"/>
    <w:rsid w:val="00AD1E1F"/>
    <w:rsid w:val="00AD2F60"/>
    <w:rsid w:val="00AD36D2"/>
    <w:rsid w:val="00AD418A"/>
    <w:rsid w:val="00AD505B"/>
    <w:rsid w:val="00AD661F"/>
    <w:rsid w:val="00AD66F5"/>
    <w:rsid w:val="00AD7039"/>
    <w:rsid w:val="00AD7C62"/>
    <w:rsid w:val="00AE1B72"/>
    <w:rsid w:val="00AE35F7"/>
    <w:rsid w:val="00AE4460"/>
    <w:rsid w:val="00AE4B5B"/>
    <w:rsid w:val="00AE4F43"/>
    <w:rsid w:val="00AE5526"/>
    <w:rsid w:val="00AE6206"/>
    <w:rsid w:val="00AE68D2"/>
    <w:rsid w:val="00AF156E"/>
    <w:rsid w:val="00AF16EF"/>
    <w:rsid w:val="00AF4786"/>
    <w:rsid w:val="00AF5841"/>
    <w:rsid w:val="00AF6C5C"/>
    <w:rsid w:val="00AF7601"/>
    <w:rsid w:val="00AF7E70"/>
    <w:rsid w:val="00B01D42"/>
    <w:rsid w:val="00B02D9E"/>
    <w:rsid w:val="00B059F3"/>
    <w:rsid w:val="00B05E99"/>
    <w:rsid w:val="00B06D07"/>
    <w:rsid w:val="00B071E7"/>
    <w:rsid w:val="00B07946"/>
    <w:rsid w:val="00B07BF1"/>
    <w:rsid w:val="00B11B2B"/>
    <w:rsid w:val="00B12CF2"/>
    <w:rsid w:val="00B12F4A"/>
    <w:rsid w:val="00B133C8"/>
    <w:rsid w:val="00B135CC"/>
    <w:rsid w:val="00B15583"/>
    <w:rsid w:val="00B1599C"/>
    <w:rsid w:val="00B15D7E"/>
    <w:rsid w:val="00B16B40"/>
    <w:rsid w:val="00B204E4"/>
    <w:rsid w:val="00B20737"/>
    <w:rsid w:val="00B20C77"/>
    <w:rsid w:val="00B20E1F"/>
    <w:rsid w:val="00B20F4C"/>
    <w:rsid w:val="00B22455"/>
    <w:rsid w:val="00B237AA"/>
    <w:rsid w:val="00B246DC"/>
    <w:rsid w:val="00B253B5"/>
    <w:rsid w:val="00B25F9A"/>
    <w:rsid w:val="00B30AB2"/>
    <w:rsid w:val="00B313D0"/>
    <w:rsid w:val="00B34D56"/>
    <w:rsid w:val="00B34DF8"/>
    <w:rsid w:val="00B34E2F"/>
    <w:rsid w:val="00B36BC1"/>
    <w:rsid w:val="00B372C5"/>
    <w:rsid w:val="00B372E7"/>
    <w:rsid w:val="00B376C0"/>
    <w:rsid w:val="00B37C29"/>
    <w:rsid w:val="00B430E7"/>
    <w:rsid w:val="00B43157"/>
    <w:rsid w:val="00B43A17"/>
    <w:rsid w:val="00B46302"/>
    <w:rsid w:val="00B47A50"/>
    <w:rsid w:val="00B47DD0"/>
    <w:rsid w:val="00B50376"/>
    <w:rsid w:val="00B51B9C"/>
    <w:rsid w:val="00B53D54"/>
    <w:rsid w:val="00B55278"/>
    <w:rsid w:val="00B5772C"/>
    <w:rsid w:val="00B61AA8"/>
    <w:rsid w:val="00B61B6E"/>
    <w:rsid w:val="00B61DDE"/>
    <w:rsid w:val="00B6304C"/>
    <w:rsid w:val="00B6323C"/>
    <w:rsid w:val="00B64351"/>
    <w:rsid w:val="00B65050"/>
    <w:rsid w:val="00B653A0"/>
    <w:rsid w:val="00B65D5C"/>
    <w:rsid w:val="00B66DC3"/>
    <w:rsid w:val="00B672F0"/>
    <w:rsid w:val="00B6775D"/>
    <w:rsid w:val="00B70210"/>
    <w:rsid w:val="00B716A5"/>
    <w:rsid w:val="00B72870"/>
    <w:rsid w:val="00B805FA"/>
    <w:rsid w:val="00B81744"/>
    <w:rsid w:val="00B819D2"/>
    <w:rsid w:val="00B81CFE"/>
    <w:rsid w:val="00B833D9"/>
    <w:rsid w:val="00B836A9"/>
    <w:rsid w:val="00B8388C"/>
    <w:rsid w:val="00B83CCF"/>
    <w:rsid w:val="00B841E4"/>
    <w:rsid w:val="00B848FE"/>
    <w:rsid w:val="00B84FA6"/>
    <w:rsid w:val="00B855F9"/>
    <w:rsid w:val="00B86931"/>
    <w:rsid w:val="00B869E8"/>
    <w:rsid w:val="00B901BC"/>
    <w:rsid w:val="00B9273C"/>
    <w:rsid w:val="00B94E4B"/>
    <w:rsid w:val="00B9600F"/>
    <w:rsid w:val="00B9644B"/>
    <w:rsid w:val="00B96AC1"/>
    <w:rsid w:val="00B96DD1"/>
    <w:rsid w:val="00B96F4D"/>
    <w:rsid w:val="00BA3D6E"/>
    <w:rsid w:val="00BA5853"/>
    <w:rsid w:val="00BA5F60"/>
    <w:rsid w:val="00BA6E97"/>
    <w:rsid w:val="00BB01F2"/>
    <w:rsid w:val="00BB26E0"/>
    <w:rsid w:val="00BB3C1B"/>
    <w:rsid w:val="00BB4EEB"/>
    <w:rsid w:val="00BB5894"/>
    <w:rsid w:val="00BB58E0"/>
    <w:rsid w:val="00BB59C5"/>
    <w:rsid w:val="00BB7F65"/>
    <w:rsid w:val="00BC0C91"/>
    <w:rsid w:val="00BC3177"/>
    <w:rsid w:val="00BC55EE"/>
    <w:rsid w:val="00BC5BAF"/>
    <w:rsid w:val="00BD10C1"/>
    <w:rsid w:val="00BD2246"/>
    <w:rsid w:val="00BD2731"/>
    <w:rsid w:val="00BD3FAC"/>
    <w:rsid w:val="00BD5AC0"/>
    <w:rsid w:val="00BD7581"/>
    <w:rsid w:val="00BD7759"/>
    <w:rsid w:val="00BD7D92"/>
    <w:rsid w:val="00BD7F84"/>
    <w:rsid w:val="00BE1A4B"/>
    <w:rsid w:val="00BE1EB4"/>
    <w:rsid w:val="00BE3482"/>
    <w:rsid w:val="00BE3816"/>
    <w:rsid w:val="00BE4A65"/>
    <w:rsid w:val="00BF02D6"/>
    <w:rsid w:val="00BF1C4E"/>
    <w:rsid w:val="00BF2706"/>
    <w:rsid w:val="00BF34AC"/>
    <w:rsid w:val="00BF4287"/>
    <w:rsid w:val="00BF4D58"/>
    <w:rsid w:val="00BF65CE"/>
    <w:rsid w:val="00BF7E1A"/>
    <w:rsid w:val="00BF7FD3"/>
    <w:rsid w:val="00C03501"/>
    <w:rsid w:val="00C04506"/>
    <w:rsid w:val="00C10ABC"/>
    <w:rsid w:val="00C10B55"/>
    <w:rsid w:val="00C11795"/>
    <w:rsid w:val="00C11FA5"/>
    <w:rsid w:val="00C12DDC"/>
    <w:rsid w:val="00C13556"/>
    <w:rsid w:val="00C15458"/>
    <w:rsid w:val="00C15E3F"/>
    <w:rsid w:val="00C20B7A"/>
    <w:rsid w:val="00C211EA"/>
    <w:rsid w:val="00C21686"/>
    <w:rsid w:val="00C21A1F"/>
    <w:rsid w:val="00C24081"/>
    <w:rsid w:val="00C25710"/>
    <w:rsid w:val="00C26B2C"/>
    <w:rsid w:val="00C27F08"/>
    <w:rsid w:val="00C30A3C"/>
    <w:rsid w:val="00C330E7"/>
    <w:rsid w:val="00C336C7"/>
    <w:rsid w:val="00C3440F"/>
    <w:rsid w:val="00C3477D"/>
    <w:rsid w:val="00C34D66"/>
    <w:rsid w:val="00C35731"/>
    <w:rsid w:val="00C36FE9"/>
    <w:rsid w:val="00C40742"/>
    <w:rsid w:val="00C416F5"/>
    <w:rsid w:val="00C43D37"/>
    <w:rsid w:val="00C45588"/>
    <w:rsid w:val="00C4569B"/>
    <w:rsid w:val="00C46740"/>
    <w:rsid w:val="00C50DFF"/>
    <w:rsid w:val="00C51289"/>
    <w:rsid w:val="00C51CD7"/>
    <w:rsid w:val="00C51ECF"/>
    <w:rsid w:val="00C525F0"/>
    <w:rsid w:val="00C5276F"/>
    <w:rsid w:val="00C52B9E"/>
    <w:rsid w:val="00C52CB3"/>
    <w:rsid w:val="00C52E5F"/>
    <w:rsid w:val="00C53607"/>
    <w:rsid w:val="00C56D4D"/>
    <w:rsid w:val="00C57129"/>
    <w:rsid w:val="00C6120D"/>
    <w:rsid w:val="00C61CE0"/>
    <w:rsid w:val="00C631FE"/>
    <w:rsid w:val="00C63F87"/>
    <w:rsid w:val="00C653EC"/>
    <w:rsid w:val="00C6559D"/>
    <w:rsid w:val="00C65A6C"/>
    <w:rsid w:val="00C668F0"/>
    <w:rsid w:val="00C701D7"/>
    <w:rsid w:val="00C7198C"/>
    <w:rsid w:val="00C7220E"/>
    <w:rsid w:val="00C72F84"/>
    <w:rsid w:val="00C7441F"/>
    <w:rsid w:val="00C75B4B"/>
    <w:rsid w:val="00C75F2A"/>
    <w:rsid w:val="00C7663E"/>
    <w:rsid w:val="00C80CF2"/>
    <w:rsid w:val="00C837E1"/>
    <w:rsid w:val="00C86109"/>
    <w:rsid w:val="00C87183"/>
    <w:rsid w:val="00C87285"/>
    <w:rsid w:val="00C87A86"/>
    <w:rsid w:val="00C90D95"/>
    <w:rsid w:val="00C921D5"/>
    <w:rsid w:val="00C94052"/>
    <w:rsid w:val="00C941A6"/>
    <w:rsid w:val="00C941CB"/>
    <w:rsid w:val="00C94548"/>
    <w:rsid w:val="00C94E9C"/>
    <w:rsid w:val="00C94FCB"/>
    <w:rsid w:val="00C95184"/>
    <w:rsid w:val="00C95CF2"/>
    <w:rsid w:val="00C9685A"/>
    <w:rsid w:val="00C9700D"/>
    <w:rsid w:val="00CA297B"/>
    <w:rsid w:val="00CA6AEB"/>
    <w:rsid w:val="00CA6C6F"/>
    <w:rsid w:val="00CA7E5A"/>
    <w:rsid w:val="00CB1C98"/>
    <w:rsid w:val="00CB29DC"/>
    <w:rsid w:val="00CB2C17"/>
    <w:rsid w:val="00CB4851"/>
    <w:rsid w:val="00CB5793"/>
    <w:rsid w:val="00CB5E63"/>
    <w:rsid w:val="00CB726F"/>
    <w:rsid w:val="00CC0CE8"/>
    <w:rsid w:val="00CC117D"/>
    <w:rsid w:val="00CC1709"/>
    <w:rsid w:val="00CC2BF6"/>
    <w:rsid w:val="00CC5178"/>
    <w:rsid w:val="00CC58E6"/>
    <w:rsid w:val="00CD1B36"/>
    <w:rsid w:val="00CD1E0E"/>
    <w:rsid w:val="00CD26F5"/>
    <w:rsid w:val="00CD49E5"/>
    <w:rsid w:val="00CD5FF2"/>
    <w:rsid w:val="00CD68A4"/>
    <w:rsid w:val="00CD6AFB"/>
    <w:rsid w:val="00CD761D"/>
    <w:rsid w:val="00CD7C9A"/>
    <w:rsid w:val="00CE0237"/>
    <w:rsid w:val="00CE19C8"/>
    <w:rsid w:val="00CE2649"/>
    <w:rsid w:val="00CE4821"/>
    <w:rsid w:val="00CE49AF"/>
    <w:rsid w:val="00CE4E32"/>
    <w:rsid w:val="00CE4F13"/>
    <w:rsid w:val="00CE5D9E"/>
    <w:rsid w:val="00CE748F"/>
    <w:rsid w:val="00CF1619"/>
    <w:rsid w:val="00CF20CB"/>
    <w:rsid w:val="00CF21B6"/>
    <w:rsid w:val="00CF2695"/>
    <w:rsid w:val="00CF3263"/>
    <w:rsid w:val="00CF43D5"/>
    <w:rsid w:val="00CF4DE3"/>
    <w:rsid w:val="00CF56CA"/>
    <w:rsid w:val="00CF7F55"/>
    <w:rsid w:val="00D01DA2"/>
    <w:rsid w:val="00D03A31"/>
    <w:rsid w:val="00D040E1"/>
    <w:rsid w:val="00D055E5"/>
    <w:rsid w:val="00D05B16"/>
    <w:rsid w:val="00D05FF8"/>
    <w:rsid w:val="00D06955"/>
    <w:rsid w:val="00D100FF"/>
    <w:rsid w:val="00D12694"/>
    <w:rsid w:val="00D12C9D"/>
    <w:rsid w:val="00D151E9"/>
    <w:rsid w:val="00D1651B"/>
    <w:rsid w:val="00D16B19"/>
    <w:rsid w:val="00D1775E"/>
    <w:rsid w:val="00D20047"/>
    <w:rsid w:val="00D208FA"/>
    <w:rsid w:val="00D20C4F"/>
    <w:rsid w:val="00D222F0"/>
    <w:rsid w:val="00D2388E"/>
    <w:rsid w:val="00D2627D"/>
    <w:rsid w:val="00D30717"/>
    <w:rsid w:val="00D31A79"/>
    <w:rsid w:val="00D32889"/>
    <w:rsid w:val="00D32FA5"/>
    <w:rsid w:val="00D33302"/>
    <w:rsid w:val="00D352A0"/>
    <w:rsid w:val="00D356EC"/>
    <w:rsid w:val="00D35CCA"/>
    <w:rsid w:val="00D3780E"/>
    <w:rsid w:val="00D40248"/>
    <w:rsid w:val="00D44672"/>
    <w:rsid w:val="00D4645C"/>
    <w:rsid w:val="00D477BD"/>
    <w:rsid w:val="00D510DA"/>
    <w:rsid w:val="00D521C0"/>
    <w:rsid w:val="00D557CA"/>
    <w:rsid w:val="00D557CC"/>
    <w:rsid w:val="00D55A38"/>
    <w:rsid w:val="00D55C9B"/>
    <w:rsid w:val="00D56B2D"/>
    <w:rsid w:val="00D57395"/>
    <w:rsid w:val="00D6179C"/>
    <w:rsid w:val="00D6318D"/>
    <w:rsid w:val="00D652E8"/>
    <w:rsid w:val="00D65E94"/>
    <w:rsid w:val="00D70C86"/>
    <w:rsid w:val="00D71091"/>
    <w:rsid w:val="00D71D05"/>
    <w:rsid w:val="00D71D2D"/>
    <w:rsid w:val="00D7313C"/>
    <w:rsid w:val="00D73347"/>
    <w:rsid w:val="00D73485"/>
    <w:rsid w:val="00D73739"/>
    <w:rsid w:val="00D73EE8"/>
    <w:rsid w:val="00D7447F"/>
    <w:rsid w:val="00D75677"/>
    <w:rsid w:val="00D75F42"/>
    <w:rsid w:val="00D778E4"/>
    <w:rsid w:val="00D85F0E"/>
    <w:rsid w:val="00D8661E"/>
    <w:rsid w:val="00D87D67"/>
    <w:rsid w:val="00D87EE8"/>
    <w:rsid w:val="00D90738"/>
    <w:rsid w:val="00D90758"/>
    <w:rsid w:val="00D913B9"/>
    <w:rsid w:val="00D94215"/>
    <w:rsid w:val="00D94E01"/>
    <w:rsid w:val="00D97377"/>
    <w:rsid w:val="00D97535"/>
    <w:rsid w:val="00D97C9B"/>
    <w:rsid w:val="00DA26E1"/>
    <w:rsid w:val="00DA3891"/>
    <w:rsid w:val="00DA4E9F"/>
    <w:rsid w:val="00DA5246"/>
    <w:rsid w:val="00DA5673"/>
    <w:rsid w:val="00DA5913"/>
    <w:rsid w:val="00DA64C8"/>
    <w:rsid w:val="00DB0EF3"/>
    <w:rsid w:val="00DB152A"/>
    <w:rsid w:val="00DB17E1"/>
    <w:rsid w:val="00DB2FE1"/>
    <w:rsid w:val="00DB3358"/>
    <w:rsid w:val="00DB3BD9"/>
    <w:rsid w:val="00DB53C9"/>
    <w:rsid w:val="00DB5B49"/>
    <w:rsid w:val="00DB7A2A"/>
    <w:rsid w:val="00DB7ECF"/>
    <w:rsid w:val="00DC1AED"/>
    <w:rsid w:val="00DC2581"/>
    <w:rsid w:val="00DC29A1"/>
    <w:rsid w:val="00DC3248"/>
    <w:rsid w:val="00DC53E2"/>
    <w:rsid w:val="00DD20B4"/>
    <w:rsid w:val="00DD227E"/>
    <w:rsid w:val="00DD2334"/>
    <w:rsid w:val="00DD280C"/>
    <w:rsid w:val="00DD29C0"/>
    <w:rsid w:val="00DD394A"/>
    <w:rsid w:val="00DD41A4"/>
    <w:rsid w:val="00DD558E"/>
    <w:rsid w:val="00DD5CD6"/>
    <w:rsid w:val="00DD6F29"/>
    <w:rsid w:val="00DD7059"/>
    <w:rsid w:val="00DD7124"/>
    <w:rsid w:val="00DD79C5"/>
    <w:rsid w:val="00DE37D6"/>
    <w:rsid w:val="00DE40EA"/>
    <w:rsid w:val="00DE5A96"/>
    <w:rsid w:val="00DE5EE4"/>
    <w:rsid w:val="00DE64EB"/>
    <w:rsid w:val="00DE76D4"/>
    <w:rsid w:val="00DF0EB1"/>
    <w:rsid w:val="00DF196A"/>
    <w:rsid w:val="00DF1EC2"/>
    <w:rsid w:val="00DF279E"/>
    <w:rsid w:val="00DF2BFA"/>
    <w:rsid w:val="00DF32B8"/>
    <w:rsid w:val="00DF4E9D"/>
    <w:rsid w:val="00DF5066"/>
    <w:rsid w:val="00DF5CFE"/>
    <w:rsid w:val="00DF5FEA"/>
    <w:rsid w:val="00DF616B"/>
    <w:rsid w:val="00DF6E22"/>
    <w:rsid w:val="00DF7B11"/>
    <w:rsid w:val="00E01DAA"/>
    <w:rsid w:val="00E034D7"/>
    <w:rsid w:val="00E04E28"/>
    <w:rsid w:val="00E05A03"/>
    <w:rsid w:val="00E07285"/>
    <w:rsid w:val="00E10622"/>
    <w:rsid w:val="00E128EB"/>
    <w:rsid w:val="00E12C5C"/>
    <w:rsid w:val="00E147C9"/>
    <w:rsid w:val="00E1682C"/>
    <w:rsid w:val="00E17224"/>
    <w:rsid w:val="00E174D1"/>
    <w:rsid w:val="00E1769F"/>
    <w:rsid w:val="00E21335"/>
    <w:rsid w:val="00E24435"/>
    <w:rsid w:val="00E248BF"/>
    <w:rsid w:val="00E24A27"/>
    <w:rsid w:val="00E276BC"/>
    <w:rsid w:val="00E30009"/>
    <w:rsid w:val="00E32EA5"/>
    <w:rsid w:val="00E337DF"/>
    <w:rsid w:val="00E34A26"/>
    <w:rsid w:val="00E361DD"/>
    <w:rsid w:val="00E36D8D"/>
    <w:rsid w:val="00E4018F"/>
    <w:rsid w:val="00E40EC8"/>
    <w:rsid w:val="00E414F5"/>
    <w:rsid w:val="00E41CE7"/>
    <w:rsid w:val="00E432F5"/>
    <w:rsid w:val="00E4342C"/>
    <w:rsid w:val="00E4414D"/>
    <w:rsid w:val="00E44344"/>
    <w:rsid w:val="00E45047"/>
    <w:rsid w:val="00E45088"/>
    <w:rsid w:val="00E4733F"/>
    <w:rsid w:val="00E47B9E"/>
    <w:rsid w:val="00E50B0A"/>
    <w:rsid w:val="00E5321D"/>
    <w:rsid w:val="00E5364B"/>
    <w:rsid w:val="00E5650C"/>
    <w:rsid w:val="00E56F88"/>
    <w:rsid w:val="00E57583"/>
    <w:rsid w:val="00E611B9"/>
    <w:rsid w:val="00E6204A"/>
    <w:rsid w:val="00E6283B"/>
    <w:rsid w:val="00E6341A"/>
    <w:rsid w:val="00E67117"/>
    <w:rsid w:val="00E67993"/>
    <w:rsid w:val="00E67ACA"/>
    <w:rsid w:val="00E70CAE"/>
    <w:rsid w:val="00E71002"/>
    <w:rsid w:val="00E72B8F"/>
    <w:rsid w:val="00E72F80"/>
    <w:rsid w:val="00E746BE"/>
    <w:rsid w:val="00E75200"/>
    <w:rsid w:val="00E7583D"/>
    <w:rsid w:val="00E76566"/>
    <w:rsid w:val="00E76969"/>
    <w:rsid w:val="00E77912"/>
    <w:rsid w:val="00E77D26"/>
    <w:rsid w:val="00E8010E"/>
    <w:rsid w:val="00E8238C"/>
    <w:rsid w:val="00E839FC"/>
    <w:rsid w:val="00E83C0A"/>
    <w:rsid w:val="00E83ED3"/>
    <w:rsid w:val="00E842C9"/>
    <w:rsid w:val="00E84411"/>
    <w:rsid w:val="00E84F32"/>
    <w:rsid w:val="00E857BA"/>
    <w:rsid w:val="00E8791B"/>
    <w:rsid w:val="00E8791C"/>
    <w:rsid w:val="00E90932"/>
    <w:rsid w:val="00E90A4E"/>
    <w:rsid w:val="00E93275"/>
    <w:rsid w:val="00E9417C"/>
    <w:rsid w:val="00E94809"/>
    <w:rsid w:val="00E9671B"/>
    <w:rsid w:val="00E97AAC"/>
    <w:rsid w:val="00EA03A9"/>
    <w:rsid w:val="00EA3632"/>
    <w:rsid w:val="00EA5974"/>
    <w:rsid w:val="00EB1083"/>
    <w:rsid w:val="00EB35DE"/>
    <w:rsid w:val="00EB5FDE"/>
    <w:rsid w:val="00EB73DA"/>
    <w:rsid w:val="00EB7B93"/>
    <w:rsid w:val="00EC117F"/>
    <w:rsid w:val="00EC278B"/>
    <w:rsid w:val="00EC3366"/>
    <w:rsid w:val="00EC4C36"/>
    <w:rsid w:val="00EC4F9A"/>
    <w:rsid w:val="00EC5344"/>
    <w:rsid w:val="00EC5B91"/>
    <w:rsid w:val="00EC5C90"/>
    <w:rsid w:val="00EC6383"/>
    <w:rsid w:val="00EC6831"/>
    <w:rsid w:val="00EC73F4"/>
    <w:rsid w:val="00ED34CD"/>
    <w:rsid w:val="00ED6B4F"/>
    <w:rsid w:val="00ED6B52"/>
    <w:rsid w:val="00ED72D2"/>
    <w:rsid w:val="00ED791F"/>
    <w:rsid w:val="00EE00DD"/>
    <w:rsid w:val="00EE0938"/>
    <w:rsid w:val="00EE0BF1"/>
    <w:rsid w:val="00EE1F94"/>
    <w:rsid w:val="00EE3296"/>
    <w:rsid w:val="00EE428C"/>
    <w:rsid w:val="00EE5055"/>
    <w:rsid w:val="00EE6F28"/>
    <w:rsid w:val="00EF0CE7"/>
    <w:rsid w:val="00EF1E09"/>
    <w:rsid w:val="00EF24D9"/>
    <w:rsid w:val="00EF28F0"/>
    <w:rsid w:val="00EF31B9"/>
    <w:rsid w:val="00EF3D5C"/>
    <w:rsid w:val="00EF5023"/>
    <w:rsid w:val="00EF6EA0"/>
    <w:rsid w:val="00F0101F"/>
    <w:rsid w:val="00F01AC7"/>
    <w:rsid w:val="00F01B09"/>
    <w:rsid w:val="00F028EC"/>
    <w:rsid w:val="00F03016"/>
    <w:rsid w:val="00F03C4A"/>
    <w:rsid w:val="00F07641"/>
    <w:rsid w:val="00F07814"/>
    <w:rsid w:val="00F124DB"/>
    <w:rsid w:val="00F130F0"/>
    <w:rsid w:val="00F14EB3"/>
    <w:rsid w:val="00F1641C"/>
    <w:rsid w:val="00F16652"/>
    <w:rsid w:val="00F2133D"/>
    <w:rsid w:val="00F22675"/>
    <w:rsid w:val="00F22BFE"/>
    <w:rsid w:val="00F240DE"/>
    <w:rsid w:val="00F25ADF"/>
    <w:rsid w:val="00F273B7"/>
    <w:rsid w:val="00F306C8"/>
    <w:rsid w:val="00F32D1B"/>
    <w:rsid w:val="00F352BB"/>
    <w:rsid w:val="00F3553D"/>
    <w:rsid w:val="00F36CD6"/>
    <w:rsid w:val="00F374C5"/>
    <w:rsid w:val="00F3784D"/>
    <w:rsid w:val="00F37858"/>
    <w:rsid w:val="00F40053"/>
    <w:rsid w:val="00F40D65"/>
    <w:rsid w:val="00F40F97"/>
    <w:rsid w:val="00F41880"/>
    <w:rsid w:val="00F42035"/>
    <w:rsid w:val="00F42404"/>
    <w:rsid w:val="00F426D7"/>
    <w:rsid w:val="00F42D42"/>
    <w:rsid w:val="00F43173"/>
    <w:rsid w:val="00F4341C"/>
    <w:rsid w:val="00F450DE"/>
    <w:rsid w:val="00F4514E"/>
    <w:rsid w:val="00F46325"/>
    <w:rsid w:val="00F51AD1"/>
    <w:rsid w:val="00F52E1C"/>
    <w:rsid w:val="00F53C6E"/>
    <w:rsid w:val="00F548E9"/>
    <w:rsid w:val="00F54BE0"/>
    <w:rsid w:val="00F55A63"/>
    <w:rsid w:val="00F55E07"/>
    <w:rsid w:val="00F57244"/>
    <w:rsid w:val="00F57834"/>
    <w:rsid w:val="00F63709"/>
    <w:rsid w:val="00F63F62"/>
    <w:rsid w:val="00F646E3"/>
    <w:rsid w:val="00F679F3"/>
    <w:rsid w:val="00F71810"/>
    <w:rsid w:val="00F7183F"/>
    <w:rsid w:val="00F720CD"/>
    <w:rsid w:val="00F73884"/>
    <w:rsid w:val="00F74640"/>
    <w:rsid w:val="00F75265"/>
    <w:rsid w:val="00F76A3B"/>
    <w:rsid w:val="00F8008C"/>
    <w:rsid w:val="00F82B97"/>
    <w:rsid w:val="00F840C7"/>
    <w:rsid w:val="00F844AF"/>
    <w:rsid w:val="00F86DBA"/>
    <w:rsid w:val="00F8720B"/>
    <w:rsid w:val="00F9055C"/>
    <w:rsid w:val="00F9056D"/>
    <w:rsid w:val="00F909AC"/>
    <w:rsid w:val="00F91B72"/>
    <w:rsid w:val="00F9254D"/>
    <w:rsid w:val="00F92E4F"/>
    <w:rsid w:val="00F9373C"/>
    <w:rsid w:val="00F947FE"/>
    <w:rsid w:val="00F94A49"/>
    <w:rsid w:val="00F95512"/>
    <w:rsid w:val="00F97C88"/>
    <w:rsid w:val="00FA24BE"/>
    <w:rsid w:val="00FA2ED4"/>
    <w:rsid w:val="00FA6547"/>
    <w:rsid w:val="00FA711E"/>
    <w:rsid w:val="00FA7221"/>
    <w:rsid w:val="00FB078A"/>
    <w:rsid w:val="00FB158E"/>
    <w:rsid w:val="00FB2016"/>
    <w:rsid w:val="00FB3D05"/>
    <w:rsid w:val="00FB4223"/>
    <w:rsid w:val="00FB4A5B"/>
    <w:rsid w:val="00FB4F43"/>
    <w:rsid w:val="00FB4FF6"/>
    <w:rsid w:val="00FB6B23"/>
    <w:rsid w:val="00FC1F09"/>
    <w:rsid w:val="00FC2E89"/>
    <w:rsid w:val="00FC34DE"/>
    <w:rsid w:val="00FC67A4"/>
    <w:rsid w:val="00FC6F73"/>
    <w:rsid w:val="00FD0760"/>
    <w:rsid w:val="00FD1ED9"/>
    <w:rsid w:val="00FD270D"/>
    <w:rsid w:val="00FD5200"/>
    <w:rsid w:val="00FD61D6"/>
    <w:rsid w:val="00FD6488"/>
    <w:rsid w:val="00FD6B70"/>
    <w:rsid w:val="00FD72E8"/>
    <w:rsid w:val="00FD7CBF"/>
    <w:rsid w:val="00FE1550"/>
    <w:rsid w:val="00FE2126"/>
    <w:rsid w:val="00FE26CD"/>
    <w:rsid w:val="00FE462A"/>
    <w:rsid w:val="00FE4DB5"/>
    <w:rsid w:val="00FE4E51"/>
    <w:rsid w:val="00FE7CA5"/>
    <w:rsid w:val="00FE7F4F"/>
    <w:rsid w:val="00FF0E8B"/>
    <w:rsid w:val="00FF1D54"/>
    <w:rsid w:val="00FF2FA9"/>
    <w:rsid w:val="00FF30D7"/>
    <w:rsid w:val="00FF4063"/>
    <w:rsid w:val="00FF41CF"/>
    <w:rsid w:val="00FF43D6"/>
    <w:rsid w:val="00FF4ADF"/>
    <w:rsid w:val="00FF6B8A"/>
    <w:rsid w:val="00FF7394"/>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7EC31D"/>
  <w15:chartTrackingRefBased/>
  <w15:docId w15:val="{022DFE19-4B5B-4CCF-AAC9-57C40B7A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44"/>
    <w:pPr>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9E5D23"/>
    <w:pPr>
      <w:keepNext/>
      <w:keepLines/>
      <w:numPr>
        <w:numId w:val="5"/>
      </w:numPr>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9E5D2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F6E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FBC"/>
    <w:pPr>
      <w:ind w:left="720"/>
      <w:contextualSpacing/>
    </w:pPr>
  </w:style>
  <w:style w:type="character" w:styleId="Hyperlink">
    <w:name w:val="Hyperlink"/>
    <w:basedOn w:val="DefaultParagraphFont"/>
    <w:uiPriority w:val="99"/>
    <w:unhideWhenUsed/>
    <w:rsid w:val="009C14E6"/>
    <w:rPr>
      <w:color w:val="0000FF"/>
      <w:u w:val="single"/>
    </w:rPr>
  </w:style>
  <w:style w:type="table" w:styleId="TableGrid">
    <w:name w:val="Table Grid"/>
    <w:basedOn w:val="TableNormal"/>
    <w:uiPriority w:val="39"/>
    <w:rsid w:val="00CF7F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5682"/>
    <w:rPr>
      <w:color w:val="605E5C"/>
      <w:shd w:val="clear" w:color="auto" w:fill="E1DFDD"/>
    </w:rPr>
  </w:style>
  <w:style w:type="character" w:styleId="FollowedHyperlink">
    <w:name w:val="FollowedHyperlink"/>
    <w:basedOn w:val="DefaultParagraphFont"/>
    <w:uiPriority w:val="99"/>
    <w:semiHidden/>
    <w:unhideWhenUsed/>
    <w:rsid w:val="00B901BC"/>
    <w:rPr>
      <w:color w:val="954F72" w:themeColor="followedHyperlink"/>
      <w:u w:val="single"/>
    </w:rPr>
  </w:style>
  <w:style w:type="character" w:customStyle="1" w:styleId="Heading1Char">
    <w:name w:val="Heading 1 Char"/>
    <w:basedOn w:val="DefaultParagraphFont"/>
    <w:link w:val="Heading1"/>
    <w:uiPriority w:val="9"/>
    <w:rsid w:val="009E5D23"/>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9E5D23"/>
    <w:rPr>
      <w:rFonts w:ascii="Verdana" w:eastAsiaTheme="majorEastAsia" w:hAnsi="Verdana" w:cstheme="majorBidi"/>
      <w:b/>
      <w:sz w:val="24"/>
      <w:szCs w:val="26"/>
    </w:rPr>
  </w:style>
  <w:style w:type="paragraph" w:styleId="Footer">
    <w:name w:val="footer"/>
    <w:basedOn w:val="Normal"/>
    <w:link w:val="FooterChar"/>
    <w:uiPriority w:val="99"/>
    <w:unhideWhenUsed/>
    <w:rsid w:val="009E5D23"/>
    <w:pPr>
      <w:tabs>
        <w:tab w:val="center" w:pos="4320"/>
        <w:tab w:val="right" w:pos="8640"/>
      </w:tabs>
    </w:pPr>
  </w:style>
  <w:style w:type="character" w:customStyle="1" w:styleId="FooterChar">
    <w:name w:val="Footer Char"/>
    <w:basedOn w:val="DefaultParagraphFont"/>
    <w:link w:val="Footer"/>
    <w:uiPriority w:val="99"/>
    <w:rsid w:val="009E5D23"/>
    <w:rPr>
      <w:rFonts w:ascii="Verdana" w:eastAsiaTheme="minorEastAsia" w:hAnsi="Verdana"/>
      <w:sz w:val="24"/>
      <w:szCs w:val="24"/>
    </w:rPr>
  </w:style>
  <w:style w:type="paragraph" w:customStyle="1" w:styleId="BasicParagraph">
    <w:name w:val="[Basic Paragraph]"/>
    <w:basedOn w:val="Normal"/>
    <w:uiPriority w:val="99"/>
    <w:rsid w:val="009E5D2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basedOn w:val="Normal"/>
    <w:link w:val="FootnoteTextChar"/>
    <w:uiPriority w:val="99"/>
    <w:unhideWhenUsed/>
    <w:rsid w:val="009E5D23"/>
  </w:style>
  <w:style w:type="character" w:customStyle="1" w:styleId="FootnoteTextChar">
    <w:name w:val="Footnote Text Char"/>
    <w:basedOn w:val="DefaultParagraphFont"/>
    <w:link w:val="FootnoteText"/>
    <w:uiPriority w:val="99"/>
    <w:rsid w:val="009E5D23"/>
    <w:rPr>
      <w:rFonts w:ascii="Verdana" w:eastAsiaTheme="minorEastAsia" w:hAnsi="Verdana"/>
      <w:sz w:val="24"/>
      <w:szCs w:val="24"/>
    </w:rPr>
  </w:style>
  <w:style w:type="character" w:styleId="FootnoteReference">
    <w:name w:val="footnote reference"/>
    <w:basedOn w:val="DefaultParagraphFont"/>
    <w:uiPriority w:val="99"/>
    <w:unhideWhenUsed/>
    <w:rsid w:val="009E5D23"/>
    <w:rPr>
      <w:vertAlign w:val="superscript"/>
    </w:rPr>
  </w:style>
  <w:style w:type="character" w:styleId="PageNumber">
    <w:name w:val="page number"/>
    <w:basedOn w:val="DefaultParagraphFont"/>
    <w:uiPriority w:val="99"/>
    <w:semiHidden/>
    <w:unhideWhenUsed/>
    <w:rsid w:val="009E5D23"/>
  </w:style>
  <w:style w:type="paragraph" w:customStyle="1" w:styleId="Default">
    <w:name w:val="Default"/>
    <w:rsid w:val="009E5D23"/>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NIHRCFootnotes">
    <w:name w:val="NIHRC Footnotes"/>
    <w:basedOn w:val="Normal"/>
    <w:qFormat/>
    <w:rsid w:val="009E5D23"/>
    <w:pPr>
      <w:tabs>
        <w:tab w:val="left" w:pos="284"/>
      </w:tabs>
    </w:pPr>
    <w:rPr>
      <w:rFonts w:cs="Arial"/>
      <w:color w:val="77328A"/>
      <w:sz w:val="16"/>
      <w:szCs w:val="16"/>
    </w:rPr>
  </w:style>
  <w:style w:type="paragraph" w:styleId="TOCHeading">
    <w:name w:val="TOC Heading"/>
    <w:basedOn w:val="Heading1"/>
    <w:next w:val="Normal"/>
    <w:uiPriority w:val="39"/>
    <w:unhideWhenUsed/>
    <w:qFormat/>
    <w:rsid w:val="009E5D23"/>
    <w:pPr>
      <w:numPr>
        <w:numId w:val="0"/>
      </w:numPr>
      <w:spacing w:line="259" w:lineRule="auto"/>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9E5D23"/>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9E5D23"/>
    <w:pPr>
      <w:spacing w:after="100" w:line="259" w:lineRule="auto"/>
    </w:pPr>
    <w:rPr>
      <w:rFonts w:cs="Times New Roman"/>
      <w:sz w:val="22"/>
      <w:szCs w:val="22"/>
      <w:lang w:val="en-US"/>
    </w:rPr>
  </w:style>
  <w:style w:type="paragraph" w:styleId="Header">
    <w:name w:val="header"/>
    <w:basedOn w:val="Normal"/>
    <w:link w:val="HeaderChar"/>
    <w:uiPriority w:val="99"/>
    <w:unhideWhenUsed/>
    <w:rsid w:val="00847724"/>
    <w:pPr>
      <w:tabs>
        <w:tab w:val="center" w:pos="4513"/>
        <w:tab w:val="right" w:pos="9026"/>
      </w:tabs>
    </w:pPr>
  </w:style>
  <w:style w:type="character" w:customStyle="1" w:styleId="HeaderChar">
    <w:name w:val="Header Char"/>
    <w:basedOn w:val="DefaultParagraphFont"/>
    <w:link w:val="Header"/>
    <w:uiPriority w:val="99"/>
    <w:rsid w:val="00847724"/>
    <w:rPr>
      <w:rFonts w:ascii="Verdana" w:eastAsiaTheme="minorEastAsia" w:hAnsi="Verdana"/>
      <w:sz w:val="24"/>
      <w:szCs w:val="24"/>
    </w:rPr>
  </w:style>
  <w:style w:type="character" w:styleId="CommentReference">
    <w:name w:val="annotation reference"/>
    <w:basedOn w:val="DefaultParagraphFont"/>
    <w:uiPriority w:val="99"/>
    <w:semiHidden/>
    <w:unhideWhenUsed/>
    <w:rsid w:val="00F16652"/>
    <w:rPr>
      <w:sz w:val="16"/>
      <w:szCs w:val="16"/>
    </w:rPr>
  </w:style>
  <w:style w:type="paragraph" w:styleId="CommentText">
    <w:name w:val="annotation text"/>
    <w:basedOn w:val="Normal"/>
    <w:link w:val="CommentTextChar"/>
    <w:uiPriority w:val="99"/>
    <w:semiHidden/>
    <w:unhideWhenUsed/>
    <w:rsid w:val="00F16652"/>
    <w:rPr>
      <w:sz w:val="20"/>
      <w:szCs w:val="20"/>
    </w:rPr>
  </w:style>
  <w:style w:type="character" w:customStyle="1" w:styleId="CommentTextChar">
    <w:name w:val="Comment Text Char"/>
    <w:basedOn w:val="DefaultParagraphFont"/>
    <w:link w:val="CommentText"/>
    <w:uiPriority w:val="99"/>
    <w:semiHidden/>
    <w:rsid w:val="00F16652"/>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F16652"/>
    <w:rPr>
      <w:b/>
      <w:bCs/>
    </w:rPr>
  </w:style>
  <w:style w:type="character" w:customStyle="1" w:styleId="CommentSubjectChar">
    <w:name w:val="Comment Subject Char"/>
    <w:basedOn w:val="CommentTextChar"/>
    <w:link w:val="CommentSubject"/>
    <w:uiPriority w:val="99"/>
    <w:semiHidden/>
    <w:rsid w:val="00F16652"/>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F16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52"/>
    <w:rPr>
      <w:rFonts w:ascii="Segoe UI" w:eastAsiaTheme="minorEastAsia" w:hAnsi="Segoe UI" w:cs="Segoe UI"/>
      <w:sz w:val="18"/>
      <w:szCs w:val="18"/>
    </w:rPr>
  </w:style>
  <w:style w:type="character" w:styleId="Emphasis">
    <w:name w:val="Emphasis"/>
    <w:basedOn w:val="DefaultParagraphFont"/>
    <w:uiPriority w:val="20"/>
    <w:qFormat/>
    <w:rsid w:val="001C0E55"/>
    <w:rPr>
      <w:i/>
      <w:iCs/>
    </w:rPr>
  </w:style>
  <w:style w:type="character" w:customStyle="1" w:styleId="UnresolvedMention2">
    <w:name w:val="Unresolved Mention2"/>
    <w:basedOn w:val="DefaultParagraphFont"/>
    <w:uiPriority w:val="99"/>
    <w:semiHidden/>
    <w:unhideWhenUsed/>
    <w:rsid w:val="00926903"/>
    <w:rPr>
      <w:color w:val="605E5C"/>
      <w:shd w:val="clear" w:color="auto" w:fill="E1DFDD"/>
    </w:rPr>
  </w:style>
  <w:style w:type="character" w:customStyle="1" w:styleId="Heading3Char">
    <w:name w:val="Heading 3 Char"/>
    <w:basedOn w:val="DefaultParagraphFont"/>
    <w:link w:val="Heading3"/>
    <w:uiPriority w:val="9"/>
    <w:semiHidden/>
    <w:rsid w:val="00EF6EA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38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159">
      <w:bodyDiv w:val="1"/>
      <w:marLeft w:val="0"/>
      <w:marRight w:val="0"/>
      <w:marTop w:val="0"/>
      <w:marBottom w:val="0"/>
      <w:divBdr>
        <w:top w:val="none" w:sz="0" w:space="0" w:color="auto"/>
        <w:left w:val="none" w:sz="0" w:space="0" w:color="auto"/>
        <w:bottom w:val="none" w:sz="0" w:space="0" w:color="auto"/>
        <w:right w:val="none" w:sz="0" w:space="0" w:color="auto"/>
      </w:divBdr>
    </w:div>
    <w:div w:id="157622447">
      <w:bodyDiv w:val="1"/>
      <w:marLeft w:val="0"/>
      <w:marRight w:val="0"/>
      <w:marTop w:val="0"/>
      <w:marBottom w:val="0"/>
      <w:divBdr>
        <w:top w:val="none" w:sz="0" w:space="0" w:color="auto"/>
        <w:left w:val="none" w:sz="0" w:space="0" w:color="auto"/>
        <w:bottom w:val="none" w:sz="0" w:space="0" w:color="auto"/>
        <w:right w:val="none" w:sz="0" w:space="0" w:color="auto"/>
      </w:divBdr>
    </w:div>
    <w:div w:id="323120449">
      <w:bodyDiv w:val="1"/>
      <w:marLeft w:val="0"/>
      <w:marRight w:val="0"/>
      <w:marTop w:val="0"/>
      <w:marBottom w:val="0"/>
      <w:divBdr>
        <w:top w:val="none" w:sz="0" w:space="0" w:color="auto"/>
        <w:left w:val="none" w:sz="0" w:space="0" w:color="auto"/>
        <w:bottom w:val="none" w:sz="0" w:space="0" w:color="auto"/>
        <w:right w:val="none" w:sz="0" w:space="0" w:color="auto"/>
      </w:divBdr>
    </w:div>
    <w:div w:id="384791531">
      <w:bodyDiv w:val="1"/>
      <w:marLeft w:val="0"/>
      <w:marRight w:val="0"/>
      <w:marTop w:val="0"/>
      <w:marBottom w:val="0"/>
      <w:divBdr>
        <w:top w:val="none" w:sz="0" w:space="0" w:color="auto"/>
        <w:left w:val="none" w:sz="0" w:space="0" w:color="auto"/>
        <w:bottom w:val="none" w:sz="0" w:space="0" w:color="auto"/>
        <w:right w:val="none" w:sz="0" w:space="0" w:color="auto"/>
      </w:divBdr>
    </w:div>
    <w:div w:id="403182916">
      <w:bodyDiv w:val="1"/>
      <w:marLeft w:val="0"/>
      <w:marRight w:val="0"/>
      <w:marTop w:val="0"/>
      <w:marBottom w:val="0"/>
      <w:divBdr>
        <w:top w:val="none" w:sz="0" w:space="0" w:color="auto"/>
        <w:left w:val="none" w:sz="0" w:space="0" w:color="auto"/>
        <w:bottom w:val="none" w:sz="0" w:space="0" w:color="auto"/>
        <w:right w:val="none" w:sz="0" w:space="0" w:color="auto"/>
      </w:divBdr>
    </w:div>
    <w:div w:id="428623458">
      <w:bodyDiv w:val="1"/>
      <w:marLeft w:val="0"/>
      <w:marRight w:val="0"/>
      <w:marTop w:val="0"/>
      <w:marBottom w:val="0"/>
      <w:divBdr>
        <w:top w:val="none" w:sz="0" w:space="0" w:color="auto"/>
        <w:left w:val="none" w:sz="0" w:space="0" w:color="auto"/>
        <w:bottom w:val="none" w:sz="0" w:space="0" w:color="auto"/>
        <w:right w:val="none" w:sz="0" w:space="0" w:color="auto"/>
      </w:divBdr>
    </w:div>
    <w:div w:id="506792342">
      <w:bodyDiv w:val="1"/>
      <w:marLeft w:val="0"/>
      <w:marRight w:val="0"/>
      <w:marTop w:val="0"/>
      <w:marBottom w:val="0"/>
      <w:divBdr>
        <w:top w:val="none" w:sz="0" w:space="0" w:color="auto"/>
        <w:left w:val="none" w:sz="0" w:space="0" w:color="auto"/>
        <w:bottom w:val="none" w:sz="0" w:space="0" w:color="auto"/>
        <w:right w:val="none" w:sz="0" w:space="0" w:color="auto"/>
      </w:divBdr>
    </w:div>
    <w:div w:id="685442595">
      <w:bodyDiv w:val="1"/>
      <w:marLeft w:val="0"/>
      <w:marRight w:val="0"/>
      <w:marTop w:val="0"/>
      <w:marBottom w:val="0"/>
      <w:divBdr>
        <w:top w:val="none" w:sz="0" w:space="0" w:color="auto"/>
        <w:left w:val="none" w:sz="0" w:space="0" w:color="auto"/>
        <w:bottom w:val="none" w:sz="0" w:space="0" w:color="auto"/>
        <w:right w:val="none" w:sz="0" w:space="0" w:color="auto"/>
      </w:divBdr>
    </w:div>
    <w:div w:id="747653153">
      <w:bodyDiv w:val="1"/>
      <w:marLeft w:val="0"/>
      <w:marRight w:val="0"/>
      <w:marTop w:val="0"/>
      <w:marBottom w:val="0"/>
      <w:divBdr>
        <w:top w:val="none" w:sz="0" w:space="0" w:color="auto"/>
        <w:left w:val="none" w:sz="0" w:space="0" w:color="auto"/>
        <w:bottom w:val="none" w:sz="0" w:space="0" w:color="auto"/>
        <w:right w:val="none" w:sz="0" w:space="0" w:color="auto"/>
      </w:divBdr>
    </w:div>
    <w:div w:id="906380717">
      <w:bodyDiv w:val="1"/>
      <w:marLeft w:val="0"/>
      <w:marRight w:val="0"/>
      <w:marTop w:val="0"/>
      <w:marBottom w:val="0"/>
      <w:divBdr>
        <w:top w:val="none" w:sz="0" w:space="0" w:color="auto"/>
        <w:left w:val="none" w:sz="0" w:space="0" w:color="auto"/>
        <w:bottom w:val="none" w:sz="0" w:space="0" w:color="auto"/>
        <w:right w:val="none" w:sz="0" w:space="0" w:color="auto"/>
      </w:divBdr>
    </w:div>
    <w:div w:id="949166138">
      <w:bodyDiv w:val="1"/>
      <w:marLeft w:val="0"/>
      <w:marRight w:val="0"/>
      <w:marTop w:val="0"/>
      <w:marBottom w:val="0"/>
      <w:divBdr>
        <w:top w:val="none" w:sz="0" w:space="0" w:color="auto"/>
        <w:left w:val="none" w:sz="0" w:space="0" w:color="auto"/>
        <w:bottom w:val="none" w:sz="0" w:space="0" w:color="auto"/>
        <w:right w:val="none" w:sz="0" w:space="0" w:color="auto"/>
      </w:divBdr>
    </w:div>
    <w:div w:id="1034963804">
      <w:bodyDiv w:val="1"/>
      <w:marLeft w:val="0"/>
      <w:marRight w:val="0"/>
      <w:marTop w:val="0"/>
      <w:marBottom w:val="0"/>
      <w:divBdr>
        <w:top w:val="none" w:sz="0" w:space="0" w:color="auto"/>
        <w:left w:val="none" w:sz="0" w:space="0" w:color="auto"/>
        <w:bottom w:val="none" w:sz="0" w:space="0" w:color="auto"/>
        <w:right w:val="none" w:sz="0" w:space="0" w:color="auto"/>
      </w:divBdr>
    </w:div>
    <w:div w:id="1068578099">
      <w:bodyDiv w:val="1"/>
      <w:marLeft w:val="0"/>
      <w:marRight w:val="0"/>
      <w:marTop w:val="0"/>
      <w:marBottom w:val="0"/>
      <w:divBdr>
        <w:top w:val="none" w:sz="0" w:space="0" w:color="auto"/>
        <w:left w:val="none" w:sz="0" w:space="0" w:color="auto"/>
        <w:bottom w:val="none" w:sz="0" w:space="0" w:color="auto"/>
        <w:right w:val="none" w:sz="0" w:space="0" w:color="auto"/>
      </w:divBdr>
    </w:div>
    <w:div w:id="1258056999">
      <w:bodyDiv w:val="1"/>
      <w:marLeft w:val="0"/>
      <w:marRight w:val="0"/>
      <w:marTop w:val="0"/>
      <w:marBottom w:val="0"/>
      <w:divBdr>
        <w:top w:val="none" w:sz="0" w:space="0" w:color="auto"/>
        <w:left w:val="none" w:sz="0" w:space="0" w:color="auto"/>
        <w:bottom w:val="none" w:sz="0" w:space="0" w:color="auto"/>
        <w:right w:val="none" w:sz="0" w:space="0" w:color="auto"/>
      </w:divBdr>
    </w:div>
    <w:div w:id="1264460460">
      <w:bodyDiv w:val="1"/>
      <w:marLeft w:val="0"/>
      <w:marRight w:val="0"/>
      <w:marTop w:val="0"/>
      <w:marBottom w:val="0"/>
      <w:divBdr>
        <w:top w:val="none" w:sz="0" w:space="0" w:color="auto"/>
        <w:left w:val="none" w:sz="0" w:space="0" w:color="auto"/>
        <w:bottom w:val="none" w:sz="0" w:space="0" w:color="auto"/>
        <w:right w:val="none" w:sz="0" w:space="0" w:color="auto"/>
      </w:divBdr>
    </w:div>
    <w:div w:id="1421607048">
      <w:bodyDiv w:val="1"/>
      <w:marLeft w:val="0"/>
      <w:marRight w:val="0"/>
      <w:marTop w:val="0"/>
      <w:marBottom w:val="0"/>
      <w:divBdr>
        <w:top w:val="none" w:sz="0" w:space="0" w:color="auto"/>
        <w:left w:val="none" w:sz="0" w:space="0" w:color="auto"/>
        <w:bottom w:val="none" w:sz="0" w:space="0" w:color="auto"/>
        <w:right w:val="none" w:sz="0" w:space="0" w:color="auto"/>
      </w:divBdr>
    </w:div>
    <w:div w:id="1505049048">
      <w:bodyDiv w:val="1"/>
      <w:marLeft w:val="0"/>
      <w:marRight w:val="0"/>
      <w:marTop w:val="0"/>
      <w:marBottom w:val="0"/>
      <w:divBdr>
        <w:top w:val="none" w:sz="0" w:space="0" w:color="auto"/>
        <w:left w:val="none" w:sz="0" w:space="0" w:color="auto"/>
        <w:bottom w:val="none" w:sz="0" w:space="0" w:color="auto"/>
        <w:right w:val="none" w:sz="0" w:space="0" w:color="auto"/>
      </w:divBdr>
    </w:div>
    <w:div w:id="1678071466">
      <w:bodyDiv w:val="1"/>
      <w:marLeft w:val="0"/>
      <w:marRight w:val="0"/>
      <w:marTop w:val="0"/>
      <w:marBottom w:val="0"/>
      <w:divBdr>
        <w:top w:val="none" w:sz="0" w:space="0" w:color="auto"/>
        <w:left w:val="none" w:sz="0" w:space="0" w:color="auto"/>
        <w:bottom w:val="none" w:sz="0" w:space="0" w:color="auto"/>
        <w:right w:val="none" w:sz="0" w:space="0" w:color="auto"/>
      </w:divBdr>
    </w:div>
    <w:div w:id="1866477869">
      <w:bodyDiv w:val="1"/>
      <w:marLeft w:val="0"/>
      <w:marRight w:val="0"/>
      <w:marTop w:val="0"/>
      <w:marBottom w:val="0"/>
      <w:divBdr>
        <w:top w:val="none" w:sz="0" w:space="0" w:color="auto"/>
        <w:left w:val="none" w:sz="0" w:space="0" w:color="auto"/>
        <w:bottom w:val="none" w:sz="0" w:space="0" w:color="auto"/>
        <w:right w:val="none" w:sz="0" w:space="0" w:color="auto"/>
      </w:divBdr>
    </w:div>
    <w:div w:id="1873225675">
      <w:bodyDiv w:val="1"/>
      <w:marLeft w:val="0"/>
      <w:marRight w:val="0"/>
      <w:marTop w:val="0"/>
      <w:marBottom w:val="0"/>
      <w:divBdr>
        <w:top w:val="none" w:sz="0" w:space="0" w:color="auto"/>
        <w:left w:val="none" w:sz="0" w:space="0" w:color="auto"/>
        <w:bottom w:val="none" w:sz="0" w:space="0" w:color="auto"/>
        <w:right w:val="none" w:sz="0" w:space="0" w:color="auto"/>
      </w:divBdr>
    </w:div>
    <w:div w:id="2063481949">
      <w:bodyDiv w:val="1"/>
      <w:marLeft w:val="0"/>
      <w:marRight w:val="0"/>
      <w:marTop w:val="0"/>
      <w:marBottom w:val="0"/>
      <w:divBdr>
        <w:top w:val="none" w:sz="0" w:space="0" w:color="auto"/>
        <w:left w:val="none" w:sz="0" w:space="0" w:color="auto"/>
        <w:bottom w:val="none" w:sz="0" w:space="0" w:color="auto"/>
        <w:right w:val="none" w:sz="0" w:space="0" w:color="auto"/>
      </w:divBdr>
    </w:div>
    <w:div w:id="2076783035">
      <w:bodyDiv w:val="1"/>
      <w:marLeft w:val="0"/>
      <w:marRight w:val="0"/>
      <w:marTop w:val="0"/>
      <w:marBottom w:val="0"/>
      <w:divBdr>
        <w:top w:val="none" w:sz="0" w:space="0" w:color="auto"/>
        <w:left w:val="none" w:sz="0" w:space="0" w:color="auto"/>
        <w:bottom w:val="none" w:sz="0" w:space="0" w:color="auto"/>
        <w:right w:val="none" w:sz="0" w:space="0" w:color="auto"/>
      </w:divBdr>
    </w:div>
    <w:div w:id="2098331893">
      <w:bodyDiv w:val="1"/>
      <w:marLeft w:val="0"/>
      <w:marRight w:val="0"/>
      <w:marTop w:val="0"/>
      <w:marBottom w:val="0"/>
      <w:divBdr>
        <w:top w:val="none" w:sz="0" w:space="0" w:color="auto"/>
        <w:left w:val="none" w:sz="0" w:space="0" w:color="auto"/>
        <w:bottom w:val="none" w:sz="0" w:space="0" w:color="auto"/>
        <w:right w:val="none" w:sz="0" w:space="0" w:color="auto"/>
      </w:divBdr>
    </w:div>
    <w:div w:id="21170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risis.org.uk/about-us/media-centre/families-forced-to-give-up-food-shopping-to-cover-rent-says-crisis/" TargetMode="External"/><Relationship Id="rId13" Type="http://schemas.openxmlformats.org/officeDocument/2006/relationships/hyperlink" Target="https://www.nisra.gov.uk/sites/nisra.gov.uk/files/publications/Loneliness%20in%20Northern%20Ireland%202018-19%20report.pdf" TargetMode="External"/><Relationship Id="rId18" Type="http://schemas.openxmlformats.org/officeDocument/2006/relationships/hyperlink" Target="https://www.iea.org/reports/net-zero-by-2050" TargetMode="External"/><Relationship Id="rId3" Type="http://schemas.openxmlformats.org/officeDocument/2006/relationships/hyperlink" Target="https://core.ac.uk/download/pdf/9821221.pdf" TargetMode="External"/><Relationship Id="rId21" Type="http://schemas.openxmlformats.org/officeDocument/2006/relationships/hyperlink" Target="https://www.courts.ie/view/judgments/681b8633-3f57-41b5-9362-8cbc8e7d9215/981c098a-462b-4a9a-9941-5d601903c9af/2020_IESC_49.pdf/pdf" TargetMode="External"/><Relationship Id="rId7" Type="http://schemas.openxmlformats.org/officeDocument/2006/relationships/hyperlink" Target="https://www.opendemocracy.net/en/opendemocracyuk/number-private-tenants-facing-rent-shortfall-leaps-nearly-50-during-covid-19-pandemic/" TargetMode="External"/><Relationship Id="rId12" Type="http://schemas.openxmlformats.org/officeDocument/2006/relationships/hyperlink" Target="https://nearlylegal.co.uk/2020/07/discrimination-and-no-dss/" TargetMode="External"/><Relationship Id="rId17" Type="http://schemas.openxmlformats.org/officeDocument/2006/relationships/hyperlink" Target="https://www.theccc.org.uk/wp-content/uploads/2016/07/5CB-Infographic-FINAL-.pdf" TargetMode="External"/><Relationship Id="rId2" Type="http://schemas.openxmlformats.org/officeDocument/2006/relationships/hyperlink" Target="https://www.ons.gov.uk/peoplepopulationandcommunity/housing/articles/comparingaffordablehousingintheuk/april2008tomarch2018" TargetMode="External"/><Relationship Id="rId16" Type="http://schemas.openxmlformats.org/officeDocument/2006/relationships/hyperlink" Target="https://assets.publishing.service.gov.uk/government/uploads/system/uploads/attachment_data/file/856998/2020-01-08_a_new_decade__a_new_approach.pdf" TargetMode="External"/><Relationship Id="rId20" Type="http://schemas.openxmlformats.org/officeDocument/2006/relationships/hyperlink" Target="https://www.courts.ie/acc/alfresco/20562a43-5bed-4524-9b60-e18ef35aae44/2019_IEHC_747.pdf/pdf" TargetMode="External"/><Relationship Id="rId1" Type="http://schemas.openxmlformats.org/officeDocument/2006/relationships/hyperlink" Target="https://www.communities-ni.gov.uk/news/housing-statement-communities-minister-caral-ni-chuilin-3-november-2020" TargetMode="External"/><Relationship Id="rId6" Type="http://schemas.openxmlformats.org/officeDocument/2006/relationships/hyperlink" Target="https://www.gov.uk/government/statistics/universal-credit-statistics-29-april-2013-to-14-january-2021" TargetMode="External"/><Relationship Id="rId11" Type="http://schemas.openxmlformats.org/officeDocument/2006/relationships/hyperlink" Target="http://nearlylegal.co.uk/wp-content/uploads/2020/07/20.07.02-Redacted-Court-Order.pdf?utm_source=mailpoet&amp;utm_medium=email&amp;utm_campaign=new-on-nearly-legal-newsletter-total-new-posts_1" TargetMode="External"/><Relationship Id="rId5" Type="http://schemas.openxmlformats.org/officeDocument/2006/relationships/hyperlink" Target="https://www.nihe.gov.uk/Documents/Research/Private-Rental-Market-CURRENT/performance-private-rental-market-NI-january-june.aspx?ext=" TargetMode="External"/><Relationship Id="rId15" Type="http://schemas.openxmlformats.org/officeDocument/2006/relationships/hyperlink" Target="https://www.un.org/en/sections/issues-depth/climate-change/index.html" TargetMode="External"/><Relationship Id="rId23" Type="http://schemas.openxmlformats.org/officeDocument/2006/relationships/hyperlink" Target="http://www.niassembly.gov.uk/assembly-business/legislation/2017-2022-mandate/non-executive-bill-proposals/climate-change-bill/" TargetMode="External"/><Relationship Id="rId10" Type="http://schemas.openxmlformats.org/officeDocument/2006/relationships/hyperlink" Target="https://www.nihe.gov.uk/Housing-Help/Local-Housing-Allowance/How-we-calculate-LHA-rent-levels" TargetMode="External"/><Relationship Id="rId19" Type="http://schemas.openxmlformats.org/officeDocument/2006/relationships/hyperlink" Target="https://assets.publishing.service.gov.uk/government/uploads/system/uploads/attachment_data/file/424254/heat_networks.pdf" TargetMode="External"/><Relationship Id="rId4" Type="http://schemas.openxmlformats.org/officeDocument/2006/relationships/hyperlink" Target="https://www.parliament.uk/globalassets/documents/commons-committees/communities-and-local-government/Full-Report-for-Select-Committee-141015final.pdf" TargetMode="External"/><Relationship Id="rId9" Type="http://schemas.openxmlformats.org/officeDocument/2006/relationships/hyperlink" Target="https://www.gov.uk/government/publications/local-housing-allowance-uprating-equality-analysis-april-2020/equality-analysis-for-uprating-local-housing-allowance-rates-to-the-30th-percentile-of-local-rents" TargetMode="External"/><Relationship Id="rId14" Type="http://schemas.openxmlformats.org/officeDocument/2006/relationships/hyperlink" Target="https://www.equalityni.org/ECNI/media/ECNI/Publications/Delivering%20Equality/HousingInequalities-FullReport.pdf" TargetMode="External"/><Relationship Id="rId22" Type="http://schemas.openxmlformats.org/officeDocument/2006/relationships/hyperlink" Target="https://www.climatecaseireland.ie/amidst-a-climate-and-biodiversity-crisis-hope-emerges-friends-of-the-irish-environment-win-historic-climate-case-ireland-in-the-irish-supreme-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43CE-D8AC-492D-9C24-C090110D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Black</dc:creator>
  <cp:keywords/>
  <dc:description/>
  <cp:lastModifiedBy>Michael Black</cp:lastModifiedBy>
  <cp:revision>30</cp:revision>
  <cp:lastPrinted>2021-07-09T11:47:00Z</cp:lastPrinted>
  <dcterms:created xsi:type="dcterms:W3CDTF">2021-07-08T17:15:00Z</dcterms:created>
  <dcterms:modified xsi:type="dcterms:W3CDTF">2021-07-09T11:49:00Z</dcterms:modified>
</cp:coreProperties>
</file>