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89D86" w14:textId="77777777" w:rsidR="009E5D23" w:rsidRDefault="009E5D23" w:rsidP="009E5D23">
      <w:pPr>
        <w:pStyle w:val="BasicParagraph"/>
        <w:suppressAutoHyphens/>
        <w:jc w:val="center"/>
        <w:rPr>
          <w:rFonts w:ascii="Verdana" w:hAnsi="Verdana" w:cs="Arial"/>
          <w:b/>
          <w:bCs/>
          <w:color w:val="734791"/>
          <w:sz w:val="36"/>
          <w:szCs w:val="36"/>
        </w:rPr>
      </w:pPr>
      <w:r w:rsidRPr="00EA12CE">
        <w:rPr>
          <w:rFonts w:ascii="Verdana" w:hAnsi="Verdana" w:cs="Arial"/>
          <w:b/>
          <w:bCs/>
          <w:noProof/>
          <w:color w:val="734791"/>
          <w:sz w:val="36"/>
          <w:szCs w:val="36"/>
          <w:lang w:eastAsia="en-GB"/>
        </w:rPr>
        <w:drawing>
          <wp:inline distT="0" distB="0" distL="0" distR="0" wp14:anchorId="7E32A0A6" wp14:editId="774A0932">
            <wp:extent cx="2908485" cy="3886623"/>
            <wp:effectExtent l="0" t="0" r="0" b="0"/>
            <wp:docPr id="7" name="Picture 7" descr="Studio Volume:Corey Watson:Corey Watson CURRENT WORK:27689 - HUMAN RIGHTS Brand Guidelines:PDF:NIHRC LOGOs-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udio Volume:Corey Watson:Corey Watson CURRENT WORK:27689 - HUMAN RIGHTS Brand Guidelines:PDF:NIHRC LOGOs-0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8982" cy="3887287"/>
                    </a:xfrm>
                    <a:prstGeom prst="rect">
                      <a:avLst/>
                    </a:prstGeom>
                    <a:noFill/>
                    <a:ln>
                      <a:noFill/>
                    </a:ln>
                  </pic:spPr>
                </pic:pic>
              </a:graphicData>
            </a:graphic>
          </wp:inline>
        </w:drawing>
      </w:r>
    </w:p>
    <w:p w14:paraId="7A3FEE4D" w14:textId="77777777" w:rsidR="009E5D23" w:rsidRPr="00EA12CE" w:rsidRDefault="009E5D23" w:rsidP="009E5D23">
      <w:pPr>
        <w:pStyle w:val="BasicParagraph"/>
        <w:suppressAutoHyphens/>
        <w:jc w:val="center"/>
        <w:rPr>
          <w:rFonts w:ascii="Verdana" w:hAnsi="Verdana" w:cs="Arial"/>
          <w:b/>
          <w:bCs/>
          <w:color w:val="734791"/>
          <w:sz w:val="36"/>
          <w:szCs w:val="36"/>
        </w:rPr>
      </w:pPr>
    </w:p>
    <w:p w14:paraId="01A5EAE6" w14:textId="1D2D1A00" w:rsidR="009E5D23" w:rsidRPr="00C5276F" w:rsidRDefault="001F3580" w:rsidP="00C5276F">
      <w:pPr>
        <w:pStyle w:val="BasicParagraph"/>
        <w:suppressAutoHyphens/>
        <w:jc w:val="center"/>
        <w:rPr>
          <w:rFonts w:ascii="Verdana" w:hAnsi="Verdana" w:cs="Arial"/>
          <w:b/>
          <w:bCs/>
          <w:color w:val="77328A"/>
          <w:sz w:val="36"/>
          <w:szCs w:val="36"/>
        </w:rPr>
      </w:pPr>
      <w:r>
        <w:rPr>
          <w:rFonts w:ascii="Verdana" w:hAnsi="Verdana" w:cs="Arial"/>
          <w:b/>
          <w:bCs/>
          <w:color w:val="77328A"/>
          <w:sz w:val="36"/>
          <w:szCs w:val="36"/>
        </w:rPr>
        <w:t>Response</w:t>
      </w:r>
      <w:r w:rsidR="009E5D23">
        <w:rPr>
          <w:rFonts w:ascii="Verdana" w:hAnsi="Verdana" w:cs="Arial"/>
          <w:b/>
          <w:bCs/>
          <w:color w:val="77328A"/>
          <w:sz w:val="36"/>
          <w:szCs w:val="36"/>
        </w:rPr>
        <w:t xml:space="preserve"> to the Department </w:t>
      </w:r>
      <w:r w:rsidR="003F3FCB">
        <w:rPr>
          <w:rFonts w:ascii="Verdana" w:hAnsi="Verdana" w:cs="Arial"/>
          <w:b/>
          <w:bCs/>
          <w:color w:val="77328A"/>
          <w:sz w:val="36"/>
          <w:szCs w:val="36"/>
        </w:rPr>
        <w:t>of Justice Engagement Paper</w:t>
      </w:r>
      <w:r w:rsidR="009E5D23">
        <w:rPr>
          <w:rFonts w:ascii="Verdana" w:hAnsi="Verdana" w:cs="Arial"/>
          <w:b/>
          <w:bCs/>
          <w:color w:val="77328A"/>
          <w:sz w:val="36"/>
          <w:szCs w:val="36"/>
        </w:rPr>
        <w:t xml:space="preserve"> </w:t>
      </w:r>
      <w:r w:rsidR="00C5276F">
        <w:rPr>
          <w:rFonts w:ascii="Verdana" w:hAnsi="Verdana" w:cs="Arial"/>
          <w:b/>
          <w:bCs/>
          <w:color w:val="77328A"/>
          <w:sz w:val="36"/>
          <w:szCs w:val="36"/>
        </w:rPr>
        <w:t>on</w:t>
      </w:r>
      <w:r w:rsidR="004E3D65">
        <w:rPr>
          <w:rFonts w:ascii="Verdana" w:hAnsi="Verdana" w:cs="Arial"/>
          <w:b/>
          <w:bCs/>
          <w:color w:val="77328A"/>
          <w:sz w:val="36"/>
          <w:szCs w:val="36"/>
        </w:rPr>
        <w:t xml:space="preserve"> </w:t>
      </w:r>
      <w:r w:rsidR="003F3FCB">
        <w:rPr>
          <w:rFonts w:ascii="Verdana" w:hAnsi="Verdana" w:cs="Arial"/>
          <w:b/>
          <w:bCs/>
          <w:color w:val="77328A"/>
          <w:sz w:val="36"/>
          <w:szCs w:val="36"/>
        </w:rPr>
        <w:t>Pro Bono Costs Orders</w:t>
      </w:r>
      <w:r w:rsidR="004E3D65">
        <w:rPr>
          <w:rFonts w:ascii="Verdana" w:hAnsi="Verdana" w:cs="Arial"/>
          <w:b/>
          <w:bCs/>
          <w:color w:val="77328A"/>
          <w:sz w:val="36"/>
          <w:szCs w:val="36"/>
        </w:rPr>
        <w:t xml:space="preserve"> </w:t>
      </w:r>
    </w:p>
    <w:p w14:paraId="553134D2" w14:textId="77777777" w:rsidR="009E5D23" w:rsidRDefault="009E5D23" w:rsidP="009E5D23">
      <w:pPr>
        <w:pStyle w:val="Default"/>
        <w:spacing w:line="288" w:lineRule="auto"/>
        <w:jc w:val="center"/>
        <w:rPr>
          <w:rFonts w:cs="Arial"/>
          <w:color w:val="232120"/>
          <w:sz w:val="36"/>
          <w:szCs w:val="36"/>
        </w:rPr>
      </w:pPr>
    </w:p>
    <w:p w14:paraId="5BC45021" w14:textId="77777777" w:rsidR="0062440E" w:rsidRDefault="0062440E" w:rsidP="009E5D23">
      <w:pPr>
        <w:pStyle w:val="Default"/>
        <w:spacing w:line="288" w:lineRule="auto"/>
        <w:jc w:val="center"/>
        <w:rPr>
          <w:rFonts w:cs="Arial"/>
          <w:color w:val="232120"/>
          <w:sz w:val="36"/>
          <w:szCs w:val="36"/>
        </w:rPr>
      </w:pPr>
    </w:p>
    <w:p w14:paraId="1542E040" w14:textId="77777777" w:rsidR="0062440E" w:rsidRDefault="0062440E" w:rsidP="009E5D23">
      <w:pPr>
        <w:pStyle w:val="Default"/>
        <w:spacing w:line="288" w:lineRule="auto"/>
        <w:jc w:val="center"/>
        <w:rPr>
          <w:rFonts w:cs="Arial"/>
          <w:color w:val="232120"/>
          <w:sz w:val="36"/>
          <w:szCs w:val="36"/>
        </w:rPr>
      </w:pPr>
    </w:p>
    <w:p w14:paraId="41A1BE0F" w14:textId="77777777" w:rsidR="0062440E" w:rsidRPr="00331C61" w:rsidRDefault="0062440E" w:rsidP="009E5D23">
      <w:pPr>
        <w:pStyle w:val="Default"/>
        <w:spacing w:line="288" w:lineRule="auto"/>
        <w:jc w:val="center"/>
        <w:rPr>
          <w:rFonts w:cs="Arial"/>
          <w:color w:val="232120"/>
          <w:sz w:val="36"/>
          <w:szCs w:val="36"/>
        </w:rPr>
      </w:pPr>
    </w:p>
    <w:p w14:paraId="750511E0" w14:textId="355A27D5" w:rsidR="009E5D23" w:rsidRPr="00331C61" w:rsidRDefault="00A16190" w:rsidP="009E5D23">
      <w:pPr>
        <w:spacing w:line="288" w:lineRule="auto"/>
        <w:jc w:val="center"/>
        <w:rPr>
          <w:rFonts w:cs="Arial"/>
          <w:b/>
          <w:color w:val="232120"/>
          <w:sz w:val="30"/>
          <w:szCs w:val="30"/>
        </w:rPr>
      </w:pPr>
      <w:r>
        <w:rPr>
          <w:rFonts w:cs="Arial"/>
          <w:b/>
          <w:color w:val="232120"/>
          <w:sz w:val="30"/>
          <w:szCs w:val="30"/>
        </w:rPr>
        <w:t>September</w:t>
      </w:r>
      <w:r w:rsidR="00ED34CD">
        <w:rPr>
          <w:rFonts w:cs="Arial"/>
          <w:b/>
          <w:color w:val="232120"/>
          <w:sz w:val="30"/>
          <w:szCs w:val="30"/>
        </w:rPr>
        <w:t xml:space="preserve"> 2021</w:t>
      </w:r>
    </w:p>
    <w:p w14:paraId="5E8BA2B4" w14:textId="77777777" w:rsidR="009E5D23" w:rsidRPr="00331C61" w:rsidRDefault="009E5D23" w:rsidP="009E5D23">
      <w:pPr>
        <w:spacing w:line="288" w:lineRule="auto"/>
        <w:jc w:val="center"/>
        <w:rPr>
          <w:rFonts w:cs="Arial"/>
          <w:b/>
          <w:color w:val="232120"/>
          <w:sz w:val="28"/>
          <w:szCs w:val="28"/>
        </w:rPr>
      </w:pPr>
    </w:p>
    <w:p w14:paraId="2DEDB59F" w14:textId="77777777" w:rsidR="009E5D23" w:rsidRPr="00331C61" w:rsidRDefault="009E5D23" w:rsidP="009E5D23">
      <w:pPr>
        <w:spacing w:line="288" w:lineRule="auto"/>
        <w:jc w:val="center"/>
        <w:rPr>
          <w:rFonts w:cs="Arial"/>
          <w:b/>
          <w:color w:val="232120"/>
          <w:sz w:val="28"/>
          <w:szCs w:val="28"/>
        </w:rPr>
      </w:pPr>
    </w:p>
    <w:p w14:paraId="135D73A0" w14:textId="77777777" w:rsidR="009E5D23" w:rsidRPr="00331C61" w:rsidRDefault="009E5D23" w:rsidP="009E5D23">
      <w:pPr>
        <w:pStyle w:val="Default"/>
        <w:spacing w:line="288" w:lineRule="auto"/>
        <w:jc w:val="center"/>
        <w:rPr>
          <w:rFonts w:cs="Arial"/>
          <w:b/>
          <w:color w:val="232120"/>
          <w:sz w:val="28"/>
          <w:szCs w:val="28"/>
          <w:lang w:val="en-GB"/>
        </w:rPr>
      </w:pPr>
    </w:p>
    <w:p w14:paraId="032972F5" w14:textId="77777777" w:rsidR="009E5D23" w:rsidRPr="00331C61" w:rsidRDefault="009E5D23" w:rsidP="009E5D23">
      <w:pPr>
        <w:pStyle w:val="Default"/>
        <w:spacing w:line="480" w:lineRule="auto"/>
        <w:jc w:val="center"/>
        <w:rPr>
          <w:rFonts w:cs="Arial"/>
          <w:b/>
          <w:color w:val="232120"/>
          <w:sz w:val="36"/>
          <w:szCs w:val="36"/>
        </w:rPr>
      </w:pPr>
    </w:p>
    <w:p w14:paraId="682BCC76" w14:textId="77777777" w:rsidR="008E504E" w:rsidRDefault="008E504E" w:rsidP="009E5D23">
      <w:pPr>
        <w:pStyle w:val="Default"/>
        <w:spacing w:line="480" w:lineRule="auto"/>
        <w:jc w:val="center"/>
        <w:rPr>
          <w:rFonts w:cs="Arial"/>
          <w:b/>
          <w:color w:val="232120"/>
          <w:sz w:val="36"/>
          <w:szCs w:val="36"/>
        </w:rPr>
      </w:pPr>
    </w:p>
    <w:p w14:paraId="734FB231" w14:textId="77777777" w:rsidR="008E504E" w:rsidRDefault="008E504E" w:rsidP="009E5D23">
      <w:pPr>
        <w:pStyle w:val="Default"/>
        <w:spacing w:line="480" w:lineRule="auto"/>
        <w:jc w:val="center"/>
        <w:rPr>
          <w:rFonts w:cs="Arial"/>
          <w:b/>
          <w:color w:val="232120"/>
          <w:sz w:val="36"/>
          <w:szCs w:val="36"/>
        </w:rPr>
      </w:pPr>
    </w:p>
    <w:p w14:paraId="53740526" w14:textId="77777777" w:rsidR="008E504E" w:rsidRDefault="004950B7" w:rsidP="004950B7">
      <w:pPr>
        <w:pStyle w:val="Default"/>
        <w:spacing w:line="480" w:lineRule="auto"/>
        <w:rPr>
          <w:rFonts w:cs="Arial"/>
          <w:b/>
          <w:color w:val="7030A0"/>
          <w:sz w:val="36"/>
          <w:szCs w:val="36"/>
          <w:lang w:val="en-GB"/>
        </w:rPr>
      </w:pPr>
      <w:r w:rsidRPr="004950B7">
        <w:rPr>
          <w:rFonts w:cs="Arial"/>
          <w:b/>
          <w:color w:val="7030A0"/>
          <w:sz w:val="36"/>
          <w:szCs w:val="36"/>
          <w:lang w:val="en-GB"/>
        </w:rPr>
        <w:lastRenderedPageBreak/>
        <w:t xml:space="preserve">Table of </w:t>
      </w:r>
      <w:r w:rsidRPr="00BF02D6">
        <w:rPr>
          <w:rFonts w:cs="Arial"/>
          <w:b/>
          <w:color w:val="7030A0"/>
          <w:sz w:val="36"/>
          <w:szCs w:val="36"/>
          <w:lang w:val="en-GB"/>
        </w:rPr>
        <w:t>Contents</w:t>
      </w:r>
    </w:p>
    <w:p w14:paraId="24F66CAE" w14:textId="77777777" w:rsidR="00661AD2" w:rsidRPr="000B3102" w:rsidRDefault="00661AD2" w:rsidP="004950B7">
      <w:pPr>
        <w:pStyle w:val="Default"/>
        <w:spacing w:line="480" w:lineRule="auto"/>
        <w:rPr>
          <w:rFonts w:cs="Arial"/>
          <w:b/>
          <w:color w:val="000000" w:themeColor="text1"/>
        </w:rPr>
      </w:pPr>
    </w:p>
    <w:p w14:paraId="5049863F" w14:textId="664B34D6" w:rsidR="00D05FF8" w:rsidRPr="00661AD2" w:rsidRDefault="009356D3" w:rsidP="00D05FF8">
      <w:pPr>
        <w:tabs>
          <w:tab w:val="left" w:pos="660"/>
          <w:tab w:val="right" w:leader="dot" w:pos="9848"/>
        </w:tabs>
        <w:spacing w:after="100" w:line="360" w:lineRule="auto"/>
        <w:rPr>
          <w:rFonts w:ascii="Cambria" w:eastAsia="MS Mincho" w:hAnsi="Cambria" w:cs="Times New Roman"/>
          <w:b/>
          <w:bCs/>
          <w:noProof/>
          <w:color w:val="000000" w:themeColor="text1"/>
          <w:lang w:eastAsia="en-GB"/>
        </w:rPr>
      </w:pPr>
      <w:hyperlink w:anchor="_Toc65145486" w:history="1">
        <w:r w:rsidR="00D05FF8">
          <w:rPr>
            <w:rFonts w:eastAsia="MS Mincho" w:cs="Times New Roman"/>
            <w:b/>
            <w:bCs/>
            <w:noProof/>
            <w:color w:val="000000" w:themeColor="text1"/>
            <w:lang w:val="en-US"/>
          </w:rPr>
          <w:t>Recommendations</w:t>
        </w:r>
        <w:r w:rsidR="00D05FF8" w:rsidRPr="00661AD2">
          <w:rPr>
            <w:rFonts w:eastAsia="MS Mincho" w:cs="Times New Roman"/>
            <w:b/>
            <w:bCs/>
            <w:noProof/>
            <w:webHidden/>
            <w:color w:val="000000" w:themeColor="text1"/>
            <w:lang w:val="en-US"/>
          </w:rPr>
          <w:tab/>
        </w:r>
        <w:r w:rsidR="00D05FF8">
          <w:rPr>
            <w:rFonts w:eastAsia="MS Mincho" w:cs="Times New Roman"/>
            <w:b/>
            <w:bCs/>
            <w:noProof/>
            <w:webHidden/>
            <w:color w:val="000000" w:themeColor="text1"/>
            <w:lang w:val="en-US"/>
          </w:rPr>
          <w:t>3</w:t>
        </w:r>
      </w:hyperlink>
    </w:p>
    <w:p w14:paraId="44A0A007" w14:textId="31D92C43" w:rsidR="00661AD2" w:rsidRPr="00661AD2" w:rsidRDefault="009356D3" w:rsidP="00391A71">
      <w:pPr>
        <w:tabs>
          <w:tab w:val="left" w:pos="660"/>
          <w:tab w:val="right" w:leader="dot" w:pos="9848"/>
        </w:tabs>
        <w:spacing w:after="100" w:line="360" w:lineRule="auto"/>
        <w:rPr>
          <w:rFonts w:ascii="Cambria" w:eastAsia="MS Mincho" w:hAnsi="Cambria" w:cs="Times New Roman"/>
          <w:b/>
          <w:bCs/>
          <w:noProof/>
          <w:color w:val="000000" w:themeColor="text1"/>
          <w:lang w:eastAsia="en-GB"/>
        </w:rPr>
      </w:pPr>
      <w:hyperlink w:anchor="_Toc65145486" w:history="1">
        <w:r w:rsidR="00661AD2" w:rsidRPr="00661AD2">
          <w:rPr>
            <w:rFonts w:eastAsia="MS Mincho" w:cs="Times New Roman"/>
            <w:b/>
            <w:bCs/>
            <w:noProof/>
            <w:color w:val="000000" w:themeColor="text1"/>
            <w:lang w:val="en-US"/>
          </w:rPr>
          <w:t>1.0</w:t>
        </w:r>
        <w:r w:rsidR="00661AD2" w:rsidRPr="00661AD2">
          <w:rPr>
            <w:rFonts w:ascii="Cambria" w:eastAsia="MS Mincho" w:hAnsi="Cambria" w:cs="Times New Roman"/>
            <w:b/>
            <w:bCs/>
            <w:noProof/>
            <w:color w:val="000000" w:themeColor="text1"/>
            <w:lang w:eastAsia="en-GB"/>
          </w:rPr>
          <w:tab/>
        </w:r>
        <w:r w:rsidR="00661AD2" w:rsidRPr="00661AD2">
          <w:rPr>
            <w:rFonts w:eastAsia="MS Mincho" w:cs="Times New Roman"/>
            <w:b/>
            <w:bCs/>
            <w:noProof/>
            <w:color w:val="000000" w:themeColor="text1"/>
            <w:lang w:val="en-US"/>
          </w:rPr>
          <w:t>Introduction</w:t>
        </w:r>
        <w:r w:rsidR="00661AD2" w:rsidRPr="00661AD2">
          <w:rPr>
            <w:rFonts w:eastAsia="MS Mincho" w:cs="Times New Roman"/>
            <w:b/>
            <w:bCs/>
            <w:noProof/>
            <w:webHidden/>
            <w:color w:val="000000" w:themeColor="text1"/>
            <w:lang w:val="en-US"/>
          </w:rPr>
          <w:tab/>
        </w:r>
        <w:r w:rsidR="007A27D8">
          <w:rPr>
            <w:rFonts w:eastAsia="MS Mincho" w:cs="Times New Roman"/>
            <w:b/>
            <w:bCs/>
            <w:noProof/>
            <w:webHidden/>
            <w:color w:val="000000" w:themeColor="text1"/>
            <w:lang w:val="en-US"/>
          </w:rPr>
          <w:t>4</w:t>
        </w:r>
      </w:hyperlink>
    </w:p>
    <w:p w14:paraId="56505D5E" w14:textId="5DE5C7E2" w:rsidR="00661AD2" w:rsidRPr="00DA26E1" w:rsidRDefault="009356D3" w:rsidP="00DA26E1">
      <w:pPr>
        <w:tabs>
          <w:tab w:val="left" w:pos="660"/>
          <w:tab w:val="right" w:leader="dot" w:pos="9848"/>
        </w:tabs>
        <w:spacing w:after="100" w:line="360" w:lineRule="auto"/>
        <w:rPr>
          <w:rFonts w:eastAsia="MS Mincho" w:cs="Times New Roman"/>
          <w:b/>
          <w:bCs/>
          <w:noProof/>
          <w:color w:val="000000" w:themeColor="text1"/>
          <w:lang w:val="en-US"/>
        </w:rPr>
      </w:pPr>
      <w:hyperlink w:anchor="_Toc65145487" w:history="1">
        <w:r w:rsidR="00661AD2" w:rsidRPr="00661AD2">
          <w:rPr>
            <w:rFonts w:eastAsia="MS Mincho" w:cs="Times New Roman"/>
            <w:b/>
            <w:bCs/>
            <w:noProof/>
            <w:color w:val="000000" w:themeColor="text1"/>
            <w:lang w:val="en-US"/>
          </w:rPr>
          <w:t>2.0</w:t>
        </w:r>
        <w:r w:rsidR="00661AD2" w:rsidRPr="00661AD2">
          <w:rPr>
            <w:rFonts w:ascii="Cambria" w:eastAsia="MS Mincho" w:hAnsi="Cambria" w:cs="Times New Roman"/>
            <w:b/>
            <w:bCs/>
            <w:noProof/>
            <w:color w:val="000000" w:themeColor="text1"/>
            <w:lang w:eastAsia="en-GB"/>
          </w:rPr>
          <w:tab/>
        </w:r>
        <w:r w:rsidR="00DA26E1">
          <w:rPr>
            <w:rFonts w:eastAsia="MS Mincho" w:cs="Times New Roman"/>
            <w:b/>
            <w:bCs/>
            <w:noProof/>
            <w:color w:val="000000" w:themeColor="text1"/>
            <w:lang w:val="en-US"/>
          </w:rPr>
          <w:t>International Human Rights Standards</w:t>
        </w:r>
        <w:r w:rsidR="00661AD2" w:rsidRPr="00661AD2">
          <w:rPr>
            <w:rFonts w:eastAsia="MS Mincho" w:cs="Times New Roman"/>
            <w:b/>
            <w:bCs/>
            <w:noProof/>
            <w:webHidden/>
            <w:color w:val="000000" w:themeColor="text1"/>
            <w:lang w:val="en-US"/>
          </w:rPr>
          <w:tab/>
        </w:r>
        <w:r w:rsidR="00F91DE5">
          <w:rPr>
            <w:rFonts w:eastAsia="MS Mincho" w:cs="Times New Roman"/>
            <w:b/>
            <w:bCs/>
            <w:noProof/>
            <w:webHidden/>
            <w:color w:val="000000" w:themeColor="text1"/>
            <w:lang w:val="en-US"/>
          </w:rPr>
          <w:t>4</w:t>
        </w:r>
      </w:hyperlink>
    </w:p>
    <w:p w14:paraId="641AD3BC" w14:textId="1D674572" w:rsidR="00112A98" w:rsidRPr="00661AD2" w:rsidRDefault="009356D3" w:rsidP="00DF196A">
      <w:pPr>
        <w:tabs>
          <w:tab w:val="right" w:leader="dot" w:pos="9848"/>
        </w:tabs>
        <w:spacing w:after="100" w:line="360" w:lineRule="auto"/>
        <w:ind w:left="720"/>
        <w:rPr>
          <w:rFonts w:ascii="Cambria" w:eastAsia="MS Mincho" w:hAnsi="Cambria" w:cs="Times New Roman"/>
          <w:noProof/>
          <w:color w:val="000000" w:themeColor="text1"/>
          <w:lang w:eastAsia="en-GB"/>
        </w:rPr>
      </w:pPr>
      <w:hyperlink w:anchor="_Toc65145488" w:history="1">
        <w:r w:rsidR="00DF196A">
          <w:rPr>
            <w:rFonts w:eastAsia="MS Mincho" w:cs="Times New Roman"/>
            <w:noProof/>
            <w:color w:val="000000" w:themeColor="text1"/>
            <w:lang w:val="en-US"/>
          </w:rPr>
          <w:t>European Convention on Human Rights</w:t>
        </w:r>
        <w:r w:rsidR="00112A98" w:rsidRPr="00661AD2">
          <w:rPr>
            <w:rFonts w:eastAsia="MS Mincho" w:cs="Times New Roman"/>
            <w:noProof/>
            <w:webHidden/>
            <w:color w:val="000000" w:themeColor="text1"/>
            <w:lang w:val="en-US"/>
          </w:rPr>
          <w:tab/>
        </w:r>
        <w:r w:rsidR="007A27D8">
          <w:rPr>
            <w:rFonts w:eastAsia="MS Mincho" w:cs="Times New Roman"/>
            <w:noProof/>
            <w:webHidden/>
            <w:color w:val="000000" w:themeColor="text1"/>
            <w:lang w:val="en-US"/>
          </w:rPr>
          <w:t>6</w:t>
        </w:r>
      </w:hyperlink>
    </w:p>
    <w:p w14:paraId="6C3C8F2C" w14:textId="44847CBC" w:rsidR="008E504E" w:rsidRPr="00B52D6B" w:rsidRDefault="009356D3" w:rsidP="00B52D6B">
      <w:pPr>
        <w:tabs>
          <w:tab w:val="left" w:pos="660"/>
          <w:tab w:val="right" w:leader="dot" w:pos="9848"/>
        </w:tabs>
        <w:spacing w:after="100" w:line="360" w:lineRule="auto"/>
        <w:rPr>
          <w:rFonts w:ascii="Cambria" w:eastAsia="MS Mincho" w:hAnsi="Cambria" w:cs="Times New Roman"/>
          <w:b/>
          <w:bCs/>
          <w:noProof/>
          <w:color w:val="000000" w:themeColor="text1"/>
          <w:lang w:eastAsia="en-GB"/>
        </w:rPr>
      </w:pPr>
      <w:hyperlink w:anchor="_Toc65145493" w:history="1">
        <w:r w:rsidR="00661AD2" w:rsidRPr="00661AD2">
          <w:rPr>
            <w:rFonts w:eastAsia="MS Mincho" w:cs="Times New Roman"/>
            <w:b/>
            <w:bCs/>
            <w:noProof/>
            <w:color w:val="000000" w:themeColor="text1"/>
            <w:lang w:val="en-US"/>
          </w:rPr>
          <w:t>3.0</w:t>
        </w:r>
        <w:r w:rsidR="00661AD2" w:rsidRPr="00661AD2">
          <w:rPr>
            <w:rFonts w:ascii="Cambria" w:eastAsia="MS Mincho" w:hAnsi="Cambria" w:cs="Times New Roman"/>
            <w:b/>
            <w:bCs/>
            <w:noProof/>
            <w:color w:val="000000" w:themeColor="text1"/>
            <w:lang w:eastAsia="en-GB"/>
          </w:rPr>
          <w:tab/>
        </w:r>
        <w:r w:rsidR="00CB1C98" w:rsidRPr="000A4AB1">
          <w:rPr>
            <w:rFonts w:eastAsia="MS Mincho" w:cs="Times New Roman"/>
            <w:b/>
            <w:bCs/>
            <w:noProof/>
            <w:color w:val="000000" w:themeColor="text1"/>
            <w:lang w:val="en-US"/>
          </w:rPr>
          <w:t>Substantive Response to</w:t>
        </w:r>
        <w:r w:rsidR="00BB4363">
          <w:rPr>
            <w:rFonts w:eastAsia="MS Mincho" w:cs="Times New Roman"/>
            <w:b/>
            <w:bCs/>
            <w:noProof/>
            <w:color w:val="000000" w:themeColor="text1"/>
            <w:lang w:val="en-US"/>
          </w:rPr>
          <w:t xml:space="preserve"> DoJ proposals</w:t>
        </w:r>
        <w:r w:rsidR="00661AD2" w:rsidRPr="00661AD2">
          <w:rPr>
            <w:rFonts w:eastAsia="MS Mincho" w:cs="Times New Roman"/>
            <w:b/>
            <w:bCs/>
            <w:noProof/>
            <w:webHidden/>
            <w:color w:val="000000" w:themeColor="text1"/>
            <w:lang w:val="en-US"/>
          </w:rPr>
          <w:tab/>
        </w:r>
        <w:r w:rsidR="00F91DE5">
          <w:rPr>
            <w:rFonts w:eastAsia="MS Mincho" w:cs="Times New Roman"/>
            <w:b/>
            <w:bCs/>
            <w:noProof/>
            <w:webHidden/>
            <w:color w:val="000000" w:themeColor="text1"/>
            <w:lang w:val="en-US"/>
          </w:rPr>
          <w:t>7</w:t>
        </w:r>
      </w:hyperlink>
    </w:p>
    <w:p w14:paraId="6A4D863D" w14:textId="77777777" w:rsidR="008E504E" w:rsidRDefault="008E504E" w:rsidP="004950B7">
      <w:pPr>
        <w:pStyle w:val="Default"/>
        <w:spacing w:line="480" w:lineRule="auto"/>
        <w:rPr>
          <w:rFonts w:cs="Arial"/>
          <w:b/>
          <w:color w:val="232120"/>
        </w:rPr>
      </w:pPr>
    </w:p>
    <w:p w14:paraId="3B23CAB8" w14:textId="77777777" w:rsidR="000B3102" w:rsidRDefault="000B3102" w:rsidP="004950B7">
      <w:pPr>
        <w:pStyle w:val="Default"/>
        <w:spacing w:line="480" w:lineRule="auto"/>
        <w:rPr>
          <w:rFonts w:cs="Arial"/>
          <w:b/>
          <w:color w:val="232120"/>
        </w:rPr>
      </w:pPr>
    </w:p>
    <w:p w14:paraId="6724D8A5" w14:textId="77777777" w:rsidR="000B3102" w:rsidRDefault="000B3102" w:rsidP="004950B7">
      <w:pPr>
        <w:pStyle w:val="Default"/>
        <w:spacing w:line="480" w:lineRule="auto"/>
        <w:rPr>
          <w:rFonts w:cs="Arial"/>
          <w:b/>
          <w:color w:val="232120"/>
        </w:rPr>
      </w:pPr>
    </w:p>
    <w:p w14:paraId="0B98300D" w14:textId="77777777" w:rsidR="000B3102" w:rsidRDefault="000B3102" w:rsidP="004950B7">
      <w:pPr>
        <w:pStyle w:val="Default"/>
        <w:spacing w:line="480" w:lineRule="auto"/>
        <w:rPr>
          <w:rFonts w:cs="Arial"/>
          <w:b/>
          <w:color w:val="232120"/>
        </w:rPr>
      </w:pPr>
    </w:p>
    <w:p w14:paraId="68780ABB" w14:textId="77777777" w:rsidR="000B3102" w:rsidRDefault="000B3102" w:rsidP="004950B7">
      <w:pPr>
        <w:pStyle w:val="Default"/>
        <w:spacing w:line="480" w:lineRule="auto"/>
        <w:rPr>
          <w:rFonts w:cs="Arial"/>
          <w:b/>
          <w:color w:val="232120"/>
        </w:rPr>
      </w:pPr>
    </w:p>
    <w:p w14:paraId="6040A7FC" w14:textId="77777777" w:rsidR="000B3102" w:rsidRDefault="000B3102" w:rsidP="004950B7">
      <w:pPr>
        <w:pStyle w:val="Default"/>
        <w:spacing w:line="480" w:lineRule="auto"/>
        <w:rPr>
          <w:rFonts w:cs="Arial"/>
          <w:b/>
          <w:color w:val="232120"/>
        </w:rPr>
      </w:pPr>
    </w:p>
    <w:p w14:paraId="2B7958A6" w14:textId="77777777" w:rsidR="000B3102" w:rsidRDefault="000B3102" w:rsidP="004950B7">
      <w:pPr>
        <w:pStyle w:val="Default"/>
        <w:spacing w:line="480" w:lineRule="auto"/>
        <w:rPr>
          <w:rFonts w:cs="Arial"/>
          <w:b/>
          <w:color w:val="232120"/>
        </w:rPr>
      </w:pPr>
    </w:p>
    <w:p w14:paraId="694A9392" w14:textId="45CF9D7A" w:rsidR="000B3102" w:rsidRDefault="000B3102" w:rsidP="004950B7">
      <w:pPr>
        <w:pStyle w:val="Default"/>
        <w:spacing w:line="480" w:lineRule="auto"/>
        <w:rPr>
          <w:rFonts w:cs="Arial"/>
          <w:b/>
          <w:color w:val="232120"/>
        </w:rPr>
      </w:pPr>
    </w:p>
    <w:p w14:paraId="48D9362C" w14:textId="5000228E" w:rsidR="00DA26E1" w:rsidRDefault="00DA26E1" w:rsidP="004950B7">
      <w:pPr>
        <w:pStyle w:val="Default"/>
        <w:spacing w:line="480" w:lineRule="auto"/>
        <w:rPr>
          <w:rFonts w:cs="Arial"/>
          <w:b/>
          <w:color w:val="232120"/>
        </w:rPr>
      </w:pPr>
    </w:p>
    <w:p w14:paraId="303A82FE" w14:textId="77777777" w:rsidR="00DA26E1" w:rsidRDefault="00DA26E1" w:rsidP="004950B7">
      <w:pPr>
        <w:pStyle w:val="Default"/>
        <w:spacing w:line="480" w:lineRule="auto"/>
        <w:rPr>
          <w:rFonts w:cs="Arial"/>
          <w:b/>
          <w:color w:val="232120"/>
        </w:rPr>
      </w:pPr>
    </w:p>
    <w:p w14:paraId="6D0C3BE0" w14:textId="02FA7A8A" w:rsidR="00870B7A" w:rsidRDefault="00870B7A" w:rsidP="004950B7">
      <w:pPr>
        <w:pStyle w:val="Default"/>
        <w:spacing w:line="480" w:lineRule="auto"/>
        <w:rPr>
          <w:rFonts w:cs="Arial"/>
          <w:b/>
          <w:color w:val="232120"/>
        </w:rPr>
      </w:pPr>
    </w:p>
    <w:p w14:paraId="5E3BAEBD" w14:textId="32AB61C1" w:rsidR="002068DA" w:rsidRDefault="002068DA" w:rsidP="004950B7">
      <w:pPr>
        <w:pStyle w:val="Default"/>
        <w:spacing w:line="480" w:lineRule="auto"/>
        <w:rPr>
          <w:rFonts w:cs="Arial"/>
          <w:b/>
          <w:color w:val="232120"/>
        </w:rPr>
      </w:pPr>
    </w:p>
    <w:p w14:paraId="73D1F277" w14:textId="2DDAC492" w:rsidR="002068DA" w:rsidRDefault="002068DA" w:rsidP="004950B7">
      <w:pPr>
        <w:pStyle w:val="Default"/>
        <w:spacing w:line="480" w:lineRule="auto"/>
        <w:rPr>
          <w:rFonts w:cs="Arial"/>
          <w:b/>
          <w:color w:val="232120"/>
        </w:rPr>
      </w:pPr>
    </w:p>
    <w:p w14:paraId="3CB3E8A9" w14:textId="77777777" w:rsidR="005B4452" w:rsidRDefault="005B4452" w:rsidP="004950B7">
      <w:pPr>
        <w:pStyle w:val="Default"/>
        <w:spacing w:line="480" w:lineRule="auto"/>
        <w:rPr>
          <w:rFonts w:cs="Arial"/>
          <w:b/>
          <w:color w:val="232120"/>
        </w:rPr>
      </w:pPr>
    </w:p>
    <w:p w14:paraId="0961F98A" w14:textId="7FA13877" w:rsidR="00870B7A" w:rsidRDefault="00870B7A" w:rsidP="004950B7">
      <w:pPr>
        <w:pStyle w:val="Default"/>
        <w:spacing w:line="480" w:lineRule="auto"/>
        <w:rPr>
          <w:rFonts w:cs="Arial"/>
          <w:b/>
          <w:color w:val="232120"/>
        </w:rPr>
      </w:pPr>
    </w:p>
    <w:p w14:paraId="67003A9E" w14:textId="0ED5B650" w:rsidR="00B52D6B" w:rsidRDefault="00B52D6B" w:rsidP="004950B7">
      <w:pPr>
        <w:pStyle w:val="Default"/>
        <w:spacing w:line="480" w:lineRule="auto"/>
        <w:rPr>
          <w:rFonts w:cs="Arial"/>
          <w:b/>
          <w:color w:val="232120"/>
        </w:rPr>
      </w:pPr>
    </w:p>
    <w:p w14:paraId="29017077" w14:textId="77777777" w:rsidR="00B52D6B" w:rsidRDefault="00B52D6B" w:rsidP="004950B7">
      <w:pPr>
        <w:pStyle w:val="Default"/>
        <w:spacing w:line="480" w:lineRule="auto"/>
        <w:rPr>
          <w:rFonts w:cs="Arial"/>
          <w:b/>
          <w:color w:val="232120"/>
        </w:rPr>
      </w:pPr>
    </w:p>
    <w:p w14:paraId="0EAECBAC" w14:textId="77777777" w:rsidR="000B3102" w:rsidRPr="000B335E" w:rsidRDefault="0062440E" w:rsidP="00BF02D6">
      <w:pPr>
        <w:rPr>
          <w:b/>
          <w:bCs/>
          <w:color w:val="7030A0"/>
          <w:sz w:val="32"/>
          <w:szCs w:val="32"/>
        </w:rPr>
      </w:pPr>
      <w:r>
        <w:rPr>
          <w:b/>
          <w:bCs/>
          <w:color w:val="7030A0"/>
          <w:sz w:val="32"/>
          <w:szCs w:val="32"/>
        </w:rPr>
        <w:lastRenderedPageBreak/>
        <w:t xml:space="preserve">Summary of </w:t>
      </w:r>
      <w:r w:rsidR="000B3102" w:rsidRPr="000B335E">
        <w:rPr>
          <w:b/>
          <w:bCs/>
          <w:color w:val="7030A0"/>
          <w:sz w:val="32"/>
          <w:szCs w:val="32"/>
        </w:rPr>
        <w:t xml:space="preserve">Recommendations </w:t>
      </w:r>
    </w:p>
    <w:p w14:paraId="62C84339" w14:textId="77777777" w:rsidR="000B3102" w:rsidRPr="005841C4" w:rsidRDefault="000B3102" w:rsidP="000B3102">
      <w:pPr>
        <w:pStyle w:val="ListParagraph"/>
      </w:pPr>
    </w:p>
    <w:p w14:paraId="37C7D552" w14:textId="62703A72" w:rsidR="000B3102" w:rsidRDefault="007D063C" w:rsidP="000B3102">
      <w:r>
        <w:t xml:space="preserve">The NIHRC recommends: </w:t>
      </w:r>
    </w:p>
    <w:p w14:paraId="067F1902" w14:textId="77777777" w:rsidR="007D063C" w:rsidRDefault="007D063C" w:rsidP="000B3102"/>
    <w:p w14:paraId="609495D8" w14:textId="0778910B" w:rsidR="001C761A" w:rsidRDefault="001C761A" w:rsidP="001C761A">
      <w:pPr>
        <w:pStyle w:val="ListParagraph"/>
        <w:numPr>
          <w:ilvl w:val="1"/>
          <w:numId w:val="32"/>
        </w:numPr>
        <w:jc w:val="both"/>
        <w:rPr>
          <w:b/>
          <w:bCs/>
          <w:color w:val="000000"/>
        </w:rPr>
      </w:pPr>
      <w:r w:rsidRPr="003A684C">
        <w:rPr>
          <w:b/>
          <w:bCs/>
          <w:color w:val="000000"/>
        </w:rPr>
        <w:t>The NIHRC recommends that the Department of Justice proceed</w:t>
      </w:r>
      <w:r>
        <w:rPr>
          <w:b/>
          <w:bCs/>
          <w:color w:val="000000"/>
        </w:rPr>
        <w:t>s</w:t>
      </w:r>
      <w:r w:rsidRPr="003A684C">
        <w:rPr>
          <w:b/>
          <w:bCs/>
          <w:color w:val="000000"/>
        </w:rPr>
        <w:t xml:space="preserve"> with the introduction of </w:t>
      </w:r>
      <w:r>
        <w:rPr>
          <w:b/>
          <w:bCs/>
          <w:color w:val="000000"/>
        </w:rPr>
        <w:t>p</w:t>
      </w:r>
      <w:r w:rsidRPr="003A684C">
        <w:rPr>
          <w:b/>
          <w:bCs/>
          <w:color w:val="000000"/>
        </w:rPr>
        <w:t>ro</w:t>
      </w:r>
      <w:r>
        <w:rPr>
          <w:b/>
          <w:bCs/>
          <w:color w:val="000000"/>
        </w:rPr>
        <w:t xml:space="preserve"> b</w:t>
      </w:r>
      <w:r w:rsidRPr="003A684C">
        <w:rPr>
          <w:b/>
          <w:bCs/>
          <w:color w:val="000000"/>
        </w:rPr>
        <w:t xml:space="preserve">ono </w:t>
      </w:r>
      <w:r>
        <w:rPr>
          <w:b/>
          <w:bCs/>
          <w:color w:val="000000"/>
        </w:rPr>
        <w:t>c</w:t>
      </w:r>
      <w:r w:rsidRPr="003A684C">
        <w:rPr>
          <w:b/>
          <w:bCs/>
          <w:color w:val="000000"/>
        </w:rPr>
        <w:t xml:space="preserve">osts </w:t>
      </w:r>
      <w:r>
        <w:rPr>
          <w:b/>
          <w:bCs/>
          <w:color w:val="000000"/>
        </w:rPr>
        <w:t>o</w:t>
      </w:r>
      <w:r w:rsidRPr="003A684C">
        <w:rPr>
          <w:b/>
          <w:bCs/>
          <w:color w:val="000000"/>
        </w:rPr>
        <w:t>rders as a mechanism for</w:t>
      </w:r>
      <w:r>
        <w:rPr>
          <w:b/>
          <w:bCs/>
          <w:color w:val="000000"/>
        </w:rPr>
        <w:t xml:space="preserve"> helping to</w:t>
      </w:r>
      <w:r w:rsidRPr="003A684C">
        <w:rPr>
          <w:b/>
          <w:bCs/>
          <w:color w:val="000000"/>
        </w:rPr>
        <w:t xml:space="preserve"> improv</w:t>
      </w:r>
      <w:r>
        <w:rPr>
          <w:b/>
          <w:bCs/>
          <w:color w:val="000000"/>
        </w:rPr>
        <w:t>e</w:t>
      </w:r>
      <w:r w:rsidRPr="003A684C">
        <w:rPr>
          <w:b/>
          <w:bCs/>
          <w:color w:val="000000"/>
        </w:rPr>
        <w:t xml:space="preserve"> access to justice</w:t>
      </w:r>
      <w:r>
        <w:rPr>
          <w:b/>
          <w:bCs/>
          <w:color w:val="000000"/>
        </w:rPr>
        <w:t xml:space="preserve"> and maintain equality of arms</w:t>
      </w:r>
      <w:r w:rsidRPr="003A684C">
        <w:rPr>
          <w:b/>
          <w:bCs/>
          <w:color w:val="000000"/>
        </w:rPr>
        <w:t xml:space="preserve"> in the NI legal system.</w:t>
      </w:r>
      <w:r>
        <w:rPr>
          <w:b/>
          <w:bCs/>
          <w:color w:val="000000"/>
        </w:rPr>
        <w:t xml:space="preserve"> It should do so in consultation with relevant stakeholders such as the Law Society NI, the Bar </w:t>
      </w:r>
      <w:proofErr w:type="gramStart"/>
      <w:r>
        <w:rPr>
          <w:b/>
          <w:bCs/>
          <w:color w:val="000000"/>
        </w:rPr>
        <w:t>Council</w:t>
      </w:r>
      <w:proofErr w:type="gramEnd"/>
      <w:r>
        <w:rPr>
          <w:b/>
          <w:bCs/>
          <w:color w:val="000000"/>
        </w:rPr>
        <w:t xml:space="preserve"> and other relevant organisations.</w:t>
      </w:r>
    </w:p>
    <w:p w14:paraId="37610F64" w14:textId="77777777" w:rsidR="001C761A" w:rsidRDefault="001C761A" w:rsidP="001C761A">
      <w:pPr>
        <w:pStyle w:val="ListParagraph"/>
        <w:ind w:left="862"/>
        <w:jc w:val="both"/>
        <w:rPr>
          <w:b/>
          <w:bCs/>
          <w:color w:val="000000"/>
        </w:rPr>
      </w:pPr>
    </w:p>
    <w:p w14:paraId="227375AB" w14:textId="4F6DA605" w:rsidR="006A7652" w:rsidRDefault="001C761A" w:rsidP="001C761A">
      <w:pPr>
        <w:pStyle w:val="ListParagraph"/>
        <w:numPr>
          <w:ilvl w:val="1"/>
          <w:numId w:val="32"/>
        </w:numPr>
        <w:rPr>
          <w:b/>
          <w:bCs/>
          <w:color w:val="000000"/>
        </w:rPr>
      </w:pPr>
      <w:r w:rsidRPr="001C761A">
        <w:rPr>
          <w:b/>
          <w:bCs/>
          <w:color w:val="000000"/>
        </w:rPr>
        <w:t xml:space="preserve">The NIHRC recommends that funds raised from pro bono costs orders should be channelled to an existing voluntary organisation or public body that has expertise in </w:t>
      </w:r>
      <w:proofErr w:type="gramStart"/>
      <w:r w:rsidRPr="001C761A">
        <w:rPr>
          <w:b/>
          <w:bCs/>
          <w:color w:val="000000"/>
        </w:rPr>
        <w:t>providing assistance</w:t>
      </w:r>
      <w:proofErr w:type="gramEnd"/>
      <w:r w:rsidRPr="001C761A">
        <w:rPr>
          <w:b/>
          <w:bCs/>
          <w:color w:val="000000"/>
        </w:rPr>
        <w:t xml:space="preserve"> with pro bono legal representation.</w:t>
      </w:r>
    </w:p>
    <w:p w14:paraId="1EA5B2D7" w14:textId="77777777" w:rsidR="001C761A" w:rsidRPr="001C761A" w:rsidRDefault="001C761A" w:rsidP="001C761A">
      <w:pPr>
        <w:pStyle w:val="ListParagraph"/>
        <w:rPr>
          <w:b/>
          <w:bCs/>
          <w:color w:val="000000"/>
        </w:rPr>
      </w:pPr>
    </w:p>
    <w:p w14:paraId="3645A09F" w14:textId="7F6DD283" w:rsidR="00C6559D" w:rsidRPr="007E1BCA" w:rsidRDefault="007E1BCA" w:rsidP="007E1BCA">
      <w:pPr>
        <w:pStyle w:val="ListParagraph"/>
        <w:numPr>
          <w:ilvl w:val="1"/>
          <w:numId w:val="32"/>
        </w:numPr>
        <w:jc w:val="both"/>
        <w:rPr>
          <w:b/>
          <w:bCs/>
          <w:color w:val="000000"/>
        </w:rPr>
      </w:pPr>
      <w:r w:rsidRPr="00864CB3">
        <w:rPr>
          <w:b/>
          <w:bCs/>
          <w:color w:val="000000"/>
        </w:rPr>
        <w:t xml:space="preserve">NIHRC recommends that </w:t>
      </w:r>
      <w:r>
        <w:rPr>
          <w:b/>
          <w:bCs/>
          <w:color w:val="000000"/>
        </w:rPr>
        <w:t xml:space="preserve">the development of </w:t>
      </w:r>
      <w:r w:rsidRPr="00864CB3">
        <w:rPr>
          <w:b/>
          <w:bCs/>
          <w:color w:val="000000"/>
        </w:rPr>
        <w:t>pro bono legal assistance from the private and voluntary sector</w:t>
      </w:r>
      <w:r>
        <w:rPr>
          <w:b/>
          <w:bCs/>
          <w:color w:val="000000"/>
        </w:rPr>
        <w:t>s</w:t>
      </w:r>
      <w:r w:rsidRPr="00864CB3">
        <w:rPr>
          <w:b/>
          <w:bCs/>
          <w:color w:val="000000"/>
        </w:rPr>
        <w:t xml:space="preserve"> should complement rather than replace or supplant </w:t>
      </w:r>
      <w:r>
        <w:rPr>
          <w:b/>
          <w:bCs/>
          <w:color w:val="000000"/>
        </w:rPr>
        <w:t>a comprehensive and effective</w:t>
      </w:r>
      <w:r w:rsidRPr="00864CB3">
        <w:rPr>
          <w:b/>
          <w:bCs/>
          <w:color w:val="000000"/>
        </w:rPr>
        <w:t xml:space="preserve"> legal aid system.</w:t>
      </w:r>
    </w:p>
    <w:p w14:paraId="4BF27576" w14:textId="2F9112A0" w:rsidR="00C6559D" w:rsidRDefault="00C6559D" w:rsidP="004950B7">
      <w:pPr>
        <w:pStyle w:val="Default"/>
        <w:spacing w:line="480" w:lineRule="auto"/>
        <w:rPr>
          <w:rFonts w:cs="Arial"/>
          <w:b/>
          <w:color w:val="232120"/>
        </w:rPr>
      </w:pPr>
    </w:p>
    <w:p w14:paraId="6B844709" w14:textId="4CA605FA" w:rsidR="00C6559D" w:rsidRDefault="00C6559D" w:rsidP="004950B7">
      <w:pPr>
        <w:pStyle w:val="Default"/>
        <w:spacing w:line="480" w:lineRule="auto"/>
        <w:rPr>
          <w:rFonts w:cs="Arial"/>
          <w:b/>
          <w:color w:val="232120"/>
        </w:rPr>
      </w:pPr>
    </w:p>
    <w:p w14:paraId="0BB251E4" w14:textId="5CF16A25" w:rsidR="00870B7A" w:rsidRDefault="00870B7A" w:rsidP="00870B7A">
      <w:pPr>
        <w:tabs>
          <w:tab w:val="left" w:pos="915"/>
        </w:tabs>
      </w:pPr>
    </w:p>
    <w:p w14:paraId="3481E39C" w14:textId="7605AD29" w:rsidR="005B4452" w:rsidRDefault="005B4452" w:rsidP="00870B7A">
      <w:pPr>
        <w:tabs>
          <w:tab w:val="left" w:pos="915"/>
        </w:tabs>
      </w:pPr>
    </w:p>
    <w:p w14:paraId="52D107C3" w14:textId="7EFF52F9" w:rsidR="005B4452" w:rsidRDefault="005B4452" w:rsidP="00870B7A">
      <w:pPr>
        <w:tabs>
          <w:tab w:val="left" w:pos="915"/>
        </w:tabs>
      </w:pPr>
    </w:p>
    <w:p w14:paraId="241F2347" w14:textId="59992858" w:rsidR="00294225" w:rsidRDefault="00294225" w:rsidP="00870B7A">
      <w:pPr>
        <w:tabs>
          <w:tab w:val="left" w:pos="915"/>
        </w:tabs>
      </w:pPr>
    </w:p>
    <w:p w14:paraId="63AD91BB" w14:textId="65F0CF2B" w:rsidR="00294225" w:rsidRDefault="00294225" w:rsidP="00870B7A">
      <w:pPr>
        <w:tabs>
          <w:tab w:val="left" w:pos="915"/>
        </w:tabs>
      </w:pPr>
    </w:p>
    <w:p w14:paraId="62489443" w14:textId="156CC0E8" w:rsidR="006B239B" w:rsidRDefault="006B239B" w:rsidP="00870B7A">
      <w:pPr>
        <w:tabs>
          <w:tab w:val="left" w:pos="915"/>
        </w:tabs>
      </w:pPr>
    </w:p>
    <w:p w14:paraId="083153B5" w14:textId="67650EE8" w:rsidR="006B239B" w:rsidRDefault="006B239B" w:rsidP="00870B7A">
      <w:pPr>
        <w:tabs>
          <w:tab w:val="left" w:pos="915"/>
        </w:tabs>
      </w:pPr>
    </w:p>
    <w:p w14:paraId="2AF9D76A" w14:textId="4DC9BE05" w:rsidR="006B239B" w:rsidRDefault="006B239B" w:rsidP="00870B7A">
      <w:pPr>
        <w:tabs>
          <w:tab w:val="left" w:pos="915"/>
        </w:tabs>
      </w:pPr>
    </w:p>
    <w:p w14:paraId="4F8BAEB7" w14:textId="10936AE6" w:rsidR="006B239B" w:rsidRDefault="006B239B" w:rsidP="00870B7A">
      <w:pPr>
        <w:tabs>
          <w:tab w:val="left" w:pos="915"/>
        </w:tabs>
      </w:pPr>
    </w:p>
    <w:p w14:paraId="0278A1F2" w14:textId="68E970B7" w:rsidR="00212D3D" w:rsidRDefault="00212D3D" w:rsidP="00870B7A">
      <w:pPr>
        <w:tabs>
          <w:tab w:val="left" w:pos="915"/>
        </w:tabs>
      </w:pPr>
    </w:p>
    <w:p w14:paraId="5E961856" w14:textId="3F3095C0" w:rsidR="00212D3D" w:rsidRDefault="00212D3D" w:rsidP="00870B7A">
      <w:pPr>
        <w:tabs>
          <w:tab w:val="left" w:pos="915"/>
        </w:tabs>
      </w:pPr>
    </w:p>
    <w:p w14:paraId="45EDBFEA" w14:textId="4CE853B1" w:rsidR="00212D3D" w:rsidRDefault="00212D3D" w:rsidP="00870B7A">
      <w:pPr>
        <w:tabs>
          <w:tab w:val="left" w:pos="915"/>
        </w:tabs>
      </w:pPr>
    </w:p>
    <w:p w14:paraId="07DF856C" w14:textId="250E24BA" w:rsidR="00212D3D" w:rsidRDefault="00212D3D" w:rsidP="00870B7A">
      <w:pPr>
        <w:tabs>
          <w:tab w:val="left" w:pos="915"/>
        </w:tabs>
      </w:pPr>
    </w:p>
    <w:p w14:paraId="2AA3B8A8" w14:textId="65EFCAA3" w:rsidR="00212D3D" w:rsidRDefault="00212D3D" w:rsidP="00870B7A">
      <w:pPr>
        <w:tabs>
          <w:tab w:val="left" w:pos="915"/>
        </w:tabs>
      </w:pPr>
    </w:p>
    <w:p w14:paraId="3B3DC59A" w14:textId="4BD27E7C" w:rsidR="00212D3D" w:rsidRDefault="00212D3D" w:rsidP="00870B7A">
      <w:pPr>
        <w:tabs>
          <w:tab w:val="left" w:pos="915"/>
        </w:tabs>
      </w:pPr>
    </w:p>
    <w:p w14:paraId="654B3735" w14:textId="1191D621" w:rsidR="00212D3D" w:rsidRDefault="00212D3D" w:rsidP="00870B7A">
      <w:pPr>
        <w:tabs>
          <w:tab w:val="left" w:pos="915"/>
        </w:tabs>
      </w:pPr>
    </w:p>
    <w:p w14:paraId="22D07CB8" w14:textId="334D5252" w:rsidR="00212D3D" w:rsidRDefault="00212D3D" w:rsidP="00870B7A">
      <w:pPr>
        <w:tabs>
          <w:tab w:val="left" w:pos="915"/>
        </w:tabs>
      </w:pPr>
    </w:p>
    <w:p w14:paraId="385BE576" w14:textId="387EB942" w:rsidR="00212D3D" w:rsidRDefault="00212D3D" w:rsidP="00870B7A">
      <w:pPr>
        <w:tabs>
          <w:tab w:val="left" w:pos="915"/>
        </w:tabs>
      </w:pPr>
    </w:p>
    <w:p w14:paraId="7095E733" w14:textId="41D381A5" w:rsidR="00212D3D" w:rsidRDefault="00212D3D" w:rsidP="00870B7A">
      <w:pPr>
        <w:tabs>
          <w:tab w:val="left" w:pos="915"/>
        </w:tabs>
      </w:pPr>
    </w:p>
    <w:p w14:paraId="6A2162FE" w14:textId="1DDF9220" w:rsidR="00212D3D" w:rsidRDefault="00212D3D" w:rsidP="00870B7A">
      <w:pPr>
        <w:tabs>
          <w:tab w:val="left" w:pos="915"/>
        </w:tabs>
      </w:pPr>
    </w:p>
    <w:p w14:paraId="24F5A606" w14:textId="7EEF0A32" w:rsidR="00212D3D" w:rsidRDefault="00212D3D" w:rsidP="00870B7A">
      <w:pPr>
        <w:tabs>
          <w:tab w:val="left" w:pos="915"/>
        </w:tabs>
      </w:pPr>
    </w:p>
    <w:p w14:paraId="33670E16" w14:textId="13942774" w:rsidR="00212D3D" w:rsidRDefault="00212D3D" w:rsidP="00870B7A">
      <w:pPr>
        <w:tabs>
          <w:tab w:val="left" w:pos="915"/>
        </w:tabs>
      </w:pPr>
    </w:p>
    <w:p w14:paraId="35BA4F3A" w14:textId="77777777" w:rsidR="00212D3D" w:rsidRDefault="00212D3D" w:rsidP="00870B7A">
      <w:pPr>
        <w:tabs>
          <w:tab w:val="left" w:pos="915"/>
        </w:tabs>
      </w:pPr>
    </w:p>
    <w:p w14:paraId="23EC7183" w14:textId="77777777" w:rsidR="00294225" w:rsidRPr="00840974" w:rsidRDefault="00294225" w:rsidP="00870B7A">
      <w:pPr>
        <w:tabs>
          <w:tab w:val="left" w:pos="915"/>
        </w:tabs>
      </w:pPr>
    </w:p>
    <w:p w14:paraId="52FC3CC4" w14:textId="77777777" w:rsidR="009E5D23" w:rsidRPr="009C40CC" w:rsidRDefault="0051729C" w:rsidP="009C40CC">
      <w:pPr>
        <w:pStyle w:val="ListParagraph"/>
        <w:numPr>
          <w:ilvl w:val="0"/>
          <w:numId w:val="21"/>
        </w:numPr>
        <w:rPr>
          <w:b/>
          <w:bCs/>
          <w:color w:val="7030A0"/>
          <w:sz w:val="32"/>
          <w:szCs w:val="32"/>
        </w:rPr>
      </w:pPr>
      <w:r>
        <w:rPr>
          <w:b/>
          <w:bCs/>
          <w:color w:val="7030A0"/>
          <w:sz w:val="32"/>
          <w:szCs w:val="32"/>
        </w:rPr>
        <w:lastRenderedPageBreak/>
        <w:t>Introduction</w:t>
      </w:r>
      <w:bookmarkStart w:id="0" w:name="_Hlk75798661"/>
    </w:p>
    <w:bookmarkEnd w:id="0"/>
    <w:p w14:paraId="31B41A19" w14:textId="77777777" w:rsidR="00EF0CE7" w:rsidRPr="00EF0CE7" w:rsidRDefault="00EF0CE7" w:rsidP="00EF0CE7">
      <w:pPr>
        <w:pStyle w:val="ListParagraph"/>
        <w:rPr>
          <w:color w:val="000000"/>
        </w:rPr>
      </w:pPr>
    </w:p>
    <w:p w14:paraId="655A0453" w14:textId="24A59BC6" w:rsidR="00EF0CE7" w:rsidRPr="00EF0CE7" w:rsidRDefault="009E5D23" w:rsidP="0027376F">
      <w:pPr>
        <w:pStyle w:val="ListParagraph"/>
        <w:numPr>
          <w:ilvl w:val="1"/>
          <w:numId w:val="18"/>
        </w:numPr>
        <w:jc w:val="both"/>
        <w:rPr>
          <w:color w:val="000000"/>
        </w:rPr>
      </w:pPr>
      <w:r w:rsidRPr="00EF0CE7">
        <w:rPr>
          <w:rFonts w:eastAsia="Times New Roman" w:cs="Times New Roman"/>
        </w:rPr>
        <w:t xml:space="preserve">The Northern Ireland Human Rights Commission (NIHRC), pursuant to Section 69(1) of the Northern Ireland Act 1998, reviews the adequacy and effectiveness of law and practice relating to the protection of human rights in Northern Ireland (NI). In accordance with this function, the following advice is submitted to the Department </w:t>
      </w:r>
      <w:r w:rsidR="00426755">
        <w:rPr>
          <w:rFonts w:eastAsia="Times New Roman" w:cs="Times New Roman"/>
        </w:rPr>
        <w:t>of Justice</w:t>
      </w:r>
      <w:r w:rsidRPr="00EF0CE7">
        <w:rPr>
          <w:rFonts w:eastAsia="Times New Roman" w:cs="Times New Roman"/>
        </w:rPr>
        <w:t xml:space="preserve"> (</w:t>
      </w:r>
      <w:proofErr w:type="spellStart"/>
      <w:r w:rsidRPr="00EF0CE7">
        <w:rPr>
          <w:rFonts w:eastAsia="Times New Roman" w:cs="Times New Roman"/>
        </w:rPr>
        <w:t>D</w:t>
      </w:r>
      <w:r w:rsidR="00426755">
        <w:rPr>
          <w:rFonts w:eastAsia="Times New Roman" w:cs="Times New Roman"/>
        </w:rPr>
        <w:t>oJ</w:t>
      </w:r>
      <w:proofErr w:type="spellEnd"/>
      <w:r w:rsidRPr="00EF0CE7">
        <w:rPr>
          <w:rFonts w:eastAsia="Times New Roman" w:cs="Times New Roman"/>
        </w:rPr>
        <w:t xml:space="preserve">) in respect of </w:t>
      </w:r>
      <w:r w:rsidR="00D73EE8" w:rsidRPr="00EF0CE7">
        <w:rPr>
          <w:rFonts w:eastAsia="Times New Roman" w:cs="Times New Roman"/>
        </w:rPr>
        <w:t>its</w:t>
      </w:r>
      <w:r w:rsidRPr="00EF0CE7">
        <w:rPr>
          <w:rFonts w:eastAsia="Times New Roman" w:cs="Times New Roman"/>
        </w:rPr>
        <w:t xml:space="preserve"> </w:t>
      </w:r>
      <w:r w:rsidR="004B3CEB">
        <w:rPr>
          <w:rFonts w:eastAsia="Times New Roman" w:cs="Times New Roman"/>
        </w:rPr>
        <w:t>engagement paper</w:t>
      </w:r>
      <w:r w:rsidRPr="00EF0CE7">
        <w:rPr>
          <w:rFonts w:eastAsia="Times New Roman" w:cs="Times New Roman"/>
        </w:rPr>
        <w:t xml:space="preserve"> on </w:t>
      </w:r>
      <w:r w:rsidR="004B3CEB">
        <w:rPr>
          <w:rFonts w:eastAsia="Times New Roman" w:cs="Times New Roman"/>
        </w:rPr>
        <w:t>the introduction of Pro Bono Costs Orders</w:t>
      </w:r>
      <w:r w:rsidR="00116C51">
        <w:rPr>
          <w:rFonts w:eastAsia="Times New Roman" w:cs="Times New Roman"/>
        </w:rPr>
        <w:t xml:space="preserve"> </w:t>
      </w:r>
      <w:r w:rsidR="00832196" w:rsidRPr="00EF0CE7">
        <w:rPr>
          <w:rFonts w:eastAsia="Times New Roman" w:cs="Times New Roman"/>
        </w:rPr>
        <w:t xml:space="preserve">of </w:t>
      </w:r>
      <w:r w:rsidR="004B3CEB">
        <w:rPr>
          <w:rFonts w:eastAsia="Times New Roman" w:cs="Times New Roman"/>
        </w:rPr>
        <w:t>July</w:t>
      </w:r>
      <w:r w:rsidR="00832196" w:rsidRPr="00EF0CE7">
        <w:rPr>
          <w:rFonts w:eastAsia="Times New Roman" w:cs="Times New Roman"/>
        </w:rPr>
        <w:t xml:space="preserve"> 2021</w:t>
      </w:r>
      <w:r w:rsidR="00364F2D" w:rsidRPr="00EF0CE7">
        <w:rPr>
          <w:rFonts w:eastAsia="Times New Roman" w:cs="Times New Roman"/>
        </w:rPr>
        <w:t>.</w:t>
      </w:r>
    </w:p>
    <w:p w14:paraId="4964DCC9" w14:textId="77777777" w:rsidR="00EF0CE7" w:rsidRDefault="00EF0CE7" w:rsidP="0027376F">
      <w:pPr>
        <w:pStyle w:val="ListParagraph"/>
        <w:jc w:val="both"/>
      </w:pPr>
    </w:p>
    <w:p w14:paraId="2C6DF8E7" w14:textId="3A14F0BD" w:rsidR="002804FD" w:rsidRPr="002804FD" w:rsidRDefault="009E5D23" w:rsidP="002804FD">
      <w:pPr>
        <w:pStyle w:val="ListParagraph"/>
        <w:rPr>
          <w:color w:val="000000"/>
        </w:rPr>
      </w:pPr>
      <w:r>
        <w:t>The NIHRC bases its advice on the full range of internationally accepted human rights standards, including the European Convention on Human Rights, as incorporated by the Human Rights Act 1998, and the treaty obligations of the Council of Europe (</w:t>
      </w:r>
      <w:proofErr w:type="spellStart"/>
      <w:r>
        <w:t>CoE</w:t>
      </w:r>
      <w:proofErr w:type="spellEnd"/>
      <w:r>
        <w:t>) and United Nations (UN). The relevant regional and international treaties in this context include:</w:t>
      </w:r>
    </w:p>
    <w:p w14:paraId="6FD1BB77" w14:textId="77777777" w:rsidR="002804FD" w:rsidRPr="002804FD" w:rsidRDefault="002804FD" w:rsidP="002804FD">
      <w:pPr>
        <w:jc w:val="both"/>
        <w:rPr>
          <w:color w:val="000000"/>
        </w:rPr>
      </w:pPr>
    </w:p>
    <w:p w14:paraId="559CACB8" w14:textId="47D90545" w:rsidR="002804FD" w:rsidRPr="002804FD" w:rsidRDefault="005C7CBC" w:rsidP="001F53DC">
      <w:pPr>
        <w:pStyle w:val="ListParagraph"/>
        <w:numPr>
          <w:ilvl w:val="0"/>
          <w:numId w:val="31"/>
        </w:numPr>
        <w:jc w:val="both"/>
        <w:rPr>
          <w:rFonts w:eastAsia="Times New Roman" w:cs="Times New Roman"/>
        </w:rPr>
      </w:pPr>
      <w:bookmarkStart w:id="1" w:name="_Hlk75348166"/>
      <w:r>
        <w:t>European Convention on Human Rights (ECHR);</w:t>
      </w:r>
      <w:r>
        <w:rPr>
          <w:rStyle w:val="FootnoteReference"/>
        </w:rPr>
        <w:footnoteReference w:id="1"/>
      </w:r>
    </w:p>
    <w:p w14:paraId="18A73A63" w14:textId="6BAC0EA4" w:rsidR="00933A71" w:rsidRPr="00776993" w:rsidRDefault="00933A71" w:rsidP="001F53DC">
      <w:pPr>
        <w:pStyle w:val="ListParagraph"/>
        <w:numPr>
          <w:ilvl w:val="0"/>
          <w:numId w:val="31"/>
        </w:numPr>
        <w:jc w:val="both"/>
        <w:rPr>
          <w:rFonts w:eastAsia="Times New Roman" w:cs="Times New Roman"/>
        </w:rPr>
      </w:pPr>
      <w:r w:rsidRPr="00776993">
        <w:rPr>
          <w:rFonts w:eastAsia="Times New Roman" w:cs="Times New Roman"/>
        </w:rPr>
        <w:t xml:space="preserve">UN International Covenant on </w:t>
      </w:r>
      <w:r w:rsidR="00415E10" w:rsidRPr="00776993">
        <w:rPr>
          <w:rFonts w:eastAsia="Times New Roman" w:cs="Times New Roman"/>
        </w:rPr>
        <w:t>Civil and Political Rights (UN ICCPR);</w:t>
      </w:r>
      <w:r w:rsidR="00415E10">
        <w:rPr>
          <w:rStyle w:val="FootnoteReference"/>
          <w:rFonts w:eastAsia="Times New Roman" w:cs="Times New Roman"/>
        </w:rPr>
        <w:footnoteReference w:id="2"/>
      </w:r>
    </w:p>
    <w:p w14:paraId="03278014" w14:textId="77777777" w:rsidR="0038032A" w:rsidRDefault="0038032A" w:rsidP="0035659D">
      <w:pPr>
        <w:jc w:val="both"/>
        <w:rPr>
          <w:color w:val="000000"/>
        </w:rPr>
      </w:pPr>
    </w:p>
    <w:p w14:paraId="1D693118" w14:textId="3B8D0873" w:rsidR="003473E3" w:rsidRDefault="003473E3" w:rsidP="0035659D">
      <w:pPr>
        <w:pStyle w:val="BasicParagraph"/>
        <w:numPr>
          <w:ilvl w:val="1"/>
          <w:numId w:val="18"/>
        </w:numPr>
        <w:suppressAutoHyphens/>
        <w:spacing w:before="120" w:after="120" w:line="240" w:lineRule="auto"/>
        <w:jc w:val="both"/>
        <w:rPr>
          <w:rFonts w:ascii="Verdana" w:hAnsi="Verdana"/>
        </w:rPr>
      </w:pPr>
      <w:r w:rsidRPr="11C2A680">
        <w:rPr>
          <w:rFonts w:ascii="Verdana" w:hAnsi="Verdana"/>
        </w:rPr>
        <w:t xml:space="preserve">In addition to these treaty standards, there exists a body of ‘soft law’ developed by the human rights bodies of the </w:t>
      </w:r>
      <w:proofErr w:type="spellStart"/>
      <w:r w:rsidRPr="11C2A680">
        <w:rPr>
          <w:rFonts w:ascii="Verdana" w:hAnsi="Verdana"/>
        </w:rPr>
        <w:t>CoE</w:t>
      </w:r>
      <w:proofErr w:type="spellEnd"/>
      <w:r w:rsidRPr="11C2A680">
        <w:rPr>
          <w:rFonts w:ascii="Verdana" w:hAnsi="Verdana"/>
        </w:rPr>
        <w:t xml:space="preserve"> and UN. These declarations and principles are non-binding but</w:t>
      </w:r>
      <w:r w:rsidR="005C699C">
        <w:rPr>
          <w:rFonts w:ascii="Verdana" w:hAnsi="Verdana"/>
        </w:rPr>
        <w:t xml:space="preserve"> are intended to</w:t>
      </w:r>
      <w:r w:rsidRPr="11C2A680">
        <w:rPr>
          <w:rFonts w:ascii="Verdana" w:hAnsi="Verdana"/>
        </w:rPr>
        <w:t xml:space="preserve"> provide further guidanc</w:t>
      </w:r>
      <w:r w:rsidR="005C699C">
        <w:rPr>
          <w:rFonts w:ascii="Verdana" w:hAnsi="Verdana"/>
        </w:rPr>
        <w:t>e</w:t>
      </w:r>
      <w:r w:rsidRPr="11C2A680">
        <w:rPr>
          <w:rFonts w:ascii="Verdana" w:hAnsi="Verdana"/>
        </w:rPr>
        <w:t>.</w:t>
      </w:r>
      <w:r w:rsidR="00723863">
        <w:rPr>
          <w:rStyle w:val="FootnoteReference"/>
          <w:rFonts w:ascii="Verdana" w:hAnsi="Verdana"/>
        </w:rPr>
        <w:footnoteReference w:id="3"/>
      </w:r>
    </w:p>
    <w:p w14:paraId="678D378A" w14:textId="77777777" w:rsidR="003473E3" w:rsidRDefault="003473E3" w:rsidP="0035659D">
      <w:pPr>
        <w:pStyle w:val="BasicParagraph"/>
        <w:suppressAutoHyphens/>
        <w:spacing w:before="120" w:after="120" w:line="240" w:lineRule="auto"/>
        <w:ind w:left="720"/>
        <w:jc w:val="both"/>
        <w:rPr>
          <w:rFonts w:ascii="Verdana" w:hAnsi="Verdana"/>
        </w:rPr>
      </w:pPr>
    </w:p>
    <w:p w14:paraId="3C05269F" w14:textId="077FCACE" w:rsidR="0035659D" w:rsidRDefault="00F16652" w:rsidP="0035659D">
      <w:pPr>
        <w:pStyle w:val="BasicParagraph"/>
        <w:numPr>
          <w:ilvl w:val="1"/>
          <w:numId w:val="18"/>
        </w:numPr>
        <w:suppressAutoHyphens/>
        <w:spacing w:before="120" w:after="120" w:line="240" w:lineRule="auto"/>
        <w:jc w:val="both"/>
        <w:rPr>
          <w:rFonts w:ascii="Verdana" w:hAnsi="Verdana"/>
        </w:rPr>
      </w:pPr>
      <w:r w:rsidRPr="003473E3">
        <w:rPr>
          <w:rFonts w:ascii="Verdana" w:hAnsi="Verdana"/>
        </w:rPr>
        <w:t xml:space="preserve">The NIHRC welcomes the opportunity to respond to the </w:t>
      </w:r>
      <w:proofErr w:type="spellStart"/>
      <w:r w:rsidRPr="003473E3">
        <w:rPr>
          <w:rFonts w:ascii="Verdana" w:hAnsi="Verdana"/>
        </w:rPr>
        <w:t>D</w:t>
      </w:r>
      <w:r w:rsidR="00221E01">
        <w:rPr>
          <w:rFonts w:ascii="Verdana" w:hAnsi="Verdana"/>
        </w:rPr>
        <w:t>oJ</w:t>
      </w:r>
      <w:proofErr w:type="spellEnd"/>
      <w:r w:rsidRPr="003473E3">
        <w:rPr>
          <w:rFonts w:ascii="Verdana" w:hAnsi="Verdana"/>
        </w:rPr>
        <w:t xml:space="preserve"> </w:t>
      </w:r>
      <w:r w:rsidR="004F5CB3">
        <w:rPr>
          <w:rFonts w:ascii="Verdana" w:hAnsi="Verdana"/>
        </w:rPr>
        <w:t xml:space="preserve">engagement paper </w:t>
      </w:r>
      <w:r w:rsidRPr="003473E3">
        <w:rPr>
          <w:rFonts w:ascii="Verdana" w:hAnsi="Verdana"/>
        </w:rPr>
        <w:t xml:space="preserve">on </w:t>
      </w:r>
      <w:r w:rsidR="009E2C40">
        <w:rPr>
          <w:rFonts w:ascii="Verdana" w:hAnsi="Verdana"/>
        </w:rPr>
        <w:t xml:space="preserve">the proposed introduction </w:t>
      </w:r>
      <w:r w:rsidR="00DD2FAB">
        <w:rPr>
          <w:rFonts w:ascii="Verdana" w:hAnsi="Verdana"/>
        </w:rPr>
        <w:t xml:space="preserve">of </w:t>
      </w:r>
      <w:r w:rsidR="004F589A">
        <w:rPr>
          <w:rFonts w:ascii="Verdana" w:hAnsi="Verdana"/>
        </w:rPr>
        <w:t>p</w:t>
      </w:r>
      <w:r w:rsidR="00DD2FAB">
        <w:rPr>
          <w:rFonts w:ascii="Verdana" w:hAnsi="Verdana"/>
        </w:rPr>
        <w:t xml:space="preserve">ro </w:t>
      </w:r>
      <w:r w:rsidR="004F589A">
        <w:rPr>
          <w:rFonts w:ascii="Verdana" w:hAnsi="Verdana"/>
        </w:rPr>
        <w:t>b</w:t>
      </w:r>
      <w:r w:rsidR="00DD2FAB">
        <w:rPr>
          <w:rFonts w:ascii="Verdana" w:hAnsi="Verdana"/>
        </w:rPr>
        <w:t xml:space="preserve">ono </w:t>
      </w:r>
      <w:r w:rsidR="004F589A">
        <w:rPr>
          <w:rFonts w:ascii="Verdana" w:hAnsi="Verdana"/>
        </w:rPr>
        <w:t>c</w:t>
      </w:r>
      <w:r w:rsidR="00DD2FAB">
        <w:rPr>
          <w:rFonts w:ascii="Verdana" w:hAnsi="Verdana"/>
        </w:rPr>
        <w:t xml:space="preserve">osts </w:t>
      </w:r>
      <w:r w:rsidR="004F589A">
        <w:rPr>
          <w:rFonts w:ascii="Verdana" w:hAnsi="Verdana"/>
        </w:rPr>
        <w:t>o</w:t>
      </w:r>
      <w:r w:rsidR="00DD2FAB">
        <w:rPr>
          <w:rFonts w:ascii="Verdana" w:hAnsi="Verdana"/>
        </w:rPr>
        <w:t>rders</w:t>
      </w:r>
      <w:r w:rsidR="000A64C4">
        <w:rPr>
          <w:rFonts w:ascii="Verdana" w:hAnsi="Verdana"/>
        </w:rPr>
        <w:t xml:space="preserve"> in Northern Ireland</w:t>
      </w:r>
      <w:r w:rsidRPr="003473E3">
        <w:rPr>
          <w:rFonts w:ascii="Verdana" w:hAnsi="Verdana"/>
        </w:rPr>
        <w:t xml:space="preserve">. </w:t>
      </w:r>
      <w:r w:rsidR="003473E3">
        <w:rPr>
          <w:rFonts w:ascii="Verdana" w:hAnsi="Verdana"/>
        </w:rPr>
        <w:t>The NIHRC</w:t>
      </w:r>
      <w:r w:rsidR="001D6AD5">
        <w:rPr>
          <w:rFonts w:ascii="Verdana" w:hAnsi="Verdana"/>
        </w:rPr>
        <w:t xml:space="preserve"> seek</w:t>
      </w:r>
      <w:r w:rsidR="00526496">
        <w:rPr>
          <w:rFonts w:ascii="Verdana" w:hAnsi="Verdana"/>
        </w:rPr>
        <w:t>s</w:t>
      </w:r>
      <w:r w:rsidR="001D6AD5">
        <w:rPr>
          <w:rFonts w:ascii="Verdana" w:hAnsi="Verdana"/>
        </w:rPr>
        <w:t xml:space="preserve"> to </w:t>
      </w:r>
      <w:r w:rsidR="003473E3">
        <w:rPr>
          <w:rFonts w:ascii="Verdana" w:hAnsi="Verdana"/>
        </w:rPr>
        <w:t>highlight</w:t>
      </w:r>
      <w:r w:rsidR="00691584">
        <w:rPr>
          <w:rFonts w:ascii="Verdana" w:hAnsi="Verdana"/>
        </w:rPr>
        <w:t xml:space="preserve"> the effect</w:t>
      </w:r>
      <w:r w:rsidR="000A64C4">
        <w:rPr>
          <w:rFonts w:ascii="Verdana" w:hAnsi="Verdana"/>
        </w:rPr>
        <w:t xml:space="preserve"> such a</w:t>
      </w:r>
      <w:r w:rsidR="00524F38">
        <w:rPr>
          <w:rFonts w:ascii="Verdana" w:hAnsi="Verdana"/>
        </w:rPr>
        <w:t>n introduction may have</w:t>
      </w:r>
      <w:r w:rsidR="0035659D">
        <w:rPr>
          <w:rFonts w:ascii="Verdana" w:hAnsi="Verdana"/>
        </w:rPr>
        <w:t xml:space="preserve"> </w:t>
      </w:r>
      <w:r w:rsidR="00BE3F5F">
        <w:rPr>
          <w:rFonts w:ascii="Verdana" w:hAnsi="Verdana"/>
        </w:rPr>
        <w:t>o</w:t>
      </w:r>
      <w:r w:rsidR="0035659D">
        <w:rPr>
          <w:rFonts w:ascii="Verdana" w:hAnsi="Verdana"/>
        </w:rPr>
        <w:t>n</w:t>
      </w:r>
      <w:r w:rsidR="00524F38">
        <w:rPr>
          <w:rFonts w:ascii="Verdana" w:hAnsi="Verdana"/>
        </w:rPr>
        <w:t xml:space="preserve"> domestic and international human rights law</w:t>
      </w:r>
      <w:r w:rsidR="00973761">
        <w:rPr>
          <w:rFonts w:ascii="Verdana" w:hAnsi="Verdana"/>
        </w:rPr>
        <w:t>.</w:t>
      </w:r>
    </w:p>
    <w:p w14:paraId="2CA774B5" w14:textId="77777777" w:rsidR="0035659D" w:rsidRDefault="0035659D" w:rsidP="0035659D">
      <w:pPr>
        <w:pStyle w:val="ListParagraph"/>
        <w:jc w:val="both"/>
      </w:pPr>
    </w:p>
    <w:p w14:paraId="51DC56B5" w14:textId="313B39B5" w:rsidR="005B4452" w:rsidRPr="00DE4732" w:rsidRDefault="00FC26CD" w:rsidP="0027376F">
      <w:pPr>
        <w:pStyle w:val="BasicParagraph"/>
        <w:numPr>
          <w:ilvl w:val="1"/>
          <w:numId w:val="18"/>
        </w:numPr>
        <w:suppressAutoHyphens/>
        <w:spacing w:before="120" w:after="120" w:line="240" w:lineRule="auto"/>
        <w:jc w:val="both"/>
        <w:rPr>
          <w:rFonts w:ascii="Verdana" w:hAnsi="Verdana"/>
        </w:rPr>
      </w:pPr>
      <w:r w:rsidRPr="0035659D">
        <w:rPr>
          <w:rFonts w:ascii="Verdana" w:hAnsi="Verdana"/>
        </w:rPr>
        <w:t xml:space="preserve">The NIHRC acknowledges the questions set out in the consultation document, </w:t>
      </w:r>
      <w:r w:rsidR="00526496">
        <w:rPr>
          <w:rFonts w:ascii="Verdana" w:hAnsi="Verdana"/>
        </w:rPr>
        <w:t>however due to the practical nature of the questions the Commission</w:t>
      </w:r>
      <w:r w:rsidR="00526496" w:rsidRPr="0035659D">
        <w:rPr>
          <w:rFonts w:ascii="Verdana" w:hAnsi="Verdana"/>
        </w:rPr>
        <w:t xml:space="preserve"> </w:t>
      </w:r>
      <w:r w:rsidRPr="0035659D">
        <w:rPr>
          <w:rFonts w:ascii="Verdana" w:hAnsi="Verdana"/>
        </w:rPr>
        <w:t xml:space="preserve">will not </w:t>
      </w:r>
      <w:r w:rsidR="00FD5A59" w:rsidRPr="0035659D">
        <w:rPr>
          <w:rFonts w:ascii="Verdana" w:hAnsi="Verdana"/>
        </w:rPr>
        <w:t xml:space="preserve">provide specific comment </w:t>
      </w:r>
      <w:r w:rsidR="00E9656F" w:rsidRPr="0035659D">
        <w:rPr>
          <w:rFonts w:ascii="Verdana" w:hAnsi="Verdana"/>
        </w:rPr>
        <w:t>on each</w:t>
      </w:r>
      <w:r w:rsidRPr="0035659D">
        <w:rPr>
          <w:rFonts w:ascii="Verdana" w:hAnsi="Verdana"/>
        </w:rPr>
        <w:t>. Instead, this submission will highlight relevant human rights standards and principles where they</w:t>
      </w:r>
      <w:r w:rsidR="004A01B3" w:rsidRPr="0035659D">
        <w:rPr>
          <w:rFonts w:ascii="Verdana" w:hAnsi="Verdana"/>
        </w:rPr>
        <w:t xml:space="preserve"> may be of relevance to the Department</w:t>
      </w:r>
      <w:r w:rsidR="00526496">
        <w:rPr>
          <w:rFonts w:ascii="Verdana" w:hAnsi="Verdana"/>
        </w:rPr>
        <w:t>’s consideration of this matter</w:t>
      </w:r>
      <w:r w:rsidR="009F25AC" w:rsidRPr="0035659D">
        <w:rPr>
          <w:rFonts w:ascii="Verdana" w:hAnsi="Verdana"/>
        </w:rPr>
        <w:t>.</w:t>
      </w:r>
    </w:p>
    <w:p w14:paraId="64F03CBB" w14:textId="22A7C427" w:rsidR="00294225" w:rsidRDefault="00294225" w:rsidP="0027376F">
      <w:pPr>
        <w:jc w:val="both"/>
        <w:rPr>
          <w:color w:val="000000"/>
        </w:rPr>
      </w:pPr>
    </w:p>
    <w:p w14:paraId="191CDA8C" w14:textId="77777777" w:rsidR="00DE4732" w:rsidRDefault="00DE4732" w:rsidP="0027376F">
      <w:pPr>
        <w:jc w:val="both"/>
        <w:rPr>
          <w:color w:val="000000"/>
        </w:rPr>
      </w:pPr>
    </w:p>
    <w:p w14:paraId="7C0F6FB2" w14:textId="77777777" w:rsidR="00ED72D2" w:rsidRPr="004B0C39" w:rsidRDefault="00ED72D2" w:rsidP="004B0C39">
      <w:pPr>
        <w:pStyle w:val="ListParagraph"/>
        <w:numPr>
          <w:ilvl w:val="0"/>
          <w:numId w:val="21"/>
        </w:numPr>
        <w:rPr>
          <w:b/>
          <w:bCs/>
          <w:color w:val="7030A0"/>
          <w:sz w:val="32"/>
          <w:szCs w:val="32"/>
        </w:rPr>
      </w:pPr>
      <w:r>
        <w:rPr>
          <w:b/>
          <w:bCs/>
          <w:color w:val="7030A0"/>
          <w:sz w:val="32"/>
          <w:szCs w:val="32"/>
        </w:rPr>
        <w:t>International</w:t>
      </w:r>
      <w:r w:rsidR="009C40CC">
        <w:rPr>
          <w:b/>
          <w:bCs/>
          <w:color w:val="7030A0"/>
          <w:sz w:val="32"/>
          <w:szCs w:val="32"/>
        </w:rPr>
        <w:t xml:space="preserve"> </w:t>
      </w:r>
      <w:bookmarkStart w:id="2" w:name="_Hlk75798789"/>
      <w:r w:rsidR="00364024">
        <w:rPr>
          <w:b/>
          <w:bCs/>
          <w:color w:val="7030A0"/>
          <w:sz w:val="32"/>
          <w:szCs w:val="32"/>
        </w:rPr>
        <w:t>Human Rights Standards</w:t>
      </w:r>
    </w:p>
    <w:bookmarkEnd w:id="2"/>
    <w:p w14:paraId="781451B5" w14:textId="77777777" w:rsidR="00F16652" w:rsidRPr="00297D86" w:rsidRDefault="00F16652" w:rsidP="0027376F">
      <w:pPr>
        <w:jc w:val="both"/>
        <w:rPr>
          <w:color w:val="000000"/>
        </w:rPr>
      </w:pPr>
    </w:p>
    <w:p w14:paraId="0A27B850" w14:textId="77777777" w:rsidR="00244812" w:rsidRPr="00244812" w:rsidRDefault="00244812" w:rsidP="00244812">
      <w:pPr>
        <w:pStyle w:val="ListParagraph"/>
        <w:numPr>
          <w:ilvl w:val="0"/>
          <w:numId w:val="18"/>
        </w:numPr>
        <w:jc w:val="both"/>
        <w:rPr>
          <w:vanish/>
        </w:rPr>
      </w:pPr>
    </w:p>
    <w:p w14:paraId="085D074D" w14:textId="4EA6F53A" w:rsidR="00427146" w:rsidRPr="00427146" w:rsidRDefault="00C84205" w:rsidP="00427146">
      <w:pPr>
        <w:pStyle w:val="ListParagraph"/>
        <w:numPr>
          <w:ilvl w:val="1"/>
          <w:numId w:val="18"/>
        </w:numPr>
        <w:jc w:val="both"/>
        <w:rPr>
          <w:color w:val="000000"/>
        </w:rPr>
      </w:pPr>
      <w:r>
        <w:t>P</w:t>
      </w:r>
      <w:r w:rsidR="00427146" w:rsidRPr="00427146">
        <w:t>ro bono legal advice and representation, which</w:t>
      </w:r>
      <w:r>
        <w:t xml:space="preserve"> the proposed</w:t>
      </w:r>
      <w:r w:rsidR="00427146" w:rsidRPr="00427146">
        <w:t xml:space="preserve"> </w:t>
      </w:r>
      <w:r w:rsidR="002F57EE">
        <w:t>p</w:t>
      </w:r>
      <w:r w:rsidR="00427146" w:rsidRPr="00427146">
        <w:t>ro</w:t>
      </w:r>
      <w:r w:rsidR="002F57EE">
        <w:t xml:space="preserve"> b</w:t>
      </w:r>
      <w:r w:rsidR="00427146" w:rsidRPr="00427146">
        <w:t xml:space="preserve">ono </w:t>
      </w:r>
      <w:r w:rsidR="002F57EE">
        <w:t>c</w:t>
      </w:r>
      <w:r w:rsidR="00427146" w:rsidRPr="00427146">
        <w:t xml:space="preserve">osts </w:t>
      </w:r>
      <w:r w:rsidR="002F57EE">
        <w:t>o</w:t>
      </w:r>
      <w:r w:rsidR="00427146" w:rsidRPr="00427146">
        <w:t>rders may</w:t>
      </w:r>
      <w:r w:rsidR="00507E84">
        <w:t xml:space="preserve"> support</w:t>
      </w:r>
      <w:r w:rsidR="00427146" w:rsidRPr="00427146">
        <w:t xml:space="preserve">, </w:t>
      </w:r>
      <w:r w:rsidR="00BB04D1">
        <w:t>can</w:t>
      </w:r>
      <w:r>
        <w:t xml:space="preserve"> </w:t>
      </w:r>
      <w:r w:rsidR="00427146" w:rsidRPr="00427146">
        <w:t>form part of the State’s obligation to provide</w:t>
      </w:r>
      <w:r w:rsidR="00A17039">
        <w:t xml:space="preserve"> equal access t</w:t>
      </w:r>
      <w:r w:rsidR="00B72016">
        <w:t xml:space="preserve">o </w:t>
      </w:r>
      <w:r w:rsidR="00A17039">
        <w:t>law</w:t>
      </w:r>
      <w:r w:rsidR="00DE6E2B">
        <w:t xml:space="preserve"> </w:t>
      </w:r>
      <w:r w:rsidR="00427146" w:rsidRPr="00427146">
        <w:t xml:space="preserve">and allow </w:t>
      </w:r>
      <w:r w:rsidR="00DE6E2B">
        <w:t>people</w:t>
      </w:r>
      <w:r w:rsidR="00427146" w:rsidRPr="00427146">
        <w:t xml:space="preserve">, regardless of financial means, to </w:t>
      </w:r>
      <w:proofErr w:type="gramStart"/>
      <w:r w:rsidR="00427146" w:rsidRPr="00427146">
        <w:t>take action</w:t>
      </w:r>
      <w:proofErr w:type="gramEnd"/>
      <w:r w:rsidR="00427146" w:rsidRPr="00427146">
        <w:t xml:space="preserve"> and defend themselves in civil proceedings</w:t>
      </w:r>
      <w:r w:rsidR="00FD4B4E">
        <w:t xml:space="preserve"> before the courts</w:t>
      </w:r>
      <w:r w:rsidR="00427146" w:rsidRPr="00427146">
        <w:t>.</w:t>
      </w:r>
    </w:p>
    <w:p w14:paraId="071257B3" w14:textId="77777777" w:rsidR="00427146" w:rsidRPr="00427146" w:rsidRDefault="00427146" w:rsidP="00427146">
      <w:pPr>
        <w:pStyle w:val="ListParagraph"/>
        <w:jc w:val="both"/>
        <w:rPr>
          <w:color w:val="000000"/>
        </w:rPr>
      </w:pPr>
    </w:p>
    <w:p w14:paraId="3E8F74AE" w14:textId="5E6B26B1" w:rsidR="009663B1" w:rsidRPr="00A04032" w:rsidRDefault="001C1224" w:rsidP="00244812">
      <w:pPr>
        <w:pStyle w:val="ListParagraph"/>
        <w:numPr>
          <w:ilvl w:val="1"/>
          <w:numId w:val="18"/>
        </w:numPr>
        <w:jc w:val="both"/>
        <w:rPr>
          <w:color w:val="000000"/>
        </w:rPr>
      </w:pPr>
      <w:r>
        <w:t xml:space="preserve">The </w:t>
      </w:r>
      <w:r w:rsidR="00BA29F2">
        <w:t>international</w:t>
      </w:r>
      <w:r w:rsidR="00FA6547">
        <w:t xml:space="preserve"> right to</w:t>
      </w:r>
      <w:r w:rsidR="00CB6DA0">
        <w:t xml:space="preserve"> equality before the law </w:t>
      </w:r>
      <w:r w:rsidR="004A79C6">
        <w:t xml:space="preserve">is derived from </w:t>
      </w:r>
      <w:r w:rsidR="00EC38A8">
        <w:t xml:space="preserve">Article 14(1) </w:t>
      </w:r>
      <w:r w:rsidR="00FA6547">
        <w:t xml:space="preserve">of the International Covenant on </w:t>
      </w:r>
      <w:r w:rsidR="00530F8D">
        <w:t>Civil and Pol</w:t>
      </w:r>
      <w:r w:rsidR="007458DB">
        <w:t>itical</w:t>
      </w:r>
      <w:r w:rsidR="00FA6547">
        <w:t xml:space="preserve"> Rights (IC</w:t>
      </w:r>
      <w:r w:rsidR="00530F8D">
        <w:t>CPR</w:t>
      </w:r>
      <w:r w:rsidR="00FA6547">
        <w:t>):</w:t>
      </w:r>
    </w:p>
    <w:p w14:paraId="207C0EA8" w14:textId="77777777" w:rsidR="00417863" w:rsidRPr="00417863" w:rsidRDefault="00417863" w:rsidP="0027376F">
      <w:pPr>
        <w:ind w:left="709"/>
        <w:jc w:val="both"/>
        <w:rPr>
          <w:rFonts w:eastAsia="Times New Roman" w:cs="Times New Roman"/>
        </w:rPr>
      </w:pPr>
    </w:p>
    <w:p w14:paraId="524AF588" w14:textId="2B40A660" w:rsidR="00417863" w:rsidRPr="00253674" w:rsidRDefault="00EC38A8" w:rsidP="0027376F">
      <w:pPr>
        <w:ind w:left="1440"/>
        <w:jc w:val="both"/>
        <w:rPr>
          <w:rFonts w:eastAsia="Times New Roman" w:cs="Times New Roman"/>
          <w:iCs/>
        </w:rPr>
      </w:pPr>
      <w:r w:rsidRPr="00EC38A8">
        <w:rPr>
          <w:iCs/>
        </w:rPr>
        <w:t>All persons shall be equal before the courts and tribunals</w:t>
      </w:r>
      <w:r w:rsidR="000E0A8F">
        <w:rPr>
          <w:iCs/>
        </w:rPr>
        <w:t>.</w:t>
      </w:r>
      <w:r w:rsidR="000E0A8F" w:rsidRPr="000E0A8F">
        <w:t xml:space="preserve"> </w:t>
      </w:r>
      <w:r w:rsidR="000E0A8F" w:rsidRPr="000E0A8F">
        <w:rPr>
          <w:iCs/>
        </w:rPr>
        <w:t xml:space="preserve">In the determination of any criminal charge against him, or of his rights and obligations in a suit at law, everyone shall be entitled to a fair and public hearing by a competent, </w:t>
      </w:r>
      <w:proofErr w:type="gramStart"/>
      <w:r w:rsidR="000E0A8F" w:rsidRPr="000E0A8F">
        <w:rPr>
          <w:iCs/>
        </w:rPr>
        <w:t>independent</w:t>
      </w:r>
      <w:proofErr w:type="gramEnd"/>
      <w:r w:rsidR="000E0A8F" w:rsidRPr="000E0A8F">
        <w:rPr>
          <w:iCs/>
        </w:rPr>
        <w:t xml:space="preserve"> and impartial tribunal</w:t>
      </w:r>
      <w:r w:rsidR="00FA6547" w:rsidRPr="00D87EE8">
        <w:rPr>
          <w:iCs/>
        </w:rPr>
        <w:t>.</w:t>
      </w:r>
    </w:p>
    <w:bookmarkEnd w:id="1"/>
    <w:p w14:paraId="20BA4C95" w14:textId="77777777" w:rsidR="00417863" w:rsidRPr="00417863" w:rsidRDefault="00417863" w:rsidP="0027376F">
      <w:pPr>
        <w:ind w:left="709"/>
        <w:jc w:val="both"/>
        <w:rPr>
          <w:rFonts w:eastAsia="Times New Roman" w:cs="Times New Roman"/>
        </w:rPr>
      </w:pPr>
    </w:p>
    <w:p w14:paraId="72E3B3DB" w14:textId="55BAD0FE" w:rsidR="00AC13F2" w:rsidRDefault="00FA24BE" w:rsidP="00575CB5">
      <w:pPr>
        <w:pStyle w:val="ListParagraph"/>
        <w:numPr>
          <w:ilvl w:val="1"/>
          <w:numId w:val="18"/>
        </w:numPr>
        <w:jc w:val="both"/>
        <w:rPr>
          <w:color w:val="000000"/>
        </w:rPr>
      </w:pPr>
      <w:r w:rsidRPr="004F7BFF">
        <w:rPr>
          <w:color w:val="000000"/>
        </w:rPr>
        <w:t>Th</w:t>
      </w:r>
      <w:r w:rsidR="00667EA3">
        <w:rPr>
          <w:color w:val="000000"/>
        </w:rPr>
        <w:t xml:space="preserve">is has been expanded upon by </w:t>
      </w:r>
      <w:r w:rsidR="0027211B">
        <w:rPr>
          <w:color w:val="000000"/>
        </w:rPr>
        <w:t xml:space="preserve">the UN Human Rights Committee, General Comment 32 on </w:t>
      </w:r>
      <w:r w:rsidR="001322D7">
        <w:rPr>
          <w:color w:val="000000"/>
        </w:rPr>
        <w:t>Article 14.</w:t>
      </w:r>
      <w:r w:rsidR="00EF07C7">
        <w:rPr>
          <w:rStyle w:val="FootnoteReference"/>
          <w:color w:val="000000"/>
        </w:rPr>
        <w:footnoteReference w:id="4"/>
      </w:r>
      <w:r w:rsidRPr="004F7BFF">
        <w:rPr>
          <w:color w:val="000000"/>
        </w:rPr>
        <w:t xml:space="preserve"> </w:t>
      </w:r>
      <w:r w:rsidR="00EF07C7">
        <w:rPr>
          <w:color w:val="000000"/>
        </w:rPr>
        <w:t>Here t</w:t>
      </w:r>
      <w:r w:rsidR="001322D7">
        <w:rPr>
          <w:color w:val="000000"/>
        </w:rPr>
        <w:t xml:space="preserve">he </w:t>
      </w:r>
      <w:r w:rsidR="00CD7836">
        <w:rPr>
          <w:color w:val="000000"/>
        </w:rPr>
        <w:t>Human Rights Committee</w:t>
      </w:r>
      <w:r w:rsidR="00035546" w:rsidRPr="004F7BFF">
        <w:rPr>
          <w:color w:val="000000"/>
        </w:rPr>
        <w:t xml:space="preserve"> underlined</w:t>
      </w:r>
      <w:r w:rsidRPr="004F7BFF">
        <w:rPr>
          <w:color w:val="000000"/>
        </w:rPr>
        <w:t xml:space="preserve"> that</w:t>
      </w:r>
      <w:r w:rsidR="00AC13F2">
        <w:rPr>
          <w:color w:val="000000"/>
        </w:rPr>
        <w:t xml:space="preserve">: </w:t>
      </w:r>
    </w:p>
    <w:p w14:paraId="23FD2B96" w14:textId="77777777" w:rsidR="00AC13F2" w:rsidRDefault="00AC13F2" w:rsidP="00AC13F2">
      <w:pPr>
        <w:pStyle w:val="ListParagraph"/>
        <w:jc w:val="both"/>
        <w:rPr>
          <w:color w:val="000000"/>
        </w:rPr>
      </w:pPr>
    </w:p>
    <w:p w14:paraId="408A3281" w14:textId="4FB84837" w:rsidR="001322D7" w:rsidRDefault="00EF07C7" w:rsidP="00AC13F2">
      <w:pPr>
        <w:pStyle w:val="ListParagraph"/>
        <w:ind w:left="1440"/>
        <w:jc w:val="both"/>
        <w:rPr>
          <w:color w:val="000000"/>
        </w:rPr>
      </w:pPr>
      <w:r>
        <w:rPr>
          <w:color w:val="000000"/>
        </w:rPr>
        <w:t xml:space="preserve">The </w:t>
      </w:r>
      <w:r w:rsidR="00AC13F2" w:rsidRPr="00AC13F2">
        <w:rPr>
          <w:color w:val="000000"/>
        </w:rPr>
        <w:t>right to equality before the courts and tribunals and to a fair trial is a key element of human rights protection and serves as a procedural means to safeguard the rule of law</w:t>
      </w:r>
      <w:r w:rsidR="007458DB">
        <w:rPr>
          <w:color w:val="000000"/>
        </w:rPr>
        <w:t>.</w:t>
      </w:r>
    </w:p>
    <w:p w14:paraId="3AFE66C2" w14:textId="77777777" w:rsidR="001322D7" w:rsidRDefault="001322D7" w:rsidP="001322D7">
      <w:pPr>
        <w:pStyle w:val="ListParagraph"/>
        <w:jc w:val="both"/>
        <w:rPr>
          <w:color w:val="000000"/>
        </w:rPr>
      </w:pPr>
    </w:p>
    <w:p w14:paraId="1F153ADC" w14:textId="01BCFD45" w:rsidR="000A580F" w:rsidRDefault="0007705C" w:rsidP="000A580F">
      <w:pPr>
        <w:pStyle w:val="ListParagraph"/>
        <w:numPr>
          <w:ilvl w:val="1"/>
          <w:numId w:val="18"/>
        </w:numPr>
        <w:jc w:val="both"/>
        <w:rPr>
          <w:color w:val="000000"/>
        </w:rPr>
      </w:pPr>
      <w:r>
        <w:rPr>
          <w:color w:val="000000"/>
        </w:rPr>
        <w:t xml:space="preserve">General </w:t>
      </w:r>
      <w:r w:rsidR="000A580F">
        <w:rPr>
          <w:color w:val="000000"/>
        </w:rPr>
        <w:t xml:space="preserve">Comment 32 </w:t>
      </w:r>
      <w:r w:rsidR="007458DB">
        <w:rPr>
          <w:color w:val="000000"/>
        </w:rPr>
        <w:t>expands on</w:t>
      </w:r>
      <w:r w:rsidR="008422E1">
        <w:rPr>
          <w:color w:val="000000"/>
        </w:rPr>
        <w:t xml:space="preserve"> this principle further and goes on to state that</w:t>
      </w:r>
      <w:r w:rsidR="000A580F">
        <w:rPr>
          <w:color w:val="000000"/>
        </w:rPr>
        <w:t>:</w:t>
      </w:r>
    </w:p>
    <w:p w14:paraId="67C6DABF" w14:textId="77777777" w:rsidR="008B2C23" w:rsidRDefault="008B2C23" w:rsidP="008B2C23">
      <w:pPr>
        <w:pStyle w:val="ListParagraph"/>
        <w:jc w:val="both"/>
        <w:rPr>
          <w:color w:val="000000"/>
        </w:rPr>
      </w:pPr>
    </w:p>
    <w:p w14:paraId="7F5CBC11" w14:textId="07568D0B" w:rsidR="00180EF3" w:rsidRPr="000A580F" w:rsidRDefault="000A580F" w:rsidP="008B2C23">
      <w:pPr>
        <w:pStyle w:val="ListParagraph"/>
        <w:ind w:left="1440"/>
        <w:jc w:val="both"/>
        <w:rPr>
          <w:color w:val="000000"/>
        </w:rPr>
      </w:pPr>
      <w:r w:rsidRPr="000A580F">
        <w:rPr>
          <w:color w:val="000000"/>
        </w:rPr>
        <w:t xml:space="preserve">The availability or absence of legal assistance often determines </w:t>
      </w:r>
      <w:proofErr w:type="gramStart"/>
      <w:r w:rsidRPr="000A580F">
        <w:rPr>
          <w:color w:val="000000"/>
        </w:rPr>
        <w:t>whether or not</w:t>
      </w:r>
      <w:proofErr w:type="gramEnd"/>
      <w:r w:rsidRPr="000A580F">
        <w:rPr>
          <w:color w:val="000000"/>
        </w:rPr>
        <w:t xml:space="preserve"> a person can access the relevant proceedings or participate in them in a meaningful way. While article 14 explicitly addresses the guarantee of legal assistance in criminal proceedings in paragraph 3 (d), States are encouraged to provide free legal aid in other cases, for individuals who do not have sufficient means to pay for it. In some cases, they may even be obliged to do so. For instance, where a person sentenced to death seeks available constitutional review of irregularities in a criminal trial but does not have sufficient means to meet the costs of legal assistance </w:t>
      </w:r>
      <w:proofErr w:type="gramStart"/>
      <w:r w:rsidRPr="000A580F">
        <w:rPr>
          <w:color w:val="000000"/>
        </w:rPr>
        <w:t>in order to</w:t>
      </w:r>
      <w:proofErr w:type="gramEnd"/>
      <w:r w:rsidRPr="000A580F">
        <w:rPr>
          <w:color w:val="000000"/>
        </w:rPr>
        <w:t xml:space="preserve"> pursue such remedy, the State is obliged to provide legal assistance in accordance with article 14, paragraph 1, in conjunction with the right to an effective remedy as enshrined in article 2, paragraph 3 of the Covenant.</w:t>
      </w:r>
      <w:r w:rsidR="00941B0D">
        <w:rPr>
          <w:rStyle w:val="FootnoteReference"/>
          <w:color w:val="000000"/>
        </w:rPr>
        <w:footnoteReference w:id="5"/>
      </w:r>
    </w:p>
    <w:p w14:paraId="23A7D0D0" w14:textId="77777777" w:rsidR="00180EF3" w:rsidRDefault="00180EF3" w:rsidP="002234D8">
      <w:pPr>
        <w:pStyle w:val="ListParagraph"/>
        <w:jc w:val="both"/>
        <w:rPr>
          <w:color w:val="000000"/>
        </w:rPr>
      </w:pPr>
    </w:p>
    <w:p w14:paraId="7802801E" w14:textId="515EB856" w:rsidR="00420B6B" w:rsidRPr="002234D8" w:rsidRDefault="00F9737E" w:rsidP="002234D8">
      <w:pPr>
        <w:pStyle w:val="ListParagraph"/>
        <w:numPr>
          <w:ilvl w:val="1"/>
          <w:numId w:val="18"/>
        </w:numPr>
        <w:jc w:val="both"/>
        <w:rPr>
          <w:color w:val="000000"/>
        </w:rPr>
      </w:pPr>
      <w:r>
        <w:rPr>
          <w:color w:val="000000"/>
        </w:rPr>
        <w:t>From Article 14</w:t>
      </w:r>
      <w:r w:rsidR="00C45687">
        <w:rPr>
          <w:color w:val="000000"/>
        </w:rPr>
        <w:t xml:space="preserve"> of the ICCPR</w:t>
      </w:r>
      <w:r>
        <w:rPr>
          <w:color w:val="000000"/>
        </w:rPr>
        <w:t xml:space="preserve"> and the </w:t>
      </w:r>
      <w:r w:rsidR="00EF5F81">
        <w:rPr>
          <w:color w:val="000000"/>
        </w:rPr>
        <w:t>General Comment</w:t>
      </w:r>
      <w:r w:rsidR="00B742A8">
        <w:rPr>
          <w:color w:val="000000"/>
        </w:rPr>
        <w:t xml:space="preserve"> of the Human Rights Committee</w:t>
      </w:r>
      <w:r w:rsidR="00EF5F81">
        <w:rPr>
          <w:color w:val="000000"/>
        </w:rPr>
        <w:t>, we can discern that w</w:t>
      </w:r>
      <w:r w:rsidR="002B3A27">
        <w:rPr>
          <w:color w:val="000000"/>
        </w:rPr>
        <w:t>hilst there is</w:t>
      </w:r>
      <w:r w:rsidR="00C80E12">
        <w:rPr>
          <w:color w:val="000000"/>
        </w:rPr>
        <w:t xml:space="preserve"> </w:t>
      </w:r>
      <w:r w:rsidR="002B3A27">
        <w:rPr>
          <w:color w:val="000000"/>
        </w:rPr>
        <w:t>a</w:t>
      </w:r>
      <w:r w:rsidR="002E5BA3">
        <w:rPr>
          <w:color w:val="000000"/>
        </w:rPr>
        <w:t xml:space="preserve"> more</w:t>
      </w:r>
      <w:r w:rsidR="00C80E12">
        <w:rPr>
          <w:color w:val="000000"/>
        </w:rPr>
        <w:t xml:space="preserve"> obvious and</w:t>
      </w:r>
      <w:r w:rsidR="002E5BA3">
        <w:rPr>
          <w:color w:val="000000"/>
        </w:rPr>
        <w:t xml:space="preserve"> urgent need to </w:t>
      </w:r>
      <w:r w:rsidR="009749F4">
        <w:rPr>
          <w:color w:val="000000"/>
        </w:rPr>
        <w:t>ensure</w:t>
      </w:r>
      <w:r w:rsidR="003E3A11">
        <w:rPr>
          <w:color w:val="000000"/>
        </w:rPr>
        <w:t xml:space="preserve"> that</w:t>
      </w:r>
      <w:r w:rsidR="002E5BA3">
        <w:rPr>
          <w:color w:val="000000"/>
        </w:rPr>
        <w:t xml:space="preserve"> appropriate legal advice and representation</w:t>
      </w:r>
      <w:r w:rsidR="003E3A11">
        <w:rPr>
          <w:color w:val="000000"/>
        </w:rPr>
        <w:t xml:space="preserve"> is provided to </w:t>
      </w:r>
      <w:r w:rsidR="005815B9">
        <w:rPr>
          <w:color w:val="000000"/>
        </w:rPr>
        <w:t>those</w:t>
      </w:r>
      <w:r w:rsidR="00812CC2">
        <w:rPr>
          <w:color w:val="000000"/>
        </w:rPr>
        <w:t xml:space="preserve"> facing criminal proceedings, </w:t>
      </w:r>
      <w:proofErr w:type="gramStart"/>
      <w:r w:rsidR="00812CC2">
        <w:rPr>
          <w:color w:val="000000"/>
        </w:rPr>
        <w:t>it is clear that the</w:t>
      </w:r>
      <w:proofErr w:type="gramEnd"/>
      <w:r w:rsidR="00812CC2">
        <w:rPr>
          <w:color w:val="000000"/>
        </w:rPr>
        <w:t xml:space="preserve"> State’s obligation</w:t>
      </w:r>
      <w:r w:rsidR="005815B9">
        <w:rPr>
          <w:color w:val="000000"/>
        </w:rPr>
        <w:t xml:space="preserve"> to equality before the</w:t>
      </w:r>
      <w:r w:rsidR="0031025A">
        <w:rPr>
          <w:color w:val="000000"/>
        </w:rPr>
        <w:t xml:space="preserve"> courts</w:t>
      </w:r>
      <w:r w:rsidR="00812CC2">
        <w:rPr>
          <w:color w:val="000000"/>
        </w:rPr>
        <w:t xml:space="preserve"> does not end there.</w:t>
      </w:r>
      <w:r w:rsidR="00DC21A8">
        <w:rPr>
          <w:color w:val="000000"/>
        </w:rPr>
        <w:t xml:space="preserve"> There i</w:t>
      </w:r>
      <w:r w:rsidR="00473F9F">
        <w:rPr>
          <w:color w:val="000000"/>
        </w:rPr>
        <w:t>s</w:t>
      </w:r>
      <w:r w:rsidR="00DC21A8">
        <w:rPr>
          <w:color w:val="000000"/>
        </w:rPr>
        <w:t xml:space="preserve"> an</w:t>
      </w:r>
      <w:r w:rsidR="0031025A">
        <w:rPr>
          <w:color w:val="000000"/>
        </w:rPr>
        <w:t xml:space="preserve"> international</w:t>
      </w:r>
      <w:r w:rsidR="00DC21A8">
        <w:rPr>
          <w:color w:val="000000"/>
        </w:rPr>
        <w:t xml:space="preserve"> obligation </w:t>
      </w:r>
      <w:r w:rsidR="00473F9F">
        <w:rPr>
          <w:color w:val="000000"/>
        </w:rPr>
        <w:t xml:space="preserve">on states to secure </w:t>
      </w:r>
      <w:r w:rsidR="00E52464">
        <w:rPr>
          <w:color w:val="000000"/>
        </w:rPr>
        <w:t>provisio</w:t>
      </w:r>
      <w:r w:rsidR="00C96670">
        <w:rPr>
          <w:color w:val="000000"/>
        </w:rPr>
        <w:t xml:space="preserve">n of legal assistance </w:t>
      </w:r>
      <w:r w:rsidR="00F872DD">
        <w:rPr>
          <w:color w:val="000000"/>
        </w:rPr>
        <w:t xml:space="preserve">in civil matters. As noted above, the introduction of </w:t>
      </w:r>
      <w:r w:rsidR="00472A2E">
        <w:rPr>
          <w:color w:val="000000"/>
        </w:rPr>
        <w:t>p</w:t>
      </w:r>
      <w:r w:rsidR="00F872DD">
        <w:rPr>
          <w:color w:val="000000"/>
        </w:rPr>
        <w:t>ro</w:t>
      </w:r>
      <w:r w:rsidR="00472A2E">
        <w:rPr>
          <w:color w:val="000000"/>
        </w:rPr>
        <w:t xml:space="preserve"> b</w:t>
      </w:r>
      <w:r w:rsidR="00F872DD">
        <w:rPr>
          <w:color w:val="000000"/>
        </w:rPr>
        <w:t xml:space="preserve">ono </w:t>
      </w:r>
      <w:r w:rsidR="00472A2E">
        <w:rPr>
          <w:color w:val="000000"/>
        </w:rPr>
        <w:t>c</w:t>
      </w:r>
      <w:r w:rsidR="00F872DD">
        <w:rPr>
          <w:color w:val="000000"/>
        </w:rPr>
        <w:t xml:space="preserve">osts </w:t>
      </w:r>
      <w:r w:rsidR="00472A2E">
        <w:rPr>
          <w:color w:val="000000"/>
        </w:rPr>
        <w:t>o</w:t>
      </w:r>
      <w:r w:rsidR="00F872DD">
        <w:rPr>
          <w:color w:val="000000"/>
        </w:rPr>
        <w:t xml:space="preserve">rders </w:t>
      </w:r>
      <w:r w:rsidR="00835A24">
        <w:rPr>
          <w:color w:val="000000"/>
        </w:rPr>
        <w:t>could</w:t>
      </w:r>
      <w:r w:rsidR="00F872DD">
        <w:rPr>
          <w:color w:val="000000"/>
        </w:rPr>
        <w:t xml:space="preserve"> </w:t>
      </w:r>
      <w:proofErr w:type="gramStart"/>
      <w:r w:rsidR="00F872DD">
        <w:rPr>
          <w:color w:val="000000"/>
        </w:rPr>
        <w:t>have an effect on</w:t>
      </w:r>
      <w:proofErr w:type="gramEnd"/>
      <w:r w:rsidR="00F872DD">
        <w:rPr>
          <w:color w:val="000000"/>
        </w:rPr>
        <w:t xml:space="preserve"> that</w:t>
      </w:r>
      <w:r w:rsidR="00835A24">
        <w:rPr>
          <w:color w:val="000000"/>
        </w:rPr>
        <w:t xml:space="preserve"> provision.</w:t>
      </w:r>
    </w:p>
    <w:p w14:paraId="12FA06D2" w14:textId="77777777" w:rsidR="00DF196A" w:rsidRDefault="00DF196A" w:rsidP="00C7663E">
      <w:pPr>
        <w:rPr>
          <w:b/>
          <w:bCs/>
          <w:color w:val="7030A0"/>
          <w:sz w:val="28"/>
          <w:szCs w:val="28"/>
        </w:rPr>
      </w:pPr>
    </w:p>
    <w:p w14:paraId="1CE46CF3" w14:textId="77777777" w:rsidR="00C7663E" w:rsidRPr="00971A94" w:rsidRDefault="004D0536" w:rsidP="00C7663E">
      <w:pPr>
        <w:rPr>
          <w:b/>
          <w:bCs/>
          <w:color w:val="7030A0"/>
          <w:sz w:val="28"/>
          <w:szCs w:val="28"/>
        </w:rPr>
      </w:pPr>
      <w:r w:rsidRPr="002234D8">
        <w:rPr>
          <w:b/>
          <w:bCs/>
        </w:rPr>
        <w:lastRenderedPageBreak/>
        <w:t>European Convention on Human Rights</w:t>
      </w:r>
      <w:r w:rsidRPr="002234D8">
        <w:rPr>
          <w:b/>
          <w:bCs/>
          <w:sz w:val="28"/>
          <w:szCs w:val="28"/>
        </w:rPr>
        <w:t xml:space="preserve"> </w:t>
      </w:r>
    </w:p>
    <w:p w14:paraId="023464C6" w14:textId="77777777" w:rsidR="004D0536" w:rsidRDefault="004D0536" w:rsidP="00C7663E">
      <w:pPr>
        <w:pStyle w:val="ListParagraph"/>
      </w:pPr>
    </w:p>
    <w:p w14:paraId="2F0A9FC7" w14:textId="2037F76E" w:rsidR="00180EF3" w:rsidRPr="00F42D42" w:rsidRDefault="00507E84" w:rsidP="00180EF3">
      <w:pPr>
        <w:pStyle w:val="ListParagraph"/>
        <w:numPr>
          <w:ilvl w:val="1"/>
          <w:numId w:val="18"/>
        </w:numPr>
        <w:jc w:val="both"/>
        <w:rPr>
          <w:color w:val="000000"/>
        </w:rPr>
      </w:pPr>
      <w:r w:rsidRPr="00507E84">
        <w:t xml:space="preserve">The Human Rights Act 1998 </w:t>
      </w:r>
      <w:r>
        <w:t xml:space="preserve">(HRA) </w:t>
      </w:r>
      <w:r w:rsidRPr="00507E84">
        <w:t>incorporates the rights set out in the European Convention on Human Rights (ECHR) into</w:t>
      </w:r>
      <w:r w:rsidR="007A0FF6">
        <w:t xml:space="preserve"> UK</w:t>
      </w:r>
      <w:r w:rsidRPr="00507E84">
        <w:t xml:space="preserve"> domestic law. </w:t>
      </w:r>
      <w:r>
        <w:t>As</w:t>
      </w:r>
      <w:r w:rsidR="00180EF3">
        <w:t xml:space="preserve"> </w:t>
      </w:r>
      <w:r w:rsidR="00E171E6">
        <w:t>Policing and Justice</w:t>
      </w:r>
      <w:r w:rsidR="00180EF3">
        <w:t xml:space="preserve"> is a devolved matter within the competency of the NI Assembly and Executive</w:t>
      </w:r>
      <w:r w:rsidR="007A0FF6">
        <w:t>,</w:t>
      </w:r>
      <w:r w:rsidR="00180EF3">
        <w:t xml:space="preserve"> the ECHR and associated jurisprudence is directly applicable in NI. Established public authorities such as the </w:t>
      </w:r>
      <w:r w:rsidR="00E171E6">
        <w:t>Courts and Tribunals Service</w:t>
      </w:r>
      <w:r w:rsidR="00180EF3">
        <w:t xml:space="preserve"> are</w:t>
      </w:r>
      <w:r w:rsidR="00712830">
        <w:t xml:space="preserve"> also</w:t>
      </w:r>
      <w:r w:rsidR="00180EF3">
        <w:t xml:space="preserve"> bound by these rules.</w:t>
      </w:r>
    </w:p>
    <w:p w14:paraId="45A05057" w14:textId="77777777" w:rsidR="00180EF3" w:rsidRPr="002234D8" w:rsidRDefault="00180EF3" w:rsidP="002234D8">
      <w:pPr>
        <w:pStyle w:val="ListParagraph"/>
        <w:jc w:val="both"/>
        <w:rPr>
          <w:color w:val="000000"/>
        </w:rPr>
      </w:pPr>
    </w:p>
    <w:p w14:paraId="4BB2510C" w14:textId="0E8A3538" w:rsidR="00C75256" w:rsidRDefault="00001694" w:rsidP="00C75256">
      <w:pPr>
        <w:pStyle w:val="ListParagraph"/>
        <w:numPr>
          <w:ilvl w:val="1"/>
          <w:numId w:val="18"/>
        </w:numPr>
        <w:jc w:val="both"/>
      </w:pPr>
      <w:r>
        <w:t xml:space="preserve">Of </w:t>
      </w:r>
      <w:proofErr w:type="gramStart"/>
      <w:r>
        <w:t>particular relevance</w:t>
      </w:r>
      <w:proofErr w:type="gramEnd"/>
      <w:r>
        <w:t xml:space="preserve"> to the </w:t>
      </w:r>
      <w:r w:rsidR="004022E2">
        <w:t xml:space="preserve">introduction of </w:t>
      </w:r>
      <w:r w:rsidR="00472A2E">
        <w:t>p</w:t>
      </w:r>
      <w:r w:rsidR="004022E2">
        <w:t>ro</w:t>
      </w:r>
      <w:r w:rsidR="00472A2E">
        <w:t xml:space="preserve"> b</w:t>
      </w:r>
      <w:r w:rsidR="004022E2">
        <w:t xml:space="preserve">ono </w:t>
      </w:r>
      <w:r w:rsidR="00472A2E">
        <w:t>c</w:t>
      </w:r>
      <w:r w:rsidR="004022E2">
        <w:t xml:space="preserve">osts </w:t>
      </w:r>
      <w:r w:rsidR="00472A2E">
        <w:t>o</w:t>
      </w:r>
      <w:r w:rsidR="004022E2">
        <w:t>rders</w:t>
      </w:r>
      <w:r w:rsidR="009E26F8">
        <w:t xml:space="preserve"> is</w:t>
      </w:r>
      <w:r>
        <w:t xml:space="preserve"> Article 6 ECHR,</w:t>
      </w:r>
      <w:r w:rsidR="009E26F8">
        <w:t xml:space="preserve"> the right to</w:t>
      </w:r>
      <w:r w:rsidR="007A0FF6">
        <w:t xml:space="preserve"> a</w:t>
      </w:r>
      <w:r w:rsidR="009E26F8">
        <w:t xml:space="preserve"> fair trial and access to justice</w:t>
      </w:r>
      <w:r w:rsidR="007A0FF6">
        <w:t>,</w:t>
      </w:r>
      <w:r w:rsidR="00B25489">
        <w:t xml:space="preserve"> which</w:t>
      </w:r>
      <w:r w:rsidR="009E26F8">
        <w:t xml:space="preserve"> </w:t>
      </w:r>
      <w:r w:rsidR="00C75256">
        <w:t>reads as follows</w:t>
      </w:r>
      <w:r w:rsidR="007568F3">
        <w:t>:</w:t>
      </w:r>
    </w:p>
    <w:p w14:paraId="12DC19A5" w14:textId="77777777" w:rsidR="00C75256" w:rsidRDefault="00C75256" w:rsidP="007568F3">
      <w:pPr>
        <w:pStyle w:val="ListParagraph"/>
        <w:jc w:val="both"/>
      </w:pPr>
    </w:p>
    <w:p w14:paraId="7D80F196" w14:textId="77777777" w:rsidR="004F3019" w:rsidRPr="004F3019" w:rsidRDefault="004F3019" w:rsidP="006414A6">
      <w:pPr>
        <w:pStyle w:val="ListParagraph"/>
        <w:numPr>
          <w:ilvl w:val="0"/>
          <w:numId w:val="28"/>
        </w:numPr>
        <w:tabs>
          <w:tab w:val="clear" w:pos="720"/>
          <w:tab w:val="num" w:pos="1440"/>
        </w:tabs>
        <w:ind w:left="1440"/>
      </w:pPr>
      <w:r w:rsidRPr="004F3019">
        <w:t xml:space="preserve">In the determination of his civil rights and obligations or of any criminal charge against him, everyone is entitled to a fair and public hearing within a reasonable time by an independent and impartial tribunal established by law. Judgment shall be pronounced publicly but the press and public may be excluded from all or part of the trial in the interest of morals, public </w:t>
      </w:r>
      <w:proofErr w:type="gramStart"/>
      <w:r w:rsidRPr="004F3019">
        <w:t>order</w:t>
      </w:r>
      <w:proofErr w:type="gramEnd"/>
      <w:r w:rsidRPr="004F3019">
        <w:t xml:space="preserve"> or national security in a democratic society, where the interests of juveniles or the protection of the private life of the parties so require, or the extent strictly necessary in the opinion of the court in special circumstances where publicity would prejudice the interests of justice.</w:t>
      </w:r>
    </w:p>
    <w:p w14:paraId="56C10406" w14:textId="77777777" w:rsidR="004F3019" w:rsidRPr="004F3019" w:rsidRDefault="004F3019" w:rsidP="006414A6">
      <w:pPr>
        <w:pStyle w:val="ListParagraph"/>
        <w:numPr>
          <w:ilvl w:val="0"/>
          <w:numId w:val="28"/>
        </w:numPr>
        <w:tabs>
          <w:tab w:val="clear" w:pos="720"/>
          <w:tab w:val="num" w:pos="1440"/>
        </w:tabs>
        <w:ind w:left="1440"/>
      </w:pPr>
      <w:r w:rsidRPr="004F3019">
        <w:t>Everyone charged with a criminal offence shall be presumed innocent until proven guilty according to law.</w:t>
      </w:r>
    </w:p>
    <w:p w14:paraId="45C42FD3" w14:textId="77777777" w:rsidR="004F3019" w:rsidRPr="004F3019" w:rsidRDefault="004F3019" w:rsidP="006414A6">
      <w:pPr>
        <w:pStyle w:val="ListParagraph"/>
        <w:numPr>
          <w:ilvl w:val="0"/>
          <w:numId w:val="28"/>
        </w:numPr>
        <w:tabs>
          <w:tab w:val="clear" w:pos="720"/>
          <w:tab w:val="num" w:pos="1440"/>
        </w:tabs>
        <w:ind w:left="1440"/>
      </w:pPr>
      <w:r w:rsidRPr="004F3019">
        <w:t>Everyone charged with a criminal offence has the following minimum rights:</w:t>
      </w:r>
    </w:p>
    <w:p w14:paraId="126B7CBC" w14:textId="0F699DD6" w:rsidR="004F3019" w:rsidRPr="004F3019" w:rsidRDefault="004F3019" w:rsidP="006414A6">
      <w:pPr>
        <w:pStyle w:val="ListParagraph"/>
        <w:ind w:left="1800"/>
      </w:pPr>
      <w:r w:rsidRPr="004F3019">
        <w:t>(a)</w:t>
      </w:r>
      <w:r w:rsidR="00947642">
        <w:t xml:space="preserve"> </w:t>
      </w:r>
      <w:r w:rsidRPr="004F3019">
        <w:t xml:space="preserve"> to be informed promptly, in a language which he understands and in detail, of the nature and cause of the accusation against </w:t>
      </w:r>
      <w:proofErr w:type="gramStart"/>
      <w:r w:rsidRPr="004F3019">
        <w:t>him;</w:t>
      </w:r>
      <w:proofErr w:type="gramEnd"/>
    </w:p>
    <w:p w14:paraId="409CEBEC" w14:textId="61D8C96C" w:rsidR="004F3019" w:rsidRPr="004F3019" w:rsidRDefault="004F3019" w:rsidP="006414A6">
      <w:pPr>
        <w:pStyle w:val="ListParagraph"/>
        <w:ind w:left="1800"/>
      </w:pPr>
      <w:r w:rsidRPr="004F3019">
        <w:t>(b)</w:t>
      </w:r>
      <w:r w:rsidR="00947642">
        <w:t xml:space="preserve"> </w:t>
      </w:r>
      <w:r w:rsidRPr="004F3019">
        <w:t xml:space="preserve"> to have adequate time and the facilities for the preparation of his </w:t>
      </w:r>
      <w:proofErr w:type="gramStart"/>
      <w:r w:rsidRPr="004F3019">
        <w:t>defence;</w:t>
      </w:r>
      <w:proofErr w:type="gramEnd"/>
    </w:p>
    <w:p w14:paraId="5F139C57" w14:textId="54B4144B" w:rsidR="004F3019" w:rsidRPr="004F3019" w:rsidRDefault="004F3019" w:rsidP="006414A6">
      <w:pPr>
        <w:pStyle w:val="ListParagraph"/>
        <w:ind w:left="1800"/>
      </w:pPr>
      <w:r w:rsidRPr="004F3019">
        <w:t>(c)</w:t>
      </w:r>
      <w:r w:rsidR="00947642">
        <w:t xml:space="preserve"> </w:t>
      </w:r>
      <w:r w:rsidRPr="004F3019">
        <w:t xml:space="preserve"> to defend himself in person or through legal assistance of his own choosing or, if he has not sufficient means to pay for legal assistance, to be given it free when the interests of justice so </w:t>
      </w:r>
      <w:proofErr w:type="gramStart"/>
      <w:r w:rsidRPr="004F3019">
        <w:t>require;</w:t>
      </w:r>
      <w:proofErr w:type="gramEnd"/>
    </w:p>
    <w:p w14:paraId="0E61AD1F" w14:textId="1B7B55D8" w:rsidR="004F3019" w:rsidRPr="004F3019" w:rsidRDefault="004F3019" w:rsidP="006414A6">
      <w:pPr>
        <w:pStyle w:val="ListParagraph"/>
        <w:ind w:left="1800"/>
      </w:pPr>
      <w:r w:rsidRPr="004F3019">
        <w:t xml:space="preserve">(d) </w:t>
      </w:r>
      <w:r w:rsidR="00947642">
        <w:t xml:space="preserve"> </w:t>
      </w:r>
      <w:r w:rsidRPr="004F3019">
        <w:t xml:space="preserve">to examine or have examined witnesses against him and to obtain the attendance and examination of witnesses on his behalf under the same conditions as witnesses against </w:t>
      </w:r>
      <w:proofErr w:type="gramStart"/>
      <w:r w:rsidRPr="004F3019">
        <w:t>him;</w:t>
      </w:r>
      <w:proofErr w:type="gramEnd"/>
    </w:p>
    <w:p w14:paraId="543B26DF" w14:textId="77777777" w:rsidR="004F3019" w:rsidRPr="004F3019" w:rsidRDefault="004F3019" w:rsidP="006414A6">
      <w:pPr>
        <w:pStyle w:val="ListParagraph"/>
        <w:ind w:left="1800"/>
      </w:pPr>
      <w:r w:rsidRPr="004F3019">
        <w:t>(e) to have the free assistance of an interpreter if he cannot understand or speak the language used in court.</w:t>
      </w:r>
    </w:p>
    <w:p w14:paraId="7B6F8EEB" w14:textId="77777777" w:rsidR="009B6368" w:rsidRDefault="009B6368" w:rsidP="009B6368">
      <w:pPr>
        <w:pStyle w:val="ListParagraph"/>
      </w:pPr>
    </w:p>
    <w:p w14:paraId="3236E92E" w14:textId="0C1404AF" w:rsidR="00AA3463" w:rsidRPr="002E24A4" w:rsidRDefault="00CD3A23" w:rsidP="00D07624">
      <w:pPr>
        <w:pStyle w:val="ListParagraph"/>
        <w:numPr>
          <w:ilvl w:val="1"/>
          <w:numId w:val="18"/>
        </w:numPr>
        <w:jc w:val="both"/>
        <w:rPr>
          <w:color w:val="000000"/>
        </w:rPr>
      </w:pPr>
      <w:r>
        <w:t>I</w:t>
      </w:r>
      <w:r w:rsidR="00C07567">
        <w:t xml:space="preserve">t has been held that </w:t>
      </w:r>
      <w:r w:rsidR="00A71201" w:rsidRPr="00A71201">
        <w:t>Article 6</w:t>
      </w:r>
      <w:r w:rsidR="00A71201">
        <w:t>(</w:t>
      </w:r>
      <w:r w:rsidR="00A71201" w:rsidRPr="00A71201">
        <w:t>1</w:t>
      </w:r>
      <w:r w:rsidR="00A71201">
        <w:t>)</w:t>
      </w:r>
      <w:r w:rsidR="00A71201" w:rsidRPr="00A71201">
        <w:t xml:space="preserve"> does not</w:t>
      </w:r>
      <w:r w:rsidR="0074661F">
        <w:t xml:space="preserve"> obligate the State to provide</w:t>
      </w:r>
      <w:r w:rsidR="00A71201" w:rsidRPr="00A71201">
        <w:t xml:space="preserve"> free legal </w:t>
      </w:r>
      <w:r w:rsidR="0074661F">
        <w:t>representation</w:t>
      </w:r>
      <w:r w:rsidR="00A71201" w:rsidRPr="00A71201">
        <w:t xml:space="preserve"> for every disput</w:t>
      </w:r>
      <w:r w:rsidR="00DF0771">
        <w:t>e</w:t>
      </w:r>
      <w:r w:rsidR="007D50E2">
        <w:t>,</w:t>
      </w:r>
      <w:r w:rsidR="00BB7C19">
        <w:rPr>
          <w:rStyle w:val="FootnoteReference"/>
        </w:rPr>
        <w:footnoteReference w:id="6"/>
      </w:r>
      <w:r w:rsidR="007D50E2">
        <w:t xml:space="preserve"> </w:t>
      </w:r>
      <w:r w:rsidR="00DE253C">
        <w:t xml:space="preserve">and </w:t>
      </w:r>
      <w:r w:rsidR="007D50E2">
        <w:t>t</w:t>
      </w:r>
      <w:r w:rsidR="00A71201" w:rsidRPr="00A71201">
        <w:t>here</w:t>
      </w:r>
      <w:r w:rsidR="00DE253C">
        <w:t xml:space="preserve"> appears</w:t>
      </w:r>
      <w:r w:rsidR="006414A6">
        <w:t xml:space="preserve"> to be</w:t>
      </w:r>
      <w:r w:rsidR="00A71201" w:rsidRPr="00A71201">
        <w:t xml:space="preserve"> a distinction between Article 6</w:t>
      </w:r>
      <w:r w:rsidR="000312E4">
        <w:t>(</w:t>
      </w:r>
      <w:r w:rsidR="00A71201" w:rsidRPr="00A71201">
        <w:t>3</w:t>
      </w:r>
      <w:r w:rsidR="000312E4">
        <w:t>)</w:t>
      </w:r>
      <w:r w:rsidR="00A71201" w:rsidRPr="00A71201">
        <w:t>(c)</w:t>
      </w:r>
      <w:r w:rsidR="000312E4">
        <w:t xml:space="preserve">, </w:t>
      </w:r>
      <w:r w:rsidR="00A71201" w:rsidRPr="00A71201">
        <w:t>which guarantees the right to free legal aid in criminal proceedings subject to certain conditions</w:t>
      </w:r>
      <w:r w:rsidR="00B43364">
        <w:t xml:space="preserve">, </w:t>
      </w:r>
      <w:r w:rsidR="00A71201" w:rsidRPr="00A71201">
        <w:t>and Article 6</w:t>
      </w:r>
      <w:r w:rsidR="00DE253C">
        <w:t>(</w:t>
      </w:r>
      <w:r w:rsidR="00A71201" w:rsidRPr="00A71201">
        <w:t>1</w:t>
      </w:r>
      <w:r w:rsidR="00DE253C">
        <w:t>)</w:t>
      </w:r>
      <w:r w:rsidR="00A71201" w:rsidRPr="00A71201">
        <w:t>, which makes no reference to legal aid</w:t>
      </w:r>
      <w:r w:rsidR="000900E6">
        <w:t>.</w:t>
      </w:r>
      <w:r w:rsidR="000900E6">
        <w:rPr>
          <w:rStyle w:val="FootnoteReference"/>
        </w:rPr>
        <w:footnoteReference w:id="7"/>
      </w:r>
      <w:r w:rsidR="002E24A4">
        <w:t xml:space="preserve"> </w:t>
      </w:r>
      <w:r w:rsidR="00A71201" w:rsidRPr="00A71201">
        <w:t xml:space="preserve">However, the Convention is intended to </w:t>
      </w:r>
      <w:r w:rsidR="00A71201" w:rsidRPr="00A71201">
        <w:lastRenderedPageBreak/>
        <w:t xml:space="preserve">safeguard rights </w:t>
      </w:r>
      <w:r w:rsidR="002E24A4">
        <w:t>so that their enjoyment is</w:t>
      </w:r>
      <w:r w:rsidR="00A71201" w:rsidRPr="00A71201">
        <w:t xml:space="preserve"> practical and effective, in particular the right of access to a cour</w:t>
      </w:r>
      <w:r w:rsidR="0052245C">
        <w:t>t</w:t>
      </w:r>
      <w:r w:rsidR="002E24A4">
        <w:t>. It</w:t>
      </w:r>
      <w:r w:rsidR="0052245C">
        <w:t xml:space="preserve"> has been held that </w:t>
      </w:r>
      <w:r w:rsidR="00A71201" w:rsidRPr="00A71201">
        <w:t>Article 6</w:t>
      </w:r>
      <w:r>
        <w:t>(</w:t>
      </w:r>
      <w:r w:rsidR="00A71201" w:rsidRPr="00A71201">
        <w:t>1</w:t>
      </w:r>
      <w:r>
        <w:t>)</w:t>
      </w:r>
      <w:r w:rsidR="00A71201" w:rsidRPr="00A71201">
        <w:t xml:space="preserve"> may compel the State to provide for the assistance of a lawyer</w:t>
      </w:r>
      <w:r w:rsidR="00FF1550">
        <w:t xml:space="preserve"> in civil proceedings</w:t>
      </w:r>
      <w:r w:rsidR="00A71201" w:rsidRPr="00A71201">
        <w:t xml:space="preserve"> when such assistance proves indispensable for an effective access to court.</w:t>
      </w:r>
      <w:r w:rsidR="00B43364">
        <w:rPr>
          <w:rStyle w:val="FootnoteReference"/>
        </w:rPr>
        <w:footnoteReference w:id="8"/>
      </w:r>
    </w:p>
    <w:p w14:paraId="24B0BAEB" w14:textId="77777777" w:rsidR="001E48EA" w:rsidRPr="001E48EA" w:rsidRDefault="001E48EA" w:rsidP="001E48EA">
      <w:pPr>
        <w:pStyle w:val="ListParagraph"/>
        <w:rPr>
          <w:color w:val="000000"/>
        </w:rPr>
      </w:pPr>
    </w:p>
    <w:p w14:paraId="03251A0D" w14:textId="53CE926D" w:rsidR="0094442D" w:rsidRPr="0094442D" w:rsidRDefault="00EF6729" w:rsidP="0094442D">
      <w:pPr>
        <w:pStyle w:val="ListParagraph"/>
        <w:numPr>
          <w:ilvl w:val="1"/>
          <w:numId w:val="18"/>
        </w:numPr>
        <w:jc w:val="both"/>
        <w:rPr>
          <w:color w:val="000000"/>
        </w:rPr>
      </w:pPr>
      <w:r>
        <w:rPr>
          <w:color w:val="000000"/>
        </w:rPr>
        <w:t>T</w:t>
      </w:r>
      <w:r w:rsidR="004B1ABF">
        <w:rPr>
          <w:color w:val="000000"/>
        </w:rPr>
        <w:t>here is</w:t>
      </w:r>
      <w:r>
        <w:rPr>
          <w:color w:val="000000"/>
        </w:rPr>
        <w:t xml:space="preserve"> therefore</w:t>
      </w:r>
      <w:r w:rsidR="004B1ABF">
        <w:rPr>
          <w:color w:val="000000"/>
        </w:rPr>
        <w:t xml:space="preserve"> a</w:t>
      </w:r>
      <w:r w:rsidR="00337619">
        <w:rPr>
          <w:color w:val="000000"/>
        </w:rPr>
        <w:t>n obligation</w:t>
      </w:r>
      <w:r w:rsidR="001E48EA" w:rsidRPr="001E48EA">
        <w:rPr>
          <w:color w:val="000000"/>
        </w:rPr>
        <w:t xml:space="preserve"> o</w:t>
      </w:r>
      <w:r w:rsidR="004B1ABF">
        <w:rPr>
          <w:color w:val="000000"/>
        </w:rPr>
        <w:t>n</w:t>
      </w:r>
      <w:r w:rsidR="001E48EA" w:rsidRPr="001E48EA">
        <w:rPr>
          <w:color w:val="000000"/>
        </w:rPr>
        <w:t xml:space="preserve"> the State to ensure</w:t>
      </w:r>
      <w:r w:rsidR="003119A1">
        <w:rPr>
          <w:color w:val="000000"/>
        </w:rPr>
        <w:t xml:space="preserve"> </w:t>
      </w:r>
      <w:r w:rsidR="0083353D">
        <w:rPr>
          <w:color w:val="000000"/>
        </w:rPr>
        <w:t>reasonable access to legal representation, e</w:t>
      </w:r>
      <w:r w:rsidR="00337619">
        <w:rPr>
          <w:color w:val="000000"/>
        </w:rPr>
        <w:t>v</w:t>
      </w:r>
      <w:r w:rsidR="0083353D">
        <w:rPr>
          <w:color w:val="000000"/>
        </w:rPr>
        <w:t>en in civil cases</w:t>
      </w:r>
      <w:r w:rsidR="000A50BF">
        <w:rPr>
          <w:color w:val="000000"/>
        </w:rPr>
        <w:t xml:space="preserve"> in certain circumstances</w:t>
      </w:r>
      <w:r w:rsidR="0083353D">
        <w:rPr>
          <w:color w:val="000000"/>
        </w:rPr>
        <w:t>.</w:t>
      </w:r>
      <w:r w:rsidR="00E900C5">
        <w:rPr>
          <w:color w:val="000000"/>
        </w:rPr>
        <w:t xml:space="preserve"> How</w:t>
      </w:r>
      <w:r w:rsidR="001E48EA" w:rsidRPr="001E48EA">
        <w:rPr>
          <w:color w:val="000000"/>
        </w:rPr>
        <w:t xml:space="preserve"> the balanc</w:t>
      </w:r>
      <w:r w:rsidR="00E900C5">
        <w:rPr>
          <w:color w:val="000000"/>
        </w:rPr>
        <w:t>e</w:t>
      </w:r>
      <w:r w:rsidR="001E48EA" w:rsidRPr="001E48EA">
        <w:rPr>
          <w:color w:val="000000"/>
        </w:rPr>
        <w:t xml:space="preserve"> </w:t>
      </w:r>
      <w:r w:rsidR="002E24A4">
        <w:rPr>
          <w:color w:val="000000"/>
        </w:rPr>
        <w:t xml:space="preserve">is struck </w:t>
      </w:r>
      <w:r w:rsidR="00E900C5">
        <w:rPr>
          <w:color w:val="000000"/>
        </w:rPr>
        <w:t>between</w:t>
      </w:r>
      <w:r w:rsidR="009F1224">
        <w:rPr>
          <w:color w:val="000000"/>
        </w:rPr>
        <w:t xml:space="preserve"> </w:t>
      </w:r>
      <w:r w:rsidR="001E48EA" w:rsidRPr="001E48EA">
        <w:rPr>
          <w:color w:val="000000"/>
        </w:rPr>
        <w:t>access to justice</w:t>
      </w:r>
      <w:r w:rsidR="002959A8">
        <w:rPr>
          <w:color w:val="000000"/>
        </w:rPr>
        <w:t xml:space="preserve">, </w:t>
      </w:r>
      <w:r w:rsidR="00B535F5">
        <w:rPr>
          <w:color w:val="000000"/>
        </w:rPr>
        <w:t>the financial cost</w:t>
      </w:r>
      <w:r w:rsidR="00284E44">
        <w:rPr>
          <w:color w:val="000000"/>
        </w:rPr>
        <w:t xml:space="preserve"> </w:t>
      </w:r>
      <w:proofErr w:type="gramStart"/>
      <w:r w:rsidR="00284E44">
        <w:rPr>
          <w:color w:val="000000"/>
        </w:rPr>
        <w:t>involved</w:t>
      </w:r>
      <w:proofErr w:type="gramEnd"/>
      <w:r w:rsidR="002959A8">
        <w:rPr>
          <w:color w:val="000000"/>
        </w:rPr>
        <w:t xml:space="preserve"> and the </w:t>
      </w:r>
      <w:r w:rsidR="00E32795">
        <w:rPr>
          <w:color w:val="000000"/>
        </w:rPr>
        <w:t>effective operation of a legal system</w:t>
      </w:r>
      <w:r w:rsidR="00284E44">
        <w:rPr>
          <w:color w:val="000000"/>
        </w:rPr>
        <w:t xml:space="preserve"> </w:t>
      </w:r>
      <w:r w:rsidR="003119A1">
        <w:rPr>
          <w:color w:val="000000"/>
        </w:rPr>
        <w:t>falls with</w:t>
      </w:r>
      <w:r w:rsidR="00E32795">
        <w:rPr>
          <w:color w:val="000000"/>
        </w:rPr>
        <w:t>in</w:t>
      </w:r>
      <w:r w:rsidR="003119A1">
        <w:rPr>
          <w:color w:val="000000"/>
        </w:rPr>
        <w:t xml:space="preserve"> the margin of appreciation that t</w:t>
      </w:r>
      <w:r w:rsidR="00904DF7">
        <w:rPr>
          <w:color w:val="000000"/>
        </w:rPr>
        <w:t xml:space="preserve">he </w:t>
      </w:r>
      <w:r w:rsidR="00DD2FF6">
        <w:rPr>
          <w:color w:val="000000"/>
        </w:rPr>
        <w:t>ECHR</w:t>
      </w:r>
      <w:r w:rsidR="00904DF7">
        <w:rPr>
          <w:color w:val="000000"/>
        </w:rPr>
        <w:t xml:space="preserve"> allows</w:t>
      </w:r>
      <w:r w:rsidR="00284E44">
        <w:rPr>
          <w:color w:val="000000"/>
        </w:rPr>
        <w:t xml:space="preserve"> </w:t>
      </w:r>
      <w:r w:rsidR="004B1ABF">
        <w:rPr>
          <w:color w:val="000000"/>
        </w:rPr>
        <w:t>State</w:t>
      </w:r>
      <w:r w:rsidR="003B54CF">
        <w:rPr>
          <w:color w:val="000000"/>
        </w:rPr>
        <w:t>s</w:t>
      </w:r>
      <w:r w:rsidR="002E24A4">
        <w:rPr>
          <w:color w:val="000000"/>
        </w:rPr>
        <w:t>.</w:t>
      </w:r>
      <w:r w:rsidR="00ED1013">
        <w:rPr>
          <w:color w:val="000000"/>
        </w:rPr>
        <w:t xml:space="preserve"> </w:t>
      </w:r>
      <w:r w:rsidR="0068520C">
        <w:rPr>
          <w:color w:val="000000"/>
        </w:rPr>
        <w:t>It</w:t>
      </w:r>
      <w:r w:rsidR="001E48EA" w:rsidRPr="00ED1013">
        <w:rPr>
          <w:color w:val="000000"/>
        </w:rPr>
        <w:t xml:space="preserve"> will</w:t>
      </w:r>
      <w:r w:rsidR="00B9237B" w:rsidRPr="00ED1013">
        <w:rPr>
          <w:color w:val="000000"/>
        </w:rPr>
        <w:t xml:space="preserve"> arguably</w:t>
      </w:r>
      <w:r w:rsidR="001E48EA" w:rsidRPr="00ED1013">
        <w:rPr>
          <w:color w:val="000000"/>
        </w:rPr>
        <w:t xml:space="preserve"> not be met</w:t>
      </w:r>
      <w:r w:rsidR="0068520C">
        <w:rPr>
          <w:color w:val="000000"/>
        </w:rPr>
        <w:t xml:space="preserve"> if </w:t>
      </w:r>
      <w:r w:rsidR="001E48EA" w:rsidRPr="00ED1013">
        <w:rPr>
          <w:color w:val="000000"/>
        </w:rPr>
        <w:t>shortcomings in the legal aid system deprive individuals of the “practical and effective” access to a court to which they are entitled</w:t>
      </w:r>
      <w:r w:rsidR="00B9237B" w:rsidRPr="00ED1013">
        <w:rPr>
          <w:color w:val="000000"/>
        </w:rPr>
        <w:t>.</w:t>
      </w:r>
      <w:r w:rsidR="009316B0">
        <w:rPr>
          <w:rStyle w:val="FootnoteReference"/>
          <w:color w:val="000000"/>
        </w:rPr>
        <w:footnoteReference w:id="9"/>
      </w:r>
    </w:p>
    <w:p w14:paraId="416525D6" w14:textId="77777777" w:rsidR="0094442D" w:rsidRPr="0094442D" w:rsidRDefault="0094442D" w:rsidP="0094442D">
      <w:pPr>
        <w:pStyle w:val="ListParagraph"/>
        <w:rPr>
          <w:color w:val="000000"/>
        </w:rPr>
      </w:pPr>
    </w:p>
    <w:p w14:paraId="177A0D01" w14:textId="07A4321F" w:rsidR="00D43FD3" w:rsidRPr="0094442D" w:rsidRDefault="00D43FD3" w:rsidP="0094442D">
      <w:pPr>
        <w:pStyle w:val="ListParagraph"/>
        <w:numPr>
          <w:ilvl w:val="1"/>
          <w:numId w:val="18"/>
        </w:numPr>
        <w:jc w:val="both"/>
        <w:rPr>
          <w:color w:val="000000"/>
        </w:rPr>
      </w:pPr>
      <w:r w:rsidRPr="0094442D">
        <w:rPr>
          <w:color w:val="000000"/>
        </w:rPr>
        <w:t xml:space="preserve">The principle of equality of arms is inherent in the broader right to fair trial and the adversarial nature of legal proceedings, particularly in the UK Common Law system. The requirement of equality of arms provides a balance between the parties and applies in principle to civil as well as to criminal cases.  Equality of arms implies that each party is afforded an opportunity to present their case under conditions that do not place them at a substantial disadvantage in relation to the other party.  Therefore, when one party has the ability to </w:t>
      </w:r>
      <w:r w:rsidR="00463B38" w:rsidRPr="0094442D">
        <w:rPr>
          <w:color w:val="000000"/>
        </w:rPr>
        <w:t xml:space="preserve">employ </w:t>
      </w:r>
      <w:r w:rsidRPr="0094442D">
        <w:rPr>
          <w:color w:val="000000"/>
        </w:rPr>
        <w:t>experienced legal representative</w:t>
      </w:r>
      <w:r w:rsidR="00463B38" w:rsidRPr="0094442D">
        <w:rPr>
          <w:color w:val="000000"/>
        </w:rPr>
        <w:t>s</w:t>
      </w:r>
      <w:r w:rsidRPr="0094442D">
        <w:rPr>
          <w:color w:val="000000"/>
        </w:rPr>
        <w:t xml:space="preserve"> to present their arguments and the other party does not, it not only puts that other party at a significant disadvantage, </w:t>
      </w:r>
      <w:proofErr w:type="gramStart"/>
      <w:r w:rsidRPr="0094442D">
        <w:rPr>
          <w:color w:val="000000"/>
        </w:rPr>
        <w:t>it</w:t>
      </w:r>
      <w:proofErr w:type="gramEnd"/>
      <w:r w:rsidRPr="0094442D">
        <w:rPr>
          <w:color w:val="000000"/>
        </w:rPr>
        <w:t xml:space="preserve"> also increases the potential for </w:t>
      </w:r>
      <w:r w:rsidR="00D14DC9">
        <w:rPr>
          <w:color w:val="000000"/>
        </w:rPr>
        <w:t xml:space="preserve">a </w:t>
      </w:r>
      <w:r w:rsidRPr="0094442D">
        <w:rPr>
          <w:color w:val="000000"/>
        </w:rPr>
        <w:t>miscarriage of justice.</w:t>
      </w:r>
    </w:p>
    <w:p w14:paraId="40518C3F" w14:textId="77777777" w:rsidR="00D43FD3" w:rsidRPr="00D43FD3" w:rsidRDefault="00D43FD3" w:rsidP="00947642">
      <w:pPr>
        <w:pStyle w:val="ListParagraph"/>
        <w:jc w:val="both"/>
        <w:rPr>
          <w:color w:val="000000"/>
        </w:rPr>
      </w:pPr>
    </w:p>
    <w:p w14:paraId="04EA0F11" w14:textId="2F971EE9" w:rsidR="00DD2CD8" w:rsidRDefault="00B938DB" w:rsidP="00DD2CD8">
      <w:pPr>
        <w:pStyle w:val="ListParagraph"/>
        <w:numPr>
          <w:ilvl w:val="1"/>
          <w:numId w:val="18"/>
        </w:numPr>
        <w:jc w:val="both"/>
        <w:rPr>
          <w:color w:val="000000"/>
        </w:rPr>
      </w:pPr>
      <w:r>
        <w:rPr>
          <w:color w:val="000000"/>
        </w:rPr>
        <w:t>F</w:t>
      </w:r>
      <w:r w:rsidR="00D43FD3" w:rsidRPr="00D43FD3">
        <w:rPr>
          <w:color w:val="000000"/>
        </w:rPr>
        <w:t>ailure to observe the equality of arms principle</w:t>
      </w:r>
      <w:r>
        <w:rPr>
          <w:color w:val="000000"/>
        </w:rPr>
        <w:t xml:space="preserve"> in, for example</w:t>
      </w:r>
      <w:r w:rsidR="00492230">
        <w:rPr>
          <w:color w:val="000000"/>
        </w:rPr>
        <w:t>,</w:t>
      </w:r>
      <w:r>
        <w:rPr>
          <w:color w:val="000000"/>
        </w:rPr>
        <w:t xml:space="preserve"> t</w:t>
      </w:r>
      <w:r w:rsidR="00D43FD3" w:rsidRPr="00D43FD3">
        <w:rPr>
          <w:color w:val="000000"/>
        </w:rPr>
        <w:t>he denial of legal aid to one of the parties</w:t>
      </w:r>
      <w:r w:rsidR="00492230">
        <w:rPr>
          <w:color w:val="000000"/>
        </w:rPr>
        <w:t xml:space="preserve"> in proceedings could arguably</w:t>
      </w:r>
      <w:r w:rsidR="00D43FD3" w:rsidRPr="00D43FD3">
        <w:rPr>
          <w:color w:val="000000"/>
        </w:rPr>
        <w:t xml:space="preserve"> deprive them of the opportunity to present their case effectively before the court </w:t>
      </w:r>
      <w:r w:rsidR="00D14DC9">
        <w:rPr>
          <w:color w:val="000000"/>
        </w:rPr>
        <w:t>against a</w:t>
      </w:r>
      <w:r w:rsidR="00D43FD3" w:rsidRPr="00D43FD3">
        <w:rPr>
          <w:color w:val="000000"/>
        </w:rPr>
        <w:t xml:space="preserve"> wealthier opponent.</w:t>
      </w:r>
    </w:p>
    <w:p w14:paraId="2250BA12" w14:textId="77777777" w:rsidR="00DD2CD8" w:rsidRPr="00DD2CD8" w:rsidRDefault="00DD2CD8" w:rsidP="00DD2CD8">
      <w:pPr>
        <w:pStyle w:val="ListParagraph"/>
        <w:rPr>
          <w:color w:val="000000"/>
        </w:rPr>
      </w:pPr>
    </w:p>
    <w:p w14:paraId="1C71E5F2" w14:textId="62B19DE6" w:rsidR="000D0E51" w:rsidRDefault="00DD2CD8" w:rsidP="000D0E51">
      <w:pPr>
        <w:pStyle w:val="ListParagraph"/>
        <w:numPr>
          <w:ilvl w:val="1"/>
          <w:numId w:val="18"/>
        </w:numPr>
        <w:jc w:val="both"/>
        <w:rPr>
          <w:color w:val="000000"/>
        </w:rPr>
      </w:pPr>
      <w:r w:rsidRPr="00D43FD3">
        <w:rPr>
          <w:color w:val="000000"/>
        </w:rPr>
        <w:t xml:space="preserve">Whilst not strictly part of the </w:t>
      </w:r>
      <w:r w:rsidR="00CF7F1D">
        <w:rPr>
          <w:color w:val="000000"/>
        </w:rPr>
        <w:t>l</w:t>
      </w:r>
      <w:r w:rsidRPr="00D43FD3">
        <w:rPr>
          <w:color w:val="000000"/>
        </w:rPr>
        <w:t xml:space="preserve">egal </w:t>
      </w:r>
      <w:r w:rsidR="00CF7F1D">
        <w:rPr>
          <w:color w:val="000000"/>
        </w:rPr>
        <w:t>a</w:t>
      </w:r>
      <w:r w:rsidRPr="00D43FD3">
        <w:rPr>
          <w:color w:val="000000"/>
        </w:rPr>
        <w:t xml:space="preserve">id system, it </w:t>
      </w:r>
      <w:r w:rsidR="002E24A4">
        <w:rPr>
          <w:color w:val="000000"/>
        </w:rPr>
        <w:t xml:space="preserve">is arguable </w:t>
      </w:r>
      <w:r w:rsidRPr="00D43FD3">
        <w:rPr>
          <w:color w:val="000000"/>
        </w:rPr>
        <w:t xml:space="preserve">that the provision of funds for </w:t>
      </w:r>
      <w:r w:rsidR="00227367">
        <w:rPr>
          <w:color w:val="000000"/>
        </w:rPr>
        <w:t>p</w:t>
      </w:r>
      <w:r w:rsidRPr="00D43FD3">
        <w:rPr>
          <w:color w:val="000000"/>
        </w:rPr>
        <w:t xml:space="preserve">ro </w:t>
      </w:r>
      <w:r w:rsidR="00227367">
        <w:rPr>
          <w:color w:val="000000"/>
        </w:rPr>
        <w:t>b</w:t>
      </w:r>
      <w:r w:rsidRPr="00D43FD3">
        <w:rPr>
          <w:color w:val="000000"/>
        </w:rPr>
        <w:t xml:space="preserve">ono litigation </w:t>
      </w:r>
      <w:r w:rsidR="00D14DC9">
        <w:rPr>
          <w:color w:val="000000"/>
        </w:rPr>
        <w:t>could</w:t>
      </w:r>
      <w:r w:rsidR="00D14DC9" w:rsidRPr="00D43FD3">
        <w:rPr>
          <w:color w:val="000000"/>
        </w:rPr>
        <w:t xml:space="preserve"> </w:t>
      </w:r>
      <w:r w:rsidRPr="00D43FD3">
        <w:rPr>
          <w:color w:val="000000"/>
        </w:rPr>
        <w:t>help form part of the State’s obligation on the provision of legal assistance and the promotion of the</w:t>
      </w:r>
      <w:r>
        <w:rPr>
          <w:color w:val="000000"/>
        </w:rPr>
        <w:t xml:space="preserve"> wider</w:t>
      </w:r>
      <w:r w:rsidRPr="00D43FD3">
        <w:rPr>
          <w:color w:val="000000"/>
        </w:rPr>
        <w:t xml:space="preserve"> principle of equality of arms</w:t>
      </w:r>
      <w:r>
        <w:rPr>
          <w:color w:val="000000"/>
        </w:rPr>
        <w:t>.</w:t>
      </w:r>
      <w:r w:rsidR="0084113E">
        <w:rPr>
          <w:color w:val="000000"/>
        </w:rPr>
        <w:t xml:space="preserve"> However, it is crucial that in introducing pro bono cost orders, these do not gradually replace or reduce legal aid, and that the two are seen </w:t>
      </w:r>
      <w:r w:rsidR="002E24A4">
        <w:rPr>
          <w:color w:val="000000"/>
        </w:rPr>
        <w:t xml:space="preserve">clearly </w:t>
      </w:r>
      <w:r w:rsidR="0084113E">
        <w:rPr>
          <w:color w:val="000000"/>
        </w:rPr>
        <w:t xml:space="preserve">as distinct. </w:t>
      </w:r>
    </w:p>
    <w:p w14:paraId="770F7D7E" w14:textId="77777777" w:rsidR="006B239B" w:rsidRPr="006B239B" w:rsidRDefault="006B239B" w:rsidP="006B239B">
      <w:pPr>
        <w:pStyle w:val="ListParagraph"/>
        <w:rPr>
          <w:color w:val="000000"/>
        </w:rPr>
      </w:pPr>
    </w:p>
    <w:p w14:paraId="26425EF3" w14:textId="77777777" w:rsidR="00227367" w:rsidRPr="006B239B" w:rsidRDefault="00227367" w:rsidP="006B239B">
      <w:pPr>
        <w:jc w:val="both"/>
        <w:rPr>
          <w:color w:val="000000"/>
        </w:rPr>
      </w:pPr>
    </w:p>
    <w:p w14:paraId="0650AB38" w14:textId="2407ADAE" w:rsidR="00B61AA8" w:rsidRPr="008F5F98" w:rsidRDefault="00B55278" w:rsidP="008F5F98">
      <w:pPr>
        <w:pStyle w:val="ListParagraph"/>
        <w:numPr>
          <w:ilvl w:val="0"/>
          <w:numId w:val="21"/>
        </w:numPr>
        <w:rPr>
          <w:b/>
          <w:bCs/>
          <w:color w:val="7030A0"/>
          <w:sz w:val="32"/>
          <w:szCs w:val="32"/>
        </w:rPr>
      </w:pPr>
      <w:r>
        <w:rPr>
          <w:b/>
          <w:bCs/>
          <w:color w:val="7030A0"/>
          <w:sz w:val="32"/>
          <w:szCs w:val="32"/>
        </w:rPr>
        <w:t xml:space="preserve">Substantive response to </w:t>
      </w:r>
      <w:r w:rsidR="00B125FD">
        <w:rPr>
          <w:b/>
          <w:bCs/>
          <w:color w:val="7030A0"/>
          <w:sz w:val="32"/>
          <w:szCs w:val="32"/>
        </w:rPr>
        <w:t>Pro-Bono Costs Engagement Paper</w:t>
      </w:r>
    </w:p>
    <w:p w14:paraId="5FC53F82" w14:textId="77777777" w:rsidR="004B0C39" w:rsidRPr="004B0C39" w:rsidRDefault="004B0C39" w:rsidP="004B0C39">
      <w:pPr>
        <w:pStyle w:val="ListParagraph"/>
        <w:numPr>
          <w:ilvl w:val="0"/>
          <w:numId w:val="6"/>
        </w:numPr>
        <w:jc w:val="both"/>
        <w:rPr>
          <w:vanish/>
        </w:rPr>
      </w:pPr>
    </w:p>
    <w:p w14:paraId="2D2258F6" w14:textId="77777777" w:rsidR="004B0C39" w:rsidRPr="004B0C39" w:rsidRDefault="004B0C39" w:rsidP="004B0C39">
      <w:pPr>
        <w:pStyle w:val="ListParagraph"/>
        <w:numPr>
          <w:ilvl w:val="0"/>
          <w:numId w:val="6"/>
        </w:numPr>
        <w:jc w:val="both"/>
        <w:rPr>
          <w:vanish/>
        </w:rPr>
      </w:pPr>
    </w:p>
    <w:p w14:paraId="19BB9D14" w14:textId="77777777" w:rsidR="00F54BE0" w:rsidRDefault="00F54BE0" w:rsidP="00553F20">
      <w:pPr>
        <w:jc w:val="both"/>
      </w:pPr>
    </w:p>
    <w:p w14:paraId="2D85DBE9" w14:textId="6E7CAA02" w:rsidR="0072747D" w:rsidRDefault="0072747D" w:rsidP="0020402B">
      <w:pPr>
        <w:pStyle w:val="ListParagraph"/>
        <w:numPr>
          <w:ilvl w:val="1"/>
          <w:numId w:val="6"/>
        </w:numPr>
        <w:ind w:left="709" w:hanging="709"/>
        <w:jc w:val="both"/>
      </w:pPr>
      <w:r>
        <w:t>Th</w:t>
      </w:r>
      <w:r w:rsidRPr="003473E3">
        <w:t xml:space="preserve">e NIHRC welcomes </w:t>
      </w:r>
      <w:r>
        <w:t xml:space="preserve">the proposed reform of costs for pro bono litigation and suggests that this </w:t>
      </w:r>
      <w:r w:rsidR="002E24A4">
        <w:t xml:space="preserve">should </w:t>
      </w:r>
      <w:r>
        <w:t>form part of increasing coverage for those seeking assistance with the cost of legal representation. This is particularly pertinent as the scope of legal aid coverage has declined over time.</w:t>
      </w:r>
      <w:r w:rsidR="00572951">
        <w:t xml:space="preserve"> The </w:t>
      </w:r>
      <w:r w:rsidR="00572951">
        <w:lastRenderedPageBreak/>
        <w:t>proposals</w:t>
      </w:r>
      <w:r w:rsidR="00323ABA">
        <w:t xml:space="preserve"> are unlikely to interfere with or limit </w:t>
      </w:r>
      <w:r w:rsidR="00862C0A">
        <w:t>international and Convention rights</w:t>
      </w:r>
      <w:r w:rsidR="002E24A4">
        <w:t>,</w:t>
      </w:r>
      <w:r w:rsidR="00862C0A">
        <w:t xml:space="preserve"> </w:t>
      </w:r>
      <w:r w:rsidR="00777D9C">
        <w:t>but they will engage them.</w:t>
      </w:r>
    </w:p>
    <w:p w14:paraId="09118572" w14:textId="77777777" w:rsidR="0072747D" w:rsidRDefault="0072747D" w:rsidP="003C40E6">
      <w:pPr>
        <w:pStyle w:val="ListParagraph"/>
        <w:ind w:left="709"/>
        <w:jc w:val="both"/>
      </w:pPr>
    </w:p>
    <w:p w14:paraId="24047BC2" w14:textId="29259B94" w:rsidR="00234834" w:rsidRDefault="00D01E45" w:rsidP="0020402B">
      <w:pPr>
        <w:pStyle w:val="ListParagraph"/>
        <w:numPr>
          <w:ilvl w:val="1"/>
          <w:numId w:val="6"/>
        </w:numPr>
        <w:ind w:left="709" w:hanging="709"/>
        <w:jc w:val="both"/>
      </w:pPr>
      <w:r w:rsidRPr="00D01E45">
        <w:t xml:space="preserve">The concept of </w:t>
      </w:r>
      <w:r>
        <w:t>‘</w:t>
      </w:r>
      <w:r w:rsidRPr="00D01E45">
        <w:t xml:space="preserve">pro bono </w:t>
      </w:r>
      <w:proofErr w:type="spellStart"/>
      <w:r w:rsidRPr="00D01E45">
        <w:t>publico</w:t>
      </w:r>
      <w:proofErr w:type="spellEnd"/>
      <w:r>
        <w:t>’</w:t>
      </w:r>
      <w:r w:rsidR="00B25A18">
        <w:t xml:space="preserve"> (</w:t>
      </w:r>
      <w:r w:rsidRPr="00D01E45">
        <w:t>for the public good</w:t>
      </w:r>
      <w:r w:rsidR="00B25A18">
        <w:t>)</w:t>
      </w:r>
      <w:r w:rsidRPr="00D01E45">
        <w:t xml:space="preserve"> legal work is well</w:t>
      </w:r>
      <w:r w:rsidR="00B25A18">
        <w:t xml:space="preserve"> established</w:t>
      </w:r>
      <w:r w:rsidRPr="00D01E45">
        <w:t>. Solicitors</w:t>
      </w:r>
      <w:r w:rsidR="00250B8F">
        <w:t xml:space="preserve">, </w:t>
      </w:r>
      <w:proofErr w:type="gramStart"/>
      <w:r w:rsidR="00250B8F">
        <w:t>barristers</w:t>
      </w:r>
      <w:proofErr w:type="gramEnd"/>
      <w:r w:rsidR="00250B8F">
        <w:t xml:space="preserve"> and other legal representatives</w:t>
      </w:r>
      <w:r w:rsidRPr="00D01E45">
        <w:t xml:space="preserve"> have been known to take time out of the</w:t>
      </w:r>
      <w:r w:rsidR="00250B8F">
        <w:t>ir</w:t>
      </w:r>
      <w:r w:rsidRPr="00D01E45">
        <w:t xml:space="preserve"> w</w:t>
      </w:r>
      <w:r w:rsidR="00F227BD">
        <w:t>orking schedules</w:t>
      </w:r>
      <w:r w:rsidRPr="00D01E45">
        <w:t xml:space="preserve"> to </w:t>
      </w:r>
      <w:r w:rsidR="00250B8F">
        <w:t>assist</w:t>
      </w:r>
      <w:r w:rsidRPr="00D01E45">
        <w:t xml:space="preserve"> people unable to access help elsewhere, including through</w:t>
      </w:r>
      <w:r w:rsidR="00250B8F">
        <w:t xml:space="preserve"> the</w:t>
      </w:r>
      <w:r w:rsidRPr="00D01E45">
        <w:t xml:space="preserve"> </w:t>
      </w:r>
      <w:r w:rsidR="0058310A">
        <w:t>l</w:t>
      </w:r>
      <w:r w:rsidRPr="00D01E45">
        <w:t xml:space="preserve">egal </w:t>
      </w:r>
      <w:r w:rsidR="0058310A">
        <w:t>a</w:t>
      </w:r>
      <w:r w:rsidRPr="00D01E45">
        <w:t>id</w:t>
      </w:r>
      <w:r w:rsidR="00656244">
        <w:t xml:space="preserve"> system</w:t>
      </w:r>
      <w:r w:rsidRPr="00D01E45">
        <w:t xml:space="preserve">. </w:t>
      </w:r>
      <w:r w:rsidR="00656244">
        <w:t>Sometimes s</w:t>
      </w:r>
      <w:r w:rsidRPr="00D01E45">
        <w:t>upport</w:t>
      </w:r>
      <w:r w:rsidR="00656244">
        <w:t xml:space="preserve"> can also come from law clinics</w:t>
      </w:r>
      <w:r w:rsidR="00EE40B6">
        <w:t>,</w:t>
      </w:r>
      <w:r w:rsidR="00E96034">
        <w:t xml:space="preserve"> such as that in place at the University of Ulster</w:t>
      </w:r>
      <w:r w:rsidR="00EE40B6">
        <w:t>,</w:t>
      </w:r>
      <w:r w:rsidR="00B746EC">
        <w:t xml:space="preserve"> </w:t>
      </w:r>
      <w:r w:rsidR="00656244">
        <w:t>staffed with</w:t>
      </w:r>
      <w:r w:rsidRPr="00D01E45">
        <w:t xml:space="preserve"> law students, who can play a</w:t>
      </w:r>
      <w:r w:rsidR="0029653D">
        <w:t>n advisory or</w:t>
      </w:r>
      <w:r w:rsidRPr="00D01E45">
        <w:t xml:space="preserve"> representative role</w:t>
      </w:r>
      <w:r w:rsidR="0029653D">
        <w:t xml:space="preserve"> </w:t>
      </w:r>
      <w:r w:rsidRPr="00D01E45">
        <w:t>alongside their studies</w:t>
      </w:r>
      <w:r w:rsidR="00F14EB0">
        <w:t>.</w:t>
      </w:r>
      <w:r w:rsidR="00F14EB0" w:rsidRPr="00F14EB0">
        <w:t xml:space="preserve"> </w:t>
      </w:r>
      <w:r w:rsidR="00F14EB0">
        <w:t>P</w:t>
      </w:r>
      <w:r w:rsidR="00F14EB0" w:rsidRPr="00F14EB0">
        <w:t xml:space="preserve">ro bono support can allow </w:t>
      </w:r>
      <w:r w:rsidR="00F14EB0">
        <w:t xml:space="preserve">for </w:t>
      </w:r>
      <w:r w:rsidR="00CB2B34">
        <w:t>cases to proceed where barriers</w:t>
      </w:r>
      <w:r w:rsidR="00716127">
        <w:t xml:space="preserve"> exist</w:t>
      </w:r>
      <w:r w:rsidR="00CB2B34">
        <w:t xml:space="preserve"> to applicants both in cost and procedure</w:t>
      </w:r>
      <w:r w:rsidR="00716127">
        <w:t>.</w:t>
      </w:r>
    </w:p>
    <w:p w14:paraId="0A11ADBF" w14:textId="77777777" w:rsidR="00234834" w:rsidRDefault="00234834" w:rsidP="0020402B">
      <w:pPr>
        <w:pStyle w:val="ListParagraph"/>
        <w:ind w:left="709"/>
        <w:jc w:val="both"/>
      </w:pPr>
    </w:p>
    <w:p w14:paraId="28FB49B1" w14:textId="3F92F022" w:rsidR="00CE1282" w:rsidRDefault="00234834" w:rsidP="0020402B">
      <w:pPr>
        <w:pStyle w:val="ListParagraph"/>
        <w:numPr>
          <w:ilvl w:val="1"/>
          <w:numId w:val="6"/>
        </w:numPr>
        <w:ind w:left="709" w:hanging="709"/>
        <w:jc w:val="both"/>
      </w:pPr>
      <w:r>
        <w:t>Under the current system</w:t>
      </w:r>
      <w:r w:rsidR="002E24A4">
        <w:t>,</w:t>
      </w:r>
      <w:r>
        <w:t xml:space="preserve"> where a party is represented by pro</w:t>
      </w:r>
      <w:r w:rsidR="003D5636">
        <w:t xml:space="preserve"> </w:t>
      </w:r>
      <w:r>
        <w:t>bono lawyers</w:t>
      </w:r>
      <w:r w:rsidR="006F3233">
        <w:t>, they</w:t>
      </w:r>
      <w:r>
        <w:t xml:space="preserve"> can usually avail of a ‘Protective Costs Order’ (PCO). A PCO can take a variety of forms, including:</w:t>
      </w:r>
    </w:p>
    <w:p w14:paraId="6CFA8110" w14:textId="77777777" w:rsidR="00357CDF" w:rsidRDefault="00357CDF" w:rsidP="0020402B">
      <w:pPr>
        <w:pStyle w:val="ListParagraph"/>
        <w:jc w:val="both"/>
      </w:pPr>
    </w:p>
    <w:p w14:paraId="03D8EA68" w14:textId="4440BEC5" w:rsidR="00357CDF" w:rsidRDefault="00234834" w:rsidP="0020402B">
      <w:pPr>
        <w:pStyle w:val="ListParagraph"/>
        <w:numPr>
          <w:ilvl w:val="0"/>
          <w:numId w:val="29"/>
        </w:numPr>
        <w:jc w:val="both"/>
      </w:pPr>
      <w:r>
        <w:t>An order that the respondent only can recover no costs.</w:t>
      </w:r>
    </w:p>
    <w:p w14:paraId="41939BD1" w14:textId="77777777" w:rsidR="00357CDF" w:rsidRDefault="00234834" w:rsidP="0020402B">
      <w:pPr>
        <w:pStyle w:val="ListParagraph"/>
        <w:numPr>
          <w:ilvl w:val="0"/>
          <w:numId w:val="29"/>
        </w:numPr>
        <w:jc w:val="both"/>
      </w:pPr>
      <w:r>
        <w:t>An order that the respondent can recover only a maximum amount in costs.</w:t>
      </w:r>
    </w:p>
    <w:p w14:paraId="798BC890" w14:textId="271A935A" w:rsidR="00234834" w:rsidRDefault="00234834" w:rsidP="0020402B">
      <w:pPr>
        <w:pStyle w:val="ListParagraph"/>
        <w:numPr>
          <w:ilvl w:val="0"/>
          <w:numId w:val="29"/>
        </w:numPr>
        <w:jc w:val="both"/>
      </w:pPr>
      <w:r>
        <w:t xml:space="preserve">An order that neither party can recover costs.  </w:t>
      </w:r>
    </w:p>
    <w:p w14:paraId="476E2EF5" w14:textId="77777777" w:rsidR="00CE1282" w:rsidRDefault="00CE1282" w:rsidP="0020402B">
      <w:pPr>
        <w:jc w:val="both"/>
      </w:pPr>
    </w:p>
    <w:p w14:paraId="5FA9F055" w14:textId="1236D5DE" w:rsidR="007D4487" w:rsidRDefault="00234834" w:rsidP="007D4487">
      <w:pPr>
        <w:pStyle w:val="ListParagraph"/>
        <w:numPr>
          <w:ilvl w:val="1"/>
          <w:numId w:val="6"/>
        </w:numPr>
        <w:ind w:left="709" w:hanging="709"/>
        <w:jc w:val="both"/>
      </w:pPr>
      <w:r>
        <w:t xml:space="preserve">Whilst this provides some assurance to potential applicants that they will not be liable to pay the costs of the </w:t>
      </w:r>
      <w:r w:rsidR="00FF40B0">
        <w:t>other parties</w:t>
      </w:r>
      <w:r>
        <w:t xml:space="preserve">, it does not provide </w:t>
      </w:r>
      <w:r w:rsidR="00D14DC9">
        <w:t xml:space="preserve">financial incentive </w:t>
      </w:r>
      <w:r>
        <w:t>for legal representatives to pursue a case</w:t>
      </w:r>
      <w:r w:rsidR="00A36C63">
        <w:t xml:space="preserve"> as they will not be able to claim a fee for their work</w:t>
      </w:r>
      <w:r>
        <w:t xml:space="preserve">. It can also mean a better resourced party </w:t>
      </w:r>
      <w:r w:rsidR="005932A4">
        <w:t>having</w:t>
      </w:r>
      <w:r>
        <w:t xml:space="preserve"> an unfair advantage of litigating without the normal costs risk involved</w:t>
      </w:r>
      <w:r w:rsidR="00B54845">
        <w:t>, and it</w:t>
      </w:r>
      <w:r w:rsidR="007D4487">
        <w:t xml:space="preserve"> may</w:t>
      </w:r>
      <w:r>
        <w:t xml:space="preserve"> also give less encouragement to </w:t>
      </w:r>
      <w:r w:rsidR="005B588A">
        <w:t xml:space="preserve">such </w:t>
      </w:r>
      <w:r>
        <w:t>parties to mediate or reach a settlement.</w:t>
      </w:r>
    </w:p>
    <w:p w14:paraId="6507337A" w14:textId="77777777" w:rsidR="007D4487" w:rsidRDefault="007D4487" w:rsidP="007D4487">
      <w:pPr>
        <w:pStyle w:val="ListParagraph"/>
        <w:ind w:left="709"/>
        <w:jc w:val="both"/>
      </w:pPr>
    </w:p>
    <w:p w14:paraId="052AD4FF" w14:textId="59176AD0" w:rsidR="00916CEB" w:rsidRDefault="00D230BB" w:rsidP="002E24A4">
      <w:pPr>
        <w:pStyle w:val="ListParagraph"/>
        <w:numPr>
          <w:ilvl w:val="1"/>
          <w:numId w:val="6"/>
        </w:numPr>
        <w:ind w:left="709" w:hanging="709"/>
        <w:jc w:val="both"/>
      </w:pPr>
      <w:r>
        <w:t>Th</w:t>
      </w:r>
      <w:r w:rsidR="00D53E5B">
        <w:t>e</w:t>
      </w:r>
      <w:r>
        <w:t xml:space="preserve"> proposed introduction of </w:t>
      </w:r>
      <w:r w:rsidR="00B6123C">
        <w:t>p</w:t>
      </w:r>
      <w:r>
        <w:t>ro</w:t>
      </w:r>
      <w:r w:rsidR="00B6123C">
        <w:t xml:space="preserve"> b</w:t>
      </w:r>
      <w:r>
        <w:t xml:space="preserve">ono </w:t>
      </w:r>
      <w:r w:rsidR="00B6123C">
        <w:t>c</w:t>
      </w:r>
      <w:r>
        <w:t>ost</w:t>
      </w:r>
      <w:r w:rsidR="00B6123C">
        <w:t>s</w:t>
      </w:r>
      <w:r>
        <w:t xml:space="preserve"> </w:t>
      </w:r>
      <w:r w:rsidR="00B6123C">
        <w:t>o</w:t>
      </w:r>
      <w:r>
        <w:t>rder</w:t>
      </w:r>
      <w:r w:rsidR="00B6123C">
        <w:t>s</w:t>
      </w:r>
      <w:r w:rsidR="00726BC1">
        <w:t xml:space="preserve"> follows on from similar reforms made in England and Wales</w:t>
      </w:r>
      <w:r w:rsidR="00A9317D">
        <w:t>. There, b</w:t>
      </w:r>
      <w:r w:rsidR="00684477" w:rsidRPr="00684477">
        <w:t>efore 2008, legal costs could not be awarded in cases where the winning party was represented for free. Section 194 of the Legal Services Act 2007</w:t>
      </w:r>
      <w:r w:rsidR="00206371">
        <w:t xml:space="preserve"> </w:t>
      </w:r>
      <w:r w:rsidR="00684477" w:rsidRPr="00684477">
        <w:t>changed this.</w:t>
      </w:r>
      <w:r w:rsidR="000034B0">
        <w:t xml:space="preserve"> </w:t>
      </w:r>
      <w:r w:rsidR="00684477" w:rsidRPr="00684477">
        <w:t>Pro bono costs</w:t>
      </w:r>
      <w:r w:rsidR="00BC61C4">
        <w:t xml:space="preserve"> are awarded</w:t>
      </w:r>
      <w:r w:rsidR="00684477" w:rsidRPr="00684477">
        <w:t xml:space="preserve"> like ordinary legal </w:t>
      </w:r>
      <w:r w:rsidR="00916CEB" w:rsidRPr="00684477">
        <w:t>costs but</w:t>
      </w:r>
      <w:r w:rsidR="00440E4B">
        <w:t xml:space="preserve"> are</w:t>
      </w:r>
      <w:r w:rsidR="00684477" w:rsidRPr="00684477">
        <w:t xml:space="preserve"> applicable where a party received free legal representation.</w:t>
      </w:r>
      <w:r w:rsidR="002E24A4">
        <w:t xml:space="preserve"> </w:t>
      </w:r>
      <w:r w:rsidR="00916CEB">
        <w:t>In England &amp; Wales, i</w:t>
      </w:r>
      <w:r w:rsidR="00684477" w:rsidRPr="00684477">
        <w:t xml:space="preserve">f a civil case is won with pro bono help, pro bono costs can be ordered by the court or included in settlements. The costs cover any period when free representation was </w:t>
      </w:r>
      <w:proofErr w:type="gramStart"/>
      <w:r w:rsidR="00684477" w:rsidRPr="00684477">
        <w:t>provided</w:t>
      </w:r>
      <w:proofErr w:type="gramEnd"/>
      <w:r w:rsidR="00684477" w:rsidRPr="00684477">
        <w:t xml:space="preserve"> and the amount is based on what a paying client would recover.</w:t>
      </w:r>
      <w:r w:rsidR="00A41402">
        <w:t xml:space="preserve"> </w:t>
      </w:r>
      <w:r w:rsidR="00684477" w:rsidRPr="00684477">
        <w:t>The cost</w:t>
      </w:r>
      <w:r w:rsidR="00B6123C">
        <w:t>s</w:t>
      </w:r>
      <w:r w:rsidR="00A41402">
        <w:t xml:space="preserve"> are then</w:t>
      </w:r>
      <w:r w:rsidR="00684477" w:rsidRPr="00684477">
        <w:t xml:space="preserve"> paid to the prescribed charity,</w:t>
      </w:r>
      <w:r w:rsidR="00A41402">
        <w:t xml:space="preserve"> in the case of England and Wales</w:t>
      </w:r>
      <w:r w:rsidR="00684477" w:rsidRPr="00684477">
        <w:t xml:space="preserve"> the Access to Justice Foundation, which distributes the money to agencies and projects that give free legal help to those in need</w:t>
      </w:r>
      <w:bookmarkStart w:id="3" w:name="_Hlk76644942"/>
      <w:r w:rsidR="00916CEB">
        <w:t>.</w:t>
      </w:r>
    </w:p>
    <w:p w14:paraId="791C5493" w14:textId="77777777" w:rsidR="002E24A4" w:rsidRDefault="002E24A4" w:rsidP="002E24A4">
      <w:pPr>
        <w:pStyle w:val="ListParagraph"/>
      </w:pPr>
    </w:p>
    <w:p w14:paraId="514C02ED" w14:textId="7026D35E" w:rsidR="0071138E" w:rsidRPr="00F91DE5" w:rsidRDefault="00921575" w:rsidP="00916CEB">
      <w:pPr>
        <w:pStyle w:val="ListParagraph"/>
        <w:numPr>
          <w:ilvl w:val="1"/>
          <w:numId w:val="6"/>
        </w:numPr>
        <w:ind w:left="709" w:hanging="709"/>
        <w:jc w:val="both"/>
        <w:rPr>
          <w:color w:val="000000"/>
        </w:rPr>
      </w:pPr>
      <w:r>
        <w:t xml:space="preserve">Legal </w:t>
      </w:r>
      <w:r w:rsidR="00DE3EA1">
        <w:t>a</w:t>
      </w:r>
      <w:r>
        <w:t xml:space="preserve">id </w:t>
      </w:r>
      <w:r w:rsidR="0072747D">
        <w:t>originated</w:t>
      </w:r>
      <w:r>
        <w:t xml:space="preserve"> in the 1940s with </w:t>
      </w:r>
      <w:r w:rsidR="00132F8D">
        <w:t>t</w:t>
      </w:r>
      <w:r>
        <w:t xml:space="preserve">he foundations of the post-war welfare state and the </w:t>
      </w:r>
      <w:r w:rsidR="00A34F15">
        <w:t xml:space="preserve">recommendations of the </w:t>
      </w:r>
      <w:r w:rsidR="004A58CC">
        <w:t>R</w:t>
      </w:r>
      <w:r w:rsidR="00A34F15">
        <w:t>ushcliffe</w:t>
      </w:r>
      <w:r w:rsidR="004A58CC">
        <w:t xml:space="preserve"> Committee</w:t>
      </w:r>
      <w:r w:rsidR="001012B8">
        <w:t>.</w:t>
      </w:r>
      <w:r w:rsidR="004D7962">
        <w:rPr>
          <w:rStyle w:val="FootnoteReference"/>
        </w:rPr>
        <w:footnoteReference w:id="10"/>
      </w:r>
      <w:r w:rsidR="004A58CC">
        <w:t xml:space="preserve"> </w:t>
      </w:r>
      <w:r w:rsidR="00915243">
        <w:t>From modest beginnings this grew over time until, a</w:t>
      </w:r>
      <w:r w:rsidR="004A58CC">
        <w:t>t its height</w:t>
      </w:r>
      <w:r w:rsidR="00A34F15">
        <w:t xml:space="preserve"> </w:t>
      </w:r>
      <w:r w:rsidR="004A58CC">
        <w:t>in</w:t>
      </w:r>
      <w:r w:rsidR="00BA078F">
        <w:t xml:space="preserve"> 1979</w:t>
      </w:r>
      <w:r w:rsidR="00915243">
        <w:t xml:space="preserve">, the </w:t>
      </w:r>
      <w:r w:rsidR="00915243">
        <w:lastRenderedPageBreak/>
        <w:t>proportion of the population</w:t>
      </w:r>
      <w:r w:rsidR="00217DE7">
        <w:t xml:space="preserve"> eligible for </w:t>
      </w:r>
      <w:r w:rsidR="00A6669C">
        <w:t>l</w:t>
      </w:r>
      <w:r w:rsidR="00217DE7">
        <w:t xml:space="preserve">egal </w:t>
      </w:r>
      <w:r w:rsidR="00A6669C">
        <w:t>a</w:t>
      </w:r>
      <w:r w:rsidR="00217DE7">
        <w:t>id</w:t>
      </w:r>
      <w:r w:rsidR="00BA078F">
        <w:t xml:space="preserve"> had increased to 79%</w:t>
      </w:r>
      <w:r w:rsidR="00217DE7">
        <w:t>.</w:t>
      </w:r>
      <w:r w:rsidR="00BA078F">
        <w:rPr>
          <w:rStyle w:val="FootnoteReference"/>
        </w:rPr>
        <w:footnoteReference w:id="11"/>
      </w:r>
      <w:r w:rsidR="001012B8">
        <w:t xml:space="preserve"> </w:t>
      </w:r>
      <w:r w:rsidR="00437E7D">
        <w:t>From then</w:t>
      </w:r>
      <w:r w:rsidR="0072747D">
        <w:t>,</w:t>
      </w:r>
      <w:r w:rsidR="00B4429C">
        <w:t xml:space="preserve"> decisions taken by government to reduce </w:t>
      </w:r>
      <w:r w:rsidR="005F7232">
        <w:t xml:space="preserve">spending on </w:t>
      </w:r>
      <w:r w:rsidR="005D5DF8">
        <w:t>l</w:t>
      </w:r>
      <w:r w:rsidR="005F7232">
        <w:t xml:space="preserve">egal </w:t>
      </w:r>
      <w:r w:rsidR="005D5DF8">
        <w:t>a</w:t>
      </w:r>
      <w:r w:rsidR="005F7232">
        <w:t>id led to</w:t>
      </w:r>
      <w:r w:rsidR="00437E7D">
        <w:t xml:space="preserve"> a steady decline in</w:t>
      </w:r>
      <w:r w:rsidR="005F7232">
        <w:t xml:space="preserve"> coverage and by </w:t>
      </w:r>
      <w:r w:rsidR="00BA078F" w:rsidRPr="009078DE">
        <w:t>2016 the estimated percentage of the population eligible for civil legal aid was 25%</w:t>
      </w:r>
      <w:r w:rsidR="00BA078F">
        <w:t>.</w:t>
      </w:r>
      <w:r w:rsidR="00BA078F">
        <w:rPr>
          <w:rStyle w:val="FootnoteReference"/>
        </w:rPr>
        <w:footnoteReference w:id="12"/>
      </w:r>
      <w:r w:rsidR="00746371">
        <w:t xml:space="preserve"> </w:t>
      </w:r>
      <w:r w:rsidR="00BA078F" w:rsidRPr="00916CEB">
        <w:rPr>
          <w:rFonts w:eastAsiaTheme="minorHAnsi"/>
        </w:rPr>
        <w:t>There exists therefore a significant gap in coverage for those seeking legal redress</w:t>
      </w:r>
      <w:r w:rsidR="001E0B4D" w:rsidRPr="00916CEB">
        <w:rPr>
          <w:rFonts w:eastAsiaTheme="minorHAnsi"/>
        </w:rPr>
        <w:t>,</w:t>
      </w:r>
      <w:r w:rsidR="00BA078F" w:rsidRPr="00916CEB">
        <w:rPr>
          <w:rFonts w:eastAsiaTheme="minorHAnsi"/>
        </w:rPr>
        <w:t xml:space="preserve"> who do not</w:t>
      </w:r>
      <w:r w:rsidR="003C1B84" w:rsidRPr="00916CEB">
        <w:rPr>
          <w:rFonts w:eastAsiaTheme="minorHAnsi"/>
        </w:rPr>
        <w:t xml:space="preserve"> meet the</w:t>
      </w:r>
      <w:r w:rsidR="005D5DF8" w:rsidRPr="00916CEB">
        <w:rPr>
          <w:rFonts w:eastAsiaTheme="minorHAnsi"/>
        </w:rPr>
        <w:t xml:space="preserve"> financial</w:t>
      </w:r>
      <w:r w:rsidR="003C1B84" w:rsidRPr="00EC56FC">
        <w:rPr>
          <w:rFonts w:eastAsiaTheme="minorHAnsi"/>
        </w:rPr>
        <w:t xml:space="preserve"> threshold</w:t>
      </w:r>
      <w:r w:rsidR="00BA078F" w:rsidRPr="001678AC">
        <w:rPr>
          <w:rFonts w:eastAsiaTheme="minorHAnsi"/>
        </w:rPr>
        <w:t xml:space="preserve"> for </w:t>
      </w:r>
      <w:r w:rsidR="005D5DF8" w:rsidRPr="00F91DE5">
        <w:rPr>
          <w:rFonts w:eastAsiaTheme="minorHAnsi"/>
        </w:rPr>
        <w:t>l</w:t>
      </w:r>
      <w:r w:rsidR="00BA078F" w:rsidRPr="00F91DE5">
        <w:rPr>
          <w:rFonts w:eastAsiaTheme="minorHAnsi"/>
        </w:rPr>
        <w:t xml:space="preserve">egal </w:t>
      </w:r>
      <w:r w:rsidR="005D5DF8" w:rsidRPr="00F91DE5">
        <w:rPr>
          <w:rFonts w:eastAsiaTheme="minorHAnsi"/>
        </w:rPr>
        <w:t>a</w:t>
      </w:r>
      <w:r w:rsidR="00BA078F" w:rsidRPr="00F91DE5">
        <w:rPr>
          <w:rFonts w:eastAsiaTheme="minorHAnsi"/>
        </w:rPr>
        <w:t>id</w:t>
      </w:r>
      <w:r w:rsidR="00265A7F" w:rsidRPr="00F91DE5">
        <w:rPr>
          <w:rFonts w:eastAsiaTheme="minorHAnsi"/>
        </w:rPr>
        <w:t xml:space="preserve"> but</w:t>
      </w:r>
      <w:r w:rsidR="00746371" w:rsidRPr="00F91DE5">
        <w:rPr>
          <w:rFonts w:eastAsiaTheme="minorHAnsi"/>
        </w:rPr>
        <w:t xml:space="preserve"> </w:t>
      </w:r>
      <w:r w:rsidR="00BA078F" w:rsidRPr="00F91DE5">
        <w:rPr>
          <w:rFonts w:eastAsiaTheme="minorHAnsi"/>
        </w:rPr>
        <w:t xml:space="preserve">who would see the costs of pursuing a legal challenge </w:t>
      </w:r>
      <w:r w:rsidR="0072747D" w:rsidRPr="00F91DE5">
        <w:rPr>
          <w:rFonts w:eastAsiaTheme="minorHAnsi"/>
        </w:rPr>
        <w:t xml:space="preserve">as </w:t>
      </w:r>
      <w:r w:rsidR="00BA078F" w:rsidRPr="00F91DE5">
        <w:rPr>
          <w:rFonts w:eastAsiaTheme="minorHAnsi"/>
        </w:rPr>
        <w:t>beyond their means.</w:t>
      </w:r>
    </w:p>
    <w:p w14:paraId="6C19129D" w14:textId="77777777" w:rsidR="0071138E" w:rsidRDefault="0071138E" w:rsidP="0020402B">
      <w:pPr>
        <w:pStyle w:val="ListParagraph"/>
        <w:jc w:val="both"/>
      </w:pPr>
    </w:p>
    <w:p w14:paraId="3A633834" w14:textId="07425739" w:rsidR="00332B64" w:rsidRPr="00332B64" w:rsidRDefault="00D86295" w:rsidP="0020402B">
      <w:pPr>
        <w:pStyle w:val="ListParagraph"/>
        <w:numPr>
          <w:ilvl w:val="1"/>
          <w:numId w:val="6"/>
        </w:numPr>
        <w:ind w:left="709" w:hanging="709"/>
        <w:jc w:val="both"/>
        <w:rPr>
          <w:color w:val="000000"/>
        </w:rPr>
      </w:pPr>
      <w:r>
        <w:t xml:space="preserve">Pro </w:t>
      </w:r>
      <w:r w:rsidR="00265A7F">
        <w:t>b</w:t>
      </w:r>
      <w:r>
        <w:t xml:space="preserve">ono </w:t>
      </w:r>
      <w:r w:rsidR="00265A7F">
        <w:t>c</w:t>
      </w:r>
      <w:r>
        <w:t xml:space="preserve">osts </w:t>
      </w:r>
      <w:r w:rsidR="00265A7F">
        <w:t>o</w:t>
      </w:r>
      <w:r>
        <w:t>rders and the funds raised from them may assist, even in a modest way</w:t>
      </w:r>
      <w:r w:rsidR="006F4219">
        <w:t>, towards an e</w:t>
      </w:r>
      <w:r w:rsidR="00C42596">
        <w:t>quality of arms</w:t>
      </w:r>
      <w:r w:rsidR="006F4219">
        <w:t xml:space="preserve"> and a </w:t>
      </w:r>
      <w:r w:rsidR="00C42596">
        <w:t>fair balance between the parties in the opportunities given to them to present their case in a manner that does not disadvantage them with respect to the other side.</w:t>
      </w:r>
      <w:r w:rsidR="00F263E4">
        <w:t xml:space="preserve"> </w:t>
      </w:r>
      <w:r w:rsidR="005A1506" w:rsidRPr="005A1506">
        <w:t>In practice</w:t>
      </w:r>
      <w:r w:rsidR="005A1506">
        <w:t xml:space="preserve">, ensuring </w:t>
      </w:r>
      <w:r w:rsidR="005A1506" w:rsidRPr="005A1506">
        <w:t>equality of arms</w:t>
      </w:r>
      <w:r w:rsidR="005A1506">
        <w:t xml:space="preserve"> </w:t>
      </w:r>
      <w:r w:rsidR="006C5D3F">
        <w:t>can be</w:t>
      </w:r>
      <w:r w:rsidR="005A1506" w:rsidRPr="005A1506">
        <w:t xml:space="preserve"> </w:t>
      </w:r>
      <w:r w:rsidR="006C5D3F">
        <w:t>challenging</w:t>
      </w:r>
      <w:r w:rsidR="00AD0125">
        <w:t>. Without any other options many are forced</w:t>
      </w:r>
      <w:r w:rsidR="00EE7F47">
        <w:t xml:space="preserve"> to proceed</w:t>
      </w:r>
      <w:r w:rsidR="005A1506" w:rsidRPr="005A1506">
        <w:t xml:space="preserve"> without</w:t>
      </w:r>
      <w:r w:rsidR="00EE7F47">
        <w:t xml:space="preserve"> any</w:t>
      </w:r>
      <w:r w:rsidR="005A1506" w:rsidRPr="005A1506">
        <w:t xml:space="preserve"> legal representation</w:t>
      </w:r>
      <w:r w:rsidR="007F21DF">
        <w:t xml:space="preserve"> and act </w:t>
      </w:r>
      <w:r w:rsidR="00E45BAA">
        <w:t>as ‘litigants in person’</w:t>
      </w:r>
      <w:r w:rsidR="002536F6">
        <w:t>.</w:t>
      </w:r>
      <w:r w:rsidR="00E45BAA">
        <w:t xml:space="preserve"> The Commission</w:t>
      </w:r>
      <w:r w:rsidR="00D434CC">
        <w:t>, in conjunction with other</w:t>
      </w:r>
      <w:r w:rsidR="00502B55">
        <w:t>s</w:t>
      </w:r>
      <w:r w:rsidR="00444534">
        <w:t>, published a report into</w:t>
      </w:r>
      <w:r w:rsidR="00FF19BF">
        <w:t xml:space="preserve"> the experience of</w:t>
      </w:r>
      <w:r w:rsidR="00444534">
        <w:t xml:space="preserve"> litigants in person</w:t>
      </w:r>
      <w:r w:rsidR="00374378">
        <w:t xml:space="preserve"> in NI</w:t>
      </w:r>
      <w:r w:rsidR="00444534">
        <w:t>.</w:t>
      </w:r>
      <w:r w:rsidR="002536F6">
        <w:rPr>
          <w:rStyle w:val="FootnoteReference"/>
        </w:rPr>
        <w:footnoteReference w:id="13"/>
      </w:r>
      <w:r w:rsidR="00444534">
        <w:t xml:space="preserve"> It has been shown</w:t>
      </w:r>
      <w:r w:rsidR="00C42596">
        <w:t xml:space="preserve"> that</w:t>
      </w:r>
      <w:r w:rsidR="00505C22">
        <w:t xml:space="preserve"> this is very often</w:t>
      </w:r>
      <w:r w:rsidR="00C42596">
        <w:t xml:space="preserve"> not</w:t>
      </w:r>
      <w:r w:rsidR="00505C22">
        <w:t xml:space="preserve"> an</w:t>
      </w:r>
      <w:r w:rsidR="00C42596">
        <w:t xml:space="preserve"> equitable or effective way of ensuring justice through the courts. Very often the outcomes for litigants and the effect it can have on the running of the courts is </w:t>
      </w:r>
      <w:r w:rsidR="004C5C70">
        <w:t>not ideal</w:t>
      </w:r>
      <w:r w:rsidR="008E40B3">
        <w:t xml:space="preserve"> </w:t>
      </w:r>
      <w:r w:rsidR="00906336">
        <w:t>when</w:t>
      </w:r>
      <w:r w:rsidR="008E40B3">
        <w:t xml:space="preserve"> compar</w:t>
      </w:r>
      <w:r w:rsidR="00906336">
        <w:t>ed</w:t>
      </w:r>
      <w:r w:rsidR="008E40B3">
        <w:t xml:space="preserve"> to those who are legally represented</w:t>
      </w:r>
      <w:r w:rsidR="00C42596">
        <w:t>.</w:t>
      </w:r>
      <w:r w:rsidR="00CA75C8">
        <w:rPr>
          <w:rStyle w:val="FootnoteReference"/>
        </w:rPr>
        <w:footnoteReference w:id="14"/>
      </w:r>
    </w:p>
    <w:p w14:paraId="0B700054" w14:textId="77777777" w:rsidR="00332B64" w:rsidRDefault="00332B64" w:rsidP="00332B64">
      <w:pPr>
        <w:pStyle w:val="ListParagraph"/>
      </w:pPr>
    </w:p>
    <w:p w14:paraId="16126A13" w14:textId="7784E224" w:rsidR="00001287" w:rsidRPr="00F263E4" w:rsidRDefault="00C42596" w:rsidP="0020402B">
      <w:pPr>
        <w:pStyle w:val="ListParagraph"/>
        <w:numPr>
          <w:ilvl w:val="1"/>
          <w:numId w:val="6"/>
        </w:numPr>
        <w:ind w:left="709" w:hanging="709"/>
        <w:jc w:val="both"/>
        <w:rPr>
          <w:color w:val="000000"/>
        </w:rPr>
      </w:pPr>
      <w:r>
        <w:t xml:space="preserve">Widening access to experienced legal representation can assist </w:t>
      </w:r>
      <w:r w:rsidR="008E40B3">
        <w:t xml:space="preserve">with </w:t>
      </w:r>
      <w:r w:rsidR="007026E3">
        <w:t>ensuring equality of arms</w:t>
      </w:r>
      <w:r>
        <w:t xml:space="preserve"> and </w:t>
      </w:r>
      <w:r w:rsidR="00331758">
        <w:t>p</w:t>
      </w:r>
      <w:r>
        <w:t>r</w:t>
      </w:r>
      <w:r w:rsidR="00331758">
        <w:t>o b</w:t>
      </w:r>
      <w:r>
        <w:t xml:space="preserve">ono </w:t>
      </w:r>
      <w:r w:rsidR="00331758">
        <w:t>c</w:t>
      </w:r>
      <w:r>
        <w:t xml:space="preserve">osts </w:t>
      </w:r>
      <w:r w:rsidR="00331758">
        <w:t>o</w:t>
      </w:r>
      <w:r>
        <w:t>rders may go at least some way in</w:t>
      </w:r>
      <w:r w:rsidR="005C5255">
        <w:t xml:space="preserve"> helping</w:t>
      </w:r>
      <w:r>
        <w:t xml:space="preserve"> </w:t>
      </w:r>
      <w:r w:rsidR="00CA4340">
        <w:t>to achieve</w:t>
      </w:r>
      <w:r>
        <w:t xml:space="preserve"> this.</w:t>
      </w:r>
      <w:r w:rsidR="00D7333A">
        <w:t xml:space="preserve"> </w:t>
      </w:r>
      <w:r w:rsidR="005C2CC5">
        <w:t xml:space="preserve">This will work best when done in consultation with and </w:t>
      </w:r>
      <w:r w:rsidR="006522F9">
        <w:t xml:space="preserve">in </w:t>
      </w:r>
      <w:r w:rsidR="005C2CC5">
        <w:t xml:space="preserve">agreement </w:t>
      </w:r>
      <w:r w:rsidR="0072747D">
        <w:t xml:space="preserve">with </w:t>
      </w:r>
      <w:r w:rsidR="005C2CC5">
        <w:t xml:space="preserve">relevant stakeholders such as the Law Society NI, the Bar Council </w:t>
      </w:r>
      <w:proofErr w:type="gramStart"/>
      <w:r w:rsidR="005C2CC5">
        <w:t>NI</w:t>
      </w:r>
      <w:proofErr w:type="gramEnd"/>
      <w:r w:rsidR="005C2CC5">
        <w:t xml:space="preserve"> </w:t>
      </w:r>
      <w:r w:rsidR="006522F9">
        <w:t>and other relevant organisations</w:t>
      </w:r>
      <w:r w:rsidR="007E191F">
        <w:t>.</w:t>
      </w:r>
      <w:r w:rsidR="0048538A">
        <w:t xml:space="preserve"> It will also be important to ensure the wider legal sector </w:t>
      </w:r>
      <w:r w:rsidR="0072747D">
        <w:t xml:space="preserve">is </w:t>
      </w:r>
      <w:r w:rsidR="0048538A">
        <w:t>engaged with and ha</w:t>
      </w:r>
      <w:r w:rsidR="0072747D">
        <w:t>s</w:t>
      </w:r>
      <w:r w:rsidR="0048538A">
        <w:t xml:space="preserve"> knowledge of the proposed costs orders </w:t>
      </w:r>
      <w:proofErr w:type="gramStart"/>
      <w:r w:rsidR="0048538A">
        <w:t>in order to</w:t>
      </w:r>
      <w:proofErr w:type="gramEnd"/>
      <w:r w:rsidR="0048538A">
        <w:t xml:space="preserve"> maximise their effect.</w:t>
      </w:r>
    </w:p>
    <w:p w14:paraId="11F19647" w14:textId="77777777" w:rsidR="007B6183" w:rsidRPr="007B6183" w:rsidRDefault="007B6183" w:rsidP="0020402B">
      <w:pPr>
        <w:pStyle w:val="ListParagraph"/>
        <w:jc w:val="both"/>
        <w:rPr>
          <w:color w:val="000000"/>
        </w:rPr>
      </w:pPr>
    </w:p>
    <w:p w14:paraId="773D9E5F" w14:textId="251EEB73" w:rsidR="007B6183" w:rsidRPr="003A684C" w:rsidRDefault="003A684C" w:rsidP="0020402B">
      <w:pPr>
        <w:pStyle w:val="ListParagraph"/>
        <w:numPr>
          <w:ilvl w:val="1"/>
          <w:numId w:val="6"/>
        </w:numPr>
        <w:ind w:left="709" w:hanging="709"/>
        <w:jc w:val="both"/>
        <w:rPr>
          <w:b/>
          <w:bCs/>
          <w:color w:val="000000"/>
        </w:rPr>
      </w:pPr>
      <w:bookmarkStart w:id="4" w:name="_Hlk83135238"/>
      <w:r w:rsidRPr="003A684C">
        <w:rPr>
          <w:b/>
          <w:bCs/>
          <w:color w:val="000000"/>
        </w:rPr>
        <w:t>The NIHRC recommends that the Department of Justice proceed</w:t>
      </w:r>
      <w:r w:rsidR="0072747D">
        <w:rPr>
          <w:b/>
          <w:bCs/>
          <w:color w:val="000000"/>
        </w:rPr>
        <w:t>s</w:t>
      </w:r>
      <w:r w:rsidRPr="003A684C">
        <w:rPr>
          <w:b/>
          <w:bCs/>
          <w:color w:val="000000"/>
        </w:rPr>
        <w:t xml:space="preserve"> with the introduction of </w:t>
      </w:r>
      <w:r w:rsidR="005C5255">
        <w:rPr>
          <w:b/>
          <w:bCs/>
          <w:color w:val="000000"/>
        </w:rPr>
        <w:t>p</w:t>
      </w:r>
      <w:r w:rsidRPr="003A684C">
        <w:rPr>
          <w:b/>
          <w:bCs/>
          <w:color w:val="000000"/>
        </w:rPr>
        <w:t>ro</w:t>
      </w:r>
      <w:r w:rsidR="005C5255">
        <w:rPr>
          <w:b/>
          <w:bCs/>
          <w:color w:val="000000"/>
        </w:rPr>
        <w:t xml:space="preserve"> b</w:t>
      </w:r>
      <w:r w:rsidRPr="003A684C">
        <w:rPr>
          <w:b/>
          <w:bCs/>
          <w:color w:val="000000"/>
        </w:rPr>
        <w:t xml:space="preserve">ono </w:t>
      </w:r>
      <w:r w:rsidR="005C5255">
        <w:rPr>
          <w:b/>
          <w:bCs/>
          <w:color w:val="000000"/>
        </w:rPr>
        <w:t>c</w:t>
      </w:r>
      <w:r w:rsidRPr="003A684C">
        <w:rPr>
          <w:b/>
          <w:bCs/>
          <w:color w:val="000000"/>
        </w:rPr>
        <w:t xml:space="preserve">osts </w:t>
      </w:r>
      <w:r w:rsidR="005C5255">
        <w:rPr>
          <w:b/>
          <w:bCs/>
          <w:color w:val="000000"/>
        </w:rPr>
        <w:t>o</w:t>
      </w:r>
      <w:r w:rsidRPr="003A684C">
        <w:rPr>
          <w:b/>
          <w:bCs/>
          <w:color w:val="000000"/>
        </w:rPr>
        <w:t>rders as a mechanism for</w:t>
      </w:r>
      <w:r w:rsidR="001933C6">
        <w:rPr>
          <w:b/>
          <w:bCs/>
          <w:color w:val="000000"/>
        </w:rPr>
        <w:t xml:space="preserve"> helping to</w:t>
      </w:r>
      <w:r w:rsidRPr="003A684C">
        <w:rPr>
          <w:b/>
          <w:bCs/>
          <w:color w:val="000000"/>
        </w:rPr>
        <w:t xml:space="preserve"> improv</w:t>
      </w:r>
      <w:r w:rsidR="001933C6">
        <w:rPr>
          <w:b/>
          <w:bCs/>
          <w:color w:val="000000"/>
        </w:rPr>
        <w:t>e</w:t>
      </w:r>
      <w:r w:rsidRPr="003A684C">
        <w:rPr>
          <w:b/>
          <w:bCs/>
          <w:color w:val="000000"/>
        </w:rPr>
        <w:t xml:space="preserve"> access to justice</w:t>
      </w:r>
      <w:r w:rsidR="001933C6">
        <w:rPr>
          <w:b/>
          <w:bCs/>
          <w:color w:val="000000"/>
        </w:rPr>
        <w:t xml:space="preserve"> and maintain equality of arms</w:t>
      </w:r>
      <w:r w:rsidRPr="003A684C">
        <w:rPr>
          <w:b/>
          <w:bCs/>
          <w:color w:val="000000"/>
        </w:rPr>
        <w:t xml:space="preserve"> in the NI legal system.</w:t>
      </w:r>
      <w:r w:rsidR="006A2426">
        <w:rPr>
          <w:b/>
          <w:bCs/>
          <w:color w:val="000000"/>
        </w:rPr>
        <w:t xml:space="preserve"> It should do so in </w:t>
      </w:r>
      <w:r w:rsidR="002F0A15">
        <w:rPr>
          <w:b/>
          <w:bCs/>
          <w:color w:val="000000"/>
        </w:rPr>
        <w:t>consultation</w:t>
      </w:r>
      <w:r w:rsidR="00457875">
        <w:rPr>
          <w:b/>
          <w:bCs/>
          <w:color w:val="000000"/>
        </w:rPr>
        <w:t xml:space="preserve"> </w:t>
      </w:r>
      <w:r w:rsidR="006A2426">
        <w:rPr>
          <w:b/>
          <w:bCs/>
          <w:color w:val="000000"/>
        </w:rPr>
        <w:t>with relevant stakeholders</w:t>
      </w:r>
      <w:r w:rsidR="00D57CA2">
        <w:rPr>
          <w:b/>
          <w:bCs/>
          <w:color w:val="000000"/>
        </w:rPr>
        <w:t xml:space="preserve"> such as the Law Society NI, the Bar </w:t>
      </w:r>
      <w:proofErr w:type="gramStart"/>
      <w:r w:rsidR="00D57CA2">
        <w:rPr>
          <w:b/>
          <w:bCs/>
          <w:color w:val="000000"/>
        </w:rPr>
        <w:t>Council</w:t>
      </w:r>
      <w:proofErr w:type="gramEnd"/>
      <w:r w:rsidR="00D57CA2">
        <w:rPr>
          <w:b/>
          <w:bCs/>
          <w:color w:val="000000"/>
        </w:rPr>
        <w:t xml:space="preserve"> and other </w:t>
      </w:r>
      <w:r w:rsidR="00B66CE5">
        <w:rPr>
          <w:b/>
          <w:bCs/>
          <w:color w:val="000000"/>
        </w:rPr>
        <w:t>relevant organisations.</w:t>
      </w:r>
    </w:p>
    <w:bookmarkEnd w:id="4"/>
    <w:p w14:paraId="5B7C083C" w14:textId="77777777" w:rsidR="00001287" w:rsidRPr="00001287" w:rsidRDefault="00001287" w:rsidP="0020402B">
      <w:pPr>
        <w:pStyle w:val="ListParagraph"/>
        <w:jc w:val="both"/>
        <w:rPr>
          <w:rFonts w:eastAsiaTheme="minorHAnsi"/>
        </w:rPr>
      </w:pPr>
    </w:p>
    <w:p w14:paraId="058D1FB8" w14:textId="77777777" w:rsidR="00890A52" w:rsidRPr="00890A52" w:rsidRDefault="00517815" w:rsidP="00890A52">
      <w:pPr>
        <w:pStyle w:val="ListParagraph"/>
        <w:numPr>
          <w:ilvl w:val="1"/>
          <w:numId w:val="6"/>
        </w:numPr>
        <w:ind w:left="709" w:hanging="709"/>
        <w:jc w:val="both"/>
        <w:rPr>
          <w:color w:val="000000"/>
        </w:rPr>
      </w:pPr>
      <w:r>
        <w:rPr>
          <w:rFonts w:eastAsiaTheme="minorHAnsi"/>
        </w:rPr>
        <w:t xml:space="preserve">The effectiveness of the introduction of </w:t>
      </w:r>
      <w:r w:rsidR="005C5255">
        <w:rPr>
          <w:rFonts w:eastAsiaTheme="minorHAnsi"/>
        </w:rPr>
        <w:t>p</w:t>
      </w:r>
      <w:r>
        <w:rPr>
          <w:rFonts w:eastAsiaTheme="minorHAnsi"/>
        </w:rPr>
        <w:t>ro</w:t>
      </w:r>
      <w:r w:rsidR="005C5255">
        <w:rPr>
          <w:rFonts w:eastAsiaTheme="minorHAnsi"/>
        </w:rPr>
        <w:t xml:space="preserve"> b</w:t>
      </w:r>
      <w:r>
        <w:rPr>
          <w:rFonts w:eastAsiaTheme="minorHAnsi"/>
        </w:rPr>
        <w:t xml:space="preserve">ono </w:t>
      </w:r>
      <w:r w:rsidR="005C5255">
        <w:rPr>
          <w:rFonts w:eastAsiaTheme="minorHAnsi"/>
        </w:rPr>
        <w:t>c</w:t>
      </w:r>
      <w:r>
        <w:rPr>
          <w:rFonts w:eastAsiaTheme="minorHAnsi"/>
        </w:rPr>
        <w:t xml:space="preserve">osts </w:t>
      </w:r>
      <w:r w:rsidR="005C5255">
        <w:rPr>
          <w:rFonts w:eastAsiaTheme="minorHAnsi"/>
        </w:rPr>
        <w:t>o</w:t>
      </w:r>
      <w:r>
        <w:rPr>
          <w:rFonts w:eastAsiaTheme="minorHAnsi"/>
        </w:rPr>
        <w:t xml:space="preserve">rders will depend </w:t>
      </w:r>
      <w:r w:rsidR="00242C57">
        <w:rPr>
          <w:rFonts w:eastAsiaTheme="minorHAnsi"/>
        </w:rPr>
        <w:t>on</w:t>
      </w:r>
      <w:r>
        <w:rPr>
          <w:rFonts w:eastAsiaTheme="minorHAnsi"/>
        </w:rPr>
        <w:t xml:space="preserve"> the</w:t>
      </w:r>
      <w:r w:rsidR="005C5255">
        <w:rPr>
          <w:rFonts w:eastAsiaTheme="minorHAnsi"/>
        </w:rPr>
        <w:t xml:space="preserve"> level</w:t>
      </w:r>
      <w:r w:rsidR="005B734B">
        <w:rPr>
          <w:rFonts w:eastAsiaTheme="minorHAnsi"/>
        </w:rPr>
        <w:t xml:space="preserve"> of funds</w:t>
      </w:r>
      <w:r w:rsidR="00B7368E">
        <w:rPr>
          <w:rFonts w:eastAsiaTheme="minorHAnsi"/>
        </w:rPr>
        <w:t xml:space="preserve"> available</w:t>
      </w:r>
      <w:r w:rsidR="00001287" w:rsidRPr="00001287">
        <w:rPr>
          <w:rFonts w:eastAsiaTheme="minorHAnsi"/>
        </w:rPr>
        <w:t xml:space="preserve"> </w:t>
      </w:r>
      <w:r w:rsidR="006E64B1">
        <w:rPr>
          <w:rFonts w:eastAsiaTheme="minorHAnsi"/>
        </w:rPr>
        <w:t>and w</w:t>
      </w:r>
      <w:r w:rsidR="009F1364">
        <w:rPr>
          <w:rFonts w:eastAsiaTheme="minorHAnsi"/>
        </w:rPr>
        <w:t xml:space="preserve">hat </w:t>
      </w:r>
      <w:r w:rsidR="00001287" w:rsidRPr="00001287">
        <w:rPr>
          <w:rFonts w:eastAsiaTheme="minorHAnsi"/>
        </w:rPr>
        <w:t xml:space="preserve">can or should be done with any proceeds raised from these </w:t>
      </w:r>
      <w:r w:rsidR="007E4307">
        <w:rPr>
          <w:rFonts w:eastAsiaTheme="minorHAnsi"/>
        </w:rPr>
        <w:t>o</w:t>
      </w:r>
      <w:r w:rsidR="00001287" w:rsidRPr="00001287">
        <w:rPr>
          <w:rFonts w:eastAsiaTheme="minorHAnsi"/>
        </w:rPr>
        <w:t>rders will depend a great deal on how much they will raise.</w:t>
      </w:r>
      <w:r w:rsidR="0082604B" w:rsidRPr="0082604B">
        <w:t xml:space="preserve"> </w:t>
      </w:r>
      <w:r w:rsidR="009F1364" w:rsidRPr="00B7368E">
        <w:rPr>
          <w:rFonts w:eastAsiaTheme="minorHAnsi"/>
        </w:rPr>
        <w:t>Looking at the projections provided in the engagement paper</w:t>
      </w:r>
      <w:r w:rsidR="00B97B81" w:rsidRPr="00B7368E">
        <w:rPr>
          <w:rFonts w:eastAsiaTheme="minorHAnsi"/>
        </w:rPr>
        <w:t>, which are</w:t>
      </w:r>
      <w:r w:rsidR="006E64B1" w:rsidRPr="00B7368E">
        <w:rPr>
          <w:rFonts w:eastAsiaTheme="minorHAnsi"/>
        </w:rPr>
        <w:t xml:space="preserve"> based on</w:t>
      </w:r>
      <w:r w:rsidR="00B97B81" w:rsidRPr="00B7368E">
        <w:rPr>
          <w:rFonts w:eastAsiaTheme="minorHAnsi"/>
        </w:rPr>
        <w:t xml:space="preserve"> an assessment of how the system has operated in England </w:t>
      </w:r>
      <w:r w:rsidR="002830F7" w:rsidRPr="00B7368E">
        <w:rPr>
          <w:rFonts w:eastAsiaTheme="minorHAnsi"/>
        </w:rPr>
        <w:t>&amp;</w:t>
      </w:r>
      <w:r w:rsidR="00B97B81" w:rsidRPr="00B7368E">
        <w:rPr>
          <w:rFonts w:eastAsiaTheme="minorHAnsi"/>
        </w:rPr>
        <w:t xml:space="preserve"> Wales</w:t>
      </w:r>
      <w:r w:rsidR="00521467" w:rsidRPr="00B7368E">
        <w:rPr>
          <w:rFonts w:eastAsiaTheme="minorHAnsi"/>
        </w:rPr>
        <w:t>,</w:t>
      </w:r>
      <w:r w:rsidR="009F1364" w:rsidRPr="00B7368E">
        <w:rPr>
          <w:rFonts w:eastAsiaTheme="minorHAnsi"/>
        </w:rPr>
        <w:t xml:space="preserve"> it is likely that</w:t>
      </w:r>
      <w:r w:rsidR="00521467" w:rsidRPr="00B7368E">
        <w:rPr>
          <w:rFonts w:eastAsiaTheme="minorHAnsi"/>
        </w:rPr>
        <w:t xml:space="preserve"> any</w:t>
      </w:r>
      <w:r w:rsidR="009F1364" w:rsidRPr="00B7368E">
        <w:rPr>
          <w:rFonts w:eastAsiaTheme="minorHAnsi"/>
        </w:rPr>
        <w:t xml:space="preserve"> funds</w:t>
      </w:r>
      <w:r w:rsidR="002830F7" w:rsidRPr="00B7368E">
        <w:rPr>
          <w:rFonts w:eastAsiaTheme="minorHAnsi"/>
        </w:rPr>
        <w:t xml:space="preserve"> raised</w:t>
      </w:r>
      <w:r w:rsidR="009F1364" w:rsidRPr="00B7368E">
        <w:rPr>
          <w:rFonts w:eastAsiaTheme="minorHAnsi"/>
        </w:rPr>
        <w:t xml:space="preserve"> will be modest</w:t>
      </w:r>
      <w:r w:rsidR="00425C1B" w:rsidRPr="00B7368E">
        <w:rPr>
          <w:rFonts w:eastAsiaTheme="minorHAnsi"/>
        </w:rPr>
        <w:t>, with projections of</w:t>
      </w:r>
      <w:r w:rsidR="00425C1B" w:rsidRPr="00425C1B">
        <w:t xml:space="preserve"> </w:t>
      </w:r>
      <w:r w:rsidR="00425C1B">
        <w:t>less than £5,000 expected to be raised annually</w:t>
      </w:r>
      <w:r w:rsidR="000524A2">
        <w:t>.</w:t>
      </w:r>
    </w:p>
    <w:p w14:paraId="12069802" w14:textId="77777777" w:rsidR="00890A52" w:rsidRDefault="00890A52" w:rsidP="00890A52">
      <w:pPr>
        <w:pStyle w:val="ListParagraph"/>
      </w:pPr>
    </w:p>
    <w:p w14:paraId="22DBA484" w14:textId="34906306" w:rsidR="00603520" w:rsidRPr="0007797E" w:rsidRDefault="00D70D7F" w:rsidP="0007797E">
      <w:pPr>
        <w:pStyle w:val="ListParagraph"/>
        <w:numPr>
          <w:ilvl w:val="1"/>
          <w:numId w:val="6"/>
        </w:numPr>
        <w:ind w:left="709" w:hanging="709"/>
        <w:jc w:val="both"/>
        <w:rPr>
          <w:color w:val="000000"/>
        </w:rPr>
      </w:pPr>
      <w:r>
        <w:lastRenderedPageBreak/>
        <w:t xml:space="preserve">However, </w:t>
      </w:r>
      <w:r w:rsidR="00250890">
        <w:t>this</w:t>
      </w:r>
      <w:r w:rsidR="000F67AD">
        <w:t xml:space="preserve"> </w:t>
      </w:r>
      <w:r>
        <w:t xml:space="preserve">does not mean that it cannot have a meaningful </w:t>
      </w:r>
      <w:r w:rsidR="000F67AD">
        <w:t>benefit</w:t>
      </w:r>
      <w:r>
        <w:t xml:space="preserve"> </w:t>
      </w:r>
      <w:r w:rsidR="00603520">
        <w:t xml:space="preserve">on access to </w:t>
      </w:r>
      <w:r w:rsidR="004C6A54">
        <w:t>justice</w:t>
      </w:r>
      <w:r w:rsidR="000F67AD">
        <w:t xml:space="preserve">. </w:t>
      </w:r>
      <w:r w:rsidR="000524A2">
        <w:t xml:space="preserve">An example where even modest funds may be of great assistance to the public would be with the initial cost of </w:t>
      </w:r>
      <w:r w:rsidR="002C0D89">
        <w:t xml:space="preserve">an opinion from counsel or the cost of an </w:t>
      </w:r>
      <w:r w:rsidR="000524A2">
        <w:t xml:space="preserve">application for leave to appeal in a judicial review. Many applicants can fall foul of the </w:t>
      </w:r>
      <w:r w:rsidR="00BC3A8A">
        <w:t>three-month</w:t>
      </w:r>
      <w:r w:rsidR="000524A2">
        <w:t xml:space="preserve"> time limit</w:t>
      </w:r>
      <w:r w:rsidR="00A153D1">
        <w:t xml:space="preserve"> </w:t>
      </w:r>
      <w:r w:rsidR="00E817CE">
        <w:t xml:space="preserve">to begin a </w:t>
      </w:r>
      <w:r w:rsidR="00A153D1">
        <w:t>judicial review</w:t>
      </w:r>
      <w:r w:rsidR="000524A2">
        <w:t xml:space="preserve"> and even those who pass the ‘means test’ for </w:t>
      </w:r>
      <w:r w:rsidR="00F078FB">
        <w:t>l</w:t>
      </w:r>
      <w:r w:rsidR="000524A2">
        <w:t xml:space="preserve">egal </w:t>
      </w:r>
      <w:r w:rsidR="00F078FB">
        <w:t>a</w:t>
      </w:r>
      <w:r w:rsidR="000524A2">
        <w:t xml:space="preserve">id can fail the stringent merits test. Even a small fund, made available to an organisation that can </w:t>
      </w:r>
      <w:r w:rsidR="00E605FF">
        <w:t>properly assess</w:t>
      </w:r>
      <w:r w:rsidR="000524A2">
        <w:t xml:space="preserve"> potential cases of strategic interest would be able to</w:t>
      </w:r>
      <w:r w:rsidR="00CE6B0B">
        <w:t xml:space="preserve"> cover</w:t>
      </w:r>
      <w:r w:rsidR="000524A2">
        <w:t xml:space="preserve"> the initial leave application costs to the court. If leave is then granted by the court</w:t>
      </w:r>
      <w:r w:rsidR="00BC3A8A">
        <w:t>,</w:t>
      </w:r>
      <w:r w:rsidR="000524A2">
        <w:t xml:space="preserve"> the applicant m</w:t>
      </w:r>
      <w:r w:rsidR="00BC3A8A">
        <w:t>ight</w:t>
      </w:r>
      <w:r w:rsidR="000524A2">
        <w:t xml:space="preserve"> find it easier to pass the ‘merits test’</w:t>
      </w:r>
      <w:r w:rsidR="00603520">
        <w:t xml:space="preserve"> and</w:t>
      </w:r>
      <w:r w:rsidR="00CE6B0B">
        <w:t xml:space="preserve"> achieve an</w:t>
      </w:r>
      <w:r w:rsidR="00603520">
        <w:t xml:space="preserve"> award</w:t>
      </w:r>
      <w:r w:rsidR="00D07E63">
        <w:t xml:space="preserve"> for</w:t>
      </w:r>
      <w:r w:rsidR="00603520">
        <w:t xml:space="preserve"> </w:t>
      </w:r>
      <w:r w:rsidR="0036188E">
        <w:t>l</w:t>
      </w:r>
      <w:r w:rsidR="00603520">
        <w:t xml:space="preserve">egal </w:t>
      </w:r>
      <w:r w:rsidR="0036188E">
        <w:t>a</w:t>
      </w:r>
      <w:r w:rsidR="00603520">
        <w:t>id for full hearing.</w:t>
      </w:r>
      <w:r w:rsidR="0007797E">
        <w:t xml:space="preserve"> </w:t>
      </w:r>
      <w:r w:rsidR="001E2C99" w:rsidRPr="0007797E">
        <w:rPr>
          <w:color w:val="000000"/>
        </w:rPr>
        <w:t>In addition to this, simply having</w:t>
      </w:r>
      <w:r w:rsidR="006705CA" w:rsidRPr="0007797E">
        <w:rPr>
          <w:color w:val="000000"/>
        </w:rPr>
        <w:t xml:space="preserve"> the option to begin</w:t>
      </w:r>
      <w:r w:rsidR="001E2C99" w:rsidRPr="0007797E">
        <w:rPr>
          <w:color w:val="000000"/>
        </w:rPr>
        <w:t xml:space="preserve"> proceedings</w:t>
      </w:r>
      <w:r w:rsidR="006705CA" w:rsidRPr="0007797E">
        <w:rPr>
          <w:color w:val="000000"/>
        </w:rPr>
        <w:t xml:space="preserve"> before</w:t>
      </w:r>
      <w:r w:rsidR="001E2C99" w:rsidRPr="0007797E">
        <w:rPr>
          <w:color w:val="000000"/>
        </w:rPr>
        <w:t xml:space="preserve"> the court means that a respondent would have to seriously consider </w:t>
      </w:r>
      <w:r w:rsidR="006705CA" w:rsidRPr="0007797E">
        <w:rPr>
          <w:color w:val="000000"/>
        </w:rPr>
        <w:t>whether to</w:t>
      </w:r>
      <w:r w:rsidR="001B0612" w:rsidRPr="0007797E">
        <w:rPr>
          <w:color w:val="000000"/>
        </w:rPr>
        <w:t xml:space="preserve"> </w:t>
      </w:r>
      <w:r w:rsidR="006705CA" w:rsidRPr="0007797E">
        <w:rPr>
          <w:color w:val="000000"/>
        </w:rPr>
        <w:t>negotiate</w:t>
      </w:r>
      <w:r w:rsidR="00E4018B" w:rsidRPr="0007797E">
        <w:rPr>
          <w:color w:val="000000"/>
        </w:rPr>
        <w:t xml:space="preserve"> a settlemen</w:t>
      </w:r>
      <w:r w:rsidR="0072201B" w:rsidRPr="0007797E">
        <w:rPr>
          <w:color w:val="000000"/>
        </w:rPr>
        <w:t>t</w:t>
      </w:r>
      <w:r w:rsidR="00E4018B" w:rsidRPr="0007797E">
        <w:rPr>
          <w:color w:val="000000"/>
        </w:rPr>
        <w:t xml:space="preserve"> in the case. </w:t>
      </w:r>
    </w:p>
    <w:p w14:paraId="26E44D80" w14:textId="77777777" w:rsidR="005A1506" w:rsidRPr="005A1506" w:rsidRDefault="005A1506" w:rsidP="0020402B">
      <w:pPr>
        <w:pStyle w:val="ListParagraph"/>
        <w:jc w:val="both"/>
        <w:rPr>
          <w:rFonts w:eastAsiaTheme="minorHAnsi"/>
        </w:rPr>
      </w:pPr>
    </w:p>
    <w:p w14:paraId="61478B84" w14:textId="3BD476B8" w:rsidR="00741C48" w:rsidRPr="00741C48" w:rsidRDefault="00BB11A6" w:rsidP="0020402B">
      <w:pPr>
        <w:pStyle w:val="ListParagraph"/>
        <w:numPr>
          <w:ilvl w:val="1"/>
          <w:numId w:val="6"/>
        </w:numPr>
        <w:ind w:left="709" w:hanging="709"/>
        <w:jc w:val="both"/>
        <w:rPr>
          <w:color w:val="000000"/>
        </w:rPr>
      </w:pPr>
      <w:r>
        <w:rPr>
          <w:rFonts w:eastAsiaTheme="minorHAnsi"/>
        </w:rPr>
        <w:t>D</w:t>
      </w:r>
      <w:r w:rsidR="001C3420">
        <w:rPr>
          <w:rFonts w:eastAsiaTheme="minorHAnsi"/>
        </w:rPr>
        <w:t xml:space="preserve">ecisions on how best to utilise funds </w:t>
      </w:r>
      <w:r w:rsidR="00EB0103">
        <w:rPr>
          <w:rFonts w:eastAsiaTheme="minorHAnsi"/>
        </w:rPr>
        <w:t xml:space="preserve">from </w:t>
      </w:r>
      <w:r w:rsidR="001B0612">
        <w:rPr>
          <w:rFonts w:eastAsiaTheme="minorHAnsi"/>
        </w:rPr>
        <w:t>p</w:t>
      </w:r>
      <w:r w:rsidR="00EB0103">
        <w:rPr>
          <w:rFonts w:eastAsiaTheme="minorHAnsi"/>
        </w:rPr>
        <w:t>ro</w:t>
      </w:r>
      <w:r w:rsidR="001B0612">
        <w:rPr>
          <w:rFonts w:eastAsiaTheme="minorHAnsi"/>
        </w:rPr>
        <w:t xml:space="preserve"> b</w:t>
      </w:r>
      <w:r w:rsidR="00EB0103">
        <w:rPr>
          <w:rFonts w:eastAsiaTheme="minorHAnsi"/>
        </w:rPr>
        <w:t>ono</w:t>
      </w:r>
      <w:r>
        <w:rPr>
          <w:rFonts w:eastAsiaTheme="minorHAnsi"/>
        </w:rPr>
        <w:t xml:space="preserve"> </w:t>
      </w:r>
      <w:r w:rsidR="001B0612">
        <w:rPr>
          <w:rFonts w:eastAsiaTheme="minorHAnsi"/>
        </w:rPr>
        <w:t>c</w:t>
      </w:r>
      <w:r>
        <w:rPr>
          <w:rFonts w:eastAsiaTheme="minorHAnsi"/>
        </w:rPr>
        <w:t xml:space="preserve">osts </w:t>
      </w:r>
      <w:r w:rsidR="001075AF">
        <w:rPr>
          <w:rFonts w:eastAsiaTheme="minorHAnsi"/>
        </w:rPr>
        <w:t>are therefore important</w:t>
      </w:r>
      <w:r w:rsidR="00F8756E">
        <w:rPr>
          <w:rFonts w:eastAsiaTheme="minorHAnsi"/>
        </w:rPr>
        <w:t>.</w:t>
      </w:r>
      <w:r w:rsidR="001E7514" w:rsidRPr="001E7514">
        <w:t xml:space="preserve"> </w:t>
      </w:r>
      <w:r w:rsidR="00EE5C6D">
        <w:t xml:space="preserve">The </w:t>
      </w:r>
      <w:proofErr w:type="spellStart"/>
      <w:r w:rsidR="00EE5C6D">
        <w:t>DoJ</w:t>
      </w:r>
      <w:proofErr w:type="spellEnd"/>
      <w:r w:rsidR="00EE5C6D">
        <w:t xml:space="preserve"> </w:t>
      </w:r>
      <w:r w:rsidR="004A7BCE">
        <w:t>e</w:t>
      </w:r>
      <w:r w:rsidR="00EE5C6D">
        <w:t xml:space="preserve">ngagement </w:t>
      </w:r>
      <w:r w:rsidR="004A7BCE">
        <w:t>p</w:t>
      </w:r>
      <w:r w:rsidR="00EE5C6D">
        <w:t>aper identifies o</w:t>
      </w:r>
      <w:r w:rsidR="00BB5463">
        <w:t>ne option</w:t>
      </w:r>
      <w:r w:rsidR="00DD44A2">
        <w:t xml:space="preserve"> being</w:t>
      </w:r>
      <w:r w:rsidR="00BB5463">
        <w:t xml:space="preserve"> to </w:t>
      </w:r>
      <w:r w:rsidR="001E7514">
        <w:t>pay the legal representatives who have acted pro bono</w:t>
      </w:r>
      <w:r w:rsidR="00BB5463">
        <w:t xml:space="preserve"> in that case</w:t>
      </w:r>
      <w:r w:rsidR="00DD44A2">
        <w:t xml:space="preserve"> but goes on to say that this would</w:t>
      </w:r>
      <w:r w:rsidR="00DD44A2" w:rsidRPr="00DD44A2">
        <w:t xml:space="preserve"> limit the potential for wider public good</w:t>
      </w:r>
      <w:r w:rsidR="001E3D42">
        <w:t xml:space="preserve"> from the scheme</w:t>
      </w:r>
      <w:r w:rsidR="00DD44A2">
        <w:t>.</w:t>
      </w:r>
      <w:r w:rsidR="00C0385F" w:rsidRPr="00C0385F">
        <w:t xml:space="preserve"> </w:t>
      </w:r>
      <w:r w:rsidR="00741C48">
        <w:t xml:space="preserve">In this, the Commission </w:t>
      </w:r>
      <w:proofErr w:type="gramStart"/>
      <w:r w:rsidR="00741C48">
        <w:t>is in agreement</w:t>
      </w:r>
      <w:proofErr w:type="gramEnd"/>
      <w:r w:rsidR="00741C48">
        <w:t xml:space="preserve"> with the </w:t>
      </w:r>
      <w:proofErr w:type="spellStart"/>
      <w:r w:rsidR="00741C48">
        <w:t>DoJ</w:t>
      </w:r>
      <w:proofErr w:type="spellEnd"/>
      <w:r w:rsidR="00C0385F">
        <w:t xml:space="preserve"> and further agrees</w:t>
      </w:r>
      <w:r w:rsidR="004A7BCE">
        <w:t xml:space="preserve"> with the assessment</w:t>
      </w:r>
      <w:r w:rsidR="00C0385F">
        <w:t xml:space="preserve"> that funds </w:t>
      </w:r>
      <w:r w:rsidR="004A7BCE">
        <w:t>would be most effectively used</w:t>
      </w:r>
      <w:r w:rsidR="00855810">
        <w:t xml:space="preserve"> if they are</w:t>
      </w:r>
      <w:r w:rsidR="00C0385F">
        <w:t xml:space="preserve"> channelled to a charity or public body that meets the cost of legal representation</w:t>
      </w:r>
      <w:r w:rsidR="00046F47">
        <w:t xml:space="preserve"> and </w:t>
      </w:r>
      <w:r w:rsidR="00C0385F">
        <w:t>promotes pro bono work</w:t>
      </w:r>
      <w:r w:rsidR="00046F47">
        <w:t>.</w:t>
      </w:r>
    </w:p>
    <w:p w14:paraId="10C03447" w14:textId="77777777" w:rsidR="00741C48" w:rsidRPr="00741C48" w:rsidRDefault="00741C48" w:rsidP="0020402B">
      <w:pPr>
        <w:pStyle w:val="ListParagraph"/>
        <w:jc w:val="both"/>
        <w:rPr>
          <w:rFonts w:eastAsiaTheme="minorHAnsi"/>
        </w:rPr>
      </w:pPr>
    </w:p>
    <w:p w14:paraId="70A71DB6" w14:textId="1FD2AAB0" w:rsidR="005B734B" w:rsidRPr="00741C48" w:rsidRDefault="002830F7" w:rsidP="0020402B">
      <w:pPr>
        <w:pStyle w:val="ListParagraph"/>
        <w:numPr>
          <w:ilvl w:val="1"/>
          <w:numId w:val="6"/>
        </w:numPr>
        <w:ind w:left="709" w:hanging="709"/>
        <w:jc w:val="both"/>
        <w:rPr>
          <w:color w:val="000000"/>
        </w:rPr>
      </w:pPr>
      <w:r>
        <w:rPr>
          <w:rFonts w:eastAsiaTheme="minorHAnsi"/>
        </w:rPr>
        <w:t xml:space="preserve">In </w:t>
      </w:r>
      <w:r w:rsidR="00F8756E" w:rsidRPr="00BB507F">
        <w:rPr>
          <w:rFonts w:eastAsiaTheme="minorHAnsi"/>
        </w:rPr>
        <w:t>England &amp; Wales the Access to Justice Foundation is the central recipient of funds</w:t>
      </w:r>
      <w:r w:rsidR="00905AF9">
        <w:rPr>
          <w:rFonts w:eastAsiaTheme="minorHAnsi"/>
        </w:rPr>
        <w:t xml:space="preserve"> from Pro-Bono Costs Orders</w:t>
      </w:r>
      <w:r w:rsidR="00F8756E" w:rsidRPr="00BB507F">
        <w:rPr>
          <w:rFonts w:eastAsiaTheme="minorHAnsi"/>
        </w:rPr>
        <w:t xml:space="preserve">. The Foundation then distributes the money received to front line agencies and projects that </w:t>
      </w:r>
      <w:r w:rsidR="00855810">
        <w:rPr>
          <w:rFonts w:eastAsiaTheme="minorHAnsi"/>
        </w:rPr>
        <w:t>provide</w:t>
      </w:r>
      <w:r w:rsidR="00F8756E" w:rsidRPr="00BB507F">
        <w:rPr>
          <w:rFonts w:eastAsiaTheme="minorHAnsi"/>
        </w:rPr>
        <w:t xml:space="preserve"> free legal help to those in need.</w:t>
      </w:r>
      <w:r w:rsidR="00741C48">
        <w:rPr>
          <w:rFonts w:eastAsiaTheme="minorHAnsi"/>
        </w:rPr>
        <w:t xml:space="preserve"> </w:t>
      </w:r>
      <w:r w:rsidR="009F1364" w:rsidRPr="00741C48">
        <w:rPr>
          <w:rFonts w:eastAsiaTheme="minorHAnsi"/>
        </w:rPr>
        <w:t>The Department may wish to</w:t>
      </w:r>
      <w:r w:rsidR="006D672A" w:rsidRPr="00741C48">
        <w:rPr>
          <w:rFonts w:eastAsiaTheme="minorHAnsi"/>
        </w:rPr>
        <w:t xml:space="preserve"> follow this example and</w:t>
      </w:r>
      <w:r w:rsidR="009F1364" w:rsidRPr="00741C48">
        <w:rPr>
          <w:rFonts w:eastAsiaTheme="minorHAnsi"/>
        </w:rPr>
        <w:t xml:space="preserve"> </w:t>
      </w:r>
      <w:r w:rsidR="0027325A" w:rsidRPr="00741C48">
        <w:rPr>
          <w:rFonts w:eastAsiaTheme="minorHAnsi"/>
        </w:rPr>
        <w:t>investigate</w:t>
      </w:r>
      <w:r w:rsidR="006D672A" w:rsidRPr="00741C48">
        <w:rPr>
          <w:rFonts w:eastAsiaTheme="minorHAnsi"/>
        </w:rPr>
        <w:t xml:space="preserve"> the viability of</w:t>
      </w:r>
      <w:r w:rsidR="009F1364" w:rsidRPr="00741C48">
        <w:rPr>
          <w:rFonts w:eastAsiaTheme="minorHAnsi"/>
        </w:rPr>
        <w:t xml:space="preserve"> setting up a local Access to Justice Foundation </w:t>
      </w:r>
      <w:r w:rsidR="006D672A" w:rsidRPr="00741C48">
        <w:rPr>
          <w:rFonts w:eastAsiaTheme="minorHAnsi"/>
        </w:rPr>
        <w:t xml:space="preserve">in NI </w:t>
      </w:r>
      <w:r w:rsidR="009F1364" w:rsidRPr="00741C48">
        <w:rPr>
          <w:rFonts w:eastAsiaTheme="minorHAnsi"/>
        </w:rPr>
        <w:t>that distributes funds generated from the</w:t>
      </w:r>
      <w:r w:rsidR="00DF779F">
        <w:rPr>
          <w:rFonts w:eastAsiaTheme="minorHAnsi"/>
        </w:rPr>
        <w:t>se</w:t>
      </w:r>
      <w:r w:rsidR="009F1364" w:rsidRPr="00741C48">
        <w:rPr>
          <w:rFonts w:eastAsiaTheme="minorHAnsi"/>
        </w:rPr>
        <w:t xml:space="preserve"> </w:t>
      </w:r>
      <w:r w:rsidR="00DF779F">
        <w:rPr>
          <w:rFonts w:eastAsiaTheme="minorHAnsi"/>
        </w:rPr>
        <w:t>o</w:t>
      </w:r>
      <w:r w:rsidR="009F1364" w:rsidRPr="00741C48">
        <w:rPr>
          <w:rFonts w:eastAsiaTheme="minorHAnsi"/>
        </w:rPr>
        <w:t>rders</w:t>
      </w:r>
      <w:r w:rsidR="00E875E3">
        <w:rPr>
          <w:rFonts w:eastAsiaTheme="minorHAnsi"/>
        </w:rPr>
        <w:t xml:space="preserve">. </w:t>
      </w:r>
      <w:r w:rsidR="001D1567">
        <w:rPr>
          <w:rFonts w:eastAsiaTheme="minorHAnsi"/>
        </w:rPr>
        <w:t>However, i</w:t>
      </w:r>
      <w:r w:rsidR="00E875E3">
        <w:rPr>
          <w:rFonts w:eastAsiaTheme="minorHAnsi"/>
        </w:rPr>
        <w:t>t</w:t>
      </w:r>
      <w:r w:rsidR="0095146E">
        <w:rPr>
          <w:rFonts w:eastAsiaTheme="minorHAnsi"/>
        </w:rPr>
        <w:t xml:space="preserve"> should</w:t>
      </w:r>
      <w:r w:rsidR="001D1567">
        <w:rPr>
          <w:rFonts w:eastAsiaTheme="minorHAnsi"/>
        </w:rPr>
        <w:t xml:space="preserve"> </w:t>
      </w:r>
      <w:r w:rsidR="0095146E">
        <w:rPr>
          <w:rFonts w:eastAsiaTheme="minorHAnsi"/>
        </w:rPr>
        <w:t>bear in mind the costs of setting up</w:t>
      </w:r>
      <w:r w:rsidR="002D5100">
        <w:rPr>
          <w:rFonts w:eastAsiaTheme="minorHAnsi"/>
        </w:rPr>
        <w:t xml:space="preserve"> and </w:t>
      </w:r>
      <w:r w:rsidR="00C11C1D">
        <w:rPr>
          <w:rFonts w:eastAsiaTheme="minorHAnsi"/>
        </w:rPr>
        <w:t>administering</w:t>
      </w:r>
      <w:r w:rsidR="0095146E">
        <w:rPr>
          <w:rFonts w:eastAsiaTheme="minorHAnsi"/>
        </w:rPr>
        <w:t xml:space="preserve"> such a body</w:t>
      </w:r>
      <w:r w:rsidR="002D5100">
        <w:rPr>
          <w:rFonts w:eastAsiaTheme="minorHAnsi"/>
        </w:rPr>
        <w:t xml:space="preserve"> as</w:t>
      </w:r>
      <w:r w:rsidR="0095146E">
        <w:rPr>
          <w:rFonts w:eastAsiaTheme="minorHAnsi"/>
        </w:rPr>
        <w:t xml:space="preserve"> against the relatively modest</w:t>
      </w:r>
      <w:r w:rsidR="00570A5D">
        <w:rPr>
          <w:rFonts w:eastAsiaTheme="minorHAnsi"/>
        </w:rPr>
        <w:t xml:space="preserve"> funds</w:t>
      </w:r>
      <w:r w:rsidR="0095146E">
        <w:rPr>
          <w:rFonts w:eastAsiaTheme="minorHAnsi"/>
        </w:rPr>
        <w:t xml:space="preserve"> projected </w:t>
      </w:r>
      <w:r w:rsidR="001855D0">
        <w:rPr>
          <w:rFonts w:eastAsiaTheme="minorHAnsi"/>
        </w:rPr>
        <w:t>in the engagement paper.</w:t>
      </w:r>
    </w:p>
    <w:p w14:paraId="4D8EE8BA" w14:textId="77777777" w:rsidR="006D672A" w:rsidRPr="006D672A" w:rsidRDefault="006D672A" w:rsidP="0020402B">
      <w:pPr>
        <w:pStyle w:val="ListParagraph"/>
        <w:jc w:val="both"/>
        <w:rPr>
          <w:color w:val="000000"/>
        </w:rPr>
      </w:pPr>
    </w:p>
    <w:p w14:paraId="3D472A17" w14:textId="290DE8A2" w:rsidR="002A436B" w:rsidRDefault="00001287" w:rsidP="001678AC">
      <w:pPr>
        <w:pStyle w:val="ListParagraph"/>
        <w:numPr>
          <w:ilvl w:val="1"/>
          <w:numId w:val="6"/>
        </w:numPr>
        <w:ind w:left="709" w:hanging="709"/>
        <w:jc w:val="both"/>
        <w:rPr>
          <w:rFonts w:eastAsiaTheme="minorHAnsi"/>
        </w:rPr>
      </w:pPr>
      <w:r w:rsidRPr="001678AC">
        <w:rPr>
          <w:rFonts w:eastAsiaTheme="minorHAnsi"/>
        </w:rPr>
        <w:t>Alternatively, it may be more financially and administratively prudent and efficient to make such funds</w:t>
      </w:r>
      <w:r w:rsidR="008D718E" w:rsidRPr="001678AC">
        <w:rPr>
          <w:rFonts w:eastAsiaTheme="minorHAnsi"/>
        </w:rPr>
        <w:t xml:space="preserve"> that are recovered</w:t>
      </w:r>
      <w:r w:rsidRPr="001678AC">
        <w:rPr>
          <w:rFonts w:eastAsiaTheme="minorHAnsi"/>
        </w:rPr>
        <w:t xml:space="preserve"> available to an organisation that already exists and which is already operating in expanding and developing access to justice. A </w:t>
      </w:r>
      <w:r w:rsidR="008D718E" w:rsidRPr="001678AC">
        <w:rPr>
          <w:rFonts w:eastAsiaTheme="minorHAnsi"/>
        </w:rPr>
        <w:t>possible</w:t>
      </w:r>
      <w:r w:rsidRPr="001678AC">
        <w:rPr>
          <w:rFonts w:eastAsiaTheme="minorHAnsi"/>
        </w:rPr>
        <w:t xml:space="preserve"> </w:t>
      </w:r>
      <w:r w:rsidR="0084113E" w:rsidRPr="001678AC">
        <w:rPr>
          <w:rFonts w:eastAsiaTheme="minorHAnsi"/>
        </w:rPr>
        <w:t>option</w:t>
      </w:r>
      <w:r w:rsidRPr="001678AC">
        <w:rPr>
          <w:rFonts w:eastAsiaTheme="minorHAnsi"/>
        </w:rPr>
        <w:t xml:space="preserve"> would be the Public Interest Litigation Support project (PILS).</w:t>
      </w:r>
    </w:p>
    <w:p w14:paraId="15A267A5" w14:textId="77777777" w:rsidR="001678AC" w:rsidRPr="001678AC" w:rsidRDefault="001678AC" w:rsidP="004806B5">
      <w:pPr>
        <w:jc w:val="both"/>
        <w:rPr>
          <w:rFonts w:eastAsiaTheme="minorHAnsi"/>
        </w:rPr>
      </w:pPr>
    </w:p>
    <w:p w14:paraId="291FAE48" w14:textId="079DFD0C" w:rsidR="0019753D" w:rsidRPr="0019753D" w:rsidRDefault="0082467B" w:rsidP="0020402B">
      <w:pPr>
        <w:pStyle w:val="ListParagraph"/>
        <w:numPr>
          <w:ilvl w:val="1"/>
          <w:numId w:val="6"/>
        </w:numPr>
        <w:ind w:left="709" w:hanging="709"/>
        <w:jc w:val="both"/>
        <w:rPr>
          <w:color w:val="000000"/>
        </w:rPr>
      </w:pPr>
      <w:r w:rsidRPr="002A436B">
        <w:rPr>
          <w:rFonts w:eastAsiaTheme="minorHAnsi"/>
        </w:rPr>
        <w:t>It</w:t>
      </w:r>
      <w:r w:rsidR="009F437F" w:rsidRPr="002A436B">
        <w:rPr>
          <w:rFonts w:eastAsiaTheme="minorHAnsi"/>
        </w:rPr>
        <w:t xml:space="preserve"> is foreseeable</w:t>
      </w:r>
      <w:r w:rsidRPr="002A436B">
        <w:rPr>
          <w:rFonts w:eastAsiaTheme="minorHAnsi"/>
        </w:rPr>
        <w:t xml:space="preserve"> that this may then have an accumulative effect, with increased pro bono litigation undertaken by</w:t>
      </w:r>
      <w:r w:rsidR="00AF197C">
        <w:rPr>
          <w:rFonts w:eastAsiaTheme="minorHAnsi"/>
        </w:rPr>
        <w:t xml:space="preserve"> an organisation like</w:t>
      </w:r>
      <w:r w:rsidRPr="002A436B">
        <w:rPr>
          <w:rFonts w:eastAsiaTheme="minorHAnsi"/>
        </w:rPr>
        <w:t xml:space="preserve"> PILS</w:t>
      </w:r>
      <w:r w:rsidR="0076602C">
        <w:rPr>
          <w:rFonts w:eastAsiaTheme="minorHAnsi"/>
        </w:rPr>
        <w:t>, with</w:t>
      </w:r>
      <w:r w:rsidR="00AF197C">
        <w:rPr>
          <w:rFonts w:eastAsiaTheme="minorHAnsi"/>
        </w:rPr>
        <w:t xml:space="preserve"> its associated pro bono register</w:t>
      </w:r>
      <w:r w:rsidR="0076602C">
        <w:rPr>
          <w:rFonts w:eastAsiaTheme="minorHAnsi"/>
        </w:rPr>
        <w:t>,</w:t>
      </w:r>
      <w:r w:rsidRPr="002A436B">
        <w:rPr>
          <w:rFonts w:eastAsiaTheme="minorHAnsi"/>
        </w:rPr>
        <w:t xml:space="preserve"> potentially generating more funds for further pro bono work</w:t>
      </w:r>
      <w:r w:rsidR="004616AB" w:rsidRPr="002A436B">
        <w:rPr>
          <w:rFonts w:eastAsiaTheme="minorHAnsi"/>
        </w:rPr>
        <w:t xml:space="preserve"> in the future</w:t>
      </w:r>
      <w:r w:rsidRPr="002A436B">
        <w:rPr>
          <w:rFonts w:eastAsiaTheme="minorHAnsi"/>
        </w:rPr>
        <w:t>.</w:t>
      </w:r>
    </w:p>
    <w:p w14:paraId="3F6DB608" w14:textId="77777777" w:rsidR="0019753D" w:rsidRPr="0019753D" w:rsidRDefault="0019753D" w:rsidP="0020402B">
      <w:pPr>
        <w:pStyle w:val="ListParagraph"/>
        <w:jc w:val="both"/>
        <w:rPr>
          <w:rFonts w:eastAsiaTheme="minorHAnsi"/>
          <w:b/>
          <w:bCs/>
        </w:rPr>
      </w:pPr>
    </w:p>
    <w:p w14:paraId="783C9401" w14:textId="75C0EE4E" w:rsidR="0019753D" w:rsidRPr="0019753D" w:rsidRDefault="0082467B" w:rsidP="0020402B">
      <w:pPr>
        <w:pStyle w:val="ListParagraph"/>
        <w:numPr>
          <w:ilvl w:val="1"/>
          <w:numId w:val="6"/>
        </w:numPr>
        <w:ind w:left="709" w:hanging="709"/>
        <w:jc w:val="both"/>
        <w:rPr>
          <w:color w:val="000000"/>
        </w:rPr>
      </w:pPr>
      <w:bookmarkStart w:id="5" w:name="_Hlk83900212"/>
      <w:r w:rsidRPr="0019753D">
        <w:rPr>
          <w:rFonts w:eastAsiaTheme="minorHAnsi"/>
          <w:b/>
          <w:bCs/>
        </w:rPr>
        <w:t xml:space="preserve">The </w:t>
      </w:r>
      <w:r w:rsidR="004C4542" w:rsidRPr="0019753D">
        <w:rPr>
          <w:rFonts w:eastAsiaTheme="minorHAnsi"/>
          <w:b/>
          <w:bCs/>
        </w:rPr>
        <w:t xml:space="preserve">NIHRC </w:t>
      </w:r>
      <w:r w:rsidR="00914063" w:rsidRPr="0019753D">
        <w:rPr>
          <w:rFonts w:eastAsiaTheme="minorHAnsi"/>
          <w:b/>
          <w:bCs/>
        </w:rPr>
        <w:t>r</w:t>
      </w:r>
      <w:r w:rsidR="004C4542" w:rsidRPr="0019753D">
        <w:rPr>
          <w:rFonts w:eastAsiaTheme="minorHAnsi"/>
          <w:b/>
          <w:bCs/>
        </w:rPr>
        <w:t>ecommends that</w:t>
      </w:r>
      <w:r w:rsidR="00914063" w:rsidRPr="0019753D">
        <w:rPr>
          <w:rFonts w:eastAsiaTheme="minorHAnsi"/>
          <w:b/>
          <w:bCs/>
        </w:rPr>
        <w:t xml:space="preserve"> </w:t>
      </w:r>
      <w:r w:rsidR="004C4542" w:rsidRPr="0019753D">
        <w:rPr>
          <w:rFonts w:eastAsiaTheme="minorHAnsi"/>
          <w:b/>
          <w:bCs/>
        </w:rPr>
        <w:t>funds raised from pro bono costs orders</w:t>
      </w:r>
      <w:r w:rsidR="00BA02A2" w:rsidRPr="0019753D">
        <w:rPr>
          <w:rFonts w:eastAsiaTheme="minorHAnsi"/>
          <w:b/>
          <w:bCs/>
        </w:rPr>
        <w:t xml:space="preserve"> should</w:t>
      </w:r>
      <w:r w:rsidR="0076602C">
        <w:rPr>
          <w:rFonts w:eastAsiaTheme="minorHAnsi"/>
          <w:b/>
          <w:bCs/>
        </w:rPr>
        <w:t xml:space="preserve"> be</w:t>
      </w:r>
      <w:r w:rsidR="00BA02A2" w:rsidRPr="0019753D">
        <w:rPr>
          <w:rFonts w:eastAsiaTheme="minorHAnsi"/>
          <w:b/>
          <w:bCs/>
        </w:rPr>
        <w:t xml:space="preserve"> </w:t>
      </w:r>
      <w:r w:rsidR="004C4542" w:rsidRPr="0019753D">
        <w:rPr>
          <w:rFonts w:eastAsiaTheme="minorHAnsi"/>
          <w:b/>
          <w:bCs/>
        </w:rPr>
        <w:t>channelled to a</w:t>
      </w:r>
      <w:r w:rsidR="006B239B">
        <w:rPr>
          <w:rFonts w:eastAsiaTheme="minorHAnsi"/>
          <w:b/>
          <w:bCs/>
        </w:rPr>
        <w:t>n</w:t>
      </w:r>
      <w:r w:rsidR="00914063" w:rsidRPr="0019753D">
        <w:rPr>
          <w:rFonts w:eastAsiaTheme="minorHAnsi"/>
          <w:b/>
          <w:bCs/>
        </w:rPr>
        <w:t xml:space="preserve"> existing</w:t>
      </w:r>
      <w:r w:rsidR="004C4542" w:rsidRPr="0019753D">
        <w:rPr>
          <w:rFonts w:eastAsiaTheme="minorHAnsi"/>
          <w:b/>
          <w:bCs/>
        </w:rPr>
        <w:t xml:space="preserve"> </w:t>
      </w:r>
      <w:r w:rsidR="00914063" w:rsidRPr="0019753D">
        <w:rPr>
          <w:rFonts w:eastAsiaTheme="minorHAnsi"/>
          <w:b/>
          <w:bCs/>
        </w:rPr>
        <w:t>voluntary organisation</w:t>
      </w:r>
      <w:r w:rsidR="004C4542" w:rsidRPr="0019753D">
        <w:rPr>
          <w:rFonts w:eastAsiaTheme="minorHAnsi"/>
          <w:b/>
          <w:bCs/>
        </w:rPr>
        <w:t xml:space="preserve"> or public body that</w:t>
      </w:r>
      <w:r w:rsidR="00914063" w:rsidRPr="0019753D">
        <w:rPr>
          <w:rFonts w:eastAsiaTheme="minorHAnsi"/>
          <w:b/>
          <w:bCs/>
        </w:rPr>
        <w:t xml:space="preserve"> has expertise</w:t>
      </w:r>
      <w:r w:rsidR="002214DE" w:rsidRPr="0019753D">
        <w:rPr>
          <w:rFonts w:eastAsiaTheme="minorHAnsi"/>
          <w:b/>
          <w:bCs/>
        </w:rPr>
        <w:t xml:space="preserve"> in </w:t>
      </w:r>
      <w:proofErr w:type="gramStart"/>
      <w:r w:rsidR="002214DE" w:rsidRPr="0019753D">
        <w:rPr>
          <w:rFonts w:eastAsiaTheme="minorHAnsi"/>
          <w:b/>
          <w:bCs/>
        </w:rPr>
        <w:t>providing assistance</w:t>
      </w:r>
      <w:proofErr w:type="gramEnd"/>
      <w:r w:rsidR="002214DE" w:rsidRPr="0019753D">
        <w:rPr>
          <w:rFonts w:eastAsiaTheme="minorHAnsi"/>
          <w:b/>
          <w:bCs/>
        </w:rPr>
        <w:t xml:space="preserve"> with</w:t>
      </w:r>
      <w:r w:rsidR="00923D69">
        <w:rPr>
          <w:rFonts w:eastAsiaTheme="minorHAnsi"/>
          <w:b/>
          <w:bCs/>
        </w:rPr>
        <w:t xml:space="preserve"> pro bono</w:t>
      </w:r>
      <w:r w:rsidR="002214DE" w:rsidRPr="0019753D">
        <w:rPr>
          <w:rFonts w:eastAsiaTheme="minorHAnsi"/>
          <w:b/>
          <w:bCs/>
        </w:rPr>
        <w:t xml:space="preserve"> </w:t>
      </w:r>
      <w:r w:rsidR="004C4542" w:rsidRPr="0019753D">
        <w:rPr>
          <w:rFonts w:eastAsiaTheme="minorHAnsi"/>
          <w:b/>
          <w:bCs/>
        </w:rPr>
        <w:t>legal representation</w:t>
      </w:r>
      <w:r w:rsidR="002214DE" w:rsidRPr="0019753D">
        <w:rPr>
          <w:rFonts w:eastAsiaTheme="minorHAnsi"/>
          <w:b/>
          <w:bCs/>
        </w:rPr>
        <w:t>.</w:t>
      </w:r>
    </w:p>
    <w:bookmarkEnd w:id="5"/>
    <w:p w14:paraId="4706E53F" w14:textId="77777777" w:rsidR="0019753D" w:rsidRPr="0019753D" w:rsidRDefault="0019753D" w:rsidP="0020402B">
      <w:pPr>
        <w:pStyle w:val="ListParagraph"/>
        <w:jc w:val="both"/>
        <w:rPr>
          <w:color w:val="282828"/>
          <w:shd w:val="clear" w:color="auto" w:fill="FFFFFF"/>
        </w:rPr>
      </w:pPr>
    </w:p>
    <w:p w14:paraId="70126857" w14:textId="2FE098A9" w:rsidR="0019753D" w:rsidRPr="0019753D" w:rsidRDefault="00D36BC0" w:rsidP="0020402B">
      <w:pPr>
        <w:pStyle w:val="ListParagraph"/>
        <w:numPr>
          <w:ilvl w:val="1"/>
          <w:numId w:val="6"/>
        </w:numPr>
        <w:ind w:left="709" w:hanging="709"/>
        <w:jc w:val="both"/>
        <w:rPr>
          <w:color w:val="000000"/>
        </w:rPr>
      </w:pPr>
      <w:r w:rsidRPr="0019753D">
        <w:rPr>
          <w:color w:val="282828"/>
          <w:shd w:val="clear" w:color="auto" w:fill="FFFFFF"/>
        </w:rPr>
        <w:lastRenderedPageBreak/>
        <w:t>There may be potential dangers to this reform in costs.</w:t>
      </w:r>
      <w:r w:rsidR="00A010B2" w:rsidRPr="0019753D">
        <w:rPr>
          <w:color w:val="282828"/>
          <w:shd w:val="clear" w:color="auto" w:fill="FFFFFF"/>
        </w:rPr>
        <w:t xml:space="preserve"> </w:t>
      </w:r>
      <w:r w:rsidR="00432925" w:rsidRPr="0019753D">
        <w:rPr>
          <w:color w:val="282828"/>
          <w:shd w:val="clear" w:color="auto" w:fill="FFFFFF"/>
        </w:rPr>
        <w:t xml:space="preserve">There is a risk </w:t>
      </w:r>
      <w:r w:rsidR="00BC3A8A">
        <w:rPr>
          <w:color w:val="282828"/>
          <w:shd w:val="clear" w:color="auto" w:fill="FFFFFF"/>
        </w:rPr>
        <w:t>that</w:t>
      </w:r>
      <w:r w:rsidR="00432925" w:rsidRPr="0019753D">
        <w:rPr>
          <w:color w:val="282828"/>
          <w:shd w:val="clear" w:color="auto" w:fill="FFFFFF"/>
        </w:rPr>
        <w:t xml:space="preserve"> pro bono legal </w:t>
      </w:r>
      <w:r w:rsidR="00E67A7A" w:rsidRPr="0019753D">
        <w:rPr>
          <w:color w:val="282828"/>
          <w:shd w:val="clear" w:color="auto" w:fill="FFFFFF"/>
        </w:rPr>
        <w:t>provision</w:t>
      </w:r>
      <w:r w:rsidR="0034589A" w:rsidRPr="0019753D">
        <w:rPr>
          <w:color w:val="282828"/>
          <w:shd w:val="clear" w:color="auto" w:fill="FFFFFF"/>
        </w:rPr>
        <w:t xml:space="preserve"> </w:t>
      </w:r>
      <w:r w:rsidR="00BC3A8A">
        <w:rPr>
          <w:color w:val="282828"/>
          <w:shd w:val="clear" w:color="auto" w:fill="FFFFFF"/>
        </w:rPr>
        <w:t xml:space="preserve">will be seen as or become </w:t>
      </w:r>
      <w:r w:rsidR="00CC0901" w:rsidRPr="0019753D">
        <w:rPr>
          <w:color w:val="282828"/>
          <w:shd w:val="clear" w:color="auto" w:fill="FFFFFF"/>
        </w:rPr>
        <w:t>an</w:t>
      </w:r>
      <w:r w:rsidR="0034589A" w:rsidRPr="0019753D">
        <w:rPr>
          <w:color w:val="282828"/>
          <w:shd w:val="clear" w:color="auto" w:fill="FFFFFF"/>
        </w:rPr>
        <w:t xml:space="preserve"> alternative to a comprehensive and properly resourced</w:t>
      </w:r>
      <w:r w:rsidR="00DA254E" w:rsidRPr="0019753D">
        <w:rPr>
          <w:color w:val="282828"/>
          <w:shd w:val="clear" w:color="auto" w:fill="FFFFFF"/>
        </w:rPr>
        <w:t xml:space="preserve"> system of</w:t>
      </w:r>
      <w:r w:rsidR="0034589A" w:rsidRPr="0019753D">
        <w:rPr>
          <w:color w:val="282828"/>
          <w:shd w:val="clear" w:color="auto" w:fill="FFFFFF"/>
        </w:rPr>
        <w:t xml:space="preserve"> </w:t>
      </w:r>
      <w:r w:rsidR="00CC0901" w:rsidRPr="0019753D">
        <w:rPr>
          <w:color w:val="282828"/>
          <w:shd w:val="clear" w:color="auto" w:fill="FFFFFF"/>
        </w:rPr>
        <w:t>l</w:t>
      </w:r>
      <w:r w:rsidR="0034589A" w:rsidRPr="0019753D">
        <w:rPr>
          <w:color w:val="282828"/>
          <w:shd w:val="clear" w:color="auto" w:fill="FFFFFF"/>
        </w:rPr>
        <w:t xml:space="preserve">egal </w:t>
      </w:r>
      <w:r w:rsidR="00CC0901" w:rsidRPr="0019753D">
        <w:rPr>
          <w:color w:val="282828"/>
          <w:shd w:val="clear" w:color="auto" w:fill="FFFFFF"/>
        </w:rPr>
        <w:t>a</w:t>
      </w:r>
      <w:r w:rsidR="0034589A" w:rsidRPr="0019753D">
        <w:rPr>
          <w:color w:val="282828"/>
          <w:shd w:val="clear" w:color="auto" w:fill="FFFFFF"/>
        </w:rPr>
        <w:t>id</w:t>
      </w:r>
      <w:r w:rsidR="00DA254E" w:rsidRPr="0019753D">
        <w:rPr>
          <w:color w:val="282828"/>
          <w:shd w:val="clear" w:color="auto" w:fill="FFFFFF"/>
        </w:rPr>
        <w:t>.</w:t>
      </w:r>
      <w:r w:rsidR="007160DC" w:rsidRPr="0019753D">
        <w:rPr>
          <w:color w:val="282828"/>
          <w:shd w:val="clear" w:color="auto" w:fill="FFFFFF"/>
        </w:rPr>
        <w:t xml:space="preserve"> </w:t>
      </w:r>
      <w:r w:rsidR="00BC3A8A">
        <w:rPr>
          <w:color w:val="282828"/>
          <w:shd w:val="clear" w:color="auto" w:fill="FFFFFF"/>
        </w:rPr>
        <w:t xml:space="preserve">The Commission advises strongly against such a shift. </w:t>
      </w:r>
      <w:r w:rsidR="00CC0901" w:rsidRPr="0019753D">
        <w:rPr>
          <w:color w:val="282828"/>
          <w:shd w:val="clear" w:color="auto" w:fill="FFFFFF"/>
        </w:rPr>
        <w:t>O</w:t>
      </w:r>
      <w:r w:rsidR="00F9528C" w:rsidRPr="0019753D">
        <w:rPr>
          <w:color w:val="282828"/>
          <w:shd w:val="clear" w:color="auto" w:fill="FFFFFF"/>
        </w:rPr>
        <w:t xml:space="preserve">ver many decades </w:t>
      </w:r>
      <w:r w:rsidR="007160DC" w:rsidRPr="0019753D">
        <w:rPr>
          <w:color w:val="282828"/>
          <w:shd w:val="clear" w:color="auto" w:fill="FFFFFF"/>
        </w:rPr>
        <w:t>there has been a shift</w:t>
      </w:r>
      <w:r w:rsidR="00015B29" w:rsidRPr="0019753D">
        <w:rPr>
          <w:color w:val="282828"/>
          <w:shd w:val="clear" w:color="auto" w:fill="FFFFFF"/>
        </w:rPr>
        <w:t xml:space="preserve"> away</w:t>
      </w:r>
      <w:r w:rsidR="00F9528C" w:rsidRPr="0019753D">
        <w:rPr>
          <w:color w:val="282828"/>
          <w:shd w:val="clear" w:color="auto" w:fill="FFFFFF"/>
        </w:rPr>
        <w:t xml:space="preserve"> from state provision</w:t>
      </w:r>
      <w:r w:rsidR="00A642AD" w:rsidRPr="0019753D">
        <w:rPr>
          <w:color w:val="282828"/>
          <w:shd w:val="clear" w:color="auto" w:fill="FFFFFF"/>
        </w:rPr>
        <w:t xml:space="preserve"> of legal representation</w:t>
      </w:r>
      <w:r w:rsidR="00015B29" w:rsidRPr="0019753D">
        <w:rPr>
          <w:color w:val="282828"/>
          <w:shd w:val="clear" w:color="auto" w:fill="FFFFFF"/>
        </w:rPr>
        <w:t xml:space="preserve"> through legal aid</w:t>
      </w:r>
      <w:r w:rsidR="00A642AD" w:rsidRPr="0019753D">
        <w:rPr>
          <w:color w:val="282828"/>
          <w:shd w:val="clear" w:color="auto" w:fill="FFFFFF"/>
        </w:rPr>
        <w:t xml:space="preserve">. </w:t>
      </w:r>
      <w:r w:rsidR="000D2453" w:rsidRPr="0019753D">
        <w:rPr>
          <w:color w:val="282828"/>
          <w:shd w:val="clear" w:color="auto" w:fill="FFFFFF"/>
        </w:rPr>
        <w:t xml:space="preserve">It has meant a reduction in funding but also an ideological turn away from the state directly </w:t>
      </w:r>
      <w:proofErr w:type="gramStart"/>
      <w:r w:rsidR="000D2453" w:rsidRPr="0019753D">
        <w:rPr>
          <w:color w:val="282828"/>
          <w:shd w:val="clear" w:color="auto" w:fill="FFFFFF"/>
        </w:rPr>
        <w:t xml:space="preserve">providing </w:t>
      </w:r>
      <w:r w:rsidR="00EB017B" w:rsidRPr="0019753D">
        <w:rPr>
          <w:color w:val="282828"/>
          <w:shd w:val="clear" w:color="auto" w:fill="FFFFFF"/>
        </w:rPr>
        <w:t>assistance</w:t>
      </w:r>
      <w:proofErr w:type="gramEnd"/>
      <w:r w:rsidR="00263AA6" w:rsidRPr="0019753D">
        <w:rPr>
          <w:color w:val="282828"/>
          <w:shd w:val="clear" w:color="auto" w:fill="FFFFFF"/>
        </w:rPr>
        <w:t xml:space="preserve">, </w:t>
      </w:r>
      <w:r w:rsidR="00EB017B" w:rsidRPr="0019753D">
        <w:rPr>
          <w:color w:val="282828"/>
          <w:shd w:val="clear" w:color="auto" w:fill="FFFFFF"/>
        </w:rPr>
        <w:t>to a reliance on market orientated provision</w:t>
      </w:r>
      <w:r w:rsidR="003F19B1" w:rsidRPr="0019753D">
        <w:rPr>
          <w:color w:val="282828"/>
          <w:shd w:val="clear" w:color="auto" w:fill="FFFFFF"/>
        </w:rPr>
        <w:t xml:space="preserve"> of services</w:t>
      </w:r>
      <w:r w:rsidR="00F9528C" w:rsidRPr="0019753D">
        <w:rPr>
          <w:color w:val="282828"/>
          <w:shd w:val="clear" w:color="auto" w:fill="FFFFFF"/>
        </w:rPr>
        <w:t xml:space="preserve">. This </w:t>
      </w:r>
      <w:r w:rsidR="00263AA6" w:rsidRPr="0019753D">
        <w:rPr>
          <w:color w:val="282828"/>
          <w:shd w:val="clear" w:color="auto" w:fill="FFFFFF"/>
        </w:rPr>
        <w:t>was</w:t>
      </w:r>
      <w:r w:rsidR="00F9528C" w:rsidRPr="0019753D">
        <w:rPr>
          <w:color w:val="282828"/>
          <w:shd w:val="clear" w:color="auto" w:fill="FFFFFF"/>
        </w:rPr>
        <w:t xml:space="preserve"> exemplified</w:t>
      </w:r>
      <w:r w:rsidR="00C833C7" w:rsidRPr="0019753D">
        <w:rPr>
          <w:color w:val="282828"/>
          <w:shd w:val="clear" w:color="auto" w:fill="FFFFFF"/>
        </w:rPr>
        <w:t xml:space="preserve"> when, in England &amp; Wales in 2000,</w:t>
      </w:r>
      <w:r w:rsidR="00324D7D">
        <w:rPr>
          <w:rStyle w:val="FootnoteReference"/>
          <w:color w:val="282828"/>
          <w:shd w:val="clear" w:color="auto" w:fill="FFFFFF"/>
        </w:rPr>
        <w:footnoteReference w:id="15"/>
      </w:r>
      <w:r w:rsidR="00C833C7" w:rsidRPr="0019753D">
        <w:rPr>
          <w:color w:val="282828"/>
          <w:shd w:val="clear" w:color="auto" w:fill="FFFFFF"/>
        </w:rPr>
        <w:t xml:space="preserve"> the Government removed the right to </w:t>
      </w:r>
      <w:r w:rsidR="007E6CA9" w:rsidRPr="0019753D">
        <w:rPr>
          <w:color w:val="282828"/>
          <w:shd w:val="clear" w:color="auto" w:fill="FFFFFF"/>
        </w:rPr>
        <w:t>l</w:t>
      </w:r>
      <w:r w:rsidR="00C833C7" w:rsidRPr="0019753D">
        <w:rPr>
          <w:color w:val="282828"/>
          <w:shd w:val="clear" w:color="auto" w:fill="FFFFFF"/>
        </w:rPr>
        <w:t xml:space="preserve">egal </w:t>
      </w:r>
      <w:r w:rsidR="007E6CA9" w:rsidRPr="0019753D">
        <w:rPr>
          <w:color w:val="282828"/>
          <w:shd w:val="clear" w:color="auto" w:fill="FFFFFF"/>
        </w:rPr>
        <w:t>a</w:t>
      </w:r>
      <w:r w:rsidR="00C833C7" w:rsidRPr="0019753D">
        <w:rPr>
          <w:color w:val="282828"/>
          <w:shd w:val="clear" w:color="auto" w:fill="FFFFFF"/>
        </w:rPr>
        <w:t>id</w:t>
      </w:r>
      <w:r w:rsidR="007E6CA9" w:rsidRPr="0019753D">
        <w:rPr>
          <w:color w:val="282828"/>
          <w:shd w:val="clear" w:color="auto" w:fill="FFFFFF"/>
        </w:rPr>
        <w:t xml:space="preserve"> from personal injury </w:t>
      </w:r>
      <w:r w:rsidR="00C833C7" w:rsidRPr="0019753D">
        <w:rPr>
          <w:color w:val="282828"/>
          <w:shd w:val="clear" w:color="auto" w:fill="FFFFFF"/>
        </w:rPr>
        <w:t xml:space="preserve">cases and </w:t>
      </w:r>
      <w:r w:rsidR="005D470C" w:rsidRPr="0019753D">
        <w:rPr>
          <w:color w:val="282828"/>
          <w:shd w:val="clear" w:color="auto" w:fill="FFFFFF"/>
        </w:rPr>
        <w:t>replaced it</w:t>
      </w:r>
      <w:r w:rsidR="00A55A18">
        <w:rPr>
          <w:color w:val="282828"/>
          <w:shd w:val="clear" w:color="auto" w:fill="FFFFFF"/>
        </w:rPr>
        <w:t xml:space="preserve"> with</w:t>
      </w:r>
      <w:r w:rsidR="00C833C7" w:rsidRPr="0019753D">
        <w:rPr>
          <w:color w:val="282828"/>
          <w:shd w:val="clear" w:color="auto" w:fill="FFFFFF"/>
        </w:rPr>
        <w:t xml:space="preserve"> the “no win, no fee” mechanism to help potential litigants claim compensation and/or other types of loss, including damages</w:t>
      </w:r>
      <w:r w:rsidR="00324D7D" w:rsidRPr="0019753D">
        <w:rPr>
          <w:color w:val="282828"/>
          <w:shd w:val="clear" w:color="auto" w:fill="FFFFFF"/>
        </w:rPr>
        <w:t>.</w:t>
      </w:r>
    </w:p>
    <w:p w14:paraId="0D39C8D2" w14:textId="77777777" w:rsidR="0019753D" w:rsidRPr="0019753D" w:rsidRDefault="0019753D" w:rsidP="0020402B">
      <w:pPr>
        <w:pStyle w:val="ListParagraph"/>
        <w:jc w:val="both"/>
        <w:rPr>
          <w:color w:val="282828"/>
          <w:shd w:val="clear" w:color="auto" w:fill="FFFFFF"/>
        </w:rPr>
      </w:pPr>
    </w:p>
    <w:p w14:paraId="6AF8ABD6" w14:textId="78A61C5D" w:rsidR="0019753D" w:rsidRPr="0019753D" w:rsidRDefault="0084113E" w:rsidP="0020402B">
      <w:pPr>
        <w:pStyle w:val="ListParagraph"/>
        <w:numPr>
          <w:ilvl w:val="1"/>
          <w:numId w:val="6"/>
        </w:numPr>
        <w:ind w:left="709" w:hanging="709"/>
        <w:jc w:val="both"/>
        <w:rPr>
          <w:color w:val="000000"/>
        </w:rPr>
      </w:pPr>
      <w:r>
        <w:rPr>
          <w:color w:val="282828"/>
          <w:shd w:val="clear" w:color="auto" w:fill="FFFFFF"/>
        </w:rPr>
        <w:t>A</w:t>
      </w:r>
      <w:r w:rsidR="004E3D45" w:rsidRPr="0019753D">
        <w:rPr>
          <w:color w:val="282828"/>
          <w:shd w:val="clear" w:color="auto" w:fill="FFFFFF"/>
        </w:rPr>
        <w:t>rrangements like</w:t>
      </w:r>
      <w:r w:rsidR="00483C39" w:rsidRPr="0019753D">
        <w:rPr>
          <w:color w:val="282828"/>
          <w:shd w:val="clear" w:color="auto" w:fill="FFFFFF"/>
        </w:rPr>
        <w:t xml:space="preserve"> </w:t>
      </w:r>
      <w:r w:rsidR="0003064A" w:rsidRPr="0019753D">
        <w:rPr>
          <w:color w:val="282828"/>
          <w:shd w:val="clear" w:color="auto" w:fill="FFFFFF"/>
        </w:rPr>
        <w:t>‘n</w:t>
      </w:r>
      <w:r w:rsidR="00D36BC0" w:rsidRPr="0019753D">
        <w:rPr>
          <w:color w:val="282828"/>
          <w:shd w:val="clear" w:color="auto" w:fill="FFFFFF"/>
        </w:rPr>
        <w:t>o win, no fee</w:t>
      </w:r>
      <w:r w:rsidR="0003064A" w:rsidRPr="0019753D">
        <w:rPr>
          <w:color w:val="282828"/>
          <w:shd w:val="clear" w:color="auto" w:fill="FFFFFF"/>
        </w:rPr>
        <w:t>’</w:t>
      </w:r>
      <w:r w:rsidR="00483C39" w:rsidRPr="0019753D">
        <w:rPr>
          <w:color w:val="282828"/>
          <w:shd w:val="clear" w:color="auto" w:fill="FFFFFF"/>
        </w:rPr>
        <w:t xml:space="preserve"> can have</w:t>
      </w:r>
      <w:r w:rsidR="004E3D45" w:rsidRPr="0019753D">
        <w:rPr>
          <w:color w:val="282828"/>
          <w:shd w:val="clear" w:color="auto" w:fill="FFFFFF"/>
        </w:rPr>
        <w:t xml:space="preserve"> an advantage over </w:t>
      </w:r>
      <w:r w:rsidR="00C6176C" w:rsidRPr="0019753D">
        <w:rPr>
          <w:color w:val="282828"/>
          <w:shd w:val="clear" w:color="auto" w:fill="FFFFFF"/>
        </w:rPr>
        <w:t>provision</w:t>
      </w:r>
      <w:r w:rsidR="004E3D45" w:rsidRPr="0019753D">
        <w:rPr>
          <w:color w:val="282828"/>
          <w:shd w:val="clear" w:color="auto" w:fill="FFFFFF"/>
        </w:rPr>
        <w:t xml:space="preserve"> like </w:t>
      </w:r>
      <w:r w:rsidR="005E0DC4" w:rsidRPr="0019753D">
        <w:rPr>
          <w:color w:val="282828"/>
          <w:shd w:val="clear" w:color="auto" w:fill="FFFFFF"/>
        </w:rPr>
        <w:t>l</w:t>
      </w:r>
      <w:r w:rsidR="004E3D45" w:rsidRPr="0019753D">
        <w:rPr>
          <w:color w:val="282828"/>
          <w:shd w:val="clear" w:color="auto" w:fill="FFFFFF"/>
        </w:rPr>
        <w:t xml:space="preserve">egal </w:t>
      </w:r>
      <w:r w:rsidR="005E0DC4" w:rsidRPr="0019753D">
        <w:rPr>
          <w:color w:val="282828"/>
          <w:shd w:val="clear" w:color="auto" w:fill="FFFFFF"/>
        </w:rPr>
        <w:t>a</w:t>
      </w:r>
      <w:r w:rsidR="004E3D45" w:rsidRPr="0019753D">
        <w:rPr>
          <w:color w:val="282828"/>
          <w:shd w:val="clear" w:color="auto" w:fill="FFFFFF"/>
        </w:rPr>
        <w:t xml:space="preserve">id as there is no means test </w:t>
      </w:r>
      <w:r w:rsidR="00D36BC0" w:rsidRPr="0019753D">
        <w:rPr>
          <w:color w:val="282828"/>
          <w:shd w:val="clear" w:color="auto" w:fill="FFFFFF"/>
        </w:rPr>
        <w:t>eligibility</w:t>
      </w:r>
      <w:r w:rsidR="00BC3A8A">
        <w:rPr>
          <w:color w:val="282828"/>
          <w:shd w:val="clear" w:color="auto" w:fill="FFFFFF"/>
        </w:rPr>
        <w:t>.</w:t>
      </w:r>
      <w:r w:rsidR="0017061D" w:rsidRPr="0019753D">
        <w:rPr>
          <w:color w:val="282828"/>
          <w:shd w:val="clear" w:color="auto" w:fill="FFFFFF"/>
        </w:rPr>
        <w:t xml:space="preserve"> However, w</w:t>
      </w:r>
      <w:r w:rsidR="00D36BC0" w:rsidRPr="0019753D">
        <w:rPr>
          <w:color w:val="282828"/>
          <w:shd w:val="clear" w:color="auto" w:fill="FFFFFF"/>
        </w:rPr>
        <w:t xml:space="preserve">hilst this may assist in extending coverage for </w:t>
      </w:r>
      <w:r w:rsidR="00F90DB6" w:rsidRPr="0019753D">
        <w:rPr>
          <w:color w:val="282828"/>
          <w:shd w:val="clear" w:color="auto" w:fill="FFFFFF"/>
        </w:rPr>
        <w:t>those</w:t>
      </w:r>
      <w:r w:rsidR="00D36BC0" w:rsidRPr="0019753D">
        <w:rPr>
          <w:color w:val="282828"/>
          <w:shd w:val="clear" w:color="auto" w:fill="FFFFFF"/>
        </w:rPr>
        <w:t xml:space="preserve"> able to avail of such an arrangement, </w:t>
      </w:r>
      <w:r w:rsidR="00BC3A8A">
        <w:rPr>
          <w:color w:val="282828"/>
          <w:shd w:val="clear" w:color="auto" w:fill="FFFFFF"/>
        </w:rPr>
        <w:t>may result in</w:t>
      </w:r>
      <w:r w:rsidR="00D36BC0" w:rsidRPr="0019753D">
        <w:rPr>
          <w:color w:val="282828"/>
          <w:shd w:val="clear" w:color="auto" w:fill="FFFFFF"/>
        </w:rPr>
        <w:t xml:space="preserve"> </w:t>
      </w:r>
      <w:r w:rsidR="00AE560D" w:rsidRPr="0019753D">
        <w:rPr>
          <w:color w:val="282828"/>
          <w:shd w:val="clear" w:color="auto" w:fill="FFFFFF"/>
        </w:rPr>
        <w:t>legal</w:t>
      </w:r>
      <w:r w:rsidR="00EB4267">
        <w:rPr>
          <w:color w:val="282828"/>
          <w:shd w:val="clear" w:color="auto" w:fill="FFFFFF"/>
        </w:rPr>
        <w:t xml:space="preserve"> service providers</w:t>
      </w:r>
      <w:r w:rsidR="00D36BC0" w:rsidRPr="0019753D">
        <w:rPr>
          <w:color w:val="282828"/>
          <w:shd w:val="clear" w:color="auto" w:fill="FFFFFF"/>
        </w:rPr>
        <w:t xml:space="preserve"> being less likely to take on potentially risky cases</w:t>
      </w:r>
      <w:r w:rsidR="00BC3A8A">
        <w:rPr>
          <w:color w:val="282828"/>
          <w:shd w:val="clear" w:color="auto" w:fill="FFFFFF"/>
        </w:rPr>
        <w:t>.</w:t>
      </w:r>
      <w:r w:rsidR="00A83CE4" w:rsidRPr="0019753D">
        <w:rPr>
          <w:color w:val="282828"/>
          <w:shd w:val="clear" w:color="auto" w:fill="FFFFFF"/>
        </w:rPr>
        <w:t xml:space="preserve"> </w:t>
      </w:r>
      <w:r w:rsidR="00BC3A8A">
        <w:rPr>
          <w:color w:val="282828"/>
          <w:shd w:val="clear" w:color="auto" w:fill="FFFFFF"/>
        </w:rPr>
        <w:t>A case might be viewed as ‘risky’ simply because the potential client does not speak English, is a child, is a person with a disability (particularly a learning disability)</w:t>
      </w:r>
      <w:r w:rsidR="003E5F49">
        <w:rPr>
          <w:color w:val="282828"/>
          <w:shd w:val="clear" w:color="auto" w:fill="FFFFFF"/>
        </w:rPr>
        <w:t xml:space="preserve"> etc</w:t>
      </w:r>
      <w:r w:rsidR="00BC3A8A">
        <w:rPr>
          <w:color w:val="282828"/>
          <w:shd w:val="clear" w:color="auto" w:fill="FFFFFF"/>
        </w:rPr>
        <w:t xml:space="preserve">. It is likely to be those who are most vulnerable who will be screened out of such agreements. </w:t>
      </w:r>
      <w:r w:rsidR="00A83CE4" w:rsidRPr="0019753D">
        <w:rPr>
          <w:color w:val="282828"/>
          <w:shd w:val="clear" w:color="auto" w:fill="FFFFFF"/>
        </w:rPr>
        <w:t>A reliance on pro bono</w:t>
      </w:r>
      <w:r w:rsidR="00A20616">
        <w:rPr>
          <w:color w:val="282828"/>
          <w:shd w:val="clear" w:color="auto" w:fill="FFFFFF"/>
        </w:rPr>
        <w:t xml:space="preserve"> assistance</w:t>
      </w:r>
      <w:r w:rsidR="00A83CE4" w:rsidRPr="0019753D">
        <w:rPr>
          <w:color w:val="282828"/>
          <w:shd w:val="clear" w:color="auto" w:fill="FFFFFF"/>
        </w:rPr>
        <w:t xml:space="preserve"> </w:t>
      </w:r>
      <w:r w:rsidR="005C35C4" w:rsidRPr="0019753D">
        <w:rPr>
          <w:color w:val="282828"/>
          <w:shd w:val="clear" w:color="auto" w:fill="FFFFFF"/>
        </w:rPr>
        <w:t xml:space="preserve">at the expense of a comprehensive </w:t>
      </w:r>
      <w:r w:rsidR="000B167D" w:rsidRPr="0019753D">
        <w:rPr>
          <w:color w:val="282828"/>
          <w:shd w:val="clear" w:color="auto" w:fill="FFFFFF"/>
        </w:rPr>
        <w:t>l</w:t>
      </w:r>
      <w:r w:rsidR="005C35C4" w:rsidRPr="0019753D">
        <w:rPr>
          <w:color w:val="282828"/>
          <w:shd w:val="clear" w:color="auto" w:fill="FFFFFF"/>
        </w:rPr>
        <w:t xml:space="preserve">egal </w:t>
      </w:r>
      <w:r w:rsidR="000B167D" w:rsidRPr="0019753D">
        <w:rPr>
          <w:color w:val="282828"/>
          <w:shd w:val="clear" w:color="auto" w:fill="FFFFFF"/>
        </w:rPr>
        <w:t>a</w:t>
      </w:r>
      <w:r w:rsidR="005C35C4" w:rsidRPr="0019753D">
        <w:rPr>
          <w:color w:val="282828"/>
          <w:shd w:val="clear" w:color="auto" w:fill="FFFFFF"/>
        </w:rPr>
        <w:t xml:space="preserve">id </w:t>
      </w:r>
      <w:r w:rsidR="004A24CF" w:rsidRPr="0019753D">
        <w:rPr>
          <w:color w:val="282828"/>
          <w:shd w:val="clear" w:color="auto" w:fill="FFFFFF"/>
        </w:rPr>
        <w:t xml:space="preserve">scheme could </w:t>
      </w:r>
      <w:r w:rsidR="00BC3A8A">
        <w:rPr>
          <w:color w:val="282828"/>
          <w:shd w:val="clear" w:color="auto" w:fill="FFFFFF"/>
        </w:rPr>
        <w:t>undermine or remove many individuals’ access to the courts.</w:t>
      </w:r>
    </w:p>
    <w:p w14:paraId="60E518E4" w14:textId="77777777" w:rsidR="0019753D" w:rsidRDefault="0019753D" w:rsidP="0020402B">
      <w:pPr>
        <w:pStyle w:val="ListParagraph"/>
        <w:jc w:val="both"/>
      </w:pPr>
    </w:p>
    <w:p w14:paraId="4EFA6520" w14:textId="79462F8B" w:rsidR="00456987" w:rsidRPr="0019753D" w:rsidRDefault="00456987" w:rsidP="0020402B">
      <w:pPr>
        <w:pStyle w:val="ListParagraph"/>
        <w:numPr>
          <w:ilvl w:val="1"/>
          <w:numId w:val="6"/>
        </w:numPr>
        <w:ind w:left="709" w:hanging="709"/>
        <w:jc w:val="both"/>
        <w:rPr>
          <w:color w:val="000000"/>
        </w:rPr>
      </w:pPr>
      <w:r>
        <w:t>Similar discussion</w:t>
      </w:r>
      <w:r w:rsidR="0082226D">
        <w:t>s</w:t>
      </w:r>
      <w:r w:rsidR="009109E2">
        <w:t xml:space="preserve"> around </w:t>
      </w:r>
      <w:r w:rsidR="00206DAD">
        <w:t xml:space="preserve">pro bono </w:t>
      </w:r>
      <w:r w:rsidR="0082226D">
        <w:t xml:space="preserve">provision </w:t>
      </w:r>
      <w:r>
        <w:t>ha</w:t>
      </w:r>
      <w:r w:rsidR="0082226D">
        <w:t>ve</w:t>
      </w:r>
      <w:r>
        <w:t xml:space="preserve"> been had in </w:t>
      </w:r>
      <w:r w:rsidRPr="00157F96">
        <w:t>the</w:t>
      </w:r>
      <w:r w:rsidR="002B15ED">
        <w:t xml:space="preserve"> legal system in Ireland.</w:t>
      </w:r>
      <w:r w:rsidR="0010405C">
        <w:t xml:space="preserve"> The </w:t>
      </w:r>
      <w:r w:rsidRPr="00157F96">
        <w:t>Irish legal aid scheme has been</w:t>
      </w:r>
      <w:r w:rsidR="003D2525">
        <w:t xml:space="preserve"> considered by some to be</w:t>
      </w:r>
      <w:r w:rsidRPr="00157F96">
        <w:t xml:space="preserve"> inadequate to meet the needs of many clients.</w:t>
      </w:r>
      <w:r w:rsidR="003D2525">
        <w:rPr>
          <w:rStyle w:val="FootnoteReference"/>
        </w:rPr>
        <w:footnoteReference w:id="16"/>
      </w:r>
      <w:r w:rsidRPr="00157F96">
        <w:t xml:space="preserve">  </w:t>
      </w:r>
      <w:r w:rsidR="00FD5C7C">
        <w:t>Coupled with this, s</w:t>
      </w:r>
      <w:r w:rsidRPr="00157F96">
        <w:t>ome critics have gone so far as to hold that a formal pro bono scheme would only be a stop-gap solution that would further obscure the failings of a troubled legal aid regime, encouraging the government to continue to underfund the existing programs.</w:t>
      </w:r>
      <w:r w:rsidRPr="004F596D">
        <w:rPr>
          <w:rStyle w:val="FootnoteReference"/>
        </w:rPr>
        <w:footnoteReference w:id="17"/>
      </w:r>
      <w:r w:rsidR="00E04E9F">
        <w:t xml:space="preserve"> </w:t>
      </w:r>
      <w:r w:rsidR="00804C0C">
        <w:t>Nevertheless,</w:t>
      </w:r>
      <w:r w:rsidR="00BD667C">
        <w:t xml:space="preserve"> </w:t>
      </w:r>
      <w:r w:rsidRPr="00157F96">
        <w:t xml:space="preserve">the </w:t>
      </w:r>
      <w:r w:rsidR="005065C0">
        <w:t>benefits of</w:t>
      </w:r>
      <w:r w:rsidR="00BD667C">
        <w:t xml:space="preserve"> </w:t>
      </w:r>
      <w:r w:rsidR="00BD7D7F">
        <w:t>supporting</w:t>
      </w:r>
      <w:r w:rsidRPr="00157F96">
        <w:t xml:space="preserve"> pro bono</w:t>
      </w:r>
      <w:r w:rsidR="00BD667C">
        <w:t xml:space="preserve"> work</w:t>
      </w:r>
      <w:r w:rsidR="00BD7D7F">
        <w:t xml:space="preserve"> in the UK and Ireland</w:t>
      </w:r>
      <w:r w:rsidR="00985AE6">
        <w:t xml:space="preserve"> </w:t>
      </w:r>
      <w:r w:rsidR="00816FDF">
        <w:t>are</w:t>
      </w:r>
      <w:r w:rsidR="006927BF">
        <w:t xml:space="preserve"> becoming</w:t>
      </w:r>
      <w:r w:rsidR="00816FDF">
        <w:t xml:space="preserve"> </w:t>
      </w:r>
      <w:r w:rsidR="006927BF">
        <w:t>more</w:t>
      </w:r>
      <w:r w:rsidR="006927BF" w:rsidRPr="00157F96">
        <w:t xml:space="preserve"> obvious</w:t>
      </w:r>
      <w:r w:rsidR="00AD4483">
        <w:t>,</w:t>
      </w:r>
      <w:r w:rsidR="00C2270F">
        <w:t xml:space="preserve"> particularly</w:t>
      </w:r>
      <w:r w:rsidR="00AD4483">
        <w:t xml:space="preserve"> if </w:t>
      </w:r>
      <w:r w:rsidR="00A618EA">
        <w:t xml:space="preserve">such pro bono work </w:t>
      </w:r>
      <w:r w:rsidRPr="00157F96">
        <w:t>complement</w:t>
      </w:r>
      <w:r w:rsidR="005C32BB">
        <w:t>s</w:t>
      </w:r>
      <w:r w:rsidR="00AD4483">
        <w:t xml:space="preserve"> </w:t>
      </w:r>
      <w:r w:rsidR="00C2270F">
        <w:t xml:space="preserve">a commitment to </w:t>
      </w:r>
      <w:r w:rsidR="00192A28">
        <w:t>a</w:t>
      </w:r>
      <w:r w:rsidR="003B49D4">
        <w:t xml:space="preserve"> robust</w:t>
      </w:r>
      <w:r w:rsidR="00192A28">
        <w:t xml:space="preserve"> </w:t>
      </w:r>
      <w:r w:rsidRPr="00157F96">
        <w:t>legal aid</w:t>
      </w:r>
      <w:r w:rsidR="00192A28">
        <w:t xml:space="preserve"> system.</w:t>
      </w:r>
    </w:p>
    <w:p w14:paraId="77064A79" w14:textId="77777777" w:rsidR="00456987" w:rsidRPr="00456987" w:rsidRDefault="00456987" w:rsidP="0020402B">
      <w:pPr>
        <w:pStyle w:val="ListParagraph"/>
        <w:jc w:val="both"/>
        <w:rPr>
          <w:color w:val="000000"/>
        </w:rPr>
      </w:pPr>
    </w:p>
    <w:p w14:paraId="161E2E90" w14:textId="08ED8EC4" w:rsidR="003323D1" w:rsidRPr="006B239B" w:rsidRDefault="00771EB8" w:rsidP="006B239B">
      <w:pPr>
        <w:pStyle w:val="ListParagraph"/>
        <w:numPr>
          <w:ilvl w:val="1"/>
          <w:numId w:val="6"/>
        </w:numPr>
        <w:ind w:left="709" w:hanging="709"/>
        <w:jc w:val="both"/>
        <w:rPr>
          <w:b/>
          <w:bCs/>
          <w:color w:val="000000"/>
        </w:rPr>
      </w:pPr>
      <w:r w:rsidRPr="00864CB3">
        <w:rPr>
          <w:b/>
          <w:bCs/>
          <w:color w:val="000000"/>
        </w:rPr>
        <w:t xml:space="preserve">NIHRC recommends that </w:t>
      </w:r>
      <w:r w:rsidR="00192A28">
        <w:rPr>
          <w:b/>
          <w:bCs/>
          <w:color w:val="000000"/>
        </w:rPr>
        <w:t xml:space="preserve">the development of </w:t>
      </w:r>
      <w:r w:rsidR="00956193" w:rsidRPr="00864CB3">
        <w:rPr>
          <w:b/>
          <w:bCs/>
          <w:color w:val="000000"/>
        </w:rPr>
        <w:t>p</w:t>
      </w:r>
      <w:r w:rsidR="00270242" w:rsidRPr="00864CB3">
        <w:rPr>
          <w:b/>
          <w:bCs/>
          <w:color w:val="000000"/>
        </w:rPr>
        <w:t>ro bono legal assistance from the private and voluntary sector</w:t>
      </w:r>
      <w:r w:rsidR="0084113E">
        <w:rPr>
          <w:b/>
          <w:bCs/>
          <w:color w:val="000000"/>
        </w:rPr>
        <w:t>s</w:t>
      </w:r>
      <w:r w:rsidR="00270242" w:rsidRPr="00864CB3">
        <w:rPr>
          <w:b/>
          <w:bCs/>
          <w:color w:val="000000"/>
        </w:rPr>
        <w:t xml:space="preserve"> should </w:t>
      </w:r>
      <w:r w:rsidR="00456987" w:rsidRPr="00864CB3">
        <w:rPr>
          <w:b/>
          <w:bCs/>
          <w:color w:val="000000"/>
        </w:rPr>
        <w:t>complement</w:t>
      </w:r>
      <w:r w:rsidR="00270242" w:rsidRPr="00864CB3">
        <w:rPr>
          <w:b/>
          <w:bCs/>
          <w:color w:val="000000"/>
        </w:rPr>
        <w:t xml:space="preserve"> rather than replace</w:t>
      </w:r>
      <w:r w:rsidR="003C0D76" w:rsidRPr="00864CB3">
        <w:rPr>
          <w:b/>
          <w:bCs/>
          <w:color w:val="000000"/>
        </w:rPr>
        <w:t xml:space="preserve"> or supplant</w:t>
      </w:r>
      <w:r w:rsidR="00456987" w:rsidRPr="00864CB3">
        <w:rPr>
          <w:b/>
          <w:bCs/>
          <w:color w:val="000000"/>
        </w:rPr>
        <w:t xml:space="preserve"> </w:t>
      </w:r>
      <w:r w:rsidR="00DF65D5">
        <w:rPr>
          <w:b/>
          <w:bCs/>
          <w:color w:val="000000"/>
        </w:rPr>
        <w:t>a</w:t>
      </w:r>
      <w:r w:rsidR="0051209E">
        <w:rPr>
          <w:b/>
          <w:bCs/>
          <w:color w:val="000000"/>
        </w:rPr>
        <w:t xml:space="preserve"> comprehensive and</w:t>
      </w:r>
      <w:r w:rsidR="00DF65D5">
        <w:rPr>
          <w:b/>
          <w:bCs/>
          <w:color w:val="000000"/>
        </w:rPr>
        <w:t xml:space="preserve"> effective</w:t>
      </w:r>
      <w:r w:rsidR="00ED62CE" w:rsidRPr="00864CB3">
        <w:rPr>
          <w:b/>
          <w:bCs/>
          <w:color w:val="000000"/>
        </w:rPr>
        <w:t xml:space="preserve"> </w:t>
      </w:r>
      <w:r w:rsidR="00864CB3" w:rsidRPr="00864CB3">
        <w:rPr>
          <w:b/>
          <w:bCs/>
          <w:color w:val="000000"/>
        </w:rPr>
        <w:t>legal aid system</w:t>
      </w:r>
      <w:r w:rsidR="00270242" w:rsidRPr="00864CB3">
        <w:rPr>
          <w:b/>
          <w:bCs/>
          <w:color w:val="000000"/>
        </w:rPr>
        <w:t>.</w:t>
      </w:r>
      <w:bookmarkEnd w:id="3"/>
    </w:p>
    <w:p w14:paraId="5EA29EDE" w14:textId="1FB59FB0" w:rsidR="006B239B" w:rsidRPr="009356D3" w:rsidRDefault="006B239B" w:rsidP="00AC108F">
      <w:pPr>
        <w:pStyle w:val="BasicParagraph"/>
        <w:suppressAutoHyphens/>
        <w:rPr>
          <w:rFonts w:ascii="Verdana" w:hAnsi="Verdana" w:cs="Arial"/>
          <w:color w:val="77328A"/>
        </w:rPr>
      </w:pPr>
    </w:p>
    <w:p w14:paraId="15BBF224" w14:textId="66450254" w:rsidR="006B239B" w:rsidRPr="009356D3" w:rsidRDefault="006B239B" w:rsidP="00AC108F">
      <w:pPr>
        <w:pStyle w:val="BasicParagraph"/>
        <w:suppressAutoHyphens/>
        <w:rPr>
          <w:rFonts w:ascii="Verdana" w:hAnsi="Verdana" w:cs="Arial"/>
          <w:color w:val="77328A"/>
        </w:rPr>
      </w:pPr>
    </w:p>
    <w:p w14:paraId="007733A6" w14:textId="780526B1" w:rsidR="006B239B" w:rsidRDefault="006B239B" w:rsidP="00AC108F">
      <w:pPr>
        <w:pStyle w:val="BasicParagraph"/>
        <w:suppressAutoHyphens/>
        <w:rPr>
          <w:rFonts w:ascii="Verdana" w:hAnsi="Verdana" w:cs="Arial"/>
          <w:b/>
          <w:bCs/>
          <w:color w:val="77328A"/>
          <w:sz w:val="36"/>
          <w:szCs w:val="36"/>
        </w:rPr>
      </w:pPr>
    </w:p>
    <w:p w14:paraId="78AA47C3" w14:textId="37900C23" w:rsidR="006B239B" w:rsidRDefault="006B239B" w:rsidP="00AC108F">
      <w:pPr>
        <w:pStyle w:val="BasicParagraph"/>
        <w:suppressAutoHyphens/>
        <w:rPr>
          <w:rFonts w:ascii="Verdana" w:hAnsi="Verdana" w:cs="Arial"/>
          <w:b/>
          <w:bCs/>
          <w:color w:val="77328A"/>
          <w:sz w:val="36"/>
          <w:szCs w:val="36"/>
        </w:rPr>
      </w:pPr>
    </w:p>
    <w:p w14:paraId="2C2E5DC7" w14:textId="09D06494" w:rsidR="006B239B" w:rsidRDefault="006B239B" w:rsidP="00AC108F">
      <w:pPr>
        <w:pStyle w:val="BasicParagraph"/>
        <w:suppressAutoHyphens/>
        <w:rPr>
          <w:rFonts w:ascii="Verdana" w:hAnsi="Verdana" w:cs="Arial"/>
          <w:b/>
          <w:bCs/>
          <w:color w:val="77328A"/>
          <w:sz w:val="36"/>
          <w:szCs w:val="36"/>
        </w:rPr>
      </w:pPr>
    </w:p>
    <w:p w14:paraId="5C8FF2C5" w14:textId="1961655B" w:rsidR="0020402B" w:rsidRDefault="0020402B" w:rsidP="00AC108F">
      <w:pPr>
        <w:pStyle w:val="BasicParagraph"/>
        <w:suppressAutoHyphens/>
        <w:rPr>
          <w:rFonts w:ascii="Verdana" w:hAnsi="Verdana" w:cs="Arial"/>
          <w:b/>
          <w:bCs/>
          <w:color w:val="77328A"/>
          <w:sz w:val="36"/>
          <w:szCs w:val="36"/>
        </w:rPr>
      </w:pPr>
    </w:p>
    <w:p w14:paraId="487A1C37" w14:textId="5F4CA146" w:rsidR="0020402B" w:rsidRDefault="0020402B" w:rsidP="00AC108F">
      <w:pPr>
        <w:pStyle w:val="BasicParagraph"/>
        <w:suppressAutoHyphens/>
        <w:rPr>
          <w:rFonts w:ascii="Verdana" w:hAnsi="Verdana" w:cs="Arial"/>
          <w:b/>
          <w:bCs/>
          <w:color w:val="77328A"/>
          <w:sz w:val="36"/>
          <w:szCs w:val="36"/>
        </w:rPr>
      </w:pPr>
    </w:p>
    <w:p w14:paraId="19D3E581" w14:textId="71184EFE" w:rsidR="009356D3" w:rsidRDefault="009356D3" w:rsidP="00AC108F">
      <w:pPr>
        <w:pStyle w:val="BasicParagraph"/>
        <w:suppressAutoHyphens/>
        <w:rPr>
          <w:rFonts w:ascii="Verdana" w:hAnsi="Verdana" w:cs="Arial"/>
          <w:b/>
          <w:bCs/>
          <w:color w:val="77328A"/>
          <w:sz w:val="36"/>
          <w:szCs w:val="36"/>
        </w:rPr>
      </w:pPr>
    </w:p>
    <w:p w14:paraId="4C9B4AE7" w14:textId="1C66AB68" w:rsidR="009356D3" w:rsidRDefault="009356D3" w:rsidP="00AC108F">
      <w:pPr>
        <w:pStyle w:val="BasicParagraph"/>
        <w:suppressAutoHyphens/>
        <w:rPr>
          <w:rFonts w:ascii="Verdana" w:hAnsi="Verdana" w:cs="Arial"/>
          <w:b/>
          <w:bCs/>
          <w:color w:val="77328A"/>
          <w:sz w:val="36"/>
          <w:szCs w:val="36"/>
        </w:rPr>
      </w:pPr>
    </w:p>
    <w:p w14:paraId="29CA8674" w14:textId="77777777" w:rsidR="009356D3" w:rsidRDefault="009356D3" w:rsidP="00AC108F">
      <w:pPr>
        <w:pStyle w:val="BasicParagraph"/>
        <w:suppressAutoHyphens/>
        <w:rPr>
          <w:rFonts w:ascii="Verdana" w:hAnsi="Verdana" w:cs="Arial"/>
          <w:b/>
          <w:bCs/>
          <w:color w:val="77328A"/>
          <w:sz w:val="36"/>
          <w:szCs w:val="36"/>
        </w:rPr>
      </w:pPr>
    </w:p>
    <w:p w14:paraId="0850BCC6" w14:textId="77777777" w:rsidR="009356D3" w:rsidRDefault="009356D3" w:rsidP="00AC108F">
      <w:pPr>
        <w:pStyle w:val="BasicParagraph"/>
        <w:suppressAutoHyphens/>
        <w:rPr>
          <w:rFonts w:ascii="Verdana" w:hAnsi="Verdana" w:cs="Arial"/>
          <w:b/>
          <w:bCs/>
          <w:color w:val="77328A"/>
          <w:sz w:val="36"/>
          <w:szCs w:val="36"/>
        </w:rPr>
      </w:pPr>
    </w:p>
    <w:p w14:paraId="7E0B3AB5" w14:textId="77777777" w:rsidR="00CF7F1D" w:rsidRDefault="00CF7F1D" w:rsidP="00AC108F">
      <w:pPr>
        <w:pStyle w:val="BasicParagraph"/>
        <w:suppressAutoHyphens/>
        <w:rPr>
          <w:rFonts w:ascii="Verdana" w:hAnsi="Verdana" w:cs="Arial"/>
          <w:b/>
          <w:bCs/>
          <w:color w:val="77328A"/>
          <w:sz w:val="36"/>
          <w:szCs w:val="36"/>
        </w:rPr>
      </w:pPr>
    </w:p>
    <w:p w14:paraId="653AFA21" w14:textId="77777777" w:rsidR="003323D1" w:rsidRDefault="003323D1" w:rsidP="00AC108F">
      <w:pPr>
        <w:pStyle w:val="BasicParagraph"/>
        <w:suppressAutoHyphens/>
        <w:rPr>
          <w:rFonts w:ascii="Verdana" w:hAnsi="Verdana" w:cs="Arial"/>
          <w:b/>
          <w:bCs/>
          <w:color w:val="77328A"/>
          <w:sz w:val="36"/>
          <w:szCs w:val="36"/>
        </w:rPr>
      </w:pPr>
    </w:p>
    <w:p w14:paraId="6D4405E2" w14:textId="77777777" w:rsidR="009E5D23" w:rsidRDefault="009E5D23" w:rsidP="009E5D23">
      <w:pPr>
        <w:pStyle w:val="BasicParagraph"/>
        <w:suppressAutoHyphens/>
        <w:jc w:val="center"/>
        <w:rPr>
          <w:rFonts w:ascii="Verdana" w:hAnsi="Verdana" w:cs="Arial"/>
          <w:b/>
          <w:bCs/>
          <w:color w:val="77328A"/>
          <w:sz w:val="36"/>
          <w:szCs w:val="36"/>
        </w:rPr>
      </w:pPr>
    </w:p>
    <w:p w14:paraId="65A291EE" w14:textId="77777777" w:rsidR="009E5D23" w:rsidRPr="00331C61" w:rsidRDefault="009E5D23" w:rsidP="009E5D23">
      <w:pPr>
        <w:pStyle w:val="BasicParagraph"/>
        <w:suppressAutoHyphens/>
        <w:jc w:val="center"/>
        <w:rPr>
          <w:rFonts w:ascii="Verdana" w:hAnsi="Verdana" w:cs="Arial"/>
          <w:b/>
          <w:bCs/>
          <w:color w:val="77328A"/>
          <w:sz w:val="36"/>
          <w:szCs w:val="36"/>
        </w:rPr>
      </w:pPr>
      <w:r w:rsidRPr="00331C61">
        <w:rPr>
          <w:rFonts w:ascii="Verdana" w:hAnsi="Verdana" w:cs="Arial"/>
          <w:b/>
          <w:bCs/>
          <w:color w:val="77328A"/>
          <w:sz w:val="36"/>
          <w:szCs w:val="36"/>
        </w:rPr>
        <w:t>Co</w:t>
      </w:r>
      <w:r>
        <w:rPr>
          <w:rFonts w:ascii="Verdana" w:hAnsi="Verdana" w:cs="Arial"/>
          <w:b/>
          <w:bCs/>
          <w:color w:val="77328A"/>
          <w:sz w:val="36"/>
          <w:szCs w:val="36"/>
        </w:rPr>
        <w:t xml:space="preserve">ntact us </w:t>
      </w:r>
    </w:p>
    <w:p w14:paraId="28C547C8" w14:textId="77777777" w:rsidR="009E5D23" w:rsidRPr="00331C61" w:rsidRDefault="009E5D23" w:rsidP="009E5D23">
      <w:pPr>
        <w:pStyle w:val="BasicParagraph"/>
        <w:suppressAutoHyphens/>
        <w:jc w:val="center"/>
        <w:rPr>
          <w:rFonts w:ascii="Verdana" w:hAnsi="Verdana" w:cs="Arial"/>
          <w:b/>
          <w:color w:val="77328A"/>
          <w:sz w:val="36"/>
          <w:szCs w:val="36"/>
        </w:rPr>
      </w:pPr>
    </w:p>
    <w:p w14:paraId="335F81D9" w14:textId="77777777" w:rsidR="009E5D23" w:rsidRPr="00331C61" w:rsidRDefault="009356D3" w:rsidP="009E5D23">
      <w:pPr>
        <w:spacing w:line="288" w:lineRule="auto"/>
        <w:jc w:val="center"/>
        <w:rPr>
          <w:rFonts w:cs="Arial"/>
          <w:color w:val="232120"/>
          <w:sz w:val="28"/>
          <w:szCs w:val="28"/>
        </w:rPr>
      </w:pPr>
      <w:hyperlink r:id="rId9" w:history="1">
        <w:r w:rsidR="009E5D23" w:rsidRPr="00331C61">
          <w:rPr>
            <w:rStyle w:val="Hyperlink"/>
            <w:rFonts w:cs="Arial"/>
            <w:color w:val="232120"/>
            <w:sz w:val="28"/>
            <w:szCs w:val="28"/>
            <w:lang w:val="en-US"/>
          </w:rPr>
          <w:t>www.nihrc.org</w:t>
        </w:r>
      </w:hyperlink>
      <w:r w:rsidR="009E5D23" w:rsidRPr="00331C61">
        <w:rPr>
          <w:rFonts w:cs="Arial"/>
          <w:color w:val="232120"/>
          <w:sz w:val="28"/>
          <w:szCs w:val="28"/>
          <w:lang w:val="en-US"/>
        </w:rPr>
        <w:t xml:space="preserve">  |  </w:t>
      </w:r>
      <w:hyperlink r:id="rId10" w:history="1">
        <w:r w:rsidR="009E5D23" w:rsidRPr="00331C61">
          <w:rPr>
            <w:rStyle w:val="Hyperlink"/>
            <w:rFonts w:cs="Arial"/>
            <w:color w:val="232120"/>
            <w:sz w:val="28"/>
            <w:szCs w:val="28"/>
            <w:lang w:val="en-US"/>
          </w:rPr>
          <w:t>info@nihrc.org</w:t>
        </w:r>
      </w:hyperlink>
      <w:r w:rsidR="009E5D23" w:rsidRPr="00331C61">
        <w:rPr>
          <w:rFonts w:cs="Arial"/>
          <w:color w:val="232120"/>
          <w:sz w:val="28"/>
          <w:szCs w:val="28"/>
          <w:lang w:val="en-US"/>
        </w:rPr>
        <w:t xml:space="preserve">  |  +44 (0)28 9024 3987</w:t>
      </w:r>
    </w:p>
    <w:p w14:paraId="72053287" w14:textId="77777777" w:rsidR="009E5D23" w:rsidRPr="00331C61" w:rsidRDefault="009E5D23" w:rsidP="009E5D23">
      <w:pPr>
        <w:spacing w:line="288" w:lineRule="auto"/>
        <w:jc w:val="center"/>
        <w:rPr>
          <w:rFonts w:cs="Arial"/>
          <w:color w:val="232120"/>
          <w:sz w:val="28"/>
          <w:szCs w:val="28"/>
        </w:rPr>
      </w:pPr>
      <w:r>
        <w:rPr>
          <w:rFonts w:cs="Arial"/>
          <w:color w:val="232120"/>
          <w:sz w:val="28"/>
          <w:szCs w:val="28"/>
          <w:lang w:val="en-US"/>
        </w:rPr>
        <w:t>4</w:t>
      </w:r>
      <w:r w:rsidRPr="00D16532">
        <w:rPr>
          <w:rFonts w:cs="Arial"/>
          <w:color w:val="232120"/>
          <w:sz w:val="28"/>
          <w:szCs w:val="28"/>
          <w:vertAlign w:val="superscript"/>
          <w:lang w:val="en-US"/>
        </w:rPr>
        <w:t>th</w:t>
      </w:r>
      <w:r>
        <w:rPr>
          <w:rFonts w:cs="Arial"/>
          <w:color w:val="232120"/>
          <w:sz w:val="28"/>
          <w:szCs w:val="28"/>
          <w:lang w:val="en-US"/>
        </w:rPr>
        <w:t xml:space="preserve"> Floor, Alfred House, 19-21 Alfred Street, Belfast, BT2 8ED</w:t>
      </w:r>
    </w:p>
    <w:p w14:paraId="4C7056EF" w14:textId="77777777" w:rsidR="009E5D23" w:rsidRPr="00331C61" w:rsidRDefault="009E5D23" w:rsidP="009E5D23">
      <w:pPr>
        <w:spacing w:line="288" w:lineRule="auto"/>
        <w:jc w:val="center"/>
        <w:rPr>
          <w:rFonts w:cs="Arial"/>
          <w:b/>
          <w:color w:val="232120"/>
          <w:sz w:val="28"/>
          <w:szCs w:val="28"/>
        </w:rPr>
      </w:pPr>
    </w:p>
    <w:p w14:paraId="0CC3EC43" w14:textId="77777777" w:rsidR="009E5D23" w:rsidRPr="00331C61" w:rsidRDefault="009E5D23" w:rsidP="009E5D23">
      <w:pPr>
        <w:spacing w:line="288" w:lineRule="auto"/>
        <w:jc w:val="center"/>
        <w:rPr>
          <w:rFonts w:cs="Arial"/>
          <w:color w:val="232120"/>
          <w:sz w:val="20"/>
          <w:szCs w:val="20"/>
        </w:rPr>
      </w:pPr>
    </w:p>
    <w:p w14:paraId="03DE6B0D" w14:textId="464B7077" w:rsidR="00F00E72" w:rsidRPr="00F00E72" w:rsidRDefault="009E5D23" w:rsidP="00F00E72">
      <w:pPr>
        <w:pStyle w:val="BasicParagraph"/>
        <w:suppressAutoHyphens/>
        <w:spacing w:line="240" w:lineRule="auto"/>
        <w:jc w:val="center"/>
      </w:pPr>
      <w:r w:rsidRPr="00331C61">
        <w:rPr>
          <w:rFonts w:ascii="Verdana" w:hAnsi="Verdana" w:cs="Arial"/>
          <w:noProof/>
          <w:color w:val="232120"/>
          <w:sz w:val="28"/>
          <w:szCs w:val="28"/>
          <w:lang w:eastAsia="en-GB"/>
        </w:rPr>
        <w:drawing>
          <wp:inline distT="0" distB="0" distL="0" distR="0" wp14:anchorId="6E4FBDF8" wp14:editId="0437C836">
            <wp:extent cx="1515406" cy="274540"/>
            <wp:effectExtent l="0" t="0" r="8890" b="508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1554" cy="275654"/>
                    </a:xfrm>
                    <a:prstGeom prst="rect">
                      <a:avLst/>
                    </a:prstGeom>
                    <a:noFill/>
                    <a:ln>
                      <a:noFill/>
                    </a:ln>
                  </pic:spPr>
                </pic:pic>
              </a:graphicData>
            </a:graphic>
          </wp:inline>
        </w:drawing>
      </w:r>
      <w:bookmarkStart w:id="6" w:name="page2"/>
      <w:bookmarkEnd w:id="6"/>
    </w:p>
    <w:sectPr w:rsidR="00F00E72" w:rsidRPr="00F00E72" w:rsidSect="00553FCA">
      <w:footerReference w:type="default" r:id="rId12"/>
      <w:footerReference w:type="first" r:id="rId13"/>
      <w:pgSz w:w="11900" w:h="16820"/>
      <w:pgMar w:top="1021" w:right="1021" w:bottom="1021" w:left="1021" w:header="1021"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B0DB9" w14:textId="77777777" w:rsidR="00286FB7" w:rsidRDefault="00286FB7" w:rsidP="00A476E1">
      <w:r>
        <w:separator/>
      </w:r>
    </w:p>
  </w:endnote>
  <w:endnote w:type="continuationSeparator" w:id="0">
    <w:p w14:paraId="2CEDE735" w14:textId="77777777" w:rsidR="00286FB7" w:rsidRDefault="00286FB7" w:rsidP="00A47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5478712"/>
      <w:docPartObj>
        <w:docPartGallery w:val="Page Numbers (Bottom of Page)"/>
        <w:docPartUnique/>
      </w:docPartObj>
    </w:sdtPr>
    <w:sdtEndPr>
      <w:rPr>
        <w:noProof/>
        <w:color w:val="7030A0"/>
        <w:sz w:val="20"/>
        <w:szCs w:val="20"/>
      </w:rPr>
    </w:sdtEndPr>
    <w:sdtContent>
      <w:p w14:paraId="33E30A6B" w14:textId="110A9DF4" w:rsidR="00943397" w:rsidRPr="00943397" w:rsidRDefault="00943397">
        <w:pPr>
          <w:pStyle w:val="Footer"/>
          <w:jc w:val="right"/>
          <w:rPr>
            <w:color w:val="7030A0"/>
            <w:sz w:val="20"/>
            <w:szCs w:val="20"/>
          </w:rPr>
        </w:pPr>
        <w:r w:rsidRPr="00943397">
          <w:rPr>
            <w:color w:val="7030A0"/>
            <w:sz w:val="20"/>
            <w:szCs w:val="20"/>
          </w:rPr>
          <w:fldChar w:fldCharType="begin"/>
        </w:r>
        <w:r w:rsidRPr="00943397">
          <w:rPr>
            <w:color w:val="7030A0"/>
            <w:sz w:val="20"/>
            <w:szCs w:val="20"/>
          </w:rPr>
          <w:instrText xml:space="preserve"> PAGE   \* MERGEFORMAT </w:instrText>
        </w:r>
        <w:r w:rsidRPr="00943397">
          <w:rPr>
            <w:color w:val="7030A0"/>
            <w:sz w:val="20"/>
            <w:szCs w:val="20"/>
          </w:rPr>
          <w:fldChar w:fldCharType="separate"/>
        </w:r>
        <w:r w:rsidRPr="00943397">
          <w:rPr>
            <w:noProof/>
            <w:color w:val="7030A0"/>
            <w:sz w:val="20"/>
            <w:szCs w:val="20"/>
          </w:rPr>
          <w:t>2</w:t>
        </w:r>
        <w:r w:rsidRPr="00943397">
          <w:rPr>
            <w:noProof/>
            <w:color w:val="7030A0"/>
            <w:sz w:val="20"/>
            <w:szCs w:val="20"/>
          </w:rPr>
          <w:fldChar w:fldCharType="end"/>
        </w:r>
      </w:p>
    </w:sdtContent>
  </w:sdt>
  <w:p w14:paraId="463AB57F" w14:textId="77777777" w:rsidR="00553FCA" w:rsidRPr="007569C1" w:rsidRDefault="00553FCA" w:rsidP="00553FCA">
    <w:pPr>
      <w:pStyle w:val="Footer"/>
      <w:jc w:val="right"/>
      <w:rPr>
        <w:rFonts w:ascii="Arial" w:hAnsi="Arial" w:cs="Arial"/>
        <w:b/>
        <w:color w:val="77328A"/>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3942075"/>
      <w:docPartObj>
        <w:docPartGallery w:val="Page Numbers (Bottom of Page)"/>
        <w:docPartUnique/>
      </w:docPartObj>
    </w:sdtPr>
    <w:sdtEndPr>
      <w:rPr>
        <w:noProof/>
        <w:color w:val="7030A0"/>
        <w:sz w:val="20"/>
        <w:szCs w:val="20"/>
      </w:rPr>
    </w:sdtEndPr>
    <w:sdtContent>
      <w:p w14:paraId="38C93847" w14:textId="684BEB29" w:rsidR="00553FCA" w:rsidRPr="004E1DB7" w:rsidRDefault="00553FCA">
        <w:pPr>
          <w:pStyle w:val="Footer"/>
          <w:jc w:val="right"/>
          <w:rPr>
            <w:color w:val="7030A0"/>
            <w:sz w:val="20"/>
            <w:szCs w:val="20"/>
          </w:rPr>
        </w:pPr>
        <w:r w:rsidRPr="004E1DB7">
          <w:rPr>
            <w:color w:val="7030A0"/>
            <w:sz w:val="20"/>
            <w:szCs w:val="20"/>
          </w:rPr>
          <w:fldChar w:fldCharType="begin"/>
        </w:r>
        <w:r w:rsidRPr="004E1DB7">
          <w:rPr>
            <w:color w:val="7030A0"/>
            <w:sz w:val="20"/>
            <w:szCs w:val="20"/>
          </w:rPr>
          <w:instrText xml:space="preserve"> PAGE   \* MERGEFORMAT </w:instrText>
        </w:r>
        <w:r w:rsidRPr="004E1DB7">
          <w:rPr>
            <w:color w:val="7030A0"/>
            <w:sz w:val="20"/>
            <w:szCs w:val="20"/>
          </w:rPr>
          <w:fldChar w:fldCharType="separate"/>
        </w:r>
        <w:r w:rsidR="00B96F4D">
          <w:rPr>
            <w:noProof/>
            <w:color w:val="7030A0"/>
            <w:sz w:val="20"/>
            <w:szCs w:val="20"/>
          </w:rPr>
          <w:t>1</w:t>
        </w:r>
        <w:r w:rsidRPr="004E1DB7">
          <w:rPr>
            <w:noProof/>
            <w:color w:val="7030A0"/>
            <w:sz w:val="20"/>
            <w:szCs w:val="20"/>
          </w:rPr>
          <w:fldChar w:fldCharType="end"/>
        </w:r>
      </w:p>
    </w:sdtContent>
  </w:sdt>
  <w:p w14:paraId="1A80C287" w14:textId="77777777" w:rsidR="00553FCA" w:rsidRPr="00D12EF8" w:rsidRDefault="00553FCA" w:rsidP="00553FCA">
    <w:pPr>
      <w:pStyle w:val="Footer"/>
      <w:jc w:val="right"/>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413ED" w14:textId="77777777" w:rsidR="00286FB7" w:rsidRDefault="00286FB7" w:rsidP="00A476E1">
      <w:r>
        <w:separator/>
      </w:r>
    </w:p>
  </w:footnote>
  <w:footnote w:type="continuationSeparator" w:id="0">
    <w:p w14:paraId="7D25D2BA" w14:textId="77777777" w:rsidR="00286FB7" w:rsidRDefault="00286FB7" w:rsidP="00A476E1">
      <w:r>
        <w:continuationSeparator/>
      </w:r>
    </w:p>
  </w:footnote>
  <w:footnote w:id="1">
    <w:p w14:paraId="651A140F" w14:textId="77777777" w:rsidR="00553FCA" w:rsidRPr="00890E12" w:rsidRDefault="00553FCA" w:rsidP="005C7CBC">
      <w:pPr>
        <w:pStyle w:val="NIHRCFootnotes"/>
        <w:rPr>
          <w:color w:val="7030A0"/>
        </w:rPr>
      </w:pPr>
      <w:r w:rsidRPr="002234D8">
        <w:rPr>
          <w:rStyle w:val="FootnoteReference"/>
          <w:color w:val="7030A0"/>
        </w:rPr>
        <w:footnoteRef/>
      </w:r>
      <w:r w:rsidRPr="002234D8">
        <w:rPr>
          <w:color w:val="7030A0"/>
        </w:rPr>
        <w:t xml:space="preserve"> </w:t>
      </w:r>
      <w:r w:rsidRPr="00890E12">
        <w:rPr>
          <w:color w:val="7030A0"/>
        </w:rPr>
        <w:t>Ratified by the UK in 1951.</w:t>
      </w:r>
    </w:p>
  </w:footnote>
  <w:footnote w:id="2">
    <w:p w14:paraId="2C038E98" w14:textId="05EFF45C" w:rsidR="00415E10" w:rsidRPr="00F91DE5" w:rsidRDefault="00415E10">
      <w:pPr>
        <w:pStyle w:val="FootnoteText"/>
        <w:rPr>
          <w:color w:val="7030A0"/>
          <w:sz w:val="16"/>
          <w:szCs w:val="16"/>
        </w:rPr>
      </w:pPr>
      <w:r w:rsidRPr="00F91DE5">
        <w:rPr>
          <w:rStyle w:val="FootnoteReference"/>
          <w:color w:val="7030A0"/>
          <w:sz w:val="16"/>
          <w:szCs w:val="16"/>
        </w:rPr>
        <w:footnoteRef/>
      </w:r>
      <w:r w:rsidRPr="00F91DE5">
        <w:rPr>
          <w:color w:val="7030A0"/>
          <w:sz w:val="16"/>
          <w:szCs w:val="16"/>
        </w:rPr>
        <w:t xml:space="preserve"> </w:t>
      </w:r>
      <w:r w:rsidRPr="00890E12">
        <w:rPr>
          <w:rFonts w:cs="Arial"/>
          <w:color w:val="7030A0"/>
          <w:sz w:val="16"/>
          <w:szCs w:val="16"/>
        </w:rPr>
        <w:t>UK ratification 1976</w:t>
      </w:r>
    </w:p>
  </w:footnote>
  <w:footnote w:id="3">
    <w:p w14:paraId="72BBC03A" w14:textId="19AE8CCF" w:rsidR="00553FCA" w:rsidRPr="006E7580" w:rsidRDefault="00553FCA" w:rsidP="00A40CA4">
      <w:pPr>
        <w:pStyle w:val="FootnoteText"/>
        <w:rPr>
          <w:color w:val="7030A0"/>
          <w:sz w:val="16"/>
          <w:szCs w:val="16"/>
        </w:rPr>
      </w:pPr>
      <w:r w:rsidRPr="00890E12">
        <w:rPr>
          <w:rStyle w:val="FootnoteReference"/>
          <w:color w:val="7030A0"/>
          <w:sz w:val="16"/>
          <w:szCs w:val="16"/>
        </w:rPr>
        <w:footnoteRef/>
      </w:r>
      <w:r w:rsidRPr="00890E12">
        <w:rPr>
          <w:color w:val="7030A0"/>
          <w:sz w:val="16"/>
          <w:szCs w:val="16"/>
        </w:rPr>
        <w:t xml:space="preserve"> </w:t>
      </w:r>
      <w:r w:rsidR="008477C7" w:rsidRPr="00890E12">
        <w:rPr>
          <w:color w:val="7030A0"/>
          <w:sz w:val="16"/>
          <w:szCs w:val="16"/>
        </w:rPr>
        <w:t xml:space="preserve">This includes </w:t>
      </w:r>
      <w:r w:rsidRPr="00890E12">
        <w:rPr>
          <w:rFonts w:cs="Arial"/>
          <w:color w:val="7030A0"/>
          <w:sz w:val="16"/>
          <w:szCs w:val="16"/>
          <w:shd w:val="clear" w:color="auto" w:fill="FFFFFF"/>
        </w:rPr>
        <w:t>resolutions and recommendations of international bodies such as the UN General Assembly or the Council of Europe.</w:t>
      </w:r>
    </w:p>
  </w:footnote>
  <w:footnote w:id="4">
    <w:p w14:paraId="1A762A23" w14:textId="67C8DA7B" w:rsidR="00EF07C7" w:rsidRPr="006E7580" w:rsidRDefault="00EF07C7">
      <w:pPr>
        <w:pStyle w:val="FootnoteText"/>
        <w:rPr>
          <w:color w:val="7030A0"/>
          <w:sz w:val="16"/>
          <w:szCs w:val="16"/>
        </w:rPr>
      </w:pPr>
      <w:r w:rsidRPr="006E7580">
        <w:rPr>
          <w:rStyle w:val="FootnoteReference"/>
          <w:color w:val="7030A0"/>
          <w:sz w:val="16"/>
          <w:szCs w:val="16"/>
        </w:rPr>
        <w:footnoteRef/>
      </w:r>
      <w:r w:rsidRPr="006E7580">
        <w:rPr>
          <w:color w:val="7030A0"/>
          <w:sz w:val="16"/>
          <w:szCs w:val="16"/>
        </w:rPr>
        <w:t xml:space="preserve"> Human Rights Committee, General Comment No. 32, Article 14: Right to equality before courts and tribunals and to a fair trial, U.N. Doc. CCPR/C/GC/32 (2007)</w:t>
      </w:r>
    </w:p>
  </w:footnote>
  <w:footnote w:id="5">
    <w:p w14:paraId="1E6D9792" w14:textId="1B5C656D" w:rsidR="00941B0D" w:rsidRPr="006E7580" w:rsidRDefault="00941B0D">
      <w:pPr>
        <w:pStyle w:val="FootnoteText"/>
        <w:rPr>
          <w:sz w:val="16"/>
          <w:szCs w:val="16"/>
        </w:rPr>
      </w:pPr>
      <w:r w:rsidRPr="006E7580">
        <w:rPr>
          <w:rStyle w:val="FootnoteReference"/>
          <w:color w:val="7030A0"/>
          <w:sz w:val="16"/>
          <w:szCs w:val="16"/>
        </w:rPr>
        <w:footnoteRef/>
      </w:r>
      <w:r w:rsidRPr="006E7580">
        <w:rPr>
          <w:color w:val="7030A0"/>
          <w:sz w:val="16"/>
          <w:szCs w:val="16"/>
        </w:rPr>
        <w:t xml:space="preserve"> Communications No. 377/1989, Currie v. Jamaica, para. 13.4; No. 704/1996, Shaw v. Jamaica, para. 7.6; No. 707/1996, Taylor v. Jamaica, para. 8.2; No. 752/1997, Henry v. Trinidad and Tobago, para. 7.6; No. 845/1998, Kennedy v. Trinidad and Tobago, para. 7.10.</w:t>
      </w:r>
    </w:p>
  </w:footnote>
  <w:footnote w:id="6">
    <w:p w14:paraId="64ACA3CE" w14:textId="635EAC66" w:rsidR="00BB7C19" w:rsidRPr="006E7580" w:rsidRDefault="00BB7C19">
      <w:pPr>
        <w:pStyle w:val="FootnoteText"/>
        <w:rPr>
          <w:color w:val="7030A0"/>
          <w:sz w:val="16"/>
          <w:szCs w:val="16"/>
        </w:rPr>
      </w:pPr>
      <w:r w:rsidRPr="006E7580">
        <w:rPr>
          <w:rStyle w:val="FootnoteReference"/>
          <w:color w:val="7030A0"/>
          <w:sz w:val="16"/>
          <w:szCs w:val="16"/>
        </w:rPr>
        <w:footnoteRef/>
      </w:r>
      <w:r w:rsidRPr="006E7580">
        <w:rPr>
          <w:color w:val="7030A0"/>
          <w:sz w:val="16"/>
          <w:szCs w:val="16"/>
        </w:rPr>
        <w:t xml:space="preserve"> Airey v. Ireland</w:t>
      </w:r>
      <w:r w:rsidR="003B0C9F" w:rsidRPr="006E7580">
        <w:rPr>
          <w:color w:val="7030A0"/>
          <w:sz w:val="16"/>
          <w:szCs w:val="16"/>
        </w:rPr>
        <w:t xml:space="preserve"> (no. 6289/73)</w:t>
      </w:r>
      <w:r w:rsidR="004D6066" w:rsidRPr="006E7580">
        <w:rPr>
          <w:color w:val="7030A0"/>
          <w:sz w:val="16"/>
          <w:szCs w:val="16"/>
        </w:rPr>
        <w:t>,</w:t>
      </w:r>
      <w:r w:rsidRPr="006E7580">
        <w:rPr>
          <w:color w:val="7030A0"/>
          <w:sz w:val="16"/>
          <w:szCs w:val="16"/>
        </w:rPr>
        <w:t xml:space="preserve"> para 26</w:t>
      </w:r>
    </w:p>
  </w:footnote>
  <w:footnote w:id="7">
    <w:p w14:paraId="2FDE6870" w14:textId="4208A184" w:rsidR="000900E6" w:rsidRPr="006E7580" w:rsidRDefault="000900E6">
      <w:pPr>
        <w:pStyle w:val="FootnoteText"/>
        <w:rPr>
          <w:color w:val="7030A0"/>
          <w:sz w:val="16"/>
          <w:szCs w:val="16"/>
        </w:rPr>
      </w:pPr>
      <w:r w:rsidRPr="006E7580">
        <w:rPr>
          <w:rStyle w:val="FootnoteReference"/>
          <w:color w:val="7030A0"/>
          <w:sz w:val="16"/>
          <w:szCs w:val="16"/>
        </w:rPr>
        <w:footnoteRef/>
      </w:r>
      <w:r w:rsidRPr="006E7580">
        <w:rPr>
          <w:color w:val="7030A0"/>
          <w:sz w:val="16"/>
          <w:szCs w:val="16"/>
        </w:rPr>
        <w:t xml:space="preserve"> </w:t>
      </w:r>
      <w:proofErr w:type="spellStart"/>
      <w:r w:rsidRPr="006E7580">
        <w:rPr>
          <w:color w:val="7030A0"/>
          <w:sz w:val="16"/>
          <w:szCs w:val="16"/>
        </w:rPr>
        <w:t>Essaadi</w:t>
      </w:r>
      <w:proofErr w:type="spellEnd"/>
      <w:r w:rsidRPr="006E7580">
        <w:rPr>
          <w:color w:val="7030A0"/>
          <w:sz w:val="16"/>
          <w:szCs w:val="16"/>
        </w:rPr>
        <w:t xml:space="preserve"> v. France</w:t>
      </w:r>
      <w:r w:rsidR="008005DE" w:rsidRPr="006E7580">
        <w:rPr>
          <w:color w:val="7030A0"/>
          <w:sz w:val="16"/>
          <w:szCs w:val="16"/>
        </w:rPr>
        <w:t xml:space="preserve"> </w:t>
      </w:r>
      <w:r w:rsidR="0037181B" w:rsidRPr="006E7580">
        <w:rPr>
          <w:color w:val="7030A0"/>
          <w:sz w:val="16"/>
          <w:szCs w:val="16"/>
        </w:rPr>
        <w:t>(no. 49384/99)</w:t>
      </w:r>
      <w:r w:rsidR="004D6066" w:rsidRPr="006E7580">
        <w:rPr>
          <w:color w:val="7030A0"/>
          <w:sz w:val="16"/>
          <w:szCs w:val="16"/>
        </w:rPr>
        <w:t>,</w:t>
      </w:r>
      <w:r w:rsidRPr="006E7580">
        <w:rPr>
          <w:color w:val="7030A0"/>
          <w:sz w:val="16"/>
          <w:szCs w:val="16"/>
        </w:rPr>
        <w:t xml:space="preserve"> </w:t>
      </w:r>
      <w:r w:rsidR="008005DE" w:rsidRPr="006E7580">
        <w:rPr>
          <w:color w:val="7030A0"/>
          <w:sz w:val="16"/>
          <w:szCs w:val="16"/>
        </w:rPr>
        <w:t>para</w:t>
      </w:r>
      <w:r w:rsidRPr="006E7580">
        <w:rPr>
          <w:color w:val="7030A0"/>
          <w:sz w:val="16"/>
          <w:szCs w:val="16"/>
        </w:rPr>
        <w:t xml:space="preserve"> 30</w:t>
      </w:r>
    </w:p>
  </w:footnote>
  <w:footnote w:id="8">
    <w:p w14:paraId="1047C42C" w14:textId="2563D9DA" w:rsidR="00B43364" w:rsidRPr="006E7580" w:rsidRDefault="00B43364">
      <w:pPr>
        <w:pStyle w:val="FootnoteText"/>
        <w:rPr>
          <w:color w:val="7030A0"/>
          <w:sz w:val="16"/>
          <w:szCs w:val="16"/>
        </w:rPr>
      </w:pPr>
      <w:r w:rsidRPr="006E7580">
        <w:rPr>
          <w:rStyle w:val="FootnoteReference"/>
          <w:color w:val="7030A0"/>
          <w:sz w:val="16"/>
          <w:szCs w:val="16"/>
        </w:rPr>
        <w:footnoteRef/>
      </w:r>
      <w:r w:rsidRPr="006E7580">
        <w:rPr>
          <w:color w:val="7030A0"/>
          <w:sz w:val="16"/>
          <w:szCs w:val="16"/>
        </w:rPr>
        <w:t xml:space="preserve"> </w:t>
      </w:r>
      <w:r w:rsidR="0037181B" w:rsidRPr="006E7580">
        <w:rPr>
          <w:color w:val="7030A0"/>
          <w:sz w:val="16"/>
          <w:szCs w:val="16"/>
        </w:rPr>
        <w:t>Airey v. Ireland (no. 6289/73)</w:t>
      </w:r>
      <w:r w:rsidR="004D6066" w:rsidRPr="006E7580">
        <w:rPr>
          <w:color w:val="7030A0"/>
          <w:sz w:val="16"/>
          <w:szCs w:val="16"/>
        </w:rPr>
        <w:t>,</w:t>
      </w:r>
      <w:r w:rsidR="0037181B" w:rsidRPr="006E7580">
        <w:rPr>
          <w:color w:val="7030A0"/>
          <w:sz w:val="16"/>
          <w:szCs w:val="16"/>
        </w:rPr>
        <w:t xml:space="preserve"> para 26</w:t>
      </w:r>
    </w:p>
  </w:footnote>
  <w:footnote w:id="9">
    <w:p w14:paraId="41B94A0D" w14:textId="5E69AC1C" w:rsidR="009316B0" w:rsidRPr="006E7580" w:rsidRDefault="009316B0">
      <w:pPr>
        <w:pStyle w:val="FootnoteText"/>
        <w:rPr>
          <w:sz w:val="16"/>
          <w:szCs w:val="16"/>
        </w:rPr>
      </w:pPr>
      <w:r w:rsidRPr="006E7580">
        <w:rPr>
          <w:rStyle w:val="FootnoteReference"/>
          <w:color w:val="7030A0"/>
          <w:sz w:val="16"/>
          <w:szCs w:val="16"/>
        </w:rPr>
        <w:footnoteRef/>
      </w:r>
      <w:r w:rsidRPr="006E7580">
        <w:rPr>
          <w:color w:val="7030A0"/>
          <w:sz w:val="16"/>
          <w:szCs w:val="16"/>
        </w:rPr>
        <w:t xml:space="preserve"> </w:t>
      </w:r>
      <w:proofErr w:type="spellStart"/>
      <w:r w:rsidRPr="006E7580">
        <w:rPr>
          <w:color w:val="7030A0"/>
          <w:sz w:val="16"/>
          <w:szCs w:val="16"/>
        </w:rPr>
        <w:t>Staroszczyk</w:t>
      </w:r>
      <w:proofErr w:type="spellEnd"/>
      <w:r w:rsidRPr="006E7580">
        <w:rPr>
          <w:color w:val="7030A0"/>
          <w:sz w:val="16"/>
          <w:szCs w:val="16"/>
        </w:rPr>
        <w:t xml:space="preserve"> v. Poland</w:t>
      </w:r>
      <w:r w:rsidR="001231D3" w:rsidRPr="006E7580">
        <w:rPr>
          <w:color w:val="7030A0"/>
          <w:sz w:val="16"/>
          <w:szCs w:val="16"/>
        </w:rPr>
        <w:t xml:space="preserve"> (no. 59519/00)</w:t>
      </w:r>
      <w:r w:rsidR="004D6066" w:rsidRPr="006E7580">
        <w:rPr>
          <w:color w:val="7030A0"/>
          <w:sz w:val="16"/>
          <w:szCs w:val="16"/>
        </w:rPr>
        <w:t>, para</w:t>
      </w:r>
      <w:r w:rsidRPr="006E7580">
        <w:rPr>
          <w:color w:val="7030A0"/>
          <w:sz w:val="16"/>
          <w:szCs w:val="16"/>
        </w:rPr>
        <w:t xml:space="preserve"> 135; </w:t>
      </w:r>
      <w:proofErr w:type="spellStart"/>
      <w:r w:rsidRPr="006E7580">
        <w:rPr>
          <w:color w:val="7030A0"/>
          <w:sz w:val="16"/>
          <w:szCs w:val="16"/>
        </w:rPr>
        <w:t>Sia</w:t>
      </w:r>
      <w:r w:rsidRPr="006E7580">
        <w:rPr>
          <w:rFonts w:ascii="Calibri" w:hAnsi="Calibri" w:cs="Calibri"/>
          <w:color w:val="7030A0"/>
          <w:sz w:val="16"/>
          <w:szCs w:val="16"/>
        </w:rPr>
        <w:t>ƚ</w:t>
      </w:r>
      <w:r w:rsidRPr="006E7580">
        <w:rPr>
          <w:color w:val="7030A0"/>
          <w:sz w:val="16"/>
          <w:szCs w:val="16"/>
        </w:rPr>
        <w:t>kowska</w:t>
      </w:r>
      <w:proofErr w:type="spellEnd"/>
      <w:r w:rsidRPr="006E7580">
        <w:rPr>
          <w:color w:val="7030A0"/>
          <w:sz w:val="16"/>
          <w:szCs w:val="16"/>
        </w:rPr>
        <w:t xml:space="preserve"> v. Poland</w:t>
      </w:r>
      <w:r w:rsidR="00D1128E" w:rsidRPr="006E7580">
        <w:rPr>
          <w:color w:val="7030A0"/>
          <w:sz w:val="16"/>
          <w:szCs w:val="16"/>
        </w:rPr>
        <w:t xml:space="preserve"> (no. 8932/05), para</w:t>
      </w:r>
      <w:r w:rsidRPr="006E7580">
        <w:rPr>
          <w:color w:val="7030A0"/>
          <w:sz w:val="16"/>
          <w:szCs w:val="16"/>
        </w:rPr>
        <w:t xml:space="preserve"> 114</w:t>
      </w:r>
    </w:p>
  </w:footnote>
  <w:footnote w:id="10">
    <w:p w14:paraId="7DF1A911" w14:textId="05CC9544" w:rsidR="004D7962" w:rsidRPr="006E7580" w:rsidRDefault="004D7962">
      <w:pPr>
        <w:pStyle w:val="FootnoteText"/>
        <w:rPr>
          <w:color w:val="7030A0"/>
          <w:sz w:val="16"/>
          <w:szCs w:val="16"/>
        </w:rPr>
      </w:pPr>
      <w:r w:rsidRPr="006E7580">
        <w:rPr>
          <w:rStyle w:val="FootnoteReference"/>
          <w:color w:val="7030A0"/>
          <w:sz w:val="16"/>
          <w:szCs w:val="16"/>
        </w:rPr>
        <w:footnoteRef/>
      </w:r>
      <w:r w:rsidRPr="006E7580">
        <w:rPr>
          <w:color w:val="7030A0"/>
          <w:sz w:val="16"/>
          <w:szCs w:val="16"/>
        </w:rPr>
        <w:t xml:space="preserve"> Rushcliffe Committee Report on Legal Aid and Legal Advice in England and Wales, 1945</w:t>
      </w:r>
    </w:p>
  </w:footnote>
  <w:footnote w:id="11">
    <w:p w14:paraId="057B1FB9" w14:textId="12F75D42" w:rsidR="00BA078F" w:rsidRPr="006E7580" w:rsidRDefault="00BA078F" w:rsidP="00BA078F">
      <w:pPr>
        <w:pStyle w:val="FootnoteText"/>
        <w:rPr>
          <w:color w:val="7030A0"/>
          <w:sz w:val="16"/>
          <w:szCs w:val="16"/>
        </w:rPr>
      </w:pPr>
      <w:r w:rsidRPr="006E7580">
        <w:rPr>
          <w:rStyle w:val="FootnoteReference"/>
          <w:color w:val="7030A0"/>
          <w:sz w:val="16"/>
          <w:szCs w:val="16"/>
        </w:rPr>
        <w:footnoteRef/>
      </w:r>
      <w:r w:rsidRPr="006E7580">
        <w:rPr>
          <w:color w:val="7030A0"/>
          <w:sz w:val="16"/>
          <w:szCs w:val="16"/>
        </w:rPr>
        <w:t xml:space="preserve"> </w:t>
      </w:r>
      <w:r w:rsidR="00EC56FC" w:rsidRPr="00EC56FC">
        <w:rPr>
          <w:color w:val="7030A0"/>
          <w:sz w:val="16"/>
          <w:szCs w:val="16"/>
        </w:rPr>
        <w:t>Bach Commission on Access to Justice: Appendix 6</w:t>
      </w:r>
      <w:r w:rsidR="00DE3F99">
        <w:rPr>
          <w:color w:val="7030A0"/>
          <w:sz w:val="16"/>
          <w:szCs w:val="16"/>
        </w:rPr>
        <w:t xml:space="preserve">, </w:t>
      </w:r>
      <w:r w:rsidR="00DE3F99" w:rsidRPr="00DE3F99">
        <w:rPr>
          <w:color w:val="7030A0"/>
          <w:sz w:val="16"/>
          <w:szCs w:val="16"/>
        </w:rPr>
        <w:t>Sir Henry Brooke</w:t>
      </w:r>
      <w:r w:rsidR="00DE3F99">
        <w:rPr>
          <w:color w:val="7030A0"/>
          <w:sz w:val="16"/>
          <w:szCs w:val="16"/>
        </w:rPr>
        <w:t>,</w:t>
      </w:r>
      <w:r w:rsidR="00B746EC">
        <w:rPr>
          <w:color w:val="7030A0"/>
          <w:sz w:val="16"/>
          <w:szCs w:val="16"/>
        </w:rPr>
        <w:t xml:space="preserve"> September 2017,</w:t>
      </w:r>
      <w:r w:rsidR="00DE3F99">
        <w:rPr>
          <w:color w:val="7030A0"/>
          <w:sz w:val="16"/>
          <w:szCs w:val="16"/>
        </w:rPr>
        <w:t xml:space="preserve"> page 8</w:t>
      </w:r>
    </w:p>
  </w:footnote>
  <w:footnote w:id="12">
    <w:p w14:paraId="5F7CB500" w14:textId="28273440" w:rsidR="00BA078F" w:rsidRPr="006E7580" w:rsidRDefault="00BA078F" w:rsidP="00BA078F">
      <w:pPr>
        <w:pStyle w:val="FootnoteText"/>
        <w:rPr>
          <w:color w:val="7030A0"/>
          <w:sz w:val="16"/>
          <w:szCs w:val="16"/>
        </w:rPr>
      </w:pPr>
      <w:r w:rsidRPr="006E7580">
        <w:rPr>
          <w:rStyle w:val="FootnoteReference"/>
          <w:color w:val="7030A0"/>
          <w:sz w:val="16"/>
          <w:szCs w:val="16"/>
        </w:rPr>
        <w:footnoteRef/>
      </w:r>
      <w:r w:rsidRPr="006E7580">
        <w:rPr>
          <w:color w:val="7030A0"/>
          <w:sz w:val="16"/>
          <w:szCs w:val="16"/>
        </w:rPr>
        <w:t xml:space="preserve"> House of Commons Library - DEBATE PACK -Number CDP 2020/0115, 21 October 2020 -Spending of the Ministry of Justice on legal aid; Doug </w:t>
      </w:r>
      <w:proofErr w:type="spellStart"/>
      <w:r w:rsidRPr="006E7580">
        <w:rPr>
          <w:color w:val="7030A0"/>
          <w:sz w:val="16"/>
          <w:szCs w:val="16"/>
        </w:rPr>
        <w:t>Pyper</w:t>
      </w:r>
      <w:proofErr w:type="spellEnd"/>
      <w:r w:rsidRPr="006E7580">
        <w:rPr>
          <w:color w:val="7030A0"/>
          <w:sz w:val="16"/>
          <w:szCs w:val="16"/>
        </w:rPr>
        <w:t>, Georgina Sturge, Sally Lipscombe, Sue Holland</w:t>
      </w:r>
    </w:p>
  </w:footnote>
  <w:footnote w:id="13">
    <w:p w14:paraId="0D4D4A22" w14:textId="7FEAF558" w:rsidR="002536F6" w:rsidRPr="006E7580" w:rsidRDefault="002536F6">
      <w:pPr>
        <w:pStyle w:val="FootnoteText"/>
        <w:rPr>
          <w:color w:val="7030A0"/>
          <w:sz w:val="16"/>
          <w:szCs w:val="16"/>
        </w:rPr>
      </w:pPr>
      <w:r w:rsidRPr="006E7580">
        <w:rPr>
          <w:rStyle w:val="FootnoteReference"/>
          <w:color w:val="7030A0"/>
          <w:sz w:val="16"/>
          <w:szCs w:val="16"/>
        </w:rPr>
        <w:footnoteRef/>
      </w:r>
      <w:r w:rsidRPr="006E7580">
        <w:rPr>
          <w:color w:val="7030A0"/>
          <w:sz w:val="16"/>
          <w:szCs w:val="16"/>
        </w:rPr>
        <w:t xml:space="preserve"> Litigants in person in Northern Ireland: barriers to legal participation</w:t>
      </w:r>
      <w:r w:rsidR="0039712C" w:rsidRPr="006E7580">
        <w:rPr>
          <w:color w:val="7030A0"/>
          <w:sz w:val="16"/>
          <w:szCs w:val="16"/>
        </w:rPr>
        <w:t>.</w:t>
      </w:r>
      <w:r w:rsidRPr="006E7580">
        <w:rPr>
          <w:color w:val="7030A0"/>
          <w:sz w:val="16"/>
          <w:szCs w:val="16"/>
        </w:rPr>
        <w:t xml:space="preserve"> </w:t>
      </w:r>
      <w:proofErr w:type="spellStart"/>
      <w:r w:rsidRPr="006E7580">
        <w:rPr>
          <w:color w:val="7030A0"/>
          <w:sz w:val="16"/>
          <w:szCs w:val="16"/>
        </w:rPr>
        <w:t>Gráinne</w:t>
      </w:r>
      <w:proofErr w:type="spellEnd"/>
      <w:r w:rsidRPr="006E7580">
        <w:rPr>
          <w:color w:val="7030A0"/>
          <w:sz w:val="16"/>
          <w:szCs w:val="16"/>
        </w:rPr>
        <w:t xml:space="preserve"> McKeever, Lucy Royal-Dawson, Eleanor Kirk and John McCord</w:t>
      </w:r>
      <w:r w:rsidR="000E2FB0" w:rsidRPr="006E7580">
        <w:rPr>
          <w:color w:val="7030A0"/>
          <w:sz w:val="16"/>
          <w:szCs w:val="16"/>
        </w:rPr>
        <w:t>, Ulster University: Belfast, 2018</w:t>
      </w:r>
    </w:p>
  </w:footnote>
  <w:footnote w:id="14">
    <w:p w14:paraId="02B1111D" w14:textId="0487487C" w:rsidR="00CA75C8" w:rsidRPr="006E7580" w:rsidRDefault="00CA75C8">
      <w:pPr>
        <w:pStyle w:val="FootnoteText"/>
        <w:rPr>
          <w:color w:val="7030A0"/>
          <w:sz w:val="16"/>
          <w:szCs w:val="16"/>
        </w:rPr>
      </w:pPr>
      <w:r w:rsidRPr="006E7580">
        <w:rPr>
          <w:rStyle w:val="FootnoteReference"/>
          <w:color w:val="7030A0"/>
          <w:sz w:val="16"/>
          <w:szCs w:val="16"/>
        </w:rPr>
        <w:footnoteRef/>
      </w:r>
      <w:r w:rsidRPr="006E7580">
        <w:rPr>
          <w:color w:val="7030A0"/>
          <w:sz w:val="16"/>
          <w:szCs w:val="16"/>
        </w:rPr>
        <w:t xml:space="preserve"> Ibid, page 18</w:t>
      </w:r>
    </w:p>
  </w:footnote>
  <w:footnote w:id="15">
    <w:p w14:paraId="6AA454CB" w14:textId="39D3D2EC" w:rsidR="00324D7D" w:rsidRPr="006E7580" w:rsidRDefault="00324D7D">
      <w:pPr>
        <w:pStyle w:val="FootnoteText"/>
        <w:rPr>
          <w:color w:val="7030A0"/>
          <w:sz w:val="16"/>
          <w:szCs w:val="16"/>
        </w:rPr>
      </w:pPr>
      <w:r w:rsidRPr="006E7580">
        <w:rPr>
          <w:rStyle w:val="FootnoteReference"/>
          <w:color w:val="7030A0"/>
          <w:sz w:val="16"/>
          <w:szCs w:val="16"/>
        </w:rPr>
        <w:footnoteRef/>
      </w:r>
      <w:r w:rsidRPr="006E7580">
        <w:rPr>
          <w:color w:val="7030A0"/>
          <w:sz w:val="16"/>
          <w:szCs w:val="16"/>
        </w:rPr>
        <w:t xml:space="preserve"> The Conditional Fee Agreements Regulations 2000</w:t>
      </w:r>
    </w:p>
  </w:footnote>
  <w:footnote w:id="16">
    <w:p w14:paraId="635B8B06" w14:textId="08DB6859" w:rsidR="003D2525" w:rsidRPr="006E7580" w:rsidRDefault="003D2525">
      <w:pPr>
        <w:pStyle w:val="FootnoteText"/>
        <w:rPr>
          <w:color w:val="7030A0"/>
          <w:sz w:val="16"/>
          <w:szCs w:val="16"/>
        </w:rPr>
      </w:pPr>
      <w:r w:rsidRPr="006E7580">
        <w:rPr>
          <w:rStyle w:val="FootnoteReference"/>
          <w:color w:val="7030A0"/>
          <w:sz w:val="16"/>
          <w:szCs w:val="16"/>
        </w:rPr>
        <w:footnoteRef/>
      </w:r>
      <w:r w:rsidRPr="006E7580">
        <w:rPr>
          <w:color w:val="7030A0"/>
          <w:sz w:val="16"/>
          <w:szCs w:val="16"/>
        </w:rPr>
        <w:t xml:space="preserve"> </w:t>
      </w:r>
      <w:r w:rsidR="003C094B" w:rsidRPr="006E7580">
        <w:rPr>
          <w:color w:val="7030A0"/>
          <w:sz w:val="16"/>
          <w:szCs w:val="16"/>
        </w:rPr>
        <w:t>“</w:t>
      </w:r>
      <w:r w:rsidRPr="006E7580">
        <w:rPr>
          <w:color w:val="7030A0"/>
          <w:sz w:val="16"/>
          <w:szCs w:val="16"/>
        </w:rPr>
        <w:t>And Justice for some</w:t>
      </w:r>
      <w:r w:rsidR="003C094B" w:rsidRPr="006E7580">
        <w:rPr>
          <w:color w:val="7030A0"/>
          <w:sz w:val="16"/>
          <w:szCs w:val="16"/>
        </w:rPr>
        <w:t>”</w:t>
      </w:r>
      <w:r w:rsidR="005D47F9" w:rsidRPr="006E7580">
        <w:rPr>
          <w:color w:val="7030A0"/>
          <w:sz w:val="16"/>
          <w:szCs w:val="16"/>
        </w:rPr>
        <w:t>, Gerry Whyte</w:t>
      </w:r>
      <w:r w:rsidR="003C094B" w:rsidRPr="006E7580">
        <w:rPr>
          <w:color w:val="7030A0"/>
          <w:sz w:val="16"/>
          <w:szCs w:val="16"/>
        </w:rPr>
        <w:t>,</w:t>
      </w:r>
      <w:r w:rsidRPr="006E7580">
        <w:rPr>
          <w:color w:val="7030A0"/>
          <w:sz w:val="16"/>
          <w:szCs w:val="16"/>
        </w:rPr>
        <w:t xml:space="preserve"> published in “The Closed Door, a Report on Civil Legal Aid Services in Ireland,” page 19</w:t>
      </w:r>
    </w:p>
  </w:footnote>
  <w:footnote w:id="17">
    <w:p w14:paraId="6BC50FAE" w14:textId="77777777" w:rsidR="00456987" w:rsidRPr="00353853" w:rsidRDefault="00456987" w:rsidP="00456987">
      <w:pPr>
        <w:pStyle w:val="FootnoteText"/>
        <w:rPr>
          <w:color w:val="7030A0"/>
          <w:sz w:val="16"/>
          <w:szCs w:val="16"/>
        </w:rPr>
      </w:pPr>
      <w:r w:rsidRPr="003C094B">
        <w:rPr>
          <w:rStyle w:val="FootnoteReference"/>
          <w:color w:val="7030A0"/>
          <w:sz w:val="16"/>
          <w:szCs w:val="16"/>
        </w:rPr>
        <w:footnoteRef/>
      </w:r>
      <w:r w:rsidRPr="003C094B">
        <w:rPr>
          <w:color w:val="7030A0"/>
          <w:sz w:val="16"/>
          <w:szCs w:val="16"/>
        </w:rPr>
        <w:t xml:space="preserve"> Law Society of Ireland, Report of Law Society Council Meeting (held on Jul. 6, 2001), Law Society Gazette, 39 (Aug./Sep. 2001) (citing a report showing that in countries where an institutionalised </w:t>
      </w:r>
      <w:r w:rsidRPr="00353853">
        <w:rPr>
          <w:color w:val="7030A0"/>
          <w:sz w:val="16"/>
          <w:szCs w:val="16"/>
        </w:rPr>
        <w:t>pro-bono scheme had developed, governments had used such schemes as excuses for refusing to subsidise legal aid).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625558EC"/>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0000003"/>
    <w:multiLevelType w:val="hybridMultilevel"/>
    <w:tmpl w:val="46E87CCC"/>
    <w:lvl w:ilvl="0" w:tplc="FFFFFFFF">
      <w:start w:val="2"/>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0000004"/>
    <w:multiLevelType w:val="hybridMultilevel"/>
    <w:tmpl w:val="3D1B58BA"/>
    <w:lvl w:ilvl="0" w:tplc="FFFFFFFF">
      <w:start w:val="13"/>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15:restartNumberingAfterBreak="0">
    <w:nsid w:val="00000005"/>
    <w:multiLevelType w:val="hybridMultilevel"/>
    <w:tmpl w:val="507ED7AA"/>
    <w:lvl w:ilvl="0" w:tplc="FFFFFFFF">
      <w:start w:val="16"/>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15:restartNumberingAfterBreak="0">
    <w:nsid w:val="00000006"/>
    <w:multiLevelType w:val="hybridMultilevel"/>
    <w:tmpl w:val="2EB141F2"/>
    <w:lvl w:ilvl="0" w:tplc="FFFFFFFF">
      <w:start w:val="19"/>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5" w15:restartNumberingAfterBreak="0">
    <w:nsid w:val="00BE2F9A"/>
    <w:multiLevelType w:val="multilevel"/>
    <w:tmpl w:val="C2049986"/>
    <w:lvl w:ilvl="0">
      <w:start w:val="3"/>
      <w:numFmt w:val="decimal"/>
      <w:lvlText w:val="%1.0"/>
      <w:lvlJc w:val="left"/>
      <w:pPr>
        <w:ind w:left="360" w:hanging="360"/>
      </w:pPr>
      <w:rPr>
        <w:rFonts w:hint="default"/>
        <w:b w:val="0"/>
      </w:rPr>
    </w:lvl>
    <w:lvl w:ilvl="1">
      <w:start w:val="1"/>
      <w:numFmt w:val="decimal"/>
      <w:lvlText w:val="%1.%2."/>
      <w:lvlJc w:val="left"/>
      <w:pPr>
        <w:ind w:left="1141"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9301CF6"/>
    <w:multiLevelType w:val="hybridMultilevel"/>
    <w:tmpl w:val="0648433A"/>
    <w:lvl w:ilvl="0" w:tplc="63BE0A86">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7" w15:restartNumberingAfterBreak="0">
    <w:nsid w:val="0C141393"/>
    <w:multiLevelType w:val="multilevel"/>
    <w:tmpl w:val="3E6C329A"/>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0E620A02"/>
    <w:multiLevelType w:val="multilevel"/>
    <w:tmpl w:val="2A1E09A2"/>
    <w:lvl w:ilvl="0">
      <w:start w:val="2"/>
      <w:numFmt w:val="decimal"/>
      <w:lvlText w:val="%1"/>
      <w:lvlJc w:val="left"/>
      <w:pPr>
        <w:ind w:left="608" w:hanging="608"/>
      </w:pPr>
      <w:rPr>
        <w:rFonts w:hint="default"/>
      </w:rPr>
    </w:lvl>
    <w:lvl w:ilvl="1">
      <w:start w:val="14"/>
      <w:numFmt w:val="decimal"/>
      <w:lvlText w:val="%1.%2"/>
      <w:lvlJc w:val="left"/>
      <w:pPr>
        <w:ind w:left="1713" w:hanging="720"/>
      </w:pPr>
      <w:rPr>
        <w:rFonts w:hint="default"/>
      </w:rPr>
    </w:lvl>
    <w:lvl w:ilvl="2">
      <w:start w:val="1"/>
      <w:numFmt w:val="decimal"/>
      <w:lvlText w:val="%1.%2.%3"/>
      <w:lvlJc w:val="left"/>
      <w:pPr>
        <w:ind w:left="3066" w:hanging="1080"/>
      </w:pPr>
      <w:rPr>
        <w:rFonts w:hint="default"/>
      </w:rPr>
    </w:lvl>
    <w:lvl w:ilvl="3">
      <w:start w:val="1"/>
      <w:numFmt w:val="decimal"/>
      <w:lvlText w:val="%1.%2.%3.%4"/>
      <w:lvlJc w:val="left"/>
      <w:pPr>
        <w:ind w:left="4419" w:hanging="1440"/>
      </w:pPr>
      <w:rPr>
        <w:rFonts w:hint="default"/>
      </w:rPr>
    </w:lvl>
    <w:lvl w:ilvl="4">
      <w:start w:val="1"/>
      <w:numFmt w:val="decimal"/>
      <w:lvlText w:val="%1.%2.%3.%4.%5"/>
      <w:lvlJc w:val="left"/>
      <w:pPr>
        <w:ind w:left="5412" w:hanging="1440"/>
      </w:pPr>
      <w:rPr>
        <w:rFonts w:hint="default"/>
      </w:rPr>
    </w:lvl>
    <w:lvl w:ilvl="5">
      <w:start w:val="1"/>
      <w:numFmt w:val="decimal"/>
      <w:lvlText w:val="%1.%2.%3.%4.%5.%6"/>
      <w:lvlJc w:val="left"/>
      <w:pPr>
        <w:ind w:left="6765" w:hanging="1800"/>
      </w:pPr>
      <w:rPr>
        <w:rFonts w:hint="default"/>
      </w:rPr>
    </w:lvl>
    <w:lvl w:ilvl="6">
      <w:start w:val="1"/>
      <w:numFmt w:val="decimal"/>
      <w:lvlText w:val="%1.%2.%3.%4.%5.%6.%7"/>
      <w:lvlJc w:val="left"/>
      <w:pPr>
        <w:ind w:left="8118" w:hanging="2160"/>
      </w:pPr>
      <w:rPr>
        <w:rFonts w:hint="default"/>
      </w:rPr>
    </w:lvl>
    <w:lvl w:ilvl="7">
      <w:start w:val="1"/>
      <w:numFmt w:val="decimal"/>
      <w:lvlText w:val="%1.%2.%3.%4.%5.%6.%7.%8"/>
      <w:lvlJc w:val="left"/>
      <w:pPr>
        <w:ind w:left="9471" w:hanging="2520"/>
      </w:pPr>
      <w:rPr>
        <w:rFonts w:hint="default"/>
      </w:rPr>
    </w:lvl>
    <w:lvl w:ilvl="8">
      <w:start w:val="1"/>
      <w:numFmt w:val="decimal"/>
      <w:lvlText w:val="%1.%2.%3.%4.%5.%6.%7.%8.%9"/>
      <w:lvlJc w:val="left"/>
      <w:pPr>
        <w:ind w:left="10824" w:hanging="2880"/>
      </w:pPr>
      <w:rPr>
        <w:rFonts w:hint="default"/>
      </w:rPr>
    </w:lvl>
  </w:abstractNum>
  <w:abstractNum w:abstractNumId="9" w15:restartNumberingAfterBreak="0">
    <w:nsid w:val="0F3A5696"/>
    <w:multiLevelType w:val="multilevel"/>
    <w:tmpl w:val="0EFAE71E"/>
    <w:lvl w:ilvl="0">
      <w:start w:val="3"/>
      <w:numFmt w:val="decimal"/>
      <w:lvlText w:val="%1"/>
      <w:lvlJc w:val="left"/>
      <w:pPr>
        <w:ind w:left="608" w:hanging="608"/>
      </w:pPr>
      <w:rPr>
        <w:rFonts w:hint="default"/>
      </w:rPr>
    </w:lvl>
    <w:lvl w:ilvl="1">
      <w:start w:val="20"/>
      <w:numFmt w:val="decimal"/>
      <w:lvlText w:val="%1.%2"/>
      <w:lvlJc w:val="left"/>
      <w:pPr>
        <w:ind w:left="2880" w:hanging="720"/>
      </w:pPr>
      <w:rPr>
        <w:rFonts w:hint="default"/>
      </w:rPr>
    </w:lvl>
    <w:lvl w:ilvl="2">
      <w:start w:val="1"/>
      <w:numFmt w:val="decimal"/>
      <w:lvlText w:val="%1.%2.%3"/>
      <w:lvlJc w:val="left"/>
      <w:pPr>
        <w:ind w:left="5400" w:hanging="1080"/>
      </w:pPr>
      <w:rPr>
        <w:rFonts w:hint="default"/>
      </w:rPr>
    </w:lvl>
    <w:lvl w:ilvl="3">
      <w:start w:val="1"/>
      <w:numFmt w:val="decimal"/>
      <w:lvlText w:val="%1.%2.%3.%4"/>
      <w:lvlJc w:val="left"/>
      <w:pPr>
        <w:ind w:left="7920" w:hanging="1440"/>
      </w:pPr>
      <w:rPr>
        <w:rFonts w:hint="default"/>
      </w:rPr>
    </w:lvl>
    <w:lvl w:ilvl="4">
      <w:start w:val="1"/>
      <w:numFmt w:val="decimal"/>
      <w:lvlText w:val="%1.%2.%3.%4.%5"/>
      <w:lvlJc w:val="left"/>
      <w:pPr>
        <w:ind w:left="10080" w:hanging="1440"/>
      </w:pPr>
      <w:rPr>
        <w:rFonts w:hint="default"/>
      </w:rPr>
    </w:lvl>
    <w:lvl w:ilvl="5">
      <w:start w:val="1"/>
      <w:numFmt w:val="decimal"/>
      <w:lvlText w:val="%1.%2.%3.%4.%5.%6"/>
      <w:lvlJc w:val="left"/>
      <w:pPr>
        <w:ind w:left="12600" w:hanging="1800"/>
      </w:pPr>
      <w:rPr>
        <w:rFonts w:hint="default"/>
      </w:rPr>
    </w:lvl>
    <w:lvl w:ilvl="6">
      <w:start w:val="1"/>
      <w:numFmt w:val="decimal"/>
      <w:lvlText w:val="%1.%2.%3.%4.%5.%6.%7"/>
      <w:lvlJc w:val="left"/>
      <w:pPr>
        <w:ind w:left="15120" w:hanging="2160"/>
      </w:pPr>
      <w:rPr>
        <w:rFonts w:hint="default"/>
      </w:rPr>
    </w:lvl>
    <w:lvl w:ilvl="7">
      <w:start w:val="1"/>
      <w:numFmt w:val="decimal"/>
      <w:lvlText w:val="%1.%2.%3.%4.%5.%6.%7.%8"/>
      <w:lvlJc w:val="left"/>
      <w:pPr>
        <w:ind w:left="17640" w:hanging="2520"/>
      </w:pPr>
      <w:rPr>
        <w:rFonts w:hint="default"/>
      </w:rPr>
    </w:lvl>
    <w:lvl w:ilvl="8">
      <w:start w:val="1"/>
      <w:numFmt w:val="decimal"/>
      <w:lvlText w:val="%1.%2.%3.%4.%5.%6.%7.%8.%9"/>
      <w:lvlJc w:val="left"/>
      <w:pPr>
        <w:ind w:left="20160" w:hanging="2880"/>
      </w:pPr>
      <w:rPr>
        <w:rFonts w:hint="default"/>
      </w:rPr>
    </w:lvl>
  </w:abstractNum>
  <w:abstractNum w:abstractNumId="10" w15:restartNumberingAfterBreak="0">
    <w:nsid w:val="137A5AA8"/>
    <w:multiLevelType w:val="multilevel"/>
    <w:tmpl w:val="5866D1F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960" w:hanging="1800"/>
      </w:pPr>
      <w:rPr>
        <w:rFonts w:hint="default"/>
      </w:rPr>
    </w:lvl>
    <w:lvl w:ilvl="4">
      <w:start w:val="1"/>
      <w:numFmt w:val="decimal"/>
      <w:lvlText w:val="%1.%2.%3.%4.%5"/>
      <w:lvlJc w:val="left"/>
      <w:pPr>
        <w:ind w:left="5040" w:hanging="2160"/>
      </w:pPr>
      <w:rPr>
        <w:rFonts w:hint="default"/>
      </w:rPr>
    </w:lvl>
    <w:lvl w:ilvl="5">
      <w:start w:val="1"/>
      <w:numFmt w:val="decimal"/>
      <w:lvlText w:val="%1.%2.%3.%4.%5.%6"/>
      <w:lvlJc w:val="left"/>
      <w:pPr>
        <w:ind w:left="6120" w:hanging="2520"/>
      </w:pPr>
      <w:rPr>
        <w:rFonts w:hint="default"/>
      </w:rPr>
    </w:lvl>
    <w:lvl w:ilvl="6">
      <w:start w:val="1"/>
      <w:numFmt w:val="decimal"/>
      <w:lvlText w:val="%1.%2.%3.%4.%5.%6.%7"/>
      <w:lvlJc w:val="left"/>
      <w:pPr>
        <w:ind w:left="7200" w:hanging="2880"/>
      </w:pPr>
      <w:rPr>
        <w:rFonts w:hint="default"/>
      </w:rPr>
    </w:lvl>
    <w:lvl w:ilvl="7">
      <w:start w:val="1"/>
      <w:numFmt w:val="decimal"/>
      <w:lvlText w:val="%1.%2.%3.%4.%5.%6.%7.%8"/>
      <w:lvlJc w:val="left"/>
      <w:pPr>
        <w:ind w:left="8280" w:hanging="3240"/>
      </w:pPr>
      <w:rPr>
        <w:rFonts w:hint="default"/>
      </w:rPr>
    </w:lvl>
    <w:lvl w:ilvl="8">
      <w:start w:val="1"/>
      <w:numFmt w:val="decimal"/>
      <w:lvlText w:val="%1.%2.%3.%4.%5.%6.%7.%8.%9"/>
      <w:lvlJc w:val="left"/>
      <w:pPr>
        <w:ind w:left="9360" w:hanging="3600"/>
      </w:pPr>
      <w:rPr>
        <w:rFonts w:hint="default"/>
      </w:rPr>
    </w:lvl>
  </w:abstractNum>
  <w:abstractNum w:abstractNumId="11" w15:restartNumberingAfterBreak="0">
    <w:nsid w:val="1ECA59FC"/>
    <w:multiLevelType w:val="multilevel"/>
    <w:tmpl w:val="A7E8F5F8"/>
    <w:lvl w:ilvl="0">
      <w:start w:val="3"/>
      <w:numFmt w:val="decimal"/>
      <w:lvlText w:val="%1"/>
      <w:lvlJc w:val="left"/>
      <w:pPr>
        <w:ind w:left="608" w:hanging="608"/>
      </w:pPr>
      <w:rPr>
        <w:rFonts w:hint="default"/>
      </w:rPr>
    </w:lvl>
    <w:lvl w:ilvl="1">
      <w:start w:val="32"/>
      <w:numFmt w:val="decimal"/>
      <w:lvlText w:val="%1.%2"/>
      <w:lvlJc w:val="left"/>
      <w:pPr>
        <w:ind w:left="4320" w:hanging="720"/>
      </w:pPr>
      <w:rPr>
        <w:rFonts w:hint="default"/>
      </w:rPr>
    </w:lvl>
    <w:lvl w:ilvl="2">
      <w:start w:val="1"/>
      <w:numFmt w:val="decimal"/>
      <w:lvlText w:val="%1.%2.%3"/>
      <w:lvlJc w:val="left"/>
      <w:pPr>
        <w:ind w:left="8280" w:hanging="1080"/>
      </w:pPr>
      <w:rPr>
        <w:rFonts w:hint="default"/>
      </w:rPr>
    </w:lvl>
    <w:lvl w:ilvl="3">
      <w:start w:val="1"/>
      <w:numFmt w:val="decimal"/>
      <w:lvlText w:val="%1.%2.%3.%4"/>
      <w:lvlJc w:val="left"/>
      <w:pPr>
        <w:ind w:left="12240" w:hanging="1440"/>
      </w:pPr>
      <w:rPr>
        <w:rFonts w:hint="default"/>
      </w:rPr>
    </w:lvl>
    <w:lvl w:ilvl="4">
      <w:start w:val="1"/>
      <w:numFmt w:val="decimal"/>
      <w:lvlText w:val="%1.%2.%3.%4.%5"/>
      <w:lvlJc w:val="left"/>
      <w:pPr>
        <w:ind w:left="15840" w:hanging="1440"/>
      </w:pPr>
      <w:rPr>
        <w:rFonts w:hint="default"/>
      </w:rPr>
    </w:lvl>
    <w:lvl w:ilvl="5">
      <w:start w:val="1"/>
      <w:numFmt w:val="decimal"/>
      <w:lvlText w:val="%1.%2.%3.%4.%5.%6"/>
      <w:lvlJc w:val="left"/>
      <w:pPr>
        <w:ind w:left="19800" w:hanging="1800"/>
      </w:pPr>
      <w:rPr>
        <w:rFonts w:hint="default"/>
      </w:rPr>
    </w:lvl>
    <w:lvl w:ilvl="6">
      <w:start w:val="1"/>
      <w:numFmt w:val="decimal"/>
      <w:lvlText w:val="%1.%2.%3.%4.%5.%6.%7"/>
      <w:lvlJc w:val="left"/>
      <w:pPr>
        <w:ind w:left="23760" w:hanging="2160"/>
      </w:pPr>
      <w:rPr>
        <w:rFonts w:hint="default"/>
      </w:rPr>
    </w:lvl>
    <w:lvl w:ilvl="7">
      <w:start w:val="1"/>
      <w:numFmt w:val="decimal"/>
      <w:lvlText w:val="%1.%2.%3.%4.%5.%6.%7.%8"/>
      <w:lvlJc w:val="left"/>
      <w:pPr>
        <w:ind w:left="27720" w:hanging="2520"/>
      </w:pPr>
      <w:rPr>
        <w:rFonts w:hint="default"/>
      </w:rPr>
    </w:lvl>
    <w:lvl w:ilvl="8">
      <w:start w:val="1"/>
      <w:numFmt w:val="decimal"/>
      <w:lvlText w:val="%1.%2.%3.%4.%5.%6.%7.%8.%9"/>
      <w:lvlJc w:val="left"/>
      <w:pPr>
        <w:ind w:hanging="2880"/>
      </w:pPr>
      <w:rPr>
        <w:rFonts w:hint="default"/>
      </w:rPr>
    </w:lvl>
  </w:abstractNum>
  <w:abstractNum w:abstractNumId="12" w15:restartNumberingAfterBreak="0">
    <w:nsid w:val="245467B0"/>
    <w:multiLevelType w:val="multilevel"/>
    <w:tmpl w:val="1C289966"/>
    <w:lvl w:ilvl="0">
      <w:start w:val="3"/>
      <w:numFmt w:val="decimal"/>
      <w:lvlText w:val="%1"/>
      <w:lvlJc w:val="left"/>
      <w:pPr>
        <w:ind w:left="608" w:hanging="608"/>
      </w:pPr>
      <w:rPr>
        <w:rFonts w:hint="default"/>
      </w:rPr>
    </w:lvl>
    <w:lvl w:ilvl="1">
      <w:start w:val="12"/>
      <w:numFmt w:val="decimal"/>
      <w:lvlText w:val="%1.%2"/>
      <w:lvlJc w:val="left"/>
      <w:pPr>
        <w:ind w:left="2160" w:hanging="720"/>
      </w:pPr>
      <w:rPr>
        <w:rFonts w:hint="default"/>
      </w:rPr>
    </w:lvl>
    <w:lvl w:ilvl="2">
      <w:start w:val="1"/>
      <w:numFmt w:val="decimal"/>
      <w:lvlText w:val="%1.%2.%3"/>
      <w:lvlJc w:val="left"/>
      <w:pPr>
        <w:ind w:left="3960" w:hanging="1080"/>
      </w:pPr>
      <w:rPr>
        <w:rFonts w:hint="default"/>
      </w:rPr>
    </w:lvl>
    <w:lvl w:ilvl="3">
      <w:start w:val="1"/>
      <w:numFmt w:val="decimal"/>
      <w:lvlText w:val="%1.%2.%3.%4"/>
      <w:lvlJc w:val="left"/>
      <w:pPr>
        <w:ind w:left="5760" w:hanging="144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9000" w:hanging="1800"/>
      </w:pPr>
      <w:rPr>
        <w:rFonts w:hint="default"/>
      </w:rPr>
    </w:lvl>
    <w:lvl w:ilvl="6">
      <w:start w:val="1"/>
      <w:numFmt w:val="decimal"/>
      <w:lvlText w:val="%1.%2.%3.%4.%5.%6.%7"/>
      <w:lvlJc w:val="left"/>
      <w:pPr>
        <w:ind w:left="10800" w:hanging="2160"/>
      </w:pPr>
      <w:rPr>
        <w:rFonts w:hint="default"/>
      </w:rPr>
    </w:lvl>
    <w:lvl w:ilvl="7">
      <w:start w:val="1"/>
      <w:numFmt w:val="decimal"/>
      <w:lvlText w:val="%1.%2.%3.%4.%5.%6.%7.%8"/>
      <w:lvlJc w:val="left"/>
      <w:pPr>
        <w:ind w:left="12600" w:hanging="2520"/>
      </w:pPr>
      <w:rPr>
        <w:rFonts w:hint="default"/>
      </w:rPr>
    </w:lvl>
    <w:lvl w:ilvl="8">
      <w:start w:val="1"/>
      <w:numFmt w:val="decimal"/>
      <w:lvlText w:val="%1.%2.%3.%4.%5.%6.%7.%8.%9"/>
      <w:lvlJc w:val="left"/>
      <w:pPr>
        <w:ind w:left="14400" w:hanging="2880"/>
      </w:pPr>
      <w:rPr>
        <w:rFonts w:hint="default"/>
      </w:rPr>
    </w:lvl>
  </w:abstractNum>
  <w:abstractNum w:abstractNumId="13" w15:restartNumberingAfterBreak="0">
    <w:nsid w:val="2A234CF6"/>
    <w:multiLevelType w:val="multilevel"/>
    <w:tmpl w:val="206AC6D4"/>
    <w:lvl w:ilvl="0">
      <w:start w:val="2"/>
      <w:numFmt w:val="decimal"/>
      <w:lvlText w:val="%1"/>
      <w:lvlJc w:val="left"/>
      <w:pPr>
        <w:ind w:left="390" w:hanging="390"/>
      </w:pPr>
      <w:rPr>
        <w:rFonts w:hint="default"/>
      </w:rPr>
    </w:lvl>
    <w:lvl w:ilvl="1">
      <w:start w:val="1"/>
      <w:numFmt w:val="decimal"/>
      <w:lvlText w:val="%1.%2"/>
      <w:lvlJc w:val="left"/>
      <w:pPr>
        <w:ind w:left="862" w:hanging="720"/>
      </w:pPr>
      <w:rPr>
        <w:rFonts w:hint="default"/>
        <w:b w:val="0"/>
        <w:bCs/>
        <w:sz w:val="24"/>
        <w:szCs w:val="24"/>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2E1512EB"/>
    <w:multiLevelType w:val="multilevel"/>
    <w:tmpl w:val="08669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0CA695D"/>
    <w:multiLevelType w:val="multilevel"/>
    <w:tmpl w:val="7688A9AE"/>
    <w:lvl w:ilvl="0">
      <w:start w:val="1"/>
      <w:numFmt w:val="decimal"/>
      <w:lvlText w:val="%1."/>
      <w:lvlJc w:val="left"/>
      <w:pPr>
        <w:ind w:left="360" w:hanging="360"/>
      </w:pPr>
      <w:rPr>
        <w:b w:val="0"/>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C7A613B"/>
    <w:multiLevelType w:val="hybridMultilevel"/>
    <w:tmpl w:val="A8C05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360A21"/>
    <w:multiLevelType w:val="multilevel"/>
    <w:tmpl w:val="A08C9C7C"/>
    <w:lvl w:ilvl="0">
      <w:start w:val="1"/>
      <w:numFmt w:val="decimal"/>
      <w:lvlText w:val="%1.0"/>
      <w:lvlJc w:val="left"/>
      <w:pPr>
        <w:ind w:left="720" w:hanging="720"/>
      </w:pPr>
      <w:rPr>
        <w:rFonts w:hint="default"/>
        <w:b/>
      </w:rPr>
    </w:lvl>
    <w:lvl w:ilvl="1">
      <w:start w:val="1"/>
      <w:numFmt w:val="decimal"/>
      <w:lvlText w:val="%1.%2"/>
      <w:lvlJc w:val="left"/>
      <w:pPr>
        <w:ind w:left="1146" w:hanging="720"/>
      </w:pPr>
      <w:rPr>
        <w:rFonts w:ascii="Verdana" w:hAnsi="Verdana" w:hint="default"/>
        <w:b w:val="0"/>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abstractNum w:abstractNumId="18" w15:restartNumberingAfterBreak="0">
    <w:nsid w:val="44E24B90"/>
    <w:multiLevelType w:val="multilevel"/>
    <w:tmpl w:val="37D42B0C"/>
    <w:lvl w:ilvl="0">
      <w:start w:val="2"/>
      <w:numFmt w:val="decimal"/>
      <w:lvlText w:val="%1"/>
      <w:lvlJc w:val="left"/>
      <w:pPr>
        <w:ind w:left="390" w:hanging="390"/>
      </w:pPr>
      <w:rPr>
        <w:rFonts w:hint="default"/>
      </w:rPr>
    </w:lvl>
    <w:lvl w:ilvl="1">
      <w:start w:val="1"/>
      <w:numFmt w:val="bullet"/>
      <w:lvlText w:val=""/>
      <w:lvlJc w:val="left"/>
      <w:pPr>
        <w:ind w:left="862" w:hanging="720"/>
      </w:pPr>
      <w:rPr>
        <w:rFonts w:ascii="Symbol" w:hAnsi="Symbol" w:hint="default"/>
        <w:b w:val="0"/>
        <w:bCs/>
        <w:sz w:val="24"/>
        <w:szCs w:val="24"/>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9" w15:restartNumberingAfterBreak="0">
    <w:nsid w:val="45C56286"/>
    <w:multiLevelType w:val="multilevel"/>
    <w:tmpl w:val="D8F01F28"/>
    <w:lvl w:ilvl="0">
      <w:start w:val="2"/>
      <w:numFmt w:val="decimal"/>
      <w:lvlText w:val="%1"/>
      <w:lvlJc w:val="left"/>
      <w:pPr>
        <w:ind w:left="435" w:hanging="435"/>
      </w:pPr>
      <w:rPr>
        <w:rFonts w:cs="MinionPro-Regular" w:hint="default"/>
        <w:color w:val="000000"/>
      </w:rPr>
    </w:lvl>
    <w:lvl w:ilvl="1">
      <w:start w:val="8"/>
      <w:numFmt w:val="decimal"/>
      <w:lvlText w:val="%1.%2"/>
      <w:lvlJc w:val="left"/>
      <w:pPr>
        <w:ind w:left="1429" w:hanging="720"/>
      </w:pPr>
      <w:rPr>
        <w:rFonts w:cs="MinionPro-Regular" w:hint="default"/>
        <w:color w:val="000000"/>
      </w:rPr>
    </w:lvl>
    <w:lvl w:ilvl="2">
      <w:start w:val="1"/>
      <w:numFmt w:val="decimal"/>
      <w:lvlText w:val="%1.%2.%3"/>
      <w:lvlJc w:val="left"/>
      <w:pPr>
        <w:ind w:left="2498" w:hanging="1080"/>
      </w:pPr>
      <w:rPr>
        <w:rFonts w:cs="MinionPro-Regular" w:hint="default"/>
        <w:color w:val="000000"/>
      </w:rPr>
    </w:lvl>
    <w:lvl w:ilvl="3">
      <w:start w:val="1"/>
      <w:numFmt w:val="decimal"/>
      <w:lvlText w:val="%1.%2.%3.%4"/>
      <w:lvlJc w:val="left"/>
      <w:pPr>
        <w:ind w:left="3567" w:hanging="1440"/>
      </w:pPr>
      <w:rPr>
        <w:rFonts w:cs="MinionPro-Regular" w:hint="default"/>
        <w:color w:val="000000"/>
      </w:rPr>
    </w:lvl>
    <w:lvl w:ilvl="4">
      <w:start w:val="1"/>
      <w:numFmt w:val="decimal"/>
      <w:lvlText w:val="%1.%2.%3.%4.%5"/>
      <w:lvlJc w:val="left"/>
      <w:pPr>
        <w:ind w:left="4276" w:hanging="1440"/>
      </w:pPr>
      <w:rPr>
        <w:rFonts w:cs="MinionPro-Regular" w:hint="default"/>
        <w:color w:val="000000"/>
      </w:rPr>
    </w:lvl>
    <w:lvl w:ilvl="5">
      <w:start w:val="1"/>
      <w:numFmt w:val="decimal"/>
      <w:lvlText w:val="%1.%2.%3.%4.%5.%6"/>
      <w:lvlJc w:val="left"/>
      <w:pPr>
        <w:ind w:left="5345" w:hanging="1800"/>
      </w:pPr>
      <w:rPr>
        <w:rFonts w:cs="MinionPro-Regular" w:hint="default"/>
        <w:color w:val="000000"/>
      </w:rPr>
    </w:lvl>
    <w:lvl w:ilvl="6">
      <w:start w:val="1"/>
      <w:numFmt w:val="decimal"/>
      <w:lvlText w:val="%1.%2.%3.%4.%5.%6.%7"/>
      <w:lvlJc w:val="left"/>
      <w:pPr>
        <w:ind w:left="6414" w:hanging="2160"/>
      </w:pPr>
      <w:rPr>
        <w:rFonts w:cs="MinionPro-Regular" w:hint="default"/>
        <w:color w:val="000000"/>
      </w:rPr>
    </w:lvl>
    <w:lvl w:ilvl="7">
      <w:start w:val="1"/>
      <w:numFmt w:val="decimal"/>
      <w:lvlText w:val="%1.%2.%3.%4.%5.%6.%7.%8"/>
      <w:lvlJc w:val="left"/>
      <w:pPr>
        <w:ind w:left="7483" w:hanging="2520"/>
      </w:pPr>
      <w:rPr>
        <w:rFonts w:cs="MinionPro-Regular" w:hint="default"/>
        <w:color w:val="000000"/>
      </w:rPr>
    </w:lvl>
    <w:lvl w:ilvl="8">
      <w:start w:val="1"/>
      <w:numFmt w:val="decimal"/>
      <w:lvlText w:val="%1.%2.%3.%4.%5.%6.%7.%8.%9"/>
      <w:lvlJc w:val="left"/>
      <w:pPr>
        <w:ind w:left="8552" w:hanging="2880"/>
      </w:pPr>
      <w:rPr>
        <w:rFonts w:cs="MinionPro-Regular" w:hint="default"/>
        <w:color w:val="000000"/>
      </w:rPr>
    </w:lvl>
  </w:abstractNum>
  <w:abstractNum w:abstractNumId="20" w15:restartNumberingAfterBreak="0">
    <w:nsid w:val="557700FB"/>
    <w:multiLevelType w:val="hybridMultilevel"/>
    <w:tmpl w:val="B0A4F650"/>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1" w15:restartNumberingAfterBreak="0">
    <w:nsid w:val="57E2526B"/>
    <w:multiLevelType w:val="multilevel"/>
    <w:tmpl w:val="514A0534"/>
    <w:lvl w:ilvl="0">
      <w:start w:val="2"/>
      <w:numFmt w:val="decimal"/>
      <w:lvlText w:val="%1"/>
      <w:lvlJc w:val="left"/>
      <w:pPr>
        <w:ind w:left="608" w:hanging="608"/>
      </w:pPr>
      <w:rPr>
        <w:rFonts w:hint="default"/>
      </w:rPr>
    </w:lvl>
    <w:lvl w:ilvl="1">
      <w:start w:val="30"/>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22" w15:restartNumberingAfterBreak="0">
    <w:nsid w:val="598B68FA"/>
    <w:multiLevelType w:val="multilevel"/>
    <w:tmpl w:val="0AF4B6E2"/>
    <w:lvl w:ilvl="0">
      <w:start w:val="2"/>
      <w:numFmt w:val="decimal"/>
      <w:lvlText w:val="%1"/>
      <w:lvlJc w:val="left"/>
      <w:pPr>
        <w:ind w:left="608" w:hanging="608"/>
      </w:pPr>
      <w:rPr>
        <w:rFonts w:hint="default"/>
      </w:rPr>
    </w:lvl>
    <w:lvl w:ilvl="1">
      <w:start w:val="40"/>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3" w15:restartNumberingAfterBreak="0">
    <w:nsid w:val="5D56003E"/>
    <w:multiLevelType w:val="multilevel"/>
    <w:tmpl w:val="D03E640C"/>
    <w:lvl w:ilvl="0">
      <w:start w:val="3"/>
      <w:numFmt w:val="decimal"/>
      <w:lvlText w:val="%1"/>
      <w:lvlJc w:val="left"/>
      <w:pPr>
        <w:ind w:left="608" w:hanging="608"/>
      </w:pPr>
      <w:rPr>
        <w:rFonts w:hint="default"/>
      </w:rPr>
    </w:lvl>
    <w:lvl w:ilvl="1">
      <w:start w:val="26"/>
      <w:numFmt w:val="decimal"/>
      <w:lvlText w:val="%1.%2"/>
      <w:lvlJc w:val="left"/>
      <w:pPr>
        <w:ind w:left="3600" w:hanging="720"/>
      </w:pPr>
      <w:rPr>
        <w:rFonts w:hint="default"/>
      </w:rPr>
    </w:lvl>
    <w:lvl w:ilvl="2">
      <w:start w:val="1"/>
      <w:numFmt w:val="decimal"/>
      <w:lvlText w:val="%1.%2.%3"/>
      <w:lvlJc w:val="left"/>
      <w:pPr>
        <w:ind w:left="6840" w:hanging="1080"/>
      </w:pPr>
      <w:rPr>
        <w:rFonts w:hint="default"/>
      </w:rPr>
    </w:lvl>
    <w:lvl w:ilvl="3">
      <w:start w:val="1"/>
      <w:numFmt w:val="decimal"/>
      <w:lvlText w:val="%1.%2.%3.%4"/>
      <w:lvlJc w:val="left"/>
      <w:pPr>
        <w:ind w:left="10080" w:hanging="1440"/>
      </w:pPr>
      <w:rPr>
        <w:rFonts w:hint="default"/>
      </w:rPr>
    </w:lvl>
    <w:lvl w:ilvl="4">
      <w:start w:val="1"/>
      <w:numFmt w:val="decimal"/>
      <w:lvlText w:val="%1.%2.%3.%4.%5"/>
      <w:lvlJc w:val="left"/>
      <w:pPr>
        <w:ind w:left="12960" w:hanging="1440"/>
      </w:pPr>
      <w:rPr>
        <w:rFonts w:hint="default"/>
      </w:rPr>
    </w:lvl>
    <w:lvl w:ilvl="5">
      <w:start w:val="1"/>
      <w:numFmt w:val="decimal"/>
      <w:lvlText w:val="%1.%2.%3.%4.%5.%6"/>
      <w:lvlJc w:val="left"/>
      <w:pPr>
        <w:ind w:left="16200" w:hanging="1800"/>
      </w:pPr>
      <w:rPr>
        <w:rFonts w:hint="default"/>
      </w:rPr>
    </w:lvl>
    <w:lvl w:ilvl="6">
      <w:start w:val="1"/>
      <w:numFmt w:val="decimal"/>
      <w:lvlText w:val="%1.%2.%3.%4.%5.%6.%7"/>
      <w:lvlJc w:val="left"/>
      <w:pPr>
        <w:ind w:left="19440" w:hanging="2160"/>
      </w:pPr>
      <w:rPr>
        <w:rFonts w:hint="default"/>
      </w:rPr>
    </w:lvl>
    <w:lvl w:ilvl="7">
      <w:start w:val="1"/>
      <w:numFmt w:val="decimal"/>
      <w:lvlText w:val="%1.%2.%3.%4.%5.%6.%7.%8"/>
      <w:lvlJc w:val="left"/>
      <w:pPr>
        <w:ind w:left="22680" w:hanging="2520"/>
      </w:pPr>
      <w:rPr>
        <w:rFonts w:hint="default"/>
      </w:rPr>
    </w:lvl>
    <w:lvl w:ilvl="8">
      <w:start w:val="1"/>
      <w:numFmt w:val="decimal"/>
      <w:lvlText w:val="%1.%2.%3.%4.%5.%6.%7.%8.%9"/>
      <w:lvlJc w:val="left"/>
      <w:pPr>
        <w:ind w:left="25920" w:hanging="2880"/>
      </w:pPr>
      <w:rPr>
        <w:rFonts w:hint="default"/>
      </w:rPr>
    </w:lvl>
  </w:abstractNum>
  <w:abstractNum w:abstractNumId="24" w15:restartNumberingAfterBreak="0">
    <w:nsid w:val="5F73035E"/>
    <w:multiLevelType w:val="multilevel"/>
    <w:tmpl w:val="DBB2FC98"/>
    <w:lvl w:ilvl="0">
      <w:start w:val="1"/>
      <w:numFmt w:val="decimal"/>
      <w:lvlText w:val="%1"/>
      <w:lvlJc w:val="left"/>
      <w:pPr>
        <w:ind w:left="390" w:hanging="39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1364" w:hanging="1080"/>
      </w:pPr>
      <w:rPr>
        <w:rFonts w:hint="default"/>
        <w:color w:val="auto"/>
      </w:rPr>
    </w:lvl>
    <w:lvl w:ilvl="3">
      <w:start w:val="1"/>
      <w:numFmt w:val="decimal"/>
      <w:lvlText w:val="%1.%2.%3.%4"/>
      <w:lvlJc w:val="left"/>
      <w:pPr>
        <w:ind w:left="1506" w:hanging="1080"/>
      </w:pPr>
      <w:rPr>
        <w:rFonts w:hint="default"/>
        <w:color w:val="auto"/>
      </w:rPr>
    </w:lvl>
    <w:lvl w:ilvl="4">
      <w:start w:val="1"/>
      <w:numFmt w:val="decimal"/>
      <w:lvlText w:val="%1.%2.%3.%4.%5"/>
      <w:lvlJc w:val="left"/>
      <w:pPr>
        <w:ind w:left="2008" w:hanging="1440"/>
      </w:pPr>
      <w:rPr>
        <w:rFonts w:hint="default"/>
        <w:color w:val="auto"/>
      </w:rPr>
    </w:lvl>
    <w:lvl w:ilvl="5">
      <w:start w:val="1"/>
      <w:numFmt w:val="decimal"/>
      <w:lvlText w:val="%1.%2.%3.%4.%5.%6"/>
      <w:lvlJc w:val="left"/>
      <w:pPr>
        <w:ind w:left="2510" w:hanging="1800"/>
      </w:pPr>
      <w:rPr>
        <w:rFonts w:hint="default"/>
        <w:color w:val="auto"/>
      </w:rPr>
    </w:lvl>
    <w:lvl w:ilvl="6">
      <w:start w:val="1"/>
      <w:numFmt w:val="decimal"/>
      <w:lvlText w:val="%1.%2.%3.%4.%5.%6.%7"/>
      <w:lvlJc w:val="left"/>
      <w:pPr>
        <w:ind w:left="3012" w:hanging="2160"/>
      </w:pPr>
      <w:rPr>
        <w:rFonts w:hint="default"/>
        <w:color w:val="auto"/>
      </w:rPr>
    </w:lvl>
    <w:lvl w:ilvl="7">
      <w:start w:val="1"/>
      <w:numFmt w:val="decimal"/>
      <w:lvlText w:val="%1.%2.%3.%4.%5.%6.%7.%8"/>
      <w:lvlJc w:val="left"/>
      <w:pPr>
        <w:ind w:left="3514" w:hanging="2520"/>
      </w:pPr>
      <w:rPr>
        <w:rFonts w:hint="default"/>
        <w:color w:val="auto"/>
      </w:rPr>
    </w:lvl>
    <w:lvl w:ilvl="8">
      <w:start w:val="1"/>
      <w:numFmt w:val="decimal"/>
      <w:lvlText w:val="%1.%2.%3.%4.%5.%6.%7.%8.%9"/>
      <w:lvlJc w:val="left"/>
      <w:pPr>
        <w:ind w:left="3656" w:hanging="2520"/>
      </w:pPr>
      <w:rPr>
        <w:rFonts w:hint="default"/>
        <w:color w:val="auto"/>
      </w:rPr>
    </w:lvl>
  </w:abstractNum>
  <w:abstractNum w:abstractNumId="25" w15:restartNumberingAfterBreak="0">
    <w:nsid w:val="62505775"/>
    <w:multiLevelType w:val="hybridMultilevel"/>
    <w:tmpl w:val="CD48BFC2"/>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6" w15:restartNumberingAfterBreak="0">
    <w:nsid w:val="6529114A"/>
    <w:multiLevelType w:val="hybridMultilevel"/>
    <w:tmpl w:val="673E5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D4103C"/>
    <w:multiLevelType w:val="hybridMultilevel"/>
    <w:tmpl w:val="43BE4282"/>
    <w:lvl w:ilvl="0" w:tplc="D70ECCDE">
      <w:start w:val="1"/>
      <w:numFmt w:val="decimal"/>
      <w:pStyle w:val="Heading1"/>
      <w:lvlText w:val="%1.0"/>
      <w:lvlJc w:val="left"/>
      <w:pPr>
        <w:ind w:left="720" w:hanging="360"/>
      </w:pPr>
      <w:rPr>
        <w:rFonts w:hint="default"/>
        <w:color w:val="77328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7074502"/>
    <w:multiLevelType w:val="hybridMultilevel"/>
    <w:tmpl w:val="616CCA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0C618A"/>
    <w:multiLevelType w:val="hybridMultilevel"/>
    <w:tmpl w:val="73F4F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052E44"/>
    <w:multiLevelType w:val="multilevel"/>
    <w:tmpl w:val="28FE12A4"/>
    <w:lvl w:ilvl="0">
      <w:start w:val="2"/>
      <w:numFmt w:val="decimal"/>
      <w:lvlText w:val="%1"/>
      <w:lvlJc w:val="left"/>
      <w:pPr>
        <w:ind w:left="608" w:hanging="608"/>
      </w:pPr>
      <w:rPr>
        <w:rFonts w:hint="default"/>
      </w:rPr>
    </w:lvl>
    <w:lvl w:ilvl="1">
      <w:start w:val="24"/>
      <w:numFmt w:val="decimal"/>
      <w:lvlText w:val="%1.%2"/>
      <w:lvlJc w:val="left"/>
      <w:pPr>
        <w:ind w:left="2433" w:hanging="720"/>
      </w:pPr>
      <w:rPr>
        <w:rFonts w:hint="default"/>
      </w:rPr>
    </w:lvl>
    <w:lvl w:ilvl="2">
      <w:start w:val="1"/>
      <w:numFmt w:val="decimal"/>
      <w:lvlText w:val="%1.%2.%3"/>
      <w:lvlJc w:val="left"/>
      <w:pPr>
        <w:ind w:left="4506" w:hanging="1080"/>
      </w:pPr>
      <w:rPr>
        <w:rFonts w:hint="default"/>
      </w:rPr>
    </w:lvl>
    <w:lvl w:ilvl="3">
      <w:start w:val="1"/>
      <w:numFmt w:val="decimal"/>
      <w:lvlText w:val="%1.%2.%3.%4"/>
      <w:lvlJc w:val="left"/>
      <w:pPr>
        <w:ind w:left="6579" w:hanging="1440"/>
      </w:pPr>
      <w:rPr>
        <w:rFonts w:hint="default"/>
      </w:rPr>
    </w:lvl>
    <w:lvl w:ilvl="4">
      <w:start w:val="1"/>
      <w:numFmt w:val="decimal"/>
      <w:lvlText w:val="%1.%2.%3.%4.%5"/>
      <w:lvlJc w:val="left"/>
      <w:pPr>
        <w:ind w:left="8292" w:hanging="1440"/>
      </w:pPr>
      <w:rPr>
        <w:rFonts w:hint="default"/>
      </w:rPr>
    </w:lvl>
    <w:lvl w:ilvl="5">
      <w:start w:val="1"/>
      <w:numFmt w:val="decimal"/>
      <w:lvlText w:val="%1.%2.%3.%4.%5.%6"/>
      <w:lvlJc w:val="left"/>
      <w:pPr>
        <w:ind w:left="10365" w:hanging="1800"/>
      </w:pPr>
      <w:rPr>
        <w:rFonts w:hint="default"/>
      </w:rPr>
    </w:lvl>
    <w:lvl w:ilvl="6">
      <w:start w:val="1"/>
      <w:numFmt w:val="decimal"/>
      <w:lvlText w:val="%1.%2.%3.%4.%5.%6.%7"/>
      <w:lvlJc w:val="left"/>
      <w:pPr>
        <w:ind w:left="12438" w:hanging="2160"/>
      </w:pPr>
      <w:rPr>
        <w:rFonts w:hint="default"/>
      </w:rPr>
    </w:lvl>
    <w:lvl w:ilvl="7">
      <w:start w:val="1"/>
      <w:numFmt w:val="decimal"/>
      <w:lvlText w:val="%1.%2.%3.%4.%5.%6.%7.%8"/>
      <w:lvlJc w:val="left"/>
      <w:pPr>
        <w:ind w:left="14511" w:hanging="2520"/>
      </w:pPr>
      <w:rPr>
        <w:rFonts w:hint="default"/>
      </w:rPr>
    </w:lvl>
    <w:lvl w:ilvl="8">
      <w:start w:val="1"/>
      <w:numFmt w:val="decimal"/>
      <w:lvlText w:val="%1.%2.%3.%4.%5.%6.%7.%8.%9"/>
      <w:lvlJc w:val="left"/>
      <w:pPr>
        <w:ind w:left="16584" w:hanging="2880"/>
      </w:pPr>
      <w:rPr>
        <w:rFonts w:hint="default"/>
      </w:rPr>
    </w:lvl>
  </w:abstractNum>
  <w:abstractNum w:abstractNumId="31" w15:restartNumberingAfterBreak="0">
    <w:nsid w:val="78FB799F"/>
    <w:multiLevelType w:val="multilevel"/>
    <w:tmpl w:val="5A6C3EE8"/>
    <w:lvl w:ilvl="0">
      <w:start w:val="2"/>
      <w:numFmt w:val="decimal"/>
      <w:lvlText w:val="%1"/>
      <w:lvlJc w:val="left"/>
      <w:pPr>
        <w:ind w:left="608" w:hanging="608"/>
      </w:pPr>
      <w:rPr>
        <w:rFonts w:hint="default"/>
      </w:rPr>
    </w:lvl>
    <w:lvl w:ilvl="1">
      <w:start w:val="3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num w:numId="1">
    <w:abstractNumId w:val="26"/>
  </w:num>
  <w:num w:numId="2">
    <w:abstractNumId w:val="29"/>
  </w:num>
  <w:num w:numId="3">
    <w:abstractNumId w:val="16"/>
  </w:num>
  <w:num w:numId="4">
    <w:abstractNumId w:val="15"/>
  </w:num>
  <w:num w:numId="5">
    <w:abstractNumId w:val="27"/>
  </w:num>
  <w:num w:numId="6">
    <w:abstractNumId w:val="13"/>
  </w:num>
  <w:num w:numId="7">
    <w:abstractNumId w:val="5"/>
  </w:num>
  <w:num w:numId="8">
    <w:abstractNumId w:val="19"/>
  </w:num>
  <w:num w:numId="9">
    <w:abstractNumId w:val="8"/>
  </w:num>
  <w:num w:numId="10">
    <w:abstractNumId w:val="30"/>
  </w:num>
  <w:num w:numId="11">
    <w:abstractNumId w:val="21"/>
  </w:num>
  <w:num w:numId="12">
    <w:abstractNumId w:val="31"/>
  </w:num>
  <w:num w:numId="13">
    <w:abstractNumId w:val="22"/>
  </w:num>
  <w:num w:numId="14">
    <w:abstractNumId w:val="12"/>
  </w:num>
  <w:num w:numId="15">
    <w:abstractNumId w:val="9"/>
  </w:num>
  <w:num w:numId="16">
    <w:abstractNumId w:val="23"/>
  </w:num>
  <w:num w:numId="17">
    <w:abstractNumId w:val="11"/>
  </w:num>
  <w:num w:numId="18">
    <w:abstractNumId w:val="24"/>
  </w:num>
  <w:num w:numId="19">
    <w:abstractNumId w:val="7"/>
  </w:num>
  <w:num w:numId="20">
    <w:abstractNumId w:val="17"/>
  </w:num>
  <w:num w:numId="21">
    <w:abstractNumId w:val="10"/>
  </w:num>
  <w:num w:numId="22">
    <w:abstractNumId w:val="28"/>
  </w:num>
  <w:num w:numId="23">
    <w:abstractNumId w:val="0"/>
    <w:lvlOverride w:ilvl="0">
      <w:startOverride w:val="1"/>
    </w:lvlOverride>
    <w:lvlOverride w:ilvl="1"/>
    <w:lvlOverride w:ilvl="2"/>
    <w:lvlOverride w:ilvl="3"/>
    <w:lvlOverride w:ilvl="4"/>
    <w:lvlOverride w:ilvl="5"/>
    <w:lvlOverride w:ilvl="6"/>
    <w:lvlOverride w:ilvl="7"/>
    <w:lvlOverride w:ilvl="8"/>
  </w:num>
  <w:num w:numId="24">
    <w:abstractNumId w:val="1"/>
    <w:lvlOverride w:ilvl="0">
      <w:startOverride w:val="2"/>
    </w:lvlOverride>
    <w:lvlOverride w:ilvl="1"/>
    <w:lvlOverride w:ilvl="2"/>
    <w:lvlOverride w:ilvl="3"/>
    <w:lvlOverride w:ilvl="4"/>
    <w:lvlOverride w:ilvl="5"/>
    <w:lvlOverride w:ilvl="6"/>
    <w:lvlOverride w:ilvl="7"/>
    <w:lvlOverride w:ilvl="8"/>
  </w:num>
  <w:num w:numId="25">
    <w:abstractNumId w:val="2"/>
    <w:lvlOverride w:ilvl="0">
      <w:startOverride w:val="13"/>
    </w:lvlOverride>
    <w:lvlOverride w:ilvl="1"/>
    <w:lvlOverride w:ilvl="2"/>
    <w:lvlOverride w:ilvl="3"/>
    <w:lvlOverride w:ilvl="4"/>
    <w:lvlOverride w:ilvl="5"/>
    <w:lvlOverride w:ilvl="6"/>
    <w:lvlOverride w:ilvl="7"/>
    <w:lvlOverride w:ilvl="8"/>
  </w:num>
  <w:num w:numId="26">
    <w:abstractNumId w:val="3"/>
    <w:lvlOverride w:ilvl="0">
      <w:startOverride w:val="16"/>
    </w:lvlOverride>
    <w:lvlOverride w:ilvl="1"/>
    <w:lvlOverride w:ilvl="2"/>
    <w:lvlOverride w:ilvl="3"/>
    <w:lvlOverride w:ilvl="4"/>
    <w:lvlOverride w:ilvl="5"/>
    <w:lvlOverride w:ilvl="6"/>
    <w:lvlOverride w:ilvl="7"/>
    <w:lvlOverride w:ilvl="8"/>
  </w:num>
  <w:num w:numId="27">
    <w:abstractNumId w:val="4"/>
    <w:lvlOverride w:ilvl="0">
      <w:startOverride w:val="19"/>
    </w:lvlOverride>
    <w:lvlOverride w:ilvl="1"/>
    <w:lvlOverride w:ilvl="2"/>
    <w:lvlOverride w:ilvl="3"/>
    <w:lvlOverride w:ilvl="4"/>
    <w:lvlOverride w:ilvl="5"/>
    <w:lvlOverride w:ilvl="6"/>
    <w:lvlOverride w:ilvl="7"/>
    <w:lvlOverride w:ilvl="8"/>
  </w:num>
  <w:num w:numId="28">
    <w:abstractNumId w:val="14"/>
  </w:num>
  <w:num w:numId="29">
    <w:abstractNumId w:val="6"/>
  </w:num>
  <w:num w:numId="30">
    <w:abstractNumId w:val="20"/>
  </w:num>
  <w:num w:numId="31">
    <w:abstractNumId w:val="25"/>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622"/>
    <w:rsid w:val="00001287"/>
    <w:rsid w:val="00001694"/>
    <w:rsid w:val="000032A8"/>
    <w:rsid w:val="000034B0"/>
    <w:rsid w:val="000034F1"/>
    <w:rsid w:val="00004DB0"/>
    <w:rsid w:val="0000636D"/>
    <w:rsid w:val="00006B45"/>
    <w:rsid w:val="00006F24"/>
    <w:rsid w:val="0000703E"/>
    <w:rsid w:val="0000782A"/>
    <w:rsid w:val="00007B2C"/>
    <w:rsid w:val="00007CF8"/>
    <w:rsid w:val="00010960"/>
    <w:rsid w:val="0001099A"/>
    <w:rsid w:val="00011BC3"/>
    <w:rsid w:val="00011F1F"/>
    <w:rsid w:val="00013274"/>
    <w:rsid w:val="00013F4D"/>
    <w:rsid w:val="000151FE"/>
    <w:rsid w:val="00015B29"/>
    <w:rsid w:val="00015CF5"/>
    <w:rsid w:val="0002104E"/>
    <w:rsid w:val="000215C5"/>
    <w:rsid w:val="00022394"/>
    <w:rsid w:val="0002330B"/>
    <w:rsid w:val="00023BDB"/>
    <w:rsid w:val="00023CDA"/>
    <w:rsid w:val="00023D23"/>
    <w:rsid w:val="00024238"/>
    <w:rsid w:val="000244CA"/>
    <w:rsid w:val="0002594F"/>
    <w:rsid w:val="00025B37"/>
    <w:rsid w:val="00025F09"/>
    <w:rsid w:val="00026A8D"/>
    <w:rsid w:val="0002788A"/>
    <w:rsid w:val="00027F5D"/>
    <w:rsid w:val="00030510"/>
    <w:rsid w:val="0003064A"/>
    <w:rsid w:val="000312E4"/>
    <w:rsid w:val="0003179A"/>
    <w:rsid w:val="00032093"/>
    <w:rsid w:val="00032B22"/>
    <w:rsid w:val="00032C2A"/>
    <w:rsid w:val="00033922"/>
    <w:rsid w:val="000354DB"/>
    <w:rsid w:val="00035546"/>
    <w:rsid w:val="00040081"/>
    <w:rsid w:val="000414D7"/>
    <w:rsid w:val="000419DB"/>
    <w:rsid w:val="00043957"/>
    <w:rsid w:val="0004515C"/>
    <w:rsid w:val="00046093"/>
    <w:rsid w:val="00046730"/>
    <w:rsid w:val="00046F47"/>
    <w:rsid w:val="000478FB"/>
    <w:rsid w:val="000524A2"/>
    <w:rsid w:val="0005438A"/>
    <w:rsid w:val="00054400"/>
    <w:rsid w:val="00055888"/>
    <w:rsid w:val="00056429"/>
    <w:rsid w:val="000565CF"/>
    <w:rsid w:val="00056CDA"/>
    <w:rsid w:val="000570EF"/>
    <w:rsid w:val="00060410"/>
    <w:rsid w:val="0006138D"/>
    <w:rsid w:val="00062023"/>
    <w:rsid w:val="0006283C"/>
    <w:rsid w:val="00062D54"/>
    <w:rsid w:val="0006328E"/>
    <w:rsid w:val="00064699"/>
    <w:rsid w:val="00065D52"/>
    <w:rsid w:val="0006738F"/>
    <w:rsid w:val="00067606"/>
    <w:rsid w:val="00067A7B"/>
    <w:rsid w:val="00071366"/>
    <w:rsid w:val="00071C6C"/>
    <w:rsid w:val="00071E29"/>
    <w:rsid w:val="0007202D"/>
    <w:rsid w:val="0007226D"/>
    <w:rsid w:val="00072285"/>
    <w:rsid w:val="00072B36"/>
    <w:rsid w:val="0007316A"/>
    <w:rsid w:val="000731AB"/>
    <w:rsid w:val="00073647"/>
    <w:rsid w:val="000750E4"/>
    <w:rsid w:val="00076DD3"/>
    <w:rsid w:val="0007705C"/>
    <w:rsid w:val="0007774F"/>
    <w:rsid w:val="000778AF"/>
    <w:rsid w:val="0007797E"/>
    <w:rsid w:val="00077C2C"/>
    <w:rsid w:val="00080911"/>
    <w:rsid w:val="00080ED7"/>
    <w:rsid w:val="0008516D"/>
    <w:rsid w:val="00086FC8"/>
    <w:rsid w:val="0008748A"/>
    <w:rsid w:val="00087931"/>
    <w:rsid w:val="000900E6"/>
    <w:rsid w:val="000909D0"/>
    <w:rsid w:val="000914E4"/>
    <w:rsid w:val="00093D79"/>
    <w:rsid w:val="00095823"/>
    <w:rsid w:val="0009595A"/>
    <w:rsid w:val="00095A60"/>
    <w:rsid w:val="000962B7"/>
    <w:rsid w:val="0009694B"/>
    <w:rsid w:val="000970DC"/>
    <w:rsid w:val="000A0696"/>
    <w:rsid w:val="000A07F6"/>
    <w:rsid w:val="000A3DB1"/>
    <w:rsid w:val="000A4236"/>
    <w:rsid w:val="000A44A7"/>
    <w:rsid w:val="000A4AB1"/>
    <w:rsid w:val="000A50BF"/>
    <w:rsid w:val="000A536E"/>
    <w:rsid w:val="000A54C1"/>
    <w:rsid w:val="000A57E2"/>
    <w:rsid w:val="000A580F"/>
    <w:rsid w:val="000A5EB2"/>
    <w:rsid w:val="000A64C4"/>
    <w:rsid w:val="000A7027"/>
    <w:rsid w:val="000A7A07"/>
    <w:rsid w:val="000B167D"/>
    <w:rsid w:val="000B2176"/>
    <w:rsid w:val="000B2863"/>
    <w:rsid w:val="000B3102"/>
    <w:rsid w:val="000B335E"/>
    <w:rsid w:val="000B3E76"/>
    <w:rsid w:val="000B42E8"/>
    <w:rsid w:val="000B781F"/>
    <w:rsid w:val="000C06D7"/>
    <w:rsid w:val="000C0797"/>
    <w:rsid w:val="000C4D5E"/>
    <w:rsid w:val="000D042D"/>
    <w:rsid w:val="000D0E51"/>
    <w:rsid w:val="000D2453"/>
    <w:rsid w:val="000D32D1"/>
    <w:rsid w:val="000D4096"/>
    <w:rsid w:val="000D434A"/>
    <w:rsid w:val="000D44B7"/>
    <w:rsid w:val="000D4D40"/>
    <w:rsid w:val="000D4F99"/>
    <w:rsid w:val="000D597E"/>
    <w:rsid w:val="000D61A4"/>
    <w:rsid w:val="000D6446"/>
    <w:rsid w:val="000D6761"/>
    <w:rsid w:val="000D68CB"/>
    <w:rsid w:val="000D7020"/>
    <w:rsid w:val="000D7C51"/>
    <w:rsid w:val="000E05EA"/>
    <w:rsid w:val="000E0A8F"/>
    <w:rsid w:val="000E228E"/>
    <w:rsid w:val="000E2FB0"/>
    <w:rsid w:val="000E536F"/>
    <w:rsid w:val="000E68A7"/>
    <w:rsid w:val="000F012A"/>
    <w:rsid w:val="000F0F2C"/>
    <w:rsid w:val="000F201D"/>
    <w:rsid w:val="000F2EFB"/>
    <w:rsid w:val="000F5BE3"/>
    <w:rsid w:val="000F664D"/>
    <w:rsid w:val="000F67AD"/>
    <w:rsid w:val="000F76A2"/>
    <w:rsid w:val="000F7EAE"/>
    <w:rsid w:val="000F7EE9"/>
    <w:rsid w:val="001012B8"/>
    <w:rsid w:val="00101C70"/>
    <w:rsid w:val="001026D7"/>
    <w:rsid w:val="0010405C"/>
    <w:rsid w:val="00105396"/>
    <w:rsid w:val="001058CF"/>
    <w:rsid w:val="0010655A"/>
    <w:rsid w:val="00106796"/>
    <w:rsid w:val="00106A0C"/>
    <w:rsid w:val="001075AF"/>
    <w:rsid w:val="00107B66"/>
    <w:rsid w:val="00112A98"/>
    <w:rsid w:val="00112DE9"/>
    <w:rsid w:val="0011349F"/>
    <w:rsid w:val="0011400D"/>
    <w:rsid w:val="00114D8B"/>
    <w:rsid w:val="00114DAD"/>
    <w:rsid w:val="00115C3C"/>
    <w:rsid w:val="0011652B"/>
    <w:rsid w:val="00116C51"/>
    <w:rsid w:val="001231D3"/>
    <w:rsid w:val="00125699"/>
    <w:rsid w:val="0012695C"/>
    <w:rsid w:val="0013043C"/>
    <w:rsid w:val="00130F7B"/>
    <w:rsid w:val="001322AE"/>
    <w:rsid w:val="001322D7"/>
    <w:rsid w:val="00132F8D"/>
    <w:rsid w:val="001358BC"/>
    <w:rsid w:val="0013756F"/>
    <w:rsid w:val="0014029C"/>
    <w:rsid w:val="001404D0"/>
    <w:rsid w:val="00140938"/>
    <w:rsid w:val="00141272"/>
    <w:rsid w:val="00141CC5"/>
    <w:rsid w:val="001420C2"/>
    <w:rsid w:val="00142D29"/>
    <w:rsid w:val="00143A69"/>
    <w:rsid w:val="001443C8"/>
    <w:rsid w:val="00145292"/>
    <w:rsid w:val="00145CCE"/>
    <w:rsid w:val="00146471"/>
    <w:rsid w:val="00146D48"/>
    <w:rsid w:val="00147057"/>
    <w:rsid w:val="00152EF0"/>
    <w:rsid w:val="00153608"/>
    <w:rsid w:val="001536C6"/>
    <w:rsid w:val="001540D6"/>
    <w:rsid w:val="00154837"/>
    <w:rsid w:val="00157DBE"/>
    <w:rsid w:val="00157F96"/>
    <w:rsid w:val="001633B1"/>
    <w:rsid w:val="00164CCD"/>
    <w:rsid w:val="00164F62"/>
    <w:rsid w:val="00165682"/>
    <w:rsid w:val="00165979"/>
    <w:rsid w:val="001678AC"/>
    <w:rsid w:val="0017061D"/>
    <w:rsid w:val="00170D1C"/>
    <w:rsid w:val="00171421"/>
    <w:rsid w:val="001714AB"/>
    <w:rsid w:val="00172982"/>
    <w:rsid w:val="001729EE"/>
    <w:rsid w:val="001733AC"/>
    <w:rsid w:val="001751AA"/>
    <w:rsid w:val="001760C0"/>
    <w:rsid w:val="001760FD"/>
    <w:rsid w:val="001770B9"/>
    <w:rsid w:val="00180EF3"/>
    <w:rsid w:val="001845C4"/>
    <w:rsid w:val="00184FD0"/>
    <w:rsid w:val="00185240"/>
    <w:rsid w:val="001855D0"/>
    <w:rsid w:val="00185A78"/>
    <w:rsid w:val="00185AC6"/>
    <w:rsid w:val="00185E4E"/>
    <w:rsid w:val="00186FF1"/>
    <w:rsid w:val="00187121"/>
    <w:rsid w:val="00190B37"/>
    <w:rsid w:val="00192A28"/>
    <w:rsid w:val="00192BDC"/>
    <w:rsid w:val="001933C6"/>
    <w:rsid w:val="00193D63"/>
    <w:rsid w:val="001947FF"/>
    <w:rsid w:val="00195AC8"/>
    <w:rsid w:val="00195F39"/>
    <w:rsid w:val="00197524"/>
    <w:rsid w:val="0019753D"/>
    <w:rsid w:val="001A00AD"/>
    <w:rsid w:val="001A1907"/>
    <w:rsid w:val="001A204D"/>
    <w:rsid w:val="001A2050"/>
    <w:rsid w:val="001A2F09"/>
    <w:rsid w:val="001A325A"/>
    <w:rsid w:val="001A36D7"/>
    <w:rsid w:val="001A4F76"/>
    <w:rsid w:val="001A5153"/>
    <w:rsid w:val="001A6025"/>
    <w:rsid w:val="001A7B55"/>
    <w:rsid w:val="001B0612"/>
    <w:rsid w:val="001B0B06"/>
    <w:rsid w:val="001B0E6A"/>
    <w:rsid w:val="001B1C3D"/>
    <w:rsid w:val="001B4063"/>
    <w:rsid w:val="001B5382"/>
    <w:rsid w:val="001B570B"/>
    <w:rsid w:val="001B644C"/>
    <w:rsid w:val="001B6E64"/>
    <w:rsid w:val="001B7DE3"/>
    <w:rsid w:val="001C0E55"/>
    <w:rsid w:val="001C1224"/>
    <w:rsid w:val="001C33D7"/>
    <w:rsid w:val="001C3420"/>
    <w:rsid w:val="001C4066"/>
    <w:rsid w:val="001C4554"/>
    <w:rsid w:val="001C6FD8"/>
    <w:rsid w:val="001C761A"/>
    <w:rsid w:val="001D0DA0"/>
    <w:rsid w:val="001D1567"/>
    <w:rsid w:val="001D2A2F"/>
    <w:rsid w:val="001D2B36"/>
    <w:rsid w:val="001D3300"/>
    <w:rsid w:val="001D3CB9"/>
    <w:rsid w:val="001D45D1"/>
    <w:rsid w:val="001D6AD5"/>
    <w:rsid w:val="001D7120"/>
    <w:rsid w:val="001D7A05"/>
    <w:rsid w:val="001D7E13"/>
    <w:rsid w:val="001E0B4D"/>
    <w:rsid w:val="001E1A0F"/>
    <w:rsid w:val="001E2C99"/>
    <w:rsid w:val="001E326F"/>
    <w:rsid w:val="001E3D42"/>
    <w:rsid w:val="001E445D"/>
    <w:rsid w:val="001E48EA"/>
    <w:rsid w:val="001E54A3"/>
    <w:rsid w:val="001E6A5B"/>
    <w:rsid w:val="001E7514"/>
    <w:rsid w:val="001E769C"/>
    <w:rsid w:val="001F0020"/>
    <w:rsid w:val="001F095D"/>
    <w:rsid w:val="001F1B51"/>
    <w:rsid w:val="001F1F30"/>
    <w:rsid w:val="001F25C7"/>
    <w:rsid w:val="001F2AD6"/>
    <w:rsid w:val="001F2D2A"/>
    <w:rsid w:val="001F347F"/>
    <w:rsid w:val="001F3580"/>
    <w:rsid w:val="001F53DC"/>
    <w:rsid w:val="001F5ED1"/>
    <w:rsid w:val="001F6474"/>
    <w:rsid w:val="001F6602"/>
    <w:rsid w:val="001F6D53"/>
    <w:rsid w:val="001F71BE"/>
    <w:rsid w:val="001F7EBD"/>
    <w:rsid w:val="0020142E"/>
    <w:rsid w:val="0020164D"/>
    <w:rsid w:val="002022EA"/>
    <w:rsid w:val="00202813"/>
    <w:rsid w:val="0020402B"/>
    <w:rsid w:val="002043B5"/>
    <w:rsid w:val="00205ECD"/>
    <w:rsid w:val="00206371"/>
    <w:rsid w:val="002068DA"/>
    <w:rsid w:val="00206914"/>
    <w:rsid w:val="00206DAD"/>
    <w:rsid w:val="002070FE"/>
    <w:rsid w:val="002073DE"/>
    <w:rsid w:val="00212056"/>
    <w:rsid w:val="00212D3D"/>
    <w:rsid w:val="00212D42"/>
    <w:rsid w:val="00213541"/>
    <w:rsid w:val="00214C77"/>
    <w:rsid w:val="00214EC1"/>
    <w:rsid w:val="00217DE7"/>
    <w:rsid w:val="00220B39"/>
    <w:rsid w:val="00220B6A"/>
    <w:rsid w:val="00220BE9"/>
    <w:rsid w:val="00221221"/>
    <w:rsid w:val="002214DE"/>
    <w:rsid w:val="00221E01"/>
    <w:rsid w:val="002234D8"/>
    <w:rsid w:val="00224073"/>
    <w:rsid w:val="00224C52"/>
    <w:rsid w:val="00225AFB"/>
    <w:rsid w:val="0022680C"/>
    <w:rsid w:val="00227367"/>
    <w:rsid w:val="00230635"/>
    <w:rsid w:val="00232137"/>
    <w:rsid w:val="00233A9D"/>
    <w:rsid w:val="00234834"/>
    <w:rsid w:val="002349E1"/>
    <w:rsid w:val="00235288"/>
    <w:rsid w:val="0023751A"/>
    <w:rsid w:val="00237FC0"/>
    <w:rsid w:val="00240FC4"/>
    <w:rsid w:val="00242C57"/>
    <w:rsid w:val="00243946"/>
    <w:rsid w:val="002443F1"/>
    <w:rsid w:val="002447E0"/>
    <w:rsid w:val="00244812"/>
    <w:rsid w:val="002462B8"/>
    <w:rsid w:val="002463E7"/>
    <w:rsid w:val="002463F7"/>
    <w:rsid w:val="002463F9"/>
    <w:rsid w:val="00247AFB"/>
    <w:rsid w:val="00250890"/>
    <w:rsid w:val="00250B8F"/>
    <w:rsid w:val="00253237"/>
    <w:rsid w:val="00253674"/>
    <w:rsid w:val="002536F6"/>
    <w:rsid w:val="00253EA9"/>
    <w:rsid w:val="00254326"/>
    <w:rsid w:val="00254554"/>
    <w:rsid w:val="00254688"/>
    <w:rsid w:val="00256836"/>
    <w:rsid w:val="00256984"/>
    <w:rsid w:val="00257700"/>
    <w:rsid w:val="00260C0E"/>
    <w:rsid w:val="0026120D"/>
    <w:rsid w:val="0026174F"/>
    <w:rsid w:val="00263AA6"/>
    <w:rsid w:val="00263D6C"/>
    <w:rsid w:val="0026440B"/>
    <w:rsid w:val="002658FE"/>
    <w:rsid w:val="0026599B"/>
    <w:rsid w:val="00265A7F"/>
    <w:rsid w:val="00265D2B"/>
    <w:rsid w:val="002660ED"/>
    <w:rsid w:val="00270242"/>
    <w:rsid w:val="0027211B"/>
    <w:rsid w:val="002721A7"/>
    <w:rsid w:val="00272428"/>
    <w:rsid w:val="0027325A"/>
    <w:rsid w:val="0027376F"/>
    <w:rsid w:val="002737AF"/>
    <w:rsid w:val="00275A59"/>
    <w:rsid w:val="00277B58"/>
    <w:rsid w:val="002804FD"/>
    <w:rsid w:val="002812C6"/>
    <w:rsid w:val="002830F7"/>
    <w:rsid w:val="00284C6F"/>
    <w:rsid w:val="00284E44"/>
    <w:rsid w:val="00286922"/>
    <w:rsid w:val="00286F8B"/>
    <w:rsid w:val="00286FB7"/>
    <w:rsid w:val="0029175D"/>
    <w:rsid w:val="00291789"/>
    <w:rsid w:val="00291896"/>
    <w:rsid w:val="00292A76"/>
    <w:rsid w:val="00292D9D"/>
    <w:rsid w:val="002932CC"/>
    <w:rsid w:val="002937E7"/>
    <w:rsid w:val="00293AEF"/>
    <w:rsid w:val="00293DC7"/>
    <w:rsid w:val="00294225"/>
    <w:rsid w:val="00294E69"/>
    <w:rsid w:val="00295675"/>
    <w:rsid w:val="002959A8"/>
    <w:rsid w:val="0029653D"/>
    <w:rsid w:val="0029755A"/>
    <w:rsid w:val="00297D86"/>
    <w:rsid w:val="00297DEA"/>
    <w:rsid w:val="002A01D4"/>
    <w:rsid w:val="002A2612"/>
    <w:rsid w:val="002A33E2"/>
    <w:rsid w:val="002A3AC0"/>
    <w:rsid w:val="002A4003"/>
    <w:rsid w:val="002A436B"/>
    <w:rsid w:val="002A4725"/>
    <w:rsid w:val="002A4A6F"/>
    <w:rsid w:val="002A4AFA"/>
    <w:rsid w:val="002A4B81"/>
    <w:rsid w:val="002A656D"/>
    <w:rsid w:val="002A721E"/>
    <w:rsid w:val="002A77AB"/>
    <w:rsid w:val="002B01D3"/>
    <w:rsid w:val="002B152F"/>
    <w:rsid w:val="002B15ED"/>
    <w:rsid w:val="002B2651"/>
    <w:rsid w:val="002B277F"/>
    <w:rsid w:val="002B2837"/>
    <w:rsid w:val="002B35CD"/>
    <w:rsid w:val="002B36C6"/>
    <w:rsid w:val="002B3A27"/>
    <w:rsid w:val="002B6C69"/>
    <w:rsid w:val="002C0D89"/>
    <w:rsid w:val="002C15B4"/>
    <w:rsid w:val="002C1F26"/>
    <w:rsid w:val="002C3CE4"/>
    <w:rsid w:val="002C5443"/>
    <w:rsid w:val="002C5705"/>
    <w:rsid w:val="002C57A9"/>
    <w:rsid w:val="002C6C15"/>
    <w:rsid w:val="002C6F21"/>
    <w:rsid w:val="002C7E64"/>
    <w:rsid w:val="002D054F"/>
    <w:rsid w:val="002D1CEE"/>
    <w:rsid w:val="002D3C37"/>
    <w:rsid w:val="002D3DB9"/>
    <w:rsid w:val="002D4E0C"/>
    <w:rsid w:val="002D5100"/>
    <w:rsid w:val="002D5CA9"/>
    <w:rsid w:val="002D6422"/>
    <w:rsid w:val="002D7631"/>
    <w:rsid w:val="002D7732"/>
    <w:rsid w:val="002E086A"/>
    <w:rsid w:val="002E1AED"/>
    <w:rsid w:val="002E1C8F"/>
    <w:rsid w:val="002E22C4"/>
    <w:rsid w:val="002E24A4"/>
    <w:rsid w:val="002E2BF5"/>
    <w:rsid w:val="002E4916"/>
    <w:rsid w:val="002E4F94"/>
    <w:rsid w:val="002E5BA3"/>
    <w:rsid w:val="002F006D"/>
    <w:rsid w:val="002F0888"/>
    <w:rsid w:val="002F08BF"/>
    <w:rsid w:val="002F0A15"/>
    <w:rsid w:val="002F0A77"/>
    <w:rsid w:val="002F1A65"/>
    <w:rsid w:val="002F212F"/>
    <w:rsid w:val="002F418E"/>
    <w:rsid w:val="002F4333"/>
    <w:rsid w:val="002F464A"/>
    <w:rsid w:val="002F49D6"/>
    <w:rsid w:val="002F4FA5"/>
    <w:rsid w:val="002F57EE"/>
    <w:rsid w:val="002F5F83"/>
    <w:rsid w:val="002F687C"/>
    <w:rsid w:val="002F69CB"/>
    <w:rsid w:val="002F6D53"/>
    <w:rsid w:val="0030001E"/>
    <w:rsid w:val="003004F1"/>
    <w:rsid w:val="003006FF"/>
    <w:rsid w:val="00301E53"/>
    <w:rsid w:val="00302265"/>
    <w:rsid w:val="00303E3D"/>
    <w:rsid w:val="003044A6"/>
    <w:rsid w:val="00304DDE"/>
    <w:rsid w:val="00304F58"/>
    <w:rsid w:val="00305278"/>
    <w:rsid w:val="003071FB"/>
    <w:rsid w:val="00307BDA"/>
    <w:rsid w:val="00310013"/>
    <w:rsid w:val="003101B5"/>
    <w:rsid w:val="0031025A"/>
    <w:rsid w:val="00310D5A"/>
    <w:rsid w:val="003119A1"/>
    <w:rsid w:val="0031299A"/>
    <w:rsid w:val="0031378D"/>
    <w:rsid w:val="00314D45"/>
    <w:rsid w:val="00315017"/>
    <w:rsid w:val="003151C1"/>
    <w:rsid w:val="003153FD"/>
    <w:rsid w:val="003157A9"/>
    <w:rsid w:val="00315A77"/>
    <w:rsid w:val="003160E0"/>
    <w:rsid w:val="003170FF"/>
    <w:rsid w:val="00317D38"/>
    <w:rsid w:val="00317F64"/>
    <w:rsid w:val="00320496"/>
    <w:rsid w:val="0032068D"/>
    <w:rsid w:val="0032073C"/>
    <w:rsid w:val="00320C77"/>
    <w:rsid w:val="00321BFB"/>
    <w:rsid w:val="003227A4"/>
    <w:rsid w:val="00323ABA"/>
    <w:rsid w:val="00324D7D"/>
    <w:rsid w:val="00325193"/>
    <w:rsid w:val="003253B4"/>
    <w:rsid w:val="0032647A"/>
    <w:rsid w:val="00326C22"/>
    <w:rsid w:val="00330695"/>
    <w:rsid w:val="003309C0"/>
    <w:rsid w:val="00331758"/>
    <w:rsid w:val="003317BC"/>
    <w:rsid w:val="00331A11"/>
    <w:rsid w:val="00331F88"/>
    <w:rsid w:val="003322C1"/>
    <w:rsid w:val="003322CA"/>
    <w:rsid w:val="003323D1"/>
    <w:rsid w:val="00332475"/>
    <w:rsid w:val="00332B64"/>
    <w:rsid w:val="00332CB2"/>
    <w:rsid w:val="00334F7E"/>
    <w:rsid w:val="00335AAE"/>
    <w:rsid w:val="00337619"/>
    <w:rsid w:val="00343785"/>
    <w:rsid w:val="003449E8"/>
    <w:rsid w:val="00345429"/>
    <w:rsid w:val="0034589A"/>
    <w:rsid w:val="0034612B"/>
    <w:rsid w:val="003473E3"/>
    <w:rsid w:val="003475E9"/>
    <w:rsid w:val="00350488"/>
    <w:rsid w:val="0035271E"/>
    <w:rsid w:val="003534C4"/>
    <w:rsid w:val="00353853"/>
    <w:rsid w:val="00353C42"/>
    <w:rsid w:val="0035403B"/>
    <w:rsid w:val="00356278"/>
    <w:rsid w:val="0035659D"/>
    <w:rsid w:val="00356774"/>
    <w:rsid w:val="00357CDF"/>
    <w:rsid w:val="0036135C"/>
    <w:rsid w:val="0036188E"/>
    <w:rsid w:val="00363C2A"/>
    <w:rsid w:val="00364024"/>
    <w:rsid w:val="00364768"/>
    <w:rsid w:val="00364B47"/>
    <w:rsid w:val="00364F2D"/>
    <w:rsid w:val="0036795D"/>
    <w:rsid w:val="00370F4F"/>
    <w:rsid w:val="0037159A"/>
    <w:rsid w:val="003717F4"/>
    <w:rsid w:val="0037181B"/>
    <w:rsid w:val="003723C3"/>
    <w:rsid w:val="00372EF5"/>
    <w:rsid w:val="0037421E"/>
    <w:rsid w:val="00374378"/>
    <w:rsid w:val="003745F6"/>
    <w:rsid w:val="003752B7"/>
    <w:rsid w:val="0037615D"/>
    <w:rsid w:val="00376273"/>
    <w:rsid w:val="00377A9B"/>
    <w:rsid w:val="0038032A"/>
    <w:rsid w:val="0038334F"/>
    <w:rsid w:val="00383FA1"/>
    <w:rsid w:val="00384B44"/>
    <w:rsid w:val="003855C1"/>
    <w:rsid w:val="00385E29"/>
    <w:rsid w:val="0038698C"/>
    <w:rsid w:val="00390349"/>
    <w:rsid w:val="003905BF"/>
    <w:rsid w:val="00391A71"/>
    <w:rsid w:val="00391D08"/>
    <w:rsid w:val="00392295"/>
    <w:rsid w:val="00393E2F"/>
    <w:rsid w:val="00395C8A"/>
    <w:rsid w:val="00396678"/>
    <w:rsid w:val="003968D5"/>
    <w:rsid w:val="00396B10"/>
    <w:rsid w:val="00396CF4"/>
    <w:rsid w:val="0039712C"/>
    <w:rsid w:val="003A0C68"/>
    <w:rsid w:val="003A1279"/>
    <w:rsid w:val="003A1D20"/>
    <w:rsid w:val="003A23A5"/>
    <w:rsid w:val="003A2AC0"/>
    <w:rsid w:val="003A38BC"/>
    <w:rsid w:val="003A39EA"/>
    <w:rsid w:val="003A43BE"/>
    <w:rsid w:val="003A5FEF"/>
    <w:rsid w:val="003A684C"/>
    <w:rsid w:val="003A6B13"/>
    <w:rsid w:val="003A6F8C"/>
    <w:rsid w:val="003A71BD"/>
    <w:rsid w:val="003A7FCB"/>
    <w:rsid w:val="003B0C37"/>
    <w:rsid w:val="003B0C9F"/>
    <w:rsid w:val="003B15E3"/>
    <w:rsid w:val="003B36B1"/>
    <w:rsid w:val="003B46BD"/>
    <w:rsid w:val="003B49D4"/>
    <w:rsid w:val="003B54CF"/>
    <w:rsid w:val="003B5615"/>
    <w:rsid w:val="003B5AA6"/>
    <w:rsid w:val="003B67DE"/>
    <w:rsid w:val="003B702F"/>
    <w:rsid w:val="003B7578"/>
    <w:rsid w:val="003B7B37"/>
    <w:rsid w:val="003C0140"/>
    <w:rsid w:val="003C0841"/>
    <w:rsid w:val="003C094B"/>
    <w:rsid w:val="003C0D76"/>
    <w:rsid w:val="003C1318"/>
    <w:rsid w:val="003C1517"/>
    <w:rsid w:val="003C1B84"/>
    <w:rsid w:val="003C1F72"/>
    <w:rsid w:val="003C32DE"/>
    <w:rsid w:val="003C397D"/>
    <w:rsid w:val="003C3B26"/>
    <w:rsid w:val="003C40E6"/>
    <w:rsid w:val="003C50C8"/>
    <w:rsid w:val="003C6F11"/>
    <w:rsid w:val="003C7379"/>
    <w:rsid w:val="003C7994"/>
    <w:rsid w:val="003D0A7B"/>
    <w:rsid w:val="003D20EF"/>
    <w:rsid w:val="003D2525"/>
    <w:rsid w:val="003D2F4A"/>
    <w:rsid w:val="003D3196"/>
    <w:rsid w:val="003D38E2"/>
    <w:rsid w:val="003D422C"/>
    <w:rsid w:val="003D5636"/>
    <w:rsid w:val="003D6F83"/>
    <w:rsid w:val="003D70BD"/>
    <w:rsid w:val="003E0608"/>
    <w:rsid w:val="003E0857"/>
    <w:rsid w:val="003E164A"/>
    <w:rsid w:val="003E2D7D"/>
    <w:rsid w:val="003E3A11"/>
    <w:rsid w:val="003E41A4"/>
    <w:rsid w:val="003E44C2"/>
    <w:rsid w:val="003E5F49"/>
    <w:rsid w:val="003E6AEE"/>
    <w:rsid w:val="003E6E38"/>
    <w:rsid w:val="003E6FC4"/>
    <w:rsid w:val="003E7579"/>
    <w:rsid w:val="003F19B1"/>
    <w:rsid w:val="003F2C0C"/>
    <w:rsid w:val="003F3FCB"/>
    <w:rsid w:val="003F4B14"/>
    <w:rsid w:val="003F4C7E"/>
    <w:rsid w:val="003F5747"/>
    <w:rsid w:val="0040033B"/>
    <w:rsid w:val="00400739"/>
    <w:rsid w:val="004012D3"/>
    <w:rsid w:val="004019B4"/>
    <w:rsid w:val="0040213D"/>
    <w:rsid w:val="004022E2"/>
    <w:rsid w:val="00402C2A"/>
    <w:rsid w:val="00405963"/>
    <w:rsid w:val="00407EF3"/>
    <w:rsid w:val="0041037B"/>
    <w:rsid w:val="00411C30"/>
    <w:rsid w:val="004126E8"/>
    <w:rsid w:val="0041327E"/>
    <w:rsid w:val="00414758"/>
    <w:rsid w:val="00414838"/>
    <w:rsid w:val="004150DA"/>
    <w:rsid w:val="0041541B"/>
    <w:rsid w:val="00415782"/>
    <w:rsid w:val="00415E10"/>
    <w:rsid w:val="00415FFD"/>
    <w:rsid w:val="00416542"/>
    <w:rsid w:val="00417863"/>
    <w:rsid w:val="004206FB"/>
    <w:rsid w:val="00420A06"/>
    <w:rsid w:val="00420B6B"/>
    <w:rsid w:val="00421C0E"/>
    <w:rsid w:val="00423179"/>
    <w:rsid w:val="004239BA"/>
    <w:rsid w:val="00423B62"/>
    <w:rsid w:val="0042514E"/>
    <w:rsid w:val="00425C1B"/>
    <w:rsid w:val="00425C82"/>
    <w:rsid w:val="00425E8B"/>
    <w:rsid w:val="00426350"/>
    <w:rsid w:val="00426755"/>
    <w:rsid w:val="00427146"/>
    <w:rsid w:val="00430624"/>
    <w:rsid w:val="004319A4"/>
    <w:rsid w:val="00432723"/>
    <w:rsid w:val="00432925"/>
    <w:rsid w:val="00433CBE"/>
    <w:rsid w:val="00433D2F"/>
    <w:rsid w:val="00434940"/>
    <w:rsid w:val="00437286"/>
    <w:rsid w:val="004375CE"/>
    <w:rsid w:val="00437CA9"/>
    <w:rsid w:val="00437E7D"/>
    <w:rsid w:val="004408AB"/>
    <w:rsid w:val="00440E4B"/>
    <w:rsid w:val="004418BA"/>
    <w:rsid w:val="00442411"/>
    <w:rsid w:val="0044266B"/>
    <w:rsid w:val="00443B6E"/>
    <w:rsid w:val="00444355"/>
    <w:rsid w:val="0044440E"/>
    <w:rsid w:val="00444534"/>
    <w:rsid w:val="00444F98"/>
    <w:rsid w:val="0044738E"/>
    <w:rsid w:val="00451541"/>
    <w:rsid w:val="00451B31"/>
    <w:rsid w:val="00453092"/>
    <w:rsid w:val="00453184"/>
    <w:rsid w:val="00454392"/>
    <w:rsid w:val="00455846"/>
    <w:rsid w:val="00456987"/>
    <w:rsid w:val="0045730B"/>
    <w:rsid w:val="00457377"/>
    <w:rsid w:val="00457875"/>
    <w:rsid w:val="00457D2E"/>
    <w:rsid w:val="00457E39"/>
    <w:rsid w:val="0046021D"/>
    <w:rsid w:val="004616AB"/>
    <w:rsid w:val="00461DF0"/>
    <w:rsid w:val="00463B38"/>
    <w:rsid w:val="00463E92"/>
    <w:rsid w:val="00464EA0"/>
    <w:rsid w:val="00467118"/>
    <w:rsid w:val="004704D6"/>
    <w:rsid w:val="00470BA6"/>
    <w:rsid w:val="004718B0"/>
    <w:rsid w:val="0047212A"/>
    <w:rsid w:val="00472391"/>
    <w:rsid w:val="00472428"/>
    <w:rsid w:val="00472A2E"/>
    <w:rsid w:val="00472C7F"/>
    <w:rsid w:val="00473D10"/>
    <w:rsid w:val="00473F9F"/>
    <w:rsid w:val="00474105"/>
    <w:rsid w:val="00474594"/>
    <w:rsid w:val="00474ADE"/>
    <w:rsid w:val="00474E5F"/>
    <w:rsid w:val="00475E53"/>
    <w:rsid w:val="004763ED"/>
    <w:rsid w:val="0048067A"/>
    <w:rsid w:val="004806B5"/>
    <w:rsid w:val="00480958"/>
    <w:rsid w:val="0048142C"/>
    <w:rsid w:val="00482B0A"/>
    <w:rsid w:val="00482CAA"/>
    <w:rsid w:val="00483B33"/>
    <w:rsid w:val="00483C39"/>
    <w:rsid w:val="00483FAC"/>
    <w:rsid w:val="0048538A"/>
    <w:rsid w:val="00485DA3"/>
    <w:rsid w:val="00492230"/>
    <w:rsid w:val="00492F02"/>
    <w:rsid w:val="00493192"/>
    <w:rsid w:val="00494320"/>
    <w:rsid w:val="004950B7"/>
    <w:rsid w:val="00495909"/>
    <w:rsid w:val="00495989"/>
    <w:rsid w:val="0049613A"/>
    <w:rsid w:val="004967FF"/>
    <w:rsid w:val="00496804"/>
    <w:rsid w:val="004972FF"/>
    <w:rsid w:val="00497CAE"/>
    <w:rsid w:val="004A01B3"/>
    <w:rsid w:val="004A0D5B"/>
    <w:rsid w:val="004A1086"/>
    <w:rsid w:val="004A24C3"/>
    <w:rsid w:val="004A24CF"/>
    <w:rsid w:val="004A4397"/>
    <w:rsid w:val="004A4F8E"/>
    <w:rsid w:val="004A5041"/>
    <w:rsid w:val="004A5118"/>
    <w:rsid w:val="004A58CC"/>
    <w:rsid w:val="004A6CAC"/>
    <w:rsid w:val="004A7654"/>
    <w:rsid w:val="004A79C6"/>
    <w:rsid w:val="004A7BCE"/>
    <w:rsid w:val="004B0C39"/>
    <w:rsid w:val="004B0E45"/>
    <w:rsid w:val="004B1ABF"/>
    <w:rsid w:val="004B3AF4"/>
    <w:rsid w:val="004B3CEB"/>
    <w:rsid w:val="004B3EE3"/>
    <w:rsid w:val="004B4225"/>
    <w:rsid w:val="004B71CE"/>
    <w:rsid w:val="004C00FB"/>
    <w:rsid w:val="004C019B"/>
    <w:rsid w:val="004C3DD8"/>
    <w:rsid w:val="004C4542"/>
    <w:rsid w:val="004C4662"/>
    <w:rsid w:val="004C4983"/>
    <w:rsid w:val="004C4E66"/>
    <w:rsid w:val="004C5C70"/>
    <w:rsid w:val="004C6A54"/>
    <w:rsid w:val="004C7A83"/>
    <w:rsid w:val="004D0536"/>
    <w:rsid w:val="004D0A0E"/>
    <w:rsid w:val="004D0F5E"/>
    <w:rsid w:val="004D2912"/>
    <w:rsid w:val="004D5A96"/>
    <w:rsid w:val="004D6066"/>
    <w:rsid w:val="004D65F0"/>
    <w:rsid w:val="004D7962"/>
    <w:rsid w:val="004E1DB7"/>
    <w:rsid w:val="004E2808"/>
    <w:rsid w:val="004E3392"/>
    <w:rsid w:val="004E38E1"/>
    <w:rsid w:val="004E3A9D"/>
    <w:rsid w:val="004E3D45"/>
    <w:rsid w:val="004E3D65"/>
    <w:rsid w:val="004E41FE"/>
    <w:rsid w:val="004E53A6"/>
    <w:rsid w:val="004E56B0"/>
    <w:rsid w:val="004F113B"/>
    <w:rsid w:val="004F16BC"/>
    <w:rsid w:val="004F3019"/>
    <w:rsid w:val="004F3064"/>
    <w:rsid w:val="004F419B"/>
    <w:rsid w:val="004F5643"/>
    <w:rsid w:val="004F589A"/>
    <w:rsid w:val="004F596D"/>
    <w:rsid w:val="004F5C72"/>
    <w:rsid w:val="004F5CB3"/>
    <w:rsid w:val="004F7687"/>
    <w:rsid w:val="004F7BEC"/>
    <w:rsid w:val="004F7BFF"/>
    <w:rsid w:val="004F7F3D"/>
    <w:rsid w:val="00500165"/>
    <w:rsid w:val="00501FE6"/>
    <w:rsid w:val="0050233E"/>
    <w:rsid w:val="00502427"/>
    <w:rsid w:val="0050253D"/>
    <w:rsid w:val="00502722"/>
    <w:rsid w:val="00502B55"/>
    <w:rsid w:val="005034EC"/>
    <w:rsid w:val="00503DC4"/>
    <w:rsid w:val="00505B48"/>
    <w:rsid w:val="00505C22"/>
    <w:rsid w:val="00505D90"/>
    <w:rsid w:val="005065C0"/>
    <w:rsid w:val="00507E84"/>
    <w:rsid w:val="0051126D"/>
    <w:rsid w:val="0051209E"/>
    <w:rsid w:val="00514E21"/>
    <w:rsid w:val="00515749"/>
    <w:rsid w:val="00516935"/>
    <w:rsid w:val="0051729C"/>
    <w:rsid w:val="00517815"/>
    <w:rsid w:val="00520A47"/>
    <w:rsid w:val="00521467"/>
    <w:rsid w:val="005219B8"/>
    <w:rsid w:val="00521C79"/>
    <w:rsid w:val="0052245C"/>
    <w:rsid w:val="00523732"/>
    <w:rsid w:val="00524182"/>
    <w:rsid w:val="005248B4"/>
    <w:rsid w:val="00524C5F"/>
    <w:rsid w:val="00524DC0"/>
    <w:rsid w:val="00524F38"/>
    <w:rsid w:val="00525B02"/>
    <w:rsid w:val="00525F8D"/>
    <w:rsid w:val="00526496"/>
    <w:rsid w:val="005271FC"/>
    <w:rsid w:val="00527979"/>
    <w:rsid w:val="00530E43"/>
    <w:rsid w:val="00530F8D"/>
    <w:rsid w:val="00533438"/>
    <w:rsid w:val="0053379A"/>
    <w:rsid w:val="00533913"/>
    <w:rsid w:val="00534A8D"/>
    <w:rsid w:val="00535BD7"/>
    <w:rsid w:val="00535FC7"/>
    <w:rsid w:val="00536205"/>
    <w:rsid w:val="0053626F"/>
    <w:rsid w:val="005364B7"/>
    <w:rsid w:val="00540731"/>
    <w:rsid w:val="005412CE"/>
    <w:rsid w:val="00541BE8"/>
    <w:rsid w:val="005434EB"/>
    <w:rsid w:val="00543B6C"/>
    <w:rsid w:val="005453DE"/>
    <w:rsid w:val="00546B39"/>
    <w:rsid w:val="00547177"/>
    <w:rsid w:val="00547435"/>
    <w:rsid w:val="00552886"/>
    <w:rsid w:val="00552C86"/>
    <w:rsid w:val="00553F20"/>
    <w:rsid w:val="00553FCA"/>
    <w:rsid w:val="0055485C"/>
    <w:rsid w:val="00554D5E"/>
    <w:rsid w:val="00554DBF"/>
    <w:rsid w:val="00554F15"/>
    <w:rsid w:val="00555028"/>
    <w:rsid w:val="00556EDA"/>
    <w:rsid w:val="0055735C"/>
    <w:rsid w:val="005606BE"/>
    <w:rsid w:val="00561F11"/>
    <w:rsid w:val="00563B3D"/>
    <w:rsid w:val="00564C3A"/>
    <w:rsid w:val="00564F9A"/>
    <w:rsid w:val="00565561"/>
    <w:rsid w:val="00566063"/>
    <w:rsid w:val="00566E0D"/>
    <w:rsid w:val="00566EC8"/>
    <w:rsid w:val="005678BD"/>
    <w:rsid w:val="0057072B"/>
    <w:rsid w:val="00570A5D"/>
    <w:rsid w:val="00571244"/>
    <w:rsid w:val="0057137F"/>
    <w:rsid w:val="005713D9"/>
    <w:rsid w:val="00571C2B"/>
    <w:rsid w:val="0057267B"/>
    <w:rsid w:val="00572951"/>
    <w:rsid w:val="00573FE0"/>
    <w:rsid w:val="0057544C"/>
    <w:rsid w:val="00575CB5"/>
    <w:rsid w:val="0058021B"/>
    <w:rsid w:val="005815B9"/>
    <w:rsid w:val="00581B16"/>
    <w:rsid w:val="00582C3A"/>
    <w:rsid w:val="00582F55"/>
    <w:rsid w:val="00582FC3"/>
    <w:rsid w:val="0058310A"/>
    <w:rsid w:val="005833FA"/>
    <w:rsid w:val="00583DA9"/>
    <w:rsid w:val="005841C4"/>
    <w:rsid w:val="00586A3F"/>
    <w:rsid w:val="00587014"/>
    <w:rsid w:val="00592CC9"/>
    <w:rsid w:val="005932A4"/>
    <w:rsid w:val="00595BE0"/>
    <w:rsid w:val="00595E9F"/>
    <w:rsid w:val="005965A2"/>
    <w:rsid w:val="0059750A"/>
    <w:rsid w:val="005A14B4"/>
    <w:rsid w:val="005A1506"/>
    <w:rsid w:val="005A3471"/>
    <w:rsid w:val="005A3C10"/>
    <w:rsid w:val="005A5942"/>
    <w:rsid w:val="005A5C3B"/>
    <w:rsid w:val="005A5D1D"/>
    <w:rsid w:val="005A5FF8"/>
    <w:rsid w:val="005A6747"/>
    <w:rsid w:val="005A7379"/>
    <w:rsid w:val="005B0980"/>
    <w:rsid w:val="005B1AFC"/>
    <w:rsid w:val="005B285B"/>
    <w:rsid w:val="005B29DB"/>
    <w:rsid w:val="005B30BF"/>
    <w:rsid w:val="005B42BE"/>
    <w:rsid w:val="005B4452"/>
    <w:rsid w:val="005B588A"/>
    <w:rsid w:val="005B6148"/>
    <w:rsid w:val="005B734B"/>
    <w:rsid w:val="005B7B71"/>
    <w:rsid w:val="005C04CE"/>
    <w:rsid w:val="005C111A"/>
    <w:rsid w:val="005C211C"/>
    <w:rsid w:val="005C21B4"/>
    <w:rsid w:val="005C25D4"/>
    <w:rsid w:val="005C2A52"/>
    <w:rsid w:val="005C2CC5"/>
    <w:rsid w:val="005C32BB"/>
    <w:rsid w:val="005C35C4"/>
    <w:rsid w:val="005C378B"/>
    <w:rsid w:val="005C3CAB"/>
    <w:rsid w:val="005C42B2"/>
    <w:rsid w:val="005C49DA"/>
    <w:rsid w:val="005C5041"/>
    <w:rsid w:val="005C5255"/>
    <w:rsid w:val="005C5936"/>
    <w:rsid w:val="005C699C"/>
    <w:rsid w:val="005C7CBC"/>
    <w:rsid w:val="005C7CD7"/>
    <w:rsid w:val="005D055A"/>
    <w:rsid w:val="005D470C"/>
    <w:rsid w:val="005D47F9"/>
    <w:rsid w:val="005D4A29"/>
    <w:rsid w:val="005D4BD3"/>
    <w:rsid w:val="005D4D55"/>
    <w:rsid w:val="005D4E69"/>
    <w:rsid w:val="005D5DF8"/>
    <w:rsid w:val="005D64C7"/>
    <w:rsid w:val="005E0AE9"/>
    <w:rsid w:val="005E0DC4"/>
    <w:rsid w:val="005E22DF"/>
    <w:rsid w:val="005E7BFC"/>
    <w:rsid w:val="005F0D06"/>
    <w:rsid w:val="005F1FC7"/>
    <w:rsid w:val="005F2560"/>
    <w:rsid w:val="005F2A34"/>
    <w:rsid w:val="005F3D2D"/>
    <w:rsid w:val="005F4C5B"/>
    <w:rsid w:val="005F58C9"/>
    <w:rsid w:val="005F6CA2"/>
    <w:rsid w:val="005F703C"/>
    <w:rsid w:val="005F71B3"/>
    <w:rsid w:val="005F7232"/>
    <w:rsid w:val="005F7311"/>
    <w:rsid w:val="005F79B6"/>
    <w:rsid w:val="005F7EBD"/>
    <w:rsid w:val="00600835"/>
    <w:rsid w:val="00603520"/>
    <w:rsid w:val="00604101"/>
    <w:rsid w:val="006042A4"/>
    <w:rsid w:val="00604FCA"/>
    <w:rsid w:val="00605602"/>
    <w:rsid w:val="006062BA"/>
    <w:rsid w:val="00607739"/>
    <w:rsid w:val="00607843"/>
    <w:rsid w:val="0061165F"/>
    <w:rsid w:val="00614373"/>
    <w:rsid w:val="00615DC1"/>
    <w:rsid w:val="00616EA9"/>
    <w:rsid w:val="00620338"/>
    <w:rsid w:val="006207E1"/>
    <w:rsid w:val="00620F39"/>
    <w:rsid w:val="00621EBA"/>
    <w:rsid w:val="00621F19"/>
    <w:rsid w:val="0062440E"/>
    <w:rsid w:val="006248EF"/>
    <w:rsid w:val="0062518E"/>
    <w:rsid w:val="0062664B"/>
    <w:rsid w:val="006304C0"/>
    <w:rsid w:val="00630627"/>
    <w:rsid w:val="00630EB9"/>
    <w:rsid w:val="006322DB"/>
    <w:rsid w:val="00632D94"/>
    <w:rsid w:val="00634068"/>
    <w:rsid w:val="006340F0"/>
    <w:rsid w:val="006344FC"/>
    <w:rsid w:val="006368F7"/>
    <w:rsid w:val="00636D73"/>
    <w:rsid w:val="00636FBC"/>
    <w:rsid w:val="0063718A"/>
    <w:rsid w:val="00637C23"/>
    <w:rsid w:val="00637E92"/>
    <w:rsid w:val="006414A6"/>
    <w:rsid w:val="006416F3"/>
    <w:rsid w:val="00642B5D"/>
    <w:rsid w:val="00644470"/>
    <w:rsid w:val="00645997"/>
    <w:rsid w:val="00645FFD"/>
    <w:rsid w:val="00650726"/>
    <w:rsid w:val="0065125A"/>
    <w:rsid w:val="006517AA"/>
    <w:rsid w:val="006522F9"/>
    <w:rsid w:val="00654AD3"/>
    <w:rsid w:val="00656244"/>
    <w:rsid w:val="00661AD2"/>
    <w:rsid w:val="00661DB3"/>
    <w:rsid w:val="00663229"/>
    <w:rsid w:val="00663E35"/>
    <w:rsid w:val="00664A8F"/>
    <w:rsid w:val="006654DF"/>
    <w:rsid w:val="00666EB0"/>
    <w:rsid w:val="00667B3A"/>
    <w:rsid w:val="00667EA3"/>
    <w:rsid w:val="006705CA"/>
    <w:rsid w:val="00670B67"/>
    <w:rsid w:val="00671275"/>
    <w:rsid w:val="00673940"/>
    <w:rsid w:val="00674465"/>
    <w:rsid w:val="00674E13"/>
    <w:rsid w:val="00675BE7"/>
    <w:rsid w:val="006767DE"/>
    <w:rsid w:val="00676C25"/>
    <w:rsid w:val="00676CB1"/>
    <w:rsid w:val="00677179"/>
    <w:rsid w:val="006773C0"/>
    <w:rsid w:val="00680746"/>
    <w:rsid w:val="00684477"/>
    <w:rsid w:val="0068520C"/>
    <w:rsid w:val="00690640"/>
    <w:rsid w:val="00690793"/>
    <w:rsid w:val="00691584"/>
    <w:rsid w:val="00692057"/>
    <w:rsid w:val="006927BF"/>
    <w:rsid w:val="00693CCB"/>
    <w:rsid w:val="006943E5"/>
    <w:rsid w:val="00694519"/>
    <w:rsid w:val="006958DB"/>
    <w:rsid w:val="006960A6"/>
    <w:rsid w:val="006A027A"/>
    <w:rsid w:val="006A11F5"/>
    <w:rsid w:val="006A2426"/>
    <w:rsid w:val="006A2740"/>
    <w:rsid w:val="006A2B16"/>
    <w:rsid w:val="006A4521"/>
    <w:rsid w:val="006A65D6"/>
    <w:rsid w:val="006A7652"/>
    <w:rsid w:val="006B02B0"/>
    <w:rsid w:val="006B16CD"/>
    <w:rsid w:val="006B1A88"/>
    <w:rsid w:val="006B239B"/>
    <w:rsid w:val="006B257F"/>
    <w:rsid w:val="006B29E5"/>
    <w:rsid w:val="006B29F9"/>
    <w:rsid w:val="006B3CF3"/>
    <w:rsid w:val="006B5C34"/>
    <w:rsid w:val="006B5DDE"/>
    <w:rsid w:val="006B656C"/>
    <w:rsid w:val="006B6676"/>
    <w:rsid w:val="006B73B0"/>
    <w:rsid w:val="006B78E0"/>
    <w:rsid w:val="006B7EDF"/>
    <w:rsid w:val="006C0162"/>
    <w:rsid w:val="006C033A"/>
    <w:rsid w:val="006C065C"/>
    <w:rsid w:val="006C09E7"/>
    <w:rsid w:val="006C1212"/>
    <w:rsid w:val="006C5C80"/>
    <w:rsid w:val="006C5D3F"/>
    <w:rsid w:val="006C6972"/>
    <w:rsid w:val="006C70F2"/>
    <w:rsid w:val="006D1F52"/>
    <w:rsid w:val="006D2DBD"/>
    <w:rsid w:val="006D3156"/>
    <w:rsid w:val="006D38D9"/>
    <w:rsid w:val="006D672A"/>
    <w:rsid w:val="006D71B3"/>
    <w:rsid w:val="006E031D"/>
    <w:rsid w:val="006E1578"/>
    <w:rsid w:val="006E1E92"/>
    <w:rsid w:val="006E41E3"/>
    <w:rsid w:val="006E50FF"/>
    <w:rsid w:val="006E567B"/>
    <w:rsid w:val="006E58DE"/>
    <w:rsid w:val="006E64B1"/>
    <w:rsid w:val="006E7580"/>
    <w:rsid w:val="006F067E"/>
    <w:rsid w:val="006F079D"/>
    <w:rsid w:val="006F0D10"/>
    <w:rsid w:val="006F18AB"/>
    <w:rsid w:val="006F3233"/>
    <w:rsid w:val="006F4219"/>
    <w:rsid w:val="006F4C9C"/>
    <w:rsid w:val="006F6E18"/>
    <w:rsid w:val="006F702B"/>
    <w:rsid w:val="006F7A4B"/>
    <w:rsid w:val="006F7F40"/>
    <w:rsid w:val="007016E9"/>
    <w:rsid w:val="00701C2D"/>
    <w:rsid w:val="00701EC8"/>
    <w:rsid w:val="007026E3"/>
    <w:rsid w:val="00703F60"/>
    <w:rsid w:val="00705209"/>
    <w:rsid w:val="007052F2"/>
    <w:rsid w:val="007056D7"/>
    <w:rsid w:val="00705908"/>
    <w:rsid w:val="0070647C"/>
    <w:rsid w:val="0070701F"/>
    <w:rsid w:val="00707FA1"/>
    <w:rsid w:val="0071087D"/>
    <w:rsid w:val="00710F12"/>
    <w:rsid w:val="0071138E"/>
    <w:rsid w:val="0071187C"/>
    <w:rsid w:val="00712830"/>
    <w:rsid w:val="00713EAB"/>
    <w:rsid w:val="00715475"/>
    <w:rsid w:val="007154BA"/>
    <w:rsid w:val="007160DC"/>
    <w:rsid w:val="00716127"/>
    <w:rsid w:val="0071734A"/>
    <w:rsid w:val="00717532"/>
    <w:rsid w:val="00717B42"/>
    <w:rsid w:val="007201EA"/>
    <w:rsid w:val="00720854"/>
    <w:rsid w:val="0072201B"/>
    <w:rsid w:val="00722187"/>
    <w:rsid w:val="0072307F"/>
    <w:rsid w:val="00723863"/>
    <w:rsid w:val="00726075"/>
    <w:rsid w:val="007263F2"/>
    <w:rsid w:val="00726BC1"/>
    <w:rsid w:val="0072747D"/>
    <w:rsid w:val="00730B34"/>
    <w:rsid w:val="00732D6F"/>
    <w:rsid w:val="00733B74"/>
    <w:rsid w:val="00733E92"/>
    <w:rsid w:val="00734A87"/>
    <w:rsid w:val="00734C79"/>
    <w:rsid w:val="007362B3"/>
    <w:rsid w:val="00737F38"/>
    <w:rsid w:val="00741C48"/>
    <w:rsid w:val="00742FFA"/>
    <w:rsid w:val="00743D55"/>
    <w:rsid w:val="00744CE8"/>
    <w:rsid w:val="00745570"/>
    <w:rsid w:val="007455F7"/>
    <w:rsid w:val="007458DB"/>
    <w:rsid w:val="00746152"/>
    <w:rsid w:val="00746371"/>
    <w:rsid w:val="0074661F"/>
    <w:rsid w:val="007466E8"/>
    <w:rsid w:val="00747561"/>
    <w:rsid w:val="007478A2"/>
    <w:rsid w:val="007517C0"/>
    <w:rsid w:val="00751938"/>
    <w:rsid w:val="00753BAA"/>
    <w:rsid w:val="00754048"/>
    <w:rsid w:val="0075476B"/>
    <w:rsid w:val="00754A83"/>
    <w:rsid w:val="00755971"/>
    <w:rsid w:val="00755D99"/>
    <w:rsid w:val="007568F3"/>
    <w:rsid w:val="00756C70"/>
    <w:rsid w:val="0076177D"/>
    <w:rsid w:val="0076189F"/>
    <w:rsid w:val="00762EB0"/>
    <w:rsid w:val="007638D1"/>
    <w:rsid w:val="00763B8B"/>
    <w:rsid w:val="007648AB"/>
    <w:rsid w:val="00764DFC"/>
    <w:rsid w:val="0076602C"/>
    <w:rsid w:val="00766F75"/>
    <w:rsid w:val="007677F0"/>
    <w:rsid w:val="00767E34"/>
    <w:rsid w:val="00770C99"/>
    <w:rsid w:val="00771EB8"/>
    <w:rsid w:val="00772C0C"/>
    <w:rsid w:val="00774576"/>
    <w:rsid w:val="00774847"/>
    <w:rsid w:val="007750E8"/>
    <w:rsid w:val="0077696B"/>
    <w:rsid w:val="00776993"/>
    <w:rsid w:val="00776C95"/>
    <w:rsid w:val="00777D9C"/>
    <w:rsid w:val="007815A1"/>
    <w:rsid w:val="007819F5"/>
    <w:rsid w:val="007835C4"/>
    <w:rsid w:val="0078457B"/>
    <w:rsid w:val="007846E3"/>
    <w:rsid w:val="00784B86"/>
    <w:rsid w:val="00784F00"/>
    <w:rsid w:val="00785E3D"/>
    <w:rsid w:val="00787DE5"/>
    <w:rsid w:val="00791E4F"/>
    <w:rsid w:val="00792268"/>
    <w:rsid w:val="0079242B"/>
    <w:rsid w:val="007934CB"/>
    <w:rsid w:val="00793E2E"/>
    <w:rsid w:val="00793F67"/>
    <w:rsid w:val="00794188"/>
    <w:rsid w:val="00795225"/>
    <w:rsid w:val="007A0963"/>
    <w:rsid w:val="007A0FF6"/>
    <w:rsid w:val="007A1005"/>
    <w:rsid w:val="007A27D8"/>
    <w:rsid w:val="007A3843"/>
    <w:rsid w:val="007A4600"/>
    <w:rsid w:val="007A51A0"/>
    <w:rsid w:val="007A59DD"/>
    <w:rsid w:val="007A6986"/>
    <w:rsid w:val="007A6B62"/>
    <w:rsid w:val="007B177B"/>
    <w:rsid w:val="007B1CA2"/>
    <w:rsid w:val="007B23E3"/>
    <w:rsid w:val="007B2DEA"/>
    <w:rsid w:val="007B5562"/>
    <w:rsid w:val="007B5D50"/>
    <w:rsid w:val="007B6183"/>
    <w:rsid w:val="007B68E4"/>
    <w:rsid w:val="007B7F2E"/>
    <w:rsid w:val="007C0585"/>
    <w:rsid w:val="007C0B17"/>
    <w:rsid w:val="007C1A1E"/>
    <w:rsid w:val="007C227C"/>
    <w:rsid w:val="007C46C1"/>
    <w:rsid w:val="007C5441"/>
    <w:rsid w:val="007C5DB6"/>
    <w:rsid w:val="007C6074"/>
    <w:rsid w:val="007C657A"/>
    <w:rsid w:val="007D063C"/>
    <w:rsid w:val="007D2414"/>
    <w:rsid w:val="007D25AF"/>
    <w:rsid w:val="007D36F4"/>
    <w:rsid w:val="007D4445"/>
    <w:rsid w:val="007D4487"/>
    <w:rsid w:val="007D50E2"/>
    <w:rsid w:val="007D66D3"/>
    <w:rsid w:val="007D6B6D"/>
    <w:rsid w:val="007E0502"/>
    <w:rsid w:val="007E0935"/>
    <w:rsid w:val="007E0F28"/>
    <w:rsid w:val="007E173E"/>
    <w:rsid w:val="007E191F"/>
    <w:rsid w:val="007E1BCA"/>
    <w:rsid w:val="007E2F66"/>
    <w:rsid w:val="007E3328"/>
    <w:rsid w:val="007E3DDA"/>
    <w:rsid w:val="007E3DFC"/>
    <w:rsid w:val="007E4298"/>
    <w:rsid w:val="007E4307"/>
    <w:rsid w:val="007E46FD"/>
    <w:rsid w:val="007E4DB4"/>
    <w:rsid w:val="007E5ED4"/>
    <w:rsid w:val="007E6CA9"/>
    <w:rsid w:val="007E72A6"/>
    <w:rsid w:val="007E7886"/>
    <w:rsid w:val="007F0486"/>
    <w:rsid w:val="007F1328"/>
    <w:rsid w:val="007F21DF"/>
    <w:rsid w:val="007F22CE"/>
    <w:rsid w:val="007F2835"/>
    <w:rsid w:val="007F309D"/>
    <w:rsid w:val="007F3DC7"/>
    <w:rsid w:val="007F5D19"/>
    <w:rsid w:val="007F6011"/>
    <w:rsid w:val="007F665B"/>
    <w:rsid w:val="007F6A00"/>
    <w:rsid w:val="007F6D51"/>
    <w:rsid w:val="007F7093"/>
    <w:rsid w:val="007F745E"/>
    <w:rsid w:val="00800091"/>
    <w:rsid w:val="008005DE"/>
    <w:rsid w:val="008013F1"/>
    <w:rsid w:val="008036DB"/>
    <w:rsid w:val="00803C38"/>
    <w:rsid w:val="00803EDE"/>
    <w:rsid w:val="00804C0C"/>
    <w:rsid w:val="008059FC"/>
    <w:rsid w:val="00807296"/>
    <w:rsid w:val="00807814"/>
    <w:rsid w:val="00807D04"/>
    <w:rsid w:val="00807F2A"/>
    <w:rsid w:val="008100BF"/>
    <w:rsid w:val="00810130"/>
    <w:rsid w:val="00810DB7"/>
    <w:rsid w:val="00811494"/>
    <w:rsid w:val="00812CC2"/>
    <w:rsid w:val="008132AF"/>
    <w:rsid w:val="008143F9"/>
    <w:rsid w:val="00814E03"/>
    <w:rsid w:val="00815246"/>
    <w:rsid w:val="00815CDD"/>
    <w:rsid w:val="00816FDF"/>
    <w:rsid w:val="0082079F"/>
    <w:rsid w:val="00820D63"/>
    <w:rsid w:val="008218C0"/>
    <w:rsid w:val="0082191A"/>
    <w:rsid w:val="00821A87"/>
    <w:rsid w:val="0082218B"/>
    <w:rsid w:val="0082226D"/>
    <w:rsid w:val="00822AEC"/>
    <w:rsid w:val="008230B4"/>
    <w:rsid w:val="0082387B"/>
    <w:rsid w:val="0082467B"/>
    <w:rsid w:val="00824A86"/>
    <w:rsid w:val="0082604B"/>
    <w:rsid w:val="0083041A"/>
    <w:rsid w:val="00831563"/>
    <w:rsid w:val="00832196"/>
    <w:rsid w:val="008321B1"/>
    <w:rsid w:val="0083353D"/>
    <w:rsid w:val="00835A24"/>
    <w:rsid w:val="00835E9B"/>
    <w:rsid w:val="00840226"/>
    <w:rsid w:val="00840E07"/>
    <w:rsid w:val="0084113E"/>
    <w:rsid w:val="008417EF"/>
    <w:rsid w:val="008422E1"/>
    <w:rsid w:val="00842744"/>
    <w:rsid w:val="008427BA"/>
    <w:rsid w:val="00842AC3"/>
    <w:rsid w:val="008440F0"/>
    <w:rsid w:val="0084465C"/>
    <w:rsid w:val="0084498D"/>
    <w:rsid w:val="00844EC6"/>
    <w:rsid w:val="00845C7A"/>
    <w:rsid w:val="00847724"/>
    <w:rsid w:val="008477C7"/>
    <w:rsid w:val="00847841"/>
    <w:rsid w:val="008503D6"/>
    <w:rsid w:val="00850F89"/>
    <w:rsid w:val="00851460"/>
    <w:rsid w:val="008538C0"/>
    <w:rsid w:val="0085397D"/>
    <w:rsid w:val="00855810"/>
    <w:rsid w:val="00856B71"/>
    <w:rsid w:val="00861DE5"/>
    <w:rsid w:val="00862193"/>
    <w:rsid w:val="008626F9"/>
    <w:rsid w:val="008627CE"/>
    <w:rsid w:val="00862C0A"/>
    <w:rsid w:val="00864316"/>
    <w:rsid w:val="00864CB3"/>
    <w:rsid w:val="0086553B"/>
    <w:rsid w:val="00865FA7"/>
    <w:rsid w:val="00870A13"/>
    <w:rsid w:val="00870B7A"/>
    <w:rsid w:val="00872DF8"/>
    <w:rsid w:val="0087442D"/>
    <w:rsid w:val="00874A8D"/>
    <w:rsid w:val="00877BC9"/>
    <w:rsid w:val="00877D79"/>
    <w:rsid w:val="00877FD3"/>
    <w:rsid w:val="00880F6F"/>
    <w:rsid w:val="008815D6"/>
    <w:rsid w:val="00881A7B"/>
    <w:rsid w:val="00882FDF"/>
    <w:rsid w:val="008830FD"/>
    <w:rsid w:val="0088372B"/>
    <w:rsid w:val="00884770"/>
    <w:rsid w:val="008858FF"/>
    <w:rsid w:val="008863E9"/>
    <w:rsid w:val="00890346"/>
    <w:rsid w:val="00890968"/>
    <w:rsid w:val="00890A52"/>
    <w:rsid w:val="00890BA8"/>
    <w:rsid w:val="00890E12"/>
    <w:rsid w:val="00892091"/>
    <w:rsid w:val="0089330F"/>
    <w:rsid w:val="008936FD"/>
    <w:rsid w:val="00894831"/>
    <w:rsid w:val="0089594D"/>
    <w:rsid w:val="00896369"/>
    <w:rsid w:val="00896A36"/>
    <w:rsid w:val="008974E4"/>
    <w:rsid w:val="008A0030"/>
    <w:rsid w:val="008A185B"/>
    <w:rsid w:val="008A1F59"/>
    <w:rsid w:val="008A25D5"/>
    <w:rsid w:val="008A3E53"/>
    <w:rsid w:val="008A5399"/>
    <w:rsid w:val="008A76BA"/>
    <w:rsid w:val="008A775A"/>
    <w:rsid w:val="008B0C30"/>
    <w:rsid w:val="008B21F5"/>
    <w:rsid w:val="008B234B"/>
    <w:rsid w:val="008B2858"/>
    <w:rsid w:val="008B2C23"/>
    <w:rsid w:val="008B3B11"/>
    <w:rsid w:val="008B61D6"/>
    <w:rsid w:val="008B6858"/>
    <w:rsid w:val="008B6A4B"/>
    <w:rsid w:val="008B7734"/>
    <w:rsid w:val="008C00C3"/>
    <w:rsid w:val="008C0577"/>
    <w:rsid w:val="008C0996"/>
    <w:rsid w:val="008C17AB"/>
    <w:rsid w:val="008C1ADE"/>
    <w:rsid w:val="008C29C3"/>
    <w:rsid w:val="008C29EE"/>
    <w:rsid w:val="008C3A7A"/>
    <w:rsid w:val="008C3C2D"/>
    <w:rsid w:val="008C3C53"/>
    <w:rsid w:val="008C4EE5"/>
    <w:rsid w:val="008C5658"/>
    <w:rsid w:val="008C5C3A"/>
    <w:rsid w:val="008C6196"/>
    <w:rsid w:val="008C65FA"/>
    <w:rsid w:val="008C68D9"/>
    <w:rsid w:val="008C6A50"/>
    <w:rsid w:val="008C7300"/>
    <w:rsid w:val="008C7B4B"/>
    <w:rsid w:val="008D06AE"/>
    <w:rsid w:val="008D1980"/>
    <w:rsid w:val="008D1E6E"/>
    <w:rsid w:val="008D2353"/>
    <w:rsid w:val="008D28FB"/>
    <w:rsid w:val="008D2900"/>
    <w:rsid w:val="008D3425"/>
    <w:rsid w:val="008D44D9"/>
    <w:rsid w:val="008D52F4"/>
    <w:rsid w:val="008D63FF"/>
    <w:rsid w:val="008D718E"/>
    <w:rsid w:val="008D7A5F"/>
    <w:rsid w:val="008E08D6"/>
    <w:rsid w:val="008E0994"/>
    <w:rsid w:val="008E0E12"/>
    <w:rsid w:val="008E1805"/>
    <w:rsid w:val="008E265D"/>
    <w:rsid w:val="008E33C8"/>
    <w:rsid w:val="008E3799"/>
    <w:rsid w:val="008E3F84"/>
    <w:rsid w:val="008E40B3"/>
    <w:rsid w:val="008E504E"/>
    <w:rsid w:val="008E55F5"/>
    <w:rsid w:val="008E635E"/>
    <w:rsid w:val="008E799C"/>
    <w:rsid w:val="008E7F6C"/>
    <w:rsid w:val="008F0112"/>
    <w:rsid w:val="008F16D9"/>
    <w:rsid w:val="008F2F8C"/>
    <w:rsid w:val="008F4786"/>
    <w:rsid w:val="008F5775"/>
    <w:rsid w:val="008F596C"/>
    <w:rsid w:val="008F5F98"/>
    <w:rsid w:val="008F6F2E"/>
    <w:rsid w:val="008F7B90"/>
    <w:rsid w:val="008F7C82"/>
    <w:rsid w:val="00901CE8"/>
    <w:rsid w:val="00903779"/>
    <w:rsid w:val="0090406B"/>
    <w:rsid w:val="00904158"/>
    <w:rsid w:val="009047AE"/>
    <w:rsid w:val="00904DF7"/>
    <w:rsid w:val="00905AF9"/>
    <w:rsid w:val="00905BF2"/>
    <w:rsid w:val="00905ED0"/>
    <w:rsid w:val="00906336"/>
    <w:rsid w:val="009072AB"/>
    <w:rsid w:val="009078DE"/>
    <w:rsid w:val="009109E2"/>
    <w:rsid w:val="009123BC"/>
    <w:rsid w:val="009124B2"/>
    <w:rsid w:val="00912967"/>
    <w:rsid w:val="00912A07"/>
    <w:rsid w:val="00913214"/>
    <w:rsid w:val="00914063"/>
    <w:rsid w:val="009144DA"/>
    <w:rsid w:val="00914834"/>
    <w:rsid w:val="00915243"/>
    <w:rsid w:val="00915B98"/>
    <w:rsid w:val="00915C12"/>
    <w:rsid w:val="00916C47"/>
    <w:rsid w:val="00916CEB"/>
    <w:rsid w:val="00917987"/>
    <w:rsid w:val="009179D4"/>
    <w:rsid w:val="00921575"/>
    <w:rsid w:val="009216D6"/>
    <w:rsid w:val="0092348B"/>
    <w:rsid w:val="009238B9"/>
    <w:rsid w:val="00923D69"/>
    <w:rsid w:val="00924B1A"/>
    <w:rsid w:val="00925A06"/>
    <w:rsid w:val="00926903"/>
    <w:rsid w:val="009278FB"/>
    <w:rsid w:val="00931054"/>
    <w:rsid w:val="009313EE"/>
    <w:rsid w:val="009316B0"/>
    <w:rsid w:val="009318F7"/>
    <w:rsid w:val="009336B4"/>
    <w:rsid w:val="00933A71"/>
    <w:rsid w:val="00934633"/>
    <w:rsid w:val="009356D3"/>
    <w:rsid w:val="00936F14"/>
    <w:rsid w:val="00941495"/>
    <w:rsid w:val="00941B0D"/>
    <w:rsid w:val="009427C4"/>
    <w:rsid w:val="00942DC1"/>
    <w:rsid w:val="00943397"/>
    <w:rsid w:val="00943620"/>
    <w:rsid w:val="0094442D"/>
    <w:rsid w:val="00947642"/>
    <w:rsid w:val="00947B9B"/>
    <w:rsid w:val="009500E2"/>
    <w:rsid w:val="009503D5"/>
    <w:rsid w:val="0095146E"/>
    <w:rsid w:val="00951B9A"/>
    <w:rsid w:val="009523A6"/>
    <w:rsid w:val="00952B31"/>
    <w:rsid w:val="00952E63"/>
    <w:rsid w:val="00953651"/>
    <w:rsid w:val="00953952"/>
    <w:rsid w:val="009543EA"/>
    <w:rsid w:val="00954433"/>
    <w:rsid w:val="0095611F"/>
    <w:rsid w:val="00956193"/>
    <w:rsid w:val="009563EA"/>
    <w:rsid w:val="009565F2"/>
    <w:rsid w:val="009579F9"/>
    <w:rsid w:val="009623FC"/>
    <w:rsid w:val="00963299"/>
    <w:rsid w:val="00963DB4"/>
    <w:rsid w:val="009646F2"/>
    <w:rsid w:val="00964960"/>
    <w:rsid w:val="009663B1"/>
    <w:rsid w:val="00971A94"/>
    <w:rsid w:val="00971D69"/>
    <w:rsid w:val="00972672"/>
    <w:rsid w:val="00973761"/>
    <w:rsid w:val="009749F4"/>
    <w:rsid w:val="00974EC0"/>
    <w:rsid w:val="009756B2"/>
    <w:rsid w:val="00976833"/>
    <w:rsid w:val="00976E90"/>
    <w:rsid w:val="00977FB1"/>
    <w:rsid w:val="00980F31"/>
    <w:rsid w:val="009814D8"/>
    <w:rsid w:val="00982CFE"/>
    <w:rsid w:val="00983B0E"/>
    <w:rsid w:val="0098408E"/>
    <w:rsid w:val="0098416D"/>
    <w:rsid w:val="009856A3"/>
    <w:rsid w:val="00985AE6"/>
    <w:rsid w:val="0098694F"/>
    <w:rsid w:val="009909E7"/>
    <w:rsid w:val="00990CC8"/>
    <w:rsid w:val="00991532"/>
    <w:rsid w:val="00991611"/>
    <w:rsid w:val="0099194E"/>
    <w:rsid w:val="00993110"/>
    <w:rsid w:val="00993A3C"/>
    <w:rsid w:val="00993E64"/>
    <w:rsid w:val="00994482"/>
    <w:rsid w:val="0099454F"/>
    <w:rsid w:val="00994EF8"/>
    <w:rsid w:val="0099668F"/>
    <w:rsid w:val="00996D4A"/>
    <w:rsid w:val="00997467"/>
    <w:rsid w:val="009A1537"/>
    <w:rsid w:val="009A1B7F"/>
    <w:rsid w:val="009A23EA"/>
    <w:rsid w:val="009A25F3"/>
    <w:rsid w:val="009A48A9"/>
    <w:rsid w:val="009A5358"/>
    <w:rsid w:val="009A66A2"/>
    <w:rsid w:val="009A6CAC"/>
    <w:rsid w:val="009B07BA"/>
    <w:rsid w:val="009B1848"/>
    <w:rsid w:val="009B1D7B"/>
    <w:rsid w:val="009B25B0"/>
    <w:rsid w:val="009B4011"/>
    <w:rsid w:val="009B4C20"/>
    <w:rsid w:val="009B52DE"/>
    <w:rsid w:val="009B6368"/>
    <w:rsid w:val="009B677B"/>
    <w:rsid w:val="009B6989"/>
    <w:rsid w:val="009B7914"/>
    <w:rsid w:val="009C006C"/>
    <w:rsid w:val="009C14E6"/>
    <w:rsid w:val="009C1E9E"/>
    <w:rsid w:val="009C40CC"/>
    <w:rsid w:val="009C432A"/>
    <w:rsid w:val="009C451A"/>
    <w:rsid w:val="009C45FA"/>
    <w:rsid w:val="009C4B32"/>
    <w:rsid w:val="009C5616"/>
    <w:rsid w:val="009C64D7"/>
    <w:rsid w:val="009C6AA8"/>
    <w:rsid w:val="009C70EF"/>
    <w:rsid w:val="009C72D9"/>
    <w:rsid w:val="009D0EE3"/>
    <w:rsid w:val="009D1F82"/>
    <w:rsid w:val="009D24CB"/>
    <w:rsid w:val="009D2B17"/>
    <w:rsid w:val="009D38C3"/>
    <w:rsid w:val="009D57C8"/>
    <w:rsid w:val="009D57CD"/>
    <w:rsid w:val="009D6FBF"/>
    <w:rsid w:val="009D7E6B"/>
    <w:rsid w:val="009E0657"/>
    <w:rsid w:val="009E0FBD"/>
    <w:rsid w:val="009E22E5"/>
    <w:rsid w:val="009E26F8"/>
    <w:rsid w:val="009E2C40"/>
    <w:rsid w:val="009E40B2"/>
    <w:rsid w:val="009E45E7"/>
    <w:rsid w:val="009E50E3"/>
    <w:rsid w:val="009E55E7"/>
    <w:rsid w:val="009E5D23"/>
    <w:rsid w:val="009E7458"/>
    <w:rsid w:val="009E7CCB"/>
    <w:rsid w:val="009E7D24"/>
    <w:rsid w:val="009E7FF8"/>
    <w:rsid w:val="009F0B7B"/>
    <w:rsid w:val="009F1224"/>
    <w:rsid w:val="009F1364"/>
    <w:rsid w:val="009F1CCC"/>
    <w:rsid w:val="009F25AC"/>
    <w:rsid w:val="009F280E"/>
    <w:rsid w:val="009F437F"/>
    <w:rsid w:val="009F5B17"/>
    <w:rsid w:val="009F6F0A"/>
    <w:rsid w:val="009F6FC1"/>
    <w:rsid w:val="00A010B2"/>
    <w:rsid w:val="00A01CAF"/>
    <w:rsid w:val="00A032B7"/>
    <w:rsid w:val="00A04032"/>
    <w:rsid w:val="00A06205"/>
    <w:rsid w:val="00A06D1F"/>
    <w:rsid w:val="00A07768"/>
    <w:rsid w:val="00A07A92"/>
    <w:rsid w:val="00A07D57"/>
    <w:rsid w:val="00A07F52"/>
    <w:rsid w:val="00A106B3"/>
    <w:rsid w:val="00A114F4"/>
    <w:rsid w:val="00A1384A"/>
    <w:rsid w:val="00A13F83"/>
    <w:rsid w:val="00A1445C"/>
    <w:rsid w:val="00A153D1"/>
    <w:rsid w:val="00A16190"/>
    <w:rsid w:val="00A17039"/>
    <w:rsid w:val="00A17922"/>
    <w:rsid w:val="00A202C5"/>
    <w:rsid w:val="00A20616"/>
    <w:rsid w:val="00A22901"/>
    <w:rsid w:val="00A22DFD"/>
    <w:rsid w:val="00A23A71"/>
    <w:rsid w:val="00A250AF"/>
    <w:rsid w:val="00A2537C"/>
    <w:rsid w:val="00A25BEC"/>
    <w:rsid w:val="00A267E2"/>
    <w:rsid w:val="00A26B52"/>
    <w:rsid w:val="00A30F8F"/>
    <w:rsid w:val="00A31156"/>
    <w:rsid w:val="00A312A5"/>
    <w:rsid w:val="00A3187E"/>
    <w:rsid w:val="00A31DE1"/>
    <w:rsid w:val="00A3255E"/>
    <w:rsid w:val="00A33491"/>
    <w:rsid w:val="00A33837"/>
    <w:rsid w:val="00A33A59"/>
    <w:rsid w:val="00A34F15"/>
    <w:rsid w:val="00A35BBC"/>
    <w:rsid w:val="00A36C63"/>
    <w:rsid w:val="00A40CA4"/>
    <w:rsid w:val="00A41402"/>
    <w:rsid w:val="00A41FCC"/>
    <w:rsid w:val="00A42CB5"/>
    <w:rsid w:val="00A434D4"/>
    <w:rsid w:val="00A43BFB"/>
    <w:rsid w:val="00A43F52"/>
    <w:rsid w:val="00A44017"/>
    <w:rsid w:val="00A44E74"/>
    <w:rsid w:val="00A469AD"/>
    <w:rsid w:val="00A476E1"/>
    <w:rsid w:val="00A47FCA"/>
    <w:rsid w:val="00A515C2"/>
    <w:rsid w:val="00A51B16"/>
    <w:rsid w:val="00A529FD"/>
    <w:rsid w:val="00A52E97"/>
    <w:rsid w:val="00A548B5"/>
    <w:rsid w:val="00A55A18"/>
    <w:rsid w:val="00A55D41"/>
    <w:rsid w:val="00A56411"/>
    <w:rsid w:val="00A56BDA"/>
    <w:rsid w:val="00A575F5"/>
    <w:rsid w:val="00A60163"/>
    <w:rsid w:val="00A60970"/>
    <w:rsid w:val="00A618EA"/>
    <w:rsid w:val="00A6227A"/>
    <w:rsid w:val="00A6291C"/>
    <w:rsid w:val="00A642AD"/>
    <w:rsid w:val="00A645B1"/>
    <w:rsid w:val="00A6545E"/>
    <w:rsid w:val="00A6669C"/>
    <w:rsid w:val="00A7088D"/>
    <w:rsid w:val="00A70D0F"/>
    <w:rsid w:val="00A71201"/>
    <w:rsid w:val="00A718CE"/>
    <w:rsid w:val="00A73E48"/>
    <w:rsid w:val="00A7459F"/>
    <w:rsid w:val="00A778E4"/>
    <w:rsid w:val="00A81244"/>
    <w:rsid w:val="00A83BA9"/>
    <w:rsid w:val="00A83CE4"/>
    <w:rsid w:val="00A840D1"/>
    <w:rsid w:val="00A841D6"/>
    <w:rsid w:val="00A86F0C"/>
    <w:rsid w:val="00A879F3"/>
    <w:rsid w:val="00A908AA"/>
    <w:rsid w:val="00A9095B"/>
    <w:rsid w:val="00A90F30"/>
    <w:rsid w:val="00A9190B"/>
    <w:rsid w:val="00A91C24"/>
    <w:rsid w:val="00A91C32"/>
    <w:rsid w:val="00A92FB5"/>
    <w:rsid w:val="00A9317D"/>
    <w:rsid w:val="00A93F76"/>
    <w:rsid w:val="00A94032"/>
    <w:rsid w:val="00A947A3"/>
    <w:rsid w:val="00A94F59"/>
    <w:rsid w:val="00A9686D"/>
    <w:rsid w:val="00A96A2C"/>
    <w:rsid w:val="00A971BB"/>
    <w:rsid w:val="00A9790B"/>
    <w:rsid w:val="00AA0BFE"/>
    <w:rsid w:val="00AA18BD"/>
    <w:rsid w:val="00AA3216"/>
    <w:rsid w:val="00AA3441"/>
    <w:rsid w:val="00AA3463"/>
    <w:rsid w:val="00AA3BDB"/>
    <w:rsid w:val="00AA4034"/>
    <w:rsid w:val="00AA6F6D"/>
    <w:rsid w:val="00AA7386"/>
    <w:rsid w:val="00AA7B47"/>
    <w:rsid w:val="00AB155F"/>
    <w:rsid w:val="00AB24E6"/>
    <w:rsid w:val="00AB2C6D"/>
    <w:rsid w:val="00AB376F"/>
    <w:rsid w:val="00AB5315"/>
    <w:rsid w:val="00AB567E"/>
    <w:rsid w:val="00AB6A83"/>
    <w:rsid w:val="00AB7153"/>
    <w:rsid w:val="00AC108F"/>
    <w:rsid w:val="00AC13F2"/>
    <w:rsid w:val="00AC1873"/>
    <w:rsid w:val="00AC1897"/>
    <w:rsid w:val="00AC30E6"/>
    <w:rsid w:val="00AC36C0"/>
    <w:rsid w:val="00AC3987"/>
    <w:rsid w:val="00AC5963"/>
    <w:rsid w:val="00AC6427"/>
    <w:rsid w:val="00AD0125"/>
    <w:rsid w:val="00AD068D"/>
    <w:rsid w:val="00AD1976"/>
    <w:rsid w:val="00AD1A27"/>
    <w:rsid w:val="00AD1DD7"/>
    <w:rsid w:val="00AD1E1F"/>
    <w:rsid w:val="00AD2F60"/>
    <w:rsid w:val="00AD36D2"/>
    <w:rsid w:val="00AD418A"/>
    <w:rsid w:val="00AD443D"/>
    <w:rsid w:val="00AD445E"/>
    <w:rsid w:val="00AD4483"/>
    <w:rsid w:val="00AD505B"/>
    <w:rsid w:val="00AD5A35"/>
    <w:rsid w:val="00AD65A2"/>
    <w:rsid w:val="00AD661F"/>
    <w:rsid w:val="00AD66F5"/>
    <w:rsid w:val="00AD7039"/>
    <w:rsid w:val="00AD7C62"/>
    <w:rsid w:val="00AE0B5C"/>
    <w:rsid w:val="00AE1B72"/>
    <w:rsid w:val="00AE35F7"/>
    <w:rsid w:val="00AE4460"/>
    <w:rsid w:val="00AE44C3"/>
    <w:rsid w:val="00AE4B5B"/>
    <w:rsid w:val="00AE4F43"/>
    <w:rsid w:val="00AE5526"/>
    <w:rsid w:val="00AE560D"/>
    <w:rsid w:val="00AE6206"/>
    <w:rsid w:val="00AE68D2"/>
    <w:rsid w:val="00AF156E"/>
    <w:rsid w:val="00AF16EF"/>
    <w:rsid w:val="00AF1704"/>
    <w:rsid w:val="00AF197C"/>
    <w:rsid w:val="00AF1B2E"/>
    <w:rsid w:val="00AF4786"/>
    <w:rsid w:val="00AF5841"/>
    <w:rsid w:val="00AF5D06"/>
    <w:rsid w:val="00AF5FBA"/>
    <w:rsid w:val="00AF6C5C"/>
    <w:rsid w:val="00AF7601"/>
    <w:rsid w:val="00AF7E70"/>
    <w:rsid w:val="00B01788"/>
    <w:rsid w:val="00B01D42"/>
    <w:rsid w:val="00B02D9E"/>
    <w:rsid w:val="00B059F3"/>
    <w:rsid w:val="00B05E99"/>
    <w:rsid w:val="00B06D07"/>
    <w:rsid w:val="00B071E7"/>
    <w:rsid w:val="00B07946"/>
    <w:rsid w:val="00B07BF1"/>
    <w:rsid w:val="00B11B2B"/>
    <w:rsid w:val="00B125FD"/>
    <w:rsid w:val="00B12CF2"/>
    <w:rsid w:val="00B12F4A"/>
    <w:rsid w:val="00B133C8"/>
    <w:rsid w:val="00B135CC"/>
    <w:rsid w:val="00B15583"/>
    <w:rsid w:val="00B1599C"/>
    <w:rsid w:val="00B15D7E"/>
    <w:rsid w:val="00B16B40"/>
    <w:rsid w:val="00B204E4"/>
    <w:rsid w:val="00B20737"/>
    <w:rsid w:val="00B20B55"/>
    <w:rsid w:val="00B20C77"/>
    <w:rsid w:val="00B20E1F"/>
    <w:rsid w:val="00B20F4C"/>
    <w:rsid w:val="00B22455"/>
    <w:rsid w:val="00B237AA"/>
    <w:rsid w:val="00B246DC"/>
    <w:rsid w:val="00B253B5"/>
    <w:rsid w:val="00B25489"/>
    <w:rsid w:val="00B25A18"/>
    <w:rsid w:val="00B25F9A"/>
    <w:rsid w:val="00B30AB2"/>
    <w:rsid w:val="00B313D0"/>
    <w:rsid w:val="00B343EA"/>
    <w:rsid w:val="00B34D56"/>
    <w:rsid w:val="00B34DF8"/>
    <w:rsid w:val="00B34E2F"/>
    <w:rsid w:val="00B36BC1"/>
    <w:rsid w:val="00B372C5"/>
    <w:rsid w:val="00B372E7"/>
    <w:rsid w:val="00B376C0"/>
    <w:rsid w:val="00B37C29"/>
    <w:rsid w:val="00B430E7"/>
    <w:rsid w:val="00B43157"/>
    <w:rsid w:val="00B43364"/>
    <w:rsid w:val="00B43A17"/>
    <w:rsid w:val="00B4429C"/>
    <w:rsid w:val="00B4504F"/>
    <w:rsid w:val="00B450E0"/>
    <w:rsid w:val="00B46302"/>
    <w:rsid w:val="00B468AD"/>
    <w:rsid w:val="00B47A50"/>
    <w:rsid w:val="00B47DD0"/>
    <w:rsid w:val="00B50376"/>
    <w:rsid w:val="00B518E9"/>
    <w:rsid w:val="00B51B9C"/>
    <w:rsid w:val="00B52D6B"/>
    <w:rsid w:val="00B535F5"/>
    <w:rsid w:val="00B53D54"/>
    <w:rsid w:val="00B54845"/>
    <w:rsid w:val="00B55278"/>
    <w:rsid w:val="00B5772C"/>
    <w:rsid w:val="00B602D1"/>
    <w:rsid w:val="00B6123C"/>
    <w:rsid w:val="00B61AA8"/>
    <w:rsid w:val="00B61B6E"/>
    <w:rsid w:val="00B61DDE"/>
    <w:rsid w:val="00B6304C"/>
    <w:rsid w:val="00B6323C"/>
    <w:rsid w:val="00B63506"/>
    <w:rsid w:val="00B63D16"/>
    <w:rsid w:val="00B64351"/>
    <w:rsid w:val="00B65050"/>
    <w:rsid w:val="00B653A0"/>
    <w:rsid w:val="00B65D5C"/>
    <w:rsid w:val="00B65D7B"/>
    <w:rsid w:val="00B66CE5"/>
    <w:rsid w:val="00B66DC3"/>
    <w:rsid w:val="00B671A7"/>
    <w:rsid w:val="00B672F0"/>
    <w:rsid w:val="00B6775D"/>
    <w:rsid w:val="00B70210"/>
    <w:rsid w:val="00B716A5"/>
    <w:rsid w:val="00B72016"/>
    <w:rsid w:val="00B72870"/>
    <w:rsid w:val="00B73367"/>
    <w:rsid w:val="00B7368E"/>
    <w:rsid w:val="00B742A8"/>
    <w:rsid w:val="00B746EC"/>
    <w:rsid w:val="00B74E0C"/>
    <w:rsid w:val="00B805FA"/>
    <w:rsid w:val="00B80B37"/>
    <w:rsid w:val="00B81744"/>
    <w:rsid w:val="00B819D2"/>
    <w:rsid w:val="00B81CFE"/>
    <w:rsid w:val="00B82A41"/>
    <w:rsid w:val="00B833D9"/>
    <w:rsid w:val="00B836A9"/>
    <w:rsid w:val="00B8388C"/>
    <w:rsid w:val="00B83CCF"/>
    <w:rsid w:val="00B841E4"/>
    <w:rsid w:val="00B848FE"/>
    <w:rsid w:val="00B84FA6"/>
    <w:rsid w:val="00B855F9"/>
    <w:rsid w:val="00B86931"/>
    <w:rsid w:val="00B869E8"/>
    <w:rsid w:val="00B901BC"/>
    <w:rsid w:val="00B9237B"/>
    <w:rsid w:val="00B9273C"/>
    <w:rsid w:val="00B93006"/>
    <w:rsid w:val="00B938DB"/>
    <w:rsid w:val="00B94E4B"/>
    <w:rsid w:val="00B9600F"/>
    <w:rsid w:val="00B9644B"/>
    <w:rsid w:val="00B96AC1"/>
    <w:rsid w:val="00B96DD1"/>
    <w:rsid w:val="00B96F4D"/>
    <w:rsid w:val="00B97B81"/>
    <w:rsid w:val="00BA02A2"/>
    <w:rsid w:val="00BA078F"/>
    <w:rsid w:val="00BA28B3"/>
    <w:rsid w:val="00BA29F2"/>
    <w:rsid w:val="00BA3D6E"/>
    <w:rsid w:val="00BA4211"/>
    <w:rsid w:val="00BA5853"/>
    <w:rsid w:val="00BA5CFE"/>
    <w:rsid w:val="00BA5F60"/>
    <w:rsid w:val="00BA6E97"/>
    <w:rsid w:val="00BA7DCF"/>
    <w:rsid w:val="00BB01F2"/>
    <w:rsid w:val="00BB04D1"/>
    <w:rsid w:val="00BB11A6"/>
    <w:rsid w:val="00BB26E0"/>
    <w:rsid w:val="00BB3C1B"/>
    <w:rsid w:val="00BB4363"/>
    <w:rsid w:val="00BB4EEB"/>
    <w:rsid w:val="00BB507F"/>
    <w:rsid w:val="00BB5463"/>
    <w:rsid w:val="00BB5894"/>
    <w:rsid w:val="00BB58E0"/>
    <w:rsid w:val="00BB59C5"/>
    <w:rsid w:val="00BB66B1"/>
    <w:rsid w:val="00BB7C19"/>
    <w:rsid w:val="00BB7F65"/>
    <w:rsid w:val="00BC0C91"/>
    <w:rsid w:val="00BC3177"/>
    <w:rsid w:val="00BC3A8A"/>
    <w:rsid w:val="00BC437D"/>
    <w:rsid w:val="00BC55EE"/>
    <w:rsid w:val="00BC5BAF"/>
    <w:rsid w:val="00BC61C4"/>
    <w:rsid w:val="00BD0408"/>
    <w:rsid w:val="00BD10C1"/>
    <w:rsid w:val="00BD2246"/>
    <w:rsid w:val="00BD2731"/>
    <w:rsid w:val="00BD2D11"/>
    <w:rsid w:val="00BD3047"/>
    <w:rsid w:val="00BD3729"/>
    <w:rsid w:val="00BD3FAC"/>
    <w:rsid w:val="00BD5AC0"/>
    <w:rsid w:val="00BD667C"/>
    <w:rsid w:val="00BD7581"/>
    <w:rsid w:val="00BD7759"/>
    <w:rsid w:val="00BD7D7F"/>
    <w:rsid w:val="00BD7D92"/>
    <w:rsid w:val="00BD7F84"/>
    <w:rsid w:val="00BE1A4B"/>
    <w:rsid w:val="00BE1EB4"/>
    <w:rsid w:val="00BE3482"/>
    <w:rsid w:val="00BE3816"/>
    <w:rsid w:val="00BE3F5F"/>
    <w:rsid w:val="00BE4A65"/>
    <w:rsid w:val="00BF02D6"/>
    <w:rsid w:val="00BF1C4E"/>
    <w:rsid w:val="00BF2706"/>
    <w:rsid w:val="00BF34AC"/>
    <w:rsid w:val="00BF4287"/>
    <w:rsid w:val="00BF4D0E"/>
    <w:rsid w:val="00BF4D58"/>
    <w:rsid w:val="00BF65CE"/>
    <w:rsid w:val="00BF7E1A"/>
    <w:rsid w:val="00BF7FD3"/>
    <w:rsid w:val="00C03501"/>
    <w:rsid w:val="00C0385F"/>
    <w:rsid w:val="00C04506"/>
    <w:rsid w:val="00C07567"/>
    <w:rsid w:val="00C10ABC"/>
    <w:rsid w:val="00C10B55"/>
    <w:rsid w:val="00C10DB6"/>
    <w:rsid w:val="00C11795"/>
    <w:rsid w:val="00C11C1D"/>
    <w:rsid w:val="00C11FA5"/>
    <w:rsid w:val="00C12DDC"/>
    <w:rsid w:val="00C13556"/>
    <w:rsid w:val="00C15458"/>
    <w:rsid w:val="00C15E3F"/>
    <w:rsid w:val="00C20B7A"/>
    <w:rsid w:val="00C211EA"/>
    <w:rsid w:val="00C21686"/>
    <w:rsid w:val="00C21A1F"/>
    <w:rsid w:val="00C2270F"/>
    <w:rsid w:val="00C22D95"/>
    <w:rsid w:val="00C2303F"/>
    <w:rsid w:val="00C24081"/>
    <w:rsid w:val="00C2460B"/>
    <w:rsid w:val="00C25710"/>
    <w:rsid w:val="00C26B2C"/>
    <w:rsid w:val="00C27F08"/>
    <w:rsid w:val="00C30A3C"/>
    <w:rsid w:val="00C3308D"/>
    <w:rsid w:val="00C330E7"/>
    <w:rsid w:val="00C336C7"/>
    <w:rsid w:val="00C3440F"/>
    <w:rsid w:val="00C3477D"/>
    <w:rsid w:val="00C34D66"/>
    <w:rsid w:val="00C35731"/>
    <w:rsid w:val="00C36FE9"/>
    <w:rsid w:val="00C40742"/>
    <w:rsid w:val="00C416F5"/>
    <w:rsid w:val="00C41FDD"/>
    <w:rsid w:val="00C42596"/>
    <w:rsid w:val="00C43D37"/>
    <w:rsid w:val="00C45588"/>
    <w:rsid w:val="00C45687"/>
    <w:rsid w:val="00C4569B"/>
    <w:rsid w:val="00C46740"/>
    <w:rsid w:val="00C50DFF"/>
    <w:rsid w:val="00C51289"/>
    <w:rsid w:val="00C51CD7"/>
    <w:rsid w:val="00C51ECF"/>
    <w:rsid w:val="00C525F0"/>
    <w:rsid w:val="00C5276F"/>
    <w:rsid w:val="00C52B9E"/>
    <w:rsid w:val="00C52CB3"/>
    <w:rsid w:val="00C52E5F"/>
    <w:rsid w:val="00C53607"/>
    <w:rsid w:val="00C56D4D"/>
    <w:rsid w:val="00C57129"/>
    <w:rsid w:val="00C6120D"/>
    <w:rsid w:val="00C6176C"/>
    <w:rsid w:val="00C61CE0"/>
    <w:rsid w:val="00C631FE"/>
    <w:rsid w:val="00C63F87"/>
    <w:rsid w:val="00C653EC"/>
    <w:rsid w:val="00C6559D"/>
    <w:rsid w:val="00C65A6C"/>
    <w:rsid w:val="00C668F0"/>
    <w:rsid w:val="00C701D7"/>
    <w:rsid w:val="00C7198C"/>
    <w:rsid w:val="00C7220E"/>
    <w:rsid w:val="00C7265D"/>
    <w:rsid w:val="00C72F84"/>
    <w:rsid w:val="00C7441F"/>
    <w:rsid w:val="00C749E1"/>
    <w:rsid w:val="00C75256"/>
    <w:rsid w:val="00C75B4B"/>
    <w:rsid w:val="00C75F2A"/>
    <w:rsid w:val="00C7663E"/>
    <w:rsid w:val="00C768C5"/>
    <w:rsid w:val="00C80CF2"/>
    <w:rsid w:val="00C80E12"/>
    <w:rsid w:val="00C8103F"/>
    <w:rsid w:val="00C833C7"/>
    <w:rsid w:val="00C837E1"/>
    <w:rsid w:val="00C84205"/>
    <w:rsid w:val="00C86109"/>
    <w:rsid w:val="00C868D7"/>
    <w:rsid w:val="00C87183"/>
    <w:rsid w:val="00C87285"/>
    <w:rsid w:val="00C87A86"/>
    <w:rsid w:val="00C90D95"/>
    <w:rsid w:val="00C921D5"/>
    <w:rsid w:val="00C94052"/>
    <w:rsid w:val="00C941A6"/>
    <w:rsid w:val="00C941CB"/>
    <w:rsid w:val="00C94548"/>
    <w:rsid w:val="00C94E9C"/>
    <w:rsid w:val="00C94FCB"/>
    <w:rsid w:val="00C9505C"/>
    <w:rsid w:val="00C95184"/>
    <w:rsid w:val="00C95CF2"/>
    <w:rsid w:val="00C96670"/>
    <w:rsid w:val="00C9685A"/>
    <w:rsid w:val="00C9700D"/>
    <w:rsid w:val="00CA297B"/>
    <w:rsid w:val="00CA3B40"/>
    <w:rsid w:val="00CA4340"/>
    <w:rsid w:val="00CA6ABB"/>
    <w:rsid w:val="00CA6AEB"/>
    <w:rsid w:val="00CA6C6F"/>
    <w:rsid w:val="00CA70D6"/>
    <w:rsid w:val="00CA75C8"/>
    <w:rsid w:val="00CA7E5A"/>
    <w:rsid w:val="00CB0343"/>
    <w:rsid w:val="00CB1C98"/>
    <w:rsid w:val="00CB29DC"/>
    <w:rsid w:val="00CB2B34"/>
    <w:rsid w:val="00CB2C17"/>
    <w:rsid w:val="00CB2D50"/>
    <w:rsid w:val="00CB4851"/>
    <w:rsid w:val="00CB529A"/>
    <w:rsid w:val="00CB5793"/>
    <w:rsid w:val="00CB5E63"/>
    <w:rsid w:val="00CB6DA0"/>
    <w:rsid w:val="00CB726F"/>
    <w:rsid w:val="00CC0901"/>
    <w:rsid w:val="00CC0CE8"/>
    <w:rsid w:val="00CC117D"/>
    <w:rsid w:val="00CC1709"/>
    <w:rsid w:val="00CC2BF6"/>
    <w:rsid w:val="00CC5178"/>
    <w:rsid w:val="00CC58E6"/>
    <w:rsid w:val="00CC609F"/>
    <w:rsid w:val="00CD1B36"/>
    <w:rsid w:val="00CD1E0E"/>
    <w:rsid w:val="00CD26F5"/>
    <w:rsid w:val="00CD3A23"/>
    <w:rsid w:val="00CD49E5"/>
    <w:rsid w:val="00CD5FF2"/>
    <w:rsid w:val="00CD68A4"/>
    <w:rsid w:val="00CD6AFB"/>
    <w:rsid w:val="00CD761D"/>
    <w:rsid w:val="00CD7836"/>
    <w:rsid w:val="00CD7C9A"/>
    <w:rsid w:val="00CE0237"/>
    <w:rsid w:val="00CE1282"/>
    <w:rsid w:val="00CE19C8"/>
    <w:rsid w:val="00CE2649"/>
    <w:rsid w:val="00CE4821"/>
    <w:rsid w:val="00CE48FE"/>
    <w:rsid w:val="00CE49AF"/>
    <w:rsid w:val="00CE4E32"/>
    <w:rsid w:val="00CE4F13"/>
    <w:rsid w:val="00CE5D9E"/>
    <w:rsid w:val="00CE6B0B"/>
    <w:rsid w:val="00CE748F"/>
    <w:rsid w:val="00CF1619"/>
    <w:rsid w:val="00CF20CB"/>
    <w:rsid w:val="00CF21B6"/>
    <w:rsid w:val="00CF2695"/>
    <w:rsid w:val="00CF3263"/>
    <w:rsid w:val="00CF43D5"/>
    <w:rsid w:val="00CF4DE3"/>
    <w:rsid w:val="00CF56CA"/>
    <w:rsid w:val="00CF77CE"/>
    <w:rsid w:val="00CF7F1D"/>
    <w:rsid w:val="00CF7F55"/>
    <w:rsid w:val="00D01D33"/>
    <w:rsid w:val="00D01DA2"/>
    <w:rsid w:val="00D01E45"/>
    <w:rsid w:val="00D03A31"/>
    <w:rsid w:val="00D040E1"/>
    <w:rsid w:val="00D055E5"/>
    <w:rsid w:val="00D05B16"/>
    <w:rsid w:val="00D05FF8"/>
    <w:rsid w:val="00D06955"/>
    <w:rsid w:val="00D073F0"/>
    <w:rsid w:val="00D07E63"/>
    <w:rsid w:val="00D100FF"/>
    <w:rsid w:val="00D1128E"/>
    <w:rsid w:val="00D12694"/>
    <w:rsid w:val="00D12C9D"/>
    <w:rsid w:val="00D14DC9"/>
    <w:rsid w:val="00D151E9"/>
    <w:rsid w:val="00D1651B"/>
    <w:rsid w:val="00D16B19"/>
    <w:rsid w:val="00D1775E"/>
    <w:rsid w:val="00D20047"/>
    <w:rsid w:val="00D208FA"/>
    <w:rsid w:val="00D20C4F"/>
    <w:rsid w:val="00D222F0"/>
    <w:rsid w:val="00D230BB"/>
    <w:rsid w:val="00D2388E"/>
    <w:rsid w:val="00D2627D"/>
    <w:rsid w:val="00D30717"/>
    <w:rsid w:val="00D31A79"/>
    <w:rsid w:val="00D32889"/>
    <w:rsid w:val="00D32FA5"/>
    <w:rsid w:val="00D33302"/>
    <w:rsid w:val="00D33DA5"/>
    <w:rsid w:val="00D352A0"/>
    <w:rsid w:val="00D356EC"/>
    <w:rsid w:val="00D35CCA"/>
    <w:rsid w:val="00D35DFC"/>
    <w:rsid w:val="00D36BC0"/>
    <w:rsid w:val="00D3780E"/>
    <w:rsid w:val="00D40248"/>
    <w:rsid w:val="00D43262"/>
    <w:rsid w:val="00D434CC"/>
    <w:rsid w:val="00D43FD3"/>
    <w:rsid w:val="00D44672"/>
    <w:rsid w:val="00D4645C"/>
    <w:rsid w:val="00D46EBB"/>
    <w:rsid w:val="00D476BE"/>
    <w:rsid w:val="00D477BD"/>
    <w:rsid w:val="00D510DA"/>
    <w:rsid w:val="00D521C0"/>
    <w:rsid w:val="00D53E5B"/>
    <w:rsid w:val="00D557CA"/>
    <w:rsid w:val="00D557CC"/>
    <w:rsid w:val="00D55A38"/>
    <w:rsid w:val="00D55C9B"/>
    <w:rsid w:val="00D56B2D"/>
    <w:rsid w:val="00D57395"/>
    <w:rsid w:val="00D57CA2"/>
    <w:rsid w:val="00D6170F"/>
    <w:rsid w:val="00D6179C"/>
    <w:rsid w:val="00D63003"/>
    <w:rsid w:val="00D6318D"/>
    <w:rsid w:val="00D633BD"/>
    <w:rsid w:val="00D652E8"/>
    <w:rsid w:val="00D65E94"/>
    <w:rsid w:val="00D668C5"/>
    <w:rsid w:val="00D70C86"/>
    <w:rsid w:val="00D70D7F"/>
    <w:rsid w:val="00D71091"/>
    <w:rsid w:val="00D71D05"/>
    <w:rsid w:val="00D71D2D"/>
    <w:rsid w:val="00D7313C"/>
    <w:rsid w:val="00D7333A"/>
    <w:rsid w:val="00D73347"/>
    <w:rsid w:val="00D73485"/>
    <w:rsid w:val="00D73739"/>
    <w:rsid w:val="00D73EE8"/>
    <w:rsid w:val="00D7447F"/>
    <w:rsid w:val="00D75677"/>
    <w:rsid w:val="00D75F42"/>
    <w:rsid w:val="00D778E4"/>
    <w:rsid w:val="00D80E06"/>
    <w:rsid w:val="00D83262"/>
    <w:rsid w:val="00D85F0E"/>
    <w:rsid w:val="00D86295"/>
    <w:rsid w:val="00D8661E"/>
    <w:rsid w:val="00D87D67"/>
    <w:rsid w:val="00D87E09"/>
    <w:rsid w:val="00D87EE8"/>
    <w:rsid w:val="00D87F07"/>
    <w:rsid w:val="00D90738"/>
    <w:rsid w:val="00D90758"/>
    <w:rsid w:val="00D913B9"/>
    <w:rsid w:val="00D92257"/>
    <w:rsid w:val="00D94215"/>
    <w:rsid w:val="00D94E01"/>
    <w:rsid w:val="00D97377"/>
    <w:rsid w:val="00D97535"/>
    <w:rsid w:val="00D97C9B"/>
    <w:rsid w:val="00DA254E"/>
    <w:rsid w:val="00DA26E1"/>
    <w:rsid w:val="00DA3526"/>
    <w:rsid w:val="00DA3891"/>
    <w:rsid w:val="00DA4E9F"/>
    <w:rsid w:val="00DA5038"/>
    <w:rsid w:val="00DA5246"/>
    <w:rsid w:val="00DA5673"/>
    <w:rsid w:val="00DA5913"/>
    <w:rsid w:val="00DA64C8"/>
    <w:rsid w:val="00DA7198"/>
    <w:rsid w:val="00DB0EF3"/>
    <w:rsid w:val="00DB152A"/>
    <w:rsid w:val="00DB17E1"/>
    <w:rsid w:val="00DB2FE1"/>
    <w:rsid w:val="00DB3358"/>
    <w:rsid w:val="00DB3BD9"/>
    <w:rsid w:val="00DB53C9"/>
    <w:rsid w:val="00DB5B49"/>
    <w:rsid w:val="00DB7A2A"/>
    <w:rsid w:val="00DB7ECF"/>
    <w:rsid w:val="00DC1AED"/>
    <w:rsid w:val="00DC21A8"/>
    <w:rsid w:val="00DC2581"/>
    <w:rsid w:val="00DC26BE"/>
    <w:rsid w:val="00DC29A1"/>
    <w:rsid w:val="00DC3248"/>
    <w:rsid w:val="00DC3501"/>
    <w:rsid w:val="00DC503B"/>
    <w:rsid w:val="00DC53E2"/>
    <w:rsid w:val="00DD20B4"/>
    <w:rsid w:val="00DD227E"/>
    <w:rsid w:val="00DD2334"/>
    <w:rsid w:val="00DD280C"/>
    <w:rsid w:val="00DD29C0"/>
    <w:rsid w:val="00DD2CD8"/>
    <w:rsid w:val="00DD2FAB"/>
    <w:rsid w:val="00DD2FF6"/>
    <w:rsid w:val="00DD394A"/>
    <w:rsid w:val="00DD41A4"/>
    <w:rsid w:val="00DD44A2"/>
    <w:rsid w:val="00DD558E"/>
    <w:rsid w:val="00DD5CD6"/>
    <w:rsid w:val="00DD6F29"/>
    <w:rsid w:val="00DD7059"/>
    <w:rsid w:val="00DD7124"/>
    <w:rsid w:val="00DD79C5"/>
    <w:rsid w:val="00DE253C"/>
    <w:rsid w:val="00DE37D6"/>
    <w:rsid w:val="00DE3EA1"/>
    <w:rsid w:val="00DE3F99"/>
    <w:rsid w:val="00DE40EA"/>
    <w:rsid w:val="00DE4732"/>
    <w:rsid w:val="00DE5A96"/>
    <w:rsid w:val="00DE5EE4"/>
    <w:rsid w:val="00DE64EB"/>
    <w:rsid w:val="00DE6E2B"/>
    <w:rsid w:val="00DE76D4"/>
    <w:rsid w:val="00DF0771"/>
    <w:rsid w:val="00DF0EB1"/>
    <w:rsid w:val="00DF196A"/>
    <w:rsid w:val="00DF1EC2"/>
    <w:rsid w:val="00DF279E"/>
    <w:rsid w:val="00DF2BFA"/>
    <w:rsid w:val="00DF32B8"/>
    <w:rsid w:val="00DF4E9D"/>
    <w:rsid w:val="00DF5066"/>
    <w:rsid w:val="00DF594B"/>
    <w:rsid w:val="00DF5CFE"/>
    <w:rsid w:val="00DF5FEA"/>
    <w:rsid w:val="00DF616B"/>
    <w:rsid w:val="00DF65D5"/>
    <w:rsid w:val="00DF6E22"/>
    <w:rsid w:val="00DF779F"/>
    <w:rsid w:val="00DF7B11"/>
    <w:rsid w:val="00E01DAA"/>
    <w:rsid w:val="00E02BD8"/>
    <w:rsid w:val="00E034D7"/>
    <w:rsid w:val="00E04E28"/>
    <w:rsid w:val="00E04E9F"/>
    <w:rsid w:val="00E05A03"/>
    <w:rsid w:val="00E07285"/>
    <w:rsid w:val="00E10622"/>
    <w:rsid w:val="00E128EB"/>
    <w:rsid w:val="00E12C5C"/>
    <w:rsid w:val="00E147C9"/>
    <w:rsid w:val="00E1544E"/>
    <w:rsid w:val="00E1682C"/>
    <w:rsid w:val="00E171E6"/>
    <w:rsid w:val="00E17224"/>
    <w:rsid w:val="00E174D1"/>
    <w:rsid w:val="00E1769F"/>
    <w:rsid w:val="00E21335"/>
    <w:rsid w:val="00E24435"/>
    <w:rsid w:val="00E248BF"/>
    <w:rsid w:val="00E24A27"/>
    <w:rsid w:val="00E276BC"/>
    <w:rsid w:val="00E30009"/>
    <w:rsid w:val="00E32795"/>
    <w:rsid w:val="00E32EA5"/>
    <w:rsid w:val="00E337DF"/>
    <w:rsid w:val="00E34A26"/>
    <w:rsid w:val="00E361DD"/>
    <w:rsid w:val="00E36D8D"/>
    <w:rsid w:val="00E4018B"/>
    <w:rsid w:val="00E4018F"/>
    <w:rsid w:val="00E40CD5"/>
    <w:rsid w:val="00E40EC8"/>
    <w:rsid w:val="00E414F5"/>
    <w:rsid w:val="00E41CE7"/>
    <w:rsid w:val="00E424F5"/>
    <w:rsid w:val="00E432F5"/>
    <w:rsid w:val="00E4342C"/>
    <w:rsid w:val="00E4414D"/>
    <w:rsid w:val="00E44344"/>
    <w:rsid w:val="00E45047"/>
    <w:rsid w:val="00E45088"/>
    <w:rsid w:val="00E45BAA"/>
    <w:rsid w:val="00E4733F"/>
    <w:rsid w:val="00E47B9E"/>
    <w:rsid w:val="00E50B0A"/>
    <w:rsid w:val="00E51922"/>
    <w:rsid w:val="00E52464"/>
    <w:rsid w:val="00E5321D"/>
    <w:rsid w:val="00E5364B"/>
    <w:rsid w:val="00E54583"/>
    <w:rsid w:val="00E551BD"/>
    <w:rsid w:val="00E5650C"/>
    <w:rsid w:val="00E56F88"/>
    <w:rsid w:val="00E57583"/>
    <w:rsid w:val="00E605FF"/>
    <w:rsid w:val="00E611B9"/>
    <w:rsid w:val="00E6204A"/>
    <w:rsid w:val="00E6283B"/>
    <w:rsid w:val="00E6341A"/>
    <w:rsid w:val="00E66D5B"/>
    <w:rsid w:val="00E67117"/>
    <w:rsid w:val="00E67993"/>
    <w:rsid w:val="00E67A7A"/>
    <w:rsid w:val="00E67ACA"/>
    <w:rsid w:val="00E70CAE"/>
    <w:rsid w:val="00E71002"/>
    <w:rsid w:val="00E72B8F"/>
    <w:rsid w:val="00E72F80"/>
    <w:rsid w:val="00E739B7"/>
    <w:rsid w:val="00E746BE"/>
    <w:rsid w:val="00E75200"/>
    <w:rsid w:val="00E7583D"/>
    <w:rsid w:val="00E76566"/>
    <w:rsid w:val="00E76969"/>
    <w:rsid w:val="00E77912"/>
    <w:rsid w:val="00E77D26"/>
    <w:rsid w:val="00E8010E"/>
    <w:rsid w:val="00E817CE"/>
    <w:rsid w:val="00E81FC6"/>
    <w:rsid w:val="00E8238C"/>
    <w:rsid w:val="00E839FC"/>
    <w:rsid w:val="00E83C0A"/>
    <w:rsid w:val="00E83ED3"/>
    <w:rsid w:val="00E842C9"/>
    <w:rsid w:val="00E84411"/>
    <w:rsid w:val="00E84E40"/>
    <w:rsid w:val="00E84F32"/>
    <w:rsid w:val="00E857BA"/>
    <w:rsid w:val="00E875E3"/>
    <w:rsid w:val="00E8791B"/>
    <w:rsid w:val="00E8791C"/>
    <w:rsid w:val="00E900C5"/>
    <w:rsid w:val="00E90932"/>
    <w:rsid w:val="00E90A4E"/>
    <w:rsid w:val="00E93275"/>
    <w:rsid w:val="00E9417C"/>
    <w:rsid w:val="00E94809"/>
    <w:rsid w:val="00E96034"/>
    <w:rsid w:val="00E9656F"/>
    <w:rsid w:val="00E9671B"/>
    <w:rsid w:val="00E97AAC"/>
    <w:rsid w:val="00EA03A9"/>
    <w:rsid w:val="00EA3632"/>
    <w:rsid w:val="00EA5974"/>
    <w:rsid w:val="00EB0103"/>
    <w:rsid w:val="00EB017B"/>
    <w:rsid w:val="00EB1083"/>
    <w:rsid w:val="00EB35DE"/>
    <w:rsid w:val="00EB4267"/>
    <w:rsid w:val="00EB5FDE"/>
    <w:rsid w:val="00EB73DA"/>
    <w:rsid w:val="00EB7B93"/>
    <w:rsid w:val="00EC117F"/>
    <w:rsid w:val="00EC1DAD"/>
    <w:rsid w:val="00EC278B"/>
    <w:rsid w:val="00EC27C2"/>
    <w:rsid w:val="00EC3366"/>
    <w:rsid w:val="00EC38A8"/>
    <w:rsid w:val="00EC4C36"/>
    <w:rsid w:val="00EC4F9A"/>
    <w:rsid w:val="00EC5344"/>
    <w:rsid w:val="00EC56FC"/>
    <w:rsid w:val="00EC5B91"/>
    <w:rsid w:val="00EC5C90"/>
    <w:rsid w:val="00EC6383"/>
    <w:rsid w:val="00EC6831"/>
    <w:rsid w:val="00EC73F4"/>
    <w:rsid w:val="00ED1013"/>
    <w:rsid w:val="00ED34CD"/>
    <w:rsid w:val="00ED3E47"/>
    <w:rsid w:val="00ED4F65"/>
    <w:rsid w:val="00ED62CE"/>
    <w:rsid w:val="00ED6B4F"/>
    <w:rsid w:val="00ED6B52"/>
    <w:rsid w:val="00ED72D2"/>
    <w:rsid w:val="00ED7598"/>
    <w:rsid w:val="00ED791F"/>
    <w:rsid w:val="00EE00DD"/>
    <w:rsid w:val="00EE0617"/>
    <w:rsid w:val="00EE0938"/>
    <w:rsid w:val="00EE0BF1"/>
    <w:rsid w:val="00EE1F94"/>
    <w:rsid w:val="00EE3296"/>
    <w:rsid w:val="00EE40B6"/>
    <w:rsid w:val="00EE428C"/>
    <w:rsid w:val="00EE5055"/>
    <w:rsid w:val="00EE5C6D"/>
    <w:rsid w:val="00EE6F28"/>
    <w:rsid w:val="00EE7F47"/>
    <w:rsid w:val="00EF07C7"/>
    <w:rsid w:val="00EF0CE7"/>
    <w:rsid w:val="00EF1E09"/>
    <w:rsid w:val="00EF24D9"/>
    <w:rsid w:val="00EF28F0"/>
    <w:rsid w:val="00EF31B9"/>
    <w:rsid w:val="00EF3D5C"/>
    <w:rsid w:val="00EF5023"/>
    <w:rsid w:val="00EF5F81"/>
    <w:rsid w:val="00EF62B2"/>
    <w:rsid w:val="00EF6729"/>
    <w:rsid w:val="00EF6EA0"/>
    <w:rsid w:val="00F00E72"/>
    <w:rsid w:val="00F0101F"/>
    <w:rsid w:val="00F01AC7"/>
    <w:rsid w:val="00F01B09"/>
    <w:rsid w:val="00F028EC"/>
    <w:rsid w:val="00F03016"/>
    <w:rsid w:val="00F03C4A"/>
    <w:rsid w:val="00F046E6"/>
    <w:rsid w:val="00F07641"/>
    <w:rsid w:val="00F07814"/>
    <w:rsid w:val="00F078FB"/>
    <w:rsid w:val="00F124DB"/>
    <w:rsid w:val="00F130F0"/>
    <w:rsid w:val="00F14EB0"/>
    <w:rsid w:val="00F14EB3"/>
    <w:rsid w:val="00F1641C"/>
    <w:rsid w:val="00F16652"/>
    <w:rsid w:val="00F178E3"/>
    <w:rsid w:val="00F2133D"/>
    <w:rsid w:val="00F22675"/>
    <w:rsid w:val="00F227BD"/>
    <w:rsid w:val="00F22BFE"/>
    <w:rsid w:val="00F240DE"/>
    <w:rsid w:val="00F25ADF"/>
    <w:rsid w:val="00F26245"/>
    <w:rsid w:val="00F263E4"/>
    <w:rsid w:val="00F273B7"/>
    <w:rsid w:val="00F277E1"/>
    <w:rsid w:val="00F306C8"/>
    <w:rsid w:val="00F32D1B"/>
    <w:rsid w:val="00F33EB3"/>
    <w:rsid w:val="00F352BB"/>
    <w:rsid w:val="00F3553D"/>
    <w:rsid w:val="00F36CD6"/>
    <w:rsid w:val="00F374C5"/>
    <w:rsid w:val="00F375BB"/>
    <w:rsid w:val="00F3784D"/>
    <w:rsid w:val="00F37858"/>
    <w:rsid w:val="00F40053"/>
    <w:rsid w:val="00F40D65"/>
    <w:rsid w:val="00F40F97"/>
    <w:rsid w:val="00F41880"/>
    <w:rsid w:val="00F42019"/>
    <w:rsid w:val="00F42035"/>
    <w:rsid w:val="00F42404"/>
    <w:rsid w:val="00F426D7"/>
    <w:rsid w:val="00F42D42"/>
    <w:rsid w:val="00F43173"/>
    <w:rsid w:val="00F4341C"/>
    <w:rsid w:val="00F450DE"/>
    <w:rsid w:val="00F4514E"/>
    <w:rsid w:val="00F46325"/>
    <w:rsid w:val="00F51AD1"/>
    <w:rsid w:val="00F52D2A"/>
    <w:rsid w:val="00F52E1C"/>
    <w:rsid w:val="00F53C6E"/>
    <w:rsid w:val="00F548E9"/>
    <w:rsid w:val="00F54BE0"/>
    <w:rsid w:val="00F55A63"/>
    <w:rsid w:val="00F55E07"/>
    <w:rsid w:val="00F570DF"/>
    <w:rsid w:val="00F57244"/>
    <w:rsid w:val="00F57834"/>
    <w:rsid w:val="00F60A1A"/>
    <w:rsid w:val="00F63709"/>
    <w:rsid w:val="00F63F62"/>
    <w:rsid w:val="00F6453A"/>
    <w:rsid w:val="00F646E3"/>
    <w:rsid w:val="00F6485B"/>
    <w:rsid w:val="00F6611D"/>
    <w:rsid w:val="00F679F3"/>
    <w:rsid w:val="00F71810"/>
    <w:rsid w:val="00F7183F"/>
    <w:rsid w:val="00F720CD"/>
    <w:rsid w:val="00F73884"/>
    <w:rsid w:val="00F74640"/>
    <w:rsid w:val="00F750AB"/>
    <w:rsid w:val="00F75265"/>
    <w:rsid w:val="00F753D8"/>
    <w:rsid w:val="00F768FF"/>
    <w:rsid w:val="00F76A3B"/>
    <w:rsid w:val="00F77AD6"/>
    <w:rsid w:val="00F8008C"/>
    <w:rsid w:val="00F82B97"/>
    <w:rsid w:val="00F840C7"/>
    <w:rsid w:val="00F844AF"/>
    <w:rsid w:val="00F86DBA"/>
    <w:rsid w:val="00F8720B"/>
    <w:rsid w:val="00F872DD"/>
    <w:rsid w:val="00F8756E"/>
    <w:rsid w:val="00F878AB"/>
    <w:rsid w:val="00F9055C"/>
    <w:rsid w:val="00F9056D"/>
    <w:rsid w:val="00F909AC"/>
    <w:rsid w:val="00F90DB6"/>
    <w:rsid w:val="00F91B72"/>
    <w:rsid w:val="00F91DE5"/>
    <w:rsid w:val="00F9254D"/>
    <w:rsid w:val="00F92E4F"/>
    <w:rsid w:val="00F9373C"/>
    <w:rsid w:val="00F93E5F"/>
    <w:rsid w:val="00F947FE"/>
    <w:rsid w:val="00F94A49"/>
    <w:rsid w:val="00F9528C"/>
    <w:rsid w:val="00F95512"/>
    <w:rsid w:val="00F9737E"/>
    <w:rsid w:val="00F97C88"/>
    <w:rsid w:val="00FA24BE"/>
    <w:rsid w:val="00FA2ED4"/>
    <w:rsid w:val="00FA6547"/>
    <w:rsid w:val="00FA711E"/>
    <w:rsid w:val="00FA7221"/>
    <w:rsid w:val="00FB078A"/>
    <w:rsid w:val="00FB158E"/>
    <w:rsid w:val="00FB17DF"/>
    <w:rsid w:val="00FB2016"/>
    <w:rsid w:val="00FB3D05"/>
    <w:rsid w:val="00FB4223"/>
    <w:rsid w:val="00FB43ED"/>
    <w:rsid w:val="00FB4A5B"/>
    <w:rsid w:val="00FB4F43"/>
    <w:rsid w:val="00FB4FF6"/>
    <w:rsid w:val="00FB6B23"/>
    <w:rsid w:val="00FC1F09"/>
    <w:rsid w:val="00FC26CD"/>
    <w:rsid w:val="00FC2E89"/>
    <w:rsid w:val="00FC34DE"/>
    <w:rsid w:val="00FC67A4"/>
    <w:rsid w:val="00FC6F73"/>
    <w:rsid w:val="00FD0760"/>
    <w:rsid w:val="00FD1ED9"/>
    <w:rsid w:val="00FD270D"/>
    <w:rsid w:val="00FD4B4E"/>
    <w:rsid w:val="00FD5200"/>
    <w:rsid w:val="00FD5A59"/>
    <w:rsid w:val="00FD5C7C"/>
    <w:rsid w:val="00FD61D6"/>
    <w:rsid w:val="00FD6488"/>
    <w:rsid w:val="00FD6B70"/>
    <w:rsid w:val="00FD72E8"/>
    <w:rsid w:val="00FD7CBF"/>
    <w:rsid w:val="00FE1550"/>
    <w:rsid w:val="00FE2126"/>
    <w:rsid w:val="00FE26CD"/>
    <w:rsid w:val="00FE3568"/>
    <w:rsid w:val="00FE462A"/>
    <w:rsid w:val="00FE4DB5"/>
    <w:rsid w:val="00FE4E51"/>
    <w:rsid w:val="00FE6CA1"/>
    <w:rsid w:val="00FE7CA5"/>
    <w:rsid w:val="00FE7F4F"/>
    <w:rsid w:val="00FF0D7E"/>
    <w:rsid w:val="00FF0E8B"/>
    <w:rsid w:val="00FF1550"/>
    <w:rsid w:val="00FF19BF"/>
    <w:rsid w:val="00FF1D54"/>
    <w:rsid w:val="00FF2FA9"/>
    <w:rsid w:val="00FF30D7"/>
    <w:rsid w:val="00FF3C79"/>
    <w:rsid w:val="00FF3D19"/>
    <w:rsid w:val="00FF4063"/>
    <w:rsid w:val="00FF40B0"/>
    <w:rsid w:val="00FF41CF"/>
    <w:rsid w:val="00FF43D6"/>
    <w:rsid w:val="00FF4ADF"/>
    <w:rsid w:val="00FF6B8A"/>
    <w:rsid w:val="00FF7394"/>
    <w:rsid w:val="00FF79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7EC31D"/>
  <w15:chartTrackingRefBased/>
  <w15:docId w15:val="{022DFE19-4B5B-4CCF-AAC9-57C40B7AA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244"/>
    <w:pPr>
      <w:spacing w:after="0" w:line="240" w:lineRule="auto"/>
    </w:pPr>
    <w:rPr>
      <w:rFonts w:ascii="Verdana" w:eastAsiaTheme="minorEastAsia" w:hAnsi="Verdana"/>
      <w:sz w:val="24"/>
      <w:szCs w:val="24"/>
    </w:rPr>
  </w:style>
  <w:style w:type="paragraph" w:styleId="Heading1">
    <w:name w:val="heading 1"/>
    <w:basedOn w:val="Normal"/>
    <w:next w:val="Normal"/>
    <w:link w:val="Heading1Char"/>
    <w:uiPriority w:val="9"/>
    <w:qFormat/>
    <w:rsid w:val="009E5D23"/>
    <w:pPr>
      <w:keepNext/>
      <w:keepLines/>
      <w:numPr>
        <w:numId w:val="5"/>
      </w:numPr>
      <w:spacing w:before="240"/>
      <w:outlineLvl w:val="0"/>
    </w:pPr>
    <w:rPr>
      <w:rFonts w:eastAsiaTheme="majorEastAsia" w:cstheme="majorBidi"/>
      <w:b/>
      <w:color w:val="77328A"/>
      <w:sz w:val="30"/>
      <w:szCs w:val="32"/>
    </w:rPr>
  </w:style>
  <w:style w:type="paragraph" w:styleId="Heading2">
    <w:name w:val="heading 2"/>
    <w:basedOn w:val="Normal"/>
    <w:next w:val="Normal"/>
    <w:link w:val="Heading2Char"/>
    <w:uiPriority w:val="9"/>
    <w:unhideWhenUsed/>
    <w:qFormat/>
    <w:rsid w:val="009E5D23"/>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EF6EA0"/>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6FBC"/>
    <w:pPr>
      <w:ind w:left="720"/>
      <w:contextualSpacing/>
    </w:pPr>
  </w:style>
  <w:style w:type="character" w:styleId="Hyperlink">
    <w:name w:val="Hyperlink"/>
    <w:basedOn w:val="DefaultParagraphFont"/>
    <w:uiPriority w:val="99"/>
    <w:unhideWhenUsed/>
    <w:rsid w:val="009C14E6"/>
    <w:rPr>
      <w:color w:val="0000FF"/>
      <w:u w:val="single"/>
    </w:rPr>
  </w:style>
  <w:style w:type="table" w:styleId="TableGrid">
    <w:name w:val="Table Grid"/>
    <w:basedOn w:val="TableNormal"/>
    <w:uiPriority w:val="39"/>
    <w:rsid w:val="00CF7F55"/>
    <w:pPr>
      <w:spacing w:after="0" w:line="240" w:lineRule="auto"/>
    </w:pPr>
    <w:rPr>
      <w:rFonts w:ascii="Calibri" w:eastAsia="Calibri" w:hAnsi="Calibri"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165682"/>
    <w:rPr>
      <w:color w:val="605E5C"/>
      <w:shd w:val="clear" w:color="auto" w:fill="E1DFDD"/>
    </w:rPr>
  </w:style>
  <w:style w:type="character" w:styleId="FollowedHyperlink">
    <w:name w:val="FollowedHyperlink"/>
    <w:basedOn w:val="DefaultParagraphFont"/>
    <w:uiPriority w:val="99"/>
    <w:semiHidden/>
    <w:unhideWhenUsed/>
    <w:rsid w:val="00B901BC"/>
    <w:rPr>
      <w:color w:val="954F72" w:themeColor="followedHyperlink"/>
      <w:u w:val="single"/>
    </w:rPr>
  </w:style>
  <w:style w:type="character" w:customStyle="1" w:styleId="Heading1Char">
    <w:name w:val="Heading 1 Char"/>
    <w:basedOn w:val="DefaultParagraphFont"/>
    <w:link w:val="Heading1"/>
    <w:uiPriority w:val="9"/>
    <w:rsid w:val="009E5D23"/>
    <w:rPr>
      <w:rFonts w:ascii="Verdana" w:eastAsiaTheme="majorEastAsia" w:hAnsi="Verdana" w:cstheme="majorBidi"/>
      <w:b/>
      <w:color w:val="77328A"/>
      <w:sz w:val="30"/>
      <w:szCs w:val="32"/>
    </w:rPr>
  </w:style>
  <w:style w:type="character" w:customStyle="1" w:styleId="Heading2Char">
    <w:name w:val="Heading 2 Char"/>
    <w:basedOn w:val="DefaultParagraphFont"/>
    <w:link w:val="Heading2"/>
    <w:uiPriority w:val="9"/>
    <w:rsid w:val="009E5D23"/>
    <w:rPr>
      <w:rFonts w:ascii="Verdana" w:eastAsiaTheme="majorEastAsia" w:hAnsi="Verdana" w:cstheme="majorBidi"/>
      <w:b/>
      <w:sz w:val="24"/>
      <w:szCs w:val="26"/>
    </w:rPr>
  </w:style>
  <w:style w:type="paragraph" w:styleId="Footer">
    <w:name w:val="footer"/>
    <w:basedOn w:val="Normal"/>
    <w:link w:val="FooterChar"/>
    <w:uiPriority w:val="99"/>
    <w:unhideWhenUsed/>
    <w:rsid w:val="009E5D23"/>
    <w:pPr>
      <w:tabs>
        <w:tab w:val="center" w:pos="4320"/>
        <w:tab w:val="right" w:pos="8640"/>
      </w:tabs>
    </w:pPr>
  </w:style>
  <w:style w:type="character" w:customStyle="1" w:styleId="FooterChar">
    <w:name w:val="Footer Char"/>
    <w:basedOn w:val="DefaultParagraphFont"/>
    <w:link w:val="Footer"/>
    <w:uiPriority w:val="99"/>
    <w:rsid w:val="009E5D23"/>
    <w:rPr>
      <w:rFonts w:ascii="Verdana" w:eastAsiaTheme="minorEastAsia" w:hAnsi="Verdana"/>
      <w:sz w:val="24"/>
      <w:szCs w:val="24"/>
    </w:rPr>
  </w:style>
  <w:style w:type="paragraph" w:customStyle="1" w:styleId="BasicParagraph">
    <w:name w:val="[Basic Paragraph]"/>
    <w:basedOn w:val="Normal"/>
    <w:uiPriority w:val="99"/>
    <w:rsid w:val="009E5D23"/>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FootnoteText">
    <w:name w:val="footnote text"/>
    <w:basedOn w:val="Normal"/>
    <w:link w:val="FootnoteTextChar"/>
    <w:uiPriority w:val="99"/>
    <w:unhideWhenUsed/>
    <w:rsid w:val="009E5D23"/>
  </w:style>
  <w:style w:type="character" w:customStyle="1" w:styleId="FootnoteTextChar">
    <w:name w:val="Footnote Text Char"/>
    <w:basedOn w:val="DefaultParagraphFont"/>
    <w:link w:val="FootnoteText"/>
    <w:uiPriority w:val="99"/>
    <w:rsid w:val="009E5D23"/>
    <w:rPr>
      <w:rFonts w:ascii="Verdana" w:eastAsiaTheme="minorEastAsia" w:hAnsi="Verdana"/>
      <w:sz w:val="24"/>
      <w:szCs w:val="24"/>
    </w:rPr>
  </w:style>
  <w:style w:type="character" w:styleId="FootnoteReference">
    <w:name w:val="footnote reference"/>
    <w:basedOn w:val="DefaultParagraphFont"/>
    <w:uiPriority w:val="99"/>
    <w:unhideWhenUsed/>
    <w:rsid w:val="009E5D23"/>
    <w:rPr>
      <w:vertAlign w:val="superscript"/>
    </w:rPr>
  </w:style>
  <w:style w:type="character" w:styleId="PageNumber">
    <w:name w:val="page number"/>
    <w:basedOn w:val="DefaultParagraphFont"/>
    <w:uiPriority w:val="99"/>
    <w:semiHidden/>
    <w:unhideWhenUsed/>
    <w:rsid w:val="009E5D23"/>
  </w:style>
  <w:style w:type="paragraph" w:customStyle="1" w:styleId="Default">
    <w:name w:val="Default"/>
    <w:rsid w:val="009E5D23"/>
    <w:pPr>
      <w:widowControl w:val="0"/>
      <w:autoSpaceDE w:val="0"/>
      <w:autoSpaceDN w:val="0"/>
      <w:adjustRightInd w:val="0"/>
      <w:spacing w:after="0" w:line="240" w:lineRule="auto"/>
    </w:pPr>
    <w:rPr>
      <w:rFonts w:ascii="Verdana" w:eastAsiaTheme="minorEastAsia" w:hAnsi="Verdana" w:cs="Verdana"/>
      <w:color w:val="000000"/>
      <w:sz w:val="24"/>
      <w:szCs w:val="24"/>
      <w:lang w:val="en-US"/>
    </w:rPr>
  </w:style>
  <w:style w:type="paragraph" w:customStyle="1" w:styleId="NIHRCFootnotes">
    <w:name w:val="NIHRC Footnotes"/>
    <w:basedOn w:val="Normal"/>
    <w:qFormat/>
    <w:rsid w:val="009E5D23"/>
    <w:pPr>
      <w:tabs>
        <w:tab w:val="left" w:pos="284"/>
      </w:tabs>
    </w:pPr>
    <w:rPr>
      <w:rFonts w:cs="Arial"/>
      <w:color w:val="77328A"/>
      <w:sz w:val="16"/>
      <w:szCs w:val="16"/>
    </w:rPr>
  </w:style>
  <w:style w:type="paragraph" w:styleId="TOCHeading">
    <w:name w:val="TOC Heading"/>
    <w:basedOn w:val="Heading1"/>
    <w:next w:val="Normal"/>
    <w:uiPriority w:val="39"/>
    <w:unhideWhenUsed/>
    <w:qFormat/>
    <w:rsid w:val="009E5D23"/>
    <w:pPr>
      <w:numPr>
        <w:numId w:val="0"/>
      </w:numPr>
      <w:spacing w:line="259" w:lineRule="auto"/>
      <w:outlineLvl w:val="9"/>
    </w:pPr>
    <w:rPr>
      <w:rFonts w:asciiTheme="majorHAnsi" w:hAnsiTheme="majorHAnsi"/>
      <w:b w:val="0"/>
      <w:color w:val="2F5496" w:themeColor="accent1" w:themeShade="BF"/>
      <w:sz w:val="32"/>
      <w:lang w:val="en-US"/>
    </w:rPr>
  </w:style>
  <w:style w:type="paragraph" w:styleId="TOC2">
    <w:name w:val="toc 2"/>
    <w:basedOn w:val="Normal"/>
    <w:next w:val="Normal"/>
    <w:autoRedefine/>
    <w:uiPriority w:val="39"/>
    <w:unhideWhenUsed/>
    <w:rsid w:val="009E5D23"/>
    <w:pPr>
      <w:spacing w:after="100" w:line="259" w:lineRule="auto"/>
      <w:ind w:left="220"/>
    </w:pPr>
    <w:rPr>
      <w:rFonts w:cs="Times New Roman"/>
      <w:sz w:val="22"/>
      <w:szCs w:val="22"/>
      <w:lang w:val="en-US"/>
    </w:rPr>
  </w:style>
  <w:style w:type="paragraph" w:styleId="TOC1">
    <w:name w:val="toc 1"/>
    <w:basedOn w:val="Normal"/>
    <w:next w:val="Normal"/>
    <w:autoRedefine/>
    <w:uiPriority w:val="39"/>
    <w:unhideWhenUsed/>
    <w:rsid w:val="009E5D23"/>
    <w:pPr>
      <w:spacing w:after="100" w:line="259" w:lineRule="auto"/>
    </w:pPr>
    <w:rPr>
      <w:rFonts w:cs="Times New Roman"/>
      <w:sz w:val="22"/>
      <w:szCs w:val="22"/>
      <w:lang w:val="en-US"/>
    </w:rPr>
  </w:style>
  <w:style w:type="paragraph" w:styleId="Header">
    <w:name w:val="header"/>
    <w:basedOn w:val="Normal"/>
    <w:link w:val="HeaderChar"/>
    <w:uiPriority w:val="99"/>
    <w:unhideWhenUsed/>
    <w:rsid w:val="00847724"/>
    <w:pPr>
      <w:tabs>
        <w:tab w:val="center" w:pos="4513"/>
        <w:tab w:val="right" w:pos="9026"/>
      </w:tabs>
    </w:pPr>
  </w:style>
  <w:style w:type="character" w:customStyle="1" w:styleId="HeaderChar">
    <w:name w:val="Header Char"/>
    <w:basedOn w:val="DefaultParagraphFont"/>
    <w:link w:val="Header"/>
    <w:uiPriority w:val="99"/>
    <w:rsid w:val="00847724"/>
    <w:rPr>
      <w:rFonts w:ascii="Verdana" w:eastAsiaTheme="minorEastAsia" w:hAnsi="Verdana"/>
      <w:sz w:val="24"/>
      <w:szCs w:val="24"/>
    </w:rPr>
  </w:style>
  <w:style w:type="character" w:styleId="CommentReference">
    <w:name w:val="annotation reference"/>
    <w:basedOn w:val="DefaultParagraphFont"/>
    <w:uiPriority w:val="99"/>
    <w:semiHidden/>
    <w:unhideWhenUsed/>
    <w:rsid w:val="00F16652"/>
    <w:rPr>
      <w:sz w:val="16"/>
      <w:szCs w:val="16"/>
    </w:rPr>
  </w:style>
  <w:style w:type="paragraph" w:styleId="CommentText">
    <w:name w:val="annotation text"/>
    <w:basedOn w:val="Normal"/>
    <w:link w:val="CommentTextChar"/>
    <w:uiPriority w:val="99"/>
    <w:semiHidden/>
    <w:unhideWhenUsed/>
    <w:rsid w:val="00F16652"/>
    <w:rPr>
      <w:sz w:val="20"/>
      <w:szCs w:val="20"/>
    </w:rPr>
  </w:style>
  <w:style w:type="character" w:customStyle="1" w:styleId="CommentTextChar">
    <w:name w:val="Comment Text Char"/>
    <w:basedOn w:val="DefaultParagraphFont"/>
    <w:link w:val="CommentText"/>
    <w:uiPriority w:val="99"/>
    <w:semiHidden/>
    <w:rsid w:val="00F16652"/>
    <w:rPr>
      <w:rFonts w:ascii="Verdana" w:eastAsiaTheme="minorEastAsia" w:hAnsi="Verdana"/>
      <w:sz w:val="20"/>
      <w:szCs w:val="20"/>
    </w:rPr>
  </w:style>
  <w:style w:type="paragraph" w:styleId="CommentSubject">
    <w:name w:val="annotation subject"/>
    <w:basedOn w:val="CommentText"/>
    <w:next w:val="CommentText"/>
    <w:link w:val="CommentSubjectChar"/>
    <w:uiPriority w:val="99"/>
    <w:semiHidden/>
    <w:unhideWhenUsed/>
    <w:rsid w:val="00F16652"/>
    <w:rPr>
      <w:b/>
      <w:bCs/>
    </w:rPr>
  </w:style>
  <w:style w:type="character" w:customStyle="1" w:styleId="CommentSubjectChar">
    <w:name w:val="Comment Subject Char"/>
    <w:basedOn w:val="CommentTextChar"/>
    <w:link w:val="CommentSubject"/>
    <w:uiPriority w:val="99"/>
    <w:semiHidden/>
    <w:rsid w:val="00F16652"/>
    <w:rPr>
      <w:rFonts w:ascii="Verdana" w:eastAsiaTheme="minorEastAsia" w:hAnsi="Verdana"/>
      <w:b/>
      <w:bCs/>
      <w:sz w:val="20"/>
      <w:szCs w:val="20"/>
    </w:rPr>
  </w:style>
  <w:style w:type="paragraph" w:styleId="BalloonText">
    <w:name w:val="Balloon Text"/>
    <w:basedOn w:val="Normal"/>
    <w:link w:val="BalloonTextChar"/>
    <w:uiPriority w:val="99"/>
    <w:semiHidden/>
    <w:unhideWhenUsed/>
    <w:rsid w:val="00F166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6652"/>
    <w:rPr>
      <w:rFonts w:ascii="Segoe UI" w:eastAsiaTheme="minorEastAsia" w:hAnsi="Segoe UI" w:cs="Segoe UI"/>
      <w:sz w:val="18"/>
      <w:szCs w:val="18"/>
    </w:rPr>
  </w:style>
  <w:style w:type="character" w:styleId="Emphasis">
    <w:name w:val="Emphasis"/>
    <w:basedOn w:val="DefaultParagraphFont"/>
    <w:uiPriority w:val="20"/>
    <w:qFormat/>
    <w:rsid w:val="001C0E55"/>
    <w:rPr>
      <w:i/>
      <w:iCs/>
    </w:rPr>
  </w:style>
  <w:style w:type="character" w:customStyle="1" w:styleId="UnresolvedMention2">
    <w:name w:val="Unresolved Mention2"/>
    <w:basedOn w:val="DefaultParagraphFont"/>
    <w:uiPriority w:val="99"/>
    <w:semiHidden/>
    <w:unhideWhenUsed/>
    <w:rsid w:val="00926903"/>
    <w:rPr>
      <w:color w:val="605E5C"/>
      <w:shd w:val="clear" w:color="auto" w:fill="E1DFDD"/>
    </w:rPr>
  </w:style>
  <w:style w:type="character" w:customStyle="1" w:styleId="Heading3Char">
    <w:name w:val="Heading 3 Char"/>
    <w:basedOn w:val="DefaultParagraphFont"/>
    <w:link w:val="Heading3"/>
    <w:uiPriority w:val="9"/>
    <w:semiHidden/>
    <w:rsid w:val="00EF6EA0"/>
    <w:rPr>
      <w:rFonts w:asciiTheme="majorHAnsi" w:eastAsiaTheme="majorEastAsia" w:hAnsiTheme="majorHAnsi" w:cstheme="majorBidi"/>
      <w:color w:val="1F3763" w:themeColor="accent1" w:themeShade="7F"/>
      <w:sz w:val="24"/>
      <w:szCs w:val="24"/>
    </w:rPr>
  </w:style>
  <w:style w:type="character" w:customStyle="1" w:styleId="UnresolvedMention3">
    <w:name w:val="Unresolved Mention3"/>
    <w:basedOn w:val="DefaultParagraphFont"/>
    <w:uiPriority w:val="99"/>
    <w:semiHidden/>
    <w:unhideWhenUsed/>
    <w:rsid w:val="0038698C"/>
    <w:rPr>
      <w:color w:val="605E5C"/>
      <w:shd w:val="clear" w:color="auto" w:fill="E1DFDD"/>
    </w:rPr>
  </w:style>
  <w:style w:type="character" w:styleId="UnresolvedMention">
    <w:name w:val="Unresolved Mention"/>
    <w:basedOn w:val="DefaultParagraphFont"/>
    <w:uiPriority w:val="99"/>
    <w:semiHidden/>
    <w:unhideWhenUsed/>
    <w:rsid w:val="00EC27C2"/>
    <w:rPr>
      <w:color w:val="605E5C"/>
      <w:shd w:val="clear" w:color="auto" w:fill="E1DFDD"/>
    </w:rPr>
  </w:style>
  <w:style w:type="paragraph" w:styleId="NormalWeb">
    <w:name w:val="Normal (Web)"/>
    <w:basedOn w:val="Normal"/>
    <w:uiPriority w:val="99"/>
    <w:semiHidden/>
    <w:unhideWhenUsed/>
    <w:rsid w:val="0068447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83159">
      <w:bodyDiv w:val="1"/>
      <w:marLeft w:val="0"/>
      <w:marRight w:val="0"/>
      <w:marTop w:val="0"/>
      <w:marBottom w:val="0"/>
      <w:divBdr>
        <w:top w:val="none" w:sz="0" w:space="0" w:color="auto"/>
        <w:left w:val="none" w:sz="0" w:space="0" w:color="auto"/>
        <w:bottom w:val="none" w:sz="0" w:space="0" w:color="auto"/>
        <w:right w:val="none" w:sz="0" w:space="0" w:color="auto"/>
      </w:divBdr>
    </w:div>
    <w:div w:id="157622447">
      <w:bodyDiv w:val="1"/>
      <w:marLeft w:val="0"/>
      <w:marRight w:val="0"/>
      <w:marTop w:val="0"/>
      <w:marBottom w:val="0"/>
      <w:divBdr>
        <w:top w:val="none" w:sz="0" w:space="0" w:color="auto"/>
        <w:left w:val="none" w:sz="0" w:space="0" w:color="auto"/>
        <w:bottom w:val="none" w:sz="0" w:space="0" w:color="auto"/>
        <w:right w:val="none" w:sz="0" w:space="0" w:color="auto"/>
      </w:divBdr>
    </w:div>
    <w:div w:id="240872757">
      <w:bodyDiv w:val="1"/>
      <w:marLeft w:val="0"/>
      <w:marRight w:val="0"/>
      <w:marTop w:val="0"/>
      <w:marBottom w:val="0"/>
      <w:divBdr>
        <w:top w:val="none" w:sz="0" w:space="0" w:color="auto"/>
        <w:left w:val="none" w:sz="0" w:space="0" w:color="auto"/>
        <w:bottom w:val="none" w:sz="0" w:space="0" w:color="auto"/>
        <w:right w:val="none" w:sz="0" w:space="0" w:color="auto"/>
      </w:divBdr>
      <w:divsChild>
        <w:div w:id="1375738082">
          <w:marLeft w:val="0"/>
          <w:marRight w:val="0"/>
          <w:marTop w:val="0"/>
          <w:marBottom w:val="0"/>
          <w:divBdr>
            <w:top w:val="none" w:sz="0" w:space="0" w:color="auto"/>
            <w:left w:val="none" w:sz="0" w:space="0" w:color="auto"/>
            <w:bottom w:val="none" w:sz="0" w:space="0" w:color="auto"/>
            <w:right w:val="none" w:sz="0" w:space="0" w:color="auto"/>
          </w:divBdr>
        </w:div>
        <w:div w:id="857888967">
          <w:marLeft w:val="0"/>
          <w:marRight w:val="0"/>
          <w:marTop w:val="0"/>
          <w:marBottom w:val="0"/>
          <w:divBdr>
            <w:top w:val="none" w:sz="0" w:space="0" w:color="auto"/>
            <w:left w:val="none" w:sz="0" w:space="0" w:color="auto"/>
            <w:bottom w:val="none" w:sz="0" w:space="0" w:color="auto"/>
            <w:right w:val="none" w:sz="0" w:space="0" w:color="auto"/>
          </w:divBdr>
        </w:div>
        <w:div w:id="1887907129">
          <w:marLeft w:val="0"/>
          <w:marRight w:val="0"/>
          <w:marTop w:val="0"/>
          <w:marBottom w:val="0"/>
          <w:divBdr>
            <w:top w:val="none" w:sz="0" w:space="0" w:color="auto"/>
            <w:left w:val="none" w:sz="0" w:space="0" w:color="auto"/>
            <w:bottom w:val="none" w:sz="0" w:space="0" w:color="auto"/>
            <w:right w:val="none" w:sz="0" w:space="0" w:color="auto"/>
          </w:divBdr>
        </w:div>
        <w:div w:id="109671925">
          <w:marLeft w:val="0"/>
          <w:marRight w:val="0"/>
          <w:marTop w:val="0"/>
          <w:marBottom w:val="0"/>
          <w:divBdr>
            <w:top w:val="none" w:sz="0" w:space="0" w:color="auto"/>
            <w:left w:val="none" w:sz="0" w:space="0" w:color="auto"/>
            <w:bottom w:val="none" w:sz="0" w:space="0" w:color="auto"/>
            <w:right w:val="none" w:sz="0" w:space="0" w:color="auto"/>
          </w:divBdr>
        </w:div>
        <w:div w:id="1384014505">
          <w:marLeft w:val="0"/>
          <w:marRight w:val="0"/>
          <w:marTop w:val="0"/>
          <w:marBottom w:val="0"/>
          <w:divBdr>
            <w:top w:val="none" w:sz="0" w:space="0" w:color="auto"/>
            <w:left w:val="none" w:sz="0" w:space="0" w:color="auto"/>
            <w:bottom w:val="none" w:sz="0" w:space="0" w:color="auto"/>
            <w:right w:val="none" w:sz="0" w:space="0" w:color="auto"/>
          </w:divBdr>
        </w:div>
      </w:divsChild>
    </w:div>
    <w:div w:id="288779299">
      <w:bodyDiv w:val="1"/>
      <w:marLeft w:val="0"/>
      <w:marRight w:val="0"/>
      <w:marTop w:val="0"/>
      <w:marBottom w:val="0"/>
      <w:divBdr>
        <w:top w:val="none" w:sz="0" w:space="0" w:color="auto"/>
        <w:left w:val="none" w:sz="0" w:space="0" w:color="auto"/>
        <w:bottom w:val="none" w:sz="0" w:space="0" w:color="auto"/>
        <w:right w:val="none" w:sz="0" w:space="0" w:color="auto"/>
      </w:divBdr>
    </w:div>
    <w:div w:id="323120449">
      <w:bodyDiv w:val="1"/>
      <w:marLeft w:val="0"/>
      <w:marRight w:val="0"/>
      <w:marTop w:val="0"/>
      <w:marBottom w:val="0"/>
      <w:divBdr>
        <w:top w:val="none" w:sz="0" w:space="0" w:color="auto"/>
        <w:left w:val="none" w:sz="0" w:space="0" w:color="auto"/>
        <w:bottom w:val="none" w:sz="0" w:space="0" w:color="auto"/>
        <w:right w:val="none" w:sz="0" w:space="0" w:color="auto"/>
      </w:divBdr>
    </w:div>
    <w:div w:id="332954308">
      <w:bodyDiv w:val="1"/>
      <w:marLeft w:val="0"/>
      <w:marRight w:val="0"/>
      <w:marTop w:val="0"/>
      <w:marBottom w:val="0"/>
      <w:divBdr>
        <w:top w:val="none" w:sz="0" w:space="0" w:color="auto"/>
        <w:left w:val="none" w:sz="0" w:space="0" w:color="auto"/>
        <w:bottom w:val="none" w:sz="0" w:space="0" w:color="auto"/>
        <w:right w:val="none" w:sz="0" w:space="0" w:color="auto"/>
      </w:divBdr>
    </w:div>
    <w:div w:id="384791531">
      <w:bodyDiv w:val="1"/>
      <w:marLeft w:val="0"/>
      <w:marRight w:val="0"/>
      <w:marTop w:val="0"/>
      <w:marBottom w:val="0"/>
      <w:divBdr>
        <w:top w:val="none" w:sz="0" w:space="0" w:color="auto"/>
        <w:left w:val="none" w:sz="0" w:space="0" w:color="auto"/>
        <w:bottom w:val="none" w:sz="0" w:space="0" w:color="auto"/>
        <w:right w:val="none" w:sz="0" w:space="0" w:color="auto"/>
      </w:divBdr>
    </w:div>
    <w:div w:id="403182916">
      <w:bodyDiv w:val="1"/>
      <w:marLeft w:val="0"/>
      <w:marRight w:val="0"/>
      <w:marTop w:val="0"/>
      <w:marBottom w:val="0"/>
      <w:divBdr>
        <w:top w:val="none" w:sz="0" w:space="0" w:color="auto"/>
        <w:left w:val="none" w:sz="0" w:space="0" w:color="auto"/>
        <w:bottom w:val="none" w:sz="0" w:space="0" w:color="auto"/>
        <w:right w:val="none" w:sz="0" w:space="0" w:color="auto"/>
      </w:divBdr>
    </w:div>
    <w:div w:id="428623458">
      <w:bodyDiv w:val="1"/>
      <w:marLeft w:val="0"/>
      <w:marRight w:val="0"/>
      <w:marTop w:val="0"/>
      <w:marBottom w:val="0"/>
      <w:divBdr>
        <w:top w:val="none" w:sz="0" w:space="0" w:color="auto"/>
        <w:left w:val="none" w:sz="0" w:space="0" w:color="auto"/>
        <w:bottom w:val="none" w:sz="0" w:space="0" w:color="auto"/>
        <w:right w:val="none" w:sz="0" w:space="0" w:color="auto"/>
      </w:divBdr>
    </w:div>
    <w:div w:id="506792342">
      <w:bodyDiv w:val="1"/>
      <w:marLeft w:val="0"/>
      <w:marRight w:val="0"/>
      <w:marTop w:val="0"/>
      <w:marBottom w:val="0"/>
      <w:divBdr>
        <w:top w:val="none" w:sz="0" w:space="0" w:color="auto"/>
        <w:left w:val="none" w:sz="0" w:space="0" w:color="auto"/>
        <w:bottom w:val="none" w:sz="0" w:space="0" w:color="auto"/>
        <w:right w:val="none" w:sz="0" w:space="0" w:color="auto"/>
      </w:divBdr>
    </w:div>
    <w:div w:id="577592460">
      <w:bodyDiv w:val="1"/>
      <w:marLeft w:val="0"/>
      <w:marRight w:val="0"/>
      <w:marTop w:val="0"/>
      <w:marBottom w:val="0"/>
      <w:divBdr>
        <w:top w:val="none" w:sz="0" w:space="0" w:color="auto"/>
        <w:left w:val="none" w:sz="0" w:space="0" w:color="auto"/>
        <w:bottom w:val="none" w:sz="0" w:space="0" w:color="auto"/>
        <w:right w:val="none" w:sz="0" w:space="0" w:color="auto"/>
      </w:divBdr>
    </w:div>
    <w:div w:id="666905923">
      <w:bodyDiv w:val="1"/>
      <w:marLeft w:val="0"/>
      <w:marRight w:val="0"/>
      <w:marTop w:val="0"/>
      <w:marBottom w:val="0"/>
      <w:divBdr>
        <w:top w:val="none" w:sz="0" w:space="0" w:color="auto"/>
        <w:left w:val="none" w:sz="0" w:space="0" w:color="auto"/>
        <w:bottom w:val="none" w:sz="0" w:space="0" w:color="auto"/>
        <w:right w:val="none" w:sz="0" w:space="0" w:color="auto"/>
      </w:divBdr>
    </w:div>
    <w:div w:id="685442595">
      <w:bodyDiv w:val="1"/>
      <w:marLeft w:val="0"/>
      <w:marRight w:val="0"/>
      <w:marTop w:val="0"/>
      <w:marBottom w:val="0"/>
      <w:divBdr>
        <w:top w:val="none" w:sz="0" w:space="0" w:color="auto"/>
        <w:left w:val="none" w:sz="0" w:space="0" w:color="auto"/>
        <w:bottom w:val="none" w:sz="0" w:space="0" w:color="auto"/>
        <w:right w:val="none" w:sz="0" w:space="0" w:color="auto"/>
      </w:divBdr>
    </w:div>
    <w:div w:id="707879984">
      <w:bodyDiv w:val="1"/>
      <w:marLeft w:val="0"/>
      <w:marRight w:val="0"/>
      <w:marTop w:val="0"/>
      <w:marBottom w:val="0"/>
      <w:divBdr>
        <w:top w:val="none" w:sz="0" w:space="0" w:color="auto"/>
        <w:left w:val="none" w:sz="0" w:space="0" w:color="auto"/>
        <w:bottom w:val="none" w:sz="0" w:space="0" w:color="auto"/>
        <w:right w:val="none" w:sz="0" w:space="0" w:color="auto"/>
      </w:divBdr>
    </w:div>
    <w:div w:id="732966655">
      <w:bodyDiv w:val="1"/>
      <w:marLeft w:val="0"/>
      <w:marRight w:val="0"/>
      <w:marTop w:val="0"/>
      <w:marBottom w:val="0"/>
      <w:divBdr>
        <w:top w:val="none" w:sz="0" w:space="0" w:color="auto"/>
        <w:left w:val="none" w:sz="0" w:space="0" w:color="auto"/>
        <w:bottom w:val="none" w:sz="0" w:space="0" w:color="auto"/>
        <w:right w:val="none" w:sz="0" w:space="0" w:color="auto"/>
      </w:divBdr>
    </w:div>
    <w:div w:id="747653153">
      <w:bodyDiv w:val="1"/>
      <w:marLeft w:val="0"/>
      <w:marRight w:val="0"/>
      <w:marTop w:val="0"/>
      <w:marBottom w:val="0"/>
      <w:divBdr>
        <w:top w:val="none" w:sz="0" w:space="0" w:color="auto"/>
        <w:left w:val="none" w:sz="0" w:space="0" w:color="auto"/>
        <w:bottom w:val="none" w:sz="0" w:space="0" w:color="auto"/>
        <w:right w:val="none" w:sz="0" w:space="0" w:color="auto"/>
      </w:divBdr>
    </w:div>
    <w:div w:id="906380717">
      <w:bodyDiv w:val="1"/>
      <w:marLeft w:val="0"/>
      <w:marRight w:val="0"/>
      <w:marTop w:val="0"/>
      <w:marBottom w:val="0"/>
      <w:divBdr>
        <w:top w:val="none" w:sz="0" w:space="0" w:color="auto"/>
        <w:left w:val="none" w:sz="0" w:space="0" w:color="auto"/>
        <w:bottom w:val="none" w:sz="0" w:space="0" w:color="auto"/>
        <w:right w:val="none" w:sz="0" w:space="0" w:color="auto"/>
      </w:divBdr>
    </w:div>
    <w:div w:id="949166138">
      <w:bodyDiv w:val="1"/>
      <w:marLeft w:val="0"/>
      <w:marRight w:val="0"/>
      <w:marTop w:val="0"/>
      <w:marBottom w:val="0"/>
      <w:divBdr>
        <w:top w:val="none" w:sz="0" w:space="0" w:color="auto"/>
        <w:left w:val="none" w:sz="0" w:space="0" w:color="auto"/>
        <w:bottom w:val="none" w:sz="0" w:space="0" w:color="auto"/>
        <w:right w:val="none" w:sz="0" w:space="0" w:color="auto"/>
      </w:divBdr>
    </w:div>
    <w:div w:id="959068287">
      <w:bodyDiv w:val="1"/>
      <w:marLeft w:val="0"/>
      <w:marRight w:val="0"/>
      <w:marTop w:val="0"/>
      <w:marBottom w:val="0"/>
      <w:divBdr>
        <w:top w:val="none" w:sz="0" w:space="0" w:color="auto"/>
        <w:left w:val="none" w:sz="0" w:space="0" w:color="auto"/>
        <w:bottom w:val="none" w:sz="0" w:space="0" w:color="auto"/>
        <w:right w:val="none" w:sz="0" w:space="0" w:color="auto"/>
      </w:divBdr>
    </w:div>
    <w:div w:id="1034963804">
      <w:bodyDiv w:val="1"/>
      <w:marLeft w:val="0"/>
      <w:marRight w:val="0"/>
      <w:marTop w:val="0"/>
      <w:marBottom w:val="0"/>
      <w:divBdr>
        <w:top w:val="none" w:sz="0" w:space="0" w:color="auto"/>
        <w:left w:val="none" w:sz="0" w:space="0" w:color="auto"/>
        <w:bottom w:val="none" w:sz="0" w:space="0" w:color="auto"/>
        <w:right w:val="none" w:sz="0" w:space="0" w:color="auto"/>
      </w:divBdr>
    </w:div>
    <w:div w:id="1068578099">
      <w:bodyDiv w:val="1"/>
      <w:marLeft w:val="0"/>
      <w:marRight w:val="0"/>
      <w:marTop w:val="0"/>
      <w:marBottom w:val="0"/>
      <w:divBdr>
        <w:top w:val="none" w:sz="0" w:space="0" w:color="auto"/>
        <w:left w:val="none" w:sz="0" w:space="0" w:color="auto"/>
        <w:bottom w:val="none" w:sz="0" w:space="0" w:color="auto"/>
        <w:right w:val="none" w:sz="0" w:space="0" w:color="auto"/>
      </w:divBdr>
    </w:div>
    <w:div w:id="1258056999">
      <w:bodyDiv w:val="1"/>
      <w:marLeft w:val="0"/>
      <w:marRight w:val="0"/>
      <w:marTop w:val="0"/>
      <w:marBottom w:val="0"/>
      <w:divBdr>
        <w:top w:val="none" w:sz="0" w:space="0" w:color="auto"/>
        <w:left w:val="none" w:sz="0" w:space="0" w:color="auto"/>
        <w:bottom w:val="none" w:sz="0" w:space="0" w:color="auto"/>
        <w:right w:val="none" w:sz="0" w:space="0" w:color="auto"/>
      </w:divBdr>
    </w:div>
    <w:div w:id="1264460460">
      <w:bodyDiv w:val="1"/>
      <w:marLeft w:val="0"/>
      <w:marRight w:val="0"/>
      <w:marTop w:val="0"/>
      <w:marBottom w:val="0"/>
      <w:divBdr>
        <w:top w:val="none" w:sz="0" w:space="0" w:color="auto"/>
        <w:left w:val="none" w:sz="0" w:space="0" w:color="auto"/>
        <w:bottom w:val="none" w:sz="0" w:space="0" w:color="auto"/>
        <w:right w:val="none" w:sz="0" w:space="0" w:color="auto"/>
      </w:divBdr>
    </w:div>
    <w:div w:id="1421607048">
      <w:bodyDiv w:val="1"/>
      <w:marLeft w:val="0"/>
      <w:marRight w:val="0"/>
      <w:marTop w:val="0"/>
      <w:marBottom w:val="0"/>
      <w:divBdr>
        <w:top w:val="none" w:sz="0" w:space="0" w:color="auto"/>
        <w:left w:val="none" w:sz="0" w:space="0" w:color="auto"/>
        <w:bottom w:val="none" w:sz="0" w:space="0" w:color="auto"/>
        <w:right w:val="none" w:sz="0" w:space="0" w:color="auto"/>
      </w:divBdr>
    </w:div>
    <w:div w:id="1505049048">
      <w:bodyDiv w:val="1"/>
      <w:marLeft w:val="0"/>
      <w:marRight w:val="0"/>
      <w:marTop w:val="0"/>
      <w:marBottom w:val="0"/>
      <w:divBdr>
        <w:top w:val="none" w:sz="0" w:space="0" w:color="auto"/>
        <w:left w:val="none" w:sz="0" w:space="0" w:color="auto"/>
        <w:bottom w:val="none" w:sz="0" w:space="0" w:color="auto"/>
        <w:right w:val="none" w:sz="0" w:space="0" w:color="auto"/>
      </w:divBdr>
    </w:div>
    <w:div w:id="1678071466">
      <w:bodyDiv w:val="1"/>
      <w:marLeft w:val="0"/>
      <w:marRight w:val="0"/>
      <w:marTop w:val="0"/>
      <w:marBottom w:val="0"/>
      <w:divBdr>
        <w:top w:val="none" w:sz="0" w:space="0" w:color="auto"/>
        <w:left w:val="none" w:sz="0" w:space="0" w:color="auto"/>
        <w:bottom w:val="none" w:sz="0" w:space="0" w:color="auto"/>
        <w:right w:val="none" w:sz="0" w:space="0" w:color="auto"/>
      </w:divBdr>
    </w:div>
    <w:div w:id="1866477869">
      <w:bodyDiv w:val="1"/>
      <w:marLeft w:val="0"/>
      <w:marRight w:val="0"/>
      <w:marTop w:val="0"/>
      <w:marBottom w:val="0"/>
      <w:divBdr>
        <w:top w:val="none" w:sz="0" w:space="0" w:color="auto"/>
        <w:left w:val="none" w:sz="0" w:space="0" w:color="auto"/>
        <w:bottom w:val="none" w:sz="0" w:space="0" w:color="auto"/>
        <w:right w:val="none" w:sz="0" w:space="0" w:color="auto"/>
      </w:divBdr>
    </w:div>
    <w:div w:id="1873225675">
      <w:bodyDiv w:val="1"/>
      <w:marLeft w:val="0"/>
      <w:marRight w:val="0"/>
      <w:marTop w:val="0"/>
      <w:marBottom w:val="0"/>
      <w:divBdr>
        <w:top w:val="none" w:sz="0" w:space="0" w:color="auto"/>
        <w:left w:val="none" w:sz="0" w:space="0" w:color="auto"/>
        <w:bottom w:val="none" w:sz="0" w:space="0" w:color="auto"/>
        <w:right w:val="none" w:sz="0" w:space="0" w:color="auto"/>
      </w:divBdr>
    </w:div>
    <w:div w:id="2063481949">
      <w:bodyDiv w:val="1"/>
      <w:marLeft w:val="0"/>
      <w:marRight w:val="0"/>
      <w:marTop w:val="0"/>
      <w:marBottom w:val="0"/>
      <w:divBdr>
        <w:top w:val="none" w:sz="0" w:space="0" w:color="auto"/>
        <w:left w:val="none" w:sz="0" w:space="0" w:color="auto"/>
        <w:bottom w:val="none" w:sz="0" w:space="0" w:color="auto"/>
        <w:right w:val="none" w:sz="0" w:space="0" w:color="auto"/>
      </w:divBdr>
    </w:div>
    <w:div w:id="2076783035">
      <w:bodyDiv w:val="1"/>
      <w:marLeft w:val="0"/>
      <w:marRight w:val="0"/>
      <w:marTop w:val="0"/>
      <w:marBottom w:val="0"/>
      <w:divBdr>
        <w:top w:val="none" w:sz="0" w:space="0" w:color="auto"/>
        <w:left w:val="none" w:sz="0" w:space="0" w:color="auto"/>
        <w:bottom w:val="none" w:sz="0" w:space="0" w:color="auto"/>
        <w:right w:val="none" w:sz="0" w:space="0" w:color="auto"/>
      </w:divBdr>
    </w:div>
    <w:div w:id="2098331893">
      <w:bodyDiv w:val="1"/>
      <w:marLeft w:val="0"/>
      <w:marRight w:val="0"/>
      <w:marTop w:val="0"/>
      <w:marBottom w:val="0"/>
      <w:divBdr>
        <w:top w:val="none" w:sz="0" w:space="0" w:color="auto"/>
        <w:left w:val="none" w:sz="0" w:space="0" w:color="auto"/>
        <w:bottom w:val="none" w:sz="0" w:space="0" w:color="auto"/>
        <w:right w:val="none" w:sz="0" w:space="0" w:color="auto"/>
      </w:divBdr>
    </w:div>
    <w:div w:id="211702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nihrc.org" TargetMode="External"/><Relationship Id="rId4" Type="http://schemas.openxmlformats.org/officeDocument/2006/relationships/settings" Target="settings.xml"/><Relationship Id="rId9" Type="http://schemas.openxmlformats.org/officeDocument/2006/relationships/hyperlink" Target="http://www.nihrc.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4143CE-D8AC-492D-9C24-C090110D2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12</Pages>
  <Words>3272</Words>
  <Characters>18656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Black</dc:creator>
  <cp:keywords/>
  <dc:description/>
  <cp:lastModifiedBy>Michael Black</cp:lastModifiedBy>
  <cp:revision>7</cp:revision>
  <cp:lastPrinted>2021-07-09T11:47:00Z</cp:lastPrinted>
  <dcterms:created xsi:type="dcterms:W3CDTF">2021-09-29T17:29:00Z</dcterms:created>
  <dcterms:modified xsi:type="dcterms:W3CDTF">2021-09-30T12:19:00Z</dcterms:modified>
</cp:coreProperties>
</file>