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C317" w14:textId="77777777" w:rsidR="00F31387" w:rsidRDefault="00F31387" w:rsidP="00001572">
      <w:pPr>
        <w:pStyle w:val="BasicParagraph"/>
        <w:suppressAutoHyphens/>
        <w:ind w:left="709" w:hanging="709"/>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86B5835" wp14:editId="6923B7C7">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A20FE6C" w14:textId="2DC04DD2" w:rsidR="0096459E" w:rsidRPr="003B7D0E" w:rsidRDefault="009B7888" w:rsidP="00001572">
      <w:pPr>
        <w:pStyle w:val="BasicParagraph"/>
        <w:suppressAutoHyphens/>
        <w:ind w:left="709" w:hanging="709"/>
        <w:jc w:val="center"/>
        <w:rPr>
          <w:rFonts w:ascii="Verdana" w:hAnsi="Verdana" w:cs="Arial"/>
          <w:b/>
          <w:color w:val="77328A"/>
          <w:sz w:val="36"/>
          <w:szCs w:val="36"/>
        </w:rPr>
      </w:pPr>
      <w:r>
        <w:rPr>
          <w:rFonts w:ascii="Verdana" w:hAnsi="Verdana" w:cs="Arial"/>
          <w:b/>
          <w:bCs/>
          <w:color w:val="734791"/>
          <w:sz w:val="36"/>
          <w:szCs w:val="36"/>
        </w:rPr>
        <w:t xml:space="preserve">NIHRC Response to the Department of Justice </w:t>
      </w:r>
      <w:r w:rsidR="00153141">
        <w:rPr>
          <w:rFonts w:ascii="Verdana" w:hAnsi="Verdana" w:cs="Arial"/>
          <w:b/>
          <w:bCs/>
          <w:color w:val="734791"/>
          <w:sz w:val="36"/>
          <w:szCs w:val="36"/>
        </w:rPr>
        <w:t xml:space="preserve">Consultation on Charlotte’s Law </w:t>
      </w:r>
    </w:p>
    <w:p w14:paraId="7ECD4062" w14:textId="77777777" w:rsidR="00F31387" w:rsidRPr="00331C61" w:rsidRDefault="00F31387" w:rsidP="00001572">
      <w:pPr>
        <w:pStyle w:val="Default"/>
        <w:spacing w:line="288" w:lineRule="auto"/>
        <w:ind w:left="709" w:hanging="709"/>
        <w:jc w:val="center"/>
        <w:rPr>
          <w:rFonts w:cs="Arial"/>
          <w:color w:val="232120"/>
          <w:sz w:val="36"/>
          <w:szCs w:val="36"/>
        </w:rPr>
      </w:pPr>
    </w:p>
    <w:p w14:paraId="232BF6ED" w14:textId="2B2FC658" w:rsidR="008159E8" w:rsidRPr="00331C61" w:rsidRDefault="00153141" w:rsidP="00001572">
      <w:pPr>
        <w:spacing w:line="288" w:lineRule="auto"/>
        <w:ind w:left="709" w:hanging="709"/>
        <w:jc w:val="center"/>
        <w:rPr>
          <w:rFonts w:ascii="Verdana" w:hAnsi="Verdana" w:cs="Arial"/>
          <w:b/>
          <w:color w:val="232120"/>
          <w:sz w:val="30"/>
          <w:szCs w:val="30"/>
        </w:rPr>
      </w:pPr>
      <w:r>
        <w:rPr>
          <w:rFonts w:ascii="Verdana" w:hAnsi="Verdana" w:cs="Arial"/>
          <w:b/>
          <w:color w:val="232120"/>
          <w:sz w:val="30"/>
          <w:szCs w:val="30"/>
        </w:rPr>
        <w:t>February</w:t>
      </w:r>
      <w:r w:rsidR="00F31387" w:rsidRPr="00331C61">
        <w:rPr>
          <w:rFonts w:ascii="Verdana" w:hAnsi="Verdana" w:cs="Arial"/>
          <w:b/>
          <w:color w:val="232120"/>
          <w:sz w:val="30"/>
          <w:szCs w:val="30"/>
        </w:rPr>
        <w:t xml:space="preserve"> </w:t>
      </w:r>
      <w:r w:rsidR="00341A60">
        <w:rPr>
          <w:rFonts w:ascii="Verdana" w:hAnsi="Verdana" w:cs="Arial"/>
          <w:b/>
          <w:color w:val="232120"/>
          <w:sz w:val="30"/>
          <w:szCs w:val="30"/>
        </w:rPr>
        <w:t>2022</w:t>
      </w:r>
      <w:bookmarkStart w:id="0" w:name="_GoBack"/>
      <w:bookmarkEnd w:id="0"/>
    </w:p>
    <w:p w14:paraId="68AC975F" w14:textId="77777777" w:rsidR="00046705" w:rsidRPr="00331C61" w:rsidRDefault="00046705" w:rsidP="00001572">
      <w:pPr>
        <w:spacing w:line="288" w:lineRule="auto"/>
        <w:ind w:left="709" w:hanging="709"/>
        <w:jc w:val="center"/>
        <w:rPr>
          <w:rFonts w:ascii="Verdana" w:hAnsi="Verdana" w:cs="Arial"/>
          <w:b/>
          <w:color w:val="232120"/>
          <w:sz w:val="28"/>
          <w:szCs w:val="28"/>
        </w:rPr>
      </w:pPr>
    </w:p>
    <w:p w14:paraId="4037F6F8" w14:textId="77777777" w:rsidR="00046705" w:rsidRPr="00331C61" w:rsidRDefault="00046705" w:rsidP="00001572">
      <w:pPr>
        <w:spacing w:line="288" w:lineRule="auto"/>
        <w:ind w:left="709" w:hanging="709"/>
        <w:jc w:val="center"/>
        <w:rPr>
          <w:rFonts w:ascii="Verdana" w:hAnsi="Verdana" w:cs="Arial"/>
          <w:b/>
          <w:color w:val="232120"/>
          <w:sz w:val="28"/>
          <w:szCs w:val="28"/>
        </w:rPr>
      </w:pPr>
    </w:p>
    <w:p w14:paraId="3E0A71AB" w14:textId="77777777" w:rsidR="00EA12CE" w:rsidRPr="00331C61" w:rsidRDefault="00EA12CE" w:rsidP="00001572">
      <w:pPr>
        <w:pStyle w:val="Default"/>
        <w:spacing w:line="288" w:lineRule="auto"/>
        <w:ind w:left="709" w:hanging="709"/>
        <w:jc w:val="center"/>
        <w:rPr>
          <w:rFonts w:cs="Arial"/>
          <w:b/>
          <w:color w:val="232120"/>
          <w:sz w:val="28"/>
          <w:szCs w:val="28"/>
          <w:lang w:val="en-GB"/>
        </w:rPr>
      </w:pPr>
    </w:p>
    <w:p w14:paraId="31B78457" w14:textId="77777777" w:rsidR="003B7D0E" w:rsidRPr="00331C61" w:rsidRDefault="003B7D0E" w:rsidP="00001572">
      <w:pPr>
        <w:pStyle w:val="Default"/>
        <w:spacing w:line="480" w:lineRule="auto"/>
        <w:ind w:left="709" w:hanging="709"/>
        <w:jc w:val="center"/>
        <w:rPr>
          <w:rFonts w:cs="Arial"/>
          <w:b/>
          <w:color w:val="232120"/>
          <w:sz w:val="36"/>
          <w:szCs w:val="36"/>
        </w:rPr>
      </w:pPr>
    </w:p>
    <w:p w14:paraId="685CC190" w14:textId="77777777" w:rsidR="003B7D0E" w:rsidRDefault="003B7D0E" w:rsidP="00001572">
      <w:pPr>
        <w:pStyle w:val="Default"/>
        <w:spacing w:line="480" w:lineRule="auto"/>
        <w:ind w:left="709" w:hanging="709"/>
        <w:jc w:val="center"/>
        <w:rPr>
          <w:rFonts w:cs="Arial"/>
          <w:b/>
          <w:color w:val="232120"/>
          <w:sz w:val="36"/>
          <w:szCs w:val="36"/>
        </w:rPr>
      </w:pPr>
    </w:p>
    <w:p w14:paraId="497AA7D9" w14:textId="1C2FCD5E" w:rsidR="0096459E" w:rsidRDefault="0096459E" w:rsidP="00001572">
      <w:pPr>
        <w:pStyle w:val="Default"/>
        <w:spacing w:line="480" w:lineRule="auto"/>
        <w:ind w:left="709" w:hanging="709"/>
        <w:jc w:val="center"/>
        <w:rPr>
          <w:rFonts w:cs="Arial"/>
          <w:b/>
          <w:color w:val="232120"/>
          <w:sz w:val="36"/>
          <w:szCs w:val="36"/>
        </w:rPr>
      </w:pPr>
    </w:p>
    <w:p w14:paraId="70E64BEA" w14:textId="7DB0C01C" w:rsidR="00153141" w:rsidRDefault="00153141" w:rsidP="00001572">
      <w:pPr>
        <w:pStyle w:val="Default"/>
        <w:spacing w:line="480" w:lineRule="auto"/>
        <w:ind w:left="709" w:hanging="709"/>
        <w:jc w:val="center"/>
        <w:rPr>
          <w:rFonts w:cs="Arial"/>
          <w:b/>
          <w:color w:val="232120"/>
          <w:sz w:val="36"/>
          <w:szCs w:val="36"/>
        </w:rPr>
      </w:pPr>
    </w:p>
    <w:p w14:paraId="00C6FD3E" w14:textId="77777777" w:rsidR="00153141" w:rsidRPr="00331C61" w:rsidRDefault="00153141" w:rsidP="00001572">
      <w:pPr>
        <w:pStyle w:val="Default"/>
        <w:spacing w:line="480" w:lineRule="auto"/>
        <w:ind w:left="709" w:hanging="709"/>
        <w:jc w:val="center"/>
        <w:rPr>
          <w:rFonts w:cs="Arial"/>
          <w:b/>
          <w:color w:val="232120"/>
          <w:sz w:val="36"/>
          <w:szCs w:val="36"/>
        </w:rPr>
      </w:pPr>
    </w:p>
    <w:p w14:paraId="01861750" w14:textId="77777777" w:rsidR="003B7D0E" w:rsidRPr="00331C61" w:rsidRDefault="003B7D0E" w:rsidP="00001572">
      <w:pPr>
        <w:pStyle w:val="Default"/>
        <w:spacing w:line="480" w:lineRule="auto"/>
        <w:ind w:left="709" w:hanging="709"/>
        <w:jc w:val="center"/>
        <w:rPr>
          <w:rFonts w:cs="Arial"/>
          <w:b/>
          <w:color w:val="232120"/>
          <w:sz w:val="36"/>
          <w:szCs w:val="36"/>
        </w:rPr>
      </w:pPr>
    </w:p>
    <w:p w14:paraId="1039059F" w14:textId="77777777" w:rsidR="00EA12CE" w:rsidRPr="003B7D0E" w:rsidRDefault="00EA12CE" w:rsidP="00001572">
      <w:pPr>
        <w:pStyle w:val="Default"/>
        <w:spacing w:line="480" w:lineRule="auto"/>
        <w:ind w:left="709" w:hanging="709"/>
        <w:rPr>
          <w:rFonts w:cs="Arial"/>
          <w:b/>
          <w:color w:val="3C3C3B"/>
          <w:sz w:val="36"/>
          <w:szCs w:val="36"/>
        </w:rPr>
      </w:pPr>
      <w:r w:rsidRPr="003B7D0E">
        <w:rPr>
          <w:rFonts w:cs="Arial"/>
          <w:b/>
          <w:color w:val="77328A"/>
          <w:sz w:val="36"/>
          <w:szCs w:val="36"/>
        </w:rPr>
        <w:lastRenderedPageBreak/>
        <w:t>Table of Contents</w:t>
      </w:r>
    </w:p>
    <w:p w14:paraId="3539B214" w14:textId="1909EE9C" w:rsidR="00EE3578" w:rsidRDefault="00EE3578" w:rsidP="00DA07B1">
      <w:pPr>
        <w:pStyle w:val="Default"/>
        <w:spacing w:line="480" w:lineRule="auto"/>
        <w:ind w:left="709" w:hanging="709"/>
        <w:rPr>
          <w:rFonts w:cs="Arial"/>
          <w:b/>
          <w:color w:val="232120"/>
        </w:rPr>
      </w:pPr>
      <w:r>
        <w:rPr>
          <w:rFonts w:cs="Arial"/>
          <w:b/>
          <w:color w:val="232120"/>
        </w:rPr>
        <w:t>Summary of Recommendations ……………………………………………………</w:t>
      </w:r>
      <w:r w:rsidR="00655F6F">
        <w:rPr>
          <w:rFonts w:cs="Arial"/>
          <w:b/>
          <w:color w:val="232120"/>
        </w:rPr>
        <w:t>03</w:t>
      </w:r>
    </w:p>
    <w:p w14:paraId="76996905" w14:textId="7480D273" w:rsidR="003B7D0E" w:rsidRPr="00331C61" w:rsidRDefault="00EE3578" w:rsidP="00DA07B1">
      <w:pPr>
        <w:pStyle w:val="Default"/>
        <w:spacing w:line="480" w:lineRule="auto"/>
        <w:ind w:left="709" w:hanging="709"/>
        <w:rPr>
          <w:rFonts w:cs="Arial"/>
          <w:b/>
          <w:color w:val="232120"/>
        </w:rPr>
      </w:pPr>
      <w:r>
        <w:rPr>
          <w:rFonts w:cs="Arial"/>
          <w:b/>
          <w:color w:val="232120"/>
        </w:rPr>
        <w:t xml:space="preserve">1.0 </w:t>
      </w:r>
      <w:r w:rsidR="00483E25">
        <w:rPr>
          <w:rFonts w:cs="Arial"/>
          <w:b/>
          <w:color w:val="232120"/>
        </w:rPr>
        <w:t>Introduction……………</w:t>
      </w:r>
      <w:r>
        <w:rPr>
          <w:rFonts w:cs="Arial"/>
          <w:b/>
          <w:color w:val="232120"/>
        </w:rPr>
        <w:t>…………………………………………………………...</w:t>
      </w:r>
      <w:r w:rsidR="005A4B68">
        <w:rPr>
          <w:rFonts w:cs="Arial"/>
          <w:b/>
          <w:color w:val="232120"/>
        </w:rPr>
        <w:t>.</w:t>
      </w:r>
      <w:r w:rsidR="00655F6F">
        <w:rPr>
          <w:rFonts w:cs="Arial"/>
          <w:b/>
          <w:color w:val="232120"/>
        </w:rPr>
        <w:t>04</w:t>
      </w:r>
    </w:p>
    <w:p w14:paraId="765EDC5D" w14:textId="42222281" w:rsidR="003B7D0E" w:rsidRPr="00331C61" w:rsidRDefault="00867CF2" w:rsidP="00DA07B1">
      <w:pPr>
        <w:pStyle w:val="Default"/>
        <w:spacing w:line="480" w:lineRule="auto"/>
        <w:ind w:left="709" w:hanging="709"/>
        <w:rPr>
          <w:rFonts w:cs="Arial"/>
          <w:b/>
          <w:color w:val="232120"/>
        </w:rPr>
      </w:pPr>
      <w:r>
        <w:rPr>
          <w:rFonts w:cs="Arial"/>
          <w:b/>
          <w:color w:val="232120"/>
        </w:rPr>
        <w:t>2.0 Victim</w:t>
      </w:r>
      <w:r w:rsidR="00EE3578">
        <w:rPr>
          <w:rFonts w:cs="Arial"/>
          <w:b/>
          <w:color w:val="232120"/>
        </w:rPr>
        <w:t>s</w:t>
      </w:r>
      <w:r>
        <w:rPr>
          <w:rFonts w:cs="Arial"/>
          <w:b/>
          <w:color w:val="232120"/>
        </w:rPr>
        <w:t>’</w:t>
      </w:r>
      <w:r w:rsidR="00EE3578">
        <w:rPr>
          <w:rFonts w:cs="Arial"/>
          <w:b/>
          <w:color w:val="232120"/>
        </w:rPr>
        <w:t xml:space="preserve"> Rights…...</w:t>
      </w:r>
      <w:r w:rsidR="00483E25">
        <w:rPr>
          <w:rFonts w:cs="Arial"/>
          <w:b/>
          <w:color w:val="232120"/>
        </w:rPr>
        <w:t>…………………………………………………………………</w:t>
      </w:r>
      <w:r w:rsidR="00655F6F">
        <w:rPr>
          <w:rFonts w:cs="Arial"/>
          <w:b/>
          <w:color w:val="232120"/>
        </w:rPr>
        <w:t>05</w:t>
      </w:r>
    </w:p>
    <w:p w14:paraId="3038C177" w14:textId="6E09DA32" w:rsidR="001E79A9" w:rsidRPr="00331C61" w:rsidRDefault="00EE3578" w:rsidP="00DA07B1">
      <w:pPr>
        <w:pStyle w:val="Default"/>
        <w:spacing w:line="480" w:lineRule="auto"/>
        <w:ind w:left="709" w:hanging="709"/>
        <w:rPr>
          <w:rFonts w:cs="Arial"/>
          <w:b/>
          <w:color w:val="232120"/>
        </w:rPr>
      </w:pPr>
      <w:r>
        <w:rPr>
          <w:rFonts w:cs="Arial"/>
          <w:b/>
          <w:color w:val="232120"/>
        </w:rPr>
        <w:t xml:space="preserve">3.0 </w:t>
      </w:r>
      <w:r w:rsidR="00483E25">
        <w:rPr>
          <w:rFonts w:cs="Arial"/>
          <w:b/>
          <w:color w:val="232120"/>
        </w:rPr>
        <w:t xml:space="preserve">Starting </w:t>
      </w:r>
      <w:r>
        <w:rPr>
          <w:rFonts w:cs="Arial"/>
          <w:b/>
          <w:color w:val="232120"/>
        </w:rPr>
        <w:t>Point of Tariff Calculation</w:t>
      </w:r>
      <w:r w:rsidR="00483E25">
        <w:rPr>
          <w:rFonts w:cs="Arial"/>
          <w:b/>
          <w:color w:val="232120"/>
        </w:rPr>
        <w:t>…………………………………………..</w:t>
      </w:r>
      <w:r w:rsidR="00655F6F">
        <w:rPr>
          <w:rFonts w:cs="Arial"/>
          <w:b/>
          <w:color w:val="232120"/>
        </w:rPr>
        <w:t>09</w:t>
      </w:r>
    </w:p>
    <w:p w14:paraId="424A8218" w14:textId="35459EAB" w:rsidR="003B7D0E" w:rsidRPr="00331C61" w:rsidRDefault="00EE3578" w:rsidP="00DA07B1">
      <w:pPr>
        <w:pStyle w:val="Default"/>
        <w:spacing w:line="480" w:lineRule="auto"/>
        <w:ind w:left="709" w:hanging="709"/>
        <w:rPr>
          <w:rFonts w:cs="Arial"/>
          <w:color w:val="232120"/>
        </w:rPr>
      </w:pPr>
      <w:r>
        <w:rPr>
          <w:rFonts w:cs="Arial"/>
          <w:b/>
          <w:color w:val="232120"/>
        </w:rPr>
        <w:t xml:space="preserve">4.0 </w:t>
      </w:r>
      <w:r w:rsidR="00483E25">
        <w:rPr>
          <w:rFonts w:cs="Arial"/>
          <w:b/>
          <w:color w:val="232120"/>
        </w:rPr>
        <w:t>Post-</w:t>
      </w:r>
      <w:r w:rsidR="00826F9C">
        <w:rPr>
          <w:rFonts w:cs="Arial"/>
          <w:b/>
          <w:color w:val="232120"/>
        </w:rPr>
        <w:t>Senten</w:t>
      </w:r>
      <w:r w:rsidR="00B8345B">
        <w:rPr>
          <w:rFonts w:cs="Arial"/>
          <w:b/>
          <w:color w:val="232120"/>
        </w:rPr>
        <w:t>ce Discl</w:t>
      </w:r>
      <w:r w:rsidR="00826F9C">
        <w:rPr>
          <w:rFonts w:cs="Arial"/>
          <w:b/>
          <w:color w:val="232120"/>
        </w:rPr>
        <w:t>osure</w:t>
      </w:r>
      <w:r>
        <w:rPr>
          <w:rFonts w:cs="Arial"/>
          <w:b/>
          <w:color w:val="232120"/>
        </w:rPr>
        <w:t>……</w:t>
      </w:r>
      <w:r w:rsidR="00826F9C">
        <w:rPr>
          <w:rFonts w:cs="Arial"/>
          <w:b/>
          <w:color w:val="232120"/>
        </w:rPr>
        <w:t>………………………………………………….</w:t>
      </w:r>
      <w:r w:rsidR="00655F6F">
        <w:rPr>
          <w:rFonts w:cs="Arial"/>
          <w:b/>
          <w:color w:val="232120"/>
        </w:rPr>
        <w:t>10</w:t>
      </w:r>
    </w:p>
    <w:p w14:paraId="3F6DB1A7" w14:textId="3F4566BD" w:rsidR="001E79A9" w:rsidRPr="00331C61" w:rsidRDefault="00EE3578" w:rsidP="00DA07B1">
      <w:pPr>
        <w:pStyle w:val="Default"/>
        <w:spacing w:line="480" w:lineRule="auto"/>
        <w:ind w:left="709" w:hanging="709"/>
        <w:rPr>
          <w:rFonts w:cs="Arial"/>
          <w:b/>
          <w:color w:val="232120"/>
        </w:rPr>
      </w:pPr>
      <w:r>
        <w:rPr>
          <w:rFonts w:cs="Arial"/>
          <w:b/>
          <w:color w:val="232120"/>
        </w:rPr>
        <w:t>5.0 Parole Hearing……………</w:t>
      </w:r>
      <w:r w:rsidR="00483E25">
        <w:rPr>
          <w:rFonts w:cs="Arial"/>
          <w:b/>
          <w:color w:val="232120"/>
        </w:rPr>
        <w:t>…………………………………………………………</w:t>
      </w:r>
      <w:r w:rsidR="00655F6F">
        <w:rPr>
          <w:rFonts w:cs="Arial"/>
          <w:b/>
          <w:color w:val="232120"/>
        </w:rPr>
        <w:t>12</w:t>
      </w:r>
    </w:p>
    <w:p w14:paraId="1043A042" w14:textId="62918186" w:rsidR="001E79A9" w:rsidRPr="00331C61" w:rsidRDefault="00EE3578" w:rsidP="00DA07B1">
      <w:pPr>
        <w:pStyle w:val="Default"/>
        <w:spacing w:line="480" w:lineRule="auto"/>
        <w:ind w:left="709" w:hanging="709"/>
        <w:rPr>
          <w:rFonts w:cs="Arial"/>
          <w:b/>
          <w:color w:val="232120"/>
        </w:rPr>
      </w:pPr>
      <w:r>
        <w:rPr>
          <w:rFonts w:cs="Arial"/>
          <w:b/>
          <w:color w:val="232120"/>
        </w:rPr>
        <w:t xml:space="preserve">6.0 </w:t>
      </w:r>
      <w:r w:rsidR="00483E25">
        <w:rPr>
          <w:rFonts w:cs="Arial"/>
          <w:b/>
          <w:color w:val="232120"/>
        </w:rPr>
        <w:t>Human Ri</w:t>
      </w:r>
      <w:r>
        <w:rPr>
          <w:rFonts w:cs="Arial"/>
          <w:b/>
          <w:color w:val="232120"/>
        </w:rPr>
        <w:t>ghts Impact Assessment……………………</w:t>
      </w:r>
      <w:r w:rsidR="00483E25">
        <w:rPr>
          <w:rFonts w:cs="Arial"/>
          <w:b/>
          <w:color w:val="232120"/>
        </w:rPr>
        <w:t>……………………..</w:t>
      </w:r>
      <w:r w:rsidR="00655F6F">
        <w:rPr>
          <w:rFonts w:cs="Arial"/>
          <w:b/>
          <w:color w:val="232120"/>
        </w:rPr>
        <w:t>15</w:t>
      </w:r>
    </w:p>
    <w:p w14:paraId="0D67CD7C" w14:textId="77777777" w:rsidR="00EA12CE" w:rsidRPr="00331C61" w:rsidRDefault="00EA12CE" w:rsidP="00001572">
      <w:pPr>
        <w:pStyle w:val="Default"/>
        <w:spacing w:line="288" w:lineRule="auto"/>
        <w:ind w:left="709" w:hanging="709"/>
        <w:rPr>
          <w:rFonts w:cs="Arial"/>
          <w:b/>
          <w:color w:val="232120"/>
        </w:rPr>
      </w:pPr>
    </w:p>
    <w:p w14:paraId="6242C8CA" w14:textId="77777777" w:rsidR="00EA12CE" w:rsidRPr="00331C61" w:rsidRDefault="00EA12CE" w:rsidP="00001572">
      <w:pPr>
        <w:pStyle w:val="Default"/>
        <w:spacing w:line="288" w:lineRule="auto"/>
        <w:ind w:left="709" w:hanging="709"/>
        <w:rPr>
          <w:rFonts w:cs="Arial"/>
          <w:b/>
          <w:color w:val="232120"/>
        </w:rPr>
      </w:pPr>
    </w:p>
    <w:p w14:paraId="371DD6CF" w14:textId="77777777" w:rsidR="00EA12CE" w:rsidRPr="00331C61" w:rsidRDefault="00EA12CE" w:rsidP="00001572">
      <w:pPr>
        <w:pStyle w:val="Default"/>
        <w:spacing w:line="288" w:lineRule="auto"/>
        <w:ind w:left="709" w:hanging="709"/>
        <w:rPr>
          <w:rFonts w:cs="Arial"/>
          <w:b/>
          <w:color w:val="232120"/>
        </w:rPr>
      </w:pPr>
    </w:p>
    <w:p w14:paraId="0EC68C7B" w14:textId="77777777" w:rsidR="00EA12CE" w:rsidRPr="00331C61" w:rsidRDefault="00EA12CE" w:rsidP="00001572">
      <w:pPr>
        <w:pStyle w:val="Default"/>
        <w:spacing w:line="288" w:lineRule="auto"/>
        <w:ind w:left="709" w:hanging="709"/>
        <w:rPr>
          <w:rFonts w:cs="Arial"/>
          <w:b/>
          <w:color w:val="232120"/>
        </w:rPr>
      </w:pPr>
    </w:p>
    <w:p w14:paraId="720816E2" w14:textId="77777777" w:rsidR="00EA12CE" w:rsidRPr="00331C61" w:rsidRDefault="00EA12CE" w:rsidP="00001572">
      <w:pPr>
        <w:pStyle w:val="Default"/>
        <w:spacing w:line="288" w:lineRule="auto"/>
        <w:ind w:left="709" w:hanging="709"/>
        <w:rPr>
          <w:rFonts w:cs="Arial"/>
          <w:b/>
          <w:color w:val="232120"/>
        </w:rPr>
      </w:pPr>
    </w:p>
    <w:p w14:paraId="3B62D1E4" w14:textId="77777777" w:rsidR="00EA12CE" w:rsidRPr="00331C61" w:rsidRDefault="00EA12CE" w:rsidP="00001572">
      <w:pPr>
        <w:pStyle w:val="Default"/>
        <w:spacing w:line="288" w:lineRule="auto"/>
        <w:ind w:left="709" w:hanging="709"/>
        <w:rPr>
          <w:rFonts w:cs="Arial"/>
          <w:b/>
          <w:color w:val="232120"/>
        </w:rPr>
      </w:pPr>
    </w:p>
    <w:p w14:paraId="591ADFFC" w14:textId="77777777" w:rsidR="00EA12CE" w:rsidRPr="00331C61" w:rsidRDefault="00EA12CE" w:rsidP="00001572">
      <w:pPr>
        <w:pStyle w:val="Default"/>
        <w:spacing w:line="288" w:lineRule="auto"/>
        <w:ind w:left="709" w:hanging="709"/>
        <w:rPr>
          <w:rFonts w:cs="Arial"/>
          <w:b/>
          <w:color w:val="232120"/>
        </w:rPr>
      </w:pPr>
    </w:p>
    <w:p w14:paraId="770F9D50" w14:textId="77777777" w:rsidR="00EA12CE" w:rsidRPr="00331C61" w:rsidRDefault="00EA12CE" w:rsidP="00001572">
      <w:pPr>
        <w:pStyle w:val="Default"/>
        <w:spacing w:line="288" w:lineRule="auto"/>
        <w:ind w:left="709" w:hanging="709"/>
        <w:rPr>
          <w:rFonts w:cs="Arial"/>
          <w:b/>
          <w:color w:val="232120"/>
        </w:rPr>
      </w:pPr>
    </w:p>
    <w:p w14:paraId="2D12ECF1" w14:textId="77777777" w:rsidR="00EA12CE" w:rsidRPr="00331C61" w:rsidRDefault="00EA12CE" w:rsidP="00001572">
      <w:pPr>
        <w:pStyle w:val="Default"/>
        <w:spacing w:line="288" w:lineRule="auto"/>
        <w:ind w:left="709" w:hanging="709"/>
        <w:rPr>
          <w:rFonts w:cs="Arial"/>
          <w:b/>
          <w:color w:val="232120"/>
        </w:rPr>
      </w:pPr>
    </w:p>
    <w:p w14:paraId="4A189C29" w14:textId="77777777" w:rsidR="00EA12CE" w:rsidRPr="00331C61" w:rsidRDefault="00EA12CE" w:rsidP="00001572">
      <w:pPr>
        <w:pStyle w:val="Default"/>
        <w:spacing w:line="288" w:lineRule="auto"/>
        <w:ind w:left="709" w:hanging="709"/>
        <w:rPr>
          <w:rFonts w:cs="Arial"/>
          <w:b/>
          <w:color w:val="232120"/>
        </w:rPr>
      </w:pPr>
    </w:p>
    <w:p w14:paraId="2D2BBD18" w14:textId="77777777" w:rsidR="00EA12CE" w:rsidRPr="00331C61" w:rsidRDefault="00EA12CE" w:rsidP="00001572">
      <w:pPr>
        <w:pStyle w:val="Default"/>
        <w:spacing w:line="288" w:lineRule="auto"/>
        <w:ind w:left="709" w:hanging="709"/>
        <w:rPr>
          <w:rFonts w:cs="Arial"/>
          <w:b/>
          <w:color w:val="232120"/>
        </w:rPr>
      </w:pPr>
    </w:p>
    <w:p w14:paraId="0202004A" w14:textId="77777777" w:rsidR="00EA12CE" w:rsidRPr="00331C61" w:rsidRDefault="00EA12CE" w:rsidP="00001572">
      <w:pPr>
        <w:pStyle w:val="Default"/>
        <w:spacing w:line="288" w:lineRule="auto"/>
        <w:ind w:left="709" w:hanging="709"/>
        <w:rPr>
          <w:rFonts w:cs="Arial"/>
          <w:b/>
          <w:color w:val="232120"/>
        </w:rPr>
      </w:pPr>
    </w:p>
    <w:p w14:paraId="21D1BDB3" w14:textId="77777777" w:rsidR="00EA12CE" w:rsidRPr="00331C61" w:rsidRDefault="00EA12CE" w:rsidP="00001572">
      <w:pPr>
        <w:pStyle w:val="Default"/>
        <w:spacing w:line="288" w:lineRule="auto"/>
        <w:ind w:left="709" w:hanging="709"/>
        <w:rPr>
          <w:rFonts w:cs="Arial"/>
          <w:b/>
          <w:color w:val="232120"/>
        </w:rPr>
      </w:pPr>
    </w:p>
    <w:p w14:paraId="066732F5" w14:textId="77777777" w:rsidR="00EA12CE" w:rsidRPr="00331C61" w:rsidRDefault="00EA12CE" w:rsidP="00001572">
      <w:pPr>
        <w:pStyle w:val="Default"/>
        <w:spacing w:line="288" w:lineRule="auto"/>
        <w:ind w:left="709" w:hanging="709"/>
        <w:rPr>
          <w:rFonts w:cs="Arial"/>
          <w:b/>
          <w:color w:val="232120"/>
        </w:rPr>
      </w:pPr>
    </w:p>
    <w:p w14:paraId="401A8A97" w14:textId="77777777" w:rsidR="00EA12CE" w:rsidRPr="00331C61" w:rsidRDefault="00EA12CE" w:rsidP="00001572">
      <w:pPr>
        <w:pStyle w:val="Default"/>
        <w:spacing w:line="288" w:lineRule="auto"/>
        <w:ind w:left="709" w:hanging="709"/>
        <w:rPr>
          <w:rFonts w:cs="Arial"/>
          <w:b/>
          <w:color w:val="232120"/>
        </w:rPr>
      </w:pPr>
    </w:p>
    <w:p w14:paraId="5543956D" w14:textId="77777777" w:rsidR="00EA12CE" w:rsidRPr="00331C61" w:rsidRDefault="00EA12CE" w:rsidP="00001572">
      <w:pPr>
        <w:pStyle w:val="Default"/>
        <w:spacing w:line="288" w:lineRule="auto"/>
        <w:ind w:left="709" w:hanging="709"/>
        <w:rPr>
          <w:rFonts w:cs="Arial"/>
          <w:b/>
          <w:color w:val="232120"/>
        </w:rPr>
      </w:pPr>
    </w:p>
    <w:p w14:paraId="1CC856E2" w14:textId="77777777" w:rsidR="00EA12CE" w:rsidRPr="00331C61" w:rsidRDefault="00EA12CE" w:rsidP="00001572">
      <w:pPr>
        <w:pStyle w:val="Default"/>
        <w:spacing w:line="288" w:lineRule="auto"/>
        <w:ind w:left="709" w:hanging="709"/>
        <w:rPr>
          <w:rFonts w:cs="Arial"/>
          <w:b/>
          <w:color w:val="232120"/>
        </w:rPr>
      </w:pPr>
    </w:p>
    <w:p w14:paraId="4CB9DF3D" w14:textId="77777777" w:rsidR="00EA12CE" w:rsidRPr="00331C61" w:rsidRDefault="00EA12CE" w:rsidP="00001572">
      <w:pPr>
        <w:pStyle w:val="Default"/>
        <w:spacing w:line="288" w:lineRule="auto"/>
        <w:ind w:left="709" w:hanging="709"/>
        <w:rPr>
          <w:rFonts w:cs="Arial"/>
          <w:b/>
          <w:color w:val="232120"/>
        </w:rPr>
      </w:pPr>
    </w:p>
    <w:p w14:paraId="11B5F769" w14:textId="77777777" w:rsidR="00EA12CE" w:rsidRPr="00331C61" w:rsidRDefault="00EA12CE" w:rsidP="00001572">
      <w:pPr>
        <w:pStyle w:val="Default"/>
        <w:spacing w:line="288" w:lineRule="auto"/>
        <w:ind w:left="709" w:hanging="709"/>
        <w:rPr>
          <w:rFonts w:cs="Arial"/>
          <w:b/>
          <w:color w:val="232120"/>
        </w:rPr>
      </w:pPr>
    </w:p>
    <w:p w14:paraId="0CE13F3B" w14:textId="09722786" w:rsidR="001E79A9" w:rsidRDefault="001E79A9" w:rsidP="00001572">
      <w:pPr>
        <w:pStyle w:val="Default"/>
        <w:spacing w:line="288" w:lineRule="auto"/>
        <w:ind w:left="709" w:hanging="709"/>
        <w:rPr>
          <w:rFonts w:cs="Arial"/>
          <w:b/>
          <w:color w:val="232120"/>
        </w:rPr>
      </w:pPr>
    </w:p>
    <w:p w14:paraId="7B62EA76" w14:textId="4F4FAC83" w:rsidR="001462D1" w:rsidRDefault="001462D1" w:rsidP="00001572">
      <w:pPr>
        <w:pStyle w:val="Default"/>
        <w:spacing w:line="288" w:lineRule="auto"/>
        <w:ind w:left="709" w:hanging="709"/>
        <w:rPr>
          <w:rFonts w:cs="Arial"/>
          <w:b/>
          <w:color w:val="232120"/>
        </w:rPr>
      </w:pPr>
    </w:p>
    <w:p w14:paraId="3E99EC57" w14:textId="0A806AE4" w:rsidR="001462D1" w:rsidRDefault="001462D1" w:rsidP="00001572">
      <w:pPr>
        <w:pStyle w:val="Default"/>
        <w:spacing w:line="288" w:lineRule="auto"/>
        <w:ind w:left="709" w:hanging="709"/>
        <w:rPr>
          <w:rFonts w:cs="Arial"/>
          <w:b/>
          <w:color w:val="232120"/>
        </w:rPr>
      </w:pPr>
    </w:p>
    <w:p w14:paraId="7B915E34" w14:textId="77777777" w:rsidR="001462D1" w:rsidRPr="00331C61" w:rsidRDefault="001462D1" w:rsidP="00001572">
      <w:pPr>
        <w:pStyle w:val="Default"/>
        <w:spacing w:line="288" w:lineRule="auto"/>
        <w:ind w:left="709" w:hanging="709"/>
        <w:rPr>
          <w:rFonts w:cs="Arial"/>
          <w:b/>
          <w:color w:val="232120"/>
        </w:rPr>
      </w:pPr>
    </w:p>
    <w:p w14:paraId="384363DF" w14:textId="77777777" w:rsidR="004672AC" w:rsidRPr="00331C61" w:rsidRDefault="004672AC" w:rsidP="00001572">
      <w:pPr>
        <w:pStyle w:val="Default"/>
        <w:spacing w:line="288" w:lineRule="auto"/>
        <w:ind w:left="709" w:hanging="709"/>
        <w:rPr>
          <w:rFonts w:cs="Arial"/>
          <w:b/>
          <w:color w:val="232120"/>
        </w:rPr>
      </w:pPr>
    </w:p>
    <w:p w14:paraId="0C5B26A6" w14:textId="6929A2B1" w:rsidR="003B7D0E" w:rsidRDefault="003B7D0E" w:rsidP="00001572">
      <w:pPr>
        <w:pStyle w:val="Default"/>
        <w:spacing w:line="288" w:lineRule="auto"/>
        <w:ind w:left="709" w:hanging="709"/>
        <w:rPr>
          <w:rFonts w:cs="Arial"/>
          <w:b/>
          <w:color w:val="232120"/>
        </w:rPr>
      </w:pPr>
    </w:p>
    <w:p w14:paraId="7D536239" w14:textId="24CF5A8F" w:rsidR="007F538D" w:rsidRDefault="007F538D" w:rsidP="00001572">
      <w:pPr>
        <w:pStyle w:val="Default"/>
        <w:spacing w:line="288" w:lineRule="auto"/>
        <w:ind w:left="709" w:hanging="709"/>
        <w:rPr>
          <w:rFonts w:cs="Arial"/>
          <w:b/>
          <w:color w:val="232120"/>
        </w:rPr>
      </w:pPr>
    </w:p>
    <w:p w14:paraId="41D1DC6B" w14:textId="77777777" w:rsidR="007F538D" w:rsidRPr="00331C61" w:rsidRDefault="007F538D" w:rsidP="00001572">
      <w:pPr>
        <w:pStyle w:val="Default"/>
        <w:spacing w:line="288" w:lineRule="auto"/>
        <w:ind w:left="709" w:hanging="709"/>
        <w:rPr>
          <w:rFonts w:cs="Arial"/>
          <w:b/>
          <w:color w:val="232120"/>
        </w:rPr>
      </w:pPr>
    </w:p>
    <w:p w14:paraId="73D24357" w14:textId="021E0501" w:rsidR="00EE3578" w:rsidRDefault="00EE3578" w:rsidP="00001572">
      <w:pPr>
        <w:pStyle w:val="BasicParagraph"/>
        <w:suppressAutoHyphens/>
        <w:ind w:left="709" w:hanging="709"/>
        <w:rPr>
          <w:rFonts w:ascii="Verdana" w:hAnsi="Verdana" w:cs="Arial"/>
          <w:b/>
          <w:color w:val="7030A0"/>
          <w:sz w:val="28"/>
          <w:szCs w:val="28"/>
        </w:rPr>
      </w:pPr>
      <w:r w:rsidRPr="00EE3578">
        <w:rPr>
          <w:rFonts w:ascii="Verdana" w:hAnsi="Verdana" w:cs="Arial"/>
          <w:b/>
          <w:color w:val="7030A0"/>
          <w:sz w:val="28"/>
          <w:szCs w:val="28"/>
        </w:rPr>
        <w:lastRenderedPageBreak/>
        <w:t>Summary of Recommendations</w:t>
      </w:r>
    </w:p>
    <w:p w14:paraId="41AE94E6" w14:textId="15BDB4C6" w:rsidR="007569C1" w:rsidRPr="00EE3578" w:rsidRDefault="007569C1" w:rsidP="00001572">
      <w:pPr>
        <w:pStyle w:val="BasicParagraph"/>
        <w:suppressAutoHyphens/>
        <w:ind w:left="709" w:hanging="709"/>
        <w:rPr>
          <w:rFonts w:ascii="Verdana" w:hAnsi="Verdana" w:cs="Arial"/>
          <w:b/>
          <w:color w:val="232120"/>
        </w:rPr>
      </w:pPr>
    </w:p>
    <w:p w14:paraId="4A927907" w14:textId="10569D63" w:rsidR="00C31FD1" w:rsidRDefault="00B04492" w:rsidP="00001572">
      <w:pPr>
        <w:pStyle w:val="BasicParagraph"/>
        <w:suppressAutoHyphens/>
        <w:ind w:left="709" w:hanging="709"/>
        <w:rPr>
          <w:rFonts w:ascii="Verdana" w:hAnsi="Verdana" w:cs="Arial"/>
          <w:color w:val="232120"/>
        </w:rPr>
      </w:pPr>
      <w:r w:rsidRPr="00B04492">
        <w:rPr>
          <w:rFonts w:ascii="Verdana" w:hAnsi="Verdana" w:cs="Arial"/>
          <w:color w:val="232120"/>
        </w:rPr>
        <w:t>2.12</w:t>
      </w:r>
      <w:r w:rsidRPr="00B04492">
        <w:rPr>
          <w:rFonts w:ascii="Verdana" w:hAnsi="Verdana" w:cs="Arial"/>
          <w:color w:val="232120"/>
        </w:rPr>
        <w:tab/>
        <w:t>The Commission recommends that the Department gives full consideration to its human rights obligations, including under Protocol Article 2, in ensuring that victims have timely and accessible information regarding their case and are supported to meaningfully participate within the criminal justice proceedings, particularly with reference to the impact of non-disclosure.</w:t>
      </w:r>
    </w:p>
    <w:p w14:paraId="1E5444E6" w14:textId="52D648F0" w:rsidR="00B04492" w:rsidRDefault="00B04492" w:rsidP="00B04492">
      <w:pPr>
        <w:pStyle w:val="BasicParagraph"/>
        <w:suppressAutoHyphens/>
        <w:rPr>
          <w:rFonts w:ascii="Verdana" w:hAnsi="Verdana" w:cs="Arial"/>
          <w:color w:val="232120"/>
        </w:rPr>
      </w:pPr>
    </w:p>
    <w:p w14:paraId="5B9299B7" w14:textId="624ECD68" w:rsidR="00EE3578" w:rsidRDefault="00B04492" w:rsidP="00001572">
      <w:pPr>
        <w:pStyle w:val="BasicParagraph"/>
        <w:suppressAutoHyphens/>
        <w:ind w:left="709" w:hanging="709"/>
        <w:rPr>
          <w:rFonts w:ascii="Verdana" w:hAnsi="Verdana" w:cs="Arial"/>
          <w:color w:val="232120"/>
        </w:rPr>
      </w:pPr>
      <w:r w:rsidRPr="00B04492">
        <w:rPr>
          <w:rFonts w:ascii="Verdana" w:hAnsi="Verdana" w:cs="Arial"/>
          <w:color w:val="232120"/>
        </w:rPr>
        <w:t>2.16</w:t>
      </w:r>
      <w:r w:rsidRPr="00B04492">
        <w:rPr>
          <w:rFonts w:ascii="Verdana" w:hAnsi="Verdana" w:cs="Arial"/>
          <w:color w:val="232120"/>
        </w:rPr>
        <w:tab/>
        <w:t>The Commission advises that the prevention of burial rites and/or payment of respects at the grave of a loved one should be considered in the context of its impact on the right to respect for family and private life, which is protected by Article 8 ECHR.</w:t>
      </w:r>
    </w:p>
    <w:p w14:paraId="042B0698" w14:textId="0A3BC3F9" w:rsidR="00B04492" w:rsidRDefault="00B04492" w:rsidP="00001572">
      <w:pPr>
        <w:pStyle w:val="BasicParagraph"/>
        <w:suppressAutoHyphens/>
        <w:ind w:left="709" w:hanging="709"/>
        <w:rPr>
          <w:rFonts w:ascii="Verdana" w:hAnsi="Verdana" w:cs="Arial"/>
          <w:color w:val="232120"/>
        </w:rPr>
      </w:pPr>
    </w:p>
    <w:p w14:paraId="31D9D0F8" w14:textId="22436B29" w:rsidR="00B04492" w:rsidRDefault="00B04492" w:rsidP="00001572">
      <w:pPr>
        <w:pStyle w:val="BasicParagraph"/>
        <w:suppressAutoHyphens/>
        <w:ind w:left="709" w:hanging="709"/>
        <w:rPr>
          <w:rFonts w:ascii="Verdana" w:hAnsi="Verdana" w:cs="Arial"/>
          <w:color w:val="232120"/>
        </w:rPr>
      </w:pPr>
      <w:r w:rsidRPr="00B04492">
        <w:rPr>
          <w:rFonts w:ascii="Verdana" w:hAnsi="Verdana" w:cs="Arial"/>
          <w:color w:val="232120"/>
        </w:rPr>
        <w:t>3.3</w:t>
      </w:r>
      <w:r w:rsidRPr="00B04492">
        <w:rPr>
          <w:rFonts w:ascii="Verdana" w:hAnsi="Verdana" w:cs="Arial"/>
          <w:color w:val="232120"/>
        </w:rPr>
        <w:tab/>
        <w:t>The Commission recommends that judicial independence be the primary consideration so any statutory duty should be no more than to have regard to sentencing guidelines.</w:t>
      </w:r>
    </w:p>
    <w:p w14:paraId="0F72DABD" w14:textId="348EF0D4" w:rsidR="00B04492" w:rsidRDefault="00B04492" w:rsidP="00001572">
      <w:pPr>
        <w:pStyle w:val="BasicParagraph"/>
        <w:suppressAutoHyphens/>
        <w:ind w:left="709" w:hanging="709"/>
        <w:rPr>
          <w:rFonts w:ascii="Verdana" w:hAnsi="Verdana" w:cs="Arial"/>
          <w:color w:val="232120"/>
        </w:rPr>
      </w:pPr>
    </w:p>
    <w:p w14:paraId="6AB9B4C7" w14:textId="2C2022FA" w:rsidR="00B04492" w:rsidRDefault="00B04492" w:rsidP="00001572">
      <w:pPr>
        <w:pStyle w:val="BasicParagraph"/>
        <w:suppressAutoHyphens/>
        <w:ind w:left="709" w:hanging="709"/>
        <w:rPr>
          <w:rFonts w:ascii="Verdana" w:hAnsi="Verdana" w:cs="Arial"/>
          <w:color w:val="232120"/>
        </w:rPr>
      </w:pPr>
      <w:r w:rsidRPr="00B04492">
        <w:rPr>
          <w:rFonts w:ascii="Verdana" w:hAnsi="Verdana" w:cs="Arial"/>
          <w:color w:val="232120"/>
        </w:rPr>
        <w:t>3.7</w:t>
      </w:r>
      <w:r w:rsidRPr="00B04492">
        <w:rPr>
          <w:rFonts w:ascii="Verdana" w:hAnsi="Verdana" w:cs="Arial"/>
          <w:color w:val="232120"/>
        </w:rPr>
        <w:tab/>
        <w:t>The Commission recommends that the Department retains and highlights non-disclosure as an aggravating factor in tariff setting instead of placing it automatically into the very serious category.</w:t>
      </w:r>
    </w:p>
    <w:p w14:paraId="429A29CD" w14:textId="448DEC50" w:rsidR="00B04492" w:rsidRDefault="00B04492" w:rsidP="00655F6F">
      <w:pPr>
        <w:pStyle w:val="BasicParagraph"/>
        <w:suppressAutoHyphens/>
        <w:rPr>
          <w:rFonts w:ascii="Verdana" w:hAnsi="Verdana" w:cs="Arial"/>
          <w:color w:val="232120"/>
        </w:rPr>
      </w:pPr>
    </w:p>
    <w:p w14:paraId="252A2A0F" w14:textId="7D8320B2" w:rsidR="005A4B68" w:rsidRDefault="00655F6F" w:rsidP="00001572">
      <w:pPr>
        <w:pStyle w:val="BasicParagraph"/>
        <w:suppressAutoHyphens/>
        <w:ind w:left="709" w:hanging="709"/>
        <w:rPr>
          <w:rFonts w:ascii="Verdana" w:hAnsi="Verdana" w:cs="Arial"/>
          <w:color w:val="232120"/>
        </w:rPr>
      </w:pPr>
      <w:r w:rsidRPr="00655F6F">
        <w:rPr>
          <w:rFonts w:ascii="Verdana" w:hAnsi="Verdana" w:cs="Arial"/>
          <w:color w:val="232120"/>
        </w:rPr>
        <w:t>4.7</w:t>
      </w:r>
      <w:r w:rsidRPr="00655F6F">
        <w:rPr>
          <w:rFonts w:ascii="Verdana" w:hAnsi="Verdana" w:cs="Arial"/>
          <w:color w:val="232120"/>
        </w:rPr>
        <w:tab/>
        <w:t>The Commission recommends that the Department takes a human rights based approach when considering legislative options which encourage a timely disclosure, including screening for compatibility with the ECHR.</w:t>
      </w:r>
    </w:p>
    <w:p w14:paraId="1CD17A6F" w14:textId="3610A0DB" w:rsidR="005A4B68" w:rsidRDefault="005A4B68" w:rsidP="00001572">
      <w:pPr>
        <w:pStyle w:val="BasicParagraph"/>
        <w:suppressAutoHyphens/>
        <w:ind w:left="709" w:hanging="709"/>
        <w:rPr>
          <w:rFonts w:ascii="Verdana" w:hAnsi="Verdana" w:cs="Arial"/>
          <w:color w:val="232120"/>
        </w:rPr>
      </w:pPr>
    </w:p>
    <w:p w14:paraId="5695FAF1" w14:textId="77777777" w:rsidR="00655F6F" w:rsidRPr="00655F6F" w:rsidRDefault="00655F6F" w:rsidP="00655F6F">
      <w:pPr>
        <w:pStyle w:val="BasicParagraph"/>
        <w:suppressAutoHyphens/>
        <w:ind w:left="709" w:hanging="709"/>
        <w:rPr>
          <w:rFonts w:ascii="Verdana" w:hAnsi="Verdana" w:cs="Arial"/>
          <w:color w:val="232120"/>
        </w:rPr>
      </w:pPr>
      <w:r w:rsidRPr="00655F6F">
        <w:rPr>
          <w:rFonts w:ascii="Verdana" w:hAnsi="Verdana" w:cs="Arial"/>
          <w:color w:val="232120"/>
        </w:rPr>
        <w:t>5.10</w:t>
      </w:r>
      <w:r w:rsidRPr="00655F6F">
        <w:rPr>
          <w:rFonts w:ascii="Verdana" w:hAnsi="Verdana" w:cs="Arial"/>
          <w:color w:val="232120"/>
        </w:rPr>
        <w:tab/>
        <w:t xml:space="preserve">The Commission recommends that the Department ensure that any proposed legislative change complies with the Article 3 ECHR requirement that there must be a prospect of release. </w:t>
      </w:r>
    </w:p>
    <w:p w14:paraId="52C8DA2C" w14:textId="77777777" w:rsidR="00655F6F" w:rsidRPr="00655F6F" w:rsidRDefault="00655F6F" w:rsidP="00655F6F">
      <w:pPr>
        <w:pStyle w:val="BasicParagraph"/>
        <w:suppressAutoHyphens/>
        <w:ind w:left="709" w:hanging="709"/>
        <w:rPr>
          <w:rFonts w:ascii="Verdana" w:hAnsi="Verdana" w:cs="Arial"/>
          <w:color w:val="232120"/>
        </w:rPr>
      </w:pPr>
    </w:p>
    <w:p w14:paraId="36F7BECF" w14:textId="6938C5D0" w:rsidR="005A4B68" w:rsidRDefault="00655F6F" w:rsidP="00655F6F">
      <w:pPr>
        <w:pStyle w:val="BasicParagraph"/>
        <w:suppressAutoHyphens/>
        <w:ind w:left="709" w:hanging="709"/>
        <w:rPr>
          <w:rFonts w:ascii="Verdana" w:hAnsi="Verdana" w:cs="Arial"/>
          <w:color w:val="232120"/>
        </w:rPr>
      </w:pPr>
      <w:r w:rsidRPr="00655F6F">
        <w:rPr>
          <w:rFonts w:ascii="Verdana" w:hAnsi="Verdana" w:cs="Arial"/>
          <w:color w:val="232120"/>
        </w:rPr>
        <w:t>5.11</w:t>
      </w:r>
      <w:r w:rsidRPr="00655F6F">
        <w:rPr>
          <w:rFonts w:ascii="Verdana" w:hAnsi="Verdana" w:cs="Arial"/>
          <w:color w:val="232120"/>
        </w:rPr>
        <w:tab/>
      </w:r>
      <w:r w:rsidR="007C7519">
        <w:rPr>
          <w:rFonts w:ascii="Verdana" w:hAnsi="Verdana" w:cs="Arial"/>
          <w:color w:val="232120"/>
        </w:rPr>
        <w:t>The Commission</w:t>
      </w:r>
      <w:r w:rsidRPr="00655F6F">
        <w:rPr>
          <w:rFonts w:ascii="Verdana" w:hAnsi="Verdana" w:cs="Arial"/>
          <w:color w:val="232120"/>
        </w:rPr>
        <w:t xml:space="preserve"> recommends</w:t>
      </w:r>
      <w:r w:rsidR="007007E1">
        <w:rPr>
          <w:rFonts w:ascii="Verdana" w:hAnsi="Verdana" w:cs="Arial"/>
          <w:color w:val="232120"/>
        </w:rPr>
        <w:t xml:space="preserve"> that</w:t>
      </w:r>
      <w:r w:rsidRPr="00655F6F">
        <w:rPr>
          <w:rFonts w:ascii="Verdana" w:hAnsi="Verdana" w:cs="Arial"/>
          <w:color w:val="232120"/>
        </w:rPr>
        <w:t xml:space="preserve"> the Department ensure that the distinct roles of tariff setting and assessing risk are maintained by the Courts and Parole Commissioners.</w:t>
      </w:r>
    </w:p>
    <w:p w14:paraId="04793A07" w14:textId="65983B24" w:rsidR="00655F6F" w:rsidRDefault="00655F6F" w:rsidP="00655F6F">
      <w:pPr>
        <w:pStyle w:val="BasicParagraph"/>
        <w:suppressAutoHyphens/>
        <w:rPr>
          <w:rFonts w:ascii="Verdana" w:hAnsi="Verdana" w:cs="Arial"/>
          <w:color w:val="232120"/>
        </w:rPr>
      </w:pPr>
    </w:p>
    <w:p w14:paraId="6D747FD7" w14:textId="5AB32FE8" w:rsidR="005A4B68" w:rsidRDefault="00655F6F" w:rsidP="00001572">
      <w:pPr>
        <w:pStyle w:val="BasicParagraph"/>
        <w:suppressAutoHyphens/>
        <w:ind w:left="709" w:hanging="709"/>
        <w:rPr>
          <w:rFonts w:ascii="Verdana" w:hAnsi="Verdana" w:cs="Arial"/>
          <w:color w:val="232120"/>
        </w:rPr>
      </w:pPr>
      <w:r w:rsidRPr="00655F6F">
        <w:rPr>
          <w:rFonts w:ascii="Verdana" w:hAnsi="Verdana" w:cs="Arial"/>
          <w:color w:val="232120"/>
        </w:rPr>
        <w:t>6.3</w:t>
      </w:r>
      <w:r w:rsidRPr="00655F6F">
        <w:rPr>
          <w:rFonts w:ascii="Verdana" w:hAnsi="Verdana" w:cs="Arial"/>
          <w:color w:val="232120"/>
        </w:rPr>
        <w:tab/>
        <w:t>The Commission recommends that the Department conduct a Human Rights Impact Assessment before developing any new legislation, policies or practices, which takes account of all international human rights obligations.</w:t>
      </w:r>
    </w:p>
    <w:p w14:paraId="12A1DFB1" w14:textId="7EB57B16" w:rsidR="005A4B68" w:rsidRDefault="005A4B68" w:rsidP="00001572">
      <w:pPr>
        <w:pStyle w:val="BasicParagraph"/>
        <w:suppressAutoHyphens/>
        <w:ind w:left="709" w:hanging="709"/>
        <w:rPr>
          <w:rFonts w:ascii="Verdana" w:hAnsi="Verdana" w:cs="Arial"/>
          <w:color w:val="232120"/>
        </w:rPr>
      </w:pPr>
    </w:p>
    <w:p w14:paraId="133FFB0C" w14:textId="5D196162" w:rsidR="005A4B68" w:rsidRDefault="005A4B68" w:rsidP="00001572">
      <w:pPr>
        <w:pStyle w:val="BasicParagraph"/>
        <w:suppressAutoHyphens/>
        <w:ind w:left="709" w:hanging="709"/>
        <w:rPr>
          <w:rFonts w:ascii="Verdana" w:hAnsi="Verdana" w:cs="Arial"/>
          <w:color w:val="232120"/>
        </w:rPr>
      </w:pPr>
    </w:p>
    <w:p w14:paraId="2C5868CE" w14:textId="1449070E" w:rsidR="00EE3578" w:rsidRPr="00331C61" w:rsidRDefault="00EE3578" w:rsidP="00655F6F">
      <w:pPr>
        <w:pStyle w:val="BasicParagraph"/>
        <w:suppressAutoHyphens/>
        <w:rPr>
          <w:rFonts w:ascii="Verdana" w:hAnsi="Verdana" w:cs="Arial"/>
          <w:color w:val="232120"/>
        </w:rPr>
      </w:pPr>
    </w:p>
    <w:p w14:paraId="619312EB" w14:textId="65F9CD0B" w:rsidR="007569C1" w:rsidRPr="003B7D0E" w:rsidRDefault="00153141" w:rsidP="00001572">
      <w:pPr>
        <w:pStyle w:val="BasicParagraph"/>
        <w:suppressAutoHyphens/>
        <w:ind w:left="709" w:hanging="709"/>
        <w:rPr>
          <w:rFonts w:ascii="Verdana" w:hAnsi="Verdana" w:cs="Arial"/>
          <w:color w:val="77328A"/>
          <w:sz w:val="30"/>
          <w:szCs w:val="30"/>
        </w:rPr>
      </w:pPr>
      <w:r>
        <w:rPr>
          <w:rFonts w:ascii="Verdana" w:hAnsi="Verdana" w:cs="Arial"/>
          <w:b/>
          <w:color w:val="77328A"/>
          <w:sz w:val="30"/>
          <w:szCs w:val="30"/>
        </w:rPr>
        <w:lastRenderedPageBreak/>
        <w:t>1</w:t>
      </w:r>
      <w:r w:rsidR="007569C1" w:rsidRPr="003B7D0E">
        <w:rPr>
          <w:rFonts w:ascii="Verdana" w:hAnsi="Verdana" w:cs="Arial"/>
          <w:b/>
          <w:color w:val="77328A"/>
          <w:sz w:val="30"/>
          <w:szCs w:val="30"/>
        </w:rPr>
        <w:t>.0</w:t>
      </w:r>
      <w:r w:rsidR="007569C1" w:rsidRPr="003B7D0E">
        <w:rPr>
          <w:rFonts w:ascii="Verdana" w:hAnsi="Verdana" w:cs="Arial"/>
          <w:b/>
          <w:color w:val="77328A"/>
          <w:sz w:val="30"/>
          <w:szCs w:val="30"/>
        </w:rPr>
        <w:tab/>
      </w:r>
      <w:r>
        <w:rPr>
          <w:rFonts w:ascii="Verdana" w:hAnsi="Verdana" w:cs="Arial"/>
          <w:b/>
          <w:color w:val="77328A"/>
          <w:sz w:val="30"/>
          <w:szCs w:val="30"/>
        </w:rPr>
        <w:t>Introduction</w:t>
      </w:r>
    </w:p>
    <w:p w14:paraId="705E6A16" w14:textId="6BF64397" w:rsidR="007569C1" w:rsidRPr="00153141" w:rsidRDefault="007569C1" w:rsidP="00001572">
      <w:pPr>
        <w:pStyle w:val="BasicParagraph"/>
        <w:suppressAutoHyphens/>
        <w:ind w:left="709" w:hanging="709"/>
        <w:rPr>
          <w:rFonts w:ascii="Verdana" w:hAnsi="Verdana" w:cs="Arial"/>
          <w:color w:val="734791"/>
        </w:rPr>
      </w:pPr>
    </w:p>
    <w:p w14:paraId="618BE4E0" w14:textId="62A3BB9C" w:rsidR="00153141" w:rsidRDefault="2720D361" w:rsidP="00001572">
      <w:pPr>
        <w:pStyle w:val="BasicParagraph"/>
        <w:numPr>
          <w:ilvl w:val="1"/>
          <w:numId w:val="16"/>
        </w:numPr>
        <w:suppressAutoHyphens/>
        <w:ind w:left="709" w:hanging="709"/>
        <w:jc w:val="both"/>
        <w:rPr>
          <w:rFonts w:ascii="Verdana" w:hAnsi="Verdana" w:cs="Arial"/>
          <w:color w:val="auto"/>
        </w:rPr>
      </w:pPr>
      <w:r w:rsidRPr="37AD38E2">
        <w:rPr>
          <w:rFonts w:ascii="Verdana" w:hAnsi="Verdana" w:cs="Arial"/>
          <w:color w:val="auto"/>
        </w:rPr>
        <w:t>The Northern Ireland Human Rights Commission (the Commission), pursuant to s</w:t>
      </w:r>
      <w:r w:rsidR="16E9A403" w:rsidRPr="37AD38E2">
        <w:rPr>
          <w:rFonts w:ascii="Verdana" w:hAnsi="Verdana" w:cs="Arial"/>
          <w:color w:val="auto"/>
        </w:rPr>
        <w:t>ection</w:t>
      </w:r>
      <w:r w:rsidRPr="37AD38E2">
        <w:rPr>
          <w:rFonts w:ascii="Verdana" w:hAnsi="Verdana" w:cs="Arial"/>
          <w:color w:val="auto"/>
        </w:rPr>
        <w:t xml:space="preserve"> 69(1) of the Northern Ireland Act 1998, review</w:t>
      </w:r>
      <w:r w:rsidR="16E9A403" w:rsidRPr="37AD38E2">
        <w:rPr>
          <w:rFonts w:ascii="Verdana" w:hAnsi="Verdana" w:cs="Arial"/>
          <w:color w:val="auto"/>
        </w:rPr>
        <w:t>s</w:t>
      </w:r>
      <w:r w:rsidRPr="37AD38E2">
        <w:rPr>
          <w:rFonts w:ascii="Verdana" w:hAnsi="Verdana" w:cs="Arial"/>
          <w:color w:val="auto"/>
        </w:rPr>
        <w:t xml:space="preserve"> the adequacy and effectiveness of law and practice relating to the protection of human rights</w:t>
      </w:r>
      <w:r w:rsidR="16E9A403" w:rsidRPr="37AD38E2">
        <w:rPr>
          <w:rFonts w:ascii="Verdana" w:hAnsi="Verdana" w:cs="Arial"/>
          <w:color w:val="auto"/>
        </w:rPr>
        <w:t xml:space="preserve">. Further, the Commission, pursuant to section 78A(1), must </w:t>
      </w:r>
      <w:r w:rsidRPr="37AD38E2">
        <w:rPr>
          <w:rFonts w:ascii="Verdana" w:hAnsi="Verdana" w:cs="Arial"/>
          <w:color w:val="auto"/>
        </w:rPr>
        <w:t>monitor the implementation of Article 2</w:t>
      </w:r>
      <w:r w:rsidR="16E9A403" w:rsidRPr="37AD38E2">
        <w:rPr>
          <w:rFonts w:ascii="Verdana" w:hAnsi="Verdana" w:cs="Arial"/>
          <w:color w:val="auto"/>
        </w:rPr>
        <w:t>(1)</w:t>
      </w:r>
      <w:r w:rsidRPr="37AD38E2">
        <w:rPr>
          <w:rFonts w:ascii="Verdana" w:hAnsi="Verdana" w:cs="Arial"/>
          <w:color w:val="auto"/>
        </w:rPr>
        <w:t xml:space="preserve"> of the </w:t>
      </w:r>
      <w:r w:rsidR="16E9A403" w:rsidRPr="37AD38E2">
        <w:rPr>
          <w:rFonts w:ascii="Verdana" w:hAnsi="Verdana" w:cs="Arial"/>
          <w:color w:val="auto"/>
        </w:rPr>
        <w:t xml:space="preserve">Protocol on </w:t>
      </w:r>
      <w:r w:rsidRPr="37AD38E2">
        <w:rPr>
          <w:rFonts w:ascii="Verdana" w:hAnsi="Verdana" w:cs="Arial"/>
          <w:color w:val="auto"/>
        </w:rPr>
        <w:t xml:space="preserve">Ireland/Northern Ireland </w:t>
      </w:r>
      <w:r w:rsidR="16E9A403" w:rsidRPr="37AD38E2">
        <w:rPr>
          <w:rFonts w:ascii="Verdana" w:hAnsi="Verdana" w:cs="Arial"/>
          <w:color w:val="auto"/>
        </w:rPr>
        <w:t>in the EU Withdrawal Agreement (rights of individuals).</w:t>
      </w:r>
      <w:r w:rsidRPr="37AD38E2">
        <w:rPr>
          <w:rFonts w:ascii="Verdana" w:hAnsi="Verdana" w:cs="Arial"/>
          <w:color w:val="auto"/>
        </w:rPr>
        <w:t xml:space="preserve"> In accordance with these f</w:t>
      </w:r>
      <w:r w:rsidR="00AF71EA">
        <w:rPr>
          <w:rFonts w:ascii="Verdana" w:hAnsi="Verdana" w:cs="Arial"/>
          <w:color w:val="auto"/>
        </w:rPr>
        <w:t>unctions, the following</w:t>
      </w:r>
      <w:r w:rsidR="00153141" w:rsidRPr="37AD38E2">
        <w:rPr>
          <w:rFonts w:ascii="Verdana" w:hAnsi="Verdana" w:cs="Arial"/>
          <w:color w:val="auto"/>
        </w:rPr>
        <w:t xml:space="preserve"> </w:t>
      </w:r>
      <w:r w:rsidRPr="37AD38E2">
        <w:rPr>
          <w:rFonts w:ascii="Verdana" w:hAnsi="Verdana" w:cs="Arial"/>
          <w:color w:val="auto"/>
        </w:rPr>
        <w:t xml:space="preserve">advice is submitted to the Department of Justice in response to its </w:t>
      </w:r>
      <w:r w:rsidR="00C8023C">
        <w:rPr>
          <w:rFonts w:ascii="Verdana" w:hAnsi="Verdana" w:cs="Arial"/>
          <w:color w:val="auto"/>
        </w:rPr>
        <w:t xml:space="preserve">consultation on </w:t>
      </w:r>
      <w:r w:rsidRPr="37AD38E2">
        <w:rPr>
          <w:rFonts w:ascii="Verdana" w:hAnsi="Verdana" w:cs="Arial"/>
          <w:color w:val="auto"/>
        </w:rPr>
        <w:t>Charlotte’s Law.</w:t>
      </w:r>
    </w:p>
    <w:p w14:paraId="7DAD0E98" w14:textId="77777777" w:rsidR="00A2608E" w:rsidRDefault="00A2608E" w:rsidP="00A2608E">
      <w:pPr>
        <w:pStyle w:val="BasicParagraph"/>
        <w:suppressAutoHyphens/>
        <w:ind w:left="709"/>
        <w:jc w:val="both"/>
        <w:rPr>
          <w:rFonts w:ascii="Verdana" w:hAnsi="Verdana" w:cs="Arial"/>
          <w:color w:val="auto"/>
        </w:rPr>
      </w:pPr>
    </w:p>
    <w:p w14:paraId="095E9323" w14:textId="261F2643" w:rsidR="00867CF2" w:rsidRPr="00867CF2" w:rsidRDefault="005611A6" w:rsidP="00867CF2">
      <w:pPr>
        <w:pStyle w:val="BasicParagraph"/>
        <w:numPr>
          <w:ilvl w:val="1"/>
          <w:numId w:val="16"/>
        </w:numPr>
        <w:suppressAutoHyphens/>
        <w:ind w:left="709" w:hanging="709"/>
        <w:jc w:val="both"/>
        <w:rPr>
          <w:rFonts w:ascii="Verdana" w:hAnsi="Verdana" w:cs="Arial"/>
        </w:rPr>
      </w:pPr>
      <w:r w:rsidRPr="00867CF2">
        <w:rPr>
          <w:rFonts w:ascii="Verdana" w:hAnsi="Verdana" w:cs="Arial"/>
          <w:color w:val="auto"/>
        </w:rPr>
        <w:t>The Com</w:t>
      </w:r>
      <w:r w:rsidR="00FB41CB" w:rsidRPr="00867CF2">
        <w:rPr>
          <w:rFonts w:ascii="Verdana" w:hAnsi="Verdana" w:cs="Arial"/>
          <w:color w:val="auto"/>
        </w:rPr>
        <w:t>m</w:t>
      </w:r>
      <w:r w:rsidRPr="00867CF2">
        <w:rPr>
          <w:rFonts w:ascii="Verdana" w:hAnsi="Verdana" w:cs="Arial"/>
          <w:color w:val="auto"/>
        </w:rPr>
        <w:t xml:space="preserve">ission </w:t>
      </w:r>
      <w:r w:rsidR="00A2608E" w:rsidRPr="00867CF2">
        <w:rPr>
          <w:rFonts w:ascii="Verdana" w:hAnsi="Verdana" w:cs="Arial"/>
          <w:color w:val="auto"/>
        </w:rPr>
        <w:t xml:space="preserve">further advises on the UK Government commitment in Protocol Article 2(1) to ensure there is no diminution of rights, safeguards and equality of opportunity in the relevant section of the Belfast (Good Friday) Agreement as a result of </w:t>
      </w:r>
      <w:r w:rsidR="00FE63D3" w:rsidRPr="00867CF2">
        <w:rPr>
          <w:rFonts w:ascii="Verdana" w:hAnsi="Verdana" w:cs="Arial"/>
          <w:color w:val="auto"/>
        </w:rPr>
        <w:t xml:space="preserve">the </w:t>
      </w:r>
      <w:r w:rsidR="00A2608E" w:rsidRPr="00867CF2">
        <w:rPr>
          <w:rFonts w:ascii="Verdana" w:hAnsi="Verdana" w:cs="Arial"/>
          <w:color w:val="auto"/>
        </w:rPr>
        <w:t xml:space="preserve">UK’s withdrawal from the EU. This is given effect in UK law by section 7A of the EU (Withdrawal) Act 2018. </w:t>
      </w:r>
      <w:r w:rsidR="00867CF2" w:rsidRPr="00867CF2">
        <w:rPr>
          <w:rFonts w:ascii="Verdana" w:hAnsi="Verdana" w:cs="Arial"/>
        </w:rPr>
        <w:t xml:space="preserve">In addition, Section 6 of the Northern Ireland Act 1998 provides that the NI Assembly is prohibited from making any law which is incompatible with Protocol Article 2. Section 24 of the 1998 Act also provides that all acts of the </w:t>
      </w:r>
      <w:r w:rsidR="00867CF2">
        <w:rPr>
          <w:rFonts w:ascii="Verdana" w:hAnsi="Verdana" w:cs="Arial"/>
        </w:rPr>
        <w:t>Department should be</w:t>
      </w:r>
      <w:r w:rsidR="00867CF2" w:rsidRPr="00867CF2">
        <w:rPr>
          <w:rFonts w:ascii="Verdana" w:hAnsi="Verdana" w:cs="Arial"/>
        </w:rPr>
        <w:t xml:space="preserve"> compatible with Protocol Article 2.</w:t>
      </w:r>
    </w:p>
    <w:p w14:paraId="1A364814" w14:textId="77777777" w:rsidR="00867CF2" w:rsidRPr="00867CF2" w:rsidRDefault="00867CF2" w:rsidP="00867CF2">
      <w:pPr>
        <w:pStyle w:val="BasicParagraph"/>
        <w:suppressAutoHyphens/>
        <w:ind w:left="709"/>
        <w:jc w:val="both"/>
        <w:rPr>
          <w:rFonts w:ascii="Verdana" w:hAnsi="Verdana" w:cs="Arial"/>
          <w:color w:val="auto"/>
        </w:rPr>
      </w:pPr>
    </w:p>
    <w:p w14:paraId="2268EA0C" w14:textId="78F60DBC" w:rsidR="00153141" w:rsidRDefault="2720D361" w:rsidP="00001572">
      <w:pPr>
        <w:pStyle w:val="BasicParagraph"/>
        <w:numPr>
          <w:ilvl w:val="1"/>
          <w:numId w:val="16"/>
        </w:numPr>
        <w:suppressAutoHyphens/>
        <w:ind w:left="709" w:hanging="709"/>
        <w:jc w:val="both"/>
        <w:rPr>
          <w:rFonts w:ascii="Verdana" w:hAnsi="Verdana" w:cs="Arial"/>
          <w:color w:val="auto"/>
        </w:rPr>
      </w:pPr>
      <w:r w:rsidRPr="37AD38E2">
        <w:rPr>
          <w:rFonts w:ascii="Verdana" w:hAnsi="Verdana" w:cs="Arial"/>
          <w:color w:val="auto"/>
        </w:rPr>
        <w:t>The</w:t>
      </w:r>
      <w:r w:rsidR="0040009F">
        <w:rPr>
          <w:rFonts w:ascii="Verdana" w:hAnsi="Verdana" w:cs="Arial"/>
          <w:color w:val="auto"/>
        </w:rPr>
        <w:t xml:space="preserve"> Commission</w:t>
      </w:r>
      <w:r w:rsidRPr="37AD38E2">
        <w:rPr>
          <w:rFonts w:ascii="Verdana" w:hAnsi="Verdana" w:cs="Arial"/>
          <w:color w:val="auto"/>
        </w:rPr>
        <w:t xml:space="preserve"> bases its advice on the full range of internationally accepted human rights standards, including the European Convention on Human Rights, as incorporated by the Human Rights Act 1998, and the treaty obligations of the Council of Europe (CoE) and United Nations (UN).The relevant regional and international treaties in this context include:</w:t>
      </w:r>
    </w:p>
    <w:p w14:paraId="097494A0" w14:textId="468EB22E" w:rsidR="000411B2" w:rsidRPr="000411B2" w:rsidRDefault="000411B2" w:rsidP="00224065">
      <w:pPr>
        <w:pStyle w:val="ListParagraph"/>
        <w:ind w:left="709" w:firstLine="142"/>
        <w:rPr>
          <w:rFonts w:ascii="Verdana" w:hAnsi="Verdana" w:cs="Arial"/>
        </w:rPr>
      </w:pPr>
    </w:p>
    <w:p w14:paraId="48EA6FA3" w14:textId="2939FCAB" w:rsidR="000411B2" w:rsidRDefault="001859F6" w:rsidP="00224065">
      <w:pPr>
        <w:pStyle w:val="ListParagraph"/>
        <w:numPr>
          <w:ilvl w:val="0"/>
          <w:numId w:val="15"/>
        </w:numPr>
        <w:ind w:left="709" w:firstLine="142"/>
        <w:rPr>
          <w:rFonts w:ascii="Verdana" w:hAnsi="Verdana" w:cs="Arial"/>
        </w:rPr>
      </w:pPr>
      <w:r w:rsidRPr="001859F6">
        <w:rPr>
          <w:rFonts w:ascii="Verdana" w:hAnsi="Verdana" w:cs="Arial"/>
        </w:rPr>
        <w:t>The European Convention on Human Rights (ECHR)</w:t>
      </w:r>
      <w:r>
        <w:rPr>
          <w:rStyle w:val="FootnoteReference"/>
          <w:rFonts w:ascii="Verdana" w:hAnsi="Verdana" w:cs="Arial"/>
        </w:rPr>
        <w:footnoteReference w:id="2"/>
      </w:r>
    </w:p>
    <w:p w14:paraId="1EBDC4E5" w14:textId="1D0451C7" w:rsidR="00125C30" w:rsidRDefault="00125C30" w:rsidP="00224065">
      <w:pPr>
        <w:pStyle w:val="ListParagraph"/>
        <w:numPr>
          <w:ilvl w:val="0"/>
          <w:numId w:val="15"/>
        </w:numPr>
        <w:ind w:left="709" w:firstLine="142"/>
        <w:rPr>
          <w:rFonts w:ascii="Verdana" w:hAnsi="Verdana" w:cs="Arial"/>
        </w:rPr>
      </w:pPr>
      <w:r w:rsidRPr="00125C30">
        <w:rPr>
          <w:rFonts w:ascii="Verdana" w:hAnsi="Verdana" w:cs="Arial"/>
        </w:rPr>
        <w:t>UN International Covenant on Civil and Political Rights</w:t>
      </w:r>
      <w:r w:rsidR="00224065">
        <w:rPr>
          <w:rFonts w:ascii="Verdana" w:hAnsi="Verdana" w:cs="Arial"/>
        </w:rPr>
        <w:t xml:space="preserve"> (UN ICCPR)</w:t>
      </w:r>
      <w:r>
        <w:rPr>
          <w:rStyle w:val="FootnoteReference"/>
          <w:rFonts w:ascii="Verdana" w:hAnsi="Verdana" w:cs="Arial"/>
        </w:rPr>
        <w:footnoteReference w:id="3"/>
      </w:r>
    </w:p>
    <w:p w14:paraId="32F5D8D7" w14:textId="01FED5C4" w:rsidR="000411B2" w:rsidRDefault="000411B2" w:rsidP="00001572">
      <w:pPr>
        <w:pStyle w:val="ListParagraph"/>
        <w:ind w:left="709" w:hanging="709"/>
        <w:rPr>
          <w:rFonts w:ascii="Verdana" w:hAnsi="Verdana" w:cs="Arial"/>
        </w:rPr>
      </w:pPr>
    </w:p>
    <w:p w14:paraId="1E98C702" w14:textId="3699D4BF" w:rsidR="000411B2" w:rsidRDefault="000411B2" w:rsidP="00001572">
      <w:pPr>
        <w:pStyle w:val="BasicParagraph"/>
        <w:numPr>
          <w:ilvl w:val="1"/>
          <w:numId w:val="16"/>
        </w:numPr>
        <w:suppressAutoHyphens/>
        <w:ind w:left="709" w:hanging="709"/>
        <w:jc w:val="both"/>
        <w:rPr>
          <w:rFonts w:ascii="Verdana" w:hAnsi="Verdana" w:cs="Arial"/>
          <w:color w:val="auto"/>
        </w:rPr>
      </w:pPr>
      <w:r w:rsidRPr="000411B2">
        <w:rPr>
          <w:rFonts w:ascii="Verdana" w:hAnsi="Verdana" w:cs="Arial"/>
          <w:color w:val="auto"/>
        </w:rPr>
        <w:t>The Northern Ireland (NI) Executive is subject to the obligations contained within these international treaties by virtue of the United Kingdom’s ratification. The Commission recalls that Section 24(1) of the Northern Ireland Act 1998 requires that all acts of the Department are compatible with the ECHR. In addition, Section 26 of the Act also requires compliance with international obligations. The Commission, therefore, advises that the Department scrutinises</w:t>
      </w:r>
      <w:r>
        <w:rPr>
          <w:rFonts w:ascii="Verdana" w:hAnsi="Verdana" w:cs="Arial"/>
          <w:color w:val="auto"/>
        </w:rPr>
        <w:t xml:space="preserve"> any proposed legislative changes</w:t>
      </w:r>
      <w:r w:rsidRPr="000411B2">
        <w:rPr>
          <w:rFonts w:ascii="Verdana" w:hAnsi="Verdana" w:cs="Arial"/>
          <w:color w:val="auto"/>
        </w:rPr>
        <w:t xml:space="preserve"> for full compliance </w:t>
      </w:r>
      <w:r w:rsidRPr="000411B2">
        <w:rPr>
          <w:rFonts w:ascii="Verdana" w:hAnsi="Verdana" w:cs="Arial"/>
          <w:color w:val="auto"/>
        </w:rPr>
        <w:lastRenderedPageBreak/>
        <w:t>with international human rights standards.</w:t>
      </w:r>
    </w:p>
    <w:p w14:paraId="0B3E696B" w14:textId="77777777" w:rsidR="000411B2" w:rsidRDefault="000411B2" w:rsidP="00001572">
      <w:pPr>
        <w:pStyle w:val="BasicParagraph"/>
        <w:suppressAutoHyphens/>
        <w:ind w:left="709" w:hanging="709"/>
        <w:jc w:val="both"/>
        <w:rPr>
          <w:rFonts w:ascii="Verdana" w:hAnsi="Verdana" w:cs="Arial"/>
          <w:color w:val="auto"/>
        </w:rPr>
      </w:pPr>
    </w:p>
    <w:p w14:paraId="36E22D85" w14:textId="63751AFA" w:rsidR="00153141" w:rsidRDefault="00153141" w:rsidP="00001572">
      <w:pPr>
        <w:pStyle w:val="BasicParagraph"/>
        <w:numPr>
          <w:ilvl w:val="1"/>
          <w:numId w:val="16"/>
        </w:numPr>
        <w:suppressAutoHyphens/>
        <w:ind w:left="709" w:hanging="709"/>
        <w:jc w:val="both"/>
        <w:rPr>
          <w:rFonts w:ascii="Verdana" w:hAnsi="Verdana" w:cs="Arial"/>
          <w:color w:val="auto"/>
        </w:rPr>
      </w:pPr>
      <w:r w:rsidRPr="00153141">
        <w:rPr>
          <w:rFonts w:ascii="Verdana" w:hAnsi="Verdana" w:cs="Arial"/>
          <w:color w:val="auto"/>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1C545D45" w14:textId="77777777" w:rsidR="0052177D" w:rsidRDefault="0052177D" w:rsidP="00001572">
      <w:pPr>
        <w:pStyle w:val="ListParagraph"/>
        <w:ind w:left="709" w:hanging="709"/>
        <w:rPr>
          <w:rFonts w:ascii="Verdana" w:hAnsi="Verdana" w:cs="Arial"/>
        </w:rPr>
      </w:pPr>
    </w:p>
    <w:p w14:paraId="0FA5EECA" w14:textId="3E73A732" w:rsidR="0052177D" w:rsidRDefault="0052177D" w:rsidP="002F7CAB">
      <w:pPr>
        <w:pStyle w:val="BasicParagraph"/>
        <w:numPr>
          <w:ilvl w:val="0"/>
          <w:numId w:val="12"/>
        </w:numPr>
        <w:suppressAutoHyphens/>
        <w:ind w:left="709" w:firstLine="142"/>
        <w:jc w:val="both"/>
        <w:rPr>
          <w:rFonts w:ascii="Verdana" w:hAnsi="Verdana" w:cs="Arial"/>
          <w:color w:val="auto"/>
        </w:rPr>
      </w:pPr>
      <w:r w:rsidRPr="0052177D">
        <w:rPr>
          <w:rFonts w:ascii="Verdana" w:hAnsi="Verdana" w:cs="Arial"/>
          <w:color w:val="auto"/>
        </w:rPr>
        <w:t>UN Basic Principles on the Independence of the Judiciary</w:t>
      </w:r>
      <w:r>
        <w:rPr>
          <w:rStyle w:val="FootnoteReference"/>
          <w:rFonts w:ascii="Verdana" w:hAnsi="Verdana" w:cs="Arial"/>
          <w:color w:val="auto"/>
        </w:rPr>
        <w:footnoteReference w:id="4"/>
      </w:r>
    </w:p>
    <w:p w14:paraId="75E1F0CB" w14:textId="137317C6" w:rsidR="0052177D" w:rsidRDefault="0052177D" w:rsidP="002F7CAB">
      <w:pPr>
        <w:pStyle w:val="BasicParagraph"/>
        <w:numPr>
          <w:ilvl w:val="0"/>
          <w:numId w:val="12"/>
        </w:numPr>
        <w:suppressAutoHyphens/>
        <w:ind w:left="709" w:firstLine="142"/>
        <w:jc w:val="both"/>
        <w:rPr>
          <w:rFonts w:ascii="Verdana" w:hAnsi="Verdana" w:cs="Arial"/>
          <w:color w:val="auto"/>
        </w:rPr>
      </w:pPr>
      <w:r w:rsidRPr="0052177D">
        <w:rPr>
          <w:rFonts w:ascii="Verdana" w:hAnsi="Verdana" w:cs="Arial"/>
          <w:color w:val="auto"/>
        </w:rPr>
        <w:t xml:space="preserve">UN </w:t>
      </w:r>
      <w:r>
        <w:rPr>
          <w:rFonts w:ascii="Verdana" w:hAnsi="Verdana" w:cs="Arial"/>
          <w:color w:val="auto"/>
        </w:rPr>
        <w:t>Basic</w:t>
      </w:r>
      <w:r w:rsidRPr="0052177D">
        <w:rPr>
          <w:rFonts w:ascii="Verdana" w:hAnsi="Verdana" w:cs="Arial"/>
          <w:color w:val="auto"/>
        </w:rPr>
        <w:t xml:space="preserve"> Principles of Justice for Victims of Crime and Abuse of Power</w:t>
      </w:r>
      <w:r>
        <w:rPr>
          <w:rStyle w:val="FootnoteReference"/>
          <w:rFonts w:ascii="Verdana" w:hAnsi="Verdana" w:cs="Arial"/>
          <w:color w:val="auto"/>
        </w:rPr>
        <w:footnoteReference w:id="5"/>
      </w:r>
    </w:p>
    <w:p w14:paraId="4163BF0D" w14:textId="185F2818" w:rsidR="00125C30" w:rsidRDefault="00125C30" w:rsidP="002F7CAB">
      <w:pPr>
        <w:pStyle w:val="BasicParagraph"/>
        <w:numPr>
          <w:ilvl w:val="0"/>
          <w:numId w:val="12"/>
        </w:numPr>
        <w:suppressAutoHyphens/>
        <w:ind w:left="709" w:firstLine="142"/>
        <w:jc w:val="both"/>
        <w:rPr>
          <w:rFonts w:ascii="Verdana" w:hAnsi="Verdana" w:cs="Arial"/>
          <w:color w:val="auto"/>
        </w:rPr>
      </w:pPr>
      <w:r w:rsidRPr="00125C30">
        <w:rPr>
          <w:rFonts w:ascii="Verdana" w:hAnsi="Verdana" w:cs="Arial"/>
          <w:color w:val="auto"/>
        </w:rPr>
        <w:t>UN Standard Minimum Rules for the Treatment of Prisoners</w:t>
      </w:r>
      <w:r>
        <w:rPr>
          <w:rStyle w:val="FootnoteReference"/>
          <w:rFonts w:ascii="Verdana" w:hAnsi="Verdana" w:cs="Arial"/>
          <w:color w:val="auto"/>
        </w:rPr>
        <w:footnoteReference w:id="6"/>
      </w:r>
    </w:p>
    <w:p w14:paraId="27F1698B" w14:textId="705CCD76" w:rsidR="003F1FE5" w:rsidRPr="003F1FE5" w:rsidRDefault="003F1FE5" w:rsidP="002F7CAB">
      <w:pPr>
        <w:pStyle w:val="BasicParagraph"/>
        <w:numPr>
          <w:ilvl w:val="0"/>
          <w:numId w:val="12"/>
        </w:numPr>
        <w:suppressAutoHyphens/>
        <w:ind w:left="709" w:firstLine="142"/>
        <w:jc w:val="both"/>
        <w:rPr>
          <w:rFonts w:ascii="Verdana" w:hAnsi="Verdana" w:cs="Arial"/>
          <w:color w:val="auto"/>
        </w:rPr>
      </w:pPr>
      <w:r>
        <w:rPr>
          <w:rFonts w:ascii="Verdana" w:hAnsi="Verdana" w:cs="Arial"/>
          <w:color w:val="auto"/>
        </w:rPr>
        <w:t>UN Human Rights Committee</w:t>
      </w:r>
      <w:r w:rsidR="009E4331">
        <w:rPr>
          <w:rFonts w:ascii="Verdana" w:hAnsi="Verdana" w:cs="Arial"/>
          <w:color w:val="auto"/>
        </w:rPr>
        <w:t>,</w:t>
      </w:r>
      <w:r>
        <w:rPr>
          <w:rFonts w:ascii="Verdana" w:hAnsi="Verdana" w:cs="Arial"/>
          <w:color w:val="auto"/>
        </w:rPr>
        <w:t xml:space="preserve"> </w:t>
      </w:r>
      <w:r w:rsidRPr="003F1FE5">
        <w:rPr>
          <w:rFonts w:ascii="Verdana" w:hAnsi="Verdana" w:cs="Arial"/>
          <w:color w:val="auto"/>
        </w:rPr>
        <w:t>General Comment No. 21</w:t>
      </w:r>
      <w:r w:rsidR="00C27A65">
        <w:rPr>
          <w:rStyle w:val="FootnoteReference"/>
          <w:rFonts w:ascii="Verdana" w:hAnsi="Verdana" w:cs="Arial"/>
          <w:color w:val="auto"/>
        </w:rPr>
        <w:footnoteReference w:id="7"/>
      </w:r>
    </w:p>
    <w:p w14:paraId="4A7A1000" w14:textId="77777777" w:rsidR="003E6327" w:rsidRDefault="003E6327" w:rsidP="00001572">
      <w:pPr>
        <w:pStyle w:val="ListParagraph"/>
        <w:ind w:left="709" w:hanging="709"/>
        <w:rPr>
          <w:rFonts w:ascii="Verdana" w:hAnsi="Verdana" w:cs="Arial"/>
        </w:rPr>
      </w:pPr>
    </w:p>
    <w:p w14:paraId="62FD3F4F" w14:textId="2C25911D" w:rsidR="003E6327" w:rsidRDefault="003E6327" w:rsidP="00001572">
      <w:pPr>
        <w:pStyle w:val="BasicParagraph"/>
        <w:numPr>
          <w:ilvl w:val="1"/>
          <w:numId w:val="16"/>
        </w:numPr>
        <w:suppressAutoHyphens/>
        <w:ind w:left="709" w:hanging="709"/>
        <w:jc w:val="both"/>
        <w:rPr>
          <w:rFonts w:ascii="Verdana" w:hAnsi="Verdana" w:cs="Arial"/>
          <w:color w:val="auto"/>
        </w:rPr>
      </w:pPr>
      <w:r w:rsidRPr="003E6327">
        <w:rPr>
          <w:rFonts w:ascii="Verdana" w:hAnsi="Verdana" w:cs="Arial"/>
          <w:color w:val="auto"/>
        </w:rPr>
        <w:t>The following European Union standard also applies: Directive 2012/29/EU, establishing minimum standards on the rights, support and protection of victims of crime.</w:t>
      </w:r>
    </w:p>
    <w:p w14:paraId="66E47F71" w14:textId="77777777" w:rsidR="00153141" w:rsidRDefault="00153141" w:rsidP="00001572">
      <w:pPr>
        <w:pStyle w:val="ListParagraph"/>
        <w:ind w:left="709" w:hanging="709"/>
        <w:rPr>
          <w:rFonts w:ascii="Verdana" w:hAnsi="Verdana" w:cs="Arial"/>
        </w:rPr>
      </w:pPr>
    </w:p>
    <w:p w14:paraId="3C20C7F8" w14:textId="151E839F" w:rsidR="001859F6" w:rsidRDefault="00153141" w:rsidP="00001572">
      <w:pPr>
        <w:pStyle w:val="BasicParagraph"/>
        <w:numPr>
          <w:ilvl w:val="1"/>
          <w:numId w:val="16"/>
        </w:numPr>
        <w:suppressAutoHyphens/>
        <w:ind w:left="709" w:hanging="709"/>
        <w:jc w:val="both"/>
        <w:rPr>
          <w:rFonts w:ascii="Verdana" w:hAnsi="Verdana" w:cs="Arial"/>
          <w:color w:val="auto"/>
        </w:rPr>
      </w:pPr>
      <w:r w:rsidRPr="00153141">
        <w:rPr>
          <w:rFonts w:ascii="Verdana" w:hAnsi="Verdana" w:cs="Arial"/>
          <w:color w:val="auto"/>
        </w:rPr>
        <w:t xml:space="preserve">The </w:t>
      </w:r>
      <w:r w:rsidR="005611A6">
        <w:rPr>
          <w:rFonts w:ascii="Verdana" w:hAnsi="Verdana" w:cs="Arial"/>
          <w:color w:val="auto"/>
        </w:rPr>
        <w:t>Commission</w:t>
      </w:r>
      <w:r w:rsidRPr="00153141">
        <w:rPr>
          <w:rFonts w:ascii="Verdana" w:hAnsi="Verdana" w:cs="Arial"/>
          <w:color w:val="auto"/>
        </w:rPr>
        <w:t xml:space="preserve"> welcomes the opportunity to respond to the Department of Justice’s consultation</w:t>
      </w:r>
      <w:r w:rsidR="00212F00">
        <w:rPr>
          <w:rFonts w:ascii="Verdana" w:hAnsi="Verdana" w:cs="Arial"/>
          <w:color w:val="auto"/>
        </w:rPr>
        <w:t xml:space="preserve"> on proposals for </w:t>
      </w:r>
      <w:r w:rsidRPr="00153141">
        <w:rPr>
          <w:rFonts w:ascii="Verdana" w:hAnsi="Verdana" w:cs="Arial"/>
          <w:color w:val="auto"/>
        </w:rPr>
        <w:t xml:space="preserve">Charlotte’s Law. </w:t>
      </w:r>
      <w:r w:rsidR="001859F6">
        <w:rPr>
          <w:rFonts w:ascii="Verdana" w:hAnsi="Verdana" w:cs="Arial"/>
          <w:color w:val="auto"/>
        </w:rPr>
        <w:t>The Commission recognises the challenges in legislating in this area and the sensitive balance of rights required</w:t>
      </w:r>
      <w:r w:rsidR="009B7888">
        <w:rPr>
          <w:rFonts w:ascii="Verdana" w:hAnsi="Verdana" w:cs="Arial"/>
          <w:color w:val="auto"/>
        </w:rPr>
        <w:t>.</w:t>
      </w:r>
      <w:r w:rsidR="00957923">
        <w:rPr>
          <w:rFonts w:ascii="Verdana" w:hAnsi="Verdana" w:cs="Arial"/>
          <w:color w:val="auto"/>
        </w:rPr>
        <w:t xml:space="preserve"> </w:t>
      </w:r>
      <w:r w:rsidR="001929D8">
        <w:rPr>
          <w:rFonts w:ascii="Verdana" w:hAnsi="Verdana" w:cs="Arial"/>
          <w:color w:val="auto"/>
        </w:rPr>
        <w:t xml:space="preserve">In its response, the Commission will focus specifically on the standards that apply to the </w:t>
      </w:r>
      <w:r w:rsidR="00E35FB8">
        <w:rPr>
          <w:rFonts w:ascii="Verdana" w:hAnsi="Verdana" w:cs="Arial"/>
          <w:color w:val="auto"/>
        </w:rPr>
        <w:t xml:space="preserve">proposed </w:t>
      </w:r>
      <w:r w:rsidR="001929D8">
        <w:rPr>
          <w:rFonts w:ascii="Verdana" w:hAnsi="Verdana" w:cs="Arial"/>
          <w:color w:val="auto"/>
        </w:rPr>
        <w:t>changes raised within the consultation document.</w:t>
      </w:r>
      <w:r w:rsidR="005611A6">
        <w:rPr>
          <w:rFonts w:ascii="Verdana" w:hAnsi="Verdana" w:cs="Arial"/>
          <w:color w:val="auto"/>
        </w:rPr>
        <w:t xml:space="preserve"> While many of the</w:t>
      </w:r>
      <w:r w:rsidR="00FB41CB">
        <w:rPr>
          <w:rFonts w:ascii="Verdana" w:hAnsi="Verdana" w:cs="Arial"/>
          <w:color w:val="auto"/>
        </w:rPr>
        <w:t>se</w:t>
      </w:r>
      <w:r w:rsidR="005611A6">
        <w:rPr>
          <w:rFonts w:ascii="Verdana" w:hAnsi="Verdana" w:cs="Arial"/>
          <w:color w:val="auto"/>
        </w:rPr>
        <w:t xml:space="preserve"> </w:t>
      </w:r>
      <w:r w:rsidR="00FB41CB">
        <w:rPr>
          <w:rFonts w:ascii="Verdana" w:hAnsi="Verdana" w:cs="Arial"/>
          <w:color w:val="auto"/>
        </w:rPr>
        <w:t xml:space="preserve">standards </w:t>
      </w:r>
      <w:r w:rsidR="00720A5A">
        <w:rPr>
          <w:rFonts w:ascii="Verdana" w:hAnsi="Verdana" w:cs="Arial"/>
          <w:color w:val="auto"/>
        </w:rPr>
        <w:t>relate to the rights of offenders, the Commission recognises the importance of ensuring that victims’ rights are upheld</w:t>
      </w:r>
      <w:r w:rsidR="005611A6">
        <w:rPr>
          <w:rFonts w:ascii="Verdana" w:hAnsi="Verdana" w:cs="Arial"/>
          <w:color w:val="auto"/>
        </w:rPr>
        <w:t xml:space="preserve"> </w:t>
      </w:r>
      <w:r w:rsidR="00720A5A">
        <w:rPr>
          <w:rFonts w:ascii="Verdana" w:hAnsi="Verdana" w:cs="Arial"/>
          <w:color w:val="auto"/>
        </w:rPr>
        <w:t xml:space="preserve">throughout criminal justice proceedings. The Commission has </w:t>
      </w:r>
      <w:r w:rsidR="000E665F">
        <w:rPr>
          <w:rFonts w:ascii="Verdana" w:hAnsi="Verdana" w:cs="Arial"/>
          <w:color w:val="auto"/>
        </w:rPr>
        <w:t xml:space="preserve">previously </w:t>
      </w:r>
      <w:r w:rsidR="00720A5A">
        <w:rPr>
          <w:rFonts w:ascii="Verdana" w:hAnsi="Verdana" w:cs="Arial"/>
          <w:color w:val="auto"/>
        </w:rPr>
        <w:t xml:space="preserve">provided detailed guidance on this matter, for example </w:t>
      </w:r>
      <w:r w:rsidR="001929D8">
        <w:rPr>
          <w:rFonts w:ascii="Verdana" w:hAnsi="Verdana" w:cs="Arial"/>
          <w:color w:val="auto"/>
        </w:rPr>
        <w:t xml:space="preserve">in </w:t>
      </w:r>
      <w:r w:rsidR="00B5389D">
        <w:rPr>
          <w:rFonts w:ascii="Verdana" w:hAnsi="Verdana" w:cs="Arial"/>
          <w:color w:val="auto"/>
        </w:rPr>
        <w:t xml:space="preserve">response </w:t>
      </w:r>
      <w:r w:rsidR="001929D8">
        <w:rPr>
          <w:rFonts w:ascii="Verdana" w:hAnsi="Verdana" w:cs="Arial"/>
          <w:color w:val="auto"/>
        </w:rPr>
        <w:t>to the consultation on i</w:t>
      </w:r>
      <w:r w:rsidR="001929D8" w:rsidRPr="001929D8">
        <w:rPr>
          <w:rFonts w:ascii="Verdana" w:hAnsi="Verdana" w:cs="Arial"/>
          <w:color w:val="auto"/>
        </w:rPr>
        <w:t>mproving the experiences of victims and witnesses in the criminal justice system</w:t>
      </w:r>
      <w:r w:rsidR="00720A5A">
        <w:rPr>
          <w:rFonts w:ascii="Verdana" w:hAnsi="Verdana" w:cs="Arial"/>
          <w:color w:val="auto"/>
        </w:rPr>
        <w:t>.</w:t>
      </w:r>
      <w:r w:rsidR="001E18A1">
        <w:rPr>
          <w:rStyle w:val="FootnoteReference"/>
          <w:rFonts w:ascii="Verdana" w:hAnsi="Verdana" w:cs="Arial"/>
          <w:color w:val="auto"/>
        </w:rPr>
        <w:footnoteReference w:id="8"/>
      </w:r>
      <w:r w:rsidR="001929D8">
        <w:rPr>
          <w:rFonts w:ascii="Verdana" w:hAnsi="Verdana" w:cs="Arial"/>
          <w:color w:val="auto"/>
        </w:rPr>
        <w:t xml:space="preserve"> </w:t>
      </w:r>
      <w:r w:rsidR="00720A5A">
        <w:rPr>
          <w:rFonts w:ascii="Verdana" w:hAnsi="Verdana" w:cs="Arial"/>
          <w:color w:val="auto"/>
        </w:rPr>
        <w:t xml:space="preserve">The Department should read the advice provided on the proposals for Charlotte’s Law in this context. </w:t>
      </w:r>
    </w:p>
    <w:p w14:paraId="5FD97431" w14:textId="4F6CE352" w:rsidR="00153141" w:rsidRPr="00FB41CB" w:rsidRDefault="00153141" w:rsidP="00FB41CB">
      <w:pPr>
        <w:pStyle w:val="BasicParagraph"/>
        <w:suppressAutoHyphens/>
        <w:jc w:val="both"/>
        <w:rPr>
          <w:rFonts w:ascii="Verdana" w:hAnsi="Verdana" w:cs="Arial"/>
          <w:color w:val="auto"/>
        </w:rPr>
      </w:pPr>
    </w:p>
    <w:p w14:paraId="7118AF19" w14:textId="059910D5" w:rsidR="003B7D0E" w:rsidRDefault="00153141" w:rsidP="00001572">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2</w:t>
      </w:r>
      <w:r w:rsidR="003B7D0E" w:rsidRPr="003B7D0E">
        <w:rPr>
          <w:rFonts w:ascii="Verdana" w:hAnsi="Verdana" w:cs="Arial"/>
          <w:b/>
          <w:color w:val="77328A"/>
          <w:sz w:val="30"/>
          <w:szCs w:val="30"/>
        </w:rPr>
        <w:t>.0</w:t>
      </w:r>
      <w:r w:rsidR="003B7D0E" w:rsidRPr="003B7D0E">
        <w:rPr>
          <w:rFonts w:ascii="Verdana" w:hAnsi="Verdana" w:cs="Arial"/>
          <w:b/>
          <w:color w:val="77328A"/>
          <w:sz w:val="30"/>
          <w:szCs w:val="30"/>
        </w:rPr>
        <w:tab/>
      </w:r>
      <w:r w:rsidR="00867CF2">
        <w:rPr>
          <w:rFonts w:ascii="Verdana" w:hAnsi="Verdana" w:cs="Arial"/>
          <w:b/>
          <w:color w:val="77328A"/>
          <w:sz w:val="30"/>
          <w:szCs w:val="30"/>
        </w:rPr>
        <w:t>Victims’</w:t>
      </w:r>
      <w:r>
        <w:rPr>
          <w:rFonts w:ascii="Verdana" w:hAnsi="Verdana" w:cs="Arial"/>
          <w:b/>
          <w:color w:val="77328A"/>
          <w:sz w:val="30"/>
          <w:szCs w:val="30"/>
        </w:rPr>
        <w:t xml:space="preserve"> Rights</w:t>
      </w:r>
    </w:p>
    <w:p w14:paraId="798C65DD" w14:textId="77777777" w:rsidR="00F320D2" w:rsidRPr="003B7D0E" w:rsidRDefault="00F320D2" w:rsidP="00001572">
      <w:pPr>
        <w:pStyle w:val="BasicParagraph"/>
        <w:suppressAutoHyphens/>
        <w:ind w:left="709" w:hanging="709"/>
        <w:rPr>
          <w:rFonts w:ascii="Verdana" w:hAnsi="Verdana" w:cs="Arial"/>
          <w:color w:val="77328A"/>
          <w:sz w:val="30"/>
          <w:szCs w:val="30"/>
        </w:rPr>
      </w:pPr>
    </w:p>
    <w:p w14:paraId="62B1FBAB" w14:textId="77777777" w:rsidR="006C7311" w:rsidRPr="006C7311" w:rsidRDefault="006C7311" w:rsidP="00001572">
      <w:pPr>
        <w:pStyle w:val="ListParagraph"/>
        <w:widowControl w:val="0"/>
        <w:numPr>
          <w:ilvl w:val="0"/>
          <w:numId w:val="16"/>
        </w:numPr>
        <w:suppressAutoHyphens/>
        <w:autoSpaceDE w:val="0"/>
        <w:autoSpaceDN w:val="0"/>
        <w:adjustRightInd w:val="0"/>
        <w:spacing w:line="288" w:lineRule="auto"/>
        <w:ind w:left="709" w:hanging="709"/>
        <w:contextualSpacing w:val="0"/>
        <w:jc w:val="both"/>
        <w:textAlignment w:val="center"/>
        <w:rPr>
          <w:rFonts w:ascii="Verdana" w:hAnsi="Verdana" w:cs="Arial"/>
          <w:vanish/>
          <w:color w:val="232120"/>
        </w:rPr>
      </w:pPr>
    </w:p>
    <w:p w14:paraId="466B6139" w14:textId="552A3B4A" w:rsidR="002A1BF9" w:rsidRDefault="00FB41CB"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Protocol Article 2 requires</w:t>
      </w:r>
      <w:r w:rsidR="00F320D2" w:rsidRPr="006C7311">
        <w:rPr>
          <w:rFonts w:ascii="Verdana" w:hAnsi="Verdana" w:cs="Arial"/>
          <w:color w:val="auto"/>
        </w:rPr>
        <w:t xml:space="preserve"> the UK Government and the NI Executive to ensure that no diminution of rights, safeguards and equality of opportunities </w:t>
      </w:r>
      <w:r w:rsidR="00F320D2" w:rsidRPr="006C7311">
        <w:rPr>
          <w:rFonts w:ascii="Verdana" w:hAnsi="Verdana" w:cs="Arial"/>
          <w:color w:val="auto"/>
        </w:rPr>
        <w:lastRenderedPageBreak/>
        <w:t xml:space="preserve">contained in the relevant part of the Belfast (Good Friday) Agreement 1998 occurs as a result of the UK’s withdrawal from the EU. </w:t>
      </w:r>
    </w:p>
    <w:p w14:paraId="50316292" w14:textId="77777777" w:rsidR="002A1BF9" w:rsidRDefault="002A1BF9" w:rsidP="002A1BF9">
      <w:pPr>
        <w:pStyle w:val="BasicParagraph"/>
        <w:suppressAutoHyphens/>
        <w:ind w:left="709"/>
        <w:jc w:val="both"/>
        <w:rPr>
          <w:rFonts w:ascii="Verdana" w:hAnsi="Verdana" w:cs="Arial"/>
          <w:color w:val="auto"/>
        </w:rPr>
      </w:pPr>
    </w:p>
    <w:p w14:paraId="5313AAF7" w14:textId="7CF7F5AB" w:rsidR="002A1BF9" w:rsidRDefault="00A91FC6"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Protocol Article 2 requires </w:t>
      </w:r>
      <w:r w:rsidR="002A1BF9" w:rsidRPr="002A1BF9">
        <w:rPr>
          <w:rFonts w:ascii="Verdana" w:hAnsi="Verdana" w:cs="Arial"/>
          <w:color w:val="auto"/>
        </w:rPr>
        <w:t>the UK Government to “keep pace” with any changes made by the EU to six equal treatment EU Directives listed Annex 1 of the Protocol which improve the minimum levels of protection available, after 1 January 2021</w:t>
      </w:r>
      <w:r w:rsidR="00F320D2" w:rsidRPr="006C7311">
        <w:rPr>
          <w:rFonts w:ascii="Verdana" w:hAnsi="Verdana" w:cs="Arial"/>
          <w:color w:val="auto"/>
        </w:rPr>
        <w:t>.</w:t>
      </w:r>
      <w:r w:rsidR="00F320D2" w:rsidRPr="00A4544A">
        <w:rPr>
          <w:rFonts w:ascii="Verdana" w:hAnsi="Verdana" w:cs="Arial"/>
          <w:color w:val="auto"/>
          <w:vertAlign w:val="superscript"/>
        </w:rPr>
        <w:footnoteReference w:id="9"/>
      </w:r>
      <w:r w:rsidR="00F320D2" w:rsidRPr="006C7311">
        <w:rPr>
          <w:rFonts w:ascii="Verdana" w:hAnsi="Verdana" w:cs="Arial"/>
          <w:color w:val="auto"/>
        </w:rPr>
        <w:t xml:space="preserve"> </w:t>
      </w:r>
    </w:p>
    <w:p w14:paraId="1341DFF5" w14:textId="77777777" w:rsidR="002A1BF9" w:rsidRDefault="002A1BF9" w:rsidP="002A1BF9">
      <w:pPr>
        <w:pStyle w:val="ListParagraph"/>
        <w:rPr>
          <w:rFonts w:ascii="Verdana" w:hAnsi="Verdana" w:cs="Arial"/>
        </w:rPr>
      </w:pPr>
    </w:p>
    <w:p w14:paraId="1D5CF80B" w14:textId="70ACBA89" w:rsidR="002A1BF9" w:rsidRDefault="002A1BF9" w:rsidP="00001572">
      <w:pPr>
        <w:pStyle w:val="BasicParagraph"/>
        <w:numPr>
          <w:ilvl w:val="1"/>
          <w:numId w:val="16"/>
        </w:numPr>
        <w:suppressAutoHyphens/>
        <w:ind w:left="709" w:hanging="709"/>
        <w:jc w:val="both"/>
        <w:rPr>
          <w:rFonts w:ascii="Verdana" w:hAnsi="Verdana" w:cs="Arial"/>
          <w:color w:val="auto"/>
        </w:rPr>
      </w:pPr>
      <w:r w:rsidRPr="00EB6A5A">
        <w:rPr>
          <w:rFonts w:ascii="Verdana" w:hAnsi="Verdana" w:cs="Arial"/>
          <w:color w:val="auto"/>
        </w:rPr>
        <w:t>For other EU obligations which underpin the rights, safeguards and equality of opportunity in Article 2, the commitment to ensure ‘no diminution’ is measured by the relevant EU standards</w:t>
      </w:r>
      <w:r>
        <w:rPr>
          <w:rFonts w:ascii="Verdana" w:hAnsi="Verdana" w:cs="Arial"/>
          <w:color w:val="auto"/>
        </w:rPr>
        <w:t xml:space="preserve"> </w:t>
      </w:r>
      <w:r w:rsidRPr="00EB6A5A">
        <w:rPr>
          <w:rFonts w:ascii="Verdana" w:hAnsi="Verdana" w:cs="Arial"/>
          <w:color w:val="auto"/>
        </w:rPr>
        <w:t>on 31 December 2020.</w:t>
      </w:r>
      <w:r>
        <w:rPr>
          <w:rFonts w:ascii="Verdana" w:hAnsi="Verdana" w:cs="Arial"/>
          <w:color w:val="auto"/>
        </w:rPr>
        <w:t xml:space="preserve">  T</w:t>
      </w:r>
      <w:r w:rsidRPr="006C7311">
        <w:rPr>
          <w:rFonts w:ascii="Verdana" w:hAnsi="Verdana" w:cs="Arial"/>
          <w:color w:val="auto"/>
        </w:rPr>
        <w:t>he UK Government has committed to ensuring that there will be no diminution of protections as were contained in relevant EU law on 31 December 2020</w:t>
      </w:r>
      <w:r>
        <w:rPr>
          <w:rFonts w:ascii="Verdana" w:hAnsi="Verdana" w:cs="Arial"/>
          <w:color w:val="auto"/>
        </w:rPr>
        <w:t>.</w:t>
      </w:r>
      <w:r w:rsidRPr="002A1BF9">
        <w:rPr>
          <w:rFonts w:ascii="Verdana" w:hAnsi="Verdana" w:cs="Arial"/>
          <w:color w:val="auto"/>
          <w:vertAlign w:val="superscript"/>
        </w:rPr>
        <w:footnoteReference w:id="10"/>
      </w:r>
    </w:p>
    <w:p w14:paraId="6F1F0E2B" w14:textId="77777777" w:rsidR="002A1BF9" w:rsidRDefault="002A1BF9" w:rsidP="002A1BF9">
      <w:pPr>
        <w:pStyle w:val="ListParagraph"/>
        <w:rPr>
          <w:rFonts w:ascii="Verdana" w:hAnsi="Verdana" w:cs="Arial"/>
        </w:rPr>
      </w:pPr>
    </w:p>
    <w:p w14:paraId="3C11F2C8" w14:textId="2181143F" w:rsidR="00F320D2" w:rsidRPr="000D0905" w:rsidRDefault="002A1BF9" w:rsidP="000D0905">
      <w:pPr>
        <w:pStyle w:val="BasicParagraph"/>
        <w:numPr>
          <w:ilvl w:val="1"/>
          <w:numId w:val="16"/>
        </w:numPr>
        <w:suppressAutoHyphens/>
        <w:ind w:left="709" w:hanging="709"/>
        <w:jc w:val="both"/>
        <w:rPr>
          <w:rFonts w:ascii="Verdana" w:hAnsi="Verdana" w:cs="Arial"/>
          <w:color w:val="auto"/>
        </w:rPr>
      </w:pPr>
      <w:r w:rsidRPr="002A1BF9">
        <w:rPr>
          <w:rFonts w:ascii="Verdana" w:hAnsi="Verdana" w:cs="Arial"/>
          <w:color w:val="auto"/>
        </w:rPr>
        <w:t>The parties to the Belfast (Good Friday) Agreement affirmed their commitment to “the mutual respect, the civil rights and the religious liberties of everyone in the community” set out a non-exhaustive list of rights, safeguards and equality of opportunity. These include “the rights of victims to remember as well as to contribute to a changed society”.</w:t>
      </w:r>
      <w:r w:rsidRPr="002A1BF9">
        <w:rPr>
          <w:vertAlign w:val="superscript"/>
        </w:rPr>
        <w:footnoteReference w:id="11"/>
      </w:r>
      <w:r w:rsidRPr="002A1BF9">
        <w:rPr>
          <w:rFonts w:ascii="Verdana" w:hAnsi="Verdana" w:cs="Arial"/>
          <w:color w:val="auto"/>
        </w:rPr>
        <w:t xml:space="preserve"> The UK Government has recognised a non-exhaustive list of relevant measures which fall within scope of the commitment in Protocol Arti</w:t>
      </w:r>
      <w:r w:rsidR="002F7740">
        <w:rPr>
          <w:rFonts w:ascii="Verdana" w:hAnsi="Verdana" w:cs="Arial"/>
          <w:color w:val="auto"/>
        </w:rPr>
        <w:t>cle 2, which include the Victim</w:t>
      </w:r>
      <w:r w:rsidRPr="002A1BF9">
        <w:rPr>
          <w:rFonts w:ascii="Verdana" w:hAnsi="Verdana" w:cs="Arial"/>
          <w:color w:val="auto"/>
        </w:rPr>
        <w:t>s</w:t>
      </w:r>
      <w:r w:rsidR="002F7740">
        <w:rPr>
          <w:rFonts w:ascii="Verdana" w:hAnsi="Verdana" w:cs="Arial"/>
          <w:color w:val="auto"/>
        </w:rPr>
        <w:t>’</w:t>
      </w:r>
      <w:r w:rsidRPr="002A1BF9">
        <w:rPr>
          <w:rFonts w:ascii="Verdana" w:hAnsi="Verdana" w:cs="Arial"/>
          <w:color w:val="auto"/>
        </w:rPr>
        <w:t xml:space="preserve"> Directive</w:t>
      </w:r>
      <w:r w:rsidR="000D0905">
        <w:rPr>
          <w:rFonts w:ascii="Verdana" w:hAnsi="Verdana" w:cs="Arial"/>
          <w:color w:val="auto"/>
        </w:rPr>
        <w:t xml:space="preserve">, </w:t>
      </w:r>
      <w:r w:rsidR="000D0905" w:rsidRPr="000D0905">
        <w:rPr>
          <w:rFonts w:ascii="Verdana" w:hAnsi="Verdana" w:cs="Arial"/>
          <w:color w:val="auto"/>
        </w:rPr>
        <w:t>which establishes minimum standards on the rights, support and protection of victims of crime</w:t>
      </w:r>
      <w:r w:rsidRPr="002A1BF9">
        <w:rPr>
          <w:rFonts w:ascii="Verdana" w:hAnsi="Verdana" w:cs="Arial"/>
          <w:color w:val="auto"/>
        </w:rPr>
        <w:t>.</w:t>
      </w:r>
      <w:r w:rsidRPr="004A28D4">
        <w:rPr>
          <w:vertAlign w:val="superscript"/>
        </w:rPr>
        <w:footnoteReference w:id="12"/>
      </w:r>
      <w:r w:rsidR="000D0905">
        <w:rPr>
          <w:rFonts w:ascii="Verdana" w:hAnsi="Verdana" w:cs="Arial"/>
          <w:color w:val="auto"/>
        </w:rPr>
        <w:t xml:space="preserve"> </w:t>
      </w:r>
      <w:r w:rsidRPr="002A1BF9">
        <w:rPr>
          <w:rFonts w:ascii="Verdana" w:hAnsi="Verdana" w:cs="Arial"/>
          <w:color w:val="auto"/>
        </w:rPr>
        <w:t xml:space="preserve">The EU Charter on Fundamental Rights continues to have relevance in the application and interpretation of the UK-EU Withdrawal Agreement, including those provisions of EU law which are relevant to the application of Protocol Article 2. </w:t>
      </w:r>
    </w:p>
    <w:p w14:paraId="24410436" w14:textId="4E5B03DD" w:rsidR="00F320D2" w:rsidRPr="006C7311" w:rsidRDefault="00F320D2" w:rsidP="00001572">
      <w:pPr>
        <w:pStyle w:val="BasicParagraph"/>
        <w:suppressAutoHyphens/>
        <w:ind w:left="709" w:hanging="709"/>
        <w:jc w:val="both"/>
        <w:rPr>
          <w:rFonts w:ascii="Verdana" w:hAnsi="Verdana" w:cs="Arial"/>
          <w:color w:val="auto"/>
        </w:rPr>
      </w:pPr>
    </w:p>
    <w:p w14:paraId="2B83D24F" w14:textId="50898014" w:rsidR="002A1BF9" w:rsidRPr="00041473" w:rsidRDefault="009075F3" w:rsidP="00041473">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The Victims</w:t>
      </w:r>
      <w:r w:rsidR="002F7740">
        <w:rPr>
          <w:rFonts w:ascii="Verdana" w:hAnsi="Verdana" w:cs="Arial"/>
          <w:color w:val="auto"/>
        </w:rPr>
        <w:t>’</w:t>
      </w:r>
      <w:r>
        <w:rPr>
          <w:rFonts w:ascii="Verdana" w:hAnsi="Verdana" w:cs="Arial"/>
          <w:color w:val="auto"/>
        </w:rPr>
        <w:t xml:space="preserve"> Directive</w:t>
      </w:r>
      <w:r w:rsidR="00BF0060">
        <w:rPr>
          <w:rFonts w:ascii="Verdana" w:hAnsi="Verdana" w:cs="Arial"/>
          <w:color w:val="auto"/>
        </w:rPr>
        <w:t>,</w:t>
      </w:r>
      <w:r>
        <w:rPr>
          <w:rFonts w:ascii="Verdana" w:hAnsi="Verdana" w:cs="Arial"/>
          <w:color w:val="auto"/>
        </w:rPr>
        <w:t xml:space="preserve"> </w:t>
      </w:r>
      <w:r w:rsidR="00BF0060">
        <w:rPr>
          <w:rFonts w:ascii="Verdana" w:hAnsi="Verdana" w:cs="Arial"/>
          <w:color w:val="auto"/>
        </w:rPr>
        <w:t>a</w:t>
      </w:r>
      <w:r w:rsidR="00F320D2" w:rsidRPr="006C7311">
        <w:rPr>
          <w:rFonts w:ascii="Verdana" w:hAnsi="Verdana" w:cs="Arial"/>
          <w:color w:val="auto"/>
        </w:rPr>
        <w:t>rticle 2(1)(a)(ii)</w:t>
      </w:r>
      <w:r w:rsidR="00BF0060">
        <w:rPr>
          <w:rFonts w:ascii="Verdana" w:hAnsi="Verdana" w:cs="Arial"/>
          <w:color w:val="auto"/>
        </w:rPr>
        <w:t>,</w:t>
      </w:r>
      <w:r w:rsidR="00F320D2" w:rsidRPr="006C7311">
        <w:rPr>
          <w:rFonts w:ascii="Verdana" w:hAnsi="Verdana" w:cs="Arial"/>
          <w:color w:val="auto"/>
        </w:rPr>
        <w:t xml:space="preserve"> </w:t>
      </w:r>
      <w:r w:rsidR="00BF0060">
        <w:rPr>
          <w:rFonts w:ascii="Verdana" w:hAnsi="Verdana" w:cs="Arial"/>
          <w:color w:val="auto"/>
        </w:rPr>
        <w:t>defines</w:t>
      </w:r>
      <w:r w:rsidR="00F320D2" w:rsidRPr="006C7311">
        <w:rPr>
          <w:rFonts w:ascii="Verdana" w:hAnsi="Verdana" w:cs="Arial"/>
          <w:color w:val="auto"/>
        </w:rPr>
        <w:t xml:space="preserve"> a victim </w:t>
      </w:r>
      <w:r w:rsidR="00BF0060">
        <w:rPr>
          <w:rFonts w:ascii="Verdana" w:hAnsi="Verdana" w:cs="Arial"/>
          <w:color w:val="auto"/>
        </w:rPr>
        <w:t xml:space="preserve">to include </w:t>
      </w:r>
      <w:r w:rsidR="009B7888">
        <w:rPr>
          <w:rFonts w:ascii="Verdana" w:hAnsi="Verdana" w:cs="Arial"/>
          <w:color w:val="auto"/>
        </w:rPr>
        <w:t>”</w:t>
      </w:r>
      <w:r w:rsidR="00A4544A">
        <w:rPr>
          <w:rFonts w:ascii="Verdana" w:hAnsi="Verdana" w:cs="Arial"/>
          <w:color w:val="auto"/>
        </w:rPr>
        <w:t>f</w:t>
      </w:r>
      <w:r w:rsidR="00F320D2" w:rsidRPr="006C7311">
        <w:rPr>
          <w:rFonts w:ascii="Verdana" w:hAnsi="Verdana" w:cs="Arial"/>
          <w:color w:val="auto"/>
        </w:rPr>
        <w:t>amily members of a person whose death was directly caused by a criminal offence and who have suffered harm as a result of that person’s death</w:t>
      </w:r>
      <w:r w:rsidR="009B7888">
        <w:rPr>
          <w:rFonts w:ascii="Verdana" w:hAnsi="Verdana" w:cs="Arial"/>
          <w:color w:val="auto"/>
        </w:rPr>
        <w:t>”</w:t>
      </w:r>
      <w:r w:rsidR="00F320D2" w:rsidRPr="006C7311">
        <w:rPr>
          <w:rFonts w:ascii="Verdana" w:hAnsi="Verdana" w:cs="Arial"/>
          <w:color w:val="auto"/>
        </w:rPr>
        <w:t>. Family members include a spouse or a partner who is living with the victim in a joint household, in a committed intimate relationship, on a stable and continuous basis. Siblings, dependents and relatives in direct line are also deemed to be family members for the purpose of the Directive.</w:t>
      </w:r>
    </w:p>
    <w:p w14:paraId="307DA7C0" w14:textId="1FF35EEB" w:rsidR="008D29D7" w:rsidRPr="006C7311" w:rsidRDefault="008D29D7" w:rsidP="00001572">
      <w:pPr>
        <w:pStyle w:val="BasicParagraph"/>
        <w:suppressAutoHyphens/>
        <w:ind w:left="709" w:hanging="709"/>
        <w:jc w:val="both"/>
        <w:rPr>
          <w:rFonts w:ascii="Verdana" w:hAnsi="Verdana" w:cs="Arial"/>
          <w:color w:val="auto"/>
        </w:rPr>
      </w:pPr>
    </w:p>
    <w:p w14:paraId="0D7DEC03" w14:textId="243E67EA" w:rsidR="007F538D" w:rsidRPr="002F7740" w:rsidRDefault="00483E25" w:rsidP="00001572">
      <w:pPr>
        <w:pStyle w:val="BasicParagraph"/>
        <w:numPr>
          <w:ilvl w:val="1"/>
          <w:numId w:val="16"/>
        </w:numPr>
        <w:suppressAutoHyphens/>
        <w:ind w:left="709" w:hanging="709"/>
        <w:jc w:val="both"/>
        <w:rPr>
          <w:rFonts w:ascii="Verdana" w:hAnsi="Verdana" w:cs="Arial"/>
          <w:color w:val="auto"/>
        </w:rPr>
      </w:pPr>
      <w:r w:rsidRPr="002F7740">
        <w:rPr>
          <w:rFonts w:ascii="Verdana" w:hAnsi="Verdana" w:cs="Arial"/>
          <w:color w:val="auto"/>
        </w:rPr>
        <w:lastRenderedPageBreak/>
        <w:t>The Victims</w:t>
      </w:r>
      <w:r w:rsidR="002F7740">
        <w:rPr>
          <w:rFonts w:ascii="Verdana" w:hAnsi="Verdana" w:cs="Arial"/>
          <w:color w:val="auto"/>
        </w:rPr>
        <w:t>’</w:t>
      </w:r>
      <w:r w:rsidRPr="002F7740">
        <w:rPr>
          <w:rFonts w:ascii="Verdana" w:hAnsi="Verdana" w:cs="Arial"/>
          <w:color w:val="auto"/>
        </w:rPr>
        <w:t xml:space="preserve"> Directive</w:t>
      </w:r>
      <w:r w:rsidR="007F538D" w:rsidRPr="002F7740">
        <w:rPr>
          <w:rFonts w:ascii="Verdana" w:hAnsi="Verdana" w:cs="Arial"/>
          <w:color w:val="auto"/>
        </w:rPr>
        <w:t xml:space="preserve"> provides a number of protections to victims. Of particular relevance to this consultation are Article 6 (the</w:t>
      </w:r>
      <w:r w:rsidR="007F538D" w:rsidRPr="002F7740">
        <w:rPr>
          <w:rFonts w:asciiTheme="minorHAnsi" w:hAnsiTheme="minorHAnsi" w:cstheme="minorBidi"/>
          <w:color w:val="auto"/>
        </w:rPr>
        <w:t xml:space="preserve"> </w:t>
      </w:r>
      <w:r w:rsidR="007F538D" w:rsidRPr="002F7740">
        <w:rPr>
          <w:rFonts w:ascii="Verdana" w:hAnsi="Verdana" w:cs="Arial"/>
          <w:color w:val="auto"/>
        </w:rPr>
        <w:t>right to receive information about their case) and Article 10 (the right to be heard).</w:t>
      </w:r>
      <w:r w:rsidR="004714D9" w:rsidRPr="002F7740">
        <w:rPr>
          <w:rFonts w:asciiTheme="minorHAnsi" w:hAnsiTheme="minorHAnsi" w:cstheme="minorBidi"/>
          <w:color w:val="auto"/>
        </w:rPr>
        <w:t xml:space="preserve"> </w:t>
      </w:r>
      <w:r w:rsidR="00C83516" w:rsidRPr="002F7740">
        <w:rPr>
          <w:rFonts w:asciiTheme="minorHAnsi" w:hAnsiTheme="minorHAnsi" w:cstheme="minorBidi"/>
          <w:color w:val="auto"/>
          <w:vertAlign w:val="superscript"/>
        </w:rPr>
        <w:footnoteReference w:id="13"/>
      </w:r>
    </w:p>
    <w:p w14:paraId="2B4D2A0C" w14:textId="77777777" w:rsidR="007F538D" w:rsidRPr="002F7740" w:rsidRDefault="007F538D" w:rsidP="00001572">
      <w:pPr>
        <w:pStyle w:val="ListParagraph"/>
        <w:ind w:left="709" w:hanging="709"/>
        <w:rPr>
          <w:rFonts w:ascii="Verdana" w:hAnsi="Verdana" w:cs="Arial"/>
        </w:rPr>
      </w:pPr>
    </w:p>
    <w:p w14:paraId="2B70ABA7" w14:textId="1B5F90E4" w:rsidR="008D29D7" w:rsidRPr="002F7740" w:rsidRDefault="007F538D" w:rsidP="00001572">
      <w:pPr>
        <w:pStyle w:val="BasicParagraph"/>
        <w:numPr>
          <w:ilvl w:val="1"/>
          <w:numId w:val="16"/>
        </w:numPr>
        <w:suppressAutoHyphens/>
        <w:ind w:left="709" w:hanging="709"/>
        <w:jc w:val="both"/>
        <w:rPr>
          <w:rFonts w:ascii="Verdana" w:hAnsi="Verdana" w:cs="Arial"/>
          <w:color w:val="auto"/>
        </w:rPr>
      </w:pPr>
      <w:r w:rsidRPr="002F7740">
        <w:rPr>
          <w:rFonts w:ascii="Verdana" w:hAnsi="Verdana" w:cs="Arial"/>
          <w:color w:val="auto"/>
        </w:rPr>
        <w:t xml:space="preserve">Article 6 </w:t>
      </w:r>
      <w:r w:rsidR="008D29D7" w:rsidRPr="002F7740">
        <w:rPr>
          <w:rFonts w:ascii="Verdana" w:hAnsi="Verdana" w:cs="Arial"/>
          <w:color w:val="auto"/>
        </w:rPr>
        <w:t>of t</w:t>
      </w:r>
      <w:r w:rsidR="00A91FC6" w:rsidRPr="002F7740">
        <w:rPr>
          <w:rFonts w:ascii="Verdana" w:hAnsi="Verdana" w:cs="Arial"/>
          <w:color w:val="auto"/>
        </w:rPr>
        <w:t>he Victims</w:t>
      </w:r>
      <w:r w:rsidR="002F7740">
        <w:rPr>
          <w:rFonts w:ascii="Verdana" w:hAnsi="Verdana" w:cs="Arial"/>
          <w:color w:val="auto"/>
        </w:rPr>
        <w:t>’</w:t>
      </w:r>
      <w:r w:rsidR="00A91FC6" w:rsidRPr="002F7740">
        <w:rPr>
          <w:rFonts w:ascii="Verdana" w:hAnsi="Verdana" w:cs="Arial"/>
          <w:color w:val="auto"/>
        </w:rPr>
        <w:t xml:space="preserve"> Directive requires S</w:t>
      </w:r>
      <w:r w:rsidR="008D29D7" w:rsidRPr="002F7740">
        <w:rPr>
          <w:rFonts w:ascii="Verdana" w:hAnsi="Verdana" w:cs="Arial"/>
          <w:color w:val="auto"/>
        </w:rPr>
        <w:t>tates</w:t>
      </w:r>
      <w:r w:rsidR="009D6D05">
        <w:rPr>
          <w:rFonts w:ascii="Verdana" w:hAnsi="Verdana" w:cs="Arial"/>
          <w:color w:val="auto"/>
        </w:rPr>
        <w:t xml:space="preserve"> to</w:t>
      </w:r>
      <w:r w:rsidR="008D29D7" w:rsidRPr="002F7740">
        <w:rPr>
          <w:rFonts w:ascii="Verdana" w:hAnsi="Verdana" w:cs="Arial"/>
          <w:color w:val="auto"/>
        </w:rPr>
        <w:t>:</w:t>
      </w:r>
    </w:p>
    <w:p w14:paraId="206F1453" w14:textId="2667F80D" w:rsidR="009D6D05" w:rsidRDefault="009D6D05" w:rsidP="00640268">
      <w:pPr>
        <w:pStyle w:val="BasicParagraph"/>
        <w:suppressAutoHyphens/>
        <w:jc w:val="both"/>
        <w:rPr>
          <w:rFonts w:ascii="Verdana" w:hAnsi="Verdana" w:cs="Arial"/>
        </w:rPr>
      </w:pPr>
    </w:p>
    <w:p w14:paraId="16EED24D" w14:textId="6BB5F2BE" w:rsidR="002F7740" w:rsidRDefault="009D6D05" w:rsidP="00C83516">
      <w:pPr>
        <w:pStyle w:val="BasicParagraph"/>
        <w:numPr>
          <w:ilvl w:val="0"/>
          <w:numId w:val="22"/>
        </w:numPr>
        <w:suppressAutoHyphens/>
        <w:jc w:val="both"/>
        <w:rPr>
          <w:rFonts w:ascii="Verdana" w:hAnsi="Verdana" w:cs="Arial"/>
        </w:rPr>
      </w:pPr>
      <w:r>
        <w:rPr>
          <w:rFonts w:ascii="Verdana" w:hAnsi="Verdana" w:cs="Arial"/>
        </w:rPr>
        <w:t>Provide information</w:t>
      </w:r>
      <w:r w:rsidR="00C83516" w:rsidRPr="002F7740">
        <w:rPr>
          <w:rFonts w:ascii="Verdana" w:hAnsi="Verdana" w:cs="Arial"/>
        </w:rPr>
        <w:t xml:space="preserve"> enabling the victim to know about the sta</w:t>
      </w:r>
      <w:r w:rsidR="002F7740">
        <w:rPr>
          <w:rFonts w:ascii="Verdana" w:hAnsi="Verdana" w:cs="Arial"/>
        </w:rPr>
        <w:t>te of the criminal proceedings</w:t>
      </w:r>
      <w:r>
        <w:rPr>
          <w:rFonts w:ascii="Verdana" w:hAnsi="Verdana" w:cs="Arial"/>
        </w:rPr>
        <w:t>.</w:t>
      </w:r>
    </w:p>
    <w:p w14:paraId="25764939" w14:textId="736CA99D" w:rsidR="002F7740" w:rsidRPr="00640268" w:rsidRDefault="009D6D05" w:rsidP="00640268">
      <w:pPr>
        <w:pStyle w:val="BasicParagraph"/>
        <w:numPr>
          <w:ilvl w:val="0"/>
          <w:numId w:val="22"/>
        </w:numPr>
        <w:rPr>
          <w:rFonts w:ascii="Verdana" w:hAnsi="Verdana" w:cs="Arial"/>
        </w:rPr>
      </w:pPr>
      <w:r w:rsidRPr="009D6D05">
        <w:rPr>
          <w:rFonts w:ascii="Verdana" w:hAnsi="Verdana" w:cs="Arial"/>
        </w:rPr>
        <w:t>Ensure that victims are offered the opportunity to be notified, without unnecessary delay, when the person remanded in custody, prosecuted or sentenced for criminal offences concerning them is released from or has escaped detention.</w:t>
      </w:r>
    </w:p>
    <w:p w14:paraId="3039F84D" w14:textId="77777777" w:rsidR="00C83516" w:rsidRPr="002F7740" w:rsidRDefault="00C83516" w:rsidP="00C83516">
      <w:pPr>
        <w:pStyle w:val="ListParagraph"/>
        <w:rPr>
          <w:rFonts w:ascii="Verdana" w:hAnsi="Verdana" w:cs="Arial"/>
        </w:rPr>
      </w:pPr>
    </w:p>
    <w:p w14:paraId="30C37296" w14:textId="4826EA5C" w:rsidR="00C83516" w:rsidRPr="002F7740" w:rsidRDefault="00C83516" w:rsidP="00001572">
      <w:pPr>
        <w:pStyle w:val="BasicParagraph"/>
        <w:numPr>
          <w:ilvl w:val="1"/>
          <w:numId w:val="16"/>
        </w:numPr>
        <w:suppressAutoHyphens/>
        <w:ind w:left="709" w:hanging="709"/>
        <w:jc w:val="both"/>
        <w:rPr>
          <w:rFonts w:ascii="Verdana" w:hAnsi="Verdana" w:cs="Arial"/>
          <w:color w:val="auto"/>
        </w:rPr>
      </w:pPr>
      <w:r w:rsidRPr="002F7740">
        <w:rPr>
          <w:rFonts w:ascii="Verdana" w:hAnsi="Verdana" w:cs="Arial"/>
          <w:color w:val="auto"/>
        </w:rPr>
        <w:t>Recital 26 of the Directive further notes that:</w:t>
      </w:r>
    </w:p>
    <w:p w14:paraId="17F9A411" w14:textId="77777777" w:rsidR="00C83516" w:rsidRPr="002F7740" w:rsidRDefault="00C83516" w:rsidP="000D0905">
      <w:pPr>
        <w:pStyle w:val="BasicParagraph"/>
        <w:suppressAutoHyphens/>
        <w:ind w:left="1418" w:right="786"/>
        <w:jc w:val="both"/>
        <w:rPr>
          <w:rFonts w:ascii="Verdana" w:hAnsi="Verdana" w:cs="Arial"/>
          <w:color w:val="auto"/>
        </w:rPr>
      </w:pPr>
    </w:p>
    <w:p w14:paraId="43FF7405" w14:textId="535C40E2" w:rsidR="00C83516" w:rsidRPr="002F7740" w:rsidRDefault="00C83516" w:rsidP="000D0905">
      <w:pPr>
        <w:pStyle w:val="BasicParagraph"/>
        <w:suppressAutoHyphens/>
        <w:ind w:left="1418" w:right="786"/>
        <w:jc w:val="both"/>
        <w:rPr>
          <w:rFonts w:ascii="Verdana" w:hAnsi="Verdana" w:cs="Arial"/>
          <w:color w:val="auto"/>
        </w:rPr>
      </w:pPr>
      <w:r w:rsidRPr="002F7740">
        <w:rPr>
          <w:rFonts w:ascii="Verdana" w:hAnsi="Verdana" w:cs="Arial"/>
          <w:color w:val="auto"/>
        </w:rPr>
        <w:t>“When providing information, sufficient detail should be given to ensure that victims are treated in a respectful manner and to enable them to make informed decisions about their participation in proceedings. In this respect, information allowing the victim to know about the current status of any proceedings is particularly important.”</w:t>
      </w:r>
    </w:p>
    <w:p w14:paraId="2B0E6798" w14:textId="07B75760" w:rsidR="0022100E" w:rsidRPr="002F7740" w:rsidRDefault="0022100E" w:rsidP="000D0905">
      <w:pPr>
        <w:pStyle w:val="BasicParagraph"/>
        <w:suppressAutoHyphens/>
        <w:ind w:left="709" w:hanging="709"/>
        <w:jc w:val="both"/>
        <w:rPr>
          <w:rFonts w:ascii="Verdana" w:hAnsi="Verdana" w:cs="Arial"/>
          <w:color w:val="auto"/>
        </w:rPr>
      </w:pPr>
    </w:p>
    <w:p w14:paraId="113255EB" w14:textId="372254EC" w:rsidR="0022100E" w:rsidRDefault="007F538D" w:rsidP="00001572">
      <w:pPr>
        <w:pStyle w:val="BasicParagraph"/>
        <w:numPr>
          <w:ilvl w:val="1"/>
          <w:numId w:val="16"/>
        </w:numPr>
        <w:suppressAutoHyphens/>
        <w:ind w:left="709" w:hanging="709"/>
        <w:jc w:val="both"/>
        <w:rPr>
          <w:rFonts w:ascii="Verdana" w:hAnsi="Verdana" w:cs="Arial"/>
          <w:color w:val="auto"/>
        </w:rPr>
      </w:pPr>
      <w:r w:rsidRPr="002F7740">
        <w:rPr>
          <w:rFonts w:ascii="Verdana" w:hAnsi="Verdana" w:cs="Arial"/>
          <w:color w:val="auto"/>
        </w:rPr>
        <w:t>In Article 10, the</w:t>
      </w:r>
      <w:r w:rsidR="00BE41B9">
        <w:rPr>
          <w:rFonts w:ascii="Verdana" w:hAnsi="Verdana" w:cs="Arial"/>
          <w:color w:val="auto"/>
        </w:rPr>
        <w:t xml:space="preserve"> Victim</w:t>
      </w:r>
      <w:r w:rsidR="0022100E" w:rsidRPr="002F7740">
        <w:rPr>
          <w:rFonts w:ascii="Verdana" w:hAnsi="Verdana" w:cs="Arial"/>
          <w:color w:val="auto"/>
        </w:rPr>
        <w:t>s</w:t>
      </w:r>
      <w:r w:rsidR="00BE41B9">
        <w:rPr>
          <w:rFonts w:ascii="Verdana" w:hAnsi="Verdana" w:cs="Arial"/>
          <w:color w:val="auto"/>
        </w:rPr>
        <w:t>’</w:t>
      </w:r>
      <w:r w:rsidR="0022100E" w:rsidRPr="002F7740">
        <w:rPr>
          <w:rFonts w:ascii="Verdana" w:hAnsi="Verdana" w:cs="Arial"/>
          <w:color w:val="auto"/>
        </w:rPr>
        <w:t xml:space="preserve"> Directive requires </w:t>
      </w:r>
      <w:r w:rsidR="00E223D1" w:rsidRPr="002F7740">
        <w:rPr>
          <w:rFonts w:ascii="Verdana" w:hAnsi="Verdana" w:cs="Arial"/>
          <w:color w:val="auto"/>
        </w:rPr>
        <w:t xml:space="preserve">States </w:t>
      </w:r>
      <w:r w:rsidR="0022100E" w:rsidRPr="002F7740">
        <w:rPr>
          <w:rFonts w:ascii="Verdana" w:hAnsi="Verdana" w:cs="Arial"/>
          <w:color w:val="auto"/>
        </w:rPr>
        <w:t xml:space="preserve">to ensure that victims may be heard during criminal proceedings and may provide evidence. The procedural rules for this process </w:t>
      </w:r>
      <w:r w:rsidR="001D556B" w:rsidRPr="002F7740">
        <w:rPr>
          <w:rFonts w:ascii="Verdana" w:hAnsi="Verdana" w:cs="Arial"/>
          <w:color w:val="auto"/>
        </w:rPr>
        <w:t xml:space="preserve">are </w:t>
      </w:r>
      <w:r w:rsidR="0022100E" w:rsidRPr="002F7740">
        <w:rPr>
          <w:rFonts w:ascii="Verdana" w:hAnsi="Verdana" w:cs="Arial"/>
          <w:color w:val="auto"/>
        </w:rPr>
        <w:t>determined by national law.</w:t>
      </w:r>
      <w:r w:rsidR="00C83516" w:rsidRPr="002F7740">
        <w:rPr>
          <w:rFonts w:ascii="Verdana" w:hAnsi="Verdana" w:cs="Arial"/>
          <w:color w:val="auto"/>
        </w:rPr>
        <w:t xml:space="preserve"> This can be fulfilled through making statements or </w:t>
      </w:r>
      <w:r w:rsidR="00EA6464" w:rsidRPr="002F7740">
        <w:rPr>
          <w:rFonts w:ascii="Verdana" w:hAnsi="Verdana" w:cs="Arial"/>
          <w:color w:val="auto"/>
        </w:rPr>
        <w:t xml:space="preserve">providing </w:t>
      </w:r>
      <w:r w:rsidR="00C83516" w:rsidRPr="002F7740">
        <w:rPr>
          <w:rFonts w:ascii="Verdana" w:hAnsi="Verdana" w:cs="Arial"/>
          <w:color w:val="auto"/>
        </w:rPr>
        <w:t>explanations in writing.</w:t>
      </w:r>
      <w:r w:rsidR="00EA6464" w:rsidRPr="002F7740">
        <w:rPr>
          <w:rStyle w:val="FootnoteReference"/>
          <w:rFonts w:ascii="Verdana" w:hAnsi="Verdana" w:cs="Arial"/>
          <w:color w:val="auto"/>
        </w:rPr>
        <w:footnoteReference w:id="14"/>
      </w:r>
      <w:r w:rsidR="00C83516" w:rsidRPr="002F7740">
        <w:rPr>
          <w:rFonts w:ascii="Verdana" w:hAnsi="Verdana" w:cs="Arial"/>
          <w:color w:val="auto"/>
        </w:rPr>
        <w:t xml:space="preserve"> </w:t>
      </w:r>
      <w:r w:rsidR="00A91FC6" w:rsidRPr="002F7740">
        <w:rPr>
          <w:rFonts w:ascii="Verdana" w:hAnsi="Verdana" w:cs="Arial"/>
          <w:color w:val="auto"/>
        </w:rPr>
        <w:t xml:space="preserve"> </w:t>
      </w:r>
    </w:p>
    <w:p w14:paraId="3B20BA13" w14:textId="77777777" w:rsidR="00B04492" w:rsidRDefault="00B04492" w:rsidP="00B04492">
      <w:pPr>
        <w:pStyle w:val="BasicParagraph"/>
        <w:suppressAutoHyphens/>
        <w:ind w:left="709"/>
        <w:jc w:val="both"/>
        <w:rPr>
          <w:rFonts w:ascii="Verdana" w:hAnsi="Verdana" w:cs="Arial"/>
          <w:color w:val="auto"/>
        </w:rPr>
      </w:pPr>
    </w:p>
    <w:p w14:paraId="0607991B" w14:textId="2DBF2467" w:rsidR="00B04492" w:rsidRDefault="00B04492"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The right to seek and receive information is also considered </w:t>
      </w:r>
      <w:r w:rsidR="00655F6F">
        <w:rPr>
          <w:rFonts w:ascii="Verdana" w:hAnsi="Verdana" w:cs="Arial"/>
          <w:color w:val="auto"/>
        </w:rPr>
        <w:t>to be</w:t>
      </w:r>
      <w:r>
        <w:rPr>
          <w:rFonts w:ascii="Verdana" w:hAnsi="Verdana" w:cs="Arial"/>
          <w:color w:val="auto"/>
        </w:rPr>
        <w:t xml:space="preserve"> an intrinsic part of the right of freedom of expression and has been recognised </w:t>
      </w:r>
      <w:r w:rsidRPr="00B04492">
        <w:rPr>
          <w:rFonts w:ascii="Verdana" w:hAnsi="Verdana" w:cs="Arial"/>
          <w:bCs/>
          <w:color w:val="auto"/>
          <w:shd w:val="clear" w:color="auto" w:fill="FFFFFF"/>
        </w:rPr>
        <w:t>by resolution 59 of the UN General Assembly adopted in 1946</w:t>
      </w:r>
      <w:r w:rsidRPr="00B04492">
        <w:rPr>
          <w:rFonts w:ascii="Verdana" w:hAnsi="Verdana" w:cs="Arial"/>
          <w:color w:val="auto"/>
          <w:shd w:val="clear" w:color="auto" w:fill="FFFFFF"/>
        </w:rPr>
        <w:t>, as well as by </w:t>
      </w:r>
      <w:r w:rsidRPr="00B04492">
        <w:rPr>
          <w:rFonts w:ascii="Verdana" w:hAnsi="Verdana" w:cs="Arial"/>
          <w:bCs/>
          <w:color w:val="auto"/>
          <w:shd w:val="clear" w:color="auto" w:fill="FFFFFF"/>
        </w:rPr>
        <w:t>Article 19 of the Universal Dec</w:t>
      </w:r>
      <w:r>
        <w:rPr>
          <w:rFonts w:ascii="Verdana" w:hAnsi="Verdana" w:cs="Arial"/>
          <w:bCs/>
          <w:color w:val="auto"/>
          <w:shd w:val="clear" w:color="auto" w:fill="FFFFFF"/>
        </w:rPr>
        <w:t xml:space="preserve">laration of Human Rights (1948). </w:t>
      </w:r>
    </w:p>
    <w:p w14:paraId="75A66A05" w14:textId="77777777" w:rsidR="00B8345B" w:rsidRDefault="00B8345B" w:rsidP="00B8345B">
      <w:pPr>
        <w:pStyle w:val="BasicParagraph"/>
        <w:suppressAutoHyphens/>
        <w:ind w:left="709"/>
        <w:jc w:val="both"/>
        <w:rPr>
          <w:rFonts w:ascii="Verdana" w:hAnsi="Verdana" w:cs="Arial"/>
          <w:color w:val="auto"/>
        </w:rPr>
      </w:pPr>
    </w:p>
    <w:p w14:paraId="74D1870E" w14:textId="3B75D795" w:rsidR="00B8345B" w:rsidRPr="00B8345B" w:rsidRDefault="00B8345B" w:rsidP="00B8345B">
      <w:pPr>
        <w:pStyle w:val="BasicParagraph"/>
        <w:numPr>
          <w:ilvl w:val="1"/>
          <w:numId w:val="16"/>
        </w:numPr>
        <w:suppressAutoHyphens/>
        <w:ind w:left="709" w:hanging="709"/>
        <w:jc w:val="both"/>
        <w:rPr>
          <w:rFonts w:ascii="Verdana" w:hAnsi="Verdana" w:cs="Arial"/>
          <w:color w:val="auto"/>
        </w:rPr>
      </w:pPr>
      <w:r w:rsidRPr="00B8345B">
        <w:rPr>
          <w:rFonts w:ascii="Verdana" w:hAnsi="Verdana" w:cs="Arial"/>
          <w:color w:val="auto"/>
        </w:rPr>
        <w:t xml:space="preserve">While the legislative changes </w:t>
      </w:r>
      <w:r w:rsidR="005742AB">
        <w:rPr>
          <w:rFonts w:ascii="Verdana" w:hAnsi="Verdana" w:cs="Arial"/>
          <w:color w:val="auto"/>
        </w:rPr>
        <w:t>proposed</w:t>
      </w:r>
      <w:r w:rsidR="005742AB" w:rsidRPr="00B8345B">
        <w:rPr>
          <w:rFonts w:ascii="Verdana" w:hAnsi="Verdana" w:cs="Arial"/>
          <w:color w:val="auto"/>
        </w:rPr>
        <w:t xml:space="preserve"> </w:t>
      </w:r>
      <w:r w:rsidRPr="00B8345B">
        <w:rPr>
          <w:rFonts w:ascii="Verdana" w:hAnsi="Verdana" w:cs="Arial"/>
          <w:color w:val="auto"/>
        </w:rPr>
        <w:t xml:space="preserve">in the consultation </w:t>
      </w:r>
      <w:r w:rsidR="005742AB">
        <w:rPr>
          <w:rFonts w:ascii="Verdana" w:hAnsi="Verdana" w:cs="Arial"/>
          <w:color w:val="auto"/>
        </w:rPr>
        <w:t xml:space="preserve">document </w:t>
      </w:r>
      <w:r w:rsidRPr="00B8345B">
        <w:rPr>
          <w:rFonts w:ascii="Verdana" w:hAnsi="Verdana" w:cs="Arial"/>
          <w:color w:val="auto"/>
        </w:rPr>
        <w:t xml:space="preserve">aim to incentivise disclosure, the Commission notes </w:t>
      </w:r>
      <w:r w:rsidR="005742AB">
        <w:rPr>
          <w:rFonts w:ascii="Verdana" w:hAnsi="Verdana" w:cs="Arial"/>
          <w:color w:val="auto"/>
        </w:rPr>
        <w:t>the</w:t>
      </w:r>
      <w:r w:rsidRPr="00B8345B">
        <w:rPr>
          <w:rFonts w:ascii="Verdana" w:hAnsi="Verdana" w:cs="Arial"/>
          <w:color w:val="auto"/>
        </w:rPr>
        <w:t xml:space="preserve"> non-legislative solutions produced </w:t>
      </w:r>
      <w:r w:rsidR="005742AB">
        <w:rPr>
          <w:rFonts w:ascii="Verdana" w:hAnsi="Verdana" w:cs="Arial"/>
          <w:color w:val="auto"/>
        </w:rPr>
        <w:t>(</w:t>
      </w:r>
      <w:r w:rsidRPr="00B8345B">
        <w:rPr>
          <w:rFonts w:ascii="Verdana" w:hAnsi="Verdana" w:cs="Arial"/>
          <w:color w:val="auto"/>
        </w:rPr>
        <w:t>as outlined in Annex 1</w:t>
      </w:r>
      <w:r w:rsidR="005742AB">
        <w:rPr>
          <w:rFonts w:ascii="Verdana" w:hAnsi="Verdana" w:cs="Arial"/>
          <w:color w:val="auto"/>
        </w:rPr>
        <w:t>).</w:t>
      </w:r>
      <w:r w:rsidRPr="00B8345B">
        <w:rPr>
          <w:rFonts w:ascii="Verdana" w:hAnsi="Verdana" w:cs="Arial"/>
          <w:color w:val="auto"/>
        </w:rPr>
        <w:t xml:space="preserve"> The Commission welcomes the non-legislative solutions that support victims in navigating the criminal justice </w:t>
      </w:r>
      <w:r w:rsidRPr="00B8345B">
        <w:rPr>
          <w:rFonts w:ascii="Verdana" w:hAnsi="Verdana" w:cs="Arial"/>
          <w:color w:val="auto"/>
        </w:rPr>
        <w:lastRenderedPageBreak/>
        <w:t>process and would encourage the Department to ensure that all options for supporting victims in engaging with the complexities of the criminal justice system are fully explored in line with the rights contained within the Victims’ Directive.</w:t>
      </w:r>
    </w:p>
    <w:p w14:paraId="1EC86B70" w14:textId="20FA2574" w:rsidR="0019542D" w:rsidRDefault="0019542D" w:rsidP="00640268">
      <w:pPr>
        <w:pStyle w:val="BasicParagraph"/>
        <w:suppressAutoHyphens/>
        <w:jc w:val="both"/>
        <w:rPr>
          <w:rFonts w:ascii="Verdana" w:hAnsi="Verdana" w:cs="Arial"/>
          <w:color w:val="auto"/>
        </w:rPr>
      </w:pPr>
    </w:p>
    <w:p w14:paraId="0625095A" w14:textId="3D3776D6" w:rsidR="0019542D" w:rsidRPr="0019542D" w:rsidRDefault="0019542D" w:rsidP="00001572">
      <w:pPr>
        <w:pStyle w:val="BasicParagraph"/>
        <w:numPr>
          <w:ilvl w:val="1"/>
          <w:numId w:val="16"/>
        </w:numPr>
        <w:suppressAutoHyphens/>
        <w:ind w:left="709" w:hanging="709"/>
        <w:jc w:val="both"/>
        <w:rPr>
          <w:rFonts w:ascii="Verdana" w:hAnsi="Verdana" w:cs="Arial"/>
          <w:b/>
          <w:color w:val="auto"/>
        </w:rPr>
      </w:pPr>
      <w:r w:rsidRPr="0019542D">
        <w:rPr>
          <w:rFonts w:ascii="Verdana" w:hAnsi="Verdana" w:cs="Arial"/>
          <w:b/>
          <w:color w:val="auto"/>
        </w:rPr>
        <w:t>The Commission recommends that the Department gives full consideration to its human rights obligations</w:t>
      </w:r>
      <w:r w:rsidR="000D0905" w:rsidRPr="000D0905">
        <w:rPr>
          <w:rFonts w:ascii="Verdana" w:hAnsi="Verdana" w:cs="Arial"/>
          <w:b/>
          <w:color w:val="auto"/>
        </w:rPr>
        <w:t>, including under Protocol Article 2,</w:t>
      </w:r>
      <w:r w:rsidRPr="0019542D">
        <w:rPr>
          <w:rFonts w:ascii="Verdana" w:hAnsi="Verdana" w:cs="Arial"/>
          <w:b/>
          <w:color w:val="auto"/>
        </w:rPr>
        <w:t xml:space="preserve"> in ensuring that victims have timely and accessible information regarding their case and are supported to meaningfully participate within the criminal justice proceedings, particularly with reference to the impact of non-disclosure.</w:t>
      </w:r>
    </w:p>
    <w:p w14:paraId="26BB0763" w14:textId="77777777" w:rsidR="00041473" w:rsidRDefault="00041473" w:rsidP="00041473">
      <w:pPr>
        <w:pStyle w:val="ListParagraph"/>
        <w:rPr>
          <w:rFonts w:ascii="Verdana" w:hAnsi="Verdana" w:cs="Arial"/>
        </w:rPr>
      </w:pPr>
    </w:p>
    <w:p w14:paraId="1E58AFB3" w14:textId="1C11DE04" w:rsidR="00E70B06" w:rsidRDefault="00041473" w:rsidP="00001572">
      <w:pPr>
        <w:pStyle w:val="BasicParagraph"/>
        <w:numPr>
          <w:ilvl w:val="1"/>
          <w:numId w:val="16"/>
        </w:numPr>
        <w:suppressAutoHyphens/>
        <w:ind w:left="709" w:hanging="709"/>
        <w:jc w:val="both"/>
        <w:rPr>
          <w:rFonts w:ascii="Verdana" w:hAnsi="Verdana" w:cs="Arial"/>
          <w:color w:val="auto"/>
        </w:rPr>
      </w:pPr>
      <w:r w:rsidRPr="00C14D76">
        <w:rPr>
          <w:rFonts w:ascii="Verdana" w:hAnsi="Verdana" w:cs="Arial"/>
          <w:color w:val="auto"/>
        </w:rPr>
        <w:t xml:space="preserve">While the ECHR </w:t>
      </w:r>
      <w:r w:rsidR="00B52C89" w:rsidRPr="00C14D76">
        <w:rPr>
          <w:rFonts w:ascii="Verdana" w:hAnsi="Verdana" w:cs="Arial"/>
          <w:color w:val="auto"/>
        </w:rPr>
        <w:t xml:space="preserve">does not expressly </w:t>
      </w:r>
      <w:r w:rsidR="005742AB">
        <w:rPr>
          <w:rFonts w:ascii="Verdana" w:hAnsi="Verdana" w:cs="Arial"/>
          <w:color w:val="auto"/>
        </w:rPr>
        <w:t>refer to</w:t>
      </w:r>
      <w:r w:rsidR="005742AB" w:rsidRPr="00C14D76">
        <w:rPr>
          <w:rFonts w:ascii="Verdana" w:hAnsi="Verdana" w:cs="Arial"/>
          <w:color w:val="auto"/>
        </w:rPr>
        <w:t xml:space="preserve"> </w:t>
      </w:r>
      <w:r w:rsidRPr="00C14D76">
        <w:rPr>
          <w:rFonts w:ascii="Verdana" w:hAnsi="Verdana" w:cs="Arial"/>
          <w:color w:val="auto"/>
        </w:rPr>
        <w:t>victim</w:t>
      </w:r>
      <w:r w:rsidR="005742AB">
        <w:rPr>
          <w:rFonts w:ascii="Verdana" w:hAnsi="Verdana" w:cs="Arial"/>
          <w:color w:val="auto"/>
        </w:rPr>
        <w:t>s</w:t>
      </w:r>
      <w:r w:rsidRPr="00C14D76">
        <w:rPr>
          <w:rFonts w:ascii="Verdana" w:hAnsi="Verdana" w:cs="Arial"/>
          <w:color w:val="auto"/>
        </w:rPr>
        <w:t>,</w:t>
      </w:r>
      <w:r w:rsidR="00B52C89" w:rsidRPr="00C14D76">
        <w:rPr>
          <w:rFonts w:ascii="Verdana" w:hAnsi="Verdana" w:cs="Arial"/>
          <w:color w:val="auto"/>
        </w:rPr>
        <w:t xml:space="preserve"> </w:t>
      </w:r>
      <w:r w:rsidR="005742AB">
        <w:rPr>
          <w:rFonts w:ascii="Verdana" w:hAnsi="Verdana" w:cs="Arial"/>
          <w:color w:val="auto"/>
        </w:rPr>
        <w:t xml:space="preserve">many of the rights protected apply directly to victims of crime. </w:t>
      </w:r>
      <w:r w:rsidRPr="00C14D76">
        <w:rPr>
          <w:rFonts w:ascii="Verdana" w:hAnsi="Verdana" w:cs="Arial"/>
          <w:color w:val="auto"/>
        </w:rPr>
        <w:t>The European</w:t>
      </w:r>
      <w:r w:rsidR="00640268">
        <w:rPr>
          <w:rFonts w:ascii="Verdana" w:hAnsi="Verdana" w:cs="Arial"/>
          <w:color w:val="auto"/>
        </w:rPr>
        <w:t xml:space="preserve"> Court of Human Rights (ECtHR)</w:t>
      </w:r>
      <w:r w:rsidRPr="00C14D76">
        <w:rPr>
          <w:rFonts w:ascii="Verdana" w:hAnsi="Verdana" w:cs="Arial"/>
          <w:color w:val="auto"/>
        </w:rPr>
        <w:t xml:space="preserve"> </w:t>
      </w:r>
      <w:r w:rsidR="005742AB">
        <w:rPr>
          <w:rFonts w:ascii="Verdana" w:hAnsi="Verdana" w:cs="Arial"/>
          <w:color w:val="auto"/>
        </w:rPr>
        <w:t>for example has held</w:t>
      </w:r>
      <w:r w:rsidR="005742AB" w:rsidRPr="00C14D76">
        <w:rPr>
          <w:rFonts w:ascii="Verdana" w:hAnsi="Verdana" w:cs="Arial"/>
          <w:color w:val="auto"/>
        </w:rPr>
        <w:t xml:space="preserve"> </w:t>
      </w:r>
      <w:r w:rsidRPr="00C14D76">
        <w:rPr>
          <w:rFonts w:ascii="Verdana" w:hAnsi="Verdana" w:cs="Arial"/>
          <w:color w:val="auto"/>
        </w:rPr>
        <w:t>that close relatives of persons who have died as a result of a criminal offence can invoke Article 2 ECHR.</w:t>
      </w:r>
      <w:r w:rsidRPr="00041473">
        <w:rPr>
          <w:rFonts w:ascii="Verdana" w:hAnsi="Verdana" w:cs="Arial"/>
          <w:color w:val="auto"/>
          <w:vertAlign w:val="superscript"/>
        </w:rPr>
        <w:t xml:space="preserve"> </w:t>
      </w:r>
      <w:r w:rsidRPr="00041473">
        <w:rPr>
          <w:rFonts w:ascii="Verdana" w:hAnsi="Verdana" w:cs="Arial"/>
          <w:color w:val="auto"/>
          <w:vertAlign w:val="superscript"/>
        </w:rPr>
        <w:footnoteReference w:id="15"/>
      </w:r>
      <w:r>
        <w:rPr>
          <w:rFonts w:ascii="Verdana" w:hAnsi="Verdana" w:cs="Arial"/>
          <w:color w:val="auto"/>
        </w:rPr>
        <w:t xml:space="preserve"> </w:t>
      </w:r>
      <w:r w:rsidR="00E70B06">
        <w:rPr>
          <w:rFonts w:ascii="Verdana" w:hAnsi="Verdana" w:cs="Arial"/>
          <w:color w:val="auto"/>
        </w:rPr>
        <w:t xml:space="preserve">The ECtHR has </w:t>
      </w:r>
      <w:r w:rsidR="00655F6F">
        <w:rPr>
          <w:rFonts w:ascii="Verdana" w:hAnsi="Verdana" w:cs="Arial"/>
          <w:color w:val="auto"/>
        </w:rPr>
        <w:t xml:space="preserve">also </w:t>
      </w:r>
      <w:r w:rsidR="00E70B06">
        <w:rPr>
          <w:rFonts w:ascii="Verdana" w:hAnsi="Verdana" w:cs="Arial"/>
          <w:color w:val="auto"/>
        </w:rPr>
        <w:t xml:space="preserve">found that Article 2 </w:t>
      </w:r>
      <w:r w:rsidR="00F4183E">
        <w:rPr>
          <w:rFonts w:ascii="Verdana" w:hAnsi="Verdana" w:cs="Arial"/>
          <w:color w:val="auto"/>
        </w:rPr>
        <w:t>ECHR places procedural obligations on States including an obligation to carry out an effective investigation into unlawful killings. The Department should be aware that the procedural obligations under Article 2 have been found to extend to investigating and cooperating with investigations in a cross-border context.</w:t>
      </w:r>
      <w:r w:rsidR="00F4183E">
        <w:rPr>
          <w:rStyle w:val="FootnoteReference"/>
          <w:rFonts w:ascii="Verdana" w:hAnsi="Verdana" w:cs="Arial"/>
          <w:color w:val="auto"/>
        </w:rPr>
        <w:footnoteReference w:id="16"/>
      </w:r>
      <w:r w:rsidR="00F4183E">
        <w:rPr>
          <w:rFonts w:ascii="Verdana" w:hAnsi="Verdana" w:cs="Arial"/>
          <w:color w:val="auto"/>
        </w:rPr>
        <w:t xml:space="preserve"> </w:t>
      </w:r>
    </w:p>
    <w:p w14:paraId="367B88DE" w14:textId="77777777" w:rsidR="00776827" w:rsidRDefault="00776827" w:rsidP="00776827">
      <w:pPr>
        <w:pStyle w:val="ListParagraph"/>
        <w:rPr>
          <w:rFonts w:ascii="Verdana" w:hAnsi="Verdana" w:cs="Arial"/>
        </w:rPr>
      </w:pPr>
    </w:p>
    <w:p w14:paraId="0C41570E" w14:textId="10713E2F" w:rsidR="00776827" w:rsidRDefault="00776827"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The ECtHR has also considered the </w:t>
      </w:r>
      <w:r w:rsidR="001C1ED8">
        <w:rPr>
          <w:rFonts w:ascii="Verdana" w:hAnsi="Verdana" w:cs="Arial"/>
          <w:color w:val="auto"/>
        </w:rPr>
        <w:t xml:space="preserve">rights of relatives under Article 3 </w:t>
      </w:r>
      <w:r w:rsidR="00AB107A">
        <w:rPr>
          <w:rFonts w:ascii="Verdana" w:hAnsi="Verdana" w:cs="Arial"/>
          <w:color w:val="auto"/>
        </w:rPr>
        <w:t xml:space="preserve">ECHR </w:t>
      </w:r>
      <w:r w:rsidR="001C1ED8">
        <w:rPr>
          <w:rFonts w:ascii="Verdana" w:hAnsi="Verdana" w:cs="Arial"/>
          <w:color w:val="auto"/>
        </w:rPr>
        <w:t>(prohibi</w:t>
      </w:r>
      <w:r w:rsidR="00DD55C2">
        <w:rPr>
          <w:rFonts w:ascii="Verdana" w:hAnsi="Verdana" w:cs="Arial"/>
          <w:color w:val="auto"/>
        </w:rPr>
        <w:t>ti</w:t>
      </w:r>
      <w:r w:rsidR="001C1ED8">
        <w:rPr>
          <w:rFonts w:ascii="Verdana" w:hAnsi="Verdana" w:cs="Arial"/>
          <w:color w:val="auto"/>
        </w:rPr>
        <w:t xml:space="preserve">on of torture and inhuman or degrading </w:t>
      </w:r>
      <w:r w:rsidR="00AB107A">
        <w:rPr>
          <w:rFonts w:ascii="Verdana" w:hAnsi="Verdana" w:cs="Arial"/>
          <w:color w:val="auto"/>
        </w:rPr>
        <w:t>treatment)</w:t>
      </w:r>
      <w:r w:rsidR="00DD55C2">
        <w:rPr>
          <w:rStyle w:val="FootnoteReference"/>
          <w:rFonts w:ascii="Verdana" w:hAnsi="Verdana" w:cs="Arial"/>
          <w:color w:val="auto"/>
        </w:rPr>
        <w:footnoteReference w:id="17"/>
      </w:r>
      <w:r w:rsidR="00DD55C2">
        <w:rPr>
          <w:rFonts w:ascii="Verdana" w:hAnsi="Verdana" w:cs="Arial"/>
          <w:color w:val="auto"/>
        </w:rPr>
        <w:t xml:space="preserve">  </w:t>
      </w:r>
      <w:r w:rsidR="00AB107A">
        <w:rPr>
          <w:rFonts w:ascii="Verdana" w:hAnsi="Verdana" w:cs="Arial"/>
          <w:color w:val="auto"/>
        </w:rPr>
        <w:t>and</w:t>
      </w:r>
      <w:r w:rsidR="00DD55C2">
        <w:rPr>
          <w:rFonts w:ascii="Verdana" w:hAnsi="Verdana" w:cs="Arial"/>
          <w:color w:val="auto"/>
        </w:rPr>
        <w:t xml:space="preserve"> has held that </w:t>
      </w:r>
      <w:r w:rsidR="003E6F3A">
        <w:rPr>
          <w:rFonts w:ascii="Verdana" w:hAnsi="Verdana" w:cs="Arial"/>
          <w:color w:val="auto"/>
        </w:rPr>
        <w:t>relatives of disappeared persons can themselves be victims of a v</w:t>
      </w:r>
      <w:r w:rsidR="00AB107A">
        <w:rPr>
          <w:rFonts w:ascii="Verdana" w:hAnsi="Verdana" w:cs="Arial"/>
          <w:color w:val="auto"/>
        </w:rPr>
        <w:t>iolation of Article 3</w:t>
      </w:r>
      <w:r w:rsidR="003E6F3A">
        <w:rPr>
          <w:rFonts w:ascii="Verdana" w:hAnsi="Verdana" w:cs="Arial"/>
          <w:color w:val="auto"/>
        </w:rPr>
        <w:t xml:space="preserve">. The cases examined by the ECtHR have related </w:t>
      </w:r>
      <w:r w:rsidR="00AB107A">
        <w:rPr>
          <w:rFonts w:ascii="Verdana" w:hAnsi="Verdana" w:cs="Arial"/>
          <w:color w:val="auto"/>
        </w:rPr>
        <w:t xml:space="preserve">specifically </w:t>
      </w:r>
      <w:r w:rsidR="003E6F3A">
        <w:rPr>
          <w:rFonts w:ascii="Verdana" w:hAnsi="Verdana" w:cs="Arial"/>
          <w:color w:val="auto"/>
        </w:rPr>
        <w:t xml:space="preserve">to </w:t>
      </w:r>
      <w:r w:rsidR="00106F85">
        <w:rPr>
          <w:rFonts w:ascii="Verdana" w:hAnsi="Verdana" w:cs="Arial"/>
          <w:color w:val="auto"/>
        </w:rPr>
        <w:t>the families</w:t>
      </w:r>
      <w:r w:rsidR="00AB107A">
        <w:rPr>
          <w:rFonts w:ascii="Verdana" w:hAnsi="Verdana" w:cs="Arial"/>
          <w:color w:val="auto"/>
        </w:rPr>
        <w:t xml:space="preserve"> of victims of </w:t>
      </w:r>
      <w:r w:rsidR="003E6F3A">
        <w:rPr>
          <w:rFonts w:ascii="Verdana" w:hAnsi="Verdana" w:cs="Arial"/>
          <w:color w:val="auto"/>
        </w:rPr>
        <w:t xml:space="preserve">enforced disappearances and the breach of Article 3 has primarily resulted from the indifference </w:t>
      </w:r>
      <w:r w:rsidR="00AB107A">
        <w:rPr>
          <w:rFonts w:ascii="Verdana" w:hAnsi="Verdana" w:cs="Arial"/>
          <w:color w:val="auto"/>
        </w:rPr>
        <w:t>and callousness on the part of the State</w:t>
      </w:r>
      <w:r w:rsidR="007E7DEB">
        <w:rPr>
          <w:rFonts w:ascii="Verdana" w:hAnsi="Verdana" w:cs="Arial"/>
          <w:color w:val="auto"/>
        </w:rPr>
        <w:t xml:space="preserve"> when the situation is</w:t>
      </w:r>
      <w:r w:rsidR="007D254E">
        <w:rPr>
          <w:rFonts w:ascii="Verdana" w:hAnsi="Verdana" w:cs="Arial"/>
          <w:color w:val="auto"/>
        </w:rPr>
        <w:t xml:space="preserve"> brought to their attention</w:t>
      </w:r>
      <w:r w:rsidR="00AB107A">
        <w:rPr>
          <w:rFonts w:ascii="Verdana" w:hAnsi="Verdana" w:cs="Arial"/>
          <w:color w:val="auto"/>
        </w:rPr>
        <w:t>.</w:t>
      </w:r>
      <w:r w:rsidR="007D254E">
        <w:rPr>
          <w:rStyle w:val="FootnoteReference"/>
          <w:rFonts w:ascii="Verdana" w:hAnsi="Verdana" w:cs="Arial"/>
          <w:color w:val="auto"/>
        </w:rPr>
        <w:footnoteReference w:id="18"/>
      </w:r>
      <w:r w:rsidR="00AB107A">
        <w:rPr>
          <w:rFonts w:ascii="Verdana" w:hAnsi="Verdana" w:cs="Arial"/>
          <w:color w:val="auto"/>
        </w:rPr>
        <w:t xml:space="preserve">  However, the willingness of the ECtHR to find a violation of Article 3 in these instances indicates the seriousness with which the ECtHR </w:t>
      </w:r>
      <w:r w:rsidR="007E7DEB">
        <w:rPr>
          <w:rFonts w:ascii="Verdana" w:hAnsi="Verdana" w:cs="Arial"/>
          <w:color w:val="auto"/>
        </w:rPr>
        <w:t>views the issue.</w:t>
      </w:r>
    </w:p>
    <w:p w14:paraId="7B3428AA" w14:textId="77777777" w:rsidR="00E70B06" w:rsidRDefault="00E70B06" w:rsidP="00E70B06">
      <w:pPr>
        <w:pStyle w:val="ListParagraph"/>
        <w:rPr>
          <w:rFonts w:ascii="Verdana" w:hAnsi="Verdana" w:cs="Arial"/>
        </w:rPr>
      </w:pPr>
    </w:p>
    <w:p w14:paraId="0CDDC25F" w14:textId="41EE3F32" w:rsidR="00676B9C" w:rsidRDefault="00041473"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T</w:t>
      </w:r>
      <w:r w:rsidR="00B52C89">
        <w:rPr>
          <w:rFonts w:ascii="Verdana" w:hAnsi="Verdana" w:cs="Arial"/>
          <w:color w:val="auto"/>
        </w:rPr>
        <w:t>he</w:t>
      </w:r>
      <w:r>
        <w:rPr>
          <w:rFonts w:ascii="Verdana" w:hAnsi="Verdana" w:cs="Arial"/>
          <w:color w:val="auto"/>
        </w:rPr>
        <w:t xml:space="preserve"> ECtHR</w:t>
      </w:r>
      <w:r w:rsidR="00676B9C" w:rsidRPr="006C7311">
        <w:rPr>
          <w:rFonts w:ascii="Verdana" w:hAnsi="Verdana" w:cs="Arial"/>
          <w:color w:val="auto"/>
        </w:rPr>
        <w:t xml:space="preserve"> has</w:t>
      </w:r>
      <w:r w:rsidR="00B52C89">
        <w:rPr>
          <w:rFonts w:ascii="Verdana" w:hAnsi="Verdana" w:cs="Arial"/>
          <w:color w:val="auto"/>
        </w:rPr>
        <w:t xml:space="preserve"> </w:t>
      </w:r>
      <w:r w:rsidR="00776827">
        <w:rPr>
          <w:rFonts w:ascii="Verdana" w:hAnsi="Verdana" w:cs="Arial"/>
          <w:color w:val="auto"/>
        </w:rPr>
        <w:t>f</w:t>
      </w:r>
      <w:r w:rsidR="001C1ED8">
        <w:rPr>
          <w:rFonts w:ascii="Verdana" w:hAnsi="Verdana" w:cs="Arial"/>
          <w:color w:val="auto"/>
        </w:rPr>
        <w:t xml:space="preserve">urther </w:t>
      </w:r>
      <w:r w:rsidR="00B52C89">
        <w:rPr>
          <w:rFonts w:ascii="Verdana" w:hAnsi="Verdana" w:cs="Arial"/>
          <w:color w:val="auto"/>
        </w:rPr>
        <w:t xml:space="preserve">considered the rights of </w:t>
      </w:r>
      <w:r w:rsidR="00AB107A">
        <w:rPr>
          <w:rFonts w:ascii="Verdana" w:hAnsi="Verdana" w:cs="Arial"/>
          <w:color w:val="auto"/>
        </w:rPr>
        <w:t>relatives</w:t>
      </w:r>
      <w:r w:rsidR="00B52C89">
        <w:rPr>
          <w:rFonts w:ascii="Verdana" w:hAnsi="Verdana" w:cs="Arial"/>
          <w:color w:val="auto"/>
        </w:rPr>
        <w:t xml:space="preserve"> under Article 8 ECHR</w:t>
      </w:r>
      <w:r w:rsidR="00B77314">
        <w:rPr>
          <w:rFonts w:ascii="Verdana" w:hAnsi="Verdana" w:cs="Arial"/>
          <w:color w:val="auto"/>
        </w:rPr>
        <w:t xml:space="preserve"> (</w:t>
      </w:r>
      <w:r w:rsidR="00B77314" w:rsidRPr="006C7311">
        <w:rPr>
          <w:rFonts w:ascii="Verdana" w:hAnsi="Verdana" w:cs="Arial"/>
          <w:color w:val="auto"/>
        </w:rPr>
        <w:t>the right to respect for family or private life</w:t>
      </w:r>
      <w:r w:rsidR="00B77314">
        <w:rPr>
          <w:rFonts w:ascii="Verdana" w:hAnsi="Verdana" w:cs="Arial"/>
          <w:color w:val="auto"/>
        </w:rPr>
        <w:t>).</w:t>
      </w:r>
      <w:r w:rsidR="005742AB">
        <w:rPr>
          <w:rFonts w:ascii="Verdana" w:hAnsi="Verdana" w:cs="Arial"/>
          <w:color w:val="auto"/>
        </w:rPr>
        <w:t xml:space="preserve"> </w:t>
      </w:r>
      <w:r w:rsidR="00B77314">
        <w:rPr>
          <w:rFonts w:ascii="Verdana" w:hAnsi="Verdana" w:cs="Arial"/>
          <w:color w:val="auto"/>
        </w:rPr>
        <w:t xml:space="preserve">It has </w:t>
      </w:r>
      <w:r w:rsidR="00676B9C" w:rsidRPr="006C7311">
        <w:rPr>
          <w:rFonts w:ascii="Verdana" w:hAnsi="Verdana" w:cs="Arial"/>
          <w:color w:val="auto"/>
        </w:rPr>
        <w:t xml:space="preserve">found </w:t>
      </w:r>
      <w:r w:rsidR="005742AB">
        <w:rPr>
          <w:rFonts w:ascii="Verdana" w:hAnsi="Verdana" w:cs="Arial"/>
          <w:color w:val="auto"/>
        </w:rPr>
        <w:t xml:space="preserve">it engaged in the treatment of </w:t>
      </w:r>
      <w:r w:rsidR="00676B9C" w:rsidRPr="006C7311">
        <w:rPr>
          <w:rFonts w:ascii="Verdana" w:hAnsi="Verdana" w:cs="Arial"/>
          <w:color w:val="auto"/>
        </w:rPr>
        <w:t xml:space="preserve">the body of a deceased relative </w:t>
      </w:r>
      <w:r w:rsidR="005742AB">
        <w:rPr>
          <w:rFonts w:ascii="Verdana" w:hAnsi="Verdana" w:cs="Arial"/>
          <w:color w:val="auto"/>
        </w:rPr>
        <w:t xml:space="preserve">and in </w:t>
      </w:r>
      <w:r w:rsidR="00676B9C" w:rsidRPr="006C7311">
        <w:rPr>
          <w:rFonts w:ascii="Verdana" w:hAnsi="Verdana" w:cs="Arial"/>
          <w:color w:val="auto"/>
        </w:rPr>
        <w:t xml:space="preserve">issues </w:t>
      </w:r>
      <w:r w:rsidR="00640268">
        <w:rPr>
          <w:rFonts w:ascii="Verdana" w:hAnsi="Verdana" w:cs="Arial"/>
          <w:color w:val="auto"/>
        </w:rPr>
        <w:t>affecting</w:t>
      </w:r>
      <w:r w:rsidR="00502CAD">
        <w:rPr>
          <w:rFonts w:ascii="Verdana" w:hAnsi="Verdana" w:cs="Arial"/>
          <w:color w:val="auto"/>
        </w:rPr>
        <w:t xml:space="preserve"> </w:t>
      </w:r>
      <w:r w:rsidR="005742AB">
        <w:rPr>
          <w:rFonts w:ascii="Verdana" w:hAnsi="Verdana" w:cs="Arial"/>
          <w:color w:val="auto"/>
        </w:rPr>
        <w:t>attendance at</w:t>
      </w:r>
      <w:r w:rsidR="00676B9C" w:rsidRPr="006C7311">
        <w:rPr>
          <w:rFonts w:ascii="Verdana" w:hAnsi="Verdana" w:cs="Arial"/>
          <w:color w:val="auto"/>
        </w:rPr>
        <w:t xml:space="preserve"> </w:t>
      </w:r>
      <w:r w:rsidR="005742AB">
        <w:rPr>
          <w:rFonts w:ascii="Verdana" w:hAnsi="Verdana" w:cs="Arial"/>
          <w:color w:val="auto"/>
        </w:rPr>
        <w:t>a</w:t>
      </w:r>
      <w:r w:rsidR="005742AB" w:rsidRPr="006C7311">
        <w:rPr>
          <w:rFonts w:ascii="Verdana" w:hAnsi="Verdana" w:cs="Arial"/>
          <w:color w:val="auto"/>
        </w:rPr>
        <w:t xml:space="preserve"> </w:t>
      </w:r>
      <w:r w:rsidR="00676B9C" w:rsidRPr="006C7311">
        <w:rPr>
          <w:rFonts w:ascii="Verdana" w:hAnsi="Verdana" w:cs="Arial"/>
          <w:color w:val="auto"/>
        </w:rPr>
        <w:t>burial</w:t>
      </w:r>
      <w:r w:rsidR="005742AB">
        <w:rPr>
          <w:rFonts w:ascii="Verdana" w:hAnsi="Verdana" w:cs="Arial"/>
          <w:color w:val="auto"/>
        </w:rPr>
        <w:t xml:space="preserve">. Moreover, the right to pay </w:t>
      </w:r>
      <w:r w:rsidR="00B77314">
        <w:rPr>
          <w:rFonts w:ascii="Verdana" w:hAnsi="Verdana" w:cs="Arial"/>
          <w:color w:val="auto"/>
        </w:rPr>
        <w:t xml:space="preserve">respects </w:t>
      </w:r>
      <w:r w:rsidR="00676B9C" w:rsidRPr="006C7311">
        <w:rPr>
          <w:rFonts w:ascii="Verdana" w:hAnsi="Verdana" w:cs="Arial"/>
          <w:color w:val="auto"/>
        </w:rPr>
        <w:t xml:space="preserve">at the grave of a </w:t>
      </w:r>
      <w:r w:rsidR="00676B9C" w:rsidRPr="006C7311">
        <w:rPr>
          <w:rFonts w:ascii="Verdana" w:hAnsi="Verdana" w:cs="Arial"/>
          <w:color w:val="auto"/>
        </w:rPr>
        <w:lastRenderedPageBreak/>
        <w:t>relative</w:t>
      </w:r>
      <w:r w:rsidR="00B77314">
        <w:rPr>
          <w:rFonts w:ascii="Verdana" w:hAnsi="Verdana" w:cs="Arial"/>
          <w:color w:val="auto"/>
        </w:rPr>
        <w:t xml:space="preserve"> is within </w:t>
      </w:r>
      <w:r w:rsidR="00676B9C" w:rsidRPr="006C7311">
        <w:rPr>
          <w:rFonts w:ascii="Verdana" w:hAnsi="Verdana" w:cs="Arial"/>
          <w:color w:val="auto"/>
        </w:rPr>
        <w:t xml:space="preserve">the scope of </w:t>
      </w:r>
      <w:r w:rsidR="00B77314">
        <w:rPr>
          <w:rFonts w:ascii="Verdana" w:hAnsi="Verdana" w:cs="Arial"/>
          <w:color w:val="auto"/>
        </w:rPr>
        <w:t>Article 8.</w:t>
      </w:r>
      <w:r w:rsidR="007D7610">
        <w:rPr>
          <w:rStyle w:val="FootnoteReference"/>
          <w:rFonts w:ascii="Verdana" w:hAnsi="Verdana" w:cs="Arial"/>
          <w:color w:val="auto"/>
        </w:rPr>
        <w:footnoteReference w:id="19"/>
      </w:r>
      <w:r w:rsidR="00676B9C" w:rsidRPr="006C7311">
        <w:rPr>
          <w:rFonts w:ascii="Verdana" w:hAnsi="Verdana" w:cs="Arial"/>
          <w:color w:val="auto"/>
        </w:rPr>
        <w:t xml:space="preserve"> </w:t>
      </w:r>
      <w:r w:rsidR="00640E0C" w:rsidRPr="006C7311">
        <w:rPr>
          <w:rFonts w:ascii="Verdana" w:hAnsi="Verdana" w:cs="Arial"/>
          <w:color w:val="auto"/>
        </w:rPr>
        <w:t xml:space="preserve">While </w:t>
      </w:r>
      <w:r w:rsidR="00B77314">
        <w:rPr>
          <w:rFonts w:ascii="Verdana" w:hAnsi="Verdana" w:cs="Arial"/>
          <w:color w:val="auto"/>
        </w:rPr>
        <w:t>it is relatively rare for a murder to be committed in circumstances where the body of the deceased is not recovered, it is still too common. T</w:t>
      </w:r>
      <w:r w:rsidR="00640E0C" w:rsidRPr="006C7311">
        <w:rPr>
          <w:rFonts w:ascii="Verdana" w:hAnsi="Verdana" w:cs="Arial"/>
          <w:color w:val="auto"/>
        </w:rPr>
        <w:t xml:space="preserve">he impact </w:t>
      </w:r>
      <w:r w:rsidR="008F07A5">
        <w:rPr>
          <w:rFonts w:ascii="Verdana" w:hAnsi="Verdana" w:cs="Arial"/>
          <w:color w:val="auto"/>
        </w:rPr>
        <w:t xml:space="preserve">of non-disclosure </w:t>
      </w:r>
      <w:r w:rsidR="00B77314">
        <w:rPr>
          <w:rFonts w:ascii="Verdana" w:hAnsi="Verdana" w:cs="Arial"/>
          <w:color w:val="auto"/>
        </w:rPr>
        <w:t xml:space="preserve">on the deceased’s loved ones is devastating and </w:t>
      </w:r>
      <w:r w:rsidR="007F538D">
        <w:rPr>
          <w:rFonts w:ascii="Verdana" w:hAnsi="Verdana" w:cs="Arial"/>
          <w:color w:val="auto"/>
        </w:rPr>
        <w:t xml:space="preserve">must be </w:t>
      </w:r>
      <w:r w:rsidR="00B77314">
        <w:rPr>
          <w:rFonts w:ascii="Verdana" w:hAnsi="Verdana" w:cs="Arial"/>
          <w:color w:val="auto"/>
        </w:rPr>
        <w:t xml:space="preserve">taken into account, not least in the context of </w:t>
      </w:r>
      <w:r w:rsidR="007F538D">
        <w:rPr>
          <w:rFonts w:ascii="Verdana" w:hAnsi="Verdana" w:cs="Arial"/>
          <w:color w:val="auto"/>
        </w:rPr>
        <w:t xml:space="preserve">Article 8 ECHR </w:t>
      </w:r>
      <w:r w:rsidR="00B77314">
        <w:rPr>
          <w:rFonts w:ascii="Verdana" w:hAnsi="Verdana" w:cs="Arial"/>
          <w:color w:val="auto"/>
        </w:rPr>
        <w:t xml:space="preserve">and the </w:t>
      </w:r>
      <w:r w:rsidR="007F538D">
        <w:rPr>
          <w:rFonts w:ascii="Verdana" w:hAnsi="Verdana" w:cs="Arial"/>
          <w:color w:val="auto"/>
        </w:rPr>
        <w:t xml:space="preserve">right to respect for private and family life. </w:t>
      </w:r>
    </w:p>
    <w:p w14:paraId="06BFD217" w14:textId="77777777" w:rsidR="001F0B1A" w:rsidRDefault="001F0B1A" w:rsidP="00001572">
      <w:pPr>
        <w:pStyle w:val="ListParagraph"/>
        <w:ind w:left="709" w:hanging="709"/>
        <w:rPr>
          <w:rFonts w:ascii="Verdana" w:hAnsi="Verdana" w:cs="Arial"/>
        </w:rPr>
      </w:pPr>
    </w:p>
    <w:p w14:paraId="449A1BC4" w14:textId="019C6958" w:rsidR="005076A6" w:rsidRPr="001F0B1A" w:rsidRDefault="001F0B1A" w:rsidP="00001572">
      <w:pPr>
        <w:pStyle w:val="BasicParagraph"/>
        <w:numPr>
          <w:ilvl w:val="1"/>
          <w:numId w:val="16"/>
        </w:numPr>
        <w:suppressAutoHyphens/>
        <w:ind w:left="709" w:hanging="709"/>
        <w:jc w:val="both"/>
        <w:rPr>
          <w:rFonts w:ascii="Verdana" w:hAnsi="Verdana" w:cs="Arial"/>
          <w:b/>
          <w:color w:val="auto"/>
        </w:rPr>
      </w:pPr>
      <w:r>
        <w:rPr>
          <w:rFonts w:ascii="Verdana" w:hAnsi="Verdana" w:cs="Arial"/>
          <w:b/>
          <w:color w:val="auto"/>
        </w:rPr>
        <w:t xml:space="preserve">The Commission </w:t>
      </w:r>
      <w:r w:rsidR="00557D12">
        <w:rPr>
          <w:rFonts w:ascii="Verdana" w:hAnsi="Verdana" w:cs="Arial"/>
          <w:b/>
          <w:color w:val="auto"/>
        </w:rPr>
        <w:t xml:space="preserve">advises </w:t>
      </w:r>
      <w:r>
        <w:rPr>
          <w:rFonts w:ascii="Verdana" w:hAnsi="Verdana" w:cs="Arial"/>
          <w:b/>
          <w:color w:val="auto"/>
        </w:rPr>
        <w:t>that the prevention of burial rites and</w:t>
      </w:r>
      <w:r w:rsidR="00557D12">
        <w:rPr>
          <w:rFonts w:ascii="Verdana" w:hAnsi="Verdana" w:cs="Arial"/>
          <w:b/>
          <w:color w:val="auto"/>
        </w:rPr>
        <w:t xml:space="preserve">/or payment of respects </w:t>
      </w:r>
      <w:r>
        <w:rPr>
          <w:rFonts w:ascii="Verdana" w:hAnsi="Verdana" w:cs="Arial"/>
          <w:b/>
          <w:color w:val="auto"/>
        </w:rPr>
        <w:t xml:space="preserve">at the grave of a </w:t>
      </w:r>
      <w:r w:rsidR="00557D12">
        <w:rPr>
          <w:rFonts w:ascii="Verdana" w:hAnsi="Verdana" w:cs="Arial"/>
          <w:b/>
          <w:color w:val="auto"/>
        </w:rPr>
        <w:t xml:space="preserve">loved one should be considered in the context of its impact on the right to respect for family and private life, which is protected by </w:t>
      </w:r>
      <w:r w:rsidR="00E7678A">
        <w:rPr>
          <w:rFonts w:ascii="Verdana" w:hAnsi="Verdana" w:cs="Arial"/>
          <w:b/>
          <w:color w:val="auto"/>
        </w:rPr>
        <w:t>Article 8 ECHR.</w:t>
      </w:r>
    </w:p>
    <w:p w14:paraId="16009806" w14:textId="239DB721" w:rsidR="00676B9C" w:rsidRDefault="00676B9C" w:rsidP="00001572">
      <w:pPr>
        <w:pStyle w:val="BasicParagraph"/>
        <w:suppressAutoHyphens/>
        <w:ind w:left="709" w:hanging="709"/>
        <w:rPr>
          <w:rFonts w:ascii="Verdana" w:hAnsi="Verdana" w:cs="Arial"/>
          <w:color w:val="232120"/>
        </w:rPr>
      </w:pPr>
    </w:p>
    <w:p w14:paraId="1172DFC8" w14:textId="5F968945" w:rsidR="00676B9C" w:rsidRDefault="00676B9C" w:rsidP="00001572">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3</w:t>
      </w:r>
      <w:r w:rsidRPr="003B7D0E">
        <w:rPr>
          <w:rFonts w:ascii="Verdana" w:hAnsi="Verdana" w:cs="Arial"/>
          <w:b/>
          <w:color w:val="77328A"/>
          <w:sz w:val="30"/>
          <w:szCs w:val="30"/>
        </w:rPr>
        <w:t>.0</w:t>
      </w:r>
      <w:r w:rsidRPr="003B7D0E">
        <w:rPr>
          <w:rFonts w:ascii="Verdana" w:hAnsi="Verdana" w:cs="Arial"/>
          <w:b/>
          <w:color w:val="77328A"/>
          <w:sz w:val="30"/>
          <w:szCs w:val="30"/>
        </w:rPr>
        <w:tab/>
      </w:r>
      <w:r>
        <w:rPr>
          <w:rFonts w:ascii="Verdana" w:hAnsi="Verdana" w:cs="Arial"/>
          <w:b/>
          <w:color w:val="77328A"/>
          <w:sz w:val="30"/>
          <w:szCs w:val="30"/>
        </w:rPr>
        <w:t xml:space="preserve">Starting Point of Tariff Calculation </w:t>
      </w:r>
    </w:p>
    <w:p w14:paraId="68779868" w14:textId="2036BD7B" w:rsidR="00676B9C" w:rsidRDefault="00676B9C" w:rsidP="00001572">
      <w:pPr>
        <w:pStyle w:val="BasicParagraph"/>
        <w:suppressAutoHyphens/>
        <w:ind w:left="709" w:hanging="709"/>
        <w:rPr>
          <w:rFonts w:ascii="Verdana" w:hAnsi="Verdana" w:cs="Arial"/>
          <w:color w:val="232120"/>
        </w:rPr>
      </w:pPr>
    </w:p>
    <w:p w14:paraId="7775D8EA" w14:textId="77777777" w:rsidR="006C7311" w:rsidRPr="006C7311" w:rsidRDefault="006C7311" w:rsidP="00001572">
      <w:pPr>
        <w:pStyle w:val="ListParagraph"/>
        <w:widowControl w:val="0"/>
        <w:numPr>
          <w:ilvl w:val="0"/>
          <w:numId w:val="16"/>
        </w:numPr>
        <w:suppressAutoHyphens/>
        <w:autoSpaceDE w:val="0"/>
        <w:autoSpaceDN w:val="0"/>
        <w:adjustRightInd w:val="0"/>
        <w:spacing w:line="288" w:lineRule="auto"/>
        <w:ind w:left="709" w:hanging="709"/>
        <w:contextualSpacing w:val="0"/>
        <w:jc w:val="both"/>
        <w:textAlignment w:val="center"/>
        <w:rPr>
          <w:rFonts w:ascii="Verdana" w:hAnsi="Verdana" w:cs="Arial"/>
          <w:vanish/>
        </w:rPr>
      </w:pPr>
    </w:p>
    <w:p w14:paraId="4ADD4F1C" w14:textId="31F5335F" w:rsidR="00676B9C" w:rsidRPr="006C7311" w:rsidRDefault="00676B9C" w:rsidP="00001572">
      <w:pPr>
        <w:pStyle w:val="BasicParagraph"/>
        <w:numPr>
          <w:ilvl w:val="1"/>
          <w:numId w:val="16"/>
        </w:numPr>
        <w:suppressAutoHyphens/>
        <w:ind w:left="709" w:hanging="709"/>
        <w:jc w:val="both"/>
        <w:rPr>
          <w:rFonts w:ascii="Verdana" w:hAnsi="Verdana" w:cs="Arial"/>
          <w:color w:val="auto"/>
        </w:rPr>
      </w:pPr>
      <w:r w:rsidRPr="006C7311">
        <w:rPr>
          <w:rFonts w:ascii="Verdana" w:hAnsi="Verdana" w:cs="Arial"/>
          <w:color w:val="auto"/>
        </w:rPr>
        <w:t xml:space="preserve">The NIHRC recognises </w:t>
      </w:r>
      <w:r w:rsidR="00D21403">
        <w:rPr>
          <w:rFonts w:ascii="Verdana" w:hAnsi="Verdana" w:cs="Arial"/>
          <w:color w:val="auto"/>
        </w:rPr>
        <w:t xml:space="preserve">the complexity of </w:t>
      </w:r>
      <w:r w:rsidRPr="006C7311">
        <w:rPr>
          <w:rFonts w:ascii="Verdana" w:hAnsi="Verdana" w:cs="Arial"/>
          <w:color w:val="auto"/>
        </w:rPr>
        <w:t xml:space="preserve">sentencing </w:t>
      </w:r>
      <w:r w:rsidR="00D21403">
        <w:rPr>
          <w:rFonts w:ascii="Verdana" w:hAnsi="Verdana" w:cs="Arial"/>
          <w:color w:val="auto"/>
        </w:rPr>
        <w:t xml:space="preserve">and the </w:t>
      </w:r>
      <w:r w:rsidRPr="006C7311">
        <w:rPr>
          <w:rFonts w:ascii="Verdana" w:hAnsi="Verdana" w:cs="Arial"/>
          <w:color w:val="auto"/>
        </w:rPr>
        <w:t xml:space="preserve">multiple factors </w:t>
      </w:r>
      <w:r w:rsidR="00D21403">
        <w:rPr>
          <w:rFonts w:ascii="Verdana" w:hAnsi="Verdana" w:cs="Arial"/>
          <w:color w:val="auto"/>
        </w:rPr>
        <w:t xml:space="preserve">that must be considered by sentencing judges, including proportionality. </w:t>
      </w:r>
    </w:p>
    <w:p w14:paraId="35D78825" w14:textId="77777777" w:rsidR="00676B9C" w:rsidRPr="006C7311" w:rsidRDefault="00676B9C" w:rsidP="00001572">
      <w:pPr>
        <w:pStyle w:val="BasicParagraph"/>
        <w:suppressAutoHyphens/>
        <w:ind w:left="709" w:hanging="709"/>
        <w:jc w:val="both"/>
        <w:rPr>
          <w:rFonts w:ascii="Verdana" w:hAnsi="Verdana" w:cs="Arial"/>
          <w:color w:val="auto"/>
        </w:rPr>
      </w:pPr>
    </w:p>
    <w:p w14:paraId="2730CD66" w14:textId="60A293E4" w:rsidR="00676B9C" w:rsidRPr="006C7311" w:rsidRDefault="00676B9C" w:rsidP="00001572">
      <w:pPr>
        <w:pStyle w:val="BasicParagraph"/>
        <w:numPr>
          <w:ilvl w:val="1"/>
          <w:numId w:val="16"/>
        </w:numPr>
        <w:suppressAutoHyphens/>
        <w:ind w:left="709" w:hanging="709"/>
        <w:jc w:val="both"/>
        <w:rPr>
          <w:rFonts w:ascii="Verdana" w:hAnsi="Verdana" w:cs="Arial"/>
          <w:color w:val="auto"/>
        </w:rPr>
      </w:pPr>
      <w:r w:rsidRPr="006C7311">
        <w:rPr>
          <w:rFonts w:ascii="Verdana" w:hAnsi="Verdana" w:cs="Arial"/>
          <w:color w:val="auto"/>
        </w:rPr>
        <w:t xml:space="preserve">The independence of the judiciary is </w:t>
      </w:r>
      <w:r w:rsidR="00D21403">
        <w:rPr>
          <w:rFonts w:ascii="Verdana" w:hAnsi="Verdana" w:cs="Arial"/>
          <w:color w:val="auto"/>
        </w:rPr>
        <w:t xml:space="preserve">critically important and must be protected. This is for example </w:t>
      </w:r>
      <w:r w:rsidRPr="006C7311">
        <w:rPr>
          <w:rFonts w:ascii="Verdana" w:hAnsi="Verdana" w:cs="Arial"/>
          <w:color w:val="auto"/>
        </w:rPr>
        <w:t>stressed within the UN Basic Principles on the Independence of the Judiciary, which state:</w:t>
      </w:r>
    </w:p>
    <w:p w14:paraId="4502D07E" w14:textId="77777777" w:rsidR="00676B9C" w:rsidRPr="006C7311" w:rsidRDefault="00676B9C" w:rsidP="00001572">
      <w:pPr>
        <w:pStyle w:val="BasicParagraph"/>
        <w:suppressAutoHyphens/>
        <w:ind w:left="709" w:hanging="709"/>
        <w:jc w:val="both"/>
        <w:rPr>
          <w:rFonts w:ascii="Verdana" w:hAnsi="Verdana" w:cs="Arial"/>
          <w:color w:val="auto"/>
        </w:rPr>
      </w:pPr>
    </w:p>
    <w:p w14:paraId="16449A66" w14:textId="2A191C02" w:rsidR="00676B9C" w:rsidRPr="006C7311" w:rsidRDefault="001D556B" w:rsidP="00224065">
      <w:pPr>
        <w:pStyle w:val="BasicParagraph"/>
        <w:suppressAutoHyphens/>
        <w:ind w:left="1440" w:right="786"/>
        <w:jc w:val="both"/>
        <w:rPr>
          <w:rFonts w:ascii="Verdana" w:hAnsi="Verdana" w:cs="Arial"/>
          <w:color w:val="auto"/>
        </w:rPr>
      </w:pPr>
      <w:r>
        <w:rPr>
          <w:rFonts w:ascii="Verdana" w:hAnsi="Verdana" w:cs="Arial"/>
          <w:color w:val="auto"/>
        </w:rPr>
        <w:t>“</w:t>
      </w:r>
      <w:r w:rsidR="005076A6">
        <w:rPr>
          <w:rFonts w:ascii="Verdana" w:hAnsi="Verdana" w:cs="Arial"/>
          <w:color w:val="auto"/>
        </w:rPr>
        <w:t>1</w:t>
      </w:r>
      <w:r>
        <w:rPr>
          <w:rFonts w:ascii="Verdana" w:hAnsi="Verdana" w:cs="Arial"/>
          <w:color w:val="auto"/>
        </w:rPr>
        <w:t>.</w:t>
      </w:r>
      <w:r w:rsidR="005076A6">
        <w:rPr>
          <w:rFonts w:ascii="Verdana" w:hAnsi="Verdana" w:cs="Arial"/>
          <w:color w:val="auto"/>
        </w:rPr>
        <w:t xml:space="preserve"> </w:t>
      </w:r>
      <w:r w:rsidR="00676B9C" w:rsidRPr="006C7311">
        <w:rPr>
          <w:rFonts w:ascii="Verdana" w:hAnsi="Verdana" w:cs="Arial"/>
          <w:color w:val="auto"/>
        </w:rPr>
        <w:t xml:space="preserve">the independence of the judiciary shall be guaranteed by the State and enshrined in the Constitution or the law of the country. It is the duty of all governmental and other institutions to respect and observe the independence of the judiciary. </w:t>
      </w:r>
    </w:p>
    <w:p w14:paraId="6244B2B7" w14:textId="77777777" w:rsidR="00676B9C" w:rsidRPr="006C7311" w:rsidRDefault="00676B9C" w:rsidP="00001572">
      <w:pPr>
        <w:pStyle w:val="BasicParagraph"/>
        <w:suppressAutoHyphens/>
        <w:ind w:left="709" w:right="786" w:hanging="709"/>
        <w:jc w:val="both"/>
        <w:rPr>
          <w:rFonts w:ascii="Verdana" w:hAnsi="Verdana" w:cs="Arial"/>
          <w:color w:val="auto"/>
        </w:rPr>
      </w:pPr>
    </w:p>
    <w:p w14:paraId="140D0AB3" w14:textId="089E0C37" w:rsidR="00C67D43" w:rsidRDefault="00676B9C" w:rsidP="00224065">
      <w:pPr>
        <w:pStyle w:val="BasicParagraph"/>
        <w:suppressAutoHyphens/>
        <w:ind w:left="1440" w:right="786"/>
        <w:jc w:val="both"/>
        <w:rPr>
          <w:rFonts w:ascii="Verdana" w:hAnsi="Verdana" w:cs="Arial"/>
          <w:color w:val="auto"/>
        </w:rPr>
      </w:pPr>
      <w:r w:rsidRPr="006C7311">
        <w:rPr>
          <w:rFonts w:ascii="Verdana" w:hAnsi="Verdana" w:cs="Arial"/>
          <w:color w:val="auto"/>
        </w:rPr>
        <w:t>2</w:t>
      </w:r>
      <w:r w:rsidR="001D556B">
        <w:rPr>
          <w:rFonts w:ascii="Verdana" w:hAnsi="Verdana" w:cs="Arial"/>
          <w:color w:val="auto"/>
        </w:rPr>
        <w:t>.</w:t>
      </w:r>
      <w:r w:rsidRPr="006C7311">
        <w:rPr>
          <w:rFonts w:ascii="Verdana" w:hAnsi="Verdana" w:cs="Arial"/>
          <w:color w:val="auto"/>
        </w:rPr>
        <w:t xml:space="preserve"> the judiciary shall decide matters before them impartially, on the basis of facts and in accordance with the law, without any restrictions, improper influences, inducements, pressures, threats or interferences, direct or indirect, from any quarter or for any reason.</w:t>
      </w:r>
      <w:r w:rsidR="001D556B">
        <w:rPr>
          <w:rFonts w:ascii="Verdana" w:hAnsi="Verdana" w:cs="Arial"/>
          <w:color w:val="auto"/>
        </w:rPr>
        <w:t>”</w:t>
      </w:r>
      <w:r w:rsidR="005076A6" w:rsidRPr="005076A6">
        <w:rPr>
          <w:rFonts w:ascii="Verdana" w:hAnsi="Verdana" w:cs="Arial"/>
          <w:color w:val="auto"/>
          <w:vertAlign w:val="superscript"/>
        </w:rPr>
        <w:footnoteReference w:id="20"/>
      </w:r>
    </w:p>
    <w:p w14:paraId="05A093AB" w14:textId="405EB9C3" w:rsidR="006A604E" w:rsidRPr="006A604E" w:rsidRDefault="006A604E" w:rsidP="00001572">
      <w:pPr>
        <w:pStyle w:val="BasicParagraph"/>
        <w:suppressAutoHyphens/>
        <w:ind w:left="709" w:hanging="709"/>
        <w:jc w:val="both"/>
        <w:rPr>
          <w:rFonts w:ascii="Verdana" w:hAnsi="Verdana" w:cs="Arial"/>
          <w:color w:val="auto"/>
        </w:rPr>
      </w:pPr>
    </w:p>
    <w:p w14:paraId="7AC7B14A" w14:textId="00E4360F" w:rsidR="00CB133A" w:rsidRPr="00CB133A" w:rsidRDefault="00CB133A" w:rsidP="00001572">
      <w:pPr>
        <w:pStyle w:val="BasicParagraph"/>
        <w:numPr>
          <w:ilvl w:val="1"/>
          <w:numId w:val="16"/>
        </w:numPr>
        <w:suppressAutoHyphens/>
        <w:ind w:left="709" w:hanging="709"/>
        <w:jc w:val="both"/>
        <w:rPr>
          <w:rFonts w:ascii="Verdana" w:hAnsi="Verdana" w:cs="Arial"/>
          <w:b/>
          <w:color w:val="auto"/>
        </w:rPr>
      </w:pPr>
      <w:r w:rsidRPr="00CB133A">
        <w:rPr>
          <w:rFonts w:ascii="Verdana" w:hAnsi="Verdana" w:cs="Arial"/>
          <w:b/>
          <w:color w:val="auto"/>
        </w:rPr>
        <w:t xml:space="preserve">The </w:t>
      </w:r>
      <w:r w:rsidR="00C31FD1">
        <w:rPr>
          <w:rFonts w:ascii="Verdana" w:hAnsi="Verdana" w:cs="Arial"/>
          <w:b/>
          <w:color w:val="auto"/>
        </w:rPr>
        <w:t>Commission</w:t>
      </w:r>
      <w:r w:rsidRPr="00CB133A">
        <w:rPr>
          <w:rFonts w:ascii="Verdana" w:hAnsi="Verdana" w:cs="Arial"/>
          <w:b/>
          <w:color w:val="auto"/>
        </w:rPr>
        <w:t xml:space="preserve"> recommends that judicial independence </w:t>
      </w:r>
      <w:r w:rsidR="00D21403">
        <w:rPr>
          <w:rFonts w:ascii="Verdana" w:hAnsi="Verdana" w:cs="Arial"/>
          <w:b/>
          <w:color w:val="auto"/>
        </w:rPr>
        <w:t xml:space="preserve">be the primary consideration so </w:t>
      </w:r>
      <w:r w:rsidR="006A604E" w:rsidRPr="006A604E">
        <w:rPr>
          <w:rFonts w:ascii="Verdana" w:hAnsi="Verdana" w:cs="Arial"/>
          <w:b/>
          <w:color w:val="auto"/>
        </w:rPr>
        <w:t xml:space="preserve">any statutory duty should be </w:t>
      </w:r>
      <w:r w:rsidR="00D21403">
        <w:rPr>
          <w:rFonts w:ascii="Verdana" w:hAnsi="Verdana" w:cs="Arial"/>
          <w:b/>
          <w:color w:val="auto"/>
        </w:rPr>
        <w:t xml:space="preserve">no more than </w:t>
      </w:r>
      <w:r w:rsidR="006A604E" w:rsidRPr="006A604E">
        <w:rPr>
          <w:rFonts w:ascii="Verdana" w:hAnsi="Verdana" w:cs="Arial"/>
          <w:b/>
          <w:color w:val="auto"/>
        </w:rPr>
        <w:t>to have regard to sentencing guidelines</w:t>
      </w:r>
      <w:r w:rsidR="00D21403">
        <w:rPr>
          <w:rFonts w:ascii="Verdana" w:hAnsi="Verdana" w:cs="Arial"/>
          <w:b/>
          <w:color w:val="auto"/>
        </w:rPr>
        <w:t>.</w:t>
      </w:r>
    </w:p>
    <w:p w14:paraId="3F6A764B" w14:textId="429F521D" w:rsidR="00762666" w:rsidRPr="00E7678A" w:rsidRDefault="00762666" w:rsidP="00001572">
      <w:pPr>
        <w:pStyle w:val="BasicParagraph"/>
        <w:suppressAutoHyphens/>
        <w:ind w:left="709" w:hanging="709"/>
        <w:jc w:val="both"/>
        <w:rPr>
          <w:rFonts w:ascii="Verdana" w:hAnsi="Verdana" w:cs="Arial"/>
          <w:color w:val="auto"/>
          <w:u w:val="single"/>
        </w:rPr>
      </w:pPr>
    </w:p>
    <w:p w14:paraId="74BC817D" w14:textId="214D93FC" w:rsidR="00114C0D" w:rsidRDefault="00D21403"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The right to</w:t>
      </w:r>
      <w:r w:rsidR="00527D1A">
        <w:rPr>
          <w:rFonts w:ascii="Verdana" w:hAnsi="Verdana" w:cs="Arial"/>
          <w:color w:val="auto"/>
        </w:rPr>
        <w:t xml:space="preserve"> a fair trial – which includes </w:t>
      </w:r>
      <w:r>
        <w:rPr>
          <w:rFonts w:ascii="Verdana" w:hAnsi="Verdana" w:cs="Arial"/>
          <w:color w:val="auto"/>
        </w:rPr>
        <w:t xml:space="preserve">the presumption of innocence </w:t>
      </w:r>
      <w:r w:rsidR="00527D1A">
        <w:rPr>
          <w:rFonts w:ascii="Verdana" w:hAnsi="Verdana" w:cs="Arial"/>
          <w:color w:val="auto"/>
        </w:rPr>
        <w:t xml:space="preserve">- </w:t>
      </w:r>
      <w:r>
        <w:rPr>
          <w:rFonts w:ascii="Verdana" w:hAnsi="Verdana" w:cs="Arial"/>
          <w:color w:val="auto"/>
        </w:rPr>
        <w:t xml:space="preserve">is a </w:t>
      </w:r>
      <w:r>
        <w:rPr>
          <w:rFonts w:ascii="Verdana" w:hAnsi="Verdana" w:cs="Arial"/>
          <w:color w:val="auto"/>
        </w:rPr>
        <w:lastRenderedPageBreak/>
        <w:t>basic but fundamental right</w:t>
      </w:r>
      <w:r w:rsidR="00527D1A">
        <w:rPr>
          <w:rFonts w:ascii="Verdana" w:hAnsi="Verdana" w:cs="Arial"/>
          <w:color w:val="auto"/>
        </w:rPr>
        <w:t>, protected by Article 6(2) ECHR.</w:t>
      </w:r>
      <w:r>
        <w:rPr>
          <w:rFonts w:ascii="Verdana" w:hAnsi="Verdana" w:cs="Arial"/>
          <w:color w:val="auto"/>
        </w:rPr>
        <w:t xml:space="preserve"> </w:t>
      </w:r>
      <w:r w:rsidR="00527D1A">
        <w:rPr>
          <w:rFonts w:ascii="Verdana" w:hAnsi="Verdana" w:cs="Arial"/>
          <w:color w:val="auto"/>
        </w:rPr>
        <w:t>It extends to sentencing procedures.</w:t>
      </w:r>
      <w:r w:rsidR="00527D1A" w:rsidRPr="00527D1A">
        <w:rPr>
          <w:rStyle w:val="FootnoteReference"/>
          <w:rFonts w:ascii="Verdana" w:hAnsi="Verdana" w:cs="Arial"/>
          <w:color w:val="auto"/>
        </w:rPr>
        <w:t xml:space="preserve"> </w:t>
      </w:r>
      <w:r w:rsidR="00527D1A">
        <w:rPr>
          <w:rStyle w:val="FootnoteReference"/>
          <w:rFonts w:ascii="Verdana" w:hAnsi="Verdana" w:cs="Arial"/>
          <w:color w:val="auto"/>
        </w:rPr>
        <w:footnoteReference w:id="21"/>
      </w:r>
      <w:r w:rsidR="00527D1A">
        <w:rPr>
          <w:rFonts w:ascii="Verdana" w:hAnsi="Verdana" w:cs="Arial"/>
          <w:color w:val="auto"/>
        </w:rPr>
        <w:t xml:space="preserve"> </w:t>
      </w:r>
      <w:r w:rsidR="00E0267E" w:rsidRPr="00E0267E">
        <w:rPr>
          <w:rFonts w:ascii="Verdana" w:hAnsi="Verdana" w:cs="Arial"/>
          <w:color w:val="auto"/>
        </w:rPr>
        <w:t xml:space="preserve">A person’s right to be presumed innocent </w:t>
      </w:r>
      <w:r w:rsidR="00527D1A">
        <w:rPr>
          <w:rFonts w:ascii="Verdana" w:hAnsi="Verdana" w:cs="Arial"/>
          <w:color w:val="auto"/>
        </w:rPr>
        <w:t xml:space="preserve">means </w:t>
      </w:r>
      <w:r w:rsidR="00E0267E" w:rsidRPr="00E0267E">
        <w:rPr>
          <w:rFonts w:ascii="Verdana" w:hAnsi="Verdana" w:cs="Arial"/>
          <w:color w:val="auto"/>
        </w:rPr>
        <w:t xml:space="preserve">the </w:t>
      </w:r>
      <w:r w:rsidR="00527D1A">
        <w:rPr>
          <w:rFonts w:ascii="Verdana" w:hAnsi="Verdana" w:cs="Arial"/>
          <w:color w:val="auto"/>
        </w:rPr>
        <w:t xml:space="preserve">burden remains on the </w:t>
      </w:r>
      <w:r w:rsidR="00E0267E" w:rsidRPr="00E0267E">
        <w:rPr>
          <w:rFonts w:ascii="Verdana" w:hAnsi="Verdana" w:cs="Arial"/>
          <w:color w:val="auto"/>
        </w:rPr>
        <w:t>prosecution to prov</w:t>
      </w:r>
      <w:r w:rsidR="00527D1A">
        <w:rPr>
          <w:rFonts w:ascii="Verdana" w:hAnsi="Verdana" w:cs="Arial"/>
          <w:color w:val="auto"/>
        </w:rPr>
        <w:t>e all elements of criminal</w:t>
      </w:r>
      <w:r w:rsidR="00E0267E" w:rsidRPr="00E0267E">
        <w:rPr>
          <w:rFonts w:ascii="Verdana" w:hAnsi="Verdana" w:cs="Arial"/>
          <w:color w:val="auto"/>
        </w:rPr>
        <w:t xml:space="preserve"> allegations</w:t>
      </w:r>
      <w:r w:rsidR="00527D1A">
        <w:rPr>
          <w:rFonts w:ascii="Verdana" w:hAnsi="Verdana" w:cs="Arial"/>
          <w:color w:val="auto"/>
        </w:rPr>
        <w:t>.</w:t>
      </w:r>
      <w:r w:rsidR="00114C0D" w:rsidRPr="00114C0D">
        <w:rPr>
          <w:rFonts w:ascii="Verdana" w:hAnsi="Verdana" w:cs="Arial"/>
          <w:color w:val="auto"/>
        </w:rPr>
        <w:t xml:space="preserve"> </w:t>
      </w:r>
      <w:r w:rsidR="00114C0D" w:rsidRPr="0090043B">
        <w:rPr>
          <w:rFonts w:ascii="Verdana" w:hAnsi="Verdana" w:cs="Arial"/>
          <w:color w:val="auto"/>
        </w:rPr>
        <w:t xml:space="preserve">The </w:t>
      </w:r>
      <w:r w:rsidR="00114C0D">
        <w:rPr>
          <w:rFonts w:ascii="Verdana" w:hAnsi="Verdana" w:cs="Arial"/>
          <w:color w:val="auto"/>
        </w:rPr>
        <w:t>ECtHR has found that the right to be presumed innocent</w:t>
      </w:r>
      <w:r w:rsidR="00114C0D" w:rsidRPr="0090043B">
        <w:rPr>
          <w:rFonts w:ascii="Verdana" w:hAnsi="Verdana" w:cs="Arial"/>
          <w:color w:val="auto"/>
        </w:rPr>
        <w:t xml:space="preserve"> is closely linked to the right not to incriminate oneself</w:t>
      </w:r>
      <w:r w:rsidR="00114C0D">
        <w:rPr>
          <w:rFonts w:ascii="Verdana" w:hAnsi="Verdana" w:cs="Arial"/>
          <w:color w:val="auto"/>
        </w:rPr>
        <w:t>.</w:t>
      </w:r>
      <w:r w:rsidR="00114C0D">
        <w:rPr>
          <w:rStyle w:val="FootnoteReference"/>
          <w:rFonts w:ascii="Verdana" w:hAnsi="Verdana" w:cs="Arial"/>
          <w:color w:val="auto"/>
        </w:rPr>
        <w:footnoteReference w:id="22"/>
      </w:r>
      <w:r w:rsidR="00114C0D" w:rsidRPr="0090043B">
        <w:rPr>
          <w:rFonts w:ascii="Verdana" w:hAnsi="Verdana" w:cs="Arial"/>
          <w:color w:val="auto"/>
        </w:rPr>
        <w:t xml:space="preserve"> </w:t>
      </w:r>
      <w:r w:rsidR="00114C0D">
        <w:rPr>
          <w:rFonts w:ascii="Verdana" w:hAnsi="Verdana" w:cs="Arial"/>
          <w:color w:val="auto"/>
        </w:rPr>
        <w:t>While it is not specifically</w:t>
      </w:r>
      <w:r w:rsidR="00114C0D" w:rsidRPr="0090043B">
        <w:rPr>
          <w:rFonts w:ascii="Verdana" w:hAnsi="Verdana" w:cs="Arial"/>
          <w:color w:val="auto"/>
        </w:rPr>
        <w:t xml:space="preserve"> </w:t>
      </w:r>
      <w:r w:rsidR="00114C0D">
        <w:rPr>
          <w:rFonts w:ascii="Verdana" w:hAnsi="Verdana" w:cs="Arial"/>
          <w:color w:val="auto"/>
        </w:rPr>
        <w:t>defined in</w:t>
      </w:r>
      <w:r w:rsidR="00114C0D" w:rsidRPr="0090043B">
        <w:rPr>
          <w:rFonts w:ascii="Verdana" w:hAnsi="Verdana" w:cs="Arial"/>
          <w:color w:val="auto"/>
        </w:rPr>
        <w:t xml:space="preserve"> Article 6, the right to not incriminate oneself is generally recognised as an international standard which </w:t>
      </w:r>
      <w:r w:rsidR="00114C0D">
        <w:rPr>
          <w:rFonts w:ascii="Verdana" w:hAnsi="Verdana" w:cs="Arial"/>
          <w:color w:val="auto"/>
        </w:rPr>
        <w:t>is central to the notion of a</w:t>
      </w:r>
      <w:r w:rsidR="00114C0D" w:rsidRPr="0090043B">
        <w:rPr>
          <w:rFonts w:ascii="Verdana" w:hAnsi="Verdana" w:cs="Arial"/>
          <w:color w:val="auto"/>
        </w:rPr>
        <w:t xml:space="preserve"> fair </w:t>
      </w:r>
      <w:r w:rsidR="00114C0D">
        <w:rPr>
          <w:rFonts w:ascii="Verdana" w:hAnsi="Verdana" w:cs="Arial"/>
          <w:color w:val="auto"/>
        </w:rPr>
        <w:t>trial</w:t>
      </w:r>
      <w:r w:rsidR="00114C0D" w:rsidRPr="0090043B">
        <w:rPr>
          <w:rFonts w:ascii="Verdana" w:hAnsi="Verdana" w:cs="Arial"/>
          <w:color w:val="auto"/>
        </w:rPr>
        <w:t xml:space="preserve"> under Article 6</w:t>
      </w:r>
      <w:r w:rsidR="00114C0D">
        <w:rPr>
          <w:rFonts w:ascii="Verdana" w:hAnsi="Verdana" w:cs="Arial"/>
          <w:color w:val="auto"/>
        </w:rPr>
        <w:t>.</w:t>
      </w:r>
    </w:p>
    <w:p w14:paraId="7EC07D7C" w14:textId="77777777" w:rsidR="00114C0D" w:rsidRDefault="00114C0D" w:rsidP="00910210">
      <w:pPr>
        <w:pStyle w:val="ListParagraph"/>
        <w:rPr>
          <w:rFonts w:ascii="Verdana" w:hAnsi="Verdana" w:cs="Arial"/>
        </w:rPr>
      </w:pPr>
    </w:p>
    <w:p w14:paraId="368FE477" w14:textId="1237594F" w:rsidR="00114C0D" w:rsidRPr="00114C0D" w:rsidRDefault="00E0267E" w:rsidP="00910210">
      <w:pPr>
        <w:pStyle w:val="BasicParagraph"/>
        <w:numPr>
          <w:ilvl w:val="1"/>
          <w:numId w:val="16"/>
        </w:numPr>
        <w:suppressAutoHyphens/>
        <w:ind w:left="709" w:hanging="709"/>
        <w:jc w:val="both"/>
        <w:rPr>
          <w:rFonts w:ascii="Verdana" w:hAnsi="Verdana" w:cs="Arial"/>
          <w:color w:val="auto"/>
        </w:rPr>
      </w:pPr>
      <w:r w:rsidRPr="00114C0D">
        <w:rPr>
          <w:rFonts w:ascii="Verdana" w:hAnsi="Verdana" w:cs="Arial"/>
          <w:color w:val="auto"/>
        </w:rPr>
        <w:t>The</w:t>
      </w:r>
      <w:r w:rsidR="003716C6" w:rsidRPr="00114C0D">
        <w:rPr>
          <w:rFonts w:ascii="Verdana" w:hAnsi="Verdana" w:cs="Arial"/>
          <w:color w:val="auto"/>
        </w:rPr>
        <w:t xml:space="preserve"> ECtHR has found </w:t>
      </w:r>
      <w:r w:rsidR="00527D1A" w:rsidRPr="00114C0D">
        <w:rPr>
          <w:rFonts w:ascii="Verdana" w:hAnsi="Verdana" w:cs="Arial"/>
          <w:color w:val="auto"/>
        </w:rPr>
        <w:t xml:space="preserve">a breach </w:t>
      </w:r>
      <w:r w:rsidR="003716C6" w:rsidRPr="00114C0D">
        <w:rPr>
          <w:rFonts w:ascii="Verdana" w:hAnsi="Verdana" w:cs="Arial"/>
          <w:color w:val="auto"/>
        </w:rPr>
        <w:t>when</w:t>
      </w:r>
      <w:r w:rsidRPr="00114C0D">
        <w:rPr>
          <w:rFonts w:ascii="Verdana" w:hAnsi="Verdana" w:cs="Arial"/>
          <w:color w:val="auto"/>
        </w:rPr>
        <w:t xml:space="preserve"> the burden of proof is shifted from the prosecution to the defence</w:t>
      </w:r>
      <w:r w:rsidR="00460115" w:rsidRPr="00114C0D">
        <w:rPr>
          <w:rFonts w:ascii="Verdana" w:hAnsi="Verdana" w:cs="Arial"/>
          <w:color w:val="auto"/>
        </w:rPr>
        <w:t>.</w:t>
      </w:r>
      <w:r w:rsidR="00460115">
        <w:rPr>
          <w:rStyle w:val="FootnoteReference"/>
          <w:rFonts w:ascii="Verdana" w:hAnsi="Verdana" w:cs="Arial"/>
          <w:color w:val="auto"/>
        </w:rPr>
        <w:footnoteReference w:id="23"/>
      </w:r>
      <w:r w:rsidRPr="00114C0D">
        <w:rPr>
          <w:rFonts w:ascii="Verdana" w:hAnsi="Verdana" w:cs="Arial"/>
          <w:color w:val="auto"/>
        </w:rPr>
        <w:t xml:space="preserve"> However,</w:t>
      </w:r>
      <w:r w:rsidR="003716C6" w:rsidRPr="00114C0D">
        <w:rPr>
          <w:rFonts w:ascii="Verdana" w:hAnsi="Verdana" w:cs="Arial"/>
          <w:color w:val="auto"/>
        </w:rPr>
        <w:t xml:space="preserve"> the ECtHR has </w:t>
      </w:r>
      <w:r w:rsidR="00527D1A" w:rsidRPr="00114C0D">
        <w:rPr>
          <w:rFonts w:ascii="Verdana" w:hAnsi="Verdana" w:cs="Arial"/>
          <w:color w:val="auto"/>
        </w:rPr>
        <w:t xml:space="preserve">also </w:t>
      </w:r>
      <w:r w:rsidR="003716C6" w:rsidRPr="00114C0D">
        <w:rPr>
          <w:rFonts w:ascii="Verdana" w:hAnsi="Verdana" w:cs="Arial"/>
          <w:color w:val="auto"/>
        </w:rPr>
        <w:t>held that</w:t>
      </w:r>
      <w:r w:rsidRPr="00114C0D">
        <w:rPr>
          <w:rFonts w:ascii="Verdana" w:hAnsi="Verdana" w:cs="Arial"/>
          <w:color w:val="auto"/>
        </w:rPr>
        <w:t xml:space="preserve"> the defence may be </w:t>
      </w:r>
      <w:r w:rsidR="003716C6" w:rsidRPr="00114C0D">
        <w:rPr>
          <w:rFonts w:ascii="Verdana" w:hAnsi="Verdana" w:cs="Arial"/>
          <w:color w:val="auto"/>
        </w:rPr>
        <w:t>expected to provide a response</w:t>
      </w:r>
      <w:r w:rsidRPr="00114C0D">
        <w:rPr>
          <w:rFonts w:ascii="Verdana" w:hAnsi="Verdana" w:cs="Arial"/>
          <w:color w:val="auto"/>
        </w:rPr>
        <w:t xml:space="preserve"> after the prosecution has made a prima facie case against an accused.</w:t>
      </w:r>
      <w:r w:rsidR="00460115">
        <w:rPr>
          <w:rStyle w:val="FootnoteReference"/>
          <w:rFonts w:ascii="Verdana" w:hAnsi="Verdana" w:cs="Arial"/>
          <w:color w:val="auto"/>
        </w:rPr>
        <w:footnoteReference w:id="24"/>
      </w:r>
      <w:r w:rsidRPr="00114C0D">
        <w:rPr>
          <w:rFonts w:ascii="Verdana" w:hAnsi="Verdana" w:cs="Arial"/>
          <w:color w:val="auto"/>
        </w:rPr>
        <w:t xml:space="preserve"> </w:t>
      </w:r>
      <w:r w:rsidR="00527D1A" w:rsidRPr="00114C0D">
        <w:rPr>
          <w:rFonts w:ascii="Verdana" w:hAnsi="Verdana" w:cs="Arial"/>
          <w:color w:val="auto"/>
        </w:rPr>
        <w:t xml:space="preserve">That means </w:t>
      </w:r>
      <w:r w:rsidR="00114C0D" w:rsidRPr="00114C0D">
        <w:rPr>
          <w:rFonts w:ascii="Verdana" w:hAnsi="Verdana" w:cs="Arial"/>
          <w:color w:val="auto"/>
        </w:rPr>
        <w:t xml:space="preserve">for example that </w:t>
      </w:r>
      <w:r w:rsidR="00947D2D" w:rsidRPr="00114C0D">
        <w:rPr>
          <w:rFonts w:ascii="Verdana" w:hAnsi="Verdana" w:cs="Arial"/>
          <w:color w:val="auto"/>
        </w:rPr>
        <w:t>negative</w:t>
      </w:r>
      <w:r w:rsidRPr="00114C0D">
        <w:rPr>
          <w:rFonts w:ascii="Verdana" w:hAnsi="Verdana" w:cs="Arial"/>
          <w:color w:val="auto"/>
        </w:rPr>
        <w:t xml:space="preserve"> inferences </w:t>
      </w:r>
      <w:r w:rsidR="00114C0D" w:rsidRPr="00114C0D">
        <w:rPr>
          <w:rFonts w:ascii="Verdana" w:hAnsi="Verdana" w:cs="Arial"/>
          <w:color w:val="auto"/>
        </w:rPr>
        <w:t xml:space="preserve">may be drawn from </w:t>
      </w:r>
      <w:r w:rsidRPr="00114C0D">
        <w:rPr>
          <w:rFonts w:ascii="Verdana" w:hAnsi="Verdana" w:cs="Arial"/>
          <w:color w:val="auto"/>
        </w:rPr>
        <w:t>a statement</w:t>
      </w:r>
      <w:r w:rsidR="00EF63E3" w:rsidRPr="00114C0D">
        <w:rPr>
          <w:rFonts w:ascii="Verdana" w:hAnsi="Verdana" w:cs="Arial"/>
          <w:color w:val="auto"/>
        </w:rPr>
        <w:t xml:space="preserve"> made</w:t>
      </w:r>
      <w:r w:rsidRPr="00114C0D">
        <w:rPr>
          <w:rFonts w:ascii="Verdana" w:hAnsi="Verdana" w:cs="Arial"/>
          <w:color w:val="auto"/>
        </w:rPr>
        <w:t xml:space="preserve"> by an accused</w:t>
      </w:r>
      <w:r w:rsidR="00114C0D">
        <w:rPr>
          <w:rFonts w:ascii="Verdana" w:hAnsi="Verdana" w:cs="Arial"/>
          <w:color w:val="auto"/>
        </w:rPr>
        <w:t>,</w:t>
      </w:r>
      <w:r w:rsidRPr="00114C0D">
        <w:rPr>
          <w:rFonts w:ascii="Verdana" w:hAnsi="Verdana" w:cs="Arial"/>
          <w:color w:val="auto"/>
        </w:rPr>
        <w:t xml:space="preserve"> which is </w:t>
      </w:r>
      <w:r w:rsidR="00114C0D">
        <w:rPr>
          <w:rFonts w:ascii="Verdana" w:hAnsi="Verdana" w:cs="Arial"/>
          <w:color w:val="auto"/>
        </w:rPr>
        <w:t xml:space="preserve">later </w:t>
      </w:r>
      <w:r w:rsidRPr="00114C0D">
        <w:rPr>
          <w:rFonts w:ascii="Verdana" w:hAnsi="Verdana" w:cs="Arial"/>
          <w:color w:val="auto"/>
        </w:rPr>
        <w:t>found to be untrue</w:t>
      </w:r>
      <w:r w:rsidR="00114C0D" w:rsidRPr="00114C0D">
        <w:rPr>
          <w:rFonts w:ascii="Verdana" w:hAnsi="Verdana" w:cs="Arial"/>
          <w:color w:val="auto"/>
        </w:rPr>
        <w:t>.</w:t>
      </w:r>
      <w:r w:rsidR="00460115">
        <w:rPr>
          <w:rStyle w:val="FootnoteReference"/>
          <w:rFonts w:ascii="Verdana" w:hAnsi="Verdana" w:cs="Arial"/>
          <w:color w:val="auto"/>
        </w:rPr>
        <w:footnoteReference w:id="25"/>
      </w:r>
      <w:r w:rsidR="00460115" w:rsidRPr="00114C0D">
        <w:rPr>
          <w:rFonts w:ascii="Verdana" w:hAnsi="Verdana" w:cs="Arial"/>
          <w:color w:val="auto"/>
        </w:rPr>
        <w:t xml:space="preserve"> </w:t>
      </w:r>
      <w:r w:rsidR="00114C0D" w:rsidRPr="00114C0D">
        <w:rPr>
          <w:rFonts w:ascii="Verdana" w:hAnsi="Verdana" w:cs="Arial"/>
          <w:color w:val="auto"/>
        </w:rPr>
        <w:t xml:space="preserve">The Commission notes that non-disclosure can </w:t>
      </w:r>
      <w:r w:rsidR="00277E2A">
        <w:rPr>
          <w:rFonts w:ascii="Verdana" w:hAnsi="Verdana" w:cs="Arial"/>
          <w:color w:val="auto"/>
        </w:rPr>
        <w:t>already</w:t>
      </w:r>
      <w:r w:rsidR="00114C0D" w:rsidRPr="00114C0D">
        <w:rPr>
          <w:rFonts w:ascii="Verdana" w:hAnsi="Verdana" w:cs="Arial"/>
          <w:color w:val="auto"/>
        </w:rPr>
        <w:t xml:space="preserve"> be considered </w:t>
      </w:r>
      <w:r w:rsidR="00277E2A">
        <w:rPr>
          <w:rFonts w:ascii="Verdana" w:hAnsi="Verdana" w:cs="Arial"/>
          <w:color w:val="auto"/>
        </w:rPr>
        <w:t xml:space="preserve">in sentencing </w:t>
      </w:r>
      <w:r w:rsidR="00114C0D" w:rsidRPr="00114C0D">
        <w:rPr>
          <w:rFonts w:ascii="Verdana" w:hAnsi="Verdana" w:cs="Arial"/>
          <w:color w:val="auto"/>
        </w:rPr>
        <w:t xml:space="preserve">as an aggravating factor, allowing for judicial discretion. </w:t>
      </w:r>
      <w:r w:rsidR="00277E2A">
        <w:rPr>
          <w:rFonts w:ascii="Verdana" w:hAnsi="Verdana" w:cs="Arial"/>
          <w:color w:val="auto"/>
        </w:rPr>
        <w:t xml:space="preserve">Further attention could be given to use of non-disclosure as an aggravating factor. </w:t>
      </w:r>
    </w:p>
    <w:p w14:paraId="2F902634" w14:textId="77777777" w:rsidR="00114C0D" w:rsidRDefault="00114C0D" w:rsidP="00910210">
      <w:pPr>
        <w:pStyle w:val="BasicParagraph"/>
        <w:suppressAutoHyphens/>
        <w:ind w:left="709"/>
        <w:jc w:val="both"/>
        <w:rPr>
          <w:rFonts w:ascii="Verdana" w:hAnsi="Verdana" w:cs="Arial"/>
          <w:color w:val="auto"/>
        </w:rPr>
      </w:pPr>
    </w:p>
    <w:p w14:paraId="565C1DBB" w14:textId="6C1797DF" w:rsidR="002C5D08" w:rsidRPr="00277E2A" w:rsidRDefault="00114C0D" w:rsidP="00910210">
      <w:pPr>
        <w:pStyle w:val="BasicParagraph"/>
        <w:numPr>
          <w:ilvl w:val="1"/>
          <w:numId w:val="16"/>
        </w:numPr>
        <w:suppressAutoHyphens/>
        <w:ind w:left="709" w:hanging="709"/>
        <w:jc w:val="both"/>
        <w:rPr>
          <w:rFonts w:ascii="Verdana" w:hAnsi="Verdana" w:cs="Arial"/>
        </w:rPr>
      </w:pPr>
      <w:r w:rsidRPr="00277E2A">
        <w:rPr>
          <w:rFonts w:ascii="Verdana" w:hAnsi="Verdana" w:cs="Arial"/>
          <w:color w:val="auto"/>
        </w:rPr>
        <w:t xml:space="preserve">In light of the above, the Commission considers that the automatic (and without exception) placement of ‘no-body murders’ into the very serious category will engage issues under Article 6 ECHR. </w:t>
      </w:r>
      <w:r w:rsidR="00277E2A" w:rsidRPr="00277E2A">
        <w:rPr>
          <w:rFonts w:ascii="Verdana" w:hAnsi="Verdana" w:cs="Arial"/>
          <w:color w:val="auto"/>
        </w:rPr>
        <w:t xml:space="preserve">That being the case, further consideration is required </w:t>
      </w:r>
      <w:r w:rsidR="00277E2A">
        <w:rPr>
          <w:rFonts w:ascii="Verdana" w:hAnsi="Verdana" w:cs="Arial"/>
          <w:color w:val="auto"/>
        </w:rPr>
        <w:t xml:space="preserve">to permit judges to take all relevant circumstances into account. Further is required </w:t>
      </w:r>
      <w:r w:rsidRPr="00277E2A">
        <w:rPr>
          <w:rFonts w:ascii="Verdana" w:hAnsi="Verdana" w:cs="Arial"/>
        </w:rPr>
        <w:t xml:space="preserve">on how </w:t>
      </w:r>
      <w:r w:rsidR="00B95091" w:rsidRPr="00277E2A">
        <w:rPr>
          <w:rFonts w:ascii="Verdana" w:hAnsi="Verdana" w:cs="Arial"/>
        </w:rPr>
        <w:t xml:space="preserve">guilt “beyond reasonable doubt” </w:t>
      </w:r>
      <w:r w:rsidRPr="00277E2A">
        <w:rPr>
          <w:rFonts w:ascii="Verdana" w:hAnsi="Verdana" w:cs="Arial"/>
        </w:rPr>
        <w:t xml:space="preserve">will </w:t>
      </w:r>
      <w:r w:rsidR="00B95091" w:rsidRPr="00277E2A">
        <w:rPr>
          <w:rFonts w:ascii="Verdana" w:hAnsi="Verdana" w:cs="Arial"/>
        </w:rPr>
        <w:t xml:space="preserve">be </w:t>
      </w:r>
      <w:r w:rsidR="00277E2A" w:rsidRPr="00277E2A">
        <w:rPr>
          <w:rFonts w:ascii="Verdana" w:hAnsi="Verdana" w:cs="Arial"/>
        </w:rPr>
        <w:t xml:space="preserve">satisfied </w:t>
      </w:r>
      <w:r w:rsidRPr="00277E2A">
        <w:rPr>
          <w:rFonts w:ascii="Verdana" w:hAnsi="Verdana" w:cs="Arial"/>
        </w:rPr>
        <w:t xml:space="preserve">when </w:t>
      </w:r>
      <w:r w:rsidR="00B95091" w:rsidRPr="00277E2A">
        <w:rPr>
          <w:rFonts w:ascii="Verdana" w:hAnsi="Verdana" w:cs="Arial"/>
        </w:rPr>
        <w:t xml:space="preserve">determining the reason for a failure to disclose the whereabouts of a body. </w:t>
      </w:r>
    </w:p>
    <w:p w14:paraId="0720601B" w14:textId="77777777" w:rsidR="00520288" w:rsidRPr="00520288" w:rsidRDefault="00520288" w:rsidP="00520288">
      <w:pPr>
        <w:pStyle w:val="ListParagraph"/>
        <w:rPr>
          <w:rFonts w:ascii="Verdana" w:hAnsi="Verdana" w:cs="Arial"/>
          <w:b/>
        </w:rPr>
      </w:pPr>
    </w:p>
    <w:p w14:paraId="36C8C55A" w14:textId="4D3E9A94" w:rsidR="0073447E" w:rsidRPr="00520288" w:rsidRDefault="00520288" w:rsidP="00520288">
      <w:pPr>
        <w:pStyle w:val="BasicParagraph"/>
        <w:numPr>
          <w:ilvl w:val="1"/>
          <w:numId w:val="16"/>
        </w:numPr>
        <w:suppressAutoHyphens/>
        <w:ind w:left="709" w:hanging="709"/>
        <w:jc w:val="both"/>
        <w:rPr>
          <w:rFonts w:ascii="Verdana" w:hAnsi="Verdana" w:cs="Arial"/>
          <w:b/>
          <w:color w:val="auto"/>
        </w:rPr>
      </w:pPr>
      <w:r w:rsidRPr="00520288">
        <w:rPr>
          <w:rFonts w:ascii="Verdana" w:hAnsi="Verdana" w:cs="Arial"/>
          <w:b/>
        </w:rPr>
        <w:t xml:space="preserve">The Commission recommends that the Department retains </w:t>
      </w:r>
      <w:r w:rsidR="00277E2A">
        <w:rPr>
          <w:rFonts w:ascii="Verdana" w:hAnsi="Verdana" w:cs="Arial"/>
          <w:b/>
        </w:rPr>
        <w:t xml:space="preserve">and highlights </w:t>
      </w:r>
      <w:r w:rsidRPr="00520288">
        <w:rPr>
          <w:rFonts w:ascii="Verdana" w:hAnsi="Verdana" w:cs="Arial"/>
          <w:b/>
        </w:rPr>
        <w:t>non-disclosure as an aggravating factor in tariff setting</w:t>
      </w:r>
      <w:r w:rsidR="00920189">
        <w:rPr>
          <w:rFonts w:ascii="Verdana" w:hAnsi="Verdana" w:cs="Arial"/>
          <w:b/>
        </w:rPr>
        <w:t xml:space="preserve"> </w:t>
      </w:r>
      <w:r w:rsidR="00277E2A">
        <w:rPr>
          <w:rFonts w:ascii="Verdana" w:hAnsi="Verdana" w:cs="Arial"/>
          <w:b/>
        </w:rPr>
        <w:t xml:space="preserve">instead of placing it </w:t>
      </w:r>
      <w:r w:rsidR="00920189">
        <w:rPr>
          <w:rFonts w:ascii="Verdana" w:hAnsi="Verdana" w:cs="Arial"/>
          <w:b/>
        </w:rPr>
        <w:t>automatically into the very serious category</w:t>
      </w:r>
      <w:r w:rsidRPr="00520288">
        <w:rPr>
          <w:rFonts w:ascii="Verdana" w:hAnsi="Verdana" w:cs="Arial"/>
          <w:b/>
        </w:rPr>
        <w:t xml:space="preserve">. </w:t>
      </w:r>
    </w:p>
    <w:p w14:paraId="122C0136" w14:textId="7DA18B9B" w:rsidR="00920189" w:rsidRDefault="00920189" w:rsidP="00A43FBA">
      <w:pPr>
        <w:pStyle w:val="BasicParagraph"/>
        <w:suppressAutoHyphens/>
        <w:jc w:val="both"/>
        <w:rPr>
          <w:rFonts w:ascii="Verdana" w:hAnsi="Verdana" w:cs="Arial"/>
          <w:b/>
          <w:color w:val="auto"/>
        </w:rPr>
      </w:pPr>
    </w:p>
    <w:p w14:paraId="537F1D8E" w14:textId="615EE3BE" w:rsidR="00B517BA" w:rsidRDefault="00001572" w:rsidP="00001572">
      <w:pPr>
        <w:pStyle w:val="BasicParagraph"/>
        <w:numPr>
          <w:ilvl w:val="0"/>
          <w:numId w:val="18"/>
        </w:numPr>
        <w:suppressAutoHyphens/>
        <w:ind w:left="709" w:hanging="709"/>
        <w:jc w:val="both"/>
        <w:rPr>
          <w:rFonts w:ascii="Verdana" w:hAnsi="Verdana" w:cs="Arial"/>
          <w:b/>
          <w:color w:val="7030A0"/>
          <w:sz w:val="30"/>
          <w:szCs w:val="30"/>
        </w:rPr>
      </w:pPr>
      <w:r w:rsidRPr="00B517BA">
        <w:rPr>
          <w:rFonts w:ascii="Verdana" w:hAnsi="Verdana" w:cs="Arial"/>
          <w:b/>
          <w:color w:val="7030A0"/>
          <w:sz w:val="30"/>
          <w:szCs w:val="30"/>
        </w:rPr>
        <w:t>Post</w:t>
      </w:r>
      <w:r>
        <w:rPr>
          <w:rFonts w:ascii="Verdana" w:hAnsi="Verdana" w:cs="Arial"/>
          <w:b/>
          <w:color w:val="7030A0"/>
          <w:sz w:val="30"/>
          <w:szCs w:val="30"/>
        </w:rPr>
        <w:t>-</w:t>
      </w:r>
      <w:r w:rsidR="00B517BA" w:rsidRPr="00B517BA">
        <w:rPr>
          <w:rFonts w:ascii="Verdana" w:hAnsi="Verdana" w:cs="Arial"/>
          <w:b/>
          <w:color w:val="7030A0"/>
          <w:sz w:val="30"/>
          <w:szCs w:val="30"/>
        </w:rPr>
        <w:t>Sentenc</w:t>
      </w:r>
      <w:r>
        <w:rPr>
          <w:rFonts w:ascii="Verdana" w:hAnsi="Verdana" w:cs="Arial"/>
          <w:b/>
          <w:color w:val="7030A0"/>
          <w:sz w:val="30"/>
          <w:szCs w:val="30"/>
        </w:rPr>
        <w:t xml:space="preserve">e Disclosure </w:t>
      </w:r>
      <w:r w:rsidR="005F3995" w:rsidRPr="005F3995">
        <w:rPr>
          <w:rFonts w:ascii="Verdana" w:hAnsi="Verdana"/>
          <w:color w:val="7030A0"/>
          <w:sz w:val="16"/>
          <w:szCs w:val="16"/>
        </w:rPr>
        <w:t xml:space="preserve"> </w:t>
      </w:r>
    </w:p>
    <w:p w14:paraId="502E5321" w14:textId="59E88063" w:rsidR="00B517BA" w:rsidRDefault="00B517BA" w:rsidP="00001572">
      <w:pPr>
        <w:pStyle w:val="BasicParagraph"/>
        <w:suppressAutoHyphens/>
        <w:ind w:left="709" w:hanging="709"/>
        <w:jc w:val="both"/>
        <w:rPr>
          <w:rFonts w:ascii="Verdana" w:hAnsi="Verdana" w:cs="Arial"/>
          <w:b/>
          <w:color w:val="7030A0"/>
          <w:sz w:val="30"/>
          <w:szCs w:val="30"/>
        </w:rPr>
      </w:pPr>
    </w:p>
    <w:p w14:paraId="0D7FDFB9" w14:textId="77777777" w:rsidR="00B517BA" w:rsidRPr="00B517BA" w:rsidRDefault="00B517BA" w:rsidP="00001572">
      <w:pPr>
        <w:pStyle w:val="ListParagraph"/>
        <w:widowControl w:val="0"/>
        <w:numPr>
          <w:ilvl w:val="0"/>
          <w:numId w:val="16"/>
        </w:numPr>
        <w:suppressAutoHyphens/>
        <w:autoSpaceDE w:val="0"/>
        <w:autoSpaceDN w:val="0"/>
        <w:adjustRightInd w:val="0"/>
        <w:spacing w:line="288" w:lineRule="auto"/>
        <w:ind w:left="709" w:hanging="709"/>
        <w:contextualSpacing w:val="0"/>
        <w:jc w:val="both"/>
        <w:textAlignment w:val="center"/>
        <w:rPr>
          <w:rFonts w:ascii="Verdana" w:hAnsi="Verdana" w:cs="Arial"/>
          <w:b/>
          <w:vanish/>
        </w:rPr>
      </w:pPr>
    </w:p>
    <w:p w14:paraId="37C62BF4" w14:textId="305400BE" w:rsidR="006829B0" w:rsidRPr="006829B0" w:rsidRDefault="00224065" w:rsidP="006829B0">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T</w:t>
      </w:r>
      <w:r w:rsidRPr="003F769C">
        <w:rPr>
          <w:rFonts w:ascii="Verdana" w:hAnsi="Verdana" w:cs="Arial"/>
          <w:color w:val="auto"/>
        </w:rPr>
        <w:t xml:space="preserve">he </w:t>
      </w:r>
      <w:r w:rsidR="003F769C" w:rsidRPr="003F769C">
        <w:rPr>
          <w:rFonts w:ascii="Verdana" w:hAnsi="Verdana" w:cs="Arial"/>
          <w:color w:val="auto"/>
        </w:rPr>
        <w:t>consultation</w:t>
      </w:r>
      <w:r>
        <w:rPr>
          <w:rFonts w:ascii="Verdana" w:hAnsi="Verdana" w:cs="Arial"/>
          <w:color w:val="auto"/>
        </w:rPr>
        <w:t xml:space="preserve"> document seeks views on the desirability of post-sentence </w:t>
      </w:r>
      <w:r>
        <w:rPr>
          <w:rFonts w:ascii="Verdana" w:hAnsi="Verdana" w:cs="Arial"/>
          <w:color w:val="auto"/>
        </w:rPr>
        <w:lastRenderedPageBreak/>
        <w:t>adjustment, recognising</w:t>
      </w:r>
      <w:r w:rsidR="003F769C" w:rsidRPr="003F769C">
        <w:rPr>
          <w:rFonts w:ascii="Verdana" w:hAnsi="Verdana" w:cs="Arial"/>
          <w:color w:val="auto"/>
        </w:rPr>
        <w:t xml:space="preserve"> that</w:t>
      </w:r>
      <w:r>
        <w:rPr>
          <w:rFonts w:ascii="Verdana" w:hAnsi="Verdana" w:cs="Arial"/>
          <w:color w:val="auto"/>
        </w:rPr>
        <w:t xml:space="preserve"> this could “</w:t>
      </w:r>
      <w:r w:rsidRPr="003F769C">
        <w:rPr>
          <w:rFonts w:ascii="Verdana" w:hAnsi="Verdana" w:cs="Arial"/>
          <w:color w:val="auto"/>
        </w:rPr>
        <w:t xml:space="preserve">potentially </w:t>
      </w:r>
      <w:r w:rsidR="006829B0">
        <w:rPr>
          <w:rFonts w:ascii="Verdana" w:hAnsi="Verdana" w:cs="Arial"/>
          <w:color w:val="auto"/>
        </w:rPr>
        <w:t>[require]</w:t>
      </w:r>
      <w:r w:rsidRPr="003F769C">
        <w:rPr>
          <w:rFonts w:ascii="Verdana" w:hAnsi="Verdana" w:cs="Arial"/>
          <w:color w:val="auto"/>
        </w:rPr>
        <w:t xml:space="preserve"> the Court in future cases to specify that portion of the tariff which was attributed to the aggravation or seriousness of failing to disclose important information.</w:t>
      </w:r>
      <w:r>
        <w:rPr>
          <w:rFonts w:ascii="Verdana" w:hAnsi="Verdana" w:cs="Arial"/>
          <w:color w:val="auto"/>
        </w:rPr>
        <w:t>”</w:t>
      </w:r>
      <w:r>
        <w:rPr>
          <w:rStyle w:val="FootnoteReference"/>
          <w:rFonts w:ascii="Verdana" w:hAnsi="Verdana" w:cs="Arial"/>
          <w:color w:val="auto"/>
        </w:rPr>
        <w:footnoteReference w:id="26"/>
      </w:r>
      <w:r w:rsidR="006829B0">
        <w:rPr>
          <w:rFonts w:ascii="Verdana" w:hAnsi="Verdana" w:cs="Arial"/>
          <w:color w:val="auto"/>
        </w:rPr>
        <w:t xml:space="preserve"> </w:t>
      </w:r>
      <w:r w:rsidR="006829B0" w:rsidRPr="006829B0">
        <w:rPr>
          <w:rFonts w:ascii="Verdana" w:hAnsi="Verdana" w:cs="Arial"/>
          <w:color w:val="auto"/>
        </w:rPr>
        <w:t>The consultation also notes that:</w:t>
      </w:r>
      <w:r w:rsidR="006829B0">
        <w:rPr>
          <w:rFonts w:ascii="Verdana" w:hAnsi="Verdana" w:cs="Arial"/>
          <w:color w:val="auto"/>
        </w:rPr>
        <w:t xml:space="preserve"> “</w:t>
      </w:r>
      <w:r w:rsidR="006829B0" w:rsidRPr="006829B0">
        <w:rPr>
          <w:rFonts w:ascii="Verdana" w:hAnsi="Verdana" w:cs="Arial"/>
          <w:color w:val="auto"/>
        </w:rPr>
        <w:t>To obtain the maximum benefit from any change consideration should be given to allowing applications to be made by any eligible life sentence prisoner for a specified period post commencement of the provision.</w:t>
      </w:r>
      <w:r w:rsidR="006829B0">
        <w:rPr>
          <w:rFonts w:ascii="Verdana" w:hAnsi="Verdana" w:cs="Arial"/>
          <w:color w:val="auto"/>
        </w:rPr>
        <w:t>”</w:t>
      </w:r>
      <w:r w:rsidR="006829B0">
        <w:rPr>
          <w:rStyle w:val="FootnoteReference"/>
          <w:rFonts w:ascii="Verdana" w:hAnsi="Verdana" w:cs="Arial"/>
          <w:color w:val="auto"/>
        </w:rPr>
        <w:footnoteReference w:id="27"/>
      </w:r>
    </w:p>
    <w:p w14:paraId="204E4C7E" w14:textId="72B5FED3" w:rsidR="00520288" w:rsidRDefault="00520288" w:rsidP="006829B0">
      <w:pPr>
        <w:pStyle w:val="BasicParagraph"/>
        <w:suppressAutoHyphens/>
        <w:jc w:val="both"/>
        <w:rPr>
          <w:rFonts w:ascii="Verdana" w:hAnsi="Verdana" w:cs="Arial"/>
          <w:color w:val="auto"/>
        </w:rPr>
      </w:pPr>
    </w:p>
    <w:p w14:paraId="227B6DE3" w14:textId="6EEBFD6A" w:rsidR="00520288" w:rsidRPr="00520288" w:rsidRDefault="00520288" w:rsidP="00520288">
      <w:pPr>
        <w:pStyle w:val="BasicParagraph"/>
        <w:numPr>
          <w:ilvl w:val="1"/>
          <w:numId w:val="16"/>
        </w:numPr>
        <w:suppressAutoHyphens/>
        <w:ind w:left="709" w:hanging="709"/>
        <w:jc w:val="both"/>
        <w:rPr>
          <w:rFonts w:ascii="Verdana" w:hAnsi="Verdana" w:cs="Arial"/>
          <w:color w:val="auto"/>
        </w:rPr>
      </w:pPr>
      <w:r w:rsidRPr="00520288">
        <w:rPr>
          <w:rFonts w:ascii="Verdana" w:hAnsi="Verdana" w:cs="Arial"/>
          <w:color w:val="auto"/>
        </w:rPr>
        <w:t xml:space="preserve">In considering </w:t>
      </w:r>
      <w:r w:rsidR="006829B0">
        <w:rPr>
          <w:rFonts w:ascii="Verdana" w:hAnsi="Verdana" w:cs="Arial"/>
          <w:color w:val="auto"/>
        </w:rPr>
        <w:t>this option</w:t>
      </w:r>
      <w:r w:rsidRPr="00520288">
        <w:rPr>
          <w:rFonts w:ascii="Verdana" w:hAnsi="Verdana" w:cs="Arial"/>
          <w:color w:val="auto"/>
        </w:rPr>
        <w:t xml:space="preserve">, the Commission advises that the Department </w:t>
      </w:r>
      <w:r w:rsidR="00A85CD2">
        <w:rPr>
          <w:rFonts w:ascii="Verdana" w:hAnsi="Verdana" w:cs="Arial"/>
          <w:color w:val="auto"/>
        </w:rPr>
        <w:t>considers</w:t>
      </w:r>
      <w:r w:rsidR="00A85CD2" w:rsidRPr="00520288">
        <w:rPr>
          <w:rFonts w:ascii="Verdana" w:hAnsi="Verdana" w:cs="Arial"/>
          <w:color w:val="auto"/>
        </w:rPr>
        <w:t xml:space="preserve"> </w:t>
      </w:r>
      <w:r w:rsidRPr="00520288">
        <w:rPr>
          <w:rFonts w:ascii="Verdana" w:hAnsi="Verdana" w:cs="Arial"/>
          <w:color w:val="auto"/>
        </w:rPr>
        <w:t>Article 7 ECHR, which protects against retrospectivity and provides that:</w:t>
      </w:r>
    </w:p>
    <w:p w14:paraId="74335EF3" w14:textId="77777777" w:rsidR="00520288" w:rsidRPr="00FB6463" w:rsidRDefault="00520288" w:rsidP="00520288">
      <w:pPr>
        <w:pStyle w:val="BasicParagraph"/>
        <w:suppressAutoHyphens/>
        <w:ind w:left="709" w:hanging="709"/>
        <w:jc w:val="both"/>
        <w:rPr>
          <w:rFonts w:ascii="Verdana" w:hAnsi="Verdana" w:cs="Arial"/>
          <w:color w:val="auto"/>
        </w:rPr>
      </w:pPr>
    </w:p>
    <w:p w14:paraId="71CE8709" w14:textId="77777777" w:rsidR="00520288" w:rsidRPr="00FB6463" w:rsidRDefault="00520288" w:rsidP="00520288">
      <w:pPr>
        <w:pStyle w:val="BasicParagraph"/>
        <w:suppressAutoHyphens/>
        <w:ind w:left="1440" w:right="786"/>
        <w:jc w:val="both"/>
        <w:rPr>
          <w:rFonts w:ascii="Verdana" w:hAnsi="Verdana" w:cs="Arial"/>
          <w:color w:val="auto"/>
        </w:rPr>
      </w:pPr>
      <w:r>
        <w:rPr>
          <w:rFonts w:ascii="Verdana" w:hAnsi="Verdana" w:cs="Arial"/>
          <w:color w:val="auto"/>
        </w:rPr>
        <w:t xml:space="preserve">“1. </w:t>
      </w:r>
      <w:r w:rsidRPr="00FB6463">
        <w:rPr>
          <w:rFonts w:ascii="Verdana" w:hAnsi="Verdana" w:cs="Arial"/>
          <w:color w:val="auto"/>
        </w:rPr>
        <w:t xml:space="preserve">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 </w:t>
      </w:r>
    </w:p>
    <w:p w14:paraId="1B1F60BA" w14:textId="77777777" w:rsidR="00520288" w:rsidRPr="00FB6463" w:rsidRDefault="00520288" w:rsidP="00520288">
      <w:pPr>
        <w:pStyle w:val="BasicParagraph"/>
        <w:suppressAutoHyphens/>
        <w:ind w:left="709" w:hanging="709"/>
        <w:jc w:val="both"/>
        <w:rPr>
          <w:rFonts w:ascii="Verdana" w:hAnsi="Verdana" w:cs="Arial"/>
          <w:color w:val="auto"/>
        </w:rPr>
      </w:pPr>
    </w:p>
    <w:p w14:paraId="1DCE8E2C" w14:textId="77777777" w:rsidR="00520288" w:rsidRPr="00FB6463" w:rsidRDefault="00520288" w:rsidP="00520288">
      <w:pPr>
        <w:pStyle w:val="BasicParagraph"/>
        <w:suppressAutoHyphens/>
        <w:ind w:left="1440" w:right="786"/>
        <w:jc w:val="both"/>
        <w:rPr>
          <w:rFonts w:ascii="Verdana" w:hAnsi="Verdana" w:cs="Arial"/>
          <w:color w:val="auto"/>
        </w:rPr>
      </w:pPr>
      <w:r>
        <w:rPr>
          <w:rFonts w:ascii="Verdana" w:hAnsi="Verdana" w:cs="Arial"/>
          <w:color w:val="auto"/>
        </w:rPr>
        <w:t xml:space="preserve">2. </w:t>
      </w:r>
      <w:r w:rsidRPr="00FB6463">
        <w:rPr>
          <w:rFonts w:ascii="Verdana" w:hAnsi="Verdana" w:cs="Arial"/>
          <w:color w:val="auto"/>
        </w:rPr>
        <w:t>This Article shall not prejudice the trial and punishment of any person for any act or omission, which at the time when it was committed, was criminal according to the general principles of law recognised by civilised nations.</w:t>
      </w:r>
      <w:r>
        <w:rPr>
          <w:rFonts w:ascii="Verdana" w:hAnsi="Verdana" w:cs="Arial"/>
          <w:color w:val="auto"/>
        </w:rPr>
        <w:t>”</w:t>
      </w:r>
      <w:r w:rsidRPr="00FB6463">
        <w:rPr>
          <w:rFonts w:ascii="Verdana" w:hAnsi="Verdana" w:cs="Arial"/>
          <w:color w:val="auto"/>
        </w:rPr>
        <w:t xml:space="preserve"> </w:t>
      </w:r>
    </w:p>
    <w:p w14:paraId="1830F638" w14:textId="77777777" w:rsidR="00520288" w:rsidRPr="00FB6463" w:rsidRDefault="00520288" w:rsidP="00520288">
      <w:pPr>
        <w:pStyle w:val="BasicParagraph"/>
        <w:suppressAutoHyphens/>
        <w:ind w:left="709" w:hanging="709"/>
        <w:jc w:val="both"/>
        <w:rPr>
          <w:rFonts w:ascii="Verdana" w:hAnsi="Verdana" w:cs="Arial"/>
          <w:color w:val="auto"/>
        </w:rPr>
      </w:pPr>
    </w:p>
    <w:p w14:paraId="296279B8" w14:textId="4D7FE170" w:rsidR="00520288" w:rsidRDefault="00520288" w:rsidP="00520288">
      <w:pPr>
        <w:pStyle w:val="BasicParagraph"/>
        <w:numPr>
          <w:ilvl w:val="1"/>
          <w:numId w:val="16"/>
        </w:numPr>
        <w:suppressAutoHyphens/>
        <w:ind w:left="709" w:hanging="709"/>
        <w:jc w:val="both"/>
        <w:rPr>
          <w:rFonts w:ascii="Verdana" w:hAnsi="Verdana" w:cs="Arial"/>
          <w:color w:val="auto"/>
        </w:rPr>
      </w:pPr>
      <w:r w:rsidRPr="00FB6463">
        <w:rPr>
          <w:rFonts w:ascii="Verdana" w:hAnsi="Verdana" w:cs="Arial"/>
          <w:color w:val="auto"/>
        </w:rPr>
        <w:t xml:space="preserve">The ECtHR </w:t>
      </w:r>
      <w:r>
        <w:rPr>
          <w:rFonts w:ascii="Verdana" w:hAnsi="Verdana" w:cs="Arial"/>
          <w:color w:val="auto"/>
        </w:rPr>
        <w:t>held</w:t>
      </w:r>
      <w:r w:rsidR="00A85CD2">
        <w:rPr>
          <w:rFonts w:ascii="Verdana" w:hAnsi="Verdana" w:cs="Arial"/>
          <w:color w:val="auto"/>
        </w:rPr>
        <w:t>,</w:t>
      </w:r>
      <w:r w:rsidRPr="00FB6463">
        <w:rPr>
          <w:rFonts w:ascii="Verdana" w:hAnsi="Verdana" w:cs="Arial"/>
          <w:color w:val="auto"/>
        </w:rPr>
        <w:t xml:space="preserve"> in the case of </w:t>
      </w:r>
      <w:r w:rsidRPr="00747223">
        <w:rPr>
          <w:rFonts w:ascii="Verdana" w:hAnsi="Verdana" w:cs="Arial"/>
          <w:i/>
          <w:color w:val="auto"/>
        </w:rPr>
        <w:t>Coeme and Others v Belgium</w:t>
      </w:r>
      <w:r w:rsidR="00A85CD2">
        <w:rPr>
          <w:rFonts w:ascii="Verdana" w:hAnsi="Verdana" w:cs="Arial"/>
          <w:i/>
          <w:color w:val="auto"/>
        </w:rPr>
        <w:t>,</w:t>
      </w:r>
      <w:r w:rsidRPr="00FB6463">
        <w:rPr>
          <w:rFonts w:ascii="Verdana" w:hAnsi="Verdana" w:cs="Arial"/>
          <w:color w:val="auto"/>
        </w:rPr>
        <w:t xml:space="preserve"> that:</w:t>
      </w:r>
    </w:p>
    <w:p w14:paraId="41E4443C" w14:textId="77777777" w:rsidR="00520288" w:rsidRDefault="00520288" w:rsidP="000D0905">
      <w:pPr>
        <w:pStyle w:val="BasicParagraph"/>
        <w:suppressAutoHyphens/>
        <w:ind w:left="709" w:right="927"/>
        <w:jc w:val="both"/>
        <w:rPr>
          <w:rFonts w:ascii="Verdana" w:hAnsi="Verdana" w:cs="Arial"/>
          <w:color w:val="auto"/>
        </w:rPr>
      </w:pPr>
    </w:p>
    <w:p w14:paraId="5BCCCDD9" w14:textId="59F61ADB" w:rsidR="00520288" w:rsidRPr="006E20DD" w:rsidRDefault="00520288" w:rsidP="000D0905">
      <w:pPr>
        <w:pStyle w:val="BasicParagraph"/>
        <w:suppressAutoHyphens/>
        <w:ind w:left="1571" w:right="786"/>
        <w:jc w:val="both"/>
        <w:rPr>
          <w:rFonts w:ascii="Verdana" w:hAnsi="Verdana" w:cs="Arial"/>
          <w:color w:val="auto"/>
        </w:rPr>
      </w:pPr>
      <w:r w:rsidRPr="00433C7A">
        <w:rPr>
          <w:rFonts w:ascii="Verdana" w:hAnsi="Verdana" w:cs="Arial"/>
          <w:color w:val="auto"/>
        </w:rPr>
        <w:t>“Article 7 embodies, inter alia, the principle that only the law can define a crime and prescribe a penalty... While it prohibits in particular extending the scope of existing offences to acts which previously were not criminal offences, it also lays down the principle that the criminal law must not be extensively construed to an accused's detriment, for instance by analogy. It follows that</w:t>
      </w:r>
      <w:r w:rsidR="00A85CD2">
        <w:rPr>
          <w:rFonts w:ascii="Verdana" w:hAnsi="Verdana" w:cs="Arial"/>
          <w:color w:val="auto"/>
        </w:rPr>
        <w:t xml:space="preserve"> </w:t>
      </w:r>
      <w:r w:rsidRPr="00433C7A">
        <w:rPr>
          <w:rFonts w:ascii="Verdana" w:hAnsi="Verdana" w:cs="Arial"/>
          <w:color w:val="auto"/>
        </w:rPr>
        <w:t>offences and the relevant penalties must be clearly defined by law. This requirement is satisfied where the individual can know from the wording of the relevant provision and, if need be, with the assistance of the courts' interpretation of it, what acts and omissions will make him criminally liable.”</w:t>
      </w:r>
    </w:p>
    <w:p w14:paraId="4D075282" w14:textId="77777777" w:rsidR="003F769C" w:rsidRPr="003F769C" w:rsidRDefault="003F769C" w:rsidP="00001572">
      <w:pPr>
        <w:pStyle w:val="BasicParagraph"/>
        <w:suppressAutoHyphens/>
        <w:ind w:left="709" w:hanging="709"/>
        <w:jc w:val="both"/>
        <w:rPr>
          <w:rFonts w:ascii="Verdana" w:hAnsi="Verdana" w:cs="Arial"/>
          <w:color w:val="auto"/>
        </w:rPr>
      </w:pPr>
    </w:p>
    <w:p w14:paraId="158DB0DB" w14:textId="0DE87445" w:rsidR="003F769C" w:rsidRDefault="006829B0"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The consultation document does not indicate </w:t>
      </w:r>
      <w:r w:rsidR="002E4BB2">
        <w:rPr>
          <w:rFonts w:ascii="Verdana" w:hAnsi="Verdana" w:cs="Arial"/>
          <w:color w:val="auto"/>
        </w:rPr>
        <w:t xml:space="preserve">how, in practice, the proposed post-sentencing adjustment would be applied to current life prisoners. For example, how the courts would retrospectively apportion a percentage of their sentence to non-disclosure if this was not communicated to the prisoner during criminal proceedings or as part of their sentencing. </w:t>
      </w:r>
    </w:p>
    <w:p w14:paraId="29C146BF" w14:textId="77777777" w:rsidR="00920189" w:rsidRDefault="00920189" w:rsidP="00920189">
      <w:pPr>
        <w:pStyle w:val="BasicParagraph"/>
        <w:suppressAutoHyphens/>
        <w:ind w:left="709"/>
        <w:jc w:val="both"/>
        <w:rPr>
          <w:rFonts w:ascii="Verdana" w:hAnsi="Verdana" w:cs="Arial"/>
          <w:color w:val="auto"/>
        </w:rPr>
      </w:pPr>
    </w:p>
    <w:p w14:paraId="67291A39" w14:textId="23ABDC48" w:rsidR="002E4BB2" w:rsidRDefault="00920189"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While </w:t>
      </w:r>
      <w:r w:rsidR="00837D50">
        <w:rPr>
          <w:rFonts w:ascii="Verdana" w:hAnsi="Verdana" w:cs="Arial"/>
          <w:color w:val="auto"/>
        </w:rPr>
        <w:t xml:space="preserve">non-disclosure is currently considered as an aggravating factor and can contribute to an overall sentence, the Commission </w:t>
      </w:r>
      <w:r w:rsidR="00A85CD2">
        <w:rPr>
          <w:rFonts w:ascii="Verdana" w:hAnsi="Verdana" w:cs="Arial"/>
          <w:color w:val="auto"/>
        </w:rPr>
        <w:t xml:space="preserve">notes </w:t>
      </w:r>
      <w:r w:rsidR="00837D50">
        <w:rPr>
          <w:rFonts w:ascii="Verdana" w:hAnsi="Verdana" w:cs="Arial"/>
          <w:color w:val="auto"/>
        </w:rPr>
        <w:t>the potential Article 6 implications of apportioning a specific tariff solely to the offence of non-</w:t>
      </w:r>
      <w:r w:rsidR="00E35FB8">
        <w:rPr>
          <w:rFonts w:ascii="Verdana" w:hAnsi="Verdana" w:cs="Arial"/>
          <w:color w:val="auto"/>
        </w:rPr>
        <w:t>disclosure,</w:t>
      </w:r>
      <w:r w:rsidR="00837D50">
        <w:rPr>
          <w:rFonts w:ascii="Verdana" w:hAnsi="Verdana" w:cs="Arial"/>
          <w:color w:val="auto"/>
        </w:rPr>
        <w:t xml:space="preserve"> particularly if this had not been subject to the same </w:t>
      </w:r>
      <w:r w:rsidR="00A006A4">
        <w:rPr>
          <w:rFonts w:ascii="Verdana" w:hAnsi="Verdana" w:cs="Arial"/>
          <w:color w:val="auto"/>
        </w:rPr>
        <w:t>threshold for</w:t>
      </w:r>
      <w:r w:rsidR="00837D50">
        <w:rPr>
          <w:rFonts w:ascii="Verdana" w:hAnsi="Verdana" w:cs="Arial"/>
          <w:color w:val="auto"/>
        </w:rPr>
        <w:t xml:space="preserve"> proof</w:t>
      </w:r>
      <w:r w:rsidR="00A85CD2">
        <w:rPr>
          <w:rFonts w:ascii="Verdana" w:hAnsi="Verdana" w:cs="Arial"/>
          <w:color w:val="auto"/>
        </w:rPr>
        <w:t>.</w:t>
      </w:r>
      <w:r w:rsidR="00837D50">
        <w:rPr>
          <w:rFonts w:ascii="Verdana" w:hAnsi="Verdana" w:cs="Arial"/>
          <w:color w:val="auto"/>
        </w:rPr>
        <w:t xml:space="preserve"> </w:t>
      </w:r>
    </w:p>
    <w:p w14:paraId="61917F66" w14:textId="77777777" w:rsidR="00A006A4" w:rsidRDefault="00A006A4" w:rsidP="00A006A4">
      <w:pPr>
        <w:pStyle w:val="ListParagraph"/>
        <w:rPr>
          <w:rFonts w:ascii="Verdana" w:hAnsi="Verdana" w:cs="Arial"/>
        </w:rPr>
      </w:pPr>
    </w:p>
    <w:p w14:paraId="77D5F1FA" w14:textId="77777777" w:rsidR="00E35FB8" w:rsidRDefault="00A006A4"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While the Commission is not opposed in principle to measures that incentivise an early disclosure, the Commission advises that the current proposals could engage Articles 6 and 7 ECHR. </w:t>
      </w:r>
    </w:p>
    <w:p w14:paraId="1CC5C99B" w14:textId="77777777" w:rsidR="00E35FB8" w:rsidRDefault="00E35FB8" w:rsidP="00E35FB8">
      <w:pPr>
        <w:pStyle w:val="ListParagraph"/>
        <w:rPr>
          <w:rFonts w:ascii="Verdana" w:hAnsi="Verdana" w:cs="Arial"/>
        </w:rPr>
      </w:pPr>
    </w:p>
    <w:p w14:paraId="6901CBC5" w14:textId="6C938401" w:rsidR="00A006A4" w:rsidRPr="00E35FB8" w:rsidRDefault="00E35FB8" w:rsidP="00001572">
      <w:pPr>
        <w:pStyle w:val="BasicParagraph"/>
        <w:numPr>
          <w:ilvl w:val="1"/>
          <w:numId w:val="16"/>
        </w:numPr>
        <w:suppressAutoHyphens/>
        <w:ind w:left="709" w:hanging="709"/>
        <w:jc w:val="both"/>
        <w:rPr>
          <w:rFonts w:ascii="Verdana" w:hAnsi="Verdana" w:cs="Arial"/>
          <w:b/>
          <w:color w:val="auto"/>
        </w:rPr>
      </w:pPr>
      <w:r w:rsidRPr="00E35FB8">
        <w:rPr>
          <w:rFonts w:ascii="Verdana" w:hAnsi="Verdana" w:cs="Arial"/>
          <w:b/>
          <w:color w:val="auto"/>
        </w:rPr>
        <w:t>The Commission recommends that the Department takes a human rights based approach when considering legislative options whic</w:t>
      </w:r>
      <w:r w:rsidR="00BF16E1">
        <w:rPr>
          <w:rFonts w:ascii="Verdana" w:hAnsi="Verdana" w:cs="Arial"/>
          <w:b/>
          <w:color w:val="auto"/>
        </w:rPr>
        <w:t>h encourage a timely disclosure, including screening for compatibility with the ECHR.</w:t>
      </w:r>
      <w:r w:rsidRPr="00E35FB8">
        <w:rPr>
          <w:rFonts w:ascii="Verdana" w:hAnsi="Verdana" w:cs="Arial"/>
          <w:b/>
          <w:color w:val="auto"/>
        </w:rPr>
        <w:t xml:space="preserve"> </w:t>
      </w:r>
    </w:p>
    <w:p w14:paraId="0683D89B" w14:textId="02E6CBFE" w:rsidR="00125C30" w:rsidRDefault="00125C30" w:rsidP="00BF16E1">
      <w:pPr>
        <w:pStyle w:val="BasicParagraph"/>
        <w:suppressAutoHyphens/>
        <w:jc w:val="both"/>
        <w:rPr>
          <w:rFonts w:ascii="Verdana" w:hAnsi="Verdana" w:cs="Arial"/>
          <w:color w:val="auto"/>
        </w:rPr>
      </w:pPr>
    </w:p>
    <w:p w14:paraId="047BD147" w14:textId="14DC8436" w:rsidR="004C6143" w:rsidRPr="00BF16E1" w:rsidRDefault="004C6143" w:rsidP="00BF16E1">
      <w:pPr>
        <w:pStyle w:val="BasicParagraph"/>
        <w:numPr>
          <w:ilvl w:val="0"/>
          <w:numId w:val="18"/>
        </w:numPr>
        <w:suppressAutoHyphens/>
        <w:ind w:left="709" w:hanging="709"/>
        <w:jc w:val="both"/>
        <w:rPr>
          <w:rFonts w:ascii="Verdana" w:hAnsi="Verdana" w:cs="Arial"/>
          <w:b/>
          <w:color w:val="7030A0"/>
          <w:sz w:val="30"/>
          <w:szCs w:val="30"/>
        </w:rPr>
      </w:pPr>
      <w:r w:rsidRPr="004C6143">
        <w:rPr>
          <w:rFonts w:ascii="Verdana" w:hAnsi="Verdana" w:cs="Arial"/>
          <w:b/>
          <w:color w:val="7030A0"/>
          <w:sz w:val="30"/>
          <w:szCs w:val="30"/>
        </w:rPr>
        <w:t>Parole Hearing</w:t>
      </w:r>
    </w:p>
    <w:p w14:paraId="0816B22B" w14:textId="77777777" w:rsidR="004C6143" w:rsidRPr="004C6143" w:rsidRDefault="004C6143" w:rsidP="00A006A4">
      <w:pPr>
        <w:pStyle w:val="BasicParagraph"/>
        <w:suppressAutoHyphens/>
        <w:jc w:val="both"/>
        <w:rPr>
          <w:rFonts w:ascii="Verdana" w:hAnsi="Verdana" w:cs="Arial"/>
          <w:color w:val="auto"/>
        </w:rPr>
      </w:pPr>
    </w:p>
    <w:p w14:paraId="0AF589B1" w14:textId="77777777" w:rsidR="004C6143" w:rsidRPr="004C6143" w:rsidRDefault="004C6143" w:rsidP="00001572">
      <w:pPr>
        <w:pStyle w:val="ListParagraph"/>
        <w:widowControl w:val="0"/>
        <w:numPr>
          <w:ilvl w:val="0"/>
          <w:numId w:val="16"/>
        </w:numPr>
        <w:suppressAutoHyphens/>
        <w:autoSpaceDE w:val="0"/>
        <w:autoSpaceDN w:val="0"/>
        <w:adjustRightInd w:val="0"/>
        <w:spacing w:line="288" w:lineRule="auto"/>
        <w:ind w:left="709" w:hanging="709"/>
        <w:contextualSpacing w:val="0"/>
        <w:jc w:val="both"/>
        <w:textAlignment w:val="center"/>
        <w:rPr>
          <w:rFonts w:ascii="Verdana" w:hAnsi="Verdana" w:cs="Arial"/>
          <w:vanish/>
        </w:rPr>
      </w:pPr>
    </w:p>
    <w:p w14:paraId="6D30FD0A" w14:textId="3531944C" w:rsidR="004C6143" w:rsidRDefault="004C6143" w:rsidP="00001572">
      <w:pPr>
        <w:pStyle w:val="BasicParagraph"/>
        <w:numPr>
          <w:ilvl w:val="1"/>
          <w:numId w:val="16"/>
        </w:numPr>
        <w:suppressAutoHyphens/>
        <w:ind w:left="709" w:hanging="709"/>
        <w:jc w:val="both"/>
        <w:rPr>
          <w:rFonts w:ascii="Verdana" w:hAnsi="Verdana" w:cs="Arial"/>
          <w:color w:val="auto"/>
        </w:rPr>
      </w:pPr>
      <w:r w:rsidRPr="004C6143">
        <w:rPr>
          <w:rFonts w:ascii="Verdana" w:hAnsi="Verdana" w:cs="Arial"/>
          <w:color w:val="auto"/>
        </w:rPr>
        <w:t xml:space="preserve">The </w:t>
      </w:r>
      <w:r w:rsidR="00920189">
        <w:rPr>
          <w:rFonts w:ascii="Verdana" w:hAnsi="Verdana" w:cs="Arial"/>
          <w:color w:val="auto"/>
        </w:rPr>
        <w:t xml:space="preserve">Commission </w:t>
      </w:r>
      <w:r w:rsidRPr="004C6143">
        <w:rPr>
          <w:rFonts w:ascii="Verdana" w:hAnsi="Verdana" w:cs="Arial"/>
          <w:color w:val="auto"/>
        </w:rPr>
        <w:t>notes the consultation’s reference to the potential human rights implications in relation to a “no body means no release approach”.</w:t>
      </w:r>
      <w:r w:rsidR="00920189">
        <w:rPr>
          <w:rStyle w:val="FootnoteReference"/>
          <w:rFonts w:ascii="Verdana" w:hAnsi="Verdana" w:cs="Arial"/>
          <w:color w:val="auto"/>
        </w:rPr>
        <w:footnoteReference w:id="28"/>
      </w:r>
      <w:r w:rsidRPr="004C6143">
        <w:rPr>
          <w:rFonts w:ascii="Verdana" w:hAnsi="Verdana" w:cs="Arial"/>
          <w:color w:val="auto"/>
        </w:rPr>
        <w:t xml:space="preserve"> While the consultation does not advocate for this approach, the Department should consider whether the proposed legislative changes could result in a de facto no release situation. The NIHRC recognises that there have been mixed rulings by the ECtHR concerning whole life sentences in the context of the Article 3 </w:t>
      </w:r>
      <w:r w:rsidR="002F7CAB">
        <w:rPr>
          <w:rFonts w:ascii="Verdana" w:hAnsi="Verdana" w:cs="Arial"/>
          <w:color w:val="auto"/>
        </w:rPr>
        <w:t xml:space="preserve">ECHR </w:t>
      </w:r>
      <w:r w:rsidRPr="004C6143">
        <w:rPr>
          <w:rFonts w:ascii="Verdana" w:hAnsi="Verdana" w:cs="Arial"/>
          <w:color w:val="auto"/>
        </w:rPr>
        <w:t>(prohibition of torture).  Relevant case law does not dictate that the existence of whole life sentences is incompatible with human rights standards however, in cases where a whole life sentence applies, there must be standards for reviewing sentences which clearly articulate what a prisoner must do to be considered for release.</w:t>
      </w:r>
    </w:p>
    <w:p w14:paraId="50FC138F" w14:textId="77777777" w:rsidR="00611F56" w:rsidRPr="00611F56" w:rsidRDefault="00611F56" w:rsidP="00001572">
      <w:pPr>
        <w:pStyle w:val="BasicParagraph"/>
        <w:suppressAutoHyphens/>
        <w:ind w:left="709" w:hanging="709"/>
        <w:jc w:val="both"/>
        <w:rPr>
          <w:rFonts w:ascii="Verdana" w:hAnsi="Verdana" w:cs="Arial"/>
          <w:color w:val="auto"/>
        </w:rPr>
      </w:pPr>
    </w:p>
    <w:p w14:paraId="696E54D0" w14:textId="668B5245" w:rsidR="00611F56" w:rsidRPr="00A43FBA" w:rsidRDefault="00611F56" w:rsidP="00A43FBA">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In its decision in </w:t>
      </w:r>
      <w:r w:rsidRPr="00A71391">
        <w:rPr>
          <w:rFonts w:ascii="Verdana" w:hAnsi="Verdana" w:cs="Arial"/>
          <w:i/>
          <w:color w:val="auto"/>
        </w:rPr>
        <w:t xml:space="preserve">Vinter and Others v </w:t>
      </w:r>
      <w:r w:rsidR="002F7CAB">
        <w:rPr>
          <w:rFonts w:ascii="Verdana" w:hAnsi="Verdana" w:cs="Arial"/>
          <w:i/>
          <w:color w:val="auto"/>
        </w:rPr>
        <w:t xml:space="preserve">the </w:t>
      </w:r>
      <w:r w:rsidR="004265DE" w:rsidRPr="00A71391">
        <w:rPr>
          <w:rFonts w:ascii="Verdana" w:hAnsi="Verdana" w:cs="Arial"/>
          <w:i/>
          <w:color w:val="auto"/>
        </w:rPr>
        <w:t>U</w:t>
      </w:r>
      <w:r w:rsidR="00494E23" w:rsidRPr="00A71391">
        <w:rPr>
          <w:rFonts w:ascii="Verdana" w:hAnsi="Verdana" w:cs="Arial"/>
          <w:i/>
          <w:color w:val="auto"/>
        </w:rPr>
        <w:t>nited Kingdo</w:t>
      </w:r>
      <w:r w:rsidR="004265DE" w:rsidRPr="00A71391">
        <w:rPr>
          <w:rFonts w:ascii="Verdana" w:hAnsi="Verdana" w:cs="Arial"/>
          <w:i/>
          <w:color w:val="auto"/>
        </w:rPr>
        <w:t>m</w:t>
      </w:r>
      <w:r w:rsidRPr="00611F56">
        <w:rPr>
          <w:rFonts w:ascii="Verdana" w:hAnsi="Verdana" w:cs="Arial"/>
          <w:color w:val="auto"/>
        </w:rPr>
        <w:t xml:space="preserve">, the ECtHR </w:t>
      </w:r>
      <w:r w:rsidR="002F7CAB">
        <w:rPr>
          <w:rFonts w:ascii="Verdana" w:hAnsi="Verdana" w:cs="Arial"/>
          <w:color w:val="auto"/>
        </w:rPr>
        <w:t>held</w:t>
      </w:r>
      <w:r w:rsidR="002F7CAB" w:rsidRPr="00611F56">
        <w:rPr>
          <w:rFonts w:ascii="Verdana" w:hAnsi="Verdana" w:cs="Arial"/>
          <w:color w:val="auto"/>
        </w:rPr>
        <w:t xml:space="preserve"> </w:t>
      </w:r>
      <w:r w:rsidRPr="00611F56">
        <w:rPr>
          <w:rFonts w:ascii="Verdana" w:hAnsi="Verdana" w:cs="Arial"/>
          <w:color w:val="auto"/>
        </w:rPr>
        <w:t xml:space="preserve">that: </w:t>
      </w:r>
    </w:p>
    <w:p w14:paraId="48B89A2F" w14:textId="5ACFF3F2" w:rsidR="00611F56" w:rsidRPr="00611F56" w:rsidRDefault="002F7CAB" w:rsidP="00B52C89">
      <w:pPr>
        <w:pStyle w:val="BasicParagraph"/>
        <w:suppressAutoHyphens/>
        <w:ind w:left="1440" w:right="786"/>
        <w:jc w:val="both"/>
        <w:rPr>
          <w:rFonts w:ascii="Verdana" w:hAnsi="Verdana" w:cs="Arial"/>
          <w:color w:val="auto"/>
        </w:rPr>
      </w:pPr>
      <w:r>
        <w:rPr>
          <w:rFonts w:ascii="Verdana" w:hAnsi="Verdana" w:cs="Arial"/>
          <w:color w:val="auto"/>
        </w:rPr>
        <w:t>“</w:t>
      </w:r>
      <w:r w:rsidR="00611F56" w:rsidRPr="00611F56">
        <w:rPr>
          <w:rFonts w:ascii="Verdana" w:hAnsi="Verdana" w:cs="Arial"/>
          <w:color w:val="auto"/>
        </w:rPr>
        <w:t xml:space="preserve">States must… remain free to impose life sentences on adult </w:t>
      </w:r>
      <w:r w:rsidR="00611F56" w:rsidRPr="00611F56">
        <w:rPr>
          <w:rFonts w:ascii="Verdana" w:hAnsi="Verdana" w:cs="Arial"/>
          <w:color w:val="auto"/>
        </w:rPr>
        <w:lastRenderedPageBreak/>
        <w:t>offenders for especially serious crimes such as murder: the imposition of such a sentence on an adult offender is not in itself prohibited by or incompatible with Article 3 [freedom from inhuman and degrading treatment and punishment] or any other Article of</w:t>
      </w:r>
      <w:r w:rsidR="003F1FE5">
        <w:rPr>
          <w:rFonts w:ascii="Verdana" w:hAnsi="Verdana" w:cs="Arial"/>
          <w:color w:val="auto"/>
        </w:rPr>
        <w:t xml:space="preserve"> the [Human Rights] Convention.</w:t>
      </w:r>
      <w:r w:rsidR="005E7195">
        <w:rPr>
          <w:rFonts w:ascii="Verdana" w:hAnsi="Verdana" w:cs="Arial"/>
          <w:color w:val="auto"/>
        </w:rPr>
        <w:t>”</w:t>
      </w:r>
      <w:r w:rsidR="003F1FE5">
        <w:rPr>
          <w:rStyle w:val="FootnoteReference"/>
          <w:rFonts w:ascii="Verdana" w:hAnsi="Verdana" w:cs="Arial"/>
          <w:color w:val="auto"/>
        </w:rPr>
        <w:footnoteReference w:id="29"/>
      </w:r>
    </w:p>
    <w:p w14:paraId="6CFFE91E" w14:textId="10CAD896" w:rsidR="00611F56" w:rsidRDefault="00611F56" w:rsidP="00001572">
      <w:pPr>
        <w:pStyle w:val="BasicParagraph"/>
        <w:suppressAutoHyphens/>
        <w:ind w:left="709" w:hanging="709"/>
        <w:jc w:val="both"/>
        <w:rPr>
          <w:rFonts w:ascii="Verdana" w:hAnsi="Verdana" w:cs="Arial"/>
          <w:color w:val="auto"/>
        </w:rPr>
      </w:pPr>
    </w:p>
    <w:p w14:paraId="6E4AEB87" w14:textId="2CD34EA7" w:rsidR="006635FD" w:rsidRDefault="006635FD" w:rsidP="00001572">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The </w:t>
      </w:r>
      <w:r w:rsidR="002F7CAB">
        <w:rPr>
          <w:rFonts w:ascii="Verdana" w:hAnsi="Verdana" w:cs="Arial"/>
          <w:color w:val="auto"/>
        </w:rPr>
        <w:t>ECtHR</w:t>
      </w:r>
      <w:r w:rsidRPr="00611F56">
        <w:rPr>
          <w:rFonts w:ascii="Verdana" w:hAnsi="Verdana" w:cs="Arial"/>
          <w:color w:val="auto"/>
        </w:rPr>
        <w:t xml:space="preserve"> highlighted that a State’s choice of a specific criminal justice system was in principle outside the scope of its supervision, provided that the s</w:t>
      </w:r>
      <w:r w:rsidR="006E4166">
        <w:rPr>
          <w:rFonts w:ascii="Verdana" w:hAnsi="Verdana" w:cs="Arial"/>
          <w:color w:val="auto"/>
        </w:rPr>
        <w:t>ystem did not</w:t>
      </w:r>
      <w:r w:rsidRPr="00611F56">
        <w:rPr>
          <w:rFonts w:ascii="Verdana" w:hAnsi="Verdana" w:cs="Arial"/>
          <w:color w:val="auto"/>
        </w:rPr>
        <w:t xml:space="preserve"> contravene the principles within the Convention.</w:t>
      </w:r>
      <w:r>
        <w:rPr>
          <w:rStyle w:val="FootnoteReference"/>
          <w:rFonts w:ascii="Verdana" w:hAnsi="Verdana" w:cs="Arial"/>
          <w:color w:val="auto"/>
        </w:rPr>
        <w:footnoteReference w:id="30"/>
      </w:r>
      <w:r w:rsidRPr="00611F56">
        <w:rPr>
          <w:rFonts w:ascii="Verdana" w:hAnsi="Verdana" w:cs="Arial"/>
          <w:color w:val="auto"/>
        </w:rPr>
        <w:t xml:space="preserve"> It also indicated that States had a</w:t>
      </w:r>
      <w:r w:rsidR="002F7CAB">
        <w:rPr>
          <w:rFonts w:ascii="Verdana" w:hAnsi="Verdana" w:cs="Arial"/>
          <w:color w:val="auto"/>
        </w:rPr>
        <w:t>n ongoing</w:t>
      </w:r>
      <w:r w:rsidRPr="00611F56">
        <w:rPr>
          <w:rFonts w:ascii="Verdana" w:hAnsi="Verdana" w:cs="Arial"/>
          <w:color w:val="auto"/>
        </w:rPr>
        <w:t xml:space="preserve"> responsibility under the Convention to protec</w:t>
      </w:r>
      <w:r>
        <w:rPr>
          <w:rFonts w:ascii="Verdana" w:hAnsi="Verdana" w:cs="Arial"/>
          <w:color w:val="auto"/>
        </w:rPr>
        <w:t>t the public from violent crime, noting that:</w:t>
      </w:r>
    </w:p>
    <w:p w14:paraId="4B3A997F" w14:textId="77777777" w:rsidR="006635FD" w:rsidRDefault="006635FD" w:rsidP="00001572">
      <w:pPr>
        <w:pStyle w:val="ListParagraph"/>
        <w:ind w:left="709" w:hanging="709"/>
        <w:rPr>
          <w:rFonts w:ascii="Verdana" w:hAnsi="Verdana" w:cs="Arial"/>
        </w:rPr>
      </w:pPr>
    </w:p>
    <w:p w14:paraId="50E3ADAF" w14:textId="0395B13C" w:rsidR="006635FD" w:rsidRPr="00611F56" w:rsidRDefault="002F7CAB" w:rsidP="00B52C89">
      <w:pPr>
        <w:pStyle w:val="BasicParagraph"/>
        <w:suppressAutoHyphens/>
        <w:ind w:left="1440" w:right="786"/>
        <w:jc w:val="both"/>
        <w:rPr>
          <w:rFonts w:ascii="Verdana" w:hAnsi="Verdana" w:cs="Arial"/>
          <w:color w:val="auto"/>
        </w:rPr>
      </w:pPr>
      <w:r>
        <w:rPr>
          <w:rFonts w:ascii="Verdana" w:hAnsi="Verdana" w:cs="Arial"/>
          <w:color w:val="auto"/>
        </w:rPr>
        <w:t>“</w:t>
      </w:r>
      <w:r w:rsidR="006635FD">
        <w:rPr>
          <w:rFonts w:ascii="Verdana" w:hAnsi="Verdana" w:cs="Arial"/>
          <w:color w:val="auto"/>
        </w:rPr>
        <w:t>this</w:t>
      </w:r>
      <w:r w:rsidR="006635FD" w:rsidRPr="00A84325">
        <w:rPr>
          <w:rFonts w:ascii="Verdana" w:hAnsi="Verdana" w:cs="Arial"/>
          <w:color w:val="auto"/>
        </w:rPr>
        <w:t xml:space="preserve"> is particularly so for those convicted of murder or other serious offences against the person. The mere fact that such prisoners may have already served a long period of imprisonment does not weaken the State’s positive obligation to protect the public; States may fulfil that obligation by continuing to detain such life sentenced prisoners for as long as they remain dangerous</w:t>
      </w:r>
      <w:r w:rsidR="006635FD">
        <w:rPr>
          <w:rFonts w:ascii="Verdana" w:hAnsi="Verdana" w:cs="Arial"/>
          <w:color w:val="auto"/>
        </w:rPr>
        <w:t>.</w:t>
      </w:r>
      <w:r w:rsidR="005E7195">
        <w:rPr>
          <w:rFonts w:ascii="Verdana" w:hAnsi="Verdana" w:cs="Arial"/>
          <w:color w:val="auto"/>
        </w:rPr>
        <w:t>”</w:t>
      </w:r>
      <w:r w:rsidR="006635FD">
        <w:rPr>
          <w:rStyle w:val="FootnoteReference"/>
          <w:rFonts w:ascii="Verdana" w:hAnsi="Verdana" w:cs="Arial"/>
          <w:color w:val="auto"/>
        </w:rPr>
        <w:footnoteReference w:id="31"/>
      </w:r>
    </w:p>
    <w:p w14:paraId="446C904E" w14:textId="54DB9774" w:rsidR="00611F56" w:rsidRPr="00611F56" w:rsidRDefault="00611F56" w:rsidP="00001572">
      <w:pPr>
        <w:pStyle w:val="BasicParagraph"/>
        <w:suppressAutoHyphens/>
        <w:ind w:left="709" w:hanging="709"/>
        <w:jc w:val="both"/>
        <w:rPr>
          <w:rFonts w:ascii="Verdana" w:hAnsi="Verdana" w:cs="Arial"/>
          <w:color w:val="auto"/>
        </w:rPr>
      </w:pPr>
    </w:p>
    <w:p w14:paraId="4F0E5C4B" w14:textId="6FD7DBB8" w:rsidR="006635FD" w:rsidRPr="00A43FBA" w:rsidRDefault="006635FD" w:rsidP="00A43FBA">
      <w:pPr>
        <w:pStyle w:val="BasicParagraph"/>
        <w:numPr>
          <w:ilvl w:val="1"/>
          <w:numId w:val="16"/>
        </w:numPr>
        <w:suppressAutoHyphens/>
        <w:ind w:left="709" w:hanging="709"/>
        <w:jc w:val="both"/>
        <w:rPr>
          <w:rFonts w:ascii="Verdana" w:hAnsi="Verdana" w:cs="Arial"/>
          <w:color w:val="auto"/>
        </w:rPr>
      </w:pPr>
      <w:r w:rsidRPr="006635FD">
        <w:rPr>
          <w:rFonts w:ascii="Verdana" w:hAnsi="Verdana" w:cs="Arial"/>
          <w:color w:val="auto"/>
        </w:rPr>
        <w:t xml:space="preserve">However, </w:t>
      </w:r>
      <w:r w:rsidR="002F7CAB">
        <w:rPr>
          <w:rFonts w:ascii="Verdana" w:hAnsi="Verdana" w:cs="Arial"/>
          <w:color w:val="auto"/>
        </w:rPr>
        <w:t xml:space="preserve">in </w:t>
      </w:r>
      <w:r w:rsidR="002F7CAB" w:rsidRPr="00A4544A">
        <w:rPr>
          <w:rFonts w:ascii="Verdana" w:hAnsi="Verdana" w:cs="Arial"/>
          <w:i/>
          <w:color w:val="auto"/>
        </w:rPr>
        <w:t>Vinter</w:t>
      </w:r>
      <w:r w:rsidR="002F7CAB">
        <w:rPr>
          <w:rFonts w:ascii="Verdana" w:hAnsi="Verdana" w:cs="Arial"/>
          <w:color w:val="auto"/>
        </w:rPr>
        <w:t xml:space="preserve">, </w:t>
      </w:r>
      <w:r w:rsidRPr="006635FD">
        <w:rPr>
          <w:rFonts w:ascii="Verdana" w:hAnsi="Verdana" w:cs="Arial"/>
          <w:color w:val="auto"/>
        </w:rPr>
        <w:t xml:space="preserve">the </w:t>
      </w:r>
      <w:r w:rsidR="002F7CAB">
        <w:rPr>
          <w:rFonts w:ascii="Verdana" w:hAnsi="Verdana" w:cs="Arial"/>
          <w:color w:val="auto"/>
        </w:rPr>
        <w:t>ECtHR</w:t>
      </w:r>
      <w:r w:rsidR="002F7CAB" w:rsidRPr="006635FD">
        <w:rPr>
          <w:rFonts w:ascii="Verdana" w:hAnsi="Verdana" w:cs="Arial"/>
          <w:color w:val="auto"/>
        </w:rPr>
        <w:t xml:space="preserve"> </w:t>
      </w:r>
      <w:r w:rsidRPr="006635FD">
        <w:rPr>
          <w:rFonts w:ascii="Verdana" w:hAnsi="Verdana" w:cs="Arial"/>
          <w:color w:val="auto"/>
        </w:rPr>
        <w:t xml:space="preserve">found the UK was in breach of Article 3 ECHR </w:t>
      </w:r>
      <w:r w:rsidR="002F7CAB">
        <w:rPr>
          <w:rFonts w:ascii="Verdana" w:hAnsi="Verdana" w:cs="Arial"/>
          <w:color w:val="auto"/>
        </w:rPr>
        <w:t>on the basis</w:t>
      </w:r>
      <w:r w:rsidRPr="006635FD">
        <w:rPr>
          <w:rFonts w:ascii="Verdana" w:hAnsi="Verdana" w:cs="Arial"/>
          <w:color w:val="auto"/>
        </w:rPr>
        <w:t xml:space="preserve"> that the sentence imposed was effectively irreducible finding that:</w:t>
      </w:r>
    </w:p>
    <w:p w14:paraId="48F197F5" w14:textId="171729F4" w:rsidR="006635FD" w:rsidRDefault="002F7CAB" w:rsidP="00A43FBA">
      <w:pPr>
        <w:pStyle w:val="BasicParagraph"/>
        <w:suppressAutoHyphens/>
        <w:ind w:left="1440" w:right="786"/>
        <w:jc w:val="both"/>
        <w:rPr>
          <w:rFonts w:ascii="Verdana" w:hAnsi="Verdana" w:cs="Arial"/>
          <w:color w:val="auto"/>
        </w:rPr>
      </w:pPr>
      <w:r>
        <w:rPr>
          <w:rFonts w:ascii="Verdana" w:hAnsi="Verdana" w:cs="Arial"/>
          <w:color w:val="auto"/>
        </w:rPr>
        <w:t>“</w:t>
      </w:r>
      <w:r w:rsidR="006635FD" w:rsidRPr="006635FD">
        <w:rPr>
          <w:rFonts w:ascii="Verdana" w:hAnsi="Verdana" w:cs="Arial"/>
          <w:color w:val="auto"/>
        </w:rPr>
        <w:t>A whole life prisoner is entitled to know, at the outset of his sentence, what he must do to be considered for release and under what conditions, including when a review of his sentence wi</w:t>
      </w:r>
      <w:r w:rsidR="00354C71">
        <w:rPr>
          <w:rFonts w:ascii="Verdana" w:hAnsi="Verdana" w:cs="Arial"/>
          <w:color w:val="auto"/>
        </w:rPr>
        <w:t>ll take place or may be sought.</w:t>
      </w:r>
      <w:r w:rsidR="005E7195">
        <w:rPr>
          <w:rFonts w:ascii="Verdana" w:hAnsi="Verdana" w:cs="Arial"/>
          <w:color w:val="auto"/>
        </w:rPr>
        <w:t>”</w:t>
      </w:r>
      <w:r w:rsidR="00354C71">
        <w:rPr>
          <w:rStyle w:val="FootnoteReference"/>
          <w:rFonts w:ascii="Verdana" w:hAnsi="Verdana" w:cs="Arial"/>
          <w:color w:val="auto"/>
        </w:rPr>
        <w:footnoteReference w:id="32"/>
      </w:r>
    </w:p>
    <w:p w14:paraId="6EB13B19" w14:textId="77777777" w:rsidR="00A43FBA" w:rsidRDefault="00A43FBA" w:rsidP="00A43FBA">
      <w:pPr>
        <w:pStyle w:val="BasicParagraph"/>
        <w:suppressAutoHyphens/>
        <w:ind w:left="1440" w:right="786"/>
        <w:jc w:val="both"/>
        <w:rPr>
          <w:rFonts w:ascii="Verdana" w:hAnsi="Verdana" w:cs="Arial"/>
          <w:color w:val="auto"/>
        </w:rPr>
      </w:pPr>
    </w:p>
    <w:p w14:paraId="51312CC7" w14:textId="55636D0F" w:rsidR="005E7195" w:rsidRDefault="005E7195"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The decision was based on the fact that the Ministry of Justice </w:t>
      </w:r>
      <w:r w:rsidR="00BF16E1">
        <w:rPr>
          <w:rFonts w:ascii="Verdana" w:hAnsi="Verdana" w:cs="Arial"/>
          <w:color w:val="auto"/>
        </w:rPr>
        <w:t>‘</w:t>
      </w:r>
      <w:r>
        <w:rPr>
          <w:rFonts w:ascii="Verdana" w:hAnsi="Verdana" w:cs="Arial"/>
          <w:color w:val="auto"/>
        </w:rPr>
        <w:t>Lifer Manual</w:t>
      </w:r>
      <w:r w:rsidR="00BF16E1">
        <w:rPr>
          <w:rFonts w:ascii="Verdana" w:hAnsi="Verdana" w:cs="Arial"/>
          <w:color w:val="auto"/>
        </w:rPr>
        <w:t>’</w:t>
      </w:r>
      <w:r>
        <w:rPr>
          <w:rFonts w:ascii="Verdana" w:hAnsi="Verdana" w:cs="Arial"/>
          <w:color w:val="auto"/>
        </w:rPr>
        <w:t xml:space="preserve"> </w:t>
      </w:r>
      <w:r w:rsidR="00A624D8">
        <w:rPr>
          <w:rFonts w:ascii="Verdana" w:hAnsi="Verdana" w:cs="Arial"/>
          <w:color w:val="auto"/>
        </w:rPr>
        <w:t>provided a list of the grounds on which the Secretary of State may use their discretionary power to release a life prisoner. The ECtHR found that the compassionate grounds listed did not give any real hope of release.</w:t>
      </w:r>
      <w:r w:rsidR="00A624D8">
        <w:rPr>
          <w:rStyle w:val="FootnoteReference"/>
          <w:rFonts w:ascii="Verdana" w:hAnsi="Verdana" w:cs="Arial"/>
          <w:color w:val="auto"/>
        </w:rPr>
        <w:footnoteReference w:id="33"/>
      </w:r>
      <w:r w:rsidR="00A624D8">
        <w:rPr>
          <w:rFonts w:ascii="Verdana" w:hAnsi="Verdana" w:cs="Arial"/>
          <w:color w:val="auto"/>
        </w:rPr>
        <w:t xml:space="preserve"> </w:t>
      </w:r>
    </w:p>
    <w:p w14:paraId="7B3F3DB7" w14:textId="77777777" w:rsidR="00A624D8" w:rsidRDefault="00A624D8" w:rsidP="00A624D8">
      <w:pPr>
        <w:pStyle w:val="BasicParagraph"/>
        <w:suppressAutoHyphens/>
        <w:ind w:left="709"/>
        <w:jc w:val="both"/>
        <w:rPr>
          <w:rFonts w:ascii="Verdana" w:hAnsi="Verdana" w:cs="Arial"/>
          <w:color w:val="auto"/>
        </w:rPr>
      </w:pPr>
    </w:p>
    <w:p w14:paraId="591A0EF7" w14:textId="73444D72" w:rsidR="00732E1F" w:rsidRDefault="001D590B" w:rsidP="00001572">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Subsequently, in the case of </w:t>
      </w:r>
      <w:r w:rsidR="00732E1F" w:rsidRPr="00A4544A">
        <w:rPr>
          <w:rFonts w:ascii="Verdana" w:hAnsi="Verdana" w:cs="Arial"/>
          <w:i/>
          <w:color w:val="auto"/>
        </w:rPr>
        <w:t>R v. McLoughlin</w:t>
      </w:r>
      <w:r w:rsidR="00642D71" w:rsidRPr="00611F56">
        <w:rPr>
          <w:rFonts w:ascii="Verdana" w:hAnsi="Verdana" w:cs="Arial"/>
          <w:color w:val="auto"/>
        </w:rPr>
        <w:t>,</w:t>
      </w:r>
      <w:r w:rsidR="00732E1F" w:rsidRPr="00611F56">
        <w:rPr>
          <w:rFonts w:ascii="Verdana" w:hAnsi="Verdana" w:cs="Arial"/>
          <w:color w:val="auto"/>
        </w:rPr>
        <w:t xml:space="preserve"> </w:t>
      </w:r>
      <w:r w:rsidRPr="00611F56">
        <w:rPr>
          <w:rFonts w:ascii="Verdana" w:hAnsi="Verdana" w:cs="Arial"/>
          <w:color w:val="auto"/>
        </w:rPr>
        <w:t>the Court of Appeal</w:t>
      </w:r>
      <w:r w:rsidR="00732E1F" w:rsidRPr="00611F56">
        <w:rPr>
          <w:rFonts w:ascii="Verdana" w:hAnsi="Verdana" w:cs="Arial"/>
          <w:color w:val="auto"/>
        </w:rPr>
        <w:t xml:space="preserve"> </w:t>
      </w:r>
      <w:r w:rsidRPr="00611F56">
        <w:rPr>
          <w:rFonts w:ascii="Verdana" w:hAnsi="Verdana" w:cs="Arial"/>
          <w:color w:val="auto"/>
        </w:rPr>
        <w:t>emphasis</w:t>
      </w:r>
      <w:r w:rsidR="00732E1F" w:rsidRPr="00611F56">
        <w:rPr>
          <w:rFonts w:ascii="Verdana" w:hAnsi="Verdana" w:cs="Arial"/>
          <w:color w:val="auto"/>
        </w:rPr>
        <w:t>ed</w:t>
      </w:r>
      <w:r w:rsidRPr="00611F56">
        <w:rPr>
          <w:rFonts w:ascii="Verdana" w:hAnsi="Verdana" w:cs="Arial"/>
          <w:color w:val="auto"/>
        </w:rPr>
        <w:t xml:space="preserve"> that the Secretary of State has to make </w:t>
      </w:r>
      <w:r w:rsidR="00732E1F" w:rsidRPr="00611F56">
        <w:rPr>
          <w:rFonts w:ascii="Verdana" w:hAnsi="Verdana" w:cs="Arial"/>
          <w:color w:val="auto"/>
        </w:rPr>
        <w:t xml:space="preserve">sentence </w:t>
      </w:r>
      <w:r w:rsidRPr="00611F56">
        <w:rPr>
          <w:rFonts w:ascii="Verdana" w:hAnsi="Verdana" w:cs="Arial"/>
          <w:color w:val="auto"/>
        </w:rPr>
        <w:t>review decisions in a way that is compa</w:t>
      </w:r>
      <w:r w:rsidR="00732E1F" w:rsidRPr="00611F56">
        <w:rPr>
          <w:rFonts w:ascii="Verdana" w:hAnsi="Verdana" w:cs="Arial"/>
          <w:color w:val="auto"/>
        </w:rPr>
        <w:t xml:space="preserve">tible with the Human Rights Act </w:t>
      </w:r>
      <w:r w:rsidR="00931661">
        <w:rPr>
          <w:rFonts w:ascii="Verdana" w:hAnsi="Verdana" w:cs="Arial"/>
          <w:color w:val="auto"/>
        </w:rPr>
        <w:t>1998</w:t>
      </w:r>
      <w:r w:rsidR="00732E1F" w:rsidRPr="00611F56">
        <w:rPr>
          <w:rFonts w:ascii="Verdana" w:hAnsi="Verdana" w:cs="Arial"/>
          <w:color w:val="auto"/>
        </w:rPr>
        <w:t xml:space="preserve"> and </w:t>
      </w:r>
      <w:r w:rsidR="00A624D8">
        <w:rPr>
          <w:rFonts w:ascii="Verdana" w:hAnsi="Verdana" w:cs="Arial"/>
          <w:color w:val="auto"/>
        </w:rPr>
        <w:lastRenderedPageBreak/>
        <w:t xml:space="preserve">was not restricted by the grounds for release laid out in the </w:t>
      </w:r>
      <w:r w:rsidR="00BF16E1">
        <w:rPr>
          <w:rFonts w:ascii="Verdana" w:hAnsi="Verdana" w:cs="Arial"/>
          <w:color w:val="auto"/>
        </w:rPr>
        <w:t>‘</w:t>
      </w:r>
      <w:r w:rsidR="00A624D8">
        <w:rPr>
          <w:rFonts w:ascii="Verdana" w:hAnsi="Verdana" w:cs="Arial"/>
          <w:color w:val="auto"/>
        </w:rPr>
        <w:t>Lifer Manual</w:t>
      </w:r>
      <w:r w:rsidR="00BF16E1">
        <w:rPr>
          <w:rFonts w:ascii="Verdana" w:hAnsi="Verdana" w:cs="Arial"/>
          <w:color w:val="auto"/>
        </w:rPr>
        <w:t>’</w:t>
      </w:r>
      <w:r w:rsidR="00DF752E">
        <w:rPr>
          <w:rFonts w:ascii="Verdana" w:hAnsi="Verdana" w:cs="Arial"/>
          <w:color w:val="auto"/>
        </w:rPr>
        <w:t>.</w:t>
      </w:r>
      <w:r w:rsidR="00A624D8">
        <w:rPr>
          <w:rFonts w:ascii="Verdana" w:hAnsi="Verdana" w:cs="Arial"/>
          <w:color w:val="auto"/>
        </w:rPr>
        <w:t xml:space="preserve"> The Court therefore </w:t>
      </w:r>
      <w:r w:rsidR="00732E1F" w:rsidRPr="00611F56">
        <w:rPr>
          <w:rFonts w:ascii="Verdana" w:hAnsi="Verdana" w:cs="Arial"/>
          <w:color w:val="auto"/>
        </w:rPr>
        <w:t>found that the UK was not in breach of Article 3 ECHR.</w:t>
      </w:r>
      <w:r w:rsidR="00354C71">
        <w:rPr>
          <w:rStyle w:val="FootnoteReference"/>
          <w:rFonts w:ascii="Verdana" w:hAnsi="Verdana" w:cs="Arial"/>
          <w:color w:val="auto"/>
        </w:rPr>
        <w:footnoteReference w:id="34"/>
      </w:r>
      <w:r w:rsidR="00732E1F" w:rsidRPr="00611F56">
        <w:rPr>
          <w:rFonts w:ascii="Verdana" w:hAnsi="Verdana" w:cs="Arial"/>
          <w:color w:val="auto"/>
        </w:rPr>
        <w:t xml:space="preserve"> </w:t>
      </w:r>
    </w:p>
    <w:p w14:paraId="75655ACD" w14:textId="6C602DAF" w:rsidR="00611F56" w:rsidRDefault="00611F56" w:rsidP="00001572">
      <w:pPr>
        <w:pStyle w:val="BasicParagraph"/>
        <w:suppressAutoHyphens/>
        <w:ind w:left="709" w:hanging="709"/>
        <w:jc w:val="both"/>
        <w:rPr>
          <w:rFonts w:ascii="Verdana" w:hAnsi="Verdana" w:cs="Arial"/>
          <w:color w:val="auto"/>
        </w:rPr>
      </w:pPr>
    </w:p>
    <w:p w14:paraId="66A4F65F" w14:textId="6B6B3AE4" w:rsidR="00A84325" w:rsidRDefault="001D590B" w:rsidP="00001572">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Following </w:t>
      </w:r>
      <w:r w:rsidR="005C138A" w:rsidRPr="00611F56">
        <w:rPr>
          <w:rFonts w:ascii="Verdana" w:hAnsi="Verdana" w:cs="Arial"/>
          <w:color w:val="auto"/>
        </w:rPr>
        <w:t xml:space="preserve">the </w:t>
      </w:r>
      <w:r w:rsidR="00494E23">
        <w:rPr>
          <w:rFonts w:ascii="Verdana" w:hAnsi="Verdana" w:cs="Arial"/>
          <w:color w:val="auto"/>
        </w:rPr>
        <w:t xml:space="preserve">above </w:t>
      </w:r>
      <w:r w:rsidR="005C138A" w:rsidRPr="00611F56">
        <w:rPr>
          <w:rFonts w:ascii="Verdana" w:hAnsi="Verdana" w:cs="Arial"/>
          <w:color w:val="auto"/>
        </w:rPr>
        <w:t>Court of Appeal decision</w:t>
      </w:r>
      <w:r w:rsidRPr="00611F56">
        <w:rPr>
          <w:rFonts w:ascii="Verdana" w:hAnsi="Verdana" w:cs="Arial"/>
          <w:color w:val="auto"/>
        </w:rPr>
        <w:t xml:space="preserve">, in </w:t>
      </w:r>
      <w:r w:rsidR="00732E1F" w:rsidRPr="00611F56">
        <w:rPr>
          <w:rFonts w:ascii="Verdana" w:hAnsi="Verdana" w:cs="Arial"/>
          <w:color w:val="auto"/>
        </w:rPr>
        <w:t>the case of</w:t>
      </w:r>
      <w:r w:rsidRPr="00611F56">
        <w:rPr>
          <w:rFonts w:ascii="Verdana" w:hAnsi="Verdana" w:cs="Arial"/>
          <w:color w:val="auto"/>
        </w:rPr>
        <w:t xml:space="preserve"> </w:t>
      </w:r>
      <w:r w:rsidRPr="00A4544A">
        <w:rPr>
          <w:rFonts w:ascii="Verdana" w:hAnsi="Verdana" w:cs="Arial"/>
          <w:i/>
          <w:color w:val="auto"/>
        </w:rPr>
        <w:t xml:space="preserve">Hutchinson v </w:t>
      </w:r>
      <w:r w:rsidR="00931661">
        <w:rPr>
          <w:rFonts w:ascii="Verdana" w:hAnsi="Verdana" w:cs="Arial"/>
          <w:i/>
          <w:color w:val="auto"/>
        </w:rPr>
        <w:t xml:space="preserve">the </w:t>
      </w:r>
      <w:r w:rsidR="004265DE" w:rsidRPr="00A4544A">
        <w:rPr>
          <w:rFonts w:ascii="Verdana" w:hAnsi="Verdana" w:cs="Arial"/>
          <w:i/>
          <w:color w:val="auto"/>
        </w:rPr>
        <w:t>United Kingdom</w:t>
      </w:r>
      <w:r w:rsidRPr="00611F56">
        <w:rPr>
          <w:rFonts w:ascii="Verdana" w:hAnsi="Verdana" w:cs="Arial"/>
          <w:color w:val="auto"/>
        </w:rPr>
        <w:t xml:space="preserve">, the </w:t>
      </w:r>
      <w:r w:rsidR="00732E1F" w:rsidRPr="00611F56">
        <w:rPr>
          <w:rFonts w:ascii="Verdana" w:hAnsi="Verdana" w:cs="Arial"/>
          <w:color w:val="auto"/>
        </w:rPr>
        <w:t>ECtHR</w:t>
      </w:r>
      <w:r w:rsidRPr="00611F56">
        <w:rPr>
          <w:rFonts w:ascii="Verdana" w:hAnsi="Verdana" w:cs="Arial"/>
          <w:color w:val="auto"/>
        </w:rPr>
        <w:t xml:space="preserve"> found that the processes for review of whole life tariffs in England and Wales</w:t>
      </w:r>
      <w:r w:rsidR="00732E1F" w:rsidRPr="00611F56">
        <w:rPr>
          <w:rFonts w:ascii="Verdana" w:hAnsi="Verdana" w:cs="Arial"/>
          <w:color w:val="auto"/>
        </w:rPr>
        <w:t xml:space="preserve"> </w:t>
      </w:r>
      <w:r w:rsidR="00A624D8">
        <w:rPr>
          <w:rFonts w:ascii="Verdana" w:hAnsi="Verdana" w:cs="Arial"/>
          <w:color w:val="auto"/>
        </w:rPr>
        <w:t xml:space="preserve">now </w:t>
      </w:r>
      <w:r w:rsidR="00931661" w:rsidRPr="00611F56">
        <w:rPr>
          <w:rFonts w:ascii="Verdana" w:hAnsi="Verdana" w:cs="Arial"/>
          <w:color w:val="auto"/>
        </w:rPr>
        <w:t>d</w:t>
      </w:r>
      <w:r w:rsidR="00931661">
        <w:rPr>
          <w:rFonts w:ascii="Verdana" w:hAnsi="Verdana" w:cs="Arial"/>
          <w:color w:val="auto"/>
        </w:rPr>
        <w:t>id</w:t>
      </w:r>
      <w:r w:rsidR="00931661" w:rsidRPr="00611F56">
        <w:rPr>
          <w:rFonts w:ascii="Verdana" w:hAnsi="Verdana" w:cs="Arial"/>
          <w:color w:val="auto"/>
        </w:rPr>
        <w:t xml:space="preserve"> </w:t>
      </w:r>
      <w:r w:rsidR="00642D71" w:rsidRPr="00611F56">
        <w:rPr>
          <w:rFonts w:ascii="Verdana" w:hAnsi="Verdana" w:cs="Arial"/>
          <w:color w:val="auto"/>
        </w:rPr>
        <w:t xml:space="preserve">provide sufficient </w:t>
      </w:r>
      <w:r w:rsidR="005C138A" w:rsidRPr="00611F56">
        <w:rPr>
          <w:rFonts w:ascii="Verdana" w:hAnsi="Verdana" w:cs="Arial"/>
          <w:color w:val="auto"/>
        </w:rPr>
        <w:t xml:space="preserve">safeguards for human rights. </w:t>
      </w:r>
      <w:r w:rsidR="004265DE">
        <w:rPr>
          <w:rFonts w:ascii="Verdana" w:hAnsi="Verdana" w:cs="Arial"/>
          <w:color w:val="auto"/>
        </w:rPr>
        <w:t xml:space="preserve">In its judgment, the Court reaffirmed the principles laid down in </w:t>
      </w:r>
      <w:r w:rsidR="004265DE" w:rsidRPr="00A4544A">
        <w:rPr>
          <w:rFonts w:ascii="Verdana" w:hAnsi="Verdana" w:cs="Arial"/>
          <w:i/>
          <w:color w:val="auto"/>
        </w:rPr>
        <w:t>Vinter</w:t>
      </w:r>
      <w:r w:rsidR="004265DE">
        <w:rPr>
          <w:rFonts w:ascii="Verdana" w:hAnsi="Verdana" w:cs="Arial"/>
          <w:color w:val="auto"/>
        </w:rPr>
        <w:t xml:space="preserve"> </w:t>
      </w:r>
      <w:r w:rsidR="0019542D">
        <w:rPr>
          <w:rFonts w:ascii="Verdana" w:hAnsi="Verdana" w:cs="Arial"/>
          <w:color w:val="auto"/>
        </w:rPr>
        <w:t>that prisoners must have a hope of release.</w:t>
      </w:r>
      <w:r w:rsidR="0019542D">
        <w:rPr>
          <w:rStyle w:val="FootnoteReference"/>
          <w:rFonts w:ascii="Verdana" w:hAnsi="Verdana" w:cs="Arial"/>
          <w:color w:val="auto"/>
        </w:rPr>
        <w:footnoteReference w:id="35"/>
      </w:r>
    </w:p>
    <w:p w14:paraId="30F2FFDC" w14:textId="7BDEA3B0" w:rsidR="00611F56" w:rsidRDefault="00611F56" w:rsidP="00001572">
      <w:pPr>
        <w:pStyle w:val="ListParagraph"/>
        <w:ind w:left="709" w:hanging="709"/>
        <w:rPr>
          <w:rFonts w:ascii="Verdana" w:hAnsi="Verdana" w:cs="Arial"/>
        </w:rPr>
      </w:pPr>
    </w:p>
    <w:p w14:paraId="2FB3E250" w14:textId="69B08C56" w:rsidR="00F76BCF" w:rsidRDefault="005C138A" w:rsidP="00001572">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The consultation recognises a number of </w:t>
      </w:r>
      <w:r w:rsidR="00931661">
        <w:rPr>
          <w:rFonts w:ascii="Verdana" w:hAnsi="Verdana" w:cs="Arial"/>
          <w:color w:val="auto"/>
        </w:rPr>
        <w:t xml:space="preserve">possible </w:t>
      </w:r>
      <w:r w:rsidRPr="00611F56">
        <w:rPr>
          <w:rFonts w:ascii="Verdana" w:hAnsi="Verdana" w:cs="Arial"/>
          <w:color w:val="auto"/>
        </w:rPr>
        <w:t>reasons for non-disclosure including the passage of time, illness in prison, or the prisoner’s state of mind at the time of the killing makes them uncertain of the relevant details; or whether they are making a deliberate decision not to disclose the information.</w:t>
      </w:r>
      <w:r w:rsidR="00612083">
        <w:rPr>
          <w:rStyle w:val="FootnoteReference"/>
          <w:rFonts w:ascii="Verdana" w:hAnsi="Verdana" w:cs="Arial"/>
          <w:color w:val="auto"/>
        </w:rPr>
        <w:footnoteReference w:id="36"/>
      </w:r>
      <w:r w:rsidR="002E1E41" w:rsidRPr="00611F56">
        <w:rPr>
          <w:rFonts w:ascii="Verdana" w:hAnsi="Verdana" w:cs="Arial"/>
          <w:color w:val="auto"/>
        </w:rPr>
        <w:t xml:space="preserve"> Although whole life sentences are, in principle, compatible with Article 3 ECHR, imposing an irreducible sentence may raise a </w:t>
      </w:r>
      <w:r w:rsidR="00931661">
        <w:rPr>
          <w:rFonts w:ascii="Verdana" w:hAnsi="Verdana" w:cs="Arial"/>
          <w:color w:val="auto"/>
        </w:rPr>
        <w:t xml:space="preserve">question of compliance </w:t>
      </w:r>
      <w:r w:rsidR="00AB4DCF">
        <w:rPr>
          <w:rFonts w:ascii="Verdana" w:hAnsi="Verdana" w:cs="Arial"/>
          <w:color w:val="auto"/>
        </w:rPr>
        <w:t xml:space="preserve">with </w:t>
      </w:r>
      <w:r w:rsidR="002E1E41" w:rsidRPr="00611F56">
        <w:rPr>
          <w:rFonts w:ascii="Verdana" w:hAnsi="Verdana" w:cs="Arial"/>
          <w:color w:val="auto"/>
        </w:rPr>
        <w:t xml:space="preserve">Article 3. The Court </w:t>
      </w:r>
      <w:r w:rsidR="00931661">
        <w:rPr>
          <w:rFonts w:ascii="Verdana" w:hAnsi="Verdana" w:cs="Arial"/>
          <w:color w:val="auto"/>
        </w:rPr>
        <w:t xml:space="preserve">has </w:t>
      </w:r>
      <w:r w:rsidR="00BF16E1">
        <w:rPr>
          <w:rFonts w:ascii="Verdana" w:hAnsi="Verdana" w:cs="Arial"/>
          <w:color w:val="auto"/>
        </w:rPr>
        <w:t>found</w:t>
      </w:r>
      <w:r w:rsidR="00931661">
        <w:rPr>
          <w:rFonts w:ascii="Verdana" w:hAnsi="Verdana" w:cs="Arial"/>
          <w:color w:val="auto"/>
        </w:rPr>
        <w:t xml:space="preserve"> violations of the Convention</w:t>
      </w:r>
      <w:r w:rsidR="002E1E41" w:rsidRPr="00611F56">
        <w:rPr>
          <w:rFonts w:ascii="Verdana" w:hAnsi="Verdana" w:cs="Arial"/>
          <w:color w:val="auto"/>
        </w:rPr>
        <w:t xml:space="preserve"> where a prisoner is deprived of any possibility of release. The Department should consider, i</w:t>
      </w:r>
      <w:r w:rsidR="00F76BCF" w:rsidRPr="00611F56">
        <w:rPr>
          <w:rFonts w:ascii="Verdana" w:hAnsi="Verdana" w:cs="Arial"/>
          <w:color w:val="auto"/>
        </w:rPr>
        <w:t>f a prisoner was unable to disclose the whereabouts of a body</w:t>
      </w:r>
      <w:r w:rsidR="002E1E41" w:rsidRPr="00611F56">
        <w:rPr>
          <w:rFonts w:ascii="Verdana" w:hAnsi="Verdana" w:cs="Arial"/>
          <w:color w:val="auto"/>
        </w:rPr>
        <w:t>, could the</w:t>
      </w:r>
      <w:r w:rsidR="00F76BCF" w:rsidRPr="00611F56">
        <w:rPr>
          <w:rFonts w:ascii="Verdana" w:hAnsi="Verdana" w:cs="Arial"/>
          <w:color w:val="auto"/>
        </w:rPr>
        <w:t xml:space="preserve"> legislation result in a situation </w:t>
      </w:r>
      <w:r w:rsidR="00F229CE" w:rsidRPr="00611F56">
        <w:rPr>
          <w:rFonts w:ascii="Verdana" w:hAnsi="Verdana" w:cs="Arial"/>
          <w:color w:val="auto"/>
        </w:rPr>
        <w:t>in which there</w:t>
      </w:r>
      <w:r w:rsidR="00F76BCF" w:rsidRPr="00611F56">
        <w:rPr>
          <w:rFonts w:ascii="Verdana" w:hAnsi="Verdana" w:cs="Arial"/>
          <w:color w:val="auto"/>
        </w:rPr>
        <w:t xml:space="preserve"> is no prospect of release. </w:t>
      </w:r>
      <w:r w:rsidR="00931661">
        <w:rPr>
          <w:rFonts w:ascii="Verdana" w:hAnsi="Verdana" w:cs="Arial"/>
          <w:color w:val="auto"/>
        </w:rPr>
        <w:t xml:space="preserve">Such a scenario could give rise to a violation of Article 3 ECHR. </w:t>
      </w:r>
    </w:p>
    <w:p w14:paraId="0CDC7EB8" w14:textId="54C6E5E2" w:rsidR="00611F56" w:rsidRDefault="00611F56" w:rsidP="00001572">
      <w:pPr>
        <w:pStyle w:val="ListParagraph"/>
        <w:ind w:left="709" w:hanging="709"/>
        <w:rPr>
          <w:rFonts w:ascii="Verdana" w:hAnsi="Verdana" w:cs="Arial"/>
        </w:rPr>
      </w:pPr>
    </w:p>
    <w:p w14:paraId="17D9E30B" w14:textId="37A43BC8" w:rsidR="00EA6464" w:rsidRPr="00A43FBA" w:rsidRDefault="00F25766" w:rsidP="00A43FBA">
      <w:pPr>
        <w:pStyle w:val="BasicParagraph"/>
        <w:numPr>
          <w:ilvl w:val="1"/>
          <w:numId w:val="16"/>
        </w:numPr>
        <w:suppressAutoHyphens/>
        <w:ind w:left="709" w:hanging="709"/>
        <w:jc w:val="both"/>
        <w:rPr>
          <w:rFonts w:ascii="Verdana" w:hAnsi="Verdana" w:cs="Arial"/>
          <w:color w:val="auto"/>
        </w:rPr>
      </w:pPr>
      <w:r w:rsidRPr="00611F56">
        <w:rPr>
          <w:rFonts w:ascii="Verdana" w:hAnsi="Verdana" w:cs="Arial"/>
          <w:color w:val="auto"/>
        </w:rPr>
        <w:t xml:space="preserve">The </w:t>
      </w:r>
      <w:r w:rsidR="005E7195">
        <w:rPr>
          <w:rFonts w:ascii="Verdana" w:hAnsi="Verdana" w:cs="Arial"/>
          <w:color w:val="auto"/>
        </w:rPr>
        <w:t>c</w:t>
      </w:r>
      <w:r w:rsidR="002E1E41" w:rsidRPr="00611F56">
        <w:rPr>
          <w:rFonts w:ascii="Verdana" w:hAnsi="Verdana" w:cs="Arial"/>
          <w:color w:val="auto"/>
        </w:rPr>
        <w:t>on</w:t>
      </w:r>
      <w:r w:rsidR="00F229CE" w:rsidRPr="00611F56">
        <w:rPr>
          <w:rFonts w:ascii="Verdana" w:hAnsi="Verdana" w:cs="Arial"/>
          <w:color w:val="auto"/>
        </w:rPr>
        <w:t>sultation highlights that the</w:t>
      </w:r>
      <w:r w:rsidR="002E1E41" w:rsidRPr="00611F56">
        <w:rPr>
          <w:rFonts w:ascii="Verdana" w:hAnsi="Verdana" w:cs="Arial"/>
          <w:color w:val="auto"/>
        </w:rPr>
        <w:t xml:space="preserve"> Parole Commissioner</w:t>
      </w:r>
      <w:r w:rsidR="00F229CE" w:rsidRPr="00611F56">
        <w:rPr>
          <w:rFonts w:ascii="Verdana" w:hAnsi="Verdana" w:cs="Arial"/>
          <w:color w:val="auto"/>
        </w:rPr>
        <w:t>s</w:t>
      </w:r>
      <w:r w:rsidR="00612BD9">
        <w:rPr>
          <w:rFonts w:ascii="Verdana" w:hAnsi="Verdana" w:cs="Arial"/>
          <w:color w:val="auto"/>
        </w:rPr>
        <w:t>’</w:t>
      </w:r>
      <w:r w:rsidR="00F229CE" w:rsidRPr="00611F56">
        <w:rPr>
          <w:rFonts w:ascii="Verdana" w:hAnsi="Verdana" w:cs="Arial"/>
          <w:color w:val="auto"/>
        </w:rPr>
        <w:t xml:space="preserve"> decision on whether to release a prisoner on licence or not is made on the basis of an assessment of risk.</w:t>
      </w:r>
      <w:r w:rsidR="002E1E41" w:rsidRPr="00611F56">
        <w:rPr>
          <w:rFonts w:ascii="Verdana" w:hAnsi="Verdana" w:cs="Arial"/>
          <w:color w:val="auto"/>
        </w:rPr>
        <w:t xml:space="preserve"> </w:t>
      </w:r>
      <w:r w:rsidR="00F229CE" w:rsidRPr="00611F56">
        <w:rPr>
          <w:rFonts w:ascii="Verdana" w:hAnsi="Verdana" w:cs="Arial"/>
          <w:color w:val="auto"/>
        </w:rPr>
        <w:t>The</w:t>
      </w:r>
      <w:r w:rsidR="002E1E41" w:rsidRPr="00611F56">
        <w:rPr>
          <w:rFonts w:ascii="Verdana" w:hAnsi="Verdana" w:cs="Arial"/>
          <w:color w:val="auto"/>
        </w:rPr>
        <w:t xml:space="preserve"> </w:t>
      </w:r>
      <w:r w:rsidRPr="00611F56">
        <w:rPr>
          <w:rFonts w:ascii="Verdana" w:hAnsi="Verdana" w:cs="Arial"/>
          <w:color w:val="auto"/>
        </w:rPr>
        <w:t>Department should ensure that the Parole Commission</w:t>
      </w:r>
      <w:r w:rsidR="00F229CE" w:rsidRPr="00611F56">
        <w:rPr>
          <w:rFonts w:ascii="Verdana" w:hAnsi="Verdana" w:cs="Arial"/>
          <w:color w:val="auto"/>
        </w:rPr>
        <w:t>ers</w:t>
      </w:r>
      <w:r w:rsidRPr="00611F56">
        <w:rPr>
          <w:rFonts w:ascii="Verdana" w:hAnsi="Verdana" w:cs="Arial"/>
          <w:color w:val="auto"/>
        </w:rPr>
        <w:t xml:space="preserve"> can continue to exercise discretion in assessing the risk associated with non-disclosure. The Department should also ensure that the </w:t>
      </w:r>
      <w:r w:rsidR="00EC3ED8" w:rsidRPr="00611F56">
        <w:rPr>
          <w:rFonts w:ascii="Verdana" w:hAnsi="Verdana" w:cs="Arial"/>
          <w:color w:val="auto"/>
        </w:rPr>
        <w:t>distinct roles of the courts and the Parole Commission</w:t>
      </w:r>
      <w:r w:rsidR="002E1E41" w:rsidRPr="00611F56">
        <w:rPr>
          <w:rFonts w:ascii="Verdana" w:hAnsi="Verdana" w:cs="Arial"/>
          <w:color w:val="auto"/>
        </w:rPr>
        <w:t>ers</w:t>
      </w:r>
      <w:r w:rsidR="00EC3ED8" w:rsidRPr="00611F56">
        <w:rPr>
          <w:rFonts w:ascii="Verdana" w:hAnsi="Verdana" w:cs="Arial"/>
          <w:color w:val="auto"/>
        </w:rPr>
        <w:t xml:space="preserve"> are maintained and that legislation does not compel the Parole Commission</w:t>
      </w:r>
      <w:r w:rsidR="002E1E41" w:rsidRPr="00611F56">
        <w:rPr>
          <w:rFonts w:ascii="Verdana" w:hAnsi="Verdana" w:cs="Arial"/>
          <w:color w:val="auto"/>
        </w:rPr>
        <w:t>ers</w:t>
      </w:r>
      <w:r w:rsidR="00EC3ED8" w:rsidRPr="00611F56">
        <w:rPr>
          <w:rFonts w:ascii="Verdana" w:hAnsi="Verdana" w:cs="Arial"/>
          <w:color w:val="auto"/>
        </w:rPr>
        <w:t xml:space="preserve"> to take punitive action or extend sentences that have been determined by the Courts. </w:t>
      </w:r>
      <w:r w:rsidR="007E0830" w:rsidRPr="007E0830">
        <w:rPr>
          <w:rFonts w:ascii="Verdana" w:hAnsi="Verdana" w:cs="Arial"/>
          <w:color w:val="auto"/>
        </w:rPr>
        <w:t>Article 10</w:t>
      </w:r>
      <w:r w:rsidR="00931661">
        <w:rPr>
          <w:rFonts w:ascii="Verdana" w:hAnsi="Verdana" w:cs="Arial"/>
          <w:color w:val="auto"/>
        </w:rPr>
        <w:t>(</w:t>
      </w:r>
      <w:r w:rsidR="007E0830" w:rsidRPr="007E0830">
        <w:rPr>
          <w:rFonts w:ascii="Verdana" w:hAnsi="Verdana" w:cs="Arial"/>
          <w:color w:val="auto"/>
        </w:rPr>
        <w:t>3</w:t>
      </w:r>
      <w:r w:rsidR="00931661">
        <w:rPr>
          <w:rFonts w:ascii="Verdana" w:hAnsi="Verdana" w:cs="Arial"/>
          <w:color w:val="auto"/>
        </w:rPr>
        <w:t>)</w:t>
      </w:r>
      <w:r w:rsidR="007E0830" w:rsidRPr="007E0830">
        <w:rPr>
          <w:rFonts w:ascii="Verdana" w:hAnsi="Verdana" w:cs="Arial"/>
          <w:color w:val="auto"/>
        </w:rPr>
        <w:t xml:space="preserve"> of the International Covenant on Civil and Political Rights specifically provides that the essential aim of the </w:t>
      </w:r>
      <w:r w:rsidR="00F56EC7">
        <w:rPr>
          <w:rFonts w:ascii="Verdana" w:hAnsi="Verdana" w:cs="Arial"/>
          <w:color w:val="auto"/>
        </w:rPr>
        <w:t>justice</w:t>
      </w:r>
      <w:r w:rsidR="007E0830" w:rsidRPr="007E0830">
        <w:rPr>
          <w:rFonts w:ascii="Verdana" w:hAnsi="Verdana" w:cs="Arial"/>
          <w:color w:val="auto"/>
        </w:rPr>
        <w:t xml:space="preserve"> system s</w:t>
      </w:r>
      <w:r w:rsidR="007E0830">
        <w:rPr>
          <w:rFonts w:ascii="Verdana" w:hAnsi="Verdana" w:cs="Arial"/>
          <w:color w:val="auto"/>
        </w:rPr>
        <w:t>hould</w:t>
      </w:r>
      <w:r w:rsidR="007E0830" w:rsidRPr="007E0830">
        <w:rPr>
          <w:rFonts w:ascii="Verdana" w:hAnsi="Verdana" w:cs="Arial"/>
          <w:color w:val="auto"/>
        </w:rPr>
        <w:t xml:space="preserve"> be the reformation and social rehabilitation of prisoners. This is emphasised in the </w:t>
      </w:r>
      <w:r w:rsidR="00704C71">
        <w:rPr>
          <w:rFonts w:ascii="Verdana" w:hAnsi="Verdana" w:cs="Arial"/>
          <w:color w:val="auto"/>
        </w:rPr>
        <w:t xml:space="preserve">UN </w:t>
      </w:r>
      <w:r w:rsidR="007E0830" w:rsidRPr="007E0830">
        <w:rPr>
          <w:rFonts w:ascii="Verdana" w:hAnsi="Verdana" w:cs="Arial"/>
          <w:color w:val="auto"/>
        </w:rPr>
        <w:t xml:space="preserve">Human Rights Committee’s General Comment on Article 10, which stresses that no </w:t>
      </w:r>
      <w:r w:rsidR="007E0830">
        <w:rPr>
          <w:rFonts w:ascii="Verdana" w:hAnsi="Verdana" w:cs="Arial"/>
          <w:color w:val="auto"/>
        </w:rPr>
        <w:t>justice</w:t>
      </w:r>
      <w:r w:rsidR="007E0830" w:rsidRPr="007E0830">
        <w:rPr>
          <w:rFonts w:ascii="Verdana" w:hAnsi="Verdana" w:cs="Arial"/>
          <w:color w:val="auto"/>
        </w:rPr>
        <w:t xml:space="preserve"> system should be only retributory</w:t>
      </w:r>
      <w:r w:rsidR="007E0830">
        <w:rPr>
          <w:rFonts w:ascii="Verdana" w:hAnsi="Verdana" w:cs="Arial"/>
          <w:color w:val="auto"/>
        </w:rPr>
        <w:t>.</w:t>
      </w:r>
      <w:r w:rsidR="00520288">
        <w:rPr>
          <w:rStyle w:val="FootnoteReference"/>
          <w:rFonts w:ascii="Verdana" w:hAnsi="Verdana" w:cs="Arial"/>
          <w:color w:val="auto"/>
        </w:rPr>
        <w:footnoteReference w:id="37"/>
      </w:r>
    </w:p>
    <w:p w14:paraId="65252732" w14:textId="77777777" w:rsidR="00EA6464" w:rsidRDefault="00EA6464" w:rsidP="00EA6464">
      <w:pPr>
        <w:pStyle w:val="ListParagraph"/>
        <w:rPr>
          <w:rFonts w:ascii="Verdana" w:hAnsi="Verdana" w:cs="Arial"/>
        </w:rPr>
      </w:pPr>
    </w:p>
    <w:p w14:paraId="165838B7" w14:textId="59C03FF0" w:rsidR="00704C71" w:rsidRPr="00EA6464" w:rsidRDefault="00F76BCF" w:rsidP="00EA6464">
      <w:pPr>
        <w:pStyle w:val="BasicParagraph"/>
        <w:numPr>
          <w:ilvl w:val="1"/>
          <w:numId w:val="16"/>
        </w:numPr>
        <w:suppressAutoHyphens/>
        <w:ind w:left="709" w:hanging="709"/>
        <w:jc w:val="both"/>
        <w:rPr>
          <w:rFonts w:ascii="Verdana" w:hAnsi="Verdana" w:cs="Arial"/>
          <w:b/>
          <w:color w:val="auto"/>
        </w:rPr>
      </w:pPr>
      <w:r w:rsidRPr="00EA6464">
        <w:rPr>
          <w:rFonts w:ascii="Verdana" w:hAnsi="Verdana" w:cs="Arial"/>
          <w:b/>
          <w:color w:val="auto"/>
        </w:rPr>
        <w:t xml:space="preserve">The </w:t>
      </w:r>
      <w:r w:rsidR="008F698E" w:rsidRPr="00EA6464">
        <w:rPr>
          <w:rFonts w:ascii="Verdana" w:hAnsi="Verdana" w:cs="Arial"/>
          <w:b/>
          <w:color w:val="auto"/>
        </w:rPr>
        <w:t>Commission</w:t>
      </w:r>
      <w:r w:rsidRPr="00EA6464">
        <w:rPr>
          <w:rFonts w:ascii="Verdana" w:hAnsi="Verdana" w:cs="Arial"/>
          <w:b/>
          <w:color w:val="auto"/>
        </w:rPr>
        <w:t xml:space="preserve"> recommends that the Department ensure that any </w:t>
      </w:r>
      <w:r w:rsidRPr="00EA6464">
        <w:rPr>
          <w:rFonts w:ascii="Verdana" w:hAnsi="Verdana" w:cs="Arial"/>
          <w:b/>
          <w:color w:val="auto"/>
        </w:rPr>
        <w:lastRenderedPageBreak/>
        <w:t xml:space="preserve">proposed legislative change complies with the Article 3 ECHR </w:t>
      </w:r>
      <w:r w:rsidR="00F229CE" w:rsidRPr="00EA6464">
        <w:rPr>
          <w:rFonts w:ascii="Verdana" w:hAnsi="Verdana" w:cs="Arial"/>
          <w:b/>
          <w:color w:val="auto"/>
        </w:rPr>
        <w:t xml:space="preserve">requirement </w:t>
      </w:r>
      <w:r w:rsidRPr="00EA6464">
        <w:rPr>
          <w:rFonts w:ascii="Verdana" w:hAnsi="Verdana" w:cs="Arial"/>
          <w:b/>
          <w:color w:val="auto"/>
        </w:rPr>
        <w:t>that there must be a prospect of release.</w:t>
      </w:r>
      <w:r w:rsidR="00F229CE" w:rsidRPr="00EA6464">
        <w:rPr>
          <w:rFonts w:ascii="Verdana" w:hAnsi="Verdana" w:cs="Arial"/>
          <w:b/>
          <w:color w:val="auto"/>
        </w:rPr>
        <w:t xml:space="preserve"> </w:t>
      </w:r>
    </w:p>
    <w:p w14:paraId="3F61C45C" w14:textId="77777777" w:rsidR="00EA6464" w:rsidRPr="00EA6464" w:rsidRDefault="00EA6464" w:rsidP="00EA6464">
      <w:pPr>
        <w:pStyle w:val="BasicParagraph"/>
        <w:suppressAutoHyphens/>
        <w:jc w:val="both"/>
        <w:rPr>
          <w:rFonts w:ascii="Verdana" w:hAnsi="Verdana" w:cs="Arial"/>
          <w:b/>
          <w:color w:val="auto"/>
        </w:rPr>
      </w:pPr>
    </w:p>
    <w:p w14:paraId="5B0A1A64" w14:textId="6AC64E6E" w:rsidR="00F76BCF" w:rsidRPr="00EA6464" w:rsidRDefault="5AA6C3DB" w:rsidP="00EA6464">
      <w:pPr>
        <w:pStyle w:val="BasicParagraph"/>
        <w:numPr>
          <w:ilvl w:val="1"/>
          <w:numId w:val="16"/>
        </w:numPr>
        <w:suppressAutoHyphens/>
        <w:ind w:left="709" w:hanging="709"/>
        <w:jc w:val="both"/>
        <w:rPr>
          <w:rFonts w:ascii="Verdana" w:hAnsi="Verdana" w:cs="Arial"/>
          <w:b/>
          <w:color w:val="auto"/>
        </w:rPr>
      </w:pPr>
      <w:r w:rsidRPr="00EA6464">
        <w:rPr>
          <w:rFonts w:ascii="Verdana" w:hAnsi="Verdana" w:cs="Arial"/>
          <w:b/>
          <w:bCs/>
          <w:color w:val="auto"/>
        </w:rPr>
        <w:t xml:space="preserve">The </w:t>
      </w:r>
      <w:r w:rsidR="4D2A2548" w:rsidRPr="00EA6464">
        <w:rPr>
          <w:rFonts w:ascii="Verdana" w:hAnsi="Verdana" w:cs="Arial"/>
          <w:b/>
          <w:bCs/>
          <w:color w:val="auto"/>
        </w:rPr>
        <w:t>Commission</w:t>
      </w:r>
      <w:r w:rsidRPr="00EA6464">
        <w:rPr>
          <w:rFonts w:ascii="Verdana" w:hAnsi="Verdana" w:cs="Arial"/>
          <w:b/>
          <w:bCs/>
          <w:color w:val="auto"/>
        </w:rPr>
        <w:t xml:space="preserve"> further recommends </w:t>
      </w:r>
      <w:r w:rsidR="00612083">
        <w:rPr>
          <w:rFonts w:ascii="Verdana" w:hAnsi="Verdana" w:cs="Arial"/>
          <w:b/>
          <w:bCs/>
          <w:color w:val="auto"/>
        </w:rPr>
        <w:t xml:space="preserve">that </w:t>
      </w:r>
      <w:r w:rsidRPr="00EA6464">
        <w:rPr>
          <w:rFonts w:ascii="Verdana" w:hAnsi="Verdana" w:cs="Arial"/>
          <w:b/>
          <w:bCs/>
          <w:color w:val="auto"/>
        </w:rPr>
        <w:t>the Department ensure that the distinct roles of tariff setting and assessing risk are maintained by the C</w:t>
      </w:r>
      <w:r w:rsidR="6B4D627E" w:rsidRPr="00EA6464">
        <w:rPr>
          <w:rFonts w:ascii="Verdana" w:hAnsi="Verdana" w:cs="Arial"/>
          <w:b/>
          <w:bCs/>
          <w:color w:val="auto"/>
        </w:rPr>
        <w:t>ourts and Parole Commissioners</w:t>
      </w:r>
      <w:r w:rsidR="09860A3C" w:rsidRPr="00EA6464">
        <w:rPr>
          <w:rFonts w:ascii="Verdana" w:hAnsi="Verdana" w:cs="Arial"/>
          <w:b/>
          <w:bCs/>
          <w:color w:val="auto"/>
        </w:rPr>
        <w:t>.</w:t>
      </w:r>
    </w:p>
    <w:p w14:paraId="582FDB17" w14:textId="77777777" w:rsidR="00611F56" w:rsidRDefault="00611F56" w:rsidP="00001572">
      <w:pPr>
        <w:pStyle w:val="ListParagraph"/>
        <w:ind w:left="709" w:hanging="709"/>
        <w:rPr>
          <w:rFonts w:ascii="Verdana" w:hAnsi="Verdana" w:cs="Arial"/>
        </w:rPr>
      </w:pPr>
    </w:p>
    <w:p w14:paraId="215FA5E5" w14:textId="77777777" w:rsidR="00611F56" w:rsidRDefault="00611F56" w:rsidP="00001572">
      <w:pPr>
        <w:pStyle w:val="BasicParagraph"/>
        <w:suppressAutoHyphens/>
        <w:ind w:left="709" w:hanging="709"/>
        <w:jc w:val="both"/>
        <w:rPr>
          <w:rFonts w:ascii="Verdana" w:hAnsi="Verdana" w:cs="Arial"/>
          <w:color w:val="auto"/>
        </w:rPr>
      </w:pPr>
    </w:p>
    <w:p w14:paraId="78429576" w14:textId="1235E7A0" w:rsidR="00611F56" w:rsidRPr="00AA3190" w:rsidRDefault="00611F56" w:rsidP="00AA3190">
      <w:pPr>
        <w:pStyle w:val="BasicParagraph"/>
        <w:numPr>
          <w:ilvl w:val="0"/>
          <w:numId w:val="18"/>
        </w:numPr>
        <w:suppressAutoHyphens/>
        <w:ind w:left="709" w:hanging="709"/>
        <w:jc w:val="both"/>
        <w:rPr>
          <w:rFonts w:ascii="Verdana" w:hAnsi="Verdana" w:cs="Arial"/>
          <w:b/>
          <w:color w:val="7030A0"/>
          <w:sz w:val="30"/>
          <w:szCs w:val="30"/>
        </w:rPr>
      </w:pPr>
      <w:r w:rsidRPr="00611F56">
        <w:rPr>
          <w:rFonts w:ascii="Verdana" w:hAnsi="Verdana" w:cs="Arial"/>
          <w:b/>
          <w:color w:val="7030A0"/>
          <w:sz w:val="30"/>
          <w:szCs w:val="30"/>
        </w:rPr>
        <w:t>Human Rights Impact Assessment</w:t>
      </w:r>
    </w:p>
    <w:p w14:paraId="16B5EDBF" w14:textId="77777777" w:rsidR="00611F56" w:rsidRPr="00611F56" w:rsidRDefault="00611F56" w:rsidP="00001572">
      <w:pPr>
        <w:pStyle w:val="BasicParagraph"/>
        <w:suppressAutoHyphens/>
        <w:ind w:left="709" w:hanging="709"/>
        <w:jc w:val="both"/>
        <w:rPr>
          <w:rFonts w:ascii="Verdana" w:hAnsi="Verdana" w:cs="Arial"/>
          <w:color w:val="auto"/>
        </w:rPr>
      </w:pPr>
    </w:p>
    <w:p w14:paraId="04D3CD37" w14:textId="77777777" w:rsidR="00611F56" w:rsidRPr="00611F56" w:rsidRDefault="00611F56" w:rsidP="00001572">
      <w:pPr>
        <w:pStyle w:val="ListParagraph"/>
        <w:widowControl w:val="0"/>
        <w:numPr>
          <w:ilvl w:val="0"/>
          <w:numId w:val="16"/>
        </w:numPr>
        <w:suppressAutoHyphens/>
        <w:autoSpaceDE w:val="0"/>
        <w:autoSpaceDN w:val="0"/>
        <w:adjustRightInd w:val="0"/>
        <w:spacing w:line="288" w:lineRule="auto"/>
        <w:ind w:left="709" w:hanging="709"/>
        <w:contextualSpacing w:val="0"/>
        <w:jc w:val="both"/>
        <w:textAlignment w:val="center"/>
        <w:rPr>
          <w:rFonts w:ascii="Verdana" w:hAnsi="Verdana" w:cs="Arial"/>
          <w:vanish/>
        </w:rPr>
      </w:pPr>
    </w:p>
    <w:p w14:paraId="53699763" w14:textId="0A035A7D" w:rsidR="00704C71" w:rsidRDefault="00704C71" w:rsidP="00001572">
      <w:pPr>
        <w:pStyle w:val="BasicParagraph"/>
        <w:numPr>
          <w:ilvl w:val="1"/>
          <w:numId w:val="16"/>
        </w:numPr>
        <w:suppressAutoHyphens/>
        <w:ind w:left="709" w:hanging="709"/>
        <w:jc w:val="both"/>
        <w:rPr>
          <w:rFonts w:ascii="Verdana" w:hAnsi="Verdana" w:cs="Arial"/>
          <w:color w:val="auto"/>
        </w:rPr>
      </w:pPr>
      <w:r>
        <w:rPr>
          <w:rFonts w:ascii="Verdana" w:hAnsi="Verdana" w:cs="Arial"/>
          <w:color w:val="auto"/>
        </w:rPr>
        <w:t xml:space="preserve">The Commission notes that the consultation document does not engage in any analysis of the relevant human rights framework, nor does it appear to be accompanied by a Human Rights Impact Assessment. </w:t>
      </w:r>
    </w:p>
    <w:p w14:paraId="399DCF59" w14:textId="77777777" w:rsidR="00704C71" w:rsidRDefault="00704C71" w:rsidP="00B52C89">
      <w:pPr>
        <w:pStyle w:val="BasicParagraph"/>
        <w:suppressAutoHyphens/>
        <w:ind w:left="548"/>
        <w:jc w:val="both"/>
        <w:rPr>
          <w:rFonts w:ascii="Verdana" w:hAnsi="Verdana" w:cs="Arial"/>
          <w:color w:val="auto"/>
        </w:rPr>
      </w:pPr>
    </w:p>
    <w:p w14:paraId="42A2AD69" w14:textId="19206E3D" w:rsidR="00611F56" w:rsidRDefault="35B28316" w:rsidP="00001572">
      <w:pPr>
        <w:pStyle w:val="BasicParagraph"/>
        <w:numPr>
          <w:ilvl w:val="1"/>
          <w:numId w:val="16"/>
        </w:numPr>
        <w:suppressAutoHyphens/>
        <w:ind w:left="709" w:hanging="709"/>
        <w:jc w:val="both"/>
        <w:rPr>
          <w:rFonts w:ascii="Verdana" w:hAnsi="Verdana" w:cs="Arial"/>
          <w:color w:val="auto"/>
        </w:rPr>
      </w:pPr>
      <w:r w:rsidRPr="37AD38E2">
        <w:rPr>
          <w:rFonts w:ascii="Verdana" w:hAnsi="Verdana" w:cs="Arial"/>
          <w:color w:val="auto"/>
        </w:rPr>
        <w:t xml:space="preserve">In line with the Department’s obligations under the Human Rights Act 1998 and Northern Ireland Act 1998, </w:t>
      </w:r>
      <w:r w:rsidR="57FD7F6F" w:rsidRPr="37AD38E2">
        <w:rPr>
          <w:rFonts w:ascii="Verdana" w:hAnsi="Verdana" w:cs="Arial"/>
          <w:color w:val="auto"/>
        </w:rPr>
        <w:t xml:space="preserve">it is important that a </w:t>
      </w:r>
      <w:r w:rsidR="000B6B48">
        <w:rPr>
          <w:rFonts w:ascii="Verdana" w:hAnsi="Verdana" w:cs="Arial"/>
          <w:color w:val="auto"/>
        </w:rPr>
        <w:t>H</w:t>
      </w:r>
      <w:r w:rsidR="57FD7F6F" w:rsidRPr="37AD38E2">
        <w:rPr>
          <w:rFonts w:ascii="Verdana" w:hAnsi="Verdana" w:cs="Arial"/>
          <w:color w:val="auto"/>
        </w:rPr>
        <w:t xml:space="preserve">uman </w:t>
      </w:r>
      <w:r w:rsidR="000B6B48">
        <w:rPr>
          <w:rFonts w:ascii="Verdana" w:hAnsi="Verdana" w:cs="Arial"/>
          <w:color w:val="auto"/>
        </w:rPr>
        <w:t>R</w:t>
      </w:r>
      <w:r w:rsidR="57FD7F6F" w:rsidRPr="37AD38E2">
        <w:rPr>
          <w:rFonts w:ascii="Verdana" w:hAnsi="Verdana" w:cs="Arial"/>
          <w:color w:val="auto"/>
        </w:rPr>
        <w:t xml:space="preserve">ights </w:t>
      </w:r>
      <w:r w:rsidR="000B6B48">
        <w:rPr>
          <w:rFonts w:ascii="Verdana" w:hAnsi="Verdana" w:cs="Arial"/>
          <w:color w:val="auto"/>
        </w:rPr>
        <w:t>I</w:t>
      </w:r>
      <w:r w:rsidR="57FD7F6F" w:rsidRPr="37AD38E2">
        <w:rPr>
          <w:rFonts w:ascii="Verdana" w:hAnsi="Verdana" w:cs="Arial"/>
          <w:color w:val="auto"/>
        </w:rPr>
        <w:t xml:space="preserve">mpact </w:t>
      </w:r>
      <w:r w:rsidR="000B6B48">
        <w:rPr>
          <w:rFonts w:ascii="Verdana" w:hAnsi="Verdana" w:cs="Arial"/>
          <w:color w:val="auto"/>
        </w:rPr>
        <w:t>A</w:t>
      </w:r>
      <w:r w:rsidR="57FD7F6F" w:rsidRPr="37AD38E2">
        <w:rPr>
          <w:rFonts w:ascii="Verdana" w:hAnsi="Verdana" w:cs="Arial"/>
          <w:color w:val="auto"/>
        </w:rPr>
        <w:t xml:space="preserve">ssessment is conducted </w:t>
      </w:r>
      <w:r w:rsidRPr="37AD38E2">
        <w:rPr>
          <w:rFonts w:ascii="Verdana" w:hAnsi="Verdana" w:cs="Arial"/>
          <w:color w:val="auto"/>
        </w:rPr>
        <w:t xml:space="preserve">in developing law and policy arising from the present consultation. </w:t>
      </w:r>
      <w:r w:rsidR="57FD7F6F" w:rsidRPr="37AD38E2">
        <w:rPr>
          <w:rFonts w:ascii="Verdana" w:hAnsi="Verdana" w:cs="Arial"/>
          <w:color w:val="auto"/>
        </w:rPr>
        <w:t xml:space="preserve">The purpose of </w:t>
      </w:r>
      <w:r w:rsidRPr="37AD38E2">
        <w:rPr>
          <w:rFonts w:ascii="Verdana" w:hAnsi="Verdana" w:cs="Arial"/>
          <w:color w:val="auto"/>
        </w:rPr>
        <w:t xml:space="preserve">such an </w:t>
      </w:r>
      <w:r w:rsidR="57FD7F6F" w:rsidRPr="37AD38E2">
        <w:rPr>
          <w:rFonts w:ascii="Verdana" w:hAnsi="Verdana" w:cs="Arial"/>
          <w:color w:val="auto"/>
        </w:rPr>
        <w:t xml:space="preserve">assessment is to </w:t>
      </w:r>
      <w:r w:rsidRPr="37AD38E2">
        <w:rPr>
          <w:rFonts w:ascii="Verdana" w:hAnsi="Verdana" w:cs="Arial"/>
          <w:color w:val="auto"/>
        </w:rPr>
        <w:t xml:space="preserve">assist policy makers to </w:t>
      </w:r>
      <w:r w:rsidR="57FD7F6F" w:rsidRPr="37AD38E2">
        <w:rPr>
          <w:rFonts w:ascii="Verdana" w:hAnsi="Verdana" w:cs="Arial"/>
          <w:color w:val="auto"/>
        </w:rPr>
        <w:t xml:space="preserve">identify the potential rights engaged and </w:t>
      </w:r>
      <w:r w:rsidRPr="37AD38E2">
        <w:rPr>
          <w:rFonts w:ascii="Verdana" w:hAnsi="Verdana" w:cs="Arial"/>
          <w:color w:val="auto"/>
        </w:rPr>
        <w:t xml:space="preserve">those which may negatively interfere or restrict rights. The Commission can provide further advice on the production of a human rights based impact assessment. </w:t>
      </w:r>
    </w:p>
    <w:p w14:paraId="0F9A6641" w14:textId="3A3142D8" w:rsidR="00611F56" w:rsidRDefault="00611F56" w:rsidP="00001572">
      <w:pPr>
        <w:pStyle w:val="BasicParagraph"/>
        <w:suppressAutoHyphens/>
        <w:ind w:left="709" w:hanging="709"/>
        <w:jc w:val="both"/>
        <w:rPr>
          <w:rFonts w:ascii="Verdana" w:hAnsi="Verdana" w:cs="Arial"/>
          <w:color w:val="auto"/>
        </w:rPr>
      </w:pPr>
    </w:p>
    <w:p w14:paraId="7C3973FC" w14:textId="20B31439" w:rsidR="00704C71" w:rsidRPr="00704C71" w:rsidRDefault="4BE29C4E" w:rsidP="37AD38E2">
      <w:pPr>
        <w:pStyle w:val="BasicParagraph"/>
        <w:numPr>
          <w:ilvl w:val="1"/>
          <w:numId w:val="16"/>
        </w:numPr>
        <w:suppressAutoHyphens/>
        <w:ind w:left="709" w:hanging="709"/>
        <w:jc w:val="both"/>
        <w:rPr>
          <w:rFonts w:ascii="Verdana" w:hAnsi="Verdana" w:cs="Arial"/>
          <w:b/>
          <w:bCs/>
          <w:color w:val="auto"/>
        </w:rPr>
      </w:pPr>
      <w:r w:rsidRPr="37AD38E2">
        <w:rPr>
          <w:rFonts w:ascii="Verdana" w:hAnsi="Verdana" w:cs="Arial"/>
          <w:b/>
          <w:bCs/>
        </w:rPr>
        <w:t xml:space="preserve">The </w:t>
      </w:r>
      <w:r w:rsidR="35B28316" w:rsidRPr="37AD38E2">
        <w:rPr>
          <w:rFonts w:ascii="Verdana" w:hAnsi="Verdana" w:cs="Arial"/>
          <w:b/>
          <w:bCs/>
        </w:rPr>
        <w:t xml:space="preserve">Commission </w:t>
      </w:r>
      <w:r w:rsidRPr="37AD38E2">
        <w:rPr>
          <w:rFonts w:ascii="Verdana" w:hAnsi="Verdana" w:cs="Arial"/>
          <w:b/>
          <w:bCs/>
        </w:rPr>
        <w:t>recommends that the Department conduct a Human Rights Impact Assessment before developing any new legislation, policies or practices</w:t>
      </w:r>
      <w:r w:rsidR="35B28316" w:rsidRPr="37AD38E2">
        <w:rPr>
          <w:rFonts w:ascii="Verdana" w:hAnsi="Verdana" w:cs="Arial"/>
          <w:b/>
          <w:bCs/>
        </w:rPr>
        <w:t>, which takes account of all international human rights obligations</w:t>
      </w:r>
      <w:r w:rsidR="35B28316" w:rsidRPr="37AD38E2">
        <w:rPr>
          <w:rFonts w:ascii="Verdana" w:hAnsi="Verdana" w:cs="Arial"/>
          <w:b/>
          <w:bCs/>
          <w:color w:val="auto"/>
        </w:rPr>
        <w:t>.</w:t>
      </w:r>
    </w:p>
    <w:p w14:paraId="57514328" w14:textId="77777777" w:rsidR="00640E0C" w:rsidRPr="00611F56" w:rsidRDefault="00640E0C" w:rsidP="00001572">
      <w:pPr>
        <w:pStyle w:val="ListParagraph"/>
        <w:ind w:left="709" w:hanging="709"/>
        <w:rPr>
          <w:rFonts w:ascii="Verdana" w:hAnsi="Verdana" w:cs="Arial"/>
        </w:rPr>
      </w:pPr>
    </w:p>
    <w:p w14:paraId="06350665" w14:textId="77777777" w:rsidR="00F97693" w:rsidRPr="00611F56" w:rsidRDefault="00F97693" w:rsidP="00001572">
      <w:pPr>
        <w:pStyle w:val="ListParagraph"/>
        <w:ind w:left="709" w:hanging="709"/>
        <w:rPr>
          <w:rFonts w:ascii="Verdana" w:hAnsi="Verdana" w:cs="Arial"/>
        </w:rPr>
      </w:pPr>
    </w:p>
    <w:p w14:paraId="60E3F473" w14:textId="1302DB19" w:rsidR="00676B9C" w:rsidRPr="00611F56" w:rsidRDefault="00676B9C" w:rsidP="00001572">
      <w:pPr>
        <w:pStyle w:val="ListParagraph"/>
        <w:ind w:left="709" w:hanging="709"/>
        <w:rPr>
          <w:rFonts w:ascii="Verdana" w:hAnsi="Verdana" w:cs="Arial"/>
        </w:rPr>
      </w:pPr>
    </w:p>
    <w:p w14:paraId="7EFFB400" w14:textId="6CD61F8B" w:rsidR="00676B9C" w:rsidRPr="00611F56" w:rsidRDefault="00676B9C" w:rsidP="00001572">
      <w:pPr>
        <w:pStyle w:val="ListParagraph"/>
        <w:ind w:left="709" w:hanging="709"/>
        <w:rPr>
          <w:rFonts w:ascii="Verdana" w:hAnsi="Verdana" w:cs="Arial"/>
        </w:rPr>
      </w:pPr>
    </w:p>
    <w:p w14:paraId="6D851932" w14:textId="445439B2" w:rsidR="00C67D43" w:rsidRPr="00611F56" w:rsidRDefault="00C67D43" w:rsidP="00001572">
      <w:pPr>
        <w:pStyle w:val="ListParagraph"/>
        <w:ind w:left="709" w:hanging="709"/>
        <w:rPr>
          <w:rFonts w:ascii="Verdana" w:hAnsi="Verdana" w:cs="Arial"/>
        </w:rPr>
      </w:pPr>
    </w:p>
    <w:p w14:paraId="74872542" w14:textId="77777777" w:rsidR="00676B9C" w:rsidRPr="00676B9C" w:rsidRDefault="00676B9C" w:rsidP="00001572">
      <w:pPr>
        <w:pStyle w:val="BasicParagraph"/>
        <w:suppressAutoHyphens/>
        <w:ind w:left="709" w:hanging="709"/>
        <w:rPr>
          <w:rFonts w:ascii="Verdana" w:hAnsi="Verdana" w:cs="Arial"/>
          <w:color w:val="232120"/>
        </w:rPr>
      </w:pPr>
    </w:p>
    <w:p w14:paraId="32125D48" w14:textId="26B9FECE" w:rsidR="0022100E" w:rsidRPr="00F320D2" w:rsidRDefault="0022100E" w:rsidP="00001572">
      <w:pPr>
        <w:pStyle w:val="BasicParagraph"/>
        <w:suppressAutoHyphens/>
        <w:ind w:left="709" w:hanging="709"/>
        <w:rPr>
          <w:rFonts w:ascii="Verdana" w:hAnsi="Verdana" w:cs="Arial"/>
          <w:color w:val="232120"/>
        </w:rPr>
      </w:pPr>
    </w:p>
    <w:p w14:paraId="14B01007" w14:textId="5E0F5974" w:rsidR="00F320D2" w:rsidRDefault="00F320D2" w:rsidP="00001572">
      <w:pPr>
        <w:pStyle w:val="BasicParagraph"/>
        <w:suppressAutoHyphens/>
        <w:ind w:left="709" w:hanging="709"/>
        <w:rPr>
          <w:rFonts w:ascii="Verdana" w:hAnsi="Verdana" w:cs="Arial"/>
          <w:color w:val="232120"/>
          <w:lang w:val="en-US"/>
        </w:rPr>
      </w:pPr>
    </w:p>
    <w:p w14:paraId="0DE7AFA1" w14:textId="18BB517F" w:rsidR="00354C71" w:rsidRDefault="00354C71" w:rsidP="00001572">
      <w:pPr>
        <w:pStyle w:val="BasicParagraph"/>
        <w:suppressAutoHyphens/>
        <w:ind w:left="709" w:hanging="709"/>
        <w:rPr>
          <w:rFonts w:ascii="Verdana" w:hAnsi="Verdana" w:cs="Arial"/>
          <w:color w:val="232120"/>
          <w:lang w:val="en-US"/>
        </w:rPr>
      </w:pPr>
    </w:p>
    <w:p w14:paraId="65323174" w14:textId="6A0A357A" w:rsidR="00354C71" w:rsidRDefault="00354C71" w:rsidP="00001572">
      <w:pPr>
        <w:pStyle w:val="BasicParagraph"/>
        <w:suppressAutoHyphens/>
        <w:ind w:left="709" w:hanging="709"/>
        <w:rPr>
          <w:rFonts w:ascii="Verdana" w:hAnsi="Verdana" w:cs="Arial"/>
          <w:color w:val="232120"/>
          <w:lang w:val="en-US"/>
        </w:rPr>
      </w:pPr>
    </w:p>
    <w:p w14:paraId="24B27E83" w14:textId="3D85A2A3" w:rsidR="00354C71" w:rsidRDefault="00354C71" w:rsidP="00001572">
      <w:pPr>
        <w:pStyle w:val="BasicParagraph"/>
        <w:suppressAutoHyphens/>
        <w:ind w:left="709" w:hanging="709"/>
        <w:rPr>
          <w:rFonts w:ascii="Verdana" w:hAnsi="Verdana" w:cs="Arial"/>
          <w:color w:val="232120"/>
          <w:lang w:val="en-US"/>
        </w:rPr>
      </w:pPr>
    </w:p>
    <w:p w14:paraId="4ABD203B" w14:textId="30334D42" w:rsidR="00354C71" w:rsidRDefault="00354C71" w:rsidP="00001572">
      <w:pPr>
        <w:pStyle w:val="BasicParagraph"/>
        <w:suppressAutoHyphens/>
        <w:ind w:left="709" w:hanging="709"/>
        <w:rPr>
          <w:rFonts w:ascii="Verdana" w:hAnsi="Verdana" w:cs="Arial"/>
          <w:color w:val="232120"/>
          <w:lang w:val="en-US"/>
        </w:rPr>
      </w:pPr>
    </w:p>
    <w:p w14:paraId="3B279B8B" w14:textId="2B1A5DF3" w:rsidR="00354C71" w:rsidRDefault="00354C71" w:rsidP="00001572">
      <w:pPr>
        <w:pStyle w:val="BasicParagraph"/>
        <w:suppressAutoHyphens/>
        <w:ind w:left="709" w:hanging="709"/>
        <w:rPr>
          <w:rFonts w:ascii="Verdana" w:hAnsi="Verdana" w:cs="Arial"/>
          <w:color w:val="232120"/>
          <w:lang w:val="en-US"/>
        </w:rPr>
      </w:pPr>
    </w:p>
    <w:p w14:paraId="2D92F9DC" w14:textId="207905DD" w:rsidR="00354C71" w:rsidRDefault="00354C71" w:rsidP="00001572">
      <w:pPr>
        <w:pStyle w:val="BasicParagraph"/>
        <w:suppressAutoHyphens/>
        <w:ind w:left="709" w:hanging="709"/>
        <w:rPr>
          <w:rFonts w:ascii="Verdana" w:hAnsi="Verdana" w:cs="Arial"/>
          <w:color w:val="232120"/>
          <w:lang w:val="en-US"/>
        </w:rPr>
      </w:pPr>
    </w:p>
    <w:p w14:paraId="5DE2A349" w14:textId="692A313B" w:rsidR="00354C71" w:rsidRDefault="00354C71" w:rsidP="00001572">
      <w:pPr>
        <w:pStyle w:val="BasicParagraph"/>
        <w:suppressAutoHyphens/>
        <w:ind w:left="709" w:hanging="709"/>
        <w:rPr>
          <w:rFonts w:ascii="Verdana" w:hAnsi="Verdana" w:cs="Arial"/>
          <w:color w:val="232120"/>
          <w:lang w:val="en-US"/>
        </w:rPr>
      </w:pPr>
    </w:p>
    <w:p w14:paraId="12AF90B5" w14:textId="2E396007" w:rsidR="00354C71" w:rsidRDefault="00354C71" w:rsidP="00001572">
      <w:pPr>
        <w:pStyle w:val="BasicParagraph"/>
        <w:suppressAutoHyphens/>
        <w:ind w:left="709" w:hanging="709"/>
        <w:rPr>
          <w:rFonts w:ascii="Verdana" w:hAnsi="Verdana" w:cs="Arial"/>
          <w:color w:val="232120"/>
          <w:lang w:val="en-US"/>
        </w:rPr>
      </w:pPr>
    </w:p>
    <w:p w14:paraId="6A25C2DC" w14:textId="7137930C" w:rsidR="00354C71" w:rsidRDefault="00354C71" w:rsidP="00001572">
      <w:pPr>
        <w:pStyle w:val="BasicParagraph"/>
        <w:suppressAutoHyphens/>
        <w:ind w:left="709" w:hanging="709"/>
        <w:rPr>
          <w:rFonts w:ascii="Verdana" w:hAnsi="Verdana" w:cs="Arial"/>
          <w:color w:val="232120"/>
          <w:lang w:val="en-US"/>
        </w:rPr>
      </w:pPr>
    </w:p>
    <w:p w14:paraId="7C11271F" w14:textId="773042B9" w:rsidR="00354C71" w:rsidRDefault="00354C71" w:rsidP="00001572">
      <w:pPr>
        <w:pStyle w:val="BasicParagraph"/>
        <w:suppressAutoHyphens/>
        <w:ind w:left="709" w:hanging="709"/>
        <w:rPr>
          <w:rFonts w:ascii="Verdana" w:hAnsi="Verdana" w:cs="Arial"/>
          <w:color w:val="232120"/>
          <w:lang w:val="en-US"/>
        </w:rPr>
      </w:pPr>
    </w:p>
    <w:p w14:paraId="117C9C42" w14:textId="7C9A2F4B" w:rsidR="00354C71" w:rsidRDefault="00354C71" w:rsidP="00001572">
      <w:pPr>
        <w:pStyle w:val="BasicParagraph"/>
        <w:suppressAutoHyphens/>
        <w:ind w:left="709" w:hanging="709"/>
        <w:rPr>
          <w:rFonts w:ascii="Verdana" w:hAnsi="Verdana" w:cs="Arial"/>
          <w:color w:val="232120"/>
          <w:lang w:val="en-US"/>
        </w:rPr>
      </w:pPr>
    </w:p>
    <w:p w14:paraId="42155B8A" w14:textId="69663219" w:rsidR="00354C71" w:rsidRDefault="00354C71" w:rsidP="00001572">
      <w:pPr>
        <w:pStyle w:val="BasicParagraph"/>
        <w:suppressAutoHyphens/>
        <w:ind w:left="709" w:hanging="709"/>
        <w:rPr>
          <w:rFonts w:ascii="Verdana" w:hAnsi="Verdana" w:cs="Arial"/>
          <w:color w:val="232120"/>
          <w:lang w:val="en-US"/>
        </w:rPr>
      </w:pPr>
    </w:p>
    <w:p w14:paraId="109CE3BE" w14:textId="55A37312" w:rsidR="00354C71" w:rsidRDefault="00354C71" w:rsidP="00001572">
      <w:pPr>
        <w:pStyle w:val="BasicParagraph"/>
        <w:suppressAutoHyphens/>
        <w:ind w:left="709" w:hanging="709"/>
        <w:rPr>
          <w:rFonts w:ascii="Verdana" w:hAnsi="Verdana" w:cs="Arial"/>
          <w:color w:val="232120"/>
          <w:lang w:val="en-US"/>
        </w:rPr>
      </w:pPr>
    </w:p>
    <w:p w14:paraId="7A82600A" w14:textId="3EFB701A" w:rsidR="00354C71" w:rsidRDefault="00354C71" w:rsidP="00001572">
      <w:pPr>
        <w:pStyle w:val="BasicParagraph"/>
        <w:suppressAutoHyphens/>
        <w:ind w:left="709" w:hanging="709"/>
        <w:rPr>
          <w:rFonts w:ascii="Verdana" w:hAnsi="Verdana" w:cs="Arial"/>
          <w:color w:val="232120"/>
          <w:lang w:val="en-US"/>
        </w:rPr>
      </w:pPr>
    </w:p>
    <w:p w14:paraId="4F0863AB" w14:textId="0E5756F9" w:rsidR="00354C71" w:rsidRDefault="00354C71" w:rsidP="00001572">
      <w:pPr>
        <w:pStyle w:val="BasicParagraph"/>
        <w:suppressAutoHyphens/>
        <w:ind w:left="709" w:hanging="709"/>
        <w:rPr>
          <w:rFonts w:ascii="Verdana" w:hAnsi="Verdana" w:cs="Arial"/>
          <w:color w:val="232120"/>
          <w:lang w:val="en-US"/>
        </w:rPr>
      </w:pPr>
    </w:p>
    <w:p w14:paraId="47B05138" w14:textId="3577C6CC" w:rsidR="00354C71" w:rsidRDefault="00354C71" w:rsidP="00001572">
      <w:pPr>
        <w:pStyle w:val="BasicParagraph"/>
        <w:suppressAutoHyphens/>
        <w:ind w:left="709" w:hanging="709"/>
        <w:rPr>
          <w:rFonts w:ascii="Verdana" w:hAnsi="Verdana" w:cs="Arial"/>
          <w:color w:val="232120"/>
          <w:lang w:val="en-US"/>
        </w:rPr>
      </w:pPr>
    </w:p>
    <w:p w14:paraId="3B37E2DF" w14:textId="0B5AAFD7" w:rsidR="00BB3BEB" w:rsidRDefault="00BB3BEB" w:rsidP="00655F6F">
      <w:pPr>
        <w:pStyle w:val="BasicParagraph"/>
        <w:suppressAutoHyphens/>
        <w:rPr>
          <w:rFonts w:ascii="Verdana" w:hAnsi="Verdana" w:cs="Arial"/>
          <w:b/>
          <w:bCs/>
          <w:color w:val="77328A"/>
          <w:sz w:val="36"/>
          <w:szCs w:val="36"/>
        </w:rPr>
      </w:pPr>
    </w:p>
    <w:p w14:paraId="66669EAB" w14:textId="77777777" w:rsidR="00BB3BEB" w:rsidRDefault="00BB3BEB" w:rsidP="00001572">
      <w:pPr>
        <w:pStyle w:val="BasicParagraph"/>
        <w:suppressAutoHyphens/>
        <w:ind w:left="709" w:hanging="709"/>
        <w:jc w:val="center"/>
        <w:rPr>
          <w:rFonts w:ascii="Verdana" w:hAnsi="Verdana" w:cs="Arial"/>
          <w:b/>
          <w:bCs/>
          <w:color w:val="77328A"/>
          <w:sz w:val="36"/>
          <w:szCs w:val="36"/>
        </w:rPr>
      </w:pPr>
    </w:p>
    <w:p w14:paraId="67831F66" w14:textId="77777777" w:rsidR="00BB3BEB" w:rsidRDefault="00BB3BEB" w:rsidP="00001572">
      <w:pPr>
        <w:pStyle w:val="BasicParagraph"/>
        <w:suppressAutoHyphens/>
        <w:ind w:left="709" w:hanging="709"/>
        <w:jc w:val="center"/>
        <w:rPr>
          <w:rFonts w:ascii="Verdana" w:hAnsi="Verdana" w:cs="Arial"/>
          <w:b/>
          <w:bCs/>
          <w:color w:val="77328A"/>
          <w:sz w:val="36"/>
          <w:szCs w:val="36"/>
        </w:rPr>
      </w:pPr>
    </w:p>
    <w:p w14:paraId="63446889" w14:textId="07306AF0" w:rsidR="00705833" w:rsidRPr="00331C61" w:rsidRDefault="00705833" w:rsidP="00001572">
      <w:pPr>
        <w:pStyle w:val="BasicParagraph"/>
        <w:suppressAutoHyphens/>
        <w:ind w:left="709" w:hanging="709"/>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38DD4292" w14:textId="77777777" w:rsidR="00331C61" w:rsidRPr="00331C61" w:rsidRDefault="00331C61" w:rsidP="00001572">
      <w:pPr>
        <w:spacing w:line="288" w:lineRule="auto"/>
        <w:ind w:left="709" w:hanging="709"/>
        <w:jc w:val="center"/>
        <w:rPr>
          <w:rFonts w:ascii="Verdana" w:hAnsi="Verdana" w:cs="Arial"/>
          <w:b/>
          <w:color w:val="232120"/>
          <w:sz w:val="30"/>
          <w:szCs w:val="30"/>
        </w:rPr>
      </w:pPr>
    </w:p>
    <w:p w14:paraId="1B4FA080" w14:textId="77777777" w:rsidR="00331C61" w:rsidRPr="00331C61" w:rsidRDefault="00331C61" w:rsidP="00001572">
      <w:pPr>
        <w:spacing w:line="288" w:lineRule="auto"/>
        <w:ind w:left="709" w:hanging="709"/>
        <w:jc w:val="center"/>
        <w:rPr>
          <w:rFonts w:ascii="Verdana" w:hAnsi="Verdana" w:cs="Arial"/>
          <w:b/>
          <w:color w:val="232120"/>
          <w:sz w:val="30"/>
          <w:szCs w:val="30"/>
        </w:rPr>
      </w:pPr>
    </w:p>
    <w:p w14:paraId="58CD1096" w14:textId="77777777" w:rsidR="00331C61" w:rsidRPr="00331C61" w:rsidRDefault="00341A60" w:rsidP="00001572">
      <w:pPr>
        <w:spacing w:line="288" w:lineRule="auto"/>
        <w:ind w:left="709" w:hanging="709"/>
        <w:jc w:val="center"/>
        <w:rPr>
          <w:rFonts w:ascii="Verdana" w:hAnsi="Verdana" w:cs="Arial"/>
          <w:color w:val="232120"/>
          <w:sz w:val="28"/>
          <w:szCs w:val="28"/>
        </w:rPr>
      </w:pPr>
      <w:hyperlink r:id="rId12"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3"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4E022C46" w14:textId="77777777" w:rsidR="00F56C78" w:rsidRPr="00331C61" w:rsidRDefault="00D16532" w:rsidP="00001572">
      <w:pPr>
        <w:spacing w:line="288" w:lineRule="auto"/>
        <w:ind w:left="709" w:hanging="709"/>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446954D8" w14:textId="77777777" w:rsidR="00F56C78" w:rsidRPr="00331C61" w:rsidRDefault="00F56C78" w:rsidP="00001572">
      <w:pPr>
        <w:spacing w:line="288" w:lineRule="auto"/>
        <w:ind w:left="709" w:hanging="709"/>
        <w:jc w:val="center"/>
        <w:rPr>
          <w:rFonts w:ascii="Verdana" w:hAnsi="Verdana" w:cs="Arial"/>
          <w:b/>
          <w:color w:val="232120"/>
          <w:sz w:val="28"/>
          <w:szCs w:val="28"/>
        </w:rPr>
      </w:pPr>
    </w:p>
    <w:p w14:paraId="17E8AD06" w14:textId="77777777" w:rsidR="00F56C78" w:rsidRPr="00331C61" w:rsidRDefault="00F56C78" w:rsidP="00001572">
      <w:pPr>
        <w:spacing w:line="288" w:lineRule="auto"/>
        <w:ind w:left="709" w:hanging="709"/>
        <w:jc w:val="center"/>
        <w:rPr>
          <w:rFonts w:ascii="Verdana" w:hAnsi="Verdana" w:cs="Arial"/>
          <w:color w:val="232120"/>
          <w:sz w:val="20"/>
          <w:szCs w:val="20"/>
        </w:rPr>
      </w:pPr>
    </w:p>
    <w:p w14:paraId="54428EC1" w14:textId="77777777" w:rsidR="00705833" w:rsidRPr="00331C61" w:rsidRDefault="00F56C78" w:rsidP="00001572">
      <w:pPr>
        <w:pStyle w:val="BasicParagraph"/>
        <w:suppressAutoHyphens/>
        <w:spacing w:line="240" w:lineRule="auto"/>
        <w:ind w:left="709" w:hanging="709"/>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A4E34EC" wp14:editId="4550FD3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5E7" w16cex:dateUtc="2022-01-28T11:48:00Z"/>
  <w16cex:commentExtensible w16cex:durableId="25A1095F" w16cex:dateUtc="2022-01-30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36635" w16cid:durableId="25A105E7"/>
  <w16cid:commentId w16cid:paraId="64B66C34" w16cid:durableId="25A10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4516" w14:textId="77777777" w:rsidR="00773842" w:rsidRDefault="00773842" w:rsidP="00962B2B">
      <w:r>
        <w:separator/>
      </w:r>
    </w:p>
  </w:endnote>
  <w:endnote w:type="continuationSeparator" w:id="0">
    <w:p w14:paraId="6A3A38BD" w14:textId="77777777" w:rsidR="00773842" w:rsidRDefault="00773842" w:rsidP="00962B2B">
      <w:r>
        <w:continuationSeparator/>
      </w:r>
    </w:p>
  </w:endnote>
  <w:endnote w:type="continuationNotice" w:id="1">
    <w:p w14:paraId="41FE24E9" w14:textId="77777777" w:rsidR="00773842" w:rsidRDefault="00773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5204D" w14:textId="77777777" w:rsidR="00A006A4" w:rsidRDefault="00A006A4" w:rsidP="00656ECD">
    <w:pPr>
      <w:pStyle w:val="Footer"/>
      <w:jc w:val="right"/>
      <w:rPr>
        <w:rStyle w:val="PageNumber"/>
        <w:rFonts w:ascii="Arial" w:hAnsi="Arial" w:cs="Arial"/>
        <w:b/>
        <w:sz w:val="16"/>
        <w:szCs w:val="16"/>
      </w:rPr>
    </w:pPr>
  </w:p>
  <w:p w14:paraId="436500AA" w14:textId="57B9671D" w:rsidR="00A006A4" w:rsidRPr="007569C1" w:rsidRDefault="00A006A4"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341A60">
      <w:rPr>
        <w:rStyle w:val="PageNumber"/>
        <w:rFonts w:ascii="Arial" w:hAnsi="Arial" w:cs="Arial"/>
        <w:b/>
        <w:noProof/>
        <w:color w:val="77328A"/>
        <w:sz w:val="16"/>
        <w:szCs w:val="16"/>
      </w:rPr>
      <w:t>16</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BBC8" w14:textId="77777777" w:rsidR="00A006A4" w:rsidRDefault="00A006A4" w:rsidP="00046705">
    <w:pPr>
      <w:pStyle w:val="Footer"/>
      <w:jc w:val="right"/>
      <w:rPr>
        <w:rStyle w:val="PageNumber"/>
        <w:rFonts w:ascii="Arial" w:hAnsi="Arial" w:cs="Arial"/>
        <w:b/>
        <w:sz w:val="16"/>
        <w:szCs w:val="16"/>
      </w:rPr>
    </w:pPr>
  </w:p>
  <w:p w14:paraId="6C0BA625" w14:textId="77777777" w:rsidR="00A006A4" w:rsidRPr="00D12EF8" w:rsidRDefault="00A006A4"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DDF71" w14:textId="77777777" w:rsidR="00773842" w:rsidRDefault="00773842" w:rsidP="00B96D34">
      <w:r>
        <w:continuationSeparator/>
      </w:r>
    </w:p>
    <w:p w14:paraId="1781974B" w14:textId="77777777" w:rsidR="00773842" w:rsidRPr="00B96D34" w:rsidRDefault="00773842" w:rsidP="00B96D34">
      <w:pPr>
        <w:pStyle w:val="Footer"/>
      </w:pPr>
    </w:p>
  </w:footnote>
  <w:footnote w:type="continuationSeparator" w:id="0">
    <w:p w14:paraId="4C4A97A5" w14:textId="77777777" w:rsidR="00773842" w:rsidRDefault="00773842" w:rsidP="00962B2B">
      <w:r>
        <w:continuationSeparator/>
      </w:r>
    </w:p>
  </w:footnote>
  <w:footnote w:type="continuationNotice" w:id="1">
    <w:p w14:paraId="2BC5EACE" w14:textId="77777777" w:rsidR="00773842" w:rsidRDefault="00773842"/>
  </w:footnote>
  <w:footnote w:id="2">
    <w:p w14:paraId="35F54784" w14:textId="76915C1D" w:rsidR="00A006A4" w:rsidRPr="00EA0699" w:rsidRDefault="00A006A4">
      <w:pPr>
        <w:pStyle w:val="FootnoteText"/>
        <w:rPr>
          <w:rFonts w:ascii="Verdana" w:hAnsi="Verdana"/>
          <w:color w:val="7030A0"/>
          <w:sz w:val="16"/>
          <w:szCs w:val="16"/>
        </w:rPr>
      </w:pPr>
      <w:r w:rsidRPr="00EA0699">
        <w:rPr>
          <w:rStyle w:val="FootnoteReference"/>
          <w:rFonts w:ascii="Verdana" w:hAnsi="Verdana"/>
          <w:color w:val="7030A0"/>
          <w:sz w:val="16"/>
          <w:szCs w:val="16"/>
        </w:rPr>
        <w:footnoteRef/>
      </w:r>
      <w:r w:rsidRPr="00EA0699">
        <w:rPr>
          <w:rFonts w:ascii="Verdana" w:hAnsi="Verdana"/>
          <w:color w:val="7030A0"/>
          <w:sz w:val="16"/>
          <w:szCs w:val="16"/>
        </w:rPr>
        <w:t xml:space="preserve"> UK ratification 1951. Further guidance is also taken from the body of case law from the European Court of Human Rights (ECtHR). </w:t>
      </w:r>
    </w:p>
  </w:footnote>
  <w:footnote w:id="3">
    <w:p w14:paraId="4B02803D" w14:textId="7338E230" w:rsidR="00A006A4" w:rsidRDefault="00A006A4">
      <w:pPr>
        <w:pStyle w:val="FootnoteText"/>
      </w:pPr>
      <w:r w:rsidRPr="00EA0699">
        <w:rPr>
          <w:rStyle w:val="FootnoteReference"/>
          <w:rFonts w:ascii="Verdana" w:hAnsi="Verdana"/>
          <w:color w:val="7030A0"/>
          <w:sz w:val="16"/>
          <w:szCs w:val="16"/>
        </w:rPr>
        <w:footnoteRef/>
      </w:r>
      <w:r w:rsidRPr="00EA0699">
        <w:rPr>
          <w:rFonts w:ascii="Verdana" w:hAnsi="Verdana"/>
          <w:color w:val="7030A0"/>
          <w:sz w:val="16"/>
          <w:szCs w:val="16"/>
        </w:rPr>
        <w:t xml:space="preserve"> Ratified by the UK in 1966.</w:t>
      </w:r>
    </w:p>
  </w:footnote>
  <w:footnote w:id="4">
    <w:p w14:paraId="0849778E" w14:textId="6DA54370" w:rsidR="00A006A4" w:rsidRPr="0052177D" w:rsidRDefault="00A006A4">
      <w:pPr>
        <w:pStyle w:val="FootnoteText"/>
        <w:rPr>
          <w:rFonts w:ascii="Verdana" w:hAnsi="Verdana"/>
          <w:sz w:val="16"/>
          <w:szCs w:val="16"/>
        </w:rPr>
      </w:pPr>
      <w:r w:rsidRPr="0052177D">
        <w:rPr>
          <w:rStyle w:val="FootnoteReference"/>
          <w:rFonts w:ascii="Verdana" w:hAnsi="Verdana"/>
          <w:color w:val="7030A0"/>
          <w:sz w:val="16"/>
          <w:szCs w:val="16"/>
        </w:rPr>
        <w:footnoteRef/>
      </w:r>
      <w:r w:rsidRPr="0052177D">
        <w:rPr>
          <w:rFonts w:ascii="Verdana" w:hAnsi="Verdana"/>
          <w:color w:val="7030A0"/>
          <w:sz w:val="16"/>
          <w:szCs w:val="16"/>
        </w:rPr>
        <w:t xml:space="preserve"> UN General Assembly, ‘Basic Principles on the Independence of the Judiciary’, 13 December 1985</w:t>
      </w:r>
      <w:r>
        <w:rPr>
          <w:rFonts w:ascii="Verdana" w:hAnsi="Verdana"/>
          <w:color w:val="7030A0"/>
          <w:sz w:val="16"/>
          <w:szCs w:val="16"/>
        </w:rPr>
        <w:t>.</w:t>
      </w:r>
    </w:p>
  </w:footnote>
  <w:footnote w:id="5">
    <w:p w14:paraId="23B3EF99" w14:textId="6B572044" w:rsidR="00A006A4" w:rsidRPr="00125C30" w:rsidRDefault="00A006A4">
      <w:pPr>
        <w:pStyle w:val="FootnoteText"/>
        <w:rPr>
          <w:rFonts w:ascii="Verdana" w:hAnsi="Verdana"/>
          <w:color w:val="7030A0"/>
          <w:sz w:val="16"/>
          <w:szCs w:val="16"/>
        </w:rPr>
      </w:pPr>
      <w:r w:rsidRPr="0052177D">
        <w:rPr>
          <w:rStyle w:val="FootnoteReference"/>
          <w:rFonts w:ascii="Verdana" w:hAnsi="Verdana"/>
          <w:color w:val="7030A0"/>
          <w:sz w:val="16"/>
          <w:szCs w:val="16"/>
        </w:rPr>
        <w:footnoteRef/>
      </w:r>
      <w:r w:rsidR="002851AB">
        <w:rPr>
          <w:rFonts w:ascii="Verdana" w:hAnsi="Verdana"/>
          <w:color w:val="7030A0"/>
          <w:sz w:val="16"/>
          <w:szCs w:val="16"/>
        </w:rPr>
        <w:t xml:space="preserve"> </w:t>
      </w:r>
      <w:r w:rsidRPr="0052177D">
        <w:rPr>
          <w:rFonts w:ascii="Verdana" w:hAnsi="Verdana"/>
          <w:color w:val="7030A0"/>
          <w:sz w:val="16"/>
          <w:szCs w:val="16"/>
        </w:rPr>
        <w:t>UN General Assembly</w:t>
      </w:r>
      <w:r w:rsidR="00DA07B1">
        <w:rPr>
          <w:rFonts w:ascii="Verdana" w:hAnsi="Verdana"/>
          <w:color w:val="7030A0"/>
          <w:sz w:val="16"/>
          <w:szCs w:val="16"/>
        </w:rPr>
        <w:t>,</w:t>
      </w:r>
      <w:r w:rsidRPr="0052177D">
        <w:rPr>
          <w:rFonts w:ascii="Verdana" w:hAnsi="Verdana"/>
          <w:color w:val="7030A0"/>
          <w:sz w:val="16"/>
          <w:szCs w:val="16"/>
        </w:rPr>
        <w:t xml:space="preserve"> </w:t>
      </w:r>
      <w:r w:rsidR="002851AB">
        <w:rPr>
          <w:rFonts w:ascii="Verdana" w:hAnsi="Verdana"/>
          <w:color w:val="7030A0"/>
          <w:sz w:val="16"/>
          <w:szCs w:val="16"/>
        </w:rPr>
        <w:t>‘</w:t>
      </w:r>
      <w:r w:rsidRPr="0052177D">
        <w:rPr>
          <w:rFonts w:ascii="Verdana" w:hAnsi="Verdana"/>
          <w:color w:val="7030A0"/>
          <w:sz w:val="16"/>
          <w:szCs w:val="16"/>
        </w:rPr>
        <w:t>Principles of Justice for Vict</w:t>
      </w:r>
      <w:r w:rsidR="002851AB">
        <w:rPr>
          <w:rFonts w:ascii="Verdana" w:hAnsi="Verdana"/>
          <w:color w:val="7030A0"/>
          <w:sz w:val="16"/>
          <w:szCs w:val="16"/>
        </w:rPr>
        <w:t>ims of Crime and Abuse of Power</w:t>
      </w:r>
      <w:r w:rsidRPr="0052177D">
        <w:rPr>
          <w:rFonts w:ascii="Verdana" w:hAnsi="Verdana"/>
          <w:color w:val="7030A0"/>
          <w:sz w:val="16"/>
          <w:szCs w:val="16"/>
        </w:rPr>
        <w:t>’</w:t>
      </w:r>
      <w:r w:rsidR="002851AB">
        <w:rPr>
          <w:rFonts w:ascii="Verdana" w:hAnsi="Verdana"/>
          <w:color w:val="7030A0"/>
          <w:sz w:val="16"/>
          <w:szCs w:val="16"/>
        </w:rPr>
        <w:t>,</w:t>
      </w:r>
      <w:r w:rsidRPr="0052177D">
        <w:rPr>
          <w:rFonts w:ascii="Verdana" w:hAnsi="Verdana"/>
          <w:color w:val="7030A0"/>
          <w:sz w:val="16"/>
          <w:szCs w:val="16"/>
        </w:rPr>
        <w:t xml:space="preserve"> 29 November 1985</w:t>
      </w:r>
      <w:r>
        <w:rPr>
          <w:rFonts w:ascii="Verdana" w:hAnsi="Verdana"/>
          <w:color w:val="7030A0"/>
          <w:sz w:val="16"/>
          <w:szCs w:val="16"/>
        </w:rPr>
        <w:t>.</w:t>
      </w:r>
    </w:p>
  </w:footnote>
  <w:footnote w:id="6">
    <w:p w14:paraId="0696407F" w14:textId="6229AD3F" w:rsidR="00A006A4" w:rsidRPr="007D7610" w:rsidRDefault="00A006A4">
      <w:pPr>
        <w:pStyle w:val="FootnoteText"/>
        <w:rPr>
          <w:rFonts w:ascii="Verdana" w:hAnsi="Verdana"/>
          <w:color w:val="7030A0"/>
          <w:sz w:val="16"/>
          <w:szCs w:val="16"/>
        </w:rPr>
      </w:pPr>
      <w:r w:rsidRPr="007D7610">
        <w:rPr>
          <w:rStyle w:val="FootnoteReference"/>
          <w:rFonts w:ascii="Verdana" w:hAnsi="Verdana"/>
          <w:color w:val="7030A0"/>
          <w:sz w:val="16"/>
          <w:szCs w:val="16"/>
        </w:rPr>
        <w:footnoteRef/>
      </w:r>
      <w:r w:rsidR="00DA07B1">
        <w:rPr>
          <w:rFonts w:ascii="Verdana" w:hAnsi="Verdana"/>
          <w:color w:val="7030A0"/>
          <w:sz w:val="16"/>
          <w:szCs w:val="16"/>
        </w:rPr>
        <w:t xml:space="preserve"> UN</w:t>
      </w:r>
      <w:r w:rsidRPr="007D7610">
        <w:rPr>
          <w:rFonts w:ascii="Verdana" w:hAnsi="Verdana"/>
          <w:color w:val="7030A0"/>
          <w:sz w:val="16"/>
          <w:szCs w:val="16"/>
        </w:rPr>
        <w:t xml:space="preserve"> General Assembly, ‘Standard Minimum Rules for the Treatment of Prisoners’, 13 May 1977</w:t>
      </w:r>
      <w:r>
        <w:rPr>
          <w:rFonts w:ascii="Verdana" w:hAnsi="Verdana"/>
          <w:color w:val="7030A0"/>
          <w:sz w:val="16"/>
          <w:szCs w:val="16"/>
        </w:rPr>
        <w:t>.</w:t>
      </w:r>
    </w:p>
  </w:footnote>
  <w:footnote w:id="7">
    <w:p w14:paraId="09467198" w14:textId="3CAF5022" w:rsidR="00A006A4" w:rsidRPr="00C27A65" w:rsidRDefault="00A006A4">
      <w:pPr>
        <w:pStyle w:val="FootnoteText"/>
        <w:rPr>
          <w:rFonts w:ascii="Verdana" w:hAnsi="Verdana"/>
          <w:sz w:val="16"/>
          <w:szCs w:val="16"/>
        </w:rPr>
      </w:pPr>
      <w:r w:rsidRPr="00C27A65">
        <w:rPr>
          <w:rStyle w:val="FootnoteReference"/>
          <w:rFonts w:ascii="Verdana" w:hAnsi="Verdana"/>
          <w:color w:val="7030A0"/>
          <w:sz w:val="16"/>
          <w:szCs w:val="16"/>
        </w:rPr>
        <w:footnoteRef/>
      </w:r>
      <w:r w:rsidRPr="00C27A65">
        <w:rPr>
          <w:rFonts w:ascii="Verdana" w:hAnsi="Verdana"/>
          <w:color w:val="7030A0"/>
          <w:sz w:val="16"/>
          <w:szCs w:val="16"/>
        </w:rPr>
        <w:t xml:space="preserve"> UN Human Rights Committee CCPR General Comment No. 21: Article 10 (Humane Treatment of Persons Deprived of Their Liberty), 10 A</w:t>
      </w:r>
      <w:r>
        <w:rPr>
          <w:rFonts w:ascii="Verdana" w:hAnsi="Verdana"/>
          <w:color w:val="7030A0"/>
          <w:sz w:val="16"/>
          <w:szCs w:val="16"/>
        </w:rPr>
        <w:t>p</w:t>
      </w:r>
      <w:r w:rsidRPr="00C27A65">
        <w:rPr>
          <w:rFonts w:ascii="Verdana" w:hAnsi="Verdana"/>
          <w:color w:val="7030A0"/>
          <w:sz w:val="16"/>
          <w:szCs w:val="16"/>
        </w:rPr>
        <w:t xml:space="preserve">ril 1992. </w:t>
      </w:r>
    </w:p>
  </w:footnote>
  <w:footnote w:id="8">
    <w:p w14:paraId="769F85CC" w14:textId="77641BB8" w:rsidR="00A006A4" w:rsidRDefault="00A006A4">
      <w:pPr>
        <w:pStyle w:val="FootnoteText"/>
      </w:pPr>
      <w:r w:rsidRPr="007007E1">
        <w:rPr>
          <w:rStyle w:val="FootnoteReference"/>
          <w:rFonts w:ascii="Verdana" w:hAnsi="Verdana"/>
          <w:color w:val="7030A0"/>
          <w:sz w:val="16"/>
          <w:szCs w:val="16"/>
        </w:rPr>
        <w:footnoteRef/>
      </w:r>
      <w:r>
        <w:t xml:space="preserve"> </w:t>
      </w:r>
      <w:hyperlink r:id="rId1" w:history="1">
        <w:r w:rsidRPr="00FB41CB">
          <w:rPr>
            <w:rStyle w:val="Hyperlink"/>
            <w:rFonts w:ascii="Verdana" w:hAnsi="Verdana"/>
            <w:sz w:val="16"/>
            <w:szCs w:val="16"/>
          </w:rPr>
          <w:t>NI Human Rights Commission, ‘Response to the public consultation on Improving the experiences of victims and witnesses in the criminal justice system’, July 2021.</w:t>
        </w:r>
      </w:hyperlink>
      <w:r w:rsidRPr="00FB41CB">
        <w:rPr>
          <w:rFonts w:ascii="Verdana" w:hAnsi="Verdana"/>
          <w:sz w:val="16"/>
          <w:szCs w:val="16"/>
        </w:rPr>
        <w:t xml:space="preserve"> </w:t>
      </w:r>
    </w:p>
  </w:footnote>
  <w:footnote w:id="9">
    <w:p w14:paraId="49ACE790" w14:textId="0241FFD0" w:rsidR="00A006A4" w:rsidRPr="00D336A2" w:rsidRDefault="00A006A4" w:rsidP="00F320D2">
      <w:pPr>
        <w:pStyle w:val="FootnoteText"/>
        <w:rPr>
          <w:rFonts w:ascii="Verdana" w:hAnsi="Verdana"/>
          <w:color w:val="77328A"/>
          <w:sz w:val="16"/>
          <w:szCs w:val="16"/>
        </w:rPr>
      </w:pPr>
      <w:r w:rsidRPr="00D336A2">
        <w:rPr>
          <w:rStyle w:val="FootnoteReference"/>
          <w:rFonts w:ascii="Verdana" w:hAnsi="Verdana"/>
          <w:color w:val="77328A"/>
          <w:sz w:val="16"/>
          <w:szCs w:val="16"/>
        </w:rPr>
        <w:footnoteRef/>
      </w:r>
      <w:r>
        <w:rPr>
          <w:rFonts w:ascii="Verdana" w:hAnsi="Verdana"/>
          <w:color w:val="77328A"/>
          <w:sz w:val="16"/>
          <w:szCs w:val="16"/>
        </w:rPr>
        <w:t xml:space="preserve"> UK Government, ‘UK Government commitment to no-diminution of rights, safeguards and equality of opportunity in Northern Ireland’, (NIO, 2020), at</w:t>
      </w:r>
      <w:r w:rsidR="002851AB">
        <w:rPr>
          <w:rFonts w:ascii="Verdana" w:hAnsi="Verdana"/>
          <w:color w:val="77328A"/>
          <w:sz w:val="16"/>
          <w:szCs w:val="16"/>
        </w:rPr>
        <w:t xml:space="preserve"> para</w:t>
      </w:r>
      <w:r>
        <w:rPr>
          <w:rFonts w:ascii="Verdana" w:hAnsi="Verdana"/>
          <w:color w:val="77328A"/>
          <w:sz w:val="16"/>
          <w:szCs w:val="16"/>
        </w:rPr>
        <w:t xml:space="preserve"> 13.</w:t>
      </w:r>
    </w:p>
  </w:footnote>
  <w:footnote w:id="10">
    <w:p w14:paraId="1A842422" w14:textId="5570710A" w:rsidR="00A006A4" w:rsidRPr="00D336A2" w:rsidRDefault="00A006A4" w:rsidP="002A1BF9">
      <w:pPr>
        <w:pStyle w:val="FootnoteText"/>
        <w:rPr>
          <w:rFonts w:ascii="Verdana" w:hAnsi="Verdana"/>
          <w:color w:val="77328A"/>
          <w:sz w:val="16"/>
          <w:szCs w:val="16"/>
        </w:rPr>
      </w:pPr>
      <w:r w:rsidRPr="00D336A2">
        <w:rPr>
          <w:rStyle w:val="FootnoteReference"/>
          <w:rFonts w:ascii="Verdana" w:hAnsi="Verdana"/>
          <w:color w:val="77328A"/>
          <w:sz w:val="16"/>
          <w:szCs w:val="16"/>
        </w:rPr>
        <w:footnoteRef/>
      </w:r>
      <w:r>
        <w:rPr>
          <w:rFonts w:ascii="Verdana" w:hAnsi="Verdana"/>
          <w:color w:val="77328A"/>
          <w:sz w:val="16"/>
          <w:szCs w:val="16"/>
        </w:rPr>
        <w:t xml:space="preserve"> </w:t>
      </w:r>
      <w:r w:rsidR="002851AB">
        <w:rPr>
          <w:rFonts w:ascii="Verdana" w:hAnsi="Verdana"/>
          <w:color w:val="77328A"/>
          <w:sz w:val="16"/>
          <w:szCs w:val="16"/>
        </w:rPr>
        <w:t>Ibid.</w:t>
      </w:r>
    </w:p>
  </w:footnote>
  <w:footnote w:id="11">
    <w:p w14:paraId="10818555" w14:textId="77777777" w:rsidR="00A006A4" w:rsidRPr="00262476" w:rsidRDefault="00A006A4" w:rsidP="002A1BF9">
      <w:pPr>
        <w:pStyle w:val="FootnoteText"/>
        <w:rPr>
          <w:rFonts w:ascii="Verdana" w:hAnsi="Verdana"/>
          <w:color w:val="77328A"/>
          <w:sz w:val="16"/>
          <w:szCs w:val="16"/>
        </w:rPr>
      </w:pPr>
      <w:r w:rsidRPr="00262476">
        <w:rPr>
          <w:rStyle w:val="FootnoteReference"/>
          <w:rFonts w:ascii="Verdana" w:hAnsi="Verdana"/>
          <w:color w:val="77328A"/>
          <w:sz w:val="16"/>
          <w:szCs w:val="16"/>
        </w:rPr>
        <w:footnoteRef/>
      </w:r>
      <w:r w:rsidRPr="00262476">
        <w:rPr>
          <w:rFonts w:ascii="Verdana" w:hAnsi="Verdana"/>
          <w:color w:val="77328A"/>
          <w:sz w:val="16"/>
          <w:szCs w:val="16"/>
        </w:rPr>
        <w:t xml:space="preserve"> Belfast (Good Friday) Agreement, 10 April 1998, Part 6 on Rights, Safeguards and Equality of Opportunity.</w:t>
      </w:r>
    </w:p>
  </w:footnote>
  <w:footnote w:id="12">
    <w:p w14:paraId="53E4B9B6" w14:textId="77777777" w:rsidR="00A006A4" w:rsidRDefault="00A006A4" w:rsidP="002A1BF9">
      <w:pPr>
        <w:pStyle w:val="FootnoteText"/>
      </w:pPr>
      <w:r w:rsidRPr="00262476">
        <w:rPr>
          <w:rStyle w:val="FootnoteReference"/>
          <w:rFonts w:ascii="Verdana" w:hAnsi="Verdana"/>
          <w:color w:val="77328A"/>
          <w:sz w:val="16"/>
          <w:szCs w:val="16"/>
        </w:rPr>
        <w:footnoteRef/>
      </w:r>
      <w:r w:rsidRPr="00262476">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w:t>
      </w:r>
    </w:p>
  </w:footnote>
  <w:footnote w:id="13">
    <w:p w14:paraId="51F1C4F4" w14:textId="12FBA843" w:rsidR="00C83516" w:rsidRPr="002F7740" w:rsidRDefault="00C83516" w:rsidP="00C83516">
      <w:pPr>
        <w:pStyle w:val="FootnoteText"/>
        <w:rPr>
          <w:rFonts w:ascii="Verdana" w:hAnsi="Verdana"/>
          <w:sz w:val="16"/>
          <w:szCs w:val="16"/>
        </w:rPr>
      </w:pPr>
      <w:r w:rsidRPr="002F7740">
        <w:rPr>
          <w:rStyle w:val="FootnoteReference"/>
          <w:rFonts w:ascii="Verdana" w:hAnsi="Verdana"/>
          <w:color w:val="7030A0"/>
          <w:sz w:val="16"/>
          <w:szCs w:val="16"/>
        </w:rPr>
        <w:footnoteRef/>
      </w:r>
      <w:r w:rsidRPr="002F7740">
        <w:rPr>
          <w:rFonts w:ascii="Verdana" w:hAnsi="Verdana"/>
          <w:color w:val="7030A0"/>
          <w:sz w:val="16"/>
          <w:szCs w:val="16"/>
        </w:rPr>
        <w:t xml:space="preserve"> The Victims Directive provides a number of other additional safeguards. For example, support for victims who have suffered considerable harm (Article 9 and Recital 32); safeguards for child victims (Article 24 and Recital 14) and protection against secondary/repeat</w:t>
      </w:r>
      <w:r w:rsidR="00B8345B">
        <w:rPr>
          <w:rFonts w:ascii="Verdana" w:hAnsi="Verdana"/>
          <w:color w:val="7030A0"/>
          <w:sz w:val="16"/>
          <w:szCs w:val="16"/>
        </w:rPr>
        <w:t xml:space="preserve"> victimisation and intimidation</w:t>
      </w:r>
      <w:r w:rsidRPr="002F7740">
        <w:rPr>
          <w:rFonts w:ascii="Verdana" w:hAnsi="Verdana"/>
          <w:color w:val="7030A0"/>
          <w:sz w:val="16"/>
          <w:szCs w:val="16"/>
        </w:rPr>
        <w:t xml:space="preserve"> (Recital 55)</w:t>
      </w:r>
      <w:r w:rsidR="00EA6464" w:rsidRPr="002F7740">
        <w:rPr>
          <w:rFonts w:ascii="Verdana" w:hAnsi="Verdana"/>
          <w:color w:val="7030A0"/>
          <w:sz w:val="16"/>
          <w:szCs w:val="16"/>
        </w:rPr>
        <w:t>.</w:t>
      </w:r>
    </w:p>
  </w:footnote>
  <w:footnote w:id="14">
    <w:p w14:paraId="699DEFBE" w14:textId="0C16A426" w:rsidR="00EA6464" w:rsidRPr="00EA6464" w:rsidRDefault="00EA6464">
      <w:pPr>
        <w:pStyle w:val="FootnoteText"/>
        <w:rPr>
          <w:rFonts w:ascii="Verdana" w:hAnsi="Verdana"/>
          <w:sz w:val="16"/>
          <w:szCs w:val="16"/>
        </w:rPr>
      </w:pPr>
      <w:r w:rsidRPr="002F7740">
        <w:rPr>
          <w:rStyle w:val="FootnoteReference"/>
          <w:rFonts w:ascii="Verdana" w:hAnsi="Verdana"/>
          <w:color w:val="7030A0"/>
          <w:sz w:val="16"/>
          <w:szCs w:val="16"/>
        </w:rPr>
        <w:footnoteRef/>
      </w:r>
      <w:r w:rsidRPr="002F7740">
        <w:rPr>
          <w:rFonts w:ascii="Verdana" w:hAnsi="Verdana"/>
          <w:color w:val="7030A0"/>
          <w:sz w:val="16"/>
          <w:szCs w:val="16"/>
        </w:rPr>
        <w:t xml:space="preserve"> Directive 2012/29/EU, ‘Directive of the European Parliament and of the Council</w:t>
      </w:r>
      <w:r w:rsidRPr="00EA6464">
        <w:rPr>
          <w:rFonts w:ascii="Verdana" w:hAnsi="Verdana"/>
          <w:color w:val="7030A0"/>
          <w:sz w:val="16"/>
          <w:szCs w:val="16"/>
        </w:rPr>
        <w:t xml:space="preserve"> establishing minimum standards on the rights, support and protection of victims of crime’, 25 October 2012 at Recital 41. </w:t>
      </w:r>
    </w:p>
  </w:footnote>
  <w:footnote w:id="15">
    <w:p w14:paraId="587CBDDA" w14:textId="6A4A6A90" w:rsidR="00A006A4" w:rsidRPr="006829B0" w:rsidRDefault="00A006A4" w:rsidP="00041473">
      <w:pPr>
        <w:pStyle w:val="FootnoteText"/>
        <w:rPr>
          <w:rFonts w:ascii="Verdana" w:hAnsi="Verdana"/>
          <w:color w:val="7030A0"/>
          <w:sz w:val="16"/>
          <w:szCs w:val="16"/>
        </w:rPr>
      </w:pPr>
      <w:r w:rsidRPr="00041473">
        <w:rPr>
          <w:rStyle w:val="FootnoteReference"/>
          <w:rFonts w:ascii="Verdana" w:hAnsi="Verdana"/>
          <w:color w:val="7030A0"/>
          <w:sz w:val="16"/>
          <w:szCs w:val="16"/>
        </w:rPr>
        <w:footnoteRef/>
      </w:r>
      <w:r w:rsidRPr="00041473">
        <w:rPr>
          <w:rFonts w:ascii="Verdana" w:hAnsi="Verdana"/>
          <w:color w:val="7030A0"/>
          <w:sz w:val="16"/>
          <w:szCs w:val="16"/>
        </w:rPr>
        <w:t xml:space="preserve"> </w:t>
      </w:r>
      <w:r w:rsidRPr="009D417D">
        <w:rPr>
          <w:rFonts w:ascii="Verdana" w:hAnsi="Verdana"/>
          <w:i/>
          <w:color w:val="7030A0"/>
          <w:sz w:val="16"/>
          <w:szCs w:val="16"/>
        </w:rPr>
        <w:t xml:space="preserve">McCann and Others v </w:t>
      </w:r>
      <w:r w:rsidR="00A624D8" w:rsidRPr="009D417D">
        <w:rPr>
          <w:rFonts w:ascii="Verdana" w:hAnsi="Verdana"/>
          <w:i/>
          <w:color w:val="7030A0"/>
          <w:sz w:val="16"/>
          <w:szCs w:val="16"/>
        </w:rPr>
        <w:t>United Kingdom</w:t>
      </w:r>
      <w:r w:rsidRPr="00041473">
        <w:rPr>
          <w:rFonts w:ascii="Verdana" w:eastAsia="Times New Roman" w:hAnsi="Verdana" w:cs="Arial"/>
          <w:iCs/>
          <w:color w:val="7030A0"/>
          <w:sz w:val="16"/>
          <w:szCs w:val="16"/>
          <w:lang w:eastAsia="en-GB"/>
        </w:rPr>
        <w:t xml:space="preserve">, </w:t>
      </w:r>
      <w:r w:rsidRPr="00041473">
        <w:rPr>
          <w:rFonts w:ascii="Verdana" w:hAnsi="Verdana"/>
          <w:iCs/>
          <w:color w:val="7030A0"/>
          <w:sz w:val="16"/>
          <w:szCs w:val="16"/>
        </w:rPr>
        <w:t>Application no. </w:t>
      </w:r>
      <w:hyperlink r:id="rId2" w:anchor="{%22appno%22:[%2218984/91%22]}" w:tgtFrame="_blank" w:history="1">
        <w:r w:rsidRPr="00041473">
          <w:rPr>
            <w:rStyle w:val="Hyperlink"/>
            <w:rFonts w:ascii="Verdana" w:hAnsi="Verdana"/>
            <w:iCs/>
            <w:color w:val="7030A0"/>
            <w:sz w:val="16"/>
            <w:szCs w:val="16"/>
          </w:rPr>
          <w:t>18984/91</w:t>
        </w:r>
      </w:hyperlink>
      <w:r w:rsidRPr="00041473">
        <w:rPr>
          <w:rFonts w:ascii="Verdana" w:hAnsi="Verdana"/>
          <w:iCs/>
          <w:color w:val="7030A0"/>
          <w:sz w:val="16"/>
          <w:szCs w:val="16"/>
        </w:rPr>
        <w:t xml:space="preserve">, </w:t>
      </w:r>
      <w:r w:rsidRPr="00041473">
        <w:rPr>
          <w:rFonts w:ascii="Verdana" w:hAnsi="Verdana"/>
          <w:color w:val="7030A0"/>
          <w:sz w:val="16"/>
          <w:szCs w:val="16"/>
        </w:rPr>
        <w:t>27 September 1995.</w:t>
      </w:r>
    </w:p>
  </w:footnote>
  <w:footnote w:id="16">
    <w:p w14:paraId="2A8FB2D1" w14:textId="61D2C841" w:rsidR="00F4183E" w:rsidRDefault="00F4183E">
      <w:pPr>
        <w:pStyle w:val="FootnoteText"/>
      </w:pPr>
      <w:r w:rsidRPr="00910042">
        <w:rPr>
          <w:rStyle w:val="FootnoteReference"/>
          <w:rFonts w:ascii="Verdana" w:hAnsi="Verdana"/>
          <w:color w:val="7030A0"/>
          <w:sz w:val="16"/>
          <w:szCs w:val="16"/>
        </w:rPr>
        <w:footnoteRef/>
      </w:r>
      <w:r>
        <w:t xml:space="preserve"> </w:t>
      </w:r>
      <w:r w:rsidR="00910042" w:rsidRPr="00910042">
        <w:rPr>
          <w:rFonts w:ascii="Verdana" w:hAnsi="Verdana"/>
          <w:i/>
          <w:color w:val="7030A0"/>
          <w:sz w:val="16"/>
          <w:szCs w:val="16"/>
        </w:rPr>
        <w:t>Güzelyurtlu v. Cyprus and Turkey</w:t>
      </w:r>
      <w:r w:rsidR="00910042" w:rsidRPr="00910042">
        <w:rPr>
          <w:rFonts w:ascii="Verdana" w:hAnsi="Verdana"/>
          <w:color w:val="7030A0"/>
          <w:sz w:val="16"/>
          <w:szCs w:val="16"/>
        </w:rPr>
        <w:t>, Application no.</w:t>
      </w:r>
      <w:r w:rsidR="00910042" w:rsidRPr="00910042">
        <w:rPr>
          <w:rFonts w:ascii="Verdana" w:hAnsi="Verdana"/>
          <w:i/>
          <w:iCs/>
          <w:color w:val="7030A0"/>
          <w:sz w:val="16"/>
          <w:szCs w:val="16"/>
        </w:rPr>
        <w:t> </w:t>
      </w:r>
      <w:hyperlink r:id="rId3" w:anchor="{%22appno%22:[%2236925/07%22]}" w:tgtFrame="_blank" w:history="1">
        <w:r w:rsidR="00910042" w:rsidRPr="00910042">
          <w:rPr>
            <w:rStyle w:val="Hyperlink"/>
            <w:rFonts w:ascii="Verdana" w:hAnsi="Verdana"/>
            <w:iCs/>
            <w:color w:val="7030A0"/>
            <w:sz w:val="16"/>
            <w:szCs w:val="16"/>
            <w:u w:val="none"/>
          </w:rPr>
          <w:t>36925/07</w:t>
        </w:r>
      </w:hyperlink>
      <w:r w:rsidR="00910042" w:rsidRPr="00910042">
        <w:rPr>
          <w:rFonts w:ascii="Verdana" w:hAnsi="Verdana"/>
          <w:iCs/>
          <w:color w:val="7030A0"/>
          <w:sz w:val="16"/>
          <w:szCs w:val="16"/>
        </w:rPr>
        <w:t>, 29 January 2019</w:t>
      </w:r>
      <w:r w:rsidR="00910042">
        <w:rPr>
          <w:rFonts w:ascii="Verdana" w:hAnsi="Verdana"/>
          <w:iCs/>
          <w:color w:val="7030A0"/>
          <w:sz w:val="16"/>
          <w:szCs w:val="16"/>
        </w:rPr>
        <w:t xml:space="preserve"> at para 233</w:t>
      </w:r>
      <w:r w:rsidR="00910042" w:rsidRPr="00910042">
        <w:rPr>
          <w:rFonts w:ascii="Verdana" w:hAnsi="Verdana"/>
          <w:iCs/>
          <w:color w:val="7030A0"/>
          <w:sz w:val="16"/>
          <w:szCs w:val="16"/>
        </w:rPr>
        <w:t>.</w:t>
      </w:r>
      <w:r w:rsidR="00910042" w:rsidRPr="00910042">
        <w:rPr>
          <w:i/>
          <w:iCs/>
          <w:color w:val="7030A0"/>
        </w:rPr>
        <w:t xml:space="preserve"> </w:t>
      </w:r>
    </w:p>
  </w:footnote>
  <w:footnote w:id="17">
    <w:p w14:paraId="5D0C230F" w14:textId="117FC75E" w:rsidR="00DD55C2" w:rsidRPr="00DD55C2" w:rsidRDefault="00DD55C2">
      <w:pPr>
        <w:pStyle w:val="FootnoteText"/>
        <w:rPr>
          <w:rFonts w:ascii="Verdana" w:hAnsi="Verdana"/>
          <w:color w:val="7030A0"/>
          <w:sz w:val="16"/>
          <w:szCs w:val="16"/>
        </w:rPr>
      </w:pPr>
      <w:r w:rsidRPr="00DD55C2">
        <w:rPr>
          <w:rStyle w:val="FootnoteReference"/>
          <w:rFonts w:ascii="Verdana" w:hAnsi="Verdana"/>
          <w:color w:val="7030A0"/>
          <w:sz w:val="16"/>
          <w:szCs w:val="16"/>
        </w:rPr>
        <w:footnoteRef/>
      </w:r>
      <w:r w:rsidRPr="00DD55C2">
        <w:rPr>
          <w:rFonts w:ascii="Verdana" w:hAnsi="Verdana"/>
          <w:color w:val="7030A0"/>
          <w:sz w:val="16"/>
          <w:szCs w:val="16"/>
        </w:rPr>
        <w:t xml:space="preserve"> </w:t>
      </w:r>
      <w:r w:rsidRPr="00DD55C2">
        <w:rPr>
          <w:rFonts w:ascii="Verdana" w:hAnsi="Verdana"/>
          <w:i/>
          <w:color w:val="7030A0"/>
          <w:sz w:val="16"/>
          <w:szCs w:val="16"/>
        </w:rPr>
        <w:t>Kurt v. Turkey</w:t>
      </w:r>
      <w:r w:rsidRPr="00DD55C2">
        <w:rPr>
          <w:rFonts w:ascii="Verdana" w:hAnsi="Verdana"/>
          <w:color w:val="7030A0"/>
          <w:sz w:val="16"/>
          <w:szCs w:val="16"/>
        </w:rPr>
        <w:t>, Application</w:t>
      </w:r>
      <w:r>
        <w:rPr>
          <w:rFonts w:ascii="Verdana" w:hAnsi="Verdana"/>
          <w:color w:val="7030A0"/>
          <w:sz w:val="16"/>
          <w:szCs w:val="16"/>
        </w:rPr>
        <w:t xml:space="preserve"> No. 15/1997/799/1002, </w:t>
      </w:r>
      <w:r w:rsidRPr="00DD55C2">
        <w:rPr>
          <w:rFonts w:ascii="Verdana" w:hAnsi="Verdana"/>
          <w:color w:val="7030A0"/>
          <w:sz w:val="16"/>
          <w:szCs w:val="16"/>
        </w:rPr>
        <w:t>25 May 1998.</w:t>
      </w:r>
    </w:p>
  </w:footnote>
  <w:footnote w:id="18">
    <w:p w14:paraId="35143439" w14:textId="067A6F0A" w:rsidR="007D254E" w:rsidRPr="007D254E" w:rsidRDefault="007D254E">
      <w:pPr>
        <w:pStyle w:val="FootnoteText"/>
        <w:rPr>
          <w:rFonts w:ascii="Verdana" w:hAnsi="Verdana"/>
          <w:sz w:val="16"/>
          <w:szCs w:val="16"/>
        </w:rPr>
      </w:pPr>
      <w:r w:rsidRPr="007D254E">
        <w:rPr>
          <w:rStyle w:val="FootnoteReference"/>
          <w:rFonts w:ascii="Verdana" w:hAnsi="Verdana"/>
          <w:color w:val="7030A0"/>
          <w:sz w:val="16"/>
          <w:szCs w:val="16"/>
        </w:rPr>
        <w:footnoteRef/>
      </w:r>
      <w:r w:rsidRPr="007D254E">
        <w:rPr>
          <w:rFonts w:ascii="Verdana" w:hAnsi="Verdana"/>
          <w:color w:val="7030A0"/>
          <w:sz w:val="16"/>
          <w:szCs w:val="16"/>
        </w:rPr>
        <w:t xml:space="preserve"> </w:t>
      </w:r>
      <w:r w:rsidRPr="007D254E">
        <w:rPr>
          <w:rFonts w:ascii="Verdana" w:hAnsi="Verdana"/>
          <w:i/>
          <w:color w:val="7030A0"/>
          <w:sz w:val="16"/>
          <w:szCs w:val="16"/>
        </w:rPr>
        <w:t>Cakici v. Turkey</w:t>
      </w:r>
      <w:r w:rsidRPr="007D254E">
        <w:rPr>
          <w:rFonts w:ascii="Verdana" w:hAnsi="Verdana"/>
          <w:color w:val="7030A0"/>
          <w:sz w:val="16"/>
          <w:szCs w:val="16"/>
        </w:rPr>
        <w:t xml:space="preserve">, Application no. </w:t>
      </w:r>
      <w:hyperlink r:id="rId4" w:anchor="{%22appno%22:[%2223657/94%22]}" w:tgtFrame="_blank" w:history="1">
        <w:r w:rsidRPr="007D254E">
          <w:rPr>
            <w:rFonts w:ascii="Verdana" w:hAnsi="Verdana" w:cs="Arial"/>
            <w:bCs/>
            <w:color w:val="7030A0"/>
            <w:sz w:val="16"/>
            <w:szCs w:val="16"/>
            <w:shd w:val="clear" w:color="auto" w:fill="FFFFFF"/>
          </w:rPr>
          <w:t>23657/94</w:t>
        </w:r>
      </w:hyperlink>
      <w:r w:rsidRPr="007D254E">
        <w:rPr>
          <w:rFonts w:ascii="Verdana" w:hAnsi="Verdana"/>
          <w:color w:val="7030A0"/>
          <w:sz w:val="16"/>
          <w:szCs w:val="16"/>
        </w:rPr>
        <w:t xml:space="preserve">, 08 July 1999 at para 98. </w:t>
      </w:r>
    </w:p>
  </w:footnote>
  <w:footnote w:id="19">
    <w:p w14:paraId="434818A2" w14:textId="1238FFAF" w:rsidR="00A006A4" w:rsidRPr="009E4331" w:rsidRDefault="00A006A4">
      <w:pPr>
        <w:pStyle w:val="FootnoteText"/>
        <w:rPr>
          <w:rFonts w:ascii="Verdana" w:hAnsi="Verdana"/>
          <w:color w:val="7030A0"/>
          <w:sz w:val="16"/>
          <w:szCs w:val="16"/>
        </w:rPr>
      </w:pPr>
      <w:r w:rsidRPr="00EA0699">
        <w:rPr>
          <w:rStyle w:val="FootnoteReference"/>
          <w:rFonts w:ascii="Verdana" w:hAnsi="Verdana"/>
          <w:color w:val="7030A0"/>
          <w:sz w:val="16"/>
          <w:szCs w:val="16"/>
        </w:rPr>
        <w:footnoteRef/>
      </w:r>
      <w:r w:rsidRPr="00EA0699">
        <w:rPr>
          <w:rFonts w:ascii="Verdana" w:hAnsi="Verdana"/>
          <w:color w:val="7030A0"/>
          <w:sz w:val="16"/>
          <w:szCs w:val="16"/>
        </w:rPr>
        <w:t xml:space="preserve"> </w:t>
      </w:r>
      <w:r w:rsidRPr="009D417D">
        <w:rPr>
          <w:rFonts w:ascii="Verdana" w:hAnsi="Verdana"/>
          <w:bCs/>
          <w:i/>
          <w:color w:val="7030A0"/>
          <w:sz w:val="16"/>
          <w:szCs w:val="16"/>
        </w:rPr>
        <w:t>Solska and Rybicka v</w:t>
      </w:r>
      <w:r w:rsidRPr="009D417D">
        <w:rPr>
          <w:rFonts w:ascii="Verdana" w:hAnsi="Verdana"/>
          <w:i/>
          <w:color w:val="7030A0"/>
          <w:sz w:val="16"/>
          <w:szCs w:val="16"/>
        </w:rPr>
        <w:t> </w:t>
      </w:r>
      <w:r w:rsidRPr="009D417D">
        <w:rPr>
          <w:rFonts w:ascii="Verdana" w:hAnsi="Verdana"/>
          <w:bCs/>
          <w:i/>
          <w:color w:val="7030A0"/>
          <w:sz w:val="16"/>
          <w:szCs w:val="16"/>
        </w:rPr>
        <w:t>Poland</w:t>
      </w:r>
      <w:r w:rsidRPr="00EA0699">
        <w:rPr>
          <w:rFonts w:ascii="Verdana" w:hAnsi="Verdana"/>
          <w:color w:val="7030A0"/>
          <w:sz w:val="16"/>
          <w:szCs w:val="16"/>
        </w:rPr>
        <w:t xml:space="preserve">, </w:t>
      </w:r>
      <w:r>
        <w:rPr>
          <w:rFonts w:ascii="Verdana" w:hAnsi="Verdana"/>
          <w:color w:val="7030A0"/>
          <w:sz w:val="16"/>
          <w:szCs w:val="16"/>
        </w:rPr>
        <w:t xml:space="preserve">Application nos. 30491/17 </w:t>
      </w:r>
      <w:r w:rsidRPr="001D556B">
        <w:rPr>
          <w:rFonts w:ascii="Verdana" w:hAnsi="Verdana"/>
          <w:color w:val="7030A0"/>
          <w:sz w:val="16"/>
          <w:szCs w:val="16"/>
        </w:rPr>
        <w:t>and 31083/17</w:t>
      </w:r>
      <w:r>
        <w:rPr>
          <w:rFonts w:ascii="Verdana" w:hAnsi="Verdana"/>
          <w:color w:val="7030A0"/>
          <w:sz w:val="16"/>
          <w:szCs w:val="16"/>
        </w:rPr>
        <w:t>,</w:t>
      </w:r>
      <w:r w:rsidRPr="00EA0699">
        <w:rPr>
          <w:rFonts w:ascii="Verdana" w:hAnsi="Verdana"/>
          <w:color w:val="7030A0"/>
          <w:sz w:val="16"/>
          <w:szCs w:val="16"/>
        </w:rPr>
        <w:t xml:space="preserve"> 20 September 2018</w:t>
      </w:r>
      <w:r>
        <w:rPr>
          <w:rFonts w:ascii="Verdana" w:hAnsi="Verdana"/>
          <w:color w:val="7030A0"/>
          <w:sz w:val="16"/>
          <w:szCs w:val="16"/>
        </w:rPr>
        <w:t>,</w:t>
      </w:r>
      <w:r w:rsidRPr="00EA0699">
        <w:rPr>
          <w:rFonts w:ascii="Verdana" w:hAnsi="Verdana"/>
          <w:color w:val="7030A0"/>
          <w:sz w:val="16"/>
          <w:szCs w:val="16"/>
        </w:rPr>
        <w:t xml:space="preserve"> </w:t>
      </w:r>
      <w:r w:rsidR="00910042">
        <w:rPr>
          <w:rFonts w:ascii="Verdana" w:hAnsi="Verdana"/>
          <w:color w:val="7030A0"/>
          <w:sz w:val="16"/>
          <w:szCs w:val="16"/>
        </w:rPr>
        <w:t>at para</w:t>
      </w:r>
      <w:r w:rsidRPr="00EA0699">
        <w:rPr>
          <w:rFonts w:ascii="Verdana" w:hAnsi="Verdana"/>
          <w:color w:val="7030A0"/>
          <w:sz w:val="16"/>
          <w:szCs w:val="16"/>
        </w:rPr>
        <w:t xml:space="preserve"> 104</w:t>
      </w:r>
      <w:r w:rsidR="007D254E">
        <w:rPr>
          <w:rFonts w:ascii="Verdana" w:hAnsi="Verdana"/>
          <w:color w:val="7030A0"/>
          <w:sz w:val="16"/>
          <w:szCs w:val="16"/>
        </w:rPr>
        <w:t>-10</w:t>
      </w:r>
      <w:r w:rsidRPr="00EA0699">
        <w:rPr>
          <w:rFonts w:ascii="Verdana" w:hAnsi="Verdana"/>
          <w:color w:val="7030A0"/>
          <w:sz w:val="16"/>
          <w:szCs w:val="16"/>
        </w:rPr>
        <w:t>8</w:t>
      </w:r>
      <w:r>
        <w:rPr>
          <w:rFonts w:ascii="Verdana" w:hAnsi="Verdana"/>
          <w:color w:val="7030A0"/>
          <w:sz w:val="16"/>
          <w:szCs w:val="16"/>
        </w:rPr>
        <w:t>.</w:t>
      </w:r>
      <w:r w:rsidRPr="00EA0699">
        <w:rPr>
          <w:rFonts w:ascii="Verdana" w:hAnsi="Verdana"/>
          <w:color w:val="7030A0"/>
          <w:sz w:val="16"/>
          <w:szCs w:val="16"/>
        </w:rPr>
        <w:t xml:space="preserve"> </w:t>
      </w:r>
    </w:p>
  </w:footnote>
  <w:footnote w:id="20">
    <w:p w14:paraId="5EEC310D" w14:textId="77777777" w:rsidR="00A006A4" w:rsidRDefault="00A006A4" w:rsidP="005076A6">
      <w:pPr>
        <w:pStyle w:val="FootnoteText"/>
      </w:pPr>
      <w:r w:rsidRPr="0011524C">
        <w:rPr>
          <w:rStyle w:val="FootnoteReference"/>
          <w:rFonts w:ascii="Verdana" w:hAnsi="Verdana"/>
          <w:color w:val="7030A0"/>
          <w:sz w:val="16"/>
          <w:szCs w:val="16"/>
        </w:rPr>
        <w:footnoteRef/>
      </w:r>
      <w:r w:rsidRPr="005076A6">
        <w:rPr>
          <w:color w:val="7030A0"/>
        </w:rPr>
        <w:t xml:space="preserve"> </w:t>
      </w:r>
      <w:r w:rsidRPr="005076A6">
        <w:rPr>
          <w:rFonts w:ascii="Verdana" w:hAnsi="Verdana"/>
          <w:color w:val="7030A0"/>
          <w:sz w:val="16"/>
          <w:szCs w:val="16"/>
        </w:rPr>
        <w:t>UN General Assembly, ‘Basic Principles on the Independence of the Judiciary’, 13 December 1985.</w:t>
      </w:r>
    </w:p>
  </w:footnote>
  <w:footnote w:id="21">
    <w:p w14:paraId="452ABAF3" w14:textId="77777777" w:rsidR="00527D1A" w:rsidRPr="00460115" w:rsidRDefault="00527D1A" w:rsidP="00527D1A">
      <w:pPr>
        <w:pStyle w:val="FootnoteText"/>
        <w:rPr>
          <w:rFonts w:ascii="Verdana" w:hAnsi="Verdana"/>
          <w:sz w:val="16"/>
          <w:szCs w:val="16"/>
        </w:rPr>
      </w:pPr>
      <w:r w:rsidRPr="00460115">
        <w:rPr>
          <w:rStyle w:val="FootnoteReference"/>
          <w:rFonts w:ascii="Verdana" w:hAnsi="Verdana"/>
          <w:color w:val="7030A0"/>
          <w:sz w:val="16"/>
          <w:szCs w:val="16"/>
        </w:rPr>
        <w:footnoteRef/>
      </w:r>
      <w:r>
        <w:rPr>
          <w:rFonts w:ascii="Verdana" w:hAnsi="Verdana"/>
          <w:color w:val="7030A0"/>
          <w:sz w:val="16"/>
          <w:szCs w:val="16"/>
        </w:rPr>
        <w:t xml:space="preserve"> </w:t>
      </w:r>
      <w:r w:rsidRPr="00826F9C">
        <w:rPr>
          <w:rFonts w:ascii="Verdana" w:hAnsi="Verdana"/>
          <w:i/>
          <w:color w:val="7030A0"/>
          <w:sz w:val="16"/>
          <w:szCs w:val="16"/>
        </w:rPr>
        <w:t>Telfner v Austria,</w:t>
      </w:r>
      <w:r>
        <w:rPr>
          <w:rFonts w:ascii="Verdana" w:hAnsi="Verdana"/>
          <w:color w:val="7030A0"/>
          <w:sz w:val="16"/>
          <w:szCs w:val="16"/>
        </w:rPr>
        <w:t xml:space="preserve"> Application</w:t>
      </w:r>
      <w:r w:rsidRPr="00A624D8">
        <w:t xml:space="preserve"> </w:t>
      </w:r>
      <w:r w:rsidRPr="00A624D8">
        <w:rPr>
          <w:rFonts w:ascii="Verdana" w:hAnsi="Verdana"/>
          <w:color w:val="7030A0"/>
          <w:sz w:val="16"/>
          <w:szCs w:val="16"/>
        </w:rPr>
        <w:t>no. 33501/96</w:t>
      </w:r>
      <w:r>
        <w:rPr>
          <w:rFonts w:ascii="Verdana" w:hAnsi="Verdana"/>
          <w:color w:val="7030A0"/>
          <w:sz w:val="16"/>
          <w:szCs w:val="16"/>
        </w:rPr>
        <w:t>, 20 March 2001</w:t>
      </w:r>
      <w:r w:rsidRPr="00460115">
        <w:rPr>
          <w:rFonts w:ascii="Verdana" w:hAnsi="Verdana"/>
          <w:color w:val="7030A0"/>
          <w:sz w:val="16"/>
          <w:szCs w:val="16"/>
        </w:rPr>
        <w:t xml:space="preserve"> </w:t>
      </w:r>
      <w:r>
        <w:rPr>
          <w:rFonts w:ascii="Verdana" w:hAnsi="Verdana"/>
          <w:color w:val="7030A0"/>
          <w:sz w:val="16"/>
          <w:szCs w:val="16"/>
        </w:rPr>
        <w:t>at paras</w:t>
      </w:r>
      <w:r w:rsidRPr="00460115">
        <w:rPr>
          <w:rFonts w:ascii="Verdana" w:hAnsi="Verdana"/>
          <w:color w:val="7030A0"/>
          <w:sz w:val="16"/>
          <w:szCs w:val="16"/>
        </w:rPr>
        <w:t xml:space="preserve"> 39- 40; </w:t>
      </w:r>
      <w:r w:rsidRPr="00826F9C">
        <w:rPr>
          <w:rFonts w:ascii="Verdana" w:hAnsi="Verdana"/>
          <w:i/>
          <w:color w:val="7030A0"/>
          <w:sz w:val="16"/>
          <w:szCs w:val="16"/>
        </w:rPr>
        <w:t>Grayson and Barnham v the United Kingdom,</w:t>
      </w:r>
      <w:r>
        <w:rPr>
          <w:rFonts w:ascii="Verdana" w:hAnsi="Verdana"/>
          <w:color w:val="7030A0"/>
          <w:sz w:val="16"/>
          <w:szCs w:val="16"/>
        </w:rPr>
        <w:t xml:space="preserve"> Application </w:t>
      </w:r>
      <w:r w:rsidRPr="00FD5140">
        <w:rPr>
          <w:rFonts w:ascii="Verdana" w:hAnsi="Verdana"/>
          <w:color w:val="7030A0"/>
          <w:sz w:val="16"/>
          <w:szCs w:val="16"/>
        </w:rPr>
        <w:t>nos. 19955/05 and 15085/06, 23 September 2008</w:t>
      </w:r>
      <w:r>
        <w:rPr>
          <w:rFonts w:ascii="Verdana" w:hAnsi="Verdana"/>
          <w:color w:val="7030A0"/>
          <w:sz w:val="16"/>
          <w:szCs w:val="16"/>
        </w:rPr>
        <w:t>, at paras</w:t>
      </w:r>
      <w:r w:rsidRPr="00460115">
        <w:rPr>
          <w:rFonts w:ascii="Verdana" w:hAnsi="Verdana"/>
          <w:color w:val="7030A0"/>
          <w:sz w:val="16"/>
          <w:szCs w:val="16"/>
        </w:rPr>
        <w:t xml:space="preserve"> </w:t>
      </w:r>
      <w:r w:rsidRPr="00C27A65">
        <w:rPr>
          <w:rFonts w:ascii="Verdana" w:hAnsi="Verdana"/>
          <w:color w:val="7030A0"/>
          <w:sz w:val="16"/>
          <w:szCs w:val="16"/>
        </w:rPr>
        <w:t>37 and 39.</w:t>
      </w:r>
    </w:p>
  </w:footnote>
  <w:footnote w:id="22">
    <w:p w14:paraId="454AE80A" w14:textId="77777777" w:rsidR="00114C0D" w:rsidRPr="00E604A4" w:rsidRDefault="00114C0D" w:rsidP="00114C0D">
      <w:pPr>
        <w:pStyle w:val="FootnoteText"/>
        <w:rPr>
          <w:rFonts w:ascii="Verdana" w:hAnsi="Verdana"/>
          <w:sz w:val="16"/>
          <w:szCs w:val="16"/>
        </w:rPr>
      </w:pPr>
      <w:r w:rsidRPr="00E604A4">
        <w:rPr>
          <w:rStyle w:val="FootnoteReference"/>
          <w:rFonts w:ascii="Verdana" w:hAnsi="Verdana"/>
          <w:color w:val="7030A0"/>
          <w:sz w:val="16"/>
          <w:szCs w:val="16"/>
        </w:rPr>
        <w:footnoteRef/>
      </w:r>
      <w:r w:rsidRPr="00E604A4">
        <w:rPr>
          <w:rFonts w:ascii="Verdana" w:hAnsi="Verdana"/>
          <w:color w:val="7030A0"/>
          <w:sz w:val="16"/>
          <w:szCs w:val="16"/>
        </w:rPr>
        <w:t xml:space="preserve"> </w:t>
      </w:r>
      <w:r w:rsidRPr="00826F9C">
        <w:rPr>
          <w:rFonts w:ascii="Verdana" w:hAnsi="Verdana"/>
          <w:i/>
          <w:color w:val="7030A0"/>
          <w:sz w:val="16"/>
          <w:szCs w:val="16"/>
        </w:rPr>
        <w:t>Heaney and McGuinness v. Ireland</w:t>
      </w:r>
      <w:r w:rsidRPr="00E604A4">
        <w:rPr>
          <w:rFonts w:ascii="Verdana" w:hAnsi="Verdana"/>
          <w:color w:val="7030A0"/>
          <w:sz w:val="16"/>
          <w:szCs w:val="16"/>
        </w:rPr>
        <w:t>, Application no. 34720/97, 01 January 1997.</w:t>
      </w:r>
    </w:p>
  </w:footnote>
  <w:footnote w:id="23">
    <w:p w14:paraId="5174BBE0" w14:textId="6431506E" w:rsidR="00A006A4" w:rsidRPr="00460115" w:rsidRDefault="00A006A4">
      <w:pPr>
        <w:pStyle w:val="FootnoteText"/>
        <w:rPr>
          <w:rFonts w:ascii="Verdana" w:hAnsi="Verdana"/>
          <w:sz w:val="16"/>
          <w:szCs w:val="16"/>
        </w:rPr>
      </w:pPr>
      <w:r w:rsidRPr="00460115">
        <w:rPr>
          <w:rStyle w:val="FootnoteReference"/>
          <w:rFonts w:ascii="Verdana" w:hAnsi="Verdana"/>
          <w:color w:val="7030A0"/>
          <w:sz w:val="16"/>
          <w:szCs w:val="16"/>
        </w:rPr>
        <w:footnoteRef/>
      </w:r>
      <w:r w:rsidR="00FD5140">
        <w:rPr>
          <w:rFonts w:ascii="Verdana" w:hAnsi="Verdana"/>
          <w:color w:val="7030A0"/>
          <w:sz w:val="16"/>
          <w:szCs w:val="16"/>
        </w:rPr>
        <w:t xml:space="preserve"> </w:t>
      </w:r>
      <w:r w:rsidR="00FD5140" w:rsidRPr="00826F9C">
        <w:rPr>
          <w:rFonts w:ascii="Verdana" w:hAnsi="Verdana"/>
          <w:i/>
          <w:color w:val="7030A0"/>
          <w:sz w:val="16"/>
          <w:szCs w:val="16"/>
        </w:rPr>
        <w:t>Telfner v Austria</w:t>
      </w:r>
      <w:r w:rsidR="00FD5140">
        <w:rPr>
          <w:rFonts w:ascii="Verdana" w:hAnsi="Verdana"/>
          <w:color w:val="7030A0"/>
          <w:sz w:val="16"/>
          <w:szCs w:val="16"/>
        </w:rPr>
        <w:t xml:space="preserve">, </w:t>
      </w:r>
      <w:r w:rsidR="00FD5140" w:rsidRPr="00FD5140">
        <w:rPr>
          <w:rFonts w:ascii="Verdana" w:hAnsi="Verdana"/>
          <w:color w:val="7030A0"/>
          <w:sz w:val="16"/>
          <w:szCs w:val="16"/>
        </w:rPr>
        <w:t xml:space="preserve">Application </w:t>
      </w:r>
      <w:r w:rsidR="00FD5140">
        <w:rPr>
          <w:rFonts w:ascii="Verdana" w:hAnsi="Verdana"/>
          <w:color w:val="7030A0"/>
          <w:sz w:val="16"/>
          <w:szCs w:val="16"/>
        </w:rPr>
        <w:t xml:space="preserve">no. </w:t>
      </w:r>
      <w:r w:rsidR="00FD5140" w:rsidRPr="00FD5140">
        <w:rPr>
          <w:rFonts w:ascii="Verdana" w:hAnsi="Verdana"/>
          <w:color w:val="7030A0"/>
          <w:sz w:val="16"/>
          <w:szCs w:val="16"/>
        </w:rPr>
        <w:t>33501/96</w:t>
      </w:r>
      <w:r w:rsidR="00FD5140">
        <w:rPr>
          <w:rFonts w:ascii="Verdana" w:hAnsi="Verdana"/>
          <w:color w:val="7030A0"/>
          <w:sz w:val="16"/>
          <w:szCs w:val="16"/>
        </w:rPr>
        <w:t>, 20 March 2001,</w:t>
      </w:r>
      <w:r w:rsidRPr="00460115">
        <w:rPr>
          <w:rFonts w:ascii="Verdana" w:hAnsi="Verdana"/>
          <w:color w:val="7030A0"/>
          <w:sz w:val="16"/>
          <w:szCs w:val="16"/>
        </w:rPr>
        <w:t xml:space="preserve"> </w:t>
      </w:r>
      <w:r>
        <w:rPr>
          <w:rFonts w:ascii="Verdana" w:hAnsi="Verdana"/>
          <w:color w:val="7030A0"/>
          <w:sz w:val="16"/>
          <w:szCs w:val="16"/>
        </w:rPr>
        <w:t>at para</w:t>
      </w:r>
      <w:r w:rsidRPr="00460115">
        <w:rPr>
          <w:rFonts w:ascii="Verdana" w:hAnsi="Verdana"/>
          <w:color w:val="7030A0"/>
          <w:sz w:val="16"/>
          <w:szCs w:val="16"/>
        </w:rPr>
        <w:t xml:space="preserve"> 15.</w:t>
      </w:r>
    </w:p>
  </w:footnote>
  <w:footnote w:id="24">
    <w:p w14:paraId="14AF97D5" w14:textId="316C5283" w:rsidR="00A006A4" w:rsidRPr="00460115" w:rsidRDefault="00A006A4">
      <w:pPr>
        <w:pStyle w:val="FootnoteText"/>
        <w:rPr>
          <w:rFonts w:ascii="Verdana" w:hAnsi="Verdana"/>
          <w:sz w:val="16"/>
          <w:szCs w:val="16"/>
        </w:rPr>
      </w:pPr>
      <w:r w:rsidRPr="00460115">
        <w:rPr>
          <w:rStyle w:val="FootnoteReference"/>
          <w:rFonts w:ascii="Verdana" w:hAnsi="Verdana"/>
          <w:color w:val="7030A0"/>
          <w:sz w:val="16"/>
          <w:szCs w:val="16"/>
        </w:rPr>
        <w:footnoteRef/>
      </w:r>
      <w:r w:rsidRPr="00460115">
        <w:rPr>
          <w:rFonts w:ascii="Verdana" w:hAnsi="Verdana"/>
          <w:color w:val="7030A0"/>
          <w:sz w:val="16"/>
          <w:szCs w:val="16"/>
        </w:rPr>
        <w:t xml:space="preserve"> ibid. </w:t>
      </w:r>
      <w:r>
        <w:rPr>
          <w:rFonts w:ascii="Verdana" w:hAnsi="Verdana"/>
          <w:color w:val="7030A0"/>
          <w:sz w:val="16"/>
          <w:szCs w:val="16"/>
        </w:rPr>
        <w:t>at para</w:t>
      </w:r>
      <w:r w:rsidRPr="00460115">
        <w:rPr>
          <w:rFonts w:ascii="Verdana" w:hAnsi="Verdana"/>
          <w:color w:val="7030A0"/>
          <w:sz w:val="16"/>
          <w:szCs w:val="16"/>
        </w:rPr>
        <w:t xml:space="preserve"> 18; </w:t>
      </w:r>
      <w:r w:rsidRPr="00826F9C">
        <w:rPr>
          <w:rFonts w:ascii="Verdana" w:hAnsi="Verdana"/>
          <w:i/>
          <w:color w:val="7030A0"/>
          <w:sz w:val="16"/>
          <w:szCs w:val="16"/>
        </w:rPr>
        <w:t>Poletan and Azirovik v the former</w:t>
      </w:r>
      <w:r w:rsidR="00FD5140" w:rsidRPr="00826F9C">
        <w:rPr>
          <w:rFonts w:ascii="Verdana" w:hAnsi="Verdana"/>
          <w:i/>
          <w:color w:val="7030A0"/>
          <w:sz w:val="16"/>
          <w:szCs w:val="16"/>
        </w:rPr>
        <w:t xml:space="preserve"> Yugoslav Republic of Macedonia</w:t>
      </w:r>
      <w:r w:rsidRPr="00826F9C">
        <w:rPr>
          <w:rFonts w:ascii="Verdana" w:hAnsi="Verdana"/>
          <w:i/>
          <w:color w:val="7030A0"/>
          <w:sz w:val="16"/>
          <w:szCs w:val="16"/>
        </w:rPr>
        <w:t>,</w:t>
      </w:r>
      <w:r w:rsidR="00FD5140" w:rsidRPr="00826F9C">
        <w:rPr>
          <w:i/>
        </w:rPr>
        <w:t xml:space="preserve"> </w:t>
      </w:r>
      <w:r w:rsidR="00FD5140" w:rsidRPr="00FD5140">
        <w:rPr>
          <w:rFonts w:ascii="Verdana" w:hAnsi="Verdana"/>
          <w:color w:val="7030A0"/>
          <w:sz w:val="16"/>
          <w:szCs w:val="16"/>
        </w:rPr>
        <w:t>Application</w:t>
      </w:r>
      <w:r w:rsidR="00FD5140">
        <w:t xml:space="preserve"> </w:t>
      </w:r>
      <w:r w:rsidR="00FD5140">
        <w:rPr>
          <w:rFonts w:ascii="Verdana" w:hAnsi="Verdana"/>
          <w:color w:val="7030A0"/>
          <w:sz w:val="16"/>
          <w:szCs w:val="16"/>
        </w:rPr>
        <w:t>no. 26711/07</w:t>
      </w:r>
      <w:r w:rsidR="00FD5140" w:rsidRPr="00FD5140">
        <w:rPr>
          <w:rFonts w:ascii="Verdana" w:hAnsi="Verdana"/>
          <w:color w:val="7030A0"/>
          <w:sz w:val="16"/>
          <w:szCs w:val="16"/>
        </w:rPr>
        <w:t>, 12 May 2016</w:t>
      </w:r>
      <w:r w:rsidRPr="00460115">
        <w:rPr>
          <w:rFonts w:ascii="Verdana" w:hAnsi="Verdana"/>
          <w:color w:val="7030A0"/>
          <w:sz w:val="16"/>
          <w:szCs w:val="16"/>
        </w:rPr>
        <w:t xml:space="preserve"> </w:t>
      </w:r>
      <w:r>
        <w:rPr>
          <w:rFonts w:ascii="Verdana" w:hAnsi="Verdana"/>
          <w:color w:val="7030A0"/>
          <w:sz w:val="16"/>
          <w:szCs w:val="16"/>
        </w:rPr>
        <w:t>at paras</w:t>
      </w:r>
      <w:r w:rsidRPr="00460115">
        <w:rPr>
          <w:rFonts w:ascii="Verdana" w:hAnsi="Verdana"/>
          <w:color w:val="7030A0"/>
          <w:sz w:val="16"/>
          <w:szCs w:val="16"/>
        </w:rPr>
        <w:t xml:space="preserve"> 63-67.</w:t>
      </w:r>
    </w:p>
  </w:footnote>
  <w:footnote w:id="25">
    <w:p w14:paraId="3153F4CC" w14:textId="750B8B4D" w:rsidR="00A006A4" w:rsidRPr="00460115" w:rsidRDefault="00A006A4">
      <w:pPr>
        <w:pStyle w:val="FootnoteText"/>
        <w:rPr>
          <w:rFonts w:ascii="Verdana" w:hAnsi="Verdana"/>
          <w:sz w:val="16"/>
          <w:szCs w:val="16"/>
        </w:rPr>
      </w:pPr>
      <w:r w:rsidRPr="00460115">
        <w:rPr>
          <w:rStyle w:val="FootnoteReference"/>
          <w:rFonts w:ascii="Verdana" w:hAnsi="Verdana"/>
          <w:color w:val="7030A0"/>
          <w:sz w:val="16"/>
          <w:szCs w:val="16"/>
        </w:rPr>
        <w:footnoteRef/>
      </w:r>
      <w:r w:rsidRPr="00460115">
        <w:rPr>
          <w:rFonts w:ascii="Verdana" w:hAnsi="Verdana"/>
          <w:color w:val="7030A0"/>
          <w:sz w:val="16"/>
          <w:szCs w:val="16"/>
        </w:rPr>
        <w:t xml:space="preserve"> </w:t>
      </w:r>
      <w:r w:rsidRPr="00826F9C">
        <w:rPr>
          <w:rFonts w:ascii="Verdana" w:hAnsi="Verdana"/>
          <w:i/>
          <w:color w:val="7030A0"/>
          <w:sz w:val="16"/>
          <w:szCs w:val="16"/>
        </w:rPr>
        <w:t>Kok v the Netherlands</w:t>
      </w:r>
      <w:r w:rsidR="00FD5140">
        <w:rPr>
          <w:rFonts w:ascii="Verdana" w:hAnsi="Verdana"/>
          <w:color w:val="7030A0"/>
          <w:sz w:val="16"/>
          <w:szCs w:val="16"/>
        </w:rPr>
        <w:t xml:space="preserve">, Application </w:t>
      </w:r>
      <w:r w:rsidR="00FD5140" w:rsidRPr="00FD5140">
        <w:rPr>
          <w:rFonts w:ascii="Verdana" w:hAnsi="Verdana"/>
          <w:color w:val="7030A0"/>
          <w:sz w:val="16"/>
          <w:szCs w:val="16"/>
        </w:rPr>
        <w:t>no. 43149/98, 4 July 2000</w:t>
      </w:r>
      <w:r w:rsidR="00FD5140">
        <w:rPr>
          <w:rFonts w:ascii="Verdana" w:hAnsi="Verdana"/>
          <w:color w:val="7030A0"/>
          <w:sz w:val="16"/>
          <w:szCs w:val="16"/>
        </w:rPr>
        <w:t>.</w:t>
      </w:r>
    </w:p>
  </w:footnote>
  <w:footnote w:id="26">
    <w:p w14:paraId="0CC849FC" w14:textId="42BE0E46" w:rsidR="00A006A4" w:rsidRPr="00460115" w:rsidRDefault="00A006A4" w:rsidP="00224065">
      <w:pPr>
        <w:pStyle w:val="FootnoteText"/>
        <w:rPr>
          <w:rFonts w:ascii="Verdana" w:hAnsi="Verdana"/>
          <w:color w:val="7030A0"/>
          <w:sz w:val="16"/>
          <w:szCs w:val="16"/>
        </w:rPr>
      </w:pPr>
      <w:r w:rsidRPr="00460115">
        <w:rPr>
          <w:rStyle w:val="FootnoteReference"/>
          <w:rFonts w:ascii="Verdana" w:hAnsi="Verdana"/>
          <w:color w:val="7030A0"/>
          <w:sz w:val="16"/>
          <w:szCs w:val="16"/>
        </w:rPr>
        <w:footnoteRef/>
      </w:r>
      <w:r w:rsidRPr="00460115">
        <w:rPr>
          <w:rFonts w:ascii="Verdana" w:hAnsi="Verdana"/>
          <w:color w:val="7030A0"/>
          <w:sz w:val="16"/>
          <w:szCs w:val="16"/>
        </w:rPr>
        <w:t xml:space="preserve"> Consultation document,</w:t>
      </w:r>
      <w:r>
        <w:rPr>
          <w:rFonts w:ascii="Verdana" w:hAnsi="Verdana"/>
          <w:color w:val="7030A0"/>
          <w:sz w:val="16"/>
          <w:szCs w:val="16"/>
        </w:rPr>
        <w:t xml:space="preserve"> at</w:t>
      </w:r>
      <w:r w:rsidRPr="00460115">
        <w:rPr>
          <w:rFonts w:ascii="Verdana" w:hAnsi="Verdana"/>
          <w:color w:val="7030A0"/>
          <w:sz w:val="16"/>
          <w:szCs w:val="16"/>
        </w:rPr>
        <w:t xml:space="preserve"> p</w:t>
      </w:r>
      <w:r>
        <w:rPr>
          <w:rFonts w:ascii="Verdana" w:hAnsi="Verdana"/>
          <w:color w:val="7030A0"/>
          <w:sz w:val="16"/>
          <w:szCs w:val="16"/>
        </w:rPr>
        <w:t>.</w:t>
      </w:r>
      <w:r w:rsidRPr="00460115">
        <w:rPr>
          <w:rFonts w:ascii="Verdana" w:hAnsi="Verdana"/>
          <w:color w:val="7030A0"/>
          <w:sz w:val="16"/>
          <w:szCs w:val="16"/>
        </w:rPr>
        <w:t>14.</w:t>
      </w:r>
    </w:p>
  </w:footnote>
  <w:footnote w:id="27">
    <w:p w14:paraId="48910E46" w14:textId="77777777" w:rsidR="00A006A4" w:rsidRDefault="00A006A4" w:rsidP="006829B0">
      <w:pPr>
        <w:pStyle w:val="FootnoteText"/>
      </w:pPr>
      <w:r w:rsidRPr="00460115">
        <w:rPr>
          <w:rStyle w:val="FootnoteReference"/>
          <w:rFonts w:ascii="Verdana" w:hAnsi="Verdana"/>
          <w:color w:val="7030A0"/>
          <w:sz w:val="16"/>
          <w:szCs w:val="16"/>
        </w:rPr>
        <w:footnoteRef/>
      </w:r>
      <w:r w:rsidRPr="00460115">
        <w:rPr>
          <w:rFonts w:ascii="Verdana" w:hAnsi="Verdana"/>
          <w:color w:val="7030A0"/>
          <w:sz w:val="16"/>
          <w:szCs w:val="16"/>
        </w:rPr>
        <w:t xml:space="preserve"> Ibid.</w:t>
      </w:r>
    </w:p>
  </w:footnote>
  <w:footnote w:id="28">
    <w:p w14:paraId="4A12F8C2" w14:textId="3261051C" w:rsidR="00A006A4" w:rsidRPr="00920189" w:rsidRDefault="00A006A4">
      <w:pPr>
        <w:pStyle w:val="FootnoteText"/>
        <w:rPr>
          <w:rFonts w:ascii="Verdana" w:hAnsi="Verdana"/>
          <w:sz w:val="16"/>
          <w:szCs w:val="16"/>
        </w:rPr>
      </w:pPr>
      <w:r w:rsidRPr="00920189">
        <w:rPr>
          <w:rStyle w:val="FootnoteReference"/>
          <w:rFonts w:ascii="Verdana" w:hAnsi="Verdana"/>
          <w:color w:val="7030A0"/>
          <w:sz w:val="16"/>
          <w:szCs w:val="16"/>
        </w:rPr>
        <w:footnoteRef/>
      </w:r>
      <w:r w:rsidR="00612083">
        <w:rPr>
          <w:rFonts w:ascii="Verdana" w:hAnsi="Verdana"/>
          <w:color w:val="7030A0"/>
          <w:sz w:val="16"/>
          <w:szCs w:val="16"/>
        </w:rPr>
        <w:t xml:space="preserve"> Consultation document, at p.1</w:t>
      </w:r>
      <w:r w:rsidRPr="00920189">
        <w:rPr>
          <w:rFonts w:ascii="Verdana" w:hAnsi="Verdana"/>
          <w:color w:val="7030A0"/>
          <w:sz w:val="16"/>
          <w:szCs w:val="16"/>
        </w:rPr>
        <w:t>5.</w:t>
      </w:r>
    </w:p>
  </w:footnote>
  <w:footnote w:id="29">
    <w:p w14:paraId="4E14AD11" w14:textId="3A34CF6B" w:rsidR="00A006A4" w:rsidRPr="0019542D" w:rsidRDefault="00A006A4">
      <w:pPr>
        <w:pStyle w:val="FootnoteText"/>
        <w:rPr>
          <w:rFonts w:ascii="Verdana" w:hAnsi="Verdana"/>
          <w:color w:val="7030A0"/>
          <w:sz w:val="16"/>
          <w:szCs w:val="16"/>
        </w:rPr>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w:t>
      </w:r>
      <w:r w:rsidRPr="009D417D">
        <w:rPr>
          <w:rFonts w:ascii="Verdana" w:hAnsi="Verdana"/>
          <w:i/>
          <w:iCs/>
          <w:color w:val="7030A0"/>
          <w:sz w:val="16"/>
          <w:szCs w:val="16"/>
        </w:rPr>
        <w:t>Vinter and Others v the United Kingdo</w:t>
      </w:r>
      <w:r w:rsidR="00E604A4" w:rsidRPr="009D417D">
        <w:rPr>
          <w:rFonts w:ascii="Verdana" w:hAnsi="Verdana"/>
          <w:i/>
          <w:iCs/>
          <w:color w:val="7030A0"/>
          <w:sz w:val="16"/>
          <w:szCs w:val="16"/>
        </w:rPr>
        <w:t>m</w:t>
      </w:r>
      <w:r w:rsidRPr="0019542D">
        <w:rPr>
          <w:rFonts w:ascii="Verdana" w:hAnsi="Verdana"/>
          <w:color w:val="7030A0"/>
          <w:sz w:val="16"/>
          <w:szCs w:val="16"/>
        </w:rPr>
        <w:t>,</w:t>
      </w:r>
      <w:r w:rsidR="00E604A4">
        <w:rPr>
          <w:rFonts w:ascii="Verdana" w:hAnsi="Verdana"/>
          <w:color w:val="7030A0"/>
          <w:sz w:val="16"/>
          <w:szCs w:val="16"/>
        </w:rPr>
        <w:t xml:space="preserve"> Application nos.</w:t>
      </w:r>
      <w:r w:rsidR="00E604A4" w:rsidRPr="00E604A4">
        <w:rPr>
          <w:rFonts w:ascii="Verdana" w:hAnsi="Verdana"/>
          <w:color w:val="7030A0"/>
          <w:sz w:val="16"/>
          <w:szCs w:val="16"/>
        </w:rPr>
        <w:t xml:space="preserve"> 66069/09, 130/10 and 3896/10</w:t>
      </w:r>
      <w:r w:rsidR="00E604A4">
        <w:rPr>
          <w:rFonts w:ascii="Verdana" w:hAnsi="Verdana"/>
          <w:color w:val="7030A0"/>
          <w:sz w:val="16"/>
          <w:szCs w:val="16"/>
        </w:rPr>
        <w:t xml:space="preserve">, 09 July 2013, </w:t>
      </w:r>
      <w:r w:rsidRPr="0019542D">
        <w:rPr>
          <w:rFonts w:ascii="Verdana" w:hAnsi="Verdana"/>
          <w:color w:val="7030A0"/>
          <w:sz w:val="16"/>
          <w:szCs w:val="16"/>
        </w:rPr>
        <w:t xml:space="preserve">at para 106. </w:t>
      </w:r>
    </w:p>
  </w:footnote>
  <w:footnote w:id="30">
    <w:p w14:paraId="2BFBE84E" w14:textId="1F09DA51" w:rsidR="00A006A4" w:rsidRDefault="00A006A4" w:rsidP="006635FD">
      <w:pPr>
        <w:pStyle w:val="FootnoteText"/>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w:t>
      </w:r>
      <w:r>
        <w:rPr>
          <w:rFonts w:ascii="Verdana" w:hAnsi="Verdana"/>
          <w:color w:val="7030A0"/>
          <w:sz w:val="16"/>
          <w:szCs w:val="16"/>
        </w:rPr>
        <w:t>Ibid</w:t>
      </w:r>
      <w:r w:rsidRPr="0019542D">
        <w:rPr>
          <w:rFonts w:ascii="Verdana" w:hAnsi="Verdana"/>
          <w:color w:val="7030A0"/>
          <w:sz w:val="16"/>
          <w:szCs w:val="16"/>
        </w:rPr>
        <w:t>, at para 104.</w:t>
      </w:r>
    </w:p>
  </w:footnote>
  <w:footnote w:id="31">
    <w:p w14:paraId="7A0BBEB1" w14:textId="76D19D11" w:rsidR="00A006A4" w:rsidRPr="0019542D" w:rsidRDefault="00A006A4" w:rsidP="006635FD">
      <w:pPr>
        <w:pStyle w:val="FootnoteText"/>
        <w:rPr>
          <w:rFonts w:ascii="Verdana" w:hAnsi="Verdana"/>
          <w:color w:val="7030A0"/>
          <w:sz w:val="16"/>
          <w:szCs w:val="16"/>
        </w:rPr>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Ibid</w:t>
      </w:r>
      <w:r>
        <w:rPr>
          <w:rFonts w:ascii="Verdana" w:hAnsi="Verdana"/>
          <w:color w:val="7030A0"/>
          <w:sz w:val="16"/>
          <w:szCs w:val="16"/>
        </w:rPr>
        <w:t>, at para</w:t>
      </w:r>
      <w:r w:rsidRPr="0019542D">
        <w:rPr>
          <w:rFonts w:ascii="Verdana" w:hAnsi="Verdana"/>
          <w:color w:val="7030A0"/>
          <w:sz w:val="16"/>
          <w:szCs w:val="16"/>
        </w:rPr>
        <w:t xml:space="preserve"> 108. </w:t>
      </w:r>
    </w:p>
  </w:footnote>
  <w:footnote w:id="32">
    <w:p w14:paraId="79075E27" w14:textId="0D2BF766" w:rsidR="00A006A4" w:rsidRPr="0019542D" w:rsidRDefault="00A006A4">
      <w:pPr>
        <w:pStyle w:val="FootnoteText"/>
        <w:rPr>
          <w:rFonts w:ascii="Verdana" w:hAnsi="Verdana"/>
          <w:color w:val="7030A0"/>
          <w:sz w:val="16"/>
          <w:szCs w:val="16"/>
        </w:rPr>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Ibid, at para 122. </w:t>
      </w:r>
    </w:p>
  </w:footnote>
  <w:footnote w:id="33">
    <w:p w14:paraId="31E885F3" w14:textId="36E25595" w:rsidR="00A624D8" w:rsidRPr="00A624D8" w:rsidRDefault="00A624D8">
      <w:pPr>
        <w:pStyle w:val="FootnoteText"/>
        <w:rPr>
          <w:rFonts w:ascii="Verdana" w:hAnsi="Verdana"/>
          <w:sz w:val="16"/>
          <w:szCs w:val="16"/>
        </w:rPr>
      </w:pPr>
      <w:r w:rsidRPr="00A624D8">
        <w:rPr>
          <w:rStyle w:val="FootnoteReference"/>
          <w:rFonts w:ascii="Verdana" w:hAnsi="Verdana"/>
          <w:color w:val="7030A0"/>
          <w:sz w:val="16"/>
          <w:szCs w:val="16"/>
        </w:rPr>
        <w:footnoteRef/>
      </w:r>
      <w:r w:rsidRPr="00A624D8">
        <w:rPr>
          <w:rFonts w:ascii="Verdana" w:hAnsi="Verdana"/>
          <w:color w:val="7030A0"/>
          <w:sz w:val="16"/>
          <w:szCs w:val="16"/>
        </w:rPr>
        <w:t xml:space="preserve"> Ibid, at para 125. </w:t>
      </w:r>
    </w:p>
  </w:footnote>
  <w:footnote w:id="34">
    <w:p w14:paraId="4BF1DEC7" w14:textId="7A88D917" w:rsidR="00A006A4" w:rsidRPr="0019542D" w:rsidRDefault="00A006A4">
      <w:pPr>
        <w:pStyle w:val="FootnoteText"/>
        <w:rPr>
          <w:rFonts w:ascii="Verdana" w:hAnsi="Verdana"/>
          <w:color w:val="7030A0"/>
          <w:sz w:val="16"/>
          <w:szCs w:val="16"/>
        </w:rPr>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w:t>
      </w:r>
      <w:r w:rsidRPr="009D417D">
        <w:rPr>
          <w:rFonts w:ascii="Verdana" w:hAnsi="Verdana"/>
          <w:i/>
          <w:color w:val="7030A0"/>
          <w:sz w:val="16"/>
          <w:szCs w:val="16"/>
        </w:rPr>
        <w:t>R v McLoughlin</w:t>
      </w:r>
      <w:r w:rsidR="00E604A4">
        <w:rPr>
          <w:rFonts w:ascii="Verdana" w:hAnsi="Verdana"/>
          <w:color w:val="7030A0"/>
          <w:sz w:val="16"/>
          <w:szCs w:val="16"/>
        </w:rPr>
        <w:t>,</w:t>
      </w:r>
      <w:r w:rsidR="00E604A4" w:rsidRPr="00E604A4">
        <w:t xml:space="preserve"> </w:t>
      </w:r>
      <w:r w:rsidR="00E604A4" w:rsidRPr="00E604A4">
        <w:rPr>
          <w:rFonts w:ascii="Verdana" w:hAnsi="Verdana"/>
          <w:color w:val="7030A0"/>
          <w:sz w:val="16"/>
          <w:szCs w:val="16"/>
        </w:rPr>
        <w:t>Case No: 2013/05646/A7 &amp; 2013/05317/A5</w:t>
      </w:r>
      <w:r w:rsidR="00E604A4">
        <w:rPr>
          <w:rFonts w:ascii="Verdana" w:hAnsi="Verdana"/>
          <w:color w:val="7030A0"/>
          <w:sz w:val="16"/>
          <w:szCs w:val="16"/>
        </w:rPr>
        <w:t xml:space="preserve">, 24 January 2014, </w:t>
      </w:r>
      <w:r w:rsidRPr="0019542D">
        <w:rPr>
          <w:rFonts w:ascii="Verdana" w:hAnsi="Verdana"/>
          <w:color w:val="7030A0"/>
          <w:sz w:val="16"/>
          <w:szCs w:val="16"/>
        </w:rPr>
        <w:t>at para</w:t>
      </w:r>
      <w:r>
        <w:rPr>
          <w:rFonts w:ascii="Verdana" w:hAnsi="Verdana"/>
          <w:color w:val="7030A0"/>
          <w:sz w:val="16"/>
          <w:szCs w:val="16"/>
        </w:rPr>
        <w:t>s</w:t>
      </w:r>
      <w:r w:rsidRPr="0019542D">
        <w:rPr>
          <w:rFonts w:ascii="Verdana" w:hAnsi="Verdana"/>
          <w:color w:val="7030A0"/>
          <w:sz w:val="16"/>
          <w:szCs w:val="16"/>
        </w:rPr>
        <w:t xml:space="preserve"> 32-33. </w:t>
      </w:r>
    </w:p>
  </w:footnote>
  <w:footnote w:id="35">
    <w:p w14:paraId="1F34573F" w14:textId="7077C2ED" w:rsidR="00A006A4" w:rsidRDefault="00A006A4">
      <w:pPr>
        <w:pStyle w:val="FootnoteText"/>
      </w:pPr>
      <w:r w:rsidRPr="0019542D">
        <w:rPr>
          <w:rStyle w:val="FootnoteReference"/>
          <w:rFonts w:ascii="Verdana" w:hAnsi="Verdana"/>
          <w:color w:val="7030A0"/>
          <w:sz w:val="16"/>
          <w:szCs w:val="16"/>
        </w:rPr>
        <w:footnoteRef/>
      </w:r>
      <w:r w:rsidRPr="0019542D">
        <w:rPr>
          <w:rFonts w:ascii="Verdana" w:hAnsi="Verdana"/>
          <w:color w:val="7030A0"/>
          <w:sz w:val="16"/>
          <w:szCs w:val="16"/>
        </w:rPr>
        <w:t xml:space="preserve"> </w:t>
      </w:r>
      <w:r w:rsidR="00E604A4" w:rsidRPr="009D417D">
        <w:rPr>
          <w:rFonts w:ascii="Verdana" w:hAnsi="Verdana"/>
          <w:i/>
          <w:color w:val="7030A0"/>
          <w:sz w:val="16"/>
          <w:szCs w:val="16"/>
        </w:rPr>
        <w:t>Hutchinson V United Kingdom</w:t>
      </w:r>
      <w:r w:rsidR="00E604A4">
        <w:rPr>
          <w:rFonts w:ascii="Verdana" w:hAnsi="Verdana"/>
          <w:color w:val="7030A0"/>
          <w:sz w:val="16"/>
          <w:szCs w:val="16"/>
        </w:rPr>
        <w:t xml:space="preserve">, </w:t>
      </w:r>
      <w:r w:rsidR="00BF16E1">
        <w:rPr>
          <w:rFonts w:ascii="Verdana" w:hAnsi="Verdana"/>
          <w:color w:val="7030A0"/>
          <w:sz w:val="16"/>
          <w:szCs w:val="16"/>
        </w:rPr>
        <w:t>Application no. 57592/08.</w:t>
      </w:r>
      <w:r w:rsidR="00E604A4">
        <w:rPr>
          <w:rFonts w:ascii="Verdana" w:hAnsi="Verdana"/>
          <w:color w:val="7030A0"/>
          <w:sz w:val="16"/>
          <w:szCs w:val="16"/>
        </w:rPr>
        <w:t xml:space="preserve"> </w:t>
      </w:r>
      <w:r w:rsidRPr="0019542D">
        <w:rPr>
          <w:color w:val="7030A0"/>
        </w:rPr>
        <w:t xml:space="preserve"> </w:t>
      </w:r>
    </w:p>
  </w:footnote>
  <w:footnote w:id="36">
    <w:p w14:paraId="3504A239" w14:textId="1194B8DC" w:rsidR="00612083" w:rsidRDefault="00612083">
      <w:pPr>
        <w:pStyle w:val="FootnoteText"/>
      </w:pPr>
      <w:r w:rsidRPr="00612083">
        <w:rPr>
          <w:rStyle w:val="FootnoteReference"/>
          <w:rFonts w:ascii="Verdana" w:hAnsi="Verdana"/>
          <w:color w:val="7030A0"/>
          <w:sz w:val="16"/>
          <w:szCs w:val="16"/>
        </w:rPr>
        <w:footnoteRef/>
      </w:r>
      <w:r w:rsidRPr="00612083">
        <w:rPr>
          <w:rFonts w:ascii="Verdana" w:hAnsi="Verdana"/>
          <w:color w:val="7030A0"/>
          <w:sz w:val="16"/>
          <w:szCs w:val="16"/>
        </w:rPr>
        <w:t xml:space="preserve"> Consultation document, at p.6</w:t>
      </w:r>
      <w:r w:rsidRPr="002851AB">
        <w:rPr>
          <w:rFonts w:ascii="Verdana" w:hAnsi="Verdana"/>
          <w:color w:val="7030A0"/>
          <w:sz w:val="16"/>
          <w:szCs w:val="16"/>
        </w:rPr>
        <w:t>.</w:t>
      </w:r>
    </w:p>
  </w:footnote>
  <w:footnote w:id="37">
    <w:p w14:paraId="3613A683" w14:textId="123F8534" w:rsidR="00A006A4" w:rsidRPr="005E7195" w:rsidRDefault="00A006A4">
      <w:pPr>
        <w:pStyle w:val="FootnoteText"/>
        <w:rPr>
          <w:rFonts w:ascii="Verdana" w:hAnsi="Verdana"/>
          <w:sz w:val="16"/>
          <w:szCs w:val="16"/>
        </w:rPr>
      </w:pPr>
      <w:r w:rsidRPr="005E7195">
        <w:rPr>
          <w:rStyle w:val="FootnoteReference"/>
          <w:rFonts w:ascii="Verdana" w:hAnsi="Verdana"/>
          <w:color w:val="7030A0"/>
          <w:sz w:val="16"/>
          <w:szCs w:val="16"/>
        </w:rPr>
        <w:footnoteRef/>
      </w:r>
      <w:r w:rsidRPr="005E7195">
        <w:rPr>
          <w:rFonts w:ascii="Verdana" w:hAnsi="Verdana"/>
          <w:color w:val="7030A0"/>
          <w:sz w:val="16"/>
          <w:szCs w:val="16"/>
        </w:rPr>
        <w:t xml:space="preserve"> UN Human Rights Committee, General Comment No. 21, at para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167"/>
    <w:multiLevelType w:val="multilevel"/>
    <w:tmpl w:val="3F54CF40"/>
    <w:lvl w:ilvl="0">
      <w:start w:val="1"/>
      <w:numFmt w:val="decimal"/>
      <w:lvlText w:val="%1"/>
      <w:lvlJc w:val="left"/>
      <w:pPr>
        <w:ind w:left="548" w:hanging="54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6227292"/>
    <w:multiLevelType w:val="multilevel"/>
    <w:tmpl w:val="5AFAC0D0"/>
    <w:lvl w:ilvl="0">
      <w:start w:val="1"/>
      <w:numFmt w:val="decimal"/>
      <w:lvlText w:val="%1"/>
      <w:lvlJc w:val="left"/>
      <w:pPr>
        <w:ind w:left="435" w:hanging="43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2" w15:restartNumberingAfterBreak="0">
    <w:nsid w:val="077D7C23"/>
    <w:multiLevelType w:val="hybridMultilevel"/>
    <w:tmpl w:val="EE12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A34A95"/>
    <w:multiLevelType w:val="hybridMultilevel"/>
    <w:tmpl w:val="ECFE71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F537D39"/>
    <w:multiLevelType w:val="hybridMultilevel"/>
    <w:tmpl w:val="795E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8B373F"/>
    <w:multiLevelType w:val="hybridMultilevel"/>
    <w:tmpl w:val="293096D6"/>
    <w:lvl w:ilvl="0" w:tplc="E8ACC8B4">
      <w:start w:val="1"/>
      <w:numFmt w:val="decimal"/>
      <w:lvlText w:val="%1."/>
      <w:lvlJc w:val="left"/>
      <w:pPr>
        <w:ind w:left="1163" w:hanging="360"/>
      </w:pPr>
      <w:rPr>
        <w:rFonts w:hint="default"/>
      </w:rPr>
    </w:lvl>
    <w:lvl w:ilvl="1" w:tplc="08090019" w:tentative="1">
      <w:start w:val="1"/>
      <w:numFmt w:val="lowerLetter"/>
      <w:lvlText w:val="%2."/>
      <w:lvlJc w:val="left"/>
      <w:pPr>
        <w:ind w:left="1883" w:hanging="360"/>
      </w:pPr>
    </w:lvl>
    <w:lvl w:ilvl="2" w:tplc="0809001B" w:tentative="1">
      <w:start w:val="1"/>
      <w:numFmt w:val="lowerRoman"/>
      <w:lvlText w:val="%3."/>
      <w:lvlJc w:val="right"/>
      <w:pPr>
        <w:ind w:left="2603" w:hanging="180"/>
      </w:pPr>
    </w:lvl>
    <w:lvl w:ilvl="3" w:tplc="0809000F" w:tentative="1">
      <w:start w:val="1"/>
      <w:numFmt w:val="decimal"/>
      <w:lvlText w:val="%4."/>
      <w:lvlJc w:val="left"/>
      <w:pPr>
        <w:ind w:left="3323" w:hanging="360"/>
      </w:pPr>
    </w:lvl>
    <w:lvl w:ilvl="4" w:tplc="08090019" w:tentative="1">
      <w:start w:val="1"/>
      <w:numFmt w:val="lowerLetter"/>
      <w:lvlText w:val="%5."/>
      <w:lvlJc w:val="left"/>
      <w:pPr>
        <w:ind w:left="4043" w:hanging="360"/>
      </w:pPr>
    </w:lvl>
    <w:lvl w:ilvl="5" w:tplc="0809001B" w:tentative="1">
      <w:start w:val="1"/>
      <w:numFmt w:val="lowerRoman"/>
      <w:lvlText w:val="%6."/>
      <w:lvlJc w:val="right"/>
      <w:pPr>
        <w:ind w:left="4763" w:hanging="180"/>
      </w:pPr>
    </w:lvl>
    <w:lvl w:ilvl="6" w:tplc="0809000F" w:tentative="1">
      <w:start w:val="1"/>
      <w:numFmt w:val="decimal"/>
      <w:lvlText w:val="%7."/>
      <w:lvlJc w:val="left"/>
      <w:pPr>
        <w:ind w:left="5483" w:hanging="360"/>
      </w:pPr>
    </w:lvl>
    <w:lvl w:ilvl="7" w:tplc="08090019" w:tentative="1">
      <w:start w:val="1"/>
      <w:numFmt w:val="lowerLetter"/>
      <w:lvlText w:val="%8."/>
      <w:lvlJc w:val="left"/>
      <w:pPr>
        <w:ind w:left="6203" w:hanging="360"/>
      </w:pPr>
    </w:lvl>
    <w:lvl w:ilvl="8" w:tplc="0809001B" w:tentative="1">
      <w:start w:val="1"/>
      <w:numFmt w:val="lowerRoman"/>
      <w:lvlText w:val="%9."/>
      <w:lvlJc w:val="right"/>
      <w:pPr>
        <w:ind w:left="6923" w:hanging="180"/>
      </w:pPr>
    </w:lvl>
  </w:abstractNum>
  <w:abstractNum w:abstractNumId="8" w15:restartNumberingAfterBreak="0">
    <w:nsid w:val="278B3DFE"/>
    <w:multiLevelType w:val="hybridMultilevel"/>
    <w:tmpl w:val="F65CF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CE7A76"/>
    <w:multiLevelType w:val="hybridMultilevel"/>
    <w:tmpl w:val="50183A86"/>
    <w:lvl w:ilvl="0" w:tplc="1E2E1B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BA20D7"/>
    <w:multiLevelType w:val="hybridMultilevel"/>
    <w:tmpl w:val="2774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F0E1A"/>
    <w:multiLevelType w:val="hybridMultilevel"/>
    <w:tmpl w:val="0448A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6B4E94"/>
    <w:multiLevelType w:val="multilevel"/>
    <w:tmpl w:val="9E36F042"/>
    <w:lvl w:ilvl="0">
      <w:start w:val="5"/>
      <w:numFmt w:val="decimal"/>
      <w:lvlText w:val="%1"/>
      <w:lvlJc w:val="left"/>
      <w:pPr>
        <w:ind w:left="548" w:hanging="548"/>
      </w:pPr>
      <w:rPr>
        <w:rFonts w:hint="default"/>
      </w:rPr>
    </w:lvl>
    <w:lvl w:ilvl="1">
      <w:start w:val="6"/>
      <w:numFmt w:val="decimal"/>
      <w:lvlText w:val="%1.%2"/>
      <w:lvlJc w:val="left"/>
      <w:pPr>
        <w:ind w:left="1571"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603801BD"/>
    <w:multiLevelType w:val="multilevel"/>
    <w:tmpl w:val="44468B6A"/>
    <w:lvl w:ilvl="0">
      <w:start w:val="1"/>
      <w:numFmt w:val="decimal"/>
      <w:lvlText w:val="%1"/>
      <w:lvlJc w:val="left"/>
      <w:pPr>
        <w:ind w:left="548" w:hanging="548"/>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4B40A5D"/>
    <w:multiLevelType w:val="hybridMultilevel"/>
    <w:tmpl w:val="DA347EC2"/>
    <w:lvl w:ilvl="0" w:tplc="4038113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8" w15:restartNumberingAfterBreak="0">
    <w:nsid w:val="6905210D"/>
    <w:multiLevelType w:val="hybridMultilevel"/>
    <w:tmpl w:val="4232C65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14314F"/>
    <w:multiLevelType w:val="multilevel"/>
    <w:tmpl w:val="A956C8F0"/>
    <w:lvl w:ilvl="0">
      <w:start w:val="4"/>
      <w:numFmt w:val="decimal"/>
      <w:lvlText w:val="%1.0"/>
      <w:lvlJc w:val="left"/>
      <w:pPr>
        <w:ind w:left="720" w:hanging="720"/>
      </w:pPr>
      <w:rPr>
        <w:rFonts w:hint="default"/>
        <w:color w:val="7030A0"/>
      </w:rPr>
    </w:lvl>
    <w:lvl w:ilvl="1">
      <w:start w:val="1"/>
      <w:numFmt w:val="decimal"/>
      <w:lvlText w:val="%1.%2"/>
      <w:lvlJc w:val="left"/>
      <w:pPr>
        <w:ind w:left="1440" w:hanging="720"/>
      </w:pPr>
      <w:rPr>
        <w:rFonts w:hint="default"/>
        <w:color w:val="7030A0"/>
      </w:rPr>
    </w:lvl>
    <w:lvl w:ilvl="2">
      <w:start w:val="1"/>
      <w:numFmt w:val="decimal"/>
      <w:lvlText w:val="%1.%2.%3"/>
      <w:lvlJc w:val="left"/>
      <w:pPr>
        <w:ind w:left="2520" w:hanging="1080"/>
      </w:pPr>
      <w:rPr>
        <w:rFonts w:hint="default"/>
        <w:color w:val="7030A0"/>
      </w:rPr>
    </w:lvl>
    <w:lvl w:ilvl="3">
      <w:start w:val="1"/>
      <w:numFmt w:val="decimal"/>
      <w:lvlText w:val="%1.%2.%3.%4"/>
      <w:lvlJc w:val="left"/>
      <w:pPr>
        <w:ind w:left="3600" w:hanging="1440"/>
      </w:pPr>
      <w:rPr>
        <w:rFonts w:hint="default"/>
        <w:color w:val="7030A0"/>
      </w:rPr>
    </w:lvl>
    <w:lvl w:ilvl="4">
      <w:start w:val="1"/>
      <w:numFmt w:val="decimal"/>
      <w:lvlText w:val="%1.%2.%3.%4.%5"/>
      <w:lvlJc w:val="left"/>
      <w:pPr>
        <w:ind w:left="4680" w:hanging="1800"/>
      </w:pPr>
      <w:rPr>
        <w:rFonts w:hint="default"/>
        <w:color w:val="7030A0"/>
      </w:rPr>
    </w:lvl>
    <w:lvl w:ilvl="5">
      <w:start w:val="1"/>
      <w:numFmt w:val="decimal"/>
      <w:lvlText w:val="%1.%2.%3.%4.%5.%6"/>
      <w:lvlJc w:val="left"/>
      <w:pPr>
        <w:ind w:left="5760" w:hanging="2160"/>
      </w:pPr>
      <w:rPr>
        <w:rFonts w:hint="default"/>
        <w:color w:val="7030A0"/>
      </w:rPr>
    </w:lvl>
    <w:lvl w:ilvl="6">
      <w:start w:val="1"/>
      <w:numFmt w:val="decimal"/>
      <w:lvlText w:val="%1.%2.%3.%4.%5.%6.%7"/>
      <w:lvlJc w:val="left"/>
      <w:pPr>
        <w:ind w:left="6840" w:hanging="2520"/>
      </w:pPr>
      <w:rPr>
        <w:rFonts w:hint="default"/>
        <w:color w:val="7030A0"/>
      </w:rPr>
    </w:lvl>
    <w:lvl w:ilvl="7">
      <w:start w:val="1"/>
      <w:numFmt w:val="decimal"/>
      <w:lvlText w:val="%1.%2.%3.%4.%5.%6.%7.%8"/>
      <w:lvlJc w:val="left"/>
      <w:pPr>
        <w:ind w:left="7920" w:hanging="2880"/>
      </w:pPr>
      <w:rPr>
        <w:rFonts w:hint="default"/>
        <w:color w:val="7030A0"/>
      </w:rPr>
    </w:lvl>
    <w:lvl w:ilvl="8">
      <w:start w:val="1"/>
      <w:numFmt w:val="decimal"/>
      <w:lvlText w:val="%1.%2.%3.%4.%5.%6.%7.%8.%9"/>
      <w:lvlJc w:val="left"/>
      <w:pPr>
        <w:ind w:left="9000" w:hanging="3240"/>
      </w:pPr>
      <w:rPr>
        <w:rFonts w:hint="default"/>
        <w:color w:val="7030A0"/>
      </w:rPr>
    </w:lvl>
  </w:abstractNum>
  <w:abstractNum w:abstractNumId="2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3"/>
  </w:num>
  <w:num w:numId="4">
    <w:abstractNumId w:val="10"/>
  </w:num>
  <w:num w:numId="5">
    <w:abstractNumId w:val="19"/>
  </w:num>
  <w:num w:numId="6">
    <w:abstractNumId w:val="6"/>
  </w:num>
  <w:num w:numId="7">
    <w:abstractNumId w:val="11"/>
  </w:num>
  <w:num w:numId="8">
    <w:abstractNumId w:val="0"/>
  </w:num>
  <w:num w:numId="9">
    <w:abstractNumId w:val="9"/>
  </w:num>
  <w:num w:numId="10">
    <w:abstractNumId w:val="13"/>
  </w:num>
  <w:num w:numId="11">
    <w:abstractNumId w:val="7"/>
  </w:num>
  <w:num w:numId="12">
    <w:abstractNumId w:val="8"/>
  </w:num>
  <w:num w:numId="13">
    <w:abstractNumId w:val="2"/>
  </w:num>
  <w:num w:numId="14">
    <w:abstractNumId w:val="18"/>
  </w:num>
  <w:num w:numId="15">
    <w:abstractNumId w:val="5"/>
  </w:num>
  <w:num w:numId="16">
    <w:abstractNumId w:val="16"/>
  </w:num>
  <w:num w:numId="17">
    <w:abstractNumId w:val="1"/>
  </w:num>
  <w:num w:numId="18">
    <w:abstractNumId w:val="20"/>
  </w:num>
  <w:num w:numId="19">
    <w:abstractNumId w:val="12"/>
  </w:num>
  <w:num w:numId="20">
    <w:abstractNumId w:val="15"/>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1572"/>
    <w:rsid w:val="00013408"/>
    <w:rsid w:val="00036A3A"/>
    <w:rsid w:val="000411B2"/>
    <w:rsid w:val="00041473"/>
    <w:rsid w:val="00046705"/>
    <w:rsid w:val="0005379E"/>
    <w:rsid w:val="00080811"/>
    <w:rsid w:val="000B6B48"/>
    <w:rsid w:val="000C0C2C"/>
    <w:rsid w:val="000D0905"/>
    <w:rsid w:val="000E1F61"/>
    <w:rsid w:val="000E665F"/>
    <w:rsid w:val="000E7F0C"/>
    <w:rsid w:val="00106F85"/>
    <w:rsid w:val="00114C0D"/>
    <w:rsid w:val="0011524C"/>
    <w:rsid w:val="001232EE"/>
    <w:rsid w:val="00123A74"/>
    <w:rsid w:val="00125C30"/>
    <w:rsid w:val="001462D1"/>
    <w:rsid w:val="00153141"/>
    <w:rsid w:val="0015630E"/>
    <w:rsid w:val="001800E2"/>
    <w:rsid w:val="00184134"/>
    <w:rsid w:val="00185304"/>
    <w:rsid w:val="001859F6"/>
    <w:rsid w:val="001929D8"/>
    <w:rsid w:val="0019542D"/>
    <w:rsid w:val="001C1ED8"/>
    <w:rsid w:val="001D556B"/>
    <w:rsid w:val="001D590B"/>
    <w:rsid w:val="001E18A1"/>
    <w:rsid w:val="001E79A9"/>
    <w:rsid w:val="001F0B1A"/>
    <w:rsid w:val="001F2EAC"/>
    <w:rsid w:val="00203B3B"/>
    <w:rsid w:val="00212F00"/>
    <w:rsid w:val="00213B8A"/>
    <w:rsid w:val="0022100E"/>
    <w:rsid w:val="00224065"/>
    <w:rsid w:val="00224140"/>
    <w:rsid w:val="002351CB"/>
    <w:rsid w:val="00240FE7"/>
    <w:rsid w:val="002428EC"/>
    <w:rsid w:val="00263594"/>
    <w:rsid w:val="00271A00"/>
    <w:rsid w:val="00277E2A"/>
    <w:rsid w:val="002851AB"/>
    <w:rsid w:val="002A1BF9"/>
    <w:rsid w:val="002A3040"/>
    <w:rsid w:val="002A57F6"/>
    <w:rsid w:val="002B0016"/>
    <w:rsid w:val="002B1272"/>
    <w:rsid w:val="002B1E96"/>
    <w:rsid w:val="002C5D08"/>
    <w:rsid w:val="002E1E41"/>
    <w:rsid w:val="002E4BB2"/>
    <w:rsid w:val="002F7740"/>
    <w:rsid w:val="002F7CAB"/>
    <w:rsid w:val="00306317"/>
    <w:rsid w:val="00307E43"/>
    <w:rsid w:val="0031074B"/>
    <w:rsid w:val="00331C61"/>
    <w:rsid w:val="00341A60"/>
    <w:rsid w:val="00341BFE"/>
    <w:rsid w:val="00354C71"/>
    <w:rsid w:val="00361FF2"/>
    <w:rsid w:val="00362061"/>
    <w:rsid w:val="00367CCA"/>
    <w:rsid w:val="003716C6"/>
    <w:rsid w:val="00394EDD"/>
    <w:rsid w:val="003B2C3F"/>
    <w:rsid w:val="003B7D0E"/>
    <w:rsid w:val="003D09D2"/>
    <w:rsid w:val="003D2A9F"/>
    <w:rsid w:val="003E6327"/>
    <w:rsid w:val="003E6F3A"/>
    <w:rsid w:val="003F1FE5"/>
    <w:rsid w:val="003F6A04"/>
    <w:rsid w:val="003F769C"/>
    <w:rsid w:val="0040009F"/>
    <w:rsid w:val="00417BE2"/>
    <w:rsid w:val="004265DE"/>
    <w:rsid w:val="00433C7A"/>
    <w:rsid w:val="0044326C"/>
    <w:rsid w:val="00460115"/>
    <w:rsid w:val="00463D6B"/>
    <w:rsid w:val="0046658E"/>
    <w:rsid w:val="00466A2E"/>
    <w:rsid w:val="004672AC"/>
    <w:rsid w:val="004714D9"/>
    <w:rsid w:val="00483E25"/>
    <w:rsid w:val="00494E23"/>
    <w:rsid w:val="004A28D4"/>
    <w:rsid w:val="004C6143"/>
    <w:rsid w:val="00502CAD"/>
    <w:rsid w:val="005076A6"/>
    <w:rsid w:val="00520288"/>
    <w:rsid w:val="0052177D"/>
    <w:rsid w:val="00527D1A"/>
    <w:rsid w:val="00533E59"/>
    <w:rsid w:val="005410D9"/>
    <w:rsid w:val="00550487"/>
    <w:rsid w:val="00552293"/>
    <w:rsid w:val="00557D12"/>
    <w:rsid w:val="005611A6"/>
    <w:rsid w:val="00562008"/>
    <w:rsid w:val="005651FC"/>
    <w:rsid w:val="00566574"/>
    <w:rsid w:val="005742AB"/>
    <w:rsid w:val="0058705B"/>
    <w:rsid w:val="005A1ED1"/>
    <w:rsid w:val="005A4B68"/>
    <w:rsid w:val="005A589C"/>
    <w:rsid w:val="005B0795"/>
    <w:rsid w:val="005B723E"/>
    <w:rsid w:val="005B7480"/>
    <w:rsid w:val="005C138A"/>
    <w:rsid w:val="005D158D"/>
    <w:rsid w:val="005E7195"/>
    <w:rsid w:val="005F3995"/>
    <w:rsid w:val="00611F56"/>
    <w:rsid w:val="00612083"/>
    <w:rsid w:val="00612BD9"/>
    <w:rsid w:val="00617C3F"/>
    <w:rsid w:val="00620350"/>
    <w:rsid w:val="00624F2F"/>
    <w:rsid w:val="006362DC"/>
    <w:rsid w:val="00640268"/>
    <w:rsid w:val="00640E0C"/>
    <w:rsid w:val="00642D71"/>
    <w:rsid w:val="00655F6F"/>
    <w:rsid w:val="00656ECD"/>
    <w:rsid w:val="006635FD"/>
    <w:rsid w:val="00670BF8"/>
    <w:rsid w:val="00676B9C"/>
    <w:rsid w:val="006829B0"/>
    <w:rsid w:val="006A604E"/>
    <w:rsid w:val="006B1B5A"/>
    <w:rsid w:val="006C594A"/>
    <w:rsid w:val="006C7311"/>
    <w:rsid w:val="006E20DD"/>
    <w:rsid w:val="006E4166"/>
    <w:rsid w:val="007007E1"/>
    <w:rsid w:val="00702E86"/>
    <w:rsid w:val="00704C71"/>
    <w:rsid w:val="00705833"/>
    <w:rsid w:val="00705F28"/>
    <w:rsid w:val="007112FB"/>
    <w:rsid w:val="00720A5A"/>
    <w:rsid w:val="00722B59"/>
    <w:rsid w:val="00723069"/>
    <w:rsid w:val="00732E1F"/>
    <w:rsid w:val="0073447E"/>
    <w:rsid w:val="00735CEF"/>
    <w:rsid w:val="00747223"/>
    <w:rsid w:val="00752BCA"/>
    <w:rsid w:val="00754ED2"/>
    <w:rsid w:val="007569C1"/>
    <w:rsid w:val="00760CF1"/>
    <w:rsid w:val="00762666"/>
    <w:rsid w:val="00773842"/>
    <w:rsid w:val="00776827"/>
    <w:rsid w:val="007C7519"/>
    <w:rsid w:val="007D254E"/>
    <w:rsid w:val="007D7610"/>
    <w:rsid w:val="007E0830"/>
    <w:rsid w:val="007E35C7"/>
    <w:rsid w:val="007E7DEB"/>
    <w:rsid w:val="007F266D"/>
    <w:rsid w:val="007F538D"/>
    <w:rsid w:val="00812D47"/>
    <w:rsid w:val="008159E8"/>
    <w:rsid w:val="00824F8F"/>
    <w:rsid w:val="00826F9C"/>
    <w:rsid w:val="00837D50"/>
    <w:rsid w:val="00867CF2"/>
    <w:rsid w:val="0087161B"/>
    <w:rsid w:val="00872187"/>
    <w:rsid w:val="0087305B"/>
    <w:rsid w:val="00875E68"/>
    <w:rsid w:val="008C67AA"/>
    <w:rsid w:val="008D29D7"/>
    <w:rsid w:val="008D7C32"/>
    <w:rsid w:val="008E3F08"/>
    <w:rsid w:val="008F07A5"/>
    <w:rsid w:val="008F698E"/>
    <w:rsid w:val="0090043B"/>
    <w:rsid w:val="009075F3"/>
    <w:rsid w:val="00910042"/>
    <w:rsid w:val="00910210"/>
    <w:rsid w:val="00920189"/>
    <w:rsid w:val="009228D3"/>
    <w:rsid w:val="00931661"/>
    <w:rsid w:val="00935C35"/>
    <w:rsid w:val="009446F1"/>
    <w:rsid w:val="00947D2D"/>
    <w:rsid w:val="00957923"/>
    <w:rsid w:val="00962B2B"/>
    <w:rsid w:val="0096459E"/>
    <w:rsid w:val="00975428"/>
    <w:rsid w:val="00991F97"/>
    <w:rsid w:val="009A1899"/>
    <w:rsid w:val="009B7888"/>
    <w:rsid w:val="009B7E72"/>
    <w:rsid w:val="009D0067"/>
    <w:rsid w:val="009D417D"/>
    <w:rsid w:val="009D5D27"/>
    <w:rsid w:val="009D6D05"/>
    <w:rsid w:val="009E4331"/>
    <w:rsid w:val="009F65C0"/>
    <w:rsid w:val="00A006A4"/>
    <w:rsid w:val="00A2608E"/>
    <w:rsid w:val="00A33337"/>
    <w:rsid w:val="00A349F7"/>
    <w:rsid w:val="00A43FBA"/>
    <w:rsid w:val="00A4544A"/>
    <w:rsid w:val="00A562A2"/>
    <w:rsid w:val="00A624D8"/>
    <w:rsid w:val="00A71391"/>
    <w:rsid w:val="00A77854"/>
    <w:rsid w:val="00A84325"/>
    <w:rsid w:val="00A85262"/>
    <w:rsid w:val="00A85CD2"/>
    <w:rsid w:val="00A91FC6"/>
    <w:rsid w:val="00AA3190"/>
    <w:rsid w:val="00AA5A5C"/>
    <w:rsid w:val="00AB107A"/>
    <w:rsid w:val="00AB28BF"/>
    <w:rsid w:val="00AB4DCF"/>
    <w:rsid w:val="00AE595F"/>
    <w:rsid w:val="00AF6523"/>
    <w:rsid w:val="00AF71EA"/>
    <w:rsid w:val="00B04492"/>
    <w:rsid w:val="00B41B84"/>
    <w:rsid w:val="00B517BA"/>
    <w:rsid w:val="00B52C89"/>
    <w:rsid w:val="00B5389D"/>
    <w:rsid w:val="00B61C79"/>
    <w:rsid w:val="00B61EDC"/>
    <w:rsid w:val="00B77314"/>
    <w:rsid w:val="00B8345B"/>
    <w:rsid w:val="00B93C87"/>
    <w:rsid w:val="00B95091"/>
    <w:rsid w:val="00B96D34"/>
    <w:rsid w:val="00BB3BEB"/>
    <w:rsid w:val="00BC2C96"/>
    <w:rsid w:val="00BD5057"/>
    <w:rsid w:val="00BE3881"/>
    <w:rsid w:val="00BE41B9"/>
    <w:rsid w:val="00BE5849"/>
    <w:rsid w:val="00BF0060"/>
    <w:rsid w:val="00BF16E1"/>
    <w:rsid w:val="00C10930"/>
    <w:rsid w:val="00C14D76"/>
    <w:rsid w:val="00C2725D"/>
    <w:rsid w:val="00C27A65"/>
    <w:rsid w:val="00C31FD1"/>
    <w:rsid w:val="00C67D43"/>
    <w:rsid w:val="00C76E49"/>
    <w:rsid w:val="00C8023C"/>
    <w:rsid w:val="00C83516"/>
    <w:rsid w:val="00CA5916"/>
    <w:rsid w:val="00CB133A"/>
    <w:rsid w:val="00CB430F"/>
    <w:rsid w:val="00CE3039"/>
    <w:rsid w:val="00CF0261"/>
    <w:rsid w:val="00D12EF8"/>
    <w:rsid w:val="00D16532"/>
    <w:rsid w:val="00D21403"/>
    <w:rsid w:val="00D2770F"/>
    <w:rsid w:val="00DA07B1"/>
    <w:rsid w:val="00DA54C9"/>
    <w:rsid w:val="00DA6723"/>
    <w:rsid w:val="00DC325A"/>
    <w:rsid w:val="00DD55C2"/>
    <w:rsid w:val="00DF136D"/>
    <w:rsid w:val="00DF4859"/>
    <w:rsid w:val="00DF752E"/>
    <w:rsid w:val="00E0267E"/>
    <w:rsid w:val="00E07F8F"/>
    <w:rsid w:val="00E109D6"/>
    <w:rsid w:val="00E223D1"/>
    <w:rsid w:val="00E34D3C"/>
    <w:rsid w:val="00E35FB8"/>
    <w:rsid w:val="00E45DBB"/>
    <w:rsid w:val="00E604A4"/>
    <w:rsid w:val="00E70B06"/>
    <w:rsid w:val="00E7678A"/>
    <w:rsid w:val="00E9058F"/>
    <w:rsid w:val="00EA0699"/>
    <w:rsid w:val="00EA12CE"/>
    <w:rsid w:val="00EA2EB7"/>
    <w:rsid w:val="00EA6464"/>
    <w:rsid w:val="00EC1011"/>
    <w:rsid w:val="00EC3ED8"/>
    <w:rsid w:val="00EE3578"/>
    <w:rsid w:val="00EF0874"/>
    <w:rsid w:val="00EF63E3"/>
    <w:rsid w:val="00EF72B9"/>
    <w:rsid w:val="00F10DEC"/>
    <w:rsid w:val="00F229CE"/>
    <w:rsid w:val="00F25766"/>
    <w:rsid w:val="00F31387"/>
    <w:rsid w:val="00F320D2"/>
    <w:rsid w:val="00F4183E"/>
    <w:rsid w:val="00F43CE4"/>
    <w:rsid w:val="00F56C78"/>
    <w:rsid w:val="00F56EC7"/>
    <w:rsid w:val="00F76BCF"/>
    <w:rsid w:val="00F97693"/>
    <w:rsid w:val="00FB1851"/>
    <w:rsid w:val="00FB41CB"/>
    <w:rsid w:val="00FB6463"/>
    <w:rsid w:val="00FD5140"/>
    <w:rsid w:val="00FE63D3"/>
    <w:rsid w:val="00FF3CBA"/>
    <w:rsid w:val="046945BE"/>
    <w:rsid w:val="09860A3C"/>
    <w:rsid w:val="16E9A403"/>
    <w:rsid w:val="2720D361"/>
    <w:rsid w:val="35B28316"/>
    <w:rsid w:val="37AD38E2"/>
    <w:rsid w:val="4BE29C4E"/>
    <w:rsid w:val="4D2A2548"/>
    <w:rsid w:val="57FD7F6F"/>
    <w:rsid w:val="5AA6C3DB"/>
    <w:rsid w:val="6B4D627E"/>
    <w:rsid w:val="7EC327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B0337C"/>
  <w14:defaultImageDpi w14:val="300"/>
  <w15:docId w15:val="{A532D83B-D3B2-4227-AF08-685D97C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485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153141"/>
    <w:pPr>
      <w:ind w:left="720"/>
      <w:contextualSpacing/>
    </w:pPr>
  </w:style>
  <w:style w:type="character" w:customStyle="1" w:styleId="Heading3Char">
    <w:name w:val="Heading 3 Char"/>
    <w:basedOn w:val="DefaultParagraphFont"/>
    <w:link w:val="Heading3"/>
    <w:uiPriority w:val="9"/>
    <w:semiHidden/>
    <w:rsid w:val="00DF4859"/>
    <w:rPr>
      <w:rFonts w:asciiTheme="majorHAnsi" w:eastAsiaTheme="majorEastAsia" w:hAnsiTheme="majorHAnsi" w:cstheme="majorBidi"/>
      <w:color w:val="243F60" w:themeColor="accent1" w:themeShade="7F"/>
    </w:rPr>
  </w:style>
  <w:style w:type="paragraph" w:styleId="CommentText">
    <w:name w:val="annotation text"/>
    <w:basedOn w:val="Normal"/>
    <w:link w:val="CommentTextChar"/>
    <w:uiPriority w:val="99"/>
    <w:semiHidden/>
    <w:unhideWhenUsed/>
    <w:rsid w:val="002B1E96"/>
    <w:rPr>
      <w:sz w:val="20"/>
      <w:szCs w:val="20"/>
    </w:rPr>
  </w:style>
  <w:style w:type="character" w:customStyle="1" w:styleId="CommentTextChar">
    <w:name w:val="Comment Text Char"/>
    <w:basedOn w:val="DefaultParagraphFont"/>
    <w:link w:val="CommentText"/>
    <w:uiPriority w:val="99"/>
    <w:semiHidden/>
    <w:rsid w:val="002B1E96"/>
    <w:rPr>
      <w:sz w:val="20"/>
      <w:szCs w:val="20"/>
    </w:rPr>
  </w:style>
  <w:style w:type="character" w:styleId="CommentReference">
    <w:name w:val="annotation reference"/>
    <w:basedOn w:val="DefaultParagraphFont"/>
    <w:uiPriority w:val="99"/>
    <w:semiHidden/>
    <w:unhideWhenUsed/>
    <w:rsid w:val="002B1E96"/>
    <w:rPr>
      <w:sz w:val="16"/>
      <w:szCs w:val="16"/>
    </w:rPr>
  </w:style>
  <w:style w:type="paragraph" w:styleId="CommentSubject">
    <w:name w:val="annotation subject"/>
    <w:basedOn w:val="CommentText"/>
    <w:next w:val="CommentText"/>
    <w:link w:val="CommentSubjectChar"/>
    <w:uiPriority w:val="99"/>
    <w:semiHidden/>
    <w:unhideWhenUsed/>
    <w:rsid w:val="002B1E96"/>
    <w:rPr>
      <w:b/>
      <w:bCs/>
    </w:rPr>
  </w:style>
  <w:style w:type="character" w:customStyle="1" w:styleId="CommentSubjectChar">
    <w:name w:val="Comment Subject Char"/>
    <w:basedOn w:val="CommentTextChar"/>
    <w:link w:val="CommentSubject"/>
    <w:uiPriority w:val="99"/>
    <w:semiHidden/>
    <w:rsid w:val="002B1E96"/>
    <w:rPr>
      <w:b/>
      <w:bCs/>
      <w:sz w:val="20"/>
      <w:szCs w:val="20"/>
    </w:rPr>
  </w:style>
  <w:style w:type="paragraph" w:styleId="Revision">
    <w:name w:val="Revision"/>
    <w:hidden/>
    <w:uiPriority w:val="99"/>
    <w:semiHidden/>
    <w:rsid w:val="002B1E96"/>
  </w:style>
  <w:style w:type="character" w:styleId="FollowedHyperlink">
    <w:name w:val="FollowedHyperlink"/>
    <w:basedOn w:val="DefaultParagraphFont"/>
    <w:uiPriority w:val="99"/>
    <w:semiHidden/>
    <w:unhideWhenUsed/>
    <w:rsid w:val="001F2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2267">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87071319">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nihrc.org/publication/detail/nihrc-response-to-the-public-consultation-on-improving-the-experiences-of-victims-and-witnesses-in-the-criminal-justice-system"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899AC5F7C4C45BC8EF16AB4373A26" ma:contentTypeVersion="11" ma:contentTypeDescription="Create a new document." ma:contentTypeScope="" ma:versionID="d5cfdcc30dfccd5148c76f8774f1aceb">
  <xsd:schema xmlns:xsd="http://www.w3.org/2001/XMLSchema" xmlns:xs="http://www.w3.org/2001/XMLSchema" xmlns:p="http://schemas.microsoft.com/office/2006/metadata/properties" xmlns:ns3="1a27aaff-d31a-49f7-86dd-2acde9cae9cb" xmlns:ns4="0294a276-9c8c-4f8b-828e-ea5ddf8b436a" targetNamespace="http://schemas.microsoft.com/office/2006/metadata/properties" ma:root="true" ma:fieldsID="d9edcd3afab0cbc5e3256c2c333983c9" ns3:_="" ns4:_="">
    <xsd:import namespace="1a27aaff-d31a-49f7-86dd-2acde9cae9cb"/>
    <xsd:import namespace="0294a276-9c8c-4f8b-828e-ea5ddf8b43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7aaff-d31a-49f7-86dd-2acde9cae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4a276-9c8c-4f8b-828e-ea5ddf8b43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2B7E-5DFD-44B1-90FB-BB9FEC926615}">
  <ds:schemaRefs>
    <ds:schemaRef ds:uri="http://schemas.microsoft.com/sharepoint/v3/contenttype/forms"/>
  </ds:schemaRefs>
</ds:datastoreItem>
</file>

<file path=customXml/itemProps2.xml><?xml version="1.0" encoding="utf-8"?>
<ds:datastoreItem xmlns:ds="http://schemas.openxmlformats.org/officeDocument/2006/customXml" ds:itemID="{9BEE7A0E-38ED-405A-A9A4-AE14BABEA32C}">
  <ds:schemaRefs>
    <ds:schemaRef ds:uri="http://schemas.microsoft.com/office/2006/documentManagement/types"/>
    <ds:schemaRef ds:uri="1a27aaff-d31a-49f7-86dd-2acde9cae9cb"/>
    <ds:schemaRef ds:uri="http://purl.org/dc/terms/"/>
    <ds:schemaRef ds:uri="0294a276-9c8c-4f8b-828e-ea5ddf8b436a"/>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127F225-413C-4C33-8F34-D5BA1A1E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7aaff-d31a-49f7-86dd-2acde9cae9cb"/>
    <ds:schemaRef ds:uri="0294a276-9c8c-4f8b-828e-ea5ddf8b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C15EB-AC23-43C2-AE8F-999730B2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Lauren Shaw</cp:lastModifiedBy>
  <cp:revision>5</cp:revision>
  <cp:lastPrinted>2022-02-08T10:18:00Z</cp:lastPrinted>
  <dcterms:created xsi:type="dcterms:W3CDTF">2022-01-31T14:36:00Z</dcterms:created>
  <dcterms:modified xsi:type="dcterms:W3CDTF">2022-02-14T15:47:00Z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0x01010025F899AC5F7C4C45BC8EF16AB4373A26</vt:lpwstr>
  </property>
</Properties>
</file>