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A43C"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2DF081E" wp14:editId="5147438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B1280C4" w14:textId="77777777" w:rsidR="003B7D0E" w:rsidRDefault="003B7D0E" w:rsidP="003B7D0E">
      <w:pPr>
        <w:pStyle w:val="BasicParagraph"/>
        <w:suppressAutoHyphens/>
        <w:jc w:val="center"/>
        <w:rPr>
          <w:rFonts w:ascii="Verdana" w:hAnsi="Verdana" w:cs="Arial"/>
          <w:b/>
          <w:bCs/>
          <w:color w:val="734791"/>
          <w:sz w:val="36"/>
          <w:szCs w:val="36"/>
        </w:rPr>
      </w:pPr>
    </w:p>
    <w:p w14:paraId="78BA160F" w14:textId="77777777" w:rsidR="004821A9" w:rsidRDefault="004821A9" w:rsidP="003B7D0E">
      <w:pPr>
        <w:pStyle w:val="BasicParagraph"/>
        <w:suppressAutoHyphens/>
        <w:jc w:val="center"/>
        <w:rPr>
          <w:rFonts w:ascii="Verdana" w:hAnsi="Verdana" w:cs="Arial"/>
          <w:b/>
          <w:bCs/>
          <w:color w:val="734791"/>
          <w:sz w:val="36"/>
          <w:szCs w:val="36"/>
        </w:rPr>
      </w:pPr>
    </w:p>
    <w:p w14:paraId="456C4F24" w14:textId="77777777" w:rsidR="004821A9" w:rsidRDefault="004821A9" w:rsidP="003B7D0E">
      <w:pPr>
        <w:pStyle w:val="BasicParagraph"/>
        <w:suppressAutoHyphens/>
        <w:jc w:val="center"/>
        <w:rPr>
          <w:rFonts w:ascii="Verdana" w:hAnsi="Verdana" w:cs="Arial"/>
          <w:b/>
          <w:bCs/>
          <w:color w:val="734791"/>
          <w:sz w:val="36"/>
          <w:szCs w:val="36"/>
        </w:rPr>
      </w:pPr>
    </w:p>
    <w:p w14:paraId="10F12412" w14:textId="77777777" w:rsidR="004821A9" w:rsidRPr="00EA12CE" w:rsidRDefault="004821A9" w:rsidP="003B7D0E">
      <w:pPr>
        <w:pStyle w:val="BasicParagraph"/>
        <w:suppressAutoHyphens/>
        <w:jc w:val="center"/>
        <w:rPr>
          <w:rFonts w:ascii="Verdana" w:hAnsi="Verdana" w:cs="Arial"/>
          <w:b/>
          <w:bCs/>
          <w:color w:val="734791"/>
          <w:sz w:val="36"/>
          <w:szCs w:val="36"/>
        </w:rPr>
      </w:pPr>
    </w:p>
    <w:p w14:paraId="67F00C05" w14:textId="18D64894" w:rsidR="0096459E" w:rsidRPr="003B7D0E" w:rsidRDefault="00BD567E"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Response </w:t>
      </w:r>
      <w:r w:rsidR="00DB6B40">
        <w:rPr>
          <w:rFonts w:ascii="Verdana" w:hAnsi="Verdana" w:cs="Arial"/>
          <w:b/>
          <w:bCs/>
          <w:color w:val="77328A"/>
          <w:sz w:val="36"/>
          <w:szCs w:val="36"/>
        </w:rPr>
        <w:t>t</w:t>
      </w:r>
      <w:r>
        <w:rPr>
          <w:rFonts w:ascii="Verdana" w:hAnsi="Verdana" w:cs="Arial"/>
          <w:b/>
          <w:bCs/>
          <w:color w:val="77328A"/>
          <w:sz w:val="36"/>
          <w:szCs w:val="36"/>
        </w:rPr>
        <w:t xml:space="preserve">o </w:t>
      </w:r>
      <w:r w:rsidR="004821A9">
        <w:rPr>
          <w:rFonts w:ascii="Verdana" w:hAnsi="Verdana" w:cs="Arial"/>
          <w:b/>
          <w:bCs/>
          <w:color w:val="77328A"/>
          <w:sz w:val="36"/>
          <w:szCs w:val="36"/>
        </w:rPr>
        <w:t>T</w:t>
      </w:r>
      <w:r>
        <w:rPr>
          <w:rFonts w:ascii="Verdana" w:hAnsi="Verdana" w:cs="Arial"/>
          <w:b/>
          <w:bCs/>
          <w:color w:val="77328A"/>
          <w:sz w:val="36"/>
          <w:szCs w:val="36"/>
        </w:rPr>
        <w:t xml:space="preserve">he Executive Office’s </w:t>
      </w:r>
      <w:r w:rsidR="004821A9">
        <w:rPr>
          <w:rFonts w:ascii="Verdana" w:hAnsi="Verdana" w:cs="Arial"/>
          <w:b/>
          <w:bCs/>
          <w:color w:val="77328A"/>
          <w:sz w:val="36"/>
          <w:szCs w:val="36"/>
        </w:rPr>
        <w:t>C</w:t>
      </w:r>
      <w:r>
        <w:rPr>
          <w:rFonts w:ascii="Verdana" w:hAnsi="Verdana" w:cs="Arial"/>
          <w:b/>
          <w:bCs/>
          <w:color w:val="77328A"/>
          <w:sz w:val="36"/>
          <w:szCs w:val="36"/>
        </w:rPr>
        <w:t xml:space="preserve">onsultation on the </w:t>
      </w:r>
      <w:r w:rsidR="004821A9">
        <w:rPr>
          <w:rFonts w:ascii="Verdana" w:hAnsi="Verdana" w:cs="Arial"/>
          <w:b/>
          <w:bCs/>
          <w:color w:val="77328A"/>
          <w:sz w:val="36"/>
          <w:szCs w:val="36"/>
        </w:rPr>
        <w:t>R</w:t>
      </w:r>
      <w:r>
        <w:rPr>
          <w:rFonts w:ascii="Verdana" w:hAnsi="Verdana" w:cs="Arial"/>
          <w:b/>
          <w:bCs/>
          <w:color w:val="77328A"/>
          <w:sz w:val="36"/>
          <w:szCs w:val="36"/>
        </w:rPr>
        <w:t>eview of the Race Relations (NI) Order 1997</w:t>
      </w:r>
    </w:p>
    <w:p w14:paraId="7F0A0709" w14:textId="77777777" w:rsidR="00F31387" w:rsidRDefault="00F31387" w:rsidP="003B7D0E">
      <w:pPr>
        <w:pStyle w:val="Default"/>
        <w:spacing w:line="288" w:lineRule="auto"/>
        <w:jc w:val="center"/>
        <w:rPr>
          <w:rFonts w:cs="Arial"/>
          <w:color w:val="232120"/>
          <w:sz w:val="36"/>
          <w:szCs w:val="36"/>
        </w:rPr>
      </w:pPr>
    </w:p>
    <w:p w14:paraId="6A06195F" w14:textId="77777777" w:rsidR="004821A9" w:rsidRDefault="004821A9" w:rsidP="003B7D0E">
      <w:pPr>
        <w:pStyle w:val="Default"/>
        <w:spacing w:line="288" w:lineRule="auto"/>
        <w:jc w:val="center"/>
        <w:rPr>
          <w:rFonts w:cs="Arial"/>
          <w:color w:val="232120"/>
          <w:sz w:val="36"/>
          <w:szCs w:val="36"/>
        </w:rPr>
      </w:pPr>
    </w:p>
    <w:p w14:paraId="6478D38E" w14:textId="77777777" w:rsidR="004821A9" w:rsidRDefault="004821A9" w:rsidP="003B7D0E">
      <w:pPr>
        <w:pStyle w:val="Default"/>
        <w:spacing w:line="288" w:lineRule="auto"/>
        <w:jc w:val="center"/>
        <w:rPr>
          <w:rFonts w:cs="Arial"/>
          <w:color w:val="232120"/>
          <w:sz w:val="36"/>
          <w:szCs w:val="36"/>
        </w:rPr>
      </w:pPr>
    </w:p>
    <w:p w14:paraId="10A26EFF" w14:textId="77777777" w:rsidR="004821A9" w:rsidRDefault="004821A9" w:rsidP="003B7D0E">
      <w:pPr>
        <w:pStyle w:val="Default"/>
        <w:spacing w:line="288" w:lineRule="auto"/>
        <w:jc w:val="center"/>
        <w:rPr>
          <w:rFonts w:cs="Arial"/>
          <w:color w:val="232120"/>
          <w:sz w:val="36"/>
          <w:szCs w:val="36"/>
        </w:rPr>
      </w:pPr>
    </w:p>
    <w:p w14:paraId="1B7D0282" w14:textId="77777777" w:rsidR="004821A9" w:rsidRDefault="004821A9" w:rsidP="003B7D0E">
      <w:pPr>
        <w:pStyle w:val="Default"/>
        <w:spacing w:line="288" w:lineRule="auto"/>
        <w:jc w:val="center"/>
        <w:rPr>
          <w:rFonts w:cs="Arial"/>
          <w:color w:val="232120"/>
          <w:sz w:val="36"/>
          <w:szCs w:val="36"/>
        </w:rPr>
      </w:pPr>
    </w:p>
    <w:p w14:paraId="1A5B726B" w14:textId="77777777" w:rsidR="004821A9" w:rsidRPr="00331C61" w:rsidRDefault="004821A9" w:rsidP="003B7D0E">
      <w:pPr>
        <w:pStyle w:val="Default"/>
        <w:spacing w:line="288" w:lineRule="auto"/>
        <w:jc w:val="center"/>
        <w:rPr>
          <w:rFonts w:cs="Arial"/>
          <w:color w:val="232120"/>
          <w:sz w:val="36"/>
          <w:szCs w:val="36"/>
        </w:rPr>
      </w:pPr>
    </w:p>
    <w:p w14:paraId="3EBCE1B3" w14:textId="1F69DBA9" w:rsidR="008159E8" w:rsidRPr="00331C61" w:rsidRDefault="009E37C7" w:rsidP="003B7D0E">
      <w:pPr>
        <w:jc w:val="center"/>
        <w:rPr>
          <w:rFonts w:cs="Arial"/>
          <w:b/>
          <w:color w:val="232120"/>
          <w:sz w:val="30"/>
          <w:szCs w:val="30"/>
        </w:rPr>
      </w:pPr>
      <w:r>
        <w:rPr>
          <w:rFonts w:cs="Arial"/>
          <w:b/>
          <w:color w:val="232120"/>
          <w:sz w:val="30"/>
          <w:szCs w:val="30"/>
        </w:rPr>
        <w:t xml:space="preserve">12 </w:t>
      </w:r>
      <w:r w:rsidR="00BD567E">
        <w:rPr>
          <w:rFonts w:cs="Arial"/>
          <w:b/>
          <w:color w:val="232120"/>
          <w:sz w:val="30"/>
          <w:szCs w:val="30"/>
        </w:rPr>
        <w:t>June 2023</w:t>
      </w:r>
    </w:p>
    <w:p w14:paraId="6F2B6C90" w14:textId="77777777" w:rsidR="00046705" w:rsidRPr="00331C61" w:rsidRDefault="00046705" w:rsidP="003B7D0E">
      <w:pPr>
        <w:jc w:val="center"/>
        <w:rPr>
          <w:rFonts w:cs="Arial"/>
          <w:b/>
          <w:color w:val="232120"/>
          <w:sz w:val="28"/>
          <w:szCs w:val="28"/>
        </w:rPr>
      </w:pPr>
    </w:p>
    <w:p w14:paraId="6FF0B6A9" w14:textId="77777777" w:rsidR="00046705" w:rsidRDefault="00046705" w:rsidP="003B7D0E">
      <w:pPr>
        <w:jc w:val="center"/>
        <w:rPr>
          <w:rFonts w:cs="Arial"/>
          <w:b/>
          <w:color w:val="232120"/>
          <w:sz w:val="28"/>
          <w:szCs w:val="28"/>
        </w:rPr>
      </w:pPr>
    </w:p>
    <w:sdt>
      <w:sdtPr>
        <w:rPr>
          <w:rFonts w:ascii="Verdana" w:eastAsiaTheme="minorEastAsia" w:hAnsi="Verdana" w:cstheme="minorBidi"/>
          <w:color w:val="77328A"/>
          <w:sz w:val="24"/>
          <w:szCs w:val="24"/>
          <w:lang w:val="en-GB"/>
        </w:rPr>
        <w:id w:val="358175830"/>
        <w:docPartObj>
          <w:docPartGallery w:val="Table of Contents"/>
          <w:docPartUnique/>
        </w:docPartObj>
      </w:sdtPr>
      <w:sdtEndPr>
        <w:rPr>
          <w:b/>
          <w:bCs/>
          <w:noProof/>
          <w:color w:val="auto"/>
        </w:rPr>
      </w:sdtEndPr>
      <w:sdtContent>
        <w:p w14:paraId="79A175F5" w14:textId="2A24CB63" w:rsidR="00B56194" w:rsidRPr="00B56194" w:rsidRDefault="00B56194">
          <w:pPr>
            <w:pStyle w:val="TOCHeading"/>
            <w:rPr>
              <w:rFonts w:ascii="Verdana" w:hAnsi="Verdana"/>
              <w:b/>
              <w:bCs/>
              <w:color w:val="77328A"/>
            </w:rPr>
          </w:pPr>
          <w:r w:rsidRPr="00B56194">
            <w:rPr>
              <w:rFonts w:ascii="Verdana" w:hAnsi="Verdana"/>
              <w:b/>
              <w:bCs/>
              <w:color w:val="77328A"/>
            </w:rPr>
            <w:t>Table of Contents</w:t>
          </w:r>
        </w:p>
        <w:p w14:paraId="426D4640" w14:textId="77777777" w:rsidR="00B56194" w:rsidRPr="00B56194" w:rsidRDefault="00B56194" w:rsidP="00B56194">
          <w:pPr>
            <w:rPr>
              <w:lang w:val="en-US"/>
            </w:rPr>
          </w:pPr>
        </w:p>
        <w:p w14:paraId="0D9B865B" w14:textId="7D63AB3D" w:rsidR="00DE2980" w:rsidRDefault="00B56194">
          <w:pPr>
            <w:pStyle w:val="TOC1"/>
            <w:rPr>
              <w:rFonts w:asciiTheme="minorHAnsi" w:hAnsiTheme="minorHAnsi"/>
              <w:b w:val="0"/>
              <w:bCs w:val="0"/>
              <w:sz w:val="22"/>
              <w:szCs w:val="22"/>
              <w:lang w:eastAsia="en-GB"/>
            </w:rPr>
          </w:pPr>
          <w:r>
            <w:fldChar w:fldCharType="begin"/>
          </w:r>
          <w:r>
            <w:instrText xml:space="preserve"> TOC \o "1-3" \h \z \u </w:instrText>
          </w:r>
          <w:r>
            <w:fldChar w:fldCharType="separate"/>
          </w:r>
          <w:hyperlink w:anchor="_Toc137459910" w:history="1">
            <w:r w:rsidR="00DE2980" w:rsidRPr="002B085E">
              <w:rPr>
                <w:rStyle w:val="Hyperlink"/>
              </w:rPr>
              <w:t>Summary of Recommendations</w:t>
            </w:r>
            <w:r w:rsidR="00DE2980">
              <w:rPr>
                <w:webHidden/>
              </w:rPr>
              <w:tab/>
            </w:r>
            <w:r w:rsidR="00DE2980">
              <w:rPr>
                <w:webHidden/>
              </w:rPr>
              <w:fldChar w:fldCharType="begin"/>
            </w:r>
            <w:r w:rsidR="00DE2980">
              <w:rPr>
                <w:webHidden/>
              </w:rPr>
              <w:instrText xml:space="preserve"> PAGEREF _Toc137459910 \h </w:instrText>
            </w:r>
            <w:r w:rsidR="00DE2980">
              <w:rPr>
                <w:webHidden/>
              </w:rPr>
            </w:r>
            <w:r w:rsidR="00DE2980">
              <w:rPr>
                <w:webHidden/>
              </w:rPr>
              <w:fldChar w:fldCharType="separate"/>
            </w:r>
            <w:r w:rsidR="00DE2980">
              <w:rPr>
                <w:webHidden/>
              </w:rPr>
              <w:t>3</w:t>
            </w:r>
            <w:r w:rsidR="00DE2980">
              <w:rPr>
                <w:webHidden/>
              </w:rPr>
              <w:fldChar w:fldCharType="end"/>
            </w:r>
          </w:hyperlink>
        </w:p>
        <w:p w14:paraId="227E0416" w14:textId="484E07C8" w:rsidR="00DE2980" w:rsidRDefault="0014672A">
          <w:pPr>
            <w:pStyle w:val="TOC1"/>
            <w:rPr>
              <w:rFonts w:asciiTheme="minorHAnsi" w:hAnsiTheme="minorHAnsi"/>
              <w:b w:val="0"/>
              <w:bCs w:val="0"/>
              <w:sz w:val="22"/>
              <w:szCs w:val="22"/>
              <w:lang w:eastAsia="en-GB"/>
            </w:rPr>
          </w:pPr>
          <w:hyperlink w:anchor="_Toc137459911" w:history="1">
            <w:r w:rsidR="00DE2980" w:rsidRPr="002B085E">
              <w:rPr>
                <w:rStyle w:val="Hyperlink"/>
              </w:rPr>
              <w:t>1.0</w:t>
            </w:r>
            <w:r w:rsidR="00DE2980">
              <w:rPr>
                <w:rFonts w:asciiTheme="minorHAnsi" w:hAnsiTheme="minorHAnsi"/>
                <w:b w:val="0"/>
                <w:bCs w:val="0"/>
                <w:sz w:val="22"/>
                <w:szCs w:val="22"/>
                <w:lang w:eastAsia="en-GB"/>
              </w:rPr>
              <w:tab/>
            </w:r>
            <w:r w:rsidR="00DE2980" w:rsidRPr="002B085E">
              <w:rPr>
                <w:rStyle w:val="Hyperlink"/>
              </w:rPr>
              <w:t>Introduction</w:t>
            </w:r>
            <w:r w:rsidR="00DE2980">
              <w:rPr>
                <w:webHidden/>
              </w:rPr>
              <w:tab/>
            </w:r>
            <w:r w:rsidR="00DE2980">
              <w:rPr>
                <w:webHidden/>
              </w:rPr>
              <w:fldChar w:fldCharType="begin"/>
            </w:r>
            <w:r w:rsidR="00DE2980">
              <w:rPr>
                <w:webHidden/>
              </w:rPr>
              <w:instrText xml:space="preserve"> PAGEREF _Toc137459911 \h </w:instrText>
            </w:r>
            <w:r w:rsidR="00DE2980">
              <w:rPr>
                <w:webHidden/>
              </w:rPr>
            </w:r>
            <w:r w:rsidR="00DE2980">
              <w:rPr>
                <w:webHidden/>
              </w:rPr>
              <w:fldChar w:fldCharType="separate"/>
            </w:r>
            <w:r w:rsidR="00DE2980">
              <w:rPr>
                <w:webHidden/>
              </w:rPr>
              <w:t>7</w:t>
            </w:r>
            <w:r w:rsidR="00DE2980">
              <w:rPr>
                <w:webHidden/>
              </w:rPr>
              <w:fldChar w:fldCharType="end"/>
            </w:r>
          </w:hyperlink>
        </w:p>
        <w:p w14:paraId="576F8E37" w14:textId="271ED125" w:rsidR="00DE2980" w:rsidRDefault="0014672A">
          <w:pPr>
            <w:pStyle w:val="TOC1"/>
            <w:rPr>
              <w:rFonts w:asciiTheme="minorHAnsi" w:hAnsiTheme="minorHAnsi"/>
              <w:b w:val="0"/>
              <w:bCs w:val="0"/>
              <w:sz w:val="22"/>
              <w:szCs w:val="22"/>
              <w:lang w:eastAsia="en-GB"/>
            </w:rPr>
          </w:pPr>
          <w:hyperlink w:anchor="_Toc137459912" w:history="1">
            <w:r w:rsidR="00DE2980" w:rsidRPr="002B085E">
              <w:rPr>
                <w:rStyle w:val="Hyperlink"/>
              </w:rPr>
              <w:t>2.0</w:t>
            </w:r>
            <w:r w:rsidR="00DE2980">
              <w:rPr>
                <w:rFonts w:asciiTheme="minorHAnsi" w:hAnsiTheme="minorHAnsi"/>
                <w:b w:val="0"/>
                <w:bCs w:val="0"/>
                <w:sz w:val="22"/>
                <w:szCs w:val="22"/>
                <w:lang w:eastAsia="en-GB"/>
              </w:rPr>
              <w:tab/>
            </w:r>
            <w:r w:rsidR="00DE2980" w:rsidRPr="002B085E">
              <w:rPr>
                <w:rStyle w:val="Hyperlink"/>
              </w:rPr>
              <w:t>Race Equality Bill</w:t>
            </w:r>
            <w:r w:rsidR="00DE2980">
              <w:rPr>
                <w:webHidden/>
              </w:rPr>
              <w:tab/>
            </w:r>
            <w:r w:rsidR="00DE2980">
              <w:rPr>
                <w:webHidden/>
              </w:rPr>
              <w:fldChar w:fldCharType="begin"/>
            </w:r>
            <w:r w:rsidR="00DE2980">
              <w:rPr>
                <w:webHidden/>
              </w:rPr>
              <w:instrText xml:space="preserve"> PAGEREF _Toc137459912 \h </w:instrText>
            </w:r>
            <w:r w:rsidR="00DE2980">
              <w:rPr>
                <w:webHidden/>
              </w:rPr>
            </w:r>
            <w:r w:rsidR="00DE2980">
              <w:rPr>
                <w:webHidden/>
              </w:rPr>
              <w:fldChar w:fldCharType="separate"/>
            </w:r>
            <w:r w:rsidR="00DE2980">
              <w:rPr>
                <w:webHidden/>
              </w:rPr>
              <w:t>10</w:t>
            </w:r>
            <w:r w:rsidR="00DE2980">
              <w:rPr>
                <w:webHidden/>
              </w:rPr>
              <w:fldChar w:fldCharType="end"/>
            </w:r>
          </w:hyperlink>
        </w:p>
        <w:p w14:paraId="6DAFC618" w14:textId="0647567D" w:rsidR="00DE2980" w:rsidRDefault="0014672A">
          <w:pPr>
            <w:pStyle w:val="TOC1"/>
            <w:rPr>
              <w:rFonts w:asciiTheme="minorHAnsi" w:hAnsiTheme="minorHAnsi"/>
              <w:b w:val="0"/>
              <w:bCs w:val="0"/>
              <w:sz w:val="22"/>
              <w:szCs w:val="22"/>
              <w:lang w:eastAsia="en-GB"/>
            </w:rPr>
          </w:pPr>
          <w:hyperlink w:anchor="_Toc137459913" w:history="1">
            <w:r w:rsidR="00DE2980" w:rsidRPr="002B085E">
              <w:rPr>
                <w:rStyle w:val="Hyperlink"/>
              </w:rPr>
              <w:t>3.0</w:t>
            </w:r>
            <w:r w:rsidR="00DE2980">
              <w:rPr>
                <w:rFonts w:asciiTheme="minorHAnsi" w:hAnsiTheme="minorHAnsi"/>
                <w:b w:val="0"/>
                <w:bCs w:val="0"/>
                <w:sz w:val="22"/>
                <w:szCs w:val="22"/>
                <w:lang w:eastAsia="en-GB"/>
              </w:rPr>
              <w:tab/>
            </w:r>
            <w:r w:rsidR="00DE2980" w:rsidRPr="002B085E">
              <w:rPr>
                <w:rStyle w:val="Hyperlink"/>
              </w:rPr>
              <w:t>Windsor Framework Article 2</w:t>
            </w:r>
            <w:r w:rsidR="00DE2980">
              <w:rPr>
                <w:webHidden/>
              </w:rPr>
              <w:tab/>
            </w:r>
            <w:r w:rsidR="00DE2980">
              <w:rPr>
                <w:webHidden/>
              </w:rPr>
              <w:fldChar w:fldCharType="begin"/>
            </w:r>
            <w:r w:rsidR="00DE2980">
              <w:rPr>
                <w:webHidden/>
              </w:rPr>
              <w:instrText xml:space="preserve"> PAGEREF _Toc137459913 \h </w:instrText>
            </w:r>
            <w:r w:rsidR="00DE2980">
              <w:rPr>
                <w:webHidden/>
              </w:rPr>
            </w:r>
            <w:r w:rsidR="00DE2980">
              <w:rPr>
                <w:webHidden/>
              </w:rPr>
              <w:fldChar w:fldCharType="separate"/>
            </w:r>
            <w:r w:rsidR="00DE2980">
              <w:rPr>
                <w:webHidden/>
              </w:rPr>
              <w:t>11</w:t>
            </w:r>
            <w:r w:rsidR="00DE2980">
              <w:rPr>
                <w:webHidden/>
              </w:rPr>
              <w:fldChar w:fldCharType="end"/>
            </w:r>
          </w:hyperlink>
        </w:p>
        <w:p w14:paraId="0B4F7910" w14:textId="1224089A" w:rsidR="00DE2980" w:rsidRDefault="0014672A">
          <w:pPr>
            <w:pStyle w:val="TOC1"/>
            <w:rPr>
              <w:rFonts w:asciiTheme="minorHAnsi" w:hAnsiTheme="minorHAnsi"/>
              <w:b w:val="0"/>
              <w:bCs w:val="0"/>
              <w:sz w:val="22"/>
              <w:szCs w:val="22"/>
              <w:lang w:eastAsia="en-GB"/>
            </w:rPr>
          </w:pPr>
          <w:hyperlink w:anchor="_Toc137459914" w:history="1">
            <w:r w:rsidR="00DE2980" w:rsidRPr="002B085E">
              <w:rPr>
                <w:rStyle w:val="Hyperlink"/>
              </w:rPr>
              <w:t>4.0</w:t>
            </w:r>
            <w:r w:rsidR="00DE2980">
              <w:rPr>
                <w:rFonts w:asciiTheme="minorHAnsi" w:hAnsiTheme="minorHAnsi"/>
                <w:b w:val="0"/>
                <w:bCs w:val="0"/>
                <w:sz w:val="22"/>
                <w:szCs w:val="22"/>
                <w:lang w:eastAsia="en-GB"/>
              </w:rPr>
              <w:tab/>
            </w:r>
            <w:r w:rsidR="00DE2980" w:rsidRPr="002B085E">
              <w:rPr>
                <w:rStyle w:val="Hyperlink"/>
              </w:rPr>
              <w:t>Changes Affecting Multiple Provisions</w:t>
            </w:r>
            <w:r w:rsidR="00DE2980">
              <w:rPr>
                <w:webHidden/>
              </w:rPr>
              <w:tab/>
            </w:r>
            <w:r w:rsidR="00DE2980">
              <w:rPr>
                <w:webHidden/>
              </w:rPr>
              <w:fldChar w:fldCharType="begin"/>
            </w:r>
            <w:r w:rsidR="00DE2980">
              <w:rPr>
                <w:webHidden/>
              </w:rPr>
              <w:instrText xml:space="preserve"> PAGEREF _Toc137459914 \h </w:instrText>
            </w:r>
            <w:r w:rsidR="00DE2980">
              <w:rPr>
                <w:webHidden/>
              </w:rPr>
            </w:r>
            <w:r w:rsidR="00DE2980">
              <w:rPr>
                <w:webHidden/>
              </w:rPr>
              <w:fldChar w:fldCharType="separate"/>
            </w:r>
            <w:r w:rsidR="00DE2980">
              <w:rPr>
                <w:webHidden/>
              </w:rPr>
              <w:t>13</w:t>
            </w:r>
            <w:r w:rsidR="00DE2980">
              <w:rPr>
                <w:webHidden/>
              </w:rPr>
              <w:fldChar w:fldCharType="end"/>
            </w:r>
          </w:hyperlink>
        </w:p>
        <w:p w14:paraId="02E4157C" w14:textId="0D8FE791" w:rsidR="00DE2980" w:rsidRDefault="0014672A">
          <w:pPr>
            <w:pStyle w:val="TOC2"/>
            <w:tabs>
              <w:tab w:val="right" w:leader="dot" w:pos="9848"/>
            </w:tabs>
            <w:rPr>
              <w:rFonts w:asciiTheme="minorHAnsi" w:hAnsiTheme="minorHAnsi"/>
              <w:noProof/>
              <w:sz w:val="22"/>
              <w:szCs w:val="22"/>
              <w:lang w:eastAsia="en-GB"/>
            </w:rPr>
          </w:pPr>
          <w:hyperlink w:anchor="_Toc137459915" w:history="1">
            <w:r w:rsidR="00DE2980" w:rsidRPr="002B085E">
              <w:rPr>
                <w:rStyle w:val="Hyperlink"/>
                <w:noProof/>
              </w:rPr>
              <w:t>Intersectional multiple discrimination</w:t>
            </w:r>
            <w:r w:rsidR="00DE2980">
              <w:rPr>
                <w:noProof/>
                <w:webHidden/>
              </w:rPr>
              <w:tab/>
            </w:r>
            <w:r w:rsidR="00DE2980">
              <w:rPr>
                <w:noProof/>
                <w:webHidden/>
              </w:rPr>
              <w:fldChar w:fldCharType="begin"/>
            </w:r>
            <w:r w:rsidR="00DE2980">
              <w:rPr>
                <w:noProof/>
                <w:webHidden/>
              </w:rPr>
              <w:instrText xml:space="preserve"> PAGEREF _Toc137459915 \h </w:instrText>
            </w:r>
            <w:r w:rsidR="00DE2980">
              <w:rPr>
                <w:noProof/>
                <w:webHidden/>
              </w:rPr>
            </w:r>
            <w:r w:rsidR="00DE2980">
              <w:rPr>
                <w:noProof/>
                <w:webHidden/>
              </w:rPr>
              <w:fldChar w:fldCharType="separate"/>
            </w:r>
            <w:r w:rsidR="00DE2980">
              <w:rPr>
                <w:noProof/>
                <w:webHidden/>
              </w:rPr>
              <w:t>13</w:t>
            </w:r>
            <w:r w:rsidR="00DE2980">
              <w:rPr>
                <w:noProof/>
                <w:webHidden/>
              </w:rPr>
              <w:fldChar w:fldCharType="end"/>
            </w:r>
          </w:hyperlink>
        </w:p>
        <w:p w14:paraId="0318F225" w14:textId="5152A8E8" w:rsidR="00DE2980" w:rsidRDefault="0014672A">
          <w:pPr>
            <w:pStyle w:val="TOC2"/>
            <w:tabs>
              <w:tab w:val="right" w:leader="dot" w:pos="9848"/>
            </w:tabs>
            <w:rPr>
              <w:rFonts w:asciiTheme="minorHAnsi" w:hAnsiTheme="minorHAnsi"/>
              <w:noProof/>
              <w:sz w:val="22"/>
              <w:szCs w:val="22"/>
              <w:lang w:eastAsia="en-GB"/>
            </w:rPr>
          </w:pPr>
          <w:hyperlink w:anchor="_Toc137459916" w:history="1">
            <w:r w:rsidR="00DE2980" w:rsidRPr="002B085E">
              <w:rPr>
                <w:rStyle w:val="Hyperlink"/>
                <w:noProof/>
              </w:rPr>
              <w:t>Clarifying definitions</w:t>
            </w:r>
            <w:r w:rsidR="00DE2980">
              <w:rPr>
                <w:noProof/>
                <w:webHidden/>
              </w:rPr>
              <w:tab/>
            </w:r>
            <w:r w:rsidR="00DE2980">
              <w:rPr>
                <w:noProof/>
                <w:webHidden/>
              </w:rPr>
              <w:fldChar w:fldCharType="begin"/>
            </w:r>
            <w:r w:rsidR="00DE2980">
              <w:rPr>
                <w:noProof/>
                <w:webHidden/>
              </w:rPr>
              <w:instrText xml:space="preserve"> PAGEREF _Toc137459916 \h </w:instrText>
            </w:r>
            <w:r w:rsidR="00DE2980">
              <w:rPr>
                <w:noProof/>
                <w:webHidden/>
              </w:rPr>
            </w:r>
            <w:r w:rsidR="00DE2980">
              <w:rPr>
                <w:noProof/>
                <w:webHidden/>
              </w:rPr>
              <w:fldChar w:fldCharType="separate"/>
            </w:r>
            <w:r w:rsidR="00DE2980">
              <w:rPr>
                <w:noProof/>
                <w:webHidden/>
              </w:rPr>
              <w:t>15</w:t>
            </w:r>
            <w:r w:rsidR="00DE2980">
              <w:rPr>
                <w:noProof/>
                <w:webHidden/>
              </w:rPr>
              <w:fldChar w:fldCharType="end"/>
            </w:r>
          </w:hyperlink>
        </w:p>
        <w:p w14:paraId="6F0E1C7B" w14:textId="60489047" w:rsidR="00DE2980" w:rsidRDefault="0014672A">
          <w:pPr>
            <w:pStyle w:val="TOC2"/>
            <w:tabs>
              <w:tab w:val="right" w:leader="dot" w:pos="9848"/>
            </w:tabs>
            <w:rPr>
              <w:rFonts w:asciiTheme="minorHAnsi" w:hAnsiTheme="minorHAnsi"/>
              <w:noProof/>
              <w:sz w:val="22"/>
              <w:szCs w:val="22"/>
              <w:lang w:eastAsia="en-GB"/>
            </w:rPr>
          </w:pPr>
          <w:hyperlink w:anchor="_Toc137459917" w:history="1">
            <w:r w:rsidR="00DE2980" w:rsidRPr="002B085E">
              <w:rPr>
                <w:rStyle w:val="Hyperlink"/>
                <w:noProof/>
              </w:rPr>
              <w:t>Reference to human rights principles</w:t>
            </w:r>
            <w:r w:rsidR="00DE2980">
              <w:rPr>
                <w:noProof/>
                <w:webHidden/>
              </w:rPr>
              <w:tab/>
            </w:r>
            <w:r w:rsidR="00DE2980">
              <w:rPr>
                <w:noProof/>
                <w:webHidden/>
              </w:rPr>
              <w:fldChar w:fldCharType="begin"/>
            </w:r>
            <w:r w:rsidR="00DE2980">
              <w:rPr>
                <w:noProof/>
                <w:webHidden/>
              </w:rPr>
              <w:instrText xml:space="preserve"> PAGEREF _Toc137459917 \h </w:instrText>
            </w:r>
            <w:r w:rsidR="00DE2980">
              <w:rPr>
                <w:noProof/>
                <w:webHidden/>
              </w:rPr>
            </w:r>
            <w:r w:rsidR="00DE2980">
              <w:rPr>
                <w:noProof/>
                <w:webHidden/>
              </w:rPr>
              <w:fldChar w:fldCharType="separate"/>
            </w:r>
            <w:r w:rsidR="00DE2980">
              <w:rPr>
                <w:noProof/>
                <w:webHidden/>
              </w:rPr>
              <w:t>16</w:t>
            </w:r>
            <w:r w:rsidR="00DE2980">
              <w:rPr>
                <w:noProof/>
                <w:webHidden/>
              </w:rPr>
              <w:fldChar w:fldCharType="end"/>
            </w:r>
          </w:hyperlink>
        </w:p>
        <w:p w14:paraId="0B677D83" w14:textId="7E9AA7C8" w:rsidR="00DE2980" w:rsidRDefault="0014672A">
          <w:pPr>
            <w:pStyle w:val="TOC2"/>
            <w:tabs>
              <w:tab w:val="right" w:leader="dot" w:pos="9848"/>
            </w:tabs>
            <w:rPr>
              <w:rFonts w:asciiTheme="minorHAnsi" w:hAnsiTheme="minorHAnsi"/>
              <w:noProof/>
              <w:sz w:val="22"/>
              <w:szCs w:val="22"/>
              <w:lang w:eastAsia="en-GB"/>
            </w:rPr>
          </w:pPr>
          <w:hyperlink w:anchor="_Toc137459918" w:history="1">
            <w:r w:rsidR="00DE2980" w:rsidRPr="002B085E">
              <w:rPr>
                <w:rStyle w:val="Hyperlink"/>
                <w:noProof/>
              </w:rPr>
              <w:t>Victim centred approach</w:t>
            </w:r>
            <w:r w:rsidR="00DE2980">
              <w:rPr>
                <w:noProof/>
                <w:webHidden/>
              </w:rPr>
              <w:tab/>
            </w:r>
            <w:r w:rsidR="00DE2980">
              <w:rPr>
                <w:noProof/>
                <w:webHidden/>
              </w:rPr>
              <w:fldChar w:fldCharType="begin"/>
            </w:r>
            <w:r w:rsidR="00DE2980">
              <w:rPr>
                <w:noProof/>
                <w:webHidden/>
              </w:rPr>
              <w:instrText xml:space="preserve"> PAGEREF _Toc137459918 \h </w:instrText>
            </w:r>
            <w:r w:rsidR="00DE2980">
              <w:rPr>
                <w:noProof/>
                <w:webHidden/>
              </w:rPr>
            </w:r>
            <w:r w:rsidR="00DE2980">
              <w:rPr>
                <w:noProof/>
                <w:webHidden/>
              </w:rPr>
              <w:fldChar w:fldCharType="separate"/>
            </w:r>
            <w:r w:rsidR="00DE2980">
              <w:rPr>
                <w:noProof/>
                <w:webHidden/>
              </w:rPr>
              <w:t>16</w:t>
            </w:r>
            <w:r w:rsidR="00DE2980">
              <w:rPr>
                <w:noProof/>
                <w:webHidden/>
              </w:rPr>
              <w:fldChar w:fldCharType="end"/>
            </w:r>
          </w:hyperlink>
        </w:p>
        <w:p w14:paraId="1C46CCE7" w14:textId="54CA4AF2" w:rsidR="00DE2980" w:rsidRDefault="0014672A">
          <w:pPr>
            <w:pStyle w:val="TOC2"/>
            <w:tabs>
              <w:tab w:val="right" w:leader="dot" w:pos="9848"/>
            </w:tabs>
            <w:rPr>
              <w:rFonts w:asciiTheme="minorHAnsi" w:hAnsiTheme="minorHAnsi"/>
              <w:noProof/>
              <w:sz w:val="22"/>
              <w:szCs w:val="22"/>
              <w:lang w:eastAsia="en-GB"/>
            </w:rPr>
          </w:pPr>
          <w:hyperlink w:anchor="_Toc137459919" w:history="1">
            <w:r w:rsidR="00DE2980" w:rsidRPr="002B085E">
              <w:rPr>
                <w:rStyle w:val="Hyperlink"/>
                <w:noProof/>
              </w:rPr>
              <w:t>Accountability</w:t>
            </w:r>
            <w:r w:rsidR="00DE2980">
              <w:rPr>
                <w:noProof/>
                <w:webHidden/>
              </w:rPr>
              <w:tab/>
            </w:r>
            <w:r w:rsidR="00DE2980">
              <w:rPr>
                <w:noProof/>
                <w:webHidden/>
              </w:rPr>
              <w:fldChar w:fldCharType="begin"/>
            </w:r>
            <w:r w:rsidR="00DE2980">
              <w:rPr>
                <w:noProof/>
                <w:webHidden/>
              </w:rPr>
              <w:instrText xml:space="preserve"> PAGEREF _Toc137459919 \h </w:instrText>
            </w:r>
            <w:r w:rsidR="00DE2980">
              <w:rPr>
                <w:noProof/>
                <w:webHidden/>
              </w:rPr>
            </w:r>
            <w:r w:rsidR="00DE2980">
              <w:rPr>
                <w:noProof/>
                <w:webHidden/>
              </w:rPr>
              <w:fldChar w:fldCharType="separate"/>
            </w:r>
            <w:r w:rsidR="00DE2980">
              <w:rPr>
                <w:noProof/>
                <w:webHidden/>
              </w:rPr>
              <w:t>18</w:t>
            </w:r>
            <w:r w:rsidR="00DE2980">
              <w:rPr>
                <w:noProof/>
                <w:webHidden/>
              </w:rPr>
              <w:fldChar w:fldCharType="end"/>
            </w:r>
          </w:hyperlink>
        </w:p>
        <w:p w14:paraId="632F8A3D" w14:textId="5870B7E2" w:rsidR="00DE2980" w:rsidRDefault="0014672A">
          <w:pPr>
            <w:pStyle w:val="TOC2"/>
            <w:tabs>
              <w:tab w:val="right" w:leader="dot" w:pos="9848"/>
            </w:tabs>
            <w:rPr>
              <w:rFonts w:asciiTheme="minorHAnsi" w:hAnsiTheme="minorHAnsi"/>
              <w:noProof/>
              <w:sz w:val="22"/>
              <w:szCs w:val="22"/>
              <w:lang w:eastAsia="en-GB"/>
            </w:rPr>
          </w:pPr>
          <w:hyperlink w:anchor="_Toc137459920" w:history="1">
            <w:r w:rsidR="00DE2980" w:rsidRPr="002B085E">
              <w:rPr>
                <w:rStyle w:val="Hyperlink"/>
                <w:noProof/>
              </w:rPr>
              <w:t>National security</w:t>
            </w:r>
            <w:r w:rsidR="00DE2980">
              <w:rPr>
                <w:noProof/>
                <w:webHidden/>
              </w:rPr>
              <w:tab/>
            </w:r>
            <w:r w:rsidR="00DE2980">
              <w:rPr>
                <w:noProof/>
                <w:webHidden/>
              </w:rPr>
              <w:fldChar w:fldCharType="begin"/>
            </w:r>
            <w:r w:rsidR="00DE2980">
              <w:rPr>
                <w:noProof/>
                <w:webHidden/>
              </w:rPr>
              <w:instrText xml:space="preserve"> PAGEREF _Toc137459920 \h </w:instrText>
            </w:r>
            <w:r w:rsidR="00DE2980">
              <w:rPr>
                <w:noProof/>
                <w:webHidden/>
              </w:rPr>
            </w:r>
            <w:r w:rsidR="00DE2980">
              <w:rPr>
                <w:noProof/>
                <w:webHidden/>
              </w:rPr>
              <w:fldChar w:fldCharType="separate"/>
            </w:r>
            <w:r w:rsidR="00DE2980">
              <w:rPr>
                <w:noProof/>
                <w:webHidden/>
              </w:rPr>
              <w:t>19</w:t>
            </w:r>
            <w:r w:rsidR="00DE2980">
              <w:rPr>
                <w:noProof/>
                <w:webHidden/>
              </w:rPr>
              <w:fldChar w:fldCharType="end"/>
            </w:r>
          </w:hyperlink>
        </w:p>
        <w:p w14:paraId="31D73B93" w14:textId="1535BA53" w:rsidR="00DE2980" w:rsidRDefault="0014672A">
          <w:pPr>
            <w:pStyle w:val="TOC1"/>
            <w:rPr>
              <w:rFonts w:asciiTheme="minorHAnsi" w:hAnsiTheme="minorHAnsi"/>
              <w:b w:val="0"/>
              <w:bCs w:val="0"/>
              <w:sz w:val="22"/>
              <w:szCs w:val="22"/>
              <w:lang w:eastAsia="en-GB"/>
            </w:rPr>
          </w:pPr>
          <w:hyperlink w:anchor="_Toc137459921" w:history="1">
            <w:r w:rsidR="00DE2980" w:rsidRPr="002B085E">
              <w:rPr>
                <w:rStyle w:val="Hyperlink"/>
              </w:rPr>
              <w:t>5.0</w:t>
            </w:r>
            <w:r w:rsidR="00DE2980">
              <w:rPr>
                <w:rFonts w:asciiTheme="minorHAnsi" w:hAnsiTheme="minorHAnsi"/>
                <w:b w:val="0"/>
                <w:bCs w:val="0"/>
                <w:sz w:val="22"/>
                <w:szCs w:val="22"/>
                <w:lang w:eastAsia="en-GB"/>
              </w:rPr>
              <w:tab/>
            </w:r>
            <w:r w:rsidR="00DE2980" w:rsidRPr="002B085E">
              <w:rPr>
                <w:rStyle w:val="Hyperlink"/>
              </w:rPr>
              <w:t>Education</w:t>
            </w:r>
            <w:r w:rsidR="00DE2980">
              <w:rPr>
                <w:webHidden/>
              </w:rPr>
              <w:tab/>
            </w:r>
            <w:r w:rsidR="00DE2980">
              <w:rPr>
                <w:webHidden/>
              </w:rPr>
              <w:fldChar w:fldCharType="begin"/>
            </w:r>
            <w:r w:rsidR="00DE2980">
              <w:rPr>
                <w:webHidden/>
              </w:rPr>
              <w:instrText xml:space="preserve"> PAGEREF _Toc137459921 \h </w:instrText>
            </w:r>
            <w:r w:rsidR="00DE2980">
              <w:rPr>
                <w:webHidden/>
              </w:rPr>
            </w:r>
            <w:r w:rsidR="00DE2980">
              <w:rPr>
                <w:webHidden/>
              </w:rPr>
              <w:fldChar w:fldCharType="separate"/>
            </w:r>
            <w:r w:rsidR="00DE2980">
              <w:rPr>
                <w:webHidden/>
              </w:rPr>
              <w:t>20</w:t>
            </w:r>
            <w:r w:rsidR="00DE2980">
              <w:rPr>
                <w:webHidden/>
              </w:rPr>
              <w:fldChar w:fldCharType="end"/>
            </w:r>
          </w:hyperlink>
        </w:p>
        <w:p w14:paraId="29154215" w14:textId="0CFEC538" w:rsidR="00DE2980" w:rsidRDefault="0014672A">
          <w:pPr>
            <w:pStyle w:val="TOC1"/>
            <w:rPr>
              <w:rFonts w:asciiTheme="minorHAnsi" w:hAnsiTheme="minorHAnsi"/>
              <w:b w:val="0"/>
              <w:bCs w:val="0"/>
              <w:sz w:val="22"/>
              <w:szCs w:val="22"/>
              <w:lang w:eastAsia="en-GB"/>
            </w:rPr>
          </w:pPr>
          <w:hyperlink w:anchor="_Toc137459922" w:history="1">
            <w:r w:rsidR="00DE2980" w:rsidRPr="002B085E">
              <w:rPr>
                <w:rStyle w:val="Hyperlink"/>
              </w:rPr>
              <w:t>6.0</w:t>
            </w:r>
            <w:r w:rsidR="00DE2980">
              <w:rPr>
                <w:rFonts w:asciiTheme="minorHAnsi" w:hAnsiTheme="minorHAnsi"/>
                <w:b w:val="0"/>
                <w:bCs w:val="0"/>
                <w:sz w:val="22"/>
                <w:szCs w:val="22"/>
                <w:lang w:eastAsia="en-GB"/>
              </w:rPr>
              <w:tab/>
            </w:r>
            <w:r w:rsidR="00DE2980" w:rsidRPr="002B085E">
              <w:rPr>
                <w:rStyle w:val="Hyperlink"/>
              </w:rPr>
              <w:t>Employment</w:t>
            </w:r>
            <w:r w:rsidR="00DE2980">
              <w:rPr>
                <w:webHidden/>
              </w:rPr>
              <w:tab/>
            </w:r>
            <w:r w:rsidR="00DE2980">
              <w:rPr>
                <w:webHidden/>
              </w:rPr>
              <w:fldChar w:fldCharType="begin"/>
            </w:r>
            <w:r w:rsidR="00DE2980">
              <w:rPr>
                <w:webHidden/>
              </w:rPr>
              <w:instrText xml:space="preserve"> PAGEREF _Toc137459922 \h </w:instrText>
            </w:r>
            <w:r w:rsidR="00DE2980">
              <w:rPr>
                <w:webHidden/>
              </w:rPr>
            </w:r>
            <w:r w:rsidR="00DE2980">
              <w:rPr>
                <w:webHidden/>
              </w:rPr>
              <w:fldChar w:fldCharType="separate"/>
            </w:r>
            <w:r w:rsidR="00DE2980">
              <w:rPr>
                <w:webHidden/>
              </w:rPr>
              <w:t>22</w:t>
            </w:r>
            <w:r w:rsidR="00DE2980">
              <w:rPr>
                <w:webHidden/>
              </w:rPr>
              <w:fldChar w:fldCharType="end"/>
            </w:r>
          </w:hyperlink>
        </w:p>
        <w:p w14:paraId="2F94E4A4" w14:textId="23733654" w:rsidR="00DE2980" w:rsidRDefault="0014672A">
          <w:pPr>
            <w:pStyle w:val="TOC2"/>
            <w:tabs>
              <w:tab w:val="right" w:leader="dot" w:pos="9848"/>
            </w:tabs>
            <w:rPr>
              <w:rFonts w:asciiTheme="minorHAnsi" w:hAnsiTheme="minorHAnsi"/>
              <w:noProof/>
              <w:sz w:val="22"/>
              <w:szCs w:val="22"/>
              <w:lang w:eastAsia="en-GB"/>
            </w:rPr>
          </w:pPr>
          <w:hyperlink w:anchor="_Toc137459923" w:history="1">
            <w:r w:rsidR="00DE2980" w:rsidRPr="002B085E">
              <w:rPr>
                <w:rStyle w:val="Hyperlink"/>
                <w:noProof/>
              </w:rPr>
              <w:t>Different forms of employment</w:t>
            </w:r>
            <w:r w:rsidR="00DE2980">
              <w:rPr>
                <w:noProof/>
                <w:webHidden/>
              </w:rPr>
              <w:tab/>
            </w:r>
            <w:r w:rsidR="00DE2980">
              <w:rPr>
                <w:noProof/>
                <w:webHidden/>
              </w:rPr>
              <w:fldChar w:fldCharType="begin"/>
            </w:r>
            <w:r w:rsidR="00DE2980">
              <w:rPr>
                <w:noProof/>
                <w:webHidden/>
              </w:rPr>
              <w:instrText xml:space="preserve"> PAGEREF _Toc137459923 \h </w:instrText>
            </w:r>
            <w:r w:rsidR="00DE2980">
              <w:rPr>
                <w:noProof/>
                <w:webHidden/>
              </w:rPr>
            </w:r>
            <w:r w:rsidR="00DE2980">
              <w:rPr>
                <w:noProof/>
                <w:webHidden/>
              </w:rPr>
              <w:fldChar w:fldCharType="separate"/>
            </w:r>
            <w:r w:rsidR="00DE2980">
              <w:rPr>
                <w:noProof/>
                <w:webHidden/>
              </w:rPr>
              <w:t>22</w:t>
            </w:r>
            <w:r w:rsidR="00DE2980">
              <w:rPr>
                <w:noProof/>
                <w:webHidden/>
              </w:rPr>
              <w:fldChar w:fldCharType="end"/>
            </w:r>
          </w:hyperlink>
        </w:p>
        <w:p w14:paraId="7E142637" w14:textId="7C59B114" w:rsidR="00DE2980" w:rsidRDefault="0014672A">
          <w:pPr>
            <w:pStyle w:val="TOC2"/>
            <w:tabs>
              <w:tab w:val="right" w:leader="dot" w:pos="9848"/>
            </w:tabs>
            <w:rPr>
              <w:rFonts w:asciiTheme="minorHAnsi" w:hAnsiTheme="minorHAnsi"/>
              <w:noProof/>
              <w:sz w:val="22"/>
              <w:szCs w:val="22"/>
              <w:lang w:eastAsia="en-GB"/>
            </w:rPr>
          </w:pPr>
          <w:hyperlink w:anchor="_Toc137459924" w:history="1">
            <w:r w:rsidR="00DE2980" w:rsidRPr="002B085E">
              <w:rPr>
                <w:rStyle w:val="Hyperlink"/>
                <w:noProof/>
              </w:rPr>
              <w:t>Liability of employees</w:t>
            </w:r>
            <w:r w:rsidR="00DE2980">
              <w:rPr>
                <w:noProof/>
                <w:webHidden/>
              </w:rPr>
              <w:tab/>
            </w:r>
            <w:r w:rsidR="00DE2980">
              <w:rPr>
                <w:noProof/>
                <w:webHidden/>
              </w:rPr>
              <w:fldChar w:fldCharType="begin"/>
            </w:r>
            <w:r w:rsidR="00DE2980">
              <w:rPr>
                <w:noProof/>
                <w:webHidden/>
              </w:rPr>
              <w:instrText xml:space="preserve"> PAGEREF _Toc137459924 \h </w:instrText>
            </w:r>
            <w:r w:rsidR="00DE2980">
              <w:rPr>
                <w:noProof/>
                <w:webHidden/>
              </w:rPr>
            </w:r>
            <w:r w:rsidR="00DE2980">
              <w:rPr>
                <w:noProof/>
                <w:webHidden/>
              </w:rPr>
              <w:fldChar w:fldCharType="separate"/>
            </w:r>
            <w:r w:rsidR="00DE2980">
              <w:rPr>
                <w:noProof/>
                <w:webHidden/>
              </w:rPr>
              <w:t>23</w:t>
            </w:r>
            <w:r w:rsidR="00DE2980">
              <w:rPr>
                <w:noProof/>
                <w:webHidden/>
              </w:rPr>
              <w:fldChar w:fldCharType="end"/>
            </w:r>
          </w:hyperlink>
        </w:p>
        <w:p w14:paraId="660B067C" w14:textId="73EAF0BD" w:rsidR="00DE2980" w:rsidRDefault="0014672A">
          <w:pPr>
            <w:pStyle w:val="TOC2"/>
            <w:tabs>
              <w:tab w:val="right" w:leader="dot" w:pos="9848"/>
            </w:tabs>
            <w:rPr>
              <w:rFonts w:asciiTheme="minorHAnsi" w:hAnsiTheme="minorHAnsi"/>
              <w:noProof/>
              <w:sz w:val="22"/>
              <w:szCs w:val="22"/>
              <w:lang w:eastAsia="en-GB"/>
            </w:rPr>
          </w:pPr>
          <w:hyperlink w:anchor="_Toc137459925" w:history="1">
            <w:r w:rsidR="00DE2980" w:rsidRPr="002B085E">
              <w:rPr>
                <w:rStyle w:val="Hyperlink"/>
                <w:noProof/>
              </w:rPr>
              <w:t>Acts done under statutory authority</w:t>
            </w:r>
            <w:r w:rsidR="00DE2980">
              <w:rPr>
                <w:noProof/>
                <w:webHidden/>
              </w:rPr>
              <w:tab/>
            </w:r>
            <w:r w:rsidR="00DE2980">
              <w:rPr>
                <w:noProof/>
                <w:webHidden/>
              </w:rPr>
              <w:fldChar w:fldCharType="begin"/>
            </w:r>
            <w:r w:rsidR="00DE2980">
              <w:rPr>
                <w:noProof/>
                <w:webHidden/>
              </w:rPr>
              <w:instrText xml:space="preserve"> PAGEREF _Toc137459925 \h </w:instrText>
            </w:r>
            <w:r w:rsidR="00DE2980">
              <w:rPr>
                <w:noProof/>
                <w:webHidden/>
              </w:rPr>
            </w:r>
            <w:r w:rsidR="00DE2980">
              <w:rPr>
                <w:noProof/>
                <w:webHidden/>
              </w:rPr>
              <w:fldChar w:fldCharType="separate"/>
            </w:r>
            <w:r w:rsidR="00DE2980">
              <w:rPr>
                <w:noProof/>
                <w:webHidden/>
              </w:rPr>
              <w:t>25</w:t>
            </w:r>
            <w:r w:rsidR="00DE2980">
              <w:rPr>
                <w:noProof/>
                <w:webHidden/>
              </w:rPr>
              <w:fldChar w:fldCharType="end"/>
            </w:r>
          </w:hyperlink>
        </w:p>
        <w:p w14:paraId="5004C2A6" w14:textId="2438A921" w:rsidR="00DE2980" w:rsidRDefault="0014672A">
          <w:pPr>
            <w:pStyle w:val="TOC1"/>
            <w:rPr>
              <w:rFonts w:asciiTheme="minorHAnsi" w:hAnsiTheme="minorHAnsi"/>
              <w:b w:val="0"/>
              <w:bCs w:val="0"/>
              <w:sz w:val="22"/>
              <w:szCs w:val="22"/>
              <w:lang w:eastAsia="en-GB"/>
            </w:rPr>
          </w:pPr>
          <w:hyperlink w:anchor="_Toc137459926" w:history="1">
            <w:r w:rsidR="00DE2980" w:rsidRPr="002B085E">
              <w:rPr>
                <w:rStyle w:val="Hyperlink"/>
              </w:rPr>
              <w:t>7.0</w:t>
            </w:r>
            <w:r w:rsidR="00DE2980">
              <w:rPr>
                <w:rFonts w:asciiTheme="minorHAnsi" w:hAnsiTheme="minorHAnsi"/>
                <w:b w:val="0"/>
                <w:bCs w:val="0"/>
                <w:sz w:val="22"/>
                <w:szCs w:val="22"/>
                <w:lang w:eastAsia="en-GB"/>
              </w:rPr>
              <w:tab/>
            </w:r>
            <w:r w:rsidR="00DE2980" w:rsidRPr="002B085E">
              <w:rPr>
                <w:rStyle w:val="Hyperlink"/>
              </w:rPr>
              <w:t>Provisions of Goods, Facilities, Services and Premises</w:t>
            </w:r>
            <w:r w:rsidR="00DE2980">
              <w:rPr>
                <w:webHidden/>
              </w:rPr>
              <w:tab/>
            </w:r>
            <w:r w:rsidR="00DE2980">
              <w:rPr>
                <w:webHidden/>
              </w:rPr>
              <w:fldChar w:fldCharType="begin"/>
            </w:r>
            <w:r w:rsidR="00DE2980">
              <w:rPr>
                <w:webHidden/>
              </w:rPr>
              <w:instrText xml:space="preserve"> PAGEREF _Toc137459926 \h </w:instrText>
            </w:r>
            <w:r w:rsidR="00DE2980">
              <w:rPr>
                <w:webHidden/>
              </w:rPr>
            </w:r>
            <w:r w:rsidR="00DE2980">
              <w:rPr>
                <w:webHidden/>
              </w:rPr>
              <w:fldChar w:fldCharType="separate"/>
            </w:r>
            <w:r w:rsidR="00DE2980">
              <w:rPr>
                <w:webHidden/>
              </w:rPr>
              <w:t>26</w:t>
            </w:r>
            <w:r w:rsidR="00DE2980">
              <w:rPr>
                <w:webHidden/>
              </w:rPr>
              <w:fldChar w:fldCharType="end"/>
            </w:r>
          </w:hyperlink>
        </w:p>
        <w:p w14:paraId="61AC40F4" w14:textId="733A85A8" w:rsidR="00DE2980" w:rsidRDefault="0014672A">
          <w:pPr>
            <w:pStyle w:val="TOC2"/>
            <w:tabs>
              <w:tab w:val="right" w:leader="dot" w:pos="9848"/>
            </w:tabs>
            <w:rPr>
              <w:rFonts w:asciiTheme="minorHAnsi" w:hAnsiTheme="minorHAnsi"/>
              <w:noProof/>
              <w:sz w:val="22"/>
              <w:szCs w:val="22"/>
              <w:lang w:eastAsia="en-GB"/>
            </w:rPr>
          </w:pPr>
          <w:hyperlink w:anchor="_Toc137459927" w:history="1">
            <w:r w:rsidR="00DE2980" w:rsidRPr="002B085E">
              <w:rPr>
                <w:rStyle w:val="Hyperlink"/>
                <w:noProof/>
              </w:rPr>
              <w:t>Healthcare, social security, social protection and social advantage</w:t>
            </w:r>
            <w:r w:rsidR="00DE2980">
              <w:rPr>
                <w:noProof/>
                <w:webHidden/>
              </w:rPr>
              <w:tab/>
            </w:r>
            <w:r w:rsidR="00DE2980">
              <w:rPr>
                <w:noProof/>
                <w:webHidden/>
              </w:rPr>
              <w:fldChar w:fldCharType="begin"/>
            </w:r>
            <w:r w:rsidR="00DE2980">
              <w:rPr>
                <w:noProof/>
                <w:webHidden/>
              </w:rPr>
              <w:instrText xml:space="preserve"> PAGEREF _Toc137459927 \h </w:instrText>
            </w:r>
            <w:r w:rsidR="00DE2980">
              <w:rPr>
                <w:noProof/>
                <w:webHidden/>
              </w:rPr>
            </w:r>
            <w:r w:rsidR="00DE2980">
              <w:rPr>
                <w:noProof/>
                <w:webHidden/>
              </w:rPr>
              <w:fldChar w:fldCharType="separate"/>
            </w:r>
            <w:r w:rsidR="00DE2980">
              <w:rPr>
                <w:noProof/>
                <w:webHidden/>
              </w:rPr>
              <w:t>26</w:t>
            </w:r>
            <w:r w:rsidR="00DE2980">
              <w:rPr>
                <w:noProof/>
                <w:webHidden/>
              </w:rPr>
              <w:fldChar w:fldCharType="end"/>
            </w:r>
          </w:hyperlink>
        </w:p>
        <w:p w14:paraId="2844CB00" w14:textId="5D511268" w:rsidR="00DE2980" w:rsidRDefault="0014672A">
          <w:pPr>
            <w:pStyle w:val="TOC2"/>
            <w:tabs>
              <w:tab w:val="right" w:leader="dot" w:pos="9848"/>
            </w:tabs>
            <w:rPr>
              <w:rFonts w:asciiTheme="minorHAnsi" w:hAnsiTheme="minorHAnsi"/>
              <w:noProof/>
              <w:sz w:val="22"/>
              <w:szCs w:val="22"/>
              <w:lang w:eastAsia="en-GB"/>
            </w:rPr>
          </w:pPr>
          <w:hyperlink w:anchor="_Toc137459928" w:history="1">
            <w:r w:rsidR="00DE2980" w:rsidRPr="002B085E">
              <w:rPr>
                <w:rStyle w:val="Hyperlink"/>
                <w:noProof/>
              </w:rPr>
              <w:t>Language</w:t>
            </w:r>
            <w:r w:rsidR="00DE2980">
              <w:rPr>
                <w:noProof/>
                <w:webHidden/>
              </w:rPr>
              <w:tab/>
            </w:r>
            <w:r w:rsidR="00DE2980">
              <w:rPr>
                <w:noProof/>
                <w:webHidden/>
              </w:rPr>
              <w:fldChar w:fldCharType="begin"/>
            </w:r>
            <w:r w:rsidR="00DE2980">
              <w:rPr>
                <w:noProof/>
                <w:webHidden/>
              </w:rPr>
              <w:instrText xml:space="preserve"> PAGEREF _Toc137459928 \h </w:instrText>
            </w:r>
            <w:r w:rsidR="00DE2980">
              <w:rPr>
                <w:noProof/>
                <w:webHidden/>
              </w:rPr>
            </w:r>
            <w:r w:rsidR="00DE2980">
              <w:rPr>
                <w:noProof/>
                <w:webHidden/>
              </w:rPr>
              <w:fldChar w:fldCharType="separate"/>
            </w:r>
            <w:r w:rsidR="00DE2980">
              <w:rPr>
                <w:noProof/>
                <w:webHidden/>
              </w:rPr>
              <w:t>28</w:t>
            </w:r>
            <w:r w:rsidR="00DE2980">
              <w:rPr>
                <w:noProof/>
                <w:webHidden/>
              </w:rPr>
              <w:fldChar w:fldCharType="end"/>
            </w:r>
          </w:hyperlink>
        </w:p>
        <w:p w14:paraId="722C8A3A" w14:textId="45029782" w:rsidR="00DE2980" w:rsidRDefault="0014672A">
          <w:pPr>
            <w:pStyle w:val="TOC1"/>
            <w:rPr>
              <w:rFonts w:asciiTheme="minorHAnsi" w:hAnsiTheme="minorHAnsi"/>
              <w:b w:val="0"/>
              <w:bCs w:val="0"/>
              <w:sz w:val="22"/>
              <w:szCs w:val="22"/>
              <w:lang w:eastAsia="en-GB"/>
            </w:rPr>
          </w:pPr>
          <w:hyperlink w:anchor="_Toc137459929" w:history="1">
            <w:r w:rsidR="00DE2980" w:rsidRPr="002B085E">
              <w:rPr>
                <w:rStyle w:val="Hyperlink"/>
              </w:rPr>
              <w:t>8.0</w:t>
            </w:r>
            <w:r w:rsidR="00DE2980">
              <w:rPr>
                <w:rFonts w:asciiTheme="minorHAnsi" w:hAnsiTheme="minorHAnsi"/>
                <w:b w:val="0"/>
                <w:bCs w:val="0"/>
                <w:sz w:val="22"/>
                <w:szCs w:val="22"/>
                <w:lang w:eastAsia="en-GB"/>
              </w:rPr>
              <w:tab/>
            </w:r>
            <w:r w:rsidR="00DE2980" w:rsidRPr="002B085E">
              <w:rPr>
                <w:rStyle w:val="Hyperlink"/>
              </w:rPr>
              <w:t>Equality Commission for NI’s Role</w:t>
            </w:r>
            <w:r w:rsidR="00DE2980">
              <w:rPr>
                <w:webHidden/>
              </w:rPr>
              <w:tab/>
            </w:r>
            <w:r w:rsidR="00DE2980">
              <w:rPr>
                <w:webHidden/>
              </w:rPr>
              <w:fldChar w:fldCharType="begin"/>
            </w:r>
            <w:r w:rsidR="00DE2980">
              <w:rPr>
                <w:webHidden/>
              </w:rPr>
              <w:instrText xml:space="preserve"> PAGEREF _Toc137459929 \h </w:instrText>
            </w:r>
            <w:r w:rsidR="00DE2980">
              <w:rPr>
                <w:webHidden/>
              </w:rPr>
            </w:r>
            <w:r w:rsidR="00DE2980">
              <w:rPr>
                <w:webHidden/>
              </w:rPr>
              <w:fldChar w:fldCharType="separate"/>
            </w:r>
            <w:r w:rsidR="00DE2980">
              <w:rPr>
                <w:webHidden/>
              </w:rPr>
              <w:t>29</w:t>
            </w:r>
            <w:r w:rsidR="00DE2980">
              <w:rPr>
                <w:webHidden/>
              </w:rPr>
              <w:fldChar w:fldCharType="end"/>
            </w:r>
          </w:hyperlink>
        </w:p>
        <w:p w14:paraId="31BFBAFF" w14:textId="1575B318" w:rsidR="00DE2980" w:rsidRDefault="0014672A">
          <w:pPr>
            <w:pStyle w:val="TOC1"/>
            <w:rPr>
              <w:rFonts w:asciiTheme="minorHAnsi" w:hAnsiTheme="minorHAnsi"/>
              <w:b w:val="0"/>
              <w:bCs w:val="0"/>
              <w:sz w:val="22"/>
              <w:szCs w:val="22"/>
              <w:lang w:eastAsia="en-GB"/>
            </w:rPr>
          </w:pPr>
          <w:hyperlink w:anchor="_Toc137459930" w:history="1">
            <w:r w:rsidR="00DE2980" w:rsidRPr="002B085E">
              <w:rPr>
                <w:rStyle w:val="Hyperlink"/>
              </w:rPr>
              <w:t>9.0</w:t>
            </w:r>
            <w:r w:rsidR="00DE2980">
              <w:rPr>
                <w:rFonts w:asciiTheme="minorHAnsi" w:hAnsiTheme="minorHAnsi"/>
                <w:b w:val="0"/>
                <w:bCs w:val="0"/>
                <w:sz w:val="22"/>
                <w:szCs w:val="22"/>
                <w:lang w:eastAsia="en-GB"/>
              </w:rPr>
              <w:tab/>
            </w:r>
            <w:r w:rsidR="00DE2980" w:rsidRPr="002B085E">
              <w:rPr>
                <w:rStyle w:val="Hyperlink"/>
              </w:rPr>
              <w:t>Enforcement</w:t>
            </w:r>
            <w:r w:rsidR="00DE2980">
              <w:rPr>
                <w:webHidden/>
              </w:rPr>
              <w:tab/>
            </w:r>
            <w:r w:rsidR="00DE2980">
              <w:rPr>
                <w:webHidden/>
              </w:rPr>
              <w:fldChar w:fldCharType="begin"/>
            </w:r>
            <w:r w:rsidR="00DE2980">
              <w:rPr>
                <w:webHidden/>
              </w:rPr>
              <w:instrText xml:space="preserve"> PAGEREF _Toc137459930 \h </w:instrText>
            </w:r>
            <w:r w:rsidR="00DE2980">
              <w:rPr>
                <w:webHidden/>
              </w:rPr>
            </w:r>
            <w:r w:rsidR="00DE2980">
              <w:rPr>
                <w:webHidden/>
              </w:rPr>
              <w:fldChar w:fldCharType="separate"/>
            </w:r>
            <w:r w:rsidR="00DE2980">
              <w:rPr>
                <w:webHidden/>
              </w:rPr>
              <w:t>30</w:t>
            </w:r>
            <w:r w:rsidR="00DE2980">
              <w:rPr>
                <w:webHidden/>
              </w:rPr>
              <w:fldChar w:fldCharType="end"/>
            </w:r>
          </w:hyperlink>
        </w:p>
        <w:p w14:paraId="2375A015" w14:textId="3DBA6762" w:rsidR="00DE2980" w:rsidRDefault="0014672A">
          <w:pPr>
            <w:pStyle w:val="TOC2"/>
            <w:tabs>
              <w:tab w:val="right" w:leader="dot" w:pos="9848"/>
            </w:tabs>
            <w:rPr>
              <w:rFonts w:asciiTheme="minorHAnsi" w:hAnsiTheme="minorHAnsi"/>
              <w:noProof/>
              <w:sz w:val="22"/>
              <w:szCs w:val="22"/>
              <w:lang w:eastAsia="en-GB"/>
            </w:rPr>
          </w:pPr>
          <w:hyperlink w:anchor="_Toc137459931" w:history="1">
            <w:r w:rsidR="00DE2980" w:rsidRPr="002B085E">
              <w:rPr>
                <w:rStyle w:val="Hyperlink"/>
                <w:noProof/>
              </w:rPr>
              <w:t>Effective remedy</w:t>
            </w:r>
            <w:r w:rsidR="00DE2980">
              <w:rPr>
                <w:noProof/>
                <w:webHidden/>
              </w:rPr>
              <w:tab/>
            </w:r>
            <w:r w:rsidR="00DE2980">
              <w:rPr>
                <w:noProof/>
                <w:webHidden/>
              </w:rPr>
              <w:fldChar w:fldCharType="begin"/>
            </w:r>
            <w:r w:rsidR="00DE2980">
              <w:rPr>
                <w:noProof/>
                <w:webHidden/>
              </w:rPr>
              <w:instrText xml:space="preserve"> PAGEREF _Toc137459931 \h </w:instrText>
            </w:r>
            <w:r w:rsidR="00DE2980">
              <w:rPr>
                <w:noProof/>
                <w:webHidden/>
              </w:rPr>
            </w:r>
            <w:r w:rsidR="00DE2980">
              <w:rPr>
                <w:noProof/>
                <w:webHidden/>
              </w:rPr>
              <w:fldChar w:fldCharType="separate"/>
            </w:r>
            <w:r w:rsidR="00DE2980">
              <w:rPr>
                <w:noProof/>
                <w:webHidden/>
              </w:rPr>
              <w:t>30</w:t>
            </w:r>
            <w:r w:rsidR="00DE2980">
              <w:rPr>
                <w:noProof/>
                <w:webHidden/>
              </w:rPr>
              <w:fldChar w:fldCharType="end"/>
            </w:r>
          </w:hyperlink>
        </w:p>
        <w:p w14:paraId="728AF821" w14:textId="1EB5E0CD" w:rsidR="00DE2980" w:rsidRDefault="0014672A">
          <w:pPr>
            <w:pStyle w:val="TOC2"/>
            <w:tabs>
              <w:tab w:val="right" w:leader="dot" w:pos="9848"/>
            </w:tabs>
            <w:rPr>
              <w:rFonts w:asciiTheme="minorHAnsi" w:hAnsiTheme="minorHAnsi"/>
              <w:noProof/>
              <w:sz w:val="22"/>
              <w:szCs w:val="22"/>
              <w:lang w:eastAsia="en-GB"/>
            </w:rPr>
          </w:pPr>
          <w:hyperlink w:anchor="_Toc137459932" w:history="1">
            <w:r w:rsidR="00DE2980" w:rsidRPr="002B085E">
              <w:rPr>
                <w:rStyle w:val="Hyperlink"/>
                <w:noProof/>
              </w:rPr>
              <w:t>Reasonable training</w:t>
            </w:r>
            <w:r w:rsidR="00DE2980">
              <w:rPr>
                <w:noProof/>
                <w:webHidden/>
              </w:rPr>
              <w:tab/>
            </w:r>
            <w:r w:rsidR="00DE2980">
              <w:rPr>
                <w:noProof/>
                <w:webHidden/>
              </w:rPr>
              <w:fldChar w:fldCharType="begin"/>
            </w:r>
            <w:r w:rsidR="00DE2980">
              <w:rPr>
                <w:noProof/>
                <w:webHidden/>
              </w:rPr>
              <w:instrText xml:space="preserve"> PAGEREF _Toc137459932 \h </w:instrText>
            </w:r>
            <w:r w:rsidR="00DE2980">
              <w:rPr>
                <w:noProof/>
                <w:webHidden/>
              </w:rPr>
            </w:r>
            <w:r w:rsidR="00DE2980">
              <w:rPr>
                <w:noProof/>
                <w:webHidden/>
              </w:rPr>
              <w:fldChar w:fldCharType="separate"/>
            </w:r>
            <w:r w:rsidR="00DE2980">
              <w:rPr>
                <w:noProof/>
                <w:webHidden/>
              </w:rPr>
              <w:t>32</w:t>
            </w:r>
            <w:r w:rsidR="00DE2980">
              <w:rPr>
                <w:noProof/>
                <w:webHidden/>
              </w:rPr>
              <w:fldChar w:fldCharType="end"/>
            </w:r>
          </w:hyperlink>
        </w:p>
        <w:p w14:paraId="585DF429" w14:textId="6F12776A" w:rsidR="00DE2980" w:rsidRDefault="0014672A">
          <w:pPr>
            <w:pStyle w:val="TOC1"/>
            <w:rPr>
              <w:rFonts w:asciiTheme="minorHAnsi" w:hAnsiTheme="minorHAnsi"/>
              <w:b w:val="0"/>
              <w:bCs w:val="0"/>
              <w:sz w:val="22"/>
              <w:szCs w:val="22"/>
              <w:lang w:eastAsia="en-GB"/>
            </w:rPr>
          </w:pPr>
          <w:hyperlink w:anchor="_Toc137459933" w:history="1">
            <w:r w:rsidR="00DE2980" w:rsidRPr="002B085E">
              <w:rPr>
                <w:rStyle w:val="Hyperlink"/>
              </w:rPr>
              <w:t>10.0</w:t>
            </w:r>
            <w:r w:rsidR="00DE2980">
              <w:rPr>
                <w:rFonts w:asciiTheme="minorHAnsi" w:hAnsiTheme="minorHAnsi"/>
                <w:b w:val="0"/>
                <w:bCs w:val="0"/>
                <w:sz w:val="22"/>
                <w:szCs w:val="22"/>
                <w:lang w:eastAsia="en-GB"/>
              </w:rPr>
              <w:tab/>
            </w:r>
            <w:r w:rsidR="00DE2980" w:rsidRPr="002B085E">
              <w:rPr>
                <w:rStyle w:val="Hyperlink"/>
              </w:rPr>
              <w:t>Monitoring</w:t>
            </w:r>
            <w:r w:rsidR="00DE2980">
              <w:rPr>
                <w:webHidden/>
              </w:rPr>
              <w:tab/>
            </w:r>
            <w:r w:rsidR="00DE2980">
              <w:rPr>
                <w:webHidden/>
              </w:rPr>
              <w:fldChar w:fldCharType="begin"/>
            </w:r>
            <w:r w:rsidR="00DE2980">
              <w:rPr>
                <w:webHidden/>
              </w:rPr>
              <w:instrText xml:space="preserve"> PAGEREF _Toc137459933 \h </w:instrText>
            </w:r>
            <w:r w:rsidR="00DE2980">
              <w:rPr>
                <w:webHidden/>
              </w:rPr>
            </w:r>
            <w:r w:rsidR="00DE2980">
              <w:rPr>
                <w:webHidden/>
              </w:rPr>
              <w:fldChar w:fldCharType="separate"/>
            </w:r>
            <w:r w:rsidR="00DE2980">
              <w:rPr>
                <w:webHidden/>
              </w:rPr>
              <w:t>33</w:t>
            </w:r>
            <w:r w:rsidR="00DE2980">
              <w:rPr>
                <w:webHidden/>
              </w:rPr>
              <w:fldChar w:fldCharType="end"/>
            </w:r>
          </w:hyperlink>
        </w:p>
        <w:p w14:paraId="276CB192" w14:textId="07A7543B" w:rsidR="00DE2980" w:rsidRDefault="0014672A">
          <w:pPr>
            <w:pStyle w:val="TOC1"/>
            <w:rPr>
              <w:rFonts w:asciiTheme="minorHAnsi" w:hAnsiTheme="minorHAnsi"/>
              <w:b w:val="0"/>
              <w:bCs w:val="0"/>
              <w:sz w:val="22"/>
              <w:szCs w:val="22"/>
              <w:lang w:eastAsia="en-GB"/>
            </w:rPr>
          </w:pPr>
          <w:hyperlink w:anchor="_Toc137459934" w:history="1">
            <w:r w:rsidR="00DE2980" w:rsidRPr="002B085E">
              <w:rPr>
                <w:rStyle w:val="Hyperlink"/>
              </w:rPr>
              <w:t>11.0</w:t>
            </w:r>
            <w:r w:rsidR="00DE2980">
              <w:rPr>
                <w:rFonts w:asciiTheme="minorHAnsi" w:hAnsiTheme="minorHAnsi"/>
                <w:b w:val="0"/>
                <w:bCs w:val="0"/>
                <w:sz w:val="22"/>
                <w:szCs w:val="22"/>
                <w:lang w:eastAsia="en-GB"/>
              </w:rPr>
              <w:tab/>
            </w:r>
            <w:r w:rsidR="00DE2980" w:rsidRPr="002B085E">
              <w:rPr>
                <w:rStyle w:val="Hyperlink"/>
              </w:rPr>
              <w:t>Descent and Caste</w:t>
            </w:r>
            <w:r w:rsidR="00DE2980">
              <w:rPr>
                <w:webHidden/>
              </w:rPr>
              <w:tab/>
            </w:r>
            <w:r w:rsidR="00DE2980">
              <w:rPr>
                <w:webHidden/>
              </w:rPr>
              <w:fldChar w:fldCharType="begin"/>
            </w:r>
            <w:r w:rsidR="00DE2980">
              <w:rPr>
                <w:webHidden/>
              </w:rPr>
              <w:instrText xml:space="preserve"> PAGEREF _Toc137459934 \h </w:instrText>
            </w:r>
            <w:r w:rsidR="00DE2980">
              <w:rPr>
                <w:webHidden/>
              </w:rPr>
            </w:r>
            <w:r w:rsidR="00DE2980">
              <w:rPr>
                <w:webHidden/>
              </w:rPr>
              <w:fldChar w:fldCharType="separate"/>
            </w:r>
            <w:r w:rsidR="00DE2980">
              <w:rPr>
                <w:webHidden/>
              </w:rPr>
              <w:t>34</w:t>
            </w:r>
            <w:r w:rsidR="00DE2980">
              <w:rPr>
                <w:webHidden/>
              </w:rPr>
              <w:fldChar w:fldCharType="end"/>
            </w:r>
          </w:hyperlink>
        </w:p>
        <w:p w14:paraId="42373E80" w14:textId="0FE4FE5E" w:rsidR="00B56194" w:rsidRDefault="00B56194">
          <w:r>
            <w:rPr>
              <w:b/>
              <w:bCs/>
              <w:noProof/>
            </w:rPr>
            <w:fldChar w:fldCharType="end"/>
          </w:r>
        </w:p>
      </w:sdtContent>
    </w:sdt>
    <w:p w14:paraId="250E6812" w14:textId="34BB5355" w:rsidR="00B56194" w:rsidRDefault="00B56194">
      <w:pPr>
        <w:spacing w:line="240" w:lineRule="auto"/>
        <w:rPr>
          <w:rFonts w:cs="Arial"/>
          <w:b/>
          <w:color w:val="232120"/>
          <w:sz w:val="28"/>
          <w:szCs w:val="28"/>
        </w:rPr>
      </w:pPr>
      <w:r>
        <w:rPr>
          <w:rFonts w:cs="Arial"/>
          <w:b/>
          <w:color w:val="232120"/>
          <w:sz w:val="28"/>
          <w:szCs w:val="28"/>
        </w:rPr>
        <w:br w:type="page"/>
      </w:r>
    </w:p>
    <w:bookmarkStart w:id="0" w:name="_Toc137459910"/>
    <w:p w14:paraId="4A216999" w14:textId="6B01E104" w:rsidR="00073296" w:rsidRDefault="00DE2980" w:rsidP="00073296">
      <w:pPr>
        <w:pStyle w:val="Heading1"/>
        <w:numPr>
          <w:ilvl w:val="0"/>
          <w:numId w:val="0"/>
        </w:numPr>
        <w:ind w:left="360" w:hanging="360"/>
      </w:pPr>
      <w:r>
        <w:rPr>
          <w:b w:val="0"/>
          <w:bCs/>
          <w:noProof/>
          <w:color w:val="auto"/>
        </w:rPr>
        <w:lastRenderedPageBreak/>
        <mc:AlternateContent>
          <mc:Choice Requires="wps">
            <w:drawing>
              <wp:anchor distT="0" distB="0" distL="114300" distR="114300" simplePos="0" relativeHeight="251665408" behindDoc="0" locked="0" layoutInCell="1" allowOverlap="1" wp14:anchorId="31832A1C" wp14:editId="1DD22AC9">
                <wp:simplePos x="0" y="0"/>
                <wp:positionH relativeFrom="column">
                  <wp:posOffset>-247650</wp:posOffset>
                </wp:positionH>
                <wp:positionV relativeFrom="paragraph">
                  <wp:posOffset>315278</wp:posOffset>
                </wp:positionV>
                <wp:extent cx="6743700" cy="9296400"/>
                <wp:effectExtent l="57150" t="19050" r="76200" b="95250"/>
                <wp:wrapNone/>
                <wp:docPr id="5" name="Rectangle 5"/>
                <wp:cNvGraphicFramePr/>
                <a:graphic xmlns:a="http://schemas.openxmlformats.org/drawingml/2006/main">
                  <a:graphicData uri="http://schemas.microsoft.com/office/word/2010/wordprocessingShape">
                    <wps:wsp>
                      <wps:cNvSpPr/>
                      <wps:spPr>
                        <a:xfrm>
                          <a:off x="0" y="0"/>
                          <a:ext cx="6743700" cy="9296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CB43F7B" id="Rectangle 5" o:spid="_x0000_s1026" style="position:absolute;margin-left:-19.5pt;margin-top:24.85pt;width:531pt;height:7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" filled="f" strokecolor="black [3213]">
                <v:shadow on="t" color="black" opacity="22937f" origin=",.5" offset="0,.63889mm"/>
              </v:rect>
            </w:pict>
          </mc:Fallback>
        </mc:AlternateContent>
      </w:r>
      <w:r w:rsidR="00D76946">
        <w:t>Summary of Recommendations</w:t>
      </w:r>
      <w:bookmarkEnd w:id="0"/>
    </w:p>
    <w:p w14:paraId="44CDDC8B" w14:textId="2CD10D8F" w:rsidR="007E5E30" w:rsidRPr="007E5E30" w:rsidRDefault="007E5E30" w:rsidP="007E5E30">
      <w:pPr>
        <w:pStyle w:val="BasicParagraph"/>
        <w:numPr>
          <w:ilvl w:val="1"/>
          <w:numId w:val="23"/>
        </w:numPr>
        <w:suppressAutoHyphens/>
        <w:rPr>
          <w:rFonts w:ascii="Verdana" w:hAnsi="Verdana"/>
          <w:b/>
          <w:bCs/>
        </w:rPr>
      </w:pPr>
      <w:r w:rsidRPr="00E07F34">
        <w:rPr>
          <w:rFonts w:ascii="Verdana" w:hAnsi="Verdana"/>
          <w:b/>
          <w:bCs/>
          <w:lang w:val="en-US"/>
        </w:rPr>
        <w:t xml:space="preserve">The NIHRC recommends that, </w:t>
      </w:r>
      <w:r>
        <w:rPr>
          <w:rFonts w:ascii="Verdana" w:hAnsi="Verdana"/>
          <w:b/>
          <w:bCs/>
          <w:lang w:val="en-US"/>
        </w:rPr>
        <w:t xml:space="preserve">to ensure </w:t>
      </w:r>
      <w:r w:rsidRPr="00E07F34">
        <w:rPr>
          <w:rFonts w:ascii="Verdana" w:hAnsi="Verdana"/>
          <w:b/>
          <w:bCs/>
          <w:lang w:val="en-US"/>
        </w:rPr>
        <w:t>a human rights-based approach</w:t>
      </w:r>
      <w:r>
        <w:rPr>
          <w:rFonts w:ascii="Verdana" w:hAnsi="Verdana"/>
          <w:b/>
          <w:bCs/>
          <w:lang w:val="en-US"/>
        </w:rPr>
        <w:t xml:space="preserve"> to racial equality</w:t>
      </w:r>
      <w:r w:rsidRPr="00E07F34">
        <w:rPr>
          <w:rFonts w:ascii="Verdana" w:hAnsi="Verdana"/>
          <w:b/>
          <w:bCs/>
          <w:lang w:val="en-US"/>
        </w:rPr>
        <w:t xml:space="preserve">, the Executive Office </w:t>
      </w:r>
      <w:r>
        <w:rPr>
          <w:rFonts w:ascii="Verdana" w:hAnsi="Verdana"/>
          <w:b/>
          <w:bCs/>
          <w:lang w:val="en-US"/>
        </w:rPr>
        <w:t>undertakes</w:t>
      </w:r>
      <w:r w:rsidRPr="00E07F34">
        <w:rPr>
          <w:rFonts w:ascii="Verdana" w:hAnsi="Verdana"/>
          <w:b/>
          <w:bCs/>
          <w:lang w:val="en-US"/>
        </w:rPr>
        <w:t xml:space="preserve"> meaningful engagement with individuals affected and their representative organisations at every stage of the process. This </w:t>
      </w:r>
      <w:r>
        <w:rPr>
          <w:rFonts w:ascii="Verdana" w:hAnsi="Verdana"/>
          <w:b/>
          <w:bCs/>
          <w:lang w:val="en-US"/>
        </w:rPr>
        <w:t xml:space="preserve">should extend beyond </w:t>
      </w:r>
      <w:r w:rsidRPr="00E07F34">
        <w:rPr>
          <w:rFonts w:ascii="Verdana" w:hAnsi="Verdana"/>
          <w:b/>
          <w:bCs/>
          <w:lang w:val="en-US"/>
        </w:rPr>
        <w:t>th</w:t>
      </w:r>
      <w:r>
        <w:rPr>
          <w:rFonts w:ascii="Verdana" w:hAnsi="Verdana"/>
          <w:b/>
          <w:bCs/>
          <w:lang w:val="en-US"/>
        </w:rPr>
        <w:t>is</w:t>
      </w:r>
      <w:r w:rsidRPr="00E07F34">
        <w:rPr>
          <w:rFonts w:ascii="Verdana" w:hAnsi="Verdana"/>
          <w:b/>
          <w:bCs/>
          <w:lang w:val="en-US"/>
        </w:rPr>
        <w:t xml:space="preserve"> public consultation, </w:t>
      </w:r>
      <w:r>
        <w:rPr>
          <w:rFonts w:ascii="Verdana" w:hAnsi="Verdana"/>
          <w:b/>
          <w:bCs/>
          <w:lang w:val="en-US"/>
        </w:rPr>
        <w:t>to</w:t>
      </w:r>
      <w:r w:rsidRPr="00E07F34">
        <w:rPr>
          <w:rFonts w:ascii="Verdana" w:hAnsi="Verdana"/>
          <w:b/>
          <w:bCs/>
          <w:lang w:val="en-US"/>
        </w:rPr>
        <w:t xml:space="preserve"> include planning, design, implementation and evaluation.</w:t>
      </w:r>
    </w:p>
    <w:p w14:paraId="56151EDD" w14:textId="77777777" w:rsidR="007E5E30" w:rsidRDefault="007E5E30" w:rsidP="007E5E30">
      <w:pPr>
        <w:pStyle w:val="BasicParagraph"/>
        <w:suppressAutoHyphens/>
        <w:rPr>
          <w:rFonts w:ascii="Verdana" w:hAnsi="Verdana"/>
          <w:b/>
          <w:bCs/>
          <w:lang w:val="en-US"/>
        </w:rPr>
      </w:pPr>
    </w:p>
    <w:p w14:paraId="390EE44C" w14:textId="7F1919A5" w:rsidR="007E5E30" w:rsidRPr="00AE75D2" w:rsidRDefault="007E5E30" w:rsidP="0014672A">
      <w:pPr>
        <w:pStyle w:val="ListParagraph"/>
        <w:numPr>
          <w:ilvl w:val="1"/>
          <w:numId w:val="24"/>
        </w:numPr>
      </w:pPr>
      <w:r w:rsidRPr="0014672A">
        <w:rPr>
          <w:b/>
          <w:bCs/>
        </w:rPr>
        <w:t xml:space="preserve">The NIHRC advises that, to ensure compliance with Windsor Framework Article 2, any changes to the Race Relations (NI) Order 1997, or equivalent, are compatible with the EU Race Equality Directive and relevant CJEU jurisprudence. </w:t>
      </w:r>
    </w:p>
    <w:p w14:paraId="0B5914F9" w14:textId="77777777" w:rsidR="007E5E30" w:rsidRPr="00AE75D2" w:rsidRDefault="007E5E30" w:rsidP="007E5E30">
      <w:pPr>
        <w:pStyle w:val="ListParagraph"/>
        <w:rPr>
          <w:b/>
          <w:bCs/>
        </w:rPr>
      </w:pPr>
    </w:p>
    <w:p w14:paraId="7386545E" w14:textId="2409DB4B" w:rsidR="007E5E30" w:rsidRPr="0096484B" w:rsidRDefault="007E5E30" w:rsidP="00EF3657">
      <w:pPr>
        <w:pStyle w:val="ListParagraph"/>
        <w:numPr>
          <w:ilvl w:val="1"/>
          <w:numId w:val="24"/>
        </w:numPr>
      </w:pPr>
      <w:r w:rsidRPr="00EF3657">
        <w:rPr>
          <w:b/>
          <w:bCs/>
        </w:rPr>
        <w:t>The NIHRC recommends that the Executive Office closely monitor the ongoing review of the EU Race Equality Directive, and ensure that any enhancements in protections are reflected in NI legislation and policy.</w:t>
      </w:r>
    </w:p>
    <w:p w14:paraId="1949C697" w14:textId="77777777" w:rsidR="0096484B" w:rsidRDefault="0096484B" w:rsidP="0096484B">
      <w:pPr>
        <w:pStyle w:val="ListParagraph"/>
      </w:pPr>
    </w:p>
    <w:p w14:paraId="1B4C9FDD" w14:textId="3E1CA0B9" w:rsidR="0096484B" w:rsidRPr="006E5126" w:rsidRDefault="0096484B" w:rsidP="0096484B">
      <w:pPr>
        <w:pStyle w:val="BasicParagraph"/>
        <w:numPr>
          <w:ilvl w:val="1"/>
          <w:numId w:val="25"/>
        </w:numPr>
        <w:suppressAutoHyphens/>
        <w:ind w:left="709" w:hanging="709"/>
        <w:rPr>
          <w:vanish/>
        </w:rPr>
      </w:pPr>
      <w:r w:rsidRPr="006E5126">
        <w:rPr>
          <w:rFonts w:ascii="Verdana" w:hAnsi="Verdana"/>
          <w:b/>
          <w:bCs/>
        </w:rPr>
        <w:t xml:space="preserve">The NIHRC recommends that the Executive Office ensures intersectional multiple discrimination claims in NI are effectively addressed, including </w:t>
      </w:r>
      <w:r>
        <w:rPr>
          <w:rFonts w:ascii="Verdana" w:hAnsi="Verdana"/>
          <w:b/>
          <w:bCs/>
        </w:rPr>
        <w:t xml:space="preserve">by the provision of </w:t>
      </w:r>
      <w:r w:rsidRPr="006E5126">
        <w:rPr>
          <w:rFonts w:ascii="Verdana" w:hAnsi="Verdana"/>
          <w:b/>
          <w:bCs/>
        </w:rPr>
        <w:t>intersectionality within equality legislation</w:t>
      </w:r>
      <w:r>
        <w:rPr>
          <w:rFonts w:ascii="Verdana" w:hAnsi="Verdana"/>
          <w:b/>
          <w:bCs/>
        </w:rPr>
        <w:t>,</w:t>
      </w:r>
      <w:r w:rsidRPr="006E5126">
        <w:rPr>
          <w:rFonts w:ascii="Verdana" w:hAnsi="Verdana"/>
          <w:b/>
          <w:bCs/>
        </w:rPr>
        <w:t xml:space="preserve"> including the Race Relations (NI) Order 1997, or equivalent.</w:t>
      </w:r>
    </w:p>
    <w:p w14:paraId="4CFCCCCE" w14:textId="77777777" w:rsidR="0096484B" w:rsidRDefault="0096484B" w:rsidP="0096484B"/>
    <w:p w14:paraId="344533E2" w14:textId="77777777" w:rsidR="0096484B" w:rsidRDefault="0096484B" w:rsidP="0096484B"/>
    <w:p w14:paraId="08F51101" w14:textId="2C75004C" w:rsidR="00475198" w:rsidRDefault="00475198" w:rsidP="00475198">
      <w:pPr>
        <w:pStyle w:val="BasicParagraph"/>
        <w:numPr>
          <w:ilvl w:val="1"/>
          <w:numId w:val="26"/>
        </w:numPr>
        <w:suppressAutoHyphens/>
        <w:rPr>
          <w:rFonts w:ascii="Verdana" w:hAnsi="Verdana"/>
          <w:b/>
          <w:bCs/>
        </w:rPr>
      </w:pPr>
      <w:r w:rsidRPr="00D64B4D">
        <w:rPr>
          <w:rFonts w:ascii="Verdana" w:hAnsi="Verdana"/>
          <w:b/>
          <w:bCs/>
        </w:rPr>
        <w:t xml:space="preserve">The NIHRC welcomes the Executive Office’s proposal to ensure reference to the grounds for racial discrimination is consistent throughout the Race Relations (NI) Order </w:t>
      </w:r>
      <w:r>
        <w:rPr>
          <w:rFonts w:ascii="Verdana" w:hAnsi="Verdana"/>
          <w:b/>
          <w:bCs/>
        </w:rPr>
        <w:t xml:space="preserve">1997, </w:t>
      </w:r>
      <w:r w:rsidRPr="00D64B4D">
        <w:rPr>
          <w:rFonts w:ascii="Verdana" w:hAnsi="Verdana"/>
          <w:b/>
          <w:bCs/>
        </w:rPr>
        <w:t>or equivalent.</w:t>
      </w:r>
    </w:p>
    <w:p w14:paraId="5B71B3FD" w14:textId="77777777" w:rsidR="00475198" w:rsidRDefault="00475198" w:rsidP="00475198">
      <w:pPr>
        <w:pStyle w:val="BasicParagraph"/>
        <w:suppressAutoHyphens/>
        <w:rPr>
          <w:rFonts w:ascii="Verdana" w:hAnsi="Verdana"/>
          <w:b/>
          <w:bCs/>
        </w:rPr>
      </w:pPr>
    </w:p>
    <w:p w14:paraId="7BDA185C" w14:textId="198C2ECE" w:rsidR="00475198" w:rsidRPr="00B6056E" w:rsidRDefault="00475198" w:rsidP="00475198">
      <w:pPr>
        <w:pStyle w:val="BasicParagraph"/>
        <w:numPr>
          <w:ilvl w:val="1"/>
          <w:numId w:val="27"/>
        </w:numPr>
        <w:suppressAutoHyphens/>
        <w:rPr>
          <w:rFonts w:ascii="Verdana" w:hAnsi="Verdana"/>
          <w:b/>
          <w:bCs/>
        </w:rPr>
      </w:pPr>
      <w:r w:rsidRPr="00B6056E">
        <w:rPr>
          <w:rFonts w:ascii="Verdana" w:hAnsi="Verdana"/>
          <w:b/>
          <w:bCs/>
        </w:rPr>
        <w:t>The NIHRC welcomes the Executive Office’s proposal to expressly include human rights principles, such as ‘proportionality’ and ‘legitimate aim’, where relevant within the Race Relations (NI) Order</w:t>
      </w:r>
      <w:r>
        <w:rPr>
          <w:rFonts w:ascii="Verdana" w:hAnsi="Verdana"/>
          <w:b/>
          <w:bCs/>
        </w:rPr>
        <w:t xml:space="preserve"> 1997,</w:t>
      </w:r>
      <w:r w:rsidRPr="00B6056E">
        <w:rPr>
          <w:rFonts w:ascii="Verdana" w:hAnsi="Verdana"/>
          <w:b/>
          <w:bCs/>
        </w:rPr>
        <w:t xml:space="preserve"> or equivalent. </w:t>
      </w:r>
    </w:p>
    <w:p w14:paraId="78E5763B" w14:textId="77777777" w:rsidR="00475198" w:rsidRDefault="00475198" w:rsidP="00475198">
      <w:pPr>
        <w:pStyle w:val="ListParagraph"/>
      </w:pPr>
    </w:p>
    <w:p w14:paraId="15F5BC88" w14:textId="08B3B7B7" w:rsidR="00475198" w:rsidRPr="00B6056E" w:rsidRDefault="00475198" w:rsidP="009240CF">
      <w:pPr>
        <w:pStyle w:val="BasicParagraph"/>
        <w:suppressAutoHyphens/>
        <w:ind w:left="720" w:hanging="720"/>
        <w:rPr>
          <w:rFonts w:ascii="Verdana" w:hAnsi="Verdana"/>
          <w:b/>
          <w:bCs/>
        </w:rPr>
      </w:pPr>
      <w:r>
        <w:rPr>
          <w:rFonts w:ascii="Verdana" w:hAnsi="Verdana"/>
          <w:b/>
          <w:bCs/>
        </w:rPr>
        <w:t xml:space="preserve">4.15 </w:t>
      </w:r>
      <w:r w:rsidRPr="00B6056E">
        <w:rPr>
          <w:rFonts w:ascii="Verdana" w:hAnsi="Verdana"/>
          <w:b/>
          <w:bCs/>
        </w:rPr>
        <w:t xml:space="preserve">The NIHRC recommends that the Executive Office </w:t>
      </w:r>
      <w:r>
        <w:rPr>
          <w:rFonts w:ascii="Verdana" w:hAnsi="Verdana"/>
          <w:b/>
          <w:bCs/>
        </w:rPr>
        <w:t>ensures that</w:t>
      </w:r>
      <w:r w:rsidRPr="00B6056E">
        <w:rPr>
          <w:rFonts w:ascii="Verdana" w:hAnsi="Verdana"/>
          <w:b/>
          <w:bCs/>
        </w:rPr>
        <w:t xml:space="preserve"> guidance </w:t>
      </w:r>
      <w:r>
        <w:rPr>
          <w:rFonts w:ascii="Verdana" w:hAnsi="Verdana"/>
          <w:b/>
          <w:bCs/>
        </w:rPr>
        <w:t xml:space="preserve">is </w:t>
      </w:r>
      <w:r w:rsidRPr="00B6056E">
        <w:rPr>
          <w:rFonts w:ascii="Verdana" w:hAnsi="Verdana"/>
          <w:b/>
          <w:bCs/>
        </w:rPr>
        <w:t xml:space="preserve">within </w:t>
      </w:r>
      <w:r>
        <w:rPr>
          <w:rFonts w:ascii="Verdana" w:hAnsi="Verdana"/>
          <w:b/>
          <w:bCs/>
        </w:rPr>
        <w:t xml:space="preserve">or supplementary to </w:t>
      </w:r>
      <w:r w:rsidRPr="00B6056E">
        <w:rPr>
          <w:rFonts w:ascii="Verdana" w:hAnsi="Verdana"/>
          <w:b/>
          <w:bCs/>
        </w:rPr>
        <w:t xml:space="preserve">the revised </w:t>
      </w:r>
      <w:r>
        <w:rPr>
          <w:rFonts w:ascii="Verdana" w:hAnsi="Verdana"/>
          <w:b/>
          <w:bCs/>
        </w:rPr>
        <w:t>Race Relations (NI) Order 1997, or equivalent,</w:t>
      </w:r>
      <w:r w:rsidRPr="00B6056E">
        <w:rPr>
          <w:rFonts w:ascii="Verdana" w:hAnsi="Verdana"/>
          <w:b/>
          <w:bCs/>
        </w:rPr>
        <w:t xml:space="preserve"> as to what a legitimate aim is within different contexts.</w:t>
      </w:r>
    </w:p>
    <w:p w14:paraId="51210C1A" w14:textId="77777777" w:rsidR="00475198" w:rsidRPr="00D64B4D" w:rsidRDefault="00475198" w:rsidP="00475198">
      <w:pPr>
        <w:pStyle w:val="BasicParagraph"/>
        <w:suppressAutoHyphens/>
        <w:rPr>
          <w:rFonts w:ascii="Verdana" w:hAnsi="Verdana"/>
          <w:b/>
          <w:bCs/>
        </w:rPr>
      </w:pPr>
    </w:p>
    <w:p w14:paraId="495BCC1F" w14:textId="6BDB9159" w:rsidR="00AD3AAA" w:rsidRDefault="00AD3AAA" w:rsidP="00AD3AAA">
      <w:pPr>
        <w:pStyle w:val="BasicParagraph"/>
        <w:numPr>
          <w:ilvl w:val="1"/>
          <w:numId w:val="28"/>
        </w:numPr>
        <w:suppressAutoHyphens/>
        <w:rPr>
          <w:rFonts w:ascii="Verdana" w:hAnsi="Verdana"/>
          <w:b/>
          <w:bCs/>
        </w:rPr>
      </w:pPr>
      <w:r w:rsidRPr="00BA1EBB">
        <w:rPr>
          <w:rFonts w:ascii="Verdana" w:hAnsi="Verdana"/>
          <w:b/>
          <w:bCs/>
        </w:rPr>
        <w:t xml:space="preserve">The NIHRC welcomes the Executive Office’s proposals to extend </w:t>
      </w:r>
      <w:r w:rsidR="00DE2980">
        <w:rPr>
          <w:rFonts w:ascii="Verdana" w:hAnsi="Verdana"/>
          <w:b/>
          <w:bCs/>
          <w:noProof/>
          <w:color w:val="auto"/>
        </w:rPr>
        <w:lastRenderedPageBreak/>
        <mc:AlternateContent>
          <mc:Choice Requires="wps">
            <w:drawing>
              <wp:anchor distT="0" distB="0" distL="114300" distR="114300" simplePos="0" relativeHeight="251663360" behindDoc="0" locked="0" layoutInCell="1" allowOverlap="1" wp14:anchorId="6163E2A4" wp14:editId="5A81D540">
                <wp:simplePos x="0" y="0"/>
                <wp:positionH relativeFrom="column">
                  <wp:posOffset>-253047</wp:posOffset>
                </wp:positionH>
                <wp:positionV relativeFrom="paragraph">
                  <wp:posOffset>-138747</wp:posOffset>
                </wp:positionV>
                <wp:extent cx="6743700" cy="9634537"/>
                <wp:effectExtent l="57150" t="19050" r="76200" b="100330"/>
                <wp:wrapNone/>
                <wp:docPr id="4" name="Rectangle 4"/>
                <wp:cNvGraphicFramePr/>
                <a:graphic xmlns:a="http://schemas.openxmlformats.org/drawingml/2006/main">
                  <a:graphicData uri="http://schemas.microsoft.com/office/word/2010/wordprocessingShape">
                    <wps:wsp>
                      <wps:cNvSpPr/>
                      <wps:spPr>
                        <a:xfrm>
                          <a:off x="0" y="0"/>
                          <a:ext cx="6743700" cy="963453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5E25BE9" id="Rectangle 4" o:spid="_x0000_s1026" style="position:absolute;margin-left:-19.9pt;margin-top:-10.9pt;width:531pt;height:75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" filled="f" strokecolor="black [3213]">
                <v:shadow on="t" color="black" opacity="22937f" origin=",.5" offset="0,.63889mm"/>
              </v:rect>
            </w:pict>
          </mc:Fallback>
        </mc:AlternateContent>
      </w:r>
      <w:r w:rsidRPr="00BA1EBB">
        <w:rPr>
          <w:rFonts w:ascii="Verdana" w:hAnsi="Verdana"/>
          <w:b/>
          <w:bCs/>
        </w:rPr>
        <w:t>the definition of discrimination by way of victimisation. The NIHRC advises that the ECHR’s definition of a victim may offer some guidance in this regard.</w:t>
      </w:r>
    </w:p>
    <w:p w14:paraId="61B2A8BC" w14:textId="77777777" w:rsidR="00AD3AAA" w:rsidRDefault="00AD3AAA" w:rsidP="00AD3AAA">
      <w:pPr>
        <w:pStyle w:val="ListParagraph"/>
        <w:rPr>
          <w:b/>
          <w:bCs/>
        </w:rPr>
      </w:pPr>
    </w:p>
    <w:p w14:paraId="1E002E95" w14:textId="35A68B60" w:rsidR="00AD3AAA" w:rsidRDefault="00AD3AAA" w:rsidP="00AD3AAA">
      <w:pPr>
        <w:pStyle w:val="BasicParagraph"/>
        <w:suppressAutoHyphens/>
        <w:ind w:left="709" w:hanging="709"/>
        <w:rPr>
          <w:rFonts w:ascii="Verdana" w:hAnsi="Verdana"/>
          <w:b/>
          <w:bCs/>
        </w:rPr>
      </w:pPr>
      <w:r>
        <w:rPr>
          <w:rFonts w:ascii="Verdana" w:hAnsi="Verdana"/>
          <w:b/>
          <w:bCs/>
        </w:rPr>
        <w:t>4.21 The NIHRC advises the Executive Office to consider a broad definition of victimisation to ensure access to effective remedy in line with the EU Race Equality Directive and Article 47 of the EU Charter.</w:t>
      </w:r>
    </w:p>
    <w:p w14:paraId="0807CE64" w14:textId="77777777" w:rsidR="00AD3AAA" w:rsidRDefault="00AD3AAA" w:rsidP="00AD3AAA">
      <w:pPr>
        <w:pStyle w:val="ListParagraph"/>
        <w:rPr>
          <w:b/>
          <w:bCs/>
        </w:rPr>
      </w:pPr>
    </w:p>
    <w:p w14:paraId="2E859803" w14:textId="04855270" w:rsidR="00AD3AAA" w:rsidRPr="00BA1EBB" w:rsidRDefault="00AD3AAA" w:rsidP="00AD3AAA">
      <w:pPr>
        <w:pStyle w:val="BasicParagraph"/>
        <w:suppressAutoHyphens/>
        <w:ind w:left="709" w:hanging="709"/>
        <w:rPr>
          <w:rFonts w:ascii="Verdana" w:hAnsi="Verdana"/>
          <w:b/>
          <w:bCs/>
        </w:rPr>
      </w:pPr>
      <w:r>
        <w:rPr>
          <w:rFonts w:ascii="Verdana" w:hAnsi="Verdana"/>
          <w:b/>
          <w:bCs/>
        </w:rPr>
        <w:t>4.22 The NIHRC welcomes the Executive Office’s proposals to amend</w:t>
      </w:r>
      <w:r w:rsidRPr="00476CE4">
        <w:rPr>
          <w:rFonts w:ascii="Verdana" w:hAnsi="Verdana"/>
          <w:b/>
          <w:bCs/>
        </w:rPr>
        <w:t xml:space="preserve"> Article 54(5) of the Race Relations (NI) Order 1997</w:t>
      </w:r>
      <w:r>
        <w:rPr>
          <w:rFonts w:ascii="Verdana" w:hAnsi="Verdana"/>
          <w:b/>
          <w:bCs/>
        </w:rPr>
        <w:t xml:space="preserve">, or equivalent, and remove </w:t>
      </w:r>
      <w:r w:rsidRPr="00476CE4">
        <w:rPr>
          <w:rFonts w:ascii="Verdana" w:hAnsi="Verdana"/>
          <w:b/>
          <w:bCs/>
        </w:rPr>
        <w:t>the two-month notice period to the Department of Education before a claim of discrimination can be made.</w:t>
      </w:r>
    </w:p>
    <w:p w14:paraId="6FC8E48E" w14:textId="77777777" w:rsidR="00475198" w:rsidRPr="00DA22AB" w:rsidRDefault="00475198" w:rsidP="0096484B"/>
    <w:p w14:paraId="59E80EDE" w14:textId="58FEB6CF" w:rsidR="00AD3AAA" w:rsidRPr="006D0D81" w:rsidRDefault="00AD3AAA" w:rsidP="00AD3AAA">
      <w:pPr>
        <w:pStyle w:val="BasicParagraph"/>
        <w:numPr>
          <w:ilvl w:val="1"/>
          <w:numId w:val="29"/>
        </w:numPr>
        <w:suppressAutoHyphens/>
        <w:rPr>
          <w:rFonts w:ascii="Verdana" w:hAnsi="Verdana"/>
          <w:b/>
          <w:bCs/>
        </w:rPr>
      </w:pPr>
      <w:r w:rsidRPr="006D0D81">
        <w:rPr>
          <w:rFonts w:ascii="Verdana" w:hAnsi="Verdana"/>
          <w:b/>
          <w:bCs/>
        </w:rPr>
        <w:t xml:space="preserve">The NIHRC welcomes </w:t>
      </w:r>
      <w:r>
        <w:rPr>
          <w:rFonts w:ascii="Verdana" w:hAnsi="Verdana"/>
          <w:b/>
          <w:bCs/>
        </w:rPr>
        <w:t xml:space="preserve">the Executive Office’s proposal </w:t>
      </w:r>
      <w:r w:rsidRPr="006D0D81">
        <w:rPr>
          <w:rFonts w:ascii="Verdana" w:hAnsi="Verdana"/>
          <w:b/>
          <w:bCs/>
        </w:rPr>
        <w:t>to extend Article 18 of the Race Relations (NI) Order 1997</w:t>
      </w:r>
      <w:r>
        <w:rPr>
          <w:rFonts w:ascii="Verdana" w:hAnsi="Verdana"/>
          <w:b/>
          <w:bCs/>
        </w:rPr>
        <w:t>, or equivalent,</w:t>
      </w:r>
      <w:r w:rsidRPr="006D0D81">
        <w:rPr>
          <w:rFonts w:ascii="Verdana" w:hAnsi="Verdana"/>
          <w:b/>
          <w:bCs/>
        </w:rPr>
        <w:t xml:space="preserve"> to include reference to the ‘responsibility body’</w:t>
      </w:r>
      <w:r>
        <w:rPr>
          <w:rFonts w:ascii="Verdana" w:hAnsi="Verdana"/>
          <w:b/>
          <w:bCs/>
        </w:rPr>
        <w:t xml:space="preserve"> on the basis that </w:t>
      </w:r>
      <w:r w:rsidRPr="006D0D81">
        <w:rPr>
          <w:rFonts w:ascii="Verdana" w:hAnsi="Verdana"/>
          <w:b/>
          <w:bCs/>
        </w:rPr>
        <w:t>a duty holder must adhere to their delegated responsibilities and are held accountable for any violations.</w:t>
      </w:r>
    </w:p>
    <w:p w14:paraId="5D12E603" w14:textId="77777777" w:rsidR="007E5E30" w:rsidRPr="00E07F34" w:rsidRDefault="007E5E30" w:rsidP="007E5E30">
      <w:pPr>
        <w:pStyle w:val="BasicParagraph"/>
        <w:suppressAutoHyphens/>
        <w:rPr>
          <w:rFonts w:ascii="Verdana" w:hAnsi="Verdana"/>
          <w:b/>
          <w:bCs/>
        </w:rPr>
      </w:pPr>
    </w:p>
    <w:p w14:paraId="5D4E145E" w14:textId="622F9B0F" w:rsidR="009C1907" w:rsidRPr="004A360A" w:rsidRDefault="009C1907" w:rsidP="009C1907">
      <w:pPr>
        <w:pStyle w:val="BasicParagraph"/>
        <w:numPr>
          <w:ilvl w:val="1"/>
          <w:numId w:val="30"/>
        </w:numPr>
        <w:suppressAutoHyphens/>
        <w:rPr>
          <w:rFonts w:ascii="Verdana" w:hAnsi="Verdana"/>
          <w:b/>
          <w:bCs/>
        </w:rPr>
      </w:pPr>
      <w:r w:rsidRPr="173C63C1">
        <w:rPr>
          <w:rFonts w:ascii="Verdana" w:hAnsi="Verdana"/>
          <w:b/>
          <w:bCs/>
        </w:rPr>
        <w:t xml:space="preserve">The NIHRC </w:t>
      </w:r>
      <w:r>
        <w:rPr>
          <w:rFonts w:ascii="Verdana" w:hAnsi="Verdana"/>
          <w:b/>
          <w:bCs/>
        </w:rPr>
        <w:t>suggests</w:t>
      </w:r>
      <w:r w:rsidRPr="173C63C1">
        <w:rPr>
          <w:rFonts w:ascii="Verdana" w:hAnsi="Verdana"/>
          <w:b/>
          <w:bCs/>
        </w:rPr>
        <w:t xml:space="preserve"> that the Executive Office</w:t>
      </w:r>
      <w:r>
        <w:rPr>
          <w:rFonts w:ascii="Verdana" w:hAnsi="Verdana"/>
          <w:b/>
          <w:bCs/>
        </w:rPr>
        <w:t xml:space="preserve"> reconsiders this proposal. At least, the Executive Office must</w:t>
      </w:r>
      <w:r w:rsidRPr="173C63C1">
        <w:rPr>
          <w:rFonts w:ascii="Verdana" w:hAnsi="Verdana"/>
          <w:b/>
          <w:bCs/>
        </w:rPr>
        <w:t xml:space="preserve"> </w:t>
      </w:r>
      <w:r>
        <w:rPr>
          <w:rFonts w:ascii="Verdana" w:hAnsi="Verdana"/>
          <w:b/>
          <w:bCs/>
        </w:rPr>
        <w:t>establish the intended</w:t>
      </w:r>
      <w:r w:rsidRPr="173C63C1">
        <w:rPr>
          <w:rFonts w:ascii="Verdana" w:hAnsi="Verdana"/>
          <w:b/>
          <w:bCs/>
        </w:rPr>
        <w:t xml:space="preserve"> circumstances in which acts </w:t>
      </w:r>
      <w:r>
        <w:rPr>
          <w:rFonts w:ascii="Verdana" w:hAnsi="Verdana"/>
          <w:b/>
          <w:bCs/>
        </w:rPr>
        <w:t>are</w:t>
      </w:r>
      <w:r w:rsidRPr="173C63C1">
        <w:rPr>
          <w:rFonts w:ascii="Verdana" w:hAnsi="Verdana"/>
          <w:b/>
          <w:bCs/>
        </w:rPr>
        <w:t xml:space="preserve"> rendered lawful </w:t>
      </w:r>
      <w:r>
        <w:rPr>
          <w:rFonts w:ascii="Verdana" w:hAnsi="Verdana"/>
          <w:b/>
          <w:bCs/>
        </w:rPr>
        <w:t>under</w:t>
      </w:r>
      <w:r w:rsidRPr="173C63C1">
        <w:rPr>
          <w:rFonts w:ascii="Verdana" w:hAnsi="Verdana"/>
          <w:b/>
          <w:bCs/>
        </w:rPr>
        <w:t xml:space="preserve"> Article 41</w:t>
      </w:r>
      <w:r>
        <w:rPr>
          <w:rFonts w:ascii="Verdana" w:hAnsi="Verdana"/>
          <w:b/>
          <w:bCs/>
        </w:rPr>
        <w:t xml:space="preserve"> of the Race Relations (NI) Order 1997, or equivalent</w:t>
      </w:r>
      <w:r w:rsidRPr="173C63C1">
        <w:rPr>
          <w:rFonts w:ascii="Verdana" w:hAnsi="Verdana"/>
          <w:b/>
          <w:bCs/>
        </w:rPr>
        <w:t xml:space="preserve">. </w:t>
      </w:r>
    </w:p>
    <w:p w14:paraId="2839E9CB" w14:textId="77777777" w:rsidR="00C42AD2" w:rsidRDefault="00C42AD2" w:rsidP="00073296"/>
    <w:p w14:paraId="50CADC59" w14:textId="34575E66" w:rsidR="00C42AD2" w:rsidRDefault="00C42AD2" w:rsidP="00C42AD2">
      <w:pPr>
        <w:pStyle w:val="BasicParagraph"/>
        <w:numPr>
          <w:ilvl w:val="1"/>
          <w:numId w:val="31"/>
        </w:numPr>
        <w:suppressAutoHyphens/>
        <w:rPr>
          <w:rFonts w:ascii="Verdana" w:hAnsi="Verdana"/>
          <w:b/>
          <w:bCs/>
        </w:rPr>
      </w:pPr>
      <w:r w:rsidRPr="009350C4">
        <w:rPr>
          <w:rFonts w:ascii="Verdana" w:hAnsi="Verdana"/>
          <w:b/>
          <w:bCs/>
        </w:rPr>
        <w:t>The NIHRC</w:t>
      </w:r>
      <w:r>
        <w:rPr>
          <w:rFonts w:ascii="Verdana" w:hAnsi="Verdana"/>
          <w:b/>
          <w:bCs/>
        </w:rPr>
        <w:t xml:space="preserve">, in principle, </w:t>
      </w:r>
      <w:r w:rsidRPr="009350C4">
        <w:rPr>
          <w:rFonts w:ascii="Verdana" w:hAnsi="Verdana"/>
          <w:b/>
          <w:bCs/>
        </w:rPr>
        <w:t xml:space="preserve">welcomes the proposals to amend Articles 18(1)(a), 18(1)(b) and 18(1)(c) </w:t>
      </w:r>
      <w:r>
        <w:rPr>
          <w:rFonts w:ascii="Verdana" w:hAnsi="Verdana"/>
          <w:b/>
          <w:bCs/>
        </w:rPr>
        <w:t xml:space="preserve">of the Race Relations (NI) Order 1997, or equivalent, </w:t>
      </w:r>
      <w:r w:rsidRPr="009350C4">
        <w:rPr>
          <w:rFonts w:ascii="Verdana" w:hAnsi="Verdana"/>
          <w:b/>
          <w:bCs/>
        </w:rPr>
        <w:t xml:space="preserve">to ensure no educational application process or </w:t>
      </w:r>
      <w:r>
        <w:rPr>
          <w:rFonts w:ascii="Verdana" w:hAnsi="Verdana"/>
          <w:b/>
          <w:bCs/>
        </w:rPr>
        <w:t xml:space="preserve">other </w:t>
      </w:r>
      <w:r w:rsidRPr="009350C4">
        <w:rPr>
          <w:rFonts w:ascii="Verdana" w:hAnsi="Verdana"/>
          <w:b/>
          <w:bCs/>
        </w:rPr>
        <w:t>arrangement discriminate</w:t>
      </w:r>
      <w:r>
        <w:rPr>
          <w:rFonts w:ascii="Verdana" w:hAnsi="Verdana"/>
          <w:b/>
          <w:bCs/>
        </w:rPr>
        <w:t>s</w:t>
      </w:r>
      <w:r w:rsidRPr="009350C4">
        <w:rPr>
          <w:rFonts w:ascii="Verdana" w:hAnsi="Verdana"/>
          <w:b/>
          <w:bCs/>
        </w:rPr>
        <w:t xml:space="preserve"> on grounds related to race.</w:t>
      </w:r>
      <w:r>
        <w:rPr>
          <w:rFonts w:ascii="Verdana" w:hAnsi="Verdana"/>
          <w:b/>
          <w:bCs/>
        </w:rPr>
        <w:t xml:space="preserve"> The NIHRC recommends that the resulting amendments are informed by human rights standards and considered for compatibility with Windsor Framework Article 2.</w:t>
      </w:r>
    </w:p>
    <w:p w14:paraId="6C966447" w14:textId="77777777" w:rsidR="00A106F1" w:rsidRDefault="00A106F1" w:rsidP="00A106F1">
      <w:pPr>
        <w:pStyle w:val="BasicParagraph"/>
        <w:suppressAutoHyphens/>
        <w:rPr>
          <w:rFonts w:ascii="Verdana" w:hAnsi="Verdana"/>
          <w:b/>
          <w:bCs/>
        </w:rPr>
      </w:pPr>
    </w:p>
    <w:p w14:paraId="050A93F9" w14:textId="0069F50F" w:rsidR="00A106F1" w:rsidRDefault="00A106F1" w:rsidP="00A106F1">
      <w:pPr>
        <w:pStyle w:val="BasicParagraph"/>
        <w:numPr>
          <w:ilvl w:val="1"/>
          <w:numId w:val="32"/>
        </w:numPr>
        <w:suppressAutoHyphens/>
        <w:rPr>
          <w:rFonts w:ascii="Verdana" w:hAnsi="Verdana"/>
          <w:b/>
          <w:bCs/>
        </w:rPr>
      </w:pPr>
      <w:r w:rsidRPr="009A72BD">
        <w:rPr>
          <w:rFonts w:ascii="Verdana" w:hAnsi="Verdana"/>
          <w:b/>
          <w:bCs/>
        </w:rPr>
        <w:t>The NIHRC welcomes the Executive Office’s proposals to enhance employment protections and ensure non-discrimination and equality for all workers</w:t>
      </w:r>
      <w:r>
        <w:rPr>
          <w:rFonts w:ascii="Verdana" w:hAnsi="Verdana"/>
          <w:b/>
          <w:bCs/>
        </w:rPr>
        <w:t xml:space="preserve"> within the Race Relations (NI) Order 1997, or equivalent.</w:t>
      </w:r>
    </w:p>
    <w:p w14:paraId="01DB5AE7" w14:textId="77777777" w:rsidR="00A106F1" w:rsidRDefault="00A106F1" w:rsidP="00A106F1">
      <w:pPr>
        <w:pStyle w:val="ListParagraph"/>
        <w:rPr>
          <w:b/>
          <w:bCs/>
        </w:rPr>
      </w:pPr>
    </w:p>
    <w:p w14:paraId="573B002C" w14:textId="7D2274A3" w:rsidR="00A106F1" w:rsidRDefault="00A106F1" w:rsidP="00B671B2">
      <w:pPr>
        <w:pStyle w:val="BasicParagraph"/>
        <w:suppressAutoHyphens/>
        <w:ind w:left="720" w:hanging="720"/>
        <w:rPr>
          <w:rFonts w:ascii="Verdana" w:hAnsi="Verdana"/>
          <w:b/>
          <w:bCs/>
        </w:rPr>
      </w:pPr>
      <w:r>
        <w:rPr>
          <w:rFonts w:ascii="Verdana" w:hAnsi="Verdana"/>
          <w:b/>
          <w:bCs/>
        </w:rPr>
        <w:t xml:space="preserve">6.6 </w:t>
      </w:r>
      <w:r w:rsidR="00B671B2">
        <w:rPr>
          <w:rFonts w:ascii="Verdana" w:hAnsi="Verdana"/>
          <w:b/>
          <w:bCs/>
        </w:rPr>
        <w:tab/>
      </w:r>
      <w:r>
        <w:rPr>
          <w:rFonts w:ascii="Verdana" w:hAnsi="Verdana"/>
          <w:b/>
          <w:bCs/>
        </w:rPr>
        <w:t xml:space="preserve">The NIHRC recommends that the Executive Office includes sufficient flexibility within the Race Relations (NI) Order 1997, or </w:t>
      </w:r>
      <w:r w:rsidR="0072510E">
        <w:rPr>
          <w:rFonts w:ascii="Verdana" w:hAnsi="Verdana"/>
          <w:b/>
          <w:bCs/>
          <w:noProof/>
          <w:color w:val="auto"/>
        </w:rPr>
        <w:lastRenderedPageBreak/>
        <mc:AlternateContent>
          <mc:Choice Requires="wps">
            <w:drawing>
              <wp:anchor distT="0" distB="0" distL="114300" distR="114300" simplePos="0" relativeHeight="251661312" behindDoc="0" locked="0" layoutInCell="1" allowOverlap="1" wp14:anchorId="2DE18C06" wp14:editId="5D0C50E5">
                <wp:simplePos x="0" y="0"/>
                <wp:positionH relativeFrom="column">
                  <wp:posOffset>-248285</wp:posOffset>
                </wp:positionH>
                <wp:positionV relativeFrom="paragraph">
                  <wp:posOffset>-181610</wp:posOffset>
                </wp:positionV>
                <wp:extent cx="6743700" cy="9672638"/>
                <wp:effectExtent l="57150" t="19050" r="76200" b="100330"/>
                <wp:wrapNone/>
                <wp:docPr id="2" name="Rectangle 2"/>
                <wp:cNvGraphicFramePr/>
                <a:graphic xmlns:a="http://schemas.openxmlformats.org/drawingml/2006/main">
                  <a:graphicData uri="http://schemas.microsoft.com/office/word/2010/wordprocessingShape">
                    <wps:wsp>
                      <wps:cNvSpPr/>
                      <wps:spPr>
                        <a:xfrm>
                          <a:off x="0" y="0"/>
                          <a:ext cx="6743700" cy="967263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45375A1" id="Rectangle 2" o:spid="_x0000_s1026" style="position:absolute;margin-left:-19.55pt;margin-top:-14.3pt;width:531pt;height:76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" filled="f" strokecolor="black [3213]">
                <v:shadow on="t" color="black" opacity="22937f" origin=",.5" offset="0,.63889mm"/>
              </v:rect>
            </w:pict>
          </mc:Fallback>
        </mc:AlternateContent>
      </w:r>
      <w:r>
        <w:rPr>
          <w:rFonts w:ascii="Verdana" w:hAnsi="Verdana"/>
          <w:b/>
          <w:bCs/>
        </w:rPr>
        <w:t>equivalent, to ensure the full range of protections in place extend to new means of employment as they develop.</w:t>
      </w:r>
    </w:p>
    <w:p w14:paraId="66820E82" w14:textId="77777777" w:rsidR="00B671B2" w:rsidRDefault="00B671B2" w:rsidP="00B671B2">
      <w:pPr>
        <w:pStyle w:val="BasicParagraph"/>
        <w:suppressAutoHyphens/>
        <w:ind w:left="720" w:hanging="720"/>
        <w:rPr>
          <w:rFonts w:ascii="Verdana" w:hAnsi="Verdana"/>
          <w:b/>
          <w:bCs/>
        </w:rPr>
      </w:pPr>
    </w:p>
    <w:p w14:paraId="033A1C44" w14:textId="06DD274A" w:rsidR="00B671B2" w:rsidRDefault="00B671B2" w:rsidP="00D13BB1">
      <w:pPr>
        <w:pStyle w:val="BasicParagraph"/>
        <w:numPr>
          <w:ilvl w:val="1"/>
          <w:numId w:val="33"/>
        </w:numPr>
        <w:suppressAutoHyphens/>
        <w:rPr>
          <w:rFonts w:ascii="Verdana" w:hAnsi="Verdana"/>
          <w:b/>
          <w:bCs/>
        </w:rPr>
      </w:pPr>
      <w:r w:rsidRPr="00B671B2">
        <w:rPr>
          <w:rFonts w:ascii="Verdana" w:hAnsi="Verdana"/>
          <w:b/>
          <w:bCs/>
        </w:rPr>
        <w:t>The NIHRC recommends that the Executive Office ensures that, before any amendment is introduced, such as the proposals regarding Article 32 of the Race Relations (NI) Order 1997, further consideration is given to the policy and legal intent of the amendment with a particular focus on safeguards against exploitation for employees</w:t>
      </w:r>
      <w:r>
        <w:rPr>
          <w:rFonts w:ascii="Verdana" w:hAnsi="Verdana"/>
          <w:b/>
          <w:bCs/>
        </w:rPr>
        <w:t>.</w:t>
      </w:r>
    </w:p>
    <w:p w14:paraId="3F4BC386" w14:textId="77777777" w:rsidR="00B671B2" w:rsidRDefault="00B671B2" w:rsidP="00B671B2">
      <w:pPr>
        <w:pStyle w:val="BasicParagraph"/>
        <w:suppressAutoHyphens/>
        <w:rPr>
          <w:rFonts w:ascii="Verdana" w:hAnsi="Verdana"/>
          <w:b/>
          <w:bCs/>
        </w:rPr>
      </w:pPr>
    </w:p>
    <w:p w14:paraId="1B6C7AEB" w14:textId="786BA004" w:rsidR="00B671B2" w:rsidRPr="007B7EB5" w:rsidRDefault="00B671B2" w:rsidP="00B671B2">
      <w:pPr>
        <w:pStyle w:val="BasicParagraph"/>
        <w:numPr>
          <w:ilvl w:val="1"/>
          <w:numId w:val="34"/>
        </w:numPr>
        <w:suppressAutoHyphens/>
        <w:rPr>
          <w:rFonts w:ascii="Verdana" w:hAnsi="Verdana"/>
          <w:b/>
          <w:bCs/>
        </w:rPr>
      </w:pPr>
      <w:r w:rsidRPr="007B7EB5">
        <w:rPr>
          <w:rFonts w:ascii="Verdana" w:hAnsi="Verdana"/>
          <w:b/>
          <w:bCs/>
        </w:rPr>
        <w:t>The NIHRC recommends that the Executive Office amends Article 40 of the Race Relations (NI) Order</w:t>
      </w:r>
      <w:r>
        <w:rPr>
          <w:rFonts w:ascii="Verdana" w:hAnsi="Verdana"/>
          <w:b/>
          <w:bCs/>
        </w:rPr>
        <w:t xml:space="preserve"> 1997, or equivalent,</w:t>
      </w:r>
      <w:r w:rsidRPr="007B7EB5">
        <w:rPr>
          <w:rFonts w:ascii="Verdana" w:hAnsi="Verdana"/>
          <w:b/>
          <w:bCs/>
        </w:rPr>
        <w:t xml:space="preserve"> to remove restrictions based on nationality or immigration status on persons being employed in the service of the Crown or certain public bodies</w:t>
      </w:r>
      <w:r>
        <w:rPr>
          <w:rFonts w:ascii="Verdana" w:hAnsi="Verdana"/>
          <w:b/>
          <w:bCs/>
        </w:rPr>
        <w:t>.</w:t>
      </w:r>
    </w:p>
    <w:p w14:paraId="75716CEB" w14:textId="77777777" w:rsidR="00B671B2" w:rsidRPr="00B671B2" w:rsidRDefault="00B671B2" w:rsidP="00B671B2">
      <w:pPr>
        <w:pStyle w:val="BasicParagraph"/>
        <w:suppressAutoHyphens/>
        <w:rPr>
          <w:rFonts w:ascii="Verdana" w:hAnsi="Verdana"/>
          <w:b/>
          <w:bCs/>
        </w:rPr>
      </w:pPr>
    </w:p>
    <w:p w14:paraId="5059313F" w14:textId="12996C71" w:rsidR="00B671B2" w:rsidRDefault="00B671B2" w:rsidP="00DA4028">
      <w:pPr>
        <w:pStyle w:val="BasicParagraph"/>
        <w:numPr>
          <w:ilvl w:val="1"/>
          <w:numId w:val="35"/>
        </w:numPr>
        <w:suppressAutoHyphens/>
        <w:rPr>
          <w:rFonts w:ascii="Verdana" w:hAnsi="Verdana"/>
          <w:b/>
          <w:bCs/>
        </w:rPr>
      </w:pPr>
      <w:r w:rsidRPr="00825D9F">
        <w:rPr>
          <w:rFonts w:ascii="Verdana" w:hAnsi="Verdana"/>
          <w:b/>
          <w:bCs/>
        </w:rPr>
        <w:t>The NIHRC welcomes the Executive Office’s proposed amendment to Article 20(A)(1) of the Race Relations (NI) Order 1997</w:t>
      </w:r>
      <w:r>
        <w:rPr>
          <w:rFonts w:ascii="Verdana" w:hAnsi="Verdana"/>
          <w:b/>
          <w:bCs/>
        </w:rPr>
        <w:t>, or equivalent</w:t>
      </w:r>
      <w:r w:rsidRPr="00825D9F">
        <w:rPr>
          <w:rFonts w:ascii="Verdana" w:hAnsi="Verdana"/>
          <w:b/>
          <w:bCs/>
        </w:rPr>
        <w:t>. The NIHRC recommends that the Executive Office works with the Department for Communities and Department of Health to ensure that the resulting legislation ensures equal access to healthcare, social security, social protection and social advantage without discrimination in law and practice.</w:t>
      </w:r>
    </w:p>
    <w:p w14:paraId="4EDCE2B7" w14:textId="77777777" w:rsidR="00DA4028" w:rsidRDefault="00DA4028" w:rsidP="00DA4028">
      <w:pPr>
        <w:pStyle w:val="BasicParagraph"/>
        <w:suppressAutoHyphens/>
        <w:rPr>
          <w:rFonts w:ascii="Verdana" w:hAnsi="Verdana"/>
          <w:b/>
          <w:bCs/>
        </w:rPr>
      </w:pPr>
    </w:p>
    <w:p w14:paraId="5054AEE6" w14:textId="57274875" w:rsidR="00DA4028" w:rsidRPr="008C6EE8" w:rsidRDefault="00DA4028" w:rsidP="00DA4028">
      <w:pPr>
        <w:pStyle w:val="BasicParagraph"/>
        <w:numPr>
          <w:ilvl w:val="1"/>
          <w:numId w:val="36"/>
        </w:numPr>
        <w:suppressAutoHyphens/>
        <w:rPr>
          <w:rFonts w:ascii="Verdana" w:hAnsi="Verdana"/>
          <w:b/>
          <w:bCs/>
        </w:rPr>
      </w:pPr>
      <w:r w:rsidRPr="008C6EE8">
        <w:rPr>
          <w:rFonts w:ascii="Verdana" w:hAnsi="Verdana"/>
          <w:b/>
          <w:bCs/>
        </w:rPr>
        <w:t xml:space="preserve">The NIHRC recommends that the Executive Office ensures that the language used in the revised Race Relations (NI) Order </w:t>
      </w:r>
      <w:r>
        <w:rPr>
          <w:rFonts w:ascii="Verdana" w:hAnsi="Verdana"/>
          <w:b/>
          <w:bCs/>
        </w:rPr>
        <w:t xml:space="preserve">1997, </w:t>
      </w:r>
      <w:r w:rsidRPr="008C6EE8">
        <w:rPr>
          <w:rFonts w:ascii="Verdana" w:hAnsi="Verdana"/>
          <w:b/>
          <w:bCs/>
        </w:rPr>
        <w:t>or equivalent</w:t>
      </w:r>
      <w:r>
        <w:rPr>
          <w:rFonts w:ascii="Verdana" w:hAnsi="Verdana"/>
          <w:b/>
          <w:bCs/>
        </w:rPr>
        <w:t>,</w:t>
      </w:r>
      <w:r w:rsidRPr="008C6EE8">
        <w:rPr>
          <w:rFonts w:ascii="Verdana" w:hAnsi="Verdana"/>
          <w:b/>
          <w:bCs/>
        </w:rPr>
        <w:t xml:space="preserve"> </w:t>
      </w:r>
      <w:r>
        <w:rPr>
          <w:rFonts w:ascii="Verdana" w:hAnsi="Verdana"/>
          <w:b/>
          <w:bCs/>
        </w:rPr>
        <w:t>does not stereotype or</w:t>
      </w:r>
      <w:r w:rsidRPr="008C6EE8">
        <w:rPr>
          <w:rFonts w:ascii="Verdana" w:hAnsi="Verdana"/>
          <w:b/>
          <w:bCs/>
        </w:rPr>
        <w:t xml:space="preserve"> stigmatis</w:t>
      </w:r>
      <w:r>
        <w:rPr>
          <w:rFonts w:ascii="Verdana" w:hAnsi="Verdana"/>
          <w:b/>
          <w:bCs/>
        </w:rPr>
        <w:t>e people, but promotes tolerance and understanding</w:t>
      </w:r>
      <w:r w:rsidRPr="008C6EE8">
        <w:rPr>
          <w:rFonts w:ascii="Verdana" w:hAnsi="Verdana"/>
          <w:b/>
          <w:bCs/>
        </w:rPr>
        <w:t>.</w:t>
      </w:r>
    </w:p>
    <w:p w14:paraId="13095190" w14:textId="77777777" w:rsidR="00DA4028" w:rsidRPr="00825D9F" w:rsidRDefault="00DA4028" w:rsidP="00DA4028">
      <w:pPr>
        <w:pStyle w:val="BasicParagraph"/>
        <w:suppressAutoHyphens/>
        <w:rPr>
          <w:rFonts w:ascii="Verdana" w:hAnsi="Verdana"/>
          <w:b/>
          <w:bCs/>
        </w:rPr>
      </w:pPr>
    </w:p>
    <w:p w14:paraId="74FF6BAE" w14:textId="10681CDF" w:rsidR="00FD1FB3" w:rsidRDefault="00FD1FB3" w:rsidP="00FD1FB3">
      <w:pPr>
        <w:pStyle w:val="BasicParagraph"/>
        <w:numPr>
          <w:ilvl w:val="1"/>
          <w:numId w:val="37"/>
        </w:numPr>
        <w:suppressAutoHyphens/>
        <w:rPr>
          <w:rFonts w:ascii="Verdana" w:hAnsi="Verdana"/>
          <w:b/>
          <w:bCs/>
        </w:rPr>
      </w:pPr>
      <w:r w:rsidRPr="008A22F6">
        <w:rPr>
          <w:rFonts w:ascii="Verdana" w:hAnsi="Verdana"/>
          <w:b/>
          <w:bCs/>
        </w:rPr>
        <w:t>The NIHRC recommends that the Executive Office ensures the necessary amendments are made to the Race Relations (NI) Order</w:t>
      </w:r>
      <w:r>
        <w:rPr>
          <w:rFonts w:ascii="Verdana" w:hAnsi="Verdana"/>
          <w:b/>
          <w:bCs/>
        </w:rPr>
        <w:t xml:space="preserve"> 1997,</w:t>
      </w:r>
      <w:r w:rsidRPr="008A22F6">
        <w:rPr>
          <w:rFonts w:ascii="Verdana" w:hAnsi="Verdana"/>
          <w:b/>
          <w:bCs/>
        </w:rPr>
        <w:t xml:space="preserve"> or equivalent</w:t>
      </w:r>
      <w:r>
        <w:rPr>
          <w:rFonts w:ascii="Verdana" w:hAnsi="Verdana"/>
          <w:b/>
          <w:bCs/>
        </w:rPr>
        <w:t>,</w:t>
      </w:r>
      <w:r w:rsidRPr="008A22F6">
        <w:rPr>
          <w:rFonts w:ascii="Verdana" w:hAnsi="Verdana"/>
          <w:b/>
          <w:bCs/>
        </w:rPr>
        <w:t xml:space="preserve"> to ensure that the Equality Commission for NI can fulfil its mandate in full and has the necessary resources to do so effectively on a long-term basis.</w:t>
      </w:r>
    </w:p>
    <w:p w14:paraId="05D2DB44" w14:textId="77777777" w:rsidR="00FD1FB3" w:rsidRDefault="00FD1FB3" w:rsidP="00FD1FB3">
      <w:pPr>
        <w:pStyle w:val="ListParagraph"/>
        <w:rPr>
          <w:b/>
          <w:bCs/>
        </w:rPr>
      </w:pPr>
    </w:p>
    <w:p w14:paraId="0532664C" w14:textId="6F50D8AE" w:rsidR="00FD1FB3" w:rsidRDefault="00491B8C" w:rsidP="00FD1FB3">
      <w:pPr>
        <w:pStyle w:val="11NumPara"/>
        <w:numPr>
          <w:ilvl w:val="0"/>
          <w:numId w:val="0"/>
        </w:numPr>
        <w:spacing w:line="288" w:lineRule="auto"/>
        <w:ind w:left="709" w:hanging="709"/>
        <w:rPr>
          <w:rFonts w:ascii="Verdana" w:hAnsi="Verdana"/>
          <w:b/>
          <w:bCs/>
          <w:sz w:val="24"/>
          <w:szCs w:val="24"/>
        </w:rPr>
      </w:pPr>
      <w:r>
        <w:rPr>
          <w:rFonts w:ascii="Verdana" w:hAnsi="Verdana"/>
          <w:b/>
          <w:bCs/>
          <w:sz w:val="24"/>
          <w:szCs w:val="24"/>
        </w:rPr>
        <w:t xml:space="preserve">8.5 </w:t>
      </w:r>
      <w:r>
        <w:rPr>
          <w:rFonts w:ascii="Verdana" w:hAnsi="Verdana"/>
          <w:b/>
          <w:bCs/>
          <w:sz w:val="24"/>
          <w:szCs w:val="24"/>
        </w:rPr>
        <w:tab/>
      </w:r>
      <w:r w:rsidR="00FD1FB3" w:rsidRPr="00754538">
        <w:rPr>
          <w:rFonts w:ascii="Verdana" w:hAnsi="Verdana"/>
          <w:b/>
          <w:bCs/>
          <w:sz w:val="24"/>
          <w:szCs w:val="24"/>
        </w:rPr>
        <w:t xml:space="preserve">The </w:t>
      </w:r>
      <w:r w:rsidR="00FD1FB3">
        <w:rPr>
          <w:rFonts w:ascii="Verdana" w:hAnsi="Verdana"/>
          <w:b/>
          <w:bCs/>
          <w:sz w:val="24"/>
          <w:szCs w:val="24"/>
        </w:rPr>
        <w:t>NIHRC</w:t>
      </w:r>
      <w:r w:rsidR="00FD1FB3" w:rsidRPr="00754538">
        <w:rPr>
          <w:rFonts w:ascii="Verdana" w:hAnsi="Verdana"/>
          <w:b/>
          <w:bCs/>
          <w:sz w:val="24"/>
          <w:szCs w:val="24"/>
        </w:rPr>
        <w:t xml:space="preserve"> recommend</w:t>
      </w:r>
      <w:r w:rsidR="00FD1FB3">
        <w:rPr>
          <w:rFonts w:ascii="Verdana" w:hAnsi="Verdana"/>
          <w:b/>
          <w:bCs/>
          <w:sz w:val="24"/>
          <w:szCs w:val="24"/>
        </w:rPr>
        <w:t>s</w:t>
      </w:r>
      <w:r w:rsidR="00FD1FB3" w:rsidRPr="00754538">
        <w:rPr>
          <w:rFonts w:ascii="Verdana" w:hAnsi="Verdana"/>
          <w:b/>
          <w:bCs/>
          <w:sz w:val="24"/>
          <w:szCs w:val="24"/>
        </w:rPr>
        <w:t xml:space="preserve"> that the </w:t>
      </w:r>
      <w:r w:rsidR="00FD1FB3">
        <w:rPr>
          <w:rFonts w:ascii="Verdana" w:hAnsi="Verdana"/>
          <w:b/>
          <w:bCs/>
          <w:sz w:val="24"/>
          <w:szCs w:val="24"/>
        </w:rPr>
        <w:t xml:space="preserve">Executive Office </w:t>
      </w:r>
      <w:r w:rsidR="00FD1FB3" w:rsidRPr="00754538">
        <w:rPr>
          <w:rFonts w:ascii="Verdana" w:hAnsi="Verdana"/>
          <w:b/>
          <w:bCs/>
          <w:sz w:val="24"/>
          <w:szCs w:val="24"/>
        </w:rPr>
        <w:t xml:space="preserve">commits to ensuring that to the extent that the EU directives on standards for equality bodies, if introduced, amend or replace </w:t>
      </w:r>
      <w:r w:rsidR="00FD1FB3">
        <w:rPr>
          <w:rFonts w:ascii="Verdana" w:hAnsi="Verdana"/>
          <w:b/>
          <w:bCs/>
          <w:sz w:val="24"/>
          <w:szCs w:val="24"/>
        </w:rPr>
        <w:t>the EU Race Equality Directive</w:t>
      </w:r>
      <w:r w:rsidR="00FD1FB3" w:rsidRPr="00754538">
        <w:rPr>
          <w:rFonts w:ascii="Verdana" w:hAnsi="Verdana"/>
          <w:b/>
          <w:bCs/>
          <w:sz w:val="24"/>
          <w:szCs w:val="24"/>
        </w:rPr>
        <w:t>, the law in NI is amended to keep pace</w:t>
      </w:r>
      <w:r w:rsidR="00FD1FB3">
        <w:rPr>
          <w:rFonts w:ascii="Verdana" w:hAnsi="Verdana"/>
          <w:b/>
          <w:bCs/>
          <w:sz w:val="24"/>
          <w:szCs w:val="24"/>
        </w:rPr>
        <w:t>, as required,</w:t>
      </w:r>
      <w:r w:rsidR="00FD1FB3" w:rsidRPr="00754538">
        <w:rPr>
          <w:rFonts w:ascii="Verdana" w:hAnsi="Verdana"/>
          <w:b/>
          <w:bCs/>
          <w:sz w:val="24"/>
          <w:szCs w:val="24"/>
        </w:rPr>
        <w:t xml:space="preserve"> with that change. </w:t>
      </w:r>
    </w:p>
    <w:p w14:paraId="7A4C3986" w14:textId="2457E698" w:rsidR="00491B8C" w:rsidRDefault="00921F74" w:rsidP="00491B8C">
      <w:pPr>
        <w:pStyle w:val="BasicParagraph"/>
        <w:numPr>
          <w:ilvl w:val="1"/>
          <w:numId w:val="38"/>
        </w:numPr>
        <w:suppressAutoHyphens/>
        <w:rPr>
          <w:rFonts w:ascii="Verdana" w:hAnsi="Verdana"/>
          <w:b/>
          <w:bCs/>
          <w:color w:val="auto"/>
        </w:rPr>
      </w:pPr>
      <w:r>
        <w:rPr>
          <w:rFonts w:ascii="Verdana" w:hAnsi="Verdana"/>
          <w:b/>
          <w:bCs/>
          <w:noProof/>
          <w:color w:val="auto"/>
        </w:rPr>
        <w:lastRenderedPageBreak/>
        <mc:AlternateContent>
          <mc:Choice Requires="wps">
            <w:drawing>
              <wp:anchor distT="0" distB="0" distL="114300" distR="114300" simplePos="0" relativeHeight="251659264" behindDoc="0" locked="0" layoutInCell="1" allowOverlap="1" wp14:anchorId="5B361FB2" wp14:editId="6D42B0E7">
                <wp:simplePos x="0" y="0"/>
                <wp:positionH relativeFrom="column">
                  <wp:posOffset>-210185</wp:posOffset>
                </wp:positionH>
                <wp:positionV relativeFrom="paragraph">
                  <wp:posOffset>-91122</wp:posOffset>
                </wp:positionV>
                <wp:extent cx="6743700" cy="7519987"/>
                <wp:effectExtent l="57150" t="19050" r="76200" b="100330"/>
                <wp:wrapNone/>
                <wp:docPr id="1" name="Rectangle 1"/>
                <wp:cNvGraphicFramePr/>
                <a:graphic xmlns:a="http://schemas.openxmlformats.org/drawingml/2006/main">
                  <a:graphicData uri="http://schemas.microsoft.com/office/word/2010/wordprocessingShape">
                    <wps:wsp>
                      <wps:cNvSpPr/>
                      <wps:spPr>
                        <a:xfrm>
                          <a:off x="0" y="0"/>
                          <a:ext cx="6743700" cy="751998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4CB9CA4" id="Rectangle 1" o:spid="_x0000_s1026" style="position:absolute;margin-left:-16.55pt;margin-top:-7.15pt;width:531pt;height:59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" filled="f" strokecolor="black [3213]">
                <v:shadow on="t" color="black" opacity="22937f" origin=",.5" offset="0,.63889mm"/>
              </v:rect>
            </w:pict>
          </mc:Fallback>
        </mc:AlternateContent>
      </w:r>
      <w:r w:rsidR="00491B8C">
        <w:rPr>
          <w:rFonts w:ascii="Verdana" w:hAnsi="Verdana"/>
          <w:b/>
          <w:bCs/>
          <w:color w:val="auto"/>
        </w:rPr>
        <w:t xml:space="preserve">The NIHRC recommends to the Executive Office that any reform of the Race Relations (NI) Order 1997, or equivalent, </w:t>
      </w:r>
      <w:r w:rsidR="00491B8C" w:rsidRPr="00016B20">
        <w:rPr>
          <w:rFonts w:ascii="Verdana" w:hAnsi="Verdana"/>
          <w:b/>
          <w:bCs/>
          <w:color w:val="auto"/>
        </w:rPr>
        <w:t>provide</w:t>
      </w:r>
      <w:r w:rsidR="00491B8C">
        <w:rPr>
          <w:rFonts w:ascii="Verdana" w:hAnsi="Verdana"/>
          <w:b/>
          <w:bCs/>
          <w:color w:val="auto"/>
        </w:rPr>
        <w:t>s</w:t>
      </w:r>
      <w:r w:rsidR="00491B8C" w:rsidRPr="00016B20">
        <w:rPr>
          <w:rFonts w:ascii="Verdana" w:hAnsi="Verdana"/>
          <w:b/>
          <w:bCs/>
          <w:color w:val="auto"/>
        </w:rPr>
        <w:t xml:space="preserve"> clarity to victims regarding their right to judicial protection in addition to any such settlements and to clarify that jurisdiction cannot be excluded by private agreement.</w:t>
      </w:r>
    </w:p>
    <w:p w14:paraId="5947D233" w14:textId="77777777" w:rsidR="00491B8C" w:rsidRDefault="00491B8C" w:rsidP="00491B8C">
      <w:pPr>
        <w:pStyle w:val="BasicParagraph"/>
        <w:suppressAutoHyphens/>
        <w:ind w:left="709"/>
        <w:rPr>
          <w:rFonts w:ascii="Verdana" w:hAnsi="Verdana"/>
          <w:b/>
          <w:bCs/>
          <w:color w:val="auto"/>
        </w:rPr>
      </w:pPr>
    </w:p>
    <w:p w14:paraId="3357C692" w14:textId="75AC444D" w:rsidR="00491B8C" w:rsidRPr="00016B20" w:rsidRDefault="00491B8C" w:rsidP="00491B8C">
      <w:pPr>
        <w:pStyle w:val="BasicParagraph"/>
        <w:suppressAutoHyphens/>
        <w:ind w:left="720" w:hanging="720"/>
        <w:rPr>
          <w:rFonts w:ascii="Verdana" w:hAnsi="Verdana"/>
          <w:b/>
          <w:bCs/>
          <w:color w:val="auto"/>
        </w:rPr>
      </w:pPr>
      <w:r>
        <w:rPr>
          <w:rFonts w:ascii="Verdana" w:hAnsi="Verdana"/>
          <w:b/>
          <w:bCs/>
          <w:color w:val="auto"/>
        </w:rPr>
        <w:t xml:space="preserve">9.6 </w:t>
      </w:r>
      <w:r>
        <w:rPr>
          <w:rFonts w:ascii="Verdana" w:hAnsi="Verdana"/>
          <w:b/>
          <w:bCs/>
          <w:color w:val="auto"/>
        </w:rPr>
        <w:tab/>
        <w:t>The NIHRC recommends that the Executive Office should clarify more precisely that remedies under the Race Relations (NI) Order 1997, or equivalent, must result in real and effective judicial protection of the rights derived from the EU Race Equality Directive and Article 47 of the EU Charter.</w:t>
      </w:r>
    </w:p>
    <w:p w14:paraId="13B0A23A" w14:textId="77777777" w:rsidR="00491B8C" w:rsidRPr="00754538" w:rsidRDefault="00491B8C" w:rsidP="00FD1FB3">
      <w:pPr>
        <w:pStyle w:val="11NumPara"/>
        <w:numPr>
          <w:ilvl w:val="0"/>
          <w:numId w:val="0"/>
        </w:numPr>
        <w:spacing w:line="288" w:lineRule="auto"/>
        <w:ind w:left="709" w:hanging="709"/>
        <w:rPr>
          <w:rFonts w:ascii="Verdana" w:hAnsi="Verdana"/>
          <w:b/>
          <w:bCs/>
          <w:sz w:val="24"/>
          <w:szCs w:val="24"/>
        </w:rPr>
      </w:pPr>
    </w:p>
    <w:p w14:paraId="62659EC1" w14:textId="6139834D" w:rsidR="00491B8C" w:rsidRPr="006F2741" w:rsidRDefault="00491B8C" w:rsidP="00491B8C">
      <w:pPr>
        <w:pStyle w:val="BasicParagraph"/>
        <w:numPr>
          <w:ilvl w:val="1"/>
          <w:numId w:val="39"/>
        </w:numPr>
        <w:suppressAutoHyphens/>
        <w:rPr>
          <w:rFonts w:ascii="Verdana" w:hAnsi="Verdana"/>
          <w:b/>
          <w:bCs/>
        </w:rPr>
      </w:pPr>
      <w:r>
        <w:rPr>
          <w:rFonts w:ascii="Verdana" w:hAnsi="Verdana"/>
          <w:b/>
          <w:bCs/>
        </w:rPr>
        <w:t>The NIHRC recommends that the Executive Office considers including within the proposed amendments to Articles 52 and 53 of the Race Relations (NI) Order 1997, or equivalent, that a tribunal has the power to recommend ‘reasonable’ training.</w:t>
      </w:r>
    </w:p>
    <w:p w14:paraId="37E19A30" w14:textId="77777777" w:rsidR="00B671B2" w:rsidRPr="009A72BD" w:rsidRDefault="00B671B2" w:rsidP="00B671B2">
      <w:pPr>
        <w:pStyle w:val="BasicParagraph"/>
        <w:suppressAutoHyphens/>
        <w:ind w:left="720" w:hanging="720"/>
        <w:rPr>
          <w:rFonts w:ascii="Verdana" w:hAnsi="Verdana"/>
          <w:b/>
          <w:bCs/>
        </w:rPr>
      </w:pPr>
    </w:p>
    <w:p w14:paraId="3AE7DD52" w14:textId="78301E74" w:rsidR="00491B8C" w:rsidRPr="009F2687" w:rsidRDefault="00491B8C" w:rsidP="00921F74">
      <w:pPr>
        <w:pStyle w:val="BasicParagraph"/>
        <w:numPr>
          <w:ilvl w:val="1"/>
          <w:numId w:val="40"/>
        </w:numPr>
        <w:suppressAutoHyphens/>
        <w:rPr>
          <w:rFonts w:ascii="Verdana" w:hAnsi="Verdana"/>
          <w:b/>
          <w:bCs/>
        </w:rPr>
      </w:pPr>
      <w:r w:rsidRPr="009F2687">
        <w:rPr>
          <w:rFonts w:ascii="Verdana" w:hAnsi="Verdana"/>
          <w:b/>
          <w:bCs/>
        </w:rPr>
        <w:t>The NIHRC welcomes the commitment within the proposals to ensure that the Race Relations (NI) Order</w:t>
      </w:r>
      <w:r>
        <w:rPr>
          <w:rFonts w:ascii="Verdana" w:hAnsi="Verdana"/>
          <w:b/>
          <w:bCs/>
        </w:rPr>
        <w:t xml:space="preserve"> 1997,</w:t>
      </w:r>
      <w:r w:rsidRPr="009F2687">
        <w:rPr>
          <w:rFonts w:ascii="Verdana" w:hAnsi="Verdana"/>
          <w:b/>
          <w:bCs/>
        </w:rPr>
        <w:t xml:space="preserve"> or equivalent</w:t>
      </w:r>
      <w:r>
        <w:rPr>
          <w:rFonts w:ascii="Verdana" w:hAnsi="Verdana"/>
          <w:b/>
          <w:bCs/>
        </w:rPr>
        <w:t>,</w:t>
      </w:r>
      <w:r w:rsidRPr="009F2687">
        <w:rPr>
          <w:rFonts w:ascii="Verdana" w:hAnsi="Verdana"/>
          <w:b/>
          <w:bCs/>
        </w:rPr>
        <w:t xml:space="preserve"> imposes a duty on specified public authorities to collect data on racial equality and set racial equality objectives. The NIHRC stresses that this commitment should be delivered as quickly as possible in its entirety.</w:t>
      </w:r>
    </w:p>
    <w:p w14:paraId="574ECC90" w14:textId="77777777" w:rsidR="00A106F1" w:rsidRPr="009350C4" w:rsidRDefault="00A106F1" w:rsidP="00A106F1">
      <w:pPr>
        <w:pStyle w:val="BasicParagraph"/>
        <w:suppressAutoHyphens/>
        <w:rPr>
          <w:rFonts w:ascii="Verdana" w:hAnsi="Verdana"/>
          <w:b/>
          <w:bCs/>
        </w:rPr>
      </w:pPr>
    </w:p>
    <w:p w14:paraId="46E2EC3F" w14:textId="783CDB8D" w:rsidR="00921F74" w:rsidRPr="000A00EC" w:rsidRDefault="00921F74" w:rsidP="00921F74">
      <w:pPr>
        <w:pStyle w:val="BasicParagraph"/>
        <w:numPr>
          <w:ilvl w:val="1"/>
          <w:numId w:val="41"/>
        </w:numPr>
        <w:suppressAutoHyphens/>
        <w:rPr>
          <w:rFonts w:ascii="Verdana" w:hAnsi="Verdana"/>
          <w:b/>
          <w:bCs/>
        </w:rPr>
      </w:pPr>
      <w:r w:rsidRPr="000A00EC">
        <w:rPr>
          <w:rFonts w:ascii="Verdana" w:hAnsi="Verdana"/>
          <w:b/>
          <w:bCs/>
        </w:rPr>
        <w:t>The NIHRC recommends that the Executive Office utilises meaningful engagement with individuals that will be affected and their representatives beyond this public consultation to determine whether both descent and caste are directly referenced within the Race Relations (NI) Order</w:t>
      </w:r>
      <w:r>
        <w:rPr>
          <w:rFonts w:ascii="Verdana" w:hAnsi="Verdana"/>
          <w:b/>
          <w:bCs/>
        </w:rPr>
        <w:t xml:space="preserve"> 1997,</w:t>
      </w:r>
      <w:r w:rsidRPr="000A00EC">
        <w:rPr>
          <w:rFonts w:ascii="Verdana" w:hAnsi="Verdana"/>
          <w:b/>
          <w:bCs/>
        </w:rPr>
        <w:t xml:space="preserve"> or equivalent. The decision should also be guided by the principle that the resulting legislation should be effective in law and practice.</w:t>
      </w:r>
    </w:p>
    <w:p w14:paraId="1552AB62" w14:textId="0414ACE8" w:rsidR="00D76946" w:rsidRDefault="00D76946" w:rsidP="00073296">
      <w:r>
        <w:br w:type="page"/>
      </w:r>
    </w:p>
    <w:p w14:paraId="1F577CFA" w14:textId="1F337D17" w:rsidR="00BD567E" w:rsidRPr="00B56194" w:rsidRDefault="00ED40E9" w:rsidP="00B56194">
      <w:pPr>
        <w:pStyle w:val="Heading1"/>
      </w:pPr>
      <w:bookmarkStart w:id="1" w:name="_Toc137459911"/>
      <w:r>
        <w:lastRenderedPageBreak/>
        <w:t>Introduction</w:t>
      </w:r>
      <w:bookmarkEnd w:id="1"/>
    </w:p>
    <w:p w14:paraId="6835B4CE" w14:textId="15D7B918" w:rsidR="00BD567E" w:rsidRDefault="00BD567E">
      <w:pPr>
        <w:pStyle w:val="BasicParagraph"/>
        <w:numPr>
          <w:ilvl w:val="1"/>
          <w:numId w:val="9"/>
        </w:numPr>
        <w:suppressAutoHyphens/>
        <w:ind w:left="709"/>
        <w:rPr>
          <w:rFonts w:ascii="Verdana" w:hAnsi="Verdana"/>
        </w:rPr>
      </w:pPr>
      <w:r w:rsidRPr="00BD567E">
        <w:rPr>
          <w:rFonts w:ascii="Verdana" w:hAnsi="Verdana"/>
        </w:rPr>
        <w:t xml:space="preserve">The Northern Ireland Human Rights Commission (NIHRC), pursuant to section 69(1) of the Northern Ireland (NI) Act 1998, reviews the adequacy and effectiveness of law and practice relating to the protection of human rights in NI. The NIHRC is also </w:t>
      </w:r>
      <w:r w:rsidR="000035D8">
        <w:rPr>
          <w:rFonts w:ascii="Verdana" w:hAnsi="Verdana"/>
        </w:rPr>
        <w:t>required</w:t>
      </w:r>
      <w:r w:rsidRPr="00BD567E">
        <w:rPr>
          <w:rFonts w:ascii="Verdana" w:hAnsi="Verdana"/>
        </w:rPr>
        <w:t>, under section 78A(1)</w:t>
      </w:r>
      <w:r w:rsidR="000035D8">
        <w:rPr>
          <w:rFonts w:ascii="Verdana" w:hAnsi="Verdana"/>
        </w:rPr>
        <w:t>,</w:t>
      </w:r>
      <w:r w:rsidRPr="00BD567E">
        <w:rPr>
          <w:rFonts w:ascii="Verdana" w:hAnsi="Verdana"/>
        </w:rPr>
        <w:t xml:space="preserve"> to monitor the implementation of Article 2(1) of the Windsor Framework</w:t>
      </w:r>
      <w:r w:rsidR="00565055">
        <w:rPr>
          <w:rFonts w:ascii="Verdana" w:hAnsi="Verdana"/>
        </w:rPr>
        <w:t>,</w:t>
      </w:r>
      <w:r w:rsidR="00B342C5">
        <w:rPr>
          <w:rStyle w:val="FootnoteReference"/>
          <w:rFonts w:ascii="Verdana" w:hAnsi="Verdana"/>
        </w:rPr>
        <w:footnoteReference w:id="2"/>
      </w:r>
      <w:r w:rsidRPr="00BD567E">
        <w:rPr>
          <w:rFonts w:ascii="Verdana" w:hAnsi="Verdana"/>
        </w:rPr>
        <w:t xml:space="preserve"> to ensure there is no diminution of </w:t>
      </w:r>
      <w:r w:rsidR="000035D8">
        <w:rPr>
          <w:rFonts w:ascii="Verdana" w:hAnsi="Verdana"/>
        </w:rPr>
        <w:t xml:space="preserve">those </w:t>
      </w:r>
      <w:r w:rsidRPr="00BD567E">
        <w:rPr>
          <w:rFonts w:ascii="Verdana" w:hAnsi="Verdana"/>
        </w:rPr>
        <w:t xml:space="preserve">rights protected in the ‘Rights, Safeguards and Equality of Opportunity’ chapter of the Belfast (Good Friday) Agreement 1998 as a result of the UK’s withdrawal from the EU. In accordance with these functions, the following evidence is submitted to the </w:t>
      </w:r>
      <w:r>
        <w:rPr>
          <w:rFonts w:ascii="Verdana" w:hAnsi="Verdana"/>
        </w:rPr>
        <w:t>Executive Office in response to its consultation on the review of the Race Relations (NI) Order 1997</w:t>
      </w:r>
      <w:r w:rsidRPr="00BD567E">
        <w:rPr>
          <w:rFonts w:ascii="Verdana" w:hAnsi="Verdana"/>
        </w:rPr>
        <w:t>.</w:t>
      </w:r>
    </w:p>
    <w:p w14:paraId="177AC4C9" w14:textId="77777777" w:rsidR="00813BC7" w:rsidRDefault="00813BC7" w:rsidP="00813BC7">
      <w:pPr>
        <w:pStyle w:val="BasicParagraph"/>
        <w:suppressAutoHyphens/>
        <w:ind w:left="709"/>
        <w:rPr>
          <w:rFonts w:ascii="Verdana" w:hAnsi="Verdana"/>
        </w:rPr>
      </w:pPr>
    </w:p>
    <w:p w14:paraId="09C9C9EF" w14:textId="396B269A" w:rsidR="00813BC7" w:rsidRDefault="00813BC7">
      <w:pPr>
        <w:pStyle w:val="BasicParagraph"/>
        <w:numPr>
          <w:ilvl w:val="1"/>
          <w:numId w:val="9"/>
        </w:numPr>
        <w:suppressAutoHyphens/>
        <w:ind w:left="709"/>
        <w:rPr>
          <w:rFonts w:ascii="Verdana" w:hAnsi="Verdana"/>
        </w:rPr>
      </w:pPr>
      <w:r w:rsidRPr="00813BC7">
        <w:rPr>
          <w:rFonts w:ascii="Verdana" w:hAnsi="Verdana"/>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3F98DB91" w14:textId="77777777" w:rsidR="00813BC7" w:rsidRDefault="00813BC7" w:rsidP="00813BC7">
      <w:pPr>
        <w:pStyle w:val="ListParagraph"/>
      </w:pPr>
    </w:p>
    <w:p w14:paraId="259E2908" w14:textId="46FE68DC" w:rsidR="00813BC7" w:rsidRPr="00287262" w:rsidRDefault="005C42D9" w:rsidP="00813BC7">
      <w:pPr>
        <w:pStyle w:val="BasicParagraph"/>
        <w:numPr>
          <w:ilvl w:val="2"/>
          <w:numId w:val="9"/>
        </w:numPr>
        <w:suppressAutoHyphens/>
        <w:rPr>
          <w:rFonts w:ascii="Verdana" w:hAnsi="Verdana"/>
        </w:rPr>
      </w:pPr>
      <w:r w:rsidRPr="00287262">
        <w:rPr>
          <w:rFonts w:ascii="Verdana" w:hAnsi="Verdana"/>
        </w:rPr>
        <w:t>CoE European Convention on Human Rights 1950</w:t>
      </w:r>
      <w:r w:rsidR="007E02BA" w:rsidRPr="00287262">
        <w:rPr>
          <w:rFonts w:ascii="Verdana" w:hAnsi="Verdana"/>
        </w:rPr>
        <w:t xml:space="preserve"> (ECHR);</w:t>
      </w:r>
      <w:r w:rsidR="00E75C92" w:rsidRPr="00287262">
        <w:rPr>
          <w:rStyle w:val="FootnoteReference"/>
          <w:rFonts w:ascii="Verdana" w:eastAsia="Times New Roman" w:hAnsi="Verdana"/>
          <w:szCs w:val="22"/>
        </w:rPr>
        <w:footnoteReference w:id="3"/>
      </w:r>
    </w:p>
    <w:p w14:paraId="50879AEE" w14:textId="3B5D6551" w:rsidR="007E02BA" w:rsidRPr="00287262" w:rsidRDefault="007E02BA" w:rsidP="00813BC7">
      <w:pPr>
        <w:pStyle w:val="BasicParagraph"/>
        <w:numPr>
          <w:ilvl w:val="2"/>
          <w:numId w:val="9"/>
        </w:numPr>
        <w:suppressAutoHyphens/>
        <w:rPr>
          <w:rFonts w:ascii="Verdana" w:hAnsi="Verdana"/>
        </w:rPr>
      </w:pPr>
      <w:r w:rsidRPr="00287262">
        <w:rPr>
          <w:rFonts w:ascii="Verdana" w:hAnsi="Verdana"/>
        </w:rPr>
        <w:t>CoE European Social Charter 1961;</w:t>
      </w:r>
      <w:r w:rsidR="004B28B0" w:rsidRPr="00287262">
        <w:rPr>
          <w:rStyle w:val="FootnoteReference"/>
          <w:rFonts w:ascii="Verdana" w:eastAsia="Times New Roman" w:hAnsi="Verdana"/>
          <w:szCs w:val="22"/>
        </w:rPr>
        <w:footnoteReference w:id="4"/>
      </w:r>
    </w:p>
    <w:p w14:paraId="6083AAC4" w14:textId="3320DEBA" w:rsidR="007E02BA" w:rsidRPr="00287262" w:rsidRDefault="007E02BA" w:rsidP="00813BC7">
      <w:pPr>
        <w:pStyle w:val="BasicParagraph"/>
        <w:numPr>
          <w:ilvl w:val="2"/>
          <w:numId w:val="9"/>
        </w:numPr>
        <w:suppressAutoHyphens/>
        <w:rPr>
          <w:rFonts w:ascii="Verdana" w:hAnsi="Verdana"/>
        </w:rPr>
      </w:pPr>
      <w:r w:rsidRPr="00287262">
        <w:rPr>
          <w:rFonts w:ascii="Verdana" w:hAnsi="Verdana"/>
        </w:rPr>
        <w:t>UN Convention on the Elimination of All Forms of Racial Discrimination 1965 (UN CERD);</w:t>
      </w:r>
      <w:r w:rsidR="008F2106" w:rsidRPr="00287262">
        <w:rPr>
          <w:rStyle w:val="FootnoteReference"/>
          <w:rFonts w:ascii="Verdana" w:eastAsia="Times New Roman" w:hAnsi="Verdana"/>
          <w:szCs w:val="22"/>
        </w:rPr>
        <w:footnoteReference w:id="5"/>
      </w:r>
    </w:p>
    <w:p w14:paraId="2F7CA81F" w14:textId="56FB5BF7" w:rsidR="007E02BA" w:rsidRPr="00287262" w:rsidRDefault="007E02BA" w:rsidP="00813BC7">
      <w:pPr>
        <w:pStyle w:val="BasicParagraph"/>
        <w:numPr>
          <w:ilvl w:val="2"/>
          <w:numId w:val="9"/>
        </w:numPr>
        <w:suppressAutoHyphens/>
        <w:rPr>
          <w:rFonts w:ascii="Verdana" w:hAnsi="Verdana"/>
        </w:rPr>
      </w:pPr>
      <w:r w:rsidRPr="00287262">
        <w:rPr>
          <w:rFonts w:ascii="Verdana" w:hAnsi="Verdana"/>
        </w:rPr>
        <w:t>UN International Covenant on Civil and Political Rights 1966 (UN ICCPR);</w:t>
      </w:r>
      <w:r w:rsidR="007B00A5" w:rsidRPr="00287262">
        <w:rPr>
          <w:rStyle w:val="FootnoteReference"/>
          <w:rFonts w:ascii="Verdana" w:eastAsia="Times New Roman" w:hAnsi="Verdana"/>
          <w:szCs w:val="22"/>
        </w:rPr>
        <w:footnoteReference w:id="6"/>
      </w:r>
    </w:p>
    <w:p w14:paraId="20BA6296" w14:textId="005FC1E4" w:rsidR="007E02BA" w:rsidRPr="00287262" w:rsidRDefault="007E02BA" w:rsidP="00813BC7">
      <w:pPr>
        <w:pStyle w:val="BasicParagraph"/>
        <w:numPr>
          <w:ilvl w:val="2"/>
          <w:numId w:val="9"/>
        </w:numPr>
        <w:suppressAutoHyphens/>
        <w:rPr>
          <w:rFonts w:ascii="Verdana" w:hAnsi="Verdana"/>
        </w:rPr>
      </w:pPr>
      <w:r w:rsidRPr="00287262">
        <w:rPr>
          <w:rFonts w:ascii="Verdana" w:hAnsi="Verdana"/>
        </w:rPr>
        <w:t>UN International Covenant on Economic, Social and Cultural Rights 1966 (UN ICESCR);</w:t>
      </w:r>
      <w:r w:rsidR="00F00558" w:rsidRPr="00287262">
        <w:rPr>
          <w:rStyle w:val="FootnoteReference"/>
          <w:rFonts w:ascii="Verdana" w:eastAsia="Times New Roman" w:hAnsi="Verdana"/>
          <w:szCs w:val="22"/>
        </w:rPr>
        <w:footnoteReference w:id="7"/>
      </w:r>
    </w:p>
    <w:p w14:paraId="6DF02B63" w14:textId="6DEE41F1" w:rsidR="003A3BC5" w:rsidRPr="00287262" w:rsidRDefault="003A3BC5" w:rsidP="00813BC7">
      <w:pPr>
        <w:pStyle w:val="BasicParagraph"/>
        <w:numPr>
          <w:ilvl w:val="2"/>
          <w:numId w:val="9"/>
        </w:numPr>
        <w:suppressAutoHyphens/>
        <w:rPr>
          <w:rFonts w:ascii="Verdana" w:hAnsi="Verdana"/>
        </w:rPr>
      </w:pPr>
      <w:r w:rsidRPr="00287262">
        <w:rPr>
          <w:rFonts w:ascii="Verdana" w:hAnsi="Verdana"/>
        </w:rPr>
        <w:t>UN Convention on the Elimination of All Forms of Discrimination Against Women 1981 (UN CEDAW);</w:t>
      </w:r>
      <w:r w:rsidR="000A3822" w:rsidRPr="00287262">
        <w:rPr>
          <w:rStyle w:val="FootnoteReference"/>
          <w:rFonts w:ascii="Verdana" w:eastAsia="Times New Roman" w:hAnsi="Verdana"/>
          <w:szCs w:val="22"/>
        </w:rPr>
        <w:footnoteReference w:id="8"/>
      </w:r>
    </w:p>
    <w:p w14:paraId="77A54FC7" w14:textId="7F559FDE" w:rsidR="003A3BC5" w:rsidRPr="00287262" w:rsidRDefault="003A3BC5" w:rsidP="00813BC7">
      <w:pPr>
        <w:pStyle w:val="BasicParagraph"/>
        <w:numPr>
          <w:ilvl w:val="2"/>
          <w:numId w:val="9"/>
        </w:numPr>
        <w:suppressAutoHyphens/>
        <w:rPr>
          <w:rFonts w:ascii="Verdana" w:hAnsi="Verdana"/>
        </w:rPr>
      </w:pPr>
      <w:r w:rsidRPr="00287262">
        <w:rPr>
          <w:rFonts w:ascii="Verdana" w:hAnsi="Verdana"/>
        </w:rPr>
        <w:t>UN Convention on the Rights of the Child 1989 (UN CRC);</w:t>
      </w:r>
      <w:r w:rsidR="00D5445D" w:rsidRPr="00287262">
        <w:rPr>
          <w:rStyle w:val="FootnoteReference"/>
          <w:rFonts w:ascii="Verdana" w:eastAsia="Times New Roman" w:hAnsi="Verdana"/>
          <w:szCs w:val="22"/>
        </w:rPr>
        <w:footnoteReference w:id="9"/>
      </w:r>
    </w:p>
    <w:p w14:paraId="14758A14" w14:textId="08391894" w:rsidR="007E02BA" w:rsidRPr="00287262" w:rsidRDefault="003A3BC5" w:rsidP="00813BC7">
      <w:pPr>
        <w:pStyle w:val="BasicParagraph"/>
        <w:numPr>
          <w:ilvl w:val="2"/>
          <w:numId w:val="9"/>
        </w:numPr>
        <w:suppressAutoHyphens/>
        <w:rPr>
          <w:rFonts w:ascii="Verdana" w:hAnsi="Verdana"/>
        </w:rPr>
      </w:pPr>
      <w:r w:rsidRPr="00287262">
        <w:rPr>
          <w:rFonts w:ascii="Verdana" w:hAnsi="Verdana"/>
        </w:rPr>
        <w:lastRenderedPageBreak/>
        <w:t>UN Convention on the Rights of Persons with Disabilities 2006 (UN CRPD).</w:t>
      </w:r>
      <w:r w:rsidR="00287262" w:rsidRPr="00287262">
        <w:rPr>
          <w:rStyle w:val="FootnoteReference"/>
          <w:rFonts w:ascii="Verdana" w:eastAsia="Times New Roman" w:hAnsi="Verdana"/>
          <w:szCs w:val="22"/>
        </w:rPr>
        <w:footnoteReference w:id="10"/>
      </w:r>
    </w:p>
    <w:p w14:paraId="3F12E03B" w14:textId="77777777" w:rsidR="00BD567E" w:rsidRDefault="00BD567E" w:rsidP="00BD567E">
      <w:pPr>
        <w:pStyle w:val="BasicParagraph"/>
        <w:suppressAutoHyphens/>
        <w:ind w:left="709"/>
        <w:rPr>
          <w:rFonts w:ascii="Verdana" w:hAnsi="Verdana"/>
        </w:rPr>
      </w:pPr>
    </w:p>
    <w:p w14:paraId="151674D0" w14:textId="78628141" w:rsidR="00813BC7" w:rsidRDefault="00813BC7">
      <w:pPr>
        <w:pStyle w:val="BasicParagraph"/>
        <w:numPr>
          <w:ilvl w:val="1"/>
          <w:numId w:val="9"/>
        </w:numPr>
        <w:suppressAutoHyphens/>
        <w:ind w:left="709"/>
        <w:rPr>
          <w:rFonts w:ascii="Verdana" w:hAnsi="Verdana"/>
        </w:rPr>
      </w:pPr>
      <w:r>
        <w:rPr>
          <w:rFonts w:ascii="Verdana" w:hAnsi="Verdana"/>
        </w:rPr>
        <w:t>In addition to these treaty standards, the following declarations and principles provide further guidance</w:t>
      </w:r>
      <w:r w:rsidR="000035D8">
        <w:rPr>
          <w:rFonts w:ascii="Verdana" w:hAnsi="Verdana"/>
        </w:rPr>
        <w:t>, and are often used as an aid to interpretation,</w:t>
      </w:r>
      <w:r>
        <w:rPr>
          <w:rFonts w:ascii="Verdana" w:hAnsi="Verdana"/>
        </w:rPr>
        <w:t xml:space="preserve"> in respect of specific areas:</w:t>
      </w:r>
    </w:p>
    <w:p w14:paraId="5E818284" w14:textId="77777777" w:rsidR="0094148E" w:rsidRDefault="0094148E" w:rsidP="0094148E">
      <w:pPr>
        <w:pStyle w:val="BasicParagraph"/>
        <w:suppressAutoHyphens/>
        <w:ind w:left="709"/>
        <w:rPr>
          <w:rFonts w:ascii="Verdana" w:hAnsi="Verdana"/>
        </w:rPr>
      </w:pPr>
    </w:p>
    <w:p w14:paraId="1EAF72BD"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Committee on the Elimination of All Forms of Discrimination Against Women (UN CEDAW Committee) General Recommendation No 6;</w:t>
      </w:r>
      <w:r w:rsidRPr="008251E7">
        <w:rPr>
          <w:rStyle w:val="FootnoteReference"/>
          <w:color w:val="auto"/>
          <w:sz w:val="24"/>
          <w:szCs w:val="24"/>
        </w:rPr>
        <w:footnoteReference w:id="11"/>
      </w:r>
    </w:p>
    <w:p w14:paraId="4BD1832B"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Committee on Economic, Social and Cultural Rights (UN ICESCR Committee) General Comment No 13;</w:t>
      </w:r>
      <w:r w:rsidRPr="008251E7">
        <w:rPr>
          <w:rStyle w:val="FootnoteReference"/>
          <w:color w:val="auto"/>
          <w:sz w:val="24"/>
          <w:szCs w:val="24"/>
        </w:rPr>
        <w:footnoteReference w:id="12"/>
      </w:r>
    </w:p>
    <w:p w14:paraId="3FA1DF8A"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General Comment No 1;</w:t>
      </w:r>
      <w:r w:rsidRPr="008251E7">
        <w:rPr>
          <w:rStyle w:val="FootnoteReference"/>
          <w:color w:val="auto"/>
          <w:sz w:val="24"/>
          <w:szCs w:val="24"/>
        </w:rPr>
        <w:footnoteReference w:id="13"/>
      </w:r>
    </w:p>
    <w:p w14:paraId="40097F95"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General Comment No 3;</w:t>
      </w:r>
      <w:r w:rsidRPr="008251E7">
        <w:rPr>
          <w:rStyle w:val="FootnoteReference"/>
          <w:color w:val="auto"/>
          <w:sz w:val="24"/>
          <w:szCs w:val="24"/>
        </w:rPr>
        <w:footnoteReference w:id="14"/>
      </w:r>
    </w:p>
    <w:p w14:paraId="477057C9"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General Comment No 14;</w:t>
      </w:r>
      <w:r w:rsidRPr="008251E7">
        <w:rPr>
          <w:rStyle w:val="FootnoteReference"/>
          <w:color w:val="auto"/>
          <w:sz w:val="24"/>
          <w:szCs w:val="24"/>
        </w:rPr>
        <w:footnoteReference w:id="15"/>
      </w:r>
    </w:p>
    <w:p w14:paraId="3BE49FFF"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Committee on the Elimination of All Forms of Racial Discrimination (UN CERD Committee) General Recommendation No 29;</w:t>
      </w:r>
      <w:r w:rsidRPr="008251E7">
        <w:rPr>
          <w:rStyle w:val="FootnoteReference"/>
          <w:color w:val="auto"/>
          <w:sz w:val="24"/>
          <w:szCs w:val="24"/>
        </w:rPr>
        <w:footnoteReference w:id="16"/>
      </w:r>
    </w:p>
    <w:p w14:paraId="4CDADBA4"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Committee on the Rights of the Child (UN CRC Committee) General Comment No 5;</w:t>
      </w:r>
      <w:r w:rsidRPr="008251E7">
        <w:rPr>
          <w:rStyle w:val="FootnoteReference"/>
          <w:color w:val="auto"/>
          <w:sz w:val="24"/>
          <w:szCs w:val="24"/>
        </w:rPr>
        <w:footnoteReference w:id="17"/>
      </w:r>
    </w:p>
    <w:p w14:paraId="032912E6"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General Comment No 19;</w:t>
      </w:r>
      <w:r w:rsidRPr="008251E7">
        <w:rPr>
          <w:rStyle w:val="FootnoteReference"/>
          <w:color w:val="auto"/>
          <w:sz w:val="24"/>
          <w:szCs w:val="24"/>
        </w:rPr>
        <w:footnoteReference w:id="18"/>
      </w:r>
    </w:p>
    <w:p w14:paraId="59C6BFBE"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General Comment No 20;</w:t>
      </w:r>
      <w:r w:rsidRPr="008251E7">
        <w:rPr>
          <w:rStyle w:val="FootnoteReference"/>
          <w:color w:val="auto"/>
          <w:sz w:val="24"/>
          <w:szCs w:val="24"/>
        </w:rPr>
        <w:footnoteReference w:id="19"/>
      </w:r>
    </w:p>
    <w:p w14:paraId="38B6D316"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General Comment No 23;</w:t>
      </w:r>
      <w:r w:rsidRPr="008251E7">
        <w:rPr>
          <w:rStyle w:val="FootnoteReference"/>
          <w:color w:val="auto"/>
          <w:sz w:val="24"/>
          <w:szCs w:val="24"/>
        </w:rPr>
        <w:footnoteReference w:id="20"/>
      </w:r>
      <w:r w:rsidRPr="008251E7">
        <w:rPr>
          <w:color w:val="auto"/>
          <w:sz w:val="24"/>
          <w:szCs w:val="24"/>
        </w:rPr>
        <w:t xml:space="preserve"> </w:t>
      </w:r>
    </w:p>
    <w:p w14:paraId="58CCD586"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CRC Committee Concluding Observations on the UK 2016;</w:t>
      </w:r>
      <w:r w:rsidRPr="008251E7">
        <w:rPr>
          <w:rStyle w:val="FootnoteReference"/>
          <w:color w:val="auto"/>
          <w:sz w:val="24"/>
          <w:szCs w:val="24"/>
        </w:rPr>
        <w:footnoteReference w:id="21"/>
      </w:r>
    </w:p>
    <w:p w14:paraId="45284A0D"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ICESCR Committee Concluding Observations on the UK 2016;</w:t>
      </w:r>
      <w:r w:rsidRPr="008251E7">
        <w:rPr>
          <w:rStyle w:val="FootnoteReference"/>
          <w:color w:val="auto"/>
          <w:sz w:val="24"/>
          <w:szCs w:val="24"/>
        </w:rPr>
        <w:footnoteReference w:id="22"/>
      </w:r>
    </w:p>
    <w:p w14:paraId="35AD9C6E"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lastRenderedPageBreak/>
        <w:t>UN CERD Committee Concluding Observations on the UK 2016;</w:t>
      </w:r>
      <w:r w:rsidRPr="008251E7">
        <w:rPr>
          <w:rStyle w:val="FootnoteReference"/>
          <w:color w:val="auto"/>
          <w:sz w:val="24"/>
          <w:szCs w:val="24"/>
        </w:rPr>
        <w:footnoteReference w:id="23"/>
      </w:r>
    </w:p>
    <w:p w14:paraId="6056FB48"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Committee on the Rights of Persons with Disabilities (UN CRPD Committee) Concluding Observations on the UK 2017;</w:t>
      </w:r>
      <w:r w:rsidRPr="008251E7">
        <w:rPr>
          <w:rStyle w:val="FootnoteReference"/>
          <w:color w:val="auto"/>
          <w:sz w:val="24"/>
          <w:szCs w:val="24"/>
        </w:rPr>
        <w:footnoteReference w:id="24"/>
      </w:r>
    </w:p>
    <w:p w14:paraId="03F2D266" w14:textId="77777777" w:rsidR="00E45AC3" w:rsidRPr="008251E7" w:rsidRDefault="00E45AC3" w:rsidP="00E45AC3">
      <w:pPr>
        <w:pStyle w:val="NIHRCFootnotes"/>
        <w:numPr>
          <w:ilvl w:val="0"/>
          <w:numId w:val="15"/>
        </w:numPr>
        <w:ind w:left="1418"/>
        <w:rPr>
          <w:color w:val="auto"/>
          <w:sz w:val="24"/>
          <w:szCs w:val="24"/>
        </w:rPr>
      </w:pPr>
      <w:r w:rsidRPr="008251E7">
        <w:rPr>
          <w:color w:val="auto"/>
          <w:sz w:val="24"/>
          <w:szCs w:val="24"/>
        </w:rPr>
        <w:t>UN CEDAW Committee Concluding Observations on the UK 2019;</w:t>
      </w:r>
      <w:r w:rsidRPr="008251E7">
        <w:rPr>
          <w:rStyle w:val="FootnoteReference"/>
          <w:color w:val="auto"/>
          <w:sz w:val="24"/>
          <w:szCs w:val="24"/>
        </w:rPr>
        <w:footnoteReference w:id="25"/>
      </w:r>
      <w:r w:rsidRPr="008251E7">
        <w:rPr>
          <w:color w:val="auto"/>
          <w:sz w:val="24"/>
          <w:szCs w:val="24"/>
        </w:rPr>
        <w:t xml:space="preserve"> and</w:t>
      </w:r>
    </w:p>
    <w:p w14:paraId="157E5359" w14:textId="77777777" w:rsidR="00E45AC3" w:rsidRDefault="00E45AC3" w:rsidP="00E45AC3">
      <w:pPr>
        <w:pStyle w:val="NIHRCFootnotes"/>
        <w:numPr>
          <w:ilvl w:val="0"/>
          <w:numId w:val="15"/>
        </w:numPr>
        <w:ind w:left="1418"/>
        <w:rPr>
          <w:color w:val="auto"/>
          <w:sz w:val="24"/>
          <w:szCs w:val="24"/>
        </w:rPr>
      </w:pPr>
      <w:r w:rsidRPr="008251E7">
        <w:rPr>
          <w:color w:val="auto"/>
          <w:sz w:val="24"/>
          <w:szCs w:val="24"/>
        </w:rPr>
        <w:t>Report of the Special Rapporteur on Contemporary Forms of Racism, Racial Discrimination, Xenophobia and Related Intolerance, E Tendayi Achiume, on the UK 2019.</w:t>
      </w:r>
      <w:r w:rsidRPr="008251E7">
        <w:rPr>
          <w:rStyle w:val="FootnoteReference"/>
          <w:color w:val="auto"/>
          <w:sz w:val="24"/>
          <w:szCs w:val="24"/>
        </w:rPr>
        <w:footnoteReference w:id="26"/>
      </w:r>
    </w:p>
    <w:p w14:paraId="1AA0D371" w14:textId="77777777" w:rsidR="00E45AC3" w:rsidRPr="008251E7" w:rsidRDefault="00E45AC3" w:rsidP="00E45AC3">
      <w:pPr>
        <w:pStyle w:val="NIHRCFootnotes"/>
        <w:ind w:left="1418"/>
        <w:rPr>
          <w:color w:val="auto"/>
          <w:sz w:val="24"/>
          <w:szCs w:val="24"/>
        </w:rPr>
      </w:pPr>
    </w:p>
    <w:p w14:paraId="2A502AF7" w14:textId="77777777" w:rsidR="00E45AC3" w:rsidRDefault="00E45AC3" w:rsidP="00E45AC3">
      <w:pPr>
        <w:pStyle w:val="NIHRCFootnotes"/>
      </w:pPr>
    </w:p>
    <w:p w14:paraId="7F99FC47" w14:textId="0F705E9D" w:rsidR="00813BC7" w:rsidRDefault="00813BC7">
      <w:pPr>
        <w:pStyle w:val="BasicParagraph"/>
        <w:numPr>
          <w:ilvl w:val="1"/>
          <w:numId w:val="9"/>
        </w:numPr>
        <w:suppressAutoHyphens/>
        <w:ind w:left="709"/>
        <w:rPr>
          <w:rFonts w:ascii="Verdana" w:hAnsi="Verdana"/>
        </w:rPr>
      </w:pPr>
      <w:r w:rsidRPr="00813BC7">
        <w:rPr>
          <w:rFonts w:ascii="Verdana" w:hAnsi="Verdana"/>
        </w:rPr>
        <w:t xml:space="preserve">The NIHRC </w:t>
      </w:r>
      <w:r w:rsidR="000035D8">
        <w:rPr>
          <w:rFonts w:ascii="Verdana" w:hAnsi="Verdana"/>
        </w:rPr>
        <w:t>must also</w:t>
      </w:r>
      <w:r w:rsidR="000035D8" w:rsidRPr="00813BC7">
        <w:rPr>
          <w:rFonts w:ascii="Verdana" w:hAnsi="Verdana"/>
        </w:rPr>
        <w:t xml:space="preserve"> </w:t>
      </w:r>
      <w:r w:rsidRPr="00813BC7">
        <w:rPr>
          <w:rFonts w:ascii="Verdana" w:hAnsi="Verdana"/>
        </w:rPr>
        <w:t xml:space="preserve">advise on the UK Government’s commitment </w:t>
      </w:r>
      <w:r w:rsidR="000035D8">
        <w:rPr>
          <w:rFonts w:ascii="Verdana" w:hAnsi="Verdana"/>
        </w:rPr>
        <w:t>(</w:t>
      </w:r>
      <w:r w:rsidRPr="00813BC7">
        <w:rPr>
          <w:rFonts w:ascii="Verdana" w:hAnsi="Verdana"/>
        </w:rPr>
        <w:t xml:space="preserve">in </w:t>
      </w:r>
      <w:r w:rsidR="00897A1C">
        <w:rPr>
          <w:rFonts w:ascii="Verdana" w:hAnsi="Verdana"/>
        </w:rPr>
        <w:t xml:space="preserve">Windsor Framework </w:t>
      </w:r>
      <w:r w:rsidRPr="00813BC7">
        <w:rPr>
          <w:rFonts w:ascii="Verdana" w:hAnsi="Verdana"/>
        </w:rPr>
        <w:t>Article 2</w:t>
      </w:r>
      <w:r w:rsidR="000035D8">
        <w:rPr>
          <w:rFonts w:ascii="Verdana" w:hAnsi="Verdana"/>
        </w:rPr>
        <w:t>)</w:t>
      </w:r>
      <w:r w:rsidRPr="00813BC7">
        <w:rPr>
          <w:rFonts w:ascii="Verdana" w:hAnsi="Verdana"/>
        </w:rPr>
        <w:t xml:space="preserve">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NI Act 1998 prohibits the NI Assembly from making any law which is incompatible with </w:t>
      </w:r>
      <w:r>
        <w:rPr>
          <w:rFonts w:ascii="Verdana" w:hAnsi="Verdana"/>
        </w:rPr>
        <w:t>Windsor Framework</w:t>
      </w:r>
      <w:r w:rsidRPr="00813BC7">
        <w:rPr>
          <w:rFonts w:ascii="Verdana" w:hAnsi="Verdana"/>
        </w:rPr>
        <w:t xml:space="preserve"> Article 2. Section 24 of the 1998 Act also requires all acts of NI Ministers and NI Departments to be compatible with </w:t>
      </w:r>
      <w:r>
        <w:rPr>
          <w:rFonts w:ascii="Verdana" w:hAnsi="Verdana"/>
        </w:rPr>
        <w:t>Windsor Framework</w:t>
      </w:r>
      <w:r w:rsidRPr="00813BC7">
        <w:rPr>
          <w:rFonts w:ascii="Verdana" w:hAnsi="Verdana"/>
        </w:rPr>
        <w:t xml:space="preserve"> Article 2. The relevant EU measures in this context include:</w:t>
      </w:r>
    </w:p>
    <w:p w14:paraId="1F3B2DE6" w14:textId="77777777" w:rsidR="0094148E" w:rsidRDefault="0094148E" w:rsidP="0094148E">
      <w:pPr>
        <w:pStyle w:val="BasicParagraph"/>
        <w:suppressAutoHyphens/>
        <w:ind w:left="709"/>
        <w:rPr>
          <w:rFonts w:ascii="Verdana" w:hAnsi="Verdana"/>
        </w:rPr>
      </w:pPr>
    </w:p>
    <w:p w14:paraId="0424E232" w14:textId="28391345" w:rsidR="00813BC7" w:rsidRDefault="00A77D0C" w:rsidP="00813BC7">
      <w:pPr>
        <w:pStyle w:val="BasicParagraph"/>
        <w:numPr>
          <w:ilvl w:val="2"/>
          <w:numId w:val="9"/>
        </w:numPr>
        <w:suppressAutoHyphens/>
        <w:rPr>
          <w:rFonts w:ascii="Verdana" w:hAnsi="Verdana"/>
        </w:rPr>
      </w:pPr>
      <w:r>
        <w:rPr>
          <w:rFonts w:ascii="Verdana" w:hAnsi="Verdana"/>
        </w:rPr>
        <w:t xml:space="preserve">The </w:t>
      </w:r>
      <w:r w:rsidR="00C93F4A">
        <w:rPr>
          <w:rFonts w:ascii="Verdana" w:hAnsi="Verdana"/>
        </w:rPr>
        <w:t>EU Race Equality Directive</w:t>
      </w:r>
      <w:r>
        <w:rPr>
          <w:rFonts w:ascii="Verdana" w:hAnsi="Verdana"/>
        </w:rPr>
        <w:t>;</w:t>
      </w:r>
      <w:r>
        <w:rPr>
          <w:rStyle w:val="FootnoteReference"/>
          <w:rFonts w:ascii="Verdana" w:hAnsi="Verdana"/>
        </w:rPr>
        <w:footnoteReference w:id="27"/>
      </w:r>
    </w:p>
    <w:p w14:paraId="2ACAF782" w14:textId="76FE0B7C" w:rsidR="00881F2C" w:rsidRDefault="00881F2C" w:rsidP="00813BC7">
      <w:pPr>
        <w:pStyle w:val="BasicParagraph"/>
        <w:numPr>
          <w:ilvl w:val="2"/>
          <w:numId w:val="9"/>
        </w:numPr>
        <w:suppressAutoHyphens/>
        <w:rPr>
          <w:rFonts w:ascii="Verdana" w:hAnsi="Verdana"/>
        </w:rPr>
      </w:pPr>
      <w:r>
        <w:rPr>
          <w:rFonts w:ascii="Verdana" w:hAnsi="Verdana"/>
        </w:rPr>
        <w:t>The EU Framework Equality Directive</w:t>
      </w:r>
      <w:r w:rsidR="00BE7C53">
        <w:rPr>
          <w:rFonts w:ascii="Verdana" w:hAnsi="Verdana"/>
        </w:rPr>
        <w:t>;</w:t>
      </w:r>
      <w:r w:rsidR="00B82217">
        <w:rPr>
          <w:rStyle w:val="FootnoteReference"/>
          <w:rFonts w:ascii="Verdana" w:hAnsi="Verdana"/>
        </w:rPr>
        <w:footnoteReference w:id="28"/>
      </w:r>
    </w:p>
    <w:p w14:paraId="08C393A2" w14:textId="5FA1419E" w:rsidR="00881F2C" w:rsidRDefault="00881F2C" w:rsidP="00813BC7">
      <w:pPr>
        <w:pStyle w:val="BasicParagraph"/>
        <w:numPr>
          <w:ilvl w:val="2"/>
          <w:numId w:val="9"/>
        </w:numPr>
        <w:suppressAutoHyphens/>
        <w:rPr>
          <w:rFonts w:ascii="Verdana" w:hAnsi="Verdana"/>
        </w:rPr>
      </w:pPr>
      <w:r>
        <w:rPr>
          <w:rFonts w:ascii="Verdana" w:hAnsi="Verdana"/>
        </w:rPr>
        <w:t xml:space="preserve">The EU Gender </w:t>
      </w:r>
      <w:r w:rsidR="003F5994">
        <w:rPr>
          <w:rFonts w:ascii="Verdana" w:hAnsi="Verdana"/>
        </w:rPr>
        <w:t xml:space="preserve">Equality </w:t>
      </w:r>
      <w:r>
        <w:rPr>
          <w:rFonts w:ascii="Verdana" w:hAnsi="Verdana"/>
        </w:rPr>
        <w:t>Directive</w:t>
      </w:r>
      <w:r w:rsidR="00BE7C53">
        <w:rPr>
          <w:rFonts w:ascii="Verdana" w:hAnsi="Verdana"/>
        </w:rPr>
        <w:t>;</w:t>
      </w:r>
      <w:r w:rsidR="00B82217">
        <w:rPr>
          <w:rStyle w:val="FootnoteReference"/>
          <w:rFonts w:ascii="Verdana" w:hAnsi="Verdana"/>
        </w:rPr>
        <w:footnoteReference w:id="29"/>
      </w:r>
      <w:r w:rsidR="00B7267D">
        <w:rPr>
          <w:rFonts w:ascii="Verdana" w:hAnsi="Verdana"/>
        </w:rPr>
        <w:t xml:space="preserve"> and</w:t>
      </w:r>
    </w:p>
    <w:p w14:paraId="7D426DE3" w14:textId="2A69A321" w:rsidR="00C93F4A" w:rsidRDefault="00540698" w:rsidP="00813BC7">
      <w:pPr>
        <w:pStyle w:val="BasicParagraph"/>
        <w:numPr>
          <w:ilvl w:val="2"/>
          <w:numId w:val="9"/>
        </w:numPr>
        <w:suppressAutoHyphens/>
        <w:rPr>
          <w:rFonts w:ascii="Verdana" w:hAnsi="Verdana"/>
        </w:rPr>
      </w:pPr>
      <w:r>
        <w:rPr>
          <w:rFonts w:ascii="Verdana" w:hAnsi="Verdana"/>
        </w:rPr>
        <w:t xml:space="preserve">The </w:t>
      </w:r>
      <w:r w:rsidR="00C93F4A">
        <w:rPr>
          <w:rFonts w:ascii="Verdana" w:hAnsi="Verdana"/>
        </w:rPr>
        <w:t xml:space="preserve">Charter of Fundamental Rights </w:t>
      </w:r>
      <w:r w:rsidR="00A77D0C">
        <w:rPr>
          <w:rFonts w:ascii="Verdana" w:hAnsi="Verdana"/>
        </w:rPr>
        <w:t>of the European Union.</w:t>
      </w:r>
      <w:r w:rsidR="00A77D0C">
        <w:rPr>
          <w:rStyle w:val="FootnoteReference"/>
          <w:rFonts w:ascii="Verdana" w:hAnsi="Verdana"/>
        </w:rPr>
        <w:footnoteReference w:id="30"/>
      </w:r>
    </w:p>
    <w:p w14:paraId="6DA0F28F" w14:textId="77777777" w:rsidR="00813BC7" w:rsidRPr="00813BC7" w:rsidRDefault="00813BC7" w:rsidP="0037772E">
      <w:pPr>
        <w:pStyle w:val="BasicParagraph"/>
        <w:suppressAutoHyphens/>
        <w:rPr>
          <w:rFonts w:ascii="Verdana" w:hAnsi="Verdana"/>
        </w:rPr>
      </w:pPr>
    </w:p>
    <w:p w14:paraId="4802FA6F" w14:textId="2278D601" w:rsidR="00697A82" w:rsidRPr="00740F1C" w:rsidRDefault="00BD567E">
      <w:pPr>
        <w:pStyle w:val="BasicParagraph"/>
        <w:numPr>
          <w:ilvl w:val="1"/>
          <w:numId w:val="9"/>
        </w:numPr>
        <w:suppressAutoHyphens/>
        <w:ind w:left="709"/>
        <w:rPr>
          <w:rFonts w:ascii="Verdana" w:hAnsi="Verdana"/>
        </w:rPr>
      </w:pPr>
      <w:r w:rsidRPr="00BD567E">
        <w:rPr>
          <w:rFonts w:ascii="Verdana" w:hAnsi="Verdana"/>
        </w:rPr>
        <w:t xml:space="preserve">This NIHRC </w:t>
      </w:r>
      <w:r w:rsidR="00697A82" w:rsidRPr="003D5064">
        <w:rPr>
          <w:rFonts w:ascii="Verdana" w:hAnsi="Verdana"/>
          <w:lang w:val="en-US"/>
        </w:rPr>
        <w:t xml:space="preserve">welcomes the opportunity to respond to the </w:t>
      </w:r>
      <w:r w:rsidR="00697A82">
        <w:rPr>
          <w:rFonts w:ascii="Verdana" w:hAnsi="Verdana"/>
          <w:lang w:val="en-US"/>
        </w:rPr>
        <w:t>Executive Office’s</w:t>
      </w:r>
      <w:r w:rsidR="00697A82" w:rsidRPr="003D5064">
        <w:rPr>
          <w:rFonts w:ascii="Verdana" w:hAnsi="Verdana"/>
          <w:lang w:val="en-US"/>
        </w:rPr>
        <w:t xml:space="preserve"> consultation on </w:t>
      </w:r>
      <w:r w:rsidR="00697A82">
        <w:rPr>
          <w:rFonts w:ascii="Verdana" w:hAnsi="Verdana"/>
          <w:lang w:val="en-US"/>
        </w:rPr>
        <w:t>its review of the Race Relations (NI) Order 1997.</w:t>
      </w:r>
      <w:r w:rsidR="00937B9A">
        <w:rPr>
          <w:rFonts w:ascii="Verdana" w:hAnsi="Verdana"/>
          <w:lang w:val="en-US"/>
        </w:rPr>
        <w:t xml:space="preserve"> This </w:t>
      </w:r>
      <w:r w:rsidR="00937B9A">
        <w:rPr>
          <w:rFonts w:ascii="Verdana" w:hAnsi="Verdana"/>
          <w:lang w:val="en-US"/>
        </w:rPr>
        <w:lastRenderedPageBreak/>
        <w:t xml:space="preserve">advice is </w:t>
      </w:r>
      <w:r w:rsidR="000035D8">
        <w:rPr>
          <w:rFonts w:ascii="Verdana" w:hAnsi="Verdana"/>
          <w:lang w:val="en-US"/>
        </w:rPr>
        <w:t xml:space="preserve">given </w:t>
      </w:r>
      <w:r w:rsidR="00937B9A">
        <w:rPr>
          <w:rFonts w:ascii="Verdana" w:hAnsi="Verdana"/>
          <w:lang w:val="en-US"/>
        </w:rPr>
        <w:t xml:space="preserve">on the proposals </w:t>
      </w:r>
      <w:r w:rsidR="000035D8">
        <w:rPr>
          <w:rFonts w:ascii="Verdana" w:hAnsi="Verdana"/>
          <w:lang w:val="en-US"/>
        </w:rPr>
        <w:t>of</w:t>
      </w:r>
      <w:r w:rsidR="00937B9A">
        <w:rPr>
          <w:rFonts w:ascii="Verdana" w:hAnsi="Verdana"/>
          <w:lang w:val="en-US"/>
        </w:rPr>
        <w:t xml:space="preserve"> the consultation document</w:t>
      </w:r>
      <w:r w:rsidR="00DD57DB">
        <w:rPr>
          <w:rFonts w:ascii="Verdana" w:hAnsi="Verdana"/>
          <w:lang w:val="en-US"/>
        </w:rPr>
        <w:t>, with a focus on human rights standards</w:t>
      </w:r>
      <w:r w:rsidR="000035D8">
        <w:rPr>
          <w:rFonts w:ascii="Verdana" w:hAnsi="Verdana"/>
          <w:lang w:val="en-US"/>
        </w:rPr>
        <w:t>.</w:t>
      </w:r>
    </w:p>
    <w:p w14:paraId="227559C0" w14:textId="77777777" w:rsidR="00740F1C" w:rsidRDefault="00740F1C" w:rsidP="00740F1C">
      <w:pPr>
        <w:pStyle w:val="BasicParagraph"/>
        <w:suppressAutoHyphens/>
        <w:ind w:left="-11"/>
        <w:rPr>
          <w:rFonts w:ascii="Verdana" w:hAnsi="Verdana"/>
        </w:rPr>
      </w:pPr>
    </w:p>
    <w:p w14:paraId="015496EF" w14:textId="77777777" w:rsidR="003731EE" w:rsidRDefault="003731EE" w:rsidP="003731EE">
      <w:pPr>
        <w:pStyle w:val="Heading1"/>
        <w:numPr>
          <w:ilvl w:val="0"/>
          <w:numId w:val="11"/>
        </w:numPr>
      </w:pPr>
      <w:bookmarkStart w:id="2" w:name="_Toc137459912"/>
      <w:r>
        <w:t>Race Equality Bill</w:t>
      </w:r>
      <w:bookmarkEnd w:id="2"/>
      <w:r w:rsidRPr="00BD567E">
        <w:t xml:space="preserve"> </w:t>
      </w:r>
    </w:p>
    <w:p w14:paraId="3BB206C5" w14:textId="77777777" w:rsidR="00511A4B" w:rsidRPr="00511A4B" w:rsidRDefault="00511A4B" w:rsidP="00511A4B">
      <w:pPr>
        <w:pStyle w:val="ListParagraph"/>
        <w:widowControl w:val="0"/>
        <w:numPr>
          <w:ilvl w:val="0"/>
          <w:numId w:val="9"/>
        </w:numPr>
        <w:suppressAutoHyphens/>
        <w:autoSpaceDE w:val="0"/>
        <w:autoSpaceDN w:val="0"/>
        <w:adjustRightInd w:val="0"/>
        <w:contextualSpacing w:val="0"/>
        <w:textAlignment w:val="center"/>
        <w:rPr>
          <w:rFonts w:cs="MinionPro-Regular"/>
          <w:vanish/>
          <w:color w:val="000000"/>
          <w:lang w:val="en-US"/>
        </w:rPr>
      </w:pPr>
    </w:p>
    <w:p w14:paraId="67930362" w14:textId="61133D5B" w:rsidR="003731EE" w:rsidRPr="005745AA" w:rsidRDefault="003731EE" w:rsidP="00511A4B">
      <w:pPr>
        <w:pStyle w:val="BasicParagraph"/>
        <w:numPr>
          <w:ilvl w:val="1"/>
          <w:numId w:val="9"/>
        </w:numPr>
        <w:suppressAutoHyphens/>
        <w:ind w:left="709"/>
        <w:rPr>
          <w:rFonts w:ascii="Verdana" w:hAnsi="Verdana"/>
          <w:lang w:val="en-US"/>
        </w:rPr>
      </w:pPr>
      <w:r>
        <w:rPr>
          <w:rFonts w:ascii="Verdana" w:hAnsi="Verdana"/>
          <w:lang w:val="en-US"/>
        </w:rPr>
        <w:t>The</w:t>
      </w:r>
      <w:r w:rsidR="0099231E">
        <w:rPr>
          <w:rFonts w:ascii="Verdana" w:hAnsi="Verdana"/>
          <w:lang w:val="en-US"/>
        </w:rPr>
        <w:t xml:space="preserve">re is some confusion as to whether the consultation contemplates a new Bill or is limited to amendment of the current legislation. For example, the </w:t>
      </w:r>
      <w:r>
        <w:rPr>
          <w:rFonts w:ascii="Verdana" w:hAnsi="Verdana"/>
          <w:lang w:val="en-US"/>
        </w:rPr>
        <w:t xml:space="preserve">consultation document </w:t>
      </w:r>
      <w:r w:rsidR="000035D8">
        <w:rPr>
          <w:rFonts w:ascii="Verdana" w:hAnsi="Verdana"/>
          <w:lang w:val="en-US"/>
        </w:rPr>
        <w:t xml:space="preserve">commits that </w:t>
      </w:r>
      <w:r>
        <w:rPr>
          <w:rFonts w:ascii="Verdana" w:hAnsi="Verdana"/>
          <w:lang w:val="en-US"/>
        </w:rPr>
        <w:t>responses will “be analysed and directly inform the legislative process to bring forward a new Racial Equality Bill to replace the [Race Relations (NI)] Order”</w:t>
      </w:r>
      <w:r>
        <w:rPr>
          <w:rFonts w:ascii="Verdana" w:hAnsi="Verdana"/>
        </w:rPr>
        <w:t>.</w:t>
      </w:r>
      <w:r>
        <w:rPr>
          <w:rStyle w:val="FootnoteReference"/>
          <w:rFonts w:ascii="Verdana" w:hAnsi="Verdana"/>
          <w:lang w:val="en-US"/>
        </w:rPr>
        <w:footnoteReference w:id="31"/>
      </w:r>
      <w:r>
        <w:rPr>
          <w:rFonts w:ascii="Verdana" w:hAnsi="Verdana"/>
        </w:rPr>
        <w:t xml:space="preserve"> </w:t>
      </w:r>
      <w:r w:rsidR="0099231E">
        <w:rPr>
          <w:rFonts w:ascii="Verdana" w:hAnsi="Verdana"/>
        </w:rPr>
        <w:t xml:space="preserve">Thereafter, </w:t>
      </w:r>
      <w:r>
        <w:rPr>
          <w:rFonts w:ascii="Verdana" w:hAnsi="Verdana"/>
        </w:rPr>
        <w:t>there are only</w:t>
      </w:r>
      <w:r w:rsidRPr="005745AA">
        <w:rPr>
          <w:rFonts w:ascii="Verdana" w:hAnsi="Verdana"/>
          <w:lang w:val="en-US"/>
        </w:rPr>
        <w:t xml:space="preserve"> discreet refer</w:t>
      </w:r>
      <w:r>
        <w:rPr>
          <w:rFonts w:ascii="Verdana" w:hAnsi="Verdana"/>
          <w:lang w:val="en-US"/>
        </w:rPr>
        <w:t>ences</w:t>
      </w:r>
      <w:r w:rsidRPr="005745AA">
        <w:rPr>
          <w:rFonts w:ascii="Verdana" w:hAnsi="Verdana"/>
          <w:lang w:val="en-US"/>
        </w:rPr>
        <w:t xml:space="preserve"> to </w:t>
      </w:r>
      <w:r w:rsidR="00DB754C">
        <w:rPr>
          <w:rFonts w:ascii="Verdana" w:hAnsi="Verdana"/>
          <w:lang w:val="en-US"/>
        </w:rPr>
        <w:t>‘</w:t>
      </w:r>
      <w:r w:rsidRPr="005745AA">
        <w:rPr>
          <w:rFonts w:ascii="Verdana" w:hAnsi="Verdana"/>
          <w:lang w:val="en-US"/>
        </w:rPr>
        <w:t>the new Bill</w:t>
      </w:r>
      <w:r w:rsidR="00DB754C">
        <w:rPr>
          <w:rFonts w:ascii="Verdana" w:hAnsi="Verdana"/>
          <w:lang w:val="en-US"/>
        </w:rPr>
        <w:t xml:space="preserve">’. </w:t>
      </w:r>
      <w:r w:rsidR="0099231E">
        <w:rPr>
          <w:rFonts w:ascii="Verdana" w:hAnsi="Verdana"/>
          <w:lang w:val="en-US"/>
        </w:rPr>
        <w:t>T</w:t>
      </w:r>
      <w:r>
        <w:rPr>
          <w:rFonts w:ascii="Verdana" w:hAnsi="Verdana"/>
          <w:lang w:val="en-US"/>
        </w:rPr>
        <w:t xml:space="preserve">he consultation </w:t>
      </w:r>
      <w:r w:rsidR="0099231E">
        <w:rPr>
          <w:rFonts w:ascii="Verdana" w:hAnsi="Verdana"/>
          <w:lang w:val="en-US"/>
        </w:rPr>
        <w:t xml:space="preserve">is </w:t>
      </w:r>
      <w:r>
        <w:rPr>
          <w:rFonts w:ascii="Verdana" w:hAnsi="Verdana"/>
          <w:lang w:val="en-US"/>
        </w:rPr>
        <w:t xml:space="preserve">focused on </w:t>
      </w:r>
      <w:r w:rsidR="0099231E">
        <w:rPr>
          <w:rFonts w:ascii="Verdana" w:hAnsi="Verdana"/>
          <w:lang w:val="en-US"/>
        </w:rPr>
        <w:t xml:space="preserve">proposed amendments to </w:t>
      </w:r>
      <w:r>
        <w:rPr>
          <w:rFonts w:ascii="Verdana" w:hAnsi="Verdana"/>
          <w:lang w:val="en-US"/>
        </w:rPr>
        <w:t>the Race Relations (NI) Order</w:t>
      </w:r>
      <w:r w:rsidR="0099231E">
        <w:rPr>
          <w:rFonts w:ascii="Verdana" w:hAnsi="Verdana"/>
          <w:lang w:val="en-US"/>
        </w:rPr>
        <w:t xml:space="preserve"> 1997</w:t>
      </w:r>
      <w:r w:rsidRPr="005745AA">
        <w:rPr>
          <w:rFonts w:ascii="Verdana" w:hAnsi="Verdana"/>
          <w:lang w:val="en-US"/>
        </w:rPr>
        <w:t xml:space="preserve">. </w:t>
      </w:r>
      <w:r w:rsidR="0099231E">
        <w:rPr>
          <w:rFonts w:ascii="Verdana" w:hAnsi="Verdana"/>
          <w:lang w:val="en-US"/>
        </w:rPr>
        <w:t>This should be clarified. T</w:t>
      </w:r>
      <w:r w:rsidRPr="008D4361">
        <w:rPr>
          <w:rFonts w:ascii="Verdana" w:hAnsi="Verdana"/>
          <w:lang w:val="en-US"/>
        </w:rPr>
        <w:t xml:space="preserve">he Executive Office </w:t>
      </w:r>
      <w:r w:rsidR="0099231E">
        <w:rPr>
          <w:rFonts w:ascii="Verdana" w:hAnsi="Verdana"/>
          <w:lang w:val="en-US"/>
        </w:rPr>
        <w:t>must make clear its intentions for</w:t>
      </w:r>
      <w:r w:rsidRPr="008D4361">
        <w:rPr>
          <w:rFonts w:ascii="Verdana" w:hAnsi="Verdana"/>
          <w:lang w:val="en-US"/>
        </w:rPr>
        <w:t xml:space="preserve"> reform </w:t>
      </w:r>
      <w:r w:rsidR="0099231E">
        <w:rPr>
          <w:rFonts w:ascii="Verdana" w:hAnsi="Verdana"/>
          <w:lang w:val="en-US"/>
        </w:rPr>
        <w:t>of the</w:t>
      </w:r>
      <w:r w:rsidRPr="008D4361">
        <w:rPr>
          <w:rFonts w:ascii="Verdana" w:hAnsi="Verdana"/>
          <w:lang w:val="en-US"/>
        </w:rPr>
        <w:t xml:space="preserve"> law relating to race relations</w:t>
      </w:r>
      <w:r w:rsidR="0099231E">
        <w:rPr>
          <w:rFonts w:ascii="Verdana" w:hAnsi="Verdana"/>
          <w:lang w:val="en-US"/>
        </w:rPr>
        <w:t xml:space="preserve">. That said, the NIHRC provides the following by way of advice in recognition that further consultation and engagement by the Executive Office will be necessary. </w:t>
      </w:r>
      <w:r w:rsidRPr="005745AA">
        <w:rPr>
          <w:rFonts w:ascii="Verdana" w:hAnsi="Verdana"/>
          <w:lang w:val="en-US"/>
        </w:rPr>
        <w:t xml:space="preserve"> </w:t>
      </w:r>
    </w:p>
    <w:p w14:paraId="0DF5B829" w14:textId="77777777" w:rsidR="003731EE" w:rsidRDefault="003731EE" w:rsidP="003731EE">
      <w:pPr>
        <w:pStyle w:val="BasicParagraph"/>
        <w:rPr>
          <w:rFonts w:eastAsia="MS Mincho"/>
          <w:color w:val="000000" w:themeColor="text1"/>
          <w:lang w:val="en-US"/>
        </w:rPr>
      </w:pPr>
    </w:p>
    <w:p w14:paraId="26A6A7C1" w14:textId="3DB4AABE" w:rsidR="003731EE" w:rsidRPr="00AC5865" w:rsidRDefault="0099231E" w:rsidP="003731EE">
      <w:pPr>
        <w:pStyle w:val="BasicParagraph"/>
        <w:numPr>
          <w:ilvl w:val="1"/>
          <w:numId w:val="9"/>
        </w:numPr>
        <w:suppressAutoHyphens/>
        <w:ind w:left="709"/>
        <w:rPr>
          <w:rFonts w:ascii="Verdana" w:hAnsi="Verdana"/>
        </w:rPr>
      </w:pPr>
      <w:r>
        <w:rPr>
          <w:rFonts w:ascii="Verdana" w:hAnsi="Verdana"/>
          <w:lang w:val="en-US"/>
        </w:rPr>
        <w:t>It is beyond doubt that a h</w:t>
      </w:r>
      <w:r w:rsidR="003731EE">
        <w:rPr>
          <w:rFonts w:ascii="Verdana" w:hAnsi="Verdana"/>
          <w:lang w:val="en-US"/>
        </w:rPr>
        <w:t xml:space="preserve">uman rights-based approach </w:t>
      </w:r>
      <w:r>
        <w:rPr>
          <w:rFonts w:ascii="Verdana" w:hAnsi="Verdana"/>
          <w:lang w:val="en-US"/>
        </w:rPr>
        <w:t xml:space="preserve">will only be achieved in practice by </w:t>
      </w:r>
      <w:r w:rsidR="003731EE">
        <w:rPr>
          <w:rFonts w:ascii="Verdana" w:hAnsi="Verdana"/>
          <w:lang w:val="en-US"/>
        </w:rPr>
        <w:t>effective participation.</w:t>
      </w:r>
      <w:r w:rsidR="003731EE">
        <w:rPr>
          <w:rStyle w:val="FootnoteReference"/>
          <w:rFonts w:ascii="Verdana" w:hAnsi="Verdana"/>
          <w:lang w:val="en-US"/>
        </w:rPr>
        <w:footnoteReference w:id="32"/>
      </w:r>
      <w:r w:rsidR="003731EE">
        <w:rPr>
          <w:rFonts w:ascii="Verdana" w:hAnsi="Verdana"/>
          <w:lang w:val="en-US"/>
        </w:rPr>
        <w:t xml:space="preserve"> </w:t>
      </w:r>
      <w:r>
        <w:rPr>
          <w:rFonts w:ascii="Verdana" w:hAnsi="Verdana"/>
          <w:lang w:val="en-US"/>
        </w:rPr>
        <w:t xml:space="preserve">The need for fundamental reform, for example by a wholly </w:t>
      </w:r>
      <w:r w:rsidR="003731EE">
        <w:rPr>
          <w:rFonts w:ascii="Verdana" w:hAnsi="Verdana"/>
          <w:lang w:val="en-US"/>
        </w:rPr>
        <w:t>new Racial Equality Bill</w:t>
      </w:r>
      <w:r>
        <w:rPr>
          <w:rFonts w:ascii="Verdana" w:hAnsi="Verdana"/>
          <w:lang w:val="en-US"/>
        </w:rPr>
        <w:t>,</w:t>
      </w:r>
      <w:r w:rsidR="003731EE">
        <w:rPr>
          <w:rFonts w:ascii="Verdana" w:hAnsi="Verdana"/>
          <w:lang w:val="en-US"/>
        </w:rPr>
        <w:t xml:space="preserve"> </w:t>
      </w:r>
      <w:r>
        <w:rPr>
          <w:rFonts w:ascii="Verdana" w:hAnsi="Verdana"/>
          <w:lang w:val="en-US"/>
        </w:rPr>
        <w:t xml:space="preserve">better meets the evidence of </w:t>
      </w:r>
      <w:r w:rsidR="003731EE">
        <w:rPr>
          <w:rFonts w:ascii="Verdana" w:hAnsi="Verdana"/>
          <w:lang w:val="en-US"/>
        </w:rPr>
        <w:t>civil society organisations and experts in NI.</w:t>
      </w:r>
      <w:r w:rsidR="003731EE">
        <w:rPr>
          <w:rStyle w:val="FootnoteReference"/>
          <w:rFonts w:ascii="Verdana" w:hAnsi="Verdana"/>
          <w:lang w:val="en-US"/>
        </w:rPr>
        <w:footnoteReference w:id="33"/>
      </w:r>
      <w:r w:rsidR="003731EE">
        <w:rPr>
          <w:rFonts w:ascii="Verdana" w:hAnsi="Verdana"/>
          <w:lang w:val="en-US"/>
        </w:rPr>
        <w:t xml:space="preserve"> </w:t>
      </w:r>
      <w:r>
        <w:rPr>
          <w:rFonts w:ascii="Verdana" w:hAnsi="Verdana"/>
          <w:lang w:val="en-US"/>
        </w:rPr>
        <w:t xml:space="preserve">The consultation and implementation proposals, however, will need to go further and ensure </w:t>
      </w:r>
      <w:r w:rsidR="003731EE">
        <w:rPr>
          <w:rFonts w:ascii="Verdana" w:hAnsi="Verdana"/>
          <w:lang w:val="en-US"/>
        </w:rPr>
        <w:t xml:space="preserve">meaningful engagement with </w:t>
      </w:r>
      <w:r w:rsidR="00551525">
        <w:rPr>
          <w:rFonts w:ascii="Verdana" w:hAnsi="Verdana"/>
          <w:lang w:val="en-US"/>
        </w:rPr>
        <w:t xml:space="preserve">the </w:t>
      </w:r>
      <w:r w:rsidR="003731EE">
        <w:rPr>
          <w:rFonts w:ascii="Verdana" w:hAnsi="Verdana"/>
          <w:lang w:val="en-US"/>
        </w:rPr>
        <w:t xml:space="preserve">individuals affected and their representative organisations at every stage of the process – planning, design, implementation and evaluation. </w:t>
      </w:r>
    </w:p>
    <w:p w14:paraId="272A990A" w14:textId="77777777" w:rsidR="003731EE" w:rsidRPr="003731EE" w:rsidRDefault="003731EE" w:rsidP="003731EE">
      <w:pPr>
        <w:rPr>
          <w:b/>
          <w:bCs/>
          <w:lang w:val="en-US"/>
        </w:rPr>
      </w:pPr>
    </w:p>
    <w:p w14:paraId="283DDE24" w14:textId="1E6D5DFC" w:rsidR="003731EE" w:rsidRPr="00E07F34" w:rsidRDefault="003731EE" w:rsidP="003731EE">
      <w:pPr>
        <w:pStyle w:val="BasicParagraph"/>
        <w:numPr>
          <w:ilvl w:val="1"/>
          <w:numId w:val="9"/>
        </w:numPr>
        <w:suppressAutoHyphens/>
        <w:ind w:left="709"/>
        <w:rPr>
          <w:rFonts w:ascii="Verdana" w:hAnsi="Verdana"/>
          <w:b/>
          <w:bCs/>
        </w:rPr>
      </w:pPr>
      <w:r w:rsidRPr="00E07F34">
        <w:rPr>
          <w:rFonts w:ascii="Verdana" w:hAnsi="Verdana"/>
          <w:b/>
          <w:bCs/>
          <w:lang w:val="en-US"/>
        </w:rPr>
        <w:t xml:space="preserve">The NIHRC recommends that, </w:t>
      </w:r>
      <w:r w:rsidR="0099231E">
        <w:rPr>
          <w:rFonts w:ascii="Verdana" w:hAnsi="Verdana"/>
          <w:b/>
          <w:bCs/>
          <w:lang w:val="en-US"/>
        </w:rPr>
        <w:t xml:space="preserve">to ensure </w:t>
      </w:r>
      <w:r w:rsidRPr="00E07F34">
        <w:rPr>
          <w:rFonts w:ascii="Verdana" w:hAnsi="Verdana"/>
          <w:b/>
          <w:bCs/>
          <w:lang w:val="en-US"/>
        </w:rPr>
        <w:t xml:space="preserve">a human </w:t>
      </w:r>
      <w:r w:rsidR="004130F9" w:rsidRPr="00E07F34">
        <w:rPr>
          <w:rFonts w:ascii="Verdana" w:hAnsi="Verdana"/>
          <w:b/>
          <w:bCs/>
          <w:lang w:val="en-US"/>
        </w:rPr>
        <w:t>rights-based</w:t>
      </w:r>
      <w:r w:rsidRPr="00E07F34">
        <w:rPr>
          <w:rFonts w:ascii="Verdana" w:hAnsi="Verdana"/>
          <w:b/>
          <w:bCs/>
          <w:lang w:val="en-US"/>
        </w:rPr>
        <w:t xml:space="preserve"> approach</w:t>
      </w:r>
      <w:r w:rsidR="000F6872">
        <w:rPr>
          <w:rFonts w:ascii="Verdana" w:hAnsi="Verdana"/>
          <w:b/>
          <w:bCs/>
          <w:lang w:val="en-US"/>
        </w:rPr>
        <w:t xml:space="preserve"> to racial equality</w:t>
      </w:r>
      <w:r w:rsidRPr="00E07F34">
        <w:rPr>
          <w:rFonts w:ascii="Verdana" w:hAnsi="Verdana"/>
          <w:b/>
          <w:bCs/>
          <w:lang w:val="en-US"/>
        </w:rPr>
        <w:t xml:space="preserve">, the Executive Office </w:t>
      </w:r>
      <w:r w:rsidR="000F6872">
        <w:rPr>
          <w:rFonts w:ascii="Verdana" w:hAnsi="Verdana"/>
          <w:b/>
          <w:bCs/>
          <w:lang w:val="en-US"/>
        </w:rPr>
        <w:t>undertakes</w:t>
      </w:r>
      <w:r w:rsidR="000F6872" w:rsidRPr="00E07F34">
        <w:rPr>
          <w:rFonts w:ascii="Verdana" w:hAnsi="Verdana"/>
          <w:b/>
          <w:bCs/>
          <w:lang w:val="en-US"/>
        </w:rPr>
        <w:t xml:space="preserve"> </w:t>
      </w:r>
      <w:r w:rsidRPr="00E07F34">
        <w:rPr>
          <w:rFonts w:ascii="Verdana" w:hAnsi="Verdana"/>
          <w:b/>
          <w:bCs/>
          <w:lang w:val="en-US"/>
        </w:rPr>
        <w:t xml:space="preserve">meaningful engagement with individuals affected and their representative organisations at every stage of the process. This </w:t>
      </w:r>
      <w:r w:rsidR="000F6872">
        <w:rPr>
          <w:rFonts w:ascii="Verdana" w:hAnsi="Verdana"/>
          <w:b/>
          <w:bCs/>
          <w:lang w:val="en-US"/>
        </w:rPr>
        <w:t xml:space="preserve">should extend beyond </w:t>
      </w:r>
      <w:r w:rsidRPr="00E07F34">
        <w:rPr>
          <w:rFonts w:ascii="Verdana" w:hAnsi="Verdana"/>
          <w:b/>
          <w:bCs/>
          <w:lang w:val="en-US"/>
        </w:rPr>
        <w:t>th</w:t>
      </w:r>
      <w:r w:rsidR="00303860">
        <w:rPr>
          <w:rFonts w:ascii="Verdana" w:hAnsi="Verdana"/>
          <w:b/>
          <w:bCs/>
          <w:lang w:val="en-US"/>
        </w:rPr>
        <w:t>is</w:t>
      </w:r>
      <w:r w:rsidRPr="00E07F34">
        <w:rPr>
          <w:rFonts w:ascii="Verdana" w:hAnsi="Verdana"/>
          <w:b/>
          <w:bCs/>
          <w:lang w:val="en-US"/>
        </w:rPr>
        <w:t xml:space="preserve"> public consultation, </w:t>
      </w:r>
      <w:r w:rsidR="000F6872">
        <w:rPr>
          <w:rFonts w:ascii="Verdana" w:hAnsi="Verdana"/>
          <w:b/>
          <w:bCs/>
          <w:lang w:val="en-US"/>
        </w:rPr>
        <w:t>to</w:t>
      </w:r>
      <w:r w:rsidR="000F6872" w:rsidRPr="00E07F34">
        <w:rPr>
          <w:rFonts w:ascii="Verdana" w:hAnsi="Verdana"/>
          <w:b/>
          <w:bCs/>
          <w:lang w:val="en-US"/>
        </w:rPr>
        <w:t xml:space="preserve"> </w:t>
      </w:r>
      <w:r w:rsidRPr="00E07F34">
        <w:rPr>
          <w:rFonts w:ascii="Verdana" w:hAnsi="Verdana"/>
          <w:b/>
          <w:bCs/>
          <w:lang w:val="en-US"/>
        </w:rPr>
        <w:t>include planning, design, implementation and evaluation.</w:t>
      </w:r>
    </w:p>
    <w:p w14:paraId="687FC5D2" w14:textId="77777777" w:rsidR="003731EE" w:rsidRDefault="003731EE" w:rsidP="003731EE">
      <w:pPr>
        <w:pStyle w:val="BasicParagraph"/>
        <w:suppressAutoHyphens/>
        <w:ind w:left="-11"/>
        <w:rPr>
          <w:rFonts w:ascii="Verdana" w:hAnsi="Verdana"/>
          <w:lang w:val="en-US"/>
        </w:rPr>
      </w:pPr>
    </w:p>
    <w:p w14:paraId="1DEBD977" w14:textId="3CC7C2FF" w:rsidR="00D622D7" w:rsidRDefault="00D622D7" w:rsidP="00740F1C">
      <w:pPr>
        <w:pStyle w:val="Heading1"/>
        <w:numPr>
          <w:ilvl w:val="0"/>
          <w:numId w:val="11"/>
        </w:numPr>
      </w:pPr>
      <w:bookmarkStart w:id="3" w:name="_Toc137459913"/>
      <w:r>
        <w:lastRenderedPageBreak/>
        <w:t>Windsor Framework Article 2</w:t>
      </w:r>
      <w:bookmarkEnd w:id="3"/>
    </w:p>
    <w:p w14:paraId="74A9D531" w14:textId="5CCF7A88" w:rsidR="00E57A2B" w:rsidRDefault="00F170BC" w:rsidP="003647E4">
      <w:pPr>
        <w:pStyle w:val="ListParagraph"/>
        <w:numPr>
          <w:ilvl w:val="1"/>
          <w:numId w:val="11"/>
        </w:numPr>
        <w:ind w:left="709"/>
      </w:pPr>
      <w:r>
        <w:t xml:space="preserve">Article 2 of the </w:t>
      </w:r>
      <w:r w:rsidR="005C3161">
        <w:t>Windsor Framework</w:t>
      </w:r>
      <w:r>
        <w:t xml:space="preserve"> requires the UK Government and NI Executive to ensure that there is no diminution of rights, safeguards and equality of opportunity as set out in the relevant chapter of the Belfast (Good Friday) Agreement 1998, as a result of the UK’s withdrawal from the EU.</w:t>
      </w:r>
    </w:p>
    <w:p w14:paraId="282EEF2C" w14:textId="77777777" w:rsidR="002A3263" w:rsidRDefault="002A3263" w:rsidP="002A3263">
      <w:pPr>
        <w:pStyle w:val="ListParagraph"/>
        <w:ind w:left="709"/>
      </w:pPr>
    </w:p>
    <w:p w14:paraId="69EC3D6C" w14:textId="53A639FE" w:rsidR="002A3263" w:rsidRDefault="002A3263" w:rsidP="003647E4">
      <w:pPr>
        <w:pStyle w:val="ListParagraph"/>
        <w:numPr>
          <w:ilvl w:val="1"/>
          <w:numId w:val="11"/>
        </w:numPr>
        <w:ind w:left="709"/>
      </w:pPr>
      <w:r>
        <w:t>In the rights, safeguards and equality of opportunity chapter of the Belfast (Good Friday) Agreement, the parties affirmed their commitment to “the mutual respect, the civil rights and religious liberties of everyone in the community”, including the right to equality of opportunity in all social and economic activity regardless of ethnicity.</w:t>
      </w:r>
      <w:r>
        <w:rPr>
          <w:rStyle w:val="FootnoteReference"/>
        </w:rPr>
        <w:footnoteReference w:id="34"/>
      </w:r>
    </w:p>
    <w:p w14:paraId="4A520C2E" w14:textId="77777777" w:rsidR="00D92D20" w:rsidRDefault="00D92D20" w:rsidP="00D92D20">
      <w:pPr>
        <w:pStyle w:val="ListParagraph"/>
      </w:pPr>
    </w:p>
    <w:p w14:paraId="4C6B4565" w14:textId="6C11E650" w:rsidR="00D92D20" w:rsidRDefault="00F230A5" w:rsidP="003647E4">
      <w:pPr>
        <w:pStyle w:val="ListParagraph"/>
        <w:numPr>
          <w:ilvl w:val="1"/>
          <w:numId w:val="11"/>
        </w:numPr>
        <w:ind w:left="709"/>
      </w:pPr>
      <w:r>
        <w:t>This commitment to ensure ‘no diminution’ is measured by and against the relevant EU standards on 31 December 2020. As such, the UK Government has committed to ensuring that there will be no diminution of protections as were contained in relevant underpinning EU law on this date.</w:t>
      </w:r>
      <w:r>
        <w:rPr>
          <w:rStyle w:val="FootnoteReference"/>
        </w:rPr>
        <w:footnoteReference w:id="35"/>
      </w:r>
    </w:p>
    <w:p w14:paraId="44539A5B" w14:textId="77777777" w:rsidR="00311F3C" w:rsidRDefault="00311F3C" w:rsidP="00311F3C">
      <w:pPr>
        <w:pStyle w:val="ListParagraph"/>
      </w:pPr>
    </w:p>
    <w:p w14:paraId="6C1031CE" w14:textId="36B14117" w:rsidR="00311F3C" w:rsidRDefault="00311F3C" w:rsidP="003647E4">
      <w:pPr>
        <w:pStyle w:val="ListParagraph"/>
        <w:numPr>
          <w:ilvl w:val="1"/>
          <w:numId w:val="11"/>
        </w:numPr>
        <w:ind w:left="709"/>
      </w:pPr>
      <w:r>
        <w:t xml:space="preserve">Article 13(3) </w:t>
      </w:r>
      <w:r w:rsidR="001E1839">
        <w:t xml:space="preserve">of the Windsor Framework </w:t>
      </w:r>
      <w:r>
        <w:t xml:space="preserve">provides that “where this Protocol makes reference to a Union act, that reference shall be read as referring to that Union act as amended or replaced”. </w:t>
      </w:r>
      <w:r w:rsidR="001E1839">
        <w:t>Windsor Framework</w:t>
      </w:r>
      <w:r>
        <w:t xml:space="preserve"> Article 2 </w:t>
      </w:r>
      <w:r w:rsidR="00724CB5">
        <w:t xml:space="preserve">therefore entails </w:t>
      </w:r>
      <w:r>
        <w:t xml:space="preserve">a commitment by the UK Government that NI equality law </w:t>
      </w:r>
      <w:r w:rsidR="00DC2FEE">
        <w:t xml:space="preserve">will </w:t>
      </w:r>
      <w:r>
        <w:t xml:space="preserve">dynamically align </w:t>
      </w:r>
      <w:r w:rsidR="00965261">
        <w:t xml:space="preserve">or “keep pace” </w:t>
      </w:r>
      <w:r>
        <w:t>with any EU law developments falling within the six EU Equality Directives</w:t>
      </w:r>
      <w:r w:rsidR="002A59E7">
        <w:rPr>
          <w:rStyle w:val="FootnoteReference"/>
        </w:rPr>
        <w:footnoteReference w:id="36"/>
      </w:r>
      <w:r>
        <w:t xml:space="preserve"> listed in Annex 1 to the </w:t>
      </w:r>
      <w:r w:rsidR="00177A3D">
        <w:t>Windsor Framework</w:t>
      </w:r>
      <w:r>
        <w:t xml:space="preserve"> after 1 January 2021</w:t>
      </w:r>
      <w:r w:rsidR="00471C2A">
        <w:t xml:space="preserve">, which </w:t>
      </w:r>
      <w:r>
        <w:t xml:space="preserve">includes the </w:t>
      </w:r>
      <w:r w:rsidR="00177A3D">
        <w:t xml:space="preserve">EU </w:t>
      </w:r>
      <w:r>
        <w:t>Rac</w:t>
      </w:r>
      <w:r w:rsidR="00A23573">
        <w:t>e</w:t>
      </w:r>
      <w:r>
        <w:t xml:space="preserve"> Equality Directive.</w:t>
      </w:r>
      <w:r w:rsidR="002A59E7">
        <w:rPr>
          <w:rStyle w:val="FootnoteReference"/>
        </w:rPr>
        <w:footnoteReference w:id="37"/>
      </w:r>
      <w:r>
        <w:t xml:space="preserve"> This “keep pace” obligation means that if the minimum</w:t>
      </w:r>
      <w:r w:rsidR="00DD6CA3">
        <w:t xml:space="preserve"> </w:t>
      </w:r>
      <w:r w:rsidR="00DD6CA3">
        <w:lastRenderedPageBreak/>
        <w:t>standards in the Annex 1 Directives are amended or replaced by the EU, the UK Government must ensure that domestic legislation in Northern Ireland reflects any enhancements in relevant protections.</w:t>
      </w:r>
    </w:p>
    <w:p w14:paraId="6DD5AB64" w14:textId="77777777" w:rsidR="00C32F1C" w:rsidRDefault="00C32F1C" w:rsidP="00C32F1C">
      <w:pPr>
        <w:pStyle w:val="ListParagraph"/>
      </w:pPr>
    </w:p>
    <w:p w14:paraId="2FCD30CB" w14:textId="4679FF70" w:rsidR="00C32F1C" w:rsidRDefault="00C32F1C" w:rsidP="003647E4">
      <w:pPr>
        <w:pStyle w:val="ListParagraph"/>
        <w:numPr>
          <w:ilvl w:val="1"/>
          <w:numId w:val="11"/>
        </w:numPr>
        <w:ind w:left="709"/>
      </w:pPr>
      <w:r>
        <w:t>The UK Government has confirmed its commitment to dynamically align with the Annex 1 equality directives to “provide a reassurance that, at the very least, the minimum standard of rights protection required by the listed directives will continue to be relevant in NI” and this will “ensure NI will not fall behind minimum European standards in anti-discrimination law”.</w:t>
      </w:r>
      <w:r>
        <w:rPr>
          <w:rStyle w:val="FootnoteReference"/>
        </w:rPr>
        <w:footnoteReference w:id="38"/>
      </w:r>
    </w:p>
    <w:p w14:paraId="6A91C7DD" w14:textId="77777777" w:rsidR="00042871" w:rsidRDefault="00042871" w:rsidP="00042871">
      <w:pPr>
        <w:pStyle w:val="ListParagraph"/>
      </w:pPr>
    </w:p>
    <w:p w14:paraId="767B12EB" w14:textId="2241F859" w:rsidR="00042871" w:rsidRDefault="00042871" w:rsidP="003647E4">
      <w:pPr>
        <w:pStyle w:val="ListParagraph"/>
        <w:numPr>
          <w:ilvl w:val="1"/>
          <w:numId w:val="11"/>
        </w:numPr>
        <w:ind w:left="709"/>
      </w:pPr>
      <w:r>
        <w:t xml:space="preserve">In line with Article 13(2) of </w:t>
      </w:r>
      <w:r w:rsidR="00213CB7">
        <w:t>the Windsor Framework</w:t>
      </w:r>
      <w:r>
        <w:t>, “the provisions of this Protocol referring to Union law or to concepts or provisions thereof shall in their implementation and application be interpreted in conformity with the relevant case law of the Court of Justice of the European Union (CJEU)”. Therefore, the Annex 1 equality directives will continue to be informed by future CJEU rulings and, to the extent that such rulings evolve general principles of EU law, the EU Charter of Fundamental Rights and the relevant EU Treaty provisions, these will continue to have relevance in NI.</w:t>
      </w:r>
      <w:r w:rsidR="00EA02C2">
        <w:rPr>
          <w:rStyle w:val="FootnoteReference"/>
        </w:rPr>
        <w:footnoteReference w:id="39"/>
      </w:r>
    </w:p>
    <w:p w14:paraId="3984D39B" w14:textId="77777777" w:rsidR="00B63F7E" w:rsidRDefault="00B63F7E" w:rsidP="00B63F7E">
      <w:pPr>
        <w:pStyle w:val="ListParagraph"/>
      </w:pPr>
    </w:p>
    <w:p w14:paraId="7874F26A" w14:textId="317AF2DA" w:rsidR="00B63F7E" w:rsidRDefault="00B63F7E" w:rsidP="003C66B8">
      <w:pPr>
        <w:pStyle w:val="ListParagraph"/>
        <w:numPr>
          <w:ilvl w:val="1"/>
          <w:numId w:val="11"/>
        </w:numPr>
        <w:ind w:left="709"/>
      </w:pPr>
      <w:r>
        <w:t xml:space="preserve">The </w:t>
      </w:r>
      <w:r w:rsidR="00B3594F">
        <w:t xml:space="preserve">EU </w:t>
      </w:r>
      <w:r>
        <w:t xml:space="preserve">Commission is currently reviewing the EU Race Equality Directive and have indicated that, following a consultation period, it may take steps to address the main gaps. The NIHRC responded to this consultation in April 2022, making recommendations relating to potential gaps in protections under the EU Directive which </w:t>
      </w:r>
      <w:r w:rsidR="0055212A">
        <w:t>align wit</w:t>
      </w:r>
      <w:r w:rsidR="008002C5">
        <w:t xml:space="preserve">h our views on the </w:t>
      </w:r>
      <w:r>
        <w:t>Race Relations Order.</w:t>
      </w:r>
      <w:r>
        <w:rPr>
          <w:rStyle w:val="FootnoteReference"/>
        </w:rPr>
        <w:footnoteReference w:id="40"/>
      </w:r>
      <w:r>
        <w:t xml:space="preserve"> </w:t>
      </w:r>
      <w:r w:rsidR="001732E9">
        <w:t xml:space="preserve">The NIHRC </w:t>
      </w:r>
      <w:r w:rsidR="001F68DD">
        <w:t xml:space="preserve">also </w:t>
      </w:r>
      <w:r w:rsidR="001732E9">
        <w:t xml:space="preserve">recommended that the </w:t>
      </w:r>
      <w:r w:rsidR="00B3594F">
        <w:t xml:space="preserve">EU Commission </w:t>
      </w:r>
      <w:r w:rsidR="001A0A3B">
        <w:t>include a specific acknowledgement of the significance of Windsor Framework Article 2 and the keep pace obligations for racial equality in NI.</w:t>
      </w:r>
      <w:r w:rsidR="001A0A3B">
        <w:rPr>
          <w:rStyle w:val="FootnoteReference"/>
        </w:rPr>
        <w:footnoteReference w:id="41"/>
      </w:r>
      <w:r w:rsidR="001A0A3B">
        <w:t xml:space="preserve"> </w:t>
      </w:r>
      <w:r w:rsidR="00D44954">
        <w:t xml:space="preserve">Should </w:t>
      </w:r>
      <w:r>
        <w:t xml:space="preserve">standards in the EU Race Equality Directive </w:t>
      </w:r>
      <w:r w:rsidR="00972577">
        <w:t>be</w:t>
      </w:r>
      <w:r>
        <w:t xml:space="preserve"> strengthened at EU level, that must be reflected in NI legislation. </w:t>
      </w:r>
      <w:r w:rsidR="00972577">
        <w:t>Additionally,</w:t>
      </w:r>
      <w:r>
        <w:t xml:space="preserve"> the EU Directive provides the minimum requirements for provision of equal treatment irrespective of </w:t>
      </w:r>
      <w:r w:rsidR="003C66B8">
        <w:t xml:space="preserve">racial </w:t>
      </w:r>
      <w:r>
        <w:t xml:space="preserve">or ethnic origin, but States can introduce </w:t>
      </w:r>
      <w:r>
        <w:lastRenderedPageBreak/>
        <w:t>measures that go beyond these standards and provide more favourable protections.</w:t>
      </w:r>
      <w:r>
        <w:rPr>
          <w:rStyle w:val="FootnoteReference"/>
        </w:rPr>
        <w:footnoteReference w:id="42"/>
      </w:r>
      <w:r w:rsidR="00591306">
        <w:t xml:space="preserve"> The EU Directive also</w:t>
      </w:r>
      <w:r w:rsidR="008B3D84">
        <w:t xml:space="preserve"> states that the implementation of the Directive</w:t>
      </w:r>
      <w:r w:rsidR="00AA2878">
        <w:t xml:space="preserve"> does not constitute grounds for a reduction in standards of protection already afforded by Member States.</w:t>
      </w:r>
      <w:r w:rsidR="00AA2878">
        <w:rPr>
          <w:rStyle w:val="FootnoteReference"/>
        </w:rPr>
        <w:footnoteReference w:id="43"/>
      </w:r>
    </w:p>
    <w:p w14:paraId="1D988B45" w14:textId="77777777" w:rsidR="00972577" w:rsidRDefault="00972577" w:rsidP="00972577">
      <w:pPr>
        <w:pStyle w:val="ListParagraph"/>
      </w:pPr>
    </w:p>
    <w:p w14:paraId="6D2F4420" w14:textId="5DFDBA77" w:rsidR="001F68DD" w:rsidRPr="00AE75D2" w:rsidRDefault="00DA22AB" w:rsidP="00D44954">
      <w:pPr>
        <w:pStyle w:val="ListParagraph"/>
        <w:numPr>
          <w:ilvl w:val="1"/>
          <w:numId w:val="11"/>
        </w:numPr>
        <w:ind w:left="709"/>
      </w:pPr>
      <w:r>
        <w:rPr>
          <w:b/>
          <w:bCs/>
        </w:rPr>
        <w:t xml:space="preserve">The NIHRC </w:t>
      </w:r>
      <w:r w:rsidR="007F01F8">
        <w:rPr>
          <w:b/>
          <w:bCs/>
        </w:rPr>
        <w:t xml:space="preserve">advises that, to ensure compliance with </w:t>
      </w:r>
      <w:r w:rsidR="001F68DD">
        <w:rPr>
          <w:b/>
          <w:bCs/>
        </w:rPr>
        <w:t>Windsor</w:t>
      </w:r>
      <w:r w:rsidR="007F01F8">
        <w:rPr>
          <w:b/>
          <w:bCs/>
        </w:rPr>
        <w:t xml:space="preserve"> Framework Article 2, </w:t>
      </w:r>
      <w:r w:rsidR="002773A0">
        <w:rPr>
          <w:b/>
          <w:bCs/>
        </w:rPr>
        <w:t>any changes to the Race Relations (NI) Order</w:t>
      </w:r>
      <w:r w:rsidR="00DF1EBC">
        <w:rPr>
          <w:b/>
          <w:bCs/>
        </w:rPr>
        <w:t xml:space="preserve"> 1997</w:t>
      </w:r>
      <w:r w:rsidR="002773A0">
        <w:rPr>
          <w:b/>
          <w:bCs/>
        </w:rPr>
        <w:t xml:space="preserve">, or equivalent, are compatible with the EU Race Equality Directive and relevant CJEU </w:t>
      </w:r>
      <w:r w:rsidR="00E9153D">
        <w:rPr>
          <w:b/>
          <w:bCs/>
        </w:rPr>
        <w:t>jurisprudence</w:t>
      </w:r>
      <w:r w:rsidR="001F68DD">
        <w:rPr>
          <w:b/>
          <w:bCs/>
        </w:rPr>
        <w:t xml:space="preserve">. </w:t>
      </w:r>
    </w:p>
    <w:p w14:paraId="49557B42" w14:textId="77777777" w:rsidR="001F68DD" w:rsidRPr="00AE75D2" w:rsidRDefault="001F68DD" w:rsidP="00AE75D2">
      <w:pPr>
        <w:pStyle w:val="ListParagraph"/>
        <w:rPr>
          <w:b/>
          <w:bCs/>
        </w:rPr>
      </w:pPr>
    </w:p>
    <w:p w14:paraId="0AC8350C" w14:textId="7F0B7F0D" w:rsidR="00DA22AB" w:rsidRPr="00DA22AB" w:rsidRDefault="001F68DD" w:rsidP="00D44954">
      <w:pPr>
        <w:pStyle w:val="ListParagraph"/>
        <w:numPr>
          <w:ilvl w:val="1"/>
          <w:numId w:val="11"/>
        </w:numPr>
        <w:ind w:left="709"/>
      </w:pPr>
      <w:r>
        <w:rPr>
          <w:b/>
          <w:bCs/>
        </w:rPr>
        <w:t>The NIHRC recommends that</w:t>
      </w:r>
      <w:r w:rsidR="00691EE2">
        <w:rPr>
          <w:b/>
          <w:bCs/>
        </w:rPr>
        <w:t xml:space="preserve"> the Executive Office closely monitor the ongoing review of the EU Race Equality Directive, and ensure that any enhancements in protections are reflected in NI legislation and policy.</w:t>
      </w:r>
    </w:p>
    <w:p w14:paraId="3DA7C09C" w14:textId="77777777" w:rsidR="00DA22AB" w:rsidRPr="00DA22AB" w:rsidRDefault="00DA22AB" w:rsidP="00DA22AB">
      <w:pPr>
        <w:pStyle w:val="ListParagraph"/>
        <w:rPr>
          <w:b/>
          <w:bCs/>
        </w:rPr>
      </w:pPr>
    </w:p>
    <w:p w14:paraId="3665F4A2" w14:textId="6C6A56D6" w:rsidR="007E5AD8" w:rsidRDefault="007E5AD8" w:rsidP="00E74398">
      <w:pPr>
        <w:pStyle w:val="Heading1"/>
        <w:numPr>
          <w:ilvl w:val="0"/>
          <w:numId w:val="11"/>
        </w:numPr>
      </w:pPr>
      <w:bookmarkStart w:id="4" w:name="_Toc137459914"/>
      <w:r>
        <w:t>Changes Affecting Multiple Provisions</w:t>
      </w:r>
      <w:bookmarkEnd w:id="4"/>
    </w:p>
    <w:p w14:paraId="7F42DCB7" w14:textId="77777777" w:rsidR="00684421" w:rsidRPr="00815276" w:rsidRDefault="00684421" w:rsidP="00684421">
      <w:pPr>
        <w:pStyle w:val="Heading2"/>
      </w:pPr>
      <w:bookmarkStart w:id="5" w:name="_Toc137459915"/>
      <w:r>
        <w:t>Intersectional multiple discrimination</w:t>
      </w:r>
      <w:bookmarkEnd w:id="5"/>
    </w:p>
    <w:p w14:paraId="2D637E25" w14:textId="77777777" w:rsidR="00B50D6A" w:rsidRPr="00B50D6A" w:rsidRDefault="00B50D6A" w:rsidP="00B50D6A">
      <w:pPr>
        <w:pStyle w:val="ListParagraph"/>
        <w:widowControl w:val="0"/>
        <w:numPr>
          <w:ilvl w:val="0"/>
          <w:numId w:val="9"/>
        </w:numPr>
        <w:suppressAutoHyphens/>
        <w:autoSpaceDE w:val="0"/>
        <w:autoSpaceDN w:val="0"/>
        <w:adjustRightInd w:val="0"/>
        <w:contextualSpacing w:val="0"/>
        <w:textAlignment w:val="center"/>
        <w:rPr>
          <w:rFonts w:cs="MinionPro-Regular"/>
          <w:vanish/>
          <w:color w:val="000000"/>
        </w:rPr>
      </w:pPr>
    </w:p>
    <w:p w14:paraId="436FABC5" w14:textId="77777777" w:rsidR="00B50D6A" w:rsidRPr="00B50D6A" w:rsidRDefault="00B50D6A" w:rsidP="00B50D6A">
      <w:pPr>
        <w:pStyle w:val="ListParagraph"/>
        <w:widowControl w:val="0"/>
        <w:numPr>
          <w:ilvl w:val="0"/>
          <w:numId w:val="9"/>
        </w:numPr>
        <w:suppressAutoHyphens/>
        <w:autoSpaceDE w:val="0"/>
        <w:autoSpaceDN w:val="0"/>
        <w:adjustRightInd w:val="0"/>
        <w:contextualSpacing w:val="0"/>
        <w:textAlignment w:val="center"/>
        <w:rPr>
          <w:rFonts w:cs="MinionPro-Regular"/>
          <w:vanish/>
          <w:color w:val="000000"/>
        </w:rPr>
      </w:pPr>
    </w:p>
    <w:p w14:paraId="24F98B64" w14:textId="011FF4B6" w:rsidR="00430C39" w:rsidRDefault="00684421" w:rsidP="00B50D6A">
      <w:pPr>
        <w:pStyle w:val="BasicParagraph"/>
        <w:numPr>
          <w:ilvl w:val="1"/>
          <w:numId w:val="9"/>
        </w:numPr>
        <w:suppressAutoHyphens/>
        <w:ind w:left="709"/>
        <w:rPr>
          <w:rFonts w:ascii="Verdana" w:hAnsi="Verdana"/>
        </w:rPr>
      </w:pPr>
      <w:r>
        <w:rPr>
          <w:rFonts w:ascii="Verdana" w:hAnsi="Verdana"/>
        </w:rPr>
        <w:t>T</w:t>
      </w:r>
      <w:r w:rsidRPr="00D87F3A">
        <w:rPr>
          <w:rFonts w:ascii="Verdana" w:hAnsi="Verdana"/>
        </w:rPr>
        <w:t xml:space="preserve">he </w:t>
      </w:r>
      <w:r w:rsidR="00E147CC">
        <w:rPr>
          <w:rFonts w:ascii="Verdana" w:hAnsi="Verdana"/>
        </w:rPr>
        <w:t xml:space="preserve">consultation document does not </w:t>
      </w:r>
      <w:r w:rsidR="3C0464FB" w:rsidRPr="00157E7A">
        <w:rPr>
          <w:rFonts w:ascii="Verdana" w:hAnsi="Verdana"/>
        </w:rPr>
        <w:t>consider</w:t>
      </w:r>
      <w:r w:rsidR="00E147CC">
        <w:rPr>
          <w:rFonts w:ascii="Verdana" w:hAnsi="Verdana"/>
        </w:rPr>
        <w:t xml:space="preserve"> the </w:t>
      </w:r>
      <w:r w:rsidRPr="00D87F3A">
        <w:rPr>
          <w:rFonts w:ascii="Verdana" w:hAnsi="Verdana"/>
        </w:rPr>
        <w:t xml:space="preserve">issue of </w:t>
      </w:r>
      <w:r>
        <w:rPr>
          <w:rFonts w:ascii="Verdana" w:hAnsi="Verdana"/>
        </w:rPr>
        <w:t>intersectional multiple discrimination</w:t>
      </w:r>
      <w:r w:rsidR="00E147CC">
        <w:rPr>
          <w:rFonts w:ascii="Verdana" w:hAnsi="Verdana"/>
        </w:rPr>
        <w:t>.</w:t>
      </w:r>
      <w:r w:rsidR="00830D46">
        <w:rPr>
          <w:rStyle w:val="FootnoteReference"/>
          <w:rFonts w:ascii="Verdana" w:hAnsi="Verdana"/>
        </w:rPr>
        <w:footnoteReference w:id="44"/>
      </w:r>
      <w:r w:rsidR="000F6872">
        <w:rPr>
          <w:rFonts w:ascii="Verdana" w:hAnsi="Verdana"/>
        </w:rPr>
        <w:t xml:space="preserve"> In the view of the NIHRC, that is an oversight. </w:t>
      </w:r>
    </w:p>
    <w:p w14:paraId="09EC5910" w14:textId="77777777" w:rsidR="00430C39" w:rsidRDefault="00430C39" w:rsidP="00430C39">
      <w:pPr>
        <w:pStyle w:val="BasicParagraph"/>
        <w:suppressAutoHyphens/>
        <w:ind w:left="709"/>
        <w:rPr>
          <w:rFonts w:ascii="Verdana" w:hAnsi="Verdana"/>
        </w:rPr>
      </w:pPr>
    </w:p>
    <w:p w14:paraId="1EEC0827" w14:textId="77777777" w:rsidR="00430C39" w:rsidRPr="00430C39" w:rsidRDefault="00430C39" w:rsidP="00430C39">
      <w:pPr>
        <w:pStyle w:val="BasicParagraph"/>
        <w:numPr>
          <w:ilvl w:val="1"/>
          <w:numId w:val="9"/>
        </w:numPr>
        <w:suppressAutoHyphens/>
        <w:ind w:left="709"/>
        <w:rPr>
          <w:rFonts w:ascii="Verdana" w:hAnsi="Verdana"/>
        </w:rPr>
      </w:pPr>
      <w:r w:rsidRPr="00430C39">
        <w:rPr>
          <w:rFonts w:ascii="Verdana" w:hAnsi="Verdana"/>
        </w:rPr>
        <w:t>In 2017, the UN CRPD Committee recommended that the UK Government and NI Executive:</w:t>
      </w:r>
    </w:p>
    <w:p w14:paraId="600176B7" w14:textId="77777777" w:rsidR="00430C39" w:rsidRPr="00430C39" w:rsidRDefault="00430C39" w:rsidP="00430C39">
      <w:pPr>
        <w:pStyle w:val="ListParagraph"/>
      </w:pPr>
    </w:p>
    <w:p w14:paraId="6CC53E22" w14:textId="77777777" w:rsidR="00430C39" w:rsidRPr="00430C39" w:rsidRDefault="00430C39" w:rsidP="0025204D">
      <w:pPr>
        <w:pStyle w:val="Quote"/>
        <w:ind w:left="1440"/>
      </w:pPr>
      <w:r w:rsidRPr="00430C39">
        <w:t>explicitly incorporate in its national legislation protection from, in particular multiple and intersectional discrimination on the basis of gender, age, race, disability, migrant, refugee and/or other status, and provide appropriate compensation, and redress for victims, and sanctions proportional with the severity of the violation.</w:t>
      </w:r>
      <w:r w:rsidRPr="00430C39">
        <w:rPr>
          <w:rStyle w:val="FootnoteReference"/>
          <w:rFonts w:eastAsiaTheme="majorEastAsia"/>
        </w:rPr>
        <w:footnoteReference w:id="45"/>
      </w:r>
    </w:p>
    <w:p w14:paraId="73BB1FF0" w14:textId="77777777" w:rsidR="00430C39" w:rsidRPr="00430C39" w:rsidRDefault="00430C39" w:rsidP="00430C39">
      <w:pPr>
        <w:pStyle w:val="ListParagraph"/>
      </w:pPr>
    </w:p>
    <w:p w14:paraId="01F9816B" w14:textId="413F1EB4" w:rsidR="00F62CF4" w:rsidRPr="00430C39" w:rsidRDefault="00430C39" w:rsidP="00954416">
      <w:pPr>
        <w:pStyle w:val="BasicParagraph"/>
        <w:numPr>
          <w:ilvl w:val="1"/>
          <w:numId w:val="9"/>
        </w:numPr>
        <w:suppressAutoHyphens/>
        <w:ind w:left="709"/>
      </w:pPr>
      <w:r w:rsidRPr="00430C39">
        <w:rPr>
          <w:rFonts w:ascii="Verdana" w:hAnsi="Verdana"/>
        </w:rPr>
        <w:t xml:space="preserve">In 2019, the UN CEDAW Committee recommended that the NI Executive “revise its legislation in NI to ensure that it affords protection to women on </w:t>
      </w:r>
      <w:r w:rsidRPr="00430C39">
        <w:rPr>
          <w:rFonts w:ascii="Verdana" w:hAnsi="Verdana"/>
        </w:rPr>
        <w:lastRenderedPageBreak/>
        <w:t>an equal footing with women in other administrations of the State party”</w:t>
      </w:r>
      <w:r w:rsidR="00B358F7">
        <w:rPr>
          <w:rFonts w:ascii="Verdana" w:hAnsi="Verdana"/>
        </w:rPr>
        <w:t xml:space="preserve">. It also recommended </w:t>
      </w:r>
      <w:r w:rsidR="00B358F7" w:rsidRPr="00954416">
        <w:rPr>
          <w:rFonts w:ascii="Verdana" w:hAnsi="Verdana"/>
        </w:rPr>
        <w:t>reconsideration of the public sector equality duty “</w:t>
      </w:r>
      <w:r w:rsidR="00F62CF4" w:rsidRPr="00954416">
        <w:rPr>
          <w:rFonts w:ascii="Verdana" w:hAnsi="Verdana"/>
        </w:rPr>
        <w:t>to address situations of intersectional forms of discrimination, such as discrimination faced by 'Black, Asian and Minority Ethnic' women, older women, women with disabilities, asylum-seeking and refugee women, and lesbian, bisexual, transgender women and intersex persons.</w:t>
      </w:r>
      <w:r w:rsidR="00F62CF4" w:rsidRPr="00954416">
        <w:rPr>
          <w:rStyle w:val="FootnoteReference"/>
          <w:rFonts w:ascii="Verdana" w:eastAsiaTheme="majorEastAsia" w:hAnsi="Verdana"/>
        </w:rPr>
        <w:footnoteReference w:id="46"/>
      </w:r>
    </w:p>
    <w:p w14:paraId="6421DBC8" w14:textId="77777777" w:rsidR="00F62CF4" w:rsidRDefault="00F62CF4" w:rsidP="00F62CF4">
      <w:pPr>
        <w:pStyle w:val="BasicParagraph"/>
        <w:suppressAutoHyphens/>
        <w:ind w:left="709"/>
        <w:rPr>
          <w:rFonts w:ascii="Verdana" w:hAnsi="Verdana"/>
        </w:rPr>
      </w:pPr>
    </w:p>
    <w:p w14:paraId="3069C026" w14:textId="0A377E4A" w:rsidR="00CD5871" w:rsidRDefault="00836015" w:rsidP="00954416">
      <w:pPr>
        <w:pStyle w:val="BasicParagraph"/>
        <w:numPr>
          <w:ilvl w:val="1"/>
          <w:numId w:val="9"/>
        </w:numPr>
        <w:suppressAutoHyphens/>
        <w:ind w:left="709" w:hanging="709"/>
        <w:rPr>
          <w:rFonts w:ascii="Verdana" w:hAnsi="Verdana"/>
        </w:rPr>
      </w:pPr>
      <w:r w:rsidRPr="000F6872">
        <w:rPr>
          <w:rFonts w:ascii="Verdana" w:hAnsi="Verdana"/>
        </w:rPr>
        <w:t xml:space="preserve">The </w:t>
      </w:r>
      <w:r w:rsidR="00FD54FC" w:rsidRPr="000F6872">
        <w:rPr>
          <w:rFonts w:ascii="Verdana" w:hAnsi="Verdana"/>
        </w:rPr>
        <w:t xml:space="preserve">EU </w:t>
      </w:r>
      <w:r w:rsidRPr="000F6872">
        <w:rPr>
          <w:rFonts w:ascii="Verdana" w:hAnsi="Verdana"/>
        </w:rPr>
        <w:t>Rac</w:t>
      </w:r>
      <w:r w:rsidR="0068260C">
        <w:rPr>
          <w:rFonts w:ascii="Verdana" w:hAnsi="Verdana"/>
        </w:rPr>
        <w:t>e</w:t>
      </w:r>
      <w:r w:rsidRPr="000F6872">
        <w:rPr>
          <w:rFonts w:ascii="Verdana" w:hAnsi="Verdana"/>
        </w:rPr>
        <w:t xml:space="preserve"> Equality Directive</w:t>
      </w:r>
      <w:r w:rsidR="00195CEC" w:rsidRPr="000F6872">
        <w:rPr>
          <w:rFonts w:ascii="Verdana" w:hAnsi="Verdana"/>
        </w:rPr>
        <w:t xml:space="preserve"> highlights that in the implementation of the Directive, Member States should aim to eliminate inequalities and </w:t>
      </w:r>
      <w:r w:rsidR="006D53FA" w:rsidRPr="000F6872">
        <w:rPr>
          <w:rFonts w:ascii="Verdana" w:hAnsi="Verdana"/>
        </w:rPr>
        <w:t>in particular notes that women are often the victims of multiple discrimination</w:t>
      </w:r>
      <w:r w:rsidRPr="000F6872">
        <w:rPr>
          <w:rFonts w:ascii="Verdana" w:hAnsi="Verdana"/>
        </w:rPr>
        <w:t>.</w:t>
      </w:r>
      <w:r w:rsidR="00FD54FC">
        <w:rPr>
          <w:rStyle w:val="FootnoteReference"/>
          <w:rFonts w:ascii="Verdana" w:hAnsi="Verdana"/>
        </w:rPr>
        <w:footnoteReference w:id="47"/>
      </w:r>
      <w:r w:rsidRPr="000F6872">
        <w:rPr>
          <w:rFonts w:ascii="Verdana" w:hAnsi="Verdana"/>
        </w:rPr>
        <w:t xml:space="preserve"> </w:t>
      </w:r>
      <w:r w:rsidR="003A282B" w:rsidRPr="000F6872">
        <w:rPr>
          <w:rFonts w:ascii="Verdana" w:hAnsi="Verdana"/>
        </w:rPr>
        <w:t>The CJEU has stopped short of recognising intersectional discrimination</w:t>
      </w:r>
      <w:r w:rsidR="000F6872" w:rsidRPr="000F6872">
        <w:rPr>
          <w:rFonts w:ascii="Verdana" w:hAnsi="Verdana"/>
        </w:rPr>
        <w:t>,</w:t>
      </w:r>
      <w:r w:rsidR="003A282B" w:rsidRPr="000F6872">
        <w:rPr>
          <w:rFonts w:ascii="Verdana" w:hAnsi="Verdana"/>
        </w:rPr>
        <w:t xml:space="preserve"> in </w:t>
      </w:r>
      <w:r w:rsidR="000F6872" w:rsidRPr="000F6872">
        <w:rPr>
          <w:rFonts w:ascii="Verdana" w:hAnsi="Verdana"/>
        </w:rPr>
        <w:t xml:space="preserve">and of </w:t>
      </w:r>
      <w:r w:rsidR="003A282B" w:rsidRPr="000F6872">
        <w:rPr>
          <w:rFonts w:ascii="Verdana" w:hAnsi="Verdana"/>
        </w:rPr>
        <w:t>itself</w:t>
      </w:r>
      <w:r w:rsidR="000F6872" w:rsidRPr="000F6872">
        <w:rPr>
          <w:rFonts w:ascii="Verdana" w:hAnsi="Verdana"/>
        </w:rPr>
        <w:t>,</w:t>
      </w:r>
      <w:r w:rsidR="003A282B" w:rsidRPr="000F6872">
        <w:rPr>
          <w:rFonts w:ascii="Verdana" w:hAnsi="Verdana"/>
        </w:rPr>
        <w:t xml:space="preserve"> as a protected category, </w:t>
      </w:r>
      <w:r w:rsidR="000F6872" w:rsidRPr="000F6872">
        <w:rPr>
          <w:rFonts w:ascii="Verdana" w:hAnsi="Verdana"/>
        </w:rPr>
        <w:t>however</w:t>
      </w:r>
      <w:r w:rsidR="003A282B" w:rsidRPr="000F6872">
        <w:rPr>
          <w:rFonts w:ascii="Verdana" w:hAnsi="Verdana"/>
        </w:rPr>
        <w:t xml:space="preserve">, in </w:t>
      </w:r>
      <w:r w:rsidR="000F6872" w:rsidRPr="000F6872">
        <w:rPr>
          <w:rFonts w:ascii="Verdana" w:hAnsi="Verdana"/>
        </w:rPr>
        <w:t xml:space="preserve">the case of </w:t>
      </w:r>
      <w:r w:rsidR="003A282B" w:rsidRPr="000F6872">
        <w:rPr>
          <w:rFonts w:ascii="Verdana" w:hAnsi="Verdana"/>
        </w:rPr>
        <w:t>CHEZ, the court demonstrated the intersectional potential of the EU Rac</w:t>
      </w:r>
      <w:r w:rsidR="0068260C">
        <w:rPr>
          <w:rFonts w:ascii="Verdana" w:hAnsi="Verdana"/>
        </w:rPr>
        <w:t>e</w:t>
      </w:r>
      <w:r w:rsidR="003A282B" w:rsidRPr="000F6872">
        <w:rPr>
          <w:rFonts w:ascii="Verdana" w:hAnsi="Verdana"/>
        </w:rPr>
        <w:t xml:space="preserve"> Equality Directive, where it found discrimination on the basis of ethnic origin, socio-economic disadvantage, and location.</w:t>
      </w:r>
      <w:r w:rsidR="003A282B">
        <w:rPr>
          <w:rStyle w:val="FootnoteReference"/>
          <w:rFonts w:ascii="Verdana" w:hAnsi="Verdana"/>
        </w:rPr>
        <w:footnoteReference w:id="48"/>
      </w:r>
      <w:r w:rsidR="003D4D7F" w:rsidRPr="000F6872">
        <w:rPr>
          <w:rFonts w:ascii="Verdana" w:hAnsi="Verdana"/>
        </w:rPr>
        <w:t xml:space="preserve"> </w:t>
      </w:r>
      <w:r w:rsidR="00AE3438" w:rsidRPr="000F6872">
        <w:rPr>
          <w:rFonts w:ascii="Verdana" w:hAnsi="Verdana"/>
        </w:rPr>
        <w:t xml:space="preserve">In </w:t>
      </w:r>
      <w:r w:rsidR="000F6872" w:rsidRPr="000F6872">
        <w:rPr>
          <w:rFonts w:ascii="Verdana" w:hAnsi="Verdana"/>
        </w:rPr>
        <w:t xml:space="preserve">another, the case of </w:t>
      </w:r>
      <w:r w:rsidR="00AE3438" w:rsidRPr="000F6872">
        <w:rPr>
          <w:rFonts w:ascii="Verdana" w:hAnsi="Verdana"/>
        </w:rPr>
        <w:t xml:space="preserve">Heiko Jonny Maniero, the </w:t>
      </w:r>
      <w:r w:rsidR="000F6872" w:rsidRPr="000F6872">
        <w:rPr>
          <w:rFonts w:ascii="Verdana" w:hAnsi="Verdana"/>
        </w:rPr>
        <w:t xml:space="preserve">CJEU </w:t>
      </w:r>
      <w:r w:rsidR="00A44516" w:rsidRPr="000F6872">
        <w:rPr>
          <w:rFonts w:ascii="Verdana" w:hAnsi="Verdana"/>
        </w:rPr>
        <w:t>affirmed that</w:t>
      </w:r>
      <w:r w:rsidR="00CD5871">
        <w:rPr>
          <w:rFonts w:ascii="Verdana" w:hAnsi="Verdana"/>
        </w:rPr>
        <w:t>:</w:t>
      </w:r>
    </w:p>
    <w:p w14:paraId="6422C940" w14:textId="77777777" w:rsidR="00695E8B" w:rsidRDefault="00695E8B" w:rsidP="000F7CA8">
      <w:pPr>
        <w:pStyle w:val="ListParagraph"/>
      </w:pPr>
    </w:p>
    <w:p w14:paraId="26922635" w14:textId="370D820F" w:rsidR="00B42B11" w:rsidRDefault="00D725D7" w:rsidP="00763F32">
      <w:pPr>
        <w:pStyle w:val="BasicParagraph"/>
        <w:suppressAutoHyphens/>
        <w:ind w:left="993"/>
        <w:rPr>
          <w:rFonts w:ascii="Verdana" w:hAnsi="Verdana"/>
        </w:rPr>
      </w:pPr>
      <w:r>
        <w:rPr>
          <w:rFonts w:ascii="Verdana" w:hAnsi="Verdana"/>
          <w:color w:val="333333"/>
          <w:shd w:val="clear" w:color="auto" w:fill="FFFFFF"/>
        </w:rPr>
        <w:t>i</w:t>
      </w:r>
      <w:r w:rsidR="000F6872" w:rsidRPr="00954416">
        <w:rPr>
          <w:rFonts w:ascii="Verdana" w:hAnsi="Verdana"/>
          <w:color w:val="333333"/>
          <w:shd w:val="clear" w:color="auto" w:fill="FFFFFF"/>
        </w:rPr>
        <w:t>n the light of the objective of Directive 2000/43 and the nature of the rights which it seeks to safeguard, and in view of the fact that that directive is merely an expression, within the area under consideration, of the principle of equality, which is one of the general principles of EU law, as recognised in Article 21 of the Charter of Fundamental Rights of the European Union, the scope of that directive cannot be defined restrictively</w:t>
      </w:r>
      <w:r w:rsidR="00173E95">
        <w:rPr>
          <w:rStyle w:val="FootnoteReference"/>
          <w:rFonts w:ascii="Verdana" w:hAnsi="Verdana"/>
        </w:rPr>
        <w:footnoteReference w:id="49"/>
      </w:r>
      <w:r w:rsidR="00077027" w:rsidRPr="000F6872">
        <w:rPr>
          <w:rFonts w:ascii="Verdana" w:hAnsi="Verdana"/>
        </w:rPr>
        <w:t xml:space="preserve"> </w:t>
      </w:r>
    </w:p>
    <w:p w14:paraId="144FCE80" w14:textId="77777777" w:rsidR="00B42B11" w:rsidRDefault="00B42B11" w:rsidP="00B42B11">
      <w:pPr>
        <w:pStyle w:val="BasicParagraph"/>
        <w:suppressAutoHyphens/>
        <w:ind w:left="1440"/>
        <w:rPr>
          <w:rFonts w:ascii="Verdana" w:hAnsi="Verdana"/>
        </w:rPr>
      </w:pPr>
    </w:p>
    <w:p w14:paraId="20AA9928" w14:textId="18B65972" w:rsidR="003A282B" w:rsidRPr="000F6872" w:rsidRDefault="00077027" w:rsidP="000F7CA8">
      <w:pPr>
        <w:pStyle w:val="BasicParagraph"/>
        <w:suppressAutoHyphens/>
        <w:ind w:left="709"/>
        <w:rPr>
          <w:rFonts w:ascii="Verdana" w:hAnsi="Verdana"/>
        </w:rPr>
      </w:pPr>
      <w:r w:rsidRPr="000F6872">
        <w:rPr>
          <w:rFonts w:ascii="Verdana" w:hAnsi="Verdana"/>
        </w:rPr>
        <w:t>Both cases demonstrate</w:t>
      </w:r>
      <w:r w:rsidR="00F06A6D" w:rsidRPr="000F6872">
        <w:rPr>
          <w:rFonts w:ascii="Verdana" w:hAnsi="Verdana"/>
        </w:rPr>
        <w:t xml:space="preserve"> that, in line with Article 13(2) of the Windsor Framework,</w:t>
      </w:r>
      <w:r w:rsidRPr="000F6872">
        <w:rPr>
          <w:rFonts w:ascii="Verdana" w:hAnsi="Verdana"/>
        </w:rPr>
        <w:t xml:space="preserve"> the</w:t>
      </w:r>
      <w:r w:rsidR="00D5567A" w:rsidRPr="000F6872">
        <w:rPr>
          <w:rFonts w:ascii="Verdana" w:hAnsi="Verdana"/>
        </w:rPr>
        <w:t>re is a</w:t>
      </w:r>
      <w:r w:rsidRPr="000F6872">
        <w:rPr>
          <w:rFonts w:ascii="Verdana" w:hAnsi="Verdana"/>
        </w:rPr>
        <w:t xml:space="preserve"> need to keep a watching brief on relevant CJEU jurisprudence. </w:t>
      </w:r>
    </w:p>
    <w:p w14:paraId="147A910C" w14:textId="77777777" w:rsidR="002F7D1D" w:rsidRPr="00921F79" w:rsidRDefault="002F7D1D" w:rsidP="00F178D3">
      <w:pPr>
        <w:pStyle w:val="BasicParagraph"/>
        <w:suppressAutoHyphens/>
        <w:ind w:left="709"/>
        <w:rPr>
          <w:rFonts w:ascii="Verdana" w:hAnsi="Verdana"/>
        </w:rPr>
      </w:pPr>
    </w:p>
    <w:p w14:paraId="3CC838FF" w14:textId="22DF90E8" w:rsidR="00F62CF4" w:rsidRDefault="006D7023" w:rsidP="00430C39">
      <w:pPr>
        <w:pStyle w:val="BasicParagraph"/>
        <w:numPr>
          <w:ilvl w:val="1"/>
          <w:numId w:val="9"/>
        </w:numPr>
        <w:suppressAutoHyphens/>
        <w:ind w:left="709"/>
        <w:rPr>
          <w:rFonts w:ascii="Verdana" w:hAnsi="Verdana"/>
        </w:rPr>
      </w:pPr>
      <w:r>
        <w:rPr>
          <w:rFonts w:ascii="Verdana" w:hAnsi="Verdana"/>
        </w:rPr>
        <w:t>In response to the EU Commission’s review of the EU Race Equality Directive, t</w:t>
      </w:r>
      <w:r w:rsidR="00836015" w:rsidRPr="00966A29">
        <w:rPr>
          <w:rFonts w:ascii="Verdana" w:hAnsi="Verdana"/>
        </w:rPr>
        <w:t xml:space="preserve">he NIHRC </w:t>
      </w:r>
      <w:r w:rsidR="00FA5342">
        <w:rPr>
          <w:rFonts w:ascii="Verdana" w:hAnsi="Verdana"/>
        </w:rPr>
        <w:t xml:space="preserve">recommended to the </w:t>
      </w:r>
      <w:r w:rsidR="00F178D3">
        <w:rPr>
          <w:rFonts w:ascii="Verdana" w:hAnsi="Verdana"/>
        </w:rPr>
        <w:t xml:space="preserve">EU </w:t>
      </w:r>
      <w:r w:rsidR="00FA5342">
        <w:rPr>
          <w:rFonts w:ascii="Verdana" w:hAnsi="Verdana"/>
        </w:rPr>
        <w:t>Commission</w:t>
      </w:r>
      <w:r w:rsidR="00836015" w:rsidRPr="00966A29">
        <w:rPr>
          <w:rFonts w:ascii="Verdana" w:hAnsi="Verdana"/>
        </w:rPr>
        <w:t xml:space="preserve"> that there is a need </w:t>
      </w:r>
      <w:r w:rsidR="00A86303">
        <w:rPr>
          <w:rFonts w:ascii="Verdana" w:hAnsi="Verdana"/>
        </w:rPr>
        <w:t xml:space="preserve">to </w:t>
      </w:r>
      <w:r w:rsidR="00836015" w:rsidRPr="00966A29">
        <w:rPr>
          <w:rFonts w:ascii="Verdana" w:hAnsi="Verdana"/>
        </w:rPr>
        <w:t>strengthen the requirement to recognise and address intersectional multiple discrimination within the Directive.</w:t>
      </w:r>
      <w:r w:rsidR="00FA5342">
        <w:rPr>
          <w:rStyle w:val="FootnoteReference"/>
          <w:rFonts w:ascii="Verdana" w:hAnsi="Verdana"/>
        </w:rPr>
        <w:footnoteReference w:id="50"/>
      </w:r>
    </w:p>
    <w:p w14:paraId="51CFB7A1" w14:textId="77777777" w:rsidR="00921F79" w:rsidRDefault="00921F79" w:rsidP="00921F79">
      <w:pPr>
        <w:pStyle w:val="BasicParagraph"/>
        <w:suppressAutoHyphens/>
        <w:ind w:left="709"/>
        <w:rPr>
          <w:rFonts w:ascii="Verdana" w:hAnsi="Verdana"/>
        </w:rPr>
      </w:pPr>
    </w:p>
    <w:p w14:paraId="6B2EECB5" w14:textId="2D091BE5" w:rsidR="00EC6375" w:rsidRPr="00EC6375" w:rsidRDefault="00526B7E" w:rsidP="00EC6375">
      <w:pPr>
        <w:pStyle w:val="BasicParagraph"/>
        <w:numPr>
          <w:ilvl w:val="1"/>
          <w:numId w:val="9"/>
        </w:numPr>
        <w:suppressAutoHyphens/>
        <w:ind w:left="709"/>
        <w:rPr>
          <w:rFonts w:ascii="Verdana" w:hAnsi="Verdana"/>
        </w:rPr>
      </w:pPr>
      <w:r w:rsidRPr="003C0275">
        <w:rPr>
          <w:rFonts w:ascii="Verdana" w:hAnsi="Verdana"/>
        </w:rPr>
        <w:t>The Executive Office will be aware that a commitment was made to include intersectional multiple discrimination in a review of the Race Relations (NI) Order</w:t>
      </w:r>
      <w:r w:rsidR="00000A12">
        <w:rPr>
          <w:rFonts w:ascii="Verdana" w:hAnsi="Verdana"/>
        </w:rPr>
        <w:t xml:space="preserve"> 1997</w:t>
      </w:r>
      <w:r w:rsidRPr="003C0275">
        <w:rPr>
          <w:rFonts w:ascii="Verdana" w:hAnsi="Verdana"/>
        </w:rPr>
        <w:t>.</w:t>
      </w:r>
      <w:r w:rsidRPr="003C0275">
        <w:rPr>
          <w:rStyle w:val="FootnoteReference"/>
          <w:rFonts w:ascii="Verdana" w:hAnsi="Verdana"/>
        </w:rPr>
        <w:footnoteReference w:id="51"/>
      </w:r>
      <w:r w:rsidRPr="003C0275">
        <w:rPr>
          <w:rFonts w:ascii="Verdana" w:hAnsi="Verdana"/>
        </w:rPr>
        <w:t xml:space="preserve"> </w:t>
      </w:r>
      <w:r w:rsidR="00985508">
        <w:rPr>
          <w:rFonts w:ascii="Verdana" w:hAnsi="Verdana"/>
        </w:rPr>
        <w:t xml:space="preserve">The NIHRC views the inclusion of </w:t>
      </w:r>
      <w:r w:rsidR="00985508" w:rsidRPr="00D87F3A">
        <w:rPr>
          <w:rFonts w:ascii="Verdana" w:hAnsi="Verdana"/>
        </w:rPr>
        <w:t>intersectional multiple discrimination</w:t>
      </w:r>
      <w:r w:rsidR="00985508">
        <w:rPr>
          <w:rFonts w:ascii="Verdana" w:hAnsi="Verdana"/>
        </w:rPr>
        <w:t xml:space="preserve"> as a key amendment to the Race Relations (NI) Order </w:t>
      </w:r>
      <w:r w:rsidR="00DE1A26">
        <w:rPr>
          <w:rFonts w:ascii="Verdana" w:hAnsi="Verdana"/>
        </w:rPr>
        <w:t xml:space="preserve">1997, </w:t>
      </w:r>
      <w:r w:rsidR="00985508">
        <w:rPr>
          <w:rFonts w:ascii="Verdana" w:hAnsi="Verdana"/>
        </w:rPr>
        <w:t>or equivalent</w:t>
      </w:r>
      <w:r w:rsidR="00DE1A26">
        <w:rPr>
          <w:rFonts w:ascii="Verdana" w:hAnsi="Verdana"/>
        </w:rPr>
        <w:t>,</w:t>
      </w:r>
      <w:r w:rsidR="00985508">
        <w:rPr>
          <w:rFonts w:ascii="Verdana" w:hAnsi="Verdana"/>
        </w:rPr>
        <w:t xml:space="preserve"> and is disappointed to not see</w:t>
      </w:r>
      <w:r w:rsidR="00985508" w:rsidRPr="003C0275">
        <w:rPr>
          <w:rFonts w:ascii="Verdana" w:hAnsi="Verdana"/>
        </w:rPr>
        <w:t xml:space="preserve"> </w:t>
      </w:r>
      <w:r w:rsidR="00DE65C0" w:rsidRPr="003C0275">
        <w:rPr>
          <w:rFonts w:ascii="Verdana" w:hAnsi="Verdana"/>
        </w:rPr>
        <w:t>concrete proposals within the consultation document</w:t>
      </w:r>
      <w:r w:rsidR="00E85F55" w:rsidRPr="003C0275">
        <w:rPr>
          <w:rFonts w:ascii="Verdana" w:hAnsi="Verdana"/>
        </w:rPr>
        <w:t xml:space="preserve"> for </w:t>
      </w:r>
      <w:r w:rsidR="00985508">
        <w:rPr>
          <w:rFonts w:ascii="Verdana" w:hAnsi="Verdana"/>
        </w:rPr>
        <w:t>addressing this</w:t>
      </w:r>
      <w:r w:rsidR="00E85F55" w:rsidRPr="003C0275">
        <w:rPr>
          <w:rFonts w:ascii="Verdana" w:hAnsi="Verdana"/>
        </w:rPr>
        <w:t xml:space="preserve">. In the absence of this, it is also disappointing for there to be no reference </w:t>
      </w:r>
      <w:r w:rsidR="00985508">
        <w:rPr>
          <w:rFonts w:ascii="Verdana" w:hAnsi="Verdana"/>
        </w:rPr>
        <w:t xml:space="preserve">within the consultation document </w:t>
      </w:r>
      <w:r w:rsidR="00830D46" w:rsidRPr="003C0275">
        <w:rPr>
          <w:rFonts w:ascii="Verdana" w:hAnsi="Verdana"/>
        </w:rPr>
        <w:t>as to what the plan is for addressing this issue</w:t>
      </w:r>
      <w:r w:rsidR="00557C59">
        <w:rPr>
          <w:rFonts w:ascii="Verdana" w:hAnsi="Verdana"/>
        </w:rPr>
        <w:t xml:space="preserve"> </w:t>
      </w:r>
      <w:r w:rsidR="00EC6E11">
        <w:rPr>
          <w:rFonts w:ascii="Verdana" w:hAnsi="Verdana"/>
        </w:rPr>
        <w:t xml:space="preserve">outside of this consultation process </w:t>
      </w:r>
      <w:r w:rsidR="00557C59">
        <w:rPr>
          <w:rFonts w:ascii="Verdana" w:hAnsi="Verdana"/>
        </w:rPr>
        <w:t>or, if there is no</w:t>
      </w:r>
      <w:r w:rsidR="009B3B98">
        <w:rPr>
          <w:rFonts w:ascii="Verdana" w:hAnsi="Verdana"/>
        </w:rPr>
        <w:t xml:space="preserve"> plan</w:t>
      </w:r>
      <w:r w:rsidR="00557C59">
        <w:rPr>
          <w:rFonts w:ascii="Verdana" w:hAnsi="Verdana"/>
        </w:rPr>
        <w:t xml:space="preserve">, to confirm </w:t>
      </w:r>
      <w:r w:rsidR="009B3B98">
        <w:rPr>
          <w:rFonts w:ascii="Verdana" w:hAnsi="Verdana"/>
        </w:rPr>
        <w:t xml:space="preserve">that </w:t>
      </w:r>
      <w:r w:rsidR="00557C59">
        <w:rPr>
          <w:rFonts w:ascii="Verdana" w:hAnsi="Verdana"/>
        </w:rPr>
        <w:t>this is the case</w:t>
      </w:r>
      <w:r w:rsidR="00830D46" w:rsidRPr="003C0275">
        <w:rPr>
          <w:rFonts w:ascii="Verdana" w:hAnsi="Verdana"/>
        </w:rPr>
        <w:t>.</w:t>
      </w:r>
      <w:r w:rsidR="00830D46">
        <w:t xml:space="preserve"> </w:t>
      </w:r>
    </w:p>
    <w:p w14:paraId="4D161BE3" w14:textId="77777777" w:rsidR="00EC6375" w:rsidRPr="00EC6375" w:rsidRDefault="00EC6375" w:rsidP="00EC6375">
      <w:pPr>
        <w:pStyle w:val="BasicParagraph"/>
        <w:suppressAutoHyphens/>
        <w:ind w:left="709"/>
        <w:rPr>
          <w:rFonts w:ascii="Verdana" w:hAnsi="Verdana"/>
        </w:rPr>
      </w:pPr>
    </w:p>
    <w:p w14:paraId="22270723" w14:textId="2705F753" w:rsidR="00B56194" w:rsidRPr="006E5126" w:rsidRDefault="00EC6375" w:rsidP="00C2117A">
      <w:pPr>
        <w:pStyle w:val="BasicParagraph"/>
        <w:numPr>
          <w:ilvl w:val="1"/>
          <w:numId w:val="9"/>
        </w:numPr>
        <w:suppressAutoHyphens/>
        <w:ind w:left="709"/>
        <w:rPr>
          <w:vanish/>
        </w:rPr>
      </w:pPr>
      <w:r w:rsidRPr="006E5126">
        <w:rPr>
          <w:rFonts w:ascii="Verdana" w:hAnsi="Verdana"/>
          <w:b/>
          <w:bCs/>
        </w:rPr>
        <w:t xml:space="preserve">The NIHRC recommends that the Executive Office ensures intersectional multiple discrimination claims in NI are effectively addressed, including </w:t>
      </w:r>
      <w:r w:rsidR="00394777">
        <w:rPr>
          <w:rFonts w:ascii="Verdana" w:hAnsi="Verdana"/>
          <w:b/>
          <w:bCs/>
        </w:rPr>
        <w:t xml:space="preserve">by the provision of </w:t>
      </w:r>
      <w:r w:rsidRPr="006E5126">
        <w:rPr>
          <w:rFonts w:ascii="Verdana" w:hAnsi="Verdana"/>
          <w:b/>
          <w:bCs/>
        </w:rPr>
        <w:t>intersectionality within equality legislation</w:t>
      </w:r>
      <w:r w:rsidR="00394777">
        <w:rPr>
          <w:rFonts w:ascii="Verdana" w:hAnsi="Verdana"/>
          <w:b/>
          <w:bCs/>
        </w:rPr>
        <w:t>,</w:t>
      </w:r>
      <w:r w:rsidR="007E2781" w:rsidRPr="006E5126">
        <w:rPr>
          <w:rFonts w:ascii="Verdana" w:hAnsi="Verdana"/>
          <w:b/>
          <w:bCs/>
        </w:rPr>
        <w:t xml:space="preserve"> including</w:t>
      </w:r>
      <w:r w:rsidR="00967B03" w:rsidRPr="006E5126">
        <w:rPr>
          <w:rFonts w:ascii="Verdana" w:hAnsi="Verdana"/>
          <w:b/>
          <w:bCs/>
        </w:rPr>
        <w:t xml:space="preserve"> the Race Relations (NI) Order 1997, or equivalent.</w:t>
      </w:r>
    </w:p>
    <w:p w14:paraId="2A8057E4" w14:textId="77777777" w:rsidR="00C2117A" w:rsidRDefault="00C2117A" w:rsidP="006E5126">
      <w:pPr>
        <w:widowControl w:val="0"/>
        <w:suppressAutoHyphens/>
        <w:autoSpaceDE w:val="0"/>
        <w:autoSpaceDN w:val="0"/>
        <w:adjustRightInd w:val="0"/>
        <w:textAlignment w:val="center"/>
      </w:pPr>
    </w:p>
    <w:p w14:paraId="7B934EA8" w14:textId="77777777" w:rsidR="00C2117A" w:rsidRDefault="00C2117A" w:rsidP="006E5126">
      <w:pPr>
        <w:widowControl w:val="0"/>
        <w:suppressAutoHyphens/>
        <w:autoSpaceDE w:val="0"/>
        <w:autoSpaceDN w:val="0"/>
        <w:adjustRightInd w:val="0"/>
        <w:textAlignment w:val="center"/>
      </w:pPr>
    </w:p>
    <w:p w14:paraId="55529339" w14:textId="77777777" w:rsidR="00AD200E" w:rsidRPr="001E6EA9" w:rsidRDefault="00AD200E" w:rsidP="00AD200E">
      <w:pPr>
        <w:pStyle w:val="Heading2"/>
      </w:pPr>
      <w:bookmarkStart w:id="6" w:name="_Toc137459916"/>
      <w:r>
        <w:t>Clarifying definitions</w:t>
      </w:r>
      <w:bookmarkEnd w:id="6"/>
    </w:p>
    <w:p w14:paraId="1EEC829D" w14:textId="77777777" w:rsidR="005A00C4" w:rsidRDefault="005A00C4" w:rsidP="00AD200E">
      <w:pPr>
        <w:pStyle w:val="BasicParagraph"/>
        <w:suppressAutoHyphens/>
        <w:rPr>
          <w:rFonts w:ascii="Verdana" w:hAnsi="Verdana"/>
        </w:rPr>
      </w:pPr>
    </w:p>
    <w:p w14:paraId="16927BA3" w14:textId="3C3F1585" w:rsidR="00AD200E" w:rsidRDefault="00592D28" w:rsidP="00B56194">
      <w:pPr>
        <w:pStyle w:val="BasicParagraph"/>
        <w:numPr>
          <w:ilvl w:val="1"/>
          <w:numId w:val="9"/>
        </w:numPr>
        <w:suppressAutoHyphens/>
        <w:ind w:left="709"/>
        <w:rPr>
          <w:rFonts w:ascii="Verdana" w:hAnsi="Verdana"/>
        </w:rPr>
      </w:pPr>
      <w:r>
        <w:rPr>
          <w:rFonts w:ascii="Verdana" w:hAnsi="Verdana"/>
        </w:rPr>
        <w:t>The consultation document includes proposals to change some of the definitions contained within the Race Relations (NI) Order 1997 to “widen the scope that the new Bill will cover, to provide better overall protection”.</w:t>
      </w:r>
      <w:r>
        <w:rPr>
          <w:rStyle w:val="FootnoteReference"/>
          <w:rFonts w:ascii="Verdana" w:hAnsi="Verdana"/>
        </w:rPr>
        <w:footnoteReference w:id="52"/>
      </w:r>
      <w:r w:rsidR="005C7911">
        <w:rPr>
          <w:rFonts w:ascii="Verdana" w:hAnsi="Verdana"/>
        </w:rPr>
        <w:t xml:space="preserve"> This includes ensuring consisten</w:t>
      </w:r>
      <w:r w:rsidR="683A1004" w:rsidRPr="00625DAD">
        <w:rPr>
          <w:rFonts w:ascii="Verdana" w:hAnsi="Verdana"/>
        </w:rPr>
        <w:t>t</w:t>
      </w:r>
      <w:r w:rsidR="005C7911">
        <w:rPr>
          <w:rFonts w:ascii="Verdana" w:hAnsi="Verdana"/>
        </w:rPr>
        <w:t xml:space="preserve"> reference to the grounds for racial discrimination throughout </w:t>
      </w:r>
      <w:r w:rsidR="00903988">
        <w:rPr>
          <w:rFonts w:ascii="Verdana" w:hAnsi="Verdana"/>
        </w:rPr>
        <w:t>the Race Relations (NI) Order 1997, or equivalent.</w:t>
      </w:r>
      <w:r w:rsidR="00903988">
        <w:rPr>
          <w:rStyle w:val="FootnoteReference"/>
          <w:rFonts w:ascii="Verdana" w:hAnsi="Verdana"/>
        </w:rPr>
        <w:footnoteReference w:id="53"/>
      </w:r>
    </w:p>
    <w:p w14:paraId="6C78E19C" w14:textId="77777777" w:rsidR="00903988" w:rsidRDefault="00903988" w:rsidP="00903988">
      <w:pPr>
        <w:pStyle w:val="BasicParagraph"/>
        <w:suppressAutoHyphens/>
        <w:ind w:left="709"/>
        <w:rPr>
          <w:rFonts w:ascii="Verdana" w:hAnsi="Verdana"/>
        </w:rPr>
      </w:pPr>
    </w:p>
    <w:p w14:paraId="73BFD6FA" w14:textId="325F8C34" w:rsidR="004A5F52" w:rsidRDefault="005A00C4" w:rsidP="00B56194">
      <w:pPr>
        <w:pStyle w:val="BasicParagraph"/>
        <w:numPr>
          <w:ilvl w:val="1"/>
          <w:numId w:val="9"/>
        </w:numPr>
        <w:suppressAutoHyphens/>
        <w:ind w:left="709"/>
        <w:rPr>
          <w:rFonts w:ascii="Verdana" w:hAnsi="Verdana"/>
        </w:rPr>
      </w:pPr>
      <w:r w:rsidRPr="00150A53">
        <w:rPr>
          <w:rFonts w:ascii="Verdana" w:hAnsi="Verdana"/>
        </w:rPr>
        <w:t>Legislation should be effective in law and practice.</w:t>
      </w:r>
      <w:r w:rsidR="00914A71" w:rsidRPr="00150A53">
        <w:rPr>
          <w:rStyle w:val="FootnoteReference"/>
          <w:rFonts w:ascii="Verdana" w:hAnsi="Verdana"/>
        </w:rPr>
        <w:footnoteReference w:id="54"/>
      </w:r>
      <w:r>
        <w:rPr>
          <w:rFonts w:ascii="Verdana" w:hAnsi="Verdana"/>
        </w:rPr>
        <w:t xml:space="preserve"> </w:t>
      </w:r>
      <w:r w:rsidR="00DA2F64">
        <w:rPr>
          <w:rFonts w:ascii="Verdana" w:hAnsi="Verdana"/>
        </w:rPr>
        <w:t xml:space="preserve">The first practical step in guaranteeing this is to ensure that the law is consistent throughout. </w:t>
      </w:r>
    </w:p>
    <w:p w14:paraId="415F54B7" w14:textId="77777777" w:rsidR="00BC39AE" w:rsidRDefault="00BC39AE" w:rsidP="00BC39AE">
      <w:pPr>
        <w:pStyle w:val="BasicParagraph"/>
        <w:suppressAutoHyphens/>
        <w:ind w:left="709"/>
        <w:rPr>
          <w:rFonts w:ascii="Verdana" w:hAnsi="Verdana"/>
        </w:rPr>
      </w:pPr>
    </w:p>
    <w:p w14:paraId="150B8429" w14:textId="7B1D6875" w:rsidR="00BC39AE" w:rsidRPr="00D64B4D" w:rsidRDefault="00BC39AE" w:rsidP="00B56194">
      <w:pPr>
        <w:pStyle w:val="BasicParagraph"/>
        <w:numPr>
          <w:ilvl w:val="1"/>
          <w:numId w:val="9"/>
        </w:numPr>
        <w:suppressAutoHyphens/>
        <w:ind w:left="709"/>
        <w:rPr>
          <w:rFonts w:ascii="Verdana" w:hAnsi="Verdana"/>
          <w:b/>
          <w:bCs/>
        </w:rPr>
      </w:pPr>
      <w:r w:rsidRPr="00D64B4D">
        <w:rPr>
          <w:rFonts w:ascii="Verdana" w:hAnsi="Verdana"/>
          <w:b/>
          <w:bCs/>
        </w:rPr>
        <w:t xml:space="preserve">The NIHRC </w:t>
      </w:r>
      <w:r w:rsidR="00914A71" w:rsidRPr="00D64B4D">
        <w:rPr>
          <w:rFonts w:ascii="Verdana" w:hAnsi="Verdana"/>
          <w:b/>
          <w:bCs/>
        </w:rPr>
        <w:t>welcomes</w:t>
      </w:r>
      <w:r w:rsidRPr="00D64B4D">
        <w:rPr>
          <w:rFonts w:ascii="Verdana" w:hAnsi="Verdana"/>
          <w:b/>
          <w:bCs/>
        </w:rPr>
        <w:t xml:space="preserve"> the Executive Office</w:t>
      </w:r>
      <w:r w:rsidR="00914A71" w:rsidRPr="00D64B4D">
        <w:rPr>
          <w:rFonts w:ascii="Verdana" w:hAnsi="Verdana"/>
          <w:b/>
          <w:bCs/>
        </w:rPr>
        <w:t xml:space="preserve">’s proposal to </w:t>
      </w:r>
      <w:r w:rsidR="00D64B4D" w:rsidRPr="00D64B4D">
        <w:rPr>
          <w:rFonts w:ascii="Verdana" w:hAnsi="Verdana"/>
          <w:b/>
          <w:bCs/>
        </w:rPr>
        <w:t xml:space="preserve">ensure reference to the grounds for racial discrimination is consistent throughout the Race Relations (NI) Order </w:t>
      </w:r>
      <w:r w:rsidR="00000A12">
        <w:rPr>
          <w:rFonts w:ascii="Verdana" w:hAnsi="Verdana"/>
          <w:b/>
          <w:bCs/>
        </w:rPr>
        <w:t xml:space="preserve">1997, </w:t>
      </w:r>
      <w:r w:rsidR="00D64B4D" w:rsidRPr="00D64B4D">
        <w:rPr>
          <w:rFonts w:ascii="Verdana" w:hAnsi="Verdana"/>
          <w:b/>
          <w:bCs/>
        </w:rPr>
        <w:t>or equivalent.</w:t>
      </w:r>
    </w:p>
    <w:p w14:paraId="113EB091" w14:textId="77777777" w:rsidR="00F10171" w:rsidRDefault="00F10171" w:rsidP="007A452C">
      <w:pPr>
        <w:pStyle w:val="BasicParagraph"/>
        <w:suppressAutoHyphens/>
        <w:ind w:left="-11"/>
        <w:rPr>
          <w:rFonts w:ascii="Verdana" w:hAnsi="Verdana"/>
        </w:rPr>
      </w:pPr>
    </w:p>
    <w:p w14:paraId="71B36EF4" w14:textId="5A0E18A3" w:rsidR="007A452C" w:rsidRDefault="00E21958" w:rsidP="00E21958">
      <w:pPr>
        <w:pStyle w:val="Heading2"/>
      </w:pPr>
      <w:bookmarkStart w:id="7" w:name="_Toc137459917"/>
      <w:r>
        <w:t>Reference to human rights principles</w:t>
      </w:r>
      <w:bookmarkEnd w:id="7"/>
    </w:p>
    <w:p w14:paraId="3887DC9F" w14:textId="0BAAA165" w:rsidR="00776A70" w:rsidRDefault="00F95BAA" w:rsidP="00B56194">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Pr>
          <w:rFonts w:ascii="Verdana" w:hAnsi="Verdana"/>
        </w:rPr>
        <w:t xml:space="preserve"> t</w:t>
      </w:r>
      <w:r w:rsidR="00907C17">
        <w:rPr>
          <w:rFonts w:ascii="Verdana" w:hAnsi="Verdana"/>
        </w:rPr>
        <w:t>hat any new provisions</w:t>
      </w:r>
      <w:r w:rsidR="006C5461">
        <w:rPr>
          <w:rFonts w:ascii="Verdana" w:hAnsi="Verdana"/>
        </w:rPr>
        <w:t xml:space="preserve"> on </w:t>
      </w:r>
      <w:r w:rsidR="00C2792E">
        <w:rPr>
          <w:rFonts w:ascii="Verdana" w:hAnsi="Verdana"/>
        </w:rPr>
        <w:lastRenderedPageBreak/>
        <w:t>justifying discriminatory practices</w:t>
      </w:r>
      <w:r w:rsidR="00907C17">
        <w:rPr>
          <w:rFonts w:ascii="Verdana" w:hAnsi="Verdana"/>
        </w:rPr>
        <w:t xml:space="preserve"> introduced </w:t>
      </w:r>
      <w:r w:rsidR="00EA2E57">
        <w:rPr>
          <w:rFonts w:ascii="Verdana" w:hAnsi="Verdana"/>
        </w:rPr>
        <w:t>due to</w:t>
      </w:r>
      <w:r w:rsidR="00907C17">
        <w:rPr>
          <w:rFonts w:ascii="Verdana" w:hAnsi="Verdana"/>
        </w:rPr>
        <w:t xml:space="preserve"> legislative reform should include</w:t>
      </w:r>
      <w:r w:rsidR="006C5461">
        <w:rPr>
          <w:rFonts w:ascii="Verdana" w:hAnsi="Verdana"/>
        </w:rPr>
        <w:t xml:space="preserve"> reference to the principles </w:t>
      </w:r>
      <w:r w:rsidR="223BFCE2" w:rsidRPr="00231C6A">
        <w:rPr>
          <w:rFonts w:ascii="Verdana" w:hAnsi="Verdana"/>
        </w:rPr>
        <w:t>of</w:t>
      </w:r>
      <w:r w:rsidR="223BFCE2">
        <w:rPr>
          <w:rFonts w:ascii="Verdana" w:hAnsi="Verdana"/>
        </w:rPr>
        <w:t xml:space="preserve"> </w:t>
      </w:r>
      <w:r w:rsidR="006C5461">
        <w:rPr>
          <w:rFonts w:ascii="Verdana" w:hAnsi="Verdana"/>
        </w:rPr>
        <w:t xml:space="preserve">proportionality and </w:t>
      </w:r>
      <w:r w:rsidR="00C2792E">
        <w:rPr>
          <w:rFonts w:ascii="Verdana" w:hAnsi="Verdana"/>
        </w:rPr>
        <w:t>legitimate aim</w:t>
      </w:r>
      <w:r w:rsidR="00EA2D04" w:rsidRPr="00A62325">
        <w:rPr>
          <w:rFonts w:ascii="Verdana" w:hAnsi="Verdana"/>
        </w:rPr>
        <w:t>.</w:t>
      </w:r>
      <w:r w:rsidR="00EA2E57">
        <w:rPr>
          <w:rStyle w:val="FootnoteReference"/>
          <w:rFonts w:ascii="Verdana" w:hAnsi="Verdana"/>
        </w:rPr>
        <w:footnoteReference w:id="55"/>
      </w:r>
      <w:r w:rsidR="00C2792E">
        <w:rPr>
          <w:rFonts w:ascii="Verdana" w:hAnsi="Verdana"/>
        </w:rPr>
        <w:t xml:space="preserve"> For example, this would apply to amendment</w:t>
      </w:r>
      <w:r w:rsidR="002A68C5">
        <w:rPr>
          <w:rFonts w:ascii="Verdana" w:hAnsi="Verdana"/>
        </w:rPr>
        <w:t>s</w:t>
      </w:r>
      <w:r w:rsidR="00C2792E">
        <w:rPr>
          <w:rFonts w:ascii="Verdana" w:hAnsi="Verdana"/>
        </w:rPr>
        <w:t xml:space="preserve"> to Article</w:t>
      </w:r>
      <w:r w:rsidR="000C5936">
        <w:rPr>
          <w:rFonts w:ascii="Verdana" w:hAnsi="Verdana"/>
        </w:rPr>
        <w:t>s 7A and</w:t>
      </w:r>
      <w:r w:rsidR="00C2792E">
        <w:rPr>
          <w:rFonts w:ascii="Verdana" w:hAnsi="Verdana"/>
        </w:rPr>
        <w:t xml:space="preserve"> 41 of the Race Relations (NI) Order.</w:t>
      </w:r>
    </w:p>
    <w:p w14:paraId="32B8791A" w14:textId="6A0AB9D4" w:rsidR="00776A70" w:rsidRDefault="00EA2D04" w:rsidP="00776A70">
      <w:pPr>
        <w:pStyle w:val="BasicParagraph"/>
        <w:suppressAutoHyphens/>
        <w:ind w:left="709"/>
        <w:rPr>
          <w:rFonts w:ascii="Verdana" w:hAnsi="Verdana"/>
        </w:rPr>
      </w:pPr>
      <w:r w:rsidRPr="00A62325">
        <w:rPr>
          <w:rFonts w:ascii="Verdana" w:hAnsi="Verdana"/>
        </w:rPr>
        <w:t xml:space="preserve"> </w:t>
      </w:r>
    </w:p>
    <w:p w14:paraId="1E1D585B" w14:textId="2D802949" w:rsidR="00B83067" w:rsidRDefault="00D34272" w:rsidP="00B56194">
      <w:pPr>
        <w:pStyle w:val="BasicParagraph"/>
        <w:numPr>
          <w:ilvl w:val="1"/>
          <w:numId w:val="9"/>
        </w:numPr>
        <w:suppressAutoHyphens/>
        <w:ind w:left="709"/>
        <w:rPr>
          <w:rFonts w:ascii="Verdana" w:hAnsi="Verdana"/>
        </w:rPr>
      </w:pPr>
      <w:r>
        <w:rPr>
          <w:rFonts w:ascii="Verdana" w:hAnsi="Verdana"/>
        </w:rPr>
        <w:t>In human rights terms, e</w:t>
      </w:r>
      <w:r w:rsidR="007716AB">
        <w:rPr>
          <w:rFonts w:ascii="Verdana" w:hAnsi="Verdana"/>
        </w:rPr>
        <w:t xml:space="preserve">stablishing whether a violation of </w:t>
      </w:r>
      <w:r w:rsidR="007716AB" w:rsidRPr="00537A4A">
        <w:rPr>
          <w:rFonts w:ascii="Verdana" w:hAnsi="Verdana"/>
        </w:rPr>
        <w:t>a q</w:t>
      </w:r>
      <w:r w:rsidR="00776A70" w:rsidRPr="00537A4A">
        <w:rPr>
          <w:rFonts w:ascii="Verdana" w:hAnsi="Verdana"/>
        </w:rPr>
        <w:t>ualified right</w:t>
      </w:r>
      <w:r w:rsidRPr="00537A4A">
        <w:rPr>
          <w:rStyle w:val="FootnoteReference"/>
          <w:rFonts w:ascii="Verdana" w:hAnsi="Verdana"/>
        </w:rPr>
        <w:footnoteReference w:id="56"/>
      </w:r>
      <w:r>
        <w:rPr>
          <w:rFonts w:ascii="Verdana" w:hAnsi="Verdana"/>
        </w:rPr>
        <w:t xml:space="preserve"> has occurred</w:t>
      </w:r>
      <w:r w:rsidR="00776A70">
        <w:rPr>
          <w:rFonts w:ascii="Verdana" w:hAnsi="Verdana"/>
        </w:rPr>
        <w:t xml:space="preserve"> </w:t>
      </w:r>
      <w:r w:rsidR="007716AB">
        <w:rPr>
          <w:rFonts w:ascii="Verdana" w:hAnsi="Verdana"/>
        </w:rPr>
        <w:t>is</w:t>
      </w:r>
      <w:r w:rsidR="00B06EF7">
        <w:rPr>
          <w:rFonts w:ascii="Verdana" w:hAnsi="Verdana"/>
        </w:rPr>
        <w:t xml:space="preserve"> guided by whether </w:t>
      </w:r>
      <w:r w:rsidR="007716AB">
        <w:rPr>
          <w:rFonts w:ascii="Verdana" w:hAnsi="Verdana"/>
        </w:rPr>
        <w:t>the</w:t>
      </w:r>
      <w:r w:rsidR="00B06EF7">
        <w:rPr>
          <w:rFonts w:ascii="Verdana" w:hAnsi="Verdana"/>
        </w:rPr>
        <w:t xml:space="preserve"> </w:t>
      </w:r>
      <w:r w:rsidR="00B06EF7" w:rsidRPr="005C42D9">
        <w:rPr>
          <w:rFonts w:ascii="Verdana" w:hAnsi="Verdana"/>
        </w:rPr>
        <w:t>interference is proportionate in pursuit of a legitimate aim.</w:t>
      </w:r>
      <w:r w:rsidR="00B06EF7" w:rsidRPr="005C42D9">
        <w:rPr>
          <w:rStyle w:val="FootnoteReference"/>
          <w:rFonts w:ascii="Verdana" w:hAnsi="Verdana"/>
        </w:rPr>
        <w:footnoteReference w:id="57"/>
      </w:r>
      <w:r w:rsidR="00B06EF7">
        <w:rPr>
          <w:rFonts w:ascii="Verdana" w:hAnsi="Verdana"/>
        </w:rPr>
        <w:t xml:space="preserve"> </w:t>
      </w:r>
      <w:r w:rsidR="00345053">
        <w:rPr>
          <w:rFonts w:ascii="Verdana" w:hAnsi="Verdana"/>
        </w:rPr>
        <w:t xml:space="preserve">Expressly referring to such principles </w:t>
      </w:r>
      <w:r w:rsidR="0094316A">
        <w:rPr>
          <w:rFonts w:ascii="Verdana" w:hAnsi="Verdana"/>
        </w:rPr>
        <w:t>within the Race Relations (NI) Order</w:t>
      </w:r>
      <w:r w:rsidR="00DE1A26">
        <w:rPr>
          <w:rFonts w:ascii="Verdana" w:hAnsi="Verdana"/>
        </w:rPr>
        <w:t xml:space="preserve"> 1997,</w:t>
      </w:r>
      <w:r w:rsidR="0094316A">
        <w:rPr>
          <w:rFonts w:ascii="Verdana" w:hAnsi="Verdana"/>
        </w:rPr>
        <w:t xml:space="preserve"> or equivalent</w:t>
      </w:r>
      <w:r w:rsidR="00DE1A26">
        <w:rPr>
          <w:rFonts w:ascii="Verdana" w:hAnsi="Verdana"/>
        </w:rPr>
        <w:t>,</w:t>
      </w:r>
      <w:r w:rsidR="0094316A">
        <w:rPr>
          <w:rFonts w:ascii="Verdana" w:hAnsi="Verdana"/>
        </w:rPr>
        <w:t xml:space="preserve"> </w:t>
      </w:r>
      <w:r w:rsidR="00345053">
        <w:rPr>
          <w:rFonts w:ascii="Verdana" w:hAnsi="Verdana"/>
        </w:rPr>
        <w:t xml:space="preserve">will provide clarity and assist with ensuring the </w:t>
      </w:r>
      <w:r w:rsidR="0094316A">
        <w:rPr>
          <w:rFonts w:ascii="Verdana" w:hAnsi="Verdana"/>
        </w:rPr>
        <w:t xml:space="preserve">resulting </w:t>
      </w:r>
      <w:r w:rsidR="00345053">
        <w:rPr>
          <w:rFonts w:ascii="Verdana" w:hAnsi="Verdana"/>
        </w:rPr>
        <w:t>legislation is effective in law and practice.</w:t>
      </w:r>
    </w:p>
    <w:p w14:paraId="66D36F47" w14:textId="77777777" w:rsidR="00B83067" w:rsidRDefault="00B83067" w:rsidP="00B83067">
      <w:pPr>
        <w:pStyle w:val="ListParagraph"/>
      </w:pPr>
    </w:p>
    <w:p w14:paraId="2DA974C8" w14:textId="55970811" w:rsidR="007E5AD8" w:rsidRDefault="007C180F" w:rsidP="00B56194">
      <w:pPr>
        <w:pStyle w:val="BasicParagraph"/>
        <w:numPr>
          <w:ilvl w:val="1"/>
          <w:numId w:val="9"/>
        </w:numPr>
        <w:suppressAutoHyphens/>
        <w:ind w:left="709"/>
        <w:rPr>
          <w:rFonts w:ascii="Verdana" w:hAnsi="Verdana"/>
        </w:rPr>
      </w:pPr>
      <w:r>
        <w:rPr>
          <w:rFonts w:ascii="Verdana" w:hAnsi="Verdana"/>
        </w:rPr>
        <w:t xml:space="preserve">Within human rights law, some clarity is provided as to what a legitimate aim </w:t>
      </w:r>
      <w:r w:rsidR="00747728">
        <w:rPr>
          <w:rFonts w:ascii="Verdana" w:hAnsi="Verdana"/>
        </w:rPr>
        <w:t xml:space="preserve">is </w:t>
      </w:r>
      <w:r w:rsidR="00895BB0">
        <w:rPr>
          <w:rFonts w:ascii="Verdana" w:hAnsi="Verdana"/>
        </w:rPr>
        <w:t>within</w:t>
      </w:r>
      <w:r w:rsidR="00747728">
        <w:rPr>
          <w:rFonts w:ascii="Verdana" w:hAnsi="Verdana"/>
        </w:rPr>
        <w:t xml:space="preserve"> different contexts.</w:t>
      </w:r>
      <w:r w:rsidR="00895BB0">
        <w:rPr>
          <w:rStyle w:val="FootnoteReference"/>
          <w:rFonts w:ascii="Verdana" w:hAnsi="Verdana"/>
        </w:rPr>
        <w:footnoteReference w:id="58"/>
      </w:r>
      <w:r w:rsidR="00747728">
        <w:rPr>
          <w:rFonts w:ascii="Verdana" w:hAnsi="Verdana"/>
        </w:rPr>
        <w:t xml:space="preserve"> It would be useful to consider whether a similar approach within the </w:t>
      </w:r>
      <w:r w:rsidR="00895BB0">
        <w:rPr>
          <w:rFonts w:ascii="Verdana" w:hAnsi="Verdana"/>
        </w:rPr>
        <w:t>text</w:t>
      </w:r>
      <w:r w:rsidR="00747728">
        <w:rPr>
          <w:rFonts w:ascii="Verdana" w:hAnsi="Verdana"/>
        </w:rPr>
        <w:t xml:space="preserve"> of the revised legislation is required, or if sufficient guidance </w:t>
      </w:r>
      <w:r w:rsidR="00895BB0">
        <w:rPr>
          <w:rFonts w:ascii="Verdana" w:hAnsi="Verdana"/>
        </w:rPr>
        <w:t>is provided elsewhere</w:t>
      </w:r>
      <w:r w:rsidR="002E7915">
        <w:rPr>
          <w:rFonts w:ascii="Verdana" w:hAnsi="Verdana"/>
        </w:rPr>
        <w:t>.</w:t>
      </w:r>
    </w:p>
    <w:p w14:paraId="6B301D81" w14:textId="77777777" w:rsidR="00DB2610" w:rsidRDefault="00DB2610" w:rsidP="00DB2610">
      <w:pPr>
        <w:pStyle w:val="ListParagraph"/>
      </w:pPr>
    </w:p>
    <w:p w14:paraId="3EF98890" w14:textId="1FB91018" w:rsidR="00B6056E" w:rsidRPr="00B6056E" w:rsidRDefault="003272C7" w:rsidP="00B56194">
      <w:pPr>
        <w:pStyle w:val="BasicParagraph"/>
        <w:numPr>
          <w:ilvl w:val="1"/>
          <w:numId w:val="9"/>
        </w:numPr>
        <w:suppressAutoHyphens/>
        <w:ind w:left="709"/>
        <w:rPr>
          <w:rFonts w:ascii="Verdana" w:hAnsi="Verdana"/>
          <w:b/>
          <w:bCs/>
        </w:rPr>
      </w:pPr>
      <w:r w:rsidRPr="00B6056E">
        <w:rPr>
          <w:rFonts w:ascii="Verdana" w:hAnsi="Verdana"/>
          <w:b/>
          <w:bCs/>
        </w:rPr>
        <w:t xml:space="preserve">The NIHRC welcomes the Executive Office’s proposal to </w:t>
      </w:r>
      <w:r w:rsidR="008A3B6E" w:rsidRPr="00B6056E">
        <w:rPr>
          <w:rFonts w:ascii="Verdana" w:hAnsi="Verdana"/>
          <w:b/>
          <w:bCs/>
        </w:rPr>
        <w:t xml:space="preserve">expressly </w:t>
      </w:r>
      <w:r w:rsidRPr="00B6056E">
        <w:rPr>
          <w:rFonts w:ascii="Verdana" w:hAnsi="Verdana"/>
          <w:b/>
          <w:bCs/>
        </w:rPr>
        <w:t xml:space="preserve">include human rights principles, such as </w:t>
      </w:r>
      <w:r w:rsidR="008A3B6E" w:rsidRPr="00B6056E">
        <w:rPr>
          <w:rFonts w:ascii="Verdana" w:hAnsi="Verdana"/>
          <w:b/>
          <w:bCs/>
        </w:rPr>
        <w:t>‘</w:t>
      </w:r>
      <w:r w:rsidRPr="00B6056E">
        <w:rPr>
          <w:rFonts w:ascii="Verdana" w:hAnsi="Verdana"/>
          <w:b/>
          <w:bCs/>
        </w:rPr>
        <w:t>proportionality</w:t>
      </w:r>
      <w:r w:rsidR="008A3B6E" w:rsidRPr="00B6056E">
        <w:rPr>
          <w:rFonts w:ascii="Verdana" w:hAnsi="Verdana"/>
          <w:b/>
          <w:bCs/>
        </w:rPr>
        <w:t>’</w:t>
      </w:r>
      <w:r w:rsidRPr="00B6056E">
        <w:rPr>
          <w:rFonts w:ascii="Verdana" w:hAnsi="Verdana"/>
          <w:b/>
          <w:bCs/>
        </w:rPr>
        <w:t xml:space="preserve"> and </w:t>
      </w:r>
      <w:r w:rsidR="008A3B6E" w:rsidRPr="00B6056E">
        <w:rPr>
          <w:rFonts w:ascii="Verdana" w:hAnsi="Verdana"/>
          <w:b/>
          <w:bCs/>
        </w:rPr>
        <w:t>‘</w:t>
      </w:r>
      <w:r w:rsidRPr="00B6056E">
        <w:rPr>
          <w:rFonts w:ascii="Verdana" w:hAnsi="Verdana"/>
          <w:b/>
          <w:bCs/>
        </w:rPr>
        <w:t>legitimate aim</w:t>
      </w:r>
      <w:r w:rsidR="008A3B6E" w:rsidRPr="00B6056E">
        <w:rPr>
          <w:rFonts w:ascii="Verdana" w:hAnsi="Verdana"/>
          <w:b/>
          <w:bCs/>
        </w:rPr>
        <w:t>’</w:t>
      </w:r>
      <w:r w:rsidRPr="00B6056E">
        <w:rPr>
          <w:rFonts w:ascii="Verdana" w:hAnsi="Verdana"/>
          <w:b/>
          <w:bCs/>
        </w:rPr>
        <w:t xml:space="preserve">, </w:t>
      </w:r>
      <w:r w:rsidR="002B7F8F" w:rsidRPr="00B6056E">
        <w:rPr>
          <w:rFonts w:ascii="Verdana" w:hAnsi="Verdana"/>
          <w:b/>
          <w:bCs/>
        </w:rPr>
        <w:t>where relevant within the Race Relations (NI) Order</w:t>
      </w:r>
      <w:r w:rsidR="00DE1A26">
        <w:rPr>
          <w:rFonts w:ascii="Verdana" w:hAnsi="Verdana"/>
          <w:b/>
          <w:bCs/>
        </w:rPr>
        <w:t xml:space="preserve"> 1997,</w:t>
      </w:r>
      <w:r w:rsidR="002B7F8F" w:rsidRPr="00B6056E">
        <w:rPr>
          <w:rFonts w:ascii="Verdana" w:hAnsi="Verdana"/>
          <w:b/>
          <w:bCs/>
        </w:rPr>
        <w:t xml:space="preserve"> or equivalent. </w:t>
      </w:r>
    </w:p>
    <w:p w14:paraId="05F8DAA7" w14:textId="77777777" w:rsidR="00B6056E" w:rsidRDefault="00B6056E" w:rsidP="00B6056E">
      <w:pPr>
        <w:pStyle w:val="ListParagraph"/>
      </w:pPr>
    </w:p>
    <w:p w14:paraId="1D01DAB5" w14:textId="5E79BA02" w:rsidR="00DB2610" w:rsidRPr="00B6056E" w:rsidRDefault="002B7F8F" w:rsidP="00B56194">
      <w:pPr>
        <w:pStyle w:val="BasicParagraph"/>
        <w:numPr>
          <w:ilvl w:val="1"/>
          <w:numId w:val="9"/>
        </w:numPr>
        <w:suppressAutoHyphens/>
        <w:ind w:left="709"/>
        <w:rPr>
          <w:rFonts w:ascii="Verdana" w:hAnsi="Verdana"/>
          <w:b/>
          <w:bCs/>
        </w:rPr>
      </w:pPr>
      <w:r w:rsidRPr="00B6056E">
        <w:rPr>
          <w:rFonts w:ascii="Verdana" w:hAnsi="Verdana"/>
          <w:b/>
          <w:bCs/>
        </w:rPr>
        <w:t xml:space="preserve">The NIHRC recommends that </w:t>
      </w:r>
      <w:r w:rsidR="00B6056E" w:rsidRPr="00B6056E">
        <w:rPr>
          <w:rFonts w:ascii="Verdana" w:hAnsi="Verdana"/>
          <w:b/>
          <w:bCs/>
        </w:rPr>
        <w:t xml:space="preserve">the Executive Office </w:t>
      </w:r>
      <w:r w:rsidR="005234DC">
        <w:rPr>
          <w:rFonts w:ascii="Verdana" w:hAnsi="Verdana"/>
          <w:b/>
          <w:bCs/>
        </w:rPr>
        <w:t>ensures that</w:t>
      </w:r>
      <w:r w:rsidR="00B6056E" w:rsidRPr="00B6056E">
        <w:rPr>
          <w:rFonts w:ascii="Verdana" w:hAnsi="Verdana"/>
          <w:b/>
          <w:bCs/>
        </w:rPr>
        <w:t xml:space="preserve"> guidance </w:t>
      </w:r>
      <w:r w:rsidR="003C73CF">
        <w:rPr>
          <w:rFonts w:ascii="Verdana" w:hAnsi="Verdana"/>
          <w:b/>
          <w:bCs/>
        </w:rPr>
        <w:t xml:space="preserve">is </w:t>
      </w:r>
      <w:r w:rsidR="00B6056E" w:rsidRPr="00B6056E">
        <w:rPr>
          <w:rFonts w:ascii="Verdana" w:hAnsi="Verdana"/>
          <w:b/>
          <w:bCs/>
        </w:rPr>
        <w:t xml:space="preserve">within </w:t>
      </w:r>
      <w:r w:rsidR="003C73CF">
        <w:rPr>
          <w:rFonts w:ascii="Verdana" w:hAnsi="Verdana"/>
          <w:b/>
          <w:bCs/>
        </w:rPr>
        <w:t xml:space="preserve">or supplementary to </w:t>
      </w:r>
      <w:r w:rsidR="00B6056E" w:rsidRPr="00B6056E">
        <w:rPr>
          <w:rFonts w:ascii="Verdana" w:hAnsi="Verdana"/>
          <w:b/>
          <w:bCs/>
        </w:rPr>
        <w:t xml:space="preserve">the revised </w:t>
      </w:r>
      <w:r w:rsidR="003C73CF">
        <w:rPr>
          <w:rFonts w:ascii="Verdana" w:hAnsi="Verdana"/>
          <w:b/>
          <w:bCs/>
        </w:rPr>
        <w:t>Race Relations (NI) Order 1997, or equivalent,</w:t>
      </w:r>
      <w:r w:rsidR="00B6056E" w:rsidRPr="00B6056E">
        <w:rPr>
          <w:rFonts w:ascii="Verdana" w:hAnsi="Verdana"/>
          <w:b/>
          <w:bCs/>
        </w:rPr>
        <w:t xml:space="preserve"> as to what a legitimate aim is within different contexts.</w:t>
      </w:r>
    </w:p>
    <w:p w14:paraId="7A7D477C" w14:textId="77777777" w:rsidR="009B393A" w:rsidRDefault="009B393A" w:rsidP="00B6056E">
      <w:pPr>
        <w:pStyle w:val="BasicParagraph"/>
        <w:suppressAutoHyphens/>
        <w:ind w:left="-11"/>
        <w:rPr>
          <w:rFonts w:ascii="Verdana" w:hAnsi="Verdana"/>
        </w:rPr>
      </w:pPr>
    </w:p>
    <w:p w14:paraId="1EE94DF0" w14:textId="6560FE72" w:rsidR="00B6056E" w:rsidRDefault="00A31ACC" w:rsidP="00A31ACC">
      <w:pPr>
        <w:pStyle w:val="Heading2"/>
      </w:pPr>
      <w:bookmarkStart w:id="8" w:name="_Toc137459918"/>
      <w:r>
        <w:t>Victim centred approach</w:t>
      </w:r>
      <w:bookmarkEnd w:id="8"/>
    </w:p>
    <w:p w14:paraId="09CAA337" w14:textId="09D626EA" w:rsidR="00A31ACC" w:rsidRDefault="00A31ACC" w:rsidP="007E5AD8">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Pr>
          <w:rFonts w:ascii="Verdana" w:hAnsi="Verdana"/>
        </w:rPr>
        <w:t xml:space="preserve"> that </w:t>
      </w:r>
      <w:r w:rsidR="00137A0F">
        <w:rPr>
          <w:rFonts w:ascii="Verdana" w:hAnsi="Verdana"/>
        </w:rPr>
        <w:t>the definition of discrimination</w:t>
      </w:r>
      <w:r w:rsidR="00CB55A6">
        <w:rPr>
          <w:rFonts w:ascii="Verdana" w:hAnsi="Verdana"/>
        </w:rPr>
        <w:t xml:space="preserve"> by way of victimisation in Article 4 of the Race Relations (NI) Order</w:t>
      </w:r>
      <w:r w:rsidR="004A4663">
        <w:rPr>
          <w:rFonts w:ascii="Verdana" w:hAnsi="Verdana"/>
        </w:rPr>
        <w:t xml:space="preserve"> 1997</w:t>
      </w:r>
      <w:r w:rsidR="00CB55A6">
        <w:rPr>
          <w:rFonts w:ascii="Verdana" w:hAnsi="Verdana"/>
        </w:rPr>
        <w:t xml:space="preserve"> is extended</w:t>
      </w:r>
      <w:r w:rsidR="00341723">
        <w:rPr>
          <w:rFonts w:ascii="Verdana" w:hAnsi="Verdana"/>
        </w:rPr>
        <w:t>.</w:t>
      </w:r>
      <w:r w:rsidR="00605565">
        <w:rPr>
          <w:rStyle w:val="FootnoteReference"/>
          <w:rFonts w:ascii="Verdana" w:hAnsi="Verdana"/>
        </w:rPr>
        <w:footnoteReference w:id="59"/>
      </w:r>
      <w:r w:rsidR="00341723">
        <w:rPr>
          <w:rFonts w:ascii="Verdana" w:hAnsi="Verdana"/>
        </w:rPr>
        <w:t xml:space="preserve"> It also proposes that the two-month notice period </w:t>
      </w:r>
      <w:r w:rsidR="001A14FF">
        <w:rPr>
          <w:rFonts w:ascii="Verdana" w:hAnsi="Verdana"/>
        </w:rPr>
        <w:t>to the Department of Education before a claim of discrimination can be made</w:t>
      </w:r>
      <w:r w:rsidR="004A4663">
        <w:rPr>
          <w:rFonts w:ascii="Verdana" w:hAnsi="Verdana"/>
        </w:rPr>
        <w:t xml:space="preserve">, as currently set out in Article 54(5) of the Race Relations (NI) </w:t>
      </w:r>
      <w:r w:rsidR="004A4663">
        <w:rPr>
          <w:rFonts w:ascii="Verdana" w:hAnsi="Verdana"/>
        </w:rPr>
        <w:lastRenderedPageBreak/>
        <w:t>Order 1997, is removed.</w:t>
      </w:r>
      <w:r w:rsidR="00605565">
        <w:rPr>
          <w:rStyle w:val="FootnoteReference"/>
          <w:rFonts w:ascii="Verdana" w:hAnsi="Verdana"/>
        </w:rPr>
        <w:footnoteReference w:id="60"/>
      </w:r>
    </w:p>
    <w:p w14:paraId="781ACAEF" w14:textId="77777777" w:rsidR="00636887" w:rsidRDefault="00636887" w:rsidP="00636887">
      <w:pPr>
        <w:pStyle w:val="BasicParagraph"/>
        <w:suppressAutoHyphens/>
        <w:ind w:left="709"/>
        <w:rPr>
          <w:rFonts w:ascii="Verdana" w:hAnsi="Verdana"/>
        </w:rPr>
      </w:pPr>
    </w:p>
    <w:p w14:paraId="73B645EC" w14:textId="3C434CD9" w:rsidR="00032450" w:rsidRPr="00CD06D5" w:rsidRDefault="1B0F21DF" w:rsidP="00032450">
      <w:pPr>
        <w:pStyle w:val="BasicParagraph"/>
        <w:numPr>
          <w:ilvl w:val="1"/>
          <w:numId w:val="9"/>
        </w:numPr>
        <w:suppressAutoHyphens/>
        <w:ind w:left="709"/>
        <w:rPr>
          <w:rFonts w:ascii="Verdana" w:hAnsi="Verdana"/>
        </w:rPr>
      </w:pPr>
      <w:r w:rsidRPr="00CD06D5">
        <w:rPr>
          <w:rFonts w:ascii="Verdana" w:hAnsi="Verdana"/>
        </w:rPr>
        <w:t>Removal of procedural obstacles</w:t>
      </w:r>
      <w:r w:rsidR="004F5BBE" w:rsidRPr="00CD06D5">
        <w:rPr>
          <w:rFonts w:ascii="Verdana" w:hAnsi="Verdana"/>
        </w:rPr>
        <w:t xml:space="preserve"> such as those suggested would help to ensure the </w:t>
      </w:r>
      <w:r w:rsidR="009C6AEE" w:rsidRPr="00CD06D5">
        <w:rPr>
          <w:rFonts w:ascii="Verdana" w:hAnsi="Verdana"/>
        </w:rPr>
        <w:t>right to an effective remedy</w:t>
      </w:r>
      <w:r w:rsidR="004F5BBE" w:rsidRPr="00CD06D5">
        <w:rPr>
          <w:rFonts w:ascii="Verdana" w:hAnsi="Verdana"/>
        </w:rPr>
        <w:t xml:space="preserve"> and </w:t>
      </w:r>
      <w:r w:rsidR="417A470F" w:rsidRPr="00CD06D5">
        <w:rPr>
          <w:rFonts w:ascii="Verdana" w:hAnsi="Verdana"/>
        </w:rPr>
        <w:t>assist in achieving</w:t>
      </w:r>
      <w:r w:rsidR="004F5BBE" w:rsidRPr="00CD06D5">
        <w:rPr>
          <w:rFonts w:ascii="Verdana" w:hAnsi="Verdana"/>
        </w:rPr>
        <w:t xml:space="preserve"> the broader requirement that legislation is effective in law and practice.</w:t>
      </w:r>
      <w:r w:rsidR="009C4CFF" w:rsidRPr="00CD06D5">
        <w:rPr>
          <w:rStyle w:val="FootnoteReference"/>
          <w:rFonts w:ascii="Verdana" w:hAnsi="Verdana"/>
        </w:rPr>
        <w:footnoteReference w:id="61"/>
      </w:r>
      <w:r w:rsidR="009C6AEE" w:rsidRPr="00CD06D5">
        <w:rPr>
          <w:rFonts w:ascii="Verdana" w:hAnsi="Verdana"/>
        </w:rPr>
        <w:t xml:space="preserve"> </w:t>
      </w:r>
    </w:p>
    <w:p w14:paraId="32A5717C" w14:textId="77777777" w:rsidR="00032450" w:rsidRDefault="00032450" w:rsidP="00032450">
      <w:pPr>
        <w:pStyle w:val="ListParagraph"/>
      </w:pPr>
    </w:p>
    <w:p w14:paraId="1FB67A4D" w14:textId="77777777" w:rsidR="0089676C" w:rsidRDefault="00DF7EE9" w:rsidP="0089676C">
      <w:pPr>
        <w:pStyle w:val="BasicParagraph"/>
        <w:numPr>
          <w:ilvl w:val="1"/>
          <w:numId w:val="9"/>
        </w:numPr>
        <w:suppressAutoHyphens/>
        <w:ind w:left="709"/>
        <w:rPr>
          <w:rFonts w:ascii="Verdana" w:hAnsi="Verdana"/>
        </w:rPr>
      </w:pPr>
      <w:r>
        <w:rPr>
          <w:rFonts w:ascii="Verdana" w:hAnsi="Verdana"/>
        </w:rPr>
        <w:t xml:space="preserve">In terms of defining victimisation, the ECHR’s definition of a victim offers some guidance. </w:t>
      </w:r>
      <w:r w:rsidR="00410380" w:rsidRPr="00A62325">
        <w:rPr>
          <w:rFonts w:ascii="Verdana" w:hAnsi="Verdana"/>
        </w:rPr>
        <w:t>For example, the ECtHR has accepted married partners,</w:t>
      </w:r>
      <w:r w:rsidR="00410380" w:rsidRPr="00A62325">
        <w:rPr>
          <w:rStyle w:val="FootnoteReference"/>
          <w:rFonts w:ascii="Verdana" w:hAnsi="Verdana"/>
        </w:rPr>
        <w:footnoteReference w:id="62"/>
      </w:r>
      <w:r w:rsidR="00410380" w:rsidRPr="00A62325">
        <w:rPr>
          <w:rFonts w:ascii="Verdana" w:hAnsi="Verdana"/>
        </w:rPr>
        <w:t xml:space="preserve"> unmarried partners,</w:t>
      </w:r>
      <w:r w:rsidR="00410380" w:rsidRPr="00A62325">
        <w:rPr>
          <w:rStyle w:val="FootnoteReference"/>
          <w:rFonts w:ascii="Verdana" w:hAnsi="Verdana"/>
        </w:rPr>
        <w:footnoteReference w:id="63"/>
      </w:r>
      <w:r w:rsidR="00410380" w:rsidRPr="00A62325">
        <w:rPr>
          <w:rFonts w:ascii="Verdana" w:hAnsi="Verdana"/>
        </w:rPr>
        <w:t xml:space="preserve"> parents,</w:t>
      </w:r>
      <w:r w:rsidR="00410380" w:rsidRPr="00A62325">
        <w:rPr>
          <w:rStyle w:val="FootnoteReference"/>
          <w:rFonts w:ascii="Verdana" w:hAnsi="Verdana"/>
        </w:rPr>
        <w:footnoteReference w:id="64"/>
      </w:r>
      <w:r w:rsidR="00410380" w:rsidRPr="00A62325">
        <w:rPr>
          <w:rFonts w:ascii="Verdana" w:hAnsi="Verdana"/>
        </w:rPr>
        <w:t xml:space="preserve"> siblings,</w:t>
      </w:r>
      <w:r w:rsidR="00410380" w:rsidRPr="00A62325">
        <w:rPr>
          <w:rStyle w:val="FootnoteReference"/>
          <w:rFonts w:ascii="Verdana" w:hAnsi="Verdana"/>
        </w:rPr>
        <w:footnoteReference w:id="65"/>
      </w:r>
      <w:r w:rsidR="00410380" w:rsidRPr="00A62325">
        <w:rPr>
          <w:rFonts w:ascii="Verdana" w:hAnsi="Verdana"/>
        </w:rPr>
        <w:t xml:space="preserve"> children,</w:t>
      </w:r>
      <w:r w:rsidR="00410380" w:rsidRPr="00A62325">
        <w:rPr>
          <w:rStyle w:val="FootnoteReference"/>
          <w:rFonts w:ascii="Verdana" w:hAnsi="Verdana"/>
        </w:rPr>
        <w:footnoteReference w:id="66"/>
      </w:r>
      <w:r w:rsidR="00410380" w:rsidRPr="00A62325">
        <w:rPr>
          <w:rFonts w:ascii="Verdana" w:hAnsi="Verdana"/>
        </w:rPr>
        <w:t xml:space="preserve"> and nephews as indirect victims.</w:t>
      </w:r>
      <w:r w:rsidR="00410380" w:rsidRPr="00A62325">
        <w:rPr>
          <w:rStyle w:val="FootnoteReference"/>
          <w:rFonts w:ascii="Verdana" w:hAnsi="Verdana"/>
        </w:rPr>
        <w:footnoteReference w:id="67"/>
      </w:r>
      <w:r w:rsidR="00410380" w:rsidRPr="00A62325">
        <w:rPr>
          <w:rFonts w:ascii="Verdana" w:hAnsi="Verdana"/>
        </w:rPr>
        <w:t xml:space="preserve"> </w:t>
      </w:r>
      <w:r w:rsidR="00410380" w:rsidRPr="00277D93">
        <w:rPr>
          <w:rFonts w:ascii="Verdana" w:hAnsi="Verdana"/>
        </w:rPr>
        <w:t>The ECtHR has also indicated that nieces, aunts, uncles and grandparents could be categorised as an indirect victim.</w:t>
      </w:r>
      <w:r w:rsidR="00410380" w:rsidRPr="00277D93">
        <w:rPr>
          <w:rStyle w:val="FootnoteReference"/>
          <w:rFonts w:ascii="Verdana" w:hAnsi="Verdana"/>
        </w:rPr>
        <w:footnoteReference w:id="68"/>
      </w:r>
    </w:p>
    <w:p w14:paraId="367EA75A" w14:textId="77777777" w:rsidR="0089676C" w:rsidRDefault="0089676C" w:rsidP="0089676C">
      <w:pPr>
        <w:pStyle w:val="ListParagraph"/>
        <w:rPr>
          <w:rStyle w:val="cf01"/>
          <w:rFonts w:ascii="Verdana" w:hAnsi="Verdana"/>
          <w:sz w:val="24"/>
          <w:szCs w:val="24"/>
        </w:rPr>
      </w:pPr>
    </w:p>
    <w:p w14:paraId="4ACB58CA" w14:textId="4EDC224D" w:rsidR="001B6A6C" w:rsidRPr="0089676C" w:rsidRDefault="003267B1" w:rsidP="0089676C">
      <w:pPr>
        <w:pStyle w:val="BasicParagraph"/>
        <w:numPr>
          <w:ilvl w:val="1"/>
          <w:numId w:val="9"/>
        </w:numPr>
        <w:suppressAutoHyphens/>
        <w:ind w:left="709"/>
        <w:rPr>
          <w:rFonts w:ascii="Verdana" w:hAnsi="Verdana"/>
        </w:rPr>
      </w:pPr>
      <w:r>
        <w:rPr>
          <w:rStyle w:val="cf01"/>
          <w:rFonts w:ascii="Verdana" w:hAnsi="Verdana"/>
          <w:sz w:val="24"/>
          <w:szCs w:val="24"/>
        </w:rPr>
        <w:t xml:space="preserve">Protection from victimisation is provided for in </w:t>
      </w:r>
      <w:r w:rsidR="001B6A6C" w:rsidRPr="0089676C">
        <w:rPr>
          <w:rStyle w:val="cf01"/>
          <w:rFonts w:ascii="Verdana" w:hAnsi="Verdana"/>
          <w:sz w:val="24"/>
          <w:szCs w:val="24"/>
        </w:rPr>
        <w:t xml:space="preserve">Article 9 of the EU Race Equality Directive </w:t>
      </w:r>
      <w:r>
        <w:rPr>
          <w:rStyle w:val="cf01"/>
          <w:rFonts w:ascii="Verdana" w:hAnsi="Verdana"/>
          <w:sz w:val="24"/>
          <w:szCs w:val="24"/>
        </w:rPr>
        <w:t xml:space="preserve">and also in other Annex 1 Equality Directives, such </w:t>
      </w:r>
      <w:r w:rsidRPr="0089676C">
        <w:rPr>
          <w:rStyle w:val="cf01"/>
          <w:rFonts w:ascii="Verdana" w:hAnsi="Verdana"/>
          <w:sz w:val="24"/>
          <w:szCs w:val="24"/>
        </w:rPr>
        <w:t>EU Gender Equality Directive</w:t>
      </w:r>
      <w:r w:rsidR="001B6A6C" w:rsidRPr="0089676C">
        <w:rPr>
          <w:rStyle w:val="cf01"/>
          <w:rFonts w:ascii="Verdana" w:hAnsi="Verdana"/>
          <w:sz w:val="24"/>
          <w:szCs w:val="24"/>
        </w:rPr>
        <w:t>.</w:t>
      </w:r>
      <w:r w:rsidR="001B6A6C" w:rsidRPr="001B6A6C">
        <w:rPr>
          <w:rStyle w:val="FootnoteReference"/>
          <w:rFonts w:ascii="Verdana" w:hAnsi="Verdana" w:cs="Segoe UI"/>
        </w:rPr>
        <w:footnoteReference w:id="69"/>
      </w:r>
      <w:r w:rsidR="001B6A6C" w:rsidRPr="0089676C">
        <w:rPr>
          <w:rStyle w:val="cf01"/>
          <w:rFonts w:ascii="Verdana" w:hAnsi="Verdana"/>
          <w:sz w:val="24"/>
          <w:szCs w:val="24"/>
        </w:rPr>
        <w:t xml:space="preserve"> Recital 20 of the EU Race Equality Directive states “</w:t>
      </w:r>
      <w:r w:rsidR="001B6A6C" w:rsidRPr="0089676C">
        <w:rPr>
          <w:rFonts w:ascii="Verdana" w:hAnsi="Verdana" w:cs="Tahoma"/>
        </w:rPr>
        <w:t>the effective implementation of the principle of equality requires adequate judicial protection against victimisation</w:t>
      </w:r>
      <w:r w:rsidR="001B6A6C" w:rsidRPr="0089676C">
        <w:rPr>
          <w:rStyle w:val="cf01"/>
          <w:rFonts w:ascii="Verdana" w:hAnsi="Verdana"/>
          <w:sz w:val="24"/>
          <w:szCs w:val="24"/>
        </w:rPr>
        <w:t>”.</w:t>
      </w:r>
      <w:r w:rsidR="001B6A6C" w:rsidRPr="0089676C">
        <w:rPr>
          <w:rStyle w:val="FootnoteReference"/>
          <w:rFonts w:ascii="Verdana" w:hAnsi="Verdana" w:cs="Segoe UI"/>
        </w:rPr>
        <w:footnoteReference w:id="70"/>
      </w:r>
      <w:r w:rsidR="001B6A6C" w:rsidRPr="0089676C">
        <w:rPr>
          <w:rStyle w:val="cf01"/>
          <w:rFonts w:ascii="Verdana" w:hAnsi="Verdana"/>
          <w:sz w:val="24"/>
          <w:szCs w:val="24"/>
        </w:rPr>
        <w:t xml:space="preserve"> In relation to</w:t>
      </w:r>
      <w:r w:rsidR="003C760C">
        <w:rPr>
          <w:rStyle w:val="cf01"/>
          <w:rFonts w:ascii="Verdana" w:hAnsi="Verdana"/>
          <w:sz w:val="24"/>
          <w:szCs w:val="24"/>
        </w:rPr>
        <w:t xml:space="preserve"> protection from victimisation in </w:t>
      </w:r>
      <w:r w:rsidR="001B6A6C" w:rsidRPr="0089676C">
        <w:rPr>
          <w:rStyle w:val="cf01"/>
          <w:rFonts w:ascii="Verdana" w:hAnsi="Verdana"/>
          <w:sz w:val="24"/>
          <w:szCs w:val="24"/>
        </w:rPr>
        <w:t>Article 24 of the EU Gender Equality Directive, t</w:t>
      </w:r>
      <w:r w:rsidR="001B6A6C" w:rsidRPr="0089676C">
        <w:rPr>
          <w:rFonts w:ascii="Verdana" w:hAnsi="Verdana"/>
        </w:rPr>
        <w:t>he CJEU has held that an essential part of effective judicial control to protect the principle of equal treatment, is ensuring victimisation is not interpreted restrictively.</w:t>
      </w:r>
      <w:r w:rsidR="001B6A6C" w:rsidRPr="0089676C">
        <w:rPr>
          <w:rStyle w:val="FootnoteReference"/>
          <w:rFonts w:ascii="Verdana" w:hAnsi="Verdana"/>
        </w:rPr>
        <w:footnoteReference w:id="71"/>
      </w:r>
      <w:r w:rsidR="001B6A6C" w:rsidRPr="0089676C">
        <w:rPr>
          <w:rFonts w:ascii="Verdana" w:hAnsi="Verdana"/>
        </w:rPr>
        <w:t xml:space="preserve"> In Hakelbracht, the </w:t>
      </w:r>
      <w:r w:rsidR="00007858">
        <w:rPr>
          <w:rFonts w:ascii="Verdana" w:hAnsi="Verdana"/>
        </w:rPr>
        <w:t>CJEU</w:t>
      </w:r>
      <w:r w:rsidR="003C760C">
        <w:rPr>
          <w:rFonts w:ascii="Verdana" w:hAnsi="Verdana"/>
        </w:rPr>
        <w:t xml:space="preserve"> found that t</w:t>
      </w:r>
      <w:r w:rsidR="003C760C" w:rsidRPr="003C760C">
        <w:rPr>
          <w:rFonts w:ascii="Verdana" w:hAnsi="Verdana"/>
        </w:rPr>
        <w:t>he principle of effective judicial protection</w:t>
      </w:r>
      <w:r w:rsidR="003C760C">
        <w:rPr>
          <w:rFonts w:ascii="Verdana" w:hAnsi="Verdana"/>
        </w:rPr>
        <w:t xml:space="preserve"> is </w:t>
      </w:r>
      <w:r w:rsidR="003C760C" w:rsidRPr="003C760C">
        <w:rPr>
          <w:rFonts w:ascii="Verdana" w:hAnsi="Verdana"/>
        </w:rPr>
        <w:t xml:space="preserve">reaffirmed in Article 47 of the </w:t>
      </w:r>
      <w:r w:rsidR="003C760C">
        <w:rPr>
          <w:rFonts w:ascii="Verdana" w:hAnsi="Verdana"/>
        </w:rPr>
        <w:t xml:space="preserve">EU </w:t>
      </w:r>
      <w:r w:rsidR="003C760C" w:rsidRPr="003C760C">
        <w:rPr>
          <w:rFonts w:ascii="Verdana" w:hAnsi="Verdana"/>
        </w:rPr>
        <w:t>Charter</w:t>
      </w:r>
      <w:r w:rsidR="003C760C">
        <w:rPr>
          <w:rFonts w:ascii="Verdana" w:hAnsi="Verdana"/>
        </w:rPr>
        <w:t xml:space="preserve">. The </w:t>
      </w:r>
      <w:r w:rsidR="00007858">
        <w:rPr>
          <w:rFonts w:ascii="Verdana" w:hAnsi="Verdana"/>
        </w:rPr>
        <w:t>CJEU</w:t>
      </w:r>
      <w:r w:rsidR="003C760C">
        <w:rPr>
          <w:rFonts w:ascii="Verdana" w:hAnsi="Verdana"/>
        </w:rPr>
        <w:t xml:space="preserve"> </w:t>
      </w:r>
      <w:r w:rsidR="001B6A6C" w:rsidRPr="0089676C">
        <w:rPr>
          <w:rFonts w:ascii="Verdana" w:hAnsi="Verdana"/>
        </w:rPr>
        <w:t xml:space="preserve">noted that </w:t>
      </w:r>
      <w:r w:rsidR="001B6A6C" w:rsidRPr="0089676C">
        <w:rPr>
          <w:rStyle w:val="cf01"/>
          <w:rFonts w:ascii="Verdana" w:hAnsi="Verdana"/>
          <w:sz w:val="24"/>
          <w:szCs w:val="24"/>
        </w:rPr>
        <w:t>the category of employees who are entitled to the protection provided by Article 24</w:t>
      </w:r>
      <w:r w:rsidR="00CB2828">
        <w:rPr>
          <w:rStyle w:val="cf01"/>
          <w:rFonts w:ascii="Verdana" w:hAnsi="Verdana"/>
          <w:sz w:val="24"/>
          <w:szCs w:val="24"/>
        </w:rPr>
        <w:t xml:space="preserve"> </w:t>
      </w:r>
      <w:r w:rsidR="00CB2828" w:rsidRPr="0089676C">
        <w:rPr>
          <w:rStyle w:val="cf01"/>
          <w:rFonts w:ascii="Verdana" w:hAnsi="Verdana"/>
          <w:sz w:val="24"/>
          <w:szCs w:val="24"/>
        </w:rPr>
        <w:t>of the EU Gender Equality Directive</w:t>
      </w:r>
      <w:r w:rsidR="001B6A6C" w:rsidRPr="0089676C">
        <w:rPr>
          <w:rStyle w:val="cf01"/>
          <w:rFonts w:ascii="Verdana" w:hAnsi="Verdana"/>
          <w:sz w:val="24"/>
          <w:szCs w:val="24"/>
        </w:rPr>
        <w:t xml:space="preserve"> “must be interpreted broadly and include all employees who may be subject to retaliatory measures taken by an employer in response to a </w:t>
      </w:r>
      <w:r w:rsidR="001B6A6C" w:rsidRPr="0089676C">
        <w:rPr>
          <w:rStyle w:val="cf01"/>
          <w:rFonts w:ascii="Verdana" w:hAnsi="Verdana"/>
          <w:sz w:val="24"/>
          <w:szCs w:val="24"/>
        </w:rPr>
        <w:lastRenderedPageBreak/>
        <w:t>complaint of discrimination”, including employees who act as witnesses.</w:t>
      </w:r>
      <w:r w:rsidR="001B6A6C" w:rsidRPr="0089676C">
        <w:rPr>
          <w:rStyle w:val="FootnoteReference"/>
          <w:rFonts w:ascii="Verdana" w:hAnsi="Verdana" w:cs="Segoe UI"/>
        </w:rPr>
        <w:footnoteReference w:id="72"/>
      </w:r>
      <w:r w:rsidR="001B6A6C" w:rsidRPr="0089676C">
        <w:rPr>
          <w:rStyle w:val="cf01"/>
          <w:rFonts w:ascii="Verdana" w:hAnsi="Verdana"/>
          <w:sz w:val="24"/>
          <w:szCs w:val="24"/>
        </w:rPr>
        <w:t xml:space="preserve"> The </w:t>
      </w:r>
      <w:r w:rsidR="00007858">
        <w:rPr>
          <w:rStyle w:val="cf01"/>
          <w:rFonts w:ascii="Verdana" w:hAnsi="Verdana"/>
          <w:sz w:val="24"/>
          <w:szCs w:val="24"/>
        </w:rPr>
        <w:t>CJEU</w:t>
      </w:r>
      <w:r w:rsidR="001B6A6C" w:rsidRPr="0089676C">
        <w:rPr>
          <w:rStyle w:val="cf01"/>
          <w:rFonts w:ascii="Verdana" w:hAnsi="Verdana"/>
          <w:sz w:val="24"/>
          <w:szCs w:val="24"/>
        </w:rPr>
        <w:t xml:space="preserve"> noted that, if these employees were not protected under Article 24</w:t>
      </w:r>
      <w:r w:rsidR="00111926">
        <w:rPr>
          <w:rStyle w:val="cf01"/>
          <w:rFonts w:ascii="Verdana" w:hAnsi="Verdana"/>
          <w:sz w:val="24"/>
          <w:szCs w:val="24"/>
        </w:rPr>
        <w:t xml:space="preserve"> </w:t>
      </w:r>
      <w:r w:rsidR="00111926" w:rsidRPr="0089676C">
        <w:rPr>
          <w:rStyle w:val="cf01"/>
          <w:rFonts w:ascii="Verdana" w:hAnsi="Verdana"/>
          <w:sz w:val="24"/>
          <w:szCs w:val="24"/>
        </w:rPr>
        <w:t>of the EU Gender Equality Directive</w:t>
      </w:r>
      <w:r w:rsidR="001B6A6C" w:rsidRPr="0089676C">
        <w:rPr>
          <w:rStyle w:val="cf01"/>
          <w:rFonts w:ascii="Verdana" w:hAnsi="Verdana"/>
          <w:sz w:val="24"/>
          <w:szCs w:val="24"/>
        </w:rPr>
        <w:t>, it may deter victims from seeking effective legal remedy.</w:t>
      </w:r>
      <w:r w:rsidR="001B6A6C" w:rsidRPr="0089676C">
        <w:rPr>
          <w:rStyle w:val="FootnoteReference"/>
          <w:rFonts w:ascii="Verdana" w:hAnsi="Verdana" w:cs="Segoe UI"/>
        </w:rPr>
        <w:footnoteReference w:id="73"/>
      </w:r>
      <w:r w:rsidR="001B6A6C" w:rsidRPr="0089676C">
        <w:rPr>
          <w:rStyle w:val="cf01"/>
          <w:rFonts w:ascii="Verdana" w:hAnsi="Verdana"/>
          <w:sz w:val="24"/>
          <w:szCs w:val="24"/>
        </w:rPr>
        <w:t xml:space="preserve"> </w:t>
      </w:r>
    </w:p>
    <w:p w14:paraId="0C11CE73" w14:textId="77777777" w:rsidR="00D36DD0" w:rsidRDefault="00D36DD0" w:rsidP="00924587">
      <w:pPr>
        <w:pStyle w:val="BasicParagraph"/>
        <w:suppressAutoHyphens/>
        <w:ind w:left="709"/>
      </w:pPr>
    </w:p>
    <w:p w14:paraId="5859E778" w14:textId="4C6652F7" w:rsidR="00D36DD0" w:rsidRDefault="00D36DD0" w:rsidP="007E5AD8">
      <w:pPr>
        <w:pStyle w:val="BasicParagraph"/>
        <w:numPr>
          <w:ilvl w:val="1"/>
          <w:numId w:val="9"/>
        </w:numPr>
        <w:suppressAutoHyphens/>
        <w:ind w:left="709"/>
        <w:rPr>
          <w:rFonts w:ascii="Verdana" w:hAnsi="Verdana"/>
          <w:b/>
          <w:bCs/>
        </w:rPr>
      </w:pPr>
      <w:r w:rsidRPr="00BA1EBB">
        <w:rPr>
          <w:rFonts w:ascii="Verdana" w:hAnsi="Verdana"/>
          <w:b/>
          <w:bCs/>
        </w:rPr>
        <w:t xml:space="preserve">The NIHRC welcomes the Executive Office’s proposals to </w:t>
      </w:r>
      <w:r w:rsidR="00945278" w:rsidRPr="00BA1EBB">
        <w:rPr>
          <w:rFonts w:ascii="Verdana" w:hAnsi="Verdana"/>
          <w:b/>
          <w:bCs/>
        </w:rPr>
        <w:t xml:space="preserve">extend the definition of discrimination by way of victimisation. The NIHRC advises that the ECHR’s definition of a victim may offer some guidance </w:t>
      </w:r>
      <w:r w:rsidR="00BA1EBB" w:rsidRPr="00BA1EBB">
        <w:rPr>
          <w:rFonts w:ascii="Verdana" w:hAnsi="Verdana"/>
          <w:b/>
          <w:bCs/>
        </w:rPr>
        <w:t>in this regard.</w:t>
      </w:r>
    </w:p>
    <w:p w14:paraId="6BE86FF4" w14:textId="77777777" w:rsidR="001B6A6C" w:rsidRDefault="001B6A6C" w:rsidP="00575D6C">
      <w:pPr>
        <w:pStyle w:val="ListParagraph"/>
        <w:rPr>
          <w:b/>
          <w:bCs/>
        </w:rPr>
      </w:pPr>
    </w:p>
    <w:p w14:paraId="3D90826D" w14:textId="64215F03" w:rsidR="001B6A6C" w:rsidRDefault="001B6A6C" w:rsidP="007E5AD8">
      <w:pPr>
        <w:pStyle w:val="BasicParagraph"/>
        <w:numPr>
          <w:ilvl w:val="1"/>
          <w:numId w:val="9"/>
        </w:numPr>
        <w:suppressAutoHyphens/>
        <w:ind w:left="709"/>
        <w:rPr>
          <w:rFonts w:ascii="Verdana" w:hAnsi="Verdana"/>
          <w:b/>
          <w:bCs/>
        </w:rPr>
      </w:pPr>
      <w:r>
        <w:rPr>
          <w:rFonts w:ascii="Verdana" w:hAnsi="Verdana"/>
          <w:b/>
          <w:bCs/>
        </w:rPr>
        <w:t xml:space="preserve">The NIHRC advises the Executive Office to consider </w:t>
      </w:r>
      <w:r w:rsidR="00047E03">
        <w:rPr>
          <w:rFonts w:ascii="Verdana" w:hAnsi="Verdana"/>
          <w:b/>
          <w:bCs/>
        </w:rPr>
        <w:t xml:space="preserve">a broad definition of victimisation </w:t>
      </w:r>
      <w:r w:rsidR="00575D6C">
        <w:rPr>
          <w:rFonts w:ascii="Verdana" w:hAnsi="Verdana"/>
          <w:b/>
          <w:bCs/>
        </w:rPr>
        <w:t>to ensure access to effective remedy in line with the EU Race Equality Directive and Article 47 of the EU Charter.</w:t>
      </w:r>
    </w:p>
    <w:p w14:paraId="5E420BCA" w14:textId="77777777" w:rsidR="00DA7ADF" w:rsidRDefault="00DA7ADF" w:rsidP="00DA7ADF">
      <w:pPr>
        <w:pStyle w:val="ListParagraph"/>
        <w:rPr>
          <w:b/>
          <w:bCs/>
        </w:rPr>
      </w:pPr>
    </w:p>
    <w:p w14:paraId="337776B4" w14:textId="5AC8F689" w:rsidR="00DA7ADF" w:rsidRPr="00BA1EBB" w:rsidRDefault="00DA7ADF" w:rsidP="007E5AD8">
      <w:pPr>
        <w:pStyle w:val="BasicParagraph"/>
        <w:numPr>
          <w:ilvl w:val="1"/>
          <w:numId w:val="9"/>
        </w:numPr>
        <w:suppressAutoHyphens/>
        <w:ind w:left="709"/>
        <w:rPr>
          <w:rFonts w:ascii="Verdana" w:hAnsi="Verdana"/>
          <w:b/>
          <w:bCs/>
        </w:rPr>
      </w:pPr>
      <w:r>
        <w:rPr>
          <w:rFonts w:ascii="Verdana" w:hAnsi="Verdana"/>
          <w:b/>
          <w:bCs/>
        </w:rPr>
        <w:t xml:space="preserve">The NIHRC welcomes the Executive Office’s proposals </w:t>
      </w:r>
      <w:r w:rsidR="00476CE4">
        <w:rPr>
          <w:rFonts w:ascii="Verdana" w:hAnsi="Verdana"/>
          <w:b/>
          <w:bCs/>
        </w:rPr>
        <w:t xml:space="preserve">to </w:t>
      </w:r>
      <w:r w:rsidR="00FF3E99">
        <w:rPr>
          <w:rFonts w:ascii="Verdana" w:hAnsi="Verdana"/>
          <w:b/>
          <w:bCs/>
        </w:rPr>
        <w:t>amend</w:t>
      </w:r>
      <w:r w:rsidR="00FF3E99" w:rsidRPr="00476CE4">
        <w:rPr>
          <w:rFonts w:ascii="Verdana" w:hAnsi="Verdana"/>
          <w:b/>
          <w:bCs/>
        </w:rPr>
        <w:t xml:space="preserve"> Article 54(5) of the Race Relations (NI) Order 1997</w:t>
      </w:r>
      <w:r w:rsidR="00984DA1">
        <w:rPr>
          <w:rFonts w:ascii="Verdana" w:hAnsi="Verdana"/>
          <w:b/>
          <w:bCs/>
        </w:rPr>
        <w:t>, or equivalent,</w:t>
      </w:r>
      <w:r w:rsidR="00FF3E99">
        <w:rPr>
          <w:rFonts w:ascii="Verdana" w:hAnsi="Verdana"/>
          <w:b/>
          <w:bCs/>
        </w:rPr>
        <w:t xml:space="preserve"> and </w:t>
      </w:r>
      <w:r w:rsidR="00476CE4">
        <w:rPr>
          <w:rFonts w:ascii="Verdana" w:hAnsi="Verdana"/>
          <w:b/>
          <w:bCs/>
        </w:rPr>
        <w:t xml:space="preserve">remove </w:t>
      </w:r>
      <w:r w:rsidR="00476CE4" w:rsidRPr="00476CE4">
        <w:rPr>
          <w:rFonts w:ascii="Verdana" w:hAnsi="Verdana"/>
          <w:b/>
          <w:bCs/>
        </w:rPr>
        <w:t>the two-month notice period to the Department of Education before a claim of discrimination can be made.</w:t>
      </w:r>
    </w:p>
    <w:p w14:paraId="60BF8C4D" w14:textId="77777777" w:rsidR="00815276" w:rsidRDefault="00815276" w:rsidP="00410380"/>
    <w:p w14:paraId="474E29B9" w14:textId="58FABF78" w:rsidR="004E3E7F" w:rsidRDefault="004E3E7F" w:rsidP="004E3E7F">
      <w:pPr>
        <w:pStyle w:val="Heading2"/>
      </w:pPr>
      <w:bookmarkStart w:id="9" w:name="_Toc137459919"/>
      <w:r>
        <w:t>Accountability</w:t>
      </w:r>
      <w:bookmarkEnd w:id="9"/>
    </w:p>
    <w:p w14:paraId="5FE82E91" w14:textId="63102E9B" w:rsidR="008875FB" w:rsidRDefault="008875FB" w:rsidP="00815276">
      <w:pPr>
        <w:pStyle w:val="BasicParagraph"/>
        <w:numPr>
          <w:ilvl w:val="1"/>
          <w:numId w:val="9"/>
        </w:numPr>
        <w:suppressAutoHyphens/>
        <w:ind w:left="709"/>
        <w:rPr>
          <w:rFonts w:ascii="Verdana" w:hAnsi="Verdana"/>
        </w:rPr>
      </w:pPr>
      <w:r>
        <w:rPr>
          <w:rFonts w:ascii="Verdana" w:hAnsi="Verdana"/>
        </w:rPr>
        <w:t xml:space="preserve">The consultation document includes a </w:t>
      </w:r>
      <w:r w:rsidRPr="00815276">
        <w:rPr>
          <w:rFonts w:ascii="Verdana" w:hAnsi="Verdana"/>
        </w:rPr>
        <w:t xml:space="preserve">proposal to extend Article 18 of the Race Relations (NI) Order </w:t>
      </w:r>
      <w:r w:rsidR="00FD70C2">
        <w:rPr>
          <w:rFonts w:ascii="Verdana" w:hAnsi="Verdana"/>
        </w:rPr>
        <w:t>1997</w:t>
      </w:r>
      <w:r w:rsidR="006911D2">
        <w:rPr>
          <w:rFonts w:ascii="Verdana" w:hAnsi="Verdana"/>
        </w:rPr>
        <w:t xml:space="preserve"> </w:t>
      </w:r>
      <w:r w:rsidRPr="00815276">
        <w:rPr>
          <w:rFonts w:ascii="Verdana" w:hAnsi="Verdana"/>
        </w:rPr>
        <w:t>to include reference to the ‘responsible body’.</w:t>
      </w:r>
      <w:r w:rsidR="00127CB3">
        <w:rPr>
          <w:rStyle w:val="FootnoteReference"/>
          <w:rFonts w:ascii="Verdana" w:hAnsi="Verdana"/>
        </w:rPr>
        <w:footnoteReference w:id="74"/>
      </w:r>
    </w:p>
    <w:p w14:paraId="2BAC9C4D" w14:textId="77777777" w:rsidR="008875FB" w:rsidRDefault="008875FB" w:rsidP="008875FB">
      <w:pPr>
        <w:pStyle w:val="BasicParagraph"/>
        <w:suppressAutoHyphens/>
        <w:ind w:left="709"/>
        <w:rPr>
          <w:rFonts w:ascii="Verdana" w:hAnsi="Verdana"/>
        </w:rPr>
      </w:pPr>
    </w:p>
    <w:p w14:paraId="05D00F2A" w14:textId="77777777" w:rsidR="00032C62" w:rsidRDefault="00A165A7" w:rsidP="00032C62">
      <w:pPr>
        <w:pStyle w:val="BasicParagraph"/>
        <w:numPr>
          <w:ilvl w:val="1"/>
          <w:numId w:val="9"/>
        </w:numPr>
        <w:suppressAutoHyphens/>
        <w:ind w:left="709"/>
        <w:rPr>
          <w:rFonts w:ascii="Verdana" w:hAnsi="Verdana"/>
        </w:rPr>
      </w:pPr>
      <w:r>
        <w:rPr>
          <w:rFonts w:ascii="Verdana" w:hAnsi="Verdana"/>
        </w:rPr>
        <w:t xml:space="preserve">The ECtHR recognises that </w:t>
      </w:r>
      <w:r w:rsidR="00270863">
        <w:rPr>
          <w:rFonts w:ascii="Verdana" w:hAnsi="Verdana"/>
        </w:rPr>
        <w:t>“structural d</w:t>
      </w:r>
      <w:r w:rsidR="00D239E2">
        <w:rPr>
          <w:rFonts w:ascii="Verdana" w:hAnsi="Verdana"/>
        </w:rPr>
        <w:t xml:space="preserve">eficiencies call for the implementation of positive measures in order, inter alia, to assist </w:t>
      </w:r>
      <w:r w:rsidR="003D435E">
        <w:rPr>
          <w:rFonts w:ascii="Verdana" w:hAnsi="Verdana"/>
        </w:rPr>
        <w:t>with… any difficulties… encountered</w:t>
      </w:r>
      <w:r w:rsidR="00745BC9">
        <w:rPr>
          <w:rFonts w:ascii="Verdana" w:hAnsi="Verdana"/>
        </w:rPr>
        <w:t>”.</w:t>
      </w:r>
      <w:r w:rsidR="00B4415C" w:rsidRPr="00815276">
        <w:rPr>
          <w:rStyle w:val="FootnoteReference"/>
          <w:rFonts w:ascii="Verdana" w:hAnsi="Verdana"/>
        </w:rPr>
        <w:footnoteReference w:id="75"/>
      </w:r>
      <w:r w:rsidR="00745BC9">
        <w:rPr>
          <w:rFonts w:ascii="Verdana" w:hAnsi="Verdana"/>
        </w:rPr>
        <w:t xml:space="preserve"> The ECtHR has specifically stated that “these obligations are particularly stringent where there is an actual history of direct discrimination</w:t>
      </w:r>
      <w:r w:rsidR="00B4415C">
        <w:rPr>
          <w:rFonts w:ascii="Verdana" w:hAnsi="Verdana"/>
        </w:rPr>
        <w:t>. Therefore, some additional steps are needed in order to address these problems…”.</w:t>
      </w:r>
      <w:r w:rsidR="00B4415C" w:rsidRPr="00815276">
        <w:rPr>
          <w:rStyle w:val="FootnoteReference"/>
          <w:rFonts w:ascii="Verdana" w:hAnsi="Verdana"/>
        </w:rPr>
        <w:footnoteReference w:id="76"/>
      </w:r>
      <w:r w:rsidR="0027102D">
        <w:rPr>
          <w:rFonts w:ascii="Verdana" w:hAnsi="Verdana"/>
        </w:rPr>
        <w:t xml:space="preserve"> Thus follows a positive obligation on the NI Executive to </w:t>
      </w:r>
      <w:r w:rsidR="0027102D" w:rsidRPr="00815276">
        <w:rPr>
          <w:rFonts w:ascii="Verdana" w:hAnsi="Verdana"/>
        </w:rPr>
        <w:t>prevent, stop or punish discrimination</w:t>
      </w:r>
      <w:r w:rsidR="0027102D">
        <w:rPr>
          <w:rFonts w:ascii="Verdana" w:hAnsi="Verdana"/>
        </w:rPr>
        <w:t>.</w:t>
      </w:r>
      <w:r w:rsidR="00032C62">
        <w:rPr>
          <w:rFonts w:ascii="Verdana" w:hAnsi="Verdana"/>
        </w:rPr>
        <w:t xml:space="preserve"> </w:t>
      </w:r>
    </w:p>
    <w:p w14:paraId="4594DE08" w14:textId="77777777" w:rsidR="00201AA6" w:rsidRDefault="00201AA6" w:rsidP="00201AA6">
      <w:pPr>
        <w:pStyle w:val="ListParagraph"/>
      </w:pPr>
    </w:p>
    <w:p w14:paraId="2C1E88C1" w14:textId="4760C90F" w:rsidR="00815276" w:rsidRPr="006D0D81" w:rsidRDefault="00032C62" w:rsidP="00032C62">
      <w:pPr>
        <w:pStyle w:val="BasicParagraph"/>
        <w:numPr>
          <w:ilvl w:val="1"/>
          <w:numId w:val="9"/>
        </w:numPr>
        <w:suppressAutoHyphens/>
        <w:ind w:left="709"/>
        <w:rPr>
          <w:rFonts w:ascii="Verdana" w:hAnsi="Verdana"/>
          <w:b/>
          <w:bCs/>
        </w:rPr>
      </w:pPr>
      <w:r w:rsidRPr="006D0D81">
        <w:rPr>
          <w:rFonts w:ascii="Verdana" w:hAnsi="Verdana"/>
          <w:b/>
          <w:bCs/>
        </w:rPr>
        <w:t>The NIHRC welcomes</w:t>
      </w:r>
      <w:r w:rsidR="00815276" w:rsidRPr="006D0D81">
        <w:rPr>
          <w:rFonts w:ascii="Verdana" w:hAnsi="Verdana"/>
          <w:b/>
          <w:bCs/>
        </w:rPr>
        <w:t xml:space="preserve"> </w:t>
      </w:r>
      <w:r w:rsidR="006D0D81">
        <w:rPr>
          <w:rFonts w:ascii="Verdana" w:hAnsi="Verdana"/>
          <w:b/>
          <w:bCs/>
        </w:rPr>
        <w:t xml:space="preserve">the Executive Office’s proposal </w:t>
      </w:r>
      <w:r w:rsidR="006D0D81" w:rsidRPr="006D0D81">
        <w:rPr>
          <w:rFonts w:ascii="Verdana" w:hAnsi="Verdana"/>
          <w:b/>
          <w:bCs/>
        </w:rPr>
        <w:t xml:space="preserve">to extend </w:t>
      </w:r>
      <w:r w:rsidR="006D0D81" w:rsidRPr="006D0D81">
        <w:rPr>
          <w:rFonts w:ascii="Verdana" w:hAnsi="Verdana"/>
          <w:b/>
          <w:bCs/>
        </w:rPr>
        <w:lastRenderedPageBreak/>
        <w:t>Article 18 of the Race Relations (NI) Order 1997</w:t>
      </w:r>
      <w:r w:rsidR="00BD251D">
        <w:rPr>
          <w:rFonts w:ascii="Verdana" w:hAnsi="Verdana"/>
          <w:b/>
          <w:bCs/>
        </w:rPr>
        <w:t>, or equivalent,</w:t>
      </w:r>
      <w:r w:rsidR="006D0D81" w:rsidRPr="006D0D81">
        <w:rPr>
          <w:rFonts w:ascii="Verdana" w:hAnsi="Verdana"/>
          <w:b/>
          <w:bCs/>
        </w:rPr>
        <w:t xml:space="preserve"> to include reference to the ‘responsibility body’</w:t>
      </w:r>
      <w:r w:rsidR="00BD402D">
        <w:rPr>
          <w:rFonts w:ascii="Verdana" w:hAnsi="Verdana"/>
          <w:b/>
          <w:bCs/>
        </w:rPr>
        <w:t xml:space="preserve"> on the basis that </w:t>
      </w:r>
      <w:r w:rsidR="00815276" w:rsidRPr="006D0D81">
        <w:rPr>
          <w:rFonts w:ascii="Verdana" w:hAnsi="Verdana"/>
          <w:b/>
          <w:bCs/>
        </w:rPr>
        <w:t>a duty holder must adhere to their delegated responsibilities and are held accountable for any violations</w:t>
      </w:r>
      <w:r w:rsidR="006D0D81" w:rsidRPr="006D0D81">
        <w:rPr>
          <w:rFonts w:ascii="Verdana" w:hAnsi="Verdana"/>
          <w:b/>
          <w:bCs/>
        </w:rPr>
        <w:t>.</w:t>
      </w:r>
    </w:p>
    <w:p w14:paraId="6BA8049D" w14:textId="77777777" w:rsidR="00815276" w:rsidRDefault="00815276" w:rsidP="00815276">
      <w:pPr>
        <w:pStyle w:val="BasicParagraph"/>
        <w:suppressAutoHyphens/>
        <w:rPr>
          <w:rFonts w:ascii="Verdana" w:hAnsi="Verdana"/>
        </w:rPr>
      </w:pPr>
    </w:p>
    <w:p w14:paraId="169D171B" w14:textId="77777777" w:rsidR="00EF6248" w:rsidRPr="00B56194" w:rsidRDefault="00EF6248" w:rsidP="00EF6248">
      <w:pPr>
        <w:pStyle w:val="Heading2"/>
      </w:pPr>
      <w:bookmarkStart w:id="10" w:name="_Toc137459920"/>
      <w:r>
        <w:t>National security</w:t>
      </w:r>
      <w:bookmarkEnd w:id="10"/>
    </w:p>
    <w:p w14:paraId="238C3363" w14:textId="15637D4F" w:rsidR="00EF6248" w:rsidRDefault="61819A10" w:rsidP="00EF6248">
      <w:pPr>
        <w:pStyle w:val="BasicParagraph"/>
        <w:numPr>
          <w:ilvl w:val="1"/>
          <w:numId w:val="9"/>
        </w:numPr>
        <w:suppressAutoHyphens/>
        <w:ind w:left="709"/>
        <w:rPr>
          <w:rFonts w:ascii="Verdana" w:hAnsi="Verdana"/>
        </w:rPr>
      </w:pPr>
      <w:r>
        <w:rPr>
          <w:rFonts w:ascii="Verdana" w:hAnsi="Verdana"/>
        </w:rPr>
        <w:t xml:space="preserve">Article 41 of the </w:t>
      </w:r>
      <w:r w:rsidRPr="173C63C1">
        <w:rPr>
          <w:rFonts w:ascii="Verdana" w:hAnsi="Verdana"/>
        </w:rPr>
        <w:t>Race Relations (NI) Order 1997 provides</w:t>
      </w:r>
      <w:r w:rsidR="001D2AD9">
        <w:rPr>
          <w:rFonts w:ascii="Verdana" w:hAnsi="Verdana"/>
        </w:rPr>
        <w:t xml:space="preserve"> that</w:t>
      </w:r>
      <w:r w:rsidRPr="173C63C1">
        <w:rPr>
          <w:rFonts w:ascii="Verdana" w:hAnsi="Verdana"/>
        </w:rPr>
        <w:t xml:space="preserve"> </w:t>
      </w:r>
      <w:r w:rsidR="001D2AD9">
        <w:rPr>
          <w:rFonts w:ascii="Verdana" w:hAnsi="Verdana"/>
        </w:rPr>
        <w:t>“n</w:t>
      </w:r>
      <w:r w:rsidRPr="173C63C1">
        <w:rPr>
          <w:rFonts w:ascii="Verdana" w:hAnsi="Verdana"/>
        </w:rPr>
        <w:t>othing in Parts II to IV shall render unlawful an act done for the purpose of safeguarding national security or of protecting public safety or public order</w:t>
      </w:r>
      <w:r w:rsidR="001D2AD9">
        <w:rPr>
          <w:rFonts w:ascii="Verdana" w:hAnsi="Verdana"/>
        </w:rPr>
        <w:t>”</w:t>
      </w:r>
      <w:r w:rsidRPr="173C63C1">
        <w:rPr>
          <w:rFonts w:ascii="Verdana" w:hAnsi="Verdana"/>
        </w:rPr>
        <w:t xml:space="preserve">. </w:t>
      </w:r>
      <w:r w:rsidR="00EF6248">
        <w:rPr>
          <w:rFonts w:ascii="Verdana" w:hAnsi="Verdana"/>
        </w:rPr>
        <w:t xml:space="preserve">The consultation document includes proposals to remove </w:t>
      </w:r>
      <w:r w:rsidR="001B7C3F">
        <w:rPr>
          <w:rFonts w:ascii="Verdana" w:hAnsi="Verdana"/>
        </w:rPr>
        <w:t>”</w:t>
      </w:r>
      <w:r w:rsidR="00EF6248">
        <w:rPr>
          <w:rFonts w:ascii="Verdana" w:hAnsi="Verdana"/>
        </w:rPr>
        <w:t>protecting public safety or public order</w:t>
      </w:r>
      <w:r w:rsidR="001B7C3F">
        <w:rPr>
          <w:rFonts w:ascii="Verdana" w:hAnsi="Verdana"/>
        </w:rPr>
        <w:t>”</w:t>
      </w:r>
      <w:r w:rsidR="00EF6248">
        <w:rPr>
          <w:rFonts w:ascii="Verdana" w:hAnsi="Verdana"/>
        </w:rPr>
        <w:t xml:space="preserve"> from Article 41.</w:t>
      </w:r>
      <w:r w:rsidR="00EF6248">
        <w:rPr>
          <w:rStyle w:val="FootnoteReference"/>
          <w:rFonts w:ascii="Verdana" w:hAnsi="Verdana"/>
        </w:rPr>
        <w:footnoteReference w:id="77"/>
      </w:r>
    </w:p>
    <w:p w14:paraId="549C28DE" w14:textId="77777777" w:rsidR="00EF6248" w:rsidRDefault="00EF6248" w:rsidP="00EF6248">
      <w:pPr>
        <w:pStyle w:val="BasicParagraph"/>
        <w:suppressAutoHyphens/>
        <w:ind w:left="709"/>
        <w:rPr>
          <w:rFonts w:ascii="Verdana" w:hAnsi="Verdana"/>
        </w:rPr>
      </w:pPr>
    </w:p>
    <w:p w14:paraId="7662F7E8" w14:textId="452D21D4" w:rsidR="00EF6248" w:rsidRDefault="00EF6248" w:rsidP="00EF6248">
      <w:pPr>
        <w:pStyle w:val="BasicParagraph"/>
        <w:numPr>
          <w:ilvl w:val="1"/>
          <w:numId w:val="9"/>
        </w:numPr>
        <w:suppressAutoHyphens/>
        <w:ind w:left="709"/>
        <w:rPr>
          <w:rFonts w:ascii="Verdana" w:hAnsi="Verdana"/>
        </w:rPr>
      </w:pPr>
      <w:r w:rsidRPr="00B56194">
        <w:rPr>
          <w:rFonts w:ascii="Verdana" w:hAnsi="Verdana"/>
        </w:rPr>
        <w:t xml:space="preserve">The consultation document </w:t>
      </w:r>
      <w:r w:rsidR="001B7C3F">
        <w:rPr>
          <w:rFonts w:ascii="Verdana" w:hAnsi="Verdana"/>
        </w:rPr>
        <w:t>suggests</w:t>
      </w:r>
      <w:r w:rsidR="001B7C3F" w:rsidRPr="00B56194">
        <w:rPr>
          <w:rFonts w:ascii="Verdana" w:hAnsi="Verdana"/>
        </w:rPr>
        <w:t xml:space="preserve"> </w:t>
      </w:r>
      <w:r w:rsidRPr="00B56194">
        <w:rPr>
          <w:rFonts w:ascii="Verdana" w:hAnsi="Verdana"/>
        </w:rPr>
        <w:t xml:space="preserve">that the terms protecting public safety or public order and ‘national security’ are the same. </w:t>
      </w:r>
      <w:r w:rsidR="001B7C3F">
        <w:rPr>
          <w:rFonts w:ascii="Verdana" w:hAnsi="Verdana"/>
        </w:rPr>
        <w:t>The NIHRC disagrees strongly. A</w:t>
      </w:r>
      <w:r w:rsidRPr="00B56194">
        <w:rPr>
          <w:rFonts w:ascii="Verdana" w:hAnsi="Verdana"/>
        </w:rPr>
        <w:t xml:space="preserve">s </w:t>
      </w:r>
      <w:r w:rsidR="001B7C3F">
        <w:rPr>
          <w:rFonts w:ascii="Verdana" w:hAnsi="Verdana"/>
        </w:rPr>
        <w:t xml:space="preserve">is clear from the relevant </w:t>
      </w:r>
      <w:r w:rsidRPr="00B56194">
        <w:rPr>
          <w:rFonts w:ascii="Verdana" w:hAnsi="Verdana"/>
        </w:rPr>
        <w:t>human rights treaties</w:t>
      </w:r>
      <w:r w:rsidR="001B7C3F">
        <w:rPr>
          <w:rFonts w:ascii="Verdana" w:hAnsi="Verdana"/>
        </w:rPr>
        <w:t>, domestic legislation and resulting case-law</w:t>
      </w:r>
      <w:r w:rsidRPr="00B56194">
        <w:rPr>
          <w:rFonts w:ascii="Verdana" w:hAnsi="Verdana"/>
        </w:rPr>
        <w:t xml:space="preserve"> there </w:t>
      </w:r>
      <w:r w:rsidR="001B7C3F">
        <w:rPr>
          <w:rFonts w:ascii="Verdana" w:hAnsi="Verdana"/>
        </w:rPr>
        <w:t>are real and substantive</w:t>
      </w:r>
      <w:r w:rsidRPr="00B56194">
        <w:rPr>
          <w:rFonts w:ascii="Verdana" w:hAnsi="Verdana"/>
        </w:rPr>
        <w:t xml:space="preserve"> distinction</w:t>
      </w:r>
      <w:r w:rsidR="001B7C3F">
        <w:rPr>
          <w:rFonts w:ascii="Verdana" w:hAnsi="Verdana"/>
        </w:rPr>
        <w:t>s</w:t>
      </w:r>
      <w:r w:rsidRPr="00B56194">
        <w:rPr>
          <w:rFonts w:ascii="Verdana" w:hAnsi="Verdana"/>
        </w:rPr>
        <w:t>.</w:t>
      </w:r>
      <w:r w:rsidRPr="00B56194">
        <w:rPr>
          <w:rStyle w:val="FootnoteReference"/>
          <w:rFonts w:ascii="Verdana" w:hAnsi="Verdana"/>
        </w:rPr>
        <w:footnoteReference w:id="78"/>
      </w:r>
      <w:r w:rsidRPr="00B56194">
        <w:rPr>
          <w:rFonts w:ascii="Verdana" w:hAnsi="Verdana"/>
        </w:rPr>
        <w:t xml:space="preserve"> </w:t>
      </w:r>
      <w:r>
        <w:rPr>
          <w:rFonts w:ascii="Verdana" w:hAnsi="Verdana"/>
        </w:rPr>
        <w:t>For example, Articles 8(2), 10(2) and 11(2) of the ECHR and Article 21 of the UN ICCPR list ‘national security’ and ‘public safety or public order’ as separate circumstances under which a right may be interfered with, subject to certain conditions. ‘</w:t>
      </w:r>
      <w:r w:rsidR="001B7C3F">
        <w:rPr>
          <w:rFonts w:ascii="Verdana" w:hAnsi="Verdana"/>
        </w:rPr>
        <w:t>N</w:t>
      </w:r>
      <w:r w:rsidRPr="00B56194">
        <w:rPr>
          <w:rFonts w:ascii="Verdana" w:hAnsi="Verdana"/>
        </w:rPr>
        <w:t>ational security</w:t>
      </w:r>
      <w:r>
        <w:rPr>
          <w:rFonts w:ascii="Verdana" w:hAnsi="Verdana"/>
        </w:rPr>
        <w:t>’</w:t>
      </w:r>
      <w:r w:rsidRPr="00B56194">
        <w:rPr>
          <w:rFonts w:ascii="Verdana" w:hAnsi="Verdana"/>
        </w:rPr>
        <w:t xml:space="preserve"> </w:t>
      </w:r>
      <w:r w:rsidR="001B7C3F">
        <w:rPr>
          <w:rFonts w:ascii="Verdana" w:hAnsi="Verdana"/>
        </w:rPr>
        <w:t xml:space="preserve">however </w:t>
      </w:r>
      <w:r w:rsidRPr="00B56194">
        <w:rPr>
          <w:rFonts w:ascii="Verdana" w:hAnsi="Verdana"/>
        </w:rPr>
        <w:t>captures situations affecting NI or the UK as a whole (e.g. acts of terrorism)</w:t>
      </w:r>
      <w:r>
        <w:rPr>
          <w:rFonts w:ascii="Verdana" w:hAnsi="Verdana"/>
        </w:rPr>
        <w:t xml:space="preserve"> and ‘p</w:t>
      </w:r>
      <w:r w:rsidRPr="00B56194">
        <w:rPr>
          <w:rFonts w:ascii="Verdana" w:hAnsi="Verdana"/>
        </w:rPr>
        <w:t>ublic safety or public order</w:t>
      </w:r>
      <w:r>
        <w:rPr>
          <w:rFonts w:ascii="Verdana" w:hAnsi="Verdana"/>
        </w:rPr>
        <w:t>’</w:t>
      </w:r>
      <w:r w:rsidRPr="00B56194">
        <w:rPr>
          <w:rFonts w:ascii="Verdana" w:hAnsi="Verdana"/>
        </w:rPr>
        <w:t xml:space="preserve"> applies in more localised contexts (e.g. localised riots).</w:t>
      </w:r>
      <w:r w:rsidR="001B7C3F">
        <w:rPr>
          <w:rFonts w:ascii="Verdana" w:hAnsi="Verdana"/>
        </w:rPr>
        <w:t xml:space="preserve"> Given the potential significance of the proposed amendment, further clarification is required. In the meantime, however, the following might be helpful. </w:t>
      </w:r>
    </w:p>
    <w:p w14:paraId="4DCD743E" w14:textId="77777777" w:rsidR="00EF6248" w:rsidRDefault="00EF6248" w:rsidP="00EF6248">
      <w:pPr>
        <w:pStyle w:val="ListParagraph"/>
      </w:pPr>
    </w:p>
    <w:p w14:paraId="5DF15D31" w14:textId="1D0A0B6D" w:rsidR="00EF6248" w:rsidRPr="004A360A" w:rsidRDefault="00EF6248" w:rsidP="00EF6248">
      <w:pPr>
        <w:pStyle w:val="BasicParagraph"/>
        <w:numPr>
          <w:ilvl w:val="1"/>
          <w:numId w:val="9"/>
        </w:numPr>
        <w:suppressAutoHyphens/>
        <w:ind w:left="709"/>
        <w:rPr>
          <w:rFonts w:ascii="Verdana" w:hAnsi="Verdana"/>
          <w:b/>
          <w:bCs/>
        </w:rPr>
      </w:pPr>
      <w:r w:rsidRPr="173C63C1">
        <w:rPr>
          <w:rFonts w:ascii="Verdana" w:hAnsi="Verdana"/>
          <w:b/>
          <w:bCs/>
        </w:rPr>
        <w:t xml:space="preserve">The NIHRC </w:t>
      </w:r>
      <w:r w:rsidR="001B7C3F">
        <w:rPr>
          <w:rFonts w:ascii="Verdana" w:hAnsi="Verdana"/>
          <w:b/>
          <w:bCs/>
        </w:rPr>
        <w:t>suggests</w:t>
      </w:r>
      <w:r w:rsidR="001B7C3F" w:rsidRPr="173C63C1">
        <w:rPr>
          <w:rFonts w:ascii="Verdana" w:hAnsi="Verdana"/>
          <w:b/>
          <w:bCs/>
        </w:rPr>
        <w:t xml:space="preserve"> </w:t>
      </w:r>
      <w:r w:rsidRPr="173C63C1">
        <w:rPr>
          <w:rFonts w:ascii="Verdana" w:hAnsi="Verdana"/>
          <w:b/>
          <w:bCs/>
        </w:rPr>
        <w:t>that the Executive Office</w:t>
      </w:r>
      <w:r w:rsidR="001B7C3F">
        <w:rPr>
          <w:rFonts w:ascii="Verdana" w:hAnsi="Verdana"/>
          <w:b/>
          <w:bCs/>
        </w:rPr>
        <w:t xml:space="preserve"> reconsiders this proposal. At least, the Executive Office must</w:t>
      </w:r>
      <w:r w:rsidRPr="173C63C1">
        <w:rPr>
          <w:rFonts w:ascii="Verdana" w:hAnsi="Verdana"/>
          <w:b/>
          <w:bCs/>
        </w:rPr>
        <w:t xml:space="preserve"> </w:t>
      </w:r>
      <w:r w:rsidR="008268FC">
        <w:rPr>
          <w:rFonts w:ascii="Verdana" w:hAnsi="Verdana"/>
          <w:b/>
          <w:bCs/>
        </w:rPr>
        <w:t xml:space="preserve">establish </w:t>
      </w:r>
      <w:r w:rsidR="00EA77A3">
        <w:rPr>
          <w:rFonts w:ascii="Verdana" w:hAnsi="Verdana"/>
          <w:b/>
          <w:bCs/>
        </w:rPr>
        <w:t xml:space="preserve">the </w:t>
      </w:r>
      <w:r w:rsidR="008268FC">
        <w:rPr>
          <w:rFonts w:ascii="Verdana" w:hAnsi="Verdana"/>
          <w:b/>
          <w:bCs/>
        </w:rPr>
        <w:t>intended</w:t>
      </w:r>
      <w:r w:rsidR="23EA80BE" w:rsidRPr="173C63C1">
        <w:rPr>
          <w:rFonts w:ascii="Verdana" w:hAnsi="Verdana"/>
          <w:b/>
          <w:bCs/>
        </w:rPr>
        <w:t xml:space="preserve"> circumstances in which </w:t>
      </w:r>
      <w:r w:rsidR="7559C80C" w:rsidRPr="173C63C1">
        <w:rPr>
          <w:rFonts w:ascii="Verdana" w:hAnsi="Verdana"/>
          <w:b/>
          <w:bCs/>
        </w:rPr>
        <w:t xml:space="preserve">acts </w:t>
      </w:r>
      <w:r w:rsidR="00954BB2">
        <w:rPr>
          <w:rFonts w:ascii="Verdana" w:hAnsi="Verdana"/>
          <w:b/>
          <w:bCs/>
        </w:rPr>
        <w:t>are</w:t>
      </w:r>
      <w:r w:rsidR="5336D67A" w:rsidRPr="173C63C1">
        <w:rPr>
          <w:rFonts w:ascii="Verdana" w:hAnsi="Verdana"/>
          <w:b/>
          <w:bCs/>
        </w:rPr>
        <w:t xml:space="preserve"> </w:t>
      </w:r>
      <w:r w:rsidR="1BE85432" w:rsidRPr="173C63C1">
        <w:rPr>
          <w:rFonts w:ascii="Verdana" w:hAnsi="Verdana"/>
          <w:b/>
          <w:bCs/>
        </w:rPr>
        <w:t>rendered</w:t>
      </w:r>
      <w:r w:rsidR="5336D67A" w:rsidRPr="173C63C1">
        <w:rPr>
          <w:rFonts w:ascii="Verdana" w:hAnsi="Verdana"/>
          <w:b/>
          <w:bCs/>
        </w:rPr>
        <w:t xml:space="preserve"> lawful </w:t>
      </w:r>
      <w:r w:rsidR="00DD45D0">
        <w:rPr>
          <w:rFonts w:ascii="Verdana" w:hAnsi="Verdana"/>
          <w:b/>
          <w:bCs/>
        </w:rPr>
        <w:t>under</w:t>
      </w:r>
      <w:r w:rsidR="5336D67A" w:rsidRPr="173C63C1">
        <w:rPr>
          <w:rFonts w:ascii="Verdana" w:hAnsi="Verdana"/>
          <w:b/>
          <w:bCs/>
        </w:rPr>
        <w:t xml:space="preserve"> Article 41</w:t>
      </w:r>
      <w:r w:rsidR="002F29C1">
        <w:rPr>
          <w:rFonts w:ascii="Verdana" w:hAnsi="Verdana"/>
          <w:b/>
          <w:bCs/>
        </w:rPr>
        <w:t xml:space="preserve"> of the Race Relations (NI) Order</w:t>
      </w:r>
      <w:r w:rsidR="005A6A83">
        <w:rPr>
          <w:rFonts w:ascii="Verdana" w:hAnsi="Verdana"/>
          <w:b/>
          <w:bCs/>
        </w:rPr>
        <w:t xml:space="preserve"> 1997</w:t>
      </w:r>
      <w:r w:rsidR="00BD251D">
        <w:rPr>
          <w:rFonts w:ascii="Verdana" w:hAnsi="Verdana"/>
          <w:b/>
          <w:bCs/>
        </w:rPr>
        <w:t>, or equivalent</w:t>
      </w:r>
      <w:r w:rsidR="6BB14374" w:rsidRPr="173C63C1">
        <w:rPr>
          <w:rFonts w:ascii="Verdana" w:hAnsi="Verdana"/>
          <w:b/>
          <w:bCs/>
        </w:rPr>
        <w:t xml:space="preserve">. </w:t>
      </w:r>
    </w:p>
    <w:p w14:paraId="0F910582" w14:textId="77777777" w:rsidR="00EF6248" w:rsidRDefault="00EF6248" w:rsidP="00EF6248"/>
    <w:p w14:paraId="7D0AD11E" w14:textId="09614198" w:rsidR="007C0760" w:rsidRDefault="007C0760" w:rsidP="00B42825">
      <w:pPr>
        <w:pStyle w:val="Heading1"/>
        <w:numPr>
          <w:ilvl w:val="0"/>
          <w:numId w:val="17"/>
        </w:numPr>
      </w:pPr>
      <w:bookmarkStart w:id="11" w:name="_Toc137459921"/>
      <w:r>
        <w:t>Education</w:t>
      </w:r>
      <w:bookmarkEnd w:id="11"/>
    </w:p>
    <w:p w14:paraId="190185C1" w14:textId="77777777" w:rsidR="00B56194" w:rsidRPr="00B56194" w:rsidRDefault="00B56194" w:rsidP="00B56194">
      <w:pPr>
        <w:pStyle w:val="ListParagraph"/>
        <w:widowControl w:val="0"/>
        <w:numPr>
          <w:ilvl w:val="0"/>
          <w:numId w:val="9"/>
        </w:numPr>
        <w:suppressAutoHyphens/>
        <w:autoSpaceDE w:val="0"/>
        <w:autoSpaceDN w:val="0"/>
        <w:adjustRightInd w:val="0"/>
        <w:contextualSpacing w:val="0"/>
        <w:textAlignment w:val="center"/>
        <w:rPr>
          <w:rFonts w:cs="MinionPro-Regular"/>
          <w:vanish/>
          <w:color w:val="000000"/>
        </w:rPr>
      </w:pPr>
    </w:p>
    <w:p w14:paraId="6A49668E" w14:textId="77777777" w:rsidR="000623DC" w:rsidRDefault="00003381" w:rsidP="000623DC">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sidR="00331499">
        <w:rPr>
          <w:rFonts w:ascii="Verdana" w:hAnsi="Verdana"/>
        </w:rPr>
        <w:t xml:space="preserve"> to amend Articles 18(1)(a), 18(1)(b) and 18(1)(c) </w:t>
      </w:r>
      <w:r w:rsidR="0063476D">
        <w:rPr>
          <w:rFonts w:ascii="Verdana" w:hAnsi="Verdana"/>
        </w:rPr>
        <w:t xml:space="preserve">of the Race Relations (NI) Order 1997, or </w:t>
      </w:r>
      <w:r w:rsidR="0063476D">
        <w:rPr>
          <w:rFonts w:ascii="Verdana" w:hAnsi="Verdana"/>
        </w:rPr>
        <w:lastRenderedPageBreak/>
        <w:t xml:space="preserve">equivalent, </w:t>
      </w:r>
      <w:r w:rsidR="00C93AE0">
        <w:rPr>
          <w:rFonts w:ascii="Verdana" w:hAnsi="Verdana"/>
        </w:rPr>
        <w:t>to ensure no educational application process</w:t>
      </w:r>
      <w:r w:rsidR="00CD6124">
        <w:rPr>
          <w:rFonts w:ascii="Verdana" w:hAnsi="Verdana"/>
        </w:rPr>
        <w:t xml:space="preserve"> or arrangements</w:t>
      </w:r>
      <w:r w:rsidR="00C93AE0">
        <w:rPr>
          <w:rFonts w:ascii="Verdana" w:hAnsi="Verdana"/>
        </w:rPr>
        <w:t xml:space="preserve"> </w:t>
      </w:r>
      <w:r w:rsidR="00327201">
        <w:rPr>
          <w:rFonts w:ascii="Verdana" w:hAnsi="Verdana"/>
        </w:rPr>
        <w:t xml:space="preserve">across the workings of educational establishments </w:t>
      </w:r>
      <w:r w:rsidR="00C93AE0">
        <w:rPr>
          <w:rFonts w:ascii="Verdana" w:hAnsi="Verdana"/>
        </w:rPr>
        <w:t>discriminate on grounds related to race</w:t>
      </w:r>
      <w:r w:rsidR="00327201">
        <w:rPr>
          <w:rFonts w:ascii="Verdana" w:hAnsi="Verdana"/>
        </w:rPr>
        <w:t>.</w:t>
      </w:r>
      <w:r w:rsidR="00327201">
        <w:rPr>
          <w:rStyle w:val="FootnoteReference"/>
          <w:rFonts w:ascii="Verdana" w:hAnsi="Verdana"/>
        </w:rPr>
        <w:footnoteReference w:id="79"/>
      </w:r>
    </w:p>
    <w:p w14:paraId="5E377AEE" w14:textId="77777777" w:rsidR="000623DC" w:rsidRDefault="000623DC" w:rsidP="000623DC">
      <w:pPr>
        <w:pStyle w:val="BasicParagraph"/>
        <w:suppressAutoHyphens/>
        <w:ind w:left="709"/>
        <w:rPr>
          <w:rFonts w:ascii="Verdana" w:hAnsi="Verdana"/>
        </w:rPr>
      </w:pPr>
    </w:p>
    <w:p w14:paraId="5945593E" w14:textId="500EFE94" w:rsidR="000623DC" w:rsidRPr="000623DC" w:rsidRDefault="00F71562" w:rsidP="000623DC">
      <w:pPr>
        <w:pStyle w:val="BasicParagraph"/>
        <w:numPr>
          <w:ilvl w:val="1"/>
          <w:numId w:val="9"/>
        </w:numPr>
        <w:suppressAutoHyphens/>
        <w:ind w:left="709"/>
        <w:rPr>
          <w:rFonts w:ascii="Verdana" w:hAnsi="Verdana"/>
        </w:rPr>
      </w:pPr>
      <w:r w:rsidRPr="000623DC">
        <w:rPr>
          <w:rFonts w:ascii="Verdana" w:hAnsi="Verdana"/>
        </w:rPr>
        <w:t xml:space="preserve">The ECtHR has </w:t>
      </w:r>
      <w:r w:rsidR="00DE522A" w:rsidRPr="000623DC">
        <w:rPr>
          <w:rFonts w:ascii="Verdana" w:hAnsi="Verdana"/>
        </w:rPr>
        <w:t xml:space="preserve">restated many times that the protection of </w:t>
      </w:r>
      <w:r w:rsidR="00B85C55" w:rsidRPr="000623DC">
        <w:rPr>
          <w:rFonts w:ascii="Verdana" w:hAnsi="Verdana"/>
        </w:rPr>
        <w:t xml:space="preserve">rights </w:t>
      </w:r>
      <w:r w:rsidR="00DE522A" w:rsidRPr="000623DC">
        <w:rPr>
          <w:rFonts w:ascii="Verdana" w:hAnsi="Verdana"/>
        </w:rPr>
        <w:t xml:space="preserve">must </w:t>
      </w:r>
      <w:r w:rsidR="003A040D" w:rsidRPr="000623DC">
        <w:rPr>
          <w:rFonts w:ascii="Verdana" w:hAnsi="Verdana"/>
        </w:rPr>
        <w:t>be “practical and effective and not theoretical and illusory”</w:t>
      </w:r>
      <w:r w:rsidR="00DE522A" w:rsidRPr="000623DC">
        <w:rPr>
          <w:rFonts w:ascii="Verdana" w:hAnsi="Verdana"/>
        </w:rPr>
        <w:t xml:space="preserve">. Moreover, that means in the context of </w:t>
      </w:r>
      <w:r w:rsidRPr="000623DC">
        <w:rPr>
          <w:rFonts w:ascii="Verdana" w:hAnsi="Verdana"/>
        </w:rPr>
        <w:t xml:space="preserve">education </w:t>
      </w:r>
      <w:r w:rsidR="00DE522A" w:rsidRPr="000623DC">
        <w:rPr>
          <w:rFonts w:ascii="Verdana" w:hAnsi="Verdana"/>
        </w:rPr>
        <w:t xml:space="preserve">a </w:t>
      </w:r>
      <w:r w:rsidRPr="000623DC">
        <w:rPr>
          <w:rFonts w:ascii="Verdana" w:hAnsi="Verdana"/>
        </w:rPr>
        <w:t>right to inclusive education.</w:t>
      </w:r>
      <w:r w:rsidR="003A040D">
        <w:rPr>
          <w:rStyle w:val="FootnoteReference"/>
          <w:rFonts w:ascii="Verdana" w:hAnsi="Verdana"/>
        </w:rPr>
        <w:footnoteReference w:id="80"/>
      </w:r>
      <w:r w:rsidR="008A4D6E" w:rsidRPr="000623DC">
        <w:rPr>
          <w:rFonts w:ascii="Verdana" w:hAnsi="Verdana"/>
        </w:rPr>
        <w:t xml:space="preserve"> </w:t>
      </w:r>
      <w:r w:rsidR="000623DC" w:rsidRPr="000623DC">
        <w:rPr>
          <w:rFonts w:ascii="Verdana" w:hAnsi="Verdana" w:cs="Segoe UI"/>
          <w:color w:val="auto"/>
          <w:shd w:val="clear" w:color="auto" w:fill="FFFFFF"/>
        </w:rPr>
        <w:t>The ECtHR observed that:</w:t>
      </w:r>
    </w:p>
    <w:p w14:paraId="547D8906" w14:textId="77777777" w:rsidR="000623DC" w:rsidRDefault="000623DC" w:rsidP="000623DC">
      <w:pPr>
        <w:pStyle w:val="ListParagraph"/>
        <w:rPr>
          <w:rFonts w:cs="Segoe UI"/>
          <w:shd w:val="clear" w:color="auto" w:fill="FFFFFF"/>
        </w:rPr>
      </w:pPr>
    </w:p>
    <w:p w14:paraId="6651F874" w14:textId="4472C56F" w:rsidR="000F7326" w:rsidRDefault="000623DC" w:rsidP="000623DC">
      <w:pPr>
        <w:pStyle w:val="Quote"/>
        <w:rPr>
          <w:rFonts w:ascii="Segoe UI" w:hAnsi="Segoe UI"/>
          <w:sz w:val="26"/>
          <w:szCs w:val="26"/>
          <w:shd w:val="clear" w:color="auto" w:fill="FFFFFF"/>
        </w:rPr>
      </w:pPr>
      <w:r w:rsidRPr="000F7326">
        <w:rPr>
          <w:shd w:val="clear" w:color="auto" w:fill="FFFFFF"/>
        </w:rPr>
        <w:t>the importance of the fundamental principles of universality and non-discrimination in the exercise of the right to education are enshrined in many international texts and that the international instruments also recognised inclusive education as the most appropriate means of guaranteeing those fundamental principles.</w:t>
      </w:r>
      <w:r>
        <w:rPr>
          <w:rStyle w:val="FootnoteReference"/>
          <w:shd w:val="clear" w:color="auto" w:fill="FFFFFF"/>
        </w:rPr>
        <w:footnoteReference w:id="81"/>
      </w:r>
      <w:r w:rsidRPr="000F7326">
        <w:rPr>
          <w:rFonts w:ascii="Segoe UI" w:hAnsi="Segoe UI"/>
          <w:sz w:val="26"/>
          <w:szCs w:val="26"/>
          <w:shd w:val="clear" w:color="auto" w:fill="FFFFFF"/>
        </w:rPr>
        <w:t xml:space="preserve"> </w:t>
      </w:r>
    </w:p>
    <w:p w14:paraId="2EB30D61" w14:textId="77777777" w:rsidR="000623DC" w:rsidRPr="000623DC" w:rsidRDefault="000623DC" w:rsidP="000623DC"/>
    <w:p w14:paraId="3FD8134E" w14:textId="125E42AA" w:rsidR="008A4D6E" w:rsidRDefault="008A4D6E" w:rsidP="00B56194">
      <w:pPr>
        <w:pStyle w:val="BasicParagraph"/>
        <w:numPr>
          <w:ilvl w:val="1"/>
          <w:numId w:val="9"/>
        </w:numPr>
        <w:suppressAutoHyphens/>
        <w:ind w:left="709"/>
        <w:rPr>
          <w:rFonts w:ascii="Verdana" w:hAnsi="Verdana"/>
        </w:rPr>
      </w:pPr>
      <w:r>
        <w:rPr>
          <w:rFonts w:ascii="Verdana" w:hAnsi="Verdana"/>
        </w:rPr>
        <w:t xml:space="preserve">The ECtHR </w:t>
      </w:r>
      <w:r w:rsidR="00DE522A">
        <w:rPr>
          <w:rFonts w:ascii="Verdana" w:hAnsi="Verdana"/>
        </w:rPr>
        <w:t xml:space="preserve">held </w:t>
      </w:r>
      <w:r>
        <w:rPr>
          <w:rFonts w:ascii="Verdana" w:hAnsi="Verdana"/>
        </w:rPr>
        <w:t>that</w:t>
      </w:r>
      <w:r w:rsidR="00453BF4">
        <w:rPr>
          <w:rFonts w:ascii="Verdana" w:hAnsi="Verdana"/>
        </w:rPr>
        <w:t>:</w:t>
      </w:r>
    </w:p>
    <w:p w14:paraId="64D78DD0" w14:textId="77777777" w:rsidR="00453BF4" w:rsidRDefault="00453BF4" w:rsidP="00453BF4">
      <w:pPr>
        <w:pStyle w:val="ListParagraph"/>
      </w:pPr>
    </w:p>
    <w:p w14:paraId="50AF55A4" w14:textId="0BD3FA7F" w:rsidR="001F5042" w:rsidRDefault="000F407C" w:rsidP="00113ED6">
      <w:pPr>
        <w:pStyle w:val="Quote"/>
      </w:pPr>
      <w:r>
        <w:t>Article 14 of the… [ECHR]</w:t>
      </w:r>
      <w:r w:rsidR="00231099">
        <w:t xml:space="preserve"> does not prohibit a Member State from treating groups differently in order to correct ‘factual inequalities’ between them; indeed in certain circumstances a failure to attempt to correct inequality through different treatment may in itself give rise to a breach of</w:t>
      </w:r>
      <w:r w:rsidR="001F5042">
        <w:t>… [Article 14</w:t>
      </w:r>
      <w:r w:rsidR="00113ED6">
        <w:t>]</w:t>
      </w:r>
      <w:r w:rsidR="001F5042">
        <w:t>.</w:t>
      </w:r>
      <w:r w:rsidR="008F3D65">
        <w:rPr>
          <w:rStyle w:val="FootnoteReference"/>
        </w:rPr>
        <w:footnoteReference w:id="82"/>
      </w:r>
      <w:r w:rsidR="001F5042">
        <w:t xml:space="preserve"> </w:t>
      </w:r>
    </w:p>
    <w:p w14:paraId="5F696110" w14:textId="77777777" w:rsidR="008A4D6E" w:rsidRDefault="008A4D6E" w:rsidP="008A4D6E">
      <w:pPr>
        <w:pStyle w:val="ListParagraph"/>
      </w:pPr>
    </w:p>
    <w:p w14:paraId="08A79FB9" w14:textId="360B69A5" w:rsidR="00113ED6" w:rsidRDefault="001F5042" w:rsidP="00B56194">
      <w:pPr>
        <w:pStyle w:val="BasicParagraph"/>
        <w:numPr>
          <w:ilvl w:val="1"/>
          <w:numId w:val="9"/>
        </w:numPr>
        <w:suppressAutoHyphens/>
        <w:ind w:left="709"/>
        <w:rPr>
          <w:rFonts w:ascii="Verdana" w:hAnsi="Verdana"/>
        </w:rPr>
      </w:pPr>
      <w:r>
        <w:rPr>
          <w:rFonts w:ascii="Verdana" w:hAnsi="Verdana"/>
        </w:rPr>
        <w:t>The ECtHR clarified that “the Contracting State enjoys a margin of appreciation in assessing whether and to what extent differences in otherwise similar situations justify a different treatment”.</w:t>
      </w:r>
      <w:r w:rsidR="008F3D65">
        <w:rPr>
          <w:rStyle w:val="FootnoteReference"/>
          <w:rFonts w:ascii="Verdana" w:hAnsi="Verdana"/>
        </w:rPr>
        <w:footnoteReference w:id="83"/>
      </w:r>
      <w:r>
        <w:rPr>
          <w:rFonts w:ascii="Verdana" w:hAnsi="Verdana"/>
        </w:rPr>
        <w:t xml:space="preserve"> </w:t>
      </w:r>
      <w:r w:rsidR="0092650E">
        <w:rPr>
          <w:rFonts w:ascii="Verdana" w:hAnsi="Verdana"/>
        </w:rPr>
        <w:t>However, the ECtHR continued that</w:t>
      </w:r>
      <w:r w:rsidR="00113ED6">
        <w:rPr>
          <w:rFonts w:ascii="Verdana" w:hAnsi="Verdana"/>
        </w:rPr>
        <w:t>:</w:t>
      </w:r>
    </w:p>
    <w:p w14:paraId="276F8C24" w14:textId="77777777" w:rsidR="00113ED6" w:rsidRDefault="00113ED6" w:rsidP="00113ED6">
      <w:pPr>
        <w:pStyle w:val="BasicParagraph"/>
        <w:suppressAutoHyphens/>
        <w:ind w:left="709"/>
        <w:rPr>
          <w:rFonts w:ascii="Verdana" w:hAnsi="Verdana"/>
        </w:rPr>
      </w:pPr>
    </w:p>
    <w:p w14:paraId="57657D53" w14:textId="7E5BE346" w:rsidR="001F5042" w:rsidRDefault="0092650E" w:rsidP="00113ED6">
      <w:pPr>
        <w:pStyle w:val="Quote"/>
      </w:pPr>
      <w:r>
        <w:t>Article 14 of the… [ECHR] must be read in light of the requirements of those texts regarding reasonable accommodation – understood as ‘necessary and appropriate modification and adjustments not imposing a disproportionate or undue burden, where needed in a particular case’</w:t>
      </w:r>
      <w:r w:rsidR="003C0E42">
        <w:t xml:space="preserve">… Such reasonable </w:t>
      </w:r>
      <w:r w:rsidR="003C0E42">
        <w:lastRenderedPageBreak/>
        <w:t>accommodation helps to correct factual inequalities which are unjustified and therefore amount to discrimination.</w:t>
      </w:r>
      <w:r w:rsidR="008F3D65">
        <w:rPr>
          <w:rStyle w:val="FootnoteReference"/>
        </w:rPr>
        <w:footnoteReference w:id="84"/>
      </w:r>
    </w:p>
    <w:p w14:paraId="70EEC3A9" w14:textId="77777777" w:rsidR="00B03C77" w:rsidRDefault="00B03C77" w:rsidP="005115AB">
      <w:pPr>
        <w:pStyle w:val="BasicParagraph"/>
        <w:suppressAutoHyphens/>
        <w:rPr>
          <w:rFonts w:ascii="Verdana" w:hAnsi="Verdana"/>
        </w:rPr>
      </w:pPr>
    </w:p>
    <w:p w14:paraId="6841F6F7" w14:textId="7D299A43" w:rsidR="00833544" w:rsidRDefault="00833544" w:rsidP="00B56194">
      <w:pPr>
        <w:pStyle w:val="BasicParagraph"/>
        <w:numPr>
          <w:ilvl w:val="1"/>
          <w:numId w:val="9"/>
        </w:numPr>
        <w:suppressAutoHyphens/>
        <w:ind w:left="709"/>
        <w:rPr>
          <w:rFonts w:ascii="Verdana" w:hAnsi="Verdana"/>
        </w:rPr>
      </w:pPr>
      <w:r>
        <w:rPr>
          <w:rFonts w:ascii="Verdana" w:hAnsi="Verdana"/>
        </w:rPr>
        <w:t>Similarly,</w:t>
      </w:r>
      <w:r w:rsidR="0057665E">
        <w:rPr>
          <w:rFonts w:ascii="Verdana" w:hAnsi="Verdana"/>
        </w:rPr>
        <w:t xml:space="preserve"> </w:t>
      </w:r>
      <w:r w:rsidR="000623DC">
        <w:rPr>
          <w:rFonts w:ascii="Verdana" w:hAnsi="Verdana"/>
        </w:rPr>
        <w:t>the</w:t>
      </w:r>
      <w:r>
        <w:rPr>
          <w:rFonts w:ascii="Verdana" w:hAnsi="Verdana"/>
        </w:rPr>
        <w:t xml:space="preserve"> </w:t>
      </w:r>
      <w:r w:rsidR="0057665E">
        <w:rPr>
          <w:rFonts w:ascii="Verdana" w:hAnsi="Verdana"/>
        </w:rPr>
        <w:t>UN ICESCR Committee has noted that education “shall ‘enable all persons to participate effectively in a free society’, and it shall promote understanding among all ‘ethnic’ groups, as well as nations and racial and religious groups”.</w:t>
      </w:r>
      <w:r w:rsidR="0057665E">
        <w:rPr>
          <w:rStyle w:val="FootnoteReference"/>
          <w:rFonts w:ascii="Verdana" w:hAnsi="Verdana"/>
        </w:rPr>
        <w:footnoteReference w:id="85"/>
      </w:r>
      <w:r w:rsidR="0057665E">
        <w:rPr>
          <w:rFonts w:ascii="Verdana" w:hAnsi="Verdana"/>
        </w:rPr>
        <w:t xml:space="preserve"> </w:t>
      </w:r>
      <w:r w:rsidR="007E1B7D">
        <w:rPr>
          <w:rFonts w:ascii="Verdana" w:hAnsi="Verdana"/>
        </w:rPr>
        <w:t>T</w:t>
      </w:r>
      <w:r w:rsidR="00DE546C">
        <w:rPr>
          <w:rFonts w:ascii="Verdana" w:hAnsi="Verdana"/>
        </w:rPr>
        <w:t>he UN ICESCR Committee has confirmed that right to education requires “accessibility”</w:t>
      </w:r>
      <w:r w:rsidR="0014306B">
        <w:rPr>
          <w:rFonts w:ascii="Verdana" w:hAnsi="Verdana"/>
        </w:rPr>
        <w:t>.</w:t>
      </w:r>
      <w:r w:rsidR="00086DFD">
        <w:rPr>
          <w:rStyle w:val="FootnoteReference"/>
          <w:rFonts w:ascii="Verdana" w:hAnsi="Verdana"/>
        </w:rPr>
        <w:footnoteReference w:id="86"/>
      </w:r>
      <w:r w:rsidR="0014306B">
        <w:rPr>
          <w:rFonts w:ascii="Verdana" w:hAnsi="Verdana"/>
        </w:rPr>
        <w:t xml:space="preserve"> This means that “educational institutions and programmes have to be accessible to everyone, without discrimination”</w:t>
      </w:r>
      <w:r w:rsidR="00BF289F">
        <w:rPr>
          <w:rFonts w:ascii="Verdana" w:hAnsi="Verdana"/>
        </w:rPr>
        <w:t xml:space="preserve">. Accessible to everyone </w:t>
      </w:r>
      <w:r w:rsidR="00B2047E">
        <w:rPr>
          <w:rFonts w:ascii="Verdana" w:hAnsi="Verdana"/>
        </w:rPr>
        <w:t>includes “the most vulnerable groups, in law and fact, without discrimination on any of the prohibited grounds”.</w:t>
      </w:r>
      <w:r w:rsidR="00B2047E">
        <w:rPr>
          <w:rStyle w:val="FootnoteReference"/>
          <w:rFonts w:ascii="Verdana" w:hAnsi="Verdana"/>
        </w:rPr>
        <w:footnoteReference w:id="87"/>
      </w:r>
      <w:r w:rsidR="00052042">
        <w:rPr>
          <w:rFonts w:ascii="Verdana" w:hAnsi="Verdana"/>
        </w:rPr>
        <w:t xml:space="preserve"> The UN CRC Committee has also stressed that:</w:t>
      </w:r>
    </w:p>
    <w:p w14:paraId="097AC0AB" w14:textId="77777777" w:rsidR="00052042" w:rsidRDefault="00052042" w:rsidP="00052042">
      <w:pPr>
        <w:pStyle w:val="BasicParagraph"/>
        <w:suppressAutoHyphens/>
        <w:ind w:left="709"/>
        <w:rPr>
          <w:rFonts w:ascii="Verdana" w:hAnsi="Verdana"/>
        </w:rPr>
      </w:pPr>
    </w:p>
    <w:p w14:paraId="7B938E74" w14:textId="036847F8" w:rsidR="00052042" w:rsidRDefault="00052042" w:rsidP="00B020A5">
      <w:pPr>
        <w:pStyle w:val="Quote"/>
      </w:pPr>
      <w:r>
        <w:t>discrimination on the basis of any of the grounds listed in Article 2 of the… [UN CRC] whether it is overt or hidden, offends the human dignity of the child and is capable of undermining or even destroying the capacity of the child to benefit from educational opportunities.</w:t>
      </w:r>
      <w:r w:rsidR="00B020A5">
        <w:rPr>
          <w:rStyle w:val="FootnoteReference"/>
        </w:rPr>
        <w:footnoteReference w:id="88"/>
      </w:r>
    </w:p>
    <w:p w14:paraId="1B64FEE4" w14:textId="77777777" w:rsidR="00214641" w:rsidRDefault="00214641" w:rsidP="0077515E"/>
    <w:p w14:paraId="46D67435" w14:textId="7D65020A" w:rsidR="00856082" w:rsidRPr="004C6161" w:rsidRDefault="00F33625" w:rsidP="00B56194">
      <w:pPr>
        <w:pStyle w:val="BasicParagraph"/>
        <w:numPr>
          <w:ilvl w:val="1"/>
          <w:numId w:val="9"/>
        </w:numPr>
        <w:suppressAutoHyphens/>
        <w:ind w:left="709"/>
        <w:rPr>
          <w:rFonts w:ascii="Verdana" w:hAnsi="Verdana"/>
          <w:b/>
          <w:bCs/>
        </w:rPr>
      </w:pPr>
      <w:r>
        <w:rPr>
          <w:rFonts w:ascii="Verdana" w:hAnsi="Verdana"/>
        </w:rPr>
        <w:t xml:space="preserve">The EU Race Equality Directive </w:t>
      </w:r>
      <w:r w:rsidR="00B51993">
        <w:rPr>
          <w:rFonts w:ascii="Verdana" w:hAnsi="Verdana"/>
        </w:rPr>
        <w:t xml:space="preserve">prohibits direct and indirect discrimination, harassment and an instruction to discriminate and </w:t>
      </w:r>
      <w:r w:rsidR="00EC65C0">
        <w:rPr>
          <w:rFonts w:ascii="Verdana" w:hAnsi="Verdana"/>
        </w:rPr>
        <w:t xml:space="preserve">applies to all </w:t>
      </w:r>
      <w:r w:rsidR="001D661C">
        <w:rPr>
          <w:rFonts w:ascii="Verdana" w:hAnsi="Verdana"/>
        </w:rPr>
        <w:t xml:space="preserve">persons in both the public and private sectors, </w:t>
      </w:r>
      <w:r w:rsidR="00C23B05">
        <w:rPr>
          <w:rFonts w:ascii="Verdana" w:hAnsi="Verdana"/>
        </w:rPr>
        <w:t>includ</w:t>
      </w:r>
      <w:r w:rsidR="001D661C">
        <w:rPr>
          <w:rFonts w:ascii="Verdana" w:hAnsi="Verdana"/>
        </w:rPr>
        <w:t>ing in</w:t>
      </w:r>
      <w:r w:rsidR="00E44231">
        <w:rPr>
          <w:rFonts w:ascii="Verdana" w:hAnsi="Verdana"/>
        </w:rPr>
        <w:t xml:space="preserve"> relation to </w:t>
      </w:r>
      <w:r w:rsidR="00C23B05">
        <w:rPr>
          <w:rFonts w:ascii="Verdana" w:hAnsi="Verdana"/>
        </w:rPr>
        <w:t>education.</w:t>
      </w:r>
      <w:r w:rsidR="004C6161">
        <w:rPr>
          <w:rStyle w:val="FootnoteReference"/>
          <w:rFonts w:ascii="Verdana" w:hAnsi="Verdana"/>
        </w:rPr>
        <w:footnoteReference w:id="89"/>
      </w:r>
      <w:r w:rsidR="00C23B05">
        <w:rPr>
          <w:rFonts w:ascii="Verdana" w:hAnsi="Verdana"/>
        </w:rPr>
        <w:t xml:space="preserve"> The CJEU has </w:t>
      </w:r>
      <w:r w:rsidR="00774F81">
        <w:rPr>
          <w:rFonts w:ascii="Verdana" w:hAnsi="Verdana"/>
        </w:rPr>
        <w:t xml:space="preserve">affirmed </w:t>
      </w:r>
      <w:r w:rsidR="00C23B05">
        <w:rPr>
          <w:rFonts w:ascii="Verdana" w:hAnsi="Verdana"/>
        </w:rPr>
        <w:t xml:space="preserve">that the </w:t>
      </w:r>
      <w:r w:rsidR="00B72BEF">
        <w:rPr>
          <w:rFonts w:ascii="Verdana" w:hAnsi="Verdana"/>
        </w:rPr>
        <w:t xml:space="preserve">EU Directive </w:t>
      </w:r>
      <w:r w:rsidR="003270DC">
        <w:rPr>
          <w:rFonts w:ascii="Verdana" w:hAnsi="Verdana"/>
        </w:rPr>
        <w:t>cannot be interpreted restrictively in light of its objective of promoting equality in resp</w:t>
      </w:r>
      <w:r w:rsidR="008A4879">
        <w:rPr>
          <w:rFonts w:ascii="Verdana" w:hAnsi="Verdana"/>
        </w:rPr>
        <w:t xml:space="preserve">ect to </w:t>
      </w:r>
      <w:r w:rsidR="004C6161">
        <w:rPr>
          <w:rFonts w:ascii="Verdana" w:hAnsi="Verdana"/>
        </w:rPr>
        <w:t>racial and ethnic origin</w:t>
      </w:r>
      <w:r w:rsidR="00C35245">
        <w:rPr>
          <w:rFonts w:ascii="Verdana" w:hAnsi="Verdana"/>
        </w:rPr>
        <w:t>, including in respect to education</w:t>
      </w:r>
      <w:r w:rsidR="004C6161">
        <w:rPr>
          <w:rFonts w:ascii="Verdana" w:hAnsi="Verdana"/>
        </w:rPr>
        <w:t>.</w:t>
      </w:r>
      <w:r w:rsidR="006E5DA0">
        <w:rPr>
          <w:rStyle w:val="FootnoteReference"/>
          <w:rFonts w:ascii="Verdana" w:hAnsi="Verdana"/>
        </w:rPr>
        <w:footnoteReference w:id="90"/>
      </w:r>
      <w:r w:rsidR="00405FC8">
        <w:rPr>
          <w:rFonts w:ascii="Verdana" w:hAnsi="Verdana"/>
        </w:rPr>
        <w:t xml:space="preserve"> For example, the </w:t>
      </w:r>
      <w:r w:rsidR="0020410D">
        <w:rPr>
          <w:rFonts w:ascii="Verdana" w:hAnsi="Verdana"/>
        </w:rPr>
        <w:t>CJEU</w:t>
      </w:r>
      <w:r w:rsidR="00405FC8">
        <w:rPr>
          <w:rFonts w:ascii="Verdana" w:hAnsi="Verdana"/>
        </w:rPr>
        <w:t xml:space="preserve"> found that </w:t>
      </w:r>
      <w:r w:rsidR="00405FC8" w:rsidRPr="00405FC8">
        <w:rPr>
          <w:rFonts w:ascii="Verdana" w:hAnsi="Verdana"/>
        </w:rPr>
        <w:t xml:space="preserve">access to education </w:t>
      </w:r>
      <w:r w:rsidR="00405FC8">
        <w:rPr>
          <w:rFonts w:ascii="Verdana" w:hAnsi="Verdana"/>
        </w:rPr>
        <w:t xml:space="preserve">should </w:t>
      </w:r>
      <w:r w:rsidR="00405FC8" w:rsidRPr="00405FC8">
        <w:rPr>
          <w:rFonts w:ascii="Verdana" w:hAnsi="Verdana"/>
        </w:rPr>
        <w:t>be considered an essential aspect</w:t>
      </w:r>
      <w:r w:rsidR="00405FC8">
        <w:rPr>
          <w:rFonts w:ascii="Verdana" w:hAnsi="Verdana"/>
        </w:rPr>
        <w:t xml:space="preserve"> of education and that “</w:t>
      </w:r>
      <w:r w:rsidR="00405FC8" w:rsidRPr="00405FC8">
        <w:rPr>
          <w:rFonts w:ascii="Verdana" w:hAnsi="Verdana"/>
        </w:rPr>
        <w:t>costs related to the participation in a research project or in an educational programme must be considered to be part of the components of access to education</w:t>
      </w:r>
      <w:r w:rsidR="00405FC8">
        <w:rPr>
          <w:rFonts w:ascii="Verdana" w:hAnsi="Verdana"/>
        </w:rPr>
        <w:t>”.</w:t>
      </w:r>
      <w:r w:rsidR="00405FC8">
        <w:rPr>
          <w:rStyle w:val="FootnoteReference"/>
          <w:rFonts w:ascii="Verdana" w:hAnsi="Verdana"/>
        </w:rPr>
        <w:footnoteReference w:id="91"/>
      </w:r>
    </w:p>
    <w:p w14:paraId="1E659AA6" w14:textId="77777777" w:rsidR="004C6161" w:rsidRDefault="004C6161" w:rsidP="004C6161">
      <w:pPr>
        <w:pStyle w:val="BasicParagraph"/>
        <w:suppressAutoHyphens/>
        <w:ind w:left="709"/>
        <w:rPr>
          <w:rFonts w:ascii="Verdana" w:hAnsi="Verdana"/>
          <w:b/>
          <w:bCs/>
        </w:rPr>
      </w:pPr>
    </w:p>
    <w:p w14:paraId="4A3E73BE" w14:textId="043B19DB" w:rsidR="001A74CA" w:rsidRPr="009350C4" w:rsidRDefault="009350C4" w:rsidP="00B56194">
      <w:pPr>
        <w:pStyle w:val="BasicParagraph"/>
        <w:numPr>
          <w:ilvl w:val="1"/>
          <w:numId w:val="9"/>
        </w:numPr>
        <w:suppressAutoHyphens/>
        <w:ind w:left="709"/>
        <w:rPr>
          <w:rFonts w:ascii="Verdana" w:hAnsi="Verdana"/>
          <w:b/>
          <w:bCs/>
        </w:rPr>
      </w:pPr>
      <w:r w:rsidRPr="009350C4">
        <w:rPr>
          <w:rFonts w:ascii="Verdana" w:hAnsi="Verdana"/>
          <w:b/>
          <w:bCs/>
        </w:rPr>
        <w:t>The NIHRC</w:t>
      </w:r>
      <w:r w:rsidR="00886AF7">
        <w:rPr>
          <w:rFonts w:ascii="Verdana" w:hAnsi="Verdana"/>
          <w:b/>
          <w:bCs/>
        </w:rPr>
        <w:t xml:space="preserve">, in principle, </w:t>
      </w:r>
      <w:r w:rsidRPr="009350C4">
        <w:rPr>
          <w:rFonts w:ascii="Verdana" w:hAnsi="Verdana"/>
          <w:b/>
          <w:bCs/>
        </w:rPr>
        <w:t xml:space="preserve">welcomes the proposals to amend Articles 18(1)(a), 18(1)(b) and 18(1)(c) </w:t>
      </w:r>
      <w:r w:rsidR="00E20FA6">
        <w:rPr>
          <w:rFonts w:ascii="Verdana" w:hAnsi="Verdana"/>
          <w:b/>
          <w:bCs/>
        </w:rPr>
        <w:t xml:space="preserve">of the Race Relations (NI) Order </w:t>
      </w:r>
      <w:r w:rsidR="00E20FA6">
        <w:rPr>
          <w:rFonts w:ascii="Verdana" w:hAnsi="Verdana"/>
          <w:b/>
          <w:bCs/>
        </w:rPr>
        <w:lastRenderedPageBreak/>
        <w:t>1997</w:t>
      </w:r>
      <w:r w:rsidR="0094405D">
        <w:rPr>
          <w:rFonts w:ascii="Verdana" w:hAnsi="Verdana"/>
          <w:b/>
          <w:bCs/>
        </w:rPr>
        <w:t>, or equivalent,</w:t>
      </w:r>
      <w:r w:rsidR="00E20FA6">
        <w:rPr>
          <w:rFonts w:ascii="Verdana" w:hAnsi="Verdana"/>
          <w:b/>
          <w:bCs/>
        </w:rPr>
        <w:t xml:space="preserve"> </w:t>
      </w:r>
      <w:r w:rsidRPr="009350C4">
        <w:rPr>
          <w:rFonts w:ascii="Verdana" w:hAnsi="Verdana"/>
          <w:b/>
          <w:bCs/>
        </w:rPr>
        <w:t xml:space="preserve">to ensure no educational application process or </w:t>
      </w:r>
      <w:r w:rsidR="00DE522A">
        <w:rPr>
          <w:rFonts w:ascii="Verdana" w:hAnsi="Verdana"/>
          <w:b/>
          <w:bCs/>
        </w:rPr>
        <w:t xml:space="preserve">other </w:t>
      </w:r>
      <w:r w:rsidRPr="009350C4">
        <w:rPr>
          <w:rFonts w:ascii="Verdana" w:hAnsi="Verdana"/>
          <w:b/>
          <w:bCs/>
        </w:rPr>
        <w:t>arrangement discriminate</w:t>
      </w:r>
      <w:r w:rsidR="00DE522A">
        <w:rPr>
          <w:rFonts w:ascii="Verdana" w:hAnsi="Verdana"/>
          <w:b/>
          <w:bCs/>
        </w:rPr>
        <w:t>s</w:t>
      </w:r>
      <w:r w:rsidRPr="009350C4">
        <w:rPr>
          <w:rFonts w:ascii="Verdana" w:hAnsi="Verdana"/>
          <w:b/>
          <w:bCs/>
        </w:rPr>
        <w:t xml:space="preserve"> on grounds related to race.</w:t>
      </w:r>
      <w:r w:rsidR="002C4980">
        <w:rPr>
          <w:rFonts w:ascii="Verdana" w:hAnsi="Verdana"/>
          <w:b/>
          <w:bCs/>
        </w:rPr>
        <w:t xml:space="preserve"> The NIHRC </w:t>
      </w:r>
      <w:r w:rsidR="002D6253">
        <w:rPr>
          <w:rFonts w:ascii="Verdana" w:hAnsi="Verdana"/>
          <w:b/>
          <w:bCs/>
        </w:rPr>
        <w:t xml:space="preserve">recommends </w:t>
      </w:r>
      <w:r w:rsidR="002C4980">
        <w:rPr>
          <w:rFonts w:ascii="Verdana" w:hAnsi="Verdana"/>
          <w:b/>
          <w:bCs/>
        </w:rPr>
        <w:t>that the resulting amend</w:t>
      </w:r>
      <w:r w:rsidR="00DE522A">
        <w:rPr>
          <w:rFonts w:ascii="Verdana" w:hAnsi="Verdana"/>
          <w:b/>
          <w:bCs/>
        </w:rPr>
        <w:t>ment</w:t>
      </w:r>
      <w:r w:rsidR="002C4980">
        <w:rPr>
          <w:rFonts w:ascii="Verdana" w:hAnsi="Verdana"/>
          <w:b/>
          <w:bCs/>
        </w:rPr>
        <w:t xml:space="preserve">s are </w:t>
      </w:r>
      <w:r w:rsidR="00DE522A">
        <w:rPr>
          <w:rFonts w:ascii="Verdana" w:hAnsi="Verdana"/>
          <w:b/>
          <w:bCs/>
        </w:rPr>
        <w:t xml:space="preserve">informed </w:t>
      </w:r>
      <w:r w:rsidR="002C4980">
        <w:rPr>
          <w:rFonts w:ascii="Verdana" w:hAnsi="Verdana"/>
          <w:b/>
          <w:bCs/>
        </w:rPr>
        <w:t xml:space="preserve">by human rights </w:t>
      </w:r>
      <w:r w:rsidR="002D6253">
        <w:rPr>
          <w:rFonts w:ascii="Verdana" w:hAnsi="Verdana"/>
          <w:b/>
          <w:bCs/>
        </w:rPr>
        <w:t>standards</w:t>
      </w:r>
      <w:r w:rsidR="00DE522A">
        <w:rPr>
          <w:rFonts w:ascii="Verdana" w:hAnsi="Verdana"/>
          <w:b/>
          <w:bCs/>
        </w:rPr>
        <w:t xml:space="preserve"> and considered for compatibility with</w:t>
      </w:r>
      <w:r w:rsidR="00405FC8">
        <w:rPr>
          <w:rFonts w:ascii="Verdana" w:hAnsi="Verdana"/>
          <w:b/>
          <w:bCs/>
        </w:rPr>
        <w:t xml:space="preserve"> Windsor Framework Article 2</w:t>
      </w:r>
      <w:r w:rsidR="002D6253">
        <w:rPr>
          <w:rFonts w:ascii="Verdana" w:hAnsi="Verdana"/>
          <w:b/>
          <w:bCs/>
        </w:rPr>
        <w:t>.</w:t>
      </w:r>
    </w:p>
    <w:p w14:paraId="4DFB8894" w14:textId="77777777" w:rsidR="001A74CA" w:rsidRDefault="001A74CA" w:rsidP="001A74CA">
      <w:pPr>
        <w:pStyle w:val="BasicParagraph"/>
        <w:suppressAutoHyphens/>
        <w:ind w:left="-11"/>
        <w:rPr>
          <w:rFonts w:ascii="Verdana" w:hAnsi="Verdana"/>
        </w:rPr>
      </w:pPr>
    </w:p>
    <w:p w14:paraId="0FC79F3E" w14:textId="0C0B1BE7" w:rsidR="001A74CA" w:rsidRDefault="001A74CA" w:rsidP="0093165B">
      <w:pPr>
        <w:pStyle w:val="Heading1"/>
        <w:numPr>
          <w:ilvl w:val="0"/>
          <w:numId w:val="17"/>
        </w:numPr>
      </w:pPr>
      <w:bookmarkStart w:id="12" w:name="_Toc137459922"/>
      <w:r>
        <w:t>Employment</w:t>
      </w:r>
      <w:bookmarkEnd w:id="12"/>
    </w:p>
    <w:p w14:paraId="2FA51B98" w14:textId="5CB657A5" w:rsidR="007B64CE" w:rsidRPr="007B64CE" w:rsidRDefault="007B64CE" w:rsidP="007B64CE">
      <w:pPr>
        <w:pStyle w:val="Heading2"/>
      </w:pPr>
      <w:bookmarkStart w:id="13" w:name="_Toc137459923"/>
      <w:r>
        <w:t>Different forms of employment</w:t>
      </w:r>
      <w:bookmarkEnd w:id="13"/>
    </w:p>
    <w:p w14:paraId="40009F9D" w14:textId="77777777" w:rsidR="00B56194" w:rsidRPr="00B56194" w:rsidRDefault="00B56194" w:rsidP="00B56194">
      <w:pPr>
        <w:pStyle w:val="ListParagraph"/>
        <w:widowControl w:val="0"/>
        <w:numPr>
          <w:ilvl w:val="0"/>
          <w:numId w:val="9"/>
        </w:numPr>
        <w:suppressAutoHyphens/>
        <w:autoSpaceDE w:val="0"/>
        <w:autoSpaceDN w:val="0"/>
        <w:adjustRightInd w:val="0"/>
        <w:contextualSpacing w:val="0"/>
        <w:textAlignment w:val="center"/>
        <w:rPr>
          <w:rFonts w:cs="MinionPro-Regular"/>
          <w:vanish/>
          <w:color w:val="000000"/>
        </w:rPr>
      </w:pPr>
    </w:p>
    <w:p w14:paraId="30AEC7FB" w14:textId="6BEF2468" w:rsidR="00DC30DF" w:rsidRDefault="00506A04" w:rsidP="00B56194">
      <w:pPr>
        <w:pStyle w:val="BasicParagraph"/>
        <w:numPr>
          <w:ilvl w:val="1"/>
          <w:numId w:val="9"/>
        </w:numPr>
        <w:suppressAutoHyphens/>
        <w:ind w:left="709"/>
        <w:rPr>
          <w:rFonts w:ascii="Verdana" w:hAnsi="Verdana"/>
        </w:rPr>
      </w:pPr>
      <w:r>
        <w:rPr>
          <w:rFonts w:ascii="Verdana" w:hAnsi="Verdana"/>
        </w:rPr>
        <w:t xml:space="preserve">The consultation document </w:t>
      </w:r>
      <w:r w:rsidR="008025B2">
        <w:rPr>
          <w:rFonts w:ascii="Verdana" w:hAnsi="Verdana"/>
        </w:rPr>
        <w:t xml:space="preserve">makes </w:t>
      </w:r>
      <w:r w:rsidR="007B64CE">
        <w:rPr>
          <w:rFonts w:ascii="Verdana" w:hAnsi="Verdana"/>
        </w:rPr>
        <w:t>several</w:t>
      </w:r>
      <w:r w:rsidR="008025B2">
        <w:rPr>
          <w:rFonts w:ascii="Verdana" w:hAnsi="Verdana"/>
        </w:rPr>
        <w:t xml:space="preserve"> proposals for amendments to the Race Relations (NI) Order 1997</w:t>
      </w:r>
      <w:r w:rsidR="00A85C44">
        <w:rPr>
          <w:rFonts w:ascii="Verdana" w:hAnsi="Verdana"/>
        </w:rPr>
        <w:t xml:space="preserve"> </w:t>
      </w:r>
      <w:r w:rsidR="008025B2">
        <w:rPr>
          <w:rFonts w:ascii="Verdana" w:hAnsi="Verdana"/>
        </w:rPr>
        <w:t>for the purpose of enhancing employment protections.</w:t>
      </w:r>
      <w:r w:rsidR="00FF519E">
        <w:rPr>
          <w:rStyle w:val="FootnoteReference"/>
          <w:rFonts w:ascii="Verdana" w:hAnsi="Verdana"/>
        </w:rPr>
        <w:footnoteReference w:id="92"/>
      </w:r>
      <w:r w:rsidR="008025B2">
        <w:rPr>
          <w:rFonts w:ascii="Verdana" w:hAnsi="Verdana"/>
        </w:rPr>
        <w:t xml:space="preserve"> For example, the Executive Office </w:t>
      </w:r>
      <w:r w:rsidR="006833DD">
        <w:rPr>
          <w:rFonts w:ascii="Verdana" w:hAnsi="Verdana"/>
        </w:rPr>
        <w:t xml:space="preserve">proposes to amend Article 6 of the Race Relations (NI) Order 1997 to ensure </w:t>
      </w:r>
      <w:r w:rsidR="00D434DD">
        <w:rPr>
          <w:rFonts w:ascii="Verdana" w:hAnsi="Verdana"/>
        </w:rPr>
        <w:t>that it includes all forms of employees and employment.</w:t>
      </w:r>
    </w:p>
    <w:p w14:paraId="2B2F1774" w14:textId="2AB9B057" w:rsidR="00506A04" w:rsidRDefault="00D434DD" w:rsidP="00DC30DF">
      <w:pPr>
        <w:pStyle w:val="BasicParagraph"/>
        <w:suppressAutoHyphens/>
        <w:ind w:left="709"/>
        <w:rPr>
          <w:rFonts w:ascii="Verdana" w:hAnsi="Verdana"/>
        </w:rPr>
      </w:pPr>
      <w:r>
        <w:rPr>
          <w:rFonts w:ascii="Verdana" w:hAnsi="Verdana"/>
        </w:rPr>
        <w:t xml:space="preserve"> </w:t>
      </w:r>
    </w:p>
    <w:p w14:paraId="1C0757C8" w14:textId="77777777" w:rsidR="003512A8" w:rsidRDefault="00BE5EF3" w:rsidP="00B56194">
      <w:pPr>
        <w:pStyle w:val="BasicParagraph"/>
        <w:numPr>
          <w:ilvl w:val="1"/>
          <w:numId w:val="9"/>
        </w:numPr>
        <w:suppressAutoHyphens/>
        <w:ind w:left="709"/>
        <w:rPr>
          <w:rFonts w:ascii="Verdana" w:hAnsi="Verdana"/>
        </w:rPr>
      </w:pPr>
      <w:r>
        <w:rPr>
          <w:rFonts w:ascii="Verdana" w:hAnsi="Verdana"/>
        </w:rPr>
        <w:t xml:space="preserve">Under human rights law, workers have the right to just and favourable </w:t>
      </w:r>
      <w:r w:rsidR="00EF0BEC">
        <w:rPr>
          <w:rFonts w:ascii="Verdana" w:hAnsi="Verdana"/>
        </w:rPr>
        <w:t xml:space="preserve">conditions of </w:t>
      </w:r>
      <w:r w:rsidR="003512A8">
        <w:rPr>
          <w:rFonts w:ascii="Verdana" w:hAnsi="Verdana"/>
        </w:rPr>
        <w:t>work</w:t>
      </w:r>
      <w:r w:rsidR="00192D68">
        <w:rPr>
          <w:rFonts w:ascii="Verdana" w:hAnsi="Verdana"/>
        </w:rPr>
        <w:t>.</w:t>
      </w:r>
      <w:r w:rsidR="001A74CA" w:rsidRPr="00A62325">
        <w:rPr>
          <w:rStyle w:val="FootnoteReference"/>
          <w:rFonts w:ascii="Verdana" w:hAnsi="Verdana"/>
        </w:rPr>
        <w:footnoteReference w:id="93"/>
      </w:r>
      <w:r w:rsidR="001A74CA" w:rsidRPr="001A74CA">
        <w:rPr>
          <w:rFonts w:ascii="Verdana" w:hAnsi="Verdana"/>
        </w:rPr>
        <w:t xml:space="preserve"> </w:t>
      </w:r>
      <w:r w:rsidR="00EF0BEC">
        <w:rPr>
          <w:rFonts w:ascii="Verdana" w:hAnsi="Verdana"/>
        </w:rPr>
        <w:t>The UN ICESCR Committee has clarified tha</w:t>
      </w:r>
      <w:r w:rsidR="003512A8">
        <w:rPr>
          <w:rFonts w:ascii="Verdana" w:hAnsi="Verdana"/>
        </w:rPr>
        <w:t>t this:</w:t>
      </w:r>
    </w:p>
    <w:p w14:paraId="60BF6673" w14:textId="77777777" w:rsidR="003512A8" w:rsidRDefault="003512A8" w:rsidP="003512A8">
      <w:pPr>
        <w:pStyle w:val="ListParagraph"/>
      </w:pPr>
    </w:p>
    <w:p w14:paraId="05227DCF" w14:textId="380C3B82" w:rsidR="00DC30DF" w:rsidRDefault="003512A8" w:rsidP="00156A5F">
      <w:pPr>
        <w:pStyle w:val="Quote"/>
      </w:pPr>
      <w:r>
        <w:t>is a right of everyone, without distinction of any kind</w:t>
      </w:r>
      <w:r w:rsidR="00287E7D">
        <w:t>. The reference to ‘everyone’ highlights the fact that the right applies to all workers in all settings, regardless of gender, as well as young and older workers, workers with disabilities, workers in the informal sector, migrant workers, workers from ethnic and other minorities, domestic workers, self-employed workers, agricultural workers, refugee workers and unpaid workers</w:t>
      </w:r>
      <w:r w:rsidR="00156A5F">
        <w:t>. The reference to ‘everyone’ reinforces the general prohibition on discrimination… the equality provision… and is supplemented by the various references to equality and freedom from distinctions of any kind.</w:t>
      </w:r>
      <w:r w:rsidR="00156A5F">
        <w:rPr>
          <w:rStyle w:val="FootnoteReference"/>
        </w:rPr>
        <w:footnoteReference w:id="94"/>
      </w:r>
    </w:p>
    <w:p w14:paraId="17411551" w14:textId="77777777" w:rsidR="00DC30DF" w:rsidRDefault="00DC30DF" w:rsidP="00DC30DF">
      <w:pPr>
        <w:pStyle w:val="ListParagraph"/>
      </w:pPr>
    </w:p>
    <w:p w14:paraId="5BF0076A" w14:textId="0D71095B" w:rsidR="002C5459" w:rsidRDefault="00350393" w:rsidP="00B56194">
      <w:pPr>
        <w:pStyle w:val="BasicParagraph"/>
        <w:numPr>
          <w:ilvl w:val="1"/>
          <w:numId w:val="9"/>
        </w:numPr>
        <w:suppressAutoHyphens/>
        <w:ind w:left="709"/>
        <w:rPr>
          <w:rFonts w:ascii="Verdana" w:hAnsi="Verdana"/>
        </w:rPr>
      </w:pPr>
      <w:r>
        <w:rPr>
          <w:rFonts w:ascii="Verdana" w:hAnsi="Verdana"/>
        </w:rPr>
        <w:lastRenderedPageBreak/>
        <w:t xml:space="preserve">The EU Race Equality Directive </w:t>
      </w:r>
      <w:r w:rsidR="005038BE">
        <w:rPr>
          <w:rFonts w:ascii="Verdana" w:hAnsi="Verdana"/>
        </w:rPr>
        <w:t>includes ac</w:t>
      </w:r>
      <w:r w:rsidR="00386C88">
        <w:rPr>
          <w:rFonts w:ascii="Verdana" w:hAnsi="Verdana"/>
        </w:rPr>
        <w:t>cess to employment, self-employment</w:t>
      </w:r>
      <w:r w:rsidR="00101CD4">
        <w:rPr>
          <w:rFonts w:ascii="Verdana" w:hAnsi="Verdana"/>
        </w:rPr>
        <w:t>,</w:t>
      </w:r>
      <w:r w:rsidR="00386C88">
        <w:rPr>
          <w:rFonts w:ascii="Verdana" w:hAnsi="Verdana"/>
        </w:rPr>
        <w:t xml:space="preserve"> occupation</w:t>
      </w:r>
      <w:r w:rsidR="00101CD4">
        <w:rPr>
          <w:rFonts w:ascii="Verdana" w:hAnsi="Verdana"/>
        </w:rPr>
        <w:t xml:space="preserve"> </w:t>
      </w:r>
      <w:r w:rsidR="00797829">
        <w:rPr>
          <w:rFonts w:ascii="Verdana" w:hAnsi="Verdana"/>
        </w:rPr>
        <w:t>and to working conditions, including dismissal and pa</w:t>
      </w:r>
      <w:r w:rsidR="00F53188">
        <w:rPr>
          <w:rFonts w:ascii="Verdana" w:hAnsi="Verdana"/>
        </w:rPr>
        <w:t>y</w:t>
      </w:r>
      <w:r w:rsidR="00386C88">
        <w:rPr>
          <w:rFonts w:ascii="Verdana" w:hAnsi="Verdana"/>
        </w:rPr>
        <w:t xml:space="preserve"> within its scope. The EU Directive subsequently extends its scope to vocational </w:t>
      </w:r>
      <w:r w:rsidR="000446E7">
        <w:rPr>
          <w:rFonts w:ascii="Verdana" w:hAnsi="Verdana"/>
        </w:rPr>
        <w:t>training and retraining, including practical work experience.</w:t>
      </w:r>
      <w:r w:rsidR="000446E7">
        <w:rPr>
          <w:rStyle w:val="FootnoteReference"/>
          <w:rFonts w:ascii="Verdana" w:hAnsi="Verdana"/>
        </w:rPr>
        <w:footnoteReference w:id="95"/>
      </w:r>
      <w:r w:rsidR="00965B64">
        <w:rPr>
          <w:rFonts w:ascii="Verdana" w:hAnsi="Verdana"/>
        </w:rPr>
        <w:t xml:space="preserve"> The </w:t>
      </w:r>
      <w:r w:rsidR="00F354F3">
        <w:rPr>
          <w:rFonts w:ascii="Verdana" w:hAnsi="Verdana"/>
        </w:rPr>
        <w:t xml:space="preserve">prohibition of discrimination in the </w:t>
      </w:r>
      <w:r w:rsidR="00965B64">
        <w:rPr>
          <w:rFonts w:ascii="Verdana" w:hAnsi="Verdana"/>
        </w:rPr>
        <w:t xml:space="preserve">EU Directive </w:t>
      </w:r>
      <w:r w:rsidR="00F354F3">
        <w:rPr>
          <w:rFonts w:ascii="Verdana" w:hAnsi="Verdana"/>
        </w:rPr>
        <w:t xml:space="preserve">covers direct and indirect discrimination, </w:t>
      </w:r>
      <w:r w:rsidR="001D7EE7">
        <w:rPr>
          <w:rFonts w:ascii="Verdana" w:hAnsi="Verdana"/>
        </w:rPr>
        <w:t xml:space="preserve">harassment, instruction to discriminate and victimisation in relation to employment and other areas falling within scope of the </w:t>
      </w:r>
      <w:r w:rsidR="0020410D">
        <w:rPr>
          <w:rFonts w:ascii="Verdana" w:hAnsi="Verdana"/>
        </w:rPr>
        <w:t xml:space="preserve">EU </w:t>
      </w:r>
      <w:r w:rsidR="001D7EE7">
        <w:rPr>
          <w:rFonts w:ascii="Verdana" w:hAnsi="Verdana"/>
        </w:rPr>
        <w:t>Directive.</w:t>
      </w:r>
    </w:p>
    <w:p w14:paraId="56947D71" w14:textId="77777777" w:rsidR="00350393" w:rsidRDefault="00350393" w:rsidP="00350393">
      <w:pPr>
        <w:pStyle w:val="BasicParagraph"/>
        <w:suppressAutoHyphens/>
        <w:ind w:left="709"/>
        <w:rPr>
          <w:rFonts w:ascii="Verdana" w:hAnsi="Verdana"/>
        </w:rPr>
      </w:pPr>
    </w:p>
    <w:p w14:paraId="43B3F457" w14:textId="7D0226B9" w:rsidR="00AD4C56" w:rsidRDefault="00DC30DF" w:rsidP="00B56194">
      <w:pPr>
        <w:pStyle w:val="BasicParagraph"/>
        <w:numPr>
          <w:ilvl w:val="1"/>
          <w:numId w:val="9"/>
        </w:numPr>
        <w:suppressAutoHyphens/>
        <w:ind w:left="709"/>
        <w:rPr>
          <w:rFonts w:ascii="Verdana" w:hAnsi="Verdana"/>
        </w:rPr>
      </w:pPr>
      <w:r>
        <w:rPr>
          <w:rFonts w:ascii="Verdana" w:hAnsi="Verdana"/>
        </w:rPr>
        <w:t>T</w:t>
      </w:r>
      <w:r w:rsidR="001A74CA" w:rsidRPr="001A74CA">
        <w:rPr>
          <w:rFonts w:ascii="Verdana" w:hAnsi="Verdana"/>
        </w:rPr>
        <w:t xml:space="preserve">he NIHRC supports enhancing employment protections and ensuring non-discrimination and equality for all workers. </w:t>
      </w:r>
      <w:r w:rsidR="00DF3142">
        <w:rPr>
          <w:rFonts w:ascii="Verdana" w:hAnsi="Verdana"/>
        </w:rPr>
        <w:t>In the current fast-developing climate, there are additional considerations that are required to ensure that the resulting legislation remains relevant.</w:t>
      </w:r>
      <w:r w:rsidR="00306187">
        <w:rPr>
          <w:rFonts w:ascii="Verdana" w:hAnsi="Verdana"/>
        </w:rPr>
        <w:t xml:space="preserve"> </w:t>
      </w:r>
      <w:r w:rsidR="00DF3142">
        <w:rPr>
          <w:rFonts w:ascii="Verdana" w:hAnsi="Verdana"/>
        </w:rPr>
        <w:t>A</w:t>
      </w:r>
      <w:r w:rsidR="001A74CA" w:rsidRPr="001A74CA">
        <w:rPr>
          <w:rFonts w:ascii="Verdana" w:hAnsi="Verdana"/>
        </w:rPr>
        <w:t xml:space="preserve">s technology develops, particularly with the increased use of artificial intelligence, the employment landscape is likely to change. </w:t>
      </w:r>
      <w:r w:rsidR="00306187">
        <w:rPr>
          <w:rFonts w:ascii="Verdana" w:hAnsi="Verdana"/>
        </w:rPr>
        <w:t>Therefore, i</w:t>
      </w:r>
      <w:r w:rsidR="001A74CA" w:rsidRPr="001A74CA">
        <w:rPr>
          <w:rFonts w:ascii="Verdana" w:hAnsi="Verdana"/>
        </w:rPr>
        <w:t>t would be beneficial to work in some form of flexibility to ensure the Race Relations (NI) Order</w:t>
      </w:r>
      <w:r w:rsidR="00DE1A26">
        <w:rPr>
          <w:rFonts w:ascii="Verdana" w:hAnsi="Verdana"/>
        </w:rPr>
        <w:t xml:space="preserve"> 1997,</w:t>
      </w:r>
      <w:r w:rsidR="001A74CA" w:rsidRPr="001A74CA">
        <w:rPr>
          <w:rFonts w:ascii="Verdana" w:hAnsi="Verdana"/>
        </w:rPr>
        <w:t xml:space="preserve"> or equivalent</w:t>
      </w:r>
      <w:r w:rsidR="00DE1A26">
        <w:rPr>
          <w:rFonts w:ascii="Verdana" w:hAnsi="Verdana"/>
        </w:rPr>
        <w:t>,</w:t>
      </w:r>
      <w:r w:rsidR="001A74CA" w:rsidRPr="001A74CA">
        <w:rPr>
          <w:rFonts w:ascii="Verdana" w:hAnsi="Verdana"/>
        </w:rPr>
        <w:t xml:space="preserve"> extends to new means of employment as they inevitably develop. </w:t>
      </w:r>
    </w:p>
    <w:p w14:paraId="0665E8AF" w14:textId="77777777" w:rsidR="00AD4C56" w:rsidRDefault="00AD4C56" w:rsidP="00AD4C56">
      <w:pPr>
        <w:pStyle w:val="ListParagraph"/>
      </w:pPr>
    </w:p>
    <w:p w14:paraId="60CF2907" w14:textId="1E62D4C2" w:rsidR="00AD4C56" w:rsidRDefault="00AD4C56" w:rsidP="00B56194">
      <w:pPr>
        <w:pStyle w:val="BasicParagraph"/>
        <w:numPr>
          <w:ilvl w:val="1"/>
          <w:numId w:val="9"/>
        </w:numPr>
        <w:suppressAutoHyphens/>
        <w:ind w:left="709"/>
        <w:rPr>
          <w:rFonts w:ascii="Verdana" w:hAnsi="Verdana"/>
          <w:b/>
          <w:bCs/>
        </w:rPr>
      </w:pPr>
      <w:r w:rsidRPr="009A72BD">
        <w:rPr>
          <w:rFonts w:ascii="Verdana" w:hAnsi="Verdana"/>
          <w:b/>
          <w:bCs/>
        </w:rPr>
        <w:t>The NIHRC welcomes the Executive Office’s proposals to enhance employment protections and ensure non-discrimination and equality for all workers</w:t>
      </w:r>
      <w:r w:rsidR="00F1234C">
        <w:rPr>
          <w:rFonts w:ascii="Verdana" w:hAnsi="Verdana"/>
          <w:b/>
          <w:bCs/>
        </w:rPr>
        <w:t xml:space="preserve"> within the Race Relations (NI) Order 1997, or equivalent.</w:t>
      </w:r>
    </w:p>
    <w:p w14:paraId="625A9892" w14:textId="77777777" w:rsidR="009A72BD" w:rsidRDefault="009A72BD" w:rsidP="009A72BD">
      <w:pPr>
        <w:pStyle w:val="ListParagraph"/>
        <w:rPr>
          <w:b/>
          <w:bCs/>
        </w:rPr>
      </w:pPr>
    </w:p>
    <w:p w14:paraId="46E88C49" w14:textId="6A020A73" w:rsidR="009A72BD" w:rsidRPr="009A72BD" w:rsidRDefault="009A72BD" w:rsidP="00B56194">
      <w:pPr>
        <w:pStyle w:val="BasicParagraph"/>
        <w:numPr>
          <w:ilvl w:val="1"/>
          <w:numId w:val="9"/>
        </w:numPr>
        <w:suppressAutoHyphens/>
        <w:ind w:left="709"/>
        <w:rPr>
          <w:rFonts w:ascii="Verdana" w:hAnsi="Verdana"/>
          <w:b/>
          <w:bCs/>
        </w:rPr>
      </w:pPr>
      <w:r>
        <w:rPr>
          <w:rFonts w:ascii="Verdana" w:hAnsi="Verdana"/>
          <w:b/>
          <w:bCs/>
        </w:rPr>
        <w:t xml:space="preserve">The NIHRC recommends that the Executive Office </w:t>
      </w:r>
      <w:r w:rsidR="001F02A1">
        <w:rPr>
          <w:rFonts w:ascii="Verdana" w:hAnsi="Verdana"/>
          <w:b/>
          <w:bCs/>
        </w:rPr>
        <w:t>includes sufficient flexibility within the Race Relations (NI) Order</w:t>
      </w:r>
      <w:r w:rsidR="00A85C44">
        <w:rPr>
          <w:rFonts w:ascii="Verdana" w:hAnsi="Verdana"/>
          <w:b/>
          <w:bCs/>
        </w:rPr>
        <w:t xml:space="preserve"> 1997</w:t>
      </w:r>
      <w:r w:rsidR="00F1234C">
        <w:rPr>
          <w:rFonts w:ascii="Verdana" w:hAnsi="Verdana"/>
          <w:b/>
          <w:bCs/>
        </w:rPr>
        <w:t>,</w:t>
      </w:r>
      <w:r w:rsidR="001F02A1">
        <w:rPr>
          <w:rFonts w:ascii="Verdana" w:hAnsi="Verdana"/>
          <w:b/>
          <w:bCs/>
        </w:rPr>
        <w:t xml:space="preserve"> or equivalent</w:t>
      </w:r>
      <w:r w:rsidR="00F1234C">
        <w:rPr>
          <w:rFonts w:ascii="Verdana" w:hAnsi="Verdana"/>
          <w:b/>
          <w:bCs/>
        </w:rPr>
        <w:t>,</w:t>
      </w:r>
      <w:r w:rsidR="00C567D3">
        <w:rPr>
          <w:rFonts w:ascii="Verdana" w:hAnsi="Verdana"/>
          <w:b/>
          <w:bCs/>
        </w:rPr>
        <w:t xml:space="preserve"> to ensure the full range of protections in place extend to new means of employment as they develop.</w:t>
      </w:r>
    </w:p>
    <w:p w14:paraId="69B1789B" w14:textId="77777777" w:rsidR="00AD4C56" w:rsidRDefault="00AD4C56" w:rsidP="005B6C1B"/>
    <w:p w14:paraId="52C3E284" w14:textId="6687701A" w:rsidR="005B6C1B" w:rsidRDefault="005B6C1B" w:rsidP="005B6C1B">
      <w:pPr>
        <w:pStyle w:val="Heading2"/>
      </w:pPr>
      <w:bookmarkStart w:id="14" w:name="_Toc137459924"/>
      <w:r>
        <w:t>Liability of employees</w:t>
      </w:r>
      <w:bookmarkEnd w:id="14"/>
    </w:p>
    <w:p w14:paraId="417E9364" w14:textId="07F9A169" w:rsidR="005B6C1B" w:rsidRDefault="005B6C1B" w:rsidP="00B56194">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Pr>
          <w:rFonts w:ascii="Verdana" w:hAnsi="Verdana"/>
        </w:rPr>
        <w:t xml:space="preserve"> </w:t>
      </w:r>
      <w:r w:rsidR="00487E12">
        <w:rPr>
          <w:rFonts w:ascii="Verdana" w:hAnsi="Verdana"/>
        </w:rPr>
        <w:t>that Article 32 of the Race Relations (NI) Order</w:t>
      </w:r>
      <w:r w:rsidR="00426A2C">
        <w:rPr>
          <w:rFonts w:ascii="Verdana" w:hAnsi="Verdana"/>
        </w:rPr>
        <w:t xml:space="preserve"> 1997</w:t>
      </w:r>
      <w:r w:rsidR="00487E12">
        <w:rPr>
          <w:rFonts w:ascii="Verdana" w:hAnsi="Verdana"/>
        </w:rPr>
        <w:t xml:space="preserve"> is </w:t>
      </w:r>
      <w:r w:rsidR="007E7F4B">
        <w:rPr>
          <w:rFonts w:ascii="Verdana" w:hAnsi="Verdana"/>
        </w:rPr>
        <w:t>amended so that an employee takes “responsibility if they did something wrong, unless it was their boss who told them to do it”.</w:t>
      </w:r>
      <w:r w:rsidR="007E7F4B">
        <w:rPr>
          <w:rStyle w:val="FootnoteReference"/>
          <w:rFonts w:ascii="Verdana" w:hAnsi="Verdana"/>
        </w:rPr>
        <w:footnoteReference w:id="96"/>
      </w:r>
      <w:r w:rsidR="00FC693B">
        <w:rPr>
          <w:rFonts w:ascii="Verdana" w:hAnsi="Verdana"/>
        </w:rPr>
        <w:t xml:space="preserve"> This is a complex and multi-layered issue which, in the view of the NIHRC, requires caution and further consideration. </w:t>
      </w:r>
    </w:p>
    <w:p w14:paraId="2FE94962" w14:textId="77777777" w:rsidR="005B6C1B" w:rsidRDefault="005B6C1B" w:rsidP="005B6C1B">
      <w:pPr>
        <w:pStyle w:val="ListParagraph"/>
      </w:pPr>
    </w:p>
    <w:p w14:paraId="688D0FF0" w14:textId="00305112" w:rsidR="00A3643D" w:rsidRDefault="00E07B90" w:rsidP="00B56194">
      <w:pPr>
        <w:pStyle w:val="BasicParagraph"/>
        <w:numPr>
          <w:ilvl w:val="1"/>
          <w:numId w:val="9"/>
        </w:numPr>
        <w:suppressAutoHyphens/>
        <w:ind w:left="709"/>
        <w:rPr>
          <w:rFonts w:ascii="Verdana" w:hAnsi="Verdana"/>
        </w:rPr>
      </w:pPr>
      <w:r>
        <w:rPr>
          <w:rFonts w:ascii="Verdana" w:hAnsi="Verdana"/>
        </w:rPr>
        <w:lastRenderedPageBreak/>
        <w:t>The right to just and favourable work</w:t>
      </w:r>
      <w:r w:rsidR="00FC693B">
        <w:rPr>
          <w:rFonts w:ascii="Verdana" w:hAnsi="Verdana"/>
        </w:rPr>
        <w:t>ing</w:t>
      </w:r>
      <w:r>
        <w:rPr>
          <w:rFonts w:ascii="Verdana" w:hAnsi="Verdana"/>
        </w:rPr>
        <w:t xml:space="preserve"> conditions requires that </w:t>
      </w:r>
      <w:r w:rsidR="00A14CA6">
        <w:rPr>
          <w:rFonts w:ascii="Verdana" w:hAnsi="Verdana"/>
        </w:rPr>
        <w:t>sufficient safeguards are in place to ensure that an employee is not exploited</w:t>
      </w:r>
      <w:r w:rsidR="001A74CA" w:rsidRPr="001A74CA">
        <w:rPr>
          <w:rFonts w:ascii="Verdana" w:hAnsi="Verdana"/>
        </w:rPr>
        <w:t>.</w:t>
      </w:r>
      <w:r w:rsidR="001A74CA">
        <w:rPr>
          <w:rStyle w:val="FootnoteReference"/>
          <w:rFonts w:ascii="Verdana" w:hAnsi="Verdana"/>
        </w:rPr>
        <w:footnoteReference w:id="97"/>
      </w:r>
      <w:r w:rsidR="001A74CA" w:rsidRPr="001A74CA">
        <w:rPr>
          <w:rFonts w:ascii="Verdana" w:hAnsi="Verdana"/>
        </w:rPr>
        <w:t xml:space="preserve"> </w:t>
      </w:r>
      <w:r w:rsidR="006B2C05">
        <w:rPr>
          <w:rFonts w:ascii="Verdana" w:hAnsi="Verdana"/>
        </w:rPr>
        <w:t xml:space="preserve">The UN ICESCR Committee </w:t>
      </w:r>
      <w:r w:rsidR="00A3643D">
        <w:rPr>
          <w:rFonts w:ascii="Verdana" w:hAnsi="Verdana"/>
        </w:rPr>
        <w:t>has stated that:</w:t>
      </w:r>
    </w:p>
    <w:p w14:paraId="06A96094" w14:textId="77777777" w:rsidR="00A3643D" w:rsidRDefault="00A3643D" w:rsidP="00A3643D">
      <w:pPr>
        <w:pStyle w:val="ListParagraph"/>
      </w:pPr>
    </w:p>
    <w:p w14:paraId="7E17BEFA" w14:textId="5821B297" w:rsidR="00A3643D" w:rsidRDefault="004772F0" w:rsidP="004772F0">
      <w:pPr>
        <w:pStyle w:val="Quote"/>
      </w:pPr>
      <w:r>
        <w:t>v</w:t>
      </w:r>
      <w:r w:rsidR="00A3643D">
        <w:t xml:space="preserve">iolations of the right to just and favourable conditions of </w:t>
      </w:r>
      <w:r>
        <w:t>work can occur through acts of commission, which means direct actions of States Parties. Adoption of labour migration policies that increase the vulnerability of migrant workers to exploitation, failure to prevent unfair dismissal from work of pregnant workers to exploitation, failure to prevent unfair dismissal from work of pregnant workers in public service, and introduction of deliberately retrogressive measures that are incompatible with core obligations are all examples of such violations.</w:t>
      </w:r>
      <w:r>
        <w:rPr>
          <w:rStyle w:val="FootnoteReference"/>
        </w:rPr>
        <w:footnoteReference w:id="98"/>
      </w:r>
    </w:p>
    <w:p w14:paraId="2C126482" w14:textId="77777777" w:rsidR="004772F0" w:rsidRDefault="004772F0" w:rsidP="00A3643D">
      <w:pPr>
        <w:pStyle w:val="ListParagraph"/>
      </w:pPr>
    </w:p>
    <w:p w14:paraId="64E05816" w14:textId="0840D6D1" w:rsidR="004772F0" w:rsidRDefault="004772F0" w:rsidP="00B56194">
      <w:pPr>
        <w:pStyle w:val="BasicParagraph"/>
        <w:numPr>
          <w:ilvl w:val="1"/>
          <w:numId w:val="9"/>
        </w:numPr>
        <w:suppressAutoHyphens/>
        <w:ind w:left="709"/>
        <w:rPr>
          <w:rFonts w:ascii="Verdana" w:hAnsi="Verdana"/>
        </w:rPr>
      </w:pPr>
      <w:r>
        <w:rPr>
          <w:rFonts w:ascii="Verdana" w:hAnsi="Verdana"/>
        </w:rPr>
        <w:t xml:space="preserve">The UN ICESCR Committee </w:t>
      </w:r>
      <w:r w:rsidR="008B16FB">
        <w:rPr>
          <w:rFonts w:ascii="Verdana" w:hAnsi="Verdana"/>
        </w:rPr>
        <w:t>has clarified that:</w:t>
      </w:r>
    </w:p>
    <w:p w14:paraId="03B00FC3" w14:textId="77777777" w:rsidR="008B16FB" w:rsidRDefault="008B16FB" w:rsidP="008B16FB">
      <w:pPr>
        <w:pStyle w:val="BasicParagraph"/>
        <w:suppressAutoHyphens/>
        <w:ind w:left="709"/>
        <w:rPr>
          <w:rFonts w:ascii="Verdana" w:hAnsi="Verdana"/>
        </w:rPr>
      </w:pPr>
    </w:p>
    <w:p w14:paraId="41A22F81" w14:textId="5088CB13" w:rsidR="008B16FB" w:rsidRDefault="00EE4D87" w:rsidP="00EE4D87">
      <w:pPr>
        <w:pStyle w:val="Quote"/>
      </w:pPr>
      <w:r>
        <w:t>v</w:t>
      </w:r>
      <w:r w:rsidR="008B16FB">
        <w:t>iolations can also occur through acts of omission, which means the failure by a State Party to take reasonable steps to fully realise the right for everyone, for example by failing to enforce relevant laws and implement adequate policies, or to regulate activities of individuals and groups to prevent them from violating the right</w:t>
      </w:r>
      <w:r>
        <w:t>.</w:t>
      </w:r>
      <w:r>
        <w:rPr>
          <w:rStyle w:val="FootnoteReference"/>
        </w:rPr>
        <w:footnoteReference w:id="99"/>
      </w:r>
    </w:p>
    <w:p w14:paraId="1531AB7C" w14:textId="77777777" w:rsidR="008B16FB" w:rsidRDefault="008B16FB" w:rsidP="008B16FB">
      <w:pPr>
        <w:pStyle w:val="BasicParagraph"/>
        <w:suppressAutoHyphens/>
        <w:ind w:left="709"/>
        <w:rPr>
          <w:rFonts w:ascii="Verdana" w:hAnsi="Verdana"/>
        </w:rPr>
      </w:pPr>
    </w:p>
    <w:p w14:paraId="0DD3C958" w14:textId="20983E59" w:rsidR="00FE5621" w:rsidRDefault="009F300C" w:rsidP="00B56194">
      <w:pPr>
        <w:pStyle w:val="BasicParagraph"/>
        <w:numPr>
          <w:ilvl w:val="1"/>
          <w:numId w:val="9"/>
        </w:numPr>
        <w:suppressAutoHyphens/>
        <w:ind w:left="709"/>
        <w:rPr>
          <w:rFonts w:ascii="Verdana" w:hAnsi="Verdana"/>
        </w:rPr>
      </w:pPr>
      <w:r>
        <w:rPr>
          <w:rFonts w:ascii="Verdana" w:hAnsi="Verdana"/>
        </w:rPr>
        <w:t xml:space="preserve">The UN ICESCR Committee </w:t>
      </w:r>
      <w:r w:rsidR="00AF26E2">
        <w:rPr>
          <w:rFonts w:ascii="Verdana" w:hAnsi="Verdana"/>
        </w:rPr>
        <w:t xml:space="preserve">has </w:t>
      </w:r>
      <w:r w:rsidR="00A3643D">
        <w:rPr>
          <w:rFonts w:ascii="Verdana" w:hAnsi="Verdana"/>
        </w:rPr>
        <w:t xml:space="preserve">also </w:t>
      </w:r>
      <w:r w:rsidR="00AF26E2">
        <w:rPr>
          <w:rFonts w:ascii="Verdana" w:hAnsi="Verdana"/>
        </w:rPr>
        <w:t xml:space="preserve">noted that </w:t>
      </w:r>
      <w:r w:rsidR="003E3C77">
        <w:rPr>
          <w:rFonts w:ascii="Verdana" w:hAnsi="Verdana"/>
        </w:rPr>
        <w:t>migrant workers, domestic workers</w:t>
      </w:r>
      <w:r w:rsidR="006B2C05">
        <w:rPr>
          <w:rFonts w:ascii="Verdana" w:hAnsi="Verdana"/>
        </w:rPr>
        <w:t xml:space="preserve"> and</w:t>
      </w:r>
      <w:r w:rsidR="003E3C77">
        <w:rPr>
          <w:rFonts w:ascii="Verdana" w:hAnsi="Verdana"/>
        </w:rPr>
        <w:t xml:space="preserve"> refugee workers </w:t>
      </w:r>
      <w:r w:rsidR="006B2C05">
        <w:rPr>
          <w:rFonts w:ascii="Verdana" w:hAnsi="Verdana"/>
        </w:rPr>
        <w:t>are at increased risk of exploitation.</w:t>
      </w:r>
      <w:r w:rsidR="006B2C05">
        <w:rPr>
          <w:rStyle w:val="FootnoteReference"/>
          <w:rFonts w:ascii="Verdana" w:hAnsi="Verdana"/>
        </w:rPr>
        <w:footnoteReference w:id="100"/>
      </w:r>
      <w:r w:rsidR="00FC693B">
        <w:rPr>
          <w:rFonts w:ascii="Verdana" w:hAnsi="Verdana"/>
        </w:rPr>
        <w:t xml:space="preserve"> </w:t>
      </w:r>
    </w:p>
    <w:p w14:paraId="71E1FE99" w14:textId="77777777" w:rsidR="008F4CD8" w:rsidRDefault="008F4CD8" w:rsidP="008F4CD8">
      <w:pPr>
        <w:pStyle w:val="BasicParagraph"/>
        <w:suppressAutoHyphens/>
        <w:ind w:left="709"/>
        <w:rPr>
          <w:rFonts w:ascii="Verdana" w:hAnsi="Verdana"/>
        </w:rPr>
      </w:pPr>
    </w:p>
    <w:p w14:paraId="01C4F10B" w14:textId="383B9FDC" w:rsidR="00FC693B" w:rsidRDefault="00FC693B" w:rsidP="00B56194">
      <w:pPr>
        <w:pStyle w:val="BasicParagraph"/>
        <w:numPr>
          <w:ilvl w:val="1"/>
          <w:numId w:val="9"/>
        </w:numPr>
        <w:suppressAutoHyphens/>
        <w:ind w:left="709"/>
        <w:rPr>
          <w:rFonts w:ascii="Verdana" w:hAnsi="Verdana"/>
        </w:rPr>
      </w:pPr>
      <w:r>
        <w:rPr>
          <w:rFonts w:ascii="Verdana" w:hAnsi="Verdana"/>
        </w:rPr>
        <w:t>To reverse the burden and place it on the employee</w:t>
      </w:r>
      <w:r w:rsidR="008F4CD8">
        <w:rPr>
          <w:rFonts w:ascii="Verdana" w:hAnsi="Verdana"/>
        </w:rPr>
        <w:t>,</w:t>
      </w:r>
      <w:r>
        <w:rPr>
          <w:rFonts w:ascii="Verdana" w:hAnsi="Verdana"/>
        </w:rPr>
        <w:t xml:space="preserve"> rather than the employer</w:t>
      </w:r>
      <w:r w:rsidR="008F4CD8">
        <w:rPr>
          <w:rFonts w:ascii="Verdana" w:hAnsi="Verdana"/>
        </w:rPr>
        <w:t>,</w:t>
      </w:r>
      <w:r>
        <w:rPr>
          <w:rFonts w:ascii="Verdana" w:hAnsi="Verdana"/>
        </w:rPr>
        <w:t xml:space="preserve"> has the potential to further undermine vulnerable employees.</w:t>
      </w:r>
    </w:p>
    <w:p w14:paraId="10A3CEAD" w14:textId="77777777" w:rsidR="00F23870" w:rsidRDefault="00F23870" w:rsidP="00F23870">
      <w:pPr>
        <w:pStyle w:val="BasicParagraph"/>
        <w:suppressAutoHyphens/>
        <w:ind w:left="709"/>
        <w:rPr>
          <w:rFonts w:ascii="Verdana" w:hAnsi="Verdana"/>
        </w:rPr>
      </w:pPr>
    </w:p>
    <w:p w14:paraId="284C5C15" w14:textId="08A0126B" w:rsidR="00766306" w:rsidRDefault="00766306" w:rsidP="00B56194">
      <w:pPr>
        <w:pStyle w:val="BasicParagraph"/>
        <w:numPr>
          <w:ilvl w:val="1"/>
          <w:numId w:val="9"/>
        </w:numPr>
        <w:suppressAutoHyphens/>
        <w:ind w:left="709"/>
        <w:rPr>
          <w:rFonts w:ascii="Verdana" w:hAnsi="Verdana"/>
        </w:rPr>
      </w:pPr>
      <w:r>
        <w:rPr>
          <w:rFonts w:ascii="Verdana" w:hAnsi="Verdana"/>
        </w:rPr>
        <w:t xml:space="preserve">The guidance offered by the UN ICESCR Committee makes it clear that </w:t>
      </w:r>
      <w:r w:rsidR="003079B2">
        <w:rPr>
          <w:rFonts w:ascii="Verdana" w:hAnsi="Verdana"/>
        </w:rPr>
        <w:t>steps are required to ensure any amendment to the Race Relations (NI) Order</w:t>
      </w:r>
      <w:r w:rsidR="00170D44">
        <w:rPr>
          <w:rFonts w:ascii="Verdana" w:hAnsi="Verdana"/>
        </w:rPr>
        <w:t xml:space="preserve"> 1997,</w:t>
      </w:r>
      <w:r w:rsidR="003079B2">
        <w:rPr>
          <w:rFonts w:ascii="Verdana" w:hAnsi="Verdana"/>
        </w:rPr>
        <w:t xml:space="preserve"> or equivalent</w:t>
      </w:r>
      <w:r w:rsidR="00170D44">
        <w:rPr>
          <w:rFonts w:ascii="Verdana" w:hAnsi="Verdana"/>
        </w:rPr>
        <w:t>,</w:t>
      </w:r>
      <w:r w:rsidR="003079B2">
        <w:rPr>
          <w:rFonts w:ascii="Verdana" w:hAnsi="Verdana"/>
        </w:rPr>
        <w:t xml:space="preserve"> does not </w:t>
      </w:r>
      <w:r w:rsidR="00F23870">
        <w:rPr>
          <w:rFonts w:ascii="Verdana" w:hAnsi="Verdana"/>
        </w:rPr>
        <w:t xml:space="preserve">introduce a risk of </w:t>
      </w:r>
      <w:r w:rsidR="003079B2">
        <w:rPr>
          <w:rFonts w:ascii="Verdana" w:hAnsi="Verdana"/>
        </w:rPr>
        <w:t xml:space="preserve">an employee being exploited by </w:t>
      </w:r>
      <w:r w:rsidR="00F23870">
        <w:rPr>
          <w:rFonts w:ascii="Verdana" w:hAnsi="Verdana"/>
        </w:rPr>
        <w:t>an employer.</w:t>
      </w:r>
    </w:p>
    <w:p w14:paraId="2784D71C" w14:textId="77777777" w:rsidR="00661172" w:rsidRDefault="00661172" w:rsidP="00661172">
      <w:pPr>
        <w:pStyle w:val="ListParagraph"/>
      </w:pPr>
    </w:p>
    <w:p w14:paraId="11488E39" w14:textId="41257F9F" w:rsidR="00661172" w:rsidRPr="00D838D8" w:rsidRDefault="00661172" w:rsidP="00B56194">
      <w:pPr>
        <w:pStyle w:val="BasicParagraph"/>
        <w:numPr>
          <w:ilvl w:val="1"/>
          <w:numId w:val="9"/>
        </w:numPr>
        <w:suppressAutoHyphens/>
        <w:ind w:left="709"/>
        <w:rPr>
          <w:rFonts w:ascii="Verdana" w:hAnsi="Verdana"/>
          <w:b/>
          <w:bCs/>
        </w:rPr>
      </w:pPr>
      <w:r w:rsidRPr="00D838D8">
        <w:rPr>
          <w:rFonts w:ascii="Verdana" w:hAnsi="Verdana"/>
          <w:b/>
          <w:bCs/>
        </w:rPr>
        <w:t xml:space="preserve">The NIHRC recommends that </w:t>
      </w:r>
      <w:r w:rsidR="00A610FE" w:rsidRPr="00D838D8">
        <w:rPr>
          <w:rFonts w:ascii="Verdana" w:hAnsi="Verdana"/>
          <w:b/>
          <w:bCs/>
        </w:rPr>
        <w:t>the Executive Office ensures that</w:t>
      </w:r>
      <w:r w:rsidR="00FC693B">
        <w:rPr>
          <w:rFonts w:ascii="Verdana" w:hAnsi="Verdana"/>
          <w:b/>
          <w:bCs/>
        </w:rPr>
        <w:t>,</w:t>
      </w:r>
      <w:r w:rsidR="00A610FE" w:rsidRPr="00D838D8">
        <w:rPr>
          <w:rFonts w:ascii="Verdana" w:hAnsi="Verdana"/>
          <w:b/>
          <w:bCs/>
        </w:rPr>
        <w:t xml:space="preserve"> </w:t>
      </w:r>
      <w:r w:rsidR="00FC693B">
        <w:rPr>
          <w:rFonts w:ascii="Verdana" w:hAnsi="Verdana"/>
          <w:b/>
          <w:bCs/>
        </w:rPr>
        <w:t xml:space="preserve">before </w:t>
      </w:r>
      <w:r w:rsidRPr="00D838D8">
        <w:rPr>
          <w:rFonts w:ascii="Verdana" w:hAnsi="Verdana"/>
          <w:b/>
          <w:bCs/>
        </w:rPr>
        <w:t xml:space="preserve">any amendment </w:t>
      </w:r>
      <w:r w:rsidR="00FC693B">
        <w:rPr>
          <w:rFonts w:ascii="Verdana" w:hAnsi="Verdana"/>
          <w:b/>
          <w:bCs/>
        </w:rPr>
        <w:t>is introduced</w:t>
      </w:r>
      <w:r w:rsidR="00A610FE" w:rsidRPr="00D838D8">
        <w:rPr>
          <w:rFonts w:ascii="Verdana" w:hAnsi="Verdana"/>
          <w:b/>
          <w:bCs/>
        </w:rPr>
        <w:t>, such as the proposals regarding</w:t>
      </w:r>
      <w:r w:rsidRPr="00D838D8">
        <w:rPr>
          <w:rFonts w:ascii="Verdana" w:hAnsi="Verdana"/>
          <w:b/>
          <w:bCs/>
        </w:rPr>
        <w:t xml:space="preserve"> Article 32 of the Race Relations (NI) Order</w:t>
      </w:r>
      <w:r w:rsidR="00A610FE" w:rsidRPr="00D838D8">
        <w:rPr>
          <w:rFonts w:ascii="Verdana" w:hAnsi="Verdana"/>
          <w:b/>
          <w:bCs/>
        </w:rPr>
        <w:t xml:space="preserve"> 1997, </w:t>
      </w:r>
      <w:r w:rsidR="00FC693B">
        <w:rPr>
          <w:rFonts w:ascii="Verdana" w:hAnsi="Verdana"/>
          <w:b/>
          <w:bCs/>
        </w:rPr>
        <w:t xml:space="preserve">further consideration is given to the policy and legal intent of the amendment with a particular focus on </w:t>
      </w:r>
      <w:r w:rsidR="00783A3C" w:rsidRPr="00D838D8">
        <w:rPr>
          <w:rFonts w:ascii="Verdana" w:hAnsi="Verdana"/>
          <w:b/>
          <w:bCs/>
        </w:rPr>
        <w:t xml:space="preserve">safeguards </w:t>
      </w:r>
      <w:r w:rsidR="00FC693B">
        <w:rPr>
          <w:rFonts w:ascii="Verdana" w:hAnsi="Verdana"/>
          <w:b/>
          <w:bCs/>
        </w:rPr>
        <w:t>against exploitation for</w:t>
      </w:r>
      <w:r w:rsidR="00783A3C" w:rsidRPr="00D838D8">
        <w:rPr>
          <w:rFonts w:ascii="Verdana" w:hAnsi="Verdana"/>
          <w:b/>
          <w:bCs/>
        </w:rPr>
        <w:t xml:space="preserve"> employee</w:t>
      </w:r>
      <w:r w:rsidR="00FC693B">
        <w:rPr>
          <w:rFonts w:ascii="Verdana" w:hAnsi="Verdana"/>
          <w:b/>
          <w:bCs/>
        </w:rPr>
        <w:t>s.</w:t>
      </w:r>
    </w:p>
    <w:p w14:paraId="10DFDC76" w14:textId="77777777" w:rsidR="00FE5621" w:rsidRDefault="00FE5621" w:rsidP="00175FAE"/>
    <w:p w14:paraId="29DC1DA5" w14:textId="468A28CB" w:rsidR="00175FAE" w:rsidRDefault="00175FAE" w:rsidP="00175FAE">
      <w:pPr>
        <w:pStyle w:val="Heading2"/>
      </w:pPr>
      <w:bookmarkStart w:id="15" w:name="_Toc137459925"/>
      <w:r>
        <w:t>Acts done under statutory authority</w:t>
      </w:r>
      <w:bookmarkEnd w:id="15"/>
    </w:p>
    <w:p w14:paraId="62EA0286" w14:textId="6163BD8A" w:rsidR="00426A2C" w:rsidRDefault="00426A2C" w:rsidP="00B56194">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Pr>
          <w:rFonts w:ascii="Verdana" w:hAnsi="Verdana"/>
        </w:rPr>
        <w:t xml:space="preserve"> that Article 40 of the Race Relations (NI) Order 1997</w:t>
      </w:r>
      <w:r w:rsidR="005B6239">
        <w:rPr>
          <w:rFonts w:ascii="Verdana" w:hAnsi="Verdana"/>
        </w:rPr>
        <w:t xml:space="preserve"> is amended to modify or remove restrictions on persons being employed in the service of the Crown or certain public bodies.</w:t>
      </w:r>
      <w:r w:rsidR="005B6239">
        <w:rPr>
          <w:rStyle w:val="FootnoteReference"/>
          <w:rFonts w:ascii="Verdana" w:hAnsi="Verdana"/>
        </w:rPr>
        <w:footnoteReference w:id="101"/>
      </w:r>
    </w:p>
    <w:p w14:paraId="114B79CD" w14:textId="77777777" w:rsidR="005B6239" w:rsidRDefault="005B6239" w:rsidP="005B6239">
      <w:pPr>
        <w:pStyle w:val="BasicParagraph"/>
        <w:suppressAutoHyphens/>
        <w:ind w:left="709"/>
        <w:rPr>
          <w:rFonts w:ascii="Verdana" w:hAnsi="Verdana"/>
        </w:rPr>
      </w:pPr>
    </w:p>
    <w:p w14:paraId="11CD0832" w14:textId="0D364700" w:rsidR="00C03047" w:rsidRPr="007B7EB5" w:rsidRDefault="00381751" w:rsidP="007B7EB5">
      <w:pPr>
        <w:pStyle w:val="BasicParagraph"/>
        <w:numPr>
          <w:ilvl w:val="1"/>
          <w:numId w:val="9"/>
        </w:numPr>
        <w:suppressAutoHyphens/>
        <w:ind w:left="709"/>
        <w:rPr>
          <w:rFonts w:ascii="Verdana" w:hAnsi="Verdana"/>
        </w:rPr>
      </w:pPr>
      <w:r>
        <w:rPr>
          <w:rFonts w:ascii="Verdana" w:hAnsi="Verdana"/>
        </w:rPr>
        <w:t>T</w:t>
      </w:r>
      <w:r w:rsidR="001A74CA" w:rsidRPr="001A74CA">
        <w:rPr>
          <w:rFonts w:ascii="Verdana" w:hAnsi="Verdana"/>
        </w:rPr>
        <w:t>he principle of freedom from discrimination</w:t>
      </w:r>
      <w:r>
        <w:rPr>
          <w:rFonts w:ascii="Verdana" w:hAnsi="Verdana"/>
        </w:rPr>
        <w:t>,</w:t>
      </w:r>
      <w:r w:rsidR="001A74CA" w:rsidRPr="001A74CA">
        <w:rPr>
          <w:rFonts w:ascii="Verdana" w:hAnsi="Verdana"/>
        </w:rPr>
        <w:t xml:space="preserve"> which includes national origin, birth and other status,</w:t>
      </w:r>
      <w:r w:rsidR="001A74CA" w:rsidRPr="00A62325">
        <w:rPr>
          <w:rStyle w:val="FootnoteReference"/>
          <w:rFonts w:ascii="Verdana" w:hAnsi="Verdana"/>
        </w:rPr>
        <w:footnoteReference w:id="102"/>
      </w:r>
      <w:r w:rsidR="001A74CA" w:rsidRPr="001A74CA">
        <w:rPr>
          <w:rFonts w:ascii="Verdana" w:hAnsi="Verdana"/>
        </w:rPr>
        <w:t xml:space="preserve"> </w:t>
      </w:r>
      <w:r>
        <w:rPr>
          <w:rFonts w:ascii="Verdana" w:hAnsi="Verdana"/>
        </w:rPr>
        <w:t>requires that there are no</w:t>
      </w:r>
      <w:r w:rsidR="001A74CA" w:rsidRPr="001A74CA">
        <w:rPr>
          <w:rFonts w:ascii="Verdana" w:hAnsi="Verdana"/>
        </w:rPr>
        <w:t xml:space="preserve"> arbitrary restrictions on employment based on nationality or immigration status.</w:t>
      </w:r>
      <w:r>
        <w:rPr>
          <w:rStyle w:val="FootnoteReference"/>
          <w:rFonts w:ascii="Verdana" w:hAnsi="Verdana"/>
        </w:rPr>
        <w:footnoteReference w:id="103"/>
      </w:r>
      <w:r w:rsidR="00C03739">
        <w:rPr>
          <w:rFonts w:ascii="Verdana" w:hAnsi="Verdana"/>
        </w:rPr>
        <w:t xml:space="preserve"> </w:t>
      </w:r>
      <w:r w:rsidR="001A74CA" w:rsidRPr="007B7EB5">
        <w:rPr>
          <w:rFonts w:ascii="Verdana" w:hAnsi="Verdana"/>
        </w:rPr>
        <w:t>This relates to a wider call by the NIHRC that people seeking asylum or subject to other forms of immigration checks are not arbitrarily prohibited from obtaining employment.</w:t>
      </w:r>
      <w:r w:rsidR="001A74CA">
        <w:rPr>
          <w:rStyle w:val="FootnoteReference"/>
          <w:rFonts w:ascii="Verdana" w:hAnsi="Verdana"/>
        </w:rPr>
        <w:footnoteReference w:id="104"/>
      </w:r>
    </w:p>
    <w:p w14:paraId="77E2E140" w14:textId="77777777" w:rsidR="002C301F" w:rsidRDefault="002C301F" w:rsidP="002C301F">
      <w:pPr>
        <w:pStyle w:val="ListParagraph"/>
      </w:pPr>
    </w:p>
    <w:p w14:paraId="5EF1A8BA" w14:textId="4723306F" w:rsidR="002C301F" w:rsidRPr="007B7EB5" w:rsidRDefault="002C301F" w:rsidP="00B56194">
      <w:pPr>
        <w:pStyle w:val="BasicParagraph"/>
        <w:numPr>
          <w:ilvl w:val="1"/>
          <w:numId w:val="9"/>
        </w:numPr>
        <w:suppressAutoHyphens/>
        <w:ind w:left="709"/>
        <w:rPr>
          <w:rFonts w:ascii="Verdana" w:hAnsi="Verdana"/>
          <w:b/>
          <w:bCs/>
        </w:rPr>
      </w:pPr>
      <w:r w:rsidRPr="007B7EB5">
        <w:rPr>
          <w:rFonts w:ascii="Verdana" w:hAnsi="Verdana"/>
          <w:b/>
          <w:bCs/>
        </w:rPr>
        <w:t xml:space="preserve">The NIHRC recommends that the Executive Office </w:t>
      </w:r>
      <w:r w:rsidR="0002613F" w:rsidRPr="007B7EB5">
        <w:rPr>
          <w:rFonts w:ascii="Verdana" w:hAnsi="Verdana"/>
          <w:b/>
          <w:bCs/>
        </w:rPr>
        <w:t>amends Article 40 of the Race Relations (NI) Order</w:t>
      </w:r>
      <w:r w:rsidR="00FA781C">
        <w:rPr>
          <w:rFonts w:ascii="Verdana" w:hAnsi="Verdana"/>
          <w:b/>
          <w:bCs/>
        </w:rPr>
        <w:t xml:space="preserve"> 1997</w:t>
      </w:r>
      <w:r w:rsidR="00770B44">
        <w:rPr>
          <w:rFonts w:ascii="Verdana" w:hAnsi="Verdana"/>
          <w:b/>
          <w:bCs/>
        </w:rPr>
        <w:t>, or equivalent,</w:t>
      </w:r>
      <w:r w:rsidR="0002613F" w:rsidRPr="007B7EB5">
        <w:rPr>
          <w:rFonts w:ascii="Verdana" w:hAnsi="Verdana"/>
          <w:b/>
          <w:bCs/>
        </w:rPr>
        <w:t xml:space="preserve"> to remove restrictions </w:t>
      </w:r>
      <w:r w:rsidR="007B7EB5" w:rsidRPr="007B7EB5">
        <w:rPr>
          <w:rFonts w:ascii="Verdana" w:hAnsi="Verdana"/>
          <w:b/>
          <w:bCs/>
        </w:rPr>
        <w:t xml:space="preserve">based on nationality or immigration status </w:t>
      </w:r>
      <w:r w:rsidR="0002613F" w:rsidRPr="007B7EB5">
        <w:rPr>
          <w:rFonts w:ascii="Verdana" w:hAnsi="Verdana"/>
          <w:b/>
          <w:bCs/>
        </w:rPr>
        <w:t>on persons being employed in the service of the Crown or certain public bodies</w:t>
      </w:r>
      <w:r w:rsidR="007B7EB5">
        <w:rPr>
          <w:rFonts w:ascii="Verdana" w:hAnsi="Verdana"/>
          <w:b/>
          <w:bCs/>
        </w:rPr>
        <w:t>.</w:t>
      </w:r>
    </w:p>
    <w:p w14:paraId="4267F175" w14:textId="77777777" w:rsidR="00C03047" w:rsidRDefault="00C03047" w:rsidP="00C03047">
      <w:pPr>
        <w:pStyle w:val="BasicParagraph"/>
        <w:suppressAutoHyphens/>
        <w:ind w:left="-11"/>
        <w:rPr>
          <w:rFonts w:ascii="Verdana" w:hAnsi="Verdana"/>
        </w:rPr>
      </w:pPr>
    </w:p>
    <w:p w14:paraId="0525E6FB" w14:textId="00527D90" w:rsidR="00C03047" w:rsidRDefault="00C03047" w:rsidP="007C3370">
      <w:pPr>
        <w:pStyle w:val="Heading1"/>
        <w:numPr>
          <w:ilvl w:val="0"/>
          <w:numId w:val="9"/>
        </w:numPr>
      </w:pPr>
      <w:bookmarkStart w:id="16" w:name="_Toc137459926"/>
      <w:r>
        <w:t>Provisions of Goods, Facilities, Services and Premises</w:t>
      </w:r>
      <w:bookmarkEnd w:id="16"/>
    </w:p>
    <w:p w14:paraId="0A8DC9FA" w14:textId="66689903" w:rsidR="00A66ECD" w:rsidRDefault="00A66ECD" w:rsidP="00A66ECD">
      <w:pPr>
        <w:pStyle w:val="Heading2"/>
      </w:pPr>
      <w:bookmarkStart w:id="17" w:name="_Toc137459927"/>
      <w:r>
        <w:t>Healthcare, social security, social protection and social advantage</w:t>
      </w:r>
      <w:bookmarkEnd w:id="17"/>
    </w:p>
    <w:p w14:paraId="2C09B3E5" w14:textId="0EBFE7AC" w:rsidR="006D63F9" w:rsidRDefault="00117706" w:rsidP="007C3370">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Pr>
          <w:rFonts w:ascii="Verdana" w:hAnsi="Verdana"/>
        </w:rPr>
        <w:t xml:space="preserve"> </w:t>
      </w:r>
      <w:r w:rsidR="00137CC5">
        <w:rPr>
          <w:rFonts w:ascii="Verdana" w:hAnsi="Verdana"/>
        </w:rPr>
        <w:t xml:space="preserve">for </w:t>
      </w:r>
      <w:r w:rsidR="00A741E5">
        <w:rPr>
          <w:rFonts w:ascii="Verdana" w:hAnsi="Verdana"/>
        </w:rPr>
        <w:t xml:space="preserve">several amendments to </w:t>
      </w:r>
      <w:r w:rsidR="008D168D">
        <w:rPr>
          <w:rFonts w:ascii="Verdana" w:hAnsi="Verdana"/>
        </w:rPr>
        <w:lastRenderedPageBreak/>
        <w:t xml:space="preserve">improve access to provisions of goods, facilities, services and premises. For example, </w:t>
      </w:r>
      <w:r w:rsidR="00371B6E">
        <w:rPr>
          <w:rFonts w:ascii="Verdana" w:hAnsi="Verdana"/>
        </w:rPr>
        <w:t xml:space="preserve">it is proposed that Article 20(A)(1) of the Race Relations (NI) Order 1997 is amended to </w:t>
      </w:r>
      <w:r w:rsidR="00986A0C">
        <w:rPr>
          <w:rFonts w:ascii="Verdana" w:hAnsi="Verdana"/>
        </w:rPr>
        <w:t>remove a restriction that limits protection against racial discrimination and harassment by public bodies regarding social security, healthcare, social protection and social advantage.</w:t>
      </w:r>
      <w:r w:rsidR="00E02D0F">
        <w:rPr>
          <w:rStyle w:val="FootnoteReference"/>
          <w:rFonts w:ascii="Verdana" w:hAnsi="Verdana"/>
        </w:rPr>
        <w:footnoteReference w:id="105"/>
      </w:r>
    </w:p>
    <w:p w14:paraId="45572E94" w14:textId="77777777" w:rsidR="006D63F9" w:rsidRDefault="006D63F9" w:rsidP="006D63F9">
      <w:pPr>
        <w:pStyle w:val="BasicParagraph"/>
        <w:suppressAutoHyphens/>
        <w:ind w:left="709"/>
        <w:rPr>
          <w:rFonts w:ascii="Verdana" w:hAnsi="Verdana"/>
        </w:rPr>
      </w:pPr>
    </w:p>
    <w:p w14:paraId="6711FEAB" w14:textId="76AAE414" w:rsidR="00C21242" w:rsidRDefault="00CF379E" w:rsidP="006D63F9">
      <w:pPr>
        <w:pStyle w:val="BasicParagraph"/>
        <w:numPr>
          <w:ilvl w:val="1"/>
          <w:numId w:val="9"/>
        </w:numPr>
        <w:suppressAutoHyphens/>
        <w:ind w:left="709"/>
        <w:rPr>
          <w:rFonts w:ascii="Verdana" w:hAnsi="Verdana"/>
        </w:rPr>
      </w:pPr>
      <w:r>
        <w:rPr>
          <w:rFonts w:ascii="Verdana" w:hAnsi="Verdana"/>
        </w:rPr>
        <w:t>Several human rights treaties</w:t>
      </w:r>
      <w:r w:rsidR="00353279">
        <w:rPr>
          <w:rFonts w:ascii="Verdana" w:hAnsi="Verdana"/>
        </w:rPr>
        <w:t xml:space="preserve"> are clear that </w:t>
      </w:r>
      <w:r w:rsidR="00A258EA">
        <w:rPr>
          <w:rFonts w:ascii="Verdana" w:hAnsi="Verdana"/>
        </w:rPr>
        <w:t xml:space="preserve">services, including healthcare, social security and social protection, should be available and accessible </w:t>
      </w:r>
      <w:r>
        <w:rPr>
          <w:rFonts w:ascii="Verdana" w:hAnsi="Verdana"/>
        </w:rPr>
        <w:t>to</w:t>
      </w:r>
      <w:r w:rsidR="00A258EA">
        <w:rPr>
          <w:rFonts w:ascii="Verdana" w:hAnsi="Verdana"/>
        </w:rPr>
        <w:t xml:space="preserve"> everyone</w:t>
      </w:r>
      <w:r w:rsidR="00C21242">
        <w:rPr>
          <w:rFonts w:ascii="Verdana" w:hAnsi="Verdana"/>
        </w:rPr>
        <w:t xml:space="preserve"> without discrimination.</w:t>
      </w:r>
      <w:r w:rsidR="00CA08C2">
        <w:rPr>
          <w:rStyle w:val="FootnoteReference"/>
          <w:rFonts w:ascii="Verdana" w:hAnsi="Verdana"/>
        </w:rPr>
        <w:footnoteReference w:id="106"/>
      </w:r>
      <w:r w:rsidR="00C21242">
        <w:rPr>
          <w:rFonts w:ascii="Verdana" w:hAnsi="Verdana"/>
        </w:rPr>
        <w:t xml:space="preserve"> </w:t>
      </w:r>
    </w:p>
    <w:p w14:paraId="3863CB0D" w14:textId="77777777" w:rsidR="00C21242" w:rsidRDefault="00C21242" w:rsidP="00C21242">
      <w:pPr>
        <w:pStyle w:val="ListParagraph"/>
      </w:pPr>
    </w:p>
    <w:p w14:paraId="44EA0594" w14:textId="285BB408" w:rsidR="006D63F9" w:rsidRPr="001A1F92" w:rsidRDefault="00C21242" w:rsidP="006D63F9">
      <w:pPr>
        <w:pStyle w:val="BasicParagraph"/>
        <w:numPr>
          <w:ilvl w:val="1"/>
          <w:numId w:val="9"/>
        </w:numPr>
        <w:suppressAutoHyphens/>
        <w:ind w:left="709"/>
        <w:rPr>
          <w:rFonts w:ascii="Verdana" w:hAnsi="Verdana"/>
        </w:rPr>
      </w:pPr>
      <w:r>
        <w:rPr>
          <w:rFonts w:ascii="Verdana" w:hAnsi="Verdana"/>
        </w:rPr>
        <w:t>Specific to the UK, t</w:t>
      </w:r>
      <w:r w:rsidR="006D63F9" w:rsidRPr="001A1F92">
        <w:rPr>
          <w:rFonts w:ascii="Verdana" w:hAnsi="Verdana"/>
        </w:rPr>
        <w:t>he UN ICESCR Committee recommended that steps</w:t>
      </w:r>
      <w:r>
        <w:rPr>
          <w:rFonts w:ascii="Verdana" w:hAnsi="Verdana"/>
        </w:rPr>
        <w:t xml:space="preserve"> are taken</w:t>
      </w:r>
      <w:r w:rsidR="006D63F9" w:rsidRPr="001A1F92">
        <w:rPr>
          <w:rFonts w:ascii="Verdana" w:hAnsi="Verdana"/>
        </w:rPr>
        <w:t xml:space="preserve"> </w:t>
      </w:r>
      <w:r>
        <w:rPr>
          <w:rFonts w:ascii="Verdana" w:hAnsi="Verdana"/>
        </w:rPr>
        <w:t>“</w:t>
      </w:r>
      <w:r w:rsidR="006D63F9" w:rsidRPr="001A1F92">
        <w:rPr>
          <w:rFonts w:ascii="Verdana" w:hAnsi="Verdana"/>
        </w:rPr>
        <w:t>to ensure that temporary migrants and undocumented migrants, asylum seekers, refused asylum seekers... have access to all necessary health-care services”.</w:t>
      </w:r>
      <w:r w:rsidR="006D63F9" w:rsidRPr="001A1F92">
        <w:rPr>
          <w:rStyle w:val="FootnoteReference"/>
          <w:rFonts w:ascii="Verdana" w:hAnsi="Verdana"/>
        </w:rPr>
        <w:footnoteReference w:id="107"/>
      </w:r>
      <w:r w:rsidR="006D63F9" w:rsidRPr="001A1F92">
        <w:rPr>
          <w:rFonts w:ascii="Verdana" w:hAnsi="Verdana"/>
        </w:rPr>
        <w:t xml:space="preserve"> The UN CRC Committee also recommended that the UK Government and NI Executive ensure that migrant, refugee and asylum-seeking children are provided with “sufficient support... to access basic services”.</w:t>
      </w:r>
      <w:r w:rsidR="006D63F9" w:rsidRPr="001A1F92">
        <w:rPr>
          <w:rStyle w:val="FootnoteReference"/>
          <w:rFonts w:ascii="Verdana" w:hAnsi="Verdana"/>
        </w:rPr>
        <w:footnoteReference w:id="108"/>
      </w:r>
    </w:p>
    <w:p w14:paraId="60E4C6FF" w14:textId="77777777" w:rsidR="006D63F9" w:rsidRPr="001A1F92" w:rsidRDefault="006D63F9" w:rsidP="006D63F9">
      <w:pPr>
        <w:pStyle w:val="ListParagraph"/>
      </w:pPr>
    </w:p>
    <w:p w14:paraId="3DF46006" w14:textId="5AB269EF" w:rsidR="006D63F9" w:rsidRPr="001A1F92" w:rsidRDefault="006D63F9" w:rsidP="006D63F9">
      <w:pPr>
        <w:pStyle w:val="BasicParagraph"/>
        <w:numPr>
          <w:ilvl w:val="1"/>
          <w:numId w:val="9"/>
        </w:numPr>
        <w:suppressAutoHyphens/>
        <w:ind w:left="709"/>
        <w:rPr>
          <w:rFonts w:ascii="Verdana" w:hAnsi="Verdana"/>
        </w:rPr>
      </w:pPr>
      <w:r w:rsidRPr="001A1F92">
        <w:rPr>
          <w:rFonts w:ascii="Verdana" w:hAnsi="Verdana"/>
        </w:rPr>
        <w:t>The UN CERD Committee reaffirmed that the UK Government and NI Executive “should take effective measures to ensure the accessibility and availability of quality health-care services to persons belonging to ethnic minorities, through its jurisdiction”.</w:t>
      </w:r>
      <w:r w:rsidRPr="001A1F92">
        <w:rPr>
          <w:rStyle w:val="FootnoteReference"/>
          <w:rFonts w:ascii="Verdana" w:hAnsi="Verdana"/>
        </w:rPr>
        <w:footnoteReference w:id="109"/>
      </w:r>
    </w:p>
    <w:p w14:paraId="6314A3EA" w14:textId="77777777" w:rsidR="006D63F9" w:rsidRPr="001A1F92" w:rsidRDefault="006D63F9" w:rsidP="006D63F9">
      <w:pPr>
        <w:rPr>
          <w:color w:val="000000"/>
        </w:rPr>
      </w:pPr>
    </w:p>
    <w:p w14:paraId="08B00864" w14:textId="57184DAA" w:rsidR="006D63F9" w:rsidRDefault="00CA08C2" w:rsidP="006D63F9">
      <w:pPr>
        <w:pStyle w:val="BasicParagraph"/>
        <w:numPr>
          <w:ilvl w:val="1"/>
          <w:numId w:val="9"/>
        </w:numPr>
        <w:suppressAutoHyphens/>
        <w:ind w:left="709"/>
        <w:rPr>
          <w:rFonts w:ascii="Verdana" w:hAnsi="Verdana"/>
        </w:rPr>
      </w:pPr>
      <w:r>
        <w:rPr>
          <w:rFonts w:ascii="Verdana" w:hAnsi="Verdana"/>
        </w:rPr>
        <w:t>Additionally</w:t>
      </w:r>
      <w:r w:rsidR="006D63F9" w:rsidRPr="001A1F92">
        <w:rPr>
          <w:rFonts w:ascii="Verdana" w:hAnsi="Verdana"/>
        </w:rPr>
        <w:t>, the UN CEDAW Committee highlighted the “obstacles faced by women from marginalised groups… to access healthcare services, including as a result of their inability to provide identity documentation, proof of address or immigration status”.</w:t>
      </w:r>
      <w:r w:rsidR="006D63F9" w:rsidRPr="001A1F92">
        <w:rPr>
          <w:rStyle w:val="FootnoteReference"/>
          <w:rFonts w:ascii="Verdana" w:hAnsi="Verdana"/>
        </w:rPr>
        <w:footnoteReference w:id="110"/>
      </w:r>
      <w:r w:rsidR="006D63F9" w:rsidRPr="001A1F92">
        <w:rPr>
          <w:rFonts w:ascii="Verdana" w:hAnsi="Verdana"/>
        </w:rPr>
        <w:t xml:space="preserve"> It recommended that the UK </w:t>
      </w:r>
      <w:r w:rsidR="006D63F9" w:rsidRPr="001A1F92">
        <w:rPr>
          <w:rFonts w:ascii="Verdana" w:hAnsi="Verdana"/>
        </w:rPr>
        <w:lastRenderedPageBreak/>
        <w:t>Government and NI Executive "strengthen the implementation of programmes and policies aimed at providing effective access to healthcare by women from marginalised groups, particularly asylum-seeking and refugee women, migrant women, Gypsy and Traveller women, and victims of trafficking".</w:t>
      </w:r>
      <w:r w:rsidR="006D63F9" w:rsidRPr="001A1F92">
        <w:rPr>
          <w:rStyle w:val="FootnoteReference"/>
          <w:rFonts w:ascii="Verdana" w:hAnsi="Verdana"/>
        </w:rPr>
        <w:footnoteReference w:id="111"/>
      </w:r>
    </w:p>
    <w:p w14:paraId="52A0F60A" w14:textId="77777777" w:rsidR="00155FF8" w:rsidRDefault="00155FF8" w:rsidP="00155FF8">
      <w:pPr>
        <w:pStyle w:val="ListParagraph"/>
      </w:pPr>
    </w:p>
    <w:p w14:paraId="5C054E7D" w14:textId="2FB8A09C" w:rsidR="00155FF8" w:rsidRPr="001A1F92" w:rsidRDefault="0011067E" w:rsidP="006D63F9">
      <w:pPr>
        <w:pStyle w:val="BasicParagraph"/>
        <w:numPr>
          <w:ilvl w:val="1"/>
          <w:numId w:val="9"/>
        </w:numPr>
        <w:suppressAutoHyphens/>
        <w:ind w:left="709"/>
        <w:rPr>
          <w:rFonts w:ascii="Verdana" w:hAnsi="Verdana"/>
        </w:rPr>
      </w:pPr>
      <w:r>
        <w:rPr>
          <w:rFonts w:ascii="Verdana" w:hAnsi="Verdana"/>
        </w:rPr>
        <w:t>The EU Race Equality Directive affirms that, in order to ensure the development of a democratic and tolerant society</w:t>
      </w:r>
      <w:r w:rsidR="00583C1E">
        <w:rPr>
          <w:rFonts w:ascii="Verdana" w:hAnsi="Verdana"/>
        </w:rPr>
        <w:t>, which allow</w:t>
      </w:r>
      <w:r w:rsidR="009C3B22">
        <w:rPr>
          <w:rFonts w:ascii="Verdana" w:hAnsi="Verdana"/>
        </w:rPr>
        <w:t>s</w:t>
      </w:r>
      <w:r w:rsidR="00583C1E">
        <w:rPr>
          <w:rFonts w:ascii="Verdana" w:hAnsi="Verdana"/>
        </w:rPr>
        <w:t xml:space="preserve"> the participation of all people irrespective of </w:t>
      </w:r>
      <w:r w:rsidR="009C3B22">
        <w:rPr>
          <w:rFonts w:ascii="Verdana" w:hAnsi="Verdana"/>
        </w:rPr>
        <w:t>racial</w:t>
      </w:r>
      <w:r w:rsidR="00583C1E">
        <w:rPr>
          <w:rFonts w:ascii="Verdana" w:hAnsi="Verdana"/>
        </w:rPr>
        <w:t xml:space="preserve"> or ethnic origin, </w:t>
      </w:r>
      <w:r w:rsidR="00E452D7">
        <w:rPr>
          <w:rFonts w:ascii="Verdana" w:hAnsi="Verdana"/>
        </w:rPr>
        <w:t xml:space="preserve">specific </w:t>
      </w:r>
      <w:r w:rsidR="009C3B22">
        <w:rPr>
          <w:rFonts w:ascii="Verdana" w:hAnsi="Verdana"/>
        </w:rPr>
        <w:t>protections</w:t>
      </w:r>
      <w:r w:rsidR="00E452D7">
        <w:rPr>
          <w:rFonts w:ascii="Verdana" w:hAnsi="Verdana"/>
        </w:rPr>
        <w:t xml:space="preserve"> should go beyond employment to include, among others, access to goods and </w:t>
      </w:r>
      <w:r w:rsidR="00092697">
        <w:rPr>
          <w:rFonts w:ascii="Verdana" w:hAnsi="Verdana"/>
        </w:rPr>
        <w:t>services.</w:t>
      </w:r>
      <w:r w:rsidR="00526A61">
        <w:rPr>
          <w:rStyle w:val="FootnoteReference"/>
          <w:rFonts w:ascii="Verdana" w:hAnsi="Verdana"/>
        </w:rPr>
        <w:footnoteReference w:id="112"/>
      </w:r>
      <w:r w:rsidR="00092697">
        <w:rPr>
          <w:rFonts w:ascii="Verdana" w:hAnsi="Verdana"/>
        </w:rPr>
        <w:t xml:space="preserve"> Article 3(1) of the EU Race </w:t>
      </w:r>
      <w:r w:rsidR="009C3B22">
        <w:rPr>
          <w:rFonts w:ascii="Verdana" w:hAnsi="Verdana"/>
        </w:rPr>
        <w:t>Equality</w:t>
      </w:r>
      <w:r w:rsidR="00092697">
        <w:rPr>
          <w:rFonts w:ascii="Verdana" w:hAnsi="Verdana"/>
        </w:rPr>
        <w:t xml:space="preserve"> Directive provides for access </w:t>
      </w:r>
      <w:r w:rsidR="00F1683A">
        <w:rPr>
          <w:rFonts w:ascii="Verdana" w:hAnsi="Verdana"/>
        </w:rPr>
        <w:t xml:space="preserve">to goods and services </w:t>
      </w:r>
      <w:r w:rsidR="00B62A13">
        <w:rPr>
          <w:rFonts w:ascii="Verdana" w:hAnsi="Verdana"/>
        </w:rPr>
        <w:t xml:space="preserve">available to the public, including </w:t>
      </w:r>
      <w:r w:rsidR="007F7131">
        <w:rPr>
          <w:rFonts w:ascii="Verdana" w:hAnsi="Verdana"/>
        </w:rPr>
        <w:t>housing</w:t>
      </w:r>
      <w:r w:rsidR="00F1683A">
        <w:rPr>
          <w:rFonts w:ascii="Verdana" w:hAnsi="Verdana"/>
        </w:rPr>
        <w:t>.</w:t>
      </w:r>
      <w:r w:rsidR="00F1683A">
        <w:rPr>
          <w:rStyle w:val="FootnoteReference"/>
          <w:rFonts w:ascii="Verdana" w:hAnsi="Verdana"/>
        </w:rPr>
        <w:footnoteReference w:id="113"/>
      </w:r>
      <w:r w:rsidR="00975547">
        <w:rPr>
          <w:rFonts w:ascii="Verdana" w:hAnsi="Verdana"/>
        </w:rPr>
        <w:t xml:space="preserve"> </w:t>
      </w:r>
      <w:r w:rsidR="00485174">
        <w:rPr>
          <w:rFonts w:ascii="Verdana" w:hAnsi="Verdana"/>
        </w:rPr>
        <w:t xml:space="preserve">The EU Directive also </w:t>
      </w:r>
      <w:r w:rsidR="00343799">
        <w:rPr>
          <w:rFonts w:ascii="Verdana" w:hAnsi="Verdana"/>
        </w:rPr>
        <w:t xml:space="preserve">prohibits discrimination </w:t>
      </w:r>
      <w:r w:rsidR="00D628CE">
        <w:rPr>
          <w:rFonts w:ascii="Verdana" w:hAnsi="Verdana"/>
        </w:rPr>
        <w:t>in relation to the provision of social protec</w:t>
      </w:r>
      <w:r w:rsidR="00AF3BA1">
        <w:rPr>
          <w:rFonts w:ascii="Verdana" w:hAnsi="Verdana"/>
        </w:rPr>
        <w:t>tion, including social security and healthcare, and social advantages.</w:t>
      </w:r>
      <w:r w:rsidR="00AF3BA1">
        <w:rPr>
          <w:rStyle w:val="FootnoteReference"/>
          <w:rFonts w:ascii="Verdana" w:hAnsi="Verdana"/>
        </w:rPr>
        <w:footnoteReference w:id="114"/>
      </w:r>
      <w:r w:rsidR="00191F56">
        <w:rPr>
          <w:rFonts w:ascii="Verdana" w:hAnsi="Verdana"/>
        </w:rPr>
        <w:t xml:space="preserve">  As noted above, the </w:t>
      </w:r>
      <w:r w:rsidR="0072675B">
        <w:rPr>
          <w:rFonts w:ascii="Verdana" w:hAnsi="Verdana"/>
        </w:rPr>
        <w:t xml:space="preserve">EU </w:t>
      </w:r>
      <w:r w:rsidR="00191F56">
        <w:rPr>
          <w:rFonts w:ascii="Verdana" w:hAnsi="Verdana"/>
        </w:rPr>
        <w:t xml:space="preserve">Directive explicitly provides for member states to introduce provisions which set out more favourable provisions for the protection of the principle of equal treatment. </w:t>
      </w:r>
    </w:p>
    <w:p w14:paraId="53A47338" w14:textId="77777777" w:rsidR="00E02D0F" w:rsidRDefault="00E02D0F" w:rsidP="00E02D0F">
      <w:pPr>
        <w:pStyle w:val="BasicParagraph"/>
        <w:suppressAutoHyphens/>
        <w:ind w:left="709"/>
        <w:rPr>
          <w:rFonts w:ascii="Verdana" w:hAnsi="Verdana"/>
        </w:rPr>
      </w:pPr>
    </w:p>
    <w:p w14:paraId="05058E19" w14:textId="367C2051" w:rsidR="00A92914" w:rsidRDefault="00670198" w:rsidP="00594870">
      <w:pPr>
        <w:pStyle w:val="BasicParagraph"/>
        <w:numPr>
          <w:ilvl w:val="1"/>
          <w:numId w:val="9"/>
        </w:numPr>
        <w:suppressAutoHyphens/>
        <w:ind w:left="709"/>
        <w:rPr>
          <w:rFonts w:ascii="Verdana" w:hAnsi="Verdana"/>
        </w:rPr>
      </w:pPr>
      <w:r>
        <w:rPr>
          <w:rFonts w:ascii="Verdana" w:hAnsi="Verdana"/>
        </w:rPr>
        <w:t xml:space="preserve">The NIHRC is aware of </w:t>
      </w:r>
      <w:r w:rsidR="00C03047" w:rsidRPr="00B56194">
        <w:rPr>
          <w:rFonts w:ascii="Verdana" w:hAnsi="Verdana"/>
        </w:rPr>
        <w:t>particular issues for migrants accessing healthcare in NI.</w:t>
      </w:r>
      <w:r w:rsidR="003673AF">
        <w:rPr>
          <w:rFonts w:ascii="Verdana" w:hAnsi="Verdana"/>
        </w:rPr>
        <w:t xml:space="preserve"> </w:t>
      </w:r>
      <w:r w:rsidR="003673AF" w:rsidRPr="003673AF">
        <w:rPr>
          <w:rFonts w:ascii="Verdana" w:hAnsi="Verdana"/>
        </w:rPr>
        <w:t>The House of Commons NI Affairs Committee heard evidence on the lack of healthcare provision for irregular migrants who are traumatised or have complex needs.</w:t>
      </w:r>
      <w:r w:rsidR="003673AF" w:rsidRPr="003673AF">
        <w:rPr>
          <w:rStyle w:val="FootnoteReference"/>
          <w:rFonts w:ascii="Verdana" w:hAnsi="Verdana"/>
        </w:rPr>
        <w:footnoteReference w:id="115"/>
      </w:r>
      <w:r w:rsidR="003673AF" w:rsidRPr="003673AF">
        <w:rPr>
          <w:rFonts w:ascii="Verdana" w:hAnsi="Verdana"/>
        </w:rPr>
        <w:t xml:space="preserve"> Delays issuing asylum registration cards and HC2 certificates, which are required to register and receive full support for many health care services, were also reported.</w:t>
      </w:r>
      <w:r w:rsidR="003673AF" w:rsidRPr="003673AF">
        <w:rPr>
          <w:rStyle w:val="FootnoteReference"/>
          <w:rFonts w:ascii="Verdana" w:hAnsi="Verdana"/>
        </w:rPr>
        <w:footnoteReference w:id="116"/>
      </w:r>
      <w:r w:rsidR="003673AF" w:rsidRPr="003673AF">
        <w:rPr>
          <w:rFonts w:ascii="Verdana" w:hAnsi="Verdana"/>
        </w:rPr>
        <w:t xml:space="preserve"> </w:t>
      </w:r>
    </w:p>
    <w:p w14:paraId="412913B9" w14:textId="77777777" w:rsidR="00A92914" w:rsidRDefault="00A92914" w:rsidP="00A92914">
      <w:pPr>
        <w:pStyle w:val="ListParagraph"/>
      </w:pPr>
    </w:p>
    <w:p w14:paraId="7AE98C70" w14:textId="0641AF88" w:rsidR="00A92914" w:rsidRPr="006757A9" w:rsidRDefault="003673AF" w:rsidP="00A92914">
      <w:pPr>
        <w:pStyle w:val="BasicParagraph"/>
        <w:numPr>
          <w:ilvl w:val="1"/>
          <w:numId w:val="9"/>
        </w:numPr>
        <w:suppressAutoHyphens/>
        <w:ind w:left="709"/>
        <w:rPr>
          <w:rFonts w:ascii="Verdana" w:hAnsi="Verdana"/>
        </w:rPr>
      </w:pPr>
      <w:r w:rsidRPr="006757A9">
        <w:rPr>
          <w:rFonts w:ascii="Verdana" w:hAnsi="Verdana"/>
        </w:rPr>
        <w:t>Travelling to healthcare appointments remains difficult for people seeking asylum or those with irregular status</w:t>
      </w:r>
      <w:r w:rsidR="008B631F">
        <w:rPr>
          <w:rFonts w:ascii="Verdana" w:hAnsi="Verdana"/>
        </w:rPr>
        <w:t>.</w:t>
      </w:r>
      <w:r w:rsidRPr="006757A9">
        <w:rPr>
          <w:rFonts w:ascii="Verdana" w:hAnsi="Verdana"/>
        </w:rPr>
        <w:t xml:space="preserve"> Due to delays in the decision-making process, pregnant migrant women do not receive financial support until late in their pregnancy. Furthermore, there have been reports of a lack of </w:t>
      </w:r>
      <w:r w:rsidRPr="006757A9">
        <w:rPr>
          <w:rFonts w:ascii="Verdana" w:hAnsi="Verdana"/>
        </w:rPr>
        <w:lastRenderedPageBreak/>
        <w:t>access to translation and interpretation services.</w:t>
      </w:r>
      <w:r w:rsidRPr="006757A9">
        <w:rPr>
          <w:rStyle w:val="FootnoteReference"/>
          <w:rFonts w:ascii="Verdana" w:hAnsi="Verdana"/>
        </w:rPr>
        <w:footnoteReference w:id="117"/>
      </w:r>
      <w:r w:rsidR="00A92914" w:rsidRPr="006757A9">
        <w:rPr>
          <w:rFonts w:ascii="Verdana" w:hAnsi="Verdana"/>
        </w:rPr>
        <w:t xml:space="preserve"> </w:t>
      </w:r>
    </w:p>
    <w:p w14:paraId="6CBD8BF0" w14:textId="77777777" w:rsidR="00A92914" w:rsidRPr="006757A9" w:rsidRDefault="00A92914" w:rsidP="00A92914">
      <w:pPr>
        <w:pStyle w:val="ListParagraph"/>
      </w:pPr>
    </w:p>
    <w:p w14:paraId="53C099BB" w14:textId="60B864A2" w:rsidR="003673AF" w:rsidRPr="006757A9" w:rsidRDefault="003673AF" w:rsidP="00A92914">
      <w:pPr>
        <w:pStyle w:val="BasicParagraph"/>
        <w:numPr>
          <w:ilvl w:val="1"/>
          <w:numId w:val="9"/>
        </w:numPr>
        <w:suppressAutoHyphens/>
        <w:ind w:left="709"/>
        <w:rPr>
          <w:rFonts w:ascii="Verdana" w:hAnsi="Verdana"/>
        </w:rPr>
      </w:pPr>
      <w:r w:rsidRPr="006757A9">
        <w:rPr>
          <w:rFonts w:ascii="Verdana" w:hAnsi="Verdana"/>
        </w:rPr>
        <w:t>Registering for and accessing General Practitioner services and National Health Service dental services remains challenging for migrants, with long waiting times for appointments.</w:t>
      </w:r>
      <w:r w:rsidRPr="006757A9">
        <w:rPr>
          <w:rStyle w:val="FootnoteReference"/>
          <w:rFonts w:ascii="Verdana" w:hAnsi="Verdana"/>
        </w:rPr>
        <w:footnoteReference w:id="118"/>
      </w:r>
      <w:r w:rsidRPr="006757A9">
        <w:rPr>
          <w:rFonts w:ascii="Verdana" w:hAnsi="Verdana"/>
        </w:rPr>
        <w:t xml:space="preserve"> Concerns have been raised by </w:t>
      </w:r>
      <w:r w:rsidR="00A704E1">
        <w:rPr>
          <w:rFonts w:ascii="Verdana" w:hAnsi="Verdana"/>
        </w:rPr>
        <w:t>individuals</w:t>
      </w:r>
      <w:r w:rsidRPr="006757A9">
        <w:rPr>
          <w:rFonts w:ascii="Verdana" w:hAnsi="Verdana"/>
        </w:rPr>
        <w:t xml:space="preserve"> seeking asylum that are currently in temporary and contingency hotel accommodation about the lack of access to healthcare information, inadequate provision for medical needs and significant delays in health assessments.</w:t>
      </w:r>
      <w:r w:rsidRPr="006757A9">
        <w:rPr>
          <w:rStyle w:val="FootnoteReference"/>
          <w:rFonts w:ascii="Verdana" w:hAnsi="Verdana"/>
        </w:rPr>
        <w:footnoteReference w:id="119"/>
      </w:r>
      <w:r w:rsidRPr="006757A9">
        <w:rPr>
          <w:rFonts w:ascii="Verdana" w:hAnsi="Verdana"/>
        </w:rPr>
        <w:t xml:space="preserve"> </w:t>
      </w:r>
      <w:r w:rsidR="00F05A7F" w:rsidRPr="006757A9">
        <w:rPr>
          <w:rFonts w:ascii="Verdana" w:hAnsi="Verdana"/>
        </w:rPr>
        <w:t>There are also</w:t>
      </w:r>
      <w:r w:rsidRPr="006757A9">
        <w:rPr>
          <w:rFonts w:ascii="Verdana" w:hAnsi="Verdana"/>
        </w:rPr>
        <w:t xml:space="preserve"> instances where migrants are being questioned about immigration status at </w:t>
      </w:r>
      <w:r w:rsidR="008B631F">
        <w:rPr>
          <w:rFonts w:ascii="Verdana" w:hAnsi="Verdana"/>
        </w:rPr>
        <w:t xml:space="preserve">the </w:t>
      </w:r>
      <w:r w:rsidRPr="006757A9">
        <w:rPr>
          <w:rFonts w:ascii="Verdana" w:hAnsi="Verdana"/>
        </w:rPr>
        <w:t>point of contact with health services</w:t>
      </w:r>
      <w:r w:rsidR="008B631F">
        <w:rPr>
          <w:rFonts w:ascii="Verdana" w:hAnsi="Verdana"/>
        </w:rPr>
        <w:t>, rather than being treated primarily as a patient</w:t>
      </w:r>
      <w:r w:rsidRPr="006757A9">
        <w:rPr>
          <w:rFonts w:ascii="Verdana" w:hAnsi="Verdana"/>
        </w:rPr>
        <w:t>.</w:t>
      </w:r>
      <w:r w:rsidRPr="006757A9">
        <w:rPr>
          <w:rStyle w:val="FootnoteReference"/>
          <w:rFonts w:ascii="Verdana" w:hAnsi="Verdana"/>
        </w:rPr>
        <w:footnoteReference w:id="120"/>
      </w:r>
      <w:r w:rsidRPr="006757A9">
        <w:rPr>
          <w:rFonts w:ascii="Verdana" w:hAnsi="Verdana"/>
        </w:rPr>
        <w:t xml:space="preserve"> </w:t>
      </w:r>
      <w:r w:rsidR="00F05A7F" w:rsidRPr="006757A9">
        <w:rPr>
          <w:rFonts w:ascii="Verdana" w:hAnsi="Verdana"/>
        </w:rPr>
        <w:t xml:space="preserve">Additionally, </w:t>
      </w:r>
      <w:r w:rsidR="001A4B0D">
        <w:rPr>
          <w:rFonts w:ascii="Verdana" w:hAnsi="Verdana"/>
        </w:rPr>
        <w:t xml:space="preserve">some </w:t>
      </w:r>
      <w:r w:rsidR="006757A9" w:rsidRPr="006757A9">
        <w:rPr>
          <w:rFonts w:ascii="Verdana" w:hAnsi="Verdana"/>
        </w:rPr>
        <w:t>migrants with disabilities</w:t>
      </w:r>
      <w:r w:rsidR="001A4B0D">
        <w:rPr>
          <w:rFonts w:ascii="Verdana" w:hAnsi="Verdana"/>
        </w:rPr>
        <w:t xml:space="preserve"> </w:t>
      </w:r>
      <w:r w:rsidR="006757A9" w:rsidRPr="006757A9">
        <w:rPr>
          <w:rFonts w:ascii="Verdana" w:hAnsi="Verdana"/>
        </w:rPr>
        <w:t xml:space="preserve">have reported </w:t>
      </w:r>
      <w:r w:rsidRPr="006757A9">
        <w:rPr>
          <w:rFonts w:ascii="Verdana" w:hAnsi="Verdana"/>
        </w:rPr>
        <w:t>difficulties in accessing mental health services</w:t>
      </w:r>
      <w:r w:rsidR="006757A9" w:rsidRPr="006757A9">
        <w:rPr>
          <w:rFonts w:ascii="Verdana" w:hAnsi="Verdana"/>
        </w:rPr>
        <w:t xml:space="preserve">, which is contributing to </w:t>
      </w:r>
      <w:r w:rsidRPr="006757A9">
        <w:rPr>
          <w:rFonts w:ascii="Verdana" w:hAnsi="Verdana"/>
        </w:rPr>
        <w:t>declining mental health.</w:t>
      </w:r>
      <w:r w:rsidRPr="006757A9">
        <w:rPr>
          <w:rStyle w:val="FootnoteReference"/>
          <w:rFonts w:ascii="Verdana" w:hAnsi="Verdana"/>
        </w:rPr>
        <w:footnoteReference w:id="121"/>
      </w:r>
    </w:p>
    <w:p w14:paraId="6108ABD4" w14:textId="77777777" w:rsidR="004364E2" w:rsidRDefault="004364E2" w:rsidP="004364E2">
      <w:pPr>
        <w:pStyle w:val="ListParagraph"/>
      </w:pPr>
    </w:p>
    <w:p w14:paraId="449CDE00" w14:textId="03D83339" w:rsidR="00590238" w:rsidRPr="00825D9F" w:rsidRDefault="00CD3DFE" w:rsidP="00B56194">
      <w:pPr>
        <w:pStyle w:val="BasicParagraph"/>
        <w:numPr>
          <w:ilvl w:val="1"/>
          <w:numId w:val="9"/>
        </w:numPr>
        <w:suppressAutoHyphens/>
        <w:ind w:left="709"/>
        <w:rPr>
          <w:rFonts w:ascii="Verdana" w:hAnsi="Verdana"/>
          <w:b/>
          <w:bCs/>
        </w:rPr>
      </w:pPr>
      <w:r w:rsidRPr="00825D9F">
        <w:rPr>
          <w:rFonts w:ascii="Verdana" w:hAnsi="Verdana"/>
          <w:b/>
          <w:bCs/>
        </w:rPr>
        <w:t xml:space="preserve">The NIHRC welcomes </w:t>
      </w:r>
      <w:r w:rsidR="005962B4" w:rsidRPr="00825D9F">
        <w:rPr>
          <w:rFonts w:ascii="Verdana" w:hAnsi="Verdana"/>
          <w:b/>
          <w:bCs/>
        </w:rPr>
        <w:t xml:space="preserve">the Executive Office’s proposed </w:t>
      </w:r>
      <w:r w:rsidR="007E4F2D" w:rsidRPr="00825D9F">
        <w:rPr>
          <w:rFonts w:ascii="Verdana" w:hAnsi="Verdana"/>
          <w:b/>
          <w:bCs/>
        </w:rPr>
        <w:t xml:space="preserve">amendment to </w:t>
      </w:r>
      <w:r w:rsidR="005962B4" w:rsidRPr="00825D9F">
        <w:rPr>
          <w:rFonts w:ascii="Verdana" w:hAnsi="Verdana"/>
          <w:b/>
          <w:bCs/>
        </w:rPr>
        <w:t xml:space="preserve">Article 20(A)(1) of </w:t>
      </w:r>
      <w:r w:rsidR="007E4F2D" w:rsidRPr="00825D9F">
        <w:rPr>
          <w:rFonts w:ascii="Verdana" w:hAnsi="Verdana"/>
          <w:b/>
          <w:bCs/>
        </w:rPr>
        <w:t>the Race Relations (NI) Order 1997</w:t>
      </w:r>
      <w:r w:rsidR="00E06800">
        <w:rPr>
          <w:rFonts w:ascii="Verdana" w:hAnsi="Verdana"/>
          <w:b/>
          <w:bCs/>
        </w:rPr>
        <w:t>, or equivalent</w:t>
      </w:r>
      <w:r w:rsidR="005962B4" w:rsidRPr="00825D9F">
        <w:rPr>
          <w:rFonts w:ascii="Verdana" w:hAnsi="Verdana"/>
          <w:b/>
          <w:bCs/>
        </w:rPr>
        <w:t xml:space="preserve">. </w:t>
      </w:r>
      <w:r w:rsidR="00590238" w:rsidRPr="00825D9F">
        <w:rPr>
          <w:rFonts w:ascii="Verdana" w:hAnsi="Verdana"/>
          <w:b/>
          <w:bCs/>
        </w:rPr>
        <w:t>The NIHRC recommends that the Executive Office</w:t>
      </w:r>
      <w:r w:rsidR="00C15347" w:rsidRPr="00825D9F">
        <w:rPr>
          <w:rFonts w:ascii="Verdana" w:hAnsi="Verdana"/>
          <w:b/>
          <w:bCs/>
        </w:rPr>
        <w:t xml:space="preserve"> </w:t>
      </w:r>
      <w:r w:rsidR="009F557E" w:rsidRPr="00825D9F">
        <w:rPr>
          <w:rFonts w:ascii="Verdana" w:hAnsi="Verdana"/>
          <w:b/>
          <w:bCs/>
        </w:rPr>
        <w:t>works with the Department</w:t>
      </w:r>
      <w:r w:rsidR="00F657EC" w:rsidRPr="00825D9F">
        <w:rPr>
          <w:rFonts w:ascii="Verdana" w:hAnsi="Verdana"/>
          <w:b/>
          <w:bCs/>
        </w:rPr>
        <w:t xml:space="preserve"> </w:t>
      </w:r>
      <w:r w:rsidR="009F557E" w:rsidRPr="00825D9F">
        <w:rPr>
          <w:rFonts w:ascii="Verdana" w:hAnsi="Verdana"/>
          <w:b/>
          <w:bCs/>
        </w:rPr>
        <w:t>for Communities and De</w:t>
      </w:r>
      <w:r w:rsidR="00F657EC" w:rsidRPr="00825D9F">
        <w:rPr>
          <w:rFonts w:ascii="Verdana" w:hAnsi="Verdana"/>
          <w:b/>
          <w:bCs/>
        </w:rPr>
        <w:t xml:space="preserve">partment of Health to </w:t>
      </w:r>
      <w:r w:rsidR="00C15347" w:rsidRPr="00825D9F">
        <w:rPr>
          <w:rFonts w:ascii="Verdana" w:hAnsi="Verdana"/>
          <w:b/>
          <w:bCs/>
        </w:rPr>
        <w:t xml:space="preserve">ensure that the resulting legislation </w:t>
      </w:r>
      <w:r w:rsidR="007F3086" w:rsidRPr="00825D9F">
        <w:rPr>
          <w:rFonts w:ascii="Verdana" w:hAnsi="Verdana"/>
          <w:b/>
          <w:bCs/>
        </w:rPr>
        <w:t xml:space="preserve">ensures equal access to healthcare, </w:t>
      </w:r>
      <w:r w:rsidR="00C371F4" w:rsidRPr="00825D9F">
        <w:rPr>
          <w:rFonts w:ascii="Verdana" w:hAnsi="Verdana"/>
          <w:b/>
          <w:bCs/>
        </w:rPr>
        <w:t>social security, social protection and social advantage</w:t>
      </w:r>
      <w:r w:rsidR="00E03A82" w:rsidRPr="00825D9F">
        <w:rPr>
          <w:rFonts w:ascii="Verdana" w:hAnsi="Verdana"/>
          <w:b/>
          <w:bCs/>
        </w:rPr>
        <w:t xml:space="preserve"> without discrimination</w:t>
      </w:r>
      <w:r w:rsidR="00825D9F" w:rsidRPr="00825D9F">
        <w:rPr>
          <w:rFonts w:ascii="Verdana" w:hAnsi="Verdana"/>
          <w:b/>
          <w:bCs/>
        </w:rPr>
        <w:t xml:space="preserve"> in law and practice</w:t>
      </w:r>
      <w:r w:rsidR="00E03A82" w:rsidRPr="00825D9F">
        <w:rPr>
          <w:rFonts w:ascii="Verdana" w:hAnsi="Verdana"/>
          <w:b/>
          <w:bCs/>
        </w:rPr>
        <w:t>.</w:t>
      </w:r>
    </w:p>
    <w:p w14:paraId="5D7812B0" w14:textId="77777777" w:rsidR="00590238" w:rsidRDefault="00590238" w:rsidP="00825D9F">
      <w:pPr>
        <w:pStyle w:val="BasicParagraph"/>
        <w:suppressAutoHyphens/>
        <w:rPr>
          <w:rFonts w:ascii="Verdana" w:hAnsi="Verdana"/>
        </w:rPr>
      </w:pPr>
    </w:p>
    <w:p w14:paraId="2C4684EC" w14:textId="4F2C0D9E" w:rsidR="00C03047" w:rsidRPr="00B56194" w:rsidRDefault="00E22401" w:rsidP="00E22401">
      <w:pPr>
        <w:pStyle w:val="Heading2"/>
      </w:pPr>
      <w:bookmarkStart w:id="18" w:name="_Toc137459928"/>
      <w:r>
        <w:t>Language</w:t>
      </w:r>
      <w:bookmarkEnd w:id="18"/>
    </w:p>
    <w:p w14:paraId="3538A790" w14:textId="4D6A09EF" w:rsidR="00E22401" w:rsidRDefault="00DE11B1" w:rsidP="00C03047">
      <w:pPr>
        <w:pStyle w:val="BasicParagraph"/>
        <w:numPr>
          <w:ilvl w:val="1"/>
          <w:numId w:val="9"/>
        </w:numPr>
        <w:suppressAutoHyphens/>
        <w:ind w:left="709"/>
        <w:rPr>
          <w:rFonts w:ascii="Verdana" w:hAnsi="Verdana"/>
        </w:rPr>
      </w:pPr>
      <w:r>
        <w:rPr>
          <w:rFonts w:ascii="Verdana" w:hAnsi="Verdana"/>
        </w:rPr>
        <w:t xml:space="preserve">The consultation document </w:t>
      </w:r>
      <w:r w:rsidR="00840680">
        <w:rPr>
          <w:rFonts w:ascii="Verdana" w:hAnsi="Verdana"/>
        </w:rPr>
        <w:t>includes proposals</w:t>
      </w:r>
      <w:r w:rsidR="004F1D15">
        <w:rPr>
          <w:rFonts w:ascii="Verdana" w:hAnsi="Verdana"/>
        </w:rPr>
        <w:t xml:space="preserve"> to amend Article 23(7) of the Race Relations (NI) Order 1997</w:t>
      </w:r>
      <w:r w:rsidR="00212355">
        <w:rPr>
          <w:rFonts w:ascii="Verdana" w:hAnsi="Verdana"/>
        </w:rPr>
        <w:t xml:space="preserve"> </w:t>
      </w:r>
      <w:r w:rsidR="00055CA3">
        <w:rPr>
          <w:rFonts w:ascii="Verdana" w:hAnsi="Verdana"/>
        </w:rPr>
        <w:t xml:space="preserve">so that it </w:t>
      </w:r>
      <w:r w:rsidR="007B6B3A">
        <w:rPr>
          <w:rFonts w:ascii="Verdana" w:hAnsi="Verdana"/>
        </w:rPr>
        <w:t xml:space="preserve">covers a </w:t>
      </w:r>
      <w:r w:rsidR="006B7161">
        <w:rPr>
          <w:rFonts w:ascii="Verdana" w:hAnsi="Verdana"/>
        </w:rPr>
        <w:t xml:space="preserve">wider range of circumstance, including </w:t>
      </w:r>
      <w:r w:rsidR="00056365">
        <w:rPr>
          <w:rFonts w:ascii="Verdana" w:hAnsi="Verdana"/>
        </w:rPr>
        <w:t xml:space="preserve">‘illegitimate’ children. </w:t>
      </w:r>
    </w:p>
    <w:p w14:paraId="352AB89A" w14:textId="77777777" w:rsidR="007E347E" w:rsidRDefault="007E347E" w:rsidP="007E347E">
      <w:pPr>
        <w:pStyle w:val="BasicParagraph"/>
        <w:suppressAutoHyphens/>
        <w:ind w:left="709"/>
        <w:rPr>
          <w:rFonts w:ascii="Verdana" w:hAnsi="Verdana"/>
        </w:rPr>
      </w:pPr>
    </w:p>
    <w:p w14:paraId="2A272997" w14:textId="51A1A439" w:rsidR="007E347E" w:rsidRPr="0054266F" w:rsidRDefault="00305658">
      <w:pPr>
        <w:pStyle w:val="BasicParagraph"/>
        <w:numPr>
          <w:ilvl w:val="1"/>
          <w:numId w:val="9"/>
        </w:numPr>
        <w:suppressAutoHyphens/>
        <w:ind w:left="709"/>
        <w:rPr>
          <w:rFonts w:ascii="Verdana" w:hAnsi="Verdana"/>
        </w:rPr>
      </w:pPr>
      <w:r w:rsidRPr="0054266F">
        <w:rPr>
          <w:rFonts w:ascii="Verdana" w:hAnsi="Verdana"/>
        </w:rPr>
        <w:t xml:space="preserve">Following a visit to the UK, the </w:t>
      </w:r>
      <w:r w:rsidR="00601E2B" w:rsidRPr="0054266F">
        <w:rPr>
          <w:rFonts w:ascii="Verdana" w:hAnsi="Verdana"/>
        </w:rPr>
        <w:t xml:space="preserve">former </w:t>
      </w:r>
      <w:r w:rsidRPr="0054266F">
        <w:rPr>
          <w:rFonts w:ascii="Verdana" w:hAnsi="Verdana"/>
        </w:rPr>
        <w:t>Special Rapporteur on Contemporary Forms of Racism, Racial Discrimination, Xenophobia and Related Intolerance,</w:t>
      </w:r>
      <w:r w:rsidR="00601E2B" w:rsidRPr="0054266F">
        <w:rPr>
          <w:rFonts w:ascii="Verdana" w:hAnsi="Verdana"/>
        </w:rPr>
        <w:t xml:space="preserve"> </w:t>
      </w:r>
      <w:r w:rsidR="00E45AC3">
        <w:rPr>
          <w:rFonts w:ascii="Verdana" w:hAnsi="Verdana"/>
        </w:rPr>
        <w:t xml:space="preserve">E </w:t>
      </w:r>
      <w:r w:rsidR="00601E2B" w:rsidRPr="0054266F">
        <w:rPr>
          <w:rFonts w:ascii="Verdana" w:hAnsi="Verdana"/>
        </w:rPr>
        <w:t>Tendayi Achiume, recommended that</w:t>
      </w:r>
      <w:r w:rsidR="00FA28E9" w:rsidRPr="0054266F">
        <w:rPr>
          <w:rFonts w:ascii="Verdana" w:hAnsi="Verdana"/>
        </w:rPr>
        <w:t xml:space="preserve"> efforts are stepped up to</w:t>
      </w:r>
      <w:r w:rsidR="00D6217D" w:rsidRPr="0054266F">
        <w:rPr>
          <w:rFonts w:ascii="Verdana" w:hAnsi="Verdana"/>
        </w:rPr>
        <w:t xml:space="preserve"> “eliminate prejudice, negative stereotyping and stigmatisation, in particular by politicians and in the me</w:t>
      </w:r>
      <w:r w:rsidR="0054266F" w:rsidRPr="0054266F">
        <w:rPr>
          <w:rFonts w:ascii="Verdana" w:hAnsi="Verdana"/>
        </w:rPr>
        <w:t xml:space="preserve">dia, and take </w:t>
      </w:r>
      <w:r w:rsidR="0054266F" w:rsidRPr="0054266F">
        <w:rPr>
          <w:rFonts w:ascii="Verdana" w:hAnsi="Verdana"/>
        </w:rPr>
        <w:lastRenderedPageBreak/>
        <w:t>effective measures aimed at promoting tolerance and understanding”.</w:t>
      </w:r>
      <w:r w:rsidR="008B2B75">
        <w:rPr>
          <w:rStyle w:val="FootnoteReference"/>
          <w:rFonts w:ascii="Verdana" w:hAnsi="Verdana"/>
        </w:rPr>
        <w:footnoteReference w:id="122"/>
      </w:r>
    </w:p>
    <w:p w14:paraId="24FE23C6" w14:textId="77777777" w:rsidR="007E347E" w:rsidRDefault="007E347E" w:rsidP="007E347E">
      <w:pPr>
        <w:pStyle w:val="BasicParagraph"/>
        <w:suppressAutoHyphens/>
        <w:ind w:left="709"/>
        <w:rPr>
          <w:rFonts w:ascii="Verdana" w:hAnsi="Verdana"/>
        </w:rPr>
      </w:pPr>
    </w:p>
    <w:p w14:paraId="74110355" w14:textId="0BC11AB2" w:rsidR="00C03047" w:rsidRDefault="00C03047" w:rsidP="00C03047">
      <w:pPr>
        <w:pStyle w:val="BasicParagraph"/>
        <w:numPr>
          <w:ilvl w:val="1"/>
          <w:numId w:val="9"/>
        </w:numPr>
        <w:suppressAutoHyphens/>
        <w:ind w:left="709"/>
        <w:rPr>
          <w:rFonts w:ascii="Verdana" w:hAnsi="Verdana"/>
        </w:rPr>
      </w:pPr>
      <w:r w:rsidRPr="00B56194">
        <w:rPr>
          <w:rFonts w:ascii="Verdana" w:hAnsi="Verdana"/>
        </w:rPr>
        <w:t xml:space="preserve">This is a point for the resulting legislation more broadly, but </w:t>
      </w:r>
      <w:r w:rsidR="00B237C0">
        <w:rPr>
          <w:rFonts w:ascii="Verdana" w:hAnsi="Verdana"/>
        </w:rPr>
        <w:t>using the proposals for</w:t>
      </w:r>
      <w:r w:rsidRPr="00B56194">
        <w:rPr>
          <w:rFonts w:ascii="Verdana" w:hAnsi="Verdana"/>
        </w:rPr>
        <w:t xml:space="preserve"> Article 23(7) of the Race Relations (NI) Order</w:t>
      </w:r>
      <w:r w:rsidR="003901AA">
        <w:rPr>
          <w:rFonts w:ascii="Verdana" w:hAnsi="Verdana"/>
        </w:rPr>
        <w:t xml:space="preserve"> 1997</w:t>
      </w:r>
      <w:r w:rsidR="00B237C0">
        <w:rPr>
          <w:rFonts w:ascii="Verdana" w:hAnsi="Verdana"/>
        </w:rPr>
        <w:t xml:space="preserve"> as an example</w:t>
      </w:r>
      <w:r w:rsidRPr="00B56194">
        <w:rPr>
          <w:rFonts w:ascii="Verdana" w:hAnsi="Verdana"/>
        </w:rPr>
        <w:t xml:space="preserve">, the language used in any amendments should not </w:t>
      </w:r>
      <w:r w:rsidR="008673E3">
        <w:rPr>
          <w:rFonts w:ascii="Verdana" w:hAnsi="Verdana"/>
        </w:rPr>
        <w:t xml:space="preserve">negatively </w:t>
      </w:r>
      <w:r w:rsidR="005A6599">
        <w:rPr>
          <w:rFonts w:ascii="Verdana" w:hAnsi="Verdana"/>
        </w:rPr>
        <w:t xml:space="preserve">stereotype or </w:t>
      </w:r>
      <w:r w:rsidRPr="00B56194">
        <w:rPr>
          <w:rFonts w:ascii="Verdana" w:hAnsi="Verdana"/>
        </w:rPr>
        <w:t>stigmatis</w:t>
      </w:r>
      <w:r w:rsidR="008B631F">
        <w:rPr>
          <w:rFonts w:ascii="Verdana" w:hAnsi="Verdana"/>
        </w:rPr>
        <w:t>e.</w:t>
      </w:r>
      <w:r w:rsidRPr="00B56194">
        <w:rPr>
          <w:rFonts w:ascii="Verdana" w:hAnsi="Verdana"/>
        </w:rPr>
        <w:t xml:space="preserve"> For example, while it </w:t>
      </w:r>
      <w:r w:rsidR="008B631F">
        <w:rPr>
          <w:rFonts w:ascii="Verdana" w:hAnsi="Verdana"/>
        </w:rPr>
        <w:t>may still be</w:t>
      </w:r>
      <w:r w:rsidR="008B631F" w:rsidRPr="00B56194">
        <w:rPr>
          <w:rFonts w:ascii="Verdana" w:hAnsi="Verdana"/>
        </w:rPr>
        <w:t xml:space="preserve"> </w:t>
      </w:r>
      <w:r w:rsidRPr="00B56194">
        <w:rPr>
          <w:rFonts w:ascii="Verdana" w:hAnsi="Verdana"/>
        </w:rPr>
        <w:t xml:space="preserve">a legal term, </w:t>
      </w:r>
      <w:r w:rsidR="005A6599">
        <w:rPr>
          <w:rFonts w:ascii="Verdana" w:hAnsi="Verdana"/>
        </w:rPr>
        <w:t>the NIHRC</w:t>
      </w:r>
      <w:r w:rsidRPr="00B56194">
        <w:rPr>
          <w:rFonts w:ascii="Verdana" w:hAnsi="Verdana"/>
        </w:rPr>
        <w:t xml:space="preserve"> raise</w:t>
      </w:r>
      <w:r w:rsidR="005A6599">
        <w:rPr>
          <w:rFonts w:ascii="Verdana" w:hAnsi="Verdana"/>
        </w:rPr>
        <w:t>s</w:t>
      </w:r>
      <w:r w:rsidRPr="00B56194">
        <w:rPr>
          <w:rFonts w:ascii="Verdana" w:hAnsi="Verdana"/>
        </w:rPr>
        <w:t xml:space="preserve"> caution against the use of ‘illegitimate’ children. </w:t>
      </w:r>
      <w:r w:rsidR="008B631F">
        <w:rPr>
          <w:rFonts w:ascii="Verdana" w:hAnsi="Verdana"/>
        </w:rPr>
        <w:t>There</w:t>
      </w:r>
      <w:r w:rsidR="008B631F" w:rsidRPr="00B56194">
        <w:rPr>
          <w:rFonts w:ascii="Verdana" w:hAnsi="Verdana"/>
        </w:rPr>
        <w:t xml:space="preserve"> </w:t>
      </w:r>
      <w:r w:rsidRPr="00B56194">
        <w:rPr>
          <w:rFonts w:ascii="Verdana" w:hAnsi="Verdana"/>
        </w:rPr>
        <w:t xml:space="preserve">is an opportunity to set a </w:t>
      </w:r>
      <w:r w:rsidR="00DD2736">
        <w:rPr>
          <w:rFonts w:ascii="Verdana" w:hAnsi="Verdana"/>
        </w:rPr>
        <w:t xml:space="preserve">new </w:t>
      </w:r>
      <w:r w:rsidRPr="00B56194">
        <w:rPr>
          <w:rFonts w:ascii="Verdana" w:hAnsi="Verdana"/>
        </w:rPr>
        <w:t xml:space="preserve">precedent </w:t>
      </w:r>
      <w:r w:rsidR="003429BF">
        <w:rPr>
          <w:rFonts w:ascii="Verdana" w:hAnsi="Verdana"/>
        </w:rPr>
        <w:t>that</w:t>
      </w:r>
      <w:r w:rsidRPr="00B56194">
        <w:rPr>
          <w:rFonts w:ascii="Verdana" w:hAnsi="Verdana"/>
        </w:rPr>
        <w:t xml:space="preserve"> modernis</w:t>
      </w:r>
      <w:r w:rsidR="003429BF">
        <w:rPr>
          <w:rFonts w:ascii="Verdana" w:hAnsi="Verdana"/>
        </w:rPr>
        <w:t>es</w:t>
      </w:r>
      <w:r w:rsidRPr="00B56194">
        <w:rPr>
          <w:rFonts w:ascii="Verdana" w:hAnsi="Verdana"/>
        </w:rPr>
        <w:t xml:space="preserve"> and destigmatis</w:t>
      </w:r>
      <w:r w:rsidR="003429BF">
        <w:rPr>
          <w:rFonts w:ascii="Verdana" w:hAnsi="Verdana"/>
        </w:rPr>
        <w:t>es</w:t>
      </w:r>
      <w:r w:rsidRPr="00B56194">
        <w:rPr>
          <w:rFonts w:ascii="Verdana" w:hAnsi="Verdana"/>
        </w:rPr>
        <w:t xml:space="preserve"> the legal language used for such scenarios</w:t>
      </w:r>
      <w:r w:rsidR="008B631F">
        <w:rPr>
          <w:rFonts w:ascii="Verdana" w:hAnsi="Verdana"/>
        </w:rPr>
        <w:t xml:space="preserve"> without losing any of the precise </w:t>
      </w:r>
      <w:r w:rsidR="004130F9">
        <w:rPr>
          <w:rFonts w:ascii="Verdana" w:hAnsi="Verdana"/>
        </w:rPr>
        <w:t>meaning</w:t>
      </w:r>
      <w:r w:rsidRPr="00B56194">
        <w:rPr>
          <w:rFonts w:ascii="Verdana" w:hAnsi="Verdana"/>
        </w:rPr>
        <w:t>.</w:t>
      </w:r>
    </w:p>
    <w:p w14:paraId="5A312073" w14:textId="77777777" w:rsidR="00797592" w:rsidRDefault="00797592" w:rsidP="00797592">
      <w:pPr>
        <w:pStyle w:val="BasicParagraph"/>
        <w:suppressAutoHyphens/>
        <w:ind w:left="709"/>
        <w:rPr>
          <w:rFonts w:ascii="Verdana" w:hAnsi="Verdana"/>
        </w:rPr>
      </w:pPr>
    </w:p>
    <w:p w14:paraId="26D68313" w14:textId="4D353AA0" w:rsidR="00797592" w:rsidRPr="008C6EE8" w:rsidRDefault="00797592" w:rsidP="00C03047">
      <w:pPr>
        <w:pStyle w:val="BasicParagraph"/>
        <w:numPr>
          <w:ilvl w:val="1"/>
          <w:numId w:val="9"/>
        </w:numPr>
        <w:suppressAutoHyphens/>
        <w:ind w:left="709"/>
        <w:rPr>
          <w:rFonts w:ascii="Verdana" w:hAnsi="Verdana"/>
          <w:b/>
          <w:bCs/>
        </w:rPr>
      </w:pPr>
      <w:r w:rsidRPr="008C6EE8">
        <w:rPr>
          <w:rFonts w:ascii="Verdana" w:hAnsi="Verdana"/>
          <w:b/>
          <w:bCs/>
        </w:rPr>
        <w:t xml:space="preserve">The NIHRC recommends that </w:t>
      </w:r>
      <w:r w:rsidR="001A0948" w:rsidRPr="008C6EE8">
        <w:rPr>
          <w:rFonts w:ascii="Verdana" w:hAnsi="Verdana"/>
          <w:b/>
          <w:bCs/>
        </w:rPr>
        <w:t xml:space="preserve">the Executive Office ensures that the language used in the revised Race Relations (NI) Order </w:t>
      </w:r>
      <w:r w:rsidR="003429BF">
        <w:rPr>
          <w:rFonts w:ascii="Verdana" w:hAnsi="Verdana"/>
          <w:b/>
          <w:bCs/>
        </w:rPr>
        <w:t xml:space="preserve">1997, </w:t>
      </w:r>
      <w:r w:rsidR="001A0948" w:rsidRPr="008C6EE8">
        <w:rPr>
          <w:rFonts w:ascii="Verdana" w:hAnsi="Verdana"/>
          <w:b/>
          <w:bCs/>
        </w:rPr>
        <w:t>or equivalent</w:t>
      </w:r>
      <w:r w:rsidR="003429BF">
        <w:rPr>
          <w:rFonts w:ascii="Verdana" w:hAnsi="Verdana"/>
          <w:b/>
          <w:bCs/>
        </w:rPr>
        <w:t>,</w:t>
      </w:r>
      <w:r w:rsidR="001A0948" w:rsidRPr="008C6EE8">
        <w:rPr>
          <w:rFonts w:ascii="Verdana" w:hAnsi="Verdana"/>
          <w:b/>
          <w:bCs/>
        </w:rPr>
        <w:t xml:space="preserve"> </w:t>
      </w:r>
      <w:r w:rsidR="008673E3">
        <w:rPr>
          <w:rFonts w:ascii="Verdana" w:hAnsi="Verdana"/>
          <w:b/>
          <w:bCs/>
        </w:rPr>
        <w:t xml:space="preserve">does not stereotype </w:t>
      </w:r>
      <w:r w:rsidR="008B631F">
        <w:rPr>
          <w:rFonts w:ascii="Verdana" w:hAnsi="Verdana"/>
          <w:b/>
          <w:bCs/>
        </w:rPr>
        <w:t>or</w:t>
      </w:r>
      <w:r w:rsidR="001A0948" w:rsidRPr="008C6EE8">
        <w:rPr>
          <w:rFonts w:ascii="Verdana" w:hAnsi="Verdana"/>
          <w:b/>
          <w:bCs/>
        </w:rPr>
        <w:t xml:space="preserve"> stigmatis</w:t>
      </w:r>
      <w:r w:rsidR="008B631F">
        <w:rPr>
          <w:rFonts w:ascii="Verdana" w:hAnsi="Verdana"/>
          <w:b/>
          <w:bCs/>
        </w:rPr>
        <w:t>e people</w:t>
      </w:r>
      <w:r w:rsidR="007670AC">
        <w:rPr>
          <w:rFonts w:ascii="Verdana" w:hAnsi="Verdana"/>
          <w:b/>
          <w:bCs/>
        </w:rPr>
        <w:t>, but</w:t>
      </w:r>
      <w:r w:rsidR="008673E3">
        <w:rPr>
          <w:rFonts w:ascii="Verdana" w:hAnsi="Verdana"/>
          <w:b/>
          <w:bCs/>
        </w:rPr>
        <w:t xml:space="preserve"> promotes tolerance and understanding</w:t>
      </w:r>
      <w:r w:rsidR="008C6EE8" w:rsidRPr="008C6EE8">
        <w:rPr>
          <w:rFonts w:ascii="Verdana" w:hAnsi="Verdana"/>
          <w:b/>
          <w:bCs/>
        </w:rPr>
        <w:t>.</w:t>
      </w:r>
    </w:p>
    <w:p w14:paraId="4BB9D6A1" w14:textId="77777777" w:rsidR="00C03047" w:rsidRDefault="00C03047" w:rsidP="00DC4CFE"/>
    <w:p w14:paraId="5926ECEF" w14:textId="1D2F3B91" w:rsidR="005F72A1" w:rsidRDefault="003744E2" w:rsidP="007C3370">
      <w:pPr>
        <w:pStyle w:val="Heading1"/>
        <w:numPr>
          <w:ilvl w:val="0"/>
          <w:numId w:val="9"/>
        </w:numPr>
      </w:pPr>
      <w:bookmarkStart w:id="19" w:name="_Toc137459929"/>
      <w:r>
        <w:t>Equality Commission for NI’s Role</w:t>
      </w:r>
      <w:bookmarkEnd w:id="19"/>
    </w:p>
    <w:p w14:paraId="32D75C04" w14:textId="214143F5" w:rsidR="00AD0300" w:rsidRDefault="00AD0300" w:rsidP="007C3370">
      <w:pPr>
        <w:pStyle w:val="BasicParagraph"/>
        <w:numPr>
          <w:ilvl w:val="1"/>
          <w:numId w:val="9"/>
        </w:numPr>
        <w:suppressAutoHyphens/>
        <w:ind w:left="709"/>
        <w:rPr>
          <w:rFonts w:ascii="Verdana" w:hAnsi="Verdana"/>
        </w:rPr>
      </w:pPr>
      <w:r>
        <w:rPr>
          <w:rFonts w:ascii="Verdana" w:hAnsi="Verdana"/>
        </w:rPr>
        <w:t xml:space="preserve">The consultation document includes several proposals for </w:t>
      </w:r>
      <w:r w:rsidR="0041465E">
        <w:rPr>
          <w:rFonts w:ascii="Verdana" w:hAnsi="Verdana"/>
        </w:rPr>
        <w:t>amending the Equality Commission NI’s duties</w:t>
      </w:r>
      <w:r w:rsidR="008A22F6">
        <w:rPr>
          <w:rFonts w:ascii="Verdana" w:hAnsi="Verdana"/>
        </w:rPr>
        <w:t>.</w:t>
      </w:r>
      <w:r w:rsidR="00136EDB">
        <w:rPr>
          <w:rStyle w:val="FootnoteReference"/>
          <w:rFonts w:ascii="Verdana" w:hAnsi="Verdana"/>
        </w:rPr>
        <w:footnoteReference w:id="123"/>
      </w:r>
      <w:r w:rsidR="008A22F6">
        <w:rPr>
          <w:rFonts w:ascii="Verdana" w:hAnsi="Verdana"/>
        </w:rPr>
        <w:t xml:space="preserve"> </w:t>
      </w:r>
    </w:p>
    <w:p w14:paraId="12D5A271" w14:textId="77777777" w:rsidR="007C3370" w:rsidRDefault="007C3370" w:rsidP="007C3370">
      <w:pPr>
        <w:pStyle w:val="BasicParagraph"/>
        <w:suppressAutoHyphens/>
        <w:ind w:left="709"/>
        <w:rPr>
          <w:rFonts w:ascii="Verdana" w:hAnsi="Verdana"/>
        </w:rPr>
      </w:pPr>
    </w:p>
    <w:p w14:paraId="35A093FD" w14:textId="603D35B2" w:rsidR="001972A7" w:rsidRDefault="00622FC4" w:rsidP="00B56194">
      <w:pPr>
        <w:pStyle w:val="BasicParagraph"/>
        <w:numPr>
          <w:ilvl w:val="1"/>
          <w:numId w:val="9"/>
        </w:numPr>
        <w:suppressAutoHyphens/>
        <w:ind w:left="709"/>
        <w:rPr>
          <w:rFonts w:ascii="Verdana" w:hAnsi="Verdana"/>
        </w:rPr>
      </w:pPr>
      <w:r>
        <w:rPr>
          <w:rFonts w:ascii="Verdana" w:hAnsi="Verdana"/>
        </w:rPr>
        <w:t xml:space="preserve">The EU Race Equality Directive </w:t>
      </w:r>
      <w:r w:rsidR="009217EC">
        <w:rPr>
          <w:rFonts w:ascii="Verdana" w:hAnsi="Verdana"/>
        </w:rPr>
        <w:t>obliges Member States to designate bodies for the promotion of equal treatment of all persons</w:t>
      </w:r>
      <w:r w:rsidR="00A66E39">
        <w:rPr>
          <w:rFonts w:ascii="Verdana" w:hAnsi="Verdana"/>
        </w:rPr>
        <w:t xml:space="preserve"> in relation to racial or ethnic origin, becoming the first EU Directive to specifically reference equality bodies.</w:t>
      </w:r>
      <w:r w:rsidR="00A66E39">
        <w:rPr>
          <w:rStyle w:val="FootnoteReference"/>
          <w:rFonts w:ascii="Verdana" w:hAnsi="Verdana"/>
        </w:rPr>
        <w:footnoteReference w:id="124"/>
      </w:r>
      <w:r w:rsidR="006926F1">
        <w:rPr>
          <w:rFonts w:ascii="Verdana" w:hAnsi="Verdana"/>
        </w:rPr>
        <w:t xml:space="preserve"> </w:t>
      </w:r>
      <w:r w:rsidR="00F76BF0">
        <w:rPr>
          <w:rFonts w:ascii="Verdana" w:hAnsi="Verdana"/>
        </w:rPr>
        <w:t xml:space="preserve">In December 2022, the European Commission published proposals </w:t>
      </w:r>
      <w:r w:rsidR="00760189">
        <w:rPr>
          <w:rFonts w:ascii="Verdana" w:hAnsi="Verdana"/>
        </w:rPr>
        <w:t>on two Directives on standards for equality bodies, including the EU Race Equality Directive.</w:t>
      </w:r>
      <w:r w:rsidR="00760189">
        <w:rPr>
          <w:rStyle w:val="FootnoteReference"/>
          <w:rFonts w:ascii="Verdana" w:hAnsi="Verdana"/>
        </w:rPr>
        <w:footnoteReference w:id="125"/>
      </w:r>
      <w:r w:rsidR="006D58F9">
        <w:rPr>
          <w:rFonts w:ascii="Verdana" w:hAnsi="Verdana"/>
        </w:rPr>
        <w:t xml:space="preserve"> </w:t>
      </w:r>
    </w:p>
    <w:p w14:paraId="0FC37EA3" w14:textId="77777777" w:rsidR="009C4478" w:rsidRDefault="009C4478" w:rsidP="009C4478">
      <w:pPr>
        <w:pStyle w:val="ListParagraph"/>
      </w:pPr>
    </w:p>
    <w:p w14:paraId="5535E5F3" w14:textId="5E32D15B" w:rsidR="009C4478" w:rsidRPr="009C4478" w:rsidRDefault="00512FC8" w:rsidP="00B56194">
      <w:pPr>
        <w:pStyle w:val="BasicParagraph"/>
        <w:numPr>
          <w:ilvl w:val="1"/>
          <w:numId w:val="9"/>
        </w:numPr>
        <w:suppressAutoHyphens/>
        <w:ind w:left="709"/>
        <w:rPr>
          <w:rFonts w:ascii="Verdana" w:hAnsi="Verdana"/>
        </w:rPr>
      </w:pPr>
      <w:r>
        <w:rPr>
          <w:rFonts w:ascii="Verdana" w:hAnsi="Verdana"/>
        </w:rPr>
        <w:lastRenderedPageBreak/>
        <w:t>T</w:t>
      </w:r>
      <w:r w:rsidR="009C4478" w:rsidRPr="009C4478">
        <w:rPr>
          <w:rFonts w:ascii="Verdana" w:hAnsi="Verdana"/>
        </w:rPr>
        <w:t xml:space="preserve">he </w:t>
      </w:r>
      <w:r w:rsidR="00DB26A2">
        <w:rPr>
          <w:rFonts w:ascii="Verdana" w:hAnsi="Verdana"/>
        </w:rPr>
        <w:t>Equality Commission for NI, alongside the NIHRC,</w:t>
      </w:r>
      <w:r w:rsidR="009C4478" w:rsidRPr="009C4478">
        <w:rPr>
          <w:rFonts w:ascii="Verdana" w:hAnsi="Verdana"/>
        </w:rPr>
        <w:t xml:space="preserve"> </w:t>
      </w:r>
      <w:r w:rsidR="00FB2689">
        <w:rPr>
          <w:rFonts w:ascii="Verdana" w:hAnsi="Verdana"/>
        </w:rPr>
        <w:t>consider</w:t>
      </w:r>
      <w:r w:rsidR="002C1185">
        <w:rPr>
          <w:rFonts w:ascii="Verdana" w:hAnsi="Verdana"/>
        </w:rPr>
        <w:t xml:space="preserve"> that </w:t>
      </w:r>
      <w:r w:rsidR="00A255AC" w:rsidRPr="00A255AC">
        <w:rPr>
          <w:rFonts w:ascii="Verdana" w:hAnsi="Verdana"/>
        </w:rPr>
        <w:t xml:space="preserve">the proposed Directives do amend provisions of a number of the Annex 1 equality directives and it is therefore important that NI equality law is amended to keep pace with any changes to these equality directives, if the proposals are introduced. </w:t>
      </w:r>
    </w:p>
    <w:p w14:paraId="6C5A2AE6" w14:textId="77777777" w:rsidR="001972A7" w:rsidRDefault="001972A7" w:rsidP="001972A7">
      <w:pPr>
        <w:pStyle w:val="ListParagraph"/>
      </w:pPr>
    </w:p>
    <w:p w14:paraId="77CEFC8E" w14:textId="62755C62" w:rsidR="00F21A53" w:rsidRDefault="008A22F6" w:rsidP="00B56194">
      <w:pPr>
        <w:pStyle w:val="BasicParagraph"/>
        <w:numPr>
          <w:ilvl w:val="1"/>
          <w:numId w:val="9"/>
        </w:numPr>
        <w:suppressAutoHyphens/>
        <w:ind w:left="709"/>
        <w:rPr>
          <w:rFonts w:ascii="Verdana" w:hAnsi="Verdana"/>
          <w:b/>
          <w:bCs/>
        </w:rPr>
      </w:pPr>
      <w:r w:rsidRPr="008A22F6">
        <w:rPr>
          <w:rFonts w:ascii="Verdana" w:hAnsi="Verdana"/>
          <w:b/>
          <w:bCs/>
        </w:rPr>
        <w:t>The NIHRC recommends that the Executive Office ensures</w:t>
      </w:r>
      <w:r w:rsidR="005F72A1" w:rsidRPr="008A22F6">
        <w:rPr>
          <w:rFonts w:ascii="Verdana" w:hAnsi="Verdana"/>
          <w:b/>
          <w:bCs/>
        </w:rPr>
        <w:t xml:space="preserve"> the necessary amendments are made to </w:t>
      </w:r>
      <w:r w:rsidRPr="008A22F6">
        <w:rPr>
          <w:rFonts w:ascii="Verdana" w:hAnsi="Verdana"/>
          <w:b/>
          <w:bCs/>
        </w:rPr>
        <w:t>the Race Relations (NI) Order</w:t>
      </w:r>
      <w:r w:rsidR="003429BF">
        <w:rPr>
          <w:rFonts w:ascii="Verdana" w:hAnsi="Verdana"/>
          <w:b/>
          <w:bCs/>
        </w:rPr>
        <w:t xml:space="preserve"> 1997,</w:t>
      </w:r>
      <w:r w:rsidRPr="008A22F6">
        <w:rPr>
          <w:rFonts w:ascii="Verdana" w:hAnsi="Verdana"/>
          <w:b/>
          <w:bCs/>
        </w:rPr>
        <w:t xml:space="preserve"> or equivalent</w:t>
      </w:r>
      <w:r w:rsidR="003429BF">
        <w:rPr>
          <w:rFonts w:ascii="Verdana" w:hAnsi="Verdana"/>
          <w:b/>
          <w:bCs/>
        </w:rPr>
        <w:t>,</w:t>
      </w:r>
      <w:r w:rsidRPr="008A22F6">
        <w:rPr>
          <w:rFonts w:ascii="Verdana" w:hAnsi="Verdana"/>
          <w:b/>
          <w:bCs/>
        </w:rPr>
        <w:t xml:space="preserve"> to </w:t>
      </w:r>
      <w:r w:rsidR="005F72A1" w:rsidRPr="008A22F6">
        <w:rPr>
          <w:rFonts w:ascii="Verdana" w:hAnsi="Verdana"/>
          <w:b/>
          <w:bCs/>
        </w:rPr>
        <w:t>ensure that the Equality Commission for NI can fulfil its mandate in full and has the necessary resources to do so effectively on a long-term basis.</w:t>
      </w:r>
    </w:p>
    <w:p w14:paraId="37C53F69" w14:textId="77777777" w:rsidR="00754538" w:rsidRDefault="00754538" w:rsidP="00754538">
      <w:pPr>
        <w:pStyle w:val="ListParagraph"/>
        <w:rPr>
          <w:b/>
          <w:bCs/>
        </w:rPr>
      </w:pPr>
    </w:p>
    <w:p w14:paraId="251E796F" w14:textId="480E7690" w:rsidR="00754538" w:rsidRPr="00754538" w:rsidRDefault="00754538" w:rsidP="00E06800">
      <w:pPr>
        <w:pStyle w:val="11NumPara"/>
        <w:numPr>
          <w:ilvl w:val="1"/>
          <w:numId w:val="9"/>
        </w:numPr>
        <w:spacing w:line="288" w:lineRule="auto"/>
        <w:ind w:left="709"/>
        <w:rPr>
          <w:rFonts w:ascii="Verdana" w:hAnsi="Verdana"/>
          <w:b/>
          <w:bCs/>
          <w:sz w:val="24"/>
          <w:szCs w:val="24"/>
        </w:rPr>
      </w:pPr>
      <w:r w:rsidRPr="00754538">
        <w:rPr>
          <w:rFonts w:ascii="Verdana" w:hAnsi="Verdana"/>
          <w:b/>
          <w:bCs/>
          <w:sz w:val="24"/>
          <w:szCs w:val="24"/>
        </w:rPr>
        <w:t xml:space="preserve">The </w:t>
      </w:r>
      <w:r w:rsidR="00E8041C">
        <w:rPr>
          <w:rFonts w:ascii="Verdana" w:hAnsi="Verdana"/>
          <w:b/>
          <w:bCs/>
          <w:sz w:val="24"/>
          <w:szCs w:val="24"/>
        </w:rPr>
        <w:t>NIHRC</w:t>
      </w:r>
      <w:r w:rsidRPr="00754538">
        <w:rPr>
          <w:rFonts w:ascii="Verdana" w:hAnsi="Verdana"/>
          <w:b/>
          <w:bCs/>
          <w:sz w:val="24"/>
          <w:szCs w:val="24"/>
        </w:rPr>
        <w:t xml:space="preserve"> recommend</w:t>
      </w:r>
      <w:r w:rsidR="00E8041C">
        <w:rPr>
          <w:rFonts w:ascii="Verdana" w:hAnsi="Verdana"/>
          <w:b/>
          <w:bCs/>
          <w:sz w:val="24"/>
          <w:szCs w:val="24"/>
        </w:rPr>
        <w:t>s</w:t>
      </w:r>
      <w:r w:rsidRPr="00754538">
        <w:rPr>
          <w:rFonts w:ascii="Verdana" w:hAnsi="Verdana"/>
          <w:b/>
          <w:bCs/>
          <w:sz w:val="24"/>
          <w:szCs w:val="24"/>
        </w:rPr>
        <w:t xml:space="preserve"> that the </w:t>
      </w:r>
      <w:r w:rsidR="00A255AC">
        <w:rPr>
          <w:rFonts w:ascii="Verdana" w:hAnsi="Verdana"/>
          <w:b/>
          <w:bCs/>
          <w:sz w:val="24"/>
          <w:szCs w:val="24"/>
        </w:rPr>
        <w:t xml:space="preserve">Executive Office </w:t>
      </w:r>
      <w:r w:rsidRPr="00754538">
        <w:rPr>
          <w:rFonts w:ascii="Verdana" w:hAnsi="Verdana"/>
          <w:b/>
          <w:bCs/>
          <w:sz w:val="24"/>
          <w:szCs w:val="24"/>
        </w:rPr>
        <w:t xml:space="preserve">commits to ensuring that to the extent that the EU directives on standards for equality bodies, if introduced, amend or replace </w:t>
      </w:r>
      <w:r w:rsidR="00A255AC">
        <w:rPr>
          <w:rFonts w:ascii="Verdana" w:hAnsi="Verdana"/>
          <w:b/>
          <w:bCs/>
          <w:sz w:val="24"/>
          <w:szCs w:val="24"/>
        </w:rPr>
        <w:t>the EU Rac</w:t>
      </w:r>
      <w:r w:rsidR="008D1F47">
        <w:rPr>
          <w:rFonts w:ascii="Verdana" w:hAnsi="Verdana"/>
          <w:b/>
          <w:bCs/>
          <w:sz w:val="24"/>
          <w:szCs w:val="24"/>
        </w:rPr>
        <w:t>e</w:t>
      </w:r>
      <w:r w:rsidR="00A255AC">
        <w:rPr>
          <w:rFonts w:ascii="Verdana" w:hAnsi="Verdana"/>
          <w:b/>
          <w:bCs/>
          <w:sz w:val="24"/>
          <w:szCs w:val="24"/>
        </w:rPr>
        <w:t xml:space="preserve"> Equality Directive</w:t>
      </w:r>
      <w:r w:rsidRPr="00754538">
        <w:rPr>
          <w:rFonts w:ascii="Verdana" w:hAnsi="Verdana"/>
          <w:b/>
          <w:bCs/>
          <w:sz w:val="24"/>
          <w:szCs w:val="24"/>
        </w:rPr>
        <w:t>,</w:t>
      </w:r>
      <w:r w:rsidR="00A255AC" w:rsidRPr="00754538">
        <w:rPr>
          <w:rFonts w:ascii="Verdana" w:hAnsi="Verdana"/>
          <w:b/>
          <w:bCs/>
          <w:sz w:val="24"/>
          <w:szCs w:val="24"/>
        </w:rPr>
        <w:t xml:space="preserve"> </w:t>
      </w:r>
      <w:r w:rsidRPr="00754538">
        <w:rPr>
          <w:rFonts w:ascii="Verdana" w:hAnsi="Verdana"/>
          <w:b/>
          <w:bCs/>
          <w:sz w:val="24"/>
          <w:szCs w:val="24"/>
        </w:rPr>
        <w:t>the law in NI is amended to keep pace</w:t>
      </w:r>
      <w:r w:rsidR="003B3CB8">
        <w:rPr>
          <w:rFonts w:ascii="Verdana" w:hAnsi="Verdana"/>
          <w:b/>
          <w:bCs/>
          <w:sz w:val="24"/>
          <w:szCs w:val="24"/>
        </w:rPr>
        <w:t>,</w:t>
      </w:r>
      <w:r w:rsidR="006428ED">
        <w:rPr>
          <w:rFonts w:ascii="Verdana" w:hAnsi="Verdana"/>
          <w:b/>
          <w:bCs/>
          <w:sz w:val="24"/>
          <w:szCs w:val="24"/>
        </w:rPr>
        <w:t xml:space="preserve"> as required</w:t>
      </w:r>
      <w:r w:rsidR="003B3CB8">
        <w:rPr>
          <w:rFonts w:ascii="Verdana" w:hAnsi="Verdana"/>
          <w:b/>
          <w:bCs/>
          <w:sz w:val="24"/>
          <w:szCs w:val="24"/>
        </w:rPr>
        <w:t>,</w:t>
      </w:r>
      <w:r w:rsidRPr="00754538">
        <w:rPr>
          <w:rFonts w:ascii="Verdana" w:hAnsi="Verdana"/>
          <w:b/>
          <w:bCs/>
          <w:sz w:val="24"/>
          <w:szCs w:val="24"/>
        </w:rPr>
        <w:t xml:space="preserve"> with that change. </w:t>
      </w:r>
    </w:p>
    <w:p w14:paraId="7090D6F5" w14:textId="77777777" w:rsidR="00F21A53" w:rsidRDefault="00F21A53" w:rsidP="00E003AF">
      <w:pPr>
        <w:pStyle w:val="BasicParagraph"/>
        <w:suppressAutoHyphens/>
        <w:ind w:left="-11"/>
        <w:rPr>
          <w:rFonts w:ascii="Verdana" w:hAnsi="Verdana"/>
        </w:rPr>
      </w:pPr>
    </w:p>
    <w:p w14:paraId="464062CF" w14:textId="765F8D5A" w:rsidR="00E003AF" w:rsidRDefault="00E003AF" w:rsidP="00BF654B">
      <w:pPr>
        <w:pStyle w:val="Heading1"/>
        <w:numPr>
          <w:ilvl w:val="0"/>
          <w:numId w:val="9"/>
        </w:numPr>
      </w:pPr>
      <w:bookmarkStart w:id="20" w:name="_Toc137459930"/>
      <w:r>
        <w:t>Enforcement</w:t>
      </w:r>
      <w:bookmarkEnd w:id="20"/>
    </w:p>
    <w:p w14:paraId="08E1F614" w14:textId="4A521FE9" w:rsidR="00E56D9D" w:rsidRPr="00E56D9D" w:rsidRDefault="00E56D9D" w:rsidP="00E56D9D">
      <w:pPr>
        <w:pStyle w:val="Heading2"/>
      </w:pPr>
      <w:bookmarkStart w:id="21" w:name="_Toc137459931"/>
      <w:r>
        <w:t>Effective remedy</w:t>
      </w:r>
      <w:bookmarkEnd w:id="21"/>
    </w:p>
    <w:p w14:paraId="3DC6F33F" w14:textId="6CC318E7" w:rsidR="006E6602" w:rsidRPr="00B82CA3" w:rsidRDefault="006F2741" w:rsidP="00BF654B">
      <w:pPr>
        <w:pStyle w:val="BasicParagraph"/>
        <w:numPr>
          <w:ilvl w:val="1"/>
          <w:numId w:val="9"/>
        </w:numPr>
        <w:suppressAutoHyphens/>
        <w:ind w:left="709"/>
        <w:rPr>
          <w:rFonts w:ascii="Verdana" w:hAnsi="Verdana"/>
        </w:rPr>
      </w:pPr>
      <w:r w:rsidRPr="00B82CA3">
        <w:rPr>
          <w:rFonts w:ascii="Verdana" w:hAnsi="Verdana"/>
        </w:rPr>
        <w:t xml:space="preserve">The consultation document includes proposals </w:t>
      </w:r>
      <w:r w:rsidR="001630ED" w:rsidRPr="00B82CA3">
        <w:rPr>
          <w:rFonts w:ascii="Verdana" w:hAnsi="Verdana"/>
        </w:rPr>
        <w:t xml:space="preserve">aimed at improving </w:t>
      </w:r>
      <w:r w:rsidR="4F6173C5" w:rsidRPr="00B82CA3">
        <w:rPr>
          <w:rFonts w:ascii="Verdana" w:hAnsi="Verdana"/>
        </w:rPr>
        <w:t xml:space="preserve">the </w:t>
      </w:r>
      <w:r w:rsidR="001630ED" w:rsidRPr="00B82CA3">
        <w:rPr>
          <w:rFonts w:ascii="Verdana" w:hAnsi="Verdana"/>
        </w:rPr>
        <w:t xml:space="preserve">enforcement </w:t>
      </w:r>
      <w:r w:rsidR="0F5263B3" w:rsidRPr="00B82CA3">
        <w:rPr>
          <w:rFonts w:ascii="Verdana" w:hAnsi="Verdana"/>
        </w:rPr>
        <w:t xml:space="preserve">of </w:t>
      </w:r>
      <w:r w:rsidR="001630ED" w:rsidRPr="00B82CA3">
        <w:rPr>
          <w:rFonts w:ascii="Verdana" w:hAnsi="Verdana"/>
        </w:rPr>
        <w:t>the Race Relations (NI) Order 1997</w:t>
      </w:r>
      <w:r w:rsidR="00DE1A26">
        <w:rPr>
          <w:rFonts w:ascii="Verdana" w:hAnsi="Verdana"/>
        </w:rPr>
        <w:t>,</w:t>
      </w:r>
      <w:r w:rsidR="001630ED" w:rsidRPr="00B82CA3">
        <w:rPr>
          <w:rFonts w:ascii="Verdana" w:hAnsi="Verdana"/>
        </w:rPr>
        <w:t xml:space="preserve"> or equivalent.</w:t>
      </w:r>
      <w:r w:rsidR="001630ED" w:rsidRPr="00B82CA3">
        <w:rPr>
          <w:rStyle w:val="FootnoteReference"/>
          <w:rFonts w:ascii="Verdana" w:hAnsi="Verdana"/>
        </w:rPr>
        <w:footnoteReference w:id="126"/>
      </w:r>
      <w:r w:rsidR="00B46AA0" w:rsidRPr="00B82CA3">
        <w:rPr>
          <w:rFonts w:ascii="Verdana" w:hAnsi="Verdana"/>
        </w:rPr>
        <w:t xml:space="preserve"> This includes considering whether Articles 52 and 53 of the Race Relations (NI) Order should include </w:t>
      </w:r>
      <w:r w:rsidR="00855C89" w:rsidRPr="00B82CA3">
        <w:rPr>
          <w:rFonts w:ascii="Verdana" w:hAnsi="Verdana"/>
        </w:rPr>
        <w:t xml:space="preserve">the power for tribunals to make recommendations that benefit the whole workforce, including workforce-wide training. </w:t>
      </w:r>
      <w:r w:rsidR="008D1671" w:rsidRPr="00B82CA3">
        <w:rPr>
          <w:rFonts w:ascii="Verdana" w:hAnsi="Verdana"/>
        </w:rPr>
        <w:t xml:space="preserve">The Executive Office </w:t>
      </w:r>
      <w:r w:rsidR="006E6602" w:rsidRPr="00B82CA3">
        <w:rPr>
          <w:rFonts w:ascii="Verdana" w:hAnsi="Verdana"/>
        </w:rPr>
        <w:t>states that</w:t>
      </w:r>
      <w:r w:rsidR="00B82CA3" w:rsidRPr="00B82CA3">
        <w:rPr>
          <w:rFonts w:ascii="Verdana" w:hAnsi="Verdana"/>
        </w:rPr>
        <w:t xml:space="preserve"> “</w:t>
      </w:r>
      <w:r w:rsidR="006E6602" w:rsidRPr="00B82CA3">
        <w:rPr>
          <w:rFonts w:ascii="Verdana" w:hAnsi="Verdana"/>
        </w:rPr>
        <w:t>anecdotal evidence on this matter showed that, in the majority of cases in Great Britain, tribunals most frequently recommended training and that few, even with the power to do so, recommended anything more</w:t>
      </w:r>
      <w:r w:rsidR="00B82CA3" w:rsidRPr="00B82CA3">
        <w:rPr>
          <w:rFonts w:ascii="Verdana" w:hAnsi="Verdana"/>
        </w:rPr>
        <w:t>"</w:t>
      </w:r>
      <w:r w:rsidR="006E6602" w:rsidRPr="00B82CA3">
        <w:rPr>
          <w:rFonts w:ascii="Verdana" w:hAnsi="Verdana"/>
        </w:rPr>
        <w:t>.</w:t>
      </w:r>
      <w:r w:rsidR="003429BF">
        <w:rPr>
          <w:rStyle w:val="FootnoteReference"/>
          <w:rFonts w:ascii="Verdana" w:hAnsi="Verdana"/>
        </w:rPr>
        <w:footnoteReference w:id="127"/>
      </w:r>
      <w:r w:rsidR="006E6602" w:rsidRPr="00B82CA3">
        <w:rPr>
          <w:rFonts w:ascii="Verdana" w:hAnsi="Verdana"/>
        </w:rPr>
        <w:t xml:space="preserve"> </w:t>
      </w:r>
    </w:p>
    <w:p w14:paraId="30A68C9C" w14:textId="77777777" w:rsidR="001630ED" w:rsidRDefault="001630ED" w:rsidP="001630ED">
      <w:pPr>
        <w:pStyle w:val="BasicParagraph"/>
        <w:suppressAutoHyphens/>
        <w:ind w:left="709"/>
        <w:rPr>
          <w:rFonts w:ascii="Verdana" w:hAnsi="Verdana"/>
        </w:rPr>
      </w:pPr>
    </w:p>
    <w:p w14:paraId="57677235" w14:textId="7B369561" w:rsidR="00405810" w:rsidRDefault="00FE5560" w:rsidP="00405810">
      <w:pPr>
        <w:pStyle w:val="BasicParagraph"/>
        <w:numPr>
          <w:ilvl w:val="1"/>
          <w:numId w:val="9"/>
        </w:numPr>
        <w:suppressAutoHyphens/>
        <w:ind w:left="709"/>
        <w:rPr>
          <w:rFonts w:ascii="Verdana" w:hAnsi="Verdana"/>
        </w:rPr>
      </w:pPr>
      <w:r>
        <w:rPr>
          <w:rFonts w:ascii="Verdana" w:hAnsi="Verdana"/>
        </w:rPr>
        <w:t>Article 13 of the ECHR and Article 2(3) of the UN ICCPR</w:t>
      </w:r>
      <w:r w:rsidR="00C306AC">
        <w:rPr>
          <w:rFonts w:ascii="Verdana" w:hAnsi="Verdana"/>
        </w:rPr>
        <w:t xml:space="preserve"> provide for the</w:t>
      </w:r>
      <w:r w:rsidR="00E1209F">
        <w:rPr>
          <w:rFonts w:ascii="Verdana" w:hAnsi="Verdana"/>
        </w:rPr>
        <w:t xml:space="preserve"> right to an effective remedy. </w:t>
      </w:r>
      <w:r w:rsidR="00F8347E">
        <w:rPr>
          <w:rFonts w:ascii="Verdana" w:hAnsi="Verdana"/>
        </w:rPr>
        <w:t xml:space="preserve">The UN ICESCR Committee is clear that </w:t>
      </w:r>
      <w:r w:rsidR="0013321F">
        <w:rPr>
          <w:rFonts w:ascii="Verdana" w:hAnsi="Verdana"/>
        </w:rPr>
        <w:t>discrimination should be effectively addressed.</w:t>
      </w:r>
      <w:r w:rsidR="0013321F">
        <w:rPr>
          <w:rStyle w:val="FootnoteReference"/>
          <w:rFonts w:ascii="Verdana" w:hAnsi="Verdana"/>
        </w:rPr>
        <w:footnoteReference w:id="128"/>
      </w:r>
      <w:r w:rsidR="0013321F">
        <w:rPr>
          <w:rFonts w:ascii="Verdana" w:hAnsi="Verdana"/>
        </w:rPr>
        <w:t xml:space="preserve"> </w:t>
      </w:r>
      <w:r w:rsidR="00F21A53" w:rsidRPr="00E003AF">
        <w:rPr>
          <w:rFonts w:ascii="Verdana" w:hAnsi="Verdana"/>
        </w:rPr>
        <w:t xml:space="preserve">Human rights standards </w:t>
      </w:r>
      <w:r w:rsidR="00F21A53" w:rsidRPr="00E003AF">
        <w:rPr>
          <w:rFonts w:ascii="Verdana" w:hAnsi="Verdana"/>
        </w:rPr>
        <w:lastRenderedPageBreak/>
        <w:t>are not prescriptive on how the right to an effective remedy is guaranteed. However, they are clear that the remedy “must be ‘effective’ in practice as well as in law”.</w:t>
      </w:r>
      <w:r w:rsidR="00F21A53" w:rsidRPr="00E003AF">
        <w:rPr>
          <w:rStyle w:val="FootnoteReference"/>
          <w:rFonts w:ascii="Verdana" w:hAnsi="Verdana"/>
        </w:rPr>
        <w:footnoteReference w:id="129"/>
      </w:r>
      <w:r w:rsidR="00F21A53" w:rsidRPr="00E003AF">
        <w:rPr>
          <w:rFonts w:ascii="Verdana" w:hAnsi="Verdana"/>
        </w:rPr>
        <w:t xml:space="preserve"> To be effective, the remedy must be accessible, capable of providing redress in respect of the complaint, and offer reasonable prospects of success.</w:t>
      </w:r>
      <w:r w:rsidR="00F21A53" w:rsidRPr="00E003AF">
        <w:rPr>
          <w:rStyle w:val="FootnoteReference"/>
          <w:rFonts w:ascii="Verdana" w:hAnsi="Verdana"/>
        </w:rPr>
        <w:footnoteReference w:id="130"/>
      </w:r>
      <w:r w:rsidR="00F21A53" w:rsidRPr="00E003AF">
        <w:rPr>
          <w:rFonts w:ascii="Verdana" w:hAnsi="Verdana"/>
        </w:rPr>
        <w:t xml:space="preserve"> </w:t>
      </w:r>
    </w:p>
    <w:p w14:paraId="626DB6E2" w14:textId="77777777" w:rsidR="00405810" w:rsidRDefault="00405810" w:rsidP="00405810">
      <w:pPr>
        <w:pStyle w:val="BasicParagraph"/>
        <w:suppressAutoHyphens/>
        <w:ind w:left="709"/>
        <w:rPr>
          <w:rFonts w:ascii="Verdana" w:hAnsi="Verdana"/>
        </w:rPr>
      </w:pPr>
    </w:p>
    <w:p w14:paraId="299A986E" w14:textId="474866A0" w:rsidR="00B92A2B" w:rsidRDefault="00BF654B" w:rsidP="00405810">
      <w:pPr>
        <w:pStyle w:val="BasicParagraph"/>
        <w:numPr>
          <w:ilvl w:val="1"/>
          <w:numId w:val="9"/>
        </w:numPr>
        <w:suppressAutoHyphens/>
        <w:ind w:left="709"/>
      </w:pPr>
      <w:r>
        <w:rPr>
          <w:rFonts w:ascii="Verdana" w:hAnsi="Verdana"/>
        </w:rPr>
        <w:t>Article 47 of the Charter of Fundamental Rights of the EU provides for the right to an effective remedy against a violation of any right or freedom arising under Union law. The Charter of Fundamental Rights remains relevant for interpreting provisions of the UK/EU Withdrawal Agreement, including the Windsor Framework, and EU law made applicable under its provisions.</w:t>
      </w:r>
      <w:r>
        <w:rPr>
          <w:rStyle w:val="FootnoteReference"/>
          <w:rFonts w:ascii="Verdana" w:hAnsi="Verdana"/>
        </w:rPr>
        <w:footnoteReference w:id="131"/>
      </w:r>
      <w:r>
        <w:rPr>
          <w:rFonts w:ascii="Verdana" w:hAnsi="Verdana"/>
        </w:rPr>
        <w:t xml:space="preserve"> This includes the EU Race Equality Directive which, when read in conjunction with Article 47</w:t>
      </w:r>
      <w:r w:rsidR="00656C1E">
        <w:rPr>
          <w:rFonts w:ascii="Verdana" w:hAnsi="Verdana"/>
        </w:rPr>
        <w:t xml:space="preserve"> of the </w:t>
      </w:r>
      <w:r w:rsidR="009537B5">
        <w:rPr>
          <w:rFonts w:ascii="Verdana" w:hAnsi="Verdana"/>
        </w:rPr>
        <w:t xml:space="preserve">EU </w:t>
      </w:r>
      <w:r w:rsidR="00656C1E">
        <w:rPr>
          <w:rFonts w:ascii="Verdana" w:hAnsi="Verdana"/>
        </w:rPr>
        <w:t>Charter</w:t>
      </w:r>
      <w:r>
        <w:rPr>
          <w:rFonts w:ascii="Verdana" w:hAnsi="Verdana"/>
        </w:rPr>
        <w:t>, an individual is entitled to judicial protection in respect of their rights.</w:t>
      </w:r>
      <w:r>
        <w:rPr>
          <w:rStyle w:val="FootnoteReference"/>
          <w:rFonts w:ascii="Verdana" w:hAnsi="Verdana"/>
        </w:rPr>
        <w:footnoteReference w:id="132"/>
      </w:r>
    </w:p>
    <w:p w14:paraId="26EC3988" w14:textId="77777777" w:rsidR="00405810" w:rsidRDefault="00405810" w:rsidP="00405810">
      <w:pPr>
        <w:pStyle w:val="BasicParagraph"/>
        <w:suppressAutoHyphens/>
        <w:ind w:left="709"/>
        <w:rPr>
          <w:rFonts w:ascii="Verdana" w:hAnsi="Verdana"/>
        </w:rPr>
      </w:pPr>
    </w:p>
    <w:p w14:paraId="6656C398" w14:textId="77E97AB0" w:rsidR="00B92A2B" w:rsidRPr="00405810" w:rsidRDefault="00B92A2B" w:rsidP="00405810">
      <w:pPr>
        <w:pStyle w:val="BasicParagraph"/>
        <w:numPr>
          <w:ilvl w:val="1"/>
          <w:numId w:val="9"/>
        </w:numPr>
        <w:suppressAutoHyphens/>
        <w:ind w:left="709"/>
        <w:rPr>
          <w:rFonts w:ascii="Verdana" w:hAnsi="Verdana"/>
        </w:rPr>
      </w:pPr>
      <w:r>
        <w:rPr>
          <w:rFonts w:ascii="Verdana" w:hAnsi="Verdana"/>
        </w:rPr>
        <w:t>The NIHRC,</w:t>
      </w:r>
      <w:r w:rsidR="00E41067" w:rsidRPr="00E41067">
        <w:rPr>
          <w:rFonts w:ascii="Verdana" w:hAnsi="Verdana"/>
        </w:rPr>
        <w:t xml:space="preserve"> </w:t>
      </w:r>
      <w:r w:rsidR="00E41067" w:rsidRPr="00032450">
        <w:rPr>
          <w:rFonts w:ascii="Verdana" w:hAnsi="Verdana"/>
        </w:rPr>
        <w:t xml:space="preserve">jointly with Equality Commission for NI and Irish Human Rights and Equality Commission, have published research on the impact of </w:t>
      </w:r>
      <w:r w:rsidR="008A44BC">
        <w:rPr>
          <w:rFonts w:ascii="Verdana" w:hAnsi="Verdana"/>
        </w:rPr>
        <w:t>withdrawal from the EU</w:t>
      </w:r>
      <w:r w:rsidR="008A44BC" w:rsidRPr="00032450">
        <w:rPr>
          <w:rFonts w:ascii="Verdana" w:hAnsi="Verdana"/>
        </w:rPr>
        <w:t xml:space="preserve"> </w:t>
      </w:r>
      <w:r w:rsidR="00E41067" w:rsidRPr="00032450">
        <w:rPr>
          <w:rFonts w:ascii="Verdana" w:hAnsi="Verdana"/>
        </w:rPr>
        <w:t>on</w:t>
      </w:r>
      <w:r w:rsidR="007456EF" w:rsidRPr="007456EF">
        <w:rPr>
          <w:rFonts w:ascii="Verdana" w:hAnsi="Verdana"/>
        </w:rPr>
        <w:t xml:space="preserve"> </w:t>
      </w:r>
      <w:r w:rsidR="007456EF" w:rsidRPr="00032450">
        <w:rPr>
          <w:rFonts w:ascii="Verdana" w:hAnsi="Verdana"/>
        </w:rPr>
        <w:t>the Divergence of Rights.</w:t>
      </w:r>
      <w:r w:rsidR="00F764B1">
        <w:rPr>
          <w:rStyle w:val="FootnoteReference"/>
          <w:rFonts w:ascii="Verdana" w:hAnsi="Verdana"/>
        </w:rPr>
        <w:footnoteReference w:id="133"/>
      </w:r>
      <w:r w:rsidR="007456EF" w:rsidRPr="00032450">
        <w:rPr>
          <w:rFonts w:ascii="Verdana" w:hAnsi="Verdana"/>
        </w:rPr>
        <w:t xml:space="preserve"> The research suggests that, where provisions of the Race Relations Order empower courts and tribunals to determine discrimination complaints and provide compensation, this can arguably make victims more likely to seek out-of-court settlements.</w:t>
      </w:r>
      <w:r w:rsidR="009A674C">
        <w:rPr>
          <w:rFonts w:ascii="Verdana" w:hAnsi="Verdana"/>
        </w:rPr>
        <w:t xml:space="preserve"> </w:t>
      </w:r>
      <w:r w:rsidR="009A674C" w:rsidRPr="00405810">
        <w:rPr>
          <w:rFonts w:ascii="Verdana" w:hAnsi="Verdana"/>
        </w:rPr>
        <w:t xml:space="preserve">In Braathens, </w:t>
      </w:r>
      <w:r w:rsidR="00BF4B20" w:rsidRPr="00405810">
        <w:rPr>
          <w:rFonts w:ascii="Verdana" w:hAnsi="Verdana"/>
        </w:rPr>
        <w:t>the CJEU stated that Article 7 of the EU Race Equality Directive, requiring States to ensure that judicial and administrative procedures for the enforcement of obligations under the Directive are available to all persons who feel they have been discriminated against, reaffirms the rights to effective remedy under Article 47 of the EU Charter.</w:t>
      </w:r>
      <w:r w:rsidR="00BF4B20">
        <w:rPr>
          <w:rStyle w:val="FootnoteReference"/>
          <w:rFonts w:ascii="Verdana" w:hAnsi="Verdana"/>
        </w:rPr>
        <w:footnoteReference w:id="134"/>
      </w:r>
      <w:r w:rsidR="00BF4B20" w:rsidRPr="00405810">
        <w:rPr>
          <w:rFonts w:ascii="Verdana" w:hAnsi="Verdana"/>
        </w:rPr>
        <w:t xml:space="preserve"> </w:t>
      </w:r>
      <w:r w:rsidR="00A50506" w:rsidRPr="00405810">
        <w:rPr>
          <w:rFonts w:ascii="Verdana" w:hAnsi="Verdana"/>
        </w:rPr>
        <w:t xml:space="preserve">The </w:t>
      </w:r>
      <w:r w:rsidR="00656C1E">
        <w:rPr>
          <w:rFonts w:ascii="Verdana" w:hAnsi="Verdana"/>
        </w:rPr>
        <w:t>CJEU</w:t>
      </w:r>
      <w:r w:rsidR="00A50506" w:rsidRPr="00405810">
        <w:rPr>
          <w:rFonts w:ascii="Verdana" w:hAnsi="Verdana"/>
        </w:rPr>
        <w:t xml:space="preserve"> also drew attention to Article 15 of the EU Directive on sanctions. The court affirmed that Article 15 obliges </w:t>
      </w:r>
      <w:r w:rsidR="009537B5">
        <w:rPr>
          <w:rFonts w:ascii="Verdana" w:hAnsi="Verdana"/>
        </w:rPr>
        <w:t>S</w:t>
      </w:r>
      <w:r w:rsidR="00A50506" w:rsidRPr="00405810">
        <w:rPr>
          <w:rFonts w:ascii="Verdana" w:hAnsi="Verdana"/>
        </w:rPr>
        <w:t xml:space="preserve">tates </w:t>
      </w:r>
      <w:r w:rsidR="00A50506" w:rsidRPr="00405810">
        <w:rPr>
          <w:rFonts w:ascii="Verdana" w:hAnsi="Verdana" w:cs="Open Sans"/>
        </w:rPr>
        <w:t>to:</w:t>
      </w:r>
    </w:p>
    <w:p w14:paraId="057F3903" w14:textId="77777777" w:rsidR="00A50506" w:rsidRDefault="00A50506" w:rsidP="00405810">
      <w:pPr>
        <w:pStyle w:val="ListParagraph"/>
      </w:pPr>
    </w:p>
    <w:p w14:paraId="3C9D9C3A" w14:textId="49A8299C" w:rsidR="00A50506" w:rsidRDefault="009537B5" w:rsidP="00AE681D">
      <w:pPr>
        <w:pStyle w:val="BasicParagraph"/>
        <w:suppressAutoHyphens/>
        <w:ind w:left="993"/>
        <w:rPr>
          <w:rFonts w:ascii="Verdana" w:hAnsi="Verdana"/>
        </w:rPr>
      </w:pPr>
      <w:r>
        <w:rPr>
          <w:rFonts w:ascii="Verdana" w:hAnsi="Verdana"/>
        </w:rPr>
        <w:t>i</w:t>
      </w:r>
      <w:r w:rsidR="00A50506">
        <w:rPr>
          <w:rFonts w:ascii="Verdana" w:hAnsi="Verdana"/>
        </w:rPr>
        <w:t xml:space="preserve">ntroduce into their national legal systems measures </w:t>
      </w:r>
      <w:r w:rsidR="000C14BD" w:rsidRPr="00627DB0">
        <w:rPr>
          <w:rFonts w:ascii="Verdana" w:hAnsi="Verdana" w:cs="Open Sans"/>
        </w:rPr>
        <w:t xml:space="preserve">which are sufficiently effective to achieve the aim of that directive and to ensure that they may be effectively relied upon before the national courts, </w:t>
      </w:r>
      <w:r w:rsidR="000C14BD" w:rsidRPr="00627DB0">
        <w:rPr>
          <w:rFonts w:ascii="Verdana" w:hAnsi="Verdana" w:cs="Open Sans"/>
        </w:rPr>
        <w:lastRenderedPageBreak/>
        <w:t>including by an association, organisation or legal entity</w:t>
      </w:r>
      <w:r w:rsidR="000C14BD">
        <w:rPr>
          <w:rFonts w:ascii="Verdana" w:hAnsi="Verdana" w:cs="Open Sans"/>
        </w:rPr>
        <w:t>… so that judicial protection is real and effective.</w:t>
      </w:r>
      <w:r w:rsidR="000C14BD">
        <w:rPr>
          <w:rStyle w:val="FootnoteReference"/>
          <w:rFonts w:ascii="Verdana" w:hAnsi="Verdana" w:cs="Open Sans"/>
        </w:rPr>
        <w:footnoteReference w:id="135"/>
      </w:r>
    </w:p>
    <w:p w14:paraId="7C98FFCE" w14:textId="18621B99" w:rsidR="00016B20" w:rsidRDefault="6941CA64" w:rsidP="00016B20">
      <w:pPr>
        <w:pStyle w:val="ListParagraph"/>
        <w:rPr>
          <w:b/>
          <w:bCs/>
        </w:rPr>
      </w:pPr>
      <w:r>
        <w:t xml:space="preserve"> </w:t>
      </w:r>
      <w:r w:rsidR="7D4358A4">
        <w:t xml:space="preserve"> </w:t>
      </w:r>
      <w:r w:rsidR="3123368C" w:rsidRPr="1919F63A">
        <w:t xml:space="preserve"> </w:t>
      </w:r>
    </w:p>
    <w:p w14:paraId="310A8B91" w14:textId="66CC0577" w:rsidR="00016B20" w:rsidRDefault="000B474F" w:rsidP="00B56194">
      <w:pPr>
        <w:pStyle w:val="BasicParagraph"/>
        <w:numPr>
          <w:ilvl w:val="1"/>
          <w:numId w:val="9"/>
        </w:numPr>
        <w:suppressAutoHyphens/>
        <w:ind w:left="709"/>
        <w:rPr>
          <w:rFonts w:ascii="Verdana" w:hAnsi="Verdana"/>
          <w:b/>
          <w:bCs/>
          <w:color w:val="auto"/>
        </w:rPr>
      </w:pPr>
      <w:r>
        <w:rPr>
          <w:rFonts w:ascii="Verdana" w:hAnsi="Verdana"/>
          <w:b/>
          <w:bCs/>
          <w:color w:val="auto"/>
        </w:rPr>
        <w:t>The NIHRC recommends to the Ex</w:t>
      </w:r>
      <w:r w:rsidR="001E05BB">
        <w:rPr>
          <w:rFonts w:ascii="Verdana" w:hAnsi="Verdana"/>
          <w:b/>
          <w:bCs/>
          <w:color w:val="auto"/>
        </w:rPr>
        <w:t xml:space="preserve">ecutive Office </w:t>
      </w:r>
      <w:r>
        <w:rPr>
          <w:rFonts w:ascii="Verdana" w:hAnsi="Verdana"/>
          <w:b/>
          <w:bCs/>
          <w:color w:val="auto"/>
        </w:rPr>
        <w:t xml:space="preserve">that any reform </w:t>
      </w:r>
      <w:r w:rsidR="00FF42B7">
        <w:rPr>
          <w:rFonts w:ascii="Verdana" w:hAnsi="Verdana"/>
          <w:b/>
          <w:bCs/>
          <w:color w:val="auto"/>
        </w:rPr>
        <w:t xml:space="preserve">of </w:t>
      </w:r>
      <w:r w:rsidR="001E05BB">
        <w:rPr>
          <w:rFonts w:ascii="Verdana" w:hAnsi="Verdana"/>
          <w:b/>
          <w:bCs/>
          <w:color w:val="auto"/>
        </w:rPr>
        <w:t xml:space="preserve">the Race Relations (NI) Order 1997, or equivalent, </w:t>
      </w:r>
      <w:r w:rsidR="00016B20" w:rsidRPr="00016B20">
        <w:rPr>
          <w:rFonts w:ascii="Verdana" w:hAnsi="Verdana"/>
          <w:b/>
          <w:bCs/>
          <w:color w:val="auto"/>
        </w:rPr>
        <w:t>provide</w:t>
      </w:r>
      <w:r w:rsidR="001E05BB">
        <w:rPr>
          <w:rFonts w:ascii="Verdana" w:hAnsi="Verdana"/>
          <w:b/>
          <w:bCs/>
          <w:color w:val="auto"/>
        </w:rPr>
        <w:t>s</w:t>
      </w:r>
      <w:r w:rsidR="00016B20" w:rsidRPr="00016B20">
        <w:rPr>
          <w:rFonts w:ascii="Verdana" w:hAnsi="Verdana"/>
          <w:b/>
          <w:bCs/>
          <w:color w:val="auto"/>
        </w:rPr>
        <w:t xml:space="preserve"> clarity to victims regarding their right to judicial protection in addition to any such settlements and to clarify that jurisdiction cannot be excluded by private agreement.</w:t>
      </w:r>
    </w:p>
    <w:p w14:paraId="028DC61E" w14:textId="77777777" w:rsidR="00627DB0" w:rsidRDefault="00627DB0" w:rsidP="005403BD">
      <w:pPr>
        <w:pStyle w:val="BasicParagraph"/>
        <w:suppressAutoHyphens/>
        <w:ind w:left="709"/>
        <w:rPr>
          <w:rFonts w:ascii="Verdana" w:hAnsi="Verdana"/>
          <w:b/>
          <w:bCs/>
          <w:color w:val="auto"/>
        </w:rPr>
      </w:pPr>
    </w:p>
    <w:p w14:paraId="2DB84716" w14:textId="46A63275" w:rsidR="00627DB0" w:rsidRPr="00016B20" w:rsidRDefault="00627DB0" w:rsidP="00B56194">
      <w:pPr>
        <w:pStyle w:val="BasicParagraph"/>
        <w:numPr>
          <w:ilvl w:val="1"/>
          <w:numId w:val="9"/>
        </w:numPr>
        <w:suppressAutoHyphens/>
        <w:ind w:left="709"/>
        <w:rPr>
          <w:rFonts w:ascii="Verdana" w:hAnsi="Verdana"/>
          <w:b/>
          <w:bCs/>
          <w:color w:val="auto"/>
        </w:rPr>
      </w:pPr>
      <w:r>
        <w:rPr>
          <w:rFonts w:ascii="Verdana" w:hAnsi="Verdana"/>
          <w:b/>
          <w:bCs/>
          <w:color w:val="auto"/>
        </w:rPr>
        <w:t xml:space="preserve">The NIHRC </w:t>
      </w:r>
      <w:r w:rsidR="008A44BC">
        <w:rPr>
          <w:rFonts w:ascii="Verdana" w:hAnsi="Verdana"/>
          <w:b/>
          <w:bCs/>
          <w:color w:val="auto"/>
        </w:rPr>
        <w:t xml:space="preserve">recommends </w:t>
      </w:r>
      <w:r w:rsidR="0000089C">
        <w:rPr>
          <w:rFonts w:ascii="Verdana" w:hAnsi="Verdana"/>
          <w:b/>
          <w:bCs/>
          <w:color w:val="auto"/>
        </w:rPr>
        <w:t xml:space="preserve">that </w:t>
      </w:r>
      <w:r w:rsidR="00103E9D">
        <w:rPr>
          <w:rFonts w:ascii="Verdana" w:hAnsi="Verdana"/>
          <w:b/>
          <w:bCs/>
          <w:color w:val="auto"/>
        </w:rPr>
        <w:t xml:space="preserve">the Executive Office </w:t>
      </w:r>
      <w:r w:rsidR="008A44BC">
        <w:rPr>
          <w:rFonts w:ascii="Verdana" w:hAnsi="Verdana"/>
          <w:b/>
          <w:bCs/>
          <w:color w:val="auto"/>
        </w:rPr>
        <w:t>should clarify more precisely that</w:t>
      </w:r>
      <w:r w:rsidR="00B52789">
        <w:rPr>
          <w:rFonts w:ascii="Verdana" w:hAnsi="Verdana"/>
          <w:b/>
          <w:bCs/>
          <w:color w:val="auto"/>
        </w:rPr>
        <w:t xml:space="preserve"> remedies under the Race Relations (NI) Order 1997, or equivalent, </w:t>
      </w:r>
      <w:r w:rsidR="008A44BC">
        <w:rPr>
          <w:rFonts w:ascii="Verdana" w:hAnsi="Verdana"/>
          <w:b/>
          <w:bCs/>
          <w:color w:val="auto"/>
        </w:rPr>
        <w:t xml:space="preserve">must </w:t>
      </w:r>
      <w:r w:rsidR="005403BD">
        <w:rPr>
          <w:rFonts w:ascii="Verdana" w:hAnsi="Verdana"/>
          <w:b/>
          <w:bCs/>
          <w:color w:val="auto"/>
        </w:rPr>
        <w:t>result in real and effective judicial protection of the rights derived from the EU Race Equality Directive and Article 47 of the EU Charter.</w:t>
      </w:r>
    </w:p>
    <w:p w14:paraId="3DE08133" w14:textId="77777777" w:rsidR="00AA2738" w:rsidRDefault="00AA2738" w:rsidP="004813B4">
      <w:pPr>
        <w:rPr>
          <w:b/>
          <w:bCs/>
        </w:rPr>
      </w:pPr>
    </w:p>
    <w:p w14:paraId="154D7C9A" w14:textId="3896939A" w:rsidR="004813B4" w:rsidRPr="004813B4" w:rsidRDefault="004813B4" w:rsidP="004813B4">
      <w:pPr>
        <w:pStyle w:val="Heading2"/>
      </w:pPr>
      <w:bookmarkStart w:id="22" w:name="_Toc137459932"/>
      <w:r>
        <w:t>Reasonable training</w:t>
      </w:r>
      <w:bookmarkEnd w:id="22"/>
    </w:p>
    <w:p w14:paraId="0BCFA298" w14:textId="54DFDF52" w:rsidR="00B82CA3" w:rsidRPr="00B82CA3" w:rsidRDefault="00B82CA3" w:rsidP="00AA2738">
      <w:pPr>
        <w:pStyle w:val="BasicParagraph"/>
        <w:numPr>
          <w:ilvl w:val="1"/>
          <w:numId w:val="9"/>
        </w:numPr>
        <w:suppressAutoHyphens/>
        <w:ind w:left="709"/>
        <w:rPr>
          <w:rFonts w:ascii="Verdana" w:hAnsi="Verdana"/>
        </w:rPr>
      </w:pPr>
      <w:r w:rsidRPr="00B82CA3">
        <w:rPr>
          <w:rFonts w:ascii="Verdana" w:hAnsi="Verdana"/>
        </w:rPr>
        <w:t xml:space="preserve">In considering whether Articles 52 and 53 of the Race Relations (NI) Order </w:t>
      </w:r>
      <w:r w:rsidR="0053501F">
        <w:rPr>
          <w:rFonts w:ascii="Verdana" w:hAnsi="Verdana"/>
        </w:rPr>
        <w:t xml:space="preserve">1997 </w:t>
      </w:r>
      <w:r w:rsidRPr="00B82CA3">
        <w:rPr>
          <w:rFonts w:ascii="Verdana" w:hAnsi="Verdana"/>
        </w:rPr>
        <w:t>should include the power for tribunals to make recommendations that benefit the whole workforce, including workforce-wide training, the Executive Office also states that "it was suggested that training can be expensive but ultimately not overly helpful in changing attitudes".</w:t>
      </w:r>
      <w:r w:rsidRPr="00B82CA3">
        <w:rPr>
          <w:rStyle w:val="FootnoteReference"/>
          <w:rFonts w:ascii="Verdana" w:hAnsi="Verdana"/>
        </w:rPr>
        <w:footnoteReference w:id="136"/>
      </w:r>
    </w:p>
    <w:p w14:paraId="379D6029" w14:textId="77777777" w:rsidR="00B82CA3" w:rsidRDefault="00B82CA3" w:rsidP="00B82CA3">
      <w:pPr>
        <w:pStyle w:val="ListParagraph"/>
      </w:pPr>
    </w:p>
    <w:p w14:paraId="68C96973" w14:textId="3F647454" w:rsidR="00AA2738" w:rsidRDefault="00AA2738" w:rsidP="00AA2738">
      <w:pPr>
        <w:pStyle w:val="BasicParagraph"/>
        <w:numPr>
          <w:ilvl w:val="1"/>
          <w:numId w:val="9"/>
        </w:numPr>
        <w:suppressAutoHyphens/>
        <w:ind w:left="709"/>
        <w:rPr>
          <w:rFonts w:ascii="Verdana" w:hAnsi="Verdana"/>
        </w:rPr>
      </w:pPr>
      <w:r>
        <w:rPr>
          <w:rFonts w:ascii="Verdana" w:hAnsi="Verdana"/>
        </w:rPr>
        <w:t>H</w:t>
      </w:r>
      <w:r w:rsidRPr="00E003AF">
        <w:rPr>
          <w:rFonts w:ascii="Verdana" w:hAnsi="Verdana"/>
        </w:rPr>
        <w:t>uman rights standards commonly require that the maximum available resources are used to ensure human rights compliance.</w:t>
      </w:r>
      <w:r w:rsidRPr="00E003AF">
        <w:rPr>
          <w:rStyle w:val="FootnoteReference"/>
          <w:rFonts w:ascii="Verdana" w:hAnsi="Verdana"/>
        </w:rPr>
        <w:footnoteReference w:id="137"/>
      </w:r>
      <w:r w:rsidRPr="00E003AF">
        <w:rPr>
          <w:rFonts w:ascii="Verdana" w:hAnsi="Verdana"/>
        </w:rPr>
        <w:t xml:space="preserve"> In simplified terms, this does not seek to place an undue burden on duty-holders, but does require that all that can be done is undertaken within the resources available.</w:t>
      </w:r>
    </w:p>
    <w:p w14:paraId="2DCCC94A" w14:textId="77777777" w:rsidR="00AA2738" w:rsidRDefault="00AA2738" w:rsidP="00AA2738">
      <w:pPr>
        <w:pStyle w:val="ListParagraph"/>
      </w:pPr>
    </w:p>
    <w:p w14:paraId="2452DDAC" w14:textId="77777777" w:rsidR="00AA2738" w:rsidRDefault="00AA2738" w:rsidP="00AA2738">
      <w:pPr>
        <w:pStyle w:val="BasicParagraph"/>
        <w:numPr>
          <w:ilvl w:val="1"/>
          <w:numId w:val="9"/>
        </w:numPr>
        <w:suppressAutoHyphens/>
        <w:ind w:left="709"/>
        <w:rPr>
          <w:rFonts w:ascii="Verdana" w:hAnsi="Verdana"/>
        </w:rPr>
      </w:pPr>
      <w:r>
        <w:rPr>
          <w:rFonts w:ascii="Verdana" w:hAnsi="Verdana"/>
        </w:rPr>
        <w:t xml:space="preserve">Furthermore, consideration should be given to what </w:t>
      </w:r>
      <w:r w:rsidRPr="00E003AF">
        <w:rPr>
          <w:rFonts w:ascii="Verdana" w:hAnsi="Verdana"/>
        </w:rPr>
        <w:t xml:space="preserve">reasonable training </w:t>
      </w:r>
      <w:r>
        <w:rPr>
          <w:rFonts w:ascii="Verdana" w:hAnsi="Verdana"/>
        </w:rPr>
        <w:t>would entail</w:t>
      </w:r>
      <w:r w:rsidRPr="00E003AF">
        <w:rPr>
          <w:rFonts w:ascii="Verdana" w:hAnsi="Verdana"/>
        </w:rPr>
        <w:t xml:space="preserve">. </w:t>
      </w:r>
      <w:r>
        <w:rPr>
          <w:rFonts w:ascii="Verdana" w:hAnsi="Verdana"/>
        </w:rPr>
        <w:t>For example, t</w:t>
      </w:r>
      <w:r w:rsidRPr="00E003AF">
        <w:rPr>
          <w:rFonts w:ascii="Verdana" w:hAnsi="Verdana"/>
        </w:rPr>
        <w:t>his may involve considering where within the workforce direct training would be best utilised, for learning to then filter through the organisation via peer-to-peer education.</w:t>
      </w:r>
    </w:p>
    <w:p w14:paraId="11267725" w14:textId="77777777" w:rsidR="00F93474" w:rsidRDefault="00F93474" w:rsidP="00F93474">
      <w:pPr>
        <w:pStyle w:val="ListParagraph"/>
        <w:rPr>
          <w:b/>
          <w:bCs/>
        </w:rPr>
      </w:pPr>
    </w:p>
    <w:p w14:paraId="582EA96C" w14:textId="3039CEF4" w:rsidR="00F93474" w:rsidRPr="006F2741" w:rsidRDefault="00F93474" w:rsidP="00B56194">
      <w:pPr>
        <w:pStyle w:val="BasicParagraph"/>
        <w:numPr>
          <w:ilvl w:val="1"/>
          <w:numId w:val="9"/>
        </w:numPr>
        <w:suppressAutoHyphens/>
        <w:ind w:left="709"/>
        <w:rPr>
          <w:rFonts w:ascii="Verdana" w:hAnsi="Verdana"/>
          <w:b/>
          <w:bCs/>
        </w:rPr>
      </w:pPr>
      <w:r>
        <w:rPr>
          <w:rFonts w:ascii="Verdana" w:hAnsi="Verdana"/>
          <w:b/>
          <w:bCs/>
        </w:rPr>
        <w:t xml:space="preserve">The NIHRC recommends that the Executive Office considers </w:t>
      </w:r>
      <w:r>
        <w:rPr>
          <w:rFonts w:ascii="Verdana" w:hAnsi="Verdana"/>
          <w:b/>
          <w:bCs/>
        </w:rPr>
        <w:lastRenderedPageBreak/>
        <w:t xml:space="preserve">including within the </w:t>
      </w:r>
      <w:r w:rsidR="00AF570B">
        <w:rPr>
          <w:rFonts w:ascii="Verdana" w:hAnsi="Verdana"/>
          <w:b/>
          <w:bCs/>
        </w:rPr>
        <w:t xml:space="preserve">proposed amendments to Articles 52 and 53 of the Race Relations (NI) Order </w:t>
      </w:r>
      <w:r w:rsidR="00D53293">
        <w:rPr>
          <w:rFonts w:ascii="Verdana" w:hAnsi="Verdana"/>
          <w:b/>
          <w:bCs/>
        </w:rPr>
        <w:t xml:space="preserve">1997, </w:t>
      </w:r>
      <w:r w:rsidR="00AF570B">
        <w:rPr>
          <w:rFonts w:ascii="Verdana" w:hAnsi="Verdana"/>
          <w:b/>
          <w:bCs/>
        </w:rPr>
        <w:t>or equivalent</w:t>
      </w:r>
      <w:r w:rsidR="00D53293">
        <w:rPr>
          <w:rFonts w:ascii="Verdana" w:hAnsi="Verdana"/>
          <w:b/>
          <w:bCs/>
        </w:rPr>
        <w:t>,</w:t>
      </w:r>
      <w:r w:rsidR="00AF570B">
        <w:rPr>
          <w:rFonts w:ascii="Verdana" w:hAnsi="Verdana"/>
          <w:b/>
          <w:bCs/>
        </w:rPr>
        <w:t xml:space="preserve"> that a tribunal has the power to </w:t>
      </w:r>
      <w:r w:rsidR="00F13BA3">
        <w:rPr>
          <w:rFonts w:ascii="Verdana" w:hAnsi="Verdana"/>
          <w:b/>
          <w:bCs/>
        </w:rPr>
        <w:t>recommend ‘reasonable’ training.</w:t>
      </w:r>
    </w:p>
    <w:p w14:paraId="66A7A7FB" w14:textId="77777777" w:rsidR="00CE7C0B" w:rsidRDefault="00CE7C0B" w:rsidP="00CE7C0B"/>
    <w:p w14:paraId="0CF7559A" w14:textId="0824F2E4" w:rsidR="00CE7C0B" w:rsidRDefault="00CE7C0B" w:rsidP="00964F8D">
      <w:pPr>
        <w:pStyle w:val="Heading1"/>
        <w:numPr>
          <w:ilvl w:val="0"/>
          <w:numId w:val="12"/>
        </w:numPr>
      </w:pPr>
      <w:bookmarkStart w:id="23" w:name="_Toc137459933"/>
      <w:r>
        <w:t>Monitoring</w:t>
      </w:r>
      <w:bookmarkEnd w:id="23"/>
    </w:p>
    <w:p w14:paraId="481F30EB" w14:textId="289AB785" w:rsidR="0013321F" w:rsidRDefault="0013321F" w:rsidP="00B56194">
      <w:pPr>
        <w:pStyle w:val="BasicParagraph"/>
        <w:numPr>
          <w:ilvl w:val="1"/>
          <w:numId w:val="12"/>
        </w:numPr>
        <w:suppressAutoHyphens/>
        <w:ind w:left="709"/>
        <w:rPr>
          <w:rFonts w:ascii="Verdana" w:hAnsi="Verdana"/>
        </w:rPr>
      </w:pPr>
      <w:r>
        <w:rPr>
          <w:rFonts w:ascii="Verdana" w:hAnsi="Verdana"/>
        </w:rPr>
        <w:t xml:space="preserve">The consultation document includes </w:t>
      </w:r>
      <w:r w:rsidR="003949B2">
        <w:rPr>
          <w:rFonts w:ascii="Verdana" w:hAnsi="Verdana"/>
        </w:rPr>
        <w:t xml:space="preserve">consideration of the Executive Office’s plans to </w:t>
      </w:r>
      <w:r w:rsidR="003949B2" w:rsidRPr="00113D0C">
        <w:rPr>
          <w:rFonts w:ascii="Verdana" w:hAnsi="Verdana"/>
        </w:rPr>
        <w:t>introduce ethnic equality monitoring</w:t>
      </w:r>
      <w:r w:rsidR="007A0B9F" w:rsidRPr="00113D0C">
        <w:rPr>
          <w:rFonts w:ascii="Verdana" w:hAnsi="Verdana"/>
        </w:rPr>
        <w:t>.</w:t>
      </w:r>
      <w:r w:rsidR="007A0B9F" w:rsidRPr="00113D0C">
        <w:rPr>
          <w:rStyle w:val="FootnoteReference"/>
          <w:rFonts w:ascii="Verdana" w:hAnsi="Verdana"/>
        </w:rPr>
        <w:footnoteReference w:id="138"/>
      </w:r>
      <w:r w:rsidR="00BA5FC1" w:rsidRPr="00113D0C">
        <w:rPr>
          <w:rFonts w:ascii="Verdana" w:hAnsi="Verdana"/>
        </w:rPr>
        <w:t xml:space="preserve"> The consultation document acknowledges </w:t>
      </w:r>
      <w:r w:rsidR="00CA482A" w:rsidRPr="00113D0C">
        <w:rPr>
          <w:rFonts w:ascii="Verdana" w:hAnsi="Verdana"/>
        </w:rPr>
        <w:t xml:space="preserve">the Racial Equality Strategy’s </w:t>
      </w:r>
      <w:r w:rsidR="00113D0C" w:rsidRPr="00113D0C">
        <w:rPr>
          <w:rFonts w:ascii="Verdana" w:hAnsi="Verdana"/>
        </w:rPr>
        <w:t xml:space="preserve">statement that </w:t>
      </w:r>
      <w:r w:rsidR="00CA482A" w:rsidRPr="00113D0C">
        <w:rPr>
          <w:rFonts w:ascii="Verdana" w:hAnsi="Verdana"/>
        </w:rPr>
        <w:t>ethnic monitoring is an important tool in tackling inequality and racism and committed to “examine where ethnic monitoring should be introduced and consult on proposals for implementation”.</w:t>
      </w:r>
      <w:r w:rsidR="00CA482A" w:rsidRPr="00113D0C">
        <w:rPr>
          <w:rStyle w:val="FootnoteReference"/>
          <w:rFonts w:ascii="Verdana" w:hAnsi="Verdana"/>
        </w:rPr>
        <w:footnoteReference w:id="139"/>
      </w:r>
      <w:r w:rsidR="00CA482A" w:rsidRPr="00113D0C">
        <w:rPr>
          <w:rFonts w:ascii="Verdana" w:hAnsi="Verdana"/>
        </w:rPr>
        <w:t xml:space="preserve"> </w:t>
      </w:r>
      <w:r w:rsidR="00113D0C" w:rsidRPr="00113D0C">
        <w:rPr>
          <w:rFonts w:ascii="Verdana" w:hAnsi="Verdana"/>
        </w:rPr>
        <w:t>It also acknowledged the subsequent study that</w:t>
      </w:r>
      <w:r w:rsidR="00BA5FC1" w:rsidRPr="00113D0C">
        <w:rPr>
          <w:rFonts w:ascii="Verdana" w:hAnsi="Verdana"/>
        </w:rPr>
        <w:t xml:space="preserve"> recommended that the Race Relations (NI) Order 1997 is amended to impose a duty on specified public authorities to collect data on racial equality and set racial equality objectives.</w:t>
      </w:r>
      <w:r w:rsidR="00BA5FC1" w:rsidRPr="00113D0C">
        <w:rPr>
          <w:rStyle w:val="FootnoteReference"/>
          <w:rFonts w:ascii="Verdana" w:hAnsi="Verdana"/>
        </w:rPr>
        <w:footnoteReference w:id="140"/>
      </w:r>
    </w:p>
    <w:p w14:paraId="02C6BFCA" w14:textId="77777777" w:rsidR="007A0B9F" w:rsidRDefault="007A0B9F" w:rsidP="007A0B9F">
      <w:pPr>
        <w:pStyle w:val="BasicParagraph"/>
        <w:suppressAutoHyphens/>
        <w:ind w:left="709"/>
        <w:rPr>
          <w:rFonts w:ascii="Verdana" w:hAnsi="Verdana"/>
        </w:rPr>
      </w:pPr>
    </w:p>
    <w:p w14:paraId="7D88B96C" w14:textId="41E4BE89" w:rsidR="00293BF5" w:rsidRDefault="003A0C47" w:rsidP="0027012F">
      <w:pPr>
        <w:pStyle w:val="BasicParagraph"/>
        <w:numPr>
          <w:ilvl w:val="1"/>
          <w:numId w:val="12"/>
        </w:numPr>
        <w:suppressAutoHyphens/>
        <w:ind w:left="709"/>
        <w:rPr>
          <w:rFonts w:ascii="Verdana" w:hAnsi="Verdana"/>
        </w:rPr>
      </w:pPr>
      <w:r>
        <w:rPr>
          <w:rFonts w:ascii="Verdana" w:hAnsi="Verdana"/>
        </w:rPr>
        <w:t xml:space="preserve">The UN ICESCR Committee </w:t>
      </w:r>
      <w:r w:rsidR="002A5025">
        <w:rPr>
          <w:rFonts w:ascii="Verdana" w:hAnsi="Verdana"/>
        </w:rPr>
        <w:t xml:space="preserve">has </w:t>
      </w:r>
      <w:r w:rsidR="00C8303D">
        <w:rPr>
          <w:rFonts w:ascii="Verdana" w:hAnsi="Verdana"/>
        </w:rPr>
        <w:t>clarified that there is an obligation to “monitor effectively the implementation measures to comply with” the right to non-discrimination and equality.</w:t>
      </w:r>
      <w:r w:rsidR="00293BF5">
        <w:rPr>
          <w:rStyle w:val="FootnoteReference"/>
          <w:rFonts w:ascii="Verdana" w:hAnsi="Verdana"/>
        </w:rPr>
        <w:footnoteReference w:id="141"/>
      </w:r>
      <w:r w:rsidR="00C8303D">
        <w:rPr>
          <w:rFonts w:ascii="Verdana" w:hAnsi="Verdana"/>
        </w:rPr>
        <w:t xml:space="preserve"> </w:t>
      </w:r>
      <w:r w:rsidR="00293BF5">
        <w:rPr>
          <w:rFonts w:ascii="Verdana" w:hAnsi="Verdana"/>
        </w:rPr>
        <w:t>It continued that “m</w:t>
      </w:r>
      <w:r w:rsidR="00293BF5" w:rsidRPr="00293BF5">
        <w:rPr>
          <w:rFonts w:ascii="Verdana" w:hAnsi="Verdana"/>
        </w:rPr>
        <w:t>onitoring should assess both the steps taken and the results achieved in the elimination of discrimination. National strategies, policies and plans should use appropriate indicators and benchmarks, disaggregated on the basis of the prohibited grounds of discrimination”.</w:t>
      </w:r>
      <w:r w:rsidR="00293BF5">
        <w:rPr>
          <w:rStyle w:val="FootnoteReference"/>
          <w:rFonts w:ascii="Verdana" w:hAnsi="Verdana"/>
        </w:rPr>
        <w:footnoteReference w:id="142"/>
      </w:r>
      <w:r w:rsidR="00572A6F">
        <w:rPr>
          <w:rFonts w:ascii="Verdana" w:hAnsi="Verdana"/>
        </w:rPr>
        <w:t xml:space="preserve"> </w:t>
      </w:r>
      <w:r w:rsidR="0027012F">
        <w:rPr>
          <w:rFonts w:ascii="Verdana" w:hAnsi="Verdana"/>
        </w:rPr>
        <w:t>T</w:t>
      </w:r>
      <w:r w:rsidR="00482E2C">
        <w:rPr>
          <w:rFonts w:ascii="Verdana" w:hAnsi="Verdana"/>
        </w:rPr>
        <w:t>he UN CEDAW Committee</w:t>
      </w:r>
      <w:r w:rsidR="0027012F">
        <w:rPr>
          <w:rFonts w:ascii="Verdana" w:hAnsi="Verdana"/>
        </w:rPr>
        <w:t xml:space="preserve"> and UN CRC Committee have made similar clarifications.</w:t>
      </w:r>
      <w:r w:rsidR="0027012F" w:rsidRPr="00CE7C0B">
        <w:rPr>
          <w:rStyle w:val="FootnoteReference"/>
          <w:rFonts w:ascii="Verdana" w:hAnsi="Verdana"/>
        </w:rPr>
        <w:footnoteReference w:id="143"/>
      </w:r>
    </w:p>
    <w:p w14:paraId="582417C1" w14:textId="77777777" w:rsidR="00630953" w:rsidRDefault="00630953" w:rsidP="00630953">
      <w:pPr>
        <w:pStyle w:val="ListParagraph"/>
      </w:pPr>
    </w:p>
    <w:p w14:paraId="4476597F" w14:textId="7078F5C9" w:rsidR="008A5132" w:rsidRPr="008A5132" w:rsidRDefault="00DD7406" w:rsidP="008A5132">
      <w:pPr>
        <w:pStyle w:val="BasicParagraph"/>
        <w:numPr>
          <w:ilvl w:val="1"/>
          <w:numId w:val="12"/>
        </w:numPr>
        <w:suppressAutoHyphens/>
        <w:ind w:left="709"/>
        <w:rPr>
          <w:rFonts w:ascii="Verdana" w:hAnsi="Verdana"/>
        </w:rPr>
      </w:pPr>
      <w:r>
        <w:rPr>
          <w:rFonts w:ascii="Verdana" w:hAnsi="Verdana"/>
        </w:rPr>
        <w:t>There</w:t>
      </w:r>
      <w:r w:rsidR="00630953" w:rsidRPr="00630953">
        <w:rPr>
          <w:rFonts w:ascii="Verdana" w:hAnsi="Verdana"/>
        </w:rPr>
        <w:t xml:space="preserve"> is currently no general requirement under the </w:t>
      </w:r>
      <w:r>
        <w:rPr>
          <w:rFonts w:ascii="Verdana" w:hAnsi="Verdana"/>
        </w:rPr>
        <w:t xml:space="preserve">EU </w:t>
      </w:r>
      <w:r w:rsidR="00630953" w:rsidRPr="00630953">
        <w:rPr>
          <w:rFonts w:ascii="Verdana" w:hAnsi="Verdana"/>
        </w:rPr>
        <w:t>Rac</w:t>
      </w:r>
      <w:r w:rsidR="00B357E1">
        <w:rPr>
          <w:rFonts w:ascii="Verdana" w:hAnsi="Verdana"/>
        </w:rPr>
        <w:t>e</w:t>
      </w:r>
      <w:r w:rsidR="00630953" w:rsidRPr="00630953">
        <w:rPr>
          <w:rFonts w:ascii="Verdana" w:hAnsi="Verdana"/>
        </w:rPr>
        <w:t xml:space="preserve"> Equality Directive for Member States to establish robust systems to collect, analyse or monitor disaggregated equality data or to report on these findings.</w:t>
      </w:r>
      <w:r w:rsidR="00232444">
        <w:rPr>
          <w:rStyle w:val="FootnoteReference"/>
          <w:rFonts w:ascii="Verdana" w:hAnsi="Verdana"/>
        </w:rPr>
        <w:footnoteReference w:id="144"/>
      </w:r>
      <w:r w:rsidR="00630953" w:rsidRPr="00630953">
        <w:rPr>
          <w:rFonts w:ascii="Verdana" w:hAnsi="Verdana"/>
        </w:rPr>
        <w:t xml:space="preserve"> While the </w:t>
      </w:r>
      <w:r w:rsidR="008B0145">
        <w:rPr>
          <w:rFonts w:ascii="Verdana" w:hAnsi="Verdana"/>
        </w:rPr>
        <w:t xml:space="preserve">EU </w:t>
      </w:r>
      <w:r w:rsidR="00630953" w:rsidRPr="00630953">
        <w:rPr>
          <w:rFonts w:ascii="Verdana" w:hAnsi="Verdana"/>
        </w:rPr>
        <w:t xml:space="preserve">Directive requires that Member States disseminate relevant </w:t>
      </w:r>
      <w:r w:rsidR="00630953" w:rsidRPr="00630953">
        <w:rPr>
          <w:rFonts w:ascii="Verdana" w:hAnsi="Verdana"/>
        </w:rPr>
        <w:lastRenderedPageBreak/>
        <w:t>information about the Directive to those concerned,</w:t>
      </w:r>
      <w:r w:rsidR="00D04F25">
        <w:rPr>
          <w:rStyle w:val="FootnoteReference"/>
          <w:rFonts w:ascii="Verdana" w:hAnsi="Verdana"/>
        </w:rPr>
        <w:footnoteReference w:id="145"/>
      </w:r>
      <w:r w:rsidR="00630953" w:rsidRPr="00630953">
        <w:rPr>
          <w:rFonts w:ascii="Verdana" w:hAnsi="Verdana"/>
        </w:rPr>
        <w:t xml:space="preserve"> and communicate information on the application of the Directive to the EU Commission,</w:t>
      </w:r>
      <w:r w:rsidR="00222431">
        <w:rPr>
          <w:rStyle w:val="FootnoteReference"/>
          <w:rFonts w:ascii="Verdana" w:hAnsi="Verdana"/>
        </w:rPr>
        <w:footnoteReference w:id="146"/>
      </w:r>
      <w:r w:rsidR="00630953" w:rsidRPr="00630953">
        <w:rPr>
          <w:rFonts w:ascii="Verdana" w:hAnsi="Verdana"/>
        </w:rPr>
        <w:t xml:space="preserve"> it currently does not stipulate the level of depth necessary for a report.</w:t>
      </w:r>
      <w:r w:rsidR="008A5132">
        <w:rPr>
          <w:rFonts w:ascii="Verdana" w:hAnsi="Verdana"/>
        </w:rPr>
        <w:t xml:space="preserve"> The NIHRC raised this as an issue </w:t>
      </w:r>
      <w:r w:rsidR="00734C1F">
        <w:rPr>
          <w:rFonts w:ascii="Verdana" w:hAnsi="Verdana"/>
        </w:rPr>
        <w:t>in its submission to the E</w:t>
      </w:r>
      <w:r w:rsidR="00895DDA">
        <w:rPr>
          <w:rFonts w:ascii="Verdana" w:hAnsi="Verdana"/>
        </w:rPr>
        <w:t>U</w:t>
      </w:r>
      <w:r w:rsidR="00734C1F">
        <w:rPr>
          <w:rFonts w:ascii="Verdana" w:hAnsi="Verdana"/>
        </w:rPr>
        <w:t xml:space="preserve"> Commission’s consultation on potential gaps in the EU Race Equality Directive, and recommended </w:t>
      </w:r>
      <w:r w:rsidR="0024253D">
        <w:rPr>
          <w:rFonts w:ascii="Verdana" w:hAnsi="Verdana"/>
        </w:rPr>
        <w:t xml:space="preserve">the </w:t>
      </w:r>
      <w:r w:rsidR="008513B4">
        <w:rPr>
          <w:rFonts w:ascii="Verdana" w:hAnsi="Verdana"/>
        </w:rPr>
        <w:t xml:space="preserve">EU </w:t>
      </w:r>
      <w:r w:rsidR="0024253D">
        <w:rPr>
          <w:rFonts w:ascii="Verdana" w:hAnsi="Verdana"/>
        </w:rPr>
        <w:t xml:space="preserve">Directive be amended to </w:t>
      </w:r>
      <w:r w:rsidR="00C659E5">
        <w:rPr>
          <w:rFonts w:ascii="Verdana" w:hAnsi="Verdana"/>
        </w:rPr>
        <w:t>address this.</w:t>
      </w:r>
      <w:r w:rsidR="00C659E5">
        <w:rPr>
          <w:rStyle w:val="FootnoteReference"/>
          <w:rFonts w:ascii="Verdana" w:hAnsi="Verdana"/>
        </w:rPr>
        <w:footnoteReference w:id="147"/>
      </w:r>
    </w:p>
    <w:p w14:paraId="192E8B4B" w14:textId="77777777" w:rsidR="003A0C47" w:rsidRDefault="003A0C47" w:rsidP="003A0C47">
      <w:pPr>
        <w:pStyle w:val="ListParagraph"/>
      </w:pPr>
    </w:p>
    <w:p w14:paraId="54A875FF" w14:textId="1BDE53F8" w:rsidR="00B56194" w:rsidRPr="009F2687" w:rsidRDefault="009D74AD" w:rsidP="00B56194">
      <w:pPr>
        <w:pStyle w:val="BasicParagraph"/>
        <w:numPr>
          <w:ilvl w:val="1"/>
          <w:numId w:val="12"/>
        </w:numPr>
        <w:suppressAutoHyphens/>
        <w:ind w:left="709"/>
        <w:rPr>
          <w:rFonts w:ascii="Verdana" w:hAnsi="Verdana"/>
          <w:b/>
          <w:bCs/>
        </w:rPr>
      </w:pPr>
      <w:r w:rsidRPr="009F2687">
        <w:rPr>
          <w:rFonts w:ascii="Verdana" w:hAnsi="Verdana"/>
          <w:b/>
          <w:bCs/>
        </w:rPr>
        <w:t>The NIHRC</w:t>
      </w:r>
      <w:r w:rsidR="00CE7C0B" w:rsidRPr="009F2687">
        <w:rPr>
          <w:rFonts w:ascii="Verdana" w:hAnsi="Verdana"/>
          <w:b/>
          <w:bCs/>
        </w:rPr>
        <w:t xml:space="preserve"> welcome</w:t>
      </w:r>
      <w:r w:rsidRPr="009F2687">
        <w:rPr>
          <w:rFonts w:ascii="Verdana" w:hAnsi="Verdana"/>
          <w:b/>
          <w:bCs/>
        </w:rPr>
        <w:t>s</w:t>
      </w:r>
      <w:r w:rsidR="00CE7C0B" w:rsidRPr="009F2687">
        <w:rPr>
          <w:rFonts w:ascii="Verdana" w:hAnsi="Verdana"/>
          <w:b/>
          <w:bCs/>
        </w:rPr>
        <w:t xml:space="preserve"> the commitment within the proposals to ensure that the Race Relations (NI) Order</w:t>
      </w:r>
      <w:r w:rsidR="00463C89">
        <w:rPr>
          <w:rFonts w:ascii="Verdana" w:hAnsi="Verdana"/>
          <w:b/>
          <w:bCs/>
        </w:rPr>
        <w:t xml:space="preserve"> 1997,</w:t>
      </w:r>
      <w:r w:rsidR="00CE7C0B" w:rsidRPr="009F2687">
        <w:rPr>
          <w:rFonts w:ascii="Verdana" w:hAnsi="Verdana"/>
          <w:b/>
          <w:bCs/>
        </w:rPr>
        <w:t xml:space="preserve"> or equivalent</w:t>
      </w:r>
      <w:r w:rsidR="00463C89">
        <w:rPr>
          <w:rFonts w:ascii="Verdana" w:hAnsi="Verdana"/>
          <w:b/>
          <w:bCs/>
        </w:rPr>
        <w:t>,</w:t>
      </w:r>
      <w:r w:rsidR="00CE7C0B" w:rsidRPr="009F2687">
        <w:rPr>
          <w:rFonts w:ascii="Verdana" w:hAnsi="Verdana"/>
          <w:b/>
          <w:bCs/>
        </w:rPr>
        <w:t xml:space="preserve"> imposes a duty on specified public authorities to collect data on racial equality and set racial equality objectives. </w:t>
      </w:r>
      <w:r w:rsidR="009F2687" w:rsidRPr="009F2687">
        <w:rPr>
          <w:rFonts w:ascii="Verdana" w:hAnsi="Verdana"/>
          <w:b/>
          <w:bCs/>
        </w:rPr>
        <w:t>The NIHRC</w:t>
      </w:r>
      <w:r w:rsidR="00CE7C0B" w:rsidRPr="009F2687">
        <w:rPr>
          <w:rFonts w:ascii="Verdana" w:hAnsi="Verdana"/>
          <w:b/>
          <w:bCs/>
        </w:rPr>
        <w:t xml:space="preserve"> stress</w:t>
      </w:r>
      <w:r w:rsidR="009F2687" w:rsidRPr="009F2687">
        <w:rPr>
          <w:rFonts w:ascii="Verdana" w:hAnsi="Verdana"/>
          <w:b/>
          <w:bCs/>
        </w:rPr>
        <w:t>es</w:t>
      </w:r>
      <w:r w:rsidR="00CE7C0B" w:rsidRPr="009F2687">
        <w:rPr>
          <w:rFonts w:ascii="Verdana" w:hAnsi="Verdana"/>
          <w:b/>
          <w:bCs/>
        </w:rPr>
        <w:t xml:space="preserve"> that this commitment should be delivered as quickly as possible in its entirety.</w:t>
      </w:r>
    </w:p>
    <w:p w14:paraId="35572879" w14:textId="77777777" w:rsidR="00B56194" w:rsidRDefault="00B56194" w:rsidP="00B56194">
      <w:pPr>
        <w:pStyle w:val="BasicParagraph"/>
        <w:suppressAutoHyphens/>
        <w:ind w:left="-11"/>
        <w:rPr>
          <w:rFonts w:ascii="Verdana" w:hAnsi="Verdana"/>
        </w:rPr>
      </w:pPr>
    </w:p>
    <w:p w14:paraId="68B40B9D" w14:textId="1E6694A5" w:rsidR="00B56194" w:rsidRPr="00CE7C0B" w:rsidRDefault="00B56194" w:rsidP="00E44E70">
      <w:pPr>
        <w:pStyle w:val="Heading1"/>
        <w:numPr>
          <w:ilvl w:val="0"/>
          <w:numId w:val="13"/>
        </w:numPr>
      </w:pPr>
      <w:bookmarkStart w:id="24" w:name="_Toc137459934"/>
      <w:r>
        <w:t>Descent and Caste</w:t>
      </w:r>
      <w:bookmarkEnd w:id="24"/>
    </w:p>
    <w:p w14:paraId="15C1D392" w14:textId="004FE52C" w:rsidR="00B8154B" w:rsidRDefault="00B8154B" w:rsidP="00B56194">
      <w:pPr>
        <w:pStyle w:val="BasicParagraph"/>
        <w:numPr>
          <w:ilvl w:val="1"/>
          <w:numId w:val="13"/>
        </w:numPr>
        <w:suppressAutoHyphens/>
        <w:ind w:left="709"/>
        <w:rPr>
          <w:rFonts w:ascii="Verdana" w:hAnsi="Verdana"/>
        </w:rPr>
      </w:pPr>
      <w:r>
        <w:rPr>
          <w:rFonts w:ascii="Verdana" w:hAnsi="Verdana"/>
        </w:rPr>
        <w:t xml:space="preserve">The consultation document </w:t>
      </w:r>
      <w:r w:rsidR="00FE1E7E">
        <w:rPr>
          <w:rFonts w:ascii="Verdana" w:hAnsi="Verdana"/>
        </w:rPr>
        <w:t>includes proposals to includ</w:t>
      </w:r>
      <w:r w:rsidR="00B819D3">
        <w:rPr>
          <w:rFonts w:ascii="Verdana" w:hAnsi="Verdana"/>
        </w:rPr>
        <w:t>e ‘descent’ and ‘caste’ within the definition of racial discrimination within the Race Relations (NI) Order 1997</w:t>
      </w:r>
      <w:r w:rsidR="00DE1A26">
        <w:rPr>
          <w:rFonts w:ascii="Verdana" w:hAnsi="Verdana"/>
        </w:rPr>
        <w:t>,</w:t>
      </w:r>
      <w:r w:rsidR="00B819D3">
        <w:rPr>
          <w:rFonts w:ascii="Verdana" w:hAnsi="Verdana"/>
        </w:rPr>
        <w:t xml:space="preserve"> or equivalent.</w:t>
      </w:r>
      <w:r w:rsidR="00B819D3">
        <w:rPr>
          <w:rStyle w:val="FootnoteReference"/>
          <w:rFonts w:ascii="Verdana" w:hAnsi="Verdana"/>
        </w:rPr>
        <w:footnoteReference w:id="148"/>
      </w:r>
    </w:p>
    <w:p w14:paraId="0E38E963" w14:textId="77777777" w:rsidR="00B819D3" w:rsidRDefault="00B819D3" w:rsidP="00B819D3">
      <w:pPr>
        <w:pStyle w:val="BasicParagraph"/>
        <w:suppressAutoHyphens/>
        <w:ind w:left="709"/>
        <w:rPr>
          <w:rFonts w:ascii="Verdana" w:hAnsi="Verdana"/>
        </w:rPr>
      </w:pPr>
    </w:p>
    <w:p w14:paraId="360DACF0" w14:textId="77777777" w:rsidR="00DF0C04" w:rsidRDefault="00B56194" w:rsidP="00B56194">
      <w:pPr>
        <w:pStyle w:val="BasicParagraph"/>
        <w:numPr>
          <w:ilvl w:val="1"/>
          <w:numId w:val="13"/>
        </w:numPr>
        <w:suppressAutoHyphens/>
        <w:ind w:left="709"/>
        <w:rPr>
          <w:rFonts w:ascii="Verdana" w:hAnsi="Verdana"/>
        </w:rPr>
      </w:pPr>
      <w:r w:rsidRPr="00B56194">
        <w:rPr>
          <w:rFonts w:ascii="Verdana" w:hAnsi="Verdana"/>
        </w:rPr>
        <w:t xml:space="preserve">Within </w:t>
      </w:r>
      <w:r w:rsidR="007E27BE">
        <w:rPr>
          <w:rFonts w:ascii="Verdana" w:hAnsi="Verdana"/>
        </w:rPr>
        <w:t xml:space="preserve">Article 1(1) of the </w:t>
      </w:r>
      <w:r w:rsidRPr="00B56194">
        <w:rPr>
          <w:rFonts w:ascii="Verdana" w:hAnsi="Verdana"/>
        </w:rPr>
        <w:t xml:space="preserve">UN CERD </w:t>
      </w:r>
      <w:r w:rsidR="000A64AA">
        <w:rPr>
          <w:rFonts w:ascii="Verdana" w:hAnsi="Verdana"/>
        </w:rPr>
        <w:t>‘</w:t>
      </w:r>
      <w:r w:rsidRPr="00B56194">
        <w:rPr>
          <w:rFonts w:ascii="Verdana" w:hAnsi="Verdana"/>
        </w:rPr>
        <w:t>descent</w:t>
      </w:r>
      <w:r w:rsidR="000A64AA">
        <w:rPr>
          <w:rFonts w:ascii="Verdana" w:hAnsi="Verdana"/>
        </w:rPr>
        <w:t>’</w:t>
      </w:r>
      <w:r w:rsidRPr="00B56194">
        <w:rPr>
          <w:rFonts w:ascii="Verdana" w:hAnsi="Verdana"/>
        </w:rPr>
        <w:t xml:space="preserve"> is a recognised term on which racial discrimination can be based.</w:t>
      </w:r>
      <w:r w:rsidRPr="00B56194">
        <w:rPr>
          <w:rStyle w:val="FootnoteReference"/>
          <w:rFonts w:ascii="Verdana" w:hAnsi="Verdana"/>
        </w:rPr>
        <w:footnoteReference w:id="149"/>
      </w:r>
      <w:r w:rsidRPr="00B56194">
        <w:rPr>
          <w:rFonts w:ascii="Verdana" w:hAnsi="Verdana"/>
        </w:rPr>
        <w:t xml:space="preserve"> </w:t>
      </w:r>
      <w:r w:rsidR="000A64AA">
        <w:rPr>
          <w:rFonts w:ascii="Verdana" w:hAnsi="Verdana"/>
        </w:rPr>
        <w:t xml:space="preserve">In exploring the meaning of </w:t>
      </w:r>
      <w:r w:rsidR="00FD2322">
        <w:rPr>
          <w:rFonts w:ascii="Verdana" w:hAnsi="Verdana"/>
        </w:rPr>
        <w:t>‘descent’, the UN CERD Committee stated that</w:t>
      </w:r>
      <w:r w:rsidR="0062562E">
        <w:rPr>
          <w:rFonts w:ascii="Verdana" w:hAnsi="Verdana"/>
        </w:rPr>
        <w:t xml:space="preserve"> “discrimination based on ‘descent’ includes discrimination against members of communities based on forms of social stratification such as caste and analogous systems of inherited status which nullify or impair their equal enjoyment of human rights”.</w:t>
      </w:r>
      <w:r w:rsidR="0062562E">
        <w:rPr>
          <w:rStyle w:val="FootnoteReference"/>
          <w:rFonts w:ascii="Verdana" w:hAnsi="Verdana"/>
        </w:rPr>
        <w:footnoteReference w:id="150"/>
      </w:r>
      <w:r w:rsidR="00D6407C">
        <w:rPr>
          <w:rFonts w:ascii="Verdana" w:hAnsi="Verdana"/>
        </w:rPr>
        <w:t xml:space="preserve"> The UN CERD Committee </w:t>
      </w:r>
      <w:r w:rsidR="00D03711">
        <w:rPr>
          <w:rFonts w:ascii="Verdana" w:hAnsi="Verdana"/>
        </w:rPr>
        <w:t>further stated that steps should be taken “to identify those descent-based communities under their jurisdiction who suffer from discrimination, especially on the basis of caste and analogous systems of inherited status”</w:t>
      </w:r>
      <w:r w:rsidR="00885895">
        <w:rPr>
          <w:rFonts w:ascii="Verdana" w:hAnsi="Verdana"/>
        </w:rPr>
        <w:t>.</w:t>
      </w:r>
      <w:r w:rsidR="00885895">
        <w:rPr>
          <w:rStyle w:val="FootnoteReference"/>
          <w:rFonts w:ascii="Verdana" w:hAnsi="Verdana"/>
        </w:rPr>
        <w:footnoteReference w:id="151"/>
      </w:r>
      <w:r w:rsidR="00503ECB">
        <w:rPr>
          <w:rFonts w:ascii="Verdana" w:hAnsi="Verdana"/>
        </w:rPr>
        <w:t xml:space="preserve"> </w:t>
      </w:r>
    </w:p>
    <w:p w14:paraId="45B037BF" w14:textId="77777777" w:rsidR="00DF0C04" w:rsidRDefault="00DF0C04" w:rsidP="00DF0C04">
      <w:pPr>
        <w:pStyle w:val="ListParagraph"/>
      </w:pPr>
    </w:p>
    <w:p w14:paraId="491DB229" w14:textId="2853E890" w:rsidR="00B56194" w:rsidRDefault="00503ECB" w:rsidP="00B56194">
      <w:pPr>
        <w:pStyle w:val="BasicParagraph"/>
        <w:numPr>
          <w:ilvl w:val="1"/>
          <w:numId w:val="13"/>
        </w:numPr>
        <w:suppressAutoHyphens/>
        <w:ind w:left="709"/>
        <w:rPr>
          <w:rFonts w:ascii="Verdana" w:hAnsi="Verdana"/>
        </w:rPr>
      </w:pPr>
      <w:r>
        <w:rPr>
          <w:rFonts w:ascii="Verdana" w:hAnsi="Verdana"/>
        </w:rPr>
        <w:lastRenderedPageBreak/>
        <w:t xml:space="preserve">The UN CERD Committee specifically </w:t>
      </w:r>
      <w:r w:rsidR="007A2DC1">
        <w:rPr>
          <w:rFonts w:ascii="Verdana" w:hAnsi="Verdana"/>
        </w:rPr>
        <w:t>states that State Parties, including the UK, should “review and enact or amend legislation in order to outlaw all forms of discrimination based on descent”.</w:t>
      </w:r>
      <w:r w:rsidR="003D29F5">
        <w:rPr>
          <w:rStyle w:val="FootnoteReference"/>
          <w:rFonts w:ascii="Verdana" w:hAnsi="Verdana"/>
        </w:rPr>
        <w:footnoteReference w:id="152"/>
      </w:r>
      <w:r w:rsidR="004C3363">
        <w:rPr>
          <w:rFonts w:ascii="Verdana" w:hAnsi="Verdana"/>
        </w:rPr>
        <w:t xml:space="preserve"> This can include adopting “special measures in favour of descent-based groups and communities in order to ensure their enjoyment of human rights and fundamental freedoms, in particular concerning access to public functions, employment and education”.</w:t>
      </w:r>
      <w:r w:rsidR="003D29F5">
        <w:rPr>
          <w:rStyle w:val="FootnoteReference"/>
          <w:rFonts w:ascii="Verdana" w:hAnsi="Verdana"/>
        </w:rPr>
        <w:footnoteReference w:id="153"/>
      </w:r>
    </w:p>
    <w:p w14:paraId="16E83B27" w14:textId="77777777" w:rsidR="00DF0C04" w:rsidRDefault="00DF0C04" w:rsidP="00DF0C04">
      <w:pPr>
        <w:pStyle w:val="ListParagraph"/>
      </w:pPr>
    </w:p>
    <w:p w14:paraId="7B3AB96B" w14:textId="10A5A202" w:rsidR="00DF0C04" w:rsidRDefault="00C31C97" w:rsidP="00B56194">
      <w:pPr>
        <w:pStyle w:val="BasicParagraph"/>
        <w:numPr>
          <w:ilvl w:val="1"/>
          <w:numId w:val="13"/>
        </w:numPr>
        <w:suppressAutoHyphens/>
        <w:ind w:left="709"/>
        <w:rPr>
          <w:rFonts w:ascii="Verdana" w:hAnsi="Verdana"/>
        </w:rPr>
      </w:pPr>
      <w:r>
        <w:rPr>
          <w:rFonts w:ascii="Verdana" w:hAnsi="Verdana"/>
        </w:rPr>
        <w:t>T</w:t>
      </w:r>
      <w:r w:rsidR="00DF0C04">
        <w:rPr>
          <w:rFonts w:ascii="Verdana" w:hAnsi="Verdana"/>
        </w:rPr>
        <w:t xml:space="preserve">he UN CERD </w:t>
      </w:r>
      <w:r>
        <w:rPr>
          <w:rFonts w:ascii="Verdana" w:hAnsi="Verdana"/>
        </w:rPr>
        <w:t>Committee is clear that</w:t>
      </w:r>
      <w:r w:rsidR="00DF0C04">
        <w:rPr>
          <w:rFonts w:ascii="Verdana" w:hAnsi="Verdana"/>
        </w:rPr>
        <w:t xml:space="preserve"> ‘descent’ includes </w:t>
      </w:r>
      <w:r w:rsidR="009E067D">
        <w:rPr>
          <w:rFonts w:ascii="Verdana" w:hAnsi="Verdana"/>
        </w:rPr>
        <w:t>‘caste’.</w:t>
      </w:r>
      <w:r w:rsidR="001F317E">
        <w:rPr>
          <w:rFonts w:ascii="Verdana" w:hAnsi="Verdana"/>
        </w:rPr>
        <w:t xml:space="preserve"> </w:t>
      </w:r>
      <w:r>
        <w:rPr>
          <w:rFonts w:ascii="Verdana" w:hAnsi="Verdana"/>
        </w:rPr>
        <w:t xml:space="preserve">Consequently, </w:t>
      </w:r>
      <w:r w:rsidR="009A418D">
        <w:rPr>
          <w:rFonts w:ascii="Verdana" w:hAnsi="Verdana"/>
        </w:rPr>
        <w:t>if the approach to expressly reference both is adopted</w:t>
      </w:r>
      <w:r w:rsidR="004731BC">
        <w:rPr>
          <w:rFonts w:ascii="Verdana" w:hAnsi="Verdana"/>
        </w:rPr>
        <w:t>,</w:t>
      </w:r>
      <w:r w:rsidR="009A418D">
        <w:rPr>
          <w:rFonts w:ascii="Verdana" w:hAnsi="Verdana"/>
        </w:rPr>
        <w:t xml:space="preserve"> </w:t>
      </w:r>
      <w:r w:rsidR="00AE2705">
        <w:rPr>
          <w:rFonts w:ascii="Verdana" w:hAnsi="Verdana"/>
        </w:rPr>
        <w:t>consideration should be given to whether this approach leaves other</w:t>
      </w:r>
      <w:r w:rsidR="009A418D">
        <w:rPr>
          <w:rFonts w:ascii="Verdana" w:hAnsi="Verdana"/>
        </w:rPr>
        <w:t xml:space="preserve"> groups that fall under the umbrella term of ‘descent’</w:t>
      </w:r>
      <w:r w:rsidR="00F01077">
        <w:rPr>
          <w:rFonts w:ascii="Verdana" w:hAnsi="Verdana"/>
        </w:rPr>
        <w:t xml:space="preserve">, </w:t>
      </w:r>
      <w:r w:rsidR="004731BC">
        <w:rPr>
          <w:rFonts w:ascii="Verdana" w:hAnsi="Verdana"/>
        </w:rPr>
        <w:t xml:space="preserve">such as </w:t>
      </w:r>
      <w:r w:rsidR="00F01077">
        <w:rPr>
          <w:rFonts w:ascii="Verdana" w:hAnsi="Verdana"/>
        </w:rPr>
        <w:t>analogous systems of inherited status,</w:t>
      </w:r>
      <w:r w:rsidR="009A418D">
        <w:rPr>
          <w:rFonts w:ascii="Verdana" w:hAnsi="Verdana"/>
        </w:rPr>
        <w:t xml:space="preserve"> </w:t>
      </w:r>
      <w:r w:rsidR="002C61F6">
        <w:rPr>
          <w:rFonts w:ascii="Verdana" w:hAnsi="Verdana"/>
        </w:rPr>
        <w:t>feeling excluded</w:t>
      </w:r>
      <w:r w:rsidR="009A418D">
        <w:rPr>
          <w:rFonts w:ascii="Verdana" w:hAnsi="Verdana"/>
        </w:rPr>
        <w:t xml:space="preserve">. </w:t>
      </w:r>
      <w:r w:rsidR="001F317E">
        <w:rPr>
          <w:rFonts w:ascii="Verdana" w:hAnsi="Verdana"/>
        </w:rPr>
        <w:t>Or, i</w:t>
      </w:r>
      <w:r w:rsidR="002C61F6">
        <w:rPr>
          <w:rFonts w:ascii="Verdana" w:hAnsi="Verdana"/>
        </w:rPr>
        <w:t>f the approach of only referring to ‘descent’ is adopted</w:t>
      </w:r>
      <w:r w:rsidR="001F317E">
        <w:rPr>
          <w:rFonts w:ascii="Verdana" w:hAnsi="Verdana"/>
        </w:rPr>
        <w:t>,</w:t>
      </w:r>
      <w:r w:rsidR="002C61F6">
        <w:rPr>
          <w:rFonts w:ascii="Verdana" w:hAnsi="Verdana"/>
        </w:rPr>
        <w:t xml:space="preserve"> it should be made clear as to what this term covers.</w:t>
      </w:r>
    </w:p>
    <w:p w14:paraId="0B08E489" w14:textId="77777777" w:rsidR="00DE5F62" w:rsidRDefault="00DE5F62" w:rsidP="00DE5F62">
      <w:pPr>
        <w:pStyle w:val="ListParagraph"/>
      </w:pPr>
    </w:p>
    <w:p w14:paraId="14A14CB8" w14:textId="2EBF69F0" w:rsidR="00DE5F62" w:rsidRPr="000A00EC" w:rsidRDefault="00DE5F62" w:rsidP="00B56194">
      <w:pPr>
        <w:pStyle w:val="BasicParagraph"/>
        <w:numPr>
          <w:ilvl w:val="1"/>
          <w:numId w:val="13"/>
        </w:numPr>
        <w:suppressAutoHyphens/>
        <w:ind w:left="709"/>
        <w:rPr>
          <w:rFonts w:ascii="Verdana" w:hAnsi="Verdana"/>
          <w:b/>
          <w:bCs/>
        </w:rPr>
      </w:pPr>
      <w:r w:rsidRPr="000A00EC">
        <w:rPr>
          <w:rFonts w:ascii="Verdana" w:hAnsi="Verdana"/>
          <w:b/>
          <w:bCs/>
        </w:rPr>
        <w:t xml:space="preserve">The NIHRC recommends that the Executive Office </w:t>
      </w:r>
      <w:r w:rsidR="000A00EC" w:rsidRPr="000A00EC">
        <w:rPr>
          <w:rFonts w:ascii="Verdana" w:hAnsi="Verdana"/>
          <w:b/>
          <w:bCs/>
        </w:rPr>
        <w:t xml:space="preserve">utilises meaningful engagement with individuals that will be affected and their representatives beyond this public consultation to determine </w:t>
      </w:r>
      <w:r w:rsidRPr="000A00EC">
        <w:rPr>
          <w:rFonts w:ascii="Verdana" w:hAnsi="Verdana"/>
          <w:b/>
          <w:bCs/>
        </w:rPr>
        <w:t xml:space="preserve">whether both descent and caste are directly referenced </w:t>
      </w:r>
      <w:r w:rsidR="000A00EC" w:rsidRPr="000A00EC">
        <w:rPr>
          <w:rFonts w:ascii="Verdana" w:hAnsi="Verdana"/>
          <w:b/>
          <w:bCs/>
        </w:rPr>
        <w:t>within the Race Relations (NI) Order</w:t>
      </w:r>
      <w:r w:rsidR="00DE1A26">
        <w:rPr>
          <w:rFonts w:ascii="Verdana" w:hAnsi="Verdana"/>
          <w:b/>
          <w:bCs/>
        </w:rPr>
        <w:t xml:space="preserve"> 1997,</w:t>
      </w:r>
      <w:r w:rsidR="000A00EC" w:rsidRPr="000A00EC">
        <w:rPr>
          <w:rFonts w:ascii="Verdana" w:hAnsi="Verdana"/>
          <w:b/>
          <w:bCs/>
        </w:rPr>
        <w:t xml:space="preserve"> or equivalent</w:t>
      </w:r>
      <w:r w:rsidRPr="000A00EC">
        <w:rPr>
          <w:rFonts w:ascii="Verdana" w:hAnsi="Verdana"/>
          <w:b/>
          <w:bCs/>
        </w:rPr>
        <w:t xml:space="preserve">. The decision should </w:t>
      </w:r>
      <w:r w:rsidR="000A00EC" w:rsidRPr="000A00EC">
        <w:rPr>
          <w:rFonts w:ascii="Verdana" w:hAnsi="Verdana"/>
          <w:b/>
          <w:bCs/>
        </w:rPr>
        <w:t xml:space="preserve">also </w:t>
      </w:r>
      <w:r w:rsidRPr="000A00EC">
        <w:rPr>
          <w:rFonts w:ascii="Verdana" w:hAnsi="Verdana"/>
          <w:b/>
          <w:bCs/>
        </w:rPr>
        <w:t>be guided by the principle that the resulting legislation should be effective in law and practice.</w:t>
      </w:r>
    </w:p>
    <w:p w14:paraId="343D9967" w14:textId="77777777" w:rsidR="00FD2322" w:rsidRDefault="00FD2322" w:rsidP="00FD2322">
      <w:pPr>
        <w:pStyle w:val="ListParagraph"/>
      </w:pPr>
    </w:p>
    <w:p w14:paraId="5892100B" w14:textId="3500DCF8" w:rsidR="00CA4494" w:rsidRDefault="00CA4494">
      <w:pPr>
        <w:spacing w:line="240" w:lineRule="auto"/>
        <w:rPr>
          <w:rFonts w:cs="Arial"/>
          <w:color w:val="232120"/>
          <w:sz w:val="20"/>
          <w:szCs w:val="20"/>
        </w:rPr>
      </w:pPr>
      <w:r>
        <w:rPr>
          <w:rFonts w:cs="Arial"/>
          <w:color w:val="232120"/>
          <w:sz w:val="20"/>
          <w:szCs w:val="20"/>
        </w:rPr>
        <w:br w:type="page"/>
      </w:r>
    </w:p>
    <w:p w14:paraId="7D29D687" w14:textId="77777777" w:rsidR="003B7D0E" w:rsidRPr="00331C61" w:rsidRDefault="003B7D0E" w:rsidP="00331C61">
      <w:pPr>
        <w:pStyle w:val="BasicParagraph"/>
        <w:suppressAutoHyphens/>
        <w:rPr>
          <w:rFonts w:ascii="Verdana" w:hAnsi="Verdana" w:cs="Arial"/>
          <w:color w:val="232120"/>
          <w:sz w:val="20"/>
          <w:szCs w:val="20"/>
        </w:rPr>
      </w:pPr>
    </w:p>
    <w:p w14:paraId="6F57436C" w14:textId="77777777" w:rsidR="003B7D0E" w:rsidRDefault="003B7D0E" w:rsidP="003B7D0E">
      <w:pPr>
        <w:pStyle w:val="BasicParagraph"/>
        <w:suppressAutoHyphens/>
        <w:jc w:val="center"/>
        <w:rPr>
          <w:rFonts w:ascii="Verdana" w:hAnsi="Verdana" w:cs="Arial"/>
          <w:color w:val="3C3C3B"/>
          <w:sz w:val="20"/>
          <w:szCs w:val="20"/>
        </w:rPr>
      </w:pPr>
    </w:p>
    <w:p w14:paraId="01C27C53" w14:textId="77777777" w:rsidR="003B7D0E" w:rsidRDefault="003B7D0E" w:rsidP="003B7D0E">
      <w:pPr>
        <w:pStyle w:val="BasicParagraph"/>
        <w:suppressAutoHyphens/>
        <w:jc w:val="center"/>
        <w:rPr>
          <w:rFonts w:ascii="Verdana" w:hAnsi="Verdana" w:cs="Arial"/>
          <w:color w:val="3C3C3B"/>
          <w:sz w:val="20"/>
          <w:szCs w:val="20"/>
        </w:rPr>
      </w:pPr>
    </w:p>
    <w:p w14:paraId="1D2839D2" w14:textId="77777777" w:rsidR="003B7D0E" w:rsidRDefault="003B7D0E" w:rsidP="003B7D0E">
      <w:pPr>
        <w:pStyle w:val="BasicParagraph"/>
        <w:suppressAutoHyphens/>
        <w:jc w:val="center"/>
        <w:rPr>
          <w:rFonts w:ascii="Verdana" w:hAnsi="Verdana" w:cs="Arial"/>
          <w:color w:val="3C3C3B"/>
          <w:sz w:val="20"/>
          <w:szCs w:val="20"/>
        </w:rPr>
      </w:pPr>
    </w:p>
    <w:p w14:paraId="2B3EF393" w14:textId="77777777" w:rsidR="003B7D0E" w:rsidRDefault="003B7D0E" w:rsidP="003B7D0E">
      <w:pPr>
        <w:pStyle w:val="BasicParagraph"/>
        <w:suppressAutoHyphens/>
        <w:jc w:val="center"/>
        <w:rPr>
          <w:rFonts w:ascii="Verdana" w:hAnsi="Verdana" w:cs="Arial"/>
          <w:color w:val="3C3C3B"/>
          <w:sz w:val="20"/>
          <w:szCs w:val="20"/>
        </w:rPr>
      </w:pPr>
    </w:p>
    <w:p w14:paraId="2913276B" w14:textId="77777777" w:rsidR="003B7D0E" w:rsidRDefault="003B7D0E" w:rsidP="003B7D0E">
      <w:pPr>
        <w:pStyle w:val="BasicParagraph"/>
        <w:suppressAutoHyphens/>
        <w:jc w:val="center"/>
        <w:rPr>
          <w:rFonts w:ascii="Verdana" w:hAnsi="Verdana" w:cs="Arial"/>
          <w:color w:val="3C3C3B"/>
          <w:sz w:val="20"/>
          <w:szCs w:val="20"/>
        </w:rPr>
      </w:pPr>
    </w:p>
    <w:p w14:paraId="5EDC059E" w14:textId="77777777" w:rsidR="003B7D0E" w:rsidRDefault="003B7D0E" w:rsidP="003B7D0E">
      <w:pPr>
        <w:pStyle w:val="BasicParagraph"/>
        <w:suppressAutoHyphens/>
        <w:jc w:val="center"/>
        <w:rPr>
          <w:rFonts w:ascii="Verdana" w:hAnsi="Verdana" w:cs="Arial"/>
          <w:color w:val="3C3C3B"/>
          <w:sz w:val="20"/>
          <w:szCs w:val="20"/>
        </w:rPr>
      </w:pPr>
    </w:p>
    <w:p w14:paraId="39D05EC2" w14:textId="77777777" w:rsidR="003B7D0E" w:rsidRDefault="003B7D0E" w:rsidP="003B7D0E">
      <w:pPr>
        <w:pStyle w:val="BasicParagraph"/>
        <w:suppressAutoHyphens/>
        <w:jc w:val="center"/>
        <w:rPr>
          <w:rFonts w:ascii="Verdana" w:hAnsi="Verdana" w:cs="Arial"/>
          <w:color w:val="3C3C3B"/>
          <w:sz w:val="20"/>
          <w:szCs w:val="20"/>
        </w:rPr>
      </w:pPr>
    </w:p>
    <w:p w14:paraId="09D00296" w14:textId="77777777" w:rsidR="003B7D0E" w:rsidRDefault="003B7D0E" w:rsidP="003B7D0E">
      <w:pPr>
        <w:pStyle w:val="BasicParagraph"/>
        <w:suppressAutoHyphens/>
        <w:jc w:val="center"/>
        <w:rPr>
          <w:rFonts w:ascii="Verdana" w:hAnsi="Verdana" w:cs="Arial"/>
          <w:color w:val="3C3C3B"/>
          <w:sz w:val="20"/>
          <w:szCs w:val="20"/>
        </w:rPr>
      </w:pPr>
    </w:p>
    <w:p w14:paraId="0BFFDA42" w14:textId="77777777" w:rsidR="003B7D0E" w:rsidRDefault="003B7D0E" w:rsidP="003B7D0E">
      <w:pPr>
        <w:pStyle w:val="BasicParagraph"/>
        <w:suppressAutoHyphens/>
        <w:jc w:val="center"/>
        <w:rPr>
          <w:rFonts w:ascii="Verdana" w:hAnsi="Verdana" w:cs="Arial"/>
          <w:color w:val="3C3C3B"/>
          <w:sz w:val="20"/>
          <w:szCs w:val="20"/>
        </w:rPr>
      </w:pPr>
    </w:p>
    <w:p w14:paraId="7164DE6E" w14:textId="77777777" w:rsidR="003B7D0E" w:rsidRDefault="003B7D0E" w:rsidP="003B7D0E">
      <w:pPr>
        <w:pStyle w:val="BasicParagraph"/>
        <w:suppressAutoHyphens/>
        <w:jc w:val="center"/>
        <w:rPr>
          <w:rFonts w:ascii="Verdana" w:hAnsi="Verdana" w:cs="Arial"/>
          <w:color w:val="3C3C3B"/>
          <w:sz w:val="20"/>
          <w:szCs w:val="20"/>
        </w:rPr>
      </w:pPr>
    </w:p>
    <w:p w14:paraId="45B6149A" w14:textId="6F1A2A6B"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75412E7C" w14:textId="77777777" w:rsidR="00331C61" w:rsidRPr="00331C61" w:rsidRDefault="00331C61" w:rsidP="00331C61">
      <w:pPr>
        <w:pStyle w:val="BasicParagraph"/>
        <w:suppressAutoHyphens/>
        <w:jc w:val="center"/>
        <w:rPr>
          <w:rFonts w:ascii="Verdana" w:hAnsi="Verdana" w:cs="Arial"/>
          <w:b/>
          <w:color w:val="77328A"/>
          <w:sz w:val="36"/>
          <w:szCs w:val="36"/>
        </w:rPr>
      </w:pPr>
    </w:p>
    <w:p w14:paraId="587A51CD" w14:textId="003EF70A" w:rsidR="0023004A" w:rsidRPr="0023004A" w:rsidRDefault="001D03E7" w:rsidP="0023004A">
      <w:pPr>
        <w:jc w:val="center"/>
        <w:rPr>
          <w:rFonts w:cs="Arial"/>
          <w:b/>
          <w:color w:val="0000FF" w:themeColor="hyperlink"/>
          <w:sz w:val="30"/>
          <w:szCs w:val="30"/>
          <w:u w:val="single"/>
        </w:rPr>
      </w:pPr>
      <w:r>
        <w:rPr>
          <w:rFonts w:cs="Arial"/>
          <w:b/>
          <w:color w:val="232120"/>
          <w:sz w:val="30"/>
          <w:szCs w:val="30"/>
        </w:rPr>
        <w:t xml:space="preserve">Queries to: </w:t>
      </w:r>
      <w:hyperlink r:id="rId12" w:history="1">
        <w:r w:rsidRPr="00F66AB0">
          <w:rPr>
            <w:rStyle w:val="Hyperlink"/>
            <w:rFonts w:cs="Arial"/>
            <w:b/>
            <w:sz w:val="30"/>
            <w:szCs w:val="30"/>
          </w:rPr>
          <w:t>Colin.Caughey@nihrc.org</w:t>
        </w:r>
      </w:hyperlink>
      <w:r w:rsidR="0023004A">
        <w:rPr>
          <w:rStyle w:val="Hyperlink"/>
          <w:rFonts w:cs="Arial"/>
          <w:b/>
          <w:sz w:val="30"/>
          <w:szCs w:val="30"/>
        </w:rPr>
        <w:t xml:space="preserve"> </w:t>
      </w:r>
      <w:r w:rsidR="00A11D78" w:rsidRPr="00B554ED">
        <w:rPr>
          <w:rStyle w:val="Hyperlink"/>
          <w:rFonts w:cs="Arial"/>
          <w:b/>
          <w:color w:val="auto"/>
          <w:sz w:val="30"/>
          <w:szCs w:val="30"/>
          <w:u w:val="none"/>
        </w:rPr>
        <w:t>and</w:t>
      </w:r>
      <w:r w:rsidR="00A11D78">
        <w:rPr>
          <w:rStyle w:val="Hyperlink"/>
          <w:rFonts w:cs="Arial"/>
          <w:b/>
          <w:sz w:val="30"/>
          <w:szCs w:val="30"/>
        </w:rPr>
        <w:t xml:space="preserve"> </w:t>
      </w:r>
      <w:hyperlink r:id="rId13" w:history="1">
        <w:r w:rsidR="00B554ED" w:rsidRPr="00561284">
          <w:rPr>
            <w:rStyle w:val="Hyperlink"/>
            <w:rFonts w:cs="Arial"/>
            <w:b/>
            <w:sz w:val="30"/>
            <w:szCs w:val="30"/>
          </w:rPr>
          <w:t>eilis.haughey@nihrc.org</w:t>
        </w:r>
      </w:hyperlink>
    </w:p>
    <w:p w14:paraId="52260765" w14:textId="77777777" w:rsidR="001D03E7" w:rsidRPr="00331C61" w:rsidRDefault="001D03E7" w:rsidP="003B7D0E">
      <w:pPr>
        <w:jc w:val="center"/>
        <w:rPr>
          <w:rFonts w:cs="Arial"/>
          <w:b/>
          <w:color w:val="232120"/>
          <w:sz w:val="30"/>
          <w:szCs w:val="30"/>
        </w:rPr>
      </w:pPr>
    </w:p>
    <w:p w14:paraId="25A2D5A7" w14:textId="77777777" w:rsidR="00331C61" w:rsidRPr="00331C61" w:rsidRDefault="00331C61" w:rsidP="003B7D0E">
      <w:pPr>
        <w:jc w:val="center"/>
        <w:rPr>
          <w:rFonts w:cs="Arial"/>
          <w:b/>
          <w:color w:val="232120"/>
          <w:sz w:val="30"/>
          <w:szCs w:val="30"/>
        </w:rPr>
      </w:pPr>
    </w:p>
    <w:p w14:paraId="72EB3358" w14:textId="77777777" w:rsidR="00331C61" w:rsidRPr="00331C61" w:rsidRDefault="00331C61" w:rsidP="003B7D0E">
      <w:pPr>
        <w:jc w:val="center"/>
        <w:rPr>
          <w:rFonts w:cs="Arial"/>
          <w:b/>
          <w:color w:val="232120"/>
          <w:sz w:val="30"/>
          <w:szCs w:val="30"/>
        </w:rPr>
      </w:pPr>
    </w:p>
    <w:p w14:paraId="441DA257" w14:textId="77777777" w:rsidR="00331C61" w:rsidRPr="00331C61" w:rsidRDefault="0014672A" w:rsidP="00331C61">
      <w:pPr>
        <w:jc w:val="center"/>
        <w:rPr>
          <w:rFonts w:cs="Arial"/>
          <w:color w:val="232120"/>
          <w:sz w:val="28"/>
          <w:szCs w:val="28"/>
        </w:rPr>
      </w:pPr>
      <w:hyperlink r:id="rId14"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5"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3FE9C8AF"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06C4BCB1" w14:textId="77777777" w:rsidR="00F56C78" w:rsidRPr="00331C61" w:rsidRDefault="00F56C78" w:rsidP="003B7D0E">
      <w:pPr>
        <w:jc w:val="center"/>
        <w:rPr>
          <w:rFonts w:cs="Arial"/>
          <w:b/>
          <w:color w:val="232120"/>
          <w:sz w:val="28"/>
          <w:szCs w:val="28"/>
        </w:rPr>
      </w:pPr>
    </w:p>
    <w:p w14:paraId="448780FB" w14:textId="77777777" w:rsidR="00F56C78" w:rsidRPr="00331C61" w:rsidRDefault="00F56C78" w:rsidP="003B7D0E">
      <w:pPr>
        <w:jc w:val="center"/>
        <w:rPr>
          <w:rFonts w:cs="Arial"/>
          <w:color w:val="232120"/>
          <w:sz w:val="20"/>
          <w:szCs w:val="20"/>
        </w:rPr>
      </w:pPr>
    </w:p>
    <w:p w14:paraId="1D6BFD3E"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5F5BF8C" wp14:editId="2FC23839">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A6A0" w14:textId="77777777" w:rsidR="009908AE" w:rsidRDefault="009908AE" w:rsidP="00962B2B">
      <w:r>
        <w:separator/>
      </w:r>
    </w:p>
  </w:endnote>
  <w:endnote w:type="continuationSeparator" w:id="0">
    <w:p w14:paraId="65B30C82" w14:textId="77777777" w:rsidR="009908AE" w:rsidRDefault="009908AE" w:rsidP="00962B2B">
      <w:r>
        <w:continuationSeparator/>
      </w:r>
    </w:p>
  </w:endnote>
  <w:endnote w:type="continuationNotice" w:id="1">
    <w:p w14:paraId="42D388B5" w14:textId="77777777" w:rsidR="009908AE" w:rsidRDefault="009908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BF1B" w14:textId="77777777" w:rsidR="00D2770F" w:rsidRDefault="00D2770F" w:rsidP="00656ECD">
    <w:pPr>
      <w:pStyle w:val="Footer"/>
      <w:jc w:val="right"/>
      <w:rPr>
        <w:rStyle w:val="PageNumber"/>
        <w:rFonts w:ascii="Arial" w:hAnsi="Arial" w:cs="Arial"/>
        <w:b/>
        <w:sz w:val="16"/>
        <w:szCs w:val="16"/>
      </w:rPr>
    </w:pPr>
  </w:p>
  <w:p w14:paraId="2765316C" w14:textId="77777777" w:rsidR="00D2770F" w:rsidRPr="00216572" w:rsidRDefault="00D2770F" w:rsidP="00656ECD">
    <w:pPr>
      <w:pStyle w:val="Footer"/>
      <w:jc w:val="right"/>
      <w:rPr>
        <w:rFonts w:cs="Arial"/>
        <w:bCs/>
        <w:color w:val="77328A"/>
      </w:rPr>
    </w:pPr>
    <w:r w:rsidRPr="00216572">
      <w:rPr>
        <w:rStyle w:val="PageNumber"/>
        <w:rFonts w:cs="Arial"/>
        <w:bCs/>
        <w:color w:val="77328A"/>
      </w:rPr>
      <w:fldChar w:fldCharType="begin"/>
    </w:r>
    <w:r w:rsidRPr="00216572">
      <w:rPr>
        <w:rStyle w:val="PageNumber"/>
        <w:rFonts w:cs="Arial"/>
        <w:bCs/>
        <w:color w:val="77328A"/>
      </w:rPr>
      <w:instrText xml:space="preserve"> PAGE </w:instrText>
    </w:r>
    <w:r w:rsidRPr="00216572">
      <w:rPr>
        <w:rStyle w:val="PageNumber"/>
        <w:rFonts w:cs="Arial"/>
        <w:bCs/>
        <w:color w:val="77328A"/>
      </w:rPr>
      <w:fldChar w:fldCharType="separate"/>
    </w:r>
    <w:r w:rsidR="00801600" w:rsidRPr="00216572">
      <w:rPr>
        <w:rStyle w:val="PageNumber"/>
        <w:rFonts w:cs="Arial"/>
        <w:bCs/>
        <w:noProof/>
        <w:color w:val="77328A"/>
      </w:rPr>
      <w:t>2</w:t>
    </w:r>
    <w:r w:rsidRPr="00216572">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EB1A" w14:textId="77777777" w:rsidR="00D2770F" w:rsidRDefault="00D2770F" w:rsidP="00046705">
    <w:pPr>
      <w:pStyle w:val="Footer"/>
      <w:jc w:val="right"/>
      <w:rPr>
        <w:rStyle w:val="PageNumber"/>
        <w:rFonts w:ascii="Arial" w:hAnsi="Arial" w:cs="Arial"/>
        <w:b/>
        <w:sz w:val="16"/>
        <w:szCs w:val="16"/>
      </w:rPr>
    </w:pPr>
  </w:p>
  <w:p w14:paraId="6652380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7C35" w14:textId="77777777" w:rsidR="009908AE" w:rsidRDefault="009908AE" w:rsidP="00B96D34">
      <w:r>
        <w:continuationSeparator/>
      </w:r>
    </w:p>
    <w:p w14:paraId="5194E52E" w14:textId="77777777" w:rsidR="009908AE" w:rsidRPr="00B96D34" w:rsidRDefault="009908AE" w:rsidP="00B96D34">
      <w:pPr>
        <w:pStyle w:val="Footer"/>
      </w:pPr>
    </w:p>
  </w:footnote>
  <w:footnote w:type="continuationSeparator" w:id="0">
    <w:p w14:paraId="351BEA2A" w14:textId="77777777" w:rsidR="009908AE" w:rsidRDefault="009908AE" w:rsidP="00962B2B">
      <w:r>
        <w:continuationSeparator/>
      </w:r>
    </w:p>
  </w:footnote>
  <w:footnote w:type="continuationNotice" w:id="1">
    <w:p w14:paraId="2A80BAAA" w14:textId="77777777" w:rsidR="009908AE" w:rsidRDefault="009908AE"/>
  </w:footnote>
  <w:footnote w:id="2">
    <w:p w14:paraId="54B70848" w14:textId="33331691" w:rsidR="00B342C5" w:rsidRDefault="00B342C5" w:rsidP="004F4CB7">
      <w:pPr>
        <w:pStyle w:val="NIHRCFootnotes"/>
      </w:pPr>
      <w:r>
        <w:rPr>
          <w:rStyle w:val="FootnoteReference"/>
        </w:rPr>
        <w:footnoteRef/>
      </w:r>
      <w:r>
        <w:t xml:space="preserve"> The Protocol on Ireland / Northern Ireland was renamed by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1BB5953A" w14:textId="77777777" w:rsidR="00E75C92" w:rsidRPr="00654887" w:rsidRDefault="00E75C92" w:rsidP="004F4CB7">
      <w:pPr>
        <w:pStyle w:val="NIHRCFootnotes"/>
      </w:pPr>
      <w:r w:rsidRPr="00654887">
        <w:rPr>
          <w:rStyle w:val="FootnoteReference"/>
        </w:rPr>
        <w:footnoteRef/>
      </w:r>
      <w:r w:rsidRPr="00654887">
        <w:t xml:space="preserve"> UK ratification 1951 and given further domestic effect by the Human Rights Act 1998.</w:t>
      </w:r>
    </w:p>
  </w:footnote>
  <w:footnote w:id="4">
    <w:p w14:paraId="4F6DBB63" w14:textId="77777777" w:rsidR="004B28B0" w:rsidRPr="00654887" w:rsidRDefault="004B28B0" w:rsidP="004F4CB7">
      <w:pPr>
        <w:pStyle w:val="NIHRCFootnotes"/>
      </w:pPr>
      <w:r w:rsidRPr="00654887">
        <w:rPr>
          <w:rStyle w:val="FootnoteReference"/>
        </w:rPr>
        <w:footnoteRef/>
      </w:r>
      <w:r w:rsidRPr="00654887">
        <w:t xml:space="preserve"> UK ratification 1962. The UK has signed, but not ratified, the CoE Revised European Social Charter 1991.</w:t>
      </w:r>
    </w:p>
  </w:footnote>
  <w:footnote w:id="5">
    <w:p w14:paraId="46325897" w14:textId="77777777" w:rsidR="008F2106" w:rsidRPr="00654887" w:rsidRDefault="008F2106" w:rsidP="004F4CB7">
      <w:pPr>
        <w:pStyle w:val="NIHRCFootnotes"/>
      </w:pPr>
      <w:r w:rsidRPr="00654887">
        <w:rPr>
          <w:rStyle w:val="FootnoteReference"/>
        </w:rPr>
        <w:footnoteRef/>
      </w:r>
      <w:r w:rsidRPr="00654887">
        <w:t xml:space="preserve"> UK ratification 1969.</w:t>
      </w:r>
    </w:p>
  </w:footnote>
  <w:footnote w:id="6">
    <w:p w14:paraId="5CA6A3F6" w14:textId="77777777" w:rsidR="007B00A5" w:rsidRPr="00654887" w:rsidRDefault="007B00A5" w:rsidP="004F4CB7">
      <w:pPr>
        <w:pStyle w:val="NIHRCFootnotes"/>
      </w:pPr>
      <w:r w:rsidRPr="00654887">
        <w:rPr>
          <w:rStyle w:val="FootnoteReference"/>
        </w:rPr>
        <w:footnoteRef/>
      </w:r>
      <w:r w:rsidRPr="00654887">
        <w:t xml:space="preserve"> UK ratification 1976.</w:t>
      </w:r>
    </w:p>
  </w:footnote>
  <w:footnote w:id="7">
    <w:p w14:paraId="1A5EB57F" w14:textId="77777777" w:rsidR="00F00558" w:rsidRPr="00654887" w:rsidRDefault="00F00558" w:rsidP="004F4CB7">
      <w:pPr>
        <w:pStyle w:val="NIHRCFootnotes"/>
      </w:pPr>
      <w:r w:rsidRPr="00654887">
        <w:rPr>
          <w:rStyle w:val="FootnoteReference"/>
        </w:rPr>
        <w:footnoteRef/>
      </w:r>
      <w:r w:rsidRPr="00654887">
        <w:t xml:space="preserve"> UK ratification 1976.</w:t>
      </w:r>
    </w:p>
  </w:footnote>
  <w:footnote w:id="8">
    <w:p w14:paraId="588443D8" w14:textId="77777777" w:rsidR="000A3822" w:rsidRPr="00654887" w:rsidRDefault="000A3822" w:rsidP="004F4CB7">
      <w:pPr>
        <w:pStyle w:val="NIHRCFootnotes"/>
      </w:pPr>
      <w:r w:rsidRPr="00654887">
        <w:rPr>
          <w:rStyle w:val="FootnoteReference"/>
        </w:rPr>
        <w:footnoteRef/>
      </w:r>
      <w:r w:rsidRPr="00654887">
        <w:t xml:space="preserve"> UK ratification 1986.</w:t>
      </w:r>
    </w:p>
  </w:footnote>
  <w:footnote w:id="9">
    <w:p w14:paraId="05A98867" w14:textId="77777777" w:rsidR="00D5445D" w:rsidRPr="00654887" w:rsidRDefault="00D5445D" w:rsidP="004F4CB7">
      <w:pPr>
        <w:pStyle w:val="NIHRCFootnotes"/>
      </w:pPr>
      <w:r w:rsidRPr="00654887">
        <w:rPr>
          <w:rStyle w:val="FootnoteReference"/>
        </w:rPr>
        <w:footnoteRef/>
      </w:r>
      <w:r w:rsidRPr="00654887">
        <w:t xml:space="preserve"> UK ratification 1991.</w:t>
      </w:r>
    </w:p>
  </w:footnote>
  <w:footnote w:id="10">
    <w:p w14:paraId="29045158" w14:textId="77777777" w:rsidR="00287262" w:rsidRPr="00654887" w:rsidRDefault="00287262" w:rsidP="004F4CB7">
      <w:pPr>
        <w:pStyle w:val="NIHRCFootnotes"/>
      </w:pPr>
      <w:r w:rsidRPr="00654887">
        <w:rPr>
          <w:rStyle w:val="FootnoteReference"/>
        </w:rPr>
        <w:footnoteRef/>
      </w:r>
      <w:r w:rsidRPr="00654887">
        <w:t xml:space="preserve"> UK ratification 2009.</w:t>
      </w:r>
    </w:p>
  </w:footnote>
  <w:footnote w:id="11">
    <w:p w14:paraId="1ED06EEF" w14:textId="77777777" w:rsidR="00E45AC3" w:rsidRDefault="00E45AC3" w:rsidP="004F4CB7">
      <w:pPr>
        <w:pStyle w:val="NIHRCFootnotes"/>
      </w:pPr>
      <w:r>
        <w:rPr>
          <w:rStyle w:val="FootnoteReference"/>
        </w:rPr>
        <w:footnoteRef/>
      </w:r>
      <w:r>
        <w:t xml:space="preserve"> </w:t>
      </w:r>
      <w:r w:rsidRPr="000A2C64">
        <w:t xml:space="preserve">‘UN CEDAW Committee General </w:t>
      </w:r>
      <w:r>
        <w:t xml:space="preserve">Recommendation </w:t>
      </w:r>
      <w:r w:rsidRPr="000A2C64">
        <w:t>No 6: Effective National Machinery and Publicity’, 1988</w:t>
      </w:r>
      <w:r>
        <w:t>.</w:t>
      </w:r>
    </w:p>
  </w:footnote>
  <w:footnote w:id="12">
    <w:p w14:paraId="3D3C77D4" w14:textId="77777777" w:rsidR="00E45AC3" w:rsidRDefault="00E45AC3" w:rsidP="004F4CB7">
      <w:pPr>
        <w:pStyle w:val="NIHRCFootnotes"/>
      </w:pPr>
      <w:r>
        <w:rPr>
          <w:rStyle w:val="FootnoteReference"/>
        </w:rPr>
        <w:footnoteRef/>
      </w:r>
      <w:r>
        <w:t xml:space="preserve"> E/C.12/1999/10, ‘UN ICESCR Committee General Comment No 13: Right to Education’, 8 December 1999.</w:t>
      </w:r>
    </w:p>
  </w:footnote>
  <w:footnote w:id="13">
    <w:p w14:paraId="53CDD1E9" w14:textId="77777777" w:rsidR="00E45AC3" w:rsidRDefault="00E45AC3" w:rsidP="004F4CB7">
      <w:pPr>
        <w:pStyle w:val="NIHRCFootnotes"/>
      </w:pPr>
      <w:r>
        <w:rPr>
          <w:rStyle w:val="FootnoteReference"/>
        </w:rPr>
        <w:footnoteRef/>
      </w:r>
      <w:r>
        <w:t xml:space="preserve"> CRC/GC/2001/1, ‘UN CRC Committee General Comment No 1: Aims of Education’, 17 April 2001.</w:t>
      </w:r>
    </w:p>
  </w:footnote>
  <w:footnote w:id="14">
    <w:p w14:paraId="19FAC5F1" w14:textId="77777777" w:rsidR="00E45AC3" w:rsidRDefault="00E45AC3" w:rsidP="004F4CB7">
      <w:pPr>
        <w:pStyle w:val="NIHRCFootnotes"/>
      </w:pPr>
      <w:r>
        <w:rPr>
          <w:rStyle w:val="FootnoteReference"/>
        </w:rPr>
        <w:footnoteRef/>
      </w:r>
      <w:r>
        <w:t xml:space="preserve"> </w:t>
      </w:r>
      <w:r w:rsidRPr="000A2C64">
        <w:rPr>
          <w:color w:val="76328A"/>
        </w:rPr>
        <w:t>E/1991/23, ‘UN ICESCR Committee General Comment No 3: The Nature of States Parties’ Obligations’, 14 December 1990</w:t>
      </w:r>
      <w:r>
        <w:rPr>
          <w:color w:val="76328A"/>
        </w:rPr>
        <w:t>.</w:t>
      </w:r>
    </w:p>
  </w:footnote>
  <w:footnote w:id="15">
    <w:p w14:paraId="4488706A" w14:textId="77777777" w:rsidR="00E45AC3" w:rsidRDefault="00E45AC3" w:rsidP="004F4CB7">
      <w:pPr>
        <w:pStyle w:val="NIHRCFootnotes"/>
      </w:pPr>
      <w:r>
        <w:rPr>
          <w:rStyle w:val="FootnoteReference"/>
        </w:rPr>
        <w:footnoteRef/>
      </w:r>
      <w:r>
        <w:t xml:space="preserve"> </w:t>
      </w:r>
      <w:r w:rsidRPr="000A2C64">
        <w:t>E/C.12/2000/4, ‘UN ICESCR Committee General Comment No 14: Right to the Highest Attainable Standard of Health’, 11 August 2000</w:t>
      </w:r>
      <w:r>
        <w:t>.</w:t>
      </w:r>
    </w:p>
  </w:footnote>
  <w:footnote w:id="16">
    <w:p w14:paraId="414D5F62" w14:textId="77777777" w:rsidR="00E45AC3" w:rsidRDefault="00E45AC3" w:rsidP="004F4CB7">
      <w:pPr>
        <w:pStyle w:val="NIHRCFootnotes"/>
      </w:pPr>
      <w:r>
        <w:rPr>
          <w:rStyle w:val="FootnoteReference"/>
        </w:rPr>
        <w:footnoteRef/>
      </w:r>
      <w:r>
        <w:t xml:space="preserve"> </w:t>
      </w:r>
      <w:r w:rsidRPr="000A2C64">
        <w:t>‘UN CERD Committee General Recommendation No 29: Descent’, August 2002</w:t>
      </w:r>
      <w:r>
        <w:t>.</w:t>
      </w:r>
    </w:p>
  </w:footnote>
  <w:footnote w:id="17">
    <w:p w14:paraId="50511A60" w14:textId="77777777" w:rsidR="00E45AC3" w:rsidRDefault="00E45AC3" w:rsidP="004F4CB7">
      <w:pPr>
        <w:pStyle w:val="NIHRCFootnotes"/>
      </w:pPr>
      <w:r>
        <w:rPr>
          <w:rStyle w:val="FootnoteReference"/>
        </w:rPr>
        <w:footnoteRef/>
      </w:r>
      <w:r>
        <w:t xml:space="preserve"> </w:t>
      </w:r>
      <w:r w:rsidRPr="000A2C64">
        <w:t>CRC/GC/2003/5, ‘UN CRC Committee General Comment No 5: General Measures of Implementation of the UN CRC’, 27 November 2003</w:t>
      </w:r>
      <w:r>
        <w:t>.</w:t>
      </w:r>
    </w:p>
  </w:footnote>
  <w:footnote w:id="18">
    <w:p w14:paraId="526DC4AB" w14:textId="77777777" w:rsidR="00E45AC3" w:rsidRDefault="00E45AC3" w:rsidP="004F4CB7">
      <w:pPr>
        <w:pStyle w:val="NIHRCFootnotes"/>
      </w:pPr>
      <w:r>
        <w:rPr>
          <w:rStyle w:val="FootnoteReference"/>
        </w:rPr>
        <w:footnoteRef/>
      </w:r>
      <w:r>
        <w:t xml:space="preserve"> </w:t>
      </w:r>
      <w:r w:rsidRPr="000A2C64">
        <w:t>E/C.12/GC/19, ‘UN ICESCR Committee General Comment No 19: Right to Social Security’, 4 February 2008</w:t>
      </w:r>
      <w:r>
        <w:t>.</w:t>
      </w:r>
    </w:p>
  </w:footnote>
  <w:footnote w:id="19">
    <w:p w14:paraId="581EAE42" w14:textId="77777777" w:rsidR="00E45AC3" w:rsidRDefault="00E45AC3" w:rsidP="004F4CB7">
      <w:pPr>
        <w:pStyle w:val="NIHRCFootnotes"/>
      </w:pPr>
      <w:r>
        <w:rPr>
          <w:rStyle w:val="FootnoteReference"/>
        </w:rPr>
        <w:footnoteRef/>
      </w:r>
      <w:r>
        <w:t xml:space="preserve"> E</w:t>
      </w:r>
      <w:r w:rsidRPr="000A2C64">
        <w:t>/C.12/GC/20, ‘UN ICESCR Committee General Comment No 20: Non Discrimination in Economic, Social and Cultural Rights’, 2 July 2009</w:t>
      </w:r>
      <w:r>
        <w:t>.</w:t>
      </w:r>
    </w:p>
  </w:footnote>
  <w:footnote w:id="20">
    <w:p w14:paraId="2C100786" w14:textId="77777777" w:rsidR="00E45AC3" w:rsidRDefault="00E45AC3" w:rsidP="004F4CB7">
      <w:pPr>
        <w:pStyle w:val="NIHRCFootnotes"/>
      </w:pPr>
      <w:r>
        <w:rPr>
          <w:rStyle w:val="FootnoteReference"/>
        </w:rPr>
        <w:footnoteRef/>
      </w:r>
      <w:r>
        <w:t xml:space="preserve"> </w:t>
      </w:r>
      <w:r w:rsidRPr="000A2C64">
        <w:t>E/C.12/GC/23, ‘UN ICESCR Committee General Comment No 23:</w:t>
      </w:r>
      <w:r>
        <w:t xml:space="preserve"> </w:t>
      </w:r>
      <w:r w:rsidRPr="000A2C64">
        <w:t>Right To Just and Favourable Conditions of Work’, 27</w:t>
      </w:r>
      <w:r>
        <w:t xml:space="preserve"> </w:t>
      </w:r>
      <w:r w:rsidRPr="000A2C64">
        <w:t>April 2016</w:t>
      </w:r>
      <w:r>
        <w:t>.</w:t>
      </w:r>
    </w:p>
  </w:footnote>
  <w:footnote w:id="21">
    <w:p w14:paraId="7DFD6895" w14:textId="77777777" w:rsidR="00E45AC3" w:rsidRDefault="00E45AC3" w:rsidP="004F4CB7">
      <w:pPr>
        <w:pStyle w:val="NIHRCFootnotes"/>
      </w:pPr>
      <w:r>
        <w:rPr>
          <w:rStyle w:val="FootnoteReference"/>
        </w:rPr>
        <w:footnoteRef/>
      </w:r>
      <w:r>
        <w:t xml:space="preserve"> </w:t>
      </w:r>
      <w:r w:rsidRPr="000A2C64">
        <w:t>CRC/C/GBR/CO/5, 'UN CRC Committee Concluding Observations on the Fifth Periodic Report of the UK of Great Britain and NI', 12 July 2016.</w:t>
      </w:r>
    </w:p>
  </w:footnote>
  <w:footnote w:id="22">
    <w:p w14:paraId="7DA21236" w14:textId="77777777" w:rsidR="00E45AC3" w:rsidRDefault="00E45AC3" w:rsidP="004F4CB7">
      <w:pPr>
        <w:pStyle w:val="NIHRCFootnotes"/>
      </w:pPr>
      <w:r>
        <w:rPr>
          <w:rStyle w:val="FootnoteReference"/>
        </w:rPr>
        <w:footnoteRef/>
      </w:r>
      <w:r>
        <w:t xml:space="preserve"> </w:t>
      </w:r>
      <w:r w:rsidRPr="000A2C64">
        <w:t>E/C.12/GBR/CO/6, 'UN ICESCR Committee Concluding Observations on the Sixth Periodic Report of the UK of Great Britain and NI', 14 July 2016.</w:t>
      </w:r>
    </w:p>
  </w:footnote>
  <w:footnote w:id="23">
    <w:p w14:paraId="4DA1AC02" w14:textId="77777777" w:rsidR="00E45AC3" w:rsidRDefault="00E45AC3" w:rsidP="004F4CB7">
      <w:pPr>
        <w:pStyle w:val="NIHRCFootnotes"/>
      </w:pPr>
      <w:r>
        <w:rPr>
          <w:rStyle w:val="FootnoteReference"/>
        </w:rPr>
        <w:footnoteRef/>
      </w:r>
      <w:r>
        <w:t xml:space="preserve"> </w:t>
      </w:r>
      <w:r w:rsidRPr="000A2C64">
        <w:t>CERD/C/GBR/CO/21-23, 'UN CERD Committee Concluding Observations on the Twenty-first to Twenty-third Periodic Reports of UK', 26 August 2016.</w:t>
      </w:r>
    </w:p>
  </w:footnote>
  <w:footnote w:id="24">
    <w:p w14:paraId="4E50B572" w14:textId="77777777" w:rsidR="00E45AC3" w:rsidRDefault="00E45AC3" w:rsidP="004F4CB7">
      <w:pPr>
        <w:pStyle w:val="NIHRCFootnotes"/>
      </w:pPr>
      <w:r>
        <w:rPr>
          <w:rStyle w:val="FootnoteReference"/>
        </w:rPr>
        <w:footnoteRef/>
      </w:r>
      <w:r>
        <w:t xml:space="preserve"> </w:t>
      </w:r>
      <w:r w:rsidRPr="000A2C64">
        <w:t>CRPD/C/GBR/CO/1, ‘UN CRPD Committee Concluding observations on the Initial Report of the UK of Great Britain and NI’, 3 October 2017.</w:t>
      </w:r>
    </w:p>
  </w:footnote>
  <w:footnote w:id="25">
    <w:p w14:paraId="094DC5C3" w14:textId="77777777" w:rsidR="00E45AC3" w:rsidRDefault="00E45AC3" w:rsidP="004F4CB7">
      <w:pPr>
        <w:pStyle w:val="NIHRCFootnotes"/>
      </w:pPr>
      <w:r>
        <w:rPr>
          <w:rStyle w:val="FootnoteReference"/>
        </w:rPr>
        <w:footnoteRef/>
      </w:r>
      <w:r>
        <w:t xml:space="preserve"> </w:t>
      </w:r>
      <w:r w:rsidRPr="000A2C64">
        <w:t>CEDAW/C/GBR/CO/8, 'UN CEDAW Committee Concluding Observations on the Eighth Periodic Report of the UK of Great Britain and NI', 14 March 2019</w:t>
      </w:r>
      <w:r>
        <w:t>.</w:t>
      </w:r>
    </w:p>
  </w:footnote>
  <w:footnote w:id="26">
    <w:p w14:paraId="07A87A2C" w14:textId="77777777" w:rsidR="00E45AC3" w:rsidRDefault="00E45AC3" w:rsidP="004F4CB7">
      <w:pPr>
        <w:pStyle w:val="NIHRCFootnotes"/>
      </w:pPr>
      <w:r>
        <w:rPr>
          <w:rStyle w:val="FootnoteReference"/>
        </w:rPr>
        <w:footnoteRef/>
      </w:r>
      <w:r>
        <w:t xml:space="preserve"> A</w:t>
      </w:r>
      <w:r w:rsidRPr="000A2C64">
        <w:t>/HRC/41/54/Add.2, ‘Report of the Special Rapporteur on Contemporary Forms of Racism, Racial Discrimination, Xenophobia and Related Intolerance: Visit to the UK of Great Britain and NI’, 27 May 2019.</w:t>
      </w:r>
    </w:p>
  </w:footnote>
  <w:footnote w:id="27">
    <w:p w14:paraId="540808BC" w14:textId="738B3137" w:rsidR="00A77D0C" w:rsidRDefault="00A77D0C" w:rsidP="004F4CB7">
      <w:pPr>
        <w:pStyle w:val="NIHRCFootnotes"/>
      </w:pPr>
      <w:r>
        <w:rPr>
          <w:rStyle w:val="FootnoteReference"/>
        </w:rPr>
        <w:footnoteRef/>
      </w:r>
      <w:r>
        <w:t xml:space="preserve"> Directive 2000/43/EC, ‘EU Council Directive on Implementing the Principle of Equal Treatment between Persons Irrespective of Racial or Ethnic Origin’, 29 June 2000.</w:t>
      </w:r>
    </w:p>
  </w:footnote>
  <w:footnote w:id="28">
    <w:p w14:paraId="0B0B906E" w14:textId="658F6F87" w:rsidR="00B82217" w:rsidRDefault="00B82217" w:rsidP="004F4CB7">
      <w:pPr>
        <w:pStyle w:val="NIHRCFootnotes"/>
      </w:pPr>
      <w:r>
        <w:rPr>
          <w:rStyle w:val="FootnoteReference"/>
        </w:rPr>
        <w:footnoteRef/>
      </w:r>
      <w:r>
        <w:t xml:space="preserve"> </w:t>
      </w:r>
      <w:r w:rsidR="001E1045">
        <w:t>Directive 2000/78/EC, ‘EU Council Directive on Establishing a General Framework for Equal Treatment in Employment and Occupation’, 27 November 2000.</w:t>
      </w:r>
    </w:p>
  </w:footnote>
  <w:footnote w:id="29">
    <w:p w14:paraId="68093EA3" w14:textId="006F078C" w:rsidR="00B82217" w:rsidRDefault="00B82217" w:rsidP="004F4CB7">
      <w:pPr>
        <w:pStyle w:val="NIHRCFootnotes"/>
      </w:pPr>
      <w:r>
        <w:rPr>
          <w:rStyle w:val="FootnoteReference"/>
        </w:rPr>
        <w:footnoteRef/>
      </w:r>
      <w:r>
        <w:t xml:space="preserve"> </w:t>
      </w:r>
      <w:r w:rsidR="001E1045">
        <w:t>Directive 2006/54/EC, ‘EU Council Directive on the Implementation of the Principle of Equal Opportunities and Equal Treatment of Men and Women in Matters of Employment and Occupation’, 5 July 2006.</w:t>
      </w:r>
    </w:p>
  </w:footnote>
  <w:footnote w:id="30">
    <w:p w14:paraId="31A3E24F" w14:textId="64B8A257" w:rsidR="00A77D0C" w:rsidRDefault="00A77D0C" w:rsidP="004F4CB7">
      <w:pPr>
        <w:pStyle w:val="NIHRCFootnotes"/>
      </w:pPr>
      <w:r>
        <w:rPr>
          <w:rStyle w:val="FootnoteReference"/>
        </w:rPr>
        <w:footnoteRef/>
      </w:r>
      <w:r>
        <w:t xml:space="preserve"> Entry into force in 2009.</w:t>
      </w:r>
    </w:p>
  </w:footnote>
  <w:footnote w:id="31">
    <w:p w14:paraId="6C701FC2" w14:textId="77777777" w:rsidR="003731EE" w:rsidRPr="000A2C64" w:rsidRDefault="003731EE" w:rsidP="004F4CB7">
      <w:pPr>
        <w:pStyle w:val="NIHRCFootnotes"/>
      </w:pPr>
      <w:r w:rsidRPr="000A2C64">
        <w:rPr>
          <w:rStyle w:val="FootnoteReference"/>
        </w:rPr>
        <w:footnoteRef/>
      </w:r>
      <w:r w:rsidRPr="000A2C64">
        <w:t xml:space="preserve"> The Executive Office, ‘Review of the Race Relations (NI) Order 1997: Consultation Document’ (TEO, 2023), at 8.</w:t>
      </w:r>
    </w:p>
  </w:footnote>
  <w:footnote w:id="32">
    <w:p w14:paraId="247F480B" w14:textId="77777777" w:rsidR="003731EE" w:rsidRDefault="003731EE" w:rsidP="004F4CB7">
      <w:pPr>
        <w:pStyle w:val="NIHRCFootnotes"/>
      </w:pPr>
      <w:r>
        <w:rPr>
          <w:rStyle w:val="FootnoteReference"/>
        </w:rPr>
        <w:footnoteRef/>
      </w:r>
      <w:r>
        <w:t xml:space="preserve"> </w:t>
      </w:r>
      <w:r w:rsidRPr="00245E58">
        <w:t>E</w:t>
      </w:r>
      <w:r>
        <w:t>uropean Network of National Human Rights Institutions</w:t>
      </w:r>
      <w:r w:rsidRPr="00245E58">
        <w:t xml:space="preserve">, ‘Human Rights Based Approach’. Available at: </w:t>
      </w:r>
      <w:hyperlink r:id="rId1" w:history="1">
        <w:r w:rsidRPr="005376DF">
          <w:rPr>
            <w:rStyle w:val="Hyperlink"/>
          </w:rPr>
          <w:t>https://ennhri.org/about-nhris/human-rights-based-approach/</w:t>
        </w:r>
      </w:hyperlink>
    </w:p>
  </w:footnote>
  <w:footnote w:id="33">
    <w:p w14:paraId="41FB9D7F" w14:textId="77777777" w:rsidR="003731EE" w:rsidRPr="000A2C64" w:rsidRDefault="003731EE" w:rsidP="004F4CB7">
      <w:pPr>
        <w:pStyle w:val="NIHRCFootnotes"/>
      </w:pPr>
      <w:r w:rsidRPr="000A2C64">
        <w:rPr>
          <w:rStyle w:val="FootnoteReference"/>
        </w:rPr>
        <w:footnoteRef/>
      </w:r>
      <w:r w:rsidRPr="000A2C64">
        <w:t xml:space="preserve"> Email correspondence from NI Council for Racial Equality to NI Human Rights Commission, 10 May 2023; Brice Dickson, ‘Race Equality Law Reform: Strengthening Protection’ (ECNI, 2021), at para vii(6).</w:t>
      </w:r>
    </w:p>
  </w:footnote>
  <w:footnote w:id="34">
    <w:p w14:paraId="2B0BB4EB" w14:textId="33E24CE8" w:rsidR="002A3263" w:rsidRDefault="002A3263" w:rsidP="004F4CB7">
      <w:pPr>
        <w:pStyle w:val="NIHRCFootnotes"/>
      </w:pPr>
      <w:r>
        <w:rPr>
          <w:rStyle w:val="FootnoteReference"/>
        </w:rPr>
        <w:footnoteRef/>
      </w:r>
      <w:r>
        <w:t xml:space="preserve"> </w:t>
      </w:r>
      <w:r w:rsidR="000F58F7">
        <w:t>Belfast (Good Friday) Agreement, 10 April 1998, Part 6 on Rights, Safeguards and Equality of Opportunity – Human Rights.</w:t>
      </w:r>
    </w:p>
  </w:footnote>
  <w:footnote w:id="35">
    <w:p w14:paraId="05BD819A" w14:textId="00A5BA22" w:rsidR="00F230A5" w:rsidRDefault="00F230A5" w:rsidP="004F4CB7">
      <w:pPr>
        <w:pStyle w:val="NIHRCFootnotes"/>
      </w:pPr>
      <w:r>
        <w:rPr>
          <w:rStyle w:val="FootnoteReference"/>
        </w:rPr>
        <w:footnoteRef/>
      </w:r>
      <w:r>
        <w:t xml:space="preserve"> UK Government, ‘UK Government commitment to no-diminution of rights, safeguards and equality of opportunity in Northern Ireland’, (NIO, 2020), at para 13.</w:t>
      </w:r>
    </w:p>
  </w:footnote>
  <w:footnote w:id="36">
    <w:p w14:paraId="0814B7F8" w14:textId="4F295421" w:rsidR="002A59E7" w:rsidRDefault="002A59E7" w:rsidP="004F4CB7">
      <w:pPr>
        <w:pStyle w:val="NIHRCFootnotes"/>
      </w:pPr>
      <w:r>
        <w:rPr>
          <w:rStyle w:val="FootnoteReference"/>
        </w:rPr>
        <w:footnoteRef/>
      </w:r>
      <w:r>
        <w:t xml:space="preserve"> </w:t>
      </w:r>
      <w:r w:rsidR="0059622C">
        <w:t>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37">
    <w:p w14:paraId="3297AC93" w14:textId="660A9E0A" w:rsidR="002A59E7" w:rsidRDefault="002A59E7" w:rsidP="004F4CB7">
      <w:pPr>
        <w:pStyle w:val="NIHRCFootnotes"/>
      </w:pPr>
      <w:r>
        <w:rPr>
          <w:rStyle w:val="FootnoteReference"/>
        </w:rPr>
        <w:footnoteRef/>
      </w:r>
      <w:r>
        <w:t xml:space="preserve"> Directive 2000/43/EC, ‘EU Council Directive on Implementing the Principle of Equal Treatment between Persons Irrespective of Racial or Ethnic Origin’, 29 June 2000.</w:t>
      </w:r>
    </w:p>
  </w:footnote>
  <w:footnote w:id="38">
    <w:p w14:paraId="5149381D" w14:textId="0CE53072" w:rsidR="00C32F1C" w:rsidRDefault="00C32F1C" w:rsidP="004F4CB7">
      <w:pPr>
        <w:pStyle w:val="NIHRCFootnotes"/>
      </w:pPr>
      <w:r>
        <w:rPr>
          <w:rStyle w:val="FootnoteReference"/>
        </w:rPr>
        <w:footnoteRef/>
      </w:r>
      <w:r>
        <w:t xml:space="preserve"> </w:t>
      </w:r>
      <w:r w:rsidR="006E32B2">
        <w:t>NI Office, ‘UK Government Commitment to “No Diminution of Rights, Safeguards and Equality of Opportunity” in Northern Ireland: What does it Mean and How will it be Implemented?’ (NIO, 2020), at para 12.</w:t>
      </w:r>
    </w:p>
  </w:footnote>
  <w:footnote w:id="39">
    <w:p w14:paraId="297ACF0F" w14:textId="15820717" w:rsidR="00EA02C2" w:rsidRDefault="00EA02C2" w:rsidP="004F4CB7">
      <w:pPr>
        <w:pStyle w:val="NIHRCFootnotes"/>
      </w:pPr>
      <w:r>
        <w:rPr>
          <w:rStyle w:val="FootnoteReference"/>
        </w:rPr>
        <w:footnoteRef/>
      </w:r>
      <w:r>
        <w:t xml:space="preserve"> Article 13(2) and 13(3), Ireland/Northern Ireland Protocol to the UK-EU Withdrawal Agreement; Re Allister [2021] NIQB 64, para 234.</w:t>
      </w:r>
    </w:p>
  </w:footnote>
  <w:footnote w:id="40">
    <w:p w14:paraId="0604579F" w14:textId="77777777" w:rsidR="00B63F7E" w:rsidRDefault="00B63F7E" w:rsidP="004F4CB7">
      <w:pPr>
        <w:pStyle w:val="NIHRCFootnotes"/>
      </w:pPr>
      <w:r>
        <w:rPr>
          <w:rStyle w:val="FootnoteReference"/>
        </w:rPr>
        <w:footnoteRef/>
      </w:r>
      <w:r>
        <w:t xml:space="preserve"> NI Human Rights Commission, ‘Response to the European Commission Consultation on the Race Equality Directive (Directive 2000/43/EC)’, (NIHRC, 2022).</w:t>
      </w:r>
    </w:p>
  </w:footnote>
  <w:footnote w:id="41">
    <w:p w14:paraId="1C977A8F" w14:textId="2C8E4BB0" w:rsidR="001A0A3B" w:rsidRDefault="001A0A3B" w:rsidP="004F4CB7">
      <w:pPr>
        <w:pStyle w:val="NIHRCFootnotes"/>
      </w:pPr>
      <w:r>
        <w:rPr>
          <w:rStyle w:val="FootnoteReference"/>
        </w:rPr>
        <w:footnoteRef/>
      </w:r>
      <w:r>
        <w:t xml:space="preserve"> Ibid.</w:t>
      </w:r>
    </w:p>
  </w:footnote>
  <w:footnote w:id="42">
    <w:p w14:paraId="6FA22C93" w14:textId="408F6701" w:rsidR="00B63F7E" w:rsidRDefault="00B63F7E" w:rsidP="004F4CB7">
      <w:pPr>
        <w:pStyle w:val="NIHRCFootnotes"/>
      </w:pPr>
      <w:r>
        <w:rPr>
          <w:rStyle w:val="FootnoteReference"/>
        </w:rPr>
        <w:footnoteRef/>
      </w:r>
      <w:r>
        <w:t xml:space="preserve"> Article 6</w:t>
      </w:r>
      <w:r w:rsidR="00A51CDA">
        <w:t>(1)</w:t>
      </w:r>
      <w:r>
        <w:t>, Directive 2000/43/EC, ‘EU Council Directive on Implementing the Principle of Equal Treatment between Persons Irrespective of Racial or Ethnic Origin’, 29 June 2000.</w:t>
      </w:r>
    </w:p>
  </w:footnote>
  <w:footnote w:id="43">
    <w:p w14:paraId="0A2B7303" w14:textId="7D9B8A1C" w:rsidR="00AA2878" w:rsidRDefault="00AA2878" w:rsidP="004F4CB7">
      <w:pPr>
        <w:pStyle w:val="NIHRCFootnotes"/>
      </w:pPr>
      <w:r>
        <w:rPr>
          <w:rStyle w:val="FootnoteReference"/>
        </w:rPr>
        <w:footnoteRef/>
      </w:r>
      <w:r>
        <w:t xml:space="preserve"> </w:t>
      </w:r>
      <w:r w:rsidR="00D9580A">
        <w:t>Ibid</w:t>
      </w:r>
      <w:r w:rsidR="00A51CDA">
        <w:t>.</w:t>
      </w:r>
    </w:p>
  </w:footnote>
  <w:footnote w:id="44">
    <w:p w14:paraId="7EBFA365" w14:textId="5F62C847" w:rsidR="00830D46" w:rsidRPr="000A2C64" w:rsidRDefault="00830D46" w:rsidP="004F4CB7">
      <w:pPr>
        <w:pStyle w:val="NIHRCFootnotes"/>
      </w:pPr>
      <w:r w:rsidRPr="000A2C64">
        <w:rPr>
          <w:rStyle w:val="FootnoteReference"/>
        </w:rPr>
        <w:footnoteRef/>
      </w:r>
      <w:r w:rsidRPr="000A2C64">
        <w:t xml:space="preserve"> The Executive Office, ‘Review of the Race Relations (NI) Order 1997: Consultation Document’ (TEO, 2023).</w:t>
      </w:r>
    </w:p>
  </w:footnote>
  <w:footnote w:id="45">
    <w:p w14:paraId="65ED999B" w14:textId="77777777" w:rsidR="00430C39" w:rsidRPr="000A2C64" w:rsidRDefault="00430C39" w:rsidP="004F4CB7">
      <w:pPr>
        <w:pStyle w:val="NIHRCFootnotes"/>
      </w:pPr>
      <w:r w:rsidRPr="000A2C64">
        <w:rPr>
          <w:rStyle w:val="FootnoteReference"/>
          <w:rFonts w:eastAsiaTheme="majorEastAsia"/>
        </w:rPr>
        <w:footnoteRef/>
      </w:r>
      <w:r w:rsidRPr="000A2C64">
        <w:t xml:space="preserve"> CRPD/C/GBR/CO/1, ‘UN CRPD Committee Concluding observations on the Initial Report of the UK of Great Britain and NI’, 3 October 2017, at para 19.</w:t>
      </w:r>
    </w:p>
  </w:footnote>
  <w:footnote w:id="46">
    <w:p w14:paraId="5BE69FB7" w14:textId="77777777" w:rsidR="00F62CF4" w:rsidRPr="000A2C64" w:rsidRDefault="00F62CF4" w:rsidP="004F4CB7">
      <w:pPr>
        <w:pStyle w:val="NIHRCFootnotes"/>
      </w:pPr>
      <w:r w:rsidRPr="000A2C64">
        <w:rPr>
          <w:rStyle w:val="FootnoteReference"/>
          <w:rFonts w:eastAsiaTheme="majorEastAsia"/>
        </w:rPr>
        <w:footnoteRef/>
      </w:r>
      <w:r w:rsidRPr="000A2C64">
        <w:t xml:space="preserve"> CEDAW/C/GBR/CO/8, 'UN CEDAW Committee Concluding Observations on the Eighth Periodic Report of the UK of Great Britain and NI', 14 March 2019, at para 15(a) and (c).</w:t>
      </w:r>
    </w:p>
  </w:footnote>
  <w:footnote w:id="47">
    <w:p w14:paraId="72410C30" w14:textId="104C937E" w:rsidR="00FD54FC" w:rsidRDefault="00FD54FC" w:rsidP="004F4CB7">
      <w:pPr>
        <w:pStyle w:val="NIHRCFootnotes"/>
      </w:pPr>
      <w:r>
        <w:rPr>
          <w:rStyle w:val="FootnoteReference"/>
        </w:rPr>
        <w:footnoteRef/>
      </w:r>
      <w:r>
        <w:t xml:space="preserve"> Recital 14, Directive 2000/43/EC, ‘EU Council Directive on Implementing the Principle of Equal Treatment between Persons Irrespective of Racial or Ethnic Origin’, 29 June 2000.</w:t>
      </w:r>
    </w:p>
  </w:footnote>
  <w:footnote w:id="48">
    <w:p w14:paraId="6B2673B0" w14:textId="4F3620F3" w:rsidR="003A282B" w:rsidRDefault="003A282B" w:rsidP="004F4CB7">
      <w:pPr>
        <w:pStyle w:val="NIHRCFootnotes"/>
      </w:pPr>
      <w:r>
        <w:rPr>
          <w:rStyle w:val="FootnoteReference"/>
        </w:rPr>
        <w:footnoteRef/>
      </w:r>
      <w:r>
        <w:t xml:space="preserve"> </w:t>
      </w:r>
      <w:r w:rsidRPr="0015582B">
        <w:rPr>
          <w:i/>
          <w:iCs/>
        </w:rPr>
        <w:t>CHEZ Razpredelenie Bulgaria</w:t>
      </w:r>
      <w:r w:rsidR="004130F9">
        <w:rPr>
          <w:i/>
          <w:iCs/>
        </w:rPr>
        <w:t xml:space="preserve"> </w:t>
      </w:r>
      <w:r w:rsidRPr="0015582B">
        <w:rPr>
          <w:i/>
          <w:iCs/>
        </w:rPr>
        <w:t>AD v Komisia za zashtita ot diskriminatsia</w:t>
      </w:r>
      <w:r>
        <w:t>, C-83/14, 16 July 2015.</w:t>
      </w:r>
    </w:p>
  </w:footnote>
  <w:footnote w:id="49">
    <w:p w14:paraId="0CFD393C" w14:textId="38021461" w:rsidR="00173E95" w:rsidRDefault="00173E95" w:rsidP="004F4CB7">
      <w:pPr>
        <w:pStyle w:val="NIHRCFootnotes"/>
      </w:pPr>
      <w:r>
        <w:rPr>
          <w:rStyle w:val="FootnoteReference"/>
        </w:rPr>
        <w:footnoteRef/>
      </w:r>
      <w:r>
        <w:t xml:space="preserve"> </w:t>
      </w:r>
      <w:r w:rsidR="00D707D5" w:rsidRPr="006E6725">
        <w:rPr>
          <w:i/>
          <w:iCs/>
        </w:rPr>
        <w:t>Heiko Jonny Maniero</w:t>
      </w:r>
      <w:r w:rsidR="00D707D5">
        <w:t>, C-457/17, 15 November 2018, at para 36.</w:t>
      </w:r>
    </w:p>
  </w:footnote>
  <w:footnote w:id="50">
    <w:p w14:paraId="54731F8F" w14:textId="65D5695A" w:rsidR="00FA5342" w:rsidRDefault="00FA5342" w:rsidP="004F4CB7">
      <w:pPr>
        <w:pStyle w:val="NIHRCFootnotes"/>
      </w:pPr>
      <w:r>
        <w:rPr>
          <w:rStyle w:val="FootnoteReference"/>
        </w:rPr>
        <w:footnoteRef/>
      </w:r>
      <w:r>
        <w:t xml:space="preserve"> </w:t>
      </w:r>
      <w:r w:rsidR="005F2DEE">
        <w:t>NI Human Rights Commission, ‘Response to the European Commission Consultation on the Race Equality Directive (Directive 2000/43/EC)’, (NIHRC, 2022)</w:t>
      </w:r>
      <w:r w:rsidR="00714778">
        <w:t>, at 13.</w:t>
      </w:r>
    </w:p>
  </w:footnote>
  <w:footnote w:id="51">
    <w:p w14:paraId="2F988A99" w14:textId="77777777" w:rsidR="00526B7E" w:rsidRPr="000A2C64" w:rsidRDefault="00526B7E" w:rsidP="004F4CB7">
      <w:pPr>
        <w:pStyle w:val="NIHRCFootnotes"/>
      </w:pPr>
      <w:r w:rsidRPr="000A2C64">
        <w:rPr>
          <w:rStyle w:val="FootnoteReference"/>
          <w:rFonts w:eastAsiaTheme="majorEastAsia"/>
        </w:rPr>
        <w:footnoteRef/>
      </w:r>
      <w:r w:rsidRPr="000A2C64">
        <w:t xml:space="preserve"> Eoin Mullan, Sinead Brown and Paul Roddy, 'Racial Equality Legislation Review' (TEO, 2018).</w:t>
      </w:r>
    </w:p>
  </w:footnote>
  <w:footnote w:id="52">
    <w:p w14:paraId="59448AEB" w14:textId="20C83DCF" w:rsidR="00592D28" w:rsidRDefault="00592D28" w:rsidP="004F4CB7">
      <w:pPr>
        <w:pStyle w:val="NIHRCFootnotes"/>
      </w:pPr>
      <w:r>
        <w:rPr>
          <w:rStyle w:val="FootnoteReference"/>
        </w:rPr>
        <w:footnoteRef/>
      </w:r>
      <w:r>
        <w:t xml:space="preserve"> </w:t>
      </w:r>
      <w:r w:rsidR="005C7911" w:rsidRPr="000A2C64">
        <w:t>The Executive Office, ‘Review of the Race Relations (NI) Order 1997: Consultation Document’ (TEO, 2023), at 12.</w:t>
      </w:r>
    </w:p>
  </w:footnote>
  <w:footnote w:id="53">
    <w:p w14:paraId="29C03B6E" w14:textId="61DDE3C8" w:rsidR="00903988" w:rsidRDefault="00903988" w:rsidP="004F4CB7">
      <w:pPr>
        <w:pStyle w:val="NIHRCFootnotes"/>
      </w:pPr>
      <w:r>
        <w:rPr>
          <w:rStyle w:val="FootnoteReference"/>
        </w:rPr>
        <w:footnoteRef/>
      </w:r>
      <w:r>
        <w:t xml:space="preserve"> </w:t>
      </w:r>
      <w:r w:rsidR="00D9580A">
        <w:t>Ibid</w:t>
      </w:r>
      <w:r w:rsidRPr="000A2C64">
        <w:t>.</w:t>
      </w:r>
    </w:p>
  </w:footnote>
  <w:footnote w:id="54">
    <w:p w14:paraId="0A6BE9E9" w14:textId="05B64057" w:rsidR="00914A71" w:rsidRPr="000A2C64" w:rsidRDefault="00914A71" w:rsidP="004F4CB7">
      <w:pPr>
        <w:pStyle w:val="NIHRCFootnotes"/>
      </w:pPr>
      <w:r w:rsidRPr="000A2C64">
        <w:rPr>
          <w:rStyle w:val="FootnoteReference"/>
        </w:rPr>
        <w:footnoteRef/>
      </w:r>
      <w:r w:rsidRPr="000A2C64">
        <w:t xml:space="preserve"> </w:t>
      </w:r>
      <w:r w:rsidR="00150A53">
        <w:t xml:space="preserve">See for example, </w:t>
      </w:r>
      <w:r w:rsidR="00150A53" w:rsidRPr="000A2C64">
        <w:rPr>
          <w:i/>
          <w:iCs/>
        </w:rPr>
        <w:t>Orhan v Turkey</w:t>
      </w:r>
      <w:r w:rsidR="00150A53" w:rsidRPr="000A2C64">
        <w:t xml:space="preserve"> (2002) ECHR 497, at para 383</w:t>
      </w:r>
      <w:r w:rsidR="00150A53">
        <w:t xml:space="preserve">; </w:t>
      </w:r>
      <w:r w:rsidR="00150A53" w:rsidRPr="000722BF">
        <w:rPr>
          <w:i/>
          <w:iCs/>
        </w:rPr>
        <w:t>Cam v Turkey</w:t>
      </w:r>
      <w:r w:rsidR="00150A53">
        <w:t xml:space="preserve"> (2016) ECHR 206, at para 64.</w:t>
      </w:r>
    </w:p>
  </w:footnote>
  <w:footnote w:id="55">
    <w:p w14:paraId="5294314C" w14:textId="0CD8DE9F" w:rsidR="00EA2E57" w:rsidRPr="000A2C64" w:rsidRDefault="00EA2E57" w:rsidP="004F4CB7">
      <w:pPr>
        <w:pStyle w:val="NIHRCFootnotes"/>
      </w:pPr>
      <w:r w:rsidRPr="000A2C64">
        <w:rPr>
          <w:rStyle w:val="FootnoteReference"/>
        </w:rPr>
        <w:footnoteRef/>
      </w:r>
      <w:r w:rsidRPr="000A2C64">
        <w:t xml:space="preserve"> The Executive Office, ‘Review of the Race Relations (NI) Order 1997: Consultation Document’ (TEO, 2023), at 12 and 13.</w:t>
      </w:r>
    </w:p>
  </w:footnote>
  <w:footnote w:id="56">
    <w:p w14:paraId="234F1652" w14:textId="380C6A8A" w:rsidR="00D34272" w:rsidRPr="000A2C64" w:rsidRDefault="00D34272" w:rsidP="004F4CB7">
      <w:pPr>
        <w:pStyle w:val="NIHRCFootnotes"/>
      </w:pPr>
      <w:r w:rsidRPr="000A2C64">
        <w:rPr>
          <w:rStyle w:val="FootnoteReference"/>
        </w:rPr>
        <w:footnoteRef/>
      </w:r>
      <w:r w:rsidRPr="000A2C64">
        <w:t xml:space="preserve"> </w:t>
      </w:r>
      <w:r w:rsidR="00537A4A">
        <w:t>A qualified right can be interfered with when such interference can be justified, i.e. it is prescribed by law, proportionate and satisfies a legitimate aim. For example, Articles 8-11 of the ECHR.</w:t>
      </w:r>
    </w:p>
  </w:footnote>
  <w:footnote w:id="57">
    <w:p w14:paraId="6A434BF8" w14:textId="163D10A7" w:rsidR="00B06EF7" w:rsidRPr="009C1C3A" w:rsidRDefault="00B06EF7" w:rsidP="004F4CB7">
      <w:pPr>
        <w:pStyle w:val="NIHRCFootnotes"/>
      </w:pPr>
      <w:r w:rsidRPr="000A2C64">
        <w:rPr>
          <w:rStyle w:val="FootnoteReference"/>
        </w:rPr>
        <w:footnoteRef/>
      </w:r>
      <w:r w:rsidRPr="000A2C64">
        <w:t xml:space="preserve"> </w:t>
      </w:r>
      <w:r w:rsidR="009C1C3A" w:rsidRPr="009C1C3A">
        <w:rPr>
          <w:i/>
          <w:iCs/>
        </w:rPr>
        <w:t>Dudgeon v UK</w:t>
      </w:r>
      <w:r w:rsidR="00A73C55">
        <w:rPr>
          <w:i/>
          <w:iCs/>
        </w:rPr>
        <w:t xml:space="preserve"> </w:t>
      </w:r>
      <w:r w:rsidR="00A73C55">
        <w:t>(1981) ECHR 5</w:t>
      </w:r>
      <w:r w:rsidR="009C1C3A">
        <w:t>, at paras 51-53.</w:t>
      </w:r>
    </w:p>
  </w:footnote>
  <w:footnote w:id="58">
    <w:p w14:paraId="71D0F8DD" w14:textId="52036115" w:rsidR="00895BB0" w:rsidRPr="000A2C64" w:rsidRDefault="00895BB0" w:rsidP="004F4CB7">
      <w:pPr>
        <w:pStyle w:val="NIHRCFootnotes"/>
      </w:pPr>
      <w:r w:rsidRPr="000A2C64">
        <w:rPr>
          <w:rStyle w:val="FootnoteReference"/>
        </w:rPr>
        <w:footnoteRef/>
      </w:r>
      <w:r w:rsidRPr="000A2C64">
        <w:t xml:space="preserve"> Articles 8(2), 9(2), 10(2) and 11(2), European Convention on Human Rights 1950.</w:t>
      </w:r>
    </w:p>
  </w:footnote>
  <w:footnote w:id="59">
    <w:p w14:paraId="31689F1B" w14:textId="4E0011F1" w:rsidR="00605565" w:rsidRPr="000A2C64" w:rsidRDefault="00605565" w:rsidP="004F4CB7">
      <w:pPr>
        <w:pStyle w:val="NIHRCFootnotes"/>
      </w:pPr>
      <w:r w:rsidRPr="000A2C64">
        <w:rPr>
          <w:rStyle w:val="FootnoteReference"/>
        </w:rPr>
        <w:footnoteRef/>
      </w:r>
      <w:r w:rsidRPr="000A2C64">
        <w:t xml:space="preserve"> The Executive Office, ‘Review of the Race Relations (NI) Order 1997: Consultation Document’ (TEO, 2023), at</w:t>
      </w:r>
      <w:r w:rsidR="00636887" w:rsidRPr="000A2C64">
        <w:t xml:space="preserve"> 12.</w:t>
      </w:r>
    </w:p>
  </w:footnote>
  <w:footnote w:id="60">
    <w:p w14:paraId="43CB24F6" w14:textId="27754C37" w:rsidR="00605565" w:rsidRPr="000A2C64" w:rsidRDefault="00605565" w:rsidP="004F4CB7">
      <w:pPr>
        <w:pStyle w:val="NIHRCFootnotes"/>
      </w:pPr>
      <w:r w:rsidRPr="000A2C64">
        <w:rPr>
          <w:rStyle w:val="FootnoteReference"/>
        </w:rPr>
        <w:footnoteRef/>
      </w:r>
      <w:r w:rsidRPr="000A2C64">
        <w:t xml:space="preserve"> </w:t>
      </w:r>
      <w:r w:rsidR="00D9580A">
        <w:t>Ibid</w:t>
      </w:r>
      <w:r w:rsidR="00636887" w:rsidRPr="000A2C64">
        <w:t>, at 16.</w:t>
      </w:r>
    </w:p>
  </w:footnote>
  <w:footnote w:id="61">
    <w:p w14:paraId="71B895BF" w14:textId="1BEADBE5" w:rsidR="009C4CFF" w:rsidRPr="000A2C64" w:rsidRDefault="009C4CFF" w:rsidP="004F4CB7">
      <w:pPr>
        <w:pStyle w:val="NIHRCFootnotes"/>
      </w:pPr>
      <w:r w:rsidRPr="000A2C64">
        <w:rPr>
          <w:rStyle w:val="FootnoteReference"/>
        </w:rPr>
        <w:footnoteRef/>
      </w:r>
      <w:r w:rsidRPr="000A2C64">
        <w:t xml:space="preserve"> </w:t>
      </w:r>
      <w:r w:rsidR="00150A53">
        <w:t xml:space="preserve">See for example, </w:t>
      </w:r>
      <w:r w:rsidR="00150A53" w:rsidRPr="000A2C64">
        <w:rPr>
          <w:i/>
          <w:iCs/>
        </w:rPr>
        <w:t>Orhan v Turkey</w:t>
      </w:r>
      <w:r w:rsidR="00150A53" w:rsidRPr="000A2C64">
        <w:t xml:space="preserve"> (2002) ECHR 497, at para 383</w:t>
      </w:r>
      <w:r w:rsidR="00150A53">
        <w:t xml:space="preserve">; </w:t>
      </w:r>
      <w:r w:rsidR="00150A53" w:rsidRPr="000722BF">
        <w:rPr>
          <w:i/>
          <w:iCs/>
        </w:rPr>
        <w:t>Cam v Turkey</w:t>
      </w:r>
      <w:r w:rsidR="00150A53">
        <w:t xml:space="preserve"> (2016) ECHR 206, at para 64.</w:t>
      </w:r>
    </w:p>
  </w:footnote>
  <w:footnote w:id="62">
    <w:p w14:paraId="17BB9BF4" w14:textId="77777777" w:rsidR="00410380" w:rsidRPr="000A2C64" w:rsidRDefault="00410380" w:rsidP="004F4CB7">
      <w:pPr>
        <w:pStyle w:val="NIHRCFootnotes"/>
      </w:pPr>
      <w:r w:rsidRPr="000A2C64">
        <w:rPr>
          <w:rStyle w:val="FootnoteReference"/>
          <w:color w:val="7030A0"/>
        </w:rPr>
        <w:footnoteRef/>
      </w:r>
      <w:r w:rsidRPr="000A2C64">
        <w:t xml:space="preserve"> </w:t>
      </w:r>
      <w:r w:rsidRPr="000A2C64">
        <w:rPr>
          <w:i/>
        </w:rPr>
        <w:t>McCann v UK</w:t>
      </w:r>
      <w:r w:rsidRPr="000A2C64">
        <w:t xml:space="preserve"> (1995) 21 EHRR 97; </w:t>
      </w:r>
      <w:r w:rsidRPr="000A2C64">
        <w:rPr>
          <w:i/>
        </w:rPr>
        <w:t xml:space="preserve">Salman v Turkey </w:t>
      </w:r>
      <w:r w:rsidRPr="000A2C64">
        <w:t>(2000) ECHR 357.</w:t>
      </w:r>
    </w:p>
  </w:footnote>
  <w:footnote w:id="63">
    <w:p w14:paraId="135A919F" w14:textId="77777777" w:rsidR="00410380" w:rsidRPr="000A2C64" w:rsidRDefault="00410380" w:rsidP="004F4CB7">
      <w:pPr>
        <w:pStyle w:val="NIHRCFootnotes"/>
      </w:pPr>
      <w:r w:rsidRPr="000A2C64">
        <w:rPr>
          <w:rStyle w:val="FootnoteReference"/>
          <w:color w:val="7030A0"/>
        </w:rPr>
        <w:footnoteRef/>
      </w:r>
      <w:r w:rsidRPr="000A2C64">
        <w:t xml:space="preserve"> </w:t>
      </w:r>
      <w:r w:rsidRPr="000A2C64">
        <w:rPr>
          <w:i/>
        </w:rPr>
        <w:t>Velikova v Bulgaria</w:t>
      </w:r>
      <w:r w:rsidRPr="000A2C64">
        <w:t xml:space="preserve"> (2000) ECHR 198.</w:t>
      </w:r>
    </w:p>
  </w:footnote>
  <w:footnote w:id="64">
    <w:p w14:paraId="14913A29" w14:textId="77777777" w:rsidR="00410380" w:rsidRPr="000A2C64" w:rsidRDefault="00410380" w:rsidP="004F4CB7">
      <w:pPr>
        <w:pStyle w:val="NIHRCFootnotes"/>
      </w:pPr>
      <w:r w:rsidRPr="000A2C64">
        <w:rPr>
          <w:rStyle w:val="FootnoteReference"/>
          <w:color w:val="7030A0"/>
        </w:rPr>
        <w:footnoteRef/>
      </w:r>
      <w:r w:rsidRPr="000A2C64">
        <w:t xml:space="preserve"> </w:t>
      </w:r>
      <w:r w:rsidRPr="000A2C64">
        <w:rPr>
          <w:i/>
        </w:rPr>
        <w:t xml:space="preserve">Ramsahai and Others v the Netherlands </w:t>
      </w:r>
      <w:r w:rsidRPr="000A2C64">
        <w:t xml:space="preserve">(2007) ECHR 393; </w:t>
      </w:r>
      <w:r w:rsidRPr="000A2C64">
        <w:rPr>
          <w:i/>
        </w:rPr>
        <w:t>Giuliani and Gaggio v Italy</w:t>
      </w:r>
      <w:r w:rsidRPr="000A2C64">
        <w:t xml:space="preserve"> (2011) ECHR 513.</w:t>
      </w:r>
    </w:p>
  </w:footnote>
  <w:footnote w:id="65">
    <w:p w14:paraId="2270EF9E" w14:textId="77777777" w:rsidR="00410380" w:rsidRPr="000A2C64" w:rsidRDefault="00410380" w:rsidP="004F4CB7">
      <w:pPr>
        <w:pStyle w:val="NIHRCFootnotes"/>
      </w:pPr>
      <w:r w:rsidRPr="000A2C64">
        <w:rPr>
          <w:rStyle w:val="FootnoteReference"/>
          <w:color w:val="7030A0"/>
        </w:rPr>
        <w:footnoteRef/>
      </w:r>
      <w:r w:rsidRPr="000A2C64">
        <w:t xml:space="preserve"> </w:t>
      </w:r>
      <w:r w:rsidRPr="000A2C64">
        <w:rPr>
          <w:i/>
        </w:rPr>
        <w:t>Andronicou and Constntinou v Cyprus</w:t>
      </w:r>
      <w:r w:rsidRPr="000A2C64">
        <w:t>, Application No 86-1996-705-897, Judgment of 9 October 1997.</w:t>
      </w:r>
    </w:p>
  </w:footnote>
  <w:footnote w:id="66">
    <w:p w14:paraId="61A54721" w14:textId="77777777" w:rsidR="00410380" w:rsidRPr="000A2C64" w:rsidRDefault="00410380" w:rsidP="004F4CB7">
      <w:pPr>
        <w:pStyle w:val="NIHRCFootnotes"/>
      </w:pPr>
      <w:r w:rsidRPr="000A2C64">
        <w:rPr>
          <w:rStyle w:val="FootnoteReference"/>
          <w:color w:val="7030A0"/>
        </w:rPr>
        <w:footnoteRef/>
      </w:r>
      <w:r w:rsidRPr="000A2C64">
        <w:t xml:space="preserve"> </w:t>
      </w:r>
      <w:r w:rsidRPr="000A2C64">
        <w:rPr>
          <w:i/>
        </w:rPr>
        <w:t>McKerr v UK</w:t>
      </w:r>
      <w:r w:rsidRPr="000A2C64">
        <w:t xml:space="preserve"> (2001) ECHR 329.</w:t>
      </w:r>
    </w:p>
  </w:footnote>
  <w:footnote w:id="67">
    <w:p w14:paraId="1CA6A8D0" w14:textId="77777777" w:rsidR="00410380" w:rsidRPr="000A2C64" w:rsidRDefault="00410380" w:rsidP="004F4CB7">
      <w:pPr>
        <w:pStyle w:val="NIHRCFootnotes"/>
      </w:pPr>
      <w:r w:rsidRPr="000A2C64">
        <w:rPr>
          <w:rStyle w:val="FootnoteReference"/>
          <w:color w:val="7030A0"/>
        </w:rPr>
        <w:footnoteRef/>
      </w:r>
      <w:r w:rsidRPr="000A2C64">
        <w:t xml:space="preserve"> </w:t>
      </w:r>
      <w:r w:rsidRPr="000A2C64">
        <w:rPr>
          <w:i/>
        </w:rPr>
        <w:t>Yasa v Turkey</w:t>
      </w:r>
      <w:r w:rsidRPr="000A2C64">
        <w:t xml:space="preserve"> (1998) ECHR 83.</w:t>
      </w:r>
    </w:p>
  </w:footnote>
  <w:footnote w:id="68">
    <w:p w14:paraId="602AC316" w14:textId="6B33FF76" w:rsidR="00410380" w:rsidRPr="000A2C64" w:rsidRDefault="00410380" w:rsidP="004F4CB7">
      <w:pPr>
        <w:pStyle w:val="NIHRCFootnotes"/>
      </w:pPr>
      <w:r w:rsidRPr="000A2C64">
        <w:rPr>
          <w:rStyle w:val="FootnoteReference"/>
        </w:rPr>
        <w:footnoteRef/>
      </w:r>
      <w:r w:rsidRPr="000A2C64">
        <w:t xml:space="preserve"> </w:t>
      </w:r>
      <w:r w:rsidR="00277D93" w:rsidRPr="000A2C64">
        <w:rPr>
          <w:i/>
        </w:rPr>
        <w:t>Velikova v Bulgaria</w:t>
      </w:r>
      <w:r w:rsidR="00277D93" w:rsidRPr="000A2C64">
        <w:t xml:space="preserve"> (2000) ECHR 198</w:t>
      </w:r>
      <w:r w:rsidR="00277D93">
        <w:t xml:space="preserve">; </w:t>
      </w:r>
      <w:r w:rsidR="00277D93" w:rsidRPr="000A2C64">
        <w:rPr>
          <w:i/>
        </w:rPr>
        <w:t xml:space="preserve">Ramsahai and Others v the Netherlands </w:t>
      </w:r>
      <w:r w:rsidR="00277D93" w:rsidRPr="000A2C64">
        <w:t xml:space="preserve">(2007) ECHR 393; </w:t>
      </w:r>
      <w:r w:rsidR="00277D93" w:rsidRPr="000A2C64">
        <w:rPr>
          <w:i/>
        </w:rPr>
        <w:t>Giuliani and Gaggio v Italy</w:t>
      </w:r>
      <w:r w:rsidR="00277D93" w:rsidRPr="000A2C64">
        <w:t xml:space="preserve"> (2011) ECHR 513</w:t>
      </w:r>
      <w:r w:rsidR="00277D93">
        <w:t xml:space="preserve">; </w:t>
      </w:r>
      <w:r w:rsidR="00277D93" w:rsidRPr="000A2C64">
        <w:rPr>
          <w:i/>
        </w:rPr>
        <w:t>Andronicou and Constntinou v Cyprus</w:t>
      </w:r>
      <w:r w:rsidR="00277D93" w:rsidRPr="000A2C64">
        <w:t>, Application No 86-1996-705-897, Judgment of 9 October 1997</w:t>
      </w:r>
      <w:r w:rsidR="00277D93">
        <w:t xml:space="preserve">; </w:t>
      </w:r>
      <w:r w:rsidR="00277D93" w:rsidRPr="000A2C64">
        <w:rPr>
          <w:i/>
        </w:rPr>
        <w:t>McKerr v UK</w:t>
      </w:r>
      <w:r w:rsidR="00277D93" w:rsidRPr="000A2C64">
        <w:t xml:space="preserve"> (2001) ECHR 329</w:t>
      </w:r>
      <w:r w:rsidR="00277D93">
        <w:t xml:space="preserve">; </w:t>
      </w:r>
      <w:r w:rsidR="00277D93" w:rsidRPr="000A2C64">
        <w:rPr>
          <w:i/>
        </w:rPr>
        <w:t>Yasa v Turkey</w:t>
      </w:r>
      <w:r w:rsidR="00277D93" w:rsidRPr="000A2C64">
        <w:t xml:space="preserve"> (1998) ECHR 83</w:t>
      </w:r>
      <w:r w:rsidR="00277D93">
        <w:t>.</w:t>
      </w:r>
    </w:p>
  </w:footnote>
  <w:footnote w:id="69">
    <w:p w14:paraId="761A0EFA" w14:textId="4AE89A14" w:rsidR="001B6A6C" w:rsidRDefault="001B6A6C" w:rsidP="004F4CB7">
      <w:pPr>
        <w:pStyle w:val="NIHRCFootnotes"/>
      </w:pPr>
      <w:r>
        <w:rPr>
          <w:rStyle w:val="FootnoteReference"/>
        </w:rPr>
        <w:footnoteRef/>
      </w:r>
      <w:r>
        <w:t xml:space="preserve"> Article 9, Directive 2000/43/EC, ‘EU Council Directive on Implementing the Principle of Equal Treatment between Persons Irrespective of Racial or Ethnic Origin’, 29 June 2000</w:t>
      </w:r>
      <w:r w:rsidR="003267B1">
        <w:t>; Article 24, Directive 2006/54/EC, ‘EU Council Directive on the Implementation of the Principle of Equal Opportunities and Equal Treatment of Men and Women in Matters of Employment and Occupation’, 5 July 2006.</w:t>
      </w:r>
    </w:p>
  </w:footnote>
  <w:footnote w:id="70">
    <w:p w14:paraId="60BD859A" w14:textId="77777777" w:rsidR="001B6A6C" w:rsidRDefault="001B6A6C" w:rsidP="004F4CB7">
      <w:pPr>
        <w:pStyle w:val="NIHRCFootnotes"/>
      </w:pPr>
      <w:r>
        <w:rPr>
          <w:rStyle w:val="FootnoteReference"/>
        </w:rPr>
        <w:footnoteRef/>
      </w:r>
      <w:r>
        <w:t xml:space="preserve"> Recital 20, Directive 2000/43/EC, ‘EU Council Directive on Implementing the Principle of Equal Treatment between Persons Irrespective of Racial or Ethnic Origin’, 29 June 2000.</w:t>
      </w:r>
    </w:p>
  </w:footnote>
  <w:footnote w:id="71">
    <w:p w14:paraId="61BB5DA7" w14:textId="77777777" w:rsidR="001B6A6C" w:rsidRDefault="001B6A6C" w:rsidP="004F4CB7">
      <w:pPr>
        <w:pStyle w:val="NIHRCFootnotes"/>
      </w:pPr>
      <w:r>
        <w:rPr>
          <w:rStyle w:val="FootnoteReference"/>
        </w:rPr>
        <w:footnoteRef/>
      </w:r>
      <w:r>
        <w:t xml:space="preserve"> </w:t>
      </w:r>
      <w:r w:rsidRPr="007E339E">
        <w:rPr>
          <w:rStyle w:val="ui-provider"/>
          <w:i/>
          <w:iCs/>
        </w:rPr>
        <w:t xml:space="preserve">Hakelbracht </w:t>
      </w:r>
      <w:r>
        <w:rPr>
          <w:rStyle w:val="ui-provider"/>
        </w:rPr>
        <w:t>C-404/18, 28 May 2018, at paras 33-34</w:t>
      </w:r>
    </w:p>
  </w:footnote>
  <w:footnote w:id="72">
    <w:p w14:paraId="6C04C168" w14:textId="694C88F7" w:rsidR="001B6A6C" w:rsidRDefault="001B6A6C" w:rsidP="004F4CB7">
      <w:pPr>
        <w:pStyle w:val="NIHRCFootnotes"/>
      </w:pPr>
      <w:r>
        <w:rPr>
          <w:rStyle w:val="FootnoteReference"/>
        </w:rPr>
        <w:footnoteRef/>
      </w:r>
      <w:r>
        <w:t xml:space="preserve"> </w:t>
      </w:r>
      <w:r w:rsidR="00D9580A" w:rsidRPr="00D9580A">
        <w:rPr>
          <w:rStyle w:val="ui-provider"/>
        </w:rPr>
        <w:t>Ibid</w:t>
      </w:r>
      <w:r>
        <w:rPr>
          <w:rStyle w:val="ui-provider"/>
        </w:rPr>
        <w:t>, at paras 27-28.</w:t>
      </w:r>
    </w:p>
  </w:footnote>
  <w:footnote w:id="73">
    <w:p w14:paraId="0D7CA8A6" w14:textId="72C4A4C9" w:rsidR="001B6A6C" w:rsidRDefault="001B6A6C" w:rsidP="004F4CB7">
      <w:pPr>
        <w:pStyle w:val="NIHRCFootnotes"/>
      </w:pPr>
      <w:r>
        <w:rPr>
          <w:rStyle w:val="FootnoteReference"/>
        </w:rPr>
        <w:footnoteRef/>
      </w:r>
      <w:r>
        <w:t xml:space="preserve"> </w:t>
      </w:r>
      <w:r w:rsidR="00D9580A" w:rsidRPr="00D9580A">
        <w:rPr>
          <w:rStyle w:val="ui-provider"/>
        </w:rPr>
        <w:t>Ibid</w:t>
      </w:r>
      <w:r>
        <w:rPr>
          <w:rStyle w:val="ui-provider"/>
        </w:rPr>
        <w:t>, 28 May 2018, at paras 33.</w:t>
      </w:r>
    </w:p>
  </w:footnote>
  <w:footnote w:id="74">
    <w:p w14:paraId="24F8BCFA" w14:textId="74CE50F3" w:rsidR="00127CB3" w:rsidRPr="000A2C64" w:rsidRDefault="00127CB3" w:rsidP="004F4CB7">
      <w:pPr>
        <w:pStyle w:val="NIHRCFootnotes"/>
      </w:pPr>
      <w:r w:rsidRPr="000A2C64">
        <w:rPr>
          <w:rStyle w:val="FootnoteReference"/>
        </w:rPr>
        <w:footnoteRef/>
      </w:r>
      <w:r w:rsidRPr="000A2C64">
        <w:t xml:space="preserve"> The Executive Office, ‘Review of the Race Relations (NI) Order 1997: Consultation Document’ (TEO, 2023), at 1</w:t>
      </w:r>
      <w:r w:rsidR="00195FF5" w:rsidRPr="000A2C64">
        <w:t>4.</w:t>
      </w:r>
    </w:p>
  </w:footnote>
  <w:footnote w:id="75">
    <w:p w14:paraId="5A1A666C" w14:textId="1E39B1EF" w:rsidR="00B4415C" w:rsidRPr="000A2C64" w:rsidRDefault="00B4415C" w:rsidP="004F4CB7">
      <w:pPr>
        <w:pStyle w:val="NIHRCFootnotes"/>
      </w:pPr>
      <w:r w:rsidRPr="000A2C64">
        <w:rPr>
          <w:rStyle w:val="FootnoteReference"/>
        </w:rPr>
        <w:footnoteRef/>
      </w:r>
      <w:r w:rsidRPr="000A2C64">
        <w:t xml:space="preserve"> </w:t>
      </w:r>
      <w:r w:rsidRPr="000A2C64">
        <w:rPr>
          <w:i/>
          <w:iCs/>
        </w:rPr>
        <w:t xml:space="preserve">Horváth and Kiss v Hungary </w:t>
      </w:r>
      <w:r w:rsidRPr="000A2C64">
        <w:t>(2013) ECHR 92, at para 104.</w:t>
      </w:r>
    </w:p>
  </w:footnote>
  <w:footnote w:id="76">
    <w:p w14:paraId="3E8F909A" w14:textId="266BCF21" w:rsidR="00B4415C" w:rsidRPr="000A2C64" w:rsidRDefault="00B4415C" w:rsidP="004F4CB7">
      <w:pPr>
        <w:pStyle w:val="NIHRCFootnotes"/>
      </w:pPr>
      <w:r w:rsidRPr="000A2C64">
        <w:rPr>
          <w:rStyle w:val="FootnoteReference"/>
        </w:rPr>
        <w:footnoteRef/>
      </w:r>
      <w:r w:rsidRPr="000A2C64">
        <w:t xml:space="preserve"> </w:t>
      </w:r>
      <w:r w:rsidRPr="000A2C64">
        <w:rPr>
          <w:i/>
          <w:iCs/>
        </w:rPr>
        <w:t xml:space="preserve">Horváth and Kiss v Hungary </w:t>
      </w:r>
      <w:r w:rsidRPr="000A2C64">
        <w:t>(2013) ECHR 92, at para 104.</w:t>
      </w:r>
    </w:p>
  </w:footnote>
  <w:footnote w:id="77">
    <w:p w14:paraId="498D047F" w14:textId="77777777" w:rsidR="00EF6248" w:rsidRPr="000A2C64" w:rsidRDefault="00EF6248" w:rsidP="004F4CB7">
      <w:pPr>
        <w:pStyle w:val="NIHRCFootnotes"/>
      </w:pPr>
      <w:r w:rsidRPr="000A2C64">
        <w:rPr>
          <w:rStyle w:val="FootnoteReference"/>
        </w:rPr>
        <w:footnoteRef/>
      </w:r>
      <w:r w:rsidRPr="000A2C64">
        <w:t xml:space="preserve"> The Executive Office, ‘Review of the Race Relations (NI) Order 1997: Consultation Document’ (TEO, 2023), at 13-14.</w:t>
      </w:r>
    </w:p>
  </w:footnote>
  <w:footnote w:id="78">
    <w:p w14:paraId="41F265C9" w14:textId="77777777" w:rsidR="00EF6248" w:rsidRPr="000A2C64" w:rsidRDefault="00EF6248" w:rsidP="004F4CB7">
      <w:pPr>
        <w:pStyle w:val="NIHRCFootnotes"/>
      </w:pPr>
      <w:r w:rsidRPr="000A2C64">
        <w:rPr>
          <w:rStyle w:val="FootnoteReference"/>
        </w:rPr>
        <w:footnoteRef/>
      </w:r>
      <w:r w:rsidRPr="000A2C64">
        <w:t xml:space="preserve"> See for example, Articles 8(2), 10(2), 11(2) European Convention on Human Rights 1950; Article 21, UN International Covenant on Civil and Political Rights 1966.</w:t>
      </w:r>
    </w:p>
  </w:footnote>
  <w:footnote w:id="79">
    <w:p w14:paraId="17EC15EB" w14:textId="71CD6E0B" w:rsidR="00327201" w:rsidRPr="000A2C64" w:rsidRDefault="00327201" w:rsidP="004F4CB7">
      <w:pPr>
        <w:pStyle w:val="NIHRCFootnotes"/>
      </w:pPr>
      <w:r w:rsidRPr="000A2C64">
        <w:rPr>
          <w:rStyle w:val="FootnoteReference"/>
        </w:rPr>
        <w:footnoteRef/>
      </w:r>
      <w:r w:rsidRPr="000A2C64">
        <w:t xml:space="preserve"> The Executive Office, ‘Review of the Race Relations (NI) Order 1997: Consultation Document’ (TEO, 2023), at </w:t>
      </w:r>
      <w:r w:rsidR="00A60254" w:rsidRPr="000A2C64">
        <w:t>15-16.</w:t>
      </w:r>
    </w:p>
  </w:footnote>
  <w:footnote w:id="80">
    <w:p w14:paraId="6D3412B7" w14:textId="263A24C2" w:rsidR="003A040D" w:rsidRDefault="003A040D" w:rsidP="004F4CB7">
      <w:pPr>
        <w:pStyle w:val="NIHRCFootnotes"/>
      </w:pPr>
      <w:r>
        <w:rPr>
          <w:rStyle w:val="FootnoteReference"/>
        </w:rPr>
        <w:footnoteRef/>
      </w:r>
      <w:r>
        <w:t xml:space="preserve"> </w:t>
      </w:r>
      <w:r w:rsidRPr="000722BF">
        <w:rPr>
          <w:i/>
          <w:iCs/>
        </w:rPr>
        <w:t>Cam v Turkey</w:t>
      </w:r>
      <w:r>
        <w:t xml:space="preserve"> (2016)</w:t>
      </w:r>
      <w:r w:rsidR="0051686A">
        <w:t xml:space="preserve"> ECHR 206, at para 64.</w:t>
      </w:r>
      <w:r w:rsidR="00DE522A">
        <w:t xml:space="preserve"> </w:t>
      </w:r>
    </w:p>
  </w:footnote>
  <w:footnote w:id="81">
    <w:p w14:paraId="1865BCF3" w14:textId="4103C421" w:rsidR="000623DC" w:rsidRDefault="000623DC" w:rsidP="004F4CB7">
      <w:pPr>
        <w:pStyle w:val="NIHRCFootnotes"/>
      </w:pPr>
      <w:r>
        <w:rPr>
          <w:rStyle w:val="FootnoteReference"/>
        </w:rPr>
        <w:footnoteRef/>
      </w:r>
      <w:r>
        <w:t xml:space="preserve"> </w:t>
      </w:r>
      <w:r w:rsidR="00D9580A" w:rsidRPr="00D9580A">
        <w:t>Ibid</w:t>
      </w:r>
      <w:r>
        <w:t>.</w:t>
      </w:r>
    </w:p>
  </w:footnote>
  <w:footnote w:id="82">
    <w:p w14:paraId="2AA96F7D" w14:textId="76837CCD" w:rsidR="008F3D65" w:rsidRDefault="008F3D65" w:rsidP="004F4CB7">
      <w:pPr>
        <w:pStyle w:val="NIHRCFootnotes"/>
      </w:pPr>
      <w:r>
        <w:rPr>
          <w:rStyle w:val="FootnoteReference"/>
        </w:rPr>
        <w:footnoteRef/>
      </w:r>
      <w:r>
        <w:t xml:space="preserve"> </w:t>
      </w:r>
      <w:r w:rsidR="00D9580A" w:rsidRPr="00D9580A">
        <w:t>Ibid</w:t>
      </w:r>
      <w:r>
        <w:t>, at para 54.</w:t>
      </w:r>
    </w:p>
  </w:footnote>
  <w:footnote w:id="83">
    <w:p w14:paraId="6EE0A140" w14:textId="1C5764A1" w:rsidR="008F3D65" w:rsidRDefault="008F3D65" w:rsidP="004F4CB7">
      <w:pPr>
        <w:pStyle w:val="NIHRCFootnotes"/>
      </w:pPr>
      <w:r>
        <w:rPr>
          <w:rStyle w:val="FootnoteReference"/>
        </w:rPr>
        <w:footnoteRef/>
      </w:r>
      <w:r>
        <w:t xml:space="preserve"> </w:t>
      </w:r>
      <w:r w:rsidR="00D9580A" w:rsidRPr="00D9580A">
        <w:t>Ibid</w:t>
      </w:r>
      <w:r>
        <w:t>.</w:t>
      </w:r>
    </w:p>
  </w:footnote>
  <w:footnote w:id="84">
    <w:p w14:paraId="262AF3F6" w14:textId="539A7AC5" w:rsidR="008F3D65" w:rsidRDefault="008F3D65" w:rsidP="004F4CB7">
      <w:pPr>
        <w:pStyle w:val="NIHRCFootnotes"/>
      </w:pPr>
      <w:r>
        <w:rPr>
          <w:rStyle w:val="FootnoteReference"/>
        </w:rPr>
        <w:footnoteRef/>
      </w:r>
      <w:r>
        <w:t xml:space="preserve"> </w:t>
      </w:r>
      <w:r w:rsidR="00D9580A" w:rsidRPr="00D9580A">
        <w:t>Ibid</w:t>
      </w:r>
      <w:r>
        <w:t>, at para 6</w:t>
      </w:r>
      <w:r w:rsidR="00D046CB">
        <w:t>5</w:t>
      </w:r>
      <w:r>
        <w:t>.</w:t>
      </w:r>
    </w:p>
  </w:footnote>
  <w:footnote w:id="85">
    <w:p w14:paraId="123C2AAD" w14:textId="77777777" w:rsidR="0057665E" w:rsidRDefault="0057665E" w:rsidP="004F4CB7">
      <w:pPr>
        <w:pStyle w:val="NIHRCFootnotes"/>
      </w:pPr>
      <w:r>
        <w:rPr>
          <w:rStyle w:val="FootnoteReference"/>
        </w:rPr>
        <w:footnoteRef/>
      </w:r>
      <w:r>
        <w:t xml:space="preserve"> E/C.12/1999/10, ‘UN ICESCR Committee General Comment No 13: Right to Education’, 8 December 1999, at para 4.</w:t>
      </w:r>
    </w:p>
  </w:footnote>
  <w:footnote w:id="86">
    <w:p w14:paraId="181F2B5C" w14:textId="659ACC0E" w:rsidR="00086DFD" w:rsidRDefault="00086DFD" w:rsidP="004F4CB7">
      <w:pPr>
        <w:pStyle w:val="NIHRCFootnotes"/>
      </w:pPr>
      <w:r>
        <w:rPr>
          <w:rStyle w:val="FootnoteReference"/>
        </w:rPr>
        <w:footnoteRef/>
      </w:r>
      <w:r>
        <w:t xml:space="preserve"> </w:t>
      </w:r>
      <w:r w:rsidR="00D9580A">
        <w:t>Ibid</w:t>
      </w:r>
      <w:r>
        <w:t>, at para 6(b).</w:t>
      </w:r>
    </w:p>
  </w:footnote>
  <w:footnote w:id="87">
    <w:p w14:paraId="7E588018" w14:textId="43EB0E8E" w:rsidR="00B2047E" w:rsidRDefault="00B2047E" w:rsidP="004F4CB7">
      <w:pPr>
        <w:pStyle w:val="NIHRCFootnotes"/>
      </w:pPr>
      <w:r>
        <w:rPr>
          <w:rStyle w:val="FootnoteReference"/>
        </w:rPr>
        <w:footnoteRef/>
      </w:r>
      <w:r>
        <w:t xml:space="preserve"> </w:t>
      </w:r>
      <w:r w:rsidR="00D9580A">
        <w:t>Ibid</w:t>
      </w:r>
      <w:r w:rsidR="005577B1">
        <w:t>, at para 6(b).</w:t>
      </w:r>
    </w:p>
  </w:footnote>
  <w:footnote w:id="88">
    <w:p w14:paraId="529D947D" w14:textId="4ACE515A" w:rsidR="00B020A5" w:rsidRDefault="00B020A5" w:rsidP="004F4CB7">
      <w:pPr>
        <w:pStyle w:val="NIHRCFootnotes"/>
      </w:pPr>
      <w:r>
        <w:rPr>
          <w:rStyle w:val="FootnoteReference"/>
        </w:rPr>
        <w:footnoteRef/>
      </w:r>
      <w:r>
        <w:t xml:space="preserve"> </w:t>
      </w:r>
      <w:r w:rsidR="005A2C41">
        <w:t>CRC/GC/2001/1, ‘UN CRC Committee General Comment No 1: Aims of Education’</w:t>
      </w:r>
      <w:r w:rsidR="00086DFD">
        <w:t>, 17 April 2001, at para 10.</w:t>
      </w:r>
    </w:p>
  </w:footnote>
  <w:footnote w:id="89">
    <w:p w14:paraId="56EF23B8" w14:textId="64BA007C" w:rsidR="004C6161" w:rsidRDefault="004C6161" w:rsidP="004F4CB7">
      <w:pPr>
        <w:pStyle w:val="NIHRCFootnotes"/>
      </w:pPr>
      <w:r>
        <w:rPr>
          <w:rStyle w:val="FootnoteReference"/>
        </w:rPr>
        <w:footnoteRef/>
      </w:r>
      <w:r>
        <w:t xml:space="preserve"> Article 3(1)(g), </w:t>
      </w:r>
      <w:r w:rsidR="00B64AD9">
        <w:t>Directive 2000/43/EC, ‘EU Council Directive on Implementing the Principle of Equal Treatment between Persons Irrespective of Racial or Ethnic Origin’, 29 June 2000.</w:t>
      </w:r>
    </w:p>
  </w:footnote>
  <w:footnote w:id="90">
    <w:p w14:paraId="746C158D" w14:textId="7522457E" w:rsidR="006E5DA0" w:rsidRDefault="006E5DA0" w:rsidP="004F4CB7">
      <w:pPr>
        <w:pStyle w:val="NIHRCFootnotes"/>
      </w:pPr>
      <w:r>
        <w:rPr>
          <w:rStyle w:val="FootnoteReference"/>
        </w:rPr>
        <w:footnoteRef/>
      </w:r>
      <w:r>
        <w:t xml:space="preserve"> </w:t>
      </w:r>
      <w:r w:rsidRPr="006E6725">
        <w:rPr>
          <w:i/>
          <w:iCs/>
        </w:rPr>
        <w:t>Heiko Jonny Maniero</w:t>
      </w:r>
      <w:r w:rsidR="006E6725">
        <w:t>, C-457/17, 15 November 2018, at para 36.</w:t>
      </w:r>
    </w:p>
  </w:footnote>
  <w:footnote w:id="91">
    <w:p w14:paraId="3BB70BC7" w14:textId="5624E414" w:rsidR="00405FC8" w:rsidRDefault="00405FC8" w:rsidP="004F4CB7">
      <w:pPr>
        <w:pStyle w:val="NIHRCFootnotes"/>
      </w:pPr>
      <w:r>
        <w:rPr>
          <w:rStyle w:val="FootnoteReference"/>
        </w:rPr>
        <w:footnoteRef/>
      </w:r>
      <w:r>
        <w:t xml:space="preserve"> </w:t>
      </w:r>
      <w:r w:rsidR="00D9580A" w:rsidRPr="00D9580A">
        <w:t>Ibid</w:t>
      </w:r>
      <w:r>
        <w:t>, at paras 37-38.</w:t>
      </w:r>
    </w:p>
  </w:footnote>
  <w:footnote w:id="92">
    <w:p w14:paraId="6C1834E1" w14:textId="75E21735" w:rsidR="00FF519E" w:rsidRPr="000A2C64" w:rsidRDefault="00FF519E" w:rsidP="004F4CB7">
      <w:pPr>
        <w:pStyle w:val="NIHRCFootnotes"/>
      </w:pPr>
      <w:r w:rsidRPr="000A2C64">
        <w:rPr>
          <w:rStyle w:val="FootnoteReference"/>
        </w:rPr>
        <w:footnoteRef/>
      </w:r>
      <w:r w:rsidRPr="000A2C64">
        <w:t xml:space="preserve"> The Executive Office, ‘Review of the Race Relations (NI) Order 1997: Consultation Document’ (TEO, 2023), at 17-23.</w:t>
      </w:r>
    </w:p>
  </w:footnote>
  <w:footnote w:id="93">
    <w:p w14:paraId="71BBF9F5" w14:textId="1DE26A9F" w:rsidR="001A74CA" w:rsidRPr="000A2C64" w:rsidRDefault="001A74CA" w:rsidP="004F4CB7">
      <w:pPr>
        <w:pStyle w:val="NIHRCFootnotes"/>
      </w:pPr>
      <w:r w:rsidRPr="000A2C64">
        <w:rPr>
          <w:rStyle w:val="FootnoteReference"/>
        </w:rPr>
        <w:footnoteRef/>
      </w:r>
      <w:r w:rsidRPr="000A2C64">
        <w:t xml:space="preserve"> E/C.12/GC/23, ‘UN ICESCR Committee General Comment No 23:</w:t>
      </w:r>
      <w:r w:rsidR="002C75A6">
        <w:t xml:space="preserve"> </w:t>
      </w:r>
      <w:r w:rsidRPr="000A2C64">
        <w:t>Right To Just and Favourable Conditions of Work’, 27</w:t>
      </w:r>
      <w:r w:rsidR="002C75A6">
        <w:t xml:space="preserve"> </w:t>
      </w:r>
      <w:r w:rsidRPr="000A2C64">
        <w:t>April 2016, at para 5; CoE European Social Charter 1961; Article 5(e)(i), UN Convention on the Elimination of All Forms of Racial Discrimination 1965; Articles 6 and 7, UN Covenant on Economic, Social and Cultural Rights 1966; Article 11, UN Convention on the Elimination of All Forms of Discrimination Against Women 1981; Article 32, UN Convention on the Rights of the Child 1989; Article 27, UN Convention on the Rights of Persons with Disabilities 2006; Article 3(1)(b)(c), Directive 2000/43/EC, ‘EU Council Directive on Implementing the Principle of Equal Treatment between Persons Irrespective of Racial or Ethnic Origin’, 29 June 2000, the EU Directive applies to all persons, in both private and public sectors, in relation to employment and working conditions, including dismissal and pay and access to all types of vocational guidance, training and retraining, including practical work experience.</w:t>
      </w:r>
    </w:p>
  </w:footnote>
  <w:footnote w:id="94">
    <w:p w14:paraId="4853CBDC" w14:textId="1CFE2633" w:rsidR="00156A5F" w:rsidRDefault="00156A5F" w:rsidP="004F4CB7">
      <w:pPr>
        <w:pStyle w:val="NIHRCFootnotes"/>
      </w:pPr>
      <w:r>
        <w:rPr>
          <w:rStyle w:val="FootnoteReference"/>
        </w:rPr>
        <w:footnoteRef/>
      </w:r>
      <w:r>
        <w:t xml:space="preserve"> </w:t>
      </w:r>
      <w:r w:rsidRPr="000A2C64">
        <w:t>E/C.12/GC/23, ‘UN ICESCR Committee General Comment No 23</w:t>
      </w:r>
      <w:r w:rsidR="002C75A6">
        <w:t xml:space="preserve"> </w:t>
      </w:r>
      <w:r w:rsidRPr="000A2C64">
        <w:t>:Right To Just and Favourable Conditions of Work’, 27</w:t>
      </w:r>
      <w:r w:rsidR="002C75A6">
        <w:t xml:space="preserve"> </w:t>
      </w:r>
      <w:r w:rsidRPr="000A2C64">
        <w:t>April 2016, at para 5</w:t>
      </w:r>
      <w:r>
        <w:t>.</w:t>
      </w:r>
    </w:p>
  </w:footnote>
  <w:footnote w:id="95">
    <w:p w14:paraId="48BF1B58" w14:textId="2D93CA92" w:rsidR="000446E7" w:rsidRDefault="000446E7" w:rsidP="004F4CB7">
      <w:pPr>
        <w:pStyle w:val="NIHRCFootnotes"/>
      </w:pPr>
      <w:r>
        <w:rPr>
          <w:rStyle w:val="FootnoteReference"/>
        </w:rPr>
        <w:footnoteRef/>
      </w:r>
      <w:r>
        <w:t xml:space="preserve"> Article 3(1)(a)</w:t>
      </w:r>
      <w:r w:rsidR="00761C8C">
        <w:t>(</w:t>
      </w:r>
      <w:r w:rsidR="00721DAA">
        <w:t>b)</w:t>
      </w:r>
      <w:r w:rsidR="00761C8C">
        <w:t>and(c)</w:t>
      </w:r>
      <w:r w:rsidR="00721DAA">
        <w:t>, Directive 2000/43/EC, ‘EU Council Directive on Implementing the Principle of Equal Treatment between Persons Irrespective of Racial or Ethnic Origin’, 29 June 2000.</w:t>
      </w:r>
    </w:p>
  </w:footnote>
  <w:footnote w:id="96">
    <w:p w14:paraId="28BD1379" w14:textId="5B22909D" w:rsidR="007E7F4B" w:rsidRPr="000A2C64" w:rsidRDefault="007E7F4B" w:rsidP="004F4CB7">
      <w:pPr>
        <w:pStyle w:val="NIHRCFootnotes"/>
      </w:pPr>
      <w:r w:rsidRPr="000A2C64">
        <w:rPr>
          <w:rStyle w:val="FootnoteReference"/>
        </w:rPr>
        <w:footnoteRef/>
      </w:r>
      <w:r w:rsidRPr="000A2C64">
        <w:t xml:space="preserve"> The Executive Office, ‘Review of the Race Relations (NI) Order 1997: Consultation Document’ (TEO, 2023), at </w:t>
      </w:r>
      <w:r w:rsidR="00E07B90" w:rsidRPr="000A2C64">
        <w:t>21.</w:t>
      </w:r>
    </w:p>
  </w:footnote>
  <w:footnote w:id="97">
    <w:p w14:paraId="53711581" w14:textId="37A49451" w:rsidR="001A74CA" w:rsidRPr="000A2C64" w:rsidRDefault="001A74CA" w:rsidP="004F4CB7">
      <w:pPr>
        <w:pStyle w:val="NIHRCFootnotes"/>
      </w:pPr>
      <w:r w:rsidRPr="000A2C64">
        <w:rPr>
          <w:rStyle w:val="FootnoteReference"/>
        </w:rPr>
        <w:footnoteRef/>
      </w:r>
      <w:r w:rsidRPr="000A2C64">
        <w:t xml:space="preserve"> E/C.12/GC/23, ‘UN ICESCR Committee General Comment No 23:</w:t>
      </w:r>
      <w:r w:rsidR="002C75A6">
        <w:t xml:space="preserve"> </w:t>
      </w:r>
      <w:r w:rsidRPr="000A2C64">
        <w:t>Right To Just and Favourable Conditions of Work’, 27</w:t>
      </w:r>
      <w:r w:rsidR="002C75A6">
        <w:t xml:space="preserve"> </w:t>
      </w:r>
      <w:r w:rsidRPr="000A2C64">
        <w:t>April 2016, at paras 47(e), 47(f), 47(i) and 78; CoE European Social Charter 1961; Article 5(e)(i), UN Convention on the Elimination of All Forms of Racial Discrimination 1965; Articles 6 and 7, UN Covenant on Economic, Social and Cultural Rights 1966; Article 11, UN Convention on the Elimination of All Forms of Discrimination Against Women 1981; Article 32, UN Convention on the Rights of the Child 1989; Article 27, UN Convention on the Rights of Persons with Disabilities 2006.</w:t>
      </w:r>
    </w:p>
  </w:footnote>
  <w:footnote w:id="98">
    <w:p w14:paraId="1FCD2585" w14:textId="47C4AD66" w:rsidR="004772F0" w:rsidRDefault="004772F0" w:rsidP="004F4CB7">
      <w:pPr>
        <w:pStyle w:val="NIHRCFootnotes"/>
      </w:pPr>
      <w:r>
        <w:rPr>
          <w:rStyle w:val="FootnoteReference"/>
        </w:rPr>
        <w:footnoteRef/>
      </w:r>
      <w:r>
        <w:t xml:space="preserve"> </w:t>
      </w:r>
      <w:r w:rsidRPr="000A2C64">
        <w:t>E/C.12/GC/23, ‘UN ICESCR Committee General Comment No 23:</w:t>
      </w:r>
      <w:r w:rsidR="002C75A6">
        <w:t xml:space="preserve"> </w:t>
      </w:r>
      <w:r w:rsidRPr="000A2C64">
        <w:t>Right To Just and Favourable Conditions of Work’, 27</w:t>
      </w:r>
      <w:r w:rsidR="002C75A6">
        <w:t xml:space="preserve"> </w:t>
      </w:r>
      <w:r w:rsidRPr="000A2C64">
        <w:t xml:space="preserve">April 2016, at </w:t>
      </w:r>
      <w:r>
        <w:t>para</w:t>
      </w:r>
      <w:r w:rsidRPr="000A2C64">
        <w:t xml:space="preserve"> 78</w:t>
      </w:r>
      <w:r>
        <w:t>.</w:t>
      </w:r>
    </w:p>
  </w:footnote>
  <w:footnote w:id="99">
    <w:p w14:paraId="07268BEE" w14:textId="1555E76D" w:rsidR="00EE4D87" w:rsidRDefault="00EE4D87" w:rsidP="004F4CB7">
      <w:pPr>
        <w:pStyle w:val="NIHRCFootnotes"/>
      </w:pPr>
      <w:r>
        <w:rPr>
          <w:rStyle w:val="FootnoteReference"/>
        </w:rPr>
        <w:footnoteRef/>
      </w:r>
      <w:r>
        <w:t xml:space="preserve"> </w:t>
      </w:r>
      <w:r w:rsidR="00D9580A">
        <w:t>Ibid</w:t>
      </w:r>
      <w:r>
        <w:t>.</w:t>
      </w:r>
    </w:p>
  </w:footnote>
  <w:footnote w:id="100">
    <w:p w14:paraId="2CFC262B" w14:textId="50699F75" w:rsidR="006B2C05" w:rsidRDefault="006B2C05" w:rsidP="004F4CB7">
      <w:pPr>
        <w:pStyle w:val="NIHRCFootnotes"/>
      </w:pPr>
      <w:r>
        <w:rPr>
          <w:rStyle w:val="FootnoteReference"/>
        </w:rPr>
        <w:footnoteRef/>
      </w:r>
      <w:r>
        <w:t xml:space="preserve"> </w:t>
      </w:r>
      <w:r w:rsidR="00D9580A" w:rsidRPr="00D9580A">
        <w:t>Ibid</w:t>
      </w:r>
      <w:r w:rsidRPr="000A2C64">
        <w:t xml:space="preserve">, at paras 47(e), 47(f) </w:t>
      </w:r>
      <w:r>
        <w:t xml:space="preserve">and </w:t>
      </w:r>
      <w:r w:rsidRPr="000A2C64">
        <w:t>47(i)</w:t>
      </w:r>
      <w:r>
        <w:t>.</w:t>
      </w:r>
    </w:p>
  </w:footnote>
  <w:footnote w:id="101">
    <w:p w14:paraId="7DFD5A49" w14:textId="6F5FD3D3" w:rsidR="005B6239" w:rsidRPr="000A2C64" w:rsidRDefault="005B6239" w:rsidP="004F4CB7">
      <w:pPr>
        <w:pStyle w:val="NIHRCFootnotes"/>
      </w:pPr>
      <w:r w:rsidRPr="000A2C64">
        <w:rPr>
          <w:rStyle w:val="FootnoteReference"/>
        </w:rPr>
        <w:footnoteRef/>
      </w:r>
      <w:r w:rsidRPr="000A2C64">
        <w:t xml:space="preserve"> </w:t>
      </w:r>
      <w:r w:rsidR="00B72EEA" w:rsidRPr="000A2C64">
        <w:t>The Executive Office, ‘Review of the Race Relations (NI) Order 1997: Consultation Document’ (TEO, 2023), at 22.</w:t>
      </w:r>
    </w:p>
  </w:footnote>
  <w:footnote w:id="102">
    <w:p w14:paraId="3452C61D" w14:textId="7741471D" w:rsidR="001A74CA" w:rsidRPr="000A2C64" w:rsidRDefault="001A74CA" w:rsidP="004F4CB7">
      <w:pPr>
        <w:pStyle w:val="NIHRCFootnotes"/>
      </w:pPr>
      <w:r w:rsidRPr="000A2C64">
        <w:rPr>
          <w:rStyle w:val="FootnoteReference"/>
        </w:rPr>
        <w:footnoteRef/>
      </w:r>
      <w:r w:rsidR="00381751" w:rsidRPr="000A2C64">
        <w:t xml:space="preserve"> </w:t>
      </w:r>
      <w:r w:rsidRPr="000A2C64">
        <w:t>Article 14, European Convention on Human Rights 1950; Article 2(1), UN Convention on the Elimination of All Forms of Racial Discrimination 1965; Article 2(1), UN Covenant on Civil and Political Rights 1966; Article 2(2), UN Covenant on Economic, Social and Cultural Rights 1966; UN Convention on the Elimination of All Forms of Discrimination Against Women 1981; Article 2, UN Convention on the Rights of the Child 1989; Article 4(1), UN Convention on the Rights of Persons with Disabilities 2006.</w:t>
      </w:r>
    </w:p>
  </w:footnote>
  <w:footnote w:id="103">
    <w:p w14:paraId="3A3863C2" w14:textId="0A129E01" w:rsidR="00381751" w:rsidRPr="000A2C64" w:rsidRDefault="00381751" w:rsidP="004F4CB7">
      <w:pPr>
        <w:pStyle w:val="NIHRCFootnotes"/>
      </w:pPr>
      <w:r w:rsidRPr="000A2C64">
        <w:rPr>
          <w:rStyle w:val="FootnoteReference"/>
        </w:rPr>
        <w:footnoteRef/>
      </w:r>
      <w:r w:rsidRPr="000A2C64">
        <w:t xml:space="preserve"> </w:t>
      </w:r>
      <w:r w:rsidRPr="000A2C64">
        <w:rPr>
          <w:i/>
          <w:iCs/>
        </w:rPr>
        <w:t>Hode and Abdi v UK</w:t>
      </w:r>
      <w:r w:rsidRPr="000A2C64">
        <w:t xml:space="preserve"> (2012) ECHR 1871, at para 47; </w:t>
      </w:r>
      <w:r w:rsidRPr="000A2C64">
        <w:rPr>
          <w:i/>
          <w:iCs/>
        </w:rPr>
        <w:t>Bah v UK</w:t>
      </w:r>
      <w:r w:rsidRPr="000A2C64">
        <w:t xml:space="preserve"> (2011) EHCR 1448, at para 46.</w:t>
      </w:r>
    </w:p>
  </w:footnote>
  <w:footnote w:id="104">
    <w:p w14:paraId="66870E9D" w14:textId="77777777" w:rsidR="001A74CA" w:rsidRPr="000A2C64" w:rsidRDefault="001A74CA" w:rsidP="004F4CB7">
      <w:pPr>
        <w:pStyle w:val="NIHRCFootnotes"/>
      </w:pPr>
      <w:r w:rsidRPr="000A2C64">
        <w:rPr>
          <w:rStyle w:val="FootnoteReference"/>
        </w:rPr>
        <w:footnoteRef/>
      </w:r>
      <w:r w:rsidRPr="000A2C64">
        <w:t xml:space="preserve"> NI Human Rights Commission, ‘Annual Statement 2022’ (NIHRC, 2022), at 202-204.</w:t>
      </w:r>
    </w:p>
  </w:footnote>
  <w:footnote w:id="105">
    <w:p w14:paraId="6E46E436" w14:textId="249A1DDF" w:rsidR="00E02D0F" w:rsidRPr="000A2C64" w:rsidRDefault="00E02D0F" w:rsidP="004F4CB7">
      <w:pPr>
        <w:pStyle w:val="NIHRCFootnotes"/>
      </w:pPr>
      <w:r w:rsidRPr="000A2C64">
        <w:rPr>
          <w:rStyle w:val="FootnoteReference"/>
        </w:rPr>
        <w:footnoteRef/>
      </w:r>
      <w:r w:rsidRPr="000A2C64">
        <w:t xml:space="preserve"> The Executive Office, ‘Review of the Race Relations (NI) Order 1997: Consultation Document’ (TEO, 2023), at 24.</w:t>
      </w:r>
    </w:p>
  </w:footnote>
  <w:footnote w:id="106">
    <w:p w14:paraId="7E5B88F3" w14:textId="7AD11816" w:rsidR="00CA08C2" w:rsidRPr="000A2C64" w:rsidRDefault="00CA08C2" w:rsidP="004F4CB7">
      <w:pPr>
        <w:pStyle w:val="NIHRCFootnotes"/>
      </w:pPr>
      <w:r w:rsidRPr="000A2C64">
        <w:rPr>
          <w:rStyle w:val="FootnoteReference"/>
        </w:rPr>
        <w:footnoteRef/>
      </w:r>
      <w:r w:rsidRPr="000A2C64">
        <w:t xml:space="preserve"> </w:t>
      </w:r>
      <w:r w:rsidR="000E4FBF" w:rsidRPr="000A2C64">
        <w:t>Articles 11</w:t>
      </w:r>
      <w:r w:rsidR="00C732AD" w:rsidRPr="000A2C64">
        <w:t xml:space="preserve"> and</w:t>
      </w:r>
      <w:r w:rsidR="00144F50" w:rsidRPr="000A2C64">
        <w:t xml:space="preserve"> 12</w:t>
      </w:r>
      <w:r w:rsidR="00C732AD" w:rsidRPr="000A2C64">
        <w:t>,</w:t>
      </w:r>
      <w:r w:rsidR="000E4FBF" w:rsidRPr="000A2C64">
        <w:t xml:space="preserve"> CoE European Social Charter 1961; </w:t>
      </w:r>
      <w:r w:rsidR="000503C8" w:rsidRPr="000A2C64">
        <w:t xml:space="preserve">Articles 1 and </w:t>
      </w:r>
      <w:r w:rsidR="00F50DC9" w:rsidRPr="000A2C64">
        <w:t xml:space="preserve">5(e)(iv), UN Convention on the Elimination of All Forms of Racial Discrimination 1965; </w:t>
      </w:r>
      <w:r w:rsidR="00A67522" w:rsidRPr="000A2C64">
        <w:t xml:space="preserve">Articles 2(2), </w:t>
      </w:r>
      <w:r w:rsidR="00A66EC6" w:rsidRPr="000A2C64">
        <w:t xml:space="preserve">9, 10 and 12, UN International Covenant on </w:t>
      </w:r>
      <w:r w:rsidR="00CF379E" w:rsidRPr="000A2C64">
        <w:t xml:space="preserve">Economic, Social and Cultural Rights 1966; </w:t>
      </w:r>
      <w:r w:rsidR="00FD6F24" w:rsidRPr="000A2C64">
        <w:t>Article</w:t>
      </w:r>
      <w:r w:rsidR="00B63112" w:rsidRPr="000A2C64">
        <w:t>s</w:t>
      </w:r>
      <w:r w:rsidR="00FD6F24" w:rsidRPr="000A2C64">
        <w:t xml:space="preserve"> 12</w:t>
      </w:r>
      <w:r w:rsidR="00B63112" w:rsidRPr="000A2C64">
        <w:t xml:space="preserve"> and 14(c)</w:t>
      </w:r>
      <w:r w:rsidR="00FD6F24" w:rsidRPr="000A2C64">
        <w:t xml:space="preserve">, UN Convention on the Elimination of All Forms of Discrimination Against Women 1981; </w:t>
      </w:r>
      <w:r w:rsidR="00930104" w:rsidRPr="000A2C64">
        <w:t xml:space="preserve">Articles </w:t>
      </w:r>
      <w:r w:rsidR="00316EE2" w:rsidRPr="000A2C64">
        <w:t xml:space="preserve">2, </w:t>
      </w:r>
      <w:r w:rsidR="00930104" w:rsidRPr="000A2C64">
        <w:t>24</w:t>
      </w:r>
      <w:r w:rsidR="00110425" w:rsidRPr="000A2C64">
        <w:t>, 25, 26</w:t>
      </w:r>
      <w:r w:rsidR="00EA1DE4" w:rsidRPr="000A2C64">
        <w:t xml:space="preserve">, UN Convention on the Rights of the Child 1989; </w:t>
      </w:r>
      <w:r w:rsidR="00C016B4" w:rsidRPr="000A2C64">
        <w:t>Articles 25</w:t>
      </w:r>
      <w:r w:rsidR="00E03A81" w:rsidRPr="000A2C64">
        <w:t xml:space="preserve"> and</w:t>
      </w:r>
      <w:r w:rsidR="002A0041" w:rsidRPr="000A2C64">
        <w:t xml:space="preserve"> 28, </w:t>
      </w:r>
      <w:r w:rsidR="00C016B4" w:rsidRPr="000A2C64">
        <w:t>UN Convention on the Rights of Persons with Disabilities 2006</w:t>
      </w:r>
      <w:r w:rsidR="00D0029A" w:rsidRPr="000A2C64">
        <w:t xml:space="preserve">; </w:t>
      </w:r>
      <w:r w:rsidR="00C65235" w:rsidRPr="000A2C64">
        <w:t>E/C.12</w:t>
      </w:r>
      <w:r w:rsidR="00842206" w:rsidRPr="000A2C64">
        <w:t xml:space="preserve">/GC/20, ‘UN ICESCR Committee General Comment No 20: Non Discrimination in Economic, Social and Cultural Rights’, </w:t>
      </w:r>
      <w:r w:rsidR="00760551" w:rsidRPr="000A2C64">
        <w:t xml:space="preserve">2 July 2009; </w:t>
      </w:r>
      <w:r w:rsidR="00213EC4" w:rsidRPr="000A2C64">
        <w:t>E/C.12</w:t>
      </w:r>
      <w:r w:rsidR="00256F9B" w:rsidRPr="000A2C64">
        <w:t>/GC/19, ‘UN ICESCR Committee General Comment No 19: Right to Social Security’</w:t>
      </w:r>
      <w:r w:rsidR="00404829" w:rsidRPr="000A2C64">
        <w:t xml:space="preserve">, </w:t>
      </w:r>
      <w:r w:rsidR="00EB4E84" w:rsidRPr="000A2C64">
        <w:t xml:space="preserve">4 February 2008; </w:t>
      </w:r>
      <w:r w:rsidR="00D44FDA" w:rsidRPr="000A2C64">
        <w:t>E/C.12/</w:t>
      </w:r>
      <w:r w:rsidR="00C54893" w:rsidRPr="000A2C64">
        <w:t>2000/4, ‘</w:t>
      </w:r>
      <w:r w:rsidR="000F01CA" w:rsidRPr="000A2C64">
        <w:t xml:space="preserve">UN ICESCR Committee General Comment No </w:t>
      </w:r>
      <w:r w:rsidR="00326D90" w:rsidRPr="000A2C64">
        <w:t>14</w:t>
      </w:r>
      <w:r w:rsidR="00997A34" w:rsidRPr="000A2C64">
        <w:t xml:space="preserve">: Right to the Highest Attainable Standard of Health’, 11 August 2000; </w:t>
      </w:r>
    </w:p>
  </w:footnote>
  <w:footnote w:id="107">
    <w:p w14:paraId="3E32641D" w14:textId="49B6322F" w:rsidR="006D63F9" w:rsidRPr="000A2C64" w:rsidRDefault="006D63F9" w:rsidP="004F4CB7">
      <w:pPr>
        <w:pStyle w:val="NIHRCFootnotes"/>
      </w:pPr>
      <w:r w:rsidRPr="000A2C64">
        <w:rPr>
          <w:rStyle w:val="FootnoteReference"/>
          <w:rFonts w:eastAsiaTheme="majorEastAsia"/>
        </w:rPr>
        <w:footnoteRef/>
      </w:r>
      <w:r w:rsidRPr="000A2C64">
        <w:t xml:space="preserve"> E/C.12/GBR/CO/6, 'UN ICESCR Committee Concluding Observations on the Sixth Periodic Report of the UK of Great Britain and NI', 14 July 2016</w:t>
      </w:r>
      <w:r w:rsidR="000E4FBF" w:rsidRPr="000A2C64">
        <w:t>.</w:t>
      </w:r>
    </w:p>
  </w:footnote>
  <w:footnote w:id="108">
    <w:p w14:paraId="2E378E3E" w14:textId="77777777" w:rsidR="006D63F9" w:rsidRPr="000A2C64" w:rsidRDefault="006D63F9" w:rsidP="004F4CB7">
      <w:pPr>
        <w:pStyle w:val="NIHRCFootnotes"/>
      </w:pPr>
      <w:r w:rsidRPr="000A2C64">
        <w:rPr>
          <w:rStyle w:val="FootnoteReference"/>
          <w:rFonts w:eastAsiaTheme="majorEastAsia"/>
        </w:rPr>
        <w:footnoteRef/>
      </w:r>
      <w:r w:rsidRPr="000A2C64">
        <w:t xml:space="preserve"> CRC/C/GBR/CO/5, 'UN CRC Committee Concluding Observations on the Fifth Periodic Report of the UK of Great Britain and NI', 12 July 2016.</w:t>
      </w:r>
    </w:p>
  </w:footnote>
  <w:footnote w:id="109">
    <w:p w14:paraId="2458B4F8" w14:textId="77777777" w:rsidR="006D63F9" w:rsidRPr="000A2C64" w:rsidRDefault="006D63F9" w:rsidP="004F4CB7">
      <w:pPr>
        <w:pStyle w:val="NIHRCFootnotes"/>
      </w:pPr>
      <w:r w:rsidRPr="000A2C64">
        <w:rPr>
          <w:rStyle w:val="FootnoteReference"/>
          <w:rFonts w:eastAsiaTheme="majorEastAsia"/>
        </w:rPr>
        <w:footnoteRef/>
      </w:r>
      <w:r w:rsidRPr="000A2C64">
        <w:t xml:space="preserve"> CERD/C/GBR/CO/21-23, 'UN CERD Committee Concluding Observations on the Twenty-first to Twenty-third Periodic Reports of UK', 26 August 2016.</w:t>
      </w:r>
    </w:p>
  </w:footnote>
  <w:footnote w:id="110">
    <w:p w14:paraId="7A235CC4" w14:textId="77777777" w:rsidR="006D63F9" w:rsidRPr="000A2C64" w:rsidRDefault="006D63F9" w:rsidP="004F4CB7">
      <w:pPr>
        <w:pStyle w:val="NIHRCFootnotes"/>
      </w:pPr>
      <w:r w:rsidRPr="000A2C64">
        <w:rPr>
          <w:rStyle w:val="FootnoteReference"/>
          <w:rFonts w:eastAsiaTheme="majorEastAsia"/>
        </w:rPr>
        <w:footnoteRef/>
      </w:r>
      <w:r w:rsidRPr="000A2C64">
        <w:t xml:space="preserve"> CEDAW/C/GBR/CO/8, 'UN CEDAW Committee Concluding Observations on the Eighth Periodic Report of the UK of Great Britain and NI', 14 March 2019.</w:t>
      </w:r>
    </w:p>
  </w:footnote>
  <w:footnote w:id="111">
    <w:p w14:paraId="39AAC0C4" w14:textId="0E2258A2" w:rsidR="006D63F9" w:rsidRPr="000A2C64" w:rsidRDefault="006D63F9" w:rsidP="004F4CB7">
      <w:pPr>
        <w:pStyle w:val="NIHRCFootnotes"/>
      </w:pPr>
      <w:r w:rsidRPr="000A2C64">
        <w:rPr>
          <w:rStyle w:val="FootnoteReference"/>
          <w:rFonts w:eastAsiaTheme="majorEastAsia"/>
        </w:rPr>
        <w:footnoteRef/>
      </w:r>
      <w:r w:rsidRPr="000A2C64">
        <w:t xml:space="preserve"> </w:t>
      </w:r>
      <w:r w:rsidR="00D9580A">
        <w:t>Ibid</w:t>
      </w:r>
      <w:r w:rsidR="006333C3" w:rsidRPr="000A2C64">
        <w:t>.</w:t>
      </w:r>
    </w:p>
  </w:footnote>
  <w:footnote w:id="112">
    <w:p w14:paraId="60E56FC8" w14:textId="47CAEA01" w:rsidR="00526A61" w:rsidRDefault="00526A61" w:rsidP="004F4CB7">
      <w:pPr>
        <w:pStyle w:val="NIHRCFootnotes"/>
      </w:pPr>
      <w:r>
        <w:rPr>
          <w:rStyle w:val="FootnoteReference"/>
        </w:rPr>
        <w:footnoteRef/>
      </w:r>
      <w:r>
        <w:t xml:space="preserve"> Recital 12, Directive 2000/43/EC, ‘EU Council Directive on Implementing the Principle of Equal Treatment between Persons Irrespective of Racial or Ethnic Origin’, 29 June 2000.</w:t>
      </w:r>
    </w:p>
  </w:footnote>
  <w:footnote w:id="113">
    <w:p w14:paraId="1236609B" w14:textId="662E9C79" w:rsidR="00F1683A" w:rsidRDefault="00F1683A" w:rsidP="004F4CB7">
      <w:pPr>
        <w:pStyle w:val="NIHRCFootnotes"/>
      </w:pPr>
      <w:r>
        <w:rPr>
          <w:rStyle w:val="FootnoteReference"/>
        </w:rPr>
        <w:footnoteRef/>
      </w:r>
      <w:r>
        <w:t xml:space="preserve"> </w:t>
      </w:r>
      <w:r w:rsidR="00975547">
        <w:t>Article 3(1)(h), Directive 2000/43/EC, ‘EU Council Directive on Implementing the Principle of Equal Treatment between Persons Irrespective of Racial or Ethnic Origin’, 29 June 2000.</w:t>
      </w:r>
    </w:p>
  </w:footnote>
  <w:footnote w:id="114">
    <w:p w14:paraId="4A75AED9" w14:textId="2DA80657" w:rsidR="00AF3BA1" w:rsidRDefault="00AF3BA1" w:rsidP="004F4CB7">
      <w:pPr>
        <w:pStyle w:val="NIHRCFootnotes"/>
      </w:pPr>
      <w:r>
        <w:rPr>
          <w:rStyle w:val="FootnoteReference"/>
        </w:rPr>
        <w:footnoteRef/>
      </w:r>
      <w:r>
        <w:t xml:space="preserve"> </w:t>
      </w:r>
      <w:r w:rsidR="00486560">
        <w:t>Article 3(1)(e)and(f), Directive 2000/43/EC, ‘EU Council Directive on Implementing the Principle of Equal Treatment between Persons Irrespective of Racial or Ethnic Origin’, 29 June 2000.</w:t>
      </w:r>
    </w:p>
  </w:footnote>
  <w:footnote w:id="115">
    <w:p w14:paraId="1ED67D8B" w14:textId="77777777" w:rsidR="003673AF" w:rsidRPr="000A2C64" w:rsidRDefault="003673AF" w:rsidP="004F4CB7">
      <w:pPr>
        <w:pStyle w:val="NIHRCFootnotes"/>
      </w:pPr>
      <w:r w:rsidRPr="000A2C64">
        <w:rPr>
          <w:rStyle w:val="FootnoteReference"/>
          <w:rFonts w:eastAsiaTheme="majorEastAsia"/>
        </w:rPr>
        <w:footnoteRef/>
      </w:r>
      <w:r w:rsidRPr="000A2C64">
        <w:t xml:space="preserve"> House of Commons NI Affairs Committee, ‘Inquiry into the Experience of Minority Ethnic and Migrant People in NI - Oral Evidence', 8 September 2021, at Question 19.</w:t>
      </w:r>
    </w:p>
  </w:footnote>
  <w:footnote w:id="116">
    <w:p w14:paraId="259AF279" w14:textId="55950176" w:rsidR="003673AF" w:rsidRPr="000A2C64" w:rsidRDefault="003673AF" w:rsidP="004F4CB7">
      <w:pPr>
        <w:pStyle w:val="NIHRCFootnotes"/>
      </w:pPr>
      <w:r w:rsidRPr="000A2C64">
        <w:rPr>
          <w:rStyle w:val="FootnoteReference"/>
          <w:rFonts w:eastAsiaTheme="majorEastAsia"/>
        </w:rPr>
        <w:footnoteRef/>
      </w:r>
      <w:r w:rsidRPr="000A2C64">
        <w:t xml:space="preserve"> </w:t>
      </w:r>
      <w:r w:rsidR="006333C3" w:rsidRPr="000A2C64">
        <w:t>CEDAW/C/GBR/CO/8, 'UN CEDAW Committee Concluding Observations on the Eighth Periodic Report of the UK of Great Britain and NI', 14 March 2019</w:t>
      </w:r>
      <w:r w:rsidRPr="000A2C64">
        <w:t>, at Question 22.</w:t>
      </w:r>
    </w:p>
  </w:footnote>
  <w:footnote w:id="117">
    <w:p w14:paraId="04AADB32" w14:textId="77777777" w:rsidR="003673AF" w:rsidRPr="000A2C64" w:rsidRDefault="003673AF" w:rsidP="004F4CB7">
      <w:pPr>
        <w:pStyle w:val="NIHRCFootnotes"/>
      </w:pPr>
      <w:r w:rsidRPr="000A2C64">
        <w:rPr>
          <w:rStyle w:val="FootnoteReference"/>
          <w:rFonts w:eastAsiaTheme="majorEastAsia"/>
        </w:rPr>
        <w:footnoteRef/>
      </w:r>
      <w:r w:rsidRPr="000A2C64">
        <w:t xml:space="preserve"> NI Human Rights Commission, 'Submission to the NI Affairs Committee Inquiry into the Experience of Minority Ethnic and Migrant People in NI' (NIHRC, 2021).</w:t>
      </w:r>
    </w:p>
  </w:footnote>
  <w:footnote w:id="118">
    <w:p w14:paraId="29A7BC85" w14:textId="77777777" w:rsidR="003673AF" w:rsidRPr="000A2C64" w:rsidRDefault="003673AF" w:rsidP="004F4CB7">
      <w:pPr>
        <w:pStyle w:val="NIHRCFootnotes"/>
      </w:pPr>
      <w:r w:rsidRPr="000A2C64">
        <w:rPr>
          <w:rStyle w:val="FootnoteReference"/>
          <w:rFonts w:eastAsiaTheme="majorEastAsia"/>
        </w:rPr>
        <w:footnoteRef/>
      </w:r>
      <w:r w:rsidRPr="000A2C64">
        <w:t xml:space="preserve"> Meeting between NI Human Rights Commission and NI Council for Racial Equality, 9 August 2022.</w:t>
      </w:r>
    </w:p>
  </w:footnote>
  <w:footnote w:id="119">
    <w:p w14:paraId="22F80C5D" w14:textId="77777777" w:rsidR="003673AF" w:rsidRPr="000A2C64" w:rsidRDefault="003673AF" w:rsidP="004F4CB7">
      <w:pPr>
        <w:pStyle w:val="NIHRCFootnotes"/>
      </w:pPr>
      <w:r w:rsidRPr="000A2C64">
        <w:rPr>
          <w:rStyle w:val="FootnoteReference"/>
          <w:rFonts w:eastAsiaTheme="majorEastAsia"/>
        </w:rPr>
        <w:footnoteRef/>
      </w:r>
      <w:r w:rsidRPr="000A2C64">
        <w:t xml:space="preserve">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w:t>
      </w:r>
    </w:p>
  </w:footnote>
  <w:footnote w:id="120">
    <w:p w14:paraId="20FF21A8" w14:textId="77777777" w:rsidR="003673AF" w:rsidRPr="000A2C64" w:rsidRDefault="003673AF" w:rsidP="004F4CB7">
      <w:pPr>
        <w:pStyle w:val="NIHRCFootnotes"/>
      </w:pPr>
      <w:r w:rsidRPr="000A2C64">
        <w:rPr>
          <w:rStyle w:val="FootnoteReference"/>
          <w:rFonts w:eastAsiaTheme="majorEastAsia"/>
        </w:rPr>
        <w:footnoteRef/>
      </w:r>
      <w:r w:rsidRPr="000A2C64">
        <w:t xml:space="preserve"> Roundtable on Access to Healthcare and Protocol Article 2 hosted by the NI Human Rights Commission, 6 June 2022.</w:t>
      </w:r>
    </w:p>
  </w:footnote>
  <w:footnote w:id="121">
    <w:p w14:paraId="76BAE3A6" w14:textId="77777777" w:rsidR="003673AF" w:rsidRPr="000A2C64" w:rsidRDefault="003673AF" w:rsidP="004F4CB7">
      <w:pPr>
        <w:pStyle w:val="NIHRCFootnotes"/>
      </w:pPr>
      <w:r w:rsidRPr="000A2C64">
        <w:rPr>
          <w:rStyle w:val="FootnoteReference"/>
          <w:rFonts w:eastAsiaTheme="majorEastAsia"/>
        </w:rPr>
        <w:footnoteRef/>
      </w:r>
      <w:r w:rsidRPr="000A2C64">
        <w:t xml:space="preserve"> Independent Mechanism in NI Disability Forum Meeting, 2 August 2022.</w:t>
      </w:r>
    </w:p>
  </w:footnote>
  <w:footnote w:id="122">
    <w:p w14:paraId="7219E7A5" w14:textId="5B33551C" w:rsidR="008B2B75" w:rsidRPr="000A2C64" w:rsidRDefault="008B2B75" w:rsidP="004F4CB7">
      <w:pPr>
        <w:pStyle w:val="NIHRCFootnotes"/>
      </w:pPr>
      <w:r w:rsidRPr="000A2C64">
        <w:rPr>
          <w:rStyle w:val="FootnoteReference"/>
        </w:rPr>
        <w:footnoteRef/>
      </w:r>
      <w:r w:rsidRPr="000A2C64">
        <w:t xml:space="preserve"> A/HRC/41/54/Add.2, ‘</w:t>
      </w:r>
      <w:r w:rsidR="001A6262" w:rsidRPr="000A2C64">
        <w:t xml:space="preserve">Report of the </w:t>
      </w:r>
      <w:r w:rsidRPr="000A2C64">
        <w:t>Special Rapporteur on Contemporary Forms of Racism, Racial Discrimination, Xenophobia and Related Intolerance</w:t>
      </w:r>
      <w:r w:rsidR="009A29E4">
        <w:t xml:space="preserve">, E </w:t>
      </w:r>
      <w:r w:rsidR="009A29E4" w:rsidRPr="0054266F">
        <w:t>Tendayi Achiume</w:t>
      </w:r>
      <w:r w:rsidR="001A6262" w:rsidRPr="000A2C64">
        <w:t xml:space="preserve">: Visit to the UK of Great Britain and NI’, 27 May 2019, at </w:t>
      </w:r>
      <w:r w:rsidR="00601E2B" w:rsidRPr="000A2C64">
        <w:t>para 74(r).</w:t>
      </w:r>
    </w:p>
  </w:footnote>
  <w:footnote w:id="123">
    <w:p w14:paraId="5FD8DE40" w14:textId="5A3F9BB7" w:rsidR="00136EDB" w:rsidRPr="000A2C64" w:rsidRDefault="00136EDB" w:rsidP="004F4CB7">
      <w:pPr>
        <w:pStyle w:val="NIHRCFootnotes"/>
      </w:pPr>
      <w:r w:rsidRPr="000A2C64">
        <w:rPr>
          <w:rStyle w:val="FootnoteReference"/>
        </w:rPr>
        <w:footnoteRef/>
      </w:r>
      <w:r w:rsidRPr="000A2C64">
        <w:t xml:space="preserve"> The Executive Office, ‘Review of the Race Relations (NI) Order 1997: Consultation Document’ (TEO, 2023), at</w:t>
      </w:r>
      <w:r w:rsidR="000A2C64" w:rsidRPr="000A2C64">
        <w:t xml:space="preserve"> 27-32.</w:t>
      </w:r>
    </w:p>
  </w:footnote>
  <w:footnote w:id="124">
    <w:p w14:paraId="65AA8EE2" w14:textId="5B90EA30" w:rsidR="00A66E39" w:rsidRDefault="00A66E39" w:rsidP="004F4CB7">
      <w:pPr>
        <w:pStyle w:val="NIHRCFootnotes"/>
      </w:pPr>
      <w:r>
        <w:rPr>
          <w:rStyle w:val="FootnoteReference"/>
        </w:rPr>
        <w:footnoteRef/>
      </w:r>
      <w:r>
        <w:t xml:space="preserve"> Article 13</w:t>
      </w:r>
      <w:r w:rsidR="006926F1">
        <w:t>, Directive 2000/43/EC, ‘EU Council Directive on Implementing the Principle of Equal Treatment between Persons Irrespective of Racial or Ethnic Origin’, 29 June 2000.</w:t>
      </w:r>
    </w:p>
  </w:footnote>
  <w:footnote w:id="125">
    <w:p w14:paraId="3A78B053" w14:textId="1C7FEA0E" w:rsidR="00760189" w:rsidRDefault="00760189" w:rsidP="004F4CB7">
      <w:pPr>
        <w:pStyle w:val="NIHRCFootnotes"/>
      </w:pPr>
      <w:r>
        <w:rPr>
          <w:rStyle w:val="FootnoteReference"/>
        </w:rPr>
        <w:footnoteRef/>
      </w:r>
      <w:r>
        <w:t xml:space="preserve"> </w:t>
      </w:r>
      <w:r w:rsidR="00E43A82" w:rsidRPr="00ED2F62">
        <w:t xml:space="preserve">Proposal for a </w:t>
      </w:r>
      <w:r w:rsidR="00E43A82" w:rsidRPr="00E43A82">
        <w:rPr>
          <w:rFonts w:cs="Calibri"/>
          <w:sz w:val="18"/>
          <w:szCs w:val="18"/>
        </w:rPr>
        <w:t>C</w:t>
      </w:r>
      <w:r w:rsidR="00E43A82">
        <w:rPr>
          <w:rFonts w:cs="Calibri"/>
          <w:sz w:val="18"/>
          <w:szCs w:val="18"/>
        </w:rPr>
        <w:t>ouncil Directive</w:t>
      </w:r>
      <w:r w:rsidR="00E43A82" w:rsidRPr="00ED2F62">
        <w:t xml:space="preser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w:t>
      </w:r>
      <w:r w:rsidR="00F50726" w:rsidRPr="00F50726">
        <w:rPr>
          <w:rFonts w:cs="Calibri"/>
          <w:sz w:val="18"/>
          <w:szCs w:val="18"/>
        </w:rPr>
        <w:t>2</w:t>
      </w:r>
      <w:r w:rsidR="00F50726">
        <w:rPr>
          <w:rFonts w:cs="Calibri"/>
          <w:sz w:val="18"/>
          <w:szCs w:val="18"/>
        </w:rPr>
        <w:t>00-43/EC</w:t>
      </w:r>
      <w:r w:rsidR="00E43A82" w:rsidRPr="00ED2F62">
        <w:t xml:space="preserve"> and Article 12 of Directive </w:t>
      </w:r>
      <w:r w:rsidR="00E43A82" w:rsidRPr="00F50726">
        <w:rPr>
          <w:rFonts w:cs="Calibri"/>
          <w:sz w:val="18"/>
          <w:szCs w:val="18"/>
        </w:rPr>
        <w:t>2004/113/EC</w:t>
      </w:r>
      <w:r w:rsidR="00E43A82" w:rsidRPr="00ED2F62">
        <w:t xml:space="preserve">.  Proposal for a </w:t>
      </w:r>
      <w:r w:rsidR="006D58F9">
        <w:t xml:space="preserve">Directive </w:t>
      </w:r>
      <w:r w:rsidR="00E43A82" w:rsidRPr="00ED2F62">
        <w:t>of the European Parliament and of the Council on standards for equality bodies in the field of equal treatment and equal opportunities between women and men in matters of employment and occupation, and deleting Article 20 of Directive 2006/54/EC and Article 11 of Directive 2010/41/EU.</w:t>
      </w:r>
    </w:p>
  </w:footnote>
  <w:footnote w:id="126">
    <w:p w14:paraId="7330BAD4" w14:textId="4F49DDC5" w:rsidR="001630ED" w:rsidRDefault="001630ED" w:rsidP="004F4CB7">
      <w:pPr>
        <w:pStyle w:val="NIHRCFootnotes"/>
      </w:pPr>
      <w:r>
        <w:rPr>
          <w:rStyle w:val="FootnoteReference"/>
        </w:rPr>
        <w:footnoteRef/>
      </w:r>
      <w:r>
        <w:t xml:space="preserve"> </w:t>
      </w:r>
      <w:r w:rsidRPr="000A2C64">
        <w:t>The Executive Office, ‘Review of the Race Relations (NI) Order 1997: Consultation Document’ (TEO, 2023), at</w:t>
      </w:r>
      <w:r w:rsidR="00E56D9D">
        <w:t xml:space="preserve"> 34-36.</w:t>
      </w:r>
    </w:p>
  </w:footnote>
  <w:footnote w:id="127">
    <w:p w14:paraId="26DE042A" w14:textId="438DEEC6" w:rsidR="003429BF" w:rsidRDefault="003429BF" w:rsidP="004F4CB7">
      <w:pPr>
        <w:pStyle w:val="NIHRCFootnotes"/>
      </w:pPr>
      <w:r>
        <w:rPr>
          <w:rStyle w:val="FootnoteReference"/>
        </w:rPr>
        <w:footnoteRef/>
      </w:r>
      <w:r>
        <w:t xml:space="preserve"> </w:t>
      </w:r>
      <w:r w:rsidR="00037CC9" w:rsidRPr="00D9580A">
        <w:t>Ibid</w:t>
      </w:r>
      <w:r w:rsidR="00037CC9">
        <w:t xml:space="preserve">, </w:t>
      </w:r>
      <w:r w:rsidRPr="000A2C64">
        <w:t>at</w:t>
      </w:r>
      <w:r>
        <w:t xml:space="preserve"> 34-36.</w:t>
      </w:r>
    </w:p>
  </w:footnote>
  <w:footnote w:id="128">
    <w:p w14:paraId="5290D467" w14:textId="370E09DB" w:rsidR="0013321F" w:rsidRDefault="0013321F" w:rsidP="004F4CB7">
      <w:pPr>
        <w:pStyle w:val="NIHRCFootnotes"/>
      </w:pPr>
      <w:r>
        <w:rPr>
          <w:rStyle w:val="FootnoteReference"/>
        </w:rPr>
        <w:footnoteRef/>
      </w:r>
      <w:r>
        <w:t xml:space="preserve"> </w:t>
      </w:r>
      <w:r w:rsidR="00037CC9">
        <w:t>E</w:t>
      </w:r>
      <w:r w:rsidRPr="000A2C64">
        <w:t>/C.12/GC/20, ‘UN ICESCR Committee General Comment No 20: Non-discrimination in Economic, Social and Cultural Rights’, 2 July 2009, at para</w:t>
      </w:r>
      <w:r>
        <w:t xml:space="preserve"> 40.</w:t>
      </w:r>
    </w:p>
  </w:footnote>
  <w:footnote w:id="129">
    <w:p w14:paraId="59B7DBC2" w14:textId="77777777" w:rsidR="00F21A53" w:rsidRPr="000A2C64" w:rsidRDefault="00F21A53" w:rsidP="004F4CB7">
      <w:pPr>
        <w:pStyle w:val="NIHRCFootnotes"/>
      </w:pPr>
      <w:r w:rsidRPr="000A2C64">
        <w:rPr>
          <w:rStyle w:val="FootnoteReference"/>
        </w:rPr>
        <w:footnoteRef/>
      </w:r>
      <w:r w:rsidRPr="000A2C64">
        <w:t xml:space="preserve"> </w:t>
      </w:r>
      <w:r w:rsidRPr="000A2C64">
        <w:rPr>
          <w:i/>
          <w:iCs/>
        </w:rPr>
        <w:t>Orhan v Turkey</w:t>
      </w:r>
      <w:r w:rsidRPr="000A2C64">
        <w:t xml:space="preserve"> (2002) ECHR 497, at para 383.</w:t>
      </w:r>
    </w:p>
  </w:footnote>
  <w:footnote w:id="130">
    <w:p w14:paraId="7D7693BD" w14:textId="77777777" w:rsidR="00F21A53" w:rsidRPr="000A2C64" w:rsidRDefault="00F21A53" w:rsidP="004F4CB7">
      <w:pPr>
        <w:pStyle w:val="NIHRCFootnotes"/>
      </w:pPr>
      <w:r w:rsidRPr="000A2C64">
        <w:rPr>
          <w:rStyle w:val="FootnoteReference"/>
        </w:rPr>
        <w:footnoteRef/>
      </w:r>
      <w:r w:rsidRPr="000A2C64">
        <w:t xml:space="preserve"> </w:t>
      </w:r>
      <w:r w:rsidRPr="000A2C64">
        <w:rPr>
          <w:i/>
          <w:iCs/>
        </w:rPr>
        <w:t>Sejdovic v Italy</w:t>
      </w:r>
      <w:r w:rsidRPr="000A2C64">
        <w:t xml:space="preserve"> (2006) ECHR 181, at para 46; </w:t>
      </w:r>
      <w:r w:rsidRPr="000A2C64">
        <w:rPr>
          <w:i/>
          <w:iCs/>
        </w:rPr>
        <w:t xml:space="preserve">Pakas v Lithuania </w:t>
      </w:r>
      <w:r w:rsidRPr="000A2C64">
        <w:t>(2011) ECHR 1, at para 75.</w:t>
      </w:r>
    </w:p>
  </w:footnote>
  <w:footnote w:id="131">
    <w:p w14:paraId="51D30625" w14:textId="77777777" w:rsidR="00BF654B" w:rsidRDefault="00BF654B" w:rsidP="004F4CB7">
      <w:pPr>
        <w:pStyle w:val="NIHRCFootnotes"/>
      </w:pPr>
      <w:r>
        <w:rPr>
          <w:rStyle w:val="FootnoteReference"/>
        </w:rPr>
        <w:footnoteRef/>
      </w:r>
      <w:r>
        <w:t xml:space="preserve"> Article 4, UK/EU Withdrawal Agreement 2020.</w:t>
      </w:r>
    </w:p>
  </w:footnote>
  <w:footnote w:id="132">
    <w:p w14:paraId="279F8EB6" w14:textId="77777777" w:rsidR="00BF654B" w:rsidRDefault="00BF654B" w:rsidP="004F4CB7">
      <w:pPr>
        <w:pStyle w:val="NIHRCFootnotes"/>
      </w:pPr>
      <w:r>
        <w:rPr>
          <w:rStyle w:val="FootnoteReference"/>
        </w:rPr>
        <w:footnoteRef/>
      </w:r>
      <w:r>
        <w:t xml:space="preserve"> </w:t>
      </w:r>
      <w:r w:rsidRPr="00C95C23">
        <w:rPr>
          <w:i/>
          <w:iCs/>
        </w:rPr>
        <w:t>Braath</w:t>
      </w:r>
      <w:r>
        <w:rPr>
          <w:i/>
          <w:iCs/>
        </w:rPr>
        <w:t>e</w:t>
      </w:r>
      <w:r w:rsidRPr="00C95C23">
        <w:rPr>
          <w:i/>
          <w:iCs/>
        </w:rPr>
        <w:t>ns Regional Aviation</w:t>
      </w:r>
      <w:r>
        <w:t>, C-30/19, 15 April 2021, at para 59.</w:t>
      </w:r>
    </w:p>
  </w:footnote>
  <w:footnote w:id="133">
    <w:p w14:paraId="54E97D02" w14:textId="6179B3E7" w:rsidR="00F764B1" w:rsidRDefault="00F764B1" w:rsidP="004F4CB7">
      <w:pPr>
        <w:pStyle w:val="NIHRCFootnotes"/>
      </w:pPr>
      <w:r>
        <w:rPr>
          <w:rStyle w:val="FootnoteReference"/>
        </w:rPr>
        <w:footnoteRef/>
      </w:r>
      <w:r>
        <w:t xml:space="preserve"> </w:t>
      </w:r>
      <w:r w:rsidR="003A1985">
        <w:t>Sarah Craig, Anurag Deb, Eleni Frantziou, Alexander Horne</w:t>
      </w:r>
      <w:r w:rsidR="00B860D3">
        <w:t>, Colin Murray, Clare Rice and Jane Rooney, ‘EU Developments in Equality and Human Rights: the impact of Brexit on the divergence of rights and best practice on the island of I</w:t>
      </w:r>
      <w:r w:rsidR="006A1EFD">
        <w:t>reland’, (NIHRC, ECNI and IHREC, 2022).</w:t>
      </w:r>
    </w:p>
  </w:footnote>
  <w:footnote w:id="134">
    <w:p w14:paraId="1A260501" w14:textId="77777777" w:rsidR="00BF4B20" w:rsidRDefault="00BF4B20" w:rsidP="004F4CB7">
      <w:pPr>
        <w:pStyle w:val="NIHRCFootnotes"/>
      </w:pPr>
      <w:r>
        <w:rPr>
          <w:rStyle w:val="FootnoteReference"/>
        </w:rPr>
        <w:footnoteRef/>
      </w:r>
      <w:r>
        <w:t xml:space="preserve"> </w:t>
      </w:r>
      <w:r w:rsidRPr="00C95C23">
        <w:rPr>
          <w:i/>
          <w:iCs/>
        </w:rPr>
        <w:t>Braath</w:t>
      </w:r>
      <w:r>
        <w:rPr>
          <w:i/>
          <w:iCs/>
        </w:rPr>
        <w:t>e</w:t>
      </w:r>
      <w:r w:rsidRPr="00C95C23">
        <w:rPr>
          <w:i/>
          <w:iCs/>
        </w:rPr>
        <w:t>ns Regional Aviation</w:t>
      </w:r>
      <w:r>
        <w:t>, C-30/19, 15 April 2021, at para 33.</w:t>
      </w:r>
    </w:p>
  </w:footnote>
  <w:footnote w:id="135">
    <w:p w14:paraId="439C5855" w14:textId="5FB8DD39" w:rsidR="000C14BD" w:rsidRDefault="000C14BD" w:rsidP="004F4CB7">
      <w:pPr>
        <w:pStyle w:val="NIHRCFootnotes"/>
      </w:pPr>
      <w:r>
        <w:rPr>
          <w:rStyle w:val="FootnoteReference"/>
        </w:rPr>
        <w:footnoteRef/>
      </w:r>
      <w:r>
        <w:t xml:space="preserve"> </w:t>
      </w:r>
      <w:r w:rsidR="00037CC9" w:rsidRPr="00D9580A">
        <w:t>Ibid</w:t>
      </w:r>
      <w:r>
        <w:t>, at para 37.</w:t>
      </w:r>
    </w:p>
  </w:footnote>
  <w:footnote w:id="136">
    <w:p w14:paraId="3AC6BFE7" w14:textId="77777777" w:rsidR="00B82CA3" w:rsidRDefault="00B82CA3" w:rsidP="004F4CB7">
      <w:pPr>
        <w:pStyle w:val="NIHRCFootnotes"/>
      </w:pPr>
      <w:r>
        <w:rPr>
          <w:rStyle w:val="FootnoteReference"/>
        </w:rPr>
        <w:footnoteRef/>
      </w:r>
      <w:r>
        <w:t xml:space="preserve"> </w:t>
      </w:r>
      <w:r w:rsidRPr="000A2C64">
        <w:t>The Executive Office, ‘Review of the Race Relations (NI) Order 1997: Consultation Document’ (TEO, 2023), at</w:t>
      </w:r>
      <w:r>
        <w:t xml:space="preserve"> 33.</w:t>
      </w:r>
    </w:p>
  </w:footnote>
  <w:footnote w:id="137">
    <w:p w14:paraId="11DF5E83" w14:textId="77777777" w:rsidR="00AA2738" w:rsidRPr="000A2C64" w:rsidRDefault="00AA2738" w:rsidP="004F4CB7">
      <w:pPr>
        <w:pStyle w:val="NIHRCFootnotes"/>
      </w:pPr>
      <w:r w:rsidRPr="000A2C64">
        <w:rPr>
          <w:rStyle w:val="FootnoteReference"/>
        </w:rPr>
        <w:footnoteRef/>
      </w:r>
      <w:r w:rsidRPr="000A2C64">
        <w:t xml:space="preserve"> Article 2(2), UN International Covenant on Economic, Social and Cultural Rights 1966; Article 4(2), UN Convention on the Rights of Persons with Disabilities 2006; </w:t>
      </w:r>
      <w:r w:rsidRPr="000A2C64">
        <w:rPr>
          <w:color w:val="76328A"/>
        </w:rPr>
        <w:t>E/1991/23, ‘UN ICESCR Committee General Comment No 3: The Nature of States Parties’ Obligations’, 14 December 1990, at paras 9-10</w:t>
      </w:r>
      <w:r w:rsidRPr="000A2C64">
        <w:t>; UN Human Rights Office of the High Commissioner, ‘Realising Human Rights Through Government Budget’ (OHCHR, 2017).</w:t>
      </w:r>
    </w:p>
  </w:footnote>
  <w:footnote w:id="138">
    <w:p w14:paraId="44A32FDA" w14:textId="2C95CCCD" w:rsidR="007A0B9F" w:rsidRDefault="007A0B9F" w:rsidP="004F4CB7">
      <w:pPr>
        <w:pStyle w:val="NIHRCFootnotes"/>
      </w:pPr>
      <w:r>
        <w:rPr>
          <w:rStyle w:val="FootnoteReference"/>
        </w:rPr>
        <w:footnoteRef/>
      </w:r>
      <w:r>
        <w:t xml:space="preserve"> </w:t>
      </w:r>
      <w:r w:rsidRPr="000A2C64">
        <w:t>The Executive Office, ‘Review of the Race Relations (NI) Order 1997: Consultation Document’ (TEO, 2023), at</w:t>
      </w:r>
      <w:r w:rsidR="003A0C47">
        <w:t xml:space="preserve"> 36.</w:t>
      </w:r>
    </w:p>
  </w:footnote>
  <w:footnote w:id="139">
    <w:p w14:paraId="6F75123B" w14:textId="77777777" w:rsidR="00CA482A" w:rsidRPr="00654887" w:rsidRDefault="00CA482A" w:rsidP="004F4CB7">
      <w:pPr>
        <w:pStyle w:val="NIHRCFootnotes"/>
      </w:pPr>
      <w:r w:rsidRPr="00654887">
        <w:rPr>
          <w:rStyle w:val="FootnoteReference"/>
          <w:rFonts w:eastAsiaTheme="majorEastAsia"/>
        </w:rPr>
        <w:footnoteRef/>
      </w:r>
      <w:r w:rsidRPr="00654887">
        <w:t xml:space="preserve"> The Executive Office, 'Racial Equality Strategy 2015-2025' (TEO, 2015), at 5.</w:t>
      </w:r>
    </w:p>
  </w:footnote>
  <w:footnote w:id="140">
    <w:p w14:paraId="52EF2076" w14:textId="77777777" w:rsidR="00BA5FC1" w:rsidRPr="00654887" w:rsidRDefault="00BA5FC1" w:rsidP="004F4CB7">
      <w:pPr>
        <w:pStyle w:val="NIHRCFootnotes"/>
      </w:pPr>
      <w:r w:rsidRPr="00654887">
        <w:rPr>
          <w:rStyle w:val="FootnoteReference"/>
          <w:rFonts w:eastAsiaTheme="majorEastAsia"/>
        </w:rPr>
        <w:footnoteRef/>
      </w:r>
      <w:r w:rsidRPr="00654887">
        <w:t xml:space="preserve"> This would be analogous to sections 149 and 153 of the Equality Act 2010, which does not extend to NI.</w:t>
      </w:r>
    </w:p>
  </w:footnote>
  <w:footnote w:id="141">
    <w:p w14:paraId="34EB9921" w14:textId="5DBE1838" w:rsidR="00293BF5" w:rsidRDefault="00293BF5" w:rsidP="004F4CB7">
      <w:pPr>
        <w:pStyle w:val="NIHRCFootnotes"/>
      </w:pPr>
      <w:r>
        <w:rPr>
          <w:rStyle w:val="FootnoteReference"/>
        </w:rPr>
        <w:footnoteRef/>
      </w:r>
      <w:r>
        <w:t xml:space="preserve"> </w:t>
      </w:r>
      <w:r w:rsidRPr="000A2C64">
        <w:t>E/C.12/GC/20, ‘UN ICESCR Committee General Comment No 20: Non-discrimination in Economic, Social and Cultural Rights’, 2 July 2009, at para 41</w:t>
      </w:r>
      <w:r>
        <w:t>.</w:t>
      </w:r>
    </w:p>
  </w:footnote>
  <w:footnote w:id="142">
    <w:p w14:paraId="727F802D" w14:textId="273B4C72" w:rsidR="00293BF5" w:rsidRDefault="00293BF5" w:rsidP="004F4CB7">
      <w:pPr>
        <w:pStyle w:val="NIHRCFootnotes"/>
      </w:pPr>
      <w:r>
        <w:rPr>
          <w:rStyle w:val="FootnoteReference"/>
        </w:rPr>
        <w:footnoteRef/>
      </w:r>
      <w:r>
        <w:t xml:space="preserve"> </w:t>
      </w:r>
      <w:r w:rsidR="00037CC9" w:rsidRPr="00D9580A">
        <w:t>Ibid</w:t>
      </w:r>
      <w:r>
        <w:t>.</w:t>
      </w:r>
    </w:p>
  </w:footnote>
  <w:footnote w:id="143">
    <w:p w14:paraId="446B3CE2" w14:textId="7701F87A" w:rsidR="0027012F" w:rsidRPr="000A2C64" w:rsidRDefault="0027012F" w:rsidP="004F4CB7">
      <w:pPr>
        <w:pStyle w:val="NIHRCFootnotes"/>
      </w:pPr>
      <w:r w:rsidRPr="000A2C64">
        <w:rPr>
          <w:rStyle w:val="FootnoteReference"/>
        </w:rPr>
        <w:footnoteRef/>
      </w:r>
      <w:r>
        <w:t xml:space="preserve"> </w:t>
      </w:r>
      <w:r w:rsidRPr="000A2C64">
        <w:t xml:space="preserve">‘UN CEDAW Committee General </w:t>
      </w:r>
      <w:r w:rsidR="009A29E4">
        <w:t>Recommendation</w:t>
      </w:r>
      <w:r w:rsidRPr="000A2C64">
        <w:t xml:space="preserve"> No 6: Effective National Machinery and Publicity’, 1988, at para 1(b); CRC/GC/2003/5, ‘UN CRC Committee General Comment No 5: General Measures of Implementation of the UN CRC’, 27 November 2003, at para 45.</w:t>
      </w:r>
    </w:p>
  </w:footnote>
  <w:footnote w:id="144">
    <w:p w14:paraId="411D33EB" w14:textId="274F3E1E" w:rsidR="00232444" w:rsidRDefault="00232444" w:rsidP="004F4CB7">
      <w:pPr>
        <w:pStyle w:val="NIHRCFootnotes"/>
      </w:pPr>
      <w:r>
        <w:rPr>
          <w:rStyle w:val="FootnoteReference"/>
        </w:rPr>
        <w:footnoteRef/>
      </w:r>
      <w:r>
        <w:t xml:space="preserve"> While the Directive requires that Member States disseminate relevant information about the Directive to those concerned (Article 10) and communicate information on the application of the Directive to the Commission (Article 17(1)), it currently does not stipulate the level of depth necessary for the report.</w:t>
      </w:r>
    </w:p>
  </w:footnote>
  <w:footnote w:id="145">
    <w:p w14:paraId="3F5FB739" w14:textId="28DE7B66" w:rsidR="00D04F25" w:rsidRDefault="00D04F25" w:rsidP="004F4CB7">
      <w:pPr>
        <w:pStyle w:val="NIHRCFootnotes"/>
      </w:pPr>
      <w:r>
        <w:rPr>
          <w:rStyle w:val="FootnoteReference"/>
        </w:rPr>
        <w:footnoteRef/>
      </w:r>
      <w:r>
        <w:t xml:space="preserve"> </w:t>
      </w:r>
      <w:r w:rsidR="00222431">
        <w:t>Article 10, Directive 2000/43/EC, ‘EU Council Directive on Implementing the Principle of Equal Treatment between Persons Irrespective of Racial or Ethnic Origin’, 29 June 2000.</w:t>
      </w:r>
    </w:p>
  </w:footnote>
  <w:footnote w:id="146">
    <w:p w14:paraId="17BDEC32" w14:textId="421CFEFF" w:rsidR="00222431" w:rsidRDefault="00222431" w:rsidP="004F4CB7">
      <w:pPr>
        <w:pStyle w:val="NIHRCFootnotes"/>
      </w:pPr>
      <w:r>
        <w:rPr>
          <w:rStyle w:val="FootnoteReference"/>
        </w:rPr>
        <w:footnoteRef/>
      </w:r>
      <w:r>
        <w:t xml:space="preserve"> Article 17(1), Directive 2000/43/EC, ‘EU Council Directive on Implementing the Principle of Equal Treatment between Persons Irrespective of Racial or Ethnic Origin’, 29 June 2000.</w:t>
      </w:r>
    </w:p>
  </w:footnote>
  <w:footnote w:id="147">
    <w:p w14:paraId="12C90CB0" w14:textId="3B0E406A" w:rsidR="00C659E5" w:rsidRDefault="00C659E5" w:rsidP="004F4CB7">
      <w:pPr>
        <w:pStyle w:val="NIHRCFootnotes"/>
      </w:pPr>
      <w:r>
        <w:rPr>
          <w:rStyle w:val="FootnoteReference"/>
        </w:rPr>
        <w:footnoteRef/>
      </w:r>
      <w:r>
        <w:t xml:space="preserve"> NI Human Rights Commission, ‘</w:t>
      </w:r>
      <w:r w:rsidR="008B0145">
        <w:t>Response to the European Commission Consultation on the Racial Equality Directive (Directive 2000/43/EC)’ (NIHRC, 2022).</w:t>
      </w:r>
    </w:p>
  </w:footnote>
  <w:footnote w:id="148">
    <w:p w14:paraId="129DFA67" w14:textId="7F3D1B0F" w:rsidR="00B819D3" w:rsidRDefault="00B819D3" w:rsidP="004F4CB7">
      <w:pPr>
        <w:pStyle w:val="NIHRCFootnotes"/>
      </w:pPr>
      <w:r>
        <w:rPr>
          <w:rStyle w:val="FootnoteReference"/>
        </w:rPr>
        <w:footnoteRef/>
      </w:r>
      <w:r>
        <w:t xml:space="preserve"> </w:t>
      </w:r>
      <w:r w:rsidRPr="000A2C64">
        <w:t>The Executive Office, ‘Review of the Race Relations (NI) Order 1997: Consultation Document’ (TEO, 2023), at</w:t>
      </w:r>
      <w:r w:rsidR="00940CD2">
        <w:t xml:space="preserve"> 37.</w:t>
      </w:r>
    </w:p>
  </w:footnote>
  <w:footnote w:id="149">
    <w:p w14:paraId="124885F0" w14:textId="77777777" w:rsidR="00B56194" w:rsidRPr="000A2C64" w:rsidRDefault="00B56194" w:rsidP="004F4CB7">
      <w:pPr>
        <w:pStyle w:val="NIHRCFootnotes"/>
      </w:pPr>
      <w:r w:rsidRPr="000A2C64">
        <w:rPr>
          <w:rStyle w:val="FootnoteReference"/>
        </w:rPr>
        <w:footnoteRef/>
      </w:r>
      <w:r w:rsidRPr="000A2C64">
        <w:t xml:space="preserve"> Article 1(1), UN Convention on the Elimination of All Forms of Racial Discrimination 1965.</w:t>
      </w:r>
    </w:p>
  </w:footnote>
  <w:footnote w:id="150">
    <w:p w14:paraId="3BEE2966" w14:textId="4B34D039" w:rsidR="0062562E" w:rsidRDefault="0062562E" w:rsidP="004F4CB7">
      <w:pPr>
        <w:pStyle w:val="NIHRCFootnotes"/>
      </w:pPr>
      <w:r>
        <w:rPr>
          <w:rStyle w:val="FootnoteReference"/>
        </w:rPr>
        <w:footnoteRef/>
      </w:r>
      <w:r>
        <w:t xml:space="preserve"> </w:t>
      </w:r>
      <w:r w:rsidR="00DD3A08" w:rsidRPr="000A2C64">
        <w:t>‘UN CERD Committee General Recommendation No 29: Descent’, August 2002, at 1.</w:t>
      </w:r>
    </w:p>
  </w:footnote>
  <w:footnote w:id="151">
    <w:p w14:paraId="31B4F5E9" w14:textId="598FAEC6" w:rsidR="00885895" w:rsidRDefault="00885895" w:rsidP="004F4CB7">
      <w:pPr>
        <w:pStyle w:val="NIHRCFootnotes"/>
      </w:pPr>
      <w:r>
        <w:rPr>
          <w:rStyle w:val="FootnoteReference"/>
        </w:rPr>
        <w:footnoteRef/>
      </w:r>
      <w:r>
        <w:t xml:space="preserve"> </w:t>
      </w:r>
      <w:r w:rsidR="00693108" w:rsidRPr="00D9580A">
        <w:t>Ibid</w:t>
      </w:r>
      <w:r w:rsidRPr="000A2C64">
        <w:t xml:space="preserve">, at </w:t>
      </w:r>
      <w:r w:rsidR="003D29F5">
        <w:t>para 1(a).</w:t>
      </w:r>
    </w:p>
  </w:footnote>
  <w:footnote w:id="152">
    <w:p w14:paraId="7E3BE800" w14:textId="01EAD75F" w:rsidR="003D29F5" w:rsidRDefault="003D29F5" w:rsidP="004F4CB7">
      <w:pPr>
        <w:pStyle w:val="NIHRCFootnotes"/>
      </w:pPr>
      <w:r>
        <w:rPr>
          <w:rStyle w:val="FootnoteReference"/>
        </w:rPr>
        <w:footnoteRef/>
      </w:r>
      <w:r>
        <w:t xml:space="preserve"> </w:t>
      </w:r>
      <w:r w:rsidR="00693108" w:rsidRPr="00D9580A">
        <w:t>Ibid</w:t>
      </w:r>
      <w:r w:rsidRPr="000A2C64">
        <w:t xml:space="preserve">, at </w:t>
      </w:r>
      <w:r>
        <w:t>para 1(c).</w:t>
      </w:r>
    </w:p>
  </w:footnote>
  <w:footnote w:id="153">
    <w:p w14:paraId="57EA10CE" w14:textId="3C7CB5A4" w:rsidR="003D29F5" w:rsidRDefault="003D29F5" w:rsidP="004F4CB7">
      <w:pPr>
        <w:pStyle w:val="NIHRCFootnotes"/>
      </w:pPr>
      <w:r>
        <w:rPr>
          <w:rStyle w:val="FootnoteReference"/>
        </w:rPr>
        <w:footnoteRef/>
      </w:r>
      <w:r>
        <w:t xml:space="preserve"> </w:t>
      </w:r>
      <w:r w:rsidR="00693108" w:rsidRPr="00D9580A">
        <w:t>Ibid</w:t>
      </w:r>
      <w:r w:rsidRPr="000A2C64">
        <w:t xml:space="preserve">, at </w:t>
      </w:r>
      <w:r>
        <w:t>para 1(f).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9A7"/>
    <w:multiLevelType w:val="multilevel"/>
    <w:tmpl w:val="6486CBCE"/>
    <w:lvl w:ilvl="0">
      <w:start w:val="5"/>
      <w:numFmt w:val="decimal"/>
      <w:lvlText w:val="%1.0"/>
      <w:lvlJc w:val="left"/>
      <w:pPr>
        <w:ind w:left="720" w:hanging="720"/>
      </w:pPr>
      <w:rPr>
        <w:rFonts w:ascii="Verdana" w:hAnsi="Verdana" w:hint="default"/>
        <w:b/>
        <w:i w:val="0"/>
        <w:sz w:val="30"/>
      </w:rPr>
    </w:lvl>
    <w:lvl w:ilvl="1">
      <w:start w:val="1"/>
      <w:numFmt w:val="decimal"/>
      <w:lvlText w:val="%1.%2"/>
      <w:lvlJc w:val="left"/>
      <w:pPr>
        <w:ind w:left="1440" w:hanging="720"/>
      </w:pPr>
      <w:rPr>
        <w:rFonts w:ascii="Verdana" w:hAnsi="Verdana" w:hint="default"/>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 w15:restartNumberingAfterBreak="0">
    <w:nsid w:val="05542A1A"/>
    <w:multiLevelType w:val="hybridMultilevel"/>
    <w:tmpl w:val="B078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42AA"/>
    <w:multiLevelType w:val="multilevel"/>
    <w:tmpl w:val="6A025E36"/>
    <w:lvl w:ilvl="0">
      <w:start w:val="11"/>
      <w:numFmt w:val="decimal"/>
      <w:lvlText w:val="%1"/>
      <w:lvlJc w:val="left"/>
      <w:pPr>
        <w:ind w:left="608" w:hanging="6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2B60B7B"/>
    <w:multiLevelType w:val="multilevel"/>
    <w:tmpl w:val="C4AA59DE"/>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13055F4A"/>
    <w:multiLevelType w:val="multilevel"/>
    <w:tmpl w:val="CF5C930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6D651EA"/>
    <w:multiLevelType w:val="multilevel"/>
    <w:tmpl w:val="ABC2E6CA"/>
    <w:lvl w:ilvl="0">
      <w:start w:val="6"/>
      <w:numFmt w:val="decimal"/>
      <w:lvlText w:val="%1"/>
      <w:lvlJc w:val="left"/>
      <w:pPr>
        <w:ind w:left="608" w:hanging="608"/>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5918F7"/>
    <w:multiLevelType w:val="multilevel"/>
    <w:tmpl w:val="C44077B2"/>
    <w:lvl w:ilvl="0">
      <w:start w:val="10"/>
      <w:numFmt w:val="decimal"/>
      <w:lvlText w:val="%1"/>
      <w:lvlJc w:val="left"/>
      <w:pPr>
        <w:ind w:left="608" w:hanging="6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0EA5CF9"/>
    <w:multiLevelType w:val="multilevel"/>
    <w:tmpl w:val="3BC2DD7A"/>
    <w:lvl w:ilvl="0">
      <w:start w:val="1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247BA"/>
    <w:multiLevelType w:val="multilevel"/>
    <w:tmpl w:val="C1AED8B6"/>
    <w:lvl w:ilvl="0">
      <w:start w:val="4"/>
      <w:numFmt w:val="decimal"/>
      <w:lvlText w:val="%1"/>
      <w:lvlJc w:val="left"/>
      <w:pPr>
        <w:ind w:left="608" w:hanging="60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71C1A5F"/>
    <w:multiLevelType w:val="multilevel"/>
    <w:tmpl w:val="BD70E214"/>
    <w:lvl w:ilvl="0">
      <w:start w:val="7"/>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EA097C"/>
    <w:multiLevelType w:val="multilevel"/>
    <w:tmpl w:val="4AEE1CAA"/>
    <w:lvl w:ilvl="0">
      <w:start w:val="1"/>
      <w:numFmt w:val="decimal"/>
      <w:pStyle w:val="ListNumber2"/>
      <w:lvlText w:val="%1."/>
      <w:lvlJc w:val="left"/>
      <w:pPr>
        <w:ind w:left="360" w:hanging="360"/>
      </w:pPr>
    </w:lvl>
    <w:lvl w:ilvl="1">
      <w:start w:val="1"/>
      <w:numFmt w:val="decimal"/>
      <w:pStyle w:val="11NumPara"/>
      <w:lvlText w:val="%1.%2."/>
      <w:lvlJc w:val="left"/>
      <w:pPr>
        <w:ind w:left="792" w:hanging="432"/>
      </w:pPr>
      <w:rPr>
        <w:rFonts w:asciiTheme="minorHAnsi" w:hAnsiTheme="minorHAnsi" w:cstheme="minorHAnsi" w:hint="default"/>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D55B0F"/>
    <w:multiLevelType w:val="multilevel"/>
    <w:tmpl w:val="E5965D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5"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127CE6"/>
    <w:multiLevelType w:val="multilevel"/>
    <w:tmpl w:val="8BFE0B5E"/>
    <w:lvl w:ilvl="0">
      <w:start w:val="4"/>
      <w:numFmt w:val="decimal"/>
      <w:lvlText w:val="%1"/>
      <w:lvlJc w:val="left"/>
      <w:pPr>
        <w:ind w:left="435" w:hanging="435"/>
      </w:pPr>
      <w:rPr>
        <w:rFonts w:ascii="Verdana" w:hAnsi="Verdana" w:hint="default"/>
        <w:b/>
      </w:rPr>
    </w:lvl>
    <w:lvl w:ilvl="1">
      <w:start w:val="7"/>
      <w:numFmt w:val="decimal"/>
      <w:lvlText w:val="%1.%2"/>
      <w:lvlJc w:val="left"/>
      <w:pPr>
        <w:ind w:left="435" w:hanging="435"/>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720" w:hanging="72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080" w:hanging="108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440" w:hanging="144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17" w15:restartNumberingAfterBreak="0">
    <w:nsid w:val="39A82621"/>
    <w:multiLevelType w:val="multilevel"/>
    <w:tmpl w:val="EDFEB378"/>
    <w:lvl w:ilvl="0">
      <w:start w:val="8"/>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BA85FD0"/>
    <w:multiLevelType w:val="multilevel"/>
    <w:tmpl w:val="CF5C930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380DD8"/>
    <w:multiLevelType w:val="multilevel"/>
    <w:tmpl w:val="92F41372"/>
    <w:lvl w:ilvl="0">
      <w:start w:val="9"/>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36B3467"/>
    <w:multiLevelType w:val="multilevel"/>
    <w:tmpl w:val="08F6299C"/>
    <w:lvl w:ilvl="0">
      <w:start w:val="7"/>
      <w:numFmt w:val="decimal"/>
      <w:lvlText w:val="%1"/>
      <w:lvlJc w:val="left"/>
      <w:pPr>
        <w:ind w:left="608" w:hanging="608"/>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4360A21"/>
    <w:multiLevelType w:val="multilevel"/>
    <w:tmpl w:val="9D0EBEF0"/>
    <w:lvl w:ilvl="0">
      <w:start w:val="1"/>
      <w:numFmt w:val="decimal"/>
      <w:lvlText w:val="%1.0"/>
      <w:lvlJc w:val="left"/>
      <w:pPr>
        <w:ind w:left="720" w:hanging="720"/>
      </w:pPr>
      <w:rPr>
        <w:b/>
      </w:rPr>
    </w:lvl>
    <w:lvl w:ilvl="1">
      <w:start w:val="1"/>
      <w:numFmt w:val="decimal"/>
      <w:lvlText w:val="%1.%2"/>
      <w:lvlJc w:val="left"/>
      <w:pPr>
        <w:ind w:left="6108"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23" w15:restartNumberingAfterBreak="0">
    <w:nsid w:val="48C855D1"/>
    <w:multiLevelType w:val="multilevel"/>
    <w:tmpl w:val="EDEE739E"/>
    <w:lvl w:ilvl="0">
      <w:start w:val="6"/>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A822312"/>
    <w:multiLevelType w:val="multilevel"/>
    <w:tmpl w:val="262A7A18"/>
    <w:lvl w:ilvl="0">
      <w:start w:val="4"/>
      <w:numFmt w:val="decimal"/>
      <w:lvlText w:val="%1"/>
      <w:lvlJc w:val="left"/>
      <w:pPr>
        <w:ind w:left="608" w:hanging="608"/>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3F2357"/>
    <w:multiLevelType w:val="multilevel"/>
    <w:tmpl w:val="CDDC30A2"/>
    <w:lvl w:ilvl="0">
      <w:start w:val="4"/>
      <w:numFmt w:val="decimal"/>
      <w:lvlText w:val="%1"/>
      <w:lvlJc w:val="left"/>
      <w:pPr>
        <w:ind w:left="608" w:hanging="608"/>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583F3B79"/>
    <w:multiLevelType w:val="multilevel"/>
    <w:tmpl w:val="876E1132"/>
    <w:lvl w:ilvl="0">
      <w:start w:val="5"/>
      <w:numFmt w:val="decimal"/>
      <w:lvlText w:val="%1.0"/>
      <w:lvlJc w:val="left"/>
      <w:pPr>
        <w:ind w:left="720" w:hanging="720"/>
      </w:pPr>
      <w:rPr>
        <w:rFonts w:ascii="Verdana" w:hAnsi="Verdana" w:hint="default"/>
        <w:b/>
        <w:i w:val="0"/>
        <w:sz w:val="30"/>
      </w:rPr>
    </w:lvl>
    <w:lvl w:ilvl="1">
      <w:start w:val="1"/>
      <w:numFmt w:val="decimal"/>
      <w:lvlText w:val="%1.%2"/>
      <w:lvlJc w:val="left"/>
      <w:pPr>
        <w:ind w:left="1440" w:hanging="720"/>
      </w:pPr>
      <w:rPr>
        <w:rFonts w:ascii="Verdana" w:hAnsi="Verdana" w:hint="default"/>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8" w15:restartNumberingAfterBreak="0">
    <w:nsid w:val="618215AA"/>
    <w:multiLevelType w:val="multilevel"/>
    <w:tmpl w:val="6DFE04B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9" w15:restartNumberingAfterBreak="0">
    <w:nsid w:val="62C72ACB"/>
    <w:multiLevelType w:val="multilevel"/>
    <w:tmpl w:val="F742384C"/>
    <w:lvl w:ilvl="0">
      <w:start w:val="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3E224E1"/>
    <w:multiLevelType w:val="multilevel"/>
    <w:tmpl w:val="06C07406"/>
    <w:lvl w:ilvl="0">
      <w:start w:val="4"/>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64D870B9"/>
    <w:multiLevelType w:val="multilevel"/>
    <w:tmpl w:val="5F0CA1F4"/>
    <w:lvl w:ilvl="0">
      <w:start w:val="6"/>
      <w:numFmt w:val="decimal"/>
      <w:lvlText w:val="%1"/>
      <w:lvlJc w:val="left"/>
      <w:pPr>
        <w:ind w:left="608" w:hanging="608"/>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66D4103C"/>
    <w:multiLevelType w:val="hybridMultilevel"/>
    <w:tmpl w:val="06BE17B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EA1BD8"/>
    <w:multiLevelType w:val="multilevel"/>
    <w:tmpl w:val="AAB43666"/>
    <w:lvl w:ilvl="0">
      <w:start w:val="4"/>
      <w:numFmt w:val="decimal"/>
      <w:lvlText w:val="%1"/>
      <w:lvlJc w:val="left"/>
      <w:pPr>
        <w:ind w:left="608" w:hanging="608"/>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A9B1D0E"/>
    <w:multiLevelType w:val="multilevel"/>
    <w:tmpl w:val="CCB00C36"/>
    <w:lvl w:ilvl="0">
      <w:start w:val="5"/>
      <w:numFmt w:val="decimal"/>
      <w:lvlText w:val="%1"/>
      <w:lvlJc w:val="left"/>
      <w:pPr>
        <w:ind w:left="435" w:hanging="43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3A4C65"/>
    <w:multiLevelType w:val="hybridMultilevel"/>
    <w:tmpl w:val="FD8C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2C46C4"/>
    <w:multiLevelType w:val="multilevel"/>
    <w:tmpl w:val="11621978"/>
    <w:lvl w:ilvl="0">
      <w:start w:val="9"/>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7A294D61"/>
    <w:multiLevelType w:val="multilevel"/>
    <w:tmpl w:val="7010A5A8"/>
    <w:lvl w:ilvl="0">
      <w:start w:val="3"/>
      <w:numFmt w:val="decimal"/>
      <w:lvlText w:val="%1"/>
      <w:lvlJc w:val="left"/>
      <w:pPr>
        <w:ind w:left="435" w:hanging="43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9"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5816B7"/>
    <w:multiLevelType w:val="multilevel"/>
    <w:tmpl w:val="8744D20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num w:numId="1" w16cid:durableId="2069961337">
    <w:abstractNumId w:val="25"/>
  </w:num>
  <w:num w:numId="2" w16cid:durableId="524516824">
    <w:abstractNumId w:val="39"/>
  </w:num>
  <w:num w:numId="3" w16cid:durableId="503283373">
    <w:abstractNumId w:val="6"/>
  </w:num>
  <w:num w:numId="4" w16cid:durableId="188418258">
    <w:abstractNumId w:val="15"/>
  </w:num>
  <w:num w:numId="5" w16cid:durableId="2019885781">
    <w:abstractNumId w:val="35"/>
  </w:num>
  <w:num w:numId="6" w16cid:durableId="1377579842">
    <w:abstractNumId w:val="9"/>
  </w:num>
  <w:num w:numId="7" w16cid:durableId="1797794945">
    <w:abstractNumId w:val="19"/>
  </w:num>
  <w:num w:numId="8" w16cid:durableId="1480877034">
    <w:abstractNumId w:val="12"/>
  </w:num>
  <w:num w:numId="9" w16cid:durableId="1640382528">
    <w:abstractNumId w:val="22"/>
  </w:num>
  <w:num w:numId="10" w16cid:durableId="971406211">
    <w:abstractNumId w:val="32"/>
  </w:num>
  <w:num w:numId="11" w16cid:durableId="1929346994">
    <w:abstractNumId w:val="4"/>
  </w:num>
  <w:num w:numId="12" w16cid:durableId="977689873">
    <w:abstractNumId w:val="3"/>
  </w:num>
  <w:num w:numId="13" w16cid:durableId="818572602">
    <w:abstractNumId w:val="8"/>
  </w:num>
  <w:num w:numId="14" w16cid:durableId="1922983369">
    <w:abstractNumId w:val="1"/>
  </w:num>
  <w:num w:numId="15" w16cid:durableId="1274705908">
    <w:abstractNumId w:val="36"/>
  </w:num>
  <w:num w:numId="16" w16cid:durableId="684134395">
    <w:abstractNumId w:val="18"/>
  </w:num>
  <w:num w:numId="17" w16cid:durableId="683629559">
    <w:abstractNumId w:val="27"/>
  </w:num>
  <w:num w:numId="18" w16cid:durableId="663238075">
    <w:abstractNumId w:val="0"/>
  </w:num>
  <w:num w:numId="19" w16cid:durableId="629239716">
    <w:abstractNumId w:val="14"/>
  </w:num>
  <w:num w:numId="20" w16cid:durableId="164831806">
    <w:abstractNumId w:val="28"/>
  </w:num>
  <w:num w:numId="21" w16cid:durableId="131335465">
    <w:abstractNumId w:val="13"/>
  </w:num>
  <w:num w:numId="22" w16cid:durableId="995692924">
    <w:abstractNumId w:val="40"/>
  </w:num>
  <w:num w:numId="23" w16cid:durableId="204371891">
    <w:abstractNumId w:val="29"/>
  </w:num>
  <w:num w:numId="24" w16cid:durableId="806434893">
    <w:abstractNumId w:val="38"/>
  </w:num>
  <w:num w:numId="25" w16cid:durableId="696811016">
    <w:abstractNumId w:val="16"/>
  </w:num>
  <w:num w:numId="26" w16cid:durableId="1414744650">
    <w:abstractNumId w:val="30"/>
  </w:num>
  <w:num w:numId="27" w16cid:durableId="513687846">
    <w:abstractNumId w:val="33"/>
  </w:num>
  <w:num w:numId="28" w16cid:durableId="499008467">
    <w:abstractNumId w:val="10"/>
  </w:num>
  <w:num w:numId="29" w16cid:durableId="512570772">
    <w:abstractNumId w:val="26"/>
  </w:num>
  <w:num w:numId="30" w16cid:durableId="1053235216">
    <w:abstractNumId w:val="24"/>
  </w:num>
  <w:num w:numId="31" w16cid:durableId="1944798625">
    <w:abstractNumId w:val="34"/>
  </w:num>
  <w:num w:numId="32" w16cid:durableId="1750887400">
    <w:abstractNumId w:val="23"/>
  </w:num>
  <w:num w:numId="33" w16cid:durableId="1435713567">
    <w:abstractNumId w:val="31"/>
  </w:num>
  <w:num w:numId="34" w16cid:durableId="1208369009">
    <w:abstractNumId w:val="5"/>
  </w:num>
  <w:num w:numId="35" w16cid:durableId="1750693102">
    <w:abstractNumId w:val="11"/>
  </w:num>
  <w:num w:numId="36" w16cid:durableId="1177427493">
    <w:abstractNumId w:val="21"/>
  </w:num>
  <w:num w:numId="37" w16cid:durableId="1053232695">
    <w:abstractNumId w:val="17"/>
  </w:num>
  <w:num w:numId="38" w16cid:durableId="783228521">
    <w:abstractNumId w:val="37"/>
  </w:num>
  <w:num w:numId="39" w16cid:durableId="705524635">
    <w:abstractNumId w:val="20"/>
  </w:num>
  <w:num w:numId="40" w16cid:durableId="1076780342">
    <w:abstractNumId w:val="7"/>
  </w:num>
  <w:num w:numId="41" w16cid:durableId="149837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89C"/>
    <w:rsid w:val="00000A12"/>
    <w:rsid w:val="00000FC3"/>
    <w:rsid w:val="00003381"/>
    <w:rsid w:val="000035D8"/>
    <w:rsid w:val="00005377"/>
    <w:rsid w:val="0000552B"/>
    <w:rsid w:val="00007024"/>
    <w:rsid w:val="00007858"/>
    <w:rsid w:val="00007B91"/>
    <w:rsid w:val="00016B20"/>
    <w:rsid w:val="0002007F"/>
    <w:rsid w:val="00024B45"/>
    <w:rsid w:val="0002613F"/>
    <w:rsid w:val="00032450"/>
    <w:rsid w:val="00032C62"/>
    <w:rsid w:val="00037CC9"/>
    <w:rsid w:val="00037D81"/>
    <w:rsid w:val="00042871"/>
    <w:rsid w:val="00042F86"/>
    <w:rsid w:val="000446E7"/>
    <w:rsid w:val="00046705"/>
    <w:rsid w:val="00047E03"/>
    <w:rsid w:val="000503C8"/>
    <w:rsid w:val="000516F1"/>
    <w:rsid w:val="00052042"/>
    <w:rsid w:val="0005379E"/>
    <w:rsid w:val="00055CA3"/>
    <w:rsid w:val="00056365"/>
    <w:rsid w:val="00056A10"/>
    <w:rsid w:val="00057808"/>
    <w:rsid w:val="000623DC"/>
    <w:rsid w:val="000722BF"/>
    <w:rsid w:val="00073296"/>
    <w:rsid w:val="000756A5"/>
    <w:rsid w:val="00077027"/>
    <w:rsid w:val="00081AF1"/>
    <w:rsid w:val="00086DFD"/>
    <w:rsid w:val="00092697"/>
    <w:rsid w:val="0009643A"/>
    <w:rsid w:val="000964F1"/>
    <w:rsid w:val="000A00EC"/>
    <w:rsid w:val="000A2C64"/>
    <w:rsid w:val="000A3822"/>
    <w:rsid w:val="000A4FF0"/>
    <w:rsid w:val="000A64AA"/>
    <w:rsid w:val="000A6701"/>
    <w:rsid w:val="000B083C"/>
    <w:rsid w:val="000B1224"/>
    <w:rsid w:val="000B3BFE"/>
    <w:rsid w:val="000B474F"/>
    <w:rsid w:val="000C106B"/>
    <w:rsid w:val="000C14BD"/>
    <w:rsid w:val="000C570E"/>
    <w:rsid w:val="000C5936"/>
    <w:rsid w:val="000C5DE7"/>
    <w:rsid w:val="000C5EED"/>
    <w:rsid w:val="000D1C35"/>
    <w:rsid w:val="000D6B50"/>
    <w:rsid w:val="000E1F61"/>
    <w:rsid w:val="000E4FBF"/>
    <w:rsid w:val="000E6638"/>
    <w:rsid w:val="000E7F0C"/>
    <w:rsid w:val="000F01CA"/>
    <w:rsid w:val="000F1433"/>
    <w:rsid w:val="000F407C"/>
    <w:rsid w:val="000F58F7"/>
    <w:rsid w:val="000F6872"/>
    <w:rsid w:val="000F7326"/>
    <w:rsid w:val="000F7CA8"/>
    <w:rsid w:val="00101CD4"/>
    <w:rsid w:val="00103E9D"/>
    <w:rsid w:val="00105B31"/>
    <w:rsid w:val="00106343"/>
    <w:rsid w:val="00110425"/>
    <w:rsid w:val="0011067E"/>
    <w:rsid w:val="00111926"/>
    <w:rsid w:val="00112FB3"/>
    <w:rsid w:val="00113D0C"/>
    <w:rsid w:val="00113ED6"/>
    <w:rsid w:val="00114CBE"/>
    <w:rsid w:val="00117706"/>
    <w:rsid w:val="001211F6"/>
    <w:rsid w:val="00127CB3"/>
    <w:rsid w:val="00132553"/>
    <w:rsid w:val="0013321F"/>
    <w:rsid w:val="00136EDB"/>
    <w:rsid w:val="001372C6"/>
    <w:rsid w:val="00137A0F"/>
    <w:rsid w:val="00137CC5"/>
    <w:rsid w:val="001421A5"/>
    <w:rsid w:val="0014306B"/>
    <w:rsid w:val="00144F50"/>
    <w:rsid w:val="0014672A"/>
    <w:rsid w:val="00150A53"/>
    <w:rsid w:val="0015582B"/>
    <w:rsid w:val="00155FF6"/>
    <w:rsid w:val="00155FF8"/>
    <w:rsid w:val="00156A5F"/>
    <w:rsid w:val="00157E7A"/>
    <w:rsid w:val="00162A60"/>
    <w:rsid w:val="001630ED"/>
    <w:rsid w:val="00170D44"/>
    <w:rsid w:val="001732B8"/>
    <w:rsid w:val="001732E9"/>
    <w:rsid w:val="00173E95"/>
    <w:rsid w:val="00175FAE"/>
    <w:rsid w:val="00177A3D"/>
    <w:rsid w:val="00180686"/>
    <w:rsid w:val="00181C9B"/>
    <w:rsid w:val="00185291"/>
    <w:rsid w:val="00186FD6"/>
    <w:rsid w:val="001907EA"/>
    <w:rsid w:val="00191F56"/>
    <w:rsid w:val="00192D68"/>
    <w:rsid w:val="00195CEC"/>
    <w:rsid w:val="00195FF5"/>
    <w:rsid w:val="001972A7"/>
    <w:rsid w:val="001A0948"/>
    <w:rsid w:val="001A0A3B"/>
    <w:rsid w:val="001A14FF"/>
    <w:rsid w:val="001A1F92"/>
    <w:rsid w:val="001A4B0D"/>
    <w:rsid w:val="001A6262"/>
    <w:rsid w:val="001A74CA"/>
    <w:rsid w:val="001B18E1"/>
    <w:rsid w:val="001B651E"/>
    <w:rsid w:val="001B6709"/>
    <w:rsid w:val="001B6A6C"/>
    <w:rsid w:val="001B7C3F"/>
    <w:rsid w:val="001D03E7"/>
    <w:rsid w:val="001D2AD9"/>
    <w:rsid w:val="001D431B"/>
    <w:rsid w:val="001D490B"/>
    <w:rsid w:val="001D5DFD"/>
    <w:rsid w:val="001D661C"/>
    <w:rsid w:val="001D7155"/>
    <w:rsid w:val="001D7EE7"/>
    <w:rsid w:val="001E05BB"/>
    <w:rsid w:val="001E1045"/>
    <w:rsid w:val="001E1839"/>
    <w:rsid w:val="001E247F"/>
    <w:rsid w:val="001E6EA9"/>
    <w:rsid w:val="001E79A9"/>
    <w:rsid w:val="001F02A1"/>
    <w:rsid w:val="001F317E"/>
    <w:rsid w:val="001F5042"/>
    <w:rsid w:val="001F5B9E"/>
    <w:rsid w:val="001F68DD"/>
    <w:rsid w:val="00201AA6"/>
    <w:rsid w:val="0020410D"/>
    <w:rsid w:val="00205A18"/>
    <w:rsid w:val="00212355"/>
    <w:rsid w:val="00213B8A"/>
    <w:rsid w:val="00213CB7"/>
    <w:rsid w:val="00213EC4"/>
    <w:rsid w:val="00214641"/>
    <w:rsid w:val="00216572"/>
    <w:rsid w:val="00220FD3"/>
    <w:rsid w:val="00222431"/>
    <w:rsid w:val="00222644"/>
    <w:rsid w:val="00224140"/>
    <w:rsid w:val="002250E1"/>
    <w:rsid w:val="0022726F"/>
    <w:rsid w:val="0023004A"/>
    <w:rsid w:val="00231099"/>
    <w:rsid w:val="00231C6A"/>
    <w:rsid w:val="00232444"/>
    <w:rsid w:val="002350F6"/>
    <w:rsid w:val="002351CB"/>
    <w:rsid w:val="00236508"/>
    <w:rsid w:val="0024253D"/>
    <w:rsid w:val="002428EC"/>
    <w:rsid w:val="00245151"/>
    <w:rsid w:val="00251BAE"/>
    <w:rsid w:val="0025204D"/>
    <w:rsid w:val="002529BB"/>
    <w:rsid w:val="00253260"/>
    <w:rsid w:val="002563F5"/>
    <w:rsid w:val="00256F9B"/>
    <w:rsid w:val="0027012F"/>
    <w:rsid w:val="002702C0"/>
    <w:rsid w:val="00270863"/>
    <w:rsid w:val="0027102D"/>
    <w:rsid w:val="00272ADE"/>
    <w:rsid w:val="002773A0"/>
    <w:rsid w:val="00277D93"/>
    <w:rsid w:val="00277DE9"/>
    <w:rsid w:val="00280C69"/>
    <w:rsid w:val="00280D1F"/>
    <w:rsid w:val="00285E0E"/>
    <w:rsid w:val="00287262"/>
    <w:rsid w:val="00287E7D"/>
    <w:rsid w:val="00293AC7"/>
    <w:rsid w:val="00293BF5"/>
    <w:rsid w:val="00295776"/>
    <w:rsid w:val="002A0041"/>
    <w:rsid w:val="002A3263"/>
    <w:rsid w:val="002A5025"/>
    <w:rsid w:val="002A59E7"/>
    <w:rsid w:val="002A68C5"/>
    <w:rsid w:val="002B1272"/>
    <w:rsid w:val="002B270F"/>
    <w:rsid w:val="002B7F8F"/>
    <w:rsid w:val="002C1185"/>
    <w:rsid w:val="002C301F"/>
    <w:rsid w:val="002C4980"/>
    <w:rsid w:val="002C5459"/>
    <w:rsid w:val="002C61F6"/>
    <w:rsid w:val="002C75A6"/>
    <w:rsid w:val="002D270D"/>
    <w:rsid w:val="002D6253"/>
    <w:rsid w:val="002E5FEB"/>
    <w:rsid w:val="002E6360"/>
    <w:rsid w:val="002E7183"/>
    <w:rsid w:val="002E7915"/>
    <w:rsid w:val="002F29C1"/>
    <w:rsid w:val="002F38CF"/>
    <w:rsid w:val="002F7B97"/>
    <w:rsid w:val="002F7D1D"/>
    <w:rsid w:val="00303860"/>
    <w:rsid w:val="00305658"/>
    <w:rsid w:val="00306187"/>
    <w:rsid w:val="00306317"/>
    <w:rsid w:val="00306E75"/>
    <w:rsid w:val="003079B2"/>
    <w:rsid w:val="00311F3C"/>
    <w:rsid w:val="00316EE2"/>
    <w:rsid w:val="003267B1"/>
    <w:rsid w:val="00326D90"/>
    <w:rsid w:val="003270DC"/>
    <w:rsid w:val="00327201"/>
    <w:rsid w:val="003272C7"/>
    <w:rsid w:val="00331499"/>
    <w:rsid w:val="00331C61"/>
    <w:rsid w:val="00331EDD"/>
    <w:rsid w:val="00341723"/>
    <w:rsid w:val="00341BFE"/>
    <w:rsid w:val="003429BF"/>
    <w:rsid w:val="00343799"/>
    <w:rsid w:val="003448BC"/>
    <w:rsid w:val="00345053"/>
    <w:rsid w:val="00350393"/>
    <w:rsid w:val="00351001"/>
    <w:rsid w:val="003512A8"/>
    <w:rsid w:val="00352301"/>
    <w:rsid w:val="003529BA"/>
    <w:rsid w:val="00353279"/>
    <w:rsid w:val="00354AA6"/>
    <w:rsid w:val="003560DB"/>
    <w:rsid w:val="00356DED"/>
    <w:rsid w:val="003647E4"/>
    <w:rsid w:val="00366ECE"/>
    <w:rsid w:val="003673AF"/>
    <w:rsid w:val="00367CCA"/>
    <w:rsid w:val="00371B6E"/>
    <w:rsid w:val="003731EE"/>
    <w:rsid w:val="003744E2"/>
    <w:rsid w:val="0037769D"/>
    <w:rsid w:val="0037772E"/>
    <w:rsid w:val="00381751"/>
    <w:rsid w:val="00382B9A"/>
    <w:rsid w:val="00383E95"/>
    <w:rsid w:val="00384E24"/>
    <w:rsid w:val="00386C88"/>
    <w:rsid w:val="003901AA"/>
    <w:rsid w:val="00394777"/>
    <w:rsid w:val="003949B2"/>
    <w:rsid w:val="003A040D"/>
    <w:rsid w:val="003A0C47"/>
    <w:rsid w:val="003A1985"/>
    <w:rsid w:val="003A282B"/>
    <w:rsid w:val="003A3BC5"/>
    <w:rsid w:val="003B2B3B"/>
    <w:rsid w:val="003B3CB8"/>
    <w:rsid w:val="003B7D0E"/>
    <w:rsid w:val="003C0275"/>
    <w:rsid w:val="003C0E42"/>
    <w:rsid w:val="003C66B8"/>
    <w:rsid w:val="003C73CF"/>
    <w:rsid w:val="003C760C"/>
    <w:rsid w:val="003D09D2"/>
    <w:rsid w:val="003D1290"/>
    <w:rsid w:val="003D26F1"/>
    <w:rsid w:val="003D29F5"/>
    <w:rsid w:val="003D2FA1"/>
    <w:rsid w:val="003D435E"/>
    <w:rsid w:val="003D4D7F"/>
    <w:rsid w:val="003E29A8"/>
    <w:rsid w:val="003E304E"/>
    <w:rsid w:val="003E3C77"/>
    <w:rsid w:val="003F25DF"/>
    <w:rsid w:val="003F2B6E"/>
    <w:rsid w:val="003F5994"/>
    <w:rsid w:val="003F7938"/>
    <w:rsid w:val="003F79E1"/>
    <w:rsid w:val="003F7A50"/>
    <w:rsid w:val="00401307"/>
    <w:rsid w:val="00402467"/>
    <w:rsid w:val="004041BA"/>
    <w:rsid w:val="00404829"/>
    <w:rsid w:val="00405810"/>
    <w:rsid w:val="00405FC8"/>
    <w:rsid w:val="00410316"/>
    <w:rsid w:val="00410380"/>
    <w:rsid w:val="004130F9"/>
    <w:rsid w:val="0041465E"/>
    <w:rsid w:val="0041731A"/>
    <w:rsid w:val="00426A2C"/>
    <w:rsid w:val="00427695"/>
    <w:rsid w:val="00430C39"/>
    <w:rsid w:val="0043101D"/>
    <w:rsid w:val="004364E2"/>
    <w:rsid w:val="004425AE"/>
    <w:rsid w:val="00447E19"/>
    <w:rsid w:val="00450645"/>
    <w:rsid w:val="00453BF4"/>
    <w:rsid w:val="0046151E"/>
    <w:rsid w:val="00463C89"/>
    <w:rsid w:val="00463D6B"/>
    <w:rsid w:val="004642C5"/>
    <w:rsid w:val="00466A2E"/>
    <w:rsid w:val="004672AC"/>
    <w:rsid w:val="00471C2A"/>
    <w:rsid w:val="004731BC"/>
    <w:rsid w:val="00475198"/>
    <w:rsid w:val="00476CE4"/>
    <w:rsid w:val="004772F0"/>
    <w:rsid w:val="0048013A"/>
    <w:rsid w:val="004813B4"/>
    <w:rsid w:val="004821A9"/>
    <w:rsid w:val="00482E2C"/>
    <w:rsid w:val="00485174"/>
    <w:rsid w:val="00486560"/>
    <w:rsid w:val="00487E12"/>
    <w:rsid w:val="00490027"/>
    <w:rsid w:val="00490310"/>
    <w:rsid w:val="00491831"/>
    <w:rsid w:val="00491B8C"/>
    <w:rsid w:val="00492D16"/>
    <w:rsid w:val="00493B6E"/>
    <w:rsid w:val="004A360A"/>
    <w:rsid w:val="004A40C8"/>
    <w:rsid w:val="004A4663"/>
    <w:rsid w:val="004A5F52"/>
    <w:rsid w:val="004A67A9"/>
    <w:rsid w:val="004B28B0"/>
    <w:rsid w:val="004C2841"/>
    <w:rsid w:val="004C3363"/>
    <w:rsid w:val="004C5BD5"/>
    <w:rsid w:val="004C6161"/>
    <w:rsid w:val="004E3E7F"/>
    <w:rsid w:val="004F1D15"/>
    <w:rsid w:val="004F1E6E"/>
    <w:rsid w:val="004F4CB7"/>
    <w:rsid w:val="004F5BBE"/>
    <w:rsid w:val="005038BE"/>
    <w:rsid w:val="00503ECB"/>
    <w:rsid w:val="005062AF"/>
    <w:rsid w:val="00506A04"/>
    <w:rsid w:val="00510C4B"/>
    <w:rsid w:val="005115AB"/>
    <w:rsid w:val="0051168D"/>
    <w:rsid w:val="00511A4B"/>
    <w:rsid w:val="00512FC8"/>
    <w:rsid w:val="005143B6"/>
    <w:rsid w:val="0051590E"/>
    <w:rsid w:val="0051686A"/>
    <w:rsid w:val="005210E5"/>
    <w:rsid w:val="005234DC"/>
    <w:rsid w:val="005240F6"/>
    <w:rsid w:val="00524825"/>
    <w:rsid w:val="00526A61"/>
    <w:rsid w:val="00526B7E"/>
    <w:rsid w:val="00534366"/>
    <w:rsid w:val="0053501F"/>
    <w:rsid w:val="00537A4A"/>
    <w:rsid w:val="005403BD"/>
    <w:rsid w:val="00540698"/>
    <w:rsid w:val="0054266F"/>
    <w:rsid w:val="00543009"/>
    <w:rsid w:val="00546111"/>
    <w:rsid w:val="005509F7"/>
    <w:rsid w:val="00551525"/>
    <w:rsid w:val="0055212A"/>
    <w:rsid w:val="00552293"/>
    <w:rsid w:val="005577B1"/>
    <w:rsid w:val="00557C59"/>
    <w:rsid w:val="00563F59"/>
    <w:rsid w:val="00565055"/>
    <w:rsid w:val="005651FC"/>
    <w:rsid w:val="00566574"/>
    <w:rsid w:val="005722EF"/>
    <w:rsid w:val="00572A6F"/>
    <w:rsid w:val="00572CCE"/>
    <w:rsid w:val="00573E2D"/>
    <w:rsid w:val="005745AA"/>
    <w:rsid w:val="00575D6C"/>
    <w:rsid w:val="00575D94"/>
    <w:rsid w:val="0057665E"/>
    <w:rsid w:val="005770A4"/>
    <w:rsid w:val="005773A8"/>
    <w:rsid w:val="00583C1E"/>
    <w:rsid w:val="0058676D"/>
    <w:rsid w:val="00590238"/>
    <w:rsid w:val="00590E59"/>
    <w:rsid w:val="00591306"/>
    <w:rsid w:val="00591C9B"/>
    <w:rsid w:val="005922DA"/>
    <w:rsid w:val="00592D28"/>
    <w:rsid w:val="005940B0"/>
    <w:rsid w:val="00594870"/>
    <w:rsid w:val="0059491C"/>
    <w:rsid w:val="0059622C"/>
    <w:rsid w:val="005962B4"/>
    <w:rsid w:val="005A00C4"/>
    <w:rsid w:val="005A2C41"/>
    <w:rsid w:val="005A3D59"/>
    <w:rsid w:val="005A6599"/>
    <w:rsid w:val="005A6887"/>
    <w:rsid w:val="005A6A83"/>
    <w:rsid w:val="005B143B"/>
    <w:rsid w:val="005B37AF"/>
    <w:rsid w:val="005B6239"/>
    <w:rsid w:val="005B6C1B"/>
    <w:rsid w:val="005B723E"/>
    <w:rsid w:val="005C01B9"/>
    <w:rsid w:val="005C2BFF"/>
    <w:rsid w:val="005C3161"/>
    <w:rsid w:val="005C3767"/>
    <w:rsid w:val="005C42D9"/>
    <w:rsid w:val="005C7911"/>
    <w:rsid w:val="005E057C"/>
    <w:rsid w:val="005E509D"/>
    <w:rsid w:val="005F01F4"/>
    <w:rsid w:val="005F2DEE"/>
    <w:rsid w:val="005F72A1"/>
    <w:rsid w:val="005F7D22"/>
    <w:rsid w:val="00601E2B"/>
    <w:rsid w:val="00605565"/>
    <w:rsid w:val="00617C00"/>
    <w:rsid w:val="00622708"/>
    <w:rsid w:val="00622FC4"/>
    <w:rsid w:val="0062562E"/>
    <w:rsid w:val="00625DAD"/>
    <w:rsid w:val="00627DB0"/>
    <w:rsid w:val="00630953"/>
    <w:rsid w:val="006324EA"/>
    <w:rsid w:val="006333C3"/>
    <w:rsid w:val="00633EB5"/>
    <w:rsid w:val="00633FC1"/>
    <w:rsid w:val="0063476D"/>
    <w:rsid w:val="006348D7"/>
    <w:rsid w:val="00636887"/>
    <w:rsid w:val="006428ED"/>
    <w:rsid w:val="0064497E"/>
    <w:rsid w:val="00646C1A"/>
    <w:rsid w:val="0065076A"/>
    <w:rsid w:val="0065182A"/>
    <w:rsid w:val="0065545E"/>
    <w:rsid w:val="00656C1E"/>
    <w:rsid w:val="00656ECD"/>
    <w:rsid w:val="00657CA3"/>
    <w:rsid w:val="00661172"/>
    <w:rsid w:val="00665CBA"/>
    <w:rsid w:val="00670198"/>
    <w:rsid w:val="006757A9"/>
    <w:rsid w:val="00681244"/>
    <w:rsid w:val="0068260C"/>
    <w:rsid w:val="006833DD"/>
    <w:rsid w:val="00684421"/>
    <w:rsid w:val="006911D2"/>
    <w:rsid w:val="00691EE2"/>
    <w:rsid w:val="006926F1"/>
    <w:rsid w:val="00693108"/>
    <w:rsid w:val="00695E8B"/>
    <w:rsid w:val="00697A82"/>
    <w:rsid w:val="006A1EFD"/>
    <w:rsid w:val="006A7CFE"/>
    <w:rsid w:val="006B2C05"/>
    <w:rsid w:val="006B340D"/>
    <w:rsid w:val="006B7161"/>
    <w:rsid w:val="006C23BC"/>
    <w:rsid w:val="006C41C0"/>
    <w:rsid w:val="006C5461"/>
    <w:rsid w:val="006D0D81"/>
    <w:rsid w:val="006D336A"/>
    <w:rsid w:val="006D51B9"/>
    <w:rsid w:val="006D53FA"/>
    <w:rsid w:val="006D58F9"/>
    <w:rsid w:val="006D63F9"/>
    <w:rsid w:val="006D6548"/>
    <w:rsid w:val="006D7023"/>
    <w:rsid w:val="006E2BC8"/>
    <w:rsid w:val="006E32B2"/>
    <w:rsid w:val="006E5126"/>
    <w:rsid w:val="006E5DA0"/>
    <w:rsid w:val="006E6602"/>
    <w:rsid w:val="006E6725"/>
    <w:rsid w:val="006F2696"/>
    <w:rsid w:val="006F2741"/>
    <w:rsid w:val="006F76C9"/>
    <w:rsid w:val="0070154B"/>
    <w:rsid w:val="0070194F"/>
    <w:rsid w:val="00701A96"/>
    <w:rsid w:val="00705833"/>
    <w:rsid w:val="00714778"/>
    <w:rsid w:val="007162AC"/>
    <w:rsid w:val="00716EF9"/>
    <w:rsid w:val="00721DAA"/>
    <w:rsid w:val="00724CB5"/>
    <w:rsid w:val="0072510E"/>
    <w:rsid w:val="0072675B"/>
    <w:rsid w:val="00732180"/>
    <w:rsid w:val="00734C1F"/>
    <w:rsid w:val="00735C9E"/>
    <w:rsid w:val="00740F1C"/>
    <w:rsid w:val="007456EF"/>
    <w:rsid w:val="00745BC9"/>
    <w:rsid w:val="00747728"/>
    <w:rsid w:val="007537D7"/>
    <w:rsid w:val="00754538"/>
    <w:rsid w:val="007569C1"/>
    <w:rsid w:val="00760189"/>
    <w:rsid w:val="007601D7"/>
    <w:rsid w:val="00760551"/>
    <w:rsid w:val="007610BD"/>
    <w:rsid w:val="00761C8C"/>
    <w:rsid w:val="00763E13"/>
    <w:rsid w:val="00763F32"/>
    <w:rsid w:val="00766306"/>
    <w:rsid w:val="007670AC"/>
    <w:rsid w:val="00767F2D"/>
    <w:rsid w:val="00770AA5"/>
    <w:rsid w:val="00770B44"/>
    <w:rsid w:val="007716AB"/>
    <w:rsid w:val="00773B61"/>
    <w:rsid w:val="00774F81"/>
    <w:rsid w:val="0077515E"/>
    <w:rsid w:val="00776A70"/>
    <w:rsid w:val="00777E2A"/>
    <w:rsid w:val="00783A3C"/>
    <w:rsid w:val="00797592"/>
    <w:rsid w:val="00797829"/>
    <w:rsid w:val="00797D54"/>
    <w:rsid w:val="007A0B9F"/>
    <w:rsid w:val="007A2DC1"/>
    <w:rsid w:val="007A452C"/>
    <w:rsid w:val="007A7E98"/>
    <w:rsid w:val="007B00A5"/>
    <w:rsid w:val="007B5330"/>
    <w:rsid w:val="007B64CE"/>
    <w:rsid w:val="007B6B3A"/>
    <w:rsid w:val="007B7EB5"/>
    <w:rsid w:val="007C0760"/>
    <w:rsid w:val="007C0C94"/>
    <w:rsid w:val="007C180F"/>
    <w:rsid w:val="007C194C"/>
    <w:rsid w:val="007C3370"/>
    <w:rsid w:val="007D494F"/>
    <w:rsid w:val="007E02BA"/>
    <w:rsid w:val="007E1B7D"/>
    <w:rsid w:val="007E2781"/>
    <w:rsid w:val="007E27BE"/>
    <w:rsid w:val="007E339E"/>
    <w:rsid w:val="007E347E"/>
    <w:rsid w:val="007E3D6D"/>
    <w:rsid w:val="007E4F2D"/>
    <w:rsid w:val="007E5AD8"/>
    <w:rsid w:val="007E5E30"/>
    <w:rsid w:val="007E7F4B"/>
    <w:rsid w:val="007F01F8"/>
    <w:rsid w:val="007F266D"/>
    <w:rsid w:val="007F2A9B"/>
    <w:rsid w:val="007F3086"/>
    <w:rsid w:val="007F7131"/>
    <w:rsid w:val="008002C5"/>
    <w:rsid w:val="00801600"/>
    <w:rsid w:val="008025B2"/>
    <w:rsid w:val="00811F85"/>
    <w:rsid w:val="0081280E"/>
    <w:rsid w:val="00812D47"/>
    <w:rsid w:val="00813BC7"/>
    <w:rsid w:val="00813E67"/>
    <w:rsid w:val="00815276"/>
    <w:rsid w:val="008159E8"/>
    <w:rsid w:val="00825D9F"/>
    <w:rsid w:val="008268FC"/>
    <w:rsid w:val="00830105"/>
    <w:rsid w:val="00830D46"/>
    <w:rsid w:val="00833544"/>
    <w:rsid w:val="00836015"/>
    <w:rsid w:val="00836607"/>
    <w:rsid w:val="00836964"/>
    <w:rsid w:val="00840680"/>
    <w:rsid w:val="008411CF"/>
    <w:rsid w:val="00841C9E"/>
    <w:rsid w:val="00842206"/>
    <w:rsid w:val="008513B4"/>
    <w:rsid w:val="00855C89"/>
    <w:rsid w:val="00856082"/>
    <w:rsid w:val="00856759"/>
    <w:rsid w:val="008649D9"/>
    <w:rsid w:val="0086538A"/>
    <w:rsid w:val="008673E3"/>
    <w:rsid w:val="00867EB7"/>
    <w:rsid w:val="0087161B"/>
    <w:rsid w:val="00872187"/>
    <w:rsid w:val="00873CF5"/>
    <w:rsid w:val="00875E68"/>
    <w:rsid w:val="008805DC"/>
    <w:rsid w:val="00881F2C"/>
    <w:rsid w:val="00885895"/>
    <w:rsid w:val="00886AF7"/>
    <w:rsid w:val="008875FB"/>
    <w:rsid w:val="00895BB0"/>
    <w:rsid w:val="00895DDA"/>
    <w:rsid w:val="0089676C"/>
    <w:rsid w:val="00896EBD"/>
    <w:rsid w:val="00897A1C"/>
    <w:rsid w:val="008A22F6"/>
    <w:rsid w:val="008A3B6E"/>
    <w:rsid w:val="008A44BC"/>
    <w:rsid w:val="008A4879"/>
    <w:rsid w:val="008A4C43"/>
    <w:rsid w:val="008A4D6E"/>
    <w:rsid w:val="008A5132"/>
    <w:rsid w:val="008B0145"/>
    <w:rsid w:val="008B1307"/>
    <w:rsid w:val="008B16FB"/>
    <w:rsid w:val="008B2B75"/>
    <w:rsid w:val="008B3245"/>
    <w:rsid w:val="008B3D84"/>
    <w:rsid w:val="008B5FC0"/>
    <w:rsid w:val="008B631F"/>
    <w:rsid w:val="008C3FBE"/>
    <w:rsid w:val="008C5D97"/>
    <w:rsid w:val="008C6EE8"/>
    <w:rsid w:val="008C7DE7"/>
    <w:rsid w:val="008D1671"/>
    <w:rsid w:val="008D168D"/>
    <w:rsid w:val="008D1F47"/>
    <w:rsid w:val="008D25C3"/>
    <w:rsid w:val="008D2A6A"/>
    <w:rsid w:val="008D4361"/>
    <w:rsid w:val="008D748C"/>
    <w:rsid w:val="008D7C32"/>
    <w:rsid w:val="008E1D09"/>
    <w:rsid w:val="008E54E7"/>
    <w:rsid w:val="008F2106"/>
    <w:rsid w:val="008F2A2F"/>
    <w:rsid w:val="008F3D65"/>
    <w:rsid w:val="008F4CD8"/>
    <w:rsid w:val="008F5BB4"/>
    <w:rsid w:val="009004E2"/>
    <w:rsid w:val="00903988"/>
    <w:rsid w:val="00907C17"/>
    <w:rsid w:val="00914A71"/>
    <w:rsid w:val="009163B2"/>
    <w:rsid w:val="009217EC"/>
    <w:rsid w:val="00921F74"/>
    <w:rsid w:val="00921F79"/>
    <w:rsid w:val="009240CF"/>
    <w:rsid w:val="00924587"/>
    <w:rsid w:val="0092650E"/>
    <w:rsid w:val="00930104"/>
    <w:rsid w:val="0093165B"/>
    <w:rsid w:val="00933629"/>
    <w:rsid w:val="009350C4"/>
    <w:rsid w:val="009351CC"/>
    <w:rsid w:val="00937B9A"/>
    <w:rsid w:val="00940AB5"/>
    <w:rsid w:val="00940CD2"/>
    <w:rsid w:val="0094148E"/>
    <w:rsid w:val="00942751"/>
    <w:rsid w:val="0094316A"/>
    <w:rsid w:val="0094405D"/>
    <w:rsid w:val="00945278"/>
    <w:rsid w:val="009522B9"/>
    <w:rsid w:val="009537B5"/>
    <w:rsid w:val="00954416"/>
    <w:rsid w:val="00954BB2"/>
    <w:rsid w:val="009625CF"/>
    <w:rsid w:val="00962B2B"/>
    <w:rsid w:val="009632B1"/>
    <w:rsid w:val="0096459E"/>
    <w:rsid w:val="0096484B"/>
    <w:rsid w:val="00964F8D"/>
    <w:rsid w:val="00965261"/>
    <w:rsid w:val="00965B64"/>
    <w:rsid w:val="00966A29"/>
    <w:rsid w:val="00967B03"/>
    <w:rsid w:val="00972577"/>
    <w:rsid w:val="0097396E"/>
    <w:rsid w:val="00974B56"/>
    <w:rsid w:val="00975547"/>
    <w:rsid w:val="009819A4"/>
    <w:rsid w:val="00984DA1"/>
    <w:rsid w:val="00985508"/>
    <w:rsid w:val="00986A0C"/>
    <w:rsid w:val="009908AE"/>
    <w:rsid w:val="00990ECE"/>
    <w:rsid w:val="00991F97"/>
    <w:rsid w:val="0099231E"/>
    <w:rsid w:val="0099467A"/>
    <w:rsid w:val="00997A34"/>
    <w:rsid w:val="009A29E4"/>
    <w:rsid w:val="009A418D"/>
    <w:rsid w:val="009A45D3"/>
    <w:rsid w:val="009A674C"/>
    <w:rsid w:val="009A72BD"/>
    <w:rsid w:val="009B05DB"/>
    <w:rsid w:val="009B393A"/>
    <w:rsid w:val="009B3B98"/>
    <w:rsid w:val="009B43B0"/>
    <w:rsid w:val="009B71B2"/>
    <w:rsid w:val="009B78CD"/>
    <w:rsid w:val="009C034F"/>
    <w:rsid w:val="009C1907"/>
    <w:rsid w:val="009C1C3A"/>
    <w:rsid w:val="009C3944"/>
    <w:rsid w:val="009C3B22"/>
    <w:rsid w:val="009C4478"/>
    <w:rsid w:val="009C4CFF"/>
    <w:rsid w:val="009C6AEE"/>
    <w:rsid w:val="009D74AD"/>
    <w:rsid w:val="009E067D"/>
    <w:rsid w:val="009E37C7"/>
    <w:rsid w:val="009E4F5C"/>
    <w:rsid w:val="009E61A6"/>
    <w:rsid w:val="009F0BB7"/>
    <w:rsid w:val="009F2687"/>
    <w:rsid w:val="009F300C"/>
    <w:rsid w:val="009F557E"/>
    <w:rsid w:val="00A03816"/>
    <w:rsid w:val="00A03AF1"/>
    <w:rsid w:val="00A070E2"/>
    <w:rsid w:val="00A106F1"/>
    <w:rsid w:val="00A11D78"/>
    <w:rsid w:val="00A14180"/>
    <w:rsid w:val="00A142C0"/>
    <w:rsid w:val="00A14CA6"/>
    <w:rsid w:val="00A165A7"/>
    <w:rsid w:val="00A172F2"/>
    <w:rsid w:val="00A22A2B"/>
    <w:rsid w:val="00A23573"/>
    <w:rsid w:val="00A24D0B"/>
    <w:rsid w:val="00A255AC"/>
    <w:rsid w:val="00A258EA"/>
    <w:rsid w:val="00A31ACC"/>
    <w:rsid w:val="00A33337"/>
    <w:rsid w:val="00A349F7"/>
    <w:rsid w:val="00A3643D"/>
    <w:rsid w:val="00A44516"/>
    <w:rsid w:val="00A46BD3"/>
    <w:rsid w:val="00A47FA1"/>
    <w:rsid w:val="00A50506"/>
    <w:rsid w:val="00A51CDA"/>
    <w:rsid w:val="00A531E1"/>
    <w:rsid w:val="00A60254"/>
    <w:rsid w:val="00A610FE"/>
    <w:rsid w:val="00A66E39"/>
    <w:rsid w:val="00A66EC6"/>
    <w:rsid w:val="00A66ECD"/>
    <w:rsid w:val="00A67522"/>
    <w:rsid w:val="00A704E1"/>
    <w:rsid w:val="00A709D9"/>
    <w:rsid w:val="00A7221E"/>
    <w:rsid w:val="00A737BE"/>
    <w:rsid w:val="00A73C55"/>
    <w:rsid w:val="00A741E5"/>
    <w:rsid w:val="00A743C4"/>
    <w:rsid w:val="00A76F76"/>
    <w:rsid w:val="00A77D0C"/>
    <w:rsid w:val="00A80CF6"/>
    <w:rsid w:val="00A85C44"/>
    <w:rsid w:val="00A86303"/>
    <w:rsid w:val="00A90321"/>
    <w:rsid w:val="00A92914"/>
    <w:rsid w:val="00AA0CFE"/>
    <w:rsid w:val="00AA2738"/>
    <w:rsid w:val="00AA2878"/>
    <w:rsid w:val="00AA4B2C"/>
    <w:rsid w:val="00AA5CDC"/>
    <w:rsid w:val="00AB004B"/>
    <w:rsid w:val="00AC1BB9"/>
    <w:rsid w:val="00AC469A"/>
    <w:rsid w:val="00AC5865"/>
    <w:rsid w:val="00AD0300"/>
    <w:rsid w:val="00AD155B"/>
    <w:rsid w:val="00AD17D2"/>
    <w:rsid w:val="00AD200E"/>
    <w:rsid w:val="00AD3AAA"/>
    <w:rsid w:val="00AD4C56"/>
    <w:rsid w:val="00AD58F8"/>
    <w:rsid w:val="00AE24DF"/>
    <w:rsid w:val="00AE2705"/>
    <w:rsid w:val="00AE3438"/>
    <w:rsid w:val="00AE5A99"/>
    <w:rsid w:val="00AE681D"/>
    <w:rsid w:val="00AE70F6"/>
    <w:rsid w:val="00AE75D2"/>
    <w:rsid w:val="00AF1759"/>
    <w:rsid w:val="00AF26E2"/>
    <w:rsid w:val="00AF3BA1"/>
    <w:rsid w:val="00AF570B"/>
    <w:rsid w:val="00AF77DE"/>
    <w:rsid w:val="00B020A5"/>
    <w:rsid w:val="00B03BAC"/>
    <w:rsid w:val="00B03C77"/>
    <w:rsid w:val="00B06EF7"/>
    <w:rsid w:val="00B2047E"/>
    <w:rsid w:val="00B20A42"/>
    <w:rsid w:val="00B2314D"/>
    <w:rsid w:val="00B237C0"/>
    <w:rsid w:val="00B23B30"/>
    <w:rsid w:val="00B3396F"/>
    <w:rsid w:val="00B342C5"/>
    <w:rsid w:val="00B357E1"/>
    <w:rsid w:val="00B358F7"/>
    <w:rsid w:val="00B3594F"/>
    <w:rsid w:val="00B3597F"/>
    <w:rsid w:val="00B42825"/>
    <w:rsid w:val="00B42B11"/>
    <w:rsid w:val="00B4397B"/>
    <w:rsid w:val="00B4415C"/>
    <w:rsid w:val="00B46AA0"/>
    <w:rsid w:val="00B50D6A"/>
    <w:rsid w:val="00B51993"/>
    <w:rsid w:val="00B52789"/>
    <w:rsid w:val="00B53083"/>
    <w:rsid w:val="00B53F85"/>
    <w:rsid w:val="00B554ED"/>
    <w:rsid w:val="00B56194"/>
    <w:rsid w:val="00B6056E"/>
    <w:rsid w:val="00B61651"/>
    <w:rsid w:val="00B62A13"/>
    <w:rsid w:val="00B63112"/>
    <w:rsid w:val="00B63F7E"/>
    <w:rsid w:val="00B64016"/>
    <w:rsid w:val="00B64AD9"/>
    <w:rsid w:val="00B671B2"/>
    <w:rsid w:val="00B7267D"/>
    <w:rsid w:val="00B72BEF"/>
    <w:rsid w:val="00B72EEA"/>
    <w:rsid w:val="00B8154B"/>
    <w:rsid w:val="00B819D3"/>
    <w:rsid w:val="00B82217"/>
    <w:rsid w:val="00B82CA3"/>
    <w:rsid w:val="00B83067"/>
    <w:rsid w:val="00B83B1C"/>
    <w:rsid w:val="00B84DB3"/>
    <w:rsid w:val="00B85C55"/>
    <w:rsid w:val="00B860D3"/>
    <w:rsid w:val="00B861C7"/>
    <w:rsid w:val="00B867EF"/>
    <w:rsid w:val="00B90300"/>
    <w:rsid w:val="00B912E9"/>
    <w:rsid w:val="00B92A2B"/>
    <w:rsid w:val="00B96183"/>
    <w:rsid w:val="00B96D34"/>
    <w:rsid w:val="00B97C4D"/>
    <w:rsid w:val="00BA1820"/>
    <w:rsid w:val="00BA1EBB"/>
    <w:rsid w:val="00BA2EC4"/>
    <w:rsid w:val="00BA5FC1"/>
    <w:rsid w:val="00BC39AE"/>
    <w:rsid w:val="00BD251D"/>
    <w:rsid w:val="00BD377F"/>
    <w:rsid w:val="00BD402D"/>
    <w:rsid w:val="00BD567E"/>
    <w:rsid w:val="00BE5849"/>
    <w:rsid w:val="00BE5EF3"/>
    <w:rsid w:val="00BE7C53"/>
    <w:rsid w:val="00BF289F"/>
    <w:rsid w:val="00BF4B20"/>
    <w:rsid w:val="00BF654B"/>
    <w:rsid w:val="00C00A32"/>
    <w:rsid w:val="00C016B4"/>
    <w:rsid w:val="00C03047"/>
    <w:rsid w:val="00C03739"/>
    <w:rsid w:val="00C15347"/>
    <w:rsid w:val="00C15948"/>
    <w:rsid w:val="00C15A7B"/>
    <w:rsid w:val="00C1642E"/>
    <w:rsid w:val="00C17771"/>
    <w:rsid w:val="00C20258"/>
    <w:rsid w:val="00C2117A"/>
    <w:rsid w:val="00C21242"/>
    <w:rsid w:val="00C23B05"/>
    <w:rsid w:val="00C2725D"/>
    <w:rsid w:val="00C2792E"/>
    <w:rsid w:val="00C306AC"/>
    <w:rsid w:val="00C31C97"/>
    <w:rsid w:val="00C3254A"/>
    <w:rsid w:val="00C32F1C"/>
    <w:rsid w:val="00C35245"/>
    <w:rsid w:val="00C35799"/>
    <w:rsid w:val="00C357EB"/>
    <w:rsid w:val="00C371F4"/>
    <w:rsid w:val="00C40D93"/>
    <w:rsid w:val="00C42AD2"/>
    <w:rsid w:val="00C46C7F"/>
    <w:rsid w:val="00C50272"/>
    <w:rsid w:val="00C54893"/>
    <w:rsid w:val="00C567D3"/>
    <w:rsid w:val="00C65235"/>
    <w:rsid w:val="00C659E5"/>
    <w:rsid w:val="00C673E0"/>
    <w:rsid w:val="00C72E04"/>
    <w:rsid w:val="00C732AD"/>
    <w:rsid w:val="00C76D19"/>
    <w:rsid w:val="00C76E49"/>
    <w:rsid w:val="00C8303D"/>
    <w:rsid w:val="00C93A71"/>
    <w:rsid w:val="00C93AE0"/>
    <w:rsid w:val="00C93F4A"/>
    <w:rsid w:val="00C948CD"/>
    <w:rsid w:val="00C95C23"/>
    <w:rsid w:val="00C95E44"/>
    <w:rsid w:val="00CA0209"/>
    <w:rsid w:val="00CA08C2"/>
    <w:rsid w:val="00CA4494"/>
    <w:rsid w:val="00CA482A"/>
    <w:rsid w:val="00CB2828"/>
    <w:rsid w:val="00CB55A6"/>
    <w:rsid w:val="00CC0CF3"/>
    <w:rsid w:val="00CC12FF"/>
    <w:rsid w:val="00CD0015"/>
    <w:rsid w:val="00CD06D5"/>
    <w:rsid w:val="00CD3DFE"/>
    <w:rsid w:val="00CD5871"/>
    <w:rsid w:val="00CD6124"/>
    <w:rsid w:val="00CD71A2"/>
    <w:rsid w:val="00CE3039"/>
    <w:rsid w:val="00CE547C"/>
    <w:rsid w:val="00CE6C61"/>
    <w:rsid w:val="00CE7C0B"/>
    <w:rsid w:val="00CF0261"/>
    <w:rsid w:val="00CF0CBD"/>
    <w:rsid w:val="00CF379E"/>
    <w:rsid w:val="00CF483A"/>
    <w:rsid w:val="00CF74ED"/>
    <w:rsid w:val="00CF7C28"/>
    <w:rsid w:val="00D0029A"/>
    <w:rsid w:val="00D03068"/>
    <w:rsid w:val="00D03711"/>
    <w:rsid w:val="00D046CB"/>
    <w:rsid w:val="00D04F25"/>
    <w:rsid w:val="00D05E7E"/>
    <w:rsid w:val="00D06BD8"/>
    <w:rsid w:val="00D12334"/>
    <w:rsid w:val="00D12EF8"/>
    <w:rsid w:val="00D16532"/>
    <w:rsid w:val="00D2040B"/>
    <w:rsid w:val="00D2229C"/>
    <w:rsid w:val="00D22428"/>
    <w:rsid w:val="00D239E2"/>
    <w:rsid w:val="00D2770F"/>
    <w:rsid w:val="00D31CFB"/>
    <w:rsid w:val="00D340E3"/>
    <w:rsid w:val="00D34272"/>
    <w:rsid w:val="00D349D3"/>
    <w:rsid w:val="00D35844"/>
    <w:rsid w:val="00D36DD0"/>
    <w:rsid w:val="00D411E4"/>
    <w:rsid w:val="00D427CE"/>
    <w:rsid w:val="00D42FD6"/>
    <w:rsid w:val="00D434DD"/>
    <w:rsid w:val="00D44954"/>
    <w:rsid w:val="00D44FDA"/>
    <w:rsid w:val="00D45ED4"/>
    <w:rsid w:val="00D47344"/>
    <w:rsid w:val="00D47B3B"/>
    <w:rsid w:val="00D53293"/>
    <w:rsid w:val="00D5445D"/>
    <w:rsid w:val="00D54EA6"/>
    <w:rsid w:val="00D5567A"/>
    <w:rsid w:val="00D6217D"/>
    <w:rsid w:val="00D622D7"/>
    <w:rsid w:val="00D62541"/>
    <w:rsid w:val="00D628CE"/>
    <w:rsid w:val="00D6407C"/>
    <w:rsid w:val="00D6459F"/>
    <w:rsid w:val="00D6492F"/>
    <w:rsid w:val="00D64B4D"/>
    <w:rsid w:val="00D6624D"/>
    <w:rsid w:val="00D707D5"/>
    <w:rsid w:val="00D725D7"/>
    <w:rsid w:val="00D76946"/>
    <w:rsid w:val="00D838D8"/>
    <w:rsid w:val="00D8429F"/>
    <w:rsid w:val="00D92D20"/>
    <w:rsid w:val="00D93FD8"/>
    <w:rsid w:val="00D9580A"/>
    <w:rsid w:val="00DA0823"/>
    <w:rsid w:val="00DA08BC"/>
    <w:rsid w:val="00DA22AB"/>
    <w:rsid w:val="00DA2F64"/>
    <w:rsid w:val="00DA4028"/>
    <w:rsid w:val="00DA4559"/>
    <w:rsid w:val="00DA7ADF"/>
    <w:rsid w:val="00DB2610"/>
    <w:rsid w:val="00DB2680"/>
    <w:rsid w:val="00DB26A2"/>
    <w:rsid w:val="00DB33D6"/>
    <w:rsid w:val="00DB3E52"/>
    <w:rsid w:val="00DB6B40"/>
    <w:rsid w:val="00DB754C"/>
    <w:rsid w:val="00DC2956"/>
    <w:rsid w:val="00DC2FEE"/>
    <w:rsid w:val="00DC30DF"/>
    <w:rsid w:val="00DC4CFE"/>
    <w:rsid w:val="00DD2736"/>
    <w:rsid w:val="00DD3A08"/>
    <w:rsid w:val="00DD45D0"/>
    <w:rsid w:val="00DD57DB"/>
    <w:rsid w:val="00DD6CA3"/>
    <w:rsid w:val="00DD7406"/>
    <w:rsid w:val="00DE11B1"/>
    <w:rsid w:val="00DE1A26"/>
    <w:rsid w:val="00DE24B9"/>
    <w:rsid w:val="00DE2980"/>
    <w:rsid w:val="00DE3606"/>
    <w:rsid w:val="00DE522A"/>
    <w:rsid w:val="00DE546C"/>
    <w:rsid w:val="00DE5F62"/>
    <w:rsid w:val="00DE65C0"/>
    <w:rsid w:val="00DF0C04"/>
    <w:rsid w:val="00DF1EBC"/>
    <w:rsid w:val="00DF3142"/>
    <w:rsid w:val="00DF7EE9"/>
    <w:rsid w:val="00E003AF"/>
    <w:rsid w:val="00E02D0F"/>
    <w:rsid w:val="00E03A81"/>
    <w:rsid w:val="00E03A82"/>
    <w:rsid w:val="00E03B98"/>
    <w:rsid w:val="00E04BC8"/>
    <w:rsid w:val="00E04BF9"/>
    <w:rsid w:val="00E06800"/>
    <w:rsid w:val="00E07B90"/>
    <w:rsid w:val="00E07F34"/>
    <w:rsid w:val="00E1209F"/>
    <w:rsid w:val="00E147CC"/>
    <w:rsid w:val="00E16498"/>
    <w:rsid w:val="00E20FA6"/>
    <w:rsid w:val="00E21958"/>
    <w:rsid w:val="00E21D5D"/>
    <w:rsid w:val="00E22401"/>
    <w:rsid w:val="00E41067"/>
    <w:rsid w:val="00E41152"/>
    <w:rsid w:val="00E42535"/>
    <w:rsid w:val="00E43A82"/>
    <w:rsid w:val="00E44231"/>
    <w:rsid w:val="00E44E70"/>
    <w:rsid w:val="00E452D7"/>
    <w:rsid w:val="00E45AC3"/>
    <w:rsid w:val="00E56D9D"/>
    <w:rsid w:val="00E57A2B"/>
    <w:rsid w:val="00E67FB4"/>
    <w:rsid w:val="00E7146B"/>
    <w:rsid w:val="00E7335B"/>
    <w:rsid w:val="00E73702"/>
    <w:rsid w:val="00E74398"/>
    <w:rsid w:val="00E75789"/>
    <w:rsid w:val="00E75C92"/>
    <w:rsid w:val="00E8041C"/>
    <w:rsid w:val="00E81D57"/>
    <w:rsid w:val="00E85F55"/>
    <w:rsid w:val="00E86445"/>
    <w:rsid w:val="00E9050C"/>
    <w:rsid w:val="00E90B77"/>
    <w:rsid w:val="00E9153D"/>
    <w:rsid w:val="00E94392"/>
    <w:rsid w:val="00EA02C2"/>
    <w:rsid w:val="00EA12CE"/>
    <w:rsid w:val="00EA1DE4"/>
    <w:rsid w:val="00EA2015"/>
    <w:rsid w:val="00EA2D04"/>
    <w:rsid w:val="00EA2E57"/>
    <w:rsid w:val="00EA2EB7"/>
    <w:rsid w:val="00EA77A3"/>
    <w:rsid w:val="00EB4E84"/>
    <w:rsid w:val="00EC1A77"/>
    <w:rsid w:val="00EC38A7"/>
    <w:rsid w:val="00EC45F2"/>
    <w:rsid w:val="00EC6375"/>
    <w:rsid w:val="00EC65C0"/>
    <w:rsid w:val="00EC6E11"/>
    <w:rsid w:val="00ED3A5E"/>
    <w:rsid w:val="00ED40E9"/>
    <w:rsid w:val="00ED5EA3"/>
    <w:rsid w:val="00ED7F9E"/>
    <w:rsid w:val="00EE4D87"/>
    <w:rsid w:val="00EE51B2"/>
    <w:rsid w:val="00EE6932"/>
    <w:rsid w:val="00EE787E"/>
    <w:rsid w:val="00EF0BEC"/>
    <w:rsid w:val="00EF3657"/>
    <w:rsid w:val="00EF6248"/>
    <w:rsid w:val="00EF7967"/>
    <w:rsid w:val="00F00558"/>
    <w:rsid w:val="00F01077"/>
    <w:rsid w:val="00F05A7F"/>
    <w:rsid w:val="00F06A6D"/>
    <w:rsid w:val="00F10171"/>
    <w:rsid w:val="00F1234C"/>
    <w:rsid w:val="00F135B0"/>
    <w:rsid w:val="00F13BA3"/>
    <w:rsid w:val="00F1683A"/>
    <w:rsid w:val="00F170BC"/>
    <w:rsid w:val="00F178D3"/>
    <w:rsid w:val="00F21A53"/>
    <w:rsid w:val="00F22188"/>
    <w:rsid w:val="00F230A5"/>
    <w:rsid w:val="00F23870"/>
    <w:rsid w:val="00F25F41"/>
    <w:rsid w:val="00F270B0"/>
    <w:rsid w:val="00F31387"/>
    <w:rsid w:val="00F326E5"/>
    <w:rsid w:val="00F33625"/>
    <w:rsid w:val="00F350C1"/>
    <w:rsid w:val="00F354F3"/>
    <w:rsid w:val="00F3799F"/>
    <w:rsid w:val="00F37C35"/>
    <w:rsid w:val="00F41A2B"/>
    <w:rsid w:val="00F43CE4"/>
    <w:rsid w:val="00F47F19"/>
    <w:rsid w:val="00F50726"/>
    <w:rsid w:val="00F50DC9"/>
    <w:rsid w:val="00F53188"/>
    <w:rsid w:val="00F56C78"/>
    <w:rsid w:val="00F62CF4"/>
    <w:rsid w:val="00F62F68"/>
    <w:rsid w:val="00F657EC"/>
    <w:rsid w:val="00F71562"/>
    <w:rsid w:val="00F723F7"/>
    <w:rsid w:val="00F764B1"/>
    <w:rsid w:val="00F76BF0"/>
    <w:rsid w:val="00F8347E"/>
    <w:rsid w:val="00F93474"/>
    <w:rsid w:val="00F95BAA"/>
    <w:rsid w:val="00FA0AED"/>
    <w:rsid w:val="00FA28E9"/>
    <w:rsid w:val="00FA38D4"/>
    <w:rsid w:val="00FA3966"/>
    <w:rsid w:val="00FA4C27"/>
    <w:rsid w:val="00FA5342"/>
    <w:rsid w:val="00FA781C"/>
    <w:rsid w:val="00FB2689"/>
    <w:rsid w:val="00FB5AF3"/>
    <w:rsid w:val="00FB75C3"/>
    <w:rsid w:val="00FC693B"/>
    <w:rsid w:val="00FD0EA7"/>
    <w:rsid w:val="00FD1FB3"/>
    <w:rsid w:val="00FD2322"/>
    <w:rsid w:val="00FD54FC"/>
    <w:rsid w:val="00FD6F24"/>
    <w:rsid w:val="00FD70C2"/>
    <w:rsid w:val="00FE1E7E"/>
    <w:rsid w:val="00FE5560"/>
    <w:rsid w:val="00FE5621"/>
    <w:rsid w:val="00FE5924"/>
    <w:rsid w:val="00FF3CBA"/>
    <w:rsid w:val="00FF3E99"/>
    <w:rsid w:val="00FF42B7"/>
    <w:rsid w:val="00FF519E"/>
    <w:rsid w:val="00FF7383"/>
    <w:rsid w:val="01A7AA3A"/>
    <w:rsid w:val="03A64713"/>
    <w:rsid w:val="05D252F8"/>
    <w:rsid w:val="06C08B1E"/>
    <w:rsid w:val="0CACBDC7"/>
    <w:rsid w:val="0DEB705F"/>
    <w:rsid w:val="0E8B7E92"/>
    <w:rsid w:val="0F5263B3"/>
    <w:rsid w:val="11B6CEC0"/>
    <w:rsid w:val="1282FE63"/>
    <w:rsid w:val="12E52854"/>
    <w:rsid w:val="131AE8E4"/>
    <w:rsid w:val="1391263D"/>
    <w:rsid w:val="13E05513"/>
    <w:rsid w:val="14D557ED"/>
    <w:rsid w:val="173C63C1"/>
    <w:rsid w:val="1919F63A"/>
    <w:rsid w:val="19AFE2CC"/>
    <w:rsid w:val="1B0F21DF"/>
    <w:rsid w:val="1BE85432"/>
    <w:rsid w:val="1E504A24"/>
    <w:rsid w:val="20DF4EA4"/>
    <w:rsid w:val="223BFCE2"/>
    <w:rsid w:val="22997480"/>
    <w:rsid w:val="23EA80BE"/>
    <w:rsid w:val="261E5497"/>
    <w:rsid w:val="3123368C"/>
    <w:rsid w:val="31FC810F"/>
    <w:rsid w:val="332C7D03"/>
    <w:rsid w:val="337B792C"/>
    <w:rsid w:val="35601C1A"/>
    <w:rsid w:val="36DAAFBA"/>
    <w:rsid w:val="36DFCE42"/>
    <w:rsid w:val="37A119A5"/>
    <w:rsid w:val="3A7E0D50"/>
    <w:rsid w:val="3C0464FB"/>
    <w:rsid w:val="3DDD18B6"/>
    <w:rsid w:val="417A470F"/>
    <w:rsid w:val="41DC201B"/>
    <w:rsid w:val="42C67354"/>
    <w:rsid w:val="449413CD"/>
    <w:rsid w:val="457C1BEE"/>
    <w:rsid w:val="4785BC7A"/>
    <w:rsid w:val="47F5F31E"/>
    <w:rsid w:val="4AAF6CF3"/>
    <w:rsid w:val="4AEB59EB"/>
    <w:rsid w:val="4F6173C5"/>
    <w:rsid w:val="515D22C4"/>
    <w:rsid w:val="51E9B13E"/>
    <w:rsid w:val="52FB9399"/>
    <w:rsid w:val="5336D67A"/>
    <w:rsid w:val="550BA96B"/>
    <w:rsid w:val="56528303"/>
    <w:rsid w:val="5B60049E"/>
    <w:rsid w:val="5C84EDEF"/>
    <w:rsid w:val="60612B8C"/>
    <w:rsid w:val="612797CD"/>
    <w:rsid w:val="61819A10"/>
    <w:rsid w:val="62A552C0"/>
    <w:rsid w:val="6483E730"/>
    <w:rsid w:val="683A1004"/>
    <w:rsid w:val="6941CA64"/>
    <w:rsid w:val="6B033C6C"/>
    <w:rsid w:val="6BB14374"/>
    <w:rsid w:val="7559C80C"/>
    <w:rsid w:val="7609F705"/>
    <w:rsid w:val="7D4358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1DE2C"/>
  <w14:defaultImageDpi w14:val="300"/>
  <w15:docId w15:val="{048DFF75-8F44-4671-99C8-E6352D5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D8"/>
    <w:pPr>
      <w:spacing w:line="288" w:lineRule="auto"/>
    </w:pPr>
    <w:rPr>
      <w:rFonts w:ascii="Verdana" w:hAnsi="Verdana"/>
    </w:rPr>
  </w:style>
  <w:style w:type="paragraph" w:styleId="Heading1">
    <w:name w:val="heading 1"/>
    <w:basedOn w:val="Normal"/>
    <w:next w:val="Normal"/>
    <w:link w:val="Heading1Char"/>
    <w:uiPriority w:val="9"/>
    <w:qFormat/>
    <w:rsid w:val="007E5AD8"/>
    <w:pPr>
      <w:keepNext/>
      <w:keepLines/>
      <w:numPr>
        <w:numId w:val="10"/>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3E304E"/>
    <w:pPr>
      <w:keepNext/>
      <w:keepLines/>
      <w:spacing w:before="40" w:line="360" w:lineRule="auto"/>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7E5AD8"/>
    <w:rPr>
      <w:rFonts w:ascii="Verdana" w:eastAsiaTheme="majorEastAsia" w:hAnsi="Verdana" w:cstheme="majorBidi"/>
      <w:b/>
      <w:color w:val="77328A"/>
      <w:sz w:val="30"/>
      <w:szCs w:val="32"/>
    </w:rPr>
  </w:style>
  <w:style w:type="character" w:styleId="UnresolvedMention">
    <w:name w:val="Unresolved Mention"/>
    <w:basedOn w:val="DefaultParagraphFont"/>
    <w:uiPriority w:val="99"/>
    <w:semiHidden/>
    <w:unhideWhenUsed/>
    <w:rsid w:val="001D03E7"/>
    <w:rPr>
      <w:color w:val="605E5C"/>
      <w:shd w:val="clear" w:color="auto" w:fill="E1DFDD"/>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EE51B2"/>
    <w:pPr>
      <w:spacing w:after="160" w:line="240" w:lineRule="exact"/>
      <w:jc w:val="both"/>
    </w:pPr>
    <w:rPr>
      <w:vertAlign w:val="superscript"/>
    </w:rPr>
  </w:style>
  <w:style w:type="paragraph" w:styleId="TOCHeading">
    <w:name w:val="TOC Heading"/>
    <w:basedOn w:val="Heading1"/>
    <w:next w:val="Normal"/>
    <w:uiPriority w:val="39"/>
    <w:unhideWhenUsed/>
    <w:qFormat/>
    <w:rsid w:val="00B56194"/>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4F4CB7"/>
    <w:pPr>
      <w:tabs>
        <w:tab w:val="left" w:pos="660"/>
        <w:tab w:val="right" w:leader="dot" w:pos="9848"/>
      </w:tabs>
      <w:spacing w:after="100"/>
    </w:pPr>
    <w:rPr>
      <w:b/>
      <w:bCs/>
      <w:noProof/>
    </w:rPr>
  </w:style>
  <w:style w:type="character" w:customStyle="1" w:styleId="Heading2Char">
    <w:name w:val="Heading 2 Char"/>
    <w:basedOn w:val="DefaultParagraphFont"/>
    <w:link w:val="Heading2"/>
    <w:uiPriority w:val="9"/>
    <w:rsid w:val="003E304E"/>
    <w:rPr>
      <w:rFonts w:ascii="Verdana" w:eastAsiaTheme="majorEastAsia" w:hAnsi="Verdana" w:cstheme="majorBidi"/>
      <w:b/>
      <w:szCs w:val="26"/>
    </w:rPr>
  </w:style>
  <w:style w:type="paragraph" w:styleId="Quote">
    <w:name w:val="Quote"/>
    <w:basedOn w:val="Normal"/>
    <w:next w:val="Normal"/>
    <w:link w:val="QuoteChar"/>
    <w:uiPriority w:val="29"/>
    <w:qFormat/>
    <w:rsid w:val="00430C39"/>
    <w:pPr>
      <w:ind w:left="862" w:right="862"/>
    </w:pPr>
    <w:rPr>
      <w:rFonts w:eastAsia="Times New Roman" w:cs="Times New Roman"/>
      <w:iCs/>
      <w:szCs w:val="22"/>
    </w:rPr>
  </w:style>
  <w:style w:type="character" w:customStyle="1" w:styleId="QuoteChar">
    <w:name w:val="Quote Char"/>
    <w:basedOn w:val="DefaultParagraphFont"/>
    <w:link w:val="Quote"/>
    <w:uiPriority w:val="29"/>
    <w:rsid w:val="00430C39"/>
    <w:rPr>
      <w:rFonts w:ascii="Verdana" w:eastAsia="Times New Roman" w:hAnsi="Verdana" w:cs="Times New Roman"/>
      <w:iCs/>
      <w:szCs w:val="22"/>
    </w:rPr>
  </w:style>
  <w:style w:type="character" w:styleId="CommentReference">
    <w:name w:val="annotation reference"/>
    <w:basedOn w:val="DefaultParagraphFont"/>
    <w:uiPriority w:val="99"/>
    <w:semiHidden/>
    <w:unhideWhenUsed/>
    <w:rsid w:val="00214641"/>
    <w:rPr>
      <w:sz w:val="16"/>
      <w:szCs w:val="16"/>
    </w:rPr>
  </w:style>
  <w:style w:type="paragraph" w:styleId="CommentText">
    <w:name w:val="annotation text"/>
    <w:basedOn w:val="Normal"/>
    <w:link w:val="CommentTextChar"/>
    <w:uiPriority w:val="99"/>
    <w:unhideWhenUsed/>
    <w:rsid w:val="00214641"/>
    <w:pPr>
      <w:spacing w:line="240" w:lineRule="auto"/>
    </w:pPr>
    <w:rPr>
      <w:sz w:val="20"/>
      <w:szCs w:val="20"/>
    </w:rPr>
  </w:style>
  <w:style w:type="character" w:customStyle="1" w:styleId="CommentTextChar">
    <w:name w:val="Comment Text Char"/>
    <w:basedOn w:val="DefaultParagraphFont"/>
    <w:link w:val="CommentText"/>
    <w:uiPriority w:val="99"/>
    <w:rsid w:val="002146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4641"/>
    <w:rPr>
      <w:b/>
      <w:bCs/>
    </w:rPr>
  </w:style>
  <w:style w:type="character" w:customStyle="1" w:styleId="CommentSubjectChar">
    <w:name w:val="Comment Subject Char"/>
    <w:basedOn w:val="CommentTextChar"/>
    <w:link w:val="CommentSubject"/>
    <w:uiPriority w:val="99"/>
    <w:semiHidden/>
    <w:rsid w:val="00214641"/>
    <w:rPr>
      <w:rFonts w:ascii="Verdana" w:hAnsi="Verdana"/>
      <w:b/>
      <w:bCs/>
      <w:sz w:val="20"/>
      <w:szCs w:val="20"/>
    </w:rPr>
  </w:style>
  <w:style w:type="paragraph" w:styleId="TOC2">
    <w:name w:val="toc 2"/>
    <w:basedOn w:val="Normal"/>
    <w:next w:val="Normal"/>
    <w:autoRedefine/>
    <w:uiPriority w:val="39"/>
    <w:unhideWhenUsed/>
    <w:rsid w:val="00C95E44"/>
    <w:pPr>
      <w:spacing w:after="100"/>
      <w:ind w:left="240"/>
    </w:pPr>
  </w:style>
  <w:style w:type="character" w:styleId="Emphasis">
    <w:name w:val="Emphasis"/>
    <w:basedOn w:val="DefaultParagraphFont"/>
    <w:uiPriority w:val="20"/>
    <w:qFormat/>
    <w:rsid w:val="001B6709"/>
    <w:rPr>
      <w:i/>
      <w:iCs/>
    </w:rPr>
  </w:style>
  <w:style w:type="paragraph" w:styleId="Revision">
    <w:name w:val="Revision"/>
    <w:hidden/>
    <w:uiPriority w:val="99"/>
    <w:semiHidden/>
    <w:rsid w:val="0002007F"/>
    <w:rPr>
      <w:rFonts w:ascii="Verdana" w:hAnsi="Verdana"/>
    </w:rPr>
  </w:style>
  <w:style w:type="paragraph" w:customStyle="1" w:styleId="11NumPara">
    <w:name w:val="1.1 Num Para"/>
    <w:basedOn w:val="ListNumber2"/>
    <w:link w:val="11NumParaChar"/>
    <w:qFormat/>
    <w:rsid w:val="00754538"/>
    <w:pPr>
      <w:numPr>
        <w:ilvl w:val="1"/>
      </w:numPr>
      <w:ind w:left="709" w:hanging="709"/>
    </w:pPr>
    <w:rPr>
      <w:rFonts w:ascii="Calibri" w:hAnsi="Calibri"/>
      <w:sz w:val="28"/>
      <w:szCs w:val="22"/>
    </w:rPr>
  </w:style>
  <w:style w:type="character" w:customStyle="1" w:styleId="11NumParaChar">
    <w:name w:val="1.1 Num Para Char"/>
    <w:basedOn w:val="DefaultParagraphFont"/>
    <w:link w:val="11NumPara"/>
    <w:rsid w:val="00754538"/>
    <w:rPr>
      <w:rFonts w:ascii="Calibri" w:eastAsiaTheme="minorHAnsi" w:hAnsi="Calibri"/>
      <w:kern w:val="2"/>
      <w:sz w:val="28"/>
      <w:szCs w:val="22"/>
      <w14:ligatures w14:val="standardContextual"/>
    </w:rPr>
  </w:style>
  <w:style w:type="paragraph" w:styleId="ListNumber2">
    <w:name w:val="List Number 2"/>
    <w:basedOn w:val="Normal"/>
    <w:uiPriority w:val="99"/>
    <w:semiHidden/>
    <w:unhideWhenUsed/>
    <w:rsid w:val="00754538"/>
    <w:pPr>
      <w:numPr>
        <w:numId w:val="21"/>
      </w:numPr>
      <w:spacing w:line="240" w:lineRule="auto"/>
      <w:contextualSpacing/>
    </w:pPr>
    <w:rPr>
      <w:rFonts w:eastAsiaTheme="minorHAnsi"/>
      <w:kern w:val="2"/>
      <w14:ligatures w14:val="standardContextual"/>
    </w:rPr>
  </w:style>
  <w:style w:type="character" w:customStyle="1" w:styleId="ui-provider">
    <w:name w:val="ui-provider"/>
    <w:basedOn w:val="DefaultParagraphFont"/>
    <w:rsid w:val="002563F5"/>
  </w:style>
  <w:style w:type="character" w:customStyle="1" w:styleId="cf01">
    <w:name w:val="cf01"/>
    <w:basedOn w:val="DefaultParagraphFont"/>
    <w:rsid w:val="001B6A6C"/>
    <w:rPr>
      <w:rFonts w:ascii="Segoe UI" w:hAnsi="Segoe UI" w:cs="Segoe UI" w:hint="default"/>
      <w:sz w:val="18"/>
      <w:szCs w:val="18"/>
    </w:rPr>
  </w:style>
  <w:style w:type="table" w:styleId="TableGrid">
    <w:name w:val="Table Grid"/>
    <w:basedOn w:val="TableNormal"/>
    <w:uiPriority w:val="59"/>
    <w:rsid w:val="00D7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nhri.org/about-nhris/human-rights-based-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CC946-7409-48D9-B4A6-98FA175A6FC3}">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DB872132-57DE-499F-ADC1-2AF84FE76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35430-A2E8-49E5-8F9B-D3E71CC8B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185</TotalTime>
  <Pages>36</Pages>
  <Words>8686</Words>
  <Characters>49511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58081</CharactersWithSpaces>
  <SharedDoc>false</SharedDoc>
  <HLinks>
    <vt:vector size="180" baseType="variant">
      <vt:variant>
        <vt:i4>6946881</vt:i4>
      </vt:variant>
      <vt:variant>
        <vt:i4>162</vt:i4>
      </vt:variant>
      <vt:variant>
        <vt:i4>0</vt:i4>
      </vt:variant>
      <vt:variant>
        <vt:i4>5</vt:i4>
      </vt:variant>
      <vt:variant>
        <vt:lpwstr>mailto:info@nihrc.org</vt:lpwstr>
      </vt:variant>
      <vt:variant>
        <vt:lpwstr/>
      </vt:variant>
      <vt:variant>
        <vt:i4>4587543</vt:i4>
      </vt:variant>
      <vt:variant>
        <vt:i4>159</vt:i4>
      </vt:variant>
      <vt:variant>
        <vt:i4>0</vt:i4>
      </vt:variant>
      <vt:variant>
        <vt:i4>5</vt:i4>
      </vt:variant>
      <vt:variant>
        <vt:lpwstr>http://www.nihrc.org/</vt:lpwstr>
      </vt:variant>
      <vt:variant>
        <vt:lpwstr/>
      </vt:variant>
      <vt:variant>
        <vt:i4>7929856</vt:i4>
      </vt:variant>
      <vt:variant>
        <vt:i4>156</vt:i4>
      </vt:variant>
      <vt:variant>
        <vt:i4>0</vt:i4>
      </vt:variant>
      <vt:variant>
        <vt:i4>5</vt:i4>
      </vt:variant>
      <vt:variant>
        <vt:lpwstr>mailto:eilis.haughey@nihrc.org</vt:lpwstr>
      </vt:variant>
      <vt:variant>
        <vt:lpwstr/>
      </vt:variant>
      <vt:variant>
        <vt:i4>6881286</vt:i4>
      </vt:variant>
      <vt:variant>
        <vt:i4>153</vt:i4>
      </vt:variant>
      <vt:variant>
        <vt:i4>0</vt:i4>
      </vt:variant>
      <vt:variant>
        <vt:i4>5</vt:i4>
      </vt:variant>
      <vt:variant>
        <vt:lpwstr>mailto:Colin.Caughey@nihrc.org</vt:lpwstr>
      </vt:variant>
      <vt:variant>
        <vt:lpwstr/>
      </vt:variant>
      <vt:variant>
        <vt:i4>1376309</vt:i4>
      </vt:variant>
      <vt:variant>
        <vt:i4>146</vt:i4>
      </vt:variant>
      <vt:variant>
        <vt:i4>0</vt:i4>
      </vt:variant>
      <vt:variant>
        <vt:i4>5</vt:i4>
      </vt:variant>
      <vt:variant>
        <vt:lpwstr/>
      </vt:variant>
      <vt:variant>
        <vt:lpwstr>_Toc137130003</vt:lpwstr>
      </vt:variant>
      <vt:variant>
        <vt:i4>1376309</vt:i4>
      </vt:variant>
      <vt:variant>
        <vt:i4>140</vt:i4>
      </vt:variant>
      <vt:variant>
        <vt:i4>0</vt:i4>
      </vt:variant>
      <vt:variant>
        <vt:i4>5</vt:i4>
      </vt:variant>
      <vt:variant>
        <vt:lpwstr/>
      </vt:variant>
      <vt:variant>
        <vt:lpwstr>_Toc137130002</vt:lpwstr>
      </vt:variant>
      <vt:variant>
        <vt:i4>1376309</vt:i4>
      </vt:variant>
      <vt:variant>
        <vt:i4>134</vt:i4>
      </vt:variant>
      <vt:variant>
        <vt:i4>0</vt:i4>
      </vt:variant>
      <vt:variant>
        <vt:i4>5</vt:i4>
      </vt:variant>
      <vt:variant>
        <vt:lpwstr/>
      </vt:variant>
      <vt:variant>
        <vt:lpwstr>_Toc137130001</vt:lpwstr>
      </vt:variant>
      <vt:variant>
        <vt:i4>1376309</vt:i4>
      </vt:variant>
      <vt:variant>
        <vt:i4>128</vt:i4>
      </vt:variant>
      <vt:variant>
        <vt:i4>0</vt:i4>
      </vt:variant>
      <vt:variant>
        <vt:i4>5</vt:i4>
      </vt:variant>
      <vt:variant>
        <vt:lpwstr/>
      </vt:variant>
      <vt:variant>
        <vt:lpwstr>_Toc137130000</vt:lpwstr>
      </vt:variant>
      <vt:variant>
        <vt:i4>1376317</vt:i4>
      </vt:variant>
      <vt:variant>
        <vt:i4>122</vt:i4>
      </vt:variant>
      <vt:variant>
        <vt:i4>0</vt:i4>
      </vt:variant>
      <vt:variant>
        <vt:i4>5</vt:i4>
      </vt:variant>
      <vt:variant>
        <vt:lpwstr/>
      </vt:variant>
      <vt:variant>
        <vt:lpwstr>_Toc137129999</vt:lpwstr>
      </vt:variant>
      <vt:variant>
        <vt:i4>1376317</vt:i4>
      </vt:variant>
      <vt:variant>
        <vt:i4>116</vt:i4>
      </vt:variant>
      <vt:variant>
        <vt:i4>0</vt:i4>
      </vt:variant>
      <vt:variant>
        <vt:i4>5</vt:i4>
      </vt:variant>
      <vt:variant>
        <vt:lpwstr/>
      </vt:variant>
      <vt:variant>
        <vt:lpwstr>_Toc137129998</vt:lpwstr>
      </vt:variant>
      <vt:variant>
        <vt:i4>1376317</vt:i4>
      </vt:variant>
      <vt:variant>
        <vt:i4>110</vt:i4>
      </vt:variant>
      <vt:variant>
        <vt:i4>0</vt:i4>
      </vt:variant>
      <vt:variant>
        <vt:i4>5</vt:i4>
      </vt:variant>
      <vt:variant>
        <vt:lpwstr/>
      </vt:variant>
      <vt:variant>
        <vt:lpwstr>_Toc137129997</vt:lpwstr>
      </vt:variant>
      <vt:variant>
        <vt:i4>1376317</vt:i4>
      </vt:variant>
      <vt:variant>
        <vt:i4>104</vt:i4>
      </vt:variant>
      <vt:variant>
        <vt:i4>0</vt:i4>
      </vt:variant>
      <vt:variant>
        <vt:i4>5</vt:i4>
      </vt:variant>
      <vt:variant>
        <vt:lpwstr/>
      </vt:variant>
      <vt:variant>
        <vt:lpwstr>_Toc137129996</vt:lpwstr>
      </vt:variant>
      <vt:variant>
        <vt:i4>1376317</vt:i4>
      </vt:variant>
      <vt:variant>
        <vt:i4>98</vt:i4>
      </vt:variant>
      <vt:variant>
        <vt:i4>0</vt:i4>
      </vt:variant>
      <vt:variant>
        <vt:i4>5</vt:i4>
      </vt:variant>
      <vt:variant>
        <vt:lpwstr/>
      </vt:variant>
      <vt:variant>
        <vt:lpwstr>_Toc137129995</vt:lpwstr>
      </vt:variant>
      <vt:variant>
        <vt:i4>1376317</vt:i4>
      </vt:variant>
      <vt:variant>
        <vt:i4>92</vt:i4>
      </vt:variant>
      <vt:variant>
        <vt:i4>0</vt:i4>
      </vt:variant>
      <vt:variant>
        <vt:i4>5</vt:i4>
      </vt:variant>
      <vt:variant>
        <vt:lpwstr/>
      </vt:variant>
      <vt:variant>
        <vt:lpwstr>_Toc137129994</vt:lpwstr>
      </vt:variant>
      <vt:variant>
        <vt:i4>1376317</vt:i4>
      </vt:variant>
      <vt:variant>
        <vt:i4>86</vt:i4>
      </vt:variant>
      <vt:variant>
        <vt:i4>0</vt:i4>
      </vt:variant>
      <vt:variant>
        <vt:i4>5</vt:i4>
      </vt:variant>
      <vt:variant>
        <vt:lpwstr/>
      </vt:variant>
      <vt:variant>
        <vt:lpwstr>_Toc137129993</vt:lpwstr>
      </vt:variant>
      <vt:variant>
        <vt:i4>1376317</vt:i4>
      </vt:variant>
      <vt:variant>
        <vt:i4>80</vt:i4>
      </vt:variant>
      <vt:variant>
        <vt:i4>0</vt:i4>
      </vt:variant>
      <vt:variant>
        <vt:i4>5</vt:i4>
      </vt:variant>
      <vt:variant>
        <vt:lpwstr/>
      </vt:variant>
      <vt:variant>
        <vt:lpwstr>_Toc137129992</vt:lpwstr>
      </vt:variant>
      <vt:variant>
        <vt:i4>1376317</vt:i4>
      </vt:variant>
      <vt:variant>
        <vt:i4>74</vt:i4>
      </vt:variant>
      <vt:variant>
        <vt:i4>0</vt:i4>
      </vt:variant>
      <vt:variant>
        <vt:i4>5</vt:i4>
      </vt:variant>
      <vt:variant>
        <vt:lpwstr/>
      </vt:variant>
      <vt:variant>
        <vt:lpwstr>_Toc137129991</vt:lpwstr>
      </vt:variant>
      <vt:variant>
        <vt:i4>1376317</vt:i4>
      </vt:variant>
      <vt:variant>
        <vt:i4>68</vt:i4>
      </vt:variant>
      <vt:variant>
        <vt:i4>0</vt:i4>
      </vt:variant>
      <vt:variant>
        <vt:i4>5</vt:i4>
      </vt:variant>
      <vt:variant>
        <vt:lpwstr/>
      </vt:variant>
      <vt:variant>
        <vt:lpwstr>_Toc137129990</vt:lpwstr>
      </vt:variant>
      <vt:variant>
        <vt:i4>1310781</vt:i4>
      </vt:variant>
      <vt:variant>
        <vt:i4>62</vt:i4>
      </vt:variant>
      <vt:variant>
        <vt:i4>0</vt:i4>
      </vt:variant>
      <vt:variant>
        <vt:i4>5</vt:i4>
      </vt:variant>
      <vt:variant>
        <vt:lpwstr/>
      </vt:variant>
      <vt:variant>
        <vt:lpwstr>_Toc137129989</vt:lpwstr>
      </vt:variant>
      <vt:variant>
        <vt:i4>1310781</vt:i4>
      </vt:variant>
      <vt:variant>
        <vt:i4>56</vt:i4>
      </vt:variant>
      <vt:variant>
        <vt:i4>0</vt:i4>
      </vt:variant>
      <vt:variant>
        <vt:i4>5</vt:i4>
      </vt:variant>
      <vt:variant>
        <vt:lpwstr/>
      </vt:variant>
      <vt:variant>
        <vt:lpwstr>_Toc137129988</vt:lpwstr>
      </vt:variant>
      <vt:variant>
        <vt:i4>1310781</vt:i4>
      </vt:variant>
      <vt:variant>
        <vt:i4>50</vt:i4>
      </vt:variant>
      <vt:variant>
        <vt:i4>0</vt:i4>
      </vt:variant>
      <vt:variant>
        <vt:i4>5</vt:i4>
      </vt:variant>
      <vt:variant>
        <vt:lpwstr/>
      </vt:variant>
      <vt:variant>
        <vt:lpwstr>_Toc137129987</vt:lpwstr>
      </vt:variant>
      <vt:variant>
        <vt:i4>1310781</vt:i4>
      </vt:variant>
      <vt:variant>
        <vt:i4>44</vt:i4>
      </vt:variant>
      <vt:variant>
        <vt:i4>0</vt:i4>
      </vt:variant>
      <vt:variant>
        <vt:i4>5</vt:i4>
      </vt:variant>
      <vt:variant>
        <vt:lpwstr/>
      </vt:variant>
      <vt:variant>
        <vt:lpwstr>_Toc137129986</vt:lpwstr>
      </vt:variant>
      <vt:variant>
        <vt:i4>1310781</vt:i4>
      </vt:variant>
      <vt:variant>
        <vt:i4>38</vt:i4>
      </vt:variant>
      <vt:variant>
        <vt:i4>0</vt:i4>
      </vt:variant>
      <vt:variant>
        <vt:i4>5</vt:i4>
      </vt:variant>
      <vt:variant>
        <vt:lpwstr/>
      </vt:variant>
      <vt:variant>
        <vt:lpwstr>_Toc137129985</vt:lpwstr>
      </vt:variant>
      <vt:variant>
        <vt:i4>1310781</vt:i4>
      </vt:variant>
      <vt:variant>
        <vt:i4>32</vt:i4>
      </vt:variant>
      <vt:variant>
        <vt:i4>0</vt:i4>
      </vt:variant>
      <vt:variant>
        <vt:i4>5</vt:i4>
      </vt:variant>
      <vt:variant>
        <vt:lpwstr/>
      </vt:variant>
      <vt:variant>
        <vt:lpwstr>_Toc137129984</vt:lpwstr>
      </vt:variant>
      <vt:variant>
        <vt:i4>1310781</vt:i4>
      </vt:variant>
      <vt:variant>
        <vt:i4>26</vt:i4>
      </vt:variant>
      <vt:variant>
        <vt:i4>0</vt:i4>
      </vt:variant>
      <vt:variant>
        <vt:i4>5</vt:i4>
      </vt:variant>
      <vt:variant>
        <vt:lpwstr/>
      </vt:variant>
      <vt:variant>
        <vt:lpwstr>_Toc137129983</vt:lpwstr>
      </vt:variant>
      <vt:variant>
        <vt:i4>1310781</vt:i4>
      </vt:variant>
      <vt:variant>
        <vt:i4>20</vt:i4>
      </vt:variant>
      <vt:variant>
        <vt:i4>0</vt:i4>
      </vt:variant>
      <vt:variant>
        <vt:i4>5</vt:i4>
      </vt:variant>
      <vt:variant>
        <vt:lpwstr/>
      </vt:variant>
      <vt:variant>
        <vt:lpwstr>_Toc137129982</vt:lpwstr>
      </vt:variant>
      <vt:variant>
        <vt:i4>1310781</vt:i4>
      </vt:variant>
      <vt:variant>
        <vt:i4>14</vt:i4>
      </vt:variant>
      <vt:variant>
        <vt:i4>0</vt:i4>
      </vt:variant>
      <vt:variant>
        <vt:i4>5</vt:i4>
      </vt:variant>
      <vt:variant>
        <vt:lpwstr/>
      </vt:variant>
      <vt:variant>
        <vt:lpwstr>_Toc137129981</vt:lpwstr>
      </vt:variant>
      <vt:variant>
        <vt:i4>1310781</vt:i4>
      </vt:variant>
      <vt:variant>
        <vt:i4>8</vt:i4>
      </vt:variant>
      <vt:variant>
        <vt:i4>0</vt:i4>
      </vt:variant>
      <vt:variant>
        <vt:i4>5</vt:i4>
      </vt:variant>
      <vt:variant>
        <vt:lpwstr/>
      </vt:variant>
      <vt:variant>
        <vt:lpwstr>_Toc137129980</vt:lpwstr>
      </vt:variant>
      <vt:variant>
        <vt:i4>1769533</vt:i4>
      </vt:variant>
      <vt:variant>
        <vt:i4>2</vt:i4>
      </vt:variant>
      <vt:variant>
        <vt:i4>0</vt:i4>
      </vt:variant>
      <vt:variant>
        <vt:i4>5</vt:i4>
      </vt:variant>
      <vt:variant>
        <vt:lpwstr/>
      </vt:variant>
      <vt:variant>
        <vt:lpwstr>_Toc137129979</vt:lpwstr>
      </vt:variant>
      <vt:variant>
        <vt:i4>6684797</vt:i4>
      </vt:variant>
      <vt:variant>
        <vt:i4>0</vt:i4>
      </vt:variant>
      <vt:variant>
        <vt:i4>0</vt:i4>
      </vt:variant>
      <vt:variant>
        <vt:i4>5</vt:i4>
      </vt:variant>
      <vt:variant>
        <vt:lpwstr>https://ennhri.org/about-nhris/human-rights-based-approach/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Emma Osborne</cp:lastModifiedBy>
  <cp:revision>96</cp:revision>
  <cp:lastPrinted>2018-04-20T19:30:00Z</cp:lastPrinted>
  <dcterms:created xsi:type="dcterms:W3CDTF">2023-06-08T16:46:00Z</dcterms:created>
  <dcterms:modified xsi:type="dcterms:W3CDTF">2023-10-09T08:17:00Z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