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C9022" w14:textId="77777777" w:rsidR="002D03B5" w:rsidRDefault="002D03B5" w:rsidP="002D03B5">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5D096346" wp14:editId="4C325769">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D2236CE" w14:textId="77777777" w:rsidR="002D03B5" w:rsidRPr="00EA12CE" w:rsidRDefault="002D03B5" w:rsidP="002D03B5">
      <w:pPr>
        <w:pStyle w:val="BasicParagraph"/>
        <w:suppressAutoHyphens/>
        <w:jc w:val="center"/>
        <w:rPr>
          <w:rFonts w:ascii="Verdana" w:hAnsi="Verdana" w:cs="Arial"/>
          <w:b/>
          <w:bCs/>
          <w:color w:val="734791"/>
          <w:sz w:val="36"/>
          <w:szCs w:val="36"/>
        </w:rPr>
      </w:pPr>
    </w:p>
    <w:p w14:paraId="149D3722" w14:textId="77777777" w:rsidR="002D03B5" w:rsidRPr="003B7D0E" w:rsidRDefault="002D03B5" w:rsidP="002D03B5">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Submission on policy proposals for a duty of candour and being open </w:t>
      </w:r>
    </w:p>
    <w:p w14:paraId="6E58D2F7" w14:textId="77777777" w:rsidR="002D03B5" w:rsidRPr="00331C61" w:rsidRDefault="002D03B5" w:rsidP="002D03B5">
      <w:pPr>
        <w:pStyle w:val="Default"/>
        <w:spacing w:line="288" w:lineRule="auto"/>
        <w:jc w:val="center"/>
        <w:rPr>
          <w:rFonts w:cs="Arial"/>
          <w:color w:val="232120"/>
          <w:sz w:val="36"/>
          <w:szCs w:val="36"/>
        </w:rPr>
      </w:pPr>
    </w:p>
    <w:p w14:paraId="60A22FBC" w14:textId="77777777" w:rsidR="002D03B5" w:rsidRPr="00331C61" w:rsidRDefault="002D03B5" w:rsidP="002D03B5">
      <w:pPr>
        <w:spacing w:line="288" w:lineRule="auto"/>
        <w:jc w:val="center"/>
        <w:rPr>
          <w:rFonts w:ascii="Verdana" w:hAnsi="Verdana" w:cs="Arial"/>
          <w:b/>
          <w:color w:val="232120"/>
          <w:sz w:val="30"/>
          <w:szCs w:val="30"/>
        </w:rPr>
      </w:pPr>
      <w:r>
        <w:rPr>
          <w:rFonts w:ascii="Verdana" w:hAnsi="Verdana" w:cs="Arial"/>
          <w:b/>
          <w:color w:val="232120"/>
          <w:sz w:val="30"/>
          <w:szCs w:val="30"/>
        </w:rPr>
        <w:t>July</w:t>
      </w:r>
      <w:r w:rsidRPr="00F70CDC">
        <w:rPr>
          <w:rFonts w:ascii="Verdana" w:hAnsi="Verdana" w:cs="Arial"/>
          <w:b/>
          <w:color w:val="232120"/>
          <w:sz w:val="30"/>
          <w:szCs w:val="30"/>
        </w:rPr>
        <w:t xml:space="preserve"> 2021</w:t>
      </w:r>
    </w:p>
    <w:p w14:paraId="490E2F9D" w14:textId="77777777" w:rsidR="002D03B5" w:rsidRPr="00331C61" w:rsidRDefault="002D03B5" w:rsidP="002D03B5">
      <w:pPr>
        <w:spacing w:line="288" w:lineRule="auto"/>
        <w:jc w:val="center"/>
        <w:rPr>
          <w:rFonts w:ascii="Verdana" w:hAnsi="Verdana" w:cs="Arial"/>
          <w:b/>
          <w:color w:val="232120"/>
          <w:sz w:val="28"/>
          <w:szCs w:val="28"/>
        </w:rPr>
      </w:pPr>
    </w:p>
    <w:p w14:paraId="40457E97" w14:textId="77777777" w:rsidR="002D03B5" w:rsidRPr="00331C61" w:rsidRDefault="002D03B5" w:rsidP="002D03B5">
      <w:pPr>
        <w:spacing w:line="288" w:lineRule="auto"/>
        <w:jc w:val="center"/>
        <w:rPr>
          <w:rFonts w:ascii="Verdana" w:hAnsi="Verdana" w:cs="Arial"/>
          <w:b/>
          <w:color w:val="232120"/>
          <w:sz w:val="28"/>
          <w:szCs w:val="28"/>
        </w:rPr>
      </w:pPr>
    </w:p>
    <w:p w14:paraId="4516378E" w14:textId="77777777" w:rsidR="002D03B5" w:rsidRPr="00331C61" w:rsidRDefault="002D03B5" w:rsidP="002D03B5">
      <w:pPr>
        <w:pStyle w:val="Default"/>
        <w:spacing w:line="288" w:lineRule="auto"/>
        <w:jc w:val="center"/>
        <w:rPr>
          <w:rFonts w:cs="Arial"/>
          <w:b/>
          <w:color w:val="232120"/>
          <w:sz w:val="28"/>
          <w:szCs w:val="28"/>
          <w:lang w:val="en-GB"/>
        </w:rPr>
      </w:pPr>
    </w:p>
    <w:p w14:paraId="005E0E1E" w14:textId="77777777" w:rsidR="002D03B5" w:rsidRPr="00331C61" w:rsidRDefault="002D03B5" w:rsidP="002D03B5">
      <w:pPr>
        <w:pStyle w:val="Default"/>
        <w:spacing w:line="480" w:lineRule="auto"/>
        <w:jc w:val="center"/>
        <w:rPr>
          <w:rFonts w:cs="Arial"/>
          <w:b/>
          <w:color w:val="232120"/>
          <w:sz w:val="36"/>
          <w:szCs w:val="36"/>
        </w:rPr>
      </w:pPr>
    </w:p>
    <w:p w14:paraId="33504BF9" w14:textId="77777777" w:rsidR="002D03B5" w:rsidRDefault="002D03B5" w:rsidP="002D03B5">
      <w:pPr>
        <w:pStyle w:val="Default"/>
        <w:spacing w:line="480" w:lineRule="auto"/>
        <w:jc w:val="center"/>
        <w:rPr>
          <w:rFonts w:cs="Arial"/>
          <w:b/>
          <w:color w:val="232120"/>
          <w:sz w:val="36"/>
          <w:szCs w:val="36"/>
        </w:rPr>
      </w:pPr>
    </w:p>
    <w:p w14:paraId="2A7F5658" w14:textId="77777777" w:rsidR="002D03B5" w:rsidRPr="00331C61" w:rsidRDefault="002D03B5" w:rsidP="002D03B5">
      <w:pPr>
        <w:pStyle w:val="Default"/>
        <w:spacing w:line="480" w:lineRule="auto"/>
        <w:jc w:val="center"/>
        <w:rPr>
          <w:rFonts w:cs="Arial"/>
          <w:b/>
          <w:color w:val="232120"/>
          <w:sz w:val="36"/>
          <w:szCs w:val="36"/>
        </w:rPr>
      </w:pPr>
    </w:p>
    <w:p w14:paraId="72202962" w14:textId="77777777" w:rsidR="002D03B5" w:rsidRDefault="002D03B5" w:rsidP="002D03B5">
      <w:pPr>
        <w:pStyle w:val="Default"/>
        <w:spacing w:line="480" w:lineRule="auto"/>
        <w:jc w:val="center"/>
        <w:rPr>
          <w:rFonts w:cs="Arial"/>
          <w:b/>
          <w:color w:val="232120"/>
          <w:sz w:val="36"/>
          <w:szCs w:val="36"/>
        </w:rPr>
      </w:pPr>
    </w:p>
    <w:p w14:paraId="56E09660" w14:textId="77777777" w:rsidR="002D03B5" w:rsidRPr="00331C61" w:rsidRDefault="002D03B5" w:rsidP="002D03B5">
      <w:pPr>
        <w:pStyle w:val="Default"/>
        <w:spacing w:line="480" w:lineRule="auto"/>
        <w:jc w:val="center"/>
        <w:rPr>
          <w:rFonts w:cs="Arial"/>
          <w:b/>
          <w:color w:val="232120"/>
          <w:sz w:val="36"/>
          <w:szCs w:val="36"/>
        </w:rPr>
      </w:pPr>
    </w:p>
    <w:p w14:paraId="0911B24F" w14:textId="77777777" w:rsidR="009672B3" w:rsidRDefault="009672B3" w:rsidP="002D03B5">
      <w:pPr>
        <w:pStyle w:val="Default"/>
        <w:spacing w:line="480" w:lineRule="auto"/>
        <w:rPr>
          <w:rFonts w:cs="Arial"/>
          <w:b/>
          <w:color w:val="77328A"/>
          <w:sz w:val="36"/>
          <w:szCs w:val="36"/>
        </w:rPr>
      </w:pPr>
    </w:p>
    <w:p w14:paraId="00F5D1CC" w14:textId="6017B899" w:rsidR="002D03B5" w:rsidRPr="003B7D0E" w:rsidRDefault="002D03B5" w:rsidP="002D03B5">
      <w:pPr>
        <w:pStyle w:val="Default"/>
        <w:spacing w:line="480" w:lineRule="auto"/>
        <w:rPr>
          <w:rFonts w:cs="Arial"/>
          <w:b/>
          <w:color w:val="3C3C3B"/>
          <w:sz w:val="36"/>
          <w:szCs w:val="36"/>
        </w:rPr>
      </w:pPr>
      <w:r w:rsidRPr="003B7D0E">
        <w:rPr>
          <w:rFonts w:cs="Arial"/>
          <w:b/>
          <w:color w:val="77328A"/>
          <w:sz w:val="36"/>
          <w:szCs w:val="36"/>
        </w:rPr>
        <w:t>Table of Contents</w:t>
      </w:r>
    </w:p>
    <w:p w14:paraId="717E2851" w14:textId="77777777" w:rsidR="002D03B5" w:rsidRDefault="002D03B5" w:rsidP="00EF7848">
      <w:pPr>
        <w:pStyle w:val="Default"/>
        <w:spacing w:line="360" w:lineRule="auto"/>
        <w:rPr>
          <w:rFonts w:cs="Arial"/>
          <w:b/>
          <w:color w:val="232120"/>
        </w:rPr>
      </w:pPr>
      <w:r>
        <w:rPr>
          <w:rFonts w:cs="Arial"/>
          <w:b/>
          <w:color w:val="232120"/>
        </w:rPr>
        <w:t>Summary of Recommendations</w:t>
      </w:r>
      <w:r>
        <w:rPr>
          <w:rFonts w:cs="Arial"/>
          <w:b/>
          <w:color w:val="232120"/>
        </w:rPr>
        <w:tab/>
      </w:r>
      <w:r>
        <w:rPr>
          <w:rFonts w:cs="Arial"/>
          <w:b/>
          <w:color w:val="232120"/>
        </w:rPr>
        <w:tab/>
      </w:r>
      <w:r>
        <w:rPr>
          <w:rFonts w:cs="Arial"/>
          <w:b/>
          <w:color w:val="232120"/>
        </w:rPr>
        <w:tab/>
      </w:r>
      <w:r>
        <w:rPr>
          <w:rFonts w:cs="Arial"/>
          <w:b/>
          <w:color w:val="232120"/>
        </w:rPr>
        <w:tab/>
      </w:r>
      <w:r>
        <w:rPr>
          <w:rFonts w:cs="Arial"/>
          <w:b/>
          <w:color w:val="232120"/>
        </w:rPr>
        <w:tab/>
      </w:r>
      <w:r>
        <w:rPr>
          <w:rFonts w:cs="Arial"/>
          <w:b/>
          <w:color w:val="232120"/>
        </w:rPr>
        <w:tab/>
      </w:r>
      <w:r>
        <w:rPr>
          <w:rFonts w:cs="Arial"/>
          <w:b/>
          <w:color w:val="232120"/>
        </w:rPr>
        <w:tab/>
      </w:r>
      <w:r>
        <w:rPr>
          <w:rFonts w:cs="Arial"/>
          <w:b/>
          <w:color w:val="232120"/>
        </w:rPr>
        <w:tab/>
        <w:t xml:space="preserve"> 3</w:t>
      </w:r>
    </w:p>
    <w:p w14:paraId="3D671FD4" w14:textId="1D3FDCDA" w:rsidR="00121A08" w:rsidRDefault="002D03B5" w:rsidP="00EF7848">
      <w:pPr>
        <w:pStyle w:val="Default"/>
        <w:spacing w:line="360" w:lineRule="auto"/>
        <w:rPr>
          <w:rFonts w:cs="Arial"/>
          <w:b/>
          <w:color w:val="232120"/>
        </w:rPr>
      </w:pPr>
      <w:r>
        <w:rPr>
          <w:rFonts w:cs="Arial"/>
          <w:b/>
          <w:color w:val="232120"/>
        </w:rPr>
        <w:t>1.0</w:t>
      </w:r>
      <w:r>
        <w:rPr>
          <w:rFonts w:cs="Arial"/>
          <w:b/>
          <w:color w:val="232120"/>
        </w:rPr>
        <w:tab/>
      </w:r>
      <w:r w:rsidR="009C1585">
        <w:rPr>
          <w:rFonts w:cs="Arial"/>
          <w:b/>
          <w:color w:val="232120"/>
        </w:rPr>
        <w:t xml:space="preserve"> </w:t>
      </w:r>
      <w:r>
        <w:rPr>
          <w:rFonts w:cs="Arial"/>
          <w:b/>
          <w:color w:val="232120"/>
        </w:rPr>
        <w:t>Introduction</w:t>
      </w:r>
      <w:r>
        <w:rPr>
          <w:rFonts w:cs="Arial"/>
          <w:b/>
          <w:color w:val="232120"/>
        </w:rPr>
        <w:tab/>
      </w:r>
      <w:r>
        <w:rPr>
          <w:rFonts w:cs="Arial"/>
          <w:b/>
          <w:color w:val="232120"/>
        </w:rPr>
        <w:tab/>
      </w:r>
      <w:r>
        <w:rPr>
          <w:rFonts w:cs="Arial"/>
          <w:b/>
          <w:color w:val="232120"/>
        </w:rPr>
        <w:tab/>
      </w:r>
      <w:proofErr w:type="gramStart"/>
      <w:r>
        <w:rPr>
          <w:rFonts w:cs="Arial"/>
          <w:b/>
          <w:color w:val="232120"/>
        </w:rPr>
        <w:tab/>
      </w:r>
      <w:r w:rsidRPr="00331C61">
        <w:rPr>
          <w:rFonts w:cs="Arial"/>
          <w:b/>
          <w:color w:val="232120"/>
        </w:rPr>
        <w:t xml:space="preserve">  </w:t>
      </w:r>
      <w:r w:rsidRPr="00331C61">
        <w:rPr>
          <w:rFonts w:cs="Arial"/>
          <w:b/>
          <w:color w:val="232120"/>
        </w:rPr>
        <w:tab/>
      </w:r>
      <w:proofErr w:type="gramEnd"/>
      <w:r w:rsidRPr="00331C61">
        <w:rPr>
          <w:rFonts w:cs="Arial"/>
          <w:b/>
          <w:color w:val="232120"/>
        </w:rPr>
        <w:tab/>
      </w:r>
      <w:r w:rsidRPr="00331C61">
        <w:rPr>
          <w:rFonts w:cs="Arial"/>
          <w:b/>
          <w:color w:val="232120"/>
        </w:rPr>
        <w:tab/>
      </w:r>
      <w:r w:rsidRPr="00331C61">
        <w:rPr>
          <w:rFonts w:cs="Arial"/>
          <w:b/>
          <w:color w:val="232120"/>
        </w:rPr>
        <w:tab/>
      </w:r>
      <w:r w:rsidRPr="00331C61">
        <w:rPr>
          <w:rFonts w:cs="Arial"/>
          <w:b/>
          <w:color w:val="232120"/>
        </w:rPr>
        <w:tab/>
      </w:r>
      <w:r w:rsidRPr="00331C61">
        <w:rPr>
          <w:rFonts w:cs="Arial"/>
          <w:b/>
          <w:color w:val="232120"/>
        </w:rPr>
        <w:tab/>
      </w:r>
      <w:r>
        <w:rPr>
          <w:rFonts w:cs="Arial"/>
          <w:b/>
          <w:color w:val="232120"/>
        </w:rPr>
        <w:t xml:space="preserve"> </w:t>
      </w:r>
      <w:r w:rsidR="00EB25F9">
        <w:rPr>
          <w:rFonts w:cs="Arial"/>
          <w:b/>
          <w:color w:val="232120"/>
        </w:rPr>
        <w:t>4</w:t>
      </w:r>
    </w:p>
    <w:p w14:paraId="1310B7FA" w14:textId="2D86729E" w:rsidR="00121A08" w:rsidRDefault="00121A08" w:rsidP="00EF7848">
      <w:pPr>
        <w:pStyle w:val="Default"/>
        <w:spacing w:line="360" w:lineRule="auto"/>
        <w:ind w:left="720" w:hanging="720"/>
        <w:rPr>
          <w:rFonts w:cs="Arial"/>
          <w:b/>
          <w:color w:val="232120"/>
        </w:rPr>
      </w:pPr>
      <w:r>
        <w:rPr>
          <w:rFonts w:cs="Arial"/>
          <w:b/>
          <w:color w:val="232120"/>
        </w:rPr>
        <w:t>2.0</w:t>
      </w:r>
      <w:r>
        <w:rPr>
          <w:rFonts w:cs="Arial"/>
          <w:b/>
          <w:color w:val="232120"/>
        </w:rPr>
        <w:tab/>
      </w:r>
      <w:r w:rsidR="009C1585">
        <w:rPr>
          <w:rFonts w:cs="Arial"/>
          <w:b/>
          <w:color w:val="232120"/>
        </w:rPr>
        <w:t xml:space="preserve"> </w:t>
      </w:r>
      <w:r w:rsidRPr="00121A08">
        <w:rPr>
          <w:rFonts w:cs="Arial"/>
          <w:b/>
          <w:color w:val="232120"/>
        </w:rPr>
        <w:t xml:space="preserve">Use of terminology and definitions in respect of “openness” </w:t>
      </w:r>
      <w:r w:rsidR="00EB25F9">
        <w:rPr>
          <w:rFonts w:cs="Arial"/>
          <w:b/>
          <w:color w:val="232120"/>
        </w:rPr>
        <w:tab/>
        <w:t xml:space="preserve"> 5</w:t>
      </w:r>
      <w:r w:rsidR="00EB25F9">
        <w:rPr>
          <w:rFonts w:cs="Arial"/>
          <w:b/>
          <w:color w:val="232120"/>
        </w:rPr>
        <w:br/>
      </w:r>
      <w:r w:rsidR="009C1585">
        <w:rPr>
          <w:rFonts w:cs="Arial"/>
          <w:b/>
          <w:color w:val="232120"/>
        </w:rPr>
        <w:t xml:space="preserve"> </w:t>
      </w:r>
      <w:r w:rsidRPr="00121A08">
        <w:rPr>
          <w:rFonts w:cs="Arial"/>
          <w:b/>
          <w:color w:val="232120"/>
        </w:rPr>
        <w:t>and</w:t>
      </w:r>
      <w:r w:rsidR="00EB25F9">
        <w:rPr>
          <w:rFonts w:cs="Arial"/>
          <w:b/>
          <w:color w:val="232120"/>
        </w:rPr>
        <w:t xml:space="preserve"> </w:t>
      </w:r>
      <w:r w:rsidRPr="00121A08">
        <w:rPr>
          <w:rFonts w:cs="Arial"/>
          <w:b/>
          <w:color w:val="232120"/>
        </w:rPr>
        <w:t>“</w:t>
      </w:r>
      <w:proofErr w:type="spellStart"/>
      <w:r w:rsidRPr="00121A08">
        <w:rPr>
          <w:rFonts w:cs="Arial"/>
          <w:b/>
          <w:color w:val="232120"/>
        </w:rPr>
        <w:t>candour</w:t>
      </w:r>
      <w:proofErr w:type="spellEnd"/>
      <w:r w:rsidRPr="00121A08">
        <w:rPr>
          <w:rFonts w:cs="Arial"/>
          <w:b/>
          <w:color w:val="232120"/>
        </w:rPr>
        <w:t>”</w:t>
      </w:r>
    </w:p>
    <w:p w14:paraId="7AA86D4E" w14:textId="27523556" w:rsidR="00F410B4" w:rsidRDefault="009223C2" w:rsidP="00EF7848">
      <w:pPr>
        <w:pStyle w:val="Default"/>
        <w:spacing w:line="360" w:lineRule="auto"/>
        <w:ind w:left="720" w:hanging="720"/>
        <w:rPr>
          <w:rFonts w:cs="Arial"/>
          <w:b/>
          <w:color w:val="232120"/>
        </w:rPr>
      </w:pPr>
      <w:r>
        <w:rPr>
          <w:rFonts w:cs="Arial"/>
          <w:b/>
          <w:color w:val="232120"/>
        </w:rPr>
        <w:t>3.0</w:t>
      </w:r>
      <w:r>
        <w:rPr>
          <w:rFonts w:cs="Arial"/>
          <w:b/>
          <w:color w:val="232120"/>
        </w:rPr>
        <w:tab/>
      </w:r>
      <w:r w:rsidR="009C1585">
        <w:rPr>
          <w:rFonts w:cs="Arial"/>
          <w:b/>
          <w:color w:val="232120"/>
        </w:rPr>
        <w:t xml:space="preserve"> </w:t>
      </w:r>
      <w:r w:rsidR="009C1585" w:rsidRPr="009C1585">
        <w:rPr>
          <w:rFonts w:cs="Arial"/>
          <w:b/>
          <w:color w:val="232120"/>
        </w:rPr>
        <w:t xml:space="preserve">Statutory individual Duty of </w:t>
      </w:r>
      <w:proofErr w:type="spellStart"/>
      <w:r w:rsidR="009C1585" w:rsidRPr="009C1585">
        <w:rPr>
          <w:rFonts w:cs="Arial"/>
          <w:b/>
          <w:color w:val="232120"/>
        </w:rPr>
        <w:t>Candour</w:t>
      </w:r>
      <w:proofErr w:type="spellEnd"/>
      <w:r w:rsidR="002F17FE">
        <w:rPr>
          <w:rFonts w:cs="Arial"/>
          <w:b/>
          <w:color w:val="232120"/>
        </w:rPr>
        <w:tab/>
      </w:r>
      <w:r w:rsidR="002F17FE">
        <w:rPr>
          <w:rFonts w:cs="Arial"/>
          <w:b/>
          <w:color w:val="232120"/>
        </w:rPr>
        <w:tab/>
      </w:r>
      <w:r w:rsidR="00EE048C">
        <w:rPr>
          <w:rFonts w:cs="Arial"/>
          <w:b/>
          <w:color w:val="232120"/>
        </w:rPr>
        <w:tab/>
      </w:r>
      <w:r w:rsidR="00EE048C">
        <w:rPr>
          <w:rFonts w:cs="Arial"/>
          <w:b/>
          <w:color w:val="232120"/>
        </w:rPr>
        <w:tab/>
      </w:r>
      <w:r w:rsidR="00EE048C">
        <w:rPr>
          <w:rFonts w:cs="Arial"/>
          <w:b/>
          <w:color w:val="232120"/>
        </w:rPr>
        <w:tab/>
        <w:t xml:space="preserve">     </w:t>
      </w:r>
      <w:r w:rsidR="002F17FE">
        <w:rPr>
          <w:rFonts w:cs="Arial"/>
          <w:b/>
          <w:color w:val="232120"/>
        </w:rPr>
        <w:tab/>
      </w:r>
      <w:r w:rsidR="00EE048C">
        <w:rPr>
          <w:rFonts w:cs="Arial"/>
          <w:b/>
          <w:color w:val="232120"/>
        </w:rPr>
        <w:t xml:space="preserve"> </w:t>
      </w:r>
      <w:r w:rsidR="00490ED8">
        <w:rPr>
          <w:rFonts w:cs="Arial"/>
          <w:b/>
          <w:color w:val="232120"/>
        </w:rPr>
        <w:t>6</w:t>
      </w:r>
      <w:r w:rsidR="00EE048C">
        <w:rPr>
          <w:rFonts w:cs="Arial"/>
          <w:b/>
          <w:color w:val="232120"/>
        </w:rPr>
        <w:t xml:space="preserve">       </w:t>
      </w:r>
    </w:p>
    <w:p w14:paraId="3B0B5B9E" w14:textId="0CDD573A" w:rsidR="00EB25F9" w:rsidRPr="00EF7848" w:rsidRDefault="00985F1A" w:rsidP="00B60ED1">
      <w:pPr>
        <w:pStyle w:val="Default"/>
        <w:tabs>
          <w:tab w:val="left" w:pos="142"/>
        </w:tabs>
        <w:spacing w:line="360" w:lineRule="auto"/>
        <w:ind w:left="709" w:right="77" w:hanging="709"/>
        <w:rPr>
          <w:rFonts w:cs="Arial"/>
          <w:b/>
          <w:color w:val="232120"/>
          <w:lang w:val="en-GB"/>
        </w:rPr>
      </w:pPr>
      <w:r>
        <w:rPr>
          <w:rFonts w:cs="Arial"/>
          <w:b/>
          <w:color w:val="232120"/>
        </w:rPr>
        <w:t>4</w:t>
      </w:r>
      <w:r w:rsidR="00EB25F9">
        <w:rPr>
          <w:rFonts w:cs="Arial"/>
          <w:b/>
          <w:color w:val="232120"/>
        </w:rPr>
        <w:t>.0</w:t>
      </w:r>
      <w:r w:rsidR="00EB25F9">
        <w:rPr>
          <w:rFonts w:cs="Arial"/>
          <w:b/>
          <w:color w:val="232120"/>
        </w:rPr>
        <w:tab/>
      </w:r>
      <w:r w:rsidR="009C1585">
        <w:rPr>
          <w:rFonts w:cs="Arial"/>
          <w:b/>
          <w:color w:val="232120"/>
        </w:rPr>
        <w:t xml:space="preserve"> </w:t>
      </w:r>
      <w:r w:rsidR="00B336E0" w:rsidRPr="00B336E0">
        <w:rPr>
          <w:rFonts w:cs="Arial"/>
          <w:b/>
          <w:color w:val="232120"/>
        </w:rPr>
        <w:t xml:space="preserve">Scope of a statutory </w:t>
      </w:r>
      <w:proofErr w:type="spellStart"/>
      <w:r w:rsidR="00B336E0" w:rsidRPr="00B336E0">
        <w:rPr>
          <w:rFonts w:cs="Arial"/>
          <w:b/>
          <w:color w:val="232120"/>
        </w:rPr>
        <w:t>organisational</w:t>
      </w:r>
      <w:proofErr w:type="spellEnd"/>
      <w:r w:rsidR="00B336E0" w:rsidRPr="00B336E0">
        <w:rPr>
          <w:rFonts w:cs="Arial"/>
          <w:b/>
          <w:color w:val="232120"/>
        </w:rPr>
        <w:t xml:space="preserve"> Duty of </w:t>
      </w:r>
      <w:proofErr w:type="spellStart"/>
      <w:r w:rsidR="00B336E0" w:rsidRPr="00B336E0">
        <w:rPr>
          <w:rFonts w:cs="Arial"/>
          <w:b/>
          <w:color w:val="232120"/>
        </w:rPr>
        <w:t>Candour</w:t>
      </w:r>
      <w:proofErr w:type="spellEnd"/>
      <w:r w:rsidR="00B336E0" w:rsidRPr="00B336E0">
        <w:rPr>
          <w:rFonts w:cs="Arial"/>
          <w:b/>
          <w:color w:val="232120"/>
        </w:rPr>
        <w:t xml:space="preserve"> and </w:t>
      </w:r>
      <w:proofErr w:type="gramStart"/>
      <w:r w:rsidR="00B336E0" w:rsidRPr="00B336E0">
        <w:rPr>
          <w:rFonts w:cs="Arial"/>
          <w:b/>
          <w:color w:val="232120"/>
        </w:rPr>
        <w:t>a</w:t>
      </w:r>
      <w:proofErr w:type="gramEnd"/>
      <w:r w:rsidR="00B336E0">
        <w:rPr>
          <w:rFonts w:cs="Arial"/>
          <w:b/>
          <w:color w:val="232120"/>
        </w:rPr>
        <w:t xml:space="preserve"> </w:t>
      </w:r>
      <w:r w:rsidR="00490ED8">
        <w:rPr>
          <w:rFonts w:cs="Arial"/>
          <w:b/>
          <w:color w:val="232120"/>
        </w:rPr>
        <w:t xml:space="preserve">         </w:t>
      </w:r>
      <w:r w:rsidR="00B60ED1">
        <w:rPr>
          <w:rFonts w:cs="Arial"/>
          <w:b/>
          <w:color w:val="232120"/>
        </w:rPr>
        <w:t>8</w:t>
      </w:r>
      <w:r w:rsidR="00B60ED1">
        <w:rPr>
          <w:rFonts w:cs="Arial"/>
          <w:b/>
          <w:color w:val="232120"/>
        </w:rPr>
        <w:br/>
        <w:t xml:space="preserve"> </w:t>
      </w:r>
      <w:r w:rsidR="00B60ED1" w:rsidRPr="00B336E0">
        <w:rPr>
          <w:rFonts w:cs="Arial"/>
          <w:b/>
          <w:color w:val="232120"/>
        </w:rPr>
        <w:t xml:space="preserve">statutory individual Duty of </w:t>
      </w:r>
      <w:proofErr w:type="spellStart"/>
      <w:r w:rsidR="00B60ED1" w:rsidRPr="00B336E0">
        <w:rPr>
          <w:rFonts w:cs="Arial"/>
          <w:b/>
          <w:color w:val="232120"/>
        </w:rPr>
        <w:t>Candour</w:t>
      </w:r>
      <w:proofErr w:type="spellEnd"/>
      <w:r w:rsidR="00B60ED1">
        <w:rPr>
          <w:rFonts w:cs="Arial"/>
          <w:b/>
          <w:color w:val="232120"/>
        </w:rPr>
        <w:tab/>
      </w:r>
      <w:r w:rsidR="00EB25F9">
        <w:rPr>
          <w:rFonts w:cs="Arial"/>
          <w:b/>
          <w:color w:val="232120"/>
        </w:rPr>
        <w:t xml:space="preserve"> </w:t>
      </w:r>
    </w:p>
    <w:p w14:paraId="45EA14B4" w14:textId="38140F06" w:rsidR="00235BC0" w:rsidRDefault="00985F1A" w:rsidP="00B82139">
      <w:pPr>
        <w:pStyle w:val="Default"/>
        <w:spacing w:line="360" w:lineRule="auto"/>
        <w:ind w:left="720" w:hanging="720"/>
        <w:rPr>
          <w:rFonts w:cs="Arial"/>
          <w:b/>
          <w:color w:val="232120"/>
        </w:rPr>
      </w:pPr>
      <w:r>
        <w:rPr>
          <w:rFonts w:cs="Arial"/>
          <w:b/>
          <w:color w:val="232120"/>
        </w:rPr>
        <w:t>5</w:t>
      </w:r>
      <w:r w:rsidR="00EB25F9">
        <w:rPr>
          <w:rFonts w:cs="Arial"/>
          <w:b/>
          <w:color w:val="232120"/>
        </w:rPr>
        <w:t>.0</w:t>
      </w:r>
      <w:r w:rsidR="00EB25F9">
        <w:rPr>
          <w:rFonts w:cs="Arial"/>
          <w:b/>
          <w:color w:val="232120"/>
        </w:rPr>
        <w:tab/>
      </w:r>
      <w:r w:rsidR="009C1585">
        <w:rPr>
          <w:rFonts w:cs="Arial"/>
          <w:b/>
          <w:color w:val="232120"/>
        </w:rPr>
        <w:t xml:space="preserve"> </w:t>
      </w:r>
      <w:r w:rsidR="00D53A93" w:rsidRPr="00D53A93">
        <w:rPr>
          <w:rFonts w:cs="Arial"/>
          <w:b/>
          <w:color w:val="232120"/>
        </w:rPr>
        <w:t xml:space="preserve">Routine requirements of statutory </w:t>
      </w:r>
      <w:proofErr w:type="spellStart"/>
      <w:r w:rsidR="00D53A93" w:rsidRPr="00D53A93">
        <w:rPr>
          <w:rFonts w:cs="Arial"/>
          <w:b/>
          <w:color w:val="232120"/>
        </w:rPr>
        <w:t>organisational</w:t>
      </w:r>
      <w:proofErr w:type="spellEnd"/>
      <w:r w:rsidR="00D53A93" w:rsidRPr="00D53A93">
        <w:rPr>
          <w:rFonts w:cs="Arial"/>
          <w:b/>
          <w:color w:val="232120"/>
        </w:rPr>
        <w:t xml:space="preserve"> and </w:t>
      </w:r>
      <w:r w:rsidR="005D375B">
        <w:rPr>
          <w:rFonts w:cs="Arial"/>
          <w:b/>
          <w:color w:val="232120"/>
        </w:rPr>
        <w:tab/>
      </w:r>
      <w:r w:rsidR="005D375B">
        <w:rPr>
          <w:rFonts w:cs="Arial"/>
          <w:b/>
          <w:color w:val="232120"/>
        </w:rPr>
        <w:tab/>
      </w:r>
      <w:r w:rsidR="00B60ED1">
        <w:rPr>
          <w:rFonts w:cs="Arial"/>
          <w:b/>
          <w:color w:val="232120"/>
        </w:rPr>
        <w:t>10</w:t>
      </w:r>
    </w:p>
    <w:p w14:paraId="5ACD1851" w14:textId="5697F6B6" w:rsidR="00EB25F9" w:rsidRDefault="001F0319" w:rsidP="00EF7848">
      <w:pPr>
        <w:pStyle w:val="Default"/>
        <w:spacing w:line="360" w:lineRule="auto"/>
        <w:ind w:left="720"/>
        <w:rPr>
          <w:rFonts w:cs="Arial"/>
          <w:b/>
          <w:color w:val="232120"/>
        </w:rPr>
      </w:pPr>
      <w:r>
        <w:rPr>
          <w:rFonts w:cs="Arial"/>
          <w:b/>
          <w:color w:val="232120"/>
        </w:rPr>
        <w:t xml:space="preserve"> </w:t>
      </w:r>
      <w:r w:rsidR="00B60ED1">
        <w:rPr>
          <w:rFonts w:cs="Arial"/>
          <w:b/>
          <w:color w:val="232120"/>
        </w:rPr>
        <w:t>i</w:t>
      </w:r>
      <w:r w:rsidR="00D53A93" w:rsidRPr="00D53A93">
        <w:rPr>
          <w:rFonts w:cs="Arial"/>
          <w:b/>
          <w:color w:val="232120"/>
        </w:rPr>
        <w:t>ndividual</w:t>
      </w:r>
      <w:r w:rsidR="00235BC0">
        <w:rPr>
          <w:rFonts w:cs="Arial"/>
          <w:b/>
          <w:color w:val="232120"/>
        </w:rPr>
        <w:t xml:space="preserve"> </w:t>
      </w:r>
      <w:r w:rsidR="00D53A93" w:rsidRPr="00D53A93">
        <w:rPr>
          <w:rFonts w:cs="Arial"/>
          <w:b/>
          <w:color w:val="232120"/>
        </w:rPr>
        <w:t xml:space="preserve">Duties of </w:t>
      </w:r>
      <w:proofErr w:type="spellStart"/>
      <w:r w:rsidR="00D53A93" w:rsidRPr="00D53A93">
        <w:rPr>
          <w:rFonts w:cs="Arial"/>
          <w:b/>
          <w:color w:val="232120"/>
        </w:rPr>
        <w:t>Candour</w:t>
      </w:r>
      <w:proofErr w:type="spellEnd"/>
    </w:p>
    <w:p w14:paraId="150A7CBF" w14:textId="7DD2304B" w:rsidR="00EB25F9" w:rsidRPr="00331C61" w:rsidRDefault="00985F1A" w:rsidP="00EF7848">
      <w:pPr>
        <w:pStyle w:val="Default"/>
        <w:spacing w:line="360" w:lineRule="auto"/>
        <w:ind w:left="720" w:hanging="720"/>
        <w:rPr>
          <w:rFonts w:cs="Arial"/>
          <w:b/>
          <w:color w:val="232120"/>
        </w:rPr>
      </w:pPr>
      <w:r>
        <w:rPr>
          <w:rFonts w:cs="Arial"/>
          <w:b/>
          <w:color w:val="232120"/>
        </w:rPr>
        <w:t>6</w:t>
      </w:r>
      <w:r w:rsidR="00EB25F9">
        <w:rPr>
          <w:rFonts w:cs="Arial"/>
          <w:b/>
          <w:color w:val="232120"/>
        </w:rPr>
        <w:t>.0</w:t>
      </w:r>
      <w:r w:rsidR="00EB25F9">
        <w:rPr>
          <w:rFonts w:cs="Arial"/>
          <w:b/>
          <w:color w:val="232120"/>
        </w:rPr>
        <w:tab/>
      </w:r>
      <w:r w:rsidR="009C1585">
        <w:rPr>
          <w:rFonts w:cs="Arial"/>
          <w:b/>
          <w:color w:val="232120"/>
        </w:rPr>
        <w:t xml:space="preserve"> </w:t>
      </w:r>
      <w:r w:rsidR="00EB25F9" w:rsidRPr="00EB25F9">
        <w:rPr>
          <w:rFonts w:cs="Arial"/>
          <w:b/>
          <w:color w:val="232120"/>
        </w:rPr>
        <w:t>Significant harm threshold</w:t>
      </w:r>
      <w:r w:rsidR="00EB25F9">
        <w:rPr>
          <w:rFonts w:cs="Arial"/>
          <w:b/>
          <w:color w:val="232120"/>
        </w:rPr>
        <w:tab/>
      </w:r>
      <w:r w:rsidR="00EB25F9">
        <w:rPr>
          <w:rFonts w:cs="Arial"/>
          <w:b/>
          <w:color w:val="232120"/>
        </w:rPr>
        <w:tab/>
      </w:r>
      <w:r w:rsidR="00EB25F9">
        <w:rPr>
          <w:rFonts w:cs="Arial"/>
          <w:b/>
          <w:color w:val="232120"/>
        </w:rPr>
        <w:tab/>
      </w:r>
      <w:r w:rsidR="00EB25F9">
        <w:rPr>
          <w:rFonts w:cs="Arial"/>
          <w:b/>
          <w:color w:val="232120"/>
        </w:rPr>
        <w:tab/>
      </w:r>
      <w:r w:rsidR="00EB25F9">
        <w:rPr>
          <w:rFonts w:cs="Arial"/>
          <w:b/>
          <w:color w:val="232120"/>
        </w:rPr>
        <w:tab/>
      </w:r>
      <w:r w:rsidR="00EB25F9">
        <w:rPr>
          <w:rFonts w:cs="Arial"/>
          <w:b/>
          <w:color w:val="232120"/>
        </w:rPr>
        <w:tab/>
      </w:r>
      <w:r w:rsidR="00EB25F9">
        <w:rPr>
          <w:rFonts w:cs="Arial"/>
          <w:b/>
          <w:color w:val="232120"/>
        </w:rPr>
        <w:tab/>
      </w:r>
      <w:r w:rsidR="005D375B">
        <w:rPr>
          <w:rFonts w:cs="Arial"/>
          <w:b/>
          <w:color w:val="232120"/>
        </w:rPr>
        <w:t>1</w:t>
      </w:r>
      <w:r w:rsidR="00B60ED1">
        <w:rPr>
          <w:rFonts w:cs="Arial"/>
          <w:b/>
          <w:color w:val="232120"/>
        </w:rPr>
        <w:t>2</w:t>
      </w:r>
    </w:p>
    <w:p w14:paraId="7504D0A8" w14:textId="201D0144" w:rsidR="002D03B5" w:rsidRDefault="00985F1A" w:rsidP="00EF7848">
      <w:pPr>
        <w:pStyle w:val="Default"/>
        <w:spacing w:line="360" w:lineRule="auto"/>
        <w:rPr>
          <w:rFonts w:cs="Arial"/>
          <w:b/>
          <w:color w:val="232120"/>
        </w:rPr>
      </w:pPr>
      <w:r>
        <w:rPr>
          <w:rFonts w:cs="Arial"/>
          <w:b/>
          <w:color w:val="232120"/>
          <w:lang w:val="en-GB"/>
        </w:rPr>
        <w:t>7</w:t>
      </w:r>
      <w:r w:rsidR="008340D7" w:rsidRPr="008340D7">
        <w:rPr>
          <w:rFonts w:cs="Arial"/>
          <w:b/>
          <w:color w:val="232120"/>
          <w:lang w:val="en-GB"/>
        </w:rPr>
        <w:t>.0</w:t>
      </w:r>
      <w:r w:rsidR="008340D7" w:rsidRPr="008340D7">
        <w:rPr>
          <w:rFonts w:cs="Arial"/>
          <w:b/>
          <w:color w:val="232120"/>
          <w:lang w:val="en-GB"/>
        </w:rPr>
        <w:tab/>
      </w:r>
      <w:r w:rsidR="009C1585">
        <w:rPr>
          <w:rFonts w:cs="Arial"/>
          <w:b/>
          <w:color w:val="232120"/>
          <w:lang w:val="en-GB"/>
        </w:rPr>
        <w:t xml:space="preserve"> </w:t>
      </w:r>
      <w:r w:rsidR="008340D7" w:rsidRPr="008340D7">
        <w:rPr>
          <w:rFonts w:cs="Arial"/>
          <w:b/>
          <w:color w:val="232120"/>
          <w:lang w:val="en-GB"/>
        </w:rPr>
        <w:t>Requirements when things go wrong</w:t>
      </w:r>
      <w:r w:rsidR="003F0536">
        <w:rPr>
          <w:rFonts w:cs="Arial"/>
          <w:b/>
          <w:color w:val="232120"/>
          <w:lang w:val="en-GB"/>
        </w:rPr>
        <w:tab/>
      </w:r>
      <w:r w:rsidR="003F0536">
        <w:rPr>
          <w:rFonts w:cs="Arial"/>
          <w:b/>
          <w:color w:val="232120"/>
          <w:lang w:val="en-GB"/>
        </w:rPr>
        <w:tab/>
      </w:r>
      <w:r w:rsidR="003F0536">
        <w:rPr>
          <w:rFonts w:cs="Arial"/>
          <w:b/>
          <w:color w:val="232120"/>
          <w:lang w:val="en-GB"/>
        </w:rPr>
        <w:tab/>
      </w:r>
      <w:r w:rsidR="003F0536">
        <w:rPr>
          <w:rFonts w:cs="Arial"/>
          <w:b/>
          <w:color w:val="232120"/>
          <w:lang w:val="en-GB"/>
        </w:rPr>
        <w:tab/>
      </w:r>
      <w:r w:rsidR="003F0536">
        <w:rPr>
          <w:rFonts w:cs="Arial"/>
          <w:b/>
          <w:color w:val="232120"/>
          <w:lang w:val="en-GB"/>
        </w:rPr>
        <w:tab/>
        <w:t>1</w:t>
      </w:r>
      <w:r w:rsidR="009672B3">
        <w:rPr>
          <w:rFonts w:cs="Arial"/>
          <w:b/>
          <w:color w:val="232120"/>
          <w:lang w:val="en-GB"/>
        </w:rPr>
        <w:t>4</w:t>
      </w:r>
    </w:p>
    <w:p w14:paraId="42A0745D" w14:textId="3782F619" w:rsidR="008A4E47" w:rsidRDefault="00985F1A" w:rsidP="00EF7848">
      <w:pPr>
        <w:pStyle w:val="Default"/>
        <w:spacing w:line="360" w:lineRule="auto"/>
        <w:rPr>
          <w:rFonts w:cs="Arial"/>
          <w:b/>
          <w:color w:val="232120"/>
          <w:lang w:val="en-GB"/>
        </w:rPr>
      </w:pPr>
      <w:r>
        <w:rPr>
          <w:rFonts w:cs="Arial"/>
          <w:b/>
          <w:color w:val="232120"/>
          <w:lang w:val="en-GB"/>
        </w:rPr>
        <w:t>8</w:t>
      </w:r>
      <w:r w:rsidR="008A4E47" w:rsidRPr="008340D7">
        <w:rPr>
          <w:rFonts w:cs="Arial"/>
          <w:b/>
          <w:color w:val="232120"/>
          <w:lang w:val="en-GB"/>
        </w:rPr>
        <w:t>.0</w:t>
      </w:r>
      <w:r w:rsidR="008A4E47" w:rsidRPr="008340D7">
        <w:rPr>
          <w:rFonts w:cs="Arial"/>
          <w:b/>
          <w:color w:val="232120"/>
          <w:lang w:val="en-GB"/>
        </w:rPr>
        <w:tab/>
      </w:r>
      <w:r w:rsidR="009C1585">
        <w:rPr>
          <w:rFonts w:cs="Arial"/>
          <w:b/>
          <w:color w:val="232120"/>
          <w:lang w:val="en-GB"/>
        </w:rPr>
        <w:t xml:space="preserve"> </w:t>
      </w:r>
      <w:r w:rsidR="003150F6">
        <w:rPr>
          <w:rFonts w:cs="Arial"/>
          <w:b/>
          <w:color w:val="232120"/>
          <w:lang w:val="en-GB"/>
        </w:rPr>
        <w:t>Apologies</w:t>
      </w:r>
      <w:r w:rsidR="00EA76A1">
        <w:rPr>
          <w:rFonts w:cs="Arial"/>
          <w:b/>
          <w:color w:val="232120"/>
          <w:lang w:val="en-GB"/>
        </w:rPr>
        <w:tab/>
      </w:r>
      <w:r w:rsidR="00EA76A1">
        <w:rPr>
          <w:rFonts w:cs="Arial"/>
          <w:b/>
          <w:color w:val="232120"/>
          <w:lang w:val="en-GB"/>
        </w:rPr>
        <w:tab/>
      </w:r>
      <w:r w:rsidR="00EA76A1">
        <w:rPr>
          <w:rFonts w:cs="Arial"/>
          <w:b/>
          <w:color w:val="232120"/>
          <w:lang w:val="en-GB"/>
        </w:rPr>
        <w:tab/>
      </w:r>
      <w:r w:rsidR="00EA76A1">
        <w:rPr>
          <w:rFonts w:cs="Arial"/>
          <w:b/>
          <w:color w:val="232120"/>
          <w:lang w:val="en-GB"/>
        </w:rPr>
        <w:tab/>
      </w:r>
      <w:r w:rsidR="00EA76A1">
        <w:rPr>
          <w:rFonts w:cs="Arial"/>
          <w:b/>
          <w:color w:val="232120"/>
          <w:lang w:val="en-GB"/>
        </w:rPr>
        <w:tab/>
      </w:r>
      <w:r w:rsidR="00EA76A1">
        <w:rPr>
          <w:rFonts w:cs="Arial"/>
          <w:b/>
          <w:color w:val="232120"/>
          <w:lang w:val="en-GB"/>
        </w:rPr>
        <w:tab/>
      </w:r>
      <w:r w:rsidR="00EA76A1">
        <w:rPr>
          <w:rFonts w:cs="Arial"/>
          <w:b/>
          <w:color w:val="232120"/>
          <w:lang w:val="en-GB"/>
        </w:rPr>
        <w:tab/>
      </w:r>
      <w:r w:rsidR="00EA76A1">
        <w:rPr>
          <w:rFonts w:cs="Arial"/>
          <w:b/>
          <w:color w:val="232120"/>
          <w:lang w:val="en-GB"/>
        </w:rPr>
        <w:tab/>
      </w:r>
      <w:r w:rsidR="00EA76A1">
        <w:rPr>
          <w:rFonts w:cs="Arial"/>
          <w:b/>
          <w:color w:val="232120"/>
          <w:lang w:val="en-GB"/>
        </w:rPr>
        <w:tab/>
      </w:r>
      <w:r w:rsidR="00EA76A1">
        <w:rPr>
          <w:rFonts w:cs="Arial"/>
          <w:b/>
          <w:color w:val="232120"/>
          <w:lang w:val="en-GB"/>
        </w:rPr>
        <w:tab/>
      </w:r>
      <w:r w:rsidR="00EA76A1">
        <w:rPr>
          <w:rFonts w:cs="Arial"/>
          <w:b/>
          <w:color w:val="232120"/>
          <w:lang w:val="en-GB"/>
        </w:rPr>
        <w:tab/>
      </w:r>
      <w:r w:rsidR="00AC6349">
        <w:rPr>
          <w:rFonts w:cs="Arial"/>
          <w:b/>
          <w:color w:val="232120"/>
          <w:lang w:val="en-GB"/>
        </w:rPr>
        <w:t>1</w:t>
      </w:r>
      <w:r w:rsidR="009672B3">
        <w:rPr>
          <w:rFonts w:cs="Arial"/>
          <w:b/>
          <w:color w:val="232120"/>
          <w:lang w:val="en-GB"/>
        </w:rPr>
        <w:t>5</w:t>
      </w:r>
    </w:p>
    <w:p w14:paraId="09057FCC" w14:textId="379FDD3E" w:rsidR="003150F6" w:rsidRDefault="00985F1A" w:rsidP="00EF7848">
      <w:pPr>
        <w:pStyle w:val="Default"/>
        <w:spacing w:line="360" w:lineRule="auto"/>
        <w:rPr>
          <w:rFonts w:cs="Arial"/>
          <w:b/>
          <w:color w:val="232120"/>
          <w:lang w:val="en-GB"/>
        </w:rPr>
      </w:pPr>
      <w:r>
        <w:rPr>
          <w:rFonts w:cs="Arial"/>
          <w:b/>
          <w:color w:val="232120"/>
          <w:lang w:val="en-GB"/>
        </w:rPr>
        <w:t>9</w:t>
      </w:r>
      <w:r w:rsidR="003150F6">
        <w:rPr>
          <w:rFonts w:cs="Arial"/>
          <w:b/>
          <w:color w:val="232120"/>
          <w:lang w:val="en-GB"/>
        </w:rPr>
        <w:t>.0</w:t>
      </w:r>
      <w:r w:rsidR="005A7283">
        <w:rPr>
          <w:rFonts w:cs="Arial"/>
          <w:b/>
          <w:color w:val="232120"/>
          <w:lang w:val="en-GB"/>
        </w:rPr>
        <w:tab/>
      </w:r>
      <w:r w:rsidR="009C1585">
        <w:rPr>
          <w:rFonts w:cs="Arial"/>
          <w:b/>
          <w:color w:val="232120"/>
          <w:lang w:val="en-GB"/>
        </w:rPr>
        <w:t xml:space="preserve"> </w:t>
      </w:r>
      <w:r w:rsidR="005A7283" w:rsidRPr="005A7283">
        <w:rPr>
          <w:rFonts w:cs="Arial"/>
          <w:b/>
          <w:color w:val="232120"/>
          <w:lang w:val="en-GB"/>
        </w:rPr>
        <w:t>Proposals for support for staff</w:t>
      </w:r>
      <w:r w:rsidR="00B054A1">
        <w:rPr>
          <w:rFonts w:cs="Arial"/>
          <w:b/>
          <w:color w:val="232120"/>
          <w:lang w:val="en-GB"/>
        </w:rPr>
        <w:tab/>
      </w:r>
      <w:r w:rsidR="00B054A1">
        <w:rPr>
          <w:rFonts w:cs="Arial"/>
          <w:b/>
          <w:color w:val="232120"/>
          <w:lang w:val="en-GB"/>
        </w:rPr>
        <w:tab/>
      </w:r>
      <w:r w:rsidR="00B054A1">
        <w:rPr>
          <w:rFonts w:cs="Arial"/>
          <w:b/>
          <w:color w:val="232120"/>
          <w:lang w:val="en-GB"/>
        </w:rPr>
        <w:tab/>
      </w:r>
      <w:r w:rsidR="00B054A1">
        <w:rPr>
          <w:rFonts w:cs="Arial"/>
          <w:b/>
          <w:color w:val="232120"/>
          <w:lang w:val="en-GB"/>
        </w:rPr>
        <w:tab/>
      </w:r>
      <w:r w:rsidR="00B054A1">
        <w:rPr>
          <w:rFonts w:cs="Arial"/>
          <w:b/>
          <w:color w:val="232120"/>
          <w:lang w:val="en-GB"/>
        </w:rPr>
        <w:tab/>
      </w:r>
      <w:r w:rsidR="00B054A1">
        <w:rPr>
          <w:rFonts w:cs="Arial"/>
          <w:b/>
          <w:color w:val="232120"/>
          <w:lang w:val="en-GB"/>
        </w:rPr>
        <w:tab/>
      </w:r>
      <w:r w:rsidR="00B054A1">
        <w:rPr>
          <w:rFonts w:cs="Arial"/>
          <w:b/>
          <w:color w:val="232120"/>
          <w:lang w:val="en-GB"/>
        </w:rPr>
        <w:tab/>
        <w:t>1</w:t>
      </w:r>
      <w:r w:rsidR="009672B3">
        <w:rPr>
          <w:rFonts w:cs="Arial"/>
          <w:b/>
          <w:color w:val="232120"/>
          <w:lang w:val="en-GB"/>
        </w:rPr>
        <w:t>6</w:t>
      </w:r>
    </w:p>
    <w:p w14:paraId="1E9709F6" w14:textId="4EA4978E" w:rsidR="005A7283" w:rsidRDefault="00985F1A" w:rsidP="00EF7848">
      <w:pPr>
        <w:pStyle w:val="Default"/>
        <w:spacing w:line="360" w:lineRule="auto"/>
        <w:rPr>
          <w:rFonts w:cs="Arial"/>
          <w:b/>
          <w:color w:val="232120"/>
          <w:lang w:val="en-GB"/>
        </w:rPr>
      </w:pPr>
      <w:r>
        <w:rPr>
          <w:rFonts w:cs="Arial"/>
          <w:b/>
          <w:color w:val="232120"/>
          <w:lang w:val="en-GB"/>
        </w:rPr>
        <w:t>10</w:t>
      </w:r>
      <w:r w:rsidR="005A7283">
        <w:rPr>
          <w:rFonts w:cs="Arial"/>
          <w:b/>
          <w:color w:val="232120"/>
          <w:lang w:val="en-GB"/>
        </w:rPr>
        <w:t>.0</w:t>
      </w:r>
      <w:r w:rsidR="00F410B4">
        <w:rPr>
          <w:rFonts w:cs="Arial"/>
          <w:b/>
          <w:color w:val="232120"/>
          <w:lang w:val="en-GB"/>
        </w:rPr>
        <w:tab/>
      </w:r>
      <w:r w:rsidR="009C1585">
        <w:rPr>
          <w:rFonts w:cs="Arial"/>
          <w:b/>
          <w:color w:val="232120"/>
          <w:lang w:val="en-GB"/>
        </w:rPr>
        <w:t xml:space="preserve"> </w:t>
      </w:r>
      <w:r w:rsidR="00F410B4" w:rsidRPr="00F410B4">
        <w:rPr>
          <w:rFonts w:cs="Arial"/>
          <w:b/>
          <w:color w:val="232120"/>
          <w:lang w:val="en-GB"/>
        </w:rPr>
        <w:t>Reporting and monitoring</w:t>
      </w:r>
      <w:r w:rsidR="00002DF8">
        <w:rPr>
          <w:rFonts w:cs="Arial"/>
          <w:b/>
          <w:color w:val="232120"/>
          <w:lang w:val="en-GB"/>
        </w:rPr>
        <w:tab/>
      </w:r>
      <w:r w:rsidR="00002DF8">
        <w:rPr>
          <w:rFonts w:cs="Arial"/>
          <w:b/>
          <w:color w:val="232120"/>
          <w:lang w:val="en-GB"/>
        </w:rPr>
        <w:tab/>
      </w:r>
      <w:r w:rsidR="00002DF8">
        <w:rPr>
          <w:rFonts w:cs="Arial"/>
          <w:b/>
          <w:color w:val="232120"/>
          <w:lang w:val="en-GB"/>
        </w:rPr>
        <w:tab/>
      </w:r>
      <w:r w:rsidR="00002DF8">
        <w:rPr>
          <w:rFonts w:cs="Arial"/>
          <w:b/>
          <w:color w:val="232120"/>
          <w:lang w:val="en-GB"/>
        </w:rPr>
        <w:tab/>
      </w:r>
      <w:r w:rsidR="00002DF8">
        <w:rPr>
          <w:rFonts w:cs="Arial"/>
          <w:b/>
          <w:color w:val="232120"/>
          <w:lang w:val="en-GB"/>
        </w:rPr>
        <w:tab/>
      </w:r>
      <w:r w:rsidR="00002DF8">
        <w:rPr>
          <w:rFonts w:cs="Arial"/>
          <w:b/>
          <w:color w:val="232120"/>
          <w:lang w:val="en-GB"/>
        </w:rPr>
        <w:tab/>
      </w:r>
      <w:r w:rsidR="00002DF8">
        <w:rPr>
          <w:rFonts w:cs="Arial"/>
          <w:b/>
          <w:color w:val="232120"/>
          <w:lang w:val="en-GB"/>
        </w:rPr>
        <w:tab/>
      </w:r>
      <w:r w:rsidR="00002DF8">
        <w:rPr>
          <w:rFonts w:cs="Arial"/>
          <w:b/>
          <w:color w:val="232120"/>
          <w:lang w:val="en-GB"/>
        </w:rPr>
        <w:tab/>
        <w:t>1</w:t>
      </w:r>
      <w:r w:rsidR="009672B3">
        <w:rPr>
          <w:rFonts w:cs="Arial"/>
          <w:b/>
          <w:color w:val="232120"/>
          <w:lang w:val="en-GB"/>
        </w:rPr>
        <w:t>7</w:t>
      </w:r>
    </w:p>
    <w:p w14:paraId="3EC274B5" w14:textId="740788CB" w:rsidR="00F410B4" w:rsidRDefault="00F410B4" w:rsidP="00EF7848">
      <w:pPr>
        <w:pStyle w:val="Default"/>
        <w:spacing w:line="360" w:lineRule="auto"/>
        <w:rPr>
          <w:rFonts w:cs="Arial"/>
          <w:b/>
          <w:color w:val="232120"/>
          <w:lang w:val="en-GB"/>
        </w:rPr>
      </w:pPr>
      <w:r>
        <w:rPr>
          <w:rFonts w:cs="Arial"/>
          <w:b/>
          <w:color w:val="232120"/>
          <w:lang w:val="en-GB"/>
        </w:rPr>
        <w:t>1</w:t>
      </w:r>
      <w:r w:rsidR="00985F1A">
        <w:rPr>
          <w:rFonts w:cs="Arial"/>
          <w:b/>
          <w:color w:val="232120"/>
          <w:lang w:val="en-GB"/>
        </w:rPr>
        <w:t>1</w:t>
      </w:r>
      <w:r>
        <w:rPr>
          <w:rFonts w:cs="Arial"/>
          <w:b/>
          <w:color w:val="232120"/>
          <w:lang w:val="en-GB"/>
        </w:rPr>
        <w:t>.0</w:t>
      </w:r>
      <w:r>
        <w:rPr>
          <w:rFonts w:cs="Arial"/>
          <w:b/>
          <w:color w:val="232120"/>
          <w:lang w:val="en-GB"/>
        </w:rPr>
        <w:tab/>
      </w:r>
      <w:r w:rsidR="009C1585">
        <w:rPr>
          <w:rFonts w:cs="Arial"/>
          <w:b/>
          <w:color w:val="232120"/>
          <w:lang w:val="en-GB"/>
        </w:rPr>
        <w:t xml:space="preserve"> </w:t>
      </w:r>
      <w:r w:rsidRPr="00F410B4">
        <w:rPr>
          <w:rFonts w:cs="Arial"/>
          <w:b/>
          <w:color w:val="232120"/>
          <w:lang w:val="en-GB"/>
        </w:rPr>
        <w:t xml:space="preserve">Criminal sanctions for breach and </w:t>
      </w:r>
      <w:r w:rsidR="009A7B4F">
        <w:rPr>
          <w:rFonts w:cs="Arial"/>
          <w:b/>
          <w:color w:val="232120"/>
          <w:lang w:val="en-GB"/>
        </w:rPr>
        <w:t xml:space="preserve">the </w:t>
      </w:r>
      <w:r w:rsidRPr="00F410B4">
        <w:rPr>
          <w:rFonts w:cs="Arial"/>
          <w:b/>
          <w:color w:val="232120"/>
          <w:lang w:val="en-GB"/>
        </w:rPr>
        <w:t>obstruction offence</w:t>
      </w:r>
      <w:r w:rsidR="00C777C2">
        <w:rPr>
          <w:rFonts w:cs="Arial"/>
          <w:b/>
          <w:color w:val="232120"/>
          <w:lang w:val="en-GB"/>
        </w:rPr>
        <w:tab/>
      </w:r>
      <w:r w:rsidR="00C777C2">
        <w:rPr>
          <w:rFonts w:cs="Arial"/>
          <w:b/>
          <w:color w:val="232120"/>
          <w:lang w:val="en-GB"/>
        </w:rPr>
        <w:tab/>
        <w:t>1</w:t>
      </w:r>
      <w:r w:rsidR="009672B3">
        <w:rPr>
          <w:rFonts w:cs="Arial"/>
          <w:b/>
          <w:color w:val="232120"/>
          <w:lang w:val="en-GB"/>
        </w:rPr>
        <w:t>8</w:t>
      </w:r>
    </w:p>
    <w:p w14:paraId="410D9F2E" w14:textId="77777777" w:rsidR="008A4E47" w:rsidRPr="00331C61" w:rsidRDefault="008A4E47" w:rsidP="00EF7848">
      <w:pPr>
        <w:pStyle w:val="Default"/>
        <w:spacing w:line="360" w:lineRule="auto"/>
        <w:ind w:left="720" w:hanging="720"/>
        <w:rPr>
          <w:rFonts w:cs="Arial"/>
          <w:b/>
          <w:color w:val="232120"/>
        </w:rPr>
      </w:pPr>
    </w:p>
    <w:p w14:paraId="54C5B31E" w14:textId="77777777" w:rsidR="002D03B5" w:rsidRPr="00331C61" w:rsidRDefault="002D03B5" w:rsidP="002D03B5">
      <w:pPr>
        <w:pStyle w:val="Default"/>
        <w:spacing w:line="288" w:lineRule="auto"/>
        <w:rPr>
          <w:rFonts w:cs="Arial"/>
          <w:b/>
          <w:color w:val="232120"/>
        </w:rPr>
      </w:pPr>
    </w:p>
    <w:p w14:paraId="3F7569EE" w14:textId="77777777" w:rsidR="002D03B5" w:rsidRPr="00331C61" w:rsidRDefault="002D03B5" w:rsidP="002D03B5">
      <w:pPr>
        <w:pStyle w:val="Default"/>
        <w:spacing w:line="288" w:lineRule="auto"/>
        <w:rPr>
          <w:rFonts w:cs="Arial"/>
          <w:b/>
          <w:color w:val="232120"/>
        </w:rPr>
      </w:pPr>
    </w:p>
    <w:p w14:paraId="166D95BF" w14:textId="77777777" w:rsidR="002D03B5" w:rsidRPr="00331C61" w:rsidRDefault="002D03B5" w:rsidP="002D03B5">
      <w:pPr>
        <w:pStyle w:val="Default"/>
        <w:spacing w:line="288" w:lineRule="auto"/>
        <w:rPr>
          <w:rFonts w:cs="Arial"/>
          <w:b/>
          <w:color w:val="232120"/>
        </w:rPr>
      </w:pPr>
    </w:p>
    <w:p w14:paraId="05168267" w14:textId="77777777" w:rsidR="002D03B5" w:rsidRPr="00331C61" w:rsidRDefault="002D03B5" w:rsidP="002D03B5">
      <w:pPr>
        <w:pStyle w:val="Default"/>
        <w:spacing w:line="288" w:lineRule="auto"/>
        <w:rPr>
          <w:rFonts w:cs="Arial"/>
          <w:b/>
          <w:color w:val="232120"/>
        </w:rPr>
      </w:pPr>
    </w:p>
    <w:p w14:paraId="4B955DDE" w14:textId="77777777" w:rsidR="002D03B5" w:rsidRPr="00331C61" w:rsidRDefault="002D03B5" w:rsidP="002D03B5">
      <w:pPr>
        <w:pStyle w:val="Default"/>
        <w:spacing w:line="288" w:lineRule="auto"/>
        <w:rPr>
          <w:rFonts w:cs="Arial"/>
          <w:b/>
          <w:color w:val="232120"/>
        </w:rPr>
      </w:pPr>
    </w:p>
    <w:p w14:paraId="3C3EED2F" w14:textId="77777777" w:rsidR="002D03B5" w:rsidRPr="00331C61" w:rsidRDefault="002D03B5" w:rsidP="002D03B5">
      <w:pPr>
        <w:pStyle w:val="Default"/>
        <w:spacing w:line="288" w:lineRule="auto"/>
        <w:rPr>
          <w:rFonts w:cs="Arial"/>
          <w:b/>
          <w:color w:val="232120"/>
        </w:rPr>
      </w:pPr>
    </w:p>
    <w:p w14:paraId="551DEE41" w14:textId="77777777" w:rsidR="002D03B5" w:rsidRPr="00331C61" w:rsidRDefault="002D03B5" w:rsidP="002D03B5">
      <w:pPr>
        <w:pStyle w:val="Default"/>
        <w:spacing w:line="288" w:lineRule="auto"/>
        <w:rPr>
          <w:rFonts w:cs="Arial"/>
          <w:b/>
          <w:color w:val="232120"/>
        </w:rPr>
      </w:pPr>
    </w:p>
    <w:p w14:paraId="784A06B5" w14:textId="77777777" w:rsidR="002D03B5" w:rsidRPr="00331C61" w:rsidRDefault="002D03B5" w:rsidP="002D03B5">
      <w:pPr>
        <w:pStyle w:val="Default"/>
        <w:spacing w:line="288" w:lineRule="auto"/>
        <w:rPr>
          <w:rFonts w:cs="Arial"/>
          <w:b/>
          <w:color w:val="232120"/>
        </w:rPr>
      </w:pPr>
    </w:p>
    <w:p w14:paraId="4AF03874" w14:textId="77777777" w:rsidR="002D03B5" w:rsidRPr="00331C61" w:rsidRDefault="002D03B5" w:rsidP="002D03B5">
      <w:pPr>
        <w:pStyle w:val="Default"/>
        <w:spacing w:line="288" w:lineRule="auto"/>
        <w:rPr>
          <w:rFonts w:cs="Arial"/>
          <w:b/>
          <w:color w:val="232120"/>
        </w:rPr>
      </w:pPr>
    </w:p>
    <w:p w14:paraId="7CB286CA" w14:textId="77777777" w:rsidR="002D03B5" w:rsidRPr="00331C61" w:rsidRDefault="002D03B5" w:rsidP="002D03B5">
      <w:pPr>
        <w:pStyle w:val="Default"/>
        <w:spacing w:line="288" w:lineRule="auto"/>
        <w:rPr>
          <w:rFonts w:cs="Arial"/>
          <w:b/>
          <w:color w:val="232120"/>
        </w:rPr>
      </w:pPr>
    </w:p>
    <w:p w14:paraId="67E9EC9D" w14:textId="77777777" w:rsidR="002D03B5" w:rsidRPr="00331C61" w:rsidRDefault="002D03B5" w:rsidP="002D03B5">
      <w:pPr>
        <w:pStyle w:val="Default"/>
        <w:spacing w:line="288" w:lineRule="auto"/>
        <w:rPr>
          <w:rFonts w:cs="Arial"/>
          <w:b/>
          <w:color w:val="232120"/>
        </w:rPr>
      </w:pPr>
    </w:p>
    <w:p w14:paraId="40B5D38F" w14:textId="368762E9" w:rsidR="002D03B5" w:rsidRPr="00331C61" w:rsidRDefault="002D03B5" w:rsidP="00EF7848">
      <w:r>
        <w:rPr>
          <w:rFonts w:cs="Arial"/>
          <w:b/>
          <w:color w:val="232120"/>
        </w:rPr>
        <w:br w:type="page"/>
      </w:r>
    </w:p>
    <w:p w14:paraId="1A81DE75" w14:textId="77777777" w:rsidR="002D03B5" w:rsidRDefault="002D03B5" w:rsidP="002D03B5">
      <w:pPr>
        <w:pStyle w:val="BasicParagraph"/>
        <w:suppressAutoHyphens/>
        <w:rPr>
          <w:rFonts w:ascii="Verdana" w:hAnsi="Verdana" w:cs="Arial"/>
          <w:color w:val="232120"/>
        </w:rPr>
      </w:pPr>
    </w:p>
    <w:p w14:paraId="033FE940" w14:textId="77777777" w:rsidR="002D03B5" w:rsidRDefault="002D03B5" w:rsidP="002D03B5">
      <w:pPr>
        <w:pStyle w:val="BasicParagraph"/>
        <w:suppressAutoHyphens/>
        <w:rPr>
          <w:rFonts w:ascii="Verdana" w:hAnsi="Verdana" w:cs="Arial"/>
          <w:b/>
          <w:color w:val="77328A"/>
          <w:sz w:val="30"/>
          <w:szCs w:val="30"/>
        </w:rPr>
      </w:pPr>
      <w:r w:rsidRPr="00481B8E">
        <w:rPr>
          <w:rFonts w:ascii="Verdana" w:hAnsi="Verdana" w:cs="Arial"/>
          <w:b/>
          <w:color w:val="77328A"/>
          <w:sz w:val="30"/>
          <w:szCs w:val="30"/>
        </w:rPr>
        <w:t>Summary of Recommendations</w:t>
      </w:r>
    </w:p>
    <w:p w14:paraId="45E3FF50" w14:textId="77777777" w:rsidR="002D03B5" w:rsidRPr="00C075AE" w:rsidRDefault="002D03B5" w:rsidP="002D03B5">
      <w:pPr>
        <w:spacing w:before="100" w:beforeAutospacing="1" w:after="100" w:afterAutospacing="1"/>
        <w:rPr>
          <w:rFonts w:ascii="Times New Roman" w:eastAsia="Times New Roman" w:hAnsi="Times New Roman" w:cs="Times New Roman"/>
          <w:b/>
          <w:bCs/>
          <w:lang w:val="en-HK" w:eastAsia="zh-TW"/>
        </w:rPr>
      </w:pPr>
      <w:r w:rsidRPr="00C075AE">
        <w:rPr>
          <w:rFonts w:ascii="Verdana,Bold" w:eastAsia="Times New Roman" w:hAnsi="Verdana,Bold" w:cs="Times New Roman"/>
          <w:b/>
          <w:bCs/>
          <w:color w:val="211E1E"/>
          <w:lang w:val="en-HK" w:eastAsia="zh-TW"/>
        </w:rPr>
        <w:t xml:space="preserve">The Northern Ireland Human Rights Commission (NIHRC): </w:t>
      </w:r>
    </w:p>
    <w:p w14:paraId="0B8A4022" w14:textId="6700D523" w:rsidR="002703A3" w:rsidRDefault="002703A3" w:rsidP="002703A3">
      <w:pPr>
        <w:pStyle w:val="BasicParagraph"/>
        <w:suppressAutoHyphens/>
        <w:ind w:left="720" w:hanging="720"/>
        <w:rPr>
          <w:rFonts w:ascii="Verdana" w:hAnsi="Verdana" w:cs="Arial"/>
          <w:b/>
          <w:bCs/>
          <w:color w:val="232120"/>
        </w:rPr>
      </w:pPr>
      <w:r>
        <w:rPr>
          <w:rFonts w:ascii="Verdana" w:hAnsi="Verdana" w:cs="Arial"/>
          <w:b/>
          <w:bCs/>
          <w:color w:val="232120"/>
        </w:rPr>
        <w:t>2.4</w:t>
      </w:r>
      <w:r>
        <w:rPr>
          <w:rFonts w:ascii="Verdana" w:hAnsi="Verdana" w:cs="Arial"/>
          <w:b/>
          <w:bCs/>
          <w:color w:val="232120"/>
        </w:rPr>
        <w:tab/>
      </w:r>
      <w:r w:rsidRPr="00465077">
        <w:rPr>
          <w:rFonts w:ascii="Verdana" w:hAnsi="Verdana" w:cs="Arial"/>
          <w:b/>
          <w:bCs/>
          <w:color w:val="232120"/>
        </w:rPr>
        <w:t xml:space="preserve">recommends that the term ‘candour’ is used to refer to </w:t>
      </w:r>
      <w:r>
        <w:rPr>
          <w:rFonts w:ascii="Verdana" w:hAnsi="Verdana" w:cs="Arial"/>
          <w:b/>
          <w:bCs/>
          <w:color w:val="232120"/>
        </w:rPr>
        <w:t xml:space="preserve">the requirement to provide information in relevant circumstances. </w:t>
      </w:r>
    </w:p>
    <w:p w14:paraId="25FD8877" w14:textId="0A691487" w:rsidR="002703A3" w:rsidRDefault="002703A3" w:rsidP="002703A3">
      <w:pPr>
        <w:pStyle w:val="BasicParagraph"/>
        <w:suppressAutoHyphens/>
        <w:ind w:left="720" w:hanging="720"/>
        <w:rPr>
          <w:rFonts w:ascii="Verdana" w:hAnsi="Verdana" w:cs="Arial"/>
          <w:b/>
          <w:bCs/>
          <w:color w:val="232120"/>
        </w:rPr>
      </w:pPr>
    </w:p>
    <w:p w14:paraId="7C45239B" w14:textId="7F04FB82" w:rsidR="002703A3" w:rsidRPr="00EF7848" w:rsidRDefault="00CF6C6D" w:rsidP="002703A3">
      <w:pPr>
        <w:pStyle w:val="BasicParagraph"/>
        <w:suppressAutoHyphens/>
        <w:ind w:left="720" w:hanging="720"/>
        <w:rPr>
          <w:rFonts w:ascii="Verdana" w:hAnsi="Verdana" w:cs="Arial"/>
          <w:b/>
          <w:bCs/>
          <w:color w:val="auto"/>
        </w:rPr>
      </w:pPr>
      <w:r w:rsidRPr="00EF7848">
        <w:rPr>
          <w:rFonts w:ascii="Verdana" w:hAnsi="Verdana" w:cs="Arial"/>
          <w:b/>
          <w:color w:val="auto"/>
          <w:lang w:val="en-HK"/>
        </w:rPr>
        <w:t>3.6</w:t>
      </w:r>
      <w:r w:rsidRPr="00EF7848">
        <w:rPr>
          <w:rFonts w:ascii="Verdana" w:hAnsi="Verdana" w:cs="Arial"/>
          <w:b/>
          <w:color w:val="auto"/>
          <w:lang w:val="en-HK"/>
        </w:rPr>
        <w:tab/>
      </w:r>
      <w:r w:rsidR="002703A3" w:rsidRPr="00EF7848">
        <w:rPr>
          <w:rFonts w:ascii="Verdana" w:hAnsi="Verdana" w:cs="Arial"/>
          <w:b/>
          <w:color w:val="auto"/>
          <w:lang w:val="en-HK"/>
        </w:rPr>
        <w:t xml:space="preserve">supports </w:t>
      </w:r>
      <w:r w:rsidR="00106A9B">
        <w:rPr>
          <w:rFonts w:ascii="Verdana" w:hAnsi="Verdana" w:cs="Arial"/>
          <w:b/>
          <w:color w:val="auto"/>
          <w:lang w:val="en-HK"/>
        </w:rPr>
        <w:t xml:space="preserve">the introduction of </w:t>
      </w:r>
      <w:r w:rsidR="002703A3" w:rsidRPr="00EF7848">
        <w:rPr>
          <w:rFonts w:ascii="Verdana" w:hAnsi="Verdana" w:cs="Arial"/>
          <w:b/>
          <w:color w:val="auto"/>
          <w:lang w:val="en-HK"/>
        </w:rPr>
        <w:t>a statutory individual Duty of Candour with a criminal sanction for breach.</w:t>
      </w:r>
    </w:p>
    <w:p w14:paraId="163115A2" w14:textId="77777777" w:rsidR="002703A3" w:rsidRDefault="002703A3">
      <w:pPr>
        <w:rPr>
          <w:rFonts w:ascii="Verdana" w:hAnsi="Verdana" w:cs="Arial"/>
          <w:b/>
          <w:bCs/>
          <w:color w:val="232120"/>
        </w:rPr>
      </w:pPr>
    </w:p>
    <w:p w14:paraId="12688750" w14:textId="6654592B" w:rsidR="006B6FBF" w:rsidRDefault="002703A3" w:rsidP="00DB5136">
      <w:pPr>
        <w:ind w:left="720" w:hanging="720"/>
        <w:rPr>
          <w:rFonts w:ascii="Verdana" w:hAnsi="Verdana" w:cs="Arial"/>
          <w:b/>
          <w:bCs/>
          <w:color w:val="232120"/>
        </w:rPr>
      </w:pPr>
      <w:r>
        <w:rPr>
          <w:rFonts w:ascii="Verdana" w:hAnsi="Verdana" w:cs="Arial"/>
          <w:b/>
          <w:bCs/>
          <w:color w:val="232120"/>
        </w:rPr>
        <w:t>4.7</w:t>
      </w:r>
      <w:r>
        <w:rPr>
          <w:rFonts w:ascii="Verdana" w:hAnsi="Verdana" w:cs="Arial"/>
          <w:b/>
          <w:bCs/>
          <w:color w:val="232120"/>
        </w:rPr>
        <w:tab/>
      </w:r>
      <w:r w:rsidR="00A317BC">
        <w:rPr>
          <w:rFonts w:ascii="Verdana" w:hAnsi="Verdana" w:cs="Arial"/>
          <w:b/>
          <w:bCs/>
          <w:color w:val="232120"/>
        </w:rPr>
        <w:t xml:space="preserve">recommends that the </w:t>
      </w:r>
      <w:r w:rsidR="00A317BC" w:rsidRPr="00DB1D4C">
        <w:rPr>
          <w:rFonts w:ascii="Verdana" w:hAnsi="Verdana" w:cs="Arial"/>
          <w:b/>
          <w:bCs/>
          <w:color w:val="232120"/>
        </w:rPr>
        <w:t>statutory Duty of Candour appl</w:t>
      </w:r>
      <w:r w:rsidR="00A317BC">
        <w:rPr>
          <w:rFonts w:ascii="Verdana" w:hAnsi="Verdana" w:cs="Arial"/>
          <w:b/>
          <w:bCs/>
          <w:color w:val="232120"/>
        </w:rPr>
        <w:t>ies</w:t>
      </w:r>
      <w:r w:rsidR="00A317BC" w:rsidRPr="00DB1D4C">
        <w:rPr>
          <w:rFonts w:ascii="Verdana" w:hAnsi="Verdana" w:cs="Arial"/>
          <w:b/>
          <w:bCs/>
          <w:color w:val="232120"/>
        </w:rPr>
        <w:t xml:space="preserve"> to every healthcare organisation</w:t>
      </w:r>
      <w:r w:rsidR="00A317BC">
        <w:rPr>
          <w:rFonts w:ascii="Verdana" w:hAnsi="Verdana" w:cs="Arial"/>
          <w:b/>
          <w:bCs/>
          <w:color w:val="232120"/>
        </w:rPr>
        <w:t xml:space="preserve"> and everyone working for them</w:t>
      </w:r>
      <w:r w:rsidR="00A317BC" w:rsidRPr="00DB1D4C">
        <w:rPr>
          <w:rFonts w:ascii="Verdana" w:hAnsi="Verdana" w:cs="Arial"/>
          <w:b/>
          <w:bCs/>
          <w:color w:val="232120"/>
        </w:rPr>
        <w:t>.</w:t>
      </w:r>
    </w:p>
    <w:p w14:paraId="4CEDC21A" w14:textId="77777777" w:rsidR="00A317BC" w:rsidRDefault="00A317BC" w:rsidP="00A317BC">
      <w:pPr>
        <w:ind w:left="720" w:hanging="720"/>
        <w:rPr>
          <w:rFonts w:ascii="Verdana" w:hAnsi="Verdana" w:cs="Arial"/>
          <w:b/>
          <w:bCs/>
          <w:color w:val="232120"/>
        </w:rPr>
      </w:pPr>
    </w:p>
    <w:p w14:paraId="65A785A8" w14:textId="77777777" w:rsidR="00215B92" w:rsidRPr="003D519F" w:rsidRDefault="00215B92" w:rsidP="00215B92">
      <w:pPr>
        <w:pStyle w:val="BasicParagraph"/>
        <w:suppressAutoHyphens/>
        <w:ind w:left="720" w:hanging="720"/>
        <w:rPr>
          <w:rFonts w:ascii="Verdana" w:hAnsi="Verdana" w:cs="Arial"/>
          <w:b/>
          <w:bCs/>
          <w:color w:val="232120"/>
        </w:rPr>
      </w:pPr>
      <w:r>
        <w:rPr>
          <w:rFonts w:ascii="Verdana" w:hAnsi="Verdana" w:cs="Arial"/>
          <w:b/>
          <w:bCs/>
          <w:color w:val="232120"/>
        </w:rPr>
        <w:t>5.8</w:t>
      </w:r>
      <w:r>
        <w:rPr>
          <w:rFonts w:ascii="Verdana" w:hAnsi="Verdana" w:cs="Arial"/>
          <w:b/>
          <w:bCs/>
          <w:color w:val="232120"/>
        </w:rPr>
        <w:tab/>
      </w:r>
      <w:r w:rsidRPr="003D519F">
        <w:rPr>
          <w:rFonts w:ascii="Verdana" w:hAnsi="Verdana" w:cs="Arial"/>
          <w:b/>
          <w:bCs/>
          <w:color w:val="232120"/>
        </w:rPr>
        <w:t>supports the routine requirements of the statutory organisational Duty of Candour, provided that detailed guidance is given to staff outlining how they can comply with these requirements.</w:t>
      </w:r>
    </w:p>
    <w:p w14:paraId="11C38CF7" w14:textId="77777777" w:rsidR="002703A3" w:rsidRDefault="002703A3">
      <w:pPr>
        <w:rPr>
          <w:rFonts w:ascii="Verdana" w:hAnsi="Verdana" w:cs="Arial"/>
          <w:b/>
          <w:bCs/>
          <w:color w:val="232120"/>
        </w:rPr>
      </w:pPr>
    </w:p>
    <w:p w14:paraId="314E8E9A" w14:textId="46AD04A5" w:rsidR="00215B92" w:rsidRDefault="00215B92" w:rsidP="00215B92">
      <w:pPr>
        <w:pStyle w:val="BasicParagraph"/>
        <w:suppressAutoHyphens/>
        <w:ind w:left="720" w:hanging="720"/>
        <w:rPr>
          <w:rFonts w:ascii="Verdana" w:hAnsi="Verdana" w:cs="Arial"/>
          <w:b/>
          <w:bCs/>
          <w:color w:val="232120"/>
        </w:rPr>
      </w:pPr>
      <w:r>
        <w:rPr>
          <w:rFonts w:ascii="Verdana" w:hAnsi="Verdana" w:cs="Arial"/>
          <w:b/>
          <w:bCs/>
          <w:color w:val="232120"/>
        </w:rPr>
        <w:t>6.</w:t>
      </w:r>
      <w:r w:rsidR="00567ACF">
        <w:rPr>
          <w:rFonts w:ascii="Verdana" w:hAnsi="Verdana" w:cs="Arial"/>
          <w:b/>
          <w:bCs/>
          <w:color w:val="232120"/>
        </w:rPr>
        <w:t>8</w:t>
      </w:r>
      <w:r>
        <w:rPr>
          <w:rFonts w:ascii="Verdana" w:hAnsi="Verdana" w:cs="Arial"/>
          <w:b/>
          <w:bCs/>
          <w:color w:val="232120"/>
        </w:rPr>
        <w:tab/>
      </w:r>
      <w:r w:rsidRPr="00D645EC">
        <w:rPr>
          <w:rFonts w:ascii="Verdana" w:hAnsi="Verdana" w:cs="Arial"/>
          <w:b/>
          <w:bCs/>
          <w:color w:val="232120"/>
        </w:rPr>
        <w:t>agrees with the proposed definition for the significant harm threshold for the Duty of Candour procedure.</w:t>
      </w:r>
    </w:p>
    <w:p w14:paraId="1C2EBD3E" w14:textId="481EBA7B" w:rsidR="0091230A" w:rsidRDefault="0091230A" w:rsidP="00215B92">
      <w:pPr>
        <w:pStyle w:val="BasicParagraph"/>
        <w:suppressAutoHyphens/>
        <w:ind w:left="720" w:hanging="720"/>
        <w:rPr>
          <w:rFonts w:ascii="Verdana" w:hAnsi="Verdana" w:cs="Arial"/>
          <w:b/>
          <w:bCs/>
          <w:color w:val="232120"/>
        </w:rPr>
      </w:pPr>
    </w:p>
    <w:p w14:paraId="77122BC3" w14:textId="77777777" w:rsidR="0091230A" w:rsidRPr="00510C14" w:rsidRDefault="0091230A" w:rsidP="0091230A">
      <w:pPr>
        <w:pStyle w:val="BasicParagraph"/>
        <w:suppressAutoHyphens/>
        <w:ind w:left="720" w:hanging="720"/>
        <w:rPr>
          <w:rFonts w:ascii="Verdana" w:hAnsi="Verdana" w:cs="Arial"/>
          <w:b/>
          <w:bCs/>
          <w:color w:val="232120"/>
        </w:rPr>
      </w:pPr>
      <w:r>
        <w:rPr>
          <w:rFonts w:ascii="Verdana" w:hAnsi="Verdana" w:cs="Arial"/>
          <w:b/>
          <w:bCs/>
          <w:color w:val="232120"/>
        </w:rPr>
        <w:t>7.5</w:t>
      </w:r>
      <w:r>
        <w:rPr>
          <w:rFonts w:ascii="Verdana" w:hAnsi="Verdana" w:cs="Arial"/>
          <w:b/>
          <w:bCs/>
          <w:color w:val="232120"/>
        </w:rPr>
        <w:tab/>
      </w:r>
      <w:r w:rsidRPr="00510C14">
        <w:rPr>
          <w:rFonts w:ascii="Verdana" w:hAnsi="Verdana" w:cs="Arial"/>
          <w:b/>
          <w:bCs/>
          <w:color w:val="232120"/>
          <w:lang w:val="en-HK"/>
        </w:rPr>
        <w:t>supports the proposed requirements under the organisational Duty of Candour when things go wrong.</w:t>
      </w:r>
    </w:p>
    <w:p w14:paraId="5DE4DB0C" w14:textId="0F25BE0C" w:rsidR="0091230A" w:rsidRPr="00D645EC" w:rsidRDefault="0091230A" w:rsidP="00215B92">
      <w:pPr>
        <w:pStyle w:val="BasicParagraph"/>
        <w:suppressAutoHyphens/>
        <w:ind w:left="720" w:hanging="720"/>
        <w:rPr>
          <w:rFonts w:ascii="Verdana" w:hAnsi="Verdana" w:cs="Arial"/>
          <w:b/>
          <w:bCs/>
          <w:color w:val="232120"/>
        </w:rPr>
      </w:pPr>
    </w:p>
    <w:p w14:paraId="5ACD34D9" w14:textId="7EA5DE4B" w:rsidR="0091230A" w:rsidRDefault="0091230A" w:rsidP="0091230A">
      <w:pPr>
        <w:pStyle w:val="BasicParagraph"/>
        <w:suppressAutoHyphens/>
        <w:ind w:left="720" w:hanging="720"/>
        <w:rPr>
          <w:rFonts w:ascii="Verdana" w:hAnsi="Verdana" w:cs="Arial"/>
          <w:b/>
          <w:bCs/>
          <w:color w:val="232120"/>
          <w:lang w:val="en-HK"/>
        </w:rPr>
      </w:pPr>
      <w:r>
        <w:rPr>
          <w:rFonts w:ascii="Verdana" w:hAnsi="Verdana" w:cs="Arial"/>
          <w:b/>
          <w:bCs/>
          <w:color w:val="232120"/>
        </w:rPr>
        <w:t>8.6</w:t>
      </w:r>
      <w:r>
        <w:rPr>
          <w:rFonts w:ascii="Verdana" w:hAnsi="Verdana" w:cs="Arial"/>
          <w:b/>
          <w:bCs/>
          <w:color w:val="232120"/>
        </w:rPr>
        <w:tab/>
      </w:r>
      <w:r w:rsidR="0072039E" w:rsidRPr="00EF7848">
        <w:rPr>
          <w:rFonts w:ascii="Verdana" w:hAnsi="Verdana" w:cs="Arial"/>
          <w:b/>
          <w:bCs/>
          <w:color w:val="232120"/>
          <w:lang w:val="en-HK"/>
        </w:rPr>
        <w:t>supports the proposed legislative requirement to provide an</w:t>
      </w:r>
      <w:r w:rsidR="0072039E">
        <w:rPr>
          <w:rFonts w:ascii="Verdana" w:hAnsi="Verdana" w:cs="Arial"/>
          <w:b/>
          <w:bCs/>
          <w:color w:val="232120"/>
          <w:lang w:val="en-HK"/>
        </w:rPr>
        <w:t xml:space="preserve"> </w:t>
      </w:r>
      <w:r w:rsidR="0072039E" w:rsidRPr="00EF7848">
        <w:rPr>
          <w:rFonts w:ascii="Verdana" w:hAnsi="Verdana" w:cs="Arial"/>
          <w:b/>
          <w:bCs/>
          <w:color w:val="232120"/>
          <w:lang w:val="en-HK"/>
        </w:rPr>
        <w:t>apology and the</w:t>
      </w:r>
      <w:r w:rsidR="0072039E">
        <w:rPr>
          <w:rFonts w:ascii="Verdana" w:hAnsi="Verdana" w:cs="Arial"/>
          <w:b/>
          <w:bCs/>
          <w:color w:val="232120"/>
          <w:lang w:val="en-HK"/>
        </w:rPr>
        <w:t xml:space="preserve"> accompanying proposals outlined</w:t>
      </w:r>
      <w:r w:rsidR="009660BE">
        <w:rPr>
          <w:rFonts w:ascii="Verdana" w:hAnsi="Verdana" w:cs="Arial"/>
          <w:b/>
          <w:bCs/>
          <w:color w:val="232120"/>
          <w:lang w:val="en-HK"/>
        </w:rPr>
        <w:t xml:space="preserve"> in the consul</w:t>
      </w:r>
      <w:r w:rsidR="00CB2661">
        <w:rPr>
          <w:rFonts w:ascii="Verdana" w:hAnsi="Verdana" w:cs="Arial"/>
          <w:b/>
          <w:bCs/>
          <w:color w:val="232120"/>
          <w:lang w:val="en-HK"/>
        </w:rPr>
        <w:t>t</w:t>
      </w:r>
      <w:r w:rsidR="009660BE">
        <w:rPr>
          <w:rFonts w:ascii="Verdana" w:hAnsi="Verdana" w:cs="Arial"/>
          <w:b/>
          <w:bCs/>
          <w:color w:val="232120"/>
          <w:lang w:val="en-HK"/>
        </w:rPr>
        <w:t>ation document</w:t>
      </w:r>
      <w:r w:rsidR="0072039E">
        <w:rPr>
          <w:rFonts w:ascii="Verdana" w:hAnsi="Verdana" w:cs="Arial"/>
          <w:b/>
          <w:bCs/>
          <w:color w:val="232120"/>
          <w:lang w:val="en-HK"/>
        </w:rPr>
        <w:t>.</w:t>
      </w:r>
    </w:p>
    <w:p w14:paraId="1175430B" w14:textId="77777777" w:rsidR="00700E6D" w:rsidRPr="00510C14" w:rsidRDefault="00700E6D" w:rsidP="0091230A">
      <w:pPr>
        <w:pStyle w:val="BasicParagraph"/>
        <w:suppressAutoHyphens/>
        <w:ind w:left="720" w:hanging="720"/>
        <w:rPr>
          <w:rFonts w:ascii="Verdana" w:hAnsi="Verdana" w:cs="Arial"/>
          <w:b/>
          <w:bCs/>
          <w:color w:val="232120"/>
          <w:lang w:val="en-HK"/>
        </w:rPr>
      </w:pPr>
    </w:p>
    <w:p w14:paraId="2B8AB0C3" w14:textId="0A4CE83A" w:rsidR="002F2381" w:rsidRDefault="00700E6D" w:rsidP="00700E6D">
      <w:pPr>
        <w:ind w:left="720" w:hanging="720"/>
        <w:rPr>
          <w:rFonts w:ascii="Verdana" w:hAnsi="Verdana" w:cs="Arial"/>
          <w:b/>
          <w:bCs/>
          <w:color w:val="232120"/>
        </w:rPr>
      </w:pPr>
      <w:r w:rsidRPr="00700E6D">
        <w:rPr>
          <w:rFonts w:ascii="Verdana" w:hAnsi="Verdana" w:cs="Arial"/>
          <w:b/>
          <w:bCs/>
          <w:color w:val="232120"/>
        </w:rPr>
        <w:t>9.3</w:t>
      </w:r>
      <w:r w:rsidRPr="00700E6D">
        <w:rPr>
          <w:rFonts w:ascii="Verdana" w:hAnsi="Verdana" w:cs="Arial"/>
          <w:b/>
          <w:bCs/>
          <w:color w:val="232120"/>
        </w:rPr>
        <w:tab/>
        <w:t>supports the outlined proposals for support to health and social care professionals under the statutory organisational Duty of Candour and recommends that adequate resources are assigned to provide the necessary training and support for health and social care professionals to carry out their duties.</w:t>
      </w:r>
    </w:p>
    <w:p w14:paraId="31D371F5" w14:textId="77777777" w:rsidR="002F2381" w:rsidRDefault="002F2381" w:rsidP="002F2381">
      <w:pPr>
        <w:rPr>
          <w:rFonts w:ascii="Verdana" w:hAnsi="Verdana" w:cs="Arial"/>
          <w:b/>
          <w:bCs/>
          <w:color w:val="232120"/>
        </w:rPr>
      </w:pPr>
    </w:p>
    <w:p w14:paraId="7E94C27E" w14:textId="77777777" w:rsidR="000E0D34" w:rsidRDefault="00063DB4" w:rsidP="00063DB4">
      <w:pPr>
        <w:ind w:left="720" w:hanging="720"/>
        <w:rPr>
          <w:rFonts w:ascii="Verdana" w:hAnsi="Verdana" w:cs="Arial"/>
          <w:b/>
          <w:bCs/>
          <w:color w:val="232120"/>
        </w:rPr>
      </w:pPr>
      <w:r>
        <w:rPr>
          <w:rFonts w:ascii="Verdana" w:hAnsi="Verdana" w:cs="Arial"/>
          <w:b/>
          <w:bCs/>
          <w:color w:val="232120"/>
        </w:rPr>
        <w:t>10.6</w:t>
      </w:r>
      <w:r>
        <w:rPr>
          <w:rFonts w:ascii="Verdana" w:hAnsi="Verdana" w:cs="Arial"/>
          <w:b/>
          <w:bCs/>
          <w:color w:val="232120"/>
        </w:rPr>
        <w:tab/>
      </w:r>
      <w:r w:rsidRPr="00063DB4">
        <w:rPr>
          <w:rFonts w:ascii="Verdana" w:hAnsi="Verdana" w:cs="Arial"/>
          <w:b/>
          <w:bCs/>
          <w:color w:val="232120"/>
        </w:rPr>
        <w:t xml:space="preserve">supports the reporting and monitoring requirements as proposed in the consultation document. </w:t>
      </w:r>
    </w:p>
    <w:p w14:paraId="25B4B1AD" w14:textId="77777777" w:rsidR="000E0D34" w:rsidRDefault="000E0D34" w:rsidP="00063DB4">
      <w:pPr>
        <w:ind w:left="720" w:hanging="720"/>
        <w:rPr>
          <w:rFonts w:ascii="Verdana" w:hAnsi="Verdana" w:cs="Arial"/>
          <w:b/>
          <w:bCs/>
          <w:color w:val="232120"/>
        </w:rPr>
      </w:pPr>
    </w:p>
    <w:p w14:paraId="56C66958" w14:textId="285C94F6" w:rsidR="00387717" w:rsidRDefault="00033120" w:rsidP="00EF7848">
      <w:pPr>
        <w:ind w:left="709" w:hanging="720"/>
        <w:rPr>
          <w:rFonts w:ascii="Verdana" w:hAnsi="Verdana" w:cs="Arial"/>
          <w:b/>
          <w:bCs/>
          <w:color w:val="232120"/>
        </w:rPr>
      </w:pPr>
      <w:r>
        <w:rPr>
          <w:rFonts w:ascii="Verdana" w:hAnsi="Verdana" w:cs="Arial"/>
          <w:b/>
          <w:bCs/>
          <w:color w:val="232120"/>
        </w:rPr>
        <w:t>11.4</w:t>
      </w:r>
      <w:r>
        <w:rPr>
          <w:rFonts w:ascii="Verdana" w:hAnsi="Verdana" w:cs="Arial"/>
          <w:b/>
          <w:bCs/>
          <w:color w:val="232120"/>
        </w:rPr>
        <w:tab/>
      </w:r>
      <w:r w:rsidRPr="00033120">
        <w:rPr>
          <w:rFonts w:ascii="Verdana" w:hAnsi="Verdana" w:cs="Arial"/>
          <w:b/>
          <w:bCs/>
          <w:color w:val="232120"/>
        </w:rPr>
        <w:t xml:space="preserve">supports the proposed introduction of criminal sanctions for breach and </w:t>
      </w:r>
      <w:r w:rsidR="00537DF0">
        <w:rPr>
          <w:rFonts w:ascii="Verdana" w:hAnsi="Verdana" w:cs="Arial"/>
          <w:b/>
          <w:bCs/>
          <w:color w:val="232120"/>
        </w:rPr>
        <w:t xml:space="preserve">an </w:t>
      </w:r>
      <w:r w:rsidRPr="00033120">
        <w:rPr>
          <w:rFonts w:ascii="Verdana" w:hAnsi="Verdana" w:cs="Arial"/>
          <w:b/>
          <w:bCs/>
          <w:color w:val="232120"/>
        </w:rPr>
        <w:t>obstruction offence.</w:t>
      </w:r>
      <w:r w:rsidR="00387717">
        <w:rPr>
          <w:rFonts w:ascii="Verdana" w:hAnsi="Verdana" w:cs="Arial"/>
          <w:b/>
          <w:bCs/>
          <w:color w:val="232120"/>
        </w:rPr>
        <w:br w:type="page"/>
      </w:r>
    </w:p>
    <w:p w14:paraId="14C4382D" w14:textId="77777777" w:rsidR="002D03B5" w:rsidRPr="00481B8E" w:rsidRDefault="002D03B5" w:rsidP="002D03B5">
      <w:pPr>
        <w:pStyle w:val="BasicParagraph"/>
        <w:suppressAutoHyphens/>
        <w:rPr>
          <w:rFonts w:ascii="Verdana" w:hAnsi="Verdana" w:cs="Arial"/>
          <w:color w:val="232120"/>
          <w:lang w:val="en-HK"/>
        </w:rPr>
      </w:pPr>
    </w:p>
    <w:p w14:paraId="46ABDCB5" w14:textId="77777777" w:rsidR="002D03B5" w:rsidRDefault="002D03B5" w:rsidP="002D03B5">
      <w:pPr>
        <w:pStyle w:val="BasicParagraph"/>
        <w:suppressAutoHyphens/>
        <w:rPr>
          <w:rFonts w:ascii="Verdana" w:hAnsi="Verdana" w:cs="Arial"/>
          <w:b/>
          <w:color w:val="77328A"/>
          <w:sz w:val="30"/>
          <w:szCs w:val="30"/>
        </w:rPr>
      </w:pPr>
      <w:r>
        <w:rPr>
          <w:rFonts w:ascii="Verdana" w:hAnsi="Verdana" w:cs="Arial"/>
          <w:b/>
          <w:color w:val="77328A"/>
          <w:sz w:val="30"/>
          <w:szCs w:val="30"/>
        </w:rPr>
        <w:t>1</w:t>
      </w:r>
      <w:r w:rsidRPr="003B7D0E">
        <w:rPr>
          <w:rFonts w:ascii="Verdana" w:hAnsi="Verdana" w:cs="Arial"/>
          <w:b/>
          <w:color w:val="77328A"/>
          <w:sz w:val="30"/>
          <w:szCs w:val="30"/>
        </w:rPr>
        <w:t>.0</w:t>
      </w:r>
      <w:r w:rsidRPr="003B7D0E">
        <w:rPr>
          <w:rFonts w:ascii="Verdana" w:hAnsi="Verdana" w:cs="Arial"/>
          <w:b/>
          <w:color w:val="77328A"/>
          <w:sz w:val="30"/>
          <w:szCs w:val="30"/>
        </w:rPr>
        <w:tab/>
      </w:r>
      <w:r>
        <w:rPr>
          <w:rFonts w:ascii="Verdana" w:hAnsi="Verdana" w:cs="Arial"/>
          <w:b/>
          <w:color w:val="77328A"/>
          <w:sz w:val="30"/>
          <w:szCs w:val="30"/>
        </w:rPr>
        <w:t>Introduction</w:t>
      </w:r>
    </w:p>
    <w:p w14:paraId="4A3ED4BC" w14:textId="77777777" w:rsidR="002D03B5" w:rsidRPr="000F46C8" w:rsidRDefault="002D03B5" w:rsidP="002D03B5">
      <w:pPr>
        <w:pStyle w:val="BasicParagraph"/>
        <w:suppressAutoHyphens/>
        <w:rPr>
          <w:rFonts w:ascii="Verdana" w:hAnsi="Verdana" w:cs="Arial"/>
          <w:color w:val="77328A"/>
        </w:rPr>
      </w:pPr>
    </w:p>
    <w:p w14:paraId="677406FD" w14:textId="77777777" w:rsidR="002D03B5" w:rsidRPr="001479C7" w:rsidRDefault="002D03B5" w:rsidP="00EC6F70">
      <w:pPr>
        <w:pStyle w:val="ListParagraph"/>
        <w:numPr>
          <w:ilvl w:val="1"/>
          <w:numId w:val="9"/>
        </w:numPr>
      </w:pPr>
      <w:r w:rsidRPr="001479C7">
        <w:t>The Northern Ireland Human Rights Commission (the NIHRC), pursuant to Section 69(1) the Northern Ireland Act 1998, reviews the adequacy and effectiveness of law and practice relating to the protection of human rights. In accordance with these fu</w:t>
      </w:r>
      <w:r>
        <w:t>nctions, this submission is made in response to the Department of Health’s consultation on policy proposals for a duty of candour and being open</w:t>
      </w:r>
      <w:r w:rsidRPr="001479C7">
        <w:t>.</w:t>
      </w:r>
    </w:p>
    <w:p w14:paraId="693CF7D1" w14:textId="77777777" w:rsidR="002D03B5" w:rsidRPr="001479C7" w:rsidRDefault="002D03B5" w:rsidP="00EC6F70">
      <w:pPr>
        <w:pStyle w:val="ListParagraph"/>
        <w:ind w:left="1440"/>
      </w:pPr>
    </w:p>
    <w:p w14:paraId="62FBF9F2" w14:textId="77777777" w:rsidR="002D03B5" w:rsidRPr="001479C7" w:rsidRDefault="002D03B5" w:rsidP="00EC6F70">
      <w:pPr>
        <w:pStyle w:val="ListParagraph"/>
        <w:numPr>
          <w:ilvl w:val="1"/>
          <w:numId w:val="9"/>
        </w:numPr>
      </w:pPr>
      <w:r w:rsidRPr="001479C7">
        <w:rPr>
          <w:rFonts w:cs="Arial"/>
          <w:color w:val="232120"/>
        </w:rPr>
        <w:t>The NIHRC bases its advice on the full range of internationally accepted human rights standards, including the European Convention on Human Rights, as incorporated by the Human Rights Act 1998, and the treaty obligations of the Council of Europe (</w:t>
      </w:r>
      <w:proofErr w:type="spellStart"/>
      <w:r w:rsidRPr="001479C7">
        <w:rPr>
          <w:rFonts w:cs="Arial"/>
          <w:color w:val="232120"/>
        </w:rPr>
        <w:t>CoE</w:t>
      </w:r>
      <w:proofErr w:type="spellEnd"/>
      <w:r w:rsidRPr="001479C7">
        <w:rPr>
          <w:rFonts w:cs="Arial"/>
          <w:color w:val="232120"/>
        </w:rPr>
        <w:t>) and United Nations (UN).</w:t>
      </w:r>
      <w:r>
        <w:rPr>
          <w:rFonts w:cs="Arial"/>
          <w:color w:val="232120"/>
        </w:rPr>
        <w:t xml:space="preserve"> </w:t>
      </w:r>
      <w:r w:rsidRPr="001479C7">
        <w:rPr>
          <w:rFonts w:cs="Arial"/>
          <w:color w:val="232120"/>
        </w:rPr>
        <w:t>The relevant regional and international treaties in this context include:</w:t>
      </w:r>
    </w:p>
    <w:p w14:paraId="77B09DC4" w14:textId="77777777" w:rsidR="002D03B5" w:rsidRPr="001479C7" w:rsidRDefault="002D03B5" w:rsidP="00EC6F70">
      <w:pPr>
        <w:pStyle w:val="BasicParagraph"/>
        <w:suppressAutoHyphens/>
        <w:rPr>
          <w:rFonts w:ascii="Verdana" w:hAnsi="Verdana" w:cs="Arial"/>
          <w:color w:val="232120"/>
        </w:rPr>
      </w:pPr>
    </w:p>
    <w:p w14:paraId="4DA154C6" w14:textId="77777777" w:rsidR="002D03B5" w:rsidRPr="00AB144B" w:rsidRDefault="002D03B5" w:rsidP="00EC6F70">
      <w:pPr>
        <w:pStyle w:val="BasicParagraph"/>
        <w:numPr>
          <w:ilvl w:val="0"/>
          <w:numId w:val="10"/>
        </w:numPr>
        <w:suppressAutoHyphens/>
        <w:ind w:left="1701" w:hanging="283"/>
        <w:rPr>
          <w:rFonts w:ascii="Verdana" w:hAnsi="Verdana" w:cs="Arial"/>
          <w:color w:val="232120"/>
        </w:rPr>
      </w:pPr>
      <w:r w:rsidRPr="00AB144B">
        <w:rPr>
          <w:rFonts w:ascii="Verdana" w:hAnsi="Verdana" w:cs="Arial"/>
          <w:color w:val="232120"/>
        </w:rPr>
        <w:t>European Convention on Human Rights (ECHR);</w:t>
      </w:r>
      <w:r w:rsidRPr="00AB144B">
        <w:rPr>
          <w:rStyle w:val="FootnoteReference"/>
          <w:rFonts w:ascii="Verdana" w:hAnsi="Verdana" w:cs="Arial"/>
          <w:color w:val="232120"/>
        </w:rPr>
        <w:footnoteReference w:id="1"/>
      </w:r>
    </w:p>
    <w:p w14:paraId="413E1169" w14:textId="77777777" w:rsidR="002D03B5" w:rsidRPr="00AB144B" w:rsidRDefault="002D03B5" w:rsidP="00EC6F70">
      <w:pPr>
        <w:pStyle w:val="BasicParagraph"/>
        <w:numPr>
          <w:ilvl w:val="0"/>
          <w:numId w:val="10"/>
        </w:numPr>
        <w:suppressAutoHyphens/>
        <w:ind w:left="1701" w:hanging="283"/>
        <w:rPr>
          <w:rFonts w:ascii="Verdana" w:hAnsi="Verdana" w:cs="Arial"/>
          <w:color w:val="232120"/>
        </w:rPr>
      </w:pPr>
      <w:r w:rsidRPr="00AB144B">
        <w:rPr>
          <w:rFonts w:ascii="Verdana" w:hAnsi="Verdana" w:cs="Arial"/>
          <w:color w:val="232120"/>
        </w:rPr>
        <w:t>UN International Covenant on Civil and Political Rights (UN ICCPR);</w:t>
      </w:r>
      <w:r w:rsidRPr="00AB144B">
        <w:rPr>
          <w:rStyle w:val="FootnoteReference"/>
          <w:rFonts w:ascii="Verdana" w:hAnsi="Verdana" w:cs="Arial"/>
          <w:color w:val="232120"/>
        </w:rPr>
        <w:footnoteReference w:id="2"/>
      </w:r>
    </w:p>
    <w:p w14:paraId="052ECF0D" w14:textId="77777777" w:rsidR="002D03B5" w:rsidRPr="00AB144B" w:rsidRDefault="002D03B5" w:rsidP="00EC6F70">
      <w:pPr>
        <w:pStyle w:val="BasicParagraph"/>
        <w:numPr>
          <w:ilvl w:val="0"/>
          <w:numId w:val="10"/>
        </w:numPr>
        <w:suppressAutoHyphens/>
        <w:ind w:left="1701" w:hanging="283"/>
        <w:rPr>
          <w:rFonts w:ascii="Verdana" w:hAnsi="Verdana" w:cs="Arial"/>
          <w:color w:val="232120"/>
        </w:rPr>
      </w:pPr>
      <w:r w:rsidRPr="00AB144B">
        <w:rPr>
          <w:rFonts w:ascii="Verdana" w:hAnsi="Verdana" w:cs="Arial"/>
          <w:color w:val="232120"/>
        </w:rPr>
        <w:t>UN International Covenant on Economic, Social and Cultural Rights (UN ICESCR);</w:t>
      </w:r>
      <w:r w:rsidRPr="00AB144B">
        <w:rPr>
          <w:rStyle w:val="FootnoteReference"/>
          <w:rFonts w:ascii="Verdana" w:hAnsi="Verdana" w:cs="Arial"/>
          <w:color w:val="232120"/>
        </w:rPr>
        <w:footnoteReference w:id="3"/>
      </w:r>
    </w:p>
    <w:p w14:paraId="6FC9DA65" w14:textId="77777777" w:rsidR="002D03B5" w:rsidRPr="00AB144B" w:rsidRDefault="002D03B5" w:rsidP="00EC6F70">
      <w:pPr>
        <w:pStyle w:val="BasicParagraph"/>
        <w:suppressAutoHyphens/>
        <w:rPr>
          <w:rFonts w:ascii="Verdana" w:hAnsi="Verdana" w:cs="Arial"/>
          <w:color w:val="232120"/>
        </w:rPr>
      </w:pPr>
    </w:p>
    <w:p w14:paraId="2DCC4922" w14:textId="5CC8864F" w:rsidR="002D03B5" w:rsidRPr="00AB144B" w:rsidRDefault="002D03B5" w:rsidP="00EC6F70">
      <w:pPr>
        <w:pStyle w:val="BasicParagraph"/>
        <w:numPr>
          <w:ilvl w:val="1"/>
          <w:numId w:val="9"/>
        </w:numPr>
        <w:suppressAutoHyphens/>
        <w:rPr>
          <w:rFonts w:ascii="Verdana" w:hAnsi="Verdana" w:cs="Arial"/>
          <w:color w:val="232120"/>
        </w:rPr>
      </w:pPr>
      <w:r w:rsidRPr="00AB144B">
        <w:rPr>
          <w:rFonts w:ascii="Verdana" w:hAnsi="Verdana" w:cs="Arial"/>
          <w:color w:val="232120"/>
        </w:rPr>
        <w:t xml:space="preserve">In addition to these treaty standards, there exists a body of ‘soft law’ developed by the human rights bodies of the </w:t>
      </w:r>
      <w:proofErr w:type="spellStart"/>
      <w:r w:rsidRPr="00AB144B">
        <w:rPr>
          <w:rFonts w:ascii="Verdana" w:hAnsi="Verdana" w:cs="Arial"/>
          <w:color w:val="232120"/>
        </w:rPr>
        <w:t>CoE</w:t>
      </w:r>
      <w:proofErr w:type="spellEnd"/>
      <w:r w:rsidRPr="00AB144B">
        <w:rPr>
          <w:rFonts w:ascii="Verdana" w:hAnsi="Verdana" w:cs="Arial"/>
          <w:color w:val="232120"/>
        </w:rPr>
        <w:t xml:space="preserve"> and UN. These declarations and principles are non-</w:t>
      </w:r>
      <w:proofErr w:type="gramStart"/>
      <w:r w:rsidRPr="00AB144B">
        <w:rPr>
          <w:rFonts w:ascii="Verdana" w:hAnsi="Verdana" w:cs="Arial"/>
          <w:color w:val="232120"/>
        </w:rPr>
        <w:t>binding, but</w:t>
      </w:r>
      <w:proofErr w:type="gramEnd"/>
      <w:r w:rsidRPr="00AB144B">
        <w:rPr>
          <w:rFonts w:ascii="Verdana" w:hAnsi="Verdana" w:cs="Arial"/>
          <w:color w:val="232120"/>
        </w:rPr>
        <w:t xml:space="preserve"> provide further guidance in respect of specific areas. </w:t>
      </w:r>
      <w:r w:rsidR="003847ED">
        <w:rPr>
          <w:rFonts w:ascii="Verdana" w:hAnsi="Verdana" w:cs="Arial"/>
          <w:color w:val="232120"/>
        </w:rPr>
        <w:t>A</w:t>
      </w:r>
      <w:r w:rsidRPr="00AB144B">
        <w:rPr>
          <w:rFonts w:ascii="Verdana" w:hAnsi="Verdana" w:cs="Arial"/>
          <w:color w:val="232120"/>
        </w:rPr>
        <w:t xml:space="preserve"> relevant standard in this context include</w:t>
      </w:r>
      <w:r w:rsidR="003847ED">
        <w:rPr>
          <w:rFonts w:ascii="Verdana" w:hAnsi="Verdana" w:cs="Arial"/>
          <w:color w:val="232120"/>
        </w:rPr>
        <w:t>s</w:t>
      </w:r>
      <w:r w:rsidRPr="00AB144B">
        <w:rPr>
          <w:rFonts w:ascii="Verdana" w:hAnsi="Verdana" w:cs="Arial"/>
          <w:color w:val="232120"/>
        </w:rPr>
        <w:t>:</w:t>
      </w:r>
      <w:r w:rsidRPr="00AB144B">
        <w:rPr>
          <w:rFonts w:ascii="Verdana" w:hAnsi="Verdana" w:cs="Arial"/>
          <w:color w:val="232120"/>
        </w:rPr>
        <w:br/>
      </w:r>
    </w:p>
    <w:p w14:paraId="111E5B52" w14:textId="77777777" w:rsidR="002D03B5" w:rsidRPr="00AB144B" w:rsidRDefault="002D03B5" w:rsidP="00EC6F70">
      <w:pPr>
        <w:pStyle w:val="ListParagraph"/>
        <w:numPr>
          <w:ilvl w:val="0"/>
          <w:numId w:val="8"/>
        </w:numPr>
        <w:tabs>
          <w:tab w:val="left" w:pos="1418"/>
        </w:tabs>
        <w:ind w:left="1701" w:hanging="283"/>
      </w:pPr>
      <w:r w:rsidRPr="00AB144B">
        <w:rPr>
          <w:rFonts w:cs="Arial"/>
          <w:color w:val="232120"/>
        </w:rPr>
        <w:t>UN Committee</w:t>
      </w:r>
      <w:r w:rsidRPr="00AB144B">
        <w:t xml:space="preserve"> on the </w:t>
      </w:r>
      <w:r w:rsidR="00387717" w:rsidRPr="00AB144B">
        <w:t>Economic, Social and Cultural Rights</w:t>
      </w:r>
      <w:r w:rsidRPr="00AB144B">
        <w:t xml:space="preserve"> (UN </w:t>
      </w:r>
      <w:r w:rsidR="00387717" w:rsidRPr="00AB144B">
        <w:t>CESCR</w:t>
      </w:r>
      <w:r w:rsidRPr="00AB144B">
        <w:t xml:space="preserve"> Committee) </w:t>
      </w:r>
      <w:r w:rsidR="00387717" w:rsidRPr="00AB144B">
        <w:t>General Comment No. 14 on the Right to the Highest Attainable Standard of Health Art. 12.</w:t>
      </w:r>
    </w:p>
    <w:p w14:paraId="54A21495" w14:textId="77777777" w:rsidR="002D03B5" w:rsidRPr="009C472F" w:rsidRDefault="002D03B5" w:rsidP="00EC6F70">
      <w:pPr>
        <w:pStyle w:val="ListParagraph"/>
        <w:ind w:left="2160"/>
      </w:pPr>
    </w:p>
    <w:p w14:paraId="68FC7005" w14:textId="77777777" w:rsidR="002D03B5" w:rsidRPr="00B146E2" w:rsidRDefault="002D03B5" w:rsidP="00EC6F70">
      <w:pPr>
        <w:pStyle w:val="BasicParagraph"/>
        <w:numPr>
          <w:ilvl w:val="1"/>
          <w:numId w:val="9"/>
        </w:numPr>
        <w:suppressAutoHyphens/>
        <w:rPr>
          <w:rFonts w:ascii="Verdana" w:hAnsi="Verdana" w:cs="Arial"/>
          <w:color w:val="232120"/>
        </w:rPr>
      </w:pPr>
      <w:r w:rsidRPr="001479C7">
        <w:rPr>
          <w:rFonts w:ascii="Verdana" w:hAnsi="Verdana" w:cs="Arial"/>
          <w:color w:val="232120"/>
        </w:rPr>
        <w:t xml:space="preserve">The NIHRC welcomes the opportunity to respond to the </w:t>
      </w:r>
      <w:r>
        <w:rPr>
          <w:rFonts w:ascii="Verdana" w:hAnsi="Verdana" w:cs="Arial"/>
          <w:color w:val="232120"/>
        </w:rPr>
        <w:t xml:space="preserve">Department of Health’s consultation </w:t>
      </w:r>
      <w:r w:rsidR="00DA7209">
        <w:rPr>
          <w:rFonts w:ascii="Verdana" w:hAnsi="Verdana" w:cs="Arial"/>
          <w:color w:val="232120"/>
        </w:rPr>
        <w:t>policy proposals for a duty of candour and openness</w:t>
      </w:r>
      <w:r>
        <w:rPr>
          <w:rFonts w:ascii="Verdana" w:hAnsi="Verdana" w:cs="Arial"/>
          <w:color w:val="232120"/>
        </w:rPr>
        <w:t xml:space="preserve"> in Northern Ireland</w:t>
      </w:r>
      <w:r w:rsidR="00154F99">
        <w:rPr>
          <w:rFonts w:ascii="Verdana" w:hAnsi="Verdana" w:cs="Arial"/>
          <w:color w:val="232120"/>
        </w:rPr>
        <w:t xml:space="preserve"> (NI)</w:t>
      </w:r>
      <w:r w:rsidRPr="001479C7">
        <w:rPr>
          <w:rFonts w:ascii="Verdana" w:hAnsi="Verdana" w:cs="Arial"/>
          <w:color w:val="232120"/>
        </w:rPr>
        <w:t>.</w:t>
      </w:r>
      <w:r>
        <w:rPr>
          <w:rFonts w:ascii="Verdana" w:hAnsi="Verdana" w:cs="Arial"/>
          <w:color w:val="232120"/>
        </w:rPr>
        <w:t xml:space="preserve"> </w:t>
      </w:r>
      <w:r w:rsidRPr="00AF092D">
        <w:rPr>
          <w:rFonts w:ascii="Verdana" w:hAnsi="Verdana" w:cs="Arial"/>
          <w:color w:val="232120"/>
        </w:rPr>
        <w:t xml:space="preserve">The structure of this response is </w:t>
      </w:r>
      <w:r w:rsidR="009F59DC">
        <w:rPr>
          <w:rFonts w:ascii="Verdana" w:hAnsi="Verdana" w:cs="Arial"/>
          <w:color w:val="232120"/>
        </w:rPr>
        <w:t xml:space="preserve">broadly </w:t>
      </w:r>
      <w:r w:rsidRPr="00AF092D">
        <w:rPr>
          <w:rFonts w:ascii="Verdana" w:hAnsi="Verdana" w:cs="Arial"/>
          <w:color w:val="232120"/>
        </w:rPr>
        <w:t>aligned to the structure of the consultation document, save where to avoid repetition, the issues have been grouped together.</w:t>
      </w:r>
    </w:p>
    <w:p w14:paraId="37624C21" w14:textId="77777777" w:rsidR="002D03B5" w:rsidRPr="003B7D0E" w:rsidRDefault="002D03B5" w:rsidP="00EC6F70">
      <w:pPr>
        <w:pStyle w:val="BasicParagraph"/>
        <w:suppressAutoHyphens/>
        <w:rPr>
          <w:rFonts w:ascii="Verdana" w:hAnsi="Verdana" w:cs="Arial"/>
          <w:b/>
          <w:color w:val="734791"/>
        </w:rPr>
      </w:pPr>
    </w:p>
    <w:p w14:paraId="510F5F6F" w14:textId="77777777" w:rsidR="002D03B5" w:rsidRPr="003B7D0E" w:rsidRDefault="002D03B5" w:rsidP="00EC6F70">
      <w:pPr>
        <w:pStyle w:val="BasicParagraph"/>
        <w:suppressAutoHyphens/>
        <w:rPr>
          <w:rFonts w:ascii="Verdana" w:hAnsi="Verdana" w:cs="Arial"/>
          <w:color w:val="77328A"/>
          <w:sz w:val="30"/>
          <w:szCs w:val="30"/>
        </w:rPr>
      </w:pPr>
      <w:r>
        <w:rPr>
          <w:rFonts w:ascii="Verdana" w:hAnsi="Verdana" w:cs="Arial"/>
          <w:b/>
          <w:color w:val="77328A"/>
          <w:sz w:val="30"/>
          <w:szCs w:val="30"/>
        </w:rPr>
        <w:t>2</w:t>
      </w:r>
      <w:r w:rsidRPr="003B7D0E">
        <w:rPr>
          <w:rFonts w:ascii="Verdana" w:hAnsi="Verdana" w:cs="Arial"/>
          <w:b/>
          <w:color w:val="77328A"/>
          <w:sz w:val="30"/>
          <w:szCs w:val="30"/>
        </w:rPr>
        <w:t>.0</w:t>
      </w:r>
      <w:r w:rsidRPr="003B7D0E">
        <w:rPr>
          <w:rFonts w:ascii="Verdana" w:hAnsi="Verdana" w:cs="Arial"/>
          <w:b/>
          <w:color w:val="77328A"/>
          <w:sz w:val="30"/>
          <w:szCs w:val="30"/>
        </w:rPr>
        <w:tab/>
      </w:r>
      <w:r w:rsidR="00AE157F">
        <w:rPr>
          <w:rFonts w:ascii="Verdana" w:hAnsi="Verdana" w:cs="Arial"/>
          <w:b/>
          <w:color w:val="77328A"/>
          <w:sz w:val="30"/>
          <w:szCs w:val="30"/>
        </w:rPr>
        <w:t>Use of terminology and definitions</w:t>
      </w:r>
      <w:r w:rsidR="009F59DC">
        <w:rPr>
          <w:rFonts w:ascii="Verdana" w:hAnsi="Verdana" w:cs="Arial"/>
          <w:b/>
          <w:color w:val="77328A"/>
          <w:sz w:val="30"/>
          <w:szCs w:val="30"/>
        </w:rPr>
        <w:t xml:space="preserve"> in</w:t>
      </w:r>
      <w:r w:rsidR="00AE157F">
        <w:rPr>
          <w:rFonts w:ascii="Verdana" w:hAnsi="Verdana" w:cs="Arial"/>
          <w:b/>
          <w:color w:val="77328A"/>
          <w:sz w:val="30"/>
          <w:szCs w:val="30"/>
        </w:rPr>
        <w:t xml:space="preserve"> respect of “openness” and “candour”</w:t>
      </w:r>
    </w:p>
    <w:p w14:paraId="55CD102C" w14:textId="77777777" w:rsidR="002D03B5" w:rsidRDefault="002D03B5" w:rsidP="00EC6F70">
      <w:pPr>
        <w:pStyle w:val="BasicParagraph"/>
        <w:suppressAutoHyphens/>
        <w:ind w:left="720" w:hanging="720"/>
        <w:rPr>
          <w:rFonts w:ascii="Verdana" w:hAnsi="Verdana" w:cs="Arial"/>
          <w:color w:val="232120"/>
        </w:rPr>
      </w:pPr>
    </w:p>
    <w:p w14:paraId="36F24293" w14:textId="77777777" w:rsidR="002D03B5" w:rsidRDefault="002D03B5" w:rsidP="00EC6F70">
      <w:pPr>
        <w:pStyle w:val="BasicParagraph"/>
        <w:suppressAutoHyphens/>
        <w:ind w:left="720" w:hanging="720"/>
        <w:rPr>
          <w:rFonts w:ascii="Verdana" w:hAnsi="Verdana" w:cs="Arial"/>
          <w:color w:val="232120"/>
          <w:lang w:val="en-HK"/>
        </w:rPr>
      </w:pPr>
      <w:r>
        <w:rPr>
          <w:rFonts w:ascii="Verdana" w:hAnsi="Verdana" w:cs="Arial"/>
          <w:color w:val="232120"/>
        </w:rPr>
        <w:t>2.1</w:t>
      </w:r>
      <w:r>
        <w:rPr>
          <w:rFonts w:ascii="Verdana" w:hAnsi="Verdana" w:cs="Arial"/>
          <w:color w:val="232120"/>
        </w:rPr>
        <w:tab/>
      </w:r>
      <w:r w:rsidR="00B73885">
        <w:rPr>
          <w:rFonts w:ascii="Verdana" w:hAnsi="Verdana" w:cs="Arial"/>
          <w:color w:val="232120"/>
        </w:rPr>
        <w:t xml:space="preserve">Article 12.1 of the UN International Covenant on Economic, Social and Cultural Rights (UN ICESCR) sets out “the right of everyone </w:t>
      </w:r>
      <w:r w:rsidR="00B73885" w:rsidRPr="00B73885">
        <w:rPr>
          <w:rFonts w:ascii="Verdana" w:hAnsi="Verdana" w:cs="Arial"/>
          <w:color w:val="232120"/>
          <w:lang w:val="en-HK"/>
        </w:rPr>
        <w:t>to the enjoyment of the highest attainable standard of physical and mental healt</w:t>
      </w:r>
      <w:r w:rsidR="00B73885">
        <w:rPr>
          <w:rFonts w:ascii="Verdana" w:hAnsi="Verdana" w:cs="Arial"/>
          <w:color w:val="232120"/>
          <w:lang w:val="en-HK"/>
        </w:rPr>
        <w:t>h”</w:t>
      </w:r>
      <w:r w:rsidR="00B73885" w:rsidRPr="00B73885">
        <w:rPr>
          <w:rFonts w:ascii="Verdana" w:hAnsi="Verdana" w:cs="Arial"/>
          <w:color w:val="232120"/>
          <w:lang w:val="en-HK"/>
        </w:rPr>
        <w:t>.</w:t>
      </w:r>
      <w:r w:rsidR="00B73885">
        <w:rPr>
          <w:rFonts w:ascii="Verdana" w:hAnsi="Verdana" w:cs="Arial"/>
          <w:color w:val="232120"/>
          <w:lang w:val="en-HK"/>
        </w:rPr>
        <w:t xml:space="preserve"> </w:t>
      </w:r>
    </w:p>
    <w:p w14:paraId="06F0CC09" w14:textId="77777777" w:rsidR="00027F41" w:rsidRPr="00027F41" w:rsidRDefault="00027F41" w:rsidP="00EC6F70">
      <w:pPr>
        <w:pStyle w:val="BasicParagraph"/>
        <w:suppressAutoHyphens/>
        <w:ind w:left="720" w:hanging="720"/>
        <w:rPr>
          <w:rFonts w:ascii="Verdana" w:hAnsi="Verdana" w:cs="Arial"/>
          <w:color w:val="232120"/>
          <w:lang w:val="en-HK"/>
        </w:rPr>
      </w:pPr>
    </w:p>
    <w:p w14:paraId="5ED02572" w14:textId="6DF6BC24" w:rsidR="006649CD" w:rsidRDefault="002D03B5" w:rsidP="00EC6F70">
      <w:pPr>
        <w:pStyle w:val="BasicParagraph"/>
        <w:suppressAutoHyphens/>
        <w:ind w:left="720" w:hanging="720"/>
        <w:rPr>
          <w:rFonts w:ascii="Verdana" w:hAnsi="Verdana" w:cs="Arial"/>
          <w:color w:val="232120"/>
        </w:rPr>
      </w:pPr>
      <w:r>
        <w:rPr>
          <w:rFonts w:ascii="Verdana" w:hAnsi="Verdana" w:cs="Arial"/>
          <w:color w:val="232120"/>
        </w:rPr>
        <w:t>2.2</w:t>
      </w:r>
      <w:r>
        <w:rPr>
          <w:rFonts w:ascii="Verdana" w:hAnsi="Verdana" w:cs="Arial"/>
          <w:color w:val="232120"/>
        </w:rPr>
        <w:tab/>
        <w:t xml:space="preserve">The </w:t>
      </w:r>
      <w:r w:rsidR="00027F41">
        <w:rPr>
          <w:rFonts w:ascii="Verdana" w:hAnsi="Verdana" w:cs="Arial"/>
          <w:color w:val="232120"/>
        </w:rPr>
        <w:t xml:space="preserve">Committee on Economic, Social and Cultural Rights </w:t>
      </w:r>
      <w:r w:rsidR="00154F99">
        <w:rPr>
          <w:rFonts w:ascii="Verdana" w:hAnsi="Verdana" w:cs="Arial"/>
          <w:color w:val="232120"/>
        </w:rPr>
        <w:t xml:space="preserve">has </w:t>
      </w:r>
      <w:r w:rsidR="00027F41">
        <w:rPr>
          <w:rFonts w:ascii="Verdana" w:hAnsi="Verdana" w:cs="Arial"/>
          <w:color w:val="232120"/>
        </w:rPr>
        <w:t>elaborated on the</w:t>
      </w:r>
      <w:r w:rsidR="006649CD">
        <w:rPr>
          <w:rFonts w:ascii="Verdana" w:hAnsi="Verdana" w:cs="Arial"/>
          <w:color w:val="232120"/>
        </w:rPr>
        <w:t xml:space="preserve"> obligations of states under</w:t>
      </w:r>
      <w:r w:rsidR="00027F41">
        <w:rPr>
          <w:rFonts w:ascii="Verdana" w:hAnsi="Verdana" w:cs="Arial"/>
          <w:color w:val="232120"/>
        </w:rPr>
        <w:t xml:space="preserve"> </w:t>
      </w:r>
      <w:r w:rsidR="00154F99">
        <w:rPr>
          <w:rFonts w:ascii="Verdana" w:hAnsi="Verdana" w:cs="Arial"/>
          <w:color w:val="232120"/>
        </w:rPr>
        <w:t>the right to health, confirming that this is not to be understood as a right to be healthy, but as</w:t>
      </w:r>
      <w:r w:rsidR="00154F99" w:rsidRPr="00154F99">
        <w:rPr>
          <w:rFonts w:ascii="Verdana" w:hAnsi="Verdana" w:cs="Arial"/>
          <w:color w:val="232120"/>
        </w:rPr>
        <w:t xml:space="preserve"> </w:t>
      </w:r>
      <w:r w:rsidR="00154F99">
        <w:rPr>
          <w:rFonts w:ascii="Verdana" w:hAnsi="Verdana" w:cs="Arial"/>
          <w:color w:val="232120"/>
        </w:rPr>
        <w:t>“</w:t>
      </w:r>
      <w:r w:rsidR="00154F99" w:rsidRPr="00154F99">
        <w:rPr>
          <w:rFonts w:ascii="Verdana" w:hAnsi="Verdana" w:cs="Arial"/>
          <w:color w:val="232120"/>
        </w:rPr>
        <w:t>a system of health protect</w:t>
      </w:r>
      <w:r w:rsidR="00154F99">
        <w:rPr>
          <w:rFonts w:ascii="Verdana" w:hAnsi="Verdana" w:cs="Arial"/>
          <w:color w:val="232120"/>
        </w:rPr>
        <w:t xml:space="preserve">ion which provides equality of </w:t>
      </w:r>
      <w:r w:rsidR="00154F99" w:rsidRPr="00154F99">
        <w:rPr>
          <w:rFonts w:ascii="Verdana" w:hAnsi="Verdana" w:cs="Arial"/>
          <w:color w:val="232120"/>
        </w:rPr>
        <w:t>opportunity for people to enjoy the highest attainable level of health</w:t>
      </w:r>
      <w:r w:rsidR="00B539C5">
        <w:rPr>
          <w:rFonts w:ascii="Verdana" w:hAnsi="Verdana" w:cs="Arial"/>
          <w:color w:val="232120"/>
        </w:rPr>
        <w:t>”.</w:t>
      </w:r>
      <w:r w:rsidR="00027F41">
        <w:rPr>
          <w:rStyle w:val="FootnoteReference"/>
          <w:rFonts w:ascii="Verdana" w:hAnsi="Verdana" w:cs="Arial"/>
          <w:color w:val="232120"/>
        </w:rPr>
        <w:footnoteReference w:id="4"/>
      </w:r>
      <w:r w:rsidR="00027F41">
        <w:rPr>
          <w:rFonts w:ascii="Verdana" w:hAnsi="Verdana" w:cs="Arial"/>
          <w:color w:val="232120"/>
        </w:rPr>
        <w:t xml:space="preserve"> </w:t>
      </w:r>
      <w:r w:rsidR="006649CD">
        <w:rPr>
          <w:rFonts w:ascii="Verdana" w:hAnsi="Verdana" w:cs="Arial"/>
          <w:color w:val="232120"/>
        </w:rPr>
        <w:t>States are required to protect, respect and fulfil the right to health</w:t>
      </w:r>
      <w:r w:rsidR="00514FC9">
        <w:rPr>
          <w:rStyle w:val="FootnoteReference"/>
          <w:rFonts w:ascii="Verdana" w:hAnsi="Verdana" w:cs="Arial"/>
          <w:color w:val="232120"/>
        </w:rPr>
        <w:footnoteReference w:id="5"/>
      </w:r>
      <w:r w:rsidR="006649CD">
        <w:rPr>
          <w:rFonts w:ascii="Verdana" w:hAnsi="Verdana" w:cs="Arial"/>
          <w:color w:val="232120"/>
        </w:rPr>
        <w:t>,</w:t>
      </w:r>
      <w:r w:rsidR="00154F99">
        <w:rPr>
          <w:rFonts w:ascii="Verdana" w:hAnsi="Verdana" w:cs="Arial"/>
          <w:color w:val="232120"/>
        </w:rPr>
        <w:t xml:space="preserve"> and are required by ‘progressive realisation’ to take steps t</w:t>
      </w:r>
      <w:r w:rsidR="00514FC9">
        <w:rPr>
          <w:rFonts w:ascii="Verdana" w:hAnsi="Verdana" w:cs="Arial"/>
          <w:color w:val="232120"/>
        </w:rPr>
        <w:t>owards the full realisation of Article 12 ICESCR.</w:t>
      </w:r>
      <w:r w:rsidR="00514FC9">
        <w:rPr>
          <w:rStyle w:val="FootnoteReference"/>
          <w:rFonts w:ascii="Verdana" w:hAnsi="Verdana" w:cs="Arial"/>
          <w:color w:val="232120"/>
        </w:rPr>
        <w:footnoteReference w:id="6"/>
      </w:r>
    </w:p>
    <w:p w14:paraId="72397EBF" w14:textId="77777777" w:rsidR="006649CD" w:rsidRDefault="006649CD" w:rsidP="00EC6F70">
      <w:pPr>
        <w:pStyle w:val="BasicParagraph"/>
        <w:suppressAutoHyphens/>
        <w:ind w:left="720" w:hanging="720"/>
        <w:rPr>
          <w:rFonts w:ascii="Verdana" w:hAnsi="Verdana" w:cs="Arial"/>
          <w:color w:val="232120"/>
        </w:rPr>
      </w:pPr>
    </w:p>
    <w:p w14:paraId="22C05AA7" w14:textId="0D476E7E" w:rsidR="001B095D" w:rsidRDefault="006649CD" w:rsidP="00EC6F70">
      <w:pPr>
        <w:pStyle w:val="BasicParagraph"/>
        <w:suppressAutoHyphens/>
        <w:ind w:left="720" w:hanging="720"/>
        <w:rPr>
          <w:rFonts w:ascii="Verdana" w:hAnsi="Verdana" w:cs="Arial"/>
          <w:color w:val="232120"/>
        </w:rPr>
      </w:pPr>
      <w:r>
        <w:rPr>
          <w:rFonts w:ascii="Verdana" w:hAnsi="Verdana" w:cs="Arial"/>
          <w:color w:val="232120"/>
        </w:rPr>
        <w:t>2.3</w:t>
      </w:r>
      <w:r>
        <w:rPr>
          <w:rFonts w:ascii="Verdana" w:hAnsi="Verdana" w:cs="Arial"/>
          <w:color w:val="232120"/>
        </w:rPr>
        <w:tab/>
        <w:t>Under the obligation to protect,</w:t>
      </w:r>
      <w:r w:rsidR="00514FC9">
        <w:rPr>
          <w:rFonts w:ascii="Verdana" w:hAnsi="Verdana" w:cs="Arial"/>
          <w:color w:val="232120"/>
        </w:rPr>
        <w:t xml:space="preserve"> which requires the State to </w:t>
      </w:r>
      <w:r w:rsidR="00514FC9" w:rsidRPr="00514FC9">
        <w:rPr>
          <w:rFonts w:ascii="Verdana" w:hAnsi="Verdana" w:cs="Arial"/>
          <w:color w:val="232120"/>
        </w:rPr>
        <w:t>take measures that prevent third parties from interfering with article 12 guarantees</w:t>
      </w:r>
      <w:r w:rsidR="00514FC9">
        <w:rPr>
          <w:rFonts w:ascii="Verdana" w:hAnsi="Verdana" w:cs="Arial"/>
          <w:color w:val="232120"/>
        </w:rPr>
        <w:t>,</w:t>
      </w:r>
      <w:r>
        <w:rPr>
          <w:rFonts w:ascii="Verdana" w:hAnsi="Verdana" w:cs="Arial"/>
          <w:color w:val="232120"/>
        </w:rPr>
        <w:t xml:space="preserve"> the Committee on Economic, Social and Cultural Rights has included</w:t>
      </w:r>
      <w:r w:rsidR="001B095D">
        <w:rPr>
          <w:rFonts w:ascii="Verdana" w:hAnsi="Verdana" w:cs="Arial"/>
          <w:color w:val="232120"/>
        </w:rPr>
        <w:t xml:space="preserve"> as </w:t>
      </w:r>
      <w:r w:rsidR="00514FC9">
        <w:rPr>
          <w:rFonts w:ascii="Verdana" w:hAnsi="Verdana" w:cs="Arial"/>
          <w:color w:val="232120"/>
        </w:rPr>
        <w:t xml:space="preserve">a specific </w:t>
      </w:r>
      <w:r w:rsidR="001B095D">
        <w:rPr>
          <w:rFonts w:ascii="Verdana" w:hAnsi="Verdana" w:cs="Arial"/>
          <w:color w:val="232120"/>
        </w:rPr>
        <w:t>example, the duty “to ensure that medical practitioners and other health professional meet appropriate standards of education, skill and ethical codes of conduct”.</w:t>
      </w:r>
      <w:r w:rsidR="00514FC9">
        <w:rPr>
          <w:rStyle w:val="FootnoteReference"/>
          <w:rFonts w:ascii="Verdana" w:hAnsi="Verdana" w:cs="Arial"/>
          <w:color w:val="232120"/>
        </w:rPr>
        <w:footnoteReference w:id="7"/>
      </w:r>
      <w:r w:rsidR="001B095D">
        <w:rPr>
          <w:rFonts w:ascii="Verdana" w:hAnsi="Verdana" w:cs="Arial"/>
          <w:color w:val="232120"/>
        </w:rPr>
        <w:t xml:space="preserve"> Further, under the obligation to fulfil, States are obliged:</w:t>
      </w:r>
    </w:p>
    <w:p w14:paraId="4862767C" w14:textId="77777777" w:rsidR="001B095D" w:rsidRDefault="001B095D" w:rsidP="00EC6F70">
      <w:pPr>
        <w:spacing w:before="100" w:beforeAutospacing="1" w:after="100" w:afterAutospacing="1" w:line="288" w:lineRule="auto"/>
        <w:ind w:left="1440"/>
        <w:rPr>
          <w:rFonts w:ascii="Verdana" w:eastAsia="Times New Roman" w:hAnsi="Verdana" w:cs="Times New Roman"/>
          <w:lang w:val="en-HK" w:eastAsia="zh-TW"/>
        </w:rPr>
      </w:pPr>
      <w:r w:rsidRPr="001B095D">
        <w:rPr>
          <w:rFonts w:ascii="Verdana" w:hAnsi="Verdana" w:cs="Arial"/>
          <w:color w:val="232120"/>
        </w:rPr>
        <w:t xml:space="preserve">to take positive measures that enable and assist individuals and communities to enjoy the right to health. States parties are also obliged to fulfil (provide) a specific right contained in the Covenant when individuals or a group are unable, for reasons beyond their control, to realize that right themselves by the means at their disposal. The obligation to fulfil (promote) the right to health requires States to undertake actions that create, </w:t>
      </w:r>
      <w:proofErr w:type="gramStart"/>
      <w:r w:rsidRPr="001B095D">
        <w:rPr>
          <w:rFonts w:ascii="Verdana" w:hAnsi="Verdana" w:cs="Arial"/>
          <w:color w:val="232120"/>
        </w:rPr>
        <w:t>maintain</w:t>
      </w:r>
      <w:proofErr w:type="gramEnd"/>
      <w:r w:rsidRPr="001B095D">
        <w:rPr>
          <w:rFonts w:ascii="Verdana" w:hAnsi="Verdana" w:cs="Arial"/>
          <w:color w:val="232120"/>
        </w:rPr>
        <w:t xml:space="preserve"> and </w:t>
      </w:r>
      <w:r w:rsidRPr="001B095D">
        <w:rPr>
          <w:rFonts w:ascii="Verdana" w:hAnsi="Verdana" w:cs="Arial"/>
          <w:color w:val="232120"/>
        </w:rPr>
        <w:lastRenderedPageBreak/>
        <w:t>restore the health of the population. Such obligations include: (iv) supporting people in making informed choices about their health.</w:t>
      </w:r>
      <w:r w:rsidR="00514FC9">
        <w:rPr>
          <w:rStyle w:val="FootnoteReference"/>
          <w:rFonts w:ascii="Verdana" w:hAnsi="Verdana" w:cs="Arial"/>
          <w:color w:val="232120"/>
        </w:rPr>
        <w:footnoteReference w:id="8"/>
      </w:r>
    </w:p>
    <w:p w14:paraId="04684745" w14:textId="3EB9EC76" w:rsidR="008E7E15" w:rsidRDefault="001B095D" w:rsidP="00EC6F70">
      <w:pPr>
        <w:spacing w:before="100" w:beforeAutospacing="1" w:after="100" w:afterAutospacing="1" w:line="288" w:lineRule="auto"/>
        <w:ind w:left="720" w:hanging="720"/>
        <w:rPr>
          <w:rFonts w:ascii="Verdana" w:eastAsia="Times New Roman" w:hAnsi="Verdana" w:cs="Times New Roman"/>
          <w:lang w:val="en-HK" w:eastAsia="zh-TW"/>
        </w:rPr>
      </w:pPr>
      <w:r>
        <w:rPr>
          <w:rFonts w:ascii="Verdana" w:eastAsia="Times New Roman" w:hAnsi="Verdana" w:cs="Times New Roman"/>
          <w:lang w:val="en-HK" w:eastAsia="zh-TW"/>
        </w:rPr>
        <w:t>2.4</w:t>
      </w:r>
      <w:r>
        <w:rPr>
          <w:rFonts w:ascii="Verdana" w:eastAsia="Times New Roman" w:hAnsi="Verdana" w:cs="Times New Roman"/>
          <w:lang w:val="en-HK" w:eastAsia="zh-TW"/>
        </w:rPr>
        <w:tab/>
        <w:t>The definition of candour set out in the consultation</w:t>
      </w:r>
      <w:r w:rsidR="00425E38">
        <w:rPr>
          <w:rFonts w:ascii="Verdana" w:eastAsia="Times New Roman" w:hAnsi="Verdana" w:cs="Times New Roman"/>
          <w:lang w:val="en-HK" w:eastAsia="zh-TW"/>
        </w:rPr>
        <w:t xml:space="preserve"> document denotes an element of proactivity on the part of the healthcare professional or organisation to volunteer relevant information where an individual has or may have been harmed by the provision of services, whether or not this information has been requested or a complaint has been made. </w:t>
      </w:r>
      <w:r w:rsidR="00DF0385">
        <w:rPr>
          <w:rFonts w:ascii="Verdana" w:eastAsia="Times New Roman" w:hAnsi="Verdana" w:cs="Times New Roman"/>
          <w:lang w:val="en-HK" w:eastAsia="zh-TW"/>
        </w:rPr>
        <w:t>It is distinguished from ‘openness’ which relates to the culture of enabling concerns or complaints to be raised without fear.</w:t>
      </w:r>
      <w:r w:rsidR="006F7730">
        <w:rPr>
          <w:rStyle w:val="FootnoteReference"/>
          <w:rFonts w:ascii="Verdana" w:eastAsia="Times New Roman" w:hAnsi="Verdana" w:cs="Times New Roman"/>
          <w:lang w:val="en-HK" w:eastAsia="zh-TW"/>
        </w:rPr>
        <w:footnoteReference w:id="9"/>
      </w:r>
    </w:p>
    <w:p w14:paraId="2F82DBD6" w14:textId="77777777" w:rsidR="001B095D" w:rsidRDefault="008E7E15" w:rsidP="00EC6F70">
      <w:pPr>
        <w:spacing w:before="100" w:beforeAutospacing="1" w:after="100" w:afterAutospacing="1" w:line="288" w:lineRule="auto"/>
        <w:ind w:left="720" w:hanging="720"/>
        <w:rPr>
          <w:rFonts w:ascii="Verdana" w:eastAsia="Times New Roman" w:hAnsi="Verdana" w:cs="Times New Roman"/>
          <w:lang w:val="en-HK" w:eastAsia="zh-TW"/>
        </w:rPr>
      </w:pPr>
      <w:r>
        <w:rPr>
          <w:rFonts w:ascii="Verdana" w:eastAsia="Times New Roman" w:hAnsi="Verdana" w:cs="Times New Roman"/>
          <w:lang w:val="en-HK" w:eastAsia="zh-TW"/>
        </w:rPr>
        <w:t>2.5</w:t>
      </w:r>
      <w:r>
        <w:rPr>
          <w:rFonts w:ascii="Verdana" w:eastAsia="Times New Roman" w:hAnsi="Verdana" w:cs="Times New Roman"/>
          <w:lang w:val="en-HK" w:eastAsia="zh-TW"/>
        </w:rPr>
        <w:tab/>
        <w:t xml:space="preserve">Individuals may not be aware of the relevant questions they should ask of medical professionals, which may ultimately have a material impact on their </w:t>
      </w:r>
      <w:r w:rsidR="00DF0385">
        <w:rPr>
          <w:rFonts w:ascii="Verdana" w:eastAsia="Times New Roman" w:hAnsi="Verdana" w:cs="Times New Roman"/>
          <w:lang w:val="en-HK" w:eastAsia="zh-TW"/>
        </w:rPr>
        <w:t xml:space="preserve">treatment and their </w:t>
      </w:r>
      <w:r>
        <w:rPr>
          <w:rFonts w:ascii="Verdana" w:eastAsia="Times New Roman" w:hAnsi="Verdana" w:cs="Times New Roman"/>
          <w:lang w:val="en-HK" w:eastAsia="zh-TW"/>
        </w:rPr>
        <w:t xml:space="preserve">right to health. The requirement to proactively provide information to an individual relating to harm which has or may have occurred is more likely to enable an individual to make informed choices about their health. Thus, the definition of candour outlined in the consultation document would tend to be more aligned with the state duty to fulfil the right to health than ‘openness’. </w:t>
      </w:r>
    </w:p>
    <w:p w14:paraId="4A387C4E" w14:textId="258231E4" w:rsidR="008E7E15" w:rsidRDefault="008E7E15" w:rsidP="00EC6F70">
      <w:pPr>
        <w:spacing w:before="100" w:beforeAutospacing="1" w:after="100" w:afterAutospacing="1" w:line="288" w:lineRule="auto"/>
        <w:ind w:left="720" w:hanging="720"/>
        <w:rPr>
          <w:rFonts w:ascii="Verdana" w:eastAsia="Times New Roman" w:hAnsi="Verdana" w:cs="Times New Roman"/>
          <w:lang w:val="en-HK" w:eastAsia="zh-TW"/>
        </w:rPr>
      </w:pPr>
      <w:r>
        <w:rPr>
          <w:rFonts w:ascii="Verdana" w:eastAsia="Times New Roman" w:hAnsi="Verdana" w:cs="Times New Roman"/>
          <w:lang w:val="en-HK" w:eastAsia="zh-TW"/>
        </w:rPr>
        <w:t>2.6</w:t>
      </w:r>
      <w:r>
        <w:rPr>
          <w:rFonts w:ascii="Verdana" w:eastAsia="Times New Roman" w:hAnsi="Verdana" w:cs="Times New Roman"/>
          <w:lang w:val="en-HK" w:eastAsia="zh-TW"/>
        </w:rPr>
        <w:tab/>
      </w:r>
      <w:r w:rsidR="00DF0385">
        <w:rPr>
          <w:rFonts w:ascii="Verdana" w:eastAsia="Times New Roman" w:hAnsi="Verdana" w:cs="Times New Roman"/>
          <w:lang w:val="en-HK" w:eastAsia="zh-TW"/>
        </w:rPr>
        <w:t>It should be noted that</w:t>
      </w:r>
      <w:r>
        <w:rPr>
          <w:rFonts w:ascii="Verdana" w:eastAsia="Times New Roman" w:hAnsi="Verdana" w:cs="Times New Roman"/>
          <w:lang w:val="en-HK" w:eastAsia="zh-TW"/>
        </w:rPr>
        <w:t xml:space="preserve"> ‘openness’ is already one of the seven Nolan </w:t>
      </w:r>
      <w:r w:rsidR="00465077">
        <w:rPr>
          <w:rFonts w:ascii="Verdana" w:eastAsia="Times New Roman" w:hAnsi="Verdana" w:cs="Times New Roman"/>
          <w:lang w:val="en-HK" w:eastAsia="zh-TW"/>
        </w:rPr>
        <w:t xml:space="preserve">Principles of Public Life applying to all people appointed to work </w:t>
      </w:r>
      <w:r w:rsidR="00F614BD" w:rsidRPr="00DE7A0A">
        <w:rPr>
          <w:rFonts w:ascii="Verdana" w:eastAsia="Times New Roman" w:hAnsi="Verdana" w:cs="Times New Roman"/>
          <w:lang w:val="en-HK" w:eastAsia="zh-TW"/>
        </w:rPr>
        <w:t>in</w:t>
      </w:r>
      <w:r w:rsidR="00F614BD">
        <w:rPr>
          <w:rFonts w:ascii="Verdana" w:eastAsia="Times New Roman" w:hAnsi="Verdana" w:cs="Times New Roman"/>
          <w:lang w:val="en-HK" w:eastAsia="zh-TW"/>
        </w:rPr>
        <w:t xml:space="preserve"> </w:t>
      </w:r>
      <w:r w:rsidR="00F614BD" w:rsidRPr="00DE7A0A">
        <w:rPr>
          <w:rFonts w:ascii="Verdana" w:eastAsia="Times New Roman" w:hAnsi="Verdana" w:cs="Times New Roman"/>
          <w:lang w:val="en-HK" w:eastAsia="zh-TW"/>
        </w:rPr>
        <w:t>positions of governance</w:t>
      </w:r>
      <w:r w:rsidR="00465077">
        <w:rPr>
          <w:rFonts w:ascii="Verdana" w:eastAsia="Times New Roman" w:hAnsi="Verdana" w:cs="Times New Roman"/>
          <w:lang w:val="en-HK" w:eastAsia="zh-TW"/>
        </w:rPr>
        <w:t xml:space="preserve"> the health sector</w:t>
      </w:r>
      <w:r w:rsidR="00B539C5">
        <w:rPr>
          <w:rFonts w:ascii="Verdana" w:eastAsia="Times New Roman" w:hAnsi="Verdana" w:cs="Times New Roman"/>
          <w:lang w:val="en-HK" w:eastAsia="zh-TW"/>
        </w:rPr>
        <w:t>.</w:t>
      </w:r>
      <w:r w:rsidR="0038232D">
        <w:rPr>
          <w:rStyle w:val="FootnoteReference"/>
          <w:rFonts w:ascii="Verdana" w:eastAsia="Times New Roman" w:hAnsi="Verdana" w:cs="Times New Roman"/>
          <w:lang w:val="en-HK" w:eastAsia="zh-TW"/>
        </w:rPr>
        <w:footnoteReference w:id="10"/>
      </w:r>
      <w:r w:rsidR="00465077">
        <w:rPr>
          <w:rFonts w:ascii="Verdana" w:eastAsia="Times New Roman" w:hAnsi="Verdana" w:cs="Times New Roman"/>
          <w:lang w:val="en-HK" w:eastAsia="zh-TW"/>
        </w:rPr>
        <w:t xml:space="preserve"> Accordingly, a culture of openness should already be engrained</w:t>
      </w:r>
      <w:r w:rsidR="00514FC9">
        <w:rPr>
          <w:rFonts w:ascii="Verdana" w:eastAsia="Times New Roman" w:hAnsi="Verdana" w:cs="Times New Roman"/>
          <w:lang w:val="en-HK" w:eastAsia="zh-TW"/>
        </w:rPr>
        <w:t xml:space="preserve"> within the health and social care system</w:t>
      </w:r>
      <w:r w:rsidR="00465077">
        <w:rPr>
          <w:rFonts w:ascii="Verdana" w:eastAsia="Times New Roman" w:hAnsi="Verdana" w:cs="Times New Roman"/>
          <w:lang w:val="en-HK" w:eastAsia="zh-TW"/>
        </w:rPr>
        <w:t xml:space="preserve">, </w:t>
      </w:r>
      <w:r w:rsidR="00676F17">
        <w:rPr>
          <w:rFonts w:ascii="Verdana" w:eastAsia="Times New Roman" w:hAnsi="Verdana" w:cs="Times New Roman"/>
          <w:lang w:val="en-HK" w:eastAsia="zh-TW"/>
        </w:rPr>
        <w:t>where decisions and actions are undertaken in an open and transparent manner, and information is not withheld from the public unless there are clear and lawful reasons for doing so.</w:t>
      </w:r>
    </w:p>
    <w:p w14:paraId="740594D3" w14:textId="118CCFA1" w:rsidR="002D03B5" w:rsidRDefault="002D03B5" w:rsidP="00EC6F70">
      <w:pPr>
        <w:pStyle w:val="BasicParagraph"/>
        <w:suppressAutoHyphens/>
        <w:ind w:left="720" w:hanging="720"/>
        <w:rPr>
          <w:rFonts w:ascii="Verdana" w:hAnsi="Verdana" w:cs="Arial"/>
          <w:b/>
          <w:bCs/>
          <w:color w:val="232120"/>
        </w:rPr>
      </w:pPr>
      <w:r w:rsidRPr="00465077">
        <w:rPr>
          <w:rFonts w:ascii="Verdana" w:hAnsi="Verdana" w:cs="Arial"/>
          <w:b/>
          <w:bCs/>
          <w:color w:val="232120"/>
        </w:rPr>
        <w:t>2.</w:t>
      </w:r>
      <w:r w:rsidR="00F614BD">
        <w:rPr>
          <w:rFonts w:ascii="Verdana" w:hAnsi="Verdana" w:cs="Arial"/>
          <w:b/>
          <w:bCs/>
          <w:color w:val="232120"/>
        </w:rPr>
        <w:t>7</w:t>
      </w:r>
      <w:r w:rsidRPr="00465077">
        <w:rPr>
          <w:rFonts w:ascii="Verdana" w:hAnsi="Verdana" w:cs="Arial"/>
          <w:b/>
          <w:bCs/>
          <w:color w:val="232120"/>
        </w:rPr>
        <w:tab/>
      </w:r>
      <w:r w:rsidR="008E7E15" w:rsidRPr="00465077">
        <w:rPr>
          <w:rFonts w:ascii="Verdana" w:hAnsi="Verdana" w:cs="Arial"/>
          <w:b/>
          <w:bCs/>
          <w:color w:val="232120"/>
        </w:rPr>
        <w:t xml:space="preserve">The Commission </w:t>
      </w:r>
      <w:r w:rsidR="00465077" w:rsidRPr="00465077">
        <w:rPr>
          <w:rFonts w:ascii="Verdana" w:hAnsi="Verdana" w:cs="Arial"/>
          <w:b/>
          <w:bCs/>
          <w:color w:val="232120"/>
        </w:rPr>
        <w:t xml:space="preserve">recommends that the term ‘candour’ is used to refer to </w:t>
      </w:r>
      <w:r w:rsidR="00DF0385">
        <w:rPr>
          <w:rFonts w:ascii="Verdana" w:hAnsi="Verdana" w:cs="Arial"/>
          <w:b/>
          <w:bCs/>
          <w:color w:val="232120"/>
        </w:rPr>
        <w:t xml:space="preserve">the requirement to provide information in relevant circumstances. </w:t>
      </w:r>
    </w:p>
    <w:p w14:paraId="01003122" w14:textId="7F699993" w:rsidR="005E10D0" w:rsidRDefault="005E10D0" w:rsidP="00EC6F70">
      <w:pPr>
        <w:pStyle w:val="BasicParagraph"/>
        <w:suppressAutoHyphens/>
        <w:ind w:left="720" w:hanging="720"/>
        <w:rPr>
          <w:rFonts w:ascii="Verdana" w:hAnsi="Verdana" w:cs="Arial"/>
          <w:b/>
          <w:bCs/>
          <w:color w:val="232120"/>
        </w:rPr>
      </w:pPr>
    </w:p>
    <w:p w14:paraId="4E7E3DC6" w14:textId="7C1F8765" w:rsidR="005E10D0" w:rsidRDefault="005E10D0" w:rsidP="00EC6F70">
      <w:pPr>
        <w:pStyle w:val="BasicParagraph"/>
        <w:suppressAutoHyphens/>
        <w:rPr>
          <w:rFonts w:ascii="Verdana" w:hAnsi="Verdana" w:cs="Arial"/>
          <w:b/>
          <w:color w:val="77328A"/>
          <w:sz w:val="30"/>
          <w:szCs w:val="30"/>
        </w:rPr>
      </w:pPr>
      <w:r>
        <w:rPr>
          <w:rFonts w:ascii="Verdana" w:hAnsi="Verdana" w:cs="Arial"/>
          <w:b/>
          <w:color w:val="77328A"/>
          <w:sz w:val="30"/>
          <w:szCs w:val="30"/>
        </w:rPr>
        <w:t>3.0 Statutory individual Duty of Candour</w:t>
      </w:r>
    </w:p>
    <w:p w14:paraId="5C14A5DA" w14:textId="77777777" w:rsidR="005E10D0" w:rsidRDefault="005E10D0" w:rsidP="00EC6F70">
      <w:pPr>
        <w:pStyle w:val="BasicParagraph"/>
        <w:suppressAutoHyphens/>
        <w:ind w:left="720" w:hanging="720"/>
        <w:rPr>
          <w:rFonts w:ascii="Verdana" w:hAnsi="Verdana" w:cs="Arial"/>
          <w:b/>
          <w:color w:val="77328A"/>
          <w:sz w:val="30"/>
          <w:szCs w:val="30"/>
        </w:rPr>
      </w:pPr>
    </w:p>
    <w:p w14:paraId="1F2B7CA1" w14:textId="2908B0CD" w:rsidR="005E10D0" w:rsidRDefault="005E10D0" w:rsidP="00EC6F70">
      <w:pPr>
        <w:pStyle w:val="BasicParagraph"/>
        <w:suppressAutoHyphens/>
        <w:ind w:left="720" w:hanging="720"/>
        <w:rPr>
          <w:rFonts w:ascii="Verdana" w:hAnsi="Verdana" w:cs="Arial"/>
          <w:color w:val="232120"/>
        </w:rPr>
      </w:pPr>
      <w:r>
        <w:rPr>
          <w:rFonts w:ascii="Verdana" w:hAnsi="Verdana" w:cs="Arial"/>
          <w:color w:val="232120"/>
        </w:rPr>
        <w:t>3.1</w:t>
      </w:r>
      <w:r>
        <w:rPr>
          <w:rFonts w:ascii="Verdana" w:hAnsi="Verdana" w:cs="Arial"/>
          <w:color w:val="232120"/>
        </w:rPr>
        <w:tab/>
        <w:t>The consultation document sets out various policy proposal</w:t>
      </w:r>
      <w:r w:rsidR="00635226">
        <w:rPr>
          <w:rFonts w:ascii="Verdana" w:hAnsi="Verdana" w:cs="Arial"/>
          <w:color w:val="232120"/>
        </w:rPr>
        <w:t>s</w:t>
      </w:r>
      <w:r>
        <w:rPr>
          <w:rFonts w:ascii="Verdana" w:hAnsi="Verdana" w:cs="Arial"/>
          <w:color w:val="232120"/>
        </w:rPr>
        <w:t xml:space="preserve"> for a statutory individual Duty of Candour. </w:t>
      </w:r>
      <w:proofErr w:type="gramStart"/>
      <w:r>
        <w:rPr>
          <w:rFonts w:ascii="Verdana" w:hAnsi="Verdana" w:cs="Arial"/>
          <w:color w:val="232120"/>
        </w:rPr>
        <w:t>In light of</w:t>
      </w:r>
      <w:proofErr w:type="gramEnd"/>
      <w:r>
        <w:rPr>
          <w:rFonts w:ascii="Verdana" w:hAnsi="Verdana" w:cs="Arial"/>
          <w:color w:val="232120"/>
        </w:rPr>
        <w:t xml:space="preserve"> the information provided, the Commission recommends the introduction of a s</w:t>
      </w:r>
      <w:r w:rsidRPr="009C6D21">
        <w:rPr>
          <w:rFonts w:ascii="Verdana" w:hAnsi="Verdana" w:cs="Arial"/>
          <w:color w:val="232120"/>
        </w:rPr>
        <w:t xml:space="preserve">tatutory </w:t>
      </w:r>
      <w:r>
        <w:rPr>
          <w:rFonts w:ascii="Verdana" w:hAnsi="Verdana" w:cs="Arial"/>
          <w:color w:val="232120"/>
        </w:rPr>
        <w:t>i</w:t>
      </w:r>
      <w:r w:rsidRPr="009C6D21">
        <w:rPr>
          <w:rFonts w:ascii="Verdana" w:hAnsi="Verdana" w:cs="Arial"/>
          <w:color w:val="232120"/>
        </w:rPr>
        <w:t xml:space="preserve">ndividual Duty of </w:t>
      </w:r>
      <w:r w:rsidRPr="009C6D21">
        <w:rPr>
          <w:rFonts w:ascii="Verdana" w:hAnsi="Verdana" w:cs="Arial"/>
          <w:color w:val="232120"/>
        </w:rPr>
        <w:lastRenderedPageBreak/>
        <w:t>Candour with criminal sanction</w:t>
      </w:r>
      <w:r>
        <w:rPr>
          <w:rFonts w:ascii="Verdana" w:hAnsi="Verdana" w:cs="Arial"/>
          <w:color w:val="232120"/>
        </w:rPr>
        <w:t>s</w:t>
      </w:r>
      <w:r w:rsidRPr="009C6D21">
        <w:rPr>
          <w:rFonts w:ascii="Verdana" w:hAnsi="Verdana" w:cs="Arial"/>
          <w:color w:val="232120"/>
        </w:rPr>
        <w:t xml:space="preserve"> for breach</w:t>
      </w:r>
      <w:r>
        <w:rPr>
          <w:rFonts w:ascii="Verdana" w:hAnsi="Verdana" w:cs="Arial"/>
          <w:color w:val="232120"/>
        </w:rPr>
        <w:t>.</w:t>
      </w:r>
    </w:p>
    <w:p w14:paraId="6258FD8F" w14:textId="77777777" w:rsidR="005E10D0" w:rsidRPr="00635226" w:rsidRDefault="005E10D0" w:rsidP="00EC6F70">
      <w:pPr>
        <w:pStyle w:val="BasicParagraph"/>
        <w:suppressAutoHyphens/>
        <w:ind w:left="720" w:hanging="720"/>
        <w:rPr>
          <w:rFonts w:ascii="Verdana" w:hAnsi="Verdana" w:cs="Arial"/>
          <w:color w:val="auto"/>
        </w:rPr>
      </w:pPr>
    </w:p>
    <w:p w14:paraId="0B044552" w14:textId="6E7F4E1D" w:rsidR="005E10D0" w:rsidRPr="00635226" w:rsidRDefault="005E10D0" w:rsidP="00EC6F70">
      <w:pPr>
        <w:pStyle w:val="BasicParagraph"/>
        <w:suppressAutoHyphens/>
        <w:ind w:left="720" w:hanging="720"/>
        <w:rPr>
          <w:rFonts w:ascii="Verdana" w:hAnsi="Verdana" w:cs="Arial"/>
          <w:color w:val="auto"/>
        </w:rPr>
      </w:pPr>
      <w:r w:rsidRPr="00635226">
        <w:rPr>
          <w:rFonts w:ascii="Verdana" w:hAnsi="Verdana" w:cs="Arial"/>
          <w:color w:val="auto"/>
        </w:rPr>
        <w:t>3.2</w:t>
      </w:r>
      <w:r w:rsidRPr="00635226">
        <w:rPr>
          <w:rFonts w:ascii="Verdana" w:hAnsi="Verdana" w:cs="Arial"/>
          <w:color w:val="auto"/>
        </w:rPr>
        <w:tab/>
      </w:r>
      <w:r w:rsidR="00FE6C1A" w:rsidRPr="00635226">
        <w:rPr>
          <w:rFonts w:ascii="Verdana" w:hAnsi="Verdana" w:cs="Arial"/>
          <w:color w:val="auto"/>
        </w:rPr>
        <w:t>In</w:t>
      </w:r>
      <w:r w:rsidRPr="00635226">
        <w:rPr>
          <w:rFonts w:ascii="Verdana" w:hAnsi="Verdana" w:cs="Arial"/>
          <w:color w:val="auto"/>
        </w:rPr>
        <w:t xml:space="preserve"> </w:t>
      </w:r>
      <w:proofErr w:type="spellStart"/>
      <w:r w:rsidRPr="00635226">
        <w:rPr>
          <w:rFonts w:ascii="Verdana" w:hAnsi="Verdana" w:cs="Arial"/>
          <w:i/>
          <w:iCs/>
          <w:color w:val="auto"/>
        </w:rPr>
        <w:t>Oyal</w:t>
      </w:r>
      <w:proofErr w:type="spellEnd"/>
      <w:r w:rsidRPr="00635226">
        <w:rPr>
          <w:rFonts w:ascii="Verdana" w:hAnsi="Verdana" w:cs="Arial"/>
          <w:i/>
          <w:iCs/>
          <w:color w:val="auto"/>
        </w:rPr>
        <w:t xml:space="preserve"> v Turkey</w:t>
      </w:r>
      <w:r w:rsidRPr="00635226">
        <w:rPr>
          <w:rFonts w:ascii="Verdana" w:hAnsi="Verdana" w:cs="Arial"/>
          <w:color w:val="auto"/>
        </w:rPr>
        <w:t>, the ECtHR has made it clear that “</w:t>
      </w:r>
      <w:r w:rsidRPr="00635226">
        <w:rPr>
          <w:rFonts w:ascii="Verdana" w:hAnsi="Verdana" w:cs="Arial"/>
          <w:bCs/>
          <w:color w:val="auto"/>
          <w:lang w:val="en-HK"/>
        </w:rPr>
        <w:t>knowledge of the facts and of possible errors committed in the course of medical care is essential to enable the institutions and medical staff concerned to remedy the potential deficiencies and prevent similar errors”</w:t>
      </w:r>
      <w:r w:rsidR="00635226">
        <w:rPr>
          <w:rFonts w:ascii="Verdana" w:hAnsi="Verdana" w:cs="Arial"/>
          <w:bCs/>
          <w:color w:val="auto"/>
          <w:lang w:val="en-HK"/>
        </w:rPr>
        <w:t>.</w:t>
      </w:r>
      <w:r w:rsidRPr="00635226">
        <w:rPr>
          <w:rStyle w:val="FootnoteReference"/>
          <w:rFonts w:ascii="Verdana" w:hAnsi="Verdana" w:cs="Arial"/>
          <w:bCs/>
          <w:color w:val="auto"/>
          <w:lang w:val="en-HK"/>
        </w:rPr>
        <w:footnoteReference w:id="11"/>
      </w:r>
    </w:p>
    <w:p w14:paraId="3DE4239F" w14:textId="77777777" w:rsidR="005E10D0" w:rsidRDefault="005E10D0" w:rsidP="00EC6F70">
      <w:pPr>
        <w:pStyle w:val="BasicParagraph"/>
        <w:suppressAutoHyphens/>
        <w:ind w:left="720" w:hanging="720"/>
        <w:rPr>
          <w:rFonts w:ascii="Verdana" w:hAnsi="Verdana" w:cs="Arial"/>
          <w:color w:val="232120"/>
        </w:rPr>
      </w:pPr>
    </w:p>
    <w:p w14:paraId="74375384" w14:textId="48622034" w:rsidR="005E10D0" w:rsidRPr="00635226" w:rsidRDefault="005E10D0" w:rsidP="00EC6F70">
      <w:pPr>
        <w:pStyle w:val="BasicParagraph"/>
        <w:suppressAutoHyphens/>
        <w:ind w:left="720" w:hanging="720"/>
        <w:rPr>
          <w:rFonts w:ascii="Verdana" w:hAnsi="Verdana" w:cs="Arial"/>
          <w:b/>
          <w:bCs/>
          <w:color w:val="auto"/>
          <w:sz w:val="36"/>
          <w:szCs w:val="36"/>
        </w:rPr>
      </w:pPr>
      <w:r>
        <w:rPr>
          <w:rFonts w:ascii="Verdana" w:hAnsi="Verdana" w:cs="Arial"/>
          <w:color w:val="232120"/>
        </w:rPr>
        <w:t>3.3</w:t>
      </w:r>
      <w:r>
        <w:rPr>
          <w:rFonts w:ascii="Verdana" w:hAnsi="Verdana" w:cs="Arial"/>
          <w:color w:val="232120"/>
        </w:rPr>
        <w:tab/>
        <w:t xml:space="preserve">The consultation document makes it clear that the proposed individual Duty of Candour would be accompanied by </w:t>
      </w:r>
      <w:proofErr w:type="gramStart"/>
      <w:r>
        <w:rPr>
          <w:rFonts w:ascii="Verdana" w:hAnsi="Verdana" w:cs="Arial"/>
          <w:color w:val="232120"/>
        </w:rPr>
        <w:t>a number of</w:t>
      </w:r>
      <w:proofErr w:type="gramEnd"/>
      <w:r>
        <w:rPr>
          <w:rFonts w:ascii="Verdana" w:hAnsi="Verdana" w:cs="Arial"/>
          <w:color w:val="232120"/>
        </w:rPr>
        <w:t xml:space="preserve"> safeguards, including a requirement that organisations protect and support health and social care professional</w:t>
      </w:r>
      <w:r w:rsidR="004243C9">
        <w:rPr>
          <w:rFonts w:ascii="Verdana" w:hAnsi="Verdana" w:cs="Arial"/>
          <w:color w:val="232120"/>
        </w:rPr>
        <w:t>s</w:t>
      </w:r>
      <w:r>
        <w:rPr>
          <w:rFonts w:ascii="Verdana" w:hAnsi="Verdana" w:cs="Arial"/>
          <w:color w:val="232120"/>
        </w:rPr>
        <w:t xml:space="preserve"> in fulfilling their statutory duty, and a proposed obstruction offence to prevent interferences with an individual performing their duty. The document also stresses that criminal liability would likely only attach “when</w:t>
      </w:r>
      <w:r w:rsidRPr="006B3F74">
        <w:rPr>
          <w:rFonts w:ascii="Verdana" w:hAnsi="Verdana" w:cs="Arial"/>
          <w:color w:val="232120"/>
        </w:rPr>
        <w:t xml:space="preserve"> investigation has found evidence of deliberate and </w:t>
      </w:r>
      <w:r w:rsidRPr="00635226">
        <w:rPr>
          <w:rFonts w:ascii="Verdana" w:hAnsi="Verdana" w:cs="Arial"/>
          <w:color w:val="auto"/>
        </w:rPr>
        <w:t>intentional breach of the Duty”.</w:t>
      </w:r>
    </w:p>
    <w:p w14:paraId="098BD71B" w14:textId="77777777" w:rsidR="005E10D0" w:rsidRPr="00635226" w:rsidRDefault="005E10D0" w:rsidP="00EC6F70">
      <w:pPr>
        <w:pStyle w:val="BasicParagraph"/>
        <w:suppressAutoHyphens/>
        <w:rPr>
          <w:rFonts w:ascii="Verdana" w:hAnsi="Verdana" w:cs="Arial"/>
          <w:bCs/>
          <w:color w:val="auto"/>
        </w:rPr>
      </w:pPr>
    </w:p>
    <w:p w14:paraId="54C7ECDE" w14:textId="5394E1B5" w:rsidR="005E10D0" w:rsidRPr="00635226" w:rsidRDefault="00445C30" w:rsidP="00EC6F70">
      <w:pPr>
        <w:pStyle w:val="BasicParagraph"/>
        <w:suppressAutoHyphens/>
        <w:ind w:left="720" w:hanging="720"/>
        <w:rPr>
          <w:rFonts w:ascii="Verdana" w:hAnsi="Verdana" w:cs="Arial"/>
          <w:bCs/>
          <w:color w:val="auto"/>
          <w:lang w:val="en-HK"/>
        </w:rPr>
      </w:pPr>
      <w:r w:rsidRPr="00635226">
        <w:rPr>
          <w:rFonts w:ascii="Verdana" w:hAnsi="Verdana" w:cs="Arial"/>
          <w:bCs/>
          <w:color w:val="auto"/>
        </w:rPr>
        <w:t>3</w:t>
      </w:r>
      <w:r w:rsidR="005E10D0" w:rsidRPr="00635226">
        <w:rPr>
          <w:rFonts w:ascii="Verdana" w:hAnsi="Verdana" w:cs="Arial"/>
          <w:bCs/>
          <w:color w:val="auto"/>
        </w:rPr>
        <w:t>.</w:t>
      </w:r>
      <w:r w:rsidRPr="00635226">
        <w:rPr>
          <w:rFonts w:ascii="Verdana" w:hAnsi="Verdana" w:cs="Arial"/>
          <w:bCs/>
          <w:color w:val="auto"/>
        </w:rPr>
        <w:t>4</w:t>
      </w:r>
      <w:r w:rsidR="005E10D0" w:rsidRPr="00635226">
        <w:rPr>
          <w:rFonts w:ascii="Verdana" w:hAnsi="Verdana" w:cs="Arial"/>
          <w:bCs/>
          <w:color w:val="auto"/>
        </w:rPr>
        <w:tab/>
        <w:t xml:space="preserve">In the case of </w:t>
      </w:r>
      <w:proofErr w:type="spellStart"/>
      <w:r w:rsidR="005E10D0" w:rsidRPr="00635226">
        <w:rPr>
          <w:rFonts w:ascii="Verdana" w:hAnsi="Verdana" w:cs="Arial"/>
          <w:bCs/>
          <w:i/>
          <w:iCs/>
          <w:color w:val="auto"/>
        </w:rPr>
        <w:t>Silih</w:t>
      </w:r>
      <w:proofErr w:type="spellEnd"/>
      <w:r w:rsidR="005E10D0" w:rsidRPr="00635226">
        <w:rPr>
          <w:rFonts w:ascii="Verdana" w:hAnsi="Verdana" w:cs="Arial"/>
          <w:bCs/>
          <w:i/>
          <w:iCs/>
          <w:color w:val="auto"/>
        </w:rPr>
        <w:t xml:space="preserve"> v Slovenia</w:t>
      </w:r>
      <w:r w:rsidR="005E10D0" w:rsidRPr="00635226">
        <w:rPr>
          <w:rFonts w:ascii="Verdana" w:hAnsi="Verdana" w:cs="Arial"/>
          <w:bCs/>
          <w:color w:val="auto"/>
        </w:rPr>
        <w:t>, the ECtHR held that “even if the Convention does not as such guarantee a right to have criminal proceedings instituted against third parties, the Court has said many times that the effective judicial system required by Article 2 may, and under certain circumstances must, include recourse to the criminal law. However, if the infringement of the right to life or to personal integrity is not caused intentionally, the procedural obligation imposed by Article 2 to set up an effective judicial system does not necessarily require the provision of a criminal</w:t>
      </w:r>
      <w:r w:rsidR="003D34AE">
        <w:rPr>
          <w:rFonts w:ascii="Verdana" w:hAnsi="Verdana" w:cs="Arial"/>
          <w:bCs/>
          <w:color w:val="auto"/>
        </w:rPr>
        <w:t xml:space="preserve"> </w:t>
      </w:r>
      <w:r w:rsidR="005E10D0" w:rsidRPr="00635226">
        <w:rPr>
          <w:rFonts w:ascii="Verdana" w:hAnsi="Verdana" w:cs="Arial"/>
          <w:bCs/>
          <w:color w:val="auto"/>
        </w:rPr>
        <w:t xml:space="preserve">law remedy in every case. In the specific sphere of medical </w:t>
      </w:r>
      <w:proofErr w:type="gramStart"/>
      <w:r w:rsidR="005E10D0" w:rsidRPr="00635226">
        <w:rPr>
          <w:rFonts w:ascii="Verdana" w:hAnsi="Verdana" w:cs="Arial"/>
          <w:bCs/>
          <w:color w:val="auto"/>
        </w:rPr>
        <w:t>negligence</w:t>
      </w:r>
      <w:proofErr w:type="gramEnd"/>
      <w:r w:rsidR="005E10D0" w:rsidRPr="00635226">
        <w:rPr>
          <w:rFonts w:ascii="Verdana" w:hAnsi="Verdana" w:cs="Arial"/>
          <w:bCs/>
          <w:color w:val="auto"/>
        </w:rPr>
        <w:t xml:space="preserve"> the obligation may for instance also be satisfied if the legal system affords victims a remedy in the civil courts, either alone or in conjunction with a remedy in the criminal courts, enabling any responsibility of the doctors concerned to be established and any appropriate civil redress, such as an order for damages and/or for the publication of the decision, to be obtained. Disciplinary measures may also be envisaged”</w:t>
      </w:r>
      <w:r w:rsidR="00635226">
        <w:rPr>
          <w:rFonts w:ascii="Verdana" w:hAnsi="Verdana" w:cs="Arial"/>
          <w:bCs/>
          <w:color w:val="auto"/>
        </w:rPr>
        <w:t>.</w:t>
      </w:r>
      <w:r w:rsidR="005E10D0" w:rsidRPr="00635226">
        <w:rPr>
          <w:rStyle w:val="FootnoteReference"/>
          <w:rFonts w:ascii="Verdana" w:hAnsi="Verdana" w:cs="Arial"/>
          <w:bCs/>
          <w:color w:val="auto"/>
        </w:rPr>
        <w:footnoteReference w:id="12"/>
      </w:r>
      <w:r w:rsidR="005E10D0" w:rsidRPr="00635226">
        <w:rPr>
          <w:rFonts w:ascii="Verdana" w:hAnsi="Verdana" w:cs="Arial"/>
          <w:bCs/>
          <w:color w:val="auto"/>
        </w:rPr>
        <w:t xml:space="preserve"> </w:t>
      </w:r>
    </w:p>
    <w:p w14:paraId="14D6D41F" w14:textId="77777777" w:rsidR="005E10D0" w:rsidRPr="00635226" w:rsidRDefault="005E10D0" w:rsidP="00EC6F70">
      <w:pPr>
        <w:pStyle w:val="BasicParagraph"/>
        <w:suppressAutoHyphens/>
        <w:ind w:left="720" w:hanging="720"/>
        <w:rPr>
          <w:rFonts w:ascii="Verdana" w:hAnsi="Verdana" w:cs="Arial"/>
          <w:bCs/>
          <w:color w:val="auto"/>
          <w:lang w:val="en-HK"/>
        </w:rPr>
      </w:pPr>
    </w:p>
    <w:p w14:paraId="10946A14" w14:textId="4089429B" w:rsidR="005E10D0" w:rsidRPr="00635226" w:rsidRDefault="004F34EC" w:rsidP="00EC6F70">
      <w:pPr>
        <w:pStyle w:val="BasicParagraph"/>
        <w:suppressAutoHyphens/>
        <w:ind w:left="720" w:hanging="720"/>
        <w:rPr>
          <w:rFonts w:ascii="Verdana" w:hAnsi="Verdana" w:cs="Arial"/>
          <w:bCs/>
          <w:color w:val="auto"/>
          <w:lang w:val="en-HK"/>
        </w:rPr>
      </w:pPr>
      <w:r w:rsidRPr="00635226">
        <w:rPr>
          <w:rFonts w:ascii="Verdana" w:hAnsi="Verdana" w:cs="Arial"/>
          <w:bCs/>
          <w:color w:val="auto"/>
          <w:lang w:val="en-HK"/>
        </w:rPr>
        <w:t>3</w:t>
      </w:r>
      <w:r w:rsidR="005E10D0" w:rsidRPr="00635226">
        <w:rPr>
          <w:rFonts w:ascii="Verdana" w:hAnsi="Verdana" w:cs="Arial"/>
          <w:bCs/>
          <w:color w:val="auto"/>
          <w:lang w:val="en-HK"/>
        </w:rPr>
        <w:t>.</w:t>
      </w:r>
      <w:r w:rsidRPr="00635226">
        <w:rPr>
          <w:rFonts w:ascii="Verdana" w:hAnsi="Verdana" w:cs="Arial"/>
          <w:bCs/>
          <w:color w:val="auto"/>
          <w:lang w:val="en-HK"/>
        </w:rPr>
        <w:t>5</w:t>
      </w:r>
      <w:r w:rsidR="005E10D0" w:rsidRPr="00635226">
        <w:rPr>
          <w:rFonts w:ascii="Verdana" w:hAnsi="Verdana" w:cs="Arial"/>
          <w:bCs/>
          <w:color w:val="auto"/>
          <w:lang w:val="en-HK"/>
        </w:rPr>
        <w:tab/>
        <w:t xml:space="preserve">Accordingly, to support an open culture, where possible mistakes or deficiencies may be earlier identified and addressed, it seems appropriate  for the introduction of a statutory individual </w:t>
      </w:r>
      <w:r w:rsidR="00C83581">
        <w:rPr>
          <w:rFonts w:ascii="Verdana" w:hAnsi="Verdana" w:cs="Arial"/>
          <w:bCs/>
          <w:color w:val="auto"/>
          <w:lang w:val="en-HK"/>
        </w:rPr>
        <w:t>D</w:t>
      </w:r>
      <w:r w:rsidR="005E10D0" w:rsidRPr="00635226">
        <w:rPr>
          <w:rFonts w:ascii="Verdana" w:hAnsi="Verdana" w:cs="Arial"/>
          <w:bCs/>
          <w:color w:val="auto"/>
          <w:lang w:val="en-HK"/>
        </w:rPr>
        <w:t xml:space="preserve">uty of </w:t>
      </w:r>
      <w:r w:rsidR="00C83581">
        <w:rPr>
          <w:rFonts w:ascii="Verdana" w:hAnsi="Verdana" w:cs="Arial"/>
          <w:bCs/>
          <w:color w:val="auto"/>
          <w:lang w:val="en-HK"/>
        </w:rPr>
        <w:t>C</w:t>
      </w:r>
      <w:r w:rsidR="005E10D0" w:rsidRPr="00635226">
        <w:rPr>
          <w:rFonts w:ascii="Verdana" w:hAnsi="Verdana" w:cs="Arial"/>
          <w:bCs/>
          <w:color w:val="auto"/>
          <w:lang w:val="en-HK"/>
        </w:rPr>
        <w:t xml:space="preserve">andour with provision for criminal sanction. It is imperative that these obligations are accompanied by clear guidelines and training, so that health and social </w:t>
      </w:r>
      <w:r w:rsidR="005E10D0" w:rsidRPr="00635226">
        <w:rPr>
          <w:rFonts w:ascii="Verdana" w:hAnsi="Verdana" w:cs="Arial"/>
          <w:bCs/>
          <w:color w:val="auto"/>
          <w:lang w:val="en-HK"/>
        </w:rPr>
        <w:lastRenderedPageBreak/>
        <w:t>care professionals are well informed of their duties and possible consequences for breach under the Duty of Candour legislation</w:t>
      </w:r>
      <w:r w:rsidR="00F614BD">
        <w:rPr>
          <w:rFonts w:ascii="Verdana" w:hAnsi="Verdana" w:cs="Arial"/>
          <w:bCs/>
          <w:color w:val="auto"/>
          <w:lang w:val="en-HK"/>
        </w:rPr>
        <w:t xml:space="preserve"> </w:t>
      </w:r>
      <w:r w:rsidR="00F614BD" w:rsidRPr="00DE7A0A">
        <w:rPr>
          <w:rFonts w:ascii="Verdana" w:hAnsi="Verdana" w:cs="Arial"/>
          <w:bCs/>
          <w:color w:val="auto"/>
          <w:lang w:val="en-HK"/>
        </w:rPr>
        <w:t>in ways designed not to impair clinicians and others going about their work in a normal way</w:t>
      </w:r>
      <w:r w:rsidR="005E10D0" w:rsidRPr="00DE7A0A">
        <w:rPr>
          <w:rFonts w:ascii="Verdana" w:hAnsi="Verdana" w:cs="Arial"/>
          <w:bCs/>
          <w:color w:val="auto"/>
          <w:lang w:val="en-HK"/>
        </w:rPr>
        <w:t>.</w:t>
      </w:r>
      <w:r w:rsidR="005E10D0" w:rsidRPr="00635226">
        <w:rPr>
          <w:rFonts w:ascii="Verdana" w:hAnsi="Verdana" w:cs="Arial"/>
          <w:bCs/>
          <w:color w:val="auto"/>
          <w:lang w:val="en-HK"/>
        </w:rPr>
        <w:t xml:space="preserve"> </w:t>
      </w:r>
    </w:p>
    <w:p w14:paraId="4C58548E" w14:textId="73B09BE8" w:rsidR="004F34EC" w:rsidRDefault="004F34EC" w:rsidP="00EC6F70">
      <w:pPr>
        <w:pStyle w:val="BasicParagraph"/>
        <w:suppressAutoHyphens/>
        <w:ind w:left="720" w:hanging="720"/>
        <w:rPr>
          <w:rFonts w:ascii="Verdana" w:hAnsi="Verdana" w:cs="Arial"/>
          <w:bCs/>
          <w:color w:val="77328A"/>
          <w:lang w:val="en-HK"/>
        </w:rPr>
      </w:pPr>
    </w:p>
    <w:p w14:paraId="595A08B1" w14:textId="170E8308" w:rsidR="004F34EC" w:rsidRPr="00EC6F70" w:rsidRDefault="004F34EC" w:rsidP="00EC6F70">
      <w:pPr>
        <w:pStyle w:val="BasicParagraph"/>
        <w:suppressAutoHyphens/>
        <w:ind w:left="720" w:hanging="720"/>
        <w:rPr>
          <w:rFonts w:ascii="Verdana" w:hAnsi="Verdana" w:cs="Arial"/>
          <w:b/>
          <w:color w:val="auto"/>
          <w:sz w:val="36"/>
          <w:szCs w:val="36"/>
        </w:rPr>
      </w:pPr>
      <w:r w:rsidRPr="00EC6F70">
        <w:rPr>
          <w:rFonts w:ascii="Verdana" w:hAnsi="Verdana" w:cs="Arial"/>
          <w:b/>
          <w:color w:val="auto"/>
          <w:lang w:val="en-HK"/>
        </w:rPr>
        <w:t>3.6</w:t>
      </w:r>
      <w:r w:rsidRPr="00EC6F70">
        <w:rPr>
          <w:rFonts w:ascii="Verdana" w:hAnsi="Verdana" w:cs="Arial"/>
          <w:b/>
          <w:color w:val="auto"/>
          <w:lang w:val="en-HK"/>
        </w:rPr>
        <w:tab/>
      </w:r>
      <w:r w:rsidR="00585184" w:rsidRPr="00EC6F70">
        <w:rPr>
          <w:rFonts w:ascii="Verdana" w:hAnsi="Verdana" w:cs="Arial"/>
          <w:b/>
          <w:color w:val="auto"/>
          <w:lang w:val="en-HK"/>
        </w:rPr>
        <w:t xml:space="preserve">The Commission supports </w:t>
      </w:r>
      <w:r w:rsidR="00412A22" w:rsidRPr="00EC6F70">
        <w:rPr>
          <w:rFonts w:ascii="Verdana" w:hAnsi="Verdana" w:cs="Arial"/>
          <w:b/>
          <w:color w:val="auto"/>
          <w:lang w:val="en-HK"/>
        </w:rPr>
        <w:t xml:space="preserve">the introduction of </w:t>
      </w:r>
      <w:r w:rsidR="00C44853" w:rsidRPr="00EC6F70">
        <w:rPr>
          <w:rFonts w:ascii="Verdana" w:hAnsi="Verdana" w:cs="Arial"/>
          <w:b/>
          <w:color w:val="auto"/>
          <w:lang w:val="en-HK"/>
        </w:rPr>
        <w:t xml:space="preserve">a statutory individual Duty of Candour </w:t>
      </w:r>
      <w:r w:rsidR="000D7514" w:rsidRPr="00EC6F70">
        <w:rPr>
          <w:rFonts w:ascii="Verdana" w:hAnsi="Verdana" w:cs="Arial"/>
          <w:b/>
          <w:color w:val="auto"/>
          <w:lang w:val="en-HK"/>
        </w:rPr>
        <w:t>with a criminal sanction for breach.</w:t>
      </w:r>
    </w:p>
    <w:p w14:paraId="152B505A" w14:textId="77777777" w:rsidR="002D03B5" w:rsidRDefault="002D03B5" w:rsidP="00EC6F70">
      <w:pPr>
        <w:pStyle w:val="BasicParagraph"/>
        <w:suppressAutoHyphens/>
        <w:rPr>
          <w:rFonts w:ascii="Verdana" w:hAnsi="Verdana" w:cs="Arial"/>
          <w:color w:val="232120"/>
        </w:rPr>
      </w:pPr>
    </w:p>
    <w:p w14:paraId="39B63D2D" w14:textId="31886A4C" w:rsidR="002D03B5" w:rsidRDefault="00622A56" w:rsidP="00EC6F70">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4</w:t>
      </w:r>
      <w:r w:rsidR="002D03B5" w:rsidRPr="003B7D0E">
        <w:rPr>
          <w:rFonts w:ascii="Verdana" w:hAnsi="Verdana" w:cs="Arial"/>
          <w:b/>
          <w:color w:val="77328A"/>
          <w:sz w:val="30"/>
          <w:szCs w:val="30"/>
        </w:rPr>
        <w:t>.0</w:t>
      </w:r>
      <w:r w:rsidR="002D03B5" w:rsidRPr="003B7D0E">
        <w:rPr>
          <w:rFonts w:ascii="Verdana" w:hAnsi="Verdana" w:cs="Arial"/>
          <w:b/>
          <w:color w:val="77328A"/>
          <w:sz w:val="30"/>
          <w:szCs w:val="30"/>
        </w:rPr>
        <w:tab/>
      </w:r>
      <w:r w:rsidR="00AE157F">
        <w:rPr>
          <w:rFonts w:ascii="Verdana" w:hAnsi="Verdana" w:cs="Arial"/>
          <w:b/>
          <w:color w:val="77328A"/>
          <w:sz w:val="30"/>
          <w:szCs w:val="30"/>
        </w:rPr>
        <w:t xml:space="preserve">Scope of </w:t>
      </w:r>
      <w:r w:rsidR="00986789">
        <w:rPr>
          <w:rFonts w:ascii="Verdana" w:hAnsi="Verdana" w:cs="Arial"/>
          <w:b/>
          <w:color w:val="77328A"/>
          <w:sz w:val="30"/>
          <w:szCs w:val="30"/>
        </w:rPr>
        <w:t>a</w:t>
      </w:r>
      <w:r w:rsidR="00AE157F">
        <w:rPr>
          <w:rFonts w:ascii="Verdana" w:hAnsi="Verdana" w:cs="Arial"/>
          <w:b/>
          <w:color w:val="77328A"/>
          <w:sz w:val="30"/>
          <w:szCs w:val="30"/>
        </w:rPr>
        <w:t xml:space="preserve"> statutory organisational Duty of Candour</w:t>
      </w:r>
      <w:r w:rsidR="00986789">
        <w:rPr>
          <w:rFonts w:ascii="Verdana" w:hAnsi="Verdana" w:cs="Arial"/>
          <w:b/>
          <w:color w:val="77328A"/>
          <w:sz w:val="30"/>
          <w:szCs w:val="30"/>
        </w:rPr>
        <w:t xml:space="preserve"> and a statutory individual Duty of Candour</w:t>
      </w:r>
    </w:p>
    <w:p w14:paraId="1F55AED5" w14:textId="77777777" w:rsidR="00336FE2" w:rsidRDefault="00336FE2" w:rsidP="00EC6F70">
      <w:pPr>
        <w:pStyle w:val="BasicParagraph"/>
        <w:suppressAutoHyphens/>
        <w:rPr>
          <w:rFonts w:ascii="Verdana" w:hAnsi="Verdana" w:cs="Arial"/>
          <w:b/>
          <w:color w:val="77328A"/>
          <w:sz w:val="30"/>
          <w:szCs w:val="30"/>
        </w:rPr>
      </w:pPr>
    </w:p>
    <w:p w14:paraId="3520DFCC" w14:textId="4B2C8476" w:rsidR="006112E4" w:rsidRDefault="00622A56" w:rsidP="00EC6F70">
      <w:pPr>
        <w:pStyle w:val="BasicParagraph"/>
        <w:suppressAutoHyphens/>
        <w:ind w:left="720" w:hanging="720"/>
        <w:rPr>
          <w:rFonts w:ascii="Verdana" w:hAnsi="Verdana" w:cs="Arial"/>
          <w:color w:val="232120"/>
        </w:rPr>
      </w:pPr>
      <w:r>
        <w:rPr>
          <w:rFonts w:ascii="Verdana" w:eastAsia="Times New Roman" w:hAnsi="Verdana" w:cs="Times New Roman"/>
          <w:lang w:val="en-HK" w:eastAsia="zh-TW"/>
        </w:rPr>
        <w:t>4</w:t>
      </w:r>
      <w:r w:rsidR="00336FE2">
        <w:rPr>
          <w:rFonts w:ascii="Verdana" w:eastAsia="Times New Roman" w:hAnsi="Verdana" w:cs="Times New Roman"/>
          <w:lang w:val="en-HK" w:eastAsia="zh-TW"/>
        </w:rPr>
        <w:t>.1</w:t>
      </w:r>
      <w:r w:rsidR="00336FE2">
        <w:rPr>
          <w:rFonts w:ascii="Verdana" w:eastAsia="Times New Roman" w:hAnsi="Verdana" w:cs="Times New Roman"/>
          <w:lang w:val="en-HK" w:eastAsia="zh-TW"/>
        </w:rPr>
        <w:tab/>
      </w:r>
      <w:r w:rsidR="00336FE2">
        <w:rPr>
          <w:rFonts w:ascii="Verdana" w:hAnsi="Verdana" w:cs="Arial"/>
          <w:color w:val="232120"/>
        </w:rPr>
        <w:t>In General Comment No. 14 on the Right to the Highest Attainable Standard of Health, the Committee on Economic, Social and Cultural Rights</w:t>
      </w:r>
      <w:r w:rsidR="006112E4">
        <w:rPr>
          <w:rFonts w:ascii="Verdana" w:hAnsi="Verdana" w:cs="Arial"/>
          <w:color w:val="232120"/>
        </w:rPr>
        <w:t xml:space="preserve">, sets out that the State’s obligations </w:t>
      </w:r>
      <w:r w:rsidR="006112E4" w:rsidRPr="006112E4">
        <w:rPr>
          <w:rFonts w:ascii="Verdana" w:hAnsi="Verdana" w:cs="Arial"/>
          <w:color w:val="232120"/>
        </w:rPr>
        <w:t xml:space="preserve">to protect include, </w:t>
      </w:r>
      <w:r w:rsidR="006112E4">
        <w:rPr>
          <w:rFonts w:ascii="Verdana" w:hAnsi="Verdana" w:cs="Arial"/>
          <w:color w:val="232120"/>
        </w:rPr>
        <w:t>“</w:t>
      </w:r>
      <w:r w:rsidR="006112E4" w:rsidRPr="006112E4">
        <w:rPr>
          <w:rFonts w:ascii="Verdana" w:hAnsi="Verdana" w:cs="Arial"/>
          <w:color w:val="232120"/>
        </w:rPr>
        <w:t>the duties of States to adopt legislation or to take other measures ensuring equal access to health care and health-related services provided by third parties;</w:t>
      </w:r>
      <w:r w:rsidR="009D3CA2">
        <w:rPr>
          <w:rFonts w:ascii="Verdana" w:hAnsi="Verdana" w:cs="Arial"/>
          <w:color w:val="232120"/>
        </w:rPr>
        <w:t>” and</w:t>
      </w:r>
      <w:r w:rsidR="006112E4" w:rsidRPr="006112E4">
        <w:rPr>
          <w:rFonts w:ascii="Verdana" w:hAnsi="Verdana" w:cs="Arial"/>
          <w:color w:val="232120"/>
        </w:rPr>
        <w:t xml:space="preserve"> </w:t>
      </w:r>
      <w:r w:rsidR="009D3CA2">
        <w:rPr>
          <w:rFonts w:ascii="Verdana" w:hAnsi="Verdana" w:cs="Arial"/>
          <w:color w:val="232120"/>
        </w:rPr>
        <w:t>“</w:t>
      </w:r>
      <w:r w:rsidR="006112E4" w:rsidRPr="006112E4">
        <w:rPr>
          <w:rFonts w:ascii="Verdana" w:hAnsi="Verdana" w:cs="Arial"/>
          <w:color w:val="232120"/>
        </w:rPr>
        <w:t>to ensure that privatization of the health sector does not constitute a threat to the availability, accessibility, acceptability and quality of health facilities, goods and service</w:t>
      </w:r>
      <w:r w:rsidR="009D3CA2">
        <w:rPr>
          <w:rFonts w:ascii="Verdana" w:hAnsi="Verdana" w:cs="Arial"/>
          <w:color w:val="232120"/>
        </w:rPr>
        <w:t>s</w:t>
      </w:r>
      <w:r w:rsidR="006112E4">
        <w:rPr>
          <w:rFonts w:ascii="Verdana" w:hAnsi="Verdana" w:cs="Arial"/>
          <w:color w:val="232120"/>
        </w:rPr>
        <w:t>”.</w:t>
      </w:r>
      <w:r w:rsidR="00DF0385">
        <w:rPr>
          <w:rStyle w:val="FootnoteReference"/>
          <w:rFonts w:ascii="Verdana" w:hAnsi="Verdana" w:cs="Arial"/>
          <w:color w:val="232120"/>
        </w:rPr>
        <w:footnoteReference w:id="13"/>
      </w:r>
    </w:p>
    <w:p w14:paraId="49365459" w14:textId="77777777" w:rsidR="006112E4" w:rsidRDefault="006112E4" w:rsidP="00EC6F70">
      <w:pPr>
        <w:pStyle w:val="BasicParagraph"/>
        <w:suppressAutoHyphens/>
        <w:ind w:left="720" w:hanging="720"/>
        <w:rPr>
          <w:rFonts w:ascii="Verdana" w:hAnsi="Verdana" w:cs="Arial"/>
          <w:color w:val="232120"/>
        </w:rPr>
      </w:pPr>
    </w:p>
    <w:p w14:paraId="444EBFDC" w14:textId="7E4DDAAA" w:rsidR="00813A32" w:rsidRDefault="00BD0E58" w:rsidP="00EC6F70">
      <w:pPr>
        <w:pStyle w:val="BasicParagraph"/>
        <w:suppressAutoHyphens/>
        <w:ind w:left="720" w:hanging="720"/>
        <w:rPr>
          <w:rFonts w:ascii="Verdana" w:hAnsi="Verdana" w:cs="Arial"/>
          <w:color w:val="232120"/>
        </w:rPr>
      </w:pPr>
      <w:r>
        <w:rPr>
          <w:rFonts w:ascii="Verdana" w:hAnsi="Verdana" w:cs="Arial"/>
          <w:color w:val="232120"/>
        </w:rPr>
        <w:t>4</w:t>
      </w:r>
      <w:r w:rsidR="006112E4">
        <w:rPr>
          <w:rFonts w:ascii="Verdana" w:hAnsi="Verdana" w:cs="Arial"/>
          <w:color w:val="232120"/>
        </w:rPr>
        <w:t>.2</w:t>
      </w:r>
      <w:r w:rsidR="006112E4">
        <w:rPr>
          <w:rFonts w:ascii="Verdana" w:hAnsi="Verdana" w:cs="Arial"/>
          <w:color w:val="232120"/>
        </w:rPr>
        <w:tab/>
      </w:r>
      <w:r w:rsidR="00813A32">
        <w:rPr>
          <w:rFonts w:ascii="Verdana" w:hAnsi="Verdana" w:cs="Arial"/>
          <w:color w:val="232120"/>
        </w:rPr>
        <w:t xml:space="preserve">Limiting a statutory organisational Duty of Candour only to regulated organisations that directly provide health and social care services </w:t>
      </w:r>
      <w:r w:rsidR="006F5A95">
        <w:rPr>
          <w:rFonts w:ascii="Verdana" w:hAnsi="Verdana" w:cs="Arial"/>
          <w:color w:val="232120"/>
        </w:rPr>
        <w:t xml:space="preserve">and limiting a statutory individual Duty of Candour to registered professionals directly providing health and social care services </w:t>
      </w:r>
      <w:r w:rsidR="00813A32">
        <w:rPr>
          <w:rFonts w:ascii="Verdana" w:hAnsi="Verdana" w:cs="Arial"/>
          <w:color w:val="232120"/>
        </w:rPr>
        <w:t>could create a distinction in the services provided by different healthcare organisations</w:t>
      </w:r>
      <w:r w:rsidR="006F5A95">
        <w:rPr>
          <w:rFonts w:ascii="Verdana" w:hAnsi="Verdana" w:cs="Arial"/>
          <w:color w:val="232120"/>
        </w:rPr>
        <w:t>. This</w:t>
      </w:r>
      <w:r w:rsidR="006D0EC2">
        <w:rPr>
          <w:rFonts w:ascii="Verdana" w:hAnsi="Verdana" w:cs="Arial"/>
          <w:color w:val="232120"/>
        </w:rPr>
        <w:t xml:space="preserve"> distinction</w:t>
      </w:r>
      <w:r w:rsidR="00F265EA">
        <w:rPr>
          <w:rFonts w:ascii="Verdana" w:hAnsi="Verdana" w:cs="Arial"/>
          <w:color w:val="232120"/>
        </w:rPr>
        <w:t xml:space="preserve"> </w:t>
      </w:r>
      <w:r w:rsidR="00BB5D3F">
        <w:rPr>
          <w:rFonts w:ascii="Verdana" w:hAnsi="Verdana" w:cs="Arial"/>
          <w:color w:val="232120"/>
        </w:rPr>
        <w:t xml:space="preserve">could </w:t>
      </w:r>
      <w:r w:rsidR="00F265EA">
        <w:rPr>
          <w:rFonts w:ascii="Verdana" w:hAnsi="Verdana" w:cs="Arial"/>
          <w:color w:val="232120"/>
        </w:rPr>
        <w:t>run counter to the state’s obligations to protect, as outlined above</w:t>
      </w:r>
      <w:r w:rsidR="00813A32">
        <w:rPr>
          <w:rFonts w:ascii="Verdana" w:hAnsi="Verdana" w:cs="Arial"/>
          <w:color w:val="232120"/>
        </w:rPr>
        <w:t xml:space="preserve">. </w:t>
      </w:r>
    </w:p>
    <w:p w14:paraId="1C23397C" w14:textId="77777777" w:rsidR="00E87670" w:rsidRDefault="00E87670" w:rsidP="00EC6F70">
      <w:pPr>
        <w:pStyle w:val="BasicParagraph"/>
        <w:suppressAutoHyphens/>
        <w:ind w:left="720" w:hanging="720"/>
        <w:rPr>
          <w:rFonts w:ascii="Verdana" w:hAnsi="Verdana" w:cs="Arial"/>
          <w:color w:val="232120"/>
        </w:rPr>
      </w:pPr>
    </w:p>
    <w:p w14:paraId="0E61065E" w14:textId="776D07AA" w:rsidR="00E93A43" w:rsidRDefault="00BD0E58" w:rsidP="00EC6F70">
      <w:pPr>
        <w:pStyle w:val="BasicParagraph"/>
        <w:suppressAutoHyphens/>
        <w:ind w:left="720" w:hanging="720"/>
        <w:rPr>
          <w:rFonts w:ascii="Verdana" w:hAnsi="Verdana" w:cs="Arial"/>
          <w:color w:val="232120"/>
          <w:lang w:val="en-HK"/>
        </w:rPr>
      </w:pPr>
      <w:r>
        <w:rPr>
          <w:rFonts w:ascii="Verdana" w:hAnsi="Verdana" w:cs="Arial"/>
          <w:color w:val="232120"/>
        </w:rPr>
        <w:t>4</w:t>
      </w:r>
      <w:r w:rsidR="00E87670">
        <w:rPr>
          <w:rFonts w:ascii="Verdana" w:hAnsi="Verdana" w:cs="Arial"/>
          <w:color w:val="232120"/>
        </w:rPr>
        <w:t>.3</w:t>
      </w:r>
      <w:r w:rsidR="00E87670">
        <w:rPr>
          <w:rFonts w:ascii="Verdana" w:hAnsi="Verdana" w:cs="Arial"/>
          <w:color w:val="232120"/>
        </w:rPr>
        <w:tab/>
      </w:r>
      <w:r w:rsidR="00E93A43">
        <w:rPr>
          <w:rFonts w:ascii="Verdana" w:hAnsi="Verdana" w:cs="Arial"/>
          <w:color w:val="232120"/>
        </w:rPr>
        <w:t>Article 2 of the European Convention on Human Rights (ECHR) guarantees the right to life</w:t>
      </w:r>
      <w:r w:rsidR="0051588E">
        <w:rPr>
          <w:rFonts w:ascii="Verdana" w:hAnsi="Verdana" w:cs="Arial"/>
          <w:color w:val="232120"/>
        </w:rPr>
        <w:t>, which the European Court of Human Rights (ECtHR) has confirmed includes positive and procedural obligations</w:t>
      </w:r>
      <w:r w:rsidR="00FA2D70">
        <w:rPr>
          <w:rFonts w:ascii="Verdana" w:hAnsi="Verdana" w:cs="Arial"/>
          <w:color w:val="232120"/>
        </w:rPr>
        <w:t>.</w:t>
      </w:r>
      <w:r w:rsidR="003F15A8">
        <w:rPr>
          <w:rStyle w:val="FootnoteReference"/>
          <w:rFonts w:ascii="Verdana" w:hAnsi="Verdana" w:cs="Arial"/>
          <w:color w:val="232120"/>
        </w:rPr>
        <w:footnoteReference w:id="14"/>
      </w:r>
      <w:r w:rsidR="005B3986">
        <w:rPr>
          <w:rFonts w:ascii="Verdana" w:hAnsi="Verdana" w:cs="Arial"/>
          <w:color w:val="232120"/>
        </w:rPr>
        <w:t xml:space="preserve"> </w:t>
      </w:r>
      <w:r w:rsidR="0051588E">
        <w:rPr>
          <w:rFonts w:ascii="Verdana" w:hAnsi="Verdana" w:cs="Arial"/>
          <w:color w:val="232120"/>
        </w:rPr>
        <w:t xml:space="preserve">The </w:t>
      </w:r>
      <w:r w:rsidR="005B3986">
        <w:rPr>
          <w:rFonts w:ascii="Verdana" w:hAnsi="Verdana" w:cs="Arial"/>
          <w:color w:val="232120"/>
        </w:rPr>
        <w:t xml:space="preserve">procedural obligation </w:t>
      </w:r>
      <w:r w:rsidR="0051588E">
        <w:rPr>
          <w:rFonts w:ascii="Verdana" w:hAnsi="Verdana" w:cs="Arial"/>
          <w:color w:val="232120"/>
        </w:rPr>
        <w:t xml:space="preserve">requires the State </w:t>
      </w:r>
      <w:r w:rsidR="005B3986">
        <w:rPr>
          <w:rFonts w:ascii="Verdana" w:hAnsi="Verdana" w:cs="Arial"/>
          <w:color w:val="232120"/>
        </w:rPr>
        <w:t>to undertake an effective</w:t>
      </w:r>
      <w:r w:rsidR="0051588E">
        <w:rPr>
          <w:rFonts w:ascii="Verdana" w:hAnsi="Verdana" w:cs="Arial"/>
          <w:color w:val="232120"/>
        </w:rPr>
        <w:t>, official</w:t>
      </w:r>
      <w:r w:rsidR="005B3986">
        <w:rPr>
          <w:rFonts w:ascii="Verdana" w:hAnsi="Verdana" w:cs="Arial"/>
          <w:color w:val="232120"/>
        </w:rPr>
        <w:t xml:space="preserve"> investigation where there have been alleged breaches of this right.</w:t>
      </w:r>
      <w:r w:rsidR="0051588E">
        <w:rPr>
          <w:rFonts w:ascii="Verdana" w:hAnsi="Verdana" w:cs="Arial"/>
          <w:color w:val="232120"/>
        </w:rPr>
        <w:t xml:space="preserve"> Such an investigation must</w:t>
      </w:r>
      <w:r w:rsidR="002A22B6">
        <w:rPr>
          <w:rFonts w:ascii="Verdana" w:hAnsi="Verdana" w:cs="Arial"/>
          <w:color w:val="232120"/>
        </w:rPr>
        <w:t xml:space="preserve"> be </w:t>
      </w:r>
      <w:r w:rsidR="00E444CF">
        <w:rPr>
          <w:rFonts w:ascii="Verdana" w:hAnsi="Verdana" w:cs="Arial"/>
          <w:color w:val="232120"/>
        </w:rPr>
        <w:t>capable</w:t>
      </w:r>
      <w:r w:rsidR="002A22B6">
        <w:rPr>
          <w:rFonts w:ascii="Verdana" w:hAnsi="Verdana" w:cs="Arial"/>
          <w:color w:val="232120"/>
        </w:rPr>
        <w:t xml:space="preserve"> of identifying those responsible, be </w:t>
      </w:r>
      <w:r w:rsidR="002A22B6" w:rsidRPr="00E444CF">
        <w:rPr>
          <w:rFonts w:ascii="Verdana" w:hAnsi="Verdana" w:cs="Arial"/>
          <w:color w:val="232120"/>
        </w:rPr>
        <w:t xml:space="preserve">prompt, </w:t>
      </w:r>
      <w:r w:rsidR="00E444CF" w:rsidRPr="00E444CF">
        <w:rPr>
          <w:rFonts w:ascii="Verdana" w:hAnsi="Verdana" w:cs="Arial"/>
          <w:color w:val="232120"/>
        </w:rPr>
        <w:t xml:space="preserve">independent, be subject to public scrutiny and involve the next of </w:t>
      </w:r>
      <w:r w:rsidR="00E444CF" w:rsidRPr="00E444CF">
        <w:rPr>
          <w:rFonts w:ascii="Verdana" w:hAnsi="Verdana" w:cs="Arial"/>
          <w:color w:val="232120"/>
        </w:rPr>
        <w:lastRenderedPageBreak/>
        <w:t>kin.</w:t>
      </w:r>
      <w:r w:rsidR="00E444CF" w:rsidRPr="00E444CF">
        <w:rPr>
          <w:rStyle w:val="FootnoteReference"/>
          <w:rFonts w:ascii="Verdana" w:hAnsi="Verdana" w:cs="Arial"/>
          <w:color w:val="232120"/>
        </w:rPr>
        <w:footnoteReference w:id="15"/>
      </w:r>
      <w:r w:rsidR="0051588E" w:rsidRPr="00E444CF">
        <w:rPr>
          <w:rFonts w:ascii="Verdana" w:hAnsi="Verdana" w:cs="Arial"/>
          <w:color w:val="232120"/>
        </w:rPr>
        <w:t xml:space="preserve"> </w:t>
      </w:r>
      <w:r w:rsidR="00E444CF" w:rsidRPr="00E444CF">
        <w:rPr>
          <w:rFonts w:ascii="Verdana" w:hAnsi="Verdana" w:cs="Arial"/>
          <w:color w:val="232120"/>
        </w:rPr>
        <w:t xml:space="preserve">The State is also required to </w:t>
      </w:r>
      <w:r w:rsidR="00E444CF" w:rsidRPr="00EF7848">
        <w:rPr>
          <w:rFonts w:ascii="Verdana" w:hAnsi="Verdana"/>
        </w:rPr>
        <w:t xml:space="preserve">act on their own motion and </w:t>
      </w:r>
      <w:r w:rsidR="0051588E" w:rsidRPr="00EF7848">
        <w:rPr>
          <w:rFonts w:ascii="Verdana" w:hAnsi="Verdana"/>
        </w:rPr>
        <w:t xml:space="preserve">“cannot leave it to the initiative of the next of kin either to lodge a formal complaint or to take responsibility for the conduct of </w:t>
      </w:r>
      <w:r w:rsidR="00E444CF" w:rsidRPr="00EF7848">
        <w:rPr>
          <w:rFonts w:ascii="Verdana" w:hAnsi="Verdana"/>
        </w:rPr>
        <w:t>any investigative procedures”.</w:t>
      </w:r>
      <w:r w:rsidR="00E444CF" w:rsidRPr="00EF7848">
        <w:rPr>
          <w:rStyle w:val="FootnoteReference"/>
          <w:rFonts w:ascii="Verdana" w:hAnsi="Verdana"/>
        </w:rPr>
        <w:footnoteReference w:id="16"/>
      </w:r>
      <w:r w:rsidR="00992516">
        <w:rPr>
          <w:rFonts w:ascii="Verdana" w:hAnsi="Verdana"/>
        </w:rPr>
        <w:t xml:space="preserve"> </w:t>
      </w:r>
    </w:p>
    <w:p w14:paraId="3B3E0017" w14:textId="77777777" w:rsidR="005B3986" w:rsidRPr="005B3986" w:rsidRDefault="005B3986" w:rsidP="00EC6F70">
      <w:pPr>
        <w:pStyle w:val="BasicParagraph"/>
        <w:suppressAutoHyphens/>
        <w:ind w:left="720" w:hanging="720"/>
        <w:rPr>
          <w:rFonts w:ascii="Verdana" w:hAnsi="Verdana" w:cs="Arial"/>
          <w:color w:val="232120"/>
          <w:lang w:val="en-HK"/>
        </w:rPr>
      </w:pPr>
    </w:p>
    <w:p w14:paraId="5496582F" w14:textId="4ED39395" w:rsidR="00813A32" w:rsidRPr="003D34AE" w:rsidRDefault="00D45AD1" w:rsidP="00EC6F70">
      <w:pPr>
        <w:pStyle w:val="BasicParagraph"/>
        <w:suppressAutoHyphens/>
        <w:ind w:left="720" w:hanging="720"/>
        <w:rPr>
          <w:rFonts w:ascii="Verdana" w:hAnsi="Verdana" w:cs="Arial"/>
          <w:color w:val="auto"/>
        </w:rPr>
      </w:pPr>
      <w:r w:rsidRPr="003D34AE">
        <w:rPr>
          <w:rFonts w:ascii="Verdana" w:hAnsi="Verdana" w:cs="Arial"/>
          <w:color w:val="auto"/>
        </w:rPr>
        <w:t>4</w:t>
      </w:r>
      <w:r w:rsidR="005B3986" w:rsidRPr="003D34AE">
        <w:rPr>
          <w:rFonts w:ascii="Verdana" w:hAnsi="Verdana" w:cs="Arial"/>
          <w:color w:val="auto"/>
        </w:rPr>
        <w:t>.4</w:t>
      </w:r>
      <w:r w:rsidR="005B3986" w:rsidRPr="003D34AE">
        <w:rPr>
          <w:rFonts w:ascii="Verdana" w:hAnsi="Verdana" w:cs="Arial"/>
          <w:color w:val="auto"/>
        </w:rPr>
        <w:tab/>
      </w:r>
      <w:r w:rsidR="00E93A43" w:rsidRPr="003D34AE">
        <w:rPr>
          <w:rFonts w:ascii="Verdana" w:hAnsi="Verdana" w:cs="Arial"/>
          <w:color w:val="auto"/>
        </w:rPr>
        <w:t xml:space="preserve">In </w:t>
      </w:r>
      <w:r w:rsidR="00775C48" w:rsidRPr="003D34AE">
        <w:rPr>
          <w:rFonts w:ascii="Verdana" w:hAnsi="Verdana" w:cs="Arial"/>
          <w:color w:val="auto"/>
        </w:rPr>
        <w:t>fulfilling</w:t>
      </w:r>
      <w:r w:rsidR="005B3986" w:rsidRPr="003D34AE">
        <w:rPr>
          <w:rFonts w:ascii="Verdana" w:hAnsi="Verdana" w:cs="Arial"/>
          <w:color w:val="auto"/>
        </w:rPr>
        <w:t xml:space="preserve"> </w:t>
      </w:r>
      <w:r w:rsidR="00E93A43" w:rsidRPr="003D34AE">
        <w:rPr>
          <w:rFonts w:ascii="Verdana" w:hAnsi="Verdana" w:cs="Arial"/>
          <w:color w:val="auto"/>
        </w:rPr>
        <w:t xml:space="preserve">this </w:t>
      </w:r>
      <w:r w:rsidR="005B3986" w:rsidRPr="003D34AE">
        <w:rPr>
          <w:rFonts w:ascii="Verdana" w:hAnsi="Verdana" w:cs="Arial"/>
          <w:color w:val="auto"/>
        </w:rPr>
        <w:t xml:space="preserve">procedural </w:t>
      </w:r>
      <w:r w:rsidR="00E93A43" w:rsidRPr="003D34AE">
        <w:rPr>
          <w:rFonts w:ascii="Verdana" w:hAnsi="Verdana" w:cs="Arial"/>
          <w:color w:val="auto"/>
        </w:rPr>
        <w:t xml:space="preserve">obligation, </w:t>
      </w:r>
      <w:r w:rsidR="00E87670" w:rsidRPr="003D34AE">
        <w:rPr>
          <w:rFonts w:ascii="Verdana" w:hAnsi="Verdana" w:cs="Arial"/>
          <w:color w:val="auto"/>
        </w:rPr>
        <w:t>the</w:t>
      </w:r>
      <w:r w:rsidR="00E93A43" w:rsidRPr="003D34AE">
        <w:rPr>
          <w:rFonts w:ascii="Verdana" w:hAnsi="Verdana" w:cs="Arial"/>
          <w:color w:val="auto"/>
        </w:rPr>
        <w:t xml:space="preserve"> ECtHR has clarified that </w:t>
      </w:r>
      <w:r w:rsidR="005B3986" w:rsidRPr="003D34AE">
        <w:rPr>
          <w:rFonts w:ascii="Verdana" w:hAnsi="Verdana" w:cs="Arial"/>
          <w:color w:val="auto"/>
        </w:rPr>
        <w:t xml:space="preserve">the </w:t>
      </w:r>
      <w:r w:rsidR="00E87670" w:rsidRPr="003D34AE">
        <w:rPr>
          <w:rFonts w:ascii="Verdana" w:hAnsi="Verdana" w:cs="Arial"/>
          <w:color w:val="auto"/>
        </w:rPr>
        <w:t xml:space="preserve">State is under an obligation to </w:t>
      </w:r>
      <w:r w:rsidR="00E93A43" w:rsidRPr="003D34AE">
        <w:rPr>
          <w:rFonts w:ascii="Verdana" w:hAnsi="Verdana" w:cs="Arial"/>
          <w:color w:val="auto"/>
        </w:rPr>
        <w:t xml:space="preserve">investigate </w:t>
      </w:r>
      <w:r w:rsidR="00775C48" w:rsidRPr="003D34AE">
        <w:rPr>
          <w:rFonts w:ascii="Verdana" w:hAnsi="Verdana" w:cs="Arial"/>
          <w:color w:val="auto"/>
        </w:rPr>
        <w:t xml:space="preserve">in situations </w:t>
      </w:r>
      <w:r w:rsidR="00E93A43" w:rsidRPr="003D34AE">
        <w:rPr>
          <w:rFonts w:ascii="Verdana" w:hAnsi="Verdana" w:cs="Arial"/>
          <w:color w:val="auto"/>
        </w:rPr>
        <w:t xml:space="preserve">where individuals have sustained life-threatening injuries or loss of life </w:t>
      </w:r>
      <w:r w:rsidR="00743531" w:rsidRPr="003D34AE">
        <w:rPr>
          <w:rFonts w:ascii="Verdana" w:hAnsi="Verdana" w:cs="Arial"/>
          <w:color w:val="auto"/>
        </w:rPr>
        <w:t>in suspicious circumstances</w:t>
      </w:r>
      <w:r w:rsidR="00E93A43" w:rsidRPr="003D34AE">
        <w:rPr>
          <w:rFonts w:ascii="Verdana" w:hAnsi="Verdana" w:cs="Arial"/>
          <w:color w:val="auto"/>
        </w:rPr>
        <w:t xml:space="preserve">. </w:t>
      </w:r>
      <w:r w:rsidR="006A714F" w:rsidRPr="003D34AE">
        <w:rPr>
          <w:rFonts w:ascii="Verdana" w:hAnsi="Verdana" w:cs="Arial"/>
          <w:color w:val="auto"/>
        </w:rPr>
        <w:t>In</w:t>
      </w:r>
      <w:r w:rsidR="005D5AEC" w:rsidRPr="003D34AE">
        <w:rPr>
          <w:rFonts w:ascii="Verdana" w:hAnsi="Verdana" w:cs="Arial"/>
          <w:color w:val="auto"/>
        </w:rPr>
        <w:t xml:space="preserve"> </w:t>
      </w:r>
      <w:r w:rsidR="005D5AEC" w:rsidRPr="003D34AE">
        <w:rPr>
          <w:rFonts w:ascii="Verdana" w:hAnsi="Verdana" w:cs="Arial"/>
          <w:i/>
          <w:iCs/>
          <w:color w:val="auto"/>
        </w:rPr>
        <w:t>Lopes de Sousa Fernandes v Portugal</w:t>
      </w:r>
      <w:r w:rsidR="005D5AEC" w:rsidRPr="003D34AE">
        <w:rPr>
          <w:rFonts w:ascii="Verdana" w:hAnsi="Verdana" w:cs="Arial"/>
          <w:color w:val="auto"/>
        </w:rPr>
        <w:t xml:space="preserve">, </w:t>
      </w:r>
      <w:r w:rsidR="00833BA2" w:rsidRPr="003D34AE">
        <w:rPr>
          <w:rFonts w:ascii="Verdana" w:hAnsi="Verdana" w:cs="Arial"/>
          <w:color w:val="auto"/>
        </w:rPr>
        <w:t xml:space="preserve">the </w:t>
      </w:r>
      <w:r w:rsidR="0066230E" w:rsidRPr="003D34AE">
        <w:rPr>
          <w:rFonts w:ascii="Verdana" w:hAnsi="Verdana" w:cs="Arial"/>
          <w:color w:val="auto"/>
        </w:rPr>
        <w:t xml:space="preserve">judgment </w:t>
      </w:r>
      <w:r w:rsidR="006E2C55" w:rsidRPr="003D34AE">
        <w:rPr>
          <w:rFonts w:ascii="Verdana" w:hAnsi="Verdana" w:cs="Arial"/>
          <w:color w:val="auto"/>
        </w:rPr>
        <w:t xml:space="preserve">referred to earlier jurisprudence and </w:t>
      </w:r>
      <w:r w:rsidR="003B3147" w:rsidRPr="003D34AE">
        <w:rPr>
          <w:rFonts w:ascii="Verdana" w:hAnsi="Verdana" w:cs="Arial"/>
          <w:color w:val="auto"/>
        </w:rPr>
        <w:t>held</w:t>
      </w:r>
      <w:r w:rsidR="006E2C55" w:rsidRPr="003D34AE">
        <w:rPr>
          <w:rFonts w:ascii="Verdana" w:hAnsi="Verdana" w:cs="Arial"/>
          <w:color w:val="auto"/>
        </w:rPr>
        <w:t xml:space="preserve"> that the ECtHR </w:t>
      </w:r>
      <w:r w:rsidR="00833BA2" w:rsidRPr="003D34AE">
        <w:rPr>
          <w:rFonts w:ascii="Verdana" w:hAnsi="Verdana" w:cs="Arial"/>
          <w:color w:val="auto"/>
        </w:rPr>
        <w:t>“has interpreted the procedural obligation of Article 2 in the context of health care as requiring States to set up an effective and independent judicial system so that the cause of death of patients in the care of the medical profession, whether in the public or the private sector, can be determined and those responsible made accountable</w:t>
      </w:r>
      <w:r w:rsidR="00A36ED4" w:rsidRPr="003D34AE">
        <w:rPr>
          <w:rFonts w:ascii="Verdana" w:hAnsi="Verdana" w:cs="Arial"/>
          <w:color w:val="auto"/>
        </w:rPr>
        <w:t>”.</w:t>
      </w:r>
      <w:r w:rsidR="00492385" w:rsidRPr="003D34AE">
        <w:rPr>
          <w:rStyle w:val="FootnoteReference"/>
          <w:rFonts w:ascii="Verdana" w:hAnsi="Verdana" w:cs="Arial"/>
          <w:color w:val="auto"/>
        </w:rPr>
        <w:footnoteReference w:id="17"/>
      </w:r>
      <w:r w:rsidR="00062CF0" w:rsidRPr="003D34AE">
        <w:rPr>
          <w:rFonts w:ascii="Verdana" w:hAnsi="Verdana" w:cs="Arial"/>
          <w:color w:val="auto"/>
        </w:rPr>
        <w:t xml:space="preserve"> </w:t>
      </w:r>
      <w:r w:rsidR="00E93A43" w:rsidRPr="003D34AE">
        <w:rPr>
          <w:rFonts w:ascii="Verdana" w:hAnsi="Verdana" w:cs="Arial"/>
          <w:color w:val="auto"/>
        </w:rPr>
        <w:t xml:space="preserve">In such cases, the </w:t>
      </w:r>
      <w:r w:rsidR="005B3986" w:rsidRPr="003D34AE">
        <w:rPr>
          <w:rFonts w:ascii="Verdana" w:hAnsi="Verdana" w:cs="Arial"/>
          <w:color w:val="auto"/>
        </w:rPr>
        <w:t xml:space="preserve">ECtHR has held that </w:t>
      </w:r>
      <w:r w:rsidR="003D34AE">
        <w:rPr>
          <w:rFonts w:ascii="Verdana" w:hAnsi="Verdana" w:cs="Arial"/>
          <w:color w:val="auto"/>
        </w:rPr>
        <w:t>A</w:t>
      </w:r>
      <w:r w:rsidR="005B3986" w:rsidRPr="003D34AE">
        <w:rPr>
          <w:rFonts w:ascii="Verdana" w:hAnsi="Verdana" w:cs="Arial"/>
          <w:color w:val="auto"/>
        </w:rPr>
        <w:t xml:space="preserve">rticle 2 </w:t>
      </w:r>
      <w:r w:rsidR="0051588E" w:rsidRPr="003D34AE">
        <w:rPr>
          <w:rFonts w:ascii="Verdana" w:hAnsi="Verdana" w:cs="Arial"/>
          <w:color w:val="auto"/>
        </w:rPr>
        <w:t xml:space="preserve">ECHR </w:t>
      </w:r>
      <w:r w:rsidR="005B3986" w:rsidRPr="003D34AE">
        <w:rPr>
          <w:rFonts w:ascii="Verdana" w:hAnsi="Verdana" w:cs="Arial"/>
          <w:color w:val="auto"/>
        </w:rPr>
        <w:t>must also be considered to require the State to have in place an effective independent judicial system to secure the legal means capable of establishing the facts, holding accountable those at fault and providing appropriate redress to the victim</w:t>
      </w:r>
      <w:r w:rsidR="00FC4F42" w:rsidRPr="003D34AE">
        <w:rPr>
          <w:rFonts w:ascii="Verdana" w:hAnsi="Verdana" w:cs="Arial"/>
          <w:color w:val="auto"/>
        </w:rPr>
        <w:t>.</w:t>
      </w:r>
      <w:r w:rsidR="005B3986" w:rsidRPr="003D34AE">
        <w:rPr>
          <w:rStyle w:val="FootnoteReference"/>
          <w:rFonts w:ascii="Verdana" w:hAnsi="Verdana" w:cs="Arial"/>
          <w:color w:val="auto"/>
        </w:rPr>
        <w:footnoteReference w:id="18"/>
      </w:r>
    </w:p>
    <w:p w14:paraId="26C1D725" w14:textId="77777777" w:rsidR="00E3073A" w:rsidRDefault="00E3073A" w:rsidP="00EC6F70">
      <w:pPr>
        <w:pStyle w:val="BasicParagraph"/>
        <w:suppressAutoHyphens/>
        <w:ind w:left="720" w:hanging="720"/>
        <w:rPr>
          <w:rFonts w:ascii="Verdana" w:hAnsi="Verdana" w:cs="Arial"/>
          <w:color w:val="232120"/>
        </w:rPr>
      </w:pPr>
    </w:p>
    <w:p w14:paraId="756778A3" w14:textId="6C91CBDA" w:rsidR="00E3073A" w:rsidRPr="003D34AE" w:rsidRDefault="00D45AD1" w:rsidP="00EC6F70">
      <w:pPr>
        <w:pStyle w:val="BasicParagraph"/>
        <w:suppressAutoHyphens/>
        <w:ind w:left="720" w:hanging="720"/>
        <w:rPr>
          <w:rFonts w:ascii="Verdana" w:hAnsi="Verdana" w:cs="Arial"/>
          <w:color w:val="auto"/>
        </w:rPr>
      </w:pPr>
      <w:r w:rsidRPr="003D34AE">
        <w:rPr>
          <w:rFonts w:ascii="Verdana" w:hAnsi="Verdana" w:cs="Arial"/>
          <w:color w:val="auto"/>
        </w:rPr>
        <w:t>4</w:t>
      </w:r>
      <w:r w:rsidR="00E3073A" w:rsidRPr="003D34AE">
        <w:rPr>
          <w:rFonts w:ascii="Verdana" w:hAnsi="Verdana" w:cs="Arial"/>
          <w:color w:val="auto"/>
        </w:rPr>
        <w:t>.5</w:t>
      </w:r>
      <w:r w:rsidR="00E3073A" w:rsidRPr="003D34AE">
        <w:rPr>
          <w:rFonts w:ascii="Verdana" w:hAnsi="Verdana" w:cs="Arial"/>
          <w:color w:val="auto"/>
        </w:rPr>
        <w:tab/>
        <w:t xml:space="preserve">If a healthcare organisation was involved in a situation where </w:t>
      </w:r>
      <w:r w:rsidR="003D34AE">
        <w:rPr>
          <w:rFonts w:ascii="Verdana" w:hAnsi="Verdana" w:cs="Arial"/>
          <w:color w:val="auto"/>
        </w:rPr>
        <w:t>A</w:t>
      </w:r>
      <w:r w:rsidR="00E3073A" w:rsidRPr="003D34AE">
        <w:rPr>
          <w:rFonts w:ascii="Verdana" w:hAnsi="Verdana" w:cs="Arial"/>
          <w:color w:val="auto"/>
        </w:rPr>
        <w:t xml:space="preserve">rticle 2 ECHR was </w:t>
      </w:r>
      <w:r w:rsidR="00E444CF" w:rsidRPr="003D34AE">
        <w:rPr>
          <w:rFonts w:ascii="Verdana" w:hAnsi="Verdana" w:cs="Arial"/>
          <w:color w:val="auto"/>
        </w:rPr>
        <w:t>engaged</w:t>
      </w:r>
      <w:r w:rsidR="00E3073A" w:rsidRPr="003D34AE">
        <w:rPr>
          <w:rFonts w:ascii="Verdana" w:hAnsi="Verdana" w:cs="Arial"/>
          <w:color w:val="auto"/>
        </w:rPr>
        <w:t xml:space="preserve">, </w:t>
      </w:r>
      <w:r w:rsidR="00E444CF" w:rsidRPr="003D34AE">
        <w:rPr>
          <w:rFonts w:ascii="Verdana" w:hAnsi="Verdana" w:cs="Arial"/>
          <w:color w:val="auto"/>
        </w:rPr>
        <w:t xml:space="preserve">this would require </w:t>
      </w:r>
      <w:r w:rsidR="00E3073A" w:rsidRPr="003D34AE">
        <w:rPr>
          <w:rFonts w:ascii="Verdana" w:hAnsi="Verdana" w:cs="Arial"/>
          <w:color w:val="auto"/>
        </w:rPr>
        <w:t>an investigation into the course of events</w:t>
      </w:r>
      <w:r w:rsidR="00775C48" w:rsidRPr="003D34AE">
        <w:rPr>
          <w:rFonts w:ascii="Verdana" w:hAnsi="Verdana" w:cs="Arial"/>
          <w:color w:val="auto"/>
        </w:rPr>
        <w:t xml:space="preserve"> requiring detailed disclosure</w:t>
      </w:r>
      <w:r w:rsidR="00E3073A" w:rsidRPr="003D34AE">
        <w:rPr>
          <w:rFonts w:ascii="Verdana" w:hAnsi="Verdana" w:cs="Arial"/>
          <w:color w:val="auto"/>
        </w:rPr>
        <w:t xml:space="preserve">, regardless of whether the organisation </w:t>
      </w:r>
      <w:r w:rsidR="006C09C5" w:rsidRPr="003D34AE">
        <w:rPr>
          <w:rFonts w:ascii="Verdana" w:hAnsi="Verdana" w:cs="Arial"/>
          <w:color w:val="auto"/>
        </w:rPr>
        <w:t xml:space="preserve">and/or staff were </w:t>
      </w:r>
      <w:r w:rsidR="00E3073A" w:rsidRPr="003D34AE">
        <w:rPr>
          <w:rFonts w:ascii="Verdana" w:hAnsi="Verdana" w:cs="Arial"/>
          <w:color w:val="auto"/>
        </w:rPr>
        <w:t xml:space="preserve">regulated </w:t>
      </w:r>
      <w:r w:rsidR="008B37F0" w:rsidRPr="003D34AE">
        <w:rPr>
          <w:rFonts w:ascii="Verdana" w:hAnsi="Verdana" w:cs="Arial"/>
          <w:color w:val="auto"/>
        </w:rPr>
        <w:t xml:space="preserve">or registered </w:t>
      </w:r>
      <w:r w:rsidR="00E3073A" w:rsidRPr="003D34AE">
        <w:rPr>
          <w:rFonts w:ascii="Verdana" w:hAnsi="Verdana" w:cs="Arial"/>
          <w:color w:val="auto"/>
        </w:rPr>
        <w:t xml:space="preserve">to directly provide health and social care services.  </w:t>
      </w:r>
    </w:p>
    <w:p w14:paraId="1D8BE906" w14:textId="77777777" w:rsidR="00E93A43" w:rsidRPr="003D34AE" w:rsidRDefault="00E93A43" w:rsidP="00EC6F70">
      <w:pPr>
        <w:pStyle w:val="BasicParagraph"/>
        <w:suppressAutoHyphens/>
        <w:ind w:left="720" w:hanging="720"/>
        <w:rPr>
          <w:rFonts w:ascii="Verdana" w:hAnsi="Verdana" w:cs="Arial"/>
          <w:color w:val="auto"/>
        </w:rPr>
      </w:pPr>
    </w:p>
    <w:p w14:paraId="1B773C8F" w14:textId="7A7C7965" w:rsidR="006112E4" w:rsidRPr="003D34AE" w:rsidRDefault="00D45AD1" w:rsidP="00EC6F70">
      <w:pPr>
        <w:pStyle w:val="BasicParagraph"/>
        <w:suppressAutoHyphens/>
        <w:ind w:left="720" w:hanging="720"/>
        <w:rPr>
          <w:rFonts w:ascii="Verdana" w:hAnsi="Verdana" w:cs="Arial"/>
          <w:color w:val="auto"/>
        </w:rPr>
      </w:pPr>
      <w:r w:rsidRPr="003D34AE">
        <w:rPr>
          <w:rFonts w:ascii="Verdana" w:hAnsi="Verdana" w:cs="Arial"/>
          <w:color w:val="auto"/>
        </w:rPr>
        <w:t>4</w:t>
      </w:r>
      <w:r w:rsidR="00813A32" w:rsidRPr="003D34AE">
        <w:rPr>
          <w:rFonts w:ascii="Verdana" w:hAnsi="Verdana" w:cs="Arial"/>
          <w:color w:val="auto"/>
        </w:rPr>
        <w:t>.</w:t>
      </w:r>
      <w:r w:rsidR="003D519F" w:rsidRPr="003D34AE">
        <w:rPr>
          <w:rFonts w:ascii="Verdana" w:hAnsi="Verdana" w:cs="Arial"/>
          <w:color w:val="auto"/>
        </w:rPr>
        <w:t>6</w:t>
      </w:r>
      <w:r w:rsidR="00813A32" w:rsidRPr="003D34AE">
        <w:rPr>
          <w:rFonts w:ascii="Verdana" w:hAnsi="Verdana" w:cs="Arial"/>
          <w:color w:val="auto"/>
        </w:rPr>
        <w:tab/>
      </w:r>
      <w:r w:rsidR="006112E4" w:rsidRPr="003D34AE">
        <w:rPr>
          <w:rFonts w:ascii="Verdana" w:hAnsi="Verdana" w:cs="Arial"/>
          <w:color w:val="auto"/>
        </w:rPr>
        <w:t xml:space="preserve">Accordingly, the Commission recommends that the scope of the statutory </w:t>
      </w:r>
      <w:r w:rsidR="00C83581">
        <w:rPr>
          <w:rFonts w:ascii="Verdana" w:hAnsi="Verdana" w:cs="Arial"/>
          <w:color w:val="auto"/>
        </w:rPr>
        <w:t>D</w:t>
      </w:r>
      <w:r w:rsidR="006112E4" w:rsidRPr="003D34AE">
        <w:rPr>
          <w:rFonts w:ascii="Verdana" w:hAnsi="Verdana" w:cs="Arial"/>
          <w:color w:val="auto"/>
        </w:rPr>
        <w:t xml:space="preserve">uty of </w:t>
      </w:r>
      <w:r w:rsidR="00C83581">
        <w:rPr>
          <w:rFonts w:ascii="Verdana" w:hAnsi="Verdana" w:cs="Arial"/>
          <w:color w:val="auto"/>
        </w:rPr>
        <w:t>C</w:t>
      </w:r>
      <w:r w:rsidR="006112E4" w:rsidRPr="003D34AE">
        <w:rPr>
          <w:rFonts w:ascii="Verdana" w:hAnsi="Verdana" w:cs="Arial"/>
          <w:color w:val="auto"/>
        </w:rPr>
        <w:t>andour applies to every healthcare organisation</w:t>
      </w:r>
      <w:r w:rsidR="00AE3C90" w:rsidRPr="003D34AE">
        <w:rPr>
          <w:rFonts w:ascii="Verdana" w:hAnsi="Verdana" w:cs="Arial"/>
          <w:color w:val="auto"/>
        </w:rPr>
        <w:t xml:space="preserve"> and </w:t>
      </w:r>
      <w:r w:rsidR="00C6751D" w:rsidRPr="003D34AE">
        <w:rPr>
          <w:rFonts w:ascii="Verdana" w:hAnsi="Verdana" w:cs="Arial"/>
          <w:color w:val="auto"/>
        </w:rPr>
        <w:t>everyone working for them</w:t>
      </w:r>
      <w:r w:rsidR="006112E4" w:rsidRPr="003D34AE">
        <w:rPr>
          <w:rFonts w:ascii="Verdana" w:hAnsi="Verdana" w:cs="Arial"/>
          <w:color w:val="auto"/>
        </w:rPr>
        <w:t>, as set out in Justice O’Hara’s recommendation</w:t>
      </w:r>
      <w:r w:rsidR="00A317BC" w:rsidRPr="003D34AE">
        <w:rPr>
          <w:rFonts w:ascii="Verdana" w:hAnsi="Verdana" w:cs="Arial"/>
          <w:color w:val="auto"/>
        </w:rPr>
        <w:t>s</w:t>
      </w:r>
      <w:r w:rsidR="006112E4" w:rsidRPr="003D34AE">
        <w:rPr>
          <w:rFonts w:ascii="Verdana" w:hAnsi="Verdana" w:cs="Arial"/>
          <w:color w:val="auto"/>
        </w:rPr>
        <w:t>.</w:t>
      </w:r>
    </w:p>
    <w:p w14:paraId="485B0853" w14:textId="66E7A413" w:rsidR="007413D2" w:rsidRPr="006112E4" w:rsidRDefault="007413D2" w:rsidP="00EC6F70">
      <w:pPr>
        <w:pStyle w:val="BasicParagraph"/>
        <w:suppressAutoHyphens/>
        <w:rPr>
          <w:rFonts w:ascii="Verdana" w:hAnsi="Verdana" w:cs="Arial"/>
          <w:color w:val="232120"/>
        </w:rPr>
      </w:pPr>
    </w:p>
    <w:p w14:paraId="675B31D7" w14:textId="77EB76E7" w:rsidR="002D03B5" w:rsidRDefault="00D45AD1" w:rsidP="00EC6F70">
      <w:pPr>
        <w:pStyle w:val="BasicParagraph"/>
        <w:suppressAutoHyphens/>
        <w:ind w:left="720" w:hanging="720"/>
        <w:rPr>
          <w:rFonts w:ascii="Verdana" w:hAnsi="Verdana" w:cs="Arial"/>
          <w:b/>
          <w:bCs/>
          <w:color w:val="232120"/>
        </w:rPr>
      </w:pPr>
      <w:r>
        <w:rPr>
          <w:rFonts w:ascii="Verdana" w:hAnsi="Verdana" w:cs="Arial"/>
          <w:b/>
          <w:bCs/>
          <w:color w:val="232120"/>
        </w:rPr>
        <w:t>4</w:t>
      </w:r>
      <w:r w:rsidR="002D03B5">
        <w:rPr>
          <w:rFonts w:ascii="Verdana" w:hAnsi="Verdana" w:cs="Arial"/>
          <w:b/>
          <w:bCs/>
          <w:color w:val="232120"/>
        </w:rPr>
        <w:t>.</w:t>
      </w:r>
      <w:r w:rsidR="003D519F">
        <w:rPr>
          <w:rFonts w:ascii="Verdana" w:hAnsi="Verdana" w:cs="Arial"/>
          <w:b/>
          <w:bCs/>
          <w:color w:val="232120"/>
        </w:rPr>
        <w:t>7</w:t>
      </w:r>
      <w:r w:rsidR="002D03B5">
        <w:rPr>
          <w:rFonts w:ascii="Verdana" w:hAnsi="Verdana" w:cs="Arial"/>
          <w:b/>
          <w:bCs/>
          <w:color w:val="232120"/>
        </w:rPr>
        <w:tab/>
        <w:t xml:space="preserve">The Commission recommends that the </w:t>
      </w:r>
      <w:r w:rsidR="00DB1D4C" w:rsidRPr="00DB1D4C">
        <w:rPr>
          <w:rFonts w:ascii="Verdana" w:hAnsi="Verdana" w:cs="Arial"/>
          <w:b/>
          <w:bCs/>
          <w:color w:val="232120"/>
        </w:rPr>
        <w:t>statutory Duty of Candour appl</w:t>
      </w:r>
      <w:r w:rsidR="00452606">
        <w:rPr>
          <w:rFonts w:ascii="Verdana" w:hAnsi="Verdana" w:cs="Arial"/>
          <w:b/>
          <w:bCs/>
          <w:color w:val="232120"/>
        </w:rPr>
        <w:t>ies</w:t>
      </w:r>
      <w:r w:rsidR="00DB1D4C" w:rsidRPr="00DB1D4C">
        <w:rPr>
          <w:rFonts w:ascii="Verdana" w:hAnsi="Verdana" w:cs="Arial"/>
          <w:b/>
          <w:bCs/>
          <w:color w:val="232120"/>
        </w:rPr>
        <w:t xml:space="preserve"> to every healthcare organisation</w:t>
      </w:r>
      <w:r w:rsidR="00452606">
        <w:rPr>
          <w:rFonts w:ascii="Verdana" w:hAnsi="Verdana" w:cs="Arial"/>
          <w:b/>
          <w:bCs/>
          <w:color w:val="232120"/>
        </w:rPr>
        <w:t xml:space="preserve"> and everyone working for them</w:t>
      </w:r>
      <w:r w:rsidR="00DB1D4C" w:rsidRPr="00DB1D4C">
        <w:rPr>
          <w:rFonts w:ascii="Verdana" w:hAnsi="Verdana" w:cs="Arial"/>
          <w:b/>
          <w:bCs/>
          <w:color w:val="232120"/>
        </w:rPr>
        <w:t>.</w:t>
      </w:r>
    </w:p>
    <w:p w14:paraId="1F3D6233" w14:textId="77777777" w:rsidR="003D34AE" w:rsidRPr="00DB1D4C" w:rsidRDefault="003D34AE" w:rsidP="00EC6F70">
      <w:pPr>
        <w:pStyle w:val="BasicParagraph"/>
        <w:suppressAutoHyphens/>
        <w:ind w:left="720" w:hanging="720"/>
        <w:rPr>
          <w:rFonts w:ascii="Verdana" w:hAnsi="Verdana" w:cs="Arial"/>
          <w:b/>
          <w:bCs/>
          <w:color w:val="232120"/>
          <w:lang w:val="en-HK"/>
        </w:rPr>
      </w:pPr>
    </w:p>
    <w:p w14:paraId="3093EF35" w14:textId="77777777" w:rsidR="002D03B5" w:rsidRDefault="002D03B5" w:rsidP="00EC6F70">
      <w:pPr>
        <w:pStyle w:val="BasicParagraph"/>
        <w:suppressAutoHyphens/>
        <w:rPr>
          <w:rFonts w:ascii="Verdana" w:hAnsi="Verdana" w:cs="Arial"/>
          <w:color w:val="232120"/>
          <w:lang w:val="en-HK"/>
        </w:rPr>
      </w:pPr>
    </w:p>
    <w:p w14:paraId="364C7F86" w14:textId="544370AC" w:rsidR="002D03B5" w:rsidRPr="00E407A8" w:rsidRDefault="00D45AD1" w:rsidP="00EC6F70">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lastRenderedPageBreak/>
        <w:t>5</w:t>
      </w:r>
      <w:r w:rsidR="002D03B5" w:rsidRPr="003B7D0E">
        <w:rPr>
          <w:rFonts w:ascii="Verdana" w:hAnsi="Verdana" w:cs="Arial"/>
          <w:b/>
          <w:color w:val="77328A"/>
          <w:sz w:val="30"/>
          <w:szCs w:val="30"/>
        </w:rPr>
        <w:t>.0</w:t>
      </w:r>
      <w:r w:rsidR="002D03B5" w:rsidRPr="003B7D0E">
        <w:rPr>
          <w:rFonts w:ascii="Verdana" w:hAnsi="Verdana" w:cs="Arial"/>
          <w:b/>
          <w:color w:val="77328A"/>
          <w:sz w:val="30"/>
          <w:szCs w:val="30"/>
        </w:rPr>
        <w:tab/>
      </w:r>
      <w:r w:rsidR="0087049D">
        <w:rPr>
          <w:rFonts w:ascii="Verdana" w:hAnsi="Verdana" w:cs="Arial"/>
          <w:b/>
          <w:color w:val="77328A"/>
          <w:sz w:val="30"/>
          <w:szCs w:val="30"/>
        </w:rPr>
        <w:t>Routine requirements</w:t>
      </w:r>
      <w:r w:rsidR="009D3CA2">
        <w:rPr>
          <w:rFonts w:ascii="Verdana" w:hAnsi="Verdana" w:cs="Arial"/>
          <w:b/>
          <w:color w:val="77328A"/>
          <w:sz w:val="30"/>
          <w:szCs w:val="30"/>
        </w:rPr>
        <w:t xml:space="preserve"> of statutory organisational </w:t>
      </w:r>
      <w:r w:rsidR="00DD6306">
        <w:rPr>
          <w:rFonts w:ascii="Verdana" w:hAnsi="Verdana" w:cs="Arial"/>
          <w:b/>
          <w:color w:val="77328A"/>
          <w:sz w:val="30"/>
          <w:szCs w:val="30"/>
        </w:rPr>
        <w:t xml:space="preserve">and individual </w:t>
      </w:r>
      <w:r w:rsidR="00F67BDB">
        <w:rPr>
          <w:rFonts w:ascii="Verdana" w:hAnsi="Verdana" w:cs="Arial"/>
          <w:b/>
          <w:color w:val="77328A"/>
          <w:sz w:val="30"/>
          <w:szCs w:val="30"/>
        </w:rPr>
        <w:t xml:space="preserve">Duties </w:t>
      </w:r>
      <w:r w:rsidR="009D3CA2">
        <w:rPr>
          <w:rFonts w:ascii="Verdana" w:hAnsi="Verdana" w:cs="Arial"/>
          <w:b/>
          <w:color w:val="77328A"/>
          <w:sz w:val="30"/>
          <w:szCs w:val="30"/>
        </w:rPr>
        <w:t>of Candour</w:t>
      </w:r>
    </w:p>
    <w:p w14:paraId="2FC50528" w14:textId="77777777" w:rsidR="002D03B5" w:rsidRDefault="002D03B5" w:rsidP="00EC6F70">
      <w:pPr>
        <w:pStyle w:val="BasicParagraph"/>
        <w:suppressAutoHyphens/>
        <w:ind w:left="720" w:hanging="720"/>
        <w:rPr>
          <w:rFonts w:ascii="Verdana" w:hAnsi="Verdana" w:cs="Arial"/>
          <w:color w:val="232120"/>
        </w:rPr>
      </w:pPr>
    </w:p>
    <w:p w14:paraId="3463A254" w14:textId="696AD077" w:rsidR="00F06657" w:rsidRPr="00EF7848" w:rsidRDefault="00D45AD1" w:rsidP="00EC6F70">
      <w:pPr>
        <w:spacing w:line="288" w:lineRule="auto"/>
        <w:ind w:left="720" w:hanging="720"/>
        <w:rPr>
          <w:rFonts w:ascii="Verdana" w:hAnsi="Verdana"/>
          <w:color w:val="000000"/>
          <w:shd w:val="clear" w:color="auto" w:fill="FFFFFF"/>
          <w:lang w:val="en-HK"/>
        </w:rPr>
      </w:pPr>
      <w:r>
        <w:rPr>
          <w:rFonts w:ascii="Verdana" w:hAnsi="Verdana"/>
          <w:color w:val="000000"/>
          <w:shd w:val="clear" w:color="auto" w:fill="FFFFFF"/>
        </w:rPr>
        <w:t>5</w:t>
      </w:r>
      <w:r w:rsidR="009D3CA2" w:rsidRPr="00EF7848">
        <w:rPr>
          <w:rFonts w:ascii="Verdana" w:hAnsi="Verdana"/>
          <w:color w:val="000000"/>
          <w:shd w:val="clear" w:color="auto" w:fill="FFFFFF"/>
        </w:rPr>
        <w:t>.1</w:t>
      </w:r>
      <w:r w:rsidR="009D3CA2" w:rsidRPr="00EF7848">
        <w:rPr>
          <w:rFonts w:ascii="Verdana" w:hAnsi="Verdana"/>
          <w:color w:val="000000"/>
          <w:shd w:val="clear" w:color="auto" w:fill="FFFFFF"/>
        </w:rPr>
        <w:tab/>
      </w:r>
      <w:r w:rsidR="00F06657" w:rsidRPr="00155C9E">
        <w:rPr>
          <w:rFonts w:ascii="Verdana" w:hAnsi="Verdana" w:cs="Arial"/>
          <w:color w:val="232120"/>
        </w:rPr>
        <w:t xml:space="preserve">The consultation document proposes </w:t>
      </w:r>
      <w:r w:rsidR="0025691E" w:rsidRPr="00155C9E">
        <w:rPr>
          <w:rFonts w:ascii="Verdana" w:hAnsi="Verdana" w:cs="Arial"/>
          <w:color w:val="232120"/>
        </w:rPr>
        <w:t xml:space="preserve">that </w:t>
      </w:r>
      <w:r w:rsidR="006635C5" w:rsidRPr="00155C9E">
        <w:rPr>
          <w:rFonts w:ascii="Verdana" w:hAnsi="Verdana" w:cs="Arial"/>
          <w:color w:val="232120"/>
        </w:rPr>
        <w:t>the</w:t>
      </w:r>
      <w:r w:rsidR="0025691E" w:rsidRPr="00155C9E">
        <w:rPr>
          <w:rFonts w:ascii="Verdana" w:hAnsi="Verdana" w:cs="Arial"/>
          <w:color w:val="232120"/>
        </w:rPr>
        <w:t xml:space="preserve"> statutory organisation</w:t>
      </w:r>
      <w:r w:rsidR="00676287" w:rsidRPr="00155C9E">
        <w:rPr>
          <w:rFonts w:ascii="Verdana" w:hAnsi="Verdana" w:cs="Arial"/>
          <w:color w:val="232120"/>
        </w:rPr>
        <w:t>al</w:t>
      </w:r>
      <w:r w:rsidR="0025691E" w:rsidRPr="00155C9E">
        <w:rPr>
          <w:rFonts w:ascii="Verdana" w:hAnsi="Verdana" w:cs="Arial"/>
          <w:color w:val="232120"/>
        </w:rPr>
        <w:t xml:space="preserve"> </w:t>
      </w:r>
      <w:r w:rsidR="00266CA0" w:rsidRPr="00155C9E">
        <w:rPr>
          <w:rFonts w:ascii="Verdana" w:hAnsi="Verdana" w:cs="Arial"/>
          <w:color w:val="232120"/>
        </w:rPr>
        <w:t>Dut</w:t>
      </w:r>
      <w:r w:rsidR="003670A6" w:rsidRPr="00155C9E">
        <w:rPr>
          <w:rFonts w:ascii="Verdana" w:hAnsi="Verdana" w:cs="Arial"/>
          <w:color w:val="232120"/>
        </w:rPr>
        <w:t>y</w:t>
      </w:r>
      <w:r w:rsidR="00266CA0" w:rsidRPr="00155C9E">
        <w:rPr>
          <w:rFonts w:ascii="Verdana" w:hAnsi="Verdana" w:cs="Arial"/>
          <w:color w:val="232120"/>
        </w:rPr>
        <w:t xml:space="preserve"> </w:t>
      </w:r>
      <w:r w:rsidR="0025691E" w:rsidRPr="00155C9E">
        <w:rPr>
          <w:rFonts w:ascii="Verdana" w:hAnsi="Verdana" w:cs="Arial"/>
          <w:color w:val="232120"/>
        </w:rPr>
        <w:t xml:space="preserve">of Candour entail </w:t>
      </w:r>
      <w:r w:rsidR="00F06657" w:rsidRPr="00155C9E">
        <w:rPr>
          <w:rFonts w:ascii="Verdana" w:hAnsi="Verdana" w:cs="Arial"/>
          <w:color w:val="232120"/>
        </w:rPr>
        <w:t xml:space="preserve">routine requirements </w:t>
      </w:r>
      <w:r w:rsidR="00155598" w:rsidRPr="00155C9E">
        <w:rPr>
          <w:rFonts w:ascii="Verdana" w:hAnsi="Verdana" w:cs="Arial"/>
          <w:color w:val="232120"/>
        </w:rPr>
        <w:t>wh</w:t>
      </w:r>
      <w:r w:rsidR="0025691E" w:rsidRPr="00155C9E">
        <w:rPr>
          <w:rFonts w:ascii="Verdana" w:hAnsi="Verdana" w:cs="Arial"/>
          <w:color w:val="232120"/>
        </w:rPr>
        <w:t xml:space="preserve">ere staff will be required and supported </w:t>
      </w:r>
      <w:r w:rsidR="00F06657" w:rsidRPr="00155C9E">
        <w:rPr>
          <w:rFonts w:ascii="Verdana" w:hAnsi="Verdana" w:cs="Arial"/>
          <w:color w:val="232120"/>
        </w:rPr>
        <w:t>to give full and honest answers to any question reasonably asked by a patient about their treatment.</w:t>
      </w:r>
      <w:r w:rsidR="00DD6306" w:rsidRPr="00155C9E">
        <w:rPr>
          <w:rFonts w:ascii="Verdana" w:hAnsi="Verdana" w:cs="Arial"/>
          <w:color w:val="232120"/>
        </w:rPr>
        <w:t xml:space="preserve"> </w:t>
      </w:r>
      <w:r w:rsidR="003670A6" w:rsidRPr="00155C9E">
        <w:rPr>
          <w:rFonts w:ascii="Verdana" w:hAnsi="Verdana" w:cs="Arial"/>
          <w:color w:val="232120"/>
        </w:rPr>
        <w:t xml:space="preserve">Under a statutory individual Duty of Candour, </w:t>
      </w:r>
      <w:r w:rsidR="00DD6306" w:rsidRPr="00155C9E">
        <w:rPr>
          <w:rFonts w:ascii="Verdana" w:hAnsi="Verdana" w:cs="Arial"/>
          <w:color w:val="232120"/>
        </w:rPr>
        <w:t>staff will be expected to be open in all circumstances, from routine interaction with patients on a day-to-day basis, to openness to</w:t>
      </w:r>
      <w:r w:rsidR="00DD6306" w:rsidRPr="00DD6306">
        <w:rPr>
          <w:rFonts w:ascii="Verdana" w:hAnsi="Verdana"/>
          <w:color w:val="000000"/>
          <w:shd w:val="clear" w:color="auto" w:fill="FFFFFF"/>
        </w:rPr>
        <w:t xml:space="preserve"> improve performance, as well as </w:t>
      </w:r>
      <w:r w:rsidR="00DE2372">
        <w:rPr>
          <w:rFonts w:ascii="Verdana" w:hAnsi="Verdana"/>
          <w:color w:val="000000"/>
          <w:shd w:val="clear" w:color="auto" w:fill="FFFFFF"/>
        </w:rPr>
        <w:t xml:space="preserve">evincing </w:t>
      </w:r>
      <w:r w:rsidR="00DD6306" w:rsidRPr="00DD6306">
        <w:rPr>
          <w:rFonts w:ascii="Verdana" w:hAnsi="Verdana"/>
          <w:color w:val="000000"/>
          <w:shd w:val="clear" w:color="auto" w:fill="FFFFFF"/>
        </w:rPr>
        <w:t>candour when things have gone wrong</w:t>
      </w:r>
      <w:r w:rsidR="00E33455">
        <w:rPr>
          <w:rStyle w:val="FootnoteReference"/>
          <w:rFonts w:ascii="Verdana" w:hAnsi="Verdana"/>
          <w:color w:val="000000"/>
          <w:shd w:val="clear" w:color="auto" w:fill="FFFFFF"/>
        </w:rPr>
        <w:footnoteReference w:id="19"/>
      </w:r>
      <w:r w:rsidR="00DD6306" w:rsidRPr="00DD6306">
        <w:rPr>
          <w:rFonts w:ascii="Verdana" w:hAnsi="Verdana"/>
          <w:color w:val="000000"/>
          <w:shd w:val="clear" w:color="auto" w:fill="FFFFFF"/>
        </w:rPr>
        <w:t>.</w:t>
      </w:r>
    </w:p>
    <w:p w14:paraId="6D573F56" w14:textId="77777777" w:rsidR="00F06657" w:rsidRPr="00EF7848" w:rsidRDefault="00F06657" w:rsidP="00EC6F70">
      <w:pPr>
        <w:spacing w:line="288" w:lineRule="auto"/>
        <w:ind w:left="720" w:hanging="720"/>
        <w:rPr>
          <w:rFonts w:ascii="Verdana" w:hAnsi="Verdana"/>
          <w:color w:val="000000"/>
          <w:shd w:val="clear" w:color="auto" w:fill="FFFFFF"/>
          <w:lang w:val="en-HK"/>
        </w:rPr>
      </w:pPr>
    </w:p>
    <w:p w14:paraId="4725C9BE" w14:textId="08A1C0EE" w:rsidR="009F59DC" w:rsidRPr="00BE52F2" w:rsidRDefault="00D45AD1" w:rsidP="00EC6F70">
      <w:pPr>
        <w:spacing w:line="288" w:lineRule="auto"/>
        <w:ind w:left="720" w:hanging="720"/>
        <w:rPr>
          <w:rFonts w:ascii="Verdana" w:hAnsi="Verdana"/>
          <w:lang w:val="en-HK" w:eastAsia="zh-TW"/>
        </w:rPr>
      </w:pPr>
      <w:r>
        <w:rPr>
          <w:rFonts w:ascii="Verdana" w:hAnsi="Verdana"/>
          <w:color w:val="000000"/>
          <w:shd w:val="clear" w:color="auto" w:fill="FFFFFF"/>
        </w:rPr>
        <w:t>5</w:t>
      </w:r>
      <w:r w:rsidR="00F06657" w:rsidRPr="00EF7848">
        <w:rPr>
          <w:rFonts w:ascii="Verdana" w:hAnsi="Verdana"/>
          <w:color w:val="000000"/>
          <w:shd w:val="clear" w:color="auto" w:fill="FFFFFF"/>
        </w:rPr>
        <w:t>.</w:t>
      </w:r>
      <w:r w:rsidR="00104EC7">
        <w:rPr>
          <w:rFonts w:ascii="Verdana" w:hAnsi="Verdana"/>
          <w:color w:val="000000"/>
          <w:shd w:val="clear" w:color="auto" w:fill="FFFFFF"/>
        </w:rPr>
        <w:t>2</w:t>
      </w:r>
      <w:r w:rsidR="00F06657" w:rsidRPr="00BE52F2">
        <w:rPr>
          <w:rFonts w:ascii="Verdana" w:hAnsi="Verdana"/>
          <w:color w:val="000000"/>
          <w:shd w:val="clear" w:color="auto" w:fill="FFFFFF"/>
        </w:rPr>
        <w:tab/>
      </w:r>
      <w:r w:rsidR="009F59DC" w:rsidRPr="00BE52F2">
        <w:rPr>
          <w:rFonts w:ascii="Verdana" w:hAnsi="Verdana" w:cs="Arial"/>
          <w:color w:val="232120"/>
        </w:rPr>
        <w:t xml:space="preserve">Article 21 of the </w:t>
      </w:r>
      <w:r w:rsidR="009D3CA2" w:rsidRPr="00BE52F2">
        <w:rPr>
          <w:rFonts w:ascii="Verdana" w:hAnsi="Verdana" w:cs="Arial"/>
          <w:color w:val="232120"/>
        </w:rPr>
        <w:t xml:space="preserve">UN International </w:t>
      </w:r>
      <w:r w:rsidR="009F59DC" w:rsidRPr="00BE52F2">
        <w:rPr>
          <w:rFonts w:ascii="Verdana" w:hAnsi="Verdana" w:cs="Arial"/>
          <w:color w:val="232120"/>
        </w:rPr>
        <w:t>C</w:t>
      </w:r>
      <w:r w:rsidR="009D3CA2" w:rsidRPr="00BE52F2">
        <w:rPr>
          <w:rFonts w:ascii="Verdana" w:hAnsi="Verdana" w:cs="Arial"/>
          <w:color w:val="232120"/>
        </w:rPr>
        <w:t xml:space="preserve">ovenant on </w:t>
      </w:r>
      <w:r w:rsidR="009F59DC" w:rsidRPr="00BE52F2">
        <w:rPr>
          <w:rFonts w:ascii="Verdana" w:hAnsi="Verdana" w:cs="Arial"/>
          <w:color w:val="232120"/>
        </w:rPr>
        <w:t>C</w:t>
      </w:r>
      <w:r w:rsidR="009D3CA2" w:rsidRPr="00BE52F2">
        <w:rPr>
          <w:rFonts w:ascii="Verdana" w:hAnsi="Verdana" w:cs="Arial"/>
          <w:color w:val="232120"/>
        </w:rPr>
        <w:t xml:space="preserve">ivil and </w:t>
      </w:r>
      <w:r w:rsidR="009F59DC" w:rsidRPr="00BE52F2">
        <w:rPr>
          <w:rFonts w:ascii="Verdana" w:hAnsi="Verdana" w:cs="Arial"/>
          <w:color w:val="232120"/>
        </w:rPr>
        <w:t>P</w:t>
      </w:r>
      <w:r w:rsidR="009D3CA2" w:rsidRPr="00BE52F2">
        <w:rPr>
          <w:rFonts w:ascii="Verdana" w:hAnsi="Verdana" w:cs="Arial"/>
          <w:color w:val="232120"/>
        </w:rPr>
        <w:t xml:space="preserve">olitical </w:t>
      </w:r>
      <w:r w:rsidR="009F59DC" w:rsidRPr="00BE52F2">
        <w:rPr>
          <w:rFonts w:ascii="Verdana" w:hAnsi="Verdana" w:cs="Arial"/>
          <w:color w:val="232120"/>
        </w:rPr>
        <w:t>R</w:t>
      </w:r>
      <w:r w:rsidR="009D3CA2" w:rsidRPr="00BE52F2">
        <w:rPr>
          <w:rFonts w:ascii="Verdana" w:hAnsi="Verdana" w:cs="Arial"/>
          <w:color w:val="232120"/>
        </w:rPr>
        <w:t>ights</w:t>
      </w:r>
      <w:r w:rsidR="009F59DC" w:rsidRPr="00BE52F2">
        <w:rPr>
          <w:rFonts w:ascii="Verdana" w:hAnsi="Verdana" w:cs="Arial"/>
          <w:color w:val="232120"/>
        </w:rPr>
        <w:t xml:space="preserve"> </w:t>
      </w:r>
      <w:r w:rsidR="00F06657" w:rsidRPr="00BE52F2">
        <w:rPr>
          <w:rFonts w:ascii="Verdana" w:hAnsi="Verdana" w:cs="Arial"/>
          <w:color w:val="232120"/>
        </w:rPr>
        <w:t xml:space="preserve">(UN ICCPR) </w:t>
      </w:r>
      <w:r w:rsidR="009F59DC" w:rsidRPr="00BE52F2">
        <w:rPr>
          <w:rFonts w:ascii="Verdana" w:hAnsi="Verdana" w:cs="Arial"/>
          <w:color w:val="232120"/>
        </w:rPr>
        <w:t>recogni</w:t>
      </w:r>
      <w:r w:rsidR="009D3CA2" w:rsidRPr="00BE52F2">
        <w:rPr>
          <w:rFonts w:ascii="Verdana" w:hAnsi="Verdana" w:cs="Arial"/>
          <w:color w:val="232120"/>
        </w:rPr>
        <w:t>s</w:t>
      </w:r>
      <w:r w:rsidR="009F59DC" w:rsidRPr="00BE52F2">
        <w:rPr>
          <w:rFonts w:ascii="Verdana" w:hAnsi="Verdana" w:cs="Arial"/>
          <w:color w:val="232120"/>
        </w:rPr>
        <w:t>es that everyone has the right to “seek, receive and impart information of all kinds.</w:t>
      </w:r>
      <w:r w:rsidR="00F06657" w:rsidRPr="00BE52F2">
        <w:rPr>
          <w:rFonts w:ascii="Verdana" w:hAnsi="Verdana" w:cs="Arial"/>
          <w:color w:val="232120"/>
        </w:rPr>
        <w:t>”</w:t>
      </w:r>
      <w:r w:rsidR="006D1100" w:rsidRPr="00BE52F2">
        <w:rPr>
          <w:rFonts w:ascii="Verdana" w:hAnsi="Verdana" w:cs="Arial"/>
          <w:color w:val="232120"/>
        </w:rPr>
        <w:t xml:space="preserve"> </w:t>
      </w:r>
      <w:r w:rsidR="00691825" w:rsidRPr="00BE52F2">
        <w:rPr>
          <w:rFonts w:ascii="Verdana" w:hAnsi="Verdana" w:cs="Arial"/>
          <w:color w:val="232120"/>
        </w:rPr>
        <w:t xml:space="preserve">The UN Committee on Economic, Social and Cultural Rights has recognised that access to accurate information is essential to </w:t>
      </w:r>
      <w:r w:rsidR="00BE0698" w:rsidRPr="00BE52F2">
        <w:rPr>
          <w:rFonts w:ascii="Verdana" w:hAnsi="Verdana" w:cs="Arial"/>
          <w:color w:val="232120"/>
        </w:rPr>
        <w:t xml:space="preserve">realising </w:t>
      </w:r>
      <w:r w:rsidR="00691825" w:rsidRPr="00BE52F2">
        <w:rPr>
          <w:rFonts w:ascii="Verdana" w:hAnsi="Verdana" w:cs="Arial"/>
          <w:color w:val="232120"/>
        </w:rPr>
        <w:t>the right to the highest attainable standard of health</w:t>
      </w:r>
      <w:r w:rsidR="00BE0698" w:rsidRPr="00BE52F2">
        <w:rPr>
          <w:rFonts w:ascii="Verdana" w:hAnsi="Verdana" w:cs="Arial"/>
          <w:color w:val="232120"/>
        </w:rPr>
        <w:t>. According to the Committee, accessibility of healthcare, entails</w:t>
      </w:r>
      <w:r w:rsidR="006D1100" w:rsidRPr="00BE52F2">
        <w:rPr>
          <w:rFonts w:ascii="Verdana" w:hAnsi="Verdana" w:cs="Arial"/>
          <w:color w:val="232120"/>
        </w:rPr>
        <w:t xml:space="preserve"> “the right to seek, receive and impart information and ideas concerning health issues”.</w:t>
      </w:r>
      <w:r w:rsidR="003D34AE">
        <w:rPr>
          <w:rStyle w:val="FootnoteReference"/>
          <w:rFonts w:ascii="Verdana" w:hAnsi="Verdana" w:cs="Arial"/>
          <w:color w:val="232120"/>
        </w:rPr>
        <w:footnoteReference w:id="20"/>
      </w:r>
      <w:r w:rsidR="006D1100" w:rsidRPr="00BE52F2">
        <w:rPr>
          <w:rStyle w:val="apple-converted-space"/>
          <w:rFonts w:ascii="Verdana" w:hAnsi="Verdana"/>
          <w:color w:val="000000"/>
          <w:shd w:val="clear" w:color="auto" w:fill="FFFFFF"/>
        </w:rPr>
        <w:t xml:space="preserve"> </w:t>
      </w:r>
    </w:p>
    <w:p w14:paraId="0FB94F79" w14:textId="77777777" w:rsidR="009F59DC" w:rsidRDefault="009F59DC" w:rsidP="00EC6F70">
      <w:pPr>
        <w:pStyle w:val="BasicParagraph"/>
        <w:suppressAutoHyphens/>
        <w:rPr>
          <w:rFonts w:ascii="Verdana" w:hAnsi="Verdana" w:cs="Arial"/>
          <w:color w:val="232120"/>
        </w:rPr>
      </w:pPr>
    </w:p>
    <w:p w14:paraId="532A9971" w14:textId="4C9D0C42" w:rsidR="00290A48" w:rsidRPr="00290A48" w:rsidRDefault="00D45AD1" w:rsidP="00EC6F70">
      <w:pPr>
        <w:pStyle w:val="BasicParagraph"/>
        <w:suppressAutoHyphens/>
        <w:ind w:left="720" w:hanging="720"/>
        <w:rPr>
          <w:rFonts w:ascii="Verdana" w:hAnsi="Verdana" w:cs="Arial"/>
          <w:color w:val="232120"/>
          <w:lang w:val="en-HK"/>
        </w:rPr>
      </w:pPr>
      <w:r>
        <w:rPr>
          <w:rFonts w:ascii="Verdana" w:hAnsi="Verdana" w:cs="Arial"/>
          <w:color w:val="232120"/>
        </w:rPr>
        <w:t>5</w:t>
      </w:r>
      <w:r w:rsidR="00290A48">
        <w:rPr>
          <w:rFonts w:ascii="Verdana" w:hAnsi="Verdana" w:cs="Arial"/>
          <w:color w:val="232120"/>
        </w:rPr>
        <w:t>.</w:t>
      </w:r>
      <w:r w:rsidR="00104EC7">
        <w:rPr>
          <w:rFonts w:ascii="Verdana" w:hAnsi="Verdana" w:cs="Arial"/>
          <w:color w:val="232120"/>
        </w:rPr>
        <w:t>3</w:t>
      </w:r>
      <w:r w:rsidR="002D03B5">
        <w:rPr>
          <w:rFonts w:ascii="Verdana" w:hAnsi="Verdana" w:cs="Arial"/>
          <w:color w:val="232120"/>
        </w:rPr>
        <w:tab/>
      </w:r>
      <w:r w:rsidR="00290A48">
        <w:rPr>
          <w:rFonts w:ascii="Verdana" w:hAnsi="Verdana" w:cs="Arial"/>
          <w:color w:val="232120"/>
        </w:rPr>
        <w:t xml:space="preserve">Article 8 ECHR </w:t>
      </w:r>
      <w:r w:rsidR="00290A48" w:rsidRPr="00290A48">
        <w:rPr>
          <w:rFonts w:ascii="Verdana" w:hAnsi="Verdana" w:cs="Arial"/>
          <w:color w:val="232120"/>
        </w:rPr>
        <w:t xml:space="preserve">encompasses the right to respect for private and family life, </w:t>
      </w:r>
      <w:proofErr w:type="gramStart"/>
      <w:r w:rsidR="00290A48" w:rsidRPr="00290A48">
        <w:rPr>
          <w:rFonts w:ascii="Verdana" w:hAnsi="Verdana" w:cs="Arial"/>
          <w:color w:val="232120"/>
        </w:rPr>
        <w:t>home</w:t>
      </w:r>
      <w:proofErr w:type="gramEnd"/>
      <w:r w:rsidR="00290A48" w:rsidRPr="00290A48">
        <w:rPr>
          <w:rFonts w:ascii="Verdana" w:hAnsi="Verdana" w:cs="Arial"/>
          <w:color w:val="232120"/>
        </w:rPr>
        <w:t xml:space="preserve"> and correspondence.</w:t>
      </w:r>
      <w:r w:rsidR="00290A48">
        <w:rPr>
          <w:rFonts w:ascii="Verdana" w:hAnsi="Verdana" w:cs="Arial"/>
          <w:color w:val="232120"/>
        </w:rPr>
        <w:t xml:space="preserve"> A</w:t>
      </w:r>
      <w:r w:rsidR="00290A48" w:rsidRPr="00290A48">
        <w:rPr>
          <w:rFonts w:ascii="Verdana" w:hAnsi="Verdana" w:cs="Arial"/>
          <w:color w:val="232120"/>
        </w:rPr>
        <w:t>lthough the object of Article 8</w:t>
      </w:r>
      <w:r w:rsidR="00290A48">
        <w:rPr>
          <w:rFonts w:ascii="Verdana" w:hAnsi="Verdana" w:cs="Arial"/>
          <w:color w:val="232120"/>
        </w:rPr>
        <w:t xml:space="preserve"> </w:t>
      </w:r>
      <w:r w:rsidR="00290A48" w:rsidRPr="00290A48">
        <w:rPr>
          <w:rFonts w:ascii="Verdana" w:hAnsi="Verdana" w:cs="Arial"/>
          <w:color w:val="232120"/>
        </w:rPr>
        <w:t xml:space="preserve">is essentially that of protecting </w:t>
      </w:r>
      <w:r w:rsidR="00290A48">
        <w:rPr>
          <w:rFonts w:ascii="Verdana" w:hAnsi="Verdana" w:cs="Arial"/>
          <w:color w:val="232120"/>
        </w:rPr>
        <w:t xml:space="preserve">an </w:t>
      </w:r>
      <w:r w:rsidR="00290A48" w:rsidRPr="00290A48">
        <w:rPr>
          <w:rFonts w:ascii="Verdana" w:hAnsi="Verdana" w:cs="Arial"/>
          <w:color w:val="232120"/>
        </w:rPr>
        <w:t xml:space="preserve">individual </w:t>
      </w:r>
      <w:r w:rsidR="00290A48">
        <w:rPr>
          <w:rFonts w:ascii="Verdana" w:hAnsi="Verdana" w:cs="Arial"/>
          <w:color w:val="232120"/>
        </w:rPr>
        <w:t>from</w:t>
      </w:r>
      <w:r w:rsidR="00290A48" w:rsidRPr="00290A48">
        <w:rPr>
          <w:rFonts w:ascii="Verdana" w:hAnsi="Verdana" w:cs="Arial"/>
          <w:color w:val="232120"/>
        </w:rPr>
        <w:t xml:space="preserve"> arbitrary interference by public authorities, it does not merely compel the State to abstain from such interference: in addition to this primarily negative undertaking, there may be positive obligations inherent in an effective respect for private life</w:t>
      </w:r>
      <w:r w:rsidR="00290A48">
        <w:rPr>
          <w:rFonts w:ascii="Verdana" w:hAnsi="Verdana" w:cs="Arial"/>
          <w:color w:val="232120"/>
        </w:rPr>
        <w:t>.</w:t>
      </w:r>
      <w:r w:rsidR="00290A48">
        <w:rPr>
          <w:rStyle w:val="FootnoteReference"/>
          <w:rFonts w:ascii="Verdana" w:hAnsi="Verdana" w:cs="Arial"/>
          <w:color w:val="232120"/>
        </w:rPr>
        <w:footnoteReference w:id="21"/>
      </w:r>
      <w:r w:rsidR="00290A48" w:rsidRPr="00290A48">
        <w:rPr>
          <w:rFonts w:ascii="Verdana" w:hAnsi="Verdana" w:cs="Arial"/>
          <w:color w:val="232120"/>
        </w:rPr>
        <w:t xml:space="preserve"> </w:t>
      </w:r>
      <w:r w:rsidR="00BE52F2" w:rsidRPr="00BE52F2">
        <w:rPr>
          <w:rFonts w:ascii="Verdana" w:hAnsi="Verdana" w:cs="Arial"/>
          <w:color w:val="232120"/>
        </w:rPr>
        <w:t>The right to effective access to information concerning health and reproductive rights falls within the scope of private and family life within the meaning of Article 8</w:t>
      </w:r>
      <w:r w:rsidR="00BE52F2">
        <w:rPr>
          <w:rFonts w:ascii="Verdana" w:hAnsi="Verdana" w:cs="Arial"/>
          <w:color w:val="232120"/>
        </w:rPr>
        <w:t>.</w:t>
      </w:r>
      <w:r w:rsidR="00BE52F2">
        <w:rPr>
          <w:rStyle w:val="FootnoteReference"/>
          <w:rFonts w:ascii="Verdana" w:hAnsi="Verdana" w:cs="Arial"/>
          <w:color w:val="232120"/>
        </w:rPr>
        <w:footnoteReference w:id="22"/>
      </w:r>
      <w:r w:rsidR="00BE52F2" w:rsidRPr="00BE52F2">
        <w:rPr>
          <w:rFonts w:ascii="Verdana" w:hAnsi="Verdana" w:cs="Arial"/>
          <w:color w:val="232120"/>
        </w:rPr>
        <w:t xml:space="preserve"> There may be positive obligations inherent in effective respect for private or family life which require the State to provide essential information about risks to one’s health in a timely manner</w:t>
      </w:r>
      <w:r w:rsidR="00EA4C21">
        <w:rPr>
          <w:rFonts w:ascii="Verdana" w:hAnsi="Verdana" w:cs="Arial"/>
          <w:color w:val="232120"/>
        </w:rPr>
        <w:t>.</w:t>
      </w:r>
      <w:r w:rsidR="00EA4C21">
        <w:rPr>
          <w:rStyle w:val="FootnoteReference"/>
          <w:rFonts w:ascii="Verdana" w:hAnsi="Verdana" w:cs="Arial"/>
          <w:color w:val="232120"/>
        </w:rPr>
        <w:footnoteReference w:id="23"/>
      </w:r>
      <w:r w:rsidR="00BE52F2" w:rsidRPr="00BE52F2">
        <w:rPr>
          <w:rFonts w:ascii="Verdana" w:hAnsi="Verdana" w:cs="Arial"/>
          <w:color w:val="232120"/>
        </w:rPr>
        <w:t xml:space="preserve"> </w:t>
      </w:r>
    </w:p>
    <w:p w14:paraId="244D5EA4" w14:textId="77777777" w:rsidR="00290A48" w:rsidRDefault="00290A48" w:rsidP="00EC6F70">
      <w:pPr>
        <w:pStyle w:val="BasicParagraph"/>
        <w:suppressAutoHyphens/>
        <w:ind w:left="720" w:hanging="720"/>
        <w:rPr>
          <w:rFonts w:ascii="Verdana" w:hAnsi="Verdana" w:cs="Arial"/>
          <w:color w:val="232120"/>
        </w:rPr>
      </w:pPr>
    </w:p>
    <w:p w14:paraId="47348435" w14:textId="0A577B15" w:rsidR="00A94053" w:rsidRPr="00290A48" w:rsidRDefault="00D45AD1" w:rsidP="00EC6F70">
      <w:pPr>
        <w:pStyle w:val="BasicParagraph"/>
        <w:suppressAutoHyphens/>
        <w:ind w:left="720" w:hanging="720"/>
        <w:rPr>
          <w:rFonts w:ascii="Verdana" w:hAnsi="Verdana" w:cs="Arial"/>
          <w:color w:val="232120"/>
        </w:rPr>
      </w:pPr>
      <w:r>
        <w:rPr>
          <w:rFonts w:ascii="Verdana" w:hAnsi="Verdana" w:cs="Arial"/>
          <w:color w:val="232120"/>
        </w:rPr>
        <w:lastRenderedPageBreak/>
        <w:t>5</w:t>
      </w:r>
      <w:r w:rsidR="00290A48">
        <w:rPr>
          <w:rFonts w:ascii="Verdana" w:hAnsi="Verdana" w:cs="Arial"/>
          <w:color w:val="232120"/>
        </w:rPr>
        <w:t>.</w:t>
      </w:r>
      <w:r w:rsidR="00104EC7">
        <w:rPr>
          <w:rFonts w:ascii="Verdana" w:hAnsi="Verdana" w:cs="Arial"/>
          <w:color w:val="232120"/>
        </w:rPr>
        <w:t>4</w:t>
      </w:r>
      <w:r w:rsidR="00290A48">
        <w:rPr>
          <w:rFonts w:ascii="Verdana" w:hAnsi="Verdana" w:cs="Arial"/>
          <w:color w:val="232120"/>
        </w:rPr>
        <w:tab/>
      </w:r>
      <w:r w:rsidR="00A94053">
        <w:rPr>
          <w:rFonts w:ascii="Verdana" w:hAnsi="Verdana" w:cs="Arial"/>
          <w:color w:val="232120"/>
        </w:rPr>
        <w:t xml:space="preserve">The ECtHR has </w:t>
      </w:r>
      <w:r w:rsidR="00290A48" w:rsidRPr="00290A48">
        <w:rPr>
          <w:rFonts w:ascii="Verdana" w:hAnsi="Verdana" w:cs="Arial"/>
          <w:color w:val="232120"/>
        </w:rPr>
        <w:t>underlined the importance of giving access to information regarding risks to health</w:t>
      </w:r>
      <w:r w:rsidR="00290A48">
        <w:rPr>
          <w:rFonts w:ascii="Verdana" w:hAnsi="Verdana" w:cs="Arial"/>
          <w:color w:val="232120"/>
        </w:rPr>
        <w:t xml:space="preserve">: </w:t>
      </w:r>
      <w:r w:rsidR="00A94053">
        <w:rPr>
          <w:rFonts w:ascii="Verdana" w:hAnsi="Verdana" w:cs="Arial"/>
          <w:color w:val="232120"/>
        </w:rPr>
        <w:t>“</w:t>
      </w:r>
      <w:r w:rsidR="00A94053" w:rsidRPr="00A94053">
        <w:rPr>
          <w:rFonts w:ascii="Verdana" w:hAnsi="Verdana" w:cs="Arial"/>
          <w:color w:val="232120"/>
        </w:rPr>
        <w:t>it is well established that the High Contracting Parties also have a positive obligation under Article 8 of the Convention to have in place regulations ensuring that medical practitioners consider the foreseeable consequences of planned medical procedures on their patients’ physical integrity and inform patients of these beforehand in such a way that they are able to give informed consent</w:t>
      </w:r>
      <w:r w:rsidR="00A94053">
        <w:rPr>
          <w:rFonts w:ascii="Verdana" w:hAnsi="Verdana" w:cs="Arial"/>
          <w:color w:val="232120"/>
        </w:rPr>
        <w:t xml:space="preserve">.” </w:t>
      </w:r>
      <w:r w:rsidR="00290A48">
        <w:rPr>
          <w:rFonts w:ascii="Verdana" w:hAnsi="Verdana" w:cs="Arial"/>
          <w:color w:val="232120"/>
        </w:rPr>
        <w:t>I</w:t>
      </w:r>
      <w:r w:rsidR="00290A48" w:rsidRPr="00290A48">
        <w:rPr>
          <w:rFonts w:ascii="Verdana" w:hAnsi="Verdana" w:cs="Arial"/>
          <w:color w:val="232120"/>
        </w:rPr>
        <w:t>f a foreseeable risk materialises without the patient having been duly informed in advance, the State may be found in breach of Article 8</w:t>
      </w:r>
      <w:r w:rsidR="00290A48">
        <w:rPr>
          <w:rFonts w:ascii="Verdana" w:hAnsi="Verdana" w:cs="Arial"/>
          <w:color w:val="232120"/>
        </w:rPr>
        <w:t>.</w:t>
      </w:r>
      <w:r w:rsidR="00290A48">
        <w:rPr>
          <w:rStyle w:val="FootnoteReference"/>
          <w:rFonts w:ascii="Verdana" w:hAnsi="Verdana" w:cs="Arial"/>
          <w:color w:val="232120"/>
        </w:rPr>
        <w:footnoteReference w:id="24"/>
      </w:r>
      <w:r w:rsidR="00290A48" w:rsidRPr="00290A48">
        <w:rPr>
          <w:rFonts w:ascii="Verdana" w:hAnsi="Verdana" w:cs="Arial"/>
          <w:color w:val="232120"/>
        </w:rPr>
        <w:t xml:space="preserve"> </w:t>
      </w:r>
    </w:p>
    <w:p w14:paraId="44C0BBCC" w14:textId="77777777" w:rsidR="00BB1B41" w:rsidRPr="00A94053" w:rsidRDefault="00BB1B41" w:rsidP="00EC6F70">
      <w:pPr>
        <w:pStyle w:val="BasicParagraph"/>
        <w:suppressAutoHyphens/>
        <w:ind w:left="720" w:hanging="720"/>
        <w:rPr>
          <w:rFonts w:ascii="Verdana" w:hAnsi="Verdana" w:cs="Arial"/>
          <w:color w:val="232120"/>
          <w:lang w:val="en-HK"/>
        </w:rPr>
      </w:pPr>
    </w:p>
    <w:p w14:paraId="30F15315" w14:textId="2B8B9CD4" w:rsidR="00A94053" w:rsidRDefault="00D45AD1" w:rsidP="00EC6F70">
      <w:pPr>
        <w:pStyle w:val="BasicParagraph"/>
        <w:suppressAutoHyphens/>
        <w:ind w:left="720" w:hanging="720"/>
        <w:rPr>
          <w:rFonts w:ascii="Verdana" w:hAnsi="Verdana" w:cs="Arial"/>
          <w:color w:val="232120"/>
        </w:rPr>
      </w:pPr>
      <w:r>
        <w:rPr>
          <w:rFonts w:ascii="Verdana" w:hAnsi="Verdana" w:cs="Arial"/>
          <w:color w:val="232120"/>
          <w:lang w:val="en-HK"/>
        </w:rPr>
        <w:t>5</w:t>
      </w:r>
      <w:r w:rsidR="00A56645">
        <w:rPr>
          <w:rFonts w:ascii="Verdana" w:hAnsi="Verdana" w:cs="Arial"/>
          <w:color w:val="232120"/>
          <w:lang w:val="en-HK"/>
        </w:rPr>
        <w:t>.</w:t>
      </w:r>
      <w:r w:rsidR="00104EC7">
        <w:rPr>
          <w:rFonts w:ascii="Verdana" w:hAnsi="Verdana" w:cs="Arial"/>
          <w:color w:val="232120"/>
          <w:lang w:val="en-HK"/>
        </w:rPr>
        <w:t>5</w:t>
      </w:r>
      <w:r w:rsidR="00A56645">
        <w:rPr>
          <w:rFonts w:ascii="Verdana" w:hAnsi="Verdana" w:cs="Arial"/>
          <w:color w:val="232120"/>
          <w:lang w:val="en-HK"/>
        </w:rPr>
        <w:tab/>
      </w:r>
      <w:r w:rsidR="00691825">
        <w:rPr>
          <w:rFonts w:ascii="Verdana" w:hAnsi="Verdana" w:cs="Arial"/>
          <w:color w:val="232120"/>
          <w:lang w:val="en-HK"/>
        </w:rPr>
        <w:t xml:space="preserve">Notably, </w:t>
      </w:r>
      <w:r w:rsidR="00E87670">
        <w:rPr>
          <w:rFonts w:ascii="Verdana" w:hAnsi="Verdana" w:cs="Arial"/>
          <w:color w:val="232120"/>
        </w:rPr>
        <w:t>the ECtHR has also recognised th</w:t>
      </w:r>
      <w:r w:rsidR="00B95D2B">
        <w:rPr>
          <w:rFonts w:ascii="Verdana" w:hAnsi="Verdana" w:cs="Arial"/>
          <w:color w:val="232120"/>
        </w:rPr>
        <w:t xml:space="preserve">e need to strike a balance under </w:t>
      </w:r>
      <w:r w:rsidR="00F614BD">
        <w:rPr>
          <w:rFonts w:ascii="Verdana" w:hAnsi="Verdana" w:cs="Arial"/>
          <w:color w:val="232120"/>
        </w:rPr>
        <w:t xml:space="preserve">Article </w:t>
      </w:r>
      <w:r w:rsidR="00E87670">
        <w:rPr>
          <w:rFonts w:ascii="Verdana" w:hAnsi="Verdana" w:cs="Arial"/>
          <w:color w:val="232120"/>
        </w:rPr>
        <w:t xml:space="preserve">8, </w:t>
      </w:r>
      <w:r w:rsidR="00CB16A8">
        <w:rPr>
          <w:rFonts w:ascii="Verdana" w:hAnsi="Verdana" w:cs="Arial"/>
          <w:color w:val="232120"/>
        </w:rPr>
        <w:t xml:space="preserve">stipulating </w:t>
      </w:r>
      <w:r w:rsidR="00E87670">
        <w:rPr>
          <w:rFonts w:ascii="Verdana" w:hAnsi="Verdana" w:cs="Arial"/>
          <w:color w:val="232120"/>
        </w:rPr>
        <w:t>that “i</w:t>
      </w:r>
      <w:r w:rsidR="00E87670" w:rsidRPr="00A94053">
        <w:rPr>
          <w:rFonts w:ascii="Verdana" w:hAnsi="Verdana" w:cs="Arial"/>
          <w:color w:val="232120"/>
        </w:rPr>
        <w:t>t should further be borne in mind that in discharging their positive obligations towards the alleged victims of medical malpractice, the authorities must also have regard to counter-considerations, such as the risk of unjustifiably exposing medical practitioners to liability, which can compromise their professional morale and induce them to practise, often to the detriment of their patients, what has come to be known as “defensive medicine”.</w:t>
      </w:r>
      <w:r w:rsidR="00E87670">
        <w:rPr>
          <w:rFonts w:ascii="Verdana" w:hAnsi="Verdana" w:cs="Arial"/>
          <w:color w:val="232120"/>
        </w:rPr>
        <w:t>”</w:t>
      </w:r>
      <w:r w:rsidR="00746FE5">
        <w:rPr>
          <w:rStyle w:val="FootnoteReference"/>
          <w:rFonts w:ascii="Verdana" w:hAnsi="Verdana" w:cs="Arial"/>
          <w:color w:val="232120"/>
        </w:rPr>
        <w:footnoteReference w:id="25"/>
      </w:r>
    </w:p>
    <w:p w14:paraId="350D1B88" w14:textId="77777777" w:rsidR="00CB16A8" w:rsidRDefault="00CB16A8" w:rsidP="00EC6F70">
      <w:pPr>
        <w:pStyle w:val="BasicParagraph"/>
        <w:suppressAutoHyphens/>
        <w:ind w:left="720" w:hanging="720"/>
        <w:rPr>
          <w:rFonts w:ascii="Verdana" w:hAnsi="Verdana" w:cs="Arial"/>
          <w:color w:val="232120"/>
        </w:rPr>
      </w:pPr>
    </w:p>
    <w:p w14:paraId="52E5EE25" w14:textId="125111B8" w:rsidR="00CB16A8" w:rsidRDefault="00D45AD1" w:rsidP="00EC6F70">
      <w:pPr>
        <w:pStyle w:val="BasicParagraph"/>
        <w:suppressAutoHyphens/>
        <w:ind w:left="720" w:hanging="720"/>
        <w:rPr>
          <w:rFonts w:ascii="Verdana" w:hAnsi="Verdana" w:cs="Arial"/>
          <w:color w:val="232120"/>
        </w:rPr>
      </w:pPr>
      <w:r>
        <w:rPr>
          <w:rFonts w:ascii="Verdana" w:hAnsi="Verdana" w:cs="Arial"/>
          <w:color w:val="232120"/>
        </w:rPr>
        <w:t>5</w:t>
      </w:r>
      <w:r w:rsidR="00CB16A8">
        <w:rPr>
          <w:rFonts w:ascii="Verdana" w:hAnsi="Verdana" w:cs="Arial"/>
          <w:color w:val="232120"/>
        </w:rPr>
        <w:t>.</w:t>
      </w:r>
      <w:r w:rsidR="00104EC7">
        <w:rPr>
          <w:rFonts w:ascii="Verdana" w:hAnsi="Verdana" w:cs="Arial"/>
          <w:color w:val="232120"/>
        </w:rPr>
        <w:t>6</w:t>
      </w:r>
      <w:r w:rsidR="00CB16A8">
        <w:rPr>
          <w:rFonts w:ascii="Verdana" w:hAnsi="Verdana" w:cs="Arial"/>
          <w:color w:val="232120"/>
        </w:rPr>
        <w:tab/>
      </w:r>
      <w:r w:rsidR="00254F41">
        <w:rPr>
          <w:rFonts w:ascii="Verdana" w:hAnsi="Verdana" w:cs="Arial"/>
          <w:color w:val="232120"/>
        </w:rPr>
        <w:t>During</w:t>
      </w:r>
      <w:r w:rsidR="006635C5">
        <w:rPr>
          <w:rFonts w:ascii="Verdana" w:hAnsi="Verdana" w:cs="Arial"/>
          <w:color w:val="232120"/>
        </w:rPr>
        <w:t xml:space="preserve"> </w:t>
      </w:r>
      <w:r w:rsidR="00C83581">
        <w:rPr>
          <w:rFonts w:ascii="Verdana" w:hAnsi="Verdana" w:cs="Arial"/>
          <w:color w:val="232120"/>
        </w:rPr>
        <w:t xml:space="preserve">a </w:t>
      </w:r>
      <w:r w:rsidR="006635C5">
        <w:rPr>
          <w:rFonts w:ascii="Verdana" w:hAnsi="Verdana" w:cs="Arial"/>
          <w:color w:val="232120"/>
        </w:rPr>
        <w:t>course of ongoing treatment, where new information has come to light about potential</w:t>
      </w:r>
      <w:r w:rsidR="0097129D">
        <w:rPr>
          <w:rFonts w:ascii="Verdana" w:hAnsi="Verdana" w:cs="Arial"/>
          <w:color w:val="232120"/>
        </w:rPr>
        <w:t>ly adverse</w:t>
      </w:r>
      <w:r w:rsidR="006635C5">
        <w:rPr>
          <w:rFonts w:ascii="Verdana" w:hAnsi="Verdana" w:cs="Arial"/>
          <w:color w:val="232120"/>
        </w:rPr>
        <w:t xml:space="preserve"> health issues, </w:t>
      </w:r>
      <w:r w:rsidR="00587908">
        <w:rPr>
          <w:rFonts w:ascii="Verdana" w:hAnsi="Verdana" w:cs="Arial"/>
          <w:color w:val="232120"/>
        </w:rPr>
        <w:t xml:space="preserve">healthcare professionals </w:t>
      </w:r>
      <w:r w:rsidR="006635C5">
        <w:rPr>
          <w:rFonts w:ascii="Verdana" w:hAnsi="Verdana" w:cs="Arial"/>
          <w:color w:val="232120"/>
        </w:rPr>
        <w:t xml:space="preserve">should provide this new information to individuals </w:t>
      </w:r>
      <w:r w:rsidR="0097129D">
        <w:rPr>
          <w:rFonts w:ascii="Verdana" w:hAnsi="Verdana" w:cs="Arial"/>
          <w:color w:val="232120"/>
        </w:rPr>
        <w:t xml:space="preserve">to ensure that treatment </w:t>
      </w:r>
      <w:r w:rsidR="00254F41">
        <w:rPr>
          <w:rFonts w:ascii="Verdana" w:hAnsi="Verdana" w:cs="Arial"/>
          <w:color w:val="232120"/>
        </w:rPr>
        <w:t>is consistently being</w:t>
      </w:r>
      <w:r w:rsidR="0097129D">
        <w:rPr>
          <w:rFonts w:ascii="Verdana" w:hAnsi="Verdana" w:cs="Arial"/>
          <w:color w:val="232120"/>
        </w:rPr>
        <w:t xml:space="preserve"> provided with their informed consent. </w:t>
      </w:r>
      <w:r w:rsidR="000E27A5">
        <w:rPr>
          <w:rFonts w:ascii="Verdana" w:hAnsi="Verdana" w:cs="Arial"/>
          <w:color w:val="232120"/>
        </w:rPr>
        <w:t xml:space="preserve">This would be in line with </w:t>
      </w:r>
      <w:r w:rsidR="004A5C04">
        <w:rPr>
          <w:rFonts w:ascii="Verdana" w:hAnsi="Verdana" w:cs="Arial"/>
          <w:color w:val="232120"/>
        </w:rPr>
        <w:t xml:space="preserve">the state’s obligations under Article 8 ECHR and </w:t>
      </w:r>
      <w:r w:rsidR="000E27A5">
        <w:rPr>
          <w:rFonts w:ascii="Verdana" w:hAnsi="Verdana" w:cs="Arial"/>
          <w:color w:val="232120"/>
        </w:rPr>
        <w:t xml:space="preserve">the </w:t>
      </w:r>
      <w:r w:rsidR="00EB25BC">
        <w:rPr>
          <w:rFonts w:ascii="Verdana" w:hAnsi="Verdana" w:cs="Arial"/>
          <w:color w:val="232120"/>
        </w:rPr>
        <w:t xml:space="preserve">proposed </w:t>
      </w:r>
      <w:r w:rsidR="000E27A5">
        <w:rPr>
          <w:rFonts w:ascii="Verdana" w:hAnsi="Verdana" w:cs="Arial"/>
          <w:color w:val="232120"/>
        </w:rPr>
        <w:t xml:space="preserve">routine requirements </w:t>
      </w:r>
      <w:r w:rsidR="00BA64F4">
        <w:rPr>
          <w:rFonts w:ascii="Verdana" w:hAnsi="Verdana" w:cs="Arial"/>
          <w:color w:val="232120"/>
        </w:rPr>
        <w:t>incumbent on organisations and</w:t>
      </w:r>
      <w:r w:rsidR="002419C2">
        <w:rPr>
          <w:rFonts w:ascii="Verdana" w:hAnsi="Verdana" w:cs="Arial"/>
          <w:color w:val="232120"/>
        </w:rPr>
        <w:t xml:space="preserve"> health and social care professionals </w:t>
      </w:r>
      <w:r w:rsidR="000E27A5">
        <w:rPr>
          <w:rFonts w:ascii="Verdana" w:hAnsi="Verdana" w:cs="Arial"/>
          <w:color w:val="232120"/>
        </w:rPr>
        <w:t xml:space="preserve">to provide full and honest answers to patients about their treatment. </w:t>
      </w:r>
    </w:p>
    <w:p w14:paraId="59EDF50E" w14:textId="77777777" w:rsidR="00E87670" w:rsidRDefault="00E87670" w:rsidP="00EC6F70">
      <w:pPr>
        <w:pStyle w:val="BasicParagraph"/>
        <w:suppressAutoHyphens/>
        <w:ind w:left="720" w:hanging="720"/>
        <w:rPr>
          <w:rFonts w:ascii="Verdana" w:hAnsi="Verdana" w:cs="Arial"/>
          <w:color w:val="232120"/>
        </w:rPr>
      </w:pPr>
    </w:p>
    <w:p w14:paraId="18DEFE58" w14:textId="55F891C7" w:rsidR="000E27A5" w:rsidRDefault="00D45AD1" w:rsidP="00EC6F70">
      <w:pPr>
        <w:pStyle w:val="BasicParagraph"/>
        <w:suppressAutoHyphens/>
        <w:ind w:left="720" w:hanging="720"/>
        <w:rPr>
          <w:rFonts w:ascii="Verdana" w:hAnsi="Verdana" w:cs="Arial"/>
          <w:color w:val="232120"/>
        </w:rPr>
      </w:pPr>
      <w:r>
        <w:rPr>
          <w:rFonts w:ascii="Verdana" w:hAnsi="Verdana" w:cs="Arial"/>
          <w:color w:val="232120"/>
        </w:rPr>
        <w:t>5</w:t>
      </w:r>
      <w:r w:rsidR="00E87670">
        <w:rPr>
          <w:rFonts w:ascii="Verdana" w:hAnsi="Verdana" w:cs="Arial"/>
          <w:color w:val="232120"/>
        </w:rPr>
        <w:t>.</w:t>
      </w:r>
      <w:r w:rsidR="00104EC7">
        <w:rPr>
          <w:rFonts w:ascii="Verdana" w:hAnsi="Verdana" w:cs="Arial"/>
          <w:color w:val="232120"/>
        </w:rPr>
        <w:t>7</w:t>
      </w:r>
      <w:r w:rsidR="000E27A5">
        <w:rPr>
          <w:rFonts w:ascii="Verdana" w:hAnsi="Verdana" w:cs="Arial"/>
          <w:color w:val="232120"/>
        </w:rPr>
        <w:tab/>
        <w:t xml:space="preserve">Given the need to strike a balance between the rights of individuals to relevant information </w:t>
      </w:r>
      <w:proofErr w:type="gramStart"/>
      <w:r w:rsidR="000E27A5">
        <w:rPr>
          <w:rFonts w:ascii="Verdana" w:hAnsi="Verdana" w:cs="Arial"/>
          <w:color w:val="232120"/>
        </w:rPr>
        <w:t>in order to</w:t>
      </w:r>
      <w:proofErr w:type="gramEnd"/>
      <w:r w:rsidR="000E27A5">
        <w:rPr>
          <w:rFonts w:ascii="Verdana" w:hAnsi="Verdana" w:cs="Arial"/>
          <w:color w:val="232120"/>
        </w:rPr>
        <w:t xml:space="preserve"> provide their informed consent to medical procedures and treatment, and the avoidance of placing too onerous obligations on medical practitioners, it is important that </w:t>
      </w:r>
      <w:r w:rsidR="00587908">
        <w:rPr>
          <w:rFonts w:ascii="Verdana" w:hAnsi="Verdana" w:cs="Arial"/>
          <w:color w:val="232120"/>
        </w:rPr>
        <w:t xml:space="preserve">health and social care professionals </w:t>
      </w:r>
      <w:r w:rsidR="000E27A5">
        <w:rPr>
          <w:rFonts w:ascii="Verdana" w:hAnsi="Verdana" w:cs="Arial"/>
          <w:color w:val="232120"/>
        </w:rPr>
        <w:t xml:space="preserve">are supplied with detailed guidance on how they can comply with the routine requirements. </w:t>
      </w:r>
    </w:p>
    <w:p w14:paraId="3DD02ACB" w14:textId="77777777" w:rsidR="000E27A5" w:rsidRDefault="000E27A5" w:rsidP="00EC6F70">
      <w:pPr>
        <w:pStyle w:val="BasicParagraph"/>
        <w:suppressAutoHyphens/>
        <w:ind w:left="720" w:hanging="720"/>
        <w:rPr>
          <w:rFonts w:ascii="Verdana" w:hAnsi="Verdana" w:cs="Arial"/>
          <w:color w:val="232120"/>
        </w:rPr>
      </w:pPr>
    </w:p>
    <w:p w14:paraId="760689C1" w14:textId="0A23303E" w:rsidR="000E27A5" w:rsidRDefault="00700AD6" w:rsidP="00EC6F70">
      <w:pPr>
        <w:pStyle w:val="BasicParagraph"/>
        <w:suppressAutoHyphens/>
        <w:ind w:left="720" w:hanging="720"/>
        <w:rPr>
          <w:rFonts w:ascii="Verdana" w:hAnsi="Verdana" w:cs="Arial"/>
          <w:b/>
          <w:bCs/>
          <w:color w:val="232120"/>
        </w:rPr>
      </w:pPr>
      <w:r>
        <w:rPr>
          <w:rFonts w:ascii="Verdana" w:hAnsi="Verdana" w:cs="Arial"/>
          <w:b/>
          <w:bCs/>
          <w:color w:val="232120"/>
        </w:rPr>
        <w:t>5</w:t>
      </w:r>
      <w:r w:rsidR="000E27A5" w:rsidRPr="003D519F">
        <w:rPr>
          <w:rFonts w:ascii="Verdana" w:hAnsi="Verdana" w:cs="Arial"/>
          <w:b/>
          <w:bCs/>
          <w:color w:val="232120"/>
        </w:rPr>
        <w:t>.</w:t>
      </w:r>
      <w:r w:rsidR="00104EC7">
        <w:rPr>
          <w:rFonts w:ascii="Verdana" w:hAnsi="Verdana" w:cs="Arial"/>
          <w:b/>
          <w:bCs/>
          <w:color w:val="232120"/>
        </w:rPr>
        <w:t>8</w:t>
      </w:r>
      <w:r w:rsidR="000E27A5" w:rsidRPr="003D519F">
        <w:rPr>
          <w:rFonts w:ascii="Verdana" w:hAnsi="Verdana" w:cs="Arial"/>
          <w:b/>
          <w:bCs/>
          <w:color w:val="232120"/>
        </w:rPr>
        <w:tab/>
        <w:t xml:space="preserve">The Commission supports the routine requirements of the statutory organisational Duty of Candour, provided that detailed </w:t>
      </w:r>
      <w:r w:rsidR="000E27A5" w:rsidRPr="003D519F">
        <w:rPr>
          <w:rFonts w:ascii="Verdana" w:hAnsi="Verdana" w:cs="Arial"/>
          <w:b/>
          <w:bCs/>
          <w:color w:val="232120"/>
        </w:rPr>
        <w:lastRenderedPageBreak/>
        <w:t>guidance is given to staff outlining how they can comply with these requirements.</w:t>
      </w:r>
    </w:p>
    <w:p w14:paraId="73DFB369" w14:textId="77777777" w:rsidR="002D03B5" w:rsidRPr="00FF52E5" w:rsidRDefault="002D03B5" w:rsidP="00EC6F70">
      <w:pPr>
        <w:pStyle w:val="BasicParagraph"/>
        <w:suppressAutoHyphens/>
        <w:rPr>
          <w:rFonts w:ascii="Verdana" w:hAnsi="Verdana" w:cs="Arial"/>
          <w:color w:val="232120"/>
          <w:lang w:val="en-HK"/>
        </w:rPr>
      </w:pPr>
    </w:p>
    <w:p w14:paraId="67F2BE8D" w14:textId="02FE7618" w:rsidR="002D03B5" w:rsidRPr="00E407A8" w:rsidRDefault="00700AD6" w:rsidP="00EC6F70">
      <w:pPr>
        <w:pStyle w:val="BasicParagraph"/>
        <w:suppressAutoHyphens/>
        <w:rPr>
          <w:rFonts w:ascii="Verdana" w:hAnsi="Verdana" w:cs="Arial"/>
          <w:b/>
          <w:color w:val="77328A"/>
          <w:sz w:val="30"/>
          <w:szCs w:val="30"/>
        </w:rPr>
      </w:pPr>
      <w:r>
        <w:rPr>
          <w:rFonts w:ascii="Verdana" w:hAnsi="Verdana" w:cs="Arial"/>
          <w:b/>
          <w:color w:val="77328A"/>
          <w:sz w:val="30"/>
          <w:szCs w:val="30"/>
        </w:rPr>
        <w:t>6</w:t>
      </w:r>
      <w:r w:rsidR="002D03B5" w:rsidRPr="003B7D0E">
        <w:rPr>
          <w:rFonts w:ascii="Verdana" w:hAnsi="Verdana" w:cs="Arial"/>
          <w:b/>
          <w:color w:val="77328A"/>
          <w:sz w:val="30"/>
          <w:szCs w:val="30"/>
        </w:rPr>
        <w:t>.0</w:t>
      </w:r>
      <w:r w:rsidR="002D03B5" w:rsidRPr="003B7D0E">
        <w:rPr>
          <w:rFonts w:ascii="Verdana" w:hAnsi="Verdana" w:cs="Arial"/>
          <w:b/>
          <w:color w:val="77328A"/>
          <w:sz w:val="30"/>
          <w:szCs w:val="30"/>
        </w:rPr>
        <w:tab/>
      </w:r>
      <w:r w:rsidR="0087049D">
        <w:rPr>
          <w:rFonts w:ascii="Verdana" w:hAnsi="Verdana" w:cs="Arial"/>
          <w:b/>
          <w:color w:val="77328A"/>
          <w:sz w:val="30"/>
          <w:szCs w:val="30"/>
        </w:rPr>
        <w:t>Significant harm threshold</w:t>
      </w:r>
    </w:p>
    <w:p w14:paraId="6685075B" w14:textId="77777777" w:rsidR="002D03B5" w:rsidRDefault="002D03B5" w:rsidP="00EC6F70">
      <w:pPr>
        <w:pStyle w:val="BasicParagraph"/>
        <w:suppressAutoHyphens/>
        <w:ind w:left="720" w:hanging="720"/>
        <w:rPr>
          <w:rFonts w:ascii="Verdana" w:hAnsi="Verdana" w:cs="Arial"/>
          <w:color w:val="232120"/>
        </w:rPr>
      </w:pPr>
    </w:p>
    <w:p w14:paraId="187809A0" w14:textId="39474E81" w:rsidR="002D03B5" w:rsidRPr="000D433D" w:rsidRDefault="007305F9" w:rsidP="00EC6F70">
      <w:pPr>
        <w:pStyle w:val="BasicParagraph"/>
        <w:suppressAutoHyphens/>
        <w:ind w:left="720" w:hanging="720"/>
        <w:rPr>
          <w:rFonts w:ascii="Verdana" w:hAnsi="Verdana" w:cs="Arial"/>
          <w:color w:val="232120"/>
        </w:rPr>
      </w:pPr>
      <w:r>
        <w:rPr>
          <w:rFonts w:ascii="Verdana" w:hAnsi="Verdana" w:cs="Arial"/>
          <w:color w:val="232120"/>
        </w:rPr>
        <w:t>6</w:t>
      </w:r>
      <w:r w:rsidR="002D03B5">
        <w:rPr>
          <w:rFonts w:ascii="Verdana" w:hAnsi="Verdana" w:cs="Arial"/>
          <w:color w:val="232120"/>
        </w:rPr>
        <w:t>.1</w:t>
      </w:r>
      <w:r w:rsidR="002D03B5">
        <w:rPr>
          <w:rFonts w:ascii="Verdana" w:hAnsi="Verdana" w:cs="Arial"/>
          <w:color w:val="232120"/>
        </w:rPr>
        <w:tab/>
      </w:r>
      <w:r w:rsidR="00C820AC">
        <w:rPr>
          <w:rFonts w:ascii="Verdana" w:hAnsi="Verdana" w:cs="Arial"/>
          <w:color w:val="232120"/>
        </w:rPr>
        <w:t xml:space="preserve">The ECtHR </w:t>
      </w:r>
      <w:r w:rsidR="00C820AC" w:rsidRPr="00C820AC">
        <w:rPr>
          <w:rFonts w:ascii="Verdana" w:hAnsi="Verdana" w:cs="Arial"/>
          <w:color w:val="232120"/>
        </w:rPr>
        <w:t xml:space="preserve">has </w:t>
      </w:r>
      <w:r w:rsidR="00C820AC">
        <w:rPr>
          <w:rFonts w:ascii="Verdana" w:hAnsi="Verdana" w:cs="Arial"/>
          <w:color w:val="232120"/>
        </w:rPr>
        <w:t>held</w:t>
      </w:r>
      <w:r w:rsidR="00C820AC" w:rsidRPr="00C820AC">
        <w:rPr>
          <w:rFonts w:ascii="Verdana" w:hAnsi="Verdana" w:cs="Arial"/>
          <w:color w:val="232120"/>
        </w:rPr>
        <w:t xml:space="preserve"> that </w:t>
      </w:r>
      <w:r w:rsidR="00C820AC">
        <w:rPr>
          <w:rFonts w:ascii="Verdana" w:hAnsi="Verdana" w:cs="Arial"/>
          <w:color w:val="232120"/>
        </w:rPr>
        <w:t>A</w:t>
      </w:r>
      <w:r w:rsidR="00C820AC" w:rsidRPr="00C820AC">
        <w:rPr>
          <w:rFonts w:ascii="Verdana" w:hAnsi="Verdana" w:cs="Arial"/>
          <w:color w:val="232120"/>
        </w:rPr>
        <w:t xml:space="preserve">rticle 8 </w:t>
      </w:r>
      <w:r w:rsidR="00C820AC">
        <w:rPr>
          <w:rFonts w:ascii="Verdana" w:hAnsi="Verdana" w:cs="Arial"/>
          <w:color w:val="232120"/>
        </w:rPr>
        <w:t xml:space="preserve">ECHR </w:t>
      </w:r>
      <w:r w:rsidR="00C820AC" w:rsidRPr="00C820AC">
        <w:rPr>
          <w:rFonts w:ascii="Verdana" w:hAnsi="Verdana" w:cs="Arial"/>
          <w:color w:val="232120"/>
        </w:rPr>
        <w:t xml:space="preserve">imposes </w:t>
      </w:r>
      <w:r w:rsidR="00C820AC">
        <w:rPr>
          <w:rFonts w:ascii="Verdana" w:hAnsi="Verdana" w:cs="Arial"/>
          <w:color w:val="232120"/>
        </w:rPr>
        <w:t>a positive obligation on S</w:t>
      </w:r>
      <w:r w:rsidR="00C820AC" w:rsidRPr="00C820AC">
        <w:rPr>
          <w:rFonts w:ascii="Verdana" w:hAnsi="Verdana" w:cs="Arial"/>
          <w:color w:val="232120"/>
        </w:rPr>
        <w:t>tates to secure to their citizens the right to effective respect for their physical and psychological integrity</w:t>
      </w:r>
      <w:r w:rsidR="00C820AC">
        <w:rPr>
          <w:rFonts w:ascii="Verdana" w:hAnsi="Verdana" w:cs="Arial"/>
          <w:color w:val="232120"/>
        </w:rPr>
        <w:t>.</w:t>
      </w:r>
      <w:r w:rsidR="00C820AC">
        <w:rPr>
          <w:rStyle w:val="FootnoteReference"/>
          <w:rFonts w:ascii="Verdana" w:hAnsi="Verdana" w:cs="Arial"/>
          <w:color w:val="232120"/>
        </w:rPr>
        <w:footnoteReference w:id="26"/>
      </w:r>
      <w:r w:rsidR="00C820AC" w:rsidRPr="00C820AC">
        <w:rPr>
          <w:rFonts w:ascii="Verdana" w:hAnsi="Verdana" w:cs="Arial"/>
          <w:color w:val="232120"/>
        </w:rPr>
        <w:t xml:space="preserve"> This obligation may involve the adoption of specific measures, including the provision of an effective and accessible means of protecting the right to respect for private life</w:t>
      </w:r>
      <w:r w:rsidR="00C820AC">
        <w:rPr>
          <w:rFonts w:ascii="Verdana" w:hAnsi="Verdana" w:cs="Arial"/>
          <w:color w:val="232120"/>
        </w:rPr>
        <w:t>.</w:t>
      </w:r>
      <w:r w:rsidR="00C820AC">
        <w:rPr>
          <w:rStyle w:val="FootnoteReference"/>
          <w:rFonts w:ascii="Verdana" w:hAnsi="Verdana" w:cs="Arial"/>
          <w:color w:val="232120"/>
        </w:rPr>
        <w:footnoteReference w:id="27"/>
      </w:r>
      <w:r w:rsidR="00C820AC">
        <w:rPr>
          <w:rFonts w:ascii="Verdana" w:hAnsi="Verdana" w:cs="Arial"/>
          <w:color w:val="232120"/>
        </w:rPr>
        <w:t xml:space="preserve"> </w:t>
      </w:r>
      <w:r w:rsidR="00C820AC" w:rsidRPr="00C820AC">
        <w:rPr>
          <w:rFonts w:ascii="Verdana" w:hAnsi="Verdana" w:cs="Arial"/>
          <w:color w:val="232120"/>
        </w:rPr>
        <w:t>Such measures may include both the provision of a regulatory framework of adjudicatory and enforcement machinery protecting individuals’ rights and the implementation, where appropriate, of these measures in different contexts</w:t>
      </w:r>
      <w:r w:rsidR="00C820AC">
        <w:rPr>
          <w:rFonts w:ascii="Verdana" w:hAnsi="Verdana" w:cs="Arial"/>
          <w:color w:val="232120"/>
        </w:rPr>
        <w:t>.</w:t>
      </w:r>
      <w:r w:rsidR="00C820AC">
        <w:rPr>
          <w:rStyle w:val="FootnoteReference"/>
          <w:rFonts w:ascii="Verdana" w:hAnsi="Verdana" w:cs="Arial"/>
          <w:color w:val="232120"/>
        </w:rPr>
        <w:footnoteReference w:id="28"/>
      </w:r>
    </w:p>
    <w:p w14:paraId="5015F140" w14:textId="77777777" w:rsidR="002D03B5" w:rsidRDefault="002D03B5" w:rsidP="00EC6F70">
      <w:pPr>
        <w:pStyle w:val="BasicParagraph"/>
        <w:suppressAutoHyphens/>
        <w:rPr>
          <w:rFonts w:ascii="Verdana" w:hAnsi="Verdana" w:cs="Arial"/>
          <w:color w:val="232120"/>
        </w:rPr>
      </w:pPr>
    </w:p>
    <w:p w14:paraId="2D1E47C2" w14:textId="36B887C8" w:rsidR="0001325B" w:rsidRDefault="007305F9" w:rsidP="00EC6F70">
      <w:pPr>
        <w:spacing w:line="288" w:lineRule="auto"/>
        <w:ind w:left="720" w:hanging="720"/>
        <w:rPr>
          <w:rFonts w:ascii="Verdana" w:hAnsi="Verdana" w:cs="Arial"/>
          <w:color w:val="232120"/>
        </w:rPr>
      </w:pPr>
      <w:r>
        <w:rPr>
          <w:rFonts w:ascii="Verdana" w:hAnsi="Verdana" w:cs="Arial"/>
          <w:color w:val="232120"/>
        </w:rPr>
        <w:t>6</w:t>
      </w:r>
      <w:r w:rsidR="002D03B5">
        <w:rPr>
          <w:rFonts w:ascii="Verdana" w:hAnsi="Verdana" w:cs="Arial"/>
          <w:color w:val="232120"/>
        </w:rPr>
        <w:t>.</w:t>
      </w:r>
      <w:r w:rsidR="005A5F62">
        <w:rPr>
          <w:rFonts w:ascii="Verdana" w:hAnsi="Verdana" w:cs="Arial"/>
          <w:color w:val="232120"/>
        </w:rPr>
        <w:t>2</w:t>
      </w:r>
      <w:r w:rsidR="005A5F62">
        <w:rPr>
          <w:rFonts w:ascii="Verdana" w:hAnsi="Verdana" w:cs="Arial"/>
          <w:color w:val="232120"/>
        </w:rPr>
        <w:tab/>
      </w:r>
      <w:r w:rsidR="0001325B" w:rsidRPr="0001325B">
        <w:rPr>
          <w:rFonts w:ascii="Verdana" w:hAnsi="Verdana" w:cs="Arial"/>
          <w:color w:val="232120"/>
        </w:rPr>
        <w:t xml:space="preserve">Article 8 is a qualified right, which means that </w:t>
      </w:r>
      <w:r w:rsidR="00B007A3">
        <w:rPr>
          <w:rFonts w:ascii="Verdana" w:hAnsi="Verdana" w:cs="Arial"/>
          <w:color w:val="232120"/>
        </w:rPr>
        <w:t>restrictions</w:t>
      </w:r>
      <w:r w:rsidR="0001325B" w:rsidRPr="0001325B">
        <w:rPr>
          <w:rFonts w:ascii="Verdana" w:hAnsi="Verdana" w:cs="Arial"/>
          <w:color w:val="232120"/>
        </w:rPr>
        <w:t xml:space="preserve"> may be permissible in certain limited circumstances.</w:t>
      </w:r>
      <w:r w:rsidR="007A77D8">
        <w:rPr>
          <w:rFonts w:ascii="Verdana" w:hAnsi="Verdana" w:cs="Arial"/>
          <w:color w:val="232120"/>
        </w:rPr>
        <w:t xml:space="preserve"> </w:t>
      </w:r>
      <w:r w:rsidR="00B007A3">
        <w:rPr>
          <w:rFonts w:ascii="Verdana" w:hAnsi="Verdana" w:cs="Arial"/>
          <w:color w:val="232120"/>
        </w:rPr>
        <w:t>The c</w:t>
      </w:r>
      <w:r w:rsidR="00B007A3" w:rsidRPr="0001325B">
        <w:rPr>
          <w:rFonts w:ascii="Verdana" w:hAnsi="Verdana" w:cs="Arial"/>
          <w:color w:val="232120"/>
        </w:rPr>
        <w:t xml:space="preserve">onditions </w:t>
      </w:r>
      <w:r w:rsidR="0001325B" w:rsidRPr="0001325B">
        <w:rPr>
          <w:rFonts w:ascii="Verdana" w:hAnsi="Verdana" w:cs="Arial"/>
          <w:color w:val="232120"/>
        </w:rPr>
        <w:t>upon which a State may interfere with the enjoyment of</w:t>
      </w:r>
      <w:r w:rsidR="00B007A3" w:rsidRPr="0001325B">
        <w:rPr>
          <w:rFonts w:ascii="Verdana" w:hAnsi="Verdana" w:cs="Arial"/>
          <w:color w:val="232120"/>
        </w:rPr>
        <w:t xml:space="preserve"> </w:t>
      </w:r>
      <w:r w:rsidR="00B007A3">
        <w:rPr>
          <w:rFonts w:ascii="Verdana" w:hAnsi="Verdana" w:cs="Arial"/>
          <w:color w:val="232120"/>
        </w:rPr>
        <w:t xml:space="preserve">the </w:t>
      </w:r>
      <w:r w:rsidR="0001325B" w:rsidRPr="0001325B">
        <w:rPr>
          <w:rFonts w:ascii="Verdana" w:hAnsi="Verdana" w:cs="Arial"/>
          <w:color w:val="232120"/>
        </w:rPr>
        <w:t>right</w:t>
      </w:r>
      <w:r w:rsidR="00B007A3">
        <w:rPr>
          <w:rFonts w:ascii="Verdana" w:hAnsi="Verdana" w:cs="Arial"/>
          <w:color w:val="232120"/>
        </w:rPr>
        <w:t xml:space="preserve"> to private and family life</w:t>
      </w:r>
      <w:r w:rsidR="0001325B" w:rsidRPr="0001325B">
        <w:rPr>
          <w:rFonts w:ascii="Verdana" w:hAnsi="Verdana" w:cs="Arial"/>
          <w:color w:val="232120"/>
        </w:rPr>
        <w:t xml:space="preserve"> are set out in Article 8(2) ECHR. Limitations are allowed if they are “in accordance with the law” or “prescribed by law” and are “necessary in a democratic society” for the protection of one of the objectives set out in Article 8(2) ECH</w:t>
      </w:r>
      <w:r w:rsidR="00D13433">
        <w:rPr>
          <w:rFonts w:ascii="Verdana" w:hAnsi="Verdana" w:cs="Arial"/>
          <w:color w:val="232120"/>
        </w:rPr>
        <w:t>R.</w:t>
      </w:r>
    </w:p>
    <w:p w14:paraId="7DB3A508" w14:textId="77777777" w:rsidR="0001325B" w:rsidRDefault="0001325B" w:rsidP="00EC6F70">
      <w:pPr>
        <w:spacing w:line="288" w:lineRule="auto"/>
        <w:ind w:left="720" w:hanging="720"/>
        <w:rPr>
          <w:rFonts w:ascii="Verdana" w:hAnsi="Verdana" w:cs="Arial"/>
          <w:color w:val="232120"/>
        </w:rPr>
      </w:pPr>
    </w:p>
    <w:p w14:paraId="6FCF0FA7" w14:textId="4F1E0381" w:rsidR="002D03B5" w:rsidRDefault="007305F9" w:rsidP="00EC6F70">
      <w:pPr>
        <w:spacing w:line="288" w:lineRule="auto"/>
        <w:ind w:left="720" w:hanging="720"/>
        <w:rPr>
          <w:rFonts w:ascii="Verdana" w:hAnsi="Verdana" w:cs="Arial"/>
          <w:color w:val="232120"/>
        </w:rPr>
      </w:pPr>
      <w:r>
        <w:rPr>
          <w:rFonts w:ascii="Verdana" w:hAnsi="Verdana" w:cs="Arial"/>
          <w:color w:val="232120"/>
        </w:rPr>
        <w:t>6</w:t>
      </w:r>
      <w:r w:rsidR="00D13433">
        <w:rPr>
          <w:rFonts w:ascii="Verdana" w:hAnsi="Verdana" w:cs="Arial"/>
          <w:color w:val="232120"/>
        </w:rPr>
        <w:t>.</w:t>
      </w:r>
      <w:r>
        <w:rPr>
          <w:rFonts w:ascii="Verdana" w:hAnsi="Verdana" w:cs="Arial"/>
          <w:color w:val="232120"/>
        </w:rPr>
        <w:t>3</w:t>
      </w:r>
      <w:r w:rsidR="00D13433">
        <w:rPr>
          <w:rFonts w:ascii="Verdana" w:hAnsi="Verdana" w:cs="Arial"/>
          <w:color w:val="232120"/>
        </w:rPr>
        <w:tab/>
      </w:r>
      <w:r w:rsidR="00D13433" w:rsidRPr="00D13433">
        <w:rPr>
          <w:rFonts w:ascii="Verdana" w:hAnsi="Verdana" w:cs="Arial"/>
          <w:color w:val="232120"/>
        </w:rPr>
        <w:t xml:space="preserve">Not every act or measure which adversely affects moral or physical integrity will interfere with the right to respect to private life guaranteed by Article 8. </w:t>
      </w:r>
      <w:r w:rsidR="00D13433">
        <w:rPr>
          <w:rFonts w:ascii="Verdana" w:hAnsi="Verdana" w:cs="Arial"/>
          <w:color w:val="232120"/>
        </w:rPr>
        <w:t>However, the ECtHR has held</w:t>
      </w:r>
      <w:r w:rsidR="005A5F62">
        <w:rPr>
          <w:rStyle w:val="apple-converted-space"/>
          <w:rFonts w:ascii="Arial" w:hAnsi="Arial" w:cs="Arial"/>
          <w:color w:val="000000"/>
        </w:rPr>
        <w:t> </w:t>
      </w:r>
      <w:r w:rsidR="005A5F62" w:rsidRPr="00EF7848">
        <w:rPr>
          <w:rStyle w:val="apple-converted-space"/>
          <w:rFonts w:ascii="Verdana" w:hAnsi="Verdana" w:cs="Arial"/>
          <w:color w:val="000000"/>
        </w:rPr>
        <w:t>“</w:t>
      </w:r>
      <w:r w:rsidR="005A5F62" w:rsidRPr="00EF7848">
        <w:rPr>
          <w:rStyle w:val="sb8d990e2"/>
          <w:rFonts w:ascii="Verdana" w:hAnsi="Verdana" w:cs="Arial"/>
          <w:color w:val="000000"/>
        </w:rPr>
        <w:t>that even a minor interference with the physical integrity of an individual must be regarded as an interference with the right to respect</w:t>
      </w:r>
      <w:r w:rsidR="005A5F62" w:rsidRPr="00EF7848">
        <w:rPr>
          <w:rStyle w:val="apple-converted-space"/>
          <w:rFonts w:ascii="Verdana" w:hAnsi="Verdana" w:cs="Arial"/>
          <w:color w:val="000000"/>
        </w:rPr>
        <w:t> </w:t>
      </w:r>
      <w:r w:rsidR="005A5F62" w:rsidRPr="00EF7848">
        <w:rPr>
          <w:rStyle w:val="sb8d990e2"/>
          <w:rFonts w:ascii="Verdana" w:hAnsi="Verdana" w:cs="Arial"/>
          <w:color w:val="000000"/>
        </w:rPr>
        <w:t>for private life under Article</w:t>
      </w:r>
      <w:r w:rsidR="005A5F62" w:rsidRPr="00EF7848">
        <w:rPr>
          <w:rStyle w:val="apple-converted-space"/>
          <w:rFonts w:ascii="Verdana" w:hAnsi="Verdana" w:cs="Arial"/>
          <w:color w:val="000000"/>
        </w:rPr>
        <w:t> </w:t>
      </w:r>
      <w:r w:rsidR="005A5F62" w:rsidRPr="00EF7848">
        <w:rPr>
          <w:rStyle w:val="sb8d990e2"/>
          <w:rFonts w:ascii="Verdana" w:hAnsi="Verdana" w:cs="Arial"/>
          <w:color w:val="000000"/>
        </w:rPr>
        <w:t>8 if it is carried out against the individual’s will”</w:t>
      </w:r>
      <w:r w:rsidR="00CF379E" w:rsidRPr="00EF7848">
        <w:rPr>
          <w:rStyle w:val="sb8d990e2"/>
          <w:rFonts w:ascii="Verdana" w:hAnsi="Verdana" w:cs="Arial"/>
          <w:color w:val="000000"/>
        </w:rPr>
        <w:t>.</w:t>
      </w:r>
      <w:r w:rsidR="005A5F62" w:rsidRPr="00EF7848">
        <w:rPr>
          <w:rStyle w:val="FootnoteReference"/>
          <w:rFonts w:ascii="Verdana" w:hAnsi="Verdana" w:cs="Arial"/>
          <w:color w:val="000000"/>
        </w:rPr>
        <w:footnoteReference w:id="29"/>
      </w:r>
      <w:r w:rsidR="005A5F62" w:rsidRPr="00EF7848">
        <w:rPr>
          <w:rStyle w:val="sb8d990e2"/>
          <w:rFonts w:ascii="Verdana" w:hAnsi="Verdana" w:cs="Arial"/>
          <w:color w:val="000000"/>
        </w:rPr>
        <w:t xml:space="preserve"> </w:t>
      </w:r>
    </w:p>
    <w:p w14:paraId="75985B4C" w14:textId="77777777" w:rsidR="002D03B5" w:rsidRDefault="002D03B5" w:rsidP="00EC6F70">
      <w:pPr>
        <w:pStyle w:val="BasicParagraph"/>
        <w:suppressAutoHyphens/>
        <w:ind w:left="720" w:hanging="720"/>
        <w:rPr>
          <w:rFonts w:ascii="Verdana" w:hAnsi="Verdana" w:cs="Arial"/>
          <w:color w:val="232120"/>
        </w:rPr>
      </w:pPr>
    </w:p>
    <w:p w14:paraId="09DEB349" w14:textId="77777777" w:rsidR="008E0E36" w:rsidRDefault="008E0E36" w:rsidP="008E0E36">
      <w:pPr>
        <w:pStyle w:val="BasicParagraph"/>
        <w:suppressAutoHyphens/>
        <w:ind w:left="720" w:hanging="720"/>
        <w:rPr>
          <w:rFonts w:ascii="Verdana" w:hAnsi="Verdana" w:cs="Arial"/>
          <w:color w:val="232120"/>
        </w:rPr>
      </w:pPr>
      <w:r>
        <w:rPr>
          <w:rFonts w:ascii="Verdana" w:hAnsi="Verdana" w:cs="Arial"/>
          <w:color w:val="232120"/>
        </w:rPr>
        <w:t>6.4</w:t>
      </w:r>
      <w:r>
        <w:rPr>
          <w:rFonts w:ascii="Verdana" w:hAnsi="Verdana" w:cs="Arial"/>
          <w:color w:val="232120"/>
        </w:rPr>
        <w:tab/>
      </w:r>
      <w:r w:rsidRPr="0043778F">
        <w:rPr>
          <w:rFonts w:ascii="Verdana" w:hAnsi="Verdana" w:cs="Arial"/>
          <w:color w:val="232120"/>
        </w:rPr>
        <w:t>The consultation document proposes a definition of the various forms of ‘harm’ arising from an unintended or unexpected incident that would trigger a ‘notifiable incident’ and require compliance with the statutory Duty of Candour procedure.</w:t>
      </w:r>
      <w:r>
        <w:rPr>
          <w:rStyle w:val="FootnoteReference"/>
          <w:rFonts w:ascii="Verdana" w:hAnsi="Verdana" w:cs="Arial"/>
          <w:color w:val="232120"/>
        </w:rPr>
        <w:footnoteReference w:id="30"/>
      </w:r>
    </w:p>
    <w:p w14:paraId="3F90BFFA" w14:textId="77777777" w:rsidR="008E0E36" w:rsidRDefault="008E0E36" w:rsidP="008E0E36">
      <w:pPr>
        <w:pStyle w:val="BasicParagraph"/>
        <w:suppressAutoHyphens/>
        <w:ind w:left="720" w:hanging="720"/>
        <w:rPr>
          <w:rFonts w:ascii="Verdana" w:hAnsi="Verdana" w:cs="Arial"/>
          <w:color w:val="232120"/>
        </w:rPr>
      </w:pPr>
    </w:p>
    <w:p w14:paraId="2F21A619" w14:textId="77777777" w:rsidR="008E0E36" w:rsidRPr="0043778F" w:rsidRDefault="008E0E36" w:rsidP="008E0E36">
      <w:pPr>
        <w:pStyle w:val="BasicParagraph"/>
        <w:suppressAutoHyphens/>
        <w:ind w:left="720" w:hanging="720"/>
        <w:rPr>
          <w:rFonts w:ascii="Verdana" w:hAnsi="Verdana" w:cs="Arial"/>
          <w:color w:val="232120"/>
          <w:lang w:val="en-US"/>
        </w:rPr>
      </w:pPr>
      <w:r>
        <w:rPr>
          <w:rFonts w:ascii="Verdana" w:hAnsi="Verdana" w:cs="Arial"/>
          <w:color w:val="232120"/>
        </w:rPr>
        <w:lastRenderedPageBreak/>
        <w:t>6.5</w:t>
      </w:r>
      <w:r>
        <w:rPr>
          <w:rFonts w:ascii="Verdana" w:hAnsi="Verdana" w:cs="Arial"/>
          <w:color w:val="232120"/>
        </w:rPr>
        <w:tab/>
      </w:r>
      <w:r w:rsidRPr="0043778F">
        <w:rPr>
          <w:rFonts w:ascii="Verdana" w:hAnsi="Verdana" w:cs="Arial"/>
          <w:color w:val="232120"/>
        </w:rPr>
        <w:t xml:space="preserve">In the case of </w:t>
      </w:r>
      <w:proofErr w:type="spellStart"/>
      <w:r w:rsidRPr="0043778F">
        <w:rPr>
          <w:rFonts w:ascii="Verdana" w:hAnsi="Verdana" w:cs="Arial"/>
          <w:i/>
          <w:iCs/>
          <w:color w:val="232120"/>
        </w:rPr>
        <w:t>Csoma</w:t>
      </w:r>
      <w:proofErr w:type="spellEnd"/>
      <w:r w:rsidRPr="0043778F">
        <w:rPr>
          <w:rFonts w:ascii="Verdana" w:hAnsi="Verdana" w:cs="Arial"/>
          <w:i/>
          <w:iCs/>
          <w:color w:val="232120"/>
        </w:rPr>
        <w:t xml:space="preserve"> v Romania</w:t>
      </w:r>
      <w:r w:rsidRPr="0043778F">
        <w:rPr>
          <w:rFonts w:ascii="Verdana" w:hAnsi="Verdana" w:cs="Arial"/>
          <w:color w:val="232120"/>
        </w:rPr>
        <w:t>, the applicant went to hospital for a planned abortion. After expelling the foetus, she suffered profuse bleeding and ultimately had a total hysterectomy and bilateral adnexectomy to save her life, which left her permanently unable to bear children. One of her claims was that she had not been informed of the nature and possible consequences of the procedure. In upholding her claim, the ECtHR outlined the general principles it has established concerning the State’s responsibility for medical negligence under Articles 2 and 8 ECHR.:</w:t>
      </w:r>
    </w:p>
    <w:p w14:paraId="38EDE37A" w14:textId="77777777" w:rsidR="008E0E36" w:rsidRPr="0043778F" w:rsidRDefault="008E0E36" w:rsidP="008E0E36">
      <w:pPr>
        <w:pStyle w:val="BasicParagraph"/>
        <w:suppressAutoHyphens/>
        <w:ind w:left="720" w:hanging="720"/>
        <w:rPr>
          <w:rFonts w:ascii="Verdana" w:hAnsi="Verdana" w:cs="Arial"/>
          <w:color w:val="232120"/>
        </w:rPr>
      </w:pPr>
    </w:p>
    <w:p w14:paraId="193C835C" w14:textId="77777777" w:rsidR="008E0E36" w:rsidRPr="0043778F" w:rsidRDefault="008E0E36" w:rsidP="008E0E36">
      <w:pPr>
        <w:pStyle w:val="BasicParagraph"/>
        <w:suppressAutoHyphens/>
        <w:ind w:left="1560"/>
        <w:rPr>
          <w:rFonts w:ascii="Verdana" w:hAnsi="Verdana" w:cs="Arial"/>
          <w:color w:val="232120"/>
        </w:rPr>
      </w:pPr>
      <w:r w:rsidRPr="0043778F">
        <w:rPr>
          <w:rFonts w:ascii="Verdana" w:hAnsi="Verdana" w:cs="Arial"/>
          <w:color w:val="232120"/>
        </w:rPr>
        <w:t xml:space="preserve">“Contracting States are under an obligation to introduce regulations compelling both public and private hospitals to adopt appropriate measures for the protection of their patients’ lives. Moreover, the Court has underlined that it is important for individuals facing risks to their health to have access to information enabling them to assess those risks. It has considered it reasonable to infer from this that the Contracting States are bound, by virtue of this obligation, to adopt the necessary regulatory measures to ensure that doctors consider the foreseeable consequences of a planned medical procedure on their patients’ physical integrity and to inform patients of these consequences beforehand, in such a way that the latter are able to give informed consent. </w:t>
      </w:r>
      <w:proofErr w:type="gramStart"/>
      <w:r w:rsidRPr="0043778F">
        <w:rPr>
          <w:rFonts w:ascii="Verdana" w:hAnsi="Verdana" w:cs="Arial"/>
          <w:color w:val="232120"/>
        </w:rPr>
        <w:t>In particular, as</w:t>
      </w:r>
      <w:proofErr w:type="gramEnd"/>
      <w:r w:rsidRPr="0043778F">
        <w:rPr>
          <w:rFonts w:ascii="Verdana" w:hAnsi="Verdana" w:cs="Arial"/>
          <w:color w:val="232120"/>
        </w:rPr>
        <w:t xml:space="preserve"> a corollary to this, if a foreseeable risk of this nature materialises without the patient having been duly informed in advance by doctors, the State Party concerned may be directly liable under Article 8 for this lack of information</w:t>
      </w:r>
      <w:r>
        <w:rPr>
          <w:rFonts w:ascii="Verdana" w:hAnsi="Verdana" w:cs="Arial"/>
          <w:color w:val="232120"/>
        </w:rPr>
        <w:t>.</w:t>
      </w:r>
      <w:r w:rsidRPr="0043778F">
        <w:rPr>
          <w:rFonts w:ascii="Verdana" w:hAnsi="Verdana" w:cs="Arial"/>
          <w:color w:val="232120"/>
        </w:rPr>
        <w:t>”</w:t>
      </w:r>
      <w:r>
        <w:rPr>
          <w:rStyle w:val="FootnoteReference"/>
          <w:rFonts w:ascii="Verdana" w:hAnsi="Verdana" w:cs="Arial"/>
          <w:color w:val="232120"/>
        </w:rPr>
        <w:footnoteReference w:id="31"/>
      </w:r>
    </w:p>
    <w:p w14:paraId="41881133" w14:textId="77777777" w:rsidR="008E0E36" w:rsidRPr="0043778F" w:rsidRDefault="008E0E36" w:rsidP="008E0E36">
      <w:pPr>
        <w:pStyle w:val="BasicParagraph"/>
        <w:suppressAutoHyphens/>
        <w:ind w:left="720" w:hanging="720"/>
        <w:rPr>
          <w:rFonts w:ascii="Verdana" w:hAnsi="Verdana" w:cs="Arial"/>
          <w:color w:val="232120"/>
        </w:rPr>
      </w:pPr>
    </w:p>
    <w:p w14:paraId="1C08B4E3" w14:textId="77777777" w:rsidR="008E0E36" w:rsidRPr="0043778F" w:rsidRDefault="008E0E36" w:rsidP="008E0E36">
      <w:pPr>
        <w:pStyle w:val="BasicParagraph"/>
        <w:suppressAutoHyphens/>
        <w:ind w:left="720" w:hanging="720"/>
        <w:rPr>
          <w:rFonts w:ascii="Verdana" w:hAnsi="Verdana" w:cs="Arial"/>
          <w:color w:val="232120"/>
        </w:rPr>
      </w:pPr>
      <w:r>
        <w:rPr>
          <w:rFonts w:ascii="Verdana" w:hAnsi="Verdana" w:cs="Arial"/>
          <w:color w:val="232120"/>
        </w:rPr>
        <w:t>6.6</w:t>
      </w:r>
      <w:r>
        <w:rPr>
          <w:rFonts w:ascii="Verdana" w:hAnsi="Verdana" w:cs="Arial"/>
          <w:color w:val="232120"/>
        </w:rPr>
        <w:tab/>
      </w:r>
      <w:r w:rsidRPr="0043778F">
        <w:rPr>
          <w:rFonts w:ascii="Verdana" w:hAnsi="Verdana" w:cs="Arial"/>
          <w:color w:val="232120"/>
        </w:rPr>
        <w:t>In reaching its decision, the ECtHR further clarified that it “attaches weight to the existence of prior consent in the context of a patient’s right to respect for his or her physical integrity. Any disregard by the medical personnel of a patient’s right to be duly informed can trigger the State’s responsibility in the matter.”</w:t>
      </w:r>
      <w:r>
        <w:rPr>
          <w:rStyle w:val="FootnoteReference"/>
          <w:rFonts w:ascii="Verdana" w:hAnsi="Verdana" w:cs="Arial"/>
          <w:color w:val="232120"/>
        </w:rPr>
        <w:footnoteReference w:id="32"/>
      </w:r>
    </w:p>
    <w:p w14:paraId="15101666" w14:textId="77777777" w:rsidR="008E0E36" w:rsidRPr="0043778F" w:rsidRDefault="008E0E36" w:rsidP="008E0E36">
      <w:pPr>
        <w:pStyle w:val="BasicParagraph"/>
        <w:suppressAutoHyphens/>
        <w:ind w:left="720" w:hanging="720"/>
        <w:rPr>
          <w:rFonts w:ascii="Verdana" w:hAnsi="Verdana" w:cs="Arial"/>
          <w:color w:val="232120"/>
        </w:rPr>
      </w:pPr>
    </w:p>
    <w:p w14:paraId="253807CB" w14:textId="77777777" w:rsidR="008E0E36" w:rsidRPr="0043778F" w:rsidRDefault="008E0E36" w:rsidP="008E0E36">
      <w:pPr>
        <w:pStyle w:val="BasicParagraph"/>
        <w:suppressAutoHyphens/>
        <w:ind w:left="720" w:hanging="720"/>
        <w:rPr>
          <w:rFonts w:ascii="Verdana" w:hAnsi="Verdana" w:cs="Arial"/>
          <w:color w:val="232120"/>
        </w:rPr>
      </w:pPr>
      <w:r>
        <w:rPr>
          <w:rFonts w:ascii="Verdana" w:hAnsi="Verdana" w:cs="Arial"/>
          <w:color w:val="232120"/>
        </w:rPr>
        <w:t>6.7</w:t>
      </w:r>
      <w:r>
        <w:rPr>
          <w:rFonts w:ascii="Verdana" w:hAnsi="Verdana" w:cs="Arial"/>
          <w:color w:val="232120"/>
        </w:rPr>
        <w:tab/>
      </w:r>
      <w:r w:rsidRPr="0043778F">
        <w:rPr>
          <w:rFonts w:ascii="Verdana" w:hAnsi="Verdana" w:cs="Arial"/>
          <w:color w:val="232120"/>
        </w:rPr>
        <w:t xml:space="preserve">Following the ECtHR’s case law, the State’s obligations under Articles 2 or 8 ECHR may be engaged if a patient suffers ‘harm’ as defined in the consultation document from an unintended or unexpected incident </w:t>
      </w:r>
      <w:r>
        <w:rPr>
          <w:rFonts w:ascii="Verdana" w:hAnsi="Verdana" w:cs="Arial"/>
          <w:color w:val="232120"/>
        </w:rPr>
        <w:t>if the patient was not properly informed of the risks involved in the medical procedure beforehand.</w:t>
      </w:r>
    </w:p>
    <w:p w14:paraId="1807756A" w14:textId="77777777" w:rsidR="008E0E36" w:rsidRPr="00396D25" w:rsidRDefault="008E0E36" w:rsidP="00396D25">
      <w:pPr>
        <w:pStyle w:val="BasicParagraph"/>
        <w:suppressAutoHyphens/>
        <w:ind w:left="720" w:hanging="720"/>
        <w:rPr>
          <w:rFonts w:ascii="Verdana" w:hAnsi="Verdana" w:cs="Arial"/>
          <w:color w:val="232120"/>
        </w:rPr>
      </w:pPr>
    </w:p>
    <w:p w14:paraId="2972603F" w14:textId="4BFD6733" w:rsidR="00853144" w:rsidRPr="00D645EC" w:rsidRDefault="007305F9" w:rsidP="00EC6F70">
      <w:pPr>
        <w:pStyle w:val="BasicParagraph"/>
        <w:suppressAutoHyphens/>
        <w:ind w:left="720" w:hanging="720"/>
        <w:rPr>
          <w:rFonts w:ascii="Verdana" w:hAnsi="Verdana" w:cs="Arial"/>
          <w:b/>
          <w:bCs/>
          <w:color w:val="232120"/>
        </w:rPr>
      </w:pPr>
      <w:r>
        <w:rPr>
          <w:rFonts w:ascii="Verdana" w:hAnsi="Verdana" w:cs="Arial"/>
          <w:b/>
          <w:bCs/>
          <w:color w:val="232120"/>
        </w:rPr>
        <w:t>6</w:t>
      </w:r>
      <w:r w:rsidR="002D03B5" w:rsidRPr="00D645EC">
        <w:rPr>
          <w:rFonts w:ascii="Verdana" w:hAnsi="Verdana" w:cs="Arial"/>
          <w:b/>
          <w:bCs/>
          <w:color w:val="232120"/>
        </w:rPr>
        <w:t>.</w:t>
      </w:r>
      <w:r w:rsidR="00567ACF">
        <w:rPr>
          <w:rFonts w:ascii="Verdana" w:hAnsi="Verdana" w:cs="Arial"/>
          <w:b/>
          <w:bCs/>
          <w:color w:val="232120"/>
        </w:rPr>
        <w:t>8</w:t>
      </w:r>
      <w:r w:rsidR="002D03B5" w:rsidRPr="00D645EC">
        <w:rPr>
          <w:rFonts w:ascii="Verdana" w:hAnsi="Verdana" w:cs="Arial"/>
          <w:b/>
          <w:bCs/>
          <w:color w:val="232120"/>
        </w:rPr>
        <w:tab/>
      </w:r>
      <w:r w:rsidR="00D645EC" w:rsidRPr="00D645EC">
        <w:rPr>
          <w:rFonts w:ascii="Verdana" w:hAnsi="Verdana" w:cs="Arial"/>
          <w:b/>
          <w:bCs/>
          <w:color w:val="232120"/>
        </w:rPr>
        <w:t>The Commission agrees with the proposed definition for the significant harm threshold for the Duty of Candour procedure.</w:t>
      </w:r>
    </w:p>
    <w:p w14:paraId="42BB3893" w14:textId="77777777" w:rsidR="003F0536" w:rsidRPr="002F68FE" w:rsidRDefault="003F0536" w:rsidP="00EC6F70">
      <w:pPr>
        <w:pStyle w:val="BasicParagraph"/>
        <w:suppressAutoHyphens/>
        <w:ind w:left="720" w:hanging="720"/>
        <w:rPr>
          <w:rFonts w:ascii="Verdana" w:hAnsi="Verdana" w:cs="Arial"/>
          <w:color w:val="232120"/>
        </w:rPr>
      </w:pPr>
    </w:p>
    <w:p w14:paraId="3ECF7C17" w14:textId="21FB8FFC" w:rsidR="002D03B5" w:rsidRPr="00E407A8" w:rsidRDefault="007305F9" w:rsidP="00EC6F70">
      <w:pPr>
        <w:pStyle w:val="BasicParagraph"/>
        <w:suppressAutoHyphens/>
        <w:rPr>
          <w:rFonts w:ascii="Verdana" w:hAnsi="Verdana" w:cs="Arial"/>
          <w:b/>
          <w:color w:val="77328A"/>
          <w:sz w:val="30"/>
          <w:szCs w:val="30"/>
        </w:rPr>
      </w:pPr>
      <w:r>
        <w:rPr>
          <w:rFonts w:ascii="Verdana" w:hAnsi="Verdana" w:cs="Arial"/>
          <w:b/>
          <w:color w:val="77328A"/>
          <w:sz w:val="30"/>
          <w:szCs w:val="30"/>
        </w:rPr>
        <w:t>7</w:t>
      </w:r>
      <w:r w:rsidR="002D03B5" w:rsidRPr="003B7D0E">
        <w:rPr>
          <w:rFonts w:ascii="Verdana" w:hAnsi="Verdana" w:cs="Arial"/>
          <w:b/>
          <w:color w:val="77328A"/>
          <w:sz w:val="30"/>
          <w:szCs w:val="30"/>
        </w:rPr>
        <w:t>.0</w:t>
      </w:r>
      <w:r w:rsidR="002D03B5" w:rsidRPr="003B7D0E">
        <w:rPr>
          <w:rFonts w:ascii="Verdana" w:hAnsi="Verdana" w:cs="Arial"/>
          <w:b/>
          <w:color w:val="77328A"/>
          <w:sz w:val="30"/>
          <w:szCs w:val="30"/>
        </w:rPr>
        <w:tab/>
      </w:r>
      <w:r w:rsidR="00C66642">
        <w:rPr>
          <w:rFonts w:ascii="Verdana" w:hAnsi="Verdana" w:cs="Arial"/>
          <w:b/>
          <w:color w:val="77328A"/>
          <w:sz w:val="30"/>
          <w:szCs w:val="30"/>
        </w:rPr>
        <w:t>Requirements when things go wrong</w:t>
      </w:r>
    </w:p>
    <w:p w14:paraId="38D84A8F" w14:textId="77777777" w:rsidR="002D03B5" w:rsidRDefault="002D03B5" w:rsidP="00EC6F70">
      <w:pPr>
        <w:pStyle w:val="BasicParagraph"/>
        <w:suppressAutoHyphens/>
        <w:ind w:left="720" w:hanging="720"/>
        <w:rPr>
          <w:rFonts w:ascii="Verdana" w:hAnsi="Verdana" w:cs="Arial"/>
          <w:color w:val="232120"/>
        </w:rPr>
      </w:pPr>
    </w:p>
    <w:p w14:paraId="023DBC95" w14:textId="02B6DCA5" w:rsidR="00431D86" w:rsidRDefault="007305F9" w:rsidP="00EC6F70">
      <w:pPr>
        <w:pStyle w:val="BasicParagraph"/>
        <w:suppressAutoHyphens/>
        <w:ind w:left="720" w:hanging="720"/>
        <w:rPr>
          <w:rFonts w:ascii="Verdana" w:hAnsi="Verdana" w:cs="Arial"/>
          <w:color w:val="232120"/>
        </w:rPr>
      </w:pPr>
      <w:r>
        <w:rPr>
          <w:rFonts w:ascii="Verdana" w:hAnsi="Verdana" w:cs="Arial"/>
          <w:color w:val="232120"/>
        </w:rPr>
        <w:t>7</w:t>
      </w:r>
      <w:r w:rsidR="002D03B5">
        <w:rPr>
          <w:rFonts w:ascii="Verdana" w:hAnsi="Verdana" w:cs="Arial"/>
          <w:color w:val="232120"/>
        </w:rPr>
        <w:t>.1</w:t>
      </w:r>
      <w:r w:rsidR="002D03B5">
        <w:rPr>
          <w:rFonts w:ascii="Verdana" w:hAnsi="Verdana" w:cs="Arial"/>
          <w:color w:val="232120"/>
        </w:rPr>
        <w:tab/>
      </w:r>
      <w:r w:rsidR="00C54EFC">
        <w:rPr>
          <w:rFonts w:ascii="Verdana" w:hAnsi="Verdana" w:cs="Arial"/>
          <w:color w:val="232120"/>
        </w:rPr>
        <w:t xml:space="preserve">The consultation document </w:t>
      </w:r>
      <w:r w:rsidR="007D1613">
        <w:rPr>
          <w:rFonts w:ascii="Verdana" w:hAnsi="Verdana" w:cs="Arial"/>
          <w:color w:val="232120"/>
        </w:rPr>
        <w:t xml:space="preserve">sets out procedural requirements that organisations </w:t>
      </w:r>
      <w:r w:rsidR="00BB412F">
        <w:rPr>
          <w:rFonts w:ascii="Verdana" w:hAnsi="Verdana" w:cs="Arial"/>
          <w:color w:val="232120"/>
        </w:rPr>
        <w:t xml:space="preserve">and members of staff </w:t>
      </w:r>
      <w:r w:rsidR="007D1613">
        <w:rPr>
          <w:rFonts w:ascii="Verdana" w:hAnsi="Verdana" w:cs="Arial"/>
          <w:color w:val="232120"/>
        </w:rPr>
        <w:t>will be required to follow when a “notifiable incident” occurs</w:t>
      </w:r>
      <w:r w:rsidR="00293EEF">
        <w:rPr>
          <w:rFonts w:ascii="Verdana" w:hAnsi="Verdana" w:cs="Arial"/>
          <w:color w:val="232120"/>
        </w:rPr>
        <w:t>.</w:t>
      </w:r>
      <w:r w:rsidR="007D1613">
        <w:rPr>
          <w:rStyle w:val="FootnoteReference"/>
          <w:rFonts w:ascii="Verdana" w:hAnsi="Verdana" w:cs="Arial"/>
          <w:color w:val="232120"/>
        </w:rPr>
        <w:footnoteReference w:id="33"/>
      </w:r>
      <w:r w:rsidR="007D1613">
        <w:rPr>
          <w:rFonts w:ascii="Verdana" w:hAnsi="Verdana" w:cs="Arial"/>
          <w:color w:val="232120"/>
        </w:rPr>
        <w:t xml:space="preserve"> </w:t>
      </w:r>
      <w:r w:rsidR="008D0834">
        <w:rPr>
          <w:rFonts w:ascii="Verdana" w:hAnsi="Verdana" w:cs="Arial"/>
          <w:color w:val="232120"/>
        </w:rPr>
        <w:t>With respect to the statutory organisational duty, t</w:t>
      </w:r>
      <w:r w:rsidR="00D80EBF">
        <w:rPr>
          <w:rFonts w:ascii="Verdana" w:hAnsi="Verdana" w:cs="Arial"/>
          <w:color w:val="232120"/>
        </w:rPr>
        <w:t xml:space="preserve">his includes procedures such as </w:t>
      </w:r>
      <w:r w:rsidR="00E657F5">
        <w:rPr>
          <w:rFonts w:ascii="Verdana" w:hAnsi="Verdana" w:cs="Arial"/>
          <w:color w:val="232120"/>
        </w:rPr>
        <w:t>notifying the patient</w:t>
      </w:r>
      <w:r w:rsidR="008D0834">
        <w:rPr>
          <w:rFonts w:ascii="Verdana" w:hAnsi="Verdana" w:cs="Arial"/>
          <w:color w:val="232120"/>
        </w:rPr>
        <w:t>, while providing reasonable support,</w:t>
      </w:r>
      <w:r w:rsidR="00E657F5">
        <w:rPr>
          <w:rFonts w:ascii="Verdana" w:hAnsi="Verdana" w:cs="Arial"/>
          <w:color w:val="232120"/>
        </w:rPr>
        <w:t xml:space="preserve"> as soon as reasonably practicable that a notifiable incident has occurred, </w:t>
      </w:r>
      <w:r w:rsidR="007A77D8">
        <w:rPr>
          <w:rFonts w:ascii="Verdana" w:hAnsi="Verdana" w:cs="Arial"/>
          <w:color w:val="232120"/>
        </w:rPr>
        <w:t xml:space="preserve">a </w:t>
      </w:r>
      <w:r w:rsidR="008D0834">
        <w:rPr>
          <w:rFonts w:ascii="Verdana" w:hAnsi="Verdana" w:cs="Arial"/>
          <w:color w:val="232120"/>
        </w:rPr>
        <w:t>written summary of the notifiable event which includes an apology</w:t>
      </w:r>
      <w:r w:rsidR="007A77D8">
        <w:rPr>
          <w:rFonts w:ascii="Verdana" w:hAnsi="Verdana" w:cs="Arial"/>
          <w:color w:val="232120"/>
        </w:rPr>
        <w:t>,</w:t>
      </w:r>
      <w:r w:rsidR="008D0834">
        <w:rPr>
          <w:rFonts w:ascii="Verdana" w:hAnsi="Verdana" w:cs="Arial"/>
          <w:color w:val="232120"/>
        </w:rPr>
        <w:t xml:space="preserve"> and information on further action taken by the organisation in respect of the incident. </w:t>
      </w:r>
      <w:r w:rsidR="00B37620">
        <w:rPr>
          <w:rFonts w:ascii="Verdana" w:hAnsi="Verdana" w:cs="Arial"/>
          <w:color w:val="232120"/>
        </w:rPr>
        <w:t xml:space="preserve">The statutory individual duty is proposed to require members of staff to report </w:t>
      </w:r>
      <w:r w:rsidR="00116FAA">
        <w:rPr>
          <w:rFonts w:ascii="Verdana" w:hAnsi="Verdana" w:cs="Arial"/>
          <w:color w:val="232120"/>
        </w:rPr>
        <w:t xml:space="preserve">notifiable </w:t>
      </w:r>
      <w:proofErr w:type="gramStart"/>
      <w:r w:rsidR="00116FAA">
        <w:rPr>
          <w:rFonts w:ascii="Verdana" w:hAnsi="Verdana" w:cs="Arial"/>
          <w:color w:val="232120"/>
        </w:rPr>
        <w:t>incidents, and</w:t>
      </w:r>
      <w:proofErr w:type="gramEnd"/>
      <w:r w:rsidR="00116FAA">
        <w:rPr>
          <w:rFonts w:ascii="Verdana" w:hAnsi="Verdana" w:cs="Arial"/>
          <w:color w:val="232120"/>
        </w:rPr>
        <w:t xml:space="preserve"> participate openly and honestly in any subsequent investigation</w:t>
      </w:r>
      <w:r w:rsidR="00CF7AA5">
        <w:rPr>
          <w:rFonts w:ascii="Verdana" w:hAnsi="Verdana" w:cs="Arial"/>
          <w:color w:val="232120"/>
        </w:rPr>
        <w:t>.</w:t>
      </w:r>
      <w:r w:rsidR="00CF7AA5">
        <w:rPr>
          <w:rStyle w:val="FootnoteReference"/>
          <w:rFonts w:ascii="Verdana" w:hAnsi="Verdana" w:cs="Arial"/>
          <w:color w:val="232120"/>
        </w:rPr>
        <w:footnoteReference w:id="34"/>
      </w:r>
    </w:p>
    <w:p w14:paraId="454E85EC" w14:textId="77777777" w:rsidR="00431D86" w:rsidRDefault="00431D86" w:rsidP="00EC6F70">
      <w:pPr>
        <w:pStyle w:val="BasicParagraph"/>
        <w:suppressAutoHyphens/>
        <w:ind w:left="720" w:hanging="720"/>
        <w:rPr>
          <w:rFonts w:ascii="Verdana" w:hAnsi="Verdana" w:cs="Arial"/>
          <w:color w:val="232120"/>
        </w:rPr>
      </w:pPr>
    </w:p>
    <w:p w14:paraId="5CB11F5F" w14:textId="7891DB6D" w:rsidR="001C53D5" w:rsidRPr="001C53D5" w:rsidRDefault="007305F9" w:rsidP="00EC6F70">
      <w:pPr>
        <w:pStyle w:val="BasicParagraph"/>
        <w:suppressAutoHyphens/>
        <w:ind w:left="720" w:hanging="720"/>
        <w:rPr>
          <w:rFonts w:ascii="Verdana" w:hAnsi="Verdana" w:cs="Arial"/>
          <w:color w:val="232120"/>
        </w:rPr>
      </w:pPr>
      <w:r>
        <w:rPr>
          <w:rFonts w:ascii="Verdana" w:hAnsi="Verdana" w:cs="Arial"/>
          <w:color w:val="232120"/>
        </w:rPr>
        <w:t>7</w:t>
      </w:r>
      <w:r w:rsidR="00431D86">
        <w:rPr>
          <w:rFonts w:ascii="Verdana" w:hAnsi="Verdana" w:cs="Arial"/>
          <w:color w:val="232120"/>
        </w:rPr>
        <w:t>.2</w:t>
      </w:r>
      <w:r w:rsidR="00431D86">
        <w:rPr>
          <w:rFonts w:ascii="Verdana" w:hAnsi="Verdana" w:cs="Arial"/>
          <w:color w:val="232120"/>
        </w:rPr>
        <w:tab/>
      </w:r>
      <w:r w:rsidR="001C53D5" w:rsidRPr="001C53D5">
        <w:rPr>
          <w:rFonts w:ascii="Verdana" w:hAnsi="Verdana" w:cs="Arial"/>
          <w:color w:val="232120"/>
        </w:rPr>
        <w:t xml:space="preserve">The positive obligations under Article 2 </w:t>
      </w:r>
      <w:r w:rsidR="001C53D5">
        <w:rPr>
          <w:rFonts w:ascii="Verdana" w:hAnsi="Verdana" w:cs="Arial"/>
          <w:color w:val="232120"/>
        </w:rPr>
        <w:t xml:space="preserve">ECHR </w:t>
      </w:r>
      <w:r w:rsidR="001C53D5" w:rsidRPr="001C53D5">
        <w:rPr>
          <w:rFonts w:ascii="Verdana" w:hAnsi="Verdana" w:cs="Arial"/>
          <w:color w:val="232120"/>
        </w:rPr>
        <w:t xml:space="preserve">require an effective independent judicial system to be put in place so that the cause of death of patients in medical care can be determined and those responsible held accountable. </w:t>
      </w:r>
      <w:r w:rsidR="001C53D5">
        <w:rPr>
          <w:rFonts w:ascii="Verdana" w:hAnsi="Verdana" w:cs="Arial"/>
          <w:color w:val="232120"/>
        </w:rPr>
        <w:t xml:space="preserve">Parallel to the obligations under Article 2 ECHR, States </w:t>
      </w:r>
      <w:r w:rsidR="001C53D5" w:rsidRPr="001C53D5">
        <w:rPr>
          <w:rFonts w:ascii="Verdana" w:hAnsi="Verdana" w:cs="Arial"/>
          <w:color w:val="232120"/>
        </w:rPr>
        <w:t>have a duty</w:t>
      </w:r>
      <w:r w:rsidR="000760FC">
        <w:rPr>
          <w:rFonts w:ascii="Verdana" w:hAnsi="Verdana" w:cs="Arial"/>
          <w:color w:val="232120"/>
        </w:rPr>
        <w:t xml:space="preserve"> under Article 8 ECHR</w:t>
      </w:r>
      <w:r w:rsidR="001C53D5" w:rsidRPr="001C53D5">
        <w:rPr>
          <w:rFonts w:ascii="Verdana" w:hAnsi="Verdana" w:cs="Arial"/>
          <w:color w:val="232120"/>
        </w:rPr>
        <w:t xml:space="preserve"> to </w:t>
      </w:r>
      <w:r w:rsidR="001C53D5">
        <w:rPr>
          <w:rFonts w:ascii="Verdana" w:hAnsi="Verdana" w:cs="Arial"/>
          <w:color w:val="232120"/>
        </w:rPr>
        <w:t>establish an effective regulatory framework</w:t>
      </w:r>
      <w:r w:rsidR="00795F8F">
        <w:rPr>
          <w:rFonts w:ascii="Verdana" w:hAnsi="Verdana" w:cs="Arial"/>
          <w:color w:val="232120"/>
        </w:rPr>
        <w:t xml:space="preserve">, providing victims of medical negligence with access to proceedings under which </w:t>
      </w:r>
      <w:r w:rsidR="00795F8F">
        <w:rPr>
          <w:rFonts w:ascii="Verdana" w:hAnsi="Verdana" w:cs="Arial"/>
          <w:color w:val="232120"/>
          <w:lang w:val="en-HK"/>
        </w:rPr>
        <w:t>they can, in appropriate cases, obtain compensation for damage</w:t>
      </w:r>
      <w:r w:rsidR="00967D71">
        <w:rPr>
          <w:rFonts w:ascii="Verdana" w:hAnsi="Verdana" w:cs="Arial"/>
          <w:color w:val="232120"/>
          <w:lang w:val="en-HK"/>
        </w:rPr>
        <w:t>.</w:t>
      </w:r>
      <w:r w:rsidR="00795F8F">
        <w:rPr>
          <w:rStyle w:val="FootnoteReference"/>
          <w:rFonts w:ascii="Verdana" w:hAnsi="Verdana" w:cs="Arial"/>
          <w:color w:val="232120"/>
          <w:lang w:val="en-HK"/>
        </w:rPr>
        <w:footnoteReference w:id="35"/>
      </w:r>
    </w:p>
    <w:p w14:paraId="120D6E09" w14:textId="77777777" w:rsidR="00202569" w:rsidRDefault="00202569" w:rsidP="00EC6F70">
      <w:pPr>
        <w:pStyle w:val="BasicParagraph"/>
        <w:suppressAutoHyphens/>
        <w:rPr>
          <w:rFonts w:ascii="Verdana" w:hAnsi="Verdana" w:cs="Arial"/>
          <w:color w:val="232120"/>
          <w:lang w:val="en-HK"/>
        </w:rPr>
      </w:pPr>
    </w:p>
    <w:p w14:paraId="2842FFAD" w14:textId="6DD1429F" w:rsidR="002D03B5" w:rsidRDefault="007305F9" w:rsidP="00EC6F70">
      <w:pPr>
        <w:spacing w:line="288" w:lineRule="auto"/>
        <w:ind w:left="720" w:hanging="720"/>
        <w:rPr>
          <w:rFonts w:ascii="Verdana" w:eastAsia="Times New Roman" w:hAnsi="Verdana" w:cs="Times New Roman"/>
          <w:lang w:val="en-HK" w:eastAsia="zh-TW"/>
        </w:rPr>
      </w:pPr>
      <w:r>
        <w:rPr>
          <w:rFonts w:ascii="Verdana" w:hAnsi="Verdana" w:cs="Arial"/>
          <w:color w:val="232120"/>
          <w:lang w:val="en-HK"/>
        </w:rPr>
        <w:t>7</w:t>
      </w:r>
      <w:r w:rsidR="002D03B5" w:rsidRPr="006C2D83">
        <w:rPr>
          <w:rFonts w:ascii="Verdana" w:hAnsi="Verdana" w:cs="Arial"/>
          <w:color w:val="232120"/>
          <w:lang w:val="en-HK"/>
        </w:rPr>
        <w:t>.</w:t>
      </w:r>
      <w:r>
        <w:rPr>
          <w:rFonts w:ascii="Verdana" w:hAnsi="Verdana" w:cs="Arial"/>
          <w:color w:val="232120"/>
          <w:lang w:val="en-HK"/>
        </w:rPr>
        <w:t>3</w:t>
      </w:r>
      <w:r w:rsidR="002D03B5" w:rsidRPr="006C2D83">
        <w:rPr>
          <w:rFonts w:ascii="Verdana" w:hAnsi="Verdana" w:cs="Arial"/>
          <w:color w:val="232120"/>
          <w:lang w:val="en-HK"/>
        </w:rPr>
        <w:tab/>
      </w:r>
      <w:r w:rsidR="00202569">
        <w:rPr>
          <w:rFonts w:ascii="Verdana" w:eastAsia="Times New Roman" w:hAnsi="Verdana"/>
          <w:lang w:val="en-HK" w:eastAsia="zh-TW"/>
        </w:rPr>
        <w:t xml:space="preserve">In </w:t>
      </w:r>
      <w:r w:rsidR="007D5DF1">
        <w:rPr>
          <w:rFonts w:ascii="Verdana" w:eastAsia="Times New Roman" w:hAnsi="Verdana" w:cs="Times New Roman"/>
          <w:i/>
          <w:iCs/>
          <w:lang w:val="en-HK" w:eastAsia="zh-TW"/>
        </w:rPr>
        <w:t>Lopes de Sousa Fernandes v Portugal</w:t>
      </w:r>
      <w:r w:rsidR="007D5DF1">
        <w:rPr>
          <w:rFonts w:ascii="Verdana" w:eastAsia="Times New Roman" w:hAnsi="Verdana" w:cs="Times New Roman"/>
          <w:lang w:val="en-HK" w:eastAsia="zh-TW"/>
        </w:rPr>
        <w:t>,</w:t>
      </w:r>
      <w:r w:rsidR="0074506C">
        <w:rPr>
          <w:rFonts w:ascii="Verdana" w:eastAsia="Times New Roman" w:hAnsi="Verdana" w:cs="Times New Roman"/>
          <w:lang w:val="en-HK" w:eastAsia="zh-TW"/>
        </w:rPr>
        <w:t xml:space="preserve"> the applicant’s husband died following </w:t>
      </w:r>
      <w:r w:rsidR="0074506C" w:rsidRPr="0074506C">
        <w:rPr>
          <w:rFonts w:ascii="Verdana" w:eastAsia="Times New Roman" w:hAnsi="Verdana" w:cs="Times New Roman"/>
          <w:lang w:val="en-HK" w:eastAsia="zh-TW"/>
        </w:rPr>
        <w:t xml:space="preserve">a </w:t>
      </w:r>
      <w:r w:rsidR="0074506C">
        <w:rPr>
          <w:rFonts w:ascii="Verdana" w:eastAsia="Times New Roman" w:hAnsi="Verdana" w:cs="Times New Roman"/>
          <w:lang w:val="en-HK" w:eastAsia="zh-TW"/>
        </w:rPr>
        <w:t>series</w:t>
      </w:r>
      <w:r w:rsidR="0074506C" w:rsidRPr="0074506C">
        <w:rPr>
          <w:rFonts w:ascii="Verdana" w:eastAsia="Times New Roman" w:hAnsi="Verdana" w:cs="Times New Roman"/>
          <w:lang w:val="en-HK" w:eastAsia="zh-TW"/>
        </w:rPr>
        <w:t xml:space="preserve"> of complications after a nasal polypectomy</w:t>
      </w:r>
      <w:r w:rsidR="00853DA8">
        <w:rPr>
          <w:rFonts w:ascii="Verdana" w:eastAsia="Times New Roman" w:hAnsi="Verdana" w:cs="Times New Roman"/>
          <w:lang w:val="en-HK" w:eastAsia="zh-TW"/>
        </w:rPr>
        <w:t>.</w:t>
      </w:r>
      <w:r w:rsidR="00853DA8">
        <w:rPr>
          <w:rStyle w:val="FootnoteReference"/>
          <w:rFonts w:ascii="Verdana" w:eastAsia="Times New Roman" w:hAnsi="Verdana" w:cs="Times New Roman"/>
          <w:lang w:val="en-HK" w:eastAsia="zh-TW"/>
        </w:rPr>
        <w:footnoteReference w:id="36"/>
      </w:r>
      <w:r w:rsidR="0074506C">
        <w:rPr>
          <w:rFonts w:ascii="Verdana" w:eastAsia="Times New Roman" w:hAnsi="Verdana" w:cs="Times New Roman"/>
          <w:lang w:val="en-HK" w:eastAsia="zh-TW"/>
        </w:rPr>
        <w:t xml:space="preserve"> The applicant alleged that her husband’s death was the result of negligence by the medical staff caring for him. Following her husband’s death, the applicant made a number of attempts requesting an explanation for the sudden deterioration in her husband’s health and subsequent death. </w:t>
      </w:r>
    </w:p>
    <w:p w14:paraId="2D57505D" w14:textId="77777777" w:rsidR="00691EC8" w:rsidRPr="00691EC8" w:rsidRDefault="00691EC8" w:rsidP="00EC6F70">
      <w:pPr>
        <w:spacing w:line="288" w:lineRule="auto"/>
        <w:ind w:left="720" w:hanging="720"/>
        <w:rPr>
          <w:rFonts w:ascii="Verdana" w:eastAsia="Times New Roman" w:hAnsi="Verdana" w:cs="Times New Roman"/>
          <w:i/>
          <w:iCs/>
          <w:lang w:val="en-HK" w:eastAsia="zh-TW"/>
        </w:rPr>
      </w:pPr>
    </w:p>
    <w:p w14:paraId="09B2C253" w14:textId="21350F2B" w:rsidR="002D03B5" w:rsidRDefault="007305F9" w:rsidP="00EC6F70">
      <w:pPr>
        <w:pStyle w:val="BasicParagraph"/>
        <w:suppressAutoHyphens/>
        <w:ind w:left="720" w:hanging="720"/>
        <w:rPr>
          <w:rFonts w:ascii="Verdana" w:hAnsi="Verdana" w:cs="Arial"/>
          <w:color w:val="232120"/>
          <w:lang w:val="en-HK"/>
        </w:rPr>
      </w:pPr>
      <w:r>
        <w:rPr>
          <w:rFonts w:ascii="Verdana" w:hAnsi="Verdana" w:cs="Arial"/>
          <w:color w:val="232120"/>
          <w:lang w:val="en-HK"/>
        </w:rPr>
        <w:t>7</w:t>
      </w:r>
      <w:r w:rsidR="002D03B5" w:rsidRPr="004924EA">
        <w:rPr>
          <w:rFonts w:ascii="Verdana" w:hAnsi="Verdana" w:cs="Arial"/>
          <w:color w:val="232120"/>
          <w:lang w:val="en-HK"/>
        </w:rPr>
        <w:t>.</w:t>
      </w:r>
      <w:r>
        <w:rPr>
          <w:rFonts w:ascii="Verdana" w:hAnsi="Verdana" w:cs="Arial"/>
          <w:color w:val="232120"/>
          <w:lang w:val="en-HK"/>
        </w:rPr>
        <w:t>4</w:t>
      </w:r>
      <w:r w:rsidR="002D03B5" w:rsidRPr="004924EA">
        <w:rPr>
          <w:rFonts w:ascii="Verdana" w:hAnsi="Verdana" w:cs="Arial"/>
          <w:color w:val="232120"/>
          <w:lang w:val="en-HK"/>
        </w:rPr>
        <w:tab/>
      </w:r>
      <w:r w:rsidR="00691EC8">
        <w:rPr>
          <w:rFonts w:ascii="Verdana" w:hAnsi="Verdana" w:cs="Arial"/>
          <w:color w:val="232120"/>
          <w:lang w:val="en-HK"/>
        </w:rPr>
        <w:t xml:space="preserve">The </w:t>
      </w:r>
      <w:r w:rsidR="00B007A3">
        <w:rPr>
          <w:rFonts w:ascii="Verdana" w:hAnsi="Verdana" w:cs="Arial"/>
          <w:color w:val="232120"/>
          <w:lang w:val="en-HK"/>
        </w:rPr>
        <w:t xml:space="preserve">ECtHR </w:t>
      </w:r>
      <w:r w:rsidR="00691EC8">
        <w:rPr>
          <w:rFonts w:ascii="Verdana" w:hAnsi="Verdana" w:cs="Arial"/>
          <w:color w:val="232120"/>
          <w:lang w:val="en-HK"/>
        </w:rPr>
        <w:t xml:space="preserve">held that there had been a violation of the procedural limb of Article 2 ECHR on the grounds that the subsequent investigations </w:t>
      </w:r>
      <w:r w:rsidR="00FB2570">
        <w:rPr>
          <w:rFonts w:ascii="Verdana" w:hAnsi="Verdana" w:cs="Arial"/>
          <w:color w:val="232120"/>
          <w:lang w:val="en-HK"/>
        </w:rPr>
        <w:t xml:space="preserve">and court actions </w:t>
      </w:r>
      <w:r w:rsidR="00691EC8">
        <w:rPr>
          <w:rFonts w:ascii="Verdana" w:hAnsi="Verdana" w:cs="Arial"/>
          <w:color w:val="232120"/>
          <w:lang w:val="en-HK"/>
        </w:rPr>
        <w:t>had lacked promptness and effectiveness</w:t>
      </w:r>
      <w:r w:rsidR="0071334E">
        <w:rPr>
          <w:rFonts w:ascii="Verdana" w:hAnsi="Verdana" w:cs="Arial"/>
          <w:color w:val="232120"/>
          <w:lang w:val="en-HK"/>
        </w:rPr>
        <w:t xml:space="preserve">. </w:t>
      </w:r>
      <w:r w:rsidR="00FB2570">
        <w:rPr>
          <w:rFonts w:ascii="Verdana" w:hAnsi="Verdana" w:cs="Arial"/>
          <w:color w:val="232120"/>
          <w:lang w:val="en-HK"/>
        </w:rPr>
        <w:t xml:space="preserve">An investigation </w:t>
      </w:r>
      <w:r w:rsidR="00FB2570">
        <w:rPr>
          <w:rFonts w:ascii="Verdana" w:hAnsi="Verdana" w:cs="Arial"/>
          <w:color w:val="232120"/>
          <w:lang w:val="en-HK"/>
        </w:rPr>
        <w:lastRenderedPageBreak/>
        <w:t xml:space="preserve">took two years to open, a further one year to appoint an inspector to head the investigation, and after seven years and ten months, the investigation was stayed pending the outcome of criminal proceedings. Proceedings before the Medical Association took approximately four years and five months, which the </w:t>
      </w:r>
      <w:r w:rsidR="002369E5">
        <w:rPr>
          <w:rFonts w:ascii="Verdana" w:hAnsi="Verdana" w:cs="Arial"/>
          <w:color w:val="232120"/>
          <w:lang w:val="en-HK"/>
        </w:rPr>
        <w:t>E</w:t>
      </w:r>
      <w:r w:rsidR="00FB2570">
        <w:rPr>
          <w:rFonts w:ascii="Verdana" w:hAnsi="Verdana" w:cs="Arial"/>
          <w:color w:val="232120"/>
          <w:lang w:val="en-HK"/>
        </w:rPr>
        <w:t>C</w:t>
      </w:r>
      <w:r w:rsidR="002369E5">
        <w:rPr>
          <w:rFonts w:ascii="Verdana" w:hAnsi="Verdana" w:cs="Arial"/>
          <w:color w:val="232120"/>
          <w:lang w:val="en-HK"/>
        </w:rPr>
        <w:t>tHR</w:t>
      </w:r>
      <w:r w:rsidR="00FB2570">
        <w:rPr>
          <w:rFonts w:ascii="Verdana" w:hAnsi="Verdana" w:cs="Arial"/>
          <w:color w:val="232120"/>
          <w:lang w:val="en-HK"/>
        </w:rPr>
        <w:t xml:space="preserve"> held to be an unreasonable length of time, considering they had merely </w:t>
      </w:r>
      <w:r w:rsidR="00FB2570" w:rsidRPr="00FB2570">
        <w:rPr>
          <w:rFonts w:ascii="Verdana" w:hAnsi="Verdana" w:cs="Arial"/>
          <w:color w:val="232120"/>
          <w:lang w:val="en-HK"/>
        </w:rPr>
        <w:t xml:space="preserve">consisted </w:t>
      </w:r>
      <w:r w:rsidR="00FB2570">
        <w:rPr>
          <w:rFonts w:ascii="Verdana" w:hAnsi="Verdana" w:cs="Arial"/>
          <w:color w:val="232120"/>
          <w:lang w:val="en-HK"/>
        </w:rPr>
        <w:t>of</w:t>
      </w:r>
      <w:r w:rsidR="00FB2570" w:rsidRPr="00FB2570">
        <w:rPr>
          <w:rFonts w:ascii="Verdana" w:hAnsi="Verdana" w:cs="Arial"/>
          <w:color w:val="232120"/>
          <w:lang w:val="en-HK"/>
        </w:rPr>
        <w:t xml:space="preserve"> examining the patient’s medical records and the opinions of the specialist panels</w:t>
      </w:r>
      <w:r w:rsidR="005D1F9E">
        <w:rPr>
          <w:rFonts w:ascii="Verdana" w:hAnsi="Verdana" w:cs="Arial"/>
          <w:color w:val="232120"/>
          <w:lang w:val="en-HK"/>
        </w:rPr>
        <w:t>, without any evidence being heard.</w:t>
      </w:r>
      <w:r w:rsidR="00F06E83">
        <w:rPr>
          <w:rFonts w:ascii="Verdana" w:hAnsi="Verdana" w:cs="Arial"/>
          <w:color w:val="232120"/>
          <w:lang w:val="en-HK"/>
        </w:rPr>
        <w:t xml:space="preserve"> Finally,</w:t>
      </w:r>
      <w:r w:rsidR="002369E5">
        <w:rPr>
          <w:rFonts w:ascii="Verdana" w:hAnsi="Verdana" w:cs="Arial"/>
          <w:color w:val="232120"/>
          <w:lang w:val="en-HK"/>
        </w:rPr>
        <w:t xml:space="preserve"> criminal proceedings </w:t>
      </w:r>
      <w:r w:rsidR="00F06E83">
        <w:rPr>
          <w:rFonts w:ascii="Verdana" w:hAnsi="Verdana" w:cs="Arial"/>
          <w:color w:val="232120"/>
          <w:lang w:val="en-HK"/>
        </w:rPr>
        <w:t xml:space="preserve">against one of the doctors in the medical team </w:t>
      </w:r>
      <w:r w:rsidR="002369E5">
        <w:rPr>
          <w:rFonts w:ascii="Verdana" w:hAnsi="Verdana" w:cs="Arial"/>
          <w:color w:val="232120"/>
          <w:lang w:val="en-HK"/>
        </w:rPr>
        <w:t>lasted six years and eight months, and the ECtHR considered the proceedings to have been ineffective and not conducted promptly.</w:t>
      </w:r>
      <w:r w:rsidR="004D4A38">
        <w:rPr>
          <w:rStyle w:val="FootnoteReference"/>
          <w:rFonts w:ascii="Verdana" w:hAnsi="Verdana" w:cs="Arial"/>
          <w:color w:val="232120"/>
          <w:lang w:val="en-HK"/>
        </w:rPr>
        <w:footnoteReference w:id="37"/>
      </w:r>
      <w:r w:rsidR="00F06E83">
        <w:rPr>
          <w:rFonts w:ascii="Verdana" w:hAnsi="Verdana" w:cs="Arial"/>
          <w:color w:val="232120"/>
          <w:lang w:val="en-HK"/>
        </w:rPr>
        <w:t xml:space="preserve"> </w:t>
      </w:r>
    </w:p>
    <w:p w14:paraId="29D5A905" w14:textId="77777777" w:rsidR="002D03B5" w:rsidRDefault="002D03B5" w:rsidP="00EC6F70">
      <w:pPr>
        <w:pStyle w:val="BasicParagraph"/>
        <w:suppressAutoHyphens/>
        <w:ind w:left="720" w:hanging="720"/>
        <w:rPr>
          <w:rFonts w:ascii="Verdana" w:hAnsi="Verdana" w:cs="Arial"/>
          <w:color w:val="232120"/>
          <w:lang w:val="en-HK"/>
        </w:rPr>
      </w:pPr>
    </w:p>
    <w:p w14:paraId="04C1E782" w14:textId="7FC1B563" w:rsidR="002D03B5" w:rsidRPr="00EF7848" w:rsidRDefault="007305F9" w:rsidP="00EC6F70">
      <w:pPr>
        <w:pStyle w:val="BasicParagraph"/>
        <w:suppressAutoHyphens/>
        <w:ind w:left="720" w:hanging="720"/>
        <w:rPr>
          <w:rFonts w:ascii="Verdana" w:hAnsi="Verdana" w:cs="Arial"/>
          <w:b/>
          <w:bCs/>
          <w:color w:val="232120"/>
        </w:rPr>
      </w:pPr>
      <w:r>
        <w:rPr>
          <w:rFonts w:ascii="Verdana" w:hAnsi="Verdana" w:cs="Arial"/>
          <w:b/>
          <w:bCs/>
          <w:color w:val="232120"/>
          <w:lang w:val="en-HK"/>
        </w:rPr>
        <w:t>7</w:t>
      </w:r>
      <w:r w:rsidR="002D03B5" w:rsidRPr="00EF7848">
        <w:rPr>
          <w:rFonts w:ascii="Verdana" w:hAnsi="Verdana" w:cs="Arial"/>
          <w:b/>
          <w:bCs/>
          <w:color w:val="232120"/>
          <w:lang w:val="en-HK"/>
        </w:rPr>
        <w:t>.</w:t>
      </w:r>
      <w:r>
        <w:rPr>
          <w:rFonts w:ascii="Verdana" w:hAnsi="Verdana" w:cs="Arial"/>
          <w:b/>
          <w:bCs/>
          <w:color w:val="232120"/>
          <w:lang w:val="en-HK"/>
        </w:rPr>
        <w:t>5</w:t>
      </w:r>
      <w:r w:rsidR="002D03B5" w:rsidRPr="00EF7848">
        <w:rPr>
          <w:rFonts w:ascii="Verdana" w:hAnsi="Verdana" w:cs="Arial"/>
          <w:b/>
          <w:bCs/>
          <w:color w:val="232120"/>
          <w:lang w:val="en-HK"/>
        </w:rPr>
        <w:tab/>
      </w:r>
      <w:r w:rsidR="001B77CC" w:rsidRPr="00EF7848">
        <w:rPr>
          <w:rFonts w:ascii="Verdana" w:hAnsi="Verdana" w:cs="Arial"/>
          <w:b/>
          <w:bCs/>
          <w:color w:val="232120"/>
          <w:lang w:val="en-HK"/>
        </w:rPr>
        <w:t>In light of th</w:t>
      </w:r>
      <w:r w:rsidR="00184E32">
        <w:rPr>
          <w:rFonts w:ascii="Verdana" w:hAnsi="Verdana" w:cs="Arial"/>
          <w:b/>
          <w:bCs/>
          <w:color w:val="232120"/>
          <w:lang w:val="en-HK"/>
        </w:rPr>
        <w:t>e</w:t>
      </w:r>
      <w:r w:rsidR="007A77D8">
        <w:rPr>
          <w:rFonts w:ascii="Verdana" w:hAnsi="Verdana" w:cs="Arial"/>
          <w:b/>
          <w:bCs/>
          <w:color w:val="232120"/>
          <w:lang w:val="en-HK"/>
        </w:rPr>
        <w:t xml:space="preserve"> foregoing</w:t>
      </w:r>
      <w:r w:rsidR="00184E32">
        <w:rPr>
          <w:rFonts w:ascii="Verdana" w:hAnsi="Verdana" w:cs="Arial"/>
          <w:b/>
          <w:bCs/>
          <w:color w:val="232120"/>
          <w:lang w:val="en-HK"/>
        </w:rPr>
        <w:t xml:space="preserve"> </w:t>
      </w:r>
      <w:r w:rsidR="000E58AF">
        <w:rPr>
          <w:rFonts w:ascii="Verdana" w:hAnsi="Verdana" w:cs="Arial"/>
          <w:b/>
          <w:bCs/>
          <w:color w:val="232120"/>
          <w:lang w:val="en-HK"/>
        </w:rPr>
        <w:t>reasons</w:t>
      </w:r>
      <w:r w:rsidR="001B77CC" w:rsidRPr="00EF7848">
        <w:rPr>
          <w:rFonts w:ascii="Verdana" w:hAnsi="Verdana" w:cs="Arial"/>
          <w:b/>
          <w:bCs/>
          <w:color w:val="232120"/>
          <w:lang w:val="en-HK"/>
        </w:rPr>
        <w:t xml:space="preserve">, </w:t>
      </w:r>
      <w:r w:rsidR="0041750B" w:rsidRPr="00EF7848">
        <w:rPr>
          <w:rFonts w:ascii="Verdana" w:hAnsi="Verdana" w:cs="Arial"/>
          <w:b/>
          <w:bCs/>
          <w:color w:val="232120"/>
          <w:lang w:val="en-HK"/>
        </w:rPr>
        <w:t xml:space="preserve">the Commission supports the </w:t>
      </w:r>
      <w:r w:rsidR="0039667E" w:rsidRPr="00EF7848">
        <w:rPr>
          <w:rFonts w:ascii="Verdana" w:hAnsi="Verdana" w:cs="Arial"/>
          <w:b/>
          <w:bCs/>
          <w:color w:val="232120"/>
          <w:lang w:val="en-HK"/>
        </w:rPr>
        <w:t>proposed requirements under the organisational Duty of Candour when things go wrong.</w:t>
      </w:r>
    </w:p>
    <w:p w14:paraId="1DDB0CAB" w14:textId="77777777" w:rsidR="002D03B5" w:rsidRDefault="002D03B5" w:rsidP="00EC6F70">
      <w:pPr>
        <w:pStyle w:val="BasicParagraph"/>
        <w:suppressAutoHyphens/>
        <w:rPr>
          <w:rFonts w:ascii="Verdana" w:hAnsi="Verdana" w:cs="Arial"/>
          <w:b/>
          <w:bCs/>
          <w:color w:val="232120"/>
        </w:rPr>
      </w:pPr>
    </w:p>
    <w:p w14:paraId="7EC0FA30" w14:textId="708F5A79" w:rsidR="00F953A2" w:rsidRDefault="007305F9" w:rsidP="00EC6F70">
      <w:pPr>
        <w:pStyle w:val="BasicParagraph"/>
        <w:suppressAutoHyphens/>
        <w:rPr>
          <w:rFonts w:ascii="Verdana" w:hAnsi="Verdana" w:cs="Arial"/>
          <w:b/>
          <w:color w:val="77328A"/>
          <w:sz w:val="30"/>
          <w:szCs w:val="30"/>
        </w:rPr>
      </w:pPr>
      <w:r>
        <w:rPr>
          <w:rFonts w:ascii="Verdana" w:hAnsi="Verdana" w:cs="Arial"/>
          <w:b/>
          <w:color w:val="77328A"/>
          <w:sz w:val="30"/>
          <w:szCs w:val="30"/>
        </w:rPr>
        <w:t>8</w:t>
      </w:r>
      <w:r w:rsidR="00F953A2" w:rsidRPr="003B7D0E">
        <w:rPr>
          <w:rFonts w:ascii="Verdana" w:hAnsi="Verdana" w:cs="Arial"/>
          <w:b/>
          <w:color w:val="77328A"/>
          <w:sz w:val="30"/>
          <w:szCs w:val="30"/>
        </w:rPr>
        <w:t>.0</w:t>
      </w:r>
      <w:r w:rsidR="00F953A2" w:rsidRPr="003B7D0E">
        <w:rPr>
          <w:rFonts w:ascii="Verdana" w:hAnsi="Verdana" w:cs="Arial"/>
          <w:b/>
          <w:color w:val="77328A"/>
          <w:sz w:val="30"/>
          <w:szCs w:val="30"/>
        </w:rPr>
        <w:tab/>
      </w:r>
      <w:r w:rsidR="00932A50">
        <w:rPr>
          <w:rFonts w:ascii="Verdana" w:hAnsi="Verdana" w:cs="Arial"/>
          <w:b/>
          <w:color w:val="77328A"/>
          <w:sz w:val="30"/>
          <w:szCs w:val="30"/>
        </w:rPr>
        <w:t>Apologies</w:t>
      </w:r>
    </w:p>
    <w:p w14:paraId="15B65E23" w14:textId="104610B3" w:rsidR="00932A50" w:rsidRPr="00EF7848" w:rsidRDefault="00932A50" w:rsidP="00EC6F70">
      <w:pPr>
        <w:pStyle w:val="BasicParagraph"/>
        <w:suppressAutoHyphens/>
        <w:rPr>
          <w:rFonts w:ascii="Verdana" w:hAnsi="Verdana" w:cs="Arial"/>
          <w:b/>
          <w:color w:val="77328A"/>
        </w:rPr>
      </w:pPr>
    </w:p>
    <w:p w14:paraId="42F975CA" w14:textId="242F8897" w:rsidR="00932A50" w:rsidRDefault="007305F9" w:rsidP="00EC6F70">
      <w:pPr>
        <w:pStyle w:val="BasicParagraph"/>
        <w:suppressAutoHyphens/>
        <w:ind w:left="720" w:hanging="720"/>
        <w:rPr>
          <w:rFonts w:ascii="Verdana" w:hAnsi="Verdana" w:cs="Arial"/>
          <w:color w:val="232120"/>
          <w:lang w:val="en-HK"/>
        </w:rPr>
      </w:pPr>
      <w:r>
        <w:rPr>
          <w:rFonts w:ascii="Verdana" w:hAnsi="Verdana" w:cs="Arial"/>
          <w:color w:val="232120"/>
          <w:lang w:val="en-HK"/>
        </w:rPr>
        <w:t>8</w:t>
      </w:r>
      <w:r w:rsidR="00932A50">
        <w:rPr>
          <w:rFonts w:ascii="Verdana" w:hAnsi="Verdana" w:cs="Arial"/>
          <w:color w:val="232120"/>
          <w:lang w:val="en-HK"/>
        </w:rPr>
        <w:t>.</w:t>
      </w:r>
      <w:r w:rsidR="006A31D7">
        <w:rPr>
          <w:rFonts w:ascii="Verdana" w:hAnsi="Verdana" w:cs="Arial"/>
          <w:color w:val="232120"/>
          <w:lang w:val="en-HK"/>
        </w:rPr>
        <w:t>1</w:t>
      </w:r>
      <w:r w:rsidR="00932A50">
        <w:rPr>
          <w:rFonts w:ascii="Verdana" w:hAnsi="Verdana" w:cs="Arial"/>
          <w:color w:val="232120"/>
          <w:lang w:val="en-HK"/>
        </w:rPr>
        <w:tab/>
      </w:r>
      <w:r w:rsidR="006A31D7">
        <w:rPr>
          <w:rFonts w:ascii="Verdana" w:hAnsi="Verdana" w:cs="Arial"/>
          <w:color w:val="232120"/>
          <w:lang w:val="en-HK"/>
        </w:rPr>
        <w:t>The Consul</w:t>
      </w:r>
      <w:r w:rsidR="00FD3773">
        <w:rPr>
          <w:rFonts w:ascii="Verdana" w:hAnsi="Verdana" w:cs="Arial"/>
          <w:color w:val="232120"/>
          <w:lang w:val="en-HK"/>
        </w:rPr>
        <w:t xml:space="preserve">tation document </w:t>
      </w:r>
      <w:r w:rsidR="004B52F4">
        <w:rPr>
          <w:rFonts w:ascii="Verdana" w:hAnsi="Verdana" w:cs="Arial"/>
          <w:color w:val="232120"/>
          <w:lang w:val="en-HK"/>
        </w:rPr>
        <w:t xml:space="preserve">proposes introducing a legislative requirement to provide an apology as part of the Duty of Candour procedure. </w:t>
      </w:r>
      <w:r w:rsidR="00BD55DB">
        <w:rPr>
          <w:rFonts w:ascii="Verdana" w:hAnsi="Verdana" w:cs="Arial"/>
          <w:color w:val="232120"/>
          <w:lang w:val="en-HK"/>
        </w:rPr>
        <w:t xml:space="preserve">It further notes the risk that legislating for an apology in Duty of Candour legislation may </w:t>
      </w:r>
      <w:r w:rsidR="00D43C10">
        <w:rPr>
          <w:rFonts w:ascii="Verdana" w:hAnsi="Verdana" w:cs="Arial"/>
          <w:color w:val="232120"/>
          <w:lang w:val="en-HK"/>
        </w:rPr>
        <w:t xml:space="preserve">lead to </w:t>
      </w:r>
      <w:r w:rsidR="00BD55DB">
        <w:rPr>
          <w:rFonts w:ascii="Verdana" w:hAnsi="Verdana" w:cs="Arial"/>
          <w:color w:val="232120"/>
          <w:lang w:val="en-HK"/>
        </w:rPr>
        <w:t>apologies</w:t>
      </w:r>
      <w:r w:rsidR="00D43C10">
        <w:rPr>
          <w:rFonts w:ascii="Verdana" w:hAnsi="Verdana" w:cs="Arial"/>
          <w:color w:val="232120"/>
          <w:lang w:val="en-HK"/>
        </w:rPr>
        <w:t xml:space="preserve"> that</w:t>
      </w:r>
      <w:r w:rsidR="00BD55DB">
        <w:rPr>
          <w:rFonts w:ascii="Verdana" w:hAnsi="Verdana" w:cs="Arial"/>
          <w:color w:val="232120"/>
          <w:lang w:val="en-HK"/>
        </w:rPr>
        <w:t xml:space="preserve"> </w:t>
      </w:r>
      <w:r w:rsidR="006462C4">
        <w:rPr>
          <w:rFonts w:ascii="Verdana" w:hAnsi="Verdana" w:cs="Arial"/>
          <w:color w:val="232120"/>
          <w:lang w:val="en-HK"/>
        </w:rPr>
        <w:t>becom</w:t>
      </w:r>
      <w:r w:rsidR="00BD55DB">
        <w:rPr>
          <w:rFonts w:ascii="Verdana" w:hAnsi="Verdana" w:cs="Arial"/>
          <w:color w:val="232120"/>
          <w:lang w:val="en-HK"/>
        </w:rPr>
        <w:t>e standardised or formulaic in nature.</w:t>
      </w:r>
    </w:p>
    <w:p w14:paraId="2A9CD3F2" w14:textId="5D7BB95D" w:rsidR="004B52F4" w:rsidRDefault="004B52F4" w:rsidP="00EC6F70">
      <w:pPr>
        <w:pStyle w:val="BasicParagraph"/>
        <w:suppressAutoHyphens/>
        <w:ind w:left="720" w:hanging="720"/>
        <w:rPr>
          <w:rFonts w:ascii="Verdana" w:hAnsi="Verdana" w:cs="Arial"/>
          <w:color w:val="232120"/>
          <w:lang w:val="en-HK"/>
        </w:rPr>
      </w:pPr>
    </w:p>
    <w:p w14:paraId="4D4126AC" w14:textId="13465185" w:rsidR="009220D3" w:rsidRDefault="007305F9" w:rsidP="00EC6F70">
      <w:pPr>
        <w:pStyle w:val="BasicParagraph"/>
        <w:suppressAutoHyphens/>
        <w:ind w:left="720" w:hanging="720"/>
        <w:rPr>
          <w:rFonts w:ascii="Verdana" w:hAnsi="Verdana" w:cs="Arial"/>
          <w:color w:val="232120"/>
          <w:lang w:val="en-HK"/>
        </w:rPr>
      </w:pPr>
      <w:r>
        <w:rPr>
          <w:rFonts w:ascii="Verdana" w:hAnsi="Verdana" w:cs="Arial"/>
          <w:color w:val="232120"/>
          <w:lang w:val="en-HK"/>
        </w:rPr>
        <w:t>8</w:t>
      </w:r>
      <w:r w:rsidR="004B52F4">
        <w:rPr>
          <w:rFonts w:ascii="Verdana" w:hAnsi="Verdana" w:cs="Arial"/>
          <w:color w:val="232120"/>
          <w:lang w:val="en-HK"/>
        </w:rPr>
        <w:t>.2</w:t>
      </w:r>
      <w:r w:rsidR="004B52F4">
        <w:rPr>
          <w:rFonts w:ascii="Verdana" w:hAnsi="Verdana" w:cs="Arial"/>
          <w:color w:val="232120"/>
          <w:lang w:val="en-HK"/>
        </w:rPr>
        <w:tab/>
        <w:t xml:space="preserve">Genuine apologies, as </w:t>
      </w:r>
      <w:r w:rsidR="004B52F4" w:rsidRPr="004B52F4">
        <w:rPr>
          <w:rFonts w:ascii="Verdana" w:hAnsi="Verdana" w:cs="Arial"/>
          <w:color w:val="232120"/>
          <w:lang w:val="en-HK"/>
        </w:rPr>
        <w:t>statements that</w:t>
      </w:r>
      <w:r w:rsidR="004B52F4">
        <w:rPr>
          <w:rFonts w:ascii="Verdana" w:hAnsi="Verdana" w:cs="Arial"/>
          <w:color w:val="232120"/>
          <w:lang w:val="en-HK"/>
        </w:rPr>
        <w:t xml:space="preserve"> </w:t>
      </w:r>
      <w:r w:rsidR="004B52F4" w:rsidRPr="004B52F4">
        <w:rPr>
          <w:rFonts w:ascii="Verdana" w:hAnsi="Verdana" w:cs="Arial"/>
          <w:color w:val="232120"/>
          <w:lang w:val="en-HK"/>
        </w:rPr>
        <w:t>acknowledge an error and its consequences,</w:t>
      </w:r>
      <w:r w:rsidR="004B52F4">
        <w:rPr>
          <w:rFonts w:ascii="Verdana" w:hAnsi="Verdana" w:cs="Arial"/>
          <w:color w:val="232120"/>
          <w:lang w:val="en-HK"/>
        </w:rPr>
        <w:t xml:space="preserve"> which</w:t>
      </w:r>
      <w:r w:rsidR="004B52F4" w:rsidRPr="004B52F4">
        <w:rPr>
          <w:rFonts w:ascii="Verdana" w:hAnsi="Verdana" w:cs="Arial"/>
          <w:color w:val="232120"/>
          <w:lang w:val="en-HK"/>
        </w:rPr>
        <w:t xml:space="preserve"> take responsibility, and communicate regret for having caused harm</w:t>
      </w:r>
      <w:r w:rsidR="004B52F4">
        <w:rPr>
          <w:rFonts w:ascii="Verdana" w:hAnsi="Verdana" w:cs="Arial"/>
          <w:color w:val="232120"/>
          <w:lang w:val="en-HK"/>
        </w:rPr>
        <w:t xml:space="preserve">, </w:t>
      </w:r>
      <w:r w:rsidR="004B52F4" w:rsidRPr="004B52F4">
        <w:rPr>
          <w:rFonts w:ascii="Verdana" w:hAnsi="Verdana" w:cs="Arial"/>
          <w:color w:val="232120"/>
          <w:lang w:val="en-HK"/>
        </w:rPr>
        <w:t xml:space="preserve">can decrease blame, </w:t>
      </w:r>
      <w:r w:rsidR="00F614BD">
        <w:rPr>
          <w:rFonts w:ascii="Verdana" w:hAnsi="Verdana" w:cs="Arial"/>
          <w:color w:val="232120"/>
          <w:lang w:val="en-HK"/>
        </w:rPr>
        <w:t xml:space="preserve">reduce </w:t>
      </w:r>
      <w:r w:rsidR="004B52F4" w:rsidRPr="004B52F4">
        <w:rPr>
          <w:rFonts w:ascii="Verdana" w:hAnsi="Verdana" w:cs="Arial"/>
          <w:color w:val="232120"/>
          <w:lang w:val="en-HK"/>
        </w:rPr>
        <w:t>anger, increase trust, and improve relationships.</w:t>
      </w:r>
      <w:r w:rsidR="004B52F4">
        <w:rPr>
          <w:rStyle w:val="FootnoteReference"/>
          <w:rFonts w:ascii="Verdana" w:hAnsi="Verdana" w:cs="Arial"/>
          <w:color w:val="232120"/>
          <w:lang w:val="en-HK"/>
        </w:rPr>
        <w:footnoteReference w:id="38"/>
      </w:r>
      <w:r w:rsidR="004B52F4" w:rsidRPr="004B52F4">
        <w:rPr>
          <w:rFonts w:ascii="Verdana" w:hAnsi="Verdana" w:cs="Arial"/>
          <w:color w:val="232120"/>
          <w:lang w:val="en-HK"/>
        </w:rPr>
        <w:t xml:space="preserve"> </w:t>
      </w:r>
      <w:r w:rsidR="008145F5">
        <w:rPr>
          <w:rFonts w:ascii="Verdana" w:hAnsi="Verdana" w:cs="Arial"/>
          <w:color w:val="232120"/>
          <w:lang w:val="en-HK"/>
        </w:rPr>
        <w:t>A</w:t>
      </w:r>
      <w:r w:rsidR="0002465C" w:rsidRPr="0002465C">
        <w:rPr>
          <w:rFonts w:ascii="Verdana" w:hAnsi="Verdana" w:cs="Arial"/>
          <w:color w:val="232120"/>
          <w:lang w:val="en-HK"/>
        </w:rPr>
        <w:t xml:space="preserve"> genuine apology can allow healing for both parties to a dispute.</w:t>
      </w:r>
    </w:p>
    <w:p w14:paraId="165BE369" w14:textId="77777777" w:rsidR="004B52F4" w:rsidRDefault="004B52F4" w:rsidP="00EC6F70">
      <w:pPr>
        <w:pStyle w:val="BasicParagraph"/>
        <w:suppressAutoHyphens/>
        <w:ind w:left="720" w:hanging="720"/>
        <w:rPr>
          <w:rFonts w:ascii="Verdana" w:hAnsi="Verdana" w:cs="Arial"/>
          <w:color w:val="232120"/>
          <w:lang w:val="en-HK"/>
        </w:rPr>
      </w:pPr>
    </w:p>
    <w:p w14:paraId="54E113BC" w14:textId="45E15CD0" w:rsidR="004B52F4" w:rsidRDefault="007305F9" w:rsidP="00EC6F70">
      <w:pPr>
        <w:pStyle w:val="BasicParagraph"/>
        <w:suppressAutoHyphens/>
        <w:ind w:left="720" w:hanging="720"/>
        <w:rPr>
          <w:rFonts w:ascii="Verdana" w:hAnsi="Verdana" w:cs="Arial"/>
          <w:color w:val="232120"/>
          <w:lang w:val="en-HK"/>
        </w:rPr>
      </w:pPr>
      <w:r>
        <w:rPr>
          <w:rFonts w:ascii="Verdana" w:hAnsi="Verdana" w:cs="Arial"/>
          <w:color w:val="232120"/>
          <w:lang w:val="en-HK"/>
        </w:rPr>
        <w:t>8</w:t>
      </w:r>
      <w:r w:rsidR="004B52F4">
        <w:rPr>
          <w:rFonts w:ascii="Verdana" w:hAnsi="Verdana" w:cs="Arial"/>
          <w:color w:val="232120"/>
          <w:lang w:val="en-HK"/>
        </w:rPr>
        <w:t>.3</w:t>
      </w:r>
      <w:r w:rsidR="004B52F4">
        <w:rPr>
          <w:rFonts w:ascii="Verdana" w:hAnsi="Verdana" w:cs="Arial"/>
          <w:color w:val="232120"/>
          <w:lang w:val="en-HK"/>
        </w:rPr>
        <w:tab/>
        <w:t>Genuine apologies may also constitute an important</w:t>
      </w:r>
      <w:r w:rsidR="008A1C60">
        <w:rPr>
          <w:rFonts w:ascii="Verdana" w:hAnsi="Verdana" w:cs="Arial"/>
          <w:color w:val="232120"/>
          <w:lang w:val="en-HK"/>
        </w:rPr>
        <w:t xml:space="preserve"> </w:t>
      </w:r>
      <w:r w:rsidR="00095282">
        <w:rPr>
          <w:rFonts w:ascii="Verdana" w:hAnsi="Verdana" w:cs="Arial"/>
          <w:color w:val="232120"/>
          <w:lang w:val="en-HK"/>
        </w:rPr>
        <w:t>form</w:t>
      </w:r>
      <w:r w:rsidR="004B52F4">
        <w:rPr>
          <w:rFonts w:ascii="Verdana" w:hAnsi="Verdana" w:cs="Arial"/>
          <w:color w:val="232120"/>
          <w:lang w:val="en-HK"/>
        </w:rPr>
        <w:t xml:space="preserve"> of access to justice. </w:t>
      </w:r>
      <w:r w:rsidR="007A567D">
        <w:rPr>
          <w:rFonts w:ascii="Verdana" w:hAnsi="Verdana" w:cs="Arial"/>
          <w:color w:val="232120"/>
          <w:lang w:val="en-HK"/>
        </w:rPr>
        <w:t xml:space="preserve">In 1994, </w:t>
      </w:r>
      <w:r w:rsidR="004B52F4">
        <w:rPr>
          <w:rFonts w:ascii="Verdana" w:hAnsi="Verdana" w:cs="Arial"/>
          <w:color w:val="232120"/>
          <w:lang w:val="en-HK"/>
        </w:rPr>
        <w:t>Lord Woolf</w:t>
      </w:r>
      <w:r w:rsidR="007A567D">
        <w:rPr>
          <w:rFonts w:ascii="Verdana" w:hAnsi="Verdana" w:cs="Arial"/>
          <w:color w:val="232120"/>
          <w:lang w:val="en-HK"/>
        </w:rPr>
        <w:t xml:space="preserve"> was appointed to review</w:t>
      </w:r>
      <w:r w:rsidR="004B52F4">
        <w:rPr>
          <w:rFonts w:ascii="Verdana" w:hAnsi="Verdana" w:cs="Arial"/>
          <w:color w:val="232120"/>
          <w:lang w:val="en-HK"/>
        </w:rPr>
        <w:t xml:space="preserve"> </w:t>
      </w:r>
      <w:r w:rsidR="007A567D">
        <w:rPr>
          <w:rFonts w:ascii="Verdana" w:hAnsi="Verdana" w:cs="Arial"/>
          <w:color w:val="232120"/>
          <w:lang w:val="en-HK"/>
        </w:rPr>
        <w:t>the rules of civil procedure, with a view to improving access to justice, reducing the cost of litigation and removing unnecessary complexity. With respect to his review of medical negligence litigation, Lord Woolf found that “some victims want an explanation or apology rather than financial compensation, but are forced into protracted litigation because there is no other way of resolving the issues”.</w:t>
      </w:r>
      <w:r w:rsidR="0002465C">
        <w:rPr>
          <w:rStyle w:val="FootnoteReference"/>
          <w:rFonts w:ascii="Verdana" w:hAnsi="Verdana" w:cs="Arial"/>
          <w:color w:val="232120"/>
          <w:lang w:val="en-HK"/>
        </w:rPr>
        <w:footnoteReference w:id="39"/>
      </w:r>
      <w:r w:rsidR="00D76D13">
        <w:rPr>
          <w:rFonts w:ascii="Verdana" w:hAnsi="Verdana" w:cs="Arial"/>
          <w:color w:val="232120"/>
          <w:lang w:val="en-HK"/>
        </w:rPr>
        <w:t xml:space="preserve"> Accordingly, an apology with sincerity </w:t>
      </w:r>
      <w:r w:rsidR="00592F2A">
        <w:rPr>
          <w:rFonts w:ascii="Verdana" w:hAnsi="Verdana" w:cs="Arial"/>
          <w:color w:val="232120"/>
          <w:lang w:val="en-HK"/>
        </w:rPr>
        <w:t xml:space="preserve">and proper form may </w:t>
      </w:r>
      <w:r w:rsidR="008634BB">
        <w:rPr>
          <w:rFonts w:ascii="Verdana" w:hAnsi="Verdana" w:cs="Arial"/>
          <w:color w:val="232120"/>
          <w:lang w:val="en-HK"/>
        </w:rPr>
        <w:lastRenderedPageBreak/>
        <w:t>provide elements of closure to a victim, following a notifiable incident.</w:t>
      </w:r>
    </w:p>
    <w:p w14:paraId="7859B90A" w14:textId="77777777" w:rsidR="00B51616" w:rsidRDefault="00B51616" w:rsidP="00EC6F70">
      <w:pPr>
        <w:pStyle w:val="BasicParagraph"/>
        <w:suppressAutoHyphens/>
        <w:ind w:left="720" w:hanging="720"/>
        <w:rPr>
          <w:rFonts w:ascii="Verdana" w:hAnsi="Verdana" w:cs="Arial"/>
          <w:color w:val="232120"/>
          <w:lang w:val="en-HK"/>
        </w:rPr>
      </w:pPr>
    </w:p>
    <w:p w14:paraId="09BC2E16" w14:textId="58960E8C" w:rsidR="00322B07" w:rsidRDefault="007305F9" w:rsidP="00EC6F70">
      <w:pPr>
        <w:pStyle w:val="BasicParagraph"/>
        <w:suppressAutoHyphens/>
        <w:ind w:left="720" w:hanging="720"/>
        <w:rPr>
          <w:rFonts w:ascii="Verdana" w:hAnsi="Verdana" w:cs="Arial"/>
          <w:color w:val="232120"/>
          <w:lang w:val="en-HK"/>
        </w:rPr>
      </w:pPr>
      <w:r>
        <w:rPr>
          <w:rFonts w:ascii="Verdana" w:hAnsi="Verdana" w:cs="Arial"/>
          <w:color w:val="232120"/>
          <w:lang w:val="en-HK"/>
        </w:rPr>
        <w:t>8</w:t>
      </w:r>
      <w:r w:rsidR="00A62236">
        <w:rPr>
          <w:rFonts w:ascii="Verdana" w:hAnsi="Verdana" w:cs="Arial"/>
          <w:color w:val="232120"/>
          <w:lang w:val="en-HK"/>
        </w:rPr>
        <w:t>.4</w:t>
      </w:r>
      <w:r w:rsidR="00BD55DB">
        <w:rPr>
          <w:rFonts w:ascii="Verdana" w:hAnsi="Verdana" w:cs="Arial"/>
          <w:color w:val="232120"/>
          <w:lang w:val="en-HK"/>
        </w:rPr>
        <w:tab/>
      </w:r>
      <w:r w:rsidR="00574E76">
        <w:rPr>
          <w:rFonts w:ascii="Verdana" w:hAnsi="Verdana" w:cs="Arial"/>
          <w:color w:val="232120"/>
          <w:lang w:val="en-HK"/>
        </w:rPr>
        <w:t xml:space="preserve">The Commission supports the </w:t>
      </w:r>
      <w:r w:rsidR="00574E76" w:rsidRPr="00574E76">
        <w:rPr>
          <w:rFonts w:ascii="Verdana" w:hAnsi="Verdana" w:cs="Arial"/>
          <w:color w:val="232120"/>
          <w:lang w:val="en-HK"/>
        </w:rPr>
        <w:t>proposed legislative requirement to provide an apology as part of the Duty of Candour procedure</w:t>
      </w:r>
      <w:r w:rsidR="008145F5">
        <w:rPr>
          <w:rFonts w:ascii="Verdana" w:hAnsi="Verdana" w:cs="Arial"/>
          <w:color w:val="232120"/>
          <w:lang w:val="en-HK"/>
        </w:rPr>
        <w:t xml:space="preserve"> and the proposals under the statutory organisational Duty of Candour</w:t>
      </w:r>
      <w:r w:rsidR="00574E76">
        <w:rPr>
          <w:rFonts w:ascii="Verdana" w:hAnsi="Verdana" w:cs="Arial"/>
          <w:color w:val="232120"/>
          <w:lang w:val="en-HK"/>
        </w:rPr>
        <w:t xml:space="preserve">. </w:t>
      </w:r>
    </w:p>
    <w:p w14:paraId="34D1EA84" w14:textId="77777777" w:rsidR="00322B07" w:rsidRDefault="00322B07" w:rsidP="00EC6F70">
      <w:pPr>
        <w:pStyle w:val="BasicParagraph"/>
        <w:suppressAutoHyphens/>
        <w:ind w:left="720" w:hanging="720"/>
        <w:rPr>
          <w:rFonts w:ascii="Verdana" w:hAnsi="Verdana" w:cs="Arial"/>
          <w:color w:val="232120"/>
          <w:lang w:val="en-HK"/>
        </w:rPr>
      </w:pPr>
    </w:p>
    <w:p w14:paraId="642DDBB9" w14:textId="182360A0" w:rsidR="002E4A0E" w:rsidRDefault="007305F9" w:rsidP="00EC6F70">
      <w:pPr>
        <w:pStyle w:val="BasicParagraph"/>
        <w:suppressAutoHyphens/>
        <w:ind w:left="720" w:hanging="720"/>
        <w:rPr>
          <w:rFonts w:ascii="Verdana" w:hAnsi="Verdana" w:cs="Arial"/>
          <w:color w:val="232120"/>
          <w:lang w:val="en-HK"/>
        </w:rPr>
      </w:pPr>
      <w:r>
        <w:rPr>
          <w:rFonts w:ascii="Verdana" w:hAnsi="Verdana" w:cs="Arial"/>
          <w:color w:val="232120"/>
          <w:lang w:val="en-HK"/>
        </w:rPr>
        <w:t>8</w:t>
      </w:r>
      <w:r w:rsidR="00322B07">
        <w:rPr>
          <w:rFonts w:ascii="Verdana" w:hAnsi="Verdana" w:cs="Arial"/>
          <w:color w:val="232120"/>
          <w:lang w:val="en-HK"/>
        </w:rPr>
        <w:t>.5</w:t>
      </w:r>
      <w:r w:rsidR="00322B07">
        <w:rPr>
          <w:rFonts w:ascii="Verdana" w:hAnsi="Verdana" w:cs="Arial"/>
          <w:color w:val="232120"/>
          <w:lang w:val="en-HK"/>
        </w:rPr>
        <w:tab/>
      </w:r>
      <w:r w:rsidR="008145F5">
        <w:rPr>
          <w:rFonts w:ascii="Verdana" w:hAnsi="Verdana" w:cs="Arial"/>
          <w:color w:val="232120"/>
          <w:lang w:val="en-HK"/>
        </w:rPr>
        <w:t xml:space="preserve">The Commission </w:t>
      </w:r>
      <w:r w:rsidR="009E2390">
        <w:rPr>
          <w:rFonts w:ascii="Verdana" w:hAnsi="Verdana" w:cs="Arial"/>
          <w:color w:val="232120"/>
          <w:lang w:val="en-HK"/>
        </w:rPr>
        <w:t xml:space="preserve">stresses </w:t>
      </w:r>
      <w:r w:rsidR="008145F5">
        <w:rPr>
          <w:rFonts w:ascii="Verdana" w:hAnsi="Verdana" w:cs="Arial"/>
          <w:color w:val="232120"/>
          <w:lang w:val="en-HK"/>
        </w:rPr>
        <w:t>the importance that any apologies provided under the Duty of Candour procedure are sincere and genuine,</w:t>
      </w:r>
      <w:r w:rsidR="006C5CE8">
        <w:rPr>
          <w:rFonts w:ascii="Verdana" w:hAnsi="Verdana" w:cs="Arial"/>
          <w:color w:val="232120"/>
          <w:lang w:val="en-HK"/>
        </w:rPr>
        <w:t xml:space="preserve"> </w:t>
      </w:r>
      <w:r w:rsidR="009E2390">
        <w:rPr>
          <w:rFonts w:ascii="Verdana" w:hAnsi="Verdana" w:cs="Arial"/>
          <w:color w:val="232120"/>
          <w:lang w:val="en-HK"/>
        </w:rPr>
        <w:t>and</w:t>
      </w:r>
      <w:r w:rsidR="00B53012">
        <w:rPr>
          <w:rFonts w:ascii="Verdana" w:hAnsi="Verdana" w:cs="Arial"/>
          <w:color w:val="232120"/>
          <w:lang w:val="en-HK"/>
        </w:rPr>
        <w:t xml:space="preserve"> focus on the needs of the </w:t>
      </w:r>
      <w:r w:rsidR="002E4A0E">
        <w:rPr>
          <w:rFonts w:ascii="Verdana" w:hAnsi="Verdana" w:cs="Arial"/>
          <w:color w:val="232120"/>
          <w:lang w:val="en-HK"/>
        </w:rPr>
        <w:t>person who suffered harm.</w:t>
      </w:r>
      <w:r w:rsidR="00723E9E">
        <w:rPr>
          <w:rFonts w:ascii="Verdana" w:hAnsi="Verdana" w:cs="Arial"/>
          <w:color w:val="232120"/>
          <w:lang w:val="en-HK"/>
        </w:rPr>
        <w:t xml:space="preserve"> </w:t>
      </w:r>
    </w:p>
    <w:p w14:paraId="67F48505" w14:textId="77777777" w:rsidR="002E4A0E" w:rsidRDefault="002E4A0E" w:rsidP="00EC6F70">
      <w:pPr>
        <w:pStyle w:val="BasicParagraph"/>
        <w:suppressAutoHyphens/>
        <w:ind w:left="720" w:hanging="720"/>
        <w:rPr>
          <w:rFonts w:ascii="Verdana" w:hAnsi="Verdana" w:cs="Arial"/>
          <w:color w:val="232120"/>
          <w:lang w:val="en-HK"/>
        </w:rPr>
      </w:pPr>
    </w:p>
    <w:p w14:paraId="434AD4DA" w14:textId="4BFA5C98" w:rsidR="0021281D" w:rsidRPr="00EF7848" w:rsidRDefault="007305F9" w:rsidP="00EC6F70">
      <w:pPr>
        <w:pStyle w:val="BasicParagraph"/>
        <w:suppressAutoHyphens/>
        <w:ind w:left="720" w:hanging="720"/>
        <w:rPr>
          <w:rFonts w:ascii="Verdana" w:hAnsi="Verdana" w:cs="Arial"/>
          <w:b/>
          <w:bCs/>
          <w:color w:val="232120"/>
          <w:lang w:val="en-HK"/>
        </w:rPr>
      </w:pPr>
      <w:r>
        <w:rPr>
          <w:rFonts w:ascii="Verdana" w:hAnsi="Verdana" w:cs="Arial"/>
          <w:b/>
          <w:bCs/>
          <w:color w:val="232120"/>
          <w:lang w:val="en-HK"/>
        </w:rPr>
        <w:t>8</w:t>
      </w:r>
      <w:r w:rsidR="002E4A0E" w:rsidRPr="00EF7848">
        <w:rPr>
          <w:rFonts w:ascii="Verdana" w:hAnsi="Verdana" w:cs="Arial"/>
          <w:b/>
          <w:bCs/>
          <w:color w:val="232120"/>
          <w:lang w:val="en-HK"/>
        </w:rPr>
        <w:t>.6</w:t>
      </w:r>
      <w:r w:rsidR="002E4A0E" w:rsidRPr="00EF7848">
        <w:rPr>
          <w:rFonts w:ascii="Verdana" w:hAnsi="Verdana" w:cs="Arial"/>
          <w:b/>
          <w:bCs/>
          <w:color w:val="232120"/>
          <w:lang w:val="en-HK"/>
        </w:rPr>
        <w:tab/>
        <w:t>The Commission supports the proposed legislative requirement to provide an</w:t>
      </w:r>
      <w:r w:rsidR="00355674">
        <w:rPr>
          <w:rFonts w:ascii="Verdana" w:hAnsi="Verdana" w:cs="Arial"/>
          <w:b/>
          <w:bCs/>
          <w:color w:val="232120"/>
          <w:lang w:val="en-HK"/>
        </w:rPr>
        <w:t xml:space="preserve"> </w:t>
      </w:r>
      <w:r w:rsidR="002E4A0E" w:rsidRPr="00EF7848">
        <w:rPr>
          <w:rFonts w:ascii="Verdana" w:hAnsi="Verdana" w:cs="Arial"/>
          <w:b/>
          <w:bCs/>
          <w:color w:val="232120"/>
          <w:lang w:val="en-HK"/>
        </w:rPr>
        <w:t>apology and the</w:t>
      </w:r>
      <w:r w:rsidR="00965E45">
        <w:rPr>
          <w:rFonts w:ascii="Verdana" w:hAnsi="Verdana" w:cs="Arial"/>
          <w:b/>
          <w:bCs/>
          <w:color w:val="232120"/>
          <w:lang w:val="en-HK"/>
        </w:rPr>
        <w:t xml:space="preserve"> accompany</w:t>
      </w:r>
      <w:r w:rsidR="00653C84">
        <w:rPr>
          <w:rFonts w:ascii="Verdana" w:hAnsi="Verdana" w:cs="Arial"/>
          <w:b/>
          <w:bCs/>
          <w:color w:val="232120"/>
          <w:lang w:val="en-HK"/>
        </w:rPr>
        <w:t>ing proposals outlined</w:t>
      </w:r>
      <w:r w:rsidR="0048464A">
        <w:rPr>
          <w:rFonts w:ascii="Verdana" w:hAnsi="Verdana" w:cs="Arial"/>
          <w:b/>
          <w:bCs/>
          <w:color w:val="232120"/>
          <w:lang w:val="en-HK"/>
        </w:rPr>
        <w:t xml:space="preserve"> in the consultation document</w:t>
      </w:r>
      <w:r w:rsidR="00653C84">
        <w:rPr>
          <w:rFonts w:ascii="Verdana" w:hAnsi="Verdana" w:cs="Arial"/>
          <w:b/>
          <w:bCs/>
          <w:color w:val="232120"/>
          <w:lang w:val="en-HK"/>
        </w:rPr>
        <w:t>.</w:t>
      </w:r>
    </w:p>
    <w:p w14:paraId="6AFB6E67" w14:textId="77777777" w:rsidR="00932A50" w:rsidRDefault="00932A50" w:rsidP="00EC6F70">
      <w:pPr>
        <w:pStyle w:val="BasicParagraph"/>
        <w:suppressAutoHyphens/>
        <w:rPr>
          <w:rFonts w:ascii="Verdana" w:hAnsi="Verdana" w:cs="Arial"/>
          <w:b/>
          <w:color w:val="77328A"/>
          <w:sz w:val="30"/>
          <w:szCs w:val="30"/>
        </w:rPr>
      </w:pPr>
    </w:p>
    <w:p w14:paraId="78110263" w14:textId="0D29241F" w:rsidR="00932A50" w:rsidRDefault="007305F9" w:rsidP="00EC6F70">
      <w:pPr>
        <w:pStyle w:val="BasicParagraph"/>
        <w:suppressAutoHyphens/>
        <w:rPr>
          <w:rFonts w:ascii="Verdana" w:hAnsi="Verdana" w:cs="Arial"/>
          <w:b/>
          <w:color w:val="77328A"/>
          <w:sz w:val="30"/>
          <w:szCs w:val="30"/>
        </w:rPr>
      </w:pPr>
      <w:r>
        <w:rPr>
          <w:rFonts w:ascii="Verdana" w:hAnsi="Verdana" w:cs="Arial"/>
          <w:b/>
          <w:color w:val="77328A"/>
          <w:sz w:val="30"/>
          <w:szCs w:val="30"/>
        </w:rPr>
        <w:t>9</w:t>
      </w:r>
      <w:r w:rsidR="00932A50" w:rsidRPr="003B7D0E">
        <w:rPr>
          <w:rFonts w:ascii="Verdana" w:hAnsi="Verdana" w:cs="Arial"/>
          <w:b/>
          <w:color w:val="77328A"/>
          <w:sz w:val="30"/>
          <w:szCs w:val="30"/>
        </w:rPr>
        <w:t>.0</w:t>
      </w:r>
      <w:r w:rsidR="00932A50" w:rsidRPr="003B7D0E">
        <w:rPr>
          <w:rFonts w:ascii="Verdana" w:hAnsi="Verdana" w:cs="Arial"/>
          <w:b/>
          <w:color w:val="77328A"/>
          <w:sz w:val="30"/>
          <w:szCs w:val="30"/>
        </w:rPr>
        <w:tab/>
      </w:r>
      <w:r w:rsidR="00932A50">
        <w:rPr>
          <w:rFonts w:ascii="Verdana" w:hAnsi="Verdana" w:cs="Arial"/>
          <w:b/>
          <w:color w:val="77328A"/>
          <w:sz w:val="30"/>
          <w:szCs w:val="30"/>
        </w:rPr>
        <w:t>Proposals for support for staff</w:t>
      </w:r>
    </w:p>
    <w:p w14:paraId="7C54F30B" w14:textId="63B6593D" w:rsidR="0021281D" w:rsidRDefault="0021281D" w:rsidP="00EC6F70">
      <w:pPr>
        <w:pStyle w:val="BasicParagraph"/>
        <w:suppressAutoHyphens/>
        <w:rPr>
          <w:rFonts w:ascii="Verdana" w:hAnsi="Verdana" w:cs="Arial"/>
          <w:b/>
          <w:color w:val="77328A"/>
          <w:sz w:val="30"/>
          <w:szCs w:val="30"/>
        </w:rPr>
      </w:pPr>
    </w:p>
    <w:p w14:paraId="3E8E528F" w14:textId="1752BEB6" w:rsidR="00723E9E" w:rsidRPr="0031601F" w:rsidRDefault="007305F9" w:rsidP="00EC6F70">
      <w:pPr>
        <w:pStyle w:val="BasicParagraph"/>
        <w:suppressAutoHyphens/>
        <w:ind w:left="720" w:hanging="720"/>
        <w:rPr>
          <w:rFonts w:ascii="Verdana" w:hAnsi="Verdana" w:cs="Arial"/>
          <w:bCs/>
          <w:color w:val="auto"/>
        </w:rPr>
      </w:pPr>
      <w:r w:rsidRPr="0031601F">
        <w:rPr>
          <w:rFonts w:ascii="Verdana" w:hAnsi="Verdana" w:cs="Arial"/>
          <w:bCs/>
          <w:color w:val="auto"/>
        </w:rPr>
        <w:t>9</w:t>
      </w:r>
      <w:r w:rsidR="00723E9E" w:rsidRPr="0031601F">
        <w:rPr>
          <w:rFonts w:ascii="Verdana" w:hAnsi="Verdana" w:cs="Arial"/>
          <w:bCs/>
          <w:color w:val="auto"/>
        </w:rPr>
        <w:t>.1</w:t>
      </w:r>
      <w:r w:rsidR="00723E9E" w:rsidRPr="0031601F">
        <w:rPr>
          <w:rFonts w:ascii="Verdana" w:hAnsi="Verdana" w:cs="Arial"/>
          <w:bCs/>
          <w:color w:val="auto"/>
        </w:rPr>
        <w:tab/>
      </w:r>
      <w:r w:rsidR="00650DC1" w:rsidRPr="0031601F">
        <w:rPr>
          <w:rFonts w:ascii="Verdana" w:hAnsi="Verdana" w:cs="Arial"/>
          <w:bCs/>
          <w:color w:val="auto"/>
        </w:rPr>
        <w:t xml:space="preserve">The proposed Duty of Candour legislation entails the introduction of </w:t>
      </w:r>
      <w:proofErr w:type="gramStart"/>
      <w:r w:rsidR="00650DC1" w:rsidRPr="0031601F">
        <w:rPr>
          <w:rFonts w:ascii="Verdana" w:hAnsi="Verdana" w:cs="Arial"/>
          <w:bCs/>
          <w:color w:val="auto"/>
        </w:rPr>
        <w:t>a number of</w:t>
      </w:r>
      <w:proofErr w:type="gramEnd"/>
      <w:r w:rsidR="00650DC1" w:rsidRPr="0031601F">
        <w:rPr>
          <w:rFonts w:ascii="Verdana" w:hAnsi="Verdana" w:cs="Arial"/>
          <w:bCs/>
          <w:color w:val="auto"/>
        </w:rPr>
        <w:t xml:space="preserve"> new </w:t>
      </w:r>
      <w:r w:rsidR="00356243" w:rsidRPr="0031601F">
        <w:rPr>
          <w:rFonts w:ascii="Verdana" w:hAnsi="Verdana" w:cs="Arial"/>
          <w:bCs/>
          <w:color w:val="auto"/>
        </w:rPr>
        <w:t xml:space="preserve">statutory </w:t>
      </w:r>
      <w:r w:rsidR="00650DC1" w:rsidRPr="0031601F">
        <w:rPr>
          <w:rFonts w:ascii="Verdana" w:hAnsi="Verdana" w:cs="Arial"/>
          <w:bCs/>
          <w:color w:val="auto"/>
        </w:rPr>
        <w:t>initi</w:t>
      </w:r>
      <w:r w:rsidR="00340C61" w:rsidRPr="0031601F">
        <w:rPr>
          <w:rFonts w:ascii="Verdana" w:hAnsi="Verdana" w:cs="Arial"/>
          <w:bCs/>
          <w:color w:val="auto"/>
        </w:rPr>
        <w:t>ati</w:t>
      </w:r>
      <w:r w:rsidR="00650DC1" w:rsidRPr="0031601F">
        <w:rPr>
          <w:rFonts w:ascii="Verdana" w:hAnsi="Verdana" w:cs="Arial"/>
          <w:bCs/>
          <w:color w:val="auto"/>
        </w:rPr>
        <w:t xml:space="preserve">ves that </w:t>
      </w:r>
      <w:r w:rsidR="000A2CFC" w:rsidRPr="0031601F">
        <w:rPr>
          <w:rFonts w:ascii="Verdana" w:hAnsi="Verdana" w:cs="Arial"/>
          <w:bCs/>
          <w:color w:val="auto"/>
        </w:rPr>
        <w:t xml:space="preserve">health and social care professionals </w:t>
      </w:r>
      <w:r w:rsidR="00FC230C" w:rsidRPr="0031601F">
        <w:rPr>
          <w:rFonts w:ascii="Verdana" w:hAnsi="Verdana" w:cs="Arial"/>
          <w:bCs/>
          <w:color w:val="auto"/>
        </w:rPr>
        <w:t>that will have to adopt or comply with in addition to their existing health and social care duties.</w:t>
      </w:r>
    </w:p>
    <w:p w14:paraId="650D81CD" w14:textId="5239754E" w:rsidR="00FC230C" w:rsidRDefault="00FC230C" w:rsidP="00EC6F70">
      <w:pPr>
        <w:pStyle w:val="BasicParagraph"/>
        <w:suppressAutoHyphens/>
        <w:rPr>
          <w:rFonts w:ascii="Verdana" w:hAnsi="Verdana" w:cs="Arial"/>
          <w:bCs/>
          <w:color w:val="77328A"/>
          <w:u w:val="single"/>
        </w:rPr>
      </w:pPr>
    </w:p>
    <w:p w14:paraId="01561764" w14:textId="57D55F79" w:rsidR="00FC230C" w:rsidRPr="0031601F" w:rsidRDefault="007305F9" w:rsidP="00EC6F70">
      <w:pPr>
        <w:pStyle w:val="BasicParagraph"/>
        <w:suppressAutoHyphens/>
        <w:ind w:left="720" w:hanging="720"/>
        <w:rPr>
          <w:rFonts w:ascii="Verdana" w:hAnsi="Verdana" w:cs="Arial"/>
          <w:bCs/>
          <w:color w:val="auto"/>
          <w:lang w:val="en-HK"/>
        </w:rPr>
      </w:pPr>
      <w:r w:rsidRPr="0031601F">
        <w:rPr>
          <w:rFonts w:ascii="Verdana" w:hAnsi="Verdana" w:cs="Arial"/>
          <w:bCs/>
          <w:color w:val="auto"/>
        </w:rPr>
        <w:t>9</w:t>
      </w:r>
      <w:r w:rsidR="00436470" w:rsidRPr="0031601F">
        <w:rPr>
          <w:rFonts w:ascii="Verdana" w:hAnsi="Verdana" w:cs="Arial"/>
          <w:bCs/>
          <w:color w:val="auto"/>
        </w:rPr>
        <w:t>.2</w:t>
      </w:r>
      <w:r w:rsidR="00436470" w:rsidRPr="0031601F">
        <w:rPr>
          <w:rFonts w:ascii="Verdana" w:hAnsi="Verdana" w:cs="Arial"/>
          <w:bCs/>
          <w:color w:val="auto"/>
        </w:rPr>
        <w:tab/>
        <w:t xml:space="preserve">The Commission supports the initiatives introduced in the consultation </w:t>
      </w:r>
      <w:proofErr w:type="gramStart"/>
      <w:r w:rsidR="00436470" w:rsidRPr="0031601F">
        <w:rPr>
          <w:rFonts w:ascii="Verdana" w:hAnsi="Verdana" w:cs="Arial"/>
          <w:bCs/>
          <w:color w:val="auto"/>
        </w:rPr>
        <w:t>document</w:t>
      </w:r>
      <w:r w:rsidR="00593C73" w:rsidRPr="0031601F">
        <w:rPr>
          <w:rFonts w:ascii="Verdana" w:hAnsi="Verdana" w:cs="Arial"/>
          <w:bCs/>
          <w:color w:val="auto"/>
        </w:rPr>
        <w:t>,</w:t>
      </w:r>
      <w:proofErr w:type="gramEnd"/>
      <w:r w:rsidR="00593C73" w:rsidRPr="0031601F">
        <w:rPr>
          <w:rFonts w:ascii="Verdana" w:hAnsi="Verdana" w:cs="Arial"/>
          <w:bCs/>
          <w:color w:val="auto"/>
        </w:rPr>
        <w:t xml:space="preserve"> however, these initiatives will need to be introduced alongside sufficient resources for training and supporting staff in order to</w:t>
      </w:r>
      <w:r w:rsidR="00F614BD">
        <w:rPr>
          <w:rFonts w:ascii="Verdana" w:hAnsi="Verdana" w:cs="Arial"/>
          <w:bCs/>
          <w:color w:val="auto"/>
        </w:rPr>
        <w:t xml:space="preserve"> allow staff to</w:t>
      </w:r>
      <w:r w:rsidR="00593C73" w:rsidRPr="0031601F">
        <w:rPr>
          <w:rFonts w:ascii="Verdana" w:hAnsi="Verdana" w:cs="Arial"/>
          <w:bCs/>
          <w:color w:val="auto"/>
        </w:rPr>
        <w:t xml:space="preserve"> carry out these additional duties. In this respect, the Commission supports the consultation document</w:t>
      </w:r>
      <w:r w:rsidR="0031601F">
        <w:rPr>
          <w:rFonts w:ascii="Verdana" w:hAnsi="Verdana" w:cs="Arial"/>
          <w:bCs/>
          <w:color w:val="auto"/>
        </w:rPr>
        <w:t>’</w:t>
      </w:r>
      <w:r w:rsidR="00593C73" w:rsidRPr="0031601F">
        <w:rPr>
          <w:rFonts w:ascii="Verdana" w:hAnsi="Verdana" w:cs="Arial"/>
          <w:bCs/>
          <w:color w:val="auto"/>
        </w:rPr>
        <w:t>s recognition that “any successful organisational Duty of Candour will depend on each organisation providing adequate support and protection for staff to enable them to work within an open and honest culture”</w:t>
      </w:r>
      <w:r w:rsidR="007017BD">
        <w:rPr>
          <w:rFonts w:ascii="Verdana" w:hAnsi="Verdana" w:cs="Arial"/>
          <w:bCs/>
          <w:color w:val="auto"/>
        </w:rPr>
        <w:t>.</w:t>
      </w:r>
      <w:r w:rsidR="00593C73" w:rsidRPr="0031601F">
        <w:rPr>
          <w:rStyle w:val="FootnoteReference"/>
          <w:rFonts w:ascii="Verdana" w:hAnsi="Verdana" w:cs="Arial"/>
          <w:bCs/>
          <w:color w:val="auto"/>
        </w:rPr>
        <w:footnoteReference w:id="40"/>
      </w:r>
      <w:r w:rsidR="00356243" w:rsidRPr="0031601F">
        <w:rPr>
          <w:rFonts w:ascii="Verdana" w:hAnsi="Verdana" w:cs="Arial"/>
          <w:bCs/>
          <w:color w:val="auto"/>
        </w:rPr>
        <w:t xml:space="preserve"> Given it is proposed that the Duty of Candour legislation will entail the introduction of a number of statutory obligations, </w:t>
      </w:r>
      <w:r w:rsidR="001F269F" w:rsidRPr="0031601F">
        <w:rPr>
          <w:rFonts w:ascii="Verdana" w:hAnsi="Verdana" w:cs="Arial"/>
          <w:bCs/>
          <w:color w:val="auto"/>
        </w:rPr>
        <w:t xml:space="preserve">it is imperative that adequate resources are set aside to enable health and social care professionals </w:t>
      </w:r>
      <w:r w:rsidR="00730334" w:rsidRPr="0031601F">
        <w:rPr>
          <w:rFonts w:ascii="Verdana" w:hAnsi="Verdana" w:cs="Arial"/>
          <w:bCs/>
          <w:color w:val="auto"/>
        </w:rPr>
        <w:t xml:space="preserve">to </w:t>
      </w:r>
      <w:r w:rsidR="00C34B5E" w:rsidRPr="0031601F">
        <w:rPr>
          <w:rFonts w:ascii="Verdana" w:hAnsi="Verdana" w:cs="Arial"/>
          <w:bCs/>
          <w:color w:val="auto"/>
        </w:rPr>
        <w:t>comply</w:t>
      </w:r>
      <w:r w:rsidR="006C3A49" w:rsidRPr="0031601F">
        <w:rPr>
          <w:rFonts w:ascii="Verdana" w:hAnsi="Verdana" w:cs="Arial"/>
          <w:bCs/>
          <w:color w:val="auto"/>
        </w:rPr>
        <w:t xml:space="preserve"> with these duties</w:t>
      </w:r>
      <w:r w:rsidR="000C660F" w:rsidRPr="0031601F">
        <w:rPr>
          <w:rFonts w:ascii="Verdana" w:hAnsi="Verdana" w:cs="Arial"/>
          <w:bCs/>
          <w:color w:val="auto"/>
        </w:rPr>
        <w:t>.</w:t>
      </w:r>
    </w:p>
    <w:p w14:paraId="49DC4458" w14:textId="2236C2E8" w:rsidR="00593C73" w:rsidRPr="00EF7848" w:rsidRDefault="00593C73" w:rsidP="00EC6F70">
      <w:pPr>
        <w:pStyle w:val="BasicParagraph"/>
        <w:suppressAutoHyphens/>
        <w:ind w:left="720" w:hanging="720"/>
        <w:rPr>
          <w:rFonts w:ascii="Verdana" w:hAnsi="Verdana" w:cs="Arial"/>
          <w:bCs/>
          <w:color w:val="77328A"/>
          <w:u w:val="single"/>
          <w:lang w:val="en-HK"/>
        </w:rPr>
      </w:pPr>
    </w:p>
    <w:p w14:paraId="711B0317" w14:textId="3277ACD4" w:rsidR="00356243" w:rsidRPr="006006F5" w:rsidRDefault="007305F9" w:rsidP="00EC6F70">
      <w:pPr>
        <w:pStyle w:val="BasicParagraph"/>
        <w:suppressAutoHyphens/>
        <w:ind w:left="720" w:hanging="720"/>
        <w:rPr>
          <w:rFonts w:ascii="Verdana" w:hAnsi="Verdana" w:cs="Arial"/>
          <w:b/>
          <w:color w:val="auto"/>
        </w:rPr>
      </w:pPr>
      <w:r w:rsidRPr="006006F5">
        <w:rPr>
          <w:rFonts w:ascii="Verdana" w:hAnsi="Verdana" w:cs="Arial"/>
          <w:b/>
          <w:color w:val="auto"/>
        </w:rPr>
        <w:t>9</w:t>
      </w:r>
      <w:r w:rsidR="00593C73" w:rsidRPr="006006F5">
        <w:rPr>
          <w:rFonts w:ascii="Verdana" w:hAnsi="Verdana" w:cs="Arial"/>
          <w:b/>
          <w:color w:val="auto"/>
        </w:rPr>
        <w:t>.3</w:t>
      </w:r>
      <w:r w:rsidR="00593C73" w:rsidRPr="006006F5">
        <w:rPr>
          <w:rFonts w:ascii="Verdana" w:hAnsi="Verdana" w:cs="Arial"/>
          <w:b/>
          <w:color w:val="auto"/>
        </w:rPr>
        <w:tab/>
        <w:t xml:space="preserve">The Commission </w:t>
      </w:r>
      <w:r w:rsidR="00356243" w:rsidRPr="006006F5">
        <w:rPr>
          <w:rFonts w:ascii="Verdana" w:hAnsi="Verdana" w:cs="Arial"/>
          <w:b/>
          <w:color w:val="auto"/>
        </w:rPr>
        <w:t>supports the</w:t>
      </w:r>
      <w:r w:rsidR="00D74855" w:rsidRPr="006006F5">
        <w:rPr>
          <w:rFonts w:ascii="Verdana" w:hAnsi="Verdana" w:cs="Arial"/>
          <w:b/>
          <w:color w:val="auto"/>
        </w:rPr>
        <w:t xml:space="preserve"> outlined</w:t>
      </w:r>
      <w:r w:rsidR="00356243" w:rsidRPr="006006F5">
        <w:rPr>
          <w:rFonts w:ascii="Verdana" w:hAnsi="Verdana" w:cs="Arial"/>
          <w:b/>
          <w:color w:val="auto"/>
        </w:rPr>
        <w:t xml:space="preserve"> proposals for support to health and social care professionals under the statutory organisational Duty of Candour and recommends that adequate </w:t>
      </w:r>
      <w:r w:rsidR="00A7334A" w:rsidRPr="006006F5">
        <w:rPr>
          <w:rFonts w:ascii="Verdana" w:hAnsi="Verdana" w:cs="Arial"/>
          <w:b/>
          <w:color w:val="auto"/>
        </w:rPr>
        <w:t xml:space="preserve">resources are assigned to provide the necessary training and </w:t>
      </w:r>
      <w:r w:rsidR="00A7334A" w:rsidRPr="006006F5">
        <w:rPr>
          <w:rFonts w:ascii="Verdana" w:hAnsi="Verdana" w:cs="Arial"/>
          <w:b/>
          <w:color w:val="auto"/>
        </w:rPr>
        <w:lastRenderedPageBreak/>
        <w:t>support for health and social care professionals</w:t>
      </w:r>
      <w:r w:rsidR="00D74192" w:rsidRPr="006006F5">
        <w:rPr>
          <w:rFonts w:ascii="Verdana" w:hAnsi="Verdana" w:cs="Arial"/>
          <w:b/>
          <w:color w:val="auto"/>
        </w:rPr>
        <w:t xml:space="preserve"> to carry out their duties</w:t>
      </w:r>
      <w:r w:rsidR="00A7334A" w:rsidRPr="006006F5">
        <w:rPr>
          <w:rFonts w:ascii="Verdana" w:hAnsi="Verdana" w:cs="Arial"/>
          <w:b/>
          <w:color w:val="auto"/>
        </w:rPr>
        <w:t>.</w:t>
      </w:r>
    </w:p>
    <w:p w14:paraId="6E65BCA4" w14:textId="77777777" w:rsidR="00753539" w:rsidRDefault="00753539" w:rsidP="00EC6F70">
      <w:pPr>
        <w:pStyle w:val="BasicParagraph"/>
        <w:suppressAutoHyphens/>
        <w:rPr>
          <w:rFonts w:ascii="Verdana" w:hAnsi="Verdana" w:cs="Arial"/>
          <w:b/>
          <w:color w:val="77328A"/>
          <w:sz w:val="30"/>
          <w:szCs w:val="30"/>
        </w:rPr>
      </w:pPr>
    </w:p>
    <w:p w14:paraId="2EEF9C74" w14:textId="39FDC090" w:rsidR="0021281D" w:rsidRDefault="00AE2D59" w:rsidP="00EC6F70">
      <w:pPr>
        <w:pStyle w:val="BasicParagraph"/>
        <w:suppressAutoHyphens/>
        <w:rPr>
          <w:rFonts w:ascii="Verdana" w:hAnsi="Verdana" w:cs="Arial"/>
          <w:b/>
          <w:color w:val="77328A"/>
          <w:sz w:val="30"/>
          <w:szCs w:val="30"/>
        </w:rPr>
      </w:pPr>
      <w:r>
        <w:rPr>
          <w:rFonts w:ascii="Verdana" w:hAnsi="Verdana" w:cs="Arial"/>
          <w:b/>
          <w:color w:val="77328A"/>
          <w:sz w:val="30"/>
          <w:szCs w:val="30"/>
        </w:rPr>
        <w:t>10</w:t>
      </w:r>
      <w:r w:rsidR="00932A50" w:rsidRPr="003B7D0E">
        <w:rPr>
          <w:rFonts w:ascii="Verdana" w:hAnsi="Verdana" w:cs="Arial"/>
          <w:b/>
          <w:color w:val="77328A"/>
          <w:sz w:val="30"/>
          <w:szCs w:val="30"/>
        </w:rPr>
        <w:t>.0</w:t>
      </w:r>
      <w:r w:rsidR="00932A50">
        <w:rPr>
          <w:rFonts w:ascii="Verdana" w:hAnsi="Verdana" w:cs="Arial"/>
          <w:b/>
          <w:color w:val="77328A"/>
          <w:sz w:val="30"/>
          <w:szCs w:val="30"/>
        </w:rPr>
        <w:t xml:space="preserve"> Reporting and monitoring</w:t>
      </w:r>
    </w:p>
    <w:p w14:paraId="142CCB8F" w14:textId="77777777" w:rsidR="009C16D6" w:rsidRDefault="009C16D6" w:rsidP="00EC6F70">
      <w:pPr>
        <w:pStyle w:val="BasicParagraph"/>
        <w:suppressAutoHyphens/>
        <w:rPr>
          <w:rFonts w:ascii="Verdana" w:hAnsi="Verdana" w:cs="Arial"/>
          <w:b/>
          <w:color w:val="77328A"/>
          <w:sz w:val="30"/>
          <w:szCs w:val="30"/>
        </w:rPr>
      </w:pPr>
    </w:p>
    <w:p w14:paraId="1AAF77C0" w14:textId="4D819B0B" w:rsidR="00E76056" w:rsidRPr="00814A53" w:rsidRDefault="00AE2D59" w:rsidP="00EC6F70">
      <w:pPr>
        <w:pStyle w:val="BasicParagraph"/>
        <w:suppressAutoHyphens/>
        <w:ind w:left="720" w:hanging="720"/>
        <w:rPr>
          <w:rFonts w:ascii="Verdana" w:hAnsi="Verdana" w:cs="Arial"/>
          <w:bCs/>
          <w:color w:val="auto"/>
        </w:rPr>
      </w:pPr>
      <w:r w:rsidRPr="00814A53">
        <w:rPr>
          <w:rFonts w:ascii="Verdana" w:hAnsi="Verdana" w:cs="Arial"/>
          <w:bCs/>
          <w:color w:val="auto"/>
        </w:rPr>
        <w:t>10</w:t>
      </w:r>
      <w:r w:rsidR="00E27501" w:rsidRPr="00814A53">
        <w:rPr>
          <w:rFonts w:ascii="Verdana" w:hAnsi="Verdana" w:cs="Arial"/>
          <w:bCs/>
          <w:color w:val="auto"/>
        </w:rPr>
        <w:t>.1</w:t>
      </w:r>
      <w:r w:rsidR="00E27501" w:rsidRPr="00814A53">
        <w:rPr>
          <w:rFonts w:ascii="Verdana" w:hAnsi="Verdana" w:cs="Arial"/>
          <w:bCs/>
          <w:color w:val="auto"/>
        </w:rPr>
        <w:tab/>
      </w:r>
      <w:r w:rsidR="00E76056" w:rsidRPr="00814A53">
        <w:rPr>
          <w:rFonts w:ascii="Verdana" w:hAnsi="Verdana" w:cs="Arial"/>
          <w:bCs/>
          <w:color w:val="auto"/>
        </w:rPr>
        <w:t xml:space="preserve">The consultation document proposes </w:t>
      </w:r>
      <w:r w:rsidR="000005E6" w:rsidRPr="00814A53">
        <w:rPr>
          <w:rFonts w:ascii="Verdana" w:hAnsi="Verdana" w:cs="Arial"/>
          <w:bCs/>
          <w:color w:val="auto"/>
        </w:rPr>
        <w:t>introducing a</w:t>
      </w:r>
      <w:r w:rsidR="00043635" w:rsidRPr="00814A53">
        <w:rPr>
          <w:rFonts w:ascii="Verdana" w:hAnsi="Verdana" w:cs="Arial"/>
          <w:bCs/>
          <w:color w:val="auto"/>
        </w:rPr>
        <w:t>n</w:t>
      </w:r>
      <w:r w:rsidR="00683D6E" w:rsidRPr="00814A53">
        <w:rPr>
          <w:rFonts w:ascii="Verdana" w:hAnsi="Verdana" w:cs="Arial"/>
          <w:bCs/>
          <w:color w:val="auto"/>
        </w:rPr>
        <w:t xml:space="preserve"> obligation </w:t>
      </w:r>
      <w:r w:rsidR="000005E6" w:rsidRPr="00814A53">
        <w:rPr>
          <w:rFonts w:ascii="Verdana" w:hAnsi="Verdana" w:cs="Arial"/>
          <w:bCs/>
          <w:color w:val="auto"/>
        </w:rPr>
        <w:t>under Duty of Candour legislation that organisations report on their operational application of the Duty of Candour</w:t>
      </w:r>
      <w:r w:rsidR="003861A5" w:rsidRPr="00814A53">
        <w:rPr>
          <w:rFonts w:ascii="Verdana" w:hAnsi="Verdana" w:cs="Arial"/>
          <w:bCs/>
          <w:color w:val="auto"/>
        </w:rPr>
        <w:t>.</w:t>
      </w:r>
      <w:r w:rsidR="003861A5" w:rsidRPr="00814A53">
        <w:rPr>
          <w:rStyle w:val="FootnoteReference"/>
          <w:rFonts w:ascii="Verdana" w:hAnsi="Verdana" w:cs="Arial"/>
          <w:bCs/>
          <w:color w:val="auto"/>
        </w:rPr>
        <w:footnoteReference w:id="41"/>
      </w:r>
      <w:r w:rsidR="000E3336" w:rsidRPr="00814A53">
        <w:rPr>
          <w:rFonts w:ascii="Verdana" w:hAnsi="Verdana" w:cs="Arial"/>
          <w:bCs/>
          <w:color w:val="auto"/>
        </w:rPr>
        <w:t xml:space="preserve"> It also proposes a</w:t>
      </w:r>
      <w:r w:rsidR="000005E6" w:rsidRPr="00814A53">
        <w:rPr>
          <w:rFonts w:ascii="Verdana" w:hAnsi="Verdana" w:cs="Arial"/>
          <w:bCs/>
          <w:color w:val="auto"/>
        </w:rPr>
        <w:t xml:space="preserve"> </w:t>
      </w:r>
      <w:r w:rsidR="00C5432D" w:rsidRPr="00814A53">
        <w:rPr>
          <w:rFonts w:ascii="Verdana" w:hAnsi="Verdana" w:cs="Arial"/>
          <w:bCs/>
          <w:color w:val="auto"/>
        </w:rPr>
        <w:t>require</w:t>
      </w:r>
      <w:r w:rsidR="00683D6E" w:rsidRPr="00814A53">
        <w:rPr>
          <w:rFonts w:ascii="Verdana" w:hAnsi="Verdana" w:cs="Arial"/>
          <w:bCs/>
          <w:color w:val="auto"/>
        </w:rPr>
        <w:t>ment</w:t>
      </w:r>
      <w:r w:rsidR="00C5432D" w:rsidRPr="00814A53">
        <w:rPr>
          <w:rFonts w:ascii="Verdana" w:hAnsi="Verdana" w:cs="Arial"/>
          <w:bCs/>
          <w:color w:val="auto"/>
        </w:rPr>
        <w:t xml:space="preserve"> </w:t>
      </w:r>
      <w:r w:rsidR="000005E6" w:rsidRPr="00814A53">
        <w:rPr>
          <w:rFonts w:ascii="Verdana" w:hAnsi="Verdana" w:cs="Arial"/>
          <w:bCs/>
          <w:color w:val="auto"/>
        </w:rPr>
        <w:t>that any public statements on its performance, or statements made to regulators regarding its application of the Duty of Candour be truthful and not misleading by omission.</w:t>
      </w:r>
      <w:r w:rsidR="000F4E62" w:rsidRPr="00814A53">
        <w:rPr>
          <w:rStyle w:val="FootnoteReference"/>
          <w:rFonts w:ascii="Verdana" w:hAnsi="Verdana" w:cs="Arial"/>
          <w:bCs/>
          <w:color w:val="auto"/>
        </w:rPr>
        <w:footnoteReference w:id="42"/>
      </w:r>
      <w:r w:rsidR="000005E6" w:rsidRPr="00814A53">
        <w:rPr>
          <w:rFonts w:ascii="Verdana" w:hAnsi="Verdana" w:cs="Arial"/>
          <w:bCs/>
          <w:color w:val="auto"/>
        </w:rPr>
        <w:t xml:space="preserve">  </w:t>
      </w:r>
    </w:p>
    <w:p w14:paraId="7AE38CD6" w14:textId="77777777" w:rsidR="00EB244E" w:rsidRPr="00814A53" w:rsidRDefault="00EB244E" w:rsidP="00EC6F70">
      <w:pPr>
        <w:pStyle w:val="BasicParagraph"/>
        <w:suppressAutoHyphens/>
        <w:rPr>
          <w:rFonts w:ascii="Verdana" w:hAnsi="Verdana" w:cs="Arial"/>
          <w:bCs/>
          <w:color w:val="auto"/>
        </w:rPr>
      </w:pPr>
    </w:p>
    <w:p w14:paraId="22ADF7FF" w14:textId="15822DC7" w:rsidR="0021281D" w:rsidRPr="00814A53" w:rsidRDefault="00AE2D59" w:rsidP="00EC6F70">
      <w:pPr>
        <w:pStyle w:val="BasicParagraph"/>
        <w:suppressAutoHyphens/>
        <w:ind w:left="720" w:hanging="720"/>
        <w:rPr>
          <w:rFonts w:ascii="Verdana" w:hAnsi="Verdana" w:cs="Arial"/>
          <w:bCs/>
          <w:color w:val="auto"/>
          <w:lang w:val="en-HK"/>
        </w:rPr>
      </w:pPr>
      <w:r w:rsidRPr="00814A53">
        <w:rPr>
          <w:rFonts w:ascii="Verdana" w:hAnsi="Verdana" w:cs="Arial"/>
          <w:bCs/>
          <w:color w:val="auto"/>
        </w:rPr>
        <w:t>10</w:t>
      </w:r>
      <w:r w:rsidR="00EB244E" w:rsidRPr="00814A53">
        <w:rPr>
          <w:rFonts w:ascii="Verdana" w:hAnsi="Verdana" w:cs="Arial"/>
          <w:bCs/>
          <w:color w:val="auto"/>
        </w:rPr>
        <w:t>.2</w:t>
      </w:r>
      <w:r w:rsidR="00EB244E" w:rsidRPr="00814A53">
        <w:rPr>
          <w:rFonts w:ascii="Verdana" w:hAnsi="Verdana" w:cs="Arial"/>
          <w:bCs/>
          <w:color w:val="auto"/>
        </w:rPr>
        <w:tab/>
      </w:r>
      <w:r w:rsidR="009C16D6" w:rsidRPr="00814A53">
        <w:rPr>
          <w:rFonts w:ascii="Verdana" w:hAnsi="Verdana" w:cs="Arial"/>
          <w:bCs/>
          <w:color w:val="auto"/>
        </w:rPr>
        <w:t>Article 2 ECHR imposes a duty on th</w:t>
      </w:r>
      <w:r w:rsidR="00234761" w:rsidRPr="00814A53">
        <w:rPr>
          <w:rFonts w:ascii="Verdana" w:hAnsi="Verdana" w:cs="Arial"/>
          <w:bCs/>
          <w:color w:val="auto"/>
        </w:rPr>
        <w:t>e</w:t>
      </w:r>
      <w:r w:rsidR="009C16D6" w:rsidRPr="00814A53">
        <w:rPr>
          <w:rFonts w:ascii="Verdana" w:hAnsi="Verdana" w:cs="Arial"/>
          <w:bCs/>
          <w:color w:val="auto"/>
        </w:rPr>
        <w:t xml:space="preserve"> State to secure the right to life by putting in place effective criminal</w:t>
      </w:r>
      <w:r w:rsidR="003F016E" w:rsidRPr="00814A53">
        <w:rPr>
          <w:rFonts w:ascii="Verdana" w:hAnsi="Verdana" w:cs="Arial"/>
          <w:bCs/>
          <w:color w:val="auto"/>
        </w:rPr>
        <w:t xml:space="preserve"> </w:t>
      </w:r>
      <w:r w:rsidR="009C16D6" w:rsidRPr="00814A53">
        <w:rPr>
          <w:rFonts w:ascii="Verdana" w:hAnsi="Verdana" w:cs="Arial"/>
          <w:bCs/>
          <w:color w:val="auto"/>
        </w:rPr>
        <w:t xml:space="preserve">law provisions to deter the commission of offences against </w:t>
      </w:r>
      <w:r w:rsidR="003D2229" w:rsidRPr="00814A53">
        <w:rPr>
          <w:rFonts w:ascii="Verdana" w:hAnsi="Verdana" w:cs="Arial"/>
          <w:bCs/>
          <w:color w:val="auto"/>
        </w:rPr>
        <w:t>an individual</w:t>
      </w:r>
      <w:r w:rsidR="009C16D6" w:rsidRPr="00814A53">
        <w:rPr>
          <w:rFonts w:ascii="Verdana" w:hAnsi="Verdana" w:cs="Arial"/>
          <w:bCs/>
          <w:color w:val="auto"/>
        </w:rPr>
        <w:t>, backed up by law</w:t>
      </w:r>
      <w:r w:rsidR="009D69B6" w:rsidRPr="00814A53">
        <w:rPr>
          <w:rFonts w:ascii="Verdana" w:hAnsi="Verdana" w:cs="Arial"/>
          <w:bCs/>
          <w:color w:val="auto"/>
        </w:rPr>
        <w:t xml:space="preserve"> </w:t>
      </w:r>
      <w:r w:rsidR="009C16D6" w:rsidRPr="00814A53">
        <w:rPr>
          <w:rFonts w:ascii="Verdana" w:hAnsi="Verdana" w:cs="Arial"/>
          <w:bCs/>
          <w:color w:val="auto"/>
        </w:rPr>
        <w:t xml:space="preserve">enforcement machinery for the prevention, </w:t>
      </w:r>
      <w:proofErr w:type="gramStart"/>
      <w:r w:rsidR="009C16D6" w:rsidRPr="00814A53">
        <w:rPr>
          <w:rFonts w:ascii="Verdana" w:hAnsi="Verdana" w:cs="Arial"/>
          <w:bCs/>
          <w:color w:val="auto"/>
        </w:rPr>
        <w:t>suppression</w:t>
      </w:r>
      <w:proofErr w:type="gramEnd"/>
      <w:r w:rsidR="009C16D6" w:rsidRPr="00814A53">
        <w:rPr>
          <w:rFonts w:ascii="Verdana" w:hAnsi="Verdana" w:cs="Arial"/>
          <w:bCs/>
          <w:color w:val="auto"/>
        </w:rPr>
        <w:t xml:space="preserve"> and punishment of breaches of such provisions. This obligation requires by implication that there should be some form of effective official investigation when there is reason to believe that an individual has sustained life</w:t>
      </w:r>
      <w:r w:rsidR="003F016E" w:rsidRPr="00814A53">
        <w:rPr>
          <w:rFonts w:ascii="Verdana" w:hAnsi="Verdana" w:cs="Arial"/>
          <w:bCs/>
          <w:color w:val="auto"/>
        </w:rPr>
        <w:t xml:space="preserve"> t</w:t>
      </w:r>
      <w:r w:rsidR="009C16D6" w:rsidRPr="00814A53">
        <w:rPr>
          <w:rFonts w:ascii="Verdana" w:hAnsi="Verdana" w:cs="Arial"/>
          <w:bCs/>
          <w:color w:val="auto"/>
        </w:rPr>
        <w:t>hreatening injuries</w:t>
      </w:r>
      <w:r w:rsidR="009F7136" w:rsidRPr="00814A53">
        <w:rPr>
          <w:rFonts w:ascii="Verdana" w:hAnsi="Verdana" w:cs="Arial"/>
          <w:bCs/>
          <w:color w:val="auto"/>
        </w:rPr>
        <w:t xml:space="preserve"> or loss of life</w:t>
      </w:r>
      <w:r w:rsidR="009C16D6" w:rsidRPr="00814A53">
        <w:rPr>
          <w:rFonts w:ascii="Verdana" w:hAnsi="Verdana" w:cs="Arial"/>
          <w:bCs/>
          <w:color w:val="auto"/>
        </w:rPr>
        <w:t xml:space="preserve"> in suspicious circumstances</w:t>
      </w:r>
      <w:r w:rsidR="009F7136" w:rsidRPr="00814A53">
        <w:rPr>
          <w:rFonts w:ascii="Verdana" w:hAnsi="Verdana" w:cs="Arial"/>
          <w:bCs/>
          <w:color w:val="auto"/>
        </w:rPr>
        <w:t>, or circumstances potentially engaging the responsibility of the State due to alleged negligence</w:t>
      </w:r>
      <w:r w:rsidR="009C16D6" w:rsidRPr="00814A53">
        <w:rPr>
          <w:rFonts w:ascii="Verdana" w:hAnsi="Verdana" w:cs="Arial"/>
          <w:bCs/>
          <w:color w:val="auto"/>
        </w:rPr>
        <w:t>.</w:t>
      </w:r>
      <w:r w:rsidR="009C16D6" w:rsidRPr="00814A53">
        <w:rPr>
          <w:rStyle w:val="FootnoteReference"/>
          <w:rFonts w:ascii="Verdana" w:hAnsi="Verdana" w:cs="Arial"/>
          <w:bCs/>
          <w:color w:val="auto"/>
        </w:rPr>
        <w:footnoteReference w:id="43"/>
      </w:r>
      <w:r w:rsidR="009C16D6" w:rsidRPr="00814A53">
        <w:rPr>
          <w:rFonts w:ascii="Verdana" w:hAnsi="Verdana" w:cs="Arial"/>
          <w:bCs/>
          <w:color w:val="auto"/>
        </w:rPr>
        <w:t xml:space="preserve"> </w:t>
      </w:r>
    </w:p>
    <w:p w14:paraId="17F5199D" w14:textId="30E462B2" w:rsidR="005E52E2" w:rsidRPr="00814A53" w:rsidRDefault="005E52E2" w:rsidP="00EC6F70">
      <w:pPr>
        <w:pStyle w:val="BasicParagraph"/>
        <w:suppressAutoHyphens/>
        <w:ind w:left="360" w:hanging="360"/>
        <w:rPr>
          <w:rFonts w:ascii="Verdana" w:hAnsi="Verdana" w:cs="Arial"/>
          <w:bCs/>
          <w:color w:val="auto"/>
          <w:lang w:val="en-HK"/>
        </w:rPr>
      </w:pPr>
    </w:p>
    <w:p w14:paraId="14B5AD31" w14:textId="1046C6F6" w:rsidR="00E4737B" w:rsidRPr="00814A53" w:rsidRDefault="00AE2D59" w:rsidP="00EC6F70">
      <w:pPr>
        <w:pStyle w:val="BasicParagraph"/>
        <w:suppressAutoHyphens/>
        <w:ind w:left="720" w:hanging="720"/>
        <w:rPr>
          <w:rFonts w:ascii="Verdana" w:hAnsi="Verdana" w:cs="Arial"/>
          <w:bCs/>
          <w:color w:val="auto"/>
          <w:lang w:val="en-HK"/>
        </w:rPr>
      </w:pPr>
      <w:r w:rsidRPr="00814A53">
        <w:rPr>
          <w:rFonts w:ascii="Verdana" w:hAnsi="Verdana" w:cs="Arial"/>
          <w:bCs/>
          <w:color w:val="auto"/>
          <w:lang w:val="en-HK"/>
        </w:rPr>
        <w:t>10</w:t>
      </w:r>
      <w:r w:rsidR="005E52E2" w:rsidRPr="00814A53">
        <w:rPr>
          <w:rFonts w:ascii="Verdana" w:hAnsi="Verdana" w:cs="Arial"/>
          <w:bCs/>
          <w:color w:val="auto"/>
          <w:lang w:val="en-HK"/>
        </w:rPr>
        <w:t>.3</w:t>
      </w:r>
      <w:r w:rsidR="005E52E2" w:rsidRPr="00814A53">
        <w:rPr>
          <w:rFonts w:ascii="Verdana" w:hAnsi="Verdana" w:cs="Arial"/>
          <w:bCs/>
          <w:color w:val="auto"/>
          <w:lang w:val="en-HK"/>
        </w:rPr>
        <w:tab/>
      </w:r>
      <w:r w:rsidR="003464E3" w:rsidRPr="00814A53">
        <w:rPr>
          <w:rFonts w:ascii="Verdana" w:hAnsi="Verdana" w:cs="Arial"/>
          <w:bCs/>
          <w:color w:val="auto"/>
          <w:lang w:val="en-HK"/>
        </w:rPr>
        <w:t xml:space="preserve">In </w:t>
      </w:r>
      <w:proofErr w:type="spellStart"/>
      <w:r w:rsidR="003464E3" w:rsidRPr="00814A53">
        <w:rPr>
          <w:rFonts w:ascii="Verdana" w:hAnsi="Verdana" w:cs="Arial"/>
          <w:bCs/>
          <w:i/>
          <w:iCs/>
          <w:color w:val="auto"/>
          <w:lang w:val="en-HK"/>
        </w:rPr>
        <w:t>Oyal</w:t>
      </w:r>
      <w:proofErr w:type="spellEnd"/>
      <w:r w:rsidR="003464E3" w:rsidRPr="00814A53">
        <w:rPr>
          <w:rFonts w:ascii="Verdana" w:hAnsi="Verdana" w:cs="Arial"/>
          <w:bCs/>
          <w:i/>
          <w:iCs/>
          <w:color w:val="auto"/>
          <w:lang w:val="en-HK"/>
        </w:rPr>
        <w:t xml:space="preserve"> v Turkey</w:t>
      </w:r>
      <w:r w:rsidR="00E4737B" w:rsidRPr="00814A53">
        <w:rPr>
          <w:rFonts w:ascii="Verdana" w:hAnsi="Verdana" w:cs="Arial"/>
          <w:bCs/>
          <w:i/>
          <w:iCs/>
          <w:color w:val="auto"/>
          <w:lang w:val="en-HK"/>
        </w:rPr>
        <w:t xml:space="preserve">, </w:t>
      </w:r>
      <w:r w:rsidR="00E4737B" w:rsidRPr="00814A53">
        <w:rPr>
          <w:rFonts w:ascii="Verdana" w:hAnsi="Verdana" w:cs="Arial"/>
          <w:bCs/>
          <w:color w:val="auto"/>
          <w:lang w:val="en-HK"/>
        </w:rPr>
        <w:t>the applicants’ son had been infected with HIV through a blood transfusion following his premature birth.</w:t>
      </w:r>
      <w:r w:rsidR="00D40EA1" w:rsidRPr="00814A53">
        <w:rPr>
          <w:rFonts w:ascii="Verdana" w:hAnsi="Verdana" w:cs="Arial"/>
          <w:bCs/>
          <w:color w:val="auto"/>
          <w:lang w:val="en-HK"/>
        </w:rPr>
        <w:t xml:space="preserve"> In connection with its finding that there had been a breach of Article 2 ECHR, t</w:t>
      </w:r>
      <w:r w:rsidR="00E4737B" w:rsidRPr="00814A53">
        <w:rPr>
          <w:rFonts w:ascii="Verdana" w:hAnsi="Verdana" w:cs="Arial"/>
          <w:bCs/>
          <w:color w:val="auto"/>
          <w:lang w:val="en-HK"/>
        </w:rPr>
        <w:t>he ECtHR held that “apart from the concern for the respect of the rights inherent in Article 2 of the Convention in each individual case, more general considerations also call for a prompt examination of cases concerning medical negligence in a hospital setting. Knowledge of the facts and of possible errors committed in the course of medical care is essential to enable the institutions and medical staff concerned to remedy the potential deficiencies and prevent similar errors. The prompt examination of such cases is therefore important for the safety of users of all health services.”</w:t>
      </w:r>
      <w:r w:rsidR="00C14644" w:rsidRPr="00814A53">
        <w:rPr>
          <w:rStyle w:val="FootnoteReference"/>
          <w:rFonts w:ascii="Verdana" w:hAnsi="Verdana" w:cs="Arial"/>
          <w:bCs/>
          <w:color w:val="auto"/>
          <w:lang w:val="en-HK"/>
        </w:rPr>
        <w:footnoteReference w:id="44"/>
      </w:r>
    </w:p>
    <w:p w14:paraId="22BCB7D3" w14:textId="3CE4CDA7" w:rsidR="009B4AE6" w:rsidRPr="00814A53" w:rsidRDefault="009B4AE6" w:rsidP="00EC6F70">
      <w:pPr>
        <w:pStyle w:val="BasicParagraph"/>
        <w:suppressAutoHyphens/>
        <w:ind w:left="720" w:hanging="720"/>
        <w:rPr>
          <w:rFonts w:ascii="Verdana" w:hAnsi="Verdana" w:cs="Arial"/>
          <w:bCs/>
          <w:color w:val="auto"/>
          <w:lang w:val="en-HK"/>
        </w:rPr>
      </w:pPr>
    </w:p>
    <w:p w14:paraId="31BDFEDF" w14:textId="69890BA6" w:rsidR="00A1712E" w:rsidRPr="00814A53" w:rsidRDefault="00AE2D59" w:rsidP="00EC6F70">
      <w:pPr>
        <w:pStyle w:val="BasicParagraph"/>
        <w:suppressAutoHyphens/>
        <w:ind w:left="720" w:hanging="720"/>
        <w:rPr>
          <w:rFonts w:ascii="Verdana" w:hAnsi="Verdana" w:cs="Arial"/>
          <w:bCs/>
          <w:color w:val="auto"/>
          <w:lang w:val="en-HK"/>
        </w:rPr>
      </w:pPr>
      <w:r w:rsidRPr="00814A53">
        <w:rPr>
          <w:rFonts w:ascii="Verdana" w:hAnsi="Verdana" w:cs="Arial"/>
          <w:bCs/>
          <w:color w:val="auto"/>
          <w:lang w:val="en-HK"/>
        </w:rPr>
        <w:t>10</w:t>
      </w:r>
      <w:r w:rsidR="002C2505" w:rsidRPr="00814A53">
        <w:rPr>
          <w:rFonts w:ascii="Verdana" w:hAnsi="Verdana" w:cs="Arial"/>
          <w:bCs/>
          <w:color w:val="auto"/>
          <w:lang w:val="en-HK"/>
        </w:rPr>
        <w:t>.4</w:t>
      </w:r>
      <w:r w:rsidR="002C2505" w:rsidRPr="00814A53">
        <w:rPr>
          <w:rFonts w:ascii="Verdana" w:hAnsi="Verdana" w:cs="Arial"/>
          <w:bCs/>
          <w:color w:val="auto"/>
          <w:lang w:val="en-HK"/>
        </w:rPr>
        <w:tab/>
      </w:r>
      <w:r w:rsidR="001F13C0" w:rsidRPr="00814A53">
        <w:rPr>
          <w:rFonts w:ascii="Verdana" w:hAnsi="Verdana" w:cs="Arial"/>
          <w:bCs/>
          <w:color w:val="auto"/>
          <w:lang w:val="en-HK"/>
        </w:rPr>
        <w:t xml:space="preserve">Where the event of injury falls short of threatening the right to life as </w:t>
      </w:r>
      <w:r w:rsidR="001F13C0" w:rsidRPr="00814A53">
        <w:rPr>
          <w:rFonts w:ascii="Verdana" w:hAnsi="Verdana" w:cs="Arial"/>
          <w:bCs/>
          <w:color w:val="auto"/>
          <w:lang w:val="en-HK"/>
        </w:rPr>
        <w:lastRenderedPageBreak/>
        <w:t xml:space="preserve">secured under Article 2 ECHR, the ECtHR has held </w:t>
      </w:r>
      <w:r w:rsidR="00A1712E" w:rsidRPr="00814A53">
        <w:rPr>
          <w:rFonts w:ascii="Verdana" w:hAnsi="Verdana" w:cs="Arial"/>
          <w:bCs/>
          <w:color w:val="auto"/>
          <w:lang w:val="en-HK"/>
        </w:rPr>
        <w:t xml:space="preserve">that the State may be under </w:t>
      </w:r>
      <w:r w:rsidR="009E3A42" w:rsidRPr="00814A53">
        <w:rPr>
          <w:rFonts w:ascii="Verdana" w:hAnsi="Verdana" w:cs="Arial"/>
          <w:bCs/>
          <w:color w:val="auto"/>
          <w:lang w:val="en-HK"/>
        </w:rPr>
        <w:t>the same</w:t>
      </w:r>
      <w:r w:rsidR="00A1712E" w:rsidRPr="00814A53">
        <w:rPr>
          <w:rFonts w:ascii="Verdana" w:hAnsi="Verdana" w:cs="Arial"/>
          <w:bCs/>
          <w:color w:val="auto"/>
          <w:lang w:val="en-HK"/>
        </w:rPr>
        <w:t xml:space="preserve"> obligation</w:t>
      </w:r>
      <w:r w:rsidR="009E3A42" w:rsidRPr="00814A53">
        <w:rPr>
          <w:rFonts w:ascii="Verdana" w:hAnsi="Verdana" w:cs="Arial"/>
          <w:bCs/>
          <w:color w:val="auto"/>
          <w:lang w:val="en-HK"/>
        </w:rPr>
        <w:t>s</w:t>
      </w:r>
      <w:r w:rsidR="00A619A4" w:rsidRPr="00814A53">
        <w:rPr>
          <w:rFonts w:ascii="Verdana" w:hAnsi="Verdana" w:cs="Arial"/>
          <w:bCs/>
          <w:color w:val="auto"/>
          <w:lang w:val="en-HK"/>
        </w:rPr>
        <w:t xml:space="preserve"> </w:t>
      </w:r>
      <w:r w:rsidR="00A1712E" w:rsidRPr="00814A53">
        <w:rPr>
          <w:rFonts w:ascii="Verdana" w:hAnsi="Verdana" w:cs="Arial"/>
          <w:bCs/>
          <w:color w:val="auto"/>
          <w:lang w:val="en-HK"/>
        </w:rPr>
        <w:t>to impose regulations requiring public and private hospitals to adopt appropriate measures to protect the physical integrity of their patients, and secondly, make available to victims of medical negligence a procedure capable of providing them, if need be, with compensation for damage</w:t>
      </w:r>
      <w:r w:rsidR="00A619A4" w:rsidRPr="00814A53">
        <w:rPr>
          <w:rFonts w:ascii="Verdana" w:hAnsi="Verdana" w:cs="Arial"/>
          <w:bCs/>
          <w:color w:val="auto"/>
          <w:lang w:val="en-HK"/>
        </w:rPr>
        <w:t>, under Article 8 ECHR</w:t>
      </w:r>
      <w:r w:rsidR="001B218F">
        <w:rPr>
          <w:rFonts w:ascii="Verdana" w:hAnsi="Verdana" w:cs="Arial"/>
          <w:bCs/>
          <w:color w:val="auto"/>
          <w:lang w:val="en-HK"/>
        </w:rPr>
        <w:t>.</w:t>
      </w:r>
      <w:r w:rsidR="00353127" w:rsidRPr="00814A53">
        <w:rPr>
          <w:rStyle w:val="FootnoteReference"/>
          <w:rFonts w:ascii="Verdana" w:hAnsi="Verdana" w:cs="Arial"/>
          <w:bCs/>
          <w:color w:val="auto"/>
          <w:lang w:val="en-HK"/>
        </w:rPr>
        <w:footnoteReference w:id="45"/>
      </w:r>
    </w:p>
    <w:p w14:paraId="69B7019B" w14:textId="005544E3" w:rsidR="003F016E" w:rsidRDefault="003F016E" w:rsidP="00EC6F70">
      <w:pPr>
        <w:pStyle w:val="BasicParagraph"/>
        <w:suppressAutoHyphens/>
        <w:rPr>
          <w:rFonts w:ascii="Verdana" w:hAnsi="Verdana" w:cs="Arial"/>
          <w:bCs/>
          <w:color w:val="77328A"/>
          <w:lang w:val="en-HK"/>
        </w:rPr>
      </w:pPr>
    </w:p>
    <w:p w14:paraId="62405BAE" w14:textId="0313DFDF" w:rsidR="009042AF" w:rsidRPr="006C171E" w:rsidRDefault="00AE2D59" w:rsidP="00567ACF">
      <w:pPr>
        <w:pStyle w:val="BasicParagraph"/>
        <w:suppressAutoHyphens/>
        <w:ind w:left="720" w:hanging="720"/>
        <w:rPr>
          <w:rFonts w:ascii="Verdana" w:hAnsi="Verdana" w:cs="Arial"/>
          <w:bCs/>
          <w:lang w:val="en-HK"/>
        </w:rPr>
      </w:pPr>
      <w:r w:rsidRPr="00814A53">
        <w:rPr>
          <w:rFonts w:ascii="Verdana" w:hAnsi="Verdana" w:cs="Arial"/>
          <w:bCs/>
          <w:color w:val="auto"/>
          <w:lang w:val="en-HK"/>
        </w:rPr>
        <w:t>10</w:t>
      </w:r>
      <w:r w:rsidR="009042AF" w:rsidRPr="00814A53">
        <w:rPr>
          <w:rFonts w:ascii="Verdana" w:hAnsi="Verdana" w:cs="Arial"/>
          <w:bCs/>
          <w:color w:val="auto"/>
          <w:lang w:val="en-HK"/>
        </w:rPr>
        <w:t>.5</w:t>
      </w:r>
      <w:r w:rsidR="009042AF" w:rsidRPr="00814A53">
        <w:rPr>
          <w:rFonts w:ascii="Verdana" w:hAnsi="Verdana" w:cs="Arial"/>
          <w:bCs/>
          <w:color w:val="auto"/>
          <w:lang w:val="en-HK"/>
        </w:rPr>
        <w:tab/>
      </w:r>
      <w:r w:rsidR="00043635" w:rsidRPr="00814A53">
        <w:rPr>
          <w:rFonts w:ascii="Verdana" w:hAnsi="Verdana" w:cs="Arial"/>
          <w:bCs/>
          <w:color w:val="auto"/>
          <w:lang w:val="en-HK"/>
        </w:rPr>
        <w:t xml:space="preserve">The </w:t>
      </w:r>
      <w:r w:rsidR="00C75C72" w:rsidRPr="00814A53">
        <w:rPr>
          <w:rFonts w:ascii="Verdana" w:hAnsi="Verdana" w:cs="Arial"/>
          <w:bCs/>
          <w:color w:val="auto"/>
          <w:lang w:val="en-HK"/>
        </w:rPr>
        <w:t>monitoring and reporting requirements may enable organisations and regulators to identify systemic issues</w:t>
      </w:r>
      <w:r w:rsidR="007B6E9F" w:rsidRPr="00814A53">
        <w:rPr>
          <w:rFonts w:ascii="Verdana" w:hAnsi="Verdana" w:cs="Arial"/>
          <w:bCs/>
          <w:color w:val="auto"/>
          <w:lang w:val="en-HK"/>
        </w:rPr>
        <w:t>, providing them with an opportunity to rectify and ultimately better protect patients</w:t>
      </w:r>
      <w:r w:rsidR="00C3656D">
        <w:rPr>
          <w:rFonts w:ascii="Verdana" w:hAnsi="Verdana" w:cs="Arial"/>
          <w:bCs/>
          <w:color w:val="auto"/>
          <w:lang w:val="en-HK"/>
        </w:rPr>
        <w:t>.</w:t>
      </w:r>
      <w:r w:rsidR="00567ACF" w:rsidRPr="006C171E">
        <w:rPr>
          <w:rFonts w:ascii="Verdana" w:hAnsi="Verdana" w:cs="Arial"/>
          <w:bCs/>
          <w:color w:val="auto"/>
          <w:lang w:val="en-HK"/>
        </w:rPr>
        <w:t> Through the use of disaggregated data, the monitoring and reporting requirements could help illuminate patterns, leading to the identification of potential issues such as for example, institutional racism, which regulators could draw upon and address accordingly. </w:t>
      </w:r>
      <w:r w:rsidR="007B6E9F" w:rsidRPr="00814A53">
        <w:rPr>
          <w:rFonts w:ascii="Verdana" w:hAnsi="Verdana" w:cs="Arial"/>
          <w:bCs/>
          <w:color w:val="auto"/>
          <w:lang w:val="en-HK"/>
        </w:rPr>
        <w:t xml:space="preserve">As the ECtHR has pointed out, </w:t>
      </w:r>
      <w:r w:rsidR="00DB1CB1" w:rsidRPr="00814A53">
        <w:rPr>
          <w:rFonts w:ascii="Verdana" w:hAnsi="Verdana" w:cs="Arial"/>
          <w:bCs/>
          <w:color w:val="auto"/>
          <w:lang w:val="en-HK"/>
        </w:rPr>
        <w:t xml:space="preserve">timely </w:t>
      </w:r>
      <w:r w:rsidR="007B6E9F" w:rsidRPr="00814A53">
        <w:rPr>
          <w:rFonts w:ascii="Verdana" w:hAnsi="Verdana" w:cs="Arial"/>
          <w:bCs/>
          <w:color w:val="auto"/>
          <w:lang w:val="en-HK"/>
        </w:rPr>
        <w:t xml:space="preserve">identification of breaches and deficiencies is essential to enable organisations </w:t>
      </w:r>
      <w:r w:rsidR="00DB1CB1" w:rsidRPr="00814A53">
        <w:rPr>
          <w:rFonts w:ascii="Verdana" w:hAnsi="Verdana" w:cs="Arial"/>
          <w:bCs/>
          <w:color w:val="auto"/>
          <w:lang w:val="en-HK"/>
        </w:rPr>
        <w:t xml:space="preserve">to </w:t>
      </w:r>
      <w:r w:rsidR="00DD6212" w:rsidRPr="00814A53">
        <w:rPr>
          <w:rFonts w:ascii="Verdana" w:hAnsi="Verdana" w:cs="Arial"/>
          <w:bCs/>
          <w:color w:val="auto"/>
          <w:lang w:val="en-HK"/>
        </w:rPr>
        <w:t>address</w:t>
      </w:r>
      <w:r w:rsidR="00DB1CB1" w:rsidRPr="00814A53">
        <w:rPr>
          <w:rFonts w:ascii="Verdana" w:hAnsi="Verdana" w:cs="Arial"/>
          <w:bCs/>
          <w:color w:val="auto"/>
          <w:lang w:val="en-HK"/>
        </w:rPr>
        <w:t xml:space="preserve"> issues and </w:t>
      </w:r>
      <w:r w:rsidR="00DD6212" w:rsidRPr="00814A53">
        <w:rPr>
          <w:rFonts w:ascii="Verdana" w:hAnsi="Verdana" w:cs="Arial"/>
          <w:bCs/>
          <w:color w:val="auto"/>
          <w:lang w:val="en-HK"/>
        </w:rPr>
        <w:t xml:space="preserve">avoid repeating similar </w:t>
      </w:r>
      <w:r w:rsidR="004E7023" w:rsidRPr="00814A53">
        <w:rPr>
          <w:rFonts w:ascii="Verdana" w:hAnsi="Verdana" w:cs="Arial"/>
          <w:bCs/>
          <w:color w:val="auto"/>
          <w:lang w:val="en-HK"/>
        </w:rPr>
        <w:t>incidents</w:t>
      </w:r>
      <w:r w:rsidR="00DD6212" w:rsidRPr="00814A53">
        <w:rPr>
          <w:rFonts w:ascii="Verdana" w:hAnsi="Verdana" w:cs="Arial"/>
          <w:bCs/>
          <w:color w:val="auto"/>
          <w:lang w:val="en-HK"/>
        </w:rPr>
        <w:t>.</w:t>
      </w:r>
    </w:p>
    <w:p w14:paraId="4E5A760F" w14:textId="7F6FFB1B" w:rsidR="007B6E9F" w:rsidRDefault="007B6E9F" w:rsidP="00EC6F70">
      <w:pPr>
        <w:pStyle w:val="BasicParagraph"/>
        <w:suppressAutoHyphens/>
        <w:ind w:left="720" w:hanging="720"/>
        <w:rPr>
          <w:rFonts w:ascii="Verdana" w:hAnsi="Verdana" w:cs="Arial"/>
          <w:bCs/>
          <w:color w:val="77328A"/>
          <w:lang w:val="en-HK"/>
        </w:rPr>
      </w:pPr>
    </w:p>
    <w:p w14:paraId="06013CF7" w14:textId="0D7C4C93" w:rsidR="007B6E9F" w:rsidRPr="006E22D7" w:rsidRDefault="00AE2D59" w:rsidP="00EC6F70">
      <w:pPr>
        <w:pStyle w:val="BasicParagraph"/>
        <w:suppressAutoHyphens/>
        <w:ind w:left="720" w:hanging="720"/>
        <w:rPr>
          <w:rFonts w:ascii="Verdana" w:hAnsi="Verdana" w:cs="Arial"/>
          <w:b/>
          <w:color w:val="auto"/>
          <w:lang w:val="en-HK"/>
        </w:rPr>
      </w:pPr>
      <w:r w:rsidRPr="006E22D7">
        <w:rPr>
          <w:rFonts w:ascii="Verdana" w:hAnsi="Verdana" w:cs="Arial"/>
          <w:b/>
          <w:color w:val="auto"/>
          <w:lang w:val="en-HK"/>
        </w:rPr>
        <w:t>10</w:t>
      </w:r>
      <w:r w:rsidR="007B6E9F" w:rsidRPr="006E22D7">
        <w:rPr>
          <w:rFonts w:ascii="Verdana" w:hAnsi="Verdana" w:cs="Arial"/>
          <w:b/>
          <w:color w:val="auto"/>
          <w:lang w:val="en-HK"/>
        </w:rPr>
        <w:t>.6</w:t>
      </w:r>
      <w:r w:rsidR="007B6E9F" w:rsidRPr="006E22D7">
        <w:rPr>
          <w:rFonts w:ascii="Verdana" w:hAnsi="Verdana" w:cs="Arial"/>
          <w:b/>
          <w:color w:val="auto"/>
          <w:lang w:val="en-HK"/>
        </w:rPr>
        <w:tab/>
        <w:t>The Commission suppor</w:t>
      </w:r>
      <w:r w:rsidR="00E673A0" w:rsidRPr="006E22D7">
        <w:rPr>
          <w:rFonts w:ascii="Verdana" w:hAnsi="Verdana" w:cs="Arial"/>
          <w:b/>
          <w:color w:val="auto"/>
          <w:lang w:val="en-HK"/>
        </w:rPr>
        <w:t xml:space="preserve">ts the reporting and monitoring requirements as proposed in the consultation document. </w:t>
      </w:r>
    </w:p>
    <w:p w14:paraId="15426470" w14:textId="77777777" w:rsidR="00E4737B" w:rsidRPr="00EF7848" w:rsidRDefault="00E4737B" w:rsidP="00EC6F70">
      <w:pPr>
        <w:pStyle w:val="BasicParagraph"/>
        <w:suppressAutoHyphens/>
        <w:rPr>
          <w:rFonts w:ascii="Verdana" w:hAnsi="Verdana" w:cs="Arial"/>
          <w:bCs/>
          <w:color w:val="77328A"/>
          <w:lang w:val="en-HK"/>
        </w:rPr>
      </w:pPr>
    </w:p>
    <w:p w14:paraId="2B0B1DCB" w14:textId="264616EC" w:rsidR="004E17C7" w:rsidRDefault="00932A50" w:rsidP="00EC6F70">
      <w:pPr>
        <w:pStyle w:val="BasicParagraph"/>
        <w:suppressAutoHyphens/>
        <w:rPr>
          <w:rFonts w:ascii="Verdana" w:hAnsi="Verdana" w:cs="Arial"/>
          <w:b/>
          <w:color w:val="77328A"/>
          <w:sz w:val="30"/>
          <w:szCs w:val="30"/>
        </w:rPr>
      </w:pPr>
      <w:r>
        <w:rPr>
          <w:rFonts w:ascii="Verdana" w:hAnsi="Verdana" w:cs="Arial"/>
          <w:b/>
          <w:color w:val="77328A"/>
          <w:sz w:val="30"/>
          <w:szCs w:val="30"/>
        </w:rPr>
        <w:t>1</w:t>
      </w:r>
      <w:r w:rsidR="0082726C">
        <w:rPr>
          <w:rFonts w:ascii="Verdana" w:hAnsi="Verdana" w:cs="Arial"/>
          <w:b/>
          <w:color w:val="77328A"/>
          <w:sz w:val="30"/>
          <w:szCs w:val="30"/>
        </w:rPr>
        <w:t>1</w:t>
      </w:r>
      <w:r>
        <w:rPr>
          <w:rFonts w:ascii="Verdana" w:hAnsi="Verdana" w:cs="Arial"/>
          <w:b/>
          <w:color w:val="77328A"/>
          <w:sz w:val="30"/>
          <w:szCs w:val="30"/>
        </w:rPr>
        <w:t>.0</w:t>
      </w:r>
      <w:r w:rsidR="00263BBE">
        <w:rPr>
          <w:rFonts w:ascii="Verdana" w:hAnsi="Verdana" w:cs="Arial"/>
          <w:b/>
          <w:color w:val="77328A"/>
          <w:sz w:val="30"/>
          <w:szCs w:val="30"/>
        </w:rPr>
        <w:t xml:space="preserve"> Criminal sanctions for breach</w:t>
      </w:r>
      <w:r w:rsidR="004E17C7">
        <w:rPr>
          <w:rFonts w:ascii="Verdana" w:hAnsi="Verdana" w:cs="Arial"/>
          <w:b/>
          <w:color w:val="77328A"/>
          <w:sz w:val="30"/>
          <w:szCs w:val="30"/>
        </w:rPr>
        <w:t xml:space="preserve"> </w:t>
      </w:r>
      <w:r w:rsidR="00A83233">
        <w:rPr>
          <w:rFonts w:ascii="Verdana" w:hAnsi="Verdana" w:cs="Arial"/>
          <w:b/>
          <w:color w:val="77328A"/>
          <w:sz w:val="30"/>
          <w:szCs w:val="30"/>
        </w:rPr>
        <w:t>and</w:t>
      </w:r>
      <w:r w:rsidR="004E17C7">
        <w:rPr>
          <w:rFonts w:ascii="Verdana" w:hAnsi="Verdana" w:cs="Arial"/>
          <w:b/>
          <w:color w:val="77328A"/>
          <w:sz w:val="30"/>
          <w:szCs w:val="30"/>
        </w:rPr>
        <w:t xml:space="preserve"> obstruction offence</w:t>
      </w:r>
    </w:p>
    <w:p w14:paraId="58544DB8" w14:textId="353682AE" w:rsidR="00432BD5" w:rsidRPr="00814A53" w:rsidRDefault="00432BD5" w:rsidP="00EC6F70">
      <w:pPr>
        <w:pStyle w:val="BasicParagraph"/>
        <w:suppressAutoHyphens/>
        <w:rPr>
          <w:rFonts w:ascii="Verdana" w:hAnsi="Verdana" w:cs="Arial"/>
          <w:b/>
          <w:color w:val="auto"/>
          <w:sz w:val="30"/>
          <w:szCs w:val="30"/>
        </w:rPr>
      </w:pPr>
    </w:p>
    <w:p w14:paraId="2E2329B7" w14:textId="02A23762" w:rsidR="00E10C52" w:rsidRPr="00814A53" w:rsidRDefault="00432BD5" w:rsidP="00EC6F70">
      <w:pPr>
        <w:pStyle w:val="BasicParagraph"/>
        <w:suppressAutoHyphens/>
        <w:ind w:left="720" w:hanging="720"/>
        <w:rPr>
          <w:rFonts w:ascii="Verdana" w:hAnsi="Verdana" w:cs="Arial"/>
          <w:bCs/>
          <w:color w:val="auto"/>
        </w:rPr>
      </w:pPr>
      <w:r w:rsidRPr="00814A53">
        <w:rPr>
          <w:rFonts w:ascii="Verdana" w:hAnsi="Verdana" w:cs="Arial"/>
          <w:bCs/>
          <w:color w:val="auto"/>
        </w:rPr>
        <w:t>1</w:t>
      </w:r>
      <w:r w:rsidR="0082726C" w:rsidRPr="00814A53">
        <w:rPr>
          <w:rFonts w:ascii="Verdana" w:hAnsi="Verdana" w:cs="Arial"/>
          <w:bCs/>
          <w:color w:val="auto"/>
        </w:rPr>
        <w:t>1</w:t>
      </w:r>
      <w:r w:rsidRPr="00814A53">
        <w:rPr>
          <w:rFonts w:ascii="Verdana" w:hAnsi="Verdana" w:cs="Arial"/>
          <w:bCs/>
          <w:color w:val="auto"/>
        </w:rPr>
        <w:t>.1</w:t>
      </w:r>
      <w:r w:rsidRPr="00814A53">
        <w:rPr>
          <w:rFonts w:ascii="Verdana" w:hAnsi="Verdana" w:cs="Arial"/>
          <w:bCs/>
          <w:color w:val="auto"/>
        </w:rPr>
        <w:tab/>
      </w:r>
      <w:r w:rsidR="00226A53" w:rsidRPr="00814A53">
        <w:rPr>
          <w:rFonts w:ascii="Verdana" w:hAnsi="Verdana" w:cs="Arial"/>
          <w:bCs/>
          <w:color w:val="auto"/>
        </w:rPr>
        <w:t xml:space="preserve">The consultation document </w:t>
      </w:r>
      <w:r w:rsidR="00E6021C" w:rsidRPr="00814A53">
        <w:rPr>
          <w:rFonts w:ascii="Verdana" w:hAnsi="Verdana" w:cs="Arial"/>
          <w:bCs/>
          <w:color w:val="auto"/>
        </w:rPr>
        <w:t xml:space="preserve">proposes the introduction of criminal sanctions for </w:t>
      </w:r>
      <w:proofErr w:type="gramStart"/>
      <w:r w:rsidR="00E6021C" w:rsidRPr="00814A53">
        <w:rPr>
          <w:rFonts w:ascii="Verdana" w:hAnsi="Verdana" w:cs="Arial"/>
          <w:bCs/>
          <w:color w:val="auto"/>
        </w:rPr>
        <w:t>a number of</w:t>
      </w:r>
      <w:proofErr w:type="gramEnd"/>
      <w:r w:rsidR="00E6021C" w:rsidRPr="00814A53">
        <w:rPr>
          <w:rFonts w:ascii="Verdana" w:hAnsi="Verdana" w:cs="Arial"/>
          <w:bCs/>
          <w:color w:val="auto"/>
        </w:rPr>
        <w:t xml:space="preserve"> specified breaches under the proposed Duty of Candour.</w:t>
      </w:r>
      <w:r w:rsidR="00814A53">
        <w:rPr>
          <w:rStyle w:val="FootnoteReference"/>
          <w:rFonts w:ascii="Verdana" w:hAnsi="Verdana" w:cs="Arial"/>
          <w:bCs/>
          <w:color w:val="auto"/>
        </w:rPr>
        <w:footnoteReference w:id="46"/>
      </w:r>
      <w:r w:rsidR="00E6021C" w:rsidRPr="00814A53">
        <w:rPr>
          <w:rFonts w:ascii="Verdana" w:hAnsi="Verdana" w:cs="Arial"/>
          <w:bCs/>
          <w:color w:val="auto"/>
        </w:rPr>
        <w:t xml:space="preserve"> </w:t>
      </w:r>
      <w:r w:rsidR="00E10C52" w:rsidRPr="00814A53">
        <w:rPr>
          <w:rFonts w:ascii="Verdana" w:hAnsi="Verdana" w:cs="Arial"/>
          <w:bCs/>
          <w:color w:val="auto"/>
        </w:rPr>
        <w:t>Further, it is proposed that a director, manager, secretary or similar officer of the organisation responsible for the breach, may be subject to proceedings if it is proved that the breach was committed with their consent, connivance, or as a result of their neglect.</w:t>
      </w:r>
      <w:r w:rsidR="00814A53">
        <w:rPr>
          <w:rStyle w:val="FootnoteReference"/>
          <w:rFonts w:ascii="Verdana" w:hAnsi="Verdana" w:cs="Arial"/>
          <w:bCs/>
          <w:color w:val="auto"/>
        </w:rPr>
        <w:footnoteReference w:id="47"/>
      </w:r>
    </w:p>
    <w:p w14:paraId="382A0408" w14:textId="77777777" w:rsidR="00E10C52" w:rsidRDefault="00E10C52" w:rsidP="00EC6F70">
      <w:pPr>
        <w:pStyle w:val="BasicParagraph"/>
        <w:suppressAutoHyphens/>
        <w:rPr>
          <w:rFonts w:ascii="Verdana" w:hAnsi="Verdana" w:cs="Arial"/>
          <w:bCs/>
          <w:color w:val="77328A"/>
        </w:rPr>
      </w:pPr>
    </w:p>
    <w:p w14:paraId="5F72C255" w14:textId="7220A7FA" w:rsidR="00263BBE" w:rsidRPr="005F647A" w:rsidRDefault="00E10C52" w:rsidP="00EC6F70">
      <w:pPr>
        <w:pStyle w:val="BasicParagraph"/>
        <w:suppressAutoHyphens/>
        <w:ind w:left="720" w:hanging="720"/>
        <w:rPr>
          <w:rFonts w:ascii="Verdana" w:hAnsi="Verdana" w:cs="Arial"/>
          <w:bCs/>
          <w:color w:val="auto"/>
        </w:rPr>
      </w:pPr>
      <w:r w:rsidRPr="005F647A">
        <w:rPr>
          <w:rFonts w:ascii="Verdana" w:hAnsi="Verdana" w:cs="Arial"/>
          <w:bCs/>
          <w:color w:val="auto"/>
        </w:rPr>
        <w:t>1</w:t>
      </w:r>
      <w:r w:rsidR="0082726C" w:rsidRPr="005F647A">
        <w:rPr>
          <w:rFonts w:ascii="Verdana" w:hAnsi="Verdana" w:cs="Arial"/>
          <w:bCs/>
          <w:color w:val="auto"/>
        </w:rPr>
        <w:t>1</w:t>
      </w:r>
      <w:r w:rsidRPr="005F647A">
        <w:rPr>
          <w:rFonts w:ascii="Verdana" w:hAnsi="Verdana" w:cs="Arial"/>
          <w:bCs/>
          <w:color w:val="auto"/>
        </w:rPr>
        <w:t>.2</w:t>
      </w:r>
      <w:r w:rsidRPr="005F647A">
        <w:rPr>
          <w:rFonts w:ascii="Verdana" w:hAnsi="Verdana" w:cs="Arial"/>
          <w:bCs/>
          <w:color w:val="auto"/>
        </w:rPr>
        <w:tab/>
      </w:r>
      <w:r w:rsidR="009853B2" w:rsidRPr="005F647A">
        <w:rPr>
          <w:rFonts w:ascii="Verdana" w:hAnsi="Verdana" w:cs="Arial"/>
          <w:bCs/>
          <w:color w:val="auto"/>
        </w:rPr>
        <w:t xml:space="preserve">In </w:t>
      </w:r>
      <w:r w:rsidR="009853B2" w:rsidRPr="005F647A">
        <w:rPr>
          <w:rFonts w:ascii="Verdana" w:eastAsia="Times New Roman" w:hAnsi="Verdana" w:cs="Times New Roman"/>
          <w:i/>
          <w:iCs/>
          <w:color w:val="auto"/>
          <w:lang w:val="en-HK" w:eastAsia="zh-TW"/>
        </w:rPr>
        <w:t>Lopes de Sousa Fernandes v Portugal</w:t>
      </w:r>
      <w:r w:rsidR="009853B2" w:rsidRPr="005F647A">
        <w:rPr>
          <w:rFonts w:ascii="Verdana" w:hAnsi="Verdana" w:cs="Arial"/>
          <w:bCs/>
          <w:color w:val="auto"/>
        </w:rPr>
        <w:t xml:space="preserve">, the ECtHR </w:t>
      </w:r>
      <w:r w:rsidR="00633F3E" w:rsidRPr="005F647A">
        <w:rPr>
          <w:rFonts w:ascii="Verdana" w:hAnsi="Verdana" w:cs="Arial"/>
          <w:bCs/>
          <w:color w:val="auto"/>
        </w:rPr>
        <w:t>clarified that “the Court</w:t>
      </w:r>
      <w:r w:rsidR="009853B2" w:rsidRPr="005F647A">
        <w:rPr>
          <w:rFonts w:ascii="Verdana" w:hAnsi="Verdana" w:cs="Arial"/>
          <w:bCs/>
          <w:color w:val="auto"/>
        </w:rPr>
        <w:t xml:space="preserve"> has interpreted the procedural obligation of Article 2 in the context of health care as requiring States to set up an effective and independent judicial system so that the cause of death of patients in the care of the medical profession, whether in the public or the private sector, can be determined and those responsible made accountable</w:t>
      </w:r>
      <w:r w:rsidR="00633F3E" w:rsidRPr="005F647A">
        <w:rPr>
          <w:rFonts w:ascii="Verdana" w:hAnsi="Verdana" w:cs="Arial"/>
          <w:bCs/>
          <w:color w:val="auto"/>
        </w:rPr>
        <w:t xml:space="preserve">. </w:t>
      </w:r>
      <w:r w:rsidR="009853B2" w:rsidRPr="005F647A">
        <w:rPr>
          <w:rFonts w:ascii="Verdana" w:hAnsi="Verdana" w:cs="Arial"/>
          <w:bCs/>
          <w:color w:val="auto"/>
        </w:rPr>
        <w:t xml:space="preserve">While, in some </w:t>
      </w:r>
      <w:r w:rsidR="009853B2" w:rsidRPr="005F647A">
        <w:rPr>
          <w:rFonts w:ascii="Verdana" w:hAnsi="Verdana" w:cs="Arial"/>
          <w:bCs/>
          <w:color w:val="auto"/>
        </w:rPr>
        <w:lastRenderedPageBreak/>
        <w:t>exceptional situations, where the fault attributable to the health</w:t>
      </w:r>
      <w:r w:rsidR="00AA31C5" w:rsidRPr="005F647A">
        <w:rPr>
          <w:rFonts w:ascii="Verdana" w:hAnsi="Verdana" w:cs="Arial"/>
          <w:bCs/>
          <w:color w:val="auto"/>
        </w:rPr>
        <w:t xml:space="preserve"> </w:t>
      </w:r>
      <w:r w:rsidR="009853B2" w:rsidRPr="005F647A">
        <w:rPr>
          <w:rFonts w:ascii="Verdana" w:hAnsi="Verdana" w:cs="Arial"/>
          <w:bCs/>
          <w:color w:val="auto"/>
        </w:rPr>
        <w:t>care providers went beyond a mere error or medical negligence, the Court has considered that compliance with the procedural obligation must include recourse to criminal law</w:t>
      </w:r>
      <w:r w:rsidR="00CF5637" w:rsidRPr="005F647A">
        <w:rPr>
          <w:rFonts w:ascii="Verdana" w:hAnsi="Verdana" w:cs="Arial"/>
          <w:bCs/>
          <w:color w:val="auto"/>
        </w:rPr>
        <w:t xml:space="preserve">, </w:t>
      </w:r>
      <w:r w:rsidR="009853B2" w:rsidRPr="005F647A">
        <w:rPr>
          <w:rFonts w:ascii="Verdana" w:hAnsi="Verdana" w:cs="Arial"/>
          <w:bCs/>
          <w:color w:val="auto"/>
        </w:rPr>
        <w:t>in all other cases where the infringement of the right to life or to personal integrity is not caused intentionally, the procedural obligation imposed by Article 2 to set up an effective and independent judicial system does not necessarily require the provision of a criminal</w:t>
      </w:r>
      <w:r w:rsidR="00CF5637" w:rsidRPr="005F647A">
        <w:rPr>
          <w:rFonts w:ascii="Verdana" w:hAnsi="Verdana" w:cs="Arial"/>
          <w:bCs/>
          <w:color w:val="auto"/>
        </w:rPr>
        <w:t xml:space="preserve"> </w:t>
      </w:r>
      <w:r w:rsidR="009853B2" w:rsidRPr="005F647A">
        <w:rPr>
          <w:rFonts w:ascii="Verdana" w:hAnsi="Verdana" w:cs="Arial"/>
          <w:bCs/>
          <w:color w:val="auto"/>
        </w:rPr>
        <w:t>law remedy</w:t>
      </w:r>
      <w:r w:rsidR="00993812" w:rsidRPr="005F647A">
        <w:rPr>
          <w:rFonts w:ascii="Verdana" w:hAnsi="Verdana" w:cs="Arial"/>
          <w:bCs/>
          <w:color w:val="auto"/>
        </w:rPr>
        <w:t>”</w:t>
      </w:r>
      <w:r w:rsidR="005F647A">
        <w:rPr>
          <w:rFonts w:ascii="Verdana" w:hAnsi="Verdana" w:cs="Arial"/>
          <w:bCs/>
          <w:color w:val="auto"/>
        </w:rPr>
        <w:t>.</w:t>
      </w:r>
      <w:r w:rsidR="00726BA2" w:rsidRPr="005F647A">
        <w:rPr>
          <w:rStyle w:val="FootnoteReference"/>
          <w:rFonts w:ascii="Verdana" w:hAnsi="Verdana" w:cs="Arial"/>
          <w:bCs/>
          <w:color w:val="auto"/>
        </w:rPr>
        <w:footnoteReference w:id="48"/>
      </w:r>
    </w:p>
    <w:p w14:paraId="49D30CEA" w14:textId="40A34EF0" w:rsidR="007171A8" w:rsidRDefault="007171A8" w:rsidP="00EC6F70">
      <w:pPr>
        <w:pStyle w:val="BasicParagraph"/>
        <w:suppressAutoHyphens/>
        <w:ind w:left="720" w:hanging="720"/>
        <w:rPr>
          <w:rFonts w:ascii="Verdana" w:hAnsi="Verdana" w:cs="Arial"/>
          <w:bCs/>
          <w:color w:val="77328A"/>
        </w:rPr>
      </w:pPr>
    </w:p>
    <w:p w14:paraId="336FFF6F" w14:textId="0460B14D" w:rsidR="00F8403A" w:rsidRPr="002925E1" w:rsidRDefault="007171A8" w:rsidP="00EC6F70">
      <w:pPr>
        <w:pStyle w:val="BasicParagraph"/>
        <w:suppressAutoHyphens/>
        <w:ind w:left="720" w:hanging="720"/>
        <w:rPr>
          <w:rFonts w:ascii="Verdana" w:hAnsi="Verdana" w:cs="Arial"/>
          <w:bCs/>
          <w:color w:val="auto"/>
        </w:rPr>
      </w:pPr>
      <w:r w:rsidRPr="002925E1">
        <w:rPr>
          <w:rFonts w:ascii="Verdana" w:hAnsi="Verdana" w:cs="Arial"/>
          <w:bCs/>
          <w:color w:val="auto"/>
        </w:rPr>
        <w:t>1</w:t>
      </w:r>
      <w:r w:rsidR="0082726C" w:rsidRPr="002925E1">
        <w:rPr>
          <w:rFonts w:ascii="Verdana" w:hAnsi="Verdana" w:cs="Arial"/>
          <w:bCs/>
          <w:color w:val="auto"/>
        </w:rPr>
        <w:t>1</w:t>
      </w:r>
      <w:r w:rsidRPr="002925E1">
        <w:rPr>
          <w:rFonts w:ascii="Verdana" w:hAnsi="Verdana" w:cs="Arial"/>
          <w:bCs/>
          <w:color w:val="auto"/>
        </w:rPr>
        <w:t>.3</w:t>
      </w:r>
      <w:r w:rsidRPr="002925E1">
        <w:rPr>
          <w:rFonts w:ascii="Verdana" w:hAnsi="Verdana" w:cs="Arial"/>
          <w:bCs/>
          <w:color w:val="auto"/>
        </w:rPr>
        <w:tab/>
      </w:r>
      <w:r w:rsidR="00023D8C" w:rsidRPr="002925E1">
        <w:rPr>
          <w:rFonts w:ascii="Verdana" w:hAnsi="Verdana" w:cs="Arial"/>
          <w:bCs/>
          <w:color w:val="auto"/>
        </w:rPr>
        <w:t xml:space="preserve">The </w:t>
      </w:r>
      <w:r w:rsidR="00B231D0" w:rsidRPr="002925E1">
        <w:rPr>
          <w:rFonts w:ascii="Verdana" w:hAnsi="Verdana" w:cs="Arial"/>
          <w:bCs/>
          <w:color w:val="auto"/>
        </w:rPr>
        <w:t xml:space="preserve">criminal sanctions for breach </w:t>
      </w:r>
      <w:r w:rsidR="005E0220" w:rsidRPr="002925E1">
        <w:rPr>
          <w:rFonts w:ascii="Verdana" w:hAnsi="Verdana" w:cs="Arial"/>
          <w:bCs/>
          <w:color w:val="auto"/>
        </w:rPr>
        <w:t>and obstruction</w:t>
      </w:r>
      <w:r w:rsidR="00023D8C" w:rsidRPr="002925E1">
        <w:rPr>
          <w:rFonts w:ascii="Verdana" w:hAnsi="Verdana" w:cs="Arial"/>
          <w:bCs/>
          <w:color w:val="auto"/>
        </w:rPr>
        <w:t xml:space="preserve"> are proposed to apply following the wilful </w:t>
      </w:r>
      <w:r w:rsidR="00234F8F" w:rsidRPr="002925E1">
        <w:rPr>
          <w:rFonts w:ascii="Verdana" w:hAnsi="Verdana" w:cs="Arial"/>
          <w:bCs/>
          <w:color w:val="auto"/>
        </w:rPr>
        <w:t>breach by an organisation</w:t>
      </w:r>
      <w:r w:rsidR="00FA3B06" w:rsidRPr="002925E1">
        <w:rPr>
          <w:rFonts w:ascii="Verdana" w:hAnsi="Verdana" w:cs="Arial"/>
          <w:bCs/>
          <w:color w:val="auto"/>
        </w:rPr>
        <w:t xml:space="preserve"> and /</w:t>
      </w:r>
      <w:r w:rsidR="00406E85" w:rsidRPr="002925E1">
        <w:rPr>
          <w:rFonts w:ascii="Verdana" w:hAnsi="Verdana" w:cs="Arial"/>
          <w:bCs/>
          <w:color w:val="auto"/>
        </w:rPr>
        <w:t xml:space="preserve"> </w:t>
      </w:r>
      <w:r w:rsidR="00FA3B06" w:rsidRPr="002925E1">
        <w:rPr>
          <w:rFonts w:ascii="Verdana" w:hAnsi="Verdana" w:cs="Arial"/>
          <w:bCs/>
          <w:color w:val="auto"/>
        </w:rPr>
        <w:t>or its officers.</w:t>
      </w:r>
      <w:r w:rsidR="00406E85" w:rsidRPr="002925E1">
        <w:rPr>
          <w:rFonts w:ascii="Verdana" w:hAnsi="Verdana" w:cs="Arial"/>
          <w:bCs/>
          <w:color w:val="auto"/>
        </w:rPr>
        <w:t xml:space="preserve"> Following </w:t>
      </w:r>
      <w:r w:rsidR="00406E85" w:rsidRPr="002925E1">
        <w:rPr>
          <w:rFonts w:ascii="Verdana" w:hAnsi="Verdana" w:cs="Arial"/>
          <w:bCs/>
          <w:i/>
          <w:iCs/>
          <w:color w:val="auto"/>
        </w:rPr>
        <w:t>Lopes</w:t>
      </w:r>
      <w:r w:rsidR="00406E85" w:rsidRPr="002925E1">
        <w:rPr>
          <w:rFonts w:ascii="Verdana" w:hAnsi="Verdana" w:cs="Arial"/>
          <w:bCs/>
          <w:color w:val="auto"/>
        </w:rPr>
        <w:t xml:space="preserve">, </w:t>
      </w:r>
      <w:proofErr w:type="gramStart"/>
      <w:r w:rsidR="00DB435A" w:rsidRPr="002925E1">
        <w:rPr>
          <w:rFonts w:ascii="Verdana" w:hAnsi="Verdana" w:cs="Arial"/>
          <w:bCs/>
          <w:color w:val="auto"/>
        </w:rPr>
        <w:t>it is clear that</w:t>
      </w:r>
      <w:r w:rsidR="00F8403A" w:rsidRPr="002925E1">
        <w:rPr>
          <w:rFonts w:ascii="Verdana" w:hAnsi="Verdana" w:cs="Arial"/>
          <w:bCs/>
          <w:color w:val="auto"/>
        </w:rPr>
        <w:t xml:space="preserve"> the</w:t>
      </w:r>
      <w:proofErr w:type="gramEnd"/>
      <w:r w:rsidR="0098406D" w:rsidRPr="002925E1">
        <w:rPr>
          <w:rFonts w:ascii="Verdana" w:hAnsi="Verdana" w:cs="Arial"/>
          <w:bCs/>
          <w:color w:val="auto"/>
        </w:rPr>
        <w:t xml:space="preserve"> ECtHR has envisaged that the</w:t>
      </w:r>
      <w:r w:rsidR="00F8403A" w:rsidRPr="002925E1">
        <w:rPr>
          <w:rFonts w:ascii="Verdana" w:hAnsi="Verdana" w:cs="Arial"/>
          <w:bCs/>
          <w:color w:val="auto"/>
        </w:rPr>
        <w:t xml:space="preserve"> procedural limb of</w:t>
      </w:r>
      <w:r w:rsidR="00DB435A" w:rsidRPr="002925E1">
        <w:rPr>
          <w:rFonts w:ascii="Verdana" w:hAnsi="Verdana" w:cs="Arial"/>
          <w:bCs/>
          <w:color w:val="auto"/>
        </w:rPr>
        <w:t xml:space="preserve"> </w:t>
      </w:r>
      <w:r w:rsidR="00F8403A" w:rsidRPr="002925E1">
        <w:rPr>
          <w:rFonts w:ascii="Verdana" w:hAnsi="Verdana" w:cs="Arial"/>
          <w:bCs/>
          <w:color w:val="auto"/>
        </w:rPr>
        <w:t>Article 2 ECHR ma</w:t>
      </w:r>
      <w:r w:rsidR="00FA339D" w:rsidRPr="002925E1">
        <w:rPr>
          <w:rFonts w:ascii="Verdana" w:hAnsi="Verdana" w:cs="Arial"/>
          <w:bCs/>
          <w:color w:val="auto"/>
        </w:rPr>
        <w:t>y, in exceptional</w:t>
      </w:r>
      <w:r w:rsidR="009E5B36" w:rsidRPr="002925E1">
        <w:rPr>
          <w:rFonts w:ascii="Verdana" w:hAnsi="Verdana" w:cs="Arial"/>
          <w:bCs/>
          <w:color w:val="auto"/>
        </w:rPr>
        <w:t xml:space="preserve"> cases </w:t>
      </w:r>
      <w:r w:rsidR="00F8403A" w:rsidRPr="002925E1">
        <w:rPr>
          <w:rFonts w:ascii="Verdana" w:hAnsi="Verdana" w:cs="Arial"/>
          <w:bCs/>
          <w:color w:val="auto"/>
        </w:rPr>
        <w:t>require recourse to criminal law</w:t>
      </w:r>
      <w:r w:rsidR="0098406D" w:rsidRPr="002925E1">
        <w:rPr>
          <w:rFonts w:ascii="Verdana" w:hAnsi="Verdana" w:cs="Arial"/>
          <w:bCs/>
          <w:color w:val="auto"/>
        </w:rPr>
        <w:t>.</w:t>
      </w:r>
      <w:r w:rsidR="0079337C" w:rsidRPr="002925E1">
        <w:rPr>
          <w:rFonts w:ascii="Verdana" w:hAnsi="Verdana" w:cs="Arial"/>
          <w:bCs/>
          <w:color w:val="auto"/>
        </w:rPr>
        <w:t xml:space="preserve"> </w:t>
      </w:r>
      <w:r w:rsidR="00E83FA0" w:rsidRPr="002925E1">
        <w:rPr>
          <w:rFonts w:ascii="Verdana" w:hAnsi="Verdana" w:cs="Arial"/>
          <w:bCs/>
          <w:color w:val="auto"/>
        </w:rPr>
        <w:t xml:space="preserve">Clear guidance must be provided </w:t>
      </w:r>
      <w:r w:rsidR="00BB7E79" w:rsidRPr="002925E1">
        <w:rPr>
          <w:rFonts w:ascii="Verdana" w:hAnsi="Verdana" w:cs="Arial"/>
          <w:bCs/>
          <w:color w:val="auto"/>
        </w:rPr>
        <w:t xml:space="preserve">to organisations and health and social care </w:t>
      </w:r>
      <w:r w:rsidR="00025458" w:rsidRPr="002925E1">
        <w:rPr>
          <w:rFonts w:ascii="Verdana" w:hAnsi="Verdana" w:cs="Arial"/>
          <w:bCs/>
          <w:color w:val="auto"/>
        </w:rPr>
        <w:t>professionals</w:t>
      </w:r>
      <w:r w:rsidR="00BB7E79" w:rsidRPr="002925E1">
        <w:rPr>
          <w:rFonts w:ascii="Verdana" w:hAnsi="Verdana" w:cs="Arial"/>
          <w:bCs/>
          <w:color w:val="auto"/>
        </w:rPr>
        <w:t xml:space="preserve"> regarding</w:t>
      </w:r>
      <w:r w:rsidR="00E83FA0" w:rsidRPr="002925E1">
        <w:rPr>
          <w:rFonts w:ascii="Verdana" w:hAnsi="Verdana" w:cs="Arial"/>
          <w:bCs/>
          <w:color w:val="auto"/>
        </w:rPr>
        <w:t xml:space="preserve"> when criminal sanctions for breach may arise.  </w:t>
      </w:r>
      <w:r w:rsidR="0079337C" w:rsidRPr="002925E1">
        <w:rPr>
          <w:rFonts w:ascii="Verdana" w:hAnsi="Verdana" w:cs="Arial"/>
          <w:bCs/>
          <w:color w:val="auto"/>
        </w:rPr>
        <w:t xml:space="preserve"> </w:t>
      </w:r>
    </w:p>
    <w:p w14:paraId="2A958EFF" w14:textId="469B9A1D" w:rsidR="0098406D" w:rsidRDefault="0098406D" w:rsidP="00EC6F70">
      <w:pPr>
        <w:pStyle w:val="BasicParagraph"/>
        <w:suppressAutoHyphens/>
        <w:ind w:left="720" w:hanging="720"/>
        <w:rPr>
          <w:rFonts w:ascii="Verdana" w:hAnsi="Verdana" w:cs="Arial"/>
          <w:bCs/>
          <w:color w:val="77328A"/>
        </w:rPr>
      </w:pPr>
    </w:p>
    <w:p w14:paraId="5A741D54" w14:textId="1EE8D475" w:rsidR="0098406D" w:rsidRPr="006E22D7" w:rsidRDefault="0098406D" w:rsidP="00EC6F70">
      <w:pPr>
        <w:pStyle w:val="BasicParagraph"/>
        <w:suppressAutoHyphens/>
        <w:ind w:left="720" w:hanging="720"/>
        <w:rPr>
          <w:rFonts w:ascii="Verdana" w:hAnsi="Verdana" w:cs="Arial"/>
          <w:b/>
          <w:color w:val="auto"/>
        </w:rPr>
      </w:pPr>
      <w:r w:rsidRPr="006E22D7">
        <w:rPr>
          <w:rFonts w:ascii="Verdana" w:hAnsi="Verdana" w:cs="Arial"/>
          <w:b/>
          <w:color w:val="auto"/>
        </w:rPr>
        <w:t>1</w:t>
      </w:r>
      <w:r w:rsidR="0082726C" w:rsidRPr="006E22D7">
        <w:rPr>
          <w:rFonts w:ascii="Verdana" w:hAnsi="Verdana" w:cs="Arial"/>
          <w:b/>
          <w:color w:val="auto"/>
        </w:rPr>
        <w:t>1</w:t>
      </w:r>
      <w:r w:rsidRPr="006E22D7">
        <w:rPr>
          <w:rFonts w:ascii="Verdana" w:hAnsi="Verdana" w:cs="Arial"/>
          <w:b/>
          <w:color w:val="auto"/>
        </w:rPr>
        <w:t>.4</w:t>
      </w:r>
      <w:r w:rsidRPr="006E22D7">
        <w:rPr>
          <w:rFonts w:ascii="Verdana" w:hAnsi="Verdana" w:cs="Arial"/>
          <w:b/>
          <w:color w:val="auto"/>
        </w:rPr>
        <w:tab/>
      </w:r>
      <w:r w:rsidR="00B93464" w:rsidRPr="006E22D7">
        <w:rPr>
          <w:rFonts w:ascii="Verdana" w:hAnsi="Verdana" w:cs="Arial"/>
          <w:b/>
          <w:color w:val="auto"/>
        </w:rPr>
        <w:t xml:space="preserve">The Commission </w:t>
      </w:r>
      <w:r w:rsidR="00195D06" w:rsidRPr="006E22D7">
        <w:rPr>
          <w:rFonts w:ascii="Verdana" w:hAnsi="Verdana" w:cs="Arial"/>
          <w:b/>
          <w:color w:val="auto"/>
        </w:rPr>
        <w:t>supports the propos</w:t>
      </w:r>
      <w:r w:rsidR="003D6859" w:rsidRPr="006E22D7">
        <w:rPr>
          <w:rFonts w:ascii="Verdana" w:hAnsi="Verdana" w:cs="Arial"/>
          <w:b/>
          <w:color w:val="auto"/>
        </w:rPr>
        <w:t xml:space="preserve">ed introduction of criminal sanctions for breach and </w:t>
      </w:r>
      <w:r w:rsidR="004757B0" w:rsidRPr="006E22D7">
        <w:rPr>
          <w:rFonts w:ascii="Verdana" w:hAnsi="Verdana" w:cs="Arial"/>
          <w:b/>
          <w:color w:val="auto"/>
        </w:rPr>
        <w:t xml:space="preserve">the </w:t>
      </w:r>
      <w:r w:rsidR="003D6859" w:rsidRPr="006E22D7">
        <w:rPr>
          <w:rFonts w:ascii="Verdana" w:hAnsi="Verdana" w:cs="Arial"/>
          <w:b/>
          <w:color w:val="auto"/>
        </w:rPr>
        <w:t>obstruction offence.</w:t>
      </w:r>
    </w:p>
    <w:p w14:paraId="7F6F215F" w14:textId="77777777" w:rsidR="00B030E4" w:rsidRDefault="00B030E4" w:rsidP="00EC6F70">
      <w:pPr>
        <w:pStyle w:val="BasicParagraph"/>
        <w:suppressAutoHyphens/>
        <w:rPr>
          <w:rFonts w:ascii="Verdana" w:hAnsi="Verdana" w:cs="Arial"/>
          <w:b/>
          <w:color w:val="77328A"/>
          <w:sz w:val="30"/>
          <w:szCs w:val="30"/>
        </w:rPr>
      </w:pPr>
    </w:p>
    <w:p w14:paraId="364FC2FF" w14:textId="48D26936" w:rsidR="00B64973" w:rsidRDefault="00B64973" w:rsidP="00EC6F70">
      <w:pPr>
        <w:pStyle w:val="BasicParagraph"/>
        <w:suppressAutoHyphens/>
        <w:rPr>
          <w:rFonts w:ascii="Verdana" w:hAnsi="Verdana" w:cs="Arial"/>
          <w:bCs/>
          <w:color w:val="77328A"/>
          <w:lang w:val="en-HK"/>
        </w:rPr>
      </w:pPr>
    </w:p>
    <w:p w14:paraId="40D63FE4" w14:textId="14CC2F6B" w:rsidR="002D03B5" w:rsidRDefault="002D03B5" w:rsidP="00EC6F70">
      <w:pPr>
        <w:pStyle w:val="BasicParagraph"/>
        <w:suppressAutoHyphens/>
        <w:ind w:left="720" w:hanging="720"/>
        <w:rPr>
          <w:rFonts w:ascii="Verdana" w:hAnsi="Verdana" w:cs="Arial"/>
          <w:b/>
          <w:bCs/>
          <w:color w:val="77328A"/>
          <w:sz w:val="36"/>
          <w:szCs w:val="36"/>
        </w:rPr>
      </w:pPr>
    </w:p>
    <w:p w14:paraId="765DF7B3" w14:textId="77777777" w:rsidR="002D03B5" w:rsidRDefault="002D03B5" w:rsidP="00EC6F70">
      <w:pPr>
        <w:pStyle w:val="BasicParagraph"/>
        <w:suppressAutoHyphens/>
        <w:jc w:val="center"/>
        <w:rPr>
          <w:rFonts w:ascii="Verdana" w:hAnsi="Verdana" w:cs="Arial"/>
          <w:b/>
          <w:bCs/>
          <w:color w:val="77328A"/>
          <w:sz w:val="36"/>
          <w:szCs w:val="36"/>
        </w:rPr>
      </w:pPr>
    </w:p>
    <w:p w14:paraId="0DF4811F" w14:textId="77777777" w:rsidR="002D03B5" w:rsidRDefault="002D03B5" w:rsidP="00EC6F70">
      <w:pPr>
        <w:pStyle w:val="BasicParagraph"/>
        <w:suppressAutoHyphens/>
        <w:jc w:val="center"/>
        <w:rPr>
          <w:rFonts w:ascii="Verdana" w:hAnsi="Verdana" w:cs="Arial"/>
          <w:b/>
          <w:bCs/>
          <w:color w:val="77328A"/>
          <w:sz w:val="36"/>
          <w:szCs w:val="36"/>
        </w:rPr>
      </w:pPr>
    </w:p>
    <w:p w14:paraId="780A35BC" w14:textId="70FCA5B1" w:rsidR="002D03B5" w:rsidRDefault="002D03B5" w:rsidP="00EC6F70">
      <w:pPr>
        <w:pStyle w:val="BasicParagraph"/>
        <w:suppressAutoHyphens/>
        <w:jc w:val="center"/>
        <w:rPr>
          <w:rFonts w:ascii="Verdana" w:hAnsi="Verdana" w:cs="Arial"/>
          <w:b/>
          <w:bCs/>
          <w:color w:val="77328A"/>
          <w:sz w:val="36"/>
          <w:szCs w:val="36"/>
        </w:rPr>
      </w:pPr>
    </w:p>
    <w:p w14:paraId="276D7D33" w14:textId="2E68D7C8" w:rsidR="00FD5743" w:rsidRDefault="00FD5743" w:rsidP="00EC6F70">
      <w:pPr>
        <w:pStyle w:val="BasicParagraph"/>
        <w:suppressAutoHyphens/>
        <w:jc w:val="center"/>
        <w:rPr>
          <w:rFonts w:ascii="Verdana" w:hAnsi="Verdana" w:cs="Arial"/>
          <w:b/>
          <w:bCs/>
          <w:color w:val="77328A"/>
          <w:sz w:val="36"/>
          <w:szCs w:val="36"/>
        </w:rPr>
      </w:pPr>
    </w:p>
    <w:p w14:paraId="072AEDB9" w14:textId="14EE926C" w:rsidR="00FD5743" w:rsidRDefault="00FD5743" w:rsidP="00EC6F70">
      <w:pPr>
        <w:pStyle w:val="BasicParagraph"/>
        <w:suppressAutoHyphens/>
        <w:jc w:val="center"/>
        <w:rPr>
          <w:rFonts w:ascii="Verdana" w:hAnsi="Verdana" w:cs="Arial"/>
          <w:b/>
          <w:bCs/>
          <w:color w:val="77328A"/>
          <w:sz w:val="36"/>
          <w:szCs w:val="36"/>
        </w:rPr>
      </w:pPr>
    </w:p>
    <w:p w14:paraId="1F740643" w14:textId="412107B0" w:rsidR="00FD5743" w:rsidRDefault="00FD5743" w:rsidP="00EC6F70">
      <w:pPr>
        <w:pStyle w:val="BasicParagraph"/>
        <w:suppressAutoHyphens/>
        <w:jc w:val="center"/>
        <w:rPr>
          <w:rFonts w:ascii="Verdana" w:hAnsi="Verdana" w:cs="Arial"/>
          <w:b/>
          <w:bCs/>
          <w:color w:val="77328A"/>
          <w:sz w:val="36"/>
          <w:szCs w:val="36"/>
        </w:rPr>
      </w:pPr>
    </w:p>
    <w:p w14:paraId="2B30D27D" w14:textId="0B07E04D" w:rsidR="00FD5743" w:rsidRDefault="00FD5743" w:rsidP="00EC6F70">
      <w:pPr>
        <w:pStyle w:val="BasicParagraph"/>
        <w:suppressAutoHyphens/>
        <w:jc w:val="center"/>
        <w:rPr>
          <w:rFonts w:ascii="Verdana" w:hAnsi="Verdana" w:cs="Arial"/>
          <w:b/>
          <w:bCs/>
          <w:color w:val="77328A"/>
          <w:sz w:val="36"/>
          <w:szCs w:val="36"/>
        </w:rPr>
      </w:pPr>
    </w:p>
    <w:p w14:paraId="4834AA1C" w14:textId="77777777" w:rsidR="00FD5743" w:rsidRDefault="00FD5743" w:rsidP="00EC6F70">
      <w:pPr>
        <w:pStyle w:val="BasicParagraph"/>
        <w:suppressAutoHyphens/>
        <w:jc w:val="center"/>
        <w:rPr>
          <w:rFonts w:ascii="Verdana" w:hAnsi="Verdana" w:cs="Arial"/>
          <w:b/>
          <w:bCs/>
          <w:color w:val="77328A"/>
          <w:sz w:val="36"/>
          <w:szCs w:val="36"/>
        </w:rPr>
      </w:pPr>
    </w:p>
    <w:p w14:paraId="3ABC6555" w14:textId="77777777" w:rsidR="002D03B5" w:rsidRDefault="002D03B5" w:rsidP="00EC6F70">
      <w:pPr>
        <w:pStyle w:val="BasicParagraph"/>
        <w:suppressAutoHyphens/>
        <w:jc w:val="center"/>
        <w:rPr>
          <w:rFonts w:ascii="Verdana" w:hAnsi="Verdana" w:cs="Arial"/>
          <w:b/>
          <w:bCs/>
          <w:color w:val="77328A"/>
          <w:sz w:val="36"/>
          <w:szCs w:val="36"/>
        </w:rPr>
      </w:pPr>
    </w:p>
    <w:p w14:paraId="6888476B" w14:textId="4A075D11" w:rsidR="002D03B5" w:rsidRDefault="002D03B5" w:rsidP="002D03B5">
      <w:pPr>
        <w:pStyle w:val="BasicParagraph"/>
        <w:suppressAutoHyphens/>
        <w:jc w:val="center"/>
        <w:rPr>
          <w:rFonts w:ascii="Verdana" w:hAnsi="Verdana" w:cs="Arial"/>
          <w:b/>
          <w:bCs/>
          <w:color w:val="77328A"/>
          <w:sz w:val="36"/>
          <w:szCs w:val="36"/>
        </w:rPr>
      </w:pPr>
    </w:p>
    <w:p w14:paraId="178A39E2" w14:textId="2CDB4B60" w:rsidR="00153C8E" w:rsidRDefault="00153C8E" w:rsidP="002D03B5">
      <w:pPr>
        <w:pStyle w:val="BasicParagraph"/>
        <w:suppressAutoHyphens/>
        <w:jc w:val="center"/>
        <w:rPr>
          <w:rFonts w:ascii="Verdana" w:hAnsi="Verdana" w:cs="Arial"/>
          <w:b/>
          <w:bCs/>
          <w:color w:val="77328A"/>
          <w:sz w:val="36"/>
          <w:szCs w:val="36"/>
        </w:rPr>
      </w:pPr>
    </w:p>
    <w:p w14:paraId="08552163" w14:textId="77777777" w:rsidR="002D03B5" w:rsidRDefault="002D03B5" w:rsidP="00514D26">
      <w:pPr>
        <w:pStyle w:val="BasicParagraph"/>
        <w:suppressAutoHyphens/>
        <w:rPr>
          <w:rFonts w:ascii="Verdana" w:hAnsi="Verdana" w:cs="Arial"/>
          <w:b/>
          <w:bCs/>
          <w:color w:val="77328A"/>
          <w:sz w:val="36"/>
          <w:szCs w:val="36"/>
        </w:rPr>
      </w:pPr>
    </w:p>
    <w:p w14:paraId="631F4241" w14:textId="77777777" w:rsidR="002D03B5" w:rsidRDefault="002D03B5" w:rsidP="002D03B5">
      <w:pPr>
        <w:pStyle w:val="BasicParagraph"/>
        <w:suppressAutoHyphens/>
        <w:rPr>
          <w:rFonts w:ascii="Verdana" w:hAnsi="Verdana" w:cs="Arial"/>
          <w:b/>
          <w:bCs/>
          <w:color w:val="77328A"/>
          <w:sz w:val="36"/>
          <w:szCs w:val="36"/>
        </w:rPr>
      </w:pPr>
    </w:p>
    <w:p w14:paraId="413D9A5E" w14:textId="77777777" w:rsidR="002D03B5" w:rsidRDefault="002D03B5" w:rsidP="002D03B5">
      <w:pPr>
        <w:pStyle w:val="BasicParagraph"/>
        <w:suppressAutoHyphens/>
        <w:rPr>
          <w:rFonts w:ascii="Verdana" w:hAnsi="Verdana" w:cs="Arial"/>
          <w:b/>
          <w:bCs/>
          <w:color w:val="77328A"/>
          <w:sz w:val="36"/>
          <w:szCs w:val="36"/>
        </w:rPr>
      </w:pPr>
    </w:p>
    <w:p w14:paraId="7357F16B" w14:textId="77777777" w:rsidR="002D03B5" w:rsidRDefault="002D03B5" w:rsidP="002D03B5">
      <w:pPr>
        <w:pStyle w:val="BasicParagraph"/>
        <w:suppressAutoHyphens/>
        <w:rPr>
          <w:rFonts w:ascii="Verdana" w:hAnsi="Verdana" w:cs="Arial"/>
          <w:b/>
          <w:bCs/>
          <w:color w:val="77328A"/>
          <w:sz w:val="36"/>
          <w:szCs w:val="36"/>
        </w:rPr>
      </w:pPr>
    </w:p>
    <w:p w14:paraId="0FD59DF2" w14:textId="77777777" w:rsidR="002D03B5" w:rsidRDefault="002D03B5" w:rsidP="002D03B5">
      <w:pPr>
        <w:pStyle w:val="BasicParagraph"/>
        <w:suppressAutoHyphens/>
        <w:rPr>
          <w:rFonts w:ascii="Verdana" w:hAnsi="Verdana" w:cs="Arial"/>
          <w:b/>
          <w:bCs/>
          <w:color w:val="77328A"/>
          <w:sz w:val="36"/>
          <w:szCs w:val="36"/>
        </w:rPr>
      </w:pPr>
    </w:p>
    <w:p w14:paraId="1118FB00" w14:textId="77777777" w:rsidR="002D03B5" w:rsidRPr="00331C61" w:rsidRDefault="002D03B5" w:rsidP="002D03B5">
      <w:pPr>
        <w:pStyle w:val="BasicParagraph"/>
        <w:suppressAutoHyphens/>
        <w:jc w:val="center"/>
        <w:rPr>
          <w:rFonts w:ascii="Verdana" w:hAnsi="Verdana" w:cs="Arial"/>
          <w:b/>
          <w:color w:val="232120"/>
          <w:sz w:val="30"/>
          <w:szCs w:val="30"/>
        </w:rPr>
      </w:pPr>
      <w:r w:rsidRPr="00331C61">
        <w:rPr>
          <w:rFonts w:ascii="Verdana" w:hAnsi="Verdana" w:cs="Arial"/>
          <w:b/>
          <w:bCs/>
          <w:color w:val="77328A"/>
          <w:sz w:val="36"/>
          <w:szCs w:val="36"/>
        </w:rPr>
        <w:t>Co</w:t>
      </w:r>
      <w:r>
        <w:rPr>
          <w:rFonts w:ascii="Verdana" w:hAnsi="Verdana" w:cs="Arial"/>
          <w:b/>
          <w:bCs/>
          <w:color w:val="77328A"/>
          <w:sz w:val="36"/>
          <w:szCs w:val="36"/>
        </w:rPr>
        <w:t xml:space="preserve">ntact us </w:t>
      </w:r>
    </w:p>
    <w:p w14:paraId="0661D751" w14:textId="77777777" w:rsidR="002D03B5" w:rsidRPr="00331C61" w:rsidRDefault="002D03B5" w:rsidP="002D03B5">
      <w:pPr>
        <w:spacing w:line="288" w:lineRule="auto"/>
        <w:jc w:val="center"/>
        <w:rPr>
          <w:rFonts w:ascii="Verdana" w:hAnsi="Verdana" w:cs="Arial"/>
          <w:b/>
          <w:color w:val="232120"/>
          <w:sz w:val="30"/>
          <w:szCs w:val="30"/>
        </w:rPr>
      </w:pPr>
    </w:p>
    <w:p w14:paraId="728DE742" w14:textId="77777777" w:rsidR="002D03B5" w:rsidRPr="00331C61" w:rsidRDefault="002D03B5" w:rsidP="002D03B5">
      <w:pPr>
        <w:spacing w:line="288" w:lineRule="auto"/>
        <w:jc w:val="center"/>
        <w:rPr>
          <w:rFonts w:ascii="Verdana" w:hAnsi="Verdana" w:cs="Arial"/>
          <w:b/>
          <w:color w:val="232120"/>
          <w:sz w:val="30"/>
          <w:szCs w:val="30"/>
        </w:rPr>
      </w:pPr>
    </w:p>
    <w:p w14:paraId="48EDCEF4" w14:textId="77777777" w:rsidR="002D03B5" w:rsidRPr="00331C61" w:rsidRDefault="007041BF" w:rsidP="002D03B5">
      <w:pPr>
        <w:spacing w:line="288" w:lineRule="auto"/>
        <w:jc w:val="center"/>
        <w:rPr>
          <w:rFonts w:ascii="Verdana" w:hAnsi="Verdana" w:cs="Arial"/>
          <w:color w:val="232120"/>
          <w:sz w:val="28"/>
          <w:szCs w:val="28"/>
        </w:rPr>
      </w:pPr>
      <w:hyperlink r:id="rId9" w:history="1">
        <w:r w:rsidR="002D03B5" w:rsidRPr="00331C61">
          <w:rPr>
            <w:rStyle w:val="Hyperlink"/>
            <w:rFonts w:ascii="Verdana" w:hAnsi="Verdana" w:cs="Arial"/>
            <w:color w:val="232120"/>
            <w:sz w:val="28"/>
            <w:szCs w:val="28"/>
            <w:lang w:val="en-US"/>
          </w:rPr>
          <w:t>www.nihrc.org</w:t>
        </w:r>
      </w:hyperlink>
      <w:r w:rsidR="002D03B5" w:rsidRPr="00331C61">
        <w:rPr>
          <w:rFonts w:ascii="Verdana" w:hAnsi="Verdana" w:cs="Arial"/>
          <w:color w:val="232120"/>
          <w:sz w:val="28"/>
          <w:szCs w:val="28"/>
          <w:lang w:val="en-US"/>
        </w:rPr>
        <w:t xml:space="preserve">  |  </w:t>
      </w:r>
      <w:hyperlink r:id="rId10" w:history="1">
        <w:r w:rsidR="002D03B5" w:rsidRPr="00331C61">
          <w:rPr>
            <w:rStyle w:val="Hyperlink"/>
            <w:rFonts w:ascii="Verdana" w:hAnsi="Verdana" w:cs="Arial"/>
            <w:color w:val="232120"/>
            <w:sz w:val="28"/>
            <w:szCs w:val="28"/>
            <w:lang w:val="en-US"/>
          </w:rPr>
          <w:t>info@nihrc.org</w:t>
        </w:r>
      </w:hyperlink>
      <w:r w:rsidR="002D03B5" w:rsidRPr="00331C61">
        <w:rPr>
          <w:rFonts w:ascii="Verdana" w:hAnsi="Verdana" w:cs="Arial"/>
          <w:color w:val="232120"/>
          <w:sz w:val="28"/>
          <w:szCs w:val="28"/>
          <w:lang w:val="en-US"/>
        </w:rPr>
        <w:t xml:space="preserve">  |  +44 (0)28 9024 3987</w:t>
      </w:r>
    </w:p>
    <w:p w14:paraId="662949C5" w14:textId="77777777" w:rsidR="002D03B5" w:rsidRPr="00331C61" w:rsidRDefault="002D03B5" w:rsidP="002D03B5">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58FFF051" w14:textId="77777777" w:rsidR="002D03B5" w:rsidRPr="00331C61" w:rsidRDefault="002D03B5" w:rsidP="002D03B5">
      <w:pPr>
        <w:spacing w:line="288" w:lineRule="auto"/>
        <w:jc w:val="center"/>
        <w:rPr>
          <w:rFonts w:ascii="Verdana" w:hAnsi="Verdana" w:cs="Arial"/>
          <w:b/>
          <w:color w:val="232120"/>
          <w:sz w:val="28"/>
          <w:szCs w:val="28"/>
        </w:rPr>
      </w:pPr>
    </w:p>
    <w:p w14:paraId="6DB346E3" w14:textId="77777777" w:rsidR="002D03B5" w:rsidRPr="00331C61" w:rsidRDefault="002D03B5" w:rsidP="002D03B5">
      <w:pPr>
        <w:spacing w:line="288" w:lineRule="auto"/>
        <w:jc w:val="center"/>
        <w:rPr>
          <w:rFonts w:ascii="Verdana" w:hAnsi="Verdana" w:cs="Arial"/>
          <w:color w:val="232120"/>
          <w:sz w:val="20"/>
          <w:szCs w:val="20"/>
        </w:rPr>
      </w:pPr>
    </w:p>
    <w:p w14:paraId="11B36F26" w14:textId="77777777" w:rsidR="002D03B5" w:rsidRPr="00331C61" w:rsidRDefault="002D03B5" w:rsidP="002D03B5">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42502EF6" wp14:editId="192668B7">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2BBBC1DF" w14:textId="77777777" w:rsidR="003D52B7" w:rsidRDefault="003D52B7"/>
    <w:sectPr w:rsidR="003D52B7" w:rsidSect="003D52B7">
      <w:footerReference w:type="default" r:id="rId12"/>
      <w:footerReference w:type="first" r:id="rId13"/>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B676C" w14:textId="77777777" w:rsidR="00833053" w:rsidRDefault="00833053" w:rsidP="002D03B5">
      <w:r>
        <w:separator/>
      </w:r>
    </w:p>
    <w:p w14:paraId="2A4B6863" w14:textId="77777777" w:rsidR="00833053" w:rsidRDefault="00833053"/>
  </w:endnote>
  <w:endnote w:type="continuationSeparator" w:id="0">
    <w:p w14:paraId="06092FDA" w14:textId="77777777" w:rsidR="00833053" w:rsidRDefault="00833053" w:rsidP="002D03B5">
      <w:r>
        <w:continuationSeparator/>
      </w:r>
    </w:p>
    <w:p w14:paraId="297D7857" w14:textId="77777777" w:rsidR="00833053" w:rsidRDefault="00833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mes">
    <w:altName w:val="﷽﷽﷽﷽﷽﷽﷽﷽U"/>
    <w:panose1 w:val="02020603050405020304"/>
    <w:charset w:val="00"/>
    <w:family w:val="auto"/>
    <w:pitch w:val="variable"/>
    <w:sig w:usb0="E00002FF" w:usb1="5000205A" w:usb2="00000000" w:usb3="00000000" w:csb0="0000019F" w:csb1="00000000"/>
  </w:font>
  <w:font w:name="Verdana,Bold">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61C0" w14:textId="77777777" w:rsidR="003D52B7" w:rsidRDefault="003D52B7" w:rsidP="003D52B7">
    <w:pPr>
      <w:pStyle w:val="Footer"/>
      <w:jc w:val="right"/>
      <w:rPr>
        <w:rStyle w:val="PageNumber"/>
        <w:rFonts w:ascii="Arial" w:hAnsi="Arial" w:cs="Arial"/>
        <w:b/>
        <w:sz w:val="16"/>
        <w:szCs w:val="16"/>
      </w:rPr>
    </w:pPr>
  </w:p>
  <w:p w14:paraId="1E89F458" w14:textId="700FC431" w:rsidR="003D52B7" w:rsidRPr="007569C1" w:rsidRDefault="009D3C03" w:rsidP="003D52B7">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DE7A0A">
      <w:rPr>
        <w:rStyle w:val="PageNumber"/>
        <w:rFonts w:ascii="Arial" w:hAnsi="Arial" w:cs="Arial"/>
        <w:b/>
        <w:noProof/>
        <w:color w:val="77328A"/>
        <w:sz w:val="16"/>
        <w:szCs w:val="16"/>
      </w:rPr>
      <w:t>12</w:t>
    </w:r>
    <w:r w:rsidRPr="007569C1">
      <w:rPr>
        <w:rStyle w:val="PageNumber"/>
        <w:rFonts w:ascii="Arial" w:hAnsi="Arial" w:cs="Arial"/>
        <w:b/>
        <w:color w:val="77328A"/>
        <w:sz w:val="16"/>
        <w:szCs w:val="16"/>
      </w:rPr>
      <w:fldChar w:fldCharType="end"/>
    </w:r>
  </w:p>
  <w:p w14:paraId="0706C54A" w14:textId="77777777" w:rsidR="00824D2F" w:rsidRDefault="00824D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59C6" w14:textId="77777777" w:rsidR="003D52B7" w:rsidRDefault="003D52B7" w:rsidP="003D52B7">
    <w:pPr>
      <w:pStyle w:val="Footer"/>
      <w:jc w:val="right"/>
      <w:rPr>
        <w:rStyle w:val="PageNumber"/>
        <w:rFonts w:ascii="Arial" w:hAnsi="Arial" w:cs="Arial"/>
        <w:b/>
        <w:sz w:val="16"/>
        <w:szCs w:val="16"/>
      </w:rPr>
    </w:pPr>
  </w:p>
  <w:p w14:paraId="1D28D2D4" w14:textId="77777777" w:rsidR="003D52B7" w:rsidRPr="00D12EF8" w:rsidRDefault="003D52B7" w:rsidP="003D52B7">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A8F1" w14:textId="77777777" w:rsidR="00833053" w:rsidRDefault="00833053" w:rsidP="002D03B5">
      <w:r>
        <w:separator/>
      </w:r>
    </w:p>
    <w:p w14:paraId="494AD847" w14:textId="77777777" w:rsidR="00833053" w:rsidRDefault="00833053"/>
  </w:footnote>
  <w:footnote w:type="continuationSeparator" w:id="0">
    <w:p w14:paraId="644BFB76" w14:textId="77777777" w:rsidR="00833053" w:rsidRDefault="00833053" w:rsidP="002D03B5">
      <w:r>
        <w:continuationSeparator/>
      </w:r>
    </w:p>
    <w:p w14:paraId="51FACEB5" w14:textId="77777777" w:rsidR="00833053" w:rsidRDefault="00833053"/>
  </w:footnote>
  <w:footnote w:id="1">
    <w:p w14:paraId="01A933F5" w14:textId="77777777" w:rsidR="002D03B5" w:rsidRPr="0012739D" w:rsidRDefault="002D03B5" w:rsidP="002D03B5">
      <w:pPr>
        <w:pStyle w:val="FootnoteText"/>
        <w:rPr>
          <w:rFonts w:ascii="Verdana" w:hAnsi="Verdana"/>
          <w:color w:val="77328A"/>
          <w:sz w:val="16"/>
          <w:szCs w:val="16"/>
        </w:rPr>
      </w:pPr>
      <w:r w:rsidRPr="0012739D">
        <w:rPr>
          <w:rStyle w:val="FootnoteReference"/>
          <w:rFonts w:ascii="Verdana" w:hAnsi="Verdana"/>
          <w:color w:val="77328A"/>
          <w:sz w:val="16"/>
          <w:szCs w:val="16"/>
        </w:rPr>
        <w:footnoteRef/>
      </w:r>
      <w:r w:rsidRPr="0012739D">
        <w:rPr>
          <w:rFonts w:ascii="Verdana" w:hAnsi="Verdana"/>
          <w:color w:val="77328A"/>
          <w:sz w:val="16"/>
          <w:szCs w:val="16"/>
        </w:rPr>
        <w:t xml:space="preserve"> Ratified by the UK in 1951. Further guidance is also taken from the body of case law from the European Court of Human Rights (ECtHR). </w:t>
      </w:r>
    </w:p>
  </w:footnote>
  <w:footnote w:id="2">
    <w:p w14:paraId="533AFF6A" w14:textId="77777777" w:rsidR="002D03B5" w:rsidRPr="0012739D" w:rsidRDefault="002D03B5" w:rsidP="002D03B5">
      <w:pPr>
        <w:pStyle w:val="FootnoteText"/>
        <w:rPr>
          <w:rFonts w:ascii="Verdana" w:hAnsi="Verdana"/>
          <w:color w:val="77328A"/>
          <w:sz w:val="16"/>
          <w:szCs w:val="16"/>
        </w:rPr>
      </w:pPr>
      <w:r w:rsidRPr="0012739D">
        <w:rPr>
          <w:rStyle w:val="FootnoteReference"/>
          <w:rFonts w:ascii="Verdana" w:hAnsi="Verdana"/>
          <w:color w:val="77328A"/>
          <w:sz w:val="16"/>
          <w:szCs w:val="16"/>
        </w:rPr>
        <w:footnoteRef/>
      </w:r>
      <w:r w:rsidRPr="0012739D">
        <w:rPr>
          <w:rFonts w:ascii="Verdana" w:hAnsi="Verdana"/>
          <w:color w:val="77328A"/>
          <w:sz w:val="16"/>
          <w:szCs w:val="16"/>
        </w:rPr>
        <w:t xml:space="preserve"> Ratified by the UK in 1966.</w:t>
      </w:r>
    </w:p>
  </w:footnote>
  <w:footnote w:id="3">
    <w:p w14:paraId="1965754E" w14:textId="77777777" w:rsidR="002D03B5" w:rsidRPr="0012739D" w:rsidRDefault="002D03B5" w:rsidP="002D03B5">
      <w:pPr>
        <w:pStyle w:val="FootnoteText"/>
        <w:rPr>
          <w:rFonts w:ascii="Verdana" w:hAnsi="Verdana"/>
          <w:color w:val="77328A"/>
          <w:sz w:val="16"/>
          <w:szCs w:val="16"/>
        </w:rPr>
      </w:pPr>
      <w:r w:rsidRPr="0012739D">
        <w:rPr>
          <w:rStyle w:val="FootnoteReference"/>
          <w:rFonts w:ascii="Verdana" w:hAnsi="Verdana"/>
          <w:color w:val="77328A"/>
          <w:sz w:val="16"/>
          <w:szCs w:val="16"/>
        </w:rPr>
        <w:footnoteRef/>
      </w:r>
      <w:r w:rsidRPr="0012739D">
        <w:rPr>
          <w:rFonts w:ascii="Verdana" w:hAnsi="Verdana"/>
          <w:color w:val="77328A"/>
          <w:sz w:val="16"/>
          <w:szCs w:val="16"/>
        </w:rPr>
        <w:t xml:space="preserve"> Ratified by the UK in 1966.</w:t>
      </w:r>
    </w:p>
  </w:footnote>
  <w:footnote w:id="4">
    <w:p w14:paraId="6451F093" w14:textId="1152395B" w:rsidR="00027F41" w:rsidRPr="00027F41" w:rsidRDefault="00027F41" w:rsidP="00027F41">
      <w:pPr>
        <w:pStyle w:val="FootnoteText"/>
        <w:rPr>
          <w:rFonts w:ascii="Verdana" w:hAnsi="Verdana"/>
          <w:color w:val="77328A"/>
          <w:sz w:val="16"/>
          <w:szCs w:val="16"/>
        </w:rPr>
      </w:pPr>
      <w:r w:rsidRPr="00027F41">
        <w:rPr>
          <w:rFonts w:ascii="Verdana" w:hAnsi="Verdana"/>
          <w:color w:val="77328A"/>
          <w:sz w:val="16"/>
          <w:szCs w:val="16"/>
          <w:vertAlign w:val="superscript"/>
        </w:rPr>
        <w:footnoteRef/>
      </w:r>
      <w:r w:rsidRPr="00027F41">
        <w:rPr>
          <w:rFonts w:ascii="Verdana" w:hAnsi="Verdana"/>
          <w:color w:val="77328A"/>
          <w:sz w:val="16"/>
          <w:szCs w:val="16"/>
          <w:vertAlign w:val="superscript"/>
        </w:rPr>
        <w:t xml:space="preserve"> </w:t>
      </w:r>
      <w:r w:rsidRPr="00027F41">
        <w:rPr>
          <w:rFonts w:ascii="Verdana" w:hAnsi="Verdana"/>
          <w:color w:val="77328A"/>
          <w:sz w:val="16"/>
          <w:szCs w:val="16"/>
        </w:rPr>
        <w:t>E/C.12/2000/4 Committee on Economic, Social and Cultural Rights ‘General Comment No. 14 (2000): The right to the highest attainable standard of health (article 12 of the International Covenant on Economic, Social and Cultural Rights)’, 11 August 2000</w:t>
      </w:r>
      <w:r w:rsidR="00154F99">
        <w:rPr>
          <w:rFonts w:ascii="Verdana" w:hAnsi="Verdana"/>
          <w:color w:val="77328A"/>
          <w:sz w:val="16"/>
          <w:szCs w:val="16"/>
        </w:rPr>
        <w:t>, para 8</w:t>
      </w:r>
    </w:p>
  </w:footnote>
  <w:footnote w:id="5">
    <w:p w14:paraId="36871CEE" w14:textId="77777777" w:rsidR="00514FC9" w:rsidRPr="00EF7848" w:rsidRDefault="00514FC9">
      <w:pPr>
        <w:pStyle w:val="FootnoteText"/>
        <w:rPr>
          <w:rFonts w:ascii="Verdana" w:hAnsi="Verdana"/>
          <w:color w:val="7030A0"/>
          <w:sz w:val="16"/>
          <w:szCs w:val="16"/>
        </w:rPr>
      </w:pPr>
      <w:r w:rsidRPr="00EF7848">
        <w:rPr>
          <w:rStyle w:val="FootnoteReference"/>
          <w:rFonts w:ascii="Verdana" w:hAnsi="Verdana"/>
          <w:color w:val="7030A0"/>
          <w:sz w:val="16"/>
          <w:szCs w:val="16"/>
        </w:rPr>
        <w:footnoteRef/>
      </w:r>
      <w:r w:rsidRPr="00EF7848">
        <w:rPr>
          <w:rFonts w:ascii="Verdana" w:hAnsi="Verdana"/>
          <w:color w:val="7030A0"/>
          <w:sz w:val="16"/>
          <w:szCs w:val="16"/>
        </w:rPr>
        <w:t xml:space="preserve"> Ibid, para 33.</w:t>
      </w:r>
    </w:p>
  </w:footnote>
  <w:footnote w:id="6">
    <w:p w14:paraId="786DB504" w14:textId="77777777" w:rsidR="00514FC9" w:rsidRDefault="00514FC9">
      <w:pPr>
        <w:pStyle w:val="FootnoteText"/>
      </w:pPr>
      <w:r w:rsidRPr="00EF7848">
        <w:rPr>
          <w:rStyle w:val="FootnoteReference"/>
          <w:rFonts w:ascii="Verdana" w:hAnsi="Verdana"/>
          <w:color w:val="7030A0"/>
          <w:sz w:val="16"/>
          <w:szCs w:val="16"/>
        </w:rPr>
        <w:footnoteRef/>
      </w:r>
      <w:r w:rsidRPr="00EF7848">
        <w:rPr>
          <w:rFonts w:ascii="Verdana" w:hAnsi="Verdana"/>
          <w:color w:val="7030A0"/>
          <w:sz w:val="16"/>
          <w:szCs w:val="16"/>
        </w:rPr>
        <w:t xml:space="preserve"> Ibid, para 30.</w:t>
      </w:r>
    </w:p>
  </w:footnote>
  <w:footnote w:id="7">
    <w:p w14:paraId="23C66380" w14:textId="084682B5" w:rsidR="00514FC9" w:rsidRPr="00EF7848" w:rsidRDefault="00514FC9">
      <w:pPr>
        <w:pStyle w:val="FootnoteText"/>
        <w:rPr>
          <w:rFonts w:ascii="Verdana" w:hAnsi="Verdana"/>
          <w:sz w:val="16"/>
          <w:szCs w:val="16"/>
        </w:rPr>
      </w:pPr>
      <w:r w:rsidRPr="00EF7848">
        <w:rPr>
          <w:rStyle w:val="FootnoteReference"/>
          <w:rFonts w:ascii="Verdana" w:hAnsi="Verdana"/>
          <w:color w:val="7030A0"/>
          <w:sz w:val="16"/>
          <w:szCs w:val="16"/>
        </w:rPr>
        <w:footnoteRef/>
      </w:r>
      <w:r w:rsidRPr="00EF7848">
        <w:rPr>
          <w:rFonts w:ascii="Verdana" w:hAnsi="Verdana"/>
          <w:color w:val="7030A0"/>
          <w:sz w:val="16"/>
          <w:szCs w:val="16"/>
        </w:rPr>
        <w:t xml:space="preserve"> Ibid, para 35. </w:t>
      </w:r>
    </w:p>
  </w:footnote>
  <w:footnote w:id="8">
    <w:p w14:paraId="0CE3E185" w14:textId="77777777" w:rsidR="00514FC9" w:rsidRPr="00EF7848" w:rsidRDefault="00514FC9">
      <w:pPr>
        <w:pStyle w:val="FootnoteText"/>
        <w:rPr>
          <w:rFonts w:ascii="Verdana" w:hAnsi="Verdana"/>
          <w:sz w:val="16"/>
          <w:szCs w:val="16"/>
        </w:rPr>
      </w:pPr>
      <w:r w:rsidRPr="00EF7848">
        <w:rPr>
          <w:rStyle w:val="FootnoteReference"/>
          <w:rFonts w:ascii="Verdana" w:hAnsi="Verdana"/>
          <w:color w:val="7030A0"/>
          <w:sz w:val="16"/>
          <w:szCs w:val="16"/>
        </w:rPr>
        <w:footnoteRef/>
      </w:r>
      <w:r w:rsidRPr="00EF7848">
        <w:rPr>
          <w:rFonts w:ascii="Verdana" w:hAnsi="Verdana"/>
          <w:color w:val="7030A0"/>
          <w:sz w:val="16"/>
          <w:szCs w:val="16"/>
        </w:rPr>
        <w:t xml:space="preserve"> Ibid, para 35. </w:t>
      </w:r>
    </w:p>
  </w:footnote>
  <w:footnote w:id="9">
    <w:p w14:paraId="7DB131F8" w14:textId="589EAA3D" w:rsidR="006F7730" w:rsidRPr="00EF7848" w:rsidRDefault="006F7730">
      <w:pPr>
        <w:pStyle w:val="FootnoteText"/>
        <w:rPr>
          <w:lang w:val="en-HK"/>
        </w:rPr>
      </w:pPr>
      <w:r w:rsidRPr="00EF7848">
        <w:rPr>
          <w:rFonts w:ascii="Verdana" w:hAnsi="Verdana"/>
          <w:color w:val="77328A"/>
          <w:sz w:val="16"/>
          <w:szCs w:val="16"/>
          <w:vertAlign w:val="superscript"/>
        </w:rPr>
        <w:footnoteRef/>
      </w:r>
      <w:r w:rsidRPr="00EF7848">
        <w:rPr>
          <w:rFonts w:ascii="Verdana" w:hAnsi="Verdana"/>
          <w:color w:val="77328A"/>
          <w:sz w:val="16"/>
          <w:szCs w:val="16"/>
        </w:rPr>
        <w:t xml:space="preserve"> </w:t>
      </w:r>
      <w:r w:rsidR="00C9102B" w:rsidRPr="00EF7848">
        <w:rPr>
          <w:rFonts w:ascii="Verdana" w:hAnsi="Verdana"/>
          <w:color w:val="77328A"/>
          <w:sz w:val="16"/>
          <w:szCs w:val="16"/>
        </w:rPr>
        <w:t>Department of Health ‘</w:t>
      </w:r>
      <w:r w:rsidR="00CD26E9" w:rsidRPr="00EF7848">
        <w:rPr>
          <w:rFonts w:ascii="Verdana" w:hAnsi="Verdana"/>
          <w:color w:val="77328A"/>
          <w:sz w:val="16"/>
          <w:szCs w:val="16"/>
        </w:rPr>
        <w:t>Duty of Candour &amp; Being Open – Policy Proposals for Consultation’</w:t>
      </w:r>
      <w:r w:rsidR="000B0864" w:rsidRPr="00EF7848">
        <w:rPr>
          <w:rFonts w:ascii="Verdana" w:hAnsi="Verdana"/>
          <w:color w:val="77328A"/>
          <w:sz w:val="16"/>
          <w:szCs w:val="16"/>
        </w:rPr>
        <w:t xml:space="preserve">, </w:t>
      </w:r>
      <w:r w:rsidR="00AE0272" w:rsidRPr="00EF7848">
        <w:rPr>
          <w:rFonts w:ascii="Verdana" w:hAnsi="Verdana"/>
          <w:color w:val="77328A"/>
          <w:sz w:val="16"/>
          <w:szCs w:val="16"/>
        </w:rPr>
        <w:t>2021</w:t>
      </w:r>
      <w:r w:rsidR="003432C4">
        <w:rPr>
          <w:rFonts w:ascii="Verdana" w:hAnsi="Verdana"/>
          <w:color w:val="77328A"/>
          <w:sz w:val="16"/>
          <w:szCs w:val="16"/>
        </w:rPr>
        <w:t>, at para 2.27</w:t>
      </w:r>
      <w:r w:rsidR="00AE0272" w:rsidRPr="00EF7848">
        <w:rPr>
          <w:rFonts w:ascii="Verdana" w:hAnsi="Verdana"/>
          <w:color w:val="77328A"/>
          <w:sz w:val="16"/>
          <w:szCs w:val="16"/>
        </w:rPr>
        <w:t>.</w:t>
      </w:r>
    </w:p>
  </w:footnote>
  <w:footnote w:id="10">
    <w:p w14:paraId="1D4F71C0" w14:textId="1A6F0624" w:rsidR="0038232D" w:rsidRPr="00EF7848" w:rsidRDefault="0038232D">
      <w:pPr>
        <w:pStyle w:val="FootnoteText"/>
        <w:rPr>
          <w:rFonts w:ascii="Verdana" w:hAnsi="Verdana"/>
          <w:sz w:val="16"/>
          <w:szCs w:val="16"/>
        </w:rPr>
      </w:pPr>
      <w:r w:rsidRPr="00EF7848">
        <w:rPr>
          <w:rStyle w:val="FootnoteReference"/>
          <w:rFonts w:ascii="Verdana" w:hAnsi="Verdana"/>
          <w:color w:val="7030A0"/>
          <w:sz w:val="16"/>
          <w:szCs w:val="16"/>
        </w:rPr>
        <w:footnoteRef/>
      </w:r>
      <w:r w:rsidRPr="00EF7848">
        <w:rPr>
          <w:rFonts w:ascii="Verdana" w:hAnsi="Verdana"/>
          <w:color w:val="7030A0"/>
          <w:sz w:val="16"/>
          <w:szCs w:val="16"/>
        </w:rPr>
        <w:t xml:space="preserve"> </w:t>
      </w:r>
      <w:hyperlink r:id="rId1" w:history="1">
        <w:r w:rsidR="00403DA4">
          <w:rPr>
            <w:rStyle w:val="Hyperlink"/>
            <w:rFonts w:ascii="Verdana" w:hAnsi="Verdana"/>
            <w:sz w:val="16"/>
            <w:szCs w:val="16"/>
          </w:rPr>
          <w:t>Seven</w:t>
        </w:r>
        <w:r w:rsidR="00403DA4" w:rsidRPr="00403DA4">
          <w:rPr>
            <w:rStyle w:val="Hyperlink"/>
            <w:rFonts w:ascii="Verdana" w:hAnsi="Verdana"/>
            <w:sz w:val="16"/>
            <w:szCs w:val="16"/>
          </w:rPr>
          <w:t xml:space="preserve"> Principles of Public Life</w:t>
        </w:r>
      </w:hyperlink>
      <w:r w:rsidR="00403DA4">
        <w:rPr>
          <w:rFonts w:ascii="Verdana" w:hAnsi="Verdana"/>
          <w:color w:val="7030A0"/>
          <w:sz w:val="16"/>
          <w:szCs w:val="16"/>
        </w:rPr>
        <w:t xml:space="preserve"> </w:t>
      </w:r>
    </w:p>
  </w:footnote>
  <w:footnote w:id="11">
    <w:p w14:paraId="28B63950" w14:textId="43341395" w:rsidR="005E10D0" w:rsidRPr="00510C14" w:rsidRDefault="005E10D0" w:rsidP="005E10D0">
      <w:pPr>
        <w:pStyle w:val="FootnoteText"/>
        <w:rPr>
          <w:lang w:val="en-US"/>
        </w:rPr>
      </w:pPr>
      <w:r w:rsidRPr="00EF7848">
        <w:rPr>
          <w:rFonts w:ascii="Verdana" w:hAnsi="Verdana"/>
          <w:color w:val="77328A"/>
          <w:sz w:val="16"/>
          <w:szCs w:val="16"/>
          <w:vertAlign w:val="superscript"/>
        </w:rPr>
        <w:footnoteRef/>
      </w:r>
      <w:r w:rsidRPr="00EF7848">
        <w:rPr>
          <w:rFonts w:ascii="Verdana" w:hAnsi="Verdana"/>
          <w:color w:val="77328A"/>
          <w:sz w:val="16"/>
          <w:szCs w:val="16"/>
        </w:rPr>
        <w:t xml:space="preserve"> </w:t>
      </w:r>
      <w:proofErr w:type="spellStart"/>
      <w:r w:rsidRPr="00635226">
        <w:rPr>
          <w:rFonts w:ascii="Verdana" w:hAnsi="Verdana"/>
          <w:i/>
          <w:iCs/>
          <w:color w:val="77328A"/>
          <w:sz w:val="16"/>
          <w:szCs w:val="16"/>
        </w:rPr>
        <w:t>Oyal</w:t>
      </w:r>
      <w:proofErr w:type="spellEnd"/>
      <w:r w:rsidRPr="00635226">
        <w:rPr>
          <w:rFonts w:ascii="Verdana" w:hAnsi="Verdana"/>
          <w:i/>
          <w:iCs/>
          <w:color w:val="77328A"/>
          <w:sz w:val="16"/>
          <w:szCs w:val="16"/>
        </w:rPr>
        <w:t xml:space="preserve"> v Turkey</w:t>
      </w:r>
      <w:r w:rsidRPr="00EF7848">
        <w:rPr>
          <w:rFonts w:ascii="Verdana" w:hAnsi="Verdana"/>
          <w:color w:val="77328A"/>
          <w:sz w:val="16"/>
          <w:szCs w:val="16"/>
        </w:rPr>
        <w:t xml:space="preserve"> </w:t>
      </w:r>
      <w:r w:rsidR="008548B3" w:rsidRPr="00EF7848">
        <w:rPr>
          <w:rFonts w:ascii="Verdana" w:hAnsi="Verdana"/>
          <w:color w:val="77328A"/>
          <w:sz w:val="16"/>
          <w:szCs w:val="16"/>
        </w:rPr>
        <w:t xml:space="preserve">(2010) ECHR 369, at </w:t>
      </w:r>
      <w:r w:rsidRPr="00EF7848">
        <w:rPr>
          <w:rFonts w:ascii="Verdana" w:hAnsi="Verdana"/>
          <w:color w:val="77328A"/>
          <w:sz w:val="16"/>
          <w:szCs w:val="16"/>
        </w:rPr>
        <w:t>para 76.</w:t>
      </w:r>
    </w:p>
  </w:footnote>
  <w:footnote w:id="12">
    <w:p w14:paraId="71C186CE" w14:textId="37E34E4A" w:rsidR="005E10D0" w:rsidRPr="00510C14" w:rsidRDefault="005E10D0" w:rsidP="005E10D0">
      <w:pPr>
        <w:pStyle w:val="FootnoteText"/>
        <w:rPr>
          <w:lang w:val="en-US"/>
        </w:rPr>
      </w:pPr>
      <w:r w:rsidRPr="00EF7848">
        <w:rPr>
          <w:rFonts w:ascii="Verdana" w:hAnsi="Verdana"/>
          <w:color w:val="77328A"/>
          <w:sz w:val="16"/>
          <w:szCs w:val="16"/>
          <w:vertAlign w:val="superscript"/>
        </w:rPr>
        <w:footnoteRef/>
      </w:r>
      <w:r w:rsidRPr="00EF7848">
        <w:rPr>
          <w:rFonts w:ascii="Verdana" w:hAnsi="Verdana"/>
          <w:color w:val="77328A"/>
          <w:sz w:val="16"/>
          <w:szCs w:val="16"/>
        </w:rPr>
        <w:t xml:space="preserve"> </w:t>
      </w:r>
      <w:proofErr w:type="spellStart"/>
      <w:r w:rsidR="00A07DF5" w:rsidRPr="00EF7848">
        <w:rPr>
          <w:rFonts w:ascii="Verdana" w:hAnsi="Verdana"/>
          <w:i/>
          <w:iCs/>
          <w:color w:val="77328A"/>
          <w:sz w:val="16"/>
          <w:szCs w:val="16"/>
        </w:rPr>
        <w:t>Šilih</w:t>
      </w:r>
      <w:proofErr w:type="spellEnd"/>
      <w:r w:rsidR="00A07DF5" w:rsidRPr="00EF7848">
        <w:rPr>
          <w:rFonts w:ascii="Verdana" w:hAnsi="Verdana"/>
          <w:i/>
          <w:iCs/>
          <w:color w:val="77328A"/>
          <w:sz w:val="16"/>
          <w:szCs w:val="16"/>
        </w:rPr>
        <w:t xml:space="preserve"> v Slovenia</w:t>
      </w:r>
      <w:r w:rsidR="00A07DF5" w:rsidRPr="00EF7848">
        <w:rPr>
          <w:rFonts w:ascii="Verdana" w:hAnsi="Verdana"/>
          <w:color w:val="77328A"/>
          <w:sz w:val="16"/>
          <w:szCs w:val="16"/>
        </w:rPr>
        <w:t xml:space="preserve"> (2009) ECHR 571,</w:t>
      </w:r>
      <w:r w:rsidR="00EF37DF" w:rsidRPr="00EF7848">
        <w:rPr>
          <w:rFonts w:ascii="Verdana" w:hAnsi="Verdana"/>
          <w:color w:val="77328A"/>
          <w:sz w:val="16"/>
          <w:szCs w:val="16"/>
        </w:rPr>
        <w:t xml:space="preserve"> </w:t>
      </w:r>
      <w:r w:rsidRPr="00EF7848">
        <w:rPr>
          <w:rFonts w:ascii="Verdana" w:hAnsi="Verdana"/>
          <w:color w:val="77328A"/>
          <w:sz w:val="16"/>
          <w:szCs w:val="16"/>
        </w:rPr>
        <w:t>at para 194.</w:t>
      </w:r>
    </w:p>
  </w:footnote>
  <w:footnote w:id="13">
    <w:p w14:paraId="0BCBA2B4" w14:textId="77777777" w:rsidR="00DF0385" w:rsidRPr="00EF7848" w:rsidRDefault="00DF0385">
      <w:pPr>
        <w:pStyle w:val="FootnoteText"/>
        <w:rPr>
          <w:rFonts w:ascii="Verdana" w:hAnsi="Verdana"/>
          <w:sz w:val="16"/>
          <w:szCs w:val="16"/>
        </w:rPr>
      </w:pPr>
      <w:r w:rsidRPr="00EF7848">
        <w:rPr>
          <w:color w:val="7030A0"/>
          <w:sz w:val="16"/>
          <w:szCs w:val="16"/>
          <w:vertAlign w:val="superscript"/>
        </w:rPr>
        <w:footnoteRef/>
      </w:r>
      <w:r w:rsidRPr="00EF7848">
        <w:rPr>
          <w:rFonts w:ascii="Verdana" w:hAnsi="Verdana"/>
          <w:color w:val="7030A0"/>
          <w:sz w:val="16"/>
          <w:szCs w:val="16"/>
        </w:rPr>
        <w:t xml:space="preserve"> E/C.12/2000/4 Committee on Economic, Social and Cultural Rights ‘General Comment No. 14 (2000): The right to the highest attainable standard of health (article 12 of the International Covenant on Economic, Social and Cultural Rights)’, 11 August 2000, para 35.</w:t>
      </w:r>
      <w:r w:rsidRPr="00EF7848">
        <w:rPr>
          <w:rFonts w:ascii="Verdana" w:hAnsi="Verdana"/>
          <w:sz w:val="16"/>
          <w:szCs w:val="16"/>
        </w:rPr>
        <w:t xml:space="preserve"> </w:t>
      </w:r>
    </w:p>
  </w:footnote>
  <w:footnote w:id="14">
    <w:p w14:paraId="04D95F7E" w14:textId="4474F9BD" w:rsidR="003F15A8" w:rsidRPr="00EF7848" w:rsidRDefault="003F15A8">
      <w:pPr>
        <w:pStyle w:val="FootnoteText"/>
      </w:pPr>
      <w:r w:rsidRPr="00EF7848">
        <w:rPr>
          <w:rFonts w:ascii="Verdana" w:hAnsi="Verdana"/>
          <w:color w:val="7030A0"/>
          <w:sz w:val="16"/>
          <w:szCs w:val="16"/>
          <w:vertAlign w:val="superscript"/>
        </w:rPr>
        <w:footnoteRef/>
      </w:r>
      <w:r w:rsidRPr="00EF7848">
        <w:rPr>
          <w:rFonts w:ascii="Verdana" w:hAnsi="Verdana"/>
          <w:color w:val="7030A0"/>
          <w:sz w:val="16"/>
          <w:szCs w:val="16"/>
        </w:rPr>
        <w:t xml:space="preserve"> </w:t>
      </w:r>
      <w:r w:rsidRPr="00EF7848">
        <w:rPr>
          <w:rFonts w:ascii="Verdana" w:hAnsi="Verdana"/>
          <w:i/>
          <w:iCs/>
          <w:color w:val="7030A0"/>
          <w:sz w:val="16"/>
          <w:szCs w:val="16"/>
        </w:rPr>
        <w:t xml:space="preserve">Centre for Legal Resources on behalf of Valentin </w:t>
      </w:r>
      <w:proofErr w:type="spellStart"/>
      <w:r w:rsidRPr="00EF7848">
        <w:rPr>
          <w:rFonts w:ascii="Verdana" w:hAnsi="Verdana"/>
          <w:i/>
          <w:iCs/>
          <w:color w:val="7030A0"/>
          <w:sz w:val="16"/>
          <w:szCs w:val="16"/>
        </w:rPr>
        <w:t>Ca</w:t>
      </w:r>
      <w:r w:rsidRPr="00EF7848">
        <w:rPr>
          <w:rFonts w:ascii="Arial" w:hAnsi="Arial" w:cs="Arial"/>
          <w:i/>
          <w:iCs/>
          <w:color w:val="7030A0"/>
          <w:sz w:val="16"/>
          <w:szCs w:val="16"/>
        </w:rPr>
        <w:t>̂</w:t>
      </w:r>
      <w:r w:rsidRPr="00EF7848">
        <w:rPr>
          <w:rFonts w:ascii="Verdana" w:hAnsi="Verdana"/>
          <w:i/>
          <w:iCs/>
          <w:color w:val="7030A0"/>
          <w:sz w:val="16"/>
          <w:szCs w:val="16"/>
        </w:rPr>
        <w:t>mpeanu</w:t>
      </w:r>
      <w:proofErr w:type="spellEnd"/>
      <w:r w:rsidRPr="00EF7848">
        <w:rPr>
          <w:rFonts w:ascii="Verdana" w:hAnsi="Verdana"/>
          <w:i/>
          <w:iCs/>
          <w:color w:val="7030A0"/>
          <w:sz w:val="16"/>
          <w:szCs w:val="16"/>
        </w:rPr>
        <w:t xml:space="preserve"> v Romania</w:t>
      </w:r>
      <w:r w:rsidRPr="00EF7848">
        <w:rPr>
          <w:rFonts w:ascii="Verdana" w:hAnsi="Verdana"/>
          <w:color w:val="7030A0"/>
          <w:sz w:val="16"/>
          <w:szCs w:val="16"/>
        </w:rPr>
        <w:t xml:space="preserve"> (2014) ECHR </w:t>
      </w:r>
      <w:r w:rsidR="00790A0B" w:rsidRPr="00EF7848">
        <w:rPr>
          <w:rFonts w:ascii="Verdana" w:hAnsi="Verdana"/>
          <w:color w:val="7030A0"/>
          <w:sz w:val="16"/>
          <w:szCs w:val="16"/>
        </w:rPr>
        <w:t>972</w:t>
      </w:r>
      <w:r w:rsidR="00774973">
        <w:rPr>
          <w:rFonts w:ascii="Verdana" w:hAnsi="Verdana"/>
          <w:color w:val="7030A0"/>
          <w:sz w:val="16"/>
          <w:szCs w:val="16"/>
        </w:rPr>
        <w:t>,</w:t>
      </w:r>
      <w:r w:rsidR="00790A0B" w:rsidRPr="00EF7848">
        <w:rPr>
          <w:rFonts w:ascii="Verdana" w:hAnsi="Verdana"/>
          <w:color w:val="7030A0"/>
          <w:sz w:val="16"/>
          <w:szCs w:val="16"/>
        </w:rPr>
        <w:t xml:space="preserve"> at para</w:t>
      </w:r>
      <w:r w:rsidRPr="00EF7848">
        <w:rPr>
          <w:rFonts w:ascii="Verdana" w:hAnsi="Verdana"/>
          <w:color w:val="7030A0"/>
          <w:sz w:val="16"/>
          <w:szCs w:val="16"/>
        </w:rPr>
        <w:t xml:space="preserve"> 130.</w:t>
      </w:r>
    </w:p>
  </w:footnote>
  <w:footnote w:id="15">
    <w:p w14:paraId="1E2D7F9A" w14:textId="56F1F850" w:rsidR="00E444CF" w:rsidRPr="00EF7848" w:rsidRDefault="00E444CF">
      <w:pPr>
        <w:pStyle w:val="FootnoteText"/>
        <w:rPr>
          <w:rFonts w:ascii="Verdana" w:hAnsi="Verdana"/>
          <w:color w:val="7030A0"/>
          <w:sz w:val="16"/>
          <w:szCs w:val="16"/>
        </w:rPr>
      </w:pPr>
      <w:r w:rsidRPr="00EF7848">
        <w:rPr>
          <w:rStyle w:val="FootnoteReference"/>
          <w:rFonts w:ascii="Verdana" w:hAnsi="Verdana"/>
          <w:color w:val="7030A0"/>
          <w:sz w:val="16"/>
          <w:szCs w:val="16"/>
        </w:rPr>
        <w:footnoteRef/>
      </w:r>
      <w:r w:rsidRPr="00EF7848">
        <w:rPr>
          <w:rFonts w:ascii="Verdana" w:hAnsi="Verdana"/>
          <w:color w:val="7030A0"/>
          <w:sz w:val="16"/>
          <w:szCs w:val="16"/>
        </w:rPr>
        <w:t xml:space="preserve"> </w:t>
      </w:r>
      <w:r w:rsidRPr="00EF7848">
        <w:rPr>
          <w:rFonts w:ascii="Verdana" w:hAnsi="Verdana"/>
          <w:i/>
          <w:iCs/>
          <w:color w:val="7030A0"/>
          <w:sz w:val="16"/>
          <w:szCs w:val="16"/>
        </w:rPr>
        <w:t>Jordan v the United Kingdom</w:t>
      </w:r>
      <w:r w:rsidR="00181C9E">
        <w:rPr>
          <w:rFonts w:ascii="Verdana" w:hAnsi="Verdana"/>
          <w:i/>
          <w:iCs/>
          <w:color w:val="7030A0"/>
          <w:sz w:val="16"/>
          <w:szCs w:val="16"/>
        </w:rPr>
        <w:t xml:space="preserve"> </w:t>
      </w:r>
      <w:r w:rsidR="00181C9E">
        <w:rPr>
          <w:rFonts w:ascii="Verdana" w:hAnsi="Verdana"/>
          <w:color w:val="7030A0"/>
          <w:sz w:val="16"/>
          <w:szCs w:val="16"/>
        </w:rPr>
        <w:t>(2001) ECHR 327 at para 105</w:t>
      </w:r>
      <w:r w:rsidRPr="00EF7848">
        <w:rPr>
          <w:rFonts w:ascii="Verdana" w:hAnsi="Verdana"/>
          <w:color w:val="7030A0"/>
          <w:sz w:val="16"/>
          <w:szCs w:val="16"/>
        </w:rPr>
        <w:t>.</w:t>
      </w:r>
    </w:p>
  </w:footnote>
  <w:footnote w:id="16">
    <w:p w14:paraId="5284F0DD" w14:textId="130445FB" w:rsidR="00E444CF" w:rsidRDefault="00E444CF">
      <w:pPr>
        <w:pStyle w:val="FootnoteText"/>
      </w:pPr>
      <w:r w:rsidRPr="00EF7848">
        <w:rPr>
          <w:rStyle w:val="FootnoteReference"/>
          <w:rFonts w:ascii="Verdana" w:hAnsi="Verdana"/>
          <w:color w:val="7030A0"/>
          <w:sz w:val="16"/>
          <w:szCs w:val="16"/>
        </w:rPr>
        <w:footnoteRef/>
      </w:r>
      <w:r w:rsidRPr="00EF7848">
        <w:rPr>
          <w:rFonts w:ascii="Verdana" w:hAnsi="Verdana"/>
          <w:color w:val="7030A0"/>
          <w:sz w:val="16"/>
          <w:szCs w:val="16"/>
        </w:rPr>
        <w:t xml:space="preserve"> Ibid</w:t>
      </w:r>
      <w:r w:rsidR="0070061C">
        <w:rPr>
          <w:color w:val="7030A0"/>
        </w:rPr>
        <w:t>.</w:t>
      </w:r>
    </w:p>
  </w:footnote>
  <w:footnote w:id="17">
    <w:p w14:paraId="797B73DD" w14:textId="4CE85924" w:rsidR="00492385" w:rsidRPr="00EF7848" w:rsidRDefault="00492385">
      <w:pPr>
        <w:pStyle w:val="FootnoteText"/>
      </w:pPr>
      <w:r w:rsidRPr="00EF7848">
        <w:rPr>
          <w:rStyle w:val="FootnoteReference"/>
          <w:rFonts w:ascii="Verdana" w:hAnsi="Verdana"/>
          <w:color w:val="7030A0"/>
          <w:sz w:val="16"/>
          <w:szCs w:val="16"/>
        </w:rPr>
        <w:footnoteRef/>
      </w:r>
      <w:r w:rsidRPr="00EF7848">
        <w:rPr>
          <w:rFonts w:ascii="Verdana" w:hAnsi="Verdana"/>
          <w:i/>
          <w:iCs/>
          <w:color w:val="7030A0"/>
          <w:sz w:val="16"/>
          <w:szCs w:val="16"/>
        </w:rPr>
        <w:t xml:space="preserve"> </w:t>
      </w:r>
      <w:r w:rsidR="00DF63FE" w:rsidRPr="00EF7848">
        <w:rPr>
          <w:rFonts w:ascii="Verdana" w:hAnsi="Verdana"/>
          <w:i/>
          <w:iCs/>
          <w:color w:val="7030A0"/>
          <w:sz w:val="16"/>
          <w:szCs w:val="16"/>
        </w:rPr>
        <w:t>Lopes de Sousa Fernandes v Portugal</w:t>
      </w:r>
      <w:r w:rsidR="003852F4">
        <w:rPr>
          <w:rFonts w:ascii="Verdana" w:hAnsi="Verdana"/>
          <w:i/>
          <w:iCs/>
          <w:color w:val="7030A0"/>
          <w:sz w:val="16"/>
          <w:szCs w:val="16"/>
        </w:rPr>
        <w:t xml:space="preserve"> </w:t>
      </w:r>
      <w:r w:rsidR="003852F4">
        <w:rPr>
          <w:rFonts w:ascii="Verdana" w:hAnsi="Verdana"/>
          <w:color w:val="7030A0"/>
          <w:sz w:val="16"/>
          <w:szCs w:val="16"/>
        </w:rPr>
        <w:t>(2017)</w:t>
      </w:r>
      <w:r w:rsidR="00735599">
        <w:rPr>
          <w:rFonts w:ascii="Verdana" w:hAnsi="Verdana"/>
          <w:color w:val="7030A0"/>
          <w:sz w:val="16"/>
          <w:szCs w:val="16"/>
        </w:rPr>
        <w:t xml:space="preserve"> ECHR </w:t>
      </w:r>
      <w:r w:rsidR="006B6AB0">
        <w:rPr>
          <w:rFonts w:ascii="Verdana" w:hAnsi="Verdana"/>
          <w:color w:val="7030A0"/>
          <w:sz w:val="16"/>
          <w:szCs w:val="16"/>
        </w:rPr>
        <w:t>110</w:t>
      </w:r>
      <w:r w:rsidR="00161199">
        <w:rPr>
          <w:rFonts w:ascii="Verdana" w:hAnsi="Verdana"/>
          <w:color w:val="7030A0"/>
          <w:sz w:val="16"/>
          <w:szCs w:val="16"/>
        </w:rPr>
        <w:t>7</w:t>
      </w:r>
      <w:r w:rsidR="00804BC0">
        <w:rPr>
          <w:rFonts w:ascii="Verdana" w:hAnsi="Verdana"/>
          <w:color w:val="7030A0"/>
          <w:sz w:val="16"/>
          <w:szCs w:val="16"/>
        </w:rPr>
        <w:t>, at para 214.</w:t>
      </w:r>
    </w:p>
  </w:footnote>
  <w:footnote w:id="18">
    <w:p w14:paraId="511937C9" w14:textId="1601CC58" w:rsidR="005B3986" w:rsidRPr="005B3986" w:rsidRDefault="005B3986">
      <w:pPr>
        <w:pStyle w:val="FootnoteText"/>
      </w:pPr>
      <w:r w:rsidRPr="00EF7848">
        <w:rPr>
          <w:rStyle w:val="FootnoteReference"/>
          <w:rFonts w:ascii="Verdana" w:hAnsi="Verdana"/>
          <w:color w:val="7030A0"/>
          <w:sz w:val="16"/>
          <w:szCs w:val="16"/>
        </w:rPr>
        <w:footnoteRef/>
      </w:r>
      <w:r w:rsidRPr="00EF7848">
        <w:rPr>
          <w:rStyle w:val="FootnoteReference"/>
          <w:rFonts w:ascii="Verdana" w:hAnsi="Verdana"/>
          <w:color w:val="7030A0"/>
          <w:sz w:val="16"/>
          <w:szCs w:val="16"/>
        </w:rPr>
        <w:t xml:space="preserve"> </w:t>
      </w:r>
      <w:proofErr w:type="spellStart"/>
      <w:r w:rsidRPr="00EF7848">
        <w:rPr>
          <w:rFonts w:ascii="Verdana" w:hAnsi="Verdana"/>
          <w:i/>
          <w:iCs/>
          <w:color w:val="7030A0"/>
          <w:sz w:val="16"/>
          <w:szCs w:val="16"/>
        </w:rPr>
        <w:t>Sinim</w:t>
      </w:r>
      <w:proofErr w:type="spellEnd"/>
      <w:r w:rsidRPr="00EF7848">
        <w:rPr>
          <w:rFonts w:ascii="Verdana" w:hAnsi="Verdana"/>
          <w:i/>
          <w:iCs/>
          <w:color w:val="7030A0"/>
          <w:sz w:val="16"/>
          <w:szCs w:val="16"/>
        </w:rPr>
        <w:t xml:space="preserve"> v Turkey</w:t>
      </w:r>
      <w:r w:rsidR="00224454">
        <w:rPr>
          <w:rFonts w:ascii="Verdana" w:hAnsi="Verdana"/>
          <w:color w:val="7030A0"/>
          <w:sz w:val="16"/>
          <w:szCs w:val="16"/>
        </w:rPr>
        <w:t xml:space="preserve"> (2017) ECHR 524</w:t>
      </w:r>
      <w:r w:rsidR="00EF6BE8">
        <w:rPr>
          <w:rFonts w:ascii="Verdana" w:hAnsi="Verdana"/>
          <w:color w:val="7030A0"/>
          <w:sz w:val="16"/>
          <w:szCs w:val="16"/>
        </w:rPr>
        <w:t>,</w:t>
      </w:r>
      <w:r w:rsidR="00224454">
        <w:rPr>
          <w:rFonts w:ascii="Verdana" w:hAnsi="Verdana"/>
          <w:color w:val="7030A0"/>
          <w:sz w:val="16"/>
          <w:szCs w:val="16"/>
        </w:rPr>
        <w:t xml:space="preserve"> at para 59.</w:t>
      </w:r>
    </w:p>
  </w:footnote>
  <w:footnote w:id="19">
    <w:p w14:paraId="232EB638" w14:textId="5BD087E6" w:rsidR="00E33455" w:rsidRPr="00EF7848" w:rsidRDefault="00E33455">
      <w:pPr>
        <w:pStyle w:val="FootnoteText"/>
      </w:pPr>
      <w:r w:rsidRPr="00EF7848">
        <w:rPr>
          <w:rStyle w:val="FootnoteReference"/>
          <w:rFonts w:ascii="Verdana" w:hAnsi="Verdana"/>
          <w:color w:val="7030A0"/>
          <w:sz w:val="16"/>
          <w:szCs w:val="16"/>
        </w:rPr>
        <w:footnoteRef/>
      </w:r>
      <w:r>
        <w:t xml:space="preserve"> </w:t>
      </w:r>
      <w:r w:rsidR="00F94930" w:rsidRPr="00510C14">
        <w:rPr>
          <w:rFonts w:ascii="Verdana" w:hAnsi="Verdana"/>
          <w:color w:val="77328A"/>
          <w:sz w:val="16"/>
          <w:szCs w:val="16"/>
        </w:rPr>
        <w:t>Department of Health ‘Duty of Candour &amp; Being Open – Policy Proposals for Consultation’, 2021</w:t>
      </w:r>
      <w:r w:rsidR="00F94930">
        <w:rPr>
          <w:rFonts w:ascii="Verdana" w:hAnsi="Verdana"/>
          <w:color w:val="77328A"/>
          <w:sz w:val="16"/>
          <w:szCs w:val="16"/>
        </w:rPr>
        <w:t>, at para 4.3</w:t>
      </w:r>
      <w:r w:rsidR="00211A96">
        <w:rPr>
          <w:rFonts w:ascii="Verdana" w:hAnsi="Verdana"/>
          <w:color w:val="77328A"/>
          <w:sz w:val="16"/>
          <w:szCs w:val="16"/>
        </w:rPr>
        <w:t>9.</w:t>
      </w:r>
    </w:p>
  </w:footnote>
  <w:footnote w:id="20">
    <w:p w14:paraId="407328E0" w14:textId="0FD7BA05" w:rsidR="003D34AE" w:rsidRPr="003D34AE" w:rsidRDefault="003D34AE" w:rsidP="003D34AE">
      <w:pPr>
        <w:pStyle w:val="NIHRCFootnotes"/>
      </w:pPr>
      <w:r>
        <w:rPr>
          <w:rStyle w:val="FootnoteReference"/>
        </w:rPr>
        <w:footnoteRef/>
      </w:r>
      <w:r>
        <w:t xml:space="preserve"> </w:t>
      </w:r>
      <w:r w:rsidRPr="00EF7848">
        <w:t xml:space="preserve">E/C.12/2000/4 Committee on Economic, Social and Cultural Rights ‘General Comment No. 14 (2000): The right to the highest attainable standard of health (article 12 of the International Covenant on Economic, Social and Cultural Rights)’, 11 August 2000, </w:t>
      </w:r>
      <w:r>
        <w:t xml:space="preserve">at </w:t>
      </w:r>
      <w:r w:rsidRPr="00EF7848">
        <w:t xml:space="preserve">para </w:t>
      </w:r>
      <w:r>
        <w:t>12</w:t>
      </w:r>
      <w:r w:rsidRPr="00EF7848">
        <w:t>.</w:t>
      </w:r>
    </w:p>
  </w:footnote>
  <w:footnote w:id="21">
    <w:p w14:paraId="4F7DEA44" w14:textId="5990422D" w:rsidR="00290A48" w:rsidRPr="00EF7848" w:rsidRDefault="00290A48">
      <w:pPr>
        <w:pStyle w:val="FootnoteText"/>
        <w:rPr>
          <w:rFonts w:ascii="Verdana" w:hAnsi="Verdana"/>
          <w:sz w:val="16"/>
          <w:szCs w:val="16"/>
          <w:lang w:val="en-US"/>
        </w:rPr>
      </w:pPr>
      <w:r w:rsidRPr="00EF7848">
        <w:rPr>
          <w:rStyle w:val="FootnoteReference"/>
          <w:rFonts w:ascii="Verdana" w:hAnsi="Verdana"/>
          <w:color w:val="7030A0"/>
          <w:sz w:val="16"/>
          <w:szCs w:val="16"/>
        </w:rPr>
        <w:footnoteRef/>
      </w:r>
      <w:r w:rsidRPr="00EF7848">
        <w:rPr>
          <w:rFonts w:ascii="Verdana" w:hAnsi="Verdana"/>
          <w:color w:val="7030A0"/>
          <w:sz w:val="16"/>
          <w:szCs w:val="16"/>
        </w:rPr>
        <w:t xml:space="preserve"> </w:t>
      </w:r>
      <w:r w:rsidR="009B7A97">
        <w:rPr>
          <w:rFonts w:ascii="Verdana" w:hAnsi="Verdana" w:cs="Arial"/>
          <w:i/>
          <w:iCs/>
          <w:color w:val="7030A0"/>
          <w:sz w:val="16"/>
          <w:szCs w:val="16"/>
        </w:rPr>
        <w:t xml:space="preserve">X and Y </w:t>
      </w:r>
      <w:r w:rsidR="009B7A97" w:rsidRPr="00EF7848">
        <w:rPr>
          <w:rFonts w:ascii="Verdana" w:hAnsi="Verdana" w:cs="Arial"/>
          <w:i/>
          <w:iCs/>
          <w:color w:val="7030A0"/>
          <w:sz w:val="16"/>
          <w:szCs w:val="16"/>
        </w:rPr>
        <w:t xml:space="preserve">v </w:t>
      </w:r>
      <w:r w:rsidR="009B7A97">
        <w:rPr>
          <w:rFonts w:ascii="Verdana" w:hAnsi="Verdana" w:cs="Arial"/>
          <w:i/>
          <w:iCs/>
          <w:color w:val="7030A0"/>
          <w:sz w:val="16"/>
          <w:szCs w:val="16"/>
        </w:rPr>
        <w:t xml:space="preserve">the Netherlands </w:t>
      </w:r>
      <w:r w:rsidR="009B7A97">
        <w:rPr>
          <w:rFonts w:ascii="Verdana" w:hAnsi="Verdana" w:cs="Arial"/>
          <w:color w:val="7030A0"/>
          <w:sz w:val="16"/>
          <w:szCs w:val="16"/>
        </w:rPr>
        <w:t>(1985) ECHR 4, at para 23.</w:t>
      </w:r>
    </w:p>
  </w:footnote>
  <w:footnote w:id="22">
    <w:p w14:paraId="0FE22472" w14:textId="43AC81BF" w:rsidR="00BE52F2" w:rsidRPr="00BE52F2" w:rsidRDefault="00BE52F2" w:rsidP="00BE52F2">
      <w:pPr>
        <w:pStyle w:val="NIHRCFootnotes"/>
      </w:pPr>
      <w:r>
        <w:rPr>
          <w:rStyle w:val="FootnoteReference"/>
        </w:rPr>
        <w:footnoteRef/>
      </w:r>
      <w:r>
        <w:t xml:space="preserve"> </w:t>
      </w:r>
      <w:r w:rsidRPr="00BE52F2">
        <w:rPr>
          <w:i/>
          <w:iCs/>
        </w:rPr>
        <w:t>K.H. and Others v Slovakia</w:t>
      </w:r>
      <w:r>
        <w:t xml:space="preserve"> (2009) ECHR 709, at para 44</w:t>
      </w:r>
      <w:r w:rsidR="006006F5">
        <w:t>.</w:t>
      </w:r>
    </w:p>
  </w:footnote>
  <w:footnote w:id="23">
    <w:p w14:paraId="1EBB4700" w14:textId="38681D7D" w:rsidR="00EA4C21" w:rsidRPr="00EA4C21" w:rsidRDefault="00EA4C21" w:rsidP="00EA4C21">
      <w:pPr>
        <w:pStyle w:val="NIHRCFootnotes"/>
      </w:pPr>
      <w:r>
        <w:rPr>
          <w:rStyle w:val="FootnoteReference"/>
        </w:rPr>
        <w:footnoteRef/>
      </w:r>
      <w:r>
        <w:t xml:space="preserve"> </w:t>
      </w:r>
      <w:r w:rsidRPr="00EA4C21">
        <w:rPr>
          <w:i/>
          <w:iCs/>
        </w:rPr>
        <w:t>Guerra and Others v Italy</w:t>
      </w:r>
      <w:r>
        <w:rPr>
          <w:i/>
          <w:iCs/>
        </w:rPr>
        <w:t xml:space="preserve"> </w:t>
      </w:r>
      <w:r>
        <w:t>(1998) ECHR 7, at paras 58 and 60.</w:t>
      </w:r>
    </w:p>
  </w:footnote>
  <w:footnote w:id="24">
    <w:p w14:paraId="2C912126" w14:textId="569D9B47" w:rsidR="00290A48" w:rsidRPr="00EF7848" w:rsidRDefault="00290A48">
      <w:pPr>
        <w:pStyle w:val="FootnoteText"/>
        <w:rPr>
          <w:rFonts w:ascii="Verdana" w:hAnsi="Verdana"/>
          <w:color w:val="7030A0"/>
          <w:sz w:val="16"/>
          <w:szCs w:val="16"/>
          <w:lang w:val="en-US"/>
        </w:rPr>
      </w:pPr>
      <w:r w:rsidRPr="00EF7848">
        <w:rPr>
          <w:rStyle w:val="FootnoteReference"/>
          <w:rFonts w:ascii="Verdana" w:hAnsi="Verdana"/>
          <w:color w:val="7030A0"/>
          <w:sz w:val="16"/>
          <w:szCs w:val="16"/>
        </w:rPr>
        <w:footnoteRef/>
      </w:r>
      <w:r w:rsidRPr="00EF7848">
        <w:rPr>
          <w:rFonts w:ascii="Verdana" w:hAnsi="Verdana"/>
          <w:color w:val="7030A0"/>
          <w:sz w:val="16"/>
          <w:szCs w:val="16"/>
        </w:rPr>
        <w:t xml:space="preserve"> </w:t>
      </w:r>
      <w:proofErr w:type="spellStart"/>
      <w:r w:rsidR="0002310F" w:rsidRPr="00EF7848">
        <w:rPr>
          <w:rFonts w:ascii="Verdana" w:hAnsi="Verdana"/>
          <w:i/>
          <w:iCs/>
          <w:color w:val="7030A0"/>
          <w:sz w:val="16"/>
          <w:szCs w:val="16"/>
        </w:rPr>
        <w:t>Trocellier</w:t>
      </w:r>
      <w:proofErr w:type="spellEnd"/>
      <w:r w:rsidR="0002310F" w:rsidRPr="00EF7848">
        <w:rPr>
          <w:rFonts w:ascii="Verdana" w:hAnsi="Verdana"/>
          <w:i/>
          <w:iCs/>
          <w:color w:val="7030A0"/>
          <w:sz w:val="16"/>
          <w:szCs w:val="16"/>
        </w:rPr>
        <w:t xml:space="preserve"> v France (dec.)</w:t>
      </w:r>
      <w:r w:rsidR="0002310F" w:rsidRPr="0002310F">
        <w:rPr>
          <w:rFonts w:ascii="Verdana" w:hAnsi="Verdana"/>
          <w:color w:val="7030A0"/>
          <w:sz w:val="16"/>
          <w:szCs w:val="16"/>
        </w:rPr>
        <w:t xml:space="preserve"> 75725/01 Decision 5.10.2006</w:t>
      </w:r>
      <w:r w:rsidR="00F74210">
        <w:rPr>
          <w:rFonts w:ascii="Verdana" w:hAnsi="Verdana"/>
          <w:color w:val="7030A0"/>
          <w:sz w:val="16"/>
          <w:szCs w:val="16"/>
        </w:rPr>
        <w:t>, at para</w:t>
      </w:r>
      <w:r w:rsidRPr="00EF7848">
        <w:rPr>
          <w:rFonts w:ascii="Verdana" w:hAnsi="Verdana" w:cs="Arial"/>
          <w:color w:val="7030A0"/>
          <w:sz w:val="16"/>
          <w:szCs w:val="16"/>
        </w:rPr>
        <w:t xml:space="preserve"> 4</w:t>
      </w:r>
      <w:r w:rsidR="00F74210">
        <w:rPr>
          <w:rFonts w:ascii="Verdana" w:hAnsi="Verdana" w:cs="Arial"/>
          <w:color w:val="7030A0"/>
          <w:sz w:val="16"/>
          <w:szCs w:val="16"/>
        </w:rPr>
        <w:t>.</w:t>
      </w:r>
    </w:p>
  </w:footnote>
  <w:footnote w:id="25">
    <w:p w14:paraId="61F6B821" w14:textId="51026E5C" w:rsidR="00746FE5" w:rsidRPr="00EF7848" w:rsidRDefault="00746FE5">
      <w:pPr>
        <w:pStyle w:val="FootnoteText"/>
      </w:pPr>
      <w:r w:rsidRPr="00EF7848">
        <w:rPr>
          <w:rFonts w:ascii="Verdana" w:hAnsi="Verdana" w:cs="Arial"/>
          <w:color w:val="7030A0"/>
          <w:sz w:val="16"/>
          <w:szCs w:val="16"/>
          <w:vertAlign w:val="superscript"/>
        </w:rPr>
        <w:footnoteRef/>
      </w:r>
      <w:r w:rsidRPr="00EF7848">
        <w:rPr>
          <w:rFonts w:ascii="Verdana" w:hAnsi="Verdana" w:cs="Arial"/>
          <w:color w:val="7030A0"/>
          <w:sz w:val="16"/>
          <w:szCs w:val="16"/>
        </w:rPr>
        <w:t xml:space="preserve"> </w:t>
      </w:r>
      <w:proofErr w:type="spellStart"/>
      <w:r w:rsidR="00DC3CD2" w:rsidRPr="00EF7848">
        <w:rPr>
          <w:rFonts w:ascii="Verdana" w:hAnsi="Verdana" w:cs="Arial"/>
          <w:i/>
          <w:iCs/>
          <w:color w:val="7030A0"/>
          <w:sz w:val="16"/>
          <w:szCs w:val="16"/>
        </w:rPr>
        <w:t>Vasileva</w:t>
      </w:r>
      <w:proofErr w:type="spellEnd"/>
      <w:r w:rsidR="00DC3CD2" w:rsidRPr="00EF7848">
        <w:rPr>
          <w:rFonts w:ascii="Verdana" w:hAnsi="Verdana" w:cs="Arial"/>
          <w:i/>
          <w:iCs/>
          <w:color w:val="7030A0"/>
          <w:sz w:val="16"/>
          <w:szCs w:val="16"/>
        </w:rPr>
        <w:t xml:space="preserve"> v Bulgaria</w:t>
      </w:r>
      <w:r w:rsidR="00AB74F2">
        <w:rPr>
          <w:rFonts w:ascii="Verdana" w:hAnsi="Verdana" w:cs="Arial"/>
          <w:color w:val="7030A0"/>
          <w:sz w:val="16"/>
          <w:szCs w:val="16"/>
        </w:rPr>
        <w:t xml:space="preserve"> (2016) ECHR 273</w:t>
      </w:r>
      <w:r w:rsidR="003844BE">
        <w:rPr>
          <w:rFonts w:ascii="Verdana" w:hAnsi="Verdana" w:cs="Arial"/>
          <w:color w:val="7030A0"/>
          <w:sz w:val="16"/>
          <w:szCs w:val="16"/>
        </w:rPr>
        <w:t xml:space="preserve">, at para </w:t>
      </w:r>
      <w:r w:rsidR="00B77EA8">
        <w:rPr>
          <w:rFonts w:ascii="Verdana" w:hAnsi="Verdana" w:cs="Arial"/>
          <w:color w:val="7030A0"/>
          <w:sz w:val="16"/>
          <w:szCs w:val="16"/>
        </w:rPr>
        <w:t>70.</w:t>
      </w:r>
    </w:p>
  </w:footnote>
  <w:footnote w:id="26">
    <w:p w14:paraId="56B17E9A" w14:textId="28C14B1C" w:rsidR="00C820AC" w:rsidRPr="00C820AC" w:rsidRDefault="00C820AC">
      <w:pPr>
        <w:pStyle w:val="FootnoteText"/>
      </w:pPr>
      <w:r w:rsidRPr="00EF7848">
        <w:rPr>
          <w:rStyle w:val="FootnoteReference"/>
          <w:rFonts w:ascii="Verdana" w:hAnsi="Verdana"/>
          <w:color w:val="7030A0"/>
          <w:sz w:val="16"/>
          <w:szCs w:val="16"/>
        </w:rPr>
        <w:footnoteRef/>
      </w:r>
      <w:r w:rsidRPr="00EF7848">
        <w:rPr>
          <w:rFonts w:ascii="Verdana" w:hAnsi="Verdana"/>
          <w:color w:val="7030A0"/>
          <w:sz w:val="16"/>
          <w:szCs w:val="16"/>
        </w:rPr>
        <w:t xml:space="preserve"> </w:t>
      </w:r>
      <w:r w:rsidR="00FB5F80" w:rsidRPr="00510C14">
        <w:rPr>
          <w:rFonts w:ascii="Verdana" w:hAnsi="Verdana" w:cs="Arial"/>
          <w:i/>
          <w:iCs/>
          <w:color w:val="7030A0"/>
          <w:sz w:val="16"/>
          <w:szCs w:val="16"/>
        </w:rPr>
        <w:t>Glass v the United Kingdom</w:t>
      </w:r>
      <w:r w:rsidR="00FB5F80">
        <w:rPr>
          <w:rFonts w:ascii="Verdana" w:hAnsi="Verdana" w:cs="Arial"/>
          <w:color w:val="7030A0"/>
          <w:sz w:val="16"/>
          <w:szCs w:val="16"/>
        </w:rPr>
        <w:t xml:space="preserve"> (2004) ECHR 103, at paras</w:t>
      </w:r>
      <w:r w:rsidR="00FB5F80" w:rsidRPr="00510C14">
        <w:rPr>
          <w:rFonts w:ascii="Verdana" w:hAnsi="Verdana" w:cs="Arial"/>
          <w:color w:val="7030A0"/>
          <w:sz w:val="16"/>
          <w:szCs w:val="16"/>
        </w:rPr>
        <w:t xml:space="preserve"> 74-83</w:t>
      </w:r>
      <w:r w:rsidR="00FB5F80">
        <w:rPr>
          <w:rFonts w:ascii="Verdana" w:hAnsi="Verdana" w:cs="Arial"/>
          <w:color w:val="7030A0"/>
          <w:sz w:val="16"/>
          <w:szCs w:val="16"/>
        </w:rPr>
        <w:t xml:space="preserve">; </w:t>
      </w:r>
      <w:proofErr w:type="spellStart"/>
      <w:r w:rsidRPr="00EF7848">
        <w:rPr>
          <w:rFonts w:ascii="Verdana" w:hAnsi="Verdana" w:cs="Arial"/>
          <w:i/>
          <w:iCs/>
          <w:color w:val="7030A0"/>
          <w:sz w:val="16"/>
          <w:szCs w:val="16"/>
        </w:rPr>
        <w:t>Milićević</w:t>
      </w:r>
      <w:proofErr w:type="spellEnd"/>
      <w:r w:rsidRPr="00EF7848">
        <w:rPr>
          <w:rFonts w:ascii="Verdana" w:hAnsi="Verdana" w:cs="Arial"/>
          <w:i/>
          <w:iCs/>
          <w:color w:val="7030A0"/>
          <w:sz w:val="16"/>
          <w:szCs w:val="16"/>
        </w:rPr>
        <w:t xml:space="preserve"> v Montenegro</w:t>
      </w:r>
      <w:r w:rsidR="00FB5F80">
        <w:rPr>
          <w:rFonts w:ascii="Verdana" w:hAnsi="Verdana" w:cs="Arial"/>
          <w:color w:val="7030A0"/>
          <w:sz w:val="16"/>
          <w:szCs w:val="16"/>
        </w:rPr>
        <w:t xml:space="preserve"> (2018) </w:t>
      </w:r>
      <w:r w:rsidR="00AE4CC9">
        <w:rPr>
          <w:rFonts w:ascii="Verdana" w:hAnsi="Verdana" w:cs="Arial"/>
          <w:color w:val="7030A0"/>
          <w:sz w:val="16"/>
          <w:szCs w:val="16"/>
        </w:rPr>
        <w:t>ECHR 908, at para</w:t>
      </w:r>
      <w:r w:rsidRPr="00EF7848">
        <w:rPr>
          <w:rFonts w:ascii="Verdana" w:hAnsi="Verdana" w:cs="Arial"/>
          <w:color w:val="7030A0"/>
          <w:sz w:val="16"/>
          <w:szCs w:val="16"/>
        </w:rPr>
        <w:t xml:space="preserve"> 54</w:t>
      </w:r>
      <w:r w:rsidR="00AE4CC9">
        <w:rPr>
          <w:rFonts w:ascii="Verdana" w:hAnsi="Verdana" w:cs="Arial"/>
          <w:color w:val="7030A0"/>
          <w:sz w:val="16"/>
          <w:szCs w:val="16"/>
        </w:rPr>
        <w:t xml:space="preserve">. </w:t>
      </w:r>
    </w:p>
  </w:footnote>
  <w:footnote w:id="27">
    <w:p w14:paraId="7252C4F1" w14:textId="1A746A6A" w:rsidR="00C820AC" w:rsidRPr="00EF7848" w:rsidRDefault="00C820AC">
      <w:pPr>
        <w:pStyle w:val="FootnoteText"/>
        <w:rPr>
          <w:rFonts w:ascii="Verdana" w:hAnsi="Verdana"/>
          <w:color w:val="7030A0"/>
          <w:sz w:val="16"/>
          <w:szCs w:val="16"/>
          <w:lang w:val="en-US"/>
        </w:rPr>
      </w:pPr>
      <w:r w:rsidRPr="00EF7848">
        <w:rPr>
          <w:rStyle w:val="FootnoteReference"/>
          <w:rFonts w:ascii="Verdana" w:hAnsi="Verdana"/>
          <w:color w:val="7030A0"/>
          <w:sz w:val="16"/>
          <w:szCs w:val="16"/>
        </w:rPr>
        <w:footnoteRef/>
      </w:r>
      <w:r w:rsidRPr="00EF7848">
        <w:rPr>
          <w:rFonts w:ascii="Verdana" w:hAnsi="Verdana"/>
          <w:color w:val="7030A0"/>
          <w:sz w:val="16"/>
          <w:szCs w:val="16"/>
        </w:rPr>
        <w:t xml:space="preserve"> </w:t>
      </w:r>
      <w:r w:rsidRPr="00EF7848">
        <w:rPr>
          <w:rFonts w:ascii="Verdana" w:hAnsi="Verdana" w:cs="Arial"/>
          <w:i/>
          <w:iCs/>
          <w:color w:val="7030A0"/>
          <w:sz w:val="16"/>
          <w:szCs w:val="16"/>
        </w:rPr>
        <w:t>Airey v Ireland</w:t>
      </w:r>
      <w:r w:rsidR="00CF30DF">
        <w:rPr>
          <w:rFonts w:ascii="Verdana" w:hAnsi="Verdana" w:cs="Arial"/>
          <w:color w:val="7030A0"/>
          <w:sz w:val="16"/>
          <w:szCs w:val="16"/>
        </w:rPr>
        <w:t xml:space="preserve"> (1979) ECHR 3, at para 33;</w:t>
      </w:r>
      <w:r w:rsidRPr="00EF7848">
        <w:rPr>
          <w:rFonts w:ascii="Verdana" w:hAnsi="Verdana" w:cs="Arial"/>
          <w:color w:val="7030A0"/>
          <w:sz w:val="16"/>
          <w:szCs w:val="16"/>
        </w:rPr>
        <w:t xml:space="preserve"> </w:t>
      </w:r>
      <w:r w:rsidRPr="00EF7848">
        <w:rPr>
          <w:rFonts w:ascii="Verdana" w:hAnsi="Verdana" w:cs="Arial"/>
          <w:i/>
          <w:iCs/>
          <w:color w:val="7030A0"/>
          <w:sz w:val="16"/>
          <w:szCs w:val="16"/>
        </w:rPr>
        <w:t xml:space="preserve">McGinley and Egan </w:t>
      </w:r>
      <w:r w:rsidR="00044ED6" w:rsidRPr="00EF7848">
        <w:rPr>
          <w:rFonts w:ascii="Verdana" w:hAnsi="Verdana" w:cs="Arial"/>
          <w:i/>
          <w:iCs/>
          <w:color w:val="7030A0"/>
          <w:sz w:val="16"/>
          <w:szCs w:val="16"/>
        </w:rPr>
        <w:t>v</w:t>
      </w:r>
      <w:r w:rsidRPr="00EF7848">
        <w:rPr>
          <w:rFonts w:ascii="Verdana" w:hAnsi="Verdana" w:cs="Arial"/>
          <w:i/>
          <w:iCs/>
          <w:color w:val="7030A0"/>
          <w:sz w:val="16"/>
          <w:szCs w:val="16"/>
        </w:rPr>
        <w:t xml:space="preserve"> the United Kingdom</w:t>
      </w:r>
      <w:r w:rsidR="00044ED6">
        <w:rPr>
          <w:rFonts w:ascii="Verdana" w:hAnsi="Verdana" w:cs="Arial"/>
          <w:color w:val="7030A0"/>
          <w:sz w:val="16"/>
          <w:szCs w:val="16"/>
        </w:rPr>
        <w:t xml:space="preserve"> (1998) </w:t>
      </w:r>
      <w:r w:rsidR="00767523">
        <w:rPr>
          <w:rFonts w:ascii="Verdana" w:hAnsi="Verdana" w:cs="Arial"/>
          <w:color w:val="7030A0"/>
          <w:sz w:val="16"/>
          <w:szCs w:val="16"/>
        </w:rPr>
        <w:t xml:space="preserve">ECHR 51, at para </w:t>
      </w:r>
      <w:proofErr w:type="gramStart"/>
      <w:r w:rsidR="00767523">
        <w:rPr>
          <w:rFonts w:ascii="Verdana" w:hAnsi="Verdana" w:cs="Arial"/>
          <w:color w:val="7030A0"/>
          <w:sz w:val="16"/>
          <w:szCs w:val="16"/>
        </w:rPr>
        <w:t xml:space="preserve">101; </w:t>
      </w:r>
      <w:r w:rsidRPr="00EF7848">
        <w:rPr>
          <w:rFonts w:ascii="Verdana" w:hAnsi="Verdana" w:cs="Arial"/>
          <w:color w:val="7030A0"/>
          <w:sz w:val="16"/>
          <w:szCs w:val="16"/>
        </w:rPr>
        <w:t xml:space="preserve"> </w:t>
      </w:r>
      <w:r w:rsidRPr="00EF7848">
        <w:rPr>
          <w:rFonts w:ascii="Verdana" w:hAnsi="Verdana" w:cs="Arial"/>
          <w:i/>
          <w:iCs/>
          <w:color w:val="7030A0"/>
          <w:sz w:val="16"/>
          <w:szCs w:val="16"/>
        </w:rPr>
        <w:t>Roche</w:t>
      </w:r>
      <w:proofErr w:type="gramEnd"/>
      <w:r w:rsidRPr="00EF7848">
        <w:rPr>
          <w:rFonts w:ascii="Verdana" w:hAnsi="Verdana" w:cs="Arial"/>
          <w:i/>
          <w:iCs/>
          <w:color w:val="7030A0"/>
          <w:sz w:val="16"/>
          <w:szCs w:val="16"/>
        </w:rPr>
        <w:t xml:space="preserve"> </w:t>
      </w:r>
      <w:r w:rsidR="00767523">
        <w:rPr>
          <w:rFonts w:ascii="Verdana" w:hAnsi="Verdana" w:cs="Arial"/>
          <w:i/>
          <w:iCs/>
          <w:color w:val="7030A0"/>
          <w:sz w:val="16"/>
          <w:szCs w:val="16"/>
        </w:rPr>
        <w:t>v</w:t>
      </w:r>
      <w:r w:rsidRPr="00EF7848">
        <w:rPr>
          <w:rFonts w:ascii="Verdana" w:hAnsi="Verdana" w:cs="Arial"/>
          <w:i/>
          <w:iCs/>
          <w:color w:val="7030A0"/>
          <w:sz w:val="16"/>
          <w:szCs w:val="16"/>
        </w:rPr>
        <w:t xml:space="preserve"> the United Kingdom</w:t>
      </w:r>
      <w:r w:rsidRPr="00EF7848">
        <w:rPr>
          <w:rFonts w:ascii="Verdana" w:hAnsi="Verdana" w:cs="Arial"/>
          <w:color w:val="7030A0"/>
          <w:sz w:val="16"/>
          <w:szCs w:val="16"/>
        </w:rPr>
        <w:t xml:space="preserve"> </w:t>
      </w:r>
      <w:r w:rsidR="00767523">
        <w:rPr>
          <w:rFonts w:ascii="Verdana" w:hAnsi="Verdana" w:cs="Arial"/>
          <w:color w:val="7030A0"/>
          <w:sz w:val="16"/>
          <w:szCs w:val="16"/>
        </w:rPr>
        <w:t xml:space="preserve">(2005) ECHR 956, at para </w:t>
      </w:r>
      <w:r w:rsidRPr="00EF7848">
        <w:rPr>
          <w:rFonts w:ascii="Verdana" w:hAnsi="Verdana" w:cs="Arial"/>
          <w:color w:val="7030A0"/>
          <w:sz w:val="16"/>
          <w:szCs w:val="16"/>
        </w:rPr>
        <w:t>162.</w:t>
      </w:r>
    </w:p>
  </w:footnote>
  <w:footnote w:id="28">
    <w:p w14:paraId="6C5A3A13" w14:textId="775AE7E7" w:rsidR="00C820AC" w:rsidRPr="00EF7848" w:rsidRDefault="00C820AC">
      <w:pPr>
        <w:pStyle w:val="FootnoteText"/>
        <w:rPr>
          <w:rFonts w:ascii="Verdana" w:hAnsi="Verdana"/>
          <w:color w:val="7030A0"/>
          <w:sz w:val="16"/>
          <w:szCs w:val="16"/>
          <w:lang w:val="en-US"/>
        </w:rPr>
      </w:pPr>
      <w:r w:rsidRPr="00EF7848">
        <w:rPr>
          <w:rStyle w:val="FootnoteReference"/>
          <w:rFonts w:ascii="Verdana" w:hAnsi="Verdana"/>
          <w:color w:val="7030A0"/>
          <w:sz w:val="16"/>
          <w:szCs w:val="16"/>
        </w:rPr>
        <w:footnoteRef/>
      </w:r>
      <w:r w:rsidRPr="00EF7848">
        <w:rPr>
          <w:rFonts w:ascii="Verdana" w:hAnsi="Verdana"/>
          <w:color w:val="7030A0"/>
          <w:sz w:val="16"/>
          <w:szCs w:val="16"/>
        </w:rPr>
        <w:t xml:space="preserve"> </w:t>
      </w:r>
      <w:r w:rsidRPr="00EF7848">
        <w:rPr>
          <w:rFonts w:ascii="Verdana" w:hAnsi="Verdana" w:cs="Arial"/>
          <w:i/>
          <w:iCs/>
          <w:color w:val="7030A0"/>
          <w:sz w:val="16"/>
          <w:szCs w:val="16"/>
        </w:rPr>
        <w:t>A, B and C v Ireland</w:t>
      </w:r>
      <w:r w:rsidRPr="00EF7848">
        <w:rPr>
          <w:rFonts w:ascii="Verdana" w:hAnsi="Verdana" w:cs="Arial"/>
          <w:color w:val="7030A0"/>
          <w:sz w:val="16"/>
          <w:szCs w:val="16"/>
        </w:rPr>
        <w:t xml:space="preserve"> </w:t>
      </w:r>
      <w:r w:rsidR="00713D1B">
        <w:rPr>
          <w:rFonts w:ascii="Verdana" w:hAnsi="Verdana" w:cs="Arial"/>
          <w:color w:val="7030A0"/>
          <w:sz w:val="16"/>
          <w:szCs w:val="16"/>
        </w:rPr>
        <w:t>(2010) ECHR 2032, at para</w:t>
      </w:r>
      <w:r w:rsidRPr="00EF7848">
        <w:rPr>
          <w:rFonts w:ascii="Verdana" w:hAnsi="Verdana" w:cs="Arial"/>
          <w:color w:val="7030A0"/>
          <w:sz w:val="16"/>
          <w:szCs w:val="16"/>
        </w:rPr>
        <w:t xml:space="preserve"> 245.</w:t>
      </w:r>
    </w:p>
  </w:footnote>
  <w:footnote w:id="29">
    <w:p w14:paraId="5C72D3BA" w14:textId="60DEBFE7" w:rsidR="005A5F62" w:rsidRPr="005A5F62" w:rsidRDefault="005A5F62" w:rsidP="005A5F62">
      <w:pPr>
        <w:rPr>
          <w:lang w:val="en-HK" w:eastAsia="zh-TW"/>
        </w:rPr>
      </w:pPr>
      <w:r w:rsidRPr="00EF7848">
        <w:rPr>
          <w:rStyle w:val="FootnoteReference"/>
          <w:rFonts w:ascii="Verdana" w:hAnsi="Verdana"/>
          <w:color w:val="7030A0"/>
          <w:sz w:val="16"/>
          <w:szCs w:val="16"/>
        </w:rPr>
        <w:footnoteRef/>
      </w:r>
      <w:r w:rsidRPr="00EF7848">
        <w:rPr>
          <w:rFonts w:ascii="Verdana" w:hAnsi="Verdana"/>
          <w:color w:val="7030A0"/>
          <w:sz w:val="16"/>
          <w:szCs w:val="16"/>
        </w:rPr>
        <w:t xml:space="preserve"> </w:t>
      </w:r>
      <w:proofErr w:type="spellStart"/>
      <w:r w:rsidRPr="00EF7848">
        <w:rPr>
          <w:rFonts w:ascii="Verdana" w:hAnsi="Verdana"/>
          <w:i/>
          <w:iCs/>
          <w:color w:val="7030A0"/>
          <w:sz w:val="16"/>
          <w:szCs w:val="16"/>
          <w:lang w:val="en-US"/>
        </w:rPr>
        <w:t>Storck</w:t>
      </w:r>
      <w:proofErr w:type="spellEnd"/>
      <w:r w:rsidRPr="00EF7848">
        <w:rPr>
          <w:rFonts w:ascii="Verdana" w:hAnsi="Verdana"/>
          <w:i/>
          <w:iCs/>
          <w:color w:val="7030A0"/>
          <w:sz w:val="16"/>
          <w:szCs w:val="16"/>
          <w:lang w:val="en-US"/>
        </w:rPr>
        <w:t xml:space="preserve"> v Germany</w:t>
      </w:r>
      <w:r w:rsidR="000303CD">
        <w:rPr>
          <w:rFonts w:ascii="Verdana" w:hAnsi="Verdana"/>
          <w:color w:val="7030A0"/>
          <w:sz w:val="16"/>
          <w:szCs w:val="16"/>
          <w:lang w:val="en-US"/>
        </w:rPr>
        <w:t xml:space="preserve"> (2005) ECHR 406</w:t>
      </w:r>
      <w:r w:rsidR="00356575">
        <w:rPr>
          <w:rFonts w:ascii="Verdana" w:hAnsi="Verdana"/>
          <w:color w:val="7030A0"/>
          <w:sz w:val="16"/>
          <w:szCs w:val="16"/>
          <w:lang w:val="en-US"/>
        </w:rPr>
        <w:t>,</w:t>
      </w:r>
      <w:r w:rsidR="000303CD">
        <w:rPr>
          <w:rFonts w:ascii="Verdana" w:hAnsi="Verdana"/>
          <w:color w:val="7030A0"/>
          <w:sz w:val="16"/>
          <w:szCs w:val="16"/>
          <w:lang w:val="en-US"/>
        </w:rPr>
        <w:t xml:space="preserve"> at para </w:t>
      </w:r>
      <w:r w:rsidR="00BC0F37">
        <w:rPr>
          <w:rFonts w:ascii="Verdana" w:hAnsi="Verdana"/>
          <w:color w:val="7030A0"/>
          <w:sz w:val="16"/>
          <w:szCs w:val="16"/>
          <w:lang w:val="en-US"/>
        </w:rPr>
        <w:t>143</w:t>
      </w:r>
      <w:r w:rsidR="000303CD">
        <w:rPr>
          <w:rFonts w:ascii="Verdana" w:hAnsi="Verdana"/>
          <w:color w:val="7030A0"/>
          <w:sz w:val="16"/>
          <w:szCs w:val="16"/>
          <w:lang w:val="en-US"/>
        </w:rPr>
        <w:t>.</w:t>
      </w:r>
    </w:p>
  </w:footnote>
  <w:footnote w:id="30">
    <w:p w14:paraId="718FCE2F" w14:textId="0916A733" w:rsidR="008E0E36" w:rsidRPr="007B25AF" w:rsidRDefault="008E0E36" w:rsidP="008E0E36">
      <w:pPr>
        <w:pStyle w:val="NIHRCFootnotes"/>
      </w:pPr>
      <w:r>
        <w:rPr>
          <w:rStyle w:val="FootnoteReference"/>
        </w:rPr>
        <w:footnoteRef/>
      </w:r>
      <w:r>
        <w:t xml:space="preserve"> </w:t>
      </w:r>
      <w:r w:rsidRPr="007B25AF">
        <w:t>Department of Health ‘Duty of Candour &amp; Being Open – Policy Proposals for Consultation’, 2021, at paras 3.1</w:t>
      </w:r>
      <w:r>
        <w:t>5-3.16</w:t>
      </w:r>
      <w:r w:rsidRPr="007B25AF">
        <w:t>.</w:t>
      </w:r>
    </w:p>
  </w:footnote>
  <w:footnote w:id="31">
    <w:p w14:paraId="34E5E04E" w14:textId="77777777" w:rsidR="008E0E36" w:rsidRPr="0043778F" w:rsidRDefault="008E0E36" w:rsidP="008E0E36">
      <w:pPr>
        <w:pStyle w:val="NIHRCFootnotes"/>
      </w:pPr>
      <w:r>
        <w:rPr>
          <w:rStyle w:val="FootnoteReference"/>
        </w:rPr>
        <w:footnoteRef/>
      </w:r>
      <w:r>
        <w:t xml:space="preserve"> </w:t>
      </w:r>
      <w:proofErr w:type="spellStart"/>
      <w:r w:rsidRPr="001D469B">
        <w:rPr>
          <w:i/>
          <w:iCs/>
        </w:rPr>
        <w:t>Csoma</w:t>
      </w:r>
      <w:proofErr w:type="spellEnd"/>
      <w:r w:rsidRPr="001D469B">
        <w:rPr>
          <w:i/>
          <w:iCs/>
        </w:rPr>
        <w:t xml:space="preserve"> v Romania</w:t>
      </w:r>
      <w:r>
        <w:t xml:space="preserve"> (2013) ECHR 2013, at paras 41–42.</w:t>
      </w:r>
    </w:p>
  </w:footnote>
  <w:footnote w:id="32">
    <w:p w14:paraId="71DAD44B" w14:textId="2625A9A6" w:rsidR="008E0E36" w:rsidRPr="001D469B" w:rsidRDefault="008E0E36" w:rsidP="008E0E36">
      <w:pPr>
        <w:pStyle w:val="NIHRCFootnotes"/>
      </w:pPr>
      <w:r>
        <w:rPr>
          <w:rStyle w:val="FootnoteReference"/>
        </w:rPr>
        <w:footnoteRef/>
      </w:r>
      <w:r>
        <w:t xml:space="preserve"> </w:t>
      </w:r>
      <w:r w:rsidR="00B50858" w:rsidRPr="00B50858">
        <w:t>Ibid</w:t>
      </w:r>
      <w:r>
        <w:t>, at para 48.</w:t>
      </w:r>
    </w:p>
  </w:footnote>
  <w:footnote w:id="33">
    <w:p w14:paraId="419A1178" w14:textId="05EB10E9" w:rsidR="007D1613" w:rsidRPr="00EF7848" w:rsidRDefault="007D1613" w:rsidP="00EF7848">
      <w:pPr>
        <w:pStyle w:val="NIHRCFootnotes"/>
        <w:rPr>
          <w:lang w:val="en-HK"/>
        </w:rPr>
      </w:pPr>
      <w:r w:rsidRPr="00EF7848">
        <w:rPr>
          <w:rStyle w:val="FootnoteReference"/>
          <w:color w:val="7030A0"/>
        </w:rPr>
        <w:footnoteRef/>
      </w:r>
      <w:r w:rsidRPr="00EF7848">
        <w:rPr>
          <w:rStyle w:val="FootnoteReference"/>
          <w:color w:val="7030A0"/>
        </w:rPr>
        <w:t xml:space="preserve"> </w:t>
      </w:r>
      <w:r w:rsidR="008E19F3" w:rsidRPr="00510C14">
        <w:t>Department of Health ‘Duty of Candour &amp; Being Open – Policy Proposals for Consultation’, 2021</w:t>
      </w:r>
      <w:r w:rsidR="008E19F3">
        <w:t>, at para</w:t>
      </w:r>
      <w:r w:rsidR="00372204">
        <w:t>s</w:t>
      </w:r>
      <w:r w:rsidR="008E19F3">
        <w:t xml:space="preserve"> </w:t>
      </w:r>
      <w:r w:rsidR="00720CCD">
        <w:t>3</w:t>
      </w:r>
      <w:r w:rsidR="008E19F3">
        <w:t>.</w:t>
      </w:r>
      <w:r w:rsidR="00720CCD">
        <w:t>19</w:t>
      </w:r>
      <w:r w:rsidR="00372204">
        <w:t xml:space="preserve"> and 4.41</w:t>
      </w:r>
      <w:r w:rsidR="008E19F3" w:rsidRPr="00510C14">
        <w:t>.</w:t>
      </w:r>
    </w:p>
  </w:footnote>
  <w:footnote w:id="34">
    <w:p w14:paraId="669E765D" w14:textId="766D47AF" w:rsidR="00CF7AA5" w:rsidRPr="00EF7848" w:rsidRDefault="00CF7AA5" w:rsidP="00EF7848">
      <w:pPr>
        <w:pStyle w:val="NIHRCFootnotes"/>
      </w:pPr>
      <w:r w:rsidRPr="00EF7848">
        <w:rPr>
          <w:rStyle w:val="FootnoteReference"/>
          <w:color w:val="7030A0"/>
        </w:rPr>
        <w:footnoteRef/>
      </w:r>
      <w:r w:rsidRPr="00EF7848">
        <w:rPr>
          <w:rStyle w:val="FootnoteReference"/>
          <w:color w:val="7030A0"/>
        </w:rPr>
        <w:t xml:space="preserve"> </w:t>
      </w:r>
      <w:r w:rsidR="00B50858">
        <w:t>Ibid,</w:t>
      </w:r>
      <w:r w:rsidR="00372204">
        <w:t xml:space="preserve"> at para 4.4</w:t>
      </w:r>
      <w:r w:rsidR="00DE5606">
        <w:t>1.</w:t>
      </w:r>
    </w:p>
  </w:footnote>
  <w:footnote w:id="35">
    <w:p w14:paraId="3C3164E8" w14:textId="757F8572" w:rsidR="00795F8F" w:rsidRPr="00983EEC" w:rsidRDefault="00795F8F" w:rsidP="00EF7848">
      <w:pPr>
        <w:pStyle w:val="NIHRCFootnotes"/>
        <w:rPr>
          <w:rFonts w:ascii="Times New Roman" w:eastAsia="Times New Roman" w:hAnsi="Times New Roman"/>
          <w:sz w:val="24"/>
          <w:szCs w:val="24"/>
          <w:lang w:val="en-HK" w:eastAsia="zh-TW"/>
        </w:rPr>
      </w:pPr>
      <w:r>
        <w:rPr>
          <w:rStyle w:val="FootnoteReference"/>
        </w:rPr>
        <w:footnoteRef/>
      </w:r>
      <w:r>
        <w:t xml:space="preserve"> </w:t>
      </w:r>
      <w:proofErr w:type="spellStart"/>
      <w:r w:rsidR="007E5C6D" w:rsidRPr="00510C14">
        <w:rPr>
          <w:i/>
          <w:iCs/>
          <w:color w:val="7030A0"/>
        </w:rPr>
        <w:t>Vasileva</w:t>
      </w:r>
      <w:proofErr w:type="spellEnd"/>
      <w:r w:rsidR="007E5C6D" w:rsidRPr="00510C14">
        <w:rPr>
          <w:i/>
          <w:iCs/>
          <w:color w:val="7030A0"/>
        </w:rPr>
        <w:t xml:space="preserve"> v Bulgaria</w:t>
      </w:r>
      <w:r w:rsidR="007E5C6D">
        <w:rPr>
          <w:color w:val="7030A0"/>
        </w:rPr>
        <w:t xml:space="preserve"> (2016) ECHR 273, at para 63</w:t>
      </w:r>
      <w:r w:rsidR="007E5C6D">
        <w:rPr>
          <w:rFonts w:ascii="Calibri" w:eastAsia="Times New Roman" w:hAnsi="Calibri" w:cs="Calibri"/>
          <w:sz w:val="22"/>
          <w:szCs w:val="22"/>
          <w:lang w:val="en-HK" w:eastAsia="zh-TW"/>
        </w:rPr>
        <w:t xml:space="preserve">; </w:t>
      </w:r>
      <w:r w:rsidRPr="00EF7848">
        <w:rPr>
          <w:i/>
          <w:iCs/>
          <w:color w:val="7030A0"/>
        </w:rPr>
        <w:t xml:space="preserve">Mehmet </w:t>
      </w:r>
      <w:proofErr w:type="spellStart"/>
      <w:r w:rsidRPr="00EF7848">
        <w:rPr>
          <w:i/>
          <w:iCs/>
          <w:color w:val="7030A0"/>
        </w:rPr>
        <w:t>Ulusoy</w:t>
      </w:r>
      <w:proofErr w:type="spellEnd"/>
      <w:r w:rsidRPr="00EF7848">
        <w:rPr>
          <w:i/>
          <w:iCs/>
          <w:color w:val="7030A0"/>
        </w:rPr>
        <w:t xml:space="preserve"> and Others v Turkey</w:t>
      </w:r>
      <w:r w:rsidR="00ED13C5">
        <w:rPr>
          <w:i/>
          <w:iCs/>
          <w:color w:val="7030A0"/>
        </w:rPr>
        <w:t xml:space="preserve"> </w:t>
      </w:r>
      <w:r w:rsidR="00ED13C5">
        <w:rPr>
          <w:color w:val="7030A0"/>
        </w:rPr>
        <w:t>(2019) ECHR 485, at para 82.</w:t>
      </w:r>
      <w:r w:rsidRPr="00983EEC">
        <w:rPr>
          <w:rFonts w:ascii="Calibri" w:eastAsia="Times New Roman" w:hAnsi="Calibri" w:cs="Calibri"/>
          <w:sz w:val="22"/>
          <w:szCs w:val="22"/>
          <w:lang w:val="en-HK" w:eastAsia="zh-TW"/>
        </w:rPr>
        <w:t xml:space="preserve"> </w:t>
      </w:r>
    </w:p>
  </w:footnote>
  <w:footnote w:id="36">
    <w:p w14:paraId="44AFA307" w14:textId="60DB92D3" w:rsidR="00853DA8" w:rsidRPr="00EF7848" w:rsidRDefault="00853DA8" w:rsidP="00EF7848">
      <w:pPr>
        <w:pStyle w:val="NIHRCFootnotes"/>
        <w:rPr>
          <w:rFonts w:ascii="Times New Roman" w:eastAsia="Times New Roman" w:hAnsi="Times New Roman"/>
          <w:sz w:val="24"/>
          <w:szCs w:val="24"/>
          <w:lang w:val="en-HK" w:eastAsia="zh-TW"/>
        </w:rPr>
      </w:pPr>
      <w:r>
        <w:rPr>
          <w:rStyle w:val="FootnoteReference"/>
        </w:rPr>
        <w:footnoteRef/>
      </w:r>
      <w:r>
        <w:t xml:space="preserve"> </w:t>
      </w:r>
      <w:r w:rsidRPr="00510C14">
        <w:rPr>
          <w:i/>
          <w:iCs/>
        </w:rPr>
        <w:t>Lopes de Sousa Fernandes v Portuga</w:t>
      </w:r>
      <w:r>
        <w:rPr>
          <w:i/>
          <w:iCs/>
        </w:rPr>
        <w:t xml:space="preserve">l </w:t>
      </w:r>
      <w:r>
        <w:t>(2017) ECHR 1174.</w:t>
      </w:r>
    </w:p>
  </w:footnote>
  <w:footnote w:id="37">
    <w:p w14:paraId="5CF6BDA7" w14:textId="4A7BB83F" w:rsidR="004D4A38" w:rsidRPr="00EF7848" w:rsidRDefault="004D4A38" w:rsidP="00EF7848">
      <w:pPr>
        <w:pStyle w:val="NIHRCFootnotes"/>
      </w:pPr>
      <w:r>
        <w:rPr>
          <w:rStyle w:val="FootnoteReference"/>
        </w:rPr>
        <w:footnoteRef/>
      </w:r>
      <w:r>
        <w:t xml:space="preserve"> Ibid, paras 229-234.</w:t>
      </w:r>
    </w:p>
  </w:footnote>
  <w:footnote w:id="38">
    <w:p w14:paraId="01CF8D0B" w14:textId="12628703" w:rsidR="001B7E8C" w:rsidRPr="00EF7848" w:rsidRDefault="004B52F4" w:rsidP="00EF7848">
      <w:pPr>
        <w:pStyle w:val="NIHRCFootnotes"/>
      </w:pPr>
      <w:r w:rsidRPr="00EF7848">
        <w:rPr>
          <w:vertAlign w:val="superscript"/>
        </w:rPr>
        <w:footnoteRef/>
      </w:r>
      <w:r w:rsidRPr="00EF7848">
        <w:t xml:space="preserve"> </w:t>
      </w:r>
      <w:proofErr w:type="spellStart"/>
      <w:r w:rsidRPr="00EF7848">
        <w:t>Robbennolt</w:t>
      </w:r>
      <w:proofErr w:type="spellEnd"/>
      <w:r w:rsidR="005646BE" w:rsidRPr="00EF7848">
        <w:t>, Jennifer</w:t>
      </w:r>
      <w:r w:rsidRPr="00EF7848">
        <w:t xml:space="preserve"> “Apologies and Medical Error”</w:t>
      </w:r>
      <w:r w:rsidR="00F6625E" w:rsidRPr="00EF7848">
        <w:t xml:space="preserve">, Clinical Orthopaedics and Related Research (2009) </w:t>
      </w:r>
      <w:r w:rsidRPr="00EF7848">
        <w:t>467(2)</w:t>
      </w:r>
      <w:r w:rsidR="00F6625E" w:rsidRPr="00EF7848">
        <w:t xml:space="preserve">, at </w:t>
      </w:r>
      <w:r w:rsidRPr="00EF7848">
        <w:t>376.</w:t>
      </w:r>
    </w:p>
  </w:footnote>
  <w:footnote w:id="39">
    <w:p w14:paraId="033DCC73" w14:textId="4F121219" w:rsidR="0002465C" w:rsidRPr="00EF7848" w:rsidRDefault="0002465C" w:rsidP="00EF7848">
      <w:pPr>
        <w:pStyle w:val="NIHRCFootnotes"/>
        <w:rPr>
          <w:rFonts w:ascii="Times New Roman" w:eastAsia="Times New Roman" w:hAnsi="Times New Roman"/>
          <w:sz w:val="24"/>
          <w:szCs w:val="24"/>
          <w:lang w:val="en-HK" w:eastAsia="zh-TW"/>
        </w:rPr>
      </w:pPr>
      <w:r w:rsidRPr="00EF7848">
        <w:rPr>
          <w:rFonts w:cstheme="minorBidi"/>
          <w:vertAlign w:val="superscript"/>
        </w:rPr>
        <w:footnoteRef/>
      </w:r>
      <w:r w:rsidRPr="00EF7848">
        <w:rPr>
          <w:rFonts w:cstheme="minorBidi"/>
        </w:rPr>
        <w:t xml:space="preserve"> Lord Woolf, Access to Justice Interim Report</w:t>
      </w:r>
      <w:r w:rsidR="00636AF9">
        <w:rPr>
          <w:rFonts w:cstheme="minorBidi"/>
        </w:rPr>
        <w:t xml:space="preserve">, HMSO (1995), at </w:t>
      </w:r>
      <w:r w:rsidRPr="00EF7848">
        <w:rPr>
          <w:rFonts w:cstheme="minorBidi"/>
        </w:rPr>
        <w:t>para 14.</w:t>
      </w:r>
    </w:p>
  </w:footnote>
  <w:footnote w:id="40">
    <w:p w14:paraId="7BC3965E" w14:textId="0FAD0AD0" w:rsidR="00593C73" w:rsidRPr="00EF7848" w:rsidRDefault="00593C73" w:rsidP="00EF7848">
      <w:pPr>
        <w:pStyle w:val="NIHRCFootnotes"/>
        <w:rPr>
          <w:lang w:val="en-US"/>
        </w:rPr>
      </w:pPr>
      <w:r>
        <w:rPr>
          <w:rStyle w:val="FootnoteReference"/>
        </w:rPr>
        <w:footnoteRef/>
      </w:r>
      <w:r>
        <w:t xml:space="preserve"> </w:t>
      </w:r>
      <w:r w:rsidR="00C1451B" w:rsidRPr="00510C14">
        <w:t>Department of Health ‘Duty of Candour &amp; Being Open – Policy Proposals for Consultation’</w:t>
      </w:r>
      <w:r w:rsidR="00145F00">
        <w:t xml:space="preserve"> (</w:t>
      </w:r>
      <w:r w:rsidR="00C1451B" w:rsidRPr="00510C14">
        <w:t>2021</w:t>
      </w:r>
      <w:r w:rsidR="00145F00">
        <w:t>)</w:t>
      </w:r>
      <w:r w:rsidR="00C1451B">
        <w:t xml:space="preserve"> at para 4.39.</w:t>
      </w:r>
    </w:p>
  </w:footnote>
  <w:footnote w:id="41">
    <w:p w14:paraId="23C6DA40" w14:textId="1EAF7E00" w:rsidR="000F4E62" w:rsidRPr="003861A5" w:rsidRDefault="003861A5" w:rsidP="000037E0">
      <w:pPr>
        <w:pStyle w:val="NIHRCFootnotes"/>
      </w:pPr>
      <w:r>
        <w:rPr>
          <w:rStyle w:val="FootnoteReference"/>
        </w:rPr>
        <w:footnoteRef/>
      </w:r>
      <w:r>
        <w:t xml:space="preserve"> </w:t>
      </w:r>
      <w:r w:rsidR="000037E0">
        <w:t>Ibid, at para 3.29.</w:t>
      </w:r>
    </w:p>
  </w:footnote>
  <w:footnote w:id="42">
    <w:p w14:paraId="0025D50F" w14:textId="08F7E5AC" w:rsidR="000F4E62" w:rsidRPr="000F4E62" w:rsidRDefault="000F4E62" w:rsidP="000F4E62">
      <w:pPr>
        <w:pStyle w:val="NIHRCFootnotes"/>
      </w:pPr>
      <w:r>
        <w:rPr>
          <w:rStyle w:val="FootnoteReference"/>
        </w:rPr>
        <w:footnoteRef/>
      </w:r>
      <w:r>
        <w:t xml:space="preserve"> Ibid.</w:t>
      </w:r>
    </w:p>
  </w:footnote>
  <w:footnote w:id="43">
    <w:p w14:paraId="40976923" w14:textId="481E9D1C" w:rsidR="009C16D6" w:rsidRPr="00EF7848" w:rsidRDefault="009C16D6" w:rsidP="00EF7848">
      <w:pPr>
        <w:pStyle w:val="NIHRCFootnotes"/>
        <w:rPr>
          <w:rFonts w:ascii="Times New Roman" w:eastAsia="Times New Roman" w:hAnsi="Times New Roman"/>
          <w:sz w:val="24"/>
          <w:szCs w:val="24"/>
          <w:lang w:val="en-HK" w:eastAsia="zh-TW"/>
        </w:rPr>
      </w:pPr>
      <w:r>
        <w:rPr>
          <w:rStyle w:val="FootnoteReference"/>
        </w:rPr>
        <w:footnoteRef/>
      </w:r>
      <w:r>
        <w:t xml:space="preserve"> </w:t>
      </w:r>
      <w:r w:rsidRPr="00EF7848">
        <w:rPr>
          <w:i/>
          <w:iCs/>
        </w:rPr>
        <w:t xml:space="preserve">Mustafa </w:t>
      </w:r>
      <w:proofErr w:type="spellStart"/>
      <w:r w:rsidRPr="00EF7848">
        <w:rPr>
          <w:i/>
          <w:iCs/>
        </w:rPr>
        <w:t>Tunç</w:t>
      </w:r>
      <w:proofErr w:type="spellEnd"/>
      <w:r w:rsidRPr="00EF7848">
        <w:rPr>
          <w:i/>
          <w:iCs/>
        </w:rPr>
        <w:t xml:space="preserve"> and </w:t>
      </w:r>
      <w:proofErr w:type="spellStart"/>
      <w:r w:rsidRPr="00EF7848">
        <w:rPr>
          <w:i/>
          <w:iCs/>
        </w:rPr>
        <w:t>Fecire</w:t>
      </w:r>
      <w:proofErr w:type="spellEnd"/>
      <w:r w:rsidRPr="00EF7848">
        <w:rPr>
          <w:i/>
          <w:iCs/>
        </w:rPr>
        <w:t xml:space="preserve"> </w:t>
      </w:r>
      <w:proofErr w:type="spellStart"/>
      <w:r w:rsidRPr="00EF7848">
        <w:rPr>
          <w:i/>
          <w:iCs/>
        </w:rPr>
        <w:t>Tunç</w:t>
      </w:r>
      <w:proofErr w:type="spellEnd"/>
      <w:r w:rsidRPr="00EF7848">
        <w:rPr>
          <w:i/>
          <w:iCs/>
        </w:rPr>
        <w:t xml:space="preserve"> v Turkey</w:t>
      </w:r>
      <w:r w:rsidRPr="009C16D6">
        <w:t xml:space="preserve"> </w:t>
      </w:r>
      <w:r w:rsidR="00D65B1A">
        <w:t>(2013) ECHR 587</w:t>
      </w:r>
      <w:r w:rsidR="003E3A9D">
        <w:t>,</w:t>
      </w:r>
      <w:r w:rsidR="00D65B1A">
        <w:t xml:space="preserve"> at para </w:t>
      </w:r>
      <w:r w:rsidRPr="009C16D6">
        <w:t>171</w:t>
      </w:r>
      <w:r w:rsidR="00D65B1A">
        <w:t>;</w:t>
      </w:r>
      <w:r w:rsidR="00500859">
        <w:t xml:space="preserve"> </w:t>
      </w:r>
      <w:r w:rsidR="00500859" w:rsidRPr="00EF7848">
        <w:rPr>
          <w:i/>
          <w:iCs/>
        </w:rPr>
        <w:t>Lopes de Sousa Fernandes v Portuga</w:t>
      </w:r>
      <w:r w:rsidR="008E1910">
        <w:rPr>
          <w:i/>
          <w:iCs/>
        </w:rPr>
        <w:t xml:space="preserve">l </w:t>
      </w:r>
      <w:r w:rsidR="008E1910">
        <w:t>(2017) ECHR 1174.</w:t>
      </w:r>
    </w:p>
  </w:footnote>
  <w:footnote w:id="44">
    <w:p w14:paraId="7EECEDE0" w14:textId="7A3115CF" w:rsidR="00C14644" w:rsidRPr="00EF7848" w:rsidRDefault="00C14644" w:rsidP="00EF7848">
      <w:pPr>
        <w:pStyle w:val="NIHRCFootnotes"/>
        <w:rPr>
          <w:lang w:val="en-US"/>
        </w:rPr>
      </w:pPr>
      <w:r>
        <w:rPr>
          <w:rStyle w:val="FootnoteReference"/>
        </w:rPr>
        <w:footnoteRef/>
      </w:r>
      <w:r>
        <w:t xml:space="preserve"> </w:t>
      </w:r>
      <w:proofErr w:type="spellStart"/>
      <w:r w:rsidRPr="00EF7848">
        <w:rPr>
          <w:i/>
          <w:iCs/>
          <w:lang w:val="en-US"/>
        </w:rPr>
        <w:t>Oyal</w:t>
      </w:r>
      <w:proofErr w:type="spellEnd"/>
      <w:r w:rsidRPr="00EF7848">
        <w:rPr>
          <w:i/>
          <w:iCs/>
          <w:lang w:val="en-US"/>
        </w:rPr>
        <w:t xml:space="preserve"> v Turkey</w:t>
      </w:r>
      <w:r w:rsidR="003E3A9D">
        <w:rPr>
          <w:i/>
          <w:iCs/>
          <w:lang w:val="en-US"/>
        </w:rPr>
        <w:t xml:space="preserve"> </w:t>
      </w:r>
      <w:r w:rsidR="003E3A9D">
        <w:rPr>
          <w:lang w:val="en-US"/>
        </w:rPr>
        <w:t xml:space="preserve">(2010) ECHR 369, at para 76. </w:t>
      </w:r>
    </w:p>
  </w:footnote>
  <w:footnote w:id="45">
    <w:p w14:paraId="47A13C1A" w14:textId="2D8ECB9E" w:rsidR="00353127" w:rsidRPr="00EF7848" w:rsidRDefault="00353127" w:rsidP="00EF7848">
      <w:pPr>
        <w:pStyle w:val="NIHRCFootnotes"/>
        <w:rPr>
          <w:rFonts w:ascii="Times New Roman" w:eastAsia="Times New Roman" w:hAnsi="Times New Roman" w:cs="Times New Roman"/>
          <w:lang w:val="en-HK" w:eastAsia="zh-TW"/>
        </w:rPr>
      </w:pPr>
      <w:r>
        <w:rPr>
          <w:rStyle w:val="FootnoteReference"/>
        </w:rPr>
        <w:footnoteRef/>
      </w:r>
      <w:r>
        <w:t xml:space="preserve"> </w:t>
      </w:r>
      <w:proofErr w:type="spellStart"/>
      <w:r w:rsidR="00153C8E" w:rsidRPr="00510C14">
        <w:rPr>
          <w:i/>
          <w:iCs/>
        </w:rPr>
        <w:t>Vasileva</w:t>
      </w:r>
      <w:proofErr w:type="spellEnd"/>
      <w:r w:rsidR="00153C8E" w:rsidRPr="00510C14">
        <w:rPr>
          <w:i/>
          <w:iCs/>
        </w:rPr>
        <w:t xml:space="preserve"> v Bulgaria</w:t>
      </w:r>
      <w:r w:rsidR="00153C8E">
        <w:t xml:space="preserve"> (2016) ECHR 273, at paras 63-69.</w:t>
      </w:r>
    </w:p>
  </w:footnote>
  <w:footnote w:id="46">
    <w:p w14:paraId="581B10E2" w14:textId="21638997" w:rsidR="00814A53" w:rsidRPr="00814A53" w:rsidRDefault="00814A53" w:rsidP="00814A53">
      <w:pPr>
        <w:pStyle w:val="NIHRCFootnotes"/>
      </w:pPr>
      <w:r>
        <w:rPr>
          <w:rStyle w:val="FootnoteReference"/>
        </w:rPr>
        <w:footnoteRef/>
      </w:r>
      <w:r>
        <w:t xml:space="preserve"> </w:t>
      </w:r>
      <w:r w:rsidRPr="00510C14">
        <w:t>Department of Health ‘Duty of Candour &amp; Being Open – Policy Proposals for Consultation’</w:t>
      </w:r>
      <w:r>
        <w:t xml:space="preserve"> (</w:t>
      </w:r>
      <w:r w:rsidRPr="00510C14">
        <w:t>2021</w:t>
      </w:r>
      <w:r>
        <w:t>) at para 3.36.</w:t>
      </w:r>
    </w:p>
  </w:footnote>
  <w:footnote w:id="47">
    <w:p w14:paraId="24334FB1" w14:textId="404CA8B8" w:rsidR="00814A53" w:rsidRPr="00814A53" w:rsidRDefault="00814A53">
      <w:pPr>
        <w:pStyle w:val="FootnoteText"/>
      </w:pPr>
      <w:r w:rsidRPr="00814A53">
        <w:rPr>
          <w:rFonts w:ascii="Verdana" w:hAnsi="Verdana" w:cs="Arial"/>
          <w:color w:val="77328A"/>
          <w:sz w:val="16"/>
          <w:szCs w:val="16"/>
          <w:vertAlign w:val="superscript"/>
        </w:rPr>
        <w:footnoteRef/>
      </w:r>
      <w:r w:rsidRPr="00814A53">
        <w:rPr>
          <w:rFonts w:ascii="Verdana" w:hAnsi="Verdana" w:cs="Arial"/>
          <w:color w:val="77328A"/>
          <w:sz w:val="16"/>
          <w:szCs w:val="16"/>
        </w:rPr>
        <w:t xml:space="preserve"> Ibid, at para 3.40</w:t>
      </w:r>
      <w:r w:rsidR="00A6106C">
        <w:rPr>
          <w:rFonts w:ascii="Verdana" w:hAnsi="Verdana" w:cs="Arial"/>
          <w:color w:val="77328A"/>
          <w:sz w:val="16"/>
          <w:szCs w:val="16"/>
        </w:rPr>
        <w:t>.</w:t>
      </w:r>
    </w:p>
  </w:footnote>
  <w:footnote w:id="48">
    <w:p w14:paraId="456AA3EA" w14:textId="49E52D10" w:rsidR="00726BA2" w:rsidRPr="00EF7848" w:rsidRDefault="00726BA2" w:rsidP="00EF7848">
      <w:pPr>
        <w:pStyle w:val="NIHRCFootnotes"/>
        <w:rPr>
          <w:rFonts w:ascii="Times New Roman" w:eastAsia="Times New Roman" w:hAnsi="Times New Roman"/>
          <w:sz w:val="24"/>
          <w:szCs w:val="24"/>
          <w:lang w:val="en-HK" w:eastAsia="zh-TW"/>
        </w:rPr>
      </w:pPr>
      <w:r>
        <w:rPr>
          <w:rStyle w:val="FootnoteReference"/>
        </w:rPr>
        <w:footnoteRef/>
      </w:r>
      <w:r>
        <w:t xml:space="preserve"> </w:t>
      </w:r>
      <w:r w:rsidR="00153C8E" w:rsidRPr="00510C14">
        <w:rPr>
          <w:i/>
          <w:iCs/>
        </w:rPr>
        <w:t>Lopes de Sousa Fernandes v Portuga</w:t>
      </w:r>
      <w:r w:rsidR="00153C8E">
        <w:rPr>
          <w:i/>
          <w:iCs/>
        </w:rPr>
        <w:t xml:space="preserve">l </w:t>
      </w:r>
      <w:r w:rsidR="00153C8E">
        <w:t>(2017) ECHR 1174</w:t>
      </w:r>
      <w:r w:rsidR="006E22D7">
        <w:t>,</w:t>
      </w:r>
      <w:r w:rsidR="00153C8E">
        <w:t xml:space="preserve"> at paras </w:t>
      </w:r>
      <w:r w:rsidR="00AB5477">
        <w:rPr>
          <w:lang w:val="en-HK" w:eastAsia="zh-TW"/>
        </w:rPr>
        <w:t>214–215</w:t>
      </w:r>
      <w:r w:rsidR="00153C8E">
        <w:rPr>
          <w:lang w:val="en-HK" w:eastAsia="zh-T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1FD"/>
    <w:multiLevelType w:val="hybridMultilevel"/>
    <w:tmpl w:val="566844F2"/>
    <w:lvl w:ilvl="0" w:tplc="46F246F2">
      <w:numFmt w:val="bullet"/>
      <w:lvlText w:val="•"/>
      <w:lvlJc w:val="left"/>
      <w:pPr>
        <w:ind w:left="2160" w:hanging="720"/>
      </w:pPr>
      <w:rPr>
        <w:rFonts w:ascii="Verdana" w:eastAsiaTheme="minorEastAsia" w:hAnsi="Verdan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D73539"/>
    <w:multiLevelType w:val="hybridMultilevel"/>
    <w:tmpl w:val="165C23FA"/>
    <w:lvl w:ilvl="0" w:tplc="46F246F2">
      <w:numFmt w:val="bullet"/>
      <w:lvlText w:val="•"/>
      <w:lvlJc w:val="left"/>
      <w:pPr>
        <w:ind w:left="2160" w:hanging="720"/>
      </w:pPr>
      <w:rPr>
        <w:rFonts w:ascii="Verdana" w:eastAsiaTheme="minorEastAsia" w:hAnsi="Verdan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4913EB9"/>
    <w:multiLevelType w:val="multilevel"/>
    <w:tmpl w:val="E5C08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303B6A"/>
    <w:multiLevelType w:val="multilevel"/>
    <w:tmpl w:val="FD3C85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96429D"/>
    <w:multiLevelType w:val="multilevel"/>
    <w:tmpl w:val="AB123E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76DC3"/>
    <w:multiLevelType w:val="multilevel"/>
    <w:tmpl w:val="21F06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2C37BA"/>
    <w:multiLevelType w:val="hybridMultilevel"/>
    <w:tmpl w:val="58B6D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041B68"/>
    <w:multiLevelType w:val="hybridMultilevel"/>
    <w:tmpl w:val="BC3CC5F2"/>
    <w:lvl w:ilvl="0" w:tplc="428C4B80">
      <w:start w:val="9"/>
      <w:numFmt w:val="bullet"/>
      <w:lvlText w:val="-"/>
      <w:lvlJc w:val="left"/>
      <w:pPr>
        <w:ind w:left="720" w:hanging="360"/>
      </w:pPr>
      <w:rPr>
        <w:rFonts w:ascii="Verdana" w:eastAsiaTheme="minorEastAsia"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D6E3AF3"/>
    <w:multiLevelType w:val="multilevel"/>
    <w:tmpl w:val="557E24E8"/>
    <w:lvl w:ilvl="0">
      <w:start w:val="1"/>
      <w:numFmt w:val="decimal"/>
      <w:lvlText w:val="%1.0"/>
      <w:lvlJc w:val="left"/>
      <w:pPr>
        <w:ind w:left="720" w:hanging="720"/>
      </w:pPr>
      <w:rPr>
        <w:rFonts w:hint="default"/>
      </w:rPr>
    </w:lvl>
    <w:lvl w:ilvl="1">
      <w:numFmt w:val="decimal"/>
      <w:lvlText w:val="%1.%2"/>
      <w:lvlJc w:val="left"/>
      <w:pPr>
        <w:ind w:left="720" w:hanging="720"/>
      </w:pPr>
      <w:rPr>
        <w:rFonts w:hint="default"/>
        <w:b w:val="0"/>
        <w:i w:val="0"/>
      </w:rPr>
    </w:lvl>
    <w:lvl w:ilvl="2">
      <w:start w:val="1"/>
      <w:numFmt w:val="decimal"/>
      <w:lvlText w:val="%1.%2.%3"/>
      <w:lvlJc w:val="left"/>
      <w:pPr>
        <w:ind w:left="2520" w:hanging="108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3"/>
  </w:num>
  <w:num w:numId="4">
    <w:abstractNumId w:val="9"/>
  </w:num>
  <w:num w:numId="5">
    <w:abstractNumId w:val="13"/>
  </w:num>
  <w:num w:numId="6">
    <w:abstractNumId w:val="5"/>
  </w:num>
  <w:num w:numId="7">
    <w:abstractNumId w:val="10"/>
  </w:num>
  <w:num w:numId="8">
    <w:abstractNumId w:val="1"/>
  </w:num>
  <w:num w:numId="9">
    <w:abstractNumId w:val="14"/>
  </w:num>
  <w:num w:numId="10">
    <w:abstractNumId w:val="0"/>
  </w:num>
  <w:num w:numId="11">
    <w:abstractNumId w:val="7"/>
  </w:num>
  <w:num w:numId="12">
    <w:abstractNumId w:val="6"/>
  </w:num>
  <w:num w:numId="13">
    <w:abstractNumId w:val="4"/>
  </w:num>
  <w:num w:numId="14">
    <w:abstractNumId w:val="8"/>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3B5"/>
    <w:rsid w:val="000005E6"/>
    <w:rsid w:val="00002DF8"/>
    <w:rsid w:val="000037E0"/>
    <w:rsid w:val="0001325B"/>
    <w:rsid w:val="00014693"/>
    <w:rsid w:val="0002310F"/>
    <w:rsid w:val="00023D8C"/>
    <w:rsid w:val="0002465C"/>
    <w:rsid w:val="00025458"/>
    <w:rsid w:val="000273E2"/>
    <w:rsid w:val="00027F41"/>
    <w:rsid w:val="000303CD"/>
    <w:rsid w:val="00033120"/>
    <w:rsid w:val="00037287"/>
    <w:rsid w:val="000406D9"/>
    <w:rsid w:val="00041849"/>
    <w:rsid w:val="00043635"/>
    <w:rsid w:val="00044ED6"/>
    <w:rsid w:val="000509B4"/>
    <w:rsid w:val="00053044"/>
    <w:rsid w:val="00053B5C"/>
    <w:rsid w:val="00062CF0"/>
    <w:rsid w:val="00063DB4"/>
    <w:rsid w:val="00073455"/>
    <w:rsid w:val="000760FC"/>
    <w:rsid w:val="00080E55"/>
    <w:rsid w:val="000815F8"/>
    <w:rsid w:val="00083742"/>
    <w:rsid w:val="00085893"/>
    <w:rsid w:val="00086292"/>
    <w:rsid w:val="00095282"/>
    <w:rsid w:val="000A2CFC"/>
    <w:rsid w:val="000A724B"/>
    <w:rsid w:val="000B0864"/>
    <w:rsid w:val="000C56D2"/>
    <w:rsid w:val="000C660F"/>
    <w:rsid w:val="000D0324"/>
    <w:rsid w:val="000D433D"/>
    <w:rsid w:val="000D7514"/>
    <w:rsid w:val="000E0D34"/>
    <w:rsid w:val="000E27A5"/>
    <w:rsid w:val="000E2CD2"/>
    <w:rsid w:val="000E3336"/>
    <w:rsid w:val="000E58AF"/>
    <w:rsid w:val="000E7197"/>
    <w:rsid w:val="000F1AE2"/>
    <w:rsid w:val="000F4E62"/>
    <w:rsid w:val="00102794"/>
    <w:rsid w:val="0010331C"/>
    <w:rsid w:val="00104EC7"/>
    <w:rsid w:val="00106A9B"/>
    <w:rsid w:val="0011526C"/>
    <w:rsid w:val="00116FAA"/>
    <w:rsid w:val="00121A08"/>
    <w:rsid w:val="00123A71"/>
    <w:rsid w:val="00123CEE"/>
    <w:rsid w:val="00145F00"/>
    <w:rsid w:val="00147297"/>
    <w:rsid w:val="00153C8E"/>
    <w:rsid w:val="00154F99"/>
    <w:rsid w:val="00155598"/>
    <w:rsid w:val="00155C9E"/>
    <w:rsid w:val="00161199"/>
    <w:rsid w:val="001650A5"/>
    <w:rsid w:val="00170455"/>
    <w:rsid w:val="00175196"/>
    <w:rsid w:val="00181C9E"/>
    <w:rsid w:val="00184E32"/>
    <w:rsid w:val="00193F94"/>
    <w:rsid w:val="00195D06"/>
    <w:rsid w:val="001A32B6"/>
    <w:rsid w:val="001A6AC4"/>
    <w:rsid w:val="001B095D"/>
    <w:rsid w:val="001B218F"/>
    <w:rsid w:val="001B47F6"/>
    <w:rsid w:val="001B77CC"/>
    <w:rsid w:val="001B7D03"/>
    <w:rsid w:val="001B7E8C"/>
    <w:rsid w:val="001C00C9"/>
    <w:rsid w:val="001C4A12"/>
    <w:rsid w:val="001C53D5"/>
    <w:rsid w:val="001D061D"/>
    <w:rsid w:val="001E580E"/>
    <w:rsid w:val="001E7CF0"/>
    <w:rsid w:val="001F0319"/>
    <w:rsid w:val="001F13C0"/>
    <w:rsid w:val="001F1AA7"/>
    <w:rsid w:val="001F269F"/>
    <w:rsid w:val="001F57E8"/>
    <w:rsid w:val="001F687D"/>
    <w:rsid w:val="00202569"/>
    <w:rsid w:val="00206199"/>
    <w:rsid w:val="0021118B"/>
    <w:rsid w:val="00211A96"/>
    <w:rsid w:val="0021281D"/>
    <w:rsid w:val="00215B92"/>
    <w:rsid w:val="0021728B"/>
    <w:rsid w:val="00217E69"/>
    <w:rsid w:val="00223302"/>
    <w:rsid w:val="00224454"/>
    <w:rsid w:val="00226A53"/>
    <w:rsid w:val="00232A8D"/>
    <w:rsid w:val="00234761"/>
    <w:rsid w:val="00234F8F"/>
    <w:rsid w:val="00235BC0"/>
    <w:rsid w:val="002369E5"/>
    <w:rsid w:val="00237D9A"/>
    <w:rsid w:val="00240B60"/>
    <w:rsid w:val="002419C2"/>
    <w:rsid w:val="00245EE8"/>
    <w:rsid w:val="00254F41"/>
    <w:rsid w:val="00255845"/>
    <w:rsid w:val="0025691E"/>
    <w:rsid w:val="00261BD5"/>
    <w:rsid w:val="00263BBE"/>
    <w:rsid w:val="00266CA0"/>
    <w:rsid w:val="002703A3"/>
    <w:rsid w:val="00277FD9"/>
    <w:rsid w:val="00280175"/>
    <w:rsid w:val="00290A48"/>
    <w:rsid w:val="0029156E"/>
    <w:rsid w:val="002922AA"/>
    <w:rsid w:val="002925E1"/>
    <w:rsid w:val="00293EEF"/>
    <w:rsid w:val="00294082"/>
    <w:rsid w:val="002A22B6"/>
    <w:rsid w:val="002A4B31"/>
    <w:rsid w:val="002A6ACA"/>
    <w:rsid w:val="002C1557"/>
    <w:rsid w:val="002C2505"/>
    <w:rsid w:val="002C6EEF"/>
    <w:rsid w:val="002D03B5"/>
    <w:rsid w:val="002E1284"/>
    <w:rsid w:val="002E479E"/>
    <w:rsid w:val="002E4A0E"/>
    <w:rsid w:val="002E780C"/>
    <w:rsid w:val="002F17FE"/>
    <w:rsid w:val="002F2381"/>
    <w:rsid w:val="003150F6"/>
    <w:rsid w:val="0031601F"/>
    <w:rsid w:val="003168FA"/>
    <w:rsid w:val="00321619"/>
    <w:rsid w:val="00322B07"/>
    <w:rsid w:val="0032748E"/>
    <w:rsid w:val="00333CB3"/>
    <w:rsid w:val="00336FE2"/>
    <w:rsid w:val="00337FD3"/>
    <w:rsid w:val="00340C61"/>
    <w:rsid w:val="003432C4"/>
    <w:rsid w:val="003464E3"/>
    <w:rsid w:val="003472A3"/>
    <w:rsid w:val="00353127"/>
    <w:rsid w:val="00355674"/>
    <w:rsid w:val="00356243"/>
    <w:rsid w:val="00356575"/>
    <w:rsid w:val="00365C63"/>
    <w:rsid w:val="003670A6"/>
    <w:rsid w:val="003672C7"/>
    <w:rsid w:val="0036738A"/>
    <w:rsid w:val="00372204"/>
    <w:rsid w:val="0038232D"/>
    <w:rsid w:val="003844BE"/>
    <w:rsid w:val="003847ED"/>
    <w:rsid w:val="003852F4"/>
    <w:rsid w:val="003861A5"/>
    <w:rsid w:val="00387717"/>
    <w:rsid w:val="0039667E"/>
    <w:rsid w:val="00396D25"/>
    <w:rsid w:val="00397C5C"/>
    <w:rsid w:val="003B3147"/>
    <w:rsid w:val="003B689C"/>
    <w:rsid w:val="003C64F4"/>
    <w:rsid w:val="003D2229"/>
    <w:rsid w:val="003D34AE"/>
    <w:rsid w:val="003D519F"/>
    <w:rsid w:val="003D52B7"/>
    <w:rsid w:val="003D6859"/>
    <w:rsid w:val="003E27DD"/>
    <w:rsid w:val="003E3A9D"/>
    <w:rsid w:val="003E45F8"/>
    <w:rsid w:val="003E63A7"/>
    <w:rsid w:val="003F016E"/>
    <w:rsid w:val="003F0536"/>
    <w:rsid w:val="003F0B86"/>
    <w:rsid w:val="003F15A8"/>
    <w:rsid w:val="003F1D2E"/>
    <w:rsid w:val="003F3B35"/>
    <w:rsid w:val="00403DA4"/>
    <w:rsid w:val="00406E85"/>
    <w:rsid w:val="00412A22"/>
    <w:rsid w:val="0041750B"/>
    <w:rsid w:val="00423FD0"/>
    <w:rsid w:val="004243C9"/>
    <w:rsid w:val="0042487A"/>
    <w:rsid w:val="00425E38"/>
    <w:rsid w:val="00431D86"/>
    <w:rsid w:val="00432BD5"/>
    <w:rsid w:val="00436470"/>
    <w:rsid w:val="00440A75"/>
    <w:rsid w:val="004419C3"/>
    <w:rsid w:val="00445C30"/>
    <w:rsid w:val="004511C9"/>
    <w:rsid w:val="00452606"/>
    <w:rsid w:val="00465077"/>
    <w:rsid w:val="004757B0"/>
    <w:rsid w:val="0048320F"/>
    <w:rsid w:val="0048464A"/>
    <w:rsid w:val="0048690B"/>
    <w:rsid w:val="00490ED8"/>
    <w:rsid w:val="00490F25"/>
    <w:rsid w:val="00492385"/>
    <w:rsid w:val="004950F7"/>
    <w:rsid w:val="004971A6"/>
    <w:rsid w:val="004A30D4"/>
    <w:rsid w:val="004A5C04"/>
    <w:rsid w:val="004B36EA"/>
    <w:rsid w:val="004B52F4"/>
    <w:rsid w:val="004C6433"/>
    <w:rsid w:val="004D4A38"/>
    <w:rsid w:val="004D5179"/>
    <w:rsid w:val="004D58DA"/>
    <w:rsid w:val="004D6174"/>
    <w:rsid w:val="004E17C7"/>
    <w:rsid w:val="004E7023"/>
    <w:rsid w:val="004E7663"/>
    <w:rsid w:val="004F34EC"/>
    <w:rsid w:val="004F6750"/>
    <w:rsid w:val="00500859"/>
    <w:rsid w:val="00510871"/>
    <w:rsid w:val="00514D26"/>
    <w:rsid w:val="00514FC9"/>
    <w:rsid w:val="0051588E"/>
    <w:rsid w:val="00523DD2"/>
    <w:rsid w:val="00534E92"/>
    <w:rsid w:val="00537B12"/>
    <w:rsid w:val="00537DF0"/>
    <w:rsid w:val="00553CE6"/>
    <w:rsid w:val="005646BE"/>
    <w:rsid w:val="00567ACF"/>
    <w:rsid w:val="00572E3B"/>
    <w:rsid w:val="00574E76"/>
    <w:rsid w:val="00575BB0"/>
    <w:rsid w:val="00585184"/>
    <w:rsid w:val="00587908"/>
    <w:rsid w:val="00592C48"/>
    <w:rsid w:val="00592F2A"/>
    <w:rsid w:val="00593C73"/>
    <w:rsid w:val="005A283E"/>
    <w:rsid w:val="005A5F62"/>
    <w:rsid w:val="005A6A53"/>
    <w:rsid w:val="005A7283"/>
    <w:rsid w:val="005B3986"/>
    <w:rsid w:val="005B5B8E"/>
    <w:rsid w:val="005D1F9E"/>
    <w:rsid w:val="005D375B"/>
    <w:rsid w:val="005D5AEC"/>
    <w:rsid w:val="005E0220"/>
    <w:rsid w:val="005E0DB5"/>
    <w:rsid w:val="005E10D0"/>
    <w:rsid w:val="005E52E2"/>
    <w:rsid w:val="005F647A"/>
    <w:rsid w:val="006006F5"/>
    <w:rsid w:val="0061086D"/>
    <w:rsid w:val="006112E4"/>
    <w:rsid w:val="00611683"/>
    <w:rsid w:val="00611D47"/>
    <w:rsid w:val="00612601"/>
    <w:rsid w:val="00617823"/>
    <w:rsid w:val="00622583"/>
    <w:rsid w:val="00622A56"/>
    <w:rsid w:val="006325F4"/>
    <w:rsid w:val="00633F3E"/>
    <w:rsid w:val="00634EA4"/>
    <w:rsid w:val="00635226"/>
    <w:rsid w:val="00636AF9"/>
    <w:rsid w:val="00641ADE"/>
    <w:rsid w:val="006462C4"/>
    <w:rsid w:val="00650DC1"/>
    <w:rsid w:val="00653C84"/>
    <w:rsid w:val="0066230E"/>
    <w:rsid w:val="006635C5"/>
    <w:rsid w:val="006648B2"/>
    <w:rsid w:val="006649CD"/>
    <w:rsid w:val="0066733B"/>
    <w:rsid w:val="00676287"/>
    <w:rsid w:val="00676F17"/>
    <w:rsid w:val="00677215"/>
    <w:rsid w:val="006808D1"/>
    <w:rsid w:val="00683D6E"/>
    <w:rsid w:val="00691825"/>
    <w:rsid w:val="00691EC8"/>
    <w:rsid w:val="00692C22"/>
    <w:rsid w:val="006A31D7"/>
    <w:rsid w:val="006A5463"/>
    <w:rsid w:val="006A714F"/>
    <w:rsid w:val="006B3F74"/>
    <w:rsid w:val="006B6AB0"/>
    <w:rsid w:val="006B6FBF"/>
    <w:rsid w:val="006C09C5"/>
    <w:rsid w:val="006C171E"/>
    <w:rsid w:val="006C3A49"/>
    <w:rsid w:val="006C5CE8"/>
    <w:rsid w:val="006C7AA3"/>
    <w:rsid w:val="006D0EC2"/>
    <w:rsid w:val="006D1100"/>
    <w:rsid w:val="006D5E9F"/>
    <w:rsid w:val="006D6022"/>
    <w:rsid w:val="006E22D7"/>
    <w:rsid w:val="006E2C55"/>
    <w:rsid w:val="006F0D5B"/>
    <w:rsid w:val="006F5A95"/>
    <w:rsid w:val="006F6B9E"/>
    <w:rsid w:val="006F7730"/>
    <w:rsid w:val="0070061C"/>
    <w:rsid w:val="00700AD6"/>
    <w:rsid w:val="00700E6D"/>
    <w:rsid w:val="007017BD"/>
    <w:rsid w:val="007041BF"/>
    <w:rsid w:val="007124B0"/>
    <w:rsid w:val="0071334E"/>
    <w:rsid w:val="00713D1B"/>
    <w:rsid w:val="0071674D"/>
    <w:rsid w:val="007171A8"/>
    <w:rsid w:val="00720232"/>
    <w:rsid w:val="0072039E"/>
    <w:rsid w:val="00720CCD"/>
    <w:rsid w:val="00723E9E"/>
    <w:rsid w:val="00726BA2"/>
    <w:rsid w:val="00730334"/>
    <w:rsid w:val="007305F9"/>
    <w:rsid w:val="00732964"/>
    <w:rsid w:val="00735599"/>
    <w:rsid w:val="007362AE"/>
    <w:rsid w:val="007413D2"/>
    <w:rsid w:val="00743531"/>
    <w:rsid w:val="0074506C"/>
    <w:rsid w:val="00746FE5"/>
    <w:rsid w:val="00753539"/>
    <w:rsid w:val="00756861"/>
    <w:rsid w:val="00766E7F"/>
    <w:rsid w:val="00767523"/>
    <w:rsid w:val="0077261A"/>
    <w:rsid w:val="00774973"/>
    <w:rsid w:val="00775C48"/>
    <w:rsid w:val="007779C3"/>
    <w:rsid w:val="00782C3C"/>
    <w:rsid w:val="007863BB"/>
    <w:rsid w:val="0078703D"/>
    <w:rsid w:val="00790A0B"/>
    <w:rsid w:val="0079337C"/>
    <w:rsid w:val="00795F8F"/>
    <w:rsid w:val="00796A35"/>
    <w:rsid w:val="007A129A"/>
    <w:rsid w:val="007A567D"/>
    <w:rsid w:val="007A77D8"/>
    <w:rsid w:val="007A7964"/>
    <w:rsid w:val="007B3E08"/>
    <w:rsid w:val="007B6E9F"/>
    <w:rsid w:val="007D1613"/>
    <w:rsid w:val="007D56EE"/>
    <w:rsid w:val="007D5DF1"/>
    <w:rsid w:val="007E016C"/>
    <w:rsid w:val="007E5C6D"/>
    <w:rsid w:val="007E75F4"/>
    <w:rsid w:val="007E7FF5"/>
    <w:rsid w:val="00804BC0"/>
    <w:rsid w:val="00813276"/>
    <w:rsid w:val="00813A32"/>
    <w:rsid w:val="008145F5"/>
    <w:rsid w:val="00814A53"/>
    <w:rsid w:val="00821292"/>
    <w:rsid w:val="00821552"/>
    <w:rsid w:val="00824D2F"/>
    <w:rsid w:val="0082726C"/>
    <w:rsid w:val="00827E85"/>
    <w:rsid w:val="00833053"/>
    <w:rsid w:val="00833BA2"/>
    <w:rsid w:val="008340D7"/>
    <w:rsid w:val="00835F05"/>
    <w:rsid w:val="0083682B"/>
    <w:rsid w:val="00853144"/>
    <w:rsid w:val="00853DA8"/>
    <w:rsid w:val="008548B3"/>
    <w:rsid w:val="00855F88"/>
    <w:rsid w:val="00857813"/>
    <w:rsid w:val="008608C8"/>
    <w:rsid w:val="008634BB"/>
    <w:rsid w:val="0087049D"/>
    <w:rsid w:val="008769BB"/>
    <w:rsid w:val="0088000D"/>
    <w:rsid w:val="00880460"/>
    <w:rsid w:val="00882E7F"/>
    <w:rsid w:val="008918C2"/>
    <w:rsid w:val="008A1C60"/>
    <w:rsid w:val="008A49CB"/>
    <w:rsid w:val="008A4E47"/>
    <w:rsid w:val="008B37F0"/>
    <w:rsid w:val="008B433F"/>
    <w:rsid w:val="008C0617"/>
    <w:rsid w:val="008C3601"/>
    <w:rsid w:val="008C72EB"/>
    <w:rsid w:val="008D0834"/>
    <w:rsid w:val="008D7CBC"/>
    <w:rsid w:val="008E0E36"/>
    <w:rsid w:val="008E1910"/>
    <w:rsid w:val="008E195C"/>
    <w:rsid w:val="008E19F3"/>
    <w:rsid w:val="008E3379"/>
    <w:rsid w:val="008E7E15"/>
    <w:rsid w:val="009037A7"/>
    <w:rsid w:val="009042AF"/>
    <w:rsid w:val="009116BE"/>
    <w:rsid w:val="0091230A"/>
    <w:rsid w:val="0091474E"/>
    <w:rsid w:val="00916029"/>
    <w:rsid w:val="009220D3"/>
    <w:rsid w:val="009223C2"/>
    <w:rsid w:val="009253CE"/>
    <w:rsid w:val="00932A50"/>
    <w:rsid w:val="00934F7F"/>
    <w:rsid w:val="00936176"/>
    <w:rsid w:val="0094031E"/>
    <w:rsid w:val="00942F74"/>
    <w:rsid w:val="00945AA9"/>
    <w:rsid w:val="00952DD5"/>
    <w:rsid w:val="00961F70"/>
    <w:rsid w:val="00962C91"/>
    <w:rsid w:val="00965E45"/>
    <w:rsid w:val="009660BE"/>
    <w:rsid w:val="00966232"/>
    <w:rsid w:val="009672B3"/>
    <w:rsid w:val="009675D0"/>
    <w:rsid w:val="00967D71"/>
    <w:rsid w:val="0097129D"/>
    <w:rsid w:val="009724DC"/>
    <w:rsid w:val="009778B6"/>
    <w:rsid w:val="00981F5B"/>
    <w:rsid w:val="0098219D"/>
    <w:rsid w:val="00983EEC"/>
    <w:rsid w:val="0098406D"/>
    <w:rsid w:val="009853B2"/>
    <w:rsid w:val="00985F1A"/>
    <w:rsid w:val="00986789"/>
    <w:rsid w:val="00992516"/>
    <w:rsid w:val="00993812"/>
    <w:rsid w:val="009A03F7"/>
    <w:rsid w:val="009A724D"/>
    <w:rsid w:val="009A7B4F"/>
    <w:rsid w:val="009B4AE6"/>
    <w:rsid w:val="009B7A97"/>
    <w:rsid w:val="009C1585"/>
    <w:rsid w:val="009C16D6"/>
    <w:rsid w:val="009C3123"/>
    <w:rsid w:val="009C6D21"/>
    <w:rsid w:val="009D3C03"/>
    <w:rsid w:val="009D3CA2"/>
    <w:rsid w:val="009D69B6"/>
    <w:rsid w:val="009E2390"/>
    <w:rsid w:val="009E3A42"/>
    <w:rsid w:val="009E46CE"/>
    <w:rsid w:val="009E5B36"/>
    <w:rsid w:val="009F59DC"/>
    <w:rsid w:val="009F7136"/>
    <w:rsid w:val="00A04CCE"/>
    <w:rsid w:val="00A07DF5"/>
    <w:rsid w:val="00A100FA"/>
    <w:rsid w:val="00A1712E"/>
    <w:rsid w:val="00A25832"/>
    <w:rsid w:val="00A304F3"/>
    <w:rsid w:val="00A31792"/>
    <w:rsid w:val="00A317BC"/>
    <w:rsid w:val="00A36ED4"/>
    <w:rsid w:val="00A51F8C"/>
    <w:rsid w:val="00A56645"/>
    <w:rsid w:val="00A6106C"/>
    <w:rsid w:val="00A619A4"/>
    <w:rsid w:val="00A62236"/>
    <w:rsid w:val="00A661CB"/>
    <w:rsid w:val="00A7334A"/>
    <w:rsid w:val="00A73CF0"/>
    <w:rsid w:val="00A772FB"/>
    <w:rsid w:val="00A83233"/>
    <w:rsid w:val="00A94053"/>
    <w:rsid w:val="00A9500A"/>
    <w:rsid w:val="00A97723"/>
    <w:rsid w:val="00AA31C5"/>
    <w:rsid w:val="00AB144B"/>
    <w:rsid w:val="00AB5477"/>
    <w:rsid w:val="00AB638A"/>
    <w:rsid w:val="00AB74F2"/>
    <w:rsid w:val="00AC130A"/>
    <w:rsid w:val="00AC3ED5"/>
    <w:rsid w:val="00AC6349"/>
    <w:rsid w:val="00AD058C"/>
    <w:rsid w:val="00AD1B81"/>
    <w:rsid w:val="00AD3898"/>
    <w:rsid w:val="00AD6815"/>
    <w:rsid w:val="00AE0272"/>
    <w:rsid w:val="00AE157F"/>
    <w:rsid w:val="00AE1880"/>
    <w:rsid w:val="00AE1A1E"/>
    <w:rsid w:val="00AE2D59"/>
    <w:rsid w:val="00AE3C90"/>
    <w:rsid w:val="00AE4CC9"/>
    <w:rsid w:val="00AF517B"/>
    <w:rsid w:val="00B007A3"/>
    <w:rsid w:val="00B030E4"/>
    <w:rsid w:val="00B037E8"/>
    <w:rsid w:val="00B03E94"/>
    <w:rsid w:val="00B054A1"/>
    <w:rsid w:val="00B076F1"/>
    <w:rsid w:val="00B12F9B"/>
    <w:rsid w:val="00B146E2"/>
    <w:rsid w:val="00B231D0"/>
    <w:rsid w:val="00B24316"/>
    <w:rsid w:val="00B243D3"/>
    <w:rsid w:val="00B244C8"/>
    <w:rsid w:val="00B336E0"/>
    <w:rsid w:val="00B37620"/>
    <w:rsid w:val="00B45E23"/>
    <w:rsid w:val="00B50858"/>
    <w:rsid w:val="00B51616"/>
    <w:rsid w:val="00B52288"/>
    <w:rsid w:val="00B53012"/>
    <w:rsid w:val="00B539C5"/>
    <w:rsid w:val="00B54CE7"/>
    <w:rsid w:val="00B60165"/>
    <w:rsid w:val="00B60ED1"/>
    <w:rsid w:val="00B64973"/>
    <w:rsid w:val="00B73885"/>
    <w:rsid w:val="00B77EA8"/>
    <w:rsid w:val="00B82139"/>
    <w:rsid w:val="00B83162"/>
    <w:rsid w:val="00B84E00"/>
    <w:rsid w:val="00B8560C"/>
    <w:rsid w:val="00B906F9"/>
    <w:rsid w:val="00B92D16"/>
    <w:rsid w:val="00B93464"/>
    <w:rsid w:val="00B94A6A"/>
    <w:rsid w:val="00B95D2B"/>
    <w:rsid w:val="00B96DE0"/>
    <w:rsid w:val="00BA64F4"/>
    <w:rsid w:val="00BB1B41"/>
    <w:rsid w:val="00BB412F"/>
    <w:rsid w:val="00BB4178"/>
    <w:rsid w:val="00BB5D3F"/>
    <w:rsid w:val="00BB7E79"/>
    <w:rsid w:val="00BC0F37"/>
    <w:rsid w:val="00BC7C55"/>
    <w:rsid w:val="00BD0E58"/>
    <w:rsid w:val="00BD55DB"/>
    <w:rsid w:val="00BD6D47"/>
    <w:rsid w:val="00BE0292"/>
    <w:rsid w:val="00BE0698"/>
    <w:rsid w:val="00BE52F2"/>
    <w:rsid w:val="00BE6822"/>
    <w:rsid w:val="00BE72C4"/>
    <w:rsid w:val="00BF56D6"/>
    <w:rsid w:val="00C008CB"/>
    <w:rsid w:val="00C1451B"/>
    <w:rsid w:val="00C14644"/>
    <w:rsid w:val="00C14A2A"/>
    <w:rsid w:val="00C249AF"/>
    <w:rsid w:val="00C269A2"/>
    <w:rsid w:val="00C3295E"/>
    <w:rsid w:val="00C34164"/>
    <w:rsid w:val="00C3444A"/>
    <w:rsid w:val="00C34B5E"/>
    <w:rsid w:val="00C3656D"/>
    <w:rsid w:val="00C44853"/>
    <w:rsid w:val="00C52499"/>
    <w:rsid w:val="00C530B6"/>
    <w:rsid w:val="00C5339D"/>
    <w:rsid w:val="00C5432D"/>
    <w:rsid w:val="00C54EFC"/>
    <w:rsid w:val="00C6107C"/>
    <w:rsid w:val="00C6209B"/>
    <w:rsid w:val="00C66642"/>
    <w:rsid w:val="00C6707B"/>
    <w:rsid w:val="00C6751D"/>
    <w:rsid w:val="00C75C72"/>
    <w:rsid w:val="00C777C2"/>
    <w:rsid w:val="00C8024D"/>
    <w:rsid w:val="00C820AC"/>
    <w:rsid w:val="00C83581"/>
    <w:rsid w:val="00C84251"/>
    <w:rsid w:val="00C875DE"/>
    <w:rsid w:val="00C9102B"/>
    <w:rsid w:val="00CA6071"/>
    <w:rsid w:val="00CB16A8"/>
    <w:rsid w:val="00CB2661"/>
    <w:rsid w:val="00CB66D3"/>
    <w:rsid w:val="00CD26E9"/>
    <w:rsid w:val="00CD3F5B"/>
    <w:rsid w:val="00CD4533"/>
    <w:rsid w:val="00CE7C86"/>
    <w:rsid w:val="00CE7CDB"/>
    <w:rsid w:val="00CF1D55"/>
    <w:rsid w:val="00CF30DF"/>
    <w:rsid w:val="00CF379E"/>
    <w:rsid w:val="00CF5637"/>
    <w:rsid w:val="00CF6C6D"/>
    <w:rsid w:val="00CF7AA5"/>
    <w:rsid w:val="00D072FF"/>
    <w:rsid w:val="00D10C04"/>
    <w:rsid w:val="00D13433"/>
    <w:rsid w:val="00D1359B"/>
    <w:rsid w:val="00D205AB"/>
    <w:rsid w:val="00D22765"/>
    <w:rsid w:val="00D248B1"/>
    <w:rsid w:val="00D26D1B"/>
    <w:rsid w:val="00D32067"/>
    <w:rsid w:val="00D320BA"/>
    <w:rsid w:val="00D3625A"/>
    <w:rsid w:val="00D36530"/>
    <w:rsid w:val="00D40EA1"/>
    <w:rsid w:val="00D43C10"/>
    <w:rsid w:val="00D45AD1"/>
    <w:rsid w:val="00D45B3C"/>
    <w:rsid w:val="00D53A93"/>
    <w:rsid w:val="00D56C35"/>
    <w:rsid w:val="00D6094B"/>
    <w:rsid w:val="00D645EC"/>
    <w:rsid w:val="00D64855"/>
    <w:rsid w:val="00D65B1A"/>
    <w:rsid w:val="00D74192"/>
    <w:rsid w:val="00D74855"/>
    <w:rsid w:val="00D74F78"/>
    <w:rsid w:val="00D76D13"/>
    <w:rsid w:val="00D80EBF"/>
    <w:rsid w:val="00D83FDA"/>
    <w:rsid w:val="00D9187D"/>
    <w:rsid w:val="00D92C59"/>
    <w:rsid w:val="00D957E4"/>
    <w:rsid w:val="00D96164"/>
    <w:rsid w:val="00DA06FF"/>
    <w:rsid w:val="00DA0ADA"/>
    <w:rsid w:val="00DA2AE5"/>
    <w:rsid w:val="00DA7209"/>
    <w:rsid w:val="00DA77CD"/>
    <w:rsid w:val="00DB1CB1"/>
    <w:rsid w:val="00DB1D4C"/>
    <w:rsid w:val="00DB435A"/>
    <w:rsid w:val="00DB4B3D"/>
    <w:rsid w:val="00DB5136"/>
    <w:rsid w:val="00DB557C"/>
    <w:rsid w:val="00DC08C8"/>
    <w:rsid w:val="00DC3CD2"/>
    <w:rsid w:val="00DD3831"/>
    <w:rsid w:val="00DD6212"/>
    <w:rsid w:val="00DD6306"/>
    <w:rsid w:val="00DD7C3C"/>
    <w:rsid w:val="00DE2372"/>
    <w:rsid w:val="00DE2DD7"/>
    <w:rsid w:val="00DE5606"/>
    <w:rsid w:val="00DE5DE8"/>
    <w:rsid w:val="00DE70D7"/>
    <w:rsid w:val="00DE7A0A"/>
    <w:rsid w:val="00DF0385"/>
    <w:rsid w:val="00DF0B36"/>
    <w:rsid w:val="00DF63FE"/>
    <w:rsid w:val="00DF7F8A"/>
    <w:rsid w:val="00E030E5"/>
    <w:rsid w:val="00E07DC4"/>
    <w:rsid w:val="00E10C52"/>
    <w:rsid w:val="00E20EEB"/>
    <w:rsid w:val="00E25A0D"/>
    <w:rsid w:val="00E27501"/>
    <w:rsid w:val="00E3073A"/>
    <w:rsid w:val="00E33455"/>
    <w:rsid w:val="00E41492"/>
    <w:rsid w:val="00E444CF"/>
    <w:rsid w:val="00E4737B"/>
    <w:rsid w:val="00E51C50"/>
    <w:rsid w:val="00E6021C"/>
    <w:rsid w:val="00E60FB2"/>
    <w:rsid w:val="00E6246C"/>
    <w:rsid w:val="00E657F5"/>
    <w:rsid w:val="00E673A0"/>
    <w:rsid w:val="00E76056"/>
    <w:rsid w:val="00E80A58"/>
    <w:rsid w:val="00E81F02"/>
    <w:rsid w:val="00E83FA0"/>
    <w:rsid w:val="00E87670"/>
    <w:rsid w:val="00E900E0"/>
    <w:rsid w:val="00E92F23"/>
    <w:rsid w:val="00E93A43"/>
    <w:rsid w:val="00E9753F"/>
    <w:rsid w:val="00EA4C21"/>
    <w:rsid w:val="00EA4F02"/>
    <w:rsid w:val="00EA76A1"/>
    <w:rsid w:val="00EB244E"/>
    <w:rsid w:val="00EB25BC"/>
    <w:rsid w:val="00EB25F9"/>
    <w:rsid w:val="00EB630D"/>
    <w:rsid w:val="00EC1320"/>
    <w:rsid w:val="00EC27DD"/>
    <w:rsid w:val="00EC6F70"/>
    <w:rsid w:val="00ED13C5"/>
    <w:rsid w:val="00ED586C"/>
    <w:rsid w:val="00EE048C"/>
    <w:rsid w:val="00EF37DF"/>
    <w:rsid w:val="00EF47BC"/>
    <w:rsid w:val="00EF6671"/>
    <w:rsid w:val="00EF6BE8"/>
    <w:rsid w:val="00EF7848"/>
    <w:rsid w:val="00F03763"/>
    <w:rsid w:val="00F06657"/>
    <w:rsid w:val="00F06E83"/>
    <w:rsid w:val="00F230F5"/>
    <w:rsid w:val="00F265EA"/>
    <w:rsid w:val="00F410B4"/>
    <w:rsid w:val="00F435E6"/>
    <w:rsid w:val="00F46E84"/>
    <w:rsid w:val="00F473B6"/>
    <w:rsid w:val="00F5213B"/>
    <w:rsid w:val="00F614BD"/>
    <w:rsid w:val="00F6625E"/>
    <w:rsid w:val="00F67BDB"/>
    <w:rsid w:val="00F73B2E"/>
    <w:rsid w:val="00F74210"/>
    <w:rsid w:val="00F753BB"/>
    <w:rsid w:val="00F8403A"/>
    <w:rsid w:val="00F84917"/>
    <w:rsid w:val="00F94930"/>
    <w:rsid w:val="00F953A2"/>
    <w:rsid w:val="00FA2D70"/>
    <w:rsid w:val="00FA339D"/>
    <w:rsid w:val="00FA3B06"/>
    <w:rsid w:val="00FB2570"/>
    <w:rsid w:val="00FB2BC0"/>
    <w:rsid w:val="00FB49A9"/>
    <w:rsid w:val="00FB5F80"/>
    <w:rsid w:val="00FC0BF8"/>
    <w:rsid w:val="00FC230C"/>
    <w:rsid w:val="00FC4F42"/>
    <w:rsid w:val="00FD3773"/>
    <w:rsid w:val="00FD5743"/>
    <w:rsid w:val="00FD6E4E"/>
    <w:rsid w:val="00FD7CA0"/>
    <w:rsid w:val="00FE39FC"/>
    <w:rsid w:val="00FE6C1A"/>
    <w:rsid w:val="00FF00CA"/>
    <w:rsid w:val="00FF16A5"/>
    <w:rsid w:val="00FF52E5"/>
    <w:rsid w:val="00FF6F13"/>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3F1D1"/>
  <w15:docId w15:val="{6084548B-4AE7-934B-A670-D9CEBAA4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3B5"/>
    <w:rPr>
      <w:lang w:val="en-GB" w:eastAsia="en-US"/>
    </w:rPr>
  </w:style>
  <w:style w:type="paragraph" w:styleId="Heading1">
    <w:name w:val="heading 1"/>
    <w:basedOn w:val="Normal"/>
    <w:next w:val="Normal"/>
    <w:link w:val="Heading1Char"/>
    <w:uiPriority w:val="9"/>
    <w:qFormat/>
    <w:rsid w:val="002D03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2D03B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2D03B5"/>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3B5"/>
    <w:rPr>
      <w:rFonts w:asciiTheme="majorHAnsi" w:eastAsiaTheme="majorEastAsia" w:hAnsiTheme="majorHAnsi" w:cstheme="majorBidi"/>
      <w:color w:val="2F5496" w:themeColor="accent1" w:themeShade="BF"/>
      <w:sz w:val="32"/>
      <w:szCs w:val="32"/>
      <w:lang w:val="en-GB" w:eastAsia="en-US"/>
    </w:rPr>
  </w:style>
  <w:style w:type="character" w:customStyle="1" w:styleId="Heading4Char">
    <w:name w:val="Heading 4 Char"/>
    <w:basedOn w:val="DefaultParagraphFont"/>
    <w:link w:val="Heading4"/>
    <w:uiPriority w:val="9"/>
    <w:semiHidden/>
    <w:rsid w:val="002D03B5"/>
    <w:rPr>
      <w:rFonts w:asciiTheme="majorHAnsi" w:eastAsiaTheme="majorEastAsia" w:hAnsiTheme="majorHAnsi" w:cstheme="majorBidi"/>
      <w:i/>
      <w:iCs/>
      <w:color w:val="2F5496" w:themeColor="accent1" w:themeShade="BF"/>
      <w:lang w:val="en-GB" w:eastAsia="en-US"/>
    </w:rPr>
  </w:style>
  <w:style w:type="character" w:customStyle="1" w:styleId="Heading6Char">
    <w:name w:val="Heading 6 Char"/>
    <w:basedOn w:val="DefaultParagraphFont"/>
    <w:link w:val="Heading6"/>
    <w:uiPriority w:val="9"/>
    <w:semiHidden/>
    <w:rsid w:val="002D03B5"/>
    <w:rPr>
      <w:rFonts w:asciiTheme="majorHAnsi" w:eastAsiaTheme="majorEastAsia" w:hAnsiTheme="majorHAnsi" w:cstheme="majorBidi"/>
      <w:i/>
      <w:iCs/>
      <w:color w:val="1F3763" w:themeColor="accent1" w:themeShade="7F"/>
      <w:lang w:val="en-GB" w:eastAsia="en-US"/>
    </w:rPr>
  </w:style>
  <w:style w:type="paragraph" w:styleId="Header">
    <w:name w:val="header"/>
    <w:basedOn w:val="Normal"/>
    <w:link w:val="HeaderChar"/>
    <w:uiPriority w:val="99"/>
    <w:unhideWhenUsed/>
    <w:rsid w:val="002D03B5"/>
    <w:pPr>
      <w:tabs>
        <w:tab w:val="center" w:pos="4320"/>
        <w:tab w:val="right" w:pos="8640"/>
      </w:tabs>
    </w:pPr>
  </w:style>
  <w:style w:type="character" w:customStyle="1" w:styleId="HeaderChar">
    <w:name w:val="Header Char"/>
    <w:basedOn w:val="DefaultParagraphFont"/>
    <w:link w:val="Header"/>
    <w:uiPriority w:val="99"/>
    <w:rsid w:val="002D03B5"/>
    <w:rPr>
      <w:lang w:val="en-GB" w:eastAsia="en-US"/>
    </w:rPr>
  </w:style>
  <w:style w:type="paragraph" w:styleId="Footer">
    <w:name w:val="footer"/>
    <w:basedOn w:val="Normal"/>
    <w:link w:val="FooterChar"/>
    <w:uiPriority w:val="99"/>
    <w:unhideWhenUsed/>
    <w:rsid w:val="002D03B5"/>
    <w:pPr>
      <w:tabs>
        <w:tab w:val="center" w:pos="4320"/>
        <w:tab w:val="right" w:pos="8640"/>
      </w:tabs>
    </w:pPr>
  </w:style>
  <w:style w:type="character" w:customStyle="1" w:styleId="FooterChar">
    <w:name w:val="Footer Char"/>
    <w:basedOn w:val="DefaultParagraphFont"/>
    <w:link w:val="Footer"/>
    <w:uiPriority w:val="99"/>
    <w:rsid w:val="002D03B5"/>
    <w:rPr>
      <w:lang w:val="en-GB" w:eastAsia="en-US"/>
    </w:rPr>
  </w:style>
  <w:style w:type="paragraph" w:styleId="BalloonText">
    <w:name w:val="Balloon Text"/>
    <w:basedOn w:val="Normal"/>
    <w:link w:val="BalloonTextChar"/>
    <w:uiPriority w:val="99"/>
    <w:semiHidden/>
    <w:unhideWhenUsed/>
    <w:rsid w:val="002D03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03B5"/>
    <w:rPr>
      <w:rFonts w:ascii="Lucida Grande" w:hAnsi="Lucida Grande" w:cs="Lucida Grande"/>
      <w:sz w:val="18"/>
      <w:szCs w:val="18"/>
      <w:lang w:val="en-GB" w:eastAsia="en-US"/>
    </w:rPr>
  </w:style>
  <w:style w:type="paragraph" w:customStyle="1" w:styleId="BasicParagraph">
    <w:name w:val="[Basic Paragraph]"/>
    <w:basedOn w:val="Normal"/>
    <w:uiPriority w:val="99"/>
    <w:rsid w:val="002D03B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2D03B5"/>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FA Fu, Char"/>
    <w:basedOn w:val="Normal"/>
    <w:link w:val="FootnoteTextChar"/>
    <w:uiPriority w:val="99"/>
    <w:unhideWhenUsed/>
    <w:rsid w:val="002D03B5"/>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FA Fu Char, Char Char"/>
    <w:basedOn w:val="DefaultParagraphFont"/>
    <w:link w:val="FootnoteText"/>
    <w:uiPriority w:val="99"/>
    <w:rsid w:val="002D03B5"/>
    <w:rPr>
      <w:lang w:val="en-GB" w:eastAsia="en-US"/>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D03B5"/>
    <w:rPr>
      <w:vertAlign w:val="superscript"/>
    </w:rPr>
  </w:style>
  <w:style w:type="character" w:styleId="PageNumber">
    <w:name w:val="page number"/>
    <w:basedOn w:val="DefaultParagraphFont"/>
    <w:uiPriority w:val="99"/>
    <w:semiHidden/>
    <w:unhideWhenUsed/>
    <w:rsid w:val="002D03B5"/>
  </w:style>
  <w:style w:type="paragraph" w:customStyle="1" w:styleId="Default">
    <w:name w:val="Default"/>
    <w:rsid w:val="002D03B5"/>
    <w:pPr>
      <w:widowControl w:val="0"/>
      <w:autoSpaceDE w:val="0"/>
      <w:autoSpaceDN w:val="0"/>
      <w:adjustRightInd w:val="0"/>
    </w:pPr>
    <w:rPr>
      <w:rFonts w:ascii="Verdana" w:hAnsi="Verdana" w:cs="Verdana"/>
      <w:color w:val="000000"/>
      <w:lang w:val="en-US" w:eastAsia="en-US"/>
    </w:rPr>
  </w:style>
  <w:style w:type="paragraph" w:styleId="NormalWeb">
    <w:name w:val="Normal (Web)"/>
    <w:basedOn w:val="Normal"/>
    <w:uiPriority w:val="99"/>
    <w:unhideWhenUsed/>
    <w:rsid w:val="002D03B5"/>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2D03B5"/>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2D03B5"/>
    <w:rPr>
      <w:color w:val="0563C1" w:themeColor="hyperlink"/>
      <w:u w:val="single"/>
    </w:rPr>
  </w:style>
  <w:style w:type="paragraph" w:styleId="ListParagraph">
    <w:name w:val="List Paragraph"/>
    <w:basedOn w:val="Normal"/>
    <w:uiPriority w:val="34"/>
    <w:qFormat/>
    <w:rsid w:val="002D03B5"/>
    <w:pPr>
      <w:spacing w:line="288" w:lineRule="auto"/>
      <w:ind w:left="720"/>
      <w:contextualSpacing/>
    </w:pPr>
    <w:rPr>
      <w:rFonts w:ascii="Verdana" w:hAnsi="Verdana"/>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2D03B5"/>
    <w:pPr>
      <w:spacing w:after="160" w:line="240" w:lineRule="exact"/>
      <w:jc w:val="both"/>
    </w:pPr>
    <w:rPr>
      <w:vertAlign w:val="superscript"/>
      <w:lang w:val="en-HK" w:eastAsia="zh-TW"/>
    </w:rPr>
  </w:style>
  <w:style w:type="character" w:styleId="CommentReference">
    <w:name w:val="annotation reference"/>
    <w:basedOn w:val="DefaultParagraphFont"/>
    <w:uiPriority w:val="99"/>
    <w:semiHidden/>
    <w:unhideWhenUsed/>
    <w:rsid w:val="002D03B5"/>
    <w:rPr>
      <w:sz w:val="16"/>
      <w:szCs w:val="16"/>
    </w:rPr>
  </w:style>
  <w:style w:type="paragraph" w:styleId="CommentText">
    <w:name w:val="annotation text"/>
    <w:basedOn w:val="Normal"/>
    <w:link w:val="CommentTextChar"/>
    <w:uiPriority w:val="99"/>
    <w:semiHidden/>
    <w:unhideWhenUsed/>
    <w:rsid w:val="002D03B5"/>
    <w:rPr>
      <w:sz w:val="20"/>
      <w:szCs w:val="20"/>
    </w:rPr>
  </w:style>
  <w:style w:type="character" w:customStyle="1" w:styleId="CommentTextChar">
    <w:name w:val="Comment Text Char"/>
    <w:basedOn w:val="DefaultParagraphFont"/>
    <w:link w:val="CommentText"/>
    <w:uiPriority w:val="99"/>
    <w:semiHidden/>
    <w:rsid w:val="002D03B5"/>
    <w:rPr>
      <w:sz w:val="20"/>
      <w:szCs w:val="20"/>
      <w:lang w:val="en-GB" w:eastAsia="en-US"/>
    </w:rPr>
  </w:style>
  <w:style w:type="paragraph" w:styleId="CommentSubject">
    <w:name w:val="annotation subject"/>
    <w:basedOn w:val="CommentText"/>
    <w:next w:val="CommentText"/>
    <w:link w:val="CommentSubjectChar"/>
    <w:uiPriority w:val="99"/>
    <w:semiHidden/>
    <w:unhideWhenUsed/>
    <w:rsid w:val="002D03B5"/>
    <w:rPr>
      <w:b/>
      <w:bCs/>
    </w:rPr>
  </w:style>
  <w:style w:type="character" w:customStyle="1" w:styleId="CommentSubjectChar">
    <w:name w:val="Comment Subject Char"/>
    <w:basedOn w:val="CommentTextChar"/>
    <w:link w:val="CommentSubject"/>
    <w:uiPriority w:val="99"/>
    <w:semiHidden/>
    <w:rsid w:val="002D03B5"/>
    <w:rPr>
      <w:b/>
      <w:bCs/>
      <w:sz w:val="20"/>
      <w:szCs w:val="20"/>
      <w:lang w:val="en-GB" w:eastAsia="en-US"/>
    </w:rPr>
  </w:style>
  <w:style w:type="character" w:styleId="Emphasis">
    <w:name w:val="Emphasis"/>
    <w:basedOn w:val="DefaultParagraphFont"/>
    <w:uiPriority w:val="20"/>
    <w:qFormat/>
    <w:rsid w:val="002D03B5"/>
    <w:rPr>
      <w:i/>
      <w:iCs/>
    </w:rPr>
  </w:style>
  <w:style w:type="character" w:customStyle="1" w:styleId="apple-converted-space">
    <w:name w:val="apple-converted-space"/>
    <w:basedOn w:val="DefaultParagraphFont"/>
    <w:rsid w:val="002D03B5"/>
  </w:style>
  <w:style w:type="paragraph" w:styleId="EndnoteText">
    <w:name w:val="endnote text"/>
    <w:basedOn w:val="Normal"/>
    <w:link w:val="EndnoteTextChar"/>
    <w:uiPriority w:val="99"/>
    <w:semiHidden/>
    <w:unhideWhenUsed/>
    <w:rsid w:val="002D03B5"/>
    <w:rPr>
      <w:sz w:val="20"/>
      <w:szCs w:val="20"/>
    </w:rPr>
  </w:style>
  <w:style w:type="character" w:customStyle="1" w:styleId="EndnoteTextChar">
    <w:name w:val="Endnote Text Char"/>
    <w:basedOn w:val="DefaultParagraphFont"/>
    <w:link w:val="EndnoteText"/>
    <w:uiPriority w:val="99"/>
    <w:semiHidden/>
    <w:rsid w:val="002D03B5"/>
    <w:rPr>
      <w:sz w:val="20"/>
      <w:szCs w:val="20"/>
      <w:lang w:val="en-GB" w:eastAsia="en-US"/>
    </w:rPr>
  </w:style>
  <w:style w:type="character" w:styleId="EndnoteReference">
    <w:name w:val="endnote reference"/>
    <w:basedOn w:val="DefaultParagraphFont"/>
    <w:uiPriority w:val="99"/>
    <w:semiHidden/>
    <w:unhideWhenUsed/>
    <w:rsid w:val="002D03B5"/>
    <w:rPr>
      <w:vertAlign w:val="superscript"/>
    </w:rPr>
  </w:style>
  <w:style w:type="character" w:customStyle="1" w:styleId="UnresolvedMention1">
    <w:name w:val="Unresolved Mention1"/>
    <w:basedOn w:val="DefaultParagraphFont"/>
    <w:uiPriority w:val="99"/>
    <w:semiHidden/>
    <w:unhideWhenUsed/>
    <w:rsid w:val="002D03B5"/>
    <w:rPr>
      <w:color w:val="605E5C"/>
      <w:shd w:val="clear" w:color="auto" w:fill="E1DFDD"/>
    </w:rPr>
  </w:style>
  <w:style w:type="character" w:styleId="FollowedHyperlink">
    <w:name w:val="FollowedHyperlink"/>
    <w:basedOn w:val="DefaultParagraphFont"/>
    <w:uiPriority w:val="99"/>
    <w:semiHidden/>
    <w:unhideWhenUsed/>
    <w:rsid w:val="00F06657"/>
    <w:rPr>
      <w:color w:val="954F72" w:themeColor="followedHyperlink"/>
      <w:u w:val="single"/>
    </w:rPr>
  </w:style>
  <w:style w:type="character" w:customStyle="1" w:styleId="sb8d990e2">
    <w:name w:val="sb8d990e2"/>
    <w:basedOn w:val="DefaultParagraphFont"/>
    <w:rsid w:val="005A5F62"/>
  </w:style>
  <w:style w:type="character" w:customStyle="1" w:styleId="s6b621b36">
    <w:name w:val="s6b621b36"/>
    <w:basedOn w:val="DefaultParagraphFont"/>
    <w:rsid w:val="005A5F62"/>
  </w:style>
  <w:style w:type="character" w:customStyle="1" w:styleId="UnresolvedMention2">
    <w:name w:val="Unresolved Mention2"/>
    <w:basedOn w:val="DefaultParagraphFont"/>
    <w:uiPriority w:val="99"/>
    <w:semiHidden/>
    <w:unhideWhenUsed/>
    <w:rsid w:val="00403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9642">
      <w:bodyDiv w:val="1"/>
      <w:marLeft w:val="0"/>
      <w:marRight w:val="0"/>
      <w:marTop w:val="0"/>
      <w:marBottom w:val="0"/>
      <w:divBdr>
        <w:top w:val="none" w:sz="0" w:space="0" w:color="auto"/>
        <w:left w:val="none" w:sz="0" w:space="0" w:color="auto"/>
        <w:bottom w:val="none" w:sz="0" w:space="0" w:color="auto"/>
        <w:right w:val="none" w:sz="0" w:space="0" w:color="auto"/>
      </w:divBdr>
      <w:divsChild>
        <w:div w:id="1781029681">
          <w:marLeft w:val="0"/>
          <w:marRight w:val="0"/>
          <w:marTop w:val="0"/>
          <w:marBottom w:val="0"/>
          <w:divBdr>
            <w:top w:val="none" w:sz="0" w:space="0" w:color="auto"/>
            <w:left w:val="none" w:sz="0" w:space="0" w:color="auto"/>
            <w:bottom w:val="none" w:sz="0" w:space="0" w:color="auto"/>
            <w:right w:val="none" w:sz="0" w:space="0" w:color="auto"/>
          </w:divBdr>
          <w:divsChild>
            <w:div w:id="1932808357">
              <w:marLeft w:val="0"/>
              <w:marRight w:val="0"/>
              <w:marTop w:val="0"/>
              <w:marBottom w:val="0"/>
              <w:divBdr>
                <w:top w:val="none" w:sz="0" w:space="0" w:color="auto"/>
                <w:left w:val="none" w:sz="0" w:space="0" w:color="auto"/>
                <w:bottom w:val="none" w:sz="0" w:space="0" w:color="auto"/>
                <w:right w:val="none" w:sz="0" w:space="0" w:color="auto"/>
              </w:divBdr>
              <w:divsChild>
                <w:div w:id="18381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2237">
      <w:bodyDiv w:val="1"/>
      <w:marLeft w:val="0"/>
      <w:marRight w:val="0"/>
      <w:marTop w:val="0"/>
      <w:marBottom w:val="0"/>
      <w:divBdr>
        <w:top w:val="none" w:sz="0" w:space="0" w:color="auto"/>
        <w:left w:val="none" w:sz="0" w:space="0" w:color="auto"/>
        <w:bottom w:val="none" w:sz="0" w:space="0" w:color="auto"/>
        <w:right w:val="none" w:sz="0" w:space="0" w:color="auto"/>
      </w:divBdr>
      <w:divsChild>
        <w:div w:id="1351643514">
          <w:marLeft w:val="0"/>
          <w:marRight w:val="0"/>
          <w:marTop w:val="0"/>
          <w:marBottom w:val="0"/>
          <w:divBdr>
            <w:top w:val="none" w:sz="0" w:space="0" w:color="auto"/>
            <w:left w:val="none" w:sz="0" w:space="0" w:color="auto"/>
            <w:bottom w:val="none" w:sz="0" w:space="0" w:color="auto"/>
            <w:right w:val="none" w:sz="0" w:space="0" w:color="auto"/>
          </w:divBdr>
          <w:divsChild>
            <w:div w:id="504561696">
              <w:marLeft w:val="0"/>
              <w:marRight w:val="0"/>
              <w:marTop w:val="0"/>
              <w:marBottom w:val="0"/>
              <w:divBdr>
                <w:top w:val="none" w:sz="0" w:space="0" w:color="auto"/>
                <w:left w:val="none" w:sz="0" w:space="0" w:color="auto"/>
                <w:bottom w:val="none" w:sz="0" w:space="0" w:color="auto"/>
                <w:right w:val="none" w:sz="0" w:space="0" w:color="auto"/>
              </w:divBdr>
              <w:divsChild>
                <w:div w:id="44913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1244">
      <w:bodyDiv w:val="1"/>
      <w:marLeft w:val="0"/>
      <w:marRight w:val="0"/>
      <w:marTop w:val="0"/>
      <w:marBottom w:val="0"/>
      <w:divBdr>
        <w:top w:val="none" w:sz="0" w:space="0" w:color="auto"/>
        <w:left w:val="none" w:sz="0" w:space="0" w:color="auto"/>
        <w:bottom w:val="none" w:sz="0" w:space="0" w:color="auto"/>
        <w:right w:val="none" w:sz="0" w:space="0" w:color="auto"/>
      </w:divBdr>
      <w:divsChild>
        <w:div w:id="1243220989">
          <w:marLeft w:val="0"/>
          <w:marRight w:val="0"/>
          <w:marTop w:val="0"/>
          <w:marBottom w:val="0"/>
          <w:divBdr>
            <w:top w:val="none" w:sz="0" w:space="0" w:color="auto"/>
            <w:left w:val="none" w:sz="0" w:space="0" w:color="auto"/>
            <w:bottom w:val="none" w:sz="0" w:space="0" w:color="auto"/>
            <w:right w:val="none" w:sz="0" w:space="0" w:color="auto"/>
          </w:divBdr>
          <w:divsChild>
            <w:div w:id="478688859">
              <w:marLeft w:val="0"/>
              <w:marRight w:val="0"/>
              <w:marTop w:val="0"/>
              <w:marBottom w:val="0"/>
              <w:divBdr>
                <w:top w:val="none" w:sz="0" w:space="0" w:color="auto"/>
                <w:left w:val="none" w:sz="0" w:space="0" w:color="auto"/>
                <w:bottom w:val="none" w:sz="0" w:space="0" w:color="auto"/>
                <w:right w:val="none" w:sz="0" w:space="0" w:color="auto"/>
              </w:divBdr>
              <w:divsChild>
                <w:div w:id="87242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7700">
      <w:bodyDiv w:val="1"/>
      <w:marLeft w:val="0"/>
      <w:marRight w:val="0"/>
      <w:marTop w:val="0"/>
      <w:marBottom w:val="0"/>
      <w:divBdr>
        <w:top w:val="none" w:sz="0" w:space="0" w:color="auto"/>
        <w:left w:val="none" w:sz="0" w:space="0" w:color="auto"/>
        <w:bottom w:val="none" w:sz="0" w:space="0" w:color="auto"/>
        <w:right w:val="none" w:sz="0" w:space="0" w:color="auto"/>
      </w:divBdr>
      <w:divsChild>
        <w:div w:id="1358654812">
          <w:marLeft w:val="0"/>
          <w:marRight w:val="0"/>
          <w:marTop w:val="0"/>
          <w:marBottom w:val="0"/>
          <w:divBdr>
            <w:top w:val="none" w:sz="0" w:space="0" w:color="auto"/>
            <w:left w:val="none" w:sz="0" w:space="0" w:color="auto"/>
            <w:bottom w:val="none" w:sz="0" w:space="0" w:color="auto"/>
            <w:right w:val="none" w:sz="0" w:space="0" w:color="auto"/>
          </w:divBdr>
          <w:divsChild>
            <w:div w:id="782309410">
              <w:marLeft w:val="0"/>
              <w:marRight w:val="0"/>
              <w:marTop w:val="0"/>
              <w:marBottom w:val="0"/>
              <w:divBdr>
                <w:top w:val="none" w:sz="0" w:space="0" w:color="auto"/>
                <w:left w:val="none" w:sz="0" w:space="0" w:color="auto"/>
                <w:bottom w:val="none" w:sz="0" w:space="0" w:color="auto"/>
                <w:right w:val="none" w:sz="0" w:space="0" w:color="auto"/>
              </w:divBdr>
              <w:divsChild>
                <w:div w:id="156960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6170">
      <w:bodyDiv w:val="1"/>
      <w:marLeft w:val="0"/>
      <w:marRight w:val="0"/>
      <w:marTop w:val="0"/>
      <w:marBottom w:val="0"/>
      <w:divBdr>
        <w:top w:val="none" w:sz="0" w:space="0" w:color="auto"/>
        <w:left w:val="none" w:sz="0" w:space="0" w:color="auto"/>
        <w:bottom w:val="none" w:sz="0" w:space="0" w:color="auto"/>
        <w:right w:val="none" w:sz="0" w:space="0" w:color="auto"/>
      </w:divBdr>
      <w:divsChild>
        <w:div w:id="1381897735">
          <w:marLeft w:val="0"/>
          <w:marRight w:val="0"/>
          <w:marTop w:val="0"/>
          <w:marBottom w:val="0"/>
          <w:divBdr>
            <w:top w:val="none" w:sz="0" w:space="0" w:color="auto"/>
            <w:left w:val="none" w:sz="0" w:space="0" w:color="auto"/>
            <w:bottom w:val="none" w:sz="0" w:space="0" w:color="auto"/>
            <w:right w:val="none" w:sz="0" w:space="0" w:color="auto"/>
          </w:divBdr>
          <w:divsChild>
            <w:div w:id="346906489">
              <w:marLeft w:val="0"/>
              <w:marRight w:val="0"/>
              <w:marTop w:val="0"/>
              <w:marBottom w:val="0"/>
              <w:divBdr>
                <w:top w:val="none" w:sz="0" w:space="0" w:color="auto"/>
                <w:left w:val="none" w:sz="0" w:space="0" w:color="auto"/>
                <w:bottom w:val="none" w:sz="0" w:space="0" w:color="auto"/>
                <w:right w:val="none" w:sz="0" w:space="0" w:color="auto"/>
              </w:divBdr>
              <w:divsChild>
                <w:div w:id="10126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87414">
      <w:bodyDiv w:val="1"/>
      <w:marLeft w:val="0"/>
      <w:marRight w:val="0"/>
      <w:marTop w:val="0"/>
      <w:marBottom w:val="0"/>
      <w:divBdr>
        <w:top w:val="none" w:sz="0" w:space="0" w:color="auto"/>
        <w:left w:val="none" w:sz="0" w:space="0" w:color="auto"/>
        <w:bottom w:val="none" w:sz="0" w:space="0" w:color="auto"/>
        <w:right w:val="none" w:sz="0" w:space="0" w:color="auto"/>
      </w:divBdr>
    </w:div>
    <w:div w:id="224070897">
      <w:bodyDiv w:val="1"/>
      <w:marLeft w:val="0"/>
      <w:marRight w:val="0"/>
      <w:marTop w:val="0"/>
      <w:marBottom w:val="0"/>
      <w:divBdr>
        <w:top w:val="none" w:sz="0" w:space="0" w:color="auto"/>
        <w:left w:val="none" w:sz="0" w:space="0" w:color="auto"/>
        <w:bottom w:val="none" w:sz="0" w:space="0" w:color="auto"/>
        <w:right w:val="none" w:sz="0" w:space="0" w:color="auto"/>
      </w:divBdr>
      <w:divsChild>
        <w:div w:id="1286497884">
          <w:marLeft w:val="0"/>
          <w:marRight w:val="0"/>
          <w:marTop w:val="0"/>
          <w:marBottom w:val="0"/>
          <w:divBdr>
            <w:top w:val="none" w:sz="0" w:space="0" w:color="auto"/>
            <w:left w:val="none" w:sz="0" w:space="0" w:color="auto"/>
            <w:bottom w:val="none" w:sz="0" w:space="0" w:color="auto"/>
            <w:right w:val="none" w:sz="0" w:space="0" w:color="auto"/>
          </w:divBdr>
          <w:divsChild>
            <w:div w:id="1354112601">
              <w:marLeft w:val="0"/>
              <w:marRight w:val="0"/>
              <w:marTop w:val="0"/>
              <w:marBottom w:val="0"/>
              <w:divBdr>
                <w:top w:val="none" w:sz="0" w:space="0" w:color="auto"/>
                <w:left w:val="none" w:sz="0" w:space="0" w:color="auto"/>
                <w:bottom w:val="none" w:sz="0" w:space="0" w:color="auto"/>
                <w:right w:val="none" w:sz="0" w:space="0" w:color="auto"/>
              </w:divBdr>
              <w:divsChild>
                <w:div w:id="17777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51637">
      <w:bodyDiv w:val="1"/>
      <w:marLeft w:val="0"/>
      <w:marRight w:val="0"/>
      <w:marTop w:val="0"/>
      <w:marBottom w:val="0"/>
      <w:divBdr>
        <w:top w:val="none" w:sz="0" w:space="0" w:color="auto"/>
        <w:left w:val="none" w:sz="0" w:space="0" w:color="auto"/>
        <w:bottom w:val="none" w:sz="0" w:space="0" w:color="auto"/>
        <w:right w:val="none" w:sz="0" w:space="0" w:color="auto"/>
      </w:divBdr>
    </w:div>
    <w:div w:id="258953361">
      <w:bodyDiv w:val="1"/>
      <w:marLeft w:val="0"/>
      <w:marRight w:val="0"/>
      <w:marTop w:val="0"/>
      <w:marBottom w:val="0"/>
      <w:divBdr>
        <w:top w:val="none" w:sz="0" w:space="0" w:color="auto"/>
        <w:left w:val="none" w:sz="0" w:space="0" w:color="auto"/>
        <w:bottom w:val="none" w:sz="0" w:space="0" w:color="auto"/>
        <w:right w:val="none" w:sz="0" w:space="0" w:color="auto"/>
      </w:divBdr>
    </w:div>
    <w:div w:id="280651182">
      <w:bodyDiv w:val="1"/>
      <w:marLeft w:val="0"/>
      <w:marRight w:val="0"/>
      <w:marTop w:val="0"/>
      <w:marBottom w:val="0"/>
      <w:divBdr>
        <w:top w:val="none" w:sz="0" w:space="0" w:color="auto"/>
        <w:left w:val="none" w:sz="0" w:space="0" w:color="auto"/>
        <w:bottom w:val="none" w:sz="0" w:space="0" w:color="auto"/>
        <w:right w:val="none" w:sz="0" w:space="0" w:color="auto"/>
      </w:divBdr>
      <w:divsChild>
        <w:div w:id="1769227015">
          <w:marLeft w:val="0"/>
          <w:marRight w:val="0"/>
          <w:marTop w:val="0"/>
          <w:marBottom w:val="0"/>
          <w:divBdr>
            <w:top w:val="none" w:sz="0" w:space="0" w:color="auto"/>
            <w:left w:val="none" w:sz="0" w:space="0" w:color="auto"/>
            <w:bottom w:val="none" w:sz="0" w:space="0" w:color="auto"/>
            <w:right w:val="none" w:sz="0" w:space="0" w:color="auto"/>
          </w:divBdr>
          <w:divsChild>
            <w:div w:id="830490258">
              <w:marLeft w:val="0"/>
              <w:marRight w:val="0"/>
              <w:marTop w:val="0"/>
              <w:marBottom w:val="0"/>
              <w:divBdr>
                <w:top w:val="none" w:sz="0" w:space="0" w:color="auto"/>
                <w:left w:val="none" w:sz="0" w:space="0" w:color="auto"/>
                <w:bottom w:val="none" w:sz="0" w:space="0" w:color="auto"/>
                <w:right w:val="none" w:sz="0" w:space="0" w:color="auto"/>
              </w:divBdr>
              <w:divsChild>
                <w:div w:id="19284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28216">
      <w:bodyDiv w:val="1"/>
      <w:marLeft w:val="0"/>
      <w:marRight w:val="0"/>
      <w:marTop w:val="0"/>
      <w:marBottom w:val="0"/>
      <w:divBdr>
        <w:top w:val="none" w:sz="0" w:space="0" w:color="auto"/>
        <w:left w:val="none" w:sz="0" w:space="0" w:color="auto"/>
        <w:bottom w:val="none" w:sz="0" w:space="0" w:color="auto"/>
        <w:right w:val="none" w:sz="0" w:space="0" w:color="auto"/>
      </w:divBdr>
      <w:divsChild>
        <w:div w:id="2144536060">
          <w:marLeft w:val="0"/>
          <w:marRight w:val="0"/>
          <w:marTop w:val="0"/>
          <w:marBottom w:val="0"/>
          <w:divBdr>
            <w:top w:val="none" w:sz="0" w:space="0" w:color="auto"/>
            <w:left w:val="none" w:sz="0" w:space="0" w:color="auto"/>
            <w:bottom w:val="none" w:sz="0" w:space="0" w:color="auto"/>
            <w:right w:val="none" w:sz="0" w:space="0" w:color="auto"/>
          </w:divBdr>
          <w:divsChild>
            <w:div w:id="195318543">
              <w:marLeft w:val="0"/>
              <w:marRight w:val="0"/>
              <w:marTop w:val="0"/>
              <w:marBottom w:val="0"/>
              <w:divBdr>
                <w:top w:val="none" w:sz="0" w:space="0" w:color="auto"/>
                <w:left w:val="none" w:sz="0" w:space="0" w:color="auto"/>
                <w:bottom w:val="none" w:sz="0" w:space="0" w:color="auto"/>
                <w:right w:val="none" w:sz="0" w:space="0" w:color="auto"/>
              </w:divBdr>
              <w:divsChild>
                <w:div w:id="718357025">
                  <w:marLeft w:val="0"/>
                  <w:marRight w:val="0"/>
                  <w:marTop w:val="0"/>
                  <w:marBottom w:val="0"/>
                  <w:divBdr>
                    <w:top w:val="none" w:sz="0" w:space="0" w:color="auto"/>
                    <w:left w:val="none" w:sz="0" w:space="0" w:color="auto"/>
                    <w:bottom w:val="none" w:sz="0" w:space="0" w:color="auto"/>
                    <w:right w:val="none" w:sz="0" w:space="0" w:color="auto"/>
                  </w:divBdr>
                  <w:divsChild>
                    <w:div w:id="18594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399225">
      <w:bodyDiv w:val="1"/>
      <w:marLeft w:val="0"/>
      <w:marRight w:val="0"/>
      <w:marTop w:val="0"/>
      <w:marBottom w:val="0"/>
      <w:divBdr>
        <w:top w:val="none" w:sz="0" w:space="0" w:color="auto"/>
        <w:left w:val="none" w:sz="0" w:space="0" w:color="auto"/>
        <w:bottom w:val="none" w:sz="0" w:space="0" w:color="auto"/>
        <w:right w:val="none" w:sz="0" w:space="0" w:color="auto"/>
      </w:divBdr>
    </w:div>
    <w:div w:id="307783869">
      <w:bodyDiv w:val="1"/>
      <w:marLeft w:val="0"/>
      <w:marRight w:val="0"/>
      <w:marTop w:val="0"/>
      <w:marBottom w:val="0"/>
      <w:divBdr>
        <w:top w:val="none" w:sz="0" w:space="0" w:color="auto"/>
        <w:left w:val="none" w:sz="0" w:space="0" w:color="auto"/>
        <w:bottom w:val="none" w:sz="0" w:space="0" w:color="auto"/>
        <w:right w:val="none" w:sz="0" w:space="0" w:color="auto"/>
      </w:divBdr>
      <w:divsChild>
        <w:div w:id="1806967304">
          <w:marLeft w:val="0"/>
          <w:marRight w:val="0"/>
          <w:marTop w:val="0"/>
          <w:marBottom w:val="0"/>
          <w:divBdr>
            <w:top w:val="none" w:sz="0" w:space="0" w:color="auto"/>
            <w:left w:val="none" w:sz="0" w:space="0" w:color="auto"/>
            <w:bottom w:val="none" w:sz="0" w:space="0" w:color="auto"/>
            <w:right w:val="none" w:sz="0" w:space="0" w:color="auto"/>
          </w:divBdr>
          <w:divsChild>
            <w:div w:id="1754086784">
              <w:marLeft w:val="0"/>
              <w:marRight w:val="0"/>
              <w:marTop w:val="0"/>
              <w:marBottom w:val="0"/>
              <w:divBdr>
                <w:top w:val="none" w:sz="0" w:space="0" w:color="auto"/>
                <w:left w:val="none" w:sz="0" w:space="0" w:color="auto"/>
                <w:bottom w:val="none" w:sz="0" w:space="0" w:color="auto"/>
                <w:right w:val="none" w:sz="0" w:space="0" w:color="auto"/>
              </w:divBdr>
              <w:divsChild>
                <w:div w:id="21045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971221">
      <w:bodyDiv w:val="1"/>
      <w:marLeft w:val="0"/>
      <w:marRight w:val="0"/>
      <w:marTop w:val="0"/>
      <w:marBottom w:val="0"/>
      <w:divBdr>
        <w:top w:val="none" w:sz="0" w:space="0" w:color="auto"/>
        <w:left w:val="none" w:sz="0" w:space="0" w:color="auto"/>
        <w:bottom w:val="none" w:sz="0" w:space="0" w:color="auto"/>
        <w:right w:val="none" w:sz="0" w:space="0" w:color="auto"/>
      </w:divBdr>
      <w:divsChild>
        <w:div w:id="497816601">
          <w:marLeft w:val="0"/>
          <w:marRight w:val="0"/>
          <w:marTop w:val="0"/>
          <w:marBottom w:val="0"/>
          <w:divBdr>
            <w:top w:val="none" w:sz="0" w:space="0" w:color="auto"/>
            <w:left w:val="none" w:sz="0" w:space="0" w:color="auto"/>
            <w:bottom w:val="none" w:sz="0" w:space="0" w:color="auto"/>
            <w:right w:val="none" w:sz="0" w:space="0" w:color="auto"/>
          </w:divBdr>
          <w:divsChild>
            <w:div w:id="369110887">
              <w:marLeft w:val="0"/>
              <w:marRight w:val="0"/>
              <w:marTop w:val="0"/>
              <w:marBottom w:val="0"/>
              <w:divBdr>
                <w:top w:val="none" w:sz="0" w:space="0" w:color="auto"/>
                <w:left w:val="none" w:sz="0" w:space="0" w:color="auto"/>
                <w:bottom w:val="none" w:sz="0" w:space="0" w:color="auto"/>
                <w:right w:val="none" w:sz="0" w:space="0" w:color="auto"/>
              </w:divBdr>
              <w:divsChild>
                <w:div w:id="18004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88930">
      <w:bodyDiv w:val="1"/>
      <w:marLeft w:val="0"/>
      <w:marRight w:val="0"/>
      <w:marTop w:val="0"/>
      <w:marBottom w:val="0"/>
      <w:divBdr>
        <w:top w:val="none" w:sz="0" w:space="0" w:color="auto"/>
        <w:left w:val="none" w:sz="0" w:space="0" w:color="auto"/>
        <w:bottom w:val="none" w:sz="0" w:space="0" w:color="auto"/>
        <w:right w:val="none" w:sz="0" w:space="0" w:color="auto"/>
      </w:divBdr>
    </w:div>
    <w:div w:id="341590551">
      <w:bodyDiv w:val="1"/>
      <w:marLeft w:val="0"/>
      <w:marRight w:val="0"/>
      <w:marTop w:val="0"/>
      <w:marBottom w:val="0"/>
      <w:divBdr>
        <w:top w:val="none" w:sz="0" w:space="0" w:color="auto"/>
        <w:left w:val="none" w:sz="0" w:space="0" w:color="auto"/>
        <w:bottom w:val="none" w:sz="0" w:space="0" w:color="auto"/>
        <w:right w:val="none" w:sz="0" w:space="0" w:color="auto"/>
      </w:divBdr>
      <w:divsChild>
        <w:div w:id="1273779507">
          <w:marLeft w:val="0"/>
          <w:marRight w:val="0"/>
          <w:marTop w:val="0"/>
          <w:marBottom w:val="0"/>
          <w:divBdr>
            <w:top w:val="none" w:sz="0" w:space="0" w:color="auto"/>
            <w:left w:val="none" w:sz="0" w:space="0" w:color="auto"/>
            <w:bottom w:val="none" w:sz="0" w:space="0" w:color="auto"/>
            <w:right w:val="none" w:sz="0" w:space="0" w:color="auto"/>
          </w:divBdr>
          <w:divsChild>
            <w:div w:id="434906136">
              <w:marLeft w:val="0"/>
              <w:marRight w:val="0"/>
              <w:marTop w:val="0"/>
              <w:marBottom w:val="0"/>
              <w:divBdr>
                <w:top w:val="none" w:sz="0" w:space="0" w:color="auto"/>
                <w:left w:val="none" w:sz="0" w:space="0" w:color="auto"/>
                <w:bottom w:val="none" w:sz="0" w:space="0" w:color="auto"/>
                <w:right w:val="none" w:sz="0" w:space="0" w:color="auto"/>
              </w:divBdr>
              <w:divsChild>
                <w:div w:id="2267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88047">
      <w:bodyDiv w:val="1"/>
      <w:marLeft w:val="0"/>
      <w:marRight w:val="0"/>
      <w:marTop w:val="0"/>
      <w:marBottom w:val="0"/>
      <w:divBdr>
        <w:top w:val="none" w:sz="0" w:space="0" w:color="auto"/>
        <w:left w:val="none" w:sz="0" w:space="0" w:color="auto"/>
        <w:bottom w:val="none" w:sz="0" w:space="0" w:color="auto"/>
        <w:right w:val="none" w:sz="0" w:space="0" w:color="auto"/>
      </w:divBdr>
      <w:divsChild>
        <w:div w:id="103618829">
          <w:marLeft w:val="0"/>
          <w:marRight w:val="0"/>
          <w:marTop w:val="0"/>
          <w:marBottom w:val="0"/>
          <w:divBdr>
            <w:top w:val="none" w:sz="0" w:space="0" w:color="auto"/>
            <w:left w:val="none" w:sz="0" w:space="0" w:color="auto"/>
            <w:bottom w:val="none" w:sz="0" w:space="0" w:color="auto"/>
            <w:right w:val="none" w:sz="0" w:space="0" w:color="auto"/>
          </w:divBdr>
          <w:divsChild>
            <w:div w:id="583565124">
              <w:marLeft w:val="0"/>
              <w:marRight w:val="0"/>
              <w:marTop w:val="0"/>
              <w:marBottom w:val="0"/>
              <w:divBdr>
                <w:top w:val="none" w:sz="0" w:space="0" w:color="auto"/>
                <w:left w:val="none" w:sz="0" w:space="0" w:color="auto"/>
                <w:bottom w:val="none" w:sz="0" w:space="0" w:color="auto"/>
                <w:right w:val="none" w:sz="0" w:space="0" w:color="auto"/>
              </w:divBdr>
              <w:divsChild>
                <w:div w:id="6889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61879">
      <w:bodyDiv w:val="1"/>
      <w:marLeft w:val="0"/>
      <w:marRight w:val="0"/>
      <w:marTop w:val="0"/>
      <w:marBottom w:val="0"/>
      <w:divBdr>
        <w:top w:val="none" w:sz="0" w:space="0" w:color="auto"/>
        <w:left w:val="none" w:sz="0" w:space="0" w:color="auto"/>
        <w:bottom w:val="none" w:sz="0" w:space="0" w:color="auto"/>
        <w:right w:val="none" w:sz="0" w:space="0" w:color="auto"/>
      </w:divBdr>
    </w:div>
    <w:div w:id="397635544">
      <w:bodyDiv w:val="1"/>
      <w:marLeft w:val="0"/>
      <w:marRight w:val="0"/>
      <w:marTop w:val="0"/>
      <w:marBottom w:val="0"/>
      <w:divBdr>
        <w:top w:val="none" w:sz="0" w:space="0" w:color="auto"/>
        <w:left w:val="none" w:sz="0" w:space="0" w:color="auto"/>
        <w:bottom w:val="none" w:sz="0" w:space="0" w:color="auto"/>
        <w:right w:val="none" w:sz="0" w:space="0" w:color="auto"/>
      </w:divBdr>
    </w:div>
    <w:div w:id="436484983">
      <w:bodyDiv w:val="1"/>
      <w:marLeft w:val="0"/>
      <w:marRight w:val="0"/>
      <w:marTop w:val="0"/>
      <w:marBottom w:val="0"/>
      <w:divBdr>
        <w:top w:val="none" w:sz="0" w:space="0" w:color="auto"/>
        <w:left w:val="none" w:sz="0" w:space="0" w:color="auto"/>
        <w:bottom w:val="none" w:sz="0" w:space="0" w:color="auto"/>
        <w:right w:val="none" w:sz="0" w:space="0" w:color="auto"/>
      </w:divBdr>
    </w:div>
    <w:div w:id="488786577">
      <w:bodyDiv w:val="1"/>
      <w:marLeft w:val="0"/>
      <w:marRight w:val="0"/>
      <w:marTop w:val="0"/>
      <w:marBottom w:val="0"/>
      <w:divBdr>
        <w:top w:val="none" w:sz="0" w:space="0" w:color="auto"/>
        <w:left w:val="none" w:sz="0" w:space="0" w:color="auto"/>
        <w:bottom w:val="none" w:sz="0" w:space="0" w:color="auto"/>
        <w:right w:val="none" w:sz="0" w:space="0" w:color="auto"/>
      </w:divBdr>
      <w:divsChild>
        <w:div w:id="1049569664">
          <w:marLeft w:val="0"/>
          <w:marRight w:val="0"/>
          <w:marTop w:val="0"/>
          <w:marBottom w:val="0"/>
          <w:divBdr>
            <w:top w:val="none" w:sz="0" w:space="0" w:color="auto"/>
            <w:left w:val="none" w:sz="0" w:space="0" w:color="auto"/>
            <w:bottom w:val="none" w:sz="0" w:space="0" w:color="auto"/>
            <w:right w:val="none" w:sz="0" w:space="0" w:color="auto"/>
          </w:divBdr>
          <w:divsChild>
            <w:div w:id="884294225">
              <w:marLeft w:val="0"/>
              <w:marRight w:val="0"/>
              <w:marTop w:val="0"/>
              <w:marBottom w:val="0"/>
              <w:divBdr>
                <w:top w:val="none" w:sz="0" w:space="0" w:color="auto"/>
                <w:left w:val="none" w:sz="0" w:space="0" w:color="auto"/>
                <w:bottom w:val="none" w:sz="0" w:space="0" w:color="auto"/>
                <w:right w:val="none" w:sz="0" w:space="0" w:color="auto"/>
              </w:divBdr>
              <w:divsChild>
                <w:div w:id="16623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58941">
      <w:bodyDiv w:val="1"/>
      <w:marLeft w:val="0"/>
      <w:marRight w:val="0"/>
      <w:marTop w:val="0"/>
      <w:marBottom w:val="0"/>
      <w:divBdr>
        <w:top w:val="none" w:sz="0" w:space="0" w:color="auto"/>
        <w:left w:val="none" w:sz="0" w:space="0" w:color="auto"/>
        <w:bottom w:val="none" w:sz="0" w:space="0" w:color="auto"/>
        <w:right w:val="none" w:sz="0" w:space="0" w:color="auto"/>
      </w:divBdr>
    </w:div>
    <w:div w:id="520316985">
      <w:bodyDiv w:val="1"/>
      <w:marLeft w:val="0"/>
      <w:marRight w:val="0"/>
      <w:marTop w:val="0"/>
      <w:marBottom w:val="0"/>
      <w:divBdr>
        <w:top w:val="none" w:sz="0" w:space="0" w:color="auto"/>
        <w:left w:val="none" w:sz="0" w:space="0" w:color="auto"/>
        <w:bottom w:val="none" w:sz="0" w:space="0" w:color="auto"/>
        <w:right w:val="none" w:sz="0" w:space="0" w:color="auto"/>
      </w:divBdr>
      <w:divsChild>
        <w:div w:id="338587163">
          <w:marLeft w:val="0"/>
          <w:marRight w:val="0"/>
          <w:marTop w:val="0"/>
          <w:marBottom w:val="0"/>
          <w:divBdr>
            <w:top w:val="none" w:sz="0" w:space="0" w:color="auto"/>
            <w:left w:val="none" w:sz="0" w:space="0" w:color="auto"/>
            <w:bottom w:val="none" w:sz="0" w:space="0" w:color="auto"/>
            <w:right w:val="none" w:sz="0" w:space="0" w:color="auto"/>
          </w:divBdr>
          <w:divsChild>
            <w:div w:id="864097842">
              <w:marLeft w:val="0"/>
              <w:marRight w:val="0"/>
              <w:marTop w:val="0"/>
              <w:marBottom w:val="0"/>
              <w:divBdr>
                <w:top w:val="none" w:sz="0" w:space="0" w:color="auto"/>
                <w:left w:val="none" w:sz="0" w:space="0" w:color="auto"/>
                <w:bottom w:val="none" w:sz="0" w:space="0" w:color="auto"/>
                <w:right w:val="none" w:sz="0" w:space="0" w:color="auto"/>
              </w:divBdr>
              <w:divsChild>
                <w:div w:id="18688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33274">
      <w:bodyDiv w:val="1"/>
      <w:marLeft w:val="0"/>
      <w:marRight w:val="0"/>
      <w:marTop w:val="0"/>
      <w:marBottom w:val="0"/>
      <w:divBdr>
        <w:top w:val="none" w:sz="0" w:space="0" w:color="auto"/>
        <w:left w:val="none" w:sz="0" w:space="0" w:color="auto"/>
        <w:bottom w:val="none" w:sz="0" w:space="0" w:color="auto"/>
        <w:right w:val="none" w:sz="0" w:space="0" w:color="auto"/>
      </w:divBdr>
    </w:div>
    <w:div w:id="537283034">
      <w:bodyDiv w:val="1"/>
      <w:marLeft w:val="0"/>
      <w:marRight w:val="0"/>
      <w:marTop w:val="0"/>
      <w:marBottom w:val="0"/>
      <w:divBdr>
        <w:top w:val="none" w:sz="0" w:space="0" w:color="auto"/>
        <w:left w:val="none" w:sz="0" w:space="0" w:color="auto"/>
        <w:bottom w:val="none" w:sz="0" w:space="0" w:color="auto"/>
        <w:right w:val="none" w:sz="0" w:space="0" w:color="auto"/>
      </w:divBdr>
    </w:div>
    <w:div w:id="575360583">
      <w:bodyDiv w:val="1"/>
      <w:marLeft w:val="0"/>
      <w:marRight w:val="0"/>
      <w:marTop w:val="0"/>
      <w:marBottom w:val="0"/>
      <w:divBdr>
        <w:top w:val="none" w:sz="0" w:space="0" w:color="auto"/>
        <w:left w:val="none" w:sz="0" w:space="0" w:color="auto"/>
        <w:bottom w:val="none" w:sz="0" w:space="0" w:color="auto"/>
        <w:right w:val="none" w:sz="0" w:space="0" w:color="auto"/>
      </w:divBdr>
      <w:divsChild>
        <w:div w:id="102697749">
          <w:marLeft w:val="0"/>
          <w:marRight w:val="0"/>
          <w:marTop w:val="0"/>
          <w:marBottom w:val="0"/>
          <w:divBdr>
            <w:top w:val="none" w:sz="0" w:space="0" w:color="auto"/>
            <w:left w:val="none" w:sz="0" w:space="0" w:color="auto"/>
            <w:bottom w:val="none" w:sz="0" w:space="0" w:color="auto"/>
            <w:right w:val="none" w:sz="0" w:space="0" w:color="auto"/>
          </w:divBdr>
          <w:divsChild>
            <w:div w:id="337928339">
              <w:marLeft w:val="0"/>
              <w:marRight w:val="0"/>
              <w:marTop w:val="0"/>
              <w:marBottom w:val="0"/>
              <w:divBdr>
                <w:top w:val="none" w:sz="0" w:space="0" w:color="auto"/>
                <w:left w:val="none" w:sz="0" w:space="0" w:color="auto"/>
                <w:bottom w:val="none" w:sz="0" w:space="0" w:color="auto"/>
                <w:right w:val="none" w:sz="0" w:space="0" w:color="auto"/>
              </w:divBdr>
              <w:divsChild>
                <w:div w:id="34085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1640">
      <w:bodyDiv w:val="1"/>
      <w:marLeft w:val="0"/>
      <w:marRight w:val="0"/>
      <w:marTop w:val="0"/>
      <w:marBottom w:val="0"/>
      <w:divBdr>
        <w:top w:val="none" w:sz="0" w:space="0" w:color="auto"/>
        <w:left w:val="none" w:sz="0" w:space="0" w:color="auto"/>
        <w:bottom w:val="none" w:sz="0" w:space="0" w:color="auto"/>
        <w:right w:val="none" w:sz="0" w:space="0" w:color="auto"/>
      </w:divBdr>
      <w:divsChild>
        <w:div w:id="652027938">
          <w:marLeft w:val="0"/>
          <w:marRight w:val="0"/>
          <w:marTop w:val="0"/>
          <w:marBottom w:val="0"/>
          <w:divBdr>
            <w:top w:val="none" w:sz="0" w:space="0" w:color="auto"/>
            <w:left w:val="none" w:sz="0" w:space="0" w:color="auto"/>
            <w:bottom w:val="none" w:sz="0" w:space="0" w:color="auto"/>
            <w:right w:val="none" w:sz="0" w:space="0" w:color="auto"/>
          </w:divBdr>
          <w:divsChild>
            <w:div w:id="165246421">
              <w:marLeft w:val="0"/>
              <w:marRight w:val="0"/>
              <w:marTop w:val="0"/>
              <w:marBottom w:val="0"/>
              <w:divBdr>
                <w:top w:val="none" w:sz="0" w:space="0" w:color="auto"/>
                <w:left w:val="none" w:sz="0" w:space="0" w:color="auto"/>
                <w:bottom w:val="none" w:sz="0" w:space="0" w:color="auto"/>
                <w:right w:val="none" w:sz="0" w:space="0" w:color="auto"/>
              </w:divBdr>
              <w:divsChild>
                <w:div w:id="5042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5310">
      <w:bodyDiv w:val="1"/>
      <w:marLeft w:val="0"/>
      <w:marRight w:val="0"/>
      <w:marTop w:val="0"/>
      <w:marBottom w:val="0"/>
      <w:divBdr>
        <w:top w:val="none" w:sz="0" w:space="0" w:color="auto"/>
        <w:left w:val="none" w:sz="0" w:space="0" w:color="auto"/>
        <w:bottom w:val="none" w:sz="0" w:space="0" w:color="auto"/>
        <w:right w:val="none" w:sz="0" w:space="0" w:color="auto"/>
      </w:divBdr>
      <w:divsChild>
        <w:div w:id="1648825573">
          <w:marLeft w:val="0"/>
          <w:marRight w:val="0"/>
          <w:marTop w:val="0"/>
          <w:marBottom w:val="0"/>
          <w:divBdr>
            <w:top w:val="none" w:sz="0" w:space="0" w:color="auto"/>
            <w:left w:val="none" w:sz="0" w:space="0" w:color="auto"/>
            <w:bottom w:val="none" w:sz="0" w:space="0" w:color="auto"/>
            <w:right w:val="none" w:sz="0" w:space="0" w:color="auto"/>
          </w:divBdr>
          <w:divsChild>
            <w:div w:id="287667287">
              <w:marLeft w:val="0"/>
              <w:marRight w:val="0"/>
              <w:marTop w:val="0"/>
              <w:marBottom w:val="0"/>
              <w:divBdr>
                <w:top w:val="none" w:sz="0" w:space="0" w:color="auto"/>
                <w:left w:val="none" w:sz="0" w:space="0" w:color="auto"/>
                <w:bottom w:val="none" w:sz="0" w:space="0" w:color="auto"/>
                <w:right w:val="none" w:sz="0" w:space="0" w:color="auto"/>
              </w:divBdr>
              <w:divsChild>
                <w:div w:id="191230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4411">
      <w:bodyDiv w:val="1"/>
      <w:marLeft w:val="0"/>
      <w:marRight w:val="0"/>
      <w:marTop w:val="0"/>
      <w:marBottom w:val="0"/>
      <w:divBdr>
        <w:top w:val="none" w:sz="0" w:space="0" w:color="auto"/>
        <w:left w:val="none" w:sz="0" w:space="0" w:color="auto"/>
        <w:bottom w:val="none" w:sz="0" w:space="0" w:color="auto"/>
        <w:right w:val="none" w:sz="0" w:space="0" w:color="auto"/>
      </w:divBdr>
      <w:divsChild>
        <w:div w:id="1627731833">
          <w:marLeft w:val="0"/>
          <w:marRight w:val="0"/>
          <w:marTop w:val="0"/>
          <w:marBottom w:val="0"/>
          <w:divBdr>
            <w:top w:val="none" w:sz="0" w:space="0" w:color="auto"/>
            <w:left w:val="none" w:sz="0" w:space="0" w:color="auto"/>
            <w:bottom w:val="none" w:sz="0" w:space="0" w:color="auto"/>
            <w:right w:val="none" w:sz="0" w:space="0" w:color="auto"/>
          </w:divBdr>
          <w:divsChild>
            <w:div w:id="1385135959">
              <w:marLeft w:val="0"/>
              <w:marRight w:val="0"/>
              <w:marTop w:val="0"/>
              <w:marBottom w:val="0"/>
              <w:divBdr>
                <w:top w:val="none" w:sz="0" w:space="0" w:color="auto"/>
                <w:left w:val="none" w:sz="0" w:space="0" w:color="auto"/>
                <w:bottom w:val="none" w:sz="0" w:space="0" w:color="auto"/>
                <w:right w:val="none" w:sz="0" w:space="0" w:color="auto"/>
              </w:divBdr>
              <w:divsChild>
                <w:div w:id="6275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867768">
      <w:bodyDiv w:val="1"/>
      <w:marLeft w:val="0"/>
      <w:marRight w:val="0"/>
      <w:marTop w:val="0"/>
      <w:marBottom w:val="0"/>
      <w:divBdr>
        <w:top w:val="none" w:sz="0" w:space="0" w:color="auto"/>
        <w:left w:val="none" w:sz="0" w:space="0" w:color="auto"/>
        <w:bottom w:val="none" w:sz="0" w:space="0" w:color="auto"/>
        <w:right w:val="none" w:sz="0" w:space="0" w:color="auto"/>
      </w:divBdr>
      <w:divsChild>
        <w:div w:id="695616194">
          <w:marLeft w:val="0"/>
          <w:marRight w:val="0"/>
          <w:marTop w:val="0"/>
          <w:marBottom w:val="0"/>
          <w:divBdr>
            <w:top w:val="none" w:sz="0" w:space="0" w:color="auto"/>
            <w:left w:val="none" w:sz="0" w:space="0" w:color="auto"/>
            <w:bottom w:val="none" w:sz="0" w:space="0" w:color="auto"/>
            <w:right w:val="none" w:sz="0" w:space="0" w:color="auto"/>
          </w:divBdr>
          <w:divsChild>
            <w:div w:id="1337731016">
              <w:marLeft w:val="0"/>
              <w:marRight w:val="0"/>
              <w:marTop w:val="0"/>
              <w:marBottom w:val="0"/>
              <w:divBdr>
                <w:top w:val="none" w:sz="0" w:space="0" w:color="auto"/>
                <w:left w:val="none" w:sz="0" w:space="0" w:color="auto"/>
                <w:bottom w:val="none" w:sz="0" w:space="0" w:color="auto"/>
                <w:right w:val="none" w:sz="0" w:space="0" w:color="auto"/>
              </w:divBdr>
              <w:divsChild>
                <w:div w:id="120999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2476">
      <w:bodyDiv w:val="1"/>
      <w:marLeft w:val="0"/>
      <w:marRight w:val="0"/>
      <w:marTop w:val="0"/>
      <w:marBottom w:val="0"/>
      <w:divBdr>
        <w:top w:val="none" w:sz="0" w:space="0" w:color="auto"/>
        <w:left w:val="none" w:sz="0" w:space="0" w:color="auto"/>
        <w:bottom w:val="none" w:sz="0" w:space="0" w:color="auto"/>
        <w:right w:val="none" w:sz="0" w:space="0" w:color="auto"/>
      </w:divBdr>
    </w:div>
    <w:div w:id="733814199">
      <w:bodyDiv w:val="1"/>
      <w:marLeft w:val="0"/>
      <w:marRight w:val="0"/>
      <w:marTop w:val="0"/>
      <w:marBottom w:val="0"/>
      <w:divBdr>
        <w:top w:val="none" w:sz="0" w:space="0" w:color="auto"/>
        <w:left w:val="none" w:sz="0" w:space="0" w:color="auto"/>
        <w:bottom w:val="none" w:sz="0" w:space="0" w:color="auto"/>
        <w:right w:val="none" w:sz="0" w:space="0" w:color="auto"/>
      </w:divBdr>
      <w:divsChild>
        <w:div w:id="182015423">
          <w:marLeft w:val="0"/>
          <w:marRight w:val="0"/>
          <w:marTop w:val="0"/>
          <w:marBottom w:val="0"/>
          <w:divBdr>
            <w:top w:val="none" w:sz="0" w:space="0" w:color="auto"/>
            <w:left w:val="none" w:sz="0" w:space="0" w:color="auto"/>
            <w:bottom w:val="none" w:sz="0" w:space="0" w:color="auto"/>
            <w:right w:val="none" w:sz="0" w:space="0" w:color="auto"/>
          </w:divBdr>
          <w:divsChild>
            <w:div w:id="1728917497">
              <w:marLeft w:val="0"/>
              <w:marRight w:val="0"/>
              <w:marTop w:val="0"/>
              <w:marBottom w:val="0"/>
              <w:divBdr>
                <w:top w:val="none" w:sz="0" w:space="0" w:color="auto"/>
                <w:left w:val="none" w:sz="0" w:space="0" w:color="auto"/>
                <w:bottom w:val="none" w:sz="0" w:space="0" w:color="auto"/>
                <w:right w:val="none" w:sz="0" w:space="0" w:color="auto"/>
              </w:divBdr>
              <w:divsChild>
                <w:div w:id="54148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2628">
      <w:bodyDiv w:val="1"/>
      <w:marLeft w:val="0"/>
      <w:marRight w:val="0"/>
      <w:marTop w:val="0"/>
      <w:marBottom w:val="0"/>
      <w:divBdr>
        <w:top w:val="none" w:sz="0" w:space="0" w:color="auto"/>
        <w:left w:val="none" w:sz="0" w:space="0" w:color="auto"/>
        <w:bottom w:val="none" w:sz="0" w:space="0" w:color="auto"/>
        <w:right w:val="none" w:sz="0" w:space="0" w:color="auto"/>
      </w:divBdr>
      <w:divsChild>
        <w:div w:id="1459178009">
          <w:marLeft w:val="0"/>
          <w:marRight w:val="0"/>
          <w:marTop w:val="0"/>
          <w:marBottom w:val="0"/>
          <w:divBdr>
            <w:top w:val="none" w:sz="0" w:space="0" w:color="auto"/>
            <w:left w:val="none" w:sz="0" w:space="0" w:color="auto"/>
            <w:bottom w:val="none" w:sz="0" w:space="0" w:color="auto"/>
            <w:right w:val="none" w:sz="0" w:space="0" w:color="auto"/>
          </w:divBdr>
          <w:divsChild>
            <w:div w:id="1404644984">
              <w:marLeft w:val="0"/>
              <w:marRight w:val="0"/>
              <w:marTop w:val="0"/>
              <w:marBottom w:val="0"/>
              <w:divBdr>
                <w:top w:val="none" w:sz="0" w:space="0" w:color="auto"/>
                <w:left w:val="none" w:sz="0" w:space="0" w:color="auto"/>
                <w:bottom w:val="none" w:sz="0" w:space="0" w:color="auto"/>
                <w:right w:val="none" w:sz="0" w:space="0" w:color="auto"/>
              </w:divBdr>
              <w:divsChild>
                <w:div w:id="8704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8311">
      <w:bodyDiv w:val="1"/>
      <w:marLeft w:val="0"/>
      <w:marRight w:val="0"/>
      <w:marTop w:val="0"/>
      <w:marBottom w:val="0"/>
      <w:divBdr>
        <w:top w:val="none" w:sz="0" w:space="0" w:color="auto"/>
        <w:left w:val="none" w:sz="0" w:space="0" w:color="auto"/>
        <w:bottom w:val="none" w:sz="0" w:space="0" w:color="auto"/>
        <w:right w:val="none" w:sz="0" w:space="0" w:color="auto"/>
      </w:divBdr>
    </w:div>
    <w:div w:id="884610066">
      <w:bodyDiv w:val="1"/>
      <w:marLeft w:val="0"/>
      <w:marRight w:val="0"/>
      <w:marTop w:val="0"/>
      <w:marBottom w:val="0"/>
      <w:divBdr>
        <w:top w:val="none" w:sz="0" w:space="0" w:color="auto"/>
        <w:left w:val="none" w:sz="0" w:space="0" w:color="auto"/>
        <w:bottom w:val="none" w:sz="0" w:space="0" w:color="auto"/>
        <w:right w:val="none" w:sz="0" w:space="0" w:color="auto"/>
      </w:divBdr>
    </w:div>
    <w:div w:id="938023294">
      <w:bodyDiv w:val="1"/>
      <w:marLeft w:val="0"/>
      <w:marRight w:val="0"/>
      <w:marTop w:val="0"/>
      <w:marBottom w:val="0"/>
      <w:divBdr>
        <w:top w:val="none" w:sz="0" w:space="0" w:color="auto"/>
        <w:left w:val="none" w:sz="0" w:space="0" w:color="auto"/>
        <w:bottom w:val="none" w:sz="0" w:space="0" w:color="auto"/>
        <w:right w:val="none" w:sz="0" w:space="0" w:color="auto"/>
      </w:divBdr>
      <w:divsChild>
        <w:div w:id="1869024492">
          <w:marLeft w:val="0"/>
          <w:marRight w:val="0"/>
          <w:marTop w:val="0"/>
          <w:marBottom w:val="0"/>
          <w:divBdr>
            <w:top w:val="none" w:sz="0" w:space="0" w:color="auto"/>
            <w:left w:val="none" w:sz="0" w:space="0" w:color="auto"/>
            <w:bottom w:val="none" w:sz="0" w:space="0" w:color="auto"/>
            <w:right w:val="none" w:sz="0" w:space="0" w:color="auto"/>
          </w:divBdr>
          <w:divsChild>
            <w:div w:id="1035812794">
              <w:marLeft w:val="0"/>
              <w:marRight w:val="0"/>
              <w:marTop w:val="0"/>
              <w:marBottom w:val="0"/>
              <w:divBdr>
                <w:top w:val="none" w:sz="0" w:space="0" w:color="auto"/>
                <w:left w:val="none" w:sz="0" w:space="0" w:color="auto"/>
                <w:bottom w:val="none" w:sz="0" w:space="0" w:color="auto"/>
                <w:right w:val="none" w:sz="0" w:space="0" w:color="auto"/>
              </w:divBdr>
              <w:divsChild>
                <w:div w:id="27591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07671">
      <w:bodyDiv w:val="1"/>
      <w:marLeft w:val="0"/>
      <w:marRight w:val="0"/>
      <w:marTop w:val="0"/>
      <w:marBottom w:val="0"/>
      <w:divBdr>
        <w:top w:val="none" w:sz="0" w:space="0" w:color="auto"/>
        <w:left w:val="none" w:sz="0" w:space="0" w:color="auto"/>
        <w:bottom w:val="none" w:sz="0" w:space="0" w:color="auto"/>
        <w:right w:val="none" w:sz="0" w:space="0" w:color="auto"/>
      </w:divBdr>
      <w:divsChild>
        <w:div w:id="1625188097">
          <w:marLeft w:val="0"/>
          <w:marRight w:val="0"/>
          <w:marTop w:val="0"/>
          <w:marBottom w:val="0"/>
          <w:divBdr>
            <w:top w:val="none" w:sz="0" w:space="0" w:color="auto"/>
            <w:left w:val="none" w:sz="0" w:space="0" w:color="auto"/>
            <w:bottom w:val="none" w:sz="0" w:space="0" w:color="auto"/>
            <w:right w:val="none" w:sz="0" w:space="0" w:color="auto"/>
          </w:divBdr>
          <w:divsChild>
            <w:div w:id="685404881">
              <w:marLeft w:val="0"/>
              <w:marRight w:val="0"/>
              <w:marTop w:val="0"/>
              <w:marBottom w:val="0"/>
              <w:divBdr>
                <w:top w:val="none" w:sz="0" w:space="0" w:color="auto"/>
                <w:left w:val="none" w:sz="0" w:space="0" w:color="auto"/>
                <w:bottom w:val="none" w:sz="0" w:space="0" w:color="auto"/>
                <w:right w:val="none" w:sz="0" w:space="0" w:color="auto"/>
              </w:divBdr>
              <w:divsChild>
                <w:div w:id="18649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69708">
      <w:bodyDiv w:val="1"/>
      <w:marLeft w:val="0"/>
      <w:marRight w:val="0"/>
      <w:marTop w:val="0"/>
      <w:marBottom w:val="0"/>
      <w:divBdr>
        <w:top w:val="none" w:sz="0" w:space="0" w:color="auto"/>
        <w:left w:val="none" w:sz="0" w:space="0" w:color="auto"/>
        <w:bottom w:val="none" w:sz="0" w:space="0" w:color="auto"/>
        <w:right w:val="none" w:sz="0" w:space="0" w:color="auto"/>
      </w:divBdr>
      <w:divsChild>
        <w:div w:id="1299333756">
          <w:marLeft w:val="0"/>
          <w:marRight w:val="0"/>
          <w:marTop w:val="0"/>
          <w:marBottom w:val="0"/>
          <w:divBdr>
            <w:top w:val="none" w:sz="0" w:space="0" w:color="auto"/>
            <w:left w:val="none" w:sz="0" w:space="0" w:color="auto"/>
            <w:bottom w:val="none" w:sz="0" w:space="0" w:color="auto"/>
            <w:right w:val="none" w:sz="0" w:space="0" w:color="auto"/>
          </w:divBdr>
          <w:divsChild>
            <w:div w:id="72550326">
              <w:marLeft w:val="0"/>
              <w:marRight w:val="0"/>
              <w:marTop w:val="0"/>
              <w:marBottom w:val="0"/>
              <w:divBdr>
                <w:top w:val="none" w:sz="0" w:space="0" w:color="auto"/>
                <w:left w:val="none" w:sz="0" w:space="0" w:color="auto"/>
                <w:bottom w:val="none" w:sz="0" w:space="0" w:color="auto"/>
                <w:right w:val="none" w:sz="0" w:space="0" w:color="auto"/>
              </w:divBdr>
              <w:divsChild>
                <w:div w:id="6329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153419">
      <w:bodyDiv w:val="1"/>
      <w:marLeft w:val="0"/>
      <w:marRight w:val="0"/>
      <w:marTop w:val="0"/>
      <w:marBottom w:val="0"/>
      <w:divBdr>
        <w:top w:val="none" w:sz="0" w:space="0" w:color="auto"/>
        <w:left w:val="none" w:sz="0" w:space="0" w:color="auto"/>
        <w:bottom w:val="none" w:sz="0" w:space="0" w:color="auto"/>
        <w:right w:val="none" w:sz="0" w:space="0" w:color="auto"/>
      </w:divBdr>
      <w:divsChild>
        <w:div w:id="656495110">
          <w:marLeft w:val="0"/>
          <w:marRight w:val="0"/>
          <w:marTop w:val="0"/>
          <w:marBottom w:val="0"/>
          <w:divBdr>
            <w:top w:val="none" w:sz="0" w:space="0" w:color="auto"/>
            <w:left w:val="none" w:sz="0" w:space="0" w:color="auto"/>
            <w:bottom w:val="none" w:sz="0" w:space="0" w:color="auto"/>
            <w:right w:val="none" w:sz="0" w:space="0" w:color="auto"/>
          </w:divBdr>
          <w:divsChild>
            <w:div w:id="874273459">
              <w:marLeft w:val="0"/>
              <w:marRight w:val="0"/>
              <w:marTop w:val="0"/>
              <w:marBottom w:val="0"/>
              <w:divBdr>
                <w:top w:val="none" w:sz="0" w:space="0" w:color="auto"/>
                <w:left w:val="none" w:sz="0" w:space="0" w:color="auto"/>
                <w:bottom w:val="none" w:sz="0" w:space="0" w:color="auto"/>
                <w:right w:val="none" w:sz="0" w:space="0" w:color="auto"/>
              </w:divBdr>
              <w:divsChild>
                <w:div w:id="3851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05131">
      <w:bodyDiv w:val="1"/>
      <w:marLeft w:val="0"/>
      <w:marRight w:val="0"/>
      <w:marTop w:val="0"/>
      <w:marBottom w:val="0"/>
      <w:divBdr>
        <w:top w:val="none" w:sz="0" w:space="0" w:color="auto"/>
        <w:left w:val="none" w:sz="0" w:space="0" w:color="auto"/>
        <w:bottom w:val="none" w:sz="0" w:space="0" w:color="auto"/>
        <w:right w:val="none" w:sz="0" w:space="0" w:color="auto"/>
      </w:divBdr>
    </w:div>
    <w:div w:id="1081676919">
      <w:bodyDiv w:val="1"/>
      <w:marLeft w:val="0"/>
      <w:marRight w:val="0"/>
      <w:marTop w:val="0"/>
      <w:marBottom w:val="0"/>
      <w:divBdr>
        <w:top w:val="none" w:sz="0" w:space="0" w:color="auto"/>
        <w:left w:val="none" w:sz="0" w:space="0" w:color="auto"/>
        <w:bottom w:val="none" w:sz="0" w:space="0" w:color="auto"/>
        <w:right w:val="none" w:sz="0" w:space="0" w:color="auto"/>
      </w:divBdr>
      <w:divsChild>
        <w:div w:id="1818065660">
          <w:marLeft w:val="0"/>
          <w:marRight w:val="0"/>
          <w:marTop w:val="0"/>
          <w:marBottom w:val="0"/>
          <w:divBdr>
            <w:top w:val="none" w:sz="0" w:space="0" w:color="auto"/>
            <w:left w:val="none" w:sz="0" w:space="0" w:color="auto"/>
            <w:bottom w:val="none" w:sz="0" w:space="0" w:color="auto"/>
            <w:right w:val="none" w:sz="0" w:space="0" w:color="auto"/>
          </w:divBdr>
          <w:divsChild>
            <w:div w:id="1258950460">
              <w:marLeft w:val="0"/>
              <w:marRight w:val="0"/>
              <w:marTop w:val="0"/>
              <w:marBottom w:val="0"/>
              <w:divBdr>
                <w:top w:val="none" w:sz="0" w:space="0" w:color="auto"/>
                <w:left w:val="none" w:sz="0" w:space="0" w:color="auto"/>
                <w:bottom w:val="none" w:sz="0" w:space="0" w:color="auto"/>
                <w:right w:val="none" w:sz="0" w:space="0" w:color="auto"/>
              </w:divBdr>
              <w:divsChild>
                <w:div w:id="167518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412">
      <w:bodyDiv w:val="1"/>
      <w:marLeft w:val="0"/>
      <w:marRight w:val="0"/>
      <w:marTop w:val="0"/>
      <w:marBottom w:val="0"/>
      <w:divBdr>
        <w:top w:val="none" w:sz="0" w:space="0" w:color="auto"/>
        <w:left w:val="none" w:sz="0" w:space="0" w:color="auto"/>
        <w:bottom w:val="none" w:sz="0" w:space="0" w:color="auto"/>
        <w:right w:val="none" w:sz="0" w:space="0" w:color="auto"/>
      </w:divBdr>
      <w:divsChild>
        <w:div w:id="128789912">
          <w:marLeft w:val="0"/>
          <w:marRight w:val="0"/>
          <w:marTop w:val="0"/>
          <w:marBottom w:val="0"/>
          <w:divBdr>
            <w:top w:val="none" w:sz="0" w:space="0" w:color="auto"/>
            <w:left w:val="none" w:sz="0" w:space="0" w:color="auto"/>
            <w:bottom w:val="none" w:sz="0" w:space="0" w:color="auto"/>
            <w:right w:val="none" w:sz="0" w:space="0" w:color="auto"/>
          </w:divBdr>
          <w:divsChild>
            <w:div w:id="1318654804">
              <w:marLeft w:val="0"/>
              <w:marRight w:val="0"/>
              <w:marTop w:val="0"/>
              <w:marBottom w:val="0"/>
              <w:divBdr>
                <w:top w:val="none" w:sz="0" w:space="0" w:color="auto"/>
                <w:left w:val="none" w:sz="0" w:space="0" w:color="auto"/>
                <w:bottom w:val="none" w:sz="0" w:space="0" w:color="auto"/>
                <w:right w:val="none" w:sz="0" w:space="0" w:color="auto"/>
              </w:divBdr>
              <w:divsChild>
                <w:div w:id="6704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2164">
      <w:bodyDiv w:val="1"/>
      <w:marLeft w:val="0"/>
      <w:marRight w:val="0"/>
      <w:marTop w:val="0"/>
      <w:marBottom w:val="0"/>
      <w:divBdr>
        <w:top w:val="none" w:sz="0" w:space="0" w:color="auto"/>
        <w:left w:val="none" w:sz="0" w:space="0" w:color="auto"/>
        <w:bottom w:val="none" w:sz="0" w:space="0" w:color="auto"/>
        <w:right w:val="none" w:sz="0" w:space="0" w:color="auto"/>
      </w:divBdr>
      <w:divsChild>
        <w:div w:id="364984813">
          <w:marLeft w:val="0"/>
          <w:marRight w:val="0"/>
          <w:marTop w:val="0"/>
          <w:marBottom w:val="0"/>
          <w:divBdr>
            <w:top w:val="none" w:sz="0" w:space="0" w:color="auto"/>
            <w:left w:val="none" w:sz="0" w:space="0" w:color="auto"/>
            <w:bottom w:val="none" w:sz="0" w:space="0" w:color="auto"/>
            <w:right w:val="none" w:sz="0" w:space="0" w:color="auto"/>
          </w:divBdr>
          <w:divsChild>
            <w:div w:id="606934265">
              <w:marLeft w:val="0"/>
              <w:marRight w:val="0"/>
              <w:marTop w:val="0"/>
              <w:marBottom w:val="0"/>
              <w:divBdr>
                <w:top w:val="none" w:sz="0" w:space="0" w:color="auto"/>
                <w:left w:val="none" w:sz="0" w:space="0" w:color="auto"/>
                <w:bottom w:val="none" w:sz="0" w:space="0" w:color="auto"/>
                <w:right w:val="none" w:sz="0" w:space="0" w:color="auto"/>
              </w:divBdr>
              <w:divsChild>
                <w:div w:id="8723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139657">
      <w:bodyDiv w:val="1"/>
      <w:marLeft w:val="0"/>
      <w:marRight w:val="0"/>
      <w:marTop w:val="0"/>
      <w:marBottom w:val="0"/>
      <w:divBdr>
        <w:top w:val="none" w:sz="0" w:space="0" w:color="auto"/>
        <w:left w:val="none" w:sz="0" w:space="0" w:color="auto"/>
        <w:bottom w:val="none" w:sz="0" w:space="0" w:color="auto"/>
        <w:right w:val="none" w:sz="0" w:space="0" w:color="auto"/>
      </w:divBdr>
    </w:div>
    <w:div w:id="1292251910">
      <w:bodyDiv w:val="1"/>
      <w:marLeft w:val="0"/>
      <w:marRight w:val="0"/>
      <w:marTop w:val="0"/>
      <w:marBottom w:val="0"/>
      <w:divBdr>
        <w:top w:val="none" w:sz="0" w:space="0" w:color="auto"/>
        <w:left w:val="none" w:sz="0" w:space="0" w:color="auto"/>
        <w:bottom w:val="none" w:sz="0" w:space="0" w:color="auto"/>
        <w:right w:val="none" w:sz="0" w:space="0" w:color="auto"/>
      </w:divBdr>
      <w:divsChild>
        <w:div w:id="721175515">
          <w:marLeft w:val="0"/>
          <w:marRight w:val="0"/>
          <w:marTop w:val="0"/>
          <w:marBottom w:val="0"/>
          <w:divBdr>
            <w:top w:val="none" w:sz="0" w:space="0" w:color="auto"/>
            <w:left w:val="none" w:sz="0" w:space="0" w:color="auto"/>
            <w:bottom w:val="none" w:sz="0" w:space="0" w:color="auto"/>
            <w:right w:val="none" w:sz="0" w:space="0" w:color="auto"/>
          </w:divBdr>
          <w:divsChild>
            <w:div w:id="1219047395">
              <w:marLeft w:val="0"/>
              <w:marRight w:val="0"/>
              <w:marTop w:val="0"/>
              <w:marBottom w:val="0"/>
              <w:divBdr>
                <w:top w:val="none" w:sz="0" w:space="0" w:color="auto"/>
                <w:left w:val="none" w:sz="0" w:space="0" w:color="auto"/>
                <w:bottom w:val="none" w:sz="0" w:space="0" w:color="auto"/>
                <w:right w:val="none" w:sz="0" w:space="0" w:color="auto"/>
              </w:divBdr>
              <w:divsChild>
                <w:div w:id="1551963416">
                  <w:marLeft w:val="0"/>
                  <w:marRight w:val="0"/>
                  <w:marTop w:val="0"/>
                  <w:marBottom w:val="0"/>
                  <w:divBdr>
                    <w:top w:val="none" w:sz="0" w:space="0" w:color="auto"/>
                    <w:left w:val="none" w:sz="0" w:space="0" w:color="auto"/>
                    <w:bottom w:val="none" w:sz="0" w:space="0" w:color="auto"/>
                    <w:right w:val="none" w:sz="0" w:space="0" w:color="auto"/>
                  </w:divBdr>
                  <w:divsChild>
                    <w:div w:id="1090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14954">
      <w:bodyDiv w:val="1"/>
      <w:marLeft w:val="0"/>
      <w:marRight w:val="0"/>
      <w:marTop w:val="0"/>
      <w:marBottom w:val="0"/>
      <w:divBdr>
        <w:top w:val="none" w:sz="0" w:space="0" w:color="auto"/>
        <w:left w:val="none" w:sz="0" w:space="0" w:color="auto"/>
        <w:bottom w:val="none" w:sz="0" w:space="0" w:color="auto"/>
        <w:right w:val="none" w:sz="0" w:space="0" w:color="auto"/>
      </w:divBdr>
      <w:divsChild>
        <w:div w:id="1875464977">
          <w:marLeft w:val="0"/>
          <w:marRight w:val="0"/>
          <w:marTop w:val="0"/>
          <w:marBottom w:val="0"/>
          <w:divBdr>
            <w:top w:val="none" w:sz="0" w:space="0" w:color="auto"/>
            <w:left w:val="none" w:sz="0" w:space="0" w:color="auto"/>
            <w:bottom w:val="none" w:sz="0" w:space="0" w:color="auto"/>
            <w:right w:val="none" w:sz="0" w:space="0" w:color="auto"/>
          </w:divBdr>
          <w:divsChild>
            <w:div w:id="150802299">
              <w:marLeft w:val="0"/>
              <w:marRight w:val="0"/>
              <w:marTop w:val="0"/>
              <w:marBottom w:val="0"/>
              <w:divBdr>
                <w:top w:val="none" w:sz="0" w:space="0" w:color="auto"/>
                <w:left w:val="none" w:sz="0" w:space="0" w:color="auto"/>
                <w:bottom w:val="none" w:sz="0" w:space="0" w:color="auto"/>
                <w:right w:val="none" w:sz="0" w:space="0" w:color="auto"/>
              </w:divBdr>
              <w:divsChild>
                <w:div w:id="47037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91888">
      <w:bodyDiv w:val="1"/>
      <w:marLeft w:val="0"/>
      <w:marRight w:val="0"/>
      <w:marTop w:val="0"/>
      <w:marBottom w:val="0"/>
      <w:divBdr>
        <w:top w:val="none" w:sz="0" w:space="0" w:color="auto"/>
        <w:left w:val="none" w:sz="0" w:space="0" w:color="auto"/>
        <w:bottom w:val="none" w:sz="0" w:space="0" w:color="auto"/>
        <w:right w:val="none" w:sz="0" w:space="0" w:color="auto"/>
      </w:divBdr>
      <w:divsChild>
        <w:div w:id="456409408">
          <w:marLeft w:val="0"/>
          <w:marRight w:val="0"/>
          <w:marTop w:val="0"/>
          <w:marBottom w:val="0"/>
          <w:divBdr>
            <w:top w:val="none" w:sz="0" w:space="0" w:color="auto"/>
            <w:left w:val="none" w:sz="0" w:space="0" w:color="auto"/>
            <w:bottom w:val="none" w:sz="0" w:space="0" w:color="auto"/>
            <w:right w:val="none" w:sz="0" w:space="0" w:color="auto"/>
          </w:divBdr>
          <w:divsChild>
            <w:div w:id="1770344518">
              <w:marLeft w:val="0"/>
              <w:marRight w:val="0"/>
              <w:marTop w:val="0"/>
              <w:marBottom w:val="0"/>
              <w:divBdr>
                <w:top w:val="none" w:sz="0" w:space="0" w:color="auto"/>
                <w:left w:val="none" w:sz="0" w:space="0" w:color="auto"/>
                <w:bottom w:val="none" w:sz="0" w:space="0" w:color="auto"/>
                <w:right w:val="none" w:sz="0" w:space="0" w:color="auto"/>
              </w:divBdr>
              <w:divsChild>
                <w:div w:id="1552575018">
                  <w:marLeft w:val="0"/>
                  <w:marRight w:val="0"/>
                  <w:marTop w:val="0"/>
                  <w:marBottom w:val="0"/>
                  <w:divBdr>
                    <w:top w:val="none" w:sz="0" w:space="0" w:color="auto"/>
                    <w:left w:val="none" w:sz="0" w:space="0" w:color="auto"/>
                    <w:bottom w:val="none" w:sz="0" w:space="0" w:color="auto"/>
                    <w:right w:val="none" w:sz="0" w:space="0" w:color="auto"/>
                  </w:divBdr>
                  <w:divsChild>
                    <w:div w:id="4100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606265">
      <w:bodyDiv w:val="1"/>
      <w:marLeft w:val="0"/>
      <w:marRight w:val="0"/>
      <w:marTop w:val="0"/>
      <w:marBottom w:val="0"/>
      <w:divBdr>
        <w:top w:val="none" w:sz="0" w:space="0" w:color="auto"/>
        <w:left w:val="none" w:sz="0" w:space="0" w:color="auto"/>
        <w:bottom w:val="none" w:sz="0" w:space="0" w:color="auto"/>
        <w:right w:val="none" w:sz="0" w:space="0" w:color="auto"/>
      </w:divBdr>
      <w:divsChild>
        <w:div w:id="1169755816">
          <w:marLeft w:val="0"/>
          <w:marRight w:val="0"/>
          <w:marTop w:val="0"/>
          <w:marBottom w:val="0"/>
          <w:divBdr>
            <w:top w:val="none" w:sz="0" w:space="0" w:color="auto"/>
            <w:left w:val="none" w:sz="0" w:space="0" w:color="auto"/>
            <w:bottom w:val="none" w:sz="0" w:space="0" w:color="auto"/>
            <w:right w:val="none" w:sz="0" w:space="0" w:color="auto"/>
          </w:divBdr>
          <w:divsChild>
            <w:div w:id="465658658">
              <w:marLeft w:val="0"/>
              <w:marRight w:val="0"/>
              <w:marTop w:val="0"/>
              <w:marBottom w:val="0"/>
              <w:divBdr>
                <w:top w:val="none" w:sz="0" w:space="0" w:color="auto"/>
                <w:left w:val="none" w:sz="0" w:space="0" w:color="auto"/>
                <w:bottom w:val="none" w:sz="0" w:space="0" w:color="auto"/>
                <w:right w:val="none" w:sz="0" w:space="0" w:color="auto"/>
              </w:divBdr>
              <w:divsChild>
                <w:div w:id="7232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9863">
      <w:bodyDiv w:val="1"/>
      <w:marLeft w:val="0"/>
      <w:marRight w:val="0"/>
      <w:marTop w:val="0"/>
      <w:marBottom w:val="0"/>
      <w:divBdr>
        <w:top w:val="none" w:sz="0" w:space="0" w:color="auto"/>
        <w:left w:val="none" w:sz="0" w:space="0" w:color="auto"/>
        <w:bottom w:val="none" w:sz="0" w:space="0" w:color="auto"/>
        <w:right w:val="none" w:sz="0" w:space="0" w:color="auto"/>
      </w:divBdr>
      <w:divsChild>
        <w:div w:id="464391932">
          <w:marLeft w:val="0"/>
          <w:marRight w:val="0"/>
          <w:marTop w:val="0"/>
          <w:marBottom w:val="0"/>
          <w:divBdr>
            <w:top w:val="none" w:sz="0" w:space="0" w:color="auto"/>
            <w:left w:val="none" w:sz="0" w:space="0" w:color="auto"/>
            <w:bottom w:val="none" w:sz="0" w:space="0" w:color="auto"/>
            <w:right w:val="none" w:sz="0" w:space="0" w:color="auto"/>
          </w:divBdr>
          <w:divsChild>
            <w:div w:id="1360819169">
              <w:marLeft w:val="0"/>
              <w:marRight w:val="0"/>
              <w:marTop w:val="0"/>
              <w:marBottom w:val="0"/>
              <w:divBdr>
                <w:top w:val="none" w:sz="0" w:space="0" w:color="auto"/>
                <w:left w:val="none" w:sz="0" w:space="0" w:color="auto"/>
                <w:bottom w:val="none" w:sz="0" w:space="0" w:color="auto"/>
                <w:right w:val="none" w:sz="0" w:space="0" w:color="auto"/>
              </w:divBdr>
              <w:divsChild>
                <w:div w:id="3513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8416">
      <w:bodyDiv w:val="1"/>
      <w:marLeft w:val="0"/>
      <w:marRight w:val="0"/>
      <w:marTop w:val="0"/>
      <w:marBottom w:val="0"/>
      <w:divBdr>
        <w:top w:val="none" w:sz="0" w:space="0" w:color="auto"/>
        <w:left w:val="none" w:sz="0" w:space="0" w:color="auto"/>
        <w:bottom w:val="none" w:sz="0" w:space="0" w:color="auto"/>
        <w:right w:val="none" w:sz="0" w:space="0" w:color="auto"/>
      </w:divBdr>
    </w:div>
    <w:div w:id="1462648715">
      <w:bodyDiv w:val="1"/>
      <w:marLeft w:val="0"/>
      <w:marRight w:val="0"/>
      <w:marTop w:val="0"/>
      <w:marBottom w:val="0"/>
      <w:divBdr>
        <w:top w:val="none" w:sz="0" w:space="0" w:color="auto"/>
        <w:left w:val="none" w:sz="0" w:space="0" w:color="auto"/>
        <w:bottom w:val="none" w:sz="0" w:space="0" w:color="auto"/>
        <w:right w:val="none" w:sz="0" w:space="0" w:color="auto"/>
      </w:divBdr>
      <w:divsChild>
        <w:div w:id="1379234576">
          <w:marLeft w:val="0"/>
          <w:marRight w:val="0"/>
          <w:marTop w:val="0"/>
          <w:marBottom w:val="0"/>
          <w:divBdr>
            <w:top w:val="none" w:sz="0" w:space="0" w:color="auto"/>
            <w:left w:val="none" w:sz="0" w:space="0" w:color="auto"/>
            <w:bottom w:val="none" w:sz="0" w:space="0" w:color="auto"/>
            <w:right w:val="none" w:sz="0" w:space="0" w:color="auto"/>
          </w:divBdr>
          <w:divsChild>
            <w:div w:id="19665279">
              <w:marLeft w:val="0"/>
              <w:marRight w:val="0"/>
              <w:marTop w:val="0"/>
              <w:marBottom w:val="0"/>
              <w:divBdr>
                <w:top w:val="none" w:sz="0" w:space="0" w:color="auto"/>
                <w:left w:val="none" w:sz="0" w:space="0" w:color="auto"/>
                <w:bottom w:val="none" w:sz="0" w:space="0" w:color="auto"/>
                <w:right w:val="none" w:sz="0" w:space="0" w:color="auto"/>
              </w:divBdr>
              <w:divsChild>
                <w:div w:id="9186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77569">
      <w:bodyDiv w:val="1"/>
      <w:marLeft w:val="0"/>
      <w:marRight w:val="0"/>
      <w:marTop w:val="0"/>
      <w:marBottom w:val="0"/>
      <w:divBdr>
        <w:top w:val="none" w:sz="0" w:space="0" w:color="auto"/>
        <w:left w:val="none" w:sz="0" w:space="0" w:color="auto"/>
        <w:bottom w:val="none" w:sz="0" w:space="0" w:color="auto"/>
        <w:right w:val="none" w:sz="0" w:space="0" w:color="auto"/>
      </w:divBdr>
      <w:divsChild>
        <w:div w:id="1622564583">
          <w:marLeft w:val="0"/>
          <w:marRight w:val="0"/>
          <w:marTop w:val="0"/>
          <w:marBottom w:val="0"/>
          <w:divBdr>
            <w:top w:val="none" w:sz="0" w:space="0" w:color="auto"/>
            <w:left w:val="none" w:sz="0" w:space="0" w:color="auto"/>
            <w:bottom w:val="none" w:sz="0" w:space="0" w:color="auto"/>
            <w:right w:val="none" w:sz="0" w:space="0" w:color="auto"/>
          </w:divBdr>
          <w:divsChild>
            <w:div w:id="1222445663">
              <w:marLeft w:val="0"/>
              <w:marRight w:val="0"/>
              <w:marTop w:val="0"/>
              <w:marBottom w:val="0"/>
              <w:divBdr>
                <w:top w:val="none" w:sz="0" w:space="0" w:color="auto"/>
                <w:left w:val="none" w:sz="0" w:space="0" w:color="auto"/>
                <w:bottom w:val="none" w:sz="0" w:space="0" w:color="auto"/>
                <w:right w:val="none" w:sz="0" w:space="0" w:color="auto"/>
              </w:divBdr>
              <w:divsChild>
                <w:div w:id="18459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27382">
      <w:bodyDiv w:val="1"/>
      <w:marLeft w:val="0"/>
      <w:marRight w:val="0"/>
      <w:marTop w:val="0"/>
      <w:marBottom w:val="0"/>
      <w:divBdr>
        <w:top w:val="none" w:sz="0" w:space="0" w:color="auto"/>
        <w:left w:val="none" w:sz="0" w:space="0" w:color="auto"/>
        <w:bottom w:val="none" w:sz="0" w:space="0" w:color="auto"/>
        <w:right w:val="none" w:sz="0" w:space="0" w:color="auto"/>
      </w:divBdr>
      <w:divsChild>
        <w:div w:id="31275772">
          <w:marLeft w:val="0"/>
          <w:marRight w:val="0"/>
          <w:marTop w:val="0"/>
          <w:marBottom w:val="0"/>
          <w:divBdr>
            <w:top w:val="none" w:sz="0" w:space="0" w:color="auto"/>
            <w:left w:val="none" w:sz="0" w:space="0" w:color="auto"/>
            <w:bottom w:val="none" w:sz="0" w:space="0" w:color="auto"/>
            <w:right w:val="none" w:sz="0" w:space="0" w:color="auto"/>
          </w:divBdr>
          <w:divsChild>
            <w:div w:id="1895509575">
              <w:marLeft w:val="0"/>
              <w:marRight w:val="0"/>
              <w:marTop w:val="0"/>
              <w:marBottom w:val="0"/>
              <w:divBdr>
                <w:top w:val="none" w:sz="0" w:space="0" w:color="auto"/>
                <w:left w:val="none" w:sz="0" w:space="0" w:color="auto"/>
                <w:bottom w:val="none" w:sz="0" w:space="0" w:color="auto"/>
                <w:right w:val="none" w:sz="0" w:space="0" w:color="auto"/>
              </w:divBdr>
              <w:divsChild>
                <w:div w:id="15233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13415">
      <w:bodyDiv w:val="1"/>
      <w:marLeft w:val="0"/>
      <w:marRight w:val="0"/>
      <w:marTop w:val="0"/>
      <w:marBottom w:val="0"/>
      <w:divBdr>
        <w:top w:val="none" w:sz="0" w:space="0" w:color="auto"/>
        <w:left w:val="none" w:sz="0" w:space="0" w:color="auto"/>
        <w:bottom w:val="none" w:sz="0" w:space="0" w:color="auto"/>
        <w:right w:val="none" w:sz="0" w:space="0" w:color="auto"/>
      </w:divBdr>
    </w:div>
    <w:div w:id="1627738273">
      <w:bodyDiv w:val="1"/>
      <w:marLeft w:val="0"/>
      <w:marRight w:val="0"/>
      <w:marTop w:val="0"/>
      <w:marBottom w:val="0"/>
      <w:divBdr>
        <w:top w:val="none" w:sz="0" w:space="0" w:color="auto"/>
        <w:left w:val="none" w:sz="0" w:space="0" w:color="auto"/>
        <w:bottom w:val="none" w:sz="0" w:space="0" w:color="auto"/>
        <w:right w:val="none" w:sz="0" w:space="0" w:color="auto"/>
      </w:divBdr>
      <w:divsChild>
        <w:div w:id="1297839261">
          <w:marLeft w:val="0"/>
          <w:marRight w:val="0"/>
          <w:marTop w:val="0"/>
          <w:marBottom w:val="0"/>
          <w:divBdr>
            <w:top w:val="none" w:sz="0" w:space="0" w:color="auto"/>
            <w:left w:val="none" w:sz="0" w:space="0" w:color="auto"/>
            <w:bottom w:val="none" w:sz="0" w:space="0" w:color="auto"/>
            <w:right w:val="none" w:sz="0" w:space="0" w:color="auto"/>
          </w:divBdr>
          <w:divsChild>
            <w:div w:id="987636030">
              <w:marLeft w:val="0"/>
              <w:marRight w:val="0"/>
              <w:marTop w:val="0"/>
              <w:marBottom w:val="0"/>
              <w:divBdr>
                <w:top w:val="none" w:sz="0" w:space="0" w:color="auto"/>
                <w:left w:val="none" w:sz="0" w:space="0" w:color="auto"/>
                <w:bottom w:val="none" w:sz="0" w:space="0" w:color="auto"/>
                <w:right w:val="none" w:sz="0" w:space="0" w:color="auto"/>
              </w:divBdr>
              <w:divsChild>
                <w:div w:id="8318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57766">
      <w:bodyDiv w:val="1"/>
      <w:marLeft w:val="0"/>
      <w:marRight w:val="0"/>
      <w:marTop w:val="0"/>
      <w:marBottom w:val="0"/>
      <w:divBdr>
        <w:top w:val="none" w:sz="0" w:space="0" w:color="auto"/>
        <w:left w:val="none" w:sz="0" w:space="0" w:color="auto"/>
        <w:bottom w:val="none" w:sz="0" w:space="0" w:color="auto"/>
        <w:right w:val="none" w:sz="0" w:space="0" w:color="auto"/>
      </w:divBdr>
      <w:divsChild>
        <w:div w:id="406146923">
          <w:marLeft w:val="0"/>
          <w:marRight w:val="0"/>
          <w:marTop w:val="0"/>
          <w:marBottom w:val="0"/>
          <w:divBdr>
            <w:top w:val="none" w:sz="0" w:space="0" w:color="auto"/>
            <w:left w:val="none" w:sz="0" w:space="0" w:color="auto"/>
            <w:bottom w:val="none" w:sz="0" w:space="0" w:color="auto"/>
            <w:right w:val="none" w:sz="0" w:space="0" w:color="auto"/>
          </w:divBdr>
          <w:divsChild>
            <w:div w:id="411126439">
              <w:marLeft w:val="0"/>
              <w:marRight w:val="0"/>
              <w:marTop w:val="0"/>
              <w:marBottom w:val="0"/>
              <w:divBdr>
                <w:top w:val="none" w:sz="0" w:space="0" w:color="auto"/>
                <w:left w:val="none" w:sz="0" w:space="0" w:color="auto"/>
                <w:bottom w:val="none" w:sz="0" w:space="0" w:color="auto"/>
                <w:right w:val="none" w:sz="0" w:space="0" w:color="auto"/>
              </w:divBdr>
              <w:divsChild>
                <w:div w:id="31892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53611">
      <w:bodyDiv w:val="1"/>
      <w:marLeft w:val="0"/>
      <w:marRight w:val="0"/>
      <w:marTop w:val="0"/>
      <w:marBottom w:val="0"/>
      <w:divBdr>
        <w:top w:val="none" w:sz="0" w:space="0" w:color="auto"/>
        <w:left w:val="none" w:sz="0" w:space="0" w:color="auto"/>
        <w:bottom w:val="none" w:sz="0" w:space="0" w:color="auto"/>
        <w:right w:val="none" w:sz="0" w:space="0" w:color="auto"/>
      </w:divBdr>
    </w:div>
    <w:div w:id="1679195052">
      <w:bodyDiv w:val="1"/>
      <w:marLeft w:val="0"/>
      <w:marRight w:val="0"/>
      <w:marTop w:val="0"/>
      <w:marBottom w:val="0"/>
      <w:divBdr>
        <w:top w:val="none" w:sz="0" w:space="0" w:color="auto"/>
        <w:left w:val="none" w:sz="0" w:space="0" w:color="auto"/>
        <w:bottom w:val="none" w:sz="0" w:space="0" w:color="auto"/>
        <w:right w:val="none" w:sz="0" w:space="0" w:color="auto"/>
      </w:divBdr>
      <w:divsChild>
        <w:div w:id="636379576">
          <w:marLeft w:val="0"/>
          <w:marRight w:val="0"/>
          <w:marTop w:val="0"/>
          <w:marBottom w:val="0"/>
          <w:divBdr>
            <w:top w:val="none" w:sz="0" w:space="0" w:color="auto"/>
            <w:left w:val="none" w:sz="0" w:space="0" w:color="auto"/>
            <w:bottom w:val="none" w:sz="0" w:space="0" w:color="auto"/>
            <w:right w:val="none" w:sz="0" w:space="0" w:color="auto"/>
          </w:divBdr>
          <w:divsChild>
            <w:div w:id="1176307233">
              <w:marLeft w:val="0"/>
              <w:marRight w:val="0"/>
              <w:marTop w:val="0"/>
              <w:marBottom w:val="0"/>
              <w:divBdr>
                <w:top w:val="none" w:sz="0" w:space="0" w:color="auto"/>
                <w:left w:val="none" w:sz="0" w:space="0" w:color="auto"/>
                <w:bottom w:val="none" w:sz="0" w:space="0" w:color="auto"/>
                <w:right w:val="none" w:sz="0" w:space="0" w:color="auto"/>
              </w:divBdr>
              <w:divsChild>
                <w:div w:id="13435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4951">
      <w:bodyDiv w:val="1"/>
      <w:marLeft w:val="0"/>
      <w:marRight w:val="0"/>
      <w:marTop w:val="0"/>
      <w:marBottom w:val="0"/>
      <w:divBdr>
        <w:top w:val="none" w:sz="0" w:space="0" w:color="auto"/>
        <w:left w:val="none" w:sz="0" w:space="0" w:color="auto"/>
        <w:bottom w:val="none" w:sz="0" w:space="0" w:color="auto"/>
        <w:right w:val="none" w:sz="0" w:space="0" w:color="auto"/>
      </w:divBdr>
      <w:divsChild>
        <w:div w:id="1076364978">
          <w:marLeft w:val="0"/>
          <w:marRight w:val="0"/>
          <w:marTop w:val="0"/>
          <w:marBottom w:val="0"/>
          <w:divBdr>
            <w:top w:val="none" w:sz="0" w:space="0" w:color="auto"/>
            <w:left w:val="none" w:sz="0" w:space="0" w:color="auto"/>
            <w:bottom w:val="none" w:sz="0" w:space="0" w:color="auto"/>
            <w:right w:val="none" w:sz="0" w:space="0" w:color="auto"/>
          </w:divBdr>
          <w:divsChild>
            <w:div w:id="654800269">
              <w:marLeft w:val="0"/>
              <w:marRight w:val="0"/>
              <w:marTop w:val="0"/>
              <w:marBottom w:val="0"/>
              <w:divBdr>
                <w:top w:val="none" w:sz="0" w:space="0" w:color="auto"/>
                <w:left w:val="none" w:sz="0" w:space="0" w:color="auto"/>
                <w:bottom w:val="none" w:sz="0" w:space="0" w:color="auto"/>
                <w:right w:val="none" w:sz="0" w:space="0" w:color="auto"/>
              </w:divBdr>
              <w:divsChild>
                <w:div w:id="17863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506009">
      <w:bodyDiv w:val="1"/>
      <w:marLeft w:val="0"/>
      <w:marRight w:val="0"/>
      <w:marTop w:val="0"/>
      <w:marBottom w:val="0"/>
      <w:divBdr>
        <w:top w:val="none" w:sz="0" w:space="0" w:color="auto"/>
        <w:left w:val="none" w:sz="0" w:space="0" w:color="auto"/>
        <w:bottom w:val="none" w:sz="0" w:space="0" w:color="auto"/>
        <w:right w:val="none" w:sz="0" w:space="0" w:color="auto"/>
      </w:divBdr>
      <w:divsChild>
        <w:div w:id="545072420">
          <w:marLeft w:val="0"/>
          <w:marRight w:val="0"/>
          <w:marTop w:val="0"/>
          <w:marBottom w:val="0"/>
          <w:divBdr>
            <w:top w:val="none" w:sz="0" w:space="0" w:color="auto"/>
            <w:left w:val="none" w:sz="0" w:space="0" w:color="auto"/>
            <w:bottom w:val="none" w:sz="0" w:space="0" w:color="auto"/>
            <w:right w:val="none" w:sz="0" w:space="0" w:color="auto"/>
          </w:divBdr>
          <w:divsChild>
            <w:div w:id="387262217">
              <w:marLeft w:val="0"/>
              <w:marRight w:val="0"/>
              <w:marTop w:val="0"/>
              <w:marBottom w:val="0"/>
              <w:divBdr>
                <w:top w:val="none" w:sz="0" w:space="0" w:color="auto"/>
                <w:left w:val="none" w:sz="0" w:space="0" w:color="auto"/>
                <w:bottom w:val="none" w:sz="0" w:space="0" w:color="auto"/>
                <w:right w:val="none" w:sz="0" w:space="0" w:color="auto"/>
              </w:divBdr>
              <w:divsChild>
                <w:div w:id="10278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85146">
      <w:bodyDiv w:val="1"/>
      <w:marLeft w:val="0"/>
      <w:marRight w:val="0"/>
      <w:marTop w:val="0"/>
      <w:marBottom w:val="0"/>
      <w:divBdr>
        <w:top w:val="none" w:sz="0" w:space="0" w:color="auto"/>
        <w:left w:val="none" w:sz="0" w:space="0" w:color="auto"/>
        <w:bottom w:val="none" w:sz="0" w:space="0" w:color="auto"/>
        <w:right w:val="none" w:sz="0" w:space="0" w:color="auto"/>
      </w:divBdr>
    </w:div>
    <w:div w:id="1718164539">
      <w:bodyDiv w:val="1"/>
      <w:marLeft w:val="0"/>
      <w:marRight w:val="0"/>
      <w:marTop w:val="0"/>
      <w:marBottom w:val="0"/>
      <w:divBdr>
        <w:top w:val="none" w:sz="0" w:space="0" w:color="auto"/>
        <w:left w:val="none" w:sz="0" w:space="0" w:color="auto"/>
        <w:bottom w:val="none" w:sz="0" w:space="0" w:color="auto"/>
        <w:right w:val="none" w:sz="0" w:space="0" w:color="auto"/>
      </w:divBdr>
      <w:divsChild>
        <w:div w:id="1385714877">
          <w:marLeft w:val="0"/>
          <w:marRight w:val="0"/>
          <w:marTop w:val="0"/>
          <w:marBottom w:val="0"/>
          <w:divBdr>
            <w:top w:val="none" w:sz="0" w:space="0" w:color="auto"/>
            <w:left w:val="none" w:sz="0" w:space="0" w:color="auto"/>
            <w:bottom w:val="none" w:sz="0" w:space="0" w:color="auto"/>
            <w:right w:val="none" w:sz="0" w:space="0" w:color="auto"/>
          </w:divBdr>
          <w:divsChild>
            <w:div w:id="393043236">
              <w:marLeft w:val="0"/>
              <w:marRight w:val="0"/>
              <w:marTop w:val="0"/>
              <w:marBottom w:val="0"/>
              <w:divBdr>
                <w:top w:val="none" w:sz="0" w:space="0" w:color="auto"/>
                <w:left w:val="none" w:sz="0" w:space="0" w:color="auto"/>
                <w:bottom w:val="none" w:sz="0" w:space="0" w:color="auto"/>
                <w:right w:val="none" w:sz="0" w:space="0" w:color="auto"/>
              </w:divBdr>
              <w:divsChild>
                <w:div w:id="2837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7101">
      <w:bodyDiv w:val="1"/>
      <w:marLeft w:val="0"/>
      <w:marRight w:val="0"/>
      <w:marTop w:val="0"/>
      <w:marBottom w:val="0"/>
      <w:divBdr>
        <w:top w:val="none" w:sz="0" w:space="0" w:color="auto"/>
        <w:left w:val="none" w:sz="0" w:space="0" w:color="auto"/>
        <w:bottom w:val="none" w:sz="0" w:space="0" w:color="auto"/>
        <w:right w:val="none" w:sz="0" w:space="0" w:color="auto"/>
      </w:divBdr>
      <w:divsChild>
        <w:div w:id="2023119461">
          <w:marLeft w:val="0"/>
          <w:marRight w:val="0"/>
          <w:marTop w:val="0"/>
          <w:marBottom w:val="0"/>
          <w:divBdr>
            <w:top w:val="none" w:sz="0" w:space="0" w:color="auto"/>
            <w:left w:val="none" w:sz="0" w:space="0" w:color="auto"/>
            <w:bottom w:val="none" w:sz="0" w:space="0" w:color="auto"/>
            <w:right w:val="none" w:sz="0" w:space="0" w:color="auto"/>
          </w:divBdr>
          <w:divsChild>
            <w:div w:id="526606940">
              <w:marLeft w:val="0"/>
              <w:marRight w:val="0"/>
              <w:marTop w:val="0"/>
              <w:marBottom w:val="0"/>
              <w:divBdr>
                <w:top w:val="none" w:sz="0" w:space="0" w:color="auto"/>
                <w:left w:val="none" w:sz="0" w:space="0" w:color="auto"/>
                <w:bottom w:val="none" w:sz="0" w:space="0" w:color="auto"/>
                <w:right w:val="none" w:sz="0" w:space="0" w:color="auto"/>
              </w:divBdr>
              <w:divsChild>
                <w:div w:id="15234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6394">
      <w:bodyDiv w:val="1"/>
      <w:marLeft w:val="0"/>
      <w:marRight w:val="0"/>
      <w:marTop w:val="0"/>
      <w:marBottom w:val="0"/>
      <w:divBdr>
        <w:top w:val="none" w:sz="0" w:space="0" w:color="auto"/>
        <w:left w:val="none" w:sz="0" w:space="0" w:color="auto"/>
        <w:bottom w:val="none" w:sz="0" w:space="0" w:color="auto"/>
        <w:right w:val="none" w:sz="0" w:space="0" w:color="auto"/>
      </w:divBdr>
      <w:divsChild>
        <w:div w:id="1091927945">
          <w:marLeft w:val="0"/>
          <w:marRight w:val="0"/>
          <w:marTop w:val="0"/>
          <w:marBottom w:val="0"/>
          <w:divBdr>
            <w:top w:val="none" w:sz="0" w:space="0" w:color="auto"/>
            <w:left w:val="none" w:sz="0" w:space="0" w:color="auto"/>
            <w:bottom w:val="none" w:sz="0" w:space="0" w:color="auto"/>
            <w:right w:val="none" w:sz="0" w:space="0" w:color="auto"/>
          </w:divBdr>
          <w:divsChild>
            <w:div w:id="1616406383">
              <w:marLeft w:val="0"/>
              <w:marRight w:val="0"/>
              <w:marTop w:val="0"/>
              <w:marBottom w:val="0"/>
              <w:divBdr>
                <w:top w:val="none" w:sz="0" w:space="0" w:color="auto"/>
                <w:left w:val="none" w:sz="0" w:space="0" w:color="auto"/>
                <w:bottom w:val="none" w:sz="0" w:space="0" w:color="auto"/>
                <w:right w:val="none" w:sz="0" w:space="0" w:color="auto"/>
              </w:divBdr>
              <w:divsChild>
                <w:div w:id="2882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77803">
      <w:bodyDiv w:val="1"/>
      <w:marLeft w:val="0"/>
      <w:marRight w:val="0"/>
      <w:marTop w:val="0"/>
      <w:marBottom w:val="0"/>
      <w:divBdr>
        <w:top w:val="none" w:sz="0" w:space="0" w:color="auto"/>
        <w:left w:val="none" w:sz="0" w:space="0" w:color="auto"/>
        <w:bottom w:val="none" w:sz="0" w:space="0" w:color="auto"/>
        <w:right w:val="none" w:sz="0" w:space="0" w:color="auto"/>
      </w:divBdr>
    </w:div>
    <w:div w:id="1769931120">
      <w:bodyDiv w:val="1"/>
      <w:marLeft w:val="0"/>
      <w:marRight w:val="0"/>
      <w:marTop w:val="0"/>
      <w:marBottom w:val="0"/>
      <w:divBdr>
        <w:top w:val="none" w:sz="0" w:space="0" w:color="auto"/>
        <w:left w:val="none" w:sz="0" w:space="0" w:color="auto"/>
        <w:bottom w:val="none" w:sz="0" w:space="0" w:color="auto"/>
        <w:right w:val="none" w:sz="0" w:space="0" w:color="auto"/>
      </w:divBdr>
    </w:div>
    <w:div w:id="1794245388">
      <w:bodyDiv w:val="1"/>
      <w:marLeft w:val="0"/>
      <w:marRight w:val="0"/>
      <w:marTop w:val="0"/>
      <w:marBottom w:val="0"/>
      <w:divBdr>
        <w:top w:val="none" w:sz="0" w:space="0" w:color="auto"/>
        <w:left w:val="none" w:sz="0" w:space="0" w:color="auto"/>
        <w:bottom w:val="none" w:sz="0" w:space="0" w:color="auto"/>
        <w:right w:val="none" w:sz="0" w:space="0" w:color="auto"/>
      </w:divBdr>
      <w:divsChild>
        <w:div w:id="85616086">
          <w:marLeft w:val="0"/>
          <w:marRight w:val="0"/>
          <w:marTop w:val="0"/>
          <w:marBottom w:val="0"/>
          <w:divBdr>
            <w:top w:val="none" w:sz="0" w:space="0" w:color="auto"/>
            <w:left w:val="none" w:sz="0" w:space="0" w:color="auto"/>
            <w:bottom w:val="none" w:sz="0" w:space="0" w:color="auto"/>
            <w:right w:val="none" w:sz="0" w:space="0" w:color="auto"/>
          </w:divBdr>
          <w:divsChild>
            <w:div w:id="1957323733">
              <w:marLeft w:val="0"/>
              <w:marRight w:val="0"/>
              <w:marTop w:val="0"/>
              <w:marBottom w:val="0"/>
              <w:divBdr>
                <w:top w:val="none" w:sz="0" w:space="0" w:color="auto"/>
                <w:left w:val="none" w:sz="0" w:space="0" w:color="auto"/>
                <w:bottom w:val="none" w:sz="0" w:space="0" w:color="auto"/>
                <w:right w:val="none" w:sz="0" w:space="0" w:color="auto"/>
              </w:divBdr>
              <w:divsChild>
                <w:div w:id="128045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53064">
      <w:bodyDiv w:val="1"/>
      <w:marLeft w:val="0"/>
      <w:marRight w:val="0"/>
      <w:marTop w:val="0"/>
      <w:marBottom w:val="0"/>
      <w:divBdr>
        <w:top w:val="none" w:sz="0" w:space="0" w:color="auto"/>
        <w:left w:val="none" w:sz="0" w:space="0" w:color="auto"/>
        <w:bottom w:val="none" w:sz="0" w:space="0" w:color="auto"/>
        <w:right w:val="none" w:sz="0" w:space="0" w:color="auto"/>
      </w:divBdr>
    </w:div>
    <w:div w:id="1816138860">
      <w:bodyDiv w:val="1"/>
      <w:marLeft w:val="0"/>
      <w:marRight w:val="0"/>
      <w:marTop w:val="0"/>
      <w:marBottom w:val="0"/>
      <w:divBdr>
        <w:top w:val="none" w:sz="0" w:space="0" w:color="auto"/>
        <w:left w:val="none" w:sz="0" w:space="0" w:color="auto"/>
        <w:bottom w:val="none" w:sz="0" w:space="0" w:color="auto"/>
        <w:right w:val="none" w:sz="0" w:space="0" w:color="auto"/>
      </w:divBdr>
    </w:div>
    <w:div w:id="1816952730">
      <w:bodyDiv w:val="1"/>
      <w:marLeft w:val="0"/>
      <w:marRight w:val="0"/>
      <w:marTop w:val="0"/>
      <w:marBottom w:val="0"/>
      <w:divBdr>
        <w:top w:val="none" w:sz="0" w:space="0" w:color="auto"/>
        <w:left w:val="none" w:sz="0" w:space="0" w:color="auto"/>
        <w:bottom w:val="none" w:sz="0" w:space="0" w:color="auto"/>
        <w:right w:val="none" w:sz="0" w:space="0" w:color="auto"/>
      </w:divBdr>
    </w:div>
    <w:div w:id="1853647073">
      <w:bodyDiv w:val="1"/>
      <w:marLeft w:val="0"/>
      <w:marRight w:val="0"/>
      <w:marTop w:val="0"/>
      <w:marBottom w:val="0"/>
      <w:divBdr>
        <w:top w:val="none" w:sz="0" w:space="0" w:color="auto"/>
        <w:left w:val="none" w:sz="0" w:space="0" w:color="auto"/>
        <w:bottom w:val="none" w:sz="0" w:space="0" w:color="auto"/>
        <w:right w:val="none" w:sz="0" w:space="0" w:color="auto"/>
      </w:divBdr>
    </w:div>
    <w:div w:id="1856462446">
      <w:bodyDiv w:val="1"/>
      <w:marLeft w:val="0"/>
      <w:marRight w:val="0"/>
      <w:marTop w:val="0"/>
      <w:marBottom w:val="0"/>
      <w:divBdr>
        <w:top w:val="none" w:sz="0" w:space="0" w:color="auto"/>
        <w:left w:val="none" w:sz="0" w:space="0" w:color="auto"/>
        <w:bottom w:val="none" w:sz="0" w:space="0" w:color="auto"/>
        <w:right w:val="none" w:sz="0" w:space="0" w:color="auto"/>
      </w:divBdr>
      <w:divsChild>
        <w:div w:id="1289624571">
          <w:marLeft w:val="0"/>
          <w:marRight w:val="0"/>
          <w:marTop w:val="0"/>
          <w:marBottom w:val="0"/>
          <w:divBdr>
            <w:top w:val="none" w:sz="0" w:space="0" w:color="auto"/>
            <w:left w:val="none" w:sz="0" w:space="0" w:color="auto"/>
            <w:bottom w:val="none" w:sz="0" w:space="0" w:color="auto"/>
            <w:right w:val="none" w:sz="0" w:space="0" w:color="auto"/>
          </w:divBdr>
          <w:divsChild>
            <w:div w:id="214392387">
              <w:marLeft w:val="0"/>
              <w:marRight w:val="0"/>
              <w:marTop w:val="0"/>
              <w:marBottom w:val="0"/>
              <w:divBdr>
                <w:top w:val="none" w:sz="0" w:space="0" w:color="auto"/>
                <w:left w:val="none" w:sz="0" w:space="0" w:color="auto"/>
                <w:bottom w:val="none" w:sz="0" w:space="0" w:color="auto"/>
                <w:right w:val="none" w:sz="0" w:space="0" w:color="auto"/>
              </w:divBdr>
              <w:divsChild>
                <w:div w:id="15289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75836">
      <w:bodyDiv w:val="1"/>
      <w:marLeft w:val="0"/>
      <w:marRight w:val="0"/>
      <w:marTop w:val="0"/>
      <w:marBottom w:val="0"/>
      <w:divBdr>
        <w:top w:val="none" w:sz="0" w:space="0" w:color="auto"/>
        <w:left w:val="none" w:sz="0" w:space="0" w:color="auto"/>
        <w:bottom w:val="none" w:sz="0" w:space="0" w:color="auto"/>
        <w:right w:val="none" w:sz="0" w:space="0" w:color="auto"/>
      </w:divBdr>
      <w:divsChild>
        <w:div w:id="1553425725">
          <w:marLeft w:val="0"/>
          <w:marRight w:val="0"/>
          <w:marTop w:val="0"/>
          <w:marBottom w:val="0"/>
          <w:divBdr>
            <w:top w:val="none" w:sz="0" w:space="0" w:color="auto"/>
            <w:left w:val="none" w:sz="0" w:space="0" w:color="auto"/>
            <w:bottom w:val="none" w:sz="0" w:space="0" w:color="auto"/>
            <w:right w:val="none" w:sz="0" w:space="0" w:color="auto"/>
          </w:divBdr>
          <w:divsChild>
            <w:div w:id="967513058">
              <w:marLeft w:val="0"/>
              <w:marRight w:val="0"/>
              <w:marTop w:val="0"/>
              <w:marBottom w:val="0"/>
              <w:divBdr>
                <w:top w:val="none" w:sz="0" w:space="0" w:color="auto"/>
                <w:left w:val="none" w:sz="0" w:space="0" w:color="auto"/>
                <w:bottom w:val="none" w:sz="0" w:space="0" w:color="auto"/>
                <w:right w:val="none" w:sz="0" w:space="0" w:color="auto"/>
              </w:divBdr>
              <w:divsChild>
                <w:div w:id="1008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59478">
      <w:bodyDiv w:val="1"/>
      <w:marLeft w:val="0"/>
      <w:marRight w:val="0"/>
      <w:marTop w:val="0"/>
      <w:marBottom w:val="0"/>
      <w:divBdr>
        <w:top w:val="none" w:sz="0" w:space="0" w:color="auto"/>
        <w:left w:val="none" w:sz="0" w:space="0" w:color="auto"/>
        <w:bottom w:val="none" w:sz="0" w:space="0" w:color="auto"/>
        <w:right w:val="none" w:sz="0" w:space="0" w:color="auto"/>
      </w:divBdr>
      <w:divsChild>
        <w:div w:id="294221131">
          <w:marLeft w:val="0"/>
          <w:marRight w:val="0"/>
          <w:marTop w:val="0"/>
          <w:marBottom w:val="0"/>
          <w:divBdr>
            <w:top w:val="none" w:sz="0" w:space="0" w:color="auto"/>
            <w:left w:val="none" w:sz="0" w:space="0" w:color="auto"/>
            <w:bottom w:val="none" w:sz="0" w:space="0" w:color="auto"/>
            <w:right w:val="none" w:sz="0" w:space="0" w:color="auto"/>
          </w:divBdr>
          <w:divsChild>
            <w:div w:id="1200125837">
              <w:marLeft w:val="0"/>
              <w:marRight w:val="0"/>
              <w:marTop w:val="0"/>
              <w:marBottom w:val="0"/>
              <w:divBdr>
                <w:top w:val="none" w:sz="0" w:space="0" w:color="auto"/>
                <w:left w:val="none" w:sz="0" w:space="0" w:color="auto"/>
                <w:bottom w:val="none" w:sz="0" w:space="0" w:color="auto"/>
                <w:right w:val="none" w:sz="0" w:space="0" w:color="auto"/>
              </w:divBdr>
              <w:divsChild>
                <w:div w:id="14568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54800">
      <w:bodyDiv w:val="1"/>
      <w:marLeft w:val="0"/>
      <w:marRight w:val="0"/>
      <w:marTop w:val="0"/>
      <w:marBottom w:val="0"/>
      <w:divBdr>
        <w:top w:val="none" w:sz="0" w:space="0" w:color="auto"/>
        <w:left w:val="none" w:sz="0" w:space="0" w:color="auto"/>
        <w:bottom w:val="none" w:sz="0" w:space="0" w:color="auto"/>
        <w:right w:val="none" w:sz="0" w:space="0" w:color="auto"/>
      </w:divBdr>
    </w:div>
    <w:div w:id="1979458380">
      <w:bodyDiv w:val="1"/>
      <w:marLeft w:val="0"/>
      <w:marRight w:val="0"/>
      <w:marTop w:val="0"/>
      <w:marBottom w:val="0"/>
      <w:divBdr>
        <w:top w:val="none" w:sz="0" w:space="0" w:color="auto"/>
        <w:left w:val="none" w:sz="0" w:space="0" w:color="auto"/>
        <w:bottom w:val="none" w:sz="0" w:space="0" w:color="auto"/>
        <w:right w:val="none" w:sz="0" w:space="0" w:color="auto"/>
      </w:divBdr>
    </w:div>
    <w:div w:id="1983384642">
      <w:bodyDiv w:val="1"/>
      <w:marLeft w:val="0"/>
      <w:marRight w:val="0"/>
      <w:marTop w:val="0"/>
      <w:marBottom w:val="0"/>
      <w:divBdr>
        <w:top w:val="none" w:sz="0" w:space="0" w:color="auto"/>
        <w:left w:val="none" w:sz="0" w:space="0" w:color="auto"/>
        <w:bottom w:val="none" w:sz="0" w:space="0" w:color="auto"/>
        <w:right w:val="none" w:sz="0" w:space="0" w:color="auto"/>
      </w:divBdr>
      <w:divsChild>
        <w:div w:id="691496179">
          <w:marLeft w:val="0"/>
          <w:marRight w:val="0"/>
          <w:marTop w:val="0"/>
          <w:marBottom w:val="0"/>
          <w:divBdr>
            <w:top w:val="none" w:sz="0" w:space="0" w:color="auto"/>
            <w:left w:val="none" w:sz="0" w:space="0" w:color="auto"/>
            <w:bottom w:val="none" w:sz="0" w:space="0" w:color="auto"/>
            <w:right w:val="none" w:sz="0" w:space="0" w:color="auto"/>
          </w:divBdr>
          <w:divsChild>
            <w:div w:id="387654339">
              <w:marLeft w:val="0"/>
              <w:marRight w:val="0"/>
              <w:marTop w:val="0"/>
              <w:marBottom w:val="0"/>
              <w:divBdr>
                <w:top w:val="none" w:sz="0" w:space="0" w:color="auto"/>
                <w:left w:val="none" w:sz="0" w:space="0" w:color="auto"/>
                <w:bottom w:val="none" w:sz="0" w:space="0" w:color="auto"/>
                <w:right w:val="none" w:sz="0" w:space="0" w:color="auto"/>
              </w:divBdr>
              <w:divsChild>
                <w:div w:id="6441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48388">
      <w:bodyDiv w:val="1"/>
      <w:marLeft w:val="0"/>
      <w:marRight w:val="0"/>
      <w:marTop w:val="0"/>
      <w:marBottom w:val="0"/>
      <w:divBdr>
        <w:top w:val="none" w:sz="0" w:space="0" w:color="auto"/>
        <w:left w:val="none" w:sz="0" w:space="0" w:color="auto"/>
        <w:bottom w:val="none" w:sz="0" w:space="0" w:color="auto"/>
        <w:right w:val="none" w:sz="0" w:space="0" w:color="auto"/>
      </w:divBdr>
      <w:divsChild>
        <w:div w:id="122962445">
          <w:marLeft w:val="0"/>
          <w:marRight w:val="0"/>
          <w:marTop w:val="0"/>
          <w:marBottom w:val="0"/>
          <w:divBdr>
            <w:top w:val="none" w:sz="0" w:space="0" w:color="auto"/>
            <w:left w:val="none" w:sz="0" w:space="0" w:color="auto"/>
            <w:bottom w:val="none" w:sz="0" w:space="0" w:color="auto"/>
            <w:right w:val="none" w:sz="0" w:space="0" w:color="auto"/>
          </w:divBdr>
          <w:divsChild>
            <w:div w:id="1515073363">
              <w:marLeft w:val="0"/>
              <w:marRight w:val="0"/>
              <w:marTop w:val="0"/>
              <w:marBottom w:val="0"/>
              <w:divBdr>
                <w:top w:val="none" w:sz="0" w:space="0" w:color="auto"/>
                <w:left w:val="none" w:sz="0" w:space="0" w:color="auto"/>
                <w:bottom w:val="none" w:sz="0" w:space="0" w:color="auto"/>
                <w:right w:val="none" w:sz="0" w:space="0" w:color="auto"/>
              </w:divBdr>
              <w:divsChild>
                <w:div w:id="20177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4721">
      <w:bodyDiv w:val="1"/>
      <w:marLeft w:val="0"/>
      <w:marRight w:val="0"/>
      <w:marTop w:val="0"/>
      <w:marBottom w:val="0"/>
      <w:divBdr>
        <w:top w:val="none" w:sz="0" w:space="0" w:color="auto"/>
        <w:left w:val="none" w:sz="0" w:space="0" w:color="auto"/>
        <w:bottom w:val="none" w:sz="0" w:space="0" w:color="auto"/>
        <w:right w:val="none" w:sz="0" w:space="0" w:color="auto"/>
      </w:divBdr>
      <w:divsChild>
        <w:div w:id="52774386">
          <w:marLeft w:val="0"/>
          <w:marRight w:val="0"/>
          <w:marTop w:val="0"/>
          <w:marBottom w:val="0"/>
          <w:divBdr>
            <w:top w:val="none" w:sz="0" w:space="0" w:color="auto"/>
            <w:left w:val="none" w:sz="0" w:space="0" w:color="auto"/>
            <w:bottom w:val="none" w:sz="0" w:space="0" w:color="auto"/>
            <w:right w:val="none" w:sz="0" w:space="0" w:color="auto"/>
          </w:divBdr>
          <w:divsChild>
            <w:div w:id="1903171869">
              <w:marLeft w:val="0"/>
              <w:marRight w:val="0"/>
              <w:marTop w:val="0"/>
              <w:marBottom w:val="0"/>
              <w:divBdr>
                <w:top w:val="none" w:sz="0" w:space="0" w:color="auto"/>
                <w:left w:val="none" w:sz="0" w:space="0" w:color="auto"/>
                <w:bottom w:val="none" w:sz="0" w:space="0" w:color="auto"/>
                <w:right w:val="none" w:sz="0" w:space="0" w:color="auto"/>
              </w:divBdr>
              <w:divsChild>
                <w:div w:id="2510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066">
      <w:bodyDiv w:val="1"/>
      <w:marLeft w:val="0"/>
      <w:marRight w:val="0"/>
      <w:marTop w:val="0"/>
      <w:marBottom w:val="0"/>
      <w:divBdr>
        <w:top w:val="none" w:sz="0" w:space="0" w:color="auto"/>
        <w:left w:val="none" w:sz="0" w:space="0" w:color="auto"/>
        <w:bottom w:val="none" w:sz="0" w:space="0" w:color="auto"/>
        <w:right w:val="none" w:sz="0" w:space="0" w:color="auto"/>
      </w:divBdr>
      <w:divsChild>
        <w:div w:id="596207987">
          <w:marLeft w:val="0"/>
          <w:marRight w:val="0"/>
          <w:marTop w:val="0"/>
          <w:marBottom w:val="0"/>
          <w:divBdr>
            <w:top w:val="none" w:sz="0" w:space="0" w:color="auto"/>
            <w:left w:val="none" w:sz="0" w:space="0" w:color="auto"/>
            <w:bottom w:val="none" w:sz="0" w:space="0" w:color="auto"/>
            <w:right w:val="none" w:sz="0" w:space="0" w:color="auto"/>
          </w:divBdr>
          <w:divsChild>
            <w:div w:id="2024479213">
              <w:marLeft w:val="0"/>
              <w:marRight w:val="0"/>
              <w:marTop w:val="0"/>
              <w:marBottom w:val="0"/>
              <w:divBdr>
                <w:top w:val="none" w:sz="0" w:space="0" w:color="auto"/>
                <w:left w:val="none" w:sz="0" w:space="0" w:color="auto"/>
                <w:bottom w:val="none" w:sz="0" w:space="0" w:color="auto"/>
                <w:right w:val="none" w:sz="0" w:space="0" w:color="auto"/>
              </w:divBdr>
              <w:divsChild>
                <w:div w:id="5168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301107">
      <w:bodyDiv w:val="1"/>
      <w:marLeft w:val="0"/>
      <w:marRight w:val="0"/>
      <w:marTop w:val="0"/>
      <w:marBottom w:val="0"/>
      <w:divBdr>
        <w:top w:val="none" w:sz="0" w:space="0" w:color="auto"/>
        <w:left w:val="none" w:sz="0" w:space="0" w:color="auto"/>
        <w:bottom w:val="none" w:sz="0" w:space="0" w:color="auto"/>
        <w:right w:val="none" w:sz="0" w:space="0" w:color="auto"/>
      </w:divBdr>
      <w:divsChild>
        <w:div w:id="1315602174">
          <w:marLeft w:val="0"/>
          <w:marRight w:val="0"/>
          <w:marTop w:val="0"/>
          <w:marBottom w:val="0"/>
          <w:divBdr>
            <w:top w:val="none" w:sz="0" w:space="0" w:color="auto"/>
            <w:left w:val="none" w:sz="0" w:space="0" w:color="auto"/>
            <w:bottom w:val="none" w:sz="0" w:space="0" w:color="auto"/>
            <w:right w:val="none" w:sz="0" w:space="0" w:color="auto"/>
          </w:divBdr>
          <w:divsChild>
            <w:div w:id="653608843">
              <w:marLeft w:val="0"/>
              <w:marRight w:val="0"/>
              <w:marTop w:val="0"/>
              <w:marBottom w:val="0"/>
              <w:divBdr>
                <w:top w:val="none" w:sz="0" w:space="0" w:color="auto"/>
                <w:left w:val="none" w:sz="0" w:space="0" w:color="auto"/>
                <w:bottom w:val="none" w:sz="0" w:space="0" w:color="auto"/>
                <w:right w:val="none" w:sz="0" w:space="0" w:color="auto"/>
              </w:divBdr>
              <w:divsChild>
                <w:div w:id="3117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7-principles-of-public-life/the-7-principles-of-public-lif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A0C43-F45C-4510-8528-12E3C569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5061</Words>
  <Characters>28853</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Robertson</dc:creator>
  <cp:keywords/>
  <dc:description/>
  <cp:lastModifiedBy>Conor Boyle</cp:lastModifiedBy>
  <cp:revision>2</cp:revision>
  <dcterms:created xsi:type="dcterms:W3CDTF">2021-08-05T11:05:00Z</dcterms:created>
  <dcterms:modified xsi:type="dcterms:W3CDTF">2021-08-05T11:05:00Z</dcterms:modified>
</cp:coreProperties>
</file>