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3247" w14:textId="36556126" w:rsidR="00353561" w:rsidRPr="00587912" w:rsidRDefault="00FF32BC" w:rsidP="00353561">
      <w:pPr>
        <w:jc w:val="center"/>
      </w:pPr>
      <w:bookmarkStart w:id="0" w:name="_Toc24110120"/>
      <w:r>
        <w:rPr>
          <w:noProof/>
        </w:rPr>
        <w:drawing>
          <wp:inline distT="0" distB="0" distL="0" distR="0" wp14:anchorId="36C51B1E" wp14:editId="22A21DA4">
            <wp:extent cx="2578613" cy="3255271"/>
            <wp:effectExtent l="0" t="0" r="0" b="0"/>
            <wp:docPr id="1025762451" name="Picture 102576245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62451" name="Picture 2" descr="A purpl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8613" cy="3255271"/>
                    </a:xfrm>
                    <a:prstGeom prst="rect">
                      <a:avLst/>
                    </a:prstGeom>
                  </pic:spPr>
                </pic:pic>
              </a:graphicData>
            </a:graphic>
          </wp:inline>
        </w:drawing>
      </w:r>
    </w:p>
    <w:p w14:paraId="2249FDF4" w14:textId="5D19E9D5" w:rsidR="000B57E4" w:rsidRDefault="008172AE" w:rsidP="00353561">
      <w:pPr>
        <w:jc w:val="center"/>
        <w:rPr>
          <w:b/>
          <w:color w:val="77328A"/>
          <w:sz w:val="36"/>
          <w:szCs w:val="36"/>
        </w:rPr>
      </w:pPr>
      <w:r>
        <w:rPr>
          <w:b/>
          <w:color w:val="77328A"/>
          <w:sz w:val="36"/>
          <w:szCs w:val="36"/>
        </w:rPr>
        <w:t>S</w:t>
      </w:r>
      <w:r w:rsidR="00353561" w:rsidRPr="00587912">
        <w:rPr>
          <w:b/>
          <w:color w:val="77328A"/>
          <w:sz w:val="36"/>
          <w:szCs w:val="36"/>
        </w:rPr>
        <w:t xml:space="preserve">ubmission to the </w:t>
      </w:r>
      <w:r w:rsidR="00AE3096">
        <w:rPr>
          <w:b/>
          <w:color w:val="77328A"/>
          <w:sz w:val="36"/>
          <w:szCs w:val="36"/>
        </w:rPr>
        <w:t>UN Human Rights Committee</w:t>
      </w:r>
      <w:r w:rsidR="00353561" w:rsidRPr="00587912">
        <w:rPr>
          <w:b/>
          <w:color w:val="77328A"/>
          <w:sz w:val="36"/>
          <w:szCs w:val="36"/>
        </w:rPr>
        <w:t xml:space="preserve"> </w:t>
      </w:r>
      <w:r w:rsidR="00300915">
        <w:rPr>
          <w:b/>
          <w:color w:val="77328A"/>
          <w:sz w:val="36"/>
          <w:szCs w:val="36"/>
        </w:rPr>
        <w:t xml:space="preserve">on </w:t>
      </w:r>
      <w:r w:rsidR="00300915" w:rsidRPr="001F3B75">
        <w:rPr>
          <w:b/>
          <w:bCs/>
          <w:color w:val="77328A"/>
          <w:sz w:val="36"/>
          <w:szCs w:val="36"/>
        </w:rPr>
        <w:t>the United Kingdom’s Eighth Periodic Report on Compliance with the International Covenant on Civil and Political Rights</w:t>
      </w:r>
    </w:p>
    <w:p w14:paraId="312ED225" w14:textId="77777777" w:rsidR="000B57E4" w:rsidRDefault="000B57E4" w:rsidP="00353561">
      <w:pPr>
        <w:jc w:val="center"/>
        <w:rPr>
          <w:b/>
          <w:color w:val="77328A"/>
          <w:sz w:val="36"/>
          <w:szCs w:val="36"/>
        </w:rPr>
      </w:pPr>
    </w:p>
    <w:p w14:paraId="2E7B57E3" w14:textId="77777777" w:rsidR="00353561" w:rsidRPr="00587912" w:rsidRDefault="00353561" w:rsidP="00353561">
      <w:pPr>
        <w:pStyle w:val="Default"/>
        <w:jc w:val="center"/>
        <w:rPr>
          <w:b/>
          <w:bCs/>
          <w:color w:val="77328A"/>
          <w:sz w:val="36"/>
          <w:szCs w:val="36"/>
        </w:rPr>
      </w:pPr>
    </w:p>
    <w:p w14:paraId="0DCC02E2" w14:textId="77777777" w:rsidR="00353561" w:rsidRPr="00587912" w:rsidRDefault="00353561" w:rsidP="00353561"/>
    <w:p w14:paraId="66974BBA" w14:textId="38AF5AB2" w:rsidR="00353561" w:rsidRDefault="00353561" w:rsidP="00353561"/>
    <w:p w14:paraId="3A3723AC" w14:textId="127A4054" w:rsidR="00E90368" w:rsidRDefault="00E90368" w:rsidP="00353561"/>
    <w:p w14:paraId="7702814C" w14:textId="77777777" w:rsidR="00E90368" w:rsidRPr="00587912" w:rsidRDefault="00E90368" w:rsidP="00353561"/>
    <w:p w14:paraId="5540FE2E" w14:textId="670588F5" w:rsidR="00353561" w:rsidRPr="00587912" w:rsidRDefault="00AE3096" w:rsidP="00353561">
      <w:pPr>
        <w:jc w:val="center"/>
        <w:rPr>
          <w:rFonts w:eastAsiaTheme="majorEastAsia" w:cstheme="majorBidi"/>
          <w:b/>
          <w:color w:val="000000" w:themeColor="text1"/>
        </w:rPr>
      </w:pPr>
      <w:r>
        <w:rPr>
          <w:b/>
          <w:color w:val="000000" w:themeColor="text1"/>
          <w:sz w:val="32"/>
          <w:szCs w:val="32"/>
        </w:rPr>
        <w:t>February</w:t>
      </w:r>
      <w:r w:rsidR="00680390">
        <w:rPr>
          <w:b/>
          <w:color w:val="000000" w:themeColor="text1"/>
          <w:sz w:val="32"/>
          <w:szCs w:val="32"/>
        </w:rPr>
        <w:t xml:space="preserve"> 202</w:t>
      </w:r>
      <w:r>
        <w:rPr>
          <w:b/>
          <w:color w:val="000000" w:themeColor="text1"/>
          <w:sz w:val="32"/>
          <w:szCs w:val="32"/>
        </w:rPr>
        <w:t>4</w:t>
      </w:r>
    </w:p>
    <w:bookmarkEnd w:id="0"/>
    <w:p w14:paraId="1D3A6925" w14:textId="580846C3" w:rsidR="0068094E" w:rsidRPr="00587912" w:rsidRDefault="0068094E">
      <w:pPr>
        <w:spacing w:after="160" w:line="259" w:lineRule="auto"/>
      </w:pPr>
      <w:r w:rsidRPr="00587912">
        <w:br w:type="page"/>
      </w:r>
    </w:p>
    <w:sdt>
      <w:sdtPr>
        <w:rPr>
          <w:rFonts w:ascii="Verdana" w:eastAsiaTheme="minorHAnsi" w:hAnsi="Verdana" w:cstheme="minorBidi"/>
          <w:color w:val="auto"/>
          <w:sz w:val="22"/>
          <w:szCs w:val="22"/>
          <w:lang w:val="en-GB"/>
        </w:rPr>
        <w:id w:val="-79606346"/>
        <w:docPartObj>
          <w:docPartGallery w:val="Table of Contents"/>
          <w:docPartUnique/>
        </w:docPartObj>
      </w:sdtPr>
      <w:sdtEndPr>
        <w:rPr>
          <w:b/>
          <w:bCs/>
          <w:noProof/>
          <w:sz w:val="24"/>
        </w:rPr>
      </w:sdtEndPr>
      <w:sdtContent>
        <w:p w14:paraId="7030F5D8" w14:textId="56BF263E" w:rsidR="0068094E" w:rsidRPr="00D32D9C" w:rsidRDefault="00E90368" w:rsidP="007F6BF1">
          <w:pPr>
            <w:pStyle w:val="TOCHeading"/>
            <w:ind w:hanging="720"/>
            <w:rPr>
              <w:rFonts w:ascii="Verdana" w:hAnsi="Verdana"/>
              <w:b/>
              <w:color w:val="77328A"/>
              <w:sz w:val="30"/>
              <w:szCs w:val="30"/>
            </w:rPr>
          </w:pPr>
          <w:r w:rsidRPr="00D32D9C">
            <w:rPr>
              <w:rFonts w:ascii="Verdana" w:eastAsiaTheme="minorHAnsi" w:hAnsi="Verdana" w:cstheme="minorBidi"/>
              <w:b/>
              <w:color w:val="77328A"/>
              <w:sz w:val="30"/>
              <w:szCs w:val="30"/>
              <w:lang w:val="en-GB"/>
            </w:rPr>
            <w:t xml:space="preserve">Table of </w:t>
          </w:r>
          <w:r w:rsidR="0068094E" w:rsidRPr="00D32D9C">
            <w:rPr>
              <w:rFonts w:ascii="Verdana" w:hAnsi="Verdana"/>
              <w:b/>
              <w:color w:val="77328A"/>
              <w:sz w:val="30"/>
              <w:szCs w:val="30"/>
            </w:rPr>
            <w:t>Contents</w:t>
          </w:r>
        </w:p>
        <w:p w14:paraId="7E2B0DEF" w14:textId="77777777" w:rsidR="00E90368" w:rsidRPr="00E90368" w:rsidRDefault="00E90368" w:rsidP="00E90368">
          <w:pPr>
            <w:rPr>
              <w:lang w:val="en-US"/>
            </w:rPr>
          </w:pPr>
        </w:p>
        <w:p w14:paraId="363514D8" w14:textId="3FAC39A2" w:rsidR="000B3AFF" w:rsidRPr="00AD444F" w:rsidRDefault="0068094E" w:rsidP="00AD444F">
          <w:pPr>
            <w:pStyle w:val="TOC1"/>
            <w:rPr>
              <w:rFonts w:asciiTheme="minorHAnsi" w:eastAsiaTheme="minorEastAsia" w:hAnsiTheme="minorHAnsi"/>
              <w:kern w:val="2"/>
              <w:sz w:val="22"/>
              <w:lang w:eastAsia="en-GB"/>
              <w14:ligatures w14:val="standardContextual"/>
            </w:rPr>
          </w:pPr>
          <w:r w:rsidRPr="00E02AE6">
            <w:rPr>
              <w:noProof w:val="0"/>
              <w:sz w:val="18"/>
              <w:szCs w:val="18"/>
            </w:rPr>
            <w:fldChar w:fldCharType="begin"/>
          </w:r>
          <w:r w:rsidRPr="00E02AE6">
            <w:rPr>
              <w:sz w:val="18"/>
              <w:szCs w:val="18"/>
            </w:rPr>
            <w:instrText xml:space="preserve"> TOC \o "1-3" \h \z \u </w:instrText>
          </w:r>
          <w:r w:rsidRPr="00E02AE6">
            <w:rPr>
              <w:noProof w:val="0"/>
              <w:sz w:val="18"/>
              <w:szCs w:val="18"/>
            </w:rPr>
            <w:fldChar w:fldCharType="separate"/>
          </w:r>
          <w:hyperlink w:anchor="_Toc156900975" w:history="1">
            <w:r w:rsidR="000B3AFF" w:rsidRPr="00AD444F">
              <w:rPr>
                <w:rStyle w:val="Hyperlink"/>
              </w:rPr>
              <w:t>1.0</w:t>
            </w:r>
            <w:r w:rsidR="000B3AFF" w:rsidRPr="00AD444F">
              <w:rPr>
                <w:rFonts w:asciiTheme="minorHAnsi" w:eastAsiaTheme="minorEastAsia" w:hAnsiTheme="minorHAnsi"/>
                <w:kern w:val="2"/>
                <w:sz w:val="22"/>
                <w:lang w:eastAsia="en-GB"/>
                <w14:ligatures w14:val="standardContextual"/>
              </w:rPr>
              <w:tab/>
            </w:r>
            <w:r w:rsidR="000B3AFF" w:rsidRPr="00AD444F">
              <w:rPr>
                <w:rStyle w:val="Hyperlink"/>
              </w:rPr>
              <w:t>Introduction</w:t>
            </w:r>
            <w:r w:rsidR="000B3AFF" w:rsidRPr="00AD444F">
              <w:rPr>
                <w:webHidden/>
              </w:rPr>
              <w:tab/>
            </w:r>
            <w:r w:rsidR="000B3AFF" w:rsidRPr="00AD444F">
              <w:rPr>
                <w:webHidden/>
              </w:rPr>
              <w:fldChar w:fldCharType="begin"/>
            </w:r>
            <w:r w:rsidR="000B3AFF" w:rsidRPr="00AD444F">
              <w:rPr>
                <w:webHidden/>
              </w:rPr>
              <w:instrText xml:space="preserve"> PAGEREF _Toc156900975 \h </w:instrText>
            </w:r>
            <w:r w:rsidR="000B3AFF" w:rsidRPr="00AD444F">
              <w:rPr>
                <w:webHidden/>
              </w:rPr>
            </w:r>
            <w:r w:rsidR="000B3AFF" w:rsidRPr="00AD444F">
              <w:rPr>
                <w:webHidden/>
              </w:rPr>
              <w:fldChar w:fldCharType="separate"/>
            </w:r>
            <w:r w:rsidR="00B46458">
              <w:rPr>
                <w:webHidden/>
              </w:rPr>
              <w:t>5</w:t>
            </w:r>
            <w:r w:rsidR="000B3AFF" w:rsidRPr="00AD444F">
              <w:rPr>
                <w:webHidden/>
              </w:rPr>
              <w:fldChar w:fldCharType="end"/>
            </w:r>
          </w:hyperlink>
        </w:p>
        <w:p w14:paraId="2D6D84C7" w14:textId="666D824A" w:rsidR="000B3AFF" w:rsidRDefault="00BE2A09" w:rsidP="00AD444F">
          <w:pPr>
            <w:pStyle w:val="TOC1"/>
            <w:rPr>
              <w:rFonts w:asciiTheme="minorHAnsi" w:eastAsiaTheme="minorEastAsia" w:hAnsiTheme="minorHAnsi"/>
              <w:kern w:val="2"/>
              <w:sz w:val="22"/>
              <w:lang w:eastAsia="en-GB"/>
              <w14:ligatures w14:val="standardContextual"/>
            </w:rPr>
          </w:pPr>
          <w:hyperlink w:anchor="_Toc156900976" w:history="1">
            <w:r w:rsidR="000B3AFF" w:rsidRPr="003A2F26">
              <w:rPr>
                <w:rStyle w:val="Hyperlink"/>
              </w:rPr>
              <w:t>2.0</w:t>
            </w:r>
            <w:r w:rsidR="000B3AFF">
              <w:rPr>
                <w:rFonts w:asciiTheme="minorHAnsi" w:eastAsiaTheme="minorEastAsia" w:hAnsiTheme="minorHAnsi"/>
                <w:kern w:val="2"/>
                <w:sz w:val="22"/>
                <w:lang w:eastAsia="en-GB"/>
                <w14:ligatures w14:val="standardContextual"/>
              </w:rPr>
              <w:tab/>
            </w:r>
            <w:r w:rsidR="000B3AFF" w:rsidRPr="003A2F26">
              <w:rPr>
                <w:rStyle w:val="Hyperlink"/>
              </w:rPr>
              <w:t>Context</w:t>
            </w:r>
            <w:r w:rsidR="000B3AFF">
              <w:rPr>
                <w:webHidden/>
              </w:rPr>
              <w:tab/>
            </w:r>
            <w:r w:rsidR="000B3AFF">
              <w:rPr>
                <w:webHidden/>
              </w:rPr>
              <w:fldChar w:fldCharType="begin"/>
            </w:r>
            <w:r w:rsidR="000B3AFF">
              <w:rPr>
                <w:webHidden/>
              </w:rPr>
              <w:instrText xml:space="preserve"> PAGEREF _Toc156900976 \h </w:instrText>
            </w:r>
            <w:r w:rsidR="000B3AFF">
              <w:rPr>
                <w:webHidden/>
              </w:rPr>
            </w:r>
            <w:r w:rsidR="000B3AFF">
              <w:rPr>
                <w:webHidden/>
              </w:rPr>
              <w:fldChar w:fldCharType="separate"/>
            </w:r>
            <w:r w:rsidR="00B46458">
              <w:rPr>
                <w:webHidden/>
              </w:rPr>
              <w:t>5</w:t>
            </w:r>
            <w:r w:rsidR="000B3AFF">
              <w:rPr>
                <w:webHidden/>
              </w:rPr>
              <w:fldChar w:fldCharType="end"/>
            </w:r>
          </w:hyperlink>
        </w:p>
        <w:p w14:paraId="5D8B85C1" w14:textId="4857F45D" w:rsidR="000B3AFF" w:rsidRDefault="00BE2A09" w:rsidP="00AD444F">
          <w:pPr>
            <w:pStyle w:val="TOC1"/>
            <w:rPr>
              <w:rFonts w:asciiTheme="minorHAnsi" w:eastAsiaTheme="minorEastAsia" w:hAnsiTheme="minorHAnsi"/>
              <w:kern w:val="2"/>
              <w:sz w:val="22"/>
              <w:lang w:eastAsia="en-GB"/>
              <w14:ligatures w14:val="standardContextual"/>
            </w:rPr>
          </w:pPr>
          <w:hyperlink w:anchor="_Toc156900977" w:history="1">
            <w:r w:rsidR="000B3AFF" w:rsidRPr="003A2F26">
              <w:rPr>
                <w:rStyle w:val="Hyperlink"/>
              </w:rPr>
              <w:t>3.0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1 – Self-determination</w:t>
            </w:r>
            <w:r w:rsidR="000B3AFF">
              <w:rPr>
                <w:webHidden/>
              </w:rPr>
              <w:tab/>
            </w:r>
            <w:r w:rsidR="000B3AFF">
              <w:rPr>
                <w:webHidden/>
              </w:rPr>
              <w:fldChar w:fldCharType="begin"/>
            </w:r>
            <w:r w:rsidR="000B3AFF">
              <w:rPr>
                <w:webHidden/>
              </w:rPr>
              <w:instrText xml:space="preserve"> PAGEREF _Toc156900977 \h </w:instrText>
            </w:r>
            <w:r w:rsidR="000B3AFF">
              <w:rPr>
                <w:webHidden/>
              </w:rPr>
            </w:r>
            <w:r w:rsidR="000B3AFF">
              <w:rPr>
                <w:webHidden/>
              </w:rPr>
              <w:fldChar w:fldCharType="separate"/>
            </w:r>
            <w:r w:rsidR="00B46458">
              <w:rPr>
                <w:webHidden/>
              </w:rPr>
              <w:t>6</w:t>
            </w:r>
            <w:r w:rsidR="000B3AFF">
              <w:rPr>
                <w:webHidden/>
              </w:rPr>
              <w:fldChar w:fldCharType="end"/>
            </w:r>
          </w:hyperlink>
        </w:p>
        <w:p w14:paraId="4C97378C" w14:textId="362A81D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78" w:history="1">
            <w:r w:rsidR="000B3AFF" w:rsidRPr="003A2F26">
              <w:rPr>
                <w:rStyle w:val="Hyperlink"/>
                <w:noProof/>
              </w:rPr>
              <w:t>UK human rights framework</w:t>
            </w:r>
            <w:r w:rsidR="000B3AFF">
              <w:rPr>
                <w:noProof/>
                <w:webHidden/>
              </w:rPr>
              <w:tab/>
            </w:r>
            <w:r w:rsidR="000B3AFF">
              <w:rPr>
                <w:noProof/>
                <w:webHidden/>
              </w:rPr>
              <w:fldChar w:fldCharType="begin"/>
            </w:r>
            <w:r w:rsidR="000B3AFF">
              <w:rPr>
                <w:noProof/>
                <w:webHidden/>
              </w:rPr>
              <w:instrText xml:space="preserve"> PAGEREF _Toc156900978 \h </w:instrText>
            </w:r>
            <w:r w:rsidR="000B3AFF">
              <w:rPr>
                <w:noProof/>
                <w:webHidden/>
              </w:rPr>
            </w:r>
            <w:r w:rsidR="000B3AFF">
              <w:rPr>
                <w:noProof/>
                <w:webHidden/>
              </w:rPr>
              <w:fldChar w:fldCharType="separate"/>
            </w:r>
            <w:r w:rsidR="00B46458">
              <w:rPr>
                <w:noProof/>
                <w:webHidden/>
              </w:rPr>
              <w:t>6</w:t>
            </w:r>
            <w:r w:rsidR="000B3AFF">
              <w:rPr>
                <w:noProof/>
                <w:webHidden/>
              </w:rPr>
              <w:fldChar w:fldCharType="end"/>
            </w:r>
          </w:hyperlink>
        </w:p>
        <w:p w14:paraId="603AC80E" w14:textId="38F0744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79" w:history="1">
            <w:r w:rsidR="000B3AFF" w:rsidRPr="003A2F26">
              <w:rPr>
                <w:rStyle w:val="Hyperlink"/>
                <w:noProof/>
              </w:rPr>
              <w:t>Bill of Rights for NI</w:t>
            </w:r>
            <w:r w:rsidR="000B3AFF">
              <w:rPr>
                <w:noProof/>
                <w:webHidden/>
              </w:rPr>
              <w:tab/>
            </w:r>
            <w:r w:rsidR="000B3AFF">
              <w:rPr>
                <w:noProof/>
                <w:webHidden/>
              </w:rPr>
              <w:fldChar w:fldCharType="begin"/>
            </w:r>
            <w:r w:rsidR="000B3AFF">
              <w:rPr>
                <w:noProof/>
                <w:webHidden/>
              </w:rPr>
              <w:instrText xml:space="preserve"> PAGEREF _Toc156900979 \h </w:instrText>
            </w:r>
            <w:r w:rsidR="000B3AFF">
              <w:rPr>
                <w:noProof/>
                <w:webHidden/>
              </w:rPr>
            </w:r>
            <w:r w:rsidR="000B3AFF">
              <w:rPr>
                <w:noProof/>
                <w:webHidden/>
              </w:rPr>
              <w:fldChar w:fldCharType="separate"/>
            </w:r>
            <w:r w:rsidR="00B46458">
              <w:rPr>
                <w:noProof/>
                <w:webHidden/>
              </w:rPr>
              <w:t>7</w:t>
            </w:r>
            <w:r w:rsidR="000B3AFF">
              <w:rPr>
                <w:noProof/>
                <w:webHidden/>
              </w:rPr>
              <w:fldChar w:fldCharType="end"/>
            </w:r>
          </w:hyperlink>
        </w:p>
        <w:p w14:paraId="4A19A4E4" w14:textId="1B4D452F"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0" w:history="1">
            <w:r w:rsidR="000B3AFF" w:rsidRPr="003A2F26">
              <w:rPr>
                <w:rStyle w:val="Hyperlink"/>
                <w:noProof/>
              </w:rPr>
              <w:t>Human rights after Brexit</w:t>
            </w:r>
            <w:r w:rsidR="000B3AFF">
              <w:rPr>
                <w:noProof/>
                <w:webHidden/>
              </w:rPr>
              <w:tab/>
            </w:r>
            <w:r w:rsidR="000B3AFF">
              <w:rPr>
                <w:noProof/>
                <w:webHidden/>
              </w:rPr>
              <w:fldChar w:fldCharType="begin"/>
            </w:r>
            <w:r w:rsidR="000B3AFF">
              <w:rPr>
                <w:noProof/>
                <w:webHidden/>
              </w:rPr>
              <w:instrText xml:space="preserve"> PAGEREF _Toc156900980 \h </w:instrText>
            </w:r>
            <w:r w:rsidR="000B3AFF">
              <w:rPr>
                <w:noProof/>
                <w:webHidden/>
              </w:rPr>
            </w:r>
            <w:r w:rsidR="000B3AFF">
              <w:rPr>
                <w:noProof/>
                <w:webHidden/>
              </w:rPr>
              <w:fldChar w:fldCharType="separate"/>
            </w:r>
            <w:r w:rsidR="00B46458">
              <w:rPr>
                <w:noProof/>
                <w:webHidden/>
              </w:rPr>
              <w:t>8</w:t>
            </w:r>
            <w:r w:rsidR="000B3AFF">
              <w:rPr>
                <w:noProof/>
                <w:webHidden/>
              </w:rPr>
              <w:fldChar w:fldCharType="end"/>
            </w:r>
          </w:hyperlink>
        </w:p>
        <w:p w14:paraId="54D79691" w14:textId="57601769"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1" w:history="1">
            <w:r w:rsidR="000B3AFF" w:rsidRPr="003A2F26">
              <w:rPr>
                <w:rStyle w:val="Hyperlink"/>
                <w:noProof/>
              </w:rPr>
              <w:t>Birthright</w:t>
            </w:r>
            <w:r w:rsidR="000B3AFF">
              <w:rPr>
                <w:noProof/>
                <w:webHidden/>
              </w:rPr>
              <w:tab/>
            </w:r>
            <w:r w:rsidR="000B3AFF">
              <w:rPr>
                <w:noProof/>
                <w:webHidden/>
              </w:rPr>
              <w:fldChar w:fldCharType="begin"/>
            </w:r>
            <w:r w:rsidR="000B3AFF">
              <w:rPr>
                <w:noProof/>
                <w:webHidden/>
              </w:rPr>
              <w:instrText xml:space="preserve"> PAGEREF _Toc156900981 \h </w:instrText>
            </w:r>
            <w:r w:rsidR="000B3AFF">
              <w:rPr>
                <w:noProof/>
                <w:webHidden/>
              </w:rPr>
            </w:r>
            <w:r w:rsidR="000B3AFF">
              <w:rPr>
                <w:noProof/>
                <w:webHidden/>
              </w:rPr>
              <w:fldChar w:fldCharType="separate"/>
            </w:r>
            <w:r w:rsidR="00B46458">
              <w:rPr>
                <w:noProof/>
                <w:webHidden/>
              </w:rPr>
              <w:t>9</w:t>
            </w:r>
            <w:r w:rsidR="000B3AFF">
              <w:rPr>
                <w:noProof/>
                <w:webHidden/>
              </w:rPr>
              <w:fldChar w:fldCharType="end"/>
            </w:r>
          </w:hyperlink>
        </w:p>
        <w:p w14:paraId="6DB82D69" w14:textId="66E647CE" w:rsidR="000B3AFF" w:rsidRDefault="00BE2A09" w:rsidP="00AD444F">
          <w:pPr>
            <w:pStyle w:val="TOC1"/>
            <w:rPr>
              <w:rFonts w:asciiTheme="minorHAnsi" w:eastAsiaTheme="minorEastAsia" w:hAnsiTheme="minorHAnsi"/>
              <w:kern w:val="2"/>
              <w:sz w:val="22"/>
              <w:lang w:eastAsia="en-GB"/>
              <w14:ligatures w14:val="standardContextual"/>
            </w:rPr>
          </w:pPr>
          <w:hyperlink w:anchor="_Toc156900982" w:history="1">
            <w:r w:rsidR="000B3AFF" w:rsidRPr="003A2F26">
              <w:rPr>
                <w:rStyle w:val="Hyperlink"/>
              </w:rPr>
              <w:t>4.0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2 – Non-discrimination</w:t>
            </w:r>
            <w:r w:rsidR="000B3AFF">
              <w:rPr>
                <w:webHidden/>
              </w:rPr>
              <w:tab/>
            </w:r>
            <w:r w:rsidR="000B3AFF">
              <w:rPr>
                <w:webHidden/>
              </w:rPr>
              <w:fldChar w:fldCharType="begin"/>
            </w:r>
            <w:r w:rsidR="000B3AFF">
              <w:rPr>
                <w:webHidden/>
              </w:rPr>
              <w:instrText xml:space="preserve"> PAGEREF _Toc156900982 \h </w:instrText>
            </w:r>
            <w:r w:rsidR="000B3AFF">
              <w:rPr>
                <w:webHidden/>
              </w:rPr>
            </w:r>
            <w:r w:rsidR="000B3AFF">
              <w:rPr>
                <w:webHidden/>
              </w:rPr>
              <w:fldChar w:fldCharType="separate"/>
            </w:r>
            <w:r w:rsidR="00B46458">
              <w:rPr>
                <w:webHidden/>
              </w:rPr>
              <w:t>10</w:t>
            </w:r>
            <w:r w:rsidR="000B3AFF">
              <w:rPr>
                <w:webHidden/>
              </w:rPr>
              <w:fldChar w:fldCharType="end"/>
            </w:r>
          </w:hyperlink>
        </w:p>
        <w:p w14:paraId="4DB31532" w14:textId="3E5A8C78"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3" w:history="1">
            <w:r w:rsidR="000B3AFF" w:rsidRPr="003A2F26">
              <w:rPr>
                <w:rStyle w:val="Hyperlink"/>
                <w:noProof/>
              </w:rPr>
              <w:t>Equality protections</w:t>
            </w:r>
            <w:r w:rsidR="000B3AFF">
              <w:rPr>
                <w:noProof/>
                <w:webHidden/>
              </w:rPr>
              <w:tab/>
            </w:r>
            <w:r w:rsidR="000B3AFF">
              <w:rPr>
                <w:noProof/>
                <w:webHidden/>
              </w:rPr>
              <w:fldChar w:fldCharType="begin"/>
            </w:r>
            <w:r w:rsidR="000B3AFF">
              <w:rPr>
                <w:noProof/>
                <w:webHidden/>
              </w:rPr>
              <w:instrText xml:space="preserve"> PAGEREF _Toc156900983 \h </w:instrText>
            </w:r>
            <w:r w:rsidR="000B3AFF">
              <w:rPr>
                <w:noProof/>
                <w:webHidden/>
              </w:rPr>
            </w:r>
            <w:r w:rsidR="000B3AFF">
              <w:rPr>
                <w:noProof/>
                <w:webHidden/>
              </w:rPr>
              <w:fldChar w:fldCharType="separate"/>
            </w:r>
            <w:r w:rsidR="00B46458">
              <w:rPr>
                <w:noProof/>
                <w:webHidden/>
              </w:rPr>
              <w:t>10</w:t>
            </w:r>
            <w:r w:rsidR="000B3AFF">
              <w:rPr>
                <w:noProof/>
                <w:webHidden/>
              </w:rPr>
              <w:fldChar w:fldCharType="end"/>
            </w:r>
          </w:hyperlink>
        </w:p>
        <w:p w14:paraId="6A410956" w14:textId="4854E42C"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4" w:history="1">
            <w:r w:rsidR="000B3AFF" w:rsidRPr="003A2F26">
              <w:rPr>
                <w:rStyle w:val="Hyperlink"/>
                <w:noProof/>
              </w:rPr>
              <w:t>Intersectional multiple discrimination</w:t>
            </w:r>
            <w:r w:rsidR="000B3AFF">
              <w:rPr>
                <w:noProof/>
                <w:webHidden/>
              </w:rPr>
              <w:tab/>
            </w:r>
            <w:r w:rsidR="000B3AFF">
              <w:rPr>
                <w:noProof/>
                <w:webHidden/>
              </w:rPr>
              <w:fldChar w:fldCharType="begin"/>
            </w:r>
            <w:r w:rsidR="000B3AFF">
              <w:rPr>
                <w:noProof/>
                <w:webHidden/>
              </w:rPr>
              <w:instrText xml:space="preserve"> PAGEREF _Toc156900984 \h </w:instrText>
            </w:r>
            <w:r w:rsidR="000B3AFF">
              <w:rPr>
                <w:noProof/>
                <w:webHidden/>
              </w:rPr>
            </w:r>
            <w:r w:rsidR="000B3AFF">
              <w:rPr>
                <w:noProof/>
                <w:webHidden/>
              </w:rPr>
              <w:fldChar w:fldCharType="separate"/>
            </w:r>
            <w:r w:rsidR="00B46458">
              <w:rPr>
                <w:noProof/>
                <w:webHidden/>
              </w:rPr>
              <w:t>10</w:t>
            </w:r>
            <w:r w:rsidR="000B3AFF">
              <w:rPr>
                <w:noProof/>
                <w:webHidden/>
              </w:rPr>
              <w:fldChar w:fldCharType="end"/>
            </w:r>
          </w:hyperlink>
        </w:p>
        <w:p w14:paraId="5C1010D7" w14:textId="682E339D"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5" w:history="1">
            <w:r w:rsidR="000B3AFF" w:rsidRPr="003A2F26">
              <w:rPr>
                <w:rStyle w:val="Hyperlink"/>
                <w:noProof/>
              </w:rPr>
              <w:t>Sexual orientation</w:t>
            </w:r>
            <w:r w:rsidR="000B3AFF">
              <w:rPr>
                <w:noProof/>
                <w:webHidden/>
              </w:rPr>
              <w:tab/>
            </w:r>
            <w:r w:rsidR="000B3AFF">
              <w:rPr>
                <w:noProof/>
                <w:webHidden/>
              </w:rPr>
              <w:fldChar w:fldCharType="begin"/>
            </w:r>
            <w:r w:rsidR="000B3AFF">
              <w:rPr>
                <w:noProof/>
                <w:webHidden/>
              </w:rPr>
              <w:instrText xml:space="preserve"> PAGEREF _Toc156900985 \h </w:instrText>
            </w:r>
            <w:r w:rsidR="000B3AFF">
              <w:rPr>
                <w:noProof/>
                <w:webHidden/>
              </w:rPr>
            </w:r>
            <w:r w:rsidR="000B3AFF">
              <w:rPr>
                <w:noProof/>
                <w:webHidden/>
              </w:rPr>
              <w:fldChar w:fldCharType="separate"/>
            </w:r>
            <w:r w:rsidR="00B46458">
              <w:rPr>
                <w:noProof/>
                <w:webHidden/>
              </w:rPr>
              <w:t>11</w:t>
            </w:r>
            <w:r w:rsidR="000B3AFF">
              <w:rPr>
                <w:noProof/>
                <w:webHidden/>
              </w:rPr>
              <w:fldChar w:fldCharType="end"/>
            </w:r>
          </w:hyperlink>
        </w:p>
        <w:p w14:paraId="6F62F7D2" w14:textId="5607A637"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6" w:history="1">
            <w:r w:rsidR="000B3AFF" w:rsidRPr="003A2F26">
              <w:rPr>
                <w:rStyle w:val="Hyperlink"/>
                <w:noProof/>
              </w:rPr>
              <w:t>Conversion therapy</w:t>
            </w:r>
            <w:r w:rsidR="000B3AFF">
              <w:rPr>
                <w:noProof/>
                <w:webHidden/>
              </w:rPr>
              <w:tab/>
            </w:r>
            <w:r w:rsidR="000B3AFF">
              <w:rPr>
                <w:noProof/>
                <w:webHidden/>
              </w:rPr>
              <w:fldChar w:fldCharType="begin"/>
            </w:r>
            <w:r w:rsidR="000B3AFF">
              <w:rPr>
                <w:noProof/>
                <w:webHidden/>
              </w:rPr>
              <w:instrText xml:space="preserve"> PAGEREF _Toc156900986 \h </w:instrText>
            </w:r>
            <w:r w:rsidR="000B3AFF">
              <w:rPr>
                <w:noProof/>
                <w:webHidden/>
              </w:rPr>
            </w:r>
            <w:r w:rsidR="000B3AFF">
              <w:rPr>
                <w:noProof/>
                <w:webHidden/>
              </w:rPr>
              <w:fldChar w:fldCharType="separate"/>
            </w:r>
            <w:r w:rsidR="00B46458">
              <w:rPr>
                <w:noProof/>
                <w:webHidden/>
              </w:rPr>
              <w:t>12</w:t>
            </w:r>
            <w:r w:rsidR="000B3AFF">
              <w:rPr>
                <w:noProof/>
                <w:webHidden/>
              </w:rPr>
              <w:fldChar w:fldCharType="end"/>
            </w:r>
          </w:hyperlink>
        </w:p>
        <w:p w14:paraId="42CA2CD3" w14:textId="1E3F416E"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7" w:history="1">
            <w:r w:rsidR="000B3AFF" w:rsidRPr="003A2F26">
              <w:rPr>
                <w:rStyle w:val="Hyperlink"/>
                <w:noProof/>
              </w:rPr>
              <w:t>Hate crimes</w:t>
            </w:r>
            <w:r w:rsidR="000B3AFF">
              <w:rPr>
                <w:noProof/>
                <w:webHidden/>
              </w:rPr>
              <w:tab/>
            </w:r>
            <w:r w:rsidR="000B3AFF">
              <w:rPr>
                <w:noProof/>
                <w:webHidden/>
              </w:rPr>
              <w:fldChar w:fldCharType="begin"/>
            </w:r>
            <w:r w:rsidR="000B3AFF">
              <w:rPr>
                <w:noProof/>
                <w:webHidden/>
              </w:rPr>
              <w:instrText xml:space="preserve"> PAGEREF _Toc156900987 \h </w:instrText>
            </w:r>
            <w:r w:rsidR="000B3AFF">
              <w:rPr>
                <w:noProof/>
                <w:webHidden/>
              </w:rPr>
            </w:r>
            <w:r w:rsidR="000B3AFF">
              <w:rPr>
                <w:noProof/>
                <w:webHidden/>
              </w:rPr>
              <w:fldChar w:fldCharType="separate"/>
            </w:r>
            <w:r w:rsidR="00B46458">
              <w:rPr>
                <w:noProof/>
                <w:webHidden/>
              </w:rPr>
              <w:t>12</w:t>
            </w:r>
            <w:r w:rsidR="000B3AFF">
              <w:rPr>
                <w:noProof/>
                <w:webHidden/>
              </w:rPr>
              <w:fldChar w:fldCharType="end"/>
            </w:r>
          </w:hyperlink>
        </w:p>
        <w:p w14:paraId="6126661A" w14:textId="3D699E9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8" w:history="1">
            <w:r w:rsidR="000B3AFF" w:rsidRPr="003A2F26">
              <w:rPr>
                <w:rStyle w:val="Hyperlink"/>
                <w:noProof/>
              </w:rPr>
              <w:t>Racial equality</w:t>
            </w:r>
            <w:r w:rsidR="000B3AFF">
              <w:rPr>
                <w:noProof/>
                <w:webHidden/>
              </w:rPr>
              <w:tab/>
            </w:r>
            <w:r w:rsidR="000B3AFF">
              <w:rPr>
                <w:noProof/>
                <w:webHidden/>
              </w:rPr>
              <w:fldChar w:fldCharType="begin"/>
            </w:r>
            <w:r w:rsidR="000B3AFF">
              <w:rPr>
                <w:noProof/>
                <w:webHidden/>
              </w:rPr>
              <w:instrText xml:space="preserve"> PAGEREF _Toc156900988 \h </w:instrText>
            </w:r>
            <w:r w:rsidR="000B3AFF">
              <w:rPr>
                <w:noProof/>
                <w:webHidden/>
              </w:rPr>
            </w:r>
            <w:r w:rsidR="000B3AFF">
              <w:rPr>
                <w:noProof/>
                <w:webHidden/>
              </w:rPr>
              <w:fldChar w:fldCharType="separate"/>
            </w:r>
            <w:r w:rsidR="00B46458">
              <w:rPr>
                <w:noProof/>
                <w:webHidden/>
              </w:rPr>
              <w:t>13</w:t>
            </w:r>
            <w:r w:rsidR="000B3AFF">
              <w:rPr>
                <w:noProof/>
                <w:webHidden/>
              </w:rPr>
              <w:fldChar w:fldCharType="end"/>
            </w:r>
          </w:hyperlink>
        </w:p>
        <w:p w14:paraId="1927F047" w14:textId="27C91ED7"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89" w:history="1">
            <w:r w:rsidR="000B3AFF" w:rsidRPr="003A2F26">
              <w:rPr>
                <w:rStyle w:val="Hyperlink"/>
                <w:noProof/>
              </w:rPr>
              <w:t>Sectarianism</w:t>
            </w:r>
            <w:r w:rsidR="000B3AFF">
              <w:rPr>
                <w:noProof/>
                <w:webHidden/>
              </w:rPr>
              <w:tab/>
            </w:r>
            <w:r w:rsidR="000B3AFF">
              <w:rPr>
                <w:noProof/>
                <w:webHidden/>
              </w:rPr>
              <w:fldChar w:fldCharType="begin"/>
            </w:r>
            <w:r w:rsidR="000B3AFF">
              <w:rPr>
                <w:noProof/>
                <w:webHidden/>
              </w:rPr>
              <w:instrText xml:space="preserve"> PAGEREF _Toc156900989 \h </w:instrText>
            </w:r>
            <w:r w:rsidR="000B3AFF">
              <w:rPr>
                <w:noProof/>
                <w:webHidden/>
              </w:rPr>
            </w:r>
            <w:r w:rsidR="000B3AFF">
              <w:rPr>
                <w:noProof/>
                <w:webHidden/>
              </w:rPr>
              <w:fldChar w:fldCharType="separate"/>
            </w:r>
            <w:r w:rsidR="00B46458">
              <w:rPr>
                <w:noProof/>
                <w:webHidden/>
              </w:rPr>
              <w:t>14</w:t>
            </w:r>
            <w:r w:rsidR="000B3AFF">
              <w:rPr>
                <w:noProof/>
                <w:webHidden/>
              </w:rPr>
              <w:fldChar w:fldCharType="end"/>
            </w:r>
          </w:hyperlink>
        </w:p>
        <w:p w14:paraId="2C399ECC" w14:textId="426D2FE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0" w:history="1">
            <w:r w:rsidR="000B3AFF" w:rsidRPr="003A2F26">
              <w:rPr>
                <w:rStyle w:val="Hyperlink"/>
                <w:noProof/>
              </w:rPr>
              <w:t>Intersex</w:t>
            </w:r>
            <w:r w:rsidR="000B3AFF">
              <w:rPr>
                <w:noProof/>
                <w:webHidden/>
              </w:rPr>
              <w:tab/>
            </w:r>
            <w:r w:rsidR="000B3AFF">
              <w:rPr>
                <w:noProof/>
                <w:webHidden/>
              </w:rPr>
              <w:fldChar w:fldCharType="begin"/>
            </w:r>
            <w:r w:rsidR="000B3AFF">
              <w:rPr>
                <w:noProof/>
                <w:webHidden/>
              </w:rPr>
              <w:instrText xml:space="preserve"> PAGEREF _Toc156900990 \h </w:instrText>
            </w:r>
            <w:r w:rsidR="000B3AFF">
              <w:rPr>
                <w:noProof/>
                <w:webHidden/>
              </w:rPr>
            </w:r>
            <w:r w:rsidR="000B3AFF">
              <w:rPr>
                <w:noProof/>
                <w:webHidden/>
              </w:rPr>
              <w:fldChar w:fldCharType="separate"/>
            </w:r>
            <w:r w:rsidR="00B46458">
              <w:rPr>
                <w:noProof/>
                <w:webHidden/>
              </w:rPr>
              <w:t>15</w:t>
            </w:r>
            <w:r w:rsidR="000B3AFF">
              <w:rPr>
                <w:noProof/>
                <w:webHidden/>
              </w:rPr>
              <w:fldChar w:fldCharType="end"/>
            </w:r>
          </w:hyperlink>
        </w:p>
        <w:p w14:paraId="398DCB21" w14:textId="3EA9524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1" w:history="1">
            <w:r w:rsidR="000B3AFF" w:rsidRPr="003A2F26">
              <w:rPr>
                <w:rStyle w:val="Hyperlink"/>
                <w:noProof/>
              </w:rPr>
              <w:t>Refugee Integration Strategy</w:t>
            </w:r>
            <w:r w:rsidR="000B3AFF">
              <w:rPr>
                <w:noProof/>
                <w:webHidden/>
              </w:rPr>
              <w:tab/>
            </w:r>
            <w:r w:rsidR="000B3AFF">
              <w:rPr>
                <w:noProof/>
                <w:webHidden/>
              </w:rPr>
              <w:fldChar w:fldCharType="begin"/>
            </w:r>
            <w:r w:rsidR="000B3AFF">
              <w:rPr>
                <w:noProof/>
                <w:webHidden/>
              </w:rPr>
              <w:instrText xml:space="preserve"> PAGEREF _Toc156900991 \h </w:instrText>
            </w:r>
            <w:r w:rsidR="000B3AFF">
              <w:rPr>
                <w:noProof/>
                <w:webHidden/>
              </w:rPr>
            </w:r>
            <w:r w:rsidR="000B3AFF">
              <w:rPr>
                <w:noProof/>
                <w:webHidden/>
              </w:rPr>
              <w:fldChar w:fldCharType="separate"/>
            </w:r>
            <w:r w:rsidR="00B46458">
              <w:rPr>
                <w:noProof/>
                <w:webHidden/>
              </w:rPr>
              <w:t>15</w:t>
            </w:r>
            <w:r w:rsidR="000B3AFF">
              <w:rPr>
                <w:noProof/>
                <w:webHidden/>
              </w:rPr>
              <w:fldChar w:fldCharType="end"/>
            </w:r>
          </w:hyperlink>
        </w:p>
        <w:p w14:paraId="0FB694B9" w14:textId="341DB86D" w:rsidR="000B3AFF" w:rsidRDefault="00BE2A09" w:rsidP="00AD444F">
          <w:pPr>
            <w:pStyle w:val="TOC1"/>
            <w:rPr>
              <w:rFonts w:asciiTheme="minorHAnsi" w:eastAsiaTheme="minorEastAsia" w:hAnsiTheme="minorHAnsi"/>
              <w:kern w:val="2"/>
              <w:sz w:val="22"/>
              <w:lang w:eastAsia="en-GB"/>
              <w14:ligatures w14:val="standardContextual"/>
            </w:rPr>
          </w:pPr>
          <w:hyperlink w:anchor="_Toc156900992" w:history="1">
            <w:r w:rsidR="000B3AFF" w:rsidRPr="003A2F26">
              <w:rPr>
                <w:rStyle w:val="Hyperlink"/>
              </w:rPr>
              <w:t>5.0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3 – Gender Equality</w:t>
            </w:r>
            <w:r w:rsidR="000B3AFF">
              <w:rPr>
                <w:webHidden/>
              </w:rPr>
              <w:tab/>
            </w:r>
            <w:r w:rsidR="000B3AFF">
              <w:rPr>
                <w:webHidden/>
              </w:rPr>
              <w:fldChar w:fldCharType="begin"/>
            </w:r>
            <w:r w:rsidR="000B3AFF">
              <w:rPr>
                <w:webHidden/>
              </w:rPr>
              <w:instrText xml:space="preserve"> PAGEREF _Toc156900992 \h </w:instrText>
            </w:r>
            <w:r w:rsidR="000B3AFF">
              <w:rPr>
                <w:webHidden/>
              </w:rPr>
            </w:r>
            <w:r w:rsidR="000B3AFF">
              <w:rPr>
                <w:webHidden/>
              </w:rPr>
              <w:fldChar w:fldCharType="separate"/>
            </w:r>
            <w:r w:rsidR="00B46458">
              <w:rPr>
                <w:webHidden/>
              </w:rPr>
              <w:t>16</w:t>
            </w:r>
            <w:r w:rsidR="000B3AFF">
              <w:rPr>
                <w:webHidden/>
              </w:rPr>
              <w:fldChar w:fldCharType="end"/>
            </w:r>
          </w:hyperlink>
        </w:p>
        <w:p w14:paraId="6A74279D" w14:textId="6EBF66C5"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3" w:history="1">
            <w:r w:rsidR="000B3AFF" w:rsidRPr="003A2F26">
              <w:rPr>
                <w:rStyle w:val="Hyperlink"/>
                <w:noProof/>
              </w:rPr>
              <w:t>Gender Equality Strategy</w:t>
            </w:r>
            <w:r w:rsidR="000B3AFF">
              <w:rPr>
                <w:noProof/>
                <w:webHidden/>
              </w:rPr>
              <w:tab/>
            </w:r>
            <w:r w:rsidR="000B3AFF">
              <w:rPr>
                <w:noProof/>
                <w:webHidden/>
              </w:rPr>
              <w:fldChar w:fldCharType="begin"/>
            </w:r>
            <w:r w:rsidR="000B3AFF">
              <w:rPr>
                <w:noProof/>
                <w:webHidden/>
              </w:rPr>
              <w:instrText xml:space="preserve"> PAGEREF _Toc156900993 \h </w:instrText>
            </w:r>
            <w:r w:rsidR="000B3AFF">
              <w:rPr>
                <w:noProof/>
                <w:webHidden/>
              </w:rPr>
            </w:r>
            <w:r w:rsidR="000B3AFF">
              <w:rPr>
                <w:noProof/>
                <w:webHidden/>
              </w:rPr>
              <w:fldChar w:fldCharType="separate"/>
            </w:r>
            <w:r w:rsidR="00B46458">
              <w:rPr>
                <w:noProof/>
                <w:webHidden/>
              </w:rPr>
              <w:t>16</w:t>
            </w:r>
            <w:r w:rsidR="000B3AFF">
              <w:rPr>
                <w:noProof/>
                <w:webHidden/>
              </w:rPr>
              <w:fldChar w:fldCharType="end"/>
            </w:r>
          </w:hyperlink>
        </w:p>
        <w:p w14:paraId="0520AAE6" w14:textId="25E43ED5"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4" w:history="1">
            <w:r w:rsidR="000B3AFF" w:rsidRPr="003A2F26">
              <w:rPr>
                <w:rStyle w:val="Hyperlink"/>
                <w:noProof/>
              </w:rPr>
              <w:t>Gender recognition</w:t>
            </w:r>
            <w:r w:rsidR="000B3AFF">
              <w:rPr>
                <w:noProof/>
                <w:webHidden/>
              </w:rPr>
              <w:tab/>
            </w:r>
            <w:r w:rsidR="000B3AFF">
              <w:rPr>
                <w:noProof/>
                <w:webHidden/>
              </w:rPr>
              <w:fldChar w:fldCharType="begin"/>
            </w:r>
            <w:r w:rsidR="000B3AFF">
              <w:rPr>
                <w:noProof/>
                <w:webHidden/>
              </w:rPr>
              <w:instrText xml:space="preserve"> PAGEREF _Toc156900994 \h </w:instrText>
            </w:r>
            <w:r w:rsidR="000B3AFF">
              <w:rPr>
                <w:noProof/>
                <w:webHidden/>
              </w:rPr>
            </w:r>
            <w:r w:rsidR="000B3AFF">
              <w:rPr>
                <w:noProof/>
                <w:webHidden/>
              </w:rPr>
              <w:fldChar w:fldCharType="separate"/>
            </w:r>
            <w:r w:rsidR="00B46458">
              <w:rPr>
                <w:noProof/>
                <w:webHidden/>
              </w:rPr>
              <w:t>16</w:t>
            </w:r>
            <w:r w:rsidR="000B3AFF">
              <w:rPr>
                <w:noProof/>
                <w:webHidden/>
              </w:rPr>
              <w:fldChar w:fldCharType="end"/>
            </w:r>
          </w:hyperlink>
        </w:p>
        <w:p w14:paraId="5148EC81" w14:textId="21442F88"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5" w:history="1">
            <w:r w:rsidR="000B3AFF" w:rsidRPr="003A2F26">
              <w:rPr>
                <w:rStyle w:val="Hyperlink"/>
                <w:noProof/>
              </w:rPr>
              <w:t>UN Security Council Resolution 1325</w:t>
            </w:r>
            <w:r w:rsidR="000B3AFF">
              <w:rPr>
                <w:noProof/>
                <w:webHidden/>
              </w:rPr>
              <w:tab/>
            </w:r>
            <w:r w:rsidR="000B3AFF">
              <w:rPr>
                <w:noProof/>
                <w:webHidden/>
              </w:rPr>
              <w:fldChar w:fldCharType="begin"/>
            </w:r>
            <w:r w:rsidR="000B3AFF">
              <w:rPr>
                <w:noProof/>
                <w:webHidden/>
              </w:rPr>
              <w:instrText xml:space="preserve"> PAGEREF _Toc156900995 \h </w:instrText>
            </w:r>
            <w:r w:rsidR="000B3AFF">
              <w:rPr>
                <w:noProof/>
                <w:webHidden/>
              </w:rPr>
            </w:r>
            <w:r w:rsidR="000B3AFF">
              <w:rPr>
                <w:noProof/>
                <w:webHidden/>
              </w:rPr>
              <w:fldChar w:fldCharType="separate"/>
            </w:r>
            <w:r w:rsidR="00B46458">
              <w:rPr>
                <w:noProof/>
                <w:webHidden/>
              </w:rPr>
              <w:t>18</w:t>
            </w:r>
            <w:r w:rsidR="000B3AFF">
              <w:rPr>
                <w:noProof/>
                <w:webHidden/>
              </w:rPr>
              <w:fldChar w:fldCharType="end"/>
            </w:r>
          </w:hyperlink>
        </w:p>
        <w:p w14:paraId="75A5FE7B" w14:textId="65753A20" w:rsidR="000B3AFF" w:rsidRDefault="00BE2A09" w:rsidP="00AD444F">
          <w:pPr>
            <w:pStyle w:val="TOC1"/>
            <w:rPr>
              <w:rFonts w:asciiTheme="minorHAnsi" w:eastAsiaTheme="minorEastAsia" w:hAnsiTheme="minorHAnsi"/>
              <w:kern w:val="2"/>
              <w:sz w:val="22"/>
              <w:lang w:eastAsia="en-GB"/>
              <w14:ligatures w14:val="standardContextual"/>
            </w:rPr>
          </w:pPr>
          <w:hyperlink w:anchor="_Toc156900996" w:history="1">
            <w:r w:rsidR="000B3AFF" w:rsidRPr="003A2F26">
              <w:rPr>
                <w:rStyle w:val="Hyperlink"/>
              </w:rPr>
              <w:t>6.0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6 – Right to Life</w:t>
            </w:r>
            <w:r w:rsidR="000B3AFF">
              <w:rPr>
                <w:webHidden/>
              </w:rPr>
              <w:tab/>
            </w:r>
            <w:r w:rsidR="000B3AFF">
              <w:rPr>
                <w:webHidden/>
              </w:rPr>
              <w:fldChar w:fldCharType="begin"/>
            </w:r>
            <w:r w:rsidR="000B3AFF">
              <w:rPr>
                <w:webHidden/>
              </w:rPr>
              <w:instrText xml:space="preserve"> PAGEREF _Toc156900996 \h </w:instrText>
            </w:r>
            <w:r w:rsidR="000B3AFF">
              <w:rPr>
                <w:webHidden/>
              </w:rPr>
            </w:r>
            <w:r w:rsidR="000B3AFF">
              <w:rPr>
                <w:webHidden/>
              </w:rPr>
              <w:fldChar w:fldCharType="separate"/>
            </w:r>
            <w:r w:rsidR="00B46458">
              <w:rPr>
                <w:webHidden/>
              </w:rPr>
              <w:t>19</w:t>
            </w:r>
            <w:r w:rsidR="000B3AFF">
              <w:rPr>
                <w:webHidden/>
              </w:rPr>
              <w:fldChar w:fldCharType="end"/>
            </w:r>
          </w:hyperlink>
        </w:p>
        <w:p w14:paraId="7C20AAEB" w14:textId="0C7A2408"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7" w:history="1">
            <w:r w:rsidR="000B3AFF" w:rsidRPr="003A2F26">
              <w:rPr>
                <w:rStyle w:val="Hyperlink"/>
                <w:noProof/>
              </w:rPr>
              <w:t>Conflict related investigations: Deaths</w:t>
            </w:r>
            <w:r w:rsidR="000B3AFF">
              <w:rPr>
                <w:noProof/>
                <w:webHidden/>
              </w:rPr>
              <w:tab/>
            </w:r>
            <w:r w:rsidR="000B3AFF">
              <w:rPr>
                <w:noProof/>
                <w:webHidden/>
              </w:rPr>
              <w:fldChar w:fldCharType="begin"/>
            </w:r>
            <w:r w:rsidR="000B3AFF">
              <w:rPr>
                <w:noProof/>
                <w:webHidden/>
              </w:rPr>
              <w:instrText xml:space="preserve"> PAGEREF _Toc156900997 \h </w:instrText>
            </w:r>
            <w:r w:rsidR="000B3AFF">
              <w:rPr>
                <w:noProof/>
                <w:webHidden/>
              </w:rPr>
            </w:r>
            <w:r w:rsidR="000B3AFF">
              <w:rPr>
                <w:noProof/>
                <w:webHidden/>
              </w:rPr>
              <w:fldChar w:fldCharType="separate"/>
            </w:r>
            <w:r w:rsidR="00B46458">
              <w:rPr>
                <w:noProof/>
                <w:webHidden/>
              </w:rPr>
              <w:t>19</w:t>
            </w:r>
            <w:r w:rsidR="000B3AFF">
              <w:rPr>
                <w:noProof/>
                <w:webHidden/>
              </w:rPr>
              <w:fldChar w:fldCharType="end"/>
            </w:r>
          </w:hyperlink>
        </w:p>
        <w:p w14:paraId="0C49EB7E" w14:textId="54C627C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8" w:history="1">
            <w:r w:rsidR="000B3AFF" w:rsidRPr="003A2F26">
              <w:rPr>
                <w:rStyle w:val="Hyperlink"/>
                <w:noProof/>
              </w:rPr>
              <w:t>Legacy inquests</w:t>
            </w:r>
            <w:r w:rsidR="000B3AFF">
              <w:rPr>
                <w:noProof/>
                <w:webHidden/>
              </w:rPr>
              <w:tab/>
            </w:r>
            <w:r w:rsidR="000B3AFF">
              <w:rPr>
                <w:noProof/>
                <w:webHidden/>
              </w:rPr>
              <w:fldChar w:fldCharType="begin"/>
            </w:r>
            <w:r w:rsidR="000B3AFF">
              <w:rPr>
                <w:noProof/>
                <w:webHidden/>
              </w:rPr>
              <w:instrText xml:space="preserve"> PAGEREF _Toc156900998 \h </w:instrText>
            </w:r>
            <w:r w:rsidR="000B3AFF">
              <w:rPr>
                <w:noProof/>
                <w:webHidden/>
              </w:rPr>
            </w:r>
            <w:r w:rsidR="000B3AFF">
              <w:rPr>
                <w:noProof/>
                <w:webHidden/>
              </w:rPr>
              <w:fldChar w:fldCharType="separate"/>
            </w:r>
            <w:r w:rsidR="00B46458">
              <w:rPr>
                <w:noProof/>
                <w:webHidden/>
              </w:rPr>
              <w:t>21</w:t>
            </w:r>
            <w:r w:rsidR="000B3AFF">
              <w:rPr>
                <w:noProof/>
                <w:webHidden/>
              </w:rPr>
              <w:fldChar w:fldCharType="end"/>
            </w:r>
          </w:hyperlink>
        </w:p>
        <w:p w14:paraId="0ADBE677" w14:textId="2DF0919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0999" w:history="1">
            <w:r w:rsidR="000B3AFF" w:rsidRPr="003A2F26">
              <w:rPr>
                <w:rStyle w:val="Hyperlink"/>
                <w:noProof/>
              </w:rPr>
              <w:t>Legacy inquiries</w:t>
            </w:r>
            <w:r w:rsidR="000B3AFF">
              <w:rPr>
                <w:noProof/>
                <w:webHidden/>
              </w:rPr>
              <w:tab/>
            </w:r>
            <w:r w:rsidR="000B3AFF">
              <w:rPr>
                <w:noProof/>
                <w:webHidden/>
              </w:rPr>
              <w:fldChar w:fldCharType="begin"/>
            </w:r>
            <w:r w:rsidR="000B3AFF">
              <w:rPr>
                <w:noProof/>
                <w:webHidden/>
              </w:rPr>
              <w:instrText xml:space="preserve"> PAGEREF _Toc156900999 \h </w:instrText>
            </w:r>
            <w:r w:rsidR="000B3AFF">
              <w:rPr>
                <w:noProof/>
                <w:webHidden/>
              </w:rPr>
            </w:r>
            <w:r w:rsidR="000B3AFF">
              <w:rPr>
                <w:noProof/>
                <w:webHidden/>
              </w:rPr>
              <w:fldChar w:fldCharType="separate"/>
            </w:r>
            <w:r w:rsidR="00B46458">
              <w:rPr>
                <w:noProof/>
                <w:webHidden/>
              </w:rPr>
              <w:t>22</w:t>
            </w:r>
            <w:r w:rsidR="000B3AFF">
              <w:rPr>
                <w:noProof/>
                <w:webHidden/>
              </w:rPr>
              <w:fldChar w:fldCharType="end"/>
            </w:r>
          </w:hyperlink>
        </w:p>
        <w:p w14:paraId="312524B8" w14:textId="6BC0FC67"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0" w:history="1">
            <w:r w:rsidR="000B3AFF" w:rsidRPr="003A2F26">
              <w:rPr>
                <w:rStyle w:val="Hyperlink"/>
                <w:noProof/>
              </w:rPr>
              <w:t>Inquiries Act 2005</w:t>
            </w:r>
            <w:r w:rsidR="000B3AFF">
              <w:rPr>
                <w:noProof/>
                <w:webHidden/>
              </w:rPr>
              <w:tab/>
            </w:r>
            <w:r w:rsidR="000B3AFF">
              <w:rPr>
                <w:noProof/>
                <w:webHidden/>
              </w:rPr>
              <w:fldChar w:fldCharType="begin"/>
            </w:r>
            <w:r w:rsidR="000B3AFF">
              <w:rPr>
                <w:noProof/>
                <w:webHidden/>
              </w:rPr>
              <w:instrText xml:space="preserve"> PAGEREF _Toc156901000 \h </w:instrText>
            </w:r>
            <w:r w:rsidR="000B3AFF">
              <w:rPr>
                <w:noProof/>
                <w:webHidden/>
              </w:rPr>
            </w:r>
            <w:r w:rsidR="000B3AFF">
              <w:rPr>
                <w:noProof/>
                <w:webHidden/>
              </w:rPr>
              <w:fldChar w:fldCharType="separate"/>
            </w:r>
            <w:r w:rsidR="00B46458">
              <w:rPr>
                <w:noProof/>
                <w:webHidden/>
              </w:rPr>
              <w:t>23</w:t>
            </w:r>
            <w:r w:rsidR="000B3AFF">
              <w:rPr>
                <w:noProof/>
                <w:webHidden/>
              </w:rPr>
              <w:fldChar w:fldCharType="end"/>
            </w:r>
          </w:hyperlink>
        </w:p>
        <w:p w14:paraId="78FE773D" w14:textId="42D01F24"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01" w:history="1">
            <w:r w:rsidR="000B3AFF" w:rsidRPr="003A2F26">
              <w:rPr>
                <w:rStyle w:val="Hyperlink"/>
              </w:rPr>
              <w:t>7.0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7 – Torture</w:t>
            </w:r>
            <w:r w:rsidR="000B3AFF">
              <w:rPr>
                <w:webHidden/>
              </w:rPr>
              <w:tab/>
            </w:r>
            <w:r w:rsidR="000B3AFF">
              <w:rPr>
                <w:webHidden/>
              </w:rPr>
              <w:fldChar w:fldCharType="begin"/>
            </w:r>
            <w:r w:rsidR="000B3AFF">
              <w:rPr>
                <w:webHidden/>
              </w:rPr>
              <w:instrText xml:space="preserve"> PAGEREF _Toc156901001 \h </w:instrText>
            </w:r>
            <w:r w:rsidR="000B3AFF">
              <w:rPr>
                <w:webHidden/>
              </w:rPr>
            </w:r>
            <w:r w:rsidR="000B3AFF">
              <w:rPr>
                <w:webHidden/>
              </w:rPr>
              <w:fldChar w:fldCharType="separate"/>
            </w:r>
            <w:r w:rsidR="00B46458">
              <w:rPr>
                <w:webHidden/>
              </w:rPr>
              <w:t>24</w:t>
            </w:r>
            <w:r w:rsidR="000B3AFF">
              <w:rPr>
                <w:webHidden/>
              </w:rPr>
              <w:fldChar w:fldCharType="end"/>
            </w:r>
          </w:hyperlink>
        </w:p>
        <w:p w14:paraId="55315B8A" w14:textId="6272900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2" w:history="1">
            <w:r w:rsidR="000B3AFF" w:rsidRPr="003A2F26">
              <w:rPr>
                <w:rStyle w:val="Hyperlink"/>
                <w:noProof/>
              </w:rPr>
              <w:t>Conflict related investigations: Torture</w:t>
            </w:r>
            <w:r w:rsidR="000B3AFF">
              <w:rPr>
                <w:noProof/>
                <w:webHidden/>
              </w:rPr>
              <w:tab/>
            </w:r>
            <w:r w:rsidR="000B3AFF">
              <w:rPr>
                <w:noProof/>
                <w:webHidden/>
              </w:rPr>
              <w:fldChar w:fldCharType="begin"/>
            </w:r>
            <w:r w:rsidR="000B3AFF">
              <w:rPr>
                <w:noProof/>
                <w:webHidden/>
              </w:rPr>
              <w:instrText xml:space="preserve"> PAGEREF _Toc156901002 \h </w:instrText>
            </w:r>
            <w:r w:rsidR="000B3AFF">
              <w:rPr>
                <w:noProof/>
                <w:webHidden/>
              </w:rPr>
            </w:r>
            <w:r w:rsidR="000B3AFF">
              <w:rPr>
                <w:noProof/>
                <w:webHidden/>
              </w:rPr>
              <w:fldChar w:fldCharType="separate"/>
            </w:r>
            <w:r w:rsidR="00B46458">
              <w:rPr>
                <w:noProof/>
                <w:webHidden/>
              </w:rPr>
              <w:t>24</w:t>
            </w:r>
            <w:r w:rsidR="000B3AFF">
              <w:rPr>
                <w:noProof/>
                <w:webHidden/>
              </w:rPr>
              <w:fldChar w:fldCharType="end"/>
            </w:r>
          </w:hyperlink>
        </w:p>
        <w:p w14:paraId="6191AB0D" w14:textId="28CF3D94"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3" w:history="1">
            <w:r w:rsidR="000B3AFF" w:rsidRPr="003A2F26">
              <w:rPr>
                <w:rStyle w:val="Hyperlink"/>
                <w:noProof/>
              </w:rPr>
              <w:t>Victims' payments</w:t>
            </w:r>
            <w:r w:rsidR="000B3AFF">
              <w:rPr>
                <w:noProof/>
                <w:webHidden/>
              </w:rPr>
              <w:tab/>
            </w:r>
            <w:r w:rsidR="000B3AFF">
              <w:rPr>
                <w:noProof/>
                <w:webHidden/>
              </w:rPr>
              <w:fldChar w:fldCharType="begin"/>
            </w:r>
            <w:r w:rsidR="000B3AFF">
              <w:rPr>
                <w:noProof/>
                <w:webHidden/>
              </w:rPr>
              <w:instrText xml:space="preserve"> PAGEREF _Toc156901003 \h </w:instrText>
            </w:r>
            <w:r w:rsidR="000B3AFF">
              <w:rPr>
                <w:noProof/>
                <w:webHidden/>
              </w:rPr>
            </w:r>
            <w:r w:rsidR="000B3AFF">
              <w:rPr>
                <w:noProof/>
                <w:webHidden/>
              </w:rPr>
              <w:fldChar w:fldCharType="separate"/>
            </w:r>
            <w:r w:rsidR="00B46458">
              <w:rPr>
                <w:noProof/>
                <w:webHidden/>
              </w:rPr>
              <w:t>25</w:t>
            </w:r>
            <w:r w:rsidR="000B3AFF">
              <w:rPr>
                <w:noProof/>
                <w:webHidden/>
              </w:rPr>
              <w:fldChar w:fldCharType="end"/>
            </w:r>
          </w:hyperlink>
        </w:p>
        <w:p w14:paraId="2C5BFD79" w14:textId="35EFAFC5"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4" w:history="1">
            <w:r w:rsidR="000B3AFF" w:rsidRPr="003A2F26">
              <w:rPr>
                <w:rStyle w:val="Hyperlink"/>
                <w:noProof/>
              </w:rPr>
              <w:t>Rule of law: Non-State actors</w:t>
            </w:r>
            <w:r w:rsidR="000B3AFF">
              <w:rPr>
                <w:noProof/>
                <w:webHidden/>
              </w:rPr>
              <w:tab/>
            </w:r>
            <w:r w:rsidR="000B3AFF">
              <w:rPr>
                <w:noProof/>
                <w:webHidden/>
              </w:rPr>
              <w:fldChar w:fldCharType="begin"/>
            </w:r>
            <w:r w:rsidR="000B3AFF">
              <w:rPr>
                <w:noProof/>
                <w:webHidden/>
              </w:rPr>
              <w:instrText xml:space="preserve"> PAGEREF _Toc156901004 \h </w:instrText>
            </w:r>
            <w:r w:rsidR="000B3AFF">
              <w:rPr>
                <w:noProof/>
                <w:webHidden/>
              </w:rPr>
            </w:r>
            <w:r w:rsidR="000B3AFF">
              <w:rPr>
                <w:noProof/>
                <w:webHidden/>
              </w:rPr>
              <w:fldChar w:fldCharType="separate"/>
            </w:r>
            <w:r w:rsidR="00B46458">
              <w:rPr>
                <w:noProof/>
                <w:webHidden/>
              </w:rPr>
              <w:t>25</w:t>
            </w:r>
            <w:r w:rsidR="000B3AFF">
              <w:rPr>
                <w:noProof/>
                <w:webHidden/>
              </w:rPr>
              <w:fldChar w:fldCharType="end"/>
            </w:r>
          </w:hyperlink>
        </w:p>
        <w:p w14:paraId="6017C613" w14:textId="1EAE579B"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5" w:history="1">
            <w:r w:rsidR="000B3AFF" w:rsidRPr="003A2F26">
              <w:rPr>
                <w:rStyle w:val="Hyperlink"/>
                <w:noProof/>
              </w:rPr>
              <w:t>Abuse in health and social care settings</w:t>
            </w:r>
            <w:r w:rsidR="000B3AFF">
              <w:rPr>
                <w:noProof/>
                <w:webHidden/>
              </w:rPr>
              <w:tab/>
            </w:r>
            <w:r w:rsidR="000B3AFF">
              <w:rPr>
                <w:noProof/>
                <w:webHidden/>
              </w:rPr>
              <w:fldChar w:fldCharType="begin"/>
            </w:r>
            <w:r w:rsidR="000B3AFF">
              <w:rPr>
                <w:noProof/>
                <w:webHidden/>
              </w:rPr>
              <w:instrText xml:space="preserve"> PAGEREF _Toc156901005 \h </w:instrText>
            </w:r>
            <w:r w:rsidR="000B3AFF">
              <w:rPr>
                <w:noProof/>
                <w:webHidden/>
              </w:rPr>
            </w:r>
            <w:r w:rsidR="000B3AFF">
              <w:rPr>
                <w:noProof/>
                <w:webHidden/>
              </w:rPr>
              <w:fldChar w:fldCharType="separate"/>
            </w:r>
            <w:r w:rsidR="00B46458">
              <w:rPr>
                <w:noProof/>
                <w:webHidden/>
              </w:rPr>
              <w:t>27</w:t>
            </w:r>
            <w:r w:rsidR="000B3AFF">
              <w:rPr>
                <w:noProof/>
                <w:webHidden/>
              </w:rPr>
              <w:fldChar w:fldCharType="end"/>
            </w:r>
          </w:hyperlink>
        </w:p>
        <w:p w14:paraId="0B16ACCF" w14:textId="0668CBD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6" w:history="1">
            <w:r w:rsidR="000B3AFF" w:rsidRPr="003A2F26">
              <w:rPr>
                <w:rStyle w:val="Hyperlink"/>
                <w:noProof/>
              </w:rPr>
              <w:t>Female genital mutilation</w:t>
            </w:r>
            <w:r w:rsidR="000B3AFF">
              <w:rPr>
                <w:noProof/>
                <w:webHidden/>
              </w:rPr>
              <w:tab/>
            </w:r>
            <w:r w:rsidR="000B3AFF">
              <w:rPr>
                <w:noProof/>
                <w:webHidden/>
              </w:rPr>
              <w:fldChar w:fldCharType="begin"/>
            </w:r>
            <w:r w:rsidR="000B3AFF">
              <w:rPr>
                <w:noProof/>
                <w:webHidden/>
              </w:rPr>
              <w:instrText xml:space="preserve"> PAGEREF _Toc156901006 \h </w:instrText>
            </w:r>
            <w:r w:rsidR="000B3AFF">
              <w:rPr>
                <w:noProof/>
                <w:webHidden/>
              </w:rPr>
            </w:r>
            <w:r w:rsidR="000B3AFF">
              <w:rPr>
                <w:noProof/>
                <w:webHidden/>
              </w:rPr>
              <w:fldChar w:fldCharType="separate"/>
            </w:r>
            <w:r w:rsidR="00B46458">
              <w:rPr>
                <w:noProof/>
                <w:webHidden/>
              </w:rPr>
              <w:t>28</w:t>
            </w:r>
            <w:r w:rsidR="000B3AFF">
              <w:rPr>
                <w:noProof/>
                <w:webHidden/>
              </w:rPr>
              <w:fldChar w:fldCharType="end"/>
            </w:r>
          </w:hyperlink>
        </w:p>
        <w:p w14:paraId="7FF035DF" w14:textId="6217A5E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7" w:history="1">
            <w:r w:rsidR="000B3AFF" w:rsidRPr="003A2F26">
              <w:rPr>
                <w:rStyle w:val="Hyperlink"/>
                <w:noProof/>
              </w:rPr>
              <w:t>Intersex genital mutilation</w:t>
            </w:r>
            <w:r w:rsidR="000B3AFF">
              <w:rPr>
                <w:noProof/>
                <w:webHidden/>
              </w:rPr>
              <w:tab/>
            </w:r>
            <w:r w:rsidR="000B3AFF">
              <w:rPr>
                <w:noProof/>
                <w:webHidden/>
              </w:rPr>
              <w:fldChar w:fldCharType="begin"/>
            </w:r>
            <w:r w:rsidR="000B3AFF">
              <w:rPr>
                <w:noProof/>
                <w:webHidden/>
              </w:rPr>
              <w:instrText xml:space="preserve"> PAGEREF _Toc156901007 \h </w:instrText>
            </w:r>
            <w:r w:rsidR="000B3AFF">
              <w:rPr>
                <w:noProof/>
                <w:webHidden/>
              </w:rPr>
            </w:r>
            <w:r w:rsidR="000B3AFF">
              <w:rPr>
                <w:noProof/>
                <w:webHidden/>
              </w:rPr>
              <w:fldChar w:fldCharType="separate"/>
            </w:r>
            <w:r w:rsidR="00B46458">
              <w:rPr>
                <w:noProof/>
                <w:webHidden/>
              </w:rPr>
              <w:t>29</w:t>
            </w:r>
            <w:r w:rsidR="000B3AFF">
              <w:rPr>
                <w:noProof/>
                <w:webHidden/>
              </w:rPr>
              <w:fldChar w:fldCharType="end"/>
            </w:r>
          </w:hyperlink>
        </w:p>
        <w:p w14:paraId="3D4FA073" w14:textId="0332C37F"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8" w:history="1">
            <w:r w:rsidR="000B3AFF" w:rsidRPr="003A2F26">
              <w:rPr>
                <w:rStyle w:val="Hyperlink"/>
                <w:noProof/>
              </w:rPr>
              <w:t>Domestic and sexual violence and abuse</w:t>
            </w:r>
            <w:r w:rsidR="000B3AFF">
              <w:rPr>
                <w:noProof/>
                <w:webHidden/>
              </w:rPr>
              <w:tab/>
            </w:r>
            <w:r w:rsidR="000B3AFF">
              <w:rPr>
                <w:noProof/>
                <w:webHidden/>
              </w:rPr>
              <w:fldChar w:fldCharType="begin"/>
            </w:r>
            <w:r w:rsidR="000B3AFF">
              <w:rPr>
                <w:noProof/>
                <w:webHidden/>
              </w:rPr>
              <w:instrText xml:space="preserve"> PAGEREF _Toc156901008 \h </w:instrText>
            </w:r>
            <w:r w:rsidR="000B3AFF">
              <w:rPr>
                <w:noProof/>
                <w:webHidden/>
              </w:rPr>
            </w:r>
            <w:r w:rsidR="000B3AFF">
              <w:rPr>
                <w:noProof/>
                <w:webHidden/>
              </w:rPr>
              <w:fldChar w:fldCharType="separate"/>
            </w:r>
            <w:r w:rsidR="00B46458">
              <w:rPr>
                <w:noProof/>
                <w:webHidden/>
              </w:rPr>
              <w:t>29</w:t>
            </w:r>
            <w:r w:rsidR="000B3AFF">
              <w:rPr>
                <w:noProof/>
                <w:webHidden/>
              </w:rPr>
              <w:fldChar w:fldCharType="end"/>
            </w:r>
          </w:hyperlink>
        </w:p>
        <w:p w14:paraId="32CB401C" w14:textId="255C216B"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09" w:history="1">
            <w:r w:rsidR="000B3AFF" w:rsidRPr="003A2F26">
              <w:rPr>
                <w:rStyle w:val="Hyperlink"/>
                <w:noProof/>
              </w:rPr>
              <w:t>Termination of pregnancy</w:t>
            </w:r>
            <w:r w:rsidR="000B3AFF">
              <w:rPr>
                <w:noProof/>
                <w:webHidden/>
              </w:rPr>
              <w:tab/>
            </w:r>
            <w:r w:rsidR="000B3AFF">
              <w:rPr>
                <w:noProof/>
                <w:webHidden/>
              </w:rPr>
              <w:fldChar w:fldCharType="begin"/>
            </w:r>
            <w:r w:rsidR="000B3AFF">
              <w:rPr>
                <w:noProof/>
                <w:webHidden/>
              </w:rPr>
              <w:instrText xml:space="preserve"> PAGEREF _Toc156901009 \h </w:instrText>
            </w:r>
            <w:r w:rsidR="000B3AFF">
              <w:rPr>
                <w:noProof/>
                <w:webHidden/>
              </w:rPr>
            </w:r>
            <w:r w:rsidR="000B3AFF">
              <w:rPr>
                <w:noProof/>
                <w:webHidden/>
              </w:rPr>
              <w:fldChar w:fldCharType="separate"/>
            </w:r>
            <w:r w:rsidR="00B46458">
              <w:rPr>
                <w:noProof/>
                <w:webHidden/>
              </w:rPr>
              <w:t>32</w:t>
            </w:r>
            <w:r w:rsidR="000B3AFF">
              <w:rPr>
                <w:noProof/>
                <w:webHidden/>
              </w:rPr>
              <w:fldChar w:fldCharType="end"/>
            </w:r>
          </w:hyperlink>
        </w:p>
        <w:p w14:paraId="3A672DF7" w14:textId="34195AFE"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0" w:history="1">
            <w:r w:rsidR="000B3AFF" w:rsidRPr="003A2F26">
              <w:rPr>
                <w:rStyle w:val="Hyperlink"/>
                <w:noProof/>
              </w:rPr>
              <w:t>Historical abuse</w:t>
            </w:r>
            <w:r w:rsidR="000B3AFF">
              <w:rPr>
                <w:noProof/>
                <w:webHidden/>
              </w:rPr>
              <w:tab/>
            </w:r>
            <w:r w:rsidR="000B3AFF">
              <w:rPr>
                <w:noProof/>
                <w:webHidden/>
              </w:rPr>
              <w:fldChar w:fldCharType="begin"/>
            </w:r>
            <w:r w:rsidR="000B3AFF">
              <w:rPr>
                <w:noProof/>
                <w:webHidden/>
              </w:rPr>
              <w:instrText xml:space="preserve"> PAGEREF _Toc156901010 \h </w:instrText>
            </w:r>
            <w:r w:rsidR="000B3AFF">
              <w:rPr>
                <w:noProof/>
                <w:webHidden/>
              </w:rPr>
            </w:r>
            <w:r w:rsidR="000B3AFF">
              <w:rPr>
                <w:noProof/>
                <w:webHidden/>
              </w:rPr>
              <w:fldChar w:fldCharType="separate"/>
            </w:r>
            <w:r w:rsidR="00B46458">
              <w:rPr>
                <w:noProof/>
                <w:webHidden/>
              </w:rPr>
              <w:t>35</w:t>
            </w:r>
            <w:r w:rsidR="000B3AFF">
              <w:rPr>
                <w:noProof/>
                <w:webHidden/>
              </w:rPr>
              <w:fldChar w:fldCharType="end"/>
            </w:r>
          </w:hyperlink>
        </w:p>
        <w:p w14:paraId="235B34A0" w14:textId="4F21C7A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1" w:history="1">
            <w:r w:rsidR="000B3AFF" w:rsidRPr="003A2F26">
              <w:rPr>
                <w:rStyle w:val="Hyperlink"/>
                <w:noProof/>
              </w:rPr>
              <w:t>Identifying torture</w:t>
            </w:r>
            <w:r w:rsidR="000B3AFF">
              <w:rPr>
                <w:noProof/>
                <w:webHidden/>
              </w:rPr>
              <w:tab/>
            </w:r>
            <w:r w:rsidR="000B3AFF">
              <w:rPr>
                <w:noProof/>
                <w:webHidden/>
              </w:rPr>
              <w:fldChar w:fldCharType="begin"/>
            </w:r>
            <w:r w:rsidR="000B3AFF">
              <w:rPr>
                <w:noProof/>
                <w:webHidden/>
              </w:rPr>
              <w:instrText xml:space="preserve"> PAGEREF _Toc156901011 \h </w:instrText>
            </w:r>
            <w:r w:rsidR="000B3AFF">
              <w:rPr>
                <w:noProof/>
                <w:webHidden/>
              </w:rPr>
            </w:r>
            <w:r w:rsidR="000B3AFF">
              <w:rPr>
                <w:noProof/>
                <w:webHidden/>
              </w:rPr>
              <w:fldChar w:fldCharType="separate"/>
            </w:r>
            <w:r w:rsidR="00B46458">
              <w:rPr>
                <w:noProof/>
                <w:webHidden/>
              </w:rPr>
              <w:t>36</w:t>
            </w:r>
            <w:r w:rsidR="000B3AFF">
              <w:rPr>
                <w:noProof/>
                <w:webHidden/>
              </w:rPr>
              <w:fldChar w:fldCharType="end"/>
            </w:r>
          </w:hyperlink>
        </w:p>
        <w:p w14:paraId="7CFE9412" w14:textId="35A3A4CB"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12" w:history="1">
            <w:r w:rsidR="000B3AFF" w:rsidRPr="003A2F26">
              <w:rPr>
                <w:rStyle w:val="Hyperlink"/>
              </w:rPr>
              <w:t>8.0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8 – Freedom from Slavery</w:t>
            </w:r>
            <w:r w:rsidR="000B3AFF">
              <w:rPr>
                <w:webHidden/>
              </w:rPr>
              <w:tab/>
            </w:r>
            <w:r w:rsidR="000B3AFF">
              <w:rPr>
                <w:webHidden/>
              </w:rPr>
              <w:fldChar w:fldCharType="begin"/>
            </w:r>
            <w:r w:rsidR="000B3AFF">
              <w:rPr>
                <w:webHidden/>
              </w:rPr>
              <w:instrText xml:space="preserve"> PAGEREF _Toc156901012 \h </w:instrText>
            </w:r>
            <w:r w:rsidR="000B3AFF">
              <w:rPr>
                <w:webHidden/>
              </w:rPr>
            </w:r>
            <w:r w:rsidR="000B3AFF">
              <w:rPr>
                <w:webHidden/>
              </w:rPr>
              <w:fldChar w:fldCharType="separate"/>
            </w:r>
            <w:r w:rsidR="00B46458">
              <w:rPr>
                <w:webHidden/>
              </w:rPr>
              <w:t>37</w:t>
            </w:r>
            <w:r w:rsidR="000B3AFF">
              <w:rPr>
                <w:webHidden/>
              </w:rPr>
              <w:fldChar w:fldCharType="end"/>
            </w:r>
          </w:hyperlink>
        </w:p>
        <w:p w14:paraId="4D836E59" w14:textId="2FCE7F7C"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3" w:history="1">
            <w:r w:rsidR="000B3AFF" w:rsidRPr="003A2F26">
              <w:rPr>
                <w:rStyle w:val="Hyperlink"/>
                <w:noProof/>
              </w:rPr>
              <w:t>Child sexual exploitation</w:t>
            </w:r>
            <w:r w:rsidR="000B3AFF">
              <w:rPr>
                <w:noProof/>
                <w:webHidden/>
              </w:rPr>
              <w:tab/>
            </w:r>
            <w:r w:rsidR="000B3AFF">
              <w:rPr>
                <w:noProof/>
                <w:webHidden/>
              </w:rPr>
              <w:fldChar w:fldCharType="begin"/>
            </w:r>
            <w:r w:rsidR="000B3AFF">
              <w:rPr>
                <w:noProof/>
                <w:webHidden/>
              </w:rPr>
              <w:instrText xml:space="preserve"> PAGEREF _Toc156901013 \h </w:instrText>
            </w:r>
            <w:r w:rsidR="000B3AFF">
              <w:rPr>
                <w:noProof/>
                <w:webHidden/>
              </w:rPr>
            </w:r>
            <w:r w:rsidR="000B3AFF">
              <w:rPr>
                <w:noProof/>
                <w:webHidden/>
              </w:rPr>
              <w:fldChar w:fldCharType="separate"/>
            </w:r>
            <w:r w:rsidR="00B46458">
              <w:rPr>
                <w:noProof/>
                <w:webHidden/>
              </w:rPr>
              <w:t>37</w:t>
            </w:r>
            <w:r w:rsidR="000B3AFF">
              <w:rPr>
                <w:noProof/>
                <w:webHidden/>
              </w:rPr>
              <w:fldChar w:fldCharType="end"/>
            </w:r>
          </w:hyperlink>
        </w:p>
        <w:p w14:paraId="462D3741" w14:textId="5B79BE2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4" w:history="1">
            <w:r w:rsidR="000B3AFF" w:rsidRPr="003A2F26">
              <w:rPr>
                <w:rStyle w:val="Hyperlink"/>
                <w:noProof/>
                <w:lang w:val="en"/>
              </w:rPr>
              <w:t>Children missing from care</w:t>
            </w:r>
            <w:r w:rsidR="000B3AFF">
              <w:rPr>
                <w:noProof/>
                <w:webHidden/>
              </w:rPr>
              <w:tab/>
            </w:r>
            <w:r w:rsidR="000B3AFF">
              <w:rPr>
                <w:noProof/>
                <w:webHidden/>
              </w:rPr>
              <w:fldChar w:fldCharType="begin"/>
            </w:r>
            <w:r w:rsidR="000B3AFF">
              <w:rPr>
                <w:noProof/>
                <w:webHidden/>
              </w:rPr>
              <w:instrText xml:space="preserve"> PAGEREF _Toc156901014 \h </w:instrText>
            </w:r>
            <w:r w:rsidR="000B3AFF">
              <w:rPr>
                <w:noProof/>
                <w:webHidden/>
              </w:rPr>
            </w:r>
            <w:r w:rsidR="000B3AFF">
              <w:rPr>
                <w:noProof/>
                <w:webHidden/>
              </w:rPr>
              <w:fldChar w:fldCharType="separate"/>
            </w:r>
            <w:r w:rsidR="00B46458">
              <w:rPr>
                <w:noProof/>
                <w:webHidden/>
              </w:rPr>
              <w:t>38</w:t>
            </w:r>
            <w:r w:rsidR="000B3AFF">
              <w:rPr>
                <w:noProof/>
                <w:webHidden/>
              </w:rPr>
              <w:fldChar w:fldCharType="end"/>
            </w:r>
          </w:hyperlink>
        </w:p>
        <w:p w14:paraId="4FAD9A2B" w14:textId="40E5F2A8"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5" w:history="1">
            <w:r w:rsidR="000B3AFF" w:rsidRPr="003A2F26">
              <w:rPr>
                <w:rStyle w:val="Hyperlink"/>
                <w:noProof/>
              </w:rPr>
              <w:t>Modern slavery</w:t>
            </w:r>
            <w:r w:rsidR="000B3AFF">
              <w:rPr>
                <w:noProof/>
                <w:webHidden/>
              </w:rPr>
              <w:tab/>
            </w:r>
            <w:r w:rsidR="000B3AFF">
              <w:rPr>
                <w:noProof/>
                <w:webHidden/>
              </w:rPr>
              <w:fldChar w:fldCharType="begin"/>
            </w:r>
            <w:r w:rsidR="000B3AFF">
              <w:rPr>
                <w:noProof/>
                <w:webHidden/>
              </w:rPr>
              <w:instrText xml:space="preserve"> PAGEREF _Toc156901015 \h </w:instrText>
            </w:r>
            <w:r w:rsidR="000B3AFF">
              <w:rPr>
                <w:noProof/>
                <w:webHidden/>
              </w:rPr>
            </w:r>
            <w:r w:rsidR="000B3AFF">
              <w:rPr>
                <w:noProof/>
                <w:webHidden/>
              </w:rPr>
              <w:fldChar w:fldCharType="separate"/>
            </w:r>
            <w:r w:rsidR="00B46458">
              <w:rPr>
                <w:noProof/>
                <w:webHidden/>
              </w:rPr>
              <w:t>39</w:t>
            </w:r>
            <w:r w:rsidR="000B3AFF">
              <w:rPr>
                <w:noProof/>
                <w:webHidden/>
              </w:rPr>
              <w:fldChar w:fldCharType="end"/>
            </w:r>
          </w:hyperlink>
        </w:p>
        <w:p w14:paraId="5200507E" w14:textId="620C18B6"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16" w:history="1">
            <w:r w:rsidR="000B3AFF" w:rsidRPr="003A2F26">
              <w:rPr>
                <w:rStyle w:val="Hyperlink"/>
              </w:rPr>
              <w:t>9.0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Articles 9, 10 and 11– Liberty and Security of the Person</w:t>
            </w:r>
            <w:r w:rsidR="000B3AFF">
              <w:rPr>
                <w:webHidden/>
              </w:rPr>
              <w:tab/>
            </w:r>
            <w:r w:rsidR="000B3AFF">
              <w:rPr>
                <w:webHidden/>
              </w:rPr>
              <w:fldChar w:fldCharType="begin"/>
            </w:r>
            <w:r w:rsidR="000B3AFF">
              <w:rPr>
                <w:webHidden/>
              </w:rPr>
              <w:instrText xml:space="preserve"> PAGEREF _Toc156901016 \h </w:instrText>
            </w:r>
            <w:r w:rsidR="000B3AFF">
              <w:rPr>
                <w:webHidden/>
              </w:rPr>
            </w:r>
            <w:r w:rsidR="000B3AFF">
              <w:rPr>
                <w:webHidden/>
              </w:rPr>
              <w:fldChar w:fldCharType="separate"/>
            </w:r>
            <w:r w:rsidR="00B46458">
              <w:rPr>
                <w:webHidden/>
              </w:rPr>
              <w:t>40</w:t>
            </w:r>
            <w:r w:rsidR="000B3AFF">
              <w:rPr>
                <w:webHidden/>
              </w:rPr>
              <w:fldChar w:fldCharType="end"/>
            </w:r>
          </w:hyperlink>
        </w:p>
        <w:p w14:paraId="711CC8B0" w14:textId="3E760519"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7" w:history="1">
            <w:r w:rsidR="000B3AFF" w:rsidRPr="003A2F26">
              <w:rPr>
                <w:rStyle w:val="Hyperlink"/>
                <w:noProof/>
              </w:rPr>
              <w:t>Definition of terrorism</w:t>
            </w:r>
            <w:r w:rsidR="000B3AFF">
              <w:rPr>
                <w:noProof/>
                <w:webHidden/>
              </w:rPr>
              <w:tab/>
            </w:r>
            <w:r w:rsidR="000B3AFF">
              <w:rPr>
                <w:noProof/>
                <w:webHidden/>
              </w:rPr>
              <w:fldChar w:fldCharType="begin"/>
            </w:r>
            <w:r w:rsidR="000B3AFF">
              <w:rPr>
                <w:noProof/>
                <w:webHidden/>
              </w:rPr>
              <w:instrText xml:space="preserve"> PAGEREF _Toc156901017 \h </w:instrText>
            </w:r>
            <w:r w:rsidR="000B3AFF">
              <w:rPr>
                <w:noProof/>
                <w:webHidden/>
              </w:rPr>
            </w:r>
            <w:r w:rsidR="000B3AFF">
              <w:rPr>
                <w:noProof/>
                <w:webHidden/>
              </w:rPr>
              <w:fldChar w:fldCharType="separate"/>
            </w:r>
            <w:r w:rsidR="00B46458">
              <w:rPr>
                <w:noProof/>
                <w:webHidden/>
              </w:rPr>
              <w:t>40</w:t>
            </w:r>
            <w:r w:rsidR="000B3AFF">
              <w:rPr>
                <w:noProof/>
                <w:webHidden/>
              </w:rPr>
              <w:fldChar w:fldCharType="end"/>
            </w:r>
          </w:hyperlink>
        </w:p>
        <w:p w14:paraId="784BFCBF" w14:textId="4F1C6927"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8" w:history="1">
            <w:r w:rsidR="000B3AFF" w:rsidRPr="003A2F26">
              <w:rPr>
                <w:rStyle w:val="Hyperlink"/>
                <w:noProof/>
              </w:rPr>
              <w:t>Powers of arrest</w:t>
            </w:r>
            <w:r w:rsidR="000B3AFF">
              <w:rPr>
                <w:noProof/>
                <w:webHidden/>
              </w:rPr>
              <w:tab/>
            </w:r>
            <w:r w:rsidR="000B3AFF">
              <w:rPr>
                <w:noProof/>
                <w:webHidden/>
              </w:rPr>
              <w:fldChar w:fldCharType="begin"/>
            </w:r>
            <w:r w:rsidR="000B3AFF">
              <w:rPr>
                <w:noProof/>
                <w:webHidden/>
              </w:rPr>
              <w:instrText xml:space="preserve"> PAGEREF _Toc156901018 \h </w:instrText>
            </w:r>
            <w:r w:rsidR="000B3AFF">
              <w:rPr>
                <w:noProof/>
                <w:webHidden/>
              </w:rPr>
            </w:r>
            <w:r w:rsidR="000B3AFF">
              <w:rPr>
                <w:noProof/>
                <w:webHidden/>
              </w:rPr>
              <w:fldChar w:fldCharType="separate"/>
            </w:r>
            <w:r w:rsidR="00B46458">
              <w:rPr>
                <w:noProof/>
                <w:webHidden/>
              </w:rPr>
              <w:t>41</w:t>
            </w:r>
            <w:r w:rsidR="000B3AFF">
              <w:rPr>
                <w:noProof/>
                <w:webHidden/>
              </w:rPr>
              <w:fldChar w:fldCharType="end"/>
            </w:r>
          </w:hyperlink>
        </w:p>
        <w:p w14:paraId="162C327C" w14:textId="28C8EED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19" w:history="1">
            <w:r w:rsidR="000B3AFF" w:rsidRPr="003A2F26">
              <w:rPr>
                <w:rStyle w:val="Hyperlink"/>
                <w:noProof/>
              </w:rPr>
              <w:t>Fine default</w:t>
            </w:r>
            <w:r w:rsidR="000B3AFF">
              <w:rPr>
                <w:noProof/>
                <w:webHidden/>
              </w:rPr>
              <w:tab/>
            </w:r>
            <w:r w:rsidR="000B3AFF">
              <w:rPr>
                <w:noProof/>
                <w:webHidden/>
              </w:rPr>
              <w:fldChar w:fldCharType="begin"/>
            </w:r>
            <w:r w:rsidR="000B3AFF">
              <w:rPr>
                <w:noProof/>
                <w:webHidden/>
              </w:rPr>
              <w:instrText xml:space="preserve"> PAGEREF _Toc156901019 \h </w:instrText>
            </w:r>
            <w:r w:rsidR="000B3AFF">
              <w:rPr>
                <w:noProof/>
                <w:webHidden/>
              </w:rPr>
            </w:r>
            <w:r w:rsidR="000B3AFF">
              <w:rPr>
                <w:noProof/>
                <w:webHidden/>
              </w:rPr>
              <w:fldChar w:fldCharType="separate"/>
            </w:r>
            <w:r w:rsidR="00B46458">
              <w:rPr>
                <w:noProof/>
                <w:webHidden/>
              </w:rPr>
              <w:t>42</w:t>
            </w:r>
            <w:r w:rsidR="000B3AFF">
              <w:rPr>
                <w:noProof/>
                <w:webHidden/>
              </w:rPr>
              <w:fldChar w:fldCharType="end"/>
            </w:r>
          </w:hyperlink>
        </w:p>
        <w:p w14:paraId="389985B4" w14:textId="29C6115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0" w:history="1">
            <w:r w:rsidR="000B3AFF" w:rsidRPr="003A2F26">
              <w:rPr>
                <w:rStyle w:val="Hyperlink"/>
                <w:noProof/>
              </w:rPr>
              <w:t>Imprisonment of children with adults</w:t>
            </w:r>
            <w:r w:rsidR="000B3AFF">
              <w:rPr>
                <w:noProof/>
                <w:webHidden/>
              </w:rPr>
              <w:tab/>
            </w:r>
            <w:r w:rsidR="000B3AFF">
              <w:rPr>
                <w:noProof/>
                <w:webHidden/>
              </w:rPr>
              <w:fldChar w:fldCharType="begin"/>
            </w:r>
            <w:r w:rsidR="000B3AFF">
              <w:rPr>
                <w:noProof/>
                <w:webHidden/>
              </w:rPr>
              <w:instrText xml:space="preserve"> PAGEREF _Toc156901020 \h </w:instrText>
            </w:r>
            <w:r w:rsidR="000B3AFF">
              <w:rPr>
                <w:noProof/>
                <w:webHidden/>
              </w:rPr>
            </w:r>
            <w:r w:rsidR="000B3AFF">
              <w:rPr>
                <w:noProof/>
                <w:webHidden/>
              </w:rPr>
              <w:fldChar w:fldCharType="separate"/>
            </w:r>
            <w:r w:rsidR="00B46458">
              <w:rPr>
                <w:noProof/>
                <w:webHidden/>
              </w:rPr>
              <w:t>42</w:t>
            </w:r>
            <w:r w:rsidR="000B3AFF">
              <w:rPr>
                <w:noProof/>
                <w:webHidden/>
              </w:rPr>
              <w:fldChar w:fldCharType="end"/>
            </w:r>
          </w:hyperlink>
        </w:p>
        <w:p w14:paraId="74AB2F3E" w14:textId="0F427614"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1" w:history="1">
            <w:r w:rsidR="000B3AFF" w:rsidRPr="003A2F26">
              <w:rPr>
                <w:rStyle w:val="Hyperlink"/>
                <w:noProof/>
              </w:rPr>
              <w:t>Remand of children</w:t>
            </w:r>
            <w:r w:rsidR="000B3AFF">
              <w:rPr>
                <w:noProof/>
                <w:webHidden/>
              </w:rPr>
              <w:tab/>
            </w:r>
            <w:r w:rsidR="000B3AFF">
              <w:rPr>
                <w:noProof/>
                <w:webHidden/>
              </w:rPr>
              <w:fldChar w:fldCharType="begin"/>
            </w:r>
            <w:r w:rsidR="000B3AFF">
              <w:rPr>
                <w:noProof/>
                <w:webHidden/>
              </w:rPr>
              <w:instrText xml:space="preserve"> PAGEREF _Toc156901021 \h </w:instrText>
            </w:r>
            <w:r w:rsidR="000B3AFF">
              <w:rPr>
                <w:noProof/>
                <w:webHidden/>
              </w:rPr>
            </w:r>
            <w:r w:rsidR="000B3AFF">
              <w:rPr>
                <w:noProof/>
                <w:webHidden/>
              </w:rPr>
              <w:fldChar w:fldCharType="separate"/>
            </w:r>
            <w:r w:rsidR="00B46458">
              <w:rPr>
                <w:noProof/>
                <w:webHidden/>
              </w:rPr>
              <w:t>43</w:t>
            </w:r>
            <w:r w:rsidR="000B3AFF">
              <w:rPr>
                <w:noProof/>
                <w:webHidden/>
              </w:rPr>
              <w:fldChar w:fldCharType="end"/>
            </w:r>
          </w:hyperlink>
        </w:p>
        <w:p w14:paraId="66404A18" w14:textId="5C02AA45"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2" w:history="1">
            <w:r w:rsidR="000B3AFF" w:rsidRPr="003A2F26">
              <w:rPr>
                <w:rStyle w:val="Hyperlink"/>
                <w:noProof/>
              </w:rPr>
              <w:t>Prison conditions</w:t>
            </w:r>
            <w:r w:rsidR="000B3AFF">
              <w:rPr>
                <w:noProof/>
                <w:webHidden/>
              </w:rPr>
              <w:tab/>
            </w:r>
            <w:r w:rsidR="000B3AFF">
              <w:rPr>
                <w:noProof/>
                <w:webHidden/>
              </w:rPr>
              <w:fldChar w:fldCharType="begin"/>
            </w:r>
            <w:r w:rsidR="000B3AFF">
              <w:rPr>
                <w:noProof/>
                <w:webHidden/>
              </w:rPr>
              <w:instrText xml:space="preserve"> PAGEREF _Toc156901022 \h </w:instrText>
            </w:r>
            <w:r w:rsidR="000B3AFF">
              <w:rPr>
                <w:noProof/>
                <w:webHidden/>
              </w:rPr>
            </w:r>
            <w:r w:rsidR="000B3AFF">
              <w:rPr>
                <w:noProof/>
                <w:webHidden/>
              </w:rPr>
              <w:fldChar w:fldCharType="separate"/>
            </w:r>
            <w:r w:rsidR="00B46458">
              <w:rPr>
                <w:noProof/>
                <w:webHidden/>
              </w:rPr>
              <w:t>43</w:t>
            </w:r>
            <w:r w:rsidR="000B3AFF">
              <w:rPr>
                <w:noProof/>
                <w:webHidden/>
              </w:rPr>
              <w:fldChar w:fldCharType="end"/>
            </w:r>
          </w:hyperlink>
        </w:p>
        <w:p w14:paraId="4B675C33" w14:textId="7152490F"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3" w:history="1">
            <w:r w:rsidR="000B3AFF" w:rsidRPr="003A2F26">
              <w:rPr>
                <w:rStyle w:val="Hyperlink"/>
                <w:noProof/>
              </w:rPr>
              <w:t>Women in detention</w:t>
            </w:r>
            <w:r w:rsidR="000B3AFF">
              <w:rPr>
                <w:noProof/>
                <w:webHidden/>
              </w:rPr>
              <w:tab/>
            </w:r>
            <w:r w:rsidR="000B3AFF">
              <w:rPr>
                <w:noProof/>
                <w:webHidden/>
              </w:rPr>
              <w:fldChar w:fldCharType="begin"/>
            </w:r>
            <w:r w:rsidR="000B3AFF">
              <w:rPr>
                <w:noProof/>
                <w:webHidden/>
              </w:rPr>
              <w:instrText xml:space="preserve"> PAGEREF _Toc156901023 \h </w:instrText>
            </w:r>
            <w:r w:rsidR="000B3AFF">
              <w:rPr>
                <w:noProof/>
                <w:webHidden/>
              </w:rPr>
            </w:r>
            <w:r w:rsidR="000B3AFF">
              <w:rPr>
                <w:noProof/>
                <w:webHidden/>
              </w:rPr>
              <w:fldChar w:fldCharType="separate"/>
            </w:r>
            <w:r w:rsidR="00B46458">
              <w:rPr>
                <w:noProof/>
                <w:webHidden/>
              </w:rPr>
              <w:t>45</w:t>
            </w:r>
            <w:r w:rsidR="000B3AFF">
              <w:rPr>
                <w:noProof/>
                <w:webHidden/>
              </w:rPr>
              <w:fldChar w:fldCharType="end"/>
            </w:r>
          </w:hyperlink>
        </w:p>
        <w:p w14:paraId="5748F66E" w14:textId="63678DF7"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24" w:history="1">
            <w:r w:rsidR="000B3AFF" w:rsidRPr="003A2F26">
              <w:rPr>
                <w:rStyle w:val="Hyperlink"/>
              </w:rPr>
              <w:t>10.0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12 – Freedom of Movement</w:t>
            </w:r>
            <w:r w:rsidR="000B3AFF">
              <w:rPr>
                <w:webHidden/>
              </w:rPr>
              <w:tab/>
            </w:r>
            <w:r w:rsidR="000B3AFF">
              <w:rPr>
                <w:webHidden/>
              </w:rPr>
              <w:fldChar w:fldCharType="begin"/>
            </w:r>
            <w:r w:rsidR="000B3AFF">
              <w:rPr>
                <w:webHidden/>
              </w:rPr>
              <w:instrText xml:space="preserve"> PAGEREF _Toc156901024 \h </w:instrText>
            </w:r>
            <w:r w:rsidR="000B3AFF">
              <w:rPr>
                <w:webHidden/>
              </w:rPr>
            </w:r>
            <w:r w:rsidR="000B3AFF">
              <w:rPr>
                <w:webHidden/>
              </w:rPr>
              <w:fldChar w:fldCharType="separate"/>
            </w:r>
            <w:r w:rsidR="00B46458">
              <w:rPr>
                <w:webHidden/>
              </w:rPr>
              <w:t>47</w:t>
            </w:r>
            <w:r w:rsidR="000B3AFF">
              <w:rPr>
                <w:webHidden/>
              </w:rPr>
              <w:fldChar w:fldCharType="end"/>
            </w:r>
          </w:hyperlink>
        </w:p>
        <w:p w14:paraId="2522B500" w14:textId="181B1231"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5" w:history="1">
            <w:r w:rsidR="000B3AFF" w:rsidRPr="003A2F26">
              <w:rPr>
                <w:rStyle w:val="Hyperlink"/>
                <w:noProof/>
              </w:rPr>
              <w:t>Racial profiling</w:t>
            </w:r>
            <w:r w:rsidR="000B3AFF">
              <w:rPr>
                <w:noProof/>
                <w:webHidden/>
              </w:rPr>
              <w:tab/>
            </w:r>
            <w:r w:rsidR="000B3AFF">
              <w:rPr>
                <w:noProof/>
                <w:webHidden/>
              </w:rPr>
              <w:fldChar w:fldCharType="begin"/>
            </w:r>
            <w:r w:rsidR="000B3AFF">
              <w:rPr>
                <w:noProof/>
                <w:webHidden/>
              </w:rPr>
              <w:instrText xml:space="preserve"> PAGEREF _Toc156901025 \h </w:instrText>
            </w:r>
            <w:r w:rsidR="000B3AFF">
              <w:rPr>
                <w:noProof/>
                <w:webHidden/>
              </w:rPr>
            </w:r>
            <w:r w:rsidR="000B3AFF">
              <w:rPr>
                <w:noProof/>
                <w:webHidden/>
              </w:rPr>
              <w:fldChar w:fldCharType="separate"/>
            </w:r>
            <w:r w:rsidR="00B46458">
              <w:rPr>
                <w:noProof/>
                <w:webHidden/>
              </w:rPr>
              <w:t>47</w:t>
            </w:r>
            <w:r w:rsidR="000B3AFF">
              <w:rPr>
                <w:noProof/>
                <w:webHidden/>
              </w:rPr>
              <w:fldChar w:fldCharType="end"/>
            </w:r>
          </w:hyperlink>
        </w:p>
        <w:p w14:paraId="3F868F13" w14:textId="4635AC4E"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26" w:history="1">
            <w:r w:rsidR="000B3AFF" w:rsidRPr="003A2F26">
              <w:rPr>
                <w:rStyle w:val="Hyperlink"/>
              </w:rPr>
              <w:t>11.0 Article 13 – Non-refoulement</w:t>
            </w:r>
            <w:r w:rsidR="000B3AFF">
              <w:rPr>
                <w:webHidden/>
              </w:rPr>
              <w:tab/>
            </w:r>
            <w:r w:rsidR="000B3AFF">
              <w:rPr>
                <w:webHidden/>
              </w:rPr>
              <w:fldChar w:fldCharType="begin"/>
            </w:r>
            <w:r w:rsidR="000B3AFF">
              <w:rPr>
                <w:webHidden/>
              </w:rPr>
              <w:instrText xml:space="preserve"> PAGEREF _Toc156901026 \h </w:instrText>
            </w:r>
            <w:r w:rsidR="000B3AFF">
              <w:rPr>
                <w:webHidden/>
              </w:rPr>
            </w:r>
            <w:r w:rsidR="000B3AFF">
              <w:rPr>
                <w:webHidden/>
              </w:rPr>
              <w:fldChar w:fldCharType="separate"/>
            </w:r>
            <w:r w:rsidR="00B46458">
              <w:rPr>
                <w:webHidden/>
              </w:rPr>
              <w:t>48</w:t>
            </w:r>
            <w:r w:rsidR="000B3AFF">
              <w:rPr>
                <w:webHidden/>
              </w:rPr>
              <w:fldChar w:fldCharType="end"/>
            </w:r>
          </w:hyperlink>
        </w:p>
        <w:p w14:paraId="282BB015" w14:textId="2B6BC017"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7" w:history="1">
            <w:r w:rsidR="000B3AFF" w:rsidRPr="003A2F26">
              <w:rPr>
                <w:rStyle w:val="Hyperlink"/>
                <w:noProof/>
              </w:rPr>
              <w:t>Asylum, refugee law and resettlement</w:t>
            </w:r>
            <w:r w:rsidR="000B3AFF">
              <w:rPr>
                <w:noProof/>
                <w:webHidden/>
              </w:rPr>
              <w:tab/>
            </w:r>
            <w:r w:rsidR="000B3AFF">
              <w:rPr>
                <w:noProof/>
                <w:webHidden/>
              </w:rPr>
              <w:fldChar w:fldCharType="begin"/>
            </w:r>
            <w:r w:rsidR="000B3AFF">
              <w:rPr>
                <w:noProof/>
                <w:webHidden/>
              </w:rPr>
              <w:instrText xml:space="preserve"> PAGEREF _Toc156901027 \h </w:instrText>
            </w:r>
            <w:r w:rsidR="000B3AFF">
              <w:rPr>
                <w:noProof/>
                <w:webHidden/>
              </w:rPr>
            </w:r>
            <w:r w:rsidR="000B3AFF">
              <w:rPr>
                <w:noProof/>
                <w:webHidden/>
              </w:rPr>
              <w:fldChar w:fldCharType="separate"/>
            </w:r>
            <w:r w:rsidR="00B46458">
              <w:rPr>
                <w:noProof/>
                <w:webHidden/>
              </w:rPr>
              <w:t>48</w:t>
            </w:r>
            <w:r w:rsidR="000B3AFF">
              <w:rPr>
                <w:noProof/>
                <w:webHidden/>
              </w:rPr>
              <w:fldChar w:fldCharType="end"/>
            </w:r>
          </w:hyperlink>
        </w:p>
        <w:p w14:paraId="2F0EE9DA" w14:textId="3DF27F3C"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28" w:history="1">
            <w:r w:rsidR="000B3AFF" w:rsidRPr="003A2F26">
              <w:rPr>
                <w:rStyle w:val="Hyperlink"/>
                <w:noProof/>
              </w:rPr>
              <w:t>Rwanda asylum proposals</w:t>
            </w:r>
            <w:r w:rsidR="000B3AFF">
              <w:rPr>
                <w:noProof/>
                <w:webHidden/>
              </w:rPr>
              <w:tab/>
            </w:r>
            <w:r w:rsidR="000B3AFF">
              <w:rPr>
                <w:noProof/>
                <w:webHidden/>
              </w:rPr>
              <w:fldChar w:fldCharType="begin"/>
            </w:r>
            <w:r w:rsidR="000B3AFF">
              <w:rPr>
                <w:noProof/>
                <w:webHidden/>
              </w:rPr>
              <w:instrText xml:space="preserve"> PAGEREF _Toc156901028 \h </w:instrText>
            </w:r>
            <w:r w:rsidR="000B3AFF">
              <w:rPr>
                <w:noProof/>
                <w:webHidden/>
              </w:rPr>
            </w:r>
            <w:r w:rsidR="000B3AFF">
              <w:rPr>
                <w:noProof/>
                <w:webHidden/>
              </w:rPr>
              <w:fldChar w:fldCharType="separate"/>
            </w:r>
            <w:r w:rsidR="00B46458">
              <w:rPr>
                <w:noProof/>
                <w:webHidden/>
              </w:rPr>
              <w:t>50</w:t>
            </w:r>
            <w:r w:rsidR="000B3AFF">
              <w:rPr>
                <w:noProof/>
                <w:webHidden/>
              </w:rPr>
              <w:fldChar w:fldCharType="end"/>
            </w:r>
          </w:hyperlink>
        </w:p>
        <w:p w14:paraId="6A2E09F6" w14:textId="1CBC8A2A"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29" w:history="1">
            <w:r w:rsidR="000B3AFF" w:rsidRPr="003A2F26">
              <w:rPr>
                <w:rStyle w:val="Hyperlink"/>
              </w:rPr>
              <w:t>12.0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Articles 14, 15, 16 and 26 – Fair Trial Rights</w:t>
            </w:r>
            <w:r w:rsidR="000B3AFF">
              <w:rPr>
                <w:webHidden/>
              </w:rPr>
              <w:tab/>
            </w:r>
            <w:r w:rsidR="000B3AFF">
              <w:rPr>
                <w:webHidden/>
              </w:rPr>
              <w:fldChar w:fldCharType="begin"/>
            </w:r>
            <w:r w:rsidR="000B3AFF">
              <w:rPr>
                <w:webHidden/>
              </w:rPr>
              <w:instrText xml:space="preserve"> PAGEREF _Toc156901029 \h </w:instrText>
            </w:r>
            <w:r w:rsidR="000B3AFF">
              <w:rPr>
                <w:webHidden/>
              </w:rPr>
            </w:r>
            <w:r w:rsidR="000B3AFF">
              <w:rPr>
                <w:webHidden/>
              </w:rPr>
              <w:fldChar w:fldCharType="separate"/>
            </w:r>
            <w:r w:rsidR="00B46458">
              <w:rPr>
                <w:webHidden/>
              </w:rPr>
              <w:t>51</w:t>
            </w:r>
            <w:r w:rsidR="000B3AFF">
              <w:rPr>
                <w:webHidden/>
              </w:rPr>
              <w:fldChar w:fldCharType="end"/>
            </w:r>
          </w:hyperlink>
        </w:p>
        <w:p w14:paraId="0341244C" w14:textId="7CFDC35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0" w:history="1">
            <w:r w:rsidR="000B3AFF" w:rsidRPr="003A2F26">
              <w:rPr>
                <w:rStyle w:val="Hyperlink"/>
                <w:noProof/>
                <w:lang w:val="en"/>
              </w:rPr>
              <w:t>Access to justice</w:t>
            </w:r>
            <w:r w:rsidR="000B3AFF">
              <w:rPr>
                <w:noProof/>
                <w:webHidden/>
              </w:rPr>
              <w:tab/>
            </w:r>
            <w:r w:rsidR="000B3AFF">
              <w:rPr>
                <w:noProof/>
                <w:webHidden/>
              </w:rPr>
              <w:fldChar w:fldCharType="begin"/>
            </w:r>
            <w:r w:rsidR="000B3AFF">
              <w:rPr>
                <w:noProof/>
                <w:webHidden/>
              </w:rPr>
              <w:instrText xml:space="preserve"> PAGEREF _Toc156901030 \h </w:instrText>
            </w:r>
            <w:r w:rsidR="000B3AFF">
              <w:rPr>
                <w:noProof/>
                <w:webHidden/>
              </w:rPr>
            </w:r>
            <w:r w:rsidR="000B3AFF">
              <w:rPr>
                <w:noProof/>
                <w:webHidden/>
              </w:rPr>
              <w:fldChar w:fldCharType="separate"/>
            </w:r>
            <w:r w:rsidR="00B46458">
              <w:rPr>
                <w:noProof/>
                <w:webHidden/>
              </w:rPr>
              <w:t>51</w:t>
            </w:r>
            <w:r w:rsidR="000B3AFF">
              <w:rPr>
                <w:noProof/>
                <w:webHidden/>
              </w:rPr>
              <w:fldChar w:fldCharType="end"/>
            </w:r>
          </w:hyperlink>
        </w:p>
        <w:p w14:paraId="751A29BC" w14:textId="325E491E"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1" w:history="1">
            <w:r w:rsidR="000B3AFF" w:rsidRPr="003A2F26">
              <w:rPr>
                <w:rStyle w:val="Hyperlink"/>
                <w:noProof/>
                <w:lang w:val="en"/>
              </w:rPr>
              <w:t>Age of criminal responsibility</w:t>
            </w:r>
            <w:r w:rsidR="000B3AFF">
              <w:rPr>
                <w:noProof/>
                <w:webHidden/>
              </w:rPr>
              <w:tab/>
            </w:r>
            <w:r w:rsidR="000B3AFF">
              <w:rPr>
                <w:noProof/>
                <w:webHidden/>
              </w:rPr>
              <w:fldChar w:fldCharType="begin"/>
            </w:r>
            <w:r w:rsidR="000B3AFF">
              <w:rPr>
                <w:noProof/>
                <w:webHidden/>
              </w:rPr>
              <w:instrText xml:space="preserve"> PAGEREF _Toc156901031 \h </w:instrText>
            </w:r>
            <w:r w:rsidR="000B3AFF">
              <w:rPr>
                <w:noProof/>
                <w:webHidden/>
              </w:rPr>
            </w:r>
            <w:r w:rsidR="000B3AFF">
              <w:rPr>
                <w:noProof/>
                <w:webHidden/>
              </w:rPr>
              <w:fldChar w:fldCharType="separate"/>
            </w:r>
            <w:r w:rsidR="00B46458">
              <w:rPr>
                <w:noProof/>
                <w:webHidden/>
              </w:rPr>
              <w:t>53</w:t>
            </w:r>
            <w:r w:rsidR="000B3AFF">
              <w:rPr>
                <w:noProof/>
                <w:webHidden/>
              </w:rPr>
              <w:fldChar w:fldCharType="end"/>
            </w:r>
          </w:hyperlink>
        </w:p>
        <w:p w14:paraId="07BFFEFF" w14:textId="21E593AC"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2" w:history="1">
            <w:r w:rsidR="000B3AFF" w:rsidRPr="003A2F26">
              <w:rPr>
                <w:rStyle w:val="Hyperlink"/>
                <w:noProof/>
                <w:lang w:val="en"/>
              </w:rPr>
              <w:t>Avoidable delay</w:t>
            </w:r>
            <w:r w:rsidR="000B3AFF">
              <w:rPr>
                <w:noProof/>
                <w:webHidden/>
              </w:rPr>
              <w:tab/>
            </w:r>
            <w:r w:rsidR="000B3AFF">
              <w:rPr>
                <w:noProof/>
                <w:webHidden/>
              </w:rPr>
              <w:fldChar w:fldCharType="begin"/>
            </w:r>
            <w:r w:rsidR="000B3AFF">
              <w:rPr>
                <w:noProof/>
                <w:webHidden/>
              </w:rPr>
              <w:instrText xml:space="preserve"> PAGEREF _Toc156901032 \h </w:instrText>
            </w:r>
            <w:r w:rsidR="000B3AFF">
              <w:rPr>
                <w:noProof/>
                <w:webHidden/>
              </w:rPr>
            </w:r>
            <w:r w:rsidR="000B3AFF">
              <w:rPr>
                <w:noProof/>
                <w:webHidden/>
              </w:rPr>
              <w:fldChar w:fldCharType="separate"/>
            </w:r>
            <w:r w:rsidR="00B46458">
              <w:rPr>
                <w:noProof/>
                <w:webHidden/>
              </w:rPr>
              <w:t>53</w:t>
            </w:r>
            <w:r w:rsidR="000B3AFF">
              <w:rPr>
                <w:noProof/>
                <w:webHidden/>
              </w:rPr>
              <w:fldChar w:fldCharType="end"/>
            </w:r>
          </w:hyperlink>
        </w:p>
        <w:p w14:paraId="6BA64431" w14:textId="775BDE5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3" w:history="1">
            <w:r w:rsidR="000B3AFF" w:rsidRPr="003A2F26">
              <w:rPr>
                <w:rStyle w:val="Hyperlink"/>
                <w:noProof/>
                <w:lang w:val="en"/>
              </w:rPr>
              <w:t>Closed material procedures</w:t>
            </w:r>
            <w:r w:rsidR="000B3AFF">
              <w:rPr>
                <w:noProof/>
                <w:webHidden/>
              </w:rPr>
              <w:tab/>
            </w:r>
            <w:r w:rsidR="000B3AFF">
              <w:rPr>
                <w:noProof/>
                <w:webHidden/>
              </w:rPr>
              <w:fldChar w:fldCharType="begin"/>
            </w:r>
            <w:r w:rsidR="000B3AFF">
              <w:rPr>
                <w:noProof/>
                <w:webHidden/>
              </w:rPr>
              <w:instrText xml:space="preserve"> PAGEREF _Toc156901033 \h </w:instrText>
            </w:r>
            <w:r w:rsidR="000B3AFF">
              <w:rPr>
                <w:noProof/>
                <w:webHidden/>
              </w:rPr>
            </w:r>
            <w:r w:rsidR="000B3AFF">
              <w:rPr>
                <w:noProof/>
                <w:webHidden/>
              </w:rPr>
              <w:fldChar w:fldCharType="separate"/>
            </w:r>
            <w:r w:rsidR="00B46458">
              <w:rPr>
                <w:noProof/>
                <w:webHidden/>
              </w:rPr>
              <w:t>54</w:t>
            </w:r>
            <w:r w:rsidR="000B3AFF">
              <w:rPr>
                <w:noProof/>
                <w:webHidden/>
              </w:rPr>
              <w:fldChar w:fldCharType="end"/>
            </w:r>
          </w:hyperlink>
        </w:p>
        <w:p w14:paraId="6492F78C" w14:textId="0F011A8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4" w:history="1">
            <w:r w:rsidR="000B3AFF" w:rsidRPr="003A2F26">
              <w:rPr>
                <w:rStyle w:val="Hyperlink"/>
                <w:noProof/>
                <w:lang w:val="en"/>
              </w:rPr>
              <w:t>Miscarriages of justice</w:t>
            </w:r>
            <w:r w:rsidR="000B3AFF">
              <w:rPr>
                <w:noProof/>
                <w:webHidden/>
              </w:rPr>
              <w:tab/>
            </w:r>
            <w:r w:rsidR="000B3AFF">
              <w:rPr>
                <w:noProof/>
                <w:webHidden/>
              </w:rPr>
              <w:fldChar w:fldCharType="begin"/>
            </w:r>
            <w:r w:rsidR="000B3AFF">
              <w:rPr>
                <w:noProof/>
                <w:webHidden/>
              </w:rPr>
              <w:instrText xml:space="preserve"> PAGEREF _Toc156901034 \h </w:instrText>
            </w:r>
            <w:r w:rsidR="000B3AFF">
              <w:rPr>
                <w:noProof/>
                <w:webHidden/>
              </w:rPr>
            </w:r>
            <w:r w:rsidR="000B3AFF">
              <w:rPr>
                <w:noProof/>
                <w:webHidden/>
              </w:rPr>
              <w:fldChar w:fldCharType="separate"/>
            </w:r>
            <w:r w:rsidR="00B46458">
              <w:rPr>
                <w:noProof/>
                <w:webHidden/>
              </w:rPr>
              <w:t>54</w:t>
            </w:r>
            <w:r w:rsidR="000B3AFF">
              <w:rPr>
                <w:noProof/>
                <w:webHidden/>
              </w:rPr>
              <w:fldChar w:fldCharType="end"/>
            </w:r>
          </w:hyperlink>
        </w:p>
        <w:p w14:paraId="752F977D" w14:textId="3FB551C5"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5" w:history="1">
            <w:r w:rsidR="000B3AFF" w:rsidRPr="003A2F26">
              <w:rPr>
                <w:rStyle w:val="Hyperlink"/>
                <w:noProof/>
                <w:lang w:val="en"/>
              </w:rPr>
              <w:t>Non-jury trials</w:t>
            </w:r>
            <w:r w:rsidR="000B3AFF">
              <w:rPr>
                <w:noProof/>
                <w:webHidden/>
              </w:rPr>
              <w:tab/>
            </w:r>
            <w:r w:rsidR="000B3AFF">
              <w:rPr>
                <w:noProof/>
                <w:webHidden/>
              </w:rPr>
              <w:fldChar w:fldCharType="begin"/>
            </w:r>
            <w:r w:rsidR="000B3AFF">
              <w:rPr>
                <w:noProof/>
                <w:webHidden/>
              </w:rPr>
              <w:instrText xml:space="preserve"> PAGEREF _Toc156901035 \h </w:instrText>
            </w:r>
            <w:r w:rsidR="000B3AFF">
              <w:rPr>
                <w:noProof/>
                <w:webHidden/>
              </w:rPr>
            </w:r>
            <w:r w:rsidR="000B3AFF">
              <w:rPr>
                <w:noProof/>
                <w:webHidden/>
              </w:rPr>
              <w:fldChar w:fldCharType="separate"/>
            </w:r>
            <w:r w:rsidR="00B46458">
              <w:rPr>
                <w:noProof/>
                <w:webHidden/>
              </w:rPr>
              <w:t>55</w:t>
            </w:r>
            <w:r w:rsidR="000B3AFF">
              <w:rPr>
                <w:noProof/>
                <w:webHidden/>
              </w:rPr>
              <w:fldChar w:fldCharType="end"/>
            </w:r>
          </w:hyperlink>
        </w:p>
        <w:p w14:paraId="3DD38A40" w14:textId="1711C8F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6" w:history="1">
            <w:r w:rsidR="000B3AFF" w:rsidRPr="003A2F26">
              <w:rPr>
                <w:rStyle w:val="Hyperlink"/>
                <w:noProof/>
              </w:rPr>
              <w:t>Cross-border justice arrangements</w:t>
            </w:r>
            <w:r w:rsidR="000B3AFF">
              <w:rPr>
                <w:noProof/>
                <w:webHidden/>
              </w:rPr>
              <w:tab/>
            </w:r>
            <w:r w:rsidR="000B3AFF">
              <w:rPr>
                <w:noProof/>
                <w:webHidden/>
              </w:rPr>
              <w:fldChar w:fldCharType="begin"/>
            </w:r>
            <w:r w:rsidR="000B3AFF">
              <w:rPr>
                <w:noProof/>
                <w:webHidden/>
              </w:rPr>
              <w:instrText xml:space="preserve"> PAGEREF _Toc156901036 \h </w:instrText>
            </w:r>
            <w:r w:rsidR="000B3AFF">
              <w:rPr>
                <w:noProof/>
                <w:webHidden/>
              </w:rPr>
            </w:r>
            <w:r w:rsidR="000B3AFF">
              <w:rPr>
                <w:noProof/>
                <w:webHidden/>
              </w:rPr>
              <w:fldChar w:fldCharType="separate"/>
            </w:r>
            <w:r w:rsidR="00B46458">
              <w:rPr>
                <w:noProof/>
                <w:webHidden/>
              </w:rPr>
              <w:t>55</w:t>
            </w:r>
            <w:r w:rsidR="000B3AFF">
              <w:rPr>
                <w:noProof/>
                <w:webHidden/>
              </w:rPr>
              <w:fldChar w:fldCharType="end"/>
            </w:r>
          </w:hyperlink>
        </w:p>
        <w:p w14:paraId="776B8C31" w14:textId="35FCB333"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37" w:history="1">
            <w:r w:rsidR="000B3AFF" w:rsidRPr="003A2F26">
              <w:rPr>
                <w:rStyle w:val="Hyperlink"/>
              </w:rPr>
              <w:t>13.0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17 – Right to Family, Home and Correspondence</w:t>
            </w:r>
            <w:r w:rsidR="000B3AFF">
              <w:rPr>
                <w:webHidden/>
              </w:rPr>
              <w:tab/>
            </w:r>
            <w:r w:rsidR="000B3AFF">
              <w:rPr>
                <w:webHidden/>
              </w:rPr>
              <w:fldChar w:fldCharType="begin"/>
            </w:r>
            <w:r w:rsidR="000B3AFF">
              <w:rPr>
                <w:webHidden/>
              </w:rPr>
              <w:instrText xml:space="preserve"> PAGEREF _Toc156901037 \h </w:instrText>
            </w:r>
            <w:r w:rsidR="000B3AFF">
              <w:rPr>
                <w:webHidden/>
              </w:rPr>
            </w:r>
            <w:r w:rsidR="000B3AFF">
              <w:rPr>
                <w:webHidden/>
              </w:rPr>
              <w:fldChar w:fldCharType="separate"/>
            </w:r>
            <w:r w:rsidR="00B46458">
              <w:rPr>
                <w:webHidden/>
              </w:rPr>
              <w:t>57</w:t>
            </w:r>
            <w:r w:rsidR="000B3AFF">
              <w:rPr>
                <w:webHidden/>
              </w:rPr>
              <w:fldChar w:fldCharType="end"/>
            </w:r>
          </w:hyperlink>
        </w:p>
        <w:p w14:paraId="73EE36EC" w14:textId="7BBF251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8" w:history="1">
            <w:r w:rsidR="000B3AFF" w:rsidRPr="003A2F26">
              <w:rPr>
                <w:rStyle w:val="Hyperlink"/>
                <w:rFonts w:eastAsia="Verdana"/>
                <w:noProof/>
              </w:rPr>
              <w:t>Access to financial support</w:t>
            </w:r>
            <w:r w:rsidR="000B3AFF">
              <w:rPr>
                <w:noProof/>
                <w:webHidden/>
              </w:rPr>
              <w:tab/>
            </w:r>
            <w:r w:rsidR="000B3AFF">
              <w:rPr>
                <w:noProof/>
                <w:webHidden/>
              </w:rPr>
              <w:fldChar w:fldCharType="begin"/>
            </w:r>
            <w:r w:rsidR="000B3AFF">
              <w:rPr>
                <w:noProof/>
                <w:webHidden/>
              </w:rPr>
              <w:instrText xml:space="preserve"> PAGEREF _Toc156901038 \h </w:instrText>
            </w:r>
            <w:r w:rsidR="000B3AFF">
              <w:rPr>
                <w:noProof/>
                <w:webHidden/>
              </w:rPr>
            </w:r>
            <w:r w:rsidR="000B3AFF">
              <w:rPr>
                <w:noProof/>
                <w:webHidden/>
              </w:rPr>
              <w:fldChar w:fldCharType="separate"/>
            </w:r>
            <w:r w:rsidR="00B46458">
              <w:rPr>
                <w:noProof/>
                <w:webHidden/>
              </w:rPr>
              <w:t>57</w:t>
            </w:r>
            <w:r w:rsidR="000B3AFF">
              <w:rPr>
                <w:noProof/>
                <w:webHidden/>
              </w:rPr>
              <w:fldChar w:fldCharType="end"/>
            </w:r>
          </w:hyperlink>
        </w:p>
        <w:p w14:paraId="14BDF725" w14:textId="55C88352"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39" w:history="1">
            <w:r w:rsidR="000B3AFF" w:rsidRPr="003A2F26">
              <w:rPr>
                <w:rStyle w:val="Hyperlink"/>
                <w:rFonts w:eastAsia="Verdana"/>
                <w:noProof/>
              </w:rPr>
              <w:t>Biometric data</w:t>
            </w:r>
            <w:r w:rsidR="000B3AFF">
              <w:rPr>
                <w:noProof/>
                <w:webHidden/>
              </w:rPr>
              <w:tab/>
            </w:r>
            <w:r w:rsidR="000B3AFF">
              <w:rPr>
                <w:noProof/>
                <w:webHidden/>
              </w:rPr>
              <w:fldChar w:fldCharType="begin"/>
            </w:r>
            <w:r w:rsidR="000B3AFF">
              <w:rPr>
                <w:noProof/>
                <w:webHidden/>
              </w:rPr>
              <w:instrText xml:space="preserve"> PAGEREF _Toc156901039 \h </w:instrText>
            </w:r>
            <w:r w:rsidR="000B3AFF">
              <w:rPr>
                <w:noProof/>
                <w:webHidden/>
              </w:rPr>
            </w:r>
            <w:r w:rsidR="000B3AFF">
              <w:rPr>
                <w:noProof/>
                <w:webHidden/>
              </w:rPr>
              <w:fldChar w:fldCharType="separate"/>
            </w:r>
            <w:r w:rsidR="00B46458">
              <w:rPr>
                <w:noProof/>
                <w:webHidden/>
              </w:rPr>
              <w:t>58</w:t>
            </w:r>
            <w:r w:rsidR="000B3AFF">
              <w:rPr>
                <w:noProof/>
                <w:webHidden/>
              </w:rPr>
              <w:fldChar w:fldCharType="end"/>
            </w:r>
          </w:hyperlink>
        </w:p>
        <w:p w14:paraId="56BF0036" w14:textId="52C05491"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0" w:history="1">
            <w:r w:rsidR="000B3AFF" w:rsidRPr="003A2F26">
              <w:rPr>
                <w:rStyle w:val="Hyperlink"/>
                <w:rFonts w:eastAsia="Verdana"/>
                <w:noProof/>
              </w:rPr>
              <w:t>Stop and search</w:t>
            </w:r>
            <w:r w:rsidR="000B3AFF">
              <w:rPr>
                <w:noProof/>
                <w:webHidden/>
              </w:rPr>
              <w:tab/>
            </w:r>
            <w:r w:rsidR="000B3AFF">
              <w:rPr>
                <w:noProof/>
                <w:webHidden/>
              </w:rPr>
              <w:fldChar w:fldCharType="begin"/>
            </w:r>
            <w:r w:rsidR="000B3AFF">
              <w:rPr>
                <w:noProof/>
                <w:webHidden/>
              </w:rPr>
              <w:instrText xml:space="preserve"> PAGEREF _Toc156901040 \h </w:instrText>
            </w:r>
            <w:r w:rsidR="000B3AFF">
              <w:rPr>
                <w:noProof/>
                <w:webHidden/>
              </w:rPr>
            </w:r>
            <w:r w:rsidR="000B3AFF">
              <w:rPr>
                <w:noProof/>
                <w:webHidden/>
              </w:rPr>
              <w:fldChar w:fldCharType="separate"/>
            </w:r>
            <w:r w:rsidR="00B46458">
              <w:rPr>
                <w:noProof/>
                <w:webHidden/>
              </w:rPr>
              <w:t>59</w:t>
            </w:r>
            <w:r w:rsidR="000B3AFF">
              <w:rPr>
                <w:noProof/>
                <w:webHidden/>
              </w:rPr>
              <w:fldChar w:fldCharType="end"/>
            </w:r>
          </w:hyperlink>
        </w:p>
        <w:p w14:paraId="7877F32D" w14:textId="3E4EF35D"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1" w:history="1">
            <w:r w:rsidR="000B3AFF" w:rsidRPr="003A2F26">
              <w:rPr>
                <w:rStyle w:val="Hyperlink"/>
                <w:rFonts w:eastAsia="Verdana"/>
                <w:noProof/>
              </w:rPr>
              <w:t>Rehabilitation of offenders</w:t>
            </w:r>
            <w:r w:rsidR="000B3AFF">
              <w:rPr>
                <w:noProof/>
                <w:webHidden/>
              </w:rPr>
              <w:tab/>
            </w:r>
            <w:r w:rsidR="000B3AFF">
              <w:rPr>
                <w:noProof/>
                <w:webHidden/>
              </w:rPr>
              <w:fldChar w:fldCharType="begin"/>
            </w:r>
            <w:r w:rsidR="000B3AFF">
              <w:rPr>
                <w:noProof/>
                <w:webHidden/>
              </w:rPr>
              <w:instrText xml:space="preserve"> PAGEREF _Toc156901041 \h </w:instrText>
            </w:r>
            <w:r w:rsidR="000B3AFF">
              <w:rPr>
                <w:noProof/>
                <w:webHidden/>
              </w:rPr>
            </w:r>
            <w:r w:rsidR="000B3AFF">
              <w:rPr>
                <w:noProof/>
                <w:webHidden/>
              </w:rPr>
              <w:fldChar w:fldCharType="separate"/>
            </w:r>
            <w:r w:rsidR="00B46458">
              <w:rPr>
                <w:noProof/>
                <w:webHidden/>
              </w:rPr>
              <w:t>60</w:t>
            </w:r>
            <w:r w:rsidR="000B3AFF">
              <w:rPr>
                <w:noProof/>
                <w:webHidden/>
              </w:rPr>
              <w:fldChar w:fldCharType="end"/>
            </w:r>
          </w:hyperlink>
        </w:p>
        <w:p w14:paraId="2CB90434" w14:textId="6F3F25A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2" w:history="1">
            <w:r w:rsidR="000B3AFF" w:rsidRPr="003A2F26">
              <w:rPr>
                <w:rStyle w:val="Hyperlink"/>
                <w:rFonts w:eastAsia="Verdana"/>
                <w:noProof/>
              </w:rPr>
              <w:t>Biometric surveillance technology</w:t>
            </w:r>
            <w:r w:rsidR="000B3AFF">
              <w:rPr>
                <w:noProof/>
                <w:webHidden/>
              </w:rPr>
              <w:tab/>
            </w:r>
            <w:r w:rsidR="000B3AFF">
              <w:rPr>
                <w:noProof/>
                <w:webHidden/>
              </w:rPr>
              <w:fldChar w:fldCharType="begin"/>
            </w:r>
            <w:r w:rsidR="000B3AFF">
              <w:rPr>
                <w:noProof/>
                <w:webHidden/>
              </w:rPr>
              <w:instrText xml:space="preserve"> PAGEREF _Toc156901042 \h </w:instrText>
            </w:r>
            <w:r w:rsidR="000B3AFF">
              <w:rPr>
                <w:noProof/>
                <w:webHidden/>
              </w:rPr>
            </w:r>
            <w:r w:rsidR="000B3AFF">
              <w:rPr>
                <w:noProof/>
                <w:webHidden/>
              </w:rPr>
              <w:fldChar w:fldCharType="separate"/>
            </w:r>
            <w:r w:rsidR="00B46458">
              <w:rPr>
                <w:noProof/>
                <w:webHidden/>
              </w:rPr>
              <w:t>61</w:t>
            </w:r>
            <w:r w:rsidR="000B3AFF">
              <w:rPr>
                <w:noProof/>
                <w:webHidden/>
              </w:rPr>
              <w:fldChar w:fldCharType="end"/>
            </w:r>
          </w:hyperlink>
        </w:p>
        <w:p w14:paraId="50E3064C" w14:textId="01AF7F23"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43" w:history="1">
            <w:r w:rsidR="000B3AFF" w:rsidRPr="003A2F26">
              <w:rPr>
                <w:rStyle w:val="Hyperlink"/>
              </w:rPr>
              <w:t>14.0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18 – Right to Freedom of Thought, Conscience and Religion</w:t>
            </w:r>
            <w:r w:rsidR="000B3AFF">
              <w:rPr>
                <w:webHidden/>
              </w:rPr>
              <w:tab/>
            </w:r>
            <w:r w:rsidR="000B3AFF">
              <w:rPr>
                <w:webHidden/>
              </w:rPr>
              <w:fldChar w:fldCharType="begin"/>
            </w:r>
            <w:r w:rsidR="000B3AFF">
              <w:rPr>
                <w:webHidden/>
              </w:rPr>
              <w:instrText xml:space="preserve"> PAGEREF _Toc156901043 \h </w:instrText>
            </w:r>
            <w:r w:rsidR="000B3AFF">
              <w:rPr>
                <w:webHidden/>
              </w:rPr>
            </w:r>
            <w:r w:rsidR="000B3AFF">
              <w:rPr>
                <w:webHidden/>
              </w:rPr>
              <w:fldChar w:fldCharType="separate"/>
            </w:r>
            <w:r w:rsidR="00B46458">
              <w:rPr>
                <w:webHidden/>
              </w:rPr>
              <w:t>62</w:t>
            </w:r>
            <w:r w:rsidR="000B3AFF">
              <w:rPr>
                <w:webHidden/>
              </w:rPr>
              <w:fldChar w:fldCharType="end"/>
            </w:r>
          </w:hyperlink>
        </w:p>
        <w:p w14:paraId="30756F6C" w14:textId="3CA3068A"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4" w:history="1">
            <w:r w:rsidR="000B3AFF" w:rsidRPr="003A2F26">
              <w:rPr>
                <w:rStyle w:val="Hyperlink"/>
                <w:noProof/>
              </w:rPr>
              <w:t>Blasphemy</w:t>
            </w:r>
            <w:r w:rsidR="000B3AFF">
              <w:rPr>
                <w:noProof/>
                <w:webHidden/>
              </w:rPr>
              <w:tab/>
            </w:r>
            <w:r w:rsidR="000B3AFF">
              <w:rPr>
                <w:noProof/>
                <w:webHidden/>
              </w:rPr>
              <w:fldChar w:fldCharType="begin"/>
            </w:r>
            <w:r w:rsidR="000B3AFF">
              <w:rPr>
                <w:noProof/>
                <w:webHidden/>
              </w:rPr>
              <w:instrText xml:space="preserve"> PAGEREF _Toc156901044 \h </w:instrText>
            </w:r>
            <w:r w:rsidR="000B3AFF">
              <w:rPr>
                <w:noProof/>
                <w:webHidden/>
              </w:rPr>
            </w:r>
            <w:r w:rsidR="000B3AFF">
              <w:rPr>
                <w:noProof/>
                <w:webHidden/>
              </w:rPr>
              <w:fldChar w:fldCharType="separate"/>
            </w:r>
            <w:r w:rsidR="00B46458">
              <w:rPr>
                <w:noProof/>
                <w:webHidden/>
              </w:rPr>
              <w:t>62</w:t>
            </w:r>
            <w:r w:rsidR="000B3AFF">
              <w:rPr>
                <w:noProof/>
                <w:webHidden/>
              </w:rPr>
              <w:fldChar w:fldCharType="end"/>
            </w:r>
          </w:hyperlink>
        </w:p>
        <w:p w14:paraId="24404599" w14:textId="614269DA"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45" w:history="1">
            <w:r w:rsidR="000B3AFF" w:rsidRPr="003A2F26">
              <w:rPr>
                <w:rStyle w:val="Hyperlink"/>
              </w:rPr>
              <w:t>15.0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19 – Right to Freedom of Expression</w:t>
            </w:r>
            <w:r w:rsidR="000B3AFF">
              <w:rPr>
                <w:webHidden/>
              </w:rPr>
              <w:tab/>
            </w:r>
            <w:r w:rsidR="000B3AFF">
              <w:rPr>
                <w:webHidden/>
              </w:rPr>
              <w:fldChar w:fldCharType="begin"/>
            </w:r>
            <w:r w:rsidR="000B3AFF">
              <w:rPr>
                <w:webHidden/>
              </w:rPr>
              <w:instrText xml:space="preserve"> PAGEREF _Toc156901045 \h </w:instrText>
            </w:r>
            <w:r w:rsidR="000B3AFF">
              <w:rPr>
                <w:webHidden/>
              </w:rPr>
            </w:r>
            <w:r w:rsidR="000B3AFF">
              <w:rPr>
                <w:webHidden/>
              </w:rPr>
              <w:fldChar w:fldCharType="separate"/>
            </w:r>
            <w:r w:rsidR="00B46458">
              <w:rPr>
                <w:webHidden/>
              </w:rPr>
              <w:t>62</w:t>
            </w:r>
            <w:r w:rsidR="000B3AFF">
              <w:rPr>
                <w:webHidden/>
              </w:rPr>
              <w:fldChar w:fldCharType="end"/>
            </w:r>
          </w:hyperlink>
        </w:p>
        <w:p w14:paraId="50BABD5F" w14:textId="7B4C06EB"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6" w:history="1">
            <w:r w:rsidR="000B3AFF" w:rsidRPr="003A2F26">
              <w:rPr>
                <w:rStyle w:val="Hyperlink"/>
                <w:noProof/>
                <w:lang w:val="en"/>
              </w:rPr>
              <w:t>Defamation</w:t>
            </w:r>
            <w:r w:rsidR="000B3AFF">
              <w:rPr>
                <w:noProof/>
                <w:webHidden/>
              </w:rPr>
              <w:tab/>
            </w:r>
            <w:r w:rsidR="000B3AFF">
              <w:rPr>
                <w:noProof/>
                <w:webHidden/>
              </w:rPr>
              <w:fldChar w:fldCharType="begin"/>
            </w:r>
            <w:r w:rsidR="000B3AFF">
              <w:rPr>
                <w:noProof/>
                <w:webHidden/>
              </w:rPr>
              <w:instrText xml:space="preserve"> PAGEREF _Toc156901046 \h </w:instrText>
            </w:r>
            <w:r w:rsidR="000B3AFF">
              <w:rPr>
                <w:noProof/>
                <w:webHidden/>
              </w:rPr>
            </w:r>
            <w:r w:rsidR="000B3AFF">
              <w:rPr>
                <w:noProof/>
                <w:webHidden/>
              </w:rPr>
              <w:fldChar w:fldCharType="separate"/>
            </w:r>
            <w:r w:rsidR="00B46458">
              <w:rPr>
                <w:noProof/>
                <w:webHidden/>
              </w:rPr>
              <w:t>62</w:t>
            </w:r>
            <w:r w:rsidR="000B3AFF">
              <w:rPr>
                <w:noProof/>
                <w:webHidden/>
              </w:rPr>
              <w:fldChar w:fldCharType="end"/>
            </w:r>
          </w:hyperlink>
        </w:p>
        <w:p w14:paraId="26FFC798" w14:textId="0985B178"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7" w:history="1">
            <w:r w:rsidR="000B3AFF" w:rsidRPr="003A2F26">
              <w:rPr>
                <w:rStyle w:val="Hyperlink"/>
                <w:noProof/>
                <w:lang w:val="en"/>
              </w:rPr>
              <w:t>Freedom of expression of journalists</w:t>
            </w:r>
            <w:r w:rsidR="000B3AFF">
              <w:rPr>
                <w:noProof/>
                <w:webHidden/>
              </w:rPr>
              <w:tab/>
            </w:r>
            <w:r w:rsidR="000B3AFF">
              <w:rPr>
                <w:noProof/>
                <w:webHidden/>
              </w:rPr>
              <w:fldChar w:fldCharType="begin"/>
            </w:r>
            <w:r w:rsidR="000B3AFF">
              <w:rPr>
                <w:noProof/>
                <w:webHidden/>
              </w:rPr>
              <w:instrText xml:space="preserve"> PAGEREF _Toc156901047 \h </w:instrText>
            </w:r>
            <w:r w:rsidR="000B3AFF">
              <w:rPr>
                <w:noProof/>
                <w:webHidden/>
              </w:rPr>
            </w:r>
            <w:r w:rsidR="000B3AFF">
              <w:rPr>
                <w:noProof/>
                <w:webHidden/>
              </w:rPr>
              <w:fldChar w:fldCharType="separate"/>
            </w:r>
            <w:r w:rsidR="00B46458">
              <w:rPr>
                <w:noProof/>
                <w:webHidden/>
              </w:rPr>
              <w:t>63</w:t>
            </w:r>
            <w:r w:rsidR="000B3AFF">
              <w:rPr>
                <w:noProof/>
                <w:webHidden/>
              </w:rPr>
              <w:fldChar w:fldCharType="end"/>
            </w:r>
          </w:hyperlink>
        </w:p>
        <w:p w14:paraId="3D98E324" w14:textId="3ED43BB9"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48" w:history="1">
            <w:r w:rsidR="000B3AFF" w:rsidRPr="003A2F26">
              <w:rPr>
                <w:rStyle w:val="Hyperlink"/>
              </w:rPr>
              <w:t>16.0 Article 21 – Right to Peaceful Assembly</w:t>
            </w:r>
            <w:r w:rsidR="000B3AFF">
              <w:rPr>
                <w:webHidden/>
              </w:rPr>
              <w:tab/>
            </w:r>
            <w:r w:rsidR="000B3AFF">
              <w:rPr>
                <w:webHidden/>
              </w:rPr>
              <w:fldChar w:fldCharType="begin"/>
            </w:r>
            <w:r w:rsidR="000B3AFF">
              <w:rPr>
                <w:webHidden/>
              </w:rPr>
              <w:instrText xml:space="preserve"> PAGEREF _Toc156901048 \h </w:instrText>
            </w:r>
            <w:r w:rsidR="000B3AFF">
              <w:rPr>
                <w:webHidden/>
              </w:rPr>
            </w:r>
            <w:r w:rsidR="000B3AFF">
              <w:rPr>
                <w:webHidden/>
              </w:rPr>
              <w:fldChar w:fldCharType="separate"/>
            </w:r>
            <w:r w:rsidR="00B46458">
              <w:rPr>
                <w:webHidden/>
              </w:rPr>
              <w:t>64</w:t>
            </w:r>
            <w:r w:rsidR="000B3AFF">
              <w:rPr>
                <w:webHidden/>
              </w:rPr>
              <w:fldChar w:fldCharType="end"/>
            </w:r>
          </w:hyperlink>
        </w:p>
        <w:p w14:paraId="2D4EBC83" w14:textId="053755E9"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49" w:history="1">
            <w:r w:rsidR="000B3AFF" w:rsidRPr="003A2F26">
              <w:rPr>
                <w:rStyle w:val="Hyperlink"/>
                <w:noProof/>
                <w:lang w:val="en"/>
              </w:rPr>
              <w:t>Parades and protests</w:t>
            </w:r>
            <w:r w:rsidR="000B3AFF">
              <w:rPr>
                <w:noProof/>
                <w:webHidden/>
              </w:rPr>
              <w:tab/>
            </w:r>
            <w:r w:rsidR="000B3AFF">
              <w:rPr>
                <w:noProof/>
                <w:webHidden/>
              </w:rPr>
              <w:fldChar w:fldCharType="begin"/>
            </w:r>
            <w:r w:rsidR="000B3AFF">
              <w:rPr>
                <w:noProof/>
                <w:webHidden/>
              </w:rPr>
              <w:instrText xml:space="preserve"> PAGEREF _Toc156901049 \h </w:instrText>
            </w:r>
            <w:r w:rsidR="000B3AFF">
              <w:rPr>
                <w:noProof/>
                <w:webHidden/>
              </w:rPr>
            </w:r>
            <w:r w:rsidR="000B3AFF">
              <w:rPr>
                <w:noProof/>
                <w:webHidden/>
              </w:rPr>
              <w:fldChar w:fldCharType="separate"/>
            </w:r>
            <w:r w:rsidR="00B46458">
              <w:rPr>
                <w:noProof/>
                <w:webHidden/>
              </w:rPr>
              <w:t>64</w:t>
            </w:r>
            <w:r w:rsidR="000B3AFF">
              <w:rPr>
                <w:noProof/>
                <w:webHidden/>
              </w:rPr>
              <w:fldChar w:fldCharType="end"/>
            </w:r>
          </w:hyperlink>
        </w:p>
        <w:p w14:paraId="40A2BEAA" w14:textId="68E526DD"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50" w:history="1">
            <w:r w:rsidR="000B3AFF" w:rsidRPr="003A2F26">
              <w:rPr>
                <w:rStyle w:val="Hyperlink"/>
              </w:rPr>
              <w:t>17.0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23 – Right to Marry</w:t>
            </w:r>
            <w:r w:rsidR="000B3AFF">
              <w:rPr>
                <w:webHidden/>
              </w:rPr>
              <w:tab/>
            </w:r>
            <w:r w:rsidR="000B3AFF">
              <w:rPr>
                <w:webHidden/>
              </w:rPr>
              <w:fldChar w:fldCharType="begin"/>
            </w:r>
            <w:r w:rsidR="000B3AFF">
              <w:rPr>
                <w:webHidden/>
              </w:rPr>
              <w:instrText xml:space="preserve"> PAGEREF _Toc156901050 \h </w:instrText>
            </w:r>
            <w:r w:rsidR="000B3AFF">
              <w:rPr>
                <w:webHidden/>
              </w:rPr>
            </w:r>
            <w:r w:rsidR="000B3AFF">
              <w:rPr>
                <w:webHidden/>
              </w:rPr>
              <w:fldChar w:fldCharType="separate"/>
            </w:r>
            <w:r w:rsidR="00B46458">
              <w:rPr>
                <w:webHidden/>
              </w:rPr>
              <w:t>65</w:t>
            </w:r>
            <w:r w:rsidR="000B3AFF">
              <w:rPr>
                <w:webHidden/>
              </w:rPr>
              <w:fldChar w:fldCharType="end"/>
            </w:r>
          </w:hyperlink>
        </w:p>
        <w:p w14:paraId="3E7947C4" w14:textId="34C09AEE"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1" w:history="1">
            <w:r w:rsidR="000B3AFF" w:rsidRPr="003A2F26">
              <w:rPr>
                <w:rStyle w:val="Hyperlink"/>
                <w:noProof/>
                <w:lang w:val="en"/>
              </w:rPr>
              <w:t>Child, early and forced marriage</w:t>
            </w:r>
            <w:r w:rsidR="000B3AFF">
              <w:rPr>
                <w:noProof/>
                <w:webHidden/>
              </w:rPr>
              <w:tab/>
            </w:r>
            <w:r w:rsidR="000B3AFF">
              <w:rPr>
                <w:noProof/>
                <w:webHidden/>
              </w:rPr>
              <w:fldChar w:fldCharType="begin"/>
            </w:r>
            <w:r w:rsidR="000B3AFF">
              <w:rPr>
                <w:noProof/>
                <w:webHidden/>
              </w:rPr>
              <w:instrText xml:space="preserve"> PAGEREF _Toc156901051 \h </w:instrText>
            </w:r>
            <w:r w:rsidR="000B3AFF">
              <w:rPr>
                <w:noProof/>
                <w:webHidden/>
              </w:rPr>
            </w:r>
            <w:r w:rsidR="000B3AFF">
              <w:rPr>
                <w:noProof/>
                <w:webHidden/>
              </w:rPr>
              <w:fldChar w:fldCharType="separate"/>
            </w:r>
            <w:r w:rsidR="00B46458">
              <w:rPr>
                <w:noProof/>
                <w:webHidden/>
              </w:rPr>
              <w:t>65</w:t>
            </w:r>
            <w:r w:rsidR="000B3AFF">
              <w:rPr>
                <w:noProof/>
                <w:webHidden/>
              </w:rPr>
              <w:fldChar w:fldCharType="end"/>
            </w:r>
          </w:hyperlink>
        </w:p>
        <w:p w14:paraId="4DC2F308" w14:textId="31274610"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52" w:history="1">
            <w:r w:rsidR="000B3AFF" w:rsidRPr="003A2F26">
              <w:rPr>
                <w:rStyle w:val="Hyperlink"/>
              </w:rPr>
              <w:t>18.0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24 – Children’s Rights</w:t>
            </w:r>
            <w:r w:rsidR="000B3AFF">
              <w:rPr>
                <w:webHidden/>
              </w:rPr>
              <w:tab/>
            </w:r>
            <w:r w:rsidR="000B3AFF">
              <w:rPr>
                <w:webHidden/>
              </w:rPr>
              <w:fldChar w:fldCharType="begin"/>
            </w:r>
            <w:r w:rsidR="000B3AFF">
              <w:rPr>
                <w:webHidden/>
              </w:rPr>
              <w:instrText xml:space="preserve"> PAGEREF _Toc156901052 \h </w:instrText>
            </w:r>
            <w:r w:rsidR="000B3AFF">
              <w:rPr>
                <w:webHidden/>
              </w:rPr>
            </w:r>
            <w:r w:rsidR="000B3AFF">
              <w:rPr>
                <w:webHidden/>
              </w:rPr>
              <w:fldChar w:fldCharType="separate"/>
            </w:r>
            <w:r w:rsidR="00B46458">
              <w:rPr>
                <w:webHidden/>
              </w:rPr>
              <w:t>65</w:t>
            </w:r>
            <w:r w:rsidR="000B3AFF">
              <w:rPr>
                <w:webHidden/>
              </w:rPr>
              <w:fldChar w:fldCharType="end"/>
            </w:r>
          </w:hyperlink>
        </w:p>
        <w:p w14:paraId="4AF26906" w14:textId="7F889FA3"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3" w:history="1">
            <w:r w:rsidR="000B3AFF" w:rsidRPr="003A2F26">
              <w:rPr>
                <w:rStyle w:val="Hyperlink"/>
                <w:noProof/>
              </w:rPr>
              <w:t>Physical punishment of children</w:t>
            </w:r>
            <w:r w:rsidR="000B3AFF">
              <w:rPr>
                <w:noProof/>
                <w:webHidden/>
              </w:rPr>
              <w:tab/>
            </w:r>
            <w:r w:rsidR="000B3AFF">
              <w:rPr>
                <w:noProof/>
                <w:webHidden/>
              </w:rPr>
              <w:fldChar w:fldCharType="begin"/>
            </w:r>
            <w:r w:rsidR="000B3AFF">
              <w:rPr>
                <w:noProof/>
                <w:webHidden/>
              </w:rPr>
              <w:instrText xml:space="preserve"> PAGEREF _Toc156901053 \h </w:instrText>
            </w:r>
            <w:r w:rsidR="000B3AFF">
              <w:rPr>
                <w:noProof/>
                <w:webHidden/>
              </w:rPr>
            </w:r>
            <w:r w:rsidR="000B3AFF">
              <w:rPr>
                <w:noProof/>
                <w:webHidden/>
              </w:rPr>
              <w:fldChar w:fldCharType="separate"/>
            </w:r>
            <w:r w:rsidR="00B46458">
              <w:rPr>
                <w:noProof/>
                <w:webHidden/>
              </w:rPr>
              <w:t>65</w:t>
            </w:r>
            <w:r w:rsidR="000B3AFF">
              <w:rPr>
                <w:noProof/>
                <w:webHidden/>
              </w:rPr>
              <w:fldChar w:fldCharType="end"/>
            </w:r>
          </w:hyperlink>
        </w:p>
        <w:p w14:paraId="50B3F354" w14:textId="235AEF59"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4" w:history="1">
            <w:r w:rsidR="000B3AFF" w:rsidRPr="003A2F26">
              <w:rPr>
                <w:rStyle w:val="Hyperlink"/>
                <w:rFonts w:eastAsia="Verdana"/>
                <w:noProof/>
              </w:rPr>
              <w:t>Children in armed forces</w:t>
            </w:r>
            <w:r w:rsidR="000B3AFF">
              <w:rPr>
                <w:noProof/>
                <w:webHidden/>
              </w:rPr>
              <w:tab/>
            </w:r>
            <w:r w:rsidR="000B3AFF">
              <w:rPr>
                <w:noProof/>
                <w:webHidden/>
              </w:rPr>
              <w:fldChar w:fldCharType="begin"/>
            </w:r>
            <w:r w:rsidR="000B3AFF">
              <w:rPr>
                <w:noProof/>
                <w:webHidden/>
              </w:rPr>
              <w:instrText xml:space="preserve"> PAGEREF _Toc156901054 \h </w:instrText>
            </w:r>
            <w:r w:rsidR="000B3AFF">
              <w:rPr>
                <w:noProof/>
                <w:webHidden/>
              </w:rPr>
            </w:r>
            <w:r w:rsidR="000B3AFF">
              <w:rPr>
                <w:noProof/>
                <w:webHidden/>
              </w:rPr>
              <w:fldChar w:fldCharType="separate"/>
            </w:r>
            <w:r w:rsidR="00B46458">
              <w:rPr>
                <w:noProof/>
                <w:webHidden/>
              </w:rPr>
              <w:t>66</w:t>
            </w:r>
            <w:r w:rsidR="000B3AFF">
              <w:rPr>
                <w:noProof/>
                <w:webHidden/>
              </w:rPr>
              <w:fldChar w:fldCharType="end"/>
            </w:r>
          </w:hyperlink>
        </w:p>
        <w:p w14:paraId="228AC9CA" w14:textId="0AB5360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5" w:history="1">
            <w:r w:rsidR="000B3AFF" w:rsidRPr="003A2F26">
              <w:rPr>
                <w:rStyle w:val="Hyperlink"/>
                <w:rFonts w:eastAsia="Verdana"/>
                <w:noProof/>
              </w:rPr>
              <w:t>Anonymity</w:t>
            </w:r>
            <w:r w:rsidR="000B3AFF">
              <w:rPr>
                <w:noProof/>
                <w:webHidden/>
              </w:rPr>
              <w:tab/>
            </w:r>
            <w:r w:rsidR="000B3AFF">
              <w:rPr>
                <w:noProof/>
                <w:webHidden/>
              </w:rPr>
              <w:fldChar w:fldCharType="begin"/>
            </w:r>
            <w:r w:rsidR="000B3AFF">
              <w:rPr>
                <w:noProof/>
                <w:webHidden/>
              </w:rPr>
              <w:instrText xml:space="preserve"> PAGEREF _Toc156901055 \h </w:instrText>
            </w:r>
            <w:r w:rsidR="000B3AFF">
              <w:rPr>
                <w:noProof/>
                <w:webHidden/>
              </w:rPr>
            </w:r>
            <w:r w:rsidR="000B3AFF">
              <w:rPr>
                <w:noProof/>
                <w:webHidden/>
              </w:rPr>
              <w:fldChar w:fldCharType="separate"/>
            </w:r>
            <w:r w:rsidR="00B46458">
              <w:rPr>
                <w:noProof/>
                <w:webHidden/>
              </w:rPr>
              <w:t>67</w:t>
            </w:r>
            <w:r w:rsidR="000B3AFF">
              <w:rPr>
                <w:noProof/>
                <w:webHidden/>
              </w:rPr>
              <w:fldChar w:fldCharType="end"/>
            </w:r>
          </w:hyperlink>
        </w:p>
        <w:p w14:paraId="416C0FEB" w14:textId="4ACFD9E0"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6" w:history="1">
            <w:r w:rsidR="000B3AFF" w:rsidRPr="003A2F26">
              <w:rPr>
                <w:rStyle w:val="Hyperlink"/>
                <w:noProof/>
              </w:rPr>
              <w:t>Use of police powers on children</w:t>
            </w:r>
            <w:r w:rsidR="000B3AFF">
              <w:rPr>
                <w:noProof/>
                <w:webHidden/>
              </w:rPr>
              <w:tab/>
            </w:r>
            <w:r w:rsidR="000B3AFF">
              <w:rPr>
                <w:noProof/>
                <w:webHidden/>
              </w:rPr>
              <w:fldChar w:fldCharType="begin"/>
            </w:r>
            <w:r w:rsidR="000B3AFF">
              <w:rPr>
                <w:noProof/>
                <w:webHidden/>
              </w:rPr>
              <w:instrText xml:space="preserve"> PAGEREF _Toc156901056 \h </w:instrText>
            </w:r>
            <w:r w:rsidR="000B3AFF">
              <w:rPr>
                <w:noProof/>
                <w:webHidden/>
              </w:rPr>
            </w:r>
            <w:r w:rsidR="000B3AFF">
              <w:rPr>
                <w:noProof/>
                <w:webHidden/>
              </w:rPr>
              <w:fldChar w:fldCharType="separate"/>
            </w:r>
            <w:r w:rsidR="00B46458">
              <w:rPr>
                <w:noProof/>
                <w:webHidden/>
              </w:rPr>
              <w:t>67</w:t>
            </w:r>
            <w:r w:rsidR="000B3AFF">
              <w:rPr>
                <w:noProof/>
                <w:webHidden/>
              </w:rPr>
              <w:fldChar w:fldCharType="end"/>
            </w:r>
          </w:hyperlink>
        </w:p>
        <w:p w14:paraId="69AB736D" w14:textId="74576560" w:rsidR="000B3AFF" w:rsidRDefault="00BE2A09" w:rsidP="00AD444F">
          <w:pPr>
            <w:pStyle w:val="TOC1"/>
            <w:rPr>
              <w:rFonts w:asciiTheme="minorHAnsi" w:eastAsiaTheme="minorEastAsia" w:hAnsiTheme="minorHAnsi"/>
              <w:kern w:val="2"/>
              <w:sz w:val="22"/>
              <w:lang w:eastAsia="en-GB"/>
              <w14:ligatures w14:val="standardContextual"/>
            </w:rPr>
          </w:pPr>
          <w:hyperlink w:anchor="_Toc156901057" w:history="1">
            <w:r w:rsidR="000B3AFF" w:rsidRPr="003A2F26">
              <w:rPr>
                <w:rStyle w:val="Hyperlink"/>
              </w:rPr>
              <w:t>19.0</w:t>
            </w:r>
            <w:r w:rsidR="000B3AFF">
              <w:rPr>
                <w:rFonts w:asciiTheme="minorHAnsi" w:eastAsiaTheme="minorEastAsia" w:hAnsiTheme="minorHAnsi"/>
                <w:kern w:val="2"/>
                <w:sz w:val="22"/>
                <w:lang w:eastAsia="en-GB"/>
                <w14:ligatures w14:val="standardContextual"/>
              </w:rPr>
              <w:tab/>
            </w:r>
            <w:r w:rsidR="000B3AFF" w:rsidRPr="003A2F26">
              <w:rPr>
                <w:rStyle w:val="Hyperlink"/>
              </w:rPr>
              <w:t>Article 25 – Right to Vote and to be Elected</w:t>
            </w:r>
            <w:r w:rsidR="000B3AFF">
              <w:rPr>
                <w:webHidden/>
              </w:rPr>
              <w:tab/>
            </w:r>
            <w:r w:rsidR="000B3AFF">
              <w:rPr>
                <w:webHidden/>
              </w:rPr>
              <w:fldChar w:fldCharType="begin"/>
            </w:r>
            <w:r w:rsidR="000B3AFF">
              <w:rPr>
                <w:webHidden/>
              </w:rPr>
              <w:instrText xml:space="preserve"> PAGEREF _Toc156901057 \h </w:instrText>
            </w:r>
            <w:r w:rsidR="000B3AFF">
              <w:rPr>
                <w:webHidden/>
              </w:rPr>
            </w:r>
            <w:r w:rsidR="000B3AFF">
              <w:rPr>
                <w:webHidden/>
              </w:rPr>
              <w:fldChar w:fldCharType="separate"/>
            </w:r>
            <w:r w:rsidR="00B46458">
              <w:rPr>
                <w:webHidden/>
              </w:rPr>
              <w:t>68</w:t>
            </w:r>
            <w:r w:rsidR="000B3AFF">
              <w:rPr>
                <w:webHidden/>
              </w:rPr>
              <w:fldChar w:fldCharType="end"/>
            </w:r>
          </w:hyperlink>
        </w:p>
        <w:p w14:paraId="7177FA41" w14:textId="3E17D2AF" w:rsidR="000B3AFF" w:rsidRDefault="00BE2A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901058" w:history="1">
            <w:r w:rsidR="000B3AFF" w:rsidRPr="003A2F26">
              <w:rPr>
                <w:rStyle w:val="Hyperlink"/>
                <w:noProof/>
              </w:rPr>
              <w:t>Participation in political and public life</w:t>
            </w:r>
            <w:r w:rsidR="000B3AFF">
              <w:rPr>
                <w:noProof/>
                <w:webHidden/>
              </w:rPr>
              <w:tab/>
            </w:r>
            <w:r w:rsidR="000B3AFF">
              <w:rPr>
                <w:noProof/>
                <w:webHidden/>
              </w:rPr>
              <w:fldChar w:fldCharType="begin"/>
            </w:r>
            <w:r w:rsidR="000B3AFF">
              <w:rPr>
                <w:noProof/>
                <w:webHidden/>
              </w:rPr>
              <w:instrText xml:space="preserve"> PAGEREF _Toc156901058 \h </w:instrText>
            </w:r>
            <w:r w:rsidR="000B3AFF">
              <w:rPr>
                <w:noProof/>
                <w:webHidden/>
              </w:rPr>
            </w:r>
            <w:r w:rsidR="000B3AFF">
              <w:rPr>
                <w:noProof/>
                <w:webHidden/>
              </w:rPr>
              <w:fldChar w:fldCharType="separate"/>
            </w:r>
            <w:r w:rsidR="00B46458">
              <w:rPr>
                <w:noProof/>
                <w:webHidden/>
              </w:rPr>
              <w:t>68</w:t>
            </w:r>
            <w:r w:rsidR="000B3AFF">
              <w:rPr>
                <w:noProof/>
                <w:webHidden/>
              </w:rPr>
              <w:fldChar w:fldCharType="end"/>
            </w:r>
          </w:hyperlink>
        </w:p>
        <w:p w14:paraId="215453D6" w14:textId="22C891C4" w:rsidR="0068094E" w:rsidRPr="00587912" w:rsidRDefault="0068094E">
          <w:r w:rsidRPr="00E02AE6">
            <w:rPr>
              <w:b/>
              <w:bCs/>
              <w:noProof/>
              <w:sz w:val="18"/>
              <w:szCs w:val="18"/>
            </w:rPr>
            <w:fldChar w:fldCharType="end"/>
          </w:r>
        </w:p>
      </w:sdtContent>
    </w:sdt>
    <w:p w14:paraId="0C1C533B" w14:textId="77777777" w:rsidR="00E14735" w:rsidRPr="00587912" w:rsidRDefault="00E14735" w:rsidP="00204DD1"/>
    <w:p w14:paraId="11E2A2E8" w14:textId="77777777" w:rsidR="00E14735" w:rsidRPr="00587912" w:rsidRDefault="00E14735">
      <w:pPr>
        <w:spacing w:after="160" w:line="259" w:lineRule="auto"/>
      </w:pPr>
      <w:r w:rsidRPr="00587912">
        <w:br w:type="page"/>
      </w:r>
    </w:p>
    <w:p w14:paraId="4518690F" w14:textId="3247297A" w:rsidR="00E14735" w:rsidRPr="00587912" w:rsidRDefault="00E14735" w:rsidP="00A33F7F">
      <w:pPr>
        <w:pStyle w:val="Heading1"/>
        <w:numPr>
          <w:ilvl w:val="1"/>
          <w:numId w:val="1"/>
        </w:numPr>
        <w:ind w:left="851" w:hanging="851"/>
      </w:pPr>
      <w:bookmarkStart w:id="1" w:name="_Toc156900975"/>
      <w:r w:rsidRPr="00587912">
        <w:lastRenderedPageBreak/>
        <w:t>Introduction</w:t>
      </w:r>
      <w:bookmarkEnd w:id="1"/>
    </w:p>
    <w:p w14:paraId="6F3CD16C" w14:textId="15091BAB" w:rsidR="009E317C" w:rsidRDefault="0090493B" w:rsidP="007F6BF1">
      <w:pPr>
        <w:pStyle w:val="ListParagraph"/>
        <w:numPr>
          <w:ilvl w:val="1"/>
          <w:numId w:val="1"/>
        </w:numPr>
        <w:ind w:left="851" w:hanging="851"/>
        <w:contextualSpacing w:val="0"/>
      </w:pPr>
      <w:r>
        <w:t>T</w:t>
      </w:r>
      <w:r w:rsidR="00E14735" w:rsidRPr="00587912">
        <w:t xml:space="preserve">he NIHRC </w:t>
      </w:r>
      <w:r w:rsidR="005E453F" w:rsidRPr="005E453F">
        <w:t>is one of three A-status National Human Rights Institutions of the United Kingdom (UK). In accordance with the Paris Principles</w:t>
      </w:r>
      <w:r w:rsidR="00E968B0">
        <w:t xml:space="preserve"> and </w:t>
      </w:r>
      <w:r w:rsidR="00D9224B">
        <w:t xml:space="preserve">pursuant to Section 69(1) of the Northern Ireland </w:t>
      </w:r>
      <w:r w:rsidR="007A1C00">
        <w:t xml:space="preserve">(NI) </w:t>
      </w:r>
      <w:r w:rsidR="00D9224B">
        <w:t>Act 1998</w:t>
      </w:r>
      <w:r w:rsidR="005E453F" w:rsidRPr="005E453F">
        <w:t xml:space="preserve">, the NIHRC reviews the adequacy and effectiveness of measures undertaken by the </w:t>
      </w:r>
      <w:r w:rsidR="008F6435">
        <w:t>UK</w:t>
      </w:r>
      <w:r w:rsidR="005E453F" w:rsidRPr="005E453F">
        <w:t xml:space="preserve"> Government and </w:t>
      </w:r>
      <w:r w:rsidR="008F6435">
        <w:t>NI</w:t>
      </w:r>
      <w:r w:rsidR="005E453F" w:rsidRPr="005E453F">
        <w:t xml:space="preserve"> Executive to promote and protect human rights, specifically within NI</w:t>
      </w:r>
      <w:r w:rsidR="005E453F">
        <w:t xml:space="preserve">. </w:t>
      </w:r>
      <w:r w:rsidR="0007457B">
        <w:t xml:space="preserve">In accordance with section </w:t>
      </w:r>
      <w:r w:rsidR="00DB6E41">
        <w:t>78A(1) of the NI Act,</w:t>
      </w:r>
      <w:r w:rsidR="00173BF6">
        <w:t xml:space="preserve"> </w:t>
      </w:r>
      <w:r w:rsidR="00DB6E41">
        <w:t xml:space="preserve">the NIHRC also monitors the </w:t>
      </w:r>
      <w:r w:rsidR="00F83847" w:rsidRPr="00F83847">
        <w:t>UK Government’s commitment under Article 2</w:t>
      </w:r>
      <w:r w:rsidR="00C608C7">
        <w:t xml:space="preserve">(1) </w:t>
      </w:r>
      <w:r w:rsidR="00F83847" w:rsidRPr="00F83847">
        <w:t xml:space="preserve">of the </w:t>
      </w:r>
      <w:r w:rsidR="00C608C7" w:rsidRPr="00C608C7">
        <w:t>Windsor Framework</w:t>
      </w:r>
      <w:r w:rsidR="000E597A">
        <w:rPr>
          <w:rStyle w:val="FootnoteReference"/>
        </w:rPr>
        <w:footnoteReference w:id="2"/>
      </w:r>
      <w:r w:rsidR="00C608C7" w:rsidRPr="00C608C7">
        <w:t xml:space="preserve"> (Windsor Framework Article 2)</w:t>
      </w:r>
      <w:r w:rsidR="00BB6750">
        <w:t xml:space="preserve"> </w:t>
      </w:r>
      <w:r w:rsidR="00BB6750" w:rsidRPr="00BB6750">
        <w:t>to ensure there is no diminution of rights and safeguards protected in the relevant part of the Belfast (Good Friday) Agreement as a result of the UK withdrawal from the EU</w:t>
      </w:r>
      <w:r w:rsidR="00E854A2">
        <w:t>.</w:t>
      </w:r>
      <w:r w:rsidR="00E854A2">
        <w:rPr>
          <w:rStyle w:val="FootnoteReference"/>
        </w:rPr>
        <w:footnoteReference w:id="3"/>
      </w:r>
    </w:p>
    <w:p w14:paraId="3DBC9AB0" w14:textId="77777777" w:rsidR="008B7550" w:rsidRDefault="008B7550" w:rsidP="003A6C64"/>
    <w:p w14:paraId="27E5E6ED" w14:textId="25D57C7F" w:rsidR="00082437" w:rsidRDefault="00C343CE" w:rsidP="00A33F7F">
      <w:pPr>
        <w:pStyle w:val="Heading1"/>
        <w:numPr>
          <w:ilvl w:val="1"/>
          <w:numId w:val="6"/>
        </w:numPr>
        <w:spacing w:before="0" w:after="240" w:line="288" w:lineRule="auto"/>
        <w:ind w:left="851" w:hanging="851"/>
      </w:pPr>
      <w:bookmarkStart w:id="2" w:name="_Toc156900976"/>
      <w:r>
        <w:t>Context</w:t>
      </w:r>
      <w:bookmarkEnd w:id="2"/>
    </w:p>
    <w:p w14:paraId="426FFD47" w14:textId="101042F5" w:rsidR="00683A1B" w:rsidRDefault="007703A8" w:rsidP="007F6BF1">
      <w:pPr>
        <w:pStyle w:val="ListParagraph"/>
        <w:numPr>
          <w:ilvl w:val="1"/>
          <w:numId w:val="6"/>
        </w:numPr>
        <w:ind w:left="851" w:hanging="851"/>
        <w:contextualSpacing w:val="0"/>
      </w:pPr>
      <w:r>
        <w:t>Between February 2022 and February 202</w:t>
      </w:r>
      <w:r w:rsidR="00F954D5">
        <w:t>4</w:t>
      </w:r>
      <w:r>
        <w:t xml:space="preserve">, </w:t>
      </w:r>
      <w:r w:rsidR="009D1226">
        <w:t xml:space="preserve">NI </w:t>
      </w:r>
      <w:r>
        <w:t>was</w:t>
      </w:r>
      <w:r w:rsidR="009D1226">
        <w:t xml:space="preserve"> without a fully functioning NI Executive and Assembly. </w:t>
      </w:r>
      <w:r w:rsidR="0095467D">
        <w:t xml:space="preserve">This </w:t>
      </w:r>
      <w:r w:rsidR="0068344D">
        <w:t>was</w:t>
      </w:r>
      <w:r w:rsidR="0095467D">
        <w:t xml:space="preserve"> the second suspension period within this monitoring round.</w:t>
      </w:r>
      <w:r w:rsidR="00401067">
        <w:rPr>
          <w:rStyle w:val="FootnoteReference"/>
        </w:rPr>
        <w:footnoteReference w:id="4"/>
      </w:r>
      <w:r w:rsidR="00EA136C" w:rsidRPr="00EA136C">
        <w:t xml:space="preserve"> </w:t>
      </w:r>
      <w:r w:rsidR="001D00EE" w:rsidRPr="00CE73B0">
        <w:t>In the</w:t>
      </w:r>
      <w:r w:rsidR="001D00EE" w:rsidRPr="004A5334">
        <w:t xml:space="preserve"> absence of elected ministers, government departments </w:t>
      </w:r>
      <w:r w:rsidR="0068344D">
        <w:t>were</w:t>
      </w:r>
      <w:r w:rsidR="0068344D" w:rsidRPr="004A5334">
        <w:t xml:space="preserve"> </w:t>
      </w:r>
      <w:r w:rsidR="001D00EE" w:rsidRPr="004A5334">
        <w:t xml:space="preserve">run by civil servants who </w:t>
      </w:r>
      <w:r w:rsidR="0068344D">
        <w:t>were</w:t>
      </w:r>
      <w:r w:rsidR="0068344D" w:rsidRPr="004A5334">
        <w:t xml:space="preserve"> </w:t>
      </w:r>
      <w:r w:rsidR="001D00EE" w:rsidRPr="004A5334">
        <w:t xml:space="preserve">unable to make major policy decisions or introduce legislation. </w:t>
      </w:r>
      <w:r w:rsidR="0068344D">
        <w:t xml:space="preserve">The reinstatement of the NI Executive and NI Assembly is welcomed, however </w:t>
      </w:r>
      <w:r w:rsidR="0040197B">
        <w:t>it</w:t>
      </w:r>
      <w:r w:rsidR="00054790">
        <w:t xml:space="preserve"> does not guarantee that the required </w:t>
      </w:r>
      <w:r w:rsidR="00070B90">
        <w:t xml:space="preserve">UN </w:t>
      </w:r>
      <w:r w:rsidR="00054790">
        <w:t>ICCPR</w:t>
      </w:r>
      <w:r w:rsidR="00070B90">
        <w:t xml:space="preserve">-related </w:t>
      </w:r>
      <w:r w:rsidR="00054790">
        <w:t>actions will be implemented expeditiously, if at all.</w:t>
      </w:r>
      <w:r w:rsidR="00EA136C">
        <w:t xml:space="preserve"> </w:t>
      </w:r>
    </w:p>
    <w:p w14:paraId="7AE9600A" w14:textId="77777777" w:rsidR="0067786B" w:rsidRDefault="0067786B" w:rsidP="007F6BF1">
      <w:pPr>
        <w:pStyle w:val="ListParagraph"/>
        <w:ind w:left="851" w:hanging="851"/>
        <w:contextualSpacing w:val="0"/>
      </w:pPr>
    </w:p>
    <w:p w14:paraId="2194821D" w14:textId="29468831" w:rsidR="002B7B6A" w:rsidRDefault="00E054A0" w:rsidP="22E15799">
      <w:pPr>
        <w:pStyle w:val="ListParagraph"/>
        <w:numPr>
          <w:ilvl w:val="1"/>
          <w:numId w:val="6"/>
        </w:numPr>
        <w:ind w:left="851" w:hanging="851"/>
      </w:pPr>
      <w:r>
        <w:t>T</w:t>
      </w:r>
      <w:r w:rsidR="0067786B" w:rsidRPr="00FF3C2B">
        <w:t>he 2023-</w:t>
      </w:r>
      <w:r w:rsidR="0067786B">
        <w:t>20</w:t>
      </w:r>
      <w:r w:rsidR="0067786B" w:rsidRPr="00FF3C2B">
        <w:t xml:space="preserve">24 </w:t>
      </w:r>
      <w:r w:rsidR="0072046D">
        <w:t>b</w:t>
      </w:r>
      <w:r w:rsidR="0067786B" w:rsidRPr="00FF3C2B">
        <w:t xml:space="preserve">udget for </w:t>
      </w:r>
      <w:r w:rsidR="0067786B">
        <w:t>NI</w:t>
      </w:r>
      <w:r>
        <w:t xml:space="preserve"> resulted</w:t>
      </w:r>
      <w:r w:rsidR="0067786B">
        <w:t xml:space="preserve"> in</w:t>
      </w:r>
      <w:r w:rsidR="0067786B" w:rsidRPr="00FF3C2B">
        <w:t xml:space="preserve"> significant reductions across all </w:t>
      </w:r>
      <w:r w:rsidR="0067786B">
        <w:t>NI Departments.</w:t>
      </w:r>
      <w:r w:rsidR="0067786B">
        <w:rPr>
          <w:rStyle w:val="FootnoteReference"/>
        </w:rPr>
        <w:footnoteReference w:id="5"/>
      </w:r>
      <w:r w:rsidR="0067786B" w:rsidRPr="00FF3C2B">
        <w:t xml:space="preserve"> </w:t>
      </w:r>
      <w:r>
        <w:t>Consequently, t</w:t>
      </w:r>
      <w:r w:rsidR="00123B67">
        <w:t xml:space="preserve">here </w:t>
      </w:r>
      <w:r w:rsidR="551091E7">
        <w:t>have</w:t>
      </w:r>
      <w:r w:rsidR="00123B67">
        <w:t xml:space="preserve"> been wide-ranging</w:t>
      </w:r>
      <w:r w:rsidR="0067786B" w:rsidRPr="00030AC0">
        <w:t xml:space="preserve"> cuts</w:t>
      </w:r>
      <w:r w:rsidR="00314836">
        <w:t xml:space="preserve"> to public services and programmes</w:t>
      </w:r>
      <w:r w:rsidR="0067786B">
        <w:t>.</w:t>
      </w:r>
      <w:r w:rsidR="00AD0312">
        <w:t xml:space="preserve"> </w:t>
      </w:r>
      <w:r w:rsidR="00576E76">
        <w:t>C</w:t>
      </w:r>
      <w:r w:rsidR="00AD0312">
        <w:t xml:space="preserve">oncerns </w:t>
      </w:r>
      <w:r w:rsidR="00E65FAA">
        <w:t xml:space="preserve">have </w:t>
      </w:r>
      <w:r w:rsidR="00E65FAA">
        <w:lastRenderedPageBreak/>
        <w:t>emerged</w:t>
      </w:r>
      <w:r w:rsidR="00AD0312">
        <w:t xml:space="preserve"> </w:t>
      </w:r>
      <w:r w:rsidR="00E65FAA">
        <w:t xml:space="preserve">regarding </w:t>
      </w:r>
      <w:r w:rsidR="00FC04DA">
        <w:t>the effect</w:t>
      </w:r>
      <w:r w:rsidR="57DB683C">
        <w:t xml:space="preserve"> on disadvantaged</w:t>
      </w:r>
      <w:r w:rsidR="3D0273A0">
        <w:t xml:space="preserve"> and </w:t>
      </w:r>
      <w:r w:rsidR="288B37CB">
        <w:t>marginalised groups</w:t>
      </w:r>
      <w:r w:rsidR="00EC0340">
        <w:t>.</w:t>
      </w:r>
      <w:r w:rsidR="009C6ADA">
        <w:rPr>
          <w:rStyle w:val="FootnoteReference"/>
        </w:rPr>
        <w:footnoteReference w:id="6"/>
      </w:r>
    </w:p>
    <w:p w14:paraId="59505273" w14:textId="77777777" w:rsidR="002B7B6A" w:rsidRDefault="002B7B6A" w:rsidP="002B7B6A">
      <w:pPr>
        <w:pStyle w:val="ListParagraph"/>
      </w:pPr>
    </w:p>
    <w:p w14:paraId="36BFF093" w14:textId="00946FCE" w:rsidR="009C776A" w:rsidRDefault="006A2BDC" w:rsidP="009C776A">
      <w:pPr>
        <w:pStyle w:val="ListParagraph"/>
        <w:numPr>
          <w:ilvl w:val="1"/>
          <w:numId w:val="6"/>
        </w:numPr>
        <w:ind w:left="851" w:hanging="851"/>
      </w:pPr>
      <w:r>
        <w:t xml:space="preserve">As part of restoration of the NI devolved institutions, the UK Government has </w:t>
      </w:r>
      <w:r w:rsidR="004310C1">
        <w:t>ple</w:t>
      </w:r>
      <w:r w:rsidR="00462AAF">
        <w:t>dged</w:t>
      </w:r>
      <w:r>
        <w:t xml:space="preserve"> a further £</w:t>
      </w:r>
      <w:r w:rsidR="00F51BE9">
        <w:t>1</w:t>
      </w:r>
      <w:r>
        <w:t xml:space="preserve"> billion to NI</w:t>
      </w:r>
      <w:r w:rsidR="00F51BE9">
        <w:t xml:space="preserve"> to stabilise public services</w:t>
      </w:r>
      <w:r>
        <w:t>.</w:t>
      </w:r>
      <w:r w:rsidR="006A097F">
        <w:rPr>
          <w:rStyle w:val="FootnoteReference"/>
        </w:rPr>
        <w:footnoteReference w:id="7"/>
      </w:r>
      <w:r w:rsidR="00F51BE9">
        <w:t xml:space="preserve"> </w:t>
      </w:r>
      <w:r w:rsidR="008A2133">
        <w:t>With a continued reliance on annual budgets, this additional money will not address the wider need for long-term stability. It is unclear if this money will be used to reinstate services that were lost due to the cuts. Furthermore, these additional funds will not address the extensive reforms that are urgently required across all NI’s public services.</w:t>
      </w:r>
    </w:p>
    <w:p w14:paraId="7C7D15E2" w14:textId="77777777" w:rsidR="009C776A" w:rsidRPr="009C776A" w:rsidRDefault="009C776A" w:rsidP="009C776A">
      <w:pPr>
        <w:pStyle w:val="ListParagraph"/>
        <w:rPr>
          <w:b/>
        </w:rPr>
      </w:pPr>
    </w:p>
    <w:p w14:paraId="15FA777A" w14:textId="2BDF6FCC" w:rsidR="00F6175E" w:rsidRPr="009C776A" w:rsidRDefault="00683A1B" w:rsidP="009C776A">
      <w:pPr>
        <w:pStyle w:val="ListParagraph"/>
        <w:numPr>
          <w:ilvl w:val="1"/>
          <w:numId w:val="6"/>
        </w:numPr>
        <w:ind w:left="851" w:hanging="851"/>
      </w:pPr>
      <w:r w:rsidRPr="009C776A">
        <w:rPr>
          <w:b/>
        </w:rPr>
        <w:t xml:space="preserve">The Committee may wish to </w:t>
      </w:r>
      <w:r w:rsidR="00C03167" w:rsidRPr="009C776A">
        <w:rPr>
          <w:b/>
        </w:rPr>
        <w:t xml:space="preserve">recommend that the </w:t>
      </w:r>
      <w:r w:rsidR="00232BC8" w:rsidRPr="009C776A">
        <w:rPr>
          <w:b/>
        </w:rPr>
        <w:t>UK</w:t>
      </w:r>
      <w:r w:rsidR="009C776A">
        <w:rPr>
          <w:b/>
        </w:rPr>
        <w:t xml:space="preserve"> </w:t>
      </w:r>
      <w:r w:rsidR="000F76EE" w:rsidRPr="009C776A">
        <w:rPr>
          <w:b/>
          <w:bCs/>
        </w:rPr>
        <w:t xml:space="preserve">takes effective steps </w:t>
      </w:r>
      <w:r w:rsidR="00F6175E" w:rsidRPr="009C776A">
        <w:rPr>
          <w:b/>
          <w:bCs/>
        </w:rPr>
        <w:t xml:space="preserve">to ensure that a comprehensive assessment of the cumulative impact of </w:t>
      </w:r>
      <w:r w:rsidR="004F0601" w:rsidRPr="009C776A">
        <w:rPr>
          <w:b/>
          <w:bCs/>
        </w:rPr>
        <w:t>budgets</w:t>
      </w:r>
      <w:r w:rsidR="00F6175E" w:rsidRPr="009C776A">
        <w:rPr>
          <w:b/>
          <w:bCs/>
        </w:rPr>
        <w:t xml:space="preserve"> in NI is conducted with a focus on the human rights of disadvantaged and marginalised individuals and groups.</w:t>
      </w:r>
    </w:p>
    <w:p w14:paraId="1F8FEDD5" w14:textId="77777777" w:rsidR="00F6175E" w:rsidRPr="00F6175E" w:rsidRDefault="00F6175E" w:rsidP="003A6C64">
      <w:pPr>
        <w:rPr>
          <w:b/>
        </w:rPr>
      </w:pPr>
    </w:p>
    <w:p w14:paraId="5AC5DB97" w14:textId="5928F2E7" w:rsidR="00BC498F" w:rsidRDefault="00AE3096" w:rsidP="003A6C64">
      <w:pPr>
        <w:pStyle w:val="Heading1"/>
        <w:numPr>
          <w:ilvl w:val="0"/>
          <w:numId w:val="16"/>
        </w:numPr>
        <w:spacing w:after="240" w:line="288" w:lineRule="auto"/>
        <w:ind w:left="851" w:hanging="862"/>
      </w:pPr>
      <w:bookmarkStart w:id="3" w:name="_Toc156900977"/>
      <w:r>
        <w:t>Article 1 – Self-determination</w:t>
      </w:r>
      <w:bookmarkEnd w:id="3"/>
    </w:p>
    <w:p w14:paraId="46D31A57" w14:textId="46003373" w:rsidR="00AB7392" w:rsidRDefault="00BC498F" w:rsidP="00BB7CDF">
      <w:pPr>
        <w:pStyle w:val="Heading2"/>
        <w:spacing w:after="240" w:line="288" w:lineRule="auto"/>
      </w:pPr>
      <w:bookmarkStart w:id="4" w:name="_Toc156900978"/>
      <w:r>
        <w:t xml:space="preserve">UK </w:t>
      </w:r>
      <w:r w:rsidR="008E4EE2">
        <w:t>h</w:t>
      </w:r>
      <w:r>
        <w:t xml:space="preserve">uman </w:t>
      </w:r>
      <w:r w:rsidR="008E4EE2">
        <w:t>r</w:t>
      </w:r>
      <w:r>
        <w:t xml:space="preserve">ights </w:t>
      </w:r>
      <w:r w:rsidR="008E4EE2">
        <w:t>f</w:t>
      </w:r>
      <w:r>
        <w:t>ramework</w:t>
      </w:r>
      <w:bookmarkEnd w:id="4"/>
      <w:r>
        <w:t xml:space="preserve"> </w:t>
      </w:r>
    </w:p>
    <w:p w14:paraId="03D4EB5A" w14:textId="0B2D39CC" w:rsidR="00FE295B" w:rsidRPr="00A84CD6" w:rsidRDefault="006046CA" w:rsidP="007F6BF1">
      <w:pPr>
        <w:pStyle w:val="ListParagraph"/>
        <w:numPr>
          <w:ilvl w:val="1"/>
          <w:numId w:val="16"/>
        </w:numPr>
        <w:ind w:left="851" w:hanging="851"/>
        <w:contextualSpacing w:val="0"/>
      </w:pPr>
      <w:r>
        <w:t xml:space="preserve">In </w:t>
      </w:r>
      <w:r w:rsidR="00A03AFD" w:rsidRPr="00A84CD6">
        <w:rPr>
          <w:color w:val="000000"/>
        </w:rPr>
        <w:t xml:space="preserve">2022, </w:t>
      </w:r>
      <w:r w:rsidR="00BC6ADB" w:rsidRPr="00A84CD6">
        <w:rPr>
          <w:color w:val="000000"/>
        </w:rPr>
        <w:t>the Bill of Rights Bill was introduced to the UK Parliament.</w:t>
      </w:r>
      <w:r w:rsidR="00D4296F" w:rsidRPr="00A84CD6">
        <w:rPr>
          <w:color w:val="000000"/>
        </w:rPr>
        <w:t xml:space="preserve"> </w:t>
      </w:r>
      <w:r w:rsidR="00D75363">
        <w:rPr>
          <w:color w:val="000000"/>
        </w:rPr>
        <w:t>The</w:t>
      </w:r>
      <w:r w:rsidR="00D4296F" w:rsidRPr="00A84CD6">
        <w:rPr>
          <w:color w:val="000000"/>
        </w:rPr>
        <w:t xml:space="preserve"> Joint Committee o</w:t>
      </w:r>
      <w:r w:rsidR="005E26F9" w:rsidRPr="00A84CD6">
        <w:rPr>
          <w:color w:val="000000"/>
        </w:rPr>
        <w:t>n</w:t>
      </w:r>
      <w:r w:rsidR="00D4296F" w:rsidRPr="00A84CD6">
        <w:rPr>
          <w:color w:val="000000"/>
        </w:rPr>
        <w:t xml:space="preserve"> Human Rights</w:t>
      </w:r>
      <w:r w:rsidR="00C62171" w:rsidRPr="00A84CD6">
        <w:rPr>
          <w:color w:val="000000"/>
        </w:rPr>
        <w:t xml:space="preserve"> </w:t>
      </w:r>
      <w:r w:rsidR="00D75363">
        <w:rPr>
          <w:color w:val="000000"/>
        </w:rPr>
        <w:t xml:space="preserve">advised </w:t>
      </w:r>
      <w:r w:rsidR="00C62171" w:rsidRPr="00A84CD6">
        <w:rPr>
          <w:color w:val="000000"/>
        </w:rPr>
        <w:t>that the UK Government “should not progress the… [Bill of Rights Bill] in its current form”,</w:t>
      </w:r>
      <w:r w:rsidR="00C62171">
        <w:rPr>
          <w:rStyle w:val="FootnoteReference"/>
          <w:color w:val="000000"/>
        </w:rPr>
        <w:footnoteReference w:id="8"/>
      </w:r>
      <w:r w:rsidR="00C62171" w:rsidRPr="00A84CD6">
        <w:rPr>
          <w:color w:val="000000"/>
        </w:rPr>
        <w:t xml:space="preserve"> </w:t>
      </w:r>
      <w:r w:rsidR="00D75363">
        <w:rPr>
          <w:color w:val="000000"/>
        </w:rPr>
        <w:t>as</w:t>
      </w:r>
      <w:r w:rsidR="00D952BE" w:rsidRPr="00A84CD6">
        <w:rPr>
          <w:color w:val="000000"/>
        </w:rPr>
        <w:t xml:space="preserve"> it </w:t>
      </w:r>
      <w:r w:rsidR="00D4296F" w:rsidRPr="00A84CD6">
        <w:rPr>
          <w:color w:val="000000"/>
        </w:rPr>
        <w:t>undermined the universality of human rights, weakened human rights protection and there was an overwhelming lack of support for the proposed reforms.</w:t>
      </w:r>
      <w:r w:rsidR="00D4296F">
        <w:rPr>
          <w:rStyle w:val="FootnoteReference"/>
          <w:color w:val="000000"/>
        </w:rPr>
        <w:footnoteReference w:id="9"/>
      </w:r>
    </w:p>
    <w:p w14:paraId="048AB429" w14:textId="77777777" w:rsidR="00D952BE" w:rsidRPr="00D952BE" w:rsidRDefault="00D952BE" w:rsidP="007F6BF1">
      <w:pPr>
        <w:ind w:left="851" w:hanging="851"/>
        <w:rPr>
          <w:color w:val="000000"/>
        </w:rPr>
      </w:pPr>
    </w:p>
    <w:p w14:paraId="30CAFDF6" w14:textId="3BD01C15" w:rsidR="00F201B1" w:rsidRPr="00FE295B" w:rsidRDefault="00502A09" w:rsidP="007F6BF1">
      <w:pPr>
        <w:pStyle w:val="ListParagraph"/>
        <w:numPr>
          <w:ilvl w:val="1"/>
          <w:numId w:val="16"/>
        </w:numPr>
        <w:ind w:left="851" w:hanging="851"/>
        <w:contextualSpacing w:val="0"/>
      </w:pPr>
      <w:r>
        <w:rPr>
          <w:color w:val="000000"/>
        </w:rPr>
        <w:lastRenderedPageBreak/>
        <w:t>In 2023, the</w:t>
      </w:r>
      <w:r w:rsidR="00F201B1">
        <w:rPr>
          <w:color w:val="000000"/>
        </w:rPr>
        <w:t xml:space="preserve"> UK Government confirmed that it was not proceeding with the Bill of Rights Bill</w:t>
      </w:r>
      <w:r w:rsidR="005D673E">
        <w:rPr>
          <w:color w:val="000000"/>
        </w:rPr>
        <w:t>,</w:t>
      </w:r>
      <w:r w:rsidR="00F201B1">
        <w:rPr>
          <w:color w:val="000000"/>
        </w:rPr>
        <w:t xml:space="preserve"> instead seeking to reform the UK’s human rights framework through a piecemeal approach</w:t>
      </w:r>
      <w:r w:rsidR="00947D79">
        <w:rPr>
          <w:color w:val="000000"/>
        </w:rPr>
        <w:t>.</w:t>
      </w:r>
      <w:r w:rsidR="002F5053">
        <w:rPr>
          <w:rStyle w:val="FootnoteReference"/>
          <w:color w:val="000000"/>
        </w:rPr>
        <w:footnoteReference w:id="10"/>
      </w:r>
      <w:r w:rsidR="00947D79">
        <w:rPr>
          <w:color w:val="000000"/>
        </w:rPr>
        <w:t xml:space="preserve"> </w:t>
      </w:r>
      <w:r w:rsidR="00380D7B">
        <w:rPr>
          <w:color w:val="000000"/>
        </w:rPr>
        <w:t>T</w:t>
      </w:r>
      <w:r w:rsidR="00D639CC">
        <w:rPr>
          <w:color w:val="000000"/>
        </w:rPr>
        <w:t>he</w:t>
      </w:r>
      <w:r w:rsidR="004C65B4">
        <w:rPr>
          <w:color w:val="000000"/>
        </w:rPr>
        <w:t xml:space="preserve"> proposed changes will reduce access to domestic courts for individuals seeking human rights-based remedy.</w:t>
      </w:r>
      <w:r w:rsidR="004C65B4">
        <w:rPr>
          <w:rStyle w:val="FootnoteReference"/>
          <w:color w:val="000000"/>
        </w:rPr>
        <w:footnoteReference w:id="11"/>
      </w:r>
    </w:p>
    <w:p w14:paraId="2674E409" w14:textId="77777777" w:rsidR="00FE295B" w:rsidRPr="000A2255" w:rsidRDefault="00FE295B" w:rsidP="007F6BF1">
      <w:pPr>
        <w:pStyle w:val="ListParagraph"/>
        <w:ind w:left="851" w:hanging="851"/>
        <w:contextualSpacing w:val="0"/>
      </w:pPr>
    </w:p>
    <w:p w14:paraId="06587059" w14:textId="4CD200C3" w:rsidR="00BC498F" w:rsidRPr="006046CA" w:rsidRDefault="00FF22B3" w:rsidP="007F6BF1">
      <w:pPr>
        <w:pStyle w:val="ListParagraph"/>
        <w:numPr>
          <w:ilvl w:val="1"/>
          <w:numId w:val="16"/>
        </w:numPr>
        <w:ind w:left="851" w:hanging="851"/>
        <w:contextualSpacing w:val="0"/>
        <w:rPr>
          <w:b/>
          <w:bCs/>
        </w:rPr>
      </w:pPr>
      <w:r w:rsidRPr="006046CA">
        <w:rPr>
          <w:b/>
          <w:bCs/>
        </w:rPr>
        <w:t xml:space="preserve">The Committee may wish to </w:t>
      </w:r>
      <w:r w:rsidR="00380D7B" w:rsidRPr="006046CA">
        <w:rPr>
          <w:b/>
          <w:bCs/>
        </w:rPr>
        <w:t xml:space="preserve">recommend that </w:t>
      </w:r>
      <w:r w:rsidRPr="006046CA">
        <w:rPr>
          <w:b/>
          <w:bCs/>
        </w:rPr>
        <w:t xml:space="preserve">the UK </w:t>
      </w:r>
      <w:r w:rsidR="000F76EE" w:rsidRPr="006046CA">
        <w:rPr>
          <w:b/>
          <w:bCs/>
        </w:rPr>
        <w:t>takes effective steps</w:t>
      </w:r>
      <w:r w:rsidR="00BE658A" w:rsidRPr="006046CA">
        <w:rPr>
          <w:b/>
          <w:bCs/>
        </w:rPr>
        <w:t xml:space="preserve"> to ensure the fundamental principles of human rights are adhered to and any reform to the UK’s human rights framework does not weaken human rights protections but builds on the Human Rights Act 1998</w:t>
      </w:r>
      <w:r w:rsidR="000F76EE" w:rsidRPr="006046CA">
        <w:rPr>
          <w:b/>
          <w:bCs/>
        </w:rPr>
        <w:t>.</w:t>
      </w:r>
      <w:r w:rsidR="00BE658A" w:rsidRPr="006046CA">
        <w:rPr>
          <w:b/>
          <w:bCs/>
        </w:rPr>
        <w:t xml:space="preserve"> </w:t>
      </w:r>
    </w:p>
    <w:p w14:paraId="08A3C726" w14:textId="77777777" w:rsidR="00555C13" w:rsidRPr="00555C13" w:rsidRDefault="00555C13" w:rsidP="003A6C64">
      <w:pPr>
        <w:pStyle w:val="ListParagraph"/>
        <w:ind w:left="993"/>
        <w:contextualSpacing w:val="0"/>
        <w:rPr>
          <w:b/>
          <w:bCs/>
        </w:rPr>
      </w:pPr>
    </w:p>
    <w:p w14:paraId="7AB8747E" w14:textId="3B1E7A26" w:rsidR="00BC498F" w:rsidRDefault="00BC498F" w:rsidP="00BB7CDF">
      <w:pPr>
        <w:pStyle w:val="Heading2"/>
        <w:spacing w:after="240" w:line="288" w:lineRule="auto"/>
      </w:pPr>
      <w:bookmarkStart w:id="5" w:name="_Toc156900979"/>
      <w:r>
        <w:t>Bill of Rights for NI</w:t>
      </w:r>
      <w:bookmarkEnd w:id="5"/>
    </w:p>
    <w:p w14:paraId="0C150244" w14:textId="5A488AED" w:rsidR="00DA76CC" w:rsidRPr="003724F9" w:rsidRDefault="0077554F" w:rsidP="22E15799">
      <w:pPr>
        <w:pStyle w:val="ListParagraph"/>
        <w:numPr>
          <w:ilvl w:val="1"/>
          <w:numId w:val="16"/>
        </w:numPr>
        <w:ind w:left="851" w:hanging="851"/>
      </w:pPr>
      <w:r>
        <w:t>In 2020, t</w:t>
      </w:r>
      <w:r w:rsidR="003724F9">
        <w:t>he</w:t>
      </w:r>
      <w:r w:rsidR="00027B8A" w:rsidRPr="00EF41BB">
        <w:t xml:space="preserve"> NI Assembly Ad Hoc Committee on a Bill of Rights was established to consider the creation of a Bill of Rights for NI.</w:t>
      </w:r>
      <w:r w:rsidR="00027B8A" w:rsidRPr="007422C5">
        <w:rPr>
          <w:rStyle w:val="FootnoteReference"/>
        </w:rPr>
        <w:footnoteReference w:id="12"/>
      </w:r>
      <w:r w:rsidDel="00027B8A">
        <w:t xml:space="preserve"> </w:t>
      </w:r>
      <w:r w:rsidR="008B220A" w:rsidRPr="003724F9">
        <w:rPr>
          <w:color w:val="000000"/>
        </w:rPr>
        <w:t xml:space="preserve">A panel of experts was to be appointed by the First Minister and Deputy First Minister to support </w:t>
      </w:r>
      <w:r w:rsidR="00027B8A" w:rsidRPr="003724F9">
        <w:rPr>
          <w:color w:val="000000"/>
        </w:rPr>
        <w:t xml:space="preserve">the </w:t>
      </w:r>
      <w:r w:rsidR="008B220A" w:rsidRPr="003724F9">
        <w:rPr>
          <w:color w:val="000000"/>
        </w:rPr>
        <w:t>work of the Ad Hoc Committee.</w:t>
      </w:r>
      <w:r w:rsidR="008B220A">
        <w:rPr>
          <w:rStyle w:val="FootnoteReference"/>
        </w:rPr>
        <w:footnoteReference w:id="13"/>
      </w:r>
      <w:r w:rsidR="008B220A" w:rsidRPr="003724F9">
        <w:rPr>
          <w:color w:val="000000"/>
        </w:rPr>
        <w:t xml:space="preserve"> </w:t>
      </w:r>
      <w:r w:rsidR="002D0092">
        <w:rPr>
          <w:color w:val="000000"/>
        </w:rPr>
        <w:t>With no</w:t>
      </w:r>
      <w:r w:rsidR="007E45A8" w:rsidRPr="003724F9">
        <w:rPr>
          <w:color w:val="000000"/>
        </w:rPr>
        <w:t xml:space="preserve"> agreement</w:t>
      </w:r>
      <w:r w:rsidR="003C5A8B">
        <w:rPr>
          <w:color w:val="000000"/>
        </w:rPr>
        <w:t xml:space="preserve"> </w:t>
      </w:r>
      <w:r w:rsidR="002D0092">
        <w:rPr>
          <w:color w:val="000000"/>
        </w:rPr>
        <w:t xml:space="preserve">on </w:t>
      </w:r>
      <w:r w:rsidR="003C5A8B">
        <w:rPr>
          <w:color w:val="000000"/>
        </w:rPr>
        <w:t>its membership</w:t>
      </w:r>
      <w:r w:rsidR="007E45A8" w:rsidRPr="003724F9">
        <w:rPr>
          <w:color w:val="000000"/>
        </w:rPr>
        <w:t>, the</w:t>
      </w:r>
      <w:r w:rsidR="00F62274" w:rsidRPr="003724F9">
        <w:rPr>
          <w:color w:val="000000"/>
        </w:rPr>
        <w:t xml:space="preserve"> </w:t>
      </w:r>
      <w:r w:rsidR="00D97271">
        <w:rPr>
          <w:color w:val="000000"/>
        </w:rPr>
        <w:t>e</w:t>
      </w:r>
      <w:r w:rsidR="008B220A" w:rsidRPr="003724F9">
        <w:rPr>
          <w:color w:val="000000"/>
        </w:rPr>
        <w:t xml:space="preserve">xpert </w:t>
      </w:r>
      <w:r w:rsidR="00D97271">
        <w:rPr>
          <w:color w:val="000000"/>
        </w:rPr>
        <w:t>p</w:t>
      </w:r>
      <w:r w:rsidR="008B220A" w:rsidRPr="003724F9">
        <w:rPr>
          <w:color w:val="000000"/>
        </w:rPr>
        <w:t xml:space="preserve">anel </w:t>
      </w:r>
      <w:r w:rsidR="0077395F" w:rsidRPr="003724F9">
        <w:rPr>
          <w:color w:val="000000"/>
        </w:rPr>
        <w:t xml:space="preserve">was </w:t>
      </w:r>
      <w:r w:rsidR="00EC225C" w:rsidRPr="003724F9">
        <w:rPr>
          <w:color w:val="000000"/>
        </w:rPr>
        <w:t>n</w:t>
      </w:r>
      <w:r w:rsidR="00EC225C">
        <w:rPr>
          <w:color w:val="000000"/>
        </w:rPr>
        <w:t>ot</w:t>
      </w:r>
      <w:r w:rsidR="00EC225C" w:rsidRPr="003724F9">
        <w:rPr>
          <w:color w:val="000000"/>
        </w:rPr>
        <w:t xml:space="preserve"> </w:t>
      </w:r>
      <w:r w:rsidR="008B220A" w:rsidRPr="003724F9">
        <w:rPr>
          <w:color w:val="000000"/>
        </w:rPr>
        <w:t>appointe</w:t>
      </w:r>
      <w:r w:rsidR="00440909" w:rsidRPr="003724F9">
        <w:rPr>
          <w:color w:val="000000"/>
        </w:rPr>
        <w:t>d</w:t>
      </w:r>
      <w:r w:rsidR="003724F9" w:rsidRPr="003724F9">
        <w:rPr>
          <w:color w:val="000000"/>
        </w:rPr>
        <w:t>.</w:t>
      </w:r>
      <w:r w:rsidR="008B220A">
        <w:rPr>
          <w:rStyle w:val="FootnoteReference"/>
        </w:rPr>
        <w:footnoteReference w:id="14"/>
      </w:r>
      <w:r w:rsidR="008B220A" w:rsidRPr="003724F9">
        <w:rPr>
          <w:color w:val="000000"/>
        </w:rPr>
        <w:t xml:space="preserve"> </w:t>
      </w:r>
    </w:p>
    <w:p w14:paraId="0ABE5208" w14:textId="77777777" w:rsidR="003724F9" w:rsidRDefault="003724F9" w:rsidP="007F6BF1">
      <w:pPr>
        <w:pStyle w:val="ListParagraph"/>
        <w:ind w:left="851" w:hanging="851"/>
        <w:contextualSpacing w:val="0"/>
      </w:pPr>
    </w:p>
    <w:p w14:paraId="6AD36BFE" w14:textId="4981D589" w:rsidR="00DA76CC" w:rsidRDefault="00CD213E" w:rsidP="007F6BF1">
      <w:pPr>
        <w:pStyle w:val="ListParagraph"/>
        <w:numPr>
          <w:ilvl w:val="1"/>
          <w:numId w:val="16"/>
        </w:numPr>
        <w:ind w:left="851" w:hanging="851"/>
        <w:contextualSpacing w:val="0"/>
      </w:pPr>
      <w:r>
        <w:t>In 2022, the</w:t>
      </w:r>
      <w:r w:rsidR="00DA76CC" w:rsidRPr="00183AF9">
        <w:t xml:space="preserve"> Ad Hoc Committee on a Bill of Rights </w:t>
      </w:r>
      <w:r w:rsidR="00DA76CC">
        <w:t>conclud</w:t>
      </w:r>
      <w:r w:rsidR="007866D9">
        <w:t>ed</w:t>
      </w:r>
      <w:r w:rsidR="00455A95">
        <w:t xml:space="preserve"> it </w:t>
      </w:r>
      <w:r w:rsidR="00DA76CC" w:rsidRPr="00EF41BB">
        <w:t>"supported the creation of a Bill of Rights [for NI] in principle",</w:t>
      </w:r>
      <w:r w:rsidR="00455A95" w:rsidRPr="00183AF9">
        <w:rPr>
          <w:vertAlign w:val="superscript"/>
        </w:rPr>
        <w:footnoteReference w:id="15"/>
      </w:r>
      <w:r w:rsidR="00455A95" w:rsidRPr="00183AF9">
        <w:t xml:space="preserve"> </w:t>
      </w:r>
      <w:r w:rsidR="00DA76CC">
        <w:t>but it</w:t>
      </w:r>
      <w:r w:rsidR="00DA76CC" w:rsidRPr="00183AF9">
        <w:t xml:space="preserve"> was unable to advise as to what form this should take due to the absence of </w:t>
      </w:r>
      <w:r w:rsidR="00DA76CC">
        <w:t>the</w:t>
      </w:r>
      <w:r w:rsidR="00DA76CC" w:rsidRPr="00183AF9">
        <w:t xml:space="preserve"> expert panel and the Democratic Unionist Party's disagreement with th</w:t>
      </w:r>
      <w:r w:rsidR="00DA76CC">
        <w:t>e majority</w:t>
      </w:r>
      <w:r w:rsidR="00DA76CC" w:rsidRPr="00183AF9">
        <w:t xml:space="preserve"> position</w:t>
      </w:r>
      <w:r w:rsidR="00EA2A69">
        <w:t>,</w:t>
      </w:r>
      <w:r w:rsidR="00DA76CC" w:rsidRPr="00183AF9">
        <w:rPr>
          <w:vertAlign w:val="superscript"/>
        </w:rPr>
        <w:footnoteReference w:id="16"/>
      </w:r>
      <w:r w:rsidR="00DA76CC" w:rsidRPr="00DA76CC">
        <w:rPr>
          <w:rFonts w:eastAsia="Verdana"/>
          <w:lang w:eastAsia="en-GB"/>
        </w:rPr>
        <w:t xml:space="preserve"> </w:t>
      </w:r>
      <w:r w:rsidR="00EA2A69">
        <w:t>with</w:t>
      </w:r>
      <w:r w:rsidR="00DA76CC" w:rsidRPr="006F383C">
        <w:t xml:space="preserve"> no further progress.</w:t>
      </w:r>
    </w:p>
    <w:p w14:paraId="602524D4" w14:textId="77777777" w:rsidR="001772A5" w:rsidRPr="006F383C" w:rsidRDefault="001772A5" w:rsidP="007F6BF1">
      <w:pPr>
        <w:ind w:left="851" w:hanging="851"/>
      </w:pPr>
    </w:p>
    <w:p w14:paraId="3DAB2C68" w14:textId="675FDF6A" w:rsidR="00DA76CC" w:rsidRPr="003E102D" w:rsidRDefault="001A6848" w:rsidP="3BEC6CF7">
      <w:pPr>
        <w:pStyle w:val="ListParagraph"/>
        <w:numPr>
          <w:ilvl w:val="1"/>
          <w:numId w:val="16"/>
        </w:numPr>
        <w:ind w:left="851" w:hanging="851"/>
        <w:rPr>
          <w:b/>
          <w:bCs/>
        </w:rPr>
      </w:pPr>
      <w:r w:rsidRPr="3BEC6CF7">
        <w:rPr>
          <w:b/>
          <w:bCs/>
        </w:rPr>
        <w:t xml:space="preserve">The Committee may wish to </w:t>
      </w:r>
      <w:r w:rsidR="004C417D" w:rsidRPr="3BEC6CF7">
        <w:rPr>
          <w:b/>
          <w:bCs/>
        </w:rPr>
        <w:t>recommend that the</w:t>
      </w:r>
      <w:r w:rsidRPr="3BEC6CF7">
        <w:rPr>
          <w:b/>
          <w:bCs/>
        </w:rPr>
        <w:t xml:space="preserve"> UK </w:t>
      </w:r>
      <w:r w:rsidR="004C417D" w:rsidRPr="3BEC6CF7">
        <w:rPr>
          <w:b/>
          <w:bCs/>
        </w:rPr>
        <w:t>takes effective steps to</w:t>
      </w:r>
      <w:r w:rsidR="00CE3C6B" w:rsidRPr="3BEC6CF7">
        <w:rPr>
          <w:b/>
          <w:bCs/>
        </w:rPr>
        <w:t xml:space="preserve"> fulfil its commitment to legislate for a Bill of Rights for NI, as set out in the Belfast (Good Friday) Agreement 1998</w:t>
      </w:r>
      <w:r w:rsidR="004C417D" w:rsidRPr="3BEC6CF7">
        <w:rPr>
          <w:b/>
          <w:bCs/>
        </w:rPr>
        <w:t>.</w:t>
      </w:r>
    </w:p>
    <w:p w14:paraId="0EDF576A" w14:textId="77777777" w:rsidR="00ED01B6" w:rsidRPr="00F033C1" w:rsidRDefault="00ED01B6" w:rsidP="00E430F7">
      <w:pPr>
        <w:pStyle w:val="ListParagraph"/>
        <w:ind w:left="851" w:hanging="851"/>
        <w:contextualSpacing w:val="0"/>
        <w:rPr>
          <w:b/>
        </w:rPr>
      </w:pPr>
    </w:p>
    <w:p w14:paraId="1FE86722" w14:textId="0231F34C" w:rsidR="007C10E9" w:rsidRPr="00CD0365" w:rsidRDefault="007C10E9" w:rsidP="00BB7CDF">
      <w:pPr>
        <w:pStyle w:val="Heading2"/>
        <w:spacing w:after="240" w:line="288" w:lineRule="auto"/>
      </w:pPr>
      <w:bookmarkStart w:id="6" w:name="_Toc156900980"/>
      <w:r w:rsidRPr="0017193C">
        <w:t xml:space="preserve">Human </w:t>
      </w:r>
      <w:r w:rsidR="008E4EE2">
        <w:t>r</w:t>
      </w:r>
      <w:r w:rsidRPr="0017193C">
        <w:t xml:space="preserve">ights </w:t>
      </w:r>
      <w:r w:rsidR="008E4EE2">
        <w:t>a</w:t>
      </w:r>
      <w:r w:rsidRPr="0017193C">
        <w:t>fter Brexit</w:t>
      </w:r>
      <w:bookmarkEnd w:id="6"/>
      <w:r w:rsidRPr="0017193C">
        <w:t xml:space="preserve"> </w:t>
      </w:r>
    </w:p>
    <w:p w14:paraId="65506139" w14:textId="0E381F85" w:rsidR="008E703E" w:rsidRPr="008E703E" w:rsidRDefault="0076627F" w:rsidP="007F6BF1">
      <w:pPr>
        <w:pStyle w:val="ListParagraph"/>
        <w:numPr>
          <w:ilvl w:val="1"/>
          <w:numId w:val="16"/>
        </w:numPr>
        <w:ind w:left="851" w:hanging="851"/>
        <w:contextualSpacing w:val="0"/>
        <w:rPr>
          <w:color w:val="000000"/>
        </w:rPr>
      </w:pPr>
      <w:r>
        <w:rPr>
          <w:color w:val="000000"/>
        </w:rPr>
        <w:t xml:space="preserve">Following </w:t>
      </w:r>
      <w:r w:rsidRPr="007C10E9">
        <w:rPr>
          <w:color w:val="000000"/>
        </w:rPr>
        <w:t xml:space="preserve">the UK-EU political agreement </w:t>
      </w:r>
      <w:r>
        <w:rPr>
          <w:color w:val="000000"/>
        </w:rPr>
        <w:t>i</w:t>
      </w:r>
      <w:r w:rsidR="00D77855" w:rsidRPr="007C10E9">
        <w:rPr>
          <w:color w:val="000000"/>
        </w:rPr>
        <w:t>n March 2023,</w:t>
      </w:r>
      <w:r w:rsidR="00F90D3F">
        <w:rPr>
          <w:rStyle w:val="FootnoteReference"/>
          <w:color w:val="000000"/>
        </w:rPr>
        <w:footnoteReference w:id="17"/>
      </w:r>
      <w:r w:rsidR="00D77855" w:rsidRPr="007C10E9">
        <w:rPr>
          <w:color w:val="000000"/>
        </w:rPr>
        <w:t xml:space="preserve"> the UK Government enacted the Windsor Framework (Democratic Scrutiny) Regulations 2023</w:t>
      </w:r>
      <w:r w:rsidR="00402F45">
        <w:rPr>
          <w:color w:val="000000"/>
        </w:rPr>
        <w:t>. This</w:t>
      </w:r>
      <w:r w:rsidR="00D77855" w:rsidRPr="007C10E9">
        <w:rPr>
          <w:color w:val="000000"/>
        </w:rPr>
        <w:t xml:space="preserve"> </w:t>
      </w:r>
      <w:r w:rsidR="00402F45" w:rsidRPr="007C10E9">
        <w:rPr>
          <w:color w:val="000000"/>
        </w:rPr>
        <w:t>incorporat</w:t>
      </w:r>
      <w:r w:rsidR="00402F45">
        <w:rPr>
          <w:color w:val="000000"/>
        </w:rPr>
        <w:t>ed</w:t>
      </w:r>
      <w:r w:rsidR="00402F45" w:rsidRPr="007C10E9">
        <w:rPr>
          <w:color w:val="000000"/>
        </w:rPr>
        <w:t xml:space="preserve"> </w:t>
      </w:r>
      <w:r w:rsidR="00D77855" w:rsidRPr="007C10E9">
        <w:rPr>
          <w:color w:val="000000"/>
        </w:rPr>
        <w:t>the 'Stormont brake'</w:t>
      </w:r>
      <w:r w:rsidR="00D77855" w:rsidRPr="007C10E9">
        <w:rPr>
          <w:vertAlign w:val="superscript"/>
        </w:rPr>
        <w:footnoteReference w:id="18"/>
      </w:r>
      <w:r w:rsidR="00D77855" w:rsidRPr="007C10E9">
        <w:rPr>
          <w:color w:val="000000"/>
        </w:rPr>
        <w:t xml:space="preserve"> </w:t>
      </w:r>
      <w:r>
        <w:rPr>
          <w:color w:val="000000"/>
        </w:rPr>
        <w:t>and</w:t>
      </w:r>
      <w:r w:rsidR="008F35E2" w:rsidRPr="69CB87CD">
        <w:rPr>
          <w:color w:val="000000" w:themeColor="text1"/>
        </w:rPr>
        <w:t xml:space="preserve"> provided for</w:t>
      </w:r>
      <w:r>
        <w:rPr>
          <w:color w:val="000000"/>
        </w:rPr>
        <w:t xml:space="preserve"> ‘applicability motions’</w:t>
      </w:r>
      <w:r w:rsidR="00D77855" w:rsidRPr="007C10E9">
        <w:rPr>
          <w:color w:val="000000"/>
        </w:rPr>
        <w:t xml:space="preserve">, enabling the UK to halt the application of EU legal </w:t>
      </w:r>
      <w:r>
        <w:rPr>
          <w:color w:val="000000"/>
        </w:rPr>
        <w:t xml:space="preserve">developments </w:t>
      </w:r>
      <w:r w:rsidR="00D101B7" w:rsidRPr="69CB87CD">
        <w:rPr>
          <w:color w:val="000000" w:themeColor="text1"/>
        </w:rPr>
        <w:t xml:space="preserve">potentially </w:t>
      </w:r>
      <w:r>
        <w:rPr>
          <w:color w:val="000000"/>
        </w:rPr>
        <w:t>relevant to Windsor Framework Article 2</w:t>
      </w:r>
      <w:r w:rsidR="00D77855" w:rsidRPr="007C10E9">
        <w:rPr>
          <w:color w:val="000000"/>
        </w:rPr>
        <w:t xml:space="preserve"> </w:t>
      </w:r>
      <w:r w:rsidR="00CF4994">
        <w:rPr>
          <w:color w:val="000000"/>
        </w:rPr>
        <w:t xml:space="preserve">and the protection of human rights </w:t>
      </w:r>
      <w:r w:rsidR="00D77855" w:rsidRPr="007C10E9">
        <w:rPr>
          <w:color w:val="000000"/>
        </w:rPr>
        <w:t xml:space="preserve">in </w:t>
      </w:r>
      <w:r w:rsidR="00402F45">
        <w:rPr>
          <w:color w:val="000000"/>
        </w:rPr>
        <w:t>NI</w:t>
      </w:r>
      <w:r w:rsidR="00CF4994">
        <w:rPr>
          <w:color w:val="000000"/>
        </w:rPr>
        <w:t xml:space="preserve"> after Brexit</w:t>
      </w:r>
      <w:r w:rsidR="000230C2">
        <w:rPr>
          <w:color w:val="000000"/>
        </w:rPr>
        <w:t>.</w:t>
      </w:r>
      <w:r w:rsidR="0047128D">
        <w:rPr>
          <w:rStyle w:val="FootnoteReference"/>
          <w:color w:val="000000"/>
        </w:rPr>
        <w:footnoteReference w:id="19"/>
      </w:r>
      <w:r>
        <w:rPr>
          <w:color w:val="000000"/>
        </w:rPr>
        <w:t xml:space="preserve"> </w:t>
      </w:r>
    </w:p>
    <w:p w14:paraId="48E2B5DF" w14:textId="77777777" w:rsidR="000230C2" w:rsidRPr="000230C2" w:rsidRDefault="000230C2" w:rsidP="007F6BF1">
      <w:pPr>
        <w:pStyle w:val="ListParagraph"/>
        <w:ind w:left="851" w:hanging="851"/>
        <w:contextualSpacing w:val="0"/>
        <w:rPr>
          <w:color w:val="000000"/>
        </w:rPr>
      </w:pPr>
    </w:p>
    <w:p w14:paraId="072E785A" w14:textId="1BB3D366" w:rsidR="008E703E" w:rsidRPr="008E703E" w:rsidRDefault="00D77855" w:rsidP="55B3E72F">
      <w:pPr>
        <w:pStyle w:val="ListParagraph"/>
        <w:numPr>
          <w:ilvl w:val="1"/>
          <w:numId w:val="16"/>
        </w:numPr>
        <w:ind w:left="851" w:hanging="851"/>
        <w:rPr>
          <w:b/>
          <w:bCs/>
        </w:rPr>
      </w:pPr>
      <w:r w:rsidRPr="008E703E">
        <w:rPr>
          <w:color w:val="000000"/>
        </w:rPr>
        <w:t xml:space="preserve">In October 2023, the </w:t>
      </w:r>
      <w:r w:rsidR="00264A86" w:rsidRPr="003E3867">
        <w:rPr>
          <w:color w:val="000000"/>
        </w:rPr>
        <w:t>High Court in NI</w:t>
      </w:r>
      <w:r w:rsidRPr="008E703E">
        <w:rPr>
          <w:color w:val="000000"/>
        </w:rPr>
        <w:t xml:space="preserve"> upheld the direct effect of Windsor Framework Article 2</w:t>
      </w:r>
      <w:r w:rsidR="005952F7" w:rsidRPr="69CB87CD">
        <w:rPr>
          <w:color w:val="000000" w:themeColor="text1"/>
        </w:rPr>
        <w:t>,</w:t>
      </w:r>
      <w:r w:rsidR="005D3ECD" w:rsidRPr="00641C2F">
        <w:rPr>
          <w:rFonts w:cs="Calibri"/>
          <w:vertAlign w:val="superscript"/>
        </w:rPr>
        <w:footnoteReference w:id="20"/>
      </w:r>
      <w:r w:rsidR="00BC1BF8" w:rsidDel="005952F7">
        <w:rPr>
          <w:color w:val="000000"/>
        </w:rPr>
        <w:t xml:space="preserve"> </w:t>
      </w:r>
      <w:r w:rsidRPr="008E703E">
        <w:rPr>
          <w:color w:val="000000"/>
        </w:rPr>
        <w:t>affirmed the EU Charter on Fundamental Rights' enforceability</w:t>
      </w:r>
      <w:r w:rsidR="008C010A">
        <w:rPr>
          <w:color w:val="000000"/>
        </w:rPr>
        <w:t>,</w:t>
      </w:r>
      <w:r w:rsidRPr="007C10E9">
        <w:rPr>
          <w:rStyle w:val="FootnoteReference"/>
          <w:color w:val="000000"/>
        </w:rPr>
        <w:footnoteReference w:id="21"/>
      </w:r>
      <w:r w:rsidRPr="008E703E">
        <w:rPr>
          <w:color w:val="000000"/>
        </w:rPr>
        <w:t xml:space="preserve"> and rejected the argument that Belfast (Good Friday) Agreement rights are</w:t>
      </w:r>
      <w:r w:rsidR="006266B1" w:rsidRPr="008E703E">
        <w:rPr>
          <w:color w:val="000000"/>
        </w:rPr>
        <w:t xml:space="preserve"> frozen</w:t>
      </w:r>
      <w:r w:rsidR="002E4DC0" w:rsidRPr="69CB87CD">
        <w:rPr>
          <w:color w:val="000000" w:themeColor="text1"/>
        </w:rPr>
        <w:t xml:space="preserve"> in time</w:t>
      </w:r>
      <w:r w:rsidR="006266B1">
        <w:rPr>
          <w:color w:val="000000"/>
        </w:rPr>
        <w:t>.</w:t>
      </w:r>
      <w:r w:rsidRPr="007C10E9">
        <w:rPr>
          <w:rStyle w:val="FootnoteReference"/>
          <w:color w:val="000000"/>
        </w:rPr>
        <w:footnoteReference w:id="22"/>
      </w:r>
    </w:p>
    <w:p w14:paraId="1AF015B7" w14:textId="77777777" w:rsidR="002C72DE" w:rsidRPr="002C72DE" w:rsidRDefault="002C72DE" w:rsidP="002C72DE">
      <w:pPr>
        <w:pStyle w:val="ListParagraph"/>
        <w:rPr>
          <w:b/>
          <w:bCs/>
        </w:rPr>
      </w:pPr>
    </w:p>
    <w:p w14:paraId="7731AB78" w14:textId="7CB367FD" w:rsidR="00F524A4" w:rsidRDefault="002C72DE" w:rsidP="007F6BF1">
      <w:pPr>
        <w:pStyle w:val="ListParagraph"/>
        <w:numPr>
          <w:ilvl w:val="1"/>
          <w:numId w:val="16"/>
        </w:numPr>
        <w:ind w:left="851" w:hanging="851"/>
        <w:contextualSpacing w:val="0"/>
        <w:rPr>
          <w:b/>
          <w:bCs/>
        </w:rPr>
      </w:pPr>
      <w:r w:rsidRPr="00BA4DC5">
        <w:rPr>
          <w:b/>
          <w:bCs/>
        </w:rPr>
        <w:t xml:space="preserve">The Committee may wish to </w:t>
      </w:r>
      <w:r>
        <w:rPr>
          <w:b/>
          <w:bCs/>
        </w:rPr>
        <w:t>recommend that</w:t>
      </w:r>
      <w:r w:rsidR="00F524A4">
        <w:rPr>
          <w:b/>
          <w:bCs/>
        </w:rPr>
        <w:t xml:space="preserve"> the UK</w:t>
      </w:r>
      <w:r w:rsidR="00BD78C5">
        <w:rPr>
          <w:b/>
          <w:bCs/>
        </w:rPr>
        <w:t xml:space="preserve"> takes effective steps to</w:t>
      </w:r>
      <w:r w:rsidR="00F524A4">
        <w:rPr>
          <w:b/>
          <w:bCs/>
        </w:rPr>
        <w:t xml:space="preserve">: </w:t>
      </w:r>
    </w:p>
    <w:p w14:paraId="478C10C1" w14:textId="77777777" w:rsidR="00F524A4" w:rsidRPr="00F524A4" w:rsidRDefault="00F524A4" w:rsidP="00F524A4">
      <w:pPr>
        <w:pStyle w:val="ListParagraph"/>
        <w:rPr>
          <w:b/>
          <w:bCs/>
        </w:rPr>
      </w:pPr>
    </w:p>
    <w:p w14:paraId="1DF0C13D" w14:textId="09A95EA2" w:rsidR="009E43D0" w:rsidRDefault="009E43D0" w:rsidP="00F524A4">
      <w:pPr>
        <w:pStyle w:val="ListParagraph"/>
        <w:numPr>
          <w:ilvl w:val="0"/>
          <w:numId w:val="71"/>
        </w:numPr>
        <w:contextualSpacing w:val="0"/>
        <w:rPr>
          <w:b/>
          <w:bCs/>
        </w:rPr>
      </w:pPr>
      <w:r>
        <w:rPr>
          <w:b/>
          <w:bCs/>
        </w:rPr>
        <w:t xml:space="preserve">ensure that Explanatory Memoranda/Human Rights Memoranda to relevant draft legislation, set out what consideration has been given to ensuring </w:t>
      </w:r>
      <w:r w:rsidRPr="00BA4DC5">
        <w:rPr>
          <w:b/>
          <w:bCs/>
        </w:rPr>
        <w:t>complian</w:t>
      </w:r>
      <w:r>
        <w:rPr>
          <w:b/>
          <w:bCs/>
        </w:rPr>
        <w:t>ce</w:t>
      </w:r>
      <w:r w:rsidRPr="00BA4DC5">
        <w:rPr>
          <w:b/>
          <w:bCs/>
        </w:rPr>
        <w:t xml:space="preserve"> with Windsor Framework Article 2</w:t>
      </w:r>
      <w:r w:rsidR="005E2570">
        <w:rPr>
          <w:b/>
          <w:bCs/>
        </w:rPr>
        <w:t>.</w:t>
      </w:r>
      <w:r>
        <w:rPr>
          <w:b/>
          <w:bCs/>
        </w:rPr>
        <w:t xml:space="preserve"> </w:t>
      </w:r>
    </w:p>
    <w:p w14:paraId="2CAC6251" w14:textId="77777777" w:rsidR="005E2570" w:rsidRDefault="005E2570" w:rsidP="005E2570">
      <w:pPr>
        <w:pStyle w:val="ListParagraph"/>
        <w:ind w:left="1571"/>
        <w:contextualSpacing w:val="0"/>
        <w:rPr>
          <w:b/>
          <w:bCs/>
        </w:rPr>
      </w:pPr>
    </w:p>
    <w:p w14:paraId="15D1567F" w14:textId="41A01AEF" w:rsidR="002C72DE" w:rsidRPr="00BA4DC5" w:rsidRDefault="002C72DE" w:rsidP="00F524A4">
      <w:pPr>
        <w:pStyle w:val="ListParagraph"/>
        <w:numPr>
          <w:ilvl w:val="0"/>
          <w:numId w:val="71"/>
        </w:numPr>
        <w:contextualSpacing w:val="0"/>
        <w:rPr>
          <w:b/>
          <w:bCs/>
        </w:rPr>
      </w:pPr>
      <w:r w:rsidRPr="002C72DE">
        <w:rPr>
          <w:b/>
          <w:bCs/>
        </w:rPr>
        <w:t>develop and roll out a comprehensive guidance and training programme on W</w:t>
      </w:r>
      <w:r w:rsidR="00F524A4">
        <w:rPr>
          <w:b/>
          <w:bCs/>
        </w:rPr>
        <w:t xml:space="preserve">insor </w:t>
      </w:r>
      <w:r w:rsidRPr="002C72DE">
        <w:rPr>
          <w:b/>
          <w:bCs/>
        </w:rPr>
        <w:t>F</w:t>
      </w:r>
      <w:r w:rsidR="00F524A4">
        <w:rPr>
          <w:b/>
          <w:bCs/>
        </w:rPr>
        <w:t>ramework</w:t>
      </w:r>
      <w:r w:rsidRPr="002C72DE">
        <w:rPr>
          <w:b/>
          <w:bCs/>
        </w:rPr>
        <w:t xml:space="preserve"> Article</w:t>
      </w:r>
      <w:r>
        <w:rPr>
          <w:b/>
          <w:bCs/>
        </w:rPr>
        <w:t xml:space="preserve"> 2. </w:t>
      </w:r>
    </w:p>
    <w:p w14:paraId="7DB7305C" w14:textId="77777777" w:rsidR="008E703E" w:rsidRDefault="008E703E" w:rsidP="003A6C64">
      <w:pPr>
        <w:pStyle w:val="ListParagraph"/>
        <w:contextualSpacing w:val="0"/>
      </w:pPr>
    </w:p>
    <w:p w14:paraId="614704D1" w14:textId="34ADE45D" w:rsidR="008E703E" w:rsidRDefault="008C38E5" w:rsidP="00BB7CDF">
      <w:pPr>
        <w:pStyle w:val="Heading2"/>
        <w:spacing w:after="240" w:line="288" w:lineRule="auto"/>
      </w:pPr>
      <w:bookmarkStart w:id="7" w:name="_Toc156900981"/>
      <w:r w:rsidRPr="00337260">
        <w:t>Birthright</w:t>
      </w:r>
      <w:bookmarkEnd w:id="7"/>
    </w:p>
    <w:p w14:paraId="21FEEB1B" w14:textId="749EE5CC" w:rsidR="005F1243" w:rsidRPr="005F1243" w:rsidRDefault="00BF4EFA" w:rsidP="005F1243">
      <w:pPr>
        <w:pStyle w:val="ListParagraph"/>
        <w:numPr>
          <w:ilvl w:val="1"/>
          <w:numId w:val="16"/>
        </w:numPr>
        <w:ind w:left="851" w:hanging="851"/>
        <w:contextualSpacing w:val="0"/>
        <w:rPr>
          <w:b/>
          <w:bCs/>
        </w:rPr>
      </w:pPr>
      <w:r w:rsidRPr="00BF4EFA">
        <w:t>The</w:t>
      </w:r>
      <w:r w:rsidR="008E703E">
        <w:t xml:space="preserve"> </w:t>
      </w:r>
      <w:r w:rsidRPr="00BF4EFA">
        <w:t>Belfast (Good Friday) Agreement 1998 recognises the “birthright of all the people of [NI]… to identify themselves and be accepted as Irish or British, or bot</w:t>
      </w:r>
      <w:r w:rsidR="003D77DF">
        <w:t>h</w:t>
      </w:r>
      <w:r w:rsidR="00E428DE">
        <w:t>”</w:t>
      </w:r>
      <w:r w:rsidRPr="00BF4EFA">
        <w:t>.</w:t>
      </w:r>
      <w:r w:rsidR="00E428DE">
        <w:rPr>
          <w:rStyle w:val="FootnoteReference"/>
        </w:rPr>
        <w:footnoteReference w:id="23"/>
      </w:r>
      <w:r w:rsidR="00E428DE" w:rsidRPr="00BF4EFA">
        <w:t xml:space="preserve"> </w:t>
      </w:r>
      <w:r w:rsidR="00B63399">
        <w:t>However,</w:t>
      </w:r>
      <w:r w:rsidRPr="00BF4EFA">
        <w:t xml:space="preserve"> </w:t>
      </w:r>
      <w:r w:rsidR="00B63399">
        <w:t>s</w:t>
      </w:r>
      <w:r w:rsidRPr="00BF4EFA">
        <w:t>ection 1 of the British Nationality Act 1981</w:t>
      </w:r>
      <w:r w:rsidR="00895D42">
        <w:t xml:space="preserve"> states </w:t>
      </w:r>
      <w:r w:rsidRPr="00BF4EFA">
        <w:t xml:space="preserve">anyone born in the UK to a British, Irish, or settled parent, is deemed British. </w:t>
      </w:r>
      <w:r w:rsidR="006D7775">
        <w:t>This issue</w:t>
      </w:r>
      <w:r w:rsidR="00C67232">
        <w:t xml:space="preserve"> </w:t>
      </w:r>
      <w:r w:rsidR="006D7775">
        <w:t>attracted renewed focus in the context of the UK Withdrawal from the EU.</w:t>
      </w:r>
      <w:r w:rsidR="006D7775">
        <w:rPr>
          <w:rStyle w:val="FootnoteReference"/>
        </w:rPr>
        <w:footnoteReference w:id="24"/>
      </w:r>
      <w:r w:rsidR="005F1243">
        <w:t xml:space="preserve">    </w:t>
      </w:r>
    </w:p>
    <w:p w14:paraId="2A7A5C42" w14:textId="77777777" w:rsidR="005F1243" w:rsidRPr="005F1243" w:rsidRDefault="005F1243" w:rsidP="005F1243">
      <w:pPr>
        <w:pStyle w:val="ListParagraph"/>
        <w:ind w:left="851"/>
        <w:contextualSpacing w:val="0"/>
        <w:rPr>
          <w:b/>
          <w:bCs/>
        </w:rPr>
      </w:pPr>
    </w:p>
    <w:p w14:paraId="0760406E" w14:textId="20ECE2A0" w:rsidR="008E703E" w:rsidRPr="008E703E" w:rsidRDefault="005F1243" w:rsidP="007F6BF1">
      <w:pPr>
        <w:pStyle w:val="ListParagraph"/>
        <w:numPr>
          <w:ilvl w:val="1"/>
          <w:numId w:val="16"/>
        </w:numPr>
        <w:ind w:left="851" w:hanging="851"/>
        <w:contextualSpacing w:val="0"/>
        <w:rPr>
          <w:b/>
          <w:bCs/>
        </w:rPr>
      </w:pPr>
      <w:r w:rsidRPr="005F1243">
        <w:t xml:space="preserve">In 2022, the NI Court of Appeal noted that Section 1 of the British Nationality Act 1981 was compatible with the UK’s international obligation to protect individuals against statelessness and that the Section 12 of the </w:t>
      </w:r>
      <w:r w:rsidR="0089602D">
        <w:t xml:space="preserve">1981 </w:t>
      </w:r>
      <w:r w:rsidRPr="005F1243">
        <w:t>Act provides for a right to renounce one’s citizenship.</w:t>
      </w:r>
      <w:r w:rsidR="00063F2C">
        <w:rPr>
          <w:rStyle w:val="FootnoteReference"/>
        </w:rPr>
        <w:footnoteReference w:id="25"/>
      </w:r>
    </w:p>
    <w:p w14:paraId="2A28731B" w14:textId="77777777" w:rsidR="00CC0FBB" w:rsidRPr="00CC0FBB" w:rsidRDefault="00CC0FBB" w:rsidP="007F6BF1">
      <w:pPr>
        <w:pStyle w:val="ListParagraph"/>
        <w:ind w:left="851" w:hanging="851"/>
        <w:contextualSpacing w:val="0"/>
        <w:rPr>
          <w:b/>
          <w:bCs/>
        </w:rPr>
      </w:pPr>
    </w:p>
    <w:p w14:paraId="4DB0D26C" w14:textId="05C5E0B3" w:rsidR="00CC0FBB" w:rsidRPr="00CC0FBB" w:rsidRDefault="00CC0FBB" w:rsidP="007F6BF1">
      <w:pPr>
        <w:pStyle w:val="ListParagraph"/>
        <w:numPr>
          <w:ilvl w:val="1"/>
          <w:numId w:val="16"/>
        </w:numPr>
        <w:ind w:left="851" w:hanging="851"/>
        <w:contextualSpacing w:val="0"/>
        <w:rPr>
          <w:b/>
          <w:bCs/>
        </w:rPr>
      </w:pPr>
      <w:r>
        <w:t>In</w:t>
      </w:r>
      <w:r w:rsidR="006437DA">
        <w:t xml:space="preserve"> 2022,</w:t>
      </w:r>
      <w:r>
        <w:t xml:space="preserve"> </w:t>
      </w:r>
      <w:r w:rsidRPr="00BF4EFA">
        <w:t>the Nationality and Borders Act received Royal Assent, with no amendments to address the issue of birthright included.</w:t>
      </w:r>
    </w:p>
    <w:p w14:paraId="69A39898" w14:textId="77777777" w:rsidR="00F10425" w:rsidRPr="00F10425" w:rsidRDefault="00F10425" w:rsidP="007F6BF1">
      <w:pPr>
        <w:ind w:left="851" w:hanging="851"/>
        <w:rPr>
          <w:b/>
          <w:bCs/>
        </w:rPr>
      </w:pPr>
    </w:p>
    <w:p w14:paraId="6B904B59" w14:textId="5C75028B" w:rsidR="00BF4EFA" w:rsidRPr="00F10425" w:rsidRDefault="00BF4EFA" w:rsidP="007F6BF1">
      <w:pPr>
        <w:pStyle w:val="ListParagraph"/>
        <w:numPr>
          <w:ilvl w:val="1"/>
          <w:numId w:val="16"/>
        </w:numPr>
        <w:ind w:left="851" w:hanging="851"/>
        <w:contextualSpacing w:val="0"/>
        <w:rPr>
          <w:b/>
          <w:bCs/>
        </w:rPr>
      </w:pPr>
      <w:r w:rsidRPr="00F10425">
        <w:rPr>
          <w:b/>
          <w:bCs/>
        </w:rPr>
        <w:t xml:space="preserve">The Committee may wish to </w:t>
      </w:r>
      <w:r w:rsidR="006D5AD3">
        <w:rPr>
          <w:b/>
          <w:bCs/>
        </w:rPr>
        <w:t>recommend that the</w:t>
      </w:r>
      <w:r w:rsidRPr="00F10425">
        <w:rPr>
          <w:b/>
          <w:bCs/>
        </w:rPr>
        <w:t xml:space="preserve"> UK </w:t>
      </w:r>
      <w:r w:rsidR="00D847ED">
        <w:rPr>
          <w:b/>
          <w:bCs/>
        </w:rPr>
        <w:t xml:space="preserve">takes effective steps to </w:t>
      </w:r>
      <w:r w:rsidRPr="00F10425">
        <w:rPr>
          <w:b/>
          <w:bCs/>
        </w:rPr>
        <w:t>amend</w:t>
      </w:r>
      <w:r w:rsidR="003F5AC4">
        <w:rPr>
          <w:b/>
          <w:bCs/>
        </w:rPr>
        <w:t xml:space="preserve"> </w:t>
      </w:r>
      <w:r w:rsidRPr="00F10425">
        <w:rPr>
          <w:b/>
          <w:bCs/>
        </w:rPr>
        <w:t xml:space="preserve">nationality and immigration laws </w:t>
      </w:r>
      <w:r w:rsidRPr="00F10425">
        <w:rPr>
          <w:b/>
          <w:bCs/>
        </w:rPr>
        <w:lastRenderedPageBreak/>
        <w:t>to reflect the commitment under the Belfast (Good Friday) Agreement 1998 that it is the birthright of all the people of NI to identify as Irish or British or both, without any loss of rights or entitlements.</w:t>
      </w:r>
    </w:p>
    <w:p w14:paraId="0DDADB2C" w14:textId="77777777" w:rsidR="00FE76A4" w:rsidRDefault="00FE76A4" w:rsidP="003A6C64"/>
    <w:p w14:paraId="0E8A0174" w14:textId="3B89B2FB" w:rsidR="00680EFD" w:rsidRPr="00587912" w:rsidRDefault="00E96949" w:rsidP="003A6C64">
      <w:pPr>
        <w:pStyle w:val="Heading1"/>
        <w:numPr>
          <w:ilvl w:val="0"/>
          <w:numId w:val="19"/>
        </w:numPr>
        <w:tabs>
          <w:tab w:val="left" w:pos="851"/>
        </w:tabs>
        <w:spacing w:before="0" w:after="240" w:line="288" w:lineRule="auto"/>
      </w:pPr>
      <w:r>
        <w:t xml:space="preserve"> </w:t>
      </w:r>
      <w:bookmarkStart w:id="8" w:name="_Toc156900982"/>
      <w:r w:rsidR="00A938B3" w:rsidRPr="00587912">
        <w:t xml:space="preserve">Article 2 – </w:t>
      </w:r>
      <w:r w:rsidR="00AB4B7E">
        <w:t>N</w:t>
      </w:r>
      <w:r w:rsidR="00A938B3" w:rsidRPr="00587912">
        <w:t>on-discrimination</w:t>
      </w:r>
      <w:bookmarkEnd w:id="8"/>
    </w:p>
    <w:p w14:paraId="167358D7" w14:textId="77777777" w:rsidR="00E96949" w:rsidRPr="00644D88" w:rsidRDefault="003D055E" w:rsidP="003612E0">
      <w:pPr>
        <w:pStyle w:val="Heading2"/>
        <w:spacing w:after="240" w:line="288" w:lineRule="auto"/>
        <w:ind w:left="993" w:hanging="993"/>
      </w:pPr>
      <w:bookmarkStart w:id="9" w:name="_Toc156900983"/>
      <w:r>
        <w:t>Equality protections</w:t>
      </w:r>
      <w:bookmarkEnd w:id="9"/>
    </w:p>
    <w:p w14:paraId="5404FF03" w14:textId="65C3B0F4" w:rsidR="0011549C" w:rsidRDefault="0011549C" w:rsidP="22E15799">
      <w:pPr>
        <w:pStyle w:val="ListParagraph"/>
        <w:numPr>
          <w:ilvl w:val="1"/>
          <w:numId w:val="19"/>
        </w:numPr>
        <w:ind w:left="851" w:hanging="851"/>
        <w:rPr>
          <w:rStyle w:val="FootnoteReference"/>
        </w:rPr>
      </w:pPr>
      <w:r>
        <w:t>Unlike</w:t>
      </w:r>
      <w:r w:rsidRPr="0011549C">
        <w:t xml:space="preserve"> </w:t>
      </w:r>
      <w:r>
        <w:t>the rest of the UK, NI does not have a single legislative instrument to consolidate equality protection</w:t>
      </w:r>
      <w:r w:rsidR="00667494">
        <w:t>s</w:t>
      </w:r>
      <w:r w:rsidR="001A03E6">
        <w:t>.</w:t>
      </w:r>
      <w:r w:rsidR="2D58F4C5">
        <w:t xml:space="preserve"> Equality protections are contained in a range of instruments</w:t>
      </w:r>
      <w:r>
        <w:t>.</w:t>
      </w:r>
      <w:r w:rsidRPr="004A5334">
        <w:rPr>
          <w:rStyle w:val="FootnoteReference"/>
        </w:rPr>
        <w:footnoteReference w:id="26"/>
      </w:r>
      <w:r w:rsidR="06C9031C" w:rsidRPr="22E15799">
        <w:rPr>
          <w:rStyle w:val="FootnoteReference"/>
        </w:rPr>
        <w:t xml:space="preserve"> </w:t>
      </w:r>
    </w:p>
    <w:p w14:paraId="4FDE6DD1" w14:textId="77777777" w:rsidR="00DE23BE" w:rsidRDefault="00DE23BE" w:rsidP="007F6BF1">
      <w:pPr>
        <w:ind w:left="851" w:hanging="851"/>
      </w:pPr>
    </w:p>
    <w:p w14:paraId="231EDA1C" w14:textId="294AF2D8" w:rsidR="00EF5F3A" w:rsidRPr="007A45E0" w:rsidRDefault="00E402C5" w:rsidP="007F6BF1">
      <w:pPr>
        <w:pStyle w:val="Default"/>
        <w:numPr>
          <w:ilvl w:val="1"/>
          <w:numId w:val="19"/>
        </w:numPr>
        <w:spacing w:line="288" w:lineRule="auto"/>
        <w:ind w:left="851" w:hanging="851"/>
        <w:rPr>
          <w:b/>
        </w:rPr>
      </w:pPr>
      <w:r w:rsidRPr="00501C78">
        <w:rPr>
          <w:b/>
        </w:rPr>
        <w:t xml:space="preserve">The Committee may wish to </w:t>
      </w:r>
      <w:r w:rsidR="00FC4E6A">
        <w:rPr>
          <w:b/>
        </w:rPr>
        <w:t>recommend that the</w:t>
      </w:r>
      <w:r w:rsidRPr="00501C78">
        <w:rPr>
          <w:b/>
        </w:rPr>
        <w:t xml:space="preserve"> UK</w:t>
      </w:r>
      <w:r w:rsidR="007A45E0">
        <w:rPr>
          <w:b/>
        </w:rPr>
        <w:t xml:space="preserve"> </w:t>
      </w:r>
      <w:r w:rsidR="00FC4E6A" w:rsidRPr="007A45E0">
        <w:rPr>
          <w:b/>
        </w:rPr>
        <w:t>takes effective steps</w:t>
      </w:r>
      <w:r w:rsidRPr="007A45E0">
        <w:rPr>
          <w:b/>
        </w:rPr>
        <w:t xml:space="preserve"> to prioritise and enable political consensus towards the introduction of a Single Equality Act for NI</w:t>
      </w:r>
      <w:r w:rsidR="008534F6" w:rsidRPr="007A45E0">
        <w:rPr>
          <w:b/>
        </w:rPr>
        <w:t xml:space="preserve">. </w:t>
      </w:r>
    </w:p>
    <w:p w14:paraId="27D2EB7B" w14:textId="77777777" w:rsidR="007230C7" w:rsidRPr="009012F6" w:rsidRDefault="007230C7" w:rsidP="00AF2515">
      <w:pPr>
        <w:ind w:left="0"/>
        <w:rPr>
          <w:b/>
        </w:rPr>
      </w:pPr>
    </w:p>
    <w:p w14:paraId="7B16F743" w14:textId="766FE6C3" w:rsidR="007230C7" w:rsidRDefault="007230C7" w:rsidP="003612E0">
      <w:pPr>
        <w:pStyle w:val="Heading2"/>
        <w:spacing w:after="240" w:line="288" w:lineRule="auto"/>
        <w:ind w:left="-11" w:firstLine="11"/>
      </w:pPr>
      <w:bookmarkStart w:id="10" w:name="_Toc156900984"/>
      <w:r w:rsidRPr="004A56CB">
        <w:t xml:space="preserve">Intersectional </w:t>
      </w:r>
      <w:r>
        <w:t xml:space="preserve">multiple </w:t>
      </w:r>
      <w:r w:rsidRPr="004A56CB">
        <w:t>discrimination</w:t>
      </w:r>
      <w:bookmarkEnd w:id="10"/>
      <w:r w:rsidRPr="004A56CB">
        <w:t xml:space="preserve"> </w:t>
      </w:r>
    </w:p>
    <w:p w14:paraId="45418E63" w14:textId="77777777" w:rsidR="009A07A4" w:rsidRPr="009A07A4" w:rsidRDefault="009A07A4" w:rsidP="009A07A4">
      <w:pPr>
        <w:pStyle w:val="ListParagraph"/>
        <w:numPr>
          <w:ilvl w:val="0"/>
          <w:numId w:val="66"/>
        </w:numPr>
        <w:autoSpaceDE w:val="0"/>
        <w:autoSpaceDN w:val="0"/>
        <w:adjustRightInd w:val="0"/>
        <w:contextualSpacing w:val="0"/>
        <w:rPr>
          <w:rFonts w:eastAsia="Times New Roman" w:cs="Verdana"/>
          <w:vanish/>
          <w:color w:val="000000"/>
          <w:szCs w:val="24"/>
        </w:rPr>
      </w:pPr>
    </w:p>
    <w:p w14:paraId="4854C394" w14:textId="77777777" w:rsidR="009A07A4" w:rsidRPr="009A07A4" w:rsidRDefault="009A07A4" w:rsidP="009A07A4">
      <w:pPr>
        <w:pStyle w:val="ListParagraph"/>
        <w:numPr>
          <w:ilvl w:val="1"/>
          <w:numId w:val="66"/>
        </w:numPr>
        <w:autoSpaceDE w:val="0"/>
        <w:autoSpaceDN w:val="0"/>
        <w:adjustRightInd w:val="0"/>
        <w:contextualSpacing w:val="0"/>
        <w:rPr>
          <w:rFonts w:eastAsia="Times New Roman" w:cs="Verdana"/>
          <w:vanish/>
          <w:color w:val="000000"/>
          <w:szCs w:val="24"/>
        </w:rPr>
      </w:pPr>
    </w:p>
    <w:p w14:paraId="03C24520" w14:textId="77777777" w:rsidR="009A07A4" w:rsidRPr="009A07A4" w:rsidRDefault="009A07A4" w:rsidP="009A07A4">
      <w:pPr>
        <w:pStyle w:val="ListParagraph"/>
        <w:numPr>
          <w:ilvl w:val="1"/>
          <w:numId w:val="66"/>
        </w:numPr>
        <w:autoSpaceDE w:val="0"/>
        <w:autoSpaceDN w:val="0"/>
        <w:adjustRightInd w:val="0"/>
        <w:contextualSpacing w:val="0"/>
        <w:rPr>
          <w:rFonts w:eastAsia="Times New Roman" w:cs="Verdana"/>
          <w:vanish/>
          <w:color w:val="000000"/>
          <w:szCs w:val="24"/>
        </w:rPr>
      </w:pPr>
    </w:p>
    <w:p w14:paraId="22712FF8" w14:textId="76DFD383" w:rsidR="00434803" w:rsidRPr="00EA0AA1" w:rsidRDefault="006A6152" w:rsidP="009A07A4">
      <w:pPr>
        <w:pStyle w:val="Default"/>
        <w:numPr>
          <w:ilvl w:val="1"/>
          <w:numId w:val="66"/>
        </w:numPr>
        <w:spacing w:line="288" w:lineRule="auto"/>
        <w:rPr>
          <w:b/>
        </w:rPr>
      </w:pPr>
      <w:r w:rsidRPr="22E15799">
        <w:t xml:space="preserve">NI legislation </w:t>
      </w:r>
      <w:r w:rsidR="00412099" w:rsidRPr="22E15799">
        <w:t>does</w:t>
      </w:r>
      <w:r w:rsidR="00E76646" w:rsidRPr="22E15799">
        <w:t xml:space="preserve"> not</w:t>
      </w:r>
      <w:r w:rsidRPr="22E15799">
        <w:t xml:space="preserve"> provi</w:t>
      </w:r>
      <w:r w:rsidR="000B0AE0" w:rsidRPr="22E15799">
        <w:t>de</w:t>
      </w:r>
      <w:r w:rsidRPr="22E15799">
        <w:t xml:space="preserve"> for</w:t>
      </w:r>
      <w:r w:rsidR="009F7ED9">
        <w:rPr>
          <w:bCs/>
        </w:rPr>
        <w:t xml:space="preserve"> </w:t>
      </w:r>
      <w:r w:rsidRPr="22E15799">
        <w:t>intersectional discrimination</w:t>
      </w:r>
      <w:r w:rsidR="00224E64">
        <w:rPr>
          <w:bCs/>
        </w:rPr>
        <w:t>.</w:t>
      </w:r>
      <w:r w:rsidRPr="006A6152">
        <w:rPr>
          <w:bCs/>
        </w:rPr>
        <w:t xml:space="preserve"> </w:t>
      </w:r>
      <w:r w:rsidR="00224E64" w:rsidRPr="22E15799">
        <w:t>E</w:t>
      </w:r>
      <w:r w:rsidRPr="22E15799">
        <w:t xml:space="preserve">ach ground </w:t>
      </w:r>
      <w:r w:rsidR="005B414A" w:rsidRPr="22E15799">
        <w:t>for discrimination must form its own case</w:t>
      </w:r>
      <w:r w:rsidR="00A510C3">
        <w:rPr>
          <w:bCs/>
        </w:rPr>
        <w:t xml:space="preserve">, </w:t>
      </w:r>
      <w:r w:rsidR="001701C5" w:rsidRPr="22E15799">
        <w:t xml:space="preserve">meaning it </w:t>
      </w:r>
      <w:r w:rsidR="00E76646" w:rsidRPr="22E15799">
        <w:t>is</w:t>
      </w:r>
      <w:r w:rsidR="00434803" w:rsidRPr="22E15799">
        <w:t xml:space="preserve"> considered and ruled on </w:t>
      </w:r>
      <w:r w:rsidRPr="22E15799">
        <w:t>separate</w:t>
      </w:r>
      <w:r w:rsidR="00434803" w:rsidRPr="22E15799">
        <w:t>ly</w:t>
      </w:r>
      <w:r w:rsidRPr="006A6152">
        <w:rPr>
          <w:bCs/>
        </w:rPr>
        <w:t>.</w:t>
      </w:r>
      <w:r>
        <w:rPr>
          <w:rStyle w:val="FootnoteReference"/>
        </w:rPr>
        <w:footnoteReference w:id="27"/>
      </w:r>
      <w:r>
        <w:t xml:space="preserve"> </w:t>
      </w:r>
    </w:p>
    <w:p w14:paraId="5FAC041F" w14:textId="77777777" w:rsidR="001629C2" w:rsidRPr="000B6A9B" w:rsidRDefault="001629C2" w:rsidP="000B6A9B">
      <w:pPr>
        <w:pStyle w:val="Default"/>
        <w:spacing w:line="288" w:lineRule="auto"/>
        <w:ind w:left="851"/>
        <w:rPr>
          <w:b/>
        </w:rPr>
      </w:pPr>
    </w:p>
    <w:p w14:paraId="67CAD512" w14:textId="77777777" w:rsidR="001629C2" w:rsidRPr="00951234" w:rsidRDefault="001629C2" w:rsidP="001629C2">
      <w:pPr>
        <w:pStyle w:val="Default"/>
        <w:numPr>
          <w:ilvl w:val="1"/>
          <w:numId w:val="66"/>
        </w:numPr>
        <w:spacing w:line="288" w:lineRule="auto"/>
        <w:rPr>
          <w:bCs/>
        </w:rPr>
      </w:pPr>
      <w:r w:rsidRPr="007478BB">
        <w:t>In December 2022, the EU Commission published proposals for two EU Directives on standards for equality bodies.</w:t>
      </w:r>
      <w:r w:rsidRPr="007478BB">
        <w:rPr>
          <w:rStyle w:val="FootnoteReference"/>
        </w:rPr>
        <w:footnoteReference w:id="28"/>
      </w:r>
      <w:r w:rsidRPr="007478BB">
        <w:t xml:space="preserve"> </w:t>
      </w:r>
      <w:r>
        <w:t xml:space="preserve">It is </w:t>
      </w:r>
      <w:r w:rsidRPr="007478BB">
        <w:t>consider</w:t>
      </w:r>
      <w:r>
        <w:t>ed</w:t>
      </w:r>
      <w:r w:rsidRPr="007478BB">
        <w:t xml:space="preserve"> that the proposed Directives w</w:t>
      </w:r>
      <w:r>
        <w:t>ould</w:t>
      </w:r>
      <w:r w:rsidRPr="007478BB">
        <w:t xml:space="preserve"> amend provisions of the EU Race Equality Directive,</w:t>
      </w:r>
      <w:r w:rsidRPr="007478BB">
        <w:rPr>
          <w:rStyle w:val="FootnoteReference"/>
        </w:rPr>
        <w:footnoteReference w:id="29"/>
      </w:r>
      <w:r w:rsidRPr="007478BB">
        <w:t xml:space="preserve"> which is specified in Annex 1 to </w:t>
      </w:r>
      <w:r w:rsidRPr="007478BB">
        <w:lastRenderedPageBreak/>
        <w:t>the Windsor Framework. NI equality law should be amended to keep pace with these changes, if the proposals are adopted.</w:t>
      </w:r>
      <w:r w:rsidRPr="007478BB">
        <w:rPr>
          <w:rStyle w:val="FootnoteReference"/>
        </w:rPr>
        <w:footnoteReference w:id="30"/>
      </w:r>
    </w:p>
    <w:p w14:paraId="6B6791C6" w14:textId="77777777" w:rsidR="00434803" w:rsidRPr="001629C2" w:rsidRDefault="00434803" w:rsidP="009C7E76">
      <w:pPr>
        <w:pStyle w:val="Default"/>
        <w:spacing w:line="288" w:lineRule="auto"/>
        <w:ind w:left="0"/>
        <w:rPr>
          <w:b/>
        </w:rPr>
      </w:pPr>
    </w:p>
    <w:p w14:paraId="448528FE" w14:textId="38DF4266" w:rsidR="00412099" w:rsidRPr="00434803" w:rsidRDefault="001701C5" w:rsidP="00434803">
      <w:pPr>
        <w:pStyle w:val="Default"/>
        <w:numPr>
          <w:ilvl w:val="1"/>
          <w:numId w:val="66"/>
        </w:numPr>
        <w:spacing w:line="288" w:lineRule="auto"/>
        <w:rPr>
          <w:b/>
        </w:rPr>
      </w:pPr>
      <w:r w:rsidRPr="003312E7">
        <w:t xml:space="preserve">In March 2023, the Executive Office </w:t>
      </w:r>
      <w:r>
        <w:t>consulted on proposals for</w:t>
      </w:r>
      <w:r w:rsidRPr="003312E7">
        <w:t xml:space="preserve"> </w:t>
      </w:r>
      <w:r>
        <w:t>its R</w:t>
      </w:r>
      <w:r w:rsidRPr="003312E7">
        <w:t>evie</w:t>
      </w:r>
      <w:r>
        <w:t xml:space="preserve">w of </w:t>
      </w:r>
      <w:r w:rsidRPr="003312E7">
        <w:t>the Race Relations (NI) Order</w:t>
      </w:r>
      <w:r>
        <w:t xml:space="preserve">; </w:t>
      </w:r>
      <w:r w:rsidRPr="003312E7">
        <w:t>intersectional multiple discrimination</w:t>
      </w:r>
      <w:r>
        <w:t xml:space="preserve"> was not mentioned</w:t>
      </w:r>
      <w:r w:rsidRPr="003312E7">
        <w:t>.</w:t>
      </w:r>
      <w:r>
        <w:rPr>
          <w:rStyle w:val="FootnoteReference"/>
        </w:rPr>
        <w:footnoteReference w:id="31"/>
      </w:r>
    </w:p>
    <w:p w14:paraId="7BC89D8B" w14:textId="77777777" w:rsidR="00412099" w:rsidRPr="00412099" w:rsidRDefault="00412099" w:rsidP="00412099">
      <w:pPr>
        <w:pStyle w:val="Default"/>
        <w:spacing w:line="288" w:lineRule="auto"/>
        <w:rPr>
          <w:bCs/>
        </w:rPr>
      </w:pPr>
    </w:p>
    <w:p w14:paraId="78A0BD8E" w14:textId="7D7EABDB" w:rsidR="009012F6" w:rsidRPr="00434803" w:rsidRDefault="006A6152" w:rsidP="00434803">
      <w:pPr>
        <w:pStyle w:val="Default"/>
        <w:numPr>
          <w:ilvl w:val="1"/>
          <w:numId w:val="66"/>
        </w:numPr>
        <w:spacing w:line="288" w:lineRule="auto"/>
        <w:rPr>
          <w:bCs/>
        </w:rPr>
      </w:pPr>
      <w:r w:rsidRPr="22E15799">
        <w:t xml:space="preserve">In 2020, </w:t>
      </w:r>
      <w:r w:rsidR="004F3AED" w:rsidRPr="22E15799">
        <w:t xml:space="preserve">the </w:t>
      </w:r>
      <w:r w:rsidR="004F3AED" w:rsidRPr="000608DC">
        <w:t xml:space="preserve">Independent </w:t>
      </w:r>
      <w:r w:rsidRPr="22E15799">
        <w:t xml:space="preserve">Hate Crime Review recommended </w:t>
      </w:r>
      <w:r w:rsidR="004F3AED">
        <w:t>that</w:t>
      </w:r>
      <w:r w:rsidR="004F3AED" w:rsidRPr="000608DC">
        <w:t xml:space="preserve"> </w:t>
      </w:r>
      <w:r w:rsidR="00AC6B69">
        <w:t xml:space="preserve">intersectionality is </w:t>
      </w:r>
      <w:r w:rsidR="004F3AED" w:rsidRPr="000608DC">
        <w:t>reflected when considering statutory aggravations to existing offences.</w:t>
      </w:r>
      <w:r w:rsidR="004F3AED">
        <w:rPr>
          <w:rStyle w:val="FootnoteReference"/>
        </w:rPr>
        <w:footnoteReference w:id="32"/>
      </w:r>
      <w:r w:rsidRPr="006A6152">
        <w:rPr>
          <w:bCs/>
        </w:rPr>
        <w:t xml:space="preserve"> </w:t>
      </w:r>
      <w:r w:rsidR="002C607F" w:rsidRPr="22E15799">
        <w:t>T</w:t>
      </w:r>
      <w:r w:rsidRPr="22E15799">
        <w:t>h</w:t>
      </w:r>
      <w:r w:rsidR="00673CE2" w:rsidRPr="22E15799">
        <w:t>e</w:t>
      </w:r>
      <w:r w:rsidRPr="22E15799">
        <w:t xml:space="preserve"> Department of Justice </w:t>
      </w:r>
      <w:r w:rsidR="004C2F1B" w:rsidRPr="22E15799">
        <w:t xml:space="preserve">has </w:t>
      </w:r>
      <w:r w:rsidRPr="22E15799">
        <w:t xml:space="preserve">acknowledged intersectionality in </w:t>
      </w:r>
      <w:r w:rsidR="004C2F1B" w:rsidRPr="22E15799">
        <w:t xml:space="preserve">proposals to amend </w:t>
      </w:r>
      <w:r w:rsidRPr="22E15799">
        <w:t>NI hate crime laws</w:t>
      </w:r>
      <w:r w:rsidR="004C2F1B">
        <w:rPr>
          <w:bCs/>
        </w:rPr>
        <w:t>,</w:t>
      </w:r>
      <w:r w:rsidR="00BD7D2C">
        <w:rPr>
          <w:rStyle w:val="FootnoteReference"/>
        </w:rPr>
        <w:footnoteReference w:id="33"/>
      </w:r>
      <w:r w:rsidR="00BD7D2C">
        <w:t xml:space="preserve"> </w:t>
      </w:r>
      <w:r w:rsidR="00B765C1" w:rsidRPr="22E15799">
        <w:t>but</w:t>
      </w:r>
      <w:r w:rsidR="00BD7D2C" w:rsidRPr="22E15799">
        <w:t xml:space="preserve"> </w:t>
      </w:r>
      <w:r w:rsidR="003F70E4">
        <w:t xml:space="preserve">progress </w:t>
      </w:r>
      <w:r w:rsidR="00AC6F4B">
        <w:t>was</w:t>
      </w:r>
      <w:r w:rsidR="003F70E4">
        <w:t xml:space="preserve"> hindered by the suspension of the</w:t>
      </w:r>
      <w:r w:rsidR="00BD7D2C" w:rsidRPr="22E15799">
        <w:t xml:space="preserve"> NI Executive</w:t>
      </w:r>
      <w:r w:rsidR="00956A4C" w:rsidRPr="22E15799">
        <w:t xml:space="preserve"> and </w:t>
      </w:r>
      <w:r w:rsidR="003F70E4">
        <w:t xml:space="preserve">NI </w:t>
      </w:r>
      <w:r w:rsidR="00956A4C" w:rsidRPr="22E15799">
        <w:t>Assembly.</w:t>
      </w:r>
    </w:p>
    <w:p w14:paraId="15A208C4" w14:textId="77777777" w:rsidR="001F5614" w:rsidRPr="00604556" w:rsidRDefault="001F5614" w:rsidP="004F3AED">
      <w:pPr>
        <w:ind w:left="0"/>
        <w:rPr>
          <w:bCs/>
        </w:rPr>
      </w:pPr>
    </w:p>
    <w:p w14:paraId="09961AAB" w14:textId="24427CFA" w:rsidR="00EF5F3A" w:rsidRPr="00A37214" w:rsidRDefault="001F5614" w:rsidP="00A37214">
      <w:pPr>
        <w:pStyle w:val="Default"/>
        <w:numPr>
          <w:ilvl w:val="1"/>
          <w:numId w:val="66"/>
        </w:numPr>
        <w:spacing w:line="288" w:lineRule="auto"/>
        <w:rPr>
          <w:bCs/>
        </w:rPr>
      </w:pPr>
      <w:r w:rsidRPr="22E15799">
        <w:rPr>
          <w:b/>
          <w:bCs/>
        </w:rPr>
        <w:t>The Committee may wish to recommend that the UK takes effective steps to ensure that intersectional multiple discrimination claims in NI are effectively addressed, including providing for intersectionality within equality legislation as required.</w:t>
      </w:r>
    </w:p>
    <w:p w14:paraId="7DCDE700" w14:textId="77777777" w:rsidR="00DE23BE" w:rsidRPr="00DE23BE" w:rsidRDefault="00DE23BE" w:rsidP="003A6C64">
      <w:pPr>
        <w:pStyle w:val="Default"/>
        <w:spacing w:line="288" w:lineRule="auto"/>
        <w:rPr>
          <w:b/>
        </w:rPr>
      </w:pPr>
    </w:p>
    <w:p w14:paraId="224C250A" w14:textId="68F56097" w:rsidR="00235E3A" w:rsidRPr="000867A0" w:rsidRDefault="00DE23BE" w:rsidP="00A13CE5">
      <w:pPr>
        <w:pStyle w:val="Heading2"/>
        <w:spacing w:line="288" w:lineRule="auto"/>
      </w:pPr>
      <w:bookmarkStart w:id="11" w:name="_Toc156900985"/>
      <w:r w:rsidRPr="000867A0">
        <w:t>Sexual orientation</w:t>
      </w:r>
      <w:bookmarkEnd w:id="11"/>
      <w:r w:rsidRPr="000867A0">
        <w:t xml:space="preserve"> </w:t>
      </w:r>
    </w:p>
    <w:p w14:paraId="2352A13D" w14:textId="77777777" w:rsidR="007A78BF" w:rsidRDefault="007A78BF" w:rsidP="007A78BF">
      <w:pPr>
        <w:pStyle w:val="ListParagraph"/>
        <w:rPr>
          <w:bCs/>
        </w:rPr>
      </w:pPr>
    </w:p>
    <w:p w14:paraId="05FED6DB" w14:textId="57BF94F6" w:rsidR="00D66C70" w:rsidRDefault="003F70E4" w:rsidP="001701C5">
      <w:pPr>
        <w:pStyle w:val="Default"/>
        <w:numPr>
          <w:ilvl w:val="1"/>
          <w:numId w:val="66"/>
        </w:numPr>
        <w:spacing w:line="288" w:lineRule="auto"/>
      </w:pPr>
      <w:r>
        <w:t xml:space="preserve">In </w:t>
      </w:r>
      <w:r w:rsidR="00D66C70" w:rsidRPr="22E15799">
        <w:t>202</w:t>
      </w:r>
      <w:r w:rsidR="00AC281B">
        <w:t>3</w:t>
      </w:r>
      <w:r>
        <w:t>, progress of the</w:t>
      </w:r>
      <w:r w:rsidR="00D66C70" w:rsidRPr="22E15799">
        <w:t xml:space="preserve"> </w:t>
      </w:r>
      <w:r w:rsidR="00D66C70" w:rsidRPr="00E01C34">
        <w:t xml:space="preserve">Lesbian, Gay, Bisexual, Transgender, Queer (or Questioning), Intersex+ Strategy </w:t>
      </w:r>
      <w:r w:rsidR="00AC6F4B">
        <w:t>was</w:t>
      </w:r>
      <w:r>
        <w:t xml:space="preserve"> hindered by the suspension of the</w:t>
      </w:r>
      <w:r w:rsidR="00D66C70" w:rsidRPr="22E15799">
        <w:t xml:space="preserve"> NI Executive.</w:t>
      </w:r>
      <w:r w:rsidR="00D66C70" w:rsidRPr="00E01C34">
        <w:rPr>
          <w:vertAlign w:val="superscript"/>
        </w:rPr>
        <w:footnoteReference w:id="34"/>
      </w:r>
    </w:p>
    <w:p w14:paraId="5BD8B7E1" w14:textId="77777777" w:rsidR="00D66C70" w:rsidRDefault="00D66C70" w:rsidP="00D66C70">
      <w:pPr>
        <w:pStyle w:val="Default"/>
        <w:spacing w:line="288" w:lineRule="auto"/>
        <w:ind w:left="851"/>
      </w:pPr>
    </w:p>
    <w:p w14:paraId="70B67926" w14:textId="5F28C7E1" w:rsidR="007A78BF" w:rsidRPr="000C5EB4" w:rsidRDefault="00CC20FB" w:rsidP="001701C5">
      <w:pPr>
        <w:pStyle w:val="Default"/>
        <w:numPr>
          <w:ilvl w:val="1"/>
          <w:numId w:val="66"/>
        </w:numPr>
        <w:spacing w:line="288" w:lineRule="auto"/>
      </w:pPr>
      <w:r>
        <w:t>S</w:t>
      </w:r>
      <w:r w:rsidR="007A78BF" w:rsidRPr="22E15799">
        <w:t xml:space="preserve">exual orientation is </w:t>
      </w:r>
      <w:r>
        <w:t>recognised as a ground for</w:t>
      </w:r>
      <w:r w:rsidR="007A78BF" w:rsidRPr="22E15799">
        <w:t xml:space="preserve"> inciting hatred</w:t>
      </w:r>
      <w:r w:rsidR="007A78BF">
        <w:rPr>
          <w:bCs/>
        </w:rPr>
        <w:t xml:space="preserve"> </w:t>
      </w:r>
      <w:r w:rsidR="007A78BF">
        <w:t>in NI</w:t>
      </w:r>
      <w:r w:rsidR="00FD5449">
        <w:t>.</w:t>
      </w:r>
      <w:r w:rsidR="007A78BF">
        <w:rPr>
          <w:rStyle w:val="FootnoteReference"/>
        </w:rPr>
        <w:footnoteReference w:id="35"/>
      </w:r>
      <w:r w:rsidR="007A78BF" w:rsidRPr="00E01C34">
        <w:t xml:space="preserve"> </w:t>
      </w:r>
      <w:r w:rsidR="00C92E3C">
        <w:t>In</w:t>
      </w:r>
      <w:r w:rsidR="007A78BF" w:rsidRPr="22E15799">
        <w:t xml:space="preserve"> 2020</w:t>
      </w:r>
      <w:r w:rsidR="00C92E3C">
        <w:t>,</w:t>
      </w:r>
      <w:r w:rsidR="00644F1D">
        <w:t xml:space="preserve"> the</w:t>
      </w:r>
      <w:r w:rsidR="007A78BF" w:rsidRPr="22E15799">
        <w:t xml:space="preserve"> Hate Crime Review proposed statutory aggravations for all offen</w:t>
      </w:r>
      <w:r w:rsidR="004E3F3E">
        <w:t>c</w:t>
      </w:r>
      <w:r w:rsidR="007A78BF" w:rsidRPr="22E15799">
        <w:t>es, including homophobic hate crime</w:t>
      </w:r>
      <w:r w:rsidR="0076690E">
        <w:rPr>
          <w:bCs/>
        </w:rPr>
        <w:t>.</w:t>
      </w:r>
      <w:r w:rsidR="00FC7F3B" w:rsidRPr="00E01C34">
        <w:rPr>
          <w:vertAlign w:val="superscript"/>
        </w:rPr>
        <w:footnoteReference w:id="36"/>
      </w:r>
      <w:r w:rsidR="00FC7F3B">
        <w:rPr>
          <w:bCs/>
        </w:rPr>
        <w:t xml:space="preserve"> </w:t>
      </w:r>
    </w:p>
    <w:p w14:paraId="07DEDD74" w14:textId="77777777" w:rsidR="000C5EB4" w:rsidRDefault="000C5EB4" w:rsidP="003A6C64">
      <w:pPr>
        <w:pStyle w:val="ListParagraph"/>
        <w:contextualSpacing w:val="0"/>
        <w:rPr>
          <w:b/>
        </w:rPr>
      </w:pPr>
    </w:p>
    <w:p w14:paraId="0B869B2B" w14:textId="54194CDE" w:rsidR="00641FCD" w:rsidRPr="00641FCD" w:rsidRDefault="00F72655" w:rsidP="001701C5">
      <w:pPr>
        <w:pStyle w:val="Default"/>
        <w:numPr>
          <w:ilvl w:val="1"/>
          <w:numId w:val="66"/>
        </w:numPr>
        <w:spacing w:line="288" w:lineRule="auto"/>
        <w:rPr>
          <w:bCs/>
        </w:rPr>
      </w:pPr>
      <w:r w:rsidRPr="22E15799">
        <w:rPr>
          <w:b/>
          <w:bCs/>
        </w:rPr>
        <w:lastRenderedPageBreak/>
        <w:t xml:space="preserve">The Committee may wish to </w:t>
      </w:r>
      <w:r w:rsidR="00E031B0" w:rsidRPr="22E15799">
        <w:rPr>
          <w:b/>
          <w:bCs/>
        </w:rPr>
        <w:t>recommend that the</w:t>
      </w:r>
      <w:r w:rsidRPr="22E15799">
        <w:rPr>
          <w:b/>
          <w:bCs/>
        </w:rPr>
        <w:t xml:space="preserve"> UK </w:t>
      </w:r>
      <w:r w:rsidR="00E031B0" w:rsidRPr="22E15799">
        <w:rPr>
          <w:b/>
          <w:bCs/>
        </w:rPr>
        <w:t>takes effective steps</w:t>
      </w:r>
      <w:r w:rsidRPr="22E15799">
        <w:rPr>
          <w:b/>
          <w:bCs/>
        </w:rPr>
        <w:t xml:space="preserve"> to ensure that a robust sexual orientation strategy and action plan for NI is promptly published</w:t>
      </w:r>
      <w:r w:rsidR="00EE46E1" w:rsidRPr="22E15799">
        <w:rPr>
          <w:b/>
          <w:bCs/>
        </w:rPr>
        <w:t xml:space="preserve">, </w:t>
      </w:r>
      <w:r w:rsidRPr="22E15799">
        <w:rPr>
          <w:b/>
          <w:bCs/>
        </w:rPr>
        <w:t>implemented</w:t>
      </w:r>
      <w:r w:rsidR="00EE46E1" w:rsidRPr="22E15799">
        <w:rPr>
          <w:b/>
          <w:bCs/>
        </w:rPr>
        <w:t>, monitored and adequately resourced.</w:t>
      </w:r>
    </w:p>
    <w:p w14:paraId="2BEB52ED" w14:textId="77777777" w:rsidR="00641FCD" w:rsidRDefault="00641FCD" w:rsidP="003A6C64">
      <w:pPr>
        <w:pStyle w:val="ListParagraph"/>
        <w:contextualSpacing w:val="0"/>
        <w:rPr>
          <w:bCs/>
        </w:rPr>
      </w:pPr>
    </w:p>
    <w:p w14:paraId="755888BD" w14:textId="3BBF2847" w:rsidR="00641FCD" w:rsidRDefault="00641FCD" w:rsidP="00E430F7">
      <w:pPr>
        <w:pStyle w:val="Heading2"/>
        <w:spacing w:after="240" w:line="288" w:lineRule="auto"/>
      </w:pPr>
      <w:bookmarkStart w:id="12" w:name="_Toc156900986"/>
      <w:r>
        <w:t xml:space="preserve">Conversion </w:t>
      </w:r>
      <w:r w:rsidR="00504A08">
        <w:t>t</w:t>
      </w:r>
      <w:r>
        <w:t>herapy</w:t>
      </w:r>
      <w:bookmarkEnd w:id="12"/>
      <w:r>
        <w:t xml:space="preserve"> </w:t>
      </w:r>
    </w:p>
    <w:p w14:paraId="5AD72D80" w14:textId="5C610A6F" w:rsidR="00641FCD" w:rsidRPr="00641FCD" w:rsidRDefault="00652D53" w:rsidP="001701C5">
      <w:pPr>
        <w:pStyle w:val="Default"/>
        <w:numPr>
          <w:ilvl w:val="1"/>
          <w:numId w:val="66"/>
        </w:numPr>
        <w:spacing w:line="288" w:lineRule="auto"/>
        <w:rPr>
          <w:bCs/>
        </w:rPr>
      </w:pPr>
      <w:r w:rsidRPr="00641FCD">
        <w:t xml:space="preserve">The </w:t>
      </w:r>
      <w:r w:rsidR="007758C8">
        <w:t xml:space="preserve">Expert Advisory Panel on a Lesbian, Gay, Bisexual, Transgender, Queer (or Questioning), Intersex+ Strategy for NI </w:t>
      </w:r>
      <w:r w:rsidRPr="00641FCD">
        <w:t xml:space="preserve">concluded that </w:t>
      </w:r>
      <w:r w:rsidR="007758C8">
        <w:t>conversion therapy</w:t>
      </w:r>
      <w:r w:rsidRPr="00641FCD">
        <w:t xml:space="preserve"> should be made illegal.</w:t>
      </w:r>
      <w:r w:rsidRPr="002F7566">
        <w:rPr>
          <w:rStyle w:val="FootnoteReference"/>
        </w:rPr>
        <w:footnoteReference w:id="37"/>
      </w:r>
      <w:r w:rsidRPr="00641FCD">
        <w:t xml:space="preserve"> </w:t>
      </w:r>
    </w:p>
    <w:p w14:paraId="7596017E" w14:textId="77777777" w:rsidR="00641FCD" w:rsidRDefault="00641FCD" w:rsidP="003A6C64">
      <w:pPr>
        <w:pStyle w:val="ListParagraph"/>
        <w:contextualSpacing w:val="0"/>
      </w:pPr>
    </w:p>
    <w:p w14:paraId="6C533981" w14:textId="2EC81FCA" w:rsidR="00652D53" w:rsidRPr="007C480C" w:rsidRDefault="00652D53" w:rsidP="540C153B">
      <w:pPr>
        <w:pStyle w:val="Default"/>
        <w:numPr>
          <w:ilvl w:val="1"/>
          <w:numId w:val="66"/>
        </w:numPr>
        <w:spacing w:line="288" w:lineRule="auto"/>
        <w:rPr>
          <w:bCs/>
        </w:rPr>
      </w:pPr>
      <w:r w:rsidRPr="002F7566">
        <w:t xml:space="preserve">In 2023, the Department for Communities was developing </w:t>
      </w:r>
      <w:r w:rsidR="00576666">
        <w:t>proposals</w:t>
      </w:r>
      <w:r w:rsidRPr="002F7566">
        <w:t xml:space="preserve"> to </w:t>
      </w:r>
      <w:r w:rsidR="118094F3" w:rsidRPr="002F7566">
        <w:t>prohibit</w:t>
      </w:r>
      <w:r w:rsidRPr="002F7566">
        <w:t xml:space="preserve"> conversion therapy </w:t>
      </w:r>
      <w:r w:rsidR="00FC1FA0">
        <w:t>in NI</w:t>
      </w:r>
      <w:r w:rsidRPr="002F7566">
        <w:t>.</w:t>
      </w:r>
      <w:r w:rsidRPr="002F7566">
        <w:rPr>
          <w:rStyle w:val="FootnoteReference"/>
        </w:rPr>
        <w:footnoteReference w:id="38"/>
      </w:r>
      <w:r w:rsidRPr="002F7566">
        <w:t xml:space="preserve"> </w:t>
      </w:r>
      <w:r w:rsidR="009048DF">
        <w:t xml:space="preserve">However, </w:t>
      </w:r>
      <w:r w:rsidRPr="002F7566">
        <w:t xml:space="preserve">progress </w:t>
      </w:r>
      <w:r w:rsidR="004D5D69">
        <w:t>was hindered by the suspension of the</w:t>
      </w:r>
      <w:r w:rsidRPr="002F7566">
        <w:t xml:space="preserve"> NI Executive and Assembly. </w:t>
      </w:r>
    </w:p>
    <w:p w14:paraId="496D6127" w14:textId="77777777" w:rsidR="007C480C" w:rsidRDefault="007C480C" w:rsidP="003A6C64">
      <w:pPr>
        <w:pStyle w:val="ListParagraph"/>
        <w:contextualSpacing w:val="0"/>
        <w:rPr>
          <w:bCs/>
        </w:rPr>
      </w:pPr>
    </w:p>
    <w:p w14:paraId="006EF09D" w14:textId="6BDC6180" w:rsidR="001E2912" w:rsidRDefault="007C480C" w:rsidP="001701C5">
      <w:pPr>
        <w:pStyle w:val="Default"/>
        <w:numPr>
          <w:ilvl w:val="1"/>
          <w:numId w:val="66"/>
        </w:numPr>
        <w:spacing w:line="288" w:lineRule="auto"/>
        <w:rPr>
          <w:b/>
        </w:rPr>
      </w:pPr>
      <w:r w:rsidRPr="22E15799">
        <w:rPr>
          <w:b/>
          <w:bCs/>
        </w:rPr>
        <w:t xml:space="preserve">The Committee may wish to </w:t>
      </w:r>
      <w:r w:rsidR="002B6256" w:rsidRPr="22E15799">
        <w:rPr>
          <w:b/>
          <w:bCs/>
        </w:rPr>
        <w:t>recommend that the</w:t>
      </w:r>
      <w:r w:rsidRPr="22E15799">
        <w:rPr>
          <w:b/>
          <w:bCs/>
        </w:rPr>
        <w:t xml:space="preserve"> UK </w:t>
      </w:r>
      <w:r w:rsidR="002B6256" w:rsidRPr="22E15799">
        <w:rPr>
          <w:b/>
          <w:bCs/>
        </w:rPr>
        <w:t>take</w:t>
      </w:r>
      <w:r w:rsidR="00A13CE5" w:rsidRPr="22E15799">
        <w:rPr>
          <w:b/>
          <w:bCs/>
        </w:rPr>
        <w:t>s</w:t>
      </w:r>
      <w:r w:rsidR="002B6256" w:rsidRPr="22E15799">
        <w:rPr>
          <w:b/>
          <w:bCs/>
        </w:rPr>
        <w:t xml:space="preserve"> effective steps to</w:t>
      </w:r>
      <w:r w:rsidRPr="22E15799">
        <w:rPr>
          <w:b/>
          <w:bCs/>
        </w:rPr>
        <w:t xml:space="preserve"> introduce legislation in NI </w:t>
      </w:r>
      <w:r w:rsidR="003C7690" w:rsidRPr="22E15799">
        <w:rPr>
          <w:b/>
          <w:bCs/>
        </w:rPr>
        <w:t xml:space="preserve">that defines and </w:t>
      </w:r>
      <w:r w:rsidRPr="22E15799">
        <w:rPr>
          <w:b/>
          <w:bCs/>
        </w:rPr>
        <w:t>ban</w:t>
      </w:r>
      <w:r w:rsidR="003C7690" w:rsidRPr="22E15799">
        <w:rPr>
          <w:b/>
          <w:bCs/>
        </w:rPr>
        <w:t>s</w:t>
      </w:r>
      <w:r w:rsidRPr="22E15799">
        <w:rPr>
          <w:b/>
          <w:bCs/>
        </w:rPr>
        <w:t xml:space="preserve"> all practices of conversion therapy</w:t>
      </w:r>
      <w:r w:rsidR="002B6256" w:rsidRPr="22E15799">
        <w:rPr>
          <w:b/>
          <w:bCs/>
        </w:rPr>
        <w:t>.</w:t>
      </w:r>
      <w:r w:rsidR="001E2912" w:rsidRPr="22E15799">
        <w:rPr>
          <w:b/>
          <w:bCs/>
        </w:rPr>
        <w:t xml:space="preserve"> </w:t>
      </w:r>
    </w:p>
    <w:p w14:paraId="07B7EFDE" w14:textId="77777777" w:rsidR="001E2912" w:rsidRDefault="001E2912" w:rsidP="003A6C64">
      <w:pPr>
        <w:pStyle w:val="ListParagraph"/>
        <w:contextualSpacing w:val="0"/>
        <w:rPr>
          <w:b/>
        </w:rPr>
      </w:pPr>
    </w:p>
    <w:p w14:paraId="5FDC07F0" w14:textId="7A1CEAEC" w:rsidR="001E2912" w:rsidRPr="003C7690" w:rsidRDefault="008B4DAB" w:rsidP="00E430F7">
      <w:pPr>
        <w:pStyle w:val="Heading2"/>
        <w:spacing w:after="240" w:line="288" w:lineRule="auto"/>
      </w:pPr>
      <w:bookmarkStart w:id="13" w:name="_Toc156900987"/>
      <w:r>
        <w:t>Hate crimes</w:t>
      </w:r>
      <w:bookmarkEnd w:id="13"/>
      <w:r>
        <w:t xml:space="preserve"> </w:t>
      </w:r>
    </w:p>
    <w:p w14:paraId="58EE64EA" w14:textId="43878E59" w:rsidR="00914BCA" w:rsidRPr="00914BCA" w:rsidRDefault="00914BCA" w:rsidP="22E15799">
      <w:pPr>
        <w:pStyle w:val="ListParagraph"/>
        <w:numPr>
          <w:ilvl w:val="1"/>
          <w:numId w:val="66"/>
        </w:numPr>
        <w:rPr>
          <w:color w:val="000000"/>
        </w:rPr>
      </w:pPr>
      <w:r w:rsidRPr="00914BCA">
        <w:rPr>
          <w:color w:val="000000"/>
        </w:rPr>
        <w:t>In 2022/2023, there were 3,151 recorded hate motivated incidents and 2,265 recorded hate crime</w:t>
      </w:r>
      <w:r w:rsidR="54567136" w:rsidRPr="00914BCA">
        <w:rPr>
          <w:color w:val="000000"/>
        </w:rPr>
        <w:t>s</w:t>
      </w:r>
      <w:r w:rsidR="00A30F27">
        <w:rPr>
          <w:color w:val="000000"/>
        </w:rPr>
        <w:t xml:space="preserve"> in NI</w:t>
      </w:r>
      <w:r w:rsidRPr="00914BCA">
        <w:rPr>
          <w:color w:val="000000"/>
        </w:rPr>
        <w:t xml:space="preserve">, an increase from </w:t>
      </w:r>
      <w:r w:rsidR="00994122">
        <w:rPr>
          <w:color w:val="000000"/>
        </w:rPr>
        <w:t>2021/2022</w:t>
      </w:r>
      <w:r w:rsidRPr="00914BCA">
        <w:rPr>
          <w:color w:val="000000"/>
        </w:rPr>
        <w:t>.</w:t>
      </w:r>
      <w:r>
        <w:rPr>
          <w:rStyle w:val="FootnoteReference"/>
          <w:color w:val="000000"/>
        </w:rPr>
        <w:footnoteReference w:id="39"/>
      </w:r>
      <w:r w:rsidRPr="00914BCA">
        <w:rPr>
          <w:color w:val="000000"/>
        </w:rPr>
        <w:t xml:space="preserve"> The number of hate crimes with a disability motivation </w:t>
      </w:r>
      <w:r w:rsidR="00EE6A32">
        <w:rPr>
          <w:color w:val="000000"/>
        </w:rPr>
        <w:t xml:space="preserve">in NI </w:t>
      </w:r>
      <w:r w:rsidRPr="00914BCA">
        <w:rPr>
          <w:color w:val="000000"/>
        </w:rPr>
        <w:t>reached the highest level since the recording of these motivations began in 2005/2006.</w:t>
      </w:r>
      <w:r w:rsidR="00456F72">
        <w:rPr>
          <w:color w:val="000000"/>
        </w:rPr>
        <w:t xml:space="preserve"> </w:t>
      </w:r>
      <w:r w:rsidRPr="00914BCA">
        <w:rPr>
          <w:color w:val="000000"/>
        </w:rPr>
        <w:t>In 2023, there have also been increased reports of ‘organised’ hate crimes in NI, particularly racist hate crimes.</w:t>
      </w:r>
      <w:r>
        <w:rPr>
          <w:rStyle w:val="FootnoteReference"/>
          <w:color w:val="000000"/>
        </w:rPr>
        <w:footnoteReference w:id="40"/>
      </w:r>
    </w:p>
    <w:p w14:paraId="5B24523E" w14:textId="77777777" w:rsidR="008B4DAB" w:rsidRPr="008B4DAB" w:rsidRDefault="008B4DAB" w:rsidP="003A6C64">
      <w:pPr>
        <w:pStyle w:val="Default"/>
        <w:spacing w:line="288" w:lineRule="auto"/>
        <w:rPr>
          <w:bCs/>
        </w:rPr>
      </w:pPr>
    </w:p>
    <w:p w14:paraId="504D0B0C" w14:textId="7F67027F" w:rsidR="00695BFA" w:rsidRDefault="00445DC6" w:rsidP="001701C5">
      <w:pPr>
        <w:pStyle w:val="Default"/>
        <w:numPr>
          <w:ilvl w:val="1"/>
          <w:numId w:val="66"/>
        </w:numPr>
        <w:spacing w:line="288" w:lineRule="auto"/>
        <w:rPr>
          <w:b/>
        </w:rPr>
      </w:pPr>
      <w:r w:rsidRPr="22E15799">
        <w:t>Following an Independent Hate Crime Review</w:t>
      </w:r>
      <w:r w:rsidR="000823A9" w:rsidRPr="22E15799">
        <w:t xml:space="preserve"> report,</w:t>
      </w:r>
      <w:r w:rsidR="00A71819" w:rsidRPr="22E15799">
        <w:rPr>
          <w:rStyle w:val="FootnoteReference"/>
        </w:rPr>
        <w:footnoteReference w:id="41"/>
      </w:r>
      <w:r w:rsidR="00A71819" w:rsidDel="00A71819">
        <w:rPr>
          <w:bCs/>
        </w:rPr>
        <w:t xml:space="preserve"> </w:t>
      </w:r>
      <w:r w:rsidR="000823A9" w:rsidRPr="22E15799">
        <w:t>w</w:t>
      </w:r>
      <w:r w:rsidR="00094C3C" w:rsidRPr="22E15799">
        <w:t xml:space="preserve">ork is continuing on drafting a Hate Crime Bill and </w:t>
      </w:r>
      <w:r w:rsidR="00B45CD7" w:rsidRPr="22E15799">
        <w:t xml:space="preserve">related </w:t>
      </w:r>
      <w:r w:rsidR="00094C3C" w:rsidRPr="22E15799">
        <w:t>polic</w:t>
      </w:r>
      <w:r w:rsidR="00B45CD7" w:rsidRPr="22E15799">
        <w:t>ies</w:t>
      </w:r>
      <w:r w:rsidR="009B5A7D">
        <w:t>.</w:t>
      </w:r>
      <w:r w:rsidR="003562B3" w:rsidRPr="22E15799">
        <w:rPr>
          <w:rStyle w:val="FootnoteReference"/>
        </w:rPr>
        <w:footnoteReference w:id="42"/>
      </w:r>
      <w:r w:rsidR="00094C3C" w:rsidRPr="22E15799">
        <w:t xml:space="preserve"> </w:t>
      </w:r>
      <w:r w:rsidR="009B5A7D">
        <w:t>H</w:t>
      </w:r>
      <w:r w:rsidR="00094C3C" w:rsidRPr="22E15799">
        <w:t>owever</w:t>
      </w:r>
      <w:r w:rsidR="00456F72" w:rsidRPr="008B4DAB">
        <w:rPr>
          <w:bCs/>
        </w:rPr>
        <w:t>,</w:t>
      </w:r>
      <w:r w:rsidR="00094C3C" w:rsidRPr="22E15799">
        <w:t xml:space="preserve"> implementation</w:t>
      </w:r>
      <w:r w:rsidR="004D5D69">
        <w:t xml:space="preserve"> </w:t>
      </w:r>
      <w:r w:rsidR="00350AD5">
        <w:t>was</w:t>
      </w:r>
      <w:r w:rsidR="004D5D69">
        <w:t xml:space="preserve"> hindered by the suspension of the</w:t>
      </w:r>
      <w:r w:rsidR="00094C3C" w:rsidRPr="22E15799">
        <w:t xml:space="preserve"> NI Executive and Assembly.</w:t>
      </w:r>
      <w:r w:rsidR="00094C3C" w:rsidRPr="00C9591F">
        <w:rPr>
          <w:vertAlign w:val="superscript"/>
        </w:rPr>
        <w:footnoteReference w:id="43"/>
      </w:r>
      <w:r w:rsidR="007E7D20" w:rsidRPr="008B4DAB">
        <w:rPr>
          <w:bCs/>
        </w:rPr>
        <w:t xml:space="preserve"> </w:t>
      </w:r>
    </w:p>
    <w:p w14:paraId="36ADA5E0" w14:textId="77777777" w:rsidR="00695BFA" w:rsidRDefault="00695BFA" w:rsidP="00695BFA">
      <w:pPr>
        <w:pStyle w:val="ListParagraph"/>
        <w:rPr>
          <w:b/>
        </w:rPr>
      </w:pPr>
    </w:p>
    <w:p w14:paraId="7EC0C42D" w14:textId="39734B74" w:rsidR="00B13DC1" w:rsidRPr="00695BFA" w:rsidRDefault="00B13DC1" w:rsidP="001701C5">
      <w:pPr>
        <w:pStyle w:val="Default"/>
        <w:numPr>
          <w:ilvl w:val="1"/>
          <w:numId w:val="66"/>
        </w:numPr>
        <w:spacing w:line="288" w:lineRule="auto"/>
        <w:rPr>
          <w:b/>
        </w:rPr>
      </w:pPr>
      <w:r w:rsidRPr="22E15799">
        <w:rPr>
          <w:b/>
          <w:bCs/>
        </w:rPr>
        <w:t xml:space="preserve">The Committee may wish to recommend that the UK </w:t>
      </w:r>
      <w:r w:rsidR="00034C19" w:rsidRPr="22E15799">
        <w:rPr>
          <w:b/>
          <w:bCs/>
        </w:rPr>
        <w:t>take</w:t>
      </w:r>
      <w:r w:rsidR="00071087">
        <w:rPr>
          <w:b/>
          <w:bCs/>
        </w:rPr>
        <w:t>s</w:t>
      </w:r>
      <w:r w:rsidR="00034C19" w:rsidRPr="22E15799">
        <w:rPr>
          <w:b/>
          <w:bCs/>
        </w:rPr>
        <w:t xml:space="preserve"> effective steps to </w:t>
      </w:r>
      <w:r w:rsidRPr="22E15799">
        <w:rPr>
          <w:b/>
          <w:bCs/>
        </w:rPr>
        <w:t>promptly enhance NI hate crime legislation, ensuring alignment with race and community relations strategies for effective investigation, prosecution, and support for victims.</w:t>
      </w:r>
    </w:p>
    <w:p w14:paraId="79CE54E0" w14:textId="77777777" w:rsidR="00BF3169" w:rsidRPr="003A6C64" w:rsidRDefault="00BF3169" w:rsidP="003A6C64">
      <w:pPr>
        <w:rPr>
          <w:b/>
        </w:rPr>
      </w:pPr>
    </w:p>
    <w:p w14:paraId="51B687BC" w14:textId="6EC07159" w:rsidR="00D15C10" w:rsidRDefault="00D15C10" w:rsidP="00E430F7">
      <w:pPr>
        <w:pStyle w:val="Heading2"/>
        <w:spacing w:after="240" w:line="288" w:lineRule="auto"/>
      </w:pPr>
      <w:bookmarkStart w:id="14" w:name="_Toc156900988"/>
      <w:r>
        <w:t>Racial equality</w:t>
      </w:r>
      <w:bookmarkEnd w:id="14"/>
      <w:r>
        <w:t xml:space="preserve"> </w:t>
      </w:r>
    </w:p>
    <w:p w14:paraId="67EF5E97" w14:textId="1F7120E2" w:rsidR="00D15C10" w:rsidRPr="009D77F8" w:rsidRDefault="005B296D" w:rsidP="001701C5">
      <w:pPr>
        <w:pStyle w:val="Default"/>
        <w:numPr>
          <w:ilvl w:val="1"/>
          <w:numId w:val="66"/>
        </w:numPr>
        <w:spacing w:line="288" w:lineRule="auto"/>
      </w:pPr>
      <w:r w:rsidRPr="00FD2A49">
        <w:t>In 2015, the Executive Office committed to an independent review of the progress of implementation of the Racial Equality Strategy 2015-2025.</w:t>
      </w:r>
      <w:r w:rsidRPr="00FD2A49">
        <w:rPr>
          <w:vertAlign w:val="superscript"/>
        </w:rPr>
        <w:footnoteReference w:id="44"/>
      </w:r>
      <w:r w:rsidRPr="00FD2A49">
        <w:t xml:space="preserve"> </w:t>
      </w:r>
      <w:r w:rsidR="00121843" w:rsidRPr="00FD2A49">
        <w:t xml:space="preserve">In 2023, a </w:t>
      </w:r>
      <w:r w:rsidR="00564F4F">
        <w:t xml:space="preserve">public </w:t>
      </w:r>
      <w:r w:rsidR="00121843" w:rsidRPr="00FD2A49">
        <w:t xml:space="preserve">consultation </w:t>
      </w:r>
      <w:r w:rsidR="734EFCE6">
        <w:t>inviting views</w:t>
      </w:r>
      <w:r w:rsidR="00324A95">
        <w:rPr>
          <w:rStyle w:val="FootnoteReference"/>
        </w:rPr>
        <w:footnoteReference w:id="45"/>
      </w:r>
      <w:r w:rsidR="734EFCE6">
        <w:t xml:space="preserve"> on</w:t>
      </w:r>
      <w:r w:rsidR="00121843" w:rsidRPr="00FD2A49">
        <w:t xml:space="preserve"> the Race Relations (NI) Order 1997</w:t>
      </w:r>
      <w:r w:rsidR="00682B38">
        <w:t xml:space="preserve"> was conducted.</w:t>
      </w:r>
      <w:r w:rsidR="00121843" w:rsidRPr="00FD2A49">
        <w:rPr>
          <w:vertAlign w:val="superscript"/>
        </w:rPr>
        <w:footnoteReference w:id="46"/>
      </w:r>
      <w:r w:rsidR="00903269">
        <w:t xml:space="preserve"> The necessary legislative change </w:t>
      </w:r>
      <w:r w:rsidR="004D5D69">
        <w:t>was hindered by the suspension of the</w:t>
      </w:r>
      <w:r w:rsidR="00903269">
        <w:t xml:space="preserve"> NI Executive and Assembly.</w:t>
      </w:r>
    </w:p>
    <w:p w14:paraId="014F1DEF" w14:textId="77777777" w:rsidR="009D77F8" w:rsidRPr="009D77F8" w:rsidRDefault="009D77F8" w:rsidP="009D77F8">
      <w:pPr>
        <w:pStyle w:val="Default"/>
        <w:spacing w:line="288" w:lineRule="auto"/>
        <w:ind w:left="851"/>
        <w:rPr>
          <w:bCs/>
        </w:rPr>
      </w:pPr>
    </w:p>
    <w:p w14:paraId="04E3F553" w14:textId="6B3CBF84" w:rsidR="00875559" w:rsidRPr="00875559" w:rsidRDefault="00875559" w:rsidP="001701C5">
      <w:pPr>
        <w:pStyle w:val="Default"/>
        <w:numPr>
          <w:ilvl w:val="1"/>
          <w:numId w:val="66"/>
        </w:numPr>
        <w:spacing w:line="288" w:lineRule="auto"/>
        <w:rPr>
          <w:bCs/>
        </w:rPr>
      </w:pPr>
      <w:r w:rsidRPr="00DF188D">
        <w:t>In 2022, the E</w:t>
      </w:r>
      <w:r>
        <w:t>U</w:t>
      </w:r>
      <w:r w:rsidRPr="00DF188D">
        <w:t xml:space="preserve"> Commission launched a public consultation, to pinpoint potential gaps in the Racial Equality Directive</w:t>
      </w:r>
      <w:r>
        <w:t>,</w:t>
      </w:r>
      <w:r w:rsidRPr="007478BB">
        <w:rPr>
          <w:rStyle w:val="FootnoteReference"/>
        </w:rPr>
        <w:footnoteReference w:id="47"/>
      </w:r>
      <w:r w:rsidRPr="00DF188D">
        <w:t xml:space="preserve"> </w:t>
      </w:r>
      <w:r w:rsidRPr="007478BB">
        <w:t xml:space="preserve">which is specified in Annex 1 to the Windsor </w:t>
      </w:r>
      <w:r w:rsidR="00324A95" w:rsidRPr="007478BB">
        <w:t>Framework</w:t>
      </w:r>
      <w:r w:rsidR="00324A95">
        <w:t xml:space="preserve"> and</w:t>
      </w:r>
      <w:r w:rsidRPr="00DF188D">
        <w:t xml:space="preserve"> identify measures to address these gaps.</w:t>
      </w:r>
      <w:r w:rsidRPr="00DF188D">
        <w:rPr>
          <w:vertAlign w:val="superscript"/>
        </w:rPr>
        <w:footnoteReference w:id="48"/>
      </w:r>
      <w:r w:rsidRPr="00DF188D">
        <w:t xml:space="preserve"> </w:t>
      </w:r>
      <w:r>
        <w:t xml:space="preserve">To the extent that any amendments to this Directive brought forward by the EU enhance </w:t>
      </w:r>
      <w:r>
        <w:lastRenderedPageBreak/>
        <w:t xml:space="preserve">protections, NI equality law should be amended to keep pace with this change. </w:t>
      </w:r>
    </w:p>
    <w:p w14:paraId="1A7AEF1F" w14:textId="77777777" w:rsidR="00951234" w:rsidRPr="00951234" w:rsidRDefault="00951234" w:rsidP="00C97994">
      <w:pPr>
        <w:pStyle w:val="Default"/>
        <w:spacing w:line="288" w:lineRule="auto"/>
        <w:ind w:left="0"/>
        <w:rPr>
          <w:bCs/>
        </w:rPr>
      </w:pPr>
    </w:p>
    <w:p w14:paraId="09F63B7C" w14:textId="7DF4D513" w:rsidR="00AF2515" w:rsidRPr="004850D8" w:rsidRDefault="00951234" w:rsidP="004850D8">
      <w:pPr>
        <w:pStyle w:val="Default"/>
        <w:numPr>
          <w:ilvl w:val="1"/>
          <w:numId w:val="66"/>
        </w:numPr>
        <w:spacing w:line="288" w:lineRule="auto"/>
        <w:rPr>
          <w:bCs/>
        </w:rPr>
      </w:pPr>
      <w:r w:rsidRPr="22E15799">
        <w:rPr>
          <w:b/>
          <w:bCs/>
        </w:rPr>
        <w:t>The Committee may wish to recommend that</w:t>
      </w:r>
      <w:r w:rsidR="002A5F7C" w:rsidRPr="22E15799">
        <w:rPr>
          <w:b/>
          <w:bCs/>
        </w:rPr>
        <w:t xml:space="preserve"> the </w:t>
      </w:r>
      <w:r w:rsidR="00C27280" w:rsidRPr="22E15799">
        <w:rPr>
          <w:b/>
          <w:bCs/>
        </w:rPr>
        <w:t xml:space="preserve">UK takes effective steps to ensure that </w:t>
      </w:r>
      <w:r w:rsidR="002A5F7C" w:rsidRPr="22E15799">
        <w:rPr>
          <w:b/>
          <w:bCs/>
        </w:rPr>
        <w:t xml:space="preserve">implementation of </w:t>
      </w:r>
      <w:r w:rsidR="004D649F" w:rsidRPr="22E15799">
        <w:rPr>
          <w:b/>
          <w:bCs/>
        </w:rPr>
        <w:t>the Racial Equality Strategy 2015-2025</w:t>
      </w:r>
      <w:r w:rsidR="002A5F7C" w:rsidRPr="22E15799">
        <w:rPr>
          <w:b/>
          <w:bCs/>
        </w:rPr>
        <w:t xml:space="preserve"> for NI is given priority</w:t>
      </w:r>
      <w:r w:rsidR="00A822F7" w:rsidRPr="22E15799">
        <w:rPr>
          <w:b/>
          <w:bCs/>
        </w:rPr>
        <w:t xml:space="preserve">. </w:t>
      </w:r>
    </w:p>
    <w:p w14:paraId="104517F5" w14:textId="77777777" w:rsidR="00D15C10" w:rsidRDefault="00D15C10" w:rsidP="003A6C64">
      <w:pPr>
        <w:pStyle w:val="ListParagraph"/>
        <w:contextualSpacing w:val="0"/>
        <w:rPr>
          <w:bCs/>
        </w:rPr>
      </w:pPr>
    </w:p>
    <w:p w14:paraId="06B3F92B" w14:textId="4A3B0E3E" w:rsidR="00CB7228" w:rsidRPr="00D15C10" w:rsidRDefault="00D15C10" w:rsidP="00E430F7">
      <w:pPr>
        <w:pStyle w:val="Heading2"/>
        <w:rPr>
          <w:bCs/>
        </w:rPr>
      </w:pPr>
      <w:bookmarkStart w:id="15" w:name="_Toc156900989"/>
      <w:r>
        <w:t>Sectarianism</w:t>
      </w:r>
      <w:bookmarkEnd w:id="15"/>
      <w:r>
        <w:t xml:space="preserve"> </w:t>
      </w:r>
      <w:r w:rsidR="00393EBF">
        <w:t xml:space="preserve"> </w:t>
      </w:r>
    </w:p>
    <w:p w14:paraId="60B66F1B" w14:textId="6BABD656" w:rsidR="00393EBF" w:rsidRPr="0003274C" w:rsidRDefault="00393EBF" w:rsidP="001701C5">
      <w:pPr>
        <w:pStyle w:val="ListParagraph"/>
        <w:numPr>
          <w:ilvl w:val="1"/>
          <w:numId w:val="66"/>
        </w:numPr>
        <w:rPr>
          <w:color w:val="000000"/>
        </w:rPr>
      </w:pPr>
      <w:r w:rsidRPr="0003274C">
        <w:rPr>
          <w:color w:val="000000"/>
        </w:rPr>
        <w:t>In 2022/2023, 1,238 sectarian incidents and 921 sectarian crimes were recorded.</w:t>
      </w:r>
      <w:r w:rsidR="00102ABB">
        <w:rPr>
          <w:rStyle w:val="FootnoteReference"/>
          <w:color w:val="000000"/>
        </w:rPr>
        <w:footnoteReference w:id="49"/>
      </w:r>
      <w:r w:rsidRPr="0003274C">
        <w:rPr>
          <w:color w:val="000000"/>
        </w:rPr>
        <w:t xml:space="preserve"> This represents an increase from 1067 recorded incidents and 780 crimes in 2021/2022.</w:t>
      </w:r>
      <w:r w:rsidR="00102ABB">
        <w:rPr>
          <w:rStyle w:val="FootnoteReference"/>
          <w:color w:val="000000"/>
        </w:rPr>
        <w:footnoteReference w:id="50"/>
      </w:r>
      <w:r w:rsidRPr="0003274C">
        <w:rPr>
          <w:color w:val="000000"/>
        </w:rPr>
        <w:t xml:space="preserve"> The level of sectarian incidents in 2022/2023 is the second highest financial year recorded since 2015/2016.</w:t>
      </w:r>
      <w:r>
        <w:rPr>
          <w:rStyle w:val="FootnoteReference"/>
          <w:color w:val="000000"/>
        </w:rPr>
        <w:footnoteReference w:id="51"/>
      </w:r>
    </w:p>
    <w:p w14:paraId="664C7A0D" w14:textId="77777777" w:rsidR="00393EBF" w:rsidRDefault="00393EBF" w:rsidP="003A6C64">
      <w:pPr>
        <w:pStyle w:val="ListParagraph"/>
        <w:contextualSpacing w:val="0"/>
      </w:pPr>
    </w:p>
    <w:p w14:paraId="20A9A312" w14:textId="63365BB9" w:rsidR="00FF645C" w:rsidRPr="00FF645C" w:rsidRDefault="0079452B" w:rsidP="001701C5">
      <w:pPr>
        <w:pStyle w:val="Default"/>
        <w:numPr>
          <w:ilvl w:val="1"/>
          <w:numId w:val="66"/>
        </w:numPr>
        <w:spacing w:line="288" w:lineRule="auto"/>
        <w:rPr>
          <w:bCs/>
        </w:rPr>
      </w:pPr>
      <w:r>
        <w:t>The New Decade, New Approach Agreement 2020 recognised “the need to tackle sectarianism… in seeking to eliminate discrimination… [and] to see sectarianism given legal expression as a hate crime”.</w:t>
      </w:r>
      <w:r>
        <w:rPr>
          <w:rStyle w:val="FootnoteReference"/>
        </w:rPr>
        <w:footnoteReference w:id="52"/>
      </w:r>
      <w:r>
        <w:t xml:space="preserve"> </w:t>
      </w:r>
      <w:r w:rsidR="009B57A4" w:rsidRPr="22E15799">
        <w:t xml:space="preserve">In 2021, the Department of Justice, in response to </w:t>
      </w:r>
      <w:r>
        <w:t>a recommendation from Judge Marrinan,</w:t>
      </w:r>
      <w:r>
        <w:rPr>
          <w:rStyle w:val="FootnoteReference"/>
        </w:rPr>
        <w:footnoteReference w:id="53"/>
      </w:r>
      <w:r>
        <w:t xml:space="preserve"> </w:t>
      </w:r>
      <w:r w:rsidR="00121843" w:rsidRPr="0093563A">
        <w:t xml:space="preserve">agreed in principle </w:t>
      </w:r>
      <w:r w:rsidR="009B57A4" w:rsidRPr="22E15799">
        <w:t>to define</w:t>
      </w:r>
      <w:r w:rsidR="00121843" w:rsidRPr="0093563A">
        <w:t xml:space="preserve"> sectarian </w:t>
      </w:r>
      <w:r w:rsidR="009B57A4" w:rsidRPr="22E15799">
        <w:t>offen</w:t>
      </w:r>
      <w:r w:rsidR="00E31B0D" w:rsidRPr="22E15799">
        <w:t>c</w:t>
      </w:r>
      <w:r w:rsidR="009B57A4" w:rsidRPr="22E15799">
        <w:t>es</w:t>
      </w:r>
      <w:r w:rsidR="00121843" w:rsidRPr="0093563A">
        <w:t xml:space="preserve"> in </w:t>
      </w:r>
      <w:r w:rsidR="00C136C9">
        <w:t xml:space="preserve">NI </w:t>
      </w:r>
      <w:r w:rsidR="00121843" w:rsidRPr="0093563A">
        <w:t>legislation.</w:t>
      </w:r>
      <w:r w:rsidR="00121843" w:rsidRPr="0093563A">
        <w:rPr>
          <w:vertAlign w:val="superscript"/>
        </w:rPr>
        <w:footnoteReference w:id="54"/>
      </w:r>
      <w:r w:rsidR="00121843" w:rsidRPr="0093563A">
        <w:t xml:space="preserve"> The Department of Justice also agreed in principle to include a new statutory aggravation for sectarian prejudice (subject to an agreed definition of sectarianism), which could be monitored by the Victims of Crime Commissioner.</w:t>
      </w:r>
      <w:r w:rsidR="00121843" w:rsidRPr="0093563A">
        <w:rPr>
          <w:vertAlign w:val="superscript"/>
        </w:rPr>
        <w:footnoteReference w:id="55"/>
      </w:r>
      <w:r w:rsidR="00121843" w:rsidRPr="0093563A">
        <w:t xml:space="preserve"> </w:t>
      </w:r>
    </w:p>
    <w:p w14:paraId="109BA001" w14:textId="77777777" w:rsidR="00AF0EA3" w:rsidRPr="00FF645C" w:rsidRDefault="00AF0EA3" w:rsidP="003A6C64">
      <w:pPr>
        <w:pStyle w:val="Default"/>
        <w:spacing w:line="288" w:lineRule="auto"/>
        <w:ind w:left="1429"/>
        <w:rPr>
          <w:bCs/>
        </w:rPr>
      </w:pPr>
    </w:p>
    <w:p w14:paraId="12FCE344" w14:textId="1FE087B6" w:rsidR="00FF645C" w:rsidRDefault="00486074" w:rsidP="001701C5">
      <w:pPr>
        <w:pStyle w:val="Default"/>
        <w:numPr>
          <w:ilvl w:val="1"/>
          <w:numId w:val="66"/>
        </w:numPr>
        <w:spacing w:line="288" w:lineRule="auto"/>
        <w:rPr>
          <w:bCs/>
        </w:rPr>
      </w:pPr>
      <w:r>
        <w:t>In</w:t>
      </w:r>
      <w:r w:rsidR="00FF645C">
        <w:t xml:space="preserve"> 202</w:t>
      </w:r>
      <w:r w:rsidR="00AC281B">
        <w:t>3</w:t>
      </w:r>
      <w:r w:rsidR="00FF645C">
        <w:t xml:space="preserve">, </w:t>
      </w:r>
      <w:r w:rsidR="00A66635">
        <w:t>the</w:t>
      </w:r>
      <w:r w:rsidR="00FF645C">
        <w:t xml:space="preserve"> Hate Crime Bill </w:t>
      </w:r>
      <w:r>
        <w:t>was hindered by the suspension of the NI Executive and NI Assembl</w:t>
      </w:r>
      <w:r w:rsidR="00FF645C">
        <w:t>y.</w:t>
      </w:r>
    </w:p>
    <w:p w14:paraId="0AA754F7" w14:textId="77777777" w:rsidR="00FF645C" w:rsidRDefault="00FF645C" w:rsidP="0010732E">
      <w:pPr>
        <w:pStyle w:val="ListParagraph"/>
        <w:rPr>
          <w:b/>
        </w:rPr>
      </w:pPr>
    </w:p>
    <w:p w14:paraId="3E6BE468" w14:textId="478E8E92" w:rsidR="00000F35" w:rsidRPr="00C13462" w:rsidRDefault="00121843" w:rsidP="001701C5">
      <w:pPr>
        <w:pStyle w:val="Default"/>
        <w:numPr>
          <w:ilvl w:val="1"/>
          <w:numId w:val="66"/>
        </w:numPr>
        <w:spacing w:line="288" w:lineRule="auto"/>
        <w:rPr>
          <w:bCs/>
        </w:rPr>
      </w:pPr>
      <w:r w:rsidRPr="22E15799">
        <w:rPr>
          <w:b/>
          <w:bCs/>
        </w:rPr>
        <w:t xml:space="preserve">The Committee may wish to </w:t>
      </w:r>
      <w:r w:rsidR="00EB5A53" w:rsidRPr="22E15799">
        <w:rPr>
          <w:b/>
          <w:bCs/>
        </w:rPr>
        <w:t>recommend that the</w:t>
      </w:r>
      <w:r w:rsidRPr="22E15799">
        <w:rPr>
          <w:b/>
          <w:bCs/>
        </w:rPr>
        <w:t xml:space="preserve"> UK </w:t>
      </w:r>
      <w:r w:rsidR="00EB5A53" w:rsidRPr="22E15799">
        <w:rPr>
          <w:b/>
          <w:bCs/>
        </w:rPr>
        <w:t>takes effective steps to</w:t>
      </w:r>
      <w:r w:rsidR="00CA3A87" w:rsidRPr="22E15799">
        <w:rPr>
          <w:b/>
          <w:bCs/>
        </w:rPr>
        <w:t xml:space="preserve"> </w:t>
      </w:r>
      <w:r w:rsidR="00C13462" w:rsidRPr="22E15799">
        <w:rPr>
          <w:b/>
          <w:bCs/>
        </w:rPr>
        <w:t>i</w:t>
      </w:r>
      <w:r w:rsidR="00000F35" w:rsidRPr="22E15799">
        <w:rPr>
          <w:b/>
          <w:bCs/>
        </w:rPr>
        <w:t>ntroduce statutory definitions of ‘sectarianism’ and ‘good relations’ in NI.</w:t>
      </w:r>
    </w:p>
    <w:p w14:paraId="74916E1C" w14:textId="77777777" w:rsidR="00FF645C" w:rsidRPr="00FF645C" w:rsidRDefault="00FF645C" w:rsidP="003A6C64">
      <w:pPr>
        <w:pStyle w:val="Default"/>
        <w:spacing w:line="288" w:lineRule="auto"/>
        <w:ind w:left="1429"/>
        <w:rPr>
          <w:bCs/>
        </w:rPr>
      </w:pPr>
    </w:p>
    <w:p w14:paraId="153BA09F" w14:textId="3AD32E13" w:rsidR="00FF645C" w:rsidRPr="00FF645C" w:rsidRDefault="00FF645C" w:rsidP="00E430F7">
      <w:pPr>
        <w:pStyle w:val="Heading2"/>
        <w:spacing w:after="240" w:line="288" w:lineRule="auto"/>
      </w:pPr>
      <w:bookmarkStart w:id="16" w:name="_Toc156900990"/>
      <w:r>
        <w:t>Intersex</w:t>
      </w:r>
      <w:bookmarkEnd w:id="16"/>
    </w:p>
    <w:p w14:paraId="4A40A3B0" w14:textId="7DDAA23A" w:rsidR="00FF645C" w:rsidRPr="00FF645C" w:rsidRDefault="00FB5E0C" w:rsidP="001701C5">
      <w:pPr>
        <w:pStyle w:val="Default"/>
        <w:numPr>
          <w:ilvl w:val="1"/>
          <w:numId w:val="66"/>
        </w:numPr>
        <w:spacing w:line="288" w:lineRule="auto"/>
        <w:rPr>
          <w:bCs/>
        </w:rPr>
      </w:pPr>
      <w:r>
        <w:t>There is no legal</w:t>
      </w:r>
      <w:r w:rsidR="00FF645C">
        <w:t xml:space="preserve"> recognition of intersex persons</w:t>
      </w:r>
      <w:r>
        <w:t xml:space="preserve"> in NI</w:t>
      </w:r>
      <w:r w:rsidR="00FF645C">
        <w:t>. There is no provision in the UK</w:t>
      </w:r>
      <w:r w:rsidR="001116BF">
        <w:t>, including NI,</w:t>
      </w:r>
      <w:r w:rsidR="00FF645C">
        <w:t xml:space="preserve"> to register the birth of a child with unspecified or indeterminate sex.</w:t>
      </w:r>
    </w:p>
    <w:p w14:paraId="03098F79" w14:textId="4300487C" w:rsidR="005C6EB2" w:rsidRDefault="005C6EB2" w:rsidP="003A6C64">
      <w:pPr>
        <w:rPr>
          <w:b/>
        </w:rPr>
      </w:pPr>
    </w:p>
    <w:p w14:paraId="50381D86" w14:textId="206BFDA7" w:rsidR="005C6EB2" w:rsidRPr="005C6EB2" w:rsidRDefault="005C6EB2" w:rsidP="001701C5">
      <w:pPr>
        <w:pStyle w:val="ListParagraph"/>
        <w:numPr>
          <w:ilvl w:val="1"/>
          <w:numId w:val="66"/>
        </w:numPr>
        <w:contextualSpacing w:val="0"/>
        <w:rPr>
          <w:b/>
        </w:rPr>
      </w:pPr>
      <w:r w:rsidRPr="22E15799">
        <w:rPr>
          <w:b/>
          <w:bCs/>
        </w:rPr>
        <w:t xml:space="preserve">The Committee may wish to recommend that the UK </w:t>
      </w:r>
      <w:r w:rsidR="00C27280" w:rsidRPr="22E15799">
        <w:rPr>
          <w:b/>
          <w:bCs/>
        </w:rPr>
        <w:t>takes effective steps to promptly</w:t>
      </w:r>
      <w:r w:rsidR="00870242" w:rsidRPr="22E15799">
        <w:rPr>
          <w:b/>
          <w:bCs/>
        </w:rPr>
        <w:t xml:space="preserve"> ensure legal</w:t>
      </w:r>
      <w:r w:rsidRPr="22E15799">
        <w:rPr>
          <w:b/>
          <w:bCs/>
        </w:rPr>
        <w:t xml:space="preserve"> recognition of intersex individuals in NI</w:t>
      </w:r>
      <w:r w:rsidR="00870242" w:rsidRPr="22E15799">
        <w:rPr>
          <w:b/>
          <w:bCs/>
        </w:rPr>
        <w:t>, including expedited</w:t>
      </w:r>
      <w:r w:rsidRPr="22E15799">
        <w:rPr>
          <w:b/>
          <w:bCs/>
        </w:rPr>
        <w:t xml:space="preserve"> provision of birth certificates and official </w:t>
      </w:r>
      <w:r w:rsidR="00870242" w:rsidRPr="22E15799">
        <w:rPr>
          <w:b/>
          <w:bCs/>
        </w:rPr>
        <w:t xml:space="preserve">documents, </w:t>
      </w:r>
      <w:r w:rsidRPr="22E15799">
        <w:rPr>
          <w:b/>
          <w:bCs/>
        </w:rPr>
        <w:t xml:space="preserve">respecting </w:t>
      </w:r>
      <w:r w:rsidR="00870242" w:rsidRPr="22E15799">
        <w:rPr>
          <w:b/>
          <w:bCs/>
        </w:rPr>
        <w:t>their</w:t>
      </w:r>
      <w:r w:rsidRPr="22E15799">
        <w:rPr>
          <w:b/>
          <w:bCs/>
        </w:rPr>
        <w:t xml:space="preserve"> right to self-determination.</w:t>
      </w:r>
    </w:p>
    <w:p w14:paraId="1FD92C21" w14:textId="77777777" w:rsidR="00C85DE6" w:rsidRDefault="00C85DE6" w:rsidP="003A6C64">
      <w:pPr>
        <w:pStyle w:val="ListParagraph"/>
        <w:contextualSpacing w:val="0"/>
        <w:rPr>
          <w:b/>
        </w:rPr>
      </w:pPr>
    </w:p>
    <w:p w14:paraId="578F3D45" w14:textId="2046960E" w:rsidR="00C85DE6" w:rsidRDefault="00C85DE6" w:rsidP="00E430F7">
      <w:pPr>
        <w:pStyle w:val="Heading2"/>
        <w:spacing w:after="240" w:line="288" w:lineRule="auto"/>
        <w:rPr>
          <w:b w:val="0"/>
        </w:rPr>
      </w:pPr>
      <w:bookmarkStart w:id="17" w:name="_Toc156900991"/>
      <w:r>
        <w:t>Refugee Inte</w:t>
      </w:r>
      <w:r w:rsidR="00596837">
        <w:t>gration Strategy</w:t>
      </w:r>
      <w:bookmarkEnd w:id="17"/>
      <w:r w:rsidR="00596837">
        <w:t xml:space="preserve"> </w:t>
      </w:r>
    </w:p>
    <w:p w14:paraId="722398DD" w14:textId="40210D2C" w:rsidR="007F6C78" w:rsidRPr="00E70B24" w:rsidRDefault="00F274D6" w:rsidP="001701C5">
      <w:pPr>
        <w:pStyle w:val="ListParagraph"/>
        <w:numPr>
          <w:ilvl w:val="1"/>
          <w:numId w:val="66"/>
        </w:numPr>
        <w:rPr>
          <w:color w:val="000000"/>
        </w:rPr>
      </w:pPr>
      <w:r w:rsidRPr="00E70B24">
        <w:rPr>
          <w:color w:val="000000"/>
        </w:rPr>
        <w:t>Despite a commitment within the Racial Equality Strategy 2015-2025,</w:t>
      </w:r>
      <w:r>
        <w:rPr>
          <w:rStyle w:val="FootnoteReference"/>
        </w:rPr>
        <w:footnoteReference w:id="56"/>
      </w:r>
      <w:r w:rsidRPr="00E70B24">
        <w:rPr>
          <w:color w:val="000000"/>
        </w:rPr>
        <w:t xml:space="preserve"> NI remains the only part of the UK without a Refugee Integration Strategy.</w:t>
      </w:r>
      <w:r w:rsidR="00A6762F">
        <w:rPr>
          <w:rStyle w:val="FootnoteReference"/>
          <w:color w:val="000000"/>
        </w:rPr>
        <w:footnoteReference w:id="57"/>
      </w:r>
    </w:p>
    <w:p w14:paraId="71ACF5FF" w14:textId="0B12FA93" w:rsidR="007F6C78" w:rsidRDefault="00F274D6" w:rsidP="003A6C64">
      <w:pPr>
        <w:pStyle w:val="ListParagraph"/>
        <w:ind w:left="709"/>
        <w:contextualSpacing w:val="0"/>
        <w:rPr>
          <w:color w:val="000000"/>
        </w:rPr>
      </w:pPr>
      <w:r w:rsidRPr="007F6C78">
        <w:rPr>
          <w:color w:val="000000"/>
        </w:rPr>
        <w:t xml:space="preserve"> </w:t>
      </w:r>
    </w:p>
    <w:p w14:paraId="62219C96" w14:textId="17711ACD" w:rsidR="00535F1C" w:rsidRDefault="00F274D6" w:rsidP="22E15799">
      <w:pPr>
        <w:pStyle w:val="ListParagraph"/>
        <w:numPr>
          <w:ilvl w:val="1"/>
          <w:numId w:val="66"/>
        </w:numPr>
        <w:rPr>
          <w:color w:val="000000"/>
        </w:rPr>
      </w:pPr>
      <w:r w:rsidRPr="007F6C78">
        <w:rPr>
          <w:color w:val="000000"/>
        </w:rPr>
        <w:t>In 2021, the Executive Office consulted on a draft Refugee Integration Strategy</w:t>
      </w:r>
      <w:r w:rsidR="00D649E4">
        <w:rPr>
          <w:color w:val="000000"/>
        </w:rPr>
        <w:t>.</w:t>
      </w:r>
      <w:r>
        <w:rPr>
          <w:rStyle w:val="FootnoteReference"/>
        </w:rPr>
        <w:footnoteReference w:id="58"/>
      </w:r>
      <w:r w:rsidRPr="007F6C78">
        <w:rPr>
          <w:color w:val="000000"/>
        </w:rPr>
        <w:t xml:space="preserve"> However, further progress </w:t>
      </w:r>
      <w:r w:rsidR="00593328">
        <w:rPr>
          <w:color w:val="000000"/>
        </w:rPr>
        <w:t>was hindered by the suspension of the</w:t>
      </w:r>
      <w:r w:rsidRPr="007F6C78">
        <w:rPr>
          <w:color w:val="000000"/>
        </w:rPr>
        <w:t xml:space="preserve"> NI Executive.</w:t>
      </w:r>
      <w:r>
        <w:rPr>
          <w:rStyle w:val="FootnoteReference"/>
          <w:color w:val="000000"/>
        </w:rPr>
        <w:footnoteReference w:id="59"/>
      </w:r>
      <w:r w:rsidR="00C21E23">
        <w:rPr>
          <w:color w:val="000000"/>
        </w:rPr>
        <w:t xml:space="preserve"> </w:t>
      </w:r>
    </w:p>
    <w:p w14:paraId="61CF9648" w14:textId="77777777" w:rsidR="000E4273" w:rsidRPr="000E4273" w:rsidRDefault="000E4273" w:rsidP="00500CC3">
      <w:pPr>
        <w:pStyle w:val="ListParagraph"/>
        <w:ind w:left="851"/>
        <w:rPr>
          <w:color w:val="000000"/>
        </w:rPr>
      </w:pPr>
    </w:p>
    <w:p w14:paraId="020BBA8B" w14:textId="753E7C0E" w:rsidR="00AA3EB7" w:rsidRPr="00140D15" w:rsidRDefault="000E4273" w:rsidP="00500CC3">
      <w:pPr>
        <w:pStyle w:val="ListParagraph"/>
        <w:numPr>
          <w:ilvl w:val="1"/>
          <w:numId w:val="66"/>
        </w:numPr>
        <w:contextualSpacing w:val="0"/>
        <w:rPr>
          <w:color w:val="000000"/>
        </w:rPr>
      </w:pPr>
      <w:r w:rsidRPr="000E4273">
        <w:rPr>
          <w:color w:val="000000"/>
        </w:rPr>
        <w:t xml:space="preserve">In 2022, </w:t>
      </w:r>
      <w:r w:rsidR="006E7055">
        <w:rPr>
          <w:color w:val="000000"/>
        </w:rPr>
        <w:t xml:space="preserve">the NI Affairs Committee published an inquiry </w:t>
      </w:r>
      <w:r w:rsidR="00B3297F">
        <w:rPr>
          <w:color w:val="000000"/>
        </w:rPr>
        <w:t>report, recommending that the Refugee Integration Strategy is delivered at pac</w:t>
      </w:r>
      <w:r w:rsidR="00A07FE2">
        <w:rPr>
          <w:color w:val="000000"/>
        </w:rPr>
        <w:t>e</w:t>
      </w:r>
      <w:r w:rsidRPr="000E4273">
        <w:rPr>
          <w:color w:val="000000"/>
        </w:rPr>
        <w:t>.</w:t>
      </w:r>
      <w:r w:rsidR="00A10A5B">
        <w:rPr>
          <w:rStyle w:val="FootnoteReference"/>
        </w:rPr>
        <w:footnoteReference w:id="60"/>
      </w:r>
      <w:r w:rsidRPr="000E4273">
        <w:rPr>
          <w:color w:val="000000"/>
        </w:rPr>
        <w:t xml:space="preserve"> </w:t>
      </w:r>
      <w:r w:rsidR="00AA3EB7">
        <w:t xml:space="preserve">In 2023, the </w:t>
      </w:r>
      <w:r w:rsidR="00CB32EA">
        <w:t xml:space="preserve">NI </w:t>
      </w:r>
      <w:r w:rsidR="00AA3EB7">
        <w:t>Refugee and Asylum Forum highlighted that the lack of strategy is hindering all aspects of integration in NI.</w:t>
      </w:r>
      <w:r w:rsidR="00881DBF">
        <w:rPr>
          <w:rStyle w:val="FootnoteReference"/>
        </w:rPr>
        <w:footnoteReference w:id="61"/>
      </w:r>
      <w:r w:rsidR="00AA3EB7">
        <w:t xml:space="preserve"> The Forum </w:t>
      </w:r>
      <w:r w:rsidR="002D2E53">
        <w:t>emphasise</w:t>
      </w:r>
      <w:r w:rsidR="001F7E8B">
        <w:t>d</w:t>
      </w:r>
      <w:r w:rsidR="002D2E53">
        <w:t xml:space="preserve"> the</w:t>
      </w:r>
      <w:r w:rsidR="008B32D7">
        <w:t xml:space="preserve"> need </w:t>
      </w:r>
      <w:r w:rsidR="00AE0E1B">
        <w:t xml:space="preserve">for </w:t>
      </w:r>
      <w:r w:rsidR="00A45E18">
        <w:t xml:space="preserve">reliable data and the provision of </w:t>
      </w:r>
      <w:r w:rsidR="00AE0E1B">
        <w:t xml:space="preserve">quality and authoritative information </w:t>
      </w:r>
      <w:r w:rsidR="00A45E18">
        <w:t>on rights and entitlements</w:t>
      </w:r>
      <w:r w:rsidR="00414516">
        <w:t xml:space="preserve"> of refugees and asylum seekers in NI</w:t>
      </w:r>
      <w:r w:rsidR="00AA3EB7">
        <w:t>.</w:t>
      </w:r>
      <w:r w:rsidR="00AA3EB7">
        <w:rPr>
          <w:rStyle w:val="FootnoteReference"/>
        </w:rPr>
        <w:footnoteReference w:id="62"/>
      </w:r>
    </w:p>
    <w:p w14:paraId="194AFBBF" w14:textId="77777777" w:rsidR="00AC2E9C" w:rsidRPr="00AC2E9C" w:rsidRDefault="00AC2E9C" w:rsidP="00500CC3">
      <w:pPr>
        <w:pStyle w:val="ListParagraph"/>
        <w:ind w:left="851"/>
        <w:contextualSpacing w:val="0"/>
        <w:rPr>
          <w:color w:val="000000"/>
        </w:rPr>
      </w:pPr>
    </w:p>
    <w:p w14:paraId="609EBBE8" w14:textId="0E94C3E7" w:rsidR="002169BD" w:rsidRPr="00506B87" w:rsidRDefault="00141555" w:rsidP="00500CC3">
      <w:pPr>
        <w:pStyle w:val="ListParagraph"/>
        <w:numPr>
          <w:ilvl w:val="1"/>
          <w:numId w:val="66"/>
        </w:numPr>
        <w:contextualSpacing w:val="0"/>
        <w:rPr>
          <w:color w:val="000000"/>
        </w:rPr>
      </w:pPr>
      <w:r w:rsidRPr="22E15799">
        <w:rPr>
          <w:b/>
          <w:bCs/>
          <w:lang w:val="en"/>
        </w:rPr>
        <w:t xml:space="preserve">The </w:t>
      </w:r>
      <w:r w:rsidR="00AC2E9C" w:rsidRPr="22E15799">
        <w:rPr>
          <w:b/>
          <w:bCs/>
          <w:lang w:val="en"/>
        </w:rPr>
        <w:t>Committee may wish to recommend that the UK takes effective steps to ensure the prompt introduction and implementation of a NI Refugee Integration Strategy that is effectively monitored and adequately resourced.</w:t>
      </w:r>
    </w:p>
    <w:p w14:paraId="1D60E43B" w14:textId="77777777" w:rsidR="00121843" w:rsidRPr="001954F4" w:rsidRDefault="00121843" w:rsidP="003A6C64"/>
    <w:p w14:paraId="27A637A5" w14:textId="6CCB7037" w:rsidR="00CA61B1" w:rsidRPr="00587912" w:rsidRDefault="00A938B3" w:rsidP="003A6C64">
      <w:pPr>
        <w:pStyle w:val="Heading1"/>
        <w:numPr>
          <w:ilvl w:val="0"/>
          <w:numId w:val="20"/>
        </w:numPr>
        <w:spacing w:before="0" w:after="240" w:line="288" w:lineRule="auto"/>
      </w:pPr>
      <w:bookmarkStart w:id="18" w:name="_Toc156900992"/>
      <w:r w:rsidRPr="00587912">
        <w:t xml:space="preserve">Article </w:t>
      </w:r>
      <w:r w:rsidR="00AE3096">
        <w:t>3</w:t>
      </w:r>
      <w:r w:rsidRPr="00587912">
        <w:t xml:space="preserve"> </w:t>
      </w:r>
      <w:r w:rsidR="00B17B48">
        <w:t>–</w:t>
      </w:r>
      <w:r w:rsidRPr="00587912">
        <w:t xml:space="preserve"> </w:t>
      </w:r>
      <w:r w:rsidR="00AE3096">
        <w:t xml:space="preserve">Gender </w:t>
      </w:r>
      <w:r w:rsidR="00504A08">
        <w:t>E</w:t>
      </w:r>
      <w:r w:rsidR="00AE3096">
        <w:t>quality</w:t>
      </w:r>
      <w:bookmarkEnd w:id="18"/>
    </w:p>
    <w:p w14:paraId="249B1546" w14:textId="75D63924" w:rsidR="00DA19DE" w:rsidRPr="007C12DF" w:rsidRDefault="003D055E" w:rsidP="00E430F7">
      <w:pPr>
        <w:pStyle w:val="Heading2"/>
        <w:spacing w:after="240" w:line="288" w:lineRule="auto"/>
      </w:pPr>
      <w:bookmarkStart w:id="19" w:name="_Toc156900993"/>
      <w:r>
        <w:t>Gender Equality Strateg</w:t>
      </w:r>
      <w:r w:rsidR="00833D56">
        <w:t>y</w:t>
      </w:r>
      <w:bookmarkEnd w:id="19"/>
      <w:r w:rsidR="00833D56">
        <w:t xml:space="preserve"> </w:t>
      </w:r>
    </w:p>
    <w:p w14:paraId="6C8BD862" w14:textId="77777777" w:rsidR="00DA19DE" w:rsidRPr="00F2120F" w:rsidRDefault="00DA19DE" w:rsidP="0028059B">
      <w:pPr>
        <w:pStyle w:val="ListParagraph"/>
        <w:numPr>
          <w:ilvl w:val="0"/>
          <w:numId w:val="44"/>
        </w:numPr>
        <w:contextualSpacing w:val="0"/>
        <w:rPr>
          <w:vanish/>
        </w:rPr>
      </w:pPr>
    </w:p>
    <w:p w14:paraId="4BF927C4" w14:textId="77777777" w:rsidR="00DA19DE" w:rsidRPr="00F2120F" w:rsidRDefault="00DA19DE" w:rsidP="0028059B">
      <w:pPr>
        <w:pStyle w:val="ListParagraph"/>
        <w:numPr>
          <w:ilvl w:val="0"/>
          <w:numId w:val="44"/>
        </w:numPr>
        <w:contextualSpacing w:val="0"/>
        <w:rPr>
          <w:vanish/>
        </w:rPr>
      </w:pPr>
    </w:p>
    <w:p w14:paraId="4F4F6CA3" w14:textId="6E79AB86" w:rsidR="00166572" w:rsidRDefault="001836EF" w:rsidP="00166572">
      <w:pPr>
        <w:pStyle w:val="ListParagraph"/>
        <w:numPr>
          <w:ilvl w:val="1"/>
          <w:numId w:val="20"/>
        </w:numPr>
        <w:ind w:left="851" w:hanging="862"/>
      </w:pPr>
      <w:r w:rsidRPr="00166572">
        <w:rPr>
          <w:color w:val="000000"/>
        </w:rPr>
        <w:t xml:space="preserve">In 2020, the NI Executive </w:t>
      </w:r>
      <w:r w:rsidR="00C41259" w:rsidRPr="00166572">
        <w:rPr>
          <w:color w:val="000000"/>
        </w:rPr>
        <w:t xml:space="preserve">committed </w:t>
      </w:r>
      <w:r w:rsidRPr="00166572">
        <w:rPr>
          <w:color w:val="000000"/>
        </w:rPr>
        <w:t>to publish</w:t>
      </w:r>
      <w:r w:rsidR="00BC4C05" w:rsidRPr="00166572">
        <w:rPr>
          <w:color w:val="000000"/>
        </w:rPr>
        <w:t>ing</w:t>
      </w:r>
      <w:r w:rsidRPr="00166572">
        <w:rPr>
          <w:color w:val="000000"/>
        </w:rPr>
        <w:t xml:space="preserve"> a new </w:t>
      </w:r>
      <w:r w:rsidR="004B4C43" w:rsidRPr="00166572">
        <w:rPr>
          <w:color w:val="000000"/>
        </w:rPr>
        <w:t>Gender Equality S</w:t>
      </w:r>
      <w:r w:rsidRPr="00166572">
        <w:rPr>
          <w:color w:val="000000"/>
        </w:rPr>
        <w:t>trategy.</w:t>
      </w:r>
      <w:r>
        <w:rPr>
          <w:rStyle w:val="FootnoteReference"/>
        </w:rPr>
        <w:footnoteReference w:id="63"/>
      </w:r>
      <w:r w:rsidRPr="00166572">
        <w:rPr>
          <w:color w:val="000000"/>
        </w:rPr>
        <w:t xml:space="preserve"> In</w:t>
      </w:r>
      <w:r w:rsidR="00472886" w:rsidRPr="00166572">
        <w:rPr>
          <w:color w:val="000000"/>
        </w:rPr>
        <w:t xml:space="preserve"> </w:t>
      </w:r>
      <w:r w:rsidRPr="00166572">
        <w:rPr>
          <w:color w:val="000000"/>
        </w:rPr>
        <w:t>2022, a public consultation on the Gender Equality Strategy was due to take place</w:t>
      </w:r>
      <w:r w:rsidR="00393C41" w:rsidRPr="00166572">
        <w:rPr>
          <w:color w:val="000000"/>
        </w:rPr>
        <w:t>,</w:t>
      </w:r>
      <w:r w:rsidRPr="00166572">
        <w:rPr>
          <w:color w:val="000000"/>
        </w:rPr>
        <w:t xml:space="preserve"> but</w:t>
      </w:r>
      <w:r w:rsidR="000D189D" w:rsidRPr="00166572">
        <w:rPr>
          <w:color w:val="000000"/>
        </w:rPr>
        <w:t xml:space="preserve"> this process</w:t>
      </w:r>
      <w:r w:rsidRPr="00166572">
        <w:rPr>
          <w:color w:val="000000"/>
        </w:rPr>
        <w:t xml:space="preserve"> has been delayed. In 202</w:t>
      </w:r>
      <w:r w:rsidR="00AC281B">
        <w:rPr>
          <w:color w:val="000000"/>
        </w:rPr>
        <w:t>3</w:t>
      </w:r>
      <w:r w:rsidRPr="00166572">
        <w:rPr>
          <w:color w:val="000000"/>
        </w:rPr>
        <w:t xml:space="preserve">, the Gender Equality Strategy </w:t>
      </w:r>
      <w:r w:rsidR="00593328">
        <w:rPr>
          <w:color w:val="000000"/>
        </w:rPr>
        <w:t>was hindered by the suspension of the</w:t>
      </w:r>
      <w:r w:rsidRPr="00166572">
        <w:rPr>
          <w:color w:val="000000"/>
        </w:rPr>
        <w:t xml:space="preserve"> </w:t>
      </w:r>
      <w:r w:rsidRPr="00761C00">
        <w:t>NI Executive.</w:t>
      </w:r>
      <w:r w:rsidRPr="00761C00">
        <w:rPr>
          <w:rStyle w:val="FootnoteReference"/>
        </w:rPr>
        <w:footnoteReference w:id="64"/>
      </w:r>
    </w:p>
    <w:p w14:paraId="516B5BE6" w14:textId="77777777" w:rsidR="00166572" w:rsidRDefault="00166572" w:rsidP="00166572">
      <w:pPr>
        <w:pStyle w:val="ListParagraph"/>
        <w:ind w:left="851"/>
      </w:pPr>
    </w:p>
    <w:p w14:paraId="4DC4136D" w14:textId="2C54E12E" w:rsidR="00065221" w:rsidRPr="00166572" w:rsidRDefault="00DA19DE" w:rsidP="00166572">
      <w:pPr>
        <w:pStyle w:val="ListParagraph"/>
        <w:numPr>
          <w:ilvl w:val="1"/>
          <w:numId w:val="20"/>
        </w:numPr>
        <w:ind w:left="851" w:hanging="851"/>
      </w:pPr>
      <w:r w:rsidRPr="00166572">
        <w:rPr>
          <w:b/>
        </w:rPr>
        <w:t xml:space="preserve">The Committee may wish to </w:t>
      </w:r>
      <w:r w:rsidR="00AE56C8" w:rsidRPr="00166572">
        <w:rPr>
          <w:b/>
        </w:rPr>
        <w:t xml:space="preserve">recommend that </w:t>
      </w:r>
      <w:r w:rsidRPr="00166572">
        <w:rPr>
          <w:b/>
        </w:rPr>
        <w:t xml:space="preserve">the UK </w:t>
      </w:r>
      <w:r w:rsidR="00AE56C8" w:rsidRPr="00166572">
        <w:rPr>
          <w:b/>
        </w:rPr>
        <w:t xml:space="preserve">takes effective steps to ensure </w:t>
      </w:r>
      <w:r w:rsidRPr="00166572">
        <w:rPr>
          <w:b/>
        </w:rPr>
        <w:t>that a robust up-to-date and gender-</w:t>
      </w:r>
      <w:r w:rsidR="00A82A9F" w:rsidRPr="00166572">
        <w:rPr>
          <w:b/>
        </w:rPr>
        <w:t>sensitive Gender Equality Strategy</w:t>
      </w:r>
      <w:r w:rsidRPr="00166572">
        <w:rPr>
          <w:b/>
        </w:rPr>
        <w:t xml:space="preserve"> and action plan is introduced</w:t>
      </w:r>
      <w:r w:rsidR="00F96297" w:rsidRPr="00166572">
        <w:rPr>
          <w:b/>
        </w:rPr>
        <w:t xml:space="preserve">, </w:t>
      </w:r>
      <w:r w:rsidRPr="00166572">
        <w:rPr>
          <w:b/>
        </w:rPr>
        <w:t>implemented</w:t>
      </w:r>
      <w:r w:rsidR="00F96297" w:rsidRPr="00166572">
        <w:rPr>
          <w:b/>
        </w:rPr>
        <w:t>, monitored and adequately resourced</w:t>
      </w:r>
      <w:r w:rsidRPr="00166572">
        <w:rPr>
          <w:b/>
        </w:rPr>
        <w:t xml:space="preserve"> in NI</w:t>
      </w:r>
      <w:r w:rsidR="00F96297" w:rsidRPr="00166572">
        <w:rPr>
          <w:b/>
        </w:rPr>
        <w:t>.</w:t>
      </w:r>
    </w:p>
    <w:p w14:paraId="61E1FFC5" w14:textId="77777777" w:rsidR="00EB30F5" w:rsidRPr="00485AC0" w:rsidRDefault="00EB30F5" w:rsidP="00500CC3">
      <w:pPr>
        <w:ind w:left="851" w:hanging="851"/>
      </w:pPr>
    </w:p>
    <w:p w14:paraId="71D60F66" w14:textId="60E55D88" w:rsidR="00485AC0" w:rsidRDefault="00065221" w:rsidP="00E430F7">
      <w:pPr>
        <w:pStyle w:val="Heading2"/>
        <w:spacing w:after="240" w:line="288" w:lineRule="auto"/>
      </w:pPr>
      <w:bookmarkStart w:id="20" w:name="_Toc156900994"/>
      <w:r w:rsidRPr="00323591">
        <w:t>Gender recognition</w:t>
      </w:r>
      <w:bookmarkEnd w:id="20"/>
      <w:r w:rsidRPr="00323591">
        <w:t xml:space="preserve"> </w:t>
      </w:r>
    </w:p>
    <w:p w14:paraId="7B1C8B3C" w14:textId="2F6A8C84" w:rsidR="00065221" w:rsidRDefault="00485AC0" w:rsidP="00166572">
      <w:pPr>
        <w:pStyle w:val="ListParagraph"/>
        <w:numPr>
          <w:ilvl w:val="1"/>
          <w:numId w:val="20"/>
        </w:numPr>
        <w:ind w:left="851" w:hanging="851"/>
        <w:contextualSpacing w:val="0"/>
      </w:pPr>
      <w:r>
        <w:t>Elig</w:t>
      </w:r>
      <w:r w:rsidR="00065221">
        <w:t>ibility</w:t>
      </w:r>
      <w:r w:rsidR="00065221" w:rsidRPr="00065221">
        <w:t xml:space="preserve"> </w:t>
      </w:r>
      <w:r w:rsidR="00065221">
        <w:t>criteria for a Gender Recognition Certificate</w:t>
      </w:r>
      <w:r w:rsidR="00065221">
        <w:rPr>
          <w:rStyle w:val="FootnoteReference"/>
        </w:rPr>
        <w:footnoteReference w:id="65"/>
      </w:r>
      <w:r w:rsidR="00065221">
        <w:t xml:space="preserve"> requires an applicant is diagnosed with gender dysphoria.</w:t>
      </w:r>
      <w:r w:rsidR="0058759D">
        <w:rPr>
          <w:rStyle w:val="FootnoteReference"/>
        </w:rPr>
        <w:footnoteReference w:id="66"/>
      </w:r>
      <w:r w:rsidR="00065221">
        <w:t xml:space="preserve"> </w:t>
      </w:r>
      <w:r w:rsidR="00356736">
        <w:t xml:space="preserve">Transgender representatives reported that reasonable adjustments are not </w:t>
      </w:r>
      <w:r w:rsidR="00356736">
        <w:lastRenderedPageBreak/>
        <w:t>made for applicants with disabilities</w:t>
      </w:r>
      <w:r w:rsidR="00356736">
        <w:rPr>
          <w:rStyle w:val="FootnoteReference"/>
        </w:rPr>
        <w:footnoteReference w:id="67"/>
      </w:r>
      <w:r w:rsidR="00356736">
        <w:t xml:space="preserve"> and that assumptions based on applicants</w:t>
      </w:r>
      <w:r w:rsidR="000D4384">
        <w:t>’</w:t>
      </w:r>
      <w:r w:rsidR="00356736">
        <w:t xml:space="preserve"> clothing contribute to a panel’s decision.</w:t>
      </w:r>
      <w:r w:rsidR="00356736">
        <w:rPr>
          <w:rStyle w:val="FootnoteReference"/>
        </w:rPr>
        <w:footnoteReference w:id="68"/>
      </w:r>
      <w:r w:rsidR="00356736">
        <w:t xml:space="preserve"> </w:t>
      </w:r>
      <w:r w:rsidR="00EA7F34">
        <w:t>T</w:t>
      </w:r>
      <w:r w:rsidR="00A81CF1">
        <w:t>he a</w:t>
      </w:r>
      <w:r w:rsidR="00C1378C">
        <w:t>pplication</w:t>
      </w:r>
      <w:r w:rsidR="00356736">
        <w:t xml:space="preserve"> </w:t>
      </w:r>
      <w:r w:rsidR="00A81CF1">
        <w:t>process</w:t>
      </w:r>
      <w:r w:rsidR="0034537E">
        <w:t xml:space="preserve"> </w:t>
      </w:r>
      <w:r w:rsidR="00356736">
        <w:t>is</w:t>
      </w:r>
      <w:r w:rsidR="00EA7F34">
        <w:t xml:space="preserve"> found to be</w:t>
      </w:r>
      <w:r w:rsidR="00356736">
        <w:t xml:space="preserve"> “bureaucratic, stressful, intrusive and demeaning”.</w:t>
      </w:r>
      <w:r w:rsidR="00356736">
        <w:rPr>
          <w:rStyle w:val="FootnoteReference"/>
        </w:rPr>
        <w:footnoteReference w:id="69"/>
      </w:r>
    </w:p>
    <w:p w14:paraId="2C76E1AD" w14:textId="77777777" w:rsidR="00754A5B" w:rsidRPr="00754A5B" w:rsidRDefault="00754A5B" w:rsidP="00500CC3">
      <w:pPr>
        <w:pStyle w:val="ListParagraph"/>
        <w:ind w:left="851" w:hanging="851"/>
        <w:contextualSpacing w:val="0"/>
        <w:rPr>
          <w:rFonts w:eastAsia="Verdana" w:cs="Verdana"/>
          <w:color w:val="000000"/>
        </w:rPr>
      </w:pPr>
    </w:p>
    <w:p w14:paraId="6C9DEF6A" w14:textId="10F45CE7" w:rsidR="00754A5B" w:rsidRPr="00B96A50" w:rsidRDefault="00356736" w:rsidP="00166572">
      <w:pPr>
        <w:pStyle w:val="ListParagraph"/>
        <w:numPr>
          <w:ilvl w:val="1"/>
          <w:numId w:val="20"/>
        </w:numPr>
        <w:ind w:left="851" w:hanging="851"/>
        <w:rPr>
          <w:rFonts w:cs="Helvetica"/>
          <w:lang w:val="en"/>
        </w:rPr>
      </w:pPr>
      <w:r w:rsidRPr="00B96A50">
        <w:rPr>
          <w:rFonts w:eastAsia="Verdana" w:cs="Verdana"/>
          <w:color w:val="000000"/>
        </w:rPr>
        <w:t xml:space="preserve">Consultations on possible amendments to the gender recognition process have been conducted in England, Wales and Scotland, but not </w:t>
      </w:r>
      <w:r w:rsidR="77D1E42E" w:rsidRPr="00B96A50">
        <w:rPr>
          <w:rFonts w:eastAsia="Verdana" w:cs="Verdana"/>
          <w:color w:val="000000"/>
        </w:rPr>
        <w:t xml:space="preserve">in </w:t>
      </w:r>
      <w:r w:rsidRPr="00B96A50">
        <w:rPr>
          <w:rFonts w:eastAsia="Verdana" w:cs="Verdana"/>
          <w:color w:val="000000"/>
        </w:rPr>
        <w:t>NI.</w:t>
      </w:r>
      <w:r w:rsidRPr="00B96A50">
        <w:rPr>
          <w:rStyle w:val="FootnoteReference"/>
        </w:rPr>
        <w:footnoteReference w:id="70"/>
      </w:r>
      <w:r w:rsidRPr="00B96A50">
        <w:rPr>
          <w:rFonts w:eastAsia="Verdana" w:cs="Verdana"/>
          <w:color w:val="000000"/>
        </w:rPr>
        <w:t xml:space="preserve"> </w:t>
      </w:r>
      <w:r w:rsidR="002D4C3D" w:rsidRPr="00B96A50">
        <w:rPr>
          <w:rFonts w:eastAsia="Verdana" w:cs="Verdana"/>
          <w:color w:val="000000"/>
        </w:rPr>
        <w:t>Changes to the UK process without accommodation for NI applicants may deny transgender individuals in NI access to legal gender recognition.</w:t>
      </w:r>
    </w:p>
    <w:p w14:paraId="5C7FD7B2" w14:textId="77777777" w:rsidR="002D4C3D" w:rsidRPr="002D4C3D" w:rsidRDefault="002D4C3D" w:rsidP="00500CC3">
      <w:pPr>
        <w:ind w:left="851" w:hanging="851"/>
        <w:rPr>
          <w:rFonts w:cs="Helvetica"/>
          <w:b/>
          <w:lang w:val="en"/>
        </w:rPr>
      </w:pPr>
    </w:p>
    <w:p w14:paraId="09E4F627" w14:textId="34553635" w:rsidR="00DA19DE" w:rsidRPr="00754A5B" w:rsidRDefault="00DA19DE" w:rsidP="00166572">
      <w:pPr>
        <w:pStyle w:val="ListParagraph"/>
        <w:numPr>
          <w:ilvl w:val="1"/>
          <w:numId w:val="20"/>
        </w:numPr>
        <w:ind w:left="851" w:hanging="851"/>
        <w:contextualSpacing w:val="0"/>
      </w:pPr>
      <w:r w:rsidRPr="00754A5B">
        <w:rPr>
          <w:rFonts w:cs="Helvetica"/>
          <w:b/>
          <w:lang w:val="en"/>
        </w:rPr>
        <w:t xml:space="preserve">The Committee may wish to </w:t>
      </w:r>
      <w:r w:rsidR="00356736">
        <w:rPr>
          <w:rFonts w:cs="Helvetica"/>
          <w:b/>
          <w:lang w:val="en"/>
        </w:rPr>
        <w:t>recommend that</w:t>
      </w:r>
      <w:r w:rsidR="00356736" w:rsidRPr="00754A5B">
        <w:rPr>
          <w:rFonts w:cs="Helvetica"/>
          <w:b/>
          <w:lang w:val="en"/>
        </w:rPr>
        <w:t xml:space="preserve"> </w:t>
      </w:r>
      <w:r w:rsidRPr="00754A5B">
        <w:rPr>
          <w:rFonts w:cs="Helvetica"/>
          <w:b/>
          <w:lang w:val="en"/>
        </w:rPr>
        <w:t xml:space="preserve">the UK </w:t>
      </w:r>
      <w:r w:rsidR="00356736">
        <w:rPr>
          <w:rFonts w:cs="Helvetica"/>
          <w:b/>
          <w:lang w:val="en"/>
        </w:rPr>
        <w:t>takes effective steps</w:t>
      </w:r>
      <w:r w:rsidRPr="00754A5B">
        <w:rPr>
          <w:rFonts w:cs="Helvetica"/>
          <w:b/>
          <w:lang w:val="en"/>
        </w:rPr>
        <w:t xml:space="preserve"> to</w:t>
      </w:r>
      <w:r w:rsidR="00CF0A87">
        <w:rPr>
          <w:rFonts w:cs="Helvetica"/>
          <w:b/>
          <w:lang w:val="en"/>
        </w:rPr>
        <w:t xml:space="preserve"> ensure that</w:t>
      </w:r>
      <w:r w:rsidR="008F18C7">
        <w:rPr>
          <w:rFonts w:cs="Helvetica"/>
          <w:b/>
          <w:lang w:val="en"/>
        </w:rPr>
        <w:t xml:space="preserve"> </w:t>
      </w:r>
      <w:r w:rsidRPr="008F18C7">
        <w:rPr>
          <w:rFonts w:cs="Helvetica"/>
          <w:b/>
          <w:lang w:val="en"/>
        </w:rPr>
        <w:t xml:space="preserve">the gender recognition process in NI </w:t>
      </w:r>
      <w:r w:rsidR="00CF0A87" w:rsidRPr="008F18C7">
        <w:rPr>
          <w:rFonts w:cs="Helvetica"/>
          <w:b/>
          <w:lang w:val="en"/>
        </w:rPr>
        <w:t xml:space="preserve">is amended </w:t>
      </w:r>
      <w:r w:rsidRPr="008F18C7">
        <w:rPr>
          <w:rFonts w:cs="Helvetica"/>
          <w:b/>
          <w:lang w:val="en"/>
        </w:rPr>
        <w:t>to reflect the self-declaration model</w:t>
      </w:r>
      <w:r w:rsidR="00CF0A87" w:rsidRPr="008F18C7">
        <w:rPr>
          <w:rFonts w:cs="Helvetica"/>
          <w:b/>
          <w:lang w:val="en"/>
        </w:rPr>
        <w:t>.</w:t>
      </w:r>
      <w:r w:rsidR="00222CBB">
        <w:rPr>
          <w:rFonts w:cs="Helvetica"/>
          <w:b/>
          <w:lang w:val="en"/>
        </w:rPr>
        <w:t xml:space="preserve"> Also</w:t>
      </w:r>
      <w:r w:rsidR="00C51D3F">
        <w:rPr>
          <w:rFonts w:cs="Helvetica"/>
          <w:b/>
          <w:lang w:val="en"/>
        </w:rPr>
        <w:t>,</w:t>
      </w:r>
      <w:r w:rsidR="00222CBB">
        <w:rPr>
          <w:rFonts w:cs="Helvetica"/>
          <w:b/>
          <w:lang w:val="en"/>
        </w:rPr>
        <w:t xml:space="preserve"> that the process </w:t>
      </w:r>
      <w:r w:rsidR="00222CBB" w:rsidRPr="00754A5B">
        <w:rPr>
          <w:rFonts w:cs="Helvetica"/>
          <w:b/>
          <w:lang w:val="en"/>
        </w:rPr>
        <w:t>is affordable, respectful</w:t>
      </w:r>
      <w:r w:rsidR="002D4C3D" w:rsidRPr="00754A5B">
        <w:rPr>
          <w:rFonts w:cs="Helvetica"/>
          <w:b/>
          <w:lang w:val="en"/>
        </w:rPr>
        <w:t>,</w:t>
      </w:r>
      <w:r w:rsidR="00222CBB" w:rsidRPr="00754A5B">
        <w:rPr>
          <w:rFonts w:cs="Helvetica"/>
          <w:b/>
          <w:lang w:val="en"/>
        </w:rPr>
        <w:t xml:space="preserve"> and accessible, including effectively training staff</w:t>
      </w:r>
      <w:r w:rsidR="00222CBB">
        <w:rPr>
          <w:rFonts w:cs="Helvetica"/>
          <w:b/>
          <w:lang w:val="en"/>
        </w:rPr>
        <w:t>.</w:t>
      </w:r>
    </w:p>
    <w:p w14:paraId="080EDB54" w14:textId="77777777" w:rsidR="00754A5B" w:rsidRDefault="00754A5B" w:rsidP="003A6C64">
      <w:pPr>
        <w:pStyle w:val="ListParagraph"/>
        <w:contextualSpacing w:val="0"/>
      </w:pPr>
    </w:p>
    <w:p w14:paraId="459A9F2F" w14:textId="0BB4287D" w:rsidR="00754A5B" w:rsidRDefault="00754A5B" w:rsidP="00AA751C">
      <w:pPr>
        <w:pStyle w:val="Heading2"/>
        <w:spacing w:after="240" w:line="288" w:lineRule="auto"/>
      </w:pPr>
      <w:bookmarkStart w:id="21" w:name="_Toc156900995"/>
      <w:r>
        <w:lastRenderedPageBreak/>
        <w:t>UN Security Council Resolution 132</w:t>
      </w:r>
      <w:r w:rsidR="00D74E50">
        <w:t>5</w:t>
      </w:r>
      <w:bookmarkEnd w:id="21"/>
    </w:p>
    <w:p w14:paraId="76B48FE3" w14:textId="497BBCA3" w:rsidR="009A2DF7" w:rsidRPr="009A2DF7" w:rsidRDefault="00754A5B" w:rsidP="00166572">
      <w:pPr>
        <w:pStyle w:val="ListParagraph"/>
        <w:numPr>
          <w:ilvl w:val="1"/>
          <w:numId w:val="20"/>
        </w:numPr>
        <w:ind w:left="851" w:hanging="851"/>
        <w:contextualSpacing w:val="0"/>
      </w:pPr>
      <w:r w:rsidRPr="00754A5B">
        <w:t xml:space="preserve">Paramilitary activity </w:t>
      </w:r>
      <w:r w:rsidR="004150B6">
        <w:t xml:space="preserve">is having a particular effect on women in NI, </w:t>
      </w:r>
      <w:r w:rsidR="004150B6">
        <w:rPr>
          <w:rFonts w:eastAsia="Verdana" w:cs="Verdana"/>
          <w:color w:val="000000"/>
        </w:rPr>
        <w:t xml:space="preserve">who live in fear </w:t>
      </w:r>
      <w:r w:rsidR="004150B6" w:rsidRPr="00AD1DC6">
        <w:rPr>
          <w:color w:val="000000"/>
        </w:rPr>
        <w:t>of such groups.</w:t>
      </w:r>
      <w:r w:rsidR="004150B6">
        <w:rPr>
          <w:rStyle w:val="FootnoteReference"/>
        </w:rPr>
        <w:footnoteReference w:id="71"/>
      </w:r>
      <w:r w:rsidR="004150B6">
        <w:rPr>
          <w:color w:val="000000"/>
        </w:rPr>
        <w:t xml:space="preserve"> </w:t>
      </w:r>
      <w:r w:rsidR="003C0A86">
        <w:t>In practice, this intimidation</w:t>
      </w:r>
      <w:r w:rsidR="003C0A86" w:rsidRPr="009A2DF7">
        <w:rPr>
          <w:rFonts w:eastAsia="Verdana" w:cs="Verdana"/>
          <w:color w:val="000000"/>
        </w:rPr>
        <w:t xml:space="preserve"> (which can include threats to life) is preventing women from accessing funding, to engage with peace initiatives and to be empowered</w:t>
      </w:r>
      <w:r w:rsidR="004150B6" w:rsidRPr="009A2DF7">
        <w:rPr>
          <w:rFonts w:eastAsia="Verdana" w:cs="Verdana"/>
          <w:color w:val="000000"/>
        </w:rPr>
        <w:t>.</w:t>
      </w:r>
      <w:r w:rsidR="003C0A86" w:rsidRPr="004A5334">
        <w:rPr>
          <w:rStyle w:val="FootnoteReference"/>
        </w:rPr>
        <w:footnoteReference w:id="72"/>
      </w:r>
      <w:r w:rsidR="003C0A86" w:rsidRPr="009A2DF7">
        <w:rPr>
          <w:rFonts w:eastAsia="Verdana" w:cs="Verdana"/>
          <w:color w:val="000000"/>
        </w:rPr>
        <w:t xml:space="preserve"> </w:t>
      </w:r>
      <w:r w:rsidR="00B2275E">
        <w:rPr>
          <w:rFonts w:eastAsia="Verdana" w:cs="Verdana"/>
          <w:color w:val="000000"/>
        </w:rPr>
        <w:t xml:space="preserve">It </w:t>
      </w:r>
      <w:r w:rsidR="00AD6DAD">
        <w:rPr>
          <w:rFonts w:eastAsia="Verdana" w:cs="Verdana"/>
          <w:color w:val="000000"/>
        </w:rPr>
        <w:t>has a</w:t>
      </w:r>
      <w:r w:rsidR="00B2275E">
        <w:rPr>
          <w:rFonts w:eastAsia="Verdana" w:cs="Verdana"/>
          <w:color w:val="000000"/>
        </w:rPr>
        <w:t xml:space="preserve"> </w:t>
      </w:r>
      <w:r w:rsidR="00B2275E" w:rsidRPr="00B2275E">
        <w:rPr>
          <w:rFonts w:eastAsia="Verdana" w:cs="Verdana"/>
          <w:color w:val="000000"/>
        </w:rPr>
        <w:t>particular negative effect on women experiencing violence and domestic abuse</w:t>
      </w:r>
      <w:r w:rsidR="00AD6DAD">
        <w:rPr>
          <w:rFonts w:eastAsia="Verdana" w:cs="Verdana"/>
          <w:color w:val="000000"/>
        </w:rPr>
        <w:t xml:space="preserve"> when trying to access services.</w:t>
      </w:r>
      <w:r w:rsidR="00AD6DAD">
        <w:rPr>
          <w:rStyle w:val="FootnoteReference"/>
          <w:rFonts w:eastAsia="Verdana" w:cs="Verdana"/>
          <w:color w:val="000000"/>
        </w:rPr>
        <w:footnoteReference w:id="73"/>
      </w:r>
      <w:r w:rsidR="00AD6DAD">
        <w:rPr>
          <w:rFonts w:eastAsia="Verdana" w:cs="Verdana"/>
          <w:color w:val="000000"/>
        </w:rPr>
        <w:t xml:space="preserve"> </w:t>
      </w:r>
      <w:r w:rsidR="00417C99" w:rsidRPr="009A2DF7">
        <w:rPr>
          <w:color w:val="000000"/>
        </w:rPr>
        <w:t>P</w:t>
      </w:r>
      <w:r w:rsidR="00DA19DE" w:rsidRPr="009A2DF7">
        <w:rPr>
          <w:color w:val="000000"/>
        </w:rPr>
        <w:t xml:space="preserve">aramilitary intimidation can </w:t>
      </w:r>
      <w:r w:rsidR="009A2DF7" w:rsidRPr="009A2DF7">
        <w:rPr>
          <w:color w:val="000000"/>
        </w:rPr>
        <w:t xml:space="preserve">also </w:t>
      </w:r>
      <w:r w:rsidR="00DA19DE" w:rsidRPr="009A2DF7">
        <w:rPr>
          <w:color w:val="000000"/>
        </w:rPr>
        <w:t>dissuade women and women’s groups in NI from participating in public and political life.</w:t>
      </w:r>
      <w:r w:rsidR="00DA19DE">
        <w:rPr>
          <w:rStyle w:val="FootnoteReference"/>
        </w:rPr>
        <w:footnoteReference w:id="74"/>
      </w:r>
      <w:r w:rsidR="00DA19DE" w:rsidRPr="009A2DF7">
        <w:rPr>
          <w:color w:val="000000"/>
        </w:rPr>
        <w:t xml:space="preserve"> </w:t>
      </w:r>
    </w:p>
    <w:p w14:paraId="08010190" w14:textId="77777777" w:rsidR="009A2DF7" w:rsidRPr="009A2DF7" w:rsidRDefault="009A2DF7" w:rsidP="00500CC3">
      <w:pPr>
        <w:pStyle w:val="ListParagraph"/>
        <w:ind w:left="851" w:hanging="851"/>
        <w:rPr>
          <w:color w:val="000000"/>
        </w:rPr>
      </w:pPr>
    </w:p>
    <w:p w14:paraId="6867089C" w14:textId="5293446B" w:rsidR="00825ADE" w:rsidRPr="00825ADE" w:rsidRDefault="00DA19DE" w:rsidP="00166572">
      <w:pPr>
        <w:pStyle w:val="ListParagraph"/>
        <w:numPr>
          <w:ilvl w:val="1"/>
          <w:numId w:val="20"/>
        </w:numPr>
        <w:ind w:left="851" w:hanging="851"/>
        <w:contextualSpacing w:val="0"/>
      </w:pPr>
      <w:r w:rsidRPr="009A2DF7">
        <w:rPr>
          <w:color w:val="000000"/>
        </w:rPr>
        <w:t xml:space="preserve">The UK Government and NI Executive have been slow to address this. For example, the UK’s National Action Plan on Women, Peace and Security, setting out its plan to deliver on commitments under </w:t>
      </w:r>
      <w:r w:rsidRPr="009A2DF7">
        <w:rPr>
          <w:color w:val="000000"/>
        </w:rPr>
        <w:lastRenderedPageBreak/>
        <w:t>Security Council Resolution 1325, does not make specific provision for NI despite its post-conflict status.</w:t>
      </w:r>
      <w:r>
        <w:rPr>
          <w:rStyle w:val="FootnoteReference"/>
        </w:rPr>
        <w:footnoteReference w:id="75"/>
      </w:r>
    </w:p>
    <w:p w14:paraId="6331E596" w14:textId="77777777" w:rsidR="00825ADE" w:rsidRPr="0018688C" w:rsidRDefault="00825ADE" w:rsidP="00500CC3">
      <w:pPr>
        <w:ind w:left="851" w:hanging="851"/>
      </w:pPr>
    </w:p>
    <w:p w14:paraId="5CBDFBA5" w14:textId="00956F4E" w:rsidR="00316181" w:rsidRPr="00316181" w:rsidRDefault="00DA19DE" w:rsidP="00166572">
      <w:pPr>
        <w:pStyle w:val="ListParagraph"/>
        <w:numPr>
          <w:ilvl w:val="1"/>
          <w:numId w:val="20"/>
        </w:numPr>
        <w:ind w:left="851" w:hanging="851"/>
        <w:contextualSpacing w:val="0"/>
      </w:pPr>
      <w:r w:rsidRPr="00825ADE">
        <w:rPr>
          <w:rFonts w:cs="Helvetica"/>
          <w:b/>
          <w:lang w:val="en"/>
        </w:rPr>
        <w:t xml:space="preserve">The Committee may wish to </w:t>
      </w:r>
      <w:r w:rsidR="00AB3352">
        <w:rPr>
          <w:rFonts w:cs="Helvetica"/>
          <w:b/>
          <w:lang w:val="en"/>
        </w:rPr>
        <w:t>recommend that</w:t>
      </w:r>
      <w:r w:rsidR="00AB3352" w:rsidRPr="00825ADE">
        <w:rPr>
          <w:rFonts w:cs="Helvetica"/>
          <w:b/>
          <w:lang w:val="en"/>
        </w:rPr>
        <w:t xml:space="preserve"> </w:t>
      </w:r>
      <w:r w:rsidRPr="00825ADE">
        <w:rPr>
          <w:rFonts w:cs="Helvetica"/>
          <w:b/>
          <w:lang w:val="en"/>
        </w:rPr>
        <w:t xml:space="preserve">the UK </w:t>
      </w:r>
      <w:r w:rsidR="00AB3352">
        <w:rPr>
          <w:rFonts w:cs="Helvetica"/>
          <w:b/>
          <w:lang w:val="en"/>
        </w:rPr>
        <w:t>take</w:t>
      </w:r>
      <w:r w:rsidR="00A13CE5">
        <w:rPr>
          <w:rFonts w:cs="Helvetica"/>
          <w:b/>
          <w:lang w:val="en"/>
        </w:rPr>
        <w:t>s</w:t>
      </w:r>
      <w:r w:rsidR="00AB3352">
        <w:rPr>
          <w:rFonts w:cs="Helvetica"/>
          <w:b/>
          <w:lang w:val="en"/>
        </w:rPr>
        <w:t xml:space="preserve"> effective steps to</w:t>
      </w:r>
      <w:r w:rsidRPr="00825ADE">
        <w:rPr>
          <w:rFonts w:cs="Helvetica"/>
          <w:b/>
          <w:lang w:val="en"/>
        </w:rPr>
        <w:t>:</w:t>
      </w:r>
      <w:r w:rsidR="00825ADE">
        <w:rPr>
          <w:rFonts w:cs="Helvetica"/>
          <w:b/>
          <w:lang w:val="en"/>
        </w:rPr>
        <w:t xml:space="preserve"> </w:t>
      </w:r>
    </w:p>
    <w:p w14:paraId="7F6BC9AC" w14:textId="77777777" w:rsidR="00316181" w:rsidRPr="00316181" w:rsidRDefault="00316181" w:rsidP="003A6C64">
      <w:pPr>
        <w:pStyle w:val="ListParagraph"/>
        <w:contextualSpacing w:val="0"/>
        <w:rPr>
          <w:rFonts w:cs="Helvetica"/>
          <w:b/>
          <w:lang w:val="en"/>
        </w:rPr>
      </w:pPr>
    </w:p>
    <w:p w14:paraId="4211E588" w14:textId="340804DD" w:rsidR="00CB6F57" w:rsidRPr="003A6C64" w:rsidRDefault="00211893" w:rsidP="00675F0F">
      <w:pPr>
        <w:pStyle w:val="ListParagraph"/>
        <w:numPr>
          <w:ilvl w:val="0"/>
          <w:numId w:val="48"/>
        </w:numPr>
        <w:ind w:left="1560"/>
        <w:contextualSpacing w:val="0"/>
      </w:pPr>
      <w:r>
        <w:rPr>
          <w:b/>
          <w:bCs/>
          <w:color w:val="000000"/>
        </w:rPr>
        <w:t xml:space="preserve">ensure </w:t>
      </w:r>
      <w:r w:rsidR="00CB6F57">
        <w:rPr>
          <w:b/>
          <w:bCs/>
          <w:color w:val="000000"/>
        </w:rPr>
        <w:t>women’s participation in public and private life is proportionate to NI’s population</w:t>
      </w:r>
      <w:r w:rsidR="00CB6F57" w:rsidRPr="00CA04B4">
        <w:rPr>
          <w:b/>
          <w:bCs/>
          <w:color w:val="000000"/>
        </w:rPr>
        <w:t>.</w:t>
      </w:r>
    </w:p>
    <w:p w14:paraId="5248D298" w14:textId="77777777" w:rsidR="003A6C64" w:rsidRPr="00CB6F57" w:rsidRDefault="003A6C64" w:rsidP="00675F0F">
      <w:pPr>
        <w:pStyle w:val="ListParagraph"/>
        <w:ind w:left="1560"/>
        <w:contextualSpacing w:val="0"/>
      </w:pPr>
    </w:p>
    <w:p w14:paraId="044754A4" w14:textId="46D9851F" w:rsidR="00DA19DE" w:rsidRPr="00825ADE" w:rsidRDefault="00DA19DE" w:rsidP="00675F0F">
      <w:pPr>
        <w:pStyle w:val="ListParagraph"/>
        <w:numPr>
          <w:ilvl w:val="0"/>
          <w:numId w:val="48"/>
        </w:numPr>
        <w:ind w:left="1560"/>
        <w:contextualSpacing w:val="0"/>
      </w:pPr>
      <w:r w:rsidRPr="00825ADE">
        <w:rPr>
          <w:rFonts w:eastAsia="Verdana" w:cs="Verdana"/>
          <w:b/>
          <w:bCs/>
          <w:color w:val="000000"/>
        </w:rPr>
        <w:t>consider the specific gendered effect of paramilitarism intimidation in NI when implementing programmes</w:t>
      </w:r>
      <w:r w:rsidR="00F01D9E">
        <w:rPr>
          <w:rFonts w:eastAsia="Verdana" w:cs="Verdana"/>
          <w:b/>
          <w:bCs/>
          <w:color w:val="000000"/>
        </w:rPr>
        <w:t>.</w:t>
      </w:r>
      <w:r w:rsidRPr="00825ADE">
        <w:rPr>
          <w:rFonts w:eastAsia="Verdana" w:cs="Verdana"/>
          <w:b/>
          <w:bCs/>
          <w:color w:val="000000"/>
        </w:rPr>
        <w:t xml:space="preserve"> </w:t>
      </w:r>
    </w:p>
    <w:p w14:paraId="4D326C4F" w14:textId="0A04399E" w:rsidR="003D055E" w:rsidRPr="00E96949" w:rsidRDefault="003D055E" w:rsidP="003A6C64">
      <w:pPr>
        <w:pStyle w:val="ListParagraph"/>
        <w:ind w:left="1440"/>
        <w:contextualSpacing w:val="0"/>
        <w:rPr>
          <w:bCs/>
        </w:rPr>
      </w:pPr>
    </w:p>
    <w:p w14:paraId="0B770DB1" w14:textId="7B68788B" w:rsidR="00A64B1A" w:rsidRPr="00166572" w:rsidRDefault="00033C9F" w:rsidP="00166572">
      <w:pPr>
        <w:pStyle w:val="Heading1"/>
        <w:numPr>
          <w:ilvl w:val="0"/>
          <w:numId w:val="21"/>
        </w:numPr>
        <w:spacing w:after="240" w:line="288" w:lineRule="auto"/>
      </w:pPr>
      <w:bookmarkStart w:id="22" w:name="_Toc156900996"/>
      <w:r w:rsidRPr="00587912">
        <w:t>A</w:t>
      </w:r>
      <w:r w:rsidR="003F3299">
        <w:t xml:space="preserve">rticle 6 – Right to </w:t>
      </w:r>
      <w:r w:rsidR="00504A08">
        <w:t>L</w:t>
      </w:r>
      <w:r w:rsidRPr="00587912">
        <w:t>ife</w:t>
      </w:r>
      <w:bookmarkEnd w:id="22"/>
    </w:p>
    <w:p w14:paraId="39956ED1" w14:textId="624BDAEC" w:rsidR="00E96949" w:rsidRPr="003D055E" w:rsidRDefault="00C6091D" w:rsidP="00500CC3">
      <w:pPr>
        <w:pStyle w:val="Heading2"/>
        <w:spacing w:after="240" w:line="288" w:lineRule="auto"/>
      </w:pPr>
      <w:bookmarkStart w:id="23" w:name="_Toc156900997"/>
      <w:r>
        <w:t>Conflict related investigations</w:t>
      </w:r>
      <w:r w:rsidR="00EA1F5C">
        <w:t xml:space="preserve">: </w:t>
      </w:r>
      <w:r w:rsidR="001347A3">
        <w:t>Deaths</w:t>
      </w:r>
      <w:bookmarkEnd w:id="23"/>
    </w:p>
    <w:p w14:paraId="191993CF" w14:textId="5F26EFC3" w:rsidR="008E7E18" w:rsidRPr="008E7E18" w:rsidRDefault="00730C44" w:rsidP="22E15799">
      <w:pPr>
        <w:pStyle w:val="ListParagraph"/>
        <w:numPr>
          <w:ilvl w:val="1"/>
          <w:numId w:val="21"/>
        </w:numPr>
        <w:ind w:left="851" w:hanging="851"/>
        <w:rPr>
          <w:color w:val="000000" w:themeColor="text1"/>
        </w:rPr>
      </w:pPr>
      <w:r>
        <w:rPr>
          <w:color w:val="000000"/>
        </w:rPr>
        <w:t>Recalling the previous recommendation,</w:t>
      </w:r>
      <w:r>
        <w:rPr>
          <w:rStyle w:val="FootnoteReference"/>
          <w:color w:val="000000"/>
        </w:rPr>
        <w:footnoteReference w:id="76"/>
      </w:r>
      <w:r>
        <w:rPr>
          <w:color w:val="000000"/>
        </w:rPr>
        <w:t xml:space="preserve"> b</w:t>
      </w:r>
      <w:r w:rsidR="00584089">
        <w:rPr>
          <w:color w:val="000000"/>
        </w:rPr>
        <w:t>etween 2021 and 2024</w:t>
      </w:r>
      <w:r w:rsidR="005741CD">
        <w:rPr>
          <w:color w:val="000000"/>
        </w:rPr>
        <w:t>,</w:t>
      </w:r>
      <w:r w:rsidR="00EF6D59">
        <w:rPr>
          <w:color w:val="000000"/>
        </w:rPr>
        <w:t xml:space="preserve"> </w:t>
      </w:r>
      <w:r w:rsidR="00857B8F">
        <w:rPr>
          <w:color w:val="000000"/>
        </w:rPr>
        <w:t>“</w:t>
      </w:r>
      <w:r w:rsidR="00EF6D59">
        <w:rPr>
          <w:color w:val="000000"/>
        </w:rPr>
        <w:t>grave concern</w:t>
      </w:r>
      <w:r w:rsidR="00857B8F">
        <w:rPr>
          <w:color w:val="000000"/>
        </w:rPr>
        <w:t>”</w:t>
      </w:r>
      <w:r w:rsidR="00EF6D59">
        <w:rPr>
          <w:color w:val="000000"/>
        </w:rPr>
        <w:t xml:space="preserve"> </w:t>
      </w:r>
      <w:r w:rsidR="0048234E">
        <w:rPr>
          <w:color w:val="000000"/>
        </w:rPr>
        <w:t>has been expr</w:t>
      </w:r>
      <w:r w:rsidR="008B3CE7">
        <w:rPr>
          <w:color w:val="000000"/>
        </w:rPr>
        <w:t>ess</w:t>
      </w:r>
      <w:r w:rsidR="0048234E">
        <w:rPr>
          <w:color w:val="000000"/>
        </w:rPr>
        <w:t xml:space="preserve">ed </w:t>
      </w:r>
      <w:r w:rsidR="00D870F5" w:rsidRPr="007478BB">
        <w:rPr>
          <w:color w:val="000000"/>
        </w:rPr>
        <w:t>at the UK Government’s plans for Troubles-related offences</w:t>
      </w:r>
      <w:r w:rsidR="0079116C">
        <w:rPr>
          <w:color w:val="000000"/>
        </w:rPr>
        <w:t>.</w:t>
      </w:r>
      <w:r w:rsidR="001454B4">
        <w:rPr>
          <w:rStyle w:val="FootnoteReference"/>
          <w:color w:val="000000"/>
        </w:rPr>
        <w:footnoteReference w:id="77"/>
      </w:r>
      <w:r w:rsidR="00D870F5" w:rsidRPr="007478BB">
        <w:rPr>
          <w:color w:val="000000"/>
        </w:rPr>
        <w:t xml:space="preserve"> </w:t>
      </w:r>
    </w:p>
    <w:p w14:paraId="6F5E69C9" w14:textId="77777777" w:rsidR="008E7E18" w:rsidRPr="008E7E18" w:rsidRDefault="008E7E18" w:rsidP="003A6C64">
      <w:pPr>
        <w:pStyle w:val="ListParagraph"/>
        <w:ind w:left="851"/>
        <w:contextualSpacing w:val="0"/>
      </w:pPr>
    </w:p>
    <w:p w14:paraId="105FDFA1" w14:textId="0A5BAA11" w:rsidR="00C930D1" w:rsidRPr="00C930D1" w:rsidRDefault="0029434C" w:rsidP="003A6C64">
      <w:pPr>
        <w:pStyle w:val="ListParagraph"/>
        <w:numPr>
          <w:ilvl w:val="1"/>
          <w:numId w:val="21"/>
        </w:numPr>
        <w:ind w:left="851" w:hanging="851"/>
        <w:contextualSpacing w:val="0"/>
      </w:pPr>
      <w:r w:rsidRPr="008E7E18">
        <w:rPr>
          <w:color w:val="000000" w:themeColor="text1"/>
        </w:rPr>
        <w:t>In September 2023, the NI Troubles (Legacy and Reconciliation) Act 2023 received Royal Assent.</w:t>
      </w:r>
      <w:r w:rsidR="00C36BBD">
        <w:rPr>
          <w:rStyle w:val="FootnoteReference"/>
          <w:color w:val="000000" w:themeColor="text1"/>
        </w:rPr>
        <w:footnoteReference w:id="78"/>
      </w:r>
      <w:r w:rsidRPr="008E7E18">
        <w:rPr>
          <w:color w:val="000000" w:themeColor="text1"/>
        </w:rPr>
        <w:t xml:space="preserve"> </w:t>
      </w:r>
      <w:r w:rsidR="00A05D97">
        <w:rPr>
          <w:color w:val="000000"/>
        </w:rPr>
        <w:t>T</w:t>
      </w:r>
      <w:r w:rsidR="008E7E18" w:rsidRPr="008E7E18">
        <w:rPr>
          <w:color w:val="000000"/>
        </w:rPr>
        <w:t>he</w:t>
      </w:r>
      <w:r w:rsidR="00A05D97">
        <w:rPr>
          <w:color w:val="000000"/>
        </w:rPr>
        <w:t xml:space="preserve"> 2023 Act establishes an</w:t>
      </w:r>
      <w:r w:rsidR="008E7E18" w:rsidRPr="008E7E18">
        <w:rPr>
          <w:color w:val="000000"/>
        </w:rPr>
        <w:t xml:space="preserve"> Independent Commission for Reconciliation and Information</w:t>
      </w:r>
      <w:r w:rsidR="000A6EFE">
        <w:rPr>
          <w:color w:val="000000"/>
        </w:rPr>
        <w:t xml:space="preserve">. There are grave concerns that the Independent Commission </w:t>
      </w:r>
      <w:r w:rsidR="008E7E18" w:rsidRPr="008E7E18">
        <w:rPr>
          <w:color w:val="000000"/>
        </w:rPr>
        <w:t>is not independent in practice and its mandate does not satisfy procedural human rights obligations.</w:t>
      </w:r>
      <w:r w:rsidR="00001EDA">
        <w:rPr>
          <w:rStyle w:val="FootnoteReference"/>
          <w:color w:val="000000"/>
        </w:rPr>
        <w:footnoteReference w:id="79"/>
      </w:r>
      <w:r w:rsidR="008E7E18" w:rsidRPr="008E7E18">
        <w:rPr>
          <w:color w:val="000000"/>
        </w:rPr>
        <w:t xml:space="preserve"> The </w:t>
      </w:r>
      <w:r w:rsidR="00BC4323">
        <w:rPr>
          <w:color w:val="000000"/>
        </w:rPr>
        <w:t xml:space="preserve">2023 Act establishes a </w:t>
      </w:r>
      <w:r w:rsidR="008E7E18" w:rsidRPr="008E7E18">
        <w:rPr>
          <w:color w:val="000000"/>
        </w:rPr>
        <w:t>conditional immunity scheme</w:t>
      </w:r>
      <w:r w:rsidR="00BC4323">
        <w:rPr>
          <w:color w:val="000000"/>
        </w:rPr>
        <w:t xml:space="preserve">, which </w:t>
      </w:r>
      <w:r w:rsidR="008E7E18" w:rsidRPr="008E7E18">
        <w:rPr>
          <w:color w:val="000000"/>
        </w:rPr>
        <w:t>applies to offences where immunity should not be an option</w:t>
      </w:r>
      <w:r w:rsidR="000D6E8D">
        <w:rPr>
          <w:color w:val="000000"/>
        </w:rPr>
        <w:t>, without adequate consideration of victims’ rights</w:t>
      </w:r>
      <w:r w:rsidR="008E7E18" w:rsidRPr="008E7E18">
        <w:rPr>
          <w:color w:val="000000"/>
        </w:rPr>
        <w:t>.</w:t>
      </w:r>
      <w:r w:rsidR="00001EDA">
        <w:rPr>
          <w:rStyle w:val="FootnoteReference"/>
          <w:color w:val="000000"/>
        </w:rPr>
        <w:footnoteReference w:id="80"/>
      </w:r>
      <w:r w:rsidR="008E7E18" w:rsidRPr="00001EDA">
        <w:rPr>
          <w:color w:val="000000"/>
        </w:rPr>
        <w:t xml:space="preserve"> The </w:t>
      </w:r>
      <w:r w:rsidR="00BC4323" w:rsidRPr="00001EDA">
        <w:rPr>
          <w:color w:val="000000"/>
        </w:rPr>
        <w:t xml:space="preserve">2023 Act also provides for the </w:t>
      </w:r>
      <w:r w:rsidR="008E7E18" w:rsidRPr="00001EDA">
        <w:rPr>
          <w:color w:val="000000"/>
        </w:rPr>
        <w:t>cessation of criminal investigations (other than those referred by the Independent Commission for Reconciliation and Information Recovery to the prosecutor), police complaints, civil proceedings and inquests/inquiries linked to Troubles-related offences</w:t>
      </w:r>
      <w:r w:rsidR="00BC4323" w:rsidRPr="00001EDA">
        <w:rPr>
          <w:color w:val="000000"/>
        </w:rPr>
        <w:t>, which</w:t>
      </w:r>
      <w:r w:rsidR="008E7E18" w:rsidRPr="00001EDA">
        <w:rPr>
          <w:color w:val="000000"/>
        </w:rPr>
        <w:t xml:space="preserve"> is likely contrary to the right to an effective remedy.</w:t>
      </w:r>
      <w:r w:rsidR="00001EDA">
        <w:rPr>
          <w:rStyle w:val="FootnoteReference"/>
          <w:color w:val="000000"/>
        </w:rPr>
        <w:footnoteReference w:id="81"/>
      </w:r>
      <w:r w:rsidR="00C930D1">
        <w:rPr>
          <w:color w:val="000000"/>
        </w:rPr>
        <w:t xml:space="preserve"> </w:t>
      </w:r>
    </w:p>
    <w:p w14:paraId="4912D6AA" w14:textId="77777777" w:rsidR="00C930D1" w:rsidRPr="00C930D1" w:rsidRDefault="00C930D1" w:rsidP="003A6C64">
      <w:pPr>
        <w:pStyle w:val="ListParagraph"/>
        <w:contextualSpacing w:val="0"/>
        <w:rPr>
          <w:color w:val="000000"/>
        </w:rPr>
      </w:pPr>
    </w:p>
    <w:p w14:paraId="29154A11" w14:textId="188ED0F3" w:rsidR="001F2D23" w:rsidRPr="001F2D23" w:rsidRDefault="00C930D1" w:rsidP="003A6C64">
      <w:pPr>
        <w:pStyle w:val="ListParagraph"/>
        <w:numPr>
          <w:ilvl w:val="1"/>
          <w:numId w:val="21"/>
        </w:numPr>
        <w:ind w:left="851" w:hanging="851"/>
        <w:contextualSpacing w:val="0"/>
      </w:pPr>
      <w:r w:rsidRPr="007478BB">
        <w:rPr>
          <w:color w:val="000000"/>
        </w:rPr>
        <w:t>The Independent Commission for Reconciliation and Information Recovery is intended to be fully operational by summer 2024.</w:t>
      </w:r>
      <w:r w:rsidRPr="007478BB">
        <w:rPr>
          <w:rStyle w:val="FootnoteReference"/>
          <w:color w:val="000000"/>
        </w:rPr>
        <w:footnoteReference w:id="82"/>
      </w:r>
      <w:r>
        <w:rPr>
          <w:color w:val="000000"/>
        </w:rPr>
        <w:t xml:space="preserve"> However, </w:t>
      </w:r>
      <w:r w:rsidR="00DD2B61">
        <w:rPr>
          <w:color w:val="000000"/>
        </w:rPr>
        <w:t>the 2023 Act</w:t>
      </w:r>
      <w:r>
        <w:rPr>
          <w:color w:val="000000"/>
        </w:rPr>
        <w:t xml:space="preserve"> </w:t>
      </w:r>
      <w:r w:rsidR="003078DC">
        <w:rPr>
          <w:color w:val="000000"/>
        </w:rPr>
        <w:t xml:space="preserve">has </w:t>
      </w:r>
      <w:r>
        <w:rPr>
          <w:color w:val="000000"/>
        </w:rPr>
        <w:t>been subject to several legal challenges</w:t>
      </w:r>
      <w:r w:rsidR="00897202">
        <w:rPr>
          <w:color w:val="000000"/>
        </w:rPr>
        <w:t>. In November 2023, the initial cases were heard with the judgment awaited.</w:t>
      </w:r>
      <w:r w:rsidR="001D23AA">
        <w:rPr>
          <w:rStyle w:val="FootnoteReference"/>
          <w:color w:val="000000"/>
        </w:rPr>
        <w:footnoteReference w:id="83"/>
      </w:r>
      <w:r w:rsidR="001D23AA">
        <w:rPr>
          <w:color w:val="000000"/>
        </w:rPr>
        <w:t xml:space="preserve"> </w:t>
      </w:r>
      <w:r w:rsidR="00B31558">
        <w:rPr>
          <w:color w:val="000000"/>
        </w:rPr>
        <w:t>In December 2023, t</w:t>
      </w:r>
      <w:r w:rsidR="001D23AA" w:rsidRPr="007478BB">
        <w:rPr>
          <w:color w:val="000000"/>
        </w:rPr>
        <w:t xml:space="preserve">he Government of Ireland </w:t>
      </w:r>
      <w:r w:rsidR="00312C40">
        <w:rPr>
          <w:color w:val="000000"/>
        </w:rPr>
        <w:t>initiated</w:t>
      </w:r>
      <w:r w:rsidR="001D23AA" w:rsidRPr="007478BB">
        <w:rPr>
          <w:color w:val="000000"/>
        </w:rPr>
        <w:t xml:space="preserve"> an inter-State case </w:t>
      </w:r>
      <w:r w:rsidR="00965C9E">
        <w:rPr>
          <w:color w:val="000000"/>
        </w:rPr>
        <w:t xml:space="preserve">against the UK </w:t>
      </w:r>
      <w:r w:rsidR="001E706F">
        <w:rPr>
          <w:color w:val="000000"/>
        </w:rPr>
        <w:t>to</w:t>
      </w:r>
      <w:r w:rsidR="004F032D">
        <w:rPr>
          <w:color w:val="000000"/>
        </w:rPr>
        <w:t xml:space="preserve"> </w:t>
      </w:r>
      <w:r w:rsidR="001D23AA" w:rsidRPr="007478BB">
        <w:rPr>
          <w:color w:val="000000"/>
        </w:rPr>
        <w:t>challeng</w:t>
      </w:r>
      <w:r w:rsidR="001E706F">
        <w:rPr>
          <w:color w:val="000000"/>
        </w:rPr>
        <w:t>e</w:t>
      </w:r>
      <w:r w:rsidR="001D23AA" w:rsidRPr="007478BB">
        <w:rPr>
          <w:color w:val="000000"/>
        </w:rPr>
        <w:t xml:space="preserve"> the </w:t>
      </w:r>
      <w:r w:rsidR="007D3821">
        <w:rPr>
          <w:color w:val="000000"/>
        </w:rPr>
        <w:t xml:space="preserve">compatibility of the </w:t>
      </w:r>
      <w:r w:rsidR="001D23AA" w:rsidRPr="007478BB">
        <w:rPr>
          <w:color w:val="000000"/>
        </w:rPr>
        <w:t>2023 Act</w:t>
      </w:r>
      <w:r w:rsidR="007D3821">
        <w:rPr>
          <w:color w:val="000000"/>
        </w:rPr>
        <w:t xml:space="preserve"> with ECHR obligations</w:t>
      </w:r>
      <w:r w:rsidR="001D23AA" w:rsidRPr="007478BB">
        <w:rPr>
          <w:color w:val="000000"/>
        </w:rPr>
        <w:t>.</w:t>
      </w:r>
      <w:r w:rsidR="001D23AA" w:rsidRPr="007478BB">
        <w:rPr>
          <w:rStyle w:val="FootnoteReference"/>
          <w:color w:val="000000"/>
        </w:rPr>
        <w:footnoteReference w:id="84"/>
      </w:r>
      <w:r w:rsidR="00B34F44">
        <w:rPr>
          <w:color w:val="000000"/>
        </w:rPr>
        <w:t xml:space="preserve"> </w:t>
      </w:r>
      <w:r w:rsidR="00CF4097">
        <w:rPr>
          <w:color w:val="000000"/>
        </w:rPr>
        <w:t xml:space="preserve">The UK </w:t>
      </w:r>
      <w:r w:rsidR="00F7250D">
        <w:rPr>
          <w:color w:val="000000"/>
        </w:rPr>
        <w:t>G</w:t>
      </w:r>
      <w:r w:rsidR="00CF4097">
        <w:rPr>
          <w:color w:val="000000"/>
        </w:rPr>
        <w:t>overnment</w:t>
      </w:r>
      <w:r w:rsidR="008E3992">
        <w:rPr>
          <w:color w:val="000000"/>
        </w:rPr>
        <w:t xml:space="preserve"> </w:t>
      </w:r>
      <w:r w:rsidR="00B34F44">
        <w:rPr>
          <w:color w:val="000000"/>
        </w:rPr>
        <w:t xml:space="preserve">advised </w:t>
      </w:r>
      <w:r w:rsidR="00977087">
        <w:rPr>
          <w:color w:val="000000"/>
        </w:rPr>
        <w:t xml:space="preserve">it will defend the legislation and ensure that </w:t>
      </w:r>
      <w:r w:rsidR="00F76211">
        <w:rPr>
          <w:color w:val="000000"/>
        </w:rPr>
        <w:t xml:space="preserve">the </w:t>
      </w:r>
      <w:r w:rsidR="00482928">
        <w:rPr>
          <w:color w:val="000000"/>
        </w:rPr>
        <w:t xml:space="preserve">work of the Independent Commission </w:t>
      </w:r>
      <w:r w:rsidR="00C55061">
        <w:rPr>
          <w:color w:val="000000"/>
        </w:rPr>
        <w:t>continue</w:t>
      </w:r>
      <w:r w:rsidR="00F76211">
        <w:rPr>
          <w:color w:val="000000"/>
        </w:rPr>
        <w:t>s</w:t>
      </w:r>
      <w:r w:rsidR="00C55061">
        <w:rPr>
          <w:color w:val="000000"/>
        </w:rPr>
        <w:t xml:space="preserve"> “without impediment</w:t>
      </w:r>
      <w:r w:rsidR="00E0791D">
        <w:rPr>
          <w:color w:val="000000"/>
        </w:rPr>
        <w:t xml:space="preserve"> while proceedings are ongoing”.</w:t>
      </w:r>
      <w:r w:rsidR="00F27E59">
        <w:rPr>
          <w:rStyle w:val="FootnoteReference"/>
          <w:color w:val="000000"/>
        </w:rPr>
        <w:footnoteReference w:id="85"/>
      </w:r>
    </w:p>
    <w:p w14:paraId="383B8C7C" w14:textId="77777777" w:rsidR="00F5160A" w:rsidRDefault="00F5160A" w:rsidP="003A6C64">
      <w:pPr>
        <w:pStyle w:val="ListParagraph"/>
        <w:contextualSpacing w:val="0"/>
      </w:pPr>
    </w:p>
    <w:p w14:paraId="257297F0" w14:textId="012481B4" w:rsidR="00F5160A" w:rsidRPr="00A949CA" w:rsidRDefault="00C0194D" w:rsidP="003A6C64">
      <w:pPr>
        <w:pStyle w:val="ListParagraph"/>
        <w:numPr>
          <w:ilvl w:val="1"/>
          <w:numId w:val="21"/>
        </w:numPr>
        <w:ind w:left="851" w:hanging="851"/>
        <w:contextualSpacing w:val="0"/>
        <w:rPr>
          <w:b/>
          <w:bCs/>
        </w:rPr>
      </w:pPr>
      <w:r w:rsidRPr="00C0194D">
        <w:rPr>
          <w:b/>
          <w:bCs/>
        </w:rPr>
        <w:t xml:space="preserve">The Committee may wish to </w:t>
      </w:r>
      <w:r w:rsidR="00313FA1">
        <w:rPr>
          <w:b/>
          <w:bCs/>
        </w:rPr>
        <w:t>recommend that</w:t>
      </w:r>
      <w:r w:rsidR="00313FA1" w:rsidRPr="00C0194D">
        <w:rPr>
          <w:b/>
          <w:bCs/>
        </w:rPr>
        <w:t xml:space="preserve"> </w:t>
      </w:r>
      <w:r w:rsidRPr="00C0194D">
        <w:rPr>
          <w:b/>
          <w:bCs/>
        </w:rPr>
        <w:t>the UK</w:t>
      </w:r>
      <w:r w:rsidR="00ED3DBE">
        <w:rPr>
          <w:b/>
          <w:bCs/>
        </w:rPr>
        <w:t xml:space="preserve"> </w:t>
      </w:r>
      <w:r w:rsidR="00313FA1">
        <w:rPr>
          <w:b/>
          <w:bCs/>
        </w:rPr>
        <w:t>takes effective steps</w:t>
      </w:r>
      <w:r w:rsidR="00ED3DBE">
        <w:rPr>
          <w:b/>
          <w:bCs/>
        </w:rPr>
        <w:t xml:space="preserve"> to</w:t>
      </w:r>
      <w:r w:rsidR="00A949CA">
        <w:rPr>
          <w:b/>
          <w:bCs/>
        </w:rPr>
        <w:t xml:space="preserve"> </w:t>
      </w:r>
      <w:r w:rsidR="00ED3DBE" w:rsidRPr="00A949CA">
        <w:rPr>
          <w:b/>
          <w:bCs/>
        </w:rPr>
        <w:t xml:space="preserve">repeal the </w:t>
      </w:r>
      <w:r w:rsidR="00EC4D74" w:rsidRPr="00A949CA">
        <w:rPr>
          <w:b/>
          <w:bCs/>
        </w:rPr>
        <w:t xml:space="preserve">NI Troubles (Legacy and Reconciliation) Act 2023 and introduce revised legislation that is human rights compliant, victim-centred, </w:t>
      </w:r>
      <w:r w:rsidR="00885CB3">
        <w:rPr>
          <w:b/>
          <w:bCs/>
        </w:rPr>
        <w:t xml:space="preserve">and </w:t>
      </w:r>
      <w:r w:rsidR="00EC4D74" w:rsidRPr="00A949CA">
        <w:rPr>
          <w:b/>
          <w:bCs/>
        </w:rPr>
        <w:t xml:space="preserve">does not restrict the investigation and prosecution of alleged </w:t>
      </w:r>
      <w:r w:rsidR="00CD0A8A">
        <w:rPr>
          <w:b/>
          <w:bCs/>
        </w:rPr>
        <w:t>Troubles-related</w:t>
      </w:r>
      <w:r w:rsidR="00CD0A8A" w:rsidRPr="00A949CA">
        <w:rPr>
          <w:b/>
          <w:bCs/>
        </w:rPr>
        <w:t xml:space="preserve"> </w:t>
      </w:r>
      <w:r w:rsidR="00EC4D74" w:rsidRPr="00A949CA">
        <w:rPr>
          <w:b/>
          <w:bCs/>
        </w:rPr>
        <w:t>killings</w:t>
      </w:r>
      <w:r w:rsidR="00060CF0">
        <w:rPr>
          <w:b/>
          <w:bCs/>
        </w:rPr>
        <w:t>.</w:t>
      </w:r>
    </w:p>
    <w:p w14:paraId="53B45816" w14:textId="77777777" w:rsidR="00FE5827" w:rsidRDefault="00FE5827" w:rsidP="003A6C64"/>
    <w:p w14:paraId="68780AB9" w14:textId="709081D9" w:rsidR="00FE5827" w:rsidRPr="00FE5827" w:rsidRDefault="00FE5827" w:rsidP="00500CC3">
      <w:pPr>
        <w:pStyle w:val="Heading2"/>
        <w:spacing w:after="240" w:line="288" w:lineRule="auto"/>
      </w:pPr>
      <w:bookmarkStart w:id="24" w:name="_Toc156900998"/>
      <w:r>
        <w:t>Legacy inquests</w:t>
      </w:r>
      <w:bookmarkEnd w:id="24"/>
      <w:r>
        <w:t xml:space="preserve"> </w:t>
      </w:r>
    </w:p>
    <w:p w14:paraId="6D163548" w14:textId="737A3388" w:rsidR="009A3102" w:rsidRPr="009A3102" w:rsidRDefault="006B7C6C" w:rsidP="22E15799">
      <w:pPr>
        <w:pStyle w:val="ListParagraph"/>
        <w:numPr>
          <w:ilvl w:val="1"/>
          <w:numId w:val="21"/>
        </w:numPr>
        <w:ind w:left="851" w:hanging="851"/>
      </w:pPr>
      <w:r>
        <w:rPr>
          <w:color w:val="000000"/>
        </w:rPr>
        <w:t>Recalling the previous recommendation,</w:t>
      </w:r>
      <w:r>
        <w:rPr>
          <w:rStyle w:val="FootnoteReference"/>
          <w:color w:val="000000"/>
        </w:rPr>
        <w:footnoteReference w:id="86"/>
      </w:r>
      <w:r>
        <w:rPr>
          <w:color w:val="000000"/>
        </w:rPr>
        <w:t xml:space="preserve"> i</w:t>
      </w:r>
      <w:r w:rsidR="008E3992">
        <w:rPr>
          <w:color w:val="000000"/>
        </w:rPr>
        <w:t>n</w:t>
      </w:r>
      <w:r w:rsidR="009229BA" w:rsidRPr="007478BB">
        <w:rPr>
          <w:color w:val="000000"/>
        </w:rPr>
        <w:t xml:space="preserve"> 2019, the Legacy Inquest Unit was established</w:t>
      </w:r>
      <w:r w:rsidR="009229BA">
        <w:rPr>
          <w:color w:val="000000"/>
        </w:rPr>
        <w:t>.</w:t>
      </w:r>
      <w:r w:rsidR="00137DB5">
        <w:rPr>
          <w:color w:val="000000"/>
        </w:rPr>
        <w:t xml:space="preserve"> Despite delays due to the COVID-19 pandemic,</w:t>
      </w:r>
      <w:r w:rsidR="00C72934">
        <w:rPr>
          <w:rStyle w:val="FootnoteReference"/>
          <w:color w:val="000000"/>
        </w:rPr>
        <w:footnoteReference w:id="87"/>
      </w:r>
      <w:r w:rsidR="00137DB5">
        <w:rPr>
          <w:color w:val="000000"/>
        </w:rPr>
        <w:t xml:space="preserve"> </w:t>
      </w:r>
      <w:r w:rsidR="00692395" w:rsidRPr="007478BB">
        <w:rPr>
          <w:color w:val="000000"/>
        </w:rPr>
        <w:t xml:space="preserve">the Legacy Inquest Unit had completed </w:t>
      </w:r>
      <w:r w:rsidR="7500DB32" w:rsidRPr="007478BB">
        <w:rPr>
          <w:color w:val="000000"/>
        </w:rPr>
        <w:t>nine</w:t>
      </w:r>
      <w:r w:rsidR="00692395" w:rsidRPr="007478BB">
        <w:rPr>
          <w:color w:val="000000"/>
        </w:rPr>
        <w:t xml:space="preserve"> inquests</w:t>
      </w:r>
      <w:r w:rsidR="00692395">
        <w:rPr>
          <w:color w:val="000000"/>
        </w:rPr>
        <w:t xml:space="preserve"> by </w:t>
      </w:r>
      <w:r w:rsidR="31CD656B">
        <w:rPr>
          <w:color w:val="000000"/>
        </w:rPr>
        <w:t>the end of 2023 and was considering a further three</w:t>
      </w:r>
      <w:r w:rsidR="00692395">
        <w:rPr>
          <w:color w:val="000000"/>
        </w:rPr>
        <w:t>.</w:t>
      </w:r>
      <w:r w:rsidR="00171C71">
        <w:rPr>
          <w:rStyle w:val="FootnoteReference"/>
          <w:color w:val="000000"/>
        </w:rPr>
        <w:footnoteReference w:id="88"/>
      </w:r>
      <w:r w:rsidR="00E20199" w:rsidRPr="00153695">
        <w:rPr>
          <w:color w:val="000000"/>
        </w:rPr>
        <w:t xml:space="preserve"> </w:t>
      </w:r>
      <w:r w:rsidR="2669CAF2">
        <w:t xml:space="preserve">Despite </w:t>
      </w:r>
      <w:r w:rsidR="2669CAF2">
        <w:lastRenderedPageBreak/>
        <w:t>this progress</w:t>
      </w:r>
      <w:r w:rsidR="00BB45C8">
        <w:t xml:space="preserve">, </w:t>
      </w:r>
      <w:r w:rsidR="00BB45C8">
        <w:rPr>
          <w:color w:val="000000"/>
        </w:rPr>
        <w:t>t</w:t>
      </w:r>
      <w:r w:rsidR="00BB45C8" w:rsidRPr="007147F2">
        <w:rPr>
          <w:color w:val="000000"/>
        </w:rPr>
        <w:t>he NI Troubles (Legacy and Reconciliation) Act 2023 imposes a cessation of criminal investigations</w:t>
      </w:r>
      <w:r w:rsidR="00AD2E3E">
        <w:rPr>
          <w:color w:val="000000"/>
        </w:rPr>
        <w:t>,</w:t>
      </w:r>
      <w:r w:rsidR="00AD2E3E">
        <w:rPr>
          <w:rStyle w:val="FootnoteReference"/>
          <w:color w:val="000000"/>
        </w:rPr>
        <w:footnoteReference w:id="89"/>
      </w:r>
      <w:r w:rsidR="00BB45C8" w:rsidRPr="007147F2">
        <w:rPr>
          <w:color w:val="000000"/>
        </w:rPr>
        <w:t xml:space="preserve"> police complaints, civil proceedings and inquests/inquiries linked to Troubles-related offences by 1 May 2024.</w:t>
      </w:r>
    </w:p>
    <w:p w14:paraId="05CC2CE9" w14:textId="0BD96789" w:rsidR="001127A6" w:rsidRPr="001127A6" w:rsidRDefault="001127A6" w:rsidP="003A6C64"/>
    <w:p w14:paraId="097DC478" w14:textId="4D2B31B7" w:rsidR="00F50A4C" w:rsidRPr="000E1937" w:rsidRDefault="00F50A4C" w:rsidP="003A6C64">
      <w:pPr>
        <w:pStyle w:val="ListParagraph"/>
        <w:numPr>
          <w:ilvl w:val="1"/>
          <w:numId w:val="21"/>
        </w:numPr>
        <w:ind w:left="851" w:hanging="851"/>
        <w:contextualSpacing w:val="0"/>
        <w:rPr>
          <w:b/>
          <w:bCs/>
        </w:rPr>
      </w:pPr>
      <w:r w:rsidRPr="00381DA3">
        <w:rPr>
          <w:b/>
          <w:bCs/>
          <w:color w:val="000000"/>
        </w:rPr>
        <w:t xml:space="preserve">The Committee may wish </w:t>
      </w:r>
      <w:r w:rsidR="00A63C34">
        <w:rPr>
          <w:b/>
          <w:bCs/>
          <w:color w:val="000000"/>
        </w:rPr>
        <w:t xml:space="preserve">to </w:t>
      </w:r>
      <w:r>
        <w:rPr>
          <w:b/>
          <w:bCs/>
          <w:color w:val="000000"/>
        </w:rPr>
        <w:t>recommend that</w:t>
      </w:r>
      <w:r w:rsidRPr="00381DA3">
        <w:rPr>
          <w:b/>
          <w:bCs/>
          <w:color w:val="000000"/>
        </w:rPr>
        <w:t xml:space="preserve"> the UK </w:t>
      </w:r>
      <w:r>
        <w:rPr>
          <w:b/>
          <w:bCs/>
          <w:color w:val="000000"/>
        </w:rPr>
        <w:t xml:space="preserve">takes effective </w:t>
      </w:r>
      <w:r w:rsidR="00E13423">
        <w:rPr>
          <w:b/>
          <w:bCs/>
          <w:color w:val="000000"/>
        </w:rPr>
        <w:t>steps</w:t>
      </w:r>
      <w:r>
        <w:rPr>
          <w:b/>
          <w:bCs/>
          <w:color w:val="000000"/>
        </w:rPr>
        <w:t xml:space="preserve"> to: </w:t>
      </w:r>
    </w:p>
    <w:p w14:paraId="38E6F474" w14:textId="77777777" w:rsidR="00F50A4C" w:rsidRPr="00A7547B" w:rsidRDefault="00F50A4C" w:rsidP="003A6C64">
      <w:pPr>
        <w:pStyle w:val="ListParagraph"/>
        <w:ind w:left="851"/>
        <w:contextualSpacing w:val="0"/>
        <w:rPr>
          <w:b/>
          <w:bCs/>
        </w:rPr>
      </w:pPr>
    </w:p>
    <w:p w14:paraId="0F3CDD36" w14:textId="77777777" w:rsidR="00F50A4C" w:rsidRDefault="00F50A4C" w:rsidP="00500CC3">
      <w:pPr>
        <w:pStyle w:val="ListParagraph"/>
        <w:numPr>
          <w:ilvl w:val="0"/>
          <w:numId w:val="37"/>
        </w:numPr>
        <w:ind w:left="1560"/>
        <w:contextualSpacing w:val="0"/>
        <w:rPr>
          <w:b/>
          <w:bCs/>
          <w:color w:val="000000"/>
        </w:rPr>
      </w:pPr>
      <w:r w:rsidRPr="001D4CD9">
        <w:rPr>
          <w:b/>
          <w:bCs/>
        </w:rPr>
        <w:t>ensure the</w:t>
      </w:r>
      <w:r w:rsidRPr="001D4CD9">
        <w:rPr>
          <w:b/>
          <w:bCs/>
          <w:color w:val="000000"/>
        </w:rPr>
        <w:t xml:space="preserve"> NI Troubles (Legacy and Reconciliation) Act 2023 </w:t>
      </w:r>
      <w:r w:rsidRPr="001D4CD9">
        <w:rPr>
          <w:b/>
          <w:bCs/>
        </w:rPr>
        <w:t xml:space="preserve">does not </w:t>
      </w:r>
      <w:r w:rsidRPr="001D4CD9">
        <w:rPr>
          <w:b/>
          <w:bCs/>
          <w:color w:val="000000"/>
        </w:rPr>
        <w:t xml:space="preserve">close off </w:t>
      </w:r>
      <w:r>
        <w:rPr>
          <w:b/>
          <w:bCs/>
          <w:color w:val="000000"/>
        </w:rPr>
        <w:t xml:space="preserve">any </w:t>
      </w:r>
      <w:r w:rsidRPr="001D4CD9">
        <w:rPr>
          <w:b/>
          <w:bCs/>
          <w:color w:val="000000"/>
        </w:rPr>
        <w:t>pursuit of justice</w:t>
      </w:r>
      <w:r>
        <w:rPr>
          <w:b/>
          <w:bCs/>
          <w:color w:val="000000"/>
        </w:rPr>
        <w:t xml:space="preserve"> </w:t>
      </w:r>
      <w:r w:rsidRPr="005F7412">
        <w:rPr>
          <w:b/>
          <w:bCs/>
          <w:color w:val="000000"/>
        </w:rPr>
        <w:t>outside of the proposed Independent Commission for Reconciliation and Information Recovery</w:t>
      </w:r>
      <w:r>
        <w:rPr>
          <w:b/>
          <w:bCs/>
          <w:color w:val="000000"/>
        </w:rPr>
        <w:t>.</w:t>
      </w:r>
    </w:p>
    <w:p w14:paraId="2CFF16A4" w14:textId="77777777" w:rsidR="00F50A4C" w:rsidRDefault="00F50A4C" w:rsidP="00500CC3">
      <w:pPr>
        <w:pStyle w:val="ListParagraph"/>
        <w:ind w:left="1560"/>
        <w:contextualSpacing w:val="0"/>
        <w:rPr>
          <w:b/>
          <w:bCs/>
          <w:color w:val="000000"/>
        </w:rPr>
      </w:pPr>
    </w:p>
    <w:p w14:paraId="04E3A7E9" w14:textId="693C06EB" w:rsidR="001127A6" w:rsidRPr="008059E7" w:rsidRDefault="00F50A4C" w:rsidP="00500CC3">
      <w:pPr>
        <w:pStyle w:val="ListParagraph"/>
        <w:numPr>
          <w:ilvl w:val="0"/>
          <w:numId w:val="37"/>
        </w:numPr>
        <w:spacing w:after="240"/>
        <w:ind w:left="1560"/>
        <w:contextualSpacing w:val="0"/>
        <w:rPr>
          <w:b/>
          <w:bCs/>
          <w:color w:val="000000"/>
        </w:rPr>
      </w:pPr>
      <w:r w:rsidRPr="001D4CD9">
        <w:rPr>
          <w:b/>
          <w:bCs/>
        </w:rPr>
        <w:t>support the work of the Legacy Inquest</w:t>
      </w:r>
      <w:r>
        <w:rPr>
          <w:b/>
          <w:bCs/>
        </w:rPr>
        <w:t>s</w:t>
      </w:r>
      <w:r w:rsidRPr="001D4CD9">
        <w:rPr>
          <w:b/>
          <w:bCs/>
        </w:rPr>
        <w:t xml:space="preserve"> Uni</w:t>
      </w:r>
      <w:r>
        <w:rPr>
          <w:b/>
          <w:bCs/>
        </w:rPr>
        <w:t>t to</w:t>
      </w:r>
      <w:r w:rsidRPr="001D4CD9">
        <w:rPr>
          <w:b/>
          <w:bCs/>
        </w:rPr>
        <w:t xml:space="preserve"> ensur</w:t>
      </w:r>
      <w:r>
        <w:rPr>
          <w:b/>
          <w:bCs/>
        </w:rPr>
        <w:t>e</w:t>
      </w:r>
      <w:r w:rsidRPr="001D4CD9">
        <w:rPr>
          <w:b/>
          <w:bCs/>
        </w:rPr>
        <w:t xml:space="preserve"> its investigations are </w:t>
      </w:r>
      <w:r>
        <w:rPr>
          <w:b/>
          <w:bCs/>
        </w:rPr>
        <w:t xml:space="preserve">adequately resourced and </w:t>
      </w:r>
      <w:r w:rsidRPr="001D4CD9">
        <w:rPr>
          <w:b/>
          <w:bCs/>
        </w:rPr>
        <w:t>compliant with the right to life</w:t>
      </w:r>
      <w:r>
        <w:rPr>
          <w:b/>
          <w:bCs/>
        </w:rPr>
        <w:t>.</w:t>
      </w:r>
    </w:p>
    <w:p w14:paraId="26A30B72" w14:textId="0C76B2C3" w:rsidR="00A3434A" w:rsidRPr="00880342" w:rsidRDefault="00FA0F33" w:rsidP="00500CC3">
      <w:pPr>
        <w:pStyle w:val="Heading2"/>
      </w:pPr>
      <w:bookmarkStart w:id="25" w:name="_Toc156900999"/>
      <w:r w:rsidRPr="00880342">
        <w:t>Legacy inquiries</w:t>
      </w:r>
      <w:bookmarkEnd w:id="25"/>
    </w:p>
    <w:p w14:paraId="49D1827F" w14:textId="747730E4" w:rsidR="0053352B" w:rsidRPr="0053352B" w:rsidRDefault="002F45EB" w:rsidP="003A6C64">
      <w:pPr>
        <w:pStyle w:val="ListParagraph"/>
        <w:numPr>
          <w:ilvl w:val="1"/>
          <w:numId w:val="21"/>
        </w:numPr>
        <w:ind w:left="851" w:hanging="851"/>
        <w:contextualSpacing w:val="0"/>
      </w:pPr>
      <w:r>
        <w:rPr>
          <w:color w:val="000000"/>
        </w:rPr>
        <w:t>Despite</w:t>
      </w:r>
      <w:r w:rsidR="00341D79">
        <w:rPr>
          <w:color w:val="000000"/>
        </w:rPr>
        <w:t xml:space="preserve"> </w:t>
      </w:r>
      <w:r w:rsidR="00B4035C">
        <w:rPr>
          <w:color w:val="000000"/>
        </w:rPr>
        <w:t>a</w:t>
      </w:r>
      <w:r w:rsidR="00341D79">
        <w:rPr>
          <w:color w:val="000000"/>
        </w:rPr>
        <w:t xml:space="preserve"> previous recommendation</w:t>
      </w:r>
      <w:r w:rsidR="00117DFC">
        <w:rPr>
          <w:color w:val="000000"/>
        </w:rPr>
        <w:t>,</w:t>
      </w:r>
      <w:r w:rsidR="00341D79">
        <w:rPr>
          <w:rStyle w:val="FootnoteReference"/>
          <w:color w:val="000000"/>
        </w:rPr>
        <w:footnoteReference w:id="90"/>
      </w:r>
      <w:r w:rsidR="00341D79">
        <w:rPr>
          <w:color w:val="000000"/>
        </w:rPr>
        <w:t xml:space="preserve"> </w:t>
      </w:r>
      <w:r w:rsidR="00117DFC">
        <w:rPr>
          <w:color w:val="000000"/>
        </w:rPr>
        <w:t xml:space="preserve">there </w:t>
      </w:r>
      <w:r w:rsidR="005766BA">
        <w:t xml:space="preserve">has not been </w:t>
      </w:r>
      <w:r w:rsidR="00AC5FE7">
        <w:t>a right to life compliant</w:t>
      </w:r>
      <w:r w:rsidR="005766BA" w:rsidRPr="004A5334">
        <w:t xml:space="preserve"> inquiry into the death of </w:t>
      </w:r>
      <w:r w:rsidR="00117DFC">
        <w:t>Patrick</w:t>
      </w:r>
      <w:r w:rsidR="005766BA" w:rsidRPr="004A5334">
        <w:t xml:space="preserve"> Finucane</w:t>
      </w:r>
      <w:r w:rsidR="00117DFC">
        <w:t>.</w:t>
      </w:r>
      <w:r w:rsidR="00D2180F">
        <w:t xml:space="preserve"> </w:t>
      </w:r>
      <w:r w:rsidR="0053352B" w:rsidRPr="00D2180F">
        <w:rPr>
          <w:color w:val="000000"/>
        </w:rPr>
        <w:t xml:space="preserve">In 2022, the </w:t>
      </w:r>
      <w:r w:rsidR="00264A86" w:rsidRPr="003E3867">
        <w:rPr>
          <w:color w:val="000000"/>
        </w:rPr>
        <w:t>High Court of Justice in NI</w:t>
      </w:r>
      <w:r w:rsidR="0053352B" w:rsidRPr="00D2180F">
        <w:rPr>
          <w:color w:val="000000"/>
        </w:rPr>
        <w:t xml:space="preserve"> found that the UK Government “remains in breach of Article 2 [of the ECHR] on the basis of the ongoing delay in completing an investigation which satisfies the requirements of that provision”.</w:t>
      </w:r>
      <w:r w:rsidR="0053352B" w:rsidRPr="007478BB">
        <w:rPr>
          <w:rStyle w:val="FootnoteReference"/>
          <w:color w:val="000000"/>
        </w:rPr>
        <w:footnoteReference w:id="91"/>
      </w:r>
      <w:r w:rsidR="0053352B" w:rsidRPr="00D2180F">
        <w:rPr>
          <w:color w:val="000000"/>
        </w:rPr>
        <w:t xml:space="preserve"> </w:t>
      </w:r>
    </w:p>
    <w:p w14:paraId="0588183C" w14:textId="77777777" w:rsidR="0053352B" w:rsidRPr="0053352B" w:rsidRDefault="0053352B" w:rsidP="003A6C64">
      <w:pPr>
        <w:pStyle w:val="ListParagraph"/>
        <w:contextualSpacing w:val="0"/>
        <w:rPr>
          <w:color w:val="000000"/>
        </w:rPr>
      </w:pPr>
    </w:p>
    <w:p w14:paraId="6A8414C3" w14:textId="77777777" w:rsidR="001127A6" w:rsidRPr="001127A6" w:rsidRDefault="00D04CA4" w:rsidP="003A6C64">
      <w:pPr>
        <w:pStyle w:val="ListParagraph"/>
        <w:numPr>
          <w:ilvl w:val="1"/>
          <w:numId w:val="21"/>
        </w:numPr>
        <w:ind w:left="851" w:hanging="851"/>
        <w:contextualSpacing w:val="0"/>
      </w:pPr>
      <w:r w:rsidRPr="007478BB">
        <w:rPr>
          <w:color w:val="000000"/>
        </w:rPr>
        <w:t xml:space="preserve">In 2023, the </w:t>
      </w:r>
      <w:r w:rsidRPr="007478BB">
        <w:rPr>
          <w:color w:val="000000" w:themeColor="text1"/>
        </w:rPr>
        <w:t xml:space="preserve">High Court </w:t>
      </w:r>
      <w:r w:rsidRPr="007478BB">
        <w:rPr>
          <w:color w:val="000000"/>
        </w:rPr>
        <w:t>awarded the Finucane family further damages due to the ongoing breach.</w:t>
      </w:r>
      <w:r w:rsidRPr="007478BB">
        <w:rPr>
          <w:rStyle w:val="FootnoteReference"/>
          <w:color w:val="000000"/>
        </w:rPr>
        <w:footnoteReference w:id="92"/>
      </w:r>
      <w:r w:rsidRPr="007478BB">
        <w:rPr>
          <w:color w:val="000000"/>
        </w:rPr>
        <w:t xml:space="preserve"> However, the Secretary of State for NI</w:t>
      </w:r>
      <w:r>
        <w:rPr>
          <w:color w:val="000000"/>
        </w:rPr>
        <w:t xml:space="preserve"> </w:t>
      </w:r>
      <w:r w:rsidRPr="007478BB">
        <w:rPr>
          <w:color w:val="000000"/>
        </w:rPr>
        <w:t xml:space="preserve">has appealed the </w:t>
      </w:r>
      <w:r w:rsidRPr="007478BB">
        <w:rPr>
          <w:color w:val="000000" w:themeColor="text1"/>
        </w:rPr>
        <w:t>High Court’s</w:t>
      </w:r>
      <w:r w:rsidRPr="007478BB">
        <w:rPr>
          <w:color w:val="000000"/>
        </w:rPr>
        <w:t xml:space="preserve"> judgment.</w:t>
      </w:r>
      <w:r w:rsidRPr="007478BB">
        <w:rPr>
          <w:rStyle w:val="FootnoteReference"/>
          <w:color w:val="000000"/>
        </w:rPr>
        <w:footnoteReference w:id="93"/>
      </w:r>
      <w:r w:rsidRPr="007478BB">
        <w:rPr>
          <w:color w:val="000000"/>
        </w:rPr>
        <w:t xml:space="preserve"> </w:t>
      </w:r>
      <w:r w:rsidR="00391D55">
        <w:rPr>
          <w:color w:val="000000"/>
        </w:rPr>
        <w:t>T</w:t>
      </w:r>
      <w:r w:rsidRPr="007478BB">
        <w:rPr>
          <w:color w:val="000000"/>
        </w:rPr>
        <w:t xml:space="preserve">he Court of Appeal in NI </w:t>
      </w:r>
      <w:r w:rsidR="00391D55">
        <w:rPr>
          <w:color w:val="000000"/>
        </w:rPr>
        <w:t xml:space="preserve">has </w:t>
      </w:r>
      <w:r w:rsidRPr="007478BB">
        <w:rPr>
          <w:color w:val="000000"/>
        </w:rPr>
        <w:t>heard the case</w:t>
      </w:r>
      <w:r w:rsidR="00391D55">
        <w:rPr>
          <w:color w:val="000000"/>
        </w:rPr>
        <w:t xml:space="preserve"> and</w:t>
      </w:r>
      <w:r w:rsidRPr="007478BB">
        <w:rPr>
          <w:color w:val="000000"/>
        </w:rPr>
        <w:t xml:space="preserve"> </w:t>
      </w:r>
      <w:r>
        <w:rPr>
          <w:color w:val="000000"/>
        </w:rPr>
        <w:t>the</w:t>
      </w:r>
      <w:r w:rsidRPr="007478BB">
        <w:rPr>
          <w:color w:val="000000"/>
        </w:rPr>
        <w:t xml:space="preserve"> judgment awaited.</w:t>
      </w:r>
      <w:r w:rsidRPr="007478BB">
        <w:rPr>
          <w:rStyle w:val="FootnoteReference"/>
          <w:color w:val="000000"/>
        </w:rPr>
        <w:footnoteReference w:id="94"/>
      </w:r>
    </w:p>
    <w:p w14:paraId="681D607E" w14:textId="77777777" w:rsidR="001127A6" w:rsidRPr="001127A6" w:rsidRDefault="001127A6" w:rsidP="003A6C64">
      <w:pPr>
        <w:pStyle w:val="ListParagraph"/>
        <w:contextualSpacing w:val="0"/>
        <w:rPr>
          <w:bCs/>
          <w:u w:val="single"/>
        </w:rPr>
      </w:pPr>
    </w:p>
    <w:p w14:paraId="49BA6DCD" w14:textId="46B80399" w:rsidR="003E6E5D" w:rsidRPr="003E6E5D" w:rsidRDefault="006F3F2D" w:rsidP="003A6C64">
      <w:pPr>
        <w:pStyle w:val="ListParagraph"/>
        <w:numPr>
          <w:ilvl w:val="1"/>
          <w:numId w:val="21"/>
        </w:numPr>
        <w:ind w:left="851" w:hanging="851"/>
        <w:contextualSpacing w:val="0"/>
      </w:pPr>
      <w:r w:rsidRPr="007478BB">
        <w:t>In 2021, after several legal cases,</w:t>
      </w:r>
      <w:r w:rsidRPr="007478BB">
        <w:rPr>
          <w:rStyle w:val="FootnoteReference"/>
        </w:rPr>
        <w:footnoteReference w:id="95"/>
      </w:r>
      <w:r w:rsidRPr="007478BB">
        <w:t xml:space="preserve"> the </w:t>
      </w:r>
      <w:r w:rsidR="00264A86" w:rsidRPr="003E3867">
        <w:rPr>
          <w:color w:val="000000"/>
        </w:rPr>
        <w:t xml:space="preserve">High Court of Justice in NI </w:t>
      </w:r>
      <w:r w:rsidRPr="007478BB">
        <w:t>ruled there are “plausible arguments that there was a real prospect of preventing the Omagh bombing”.</w:t>
      </w:r>
      <w:r w:rsidRPr="007478BB">
        <w:rPr>
          <w:rStyle w:val="FootnoteReference"/>
        </w:rPr>
        <w:footnoteReference w:id="96"/>
      </w:r>
      <w:r>
        <w:t xml:space="preserve"> </w:t>
      </w:r>
      <w:r w:rsidR="003E6E5D" w:rsidRPr="003E6E5D">
        <w:t>In 2023, the UK Government</w:t>
      </w:r>
      <w:r w:rsidR="00AE19CE">
        <w:t xml:space="preserve"> announced </w:t>
      </w:r>
      <w:r w:rsidR="007367AC">
        <w:t>its</w:t>
      </w:r>
      <w:r w:rsidR="003E6E5D" w:rsidRPr="003E6E5D">
        <w:t xml:space="preserve"> intention to establish an independent statutory inquiry into the preventability of the Omagh bombing.</w:t>
      </w:r>
      <w:r w:rsidR="003E6E5D" w:rsidRPr="003E6E5D">
        <w:rPr>
          <w:vertAlign w:val="superscript"/>
        </w:rPr>
        <w:footnoteReference w:id="97"/>
      </w:r>
      <w:r w:rsidR="003E6E5D" w:rsidRPr="003E6E5D">
        <w:t xml:space="preserve"> </w:t>
      </w:r>
    </w:p>
    <w:p w14:paraId="65806827" w14:textId="77777777" w:rsidR="00381DA3" w:rsidRPr="00A43B38" w:rsidRDefault="00381DA3" w:rsidP="003A6C64"/>
    <w:p w14:paraId="274609E7" w14:textId="2AE8242C" w:rsidR="00A43B38" w:rsidRPr="000E1937" w:rsidRDefault="00E43BD7" w:rsidP="003A6C64">
      <w:pPr>
        <w:pStyle w:val="ListParagraph"/>
        <w:numPr>
          <w:ilvl w:val="1"/>
          <w:numId w:val="21"/>
        </w:numPr>
        <w:ind w:left="851" w:hanging="851"/>
        <w:contextualSpacing w:val="0"/>
        <w:rPr>
          <w:b/>
          <w:bCs/>
        </w:rPr>
      </w:pPr>
      <w:r w:rsidRPr="00381DA3">
        <w:rPr>
          <w:b/>
          <w:bCs/>
          <w:color w:val="000000"/>
        </w:rPr>
        <w:t xml:space="preserve">The Committee may wish </w:t>
      </w:r>
      <w:r w:rsidR="006E195D">
        <w:rPr>
          <w:b/>
          <w:bCs/>
          <w:color w:val="000000"/>
        </w:rPr>
        <w:t>to</w:t>
      </w:r>
      <w:r w:rsidRPr="00381DA3">
        <w:rPr>
          <w:b/>
          <w:bCs/>
          <w:color w:val="000000"/>
        </w:rPr>
        <w:t xml:space="preserve"> </w:t>
      </w:r>
      <w:r w:rsidR="008E5146">
        <w:rPr>
          <w:b/>
          <w:bCs/>
          <w:color w:val="000000"/>
        </w:rPr>
        <w:t>recommend that the</w:t>
      </w:r>
      <w:r w:rsidRPr="00381DA3">
        <w:rPr>
          <w:b/>
          <w:bCs/>
          <w:color w:val="000000"/>
        </w:rPr>
        <w:t xml:space="preserve"> UK </w:t>
      </w:r>
      <w:r w:rsidR="008E5146">
        <w:rPr>
          <w:b/>
          <w:bCs/>
          <w:color w:val="000000"/>
        </w:rPr>
        <w:t xml:space="preserve">takes effective </w:t>
      </w:r>
      <w:r w:rsidR="00A63C34">
        <w:rPr>
          <w:b/>
          <w:bCs/>
          <w:color w:val="000000"/>
        </w:rPr>
        <w:t>steps</w:t>
      </w:r>
      <w:r w:rsidR="00900816">
        <w:rPr>
          <w:b/>
          <w:bCs/>
          <w:color w:val="000000"/>
        </w:rPr>
        <w:t xml:space="preserve"> to</w:t>
      </w:r>
      <w:r w:rsidR="00A7547B">
        <w:rPr>
          <w:b/>
          <w:bCs/>
          <w:color w:val="000000"/>
        </w:rPr>
        <w:t xml:space="preserve">: </w:t>
      </w:r>
    </w:p>
    <w:p w14:paraId="7D3D87B3" w14:textId="77777777" w:rsidR="001C5FA7" w:rsidRPr="00273F33" w:rsidRDefault="001C5FA7" w:rsidP="003A6C64">
      <w:pPr>
        <w:rPr>
          <w:b/>
          <w:bCs/>
          <w:color w:val="000000"/>
        </w:rPr>
      </w:pPr>
    </w:p>
    <w:p w14:paraId="308F5913" w14:textId="4B1DA5F8" w:rsidR="000E1937" w:rsidRPr="000F1504" w:rsidRDefault="0051414F" w:rsidP="00675F0F">
      <w:pPr>
        <w:pStyle w:val="ListParagraph"/>
        <w:numPr>
          <w:ilvl w:val="0"/>
          <w:numId w:val="37"/>
        </w:numPr>
        <w:ind w:left="1560"/>
        <w:contextualSpacing w:val="0"/>
        <w:rPr>
          <w:b/>
          <w:bCs/>
          <w:color w:val="000000"/>
        </w:rPr>
      </w:pPr>
      <w:r w:rsidRPr="00317190">
        <w:rPr>
          <w:b/>
          <w:bCs/>
        </w:rPr>
        <w:t>expeditiously initiate a right to life compliant inquiry into the death of Patrick Finucane</w:t>
      </w:r>
      <w:r w:rsidR="008E5146">
        <w:rPr>
          <w:b/>
          <w:bCs/>
        </w:rPr>
        <w:t>.</w:t>
      </w:r>
    </w:p>
    <w:p w14:paraId="6DB9388D" w14:textId="77777777" w:rsidR="000F1504" w:rsidRPr="000F1504" w:rsidRDefault="000F1504" w:rsidP="00675F0F">
      <w:pPr>
        <w:pStyle w:val="ListParagraph"/>
        <w:ind w:left="1560"/>
        <w:contextualSpacing w:val="0"/>
        <w:rPr>
          <w:b/>
          <w:bCs/>
          <w:color w:val="000000"/>
        </w:rPr>
      </w:pPr>
    </w:p>
    <w:p w14:paraId="6FD8DD93" w14:textId="4B750A36" w:rsidR="000F1504" w:rsidRPr="000F1504" w:rsidRDefault="000F1504" w:rsidP="00675F0F">
      <w:pPr>
        <w:pStyle w:val="ListParagraph"/>
        <w:numPr>
          <w:ilvl w:val="0"/>
          <w:numId w:val="37"/>
        </w:numPr>
        <w:ind w:left="1560"/>
        <w:contextualSpacing w:val="0"/>
        <w:rPr>
          <w:b/>
          <w:bCs/>
          <w:color w:val="000000"/>
        </w:rPr>
      </w:pPr>
      <w:r w:rsidRPr="000F1504">
        <w:rPr>
          <w:b/>
          <w:bCs/>
        </w:rPr>
        <w:t>ensure that the Omagh Bombing Inquiry is compliant with the right to life and freedom from torture</w:t>
      </w:r>
      <w:r w:rsidR="008E5146">
        <w:rPr>
          <w:b/>
          <w:bCs/>
        </w:rPr>
        <w:t>.</w:t>
      </w:r>
    </w:p>
    <w:p w14:paraId="65614AB7" w14:textId="77777777" w:rsidR="004F384D" w:rsidRPr="004F384D" w:rsidRDefault="004F384D" w:rsidP="003A6C64"/>
    <w:p w14:paraId="6AA06C13" w14:textId="67153FF1" w:rsidR="004F384D" w:rsidRPr="004F384D" w:rsidRDefault="004F384D" w:rsidP="00500CC3">
      <w:pPr>
        <w:pStyle w:val="Heading2"/>
        <w:spacing w:after="240" w:line="288" w:lineRule="auto"/>
      </w:pPr>
      <w:bookmarkStart w:id="26" w:name="_Toc156901000"/>
      <w:r>
        <w:t>Inquiries Act 2005</w:t>
      </w:r>
      <w:bookmarkEnd w:id="26"/>
    </w:p>
    <w:p w14:paraId="52EA344E" w14:textId="21FD3063" w:rsidR="005D07DD" w:rsidRDefault="007B67D6" w:rsidP="003A6C64">
      <w:pPr>
        <w:pStyle w:val="ListParagraph"/>
        <w:numPr>
          <w:ilvl w:val="1"/>
          <w:numId w:val="21"/>
        </w:numPr>
        <w:ind w:left="851" w:hanging="851"/>
        <w:contextualSpacing w:val="0"/>
        <w:rPr>
          <w:color w:val="000000"/>
        </w:rPr>
      </w:pPr>
      <w:r>
        <w:t>Despite a previous recommendation,</w:t>
      </w:r>
      <w:r w:rsidRPr="00E653E3">
        <w:rPr>
          <w:color w:val="000000"/>
          <w:vertAlign w:val="superscript"/>
        </w:rPr>
        <w:footnoteReference w:id="98"/>
      </w:r>
      <w:r>
        <w:t xml:space="preserve"> </w:t>
      </w:r>
      <w:r w:rsidR="006F5866">
        <w:t xml:space="preserve">the broad mandate of </w:t>
      </w:r>
      <w:r>
        <w:t xml:space="preserve">UK </w:t>
      </w:r>
      <w:r w:rsidR="006F5866">
        <w:t>government ministers to suppress the publication of inquiry reports under the Inquiries Act 2005</w:t>
      </w:r>
      <w:r>
        <w:t xml:space="preserve"> remains</w:t>
      </w:r>
      <w:r>
        <w:rPr>
          <w:color w:val="000000"/>
        </w:rPr>
        <w:t>.</w:t>
      </w:r>
      <w:r w:rsidR="00216F75" w:rsidRPr="00E653E3">
        <w:rPr>
          <w:color w:val="000000"/>
        </w:rPr>
        <w:t xml:space="preserve"> </w:t>
      </w:r>
    </w:p>
    <w:p w14:paraId="4F30C065" w14:textId="77777777" w:rsidR="009F1B85" w:rsidRDefault="009F1B85" w:rsidP="003A6C64">
      <w:pPr>
        <w:pStyle w:val="ListParagraph"/>
        <w:ind w:left="851"/>
        <w:contextualSpacing w:val="0"/>
        <w:rPr>
          <w:color w:val="000000"/>
        </w:rPr>
      </w:pPr>
    </w:p>
    <w:p w14:paraId="55DAA685" w14:textId="7BE6C1C4" w:rsidR="004F384D" w:rsidRPr="009F1B85" w:rsidRDefault="005D07DD" w:rsidP="003A6C64">
      <w:pPr>
        <w:pStyle w:val="ListParagraph"/>
        <w:numPr>
          <w:ilvl w:val="1"/>
          <w:numId w:val="21"/>
        </w:numPr>
        <w:ind w:left="851" w:hanging="851"/>
        <w:contextualSpacing w:val="0"/>
        <w:rPr>
          <w:b/>
          <w:bCs/>
          <w:color w:val="000000"/>
        </w:rPr>
      </w:pPr>
      <w:r w:rsidRPr="009F1B85">
        <w:rPr>
          <w:b/>
          <w:bCs/>
          <w:color w:val="000000"/>
        </w:rPr>
        <w:t xml:space="preserve">The Committee may </w:t>
      </w:r>
      <w:r w:rsidR="00A63C34">
        <w:rPr>
          <w:b/>
          <w:bCs/>
          <w:color w:val="000000"/>
        </w:rPr>
        <w:t>wish to</w:t>
      </w:r>
      <w:r w:rsidRPr="009F1B85">
        <w:rPr>
          <w:b/>
          <w:bCs/>
          <w:color w:val="000000"/>
        </w:rPr>
        <w:t xml:space="preserve"> </w:t>
      </w:r>
      <w:r w:rsidR="00022F7F">
        <w:rPr>
          <w:b/>
          <w:bCs/>
          <w:color w:val="000000"/>
        </w:rPr>
        <w:t>recommend that</w:t>
      </w:r>
      <w:r w:rsidRPr="009F1B85">
        <w:rPr>
          <w:b/>
          <w:bCs/>
          <w:color w:val="000000"/>
        </w:rPr>
        <w:t xml:space="preserve"> the UK</w:t>
      </w:r>
      <w:r w:rsidR="0026242E" w:rsidRPr="009F1B85">
        <w:rPr>
          <w:b/>
          <w:bCs/>
          <w:color w:val="000000"/>
        </w:rPr>
        <w:t xml:space="preserve"> </w:t>
      </w:r>
      <w:r w:rsidR="00877D8D">
        <w:rPr>
          <w:b/>
          <w:bCs/>
          <w:color w:val="000000"/>
        </w:rPr>
        <w:t>takes</w:t>
      </w:r>
      <w:r w:rsidR="0026242E" w:rsidRPr="009F1B85">
        <w:rPr>
          <w:b/>
          <w:bCs/>
          <w:color w:val="000000"/>
        </w:rPr>
        <w:t xml:space="preserve"> effective </w:t>
      </w:r>
      <w:r w:rsidR="00E13423">
        <w:rPr>
          <w:b/>
          <w:bCs/>
          <w:color w:val="000000"/>
        </w:rPr>
        <w:t>steps</w:t>
      </w:r>
      <w:r w:rsidR="0026242E" w:rsidRPr="009F1B85">
        <w:rPr>
          <w:b/>
          <w:bCs/>
          <w:color w:val="000000"/>
        </w:rPr>
        <w:t xml:space="preserve"> </w:t>
      </w:r>
      <w:r w:rsidR="009F1B85" w:rsidRPr="009F1B85">
        <w:rPr>
          <w:b/>
          <w:bCs/>
          <w:color w:val="000000"/>
        </w:rPr>
        <w:t xml:space="preserve">to review and </w:t>
      </w:r>
      <w:r w:rsidRPr="009F1B85">
        <w:rPr>
          <w:b/>
          <w:bCs/>
          <w:color w:val="000000"/>
        </w:rPr>
        <w:t>introduce necessary legislative amendments</w:t>
      </w:r>
      <w:r w:rsidR="009F1B85" w:rsidRPr="009F1B85">
        <w:rPr>
          <w:b/>
          <w:bCs/>
          <w:color w:val="000000"/>
        </w:rPr>
        <w:t xml:space="preserve"> in NI</w:t>
      </w:r>
      <w:r w:rsidRPr="009F1B85">
        <w:rPr>
          <w:b/>
          <w:bCs/>
          <w:color w:val="000000"/>
        </w:rPr>
        <w:t xml:space="preserve"> to guarantee the</w:t>
      </w:r>
      <w:r w:rsidR="009F1B85" w:rsidRPr="009F1B85">
        <w:rPr>
          <w:b/>
          <w:bCs/>
          <w:color w:val="000000"/>
        </w:rPr>
        <w:t xml:space="preserve"> </w:t>
      </w:r>
      <w:r w:rsidRPr="009F1B85">
        <w:rPr>
          <w:b/>
          <w:bCs/>
          <w:color w:val="000000"/>
        </w:rPr>
        <w:t>independence of inquiries established under the Inquiries Act 2005</w:t>
      </w:r>
      <w:r w:rsidR="00877D8D">
        <w:rPr>
          <w:b/>
          <w:bCs/>
          <w:color w:val="000000"/>
        </w:rPr>
        <w:t>.</w:t>
      </w:r>
    </w:p>
    <w:p w14:paraId="5DC5B2B8" w14:textId="27809638" w:rsidR="006E5751" w:rsidRDefault="006E5751" w:rsidP="003A6C64">
      <w:pPr>
        <w:ind w:left="993" w:hanging="1004"/>
      </w:pPr>
    </w:p>
    <w:p w14:paraId="3BF4CC9C" w14:textId="2F9DD0C9" w:rsidR="00F55509" w:rsidRPr="00F55509" w:rsidRDefault="008665F0" w:rsidP="008059E7">
      <w:pPr>
        <w:pStyle w:val="Heading1"/>
        <w:numPr>
          <w:ilvl w:val="0"/>
          <w:numId w:val="22"/>
        </w:numPr>
        <w:spacing w:before="0" w:after="240" w:line="288" w:lineRule="auto"/>
      </w:pPr>
      <w:bookmarkStart w:id="27" w:name="_Toc156901001"/>
      <w:r w:rsidRPr="00587912">
        <w:lastRenderedPageBreak/>
        <w:t>A</w:t>
      </w:r>
      <w:r>
        <w:t xml:space="preserve">rticle 7 – </w:t>
      </w:r>
      <w:r w:rsidR="00AE3096">
        <w:t>Torture</w:t>
      </w:r>
      <w:bookmarkEnd w:id="27"/>
    </w:p>
    <w:p w14:paraId="6B9794C8" w14:textId="77777777" w:rsidR="00A64B1A" w:rsidRPr="00AD087B" w:rsidRDefault="00A64B1A" w:rsidP="003A6C64">
      <w:pPr>
        <w:pStyle w:val="ListParagraph"/>
        <w:numPr>
          <w:ilvl w:val="0"/>
          <w:numId w:val="10"/>
        </w:numPr>
        <w:ind w:left="993" w:hanging="1004"/>
        <w:contextualSpacing w:val="0"/>
        <w:rPr>
          <w:vanish/>
        </w:rPr>
      </w:pPr>
    </w:p>
    <w:p w14:paraId="70D7DB80" w14:textId="1533ABA4" w:rsidR="002D4E0E" w:rsidRPr="00751B4E" w:rsidRDefault="00EA1F5C" w:rsidP="00500CC3">
      <w:pPr>
        <w:pStyle w:val="Heading2"/>
        <w:spacing w:after="240" w:line="288" w:lineRule="auto"/>
      </w:pPr>
      <w:bookmarkStart w:id="28" w:name="_Toc156901002"/>
      <w:r>
        <w:t>Conflict related investigations: Torture</w:t>
      </w:r>
      <w:bookmarkEnd w:id="28"/>
    </w:p>
    <w:p w14:paraId="43058B18" w14:textId="5E2AC111" w:rsidR="004D449C" w:rsidRPr="00915CE6" w:rsidRDefault="001347A3" w:rsidP="003A6C64">
      <w:pPr>
        <w:pStyle w:val="ListParagraph"/>
        <w:numPr>
          <w:ilvl w:val="1"/>
          <w:numId w:val="22"/>
        </w:numPr>
        <w:ind w:left="851" w:hanging="851"/>
        <w:contextualSpacing w:val="0"/>
      </w:pPr>
      <w:r>
        <w:rPr>
          <w:color w:val="000000"/>
        </w:rPr>
        <w:t>The NI Troubles (Legacy and Reconciliation) Act 2023</w:t>
      </w:r>
      <w:r w:rsidR="003E3B4A">
        <w:rPr>
          <w:color w:val="000000"/>
        </w:rPr>
        <w:t xml:space="preserve"> </w:t>
      </w:r>
      <w:r w:rsidR="00B55F52">
        <w:rPr>
          <w:color w:val="000000"/>
        </w:rPr>
        <w:t>enables</w:t>
      </w:r>
      <w:r w:rsidR="00164AFA">
        <w:rPr>
          <w:color w:val="000000"/>
        </w:rPr>
        <w:t xml:space="preserve"> </w:t>
      </w:r>
      <w:r w:rsidR="00B55F52">
        <w:rPr>
          <w:color w:val="000000"/>
        </w:rPr>
        <w:t>the Independent Commission for Reconciliation and Information Recovery to consider on requ</w:t>
      </w:r>
      <w:r w:rsidR="000E03CD">
        <w:rPr>
          <w:color w:val="000000"/>
        </w:rPr>
        <w:t xml:space="preserve">est </w:t>
      </w:r>
      <w:r w:rsidR="00164AFA">
        <w:rPr>
          <w:color w:val="000000"/>
        </w:rPr>
        <w:t xml:space="preserve">Troubles-related offences </w:t>
      </w:r>
      <w:r w:rsidR="004B0527">
        <w:rPr>
          <w:color w:val="000000"/>
        </w:rPr>
        <w:t xml:space="preserve">that caused serious physical or mental </w:t>
      </w:r>
      <w:r w:rsidR="00B55F52">
        <w:rPr>
          <w:color w:val="000000"/>
        </w:rPr>
        <w:t>harm</w:t>
      </w:r>
      <w:r w:rsidR="00164AFA">
        <w:rPr>
          <w:color w:val="000000"/>
        </w:rPr>
        <w:t>.</w:t>
      </w:r>
      <w:r w:rsidR="002C08B1">
        <w:rPr>
          <w:rStyle w:val="FootnoteReference"/>
          <w:color w:val="000000"/>
        </w:rPr>
        <w:footnoteReference w:id="99"/>
      </w:r>
      <w:r w:rsidR="00164AFA">
        <w:rPr>
          <w:color w:val="000000"/>
        </w:rPr>
        <w:t xml:space="preserve"> </w:t>
      </w:r>
      <w:r w:rsidR="00BD54CB">
        <w:rPr>
          <w:color w:val="000000"/>
        </w:rPr>
        <w:t xml:space="preserve">However, a </w:t>
      </w:r>
      <w:r w:rsidR="000E03CD">
        <w:rPr>
          <w:color w:val="000000"/>
        </w:rPr>
        <w:t>narrow</w:t>
      </w:r>
      <w:r w:rsidR="00477902">
        <w:rPr>
          <w:color w:val="000000"/>
        </w:rPr>
        <w:t>, prescriptive</w:t>
      </w:r>
      <w:r w:rsidR="000E03CD">
        <w:rPr>
          <w:color w:val="000000"/>
        </w:rPr>
        <w:t xml:space="preserve"> interpretation of </w:t>
      </w:r>
      <w:r w:rsidR="00477902">
        <w:rPr>
          <w:color w:val="000000"/>
        </w:rPr>
        <w:t>serious physical or mental harm</w:t>
      </w:r>
      <w:r w:rsidR="004D449C">
        <w:rPr>
          <w:color w:val="000000"/>
        </w:rPr>
        <w:t xml:space="preserve"> has been adopted.</w:t>
      </w:r>
      <w:r w:rsidR="002C08B1">
        <w:rPr>
          <w:rStyle w:val="FootnoteReference"/>
          <w:color w:val="000000"/>
        </w:rPr>
        <w:footnoteReference w:id="100"/>
      </w:r>
      <w:r w:rsidR="004D449C">
        <w:rPr>
          <w:color w:val="000000"/>
        </w:rPr>
        <w:t xml:space="preserve"> There is also an inconsistent application of investigatory human rights obligations throughout the 2023 Act, for example, a </w:t>
      </w:r>
      <w:r w:rsidR="00BD54CB">
        <w:rPr>
          <w:color w:val="000000"/>
        </w:rPr>
        <w:t>historical record is only required regarding Troubles-related deaths.</w:t>
      </w:r>
      <w:r w:rsidR="002C08B1">
        <w:rPr>
          <w:rStyle w:val="FootnoteReference"/>
          <w:color w:val="000000"/>
        </w:rPr>
        <w:footnoteReference w:id="101"/>
      </w:r>
    </w:p>
    <w:p w14:paraId="46B5FE85" w14:textId="77777777" w:rsidR="004D449C" w:rsidRPr="00915CE6" w:rsidRDefault="004D449C" w:rsidP="003A6C64">
      <w:pPr>
        <w:pStyle w:val="ListParagraph"/>
        <w:contextualSpacing w:val="0"/>
        <w:rPr>
          <w:color w:val="000000"/>
        </w:rPr>
      </w:pPr>
    </w:p>
    <w:p w14:paraId="1457D08B" w14:textId="68D3DCFC" w:rsidR="002D4E0E" w:rsidRPr="002D4E0E" w:rsidRDefault="004D449C" w:rsidP="003A6C64">
      <w:pPr>
        <w:pStyle w:val="ListParagraph"/>
        <w:numPr>
          <w:ilvl w:val="1"/>
          <w:numId w:val="22"/>
        </w:numPr>
        <w:ind w:left="851" w:hanging="851"/>
        <w:contextualSpacing w:val="0"/>
      </w:pPr>
      <w:r>
        <w:rPr>
          <w:color w:val="000000"/>
        </w:rPr>
        <w:t xml:space="preserve">Additionally, the 2023 Act provides for a conditional immunity scheme regarding </w:t>
      </w:r>
      <w:r w:rsidR="00EC2196">
        <w:rPr>
          <w:color w:val="000000"/>
        </w:rPr>
        <w:t xml:space="preserve">any </w:t>
      </w:r>
      <w:r>
        <w:rPr>
          <w:color w:val="000000"/>
        </w:rPr>
        <w:t>Troubles-related offences</w:t>
      </w:r>
      <w:r w:rsidR="00EC2196">
        <w:rPr>
          <w:color w:val="000000"/>
        </w:rPr>
        <w:t xml:space="preserve">, </w:t>
      </w:r>
      <w:r w:rsidR="00915CE6">
        <w:rPr>
          <w:color w:val="000000"/>
        </w:rPr>
        <w:t>including gross violations of human rights</w:t>
      </w:r>
      <w:r>
        <w:rPr>
          <w:color w:val="000000"/>
        </w:rPr>
        <w:t>.</w:t>
      </w:r>
      <w:r w:rsidR="002C08B1">
        <w:rPr>
          <w:rStyle w:val="FootnoteReference"/>
          <w:color w:val="000000"/>
        </w:rPr>
        <w:footnoteReference w:id="102"/>
      </w:r>
      <w:r w:rsidR="00BD54CB">
        <w:rPr>
          <w:color w:val="000000"/>
        </w:rPr>
        <w:t xml:space="preserve"> </w:t>
      </w:r>
    </w:p>
    <w:p w14:paraId="182CB043" w14:textId="77777777" w:rsidR="002D4E0E" w:rsidRPr="002D4E0E" w:rsidRDefault="002D4E0E" w:rsidP="003A6C64"/>
    <w:p w14:paraId="6270BD04" w14:textId="232BC6AA" w:rsidR="00BB6921" w:rsidRDefault="002D4E0E" w:rsidP="003A6C64">
      <w:pPr>
        <w:pStyle w:val="ListParagraph"/>
        <w:numPr>
          <w:ilvl w:val="1"/>
          <w:numId w:val="22"/>
        </w:numPr>
        <w:ind w:left="851" w:hanging="851"/>
        <w:contextualSpacing w:val="0"/>
        <w:rPr>
          <w:b/>
          <w:bCs/>
        </w:rPr>
      </w:pPr>
      <w:r w:rsidRPr="00DA02F1">
        <w:rPr>
          <w:b/>
        </w:rPr>
        <w:t xml:space="preserve">The Committee may </w:t>
      </w:r>
      <w:r w:rsidR="009F1D5E">
        <w:rPr>
          <w:b/>
        </w:rPr>
        <w:t>wis</w:t>
      </w:r>
      <w:r w:rsidR="00A6552B">
        <w:rPr>
          <w:b/>
        </w:rPr>
        <w:t xml:space="preserve">h to </w:t>
      </w:r>
      <w:r w:rsidR="002C08B1">
        <w:rPr>
          <w:b/>
        </w:rPr>
        <w:t>recommend that</w:t>
      </w:r>
      <w:r w:rsidRPr="00DA02F1">
        <w:rPr>
          <w:b/>
        </w:rPr>
        <w:t xml:space="preserve"> the UK</w:t>
      </w:r>
      <w:r w:rsidR="009C28DD">
        <w:rPr>
          <w:b/>
          <w:bCs/>
        </w:rPr>
        <w:t xml:space="preserve"> </w:t>
      </w:r>
      <w:r w:rsidR="00A6552B">
        <w:rPr>
          <w:b/>
          <w:bCs/>
        </w:rPr>
        <w:t>takes effective steps to</w:t>
      </w:r>
      <w:r w:rsidR="009C28DD">
        <w:rPr>
          <w:b/>
          <w:bCs/>
        </w:rPr>
        <w:t xml:space="preserve"> </w:t>
      </w:r>
      <w:r w:rsidR="009C28DD" w:rsidRPr="00A949CA">
        <w:rPr>
          <w:b/>
          <w:bCs/>
        </w:rPr>
        <w:t xml:space="preserve">repeal the NI Troubles (Legacy and Reconciliation) Act 2023 and introduce revised legislation that is human rights compliant, victim-centred, </w:t>
      </w:r>
      <w:r w:rsidR="009C28DD">
        <w:rPr>
          <w:b/>
          <w:bCs/>
        </w:rPr>
        <w:t xml:space="preserve">and </w:t>
      </w:r>
      <w:r w:rsidR="009C28DD" w:rsidRPr="00A949CA">
        <w:rPr>
          <w:b/>
          <w:bCs/>
        </w:rPr>
        <w:t xml:space="preserve">does not restrict the investigation and prosecution of alleged </w:t>
      </w:r>
      <w:r w:rsidR="00CD0A8A">
        <w:rPr>
          <w:b/>
          <w:bCs/>
        </w:rPr>
        <w:t>Troubles-related torture, inhuman and degrading treatment in NI.</w:t>
      </w:r>
    </w:p>
    <w:p w14:paraId="1A102B95" w14:textId="77777777" w:rsidR="00BB6921" w:rsidRDefault="00BB6921" w:rsidP="003A6C64">
      <w:pPr>
        <w:pStyle w:val="ListParagraph"/>
        <w:contextualSpacing w:val="0"/>
      </w:pPr>
    </w:p>
    <w:p w14:paraId="031304B1" w14:textId="5F0D164D" w:rsidR="00B53CB4" w:rsidRPr="00BB6921" w:rsidRDefault="5F286D9F" w:rsidP="4A48E732">
      <w:pPr>
        <w:pStyle w:val="Heading2"/>
        <w:spacing w:after="240" w:line="288" w:lineRule="auto"/>
      </w:pPr>
      <w:bookmarkStart w:id="29" w:name="_Toc156901003"/>
      <w:r>
        <w:lastRenderedPageBreak/>
        <w:t>Victims'</w:t>
      </w:r>
      <w:r w:rsidR="00B53CB4">
        <w:t xml:space="preserve"> payments</w:t>
      </w:r>
      <w:bookmarkEnd w:id="29"/>
    </w:p>
    <w:p w14:paraId="165441FD" w14:textId="77777777" w:rsidR="009A21F3" w:rsidRDefault="00A15302" w:rsidP="003A6C64">
      <w:pPr>
        <w:pStyle w:val="ListParagraph"/>
        <w:numPr>
          <w:ilvl w:val="1"/>
          <w:numId w:val="22"/>
        </w:numPr>
        <w:ind w:left="851" w:hanging="851"/>
        <w:contextualSpacing w:val="0"/>
        <w:rPr>
          <w:color w:val="000000"/>
        </w:rPr>
      </w:pPr>
      <w:r w:rsidRPr="00A15302">
        <w:rPr>
          <w:color w:val="000000"/>
        </w:rPr>
        <w:t>In 2021, following the Victims’ Payments Regulations 2020, the Troubles Permanent Disablement Payment Scheme was established.</w:t>
      </w:r>
      <w:r w:rsidR="001E1D42">
        <w:rPr>
          <w:rStyle w:val="FootnoteReference"/>
          <w:color w:val="000000"/>
        </w:rPr>
        <w:footnoteReference w:id="103"/>
      </w:r>
      <w:r w:rsidR="00296258">
        <w:rPr>
          <w:color w:val="000000"/>
        </w:rPr>
        <w:t xml:space="preserve"> </w:t>
      </w:r>
      <w:r w:rsidR="00296258" w:rsidRPr="00296258">
        <w:rPr>
          <w:color w:val="000000"/>
        </w:rPr>
        <w:t>The Scheme is due to run until August 2026.</w:t>
      </w:r>
      <w:r w:rsidR="00296258" w:rsidRPr="00296258">
        <w:rPr>
          <w:color w:val="000000"/>
          <w:vertAlign w:val="superscript"/>
        </w:rPr>
        <w:footnoteReference w:id="104"/>
      </w:r>
      <w:r w:rsidR="00296258" w:rsidRPr="00296258">
        <w:rPr>
          <w:color w:val="000000"/>
        </w:rPr>
        <w:t xml:space="preserve"> </w:t>
      </w:r>
    </w:p>
    <w:p w14:paraId="39A068C5" w14:textId="77777777" w:rsidR="009A21F3" w:rsidRDefault="009A21F3" w:rsidP="003A6C64">
      <w:pPr>
        <w:pStyle w:val="ListParagraph"/>
        <w:ind w:left="851"/>
        <w:contextualSpacing w:val="0"/>
        <w:rPr>
          <w:color w:val="000000"/>
        </w:rPr>
      </w:pPr>
    </w:p>
    <w:p w14:paraId="7AD71425" w14:textId="0E6072DD" w:rsidR="009A21F3" w:rsidRDefault="009A21F3" w:rsidP="003A6C64">
      <w:pPr>
        <w:pStyle w:val="ListParagraph"/>
        <w:numPr>
          <w:ilvl w:val="1"/>
          <w:numId w:val="22"/>
        </w:numPr>
        <w:ind w:left="851" w:hanging="851"/>
        <w:contextualSpacing w:val="0"/>
        <w:rPr>
          <w:color w:val="000000"/>
        </w:rPr>
      </w:pPr>
      <w:r w:rsidRPr="009A21F3">
        <w:rPr>
          <w:color w:val="000000"/>
        </w:rPr>
        <w:t>As of 31 March 2022, the Victims’ Payments Scheme had received 2,047 applications, of which 61 were withdrawn.</w:t>
      </w:r>
      <w:r w:rsidRPr="007478BB">
        <w:rPr>
          <w:rStyle w:val="FootnoteReference"/>
        </w:rPr>
        <w:footnoteReference w:id="105"/>
      </w:r>
      <w:r w:rsidRPr="009A21F3">
        <w:rPr>
          <w:color w:val="000000"/>
        </w:rPr>
        <w:t xml:space="preserve"> Of these, 21 determinations have been made</w:t>
      </w:r>
      <w:r w:rsidRPr="007478BB">
        <w:rPr>
          <w:rStyle w:val="FootnoteReference"/>
          <w:color w:val="000000"/>
        </w:rPr>
        <w:footnoteReference w:id="106"/>
      </w:r>
      <w:r w:rsidRPr="009A21F3">
        <w:rPr>
          <w:color w:val="000000"/>
        </w:rPr>
        <w:t xml:space="preserve"> </w:t>
      </w:r>
      <w:r w:rsidR="009F69DC">
        <w:rPr>
          <w:color w:val="000000"/>
        </w:rPr>
        <w:t xml:space="preserve">and </w:t>
      </w:r>
      <w:r w:rsidRPr="009A21F3">
        <w:rPr>
          <w:color w:val="000000"/>
        </w:rPr>
        <w:t>£150,135 had been paid to successful applicants.</w:t>
      </w:r>
      <w:r w:rsidRPr="007478BB">
        <w:rPr>
          <w:rStyle w:val="FootnoteReference"/>
          <w:color w:val="000000"/>
        </w:rPr>
        <w:footnoteReference w:id="107"/>
      </w:r>
    </w:p>
    <w:p w14:paraId="3E7BB7C0" w14:textId="77777777" w:rsidR="00064E3E" w:rsidRPr="00064E3E" w:rsidRDefault="00064E3E" w:rsidP="003A6C64">
      <w:pPr>
        <w:pStyle w:val="ListParagraph"/>
        <w:contextualSpacing w:val="0"/>
        <w:rPr>
          <w:color w:val="000000"/>
        </w:rPr>
      </w:pPr>
    </w:p>
    <w:p w14:paraId="7DDD58C2" w14:textId="77777777" w:rsidR="0037168F" w:rsidRDefault="00064E3E" w:rsidP="003A6C64">
      <w:pPr>
        <w:pStyle w:val="ListParagraph"/>
        <w:numPr>
          <w:ilvl w:val="1"/>
          <w:numId w:val="22"/>
        </w:numPr>
        <w:ind w:left="851" w:hanging="851"/>
        <w:contextualSpacing w:val="0"/>
        <w:rPr>
          <w:color w:val="000000"/>
        </w:rPr>
      </w:pPr>
      <w:r>
        <w:rPr>
          <w:color w:val="000000"/>
        </w:rPr>
        <w:t>By September 2023, approximately 90 appeals had been lodged against a determination made by the Victims’ Payments Board.</w:t>
      </w:r>
      <w:r>
        <w:rPr>
          <w:rStyle w:val="FootnoteReference"/>
          <w:color w:val="000000"/>
        </w:rPr>
        <w:footnoteReference w:id="108"/>
      </w:r>
      <w:r>
        <w:rPr>
          <w:color w:val="000000"/>
        </w:rPr>
        <w:t xml:space="preserve"> There </w:t>
      </w:r>
      <w:r w:rsidR="008B4C45">
        <w:rPr>
          <w:color w:val="000000"/>
        </w:rPr>
        <w:t>are concerns about</w:t>
      </w:r>
      <w:r>
        <w:rPr>
          <w:color w:val="000000"/>
        </w:rPr>
        <w:t xml:space="preserve"> the decision-making process and the length of time it takes.</w:t>
      </w:r>
      <w:r>
        <w:rPr>
          <w:rStyle w:val="FootnoteReference"/>
          <w:color w:val="000000"/>
        </w:rPr>
        <w:footnoteReference w:id="109"/>
      </w:r>
    </w:p>
    <w:p w14:paraId="2FA30117" w14:textId="77777777" w:rsidR="0037168F" w:rsidRPr="0037168F" w:rsidRDefault="0037168F" w:rsidP="003A6C64">
      <w:pPr>
        <w:pStyle w:val="ListParagraph"/>
        <w:contextualSpacing w:val="0"/>
        <w:rPr>
          <w:b/>
        </w:rPr>
      </w:pPr>
    </w:p>
    <w:p w14:paraId="78EADC56" w14:textId="002C8890" w:rsidR="0037168F" w:rsidRPr="003B4131" w:rsidRDefault="0037168F" w:rsidP="003A6C64">
      <w:pPr>
        <w:pStyle w:val="ListParagraph"/>
        <w:numPr>
          <w:ilvl w:val="1"/>
          <w:numId w:val="22"/>
        </w:numPr>
        <w:ind w:left="851" w:hanging="851"/>
        <w:contextualSpacing w:val="0"/>
        <w:rPr>
          <w:b/>
          <w:color w:val="000000"/>
        </w:rPr>
      </w:pPr>
      <w:r w:rsidRPr="003B4131">
        <w:rPr>
          <w:b/>
        </w:rPr>
        <w:t xml:space="preserve">The Committee may wish to </w:t>
      </w:r>
      <w:r w:rsidR="002A1BCD">
        <w:rPr>
          <w:b/>
        </w:rPr>
        <w:t>recommend that</w:t>
      </w:r>
      <w:r w:rsidR="002A1BCD" w:rsidRPr="003B4131">
        <w:rPr>
          <w:b/>
        </w:rPr>
        <w:t xml:space="preserve"> </w:t>
      </w:r>
      <w:r w:rsidRPr="003B4131">
        <w:rPr>
          <w:b/>
        </w:rPr>
        <w:t xml:space="preserve">the UK </w:t>
      </w:r>
      <w:r w:rsidR="002A1BCD">
        <w:rPr>
          <w:b/>
        </w:rPr>
        <w:t>takes effective steps to</w:t>
      </w:r>
      <w:r w:rsidRPr="003B4131">
        <w:rPr>
          <w:b/>
        </w:rPr>
        <w:t xml:space="preserve"> ensure that </w:t>
      </w:r>
      <w:r w:rsidR="00A93990" w:rsidRPr="003B4131">
        <w:rPr>
          <w:b/>
        </w:rPr>
        <w:t xml:space="preserve">the </w:t>
      </w:r>
      <w:r w:rsidRPr="003B4131">
        <w:rPr>
          <w:b/>
        </w:rPr>
        <w:t>Victims Payment Scheme</w:t>
      </w:r>
      <w:r w:rsidR="001361E9" w:rsidRPr="003B4131">
        <w:rPr>
          <w:b/>
        </w:rPr>
        <w:t xml:space="preserve"> </w:t>
      </w:r>
      <w:r w:rsidR="004C4614">
        <w:rPr>
          <w:b/>
        </w:rPr>
        <w:t xml:space="preserve">in NI </w:t>
      </w:r>
      <w:r w:rsidR="001361E9" w:rsidRPr="003B4131">
        <w:rPr>
          <w:b/>
        </w:rPr>
        <w:t>offers fair, adequate</w:t>
      </w:r>
      <w:r w:rsidR="004C4614">
        <w:rPr>
          <w:b/>
        </w:rPr>
        <w:t>,</w:t>
      </w:r>
      <w:r w:rsidR="001361E9" w:rsidRPr="003B4131">
        <w:rPr>
          <w:b/>
        </w:rPr>
        <w:t xml:space="preserve"> and prompt compensation</w:t>
      </w:r>
      <w:r w:rsidR="003B4131" w:rsidRPr="003B4131">
        <w:rPr>
          <w:b/>
        </w:rPr>
        <w:t xml:space="preserve"> to all who are eligible</w:t>
      </w:r>
      <w:r w:rsidR="004C4614">
        <w:rPr>
          <w:b/>
        </w:rPr>
        <w:t>.</w:t>
      </w:r>
    </w:p>
    <w:p w14:paraId="6B71CEC6" w14:textId="257B829F" w:rsidR="00B53CB4" w:rsidRDefault="00B53CB4" w:rsidP="003A6C64"/>
    <w:p w14:paraId="28A67DF5" w14:textId="0EADB5EA" w:rsidR="001B2457" w:rsidRDefault="001B2457" w:rsidP="00500CC3">
      <w:pPr>
        <w:pStyle w:val="Heading2"/>
        <w:spacing w:after="240" w:line="288" w:lineRule="auto"/>
      </w:pPr>
      <w:bookmarkStart w:id="30" w:name="_Toc156901004"/>
      <w:r>
        <w:t>Rule of law: Non-State actors</w:t>
      </w:r>
      <w:bookmarkEnd w:id="30"/>
    </w:p>
    <w:p w14:paraId="66D227C9" w14:textId="1C181BC8" w:rsidR="001B2457" w:rsidRPr="0073367F" w:rsidRDefault="009B1E5D" w:rsidP="003A6C64">
      <w:pPr>
        <w:pStyle w:val="ListParagraph"/>
        <w:numPr>
          <w:ilvl w:val="1"/>
          <w:numId w:val="22"/>
        </w:numPr>
        <w:ind w:left="851" w:hanging="851"/>
        <w:contextualSpacing w:val="0"/>
      </w:pPr>
      <w:r>
        <w:rPr>
          <w:color w:val="000000"/>
        </w:rPr>
        <w:t xml:space="preserve">In 2022/2023, one security related death, </w:t>
      </w:r>
      <w:r w:rsidR="00220907">
        <w:rPr>
          <w:color w:val="000000"/>
        </w:rPr>
        <w:t>32 casualties of paramilitary style assaults</w:t>
      </w:r>
      <w:r w:rsidR="0060564D">
        <w:rPr>
          <w:color w:val="000000"/>
        </w:rPr>
        <w:t xml:space="preserve">, 37 shooting incidents, 6 bombing incidents and 11 casualties from paramilitary style shootings were </w:t>
      </w:r>
      <w:r w:rsidR="0060564D">
        <w:rPr>
          <w:color w:val="000000"/>
        </w:rPr>
        <w:lastRenderedPageBreak/>
        <w:t>recorded</w:t>
      </w:r>
      <w:r w:rsidR="004153FC">
        <w:rPr>
          <w:color w:val="000000"/>
        </w:rPr>
        <w:t>.</w:t>
      </w:r>
      <w:r w:rsidR="00947B0F">
        <w:rPr>
          <w:rStyle w:val="FootnoteReference"/>
          <w:color w:val="000000"/>
        </w:rPr>
        <w:footnoteReference w:id="110"/>
      </w:r>
      <w:r w:rsidR="005F1B10">
        <w:rPr>
          <w:color w:val="000000"/>
        </w:rPr>
        <w:t xml:space="preserve"> </w:t>
      </w:r>
      <w:r w:rsidR="008052B7">
        <w:rPr>
          <w:color w:val="000000"/>
        </w:rPr>
        <w:t>Many i</w:t>
      </w:r>
      <w:r w:rsidR="000C26F2">
        <w:rPr>
          <w:color w:val="000000"/>
        </w:rPr>
        <w:t xml:space="preserve">ndividuals, particularly women and children, that have been exposed to paramilitarism </w:t>
      </w:r>
      <w:r w:rsidR="006A1FA5">
        <w:rPr>
          <w:color w:val="000000"/>
        </w:rPr>
        <w:t>are presenting with resulting trauma</w:t>
      </w:r>
      <w:r w:rsidR="00FA0664">
        <w:rPr>
          <w:color w:val="000000"/>
        </w:rPr>
        <w:t>.</w:t>
      </w:r>
      <w:r w:rsidR="00E17D0F">
        <w:rPr>
          <w:rStyle w:val="FootnoteReference"/>
          <w:color w:val="000000"/>
        </w:rPr>
        <w:footnoteReference w:id="111"/>
      </w:r>
      <w:r w:rsidR="005F1B10">
        <w:rPr>
          <w:color w:val="000000"/>
        </w:rPr>
        <w:t xml:space="preserve"> </w:t>
      </w:r>
    </w:p>
    <w:p w14:paraId="102FEA54" w14:textId="77777777" w:rsidR="0073367F" w:rsidRPr="001C7850" w:rsidRDefault="0073367F" w:rsidP="003A6C64">
      <w:pPr>
        <w:pStyle w:val="ListParagraph"/>
        <w:ind w:left="851"/>
        <w:contextualSpacing w:val="0"/>
      </w:pPr>
    </w:p>
    <w:p w14:paraId="4147B428" w14:textId="26387127" w:rsidR="00BE6862" w:rsidRDefault="00C337DC" w:rsidP="003945AE">
      <w:pPr>
        <w:pStyle w:val="ListParagraph"/>
        <w:numPr>
          <w:ilvl w:val="1"/>
          <w:numId w:val="22"/>
        </w:numPr>
        <w:ind w:left="851" w:hanging="851"/>
        <w:contextualSpacing w:val="0"/>
      </w:pPr>
      <w:r w:rsidRPr="00106F29">
        <w:rPr>
          <w:color w:val="000000"/>
        </w:rPr>
        <w:t>In</w:t>
      </w:r>
      <w:r w:rsidR="00A7350E" w:rsidRPr="00106F29">
        <w:rPr>
          <w:color w:val="000000"/>
        </w:rPr>
        <w:t xml:space="preserve"> </w:t>
      </w:r>
      <w:r w:rsidRPr="00106F29">
        <w:rPr>
          <w:color w:val="000000"/>
        </w:rPr>
        <w:t>202</w:t>
      </w:r>
      <w:r w:rsidR="00A7350E" w:rsidRPr="00106F29">
        <w:rPr>
          <w:color w:val="000000"/>
        </w:rPr>
        <w:t>3</w:t>
      </w:r>
      <w:r w:rsidRPr="00106F29">
        <w:rPr>
          <w:color w:val="000000"/>
        </w:rPr>
        <w:t>, the</w:t>
      </w:r>
      <w:r w:rsidR="00A43F91" w:rsidRPr="00106F29">
        <w:rPr>
          <w:color w:val="000000"/>
        </w:rPr>
        <w:t xml:space="preserve"> Independent Reporting Commission </w:t>
      </w:r>
      <w:r w:rsidR="009B52D2" w:rsidRPr="00106F29">
        <w:rPr>
          <w:color w:val="000000"/>
        </w:rPr>
        <w:t xml:space="preserve">highlighted </w:t>
      </w:r>
      <w:r w:rsidR="00575988" w:rsidRPr="00106F29">
        <w:rPr>
          <w:color w:val="000000"/>
        </w:rPr>
        <w:t xml:space="preserve">that </w:t>
      </w:r>
      <w:r w:rsidR="00510AE6" w:rsidRPr="00106F29">
        <w:rPr>
          <w:color w:val="000000"/>
        </w:rPr>
        <w:t>increase</w:t>
      </w:r>
      <w:r w:rsidR="00653641" w:rsidRPr="00106F29">
        <w:rPr>
          <w:color w:val="000000"/>
        </w:rPr>
        <w:t>s in</w:t>
      </w:r>
      <w:r w:rsidR="00510AE6" w:rsidRPr="00106F29">
        <w:rPr>
          <w:color w:val="000000"/>
        </w:rPr>
        <w:t xml:space="preserve"> paramilitary shootings</w:t>
      </w:r>
      <w:r w:rsidR="00830CF1" w:rsidRPr="00106F29">
        <w:rPr>
          <w:color w:val="000000"/>
        </w:rPr>
        <w:t xml:space="preserve"> </w:t>
      </w:r>
      <w:r w:rsidR="00510AE6" w:rsidRPr="00106F29">
        <w:rPr>
          <w:color w:val="000000"/>
        </w:rPr>
        <w:t xml:space="preserve">and </w:t>
      </w:r>
      <w:r w:rsidR="004F1BF3">
        <w:rPr>
          <w:color w:val="000000"/>
        </w:rPr>
        <w:t>“some shocking</w:t>
      </w:r>
      <w:r w:rsidR="00653641" w:rsidRPr="00106F29">
        <w:rPr>
          <w:color w:val="000000"/>
        </w:rPr>
        <w:t xml:space="preserve"> </w:t>
      </w:r>
      <w:r w:rsidR="003863F2" w:rsidRPr="00106F29">
        <w:rPr>
          <w:color w:val="000000"/>
        </w:rPr>
        <w:t>incidents</w:t>
      </w:r>
      <w:r w:rsidR="004F1BF3">
        <w:rPr>
          <w:color w:val="000000"/>
        </w:rPr>
        <w:t>”</w:t>
      </w:r>
      <w:r w:rsidR="003261EC">
        <w:rPr>
          <w:color w:val="000000"/>
        </w:rPr>
        <w:t xml:space="preserve"> </w:t>
      </w:r>
      <w:r w:rsidR="00B54DC5">
        <w:rPr>
          <w:color w:val="000000"/>
        </w:rPr>
        <w:t>in 2023</w:t>
      </w:r>
      <w:r w:rsidR="002358CC">
        <w:rPr>
          <w:rStyle w:val="FootnoteReference"/>
          <w:color w:val="000000"/>
        </w:rPr>
        <w:footnoteReference w:id="112"/>
      </w:r>
      <w:r w:rsidR="00B54DC5">
        <w:rPr>
          <w:color w:val="000000"/>
        </w:rPr>
        <w:t xml:space="preserve"> </w:t>
      </w:r>
      <w:r w:rsidR="00653641" w:rsidRPr="00106F29">
        <w:rPr>
          <w:color w:val="000000"/>
        </w:rPr>
        <w:t>contributed</w:t>
      </w:r>
      <w:r w:rsidR="003863F2" w:rsidRPr="00106F29">
        <w:rPr>
          <w:color w:val="000000"/>
        </w:rPr>
        <w:t xml:space="preserve"> to</w:t>
      </w:r>
      <w:r w:rsidR="009F3693" w:rsidRPr="00106F29">
        <w:rPr>
          <w:color w:val="000000"/>
        </w:rPr>
        <w:t xml:space="preserve"> raising</w:t>
      </w:r>
      <w:r w:rsidR="00653641" w:rsidRPr="00106F29">
        <w:rPr>
          <w:color w:val="000000"/>
        </w:rPr>
        <w:t xml:space="preserve"> </w:t>
      </w:r>
      <w:r w:rsidR="009F3693" w:rsidRPr="00106F29">
        <w:rPr>
          <w:color w:val="000000"/>
        </w:rPr>
        <w:t>the</w:t>
      </w:r>
      <w:r w:rsidR="00575988" w:rsidRPr="00106F29">
        <w:rPr>
          <w:color w:val="000000"/>
        </w:rPr>
        <w:t xml:space="preserve"> t</w:t>
      </w:r>
      <w:r w:rsidR="009F3693" w:rsidRPr="00106F29">
        <w:rPr>
          <w:color w:val="000000"/>
        </w:rPr>
        <w:t xml:space="preserve">hreat </w:t>
      </w:r>
      <w:r w:rsidR="00575988" w:rsidRPr="00106F29">
        <w:rPr>
          <w:color w:val="000000"/>
        </w:rPr>
        <w:t>l</w:t>
      </w:r>
      <w:r w:rsidR="009F3693" w:rsidRPr="00106F29">
        <w:rPr>
          <w:color w:val="000000"/>
        </w:rPr>
        <w:t xml:space="preserve">evel </w:t>
      </w:r>
      <w:r w:rsidR="00F90934">
        <w:rPr>
          <w:color w:val="000000"/>
        </w:rPr>
        <w:t>for</w:t>
      </w:r>
      <w:r w:rsidR="009F3693" w:rsidRPr="00106F29">
        <w:rPr>
          <w:color w:val="000000"/>
        </w:rPr>
        <w:t xml:space="preserve"> NI</w:t>
      </w:r>
      <w:r w:rsidR="00F90934">
        <w:rPr>
          <w:color w:val="000000"/>
        </w:rPr>
        <w:t>-related terrorism</w:t>
      </w:r>
      <w:r w:rsidR="009F3693" w:rsidRPr="00106F29">
        <w:rPr>
          <w:color w:val="000000"/>
        </w:rPr>
        <w:t xml:space="preserve"> from </w:t>
      </w:r>
      <w:r w:rsidR="0086279A" w:rsidRPr="00106F29">
        <w:rPr>
          <w:color w:val="000000"/>
        </w:rPr>
        <w:t>substantial to severe.</w:t>
      </w:r>
      <w:r w:rsidR="00DF6B7D">
        <w:rPr>
          <w:rStyle w:val="FootnoteReference"/>
          <w:color w:val="000000"/>
        </w:rPr>
        <w:footnoteReference w:id="113"/>
      </w:r>
      <w:r w:rsidR="007E52C1" w:rsidRPr="00106F29">
        <w:rPr>
          <w:color w:val="000000"/>
        </w:rPr>
        <w:t xml:space="preserve"> It </w:t>
      </w:r>
      <w:r w:rsidR="00A360F7" w:rsidRPr="00106F29">
        <w:rPr>
          <w:color w:val="000000"/>
        </w:rPr>
        <w:t>noted</w:t>
      </w:r>
      <w:r w:rsidR="00B22A0C" w:rsidRPr="00106F29">
        <w:rPr>
          <w:color w:val="000000"/>
        </w:rPr>
        <w:t xml:space="preserve"> progress</w:t>
      </w:r>
      <w:r w:rsidR="00A360F7" w:rsidRPr="00106F29">
        <w:rPr>
          <w:color w:val="000000"/>
        </w:rPr>
        <w:t xml:space="preserve"> in tackling </w:t>
      </w:r>
      <w:r w:rsidR="0016123A" w:rsidRPr="00106F29">
        <w:rPr>
          <w:color w:val="000000"/>
        </w:rPr>
        <w:t>paramilitarism</w:t>
      </w:r>
      <w:r w:rsidR="0016123A">
        <w:rPr>
          <w:color w:val="000000"/>
        </w:rPr>
        <w:t xml:space="preserve"> but</w:t>
      </w:r>
      <w:r w:rsidR="00A360F7" w:rsidRPr="00106F29">
        <w:rPr>
          <w:color w:val="000000"/>
        </w:rPr>
        <w:t xml:space="preserve"> advised that</w:t>
      </w:r>
      <w:r w:rsidR="009C5606" w:rsidRPr="00106F29">
        <w:rPr>
          <w:color w:val="000000"/>
        </w:rPr>
        <w:t xml:space="preserve"> the </w:t>
      </w:r>
      <w:r w:rsidR="004D3B46">
        <w:rPr>
          <w:color w:val="000000"/>
        </w:rPr>
        <w:t xml:space="preserve">NI </w:t>
      </w:r>
      <w:r w:rsidR="009C5606" w:rsidRPr="00106F29">
        <w:rPr>
          <w:color w:val="000000"/>
        </w:rPr>
        <w:t>political</w:t>
      </w:r>
      <w:r w:rsidR="004D3B46">
        <w:rPr>
          <w:color w:val="000000"/>
        </w:rPr>
        <w:t xml:space="preserve"> context</w:t>
      </w:r>
      <w:r w:rsidR="0027488F">
        <w:rPr>
          <w:rStyle w:val="FootnoteReference"/>
          <w:color w:val="000000"/>
        </w:rPr>
        <w:footnoteReference w:id="114"/>
      </w:r>
      <w:r w:rsidR="009C5606" w:rsidRPr="00106F29">
        <w:rPr>
          <w:color w:val="000000"/>
        </w:rPr>
        <w:t xml:space="preserve"> </w:t>
      </w:r>
      <w:r w:rsidR="001A0AA7" w:rsidRPr="00106F29">
        <w:rPr>
          <w:color w:val="000000"/>
        </w:rPr>
        <w:t>and financial context</w:t>
      </w:r>
      <w:r w:rsidR="0027488F">
        <w:rPr>
          <w:rStyle w:val="FootnoteReference"/>
          <w:color w:val="000000"/>
        </w:rPr>
        <w:footnoteReference w:id="115"/>
      </w:r>
      <w:r w:rsidR="001A0AA7" w:rsidRPr="00106F29">
        <w:rPr>
          <w:color w:val="000000"/>
        </w:rPr>
        <w:t xml:space="preserve"> </w:t>
      </w:r>
      <w:r w:rsidR="00B22A0C" w:rsidRPr="00106F29">
        <w:rPr>
          <w:color w:val="000000"/>
        </w:rPr>
        <w:t>are</w:t>
      </w:r>
      <w:r w:rsidR="009C5606" w:rsidRPr="00106F29">
        <w:rPr>
          <w:color w:val="000000"/>
        </w:rPr>
        <w:t xml:space="preserve"> inhibiting factor</w:t>
      </w:r>
      <w:r w:rsidR="002433E2" w:rsidRPr="00106F29">
        <w:rPr>
          <w:color w:val="000000"/>
        </w:rPr>
        <w:t>s</w:t>
      </w:r>
      <w:r w:rsidR="006E298A">
        <w:t>.</w:t>
      </w:r>
      <w:r w:rsidR="002F7ACD">
        <w:t xml:space="preserve"> Coercive control </w:t>
      </w:r>
      <w:r w:rsidR="001F61D3">
        <w:t xml:space="preserve">of communities, the </w:t>
      </w:r>
      <w:r w:rsidR="0073040B">
        <w:t>cost-of-living</w:t>
      </w:r>
      <w:r w:rsidR="001F61D3">
        <w:t xml:space="preserve"> crisis and </w:t>
      </w:r>
      <w:r w:rsidR="001E7987">
        <w:t>memorialisation</w:t>
      </w:r>
      <w:r w:rsidR="001F61D3">
        <w:t xml:space="preserve"> of the paramilitary past were also</w:t>
      </w:r>
      <w:r w:rsidR="00C3158A">
        <w:t xml:space="preserve"> highlighted as concerns.</w:t>
      </w:r>
      <w:r w:rsidR="0073040B">
        <w:rPr>
          <w:rStyle w:val="FootnoteReference"/>
        </w:rPr>
        <w:footnoteReference w:id="116"/>
      </w:r>
    </w:p>
    <w:p w14:paraId="0DDF15FD" w14:textId="77777777" w:rsidR="00106F29" w:rsidRDefault="00106F29" w:rsidP="00106F29"/>
    <w:p w14:paraId="7D119AEE" w14:textId="480728AB" w:rsidR="004648E4" w:rsidRDefault="00BE6862" w:rsidP="003A6C64">
      <w:pPr>
        <w:pStyle w:val="ListParagraph"/>
        <w:numPr>
          <w:ilvl w:val="1"/>
          <w:numId w:val="22"/>
        </w:numPr>
        <w:ind w:left="851" w:hanging="851"/>
        <w:contextualSpacing w:val="0"/>
        <w:rPr>
          <w:b/>
        </w:rPr>
      </w:pPr>
      <w:r w:rsidRPr="003A5EE9">
        <w:rPr>
          <w:b/>
        </w:rPr>
        <w:t xml:space="preserve">The Committee may wish </w:t>
      </w:r>
      <w:r w:rsidR="00CB16BB">
        <w:rPr>
          <w:b/>
        </w:rPr>
        <w:t xml:space="preserve">to </w:t>
      </w:r>
      <w:r w:rsidR="004C4614">
        <w:rPr>
          <w:b/>
        </w:rPr>
        <w:t>recommend that</w:t>
      </w:r>
      <w:r w:rsidRPr="003A5EE9">
        <w:rPr>
          <w:b/>
        </w:rPr>
        <w:t xml:space="preserve"> the UK </w:t>
      </w:r>
      <w:r w:rsidR="004C4614">
        <w:rPr>
          <w:b/>
        </w:rPr>
        <w:t>take</w:t>
      </w:r>
      <w:r w:rsidR="009A076F">
        <w:rPr>
          <w:b/>
        </w:rPr>
        <w:t>s</w:t>
      </w:r>
      <w:r w:rsidR="004C4614">
        <w:rPr>
          <w:b/>
        </w:rPr>
        <w:t xml:space="preserve"> effective </w:t>
      </w:r>
      <w:r w:rsidR="009A076F">
        <w:rPr>
          <w:b/>
        </w:rPr>
        <w:t xml:space="preserve">steps </w:t>
      </w:r>
      <w:r w:rsidR="004C4614">
        <w:rPr>
          <w:b/>
        </w:rPr>
        <w:t>to</w:t>
      </w:r>
      <w:r w:rsidR="00E27CDE">
        <w:rPr>
          <w:b/>
        </w:rPr>
        <w:t xml:space="preserve"> ensure that</w:t>
      </w:r>
      <w:r w:rsidR="004648E4">
        <w:rPr>
          <w:b/>
        </w:rPr>
        <w:t>:</w:t>
      </w:r>
    </w:p>
    <w:p w14:paraId="2771AA01" w14:textId="77777777" w:rsidR="004648E4" w:rsidRPr="004648E4" w:rsidRDefault="004648E4" w:rsidP="004648E4">
      <w:pPr>
        <w:pStyle w:val="ListParagraph"/>
        <w:rPr>
          <w:b/>
        </w:rPr>
      </w:pPr>
    </w:p>
    <w:p w14:paraId="281CD969" w14:textId="77777777" w:rsidR="004648E4" w:rsidRPr="004648E4" w:rsidRDefault="00283612" w:rsidP="004648E4">
      <w:pPr>
        <w:pStyle w:val="ListParagraph"/>
        <w:numPr>
          <w:ilvl w:val="0"/>
          <w:numId w:val="68"/>
        </w:numPr>
        <w:contextualSpacing w:val="0"/>
        <w:rPr>
          <w:b/>
        </w:rPr>
      </w:pPr>
      <w:r>
        <w:rPr>
          <w:b/>
        </w:rPr>
        <w:t xml:space="preserve">NI’s political </w:t>
      </w:r>
      <w:r w:rsidR="008D2055">
        <w:rPr>
          <w:b/>
        </w:rPr>
        <w:t>and financial context</w:t>
      </w:r>
      <w:r>
        <w:rPr>
          <w:b/>
        </w:rPr>
        <w:t xml:space="preserve"> does not lead to increased </w:t>
      </w:r>
      <w:r w:rsidR="00F437B4">
        <w:rPr>
          <w:b/>
        </w:rPr>
        <w:t xml:space="preserve">risk of </w:t>
      </w:r>
      <w:r w:rsidR="001F3C13">
        <w:rPr>
          <w:b/>
        </w:rPr>
        <w:t>paramilitary activity</w:t>
      </w:r>
      <w:r w:rsidR="00E27671">
        <w:rPr>
          <w:b/>
        </w:rPr>
        <w:t xml:space="preserve"> and that </w:t>
      </w:r>
      <w:r w:rsidR="007F3827" w:rsidRPr="007F3827">
        <w:rPr>
          <w:b/>
          <w:bCs/>
        </w:rPr>
        <w:t>the programme to end paramilitarism continues to be effectively monitored and adequately resourced</w:t>
      </w:r>
      <w:r w:rsidR="009E6030">
        <w:rPr>
          <w:b/>
          <w:bCs/>
        </w:rPr>
        <w:t>.</w:t>
      </w:r>
    </w:p>
    <w:p w14:paraId="14F6ECFD" w14:textId="77777777" w:rsidR="004648E4" w:rsidRPr="004648E4" w:rsidRDefault="004648E4" w:rsidP="004648E4">
      <w:pPr>
        <w:pStyle w:val="ListParagraph"/>
        <w:ind w:left="1571"/>
        <w:contextualSpacing w:val="0"/>
        <w:rPr>
          <w:b/>
        </w:rPr>
      </w:pPr>
    </w:p>
    <w:p w14:paraId="7C5A6EF7" w14:textId="6D2DE6AA" w:rsidR="009A076F" w:rsidRPr="004648E4" w:rsidRDefault="00985A19" w:rsidP="004648E4">
      <w:pPr>
        <w:pStyle w:val="ListParagraph"/>
        <w:numPr>
          <w:ilvl w:val="0"/>
          <w:numId w:val="68"/>
        </w:numPr>
        <w:contextualSpacing w:val="0"/>
        <w:rPr>
          <w:b/>
        </w:rPr>
      </w:pPr>
      <w:r w:rsidRPr="004648E4">
        <w:rPr>
          <w:b/>
        </w:rPr>
        <w:t>the response to paramilitarism in NI considers and effectively address</w:t>
      </w:r>
      <w:r w:rsidR="00782E64" w:rsidRPr="004648E4">
        <w:rPr>
          <w:b/>
        </w:rPr>
        <w:t>es</w:t>
      </w:r>
      <w:r w:rsidRPr="004648E4">
        <w:rPr>
          <w:b/>
        </w:rPr>
        <w:t xml:space="preserve"> </w:t>
      </w:r>
      <w:r w:rsidR="00314DF1" w:rsidRPr="004648E4">
        <w:rPr>
          <w:b/>
        </w:rPr>
        <w:t xml:space="preserve">resulting trauma to victims, </w:t>
      </w:r>
      <w:r w:rsidR="00A10C87" w:rsidRPr="004648E4">
        <w:rPr>
          <w:b/>
        </w:rPr>
        <w:t xml:space="preserve">including </w:t>
      </w:r>
      <w:r w:rsidR="007D2FAF" w:rsidRPr="004648E4">
        <w:rPr>
          <w:b/>
        </w:rPr>
        <w:t>reasonably accommodating</w:t>
      </w:r>
      <w:r w:rsidR="00A10C87" w:rsidRPr="004648E4">
        <w:rPr>
          <w:b/>
        </w:rPr>
        <w:t xml:space="preserve"> specific needs</w:t>
      </w:r>
      <w:r w:rsidR="00314DF1" w:rsidRPr="004648E4">
        <w:rPr>
          <w:b/>
        </w:rPr>
        <w:t>.</w:t>
      </w:r>
    </w:p>
    <w:p w14:paraId="378DC376" w14:textId="77777777" w:rsidR="00935740" w:rsidRDefault="00935740" w:rsidP="003A6C64">
      <w:pPr>
        <w:rPr>
          <w:b/>
        </w:rPr>
      </w:pPr>
    </w:p>
    <w:p w14:paraId="328AABF3" w14:textId="0772F239" w:rsidR="00935740" w:rsidRPr="00935740" w:rsidRDefault="00935740" w:rsidP="00500CC3">
      <w:pPr>
        <w:pStyle w:val="Heading2"/>
        <w:spacing w:after="240" w:line="288" w:lineRule="auto"/>
      </w:pPr>
      <w:bookmarkStart w:id="31" w:name="_Toc156901005"/>
      <w:r>
        <w:lastRenderedPageBreak/>
        <w:t>Abuse in health and social</w:t>
      </w:r>
      <w:r w:rsidR="004E3879">
        <w:t xml:space="preserve"> care settings</w:t>
      </w:r>
      <w:bookmarkEnd w:id="31"/>
    </w:p>
    <w:p w14:paraId="01439C3C" w14:textId="545443E1" w:rsidR="00FC609C" w:rsidRPr="00263B0C" w:rsidRDefault="009E6030" w:rsidP="003A6C64">
      <w:pPr>
        <w:pStyle w:val="ListParagraph"/>
        <w:numPr>
          <w:ilvl w:val="1"/>
          <w:numId w:val="22"/>
        </w:numPr>
        <w:ind w:left="851" w:hanging="851"/>
        <w:contextualSpacing w:val="0"/>
      </w:pPr>
      <w:r>
        <w:rPr>
          <w:rFonts w:cs="Helvetica"/>
          <w:lang w:val="en"/>
        </w:rPr>
        <w:t>In NI,</w:t>
      </w:r>
      <w:r w:rsidR="006934FD" w:rsidRPr="00757994">
        <w:rPr>
          <w:rFonts w:cs="Helvetica"/>
          <w:lang w:val="en"/>
        </w:rPr>
        <w:t xml:space="preserve"> it </w:t>
      </w:r>
      <w:r>
        <w:rPr>
          <w:rFonts w:cs="Helvetica"/>
          <w:lang w:val="en"/>
        </w:rPr>
        <w:t xml:space="preserve">is </w:t>
      </w:r>
      <w:r w:rsidR="006934FD" w:rsidRPr="00757994">
        <w:rPr>
          <w:rFonts w:cs="Helvetica"/>
          <w:lang w:val="en"/>
        </w:rPr>
        <w:t xml:space="preserve">an offence </w:t>
      </w:r>
      <w:r w:rsidR="00ED70F7">
        <w:rPr>
          <w:rFonts w:cs="Helvetica"/>
          <w:lang w:val="en"/>
        </w:rPr>
        <w:t xml:space="preserve">in statute </w:t>
      </w:r>
      <w:r w:rsidR="006934FD" w:rsidRPr="00757994">
        <w:rPr>
          <w:rFonts w:cs="Helvetica"/>
          <w:lang w:val="en"/>
        </w:rPr>
        <w:t>to ill-treat, or willfully neglect a person who lacks capacity.</w:t>
      </w:r>
      <w:r w:rsidR="00757994">
        <w:rPr>
          <w:rStyle w:val="FootnoteReference"/>
          <w:rFonts w:cs="Helvetica"/>
          <w:lang w:val="en"/>
        </w:rPr>
        <w:footnoteReference w:id="117"/>
      </w:r>
      <w:r w:rsidR="009224DD" w:rsidRPr="009224DD">
        <w:t xml:space="preserve"> </w:t>
      </w:r>
      <w:r w:rsidR="00ED70F7">
        <w:t xml:space="preserve">However, </w:t>
      </w:r>
      <w:r w:rsidR="00C82A13">
        <w:rPr>
          <w:lang w:val="en"/>
        </w:rPr>
        <w:t>the relevant</w:t>
      </w:r>
      <w:r w:rsidR="00263B0C" w:rsidRPr="00263B0C">
        <w:rPr>
          <w:lang w:val="en"/>
        </w:rPr>
        <w:t xml:space="preserve"> provision has not been </w:t>
      </w:r>
      <w:r w:rsidR="00263B0C">
        <w:rPr>
          <w:lang w:val="en"/>
        </w:rPr>
        <w:t xml:space="preserve">fully </w:t>
      </w:r>
      <w:r w:rsidR="00263B0C" w:rsidRPr="00263B0C">
        <w:rPr>
          <w:lang w:val="en"/>
        </w:rPr>
        <w:t>commenced.</w:t>
      </w:r>
      <w:r w:rsidR="009D2048">
        <w:rPr>
          <w:rStyle w:val="FootnoteReference"/>
          <w:lang w:val="en"/>
        </w:rPr>
        <w:footnoteReference w:id="118"/>
      </w:r>
      <w:r w:rsidR="00263B0C">
        <w:rPr>
          <w:lang w:val="en"/>
        </w:rPr>
        <w:t xml:space="preserve"> </w:t>
      </w:r>
      <w:r w:rsidR="007957DE">
        <w:t xml:space="preserve">There is </w:t>
      </w:r>
      <w:r w:rsidR="00263B0C">
        <w:t xml:space="preserve">also </w:t>
      </w:r>
      <w:r w:rsidR="007957DE">
        <w:t>no equivalen</w:t>
      </w:r>
      <w:r w:rsidR="001758A4">
        <w:t xml:space="preserve">t </w:t>
      </w:r>
      <w:r w:rsidR="007957DE">
        <w:t>offence</w:t>
      </w:r>
      <w:r w:rsidR="001758A4">
        <w:t xml:space="preserve"> </w:t>
      </w:r>
      <w:r w:rsidR="007957DE">
        <w:t xml:space="preserve">in relation to </w:t>
      </w:r>
      <w:r w:rsidR="00CA0A30">
        <w:t xml:space="preserve">individuals </w:t>
      </w:r>
      <w:r w:rsidR="007957DE">
        <w:t>being cared for with capacity</w:t>
      </w:r>
      <w:r w:rsidR="001758A4">
        <w:t xml:space="preserve"> in NI</w:t>
      </w:r>
      <w:r w:rsidR="007957DE">
        <w:t>.</w:t>
      </w:r>
    </w:p>
    <w:p w14:paraId="74D6C23C" w14:textId="77777777" w:rsidR="00FC609C" w:rsidRPr="00FC609C" w:rsidRDefault="00FC609C" w:rsidP="003A6C64">
      <w:pPr>
        <w:pStyle w:val="ListParagraph"/>
        <w:ind w:left="851"/>
        <w:contextualSpacing w:val="0"/>
        <w:rPr>
          <w:bCs/>
        </w:rPr>
      </w:pPr>
    </w:p>
    <w:p w14:paraId="0FB49D62" w14:textId="52C26745" w:rsidR="00D702F5" w:rsidRDefault="00C82A13" w:rsidP="003A6C64">
      <w:pPr>
        <w:pStyle w:val="ListParagraph"/>
        <w:numPr>
          <w:ilvl w:val="1"/>
          <w:numId w:val="22"/>
        </w:numPr>
        <w:ind w:left="851" w:hanging="851"/>
        <w:contextualSpacing w:val="0"/>
        <w:rPr>
          <w:bCs/>
        </w:rPr>
      </w:pPr>
      <w:r w:rsidRPr="22E15799">
        <w:t>T</w:t>
      </w:r>
      <w:r w:rsidR="00766982" w:rsidRPr="22E15799">
        <w:t>he Adult Protection Bill</w:t>
      </w:r>
      <w:r w:rsidRPr="22E15799">
        <w:t xml:space="preserve"> aims to improve adult safeguarding in NI</w:t>
      </w:r>
      <w:r w:rsidR="008D5C75" w:rsidRPr="007A511E">
        <w:rPr>
          <w:bCs/>
        </w:rPr>
        <w:t>,</w:t>
      </w:r>
      <w:r w:rsidR="008D5C75" w:rsidRPr="22E15799">
        <w:rPr>
          <w:rStyle w:val="FootnoteReference"/>
        </w:rPr>
        <w:footnoteReference w:id="119"/>
      </w:r>
      <w:r w:rsidR="008D5C75" w:rsidRPr="007A511E">
        <w:rPr>
          <w:bCs/>
        </w:rPr>
        <w:t xml:space="preserve"> </w:t>
      </w:r>
      <w:r w:rsidR="00F15435" w:rsidRPr="22E15799">
        <w:t xml:space="preserve">but </w:t>
      </w:r>
      <w:r w:rsidR="00783AE9">
        <w:t>its progression was hindered by the suspension of the NI Executive and NI Assembly</w:t>
      </w:r>
      <w:r w:rsidR="006C1415" w:rsidRPr="22E15799">
        <w:t>. NI remains the only part of the UK without such legislation.</w:t>
      </w:r>
      <w:r w:rsidR="006C1415" w:rsidRPr="006C1415">
        <w:rPr>
          <w:vertAlign w:val="superscript"/>
        </w:rPr>
        <w:footnoteReference w:id="120"/>
      </w:r>
      <w:r w:rsidR="00D649CA" w:rsidRPr="007A511E">
        <w:rPr>
          <w:bCs/>
        </w:rPr>
        <w:t xml:space="preserve"> </w:t>
      </w:r>
    </w:p>
    <w:p w14:paraId="1C49C2D5" w14:textId="77777777" w:rsidR="00ED2144" w:rsidRPr="00ED2144" w:rsidRDefault="00ED2144" w:rsidP="003A6C64">
      <w:pPr>
        <w:pStyle w:val="ListParagraph"/>
        <w:contextualSpacing w:val="0"/>
        <w:rPr>
          <w:bCs/>
        </w:rPr>
      </w:pPr>
    </w:p>
    <w:p w14:paraId="1F066064" w14:textId="4EDEF957" w:rsidR="00D702F5" w:rsidRPr="00EB27C8" w:rsidRDefault="00A845FE" w:rsidP="003A6C64">
      <w:pPr>
        <w:pStyle w:val="ListParagraph"/>
        <w:numPr>
          <w:ilvl w:val="1"/>
          <w:numId w:val="22"/>
        </w:numPr>
        <w:ind w:left="851" w:hanging="851"/>
        <w:contextualSpacing w:val="0"/>
        <w:rPr>
          <w:bCs/>
        </w:rPr>
      </w:pPr>
      <w:r w:rsidRPr="22E15799">
        <w:t xml:space="preserve">Between </w:t>
      </w:r>
      <w:r w:rsidR="00935E63" w:rsidRPr="22E15799">
        <w:t>2018 and 202</w:t>
      </w:r>
      <w:r w:rsidR="00297789" w:rsidRPr="22E15799">
        <w:t>3</w:t>
      </w:r>
      <w:r w:rsidR="00935E63" w:rsidRPr="00EB27C8">
        <w:rPr>
          <w:bCs/>
        </w:rPr>
        <w:t xml:space="preserve">, </w:t>
      </w:r>
      <w:r w:rsidR="001B38F3" w:rsidRPr="22E15799">
        <w:t xml:space="preserve">independent </w:t>
      </w:r>
      <w:r w:rsidR="009143DB" w:rsidRPr="22E15799">
        <w:t>investigations</w:t>
      </w:r>
      <w:r w:rsidR="00F632E2">
        <w:t xml:space="preserve"> </w:t>
      </w:r>
      <w:r w:rsidR="00CF660B" w:rsidRPr="22E15799">
        <w:t xml:space="preserve">revealed significant failings </w:t>
      </w:r>
      <w:r w:rsidR="00852F43" w:rsidRPr="22E15799">
        <w:t xml:space="preserve">in </w:t>
      </w:r>
      <w:r w:rsidR="001B38F3" w:rsidRPr="22E15799">
        <w:t xml:space="preserve">the </w:t>
      </w:r>
      <w:r w:rsidR="00C3150A" w:rsidRPr="22E15799">
        <w:t>approach</w:t>
      </w:r>
      <w:r w:rsidR="00D34200">
        <w:rPr>
          <w:bCs/>
        </w:rPr>
        <w:t xml:space="preserve"> </w:t>
      </w:r>
      <w:r w:rsidR="00C3150A" w:rsidRPr="22E15799">
        <w:t xml:space="preserve">and governance of adult safeguarding </w:t>
      </w:r>
      <w:r w:rsidR="00BA017D" w:rsidRPr="22E15799">
        <w:t>in</w:t>
      </w:r>
      <w:r w:rsidR="001B38F3">
        <w:rPr>
          <w:bCs/>
        </w:rPr>
        <w:t xml:space="preserve"> </w:t>
      </w:r>
      <w:r w:rsidR="00BA017D" w:rsidRPr="22E15799">
        <w:t xml:space="preserve">health care settings </w:t>
      </w:r>
      <w:r w:rsidR="00C3150A" w:rsidRPr="22E15799">
        <w:t>in NI.</w:t>
      </w:r>
      <w:r w:rsidR="00637016" w:rsidRPr="22E15799">
        <w:rPr>
          <w:rStyle w:val="FootnoteReference"/>
        </w:rPr>
        <w:footnoteReference w:id="121"/>
      </w:r>
      <w:r w:rsidR="001C1042" w:rsidRPr="00EB27C8">
        <w:rPr>
          <w:bCs/>
        </w:rPr>
        <w:t xml:space="preserve"> </w:t>
      </w:r>
      <w:r w:rsidR="003C240C" w:rsidRPr="22E15799">
        <w:t>In 2022, t</w:t>
      </w:r>
      <w:r w:rsidR="001C1042" w:rsidRPr="22E15799">
        <w:t>he independent review of Dunmurry Manor care home concluded</w:t>
      </w:r>
      <w:r w:rsidR="007064B4">
        <w:rPr>
          <w:bCs/>
        </w:rPr>
        <w:t>.</w:t>
      </w:r>
      <w:r w:rsidR="000518FB" w:rsidRPr="22E15799">
        <w:rPr>
          <w:rStyle w:val="FootnoteReference"/>
        </w:rPr>
        <w:footnoteReference w:id="122"/>
      </w:r>
      <w:r w:rsidR="000518FB" w:rsidRPr="00EB27C8">
        <w:rPr>
          <w:bCs/>
        </w:rPr>
        <w:t xml:space="preserve"> </w:t>
      </w:r>
      <w:r w:rsidR="007064B4" w:rsidRPr="22E15799">
        <w:t>Additionally,</w:t>
      </w:r>
      <w:r w:rsidR="00FF5EA2">
        <w:rPr>
          <w:bCs/>
        </w:rPr>
        <w:t xml:space="preserve"> </w:t>
      </w:r>
      <w:r w:rsidR="00DC5F2B" w:rsidRPr="007478BB">
        <w:rPr>
          <w:color w:val="000000"/>
        </w:rPr>
        <w:t>the Muckamore Abbey Hospital Inquiry</w:t>
      </w:r>
      <w:r w:rsidR="00DC5F2B" w:rsidRPr="007478BB">
        <w:rPr>
          <w:rStyle w:val="FootnoteReference"/>
          <w:color w:val="000000"/>
        </w:rPr>
        <w:footnoteReference w:id="123"/>
      </w:r>
      <w:r w:rsidR="00DC5F2B" w:rsidRPr="007478BB">
        <w:rPr>
          <w:color w:val="000000"/>
        </w:rPr>
        <w:t xml:space="preserve"> </w:t>
      </w:r>
      <w:r w:rsidR="005F45C0">
        <w:rPr>
          <w:color w:val="000000"/>
        </w:rPr>
        <w:t xml:space="preserve">and </w:t>
      </w:r>
      <w:r w:rsidR="001B08C8">
        <w:rPr>
          <w:color w:val="000000"/>
        </w:rPr>
        <w:t xml:space="preserve">the </w:t>
      </w:r>
      <w:r w:rsidR="001C1042" w:rsidRPr="22E15799">
        <w:t>UK</w:t>
      </w:r>
      <w:r w:rsidR="001B08C8" w:rsidRPr="22E15799">
        <w:t>-wide</w:t>
      </w:r>
      <w:r w:rsidR="001C1042" w:rsidRPr="22E15799">
        <w:t xml:space="preserve"> COVID-19 inquiry </w:t>
      </w:r>
      <w:r w:rsidR="005F45C0" w:rsidRPr="22E15799">
        <w:t>commenced</w:t>
      </w:r>
      <w:r w:rsidR="001C1042" w:rsidRPr="00EB27C8">
        <w:rPr>
          <w:bCs/>
        </w:rPr>
        <w:t>.</w:t>
      </w:r>
      <w:r w:rsidR="005F45C0" w:rsidRPr="22E15799">
        <w:rPr>
          <w:rStyle w:val="FootnoteReference"/>
        </w:rPr>
        <w:footnoteReference w:id="124"/>
      </w:r>
      <w:r w:rsidR="001C1042" w:rsidRPr="00EB27C8">
        <w:rPr>
          <w:bCs/>
        </w:rPr>
        <w:t xml:space="preserve"> </w:t>
      </w:r>
    </w:p>
    <w:p w14:paraId="279D2B63" w14:textId="77777777" w:rsidR="009143DB" w:rsidRPr="009143DB" w:rsidRDefault="009143DB" w:rsidP="003A6C64">
      <w:pPr>
        <w:rPr>
          <w:b/>
        </w:rPr>
      </w:pPr>
    </w:p>
    <w:p w14:paraId="3D0C7738" w14:textId="2423F8BF" w:rsidR="00D702F5" w:rsidRPr="00532910" w:rsidRDefault="00D702F5" w:rsidP="003A6C64">
      <w:pPr>
        <w:pStyle w:val="ListParagraph"/>
        <w:numPr>
          <w:ilvl w:val="1"/>
          <w:numId w:val="22"/>
        </w:numPr>
        <w:ind w:left="851" w:hanging="851"/>
        <w:contextualSpacing w:val="0"/>
        <w:rPr>
          <w:b/>
        </w:rPr>
      </w:pPr>
      <w:r w:rsidRPr="00532910">
        <w:rPr>
          <w:b/>
        </w:rPr>
        <w:t xml:space="preserve">The Committee may wish to </w:t>
      </w:r>
      <w:r w:rsidR="00DC6449">
        <w:rPr>
          <w:b/>
        </w:rPr>
        <w:t>recommend that</w:t>
      </w:r>
      <w:r w:rsidR="00DC6449" w:rsidRPr="00532910">
        <w:rPr>
          <w:b/>
        </w:rPr>
        <w:t xml:space="preserve"> </w:t>
      </w:r>
      <w:r w:rsidRPr="00532910">
        <w:rPr>
          <w:b/>
        </w:rPr>
        <w:t xml:space="preserve">the UK </w:t>
      </w:r>
      <w:r w:rsidR="00DC6449">
        <w:rPr>
          <w:b/>
        </w:rPr>
        <w:t xml:space="preserve">takes effective </w:t>
      </w:r>
      <w:r w:rsidR="00E13423">
        <w:rPr>
          <w:b/>
        </w:rPr>
        <w:t>steps</w:t>
      </w:r>
      <w:r w:rsidR="00DC6449">
        <w:rPr>
          <w:b/>
        </w:rPr>
        <w:t xml:space="preserve"> to</w:t>
      </w:r>
      <w:r w:rsidRPr="00532910">
        <w:rPr>
          <w:b/>
        </w:rPr>
        <w:t>:</w:t>
      </w:r>
    </w:p>
    <w:p w14:paraId="2246816D" w14:textId="77777777" w:rsidR="00D702F5" w:rsidRPr="00F90F38" w:rsidRDefault="00D702F5" w:rsidP="003A6C64">
      <w:pPr>
        <w:rPr>
          <w:b/>
        </w:rPr>
      </w:pPr>
    </w:p>
    <w:p w14:paraId="05E00386" w14:textId="683BD484" w:rsidR="00D702F5" w:rsidRPr="00F90F38" w:rsidRDefault="00667ED3" w:rsidP="00500CC3">
      <w:pPr>
        <w:pStyle w:val="ListParagraph"/>
        <w:numPr>
          <w:ilvl w:val="0"/>
          <w:numId w:val="38"/>
        </w:numPr>
        <w:ind w:left="1560"/>
        <w:contextualSpacing w:val="0"/>
        <w:rPr>
          <w:b/>
        </w:rPr>
      </w:pPr>
      <w:r>
        <w:rPr>
          <w:b/>
        </w:rPr>
        <w:t xml:space="preserve">fully </w:t>
      </w:r>
      <w:r w:rsidR="00D702F5" w:rsidRPr="00F90F38">
        <w:rPr>
          <w:b/>
        </w:rPr>
        <w:t>commence the Mental Capacity (NI) Act 2016 without further delay</w:t>
      </w:r>
      <w:r w:rsidR="00A7050E">
        <w:rPr>
          <w:b/>
        </w:rPr>
        <w:t>.</w:t>
      </w:r>
    </w:p>
    <w:p w14:paraId="7DF3E5BF" w14:textId="77777777" w:rsidR="00D702F5" w:rsidRPr="00F90F38" w:rsidRDefault="00D702F5" w:rsidP="00500CC3">
      <w:pPr>
        <w:pStyle w:val="ListParagraph"/>
        <w:ind w:left="1560"/>
        <w:contextualSpacing w:val="0"/>
        <w:rPr>
          <w:b/>
        </w:rPr>
      </w:pPr>
    </w:p>
    <w:p w14:paraId="10C1C7D3" w14:textId="49FCF348" w:rsidR="00D702F5" w:rsidRDefault="00D702F5" w:rsidP="00500CC3">
      <w:pPr>
        <w:pStyle w:val="ListParagraph"/>
        <w:numPr>
          <w:ilvl w:val="0"/>
          <w:numId w:val="38"/>
        </w:numPr>
        <w:ind w:left="1560"/>
        <w:contextualSpacing w:val="0"/>
        <w:rPr>
          <w:b/>
        </w:rPr>
      </w:pPr>
      <w:r w:rsidRPr="00F90F38">
        <w:rPr>
          <w:b/>
        </w:rPr>
        <w:t xml:space="preserve">promptly introduce adult safeguarding legislation </w:t>
      </w:r>
      <w:r>
        <w:rPr>
          <w:b/>
        </w:rPr>
        <w:t xml:space="preserve">in NI </w:t>
      </w:r>
      <w:r w:rsidRPr="00F90F38">
        <w:rPr>
          <w:b/>
        </w:rPr>
        <w:t>that makes it an offence for a care worker to ill</w:t>
      </w:r>
      <w:r w:rsidR="00B74D2B" w:rsidRPr="00F90F38">
        <w:rPr>
          <w:b/>
        </w:rPr>
        <w:t>-</w:t>
      </w:r>
      <w:r w:rsidRPr="00F90F38">
        <w:rPr>
          <w:b/>
        </w:rPr>
        <w:t>treat or wilfully neglect the individual they are caring for</w:t>
      </w:r>
      <w:r w:rsidR="00A7050E">
        <w:rPr>
          <w:b/>
        </w:rPr>
        <w:t>.</w:t>
      </w:r>
    </w:p>
    <w:p w14:paraId="1004AE88" w14:textId="77777777" w:rsidR="00082134" w:rsidRPr="00082134" w:rsidRDefault="00082134" w:rsidP="00500CC3">
      <w:pPr>
        <w:pStyle w:val="ListParagraph"/>
        <w:ind w:left="1560"/>
        <w:contextualSpacing w:val="0"/>
        <w:rPr>
          <w:b/>
        </w:rPr>
      </w:pPr>
    </w:p>
    <w:p w14:paraId="63780FD8" w14:textId="7EF347DA" w:rsidR="00082134" w:rsidRPr="00FC47A0" w:rsidRDefault="00AB3532" w:rsidP="00500CC3">
      <w:pPr>
        <w:pStyle w:val="ListParagraph"/>
        <w:numPr>
          <w:ilvl w:val="0"/>
          <w:numId w:val="38"/>
        </w:numPr>
        <w:ind w:left="1560"/>
        <w:contextualSpacing w:val="0"/>
        <w:rPr>
          <w:b/>
          <w:bCs/>
        </w:rPr>
      </w:pPr>
      <w:r w:rsidRPr="00FC47A0">
        <w:rPr>
          <w:b/>
          <w:bCs/>
          <w:color w:val="000000"/>
        </w:rPr>
        <w:t>ensure that findings from investigations into Dunmurry Manor</w:t>
      </w:r>
      <w:r w:rsidR="00582197" w:rsidRPr="00FC47A0">
        <w:rPr>
          <w:b/>
          <w:bCs/>
          <w:color w:val="000000"/>
        </w:rPr>
        <w:t>,</w:t>
      </w:r>
      <w:r w:rsidRPr="00FC47A0">
        <w:rPr>
          <w:b/>
          <w:bCs/>
          <w:color w:val="000000"/>
        </w:rPr>
        <w:t xml:space="preserve"> Muckamore Abbey Hospital</w:t>
      </w:r>
      <w:r w:rsidR="00582197" w:rsidRPr="00FC47A0">
        <w:rPr>
          <w:b/>
          <w:bCs/>
          <w:color w:val="000000"/>
        </w:rPr>
        <w:t xml:space="preserve"> and the COVID-19</w:t>
      </w:r>
      <w:r w:rsidR="0097496A" w:rsidRPr="00FC47A0">
        <w:rPr>
          <w:b/>
          <w:bCs/>
          <w:color w:val="000000"/>
        </w:rPr>
        <w:t xml:space="preserve"> </w:t>
      </w:r>
      <w:r w:rsidR="00FC47A0" w:rsidRPr="00FC47A0">
        <w:rPr>
          <w:b/>
          <w:bCs/>
          <w:color w:val="000000"/>
        </w:rPr>
        <w:t xml:space="preserve">pandemic </w:t>
      </w:r>
      <w:r w:rsidR="0097496A" w:rsidRPr="00FC47A0">
        <w:rPr>
          <w:b/>
          <w:bCs/>
          <w:color w:val="000000"/>
        </w:rPr>
        <w:t xml:space="preserve">are </w:t>
      </w:r>
      <w:r w:rsidR="00FC47A0" w:rsidRPr="00FC47A0">
        <w:rPr>
          <w:b/>
          <w:bCs/>
          <w:color w:val="000000"/>
        </w:rPr>
        <w:t>fully addressed and remedied,</w:t>
      </w:r>
      <w:r w:rsidR="00D21E5F" w:rsidRPr="00FC47A0">
        <w:rPr>
          <w:b/>
          <w:bCs/>
          <w:color w:val="000000"/>
        </w:rPr>
        <w:t xml:space="preserve"> and </w:t>
      </w:r>
      <w:r w:rsidR="00FC47A0" w:rsidRPr="00FC47A0">
        <w:rPr>
          <w:b/>
          <w:bCs/>
          <w:color w:val="000000"/>
        </w:rPr>
        <w:t xml:space="preserve">that </w:t>
      </w:r>
      <w:r w:rsidR="00D21E5F" w:rsidRPr="00FC47A0">
        <w:rPr>
          <w:b/>
          <w:bCs/>
          <w:color w:val="000000"/>
        </w:rPr>
        <w:t>mechanisms are established to ensure</w:t>
      </w:r>
      <w:r w:rsidR="00FC47A0" w:rsidRPr="00FC47A0">
        <w:rPr>
          <w:b/>
          <w:bCs/>
          <w:color w:val="000000"/>
        </w:rPr>
        <w:t xml:space="preserve"> </w:t>
      </w:r>
      <w:r w:rsidR="00D21E5F" w:rsidRPr="00FC47A0">
        <w:rPr>
          <w:b/>
          <w:bCs/>
          <w:color w:val="000000"/>
        </w:rPr>
        <w:t>breaches do not recur in the future</w:t>
      </w:r>
      <w:r w:rsidR="00A7050E">
        <w:rPr>
          <w:b/>
          <w:bCs/>
          <w:color w:val="000000"/>
        </w:rPr>
        <w:t>.</w:t>
      </w:r>
    </w:p>
    <w:p w14:paraId="751BB1CE" w14:textId="77777777" w:rsidR="00D702F5" w:rsidRPr="00F90F38" w:rsidRDefault="00D702F5" w:rsidP="003A6C64">
      <w:pPr>
        <w:pStyle w:val="ListParagraph"/>
        <w:contextualSpacing w:val="0"/>
        <w:rPr>
          <w:b/>
        </w:rPr>
      </w:pPr>
    </w:p>
    <w:p w14:paraId="62532B36" w14:textId="56187E0A" w:rsidR="006C1415" w:rsidRPr="009B7736" w:rsidRDefault="009B7736" w:rsidP="00500CC3">
      <w:pPr>
        <w:pStyle w:val="Heading2"/>
        <w:spacing w:after="240" w:line="288" w:lineRule="auto"/>
      </w:pPr>
      <w:bookmarkStart w:id="32" w:name="_Toc156901006"/>
      <w:r>
        <w:t>Female genital mutilation</w:t>
      </w:r>
      <w:bookmarkEnd w:id="32"/>
      <w:r w:rsidR="008C47A2">
        <w:t xml:space="preserve"> </w:t>
      </w:r>
    </w:p>
    <w:p w14:paraId="6B7E82A4" w14:textId="4E4EEB0F" w:rsidR="00B22A9E" w:rsidRPr="00BB3A81" w:rsidRDefault="00DF135B" w:rsidP="22E15799">
      <w:pPr>
        <w:pStyle w:val="ListParagraph"/>
        <w:numPr>
          <w:ilvl w:val="1"/>
          <w:numId w:val="22"/>
        </w:numPr>
        <w:ind w:left="851" w:hanging="851"/>
        <w:rPr>
          <w:color w:val="000000"/>
        </w:rPr>
      </w:pPr>
      <w:r>
        <w:t>F</w:t>
      </w:r>
      <w:r w:rsidR="00A47FB5">
        <w:t>emale genital mutilation</w:t>
      </w:r>
      <w:r w:rsidR="00D22AF2" w:rsidRPr="00D22AF2">
        <w:t xml:space="preserve"> </w:t>
      </w:r>
      <w:r w:rsidR="00D22AF2" w:rsidRPr="00D22AF2">
        <w:rPr>
          <w:color w:val="000000"/>
        </w:rPr>
        <w:t xml:space="preserve">is </w:t>
      </w:r>
      <w:r>
        <w:rPr>
          <w:color w:val="000000"/>
        </w:rPr>
        <w:t>an offence</w:t>
      </w:r>
      <w:r w:rsidR="00D22AF2" w:rsidRPr="00D22AF2">
        <w:rPr>
          <w:color w:val="000000"/>
        </w:rPr>
        <w:t xml:space="preserve"> in NI</w:t>
      </w:r>
      <w:r>
        <w:rPr>
          <w:color w:val="000000"/>
        </w:rPr>
        <w:t>,</w:t>
      </w:r>
      <w:r w:rsidR="00D22AF2" w:rsidRPr="00D22AF2">
        <w:rPr>
          <w:rStyle w:val="FootnoteReference"/>
          <w:color w:val="000000"/>
        </w:rPr>
        <w:footnoteReference w:id="125"/>
      </w:r>
      <w:r w:rsidR="00D22AF2" w:rsidRPr="00D22AF2">
        <w:rPr>
          <w:color w:val="000000"/>
        </w:rPr>
        <w:t xml:space="preserve"> </w:t>
      </w:r>
      <w:r w:rsidR="00E3554B">
        <w:rPr>
          <w:color w:val="000000"/>
        </w:rPr>
        <w:t>but</w:t>
      </w:r>
      <w:r>
        <w:rPr>
          <w:color w:val="000000"/>
        </w:rPr>
        <w:t xml:space="preserve"> t</w:t>
      </w:r>
      <w:r w:rsidR="00D22AF2" w:rsidRPr="00D22AF2">
        <w:rPr>
          <w:color w:val="000000"/>
        </w:rPr>
        <w:t>here have been no prosecutions</w:t>
      </w:r>
      <w:r w:rsidR="001A43F0">
        <w:rPr>
          <w:color w:val="000000"/>
        </w:rPr>
        <w:t xml:space="preserve"> to date</w:t>
      </w:r>
      <w:r w:rsidR="00D22AF2" w:rsidRPr="00D22AF2">
        <w:rPr>
          <w:color w:val="000000"/>
        </w:rPr>
        <w:t>.</w:t>
      </w:r>
      <w:r w:rsidR="00775830" w:rsidRPr="00775830">
        <w:t xml:space="preserve"> </w:t>
      </w:r>
      <w:r w:rsidR="00B12421">
        <w:t xml:space="preserve">Maternity appointments are the only </w:t>
      </w:r>
      <w:r w:rsidR="00D44103">
        <w:t xml:space="preserve">point when </w:t>
      </w:r>
      <w:r w:rsidR="00F7373C">
        <w:rPr>
          <w:color w:val="000000"/>
        </w:rPr>
        <w:t xml:space="preserve">routine </w:t>
      </w:r>
      <w:r w:rsidR="00B12421">
        <w:rPr>
          <w:color w:val="000000"/>
        </w:rPr>
        <w:t xml:space="preserve">steps </w:t>
      </w:r>
      <w:r w:rsidR="00CE5B0E">
        <w:rPr>
          <w:color w:val="000000"/>
        </w:rPr>
        <w:t xml:space="preserve">are </w:t>
      </w:r>
      <w:r w:rsidR="00B12421">
        <w:rPr>
          <w:color w:val="000000"/>
        </w:rPr>
        <w:t>taken to</w:t>
      </w:r>
      <w:r w:rsidR="00775830" w:rsidRPr="00775830">
        <w:rPr>
          <w:color w:val="000000"/>
        </w:rPr>
        <w:t xml:space="preserve"> identify </w:t>
      </w:r>
      <w:r w:rsidR="00A47FB5">
        <w:rPr>
          <w:color w:val="000000"/>
        </w:rPr>
        <w:t xml:space="preserve">such </w:t>
      </w:r>
      <w:r w:rsidR="00775830" w:rsidRPr="00775830">
        <w:rPr>
          <w:color w:val="000000"/>
        </w:rPr>
        <w:t>cases in NI</w:t>
      </w:r>
      <w:r w:rsidR="00BC442E">
        <w:rPr>
          <w:rStyle w:val="FootnoteReference"/>
          <w:color w:val="000000"/>
        </w:rPr>
        <w:footnoteReference w:id="126"/>
      </w:r>
      <w:r w:rsidR="00775830">
        <w:rPr>
          <w:color w:val="000000"/>
        </w:rPr>
        <w:t xml:space="preserve"> </w:t>
      </w:r>
      <w:r w:rsidR="00D22AF2" w:rsidRPr="00775830">
        <w:rPr>
          <w:color w:val="000000"/>
        </w:rPr>
        <w:t>In 2019/2020</w:t>
      </w:r>
      <w:r w:rsidR="00D22AF2" w:rsidRPr="00D22AF2">
        <w:t>, there were 25 incidences</w:t>
      </w:r>
      <w:r w:rsidR="00775830">
        <w:t xml:space="preserve"> </w:t>
      </w:r>
      <w:r w:rsidR="00A47FB5">
        <w:t>of female genital muti</w:t>
      </w:r>
      <w:r w:rsidR="001F4E23">
        <w:t xml:space="preserve">lation </w:t>
      </w:r>
      <w:r w:rsidR="00D22AF2" w:rsidRPr="00D22AF2">
        <w:t>recorded</w:t>
      </w:r>
      <w:r w:rsidR="001F4E23">
        <w:t xml:space="preserve"> in NI</w:t>
      </w:r>
      <w:r w:rsidR="00D22AF2" w:rsidRPr="00775830">
        <w:rPr>
          <w:color w:val="000000"/>
        </w:rPr>
        <w:t>.</w:t>
      </w:r>
      <w:r w:rsidR="00D22AF2" w:rsidRPr="00D22AF2">
        <w:rPr>
          <w:rStyle w:val="FootnoteReference"/>
          <w:color w:val="000000"/>
        </w:rPr>
        <w:footnoteReference w:id="127"/>
      </w:r>
      <w:r w:rsidR="00BB3A81">
        <w:rPr>
          <w:color w:val="000000"/>
        </w:rPr>
        <w:t xml:space="preserve"> </w:t>
      </w:r>
      <w:r w:rsidR="00012A91" w:rsidRPr="22E15799">
        <w:t xml:space="preserve">Steps have been taken </w:t>
      </w:r>
      <w:r w:rsidR="00581FA5" w:rsidRPr="22E15799">
        <w:t xml:space="preserve">to </w:t>
      </w:r>
      <w:r w:rsidR="00E271C5" w:rsidRPr="22E15799">
        <w:t xml:space="preserve">assist </w:t>
      </w:r>
      <w:r w:rsidR="000D2D3B" w:rsidRPr="22E15799">
        <w:t>in identifying and tackling</w:t>
      </w:r>
      <w:r w:rsidR="00E271C5" w:rsidRPr="00BB3A81">
        <w:rPr>
          <w:bCs/>
        </w:rPr>
        <w:t xml:space="preserve"> </w:t>
      </w:r>
      <w:r w:rsidR="00A47FB5" w:rsidRPr="22E15799">
        <w:t>female genital mutilation</w:t>
      </w:r>
      <w:r w:rsidR="00A47FB5" w:rsidRPr="00BB3A81">
        <w:rPr>
          <w:bCs/>
        </w:rPr>
        <w:t xml:space="preserve"> </w:t>
      </w:r>
      <w:r w:rsidR="007B53B2" w:rsidRPr="22E15799">
        <w:t>in NI</w:t>
      </w:r>
      <w:r w:rsidR="00E271C5" w:rsidRPr="00BB3A81">
        <w:rPr>
          <w:bCs/>
        </w:rPr>
        <w:t>,</w:t>
      </w:r>
      <w:r w:rsidR="003F501A" w:rsidRPr="22E15799">
        <w:rPr>
          <w:rStyle w:val="FootnoteReference"/>
        </w:rPr>
        <w:footnoteReference w:id="128"/>
      </w:r>
      <w:r w:rsidR="00101705" w:rsidRPr="22E15799">
        <w:t xml:space="preserve"> however specialised therapeutic interventions</w:t>
      </w:r>
      <w:r w:rsidR="00081536" w:rsidRPr="00BB3A81">
        <w:rPr>
          <w:bCs/>
        </w:rPr>
        <w:t xml:space="preserve"> </w:t>
      </w:r>
      <w:r w:rsidR="00604B94">
        <w:t>are lacking</w:t>
      </w:r>
      <w:r w:rsidR="007B53B2">
        <w:t xml:space="preserve">. </w:t>
      </w:r>
    </w:p>
    <w:p w14:paraId="2FD1AF3A" w14:textId="77777777" w:rsidR="00BB3A81" w:rsidRPr="005466B5" w:rsidRDefault="00BB3A81" w:rsidP="003A6C64">
      <w:pPr>
        <w:pStyle w:val="ListParagraph"/>
        <w:ind w:left="851"/>
        <w:contextualSpacing w:val="0"/>
        <w:rPr>
          <w:bCs/>
        </w:rPr>
      </w:pPr>
    </w:p>
    <w:p w14:paraId="38B8C422" w14:textId="14416A54" w:rsidR="00DB5DD4" w:rsidRDefault="00B22A9E" w:rsidP="003A6C64">
      <w:pPr>
        <w:pStyle w:val="ListParagraph"/>
        <w:numPr>
          <w:ilvl w:val="1"/>
          <w:numId w:val="22"/>
        </w:numPr>
        <w:ind w:left="851" w:hanging="851"/>
        <w:contextualSpacing w:val="0"/>
        <w:rPr>
          <w:b/>
        </w:rPr>
      </w:pPr>
      <w:r w:rsidRPr="00B22A9E">
        <w:rPr>
          <w:b/>
        </w:rPr>
        <w:t xml:space="preserve">The Committee may wish to </w:t>
      </w:r>
      <w:r w:rsidR="001F4E23">
        <w:rPr>
          <w:b/>
        </w:rPr>
        <w:t>recommend that</w:t>
      </w:r>
      <w:r w:rsidR="001F4E23" w:rsidRPr="00B22A9E">
        <w:rPr>
          <w:b/>
        </w:rPr>
        <w:t xml:space="preserve"> </w:t>
      </w:r>
      <w:r w:rsidRPr="00B22A9E">
        <w:rPr>
          <w:b/>
        </w:rPr>
        <w:t xml:space="preserve">the UK </w:t>
      </w:r>
      <w:r w:rsidR="001F4E23">
        <w:rPr>
          <w:b/>
        </w:rPr>
        <w:t>takes effective s</w:t>
      </w:r>
      <w:r w:rsidR="00DB5DD4">
        <w:rPr>
          <w:b/>
        </w:rPr>
        <w:t>teps to</w:t>
      </w:r>
      <w:r w:rsidRPr="00B22A9E">
        <w:rPr>
          <w:b/>
        </w:rPr>
        <w:t>:</w:t>
      </w:r>
      <w:r w:rsidR="0031097C">
        <w:rPr>
          <w:b/>
        </w:rPr>
        <w:t xml:space="preserve"> </w:t>
      </w:r>
    </w:p>
    <w:p w14:paraId="3575D93C" w14:textId="77777777" w:rsidR="00DB5DD4" w:rsidRDefault="00DB5DD4" w:rsidP="003A6C64">
      <w:pPr>
        <w:pStyle w:val="ListParagraph"/>
        <w:ind w:left="851"/>
        <w:contextualSpacing w:val="0"/>
        <w:rPr>
          <w:b/>
          <w:bCs/>
        </w:rPr>
      </w:pPr>
    </w:p>
    <w:p w14:paraId="326F7DE7" w14:textId="66517E6F" w:rsidR="00DB5DD4" w:rsidRPr="00DB5DD4" w:rsidRDefault="00BB3A81" w:rsidP="00500CC3">
      <w:pPr>
        <w:pStyle w:val="ListParagraph"/>
        <w:numPr>
          <w:ilvl w:val="0"/>
          <w:numId w:val="53"/>
        </w:numPr>
        <w:ind w:left="1560"/>
        <w:contextualSpacing w:val="0"/>
        <w:rPr>
          <w:b/>
        </w:rPr>
      </w:pPr>
      <w:r w:rsidRPr="0031097C">
        <w:rPr>
          <w:b/>
          <w:bCs/>
        </w:rPr>
        <w:t xml:space="preserve">investigate and prosecute perpetrators of </w:t>
      </w:r>
      <w:r w:rsidR="00DB5DD4">
        <w:rPr>
          <w:b/>
          <w:bCs/>
        </w:rPr>
        <w:t>female genital mutilation</w:t>
      </w:r>
      <w:r w:rsidR="00DB5DD4" w:rsidRPr="0031097C">
        <w:rPr>
          <w:b/>
          <w:bCs/>
        </w:rPr>
        <w:t xml:space="preserve"> </w:t>
      </w:r>
      <w:r w:rsidRPr="0031097C">
        <w:rPr>
          <w:b/>
          <w:bCs/>
        </w:rPr>
        <w:t>in NI</w:t>
      </w:r>
      <w:r w:rsidR="00DB5DD4">
        <w:rPr>
          <w:b/>
          <w:bCs/>
        </w:rPr>
        <w:t>.</w:t>
      </w:r>
      <w:r w:rsidR="0031097C" w:rsidRPr="0031097C">
        <w:rPr>
          <w:b/>
          <w:bCs/>
        </w:rPr>
        <w:t xml:space="preserve"> </w:t>
      </w:r>
    </w:p>
    <w:p w14:paraId="2F29EF16" w14:textId="77777777" w:rsidR="00DB5DD4" w:rsidRPr="00DB5DD4" w:rsidRDefault="00DB5DD4" w:rsidP="00500CC3">
      <w:pPr>
        <w:pStyle w:val="ListParagraph"/>
        <w:ind w:left="1560"/>
        <w:contextualSpacing w:val="0"/>
        <w:rPr>
          <w:b/>
        </w:rPr>
      </w:pPr>
    </w:p>
    <w:p w14:paraId="21EDEBD0" w14:textId="5D56703F" w:rsidR="00DB5DD4" w:rsidRPr="00DB5DD4" w:rsidRDefault="00BB3A81" w:rsidP="00500CC3">
      <w:pPr>
        <w:pStyle w:val="ListParagraph"/>
        <w:numPr>
          <w:ilvl w:val="0"/>
          <w:numId w:val="53"/>
        </w:numPr>
        <w:ind w:left="1560"/>
        <w:contextualSpacing w:val="0"/>
        <w:rPr>
          <w:b/>
        </w:rPr>
      </w:pPr>
      <w:r w:rsidRPr="0031097C">
        <w:rPr>
          <w:b/>
          <w:bCs/>
        </w:rPr>
        <w:t>improve the way in which data in NI is gathered and monitored</w:t>
      </w:r>
      <w:r w:rsidR="00DB5DD4">
        <w:rPr>
          <w:b/>
          <w:bCs/>
        </w:rPr>
        <w:t>.</w:t>
      </w:r>
      <w:r w:rsidR="0031097C">
        <w:rPr>
          <w:b/>
        </w:rPr>
        <w:t xml:space="preserve"> </w:t>
      </w:r>
    </w:p>
    <w:p w14:paraId="3F7C6081" w14:textId="77777777" w:rsidR="00BB3A81" w:rsidRPr="00DB5DD4" w:rsidRDefault="00BB3A81" w:rsidP="00500CC3">
      <w:pPr>
        <w:pStyle w:val="ListParagraph"/>
        <w:ind w:left="1560"/>
        <w:contextualSpacing w:val="0"/>
        <w:rPr>
          <w:b/>
        </w:rPr>
      </w:pPr>
    </w:p>
    <w:p w14:paraId="1C18AF6C" w14:textId="34ABAD9E" w:rsidR="00BB3A81" w:rsidRDefault="00BB3A81" w:rsidP="00500CC3">
      <w:pPr>
        <w:pStyle w:val="ListParagraph"/>
        <w:numPr>
          <w:ilvl w:val="0"/>
          <w:numId w:val="53"/>
        </w:numPr>
        <w:ind w:left="1560"/>
        <w:contextualSpacing w:val="0"/>
        <w:rPr>
          <w:b/>
        </w:rPr>
      </w:pPr>
      <w:r>
        <w:rPr>
          <w:b/>
        </w:rPr>
        <w:t xml:space="preserve">ensure specialised, </w:t>
      </w:r>
      <w:r w:rsidR="00E51FA4">
        <w:rPr>
          <w:b/>
        </w:rPr>
        <w:t xml:space="preserve">adequately funded and </w:t>
      </w:r>
      <w:r>
        <w:rPr>
          <w:b/>
        </w:rPr>
        <w:t xml:space="preserve">accessible support for victims or potential victims of </w:t>
      </w:r>
      <w:r w:rsidR="00DB5DD4">
        <w:rPr>
          <w:b/>
        </w:rPr>
        <w:t>female genital mutilation</w:t>
      </w:r>
      <w:r w:rsidR="00DB5DD4" w:rsidRPr="0031097C">
        <w:rPr>
          <w:b/>
        </w:rPr>
        <w:t xml:space="preserve"> </w:t>
      </w:r>
      <w:r>
        <w:rPr>
          <w:b/>
        </w:rPr>
        <w:t>in NI</w:t>
      </w:r>
      <w:r w:rsidR="00E51FA4">
        <w:rPr>
          <w:b/>
        </w:rPr>
        <w:t xml:space="preserve">. </w:t>
      </w:r>
    </w:p>
    <w:p w14:paraId="66733AA7" w14:textId="77777777" w:rsidR="00BB3A81" w:rsidRDefault="00BB3A81" w:rsidP="003A6C64">
      <w:pPr>
        <w:pStyle w:val="ListParagraph"/>
        <w:contextualSpacing w:val="0"/>
        <w:rPr>
          <w:b/>
        </w:rPr>
      </w:pPr>
    </w:p>
    <w:p w14:paraId="13684182" w14:textId="67192F79" w:rsidR="00BE1235" w:rsidRPr="00BE1235" w:rsidRDefault="00546761" w:rsidP="00500CC3">
      <w:pPr>
        <w:pStyle w:val="Heading2"/>
        <w:spacing w:after="240" w:line="288" w:lineRule="auto"/>
        <w:rPr>
          <w:szCs w:val="24"/>
        </w:rPr>
      </w:pPr>
      <w:bookmarkStart w:id="33" w:name="_Toc156901007"/>
      <w:r>
        <w:t>Intersex genital mutilation</w:t>
      </w:r>
      <w:bookmarkEnd w:id="33"/>
    </w:p>
    <w:p w14:paraId="2616A7AB" w14:textId="59AA2C4A" w:rsidR="00BE1235" w:rsidRPr="00151AE4" w:rsidRDefault="00F65B71" w:rsidP="00151AE4">
      <w:pPr>
        <w:pStyle w:val="ListParagraph"/>
        <w:numPr>
          <w:ilvl w:val="1"/>
          <w:numId w:val="22"/>
        </w:numPr>
        <w:ind w:left="851" w:hanging="851"/>
        <w:contextualSpacing w:val="0"/>
        <w:rPr>
          <w:b/>
        </w:rPr>
      </w:pPr>
      <w:r w:rsidRPr="22E15799">
        <w:t>In NI, guidance</w:t>
      </w:r>
      <w:r w:rsidR="00474758">
        <w:rPr>
          <w:szCs w:val="24"/>
        </w:rPr>
        <w:t xml:space="preserve"> </w:t>
      </w:r>
      <w:r w:rsidR="009C5ED4" w:rsidRPr="22E15799">
        <w:t>for medical practitioners</w:t>
      </w:r>
      <w:r w:rsidR="00424551" w:rsidRPr="22E15799">
        <w:t xml:space="preserve"> on consent and treatment for intersex persons</w:t>
      </w:r>
      <w:r w:rsidR="00E92BB2" w:rsidRPr="22E15799">
        <w:t xml:space="preserve"> has not been updated since</w:t>
      </w:r>
      <w:r w:rsidR="00AF2A59" w:rsidRPr="22E15799">
        <w:t xml:space="preserve"> 2003</w:t>
      </w:r>
      <w:r w:rsidR="0076231E">
        <w:rPr>
          <w:szCs w:val="24"/>
        </w:rPr>
        <w:t>.</w:t>
      </w:r>
      <w:r w:rsidR="009C5ED4" w:rsidRPr="00B40242">
        <w:rPr>
          <w:vertAlign w:val="superscript"/>
        </w:rPr>
        <w:footnoteReference w:id="129"/>
      </w:r>
      <w:r w:rsidR="009C5ED4" w:rsidRPr="00BE1235">
        <w:rPr>
          <w:szCs w:val="24"/>
        </w:rPr>
        <w:t xml:space="preserve"> </w:t>
      </w:r>
      <w:r w:rsidR="00E92BB2" w:rsidRPr="22E15799">
        <w:t>There are concerns about</w:t>
      </w:r>
      <w:r w:rsidR="009C5ED4" w:rsidRPr="22E15799">
        <w:t xml:space="preserve"> non-consensual medical intervention for intersex children</w:t>
      </w:r>
      <w:r w:rsidR="00E92BB2" w:rsidRPr="22E15799">
        <w:t xml:space="preserve"> in NI</w:t>
      </w:r>
      <w:r w:rsidR="00485787" w:rsidRPr="00151AE4">
        <w:rPr>
          <w:szCs w:val="24"/>
        </w:rPr>
        <w:t>.</w:t>
      </w:r>
      <w:r w:rsidR="009C5ED4" w:rsidRPr="00B40242">
        <w:rPr>
          <w:vertAlign w:val="superscript"/>
        </w:rPr>
        <w:footnoteReference w:id="130"/>
      </w:r>
      <w:r w:rsidR="009C5ED4" w:rsidRPr="00151AE4">
        <w:rPr>
          <w:szCs w:val="24"/>
        </w:rPr>
        <w:t xml:space="preserve"> </w:t>
      </w:r>
      <w:r w:rsidR="00485787" w:rsidRPr="22E15799">
        <w:t>There is also a lack of intersex-specific policy or statistics</w:t>
      </w:r>
      <w:r w:rsidR="00AF2A59" w:rsidRPr="00151AE4">
        <w:rPr>
          <w:szCs w:val="24"/>
        </w:rPr>
        <w:t>.</w:t>
      </w:r>
      <w:r w:rsidR="00AF2A59" w:rsidRPr="22E15799">
        <w:rPr>
          <w:rStyle w:val="FootnoteReference"/>
        </w:rPr>
        <w:footnoteReference w:id="131"/>
      </w:r>
      <w:r w:rsidR="00E92BB2" w:rsidRPr="00151AE4">
        <w:rPr>
          <w:szCs w:val="24"/>
        </w:rPr>
        <w:t xml:space="preserve"> </w:t>
      </w:r>
    </w:p>
    <w:p w14:paraId="4799CCF0" w14:textId="77777777" w:rsidR="00BE1235" w:rsidRPr="00151AE4" w:rsidRDefault="00BE1235" w:rsidP="00151AE4">
      <w:pPr>
        <w:ind w:left="0"/>
        <w:rPr>
          <w:b/>
        </w:rPr>
      </w:pPr>
    </w:p>
    <w:p w14:paraId="02A88972" w14:textId="47A902DE" w:rsidR="00205B2A" w:rsidRPr="002F75A9" w:rsidRDefault="009C5ED4" w:rsidP="002F75A9">
      <w:pPr>
        <w:pStyle w:val="ListParagraph"/>
        <w:numPr>
          <w:ilvl w:val="1"/>
          <w:numId w:val="22"/>
        </w:numPr>
        <w:ind w:left="851" w:hanging="851"/>
        <w:contextualSpacing w:val="0"/>
        <w:rPr>
          <w:b/>
        </w:rPr>
      </w:pPr>
      <w:r w:rsidRPr="00BE1235">
        <w:rPr>
          <w:b/>
          <w:bCs/>
        </w:rPr>
        <w:t xml:space="preserve">The Committee may wish to </w:t>
      </w:r>
      <w:r w:rsidR="00A31CAF">
        <w:rPr>
          <w:b/>
          <w:bCs/>
        </w:rPr>
        <w:t>recommend that the</w:t>
      </w:r>
      <w:r w:rsidRPr="00BE1235">
        <w:rPr>
          <w:b/>
          <w:bCs/>
        </w:rPr>
        <w:t xml:space="preserve"> UK </w:t>
      </w:r>
      <w:r w:rsidR="00A31CAF">
        <w:rPr>
          <w:b/>
          <w:bCs/>
        </w:rPr>
        <w:t>takes</w:t>
      </w:r>
      <w:r w:rsidR="00A31CAF" w:rsidRPr="00BE1235">
        <w:rPr>
          <w:b/>
          <w:bCs/>
        </w:rPr>
        <w:t xml:space="preserve"> </w:t>
      </w:r>
      <w:r w:rsidRPr="00BE1235">
        <w:rPr>
          <w:b/>
          <w:bCs/>
        </w:rPr>
        <w:t xml:space="preserve">effective </w:t>
      </w:r>
      <w:r w:rsidR="00A31CAF">
        <w:rPr>
          <w:b/>
          <w:bCs/>
        </w:rPr>
        <w:t>steps</w:t>
      </w:r>
      <w:r w:rsidR="00241D90">
        <w:rPr>
          <w:b/>
          <w:bCs/>
        </w:rPr>
        <w:t xml:space="preserve"> </w:t>
      </w:r>
      <w:r w:rsidR="00241D90" w:rsidRPr="009A4487">
        <w:rPr>
          <w:rStyle w:val="normaltextrun"/>
          <w:b/>
          <w:bCs/>
          <w:color w:val="000000"/>
          <w:shd w:val="clear" w:color="auto" w:fill="FFFFFF"/>
        </w:rPr>
        <w:t>to legally prohibit non-urgent and non-essential medical or surgical treatment of intersex children before they are of sufficient maturity to make their own decisions. This includes establishing effective investigation and monitoring mechanisms and ensuring that victims are provided with redress and access to appropriate support services.</w:t>
      </w:r>
      <w:r w:rsidR="00241D90">
        <w:rPr>
          <w:rStyle w:val="normaltextrun"/>
          <w:color w:val="000000"/>
          <w:shd w:val="clear" w:color="auto" w:fill="FFFFFF"/>
        </w:rPr>
        <w:t> </w:t>
      </w:r>
    </w:p>
    <w:p w14:paraId="02AA47BD" w14:textId="77777777" w:rsidR="005F2DD6" w:rsidRDefault="005F2DD6" w:rsidP="003A6C64">
      <w:pPr>
        <w:rPr>
          <w:bCs/>
        </w:rPr>
      </w:pPr>
    </w:p>
    <w:p w14:paraId="141EC1B5" w14:textId="065DD7C6" w:rsidR="005F2DD6" w:rsidRPr="005F2DD6" w:rsidRDefault="005F2DD6" w:rsidP="008059E7">
      <w:pPr>
        <w:pStyle w:val="Heading2"/>
        <w:spacing w:after="240" w:line="288" w:lineRule="auto"/>
      </w:pPr>
      <w:bookmarkStart w:id="34" w:name="_Toc156901008"/>
      <w:r>
        <w:t>Domestic and sexual violence and abuse</w:t>
      </w:r>
      <w:bookmarkEnd w:id="34"/>
    </w:p>
    <w:p w14:paraId="6C34E146" w14:textId="48955AE4" w:rsidR="00456809" w:rsidRPr="00456809" w:rsidRDefault="00456809" w:rsidP="00500CC3">
      <w:pPr>
        <w:pStyle w:val="ListParagraph"/>
        <w:numPr>
          <w:ilvl w:val="1"/>
          <w:numId w:val="22"/>
        </w:numPr>
        <w:ind w:left="851" w:hanging="862"/>
        <w:contextualSpacing w:val="0"/>
        <w:rPr>
          <w:color w:val="000000"/>
        </w:rPr>
      </w:pPr>
      <w:r w:rsidRPr="00456809">
        <w:rPr>
          <w:color w:val="000000"/>
        </w:rPr>
        <w:t>In 2021/2022,</w:t>
      </w:r>
      <w:r w:rsidRPr="00F77A00">
        <w:t xml:space="preserve"> </w:t>
      </w:r>
      <w:r w:rsidRPr="00456809">
        <w:rPr>
          <w:color w:val="000000"/>
        </w:rPr>
        <w:t>there were 33,186 domestic abuse incidents recorded in NI, the highest level recorded since the data series began in 2004/05.</w:t>
      </w:r>
      <w:r>
        <w:rPr>
          <w:rStyle w:val="FootnoteReference"/>
          <w:color w:val="000000"/>
        </w:rPr>
        <w:footnoteReference w:id="132"/>
      </w:r>
      <w:r w:rsidRPr="00456809">
        <w:rPr>
          <w:color w:val="000000"/>
        </w:rPr>
        <w:t xml:space="preserve"> Of all domestic abuse crime victims, 68 per </w:t>
      </w:r>
      <w:r w:rsidRPr="00456809">
        <w:rPr>
          <w:color w:val="000000"/>
        </w:rPr>
        <w:lastRenderedPageBreak/>
        <w:t>cent were women and 32 per cent were men.</w:t>
      </w:r>
      <w:r>
        <w:rPr>
          <w:rStyle w:val="FootnoteReference"/>
          <w:color w:val="000000"/>
        </w:rPr>
        <w:footnoteReference w:id="133"/>
      </w:r>
      <w:r w:rsidRPr="00456809">
        <w:rPr>
          <w:color w:val="000000"/>
        </w:rPr>
        <w:t xml:space="preserve"> Furthermore, 83 per cent of offenders were men and 15 per cent were women.</w:t>
      </w:r>
      <w:r>
        <w:rPr>
          <w:rStyle w:val="FootnoteReference"/>
          <w:color w:val="000000"/>
        </w:rPr>
        <w:footnoteReference w:id="134"/>
      </w:r>
      <w:r w:rsidRPr="00456809">
        <w:rPr>
          <w:color w:val="000000"/>
        </w:rPr>
        <w:t xml:space="preserve"> Due to lack of reporting, these figures are only indicative of the extent of the issue, particularly regarding violence against women and girls.</w:t>
      </w:r>
      <w:r>
        <w:rPr>
          <w:rStyle w:val="FootnoteReference"/>
          <w:color w:val="000000"/>
        </w:rPr>
        <w:footnoteReference w:id="135"/>
      </w:r>
      <w:r w:rsidR="00DD4996">
        <w:rPr>
          <w:color w:val="000000"/>
        </w:rPr>
        <w:t xml:space="preserve"> The data available is also not </w:t>
      </w:r>
      <w:r w:rsidR="00355ABE">
        <w:rPr>
          <w:color w:val="000000"/>
        </w:rPr>
        <w:t>effectively</w:t>
      </w:r>
      <w:r w:rsidR="005768D7">
        <w:rPr>
          <w:color w:val="000000"/>
        </w:rPr>
        <w:t xml:space="preserve"> </w:t>
      </w:r>
      <w:r w:rsidR="00355ABE">
        <w:rPr>
          <w:color w:val="000000"/>
        </w:rPr>
        <w:t>disaggregated.</w:t>
      </w:r>
      <w:r w:rsidR="005213F9" w:rsidRPr="00734EA6">
        <w:rPr>
          <w:vertAlign w:val="superscript"/>
        </w:rPr>
        <w:footnoteReference w:id="136"/>
      </w:r>
    </w:p>
    <w:p w14:paraId="43B32F2B" w14:textId="77777777" w:rsidR="00456809" w:rsidRPr="00456809" w:rsidRDefault="00456809" w:rsidP="00500CC3">
      <w:pPr>
        <w:pStyle w:val="ListParagraph"/>
        <w:ind w:left="851" w:hanging="862"/>
        <w:contextualSpacing w:val="0"/>
        <w:rPr>
          <w:color w:val="000000"/>
        </w:rPr>
      </w:pPr>
    </w:p>
    <w:p w14:paraId="4C255E76" w14:textId="3B44B885" w:rsidR="00456809" w:rsidRPr="00B75072" w:rsidRDefault="00456809" w:rsidP="00500CC3">
      <w:pPr>
        <w:pStyle w:val="ListParagraph"/>
        <w:numPr>
          <w:ilvl w:val="1"/>
          <w:numId w:val="22"/>
        </w:numPr>
        <w:ind w:left="851" w:hanging="862"/>
        <w:contextualSpacing w:val="0"/>
        <w:rPr>
          <w:color w:val="000000"/>
        </w:rPr>
      </w:pPr>
      <w:r w:rsidRPr="00B75072">
        <w:rPr>
          <w:color w:val="000000"/>
        </w:rPr>
        <w:t xml:space="preserve">In 2021/2022, 543 women and 397 children in NI accessed </w:t>
      </w:r>
      <w:r w:rsidR="009A72C0">
        <w:rPr>
          <w:color w:val="000000"/>
        </w:rPr>
        <w:t xml:space="preserve">Women’s Aid NI </w:t>
      </w:r>
      <w:r w:rsidRPr="00B75072">
        <w:rPr>
          <w:color w:val="000000"/>
        </w:rPr>
        <w:t>refuges.</w:t>
      </w:r>
      <w:r>
        <w:rPr>
          <w:rStyle w:val="FootnoteReference"/>
          <w:color w:val="000000"/>
        </w:rPr>
        <w:footnoteReference w:id="137"/>
      </w:r>
      <w:r w:rsidRPr="00B75072">
        <w:rPr>
          <w:color w:val="000000"/>
        </w:rPr>
        <w:t xml:space="preserve"> Women’s Aid</w:t>
      </w:r>
      <w:r w:rsidR="0046165F">
        <w:rPr>
          <w:color w:val="000000"/>
        </w:rPr>
        <w:t xml:space="preserve"> </w:t>
      </w:r>
      <w:r w:rsidR="009A72C0">
        <w:rPr>
          <w:color w:val="000000"/>
        </w:rPr>
        <w:t xml:space="preserve">also supported </w:t>
      </w:r>
      <w:r w:rsidR="0046165F">
        <w:rPr>
          <w:color w:val="000000"/>
        </w:rPr>
        <w:t xml:space="preserve">an additional </w:t>
      </w:r>
      <w:r w:rsidRPr="00B75072">
        <w:rPr>
          <w:color w:val="000000"/>
        </w:rPr>
        <w:t>7,444 women</w:t>
      </w:r>
      <w:r w:rsidR="0046165F">
        <w:rPr>
          <w:color w:val="000000"/>
        </w:rPr>
        <w:t xml:space="preserve"> in NI</w:t>
      </w:r>
      <w:r w:rsidRPr="00B75072">
        <w:rPr>
          <w:color w:val="000000"/>
        </w:rPr>
        <w:t>.</w:t>
      </w:r>
      <w:r>
        <w:rPr>
          <w:rStyle w:val="FootnoteReference"/>
          <w:color w:val="000000"/>
        </w:rPr>
        <w:footnoteReference w:id="138"/>
      </w:r>
    </w:p>
    <w:p w14:paraId="50A5A68A" w14:textId="77777777" w:rsidR="00456809" w:rsidRPr="00456809" w:rsidRDefault="00456809" w:rsidP="00500CC3">
      <w:pPr>
        <w:pStyle w:val="ListParagraph"/>
        <w:ind w:left="851" w:hanging="862"/>
        <w:contextualSpacing w:val="0"/>
        <w:rPr>
          <w:color w:val="000000"/>
        </w:rPr>
      </w:pPr>
    </w:p>
    <w:p w14:paraId="7DF2D585" w14:textId="2ED6213A" w:rsidR="00456809" w:rsidRPr="002A4551" w:rsidRDefault="00456809" w:rsidP="00500CC3">
      <w:pPr>
        <w:pStyle w:val="ListParagraph"/>
        <w:numPr>
          <w:ilvl w:val="1"/>
          <w:numId w:val="22"/>
        </w:numPr>
        <w:ind w:left="851" w:hanging="862"/>
        <w:contextualSpacing w:val="0"/>
      </w:pPr>
      <w:r w:rsidRPr="22E15799">
        <w:t>In September 2023, research found that 98 per cent of surveyed women in NI and 73 per cent of surveyed girls aged 12 to 17 years in NI reported having experienced at least one form of violence in their lifetime.</w:t>
      </w:r>
      <w:r w:rsidRPr="0029022F">
        <w:rPr>
          <w:vertAlign w:val="superscript"/>
        </w:rPr>
        <w:footnoteReference w:id="139"/>
      </w:r>
    </w:p>
    <w:p w14:paraId="12501C2E" w14:textId="77777777" w:rsidR="00355A1B" w:rsidRPr="00FE7493" w:rsidRDefault="00355A1B" w:rsidP="00500CC3">
      <w:pPr>
        <w:ind w:left="851" w:hanging="862"/>
        <w:rPr>
          <w:bCs/>
        </w:rPr>
      </w:pPr>
    </w:p>
    <w:p w14:paraId="2518F929" w14:textId="37963A3C" w:rsidR="0018436B" w:rsidRPr="009D7372" w:rsidRDefault="00EB3993" w:rsidP="00500CC3">
      <w:pPr>
        <w:pStyle w:val="ListParagraph"/>
        <w:numPr>
          <w:ilvl w:val="1"/>
          <w:numId w:val="22"/>
        </w:numPr>
        <w:ind w:left="851" w:hanging="862"/>
        <w:contextualSpacing w:val="0"/>
        <w:rPr>
          <w:bCs/>
        </w:rPr>
      </w:pPr>
      <w:r>
        <w:t>In 2021, the Department of Justice NI consulted on the introduction of Domestic Abuse Protection Order and Notices</w:t>
      </w:r>
      <w:r w:rsidR="00273D1A">
        <w:t>,</w:t>
      </w:r>
      <w:r>
        <w:rPr>
          <w:rStyle w:val="FootnoteReference"/>
        </w:rPr>
        <w:footnoteReference w:id="140"/>
      </w:r>
      <w:r>
        <w:t xml:space="preserve"> </w:t>
      </w:r>
      <w:r w:rsidR="00D35907">
        <w:t xml:space="preserve">which are </w:t>
      </w:r>
      <w:r>
        <w:t xml:space="preserve">yet to </w:t>
      </w:r>
      <w:r w:rsidR="00273D1A">
        <w:t xml:space="preserve">be </w:t>
      </w:r>
      <w:r>
        <w:t>implemented.</w:t>
      </w:r>
    </w:p>
    <w:p w14:paraId="4A1B535D" w14:textId="77777777" w:rsidR="009D7372" w:rsidRPr="004674A0" w:rsidRDefault="009D7372" w:rsidP="00500CC3">
      <w:pPr>
        <w:pStyle w:val="ListParagraph"/>
        <w:ind w:left="851" w:hanging="862"/>
        <w:contextualSpacing w:val="0"/>
        <w:rPr>
          <w:bCs/>
        </w:rPr>
      </w:pPr>
    </w:p>
    <w:p w14:paraId="46322021" w14:textId="06BADB98" w:rsidR="00E568A6" w:rsidRPr="00FE7493" w:rsidRDefault="00C31576" w:rsidP="00500CC3">
      <w:pPr>
        <w:pStyle w:val="ListParagraph"/>
        <w:numPr>
          <w:ilvl w:val="1"/>
          <w:numId w:val="22"/>
        </w:numPr>
        <w:ind w:left="851" w:hanging="862"/>
        <w:contextualSpacing w:val="0"/>
      </w:pPr>
      <w:r w:rsidRPr="22E15799">
        <w:t>In 2022, the CoE Istanbul Convention came into force in the UK.</w:t>
      </w:r>
      <w:r w:rsidR="00F05AF6" w:rsidRPr="22E15799">
        <w:rPr>
          <w:rStyle w:val="FootnoteReference"/>
        </w:rPr>
        <w:footnoteReference w:id="141"/>
      </w:r>
      <w:r w:rsidR="00E568A6" w:rsidRPr="001156FE">
        <w:rPr>
          <w:color w:val="000000"/>
        </w:rPr>
        <w:t xml:space="preserve"> However, the UK Government placed a reservation against Article 59</w:t>
      </w:r>
      <w:r w:rsidR="00A066E7" w:rsidRPr="00FE7493">
        <w:rPr>
          <w:color w:val="000000"/>
        </w:rPr>
        <w:t>,</w:t>
      </w:r>
      <w:r w:rsidR="00081BA2" w:rsidRPr="00FE7493">
        <w:rPr>
          <w:color w:val="000000"/>
        </w:rPr>
        <w:t xml:space="preserve"> </w:t>
      </w:r>
      <w:r w:rsidR="001156FE" w:rsidRPr="00FE7493">
        <w:rPr>
          <w:color w:val="000000"/>
        </w:rPr>
        <w:t xml:space="preserve">which </w:t>
      </w:r>
      <w:r w:rsidR="00BE528B" w:rsidRPr="00FE7493">
        <w:rPr>
          <w:color w:val="000000"/>
        </w:rPr>
        <w:t>requires</w:t>
      </w:r>
      <w:r w:rsidR="00824B15" w:rsidRPr="00FE7493">
        <w:rPr>
          <w:color w:val="000000"/>
        </w:rPr>
        <w:t xml:space="preserve"> protections for</w:t>
      </w:r>
      <w:r w:rsidR="001156FE" w:rsidRPr="00FE7493">
        <w:rPr>
          <w:color w:val="000000"/>
        </w:rPr>
        <w:t xml:space="preserve"> migrant women.</w:t>
      </w:r>
      <w:r w:rsidR="00832063" w:rsidRPr="00FE7493">
        <w:rPr>
          <w:color w:val="000000"/>
        </w:rPr>
        <w:t xml:space="preserve"> </w:t>
      </w:r>
      <w:r w:rsidR="00FE7493" w:rsidRPr="00FE7493">
        <w:rPr>
          <w:color w:val="000000"/>
        </w:rPr>
        <w:t xml:space="preserve">Additionally, </w:t>
      </w:r>
      <w:r w:rsidR="00FE7493">
        <w:t>the</w:t>
      </w:r>
      <w:r w:rsidR="00FE7493" w:rsidRPr="00CD54DE">
        <w:t xml:space="preserve"> No Recourse to Public Funds </w:t>
      </w:r>
      <w:r w:rsidR="00FE7493">
        <w:t xml:space="preserve">Rule continues to operate, </w:t>
      </w:r>
      <w:r w:rsidR="00FE7493" w:rsidRPr="00CD54DE">
        <w:t>prevent</w:t>
      </w:r>
      <w:r w:rsidR="00FE7493">
        <w:t>ing</w:t>
      </w:r>
      <w:r w:rsidR="00FE7493" w:rsidRPr="00CD54DE">
        <w:t xml:space="preserve"> </w:t>
      </w:r>
      <w:r w:rsidR="00C7200B">
        <w:t>individuals</w:t>
      </w:r>
      <w:r w:rsidR="00FE7493" w:rsidRPr="00CD54DE">
        <w:t xml:space="preserve"> with a variety of visas from accessing safe refuge accommodation</w:t>
      </w:r>
      <w:r w:rsidR="00832063" w:rsidRPr="00CD54DE">
        <w:t xml:space="preserve"> or other support. </w:t>
      </w:r>
    </w:p>
    <w:p w14:paraId="53D8970F" w14:textId="77777777" w:rsidR="001156FE" w:rsidRPr="001156FE" w:rsidRDefault="001156FE" w:rsidP="00500CC3">
      <w:pPr>
        <w:pStyle w:val="ListParagraph"/>
        <w:ind w:left="851" w:hanging="862"/>
        <w:contextualSpacing w:val="0"/>
        <w:rPr>
          <w:bCs/>
        </w:rPr>
      </w:pPr>
    </w:p>
    <w:p w14:paraId="2778ADD8" w14:textId="5D0CFABE" w:rsidR="00400130" w:rsidRPr="00C161BE" w:rsidRDefault="00A42415" w:rsidP="00500CC3">
      <w:pPr>
        <w:pStyle w:val="ListParagraph"/>
        <w:numPr>
          <w:ilvl w:val="1"/>
          <w:numId w:val="22"/>
        </w:numPr>
        <w:ind w:left="851" w:hanging="862"/>
        <w:contextualSpacing w:val="0"/>
        <w:rPr>
          <w:bCs/>
        </w:rPr>
      </w:pPr>
      <w:r w:rsidRPr="22E15799">
        <w:t>In 2023, the Department</w:t>
      </w:r>
      <w:r w:rsidR="007A7A27" w:rsidRPr="22E15799">
        <w:t>s</w:t>
      </w:r>
      <w:r w:rsidRPr="22E15799">
        <w:t xml:space="preserve"> of Health and Justice consulted on a draft domestic and sexual abuse strategy.</w:t>
      </w:r>
      <w:r w:rsidRPr="22E15799">
        <w:rPr>
          <w:vertAlign w:val="superscript"/>
        </w:rPr>
        <w:footnoteReference w:id="142"/>
      </w:r>
      <w:r w:rsidRPr="00A42415">
        <w:rPr>
          <w:bCs/>
        </w:rPr>
        <w:t xml:space="preserve"> </w:t>
      </w:r>
      <w:r w:rsidR="007A7A27" w:rsidRPr="22E15799">
        <w:t>The</w:t>
      </w:r>
      <w:r w:rsidRPr="22E15799">
        <w:t xml:space="preserve"> draft strategy </w:t>
      </w:r>
      <w:r w:rsidRPr="22E15799">
        <w:lastRenderedPageBreak/>
        <w:t>adopts a gender-neutral approach</w:t>
      </w:r>
      <w:r w:rsidR="00467015" w:rsidRPr="22E15799">
        <w:t>, does</w:t>
      </w:r>
      <w:r w:rsidR="0017327D" w:rsidRPr="0017327D">
        <w:t xml:space="preserve"> </w:t>
      </w:r>
      <w:r w:rsidR="0017327D" w:rsidRPr="007051B0">
        <w:t xml:space="preserve">not include provision for the training </w:t>
      </w:r>
      <w:r w:rsidR="00744CF5">
        <w:t>of</w:t>
      </w:r>
      <w:r w:rsidR="0017327D" w:rsidRPr="007051B0">
        <w:t xml:space="preserve"> professionals</w:t>
      </w:r>
      <w:r w:rsidR="001F5474" w:rsidRPr="22E15799">
        <w:t xml:space="preserve"> and does not have an allocated</w:t>
      </w:r>
      <w:r w:rsidRPr="22E15799">
        <w:t xml:space="preserve"> budget</w:t>
      </w:r>
      <w:r w:rsidR="001F5474">
        <w:rPr>
          <w:bCs/>
        </w:rPr>
        <w:t xml:space="preserve"> </w:t>
      </w:r>
      <w:r w:rsidRPr="22E15799">
        <w:t xml:space="preserve">for </w:t>
      </w:r>
      <w:r w:rsidR="0070065B" w:rsidRPr="22E15799">
        <w:t>its</w:t>
      </w:r>
      <w:r w:rsidRPr="22E15799">
        <w:t xml:space="preserve"> implementation.</w:t>
      </w:r>
      <w:r w:rsidR="00B76CE4" w:rsidRPr="22E15799">
        <w:rPr>
          <w:rStyle w:val="FootnoteReference"/>
        </w:rPr>
        <w:footnoteReference w:id="143"/>
      </w:r>
      <w:r w:rsidRPr="00A42415">
        <w:rPr>
          <w:bCs/>
        </w:rPr>
        <w:t xml:space="preserve"> </w:t>
      </w:r>
      <w:r w:rsidR="00400130" w:rsidRPr="00C161BE">
        <w:rPr>
          <w:color w:val="000000"/>
        </w:rPr>
        <w:t>In addition, NI continues to be the only area of the UK without a Violence Against Women and Girls Strategy.</w:t>
      </w:r>
      <w:r w:rsidR="00C161BE">
        <w:rPr>
          <w:rStyle w:val="FootnoteReference"/>
          <w:color w:val="000000"/>
        </w:rPr>
        <w:footnoteReference w:id="144"/>
      </w:r>
    </w:p>
    <w:p w14:paraId="45396504" w14:textId="77777777" w:rsidR="00EB3993" w:rsidRDefault="00EB3993" w:rsidP="00500CC3">
      <w:pPr>
        <w:pStyle w:val="ListParagraph"/>
        <w:ind w:left="851" w:hanging="862"/>
        <w:contextualSpacing w:val="0"/>
        <w:rPr>
          <w:bCs/>
        </w:rPr>
      </w:pPr>
    </w:p>
    <w:p w14:paraId="274B4C89" w14:textId="006A89D5" w:rsidR="00825258" w:rsidRPr="00AA3786" w:rsidRDefault="00AA3786" w:rsidP="00500CC3">
      <w:pPr>
        <w:pStyle w:val="ListParagraph"/>
        <w:numPr>
          <w:ilvl w:val="1"/>
          <w:numId w:val="22"/>
        </w:numPr>
        <w:ind w:left="851" w:hanging="862"/>
        <w:contextualSpacing w:val="0"/>
        <w:rPr>
          <w:bCs/>
        </w:rPr>
      </w:pPr>
      <w:r>
        <w:t>Concerns have emerged regarding the NI budget cuts and the disproportionate</w:t>
      </w:r>
      <w:r w:rsidRPr="006237D6">
        <w:t xml:space="preserve"> impact on</w:t>
      </w:r>
      <w:r>
        <w:t xml:space="preserve"> women and</w:t>
      </w:r>
      <w:r w:rsidRPr="006237D6">
        <w:t xml:space="preserve"> those facing multiple barrier</w:t>
      </w:r>
      <w:r>
        <w:t>s.</w:t>
      </w:r>
      <w:r>
        <w:rPr>
          <w:rStyle w:val="FootnoteReference"/>
        </w:rPr>
        <w:footnoteReference w:id="145"/>
      </w:r>
      <w:r>
        <w:t xml:space="preserve"> </w:t>
      </w:r>
      <w:r w:rsidR="00825258">
        <w:t xml:space="preserve">Groups at particular risk can face additional barriers to accessing support and information for </w:t>
      </w:r>
      <w:r w:rsidR="004F2170">
        <w:t xml:space="preserve">domestic and sexual </w:t>
      </w:r>
      <w:r w:rsidR="00825258">
        <w:t xml:space="preserve">violence </w:t>
      </w:r>
      <w:r w:rsidR="004F2170">
        <w:t>and abuse</w:t>
      </w:r>
      <w:r w:rsidR="00825258">
        <w:t>.</w:t>
      </w:r>
      <w:r w:rsidR="00825258">
        <w:rPr>
          <w:rStyle w:val="FootnoteReference"/>
        </w:rPr>
        <w:footnoteReference w:id="146"/>
      </w:r>
      <w:r w:rsidR="00825258">
        <w:t xml:space="preserve"> This includes</w:t>
      </w:r>
      <w:r w:rsidR="00EE7AFA">
        <w:t xml:space="preserve"> D/deaf and disabled,</w:t>
      </w:r>
      <w:r w:rsidR="00EE7AFA">
        <w:rPr>
          <w:rStyle w:val="FootnoteReference"/>
        </w:rPr>
        <w:footnoteReference w:id="147"/>
      </w:r>
      <w:r w:rsidR="00EE7AFA">
        <w:t xml:space="preserve"> </w:t>
      </w:r>
      <w:r w:rsidR="00485C1A">
        <w:t>migrant women,</w:t>
      </w:r>
      <w:r w:rsidR="00485C1A">
        <w:rPr>
          <w:rStyle w:val="FootnoteReference"/>
        </w:rPr>
        <w:footnoteReference w:id="148"/>
      </w:r>
      <w:r w:rsidR="005E5E57">
        <w:t xml:space="preserve"> LGBTQIA+ people,</w:t>
      </w:r>
      <w:r w:rsidR="00DC68B1">
        <w:rPr>
          <w:rStyle w:val="FootnoteReference"/>
        </w:rPr>
        <w:footnoteReference w:id="149"/>
      </w:r>
      <w:r w:rsidR="00DE0A54">
        <w:t xml:space="preserve"> and rural women.</w:t>
      </w:r>
      <w:r w:rsidR="00DE0A54">
        <w:rPr>
          <w:rStyle w:val="FootnoteReference"/>
        </w:rPr>
        <w:footnoteReference w:id="150"/>
      </w:r>
      <w:r w:rsidR="00B8085A">
        <w:t xml:space="preserve"> </w:t>
      </w:r>
    </w:p>
    <w:p w14:paraId="166504BF" w14:textId="77777777" w:rsidR="00AA3786" w:rsidRPr="00AA3786" w:rsidRDefault="00AA3786" w:rsidP="00500CC3">
      <w:pPr>
        <w:ind w:left="851" w:hanging="862"/>
        <w:rPr>
          <w:bCs/>
        </w:rPr>
      </w:pPr>
    </w:p>
    <w:p w14:paraId="39E18222" w14:textId="7E4C67BC" w:rsidR="00BB3A81" w:rsidRDefault="00FD49B0" w:rsidP="00500CC3">
      <w:pPr>
        <w:pStyle w:val="ListParagraph"/>
        <w:numPr>
          <w:ilvl w:val="1"/>
          <w:numId w:val="22"/>
        </w:numPr>
        <w:ind w:left="851" w:hanging="862"/>
        <w:contextualSpacing w:val="0"/>
        <w:rPr>
          <w:b/>
        </w:rPr>
      </w:pPr>
      <w:r w:rsidRPr="00280C21">
        <w:rPr>
          <w:b/>
        </w:rPr>
        <w:t xml:space="preserve">The Committee </w:t>
      </w:r>
      <w:r w:rsidR="00280C21" w:rsidRPr="00280C21">
        <w:rPr>
          <w:b/>
        </w:rPr>
        <w:t xml:space="preserve">may wish to </w:t>
      </w:r>
      <w:r w:rsidR="00F803E7">
        <w:rPr>
          <w:b/>
        </w:rPr>
        <w:t>recommend that the</w:t>
      </w:r>
      <w:r w:rsidR="00280C21" w:rsidRPr="00280C21">
        <w:rPr>
          <w:b/>
        </w:rPr>
        <w:t xml:space="preserve"> UK</w:t>
      </w:r>
      <w:r w:rsidR="00AB40CB">
        <w:rPr>
          <w:b/>
        </w:rPr>
        <w:t xml:space="preserve"> </w:t>
      </w:r>
      <w:r w:rsidR="00F803E7">
        <w:rPr>
          <w:b/>
        </w:rPr>
        <w:t>takes effective steps to ensure</w:t>
      </w:r>
      <w:r w:rsidR="00AB40CB" w:rsidRPr="008B0D23">
        <w:rPr>
          <w:b/>
        </w:rPr>
        <w:t>:</w:t>
      </w:r>
      <w:r w:rsidR="00AB40CB">
        <w:rPr>
          <w:b/>
        </w:rPr>
        <w:t xml:space="preserve"> </w:t>
      </w:r>
    </w:p>
    <w:p w14:paraId="179DDC94" w14:textId="77777777" w:rsidR="00DF0914" w:rsidRPr="00DF0914" w:rsidRDefault="00DF0914" w:rsidP="003A6C64">
      <w:pPr>
        <w:rPr>
          <w:b/>
        </w:rPr>
      </w:pPr>
    </w:p>
    <w:p w14:paraId="4A51E9F3" w14:textId="543486F0" w:rsidR="00AB40CB" w:rsidRPr="00881758" w:rsidRDefault="00D472CE" w:rsidP="00675F0F">
      <w:pPr>
        <w:pStyle w:val="ListParagraph"/>
        <w:numPr>
          <w:ilvl w:val="0"/>
          <w:numId w:val="40"/>
        </w:numPr>
        <w:ind w:left="1560"/>
        <w:contextualSpacing w:val="0"/>
        <w:rPr>
          <w:b/>
        </w:rPr>
      </w:pPr>
      <w:r>
        <w:rPr>
          <w:b/>
          <w:bCs/>
        </w:rPr>
        <w:t>t</w:t>
      </w:r>
      <w:r w:rsidR="00D42C06">
        <w:rPr>
          <w:b/>
          <w:bCs/>
        </w:rPr>
        <w:t xml:space="preserve">he prompt </w:t>
      </w:r>
      <w:r w:rsidR="00D42C06" w:rsidRPr="00F502A8">
        <w:rPr>
          <w:b/>
          <w:bCs/>
        </w:rPr>
        <w:t>introdu</w:t>
      </w:r>
      <w:r>
        <w:rPr>
          <w:b/>
          <w:bCs/>
        </w:rPr>
        <w:t>ction of</w:t>
      </w:r>
      <w:r w:rsidR="00D42C06">
        <w:rPr>
          <w:b/>
          <w:bCs/>
        </w:rPr>
        <w:t xml:space="preserve"> </w:t>
      </w:r>
      <w:r w:rsidR="00D42C06" w:rsidRPr="00F502A8">
        <w:rPr>
          <w:b/>
          <w:bCs/>
        </w:rPr>
        <w:t xml:space="preserve">Domestic Abuse Protection Orders and Notices </w:t>
      </w:r>
      <w:r w:rsidR="00D42C06">
        <w:rPr>
          <w:b/>
          <w:bCs/>
        </w:rPr>
        <w:t>in NI</w:t>
      </w:r>
      <w:r w:rsidR="00F803E7">
        <w:rPr>
          <w:b/>
          <w:bCs/>
        </w:rPr>
        <w:t>.</w:t>
      </w:r>
    </w:p>
    <w:p w14:paraId="06F5871A" w14:textId="77777777" w:rsidR="00881758" w:rsidRPr="00832AA8" w:rsidRDefault="00881758" w:rsidP="00675F0F">
      <w:pPr>
        <w:pStyle w:val="ListParagraph"/>
        <w:ind w:left="1560"/>
        <w:contextualSpacing w:val="0"/>
        <w:rPr>
          <w:b/>
        </w:rPr>
      </w:pPr>
    </w:p>
    <w:p w14:paraId="38FA789F" w14:textId="7E2997E6" w:rsidR="00832AA8" w:rsidRPr="00DF0914" w:rsidRDefault="00881758" w:rsidP="00675F0F">
      <w:pPr>
        <w:pStyle w:val="ListParagraph"/>
        <w:numPr>
          <w:ilvl w:val="0"/>
          <w:numId w:val="40"/>
        </w:numPr>
        <w:ind w:left="1560"/>
        <w:contextualSpacing w:val="0"/>
        <w:rPr>
          <w:b/>
        </w:rPr>
      </w:pPr>
      <w:r>
        <w:rPr>
          <w:b/>
          <w:bCs/>
        </w:rPr>
        <w:t xml:space="preserve">that the </w:t>
      </w:r>
      <w:r w:rsidRPr="00EF4173">
        <w:rPr>
          <w:b/>
          <w:bCs/>
        </w:rPr>
        <w:t xml:space="preserve">Domestic and Sexual Violence and Abuse Strategy </w:t>
      </w:r>
      <w:r>
        <w:rPr>
          <w:b/>
          <w:bCs/>
        </w:rPr>
        <w:t>in NI includes effective</w:t>
      </w:r>
      <w:r w:rsidRPr="00EF4173">
        <w:rPr>
          <w:b/>
          <w:bCs/>
        </w:rPr>
        <w:t xml:space="preserve"> provisions for gender-sensitive training of all professionals </w:t>
      </w:r>
      <w:r>
        <w:rPr>
          <w:b/>
          <w:bCs/>
        </w:rPr>
        <w:t>across the course of the reporting, judicial and support journey of a</w:t>
      </w:r>
      <w:r w:rsidRPr="00EF4173">
        <w:rPr>
          <w:b/>
          <w:bCs/>
        </w:rPr>
        <w:t xml:space="preserve"> </w:t>
      </w:r>
      <w:r w:rsidRPr="00EF4173">
        <w:rPr>
          <w:b/>
          <w:bCs/>
        </w:rPr>
        <w:lastRenderedPageBreak/>
        <w:t>victim of domestic and sexual abuse</w:t>
      </w:r>
      <w:r w:rsidR="00F803E7">
        <w:rPr>
          <w:b/>
          <w:bCs/>
        </w:rPr>
        <w:t>.</w:t>
      </w:r>
      <w:r w:rsidR="00FE5F76">
        <w:rPr>
          <w:b/>
          <w:bCs/>
        </w:rPr>
        <w:t xml:space="preserve"> </w:t>
      </w:r>
      <w:r>
        <w:rPr>
          <w:b/>
          <w:bCs/>
        </w:rPr>
        <w:t>This includes consideration of groups with specific needs.</w:t>
      </w:r>
    </w:p>
    <w:p w14:paraId="4EDAF5F0" w14:textId="77777777" w:rsidR="00DF0914" w:rsidRPr="000E645F" w:rsidRDefault="00DF0914" w:rsidP="00675F0F">
      <w:pPr>
        <w:pStyle w:val="ListParagraph"/>
        <w:ind w:left="1560"/>
        <w:contextualSpacing w:val="0"/>
        <w:rPr>
          <w:b/>
        </w:rPr>
      </w:pPr>
    </w:p>
    <w:p w14:paraId="0C79B4AB" w14:textId="05FCF1CD" w:rsidR="00D472CE" w:rsidRDefault="0078207E" w:rsidP="00675F0F">
      <w:pPr>
        <w:pStyle w:val="ListParagraph"/>
        <w:numPr>
          <w:ilvl w:val="0"/>
          <w:numId w:val="40"/>
        </w:numPr>
        <w:ind w:left="1560"/>
        <w:contextualSpacing w:val="0"/>
        <w:rPr>
          <w:b/>
          <w:bCs/>
        </w:rPr>
      </w:pPr>
      <w:r w:rsidRPr="00DF0914">
        <w:rPr>
          <w:b/>
          <w:bCs/>
        </w:rPr>
        <w:t>specialised, accessible, gender-sensitive support and services for victims and survivors of domestic and sexual violence and abuse</w:t>
      </w:r>
      <w:r w:rsidR="00553BC3" w:rsidRPr="00DF0914">
        <w:rPr>
          <w:b/>
          <w:bCs/>
        </w:rPr>
        <w:t xml:space="preserve"> is available across NI,</w:t>
      </w:r>
      <w:r w:rsidRPr="00DF0914">
        <w:rPr>
          <w:b/>
          <w:bCs/>
        </w:rPr>
        <w:t xml:space="preserve"> with guaranteed sustainable funding</w:t>
      </w:r>
      <w:r w:rsidR="00F803E7">
        <w:rPr>
          <w:b/>
          <w:bCs/>
        </w:rPr>
        <w:t>.</w:t>
      </w:r>
      <w:r w:rsidR="008B4C19" w:rsidRPr="00DF0914">
        <w:rPr>
          <w:b/>
          <w:bCs/>
        </w:rPr>
        <w:t xml:space="preserve"> </w:t>
      </w:r>
      <w:r w:rsidR="00F803E7">
        <w:rPr>
          <w:b/>
          <w:bCs/>
        </w:rPr>
        <w:t>This includes ensuring that such support is</w:t>
      </w:r>
      <w:r w:rsidR="008B4C19" w:rsidRPr="00DF0914">
        <w:rPr>
          <w:b/>
          <w:bCs/>
        </w:rPr>
        <w:t xml:space="preserve"> available regardless of immigration status.</w:t>
      </w:r>
    </w:p>
    <w:p w14:paraId="77087262" w14:textId="77777777" w:rsidR="00FC2E87" w:rsidRPr="00FC2E87" w:rsidRDefault="00FC2E87" w:rsidP="00675F0F">
      <w:pPr>
        <w:ind w:left="1560"/>
        <w:rPr>
          <w:b/>
          <w:bCs/>
        </w:rPr>
      </w:pPr>
    </w:p>
    <w:p w14:paraId="76E39858" w14:textId="40A27A17" w:rsidR="005F2DD6" w:rsidRPr="00C23544" w:rsidRDefault="00992A4C" w:rsidP="00675F0F">
      <w:pPr>
        <w:pStyle w:val="ListParagraph"/>
        <w:numPr>
          <w:ilvl w:val="0"/>
          <w:numId w:val="40"/>
        </w:numPr>
        <w:ind w:left="1560"/>
        <w:contextualSpacing w:val="0"/>
        <w:rPr>
          <w:bCs/>
        </w:rPr>
      </w:pPr>
      <w:r w:rsidRPr="00C23544">
        <w:rPr>
          <w:b/>
        </w:rPr>
        <w:t>extensive disaggregated data is collected, published and effectively monitored</w:t>
      </w:r>
      <w:r w:rsidR="006C1CAF">
        <w:rPr>
          <w:b/>
          <w:bCs/>
        </w:rPr>
        <w:t xml:space="preserve"> to </w:t>
      </w:r>
      <w:r w:rsidR="00FA59AA">
        <w:rPr>
          <w:b/>
          <w:bCs/>
        </w:rPr>
        <w:t xml:space="preserve">ensure the needs of </w:t>
      </w:r>
      <w:r w:rsidR="00FA59AA" w:rsidRPr="00DF0914">
        <w:rPr>
          <w:b/>
          <w:bCs/>
        </w:rPr>
        <w:t>victims and survivors of domestic and sexual violence and abuse</w:t>
      </w:r>
      <w:r w:rsidR="00FA59AA">
        <w:rPr>
          <w:b/>
          <w:bCs/>
        </w:rPr>
        <w:t xml:space="preserve"> </w:t>
      </w:r>
      <w:r w:rsidR="00985EBB">
        <w:rPr>
          <w:b/>
          <w:bCs/>
        </w:rPr>
        <w:t xml:space="preserve">are reflected in </w:t>
      </w:r>
      <w:r w:rsidR="00FE5F76">
        <w:rPr>
          <w:b/>
          <w:bCs/>
        </w:rPr>
        <w:t>all services and strategies.</w:t>
      </w:r>
      <w:r w:rsidR="001754A9">
        <w:rPr>
          <w:b/>
          <w:bCs/>
        </w:rPr>
        <w:t xml:space="preserve"> </w:t>
      </w:r>
    </w:p>
    <w:p w14:paraId="6EFD79FA" w14:textId="77777777" w:rsidR="00C23544" w:rsidRPr="00C23544" w:rsidRDefault="00C23544" w:rsidP="003A6C64">
      <w:pPr>
        <w:rPr>
          <w:bCs/>
        </w:rPr>
      </w:pPr>
    </w:p>
    <w:p w14:paraId="1BEA7664" w14:textId="75D9630B" w:rsidR="00481842" w:rsidRPr="005F2DD6" w:rsidRDefault="00481842" w:rsidP="00500CC3">
      <w:pPr>
        <w:pStyle w:val="Heading2"/>
        <w:spacing w:after="240" w:line="288" w:lineRule="auto"/>
      </w:pPr>
      <w:bookmarkStart w:id="36" w:name="_Toc156901009"/>
      <w:r>
        <w:t>Termination of pregnancy</w:t>
      </w:r>
      <w:bookmarkEnd w:id="36"/>
    </w:p>
    <w:p w14:paraId="00CCFC0C" w14:textId="00CE8088" w:rsidR="00B91670" w:rsidRPr="00B91670" w:rsidRDefault="00A60997" w:rsidP="003A6C64">
      <w:pPr>
        <w:pStyle w:val="ListParagraph"/>
        <w:numPr>
          <w:ilvl w:val="1"/>
          <w:numId w:val="22"/>
        </w:numPr>
        <w:ind w:left="851" w:hanging="851"/>
        <w:contextualSpacing w:val="0"/>
        <w:rPr>
          <w:bCs/>
        </w:rPr>
      </w:pPr>
      <w:r>
        <w:rPr>
          <w:rFonts w:eastAsia="Verdana" w:cs="Verdana"/>
          <w:color w:val="000000" w:themeColor="text1"/>
        </w:rPr>
        <w:t>I</w:t>
      </w:r>
      <w:r w:rsidR="004F37A8">
        <w:rPr>
          <w:rFonts w:eastAsia="Verdana" w:cs="Verdana"/>
          <w:color w:val="000000" w:themeColor="text1"/>
        </w:rPr>
        <w:t xml:space="preserve">n 2020, </w:t>
      </w:r>
      <w:r w:rsidR="00A917A4" w:rsidRPr="007478BB">
        <w:rPr>
          <w:color w:val="000000"/>
        </w:rPr>
        <w:t xml:space="preserve">abortion </w:t>
      </w:r>
      <w:r w:rsidR="00F64E25">
        <w:rPr>
          <w:color w:val="000000"/>
        </w:rPr>
        <w:t>w</w:t>
      </w:r>
      <w:r w:rsidR="00027D93">
        <w:rPr>
          <w:color w:val="000000"/>
        </w:rPr>
        <w:t>as</w:t>
      </w:r>
      <w:r w:rsidR="00A917A4" w:rsidRPr="007478BB">
        <w:rPr>
          <w:color w:val="000000"/>
        </w:rPr>
        <w:t xml:space="preserve"> legalised in NI </w:t>
      </w:r>
      <w:r w:rsidR="004F37A8">
        <w:rPr>
          <w:color w:val="000000"/>
        </w:rPr>
        <w:t>in specific circumstances</w:t>
      </w:r>
      <w:r w:rsidR="0050013A">
        <w:rPr>
          <w:color w:val="000000"/>
        </w:rPr>
        <w:t>.</w:t>
      </w:r>
      <w:r w:rsidR="001E1062">
        <w:rPr>
          <w:rStyle w:val="FootnoteReference"/>
          <w:color w:val="000000"/>
        </w:rPr>
        <w:footnoteReference w:id="151"/>
      </w:r>
      <w:r w:rsidR="003C2655">
        <w:rPr>
          <w:color w:val="000000"/>
        </w:rPr>
        <w:t xml:space="preserve"> </w:t>
      </w:r>
      <w:r w:rsidR="004F37A8">
        <w:rPr>
          <w:color w:val="000000"/>
        </w:rPr>
        <w:t xml:space="preserve">After a delay, </w:t>
      </w:r>
      <w:r w:rsidR="00A00D26">
        <w:rPr>
          <w:color w:val="000000"/>
        </w:rPr>
        <w:t>in 2022, the UK Government commissioned abortion services in NI.</w:t>
      </w:r>
      <w:r w:rsidR="00541550" w:rsidRPr="007478BB">
        <w:rPr>
          <w:vertAlign w:val="superscript"/>
        </w:rPr>
        <w:footnoteReference w:id="152"/>
      </w:r>
      <w:r w:rsidR="00541550" w:rsidRPr="007478BB">
        <w:rPr>
          <w:rFonts w:eastAsia="Times New Roman"/>
          <w:color w:val="000000"/>
        </w:rPr>
        <w:t xml:space="preserve"> </w:t>
      </w:r>
      <w:r w:rsidR="00A00D26">
        <w:rPr>
          <w:color w:val="000000"/>
        </w:rPr>
        <w:t xml:space="preserve">However, it remains the responsibility of the Department of Health </w:t>
      </w:r>
      <w:r w:rsidR="00B52840">
        <w:rPr>
          <w:color w:val="000000"/>
        </w:rPr>
        <w:t>to administer the services.</w:t>
      </w:r>
      <w:r w:rsidR="00541550" w:rsidRPr="007478BB">
        <w:rPr>
          <w:vertAlign w:val="superscript"/>
        </w:rPr>
        <w:footnoteReference w:id="153"/>
      </w:r>
      <w:r w:rsidR="00B52840">
        <w:rPr>
          <w:color w:val="000000"/>
        </w:rPr>
        <w:t xml:space="preserve"> No additional funding has been provided by the UK Government for this purpose, </w:t>
      </w:r>
      <w:r w:rsidR="00541550">
        <w:rPr>
          <w:color w:val="000000"/>
        </w:rPr>
        <w:t>such funding has been ringfenced within the existing block grant.</w:t>
      </w:r>
      <w:r w:rsidR="00541550" w:rsidRPr="007478BB">
        <w:rPr>
          <w:rStyle w:val="FootnoteReference"/>
          <w:rFonts w:eastAsia="Times New Roman"/>
          <w:color w:val="000000"/>
        </w:rPr>
        <w:footnoteReference w:id="154"/>
      </w:r>
      <w:r w:rsidR="00541550">
        <w:rPr>
          <w:color w:val="000000"/>
        </w:rPr>
        <w:t xml:space="preserve"> </w:t>
      </w:r>
    </w:p>
    <w:p w14:paraId="7C973C50" w14:textId="77777777" w:rsidR="001D47FD" w:rsidRPr="001D47FD" w:rsidRDefault="001D47FD" w:rsidP="003A6C64">
      <w:pPr>
        <w:rPr>
          <w:bCs/>
        </w:rPr>
      </w:pPr>
    </w:p>
    <w:p w14:paraId="3AA73A3C" w14:textId="621165B1" w:rsidR="00213BE3" w:rsidRPr="000D1591" w:rsidRDefault="00B91670" w:rsidP="003A6C64">
      <w:pPr>
        <w:pStyle w:val="ListParagraph"/>
        <w:numPr>
          <w:ilvl w:val="1"/>
          <w:numId w:val="22"/>
        </w:numPr>
        <w:ind w:left="851" w:hanging="851"/>
        <w:contextualSpacing w:val="0"/>
        <w:rPr>
          <w:b/>
        </w:rPr>
      </w:pPr>
      <w:r>
        <w:t>In 2023, p</w:t>
      </w:r>
      <w:r w:rsidRPr="007478BB">
        <w:t xml:space="preserve">rovision of abortion services in NI </w:t>
      </w:r>
      <w:r>
        <w:t>was</w:t>
      </w:r>
      <w:r w:rsidRPr="007478BB">
        <w:t xml:space="preserve"> fragile, often dependent on a single practitioner.</w:t>
      </w:r>
      <w:r w:rsidRPr="159CEA78">
        <w:rPr>
          <w:rStyle w:val="FootnoteReference"/>
        </w:rPr>
        <w:footnoteReference w:id="155"/>
      </w:r>
      <w:r w:rsidRPr="007478BB">
        <w:t xml:space="preserve"> </w:t>
      </w:r>
      <w:r w:rsidR="007E61D4">
        <w:t>It was also difficult to access</w:t>
      </w:r>
      <w:r w:rsidRPr="007478BB">
        <w:t xml:space="preserve"> </w:t>
      </w:r>
      <w:r w:rsidRPr="007478BB">
        <w:lastRenderedPageBreak/>
        <w:t xml:space="preserve">adequate and appropriate facilities to enable consistent abortion services </w:t>
      </w:r>
      <w:r w:rsidR="007E61D4">
        <w:t>across</w:t>
      </w:r>
      <w:r w:rsidRPr="007478BB">
        <w:t xml:space="preserve"> NI.</w:t>
      </w:r>
      <w:r w:rsidRPr="159CEA78">
        <w:rPr>
          <w:rStyle w:val="FootnoteReference"/>
        </w:rPr>
        <w:footnoteReference w:id="156"/>
      </w:r>
      <w:r>
        <w:t xml:space="preserve"> </w:t>
      </w:r>
      <w:r w:rsidR="007E61D4">
        <w:t>Steps were being taken</w:t>
      </w:r>
      <w:r>
        <w:t xml:space="preserve"> to bring abortion services closer to the provision required by the Abortion (NI) Regulations.</w:t>
      </w:r>
      <w:r w:rsidRPr="159CEA78">
        <w:rPr>
          <w:rStyle w:val="FootnoteReference"/>
        </w:rPr>
        <w:footnoteReference w:id="157"/>
      </w:r>
      <w:r>
        <w:t xml:space="preserve"> </w:t>
      </w:r>
      <w:r w:rsidR="0079319D">
        <w:t xml:space="preserve">However, </w:t>
      </w:r>
      <w:r w:rsidR="007E61D4">
        <w:t xml:space="preserve">without </w:t>
      </w:r>
      <w:r w:rsidR="0079319D">
        <w:t xml:space="preserve">consistent, long-term </w:t>
      </w:r>
      <w:r w:rsidR="007E61D4">
        <w:t>abortion services</w:t>
      </w:r>
      <w:r w:rsidR="0079319D">
        <w:t xml:space="preserve"> in line with Abortion (NI) Regulations in NI, many </w:t>
      </w:r>
      <w:r w:rsidR="0079319D" w:rsidRPr="007478BB">
        <w:t xml:space="preserve">individuals </w:t>
      </w:r>
      <w:r w:rsidR="0079319D">
        <w:t>continue to see no other option but to travel</w:t>
      </w:r>
      <w:r w:rsidR="0079319D" w:rsidRPr="007478BB">
        <w:t xml:space="preserve"> to England for abortions.</w:t>
      </w:r>
      <w:r w:rsidR="0079319D" w:rsidRPr="159CEA78">
        <w:rPr>
          <w:rStyle w:val="FootnoteReference"/>
        </w:rPr>
        <w:footnoteReference w:id="158"/>
      </w:r>
    </w:p>
    <w:p w14:paraId="4440996D" w14:textId="77777777" w:rsidR="000D1591" w:rsidRPr="000D1591" w:rsidRDefault="000D1591" w:rsidP="003A6C64">
      <w:pPr>
        <w:pStyle w:val="ListParagraph"/>
        <w:contextualSpacing w:val="0"/>
        <w:rPr>
          <w:b/>
        </w:rPr>
      </w:pPr>
    </w:p>
    <w:p w14:paraId="75A13379" w14:textId="00FE8A37" w:rsidR="000D1591" w:rsidRPr="000D1591" w:rsidRDefault="000D1591" w:rsidP="003A6C64">
      <w:pPr>
        <w:pStyle w:val="ListParagraph"/>
        <w:numPr>
          <w:ilvl w:val="1"/>
          <w:numId w:val="22"/>
        </w:numPr>
        <w:ind w:left="851" w:hanging="851"/>
        <w:contextualSpacing w:val="0"/>
        <w:rPr>
          <w:bCs/>
        </w:rPr>
      </w:pPr>
      <w:r w:rsidRPr="22E15799">
        <w:t>Effective d</w:t>
      </w:r>
      <w:r w:rsidR="00DB251B" w:rsidRPr="22E15799">
        <w:t>isaggregated data collection and monitoring on the use of abortion services in NI is lacking.</w:t>
      </w:r>
      <w:r w:rsidR="004B784E" w:rsidRPr="22E15799">
        <w:rPr>
          <w:rStyle w:val="FootnoteReference"/>
        </w:rPr>
        <w:footnoteReference w:id="159"/>
      </w:r>
    </w:p>
    <w:p w14:paraId="3C71D15C" w14:textId="77777777" w:rsidR="00213BE3" w:rsidRDefault="00213BE3" w:rsidP="003A6C64">
      <w:pPr>
        <w:pStyle w:val="ListParagraph"/>
        <w:contextualSpacing w:val="0"/>
      </w:pPr>
    </w:p>
    <w:p w14:paraId="6B170602" w14:textId="27609EFC" w:rsidR="00213BE3" w:rsidRPr="00200ED7" w:rsidRDefault="00DF0E06" w:rsidP="22E15799">
      <w:pPr>
        <w:pStyle w:val="ListParagraph"/>
        <w:numPr>
          <w:ilvl w:val="1"/>
          <w:numId w:val="22"/>
        </w:numPr>
        <w:ind w:left="851" w:hanging="851"/>
        <w:rPr>
          <w:b/>
          <w:bCs/>
        </w:rPr>
      </w:pPr>
      <w:r>
        <w:t>Unlike the rest of the UK, t</w:t>
      </w:r>
      <w:r w:rsidR="00213BE3" w:rsidRPr="007478BB">
        <w:t xml:space="preserve">elemedicine </w:t>
      </w:r>
      <w:r w:rsidR="00213BE3">
        <w:t xml:space="preserve">for early medical abortions </w:t>
      </w:r>
      <w:r>
        <w:t>is unavailable</w:t>
      </w:r>
      <w:r w:rsidR="00213BE3" w:rsidRPr="007478BB">
        <w:t xml:space="preserve"> in NI.</w:t>
      </w:r>
      <w:r w:rsidR="00213BE3" w:rsidRPr="159CEA78">
        <w:rPr>
          <w:rStyle w:val="FootnoteReference"/>
          <w:rFonts w:eastAsia="Times New Roman"/>
        </w:rPr>
        <w:footnoteReference w:id="160"/>
      </w:r>
      <w:r w:rsidR="00213BE3" w:rsidRPr="007478BB">
        <w:t xml:space="preserve"> </w:t>
      </w:r>
      <w:r w:rsidR="00840E16">
        <w:t>There are plans to</w:t>
      </w:r>
      <w:r w:rsidR="00213BE3" w:rsidRPr="007478BB">
        <w:t xml:space="preserve"> consider </w:t>
      </w:r>
      <w:r w:rsidR="00DD6ED6">
        <w:t>the introduction of such services,</w:t>
      </w:r>
      <w:r w:rsidR="00213BE3" w:rsidRPr="159CEA78">
        <w:rPr>
          <w:rStyle w:val="FootnoteReference"/>
          <w:rFonts w:eastAsia="Times New Roman"/>
        </w:rPr>
        <w:footnoteReference w:id="161"/>
      </w:r>
      <w:r w:rsidR="00213BE3" w:rsidRPr="007478BB">
        <w:t xml:space="preserve"> </w:t>
      </w:r>
      <w:r w:rsidR="00DD6ED6">
        <w:t>h</w:t>
      </w:r>
      <w:r w:rsidR="00213BE3" w:rsidRPr="007478BB">
        <w:t xml:space="preserve">owever </w:t>
      </w:r>
      <w:r w:rsidR="00783AE9">
        <w:t xml:space="preserve">this was hindered by the suspension </w:t>
      </w:r>
      <w:r w:rsidR="00783AE9">
        <w:lastRenderedPageBreak/>
        <w:t>of the</w:t>
      </w:r>
      <w:r w:rsidR="00213BE3">
        <w:t xml:space="preserve"> NI Executive</w:t>
      </w:r>
      <w:r w:rsidR="00213BE3" w:rsidRPr="007478BB">
        <w:t>.</w:t>
      </w:r>
      <w:r w:rsidR="00213BE3" w:rsidRPr="159CEA78">
        <w:rPr>
          <w:rStyle w:val="FootnoteReference"/>
          <w:rFonts w:eastAsia="Times New Roman"/>
        </w:rPr>
        <w:footnoteReference w:id="162"/>
      </w:r>
      <w:r w:rsidR="00200ED7">
        <w:t xml:space="preserve"> </w:t>
      </w:r>
      <w:r w:rsidR="00A14F7D">
        <w:t>T</w:t>
      </w:r>
      <w:r w:rsidR="00213BE3" w:rsidRPr="007478BB">
        <w:t xml:space="preserve">elemedicine </w:t>
      </w:r>
      <w:r w:rsidR="00A14F7D">
        <w:t xml:space="preserve">for the purposes of abortions </w:t>
      </w:r>
      <w:r w:rsidR="00200ED7">
        <w:t>are</w:t>
      </w:r>
      <w:r w:rsidR="00A14F7D">
        <w:t xml:space="preserve"> obtained </w:t>
      </w:r>
      <w:r w:rsidR="00213BE3" w:rsidRPr="007478BB">
        <w:t>through unregistered websites</w:t>
      </w:r>
      <w:r w:rsidR="00A14F7D">
        <w:t xml:space="preserve"> in NI</w:t>
      </w:r>
      <w:r w:rsidR="00213BE3" w:rsidRPr="007478BB">
        <w:t>.</w:t>
      </w:r>
      <w:r w:rsidR="00213BE3" w:rsidRPr="159CEA78">
        <w:rPr>
          <w:rStyle w:val="FootnoteReference"/>
        </w:rPr>
        <w:footnoteReference w:id="163"/>
      </w:r>
      <w:r w:rsidR="00213BE3" w:rsidRPr="007478BB">
        <w:t xml:space="preserve"> </w:t>
      </w:r>
      <w:r w:rsidR="00213BE3">
        <w:t>There is no</w:t>
      </w:r>
      <w:r w:rsidR="00213BE3" w:rsidRPr="007478BB">
        <w:t xml:space="preserve"> clear care pathway </w:t>
      </w:r>
      <w:r w:rsidR="00AE68B4">
        <w:t>for such cases</w:t>
      </w:r>
      <w:r w:rsidR="00213BE3">
        <w:t>, which has caused</w:t>
      </w:r>
      <w:r w:rsidR="00213BE3" w:rsidRPr="007478BB">
        <w:t xml:space="preserve"> trauma </w:t>
      </w:r>
      <w:r w:rsidR="00213BE3">
        <w:t>or put the</w:t>
      </w:r>
      <w:r w:rsidR="00213BE3" w:rsidRPr="007478BB">
        <w:t xml:space="preserve"> affected individual’s life at risk</w:t>
      </w:r>
      <w:r w:rsidR="00AE68B4">
        <w:t xml:space="preserve"> where complications have arisen</w:t>
      </w:r>
      <w:r w:rsidR="00213BE3" w:rsidRPr="007478BB">
        <w:t>.</w:t>
      </w:r>
      <w:r w:rsidR="00213BE3" w:rsidRPr="159CEA78">
        <w:rPr>
          <w:rStyle w:val="FootnoteReference"/>
        </w:rPr>
        <w:footnoteReference w:id="164"/>
      </w:r>
    </w:p>
    <w:p w14:paraId="6D4E6845" w14:textId="77777777" w:rsidR="00213BE3" w:rsidRDefault="00213BE3" w:rsidP="22E15799">
      <w:pPr>
        <w:pStyle w:val="ListParagraph"/>
        <w:ind w:left="0"/>
      </w:pPr>
    </w:p>
    <w:p w14:paraId="48D7EC87" w14:textId="2288BA6E" w:rsidR="00213BE3" w:rsidRPr="00213BE3" w:rsidRDefault="00AE68B4" w:rsidP="003A6C64">
      <w:pPr>
        <w:pStyle w:val="ListParagraph"/>
        <w:numPr>
          <w:ilvl w:val="1"/>
          <w:numId w:val="22"/>
        </w:numPr>
        <w:ind w:left="851" w:hanging="851"/>
        <w:contextualSpacing w:val="0"/>
        <w:rPr>
          <w:b/>
        </w:rPr>
      </w:pPr>
      <w:r>
        <w:t>There is</w:t>
      </w:r>
      <w:r w:rsidR="00213BE3" w:rsidRPr="007478BB">
        <w:t xml:space="preserve"> no plan to introduce statutory, department-led guidance </w:t>
      </w:r>
      <w:r w:rsidR="00213BE3">
        <w:t>on abortion services specific to</w:t>
      </w:r>
      <w:r w:rsidR="00213BE3" w:rsidRPr="007478BB">
        <w:t xml:space="preserve"> NI.</w:t>
      </w:r>
      <w:r w:rsidR="00213BE3" w:rsidRPr="159CEA78">
        <w:rPr>
          <w:rStyle w:val="FootnoteReference"/>
        </w:rPr>
        <w:footnoteReference w:id="165"/>
      </w:r>
      <w:r w:rsidR="00213BE3" w:rsidRPr="00213BE3">
        <w:rPr>
          <w:szCs w:val="24"/>
        </w:rPr>
        <w:t xml:space="preserve"> </w:t>
      </w:r>
      <w:r>
        <w:t>Th</w:t>
      </w:r>
      <w:r w:rsidR="00A21D1A">
        <w:t>e</w:t>
      </w:r>
      <w:r>
        <w:t>re are also no plans</w:t>
      </w:r>
      <w:r w:rsidR="00213BE3" w:rsidRPr="007478BB">
        <w:t xml:space="preserve"> to introduce specific guidance on conscientious objection regarding abortion services in NI.</w:t>
      </w:r>
      <w:r w:rsidR="00213BE3" w:rsidRPr="159CEA78">
        <w:rPr>
          <w:rStyle w:val="FootnoteReference"/>
        </w:rPr>
        <w:footnoteReference w:id="166"/>
      </w:r>
      <w:r w:rsidR="00213BE3" w:rsidRPr="007478BB">
        <w:t xml:space="preserve"> However, several stakeholders </w:t>
      </w:r>
      <w:r w:rsidR="00213BE3">
        <w:t>are</w:t>
      </w:r>
      <w:r w:rsidR="00213BE3" w:rsidRPr="007478BB">
        <w:t xml:space="preserve"> aware of frequent misuse or misunderstanding of conscientious objection in the context of abortion services.</w:t>
      </w:r>
      <w:r w:rsidR="00213BE3" w:rsidRPr="159CEA78">
        <w:rPr>
          <w:rStyle w:val="FootnoteReference"/>
        </w:rPr>
        <w:footnoteReference w:id="167"/>
      </w:r>
    </w:p>
    <w:p w14:paraId="541F42EF" w14:textId="77777777" w:rsidR="00213BE3" w:rsidRPr="00B91670" w:rsidRDefault="00213BE3" w:rsidP="003A6C64">
      <w:pPr>
        <w:pStyle w:val="ListParagraph"/>
        <w:ind w:left="851"/>
        <w:contextualSpacing w:val="0"/>
        <w:rPr>
          <w:b/>
        </w:rPr>
      </w:pPr>
    </w:p>
    <w:p w14:paraId="4147DA87" w14:textId="5C2E08D4" w:rsidR="001D47FD" w:rsidRPr="003F39DE" w:rsidRDefault="001D47FD" w:rsidP="003A6C64">
      <w:pPr>
        <w:pStyle w:val="ListParagraph"/>
        <w:numPr>
          <w:ilvl w:val="1"/>
          <w:numId w:val="22"/>
        </w:numPr>
        <w:ind w:left="851" w:hanging="851"/>
        <w:contextualSpacing w:val="0"/>
        <w:rPr>
          <w:b/>
        </w:rPr>
      </w:pPr>
      <w:r w:rsidRPr="003F39DE">
        <w:rPr>
          <w:b/>
        </w:rPr>
        <w:t xml:space="preserve">The Committee may wish to </w:t>
      </w:r>
      <w:r w:rsidR="00213BE3">
        <w:rPr>
          <w:b/>
        </w:rPr>
        <w:t>recommend that</w:t>
      </w:r>
      <w:r w:rsidRPr="003F39DE">
        <w:rPr>
          <w:b/>
        </w:rPr>
        <w:t xml:space="preserve"> the UK</w:t>
      </w:r>
      <w:r w:rsidR="007B0B9B">
        <w:rPr>
          <w:b/>
        </w:rPr>
        <w:t xml:space="preserve"> </w:t>
      </w:r>
      <w:r w:rsidR="00213BE3">
        <w:rPr>
          <w:b/>
        </w:rPr>
        <w:t>takes effective steps to</w:t>
      </w:r>
      <w:r w:rsidR="00DF04A7">
        <w:rPr>
          <w:b/>
        </w:rPr>
        <w:t xml:space="preserve"> ensure</w:t>
      </w:r>
      <w:r w:rsidR="00213BE3">
        <w:rPr>
          <w:b/>
        </w:rPr>
        <w:t>:</w:t>
      </w:r>
    </w:p>
    <w:p w14:paraId="6B53B324" w14:textId="77777777" w:rsidR="00213BE3" w:rsidRDefault="00213BE3" w:rsidP="003A6C64">
      <w:pPr>
        <w:rPr>
          <w:b/>
        </w:rPr>
      </w:pPr>
    </w:p>
    <w:p w14:paraId="3409614B" w14:textId="7C55D83D" w:rsidR="00213BE3" w:rsidRDefault="00325688" w:rsidP="00675F0F">
      <w:pPr>
        <w:pStyle w:val="ListParagraph"/>
        <w:numPr>
          <w:ilvl w:val="0"/>
          <w:numId w:val="54"/>
        </w:numPr>
        <w:ind w:left="1560"/>
        <w:contextualSpacing w:val="0"/>
        <w:rPr>
          <w:b/>
          <w:bCs/>
        </w:rPr>
      </w:pPr>
      <w:r w:rsidRPr="00325688">
        <w:rPr>
          <w:b/>
          <w:bCs/>
        </w:rPr>
        <w:t xml:space="preserve">sufficient, long-term, ring-fenced funding is available and fully utilised to maintain consistent abortion services in line with the Abortion (NI) Regulations in every Health and Social Care Trust area in NI. Also, that the necessary funding for abortion services is an addition to the Department of Health’s broader budget, </w:t>
      </w:r>
      <w:r w:rsidRPr="00325688">
        <w:rPr>
          <w:b/>
          <w:bCs/>
        </w:rPr>
        <w:lastRenderedPageBreak/>
        <w:t>to ensure existing healthcare services can be delivered in full.</w:t>
      </w:r>
    </w:p>
    <w:p w14:paraId="110DE73E" w14:textId="77777777" w:rsidR="00325688" w:rsidRDefault="00325688" w:rsidP="00675F0F">
      <w:pPr>
        <w:pStyle w:val="ListParagraph"/>
        <w:ind w:left="1560"/>
        <w:contextualSpacing w:val="0"/>
        <w:rPr>
          <w:b/>
          <w:bCs/>
        </w:rPr>
      </w:pPr>
    </w:p>
    <w:p w14:paraId="267BBF31" w14:textId="5F4EB6CF" w:rsidR="00325688" w:rsidRDefault="00DF04A7" w:rsidP="00675F0F">
      <w:pPr>
        <w:pStyle w:val="ListParagraph"/>
        <w:numPr>
          <w:ilvl w:val="0"/>
          <w:numId w:val="54"/>
        </w:numPr>
        <w:ind w:left="1560"/>
        <w:contextualSpacing w:val="0"/>
        <w:rPr>
          <w:b/>
          <w:bCs/>
        </w:rPr>
      </w:pPr>
      <w:r w:rsidRPr="00DF04A7">
        <w:rPr>
          <w:b/>
          <w:bCs/>
        </w:rPr>
        <w:t>comprehensive disaggregated data is gathered, reported and monitored regarding abortion services in NI.</w:t>
      </w:r>
    </w:p>
    <w:p w14:paraId="34533FA5" w14:textId="77777777" w:rsidR="007E5239" w:rsidRPr="007E5239" w:rsidRDefault="007E5239" w:rsidP="00675F0F">
      <w:pPr>
        <w:pStyle w:val="ListParagraph"/>
        <w:ind w:left="1560"/>
        <w:contextualSpacing w:val="0"/>
        <w:rPr>
          <w:b/>
          <w:bCs/>
        </w:rPr>
      </w:pPr>
    </w:p>
    <w:p w14:paraId="34B58F9D" w14:textId="37FC6F5A" w:rsidR="007E5239" w:rsidRDefault="007E5239" w:rsidP="00675F0F">
      <w:pPr>
        <w:pStyle w:val="ListParagraph"/>
        <w:numPr>
          <w:ilvl w:val="0"/>
          <w:numId w:val="54"/>
        </w:numPr>
        <w:ind w:left="1560"/>
        <w:contextualSpacing w:val="0"/>
        <w:rPr>
          <w:b/>
          <w:bCs/>
        </w:rPr>
      </w:pPr>
      <w:r w:rsidRPr="007E5239">
        <w:rPr>
          <w:b/>
          <w:bCs/>
        </w:rPr>
        <w:t>telemedicine is introduced as an option for early medical abortions in NI under certain circumstances, as in other parts of the UK, and that a clear pathway to care and after care is in place for telemedicine abortions, including for individuals using unregistered sources.</w:t>
      </w:r>
    </w:p>
    <w:p w14:paraId="1D3304C6" w14:textId="77777777" w:rsidR="007E5239" w:rsidRPr="007E5239" w:rsidRDefault="007E5239" w:rsidP="00675F0F">
      <w:pPr>
        <w:pStyle w:val="ListParagraph"/>
        <w:ind w:left="1560"/>
        <w:contextualSpacing w:val="0"/>
        <w:rPr>
          <w:b/>
          <w:bCs/>
        </w:rPr>
      </w:pPr>
    </w:p>
    <w:p w14:paraId="52E102BE" w14:textId="17B5EE97" w:rsidR="007E5239" w:rsidRPr="00D772D2" w:rsidRDefault="00D772D2" w:rsidP="00675F0F">
      <w:pPr>
        <w:pStyle w:val="ListParagraph"/>
        <w:numPr>
          <w:ilvl w:val="0"/>
          <w:numId w:val="54"/>
        </w:numPr>
        <w:ind w:left="1560"/>
        <w:contextualSpacing w:val="0"/>
        <w:rPr>
          <w:b/>
          <w:bCs/>
        </w:rPr>
      </w:pPr>
      <w:r w:rsidRPr="00D772D2">
        <w:rPr>
          <w:b/>
          <w:bCs/>
        </w:rPr>
        <w:t>there is regional, abortion-specific, non-stereotyping guidance in NI and that all associated healthcare staff undertake related training that is informed by service users and periodically refreshed, particularly regarding conscientious objection.</w:t>
      </w:r>
    </w:p>
    <w:p w14:paraId="7D88CE04" w14:textId="77777777" w:rsidR="00481842" w:rsidRDefault="00481842" w:rsidP="003A6C64">
      <w:pPr>
        <w:rPr>
          <w:bCs/>
        </w:rPr>
      </w:pPr>
    </w:p>
    <w:p w14:paraId="53D6018B" w14:textId="0F3CF7DE" w:rsidR="00481842" w:rsidRPr="00481842" w:rsidRDefault="00481842" w:rsidP="00500CC3">
      <w:pPr>
        <w:pStyle w:val="Heading2"/>
        <w:spacing w:after="240" w:line="288" w:lineRule="auto"/>
      </w:pPr>
      <w:bookmarkStart w:id="37" w:name="_Toc156901010"/>
      <w:r>
        <w:t>Historical abuse</w:t>
      </w:r>
      <w:bookmarkEnd w:id="37"/>
    </w:p>
    <w:p w14:paraId="0647C87B" w14:textId="390299C2" w:rsidR="00F27A10" w:rsidRPr="008158C5" w:rsidRDefault="00EC7330" w:rsidP="22E15799">
      <w:pPr>
        <w:pStyle w:val="ListParagraph"/>
        <w:numPr>
          <w:ilvl w:val="1"/>
          <w:numId w:val="22"/>
        </w:numPr>
        <w:ind w:left="851" w:hanging="851"/>
      </w:pPr>
      <w:r w:rsidRPr="00A73A70">
        <w:t>In 2020, the Historical Institutional Abuse Redress Board was established for receiving and processing applications for compensation from those who experienced abuse in residential institutions in NI between 1922 and 1995.</w:t>
      </w:r>
      <w:r>
        <w:rPr>
          <w:rStyle w:val="FootnoteReference"/>
        </w:rPr>
        <w:footnoteReference w:id="168"/>
      </w:r>
      <w:r w:rsidR="0071551C">
        <w:t xml:space="preserve"> </w:t>
      </w:r>
      <w:r w:rsidR="00F27A10">
        <w:t>The Redress Board’s</w:t>
      </w:r>
      <w:r w:rsidR="00F27A10" w:rsidRPr="00A73A70">
        <w:t xml:space="preserve"> remit did not extend to adult residents of </w:t>
      </w:r>
      <w:r w:rsidR="0084279B" w:rsidRPr="00A73A70">
        <w:t>Mother and Baby and Magdalene Laundry Institutions</w:t>
      </w:r>
      <w:r w:rsidR="00F27A10" w:rsidRPr="00A73A70">
        <w:t>.</w:t>
      </w:r>
      <w:r w:rsidR="008C34A8">
        <w:rPr>
          <w:rStyle w:val="FootnoteReference"/>
        </w:rPr>
        <w:footnoteReference w:id="169"/>
      </w:r>
      <w:r w:rsidR="00F27A10" w:rsidRPr="00A73A70">
        <w:t xml:space="preserve"> </w:t>
      </w:r>
      <w:r w:rsidR="005E49FB">
        <w:t>Draft</w:t>
      </w:r>
      <w:r w:rsidR="00F27A10" w:rsidRPr="00A73A70">
        <w:t xml:space="preserve"> legislation </w:t>
      </w:r>
      <w:r w:rsidR="00194306">
        <w:t>to</w:t>
      </w:r>
      <w:r w:rsidR="00F27A10" w:rsidRPr="00A73A70">
        <w:t xml:space="preserve"> </w:t>
      </w:r>
      <w:r w:rsidR="6E0D839D">
        <w:t>provide a legal basis for</w:t>
      </w:r>
      <w:r w:rsidR="00F27A10" w:rsidRPr="00A73A70">
        <w:t xml:space="preserve"> a statutory public inquiry </w:t>
      </w:r>
      <w:r w:rsidR="005E49FB">
        <w:t>is</w:t>
      </w:r>
      <w:r w:rsidR="00F27A10" w:rsidRPr="00A73A70">
        <w:t xml:space="preserve"> being developed.</w:t>
      </w:r>
      <w:r w:rsidR="00F27A10" w:rsidRPr="00A73A70">
        <w:rPr>
          <w:vertAlign w:val="superscript"/>
        </w:rPr>
        <w:footnoteReference w:id="170"/>
      </w:r>
      <w:r w:rsidR="00F27A10" w:rsidRPr="00A73A70">
        <w:t xml:space="preserve"> </w:t>
      </w:r>
      <w:r w:rsidR="0084279B">
        <w:t>Further</w:t>
      </w:r>
      <w:r w:rsidR="00F27A10" w:rsidRPr="00A73A70">
        <w:t xml:space="preserve"> progress </w:t>
      </w:r>
      <w:r w:rsidR="00783AE9">
        <w:t>was hindered by the suspension of the</w:t>
      </w:r>
      <w:r w:rsidR="00F27A10" w:rsidRPr="00A73A70">
        <w:t xml:space="preserve"> NI Executive and NI Assembly. </w:t>
      </w:r>
    </w:p>
    <w:p w14:paraId="0FFE3158" w14:textId="77777777" w:rsidR="008158C5" w:rsidRPr="0071551C" w:rsidRDefault="008158C5" w:rsidP="003A6C64">
      <w:pPr>
        <w:pStyle w:val="ListParagraph"/>
        <w:ind w:left="851"/>
        <w:contextualSpacing w:val="0"/>
        <w:rPr>
          <w:bCs/>
        </w:rPr>
      </w:pPr>
    </w:p>
    <w:p w14:paraId="207DDFC4" w14:textId="3D9272A1" w:rsidR="00F27A10" w:rsidRPr="008158C5" w:rsidRDefault="00B42BAF" w:rsidP="003A6C64">
      <w:pPr>
        <w:pStyle w:val="ListParagraph"/>
        <w:numPr>
          <w:ilvl w:val="1"/>
          <w:numId w:val="22"/>
        </w:numPr>
        <w:ind w:left="851" w:hanging="851"/>
        <w:contextualSpacing w:val="0"/>
        <w:rPr>
          <w:b/>
        </w:rPr>
      </w:pPr>
      <w:r w:rsidRPr="008158C5">
        <w:rPr>
          <w:b/>
        </w:rPr>
        <w:t xml:space="preserve">The Committee may wish to </w:t>
      </w:r>
      <w:r w:rsidR="005D653C">
        <w:rPr>
          <w:b/>
        </w:rPr>
        <w:t>recommend that</w:t>
      </w:r>
      <w:r w:rsidR="005D653C" w:rsidRPr="008158C5">
        <w:rPr>
          <w:b/>
        </w:rPr>
        <w:t xml:space="preserve"> </w:t>
      </w:r>
      <w:r w:rsidRPr="008158C5">
        <w:rPr>
          <w:b/>
        </w:rPr>
        <w:t>the UK</w:t>
      </w:r>
      <w:r w:rsidR="008158C5" w:rsidRPr="008158C5">
        <w:rPr>
          <w:b/>
        </w:rPr>
        <w:t xml:space="preserve"> </w:t>
      </w:r>
      <w:r w:rsidR="005D653C">
        <w:rPr>
          <w:b/>
        </w:rPr>
        <w:t>takes effective steps</w:t>
      </w:r>
      <w:r w:rsidR="008158C5" w:rsidRPr="008158C5">
        <w:rPr>
          <w:b/>
        </w:rPr>
        <w:t xml:space="preserve"> to ensure victims of historical abuse in NI, outside the remit of the Historical Institutional Abuse Inquiry, have an effective remedy, including expedited access to thorough and effective independent investigations that offer effective redress (including compensation) and are subject to public scrutiny and meaningful victim participation</w:t>
      </w:r>
      <w:r w:rsidR="005D653C">
        <w:rPr>
          <w:b/>
        </w:rPr>
        <w:t>.</w:t>
      </w:r>
    </w:p>
    <w:p w14:paraId="577920CC" w14:textId="5670FD64" w:rsidR="00D23D65" w:rsidRDefault="00D23D65" w:rsidP="003A6C64">
      <w:pPr>
        <w:rPr>
          <w:bCs/>
        </w:rPr>
      </w:pPr>
    </w:p>
    <w:p w14:paraId="699B93CA" w14:textId="7CC49CEB" w:rsidR="00D23D65" w:rsidRPr="00D23D65" w:rsidRDefault="00D23D65" w:rsidP="00500CC3">
      <w:pPr>
        <w:pStyle w:val="Heading2"/>
        <w:spacing w:after="240" w:line="288" w:lineRule="auto"/>
      </w:pPr>
      <w:bookmarkStart w:id="38" w:name="_Toc156901011"/>
      <w:r>
        <w:t>Identifying torture</w:t>
      </w:r>
      <w:bookmarkEnd w:id="38"/>
    </w:p>
    <w:p w14:paraId="3858CF86" w14:textId="73450D02" w:rsidR="008F018D" w:rsidRDefault="008F018D" w:rsidP="008F018D">
      <w:pPr>
        <w:pStyle w:val="ListParagraph"/>
        <w:numPr>
          <w:ilvl w:val="1"/>
          <w:numId w:val="22"/>
        </w:numPr>
        <w:ind w:left="851" w:hanging="851"/>
        <w:contextualSpacing w:val="0"/>
        <w:rPr>
          <w:color w:val="000000"/>
        </w:rPr>
      </w:pPr>
      <w:r>
        <w:rPr>
          <w:color w:val="000000"/>
        </w:rPr>
        <w:t>In 2023/2023, there were 302 immigration detainees held at Larne House, an increase from 70 in 2021/2022.</w:t>
      </w:r>
      <w:r w:rsidRPr="005504F2">
        <w:rPr>
          <w:color w:val="000000"/>
          <w:vertAlign w:val="superscript"/>
        </w:rPr>
        <w:footnoteReference w:id="171"/>
      </w:r>
      <w:r w:rsidRPr="005504F2">
        <w:rPr>
          <w:color w:val="000000"/>
        </w:rPr>
        <w:t xml:space="preserve"> </w:t>
      </w:r>
    </w:p>
    <w:p w14:paraId="0D8B33B3" w14:textId="77777777" w:rsidR="008F018D" w:rsidRPr="007F3C42" w:rsidRDefault="008F018D" w:rsidP="008F018D">
      <w:pPr>
        <w:pStyle w:val="ListParagraph"/>
        <w:ind w:left="851"/>
        <w:contextualSpacing w:val="0"/>
        <w:rPr>
          <w:color w:val="000000"/>
        </w:rPr>
      </w:pPr>
    </w:p>
    <w:p w14:paraId="1AE459A2" w14:textId="31713516" w:rsidR="00804735" w:rsidRPr="004D4918" w:rsidRDefault="00345CDF" w:rsidP="003A6C64">
      <w:pPr>
        <w:pStyle w:val="ListParagraph"/>
        <w:numPr>
          <w:ilvl w:val="1"/>
          <w:numId w:val="22"/>
        </w:numPr>
        <w:ind w:left="851" w:hanging="851"/>
        <w:contextualSpacing w:val="0"/>
        <w:rPr>
          <w:color w:val="000000"/>
        </w:rPr>
      </w:pPr>
      <w:r>
        <w:rPr>
          <w:color w:val="000000"/>
        </w:rPr>
        <w:t>Rule 35(3) of the Detention Centre Rules</w:t>
      </w:r>
      <w:r w:rsidR="00E31B69">
        <w:rPr>
          <w:rStyle w:val="FootnoteReference"/>
          <w:color w:val="000000"/>
        </w:rPr>
        <w:footnoteReference w:id="172"/>
      </w:r>
      <w:r>
        <w:rPr>
          <w:color w:val="000000"/>
        </w:rPr>
        <w:t xml:space="preserve"> </w:t>
      </w:r>
      <w:r w:rsidR="00E31B69">
        <w:rPr>
          <w:color w:val="000000"/>
        </w:rPr>
        <w:t>do not apply to Larne House due to its classification as a short-term holding facility.</w:t>
      </w:r>
      <w:r w:rsidR="005504F2">
        <w:rPr>
          <w:color w:val="000000"/>
        </w:rPr>
        <w:t xml:space="preserve"> </w:t>
      </w:r>
      <w:r w:rsidR="00943A8C">
        <w:rPr>
          <w:color w:val="000000"/>
        </w:rPr>
        <w:t>C</w:t>
      </w:r>
      <w:r w:rsidR="00943A8C" w:rsidRPr="00943A8C">
        <w:rPr>
          <w:color w:val="000000"/>
        </w:rPr>
        <w:t xml:space="preserve">oncerns have been raised </w:t>
      </w:r>
      <w:r w:rsidR="004D4918">
        <w:rPr>
          <w:color w:val="000000"/>
        </w:rPr>
        <w:t>in respect of the</w:t>
      </w:r>
      <w:r w:rsidR="00943A8C" w:rsidRPr="00943A8C">
        <w:rPr>
          <w:color w:val="000000"/>
        </w:rPr>
        <w:t xml:space="preserve"> independence of health assessments within the facility.</w:t>
      </w:r>
      <w:r w:rsidR="00943A8C" w:rsidRPr="00943A8C">
        <w:rPr>
          <w:color w:val="000000"/>
          <w:vertAlign w:val="superscript"/>
        </w:rPr>
        <w:footnoteReference w:id="173"/>
      </w:r>
    </w:p>
    <w:p w14:paraId="277B62B8" w14:textId="77777777" w:rsidR="00633198" w:rsidRPr="00DA5F1E" w:rsidRDefault="00633198" w:rsidP="00DA5F1E">
      <w:pPr>
        <w:ind w:left="0"/>
        <w:rPr>
          <w:b/>
        </w:rPr>
      </w:pPr>
    </w:p>
    <w:p w14:paraId="600AFCB1" w14:textId="5B51401B" w:rsidR="00CF081D" w:rsidRPr="00767ECB" w:rsidRDefault="00633198" w:rsidP="003A6C64">
      <w:pPr>
        <w:pStyle w:val="ListParagraph"/>
        <w:numPr>
          <w:ilvl w:val="1"/>
          <w:numId w:val="22"/>
        </w:numPr>
        <w:ind w:left="851" w:hanging="851"/>
        <w:contextualSpacing w:val="0"/>
        <w:rPr>
          <w:b/>
        </w:rPr>
      </w:pPr>
      <w:r w:rsidRPr="00767ECB">
        <w:rPr>
          <w:b/>
        </w:rPr>
        <w:t xml:space="preserve">The Committee may wish </w:t>
      </w:r>
      <w:r w:rsidR="006A60EF">
        <w:rPr>
          <w:b/>
        </w:rPr>
        <w:t xml:space="preserve">to </w:t>
      </w:r>
      <w:r w:rsidR="00B87723">
        <w:rPr>
          <w:b/>
        </w:rPr>
        <w:t>recommend that</w:t>
      </w:r>
      <w:r w:rsidRPr="00767ECB">
        <w:rPr>
          <w:b/>
        </w:rPr>
        <w:t xml:space="preserve"> the UK </w:t>
      </w:r>
      <w:r w:rsidR="00672554">
        <w:rPr>
          <w:b/>
        </w:rPr>
        <w:t>takes effective steps to</w:t>
      </w:r>
      <w:r w:rsidRPr="00767ECB">
        <w:rPr>
          <w:b/>
        </w:rPr>
        <w:t xml:space="preserve"> ensure</w:t>
      </w:r>
      <w:r w:rsidR="00CF081D" w:rsidRPr="00767ECB">
        <w:rPr>
          <w:b/>
        </w:rPr>
        <w:t>:</w:t>
      </w:r>
    </w:p>
    <w:p w14:paraId="208CEEEA" w14:textId="77777777" w:rsidR="00CF081D" w:rsidRPr="00CF081D" w:rsidRDefault="00CF081D" w:rsidP="003A6C64">
      <w:pPr>
        <w:pStyle w:val="ListParagraph"/>
        <w:contextualSpacing w:val="0"/>
        <w:rPr>
          <w:b/>
        </w:rPr>
      </w:pPr>
    </w:p>
    <w:p w14:paraId="44E92B63" w14:textId="77777777" w:rsidR="00672554" w:rsidRDefault="00633198" w:rsidP="00500CC3">
      <w:pPr>
        <w:pStyle w:val="ListParagraph"/>
        <w:numPr>
          <w:ilvl w:val="0"/>
          <w:numId w:val="41"/>
        </w:numPr>
        <w:ind w:left="1560"/>
        <w:contextualSpacing w:val="0"/>
        <w:rPr>
          <w:b/>
        </w:rPr>
      </w:pPr>
      <w:r w:rsidRPr="00633198">
        <w:rPr>
          <w:b/>
        </w:rPr>
        <w:t>Larne House staff can effectively identify, report and support victims of torture</w:t>
      </w:r>
      <w:r w:rsidR="00672554">
        <w:rPr>
          <w:b/>
        </w:rPr>
        <w:t>.</w:t>
      </w:r>
    </w:p>
    <w:p w14:paraId="2B5F75E8" w14:textId="1427B95E" w:rsidR="00AC4F27" w:rsidRDefault="00AC4F27" w:rsidP="00500CC3">
      <w:pPr>
        <w:pStyle w:val="ListParagraph"/>
        <w:ind w:left="1560"/>
        <w:contextualSpacing w:val="0"/>
        <w:rPr>
          <w:b/>
        </w:rPr>
      </w:pPr>
    </w:p>
    <w:p w14:paraId="6D93ACD8" w14:textId="52FF0A9D" w:rsidR="00AC4F27" w:rsidRPr="00AC4F27" w:rsidRDefault="00AC4F27" w:rsidP="00500CC3">
      <w:pPr>
        <w:pStyle w:val="ListParagraph"/>
        <w:numPr>
          <w:ilvl w:val="0"/>
          <w:numId w:val="41"/>
        </w:numPr>
        <w:ind w:left="1560"/>
        <w:contextualSpacing w:val="0"/>
        <w:rPr>
          <w:b/>
          <w:bCs/>
        </w:rPr>
      </w:pPr>
      <w:r w:rsidRPr="00AC4F27">
        <w:rPr>
          <w:b/>
          <w:bCs/>
        </w:rPr>
        <w:t>the independence of health care professionals dealing with detaine</w:t>
      </w:r>
      <w:r>
        <w:rPr>
          <w:b/>
          <w:bCs/>
        </w:rPr>
        <w:t>d a</w:t>
      </w:r>
      <w:r w:rsidRPr="00AC4F27">
        <w:rPr>
          <w:b/>
          <w:bCs/>
        </w:rPr>
        <w:t>sylum seekers in Larne House</w:t>
      </w:r>
      <w:r w:rsidR="00672554">
        <w:rPr>
          <w:b/>
          <w:bCs/>
        </w:rPr>
        <w:t>.</w:t>
      </w:r>
    </w:p>
    <w:p w14:paraId="75A7B03C" w14:textId="77777777" w:rsidR="00767ECB" w:rsidRDefault="00767ECB" w:rsidP="00500CC3">
      <w:pPr>
        <w:pStyle w:val="ListParagraph"/>
        <w:ind w:left="1560"/>
        <w:contextualSpacing w:val="0"/>
        <w:rPr>
          <w:b/>
        </w:rPr>
      </w:pPr>
    </w:p>
    <w:p w14:paraId="31A2A684" w14:textId="4768C701" w:rsidR="00CF081D" w:rsidRPr="00767ECB" w:rsidRDefault="00767ECB" w:rsidP="00500CC3">
      <w:pPr>
        <w:pStyle w:val="ListParagraph"/>
        <w:numPr>
          <w:ilvl w:val="0"/>
          <w:numId w:val="41"/>
        </w:numPr>
        <w:ind w:left="1560"/>
        <w:contextualSpacing w:val="0"/>
        <w:rPr>
          <w:b/>
        </w:rPr>
      </w:pPr>
      <w:r>
        <w:rPr>
          <w:b/>
        </w:rPr>
        <w:t>l</w:t>
      </w:r>
      <w:r w:rsidR="003A3F3C" w:rsidRPr="00767ECB">
        <w:rPr>
          <w:b/>
        </w:rPr>
        <w:t>egislation is amended to allow the NIHRC to enter</w:t>
      </w:r>
      <w:r w:rsidRPr="00767ECB">
        <w:rPr>
          <w:b/>
        </w:rPr>
        <w:t xml:space="preserve"> Larne House without having to provide advance notice</w:t>
      </w:r>
      <w:r w:rsidR="00672554">
        <w:rPr>
          <w:b/>
        </w:rPr>
        <w:t>.</w:t>
      </w:r>
    </w:p>
    <w:p w14:paraId="7DDDAC4D" w14:textId="77777777" w:rsidR="006E6029" w:rsidRPr="00287EB8" w:rsidRDefault="006E6029" w:rsidP="003A6C64"/>
    <w:p w14:paraId="1095E789" w14:textId="19A7552C" w:rsidR="00226B07" w:rsidRPr="00D040BD" w:rsidRDefault="008665F0" w:rsidP="0078693A">
      <w:pPr>
        <w:pStyle w:val="Heading1"/>
        <w:numPr>
          <w:ilvl w:val="0"/>
          <w:numId w:val="23"/>
        </w:numPr>
        <w:spacing w:before="0" w:after="240" w:line="288" w:lineRule="auto"/>
      </w:pPr>
      <w:bookmarkStart w:id="39" w:name="_Toc156901012"/>
      <w:r>
        <w:lastRenderedPageBreak/>
        <w:t xml:space="preserve">Article </w:t>
      </w:r>
      <w:r w:rsidR="00AE3096">
        <w:t>8</w:t>
      </w:r>
      <w:r>
        <w:t xml:space="preserve"> – </w:t>
      </w:r>
      <w:r w:rsidR="00357CCD">
        <w:t xml:space="preserve">Freedom from </w:t>
      </w:r>
      <w:r w:rsidR="00504A08">
        <w:t>S</w:t>
      </w:r>
      <w:r w:rsidR="00357CCD">
        <w:t>lavery</w:t>
      </w:r>
      <w:bookmarkEnd w:id="39"/>
    </w:p>
    <w:p w14:paraId="3409A3AD" w14:textId="1B3E2EEE" w:rsidR="005C18BA" w:rsidRPr="00C85AC1" w:rsidRDefault="00D94461" w:rsidP="00C85AC1">
      <w:pPr>
        <w:pStyle w:val="Heading2"/>
        <w:spacing w:after="240" w:line="288" w:lineRule="auto"/>
      </w:pPr>
      <w:bookmarkStart w:id="40" w:name="_Toc29559200"/>
      <w:bookmarkStart w:id="41" w:name="_Toc156901013"/>
      <w:r>
        <w:t>Child sexual exploitation</w:t>
      </w:r>
      <w:bookmarkEnd w:id="40"/>
      <w:bookmarkEnd w:id="41"/>
    </w:p>
    <w:p w14:paraId="16FB5C26" w14:textId="18C12756" w:rsidR="00B1303F" w:rsidRPr="00166572" w:rsidRDefault="00B1303F" w:rsidP="00166572">
      <w:pPr>
        <w:pStyle w:val="ListParagraph"/>
        <w:numPr>
          <w:ilvl w:val="1"/>
          <w:numId w:val="23"/>
        </w:numPr>
        <w:ind w:left="851" w:hanging="851"/>
        <w:rPr>
          <w:rFonts w:cs="Helvetica"/>
          <w:szCs w:val="24"/>
          <w:lang w:val="en"/>
        </w:rPr>
      </w:pPr>
      <w:r w:rsidRPr="00166572">
        <w:rPr>
          <w:color w:val="000000"/>
        </w:rPr>
        <w:t xml:space="preserve">In 2022/2023, </w:t>
      </w:r>
      <w:r w:rsidR="006E7298" w:rsidRPr="00166572">
        <w:rPr>
          <w:color w:val="000000"/>
        </w:rPr>
        <w:t xml:space="preserve">there were </w:t>
      </w:r>
      <w:r w:rsidR="004F0305" w:rsidRPr="00166572">
        <w:rPr>
          <w:color w:val="000000"/>
        </w:rPr>
        <w:t>2,324</w:t>
      </w:r>
      <w:r w:rsidR="00F4217C" w:rsidRPr="00166572">
        <w:rPr>
          <w:color w:val="000000"/>
        </w:rPr>
        <w:t xml:space="preserve"> </w:t>
      </w:r>
      <w:r w:rsidR="00EA033D" w:rsidRPr="00166572">
        <w:rPr>
          <w:color w:val="000000"/>
        </w:rPr>
        <w:t xml:space="preserve">recorded </w:t>
      </w:r>
      <w:r w:rsidR="00F4217C" w:rsidRPr="00166572">
        <w:rPr>
          <w:color w:val="000000"/>
        </w:rPr>
        <w:t>child sexual abuse offences</w:t>
      </w:r>
      <w:r w:rsidR="00333832" w:rsidRPr="00166572">
        <w:rPr>
          <w:color w:val="000000"/>
        </w:rPr>
        <w:t>,</w:t>
      </w:r>
      <w:r w:rsidR="00EA033D" w:rsidRPr="00166572">
        <w:rPr>
          <w:color w:val="000000"/>
        </w:rPr>
        <w:t xml:space="preserve"> </w:t>
      </w:r>
      <w:r w:rsidR="002D379A" w:rsidRPr="00166572">
        <w:rPr>
          <w:color w:val="000000"/>
        </w:rPr>
        <w:t>the</w:t>
      </w:r>
      <w:r w:rsidR="00333832" w:rsidRPr="00166572">
        <w:rPr>
          <w:color w:val="000000"/>
        </w:rPr>
        <w:t xml:space="preserve"> highest figure recorded since </w:t>
      </w:r>
      <w:r w:rsidR="005537A3" w:rsidRPr="00166572">
        <w:rPr>
          <w:color w:val="000000"/>
        </w:rPr>
        <w:t xml:space="preserve">the data </w:t>
      </w:r>
      <w:r w:rsidR="00A81FA2" w:rsidRPr="00166572">
        <w:rPr>
          <w:color w:val="000000"/>
        </w:rPr>
        <w:t>began in</w:t>
      </w:r>
      <w:r w:rsidR="005537A3" w:rsidRPr="00166572">
        <w:rPr>
          <w:color w:val="000000"/>
        </w:rPr>
        <w:t xml:space="preserve"> 2007/2008</w:t>
      </w:r>
      <w:r w:rsidR="00F4217C" w:rsidRPr="00166572">
        <w:rPr>
          <w:color w:val="000000"/>
        </w:rPr>
        <w:t>.</w:t>
      </w:r>
      <w:r w:rsidR="00E71AEA">
        <w:rPr>
          <w:rStyle w:val="FootnoteReference"/>
          <w:color w:val="000000"/>
        </w:rPr>
        <w:footnoteReference w:id="174"/>
      </w:r>
      <w:r w:rsidR="00E71AEA" w:rsidRPr="00166572">
        <w:rPr>
          <w:color w:val="000000"/>
        </w:rPr>
        <w:t xml:space="preserve"> </w:t>
      </w:r>
      <w:r w:rsidR="008B7B04" w:rsidRPr="00166572">
        <w:rPr>
          <w:color w:val="000000"/>
        </w:rPr>
        <w:t xml:space="preserve">Female </w:t>
      </w:r>
      <w:r w:rsidR="00C35EB6" w:rsidRPr="00166572">
        <w:rPr>
          <w:color w:val="000000"/>
        </w:rPr>
        <w:t>victims represented 71 per cent of all</w:t>
      </w:r>
      <w:r w:rsidR="007F6AAB" w:rsidRPr="00166572">
        <w:rPr>
          <w:color w:val="000000"/>
        </w:rPr>
        <w:t xml:space="preserve"> sexual offence</w:t>
      </w:r>
      <w:r w:rsidR="00C35EB6" w:rsidRPr="00166572">
        <w:rPr>
          <w:color w:val="000000"/>
        </w:rPr>
        <w:t xml:space="preserve"> victims under </w:t>
      </w:r>
      <w:r w:rsidR="00BB2B93" w:rsidRPr="00166572">
        <w:rPr>
          <w:color w:val="000000"/>
        </w:rPr>
        <w:t>18</w:t>
      </w:r>
      <w:r w:rsidR="007F6AAB" w:rsidRPr="00166572">
        <w:rPr>
          <w:color w:val="000000"/>
        </w:rPr>
        <w:t xml:space="preserve"> years old</w:t>
      </w:r>
      <w:r w:rsidR="00BB2B93" w:rsidRPr="00166572">
        <w:rPr>
          <w:color w:val="000000"/>
        </w:rPr>
        <w:t>.</w:t>
      </w:r>
      <w:r w:rsidR="007F6AAB">
        <w:rPr>
          <w:rStyle w:val="FootnoteReference"/>
          <w:color w:val="000000"/>
        </w:rPr>
        <w:footnoteReference w:id="175"/>
      </w:r>
    </w:p>
    <w:p w14:paraId="29F4D918" w14:textId="4C21316C" w:rsidR="00FC6EB6" w:rsidRPr="006770D6" w:rsidRDefault="00301DA7" w:rsidP="00500CC3">
      <w:pPr>
        <w:pStyle w:val="ListParagraph"/>
        <w:ind w:left="851" w:hanging="851"/>
        <w:contextualSpacing w:val="0"/>
        <w:rPr>
          <w:rFonts w:cs="Helvetica"/>
          <w:szCs w:val="24"/>
          <w:lang w:val="en"/>
        </w:rPr>
      </w:pPr>
      <w:r w:rsidRPr="007A3DF6">
        <w:rPr>
          <w:rFonts w:eastAsia="Calibri" w:cs="Times New Roman"/>
          <w:szCs w:val="24"/>
        </w:rPr>
        <w:t xml:space="preserve"> </w:t>
      </w:r>
    </w:p>
    <w:p w14:paraId="422EE74B" w14:textId="72FD606A" w:rsidR="007A3DF6" w:rsidRPr="007A3DF6" w:rsidRDefault="006770D6" w:rsidP="00166572">
      <w:pPr>
        <w:pStyle w:val="ListParagraph"/>
        <w:numPr>
          <w:ilvl w:val="1"/>
          <w:numId w:val="23"/>
        </w:numPr>
        <w:ind w:left="851" w:hanging="851"/>
        <w:contextualSpacing w:val="0"/>
        <w:rPr>
          <w:rFonts w:cs="Helvetica"/>
          <w:szCs w:val="24"/>
          <w:lang w:val="en"/>
        </w:rPr>
      </w:pPr>
      <w:r w:rsidRPr="22E15799">
        <w:rPr>
          <w:rFonts w:eastAsia="Calibri" w:cs="Times New Roman"/>
        </w:rPr>
        <w:t xml:space="preserve">In 2020, </w:t>
      </w:r>
      <w:r w:rsidR="00E3754C">
        <w:t>the Criminal Justice Inspection NI</w:t>
      </w:r>
      <w:r w:rsidR="00393A0F">
        <w:t xml:space="preserve"> </w:t>
      </w:r>
      <w:r w:rsidR="001A6F85">
        <w:t>identified a need for</w:t>
      </w:r>
      <w:r w:rsidR="00393A0F">
        <w:t xml:space="preserve"> more </w:t>
      </w:r>
      <w:r w:rsidR="00642C8B">
        <w:t>child-centred support</w:t>
      </w:r>
      <w:r w:rsidR="00393A0F">
        <w:t xml:space="preserve"> in the justice system.</w:t>
      </w:r>
      <w:r w:rsidR="00642C8B">
        <w:rPr>
          <w:rStyle w:val="FootnoteReference"/>
        </w:rPr>
        <w:footnoteReference w:id="176"/>
      </w:r>
      <w:r w:rsidR="00393A0F">
        <w:t xml:space="preserve"> Th</w:t>
      </w:r>
      <w:r w:rsidR="001A6F85">
        <w:t>e Barnahus model was proposed as the preferred approach.</w:t>
      </w:r>
      <w:r w:rsidR="00EC08D7">
        <w:rPr>
          <w:rStyle w:val="FootnoteReference"/>
        </w:rPr>
        <w:footnoteReference w:id="177"/>
      </w:r>
    </w:p>
    <w:p w14:paraId="34311240" w14:textId="77777777" w:rsidR="00D3274B" w:rsidRPr="00D3274B" w:rsidRDefault="00D3274B" w:rsidP="00500CC3">
      <w:pPr>
        <w:ind w:left="851" w:hanging="851"/>
        <w:rPr>
          <w:rFonts w:cs="Helvetica"/>
          <w:szCs w:val="24"/>
          <w:lang w:val="en"/>
        </w:rPr>
      </w:pPr>
    </w:p>
    <w:p w14:paraId="44BAD4AE" w14:textId="719FBC90" w:rsidR="001E41E6" w:rsidRPr="00AD27C6" w:rsidRDefault="00872CAF" w:rsidP="00166572">
      <w:pPr>
        <w:pStyle w:val="ListParagraph"/>
        <w:numPr>
          <w:ilvl w:val="1"/>
          <w:numId w:val="23"/>
        </w:numPr>
        <w:ind w:left="851" w:hanging="851"/>
        <w:contextualSpacing w:val="0"/>
        <w:rPr>
          <w:rFonts w:cs="Helvetica"/>
          <w:szCs w:val="24"/>
          <w:lang w:val="en"/>
        </w:rPr>
      </w:pPr>
      <w:r>
        <w:t>In cases involving serious sexual offences against children in NI, the onus is on the prosecution to prove that the defendant did not reasonably believe the victim was 16 years and above.</w:t>
      </w:r>
      <w:r w:rsidR="00251E02">
        <w:rPr>
          <w:rStyle w:val="FootnoteReference"/>
        </w:rPr>
        <w:footnoteReference w:id="178"/>
      </w:r>
      <w:r w:rsidR="00B527BD">
        <w:t xml:space="preserve"> </w:t>
      </w:r>
      <w:r w:rsidR="004D473A" w:rsidRPr="22E15799">
        <w:rPr>
          <w:rFonts w:cs="Helvetica"/>
          <w:lang w:val="en"/>
        </w:rPr>
        <w:t xml:space="preserve">In 2014, an Independent Inquiry recommended legislative reform </w:t>
      </w:r>
      <w:r w:rsidR="008D699F" w:rsidRPr="22E15799">
        <w:rPr>
          <w:rFonts w:cs="Helvetica"/>
          <w:lang w:val="en"/>
        </w:rPr>
        <w:t xml:space="preserve">to </w:t>
      </w:r>
      <w:r w:rsidR="00EF451B" w:rsidRPr="22E15799">
        <w:rPr>
          <w:rFonts w:cs="Helvetica"/>
          <w:lang w:val="en"/>
        </w:rPr>
        <w:t>reverse this arrangement</w:t>
      </w:r>
      <w:r w:rsidR="00D30976" w:rsidRPr="22E15799">
        <w:rPr>
          <w:rFonts w:cs="Helvetica"/>
          <w:lang w:val="en"/>
        </w:rPr>
        <w:t>.</w:t>
      </w:r>
      <w:r w:rsidR="008277B8">
        <w:rPr>
          <w:rStyle w:val="FootnoteReference"/>
          <w:rFonts w:cs="Helvetica"/>
          <w:lang w:val="en"/>
        </w:rPr>
        <w:footnoteReference w:id="179"/>
      </w:r>
      <w:r w:rsidR="00A067C8">
        <w:rPr>
          <w:rFonts w:cs="Helvetica"/>
          <w:lang w:val="en"/>
        </w:rPr>
        <w:t xml:space="preserve"> </w:t>
      </w:r>
      <w:r w:rsidR="00EF451B" w:rsidRPr="22E15799">
        <w:rPr>
          <w:rStyle w:val="Hyperlink"/>
          <w:rFonts w:cs="Helvetica"/>
          <w:color w:val="auto"/>
          <w:u w:val="none"/>
          <w:lang w:val="en"/>
        </w:rPr>
        <w:t xml:space="preserve">In 2022, </w:t>
      </w:r>
      <w:r w:rsidR="00806AA9" w:rsidRPr="22E15799">
        <w:rPr>
          <w:rStyle w:val="Hyperlink"/>
          <w:rFonts w:cs="Helvetica"/>
          <w:color w:val="auto"/>
          <w:u w:val="none"/>
          <w:lang w:val="en"/>
        </w:rPr>
        <w:t xml:space="preserve">NI </w:t>
      </w:r>
      <w:r w:rsidR="00EF451B" w:rsidRPr="22E15799">
        <w:rPr>
          <w:rFonts w:cs="Helvetica"/>
          <w:lang w:val="en"/>
        </w:rPr>
        <w:t>l</w:t>
      </w:r>
      <w:r w:rsidR="001E41E6" w:rsidRPr="22E15799">
        <w:rPr>
          <w:rFonts w:cs="Helvetica"/>
          <w:lang w:val="en"/>
        </w:rPr>
        <w:t>egal practitioners</w:t>
      </w:r>
      <w:r w:rsidR="0023787B" w:rsidRPr="22E15799">
        <w:rPr>
          <w:rFonts w:cs="Helvetica"/>
          <w:lang w:val="en"/>
        </w:rPr>
        <w:t xml:space="preserve"> </w:t>
      </w:r>
      <w:r w:rsidR="001E41E6" w:rsidRPr="22E15799">
        <w:rPr>
          <w:rFonts w:cs="Helvetica"/>
          <w:lang w:val="en"/>
        </w:rPr>
        <w:t>raised concerns</w:t>
      </w:r>
      <w:r w:rsidR="00806AA9" w:rsidRPr="22E15799">
        <w:rPr>
          <w:rFonts w:cs="Helvetica"/>
          <w:lang w:val="en"/>
        </w:rPr>
        <w:t xml:space="preserve"> with this proposal</w:t>
      </w:r>
      <w:r w:rsidR="0023787B" w:rsidRPr="22E15799">
        <w:rPr>
          <w:rFonts w:cs="Helvetica"/>
          <w:lang w:val="en"/>
        </w:rPr>
        <w:t xml:space="preserve">, </w:t>
      </w:r>
      <w:r w:rsidR="00E92456" w:rsidRPr="22E15799">
        <w:rPr>
          <w:rFonts w:cs="Helvetica"/>
          <w:lang w:val="en"/>
        </w:rPr>
        <w:t xml:space="preserve">noting </w:t>
      </w:r>
      <w:r w:rsidR="00EB78D3" w:rsidRPr="22E15799">
        <w:rPr>
          <w:rFonts w:cs="Helvetica"/>
          <w:lang w:val="en"/>
        </w:rPr>
        <w:t>it</w:t>
      </w:r>
      <w:r w:rsidR="00FD7CCE" w:rsidRPr="22E15799">
        <w:rPr>
          <w:rFonts w:cs="Helvetica"/>
          <w:lang w:val="en"/>
        </w:rPr>
        <w:t xml:space="preserve"> would</w:t>
      </w:r>
      <w:r w:rsidR="00812AE5">
        <w:t xml:space="preserve"> </w:t>
      </w:r>
      <w:r w:rsidR="003A191D">
        <w:t>undermine</w:t>
      </w:r>
      <w:r w:rsidR="00812AE5">
        <w:t xml:space="preserve"> the presumption of innocence and the right to a fair trial of the accused.</w:t>
      </w:r>
      <w:r w:rsidRPr="22E15799">
        <w:rPr>
          <w:rStyle w:val="FootnoteReference"/>
        </w:rPr>
        <w:footnoteReference w:id="180"/>
      </w:r>
      <w:r w:rsidR="00361D86">
        <w:t xml:space="preserve"> The Department of Justice is </w:t>
      </w:r>
      <w:r w:rsidR="00812D26">
        <w:t>considering how to proceed</w:t>
      </w:r>
      <w:r w:rsidR="00361D86">
        <w:t>,</w:t>
      </w:r>
      <w:r w:rsidRPr="22E15799">
        <w:rPr>
          <w:rStyle w:val="FootnoteReference"/>
        </w:rPr>
        <w:footnoteReference w:id="181"/>
      </w:r>
      <w:r w:rsidR="00361D86">
        <w:t xml:space="preserve"> </w:t>
      </w:r>
      <w:r w:rsidR="00B46876">
        <w:t>any proposals</w:t>
      </w:r>
      <w:r w:rsidR="00BA07E1">
        <w:t xml:space="preserve"> </w:t>
      </w:r>
      <w:r w:rsidR="00380DD8">
        <w:t>require the approval of the</w:t>
      </w:r>
      <w:r w:rsidR="00D2255B">
        <w:t xml:space="preserve"> NI Executive.</w:t>
      </w:r>
      <w:r w:rsidRPr="22E15799">
        <w:rPr>
          <w:rStyle w:val="FootnoteReference"/>
        </w:rPr>
        <w:footnoteReference w:id="182"/>
      </w:r>
      <w:r w:rsidR="00D2255B">
        <w:t xml:space="preserve"> </w:t>
      </w:r>
    </w:p>
    <w:p w14:paraId="6BA8A2BB" w14:textId="77777777" w:rsidR="00DB4417" w:rsidRPr="00E70210" w:rsidRDefault="00DB4417" w:rsidP="00500CC3">
      <w:pPr>
        <w:ind w:left="851" w:hanging="851"/>
        <w:rPr>
          <w:rStyle w:val="Hyperlink"/>
          <w:rFonts w:cs="Helvetica"/>
          <w:color w:val="auto"/>
          <w:szCs w:val="24"/>
          <w:lang w:val="en"/>
        </w:rPr>
      </w:pPr>
    </w:p>
    <w:p w14:paraId="3B5C8A1A" w14:textId="0B8A925E" w:rsidR="00E51B62" w:rsidRPr="00E51B62" w:rsidRDefault="004D473A" w:rsidP="00166572">
      <w:pPr>
        <w:pStyle w:val="ListParagraph"/>
        <w:numPr>
          <w:ilvl w:val="1"/>
          <w:numId w:val="23"/>
        </w:numPr>
        <w:ind w:left="851" w:hanging="851"/>
        <w:contextualSpacing w:val="0"/>
        <w:rPr>
          <w:rFonts w:cs="Helvetica"/>
          <w:szCs w:val="24"/>
          <w:lang w:val="en"/>
        </w:rPr>
      </w:pPr>
      <w:r w:rsidRPr="006B38FC">
        <w:rPr>
          <w:rStyle w:val="Hyperlink"/>
          <w:rFonts w:cs="Helvetica"/>
          <w:b/>
          <w:bCs/>
          <w:color w:val="auto"/>
          <w:szCs w:val="24"/>
          <w:u w:val="none"/>
          <w:lang w:val="en"/>
        </w:rPr>
        <w:t xml:space="preserve">The </w:t>
      </w:r>
      <w:r w:rsidRPr="006B38FC">
        <w:rPr>
          <w:b/>
          <w:bCs/>
          <w:szCs w:val="24"/>
        </w:rPr>
        <w:t>Com</w:t>
      </w:r>
      <w:r w:rsidRPr="006B38FC">
        <w:rPr>
          <w:b/>
          <w:szCs w:val="24"/>
        </w:rPr>
        <w:t xml:space="preserve">mittee may wish to </w:t>
      </w:r>
      <w:r w:rsidR="00E51B62">
        <w:rPr>
          <w:b/>
          <w:szCs w:val="24"/>
        </w:rPr>
        <w:t>recommend that</w:t>
      </w:r>
      <w:r w:rsidR="00E51B62" w:rsidRPr="006B38FC">
        <w:rPr>
          <w:b/>
          <w:szCs w:val="24"/>
        </w:rPr>
        <w:t xml:space="preserve"> </w:t>
      </w:r>
      <w:r w:rsidRPr="006B38FC">
        <w:rPr>
          <w:b/>
          <w:szCs w:val="24"/>
        </w:rPr>
        <w:t xml:space="preserve">the UK </w:t>
      </w:r>
      <w:r w:rsidR="00E51B62">
        <w:rPr>
          <w:b/>
          <w:szCs w:val="24"/>
        </w:rPr>
        <w:t>takes effective steps</w:t>
      </w:r>
      <w:r w:rsidRPr="006B38FC">
        <w:rPr>
          <w:b/>
          <w:szCs w:val="24"/>
        </w:rPr>
        <w:t xml:space="preserve"> to</w:t>
      </w:r>
      <w:r w:rsidR="00E51B62">
        <w:rPr>
          <w:b/>
          <w:szCs w:val="24"/>
        </w:rPr>
        <w:t>:</w:t>
      </w:r>
      <w:r w:rsidRPr="006B38FC">
        <w:rPr>
          <w:b/>
          <w:szCs w:val="24"/>
        </w:rPr>
        <w:t xml:space="preserve"> </w:t>
      </w:r>
    </w:p>
    <w:p w14:paraId="682AEE2B" w14:textId="77777777" w:rsidR="00E51B62" w:rsidRPr="00E51B62" w:rsidRDefault="00E51B62" w:rsidP="003A6C64">
      <w:pPr>
        <w:pStyle w:val="ListParagraph"/>
        <w:contextualSpacing w:val="0"/>
        <w:rPr>
          <w:b/>
          <w:szCs w:val="24"/>
        </w:rPr>
      </w:pPr>
    </w:p>
    <w:p w14:paraId="4809D9F7" w14:textId="51104313" w:rsidR="006B38FC" w:rsidRPr="006B38FC" w:rsidRDefault="00EF3082" w:rsidP="22E15799">
      <w:pPr>
        <w:pStyle w:val="ListParagraph"/>
        <w:numPr>
          <w:ilvl w:val="0"/>
          <w:numId w:val="55"/>
        </w:numPr>
        <w:ind w:left="1560"/>
        <w:rPr>
          <w:rFonts w:cs="Helvetica"/>
          <w:lang w:val="en"/>
        </w:rPr>
      </w:pPr>
      <w:r w:rsidRPr="22E15799">
        <w:rPr>
          <w:b/>
          <w:bCs/>
        </w:rPr>
        <w:t xml:space="preserve">introduce </w:t>
      </w:r>
      <w:r w:rsidR="004D473A" w:rsidRPr="22E15799">
        <w:rPr>
          <w:b/>
          <w:bCs/>
        </w:rPr>
        <w:t xml:space="preserve">legislation in NI to </w:t>
      </w:r>
      <w:r w:rsidR="32F3A7D9" w:rsidRPr="22E15799">
        <w:rPr>
          <w:b/>
          <w:bCs/>
        </w:rPr>
        <w:t>ensure</w:t>
      </w:r>
      <w:r w:rsidR="004D473A" w:rsidRPr="22E15799">
        <w:rPr>
          <w:b/>
          <w:bCs/>
        </w:rPr>
        <w:t xml:space="preserve"> the burden of proof </w:t>
      </w:r>
      <w:r w:rsidR="006C2E57" w:rsidRPr="22E15799">
        <w:rPr>
          <w:b/>
          <w:bCs/>
        </w:rPr>
        <w:t>in cases concerning</w:t>
      </w:r>
      <w:r w:rsidR="004D473A" w:rsidRPr="22E15799">
        <w:rPr>
          <w:b/>
          <w:bCs/>
        </w:rPr>
        <w:t xml:space="preserve"> child victims of sexual offences</w:t>
      </w:r>
      <w:r w:rsidR="43E3C40A" w:rsidRPr="22E15799">
        <w:rPr>
          <w:b/>
          <w:bCs/>
        </w:rPr>
        <w:t xml:space="preserve"> </w:t>
      </w:r>
      <w:r w:rsidR="00147D45">
        <w:rPr>
          <w:b/>
          <w:bCs/>
        </w:rPr>
        <w:t xml:space="preserve">is victim centred and </w:t>
      </w:r>
      <w:r w:rsidR="43E3C40A" w:rsidRPr="22E15799">
        <w:rPr>
          <w:b/>
          <w:bCs/>
        </w:rPr>
        <w:t xml:space="preserve">does not prevent effective </w:t>
      </w:r>
      <w:r w:rsidR="005C0CAE" w:rsidRPr="22E15799">
        <w:rPr>
          <w:b/>
          <w:bCs/>
        </w:rPr>
        <w:t>prosecution</w:t>
      </w:r>
      <w:r w:rsidR="00E51B62" w:rsidRPr="22E15799">
        <w:rPr>
          <w:b/>
          <w:bCs/>
        </w:rPr>
        <w:t>.</w:t>
      </w:r>
      <w:r w:rsidR="004D473A" w:rsidRPr="22E15799">
        <w:rPr>
          <w:b/>
          <w:bCs/>
        </w:rPr>
        <w:t xml:space="preserve"> </w:t>
      </w:r>
    </w:p>
    <w:p w14:paraId="3CFBA9BA" w14:textId="77777777" w:rsidR="006B38FC" w:rsidRPr="006B38FC" w:rsidRDefault="006B38FC" w:rsidP="00675F0F">
      <w:pPr>
        <w:pStyle w:val="ListParagraph"/>
        <w:ind w:left="1560"/>
        <w:contextualSpacing w:val="0"/>
        <w:rPr>
          <w:rStyle w:val="Hyperlink"/>
          <w:rFonts w:cs="Helvetica"/>
          <w:color w:val="auto"/>
          <w:szCs w:val="24"/>
          <w:lang w:val="en"/>
        </w:rPr>
      </w:pPr>
    </w:p>
    <w:p w14:paraId="406A444A" w14:textId="0A152421" w:rsidR="00D94461" w:rsidRPr="006B38FC" w:rsidRDefault="004D473A" w:rsidP="00675F0F">
      <w:pPr>
        <w:pStyle w:val="ListParagraph"/>
        <w:numPr>
          <w:ilvl w:val="0"/>
          <w:numId w:val="55"/>
        </w:numPr>
        <w:ind w:left="1560"/>
        <w:contextualSpacing w:val="0"/>
        <w:rPr>
          <w:rFonts w:cs="Helvetica"/>
          <w:szCs w:val="24"/>
          <w:lang w:val="en"/>
        </w:rPr>
      </w:pPr>
      <w:r w:rsidRPr="006B38FC">
        <w:rPr>
          <w:b/>
          <w:szCs w:val="24"/>
        </w:rPr>
        <w:t xml:space="preserve">provide specialised training </w:t>
      </w:r>
      <w:r w:rsidR="00E51B62">
        <w:rPr>
          <w:b/>
          <w:szCs w:val="24"/>
        </w:rPr>
        <w:t xml:space="preserve">on child sexual exploitation </w:t>
      </w:r>
      <w:r w:rsidRPr="006B38FC">
        <w:rPr>
          <w:b/>
          <w:szCs w:val="24"/>
        </w:rPr>
        <w:t xml:space="preserve">for relevant professionals in the </w:t>
      </w:r>
      <w:r w:rsidR="001231ED">
        <w:rPr>
          <w:b/>
          <w:szCs w:val="24"/>
        </w:rPr>
        <w:t xml:space="preserve">NI </w:t>
      </w:r>
      <w:r w:rsidRPr="006B38FC">
        <w:rPr>
          <w:b/>
          <w:szCs w:val="24"/>
        </w:rPr>
        <w:t>criminal justice system</w:t>
      </w:r>
      <w:r w:rsidR="001231ED">
        <w:rPr>
          <w:b/>
          <w:szCs w:val="24"/>
        </w:rPr>
        <w:t xml:space="preserve"> and that measures reflective of the Barnahus model are adopted</w:t>
      </w:r>
      <w:r w:rsidR="00E51B62">
        <w:rPr>
          <w:b/>
          <w:szCs w:val="24"/>
        </w:rPr>
        <w:t>.</w:t>
      </w:r>
      <w:r w:rsidRPr="006B38FC">
        <w:rPr>
          <w:b/>
          <w:szCs w:val="24"/>
        </w:rPr>
        <w:t xml:space="preserve"> </w:t>
      </w:r>
    </w:p>
    <w:p w14:paraId="52D199A2" w14:textId="77777777" w:rsidR="00F55509" w:rsidRPr="006B38FC" w:rsidRDefault="00F55509" w:rsidP="003A6C64">
      <w:pPr>
        <w:pStyle w:val="ListParagraph"/>
        <w:contextualSpacing w:val="0"/>
        <w:rPr>
          <w:rFonts w:cs="Helvetica"/>
          <w:szCs w:val="24"/>
          <w:lang w:val="en"/>
        </w:rPr>
      </w:pPr>
    </w:p>
    <w:p w14:paraId="7C437835" w14:textId="58CF0FFB" w:rsidR="00703CAC" w:rsidRPr="00E70210" w:rsidRDefault="006B38FC" w:rsidP="00725632">
      <w:pPr>
        <w:pStyle w:val="Heading2"/>
        <w:spacing w:after="240" w:line="288" w:lineRule="auto"/>
        <w:rPr>
          <w:lang w:val="en"/>
        </w:rPr>
      </w:pPr>
      <w:bookmarkStart w:id="42" w:name="_Toc156901014"/>
      <w:r>
        <w:rPr>
          <w:lang w:val="en"/>
        </w:rPr>
        <w:t>Children missing from care</w:t>
      </w:r>
      <w:bookmarkEnd w:id="42"/>
      <w:r>
        <w:rPr>
          <w:lang w:val="en"/>
        </w:rPr>
        <w:t xml:space="preserve"> </w:t>
      </w:r>
    </w:p>
    <w:p w14:paraId="3555F0BB" w14:textId="64D36367" w:rsidR="00E9313E" w:rsidRPr="00703CAC" w:rsidRDefault="008B4357" w:rsidP="00166572">
      <w:pPr>
        <w:pStyle w:val="ListParagraph"/>
        <w:numPr>
          <w:ilvl w:val="1"/>
          <w:numId w:val="23"/>
        </w:numPr>
        <w:ind w:left="851" w:hanging="851"/>
        <w:contextualSpacing w:val="0"/>
        <w:rPr>
          <w:rFonts w:cs="Helvetica"/>
          <w:szCs w:val="24"/>
        </w:rPr>
      </w:pPr>
      <w:r w:rsidRPr="22E15799">
        <w:rPr>
          <w:rFonts w:eastAsia="Calibri" w:cs="Times New Roman"/>
          <w:color w:val="000000"/>
        </w:rPr>
        <w:t>In 2022/2023, the Police Service of NI received 5,240 reports of children going missing from care in NI</w:t>
      </w:r>
      <w:r w:rsidR="003739FB" w:rsidRPr="22E15799">
        <w:rPr>
          <w:rStyle w:val="FootnoteReference"/>
          <w:rFonts w:eastAsia="Calibri" w:cs="Times New Roman"/>
          <w:color w:val="000000"/>
        </w:rPr>
        <w:footnoteReference w:id="183"/>
      </w:r>
      <w:r w:rsidRPr="22E15799">
        <w:rPr>
          <w:rFonts w:eastAsia="Calibri" w:cs="Times New Roman"/>
          <w:color w:val="000000"/>
        </w:rPr>
        <w:t>, which involved 1,171 individual children.</w:t>
      </w:r>
      <w:r w:rsidRPr="00F24ADC">
        <w:rPr>
          <w:vertAlign w:val="superscript"/>
        </w:rPr>
        <w:footnoteReference w:id="184"/>
      </w:r>
      <w:r w:rsidRPr="22E15799">
        <w:rPr>
          <w:rFonts w:eastAsia="Calibri" w:cs="Times New Roman"/>
          <w:color w:val="000000"/>
        </w:rPr>
        <w:t xml:space="preserve"> </w:t>
      </w:r>
      <w:r w:rsidR="00E9313E" w:rsidRPr="22E15799">
        <w:rPr>
          <w:rFonts w:eastAsia="Calibri" w:cs="Times New Roman"/>
          <w:color w:val="000000"/>
        </w:rPr>
        <w:t>Children and young people who are missing from care are at greater risk of exploitation.</w:t>
      </w:r>
      <w:r w:rsidR="00E9313E" w:rsidRPr="00F24ADC">
        <w:rPr>
          <w:vertAlign w:val="superscript"/>
        </w:rPr>
        <w:footnoteReference w:id="185"/>
      </w:r>
      <w:r w:rsidR="00E9313E" w:rsidRPr="22E15799">
        <w:rPr>
          <w:rFonts w:eastAsia="Calibri" w:cs="Times New Roman"/>
          <w:color w:val="000000"/>
        </w:rPr>
        <w:t xml:space="preserve"> </w:t>
      </w:r>
    </w:p>
    <w:p w14:paraId="5522DBC5" w14:textId="77777777" w:rsidR="00E9313E" w:rsidRPr="004A51E2" w:rsidRDefault="00E9313E" w:rsidP="00500CC3">
      <w:pPr>
        <w:ind w:left="851" w:hanging="851"/>
        <w:rPr>
          <w:rFonts w:cs="Helvetica"/>
          <w:szCs w:val="24"/>
        </w:rPr>
      </w:pPr>
    </w:p>
    <w:p w14:paraId="5A9588AF" w14:textId="27C5A839" w:rsidR="00703CAC" w:rsidRPr="00703CAC" w:rsidRDefault="008B4357" w:rsidP="00166572">
      <w:pPr>
        <w:pStyle w:val="ListParagraph"/>
        <w:numPr>
          <w:ilvl w:val="1"/>
          <w:numId w:val="23"/>
        </w:numPr>
        <w:ind w:left="851" w:hanging="851"/>
        <w:contextualSpacing w:val="0"/>
        <w:rPr>
          <w:rFonts w:cs="Helvetica"/>
          <w:szCs w:val="24"/>
        </w:rPr>
      </w:pPr>
      <w:r w:rsidRPr="22E15799">
        <w:rPr>
          <w:rFonts w:eastAsia="Calibri" w:cs="Times New Roman"/>
          <w:color w:val="000000"/>
        </w:rPr>
        <w:t xml:space="preserve">In </w:t>
      </w:r>
      <w:r w:rsidRPr="22E15799">
        <w:rPr>
          <w:rFonts w:eastAsia="Calibri" w:cs="Times New Roman"/>
        </w:rPr>
        <w:t xml:space="preserve">2023, </w:t>
      </w:r>
      <w:r w:rsidR="00E9313E" w:rsidRPr="22E15799">
        <w:rPr>
          <w:rFonts w:eastAsia="Calibri" w:cs="Times New Roman"/>
        </w:rPr>
        <w:t>a</w:t>
      </w:r>
      <w:r w:rsidRPr="22E15799">
        <w:rPr>
          <w:rFonts w:eastAsia="Calibri" w:cs="Times New Roman"/>
        </w:rPr>
        <w:t xml:space="preserve"> ne</w:t>
      </w:r>
      <w:r w:rsidR="003739FB" w:rsidRPr="22E15799">
        <w:rPr>
          <w:rFonts w:eastAsia="Calibri" w:cs="Times New Roman"/>
        </w:rPr>
        <w:t>w</w:t>
      </w:r>
      <w:r w:rsidRPr="22E15799">
        <w:rPr>
          <w:rFonts w:eastAsia="Calibri" w:cs="Times New Roman"/>
        </w:rPr>
        <w:t xml:space="preserve"> interface protocol on children missing from care</w:t>
      </w:r>
      <w:r w:rsidR="00E9313E" w:rsidRPr="22E15799">
        <w:rPr>
          <w:rFonts w:eastAsia="Calibri" w:cs="Times New Roman"/>
        </w:rPr>
        <w:t xml:space="preserve"> was launched</w:t>
      </w:r>
      <w:r w:rsidRPr="22E15799">
        <w:rPr>
          <w:rFonts w:eastAsia="Calibri" w:cs="Times New Roman"/>
        </w:rPr>
        <w:t>.</w:t>
      </w:r>
      <w:r w:rsidRPr="00F24ADC">
        <w:rPr>
          <w:vertAlign w:val="superscript"/>
        </w:rPr>
        <w:footnoteReference w:id="186"/>
      </w:r>
      <w:r w:rsidRPr="22E15799">
        <w:rPr>
          <w:rFonts w:eastAsia="Calibri" w:cs="Times New Roman"/>
        </w:rPr>
        <w:t xml:space="preserve"> </w:t>
      </w:r>
      <w:r w:rsidR="00E9313E" w:rsidRPr="22E15799">
        <w:rPr>
          <w:rFonts w:eastAsia="Calibri" w:cs="Times New Roman"/>
        </w:rPr>
        <w:t xml:space="preserve">Additionally, </w:t>
      </w:r>
      <w:r w:rsidRPr="22E15799">
        <w:rPr>
          <w:rFonts w:eastAsia="Calibri" w:cs="Times New Roman"/>
          <w:color w:val="000000"/>
        </w:rPr>
        <w:t>data that is already shared in local districts will be examined at joint operational meetings</w:t>
      </w:r>
      <w:r w:rsidRPr="22E15799">
        <w:rPr>
          <w:rFonts w:eastAsia="Calibri" w:cs="Times New Roman"/>
        </w:rPr>
        <w:t>.</w:t>
      </w:r>
      <w:r w:rsidRPr="00F24ADC">
        <w:rPr>
          <w:vertAlign w:val="superscript"/>
        </w:rPr>
        <w:footnoteReference w:id="187"/>
      </w:r>
    </w:p>
    <w:p w14:paraId="6A228CC8" w14:textId="77777777" w:rsidR="00703CAC" w:rsidRPr="00703CAC" w:rsidRDefault="00703CAC" w:rsidP="00500CC3">
      <w:pPr>
        <w:pStyle w:val="ListParagraph"/>
        <w:ind w:left="851" w:hanging="851"/>
        <w:contextualSpacing w:val="0"/>
        <w:rPr>
          <w:b/>
          <w:szCs w:val="24"/>
        </w:rPr>
      </w:pPr>
    </w:p>
    <w:p w14:paraId="79812342" w14:textId="243D6689" w:rsidR="001853F1" w:rsidRPr="00FA347C" w:rsidRDefault="008B4357" w:rsidP="00166572">
      <w:pPr>
        <w:pStyle w:val="ListParagraph"/>
        <w:numPr>
          <w:ilvl w:val="1"/>
          <w:numId w:val="23"/>
        </w:numPr>
        <w:ind w:left="851" w:hanging="851"/>
        <w:contextualSpacing w:val="0"/>
        <w:rPr>
          <w:rFonts w:cs="Helvetica"/>
          <w:szCs w:val="24"/>
        </w:rPr>
      </w:pPr>
      <w:r w:rsidRPr="00703CAC">
        <w:rPr>
          <w:b/>
          <w:szCs w:val="24"/>
        </w:rPr>
        <w:t xml:space="preserve">The Committee may wish to </w:t>
      </w:r>
      <w:r w:rsidR="008051BE">
        <w:rPr>
          <w:b/>
          <w:szCs w:val="24"/>
        </w:rPr>
        <w:t>recommend that</w:t>
      </w:r>
      <w:r w:rsidR="008051BE" w:rsidRPr="00703CAC">
        <w:rPr>
          <w:b/>
          <w:szCs w:val="24"/>
        </w:rPr>
        <w:t xml:space="preserve"> </w:t>
      </w:r>
      <w:r w:rsidRPr="00703CAC">
        <w:rPr>
          <w:b/>
          <w:szCs w:val="24"/>
        </w:rPr>
        <w:t xml:space="preserve">the UK </w:t>
      </w:r>
      <w:r w:rsidR="008051BE">
        <w:rPr>
          <w:b/>
          <w:szCs w:val="24"/>
        </w:rPr>
        <w:t>takes effective steps</w:t>
      </w:r>
      <w:r w:rsidR="00C01498">
        <w:rPr>
          <w:b/>
          <w:szCs w:val="24"/>
        </w:rPr>
        <w:t xml:space="preserve"> to</w:t>
      </w:r>
      <w:r w:rsidR="005B1446">
        <w:rPr>
          <w:b/>
          <w:szCs w:val="24"/>
        </w:rPr>
        <w:t xml:space="preserve"> </w:t>
      </w:r>
      <w:r w:rsidRPr="005B1446">
        <w:rPr>
          <w:b/>
          <w:szCs w:val="24"/>
        </w:rPr>
        <w:t xml:space="preserve">review the effectiveness of the </w:t>
      </w:r>
      <w:r w:rsidRPr="005B1446">
        <w:rPr>
          <w:rFonts w:eastAsia="Calibri"/>
          <w:b/>
          <w:bCs/>
          <w:szCs w:val="24"/>
        </w:rPr>
        <w:t xml:space="preserve">new Interface Protocol for when a child is reported missing and </w:t>
      </w:r>
      <w:r w:rsidRPr="005B1446">
        <w:rPr>
          <w:rFonts w:eastAsia="Calibri"/>
          <w:b/>
          <w:bCs/>
          <w:szCs w:val="24"/>
        </w:rPr>
        <w:lastRenderedPageBreak/>
        <w:t>other police interactions</w:t>
      </w:r>
      <w:r w:rsidR="00975BEB" w:rsidRPr="005B1446">
        <w:rPr>
          <w:b/>
          <w:bCs/>
          <w:szCs w:val="24"/>
        </w:rPr>
        <w:t xml:space="preserve"> </w:t>
      </w:r>
      <w:r w:rsidR="007D6A0F" w:rsidRPr="005B1446">
        <w:rPr>
          <w:b/>
          <w:bCs/>
          <w:szCs w:val="24"/>
        </w:rPr>
        <w:t>to ensure any findings are effectively addressed.</w:t>
      </w:r>
    </w:p>
    <w:p w14:paraId="31C024AA" w14:textId="77777777" w:rsidR="001853F1" w:rsidRPr="001C161A" w:rsidRDefault="001853F1" w:rsidP="003A6C64">
      <w:pPr>
        <w:pStyle w:val="ListParagraph"/>
        <w:contextualSpacing w:val="0"/>
        <w:rPr>
          <w:rFonts w:cs="Helvetica"/>
          <w:szCs w:val="24"/>
        </w:rPr>
      </w:pPr>
    </w:p>
    <w:p w14:paraId="7CBBBC40" w14:textId="2FBD03B9" w:rsidR="001C161A" w:rsidRPr="00500CC3" w:rsidRDefault="001C161A" w:rsidP="00500CC3">
      <w:pPr>
        <w:pStyle w:val="Heading2"/>
      </w:pPr>
      <w:bookmarkStart w:id="43" w:name="_Toc156901015"/>
      <w:r>
        <w:t xml:space="preserve">Modern </w:t>
      </w:r>
      <w:r w:rsidR="00504A08">
        <w:t>s</w:t>
      </w:r>
      <w:r>
        <w:t>lavery</w:t>
      </w:r>
      <w:bookmarkEnd w:id="43"/>
      <w:r>
        <w:t xml:space="preserve"> </w:t>
      </w:r>
    </w:p>
    <w:p w14:paraId="4F7311BC" w14:textId="77777777" w:rsidR="00B676B9" w:rsidRPr="009C5DA1" w:rsidRDefault="00EF4A13" w:rsidP="00166572">
      <w:pPr>
        <w:pStyle w:val="ListParagraph"/>
        <w:numPr>
          <w:ilvl w:val="1"/>
          <w:numId w:val="23"/>
        </w:numPr>
        <w:ind w:left="851" w:hanging="851"/>
        <w:contextualSpacing w:val="0"/>
        <w:rPr>
          <w:rFonts w:cs="Helvetica"/>
          <w:szCs w:val="24"/>
        </w:rPr>
      </w:pPr>
      <w:r w:rsidRPr="22E15799">
        <w:rPr>
          <w:color w:val="000000"/>
        </w:rPr>
        <w:t>In 20</w:t>
      </w:r>
      <w:r w:rsidR="00B676B9" w:rsidRPr="22E15799">
        <w:rPr>
          <w:color w:val="000000"/>
        </w:rPr>
        <w:t>22</w:t>
      </w:r>
      <w:r w:rsidRPr="22E15799">
        <w:rPr>
          <w:color w:val="000000"/>
        </w:rPr>
        <w:t xml:space="preserve">, </w:t>
      </w:r>
      <w:r w:rsidR="00B06D82" w:rsidRPr="22E15799">
        <w:rPr>
          <w:color w:val="000000"/>
        </w:rPr>
        <w:t>547 potential victims of human trafficking were identified in NI.</w:t>
      </w:r>
      <w:r w:rsidR="00CC108F" w:rsidRPr="22E15799">
        <w:rPr>
          <w:rStyle w:val="FootnoteReference"/>
          <w:color w:val="000000"/>
        </w:rPr>
        <w:footnoteReference w:id="188"/>
      </w:r>
      <w:r w:rsidR="00B06D82" w:rsidRPr="22E15799">
        <w:rPr>
          <w:color w:val="000000"/>
        </w:rPr>
        <w:t xml:space="preserve"> </w:t>
      </w:r>
      <w:r w:rsidR="00A03B17" w:rsidRPr="22E15799">
        <w:rPr>
          <w:color w:val="000000"/>
        </w:rPr>
        <w:t xml:space="preserve">Of these, </w:t>
      </w:r>
      <w:r w:rsidR="00055D1F" w:rsidRPr="22E15799">
        <w:rPr>
          <w:color w:val="000000"/>
        </w:rPr>
        <w:t>86 were child victims.</w:t>
      </w:r>
      <w:r w:rsidR="00B676B9" w:rsidRPr="22E15799">
        <w:rPr>
          <w:rStyle w:val="FootnoteReference"/>
          <w:color w:val="000000"/>
        </w:rPr>
        <w:footnoteReference w:id="189"/>
      </w:r>
      <w:r w:rsidR="00055D1F" w:rsidRPr="22E15799">
        <w:rPr>
          <w:color w:val="000000"/>
        </w:rPr>
        <w:t xml:space="preserve"> </w:t>
      </w:r>
    </w:p>
    <w:p w14:paraId="11F6385C" w14:textId="77777777" w:rsidR="009C5DA1" w:rsidRPr="009C5DA1" w:rsidRDefault="009C5DA1" w:rsidP="00500CC3">
      <w:pPr>
        <w:pStyle w:val="ListParagraph"/>
        <w:ind w:left="851" w:hanging="851"/>
        <w:contextualSpacing w:val="0"/>
        <w:rPr>
          <w:rFonts w:cs="Helvetica"/>
          <w:szCs w:val="24"/>
        </w:rPr>
      </w:pPr>
    </w:p>
    <w:p w14:paraId="0CDA6FF2" w14:textId="16FE8640" w:rsidR="009C5DA1" w:rsidRPr="009C5DA1" w:rsidRDefault="009C5DA1" w:rsidP="00166572">
      <w:pPr>
        <w:pStyle w:val="ListParagraph"/>
        <w:numPr>
          <w:ilvl w:val="1"/>
          <w:numId w:val="23"/>
        </w:numPr>
        <w:ind w:left="851" w:hanging="851"/>
      </w:pPr>
      <w:r w:rsidRPr="22E15799">
        <w:t>The</w:t>
      </w:r>
      <w:r w:rsidR="664046B4" w:rsidRPr="22E15799">
        <w:t xml:space="preserve"> Commission has significant</w:t>
      </w:r>
      <w:r w:rsidRPr="22E15799">
        <w:t xml:space="preserve"> concerns that the Illegal Migration Act 2023 </w:t>
      </w:r>
      <w:r w:rsidRPr="00E7020F">
        <w:rPr>
          <w:rStyle w:val="normaltextrun"/>
          <w:color w:val="000000"/>
          <w:bdr w:val="none" w:sz="0" w:space="0" w:color="auto" w:frame="1"/>
        </w:rPr>
        <w:t>denies victims of modern slavery</w:t>
      </w:r>
      <w:r>
        <w:rPr>
          <w:rStyle w:val="normaltextrun"/>
          <w:color w:val="000000"/>
          <w:bdr w:val="none" w:sz="0" w:space="0" w:color="auto" w:frame="1"/>
        </w:rPr>
        <w:t xml:space="preserve"> </w:t>
      </w:r>
      <w:r w:rsidRPr="00E7020F">
        <w:rPr>
          <w:rStyle w:val="normaltextrun"/>
          <w:color w:val="000000"/>
          <w:bdr w:val="none" w:sz="0" w:space="0" w:color="auto" w:frame="1"/>
        </w:rPr>
        <w:t>arriv</w:t>
      </w:r>
      <w:r w:rsidR="00D21DC4">
        <w:rPr>
          <w:rStyle w:val="normaltextrun"/>
          <w:color w:val="000000"/>
          <w:bdr w:val="none" w:sz="0" w:space="0" w:color="auto" w:frame="1"/>
        </w:rPr>
        <w:t xml:space="preserve">ing </w:t>
      </w:r>
      <w:r w:rsidRPr="00E7020F">
        <w:rPr>
          <w:rStyle w:val="normaltextrun"/>
          <w:color w:val="000000"/>
          <w:bdr w:val="none" w:sz="0" w:space="0" w:color="auto" w:frame="1"/>
        </w:rPr>
        <w:t>in the UK irregularly access to existing support</w:t>
      </w:r>
      <w:r w:rsidRPr="00E7020F">
        <w:rPr>
          <w:szCs w:val="24"/>
        </w:rPr>
        <w:t>.</w:t>
      </w:r>
      <w:r w:rsidRPr="22E15799">
        <w:rPr>
          <w:rStyle w:val="FootnoteReference"/>
        </w:rPr>
        <w:footnoteReference w:id="190"/>
      </w:r>
      <w:r w:rsidRPr="00E7020F">
        <w:rPr>
          <w:szCs w:val="24"/>
        </w:rPr>
        <w:t xml:space="preserve"> </w:t>
      </w:r>
      <w:r w:rsidR="00D21DC4" w:rsidRPr="22E15799">
        <w:t>Th</w:t>
      </w:r>
      <w:r w:rsidR="4F060231" w:rsidRPr="22E15799">
        <w:t>is is one of the grounds upon which the NIHRC</w:t>
      </w:r>
      <w:r w:rsidR="00F85050" w:rsidRPr="22E15799">
        <w:t xml:space="preserve"> is legally challenging the compliance of the 2023 Act with the ECHR and Windsor Framework Article 2</w:t>
      </w:r>
      <w:r w:rsidR="00F85050">
        <w:rPr>
          <w:szCs w:val="24"/>
        </w:rPr>
        <w:t>.</w:t>
      </w:r>
      <w:r w:rsidR="00F85050" w:rsidRPr="22E15799">
        <w:rPr>
          <w:rStyle w:val="FootnoteReference"/>
        </w:rPr>
        <w:footnoteReference w:id="191"/>
      </w:r>
      <w:r w:rsidR="0032384C">
        <w:rPr>
          <w:szCs w:val="24"/>
        </w:rPr>
        <w:t xml:space="preserve"> </w:t>
      </w:r>
      <w:r w:rsidR="00FD6692">
        <w:rPr>
          <w:szCs w:val="24"/>
        </w:rPr>
        <w:t xml:space="preserve">For example, </w:t>
      </w:r>
      <w:r w:rsidR="00FE6791">
        <w:rPr>
          <w:szCs w:val="24"/>
        </w:rPr>
        <w:t>s</w:t>
      </w:r>
      <w:r w:rsidR="00F34369" w:rsidRPr="00F34369">
        <w:rPr>
          <w:szCs w:val="24"/>
        </w:rPr>
        <w:t xml:space="preserve">ections 22 and 25 of the </w:t>
      </w:r>
      <w:r w:rsidR="00E668FA">
        <w:rPr>
          <w:szCs w:val="24"/>
        </w:rPr>
        <w:t>2023</w:t>
      </w:r>
      <w:r w:rsidR="00F34369" w:rsidRPr="00F34369">
        <w:rPr>
          <w:szCs w:val="24"/>
        </w:rPr>
        <w:t xml:space="preserve"> Act disapply</w:t>
      </w:r>
      <w:r w:rsidR="003345BE">
        <w:rPr>
          <w:szCs w:val="24"/>
        </w:rPr>
        <w:t>,</w:t>
      </w:r>
      <w:r w:rsidR="00F34369" w:rsidRPr="00F34369">
        <w:rPr>
          <w:szCs w:val="24"/>
        </w:rPr>
        <w:t xml:space="preserve"> </w:t>
      </w:r>
      <w:r w:rsidR="00F55B03">
        <w:rPr>
          <w:szCs w:val="24"/>
        </w:rPr>
        <w:t xml:space="preserve">in </w:t>
      </w:r>
      <w:r w:rsidR="003345BE">
        <w:rPr>
          <w:szCs w:val="24"/>
        </w:rPr>
        <w:t xml:space="preserve">certain circumstances, </w:t>
      </w:r>
      <w:r w:rsidR="00F34369" w:rsidRPr="00F34369">
        <w:rPr>
          <w:szCs w:val="24"/>
        </w:rPr>
        <w:t xml:space="preserve">domestic provisions which reflected obligations </w:t>
      </w:r>
      <w:r w:rsidR="00DA25AB">
        <w:rPr>
          <w:szCs w:val="24"/>
        </w:rPr>
        <w:t xml:space="preserve">previously </w:t>
      </w:r>
      <w:r w:rsidR="00F34369" w:rsidRPr="00F34369">
        <w:rPr>
          <w:szCs w:val="24"/>
        </w:rPr>
        <w:t>arising under the EU Trafficking Directive</w:t>
      </w:r>
      <w:r w:rsidR="0097753A">
        <w:rPr>
          <w:szCs w:val="24"/>
        </w:rPr>
        <w:t>,</w:t>
      </w:r>
      <w:r w:rsidR="00F34369" w:rsidRPr="00F34369">
        <w:rPr>
          <w:szCs w:val="24"/>
        </w:rPr>
        <w:t xml:space="preserve"> to protect the rights of potential victims of human trafficking</w:t>
      </w:r>
      <w:r w:rsidR="00493C00">
        <w:rPr>
          <w:szCs w:val="24"/>
        </w:rPr>
        <w:t>.</w:t>
      </w:r>
      <w:r w:rsidR="00FE6791">
        <w:rPr>
          <w:szCs w:val="24"/>
        </w:rPr>
        <w:t xml:space="preserve"> </w:t>
      </w:r>
      <w:r w:rsidR="00DE54BB">
        <w:rPr>
          <w:szCs w:val="24"/>
        </w:rPr>
        <w:t>T</w:t>
      </w:r>
      <w:r w:rsidR="00235214">
        <w:rPr>
          <w:szCs w:val="24"/>
        </w:rPr>
        <w:t xml:space="preserve">he </w:t>
      </w:r>
      <w:r w:rsidR="00A050A8">
        <w:rPr>
          <w:szCs w:val="24"/>
        </w:rPr>
        <w:t>NIHRC</w:t>
      </w:r>
      <w:r w:rsidR="00235214">
        <w:rPr>
          <w:szCs w:val="24"/>
        </w:rPr>
        <w:t xml:space="preserve"> considers </w:t>
      </w:r>
      <w:r w:rsidR="00DE54BB">
        <w:rPr>
          <w:szCs w:val="24"/>
        </w:rPr>
        <w:t>this a</w:t>
      </w:r>
      <w:r w:rsidR="00235214">
        <w:rPr>
          <w:szCs w:val="24"/>
        </w:rPr>
        <w:t xml:space="preserve"> diminution of rights contrary to Windsor Framework Article 2</w:t>
      </w:r>
      <w:r w:rsidR="00B131B7">
        <w:rPr>
          <w:szCs w:val="24"/>
        </w:rPr>
        <w:t>.</w:t>
      </w:r>
      <w:r w:rsidR="00493C00">
        <w:rPr>
          <w:rStyle w:val="FootnoteReference"/>
          <w:szCs w:val="24"/>
        </w:rPr>
        <w:footnoteReference w:id="192"/>
      </w:r>
      <w:r w:rsidR="00B131B7">
        <w:rPr>
          <w:szCs w:val="24"/>
        </w:rPr>
        <w:t xml:space="preserve"> </w:t>
      </w:r>
    </w:p>
    <w:p w14:paraId="15C2405F" w14:textId="77777777" w:rsidR="00B676B9" w:rsidRPr="00B676B9" w:rsidRDefault="00B676B9" w:rsidP="00500CC3">
      <w:pPr>
        <w:pStyle w:val="ListParagraph"/>
        <w:ind w:left="851" w:hanging="851"/>
        <w:contextualSpacing w:val="0"/>
        <w:rPr>
          <w:rFonts w:cs="Helvetica"/>
          <w:szCs w:val="24"/>
        </w:rPr>
      </w:pPr>
    </w:p>
    <w:p w14:paraId="17C99976" w14:textId="00C3E6F6" w:rsidR="001C161A" w:rsidRPr="009C5DA1" w:rsidRDefault="008B4357" w:rsidP="00166572">
      <w:pPr>
        <w:pStyle w:val="ListParagraph"/>
        <w:numPr>
          <w:ilvl w:val="1"/>
          <w:numId w:val="23"/>
        </w:numPr>
        <w:ind w:left="851" w:hanging="851"/>
        <w:contextualSpacing w:val="0"/>
        <w:rPr>
          <w:rFonts w:cs="Helvetica"/>
          <w:szCs w:val="24"/>
        </w:rPr>
      </w:pPr>
      <w:r w:rsidRPr="22E15799">
        <w:rPr>
          <w:color w:val="000000"/>
        </w:rPr>
        <w:t>In 202</w:t>
      </w:r>
      <w:r w:rsidR="00AC281B">
        <w:rPr>
          <w:color w:val="000000"/>
        </w:rPr>
        <w:t>3</w:t>
      </w:r>
      <w:r w:rsidRPr="22E15799">
        <w:rPr>
          <w:color w:val="000000"/>
        </w:rPr>
        <w:t xml:space="preserve">, </w:t>
      </w:r>
      <w:r w:rsidR="00555224" w:rsidRPr="22E15799">
        <w:rPr>
          <w:color w:val="000000"/>
        </w:rPr>
        <w:t xml:space="preserve">the implementation of </w:t>
      </w:r>
      <w:r w:rsidR="00B07E1A" w:rsidRPr="22E15799">
        <w:rPr>
          <w:color w:val="000000"/>
        </w:rPr>
        <w:t>proposals</w:t>
      </w:r>
      <w:r w:rsidR="00C13EEB" w:rsidRPr="22E15799">
        <w:t xml:space="preserve"> to </w:t>
      </w:r>
      <w:r w:rsidR="00DA4261" w:rsidRPr="22E15799">
        <w:t>tackle</w:t>
      </w:r>
      <w:r w:rsidR="00C13EEB" w:rsidRPr="22E15799">
        <w:t xml:space="preserve"> modern slavery and human trafficking</w:t>
      </w:r>
      <w:r w:rsidR="009F1BAB" w:rsidRPr="22E15799">
        <w:t xml:space="preserve"> in NI</w:t>
      </w:r>
      <w:r w:rsidRPr="001C161A">
        <w:rPr>
          <w:szCs w:val="24"/>
        </w:rPr>
        <w:t>,</w:t>
      </w:r>
      <w:r w:rsidR="00C13EEB" w:rsidRPr="22E15799">
        <w:rPr>
          <w:rFonts w:cs="Helvetica"/>
          <w:vertAlign w:val="superscript"/>
        </w:rPr>
        <w:footnoteReference w:id="193"/>
      </w:r>
      <w:r w:rsidR="00C13EEB" w:rsidRPr="22E15799">
        <w:rPr>
          <w:rFonts w:cs="Helvetica"/>
        </w:rPr>
        <w:t xml:space="preserve"> </w:t>
      </w:r>
      <w:r w:rsidRPr="22E15799">
        <w:t xml:space="preserve">including the use of Slavery and Trafficking Risk Orders, </w:t>
      </w:r>
      <w:r w:rsidR="008F727B">
        <w:t>was hindered by the suspension of the NI Executive and NI Assembly</w:t>
      </w:r>
      <w:r w:rsidRPr="22E15799">
        <w:t>.</w:t>
      </w:r>
      <w:r w:rsidRPr="22E15799">
        <w:rPr>
          <w:rStyle w:val="FootnoteReference"/>
        </w:rPr>
        <w:footnoteReference w:id="194"/>
      </w:r>
    </w:p>
    <w:p w14:paraId="6AD62EF1" w14:textId="77777777" w:rsidR="009F1BAB" w:rsidRPr="009F1BAB" w:rsidRDefault="009F1BAB" w:rsidP="00500CC3">
      <w:pPr>
        <w:ind w:left="851" w:hanging="851"/>
        <w:rPr>
          <w:szCs w:val="24"/>
        </w:rPr>
      </w:pPr>
    </w:p>
    <w:p w14:paraId="106B31CE" w14:textId="44115091" w:rsidR="008B4357" w:rsidRPr="001C161A" w:rsidRDefault="008B4357" w:rsidP="00166572">
      <w:pPr>
        <w:pStyle w:val="ListParagraph"/>
        <w:numPr>
          <w:ilvl w:val="1"/>
          <w:numId w:val="23"/>
        </w:numPr>
        <w:ind w:left="851" w:hanging="851"/>
        <w:contextualSpacing w:val="0"/>
        <w:rPr>
          <w:rFonts w:cs="Helvetica"/>
          <w:szCs w:val="24"/>
        </w:rPr>
      </w:pPr>
      <w:r w:rsidRPr="001C161A">
        <w:rPr>
          <w:b/>
          <w:szCs w:val="24"/>
        </w:rPr>
        <w:t xml:space="preserve">The Committee may wish to </w:t>
      </w:r>
      <w:r w:rsidR="00612FAF">
        <w:rPr>
          <w:b/>
          <w:szCs w:val="24"/>
        </w:rPr>
        <w:t>recommend that</w:t>
      </w:r>
      <w:r w:rsidR="00612FAF" w:rsidRPr="001C161A">
        <w:rPr>
          <w:b/>
          <w:szCs w:val="24"/>
        </w:rPr>
        <w:t xml:space="preserve"> </w:t>
      </w:r>
      <w:r w:rsidRPr="001C161A">
        <w:rPr>
          <w:b/>
          <w:szCs w:val="24"/>
        </w:rPr>
        <w:t xml:space="preserve">the UK </w:t>
      </w:r>
      <w:r w:rsidR="00F63C7F">
        <w:rPr>
          <w:b/>
          <w:szCs w:val="24"/>
        </w:rPr>
        <w:t>takes effective steps</w:t>
      </w:r>
      <w:r w:rsidRPr="001C161A">
        <w:rPr>
          <w:b/>
          <w:szCs w:val="24"/>
        </w:rPr>
        <w:t xml:space="preserve"> to:</w:t>
      </w:r>
    </w:p>
    <w:p w14:paraId="7B6277BC" w14:textId="77777777" w:rsidR="008B4357" w:rsidRPr="00F24ADC" w:rsidRDefault="008B4357" w:rsidP="003A6C64">
      <w:pPr>
        <w:pStyle w:val="ListParagraph"/>
        <w:contextualSpacing w:val="0"/>
        <w:rPr>
          <w:b/>
          <w:szCs w:val="24"/>
        </w:rPr>
      </w:pPr>
    </w:p>
    <w:p w14:paraId="72CF9173" w14:textId="0085584F" w:rsidR="008B4357" w:rsidRPr="00286AF3" w:rsidRDefault="00176D13" w:rsidP="00500CC3">
      <w:pPr>
        <w:pStyle w:val="ListParagraph"/>
        <w:numPr>
          <w:ilvl w:val="0"/>
          <w:numId w:val="45"/>
        </w:numPr>
        <w:ind w:left="1560"/>
        <w:contextualSpacing w:val="0"/>
        <w:rPr>
          <w:szCs w:val="24"/>
        </w:rPr>
      </w:pPr>
      <w:r>
        <w:rPr>
          <w:b/>
          <w:szCs w:val="24"/>
        </w:rPr>
        <w:lastRenderedPageBreak/>
        <w:t xml:space="preserve">ensure </w:t>
      </w:r>
      <w:r w:rsidR="008B4357" w:rsidRPr="00F24ADC">
        <w:rPr>
          <w:b/>
          <w:szCs w:val="24"/>
        </w:rPr>
        <w:t>the root causes of human trafficking in NI are effectively addressed</w:t>
      </w:r>
      <w:r w:rsidR="00663A3B">
        <w:rPr>
          <w:b/>
          <w:szCs w:val="24"/>
        </w:rPr>
        <w:t xml:space="preserve">, and that </w:t>
      </w:r>
      <w:r w:rsidR="008B4357" w:rsidRPr="00663A3B">
        <w:rPr>
          <w:b/>
          <w:szCs w:val="24"/>
        </w:rPr>
        <w:t>specialised, accessible support in NI is sufficiently and promptly available for victims</w:t>
      </w:r>
      <w:r w:rsidR="005B79C0" w:rsidRPr="005B79C0">
        <w:t xml:space="preserve"> </w:t>
      </w:r>
      <w:r w:rsidR="005B79C0" w:rsidRPr="00663A3B">
        <w:rPr>
          <w:b/>
          <w:bCs/>
        </w:rPr>
        <w:t>a</w:t>
      </w:r>
      <w:r w:rsidR="005B79C0" w:rsidRPr="00663A3B">
        <w:rPr>
          <w:b/>
          <w:szCs w:val="24"/>
        </w:rPr>
        <w:t xml:space="preserve">nd adequately funded. </w:t>
      </w:r>
    </w:p>
    <w:p w14:paraId="5C5C172A" w14:textId="77777777" w:rsidR="00286AF3" w:rsidRPr="00176D13" w:rsidRDefault="00286AF3" w:rsidP="00500CC3">
      <w:pPr>
        <w:pStyle w:val="ListParagraph"/>
        <w:ind w:left="1560"/>
        <w:contextualSpacing w:val="0"/>
        <w:rPr>
          <w:szCs w:val="24"/>
        </w:rPr>
      </w:pPr>
    </w:p>
    <w:p w14:paraId="4C034BF9" w14:textId="3347F071" w:rsidR="00176D13" w:rsidRPr="00286AF3" w:rsidRDefault="00176D13" w:rsidP="00500CC3">
      <w:pPr>
        <w:pStyle w:val="ListParagraph"/>
        <w:numPr>
          <w:ilvl w:val="0"/>
          <w:numId w:val="45"/>
        </w:numPr>
        <w:ind w:left="1560"/>
        <w:contextualSpacing w:val="0"/>
        <w:rPr>
          <w:b/>
          <w:bCs/>
          <w:szCs w:val="24"/>
        </w:rPr>
      </w:pPr>
      <w:r w:rsidRPr="00286AF3">
        <w:rPr>
          <w:rStyle w:val="normaltextrun"/>
          <w:b/>
          <w:bCs/>
          <w:color w:val="000000"/>
          <w:shd w:val="clear" w:color="auto" w:fill="FFFFFF"/>
        </w:rPr>
        <w:t>promptly introduce legislation providing for Slavery and Trafficking Risk Orders in NI.</w:t>
      </w:r>
    </w:p>
    <w:p w14:paraId="6939A66B" w14:textId="77777777" w:rsidR="005B79C0" w:rsidRPr="005B79C0" w:rsidRDefault="005B79C0" w:rsidP="005B79C0">
      <w:pPr>
        <w:ind w:left="0"/>
        <w:rPr>
          <w:szCs w:val="24"/>
        </w:rPr>
      </w:pPr>
    </w:p>
    <w:p w14:paraId="4934344E" w14:textId="332D3A29" w:rsidR="00216353" w:rsidRPr="00216353" w:rsidRDefault="76B1237A" w:rsidP="00216353">
      <w:pPr>
        <w:pStyle w:val="ListParagraph"/>
        <w:numPr>
          <w:ilvl w:val="0"/>
          <w:numId w:val="45"/>
        </w:numPr>
        <w:ind w:left="1560"/>
        <w:rPr>
          <w:rFonts w:asciiTheme="majorHAnsi" w:eastAsiaTheme="majorEastAsia" w:hAnsiTheme="majorHAnsi" w:cstheme="majorBidi"/>
          <w:b/>
          <w:bCs/>
          <w:color w:val="FFC000"/>
          <w:lang w:val="en-US"/>
        </w:rPr>
      </w:pPr>
      <w:r w:rsidRPr="361AE552">
        <w:rPr>
          <w:b/>
          <w:bCs/>
        </w:rPr>
        <w:t>amend</w:t>
      </w:r>
      <w:r w:rsidR="004839A7">
        <w:rPr>
          <w:b/>
          <w:bCs/>
        </w:rPr>
        <w:t xml:space="preserve"> </w:t>
      </w:r>
      <w:r w:rsidR="008B4357" w:rsidRPr="00387B72">
        <w:rPr>
          <w:b/>
          <w:bCs/>
        </w:rPr>
        <w:t>the Illegal Migration Act 202</w:t>
      </w:r>
      <w:r w:rsidR="008B4357" w:rsidRPr="001863C0">
        <w:rPr>
          <w:b/>
          <w:bCs/>
        </w:rPr>
        <w:t xml:space="preserve">3 </w:t>
      </w:r>
      <w:r w:rsidR="62E15D9B" w:rsidRPr="361AE552">
        <w:rPr>
          <w:b/>
          <w:bCs/>
        </w:rPr>
        <w:t xml:space="preserve">to </w:t>
      </w:r>
      <w:r w:rsidR="62E15D9B" w:rsidRPr="233EB31C">
        <w:rPr>
          <w:b/>
          <w:bCs/>
        </w:rPr>
        <w:t xml:space="preserve">ensure </w:t>
      </w:r>
      <w:r w:rsidR="62E15D9B" w:rsidRPr="155C9310">
        <w:rPr>
          <w:b/>
          <w:bCs/>
        </w:rPr>
        <w:t xml:space="preserve">human rights </w:t>
      </w:r>
      <w:r w:rsidR="62E15D9B" w:rsidRPr="30B504DA">
        <w:rPr>
          <w:b/>
          <w:bCs/>
        </w:rPr>
        <w:t>complian</w:t>
      </w:r>
      <w:r w:rsidR="1D71BD8A" w:rsidRPr="30B504DA">
        <w:rPr>
          <w:b/>
          <w:bCs/>
        </w:rPr>
        <w:t>t</w:t>
      </w:r>
      <w:r w:rsidR="79665E42" w:rsidRPr="7ACD11C5">
        <w:rPr>
          <w:b/>
          <w:bCs/>
        </w:rPr>
        <w:t xml:space="preserve"> </w:t>
      </w:r>
      <w:r w:rsidR="008B4357" w:rsidRPr="00387B72">
        <w:rPr>
          <w:b/>
          <w:bCs/>
        </w:rPr>
        <w:t>support and assistance to potential victims of human trafficking</w:t>
      </w:r>
      <w:r w:rsidR="00CA1D8D">
        <w:rPr>
          <w:b/>
          <w:bCs/>
        </w:rPr>
        <w:t xml:space="preserve"> and no diminution of </w:t>
      </w:r>
      <w:r w:rsidR="00C242BB">
        <w:rPr>
          <w:b/>
          <w:bCs/>
        </w:rPr>
        <w:t>rights</w:t>
      </w:r>
      <w:r w:rsidR="001222D0">
        <w:rPr>
          <w:b/>
          <w:bCs/>
        </w:rPr>
        <w:t xml:space="preserve"> under domestic law in NI</w:t>
      </w:r>
      <w:r w:rsidR="0097102D">
        <w:rPr>
          <w:b/>
          <w:bCs/>
        </w:rPr>
        <w:t>,</w:t>
      </w:r>
      <w:r w:rsidR="00CA1D8D">
        <w:rPr>
          <w:b/>
          <w:bCs/>
        </w:rPr>
        <w:t xml:space="preserve"> in breach of Windsor Framework Article 2</w:t>
      </w:r>
      <w:r w:rsidR="00F63C7F">
        <w:rPr>
          <w:b/>
          <w:bCs/>
        </w:rPr>
        <w:t>.</w:t>
      </w:r>
      <w:r w:rsidR="008B4357">
        <w:rPr>
          <w:b/>
          <w:bCs/>
        </w:rPr>
        <w:t xml:space="preserve"> </w:t>
      </w:r>
    </w:p>
    <w:p w14:paraId="3C8B602D" w14:textId="77777777" w:rsidR="00216353" w:rsidRPr="00216353" w:rsidRDefault="00216353" w:rsidP="00216353">
      <w:pPr>
        <w:pStyle w:val="ListParagraph"/>
        <w:rPr>
          <w:rFonts w:asciiTheme="majorHAnsi" w:eastAsiaTheme="majorEastAsia" w:hAnsiTheme="majorHAnsi" w:cstheme="majorBidi"/>
          <w:b/>
          <w:bCs/>
          <w:color w:val="FFC000"/>
          <w:lang w:val="en-US"/>
        </w:rPr>
      </w:pPr>
    </w:p>
    <w:p w14:paraId="1AF54F86" w14:textId="77777777" w:rsidR="00216353" w:rsidRPr="00216353" w:rsidRDefault="00216353" w:rsidP="00216353">
      <w:pPr>
        <w:ind w:left="0"/>
        <w:rPr>
          <w:rFonts w:asciiTheme="majorHAnsi" w:eastAsiaTheme="majorEastAsia" w:hAnsiTheme="majorHAnsi" w:cstheme="majorBidi"/>
          <w:b/>
          <w:bCs/>
          <w:color w:val="FFC000"/>
          <w:lang w:val="en-US"/>
        </w:rPr>
      </w:pPr>
    </w:p>
    <w:p w14:paraId="5EFD03EB" w14:textId="09A21EC6" w:rsidR="004B7A8F" w:rsidRPr="004B7A8F" w:rsidRDefault="00C343CE" w:rsidP="00C76340">
      <w:pPr>
        <w:pStyle w:val="Heading1"/>
        <w:spacing w:before="0" w:after="240" w:line="288" w:lineRule="auto"/>
        <w:ind w:left="709" w:hanging="709"/>
      </w:pPr>
      <w:bookmarkStart w:id="44" w:name="_Toc156901016"/>
      <w:r>
        <w:t>9</w:t>
      </w:r>
      <w:r w:rsidR="00226B07">
        <w:t>.0</w:t>
      </w:r>
      <w:r w:rsidR="00226B07">
        <w:tab/>
      </w:r>
      <w:r w:rsidR="00226B07" w:rsidRPr="00587912">
        <w:t>A</w:t>
      </w:r>
      <w:r w:rsidR="00226B07">
        <w:t>rticle</w:t>
      </w:r>
      <w:r w:rsidR="00357CCD">
        <w:t>s 9, 10 and 11</w:t>
      </w:r>
      <w:r w:rsidR="00226B07">
        <w:t xml:space="preserve">– </w:t>
      </w:r>
      <w:r w:rsidR="00357CCD">
        <w:t xml:space="preserve">Liberty and </w:t>
      </w:r>
      <w:r w:rsidR="00504A08">
        <w:t>S</w:t>
      </w:r>
      <w:r w:rsidR="00357CCD">
        <w:t xml:space="preserve">ecurity of the </w:t>
      </w:r>
      <w:r w:rsidR="00504A08">
        <w:t>P</w:t>
      </w:r>
      <w:r w:rsidR="00357CCD">
        <w:t>erson</w:t>
      </w:r>
      <w:bookmarkEnd w:id="44"/>
    </w:p>
    <w:p w14:paraId="4FCD5432" w14:textId="77777777" w:rsidR="00495BC2" w:rsidRPr="00495BC2" w:rsidRDefault="00495BC2" w:rsidP="003A6C64">
      <w:pPr>
        <w:pStyle w:val="ListParagraph"/>
        <w:numPr>
          <w:ilvl w:val="0"/>
          <w:numId w:val="3"/>
        </w:numPr>
        <w:ind w:left="993" w:hanging="1004"/>
        <w:contextualSpacing w:val="0"/>
        <w:rPr>
          <w:vanish/>
        </w:rPr>
      </w:pPr>
    </w:p>
    <w:p w14:paraId="6411C922" w14:textId="77777777" w:rsidR="00495BC2" w:rsidRPr="00495BC2" w:rsidRDefault="00495BC2" w:rsidP="003A6C64">
      <w:pPr>
        <w:pStyle w:val="ListParagraph"/>
        <w:numPr>
          <w:ilvl w:val="0"/>
          <w:numId w:val="3"/>
        </w:numPr>
        <w:ind w:left="993" w:hanging="1004"/>
        <w:contextualSpacing w:val="0"/>
        <w:rPr>
          <w:vanish/>
        </w:rPr>
      </w:pPr>
    </w:p>
    <w:p w14:paraId="0A401C09" w14:textId="096E127B" w:rsidR="004C371F" w:rsidRDefault="00B04BB2" w:rsidP="00C76340">
      <w:pPr>
        <w:pStyle w:val="Heading2"/>
      </w:pPr>
      <w:bookmarkStart w:id="45" w:name="_Toc156901017"/>
      <w:r>
        <w:t>Definition of terrorism</w:t>
      </w:r>
      <w:bookmarkEnd w:id="45"/>
    </w:p>
    <w:p w14:paraId="0E601E23" w14:textId="77777777" w:rsidR="00DE10A1" w:rsidRPr="00DE10A1" w:rsidRDefault="00346324" w:rsidP="00AA39FA">
      <w:pPr>
        <w:pStyle w:val="ListParagraph"/>
        <w:numPr>
          <w:ilvl w:val="1"/>
          <w:numId w:val="24"/>
        </w:numPr>
        <w:ind w:left="851" w:hanging="851"/>
        <w:rPr>
          <w:bCs/>
        </w:rPr>
      </w:pPr>
      <w:r>
        <w:t>Recalling the previous recommendation,</w:t>
      </w:r>
      <w:r w:rsidR="007F3C64" w:rsidRPr="22E15799">
        <w:rPr>
          <w:vertAlign w:val="superscript"/>
        </w:rPr>
        <w:footnoteReference w:id="195"/>
      </w:r>
      <w:r>
        <w:t xml:space="preserve"> t</w:t>
      </w:r>
      <w:r w:rsidR="00477BCF">
        <w:t xml:space="preserve">he Counterterrorism and Border Security Act 2019 </w:t>
      </w:r>
      <w:r w:rsidR="00722CEA">
        <w:t xml:space="preserve">does not include </w:t>
      </w:r>
      <w:r w:rsidR="00C01ADB" w:rsidRPr="22E15799">
        <w:t xml:space="preserve">a definition of ‘hostile activity’ and </w:t>
      </w:r>
      <w:r w:rsidR="00722CEA" w:rsidRPr="22E15799">
        <w:t>moves</w:t>
      </w:r>
      <w:r w:rsidR="00722CEA" w:rsidRPr="00E92B96">
        <w:rPr>
          <w:bCs/>
        </w:rPr>
        <w:t xml:space="preserve"> </w:t>
      </w:r>
      <w:r w:rsidR="00C01ADB" w:rsidRPr="22E15799">
        <w:t>criminal law into private spaces.</w:t>
      </w:r>
      <w:r w:rsidR="00E92B96">
        <w:rPr>
          <w:rStyle w:val="FootnoteReference"/>
          <w:color w:val="000000"/>
        </w:rPr>
        <w:footnoteReference w:id="196"/>
      </w:r>
    </w:p>
    <w:p w14:paraId="3E38D4AE" w14:textId="21247318" w:rsidR="001A700C" w:rsidRPr="00E92B96" w:rsidRDefault="00E92B96" w:rsidP="00DE10A1">
      <w:pPr>
        <w:pStyle w:val="ListParagraph"/>
        <w:ind w:left="851"/>
        <w:rPr>
          <w:bCs/>
        </w:rPr>
      </w:pPr>
      <w:r>
        <w:rPr>
          <w:color w:val="000000"/>
        </w:rPr>
        <w:t xml:space="preserve"> </w:t>
      </w:r>
      <w:r w:rsidRPr="00E92B96">
        <w:rPr>
          <w:bCs/>
        </w:rPr>
        <w:t xml:space="preserve"> </w:t>
      </w:r>
    </w:p>
    <w:p w14:paraId="42F987E6" w14:textId="169168EF" w:rsidR="001C161A" w:rsidRPr="001C161A" w:rsidRDefault="00C01ADB" w:rsidP="00500CC3">
      <w:pPr>
        <w:pStyle w:val="ListParagraph"/>
        <w:numPr>
          <w:ilvl w:val="1"/>
          <w:numId w:val="24"/>
        </w:numPr>
        <w:ind w:left="851" w:hanging="851"/>
        <w:contextualSpacing w:val="0"/>
      </w:pPr>
      <w:r w:rsidRPr="22E15799">
        <w:t>In 2023, several counter-terrorism measures were introduced.</w:t>
      </w:r>
      <w:r w:rsidRPr="00387B3D">
        <w:rPr>
          <w:vertAlign w:val="superscript"/>
        </w:rPr>
        <w:footnoteReference w:id="197"/>
      </w:r>
      <w:r w:rsidRPr="001A700C">
        <w:rPr>
          <w:bCs/>
        </w:rPr>
        <w:t xml:space="preserve"> </w:t>
      </w:r>
      <w:r w:rsidR="00D977B5" w:rsidRPr="22E15799">
        <w:t>However,</w:t>
      </w:r>
      <w:r w:rsidRPr="001A700C">
        <w:rPr>
          <w:bCs/>
        </w:rPr>
        <w:t xml:space="preserve"> </w:t>
      </w:r>
      <w:r w:rsidR="00D977B5" w:rsidRPr="22E15799">
        <w:t>they do</w:t>
      </w:r>
      <w:r w:rsidRPr="22E15799">
        <w:t xml:space="preserve"> not address the definition of terrorism.</w:t>
      </w:r>
      <w:r w:rsidR="00A624FB">
        <w:rPr>
          <w:rStyle w:val="FootnoteReference"/>
        </w:rPr>
        <w:footnoteReference w:id="198"/>
      </w:r>
      <w:r w:rsidR="00C26766">
        <w:rPr>
          <w:bCs/>
        </w:rPr>
        <w:t xml:space="preserve"> </w:t>
      </w:r>
      <w:r w:rsidR="00E659AC" w:rsidRPr="22E15799">
        <w:t>Additionally, it was noted that “terrorism laws contain relatively little express reference to online activity or content</w:t>
      </w:r>
      <w:r w:rsidR="00E54445">
        <w:t>”</w:t>
      </w:r>
      <w:r w:rsidR="002B4F96">
        <w:t>.</w:t>
      </w:r>
      <w:r w:rsidR="00E659AC" w:rsidRPr="00387B3D">
        <w:rPr>
          <w:vertAlign w:val="superscript"/>
        </w:rPr>
        <w:footnoteReference w:id="199"/>
      </w:r>
    </w:p>
    <w:p w14:paraId="06FCD67B" w14:textId="77777777" w:rsidR="001C161A" w:rsidRPr="001C161A" w:rsidRDefault="001C161A" w:rsidP="00500CC3">
      <w:pPr>
        <w:pStyle w:val="ListParagraph"/>
        <w:ind w:left="851" w:hanging="851"/>
        <w:contextualSpacing w:val="0"/>
      </w:pPr>
    </w:p>
    <w:p w14:paraId="0E1A0566" w14:textId="67D37448" w:rsidR="00C01ADB" w:rsidRPr="001C161A" w:rsidRDefault="00C01ADB" w:rsidP="00500CC3">
      <w:pPr>
        <w:pStyle w:val="ListParagraph"/>
        <w:numPr>
          <w:ilvl w:val="1"/>
          <w:numId w:val="24"/>
        </w:numPr>
        <w:ind w:left="851" w:hanging="851"/>
        <w:contextualSpacing w:val="0"/>
      </w:pPr>
      <w:r w:rsidRPr="001C161A">
        <w:rPr>
          <w:b/>
        </w:rPr>
        <w:lastRenderedPageBreak/>
        <w:t xml:space="preserve">The Committee may wish </w:t>
      </w:r>
      <w:r w:rsidR="00E659AC">
        <w:rPr>
          <w:b/>
        </w:rPr>
        <w:t>to recommend that</w:t>
      </w:r>
      <w:r w:rsidRPr="001C161A">
        <w:rPr>
          <w:b/>
        </w:rPr>
        <w:t xml:space="preserve"> the UK </w:t>
      </w:r>
      <w:r w:rsidR="00E659AC">
        <w:rPr>
          <w:b/>
        </w:rPr>
        <w:t>takes effective steps</w:t>
      </w:r>
      <w:r w:rsidRPr="001C161A">
        <w:rPr>
          <w:b/>
        </w:rPr>
        <w:t xml:space="preserve"> to revise its broad definition of terrorism</w:t>
      </w:r>
      <w:r w:rsidR="00B66BCC">
        <w:rPr>
          <w:b/>
        </w:rPr>
        <w:t>, including in NI,</w:t>
      </w:r>
      <w:r w:rsidRPr="001C161A">
        <w:rPr>
          <w:b/>
        </w:rPr>
        <w:t xml:space="preserve"> </w:t>
      </w:r>
      <w:r w:rsidR="00926109">
        <w:rPr>
          <w:b/>
        </w:rPr>
        <w:t>including providing</w:t>
      </w:r>
      <w:r w:rsidR="00926109" w:rsidRPr="001C161A">
        <w:rPr>
          <w:b/>
        </w:rPr>
        <w:t xml:space="preserve"> </w:t>
      </w:r>
      <w:r w:rsidRPr="001C161A">
        <w:rPr>
          <w:b/>
        </w:rPr>
        <w:t>a definition of ‘hostile activity’</w:t>
      </w:r>
      <w:r w:rsidR="00B66BCC">
        <w:rPr>
          <w:b/>
        </w:rPr>
        <w:t xml:space="preserve"> and </w:t>
      </w:r>
      <w:r w:rsidR="00926109">
        <w:rPr>
          <w:b/>
        </w:rPr>
        <w:t xml:space="preserve">ensuring </w:t>
      </w:r>
      <w:r w:rsidR="00B66BCC">
        <w:rPr>
          <w:b/>
        </w:rPr>
        <w:t>consideration of online activity or content.</w:t>
      </w:r>
    </w:p>
    <w:p w14:paraId="25EA40F6" w14:textId="77777777" w:rsidR="00964266" w:rsidRDefault="00964266" w:rsidP="00964266">
      <w:pPr>
        <w:pStyle w:val="ListParagraph"/>
      </w:pPr>
    </w:p>
    <w:p w14:paraId="5FF7E78E" w14:textId="7E89A7DA" w:rsidR="00603E3E" w:rsidRDefault="00964266" w:rsidP="00BA3CC4">
      <w:pPr>
        <w:pStyle w:val="Heading2"/>
      </w:pPr>
      <w:bookmarkStart w:id="46" w:name="_Toc156901018"/>
      <w:r>
        <w:t>Powers of arrest</w:t>
      </w:r>
      <w:bookmarkEnd w:id="46"/>
    </w:p>
    <w:p w14:paraId="252C8A2E" w14:textId="318468A2" w:rsidR="00603E3E" w:rsidRDefault="00BC02A1" w:rsidP="00500CC3">
      <w:pPr>
        <w:pStyle w:val="ListParagraph"/>
        <w:numPr>
          <w:ilvl w:val="1"/>
          <w:numId w:val="24"/>
        </w:numPr>
        <w:ind w:left="851" w:hanging="851"/>
        <w:contextualSpacing w:val="0"/>
      </w:pPr>
      <w:r>
        <w:t>Considering the previous recommendation,</w:t>
      </w:r>
      <w:r w:rsidR="00603E3E" w:rsidRPr="00603E3E">
        <w:rPr>
          <w:vertAlign w:val="superscript"/>
        </w:rPr>
        <w:footnoteReference w:id="200"/>
      </w:r>
      <w:r w:rsidR="00603E3E" w:rsidRPr="00603E3E">
        <w:t xml:space="preserve"> </w:t>
      </w:r>
      <w:r>
        <w:t>t</w:t>
      </w:r>
      <w:r w:rsidR="00603E3E" w:rsidRPr="00603E3E">
        <w:t xml:space="preserve">here has been no progress in </w:t>
      </w:r>
      <w:r w:rsidR="00AE3FD1">
        <w:t xml:space="preserve">ensuring </w:t>
      </w:r>
      <w:r w:rsidR="00FD161E">
        <w:t>the principles of necessity and proportionality are embedded within arrest powers under section 41 of the Terrorism Act 2000</w:t>
      </w:r>
      <w:r w:rsidR="00EE3C15">
        <w:t>, including in decisions regarding bail</w:t>
      </w:r>
      <w:r w:rsidR="00603E3E" w:rsidRPr="00603E3E">
        <w:t>.</w:t>
      </w:r>
    </w:p>
    <w:p w14:paraId="5730FE1B" w14:textId="77777777" w:rsidR="00603E3E" w:rsidRDefault="00603E3E" w:rsidP="00500CC3">
      <w:pPr>
        <w:ind w:left="851" w:hanging="851"/>
      </w:pPr>
    </w:p>
    <w:p w14:paraId="1231036B" w14:textId="668C7DC2" w:rsidR="000A1D0A" w:rsidRDefault="006B20BD" w:rsidP="00500CC3">
      <w:pPr>
        <w:pStyle w:val="ListParagraph"/>
        <w:numPr>
          <w:ilvl w:val="1"/>
          <w:numId w:val="24"/>
        </w:numPr>
        <w:ind w:left="851" w:hanging="851"/>
        <w:contextualSpacing w:val="0"/>
      </w:pPr>
      <w:r w:rsidRPr="001A79F7">
        <w:rPr>
          <w:color w:val="000000"/>
        </w:rPr>
        <w:t xml:space="preserve">NI has a disproportionately high number of arrests </w:t>
      </w:r>
      <w:r w:rsidRPr="001A79F7">
        <w:t>made under section 41 of the Terrorism Act 2000 compared to the rest of the UK.</w:t>
      </w:r>
      <w:r w:rsidRPr="001A79F7">
        <w:rPr>
          <w:rStyle w:val="FootnoteReference"/>
        </w:rPr>
        <w:footnoteReference w:id="201"/>
      </w:r>
      <w:r>
        <w:t xml:space="preserve"> </w:t>
      </w:r>
      <w:r w:rsidR="000A1D0A" w:rsidRPr="001A79F7">
        <w:rPr>
          <w:color w:val="000000"/>
        </w:rPr>
        <w:t>In 2022/2023, 114 individuals were arrested under section 41 of the Terrorism Act 2000 in NI.</w:t>
      </w:r>
      <w:r w:rsidR="000A1D0A" w:rsidRPr="001A79F7">
        <w:rPr>
          <w:rStyle w:val="FootnoteReference"/>
          <w:color w:val="000000"/>
        </w:rPr>
        <w:footnoteReference w:id="202"/>
      </w:r>
      <w:r w:rsidR="000A1D0A" w:rsidRPr="001A79F7">
        <w:rPr>
          <w:color w:val="000000"/>
        </w:rPr>
        <w:t xml:space="preserve">  Of the 114 individuals arrested, 20 were subsequently charged.</w:t>
      </w:r>
      <w:r w:rsidR="000A1D0A" w:rsidRPr="001A79F7">
        <w:rPr>
          <w:rStyle w:val="FootnoteReference"/>
          <w:color w:val="000000"/>
        </w:rPr>
        <w:footnoteReference w:id="203"/>
      </w:r>
      <w:r w:rsidR="000A1D0A" w:rsidRPr="001A79F7">
        <w:rPr>
          <w:color w:val="000000"/>
        </w:rPr>
        <w:t xml:space="preserve"> </w:t>
      </w:r>
    </w:p>
    <w:p w14:paraId="7D5CE926" w14:textId="77777777" w:rsidR="000A1D0A" w:rsidRDefault="000A1D0A" w:rsidP="00500CC3">
      <w:pPr>
        <w:pStyle w:val="ListParagraph"/>
        <w:ind w:left="851" w:hanging="851"/>
      </w:pPr>
    </w:p>
    <w:p w14:paraId="3A001D79" w14:textId="7D65D801" w:rsidR="00EE3C15" w:rsidRPr="00220F13" w:rsidRDefault="000A1D0A" w:rsidP="00500CC3">
      <w:pPr>
        <w:pStyle w:val="ListParagraph"/>
        <w:numPr>
          <w:ilvl w:val="1"/>
          <w:numId w:val="24"/>
        </w:numPr>
        <w:ind w:left="851" w:hanging="851"/>
        <w:contextualSpacing w:val="0"/>
      </w:pPr>
      <w:r w:rsidRPr="001A79F7">
        <w:rPr>
          <w:b/>
          <w:bCs/>
        </w:rPr>
        <w:t xml:space="preserve">The Committee may </w:t>
      </w:r>
      <w:r w:rsidR="00105173">
        <w:rPr>
          <w:b/>
          <w:bCs/>
        </w:rPr>
        <w:t>wish to recommend</w:t>
      </w:r>
      <w:r w:rsidRPr="00C30037">
        <w:rPr>
          <w:b/>
          <w:bCs/>
        </w:rPr>
        <w:t xml:space="preserve"> </w:t>
      </w:r>
      <w:r w:rsidR="00105173">
        <w:rPr>
          <w:b/>
          <w:bCs/>
        </w:rPr>
        <w:t>that</w:t>
      </w:r>
      <w:r w:rsidRPr="00C30037">
        <w:rPr>
          <w:b/>
          <w:bCs/>
        </w:rPr>
        <w:t xml:space="preserve"> </w:t>
      </w:r>
      <w:r w:rsidR="00A92517">
        <w:rPr>
          <w:b/>
          <w:bCs/>
        </w:rPr>
        <w:t xml:space="preserve">the </w:t>
      </w:r>
      <w:r w:rsidRPr="001A79F7">
        <w:rPr>
          <w:b/>
          <w:bCs/>
        </w:rPr>
        <w:t xml:space="preserve">UK </w:t>
      </w:r>
      <w:r w:rsidR="00A92517">
        <w:rPr>
          <w:b/>
          <w:bCs/>
        </w:rPr>
        <w:t>takes effective steps</w:t>
      </w:r>
      <w:r w:rsidR="00A6552B">
        <w:rPr>
          <w:b/>
          <w:bCs/>
        </w:rPr>
        <w:t xml:space="preserve"> to</w:t>
      </w:r>
      <w:r w:rsidR="00040C75">
        <w:rPr>
          <w:b/>
          <w:bCs/>
        </w:rPr>
        <w:t>:</w:t>
      </w:r>
    </w:p>
    <w:p w14:paraId="31778EC3" w14:textId="77777777" w:rsidR="00EE3C15" w:rsidRPr="00220F13" w:rsidRDefault="00EE3C15" w:rsidP="00220F13">
      <w:pPr>
        <w:pStyle w:val="ListParagraph"/>
        <w:rPr>
          <w:b/>
        </w:rPr>
      </w:pPr>
    </w:p>
    <w:p w14:paraId="2CA320B0" w14:textId="77777777" w:rsidR="00D03ABE" w:rsidRPr="00D03ABE" w:rsidRDefault="00040C75" w:rsidP="00D03ABE">
      <w:pPr>
        <w:pStyle w:val="ListParagraph"/>
        <w:numPr>
          <w:ilvl w:val="0"/>
          <w:numId w:val="69"/>
        </w:numPr>
        <w:ind w:left="1560"/>
        <w:contextualSpacing w:val="0"/>
      </w:pPr>
      <w:r>
        <w:rPr>
          <w:b/>
          <w:bCs/>
        </w:rPr>
        <w:t xml:space="preserve">ensure </w:t>
      </w:r>
      <w:r w:rsidR="000A1D0A">
        <w:rPr>
          <w:b/>
        </w:rPr>
        <w:t xml:space="preserve">the </w:t>
      </w:r>
      <w:r w:rsidR="000A1D0A" w:rsidRPr="007D7922">
        <w:rPr>
          <w:b/>
        </w:rPr>
        <w:t>principles of necessity and proportionality</w:t>
      </w:r>
      <w:r w:rsidR="000D1DC4">
        <w:rPr>
          <w:b/>
        </w:rPr>
        <w:t xml:space="preserve"> </w:t>
      </w:r>
      <w:r w:rsidR="00B16ED4">
        <w:rPr>
          <w:b/>
        </w:rPr>
        <w:t>are embedded within section 41 of the Terrorism Act 2000</w:t>
      </w:r>
      <w:r w:rsidR="00EE3C15">
        <w:rPr>
          <w:b/>
        </w:rPr>
        <w:t>.</w:t>
      </w:r>
    </w:p>
    <w:p w14:paraId="25E500D9" w14:textId="77777777" w:rsidR="00D03ABE" w:rsidRPr="00D03ABE" w:rsidRDefault="00D03ABE" w:rsidP="00D03ABE">
      <w:pPr>
        <w:pStyle w:val="ListParagraph"/>
        <w:ind w:left="1560"/>
        <w:contextualSpacing w:val="0"/>
      </w:pPr>
    </w:p>
    <w:p w14:paraId="03482125" w14:textId="01261292" w:rsidR="00A83B0B" w:rsidRPr="00DA5F1E" w:rsidRDefault="000D1DC4" w:rsidP="00D03ABE">
      <w:pPr>
        <w:pStyle w:val="ListParagraph"/>
        <w:numPr>
          <w:ilvl w:val="0"/>
          <w:numId w:val="69"/>
        </w:numPr>
        <w:ind w:left="1560"/>
        <w:contextualSpacing w:val="0"/>
      </w:pPr>
      <w:r w:rsidRPr="00D03ABE">
        <w:rPr>
          <w:b/>
          <w:bCs/>
        </w:rPr>
        <w:t xml:space="preserve">enable bail </w:t>
      </w:r>
      <w:r w:rsidR="00644DFC" w:rsidRPr="00D03ABE">
        <w:rPr>
          <w:b/>
          <w:bCs/>
        </w:rPr>
        <w:t>to be available for persons arrested under the Terrorism Act 2000 and ensures bail is granted for such persons when appropriate, following consideration of public safety</w:t>
      </w:r>
      <w:r w:rsidR="00B33F72" w:rsidRPr="00D03ABE">
        <w:rPr>
          <w:b/>
          <w:bCs/>
        </w:rPr>
        <w:t>, including in NI.</w:t>
      </w:r>
    </w:p>
    <w:p w14:paraId="347E405D" w14:textId="77777777" w:rsidR="00DA5F1E" w:rsidRPr="00C2011D" w:rsidRDefault="00DA5F1E" w:rsidP="00DA5F1E">
      <w:pPr>
        <w:ind w:left="0"/>
      </w:pPr>
    </w:p>
    <w:p w14:paraId="73F3BD2A" w14:textId="4FB8CDFE" w:rsidR="000A1D0A" w:rsidRPr="00A83B0B" w:rsidRDefault="00A83B0B" w:rsidP="00A83B0B">
      <w:pPr>
        <w:pStyle w:val="Heading2"/>
      </w:pPr>
      <w:bookmarkStart w:id="47" w:name="_Toc156901019"/>
      <w:r>
        <w:lastRenderedPageBreak/>
        <w:t>F</w:t>
      </w:r>
      <w:r w:rsidRPr="00AD0862">
        <w:t>ine d</w:t>
      </w:r>
      <w:r>
        <w:t>e</w:t>
      </w:r>
      <w:r w:rsidRPr="00AD0862">
        <w:t>fault</w:t>
      </w:r>
      <w:bookmarkEnd w:id="47"/>
    </w:p>
    <w:p w14:paraId="01DFB3E6" w14:textId="2F811692" w:rsidR="000A1D0A" w:rsidRPr="006442DF" w:rsidRDefault="000A1D0A" w:rsidP="00500CC3">
      <w:pPr>
        <w:pStyle w:val="ListParagraph"/>
        <w:numPr>
          <w:ilvl w:val="1"/>
          <w:numId w:val="24"/>
        </w:numPr>
        <w:ind w:left="851" w:hanging="851"/>
        <w:contextualSpacing w:val="0"/>
      </w:pPr>
      <w:r w:rsidRPr="006442DF">
        <w:rPr>
          <w:color w:val="000000"/>
        </w:rPr>
        <w:t>In 2022/2023, there were 109 receptions for fine default in NI.</w:t>
      </w:r>
      <w:r>
        <w:rPr>
          <w:rStyle w:val="FootnoteReference"/>
          <w:color w:val="000000"/>
        </w:rPr>
        <w:footnoteReference w:id="204"/>
      </w:r>
      <w:r w:rsidRPr="006442DF">
        <w:rPr>
          <w:color w:val="000000"/>
        </w:rPr>
        <w:t xml:space="preserve"> NI has the highest rate of personal debt in the UK</w:t>
      </w:r>
      <w:r w:rsidR="006442DF" w:rsidRPr="006442DF">
        <w:rPr>
          <w:color w:val="000000"/>
        </w:rPr>
        <w:t>,</w:t>
      </w:r>
      <w:r w:rsidRPr="00B476D2">
        <w:rPr>
          <w:vertAlign w:val="superscript"/>
        </w:rPr>
        <w:footnoteReference w:id="205"/>
      </w:r>
      <w:r w:rsidR="006442DF" w:rsidRPr="006442DF">
        <w:rPr>
          <w:color w:val="000000"/>
        </w:rPr>
        <w:t xml:space="preserve"> which increases the chance of potential fine default.</w:t>
      </w:r>
      <w:r w:rsidR="006442DF">
        <w:rPr>
          <w:rStyle w:val="FootnoteReference"/>
          <w:color w:val="000000"/>
        </w:rPr>
        <w:footnoteReference w:id="206"/>
      </w:r>
      <w:r w:rsidRPr="006442DF">
        <w:rPr>
          <w:color w:val="000000"/>
        </w:rPr>
        <w:t xml:space="preserve"> </w:t>
      </w:r>
    </w:p>
    <w:p w14:paraId="3128AD3D" w14:textId="77777777" w:rsidR="006442DF" w:rsidRPr="00AD0862" w:rsidRDefault="006442DF" w:rsidP="00500CC3">
      <w:pPr>
        <w:pStyle w:val="ListParagraph"/>
        <w:ind w:left="851" w:hanging="851"/>
        <w:contextualSpacing w:val="0"/>
      </w:pPr>
    </w:p>
    <w:p w14:paraId="40C96AB5" w14:textId="2271A269" w:rsidR="000A1D0A" w:rsidRPr="00A83B0B" w:rsidRDefault="003A6762" w:rsidP="00500CC3">
      <w:pPr>
        <w:pStyle w:val="ListParagraph"/>
        <w:numPr>
          <w:ilvl w:val="1"/>
          <w:numId w:val="24"/>
        </w:numPr>
        <w:ind w:left="851" w:hanging="851"/>
        <w:contextualSpacing w:val="0"/>
      </w:pPr>
      <w:r>
        <w:rPr>
          <w:rFonts w:eastAsia="Verdana" w:cs="Verdana"/>
          <w:color w:val="000000"/>
        </w:rPr>
        <w:t>In 2018, the</w:t>
      </w:r>
      <w:r w:rsidR="00A401C8">
        <w:rPr>
          <w:rFonts w:eastAsia="Verdana" w:cs="Verdana"/>
          <w:color w:val="000000"/>
        </w:rPr>
        <w:t xml:space="preserve"> </w:t>
      </w:r>
      <w:r w:rsidR="00A401C8" w:rsidRPr="00A83B0B">
        <w:rPr>
          <w:rFonts w:eastAsia="Verdana" w:cs="Verdana"/>
          <w:color w:val="000000"/>
        </w:rPr>
        <w:t>Fine Collection Service became operational within NI Courts and Tribunal Services</w:t>
      </w:r>
      <w:r w:rsidR="000A68F0">
        <w:rPr>
          <w:rFonts w:eastAsia="Verdana" w:cs="Verdana"/>
          <w:color w:val="000000"/>
        </w:rPr>
        <w:t>.</w:t>
      </w:r>
      <w:r w:rsidR="006B712B">
        <w:rPr>
          <w:rStyle w:val="FootnoteReference"/>
          <w:rFonts w:eastAsia="Verdana" w:cs="Verdana"/>
          <w:color w:val="000000"/>
        </w:rPr>
        <w:footnoteReference w:id="207"/>
      </w:r>
      <w:r w:rsidR="006B712B">
        <w:rPr>
          <w:rFonts w:eastAsia="Verdana" w:cs="Verdana"/>
          <w:color w:val="000000"/>
        </w:rPr>
        <w:t xml:space="preserve"> </w:t>
      </w:r>
      <w:r w:rsidR="000A68F0">
        <w:rPr>
          <w:rFonts w:eastAsia="Verdana" w:cs="Verdana"/>
          <w:color w:val="000000"/>
        </w:rPr>
        <w:t>It has</w:t>
      </w:r>
      <w:r w:rsidR="00A401C8">
        <w:rPr>
          <w:rFonts w:eastAsia="Verdana" w:cs="Verdana"/>
          <w:color w:val="000000"/>
        </w:rPr>
        <w:t xml:space="preserve"> powers to collect and enforce outstanding financial penalties, </w:t>
      </w:r>
      <w:r w:rsidR="000A68F0">
        <w:rPr>
          <w:rFonts w:eastAsia="Verdana" w:cs="Verdana"/>
          <w:color w:val="000000"/>
        </w:rPr>
        <w:t xml:space="preserve">however </w:t>
      </w:r>
      <w:r w:rsidR="00DB52DD" w:rsidRPr="00A83B0B">
        <w:rPr>
          <w:rFonts w:eastAsia="Verdana" w:cs="Verdana"/>
          <w:color w:val="000000"/>
        </w:rPr>
        <w:t>imprisonment for fine default continues</w:t>
      </w:r>
      <w:r w:rsidR="00DB52DD">
        <w:rPr>
          <w:rFonts w:eastAsia="Verdana" w:cs="Verdana"/>
          <w:color w:val="000000"/>
        </w:rPr>
        <w:t>.</w:t>
      </w:r>
      <w:r w:rsidR="00A401C8">
        <w:rPr>
          <w:rFonts w:eastAsia="Verdana" w:cs="Verdana"/>
          <w:color w:val="000000"/>
        </w:rPr>
        <w:t xml:space="preserve"> </w:t>
      </w:r>
    </w:p>
    <w:p w14:paraId="0A0F79A6" w14:textId="77777777" w:rsidR="000A1D0A" w:rsidRPr="00A83B0B" w:rsidRDefault="000A1D0A" w:rsidP="00500CC3">
      <w:pPr>
        <w:pStyle w:val="ListParagraph"/>
        <w:ind w:left="851" w:hanging="851"/>
        <w:rPr>
          <w:b/>
        </w:rPr>
      </w:pPr>
    </w:p>
    <w:p w14:paraId="598CDBD4" w14:textId="549A911C" w:rsidR="000A1D0A" w:rsidRPr="00A83B0B" w:rsidRDefault="000A1D0A" w:rsidP="00500CC3">
      <w:pPr>
        <w:pStyle w:val="ListParagraph"/>
        <w:numPr>
          <w:ilvl w:val="1"/>
          <w:numId w:val="24"/>
        </w:numPr>
        <w:ind w:left="851" w:hanging="851"/>
        <w:contextualSpacing w:val="0"/>
      </w:pPr>
      <w:r w:rsidRPr="00AD0862">
        <w:rPr>
          <w:b/>
        </w:rPr>
        <w:t xml:space="preserve">The Committee may wish to </w:t>
      </w:r>
      <w:r w:rsidR="00CE6950">
        <w:rPr>
          <w:b/>
        </w:rPr>
        <w:t>recommend that</w:t>
      </w:r>
      <w:r w:rsidR="00CE6950" w:rsidRPr="00AD0862">
        <w:rPr>
          <w:b/>
        </w:rPr>
        <w:t xml:space="preserve"> </w:t>
      </w:r>
      <w:r w:rsidRPr="00AD0862">
        <w:rPr>
          <w:b/>
        </w:rPr>
        <w:t xml:space="preserve">the UK </w:t>
      </w:r>
      <w:r w:rsidR="00A6552B">
        <w:rPr>
          <w:b/>
        </w:rPr>
        <w:t xml:space="preserve">takes effective steps to </w:t>
      </w:r>
      <w:r w:rsidRPr="00AD0862">
        <w:rPr>
          <w:b/>
        </w:rPr>
        <w:t>end imprisonment for fine default</w:t>
      </w:r>
      <w:r>
        <w:rPr>
          <w:b/>
        </w:rPr>
        <w:t xml:space="preserve"> in NI</w:t>
      </w:r>
      <w:r w:rsidR="009164F2">
        <w:rPr>
          <w:b/>
        </w:rPr>
        <w:t xml:space="preserve"> and </w:t>
      </w:r>
      <w:r w:rsidR="0008365A" w:rsidRPr="0008365A">
        <w:rPr>
          <w:b/>
        </w:rPr>
        <w:t xml:space="preserve">that alternative strategies are </w:t>
      </w:r>
      <w:r w:rsidR="0008365A" w:rsidRPr="00220F13">
        <w:rPr>
          <w:b/>
        </w:rPr>
        <w:t xml:space="preserve">promptly </w:t>
      </w:r>
      <w:r w:rsidR="0008365A" w:rsidRPr="00220F13">
        <w:rPr>
          <w:b/>
          <w:color w:val="000000"/>
        </w:rPr>
        <w:t>developed, implemented, and monitored, including community interventions and support services for actual or potential fine defaulters</w:t>
      </w:r>
      <w:r w:rsidR="00C3375C">
        <w:rPr>
          <w:b/>
        </w:rPr>
        <w:t>.</w:t>
      </w:r>
      <w:r>
        <w:rPr>
          <w:b/>
        </w:rPr>
        <w:t xml:space="preserve"> </w:t>
      </w:r>
    </w:p>
    <w:p w14:paraId="04DCD9DD" w14:textId="77777777" w:rsidR="000A1D0A" w:rsidRDefault="000A1D0A" w:rsidP="00B95B3D">
      <w:pPr>
        <w:pStyle w:val="ListParagraph"/>
      </w:pPr>
    </w:p>
    <w:p w14:paraId="67C53D29" w14:textId="6E75EF93" w:rsidR="000A1D0A" w:rsidRDefault="000A1D0A" w:rsidP="00DB52DD">
      <w:pPr>
        <w:pStyle w:val="Heading2"/>
      </w:pPr>
      <w:bookmarkStart w:id="48" w:name="_Toc156901020"/>
      <w:r w:rsidRPr="0004248E">
        <w:t>Imprisonment of children with adults</w:t>
      </w:r>
      <w:bookmarkEnd w:id="48"/>
    </w:p>
    <w:p w14:paraId="4A7EAA38" w14:textId="40C9DD2B" w:rsidR="000A1D0A" w:rsidRPr="00B95B3D" w:rsidRDefault="000A1D0A" w:rsidP="00500CC3">
      <w:pPr>
        <w:pStyle w:val="ListParagraph"/>
        <w:numPr>
          <w:ilvl w:val="1"/>
          <w:numId w:val="24"/>
        </w:numPr>
        <w:ind w:left="851" w:hanging="851"/>
        <w:contextualSpacing w:val="0"/>
      </w:pPr>
      <w:r>
        <w:t xml:space="preserve">An administrative </w:t>
      </w:r>
      <w:r w:rsidRPr="00941928">
        <w:rPr>
          <w:rFonts w:cs="Helvetica"/>
          <w:lang w:val="en"/>
        </w:rPr>
        <w:t xml:space="preserve">scheme </w:t>
      </w:r>
      <w:r>
        <w:rPr>
          <w:rFonts w:cs="Helvetica"/>
          <w:lang w:val="en"/>
        </w:rPr>
        <w:t>prevents</w:t>
      </w:r>
      <w:r w:rsidRPr="00941928">
        <w:rPr>
          <w:rFonts w:cs="Helvetica"/>
          <w:lang w:val="en"/>
        </w:rPr>
        <w:t xml:space="preserve"> </w:t>
      </w:r>
      <w:r w:rsidRPr="00AD0862">
        <w:t xml:space="preserve">offenders aged 15 to 17 </w:t>
      </w:r>
      <w:r w:rsidR="00F84551">
        <w:t xml:space="preserve">years old </w:t>
      </w:r>
      <w:r>
        <w:t>being</w:t>
      </w:r>
      <w:r w:rsidRPr="00AD0862">
        <w:t xml:space="preserve"> detained with young adults aged 18 to 21</w:t>
      </w:r>
      <w:r w:rsidR="00F84551">
        <w:t xml:space="preserve"> years old</w:t>
      </w:r>
      <w:r w:rsidR="00C572AD">
        <w:t>.</w:t>
      </w:r>
      <w:r>
        <w:t xml:space="preserve"> However, it is still legally permissible</w:t>
      </w:r>
      <w:r w:rsidR="00F84551">
        <w:t xml:space="preserve"> for children to be imprisoned with young adults</w:t>
      </w:r>
      <w:r>
        <w:t>.</w:t>
      </w:r>
      <w:r>
        <w:rPr>
          <w:rStyle w:val="FootnoteReference"/>
        </w:rPr>
        <w:footnoteReference w:id="208"/>
      </w:r>
      <w:r w:rsidR="00BE6684">
        <w:t xml:space="preserve"> </w:t>
      </w:r>
      <w:r w:rsidR="00B84B04">
        <w:rPr>
          <w:lang w:val="en-US"/>
        </w:rPr>
        <w:t xml:space="preserve">The necessary legislative change that has been committed </w:t>
      </w:r>
      <w:r w:rsidR="00AA0F34">
        <w:rPr>
          <w:lang w:val="en-US"/>
        </w:rPr>
        <w:t>was hindered by the suspension of the NI Executive and NI Assembly</w:t>
      </w:r>
      <w:r w:rsidR="007F7936">
        <w:rPr>
          <w:lang w:val="en-US"/>
        </w:rPr>
        <w:t>.</w:t>
      </w:r>
      <w:r w:rsidR="00B5585D" w:rsidRPr="00B60D93">
        <w:rPr>
          <w:vertAlign w:val="superscript"/>
          <w:lang w:val="en-US"/>
        </w:rPr>
        <w:footnoteReference w:id="209"/>
      </w:r>
      <w:r w:rsidR="00B5585D">
        <w:t xml:space="preserve"> </w:t>
      </w:r>
      <w:r w:rsidRPr="00BE6684">
        <w:rPr>
          <w:lang w:val="en-US"/>
        </w:rPr>
        <w:t xml:space="preserve"> </w:t>
      </w:r>
    </w:p>
    <w:p w14:paraId="7854F910" w14:textId="77777777" w:rsidR="000A1D0A" w:rsidRPr="00B95B3D" w:rsidRDefault="000A1D0A" w:rsidP="00500CC3">
      <w:pPr>
        <w:pStyle w:val="ListParagraph"/>
        <w:ind w:left="851" w:hanging="851"/>
        <w:rPr>
          <w:b/>
        </w:rPr>
      </w:pPr>
    </w:p>
    <w:p w14:paraId="2D75E2FC" w14:textId="0D4D1A64" w:rsidR="000A1D0A" w:rsidRPr="00B95B3D" w:rsidRDefault="000A1D0A" w:rsidP="22E15799">
      <w:pPr>
        <w:pStyle w:val="ListParagraph"/>
        <w:numPr>
          <w:ilvl w:val="1"/>
          <w:numId w:val="24"/>
        </w:numPr>
        <w:ind w:left="851" w:hanging="851"/>
      </w:pPr>
      <w:r w:rsidRPr="22E15799">
        <w:rPr>
          <w:b/>
          <w:bCs/>
        </w:rPr>
        <w:t xml:space="preserve">The Committee may wish to </w:t>
      </w:r>
      <w:r w:rsidR="00CE6950" w:rsidRPr="22E15799">
        <w:rPr>
          <w:b/>
          <w:bCs/>
        </w:rPr>
        <w:t xml:space="preserve">recommend that </w:t>
      </w:r>
      <w:r w:rsidR="00C97994">
        <w:rPr>
          <w:b/>
          <w:bCs/>
        </w:rPr>
        <w:t>the UK</w:t>
      </w:r>
      <w:r w:rsidRPr="22E15799">
        <w:rPr>
          <w:b/>
          <w:bCs/>
        </w:rPr>
        <w:t xml:space="preserve"> </w:t>
      </w:r>
      <w:r w:rsidR="00B97B9E" w:rsidRPr="22E15799">
        <w:rPr>
          <w:b/>
          <w:bCs/>
        </w:rPr>
        <w:t xml:space="preserve">takes effective steps to </w:t>
      </w:r>
      <w:r w:rsidR="00290894" w:rsidRPr="22E15799">
        <w:rPr>
          <w:b/>
          <w:bCs/>
        </w:rPr>
        <w:t xml:space="preserve">promptly </w:t>
      </w:r>
      <w:r w:rsidRPr="22E15799">
        <w:rPr>
          <w:b/>
          <w:bCs/>
          <w:lang w:val="en-US"/>
        </w:rPr>
        <w:t xml:space="preserve">introduce legislation to remove the legal basis for the imprisonment of children alongside adults in </w:t>
      </w:r>
      <w:r w:rsidR="005D0F85" w:rsidRPr="22E15799">
        <w:rPr>
          <w:b/>
          <w:bCs/>
          <w:lang w:val="en-US"/>
        </w:rPr>
        <w:t>NI</w:t>
      </w:r>
      <w:r w:rsidR="00C3375C" w:rsidRPr="22E15799">
        <w:rPr>
          <w:b/>
          <w:bCs/>
        </w:rPr>
        <w:t>.</w:t>
      </w:r>
    </w:p>
    <w:p w14:paraId="70AAAC50" w14:textId="77777777" w:rsidR="000A1D0A" w:rsidRDefault="000A1D0A" w:rsidP="005D0F85"/>
    <w:p w14:paraId="247A816B" w14:textId="75FCC9CB" w:rsidR="000A1D0A" w:rsidRDefault="00B95B3D" w:rsidP="005D0F85">
      <w:pPr>
        <w:pStyle w:val="Heading2"/>
      </w:pPr>
      <w:bookmarkStart w:id="49" w:name="_Toc156901021"/>
      <w:r>
        <w:lastRenderedPageBreak/>
        <w:t xml:space="preserve">Remand of </w:t>
      </w:r>
      <w:r w:rsidR="00600252">
        <w:t>c</w:t>
      </w:r>
      <w:r>
        <w:t>hildren</w:t>
      </w:r>
      <w:bookmarkEnd w:id="49"/>
    </w:p>
    <w:p w14:paraId="6F1F7D19" w14:textId="77777777" w:rsidR="00B12A1B" w:rsidRDefault="003F257B" w:rsidP="00500CC3">
      <w:pPr>
        <w:pStyle w:val="ListParagraph"/>
        <w:numPr>
          <w:ilvl w:val="1"/>
          <w:numId w:val="24"/>
        </w:numPr>
        <w:ind w:left="851" w:hanging="851"/>
        <w:contextualSpacing w:val="0"/>
      </w:pPr>
      <w:r>
        <w:t>Recalling the previous recommendation,</w:t>
      </w:r>
      <w:r w:rsidR="008C0022">
        <w:rPr>
          <w:rStyle w:val="FootnoteReference"/>
        </w:rPr>
        <w:footnoteReference w:id="210"/>
      </w:r>
      <w:r>
        <w:t xml:space="preserve"> i</w:t>
      </w:r>
      <w:r w:rsidR="00161661">
        <w:t>n 2021/2022, there were 42 remand omissions to the Juvenile Justice Centre in NI.</w:t>
      </w:r>
      <w:r w:rsidR="00161661">
        <w:rPr>
          <w:rStyle w:val="FootnoteReference"/>
        </w:rPr>
        <w:footnoteReference w:id="211"/>
      </w:r>
    </w:p>
    <w:p w14:paraId="5C23E5C2" w14:textId="05DBD579" w:rsidR="00B12A1B" w:rsidRDefault="00161661" w:rsidP="00500CC3">
      <w:pPr>
        <w:pStyle w:val="ListParagraph"/>
        <w:ind w:left="851" w:hanging="851"/>
        <w:contextualSpacing w:val="0"/>
      </w:pPr>
      <w:r>
        <w:t xml:space="preserve"> </w:t>
      </w:r>
    </w:p>
    <w:p w14:paraId="646E098C" w14:textId="01572165" w:rsidR="00BE339B" w:rsidRPr="00CB14C7" w:rsidRDefault="00BE339B" w:rsidP="00500CC3">
      <w:pPr>
        <w:pStyle w:val="ListParagraph"/>
        <w:numPr>
          <w:ilvl w:val="1"/>
          <w:numId w:val="24"/>
        </w:numPr>
        <w:ind w:left="851" w:hanging="851"/>
        <w:contextualSpacing w:val="0"/>
      </w:pPr>
      <w:r>
        <w:t xml:space="preserve">In 2020, a commitment was made to </w:t>
      </w:r>
      <w:r w:rsidR="00B12A1B" w:rsidRPr="007478BB">
        <w:rPr>
          <w:color w:val="000000"/>
        </w:rPr>
        <w:t>“</w:t>
      </w:r>
      <w:r w:rsidR="00B12A1B" w:rsidRPr="007478BB">
        <w:t>strengthen the right to bail for children and introduce specific conditions which must be met before a child can be remanded into custody, with a view to ensuring that custody is used as a last resort, in line with our international obligations”.</w:t>
      </w:r>
      <w:r w:rsidR="00B12A1B" w:rsidRPr="007478BB">
        <w:rPr>
          <w:rStyle w:val="Heading2Char"/>
          <w:b w:val="0"/>
          <w:sz w:val="24"/>
          <w:szCs w:val="24"/>
          <w:vertAlign w:val="superscript"/>
        </w:rPr>
        <w:footnoteReference w:id="212"/>
      </w:r>
      <w:r w:rsidR="00B12A1B">
        <w:t xml:space="preserve"> However, </w:t>
      </w:r>
      <w:r w:rsidR="00AA0F34">
        <w:t>progress was hindered by the suspension of the</w:t>
      </w:r>
      <w:r w:rsidR="00B12A1B">
        <w:t xml:space="preserve"> NI Executive and NI Assembly.</w:t>
      </w:r>
    </w:p>
    <w:p w14:paraId="378CD0DA" w14:textId="77777777" w:rsidR="00CB14C7" w:rsidRPr="000D5D41" w:rsidRDefault="00CB14C7" w:rsidP="00500CC3">
      <w:pPr>
        <w:ind w:left="851" w:hanging="851"/>
        <w:rPr>
          <w:b/>
        </w:rPr>
      </w:pPr>
    </w:p>
    <w:p w14:paraId="0C09FD8F" w14:textId="17EB08DF" w:rsidR="00CE6950" w:rsidRPr="007219E8" w:rsidRDefault="00210BFC" w:rsidP="00500CC3">
      <w:pPr>
        <w:pStyle w:val="ListParagraph"/>
        <w:numPr>
          <w:ilvl w:val="1"/>
          <w:numId w:val="24"/>
        </w:numPr>
        <w:ind w:left="851" w:hanging="851"/>
        <w:contextualSpacing w:val="0"/>
      </w:pPr>
      <w:r>
        <w:rPr>
          <w:b/>
        </w:rPr>
        <w:t xml:space="preserve">The Committee may </w:t>
      </w:r>
      <w:r w:rsidR="00CE6950">
        <w:rPr>
          <w:b/>
        </w:rPr>
        <w:t xml:space="preserve">wish to recommend </w:t>
      </w:r>
      <w:r>
        <w:rPr>
          <w:b/>
        </w:rPr>
        <w:t>the UK</w:t>
      </w:r>
      <w:r w:rsidR="00B97B9E">
        <w:rPr>
          <w:b/>
        </w:rPr>
        <w:t xml:space="preserve"> ta</w:t>
      </w:r>
      <w:r w:rsidR="00064A8D">
        <w:rPr>
          <w:b/>
        </w:rPr>
        <w:t>kes effective steps to</w:t>
      </w:r>
      <w:r w:rsidR="001F1092">
        <w:rPr>
          <w:b/>
        </w:rPr>
        <w:t xml:space="preserve"> ensure</w:t>
      </w:r>
      <w:r w:rsidR="00CE6950">
        <w:rPr>
          <w:b/>
        </w:rPr>
        <w:t xml:space="preserve">: </w:t>
      </w:r>
    </w:p>
    <w:p w14:paraId="76511416" w14:textId="77777777" w:rsidR="00CE6950" w:rsidRPr="007219E8" w:rsidRDefault="00CE6950" w:rsidP="007219E8">
      <w:pPr>
        <w:pStyle w:val="ListParagraph"/>
        <w:rPr>
          <w:b/>
        </w:rPr>
      </w:pPr>
    </w:p>
    <w:p w14:paraId="3F83F613" w14:textId="2EC01939" w:rsidR="000A1D0A" w:rsidRPr="00CB14C7" w:rsidRDefault="000A1D0A" w:rsidP="00500CC3">
      <w:pPr>
        <w:pStyle w:val="ListParagraph"/>
        <w:numPr>
          <w:ilvl w:val="0"/>
          <w:numId w:val="65"/>
        </w:numPr>
        <w:ind w:left="1560"/>
        <w:contextualSpacing w:val="0"/>
      </w:pPr>
      <w:r w:rsidRPr="006427DA">
        <w:rPr>
          <w:b/>
        </w:rPr>
        <w:t>remand of children</w:t>
      </w:r>
      <w:r>
        <w:rPr>
          <w:b/>
        </w:rPr>
        <w:t xml:space="preserve"> in NI</w:t>
      </w:r>
      <w:r w:rsidRPr="006427DA">
        <w:rPr>
          <w:b/>
        </w:rPr>
        <w:t xml:space="preserve"> is a last resort and that suitable accommodation is provided within a reasonable time, if released on bail</w:t>
      </w:r>
      <w:r w:rsidR="00E35037">
        <w:rPr>
          <w:b/>
        </w:rPr>
        <w:t>.</w:t>
      </w:r>
    </w:p>
    <w:p w14:paraId="4484202D" w14:textId="77777777" w:rsidR="000A1D0A" w:rsidRDefault="000A1D0A" w:rsidP="00500CC3">
      <w:pPr>
        <w:pStyle w:val="ListParagraph"/>
        <w:ind w:left="1560"/>
        <w:rPr>
          <w:b/>
        </w:rPr>
      </w:pPr>
    </w:p>
    <w:p w14:paraId="64DDB24C" w14:textId="1A945AC1" w:rsidR="000A1D0A" w:rsidRPr="00CB14C7" w:rsidRDefault="000A1D0A" w:rsidP="00500CC3">
      <w:pPr>
        <w:pStyle w:val="ListParagraph"/>
        <w:numPr>
          <w:ilvl w:val="0"/>
          <w:numId w:val="65"/>
        </w:numPr>
        <w:ind w:left="1560"/>
        <w:contextualSpacing w:val="0"/>
      </w:pPr>
      <w:r w:rsidRPr="004A3747">
        <w:rPr>
          <w:b/>
        </w:rPr>
        <w:t xml:space="preserve">that a range of non-custodial accommodation arrangements is available </w:t>
      </w:r>
      <w:r w:rsidR="00951B78">
        <w:rPr>
          <w:b/>
        </w:rPr>
        <w:t xml:space="preserve">in NI </w:t>
      </w:r>
      <w:r w:rsidRPr="004A3747">
        <w:rPr>
          <w:b/>
        </w:rPr>
        <w:t>for children awaiting trial who cannot return to their homes.</w:t>
      </w:r>
    </w:p>
    <w:p w14:paraId="34A0644A" w14:textId="77777777" w:rsidR="000A1D0A" w:rsidRDefault="000A1D0A" w:rsidP="000A1D0A">
      <w:pPr>
        <w:pStyle w:val="ListParagraph"/>
      </w:pPr>
    </w:p>
    <w:p w14:paraId="225A6751" w14:textId="361982B6" w:rsidR="000A1D0A" w:rsidRPr="00CB14C7" w:rsidRDefault="000A1D0A" w:rsidP="000A1D0A">
      <w:pPr>
        <w:pStyle w:val="Heading2"/>
        <w:rPr>
          <w:rFonts w:eastAsiaTheme="minorHAnsi"/>
        </w:rPr>
      </w:pPr>
      <w:bookmarkStart w:id="50" w:name="_Toc156901022"/>
      <w:r>
        <w:rPr>
          <w:rFonts w:eastAsiaTheme="minorHAnsi"/>
        </w:rPr>
        <w:t>Prison conditions</w:t>
      </w:r>
      <w:bookmarkEnd w:id="50"/>
    </w:p>
    <w:p w14:paraId="27434261" w14:textId="1A3076E0" w:rsidR="00DF120B" w:rsidRPr="006D73E3" w:rsidRDefault="00E95365" w:rsidP="00500CC3">
      <w:pPr>
        <w:pStyle w:val="ListParagraph"/>
        <w:numPr>
          <w:ilvl w:val="1"/>
          <w:numId w:val="24"/>
        </w:numPr>
        <w:ind w:left="851" w:hanging="851"/>
        <w:contextualSpacing w:val="0"/>
      </w:pPr>
      <w:r>
        <w:rPr>
          <w:rStyle w:val="normaltextrun"/>
          <w:color w:val="000000"/>
          <w:shd w:val="clear" w:color="auto" w:fill="FFFFFF"/>
        </w:rPr>
        <w:t xml:space="preserve">In 2022/2023, the overall daily average prison population </w:t>
      </w:r>
      <w:r w:rsidR="00341D7D">
        <w:rPr>
          <w:rStyle w:val="normaltextrun"/>
          <w:color w:val="000000"/>
          <w:shd w:val="clear" w:color="auto" w:fill="FFFFFF"/>
        </w:rPr>
        <w:t>was</w:t>
      </w:r>
      <w:r>
        <w:rPr>
          <w:rStyle w:val="normaltextrun"/>
          <w:color w:val="000000"/>
          <w:shd w:val="clear" w:color="auto" w:fill="FFFFFF"/>
        </w:rPr>
        <w:t xml:space="preserve"> 1,685</w:t>
      </w:r>
      <w:r w:rsidR="00A9191F">
        <w:rPr>
          <w:rStyle w:val="normaltextrun"/>
          <w:color w:val="000000"/>
          <w:shd w:val="clear" w:color="auto" w:fill="FFFFFF"/>
        </w:rPr>
        <w:t>.</w:t>
      </w:r>
      <w:r>
        <w:rPr>
          <w:rStyle w:val="FootnoteReference"/>
          <w:color w:val="000000"/>
          <w:shd w:val="clear" w:color="auto" w:fill="FFFFFF"/>
        </w:rPr>
        <w:footnoteReference w:id="213"/>
      </w:r>
      <w:r w:rsidR="004A6A8F">
        <w:rPr>
          <w:rStyle w:val="normaltextrun"/>
          <w:color w:val="000000"/>
          <w:shd w:val="clear" w:color="auto" w:fill="FFFFFF"/>
        </w:rPr>
        <w:t xml:space="preserve"> </w:t>
      </w:r>
      <w:r w:rsidR="00CB14C7" w:rsidRPr="22E15799">
        <w:rPr>
          <w:rFonts w:eastAsia="Times New Roman" w:cs="Times New Roman"/>
          <w:color w:val="000000"/>
        </w:rPr>
        <w:t xml:space="preserve">In 2023, </w:t>
      </w:r>
      <w:r w:rsidR="000A1D0A" w:rsidRPr="22E15799">
        <w:rPr>
          <w:rFonts w:eastAsia="Calibri" w:cs="Times New Roman"/>
          <w:color w:val="000000"/>
        </w:rPr>
        <w:t xml:space="preserve">the NI Prison Service </w:t>
      </w:r>
      <w:r w:rsidR="008A5DCD" w:rsidRPr="22E15799">
        <w:rPr>
          <w:rFonts w:eastAsia="Calibri" w:cs="Times New Roman"/>
          <w:color w:val="000000"/>
        </w:rPr>
        <w:t>raised</w:t>
      </w:r>
      <w:r w:rsidR="000A1D0A" w:rsidRPr="22E15799">
        <w:rPr>
          <w:rFonts w:eastAsia="Calibri" w:cs="Times New Roman"/>
          <w:color w:val="000000"/>
        </w:rPr>
        <w:t xml:space="preserve"> concerns</w:t>
      </w:r>
      <w:r w:rsidR="00AF711E">
        <w:rPr>
          <w:vertAlign w:val="superscript"/>
        </w:rPr>
        <w:t xml:space="preserve"> </w:t>
      </w:r>
      <w:r w:rsidR="000A1D0A" w:rsidRPr="22E15799">
        <w:rPr>
          <w:rFonts w:eastAsia="Calibri" w:cs="Times New Roman"/>
          <w:color w:val="000000"/>
        </w:rPr>
        <w:t xml:space="preserve">regarding overcrowding in </w:t>
      </w:r>
      <w:r w:rsidR="00F948A2" w:rsidRPr="22E15799">
        <w:rPr>
          <w:rFonts w:eastAsia="Calibri" w:cs="Times New Roman"/>
          <w:color w:val="000000"/>
        </w:rPr>
        <w:t xml:space="preserve">NI </w:t>
      </w:r>
      <w:r w:rsidR="000A1D0A" w:rsidRPr="22E15799">
        <w:rPr>
          <w:rFonts w:eastAsia="Calibri" w:cs="Times New Roman"/>
          <w:color w:val="000000"/>
        </w:rPr>
        <w:t>prisons.</w:t>
      </w:r>
      <w:r w:rsidR="000A1D0A" w:rsidRPr="008A60BC">
        <w:rPr>
          <w:vertAlign w:val="superscript"/>
        </w:rPr>
        <w:footnoteReference w:id="214"/>
      </w:r>
    </w:p>
    <w:p w14:paraId="2201D09C" w14:textId="77777777" w:rsidR="006D73E3" w:rsidRPr="006D73E3" w:rsidRDefault="006D73E3" w:rsidP="00500CC3">
      <w:pPr>
        <w:pStyle w:val="ListParagraph"/>
        <w:ind w:left="851" w:hanging="851"/>
        <w:contextualSpacing w:val="0"/>
      </w:pPr>
    </w:p>
    <w:p w14:paraId="54CD53C1" w14:textId="242E34D8" w:rsidR="006D73E3" w:rsidRPr="00DF120B" w:rsidRDefault="006D73E3" w:rsidP="00500CC3">
      <w:pPr>
        <w:pStyle w:val="ListParagraph"/>
        <w:numPr>
          <w:ilvl w:val="1"/>
          <w:numId w:val="24"/>
        </w:numPr>
        <w:ind w:left="851" w:hanging="851"/>
        <w:contextualSpacing w:val="0"/>
      </w:pPr>
      <w:r>
        <w:rPr>
          <w:rStyle w:val="normaltextrun"/>
          <w:color w:val="000000"/>
          <w:shd w:val="clear" w:color="auto" w:fill="FFFFFF"/>
        </w:rPr>
        <w:lastRenderedPageBreak/>
        <w:t xml:space="preserve">In 2022/2023, there were 102 prisoner-on-prisoner assaults and 68 prisoner assaults on prison staff </w:t>
      </w:r>
      <w:r w:rsidR="0084638A">
        <w:rPr>
          <w:rStyle w:val="normaltextrun"/>
          <w:color w:val="000000"/>
          <w:shd w:val="clear" w:color="auto" w:fill="FFFFFF"/>
        </w:rPr>
        <w:t xml:space="preserve">in </w:t>
      </w:r>
      <w:r>
        <w:rPr>
          <w:rStyle w:val="normaltextrun"/>
          <w:color w:val="000000"/>
          <w:shd w:val="clear" w:color="auto" w:fill="FFFFFF"/>
        </w:rPr>
        <w:t>NI.</w:t>
      </w:r>
      <w:r>
        <w:rPr>
          <w:rStyle w:val="FootnoteReference"/>
          <w:color w:val="000000"/>
          <w:shd w:val="clear" w:color="auto" w:fill="FFFFFF"/>
        </w:rPr>
        <w:footnoteReference w:id="215"/>
      </w:r>
      <w:r>
        <w:rPr>
          <w:rStyle w:val="normaltextrun"/>
          <w:color w:val="000000"/>
          <w:shd w:val="clear" w:color="auto" w:fill="FFFFFF"/>
        </w:rPr>
        <w:t> </w:t>
      </w:r>
      <w:r>
        <w:rPr>
          <w:rStyle w:val="eop"/>
          <w:color w:val="000000"/>
          <w:shd w:val="clear" w:color="auto" w:fill="FFFFFF"/>
        </w:rPr>
        <w:t> </w:t>
      </w:r>
    </w:p>
    <w:p w14:paraId="63A0D488" w14:textId="77777777" w:rsidR="00F65B54" w:rsidRPr="00DF120B" w:rsidRDefault="00F65B54" w:rsidP="00500CC3">
      <w:pPr>
        <w:pStyle w:val="ListParagraph"/>
        <w:ind w:left="851" w:hanging="851"/>
        <w:contextualSpacing w:val="0"/>
      </w:pPr>
    </w:p>
    <w:p w14:paraId="1DACF19F" w14:textId="2352C7D1" w:rsidR="00CB14C7" w:rsidRPr="00CB14C7" w:rsidRDefault="00C826D7" w:rsidP="00500CC3">
      <w:pPr>
        <w:pStyle w:val="ListParagraph"/>
        <w:numPr>
          <w:ilvl w:val="1"/>
          <w:numId w:val="24"/>
        </w:numPr>
        <w:ind w:left="851" w:hanging="851"/>
        <w:contextualSpacing w:val="0"/>
      </w:pPr>
      <w:r w:rsidRPr="00C826D7">
        <w:rPr>
          <w:lang w:val="en-US"/>
        </w:rPr>
        <w:t xml:space="preserve">In 2022, </w:t>
      </w:r>
      <w:r w:rsidR="0084638A">
        <w:rPr>
          <w:lang w:val="en-US"/>
        </w:rPr>
        <w:t>there w</w:t>
      </w:r>
      <w:r w:rsidR="003525BD">
        <w:rPr>
          <w:lang w:val="en-US"/>
        </w:rPr>
        <w:t>ere</w:t>
      </w:r>
      <w:r w:rsidR="00C561D5">
        <w:rPr>
          <w:lang w:val="en-US"/>
        </w:rPr>
        <w:t xml:space="preserve"> concerns with the</w:t>
      </w:r>
      <w:r w:rsidRPr="00C826D7">
        <w:rPr>
          <w:lang w:val="en-US"/>
        </w:rPr>
        <w:t xml:space="preserve"> treatment of prisoners and patients in Care and Supervision Unit</w:t>
      </w:r>
      <w:r w:rsidR="00C561D5">
        <w:rPr>
          <w:lang w:val="en-US"/>
        </w:rPr>
        <w:t>s</w:t>
      </w:r>
      <w:r w:rsidRPr="00C826D7">
        <w:rPr>
          <w:lang w:val="en-US"/>
        </w:rPr>
        <w:t xml:space="preserve"> within NI prisons.</w:t>
      </w:r>
      <w:r>
        <w:rPr>
          <w:rStyle w:val="FootnoteReference"/>
          <w:lang w:val="en-US"/>
        </w:rPr>
        <w:footnoteReference w:id="216"/>
      </w:r>
      <w:r w:rsidR="00473875">
        <w:rPr>
          <w:lang w:val="en-US"/>
        </w:rPr>
        <w:t xml:space="preserve"> </w:t>
      </w:r>
      <w:r w:rsidR="003525BD">
        <w:rPr>
          <w:lang w:val="en-US"/>
        </w:rPr>
        <w:t>For example,</w:t>
      </w:r>
      <w:r w:rsidR="00473875">
        <w:rPr>
          <w:lang w:val="en-US"/>
        </w:rPr>
        <w:t xml:space="preserve"> </w:t>
      </w:r>
      <w:r w:rsidR="00F41675" w:rsidRPr="00F41675">
        <w:rPr>
          <w:lang w:val="en-US"/>
        </w:rPr>
        <w:t>some prisoners experienced regimes amount</w:t>
      </w:r>
      <w:r w:rsidR="00F41675">
        <w:rPr>
          <w:lang w:val="en-US"/>
        </w:rPr>
        <w:t xml:space="preserve">ing </w:t>
      </w:r>
      <w:r w:rsidR="00F41675" w:rsidRPr="00F41675">
        <w:rPr>
          <w:lang w:val="en-US"/>
        </w:rPr>
        <w:t>to solitary confinement and their treatment did not meet the Standard Minimum Rules</w:t>
      </w:r>
      <w:r w:rsidR="00F41675">
        <w:rPr>
          <w:lang w:val="en-US"/>
        </w:rPr>
        <w:t>.</w:t>
      </w:r>
      <w:r w:rsidR="0081132B">
        <w:rPr>
          <w:rStyle w:val="FootnoteReference"/>
          <w:lang w:val="en-US"/>
        </w:rPr>
        <w:footnoteReference w:id="217"/>
      </w:r>
      <w:r w:rsidR="002268C8">
        <w:rPr>
          <w:lang w:val="en-US"/>
        </w:rPr>
        <w:t xml:space="preserve"> In 2023, </w:t>
      </w:r>
      <w:r w:rsidR="00A05B03">
        <w:rPr>
          <w:lang w:val="en-US"/>
        </w:rPr>
        <w:t>significant</w:t>
      </w:r>
      <w:r w:rsidR="002268C8">
        <w:rPr>
          <w:lang w:val="en-US"/>
        </w:rPr>
        <w:t xml:space="preserve"> </w:t>
      </w:r>
      <w:r w:rsidR="00504CD6">
        <w:rPr>
          <w:lang w:val="en-US"/>
        </w:rPr>
        <w:t xml:space="preserve">progress </w:t>
      </w:r>
      <w:r w:rsidR="00A05B03">
        <w:rPr>
          <w:lang w:val="en-US"/>
        </w:rPr>
        <w:t xml:space="preserve">has been </w:t>
      </w:r>
      <w:r w:rsidR="00504CD6">
        <w:rPr>
          <w:lang w:val="en-US"/>
        </w:rPr>
        <w:t>made,</w:t>
      </w:r>
      <w:r w:rsidR="004C405D">
        <w:rPr>
          <w:rStyle w:val="FootnoteReference"/>
          <w:lang w:val="en-US"/>
        </w:rPr>
        <w:footnoteReference w:id="218"/>
      </w:r>
      <w:r w:rsidR="00504CD6">
        <w:rPr>
          <w:lang w:val="en-US"/>
        </w:rPr>
        <w:t xml:space="preserve"> bu</w:t>
      </w:r>
      <w:r w:rsidR="00D361BE">
        <w:rPr>
          <w:lang w:val="en-US"/>
        </w:rPr>
        <w:t>t</w:t>
      </w:r>
      <w:r w:rsidR="00504CD6">
        <w:rPr>
          <w:lang w:val="en-US"/>
        </w:rPr>
        <w:t xml:space="preserve"> </w:t>
      </w:r>
      <w:r w:rsidR="00087819">
        <w:rPr>
          <w:lang w:val="en-US"/>
        </w:rPr>
        <w:t xml:space="preserve">it remains that </w:t>
      </w:r>
      <w:r w:rsidR="00D361BE">
        <w:rPr>
          <w:lang w:val="en-US"/>
        </w:rPr>
        <w:t xml:space="preserve">measures </w:t>
      </w:r>
      <w:r w:rsidR="00087819">
        <w:rPr>
          <w:lang w:val="en-US"/>
        </w:rPr>
        <w:t>are needed</w:t>
      </w:r>
      <w:r w:rsidR="00D361BE">
        <w:rPr>
          <w:lang w:val="en-US"/>
        </w:rPr>
        <w:t xml:space="preserve"> to</w:t>
      </w:r>
      <w:r w:rsidR="00504CD6">
        <w:rPr>
          <w:lang w:val="en-US"/>
        </w:rPr>
        <w:t xml:space="preserve"> </w:t>
      </w:r>
      <w:r w:rsidR="00D361BE">
        <w:rPr>
          <w:lang w:val="en-US"/>
        </w:rPr>
        <w:t>support</w:t>
      </w:r>
      <w:r w:rsidR="00504CD6">
        <w:rPr>
          <w:lang w:val="en-US"/>
        </w:rPr>
        <w:t xml:space="preserve"> the </w:t>
      </w:r>
      <w:r w:rsidR="005A4C7B">
        <w:rPr>
          <w:lang w:val="en-US"/>
        </w:rPr>
        <w:t xml:space="preserve">increasing </w:t>
      </w:r>
      <w:r w:rsidR="00AE6A9F">
        <w:rPr>
          <w:lang w:val="en-US"/>
        </w:rPr>
        <w:t xml:space="preserve">number of people with complex mental health needs </w:t>
      </w:r>
      <w:r w:rsidR="005A4C7B">
        <w:rPr>
          <w:lang w:val="en-US"/>
        </w:rPr>
        <w:t>in</w:t>
      </w:r>
      <w:r w:rsidR="00AE6A9F">
        <w:rPr>
          <w:lang w:val="en-US"/>
        </w:rPr>
        <w:t xml:space="preserve"> NI prisons.</w:t>
      </w:r>
      <w:r w:rsidR="005A4C7B">
        <w:rPr>
          <w:rStyle w:val="FootnoteReference"/>
          <w:lang w:val="en-US"/>
        </w:rPr>
        <w:footnoteReference w:id="219"/>
      </w:r>
    </w:p>
    <w:p w14:paraId="30F24D9B" w14:textId="77777777" w:rsidR="000A1D0A" w:rsidRPr="00CB14C7" w:rsidRDefault="000A1D0A" w:rsidP="00500CC3">
      <w:pPr>
        <w:pStyle w:val="ListParagraph"/>
        <w:ind w:left="851" w:hanging="851"/>
        <w:contextualSpacing w:val="0"/>
      </w:pPr>
    </w:p>
    <w:p w14:paraId="79F8D2E3" w14:textId="29851F5C" w:rsidR="006131D6" w:rsidRPr="00054720" w:rsidRDefault="004866FC" w:rsidP="00500CC3">
      <w:pPr>
        <w:pStyle w:val="ListParagraph"/>
        <w:numPr>
          <w:ilvl w:val="1"/>
          <w:numId w:val="24"/>
        </w:numPr>
        <w:ind w:left="851" w:hanging="851"/>
        <w:contextualSpacing w:val="0"/>
      </w:pPr>
      <w:r w:rsidRPr="22E15799">
        <w:rPr>
          <w:rFonts w:eastAsia="Calibri" w:cs="Times New Roman"/>
        </w:rPr>
        <w:t>D</w:t>
      </w:r>
      <w:r w:rsidR="000C3E6A" w:rsidRPr="22E15799">
        <w:rPr>
          <w:rFonts w:eastAsia="Calibri" w:cs="Times New Roman"/>
        </w:rPr>
        <w:t>rugs</w:t>
      </w:r>
      <w:r w:rsidRPr="22E15799">
        <w:rPr>
          <w:rFonts w:eastAsia="Calibri" w:cs="Times New Roman"/>
        </w:rPr>
        <w:t xml:space="preserve"> are an issue</w:t>
      </w:r>
      <w:r w:rsidR="000C3E6A" w:rsidRPr="22E15799">
        <w:rPr>
          <w:rFonts w:eastAsia="Calibri" w:cs="Times New Roman"/>
        </w:rPr>
        <w:t xml:space="preserve"> </w:t>
      </w:r>
      <w:r w:rsidR="003A1A1D" w:rsidRPr="22E15799">
        <w:rPr>
          <w:rFonts w:eastAsia="Calibri" w:cs="Times New Roman"/>
          <w:color w:val="000000"/>
        </w:rPr>
        <w:t>in NI Pris</w:t>
      </w:r>
      <w:r w:rsidR="00335C48" w:rsidRPr="22E15799">
        <w:rPr>
          <w:rFonts w:eastAsia="Calibri" w:cs="Times New Roman"/>
          <w:color w:val="000000"/>
        </w:rPr>
        <w:t>ons, particularly Maghaberry</w:t>
      </w:r>
      <w:r w:rsidRPr="22E15799">
        <w:rPr>
          <w:rFonts w:eastAsia="Calibri" w:cs="Times New Roman"/>
          <w:color w:val="000000"/>
        </w:rPr>
        <w:t xml:space="preserve">. There is </w:t>
      </w:r>
      <w:r w:rsidR="0062038B" w:rsidRPr="22E15799">
        <w:rPr>
          <w:rFonts w:eastAsia="Calibri" w:cs="Times New Roman"/>
          <w:color w:val="000000"/>
        </w:rPr>
        <w:t>a</w:t>
      </w:r>
      <w:r w:rsidR="00097A65" w:rsidRPr="22E15799">
        <w:rPr>
          <w:rFonts w:eastAsia="Calibri" w:cs="Times New Roman"/>
          <w:color w:val="000000"/>
        </w:rPr>
        <w:t xml:space="preserve"> </w:t>
      </w:r>
      <w:r w:rsidR="00DB6D12" w:rsidRPr="22E15799">
        <w:rPr>
          <w:rFonts w:eastAsia="Calibri" w:cs="Times New Roman"/>
          <w:color w:val="000000"/>
        </w:rPr>
        <w:t xml:space="preserve">lack of governance </w:t>
      </w:r>
      <w:r w:rsidRPr="22E15799">
        <w:rPr>
          <w:rFonts w:eastAsia="Calibri" w:cs="Times New Roman"/>
          <w:color w:val="000000"/>
        </w:rPr>
        <w:t>and</w:t>
      </w:r>
      <w:r w:rsidR="00DB6D12" w:rsidRPr="22E15799">
        <w:rPr>
          <w:rFonts w:eastAsia="Calibri" w:cs="Times New Roman"/>
          <w:color w:val="000000"/>
        </w:rPr>
        <w:t xml:space="preserve"> effective action</w:t>
      </w:r>
      <w:r w:rsidR="008B778B" w:rsidRPr="22E15799">
        <w:rPr>
          <w:rFonts w:eastAsia="Calibri" w:cs="Times New Roman"/>
          <w:color w:val="000000"/>
        </w:rPr>
        <w:t xml:space="preserve"> to tackle the issue</w:t>
      </w:r>
      <w:r w:rsidR="006131D6" w:rsidRPr="22E15799">
        <w:rPr>
          <w:rFonts w:eastAsia="Calibri" w:cs="Times New Roman"/>
          <w:color w:val="000000"/>
        </w:rPr>
        <w:t>.</w:t>
      </w:r>
      <w:r w:rsidR="006131D6" w:rsidRPr="22E15799">
        <w:rPr>
          <w:rStyle w:val="FootnoteReference"/>
          <w:rFonts w:eastAsia="Calibri" w:cs="Times New Roman"/>
          <w:color w:val="000000"/>
        </w:rPr>
        <w:footnoteReference w:id="220"/>
      </w:r>
      <w:r w:rsidR="006131D6" w:rsidRPr="22E15799">
        <w:rPr>
          <w:rFonts w:eastAsia="Calibri" w:cs="Times New Roman"/>
          <w:color w:val="000000"/>
        </w:rPr>
        <w:t xml:space="preserve"> </w:t>
      </w:r>
      <w:r w:rsidR="002276EE" w:rsidRPr="22E15799">
        <w:rPr>
          <w:rFonts w:eastAsia="Calibri" w:cs="Times New Roman"/>
          <w:color w:val="000000"/>
        </w:rPr>
        <w:t>In 202</w:t>
      </w:r>
      <w:r w:rsidR="00AC281B">
        <w:rPr>
          <w:rFonts w:eastAsia="Calibri" w:cs="Times New Roman"/>
          <w:color w:val="000000"/>
        </w:rPr>
        <w:t>4</w:t>
      </w:r>
      <w:r w:rsidR="002276EE" w:rsidRPr="22E15799">
        <w:rPr>
          <w:rFonts w:eastAsia="Calibri" w:cs="Times New Roman"/>
          <w:color w:val="000000"/>
        </w:rPr>
        <w:t>, t</w:t>
      </w:r>
      <w:r w:rsidR="00E4135F" w:rsidRPr="22E15799">
        <w:rPr>
          <w:rFonts w:eastAsia="Calibri" w:cs="Times New Roman"/>
          <w:color w:val="000000"/>
        </w:rPr>
        <w:t>h</w:t>
      </w:r>
      <w:r w:rsidR="009742B4" w:rsidRPr="22E15799">
        <w:rPr>
          <w:rFonts w:eastAsia="Calibri" w:cs="Times New Roman"/>
          <w:color w:val="000000"/>
        </w:rPr>
        <w:t>e</w:t>
      </w:r>
      <w:r w:rsidR="00A56E65" w:rsidRPr="22E15799">
        <w:rPr>
          <w:rFonts w:eastAsia="Calibri" w:cs="Times New Roman"/>
          <w:color w:val="000000"/>
        </w:rPr>
        <w:t xml:space="preserve"> </w:t>
      </w:r>
      <w:r w:rsidR="009742B4" w:rsidRPr="22E15799">
        <w:rPr>
          <w:rFonts w:eastAsia="Calibri" w:cs="Times New Roman"/>
          <w:color w:val="000000"/>
        </w:rPr>
        <w:t xml:space="preserve">introduction of x-ray body scanners is reportedly </w:t>
      </w:r>
      <w:r w:rsidR="00061E75" w:rsidRPr="22E15799">
        <w:rPr>
          <w:rFonts w:eastAsia="Calibri" w:cs="Times New Roman"/>
          <w:color w:val="000000"/>
        </w:rPr>
        <w:t>improving</w:t>
      </w:r>
      <w:r w:rsidR="00E4135F" w:rsidRPr="22E15799">
        <w:rPr>
          <w:rFonts w:eastAsia="Calibri" w:cs="Times New Roman"/>
          <w:color w:val="000000"/>
        </w:rPr>
        <w:t xml:space="preserve"> the</w:t>
      </w:r>
      <w:r w:rsidR="00061E75" w:rsidRPr="22E15799">
        <w:rPr>
          <w:rFonts w:eastAsia="Calibri" w:cs="Times New Roman"/>
          <w:color w:val="000000"/>
        </w:rPr>
        <w:t xml:space="preserve"> identification and deterrence of drugs.</w:t>
      </w:r>
      <w:r w:rsidR="006131D6" w:rsidRPr="008A60BC">
        <w:rPr>
          <w:vertAlign w:val="superscript"/>
        </w:rPr>
        <w:footnoteReference w:id="221"/>
      </w:r>
    </w:p>
    <w:p w14:paraId="69EA0119" w14:textId="77777777" w:rsidR="00054720" w:rsidRDefault="00054720" w:rsidP="00500CC3">
      <w:pPr>
        <w:pStyle w:val="ListParagraph"/>
        <w:ind w:left="851" w:hanging="851"/>
      </w:pPr>
    </w:p>
    <w:p w14:paraId="349597B6" w14:textId="257BC996" w:rsidR="00054720" w:rsidRPr="00CB14C7" w:rsidRDefault="00E80ECA" w:rsidP="00500CC3">
      <w:pPr>
        <w:pStyle w:val="ListParagraph"/>
        <w:numPr>
          <w:ilvl w:val="1"/>
          <w:numId w:val="24"/>
        </w:numPr>
        <w:ind w:left="851" w:hanging="851"/>
        <w:contextualSpacing w:val="0"/>
      </w:pPr>
      <w:r>
        <w:lastRenderedPageBreak/>
        <w:t>Rehabilitation and release planning,</w:t>
      </w:r>
      <w:r>
        <w:rPr>
          <w:rStyle w:val="FootnoteReference"/>
        </w:rPr>
        <w:footnoteReference w:id="222"/>
      </w:r>
      <w:r>
        <w:t xml:space="preserve"> </w:t>
      </w:r>
      <w:r w:rsidR="004924CB">
        <w:t>m</w:t>
      </w:r>
      <w:r w:rsidR="007C0E91">
        <w:t>ental healthcare for prisoners</w:t>
      </w:r>
      <w:r w:rsidR="00D14E04">
        <w:rPr>
          <w:rStyle w:val="FootnoteReference"/>
        </w:rPr>
        <w:footnoteReference w:id="223"/>
      </w:r>
      <w:r w:rsidR="007C0E91">
        <w:t xml:space="preserve"> and </w:t>
      </w:r>
      <w:r w:rsidR="00D16FA5">
        <w:t>the hygiene of older parts of the NI prison estate are also concerns.</w:t>
      </w:r>
      <w:r w:rsidR="00D14E04">
        <w:rPr>
          <w:rStyle w:val="FootnoteReference"/>
        </w:rPr>
        <w:footnoteReference w:id="224"/>
      </w:r>
    </w:p>
    <w:p w14:paraId="0F78A558" w14:textId="77777777" w:rsidR="00305F32" w:rsidRDefault="00305F32" w:rsidP="00500CC3">
      <w:pPr>
        <w:ind w:left="851" w:hanging="851"/>
      </w:pPr>
    </w:p>
    <w:p w14:paraId="43F86179" w14:textId="7D922F2B" w:rsidR="00662822" w:rsidRDefault="00305F32" w:rsidP="00500CC3">
      <w:pPr>
        <w:pStyle w:val="ListParagraph"/>
        <w:numPr>
          <w:ilvl w:val="1"/>
          <w:numId w:val="24"/>
        </w:numPr>
        <w:ind w:left="851" w:hanging="851"/>
        <w:contextualSpacing w:val="0"/>
        <w:rPr>
          <w:b/>
          <w:bCs/>
        </w:rPr>
      </w:pPr>
      <w:r w:rsidRPr="00A662D9">
        <w:rPr>
          <w:b/>
          <w:bCs/>
        </w:rPr>
        <w:t>The Committee</w:t>
      </w:r>
      <w:r w:rsidR="005D6773">
        <w:rPr>
          <w:b/>
          <w:bCs/>
        </w:rPr>
        <w:t xml:space="preserve"> may </w:t>
      </w:r>
      <w:r w:rsidR="00EC0243">
        <w:rPr>
          <w:b/>
          <w:bCs/>
        </w:rPr>
        <w:t>wish to</w:t>
      </w:r>
      <w:r w:rsidR="00EC0243" w:rsidDel="00951B78">
        <w:rPr>
          <w:b/>
          <w:bCs/>
        </w:rPr>
        <w:t xml:space="preserve"> </w:t>
      </w:r>
      <w:r w:rsidR="00951B78">
        <w:rPr>
          <w:b/>
          <w:bCs/>
        </w:rPr>
        <w:t>recommend that</w:t>
      </w:r>
      <w:r w:rsidR="005D6773">
        <w:rPr>
          <w:b/>
          <w:bCs/>
        </w:rPr>
        <w:t xml:space="preserve"> the UK</w:t>
      </w:r>
      <w:r w:rsidR="002276EE">
        <w:rPr>
          <w:b/>
          <w:bCs/>
        </w:rPr>
        <w:t xml:space="preserve"> takes effective steps to</w:t>
      </w:r>
      <w:r w:rsidR="00662822">
        <w:rPr>
          <w:b/>
          <w:bCs/>
        </w:rPr>
        <w:t xml:space="preserve">: </w:t>
      </w:r>
    </w:p>
    <w:p w14:paraId="2AC039B2" w14:textId="77777777" w:rsidR="00662822" w:rsidRPr="00662822" w:rsidRDefault="00662822" w:rsidP="00662822">
      <w:pPr>
        <w:pStyle w:val="ListParagraph"/>
        <w:rPr>
          <w:b/>
          <w:bCs/>
        </w:rPr>
      </w:pPr>
    </w:p>
    <w:p w14:paraId="216EEE73" w14:textId="48AA5B2F" w:rsidR="007219E8" w:rsidRDefault="00D962CA" w:rsidP="00500CC3">
      <w:pPr>
        <w:pStyle w:val="ListParagraph"/>
        <w:numPr>
          <w:ilvl w:val="0"/>
          <w:numId w:val="56"/>
        </w:numPr>
        <w:ind w:left="1560"/>
        <w:contextualSpacing w:val="0"/>
        <w:rPr>
          <w:b/>
          <w:bCs/>
        </w:rPr>
      </w:pPr>
      <w:r>
        <w:rPr>
          <w:b/>
          <w:bCs/>
        </w:rPr>
        <w:t xml:space="preserve">promptly </w:t>
      </w:r>
      <w:r w:rsidR="001D6188" w:rsidRPr="001D6188">
        <w:rPr>
          <w:b/>
          <w:bCs/>
        </w:rPr>
        <w:t>implement the Criminal Justice Inspection NI’s recommendations</w:t>
      </w:r>
      <w:r>
        <w:rPr>
          <w:b/>
          <w:bCs/>
        </w:rPr>
        <w:t xml:space="preserve"> in relation to the Care and Supervision Units in NI</w:t>
      </w:r>
      <w:r w:rsidR="00D64F5E">
        <w:rPr>
          <w:b/>
          <w:bCs/>
        </w:rPr>
        <w:t>.</w:t>
      </w:r>
      <w:r w:rsidR="003B0D67">
        <w:rPr>
          <w:b/>
          <w:bCs/>
        </w:rPr>
        <w:t xml:space="preserve"> </w:t>
      </w:r>
    </w:p>
    <w:p w14:paraId="4FCB1D3C" w14:textId="77777777" w:rsidR="00AC4576" w:rsidRDefault="00AC4576" w:rsidP="00500CC3">
      <w:pPr>
        <w:pStyle w:val="ListParagraph"/>
        <w:ind w:left="1560"/>
        <w:contextualSpacing w:val="0"/>
        <w:rPr>
          <w:b/>
          <w:bCs/>
        </w:rPr>
      </w:pPr>
    </w:p>
    <w:p w14:paraId="0D45192A" w14:textId="1A2EF796" w:rsidR="001D6188" w:rsidRPr="000F3D7C" w:rsidRDefault="00A51BE6" w:rsidP="00500CC3">
      <w:pPr>
        <w:pStyle w:val="ListParagraph"/>
        <w:numPr>
          <w:ilvl w:val="0"/>
          <w:numId w:val="56"/>
        </w:numPr>
        <w:ind w:left="1560"/>
        <w:contextualSpacing w:val="0"/>
        <w:rPr>
          <w:b/>
        </w:rPr>
      </w:pPr>
      <w:r w:rsidRPr="001D6188">
        <w:rPr>
          <w:b/>
          <w:bCs/>
        </w:rPr>
        <w:t xml:space="preserve">effectively monitor and develop measures in NI prisons aimed at reducing prisoner violence. </w:t>
      </w:r>
    </w:p>
    <w:p w14:paraId="42537082" w14:textId="77777777" w:rsidR="00815AC1" w:rsidRPr="00815AC1" w:rsidRDefault="00815AC1" w:rsidP="00815AC1">
      <w:pPr>
        <w:pStyle w:val="ListParagraph"/>
        <w:rPr>
          <w:b/>
        </w:rPr>
      </w:pPr>
    </w:p>
    <w:p w14:paraId="6917AF89" w14:textId="456B3D20" w:rsidR="00815AC1" w:rsidRPr="006B6149" w:rsidRDefault="002925AB" w:rsidP="00500CC3">
      <w:pPr>
        <w:pStyle w:val="ListParagraph"/>
        <w:numPr>
          <w:ilvl w:val="0"/>
          <w:numId w:val="61"/>
        </w:numPr>
        <w:ind w:left="1560"/>
        <w:rPr>
          <w:b/>
        </w:rPr>
      </w:pPr>
      <w:r>
        <w:rPr>
          <w:b/>
        </w:rPr>
        <w:t xml:space="preserve">ensure </w:t>
      </w:r>
      <w:r w:rsidR="00815AC1" w:rsidRPr="006B6149">
        <w:rPr>
          <w:b/>
        </w:rPr>
        <w:t>all prisoners in NI have access to effective mental healthcare and support</w:t>
      </w:r>
      <w:r w:rsidR="00815AC1">
        <w:rPr>
          <w:b/>
        </w:rPr>
        <w:t>.</w:t>
      </w:r>
    </w:p>
    <w:p w14:paraId="4CB60312" w14:textId="77777777" w:rsidR="00815AC1" w:rsidRPr="006B6149" w:rsidRDefault="00815AC1" w:rsidP="00500CC3">
      <w:pPr>
        <w:pStyle w:val="ListParagraph"/>
        <w:ind w:left="1560"/>
        <w:rPr>
          <w:b/>
        </w:rPr>
      </w:pPr>
    </w:p>
    <w:p w14:paraId="7DA09D61" w14:textId="791A8313" w:rsidR="00815AC1" w:rsidRPr="006B6149" w:rsidRDefault="00815AC1" w:rsidP="00500CC3">
      <w:pPr>
        <w:pStyle w:val="ListParagraph"/>
        <w:numPr>
          <w:ilvl w:val="0"/>
          <w:numId w:val="61"/>
        </w:numPr>
        <w:ind w:left="1560"/>
        <w:rPr>
          <w:b/>
        </w:rPr>
      </w:pPr>
      <w:r w:rsidRPr="006B6149">
        <w:rPr>
          <w:b/>
        </w:rPr>
        <w:t xml:space="preserve">address </w:t>
      </w:r>
      <w:r w:rsidR="00C95695">
        <w:rPr>
          <w:b/>
        </w:rPr>
        <w:t xml:space="preserve">issues with rehabilitation and release planning, </w:t>
      </w:r>
      <w:r w:rsidRPr="006B6149">
        <w:rPr>
          <w:b/>
        </w:rPr>
        <w:t xml:space="preserve">drug use and poor hygiene </w:t>
      </w:r>
      <w:r w:rsidR="006069B4">
        <w:rPr>
          <w:b/>
        </w:rPr>
        <w:t>with</w:t>
      </w:r>
      <w:r w:rsidRPr="006B6149">
        <w:rPr>
          <w:b/>
        </w:rPr>
        <w:t>in NI prisons</w:t>
      </w:r>
      <w:r>
        <w:rPr>
          <w:b/>
        </w:rPr>
        <w:t>.</w:t>
      </w:r>
    </w:p>
    <w:p w14:paraId="04A32E62" w14:textId="77777777" w:rsidR="000A1D0A" w:rsidRPr="001A05C7" w:rsidRDefault="000A1D0A" w:rsidP="00083FFB">
      <w:pPr>
        <w:ind w:left="0"/>
      </w:pPr>
    </w:p>
    <w:p w14:paraId="43F3BBA8" w14:textId="6C4AB009" w:rsidR="00C52DF0" w:rsidRPr="00892778" w:rsidRDefault="00141947" w:rsidP="00892778">
      <w:pPr>
        <w:pStyle w:val="Heading2"/>
        <w:rPr>
          <w:sz w:val="28"/>
          <w:szCs w:val="24"/>
        </w:rPr>
      </w:pPr>
      <w:bookmarkStart w:id="51" w:name="_Toc156901023"/>
      <w:r w:rsidRPr="00566BCB">
        <w:rPr>
          <w:sz w:val="28"/>
          <w:szCs w:val="24"/>
        </w:rPr>
        <w:t xml:space="preserve">Women </w:t>
      </w:r>
      <w:r w:rsidR="00034893" w:rsidRPr="00566BCB">
        <w:rPr>
          <w:sz w:val="28"/>
          <w:szCs w:val="24"/>
        </w:rPr>
        <w:t xml:space="preserve">in </w:t>
      </w:r>
      <w:r w:rsidRPr="00566BCB">
        <w:rPr>
          <w:sz w:val="28"/>
          <w:szCs w:val="24"/>
        </w:rPr>
        <w:t>detention</w:t>
      </w:r>
      <w:bookmarkEnd w:id="51"/>
      <w:r w:rsidRPr="00566BCB">
        <w:rPr>
          <w:sz w:val="28"/>
          <w:szCs w:val="24"/>
        </w:rPr>
        <w:t xml:space="preserve"> </w:t>
      </w:r>
    </w:p>
    <w:p w14:paraId="7872FDF6" w14:textId="24E8536B" w:rsidR="00C52DF0" w:rsidRPr="001A79F7" w:rsidRDefault="007C1B87" w:rsidP="00500CC3">
      <w:pPr>
        <w:pStyle w:val="ListParagraph"/>
        <w:numPr>
          <w:ilvl w:val="1"/>
          <w:numId w:val="24"/>
        </w:numPr>
        <w:ind w:left="851" w:hanging="851"/>
        <w:contextualSpacing w:val="0"/>
      </w:pPr>
      <w:r>
        <w:rPr>
          <w:color w:val="000000"/>
        </w:rPr>
        <w:t>In NI, w</w:t>
      </w:r>
      <w:r w:rsidR="00C52DF0" w:rsidRPr="001A79F7">
        <w:rPr>
          <w:color w:val="000000"/>
        </w:rPr>
        <w:t xml:space="preserve">omen immigration detainees </w:t>
      </w:r>
      <w:r w:rsidR="002A2F5D">
        <w:rPr>
          <w:color w:val="000000"/>
        </w:rPr>
        <w:t xml:space="preserve">are </w:t>
      </w:r>
      <w:r w:rsidR="00E4749E">
        <w:rPr>
          <w:color w:val="000000"/>
        </w:rPr>
        <w:t>held with men in</w:t>
      </w:r>
      <w:r w:rsidR="00CA1A64">
        <w:rPr>
          <w:color w:val="000000"/>
        </w:rPr>
        <w:t xml:space="preserve"> Larne House</w:t>
      </w:r>
      <w:r w:rsidR="00A03FF9">
        <w:rPr>
          <w:color w:val="000000"/>
        </w:rPr>
        <w:t>, with limited separation</w:t>
      </w:r>
      <w:r w:rsidR="003847DA">
        <w:rPr>
          <w:color w:val="000000"/>
        </w:rPr>
        <w:t>.</w:t>
      </w:r>
      <w:r w:rsidR="00C52DF0" w:rsidRPr="001A79F7">
        <w:rPr>
          <w:rStyle w:val="FootnoteReference"/>
          <w:color w:val="000000"/>
        </w:rPr>
        <w:footnoteReference w:id="225"/>
      </w:r>
      <w:r w:rsidR="00C52DF0" w:rsidRPr="001A79F7">
        <w:rPr>
          <w:color w:val="000000"/>
        </w:rPr>
        <w:t xml:space="preserve"> In 2023, tenders </w:t>
      </w:r>
      <w:r w:rsidR="003122C7">
        <w:rPr>
          <w:color w:val="000000"/>
        </w:rPr>
        <w:t xml:space="preserve">were submitted </w:t>
      </w:r>
      <w:r w:rsidR="00C52DF0" w:rsidRPr="001A79F7">
        <w:rPr>
          <w:color w:val="000000"/>
        </w:rPr>
        <w:t xml:space="preserve">for alterations, including a separate communal room for women </w:t>
      </w:r>
      <w:r w:rsidR="00C52DF0" w:rsidRPr="001A79F7">
        <w:rPr>
          <w:color w:val="000000"/>
        </w:rPr>
        <w:lastRenderedPageBreak/>
        <w:t>detainees.</w:t>
      </w:r>
      <w:r w:rsidR="00C52DF0" w:rsidRPr="001A79F7">
        <w:rPr>
          <w:rStyle w:val="FootnoteReference"/>
          <w:color w:val="000000"/>
        </w:rPr>
        <w:footnoteReference w:id="226"/>
      </w:r>
      <w:r w:rsidR="002011A0" w:rsidRPr="002011A0">
        <w:t xml:space="preserve"> </w:t>
      </w:r>
      <w:r w:rsidR="002011A0">
        <w:t>T</w:t>
      </w:r>
      <w:r w:rsidR="002011A0" w:rsidRPr="007500A7">
        <w:t xml:space="preserve">he target date for the delivery of the </w:t>
      </w:r>
      <w:r w:rsidR="0000593D">
        <w:t>alterations is 2025</w:t>
      </w:r>
      <w:r w:rsidR="002011A0" w:rsidRPr="007500A7">
        <w:t>, subject to the necessary funding</w:t>
      </w:r>
      <w:r w:rsidR="0000593D">
        <w:t>.</w:t>
      </w:r>
      <w:r w:rsidR="00AB4619">
        <w:t xml:space="preserve"> </w:t>
      </w:r>
    </w:p>
    <w:p w14:paraId="6D00C987" w14:textId="77777777" w:rsidR="007500A7" w:rsidRPr="007500A7" w:rsidRDefault="007500A7" w:rsidP="00500CC3">
      <w:pPr>
        <w:pStyle w:val="ListParagraph"/>
        <w:ind w:left="851" w:hanging="851"/>
        <w:rPr>
          <w:color w:val="000000"/>
        </w:rPr>
      </w:pPr>
    </w:p>
    <w:p w14:paraId="6E85BE1A" w14:textId="6C50D057" w:rsidR="00C52DF0" w:rsidRDefault="00C52DF0" w:rsidP="00500CC3">
      <w:pPr>
        <w:pStyle w:val="ListParagraph"/>
        <w:numPr>
          <w:ilvl w:val="1"/>
          <w:numId w:val="24"/>
        </w:numPr>
        <w:ind w:left="851" w:hanging="851"/>
        <w:contextualSpacing w:val="0"/>
      </w:pPr>
      <w:r w:rsidRPr="001A79F7">
        <w:rPr>
          <w:color w:val="000000"/>
        </w:rPr>
        <w:t>The Illegal Migration Act 2023 allows pregnant women to be detained for up to 72 hours, or up to seven days if authorised by a Minister of the Crown.</w:t>
      </w:r>
      <w:r w:rsidRPr="001A79F7">
        <w:rPr>
          <w:rStyle w:val="FootnoteReference"/>
          <w:color w:val="000000"/>
        </w:rPr>
        <w:footnoteReference w:id="227"/>
      </w:r>
      <w:r w:rsidRPr="001A79F7">
        <w:rPr>
          <w:color w:val="000000"/>
        </w:rPr>
        <w:t xml:space="preserve"> The Royal College of Midwives </w:t>
      </w:r>
      <w:r w:rsidR="0077781A">
        <w:rPr>
          <w:color w:val="000000"/>
        </w:rPr>
        <w:t xml:space="preserve">advises </w:t>
      </w:r>
      <w:r w:rsidRPr="001A79F7">
        <w:rPr>
          <w:color w:val="000000"/>
        </w:rPr>
        <w:t xml:space="preserve">that a 72-hour detention period can be harmful and that </w:t>
      </w:r>
      <w:r w:rsidRPr="001A79F7">
        <w:t>the practice of detaining pregnant women for immigration purposes must end.</w:t>
      </w:r>
      <w:r w:rsidRPr="001A79F7">
        <w:rPr>
          <w:rStyle w:val="FootnoteReference"/>
        </w:rPr>
        <w:footnoteReference w:id="228"/>
      </w:r>
    </w:p>
    <w:p w14:paraId="56A15DAC" w14:textId="77777777" w:rsidR="008E3255" w:rsidRDefault="008E3255" w:rsidP="00500CC3">
      <w:pPr>
        <w:pStyle w:val="ListParagraph"/>
        <w:ind w:left="851" w:hanging="851"/>
      </w:pPr>
    </w:p>
    <w:p w14:paraId="2EED09E5" w14:textId="0CF11FF1" w:rsidR="008E3255" w:rsidRDefault="00242204" w:rsidP="00500CC3">
      <w:pPr>
        <w:pStyle w:val="ListParagraph"/>
        <w:numPr>
          <w:ilvl w:val="1"/>
          <w:numId w:val="24"/>
        </w:numPr>
        <w:ind w:left="851" w:hanging="851"/>
        <w:contextualSpacing w:val="0"/>
      </w:pPr>
      <w:bookmarkStart w:id="52" w:name="_Hlk155885456"/>
      <w:r>
        <w:t>I</w:t>
      </w:r>
      <w:r w:rsidR="0086239B">
        <w:t>ndividuals held</w:t>
      </w:r>
      <w:r w:rsidR="00D04E58">
        <w:t xml:space="preserve"> in</w:t>
      </w:r>
      <w:r w:rsidR="007707A9">
        <w:t xml:space="preserve"> Larne House </w:t>
      </w:r>
      <w:r>
        <w:t>are</w:t>
      </w:r>
      <w:r w:rsidR="007707A9">
        <w:t xml:space="preserve"> </w:t>
      </w:r>
      <w:r w:rsidR="00881BAD">
        <w:t xml:space="preserve">transferred </w:t>
      </w:r>
      <w:r w:rsidR="00247DEF">
        <w:t>to long-term holding facilities in other parts of the UK</w:t>
      </w:r>
      <w:r>
        <w:t>. There are concerns that</w:t>
      </w:r>
      <w:r w:rsidR="00044CB3">
        <w:t xml:space="preserve"> such individuals, particularly women, </w:t>
      </w:r>
      <w:r w:rsidR="006F235B">
        <w:t>do not have consistent access to</w:t>
      </w:r>
      <w:r>
        <w:t xml:space="preserve"> </w:t>
      </w:r>
      <w:r w:rsidR="00044CB3">
        <w:t>identified safeguarding requirements or specialised support</w:t>
      </w:r>
      <w:bookmarkEnd w:id="52"/>
      <w:r w:rsidR="00D04E58">
        <w:t>.</w:t>
      </w:r>
      <w:r w:rsidR="00D04E58">
        <w:rPr>
          <w:rStyle w:val="FootnoteReference"/>
        </w:rPr>
        <w:footnoteReference w:id="229"/>
      </w:r>
    </w:p>
    <w:p w14:paraId="1BDACF7A" w14:textId="77777777" w:rsidR="00C52DF0" w:rsidRPr="007500A7" w:rsidRDefault="00C52DF0" w:rsidP="00500CC3">
      <w:pPr>
        <w:pStyle w:val="ListParagraph"/>
        <w:ind w:left="851" w:hanging="851"/>
        <w:rPr>
          <w:b/>
        </w:rPr>
      </w:pPr>
    </w:p>
    <w:p w14:paraId="345641AE" w14:textId="14AF8B16" w:rsidR="00C52DF0" w:rsidRPr="007500A7" w:rsidRDefault="00C52DF0" w:rsidP="00500CC3">
      <w:pPr>
        <w:pStyle w:val="ListParagraph"/>
        <w:numPr>
          <w:ilvl w:val="1"/>
          <w:numId w:val="24"/>
        </w:numPr>
        <w:ind w:left="851" w:hanging="851"/>
        <w:contextualSpacing w:val="0"/>
      </w:pPr>
      <w:r w:rsidRPr="006B6149">
        <w:rPr>
          <w:b/>
        </w:rPr>
        <w:t xml:space="preserve">The Committee may wish to </w:t>
      </w:r>
      <w:r w:rsidR="00951B78">
        <w:rPr>
          <w:b/>
        </w:rPr>
        <w:t>recommend that</w:t>
      </w:r>
      <w:r w:rsidR="00951B78" w:rsidRPr="006B6149">
        <w:rPr>
          <w:b/>
        </w:rPr>
        <w:t xml:space="preserve"> </w:t>
      </w:r>
      <w:r w:rsidRPr="006B6149">
        <w:rPr>
          <w:b/>
        </w:rPr>
        <w:t xml:space="preserve">the UK </w:t>
      </w:r>
      <w:r w:rsidR="00951B78">
        <w:rPr>
          <w:b/>
        </w:rPr>
        <w:t>takes</w:t>
      </w:r>
      <w:r w:rsidRPr="006B6149">
        <w:rPr>
          <w:b/>
        </w:rPr>
        <w:t xml:space="preserve"> effective </w:t>
      </w:r>
      <w:r w:rsidR="00064A8D">
        <w:rPr>
          <w:b/>
        </w:rPr>
        <w:t>steps</w:t>
      </w:r>
      <w:r w:rsidRPr="006B6149">
        <w:rPr>
          <w:b/>
        </w:rPr>
        <w:t xml:space="preserve"> to ensure:</w:t>
      </w:r>
    </w:p>
    <w:p w14:paraId="6C227930" w14:textId="77777777" w:rsidR="00C52DF0" w:rsidRPr="006B6149" w:rsidRDefault="00C52DF0" w:rsidP="00C52DF0">
      <w:pPr>
        <w:pStyle w:val="ListParagraph"/>
        <w:rPr>
          <w:b/>
        </w:rPr>
      </w:pPr>
    </w:p>
    <w:p w14:paraId="0190237F" w14:textId="77318ED9" w:rsidR="00C52DF0" w:rsidRDefault="00C52DF0" w:rsidP="00500CC3">
      <w:pPr>
        <w:pStyle w:val="ListParagraph"/>
        <w:numPr>
          <w:ilvl w:val="0"/>
          <w:numId w:val="61"/>
        </w:numPr>
        <w:ind w:left="1560"/>
        <w:rPr>
          <w:b/>
        </w:rPr>
      </w:pPr>
      <w:r>
        <w:rPr>
          <w:b/>
        </w:rPr>
        <w:t>the prompt</w:t>
      </w:r>
      <w:r w:rsidRPr="00E0412F">
        <w:rPr>
          <w:b/>
        </w:rPr>
        <w:t xml:space="preserve"> develop</w:t>
      </w:r>
      <w:r>
        <w:rPr>
          <w:b/>
        </w:rPr>
        <w:t>ment of</w:t>
      </w:r>
      <w:r w:rsidRPr="00E0412F">
        <w:rPr>
          <w:b/>
        </w:rPr>
        <w:t xml:space="preserve"> a separate custodial facility for </w:t>
      </w:r>
      <w:r>
        <w:rPr>
          <w:b/>
        </w:rPr>
        <w:t xml:space="preserve">NI </w:t>
      </w:r>
      <w:r w:rsidRPr="00E0412F">
        <w:rPr>
          <w:b/>
        </w:rPr>
        <w:t>women</w:t>
      </w:r>
      <w:r w:rsidR="00951B78">
        <w:rPr>
          <w:b/>
        </w:rPr>
        <w:t>.</w:t>
      </w:r>
    </w:p>
    <w:p w14:paraId="11AE78C2" w14:textId="77777777" w:rsidR="00C52DF0" w:rsidRDefault="00C52DF0" w:rsidP="00500CC3">
      <w:pPr>
        <w:pStyle w:val="ListParagraph"/>
        <w:ind w:left="1560"/>
        <w:rPr>
          <w:b/>
        </w:rPr>
      </w:pPr>
    </w:p>
    <w:p w14:paraId="6D5B781A" w14:textId="43422320" w:rsidR="00C52DF0" w:rsidRDefault="00C52DF0" w:rsidP="00500CC3">
      <w:pPr>
        <w:pStyle w:val="ListParagraph"/>
        <w:numPr>
          <w:ilvl w:val="0"/>
          <w:numId w:val="61"/>
        </w:numPr>
        <w:ind w:left="1560"/>
        <w:rPr>
          <w:b/>
        </w:rPr>
      </w:pPr>
      <w:r>
        <w:rPr>
          <w:b/>
        </w:rPr>
        <w:t>that pregnant women are not detained for immigration purposes under the new Illegal Migration Act 2023</w:t>
      </w:r>
      <w:r w:rsidR="00951B78">
        <w:rPr>
          <w:b/>
        </w:rPr>
        <w:t>.</w:t>
      </w:r>
    </w:p>
    <w:p w14:paraId="2A895FFD" w14:textId="77777777" w:rsidR="00AC2625" w:rsidRPr="00AC2625" w:rsidRDefault="00AC2625" w:rsidP="00500CC3">
      <w:pPr>
        <w:pStyle w:val="ListParagraph"/>
        <w:ind w:left="1560"/>
        <w:rPr>
          <w:b/>
        </w:rPr>
      </w:pPr>
    </w:p>
    <w:p w14:paraId="3E003F4E" w14:textId="4143CA82" w:rsidR="00AC2625" w:rsidRDefault="00AC2625" w:rsidP="00500CC3">
      <w:pPr>
        <w:pStyle w:val="ListParagraph"/>
        <w:numPr>
          <w:ilvl w:val="0"/>
          <w:numId w:val="61"/>
        </w:numPr>
        <w:ind w:left="1560"/>
        <w:rPr>
          <w:b/>
        </w:rPr>
      </w:pPr>
      <w:r>
        <w:rPr>
          <w:b/>
        </w:rPr>
        <w:t xml:space="preserve">that </w:t>
      </w:r>
      <w:r w:rsidR="00A03FF9">
        <w:rPr>
          <w:b/>
        </w:rPr>
        <w:t>individuals, particularly women,</w:t>
      </w:r>
      <w:r>
        <w:rPr>
          <w:b/>
        </w:rPr>
        <w:t xml:space="preserve"> held </w:t>
      </w:r>
      <w:r w:rsidR="00562D20">
        <w:rPr>
          <w:b/>
        </w:rPr>
        <w:t xml:space="preserve">at any point </w:t>
      </w:r>
      <w:r>
        <w:rPr>
          <w:b/>
        </w:rPr>
        <w:t xml:space="preserve">in Larne House </w:t>
      </w:r>
      <w:r w:rsidR="006E5C9E">
        <w:rPr>
          <w:b/>
        </w:rPr>
        <w:t xml:space="preserve">have </w:t>
      </w:r>
      <w:r w:rsidR="0019374C">
        <w:rPr>
          <w:b/>
        </w:rPr>
        <w:t xml:space="preserve">consistent access to </w:t>
      </w:r>
      <w:r w:rsidR="00D637C2">
        <w:rPr>
          <w:b/>
        </w:rPr>
        <w:t>required</w:t>
      </w:r>
      <w:r w:rsidR="00C52EAE">
        <w:rPr>
          <w:b/>
        </w:rPr>
        <w:t xml:space="preserve"> </w:t>
      </w:r>
      <w:r w:rsidR="007A04E1">
        <w:rPr>
          <w:b/>
        </w:rPr>
        <w:t xml:space="preserve">safeguarding or specialised support </w:t>
      </w:r>
      <w:r w:rsidR="00D20E8A">
        <w:rPr>
          <w:b/>
        </w:rPr>
        <w:t>throughout the</w:t>
      </w:r>
      <w:r w:rsidR="00FF61B5">
        <w:rPr>
          <w:b/>
        </w:rPr>
        <w:t xml:space="preserve"> entirety of their</w:t>
      </w:r>
      <w:r w:rsidR="00D20E8A">
        <w:rPr>
          <w:b/>
        </w:rPr>
        <w:t xml:space="preserve"> immigration </w:t>
      </w:r>
      <w:r w:rsidR="007A04E1">
        <w:rPr>
          <w:b/>
        </w:rPr>
        <w:t xml:space="preserve">application </w:t>
      </w:r>
      <w:r w:rsidR="00FF61B5">
        <w:rPr>
          <w:b/>
        </w:rPr>
        <w:t>process</w:t>
      </w:r>
      <w:r w:rsidR="009A4C1E">
        <w:rPr>
          <w:b/>
        </w:rPr>
        <w:t>.</w:t>
      </w:r>
    </w:p>
    <w:p w14:paraId="68589306" w14:textId="290D2AC4" w:rsidR="00CA61B1" w:rsidRPr="00587912" w:rsidRDefault="00CA61B1" w:rsidP="003A6C64">
      <w:pPr>
        <w:ind w:left="993" w:hanging="1004"/>
      </w:pPr>
    </w:p>
    <w:p w14:paraId="03CE280F" w14:textId="0D672E65" w:rsidR="00E16761" w:rsidRPr="004B7A8F" w:rsidRDefault="008A44E7" w:rsidP="004B7A8F">
      <w:pPr>
        <w:pStyle w:val="Heading1"/>
        <w:numPr>
          <w:ilvl w:val="0"/>
          <w:numId w:val="25"/>
        </w:numPr>
        <w:spacing w:before="0" w:after="240" w:line="288" w:lineRule="auto"/>
        <w:ind w:left="993" w:hanging="993"/>
      </w:pPr>
      <w:bookmarkStart w:id="53" w:name="_Toc156901024"/>
      <w:r>
        <w:lastRenderedPageBreak/>
        <w:t>Article 1</w:t>
      </w:r>
      <w:r w:rsidR="00357CCD">
        <w:t>2</w:t>
      </w:r>
      <w:r>
        <w:t xml:space="preserve"> – </w:t>
      </w:r>
      <w:r w:rsidR="00357CCD">
        <w:t xml:space="preserve">Freedom of </w:t>
      </w:r>
      <w:r w:rsidR="00670428">
        <w:t>M</w:t>
      </w:r>
      <w:r w:rsidR="00357CCD">
        <w:t>ovement</w:t>
      </w:r>
      <w:bookmarkEnd w:id="53"/>
    </w:p>
    <w:p w14:paraId="28DDD744" w14:textId="70FD1C12" w:rsidR="00ED6776" w:rsidRPr="00B1590E" w:rsidRDefault="00B1590E" w:rsidP="00500CC3">
      <w:pPr>
        <w:pStyle w:val="Heading2"/>
        <w:spacing w:after="240" w:line="288" w:lineRule="auto"/>
      </w:pPr>
      <w:bookmarkStart w:id="54" w:name="_Toc156901025"/>
      <w:r w:rsidRPr="0004248E">
        <w:t>Racial profiling</w:t>
      </w:r>
      <w:bookmarkEnd w:id="54"/>
      <w:r>
        <w:t xml:space="preserve"> </w:t>
      </w:r>
    </w:p>
    <w:p w14:paraId="20E5518A" w14:textId="6DF1E4A3" w:rsidR="0031565E" w:rsidRDefault="0031565E" w:rsidP="00500CC3">
      <w:pPr>
        <w:pStyle w:val="ListParagraph"/>
        <w:numPr>
          <w:ilvl w:val="1"/>
          <w:numId w:val="25"/>
        </w:numPr>
        <w:ind w:left="851" w:hanging="851"/>
      </w:pPr>
      <w:r w:rsidRPr="0031565E">
        <w:t>Racial profiling during custom checks have been reported when travelling between NI and other parts of UK and Ireland.</w:t>
      </w:r>
      <w:r w:rsidR="00DA3E8D">
        <w:rPr>
          <w:rStyle w:val="FootnoteReference"/>
        </w:rPr>
        <w:footnoteReference w:id="230"/>
      </w:r>
      <w:r w:rsidRPr="0031565E">
        <w:t xml:space="preserve">  </w:t>
      </w:r>
    </w:p>
    <w:p w14:paraId="6B2F7978" w14:textId="77777777" w:rsidR="0031565E" w:rsidRPr="0031565E" w:rsidRDefault="0031565E" w:rsidP="00500CC3">
      <w:pPr>
        <w:pStyle w:val="ListParagraph"/>
        <w:ind w:left="851" w:hanging="851"/>
      </w:pPr>
    </w:p>
    <w:p w14:paraId="1ABCF642" w14:textId="16E74668" w:rsidR="003E2822" w:rsidRDefault="00C10B41" w:rsidP="22E15799">
      <w:pPr>
        <w:pStyle w:val="ListParagraph"/>
        <w:numPr>
          <w:ilvl w:val="1"/>
          <w:numId w:val="25"/>
        </w:numPr>
        <w:ind w:left="851" w:hanging="851"/>
      </w:pPr>
      <w:r w:rsidRPr="00B1590E">
        <w:rPr>
          <w:rFonts w:eastAsia="Verdana" w:cs="Verdana"/>
          <w:color w:val="000000"/>
        </w:rPr>
        <w:t xml:space="preserve">In </w:t>
      </w:r>
      <w:r w:rsidR="003E2822">
        <w:rPr>
          <w:rFonts w:eastAsia="Verdana" w:cs="Verdana"/>
          <w:color w:val="000000"/>
        </w:rPr>
        <w:t xml:space="preserve">2022, </w:t>
      </w:r>
      <w:r w:rsidR="00F85050" w:rsidRPr="007478BB">
        <w:t xml:space="preserve">the Nationality and Borders Act introduced </w:t>
      </w:r>
      <w:r w:rsidR="003E2822" w:rsidRPr="00706B0B">
        <w:t xml:space="preserve">Electronic Travel Authorisations </w:t>
      </w:r>
      <w:r w:rsidR="00F85050">
        <w:t xml:space="preserve">which will be required </w:t>
      </w:r>
      <w:r w:rsidR="003E2822">
        <w:t>for all non-British citizens who require leave to enter the UK.</w:t>
      </w:r>
      <w:r w:rsidR="003034DE">
        <w:rPr>
          <w:rStyle w:val="FootnoteReference"/>
        </w:rPr>
        <w:footnoteReference w:id="231"/>
      </w:r>
      <w:r w:rsidR="003E2822">
        <w:t xml:space="preserve"> Irish citizens are excluded.</w:t>
      </w:r>
      <w:r w:rsidR="0087005E">
        <w:rPr>
          <w:rStyle w:val="FootnoteReference"/>
        </w:rPr>
        <w:footnoteReference w:id="232"/>
      </w:r>
      <w:r w:rsidR="003E2822">
        <w:t xml:space="preserve"> </w:t>
      </w:r>
      <w:r w:rsidR="00690FCA">
        <w:rPr>
          <w:rFonts w:eastAsia="Verdana" w:cs="Verdana"/>
          <w:color w:val="000000"/>
        </w:rPr>
        <w:t>T</w:t>
      </w:r>
      <w:r w:rsidR="00690FCA" w:rsidRPr="00B1590E">
        <w:rPr>
          <w:rFonts w:eastAsia="Verdana" w:cs="Verdana"/>
          <w:color w:val="000000"/>
        </w:rPr>
        <w:t xml:space="preserve">he UK Government </w:t>
      </w:r>
      <w:r w:rsidR="00690FCA">
        <w:rPr>
          <w:rFonts w:eastAsia="Verdana" w:cs="Verdana"/>
          <w:color w:val="000000"/>
        </w:rPr>
        <w:t>confirmed</w:t>
      </w:r>
      <w:r w:rsidR="00690FCA" w:rsidRPr="00B1590E">
        <w:rPr>
          <w:rFonts w:eastAsia="Verdana" w:cs="Verdana"/>
          <w:color w:val="000000"/>
        </w:rPr>
        <w:t xml:space="preserve"> that </w:t>
      </w:r>
      <w:r w:rsidR="00690FCA">
        <w:rPr>
          <w:rFonts w:eastAsia="Verdana" w:cs="Verdana"/>
          <w:color w:val="000000"/>
        </w:rPr>
        <w:t>non-visa nationals who are</w:t>
      </w:r>
      <w:r w:rsidR="00690FCA" w:rsidRPr="00B1590E">
        <w:rPr>
          <w:rFonts w:eastAsia="Verdana" w:cs="Verdana"/>
          <w:color w:val="000000"/>
        </w:rPr>
        <w:t xml:space="preserve"> lawfully resident in Ireland w</w:t>
      </w:r>
      <w:r w:rsidR="00690FCA">
        <w:rPr>
          <w:rFonts w:eastAsia="Verdana" w:cs="Verdana"/>
          <w:color w:val="000000"/>
        </w:rPr>
        <w:t>ill</w:t>
      </w:r>
      <w:r w:rsidR="00690FCA" w:rsidRPr="00B1590E">
        <w:rPr>
          <w:rFonts w:eastAsia="Verdana" w:cs="Verdana"/>
          <w:color w:val="000000"/>
        </w:rPr>
        <w:t xml:space="preserve"> be exempt from </w:t>
      </w:r>
      <w:r w:rsidR="00690FCA">
        <w:rPr>
          <w:rFonts w:eastAsia="Verdana" w:cs="Verdana"/>
          <w:color w:val="000000"/>
        </w:rPr>
        <w:t>the requirement</w:t>
      </w:r>
      <w:r w:rsidR="00690FCA" w:rsidRPr="00B1590E">
        <w:rPr>
          <w:rFonts w:eastAsia="Verdana" w:cs="Verdana"/>
          <w:color w:val="000000"/>
        </w:rPr>
        <w:t>.</w:t>
      </w:r>
      <w:r w:rsidR="0087005E">
        <w:rPr>
          <w:rStyle w:val="FootnoteReference"/>
          <w:rFonts w:eastAsia="Verdana" w:cs="Verdana"/>
          <w:color w:val="000000"/>
        </w:rPr>
        <w:footnoteReference w:id="233"/>
      </w:r>
      <w:r w:rsidR="00690FCA" w:rsidRPr="00B1590E">
        <w:rPr>
          <w:rFonts w:eastAsia="Verdana" w:cs="Verdana"/>
          <w:color w:val="000000"/>
        </w:rPr>
        <w:t xml:space="preserve"> </w:t>
      </w:r>
      <w:r w:rsidR="00690FCA">
        <w:rPr>
          <w:rFonts w:eastAsia="Verdana" w:cs="Verdana"/>
          <w:color w:val="000000"/>
        </w:rPr>
        <w:t xml:space="preserve">However, </w:t>
      </w:r>
      <w:r w:rsidR="00676806">
        <w:t xml:space="preserve">concerns </w:t>
      </w:r>
      <w:r w:rsidR="00690FCA">
        <w:t xml:space="preserve">remain </w:t>
      </w:r>
      <w:r w:rsidR="00676806">
        <w:t xml:space="preserve">that </w:t>
      </w:r>
      <w:r w:rsidR="00FC487D">
        <w:rPr>
          <w:rStyle w:val="normaltextrun"/>
          <w:color w:val="000000"/>
          <w:shd w:val="clear" w:color="auto" w:fill="FFFFFF"/>
        </w:rPr>
        <w:t xml:space="preserve">a significant number of individuals who do not hold recognised UK immigration status will be affected despite free </w:t>
      </w:r>
      <w:r w:rsidR="00AF23AF">
        <w:rPr>
          <w:rStyle w:val="normaltextrun"/>
          <w:color w:val="000000"/>
          <w:shd w:val="clear" w:color="auto" w:fill="FFFFFF"/>
        </w:rPr>
        <w:t xml:space="preserve">movement </w:t>
      </w:r>
      <w:r w:rsidR="00FC487D">
        <w:rPr>
          <w:rStyle w:val="normaltextrun"/>
          <w:color w:val="000000"/>
          <w:shd w:val="clear" w:color="auto" w:fill="FFFFFF"/>
        </w:rPr>
        <w:t>across the island of Ireland.</w:t>
      </w:r>
      <w:r w:rsidR="005F27ED">
        <w:rPr>
          <w:rStyle w:val="FootnoteReference"/>
          <w:color w:val="000000"/>
          <w:shd w:val="clear" w:color="auto" w:fill="FFFFFF"/>
        </w:rPr>
        <w:footnoteReference w:id="234"/>
      </w:r>
      <w:r w:rsidR="00D63657">
        <w:rPr>
          <w:rStyle w:val="normaltextrun"/>
          <w:color w:val="000000"/>
          <w:shd w:val="clear" w:color="auto" w:fill="FFFFFF"/>
        </w:rPr>
        <w:t xml:space="preserve"> </w:t>
      </w:r>
      <w:r w:rsidR="003034DE">
        <w:rPr>
          <w:rStyle w:val="normaltextrun"/>
          <w:color w:val="000000"/>
          <w:shd w:val="clear" w:color="auto" w:fill="FFFFFF"/>
        </w:rPr>
        <w:t>The</w:t>
      </w:r>
      <w:r w:rsidR="00402503">
        <w:rPr>
          <w:rStyle w:val="normaltextrun"/>
          <w:color w:val="000000"/>
          <w:shd w:val="clear" w:color="auto" w:fill="FFFFFF"/>
        </w:rPr>
        <w:t xml:space="preserve"> increased risk of racial profiling</w:t>
      </w:r>
      <w:r w:rsidR="003034DE">
        <w:rPr>
          <w:rStyle w:val="normaltextrun"/>
          <w:color w:val="000000"/>
          <w:shd w:val="clear" w:color="auto" w:fill="FFFFFF"/>
        </w:rPr>
        <w:t xml:space="preserve"> remains a </w:t>
      </w:r>
      <w:r w:rsidR="00402503">
        <w:rPr>
          <w:rStyle w:val="normaltextrun"/>
          <w:color w:val="000000"/>
          <w:shd w:val="clear" w:color="auto" w:fill="FFFFFF"/>
        </w:rPr>
        <w:t>concer</w:t>
      </w:r>
      <w:r w:rsidR="003034DE">
        <w:rPr>
          <w:rStyle w:val="normaltextrun"/>
          <w:color w:val="000000"/>
          <w:shd w:val="clear" w:color="auto" w:fill="FFFFFF"/>
        </w:rPr>
        <w:t>n</w:t>
      </w:r>
      <w:r w:rsidR="00402503">
        <w:rPr>
          <w:rStyle w:val="normaltextrun"/>
          <w:color w:val="000000"/>
          <w:shd w:val="clear" w:color="auto" w:fill="FFFFFF"/>
        </w:rPr>
        <w:t>.</w:t>
      </w:r>
      <w:r w:rsidR="005F27ED">
        <w:rPr>
          <w:rStyle w:val="FootnoteReference"/>
          <w:color w:val="000000"/>
          <w:shd w:val="clear" w:color="auto" w:fill="FFFFFF"/>
        </w:rPr>
        <w:footnoteReference w:id="235"/>
      </w:r>
    </w:p>
    <w:p w14:paraId="4632C39C" w14:textId="77777777" w:rsidR="009F745A" w:rsidRDefault="009F745A" w:rsidP="00500CC3">
      <w:pPr>
        <w:ind w:left="851" w:hanging="851"/>
      </w:pPr>
    </w:p>
    <w:p w14:paraId="3787C292" w14:textId="2E8C6208" w:rsidR="00324945" w:rsidRPr="00324945" w:rsidRDefault="00C10B41" w:rsidP="00500CC3">
      <w:pPr>
        <w:pStyle w:val="ListParagraph"/>
        <w:numPr>
          <w:ilvl w:val="1"/>
          <w:numId w:val="25"/>
        </w:numPr>
        <w:ind w:left="851" w:hanging="851"/>
        <w:contextualSpacing w:val="0"/>
      </w:pPr>
      <w:r w:rsidRPr="009F745A">
        <w:rPr>
          <w:b/>
        </w:rPr>
        <w:t xml:space="preserve">The Committee may wish </w:t>
      </w:r>
      <w:r w:rsidR="00C83C3B">
        <w:rPr>
          <w:b/>
        </w:rPr>
        <w:t>to</w:t>
      </w:r>
      <w:r w:rsidR="00E6202C">
        <w:rPr>
          <w:b/>
        </w:rPr>
        <w:t xml:space="preserve"> recommend that the UK takes effectives steps to</w:t>
      </w:r>
      <w:r w:rsidR="00932679">
        <w:rPr>
          <w:b/>
        </w:rPr>
        <w:t xml:space="preserve"> ensure that</w:t>
      </w:r>
      <w:r w:rsidR="00324945">
        <w:rPr>
          <w:b/>
        </w:rPr>
        <w:t>:</w:t>
      </w:r>
    </w:p>
    <w:p w14:paraId="6E403CD1" w14:textId="77777777" w:rsidR="00324945" w:rsidRPr="00324945" w:rsidRDefault="00324945" w:rsidP="00324945">
      <w:pPr>
        <w:pStyle w:val="ListParagraph"/>
        <w:rPr>
          <w:b/>
        </w:rPr>
      </w:pPr>
    </w:p>
    <w:p w14:paraId="265A4A79" w14:textId="7B0A7700" w:rsidR="00923F91" w:rsidRDefault="00C10B41" w:rsidP="00500CC3">
      <w:pPr>
        <w:pStyle w:val="ListParagraph"/>
        <w:numPr>
          <w:ilvl w:val="0"/>
          <w:numId w:val="67"/>
        </w:numPr>
        <w:ind w:left="1560"/>
        <w:contextualSpacing w:val="0"/>
        <w:rPr>
          <w:rFonts w:eastAsia="Verdana" w:cs="Verdana"/>
          <w:b/>
          <w:color w:val="000000"/>
        </w:rPr>
      </w:pPr>
      <w:r w:rsidRPr="009F745A">
        <w:rPr>
          <w:rFonts w:eastAsia="Verdana" w:cs="Verdana"/>
          <w:b/>
          <w:color w:val="000000"/>
        </w:rPr>
        <w:t>measures are in place to prohibit racial profiling in immigration checks in the UK, including along the border between NI and Ireland</w:t>
      </w:r>
      <w:r w:rsidR="00274D06">
        <w:rPr>
          <w:rFonts w:eastAsia="Verdana" w:cs="Verdana"/>
          <w:b/>
          <w:color w:val="000000"/>
        </w:rPr>
        <w:t>.</w:t>
      </w:r>
    </w:p>
    <w:p w14:paraId="7348B7D5" w14:textId="77777777" w:rsidR="000B416E" w:rsidRPr="000B416E" w:rsidRDefault="000B416E" w:rsidP="00500CC3">
      <w:pPr>
        <w:pStyle w:val="ListParagraph"/>
        <w:ind w:left="1560"/>
        <w:contextualSpacing w:val="0"/>
      </w:pPr>
    </w:p>
    <w:p w14:paraId="4935147D" w14:textId="18D66E74" w:rsidR="000B416E" w:rsidRPr="009F745A" w:rsidRDefault="000B416E" w:rsidP="22E15799">
      <w:pPr>
        <w:pStyle w:val="ListParagraph"/>
        <w:numPr>
          <w:ilvl w:val="0"/>
          <w:numId w:val="56"/>
        </w:numPr>
        <w:ind w:left="1560"/>
        <w:rPr>
          <w:b/>
          <w:bCs/>
          <w:lang w:val="en-US"/>
        </w:rPr>
      </w:pPr>
      <w:r w:rsidRPr="22E15799">
        <w:rPr>
          <w:b/>
          <w:bCs/>
          <w:lang w:val="en-US"/>
        </w:rPr>
        <w:t xml:space="preserve">all journeys into NI that originate from Ireland should be exempt from Electronic Travel </w:t>
      </w:r>
      <w:r w:rsidRPr="22E15799">
        <w:rPr>
          <w:b/>
          <w:bCs/>
        </w:rPr>
        <w:t>Authorisation</w:t>
      </w:r>
      <w:r w:rsidRPr="22E15799">
        <w:rPr>
          <w:b/>
          <w:bCs/>
          <w:lang w:val="en-US"/>
        </w:rPr>
        <w:t xml:space="preserve"> requirements. </w:t>
      </w:r>
    </w:p>
    <w:p w14:paraId="08ECDDD0" w14:textId="77777777" w:rsidR="000B416E" w:rsidRPr="000B416E" w:rsidRDefault="000B416E" w:rsidP="00500CC3">
      <w:pPr>
        <w:pStyle w:val="ListParagraph"/>
        <w:ind w:left="1560"/>
        <w:contextualSpacing w:val="0"/>
      </w:pPr>
    </w:p>
    <w:p w14:paraId="6AB37DAF" w14:textId="5A998673" w:rsidR="00923F91" w:rsidRPr="00923F91" w:rsidRDefault="00487DB2" w:rsidP="00500CC3">
      <w:pPr>
        <w:pStyle w:val="ListParagraph"/>
        <w:numPr>
          <w:ilvl w:val="0"/>
          <w:numId w:val="56"/>
        </w:numPr>
        <w:ind w:left="1560"/>
        <w:contextualSpacing w:val="0"/>
      </w:pPr>
      <w:r w:rsidRPr="00B1590E">
        <w:rPr>
          <w:b/>
          <w:bCs/>
          <w:lang w:val="en-US"/>
        </w:rPr>
        <w:lastRenderedPageBreak/>
        <w:t xml:space="preserve">the freedom of movement rights </w:t>
      </w:r>
      <w:r w:rsidR="00F85050">
        <w:rPr>
          <w:b/>
          <w:bCs/>
          <w:lang w:val="en-US"/>
        </w:rPr>
        <w:t xml:space="preserve">and other associated rights </w:t>
      </w:r>
      <w:r w:rsidRPr="00B1590E">
        <w:rPr>
          <w:b/>
          <w:bCs/>
          <w:lang w:val="en-US"/>
        </w:rPr>
        <w:t>of the C</w:t>
      </w:r>
      <w:r w:rsidR="00F921F2">
        <w:rPr>
          <w:b/>
          <w:bCs/>
          <w:lang w:val="en-US"/>
        </w:rPr>
        <w:t xml:space="preserve">ommon </w:t>
      </w:r>
      <w:r w:rsidRPr="00B1590E">
        <w:rPr>
          <w:b/>
          <w:bCs/>
          <w:lang w:val="en-US"/>
        </w:rPr>
        <w:t>T</w:t>
      </w:r>
      <w:r w:rsidR="00F921F2">
        <w:rPr>
          <w:b/>
          <w:bCs/>
          <w:lang w:val="en-US"/>
        </w:rPr>
        <w:t xml:space="preserve">ravel </w:t>
      </w:r>
      <w:r w:rsidRPr="00B1590E">
        <w:rPr>
          <w:b/>
          <w:bCs/>
          <w:lang w:val="en-US"/>
        </w:rPr>
        <w:t>A</w:t>
      </w:r>
      <w:r w:rsidR="00F921F2">
        <w:rPr>
          <w:b/>
          <w:bCs/>
          <w:lang w:val="en-US"/>
        </w:rPr>
        <w:t>rea</w:t>
      </w:r>
      <w:r w:rsidRPr="00B1590E">
        <w:rPr>
          <w:b/>
          <w:bCs/>
          <w:lang w:val="en-US"/>
        </w:rPr>
        <w:t xml:space="preserve"> </w:t>
      </w:r>
      <w:r w:rsidR="008249DF" w:rsidRPr="00B1590E">
        <w:rPr>
          <w:b/>
          <w:bCs/>
          <w:lang w:val="en-US"/>
        </w:rPr>
        <w:t>maintains</w:t>
      </w:r>
      <w:r w:rsidRPr="00B1590E">
        <w:rPr>
          <w:b/>
          <w:bCs/>
          <w:lang w:val="en-US"/>
        </w:rPr>
        <w:t xml:space="preserve"> the same level of protection as existed on 31 December 2020.</w:t>
      </w:r>
    </w:p>
    <w:p w14:paraId="7ADC3AEA" w14:textId="77777777" w:rsidR="004A4D4A" w:rsidRDefault="004A4D4A" w:rsidP="003A6C64">
      <w:pPr>
        <w:ind w:left="993" w:hanging="993"/>
      </w:pPr>
    </w:p>
    <w:p w14:paraId="76FAFB79" w14:textId="6DA5402E" w:rsidR="00813B3A" w:rsidRPr="00587912" w:rsidRDefault="00A80FD9" w:rsidP="003A6C64">
      <w:pPr>
        <w:pStyle w:val="Heading1"/>
        <w:spacing w:before="0" w:after="240" w:line="288" w:lineRule="auto"/>
        <w:ind w:left="993" w:hanging="993"/>
      </w:pPr>
      <w:bookmarkStart w:id="55" w:name="_Toc156901026"/>
      <w:r>
        <w:t>1</w:t>
      </w:r>
      <w:r w:rsidR="00C343CE">
        <w:t>1</w:t>
      </w:r>
      <w:r w:rsidR="0091159B">
        <w:t>.0</w:t>
      </w:r>
      <w:r>
        <w:t xml:space="preserve"> </w:t>
      </w:r>
      <w:r w:rsidR="00033C9F" w:rsidRPr="00587912">
        <w:t>Article</w:t>
      </w:r>
      <w:r w:rsidR="00357CCD">
        <w:t xml:space="preserve"> 13 – Non-refoulement</w:t>
      </w:r>
      <w:bookmarkEnd w:id="55"/>
    </w:p>
    <w:p w14:paraId="3CA748D2" w14:textId="77777777" w:rsidR="00587DE5" w:rsidRPr="00587DE5" w:rsidRDefault="00587DE5" w:rsidP="003A6C64">
      <w:pPr>
        <w:pStyle w:val="ListParagraph"/>
        <w:numPr>
          <w:ilvl w:val="0"/>
          <w:numId w:val="25"/>
        </w:numPr>
        <w:ind w:left="993" w:hanging="993"/>
        <w:contextualSpacing w:val="0"/>
        <w:rPr>
          <w:rFonts w:eastAsia="Verdana" w:cs="Verdana"/>
          <w:vanish/>
          <w:color w:val="000000"/>
        </w:rPr>
      </w:pPr>
    </w:p>
    <w:p w14:paraId="5667D4BD" w14:textId="79897AA1" w:rsidR="00677700" w:rsidRDefault="00677700" w:rsidP="00500CC3">
      <w:pPr>
        <w:pStyle w:val="Heading2"/>
      </w:pPr>
      <w:bookmarkStart w:id="56" w:name="_Toc156901027"/>
      <w:r>
        <w:t>Asylum, refugee law and resettlement</w:t>
      </w:r>
      <w:bookmarkEnd w:id="56"/>
    </w:p>
    <w:p w14:paraId="0577C091" w14:textId="32BA347B" w:rsidR="00663EB4" w:rsidRPr="00663EB4" w:rsidRDefault="005A7A2A" w:rsidP="00663EB4">
      <w:pPr>
        <w:pStyle w:val="ListParagraph"/>
        <w:numPr>
          <w:ilvl w:val="1"/>
          <w:numId w:val="25"/>
        </w:numPr>
        <w:ind w:left="851" w:hanging="851"/>
        <w:contextualSpacing w:val="0"/>
      </w:pPr>
      <w:r>
        <w:rPr>
          <w:color w:val="000000"/>
        </w:rPr>
        <w:t>T</w:t>
      </w:r>
      <w:r w:rsidR="001D6636" w:rsidRPr="009F745A">
        <w:rPr>
          <w:color w:val="000000"/>
        </w:rPr>
        <w:t>he Illegal Migration Act 2023 denies</w:t>
      </w:r>
      <w:r w:rsidR="001D6636" w:rsidRPr="00387B72">
        <w:t xml:space="preserve"> access to the UK asylum system for </w:t>
      </w:r>
      <w:r>
        <w:t>individuals</w:t>
      </w:r>
      <w:r w:rsidRPr="00387B72">
        <w:t xml:space="preserve"> </w:t>
      </w:r>
      <w:r w:rsidR="001D6636" w:rsidRPr="00387B72">
        <w:t>who</w:t>
      </w:r>
      <w:r>
        <w:t xml:space="preserve"> have</w:t>
      </w:r>
      <w:r w:rsidR="001D6636" w:rsidRPr="00387B72">
        <w:t xml:space="preserve"> arrive</w:t>
      </w:r>
      <w:r>
        <w:t>d</w:t>
      </w:r>
      <w:r w:rsidR="001D6636" w:rsidRPr="00387B72">
        <w:t xml:space="preserve"> through unofficial routes.</w:t>
      </w:r>
      <w:r w:rsidR="001D6636" w:rsidRPr="00387B72">
        <w:rPr>
          <w:rStyle w:val="FootnoteReference"/>
        </w:rPr>
        <w:footnoteReference w:id="236"/>
      </w:r>
      <w:r w:rsidR="001D6636" w:rsidRPr="00387B72">
        <w:t xml:space="preserve"> It prevents such individuals from presenting claims for protection, no matter how compelling their case may be.</w:t>
      </w:r>
      <w:r w:rsidR="001D6636" w:rsidRPr="00387B72">
        <w:rPr>
          <w:rStyle w:val="FootnoteReference"/>
        </w:rPr>
        <w:footnoteReference w:id="237"/>
      </w:r>
      <w:r w:rsidR="001D6636" w:rsidRPr="00387B72">
        <w:t xml:space="preserve"> </w:t>
      </w:r>
      <w:r w:rsidR="00783050">
        <w:t>I</w:t>
      </w:r>
      <w:r w:rsidR="001D6636" w:rsidRPr="00387B72">
        <w:t>ndividuals c</w:t>
      </w:r>
      <w:r>
        <w:t>an</w:t>
      </w:r>
      <w:r w:rsidR="001D6636" w:rsidRPr="00387B72">
        <w:t xml:space="preserve"> face detention before being removed to another country.</w:t>
      </w:r>
      <w:r w:rsidR="001D6636" w:rsidRPr="00387B72">
        <w:rPr>
          <w:rStyle w:val="FootnoteReference"/>
        </w:rPr>
        <w:footnoteReference w:id="238"/>
      </w:r>
      <w:r w:rsidR="00FE1F33">
        <w:t xml:space="preserve"> The</w:t>
      </w:r>
      <w:r w:rsidR="00783050">
        <w:t>r</w:t>
      </w:r>
      <w:r w:rsidR="00FE1F33">
        <w:t xml:space="preserve">e </w:t>
      </w:r>
      <w:r w:rsidR="00783050">
        <w:t>are</w:t>
      </w:r>
      <w:r w:rsidR="00FE1F33">
        <w:t xml:space="preserve"> concerns </w:t>
      </w:r>
      <w:r w:rsidR="00783050">
        <w:t>with</w:t>
      </w:r>
      <w:r w:rsidR="00FE1F33">
        <w:t xml:space="preserve"> </w:t>
      </w:r>
      <w:r w:rsidR="00FE1F33" w:rsidRPr="22E15799">
        <w:t>limitations on judicial oversight, the removal of support to victims and potential victims of modern slavery and human trafficking, and the weakening of child protection arrangements.</w:t>
      </w:r>
      <w:r w:rsidR="00FE1F33" w:rsidRPr="22E15799">
        <w:rPr>
          <w:rStyle w:val="FootnoteReference"/>
        </w:rPr>
        <w:footnoteReference w:id="239"/>
      </w:r>
      <w:r w:rsidR="00FE1F33">
        <w:rPr>
          <w:szCs w:val="24"/>
        </w:rPr>
        <w:t xml:space="preserve"> </w:t>
      </w:r>
      <w:r w:rsidR="00476D55" w:rsidRPr="22E15799">
        <w:t>The NIHRC is legally challenging the compliance of th</w:t>
      </w:r>
      <w:r w:rsidR="00FC522E" w:rsidRPr="22E15799">
        <w:t>e 2</w:t>
      </w:r>
      <w:r w:rsidR="00476D55" w:rsidRPr="22E15799">
        <w:t>023 Act with the ECHR and Windsor Framework Article 2</w:t>
      </w:r>
      <w:r w:rsidR="00476D55">
        <w:rPr>
          <w:szCs w:val="24"/>
        </w:rPr>
        <w:t>.</w:t>
      </w:r>
      <w:r w:rsidR="00476D55" w:rsidRPr="22E15799">
        <w:rPr>
          <w:rStyle w:val="FootnoteReference"/>
        </w:rPr>
        <w:footnoteReference w:id="240"/>
      </w:r>
      <w:r w:rsidR="00FD4927">
        <w:rPr>
          <w:szCs w:val="24"/>
        </w:rPr>
        <w:t xml:space="preserve"> </w:t>
      </w:r>
      <w:r w:rsidR="00CF6526" w:rsidRPr="00CF6526">
        <w:rPr>
          <w:szCs w:val="24"/>
        </w:rPr>
        <w:t xml:space="preserve">By way of example, section 13(4) of the </w:t>
      </w:r>
      <w:r w:rsidR="00290CD4">
        <w:rPr>
          <w:szCs w:val="24"/>
        </w:rPr>
        <w:t xml:space="preserve">2023 </w:t>
      </w:r>
      <w:r w:rsidR="00CF6526" w:rsidRPr="00CF6526">
        <w:rPr>
          <w:szCs w:val="24"/>
        </w:rPr>
        <w:t xml:space="preserve">Act amends the Immigration Act 2016, restricting access to </w:t>
      </w:r>
      <w:r w:rsidR="007C16BB">
        <w:rPr>
          <w:szCs w:val="24"/>
        </w:rPr>
        <w:t xml:space="preserve">immigration </w:t>
      </w:r>
      <w:r w:rsidR="00CF6526" w:rsidRPr="00CF6526">
        <w:rPr>
          <w:szCs w:val="24"/>
        </w:rPr>
        <w:t xml:space="preserve">bail and </w:t>
      </w:r>
      <w:r w:rsidR="00434C40">
        <w:rPr>
          <w:szCs w:val="24"/>
        </w:rPr>
        <w:t xml:space="preserve">providing that specified detention decisions are “final” and not subject to </w:t>
      </w:r>
      <w:r w:rsidR="00CF6526" w:rsidRPr="00CF6526">
        <w:rPr>
          <w:szCs w:val="24"/>
        </w:rPr>
        <w:t xml:space="preserve">court oversight </w:t>
      </w:r>
      <w:r w:rsidR="00434C40">
        <w:rPr>
          <w:szCs w:val="24"/>
        </w:rPr>
        <w:t>during</w:t>
      </w:r>
      <w:r w:rsidR="00CF6526" w:rsidRPr="00CF6526">
        <w:rPr>
          <w:szCs w:val="24"/>
        </w:rPr>
        <w:t xml:space="preserve"> the first 28 days</w:t>
      </w:r>
      <w:r w:rsidR="000E527D">
        <w:rPr>
          <w:szCs w:val="24"/>
        </w:rPr>
        <w:t>,</w:t>
      </w:r>
      <w:r w:rsidR="00BD69F9">
        <w:rPr>
          <w:szCs w:val="24"/>
        </w:rPr>
        <w:t xml:space="preserve"> </w:t>
      </w:r>
      <w:r w:rsidR="00AF41AD">
        <w:rPr>
          <w:szCs w:val="24"/>
        </w:rPr>
        <w:t xml:space="preserve">subject to </w:t>
      </w:r>
      <w:r w:rsidR="000E527D">
        <w:rPr>
          <w:szCs w:val="24"/>
        </w:rPr>
        <w:t>limited</w:t>
      </w:r>
      <w:r w:rsidR="00AF41AD">
        <w:rPr>
          <w:szCs w:val="24"/>
        </w:rPr>
        <w:t xml:space="preserve"> </w:t>
      </w:r>
      <w:r w:rsidR="00864C42">
        <w:rPr>
          <w:szCs w:val="24"/>
        </w:rPr>
        <w:t>exceptions</w:t>
      </w:r>
      <w:r w:rsidR="00CF6526" w:rsidRPr="00CF6526">
        <w:rPr>
          <w:szCs w:val="24"/>
        </w:rPr>
        <w:t xml:space="preserve">. By contrast, </w:t>
      </w:r>
      <w:r w:rsidR="00344D56">
        <w:rPr>
          <w:szCs w:val="24"/>
        </w:rPr>
        <w:t xml:space="preserve">the </w:t>
      </w:r>
      <w:r w:rsidR="00CF6526" w:rsidRPr="00CF6526">
        <w:rPr>
          <w:szCs w:val="24"/>
        </w:rPr>
        <w:t>EU Procedures Directive, which was binding on the UK before Brexit, required “</w:t>
      </w:r>
      <w:r w:rsidR="00344D56">
        <w:rPr>
          <w:szCs w:val="24"/>
        </w:rPr>
        <w:t>w</w:t>
      </w:r>
      <w:r w:rsidR="00CF6526" w:rsidRPr="00CF6526">
        <w:rPr>
          <w:szCs w:val="24"/>
        </w:rPr>
        <w:t>here an applicant for asylum is held in detention, Member States shall ensure that there is a possibility of speedy judicial review”</w:t>
      </w:r>
      <w:r w:rsidR="00306276">
        <w:rPr>
          <w:szCs w:val="24"/>
        </w:rPr>
        <w:t>.</w:t>
      </w:r>
      <w:r w:rsidR="00306276">
        <w:rPr>
          <w:rStyle w:val="FootnoteReference"/>
          <w:szCs w:val="24"/>
        </w:rPr>
        <w:footnoteReference w:id="241"/>
      </w:r>
      <w:r w:rsidR="00CF6526" w:rsidRPr="00CF6526">
        <w:rPr>
          <w:szCs w:val="24"/>
        </w:rPr>
        <w:t xml:space="preserve"> The </w:t>
      </w:r>
      <w:r w:rsidR="00344D56">
        <w:rPr>
          <w:szCs w:val="24"/>
        </w:rPr>
        <w:t>NIHRC</w:t>
      </w:r>
      <w:r w:rsidR="00CF6526" w:rsidRPr="00CF6526">
        <w:rPr>
          <w:szCs w:val="24"/>
        </w:rPr>
        <w:t xml:space="preserve"> considers this a diminution of rights, contrary to Windsor Framework Article 2.</w:t>
      </w:r>
    </w:p>
    <w:p w14:paraId="0489588C" w14:textId="77777777" w:rsidR="00663EB4" w:rsidRPr="00663EB4" w:rsidRDefault="00663EB4" w:rsidP="00663EB4">
      <w:pPr>
        <w:pStyle w:val="ListParagraph"/>
        <w:ind w:left="851"/>
        <w:contextualSpacing w:val="0"/>
      </w:pPr>
    </w:p>
    <w:p w14:paraId="100B8AB7" w14:textId="4535C1D1" w:rsidR="000C5DD2" w:rsidRPr="00663EB4" w:rsidRDefault="008164F7" w:rsidP="00663EB4">
      <w:pPr>
        <w:pStyle w:val="ListParagraph"/>
        <w:numPr>
          <w:ilvl w:val="1"/>
          <w:numId w:val="25"/>
        </w:numPr>
        <w:ind w:left="851" w:hanging="851"/>
        <w:contextualSpacing w:val="0"/>
      </w:pPr>
      <w:r w:rsidRPr="00663EB4">
        <w:rPr>
          <w:color w:val="000000"/>
        </w:rPr>
        <w:t>T</w:t>
      </w:r>
      <w:r w:rsidR="001D6636" w:rsidRPr="00663EB4">
        <w:rPr>
          <w:color w:val="000000"/>
        </w:rPr>
        <w:t xml:space="preserve">he use of </w:t>
      </w:r>
      <w:r w:rsidR="007A5216" w:rsidRPr="00663EB4">
        <w:rPr>
          <w:color w:val="000000"/>
        </w:rPr>
        <w:t xml:space="preserve">privately managed </w:t>
      </w:r>
      <w:r w:rsidR="001D6636" w:rsidRPr="00663EB4">
        <w:rPr>
          <w:color w:val="000000"/>
        </w:rPr>
        <w:t>‘contingency accommodation’</w:t>
      </w:r>
      <w:r w:rsidRPr="00663EB4">
        <w:rPr>
          <w:color w:val="000000"/>
        </w:rPr>
        <w:t xml:space="preserve"> for people seeking asylum</w:t>
      </w:r>
      <w:r w:rsidR="001D6636" w:rsidRPr="00663EB4">
        <w:rPr>
          <w:color w:val="000000"/>
        </w:rPr>
        <w:t xml:space="preserve"> </w:t>
      </w:r>
      <w:r w:rsidRPr="00663EB4">
        <w:rPr>
          <w:color w:val="000000"/>
        </w:rPr>
        <w:t xml:space="preserve">has </w:t>
      </w:r>
      <w:r w:rsidR="001D6636" w:rsidRPr="00663EB4">
        <w:rPr>
          <w:color w:val="000000"/>
        </w:rPr>
        <w:t>increased across the UK.</w:t>
      </w:r>
      <w:r w:rsidR="001D6636" w:rsidRPr="22E15799">
        <w:rPr>
          <w:rStyle w:val="FootnoteReference"/>
        </w:rPr>
        <w:footnoteReference w:id="242"/>
      </w:r>
      <w:r w:rsidR="001D6636" w:rsidRPr="00663EB4">
        <w:rPr>
          <w:color w:val="000000"/>
        </w:rPr>
        <w:t xml:space="preserve"> </w:t>
      </w:r>
      <w:r w:rsidR="0037323F">
        <w:t xml:space="preserve">In NI, </w:t>
      </w:r>
      <w:r w:rsidR="0037323F">
        <w:lastRenderedPageBreak/>
        <w:t>f</w:t>
      </w:r>
      <w:r w:rsidR="00F93642">
        <w:t>amilies, including children, are being kept in hotels for long periods with no set timeframe for moving o</w:t>
      </w:r>
      <w:r w:rsidR="0037323F" w:rsidRPr="00663EB4">
        <w:rPr>
          <w:color w:val="000000"/>
        </w:rPr>
        <w:t>n.</w:t>
      </w:r>
      <w:r w:rsidR="001D6636" w:rsidRPr="22E15799">
        <w:rPr>
          <w:rStyle w:val="FootnoteReference"/>
          <w:color w:val="000000"/>
        </w:rPr>
        <w:footnoteReference w:id="243"/>
      </w:r>
      <w:r w:rsidR="001D6636" w:rsidRPr="00663EB4">
        <w:rPr>
          <w:color w:val="000000"/>
        </w:rPr>
        <w:t xml:space="preserve"> </w:t>
      </w:r>
      <w:r w:rsidR="00531039" w:rsidRPr="00663EB4">
        <w:rPr>
          <w:color w:val="000000"/>
        </w:rPr>
        <w:t>The</w:t>
      </w:r>
      <w:r w:rsidR="001D6636" w:rsidRPr="00663EB4">
        <w:rPr>
          <w:color w:val="000000"/>
        </w:rPr>
        <w:t xml:space="preserve"> move to dispersal accommodation </w:t>
      </w:r>
      <w:r w:rsidR="00D84E56" w:rsidRPr="00663EB4">
        <w:rPr>
          <w:color w:val="000000"/>
        </w:rPr>
        <w:t>can be</w:t>
      </w:r>
      <w:r w:rsidR="00037F7C" w:rsidRPr="00663EB4">
        <w:rPr>
          <w:color w:val="000000"/>
        </w:rPr>
        <w:t xml:space="preserve"> </w:t>
      </w:r>
      <w:r w:rsidR="001D6636" w:rsidRPr="00663EB4">
        <w:rPr>
          <w:color w:val="000000"/>
        </w:rPr>
        <w:t xml:space="preserve">conducted in a threatening way, without advance notice and without any meaningful support to ensure access to </w:t>
      </w:r>
      <w:r w:rsidR="00037F7C" w:rsidRPr="00663EB4">
        <w:rPr>
          <w:color w:val="000000"/>
        </w:rPr>
        <w:t>services</w:t>
      </w:r>
      <w:r w:rsidR="001D6636" w:rsidRPr="00663EB4">
        <w:rPr>
          <w:color w:val="000000"/>
        </w:rPr>
        <w:t>.</w:t>
      </w:r>
      <w:r w:rsidR="001D6636" w:rsidRPr="22E15799">
        <w:rPr>
          <w:rStyle w:val="FootnoteReference"/>
          <w:color w:val="000000"/>
        </w:rPr>
        <w:footnoteReference w:id="244"/>
      </w:r>
      <w:r w:rsidR="00443DC3" w:rsidRPr="00663EB4">
        <w:rPr>
          <w:color w:val="000000"/>
        </w:rPr>
        <w:t xml:space="preserve"> In 2023, the UK Government </w:t>
      </w:r>
      <w:r w:rsidR="00CF2A75" w:rsidRPr="00663EB4">
        <w:rPr>
          <w:color w:val="000000"/>
        </w:rPr>
        <w:t>commenced</w:t>
      </w:r>
      <w:r w:rsidR="00443DC3" w:rsidRPr="00663EB4">
        <w:rPr>
          <w:color w:val="000000"/>
        </w:rPr>
        <w:t xml:space="preserve"> </w:t>
      </w:r>
      <w:r w:rsidR="00334DB4">
        <w:rPr>
          <w:color w:val="000000"/>
        </w:rPr>
        <w:t xml:space="preserve">using </w:t>
      </w:r>
      <w:r w:rsidR="00443DC3" w:rsidRPr="00663EB4">
        <w:rPr>
          <w:color w:val="000000"/>
        </w:rPr>
        <w:t xml:space="preserve">alternative forms of </w:t>
      </w:r>
      <w:r w:rsidR="001722B5" w:rsidRPr="00663EB4">
        <w:rPr>
          <w:color w:val="000000"/>
        </w:rPr>
        <w:t xml:space="preserve">asylum </w:t>
      </w:r>
      <w:r w:rsidR="00443DC3" w:rsidRPr="00663EB4">
        <w:rPr>
          <w:color w:val="000000"/>
        </w:rPr>
        <w:t>accommodation</w:t>
      </w:r>
      <w:r w:rsidR="00196C53" w:rsidRPr="00663EB4">
        <w:rPr>
          <w:color w:val="000000"/>
        </w:rPr>
        <w:t xml:space="preserve">, such as </w:t>
      </w:r>
      <w:r w:rsidR="001722B5" w:rsidRPr="00663EB4">
        <w:rPr>
          <w:color w:val="000000"/>
        </w:rPr>
        <w:t>tents and barges</w:t>
      </w:r>
      <w:r w:rsidR="00443DC3" w:rsidRPr="00663EB4">
        <w:rPr>
          <w:color w:val="000000"/>
        </w:rPr>
        <w:t>.</w:t>
      </w:r>
      <w:r w:rsidR="00443DC3" w:rsidRPr="22E15799">
        <w:rPr>
          <w:rStyle w:val="FootnoteReference"/>
          <w:color w:val="000000"/>
        </w:rPr>
        <w:footnoteReference w:id="245"/>
      </w:r>
    </w:p>
    <w:p w14:paraId="1120C3A3" w14:textId="77777777" w:rsidR="00663EB4" w:rsidRPr="00663EB4" w:rsidRDefault="00663EB4" w:rsidP="00663EB4">
      <w:pPr>
        <w:ind w:left="0"/>
      </w:pPr>
    </w:p>
    <w:p w14:paraId="3E1439B8" w14:textId="7B60DD94" w:rsidR="000C5DD2" w:rsidRPr="0064430C" w:rsidRDefault="001D6636" w:rsidP="00500CC3">
      <w:pPr>
        <w:pStyle w:val="ListParagraph"/>
        <w:numPr>
          <w:ilvl w:val="1"/>
          <w:numId w:val="25"/>
        </w:numPr>
        <w:ind w:left="851" w:hanging="851"/>
        <w:contextualSpacing w:val="0"/>
        <w:rPr>
          <w:szCs w:val="24"/>
        </w:rPr>
      </w:pPr>
      <w:r w:rsidRPr="22E15799">
        <w:rPr>
          <w:color w:val="000000"/>
        </w:rPr>
        <w:t xml:space="preserve">In </w:t>
      </w:r>
      <w:r w:rsidR="007A0615" w:rsidRPr="22E15799">
        <w:rPr>
          <w:color w:val="000000"/>
        </w:rPr>
        <w:t>2024</w:t>
      </w:r>
      <w:r w:rsidRPr="22E15799">
        <w:rPr>
          <w:color w:val="000000"/>
        </w:rPr>
        <w:t xml:space="preserve">, the </w:t>
      </w:r>
      <w:r w:rsidR="007A0615" w:rsidRPr="22E15799">
        <w:rPr>
          <w:color w:val="000000"/>
        </w:rPr>
        <w:t xml:space="preserve">report of the </w:t>
      </w:r>
      <w:r w:rsidRPr="22E15799">
        <w:rPr>
          <w:color w:val="000000"/>
        </w:rPr>
        <w:t xml:space="preserve">Independent Chief Inspector of Borders and Immigration </w:t>
      </w:r>
      <w:r w:rsidR="00FF4F62" w:rsidRPr="22E15799">
        <w:rPr>
          <w:color w:val="000000"/>
        </w:rPr>
        <w:t>on</w:t>
      </w:r>
      <w:r w:rsidRPr="22E15799">
        <w:rPr>
          <w:color w:val="000000"/>
        </w:rPr>
        <w:t xml:space="preserve"> contingency asylum accommodation for families with children in NI</w:t>
      </w:r>
      <w:r w:rsidR="007A0615" w:rsidRPr="22E15799">
        <w:rPr>
          <w:color w:val="000000"/>
        </w:rPr>
        <w:t xml:space="preserve"> is awaited</w:t>
      </w:r>
      <w:r w:rsidRPr="22E15799">
        <w:rPr>
          <w:color w:val="000000"/>
        </w:rPr>
        <w:t>.</w:t>
      </w:r>
      <w:r w:rsidRPr="22E15799">
        <w:rPr>
          <w:rStyle w:val="FootnoteReference"/>
          <w:color w:val="000000"/>
        </w:rPr>
        <w:footnoteReference w:id="246"/>
      </w:r>
      <w:r w:rsidRPr="22E15799">
        <w:rPr>
          <w:color w:val="000000"/>
        </w:rPr>
        <w:t xml:space="preserve"> </w:t>
      </w:r>
    </w:p>
    <w:p w14:paraId="28F71C97" w14:textId="77777777" w:rsidR="000C5DD2" w:rsidRPr="000C5DD2" w:rsidRDefault="000C5DD2" w:rsidP="00500CC3">
      <w:pPr>
        <w:pStyle w:val="ListParagraph"/>
        <w:ind w:left="851" w:hanging="851"/>
        <w:contextualSpacing w:val="0"/>
        <w:rPr>
          <w:b/>
          <w:lang w:val="en"/>
        </w:rPr>
      </w:pPr>
    </w:p>
    <w:p w14:paraId="73DABF13" w14:textId="67C8E5B2" w:rsidR="00DA435C" w:rsidRDefault="001D6636" w:rsidP="00500CC3">
      <w:pPr>
        <w:pStyle w:val="ListParagraph"/>
        <w:numPr>
          <w:ilvl w:val="1"/>
          <w:numId w:val="25"/>
        </w:numPr>
        <w:ind w:left="851" w:hanging="851"/>
        <w:contextualSpacing w:val="0"/>
      </w:pPr>
      <w:r w:rsidRPr="000C5DD2">
        <w:rPr>
          <w:b/>
          <w:lang w:val="en"/>
        </w:rPr>
        <w:t xml:space="preserve">The Committee may wish to </w:t>
      </w:r>
      <w:r w:rsidR="00A83158">
        <w:rPr>
          <w:b/>
          <w:lang w:val="en"/>
        </w:rPr>
        <w:t>recommend that</w:t>
      </w:r>
      <w:r w:rsidR="00A83158" w:rsidRPr="000C5DD2">
        <w:rPr>
          <w:b/>
          <w:lang w:val="en"/>
        </w:rPr>
        <w:t xml:space="preserve"> </w:t>
      </w:r>
      <w:r w:rsidRPr="000C5DD2">
        <w:rPr>
          <w:b/>
          <w:lang w:val="en"/>
        </w:rPr>
        <w:t xml:space="preserve">the UK </w:t>
      </w:r>
      <w:r w:rsidR="00A83158">
        <w:rPr>
          <w:b/>
          <w:lang w:val="en"/>
        </w:rPr>
        <w:t>takes effective steps to</w:t>
      </w:r>
      <w:r w:rsidRPr="000C5DD2">
        <w:rPr>
          <w:b/>
          <w:lang w:val="en"/>
        </w:rPr>
        <w:t xml:space="preserve"> ensure:</w:t>
      </w:r>
      <w:r w:rsidR="00A00D08">
        <w:rPr>
          <w:b/>
          <w:lang w:val="en"/>
        </w:rPr>
        <w:t xml:space="preserve"> </w:t>
      </w:r>
    </w:p>
    <w:p w14:paraId="08DBD082" w14:textId="77777777" w:rsidR="00DA435C" w:rsidRPr="0064430C" w:rsidRDefault="00DA435C" w:rsidP="00870252"/>
    <w:p w14:paraId="48B9B106" w14:textId="7FD3103A" w:rsidR="003C6EEF" w:rsidRPr="006C543D" w:rsidRDefault="00876334" w:rsidP="00675F0F">
      <w:pPr>
        <w:pStyle w:val="ListParagraph"/>
        <w:numPr>
          <w:ilvl w:val="0"/>
          <w:numId w:val="58"/>
        </w:numPr>
        <w:ind w:left="1560"/>
        <w:contextualSpacing w:val="0"/>
      </w:pPr>
      <w:r w:rsidRPr="00DA435C">
        <w:rPr>
          <w:b/>
          <w:bCs/>
        </w:rPr>
        <w:t xml:space="preserve">the support and accommodation provided to refugees and people seeking asylum in NI </w:t>
      </w:r>
      <w:r w:rsidR="00465887">
        <w:rPr>
          <w:b/>
          <w:bCs/>
        </w:rPr>
        <w:t>is</w:t>
      </w:r>
      <w:r w:rsidRPr="00DA435C">
        <w:rPr>
          <w:b/>
          <w:bCs/>
        </w:rPr>
        <w:t xml:space="preserve"> urgently reviewed to ensure it is adequate, fit for purpose and culturally appropriate.</w:t>
      </w:r>
    </w:p>
    <w:p w14:paraId="2817B2DC" w14:textId="77777777" w:rsidR="00F44B75" w:rsidRPr="006C543D" w:rsidRDefault="00F44B75" w:rsidP="00F44B75">
      <w:pPr>
        <w:pStyle w:val="ListParagraph"/>
        <w:ind w:left="1560"/>
        <w:contextualSpacing w:val="0"/>
      </w:pPr>
    </w:p>
    <w:p w14:paraId="57DC07C2" w14:textId="100DD4ED" w:rsidR="00195AA4" w:rsidRPr="00DA435C" w:rsidRDefault="003F674E" w:rsidP="00675F0F">
      <w:pPr>
        <w:pStyle w:val="ListParagraph"/>
        <w:numPr>
          <w:ilvl w:val="0"/>
          <w:numId w:val="58"/>
        </w:numPr>
        <w:ind w:left="1560"/>
        <w:contextualSpacing w:val="0"/>
      </w:pPr>
      <w:r>
        <w:rPr>
          <w:b/>
          <w:bCs/>
        </w:rPr>
        <w:t>t</w:t>
      </w:r>
      <w:r w:rsidR="00195AA4">
        <w:rPr>
          <w:b/>
          <w:bCs/>
        </w:rPr>
        <w:t xml:space="preserve">he Illegal Migration Act 2023 is amended </w:t>
      </w:r>
      <w:r w:rsidR="000D3474">
        <w:rPr>
          <w:b/>
          <w:bCs/>
        </w:rPr>
        <w:t>to ensure</w:t>
      </w:r>
      <w:r w:rsidR="00195AA4">
        <w:rPr>
          <w:b/>
          <w:bCs/>
        </w:rPr>
        <w:t xml:space="preserve"> </w:t>
      </w:r>
      <w:r w:rsidR="00B602D0">
        <w:rPr>
          <w:b/>
          <w:bCs/>
        </w:rPr>
        <w:t xml:space="preserve">compliance with </w:t>
      </w:r>
      <w:r w:rsidR="00B602D0" w:rsidRPr="00650CD0">
        <w:rPr>
          <w:b/>
        </w:rPr>
        <w:t xml:space="preserve">the </w:t>
      </w:r>
      <w:r w:rsidR="008A11E3" w:rsidRPr="00650CD0">
        <w:rPr>
          <w:b/>
        </w:rPr>
        <w:t xml:space="preserve">UK’s </w:t>
      </w:r>
      <w:r w:rsidR="005F18C3" w:rsidRPr="00650CD0">
        <w:rPr>
          <w:b/>
        </w:rPr>
        <w:t xml:space="preserve">international human rights obligations </w:t>
      </w:r>
      <w:r w:rsidR="00146842" w:rsidRPr="00650CD0">
        <w:rPr>
          <w:b/>
        </w:rPr>
        <w:t>and</w:t>
      </w:r>
      <w:r w:rsidR="00146842">
        <w:rPr>
          <w:b/>
          <w:bCs/>
        </w:rPr>
        <w:t xml:space="preserve"> Windsor Framework Article 2</w:t>
      </w:r>
      <w:r w:rsidR="008948A7">
        <w:rPr>
          <w:b/>
          <w:bCs/>
        </w:rPr>
        <w:t xml:space="preserve">, and that </w:t>
      </w:r>
      <w:r w:rsidR="009D132D">
        <w:rPr>
          <w:b/>
          <w:bCs/>
        </w:rPr>
        <w:t>there is no diminution of</w:t>
      </w:r>
      <w:r w:rsidR="00D63158">
        <w:rPr>
          <w:b/>
          <w:bCs/>
        </w:rPr>
        <w:t xml:space="preserve"> protection for refugees and people seeking asylum in NI</w:t>
      </w:r>
      <w:r w:rsidR="00146842">
        <w:rPr>
          <w:b/>
          <w:bCs/>
        </w:rPr>
        <w:t>.</w:t>
      </w:r>
    </w:p>
    <w:p w14:paraId="0D17516C" w14:textId="77777777" w:rsidR="002E79B6" w:rsidRPr="002E79B6" w:rsidRDefault="002E79B6" w:rsidP="00675F0F">
      <w:pPr>
        <w:pStyle w:val="ListParagraph"/>
        <w:ind w:left="1560"/>
        <w:contextualSpacing w:val="0"/>
        <w:rPr>
          <w:b/>
          <w:bCs/>
        </w:rPr>
      </w:pPr>
    </w:p>
    <w:p w14:paraId="37AF33A6" w14:textId="78E5752E" w:rsidR="0055352C" w:rsidRPr="0055352C" w:rsidRDefault="002E79B6" w:rsidP="00675F0F">
      <w:pPr>
        <w:pStyle w:val="ListParagraph"/>
        <w:numPr>
          <w:ilvl w:val="0"/>
          <w:numId w:val="51"/>
        </w:numPr>
        <w:ind w:left="1560"/>
        <w:contextualSpacing w:val="0"/>
        <w:rPr>
          <w:b/>
          <w:bCs/>
        </w:rPr>
      </w:pPr>
      <w:r w:rsidRPr="000E4FCD">
        <w:rPr>
          <w:b/>
          <w:bCs/>
        </w:rPr>
        <w:lastRenderedPageBreak/>
        <w:t>a realistic, long-term strategy aimed at expeditiously ending the use</w:t>
      </w:r>
      <w:r w:rsidR="00A22EB1">
        <w:rPr>
          <w:b/>
          <w:bCs/>
        </w:rPr>
        <w:t xml:space="preserve"> of</w:t>
      </w:r>
      <w:r w:rsidRPr="000E4FCD">
        <w:rPr>
          <w:b/>
          <w:bCs/>
        </w:rPr>
        <w:t xml:space="preserve"> the ‘contingency’ asylum accommodation model in NI</w:t>
      </w:r>
      <w:r w:rsidR="00BE5A7D">
        <w:rPr>
          <w:b/>
          <w:bCs/>
        </w:rPr>
        <w:t>, particularly for families with children and people with specific needs.</w:t>
      </w:r>
    </w:p>
    <w:p w14:paraId="081187EB" w14:textId="77777777" w:rsidR="00F80419" w:rsidRPr="0064430C" w:rsidRDefault="00F80419" w:rsidP="003A6C64"/>
    <w:p w14:paraId="5615BBF1" w14:textId="5827EE7F" w:rsidR="00A00D08" w:rsidRDefault="00A00D08" w:rsidP="00500CC3">
      <w:pPr>
        <w:pStyle w:val="Heading2"/>
        <w:spacing w:line="288" w:lineRule="auto"/>
      </w:pPr>
      <w:bookmarkStart w:id="57" w:name="_Toc156901028"/>
      <w:r>
        <w:t xml:space="preserve">Rwanda </w:t>
      </w:r>
      <w:r w:rsidR="00670428">
        <w:t>a</w:t>
      </w:r>
      <w:r>
        <w:t xml:space="preserve">sylum </w:t>
      </w:r>
      <w:r w:rsidR="00670428">
        <w:t>p</w:t>
      </w:r>
      <w:r>
        <w:t>roposals</w:t>
      </w:r>
      <w:bookmarkEnd w:id="57"/>
      <w:r>
        <w:t xml:space="preserve"> </w:t>
      </w:r>
    </w:p>
    <w:p w14:paraId="7795E0E3" w14:textId="77777777" w:rsidR="00A00D08" w:rsidRPr="00A00D08" w:rsidRDefault="00A00D08" w:rsidP="003A6C64">
      <w:pPr>
        <w:pStyle w:val="ListParagraph"/>
        <w:ind w:left="818"/>
        <w:contextualSpacing w:val="0"/>
      </w:pPr>
    </w:p>
    <w:p w14:paraId="3BCF30B9" w14:textId="2EE93A15" w:rsidR="00A00D08" w:rsidRPr="00A00D08" w:rsidRDefault="001D6636" w:rsidP="22E15799">
      <w:pPr>
        <w:pStyle w:val="ListParagraph"/>
        <w:numPr>
          <w:ilvl w:val="1"/>
          <w:numId w:val="25"/>
        </w:numPr>
        <w:ind w:left="851" w:hanging="851"/>
      </w:pPr>
      <w:r w:rsidRPr="22E15799">
        <w:rPr>
          <w:rFonts w:eastAsia="Calibri" w:cs="Times New Roman"/>
        </w:rPr>
        <w:t>In 2022, a partnership between the UK and Rwanda</w:t>
      </w:r>
      <w:r w:rsidR="00CB6652" w:rsidRPr="22E15799">
        <w:rPr>
          <w:rFonts w:eastAsia="Calibri" w:cs="Times New Roman"/>
        </w:rPr>
        <w:t xml:space="preserve"> was established to</w:t>
      </w:r>
      <w:r w:rsidRPr="22E15799">
        <w:rPr>
          <w:rFonts w:eastAsia="Calibri" w:cs="Times New Roman"/>
        </w:rPr>
        <w:t xml:space="preserve"> relocate migrants who arrived in the UK </w:t>
      </w:r>
      <w:r w:rsidR="00554300" w:rsidRPr="22E15799">
        <w:rPr>
          <w:rFonts w:eastAsia="Calibri" w:cs="Times New Roman"/>
        </w:rPr>
        <w:t>irregularly</w:t>
      </w:r>
      <w:r w:rsidRPr="22E15799">
        <w:rPr>
          <w:rFonts w:eastAsia="Calibri" w:cs="Times New Roman"/>
        </w:rPr>
        <w:t xml:space="preserve"> to Rwanda</w:t>
      </w:r>
      <w:r w:rsidR="0011304A" w:rsidRPr="22E15799">
        <w:rPr>
          <w:rFonts w:eastAsia="Calibri" w:cs="Times New Roman"/>
        </w:rPr>
        <w:t>.</w:t>
      </w:r>
      <w:r w:rsidRPr="00834A1F">
        <w:rPr>
          <w:vertAlign w:val="superscript"/>
        </w:rPr>
        <w:footnoteReference w:id="247"/>
      </w:r>
      <w:r w:rsidRPr="22E15799">
        <w:rPr>
          <w:rFonts w:eastAsia="Calibri" w:cs="Times New Roman"/>
        </w:rPr>
        <w:t xml:space="preserve"> </w:t>
      </w:r>
    </w:p>
    <w:p w14:paraId="1AF97322" w14:textId="77777777" w:rsidR="00E01EA4" w:rsidRPr="00E01EA4" w:rsidRDefault="00E01EA4" w:rsidP="00500CC3">
      <w:pPr>
        <w:pStyle w:val="ListParagraph"/>
        <w:ind w:left="851" w:hanging="851"/>
        <w:contextualSpacing w:val="0"/>
        <w:rPr>
          <w:rFonts w:eastAsia="Calibri" w:cs="Times New Roman"/>
          <w:szCs w:val="24"/>
          <w:shd w:val="clear" w:color="auto" w:fill="FFFFFF"/>
        </w:rPr>
      </w:pPr>
    </w:p>
    <w:p w14:paraId="1E298889" w14:textId="0BF4D629" w:rsidR="00E01EA4" w:rsidRPr="00E01EA4" w:rsidRDefault="0073340B" w:rsidP="22E15799">
      <w:pPr>
        <w:pStyle w:val="ListParagraph"/>
        <w:numPr>
          <w:ilvl w:val="1"/>
          <w:numId w:val="25"/>
        </w:numPr>
        <w:ind w:left="851" w:hanging="851"/>
      </w:pPr>
      <w:r w:rsidRPr="22E15799">
        <w:rPr>
          <w:rFonts w:eastAsia="Calibri" w:cs="Times New Roman"/>
          <w:shd w:val="clear" w:color="auto" w:fill="FFFFFF"/>
        </w:rPr>
        <w:t>In</w:t>
      </w:r>
      <w:r w:rsidR="001D6636" w:rsidRPr="22E15799">
        <w:rPr>
          <w:rFonts w:eastAsia="Calibri" w:cs="Times New Roman"/>
          <w:shd w:val="clear" w:color="auto" w:fill="FFFFFF"/>
        </w:rPr>
        <w:t xml:space="preserve"> June 2022, the first group of people </w:t>
      </w:r>
      <w:r w:rsidRPr="22E15799">
        <w:rPr>
          <w:rFonts w:eastAsia="Calibri" w:cs="Times New Roman"/>
          <w:shd w:val="clear" w:color="auto" w:fill="FFFFFF"/>
        </w:rPr>
        <w:t xml:space="preserve">were </w:t>
      </w:r>
      <w:r w:rsidR="001D6636" w:rsidRPr="22E15799">
        <w:rPr>
          <w:rFonts w:eastAsia="Calibri" w:cs="Times New Roman"/>
          <w:shd w:val="clear" w:color="auto" w:fill="FFFFFF"/>
        </w:rPr>
        <w:t>to be relocated to Rwanda.</w:t>
      </w:r>
      <w:r w:rsidR="001D6636" w:rsidRPr="22E15799">
        <w:rPr>
          <w:shd w:val="clear" w:color="auto" w:fill="FFFFFF"/>
          <w:vertAlign w:val="superscript"/>
        </w:rPr>
        <w:footnoteReference w:id="248"/>
      </w:r>
      <w:r w:rsidR="001D6636" w:rsidRPr="22E15799">
        <w:rPr>
          <w:rFonts w:eastAsia="Calibri" w:cs="Times New Roman"/>
          <w:shd w:val="clear" w:color="auto" w:fill="FFFFFF"/>
        </w:rPr>
        <w:t xml:space="preserve"> However, the initial flight was </w:t>
      </w:r>
      <w:r w:rsidR="27713039" w:rsidRPr="22E15799">
        <w:rPr>
          <w:rFonts w:eastAsia="Calibri" w:cs="Times New Roman"/>
          <w:shd w:val="clear" w:color="auto" w:fill="FFFFFF"/>
        </w:rPr>
        <w:t xml:space="preserve">halted due to the </w:t>
      </w:r>
      <w:r w:rsidR="001D6636" w:rsidRPr="22E15799">
        <w:rPr>
          <w:rFonts w:eastAsia="Calibri" w:cs="Times New Roman"/>
          <w:shd w:val="clear" w:color="auto" w:fill="FFFFFF"/>
        </w:rPr>
        <w:t>ECtHR</w:t>
      </w:r>
      <w:r w:rsidR="0676BCFD" w:rsidRPr="22E15799">
        <w:rPr>
          <w:rFonts w:eastAsia="Calibri" w:cs="Times New Roman"/>
          <w:shd w:val="clear" w:color="auto" w:fill="FFFFFF"/>
        </w:rPr>
        <w:t xml:space="preserve"> issuing an</w:t>
      </w:r>
      <w:r w:rsidR="001D6636" w:rsidRPr="22E15799">
        <w:rPr>
          <w:rFonts w:eastAsia="Calibri" w:cs="Times New Roman"/>
          <w:shd w:val="clear" w:color="auto" w:fill="FFFFFF"/>
        </w:rPr>
        <w:t xml:space="preserve"> interim measure.</w:t>
      </w:r>
      <w:r w:rsidR="001D6636" w:rsidRPr="00834A1F">
        <w:rPr>
          <w:shd w:val="clear" w:color="auto" w:fill="FFFFFF"/>
          <w:vertAlign w:val="superscript"/>
        </w:rPr>
        <w:footnoteReference w:id="249"/>
      </w:r>
    </w:p>
    <w:p w14:paraId="5D2F8A52" w14:textId="77777777" w:rsidR="00D70555" w:rsidRPr="00D70555" w:rsidRDefault="00D70555" w:rsidP="00500CC3">
      <w:pPr>
        <w:ind w:left="851" w:hanging="851"/>
        <w:rPr>
          <w:szCs w:val="24"/>
        </w:rPr>
      </w:pPr>
    </w:p>
    <w:p w14:paraId="69B22656" w14:textId="163F6218" w:rsidR="001F4A05" w:rsidRPr="00BF0AF2" w:rsidRDefault="001D6636" w:rsidP="22E15799">
      <w:pPr>
        <w:pStyle w:val="ListParagraph"/>
        <w:numPr>
          <w:ilvl w:val="1"/>
          <w:numId w:val="25"/>
        </w:numPr>
        <w:ind w:left="851" w:hanging="851"/>
        <w:rPr>
          <w:rStyle w:val="FootnoteReference"/>
        </w:rPr>
      </w:pPr>
      <w:r w:rsidRPr="22E15799">
        <w:t xml:space="preserve">In </w:t>
      </w:r>
      <w:r w:rsidR="003F4B0E" w:rsidRPr="22E15799">
        <w:t>November</w:t>
      </w:r>
      <w:r w:rsidR="003F4B0E" w:rsidRPr="00E01EA4">
        <w:rPr>
          <w:szCs w:val="24"/>
        </w:rPr>
        <w:t xml:space="preserve"> </w:t>
      </w:r>
      <w:r w:rsidRPr="22E15799">
        <w:t>2023, the UK Supr</w:t>
      </w:r>
      <w:r w:rsidR="00202590" w:rsidRPr="22E15799">
        <w:t>e</w:t>
      </w:r>
      <w:r w:rsidRPr="22E15799">
        <w:t xml:space="preserve">me Court </w:t>
      </w:r>
      <w:r w:rsidR="003E702A" w:rsidRPr="22E15799">
        <w:t>declared the Rwanda asylum proposals were unlawful</w:t>
      </w:r>
      <w:r w:rsidRPr="00E01EA4">
        <w:rPr>
          <w:szCs w:val="24"/>
        </w:rPr>
        <w:t>.</w:t>
      </w:r>
      <w:r w:rsidRPr="007A4D29">
        <w:rPr>
          <w:vertAlign w:val="superscript"/>
        </w:rPr>
        <w:footnoteReference w:id="250"/>
      </w:r>
      <w:r w:rsidR="00D376C8">
        <w:rPr>
          <w:szCs w:val="24"/>
        </w:rPr>
        <w:t xml:space="preserve"> </w:t>
      </w:r>
      <w:r w:rsidR="00ED71B9" w:rsidRPr="22E15799">
        <w:t>In December 2023</w:t>
      </w:r>
      <w:r w:rsidR="003F4B0E" w:rsidRPr="22E15799">
        <w:t xml:space="preserve">, the UK Government signed a new treaty with Rwanda and introduced </w:t>
      </w:r>
      <w:r w:rsidR="00FC66B1">
        <w:t>t</w:t>
      </w:r>
      <w:r w:rsidR="001F4A05" w:rsidRPr="00BF0AF2">
        <w:t xml:space="preserve">he </w:t>
      </w:r>
      <w:r w:rsidR="00027948" w:rsidRPr="00027948">
        <w:t xml:space="preserve">Safety of </w:t>
      </w:r>
      <w:r w:rsidR="001F4A05" w:rsidRPr="00BF0AF2">
        <w:t xml:space="preserve">Rwanda </w:t>
      </w:r>
      <w:r w:rsidR="00027948" w:rsidRPr="00027948">
        <w:t xml:space="preserve">(Asylum and Immigration) </w:t>
      </w:r>
      <w:r w:rsidR="001F4A05" w:rsidRPr="00BF0AF2">
        <w:t>Bill</w:t>
      </w:r>
      <w:r w:rsidR="003F4B0E">
        <w:t xml:space="preserve">, which </w:t>
      </w:r>
      <w:r w:rsidR="00ED71B9">
        <w:t xml:space="preserve">proposes to </w:t>
      </w:r>
      <w:r w:rsidR="00B916EB">
        <w:t>declare</w:t>
      </w:r>
      <w:r w:rsidR="00FB0C95">
        <w:t xml:space="preserve"> Rwanda as a safe </w:t>
      </w:r>
      <w:r w:rsidR="00027948">
        <w:t xml:space="preserve">third </w:t>
      </w:r>
      <w:r w:rsidR="00FB0C95">
        <w:t xml:space="preserve">country </w:t>
      </w:r>
      <w:r w:rsidR="00027948">
        <w:t>of removal</w:t>
      </w:r>
      <w:r w:rsidR="00AA6FBF">
        <w:t xml:space="preserve"> and remove the possibility of challenging this categorisation</w:t>
      </w:r>
      <w:r w:rsidR="00FB0C95">
        <w:t>.</w:t>
      </w:r>
      <w:r w:rsidR="00FB0C95">
        <w:rPr>
          <w:rStyle w:val="FootnoteReference"/>
        </w:rPr>
        <w:footnoteReference w:id="251"/>
      </w:r>
      <w:r w:rsidR="2C67CA0D" w:rsidRPr="22E15799">
        <w:rPr>
          <w:rStyle w:val="FootnoteReference"/>
        </w:rPr>
        <w:t xml:space="preserve"> </w:t>
      </w:r>
      <w:r w:rsidR="009A0527">
        <w:t xml:space="preserve"> </w:t>
      </w:r>
    </w:p>
    <w:p w14:paraId="2BE6DF78" w14:textId="77777777" w:rsidR="00E01EA4" w:rsidRPr="00D376C8" w:rsidRDefault="00E01EA4" w:rsidP="00500CC3">
      <w:pPr>
        <w:ind w:left="851" w:hanging="851"/>
        <w:rPr>
          <w:b/>
          <w:szCs w:val="24"/>
          <w:lang w:val="en"/>
        </w:rPr>
      </w:pPr>
    </w:p>
    <w:p w14:paraId="423BA17B" w14:textId="5355620B" w:rsidR="00C74FAF" w:rsidRPr="00DF6207" w:rsidRDefault="001D6636" w:rsidP="00500CC3">
      <w:pPr>
        <w:pStyle w:val="ListParagraph"/>
        <w:numPr>
          <w:ilvl w:val="1"/>
          <w:numId w:val="25"/>
        </w:numPr>
        <w:ind w:left="851" w:hanging="851"/>
        <w:contextualSpacing w:val="0"/>
      </w:pPr>
      <w:r w:rsidRPr="00E01EA4">
        <w:rPr>
          <w:b/>
          <w:szCs w:val="24"/>
          <w:lang w:val="en"/>
        </w:rPr>
        <w:t xml:space="preserve">The Committee may wish to </w:t>
      </w:r>
      <w:r w:rsidR="00B142C2">
        <w:rPr>
          <w:b/>
          <w:szCs w:val="24"/>
          <w:lang w:val="en"/>
        </w:rPr>
        <w:t>recommend that</w:t>
      </w:r>
      <w:r w:rsidR="00B142C2" w:rsidRPr="00E01EA4">
        <w:rPr>
          <w:b/>
          <w:szCs w:val="24"/>
          <w:lang w:val="en"/>
        </w:rPr>
        <w:t xml:space="preserve"> </w:t>
      </w:r>
      <w:r w:rsidRPr="00E01EA4">
        <w:rPr>
          <w:b/>
          <w:szCs w:val="24"/>
          <w:lang w:val="en"/>
        </w:rPr>
        <w:t>the UK</w:t>
      </w:r>
      <w:r w:rsidR="00932679">
        <w:rPr>
          <w:b/>
          <w:szCs w:val="24"/>
          <w:lang w:val="en"/>
        </w:rPr>
        <w:t xml:space="preserve"> takes effective steps to</w:t>
      </w:r>
      <w:r w:rsidR="00C74FAF">
        <w:rPr>
          <w:b/>
          <w:szCs w:val="24"/>
          <w:lang w:val="en"/>
        </w:rPr>
        <w:t xml:space="preserve">: </w:t>
      </w:r>
    </w:p>
    <w:p w14:paraId="04AEC78D" w14:textId="77777777" w:rsidR="00C74FAF" w:rsidRPr="00DF6207" w:rsidRDefault="00C74FAF" w:rsidP="00DF6207">
      <w:pPr>
        <w:pStyle w:val="ListParagraph"/>
        <w:rPr>
          <w:b/>
          <w:szCs w:val="24"/>
          <w:lang w:val="en"/>
        </w:rPr>
      </w:pPr>
    </w:p>
    <w:p w14:paraId="4E10151C" w14:textId="0CFAC513" w:rsidR="001D6636" w:rsidRPr="00DF6207" w:rsidRDefault="001D6636" w:rsidP="00107B69">
      <w:pPr>
        <w:pStyle w:val="ListParagraph"/>
        <w:numPr>
          <w:ilvl w:val="0"/>
          <w:numId w:val="72"/>
        </w:numPr>
        <w:ind w:left="1560"/>
      </w:pPr>
      <w:r w:rsidRPr="00DF6207">
        <w:rPr>
          <w:b/>
          <w:szCs w:val="24"/>
          <w:lang w:val="en"/>
        </w:rPr>
        <w:t xml:space="preserve">completely </w:t>
      </w:r>
      <w:r w:rsidR="00B849AA" w:rsidRPr="00DF6207">
        <w:rPr>
          <w:b/>
          <w:szCs w:val="24"/>
          <w:lang w:val="en"/>
        </w:rPr>
        <w:t>withdraw from</w:t>
      </w:r>
      <w:r w:rsidRPr="00DF6207">
        <w:rPr>
          <w:b/>
          <w:szCs w:val="24"/>
          <w:lang w:val="en"/>
        </w:rPr>
        <w:t xml:space="preserve"> </w:t>
      </w:r>
      <w:r w:rsidR="0003737B" w:rsidRPr="00DF6207">
        <w:rPr>
          <w:b/>
          <w:szCs w:val="24"/>
          <w:lang w:val="en"/>
        </w:rPr>
        <w:t xml:space="preserve">all </w:t>
      </w:r>
      <w:r w:rsidR="00980D5A" w:rsidRPr="00DF6207">
        <w:rPr>
          <w:b/>
          <w:szCs w:val="24"/>
        </w:rPr>
        <w:t xml:space="preserve">asylum agreements </w:t>
      </w:r>
      <w:r w:rsidR="0003737B" w:rsidRPr="00DF6207">
        <w:rPr>
          <w:b/>
          <w:szCs w:val="24"/>
        </w:rPr>
        <w:t>declaring Rwanda a safe third country of removal</w:t>
      </w:r>
      <w:r w:rsidRPr="00DF6207">
        <w:rPr>
          <w:b/>
          <w:szCs w:val="24"/>
        </w:rPr>
        <w:t xml:space="preserve"> and</w:t>
      </w:r>
      <w:r w:rsidR="00111FA5" w:rsidRPr="00DF6207">
        <w:rPr>
          <w:b/>
          <w:szCs w:val="24"/>
        </w:rPr>
        <w:t xml:space="preserve"> </w:t>
      </w:r>
      <w:r w:rsidRPr="00DF6207">
        <w:rPr>
          <w:b/>
          <w:szCs w:val="24"/>
        </w:rPr>
        <w:t xml:space="preserve">ensure all people seeking asylum in the UK are </w:t>
      </w:r>
      <w:r w:rsidRPr="00DF6207">
        <w:rPr>
          <w:b/>
          <w:szCs w:val="24"/>
        </w:rPr>
        <w:lastRenderedPageBreak/>
        <w:t xml:space="preserve">processed in a way that is </w:t>
      </w:r>
      <w:r w:rsidR="001C271D" w:rsidRPr="00DF6207">
        <w:rPr>
          <w:b/>
          <w:szCs w:val="24"/>
        </w:rPr>
        <w:t xml:space="preserve">human rights </w:t>
      </w:r>
      <w:r w:rsidRPr="00DF6207">
        <w:rPr>
          <w:b/>
          <w:szCs w:val="24"/>
        </w:rPr>
        <w:t xml:space="preserve">compliant. </w:t>
      </w:r>
      <w:r w:rsidR="000F193B" w:rsidRPr="00DF6207">
        <w:rPr>
          <w:b/>
          <w:szCs w:val="24"/>
        </w:rPr>
        <w:t>This includes taking into account the difficult journey and trauma experienced by many prior to arriving in the UK</w:t>
      </w:r>
      <w:r w:rsidR="00C86633">
        <w:rPr>
          <w:b/>
          <w:szCs w:val="24"/>
        </w:rPr>
        <w:t>.</w:t>
      </w:r>
    </w:p>
    <w:p w14:paraId="7EDFAD15" w14:textId="77777777" w:rsidR="0059778E" w:rsidRPr="00DF6207" w:rsidRDefault="0059778E" w:rsidP="00DF6207">
      <w:pPr>
        <w:pStyle w:val="ListParagraph"/>
        <w:ind w:left="1560"/>
      </w:pPr>
    </w:p>
    <w:p w14:paraId="54880629" w14:textId="6D689121" w:rsidR="00174FD9" w:rsidRPr="00DF6207" w:rsidRDefault="00057BF3" w:rsidP="0059778E">
      <w:pPr>
        <w:pStyle w:val="ListParagraph"/>
        <w:numPr>
          <w:ilvl w:val="0"/>
          <w:numId w:val="72"/>
        </w:numPr>
        <w:ind w:left="1560"/>
        <w:rPr>
          <w:rStyle w:val="normaltextrun"/>
        </w:rPr>
      </w:pPr>
      <w:r>
        <w:rPr>
          <w:rStyle w:val="normaltextrun"/>
          <w:b/>
          <w:bCs/>
          <w:color w:val="000000"/>
          <w:shd w:val="clear" w:color="auto" w:fill="FFFFFF"/>
        </w:rPr>
        <w:t>i</w:t>
      </w:r>
      <w:r w:rsidR="009D266D">
        <w:rPr>
          <w:rStyle w:val="normaltextrun"/>
          <w:b/>
          <w:bCs/>
          <w:color w:val="000000"/>
          <w:shd w:val="clear" w:color="auto" w:fill="FFFFFF"/>
        </w:rPr>
        <w:t xml:space="preserve">mmediately and </w:t>
      </w:r>
      <w:r w:rsidR="0053477F">
        <w:rPr>
          <w:rStyle w:val="normaltextrun"/>
          <w:b/>
          <w:bCs/>
          <w:color w:val="000000"/>
          <w:shd w:val="clear" w:color="auto" w:fill="FFFFFF"/>
        </w:rPr>
        <w:t xml:space="preserve">thoroughly </w:t>
      </w:r>
      <w:r>
        <w:rPr>
          <w:rStyle w:val="normaltextrun"/>
          <w:b/>
          <w:bCs/>
          <w:color w:val="000000"/>
          <w:shd w:val="clear" w:color="auto" w:fill="FFFFFF"/>
        </w:rPr>
        <w:t xml:space="preserve">reassess the </w:t>
      </w:r>
      <w:r w:rsidR="0059778E" w:rsidRPr="0059778E">
        <w:rPr>
          <w:rStyle w:val="normaltextrun"/>
          <w:b/>
          <w:bCs/>
          <w:color w:val="000000"/>
          <w:shd w:val="clear" w:color="auto" w:fill="FFFFFF"/>
        </w:rPr>
        <w:t>Safety of Rwanda (Asylum and Immigration) Bill</w:t>
      </w:r>
      <w:r w:rsidR="000873F8">
        <w:rPr>
          <w:rStyle w:val="normaltextrun"/>
          <w:b/>
          <w:bCs/>
          <w:color w:val="000000"/>
          <w:shd w:val="clear" w:color="auto" w:fill="FFFFFF"/>
        </w:rPr>
        <w:t xml:space="preserve"> </w:t>
      </w:r>
      <w:r w:rsidR="001E4CA9">
        <w:rPr>
          <w:rStyle w:val="normaltextrun"/>
          <w:b/>
          <w:bCs/>
          <w:color w:val="000000"/>
          <w:shd w:val="clear" w:color="auto" w:fill="FFFFFF"/>
        </w:rPr>
        <w:t>and amend as required to ensure no diminution of rights in NI, contrary to Windsor Framework Article 2</w:t>
      </w:r>
      <w:r w:rsidR="0010702C">
        <w:rPr>
          <w:rStyle w:val="normaltextrun"/>
          <w:b/>
          <w:bCs/>
          <w:color w:val="000000"/>
          <w:shd w:val="clear" w:color="auto" w:fill="FFFFFF"/>
        </w:rPr>
        <w:t>.</w:t>
      </w:r>
    </w:p>
    <w:p w14:paraId="60D287D4" w14:textId="77777777" w:rsidR="00603C4C" w:rsidRPr="00587912" w:rsidRDefault="00603C4C" w:rsidP="003D433F">
      <w:pPr>
        <w:ind w:left="0"/>
      </w:pPr>
    </w:p>
    <w:p w14:paraId="76411BEE" w14:textId="34710A45" w:rsidR="00960B12" w:rsidRPr="00587912" w:rsidRDefault="00357CCD" w:rsidP="002B5B7C">
      <w:pPr>
        <w:pStyle w:val="Heading1"/>
        <w:numPr>
          <w:ilvl w:val="0"/>
          <w:numId w:val="26"/>
        </w:numPr>
        <w:spacing w:before="0" w:after="240" w:line="288" w:lineRule="auto"/>
        <w:ind w:left="993" w:hanging="993"/>
      </w:pPr>
      <w:bookmarkStart w:id="58" w:name="_Toc156901029"/>
      <w:r w:rsidRPr="00357CCD">
        <w:t xml:space="preserve">Articles 14, 15, 16 and 26 – Fair </w:t>
      </w:r>
      <w:r w:rsidR="00670428">
        <w:t>T</w:t>
      </w:r>
      <w:r w:rsidRPr="00357CCD">
        <w:t xml:space="preserve">rial </w:t>
      </w:r>
      <w:r w:rsidR="00670428">
        <w:t>R</w:t>
      </w:r>
      <w:r w:rsidRPr="00357CCD">
        <w:t>ights</w:t>
      </w:r>
      <w:bookmarkEnd w:id="58"/>
    </w:p>
    <w:p w14:paraId="5D38F18B" w14:textId="77777777" w:rsidR="00495BC2" w:rsidRPr="00495BC2" w:rsidRDefault="00495BC2" w:rsidP="003A6C64">
      <w:pPr>
        <w:pStyle w:val="ListParagraph"/>
        <w:numPr>
          <w:ilvl w:val="0"/>
          <w:numId w:val="4"/>
        </w:numPr>
        <w:ind w:left="993" w:hanging="993"/>
        <w:contextualSpacing w:val="0"/>
        <w:rPr>
          <w:vanish/>
        </w:rPr>
      </w:pPr>
    </w:p>
    <w:p w14:paraId="01789C29" w14:textId="77777777" w:rsidR="00495BC2" w:rsidRPr="00495BC2" w:rsidRDefault="00495BC2" w:rsidP="003A6C64">
      <w:pPr>
        <w:pStyle w:val="ListParagraph"/>
        <w:numPr>
          <w:ilvl w:val="0"/>
          <w:numId w:val="4"/>
        </w:numPr>
        <w:ind w:left="993" w:hanging="993"/>
        <w:contextualSpacing w:val="0"/>
        <w:rPr>
          <w:vanish/>
        </w:rPr>
      </w:pPr>
    </w:p>
    <w:p w14:paraId="3D3B922A" w14:textId="77777777" w:rsidR="00267E27" w:rsidRPr="00402722" w:rsidRDefault="00267E27" w:rsidP="003A6C64">
      <w:pPr>
        <w:pStyle w:val="ListParagraph"/>
        <w:numPr>
          <w:ilvl w:val="0"/>
          <w:numId w:val="34"/>
        </w:numPr>
        <w:contextualSpacing w:val="0"/>
        <w:rPr>
          <w:rFonts w:cs="Helvetica"/>
          <w:vanish/>
          <w:lang w:val="en"/>
        </w:rPr>
      </w:pPr>
    </w:p>
    <w:p w14:paraId="31632A74" w14:textId="0D4520B7" w:rsidR="00267E27" w:rsidRPr="00594FAF" w:rsidRDefault="009A23F2" w:rsidP="00390185">
      <w:pPr>
        <w:pStyle w:val="Heading2"/>
        <w:spacing w:after="240" w:line="288" w:lineRule="auto"/>
        <w:rPr>
          <w:lang w:val="en"/>
        </w:rPr>
      </w:pPr>
      <w:bookmarkStart w:id="59" w:name="_Toc156901030"/>
      <w:r w:rsidRPr="00594FAF">
        <w:rPr>
          <w:lang w:val="en"/>
        </w:rPr>
        <w:t>Access to justice</w:t>
      </w:r>
      <w:bookmarkEnd w:id="59"/>
    </w:p>
    <w:p w14:paraId="1410BDA7" w14:textId="151E4B88" w:rsidR="00D345EF" w:rsidRPr="00D15BBF" w:rsidRDefault="00C539B4" w:rsidP="00390185">
      <w:pPr>
        <w:pStyle w:val="ListParagraph"/>
        <w:numPr>
          <w:ilvl w:val="1"/>
          <w:numId w:val="26"/>
        </w:numPr>
        <w:tabs>
          <w:tab w:val="left" w:pos="851"/>
        </w:tabs>
        <w:ind w:left="851" w:hanging="851"/>
        <w:contextualSpacing w:val="0"/>
        <w:rPr>
          <w:rFonts w:cs="Helvetica"/>
          <w:lang w:val="en"/>
        </w:rPr>
      </w:pPr>
      <w:r>
        <w:rPr>
          <w:rFonts w:cs="Helvetica"/>
          <w:lang w:val="en"/>
        </w:rPr>
        <w:t xml:space="preserve">In </w:t>
      </w:r>
      <w:r w:rsidR="00521214">
        <w:rPr>
          <w:rFonts w:cs="Helvetica"/>
          <w:lang w:val="en"/>
        </w:rPr>
        <w:t>2022/</w:t>
      </w:r>
      <w:r>
        <w:rPr>
          <w:rFonts w:cs="Helvetica"/>
          <w:lang w:val="en"/>
        </w:rPr>
        <w:t>202</w:t>
      </w:r>
      <w:r w:rsidR="00A44E00">
        <w:rPr>
          <w:rFonts w:cs="Helvetica"/>
          <w:lang w:val="en"/>
        </w:rPr>
        <w:t>3</w:t>
      </w:r>
      <w:r w:rsidR="00417C13">
        <w:rPr>
          <w:rFonts w:cs="Helvetica"/>
          <w:lang w:val="en"/>
        </w:rPr>
        <w:t xml:space="preserve">, </w:t>
      </w:r>
      <w:r w:rsidR="00431730" w:rsidRPr="00417C13">
        <w:rPr>
          <w:rFonts w:cs="Helvetica"/>
          <w:lang w:val="en"/>
        </w:rPr>
        <w:t xml:space="preserve">financial pressures and structural issues in the </w:t>
      </w:r>
      <w:r w:rsidR="00A127A5">
        <w:rPr>
          <w:rFonts w:cs="Helvetica"/>
          <w:lang w:val="en"/>
        </w:rPr>
        <w:t xml:space="preserve">legal aid </w:t>
      </w:r>
      <w:r w:rsidR="00431730" w:rsidRPr="00417C13">
        <w:rPr>
          <w:rFonts w:cs="Helvetica"/>
          <w:lang w:val="en"/>
        </w:rPr>
        <w:t>system</w:t>
      </w:r>
      <w:r w:rsidR="00A127A5">
        <w:rPr>
          <w:rFonts w:cs="Helvetica"/>
          <w:lang w:val="en"/>
        </w:rPr>
        <w:t xml:space="preserve"> were compounded by </w:t>
      </w:r>
      <w:r w:rsidR="00A127A5">
        <w:t>increased</w:t>
      </w:r>
      <w:r w:rsidR="00E11321">
        <w:t xml:space="preserve"> demand</w:t>
      </w:r>
      <w:r w:rsidR="006E246B">
        <w:t>,</w:t>
      </w:r>
      <w:r w:rsidR="00417C13">
        <w:rPr>
          <w:rStyle w:val="FootnoteReference"/>
        </w:rPr>
        <w:footnoteReference w:id="252"/>
      </w:r>
      <w:r w:rsidR="006E246B">
        <w:t xml:space="preserve"> </w:t>
      </w:r>
      <w:r w:rsidR="00602DB5">
        <w:rPr>
          <w:rFonts w:cs="Helvetica"/>
          <w:lang w:val="en"/>
        </w:rPr>
        <w:t xml:space="preserve">hindering </w:t>
      </w:r>
      <w:r w:rsidR="00BE045B" w:rsidRPr="00D15BBF">
        <w:rPr>
          <w:rFonts w:cs="Helvetica"/>
          <w:lang w:val="en"/>
        </w:rPr>
        <w:t>access to justice</w:t>
      </w:r>
      <w:r w:rsidR="00571BD3">
        <w:rPr>
          <w:rFonts w:cs="Helvetica"/>
          <w:lang w:val="en"/>
        </w:rPr>
        <w:t xml:space="preserve"> </w:t>
      </w:r>
      <w:r w:rsidR="0062777C">
        <w:rPr>
          <w:rFonts w:cs="Helvetica"/>
          <w:lang w:val="en"/>
        </w:rPr>
        <w:t>for individuals across NI</w:t>
      </w:r>
      <w:r w:rsidR="00EE4846" w:rsidRPr="00D15BBF">
        <w:rPr>
          <w:rFonts w:cs="Helvetica"/>
          <w:lang w:val="en"/>
        </w:rPr>
        <w:t>.</w:t>
      </w:r>
      <w:r w:rsidR="00850233">
        <w:rPr>
          <w:rStyle w:val="FootnoteReference"/>
          <w:rFonts w:cs="Helvetica"/>
          <w:lang w:val="en"/>
        </w:rPr>
        <w:footnoteReference w:id="253"/>
      </w:r>
      <w:r w:rsidR="00D820BF" w:rsidRPr="00D15BBF">
        <w:rPr>
          <w:rFonts w:cs="Helvetica"/>
          <w:lang w:val="en"/>
        </w:rPr>
        <w:t xml:space="preserve"> </w:t>
      </w:r>
      <w:r w:rsidR="007353E5">
        <w:rPr>
          <w:rFonts w:cs="Helvetica"/>
          <w:lang w:val="en"/>
        </w:rPr>
        <w:t>Despite</w:t>
      </w:r>
      <w:r w:rsidR="00E32B70">
        <w:rPr>
          <w:rFonts w:cs="Helvetica"/>
          <w:lang w:val="en"/>
        </w:rPr>
        <w:t xml:space="preserve"> steps being taken to address these </w:t>
      </w:r>
      <w:r w:rsidR="00750D27">
        <w:rPr>
          <w:rFonts w:cs="Helvetica"/>
          <w:lang w:val="en"/>
        </w:rPr>
        <w:t>concerns,</w:t>
      </w:r>
      <w:r w:rsidR="00DA6038">
        <w:rPr>
          <w:rStyle w:val="FootnoteReference"/>
          <w:rFonts w:cs="Helvetica"/>
          <w:lang w:val="en"/>
        </w:rPr>
        <w:footnoteReference w:id="254"/>
      </w:r>
      <w:r w:rsidR="00597F9D">
        <w:rPr>
          <w:rFonts w:cs="Helvetica"/>
          <w:lang w:val="en"/>
        </w:rPr>
        <w:t xml:space="preserve"> progress </w:t>
      </w:r>
      <w:r w:rsidR="00AA0F34">
        <w:rPr>
          <w:rFonts w:cs="Helvetica"/>
          <w:lang w:val="en"/>
        </w:rPr>
        <w:t>was hindered by the suspension of the</w:t>
      </w:r>
      <w:r w:rsidR="00DD22BD" w:rsidRPr="00D15BBF">
        <w:rPr>
          <w:rFonts w:cs="Helvetica"/>
          <w:lang w:val="en"/>
        </w:rPr>
        <w:t xml:space="preserve"> NI</w:t>
      </w:r>
      <w:r w:rsidR="00FC793C" w:rsidRPr="00D15BBF">
        <w:rPr>
          <w:rFonts w:cs="Helvetica"/>
          <w:lang w:val="en"/>
        </w:rPr>
        <w:t xml:space="preserve"> Executive</w:t>
      </w:r>
      <w:r w:rsidR="00D345EF" w:rsidRPr="00D15BBF">
        <w:rPr>
          <w:rFonts w:cs="Helvetica"/>
          <w:lang w:val="en"/>
        </w:rPr>
        <w:t>.</w:t>
      </w:r>
      <w:r w:rsidR="00DD22BD">
        <w:rPr>
          <w:rStyle w:val="FootnoteReference"/>
          <w:rFonts w:cs="Helvetica"/>
          <w:lang w:val="en"/>
        </w:rPr>
        <w:footnoteReference w:id="255"/>
      </w:r>
    </w:p>
    <w:p w14:paraId="784A1BA9" w14:textId="1876791B" w:rsidR="00165BAE" w:rsidRDefault="00BB512B" w:rsidP="00390185">
      <w:pPr>
        <w:pStyle w:val="ListParagraph"/>
        <w:tabs>
          <w:tab w:val="left" w:pos="851"/>
        </w:tabs>
        <w:ind w:left="851" w:hanging="851"/>
        <w:contextualSpacing w:val="0"/>
        <w:rPr>
          <w:rFonts w:cs="Helvetica"/>
          <w:lang w:val="en"/>
        </w:rPr>
      </w:pPr>
      <w:r>
        <w:rPr>
          <w:rFonts w:cs="Helvetica"/>
          <w:lang w:val="en"/>
        </w:rPr>
        <w:t xml:space="preserve"> </w:t>
      </w:r>
      <w:r w:rsidR="00A17B8F">
        <w:rPr>
          <w:rFonts w:cs="Helvetica"/>
          <w:lang w:val="en"/>
        </w:rPr>
        <w:t xml:space="preserve"> </w:t>
      </w:r>
      <w:r w:rsidR="0077719B">
        <w:rPr>
          <w:rFonts w:cs="Helvetica"/>
          <w:lang w:val="en"/>
        </w:rPr>
        <w:t xml:space="preserve"> </w:t>
      </w:r>
    </w:p>
    <w:p w14:paraId="3AD3BCFE" w14:textId="79DAA956" w:rsidR="00606A88" w:rsidRDefault="00AD3AA5" w:rsidP="00390185">
      <w:pPr>
        <w:pStyle w:val="ListParagraph"/>
        <w:numPr>
          <w:ilvl w:val="1"/>
          <w:numId w:val="26"/>
        </w:numPr>
        <w:tabs>
          <w:tab w:val="left" w:pos="851"/>
        </w:tabs>
        <w:ind w:left="851" w:hanging="851"/>
        <w:contextualSpacing w:val="0"/>
        <w:rPr>
          <w:rFonts w:cs="Helvetica"/>
          <w:lang w:val="en"/>
        </w:rPr>
      </w:pPr>
      <w:r>
        <w:rPr>
          <w:rFonts w:cs="Helvetica"/>
          <w:lang w:val="en"/>
        </w:rPr>
        <w:t>B</w:t>
      </w:r>
      <w:r w:rsidR="006A2D5F">
        <w:rPr>
          <w:rFonts w:cs="Helvetica"/>
          <w:lang w:val="en"/>
        </w:rPr>
        <w:t xml:space="preserve">arriers in accessing </w:t>
      </w:r>
      <w:r w:rsidR="004C69F8">
        <w:rPr>
          <w:rFonts w:cs="Helvetica"/>
          <w:lang w:val="en"/>
        </w:rPr>
        <w:t xml:space="preserve">justice </w:t>
      </w:r>
      <w:r w:rsidR="00120257">
        <w:rPr>
          <w:rFonts w:cs="Helvetica"/>
          <w:lang w:val="en"/>
        </w:rPr>
        <w:t>are</w:t>
      </w:r>
      <w:r w:rsidR="004C69F8">
        <w:rPr>
          <w:rFonts w:cs="Helvetica"/>
          <w:lang w:val="en"/>
        </w:rPr>
        <w:t xml:space="preserve"> prominent for litigants in person</w:t>
      </w:r>
      <w:r w:rsidR="00E355EC">
        <w:rPr>
          <w:rStyle w:val="FootnoteReference"/>
          <w:rFonts w:cs="Helvetica"/>
          <w:lang w:val="en"/>
        </w:rPr>
        <w:footnoteReference w:id="256"/>
      </w:r>
      <w:r w:rsidR="00A3114D">
        <w:rPr>
          <w:rFonts w:cs="Helvetica"/>
          <w:lang w:val="en"/>
        </w:rPr>
        <w:t xml:space="preserve"> </w:t>
      </w:r>
      <w:r w:rsidR="00365AC6">
        <w:rPr>
          <w:rFonts w:cs="Helvetica"/>
          <w:lang w:val="en"/>
        </w:rPr>
        <w:t xml:space="preserve">and </w:t>
      </w:r>
      <w:r w:rsidR="00167D4D">
        <w:rPr>
          <w:rFonts w:cs="Helvetica"/>
          <w:lang w:val="en"/>
        </w:rPr>
        <w:t>persons with disabilities, particularly deaf people</w:t>
      </w:r>
      <w:r w:rsidR="00365AC6">
        <w:rPr>
          <w:rFonts w:cs="Helvetica"/>
          <w:lang w:val="en"/>
        </w:rPr>
        <w:t>.</w:t>
      </w:r>
      <w:r w:rsidR="00C65CCA">
        <w:rPr>
          <w:rStyle w:val="FootnoteReference"/>
          <w:rFonts w:cs="Helvetica"/>
          <w:lang w:val="en"/>
        </w:rPr>
        <w:footnoteReference w:id="257"/>
      </w:r>
      <w:r w:rsidR="00A3114D">
        <w:rPr>
          <w:rFonts w:cs="Helvetica"/>
          <w:lang w:val="en"/>
        </w:rPr>
        <w:t xml:space="preserve"> </w:t>
      </w:r>
    </w:p>
    <w:p w14:paraId="52C3D7C8" w14:textId="77777777" w:rsidR="00606A88" w:rsidRDefault="00606A88" w:rsidP="00390185">
      <w:pPr>
        <w:pStyle w:val="ListParagraph"/>
        <w:tabs>
          <w:tab w:val="left" w:pos="851"/>
        </w:tabs>
        <w:ind w:left="851" w:hanging="851"/>
        <w:contextualSpacing w:val="0"/>
        <w:rPr>
          <w:rFonts w:cs="Helvetica"/>
          <w:lang w:val="en"/>
        </w:rPr>
      </w:pPr>
    </w:p>
    <w:p w14:paraId="46EC8190" w14:textId="1B8618FE" w:rsidR="006A6560" w:rsidRPr="00715F18" w:rsidRDefault="009A0522" w:rsidP="22E15799">
      <w:pPr>
        <w:pStyle w:val="ListParagraph"/>
        <w:numPr>
          <w:ilvl w:val="1"/>
          <w:numId w:val="26"/>
        </w:numPr>
        <w:tabs>
          <w:tab w:val="left" w:pos="851"/>
        </w:tabs>
        <w:ind w:left="851" w:hanging="851"/>
        <w:rPr>
          <w:rFonts w:cs="Helvetica"/>
          <w:lang w:val="en"/>
        </w:rPr>
      </w:pPr>
      <w:r>
        <w:rPr>
          <w:rFonts w:cs="Helvetica"/>
          <w:lang w:val="en"/>
        </w:rPr>
        <w:lastRenderedPageBreak/>
        <w:t>N</w:t>
      </w:r>
      <w:r w:rsidR="00621398" w:rsidRPr="00D22035">
        <w:rPr>
          <w:rFonts w:cs="Helvetica"/>
          <w:lang w:val="en"/>
        </w:rPr>
        <w:t xml:space="preserve">ew </w:t>
      </w:r>
      <w:r w:rsidR="00965F40">
        <w:rPr>
          <w:rFonts w:cs="Helvetica"/>
          <w:lang w:val="en"/>
        </w:rPr>
        <w:t>strategies</w:t>
      </w:r>
      <w:r w:rsidR="00FF36D5" w:rsidRPr="00D22035">
        <w:rPr>
          <w:rFonts w:cs="Helvetica"/>
          <w:lang w:val="en"/>
        </w:rPr>
        <w:t xml:space="preserve"> </w:t>
      </w:r>
      <w:r w:rsidR="00D22035" w:rsidRPr="00D22035">
        <w:rPr>
          <w:rFonts w:cs="Helvetica"/>
          <w:lang w:val="en"/>
        </w:rPr>
        <w:t>on</w:t>
      </w:r>
      <w:r w:rsidR="00FF36D5" w:rsidRPr="00D22035">
        <w:rPr>
          <w:rFonts w:cs="Helvetica"/>
          <w:lang w:val="en"/>
        </w:rPr>
        <w:t xml:space="preserve"> technological advancements </w:t>
      </w:r>
      <w:r w:rsidR="006C44D0">
        <w:rPr>
          <w:rFonts w:cs="Helvetica"/>
          <w:lang w:val="en"/>
        </w:rPr>
        <w:t xml:space="preserve">in the </w:t>
      </w:r>
      <w:r w:rsidR="006C44D0">
        <w:t>NI Court and Tribunals Service</w:t>
      </w:r>
      <w:r w:rsidR="00F40DCF">
        <w:rPr>
          <w:rFonts w:cs="Helvetica"/>
          <w:lang w:val="en"/>
        </w:rPr>
        <w:t xml:space="preserve"> </w:t>
      </w:r>
      <w:r w:rsidR="00E46482">
        <w:rPr>
          <w:rFonts w:cs="Helvetica"/>
          <w:lang w:val="en"/>
        </w:rPr>
        <w:t xml:space="preserve">are </w:t>
      </w:r>
      <w:r w:rsidR="00DA79D4">
        <w:rPr>
          <w:rFonts w:cs="Helvetica"/>
          <w:lang w:val="en"/>
        </w:rPr>
        <w:t xml:space="preserve">being </w:t>
      </w:r>
      <w:r w:rsidR="00E46482">
        <w:rPr>
          <w:rFonts w:cs="Helvetica"/>
          <w:lang w:val="en"/>
        </w:rPr>
        <w:t>welcomed</w:t>
      </w:r>
      <w:r w:rsidR="007D7BE0">
        <w:rPr>
          <w:rFonts w:cs="Helvetica"/>
          <w:lang w:val="en"/>
        </w:rPr>
        <w:t xml:space="preserve"> with caution</w:t>
      </w:r>
      <w:r w:rsidR="00A83A12">
        <w:rPr>
          <w:rFonts w:cs="Helvetica"/>
          <w:lang w:val="en"/>
        </w:rPr>
        <w:t>.</w:t>
      </w:r>
      <w:r w:rsidR="00EA05A0">
        <w:rPr>
          <w:rStyle w:val="FootnoteReference"/>
          <w:rFonts w:cs="Helvetica"/>
          <w:lang w:val="en"/>
        </w:rPr>
        <w:footnoteReference w:id="258"/>
      </w:r>
      <w:r w:rsidR="007D7BE0">
        <w:rPr>
          <w:rFonts w:cs="Helvetica"/>
          <w:lang w:val="en"/>
        </w:rPr>
        <w:t xml:space="preserve"> </w:t>
      </w:r>
      <w:r w:rsidR="00E875CE">
        <w:t>C</w:t>
      </w:r>
      <w:r w:rsidR="0053138B">
        <w:t>lear guidance and safeguards are required to ensure</w:t>
      </w:r>
      <w:r w:rsidR="00EA05A0">
        <w:t xml:space="preserve"> </w:t>
      </w:r>
      <w:r w:rsidR="00DA79D4">
        <w:t>there</w:t>
      </w:r>
      <w:r w:rsidR="00AA6FBF">
        <w:t xml:space="preserve"> i</w:t>
      </w:r>
      <w:r w:rsidR="00DA79D4">
        <w:t xml:space="preserve">s </w:t>
      </w:r>
      <w:r w:rsidR="00100F79">
        <w:t>no impediment to</w:t>
      </w:r>
      <w:r w:rsidR="00EA05A0">
        <w:t xml:space="preserve"> individuals with specific needs</w:t>
      </w:r>
      <w:r w:rsidR="0C58306E">
        <w:t xml:space="preserve"> accessing justice</w:t>
      </w:r>
      <w:r w:rsidR="00EA05A0">
        <w:t>.</w:t>
      </w:r>
      <w:r w:rsidR="00A83A12">
        <w:rPr>
          <w:rStyle w:val="FootnoteReference"/>
        </w:rPr>
        <w:footnoteReference w:id="259"/>
      </w:r>
      <w:r w:rsidR="001A0146">
        <w:rPr>
          <w:rFonts w:cs="Helvetica"/>
          <w:lang w:val="en"/>
        </w:rPr>
        <w:t xml:space="preserve"> </w:t>
      </w:r>
      <w:r w:rsidR="006A6560" w:rsidRPr="00715F18">
        <w:rPr>
          <w:rFonts w:cs="Helvetica"/>
          <w:lang w:val="en"/>
        </w:rPr>
        <w:t>In 2023, the Crimin</w:t>
      </w:r>
      <w:r w:rsidR="005E365F" w:rsidRPr="00715F18">
        <w:rPr>
          <w:rFonts w:cs="Helvetica"/>
          <w:lang w:val="en"/>
        </w:rPr>
        <w:t xml:space="preserve">al Justice Inspection NI </w:t>
      </w:r>
      <w:r w:rsidR="00A5372B" w:rsidRPr="00715F18">
        <w:rPr>
          <w:rFonts w:cs="Helvetica"/>
          <w:lang w:val="en"/>
        </w:rPr>
        <w:t>highlighted</w:t>
      </w:r>
      <w:r w:rsidR="00120572" w:rsidRPr="00715F18">
        <w:rPr>
          <w:rFonts w:cs="Helvetica"/>
          <w:lang w:val="en"/>
        </w:rPr>
        <w:t xml:space="preserve"> that </w:t>
      </w:r>
      <w:r w:rsidR="00041B37" w:rsidRPr="00715F18">
        <w:rPr>
          <w:rFonts w:cs="Helvetica"/>
          <w:lang w:val="en"/>
        </w:rPr>
        <w:t>older people need to be better supported to participate</w:t>
      </w:r>
      <w:r w:rsidR="00BD5162" w:rsidRPr="00715F18">
        <w:rPr>
          <w:rFonts w:cs="Helvetica"/>
          <w:lang w:val="en"/>
        </w:rPr>
        <w:t xml:space="preserve"> in the criminal justice system</w:t>
      </w:r>
      <w:r w:rsidR="00A5372B" w:rsidRPr="00715F18">
        <w:rPr>
          <w:rFonts w:cs="Helvetica"/>
          <w:lang w:val="en"/>
        </w:rPr>
        <w:t>.</w:t>
      </w:r>
      <w:r w:rsidR="00715F18">
        <w:rPr>
          <w:rStyle w:val="FootnoteReference"/>
          <w:rFonts w:cs="Helvetica"/>
          <w:lang w:val="en"/>
        </w:rPr>
        <w:footnoteReference w:id="260"/>
      </w:r>
    </w:p>
    <w:p w14:paraId="3C01A24C" w14:textId="77777777" w:rsidR="00D22035" w:rsidRPr="00D22035" w:rsidRDefault="00D22035" w:rsidP="00390185">
      <w:pPr>
        <w:pStyle w:val="ListParagraph"/>
        <w:tabs>
          <w:tab w:val="left" w:pos="851"/>
        </w:tabs>
        <w:ind w:left="851" w:hanging="851"/>
        <w:contextualSpacing w:val="0"/>
        <w:rPr>
          <w:rFonts w:cs="Helvetica"/>
          <w:lang w:val="en"/>
        </w:rPr>
      </w:pPr>
    </w:p>
    <w:p w14:paraId="21A48F93" w14:textId="165C4938" w:rsidR="00B85F9B" w:rsidRDefault="007E41E7" w:rsidP="00390185">
      <w:pPr>
        <w:pStyle w:val="ListParagraph"/>
        <w:numPr>
          <w:ilvl w:val="1"/>
          <w:numId w:val="26"/>
        </w:numPr>
        <w:tabs>
          <w:tab w:val="left" w:pos="851"/>
        </w:tabs>
        <w:ind w:left="851" w:hanging="851"/>
        <w:contextualSpacing w:val="0"/>
        <w:rPr>
          <w:rFonts w:cs="Helvetica"/>
          <w:lang w:val="en"/>
        </w:rPr>
      </w:pPr>
      <w:r>
        <w:rPr>
          <w:rFonts w:cs="Helvetica"/>
          <w:lang w:val="en"/>
        </w:rPr>
        <w:t>T</w:t>
      </w:r>
      <w:r w:rsidR="00F94E14">
        <w:rPr>
          <w:rFonts w:cs="Helvetica"/>
          <w:lang w:val="en"/>
        </w:rPr>
        <w:t>he</w:t>
      </w:r>
      <w:r>
        <w:rPr>
          <w:rFonts w:cs="Helvetica"/>
          <w:lang w:val="en"/>
        </w:rPr>
        <w:t>re is a</w:t>
      </w:r>
      <w:r w:rsidR="00F94E14">
        <w:rPr>
          <w:rFonts w:cs="Helvetica"/>
          <w:lang w:val="en"/>
        </w:rPr>
        <w:t xml:space="preserve"> </w:t>
      </w:r>
      <w:r w:rsidR="00C97484">
        <w:rPr>
          <w:rFonts w:cs="Helvetica"/>
          <w:lang w:val="en"/>
        </w:rPr>
        <w:t>low number</w:t>
      </w:r>
      <w:r w:rsidR="00B715D6">
        <w:rPr>
          <w:rFonts w:cs="Helvetica"/>
          <w:lang w:val="en"/>
        </w:rPr>
        <w:t xml:space="preserve"> of </w:t>
      </w:r>
      <w:r w:rsidR="004E461D">
        <w:rPr>
          <w:rFonts w:cs="Helvetica"/>
          <w:lang w:val="en"/>
        </w:rPr>
        <w:t xml:space="preserve">specialist immigration </w:t>
      </w:r>
      <w:r w:rsidR="002B723E">
        <w:rPr>
          <w:rFonts w:cs="Helvetica"/>
          <w:lang w:val="en"/>
        </w:rPr>
        <w:t>solicitors</w:t>
      </w:r>
      <w:r w:rsidR="00BC0161">
        <w:rPr>
          <w:rFonts w:cs="Helvetica"/>
          <w:lang w:val="en"/>
        </w:rPr>
        <w:t>,</w:t>
      </w:r>
      <w:r w:rsidR="00D9576C">
        <w:rPr>
          <w:rStyle w:val="FootnoteReference"/>
          <w:rFonts w:cs="Helvetica"/>
          <w:lang w:val="en"/>
        </w:rPr>
        <w:footnoteReference w:id="261"/>
      </w:r>
      <w:r w:rsidR="004E461D">
        <w:rPr>
          <w:rFonts w:cs="Helvetica"/>
          <w:lang w:val="en"/>
        </w:rPr>
        <w:t xml:space="preserve"> particularly outside Belfast</w:t>
      </w:r>
      <w:r>
        <w:rPr>
          <w:rFonts w:cs="Helvetica"/>
          <w:lang w:val="en"/>
        </w:rPr>
        <w:t>,</w:t>
      </w:r>
      <w:r w:rsidR="001F7C17">
        <w:rPr>
          <w:rStyle w:val="FootnoteReference"/>
          <w:rFonts w:cs="Helvetica"/>
          <w:lang w:val="en"/>
        </w:rPr>
        <w:footnoteReference w:id="262"/>
      </w:r>
      <w:r>
        <w:rPr>
          <w:rFonts w:cs="Helvetica"/>
          <w:lang w:val="en"/>
        </w:rPr>
        <w:t xml:space="preserve"> which is affecting the availability of immigration legal services</w:t>
      </w:r>
      <w:r w:rsidR="004E461D">
        <w:rPr>
          <w:rFonts w:cs="Helvetica"/>
          <w:lang w:val="en"/>
        </w:rPr>
        <w:t>.</w:t>
      </w:r>
      <w:r w:rsidR="001F7C17">
        <w:rPr>
          <w:rStyle w:val="FootnoteReference"/>
          <w:rFonts w:cs="Helvetica"/>
          <w:lang w:val="en"/>
        </w:rPr>
        <w:footnoteReference w:id="263"/>
      </w:r>
      <w:r w:rsidR="00F94E14">
        <w:rPr>
          <w:rFonts w:cs="Helvetica"/>
          <w:lang w:val="en"/>
        </w:rPr>
        <w:t xml:space="preserve"> </w:t>
      </w:r>
    </w:p>
    <w:p w14:paraId="4124BD04" w14:textId="77777777" w:rsidR="00B85F9B" w:rsidRPr="00B85F9B" w:rsidRDefault="00B85F9B" w:rsidP="00390185">
      <w:pPr>
        <w:pStyle w:val="ListParagraph"/>
        <w:tabs>
          <w:tab w:val="left" w:pos="851"/>
        </w:tabs>
        <w:ind w:left="851" w:hanging="851"/>
        <w:contextualSpacing w:val="0"/>
        <w:rPr>
          <w:rFonts w:cs="Helvetica"/>
          <w:b/>
          <w:lang w:val="en"/>
        </w:rPr>
      </w:pPr>
    </w:p>
    <w:p w14:paraId="3CCAF253" w14:textId="7D9A6242" w:rsidR="00001091" w:rsidRPr="00001091" w:rsidRDefault="00B85F9B" w:rsidP="00390185">
      <w:pPr>
        <w:pStyle w:val="ListParagraph"/>
        <w:numPr>
          <w:ilvl w:val="1"/>
          <w:numId w:val="26"/>
        </w:numPr>
        <w:tabs>
          <w:tab w:val="left" w:pos="851"/>
        </w:tabs>
        <w:ind w:left="851" w:hanging="851"/>
        <w:contextualSpacing w:val="0"/>
        <w:rPr>
          <w:rFonts w:cs="Helvetica"/>
          <w:b/>
          <w:lang w:val="en"/>
        </w:rPr>
      </w:pPr>
      <w:r w:rsidRPr="00B85F9B">
        <w:rPr>
          <w:rFonts w:cs="Helvetica"/>
          <w:b/>
          <w:lang w:val="en"/>
        </w:rPr>
        <w:t xml:space="preserve">The </w:t>
      </w:r>
      <w:r w:rsidRPr="00B85F9B">
        <w:rPr>
          <w:b/>
        </w:rPr>
        <w:t xml:space="preserve">Committee may wish to </w:t>
      </w:r>
      <w:r w:rsidR="0076598A">
        <w:rPr>
          <w:b/>
        </w:rPr>
        <w:t>recommend that</w:t>
      </w:r>
      <w:r w:rsidR="0076598A" w:rsidRPr="00B85F9B">
        <w:rPr>
          <w:b/>
        </w:rPr>
        <w:t xml:space="preserve"> </w:t>
      </w:r>
      <w:r w:rsidRPr="00B85F9B">
        <w:rPr>
          <w:b/>
        </w:rPr>
        <w:t>the UK</w:t>
      </w:r>
      <w:r w:rsidR="00DC3C87">
        <w:rPr>
          <w:b/>
        </w:rPr>
        <w:t xml:space="preserve"> </w:t>
      </w:r>
      <w:r w:rsidR="0076598A">
        <w:rPr>
          <w:b/>
        </w:rPr>
        <w:t>takes effective steps to</w:t>
      </w:r>
      <w:r w:rsidR="00EF7E29">
        <w:rPr>
          <w:b/>
        </w:rPr>
        <w:t xml:space="preserve"> ensure</w:t>
      </w:r>
      <w:r w:rsidR="00712120">
        <w:rPr>
          <w:b/>
        </w:rPr>
        <w:t>:</w:t>
      </w:r>
    </w:p>
    <w:p w14:paraId="4F6EA926" w14:textId="77777777" w:rsidR="00001091" w:rsidRPr="00001091" w:rsidRDefault="00001091" w:rsidP="00390185">
      <w:pPr>
        <w:ind w:left="1560"/>
        <w:rPr>
          <w:b/>
        </w:rPr>
      </w:pPr>
    </w:p>
    <w:p w14:paraId="09F9A553" w14:textId="7ADF7721" w:rsidR="00DC4678" w:rsidRDefault="00DC4678" w:rsidP="00390185">
      <w:pPr>
        <w:pStyle w:val="ListParagraph"/>
        <w:numPr>
          <w:ilvl w:val="0"/>
          <w:numId w:val="35"/>
        </w:numPr>
        <w:ind w:left="1560"/>
        <w:contextualSpacing w:val="0"/>
        <w:rPr>
          <w:b/>
        </w:rPr>
      </w:pPr>
      <w:r w:rsidRPr="00DC4678">
        <w:rPr>
          <w:b/>
        </w:rPr>
        <w:t xml:space="preserve">justice barriers are eliminated, especially for litigants in person, persons with disabilities, and older individuals in NI. </w:t>
      </w:r>
    </w:p>
    <w:p w14:paraId="0778E885" w14:textId="77777777" w:rsidR="00DC4678" w:rsidRDefault="00DC4678" w:rsidP="00390185">
      <w:pPr>
        <w:pStyle w:val="ListParagraph"/>
        <w:ind w:left="1560"/>
        <w:contextualSpacing w:val="0"/>
        <w:rPr>
          <w:b/>
        </w:rPr>
      </w:pPr>
    </w:p>
    <w:p w14:paraId="6FD2F90F" w14:textId="683F0AB6" w:rsidR="00DC4678" w:rsidRDefault="00DC4678" w:rsidP="00390185">
      <w:pPr>
        <w:pStyle w:val="ListParagraph"/>
        <w:numPr>
          <w:ilvl w:val="0"/>
          <w:numId w:val="35"/>
        </w:numPr>
        <w:ind w:left="1560"/>
        <w:contextualSpacing w:val="0"/>
        <w:rPr>
          <w:b/>
        </w:rPr>
      </w:pPr>
      <w:r>
        <w:rPr>
          <w:b/>
        </w:rPr>
        <w:t>a</w:t>
      </w:r>
      <w:r w:rsidRPr="00DC4678">
        <w:rPr>
          <w:b/>
        </w:rPr>
        <w:t xml:space="preserve">dopt technologies without hindering access for specific needs, including children, persons with </w:t>
      </w:r>
      <w:r w:rsidRPr="00DC4678">
        <w:rPr>
          <w:b/>
        </w:rPr>
        <w:lastRenderedPageBreak/>
        <w:t xml:space="preserve">disabilities, older persons, unrepresented litigants, and non-English speakers. </w:t>
      </w:r>
    </w:p>
    <w:p w14:paraId="0918EBCA" w14:textId="77777777" w:rsidR="00DC4678" w:rsidRPr="00DC4678" w:rsidRDefault="00DC4678" w:rsidP="00DC4678">
      <w:pPr>
        <w:rPr>
          <w:b/>
        </w:rPr>
      </w:pPr>
    </w:p>
    <w:p w14:paraId="57A7AD12" w14:textId="31F84A7B" w:rsidR="00DC4678" w:rsidRDefault="00DC4678" w:rsidP="00390185">
      <w:pPr>
        <w:pStyle w:val="ListParagraph"/>
        <w:numPr>
          <w:ilvl w:val="0"/>
          <w:numId w:val="35"/>
        </w:numPr>
        <w:ind w:left="1560"/>
        <w:contextualSpacing w:val="0"/>
        <w:rPr>
          <w:b/>
        </w:rPr>
      </w:pPr>
      <w:r w:rsidRPr="00DC4678">
        <w:rPr>
          <w:b/>
        </w:rPr>
        <w:t>immigration legal service</w:t>
      </w:r>
      <w:r w:rsidR="00F95D12">
        <w:rPr>
          <w:b/>
        </w:rPr>
        <w:t>s in NI satisfy</w:t>
      </w:r>
      <w:r w:rsidRPr="00DC4678">
        <w:rPr>
          <w:b/>
        </w:rPr>
        <w:t xml:space="preserve"> needs, preventing unfair penalties for asylum seekers without </w:t>
      </w:r>
      <w:r w:rsidR="00E83534">
        <w:rPr>
          <w:b/>
        </w:rPr>
        <w:t xml:space="preserve">adequate </w:t>
      </w:r>
      <w:r w:rsidRPr="00DC4678">
        <w:rPr>
          <w:b/>
        </w:rPr>
        <w:t>legal advice</w:t>
      </w:r>
      <w:r w:rsidR="00E83534">
        <w:rPr>
          <w:b/>
        </w:rPr>
        <w:t xml:space="preserve">. </w:t>
      </w:r>
    </w:p>
    <w:p w14:paraId="4C3C772F" w14:textId="77777777" w:rsidR="00594FAF" w:rsidRDefault="00594FAF" w:rsidP="00DC4678">
      <w:pPr>
        <w:rPr>
          <w:rFonts w:cs="Helvetica"/>
          <w:lang w:val="en"/>
        </w:rPr>
      </w:pPr>
    </w:p>
    <w:p w14:paraId="0CFB5043" w14:textId="639C9E1A" w:rsidR="009A23F2" w:rsidRPr="00594FAF" w:rsidRDefault="00594FAF" w:rsidP="00390185">
      <w:pPr>
        <w:pStyle w:val="Heading2"/>
        <w:spacing w:after="240" w:line="288" w:lineRule="auto"/>
        <w:rPr>
          <w:lang w:val="en"/>
        </w:rPr>
      </w:pPr>
      <w:bookmarkStart w:id="60" w:name="_Toc156901031"/>
      <w:r w:rsidRPr="00594FAF">
        <w:rPr>
          <w:lang w:val="en"/>
        </w:rPr>
        <w:t>Age of criminal responsibility</w:t>
      </w:r>
      <w:bookmarkEnd w:id="60"/>
    </w:p>
    <w:p w14:paraId="23DDDF59" w14:textId="339D4577" w:rsidR="004178D6" w:rsidRDefault="007B3444" w:rsidP="00390185">
      <w:pPr>
        <w:pStyle w:val="ListParagraph"/>
        <w:numPr>
          <w:ilvl w:val="1"/>
          <w:numId w:val="26"/>
        </w:numPr>
        <w:ind w:left="851" w:hanging="851"/>
        <w:contextualSpacing w:val="0"/>
        <w:rPr>
          <w:rFonts w:cs="Helvetica"/>
          <w:lang w:val="en"/>
        </w:rPr>
      </w:pPr>
      <w:r>
        <w:t>In 2024,</w:t>
      </w:r>
      <w:r w:rsidR="00F40BB0" w:rsidRPr="00587912">
        <w:t xml:space="preserve"> </w:t>
      </w:r>
      <w:r>
        <w:t>the age of</w:t>
      </w:r>
      <w:r w:rsidR="00F40BB0" w:rsidRPr="00587912">
        <w:t xml:space="preserve"> criminal responsibility remains at ten years </w:t>
      </w:r>
      <w:r w:rsidR="00F40BB0">
        <w:t xml:space="preserve">old </w:t>
      </w:r>
      <w:r w:rsidR="00F40BB0" w:rsidRPr="00587912">
        <w:t>in NI</w:t>
      </w:r>
      <w:r w:rsidR="006C2A29">
        <w:rPr>
          <w:rFonts w:cs="Helvetica"/>
          <w:lang w:val="en"/>
        </w:rPr>
        <w:t>.</w:t>
      </w:r>
      <w:r w:rsidR="00F40BB0">
        <w:rPr>
          <w:rStyle w:val="FootnoteReference"/>
          <w:rFonts w:cs="Helvetica"/>
          <w:lang w:val="en"/>
        </w:rPr>
        <w:footnoteReference w:id="264"/>
      </w:r>
      <w:r w:rsidR="006C2A29">
        <w:rPr>
          <w:rFonts w:cs="Helvetica"/>
          <w:lang w:val="en"/>
        </w:rPr>
        <w:t xml:space="preserve"> </w:t>
      </w:r>
      <w:r w:rsidR="00A7210D">
        <w:rPr>
          <w:rFonts w:cs="Helvetica"/>
          <w:lang w:val="en"/>
        </w:rPr>
        <w:t>There is</w:t>
      </w:r>
      <w:r w:rsidR="00467C82">
        <w:rPr>
          <w:rFonts w:cs="Helvetica"/>
          <w:lang w:val="en"/>
        </w:rPr>
        <w:t xml:space="preserve"> </w:t>
      </w:r>
      <w:r w:rsidR="00725385">
        <w:rPr>
          <w:rFonts w:cs="Helvetica"/>
          <w:lang w:val="en"/>
        </w:rPr>
        <w:t>broad</w:t>
      </w:r>
      <w:r w:rsidR="00DF18B1">
        <w:rPr>
          <w:rFonts w:cs="Helvetica"/>
          <w:lang w:val="en"/>
        </w:rPr>
        <w:t xml:space="preserve"> </w:t>
      </w:r>
      <w:r w:rsidR="00097F8F">
        <w:rPr>
          <w:rFonts w:cs="Helvetica"/>
          <w:lang w:val="en"/>
        </w:rPr>
        <w:t xml:space="preserve">community support for raising the </w:t>
      </w:r>
      <w:r w:rsidR="00613DE6">
        <w:rPr>
          <w:rFonts w:cs="Helvetica"/>
          <w:lang w:val="en"/>
        </w:rPr>
        <w:t>minimum age beyond ten years</w:t>
      </w:r>
      <w:r w:rsidR="00417F7C">
        <w:rPr>
          <w:rFonts w:cs="Helvetica"/>
          <w:lang w:val="en"/>
        </w:rPr>
        <w:t>.</w:t>
      </w:r>
      <w:r w:rsidR="0044749A">
        <w:rPr>
          <w:rStyle w:val="FootnoteReference"/>
          <w:rFonts w:cs="Helvetica"/>
          <w:lang w:val="en"/>
        </w:rPr>
        <w:footnoteReference w:id="265"/>
      </w:r>
      <w:r w:rsidR="00A83593" w:rsidRPr="0098721E">
        <w:rPr>
          <w:rFonts w:cs="Helvetica"/>
          <w:lang w:val="en"/>
        </w:rPr>
        <w:t xml:space="preserve"> </w:t>
      </w:r>
      <w:r w:rsidR="00A7210D">
        <w:rPr>
          <w:rFonts w:cs="Helvetica"/>
          <w:lang w:val="en"/>
        </w:rPr>
        <w:t>However, cross-party support to address this issue is lacking.</w:t>
      </w:r>
      <w:r w:rsidR="00A7210D">
        <w:rPr>
          <w:rStyle w:val="FootnoteReference"/>
          <w:rFonts w:cs="Helvetica"/>
          <w:lang w:val="en"/>
        </w:rPr>
        <w:footnoteReference w:id="266"/>
      </w:r>
      <w:r w:rsidR="00A7210D">
        <w:rPr>
          <w:rFonts w:cs="Helvetica"/>
          <w:lang w:val="en"/>
        </w:rPr>
        <w:t xml:space="preserve"> </w:t>
      </w:r>
      <w:r w:rsidR="00037E72">
        <w:rPr>
          <w:rFonts w:cs="Helvetica"/>
          <w:lang w:val="en"/>
        </w:rPr>
        <w:t>Further</w:t>
      </w:r>
      <w:r w:rsidR="00A83593" w:rsidRPr="0098721E">
        <w:rPr>
          <w:rFonts w:cs="Helvetica"/>
          <w:lang w:val="en"/>
        </w:rPr>
        <w:t xml:space="preserve"> progress </w:t>
      </w:r>
      <w:r w:rsidR="00AA0F34">
        <w:rPr>
          <w:rFonts w:cs="Helvetica"/>
          <w:lang w:val="en"/>
        </w:rPr>
        <w:t>was hindered by the suspension of the</w:t>
      </w:r>
      <w:r w:rsidR="00A83593" w:rsidRPr="0098721E">
        <w:rPr>
          <w:rFonts w:cs="Helvetica"/>
          <w:lang w:val="en"/>
        </w:rPr>
        <w:t xml:space="preserve"> NI Executive</w:t>
      </w:r>
      <w:r w:rsidR="00BC456C">
        <w:rPr>
          <w:rFonts w:cs="Helvetica"/>
          <w:lang w:val="en"/>
        </w:rPr>
        <w:t xml:space="preserve"> and NI Assembly</w:t>
      </w:r>
      <w:r w:rsidR="00037E72">
        <w:rPr>
          <w:rFonts w:cs="Helvetica"/>
          <w:lang w:val="en"/>
        </w:rPr>
        <w:t>.</w:t>
      </w:r>
    </w:p>
    <w:p w14:paraId="0587C9C2" w14:textId="79CF618A" w:rsidR="00594FAF" w:rsidRDefault="00037E72" w:rsidP="00390185">
      <w:pPr>
        <w:pStyle w:val="ListParagraph"/>
        <w:ind w:left="851" w:hanging="851"/>
        <w:contextualSpacing w:val="0"/>
        <w:rPr>
          <w:rFonts w:cs="Helvetica"/>
          <w:lang w:val="en"/>
        </w:rPr>
      </w:pPr>
      <w:r>
        <w:rPr>
          <w:rFonts w:cs="Helvetica"/>
          <w:lang w:val="en"/>
        </w:rPr>
        <w:t xml:space="preserve"> </w:t>
      </w:r>
      <w:r w:rsidR="0044749A" w:rsidRPr="0098721E">
        <w:rPr>
          <w:rFonts w:cs="Helvetica"/>
          <w:lang w:val="en"/>
        </w:rPr>
        <w:t xml:space="preserve"> </w:t>
      </w:r>
    </w:p>
    <w:p w14:paraId="7110BB3E" w14:textId="3C8C2B7B" w:rsidR="00037E72" w:rsidRPr="004178D6" w:rsidRDefault="00454464" w:rsidP="00390185">
      <w:pPr>
        <w:pStyle w:val="ListParagraph"/>
        <w:numPr>
          <w:ilvl w:val="1"/>
          <w:numId w:val="26"/>
        </w:numPr>
        <w:ind w:left="851" w:hanging="851"/>
        <w:contextualSpacing w:val="0"/>
        <w:rPr>
          <w:rFonts w:cs="Helvetica"/>
          <w:b/>
          <w:bCs/>
          <w:lang w:val="en"/>
        </w:rPr>
      </w:pPr>
      <w:r w:rsidRPr="00454464">
        <w:rPr>
          <w:b/>
          <w:bCs/>
        </w:rPr>
        <w:t xml:space="preserve">The Committee may wish to </w:t>
      </w:r>
      <w:r w:rsidR="00A7210D">
        <w:rPr>
          <w:b/>
          <w:bCs/>
        </w:rPr>
        <w:t xml:space="preserve">recommend that </w:t>
      </w:r>
      <w:r w:rsidRPr="00454464">
        <w:rPr>
          <w:b/>
          <w:bCs/>
        </w:rPr>
        <w:t xml:space="preserve">the UK </w:t>
      </w:r>
      <w:r w:rsidR="00A7210D">
        <w:rPr>
          <w:b/>
          <w:bCs/>
        </w:rPr>
        <w:t>take</w:t>
      </w:r>
      <w:r w:rsidR="00DC3C87">
        <w:rPr>
          <w:b/>
          <w:bCs/>
        </w:rPr>
        <w:t>s</w:t>
      </w:r>
      <w:r w:rsidR="00A7210D">
        <w:rPr>
          <w:b/>
          <w:bCs/>
        </w:rPr>
        <w:t xml:space="preserve"> effective steps to</w:t>
      </w:r>
      <w:r w:rsidRPr="00454464">
        <w:rPr>
          <w:b/>
          <w:bCs/>
        </w:rPr>
        <w:t xml:space="preserve"> ensure the minimum age of criminal responsibility in NI is raised to </w:t>
      </w:r>
      <w:r>
        <w:rPr>
          <w:b/>
          <w:bCs/>
        </w:rPr>
        <w:t>at least 14</w:t>
      </w:r>
      <w:r w:rsidR="00031250">
        <w:rPr>
          <w:b/>
          <w:bCs/>
        </w:rPr>
        <w:t xml:space="preserve"> years of age.</w:t>
      </w:r>
    </w:p>
    <w:p w14:paraId="2CFB82C3" w14:textId="77777777" w:rsidR="004178D6" w:rsidRPr="004178D6" w:rsidRDefault="004178D6" w:rsidP="003A6C64">
      <w:pPr>
        <w:rPr>
          <w:rFonts w:cs="Helvetica"/>
          <w:b/>
          <w:bCs/>
          <w:lang w:val="en"/>
        </w:rPr>
      </w:pPr>
    </w:p>
    <w:p w14:paraId="2C5FB3A6" w14:textId="2641C5B6" w:rsidR="00594FAF" w:rsidRPr="00594FAF" w:rsidRDefault="00594FAF" w:rsidP="00390185">
      <w:pPr>
        <w:pStyle w:val="Heading2"/>
        <w:spacing w:after="240" w:line="288" w:lineRule="auto"/>
        <w:rPr>
          <w:lang w:val="en"/>
        </w:rPr>
      </w:pPr>
      <w:bookmarkStart w:id="61" w:name="_Toc156901032"/>
      <w:r>
        <w:rPr>
          <w:lang w:val="en"/>
        </w:rPr>
        <w:t>Avoidable delay</w:t>
      </w:r>
      <w:bookmarkEnd w:id="61"/>
    </w:p>
    <w:p w14:paraId="0C74D94E" w14:textId="5F5D8109" w:rsidR="002C2498" w:rsidRPr="008809B9" w:rsidRDefault="002C2498" w:rsidP="00390185">
      <w:pPr>
        <w:pStyle w:val="ListParagraph"/>
        <w:numPr>
          <w:ilvl w:val="1"/>
          <w:numId w:val="26"/>
        </w:numPr>
        <w:ind w:left="851" w:hanging="851"/>
        <w:contextualSpacing w:val="0"/>
        <w:rPr>
          <w:rFonts w:cs="Helvetica"/>
          <w:lang w:val="en"/>
        </w:rPr>
      </w:pPr>
      <w:r>
        <w:t>There are concerns that cuts to the NI budget and existing case back logs are contributing to delays.</w:t>
      </w:r>
      <w:r>
        <w:rPr>
          <w:rStyle w:val="FootnoteReference"/>
        </w:rPr>
        <w:footnoteReference w:id="267"/>
      </w:r>
      <w:r>
        <w:t xml:space="preserve"> </w:t>
      </w:r>
    </w:p>
    <w:p w14:paraId="7FAFF845" w14:textId="77777777" w:rsidR="00F74538" w:rsidRPr="00F74538" w:rsidRDefault="00F74538" w:rsidP="003A6C64">
      <w:pPr>
        <w:pStyle w:val="ListParagraph"/>
        <w:contextualSpacing w:val="0"/>
        <w:rPr>
          <w:b/>
        </w:rPr>
      </w:pPr>
    </w:p>
    <w:p w14:paraId="22504C47" w14:textId="5C6F61B9" w:rsidR="0059429E" w:rsidRPr="00A46B7E" w:rsidRDefault="00F74538" w:rsidP="00EC378A">
      <w:pPr>
        <w:pStyle w:val="ListParagraph"/>
        <w:numPr>
          <w:ilvl w:val="1"/>
          <w:numId w:val="26"/>
        </w:numPr>
        <w:ind w:left="851" w:hanging="851"/>
        <w:contextualSpacing w:val="0"/>
        <w:rPr>
          <w:rFonts w:cs="Helvetica"/>
          <w:b/>
          <w:lang w:val="en"/>
        </w:rPr>
      </w:pPr>
      <w:r w:rsidRPr="00F434AB">
        <w:rPr>
          <w:b/>
        </w:rPr>
        <w:t xml:space="preserve">The Committee may wish to </w:t>
      </w:r>
      <w:r w:rsidR="00703025">
        <w:rPr>
          <w:b/>
        </w:rPr>
        <w:t>recommend that</w:t>
      </w:r>
      <w:r w:rsidR="00703025" w:rsidRPr="00F434AB">
        <w:rPr>
          <w:b/>
        </w:rPr>
        <w:t xml:space="preserve"> </w:t>
      </w:r>
      <w:r w:rsidRPr="00F434AB">
        <w:rPr>
          <w:b/>
        </w:rPr>
        <w:t xml:space="preserve">the UK </w:t>
      </w:r>
      <w:r w:rsidR="00703025">
        <w:rPr>
          <w:b/>
        </w:rPr>
        <w:t>takes effective steps</w:t>
      </w:r>
      <w:r w:rsidRPr="00F434AB">
        <w:rPr>
          <w:b/>
        </w:rPr>
        <w:t xml:space="preserve"> to</w:t>
      </w:r>
      <w:r w:rsidR="00974B73" w:rsidRPr="00F434AB">
        <w:rPr>
          <w:b/>
        </w:rPr>
        <w:t xml:space="preserve"> </w:t>
      </w:r>
      <w:r w:rsidR="006A0B7E" w:rsidRPr="00F434AB">
        <w:rPr>
          <w:b/>
        </w:rPr>
        <w:t xml:space="preserve">ensure the availability of funding to </w:t>
      </w:r>
      <w:r w:rsidR="00974B73" w:rsidRPr="00F434AB">
        <w:rPr>
          <w:b/>
        </w:rPr>
        <w:t>deliver transformational change and</w:t>
      </w:r>
      <w:r w:rsidRPr="00F434AB">
        <w:rPr>
          <w:b/>
        </w:rPr>
        <w:t xml:space="preserve"> reduce avoidable delay in </w:t>
      </w:r>
      <w:r w:rsidR="00A90A9C" w:rsidRPr="00F434AB">
        <w:rPr>
          <w:b/>
        </w:rPr>
        <w:t>NI</w:t>
      </w:r>
      <w:r w:rsidR="00974B73" w:rsidRPr="00F434AB">
        <w:rPr>
          <w:b/>
        </w:rPr>
        <w:t>’s</w:t>
      </w:r>
      <w:r w:rsidR="00A90A9C" w:rsidRPr="00F434AB">
        <w:rPr>
          <w:b/>
        </w:rPr>
        <w:t xml:space="preserve"> criminal justice system</w:t>
      </w:r>
      <w:r w:rsidR="00703025">
        <w:rPr>
          <w:b/>
        </w:rPr>
        <w:t>.</w:t>
      </w:r>
      <w:r w:rsidR="00F577B0" w:rsidRPr="00F434AB">
        <w:rPr>
          <w:b/>
        </w:rPr>
        <w:t xml:space="preserve"> </w:t>
      </w:r>
    </w:p>
    <w:p w14:paraId="7A7FEF9D" w14:textId="77777777" w:rsidR="00A46B7E" w:rsidRPr="00A46B7E" w:rsidRDefault="00A46B7E" w:rsidP="003A6C64">
      <w:pPr>
        <w:rPr>
          <w:rFonts w:cs="Helvetica"/>
          <w:b/>
          <w:lang w:val="en"/>
        </w:rPr>
      </w:pPr>
    </w:p>
    <w:p w14:paraId="3BA078AC" w14:textId="400B91FD" w:rsidR="00594FAF" w:rsidRPr="00594FAF" w:rsidRDefault="00594FAF" w:rsidP="00467FAD">
      <w:pPr>
        <w:pStyle w:val="Heading2"/>
        <w:spacing w:after="240" w:line="288" w:lineRule="auto"/>
        <w:rPr>
          <w:lang w:val="en"/>
        </w:rPr>
      </w:pPr>
      <w:bookmarkStart w:id="62" w:name="_Toc156901033"/>
      <w:r>
        <w:rPr>
          <w:lang w:val="en"/>
        </w:rPr>
        <w:t>Closed material procedures</w:t>
      </w:r>
      <w:bookmarkEnd w:id="62"/>
    </w:p>
    <w:p w14:paraId="647E089D" w14:textId="658E23CF" w:rsidR="0036641D" w:rsidRPr="0085765C" w:rsidRDefault="00134D94" w:rsidP="00EC378A">
      <w:pPr>
        <w:pStyle w:val="ListParagraph"/>
        <w:numPr>
          <w:ilvl w:val="1"/>
          <w:numId w:val="26"/>
        </w:numPr>
        <w:ind w:left="851" w:hanging="851"/>
        <w:contextualSpacing w:val="0"/>
        <w:rPr>
          <w:rFonts w:cs="Helvetica"/>
          <w:color w:val="000000" w:themeColor="text1"/>
        </w:rPr>
      </w:pPr>
      <w:r>
        <w:rPr>
          <w:color w:val="000000"/>
        </w:rPr>
        <w:t>I</w:t>
      </w:r>
      <w:r w:rsidR="0036641D">
        <w:rPr>
          <w:color w:val="000000"/>
        </w:rPr>
        <w:t xml:space="preserve">n 2020/2021, there were six applications for </w:t>
      </w:r>
      <w:r w:rsidR="00A423AC">
        <w:rPr>
          <w:color w:val="000000"/>
        </w:rPr>
        <w:t xml:space="preserve">a </w:t>
      </w:r>
      <w:r w:rsidR="0036641D">
        <w:rPr>
          <w:color w:val="000000"/>
        </w:rPr>
        <w:t>closed material procedure</w:t>
      </w:r>
      <w:r w:rsidR="00A423AC">
        <w:rPr>
          <w:color w:val="000000"/>
        </w:rPr>
        <w:t>,</w:t>
      </w:r>
      <w:r w:rsidR="0036641D">
        <w:rPr>
          <w:rStyle w:val="FootnoteReference"/>
        </w:rPr>
        <w:footnoteReference w:id="268"/>
      </w:r>
      <w:r w:rsidR="0036641D">
        <w:rPr>
          <w:color w:val="000000"/>
        </w:rPr>
        <w:t xml:space="preserve"> five declarations </w:t>
      </w:r>
      <w:r w:rsidR="00A423AC">
        <w:rPr>
          <w:color w:val="000000"/>
        </w:rPr>
        <w:t xml:space="preserve">to allow </w:t>
      </w:r>
      <w:r w:rsidR="0036641D">
        <w:rPr>
          <w:color w:val="000000"/>
        </w:rPr>
        <w:t>a closed material procedure</w:t>
      </w:r>
      <w:r w:rsidR="00A423AC">
        <w:rPr>
          <w:color w:val="000000"/>
        </w:rPr>
        <w:t>,</w:t>
      </w:r>
      <w:r w:rsidR="00E43BFB">
        <w:rPr>
          <w:rStyle w:val="FootnoteReference"/>
          <w:color w:val="000000"/>
        </w:rPr>
        <w:footnoteReference w:id="269"/>
      </w:r>
      <w:r w:rsidR="0036641D">
        <w:rPr>
          <w:color w:val="000000"/>
        </w:rPr>
        <w:t xml:space="preserve"> one revocation of a declaration,</w:t>
      </w:r>
      <w:r w:rsidR="0036641D">
        <w:rPr>
          <w:rStyle w:val="FootnoteReference"/>
        </w:rPr>
        <w:footnoteReference w:id="270"/>
      </w:r>
      <w:r w:rsidR="0036641D">
        <w:rPr>
          <w:color w:val="000000"/>
        </w:rPr>
        <w:t xml:space="preserve"> </w:t>
      </w:r>
      <w:r w:rsidR="009125D6">
        <w:rPr>
          <w:color w:val="000000"/>
        </w:rPr>
        <w:t xml:space="preserve">and </w:t>
      </w:r>
      <w:r w:rsidR="0036641D">
        <w:rPr>
          <w:color w:val="000000"/>
        </w:rPr>
        <w:t xml:space="preserve">two final judgments </w:t>
      </w:r>
      <w:r w:rsidR="00952F69">
        <w:rPr>
          <w:color w:val="000000"/>
        </w:rPr>
        <w:t>made through the closed material procedure</w:t>
      </w:r>
      <w:r w:rsidR="008B300F">
        <w:rPr>
          <w:color w:val="000000"/>
        </w:rPr>
        <w:t xml:space="preserve"> in NI</w:t>
      </w:r>
      <w:r w:rsidR="009125D6">
        <w:rPr>
          <w:color w:val="000000"/>
        </w:rPr>
        <w:t>.</w:t>
      </w:r>
      <w:r w:rsidR="00225E4E">
        <w:rPr>
          <w:rStyle w:val="FootnoteReference"/>
          <w:color w:val="000000"/>
        </w:rPr>
        <w:footnoteReference w:id="271"/>
      </w:r>
    </w:p>
    <w:p w14:paraId="521D4FEB" w14:textId="77777777" w:rsidR="0036641D" w:rsidRPr="0036641D" w:rsidRDefault="0036641D" w:rsidP="00EC378A">
      <w:pPr>
        <w:pStyle w:val="ListParagraph"/>
        <w:ind w:left="851" w:hanging="851"/>
        <w:contextualSpacing w:val="0"/>
        <w:rPr>
          <w:color w:val="000000"/>
        </w:rPr>
      </w:pPr>
    </w:p>
    <w:p w14:paraId="38C088AE" w14:textId="7853175B" w:rsidR="007D2AAB" w:rsidRPr="001513FE" w:rsidRDefault="008B300F" w:rsidP="00EC378A">
      <w:pPr>
        <w:pStyle w:val="ListParagraph"/>
        <w:numPr>
          <w:ilvl w:val="1"/>
          <w:numId w:val="26"/>
        </w:numPr>
        <w:ind w:left="851" w:hanging="851"/>
        <w:contextualSpacing w:val="0"/>
        <w:rPr>
          <w:rFonts w:cs="Helvetica"/>
          <w:lang w:val="en"/>
        </w:rPr>
      </w:pPr>
      <w:r>
        <w:rPr>
          <w:color w:val="000000"/>
        </w:rPr>
        <w:t>It has been reported</w:t>
      </w:r>
      <w:r w:rsidR="005715E3">
        <w:rPr>
          <w:color w:val="000000"/>
        </w:rPr>
        <w:t xml:space="preserve"> </w:t>
      </w:r>
      <w:r w:rsidR="00A752B9">
        <w:rPr>
          <w:color w:val="000000"/>
        </w:rPr>
        <w:t>that the</w:t>
      </w:r>
      <w:r w:rsidR="00E16863">
        <w:rPr>
          <w:color w:val="000000"/>
        </w:rPr>
        <w:t xml:space="preserve"> </w:t>
      </w:r>
      <w:r w:rsidR="000C40CD">
        <w:rPr>
          <w:color w:val="000000"/>
        </w:rPr>
        <w:t xml:space="preserve">increased litigation time and costs </w:t>
      </w:r>
      <w:r w:rsidR="00A752B9">
        <w:rPr>
          <w:color w:val="000000"/>
        </w:rPr>
        <w:t>associated with</w:t>
      </w:r>
      <w:r w:rsidR="00434D93">
        <w:rPr>
          <w:color w:val="000000"/>
        </w:rPr>
        <w:t xml:space="preserve"> </w:t>
      </w:r>
      <w:r w:rsidR="00A752B9">
        <w:rPr>
          <w:color w:val="000000"/>
        </w:rPr>
        <w:t xml:space="preserve">closed material proceedings </w:t>
      </w:r>
      <w:r w:rsidR="000C40CD">
        <w:rPr>
          <w:color w:val="000000"/>
        </w:rPr>
        <w:t>are particularly significant in NI</w:t>
      </w:r>
      <w:r w:rsidR="005715E3">
        <w:rPr>
          <w:color w:val="000000"/>
        </w:rPr>
        <w:t>,</w:t>
      </w:r>
      <w:r w:rsidR="0068603C">
        <w:rPr>
          <w:color w:val="000000"/>
        </w:rPr>
        <w:t xml:space="preserve"> due to the</w:t>
      </w:r>
      <w:r w:rsidR="001513FE">
        <w:rPr>
          <w:color w:val="000000"/>
        </w:rPr>
        <w:t xml:space="preserve"> </w:t>
      </w:r>
      <w:r>
        <w:rPr>
          <w:color w:val="000000"/>
        </w:rPr>
        <w:t>“</w:t>
      </w:r>
      <w:r w:rsidR="001513FE" w:rsidRPr="00376609">
        <w:rPr>
          <w:color w:val="000000"/>
        </w:rPr>
        <w:t>complicated factual backdrop to many of the NI legacy cases</w:t>
      </w:r>
      <w:r>
        <w:rPr>
          <w:color w:val="000000"/>
        </w:rPr>
        <w:t>”</w:t>
      </w:r>
      <w:r w:rsidR="007D2AAB">
        <w:rPr>
          <w:color w:val="000000"/>
        </w:rPr>
        <w:t>.</w:t>
      </w:r>
      <w:r w:rsidR="007D2AAB">
        <w:rPr>
          <w:rStyle w:val="FootnoteReference"/>
          <w:color w:val="000000"/>
        </w:rPr>
        <w:footnoteReference w:id="272"/>
      </w:r>
      <w:r w:rsidR="007D2AAB" w:rsidRPr="00376609">
        <w:rPr>
          <w:color w:val="000000"/>
        </w:rPr>
        <w:t xml:space="preserve"> </w:t>
      </w:r>
    </w:p>
    <w:p w14:paraId="39D440BE" w14:textId="77777777" w:rsidR="001513FE" w:rsidRPr="005C5ADF" w:rsidRDefault="001513FE" w:rsidP="00EC378A">
      <w:pPr>
        <w:pStyle w:val="ListParagraph"/>
        <w:ind w:left="851" w:hanging="851"/>
        <w:contextualSpacing w:val="0"/>
        <w:rPr>
          <w:rFonts w:cs="Helvetica"/>
          <w:b/>
          <w:lang w:val="en"/>
        </w:rPr>
      </w:pPr>
    </w:p>
    <w:p w14:paraId="471E7A1A" w14:textId="3B003A2D" w:rsidR="0052428E" w:rsidRPr="0052428E" w:rsidRDefault="005C5ADF" w:rsidP="00EC378A">
      <w:pPr>
        <w:pStyle w:val="ListParagraph"/>
        <w:numPr>
          <w:ilvl w:val="1"/>
          <w:numId w:val="26"/>
        </w:numPr>
        <w:ind w:left="851" w:hanging="851"/>
        <w:contextualSpacing w:val="0"/>
        <w:rPr>
          <w:rFonts w:cs="Helvetica"/>
          <w:b/>
          <w:lang w:val="en"/>
        </w:rPr>
      </w:pPr>
      <w:r w:rsidRPr="005C5ADF">
        <w:rPr>
          <w:b/>
          <w:lang w:val="en"/>
        </w:rPr>
        <w:t xml:space="preserve">The </w:t>
      </w:r>
      <w:r w:rsidRPr="005C5ADF">
        <w:rPr>
          <w:b/>
        </w:rPr>
        <w:t xml:space="preserve">Committee may wish to </w:t>
      </w:r>
      <w:r w:rsidR="000F3648">
        <w:rPr>
          <w:b/>
        </w:rPr>
        <w:t>recommend that</w:t>
      </w:r>
      <w:r w:rsidR="000F3648" w:rsidRPr="005C5ADF">
        <w:rPr>
          <w:b/>
        </w:rPr>
        <w:t xml:space="preserve"> </w:t>
      </w:r>
      <w:r w:rsidRPr="005C5ADF">
        <w:rPr>
          <w:b/>
        </w:rPr>
        <w:t xml:space="preserve">the UK </w:t>
      </w:r>
      <w:r w:rsidR="000F3648">
        <w:rPr>
          <w:b/>
        </w:rPr>
        <w:t>takes effective steps to</w:t>
      </w:r>
      <w:r w:rsidRPr="005C5ADF">
        <w:rPr>
          <w:b/>
        </w:rPr>
        <w:t xml:space="preserve"> ensure </w:t>
      </w:r>
      <w:r w:rsidR="0052428E">
        <w:rPr>
          <w:b/>
        </w:rPr>
        <w:t>that:</w:t>
      </w:r>
    </w:p>
    <w:p w14:paraId="773F1E78" w14:textId="77777777" w:rsidR="0052428E" w:rsidRPr="0052428E" w:rsidRDefault="0052428E" w:rsidP="003A6C64">
      <w:pPr>
        <w:pStyle w:val="ListParagraph"/>
        <w:contextualSpacing w:val="0"/>
        <w:rPr>
          <w:b/>
        </w:rPr>
      </w:pPr>
    </w:p>
    <w:p w14:paraId="2B14036D" w14:textId="12C4A1CC" w:rsidR="001513FE" w:rsidRDefault="005C5ADF" w:rsidP="00EC378A">
      <w:pPr>
        <w:pStyle w:val="ListParagraph"/>
        <w:numPr>
          <w:ilvl w:val="0"/>
          <w:numId w:val="36"/>
        </w:numPr>
        <w:ind w:left="1560"/>
        <w:contextualSpacing w:val="0"/>
        <w:rPr>
          <w:b/>
        </w:rPr>
      </w:pPr>
      <w:r w:rsidRPr="005C5ADF">
        <w:rPr>
          <w:b/>
        </w:rPr>
        <w:t>closed material procedures in cases of serious human rights violations do not create obstacles to accountability or the rights to a fair trial and effective remedy in NI</w:t>
      </w:r>
      <w:r w:rsidR="000F3648">
        <w:rPr>
          <w:b/>
        </w:rPr>
        <w:t>.</w:t>
      </w:r>
    </w:p>
    <w:p w14:paraId="50D6BEBA" w14:textId="77777777" w:rsidR="00916982" w:rsidRDefault="00916982" w:rsidP="00EC378A">
      <w:pPr>
        <w:pStyle w:val="ListParagraph"/>
        <w:ind w:left="1560"/>
        <w:contextualSpacing w:val="0"/>
        <w:rPr>
          <w:b/>
        </w:rPr>
      </w:pPr>
    </w:p>
    <w:p w14:paraId="198587AD" w14:textId="1C7FD399" w:rsidR="0052428E" w:rsidRPr="005C5ADF" w:rsidRDefault="0052428E" w:rsidP="00EC378A">
      <w:pPr>
        <w:pStyle w:val="ListParagraph"/>
        <w:numPr>
          <w:ilvl w:val="0"/>
          <w:numId w:val="36"/>
        </w:numPr>
        <w:ind w:left="1560"/>
        <w:contextualSpacing w:val="0"/>
        <w:rPr>
          <w:rFonts w:cs="Helvetica"/>
          <w:b/>
          <w:lang w:val="en"/>
        </w:rPr>
      </w:pPr>
      <w:r>
        <w:rPr>
          <w:b/>
        </w:rPr>
        <w:t>sufficient, long-term resources are available where closed material pro</w:t>
      </w:r>
      <w:r w:rsidR="00916982">
        <w:rPr>
          <w:b/>
        </w:rPr>
        <w:t>cedures are used in NI</w:t>
      </w:r>
      <w:r w:rsidR="000F3648">
        <w:rPr>
          <w:b/>
        </w:rPr>
        <w:t>.</w:t>
      </w:r>
    </w:p>
    <w:p w14:paraId="0146E2CA" w14:textId="77777777" w:rsidR="003A64DC" w:rsidRDefault="003A64DC" w:rsidP="003A6C64">
      <w:pPr>
        <w:pStyle w:val="ListParagraph"/>
        <w:ind w:left="993"/>
        <w:contextualSpacing w:val="0"/>
        <w:rPr>
          <w:rFonts w:cs="Helvetica"/>
          <w:lang w:val="en"/>
        </w:rPr>
      </w:pPr>
    </w:p>
    <w:p w14:paraId="18FBD689" w14:textId="21C24B80" w:rsidR="003A64DC" w:rsidRPr="003A64DC" w:rsidRDefault="003A64DC" w:rsidP="00EC378A">
      <w:pPr>
        <w:pStyle w:val="Heading2"/>
        <w:spacing w:after="240" w:line="288" w:lineRule="auto"/>
        <w:rPr>
          <w:lang w:val="en"/>
        </w:rPr>
      </w:pPr>
      <w:bookmarkStart w:id="63" w:name="_Toc156901034"/>
      <w:r>
        <w:rPr>
          <w:lang w:val="en"/>
        </w:rPr>
        <w:t>Miscarriages of justice</w:t>
      </w:r>
      <w:bookmarkEnd w:id="63"/>
    </w:p>
    <w:p w14:paraId="088E0D58" w14:textId="2D51777E" w:rsidR="0004701D" w:rsidRPr="009327D5" w:rsidRDefault="00466F12" w:rsidP="00EC378A">
      <w:pPr>
        <w:pStyle w:val="ListParagraph"/>
        <w:numPr>
          <w:ilvl w:val="1"/>
          <w:numId w:val="26"/>
        </w:numPr>
        <w:ind w:left="851" w:hanging="851"/>
        <w:contextualSpacing w:val="0"/>
        <w:rPr>
          <w:color w:val="000000"/>
        </w:rPr>
      </w:pPr>
      <w:r>
        <w:rPr>
          <w:rFonts w:cs="Helvetica"/>
        </w:rPr>
        <w:t>Recalling the</w:t>
      </w:r>
      <w:r w:rsidR="00C2656F">
        <w:rPr>
          <w:rFonts w:cs="Helvetica"/>
        </w:rPr>
        <w:t xml:space="preserve"> previous recommendation,</w:t>
      </w:r>
      <w:r w:rsidRPr="0004701D">
        <w:rPr>
          <w:rFonts w:cs="Helvetica"/>
          <w:vertAlign w:val="superscript"/>
        </w:rPr>
        <w:footnoteReference w:id="273"/>
      </w:r>
      <w:r w:rsidR="00C2656F">
        <w:rPr>
          <w:rFonts w:cs="Helvetica"/>
        </w:rPr>
        <w:t xml:space="preserve"> </w:t>
      </w:r>
      <w:r>
        <w:rPr>
          <w:rFonts w:cs="Helvetica"/>
        </w:rPr>
        <w:t>i</w:t>
      </w:r>
      <w:r w:rsidR="0004701D" w:rsidRPr="0004701D">
        <w:rPr>
          <w:rFonts w:cs="Helvetica"/>
        </w:rPr>
        <w:t>n 2019, the UK Supreme Court found the test for a miscarriage of justice was not incompatible with Article 6(2)</w:t>
      </w:r>
      <w:r w:rsidR="002640AA">
        <w:rPr>
          <w:rFonts w:cs="Helvetica"/>
        </w:rPr>
        <w:t xml:space="preserve"> of the ECtHR</w:t>
      </w:r>
      <w:r w:rsidR="0004701D" w:rsidRPr="0004701D">
        <w:rPr>
          <w:rFonts w:cs="Helvetica"/>
        </w:rPr>
        <w:t xml:space="preserve">. </w:t>
      </w:r>
      <w:r w:rsidR="009327D5" w:rsidRPr="009327D5">
        <w:rPr>
          <w:color w:val="000000"/>
        </w:rPr>
        <w:t xml:space="preserve">In 2023, </w:t>
      </w:r>
      <w:r w:rsidR="002640AA">
        <w:rPr>
          <w:color w:val="000000"/>
        </w:rPr>
        <w:t>the ECtHR considered the issue, including an intervention by the NIHRC</w:t>
      </w:r>
      <w:r w:rsidR="000524F0">
        <w:rPr>
          <w:color w:val="000000"/>
        </w:rPr>
        <w:t>.</w:t>
      </w:r>
      <w:r w:rsidR="000524F0">
        <w:rPr>
          <w:rStyle w:val="FootnoteReference"/>
          <w:color w:val="000000"/>
        </w:rPr>
        <w:footnoteReference w:id="274"/>
      </w:r>
      <w:r w:rsidR="009327D5" w:rsidRPr="009327D5">
        <w:rPr>
          <w:color w:val="000000"/>
        </w:rPr>
        <w:t xml:space="preserve"> The judgment is awaited.  </w:t>
      </w:r>
    </w:p>
    <w:p w14:paraId="4CA29088" w14:textId="77777777" w:rsidR="0004701D" w:rsidRPr="0004701D" w:rsidRDefault="0004701D" w:rsidP="00EC378A">
      <w:pPr>
        <w:pStyle w:val="ListParagraph"/>
        <w:ind w:left="851" w:hanging="851"/>
        <w:contextualSpacing w:val="0"/>
        <w:rPr>
          <w:rFonts w:cs="Helvetica"/>
        </w:rPr>
      </w:pPr>
    </w:p>
    <w:p w14:paraId="269972DE" w14:textId="136D4BF2" w:rsidR="00594FAF" w:rsidRPr="000524F0" w:rsidRDefault="0004701D" w:rsidP="00EC378A">
      <w:pPr>
        <w:pStyle w:val="ListParagraph"/>
        <w:numPr>
          <w:ilvl w:val="1"/>
          <w:numId w:val="26"/>
        </w:numPr>
        <w:ind w:left="851" w:hanging="851"/>
        <w:contextualSpacing w:val="0"/>
        <w:rPr>
          <w:rFonts w:cs="Helvetica"/>
          <w:b/>
        </w:rPr>
      </w:pPr>
      <w:r w:rsidRPr="0004701D">
        <w:rPr>
          <w:rFonts w:cs="Helvetica"/>
          <w:b/>
        </w:rPr>
        <w:t xml:space="preserve">The Committee may wish to </w:t>
      </w:r>
      <w:r w:rsidR="002640AA">
        <w:rPr>
          <w:rFonts w:cs="Helvetica"/>
          <w:b/>
        </w:rPr>
        <w:t>recommend that</w:t>
      </w:r>
      <w:r w:rsidR="002640AA" w:rsidRPr="0004701D">
        <w:rPr>
          <w:rFonts w:cs="Helvetica"/>
          <w:b/>
        </w:rPr>
        <w:t xml:space="preserve"> </w:t>
      </w:r>
      <w:r w:rsidRPr="0004701D">
        <w:rPr>
          <w:rFonts w:cs="Helvetica"/>
          <w:b/>
        </w:rPr>
        <w:t>the UK</w:t>
      </w:r>
      <w:r w:rsidR="00726E58">
        <w:rPr>
          <w:rFonts w:cs="Helvetica"/>
          <w:b/>
        </w:rPr>
        <w:t xml:space="preserve"> </w:t>
      </w:r>
      <w:r w:rsidR="00F022F1">
        <w:rPr>
          <w:rFonts w:cs="Helvetica"/>
          <w:b/>
        </w:rPr>
        <w:t>takes</w:t>
      </w:r>
      <w:r w:rsidR="00F022F1" w:rsidRPr="0004701D">
        <w:rPr>
          <w:rFonts w:cs="Helvetica"/>
          <w:b/>
        </w:rPr>
        <w:t xml:space="preserve"> </w:t>
      </w:r>
      <w:r w:rsidRPr="0004701D">
        <w:rPr>
          <w:rFonts w:cs="Helvetica"/>
          <w:b/>
        </w:rPr>
        <w:t xml:space="preserve">effective </w:t>
      </w:r>
      <w:r w:rsidR="00F022F1">
        <w:rPr>
          <w:rFonts w:cs="Helvetica"/>
          <w:b/>
        </w:rPr>
        <w:t>steps</w:t>
      </w:r>
      <w:r w:rsidRPr="0004701D">
        <w:rPr>
          <w:rFonts w:cs="Helvetica"/>
          <w:b/>
        </w:rPr>
        <w:t xml:space="preserve"> to </w:t>
      </w:r>
      <w:r w:rsidR="00015754">
        <w:rPr>
          <w:rFonts w:cs="Helvetica"/>
          <w:b/>
        </w:rPr>
        <w:t>ensure</w:t>
      </w:r>
      <w:r w:rsidR="00015754" w:rsidRPr="0004701D">
        <w:rPr>
          <w:rFonts w:cs="Helvetica"/>
          <w:b/>
        </w:rPr>
        <w:t xml:space="preserve"> </w:t>
      </w:r>
      <w:r w:rsidRPr="0004701D">
        <w:rPr>
          <w:rFonts w:cs="Helvetica"/>
          <w:b/>
        </w:rPr>
        <w:t>the test for a miscarriage of justice is human rights compliant in NI</w:t>
      </w:r>
      <w:r w:rsidR="00D96225">
        <w:rPr>
          <w:rFonts w:cs="Helvetica"/>
          <w:b/>
        </w:rPr>
        <w:t>.</w:t>
      </w:r>
    </w:p>
    <w:p w14:paraId="79DBFC1C" w14:textId="77777777" w:rsidR="003A64DC" w:rsidRDefault="003A64DC" w:rsidP="003A6C64">
      <w:pPr>
        <w:pStyle w:val="ListParagraph"/>
        <w:ind w:left="993"/>
        <w:contextualSpacing w:val="0"/>
        <w:rPr>
          <w:rFonts w:cs="Helvetica"/>
          <w:lang w:val="en"/>
        </w:rPr>
      </w:pPr>
    </w:p>
    <w:p w14:paraId="4EAB0D21" w14:textId="26317343" w:rsidR="003A64DC" w:rsidRPr="003A64DC" w:rsidRDefault="003A64DC" w:rsidP="00EC378A">
      <w:pPr>
        <w:pStyle w:val="Heading2"/>
        <w:spacing w:after="240" w:line="288" w:lineRule="auto"/>
        <w:rPr>
          <w:lang w:val="en"/>
        </w:rPr>
      </w:pPr>
      <w:bookmarkStart w:id="64" w:name="_Toc156901035"/>
      <w:r>
        <w:rPr>
          <w:lang w:val="en"/>
        </w:rPr>
        <w:t>Non-jury trials</w:t>
      </w:r>
      <w:bookmarkEnd w:id="64"/>
    </w:p>
    <w:p w14:paraId="0D9C7BD7" w14:textId="4B014BBE" w:rsidR="003A64DC" w:rsidRPr="00AA6C95" w:rsidRDefault="00B32644" w:rsidP="00EC378A">
      <w:pPr>
        <w:pStyle w:val="ListParagraph"/>
        <w:numPr>
          <w:ilvl w:val="1"/>
          <w:numId w:val="26"/>
        </w:numPr>
        <w:ind w:left="851" w:hanging="851"/>
        <w:contextualSpacing w:val="0"/>
        <w:rPr>
          <w:rFonts w:cs="Helvetica"/>
          <w:lang w:val="en"/>
        </w:rPr>
      </w:pPr>
      <w:r>
        <w:rPr>
          <w:rFonts w:cs="Helvetica"/>
          <w:lang w:val="en"/>
        </w:rPr>
        <w:t>In 202</w:t>
      </w:r>
      <w:r w:rsidR="00F86C61">
        <w:rPr>
          <w:rFonts w:cs="Helvetica"/>
          <w:lang w:val="en"/>
        </w:rPr>
        <w:t xml:space="preserve">2, </w:t>
      </w:r>
      <w:r w:rsidR="00922B90">
        <w:rPr>
          <w:rFonts w:cs="Helvetica"/>
          <w:lang w:val="en"/>
        </w:rPr>
        <w:t>there were 13</w:t>
      </w:r>
      <w:r w:rsidR="00401E23">
        <w:rPr>
          <w:rFonts w:cs="Helvetica"/>
          <w:lang w:val="en"/>
        </w:rPr>
        <w:t xml:space="preserve"> defendants disposed of at non-jury trials</w:t>
      </w:r>
      <w:r w:rsidR="00DE0EB4">
        <w:rPr>
          <w:rFonts w:cs="Helvetica"/>
          <w:lang w:val="en"/>
        </w:rPr>
        <w:t xml:space="preserve"> in NI.</w:t>
      </w:r>
      <w:r w:rsidR="00DE0EB4">
        <w:rPr>
          <w:rStyle w:val="FootnoteReference"/>
          <w:rFonts w:cs="Helvetica"/>
          <w:lang w:val="en"/>
        </w:rPr>
        <w:footnoteReference w:id="275"/>
      </w:r>
      <w:r w:rsidR="00DE0EB4">
        <w:rPr>
          <w:rFonts w:cs="Helvetica"/>
          <w:lang w:val="en"/>
        </w:rPr>
        <w:t xml:space="preserve"> </w:t>
      </w:r>
      <w:r w:rsidR="00611CFF">
        <w:rPr>
          <w:rFonts w:cs="Helvetica"/>
          <w:lang w:val="en"/>
        </w:rPr>
        <w:t xml:space="preserve">Provision for non-jury trials in NI has been extended for the seventh time until </w:t>
      </w:r>
      <w:r w:rsidR="00245B31">
        <w:rPr>
          <w:rFonts w:cs="Helvetica"/>
          <w:lang w:val="en"/>
        </w:rPr>
        <w:t>July 2025.</w:t>
      </w:r>
      <w:r w:rsidR="00BD4325">
        <w:rPr>
          <w:rStyle w:val="FootnoteReference"/>
          <w:rFonts w:cs="Helvetica"/>
          <w:lang w:val="en"/>
        </w:rPr>
        <w:footnoteReference w:id="276"/>
      </w:r>
      <w:r w:rsidR="00BD4325">
        <w:rPr>
          <w:rFonts w:cs="Helvetica"/>
          <w:lang w:val="en"/>
        </w:rPr>
        <w:t xml:space="preserve"> </w:t>
      </w:r>
      <w:r w:rsidR="000E6965">
        <w:rPr>
          <w:rFonts w:cs="Helvetica"/>
          <w:lang w:val="en"/>
        </w:rPr>
        <w:t>There</w:t>
      </w:r>
      <w:r w:rsidR="00F92BD8">
        <w:rPr>
          <w:rFonts w:cs="Helvetica"/>
          <w:lang w:val="en"/>
        </w:rPr>
        <w:t xml:space="preserve"> is</w:t>
      </w:r>
      <w:r w:rsidR="000E6965">
        <w:rPr>
          <w:rFonts w:cs="Helvetica"/>
          <w:lang w:val="en"/>
        </w:rPr>
        <w:t xml:space="preserve"> </w:t>
      </w:r>
      <w:r w:rsidR="005532E1">
        <w:rPr>
          <w:rFonts w:cs="Helvetica"/>
          <w:lang w:val="en"/>
        </w:rPr>
        <w:t>no</w:t>
      </w:r>
      <w:r w:rsidR="000E47A5">
        <w:rPr>
          <w:rFonts w:cs="Helvetica"/>
          <w:lang w:val="en"/>
        </w:rPr>
        <w:t xml:space="preserve"> clarity around the</w:t>
      </w:r>
      <w:r w:rsidR="00E54063" w:rsidRPr="00E54063">
        <w:rPr>
          <w:color w:val="000000"/>
        </w:rPr>
        <w:t xml:space="preserve"> </w:t>
      </w:r>
      <w:r w:rsidR="00E54063">
        <w:rPr>
          <w:color w:val="000000"/>
        </w:rPr>
        <w:t>conditions whereby the use of non-jury trials will be discontinued.</w:t>
      </w:r>
      <w:r w:rsidR="00736343">
        <w:rPr>
          <w:rStyle w:val="FootnoteReference"/>
        </w:rPr>
        <w:footnoteReference w:id="277"/>
      </w:r>
    </w:p>
    <w:p w14:paraId="580A291B" w14:textId="77777777" w:rsidR="00AA6C95" w:rsidRDefault="00AA6C95" w:rsidP="00EC378A">
      <w:pPr>
        <w:pStyle w:val="ListParagraph"/>
        <w:ind w:left="851" w:hanging="851"/>
        <w:contextualSpacing w:val="0"/>
        <w:rPr>
          <w:rFonts w:cs="Helvetica"/>
          <w:lang w:val="en"/>
        </w:rPr>
      </w:pPr>
    </w:p>
    <w:p w14:paraId="79EA8C8B" w14:textId="63A554EF" w:rsidR="00F65FEB" w:rsidRPr="00F65FEB" w:rsidRDefault="00907163" w:rsidP="00EC378A">
      <w:pPr>
        <w:pStyle w:val="ListParagraph"/>
        <w:numPr>
          <w:ilvl w:val="1"/>
          <w:numId w:val="26"/>
        </w:numPr>
        <w:ind w:left="851" w:hanging="851"/>
        <w:contextualSpacing w:val="0"/>
        <w:rPr>
          <w:rFonts w:cs="Helvetica"/>
          <w:lang w:val="en"/>
        </w:rPr>
      </w:pPr>
      <w:r>
        <w:rPr>
          <w:color w:val="000000"/>
        </w:rPr>
        <w:t xml:space="preserve">In 2021, a Non-Jury Trial Working Group was </w:t>
      </w:r>
      <w:r w:rsidR="006504A5">
        <w:rPr>
          <w:color w:val="000000"/>
        </w:rPr>
        <w:t>established</w:t>
      </w:r>
      <w:r w:rsidR="005D3814">
        <w:rPr>
          <w:color w:val="000000"/>
        </w:rPr>
        <w:t>.</w:t>
      </w:r>
      <w:r w:rsidR="003525DB">
        <w:rPr>
          <w:rStyle w:val="FootnoteReference"/>
          <w:color w:val="000000"/>
        </w:rPr>
        <w:footnoteReference w:id="278"/>
      </w:r>
      <w:r w:rsidR="006504A5">
        <w:rPr>
          <w:color w:val="000000"/>
        </w:rPr>
        <w:t xml:space="preserve"> </w:t>
      </w:r>
      <w:r w:rsidR="005D3814">
        <w:rPr>
          <w:color w:val="000000"/>
        </w:rPr>
        <w:t>I</w:t>
      </w:r>
      <w:r w:rsidR="006504A5">
        <w:rPr>
          <w:color w:val="000000"/>
        </w:rPr>
        <w:t>t developed</w:t>
      </w:r>
      <w:r w:rsidR="008027A4">
        <w:rPr>
          <w:color w:val="000000"/>
        </w:rPr>
        <w:t xml:space="preserve"> </w:t>
      </w:r>
      <w:r w:rsidR="006504A5">
        <w:rPr>
          <w:color w:val="000000"/>
        </w:rPr>
        <w:t xml:space="preserve">a list of </w:t>
      </w:r>
      <w:r w:rsidR="008636C4">
        <w:rPr>
          <w:color w:val="000000"/>
        </w:rPr>
        <w:t xml:space="preserve">indicators </w:t>
      </w:r>
      <w:r w:rsidR="00730B2E">
        <w:rPr>
          <w:color w:val="000000"/>
        </w:rPr>
        <w:t xml:space="preserve">to </w:t>
      </w:r>
      <w:r w:rsidR="00730B2E" w:rsidRPr="00771CAD">
        <w:rPr>
          <w:color w:val="000000"/>
        </w:rPr>
        <w:t>assist the Secretary of State</w:t>
      </w:r>
      <w:r w:rsidR="00730B2E">
        <w:rPr>
          <w:color w:val="000000"/>
        </w:rPr>
        <w:t xml:space="preserve"> in NI</w:t>
      </w:r>
      <w:r w:rsidR="00730B2E" w:rsidRPr="00771CAD">
        <w:rPr>
          <w:color w:val="000000"/>
        </w:rPr>
        <w:t xml:space="preserve"> in</w:t>
      </w:r>
      <w:r w:rsidR="00730B2E">
        <w:rPr>
          <w:color w:val="000000"/>
        </w:rPr>
        <w:t xml:space="preserve"> determining whether</w:t>
      </w:r>
      <w:r w:rsidR="00730B2E" w:rsidRPr="00771CAD">
        <w:rPr>
          <w:color w:val="000000"/>
        </w:rPr>
        <w:t xml:space="preserve"> </w:t>
      </w:r>
      <w:r w:rsidR="00730B2E">
        <w:rPr>
          <w:color w:val="000000"/>
        </w:rPr>
        <w:t>non-jury trials remain necessary.</w:t>
      </w:r>
      <w:r w:rsidR="00913057">
        <w:rPr>
          <w:rStyle w:val="FootnoteReference"/>
          <w:color w:val="000000"/>
        </w:rPr>
        <w:footnoteReference w:id="279"/>
      </w:r>
      <w:r w:rsidR="00730B2E">
        <w:rPr>
          <w:color w:val="000000"/>
        </w:rPr>
        <w:t xml:space="preserve"> </w:t>
      </w:r>
      <w:r w:rsidR="006968AB">
        <w:rPr>
          <w:color w:val="000000"/>
        </w:rPr>
        <w:t xml:space="preserve">It is unclear whether these </w:t>
      </w:r>
      <w:r w:rsidR="00B30627">
        <w:rPr>
          <w:color w:val="000000"/>
        </w:rPr>
        <w:t xml:space="preserve">have been adopted. </w:t>
      </w:r>
    </w:p>
    <w:p w14:paraId="361EA6F5" w14:textId="77777777" w:rsidR="00F65FEB" w:rsidRPr="00F65FEB" w:rsidRDefault="00F65FEB" w:rsidP="00EC378A">
      <w:pPr>
        <w:pStyle w:val="ListParagraph"/>
        <w:ind w:left="851" w:hanging="851"/>
        <w:contextualSpacing w:val="0"/>
        <w:rPr>
          <w:b/>
          <w:lang w:val="en"/>
        </w:rPr>
      </w:pPr>
    </w:p>
    <w:p w14:paraId="43376AAB" w14:textId="01C9FA75" w:rsidR="00F65FEB" w:rsidRDefault="00F65FEB" w:rsidP="00EC378A">
      <w:pPr>
        <w:pStyle w:val="ListParagraph"/>
        <w:numPr>
          <w:ilvl w:val="1"/>
          <w:numId w:val="26"/>
        </w:numPr>
        <w:ind w:left="851" w:hanging="851"/>
        <w:contextualSpacing w:val="0"/>
        <w:rPr>
          <w:rFonts w:cs="Helvetica"/>
          <w:b/>
        </w:rPr>
      </w:pPr>
      <w:r w:rsidRPr="00F65FEB">
        <w:rPr>
          <w:b/>
          <w:lang w:val="en"/>
        </w:rPr>
        <w:t xml:space="preserve">The Committee </w:t>
      </w:r>
      <w:r w:rsidRPr="00F65FEB">
        <w:rPr>
          <w:rFonts w:cs="Helvetica"/>
          <w:b/>
          <w:lang w:val="en"/>
        </w:rPr>
        <w:t xml:space="preserve">may wish to </w:t>
      </w:r>
      <w:r w:rsidR="003525DB">
        <w:rPr>
          <w:rFonts w:cs="Helvetica"/>
          <w:b/>
          <w:lang w:val="en"/>
        </w:rPr>
        <w:t>recommend that</w:t>
      </w:r>
      <w:r w:rsidR="003525DB" w:rsidRPr="00F65FEB">
        <w:rPr>
          <w:rFonts w:cs="Helvetica"/>
          <w:b/>
          <w:lang w:val="en"/>
        </w:rPr>
        <w:t xml:space="preserve"> </w:t>
      </w:r>
      <w:r w:rsidRPr="00F65FEB">
        <w:rPr>
          <w:rFonts w:cs="Helvetica"/>
          <w:b/>
          <w:lang w:val="en"/>
        </w:rPr>
        <w:t xml:space="preserve">the UK </w:t>
      </w:r>
      <w:r w:rsidR="003525DB">
        <w:rPr>
          <w:rFonts w:cs="Helvetica"/>
          <w:b/>
          <w:lang w:val="en"/>
        </w:rPr>
        <w:t>takes effective steps</w:t>
      </w:r>
      <w:r w:rsidRPr="00F65FEB">
        <w:rPr>
          <w:rFonts w:cs="Helvetica"/>
          <w:b/>
          <w:lang w:val="en"/>
        </w:rPr>
        <w:t xml:space="preserve"> to ensure </w:t>
      </w:r>
      <w:r w:rsidR="00845B50">
        <w:rPr>
          <w:rFonts w:cs="Helvetica"/>
          <w:b/>
          <w:lang w:val="en"/>
        </w:rPr>
        <w:t>that the use of non-jury trials do</w:t>
      </w:r>
      <w:r w:rsidR="00F83544">
        <w:rPr>
          <w:rFonts w:cs="Helvetica"/>
          <w:b/>
          <w:lang w:val="en"/>
        </w:rPr>
        <w:t xml:space="preserve"> not become normalised in NI</w:t>
      </w:r>
      <w:r w:rsidR="003525DB">
        <w:rPr>
          <w:rFonts w:cs="Helvetica"/>
          <w:b/>
          <w:lang w:val="en"/>
        </w:rPr>
        <w:t>.</w:t>
      </w:r>
      <w:r w:rsidR="00B140B0">
        <w:rPr>
          <w:rFonts w:cs="Helvetica"/>
          <w:b/>
          <w:lang w:val="en"/>
        </w:rPr>
        <w:t xml:space="preserve"> This includes clarity </w:t>
      </w:r>
      <w:r w:rsidR="00BA496A">
        <w:rPr>
          <w:rFonts w:cs="Helvetica"/>
          <w:b/>
          <w:lang w:val="en"/>
        </w:rPr>
        <w:t xml:space="preserve">on the indicators </w:t>
      </w:r>
      <w:r w:rsidR="00AF0150">
        <w:rPr>
          <w:rFonts w:cs="Helvetica"/>
          <w:b/>
          <w:lang w:val="en"/>
        </w:rPr>
        <w:t xml:space="preserve">used to </w:t>
      </w:r>
      <w:r w:rsidR="00913057" w:rsidRPr="00913057">
        <w:rPr>
          <w:rFonts w:cs="Helvetica"/>
          <w:b/>
        </w:rPr>
        <w:t>determine the conditions whereby the use of non-jury trials will be discontinued</w:t>
      </w:r>
      <w:r w:rsidR="00913057">
        <w:rPr>
          <w:rFonts w:cs="Helvetica"/>
          <w:b/>
        </w:rPr>
        <w:t>.</w:t>
      </w:r>
    </w:p>
    <w:p w14:paraId="5F25481B" w14:textId="77777777" w:rsidR="003B07C4" w:rsidRPr="003B07C4" w:rsidRDefault="003B07C4" w:rsidP="003A6C64">
      <w:pPr>
        <w:pStyle w:val="ListParagraph"/>
        <w:contextualSpacing w:val="0"/>
        <w:rPr>
          <w:rFonts w:cs="Helvetica"/>
          <w:b/>
        </w:rPr>
      </w:pPr>
    </w:p>
    <w:p w14:paraId="4D4F77A0" w14:textId="49017D2E" w:rsidR="00A5767F" w:rsidRPr="00A5767F" w:rsidRDefault="00A5767F" w:rsidP="00EC378A">
      <w:pPr>
        <w:pStyle w:val="Heading2"/>
        <w:spacing w:after="240" w:line="288" w:lineRule="auto"/>
      </w:pPr>
      <w:bookmarkStart w:id="65" w:name="_Toc156901036"/>
      <w:r>
        <w:t>Cross-border justice arrangements</w:t>
      </w:r>
      <w:bookmarkEnd w:id="65"/>
    </w:p>
    <w:p w14:paraId="386EE274" w14:textId="77777777" w:rsidR="00057BF3" w:rsidRPr="00057BF3" w:rsidRDefault="00226D39" w:rsidP="00057BF3">
      <w:pPr>
        <w:pStyle w:val="ListParagraph"/>
        <w:numPr>
          <w:ilvl w:val="1"/>
          <w:numId w:val="26"/>
        </w:numPr>
        <w:ind w:left="851" w:hanging="851"/>
        <w:contextualSpacing w:val="0"/>
        <w:rPr>
          <w:rFonts w:cs="Helvetica"/>
          <w:bCs/>
        </w:rPr>
      </w:pPr>
      <w:r w:rsidRPr="22E15799">
        <w:t>Following UK withdrawal from the EU, t</w:t>
      </w:r>
      <w:r w:rsidR="000E68DC" w:rsidRPr="22E15799">
        <w:t xml:space="preserve">he </w:t>
      </w:r>
      <w:r w:rsidRPr="22E15799">
        <w:t>UK-EU</w:t>
      </w:r>
      <w:r w:rsidR="000E68DC" w:rsidRPr="22E15799">
        <w:t xml:space="preserve"> Trade and Cooperation Agreement established a fast-track system which enables the extradition of either UK or EU nationals.</w:t>
      </w:r>
      <w:r w:rsidR="000E68DC" w:rsidRPr="00470EC1">
        <w:rPr>
          <w:vertAlign w:val="superscript"/>
        </w:rPr>
        <w:footnoteReference w:id="280"/>
      </w:r>
    </w:p>
    <w:p w14:paraId="18EEC768" w14:textId="77777777" w:rsidR="00D03ABE" w:rsidRDefault="00D03ABE" w:rsidP="00D03ABE">
      <w:pPr>
        <w:pStyle w:val="ListParagraph"/>
        <w:ind w:left="851"/>
        <w:contextualSpacing w:val="0"/>
        <w:rPr>
          <w:rFonts w:cs="Helvetica"/>
          <w:bCs/>
        </w:rPr>
      </w:pPr>
    </w:p>
    <w:p w14:paraId="706902D1" w14:textId="478A1FB2" w:rsidR="00905363" w:rsidRPr="0051644F" w:rsidRDefault="000E68DC" w:rsidP="00EC378A">
      <w:pPr>
        <w:pStyle w:val="ListParagraph"/>
        <w:numPr>
          <w:ilvl w:val="1"/>
          <w:numId w:val="26"/>
        </w:numPr>
        <w:ind w:left="851" w:hanging="851"/>
        <w:contextualSpacing w:val="0"/>
        <w:rPr>
          <w:rFonts w:cs="Helvetica"/>
          <w:bCs/>
        </w:rPr>
      </w:pPr>
      <w:r w:rsidRPr="22E15799">
        <w:t>Neither the UK-EU Withdrawal Agreement, nor the UK-EU Trade and Cooperation Agreement address cooperation on matters of cross-border civil justice and no replacement of the Brussels IIa system</w:t>
      </w:r>
      <w:r w:rsidR="00A80D69" w:rsidRPr="00470EC1">
        <w:rPr>
          <w:vertAlign w:val="superscript"/>
        </w:rPr>
        <w:footnoteReference w:id="281"/>
      </w:r>
      <w:r w:rsidR="00A80D69" w:rsidRPr="00905363">
        <w:rPr>
          <w:bCs/>
        </w:rPr>
        <w:t xml:space="preserve"> </w:t>
      </w:r>
      <w:r w:rsidRPr="22E15799">
        <w:t xml:space="preserve">has been put in place. </w:t>
      </w:r>
      <w:r w:rsidR="004F05A1" w:rsidRPr="22E15799">
        <w:t>F</w:t>
      </w:r>
      <w:r w:rsidRPr="22E15799">
        <w:t>or cases instituted after 1 January 2021, the mechanisms for inter-country child placement are now governed by common law and the Hague Convention on Jurisdiction, Applicable Law, Recognition, Enforcement and Co-operation in Respect of Parental Responsibility and Measures for the Protection of Children (the 1996 Hague Convention).</w:t>
      </w:r>
      <w:r w:rsidRPr="00470EC1">
        <w:rPr>
          <w:vertAlign w:val="superscript"/>
        </w:rPr>
        <w:footnoteReference w:id="282"/>
      </w:r>
    </w:p>
    <w:p w14:paraId="5C6DA50F" w14:textId="77777777" w:rsidR="00DC0D36" w:rsidRPr="00DC0D36" w:rsidRDefault="00DC0D36" w:rsidP="00DC0D36">
      <w:pPr>
        <w:pStyle w:val="ListParagraph"/>
        <w:rPr>
          <w:rFonts w:cs="Helvetica"/>
          <w:bCs/>
        </w:rPr>
      </w:pPr>
    </w:p>
    <w:p w14:paraId="33F71C51" w14:textId="65175ABD" w:rsidR="00DC0D36" w:rsidRDefault="00A4064E" w:rsidP="22E15799">
      <w:pPr>
        <w:pStyle w:val="ListParagraph"/>
        <w:numPr>
          <w:ilvl w:val="1"/>
          <w:numId w:val="26"/>
        </w:numPr>
        <w:ind w:left="851" w:hanging="851"/>
        <w:rPr>
          <w:rFonts w:cs="Helvetica"/>
        </w:rPr>
      </w:pPr>
      <w:r w:rsidRPr="22E15799">
        <w:rPr>
          <w:rFonts w:cs="Helvetica"/>
        </w:rPr>
        <w:t>The Data Protection and Digital Information Bill</w:t>
      </w:r>
      <w:r w:rsidR="00142D72" w:rsidRPr="22E15799">
        <w:rPr>
          <w:rFonts w:cs="Helvetica"/>
        </w:rPr>
        <w:t xml:space="preserve"> </w:t>
      </w:r>
      <w:r w:rsidRPr="22E15799">
        <w:rPr>
          <w:rFonts w:cs="Helvetica"/>
        </w:rPr>
        <w:t xml:space="preserve">raises concerns </w:t>
      </w:r>
      <w:r w:rsidR="00F90ACE" w:rsidRPr="22E15799">
        <w:rPr>
          <w:rFonts w:cs="Helvetica"/>
        </w:rPr>
        <w:t>in terms of cross-border data sharing</w:t>
      </w:r>
      <w:r w:rsidR="003745B5">
        <w:rPr>
          <w:rFonts w:cs="Helvetica"/>
        </w:rPr>
        <w:t xml:space="preserve"> </w:t>
      </w:r>
      <w:r w:rsidR="00D4089A" w:rsidRPr="22E15799">
        <w:rPr>
          <w:rFonts w:cs="Helvetica"/>
        </w:rPr>
        <w:t xml:space="preserve">as the Bill </w:t>
      </w:r>
      <w:r w:rsidR="6AEE03B6" w:rsidRPr="22E15799">
        <w:rPr>
          <w:rFonts w:cs="Helvetica"/>
        </w:rPr>
        <w:t xml:space="preserve">opens up to the potential for </w:t>
      </w:r>
      <w:r w:rsidR="00DC038B" w:rsidRPr="22E15799">
        <w:rPr>
          <w:rFonts w:cs="Helvetica"/>
        </w:rPr>
        <w:t xml:space="preserve">divergence on the Island. This might influence the data adequacy agreement </w:t>
      </w:r>
      <w:r w:rsidR="00142D72" w:rsidRPr="22E15799">
        <w:rPr>
          <w:rFonts w:cs="Helvetica"/>
        </w:rPr>
        <w:t>between the UK and the EU.</w:t>
      </w:r>
      <w:r w:rsidR="00142D72" w:rsidRPr="22E15799">
        <w:rPr>
          <w:rStyle w:val="FootnoteReference"/>
          <w:rFonts w:cs="Helvetica"/>
        </w:rPr>
        <w:footnoteReference w:id="283"/>
      </w:r>
    </w:p>
    <w:p w14:paraId="72932FEE" w14:textId="77777777" w:rsidR="0052498C" w:rsidRPr="0052498C" w:rsidRDefault="0052498C" w:rsidP="0052498C">
      <w:pPr>
        <w:ind w:left="0"/>
        <w:rPr>
          <w:rFonts w:cs="Helvetica"/>
          <w:bCs/>
        </w:rPr>
      </w:pPr>
    </w:p>
    <w:p w14:paraId="74D44191" w14:textId="3C99F9D3" w:rsidR="000E68DC" w:rsidRPr="00405BA4" w:rsidRDefault="000E68DC" w:rsidP="00EC378A">
      <w:pPr>
        <w:pStyle w:val="ListParagraph"/>
        <w:numPr>
          <w:ilvl w:val="1"/>
          <w:numId w:val="26"/>
        </w:numPr>
        <w:ind w:left="851" w:hanging="851"/>
        <w:contextualSpacing w:val="0"/>
        <w:rPr>
          <w:rFonts w:cs="Helvetica"/>
          <w:bCs/>
          <w:szCs w:val="24"/>
        </w:rPr>
      </w:pPr>
      <w:r w:rsidRPr="00405BA4">
        <w:rPr>
          <w:b/>
          <w:szCs w:val="24"/>
        </w:rPr>
        <w:t xml:space="preserve">The Committee may </w:t>
      </w:r>
      <w:r w:rsidR="00984777">
        <w:rPr>
          <w:b/>
          <w:szCs w:val="24"/>
        </w:rPr>
        <w:t>recommend that</w:t>
      </w:r>
      <w:r w:rsidRPr="00405BA4">
        <w:rPr>
          <w:b/>
          <w:szCs w:val="24"/>
        </w:rPr>
        <w:t xml:space="preserve"> the UK </w:t>
      </w:r>
      <w:r w:rsidR="00984777">
        <w:rPr>
          <w:b/>
          <w:szCs w:val="24"/>
        </w:rPr>
        <w:t xml:space="preserve">takes effective steps </w:t>
      </w:r>
      <w:r w:rsidRPr="00405BA4">
        <w:rPr>
          <w:b/>
          <w:szCs w:val="24"/>
        </w:rPr>
        <w:t xml:space="preserve">to ensure that: </w:t>
      </w:r>
    </w:p>
    <w:p w14:paraId="652BA636" w14:textId="77777777" w:rsidR="00405BA4" w:rsidRPr="00405BA4" w:rsidRDefault="00405BA4" w:rsidP="00870252">
      <w:pPr>
        <w:rPr>
          <w:rFonts w:cs="Helvetica"/>
          <w:bCs/>
          <w:szCs w:val="24"/>
        </w:rPr>
      </w:pPr>
    </w:p>
    <w:p w14:paraId="0DE43FC1" w14:textId="1C63A85D" w:rsidR="000E68DC" w:rsidRPr="00405BA4" w:rsidRDefault="000E68DC" w:rsidP="00EC378A">
      <w:pPr>
        <w:pStyle w:val="ListParagraph"/>
        <w:numPr>
          <w:ilvl w:val="0"/>
          <w:numId w:val="46"/>
        </w:numPr>
        <w:ind w:left="1560"/>
        <w:contextualSpacing w:val="0"/>
        <w:rPr>
          <w:b/>
          <w:bCs/>
          <w:szCs w:val="24"/>
        </w:rPr>
      </w:pPr>
      <w:r w:rsidRPr="00405BA4">
        <w:rPr>
          <w:b/>
          <w:szCs w:val="24"/>
        </w:rPr>
        <w:t xml:space="preserve">the highest </w:t>
      </w:r>
      <w:r w:rsidRPr="00405BA4">
        <w:rPr>
          <w:b/>
          <w:bCs/>
          <w:szCs w:val="24"/>
        </w:rPr>
        <w:t>standards of victims’ rights and rights of accused persons are central to cross-border criminal justice cooperation</w:t>
      </w:r>
      <w:r w:rsidR="00984777">
        <w:rPr>
          <w:b/>
          <w:bCs/>
          <w:szCs w:val="24"/>
        </w:rPr>
        <w:t>.</w:t>
      </w:r>
    </w:p>
    <w:p w14:paraId="086E8E22" w14:textId="77777777" w:rsidR="000E68DC" w:rsidRPr="00405BA4" w:rsidRDefault="000E68DC" w:rsidP="00EC378A">
      <w:pPr>
        <w:pStyle w:val="ListParagraph"/>
        <w:ind w:left="1560"/>
        <w:contextualSpacing w:val="0"/>
        <w:rPr>
          <w:rFonts w:eastAsia="Times New Roman" w:cs="Times New Roman"/>
          <w:b/>
          <w:bCs/>
          <w:szCs w:val="24"/>
          <w:lang w:eastAsia="en-GB"/>
        </w:rPr>
      </w:pPr>
    </w:p>
    <w:p w14:paraId="144F589D" w14:textId="70CB9993" w:rsidR="000E68DC" w:rsidRPr="00405BA4" w:rsidRDefault="000E68DC" w:rsidP="00EC378A">
      <w:pPr>
        <w:pStyle w:val="ListParagraph"/>
        <w:numPr>
          <w:ilvl w:val="0"/>
          <w:numId w:val="46"/>
        </w:numPr>
        <w:ind w:left="1560"/>
        <w:contextualSpacing w:val="0"/>
        <w:rPr>
          <w:b/>
          <w:szCs w:val="24"/>
        </w:rPr>
      </w:pPr>
      <w:r w:rsidRPr="00405BA4">
        <w:rPr>
          <w:b/>
          <w:szCs w:val="24"/>
        </w:rPr>
        <w:t xml:space="preserve">in the absence of CJEU oversight </w:t>
      </w:r>
      <w:r w:rsidR="000E5E3D" w:rsidRPr="000E5E3D">
        <w:rPr>
          <w:b/>
          <w:szCs w:val="24"/>
        </w:rPr>
        <w:t>in</w:t>
      </w:r>
      <w:r w:rsidRPr="00405BA4">
        <w:rPr>
          <w:b/>
          <w:szCs w:val="24"/>
        </w:rPr>
        <w:t xml:space="preserve"> the extradition process, establish clear safeguards within the Trade and Cooperation Agreement </w:t>
      </w:r>
      <w:r w:rsidR="00226D39" w:rsidRPr="00226D39">
        <w:rPr>
          <w:b/>
        </w:rPr>
        <w:t>oversight mechanisms</w:t>
      </w:r>
      <w:r w:rsidR="00226D39">
        <w:rPr>
          <w:bCs/>
        </w:rPr>
        <w:t xml:space="preserve"> </w:t>
      </w:r>
      <w:r w:rsidR="000E5E3D" w:rsidRPr="000E5E3D">
        <w:rPr>
          <w:b/>
          <w:szCs w:val="24"/>
        </w:rPr>
        <w:t>to ensure</w:t>
      </w:r>
      <w:r w:rsidRPr="00405BA4">
        <w:rPr>
          <w:b/>
          <w:szCs w:val="24"/>
        </w:rPr>
        <w:t xml:space="preserve"> human rights and legal </w:t>
      </w:r>
      <w:r w:rsidR="000E5E3D" w:rsidRPr="000E5E3D">
        <w:rPr>
          <w:b/>
          <w:szCs w:val="24"/>
        </w:rPr>
        <w:t>protections</w:t>
      </w:r>
      <w:r w:rsidRPr="00405BA4">
        <w:rPr>
          <w:b/>
          <w:szCs w:val="24"/>
        </w:rPr>
        <w:t xml:space="preserve"> for accused persons and </w:t>
      </w:r>
      <w:r w:rsidR="000E5E3D" w:rsidRPr="000E5E3D">
        <w:rPr>
          <w:b/>
          <w:szCs w:val="24"/>
        </w:rPr>
        <w:t>crime</w:t>
      </w:r>
      <w:r w:rsidRPr="00405BA4">
        <w:rPr>
          <w:b/>
          <w:szCs w:val="24"/>
        </w:rPr>
        <w:t xml:space="preserve"> victims </w:t>
      </w:r>
      <w:r w:rsidR="000E5E3D" w:rsidRPr="000E5E3D">
        <w:rPr>
          <w:b/>
          <w:szCs w:val="24"/>
        </w:rPr>
        <w:t>in the UK and the EU</w:t>
      </w:r>
      <w:r w:rsidR="00984777">
        <w:rPr>
          <w:b/>
          <w:szCs w:val="24"/>
        </w:rPr>
        <w:t>.</w:t>
      </w:r>
    </w:p>
    <w:p w14:paraId="43074398" w14:textId="77777777" w:rsidR="000E68DC" w:rsidRPr="00405BA4" w:rsidRDefault="000E68DC" w:rsidP="00EC378A">
      <w:pPr>
        <w:ind w:left="1560"/>
        <w:rPr>
          <w:b/>
          <w:szCs w:val="24"/>
        </w:rPr>
      </w:pPr>
    </w:p>
    <w:p w14:paraId="19CD2C24" w14:textId="4CE837FF" w:rsidR="003A64DC" w:rsidRPr="00F26627" w:rsidRDefault="000E06BD" w:rsidP="00EC378A">
      <w:pPr>
        <w:pStyle w:val="ListParagraph"/>
        <w:numPr>
          <w:ilvl w:val="0"/>
          <w:numId w:val="46"/>
        </w:numPr>
        <w:ind w:left="1560"/>
        <w:contextualSpacing w:val="0"/>
        <w:rPr>
          <w:rFonts w:eastAsia="Times New Roman" w:cs="Times New Roman"/>
          <w:b/>
          <w:szCs w:val="24"/>
          <w:lang w:eastAsia="en-GB"/>
        </w:rPr>
      </w:pPr>
      <w:r>
        <w:rPr>
          <w:rFonts w:eastAsia="Times New Roman" w:cs="Times New Roman"/>
          <w:b/>
          <w:szCs w:val="24"/>
          <w:lang w:eastAsia="en-GB"/>
        </w:rPr>
        <w:t xml:space="preserve">consideration is given to ensure there are </w:t>
      </w:r>
      <w:r w:rsidR="000E68DC" w:rsidRPr="00405BA4">
        <w:rPr>
          <w:rFonts w:eastAsia="Times New Roman" w:cs="Times New Roman"/>
          <w:b/>
          <w:szCs w:val="24"/>
          <w:lang w:eastAsia="en-GB"/>
        </w:rPr>
        <w:t xml:space="preserve">no adverse </w:t>
      </w:r>
      <w:r w:rsidR="0094748D">
        <w:rPr>
          <w:rFonts w:eastAsia="Times New Roman" w:cs="Times New Roman"/>
          <w:b/>
          <w:szCs w:val="24"/>
          <w:lang w:eastAsia="en-GB"/>
        </w:rPr>
        <w:t>effec</w:t>
      </w:r>
      <w:r w:rsidR="0094748D" w:rsidRPr="00405BA4">
        <w:rPr>
          <w:rFonts w:eastAsia="Times New Roman" w:cs="Times New Roman"/>
          <w:b/>
          <w:szCs w:val="24"/>
          <w:lang w:eastAsia="en-GB"/>
        </w:rPr>
        <w:t>ts</w:t>
      </w:r>
      <w:r w:rsidR="000E68DC" w:rsidRPr="00405BA4">
        <w:rPr>
          <w:rFonts w:eastAsia="Times New Roman" w:cs="Times New Roman"/>
          <w:b/>
          <w:szCs w:val="24"/>
          <w:lang w:eastAsia="en-GB"/>
        </w:rPr>
        <w:t xml:space="preserve"> on the cross-border placement of children resulting from the UK’s withdrawal from the EU</w:t>
      </w:r>
      <w:r w:rsidR="00984777">
        <w:rPr>
          <w:b/>
          <w:szCs w:val="24"/>
        </w:rPr>
        <w:t>.</w:t>
      </w:r>
    </w:p>
    <w:p w14:paraId="22C5BD16" w14:textId="77777777" w:rsidR="00983990" w:rsidRPr="000A3B06" w:rsidRDefault="00983990" w:rsidP="000A3B06">
      <w:pPr>
        <w:pStyle w:val="ListParagraph"/>
        <w:rPr>
          <w:rFonts w:eastAsia="Times New Roman" w:cs="Times New Roman"/>
          <w:b/>
          <w:szCs w:val="24"/>
          <w:lang w:eastAsia="en-GB"/>
        </w:rPr>
      </w:pPr>
    </w:p>
    <w:p w14:paraId="184ED172" w14:textId="653154D4" w:rsidR="00983990" w:rsidRPr="004850C6" w:rsidRDefault="0008712D" w:rsidP="00EC378A">
      <w:pPr>
        <w:pStyle w:val="ListParagraph"/>
        <w:numPr>
          <w:ilvl w:val="0"/>
          <w:numId w:val="46"/>
        </w:numPr>
        <w:ind w:left="1560"/>
        <w:contextualSpacing w:val="0"/>
        <w:rPr>
          <w:rFonts w:eastAsia="Times New Roman" w:cs="Times New Roman"/>
          <w:b/>
          <w:szCs w:val="24"/>
          <w:lang w:eastAsia="en-GB"/>
        </w:rPr>
      </w:pPr>
      <w:r>
        <w:rPr>
          <w:rFonts w:eastAsia="Times New Roman" w:cs="Times New Roman"/>
          <w:b/>
          <w:szCs w:val="24"/>
          <w:lang w:eastAsia="en-GB"/>
        </w:rPr>
        <w:t xml:space="preserve">ensure </w:t>
      </w:r>
      <w:r w:rsidRPr="0008712D">
        <w:rPr>
          <w:rFonts w:eastAsia="Times New Roman" w:cs="Times New Roman"/>
          <w:b/>
          <w:szCs w:val="24"/>
          <w:lang w:eastAsia="en-GB"/>
        </w:rPr>
        <w:t>Data Protection and Digital Information Bill</w:t>
      </w:r>
      <w:r w:rsidR="00ED7F68">
        <w:rPr>
          <w:rFonts w:eastAsia="Times New Roman" w:cs="Times New Roman"/>
          <w:b/>
          <w:szCs w:val="24"/>
          <w:lang w:eastAsia="en-GB"/>
        </w:rPr>
        <w:t xml:space="preserve"> is </w:t>
      </w:r>
      <w:r>
        <w:rPr>
          <w:rFonts w:eastAsia="Times New Roman" w:cs="Times New Roman"/>
          <w:b/>
          <w:szCs w:val="24"/>
          <w:lang w:eastAsia="en-GB"/>
        </w:rPr>
        <w:t>complia</w:t>
      </w:r>
      <w:r w:rsidR="00ED7F68">
        <w:rPr>
          <w:rFonts w:eastAsia="Times New Roman" w:cs="Times New Roman"/>
          <w:b/>
          <w:szCs w:val="24"/>
          <w:lang w:eastAsia="en-GB"/>
        </w:rPr>
        <w:t>nt</w:t>
      </w:r>
      <w:r>
        <w:rPr>
          <w:rFonts w:eastAsia="Times New Roman" w:cs="Times New Roman"/>
          <w:b/>
          <w:szCs w:val="24"/>
          <w:lang w:eastAsia="en-GB"/>
        </w:rPr>
        <w:t xml:space="preserve"> </w:t>
      </w:r>
      <w:r w:rsidR="001D31DD">
        <w:rPr>
          <w:rFonts w:eastAsia="Times New Roman" w:cs="Times New Roman"/>
          <w:b/>
          <w:szCs w:val="24"/>
          <w:lang w:eastAsia="en-GB"/>
        </w:rPr>
        <w:t xml:space="preserve">with </w:t>
      </w:r>
      <w:r w:rsidR="00A607B3" w:rsidRPr="00A607B3">
        <w:rPr>
          <w:rFonts w:eastAsia="Times New Roman" w:cs="Times New Roman"/>
          <w:b/>
          <w:szCs w:val="24"/>
          <w:lang w:eastAsia="en-GB"/>
        </w:rPr>
        <w:t xml:space="preserve">EU GDPR, the EU E-Privacy Directive and the EU Data Protection and Law Enforcement Directive </w:t>
      </w:r>
      <w:r w:rsidR="00632B89">
        <w:rPr>
          <w:rFonts w:eastAsia="Times New Roman" w:cs="Times New Roman"/>
          <w:b/>
          <w:szCs w:val="24"/>
          <w:lang w:eastAsia="en-GB"/>
        </w:rPr>
        <w:t>falling</w:t>
      </w:r>
      <w:r w:rsidR="00A607B3" w:rsidRPr="00A607B3">
        <w:rPr>
          <w:rFonts w:eastAsia="Times New Roman" w:cs="Times New Roman"/>
          <w:b/>
          <w:szCs w:val="24"/>
          <w:lang w:eastAsia="en-GB"/>
        </w:rPr>
        <w:t xml:space="preserve"> within </w:t>
      </w:r>
      <w:r w:rsidR="00632B89" w:rsidRPr="00632B89">
        <w:rPr>
          <w:rFonts w:eastAsia="Times New Roman" w:cs="Times New Roman"/>
          <w:b/>
          <w:szCs w:val="24"/>
          <w:lang w:eastAsia="en-GB"/>
        </w:rPr>
        <w:t xml:space="preserve">the </w:t>
      </w:r>
      <w:r w:rsidR="00A607B3" w:rsidRPr="00A607B3">
        <w:rPr>
          <w:rFonts w:eastAsia="Times New Roman" w:cs="Times New Roman"/>
          <w:b/>
          <w:szCs w:val="24"/>
          <w:lang w:eastAsia="en-GB"/>
        </w:rPr>
        <w:t xml:space="preserve">scope of </w:t>
      </w:r>
      <w:r w:rsidR="00632B89" w:rsidRPr="00632B89">
        <w:rPr>
          <w:rFonts w:eastAsia="Times New Roman" w:cs="Times New Roman"/>
          <w:b/>
          <w:szCs w:val="24"/>
          <w:lang w:eastAsia="en-GB"/>
        </w:rPr>
        <w:t xml:space="preserve">the non-diminution commitment in </w:t>
      </w:r>
      <w:r w:rsidR="00A607B3" w:rsidRPr="00A607B3">
        <w:rPr>
          <w:rFonts w:eastAsia="Times New Roman" w:cs="Times New Roman"/>
          <w:b/>
          <w:szCs w:val="24"/>
          <w:lang w:eastAsia="en-GB"/>
        </w:rPr>
        <w:t>Windsor Framework Article 2.</w:t>
      </w:r>
    </w:p>
    <w:p w14:paraId="0409023C" w14:textId="77777777" w:rsidR="004850C6" w:rsidRPr="004850C6" w:rsidRDefault="004850C6" w:rsidP="004850C6">
      <w:pPr>
        <w:ind w:left="0"/>
        <w:rPr>
          <w:rFonts w:eastAsia="Times New Roman" w:cs="Times New Roman"/>
          <w:b/>
          <w:szCs w:val="24"/>
          <w:lang w:eastAsia="en-GB"/>
        </w:rPr>
      </w:pPr>
    </w:p>
    <w:p w14:paraId="676FD65E" w14:textId="69F1CC58" w:rsidR="00405345" w:rsidRDefault="00495BC2" w:rsidP="003A6C64">
      <w:pPr>
        <w:pStyle w:val="Heading1"/>
        <w:spacing w:line="288" w:lineRule="auto"/>
        <w:ind w:left="993" w:hanging="993"/>
      </w:pPr>
      <w:bookmarkStart w:id="66" w:name="_Toc156901037"/>
      <w:r>
        <w:t>1</w:t>
      </w:r>
      <w:r w:rsidR="00C343CE">
        <w:t>3</w:t>
      </w:r>
      <w:r w:rsidR="000E06E8">
        <w:t>.0</w:t>
      </w:r>
      <w:r w:rsidR="000E06E8">
        <w:tab/>
      </w:r>
      <w:r w:rsidR="00B17B48">
        <w:t xml:space="preserve">Article </w:t>
      </w:r>
      <w:r w:rsidR="00357CCD">
        <w:t>17</w:t>
      </w:r>
      <w:r w:rsidR="00B17B48">
        <w:t xml:space="preserve"> – </w:t>
      </w:r>
      <w:r w:rsidR="00357CCD">
        <w:t xml:space="preserve">Right to </w:t>
      </w:r>
      <w:r w:rsidR="00670428">
        <w:t>F</w:t>
      </w:r>
      <w:r w:rsidR="00357CCD">
        <w:t xml:space="preserve">amily, </w:t>
      </w:r>
      <w:r w:rsidR="00670428">
        <w:t>H</w:t>
      </w:r>
      <w:r w:rsidR="00357CCD">
        <w:t xml:space="preserve">ome and </w:t>
      </w:r>
      <w:r w:rsidR="00670428">
        <w:t>C</w:t>
      </w:r>
      <w:r w:rsidR="00357CCD">
        <w:t>orrespondence</w:t>
      </w:r>
      <w:bookmarkEnd w:id="66"/>
      <w:r w:rsidR="00357CCD">
        <w:t xml:space="preserve"> </w:t>
      </w:r>
    </w:p>
    <w:p w14:paraId="0B1F2EFF" w14:textId="77777777" w:rsidR="00357CCD" w:rsidRPr="00357CCD" w:rsidRDefault="00357CCD" w:rsidP="003A6C64">
      <w:pPr>
        <w:ind w:left="993" w:hanging="993"/>
      </w:pPr>
    </w:p>
    <w:p w14:paraId="0B097D97" w14:textId="77777777" w:rsidR="000E06E8" w:rsidRPr="000E06E8" w:rsidRDefault="000E06E8" w:rsidP="003A6C64">
      <w:pPr>
        <w:pStyle w:val="ListParagraph"/>
        <w:numPr>
          <w:ilvl w:val="0"/>
          <w:numId w:val="8"/>
        </w:numPr>
        <w:ind w:left="993" w:hanging="993"/>
        <w:contextualSpacing w:val="0"/>
        <w:rPr>
          <w:vanish/>
        </w:rPr>
      </w:pPr>
    </w:p>
    <w:p w14:paraId="43EAF1FE" w14:textId="4DB8906F" w:rsidR="00950AB6" w:rsidRPr="00800C53" w:rsidRDefault="00800C53" w:rsidP="001F1092">
      <w:pPr>
        <w:pStyle w:val="Heading2"/>
        <w:spacing w:after="240" w:line="288" w:lineRule="auto"/>
        <w:rPr>
          <w:rFonts w:eastAsia="Verdana"/>
        </w:rPr>
      </w:pPr>
      <w:bookmarkStart w:id="67" w:name="_Toc156901038"/>
      <w:r w:rsidRPr="00800C53">
        <w:rPr>
          <w:rFonts w:eastAsia="Verdana"/>
        </w:rPr>
        <w:t>Access to financial support</w:t>
      </w:r>
      <w:bookmarkEnd w:id="67"/>
    </w:p>
    <w:p w14:paraId="177CAC07" w14:textId="6181F7D9" w:rsidR="007F5166" w:rsidRPr="007F5166" w:rsidRDefault="007F5166" w:rsidP="00EC378A">
      <w:pPr>
        <w:pStyle w:val="ListParagraph"/>
        <w:numPr>
          <w:ilvl w:val="1"/>
          <w:numId w:val="14"/>
        </w:numPr>
        <w:ind w:left="851" w:hanging="851"/>
        <w:contextualSpacing w:val="0"/>
        <w:rPr>
          <w:color w:val="000000"/>
        </w:rPr>
      </w:pPr>
      <w:r w:rsidRPr="00402722">
        <w:rPr>
          <w:rFonts w:cs="Helvetica"/>
          <w:lang w:val="en"/>
        </w:rPr>
        <w:t xml:space="preserve">In 2018, the UK Supreme Court </w:t>
      </w:r>
      <w:r>
        <w:rPr>
          <w:rFonts w:cs="Helvetica"/>
          <w:lang w:val="en"/>
        </w:rPr>
        <w:t>declared</w:t>
      </w:r>
      <w:r w:rsidRPr="00402722">
        <w:rPr>
          <w:rFonts w:cs="Helvetica"/>
          <w:lang w:val="en"/>
        </w:rPr>
        <w:t xml:space="preserve"> the requirement that </w:t>
      </w:r>
      <w:r>
        <w:rPr>
          <w:rFonts w:cs="Helvetica"/>
          <w:lang w:val="en"/>
        </w:rPr>
        <w:t xml:space="preserve">couples must be </w:t>
      </w:r>
      <w:r w:rsidRPr="00402722">
        <w:rPr>
          <w:rFonts w:cs="Helvetica"/>
          <w:lang w:val="en"/>
        </w:rPr>
        <w:t xml:space="preserve">married to access Widowed Parent's Allowance </w:t>
      </w:r>
      <w:r>
        <w:rPr>
          <w:rFonts w:cs="Helvetica"/>
          <w:lang w:val="en"/>
        </w:rPr>
        <w:t xml:space="preserve">is incompatible with </w:t>
      </w:r>
      <w:r w:rsidR="003F09A1">
        <w:rPr>
          <w:rFonts w:cs="Helvetica"/>
          <w:lang w:val="en"/>
        </w:rPr>
        <w:t>the</w:t>
      </w:r>
      <w:r>
        <w:rPr>
          <w:rFonts w:cs="Helvetica"/>
          <w:lang w:val="en"/>
        </w:rPr>
        <w:t xml:space="preserve"> ECHR</w:t>
      </w:r>
      <w:r w:rsidRPr="00402722">
        <w:rPr>
          <w:rFonts w:cs="Helvetica"/>
          <w:lang w:val="en"/>
        </w:rPr>
        <w:t>.</w:t>
      </w:r>
      <w:r w:rsidRPr="004A5334">
        <w:rPr>
          <w:rStyle w:val="FootnoteReference"/>
          <w:rFonts w:cs="Helvetica"/>
          <w:lang w:val="en"/>
        </w:rPr>
        <w:footnoteReference w:id="284"/>
      </w:r>
      <w:r w:rsidRPr="00402722">
        <w:rPr>
          <w:rFonts w:cs="Helvetica"/>
          <w:lang w:val="en"/>
        </w:rPr>
        <w:t xml:space="preserve"> </w:t>
      </w:r>
    </w:p>
    <w:p w14:paraId="49711D3B" w14:textId="77777777" w:rsidR="007F5166" w:rsidRPr="007F5166" w:rsidRDefault="007F5166" w:rsidP="00EC378A">
      <w:pPr>
        <w:pStyle w:val="ListParagraph"/>
        <w:ind w:left="851" w:hanging="851"/>
        <w:contextualSpacing w:val="0"/>
        <w:rPr>
          <w:color w:val="000000"/>
        </w:rPr>
      </w:pPr>
    </w:p>
    <w:p w14:paraId="1870D460" w14:textId="081A4E38" w:rsidR="006D110F" w:rsidRDefault="00E70B5D" w:rsidP="00EC378A">
      <w:pPr>
        <w:pStyle w:val="ListParagraph"/>
        <w:numPr>
          <w:ilvl w:val="1"/>
          <w:numId w:val="14"/>
        </w:numPr>
        <w:ind w:left="851" w:hanging="851"/>
        <w:contextualSpacing w:val="0"/>
        <w:rPr>
          <w:color w:val="000000"/>
        </w:rPr>
      </w:pPr>
      <w:r>
        <w:t>The</w:t>
      </w:r>
      <w:r w:rsidR="00D13E7A" w:rsidRPr="007478BB">
        <w:t xml:space="preserve"> Bereavement Benefits (Remedial) Order 2023 </w:t>
      </w:r>
      <w:r w:rsidR="005820F6">
        <w:t>enables</w:t>
      </w:r>
      <w:r w:rsidR="0099577D" w:rsidRPr="003E3867">
        <w:rPr>
          <w:color w:val="000000"/>
        </w:rPr>
        <w:t xml:space="preserve"> </w:t>
      </w:r>
      <w:r w:rsidR="000D3261" w:rsidRPr="003E3867">
        <w:rPr>
          <w:color w:val="000000"/>
        </w:rPr>
        <w:t xml:space="preserve">remedial </w:t>
      </w:r>
      <w:r w:rsidR="0099577D" w:rsidRPr="003E3867">
        <w:rPr>
          <w:color w:val="000000"/>
        </w:rPr>
        <w:t xml:space="preserve">payments for </w:t>
      </w:r>
      <w:r w:rsidR="00243B19" w:rsidRPr="003E3867">
        <w:rPr>
          <w:color w:val="000000"/>
        </w:rPr>
        <w:t>non-</w:t>
      </w:r>
      <w:r w:rsidR="0099577D" w:rsidRPr="003E3867">
        <w:rPr>
          <w:color w:val="000000"/>
        </w:rPr>
        <w:t>married couples</w:t>
      </w:r>
      <w:r w:rsidR="00D63CD5" w:rsidRPr="003E3867">
        <w:rPr>
          <w:color w:val="000000"/>
        </w:rPr>
        <w:t xml:space="preserve"> to</w:t>
      </w:r>
      <w:r w:rsidR="00525463" w:rsidRPr="003E3867">
        <w:rPr>
          <w:color w:val="000000"/>
        </w:rPr>
        <w:t xml:space="preserve"> be made back to</w:t>
      </w:r>
      <w:r w:rsidR="00D63CD5" w:rsidRPr="003E3867">
        <w:rPr>
          <w:color w:val="000000"/>
        </w:rPr>
        <w:t xml:space="preserve"> 30 August 2018</w:t>
      </w:r>
      <w:r w:rsidR="003A269C" w:rsidRPr="003E3867">
        <w:rPr>
          <w:color w:val="000000"/>
        </w:rPr>
        <w:t>.</w:t>
      </w:r>
      <w:r w:rsidR="007F75E7">
        <w:rPr>
          <w:rStyle w:val="FootnoteReference"/>
          <w:color w:val="000000"/>
        </w:rPr>
        <w:footnoteReference w:id="285"/>
      </w:r>
      <w:r w:rsidR="003A269C" w:rsidRPr="003E3867">
        <w:rPr>
          <w:color w:val="000000"/>
        </w:rPr>
        <w:t xml:space="preserve"> </w:t>
      </w:r>
      <w:r w:rsidR="003E3867">
        <w:rPr>
          <w:color w:val="000000"/>
        </w:rPr>
        <w:t>Under the 2023 Order, c</w:t>
      </w:r>
      <w:r w:rsidR="003E3867" w:rsidRPr="006D110F">
        <w:rPr>
          <w:color w:val="000000"/>
        </w:rPr>
        <w:t>laimants are also eligible for Widowed Parent’s Allowance</w:t>
      </w:r>
      <w:r w:rsidR="003E3867">
        <w:rPr>
          <w:color w:val="000000"/>
        </w:rPr>
        <w:t>.</w:t>
      </w:r>
      <w:r w:rsidR="003E3867">
        <w:rPr>
          <w:rStyle w:val="FootnoteReference"/>
          <w:color w:val="000000"/>
        </w:rPr>
        <w:footnoteReference w:id="286"/>
      </w:r>
      <w:r w:rsidR="003E3867">
        <w:rPr>
          <w:color w:val="000000"/>
        </w:rPr>
        <w:t xml:space="preserve"> Additional</w:t>
      </w:r>
      <w:r w:rsidR="003E3867" w:rsidRPr="007478BB">
        <w:rPr>
          <w:color w:val="000000"/>
        </w:rPr>
        <w:t xml:space="preserve"> payments </w:t>
      </w:r>
      <w:r w:rsidR="003E3867">
        <w:rPr>
          <w:color w:val="000000"/>
        </w:rPr>
        <w:t>are not</w:t>
      </w:r>
      <w:r w:rsidR="003E3867" w:rsidRPr="007478BB">
        <w:rPr>
          <w:color w:val="000000"/>
        </w:rPr>
        <w:t xml:space="preserve"> extended to</w:t>
      </w:r>
      <w:r w:rsidR="003E3867" w:rsidRPr="007478BB">
        <w:rPr>
          <w:color w:val="000000" w:themeColor="text1"/>
        </w:rPr>
        <w:t xml:space="preserve"> non-married couples without dependent children</w:t>
      </w:r>
      <w:r w:rsidR="003E3867">
        <w:rPr>
          <w:color w:val="000000"/>
        </w:rPr>
        <w:t>.</w:t>
      </w:r>
      <w:r w:rsidR="003E3867" w:rsidRPr="006D110F">
        <w:rPr>
          <w:color w:val="000000"/>
        </w:rPr>
        <w:t xml:space="preserve"> </w:t>
      </w:r>
      <w:r w:rsidR="006A3F6C" w:rsidRPr="003E3867">
        <w:rPr>
          <w:color w:val="000000"/>
        </w:rPr>
        <w:t xml:space="preserve">It </w:t>
      </w:r>
      <w:r w:rsidR="000F25C4" w:rsidRPr="003E3867">
        <w:rPr>
          <w:color w:val="000000"/>
        </w:rPr>
        <w:t>is considered</w:t>
      </w:r>
      <w:r w:rsidR="006A3F6C" w:rsidRPr="003E3867">
        <w:rPr>
          <w:color w:val="000000"/>
        </w:rPr>
        <w:t xml:space="preserve"> that </w:t>
      </w:r>
      <w:r w:rsidR="000F25C4" w:rsidRPr="003E3867">
        <w:rPr>
          <w:color w:val="000000"/>
        </w:rPr>
        <w:t>ex gratia payments should fully recompense those bereaved back to February 2016</w:t>
      </w:r>
      <w:r w:rsidR="003C7C8B" w:rsidRPr="003E3867">
        <w:rPr>
          <w:color w:val="000000"/>
        </w:rPr>
        <w:t xml:space="preserve"> </w:t>
      </w:r>
      <w:r w:rsidR="000F25C4" w:rsidRPr="003E3867">
        <w:rPr>
          <w:color w:val="000000"/>
        </w:rPr>
        <w:t xml:space="preserve">when the High Court </w:t>
      </w:r>
      <w:r w:rsidR="00192625" w:rsidRPr="003E3867">
        <w:rPr>
          <w:color w:val="000000"/>
        </w:rPr>
        <w:t>of Justice</w:t>
      </w:r>
      <w:r w:rsidR="00A90A6A" w:rsidRPr="003E3867">
        <w:rPr>
          <w:color w:val="000000"/>
        </w:rPr>
        <w:t xml:space="preserve"> in</w:t>
      </w:r>
      <w:r w:rsidR="00192625" w:rsidRPr="003E3867">
        <w:rPr>
          <w:color w:val="000000"/>
        </w:rPr>
        <w:t xml:space="preserve"> NI</w:t>
      </w:r>
      <w:r w:rsidR="000F25C4" w:rsidRPr="003E3867">
        <w:rPr>
          <w:color w:val="000000"/>
        </w:rPr>
        <w:t xml:space="preserve"> first considered this issue.</w:t>
      </w:r>
      <w:r w:rsidR="000F25C4" w:rsidRPr="007478BB">
        <w:rPr>
          <w:rStyle w:val="FootnoteReference"/>
          <w:color w:val="000000"/>
        </w:rPr>
        <w:footnoteReference w:id="287"/>
      </w:r>
      <w:r w:rsidR="000F25C4" w:rsidRPr="003E3867">
        <w:rPr>
          <w:color w:val="000000"/>
        </w:rPr>
        <w:t xml:space="preserve"> </w:t>
      </w:r>
    </w:p>
    <w:p w14:paraId="459C678D" w14:textId="77777777" w:rsidR="003E3867" w:rsidRPr="003E3867" w:rsidRDefault="003E3867" w:rsidP="00EC378A">
      <w:pPr>
        <w:ind w:left="851" w:hanging="851"/>
        <w:rPr>
          <w:color w:val="000000"/>
        </w:rPr>
      </w:pPr>
    </w:p>
    <w:p w14:paraId="40DD55A3" w14:textId="40CA52ED" w:rsidR="00BA65AB" w:rsidRPr="00BA65AB" w:rsidRDefault="008E6CAC" w:rsidP="00EC378A">
      <w:pPr>
        <w:pStyle w:val="ListParagraph"/>
        <w:numPr>
          <w:ilvl w:val="1"/>
          <w:numId w:val="14"/>
        </w:numPr>
        <w:ind w:left="851" w:hanging="851"/>
        <w:contextualSpacing w:val="0"/>
        <w:rPr>
          <w:rFonts w:eastAsia="Verdana" w:cs="Verdana"/>
          <w:b/>
          <w:bCs/>
          <w:color w:val="000000"/>
        </w:rPr>
      </w:pPr>
      <w:r w:rsidRPr="00196D50">
        <w:rPr>
          <w:rFonts w:cs="Helvetica"/>
          <w:b/>
          <w:lang w:val="en"/>
        </w:rPr>
        <w:t xml:space="preserve">The Committee may wish to </w:t>
      </w:r>
      <w:r w:rsidR="00441976">
        <w:rPr>
          <w:rFonts w:cs="Helvetica"/>
          <w:b/>
          <w:lang w:val="en"/>
        </w:rPr>
        <w:t>recommend that</w:t>
      </w:r>
      <w:r w:rsidRPr="00196D50">
        <w:rPr>
          <w:rFonts w:cs="Helvetica"/>
          <w:b/>
          <w:lang w:val="en"/>
        </w:rPr>
        <w:t xml:space="preserve"> the UK </w:t>
      </w:r>
      <w:r w:rsidR="00441976">
        <w:rPr>
          <w:rFonts w:cs="Helvetica"/>
          <w:b/>
          <w:lang w:val="en"/>
        </w:rPr>
        <w:t>takes effective steps</w:t>
      </w:r>
      <w:r w:rsidRPr="00196D50">
        <w:rPr>
          <w:rFonts w:cs="Helvetica"/>
          <w:b/>
          <w:lang w:val="en"/>
        </w:rPr>
        <w:t xml:space="preserve"> to ensure</w:t>
      </w:r>
      <w:r w:rsidR="00BA65AB">
        <w:rPr>
          <w:rFonts w:cs="Helvetica"/>
          <w:b/>
          <w:lang w:val="en"/>
        </w:rPr>
        <w:t>:</w:t>
      </w:r>
    </w:p>
    <w:p w14:paraId="5B45E7BF" w14:textId="77777777" w:rsidR="00BA65AB" w:rsidRPr="00BA65AB" w:rsidRDefault="00BA65AB" w:rsidP="003A6C64">
      <w:pPr>
        <w:rPr>
          <w:rFonts w:eastAsia="Verdana" w:cs="Verdana"/>
          <w:b/>
          <w:bCs/>
          <w:color w:val="000000"/>
        </w:rPr>
      </w:pPr>
    </w:p>
    <w:p w14:paraId="603C092A" w14:textId="14D55549" w:rsidR="00BA65AB" w:rsidRDefault="00BA65AB" w:rsidP="00EC378A">
      <w:pPr>
        <w:pStyle w:val="ListParagraph"/>
        <w:numPr>
          <w:ilvl w:val="0"/>
          <w:numId w:val="42"/>
        </w:numPr>
        <w:ind w:left="1560"/>
        <w:contextualSpacing w:val="0"/>
        <w:rPr>
          <w:b/>
          <w:bCs/>
        </w:rPr>
      </w:pPr>
      <w:r>
        <w:rPr>
          <w:b/>
          <w:bCs/>
        </w:rPr>
        <w:t xml:space="preserve">the </w:t>
      </w:r>
      <w:r w:rsidRPr="00BA65AB">
        <w:rPr>
          <w:b/>
          <w:bCs/>
        </w:rPr>
        <w:t xml:space="preserve">Bereavement Benefits (Remedial) Order is retrospective to February 2016 for the families who made claims based on the </w:t>
      </w:r>
      <w:r w:rsidRPr="00BA65AB">
        <w:rPr>
          <w:b/>
          <w:bCs/>
          <w:color w:val="000000" w:themeColor="text1"/>
        </w:rPr>
        <w:t>High Court of Justice in NI’s</w:t>
      </w:r>
      <w:r w:rsidRPr="00BA65AB">
        <w:rPr>
          <w:b/>
          <w:bCs/>
        </w:rPr>
        <w:t xml:space="preserve"> judgment</w:t>
      </w:r>
      <w:r w:rsidR="00A90A6A">
        <w:rPr>
          <w:b/>
          <w:bCs/>
        </w:rPr>
        <w:t>.</w:t>
      </w:r>
    </w:p>
    <w:p w14:paraId="658CC6E4" w14:textId="77777777" w:rsidR="00BA65AB" w:rsidRPr="00BA65AB" w:rsidRDefault="00BA65AB" w:rsidP="00EC378A">
      <w:pPr>
        <w:pStyle w:val="ListParagraph"/>
        <w:ind w:left="1560"/>
        <w:contextualSpacing w:val="0"/>
        <w:rPr>
          <w:b/>
          <w:bCs/>
        </w:rPr>
      </w:pPr>
    </w:p>
    <w:p w14:paraId="335F0097" w14:textId="79368DEE" w:rsidR="00800C53" w:rsidRPr="00BA65AB" w:rsidRDefault="008E6CAC" w:rsidP="00EC378A">
      <w:pPr>
        <w:pStyle w:val="ListParagraph"/>
        <w:numPr>
          <w:ilvl w:val="0"/>
          <w:numId w:val="42"/>
        </w:numPr>
        <w:ind w:left="1560"/>
        <w:contextualSpacing w:val="0"/>
        <w:rPr>
          <w:rFonts w:eastAsia="Verdana" w:cs="Verdana"/>
          <w:b/>
          <w:bCs/>
          <w:color w:val="000000"/>
        </w:rPr>
      </w:pPr>
      <w:r w:rsidRPr="00BA65AB">
        <w:rPr>
          <w:rFonts w:cs="Helvetica"/>
          <w:b/>
          <w:lang w:val="en"/>
        </w:rPr>
        <w:t>that bereavement benefits</w:t>
      </w:r>
      <w:r w:rsidR="00924C8F">
        <w:rPr>
          <w:rFonts w:cs="Helvetica"/>
          <w:b/>
          <w:lang w:val="en"/>
        </w:rPr>
        <w:t xml:space="preserve"> </w:t>
      </w:r>
      <w:r w:rsidR="00B97CBC">
        <w:rPr>
          <w:rFonts w:cs="Helvetica"/>
          <w:b/>
          <w:lang w:val="en"/>
        </w:rPr>
        <w:t>in NI</w:t>
      </w:r>
      <w:r w:rsidR="00771446" w:rsidRPr="00BA65AB">
        <w:rPr>
          <w:rFonts w:cs="Helvetica"/>
          <w:b/>
          <w:lang w:val="en"/>
        </w:rPr>
        <w:t xml:space="preserve"> are </w:t>
      </w:r>
      <w:r w:rsidR="00D05FA2" w:rsidRPr="00BA65AB">
        <w:rPr>
          <w:b/>
          <w:bCs/>
          <w:color w:val="000000" w:themeColor="text1"/>
        </w:rPr>
        <w:t>provided on equal terms to non-married couples without dependent children</w:t>
      </w:r>
      <w:r w:rsidR="00322A30">
        <w:rPr>
          <w:b/>
          <w:bCs/>
          <w:color w:val="000000" w:themeColor="text1"/>
        </w:rPr>
        <w:t xml:space="preserve"> in NI</w:t>
      </w:r>
      <w:r w:rsidR="00A90A6A">
        <w:rPr>
          <w:b/>
          <w:bCs/>
          <w:color w:val="000000" w:themeColor="text1"/>
        </w:rPr>
        <w:t>.</w:t>
      </w:r>
    </w:p>
    <w:p w14:paraId="479C909A" w14:textId="77777777" w:rsidR="00F02CF7" w:rsidRPr="00F02CF7" w:rsidRDefault="00F02CF7" w:rsidP="003A6C64">
      <w:pPr>
        <w:pStyle w:val="ListParagraph"/>
        <w:ind w:left="993"/>
        <w:contextualSpacing w:val="0"/>
        <w:rPr>
          <w:rFonts w:eastAsia="Verdana" w:cs="Verdana"/>
          <w:color w:val="000000"/>
        </w:rPr>
      </w:pPr>
    </w:p>
    <w:p w14:paraId="3144D922" w14:textId="3AADA9FC" w:rsidR="00800C53" w:rsidRPr="00800C53" w:rsidRDefault="00800C53" w:rsidP="001F1092">
      <w:pPr>
        <w:pStyle w:val="Heading2"/>
        <w:spacing w:after="240" w:line="288" w:lineRule="auto"/>
        <w:rPr>
          <w:rFonts w:eastAsia="Verdana"/>
        </w:rPr>
      </w:pPr>
      <w:bookmarkStart w:id="68" w:name="_Toc156901039"/>
      <w:r w:rsidRPr="00800C53">
        <w:rPr>
          <w:rFonts w:eastAsia="Verdana"/>
        </w:rPr>
        <w:t>Biometric data</w:t>
      </w:r>
      <w:bookmarkEnd w:id="68"/>
    </w:p>
    <w:p w14:paraId="3256853F" w14:textId="6EC4AD9E" w:rsidR="00B92132" w:rsidRDefault="00C50BCC" w:rsidP="00EC378A">
      <w:pPr>
        <w:pStyle w:val="ListParagraph"/>
        <w:numPr>
          <w:ilvl w:val="1"/>
          <w:numId w:val="14"/>
        </w:numPr>
        <w:ind w:left="851" w:hanging="851"/>
        <w:contextualSpacing w:val="0"/>
        <w:rPr>
          <w:color w:val="000000"/>
          <w:lang w:val="en"/>
        </w:rPr>
      </w:pPr>
      <w:r>
        <w:t>E</w:t>
      </w:r>
      <w:r w:rsidR="00230FB2">
        <w:t>xisting</w:t>
      </w:r>
      <w:r w:rsidR="00A93049">
        <w:t xml:space="preserve"> </w:t>
      </w:r>
      <w:r w:rsidR="00A93049">
        <w:rPr>
          <w:color w:val="000000"/>
          <w:lang w:val="en"/>
        </w:rPr>
        <w:t>legislative provisions on DNA data retention in NI</w:t>
      </w:r>
      <w:r w:rsidR="00BC006E">
        <w:rPr>
          <w:color w:val="000000"/>
          <w:lang w:val="en"/>
        </w:rPr>
        <w:t xml:space="preserve"> </w:t>
      </w:r>
      <w:r w:rsidR="00B92132" w:rsidRPr="00B92132">
        <w:rPr>
          <w:color w:val="000000"/>
          <w:lang w:val="en"/>
        </w:rPr>
        <w:t>have not been</w:t>
      </w:r>
      <w:r w:rsidR="00BC006E">
        <w:rPr>
          <w:color w:val="000000"/>
          <w:lang w:val="en"/>
        </w:rPr>
        <w:t xml:space="preserve"> </w:t>
      </w:r>
      <w:r w:rsidR="00B92132" w:rsidRPr="00B92132">
        <w:rPr>
          <w:color w:val="000000"/>
          <w:lang w:val="en"/>
        </w:rPr>
        <w:t>commenced.</w:t>
      </w:r>
      <w:r w:rsidR="00B92132" w:rsidRPr="00B92132">
        <w:rPr>
          <w:color w:val="000000"/>
          <w:vertAlign w:val="superscript"/>
          <w:lang w:val="en"/>
        </w:rPr>
        <w:footnoteReference w:id="288"/>
      </w:r>
      <w:r w:rsidR="00B92132" w:rsidRPr="00B92132">
        <w:rPr>
          <w:color w:val="000000"/>
          <w:lang w:val="en"/>
        </w:rPr>
        <w:t xml:space="preserve"> </w:t>
      </w:r>
    </w:p>
    <w:p w14:paraId="21B017BD" w14:textId="77777777" w:rsidR="00271C2C" w:rsidRPr="00B92132" w:rsidRDefault="00271C2C" w:rsidP="00EC378A">
      <w:pPr>
        <w:pStyle w:val="ListParagraph"/>
        <w:ind w:left="851" w:hanging="851"/>
        <w:contextualSpacing w:val="0"/>
        <w:rPr>
          <w:color w:val="000000"/>
          <w:lang w:val="en"/>
        </w:rPr>
      </w:pPr>
    </w:p>
    <w:p w14:paraId="1692822B" w14:textId="3C4299A1" w:rsidR="00800C53" w:rsidRPr="001F33F4" w:rsidRDefault="00133999" w:rsidP="00EC378A">
      <w:pPr>
        <w:pStyle w:val="ListParagraph"/>
        <w:numPr>
          <w:ilvl w:val="1"/>
          <w:numId w:val="14"/>
        </w:numPr>
        <w:ind w:left="851" w:hanging="851"/>
        <w:contextualSpacing w:val="0"/>
        <w:rPr>
          <w:rFonts w:eastAsia="Verdana" w:cs="Verdana"/>
          <w:color w:val="000000"/>
        </w:rPr>
      </w:pPr>
      <w:r>
        <w:rPr>
          <w:color w:val="000000"/>
        </w:rPr>
        <w:t xml:space="preserve">In 2020, the ECtHR found that the policy of indefinite </w:t>
      </w:r>
      <w:r w:rsidR="005022A7">
        <w:rPr>
          <w:color w:val="000000"/>
        </w:rPr>
        <w:t>biometric</w:t>
      </w:r>
      <w:r>
        <w:rPr>
          <w:color w:val="000000"/>
        </w:rPr>
        <w:t xml:space="preserve"> retention</w:t>
      </w:r>
      <w:r w:rsidR="005022A7">
        <w:rPr>
          <w:color w:val="000000"/>
        </w:rPr>
        <w:t xml:space="preserve"> in the UK</w:t>
      </w:r>
      <w:r>
        <w:rPr>
          <w:color w:val="000000"/>
        </w:rPr>
        <w:t xml:space="preserve"> was a disproportionate interference with Article 8 of the ECHR.</w:t>
      </w:r>
      <w:r>
        <w:rPr>
          <w:rStyle w:val="FootnoteReference"/>
        </w:rPr>
        <w:footnoteReference w:id="289"/>
      </w:r>
    </w:p>
    <w:p w14:paraId="04E3CA4E" w14:textId="77777777" w:rsidR="001F33F4" w:rsidRPr="001F33F4" w:rsidRDefault="001F33F4" w:rsidP="00EC378A">
      <w:pPr>
        <w:pStyle w:val="ListParagraph"/>
        <w:ind w:left="851" w:hanging="851"/>
        <w:contextualSpacing w:val="0"/>
        <w:rPr>
          <w:rFonts w:eastAsia="Verdana" w:cs="Verdana"/>
          <w:color w:val="000000"/>
        </w:rPr>
      </w:pPr>
    </w:p>
    <w:p w14:paraId="3CF13DCF" w14:textId="3D8A9044" w:rsidR="00276ABD" w:rsidRPr="00276ABD" w:rsidRDefault="001F33F4" w:rsidP="00EC378A">
      <w:pPr>
        <w:pStyle w:val="ListParagraph"/>
        <w:numPr>
          <w:ilvl w:val="1"/>
          <w:numId w:val="14"/>
        </w:numPr>
        <w:ind w:left="851" w:hanging="851"/>
        <w:contextualSpacing w:val="0"/>
        <w:rPr>
          <w:rFonts w:eastAsia="Verdana" w:cs="Verdana"/>
          <w:color w:val="000000"/>
        </w:rPr>
      </w:pPr>
      <w:r>
        <w:rPr>
          <w:rFonts w:eastAsia="Verdana" w:cs="Verdana"/>
          <w:color w:val="000000"/>
        </w:rPr>
        <w:t xml:space="preserve">Despite attempts to </w:t>
      </w:r>
      <w:r w:rsidR="00EE15CD">
        <w:rPr>
          <w:rFonts w:eastAsia="Verdana" w:cs="Verdana"/>
          <w:color w:val="000000"/>
        </w:rPr>
        <w:t>progress</w:t>
      </w:r>
      <w:r w:rsidR="004973C1">
        <w:rPr>
          <w:rFonts w:eastAsia="Verdana" w:cs="Verdana"/>
          <w:color w:val="000000"/>
        </w:rPr>
        <w:t xml:space="preserve"> </w:t>
      </w:r>
      <w:r>
        <w:rPr>
          <w:rFonts w:eastAsia="Verdana" w:cs="Verdana"/>
          <w:color w:val="000000"/>
        </w:rPr>
        <w:t>th</w:t>
      </w:r>
      <w:r w:rsidR="004973C1">
        <w:rPr>
          <w:rFonts w:eastAsia="Verdana" w:cs="Verdana"/>
          <w:color w:val="000000"/>
        </w:rPr>
        <w:t>is</w:t>
      </w:r>
      <w:r>
        <w:rPr>
          <w:rFonts w:eastAsia="Verdana" w:cs="Verdana"/>
          <w:color w:val="000000"/>
        </w:rPr>
        <w:t xml:space="preserve"> issue, </w:t>
      </w:r>
      <w:r w:rsidR="00C9606C">
        <w:rPr>
          <w:rFonts w:eastAsia="Verdana" w:cs="Verdana"/>
          <w:color w:val="000000"/>
        </w:rPr>
        <w:t>a</w:t>
      </w:r>
      <w:r>
        <w:rPr>
          <w:rFonts w:eastAsia="Verdana" w:cs="Verdana"/>
          <w:color w:val="000000"/>
        </w:rPr>
        <w:t xml:space="preserve"> </w:t>
      </w:r>
      <w:r w:rsidR="004973C1">
        <w:rPr>
          <w:rFonts w:eastAsia="Verdana" w:cs="Verdana"/>
          <w:color w:val="000000"/>
        </w:rPr>
        <w:t xml:space="preserve">lack of </w:t>
      </w:r>
      <w:r w:rsidR="00C9606C">
        <w:rPr>
          <w:rFonts w:eastAsia="Verdana" w:cs="Verdana"/>
          <w:color w:val="000000"/>
        </w:rPr>
        <w:t>political</w:t>
      </w:r>
      <w:r w:rsidR="004973C1">
        <w:rPr>
          <w:rFonts w:eastAsia="Verdana" w:cs="Verdana"/>
          <w:color w:val="000000"/>
        </w:rPr>
        <w:t xml:space="preserve"> agreement</w:t>
      </w:r>
      <w:r w:rsidR="00AC7436">
        <w:rPr>
          <w:rFonts w:eastAsia="Verdana" w:cs="Verdana"/>
          <w:color w:val="000000"/>
        </w:rPr>
        <w:t xml:space="preserve"> has </w:t>
      </w:r>
      <w:r w:rsidR="00EE15CD">
        <w:rPr>
          <w:rFonts w:eastAsia="Verdana" w:cs="Verdana"/>
          <w:color w:val="000000"/>
        </w:rPr>
        <w:t xml:space="preserve">hampered efforts to </w:t>
      </w:r>
      <w:r w:rsidR="00A7308F">
        <w:rPr>
          <w:rFonts w:eastAsia="Verdana" w:cs="Verdana"/>
          <w:color w:val="000000"/>
        </w:rPr>
        <w:t>develop a legislative</w:t>
      </w:r>
      <w:r w:rsidR="00AC7436">
        <w:rPr>
          <w:rFonts w:eastAsia="Verdana" w:cs="Verdana"/>
          <w:color w:val="000000"/>
        </w:rPr>
        <w:t xml:space="preserve"> framework for NI.</w:t>
      </w:r>
      <w:r w:rsidR="0052513B">
        <w:rPr>
          <w:rStyle w:val="FootnoteReference"/>
          <w:rFonts w:eastAsia="Verdana" w:cs="Verdana"/>
          <w:color w:val="000000"/>
        </w:rPr>
        <w:footnoteReference w:id="290"/>
      </w:r>
      <w:r w:rsidR="00ED3D44">
        <w:rPr>
          <w:rFonts w:eastAsia="Verdana" w:cs="Verdana"/>
          <w:color w:val="000000"/>
        </w:rPr>
        <w:t xml:space="preserve"> </w:t>
      </w:r>
      <w:r w:rsidR="00F74148">
        <w:rPr>
          <w:rFonts w:eastAsia="Verdana" w:cs="Verdana"/>
          <w:color w:val="000000"/>
        </w:rPr>
        <w:t>Following legal challenge,</w:t>
      </w:r>
      <w:r w:rsidR="00CA3519">
        <w:rPr>
          <w:rStyle w:val="FootnoteReference"/>
          <w:rFonts w:eastAsia="Verdana" w:cs="Verdana"/>
          <w:color w:val="000000"/>
        </w:rPr>
        <w:footnoteReference w:id="291"/>
      </w:r>
      <w:r w:rsidR="00F74148">
        <w:rPr>
          <w:rFonts w:eastAsia="Verdana" w:cs="Verdana"/>
          <w:color w:val="000000"/>
        </w:rPr>
        <w:t xml:space="preserve"> </w:t>
      </w:r>
      <w:r w:rsidR="00F74148">
        <w:rPr>
          <w:color w:val="000000"/>
        </w:rPr>
        <w:t>t</w:t>
      </w:r>
      <w:r w:rsidR="00ED3D44" w:rsidRPr="007478BB">
        <w:rPr>
          <w:color w:val="000000"/>
        </w:rPr>
        <w:t>he Police Service of NI</w:t>
      </w:r>
      <w:r w:rsidR="00C830F0">
        <w:rPr>
          <w:color w:val="000000"/>
        </w:rPr>
        <w:t xml:space="preserve"> </w:t>
      </w:r>
      <w:r w:rsidR="00470223">
        <w:rPr>
          <w:color w:val="000000"/>
        </w:rPr>
        <w:t xml:space="preserve">implemented </w:t>
      </w:r>
      <w:r w:rsidR="00430CF5">
        <w:rPr>
          <w:color w:val="000000"/>
        </w:rPr>
        <w:t xml:space="preserve">an </w:t>
      </w:r>
      <w:r w:rsidR="00470223">
        <w:rPr>
          <w:color w:val="000000"/>
        </w:rPr>
        <w:t xml:space="preserve">interim </w:t>
      </w:r>
      <w:r w:rsidR="00BC5644">
        <w:rPr>
          <w:color w:val="000000"/>
        </w:rPr>
        <w:t>policy on</w:t>
      </w:r>
      <w:r w:rsidR="00D9769A">
        <w:rPr>
          <w:color w:val="000000"/>
        </w:rPr>
        <w:t xml:space="preserve"> biometric retention</w:t>
      </w:r>
      <w:r w:rsidR="0052513B">
        <w:rPr>
          <w:color w:val="000000"/>
        </w:rPr>
        <w:t>.</w:t>
      </w:r>
      <w:r w:rsidR="00713094">
        <w:rPr>
          <w:rStyle w:val="FootnoteReference"/>
          <w:color w:val="000000"/>
        </w:rPr>
        <w:footnoteReference w:id="292"/>
      </w:r>
      <w:r w:rsidR="00040AD7">
        <w:rPr>
          <w:color w:val="000000"/>
        </w:rPr>
        <w:t xml:space="preserve"> However, </w:t>
      </w:r>
      <w:r w:rsidR="00102B53">
        <w:rPr>
          <w:color w:val="000000"/>
        </w:rPr>
        <w:t>this</w:t>
      </w:r>
      <w:r w:rsidR="00040AD7">
        <w:t xml:space="preserve"> approach “does not attempt to remedy the faults identified by the two ECtHR judgments …[and] is much more limited in its aims”.</w:t>
      </w:r>
      <w:r w:rsidR="00040AD7">
        <w:rPr>
          <w:rStyle w:val="FootnoteReference"/>
        </w:rPr>
        <w:footnoteReference w:id="293"/>
      </w:r>
      <w:r w:rsidR="00DD3C4F">
        <w:t xml:space="preserve"> Additionally, any necessary legislative change </w:t>
      </w:r>
      <w:r w:rsidR="00AA0F34">
        <w:t>was hindered by the suspension of the</w:t>
      </w:r>
      <w:r w:rsidR="00DD3C4F">
        <w:t xml:space="preserve"> NI Executive and NI Assembly.</w:t>
      </w:r>
    </w:p>
    <w:p w14:paraId="0DDD08B7" w14:textId="77777777" w:rsidR="00276ABD" w:rsidRPr="00276ABD" w:rsidRDefault="00276ABD" w:rsidP="00EC378A">
      <w:pPr>
        <w:pStyle w:val="ListParagraph"/>
        <w:ind w:left="851" w:hanging="851"/>
        <w:contextualSpacing w:val="0"/>
        <w:rPr>
          <w:rFonts w:cs="Helvetica"/>
          <w:b/>
          <w:lang w:val="en"/>
        </w:rPr>
      </w:pPr>
    </w:p>
    <w:p w14:paraId="1982D91B" w14:textId="27640427" w:rsidR="00D9769A" w:rsidRPr="00D9769A" w:rsidRDefault="00276ABD" w:rsidP="00EC378A">
      <w:pPr>
        <w:pStyle w:val="ListParagraph"/>
        <w:numPr>
          <w:ilvl w:val="1"/>
          <w:numId w:val="14"/>
        </w:numPr>
        <w:ind w:left="851" w:hanging="851"/>
        <w:contextualSpacing w:val="0"/>
        <w:rPr>
          <w:rFonts w:cs="Helvetica"/>
          <w:b/>
        </w:rPr>
      </w:pPr>
      <w:r w:rsidRPr="006C28BD">
        <w:rPr>
          <w:rFonts w:cs="Helvetica"/>
          <w:b/>
          <w:lang w:val="en"/>
        </w:rPr>
        <w:t xml:space="preserve">The Committee may wish to </w:t>
      </w:r>
      <w:r w:rsidR="00CB07A8">
        <w:rPr>
          <w:rFonts w:cs="Helvetica"/>
          <w:b/>
          <w:lang w:val="en"/>
        </w:rPr>
        <w:t>recommend that</w:t>
      </w:r>
      <w:r w:rsidR="00CB07A8" w:rsidRPr="006C28BD">
        <w:rPr>
          <w:rFonts w:cs="Helvetica"/>
          <w:b/>
          <w:lang w:val="en"/>
        </w:rPr>
        <w:t xml:space="preserve"> </w:t>
      </w:r>
      <w:r w:rsidRPr="006C28BD">
        <w:rPr>
          <w:rFonts w:cs="Helvetica"/>
          <w:b/>
          <w:lang w:val="en"/>
        </w:rPr>
        <w:t xml:space="preserve">the UK </w:t>
      </w:r>
      <w:r w:rsidR="00CB07A8">
        <w:rPr>
          <w:rFonts w:cs="Helvetica"/>
          <w:b/>
          <w:lang w:val="en"/>
        </w:rPr>
        <w:t>takes effective steps</w:t>
      </w:r>
      <w:r w:rsidRPr="006C28BD">
        <w:rPr>
          <w:rFonts w:cs="Helvetica"/>
          <w:b/>
          <w:lang w:val="en"/>
        </w:rPr>
        <w:t xml:space="preserve"> to</w:t>
      </w:r>
      <w:r w:rsidR="00D9769A">
        <w:rPr>
          <w:rFonts w:cs="Helvetica"/>
          <w:b/>
          <w:lang w:val="en"/>
        </w:rPr>
        <w:t xml:space="preserve">: </w:t>
      </w:r>
    </w:p>
    <w:p w14:paraId="4BCF909D" w14:textId="77777777" w:rsidR="00D9769A" w:rsidRPr="00D9769A" w:rsidRDefault="00D9769A" w:rsidP="003A6C64">
      <w:pPr>
        <w:pStyle w:val="ListParagraph"/>
        <w:contextualSpacing w:val="0"/>
        <w:rPr>
          <w:rFonts w:cs="Helvetica"/>
          <w:b/>
          <w:lang w:val="en"/>
        </w:rPr>
      </w:pPr>
    </w:p>
    <w:p w14:paraId="07B6A33E" w14:textId="4300252F" w:rsidR="006328B9" w:rsidRDefault="00833B29" w:rsidP="00EC378A">
      <w:pPr>
        <w:pStyle w:val="ListParagraph"/>
        <w:numPr>
          <w:ilvl w:val="0"/>
          <w:numId w:val="43"/>
        </w:numPr>
        <w:ind w:left="1560"/>
        <w:contextualSpacing w:val="0"/>
        <w:rPr>
          <w:rFonts w:cs="Helvetica"/>
          <w:b/>
          <w:lang w:val="en"/>
        </w:rPr>
      </w:pPr>
      <w:r>
        <w:rPr>
          <w:rFonts w:cs="Helvetica"/>
          <w:b/>
          <w:lang w:val="en"/>
        </w:rPr>
        <w:t>commence the</w:t>
      </w:r>
      <w:r w:rsidR="00276ABD" w:rsidRPr="006C28BD">
        <w:rPr>
          <w:b/>
          <w:lang w:val="en"/>
        </w:rPr>
        <w:t xml:space="preserve"> DNA </w:t>
      </w:r>
      <w:r w:rsidR="00276ABD" w:rsidRPr="006C28BD">
        <w:rPr>
          <w:rFonts w:cs="Helvetica"/>
          <w:b/>
          <w:lang w:val="en"/>
        </w:rPr>
        <w:t>retention sections of the Criminal Justice Act (NI) 2013 without further delay</w:t>
      </w:r>
      <w:r w:rsidR="004B230F">
        <w:rPr>
          <w:rFonts w:cs="Helvetica"/>
          <w:b/>
          <w:lang w:val="en"/>
        </w:rPr>
        <w:t xml:space="preserve">, </w:t>
      </w:r>
      <w:r w:rsidR="004B230F" w:rsidRPr="004B230F">
        <w:rPr>
          <w:rFonts w:cs="Helvetica"/>
          <w:b/>
        </w:rPr>
        <w:t xml:space="preserve">ensuring that its implementation complies with </w:t>
      </w:r>
      <w:r w:rsidR="004B230F" w:rsidRPr="004B230F">
        <w:rPr>
          <w:rFonts w:cs="Helvetica"/>
          <w:b/>
          <w:i/>
          <w:iCs/>
        </w:rPr>
        <w:t>Gaughran v UK</w:t>
      </w:r>
      <w:r w:rsidR="004B230F" w:rsidRPr="004B230F">
        <w:rPr>
          <w:rFonts w:cs="Helvetica"/>
          <w:b/>
        </w:rPr>
        <w:t xml:space="preserve"> (2020)</w:t>
      </w:r>
      <w:r w:rsidR="00FC31C6">
        <w:rPr>
          <w:rFonts w:cs="Helvetica"/>
          <w:b/>
          <w:lang w:val="en"/>
        </w:rPr>
        <w:t>.</w:t>
      </w:r>
    </w:p>
    <w:p w14:paraId="6BB831D3" w14:textId="77777777" w:rsidR="00824018" w:rsidRDefault="00824018" w:rsidP="00EC378A">
      <w:pPr>
        <w:pStyle w:val="ListParagraph"/>
        <w:ind w:left="1560"/>
        <w:contextualSpacing w:val="0"/>
        <w:rPr>
          <w:rFonts w:cs="Helvetica"/>
          <w:b/>
          <w:lang w:val="en"/>
        </w:rPr>
      </w:pPr>
    </w:p>
    <w:p w14:paraId="1FB628BE" w14:textId="779F4DD1" w:rsidR="00040AD7" w:rsidRDefault="00B32A11" w:rsidP="00EC378A">
      <w:pPr>
        <w:pStyle w:val="ListParagraph"/>
        <w:numPr>
          <w:ilvl w:val="0"/>
          <w:numId w:val="43"/>
        </w:numPr>
        <w:ind w:left="1560"/>
        <w:contextualSpacing w:val="0"/>
        <w:rPr>
          <w:rFonts w:cs="Helvetica"/>
          <w:b/>
          <w:lang w:val="en"/>
        </w:rPr>
      </w:pPr>
      <w:r>
        <w:rPr>
          <w:rFonts w:cs="Helvetica"/>
          <w:b/>
          <w:lang w:val="en"/>
        </w:rPr>
        <w:t>e</w:t>
      </w:r>
      <w:r w:rsidR="008D1A14">
        <w:rPr>
          <w:rFonts w:cs="Helvetica"/>
          <w:b/>
          <w:lang w:val="en"/>
        </w:rPr>
        <w:t xml:space="preserve">nsure the </w:t>
      </w:r>
      <w:r w:rsidR="00586DAF" w:rsidRPr="007E30EA">
        <w:rPr>
          <w:b/>
          <w:lang w:val="en"/>
        </w:rPr>
        <w:t xml:space="preserve">Police Service </w:t>
      </w:r>
      <w:r w:rsidR="00FC31C6">
        <w:rPr>
          <w:b/>
          <w:lang w:val="en"/>
        </w:rPr>
        <w:t xml:space="preserve">of </w:t>
      </w:r>
      <w:r w:rsidR="00586DAF" w:rsidRPr="007E30EA">
        <w:rPr>
          <w:b/>
          <w:lang w:val="en"/>
        </w:rPr>
        <w:t xml:space="preserve">NI’s </w:t>
      </w:r>
      <w:r w:rsidR="00586DAF" w:rsidRPr="007E30EA">
        <w:rPr>
          <w:rFonts w:cs="Helvetica"/>
          <w:b/>
          <w:lang w:val="en"/>
        </w:rPr>
        <w:t>policy on biometric data retention is human rights compliant</w:t>
      </w:r>
      <w:r w:rsidR="00824018">
        <w:rPr>
          <w:rFonts w:cs="Helvetica"/>
          <w:b/>
          <w:lang w:val="en"/>
        </w:rPr>
        <w:t xml:space="preserve">, </w:t>
      </w:r>
      <w:r w:rsidR="00586DAF" w:rsidRPr="007E30EA">
        <w:rPr>
          <w:rFonts w:cs="Helvetica"/>
          <w:b/>
          <w:lang w:val="en"/>
        </w:rPr>
        <w:t>effectively implemented</w:t>
      </w:r>
      <w:r w:rsidR="00824018">
        <w:rPr>
          <w:rFonts w:cs="Helvetica"/>
          <w:b/>
          <w:lang w:val="en"/>
        </w:rPr>
        <w:t xml:space="preserve"> and independently monitored</w:t>
      </w:r>
      <w:r w:rsidR="00FC31C6">
        <w:rPr>
          <w:rFonts w:cs="Helvetica"/>
          <w:b/>
          <w:lang w:val="en"/>
        </w:rPr>
        <w:t>.</w:t>
      </w:r>
    </w:p>
    <w:p w14:paraId="0CFC35B0" w14:textId="77777777" w:rsidR="00F02CF7" w:rsidRPr="0071680D" w:rsidRDefault="00F02CF7" w:rsidP="003A6C64">
      <w:pPr>
        <w:rPr>
          <w:rFonts w:eastAsia="Verdana" w:cs="Verdana"/>
          <w:color w:val="000000"/>
        </w:rPr>
      </w:pPr>
    </w:p>
    <w:p w14:paraId="4586EB57" w14:textId="06B2DB44" w:rsidR="00800C53" w:rsidRPr="00800C53" w:rsidRDefault="00800C53" w:rsidP="00EC378A">
      <w:pPr>
        <w:pStyle w:val="Heading2"/>
        <w:spacing w:after="240" w:line="288" w:lineRule="auto"/>
        <w:rPr>
          <w:rFonts w:eastAsia="Verdana"/>
        </w:rPr>
      </w:pPr>
      <w:bookmarkStart w:id="69" w:name="_Toc156901040"/>
      <w:r w:rsidRPr="00800C53">
        <w:rPr>
          <w:rFonts w:eastAsia="Verdana"/>
        </w:rPr>
        <w:t>Stop and search</w:t>
      </w:r>
      <w:bookmarkEnd w:id="69"/>
    </w:p>
    <w:p w14:paraId="04BCD3B0" w14:textId="264BBE74" w:rsidR="002D2047" w:rsidRPr="00097688" w:rsidRDefault="00113ACC" w:rsidP="00EC378A">
      <w:pPr>
        <w:pStyle w:val="ListParagraph"/>
        <w:numPr>
          <w:ilvl w:val="1"/>
          <w:numId w:val="14"/>
        </w:numPr>
        <w:ind w:left="851" w:hanging="851"/>
        <w:contextualSpacing w:val="0"/>
        <w:rPr>
          <w:rStyle w:val="normaltextrun"/>
          <w:rFonts w:eastAsia="Verdana" w:cs="Verdana"/>
          <w:color w:val="000000"/>
        </w:rPr>
      </w:pPr>
      <w:r w:rsidRPr="00097688">
        <w:rPr>
          <w:rStyle w:val="normaltextrun"/>
          <w:color w:val="000000"/>
          <w:shd w:val="clear" w:color="auto" w:fill="FFFFFF"/>
        </w:rPr>
        <w:t xml:space="preserve">In 2022/2023, 23,650 persons were stopped </w:t>
      </w:r>
      <w:r w:rsidR="00C91712" w:rsidRPr="00097688">
        <w:rPr>
          <w:rStyle w:val="normaltextrun"/>
          <w:color w:val="000000"/>
          <w:shd w:val="clear" w:color="auto" w:fill="FFFFFF"/>
        </w:rPr>
        <w:t xml:space="preserve">in NI under all legislative stop, </w:t>
      </w:r>
      <w:r w:rsidRPr="00097688">
        <w:rPr>
          <w:rStyle w:val="normaltextrun"/>
          <w:color w:val="000000"/>
          <w:shd w:val="clear" w:color="auto" w:fill="FFFFFF"/>
        </w:rPr>
        <w:t>search</w:t>
      </w:r>
      <w:r w:rsidR="00E96121" w:rsidRPr="00097688">
        <w:rPr>
          <w:rStyle w:val="normaltextrun"/>
          <w:color w:val="000000"/>
          <w:shd w:val="clear" w:color="auto" w:fill="FFFFFF"/>
        </w:rPr>
        <w:t xml:space="preserve"> and </w:t>
      </w:r>
      <w:r w:rsidRPr="00097688">
        <w:rPr>
          <w:rStyle w:val="normaltextrun"/>
          <w:color w:val="000000"/>
          <w:shd w:val="clear" w:color="auto" w:fill="FFFFFF"/>
        </w:rPr>
        <w:t>question</w:t>
      </w:r>
      <w:r w:rsidR="00DA3E0C" w:rsidRPr="00097688">
        <w:rPr>
          <w:rStyle w:val="normaltextrun"/>
          <w:color w:val="000000"/>
          <w:shd w:val="clear" w:color="auto" w:fill="FFFFFF"/>
        </w:rPr>
        <w:t xml:space="preserve"> powers</w:t>
      </w:r>
      <w:r w:rsidR="000C3B80" w:rsidRPr="00097688">
        <w:rPr>
          <w:rStyle w:val="normaltextrun"/>
          <w:color w:val="000000"/>
          <w:shd w:val="clear" w:color="auto" w:fill="FFFFFF"/>
        </w:rPr>
        <w:t>.</w:t>
      </w:r>
      <w:r w:rsidR="000C3B80">
        <w:rPr>
          <w:rStyle w:val="FootnoteReference"/>
          <w:color w:val="000000"/>
          <w:shd w:val="clear" w:color="auto" w:fill="FFFFFF"/>
        </w:rPr>
        <w:footnoteReference w:id="294"/>
      </w:r>
      <w:r w:rsidR="006A28E2" w:rsidRPr="00097688">
        <w:rPr>
          <w:rStyle w:val="normaltextrun"/>
          <w:color w:val="000000"/>
          <w:shd w:val="clear" w:color="auto" w:fill="FFFFFF"/>
        </w:rPr>
        <w:t xml:space="preserve"> </w:t>
      </w:r>
      <w:r w:rsidR="00872E71" w:rsidRPr="00097688">
        <w:rPr>
          <w:rStyle w:val="normaltextrun"/>
          <w:color w:val="000000"/>
          <w:shd w:val="clear" w:color="auto" w:fill="FFFFFF"/>
        </w:rPr>
        <w:t>Counter terrorism powers accounted for 16 per cent (3,744) of all stops.</w:t>
      </w:r>
      <w:r w:rsidR="00872E71">
        <w:rPr>
          <w:rStyle w:val="FootnoteReference"/>
          <w:color w:val="000000"/>
          <w:shd w:val="clear" w:color="auto" w:fill="FFFFFF"/>
        </w:rPr>
        <w:footnoteReference w:id="295"/>
      </w:r>
      <w:r w:rsidR="00872E71" w:rsidRPr="00097688">
        <w:rPr>
          <w:rStyle w:val="normaltextrun"/>
          <w:color w:val="000000"/>
          <w:shd w:val="clear" w:color="auto" w:fill="FFFFFF"/>
        </w:rPr>
        <w:t xml:space="preserve"> </w:t>
      </w:r>
      <w:r w:rsidR="006A28E2" w:rsidRPr="00097688">
        <w:rPr>
          <w:rStyle w:val="normaltextrun"/>
          <w:color w:val="000000"/>
          <w:shd w:val="clear" w:color="auto" w:fill="FFFFFF"/>
        </w:rPr>
        <w:t xml:space="preserve">Of </w:t>
      </w:r>
      <w:r w:rsidR="00966969">
        <w:rPr>
          <w:rStyle w:val="normaltextrun"/>
          <w:color w:val="000000"/>
          <w:shd w:val="clear" w:color="auto" w:fill="FFFFFF"/>
        </w:rPr>
        <w:t>th</w:t>
      </w:r>
      <w:r w:rsidR="00872E71">
        <w:rPr>
          <w:rStyle w:val="normaltextrun"/>
          <w:color w:val="000000"/>
          <w:shd w:val="clear" w:color="auto" w:fill="FFFFFF"/>
        </w:rPr>
        <w:t>e 23,650 persons</w:t>
      </w:r>
      <w:r w:rsidR="00966969">
        <w:rPr>
          <w:rStyle w:val="normaltextrun"/>
          <w:color w:val="000000"/>
          <w:shd w:val="clear" w:color="auto" w:fill="FFFFFF"/>
        </w:rPr>
        <w:t xml:space="preserve"> stopped</w:t>
      </w:r>
      <w:r w:rsidR="00872E71">
        <w:rPr>
          <w:rStyle w:val="normaltextrun"/>
          <w:color w:val="000000"/>
          <w:shd w:val="clear" w:color="auto" w:fill="FFFFFF"/>
        </w:rPr>
        <w:t xml:space="preserve"> in 2022/2023</w:t>
      </w:r>
      <w:r w:rsidR="006A28E2" w:rsidRPr="00097688">
        <w:rPr>
          <w:rStyle w:val="normaltextrun"/>
          <w:color w:val="000000"/>
          <w:shd w:val="clear" w:color="auto" w:fill="FFFFFF"/>
        </w:rPr>
        <w:t xml:space="preserve">, </w:t>
      </w:r>
      <w:r w:rsidR="009D7FFE" w:rsidRPr="00097688">
        <w:rPr>
          <w:rStyle w:val="normaltextrun"/>
          <w:color w:val="000000"/>
          <w:shd w:val="clear" w:color="auto" w:fill="FFFFFF"/>
        </w:rPr>
        <w:t>11 per cent (</w:t>
      </w:r>
      <w:r w:rsidR="00667E2C" w:rsidRPr="00097688">
        <w:rPr>
          <w:rStyle w:val="normaltextrun"/>
          <w:color w:val="000000"/>
          <w:shd w:val="clear" w:color="auto" w:fill="FFFFFF"/>
        </w:rPr>
        <w:t>2,561</w:t>
      </w:r>
      <w:r w:rsidR="009D7FFE" w:rsidRPr="00097688">
        <w:rPr>
          <w:rStyle w:val="normaltextrun"/>
          <w:color w:val="000000"/>
          <w:shd w:val="clear" w:color="auto" w:fill="FFFFFF"/>
        </w:rPr>
        <w:t>)</w:t>
      </w:r>
      <w:r w:rsidR="00667E2C" w:rsidRPr="00097688">
        <w:rPr>
          <w:rStyle w:val="normaltextrun"/>
          <w:color w:val="000000"/>
          <w:shd w:val="clear" w:color="auto" w:fill="FFFFFF"/>
        </w:rPr>
        <w:t xml:space="preserve"> were children</w:t>
      </w:r>
      <w:r w:rsidR="006A28E2" w:rsidRPr="00097688">
        <w:rPr>
          <w:rStyle w:val="normaltextrun"/>
          <w:color w:val="000000"/>
          <w:shd w:val="clear" w:color="auto" w:fill="FFFFFF"/>
        </w:rPr>
        <w:t>.</w:t>
      </w:r>
      <w:r w:rsidR="00667E2C">
        <w:rPr>
          <w:rStyle w:val="FootnoteReference"/>
          <w:color w:val="000000"/>
          <w:shd w:val="clear" w:color="auto" w:fill="FFFFFF"/>
        </w:rPr>
        <w:footnoteReference w:id="296"/>
      </w:r>
      <w:r w:rsidR="000C3B80" w:rsidRPr="00097688">
        <w:rPr>
          <w:rStyle w:val="normaltextrun"/>
          <w:color w:val="000000"/>
          <w:shd w:val="clear" w:color="auto" w:fill="FFFFFF"/>
        </w:rPr>
        <w:t xml:space="preserve"> </w:t>
      </w:r>
    </w:p>
    <w:p w14:paraId="2AB0FDC8" w14:textId="77777777" w:rsidR="00097688" w:rsidRPr="00097688" w:rsidRDefault="00097688" w:rsidP="00EC378A">
      <w:pPr>
        <w:pStyle w:val="ListParagraph"/>
        <w:ind w:left="851" w:hanging="851"/>
        <w:contextualSpacing w:val="0"/>
        <w:rPr>
          <w:rStyle w:val="normaltextrun"/>
          <w:rFonts w:eastAsia="Verdana" w:cs="Verdana"/>
          <w:color w:val="000000"/>
        </w:rPr>
      </w:pPr>
    </w:p>
    <w:p w14:paraId="69ADA213" w14:textId="754B50D3" w:rsidR="006E4BF1" w:rsidRPr="002D2047" w:rsidRDefault="002E0F4C" w:rsidP="22E15799">
      <w:pPr>
        <w:pStyle w:val="ListParagraph"/>
        <w:numPr>
          <w:ilvl w:val="1"/>
          <w:numId w:val="14"/>
        </w:numPr>
        <w:ind w:left="851" w:hanging="851"/>
        <w:rPr>
          <w:rFonts w:eastAsia="Verdana" w:cs="Verdana"/>
          <w:color w:val="000000"/>
        </w:rPr>
      </w:pPr>
      <w:r w:rsidRPr="002D2047">
        <w:rPr>
          <w:rFonts w:eastAsia="Verdana" w:cs="Verdana"/>
          <w:color w:val="000000"/>
        </w:rPr>
        <w:t>Despite</w:t>
      </w:r>
      <w:r w:rsidR="009404A9" w:rsidRPr="002D2047">
        <w:rPr>
          <w:rFonts w:eastAsia="Verdana" w:cs="Verdana"/>
          <w:color w:val="000000"/>
        </w:rPr>
        <w:t xml:space="preserve"> previous recommendation</w:t>
      </w:r>
      <w:r w:rsidRPr="002D2047">
        <w:rPr>
          <w:rFonts w:eastAsia="Verdana" w:cs="Verdana"/>
          <w:color w:val="000000"/>
        </w:rPr>
        <w:t>s</w:t>
      </w:r>
      <w:r w:rsidR="009404A9" w:rsidRPr="002D2047">
        <w:rPr>
          <w:rFonts w:eastAsia="Verdana" w:cs="Verdana"/>
          <w:color w:val="000000"/>
        </w:rPr>
        <w:t>,</w:t>
      </w:r>
      <w:r w:rsidR="00495D84" w:rsidRPr="00743971">
        <w:rPr>
          <w:rStyle w:val="FootnoteReference"/>
          <w:rFonts w:cs="Helvetica"/>
          <w:lang w:val="en"/>
        </w:rPr>
        <w:footnoteReference w:id="297"/>
      </w:r>
      <w:r w:rsidR="00495D84" w:rsidRPr="002D2047">
        <w:rPr>
          <w:rFonts w:eastAsia="Verdana" w:cs="Verdana"/>
          <w:color w:val="000000"/>
        </w:rPr>
        <w:t xml:space="preserve"> </w:t>
      </w:r>
      <w:r w:rsidR="00393E87" w:rsidRPr="002D2047">
        <w:rPr>
          <w:rFonts w:eastAsia="Verdana" w:cs="Verdana"/>
          <w:color w:val="000000"/>
        </w:rPr>
        <w:t>there has been little progress regarding the lack of community background recording of persons stopped and searched under the Justice and Security (NI) Act 2007.</w:t>
      </w:r>
      <w:r w:rsidR="00393E87" w:rsidRPr="00393E87">
        <w:rPr>
          <w:vertAlign w:val="superscript"/>
        </w:rPr>
        <w:footnoteReference w:id="298"/>
      </w:r>
      <w:r w:rsidR="00393E87" w:rsidRPr="002D2047">
        <w:rPr>
          <w:rFonts w:eastAsia="Verdana" w:cs="Verdana"/>
          <w:color w:val="000000"/>
        </w:rPr>
        <w:t xml:space="preserve"> </w:t>
      </w:r>
      <w:r w:rsidR="006E4BF1" w:rsidRPr="002D2047">
        <w:rPr>
          <w:rFonts w:eastAsia="Verdana" w:cs="Verdana"/>
          <w:color w:val="000000"/>
        </w:rPr>
        <w:t>In 2023, the</w:t>
      </w:r>
      <w:r w:rsidR="00B935AA" w:rsidRPr="002D2047">
        <w:rPr>
          <w:rStyle w:val="normaltextrun"/>
          <w:color w:val="000000"/>
          <w:bdr w:val="none" w:sz="0" w:space="0" w:color="auto" w:frame="1"/>
        </w:rPr>
        <w:t xml:space="preserve"> Independent Reviewer </w:t>
      </w:r>
      <w:r w:rsidR="00B500B4" w:rsidRPr="002D2047">
        <w:rPr>
          <w:rStyle w:val="normaltextrun"/>
          <w:color w:val="000000"/>
          <w:bdr w:val="none" w:sz="0" w:space="0" w:color="auto" w:frame="1"/>
        </w:rPr>
        <w:t xml:space="preserve">of the Act </w:t>
      </w:r>
      <w:r w:rsidR="0029415D" w:rsidRPr="002D2047">
        <w:rPr>
          <w:rStyle w:val="normaltextrun"/>
          <w:color w:val="000000"/>
          <w:bdr w:val="none" w:sz="0" w:space="0" w:color="auto" w:frame="1"/>
        </w:rPr>
        <w:t>re</w:t>
      </w:r>
      <w:r w:rsidR="00374EF2" w:rsidRPr="002D2047">
        <w:rPr>
          <w:rStyle w:val="normaltextrun"/>
          <w:color w:val="000000"/>
          <w:bdr w:val="none" w:sz="0" w:space="0" w:color="auto" w:frame="1"/>
        </w:rPr>
        <w:t xml:space="preserve">iterated concerns regarding </w:t>
      </w:r>
      <w:r w:rsidR="00B935AA" w:rsidRPr="002D2047">
        <w:rPr>
          <w:rStyle w:val="normaltextrun"/>
          <w:color w:val="000000"/>
          <w:bdr w:val="none" w:sz="0" w:space="0" w:color="auto" w:frame="1"/>
        </w:rPr>
        <w:t>the use of ‘no-suspicion’ powers against children</w:t>
      </w:r>
      <w:r w:rsidR="00F26580" w:rsidRPr="002D2047">
        <w:rPr>
          <w:rStyle w:val="normaltextrun"/>
          <w:color w:val="000000"/>
          <w:bdr w:val="none" w:sz="0" w:space="0" w:color="auto" w:frame="1"/>
        </w:rPr>
        <w:t xml:space="preserve"> and the need for adequate safeguards</w:t>
      </w:r>
      <w:r w:rsidR="0029415D" w:rsidRPr="002D2047">
        <w:rPr>
          <w:rStyle w:val="normaltextrun"/>
          <w:color w:val="000000"/>
          <w:bdr w:val="none" w:sz="0" w:space="0" w:color="auto" w:frame="1"/>
        </w:rPr>
        <w:t>.</w:t>
      </w:r>
      <w:r w:rsidR="0029415D">
        <w:rPr>
          <w:rStyle w:val="FootnoteReference"/>
          <w:color w:val="000000"/>
          <w:bdr w:val="none" w:sz="0" w:space="0" w:color="auto" w:frame="1"/>
        </w:rPr>
        <w:footnoteReference w:id="299"/>
      </w:r>
    </w:p>
    <w:p w14:paraId="36E3CFDC" w14:textId="77777777" w:rsidR="00AC5B47" w:rsidRPr="00AC5B47" w:rsidRDefault="00AC5B47" w:rsidP="00EC378A">
      <w:pPr>
        <w:pStyle w:val="ListParagraph"/>
        <w:ind w:left="851" w:hanging="851"/>
        <w:contextualSpacing w:val="0"/>
        <w:rPr>
          <w:rFonts w:eastAsia="Verdana" w:cs="Verdana"/>
          <w:color w:val="000000"/>
        </w:rPr>
      </w:pPr>
    </w:p>
    <w:p w14:paraId="5298BB0B" w14:textId="4AD5A773" w:rsidR="0003693E" w:rsidRPr="0003693E" w:rsidRDefault="00AA493C" w:rsidP="00EC378A">
      <w:pPr>
        <w:pStyle w:val="ListParagraph"/>
        <w:numPr>
          <w:ilvl w:val="1"/>
          <w:numId w:val="14"/>
        </w:numPr>
        <w:ind w:left="851" w:hanging="851"/>
        <w:contextualSpacing w:val="0"/>
        <w:rPr>
          <w:rFonts w:eastAsia="Verdana" w:cs="Verdana"/>
          <w:b/>
          <w:bCs/>
          <w:color w:val="000000"/>
        </w:rPr>
      </w:pPr>
      <w:r w:rsidRPr="00325F3C">
        <w:rPr>
          <w:b/>
        </w:rPr>
        <w:t xml:space="preserve">The </w:t>
      </w:r>
      <w:r w:rsidRPr="00325F3C">
        <w:rPr>
          <w:rFonts w:cs="Helvetica"/>
          <w:b/>
          <w:lang w:val="en"/>
        </w:rPr>
        <w:t xml:space="preserve">Committee may wish to </w:t>
      </w:r>
      <w:r w:rsidR="00E103BF">
        <w:rPr>
          <w:rFonts w:cs="Helvetica"/>
          <w:b/>
          <w:lang w:val="en"/>
        </w:rPr>
        <w:t>recommend that</w:t>
      </w:r>
      <w:r w:rsidR="00E103BF" w:rsidRPr="00325F3C">
        <w:rPr>
          <w:rFonts w:cs="Helvetica"/>
          <w:b/>
          <w:lang w:val="en"/>
        </w:rPr>
        <w:t xml:space="preserve"> </w:t>
      </w:r>
      <w:r w:rsidRPr="00325F3C">
        <w:rPr>
          <w:rFonts w:cs="Helvetica"/>
          <w:b/>
          <w:lang w:val="en"/>
        </w:rPr>
        <w:t xml:space="preserve">the UK </w:t>
      </w:r>
      <w:r w:rsidR="00AB7E32">
        <w:rPr>
          <w:rFonts w:cs="Helvetica"/>
          <w:b/>
          <w:lang w:val="en"/>
        </w:rPr>
        <w:t>take</w:t>
      </w:r>
      <w:r w:rsidR="00F907E6">
        <w:rPr>
          <w:rFonts w:cs="Helvetica"/>
          <w:b/>
          <w:lang w:val="en"/>
        </w:rPr>
        <w:t>s</w:t>
      </w:r>
      <w:r w:rsidR="00AB7E32">
        <w:rPr>
          <w:rFonts w:cs="Helvetica"/>
          <w:b/>
          <w:lang w:val="en"/>
        </w:rPr>
        <w:t xml:space="preserve"> effective steps</w:t>
      </w:r>
      <w:r w:rsidRPr="00325F3C">
        <w:rPr>
          <w:rFonts w:cs="Helvetica"/>
          <w:b/>
          <w:lang w:val="en"/>
        </w:rPr>
        <w:t xml:space="preserve"> to</w:t>
      </w:r>
      <w:r w:rsidR="0003693E">
        <w:rPr>
          <w:rFonts w:cs="Helvetica"/>
          <w:b/>
          <w:lang w:val="en"/>
        </w:rPr>
        <w:t xml:space="preserve"> </w:t>
      </w:r>
      <w:r w:rsidRPr="0003693E">
        <w:rPr>
          <w:rFonts w:cs="Helvetica"/>
          <w:b/>
          <w:lang w:val="en"/>
        </w:rPr>
        <w:t>ensure</w:t>
      </w:r>
      <w:r>
        <w:rPr>
          <w:rFonts w:cs="Helvetica"/>
          <w:b/>
          <w:lang w:val="en"/>
        </w:rPr>
        <w:t xml:space="preserve"> </w:t>
      </w:r>
      <w:r w:rsidR="001A3164">
        <w:rPr>
          <w:rFonts w:cs="Helvetica"/>
          <w:b/>
          <w:lang w:val="en"/>
        </w:rPr>
        <w:t>the</w:t>
      </w:r>
      <w:r w:rsidR="0003693E">
        <w:rPr>
          <w:b/>
          <w:bCs/>
        </w:rPr>
        <w:t>:</w:t>
      </w:r>
    </w:p>
    <w:p w14:paraId="484C8876" w14:textId="77777777" w:rsidR="0003693E" w:rsidRPr="0003693E" w:rsidRDefault="0003693E" w:rsidP="0003693E">
      <w:pPr>
        <w:pStyle w:val="ListParagraph"/>
        <w:rPr>
          <w:b/>
          <w:bCs/>
        </w:rPr>
      </w:pPr>
    </w:p>
    <w:p w14:paraId="09104EF5" w14:textId="73810989" w:rsidR="00E049ED" w:rsidRPr="00364A4B" w:rsidRDefault="00BE6F57" w:rsidP="001A3164">
      <w:pPr>
        <w:pStyle w:val="ListParagraph"/>
        <w:numPr>
          <w:ilvl w:val="0"/>
          <w:numId w:val="63"/>
        </w:numPr>
        <w:ind w:left="1560"/>
        <w:contextualSpacing w:val="0"/>
        <w:rPr>
          <w:rFonts w:eastAsia="Verdana" w:cs="Verdana"/>
          <w:b/>
          <w:bCs/>
          <w:color w:val="000000"/>
        </w:rPr>
      </w:pPr>
      <w:r w:rsidRPr="0003693E">
        <w:rPr>
          <w:b/>
          <w:bCs/>
        </w:rPr>
        <w:t>expedite</w:t>
      </w:r>
      <w:r w:rsidR="001A3164">
        <w:rPr>
          <w:b/>
          <w:bCs/>
        </w:rPr>
        <w:t>d</w:t>
      </w:r>
      <w:r w:rsidRPr="0003693E">
        <w:rPr>
          <w:b/>
          <w:bCs/>
        </w:rPr>
        <w:t xml:space="preserve"> development and implementation of a suitable methodology for recording disaggregated data on the community background of individuals</w:t>
      </w:r>
      <w:r w:rsidR="00B1634A" w:rsidRPr="0003693E">
        <w:rPr>
          <w:b/>
          <w:bCs/>
        </w:rPr>
        <w:t xml:space="preserve"> </w:t>
      </w:r>
      <w:r w:rsidRPr="0003693E">
        <w:rPr>
          <w:b/>
          <w:bCs/>
        </w:rPr>
        <w:t xml:space="preserve">stopped and searched under the Justice and Security (NI) Act 2007 </w:t>
      </w:r>
      <w:r w:rsidR="000B051D" w:rsidRPr="0003693E">
        <w:rPr>
          <w:b/>
          <w:bCs/>
        </w:rPr>
        <w:t xml:space="preserve">in </w:t>
      </w:r>
      <w:r w:rsidRPr="0003693E">
        <w:rPr>
          <w:b/>
          <w:bCs/>
        </w:rPr>
        <w:t>NI</w:t>
      </w:r>
      <w:r w:rsidR="0003693E" w:rsidRPr="0003693E">
        <w:rPr>
          <w:b/>
          <w:bCs/>
        </w:rPr>
        <w:t>.</w:t>
      </w:r>
    </w:p>
    <w:p w14:paraId="6968CA93" w14:textId="77777777" w:rsidR="00364A4B" w:rsidRPr="0003693E" w:rsidRDefault="00364A4B" w:rsidP="001A3164">
      <w:pPr>
        <w:pStyle w:val="ListParagraph"/>
        <w:ind w:left="1560"/>
        <w:contextualSpacing w:val="0"/>
        <w:rPr>
          <w:rFonts w:eastAsia="Verdana" w:cs="Verdana"/>
          <w:b/>
          <w:bCs/>
          <w:color w:val="000000"/>
        </w:rPr>
      </w:pPr>
    </w:p>
    <w:p w14:paraId="1CF2BE88" w14:textId="3857D477" w:rsidR="0003693E" w:rsidRPr="00364A4B" w:rsidRDefault="0090689F" w:rsidP="001A3164">
      <w:pPr>
        <w:pStyle w:val="ListParagraph"/>
        <w:numPr>
          <w:ilvl w:val="0"/>
          <w:numId w:val="62"/>
        </w:numPr>
        <w:ind w:left="1560"/>
        <w:contextualSpacing w:val="0"/>
        <w:rPr>
          <w:rFonts w:eastAsia="Verdana" w:cs="Verdana"/>
          <w:b/>
          <w:bCs/>
          <w:color w:val="000000"/>
        </w:rPr>
      </w:pPr>
      <w:r w:rsidRPr="00364A4B">
        <w:rPr>
          <w:rStyle w:val="normaltextrun"/>
          <w:b/>
          <w:bCs/>
          <w:color w:val="000000"/>
          <w:bdr w:val="none" w:sz="0" w:space="0" w:color="auto" w:frame="1"/>
        </w:rPr>
        <w:t>provision of adequate safeguards</w:t>
      </w:r>
      <w:r w:rsidR="00364A4B" w:rsidRPr="00364A4B">
        <w:rPr>
          <w:rStyle w:val="normaltextrun"/>
          <w:b/>
          <w:bCs/>
          <w:color w:val="000000"/>
          <w:bdr w:val="none" w:sz="0" w:space="0" w:color="auto" w:frame="1"/>
        </w:rPr>
        <w:t>, including appropriate mitigations, for any use of</w:t>
      </w:r>
      <w:r w:rsidR="00E02FB5" w:rsidRPr="00364A4B">
        <w:rPr>
          <w:rStyle w:val="normaltextrun"/>
          <w:b/>
          <w:bCs/>
          <w:color w:val="000000"/>
          <w:bdr w:val="none" w:sz="0" w:space="0" w:color="auto" w:frame="1"/>
        </w:rPr>
        <w:t xml:space="preserve"> stop and search </w:t>
      </w:r>
      <w:r w:rsidR="000635EB" w:rsidRPr="00364A4B">
        <w:rPr>
          <w:rStyle w:val="normaltextrun"/>
          <w:b/>
          <w:bCs/>
          <w:color w:val="000000"/>
          <w:bdr w:val="none" w:sz="0" w:space="0" w:color="auto" w:frame="1"/>
        </w:rPr>
        <w:t xml:space="preserve">against </w:t>
      </w:r>
      <w:r w:rsidR="00E02FB5" w:rsidRPr="00364A4B">
        <w:rPr>
          <w:rStyle w:val="normaltextrun"/>
          <w:b/>
          <w:bCs/>
          <w:color w:val="000000"/>
          <w:bdr w:val="none" w:sz="0" w:space="0" w:color="auto" w:frame="1"/>
        </w:rPr>
        <w:t>children</w:t>
      </w:r>
      <w:r w:rsidR="00DF279E">
        <w:rPr>
          <w:rStyle w:val="normaltextrun"/>
          <w:b/>
          <w:bCs/>
          <w:color w:val="000000"/>
          <w:bdr w:val="none" w:sz="0" w:space="0" w:color="auto" w:frame="1"/>
        </w:rPr>
        <w:t xml:space="preserve"> in NI. </w:t>
      </w:r>
    </w:p>
    <w:p w14:paraId="2611EB4D" w14:textId="77777777" w:rsidR="00F02CF7" w:rsidRDefault="00F02CF7" w:rsidP="003A6C64">
      <w:pPr>
        <w:pStyle w:val="ListParagraph"/>
        <w:ind w:left="993"/>
        <w:contextualSpacing w:val="0"/>
        <w:rPr>
          <w:rFonts w:eastAsia="Verdana" w:cs="Verdana"/>
          <w:color w:val="000000"/>
        </w:rPr>
      </w:pPr>
    </w:p>
    <w:p w14:paraId="7410F069" w14:textId="70277A27" w:rsidR="00800C53" w:rsidRPr="00800C53" w:rsidRDefault="00800C53" w:rsidP="001F1092">
      <w:pPr>
        <w:pStyle w:val="Heading2"/>
        <w:spacing w:after="240" w:line="288" w:lineRule="auto"/>
        <w:rPr>
          <w:rFonts w:eastAsia="Verdana"/>
        </w:rPr>
      </w:pPr>
      <w:bookmarkStart w:id="70" w:name="_Toc156901041"/>
      <w:r w:rsidRPr="00800C53">
        <w:rPr>
          <w:rFonts w:eastAsia="Verdana"/>
        </w:rPr>
        <w:t>Rehabilitation of offenders</w:t>
      </w:r>
      <w:bookmarkEnd w:id="70"/>
    </w:p>
    <w:p w14:paraId="48E61793" w14:textId="77777777" w:rsidR="003425AA" w:rsidRDefault="001C42A4" w:rsidP="002A337E">
      <w:pPr>
        <w:pStyle w:val="ListParagraph"/>
        <w:numPr>
          <w:ilvl w:val="1"/>
          <w:numId w:val="14"/>
        </w:numPr>
        <w:ind w:left="851" w:hanging="851"/>
        <w:rPr>
          <w:rFonts w:eastAsia="Verdana" w:cs="Verdana"/>
          <w:color w:val="000000"/>
        </w:rPr>
      </w:pPr>
      <w:r>
        <w:t xml:space="preserve">In NI, </w:t>
      </w:r>
      <w:r w:rsidR="00FE40A4" w:rsidRPr="00FE40A4">
        <w:t>people sentenced to more than 30 months in</w:t>
      </w:r>
      <w:r w:rsidR="00962BF1">
        <w:t xml:space="preserve"> prison</w:t>
      </w:r>
      <w:r w:rsidR="00FE40A4" w:rsidRPr="00FE40A4">
        <w:t xml:space="preserve"> </w:t>
      </w:r>
      <w:r w:rsidR="002E67F5">
        <w:t>are not able to</w:t>
      </w:r>
      <w:r w:rsidR="00FE40A4">
        <w:t xml:space="preserve"> </w:t>
      </w:r>
      <w:r w:rsidR="00CE37C8" w:rsidRPr="007478BB">
        <w:t>apply to have their criminal convictions considered spent</w:t>
      </w:r>
      <w:r w:rsidR="004C123D">
        <w:t>.</w:t>
      </w:r>
      <w:r>
        <w:rPr>
          <w:rStyle w:val="FootnoteReference"/>
        </w:rPr>
        <w:footnoteReference w:id="300"/>
      </w:r>
      <w:r w:rsidR="006631DB" w:rsidRPr="006631DB">
        <w:rPr>
          <w:rFonts w:eastAsia="Verdana" w:cs="Verdana"/>
          <w:color w:val="000000"/>
        </w:rPr>
        <w:t xml:space="preserve"> </w:t>
      </w:r>
    </w:p>
    <w:p w14:paraId="3253D3E9" w14:textId="77777777" w:rsidR="003425AA" w:rsidRDefault="003425AA" w:rsidP="008D0BF9">
      <w:pPr>
        <w:pStyle w:val="ListParagraph"/>
        <w:ind w:left="851"/>
        <w:rPr>
          <w:rFonts w:eastAsia="Verdana" w:cs="Verdana"/>
          <w:color w:val="000000"/>
        </w:rPr>
      </w:pPr>
    </w:p>
    <w:p w14:paraId="6AB3FA7A" w14:textId="7CE3F995" w:rsidR="0052670D" w:rsidRPr="002A337E" w:rsidRDefault="006631DB" w:rsidP="002A337E">
      <w:pPr>
        <w:pStyle w:val="ListParagraph"/>
        <w:numPr>
          <w:ilvl w:val="1"/>
          <w:numId w:val="14"/>
        </w:numPr>
        <w:ind w:left="851" w:hanging="851"/>
        <w:rPr>
          <w:rFonts w:eastAsia="Verdana" w:cs="Verdana"/>
          <w:color w:val="000000"/>
        </w:rPr>
      </w:pPr>
      <w:r>
        <w:rPr>
          <w:rFonts w:eastAsia="Verdana" w:cs="Verdana"/>
          <w:color w:val="000000"/>
        </w:rPr>
        <w:t xml:space="preserve">In 2020, the NIHRC </w:t>
      </w:r>
      <w:r>
        <w:t>initiated legal action to challenge the legality of</w:t>
      </w:r>
      <w:r w:rsidR="00A05113">
        <w:t xml:space="preserve"> this position.</w:t>
      </w:r>
      <w:r w:rsidR="00441A3F">
        <w:rPr>
          <w:rStyle w:val="FootnoteReference"/>
        </w:rPr>
        <w:footnoteReference w:id="301"/>
      </w:r>
      <w:r w:rsidR="002A337E">
        <w:t xml:space="preserve"> </w:t>
      </w:r>
      <w:r w:rsidR="006C24DC">
        <w:t xml:space="preserve">In 2022, the High Court of Justice in NI declared </w:t>
      </w:r>
      <w:r w:rsidR="007E4034">
        <w:t>th</w:t>
      </w:r>
      <w:r w:rsidR="00236E12">
        <w:t xml:space="preserve">e </w:t>
      </w:r>
      <w:r w:rsidR="00EA33AC">
        <w:t xml:space="preserve">relevant </w:t>
      </w:r>
      <w:r w:rsidR="007E4034">
        <w:t>provision</w:t>
      </w:r>
      <w:r w:rsidR="006C24DC">
        <w:t xml:space="preserve"> incompatible with the applicant’s </w:t>
      </w:r>
      <w:r w:rsidR="002560AA">
        <w:t xml:space="preserve">Article 8 </w:t>
      </w:r>
      <w:r w:rsidR="006C24DC">
        <w:t>ECHR rights.</w:t>
      </w:r>
      <w:r w:rsidR="002777E2">
        <w:rPr>
          <w:rStyle w:val="FootnoteReference"/>
        </w:rPr>
        <w:footnoteReference w:id="302"/>
      </w:r>
      <w:r w:rsidR="006C24DC">
        <w:t xml:space="preserve"> </w:t>
      </w:r>
    </w:p>
    <w:p w14:paraId="159D0E3D" w14:textId="77777777" w:rsidR="0052670D" w:rsidRDefault="0052670D" w:rsidP="001A3164">
      <w:pPr>
        <w:pStyle w:val="ListParagraph"/>
        <w:ind w:left="851" w:hanging="851"/>
      </w:pPr>
    </w:p>
    <w:p w14:paraId="7E7BC80A" w14:textId="70D6C9FE" w:rsidR="00436883" w:rsidRPr="00105D7B" w:rsidRDefault="006332E8" w:rsidP="001A3164">
      <w:pPr>
        <w:pStyle w:val="ListParagraph"/>
        <w:numPr>
          <w:ilvl w:val="1"/>
          <w:numId w:val="14"/>
        </w:numPr>
        <w:ind w:left="851" w:hanging="851"/>
        <w:contextualSpacing w:val="0"/>
        <w:rPr>
          <w:rFonts w:eastAsia="Verdana" w:cs="Verdana"/>
          <w:color w:val="000000"/>
        </w:rPr>
      </w:pPr>
      <w:r>
        <w:t>In November 2023, t</w:t>
      </w:r>
      <w:r w:rsidR="00EB76BB">
        <w:t xml:space="preserve">he </w:t>
      </w:r>
      <w:r w:rsidR="00744702">
        <w:t>NIHRC</w:t>
      </w:r>
      <w:r w:rsidR="00EB76BB">
        <w:t xml:space="preserve"> </w:t>
      </w:r>
      <w:r>
        <w:t>was granted permission</w:t>
      </w:r>
      <w:r w:rsidR="00A870E2">
        <w:t xml:space="preserve"> to appeal by the</w:t>
      </w:r>
      <w:r w:rsidR="00EB76BB">
        <w:t xml:space="preserve"> UK Supreme Court</w:t>
      </w:r>
      <w:r w:rsidR="006F06EA">
        <w:t>, with</w:t>
      </w:r>
      <w:r w:rsidR="004F11E0">
        <w:t xml:space="preserve"> </w:t>
      </w:r>
      <w:r w:rsidR="00FB532E">
        <w:t>a</w:t>
      </w:r>
      <w:r w:rsidR="004F11E0">
        <w:t xml:space="preserve"> hearing awaited</w:t>
      </w:r>
      <w:r w:rsidR="00DF46E6">
        <w:t>.</w:t>
      </w:r>
      <w:r w:rsidR="00DF46E6" w:rsidRPr="00DF46E6">
        <w:rPr>
          <w:rStyle w:val="FootnoteReference"/>
        </w:rPr>
        <w:t xml:space="preserve"> </w:t>
      </w:r>
      <w:r w:rsidR="00DF46E6">
        <w:rPr>
          <w:rStyle w:val="FootnoteReference"/>
        </w:rPr>
        <w:footnoteReference w:id="303"/>
      </w:r>
      <w:r w:rsidR="00DF46E6">
        <w:t xml:space="preserve"> </w:t>
      </w:r>
      <w:r w:rsidR="00DF46E6" w:rsidRPr="00105D7B">
        <w:rPr>
          <w:rFonts w:eastAsia="Verdana" w:cs="Verdana"/>
          <w:color w:val="000000"/>
        </w:rPr>
        <w:t xml:space="preserve"> </w:t>
      </w:r>
    </w:p>
    <w:p w14:paraId="27D5B739" w14:textId="77777777" w:rsidR="009F1CD5" w:rsidRPr="0052670D" w:rsidRDefault="009F1CD5" w:rsidP="001A3164">
      <w:pPr>
        <w:ind w:left="851" w:hanging="851"/>
        <w:rPr>
          <w:rFonts w:eastAsia="Verdana" w:cs="Verdana"/>
          <w:b/>
          <w:bCs/>
          <w:color w:val="000000"/>
        </w:rPr>
      </w:pPr>
    </w:p>
    <w:p w14:paraId="3829B3EE" w14:textId="3C69055C" w:rsidR="009828E1" w:rsidRPr="002B08ED" w:rsidRDefault="00765BD4" w:rsidP="001A3164">
      <w:pPr>
        <w:pStyle w:val="ListParagraph"/>
        <w:numPr>
          <w:ilvl w:val="1"/>
          <w:numId w:val="14"/>
        </w:numPr>
        <w:ind w:left="851" w:hanging="851"/>
        <w:contextualSpacing w:val="0"/>
        <w:rPr>
          <w:rFonts w:eastAsia="Verdana" w:cs="Verdana"/>
          <w:b/>
          <w:bCs/>
          <w:color w:val="000000"/>
        </w:rPr>
      </w:pPr>
      <w:r w:rsidRPr="009F1CD5">
        <w:rPr>
          <w:rFonts w:eastAsia="Verdana" w:cs="Verdana"/>
          <w:b/>
          <w:bCs/>
          <w:color w:val="000000"/>
        </w:rPr>
        <w:t xml:space="preserve">The Committee may wish to </w:t>
      </w:r>
      <w:r w:rsidR="0096156C">
        <w:rPr>
          <w:rFonts w:eastAsia="Verdana" w:cs="Verdana"/>
          <w:b/>
          <w:bCs/>
          <w:color w:val="000000"/>
        </w:rPr>
        <w:t>recommend that</w:t>
      </w:r>
      <w:r w:rsidR="0096156C" w:rsidRPr="009F1CD5">
        <w:rPr>
          <w:rFonts w:eastAsia="Verdana" w:cs="Verdana"/>
          <w:b/>
          <w:bCs/>
          <w:color w:val="000000"/>
        </w:rPr>
        <w:t xml:space="preserve"> </w:t>
      </w:r>
      <w:r w:rsidRPr="009F1CD5">
        <w:rPr>
          <w:rFonts w:eastAsia="Verdana" w:cs="Verdana"/>
          <w:b/>
          <w:bCs/>
          <w:color w:val="000000"/>
        </w:rPr>
        <w:t xml:space="preserve">the UK </w:t>
      </w:r>
      <w:r w:rsidR="0096156C">
        <w:rPr>
          <w:rFonts w:eastAsia="Verdana" w:cs="Verdana"/>
          <w:b/>
          <w:bCs/>
          <w:color w:val="000000"/>
        </w:rPr>
        <w:t>takes effective steps</w:t>
      </w:r>
      <w:r w:rsidRPr="009F1CD5">
        <w:rPr>
          <w:rFonts w:eastAsia="Verdana" w:cs="Verdana"/>
          <w:b/>
          <w:bCs/>
          <w:color w:val="000000"/>
        </w:rPr>
        <w:t xml:space="preserve"> to </w:t>
      </w:r>
      <w:r w:rsidRPr="009F1CD5">
        <w:rPr>
          <w:b/>
          <w:bCs/>
        </w:rPr>
        <w:t xml:space="preserve">amend the Rehabilitation of Offenders (NI) Order 1978 to enable an offender to be rehabilitated if their circumstances satisfy </w:t>
      </w:r>
      <w:r w:rsidR="0096156C">
        <w:rPr>
          <w:b/>
          <w:bCs/>
        </w:rPr>
        <w:t>human rights criteria</w:t>
      </w:r>
      <w:r w:rsidRPr="009F1CD5">
        <w:rPr>
          <w:b/>
          <w:bCs/>
        </w:rPr>
        <w:t>. This includes ensuring an effective review mechanism is operational.</w:t>
      </w:r>
    </w:p>
    <w:p w14:paraId="569FC917" w14:textId="77777777" w:rsidR="002B08ED" w:rsidRDefault="002B08ED" w:rsidP="002B794E">
      <w:pPr>
        <w:rPr>
          <w:rFonts w:eastAsia="Verdana" w:cs="Verdana"/>
          <w:b/>
          <w:bCs/>
          <w:color w:val="000000"/>
        </w:rPr>
      </w:pPr>
    </w:p>
    <w:p w14:paraId="030FFBA1" w14:textId="79833911" w:rsidR="00627FEC" w:rsidRPr="00627FEC" w:rsidRDefault="00696751" w:rsidP="00956D19">
      <w:pPr>
        <w:pStyle w:val="Heading2"/>
        <w:rPr>
          <w:rFonts w:eastAsia="Verdana"/>
        </w:rPr>
      </w:pPr>
      <w:bookmarkStart w:id="71" w:name="_Toc156901042"/>
      <w:r>
        <w:rPr>
          <w:rFonts w:eastAsia="Verdana"/>
        </w:rPr>
        <w:t>Biometric surveillance</w:t>
      </w:r>
      <w:r w:rsidR="00627FEC">
        <w:rPr>
          <w:rFonts w:eastAsia="Verdana"/>
        </w:rPr>
        <w:t xml:space="preserve"> </w:t>
      </w:r>
      <w:r w:rsidR="00BF36EA">
        <w:rPr>
          <w:rFonts w:eastAsia="Verdana"/>
        </w:rPr>
        <w:t>technology</w:t>
      </w:r>
      <w:bookmarkEnd w:id="71"/>
    </w:p>
    <w:p w14:paraId="729A0CB9" w14:textId="60F8A394" w:rsidR="00FC630A" w:rsidRDefault="00FC630A" w:rsidP="22E15799">
      <w:pPr>
        <w:pStyle w:val="ListParagraph"/>
        <w:numPr>
          <w:ilvl w:val="1"/>
          <w:numId w:val="14"/>
        </w:numPr>
        <w:ind w:left="851" w:hanging="851"/>
        <w:rPr>
          <w:rFonts w:eastAsia="Verdana" w:cs="Verdana"/>
          <w:color w:val="000000"/>
        </w:rPr>
      </w:pPr>
      <w:r>
        <w:rPr>
          <w:rFonts w:eastAsia="Verdana" w:cs="Verdana"/>
          <w:color w:val="000000"/>
        </w:rPr>
        <w:t xml:space="preserve">In 2020, the </w:t>
      </w:r>
      <w:r w:rsidR="00E22156">
        <w:rPr>
          <w:rFonts w:eastAsia="Verdana" w:cs="Verdana"/>
          <w:color w:val="000000"/>
        </w:rPr>
        <w:t xml:space="preserve">England and Wales </w:t>
      </w:r>
      <w:r>
        <w:rPr>
          <w:rFonts w:eastAsia="Verdana" w:cs="Verdana"/>
          <w:color w:val="000000"/>
        </w:rPr>
        <w:t xml:space="preserve">Court of Appeal </w:t>
      </w:r>
      <w:r w:rsidR="007E5883">
        <w:rPr>
          <w:rFonts w:eastAsia="Verdana" w:cs="Verdana"/>
          <w:color w:val="000000"/>
        </w:rPr>
        <w:t xml:space="preserve">found </w:t>
      </w:r>
      <w:r w:rsidR="00F66B44" w:rsidRPr="00F66B44">
        <w:rPr>
          <w:rFonts w:eastAsia="Verdana" w:cs="Verdana"/>
          <w:color w:val="000000"/>
        </w:rPr>
        <w:t>South Wales Police’s use of facial recognition technology breache</w:t>
      </w:r>
      <w:r w:rsidR="005C49CB">
        <w:rPr>
          <w:rFonts w:eastAsia="Verdana" w:cs="Verdana"/>
          <w:color w:val="000000"/>
        </w:rPr>
        <w:t>d</w:t>
      </w:r>
      <w:r w:rsidR="00F66B44" w:rsidRPr="00F66B44">
        <w:rPr>
          <w:rFonts w:eastAsia="Verdana" w:cs="Verdana"/>
          <w:color w:val="000000"/>
        </w:rPr>
        <w:t xml:space="preserve"> privacy rights</w:t>
      </w:r>
      <w:r w:rsidR="004E6CC3">
        <w:rPr>
          <w:rFonts w:eastAsia="Verdana" w:cs="Verdana"/>
          <w:color w:val="000000"/>
        </w:rPr>
        <w:t xml:space="preserve"> and</w:t>
      </w:r>
      <w:r w:rsidR="00F66B44" w:rsidRPr="00F66B44">
        <w:rPr>
          <w:rFonts w:eastAsia="Verdana" w:cs="Verdana"/>
          <w:color w:val="000000"/>
        </w:rPr>
        <w:t xml:space="preserve"> data protection laws.</w:t>
      </w:r>
      <w:r w:rsidR="00E41298">
        <w:rPr>
          <w:rStyle w:val="FootnoteReference"/>
          <w:rFonts w:eastAsia="Verdana" w:cs="Verdana"/>
          <w:color w:val="000000"/>
        </w:rPr>
        <w:footnoteReference w:id="304"/>
      </w:r>
      <w:r w:rsidR="00F66B44">
        <w:rPr>
          <w:rFonts w:eastAsia="Verdana" w:cs="Verdana"/>
          <w:color w:val="000000"/>
        </w:rPr>
        <w:t xml:space="preserve"> </w:t>
      </w:r>
      <w:r w:rsidR="00E41298">
        <w:rPr>
          <w:rFonts w:eastAsia="Verdana" w:cs="Verdana"/>
          <w:color w:val="000000"/>
        </w:rPr>
        <w:t>However,</w:t>
      </w:r>
      <w:r w:rsidR="00031875">
        <w:rPr>
          <w:rFonts w:eastAsia="Verdana" w:cs="Verdana"/>
          <w:color w:val="000000"/>
        </w:rPr>
        <w:t xml:space="preserve"> </w:t>
      </w:r>
      <w:r w:rsidR="00E41298">
        <w:rPr>
          <w:rFonts w:eastAsia="Verdana" w:cs="Verdana"/>
          <w:color w:val="000000"/>
        </w:rPr>
        <w:t xml:space="preserve">police </w:t>
      </w:r>
      <w:r w:rsidR="005C49CB">
        <w:rPr>
          <w:rFonts w:eastAsia="Verdana" w:cs="Verdana"/>
          <w:color w:val="000000"/>
        </w:rPr>
        <w:t xml:space="preserve">in the UK, including NI, </w:t>
      </w:r>
      <w:r w:rsidR="00E41298">
        <w:rPr>
          <w:rFonts w:eastAsia="Verdana" w:cs="Verdana"/>
          <w:color w:val="000000"/>
        </w:rPr>
        <w:t xml:space="preserve">continue to </w:t>
      </w:r>
      <w:r w:rsidR="14026C6B">
        <w:rPr>
          <w:rFonts w:eastAsia="Verdana" w:cs="Verdana"/>
          <w:color w:val="000000"/>
        </w:rPr>
        <w:t>consider the utility</w:t>
      </w:r>
      <w:r w:rsidR="00E41298">
        <w:rPr>
          <w:rFonts w:eastAsia="Verdana" w:cs="Verdana"/>
          <w:color w:val="000000"/>
        </w:rPr>
        <w:t xml:space="preserve"> of this technology</w:t>
      </w:r>
      <w:r w:rsidR="005C49CB">
        <w:rPr>
          <w:rFonts w:eastAsia="Verdana" w:cs="Verdana"/>
          <w:color w:val="000000"/>
        </w:rPr>
        <w:t>.</w:t>
      </w:r>
      <w:r w:rsidR="00E41298">
        <w:rPr>
          <w:rStyle w:val="FootnoteReference"/>
          <w:rFonts w:eastAsia="Verdana" w:cs="Verdana"/>
          <w:color w:val="000000"/>
        </w:rPr>
        <w:footnoteReference w:id="305"/>
      </w:r>
    </w:p>
    <w:p w14:paraId="5D09E7F3" w14:textId="77777777" w:rsidR="00E41298" w:rsidRDefault="00E41298" w:rsidP="00675F0F">
      <w:pPr>
        <w:pStyle w:val="ListParagraph"/>
        <w:ind w:left="851" w:hanging="851"/>
        <w:contextualSpacing w:val="0"/>
        <w:rPr>
          <w:rFonts w:eastAsia="Verdana" w:cs="Verdana"/>
          <w:color w:val="000000"/>
        </w:rPr>
      </w:pPr>
    </w:p>
    <w:p w14:paraId="0A5C1BEF" w14:textId="77777777" w:rsidR="00695CCB" w:rsidRDefault="00695CCB" w:rsidP="00675F0F">
      <w:pPr>
        <w:pStyle w:val="ListParagraph"/>
        <w:numPr>
          <w:ilvl w:val="1"/>
          <w:numId w:val="14"/>
        </w:numPr>
        <w:ind w:left="851" w:hanging="851"/>
        <w:rPr>
          <w:rFonts w:eastAsia="Verdana" w:cs="Verdana"/>
          <w:color w:val="000000"/>
        </w:rPr>
      </w:pPr>
      <w:r>
        <w:rPr>
          <w:rFonts w:eastAsia="Verdana" w:cs="Verdana"/>
          <w:color w:val="000000"/>
        </w:rPr>
        <w:t xml:space="preserve">In 2023, the UK Biometric and Surveillance Camera Commissioner identified </w:t>
      </w:r>
      <w:r>
        <w:t>the need for legislation and guidance to provide greater certainty and accountability in this area.</w:t>
      </w:r>
      <w:r>
        <w:rPr>
          <w:rStyle w:val="FootnoteReference"/>
        </w:rPr>
        <w:footnoteReference w:id="306"/>
      </w:r>
      <w:r>
        <w:t xml:space="preserve"> Despite providing a timely opportunity, the UK’s current Data Protection and Digital Information (No 2) Bill does not make provision for these concerns.</w:t>
      </w:r>
      <w:r>
        <w:rPr>
          <w:rStyle w:val="FootnoteReference"/>
        </w:rPr>
        <w:footnoteReference w:id="307"/>
      </w:r>
      <w:r>
        <w:t xml:space="preserve"> </w:t>
      </w:r>
      <w:r>
        <w:rPr>
          <w:rFonts w:eastAsia="Verdana" w:cs="Verdana"/>
          <w:color w:val="000000"/>
        </w:rPr>
        <w:t>In NI, a</w:t>
      </w:r>
      <w:r w:rsidRPr="00455D49">
        <w:rPr>
          <w:rFonts w:eastAsia="Verdana" w:cs="Verdana"/>
          <w:color w:val="000000"/>
        </w:rPr>
        <w:t xml:space="preserve"> rights-based review of </w:t>
      </w:r>
      <w:r>
        <w:rPr>
          <w:rFonts w:eastAsia="Verdana" w:cs="Verdana"/>
          <w:color w:val="000000"/>
        </w:rPr>
        <w:t>policing</w:t>
      </w:r>
      <w:r w:rsidRPr="00455D49">
        <w:rPr>
          <w:rFonts w:eastAsia="Verdana" w:cs="Verdana"/>
          <w:color w:val="000000"/>
        </w:rPr>
        <w:t xml:space="preserve"> identified </w:t>
      </w:r>
      <w:r>
        <w:rPr>
          <w:rFonts w:eastAsia="Verdana" w:cs="Verdana"/>
          <w:color w:val="000000"/>
        </w:rPr>
        <w:t>a</w:t>
      </w:r>
      <w:r w:rsidRPr="002E1185">
        <w:rPr>
          <w:rFonts w:eastAsia="Verdana" w:cs="Verdana"/>
          <w:color w:val="000000"/>
        </w:rPr>
        <w:t xml:space="preserve"> </w:t>
      </w:r>
      <w:r>
        <w:rPr>
          <w:rFonts w:eastAsia="Verdana" w:cs="Verdana"/>
          <w:color w:val="000000"/>
        </w:rPr>
        <w:t>“democratic deficit” regarding public consultation on the use of biometric surveillance techniques in policing.</w:t>
      </w:r>
      <w:r>
        <w:rPr>
          <w:rStyle w:val="FootnoteReference"/>
          <w:rFonts w:eastAsia="Verdana" w:cs="Verdana"/>
          <w:color w:val="000000"/>
        </w:rPr>
        <w:footnoteReference w:id="308"/>
      </w:r>
      <w:r>
        <w:rPr>
          <w:rFonts w:eastAsia="Verdana" w:cs="Verdana"/>
          <w:color w:val="000000"/>
        </w:rPr>
        <w:t xml:space="preserve"> </w:t>
      </w:r>
    </w:p>
    <w:p w14:paraId="34D6D9FB" w14:textId="77777777" w:rsidR="00305FDC" w:rsidRPr="00305FDC" w:rsidRDefault="00305FDC" w:rsidP="00675F0F">
      <w:pPr>
        <w:pStyle w:val="ListParagraph"/>
        <w:ind w:left="851" w:hanging="851"/>
        <w:rPr>
          <w:rFonts w:eastAsia="Verdana" w:cs="Verdana"/>
          <w:color w:val="000000"/>
        </w:rPr>
      </w:pPr>
    </w:p>
    <w:p w14:paraId="2297CE6C" w14:textId="6A93A356" w:rsidR="00305FDC" w:rsidRPr="009612F3" w:rsidRDefault="00305FDC" w:rsidP="00675F0F">
      <w:pPr>
        <w:pStyle w:val="ListParagraph"/>
        <w:numPr>
          <w:ilvl w:val="1"/>
          <w:numId w:val="14"/>
        </w:numPr>
        <w:ind w:left="851" w:hanging="851"/>
        <w:rPr>
          <w:rFonts w:eastAsia="Verdana" w:cs="Verdana"/>
          <w:b/>
          <w:bCs/>
          <w:color w:val="000000"/>
        </w:rPr>
      </w:pPr>
      <w:r w:rsidRPr="009612F3">
        <w:rPr>
          <w:rFonts w:eastAsia="Verdana" w:cs="Verdana"/>
          <w:b/>
          <w:bCs/>
          <w:color w:val="000000"/>
        </w:rPr>
        <w:t xml:space="preserve">The Committee may wish to recommend that the UK </w:t>
      </w:r>
      <w:r w:rsidR="00184652">
        <w:rPr>
          <w:rFonts w:eastAsia="Verdana" w:cs="Verdana"/>
          <w:b/>
          <w:bCs/>
          <w:color w:val="000000"/>
        </w:rPr>
        <w:t>takes effective steps</w:t>
      </w:r>
      <w:r w:rsidR="00C7267F">
        <w:rPr>
          <w:rFonts w:eastAsia="Verdana" w:cs="Verdana"/>
          <w:b/>
          <w:bCs/>
          <w:color w:val="000000"/>
        </w:rPr>
        <w:t xml:space="preserve"> </w:t>
      </w:r>
      <w:r w:rsidR="009770B9">
        <w:rPr>
          <w:rFonts w:eastAsia="Verdana" w:cs="Verdana"/>
          <w:b/>
          <w:bCs/>
          <w:color w:val="000000"/>
        </w:rPr>
        <w:t xml:space="preserve">to </w:t>
      </w:r>
      <w:r w:rsidR="001B7B06">
        <w:rPr>
          <w:rFonts w:eastAsia="Verdana" w:cs="Verdana"/>
          <w:b/>
          <w:bCs/>
          <w:color w:val="000000"/>
        </w:rPr>
        <w:t xml:space="preserve">promptly </w:t>
      </w:r>
      <w:r w:rsidR="009770B9">
        <w:rPr>
          <w:rFonts w:eastAsia="Verdana" w:cs="Verdana"/>
          <w:b/>
          <w:bCs/>
          <w:color w:val="000000"/>
        </w:rPr>
        <w:t xml:space="preserve">ensure the use </w:t>
      </w:r>
      <w:r w:rsidR="002D3984">
        <w:rPr>
          <w:rFonts w:eastAsia="Verdana" w:cs="Verdana"/>
          <w:b/>
          <w:bCs/>
          <w:color w:val="000000"/>
        </w:rPr>
        <w:t>of biometric surv</w:t>
      </w:r>
      <w:r w:rsidR="00B5378F">
        <w:rPr>
          <w:rFonts w:eastAsia="Verdana" w:cs="Verdana"/>
          <w:b/>
          <w:bCs/>
          <w:color w:val="000000"/>
        </w:rPr>
        <w:t>eillance technologies in policing and criminal justice</w:t>
      </w:r>
      <w:r w:rsidR="00DD27AF">
        <w:rPr>
          <w:rFonts w:eastAsia="Verdana" w:cs="Verdana"/>
          <w:b/>
          <w:bCs/>
          <w:color w:val="000000"/>
        </w:rPr>
        <w:t xml:space="preserve"> </w:t>
      </w:r>
      <w:r w:rsidR="00C7267F">
        <w:rPr>
          <w:rFonts w:eastAsia="Verdana" w:cs="Verdana"/>
          <w:b/>
          <w:bCs/>
          <w:color w:val="000000"/>
        </w:rPr>
        <w:t>in NI</w:t>
      </w:r>
      <w:r w:rsidR="00DD27AF">
        <w:rPr>
          <w:rFonts w:eastAsia="Verdana" w:cs="Verdana"/>
          <w:b/>
          <w:bCs/>
          <w:color w:val="000000"/>
        </w:rPr>
        <w:t xml:space="preserve"> are </w:t>
      </w:r>
      <w:r w:rsidR="00E32CEE">
        <w:rPr>
          <w:rFonts w:eastAsia="Verdana" w:cs="Verdana"/>
          <w:b/>
          <w:bCs/>
          <w:color w:val="000000"/>
        </w:rPr>
        <w:t>appropriately regulated</w:t>
      </w:r>
      <w:r w:rsidR="0051361D">
        <w:rPr>
          <w:rFonts w:eastAsia="Verdana" w:cs="Verdana"/>
          <w:b/>
          <w:bCs/>
          <w:color w:val="000000"/>
        </w:rPr>
        <w:t xml:space="preserve">, </w:t>
      </w:r>
      <w:r w:rsidR="0051361D" w:rsidRPr="00840A5C">
        <w:rPr>
          <w:rStyle w:val="normaltextrun"/>
          <w:b/>
          <w:bCs/>
          <w:color w:val="000000"/>
          <w:shd w:val="clear" w:color="auto" w:fill="FFFFFF"/>
        </w:rPr>
        <w:t>non-discriminatory and proportionate,</w:t>
      </w:r>
      <w:r w:rsidR="00B945F6">
        <w:rPr>
          <w:rFonts w:eastAsia="Verdana" w:cs="Verdana"/>
          <w:b/>
          <w:bCs/>
          <w:color w:val="000000"/>
        </w:rPr>
        <w:t xml:space="preserve"> in accordance</w:t>
      </w:r>
      <w:r w:rsidR="0041600D">
        <w:rPr>
          <w:rFonts w:eastAsia="Verdana" w:cs="Verdana"/>
          <w:b/>
          <w:bCs/>
          <w:color w:val="000000"/>
        </w:rPr>
        <w:t xml:space="preserve"> with</w:t>
      </w:r>
      <w:r w:rsidR="00B945F6">
        <w:rPr>
          <w:rFonts w:eastAsia="Verdana" w:cs="Verdana"/>
          <w:b/>
          <w:bCs/>
          <w:color w:val="000000"/>
        </w:rPr>
        <w:t xml:space="preserve"> </w:t>
      </w:r>
      <w:r w:rsidR="00294C37">
        <w:rPr>
          <w:rFonts w:eastAsia="Verdana" w:cs="Verdana"/>
          <w:b/>
          <w:bCs/>
          <w:color w:val="000000"/>
        </w:rPr>
        <w:t>human rights</w:t>
      </w:r>
      <w:r w:rsidR="00C05216">
        <w:rPr>
          <w:rFonts w:eastAsia="Verdana" w:cs="Verdana"/>
          <w:b/>
          <w:bCs/>
          <w:color w:val="000000"/>
        </w:rPr>
        <w:t xml:space="preserve"> obligations.</w:t>
      </w:r>
      <w:r w:rsidR="00CC5397">
        <w:rPr>
          <w:rFonts w:eastAsia="Verdana" w:cs="Verdana"/>
          <w:b/>
          <w:bCs/>
          <w:color w:val="000000"/>
        </w:rPr>
        <w:t xml:space="preserve"> </w:t>
      </w:r>
      <w:r w:rsidR="00C01873">
        <w:rPr>
          <w:rFonts w:eastAsia="Verdana" w:cs="Verdana"/>
          <w:b/>
          <w:bCs/>
          <w:color w:val="000000"/>
        </w:rPr>
        <w:t xml:space="preserve">Any </w:t>
      </w:r>
      <w:r w:rsidR="00CB7286">
        <w:rPr>
          <w:rFonts w:eastAsia="Verdana" w:cs="Verdana"/>
          <w:b/>
          <w:bCs/>
          <w:color w:val="000000"/>
        </w:rPr>
        <w:t xml:space="preserve">legislative or policy </w:t>
      </w:r>
      <w:r w:rsidR="00C01873">
        <w:rPr>
          <w:rFonts w:eastAsia="Verdana" w:cs="Verdana"/>
          <w:b/>
          <w:bCs/>
          <w:color w:val="000000"/>
        </w:rPr>
        <w:t xml:space="preserve">proposals </w:t>
      </w:r>
      <w:r w:rsidR="002B680F">
        <w:rPr>
          <w:rFonts w:eastAsia="Verdana" w:cs="Verdana"/>
          <w:b/>
          <w:bCs/>
          <w:color w:val="000000"/>
        </w:rPr>
        <w:t>should be</w:t>
      </w:r>
      <w:r w:rsidR="0041600D">
        <w:rPr>
          <w:rFonts w:eastAsia="Verdana" w:cs="Verdana"/>
          <w:b/>
          <w:bCs/>
          <w:color w:val="000000"/>
        </w:rPr>
        <w:t xml:space="preserve"> subject to </w:t>
      </w:r>
      <w:r w:rsidR="00CB7286">
        <w:rPr>
          <w:rFonts w:eastAsia="Verdana" w:cs="Verdana"/>
          <w:b/>
          <w:bCs/>
          <w:color w:val="000000"/>
        </w:rPr>
        <w:t xml:space="preserve">a </w:t>
      </w:r>
      <w:r w:rsidR="0041600D">
        <w:rPr>
          <w:rFonts w:eastAsia="Verdana" w:cs="Verdana"/>
          <w:b/>
          <w:bCs/>
          <w:color w:val="000000"/>
        </w:rPr>
        <w:t xml:space="preserve">human rights impact assessment and </w:t>
      </w:r>
      <w:r w:rsidR="00C01873">
        <w:rPr>
          <w:rFonts w:eastAsia="Verdana" w:cs="Verdana"/>
          <w:b/>
          <w:bCs/>
          <w:color w:val="000000"/>
        </w:rPr>
        <w:t>extensive public consultation</w:t>
      </w:r>
      <w:r w:rsidR="007E629A">
        <w:rPr>
          <w:rFonts w:eastAsia="Verdana" w:cs="Verdana"/>
          <w:b/>
          <w:bCs/>
          <w:color w:val="000000"/>
        </w:rPr>
        <w:t xml:space="preserve"> process</w:t>
      </w:r>
      <w:r w:rsidR="0041600D">
        <w:rPr>
          <w:rFonts w:eastAsia="Verdana" w:cs="Verdana"/>
          <w:b/>
          <w:bCs/>
          <w:color w:val="000000"/>
        </w:rPr>
        <w:t xml:space="preserve">. </w:t>
      </w:r>
    </w:p>
    <w:p w14:paraId="44930C8E" w14:textId="2EA942DF" w:rsidR="00841C26" w:rsidRPr="00DC5803" w:rsidRDefault="00841C26" w:rsidP="003A6C64">
      <w:pPr>
        <w:rPr>
          <w:b/>
        </w:rPr>
      </w:pPr>
    </w:p>
    <w:p w14:paraId="056B6E09" w14:textId="2AB501B8" w:rsidR="0078472A" w:rsidRDefault="00495BC2" w:rsidP="003A6C64">
      <w:pPr>
        <w:pStyle w:val="Heading1"/>
        <w:spacing w:before="0" w:line="288" w:lineRule="auto"/>
        <w:ind w:left="993" w:hanging="993"/>
      </w:pPr>
      <w:bookmarkStart w:id="72" w:name="_Toc156901043"/>
      <w:r>
        <w:t>1</w:t>
      </w:r>
      <w:r w:rsidR="00C343CE">
        <w:t>4</w:t>
      </w:r>
      <w:r w:rsidR="00D63CAD">
        <w:t>.0</w:t>
      </w:r>
      <w:r w:rsidR="00D63CAD">
        <w:tab/>
      </w:r>
      <w:r w:rsidR="00B17B48">
        <w:t xml:space="preserve">Article </w:t>
      </w:r>
      <w:r w:rsidR="00357CCD">
        <w:t xml:space="preserve">18 </w:t>
      </w:r>
      <w:r w:rsidR="00B17B48">
        <w:t xml:space="preserve">– </w:t>
      </w:r>
      <w:r w:rsidR="00357CCD">
        <w:t xml:space="preserve">Right to </w:t>
      </w:r>
      <w:r w:rsidR="00670428">
        <w:t>F</w:t>
      </w:r>
      <w:r w:rsidR="00357CCD">
        <w:t xml:space="preserve">reedom of </w:t>
      </w:r>
      <w:r w:rsidR="00670428">
        <w:t>T</w:t>
      </w:r>
      <w:r w:rsidR="00357CCD">
        <w:t xml:space="preserve">hought, </w:t>
      </w:r>
      <w:r w:rsidR="00670428">
        <w:t>C</w:t>
      </w:r>
      <w:r w:rsidR="00357CCD">
        <w:t xml:space="preserve">onscience and </w:t>
      </w:r>
      <w:r w:rsidR="00670428">
        <w:t>R</w:t>
      </w:r>
      <w:r w:rsidR="00357CCD">
        <w:t>eligion</w:t>
      </w:r>
      <w:bookmarkEnd w:id="72"/>
    </w:p>
    <w:p w14:paraId="4545649B" w14:textId="77777777" w:rsidR="00357CCD" w:rsidRDefault="00357CCD" w:rsidP="003A6C64">
      <w:pPr>
        <w:ind w:left="993" w:hanging="993"/>
      </w:pPr>
    </w:p>
    <w:p w14:paraId="42E9CB7C" w14:textId="6E8476C5" w:rsidR="00EE3A12" w:rsidRPr="00357CCD" w:rsidRDefault="00121B3A" w:rsidP="00956D19">
      <w:pPr>
        <w:pStyle w:val="Heading2"/>
        <w:spacing w:after="240" w:line="288" w:lineRule="auto"/>
      </w:pPr>
      <w:bookmarkStart w:id="73" w:name="_Toc156901044"/>
      <w:r>
        <w:t>Blasphemy</w:t>
      </w:r>
      <w:bookmarkEnd w:id="73"/>
      <w:r>
        <w:t xml:space="preserve"> </w:t>
      </w:r>
    </w:p>
    <w:p w14:paraId="4EC1AA40" w14:textId="76A7FCF7" w:rsidR="00463807" w:rsidRPr="00257881" w:rsidRDefault="00121B3A" w:rsidP="00956D19">
      <w:pPr>
        <w:pStyle w:val="ListParagraph"/>
        <w:numPr>
          <w:ilvl w:val="1"/>
          <w:numId w:val="27"/>
        </w:numPr>
        <w:ind w:left="851" w:hanging="851"/>
        <w:contextualSpacing w:val="0"/>
        <w:rPr>
          <w:rFonts w:eastAsia="Verdana" w:cs="Verdana"/>
          <w:color w:val="000000"/>
        </w:rPr>
      </w:pPr>
      <w:r w:rsidRPr="00257881">
        <w:rPr>
          <w:rFonts w:eastAsia="Verdana" w:cs="Verdana"/>
          <w:color w:val="000000"/>
        </w:rPr>
        <w:t>In NI</w:t>
      </w:r>
      <w:r w:rsidR="00EE3A12" w:rsidRPr="00257881">
        <w:rPr>
          <w:rFonts w:eastAsia="Verdana" w:cs="Verdana"/>
          <w:color w:val="000000"/>
        </w:rPr>
        <w:t xml:space="preserve">, </w:t>
      </w:r>
      <w:r w:rsidR="00FC00BE" w:rsidRPr="00257881">
        <w:rPr>
          <w:rFonts w:eastAsia="Verdana" w:cs="Verdana"/>
          <w:color w:val="000000"/>
          <w:lang w:val="en"/>
        </w:rPr>
        <w:t>although no prosecution</w:t>
      </w:r>
      <w:r w:rsidR="00FC00BE">
        <w:rPr>
          <w:rFonts w:eastAsia="Verdana" w:cs="Verdana"/>
          <w:color w:val="000000"/>
          <w:lang w:val="en"/>
        </w:rPr>
        <w:t>s</w:t>
      </w:r>
      <w:r w:rsidR="00FC00BE" w:rsidRPr="00257881">
        <w:rPr>
          <w:rFonts w:eastAsia="Verdana" w:cs="Verdana"/>
          <w:color w:val="000000"/>
          <w:lang w:val="en"/>
        </w:rPr>
        <w:t xml:space="preserve"> ha</w:t>
      </w:r>
      <w:r w:rsidR="00FC00BE">
        <w:rPr>
          <w:rFonts w:eastAsia="Verdana" w:cs="Verdana"/>
          <w:color w:val="000000"/>
          <w:lang w:val="en"/>
        </w:rPr>
        <w:t>ve</w:t>
      </w:r>
      <w:r w:rsidR="00FC00BE" w:rsidRPr="00257881">
        <w:rPr>
          <w:rFonts w:eastAsia="Verdana" w:cs="Verdana"/>
          <w:color w:val="000000"/>
          <w:lang w:val="en"/>
        </w:rPr>
        <w:t xml:space="preserve"> occurred since 1855</w:t>
      </w:r>
      <w:r w:rsidR="00FC00BE">
        <w:rPr>
          <w:rFonts w:eastAsia="Verdana" w:cs="Verdana"/>
          <w:color w:val="000000"/>
          <w:lang w:val="en"/>
        </w:rPr>
        <w:t xml:space="preserve">, </w:t>
      </w:r>
      <w:r w:rsidR="00463807" w:rsidRPr="00257881">
        <w:rPr>
          <w:rFonts w:eastAsia="Verdana" w:cs="Verdana"/>
          <w:color w:val="000000"/>
          <w:lang w:val="en"/>
        </w:rPr>
        <w:t>blasphemy and blasphemous libel remain common law offences</w:t>
      </w:r>
      <w:r w:rsidR="00FC00BE">
        <w:rPr>
          <w:rFonts w:eastAsia="Verdana" w:cs="Verdana"/>
          <w:color w:val="000000"/>
          <w:lang w:val="en"/>
        </w:rPr>
        <w:t>.</w:t>
      </w:r>
      <w:r w:rsidR="00463807" w:rsidRPr="00463807">
        <w:rPr>
          <w:vertAlign w:val="superscript"/>
          <w:lang w:val="en"/>
        </w:rPr>
        <w:footnoteReference w:id="309"/>
      </w:r>
    </w:p>
    <w:p w14:paraId="58241614" w14:textId="77777777" w:rsidR="00F7661B" w:rsidRPr="00463807" w:rsidRDefault="00F7661B" w:rsidP="00956D19">
      <w:pPr>
        <w:pStyle w:val="ListParagraph"/>
        <w:ind w:left="851" w:hanging="851"/>
        <w:contextualSpacing w:val="0"/>
        <w:rPr>
          <w:rFonts w:eastAsia="Verdana" w:cs="Verdana"/>
          <w:color w:val="000000"/>
        </w:rPr>
      </w:pPr>
    </w:p>
    <w:p w14:paraId="64B99922" w14:textId="50AE30CD" w:rsidR="00A51497" w:rsidRPr="00B51023" w:rsidRDefault="00F7661B" w:rsidP="00956D19">
      <w:pPr>
        <w:pStyle w:val="ListParagraph"/>
        <w:numPr>
          <w:ilvl w:val="1"/>
          <w:numId w:val="27"/>
        </w:numPr>
        <w:ind w:left="851" w:hanging="851"/>
        <w:contextualSpacing w:val="0"/>
        <w:rPr>
          <w:b/>
          <w:bCs/>
        </w:rPr>
      </w:pPr>
      <w:r w:rsidRPr="00F7661B">
        <w:rPr>
          <w:b/>
          <w:bCs/>
        </w:rPr>
        <w:t xml:space="preserve">The Committee may wish </w:t>
      </w:r>
      <w:r w:rsidR="00442309">
        <w:rPr>
          <w:b/>
          <w:bCs/>
        </w:rPr>
        <w:t xml:space="preserve">to </w:t>
      </w:r>
      <w:r w:rsidR="00FC00BE">
        <w:rPr>
          <w:b/>
          <w:bCs/>
        </w:rPr>
        <w:t>recommend that</w:t>
      </w:r>
      <w:r w:rsidRPr="00F7661B">
        <w:rPr>
          <w:b/>
          <w:bCs/>
        </w:rPr>
        <w:t xml:space="preserve"> the UK </w:t>
      </w:r>
      <w:r w:rsidR="00D31058">
        <w:rPr>
          <w:b/>
          <w:bCs/>
        </w:rPr>
        <w:t>takes effective steps</w:t>
      </w:r>
      <w:r w:rsidR="00021BB4">
        <w:rPr>
          <w:b/>
          <w:bCs/>
        </w:rPr>
        <w:t xml:space="preserve"> to </w:t>
      </w:r>
      <w:r w:rsidR="00F474AB" w:rsidRPr="00325F3C">
        <w:rPr>
          <w:rFonts w:cs="Helvetica"/>
          <w:b/>
          <w:lang w:val="en"/>
        </w:rPr>
        <w:t>promptly abolish the common law offence of blasphemy and blasphemous libel</w:t>
      </w:r>
      <w:r w:rsidR="00F474AB">
        <w:rPr>
          <w:rFonts w:cs="Helvetica"/>
          <w:b/>
          <w:lang w:val="en"/>
        </w:rPr>
        <w:t xml:space="preserve"> in NI</w:t>
      </w:r>
      <w:r w:rsidR="00D31058">
        <w:rPr>
          <w:rFonts w:cs="Helvetica"/>
          <w:b/>
          <w:lang w:val="en"/>
        </w:rPr>
        <w:t>.</w:t>
      </w:r>
    </w:p>
    <w:p w14:paraId="3F8DF387" w14:textId="77777777" w:rsidR="005B1344" w:rsidRPr="005B1344" w:rsidRDefault="005B1344" w:rsidP="003A6C64">
      <w:pPr>
        <w:ind w:left="993" w:hanging="993"/>
        <w:rPr>
          <w:b/>
          <w:bCs/>
        </w:rPr>
      </w:pPr>
    </w:p>
    <w:p w14:paraId="7AEAE27A" w14:textId="61E14E6F" w:rsidR="00680EFD" w:rsidRPr="00587912" w:rsidRDefault="00FE1433" w:rsidP="006C6C1C">
      <w:pPr>
        <w:pStyle w:val="Heading1"/>
        <w:numPr>
          <w:ilvl w:val="0"/>
          <w:numId w:val="28"/>
        </w:numPr>
        <w:spacing w:before="0" w:after="240" w:line="288" w:lineRule="auto"/>
      </w:pPr>
      <w:r>
        <w:t xml:space="preserve"> </w:t>
      </w:r>
      <w:bookmarkStart w:id="74" w:name="_Toc156901045"/>
      <w:r w:rsidR="00FB6136" w:rsidRPr="00D00D8B">
        <w:t xml:space="preserve">Article </w:t>
      </w:r>
      <w:r w:rsidR="00357CCD">
        <w:t>19</w:t>
      </w:r>
      <w:r w:rsidR="00FB6136" w:rsidRPr="00D00D8B">
        <w:t xml:space="preserve"> – </w:t>
      </w:r>
      <w:r w:rsidR="00357CCD">
        <w:t xml:space="preserve">Right to </w:t>
      </w:r>
      <w:r w:rsidR="00670428">
        <w:t>F</w:t>
      </w:r>
      <w:r w:rsidR="00357CCD">
        <w:t xml:space="preserve">reedom of </w:t>
      </w:r>
      <w:r w:rsidR="00670428">
        <w:t>E</w:t>
      </w:r>
      <w:r w:rsidR="00357CCD">
        <w:t>xpression</w:t>
      </w:r>
      <w:bookmarkEnd w:id="74"/>
    </w:p>
    <w:p w14:paraId="4FE8B412" w14:textId="77777777" w:rsidR="00050EB9" w:rsidRPr="00050EB9" w:rsidRDefault="00050EB9" w:rsidP="003A6C64">
      <w:pPr>
        <w:pStyle w:val="ListParagraph"/>
        <w:numPr>
          <w:ilvl w:val="0"/>
          <w:numId w:val="5"/>
        </w:numPr>
        <w:ind w:left="1134" w:hanging="1145"/>
        <w:contextualSpacing w:val="0"/>
        <w:rPr>
          <w:vanish/>
        </w:rPr>
      </w:pPr>
    </w:p>
    <w:p w14:paraId="15CA0741" w14:textId="77777777" w:rsidR="00186986" w:rsidRPr="00CA6B45" w:rsidRDefault="00186986" w:rsidP="003A6C64">
      <w:pPr>
        <w:pStyle w:val="ListParagraph"/>
        <w:numPr>
          <w:ilvl w:val="0"/>
          <w:numId w:val="12"/>
        </w:numPr>
        <w:shd w:val="clear" w:color="auto" w:fill="FFFFFF"/>
        <w:spacing w:before="100" w:beforeAutospacing="1" w:after="100" w:afterAutospacing="1"/>
        <w:ind w:left="851" w:hanging="862"/>
        <w:contextualSpacing w:val="0"/>
        <w:rPr>
          <w:vanish/>
        </w:rPr>
      </w:pPr>
    </w:p>
    <w:p w14:paraId="333FB0D8" w14:textId="77777777" w:rsidR="00262971" w:rsidRPr="005D01E8" w:rsidRDefault="00262971" w:rsidP="00956D19">
      <w:pPr>
        <w:pStyle w:val="Heading2"/>
        <w:spacing w:after="240" w:line="288" w:lineRule="auto"/>
        <w:rPr>
          <w:lang w:val="en"/>
        </w:rPr>
      </w:pPr>
      <w:bookmarkStart w:id="75" w:name="_Toc156901046"/>
      <w:r>
        <w:rPr>
          <w:lang w:val="en"/>
        </w:rPr>
        <w:t>Defamation</w:t>
      </w:r>
      <w:bookmarkEnd w:id="75"/>
    </w:p>
    <w:p w14:paraId="2D702CCE" w14:textId="5ED8D83B" w:rsidR="00262971" w:rsidRPr="003020A5" w:rsidRDefault="00262971" w:rsidP="22E15799">
      <w:pPr>
        <w:pStyle w:val="ListParagraph"/>
        <w:numPr>
          <w:ilvl w:val="1"/>
          <w:numId w:val="13"/>
        </w:numPr>
        <w:shd w:val="clear" w:color="auto" w:fill="FFFFFF" w:themeFill="background1"/>
        <w:ind w:hanging="862"/>
        <w:rPr>
          <w:lang w:val="en"/>
        </w:rPr>
      </w:pPr>
      <w:r>
        <w:rPr>
          <w:lang w:val="en"/>
        </w:rPr>
        <w:t>The Defamation Act (NI) 2022 does not contain a requirement to prove ‘serious harm’.</w:t>
      </w:r>
      <w:r>
        <w:rPr>
          <w:rStyle w:val="FootnoteReference"/>
          <w:lang w:val="en"/>
        </w:rPr>
        <w:footnoteReference w:id="310"/>
      </w:r>
      <w:r>
        <w:rPr>
          <w:lang w:val="en"/>
        </w:rPr>
        <w:t xml:space="preserve"> This creates a </w:t>
      </w:r>
      <w:r>
        <w:t>disparity with England and Wales and risks libel tourism.</w:t>
      </w:r>
      <w:r>
        <w:rPr>
          <w:rStyle w:val="FootnoteReference"/>
        </w:rPr>
        <w:footnoteReference w:id="311"/>
      </w:r>
      <w:r>
        <w:t xml:space="preserve"> Additionally, the 2022 Act does not make specific provision</w:t>
      </w:r>
      <w:r w:rsidR="13985F2E">
        <w:t xml:space="preserve"> to address</w:t>
      </w:r>
      <w:r>
        <w:t xml:space="preserve"> Strategic Lawsuits Against Public Participation.</w:t>
      </w:r>
    </w:p>
    <w:p w14:paraId="4373A89D" w14:textId="77777777" w:rsidR="00262971" w:rsidRPr="00DA5130" w:rsidRDefault="00262971" w:rsidP="00262971">
      <w:pPr>
        <w:pStyle w:val="ListParagraph"/>
        <w:shd w:val="clear" w:color="auto" w:fill="FFFFFF"/>
        <w:ind w:left="851"/>
        <w:contextualSpacing w:val="0"/>
        <w:rPr>
          <w:lang w:val="en"/>
        </w:rPr>
      </w:pPr>
      <w:r>
        <w:t xml:space="preserve">  </w:t>
      </w:r>
    </w:p>
    <w:p w14:paraId="47185757" w14:textId="73216E87" w:rsidR="00262971" w:rsidRPr="00DA5130" w:rsidRDefault="00262971" w:rsidP="00262971">
      <w:pPr>
        <w:pStyle w:val="ListParagraph"/>
        <w:numPr>
          <w:ilvl w:val="1"/>
          <w:numId w:val="13"/>
        </w:numPr>
        <w:shd w:val="clear" w:color="auto" w:fill="FFFFFF"/>
        <w:ind w:hanging="862"/>
        <w:contextualSpacing w:val="0"/>
        <w:rPr>
          <w:b/>
          <w:bCs/>
          <w:lang w:val="en"/>
        </w:rPr>
      </w:pPr>
      <w:r w:rsidRPr="00DA5130">
        <w:rPr>
          <w:b/>
          <w:bCs/>
        </w:rPr>
        <w:t xml:space="preserve">The </w:t>
      </w:r>
      <w:r>
        <w:rPr>
          <w:b/>
          <w:bCs/>
        </w:rPr>
        <w:t xml:space="preserve">Committee may wish to recommend that the UK takes effective </w:t>
      </w:r>
      <w:r w:rsidR="001B7B06">
        <w:rPr>
          <w:b/>
          <w:bCs/>
        </w:rPr>
        <w:t>steps</w:t>
      </w:r>
      <w:r>
        <w:rPr>
          <w:b/>
          <w:bCs/>
        </w:rPr>
        <w:t xml:space="preserve"> to ensure defamation law in NI eradicates the risk of libel tourism and adequately addresses Strategic Lawsuits Against Public Participation. </w:t>
      </w:r>
    </w:p>
    <w:p w14:paraId="7EAB4F1D" w14:textId="77777777" w:rsidR="00911AF9" w:rsidRDefault="00911AF9" w:rsidP="006A0589">
      <w:pPr>
        <w:shd w:val="clear" w:color="auto" w:fill="FFFFFF"/>
        <w:ind w:left="-11"/>
        <w:rPr>
          <w:lang w:val="en"/>
        </w:rPr>
      </w:pPr>
    </w:p>
    <w:p w14:paraId="4C268AEA" w14:textId="4928DD2F" w:rsidR="006A0589" w:rsidRPr="006A0589" w:rsidRDefault="006A0589" w:rsidP="00F10F8C">
      <w:pPr>
        <w:pStyle w:val="Heading2"/>
        <w:spacing w:after="240" w:line="288" w:lineRule="auto"/>
        <w:rPr>
          <w:lang w:val="en"/>
        </w:rPr>
      </w:pPr>
      <w:bookmarkStart w:id="76" w:name="_Toc156901047"/>
      <w:r>
        <w:rPr>
          <w:lang w:val="en"/>
        </w:rPr>
        <w:t>Freedom of expression of journalists</w:t>
      </w:r>
      <w:bookmarkEnd w:id="76"/>
    </w:p>
    <w:p w14:paraId="5402546C" w14:textId="4789FAEB" w:rsidR="00E40CF7" w:rsidRPr="006C6C1C" w:rsidRDefault="009779A5" w:rsidP="006C6C1C">
      <w:pPr>
        <w:pStyle w:val="ListParagraph"/>
        <w:numPr>
          <w:ilvl w:val="1"/>
          <w:numId w:val="13"/>
        </w:numPr>
        <w:shd w:val="clear" w:color="auto" w:fill="FFFFFF"/>
        <w:ind w:hanging="862"/>
        <w:contextualSpacing w:val="0"/>
        <w:rPr>
          <w:lang w:val="en"/>
        </w:rPr>
      </w:pPr>
      <w:r w:rsidRPr="009779A5">
        <w:rPr>
          <w:lang w:val="en"/>
        </w:rPr>
        <w:t xml:space="preserve">In 2018, two journalists </w:t>
      </w:r>
      <w:r w:rsidR="00372C61">
        <w:rPr>
          <w:lang w:val="en"/>
        </w:rPr>
        <w:t>–</w:t>
      </w:r>
      <w:r w:rsidR="00B06028">
        <w:rPr>
          <w:lang w:val="en"/>
        </w:rPr>
        <w:t xml:space="preserve"> </w:t>
      </w:r>
      <w:r w:rsidR="00372C61">
        <w:t xml:space="preserve">Mr </w:t>
      </w:r>
      <w:r w:rsidR="00B06028" w:rsidRPr="007478BB">
        <w:t xml:space="preserve">McCaffery and </w:t>
      </w:r>
      <w:r w:rsidR="00372C61">
        <w:t xml:space="preserve">Mr </w:t>
      </w:r>
      <w:r w:rsidR="00B06028" w:rsidRPr="007478BB">
        <w:t xml:space="preserve">Birney </w:t>
      </w:r>
      <w:r w:rsidR="00372C61">
        <w:t>–</w:t>
      </w:r>
      <w:r w:rsidR="00B06028">
        <w:t xml:space="preserve"> </w:t>
      </w:r>
      <w:r w:rsidRPr="009779A5">
        <w:rPr>
          <w:lang w:val="en"/>
        </w:rPr>
        <w:t xml:space="preserve">were arrested </w:t>
      </w:r>
      <w:r w:rsidR="00F476BC">
        <w:rPr>
          <w:lang w:val="en"/>
        </w:rPr>
        <w:t>over</w:t>
      </w:r>
      <w:r w:rsidRPr="009779A5">
        <w:rPr>
          <w:lang w:val="en"/>
        </w:rPr>
        <w:t xml:space="preserve"> the suspected theft of confidential documents from the Police Ombudsman NI.</w:t>
      </w:r>
      <w:r w:rsidRPr="009779A5">
        <w:rPr>
          <w:vertAlign w:val="superscript"/>
          <w:lang w:val="en"/>
        </w:rPr>
        <w:footnoteReference w:id="312"/>
      </w:r>
      <w:r w:rsidR="00F16BD1">
        <w:rPr>
          <w:lang w:val="en"/>
        </w:rPr>
        <w:t xml:space="preserve"> </w:t>
      </w:r>
      <w:r w:rsidR="001E1051">
        <w:rPr>
          <w:lang w:val="en"/>
        </w:rPr>
        <w:t>In 2020, t</w:t>
      </w:r>
      <w:r w:rsidR="00B5168A" w:rsidRPr="001E1051">
        <w:rPr>
          <w:lang w:val="en"/>
        </w:rPr>
        <w:t xml:space="preserve">he </w:t>
      </w:r>
      <w:r w:rsidR="007F3028">
        <w:rPr>
          <w:lang w:val="en"/>
        </w:rPr>
        <w:t>High Court of Justice in NI</w:t>
      </w:r>
      <w:r w:rsidR="00B5168A" w:rsidRPr="001E1051">
        <w:rPr>
          <w:lang w:val="en"/>
        </w:rPr>
        <w:t xml:space="preserve"> ruled that the search warrants issued were unlawful</w:t>
      </w:r>
      <w:r w:rsidR="006A23F9">
        <w:rPr>
          <w:lang w:val="en"/>
        </w:rPr>
        <w:t>.</w:t>
      </w:r>
      <w:r w:rsidR="00836914" w:rsidRPr="007478BB">
        <w:rPr>
          <w:rStyle w:val="FootnoteReference"/>
        </w:rPr>
        <w:footnoteReference w:id="313"/>
      </w:r>
      <w:r w:rsidR="00B06028">
        <w:rPr>
          <w:lang w:val="en"/>
        </w:rPr>
        <w:t xml:space="preserve"> </w:t>
      </w:r>
      <w:r w:rsidR="006A23F9">
        <w:rPr>
          <w:lang w:val="en"/>
        </w:rPr>
        <w:t>T</w:t>
      </w:r>
      <w:r w:rsidR="00B06028">
        <w:rPr>
          <w:lang w:val="en"/>
        </w:rPr>
        <w:t xml:space="preserve">he </w:t>
      </w:r>
      <w:r w:rsidR="008C6AA1">
        <w:rPr>
          <w:lang w:val="en"/>
        </w:rPr>
        <w:t xml:space="preserve">Police Service of NI </w:t>
      </w:r>
      <w:r w:rsidR="00953F0A">
        <w:rPr>
          <w:lang w:val="en"/>
        </w:rPr>
        <w:t xml:space="preserve">subsequently </w:t>
      </w:r>
      <w:r w:rsidR="008C6AA1">
        <w:rPr>
          <w:lang w:val="en"/>
        </w:rPr>
        <w:t>dropped the case.</w:t>
      </w:r>
      <w:r w:rsidR="00B5168A" w:rsidRPr="001E214A">
        <w:rPr>
          <w:rStyle w:val="FootnoteReference"/>
          <w:rFonts w:eastAsia="Verdana" w:cs="Verdana"/>
        </w:rPr>
        <w:footnoteReference w:id="314"/>
      </w:r>
      <w:r w:rsidR="00B5168A" w:rsidRPr="001E1051">
        <w:rPr>
          <w:rFonts w:eastAsia="Verdana" w:cs="Verdana"/>
        </w:rPr>
        <w:t xml:space="preserve"> </w:t>
      </w:r>
    </w:p>
    <w:p w14:paraId="4768852F" w14:textId="77777777" w:rsidR="006C6C1C" w:rsidRPr="006C6C1C" w:rsidRDefault="006C6C1C" w:rsidP="006C6C1C">
      <w:pPr>
        <w:pStyle w:val="ListParagraph"/>
        <w:shd w:val="clear" w:color="auto" w:fill="FFFFFF"/>
        <w:ind w:left="851"/>
        <w:contextualSpacing w:val="0"/>
        <w:rPr>
          <w:lang w:val="en"/>
        </w:rPr>
      </w:pPr>
    </w:p>
    <w:p w14:paraId="6FFE230D" w14:textId="6CC28049" w:rsidR="00F37727" w:rsidRDefault="002970A7" w:rsidP="000945D8">
      <w:pPr>
        <w:pStyle w:val="ListParagraph"/>
        <w:numPr>
          <w:ilvl w:val="1"/>
          <w:numId w:val="13"/>
        </w:numPr>
        <w:shd w:val="clear" w:color="auto" w:fill="FFFFFF"/>
        <w:ind w:hanging="862"/>
        <w:contextualSpacing w:val="0"/>
      </w:pPr>
      <w:r>
        <w:t>In 2023</w:t>
      </w:r>
      <w:r w:rsidR="00722CDD">
        <w:t>,</w:t>
      </w:r>
      <w:r>
        <w:t xml:space="preserve"> </w:t>
      </w:r>
      <w:r w:rsidR="00C76FED">
        <w:t xml:space="preserve">it was </w:t>
      </w:r>
      <w:r w:rsidR="00CA6C38">
        <w:t xml:space="preserve">revealed </w:t>
      </w:r>
      <w:r w:rsidR="00C76FED">
        <w:t>that</w:t>
      </w:r>
      <w:r w:rsidR="00A44207">
        <w:t xml:space="preserve"> the UK Investigatory Powers Tribunal </w:t>
      </w:r>
      <w:r w:rsidR="000B2D89">
        <w:t>is</w:t>
      </w:r>
      <w:r w:rsidR="00D330DA" w:rsidRPr="007478BB">
        <w:t xml:space="preserve"> </w:t>
      </w:r>
      <w:r w:rsidR="006E46BA">
        <w:t>examining</w:t>
      </w:r>
      <w:r w:rsidR="00D330DA" w:rsidRPr="007478BB">
        <w:t xml:space="preserve"> </w:t>
      </w:r>
      <w:r w:rsidR="00DB4EC0">
        <w:t xml:space="preserve">a separate incident </w:t>
      </w:r>
      <w:r w:rsidR="008D30E1">
        <w:t>regarding</w:t>
      </w:r>
      <w:r w:rsidR="0030375A">
        <w:t xml:space="preserve"> a</w:t>
      </w:r>
      <w:r w:rsidR="00A122FB">
        <w:t>n</w:t>
      </w:r>
      <w:r w:rsidR="003739C1" w:rsidRPr="003739C1">
        <w:t xml:space="preserve"> authorisation</w:t>
      </w:r>
      <w:r w:rsidR="003739C1">
        <w:t xml:space="preserve"> </w:t>
      </w:r>
      <w:r w:rsidR="00722CDD">
        <w:t xml:space="preserve">obtained by </w:t>
      </w:r>
      <w:r w:rsidR="003739C1" w:rsidRPr="003739C1">
        <w:t>the P</w:t>
      </w:r>
      <w:r w:rsidR="003739C1">
        <w:t xml:space="preserve">olice </w:t>
      </w:r>
      <w:r w:rsidR="003739C1" w:rsidRPr="003739C1">
        <w:t>S</w:t>
      </w:r>
      <w:r w:rsidR="003739C1">
        <w:t xml:space="preserve">ervice of </w:t>
      </w:r>
      <w:r w:rsidR="003739C1" w:rsidRPr="003739C1">
        <w:t xml:space="preserve">NI </w:t>
      </w:r>
      <w:r w:rsidR="00B441E6">
        <w:t>to</w:t>
      </w:r>
      <w:r w:rsidR="003739C1" w:rsidRPr="003739C1">
        <w:t xml:space="preserve"> access </w:t>
      </w:r>
      <w:r w:rsidR="00256187">
        <w:t xml:space="preserve">Mr </w:t>
      </w:r>
      <w:r w:rsidR="003739C1" w:rsidRPr="003739C1">
        <w:t>McCaffrey’s phone records</w:t>
      </w:r>
      <w:r w:rsidR="00656884">
        <w:t xml:space="preserve"> in 2013</w:t>
      </w:r>
      <w:r w:rsidR="00984682">
        <w:t>.</w:t>
      </w:r>
      <w:r w:rsidR="00984682">
        <w:rPr>
          <w:rStyle w:val="FootnoteReference"/>
        </w:rPr>
        <w:footnoteReference w:id="315"/>
      </w:r>
      <w:r w:rsidR="00710CF2">
        <w:t xml:space="preserve"> </w:t>
      </w:r>
      <w:r w:rsidR="00256187">
        <w:t xml:space="preserve">Mr </w:t>
      </w:r>
      <w:r w:rsidR="006C4BFA">
        <w:t>McCaffrey</w:t>
      </w:r>
      <w:r w:rsidR="00E660D3" w:rsidRPr="007478BB">
        <w:t xml:space="preserve"> </w:t>
      </w:r>
      <w:r w:rsidR="009F7DD8">
        <w:t xml:space="preserve">previously </w:t>
      </w:r>
      <w:r w:rsidR="00275118">
        <w:t>complained to</w:t>
      </w:r>
      <w:r w:rsidR="00372C61">
        <w:t xml:space="preserve"> the Tribunal </w:t>
      </w:r>
      <w:r w:rsidR="00011963">
        <w:t>regarding</w:t>
      </w:r>
      <w:r w:rsidR="00372C61">
        <w:t xml:space="preserve"> his arrest in 2018, </w:t>
      </w:r>
      <w:r w:rsidR="009F7DD8">
        <w:t>however</w:t>
      </w:r>
      <w:r w:rsidR="00372C61">
        <w:t xml:space="preserve"> </w:t>
      </w:r>
      <w:r w:rsidR="00D67AA9">
        <w:t xml:space="preserve">he </w:t>
      </w:r>
      <w:r w:rsidR="00372C61">
        <w:t>was</w:t>
      </w:r>
      <w:r w:rsidR="00372C61" w:rsidRPr="007478BB">
        <w:t xml:space="preserve"> </w:t>
      </w:r>
      <w:r w:rsidR="00E660D3" w:rsidRPr="007478BB">
        <w:t xml:space="preserve">unaware </w:t>
      </w:r>
      <w:r w:rsidR="007F70D6">
        <w:t>of its current line of inquiry</w:t>
      </w:r>
      <w:r w:rsidR="00011963">
        <w:t xml:space="preserve"> and </w:t>
      </w:r>
      <w:r w:rsidR="0013226D">
        <w:t>that</w:t>
      </w:r>
      <w:r w:rsidR="00011963">
        <w:t xml:space="preserve"> his phone </w:t>
      </w:r>
      <w:r w:rsidR="00FE1B28">
        <w:t>records had been accessed in 2013.</w:t>
      </w:r>
      <w:r w:rsidR="00275118">
        <w:rPr>
          <w:rStyle w:val="FootnoteReference"/>
        </w:rPr>
        <w:footnoteReference w:id="316"/>
      </w:r>
      <w:r w:rsidR="007F70D6">
        <w:t xml:space="preserve"> </w:t>
      </w:r>
      <w:r w:rsidR="00D9340C">
        <w:t xml:space="preserve"> </w:t>
      </w:r>
    </w:p>
    <w:p w14:paraId="7C134D93" w14:textId="77777777" w:rsidR="006C6C1C" w:rsidRDefault="006C6C1C" w:rsidP="006C6C1C">
      <w:pPr>
        <w:shd w:val="clear" w:color="auto" w:fill="FFFFFF"/>
      </w:pPr>
    </w:p>
    <w:p w14:paraId="4D7B1BD1" w14:textId="36B47EE4" w:rsidR="008F5D1A" w:rsidRPr="00690D97" w:rsidRDefault="003837B0" w:rsidP="00C47330">
      <w:pPr>
        <w:pStyle w:val="ListParagraph"/>
        <w:numPr>
          <w:ilvl w:val="1"/>
          <w:numId w:val="13"/>
        </w:numPr>
        <w:shd w:val="clear" w:color="auto" w:fill="FFFFFF" w:themeFill="background1"/>
        <w:spacing w:after="100" w:afterAutospacing="1"/>
        <w:ind w:hanging="862"/>
        <w:rPr>
          <w:b/>
          <w:lang w:val="en"/>
        </w:rPr>
      </w:pPr>
      <w:r w:rsidRPr="22E15799">
        <w:rPr>
          <w:b/>
          <w:bCs/>
          <w:lang w:val="en"/>
        </w:rPr>
        <w:t xml:space="preserve">The Committee may wish to </w:t>
      </w:r>
      <w:r w:rsidR="007F3028" w:rsidRPr="22E15799">
        <w:rPr>
          <w:b/>
          <w:bCs/>
          <w:lang w:val="en"/>
        </w:rPr>
        <w:t xml:space="preserve">recommend that </w:t>
      </w:r>
      <w:r w:rsidRPr="22E15799">
        <w:rPr>
          <w:b/>
          <w:bCs/>
          <w:lang w:val="en"/>
        </w:rPr>
        <w:t xml:space="preserve">the UK </w:t>
      </w:r>
      <w:r w:rsidR="007F3028" w:rsidRPr="22E15799">
        <w:rPr>
          <w:b/>
          <w:bCs/>
          <w:lang w:val="en"/>
        </w:rPr>
        <w:t>take</w:t>
      </w:r>
      <w:r w:rsidR="00A13CE5" w:rsidRPr="22E15799">
        <w:rPr>
          <w:b/>
          <w:bCs/>
          <w:lang w:val="en"/>
        </w:rPr>
        <w:t>s</w:t>
      </w:r>
      <w:r w:rsidR="007F3028" w:rsidRPr="22E15799">
        <w:rPr>
          <w:b/>
          <w:bCs/>
          <w:lang w:val="en"/>
        </w:rPr>
        <w:t xml:space="preserve"> effective </w:t>
      </w:r>
      <w:r w:rsidR="001B7B06">
        <w:rPr>
          <w:b/>
          <w:bCs/>
          <w:lang w:val="en"/>
        </w:rPr>
        <w:t>steps</w:t>
      </w:r>
      <w:r w:rsidR="007F3028" w:rsidRPr="22E15799">
        <w:rPr>
          <w:b/>
          <w:bCs/>
          <w:lang w:val="en"/>
        </w:rPr>
        <w:t xml:space="preserve"> to</w:t>
      </w:r>
      <w:r w:rsidRPr="22E15799">
        <w:rPr>
          <w:b/>
          <w:bCs/>
          <w:lang w:val="en"/>
        </w:rPr>
        <w:t xml:space="preserve"> ensure </w:t>
      </w:r>
      <w:r w:rsidRPr="00690D97">
        <w:rPr>
          <w:b/>
          <w:lang w:val="en"/>
        </w:rPr>
        <w:t>journalists in NI have effective</w:t>
      </w:r>
      <w:r w:rsidR="00437200" w:rsidRPr="00690D97">
        <w:rPr>
          <w:b/>
          <w:lang w:val="en"/>
        </w:rPr>
        <w:t xml:space="preserve">, human rights compliant </w:t>
      </w:r>
      <w:r w:rsidRPr="00690D97">
        <w:rPr>
          <w:b/>
          <w:lang w:val="en"/>
        </w:rPr>
        <w:t>protection to report on issues of public importance</w:t>
      </w:r>
      <w:r w:rsidR="00BC00A3" w:rsidRPr="00690D97">
        <w:rPr>
          <w:b/>
          <w:lang w:val="en"/>
        </w:rPr>
        <w:t>.</w:t>
      </w:r>
    </w:p>
    <w:p w14:paraId="7D5D64EE" w14:textId="0AA3832A" w:rsidR="00A72901" w:rsidRPr="00587912" w:rsidRDefault="00FE1433" w:rsidP="00F10F8C">
      <w:pPr>
        <w:pStyle w:val="Heading1"/>
        <w:spacing w:before="0" w:after="240" w:line="288" w:lineRule="auto"/>
        <w:ind w:hanging="720"/>
      </w:pPr>
      <w:bookmarkStart w:id="77" w:name="_Toc156901048"/>
      <w:r>
        <w:t xml:space="preserve">16.0 </w:t>
      </w:r>
      <w:r w:rsidR="00B17B48">
        <w:t>Article 2</w:t>
      </w:r>
      <w:r w:rsidR="00357CCD">
        <w:t xml:space="preserve">1 </w:t>
      </w:r>
      <w:r w:rsidR="00B17B48">
        <w:t xml:space="preserve">– </w:t>
      </w:r>
      <w:r w:rsidR="00357CCD">
        <w:t xml:space="preserve">Right to </w:t>
      </w:r>
      <w:r w:rsidR="00670428">
        <w:t>P</w:t>
      </w:r>
      <w:r w:rsidR="00357CCD">
        <w:t xml:space="preserve">eaceful </w:t>
      </w:r>
      <w:r w:rsidR="00670428">
        <w:t>A</w:t>
      </w:r>
      <w:r w:rsidR="00357CCD">
        <w:t>ssembly</w:t>
      </w:r>
      <w:bookmarkEnd w:id="77"/>
    </w:p>
    <w:p w14:paraId="6CCD083B" w14:textId="77777777" w:rsidR="00CA6B45" w:rsidRPr="00CA6B45" w:rsidRDefault="00CA6B45" w:rsidP="003A6C64">
      <w:pPr>
        <w:pStyle w:val="ListParagraph"/>
        <w:numPr>
          <w:ilvl w:val="0"/>
          <w:numId w:val="12"/>
        </w:numPr>
        <w:shd w:val="clear" w:color="auto" w:fill="FFFFFF"/>
        <w:spacing w:before="100" w:beforeAutospacing="1" w:after="100" w:afterAutospacing="1"/>
        <w:ind w:left="1134" w:hanging="1145"/>
        <w:contextualSpacing w:val="0"/>
        <w:rPr>
          <w:vanish/>
        </w:rPr>
      </w:pPr>
    </w:p>
    <w:p w14:paraId="041401B1" w14:textId="77777777" w:rsidR="00186986" w:rsidRPr="00CA6B45" w:rsidRDefault="00186986" w:rsidP="003A6C64">
      <w:pPr>
        <w:pStyle w:val="ListParagraph"/>
        <w:numPr>
          <w:ilvl w:val="0"/>
          <w:numId w:val="12"/>
        </w:numPr>
        <w:shd w:val="clear" w:color="auto" w:fill="FFFFFF"/>
        <w:spacing w:before="100" w:beforeAutospacing="1" w:after="100" w:afterAutospacing="1"/>
        <w:ind w:left="851" w:hanging="862"/>
        <w:contextualSpacing w:val="0"/>
        <w:rPr>
          <w:vanish/>
        </w:rPr>
      </w:pPr>
    </w:p>
    <w:p w14:paraId="3F43FF99" w14:textId="39D71092" w:rsidR="00CC2D57" w:rsidRPr="00AC5B58" w:rsidRDefault="00C1108D" w:rsidP="00F10F8C">
      <w:pPr>
        <w:pStyle w:val="Heading2"/>
        <w:spacing w:line="288" w:lineRule="auto"/>
        <w:rPr>
          <w:lang w:val="en"/>
        </w:rPr>
      </w:pPr>
      <w:bookmarkStart w:id="78" w:name="_Toc156901049"/>
      <w:r>
        <w:rPr>
          <w:lang w:val="en"/>
        </w:rPr>
        <w:t>Parades and protests</w:t>
      </w:r>
      <w:bookmarkEnd w:id="78"/>
    </w:p>
    <w:p w14:paraId="2A062920" w14:textId="16BC33C2" w:rsidR="00AF09E9" w:rsidRPr="00340DB3" w:rsidRDefault="009A22D3" w:rsidP="003A6C64">
      <w:pPr>
        <w:pStyle w:val="ListParagraph"/>
        <w:numPr>
          <w:ilvl w:val="1"/>
          <w:numId w:val="29"/>
        </w:numPr>
        <w:shd w:val="clear" w:color="auto" w:fill="FFFFFF"/>
        <w:spacing w:before="100" w:beforeAutospacing="1"/>
        <w:ind w:hanging="862"/>
        <w:contextualSpacing w:val="0"/>
      </w:pPr>
      <w:r w:rsidRPr="002161F5">
        <w:rPr>
          <w:color w:val="000000"/>
        </w:rPr>
        <w:t>In 2022/2023, the Parades Commission for NI was notified of 3,585 parades and parade-related protests.</w:t>
      </w:r>
      <w:r>
        <w:rPr>
          <w:rStyle w:val="FootnoteReference"/>
          <w:color w:val="000000"/>
        </w:rPr>
        <w:footnoteReference w:id="317"/>
      </w:r>
      <w:r w:rsidRPr="002161F5">
        <w:rPr>
          <w:color w:val="000000"/>
        </w:rPr>
        <w:t xml:space="preserve"> Of these, 192 were considered</w:t>
      </w:r>
      <w:r>
        <w:rPr>
          <w:color w:val="000000"/>
        </w:rPr>
        <w:t xml:space="preserve"> ‘sensitive’, with the potential to raise concerns and community tensions.</w:t>
      </w:r>
      <w:r>
        <w:rPr>
          <w:rStyle w:val="FootnoteReference"/>
          <w:color w:val="000000"/>
        </w:rPr>
        <w:footnoteReference w:id="318"/>
      </w:r>
      <w:r>
        <w:rPr>
          <w:color w:val="000000"/>
        </w:rPr>
        <w:t xml:space="preserve"> </w:t>
      </w:r>
    </w:p>
    <w:p w14:paraId="2243C88F" w14:textId="77777777" w:rsidR="00340DB3" w:rsidRPr="00AF09E9" w:rsidRDefault="00340DB3" w:rsidP="006C6C1C">
      <w:pPr>
        <w:pStyle w:val="ListParagraph"/>
        <w:shd w:val="clear" w:color="auto" w:fill="FFFFFF"/>
        <w:ind w:left="851"/>
        <w:contextualSpacing w:val="0"/>
      </w:pPr>
    </w:p>
    <w:p w14:paraId="3E87D923" w14:textId="3C0A636E" w:rsidR="00111879" w:rsidRPr="00CC2D57" w:rsidRDefault="00B51B12" w:rsidP="006C6C1C">
      <w:pPr>
        <w:pStyle w:val="ListParagraph"/>
        <w:numPr>
          <w:ilvl w:val="1"/>
          <w:numId w:val="29"/>
        </w:numPr>
        <w:shd w:val="clear" w:color="auto" w:fill="FFFFFF"/>
        <w:ind w:hanging="862"/>
        <w:contextualSpacing w:val="0"/>
      </w:pPr>
      <w:r>
        <w:rPr>
          <w:lang w:val="en"/>
        </w:rPr>
        <w:t xml:space="preserve">By June 2015, proposals for devolving </w:t>
      </w:r>
      <w:r w:rsidR="00CC2D57" w:rsidRPr="00AF09E9">
        <w:rPr>
          <w:lang w:val="en"/>
        </w:rPr>
        <w:t xml:space="preserve">responsibility for parades and related protests </w:t>
      </w:r>
      <w:r w:rsidR="00D7445B">
        <w:rPr>
          <w:lang w:val="en"/>
        </w:rPr>
        <w:t>were to be brought to the NI Executive.</w:t>
      </w:r>
      <w:r w:rsidR="00CC2D57" w:rsidRPr="00CC2D57">
        <w:rPr>
          <w:vertAlign w:val="superscript"/>
          <w:lang w:val="en"/>
        </w:rPr>
        <w:footnoteReference w:id="319"/>
      </w:r>
      <w:r w:rsidR="00CC2D57" w:rsidRPr="00AF09E9">
        <w:rPr>
          <w:lang w:val="en"/>
        </w:rPr>
        <w:t xml:space="preserve"> </w:t>
      </w:r>
      <w:r w:rsidR="00D7445B">
        <w:rPr>
          <w:lang w:val="en"/>
        </w:rPr>
        <w:t>T</w:t>
      </w:r>
      <w:r w:rsidR="00CC2D57" w:rsidRPr="00AF09E9">
        <w:rPr>
          <w:lang w:val="en"/>
        </w:rPr>
        <w:t xml:space="preserve">he Office of Legislative Counsel </w:t>
      </w:r>
      <w:r w:rsidR="00D7445B">
        <w:rPr>
          <w:lang w:val="en"/>
        </w:rPr>
        <w:t>was also to</w:t>
      </w:r>
      <w:r w:rsidR="00D7445B" w:rsidRPr="00AF09E9">
        <w:rPr>
          <w:lang w:val="en"/>
        </w:rPr>
        <w:t xml:space="preserve"> </w:t>
      </w:r>
      <w:r w:rsidR="00CC2D57" w:rsidRPr="00AF09E9">
        <w:rPr>
          <w:lang w:val="en"/>
        </w:rPr>
        <w:t>produce legislative options for addressing the remaining key issues.</w:t>
      </w:r>
      <w:r w:rsidR="00CC2D57" w:rsidRPr="00CC2D57">
        <w:rPr>
          <w:vertAlign w:val="superscript"/>
          <w:lang w:val="en"/>
        </w:rPr>
        <w:footnoteReference w:id="320"/>
      </w:r>
      <w:r w:rsidR="00CC2D57" w:rsidRPr="00AF09E9">
        <w:rPr>
          <w:lang w:val="en"/>
        </w:rPr>
        <w:t xml:space="preserve"> </w:t>
      </w:r>
      <w:r w:rsidR="003D1655" w:rsidRPr="00AF09E9">
        <w:rPr>
          <w:lang w:val="en"/>
        </w:rPr>
        <w:t>In 202</w:t>
      </w:r>
      <w:r w:rsidR="00D7445B">
        <w:rPr>
          <w:lang w:val="en"/>
        </w:rPr>
        <w:t>4</w:t>
      </w:r>
      <w:r w:rsidR="003D1655" w:rsidRPr="00AF09E9">
        <w:rPr>
          <w:lang w:val="en"/>
        </w:rPr>
        <w:t xml:space="preserve">, </w:t>
      </w:r>
      <w:r w:rsidR="00D7445B">
        <w:rPr>
          <w:lang w:val="en"/>
        </w:rPr>
        <w:t>these were</w:t>
      </w:r>
      <w:r w:rsidR="003D1655" w:rsidRPr="00AF09E9">
        <w:rPr>
          <w:lang w:val="en"/>
        </w:rPr>
        <w:t xml:space="preserve"> still awaited.</w:t>
      </w:r>
    </w:p>
    <w:p w14:paraId="4BE9C2EF" w14:textId="77777777" w:rsidR="00C777C8" w:rsidRPr="00EB605F" w:rsidRDefault="00C777C8" w:rsidP="006C6C1C">
      <w:pPr>
        <w:pStyle w:val="ListParagraph"/>
        <w:shd w:val="clear" w:color="auto" w:fill="FFFFFF"/>
        <w:ind w:left="851"/>
        <w:contextualSpacing w:val="0"/>
      </w:pPr>
    </w:p>
    <w:p w14:paraId="72E94E7A" w14:textId="41F3D99F" w:rsidR="00F740D2" w:rsidRPr="000B3AFF" w:rsidRDefault="00CC2D57" w:rsidP="00F740D2">
      <w:pPr>
        <w:pStyle w:val="ListParagraph"/>
        <w:numPr>
          <w:ilvl w:val="1"/>
          <w:numId w:val="29"/>
        </w:numPr>
        <w:shd w:val="clear" w:color="auto" w:fill="FFFFFF"/>
        <w:ind w:hanging="862"/>
        <w:contextualSpacing w:val="0"/>
        <w:rPr>
          <w:b/>
        </w:rPr>
      </w:pPr>
      <w:r w:rsidRPr="00EB605F">
        <w:rPr>
          <w:b/>
        </w:rPr>
        <w:t xml:space="preserve">The Committee may wish to </w:t>
      </w:r>
      <w:r w:rsidR="00111879">
        <w:rPr>
          <w:b/>
        </w:rPr>
        <w:t>recommend that</w:t>
      </w:r>
      <w:r w:rsidR="00111879" w:rsidRPr="00EB605F">
        <w:rPr>
          <w:b/>
        </w:rPr>
        <w:t xml:space="preserve"> </w:t>
      </w:r>
      <w:r w:rsidRPr="00EB605F">
        <w:rPr>
          <w:b/>
        </w:rPr>
        <w:t xml:space="preserve">the UK </w:t>
      </w:r>
      <w:r w:rsidR="00111879">
        <w:rPr>
          <w:b/>
          <w:lang w:val="en"/>
        </w:rPr>
        <w:t>takes effective steps</w:t>
      </w:r>
      <w:r w:rsidRPr="00EB605F">
        <w:rPr>
          <w:b/>
          <w:lang w:val="en"/>
        </w:rPr>
        <w:t xml:space="preserve"> to:</w:t>
      </w:r>
    </w:p>
    <w:p w14:paraId="79334DAD" w14:textId="77777777" w:rsidR="000B3AFF" w:rsidRPr="000B3AFF" w:rsidRDefault="000B3AFF" w:rsidP="000B3AFF"/>
    <w:p w14:paraId="3DD9D44D" w14:textId="207C4419" w:rsidR="00F92BD8" w:rsidRDefault="00CC2D57" w:rsidP="000B3AFF">
      <w:pPr>
        <w:pStyle w:val="ListParagraph"/>
        <w:numPr>
          <w:ilvl w:val="0"/>
          <w:numId w:val="33"/>
        </w:numPr>
        <w:shd w:val="clear" w:color="auto" w:fill="FFFFFF" w:themeFill="background1"/>
        <w:ind w:left="1560" w:hanging="284"/>
        <w:rPr>
          <w:b/>
          <w:bCs/>
        </w:rPr>
      </w:pPr>
      <w:r w:rsidRPr="22E15799">
        <w:rPr>
          <w:b/>
          <w:bCs/>
        </w:rPr>
        <w:t>devolve responsibility for parades and protests to the NI Assembly, in line with the Stormont House Agreement</w:t>
      </w:r>
      <w:r w:rsidR="00111879" w:rsidRPr="22E15799">
        <w:rPr>
          <w:b/>
          <w:bCs/>
        </w:rPr>
        <w:t>.</w:t>
      </w:r>
    </w:p>
    <w:p w14:paraId="5DDE2155" w14:textId="77777777" w:rsidR="00512C6C" w:rsidRPr="00512C6C" w:rsidRDefault="00512C6C" w:rsidP="00675F0F">
      <w:pPr>
        <w:pStyle w:val="ListParagraph"/>
        <w:shd w:val="clear" w:color="auto" w:fill="FFFFFF"/>
        <w:ind w:left="1560" w:hanging="284"/>
        <w:contextualSpacing w:val="0"/>
        <w:rPr>
          <w:b/>
        </w:rPr>
      </w:pPr>
    </w:p>
    <w:p w14:paraId="07AC776F" w14:textId="34CDBFCF" w:rsidR="00111879" w:rsidRDefault="00CC2D57" w:rsidP="000B3AFF">
      <w:pPr>
        <w:pStyle w:val="ListParagraph"/>
        <w:numPr>
          <w:ilvl w:val="0"/>
          <w:numId w:val="33"/>
        </w:numPr>
        <w:shd w:val="clear" w:color="auto" w:fill="FFFFFF"/>
        <w:ind w:left="1560" w:hanging="284"/>
        <w:contextualSpacing w:val="0"/>
        <w:rPr>
          <w:b/>
        </w:rPr>
      </w:pPr>
      <w:r w:rsidRPr="00CC2D57">
        <w:rPr>
          <w:b/>
        </w:rPr>
        <w:t>ensure a range of options underpinned by human rights aimed at resolving disputes relating to parades and protests in NI are addressed in legislation</w:t>
      </w:r>
      <w:r w:rsidR="009E6DE7">
        <w:rPr>
          <w:b/>
        </w:rPr>
        <w:t>, as required by the Stormont House Agreement</w:t>
      </w:r>
      <w:r w:rsidR="00EB4D8D">
        <w:rPr>
          <w:b/>
        </w:rPr>
        <w:t>.</w:t>
      </w:r>
      <w:r w:rsidRPr="00CC2D57">
        <w:rPr>
          <w:b/>
        </w:rPr>
        <w:t xml:space="preserve"> </w:t>
      </w:r>
    </w:p>
    <w:p w14:paraId="3BE66E15" w14:textId="77777777" w:rsidR="000B3AFF" w:rsidRPr="000B3AFF" w:rsidRDefault="000B3AFF" w:rsidP="000B3AFF">
      <w:pPr>
        <w:shd w:val="clear" w:color="auto" w:fill="FFFFFF"/>
        <w:ind w:left="0"/>
        <w:rPr>
          <w:b/>
        </w:rPr>
      </w:pPr>
    </w:p>
    <w:p w14:paraId="215CCFDD" w14:textId="0C483562" w:rsidR="001C6753" w:rsidRDefault="00495BC2" w:rsidP="006C6C1C">
      <w:pPr>
        <w:pStyle w:val="Heading1"/>
        <w:spacing w:before="0" w:after="240" w:line="288" w:lineRule="auto"/>
        <w:ind w:left="1134" w:hanging="1145"/>
      </w:pPr>
      <w:bookmarkStart w:id="79" w:name="_Toc156901050"/>
      <w:r>
        <w:t>1</w:t>
      </w:r>
      <w:r w:rsidR="00C343CE">
        <w:t>7</w:t>
      </w:r>
      <w:r w:rsidR="001C6753">
        <w:t>.0</w:t>
      </w:r>
      <w:r w:rsidR="001C6753">
        <w:tab/>
      </w:r>
      <w:r w:rsidR="009578AF" w:rsidRPr="009578AF">
        <w:t>A</w:t>
      </w:r>
      <w:r w:rsidR="00FB6136" w:rsidRPr="009578AF">
        <w:t xml:space="preserve">rticle </w:t>
      </w:r>
      <w:r w:rsidR="00357CCD">
        <w:t>23</w:t>
      </w:r>
      <w:r w:rsidR="00FB6136" w:rsidRPr="009578AF">
        <w:t xml:space="preserve"> –</w:t>
      </w:r>
      <w:r w:rsidR="00357CCD">
        <w:t xml:space="preserve"> Right to </w:t>
      </w:r>
      <w:r w:rsidR="00670428">
        <w:t>M</w:t>
      </w:r>
      <w:r w:rsidR="00357CCD">
        <w:t>arry</w:t>
      </w:r>
      <w:bookmarkEnd w:id="79"/>
    </w:p>
    <w:p w14:paraId="32B072FC" w14:textId="77777777" w:rsidR="001C6753" w:rsidRPr="001C6753" w:rsidRDefault="001C6753" w:rsidP="003A6C64">
      <w:pPr>
        <w:pStyle w:val="ListParagraph"/>
        <w:numPr>
          <w:ilvl w:val="0"/>
          <w:numId w:val="29"/>
        </w:numPr>
        <w:ind w:left="1134" w:hanging="1145"/>
        <w:contextualSpacing w:val="0"/>
        <w:rPr>
          <w:vanish/>
        </w:rPr>
      </w:pPr>
    </w:p>
    <w:p w14:paraId="0BA7B28A" w14:textId="2ADABAF7" w:rsidR="00E8395E" w:rsidRPr="00E8395E" w:rsidRDefault="00E8395E" w:rsidP="00FC3B33">
      <w:pPr>
        <w:pStyle w:val="Heading2"/>
        <w:spacing w:after="240" w:line="288" w:lineRule="auto"/>
        <w:rPr>
          <w:lang w:val="en"/>
        </w:rPr>
      </w:pPr>
      <w:bookmarkStart w:id="80" w:name="_Toc156901051"/>
      <w:r>
        <w:rPr>
          <w:lang w:val="en"/>
        </w:rPr>
        <w:t>Child, early and forced marriage</w:t>
      </w:r>
      <w:bookmarkEnd w:id="80"/>
    </w:p>
    <w:p w14:paraId="28AB02C7" w14:textId="7D4F0F59" w:rsidR="00BB41FA" w:rsidRPr="00BB41FA" w:rsidRDefault="00200A4E" w:rsidP="007F6BF1">
      <w:pPr>
        <w:pStyle w:val="ListParagraph"/>
        <w:numPr>
          <w:ilvl w:val="1"/>
          <w:numId w:val="29"/>
        </w:numPr>
        <w:ind w:hanging="851"/>
        <w:contextualSpacing w:val="0"/>
        <w:rPr>
          <w:lang w:val="en"/>
        </w:rPr>
      </w:pPr>
      <w:r>
        <w:t>T</w:t>
      </w:r>
      <w:r w:rsidR="00EA2BD1" w:rsidRPr="00EA2BD1">
        <w:t xml:space="preserve">he </w:t>
      </w:r>
      <w:r w:rsidR="004620F7">
        <w:t>m</w:t>
      </w:r>
      <w:r w:rsidR="00EA2BD1" w:rsidRPr="00EA2BD1">
        <w:t xml:space="preserve">arriage of a child </w:t>
      </w:r>
      <w:r w:rsidR="00EA2BD1" w:rsidRPr="00EA2BD1">
        <w:rPr>
          <w:lang w:val="en"/>
        </w:rPr>
        <w:t>aged 16 or 17 years, with consent of parents</w:t>
      </w:r>
      <w:r w:rsidR="00321E54">
        <w:rPr>
          <w:lang w:val="en"/>
        </w:rPr>
        <w:t>,</w:t>
      </w:r>
      <w:r w:rsidR="00EA2BD1" w:rsidRPr="00EA2BD1">
        <w:rPr>
          <w:lang w:val="en"/>
        </w:rPr>
        <w:t xml:space="preserve"> legal guardians or the courts</w:t>
      </w:r>
      <w:r w:rsidR="005E62DA">
        <w:rPr>
          <w:lang w:val="en"/>
        </w:rPr>
        <w:t xml:space="preserve"> is permitted in NI</w:t>
      </w:r>
      <w:r w:rsidR="00EA2BD1" w:rsidRPr="00EA2BD1">
        <w:rPr>
          <w:lang w:val="en"/>
        </w:rPr>
        <w:t>.</w:t>
      </w:r>
      <w:r w:rsidR="005E62DA">
        <w:rPr>
          <w:rStyle w:val="FootnoteReference"/>
          <w:lang w:val="en"/>
        </w:rPr>
        <w:footnoteReference w:id="321"/>
      </w:r>
      <w:r w:rsidR="00EA2BD1" w:rsidRPr="00EA2BD1">
        <w:rPr>
          <w:lang w:val="en"/>
        </w:rPr>
        <w:t xml:space="preserve"> </w:t>
      </w:r>
      <w:r w:rsidR="005F1124" w:rsidRPr="00A714DE">
        <w:rPr>
          <w:color w:val="000000"/>
        </w:rPr>
        <w:t>In 2022, 36 girls and 9 boys were married in NI.</w:t>
      </w:r>
      <w:r w:rsidR="005F1124" w:rsidRPr="007478BB">
        <w:rPr>
          <w:rStyle w:val="FootnoteReference"/>
          <w:color w:val="000000"/>
        </w:rPr>
        <w:footnoteReference w:id="322"/>
      </w:r>
      <w:r w:rsidR="000B0338">
        <w:rPr>
          <w:color w:val="000000"/>
        </w:rPr>
        <w:t xml:space="preserve"> </w:t>
      </w:r>
    </w:p>
    <w:p w14:paraId="756491B8" w14:textId="77777777" w:rsidR="00BB41FA" w:rsidRPr="00BB41FA" w:rsidRDefault="00BB41FA" w:rsidP="007F6BF1">
      <w:pPr>
        <w:pStyle w:val="ListParagraph"/>
        <w:ind w:left="851" w:hanging="851"/>
        <w:contextualSpacing w:val="0"/>
        <w:rPr>
          <w:lang w:val="en"/>
        </w:rPr>
      </w:pPr>
    </w:p>
    <w:p w14:paraId="1ED9CDB1" w14:textId="63DFCAE6" w:rsidR="007F1325" w:rsidRPr="001D5EBF" w:rsidRDefault="002F2E18" w:rsidP="007F6BF1">
      <w:pPr>
        <w:pStyle w:val="ListParagraph"/>
        <w:numPr>
          <w:ilvl w:val="1"/>
          <w:numId w:val="29"/>
        </w:numPr>
        <w:ind w:hanging="851"/>
        <w:contextualSpacing w:val="0"/>
      </w:pPr>
      <w:r>
        <w:rPr>
          <w:color w:val="000000"/>
        </w:rPr>
        <w:t>There is strong support in NI</w:t>
      </w:r>
      <w:r w:rsidR="007F1325" w:rsidRPr="00BB41FA">
        <w:rPr>
          <w:color w:val="000000"/>
        </w:rPr>
        <w:t xml:space="preserve"> for increasing the minimum age for marriage and civil partnerships to 18 years.</w:t>
      </w:r>
      <w:r w:rsidR="007F1325">
        <w:rPr>
          <w:rStyle w:val="FootnoteReference"/>
        </w:rPr>
        <w:footnoteReference w:id="323"/>
      </w:r>
      <w:r w:rsidR="007F1325" w:rsidRPr="00BB41FA">
        <w:rPr>
          <w:color w:val="000000"/>
        </w:rPr>
        <w:t xml:space="preserve"> </w:t>
      </w:r>
      <w:r>
        <w:rPr>
          <w:color w:val="000000"/>
        </w:rPr>
        <w:t>However,</w:t>
      </w:r>
      <w:r w:rsidR="004620F7">
        <w:rPr>
          <w:color w:val="000000"/>
        </w:rPr>
        <w:t xml:space="preserve"> </w:t>
      </w:r>
      <w:r w:rsidR="00373982">
        <w:rPr>
          <w:color w:val="000000"/>
        </w:rPr>
        <w:t xml:space="preserve">the necessary </w:t>
      </w:r>
      <w:r w:rsidR="007F1325" w:rsidRPr="007F1325">
        <w:rPr>
          <w:color w:val="000000"/>
        </w:rPr>
        <w:t xml:space="preserve">legislation </w:t>
      </w:r>
      <w:r w:rsidR="00373982">
        <w:rPr>
          <w:color w:val="000000"/>
        </w:rPr>
        <w:t>was hindered by the suspension of the</w:t>
      </w:r>
      <w:r w:rsidR="007F1325" w:rsidRPr="001D5EBF">
        <w:t xml:space="preserve"> NI Executive and NI Assembly.</w:t>
      </w:r>
      <w:r w:rsidR="007F1325">
        <w:rPr>
          <w:rStyle w:val="FootnoteReference"/>
        </w:rPr>
        <w:footnoteReference w:id="324"/>
      </w:r>
    </w:p>
    <w:p w14:paraId="53C45CF5" w14:textId="60E3DCFA" w:rsidR="00E8395E" w:rsidRPr="00E8395E" w:rsidRDefault="00E8395E" w:rsidP="007F6BF1">
      <w:pPr>
        <w:ind w:left="851" w:hanging="851"/>
        <w:rPr>
          <w:color w:val="000000"/>
        </w:rPr>
      </w:pPr>
    </w:p>
    <w:p w14:paraId="2776DFC1" w14:textId="67AECDE3" w:rsidR="00E8395E" w:rsidRPr="00E8395E" w:rsidRDefault="00E8395E" w:rsidP="007F6BF1">
      <w:pPr>
        <w:pStyle w:val="ListParagraph"/>
        <w:numPr>
          <w:ilvl w:val="1"/>
          <w:numId w:val="29"/>
        </w:numPr>
        <w:ind w:hanging="851"/>
        <w:contextualSpacing w:val="0"/>
        <w:rPr>
          <w:b/>
          <w:lang w:val="en"/>
        </w:rPr>
      </w:pPr>
      <w:r w:rsidRPr="00E8395E">
        <w:rPr>
          <w:b/>
          <w:lang w:val="en"/>
        </w:rPr>
        <w:t xml:space="preserve">The Committee may wish to </w:t>
      </w:r>
      <w:r w:rsidR="00200A4E">
        <w:rPr>
          <w:b/>
          <w:lang w:val="en"/>
        </w:rPr>
        <w:t>recommend that</w:t>
      </w:r>
      <w:r w:rsidR="00200A4E" w:rsidRPr="00E8395E">
        <w:rPr>
          <w:b/>
          <w:lang w:val="en"/>
        </w:rPr>
        <w:t xml:space="preserve"> </w:t>
      </w:r>
      <w:r w:rsidRPr="00E8395E">
        <w:rPr>
          <w:b/>
          <w:lang w:val="en"/>
        </w:rPr>
        <w:t xml:space="preserve">the UK </w:t>
      </w:r>
      <w:r w:rsidR="00200A4E">
        <w:rPr>
          <w:b/>
          <w:lang w:val="en"/>
        </w:rPr>
        <w:t>takes effective steps to</w:t>
      </w:r>
      <w:r w:rsidRPr="00E8395E">
        <w:rPr>
          <w:b/>
          <w:lang w:val="en"/>
        </w:rPr>
        <w:t>:</w:t>
      </w:r>
    </w:p>
    <w:p w14:paraId="1672A849" w14:textId="77777777" w:rsidR="00E8395E" w:rsidRPr="00E8395E" w:rsidRDefault="00E8395E" w:rsidP="007F6BF1">
      <w:pPr>
        <w:pStyle w:val="ListParagraph"/>
        <w:ind w:left="851" w:hanging="851"/>
        <w:contextualSpacing w:val="0"/>
        <w:rPr>
          <w:b/>
          <w:lang w:val="en"/>
        </w:rPr>
      </w:pPr>
    </w:p>
    <w:p w14:paraId="47AEC2B3" w14:textId="0BB25004" w:rsidR="00E8395E" w:rsidRPr="00E8395E" w:rsidRDefault="00E8395E" w:rsidP="007F6BF1">
      <w:pPr>
        <w:pStyle w:val="ListParagraph"/>
        <w:numPr>
          <w:ilvl w:val="0"/>
          <w:numId w:val="31"/>
        </w:numPr>
        <w:ind w:left="1560" w:hanging="284"/>
        <w:contextualSpacing w:val="0"/>
        <w:rPr>
          <w:b/>
          <w:lang w:val="en"/>
        </w:rPr>
      </w:pPr>
      <w:r w:rsidRPr="00E8395E">
        <w:rPr>
          <w:b/>
          <w:lang w:val="en"/>
        </w:rPr>
        <w:t xml:space="preserve">increase the minimum age for marriage to 18 years for </w:t>
      </w:r>
      <w:r w:rsidR="005802CF">
        <w:rPr>
          <w:b/>
          <w:lang w:val="en"/>
        </w:rPr>
        <w:t>all children</w:t>
      </w:r>
      <w:r w:rsidRPr="00E8395E">
        <w:rPr>
          <w:b/>
          <w:lang w:val="en"/>
        </w:rPr>
        <w:t xml:space="preserve"> in NI</w:t>
      </w:r>
      <w:r w:rsidR="00200A4E">
        <w:rPr>
          <w:b/>
          <w:lang w:val="en"/>
        </w:rPr>
        <w:t>.</w:t>
      </w:r>
    </w:p>
    <w:p w14:paraId="16702020" w14:textId="77777777" w:rsidR="00E8395E" w:rsidRPr="00E8395E" w:rsidRDefault="00E8395E" w:rsidP="007F6BF1">
      <w:pPr>
        <w:pStyle w:val="ListParagraph"/>
        <w:ind w:left="1560" w:hanging="284"/>
        <w:contextualSpacing w:val="0"/>
        <w:rPr>
          <w:b/>
          <w:lang w:val="en"/>
        </w:rPr>
      </w:pPr>
    </w:p>
    <w:p w14:paraId="668D2FF5" w14:textId="52B46EE9" w:rsidR="00E8395E" w:rsidRPr="00E8395E" w:rsidRDefault="00E8395E" w:rsidP="007F6BF1">
      <w:pPr>
        <w:pStyle w:val="ListParagraph"/>
        <w:numPr>
          <w:ilvl w:val="0"/>
          <w:numId w:val="31"/>
        </w:numPr>
        <w:ind w:left="1560" w:hanging="284"/>
        <w:contextualSpacing w:val="0"/>
        <w:rPr>
          <w:b/>
          <w:lang w:val="en"/>
        </w:rPr>
      </w:pPr>
      <w:r w:rsidRPr="00E8395E">
        <w:rPr>
          <w:b/>
          <w:lang w:val="en"/>
        </w:rPr>
        <w:t>strengthen efforts to combat forced marriages in NI</w:t>
      </w:r>
      <w:r w:rsidR="00CD0C11">
        <w:rPr>
          <w:b/>
          <w:lang w:val="en"/>
        </w:rPr>
        <w:t xml:space="preserve">, </w:t>
      </w:r>
      <w:r w:rsidR="00CD0C11" w:rsidRPr="00CD0C11">
        <w:rPr>
          <w:b/>
          <w:bCs/>
        </w:rPr>
        <w:t>including by sensitising parents on the need for full and free consent of their child to marry</w:t>
      </w:r>
      <w:r w:rsidR="005802CF">
        <w:rPr>
          <w:b/>
          <w:lang w:val="en"/>
        </w:rPr>
        <w:t>.</w:t>
      </w:r>
    </w:p>
    <w:p w14:paraId="3CBEB147" w14:textId="77777777" w:rsidR="00303D4B" w:rsidRPr="00587912" w:rsidRDefault="00303D4B" w:rsidP="003A6C64"/>
    <w:p w14:paraId="779B6AED" w14:textId="6F0FC918" w:rsidR="00B008E4" w:rsidRDefault="00E02AE6" w:rsidP="006C6C1C">
      <w:pPr>
        <w:pStyle w:val="Heading1"/>
        <w:numPr>
          <w:ilvl w:val="0"/>
          <w:numId w:val="17"/>
        </w:numPr>
        <w:spacing w:before="0" w:after="240" w:line="288" w:lineRule="auto"/>
      </w:pPr>
      <w:r>
        <w:t xml:space="preserve">  </w:t>
      </w:r>
      <w:bookmarkStart w:id="81" w:name="_Toc156901052"/>
      <w:r w:rsidR="00FB6136" w:rsidRPr="00C94CE0">
        <w:t>Article</w:t>
      </w:r>
      <w:r w:rsidR="00357CCD">
        <w:t xml:space="preserve"> 24 – Children’s </w:t>
      </w:r>
      <w:r w:rsidR="00670428">
        <w:t>R</w:t>
      </w:r>
      <w:r w:rsidR="00357CCD">
        <w:t>ights</w:t>
      </w:r>
      <w:bookmarkEnd w:id="81"/>
    </w:p>
    <w:p w14:paraId="2E53D99A" w14:textId="77777777" w:rsidR="005D3EC2" w:rsidRPr="005D3EC2" w:rsidRDefault="005D3EC2" w:rsidP="003A6C64">
      <w:pPr>
        <w:pStyle w:val="ListParagraph"/>
        <w:numPr>
          <w:ilvl w:val="0"/>
          <w:numId w:val="15"/>
        </w:numPr>
        <w:ind w:left="1134" w:hanging="1145"/>
        <w:contextualSpacing w:val="0"/>
        <w:rPr>
          <w:vanish/>
        </w:rPr>
      </w:pPr>
    </w:p>
    <w:p w14:paraId="771D90F8" w14:textId="77777777" w:rsidR="005D3EC2" w:rsidRPr="005D3EC2" w:rsidRDefault="005D3EC2" w:rsidP="003A6C64">
      <w:pPr>
        <w:pStyle w:val="ListParagraph"/>
        <w:numPr>
          <w:ilvl w:val="0"/>
          <w:numId w:val="15"/>
        </w:numPr>
        <w:ind w:left="1134" w:hanging="1145"/>
        <w:contextualSpacing w:val="0"/>
        <w:rPr>
          <w:vanish/>
        </w:rPr>
      </w:pPr>
    </w:p>
    <w:p w14:paraId="28588BC9" w14:textId="78186BAB" w:rsidR="008C11C5" w:rsidRPr="008C11C5" w:rsidRDefault="008C11C5" w:rsidP="007F6BF1">
      <w:pPr>
        <w:pStyle w:val="Heading2"/>
        <w:spacing w:after="240" w:line="288" w:lineRule="auto"/>
      </w:pPr>
      <w:bookmarkStart w:id="82" w:name="_Toc156901053"/>
      <w:r>
        <w:t>Physical punishment of children</w:t>
      </w:r>
      <w:bookmarkEnd w:id="82"/>
      <w:r>
        <w:t xml:space="preserve"> </w:t>
      </w:r>
    </w:p>
    <w:p w14:paraId="6081EEDD" w14:textId="77777777" w:rsidR="00923D77" w:rsidRPr="00923D77" w:rsidRDefault="00854AA6" w:rsidP="003A6C64">
      <w:pPr>
        <w:pStyle w:val="ListParagraph"/>
        <w:numPr>
          <w:ilvl w:val="1"/>
          <w:numId w:val="15"/>
        </w:numPr>
        <w:ind w:left="993" w:hanging="993"/>
        <w:contextualSpacing w:val="0"/>
        <w:rPr>
          <w:rFonts w:eastAsia="Verdana" w:cs="Verdana"/>
          <w:color w:val="000000"/>
        </w:rPr>
      </w:pPr>
      <w:r w:rsidRPr="00854AA6">
        <w:rPr>
          <w:color w:val="000000"/>
        </w:rPr>
        <w:t>NI legislation continues to allow for a defence of reasonable punishment of children through the Law Reform (Miscellaneous Provisions) (NI) Order 2006.</w:t>
      </w:r>
      <w:r>
        <w:rPr>
          <w:rStyle w:val="FootnoteReference"/>
          <w:color w:val="000000"/>
        </w:rPr>
        <w:footnoteReference w:id="325"/>
      </w:r>
      <w:r w:rsidRPr="00854AA6">
        <w:rPr>
          <w:color w:val="000000"/>
        </w:rPr>
        <w:t xml:space="preserve"> There are no statistics on the number of cases where the defence of reasonable chastisement has been used in NI.</w:t>
      </w:r>
      <w:r>
        <w:rPr>
          <w:rStyle w:val="FootnoteReference"/>
          <w:color w:val="000000"/>
        </w:rPr>
        <w:footnoteReference w:id="326"/>
      </w:r>
    </w:p>
    <w:p w14:paraId="58EB4DBB" w14:textId="77777777" w:rsidR="001A5367" w:rsidRPr="007E1C05" w:rsidRDefault="001A5367" w:rsidP="003A6C64">
      <w:pPr>
        <w:pStyle w:val="ListParagraph"/>
        <w:ind w:left="993"/>
        <w:contextualSpacing w:val="0"/>
        <w:rPr>
          <w:rFonts w:eastAsia="Verdana" w:cs="Verdana"/>
          <w:color w:val="000000"/>
        </w:rPr>
      </w:pPr>
    </w:p>
    <w:p w14:paraId="21CF5A2C" w14:textId="46A904F2" w:rsidR="007E1C05" w:rsidRPr="00923D77" w:rsidRDefault="007E1C05" w:rsidP="003A6C64">
      <w:pPr>
        <w:pStyle w:val="ListParagraph"/>
        <w:numPr>
          <w:ilvl w:val="1"/>
          <w:numId w:val="15"/>
        </w:numPr>
        <w:ind w:left="993" w:hanging="993"/>
        <w:contextualSpacing w:val="0"/>
        <w:rPr>
          <w:rFonts w:eastAsia="Verdana" w:cs="Verdana"/>
          <w:color w:val="000000"/>
        </w:rPr>
      </w:pPr>
      <w:r>
        <w:rPr>
          <w:rFonts w:eastAsia="Verdana" w:cs="Verdana"/>
          <w:color w:val="000000"/>
        </w:rPr>
        <w:t xml:space="preserve">There is a lack of cross-party support </w:t>
      </w:r>
      <w:r w:rsidR="00B00C3F">
        <w:rPr>
          <w:rFonts w:eastAsia="Verdana" w:cs="Verdana"/>
          <w:color w:val="000000"/>
        </w:rPr>
        <w:t>to address this.</w:t>
      </w:r>
      <w:r w:rsidR="00E113CC">
        <w:rPr>
          <w:rStyle w:val="FootnoteReference"/>
          <w:color w:val="000000"/>
        </w:rPr>
        <w:footnoteReference w:id="327"/>
      </w:r>
      <w:r w:rsidR="00B00C3F">
        <w:rPr>
          <w:rFonts w:eastAsia="Verdana" w:cs="Verdana"/>
          <w:color w:val="000000"/>
        </w:rPr>
        <w:t xml:space="preserve"> </w:t>
      </w:r>
      <w:r w:rsidR="00311548">
        <w:rPr>
          <w:rFonts w:eastAsia="Verdana" w:cs="Verdana"/>
          <w:color w:val="000000"/>
        </w:rPr>
        <w:t xml:space="preserve">However, </w:t>
      </w:r>
      <w:r w:rsidR="001A5367">
        <w:rPr>
          <w:rFonts w:eastAsia="Verdana" w:cs="Verdana"/>
          <w:color w:val="000000"/>
        </w:rPr>
        <w:t>options continue to be explored.</w:t>
      </w:r>
      <w:r w:rsidR="0050080E">
        <w:rPr>
          <w:rStyle w:val="FootnoteReference"/>
        </w:rPr>
        <w:footnoteReference w:id="328"/>
      </w:r>
      <w:r w:rsidR="0050080E">
        <w:rPr>
          <w:rFonts w:eastAsia="Verdana" w:cs="Verdana"/>
          <w:color w:val="000000"/>
        </w:rPr>
        <w:t xml:space="preserve"> </w:t>
      </w:r>
      <w:r w:rsidR="001A5367">
        <w:rPr>
          <w:rFonts w:eastAsia="Verdana" w:cs="Verdana"/>
          <w:color w:val="000000"/>
        </w:rPr>
        <w:t>In 202</w:t>
      </w:r>
      <w:r w:rsidR="00D57363">
        <w:rPr>
          <w:rFonts w:eastAsia="Verdana" w:cs="Verdana"/>
          <w:color w:val="000000"/>
        </w:rPr>
        <w:t>3</w:t>
      </w:r>
      <w:r w:rsidR="001A5367">
        <w:rPr>
          <w:rFonts w:eastAsia="Verdana" w:cs="Verdana"/>
          <w:color w:val="000000"/>
        </w:rPr>
        <w:t xml:space="preserve">, legislative change </w:t>
      </w:r>
      <w:r w:rsidR="00B71766">
        <w:rPr>
          <w:rFonts w:eastAsia="Verdana" w:cs="Verdana"/>
          <w:color w:val="000000"/>
        </w:rPr>
        <w:t>was hindered by the suspension of the</w:t>
      </w:r>
      <w:r w:rsidR="001A5367">
        <w:rPr>
          <w:rFonts w:eastAsia="Verdana" w:cs="Verdana"/>
          <w:color w:val="000000"/>
        </w:rPr>
        <w:t xml:space="preserve"> NI Executive and NI Assembly.</w:t>
      </w:r>
      <w:r w:rsidR="00311548">
        <w:rPr>
          <w:rFonts w:eastAsia="Verdana" w:cs="Verdana"/>
          <w:color w:val="000000"/>
        </w:rPr>
        <w:t xml:space="preserve"> </w:t>
      </w:r>
    </w:p>
    <w:p w14:paraId="136E065E" w14:textId="77777777" w:rsidR="00923D77" w:rsidRPr="00923D77" w:rsidRDefault="00923D77" w:rsidP="003A6C64">
      <w:pPr>
        <w:pStyle w:val="ListParagraph"/>
        <w:ind w:left="993"/>
        <w:contextualSpacing w:val="0"/>
        <w:rPr>
          <w:rFonts w:eastAsia="Verdana" w:cs="Verdana"/>
          <w:color w:val="000000"/>
        </w:rPr>
      </w:pPr>
    </w:p>
    <w:p w14:paraId="736FF5CA" w14:textId="34022CFD" w:rsidR="00401C41" w:rsidRPr="00C36BD6" w:rsidRDefault="009E60E2" w:rsidP="003A6C64">
      <w:pPr>
        <w:pStyle w:val="ListParagraph"/>
        <w:numPr>
          <w:ilvl w:val="1"/>
          <w:numId w:val="15"/>
        </w:numPr>
        <w:ind w:left="993" w:hanging="993"/>
        <w:contextualSpacing w:val="0"/>
        <w:rPr>
          <w:rFonts w:eastAsia="Verdana" w:cs="Verdana"/>
          <w:b/>
          <w:color w:val="000000"/>
        </w:rPr>
      </w:pPr>
      <w:r w:rsidRPr="00C36BD6">
        <w:rPr>
          <w:b/>
        </w:rPr>
        <w:t xml:space="preserve">The Committee may wish to </w:t>
      </w:r>
      <w:r w:rsidR="0050080E">
        <w:rPr>
          <w:b/>
        </w:rPr>
        <w:t>recommend that the UK takes effective steps</w:t>
      </w:r>
      <w:r w:rsidRPr="00C36BD6">
        <w:rPr>
          <w:b/>
        </w:rPr>
        <w:t xml:space="preserve"> to</w:t>
      </w:r>
      <w:r w:rsidR="00923D77" w:rsidRPr="00C36BD6">
        <w:rPr>
          <w:b/>
        </w:rPr>
        <w:t xml:space="preserve"> </w:t>
      </w:r>
      <w:r w:rsidR="00401C41" w:rsidRPr="00C36BD6">
        <w:rPr>
          <w:rFonts w:eastAsia="Verdana" w:cs="Verdana"/>
          <w:b/>
          <w:color w:val="000000"/>
        </w:rPr>
        <w:t>repeal the defence of reasonable chastisement of a child in NI</w:t>
      </w:r>
      <w:r w:rsidR="00923D77" w:rsidRPr="00C36BD6">
        <w:rPr>
          <w:rFonts w:eastAsia="Verdana" w:cs="Verdana"/>
          <w:b/>
          <w:color w:val="000000"/>
        </w:rPr>
        <w:t xml:space="preserve"> and to </w:t>
      </w:r>
      <w:r w:rsidR="00401C41" w:rsidRPr="00C36BD6">
        <w:rPr>
          <w:rFonts w:eastAsia="Verdana" w:cs="Verdana"/>
          <w:b/>
          <w:color w:val="000000"/>
        </w:rPr>
        <w:t xml:space="preserve">devise and implement a NI strategy to effectively promote positive and non-violent forms of discipline </w:t>
      </w:r>
      <w:r w:rsidR="00C36BD6" w:rsidRPr="00C36BD6">
        <w:rPr>
          <w:rFonts w:eastAsia="Verdana" w:cs="Verdana"/>
          <w:b/>
          <w:color w:val="000000"/>
        </w:rPr>
        <w:t>in NI</w:t>
      </w:r>
      <w:r w:rsidR="00367A17">
        <w:rPr>
          <w:rFonts w:eastAsia="Verdana" w:cs="Verdana"/>
          <w:b/>
          <w:color w:val="000000"/>
        </w:rPr>
        <w:t>.</w:t>
      </w:r>
    </w:p>
    <w:p w14:paraId="2D241D30" w14:textId="77777777" w:rsidR="00401C41" w:rsidRDefault="00401C41" w:rsidP="003A6C64">
      <w:pPr>
        <w:rPr>
          <w:rFonts w:eastAsia="Verdana" w:cs="Verdana"/>
          <w:b/>
          <w:color w:val="000000"/>
        </w:rPr>
      </w:pPr>
    </w:p>
    <w:p w14:paraId="639BB199" w14:textId="6E7EB592" w:rsidR="00E42BD4" w:rsidRPr="00681066" w:rsidRDefault="00432D82" w:rsidP="007F6BF1">
      <w:pPr>
        <w:pStyle w:val="Heading2"/>
        <w:spacing w:after="240" w:line="288" w:lineRule="auto"/>
        <w:rPr>
          <w:rFonts w:eastAsia="Verdana"/>
        </w:rPr>
      </w:pPr>
      <w:bookmarkStart w:id="83" w:name="_Toc156901054"/>
      <w:r>
        <w:rPr>
          <w:rFonts w:eastAsia="Verdana"/>
        </w:rPr>
        <w:t>Children in armed forces</w:t>
      </w:r>
      <w:bookmarkEnd w:id="83"/>
    </w:p>
    <w:p w14:paraId="78BE5EE0" w14:textId="198A815D" w:rsidR="00681066" w:rsidRDefault="00E42BD4" w:rsidP="003A6C64">
      <w:pPr>
        <w:pStyle w:val="ListParagraph"/>
        <w:numPr>
          <w:ilvl w:val="1"/>
          <w:numId w:val="15"/>
        </w:numPr>
        <w:ind w:left="993" w:hanging="993"/>
        <w:contextualSpacing w:val="0"/>
        <w:rPr>
          <w:rFonts w:eastAsia="Verdana" w:cs="Verdana"/>
          <w:bCs/>
          <w:color w:val="000000"/>
        </w:rPr>
      </w:pPr>
      <w:r w:rsidRPr="22E15799">
        <w:rPr>
          <w:rFonts w:eastAsia="Verdana" w:cs="Verdana"/>
          <w:color w:val="000000"/>
        </w:rPr>
        <w:t>The UK continues to be the only country in Europe that routinely recruits 16</w:t>
      </w:r>
      <w:r w:rsidR="00F2585C" w:rsidRPr="22E15799">
        <w:rPr>
          <w:rFonts w:eastAsia="Verdana" w:cs="Verdana"/>
          <w:color w:val="000000"/>
        </w:rPr>
        <w:t>-</w:t>
      </w:r>
      <w:r w:rsidRPr="22E15799">
        <w:rPr>
          <w:rFonts w:eastAsia="Verdana" w:cs="Verdana"/>
          <w:color w:val="000000"/>
        </w:rPr>
        <w:t xml:space="preserve"> and 17</w:t>
      </w:r>
      <w:r w:rsidR="00F2585C" w:rsidRPr="22E15799">
        <w:rPr>
          <w:rFonts w:eastAsia="Verdana" w:cs="Verdana"/>
          <w:color w:val="000000"/>
        </w:rPr>
        <w:t>-</w:t>
      </w:r>
      <w:r w:rsidRPr="22E15799">
        <w:rPr>
          <w:rFonts w:eastAsia="Verdana" w:cs="Verdana"/>
          <w:color w:val="000000"/>
        </w:rPr>
        <w:t>year</w:t>
      </w:r>
      <w:r w:rsidR="00F2585C" w:rsidRPr="22E15799">
        <w:rPr>
          <w:rFonts w:eastAsia="Verdana" w:cs="Verdana"/>
          <w:color w:val="000000"/>
        </w:rPr>
        <w:t>-</w:t>
      </w:r>
      <w:r w:rsidRPr="22E15799">
        <w:rPr>
          <w:rFonts w:eastAsia="Verdana" w:cs="Verdana"/>
          <w:color w:val="000000"/>
        </w:rPr>
        <w:t>olds into the armed forces.</w:t>
      </w:r>
      <w:r w:rsidR="009C5507" w:rsidRPr="22E15799">
        <w:rPr>
          <w:rStyle w:val="FootnoteReference"/>
          <w:rFonts w:eastAsia="Verdana" w:cs="Verdana"/>
          <w:color w:val="000000"/>
        </w:rPr>
        <w:footnoteReference w:id="329"/>
      </w:r>
      <w:r w:rsidRPr="22E15799">
        <w:rPr>
          <w:rFonts w:eastAsia="Verdana" w:cs="Verdana"/>
          <w:color w:val="000000"/>
        </w:rPr>
        <w:t xml:space="preserve"> </w:t>
      </w:r>
      <w:r w:rsidR="00681066" w:rsidRPr="22E15799">
        <w:rPr>
          <w:rFonts w:eastAsia="Verdana" w:cs="Verdana"/>
          <w:color w:val="000000"/>
        </w:rPr>
        <w:t>Evidence suggests</w:t>
      </w:r>
      <w:r w:rsidRPr="22E15799">
        <w:rPr>
          <w:rFonts w:eastAsia="Verdana" w:cs="Verdana"/>
          <w:color w:val="000000"/>
        </w:rPr>
        <w:t xml:space="preserve"> such recruitment adversely affects the child’s mental and physical health.</w:t>
      </w:r>
      <w:r w:rsidRPr="22E15799">
        <w:rPr>
          <w:rFonts w:eastAsia="Verdana" w:cs="Verdana"/>
          <w:color w:val="000000"/>
          <w:vertAlign w:val="superscript"/>
        </w:rPr>
        <w:footnoteReference w:id="330"/>
      </w:r>
      <w:r w:rsidRPr="22E15799">
        <w:rPr>
          <w:rFonts w:eastAsia="Verdana" w:cs="Verdana"/>
          <w:color w:val="000000"/>
        </w:rPr>
        <w:t xml:space="preserve"> </w:t>
      </w:r>
    </w:p>
    <w:p w14:paraId="2F90121E" w14:textId="77777777" w:rsidR="00432D82" w:rsidRPr="00AC5B58" w:rsidRDefault="00432D82" w:rsidP="003A6C64">
      <w:pPr>
        <w:rPr>
          <w:rFonts w:eastAsia="Verdana" w:cs="Verdana"/>
          <w:bCs/>
          <w:color w:val="000000"/>
        </w:rPr>
      </w:pPr>
    </w:p>
    <w:p w14:paraId="36AE52A2" w14:textId="7196957A" w:rsidR="00F266EA" w:rsidRPr="00F266EA" w:rsidRDefault="00B36EB7" w:rsidP="003A6C64">
      <w:pPr>
        <w:pStyle w:val="ListParagraph"/>
        <w:numPr>
          <w:ilvl w:val="1"/>
          <w:numId w:val="15"/>
        </w:numPr>
        <w:ind w:left="993" w:hanging="993"/>
        <w:contextualSpacing w:val="0"/>
        <w:rPr>
          <w:rFonts w:eastAsia="Verdana" w:cs="Verdana"/>
          <w:b/>
          <w:color w:val="000000"/>
        </w:rPr>
      </w:pPr>
      <w:r w:rsidRPr="00B36EB7">
        <w:rPr>
          <w:b/>
        </w:rPr>
        <w:t xml:space="preserve">The Committee may wish to </w:t>
      </w:r>
      <w:r w:rsidR="00B8187A">
        <w:rPr>
          <w:b/>
        </w:rPr>
        <w:t>recommend that</w:t>
      </w:r>
      <w:r w:rsidR="00B8187A" w:rsidRPr="00B36EB7">
        <w:rPr>
          <w:b/>
        </w:rPr>
        <w:t xml:space="preserve"> </w:t>
      </w:r>
      <w:r w:rsidRPr="00B36EB7">
        <w:rPr>
          <w:b/>
        </w:rPr>
        <w:t xml:space="preserve">the UK </w:t>
      </w:r>
      <w:r w:rsidR="00B8187A">
        <w:rPr>
          <w:b/>
        </w:rPr>
        <w:t>takes effective steps to</w:t>
      </w:r>
      <w:r w:rsidR="00F266EA">
        <w:rPr>
          <w:b/>
        </w:rPr>
        <w:t>:</w:t>
      </w:r>
      <w:r w:rsidRPr="00B36EB7">
        <w:rPr>
          <w:b/>
        </w:rPr>
        <w:t xml:space="preserve"> </w:t>
      </w:r>
    </w:p>
    <w:p w14:paraId="58A4D808" w14:textId="77777777" w:rsidR="00F266EA" w:rsidRPr="00F266EA" w:rsidRDefault="00F266EA" w:rsidP="003A6C64">
      <w:pPr>
        <w:pStyle w:val="ListParagraph"/>
        <w:contextualSpacing w:val="0"/>
        <w:rPr>
          <w:b/>
        </w:rPr>
      </w:pPr>
    </w:p>
    <w:p w14:paraId="25A53F5F" w14:textId="6C28A33B" w:rsidR="00B36EB7" w:rsidRDefault="00B36EB7" w:rsidP="00675F0F">
      <w:pPr>
        <w:pStyle w:val="ListParagraph"/>
        <w:numPr>
          <w:ilvl w:val="0"/>
          <w:numId w:val="30"/>
        </w:numPr>
        <w:ind w:left="1560"/>
        <w:contextualSpacing w:val="0"/>
        <w:rPr>
          <w:b/>
        </w:rPr>
      </w:pPr>
      <w:r w:rsidRPr="00B36EB7">
        <w:rPr>
          <w:b/>
        </w:rPr>
        <w:t>promptly raise the minimum age of recruitment to the Armed Forces from 16 to 18 years to ensure the protection of children, including in NI</w:t>
      </w:r>
      <w:r w:rsidR="00B8187A">
        <w:rPr>
          <w:b/>
        </w:rPr>
        <w:t>.</w:t>
      </w:r>
    </w:p>
    <w:p w14:paraId="750977B6" w14:textId="77777777" w:rsidR="00500DB6" w:rsidRDefault="00500DB6" w:rsidP="00675F0F">
      <w:pPr>
        <w:pStyle w:val="ListParagraph"/>
        <w:ind w:left="1560"/>
        <w:contextualSpacing w:val="0"/>
        <w:rPr>
          <w:b/>
        </w:rPr>
      </w:pPr>
    </w:p>
    <w:p w14:paraId="31E259A8" w14:textId="6E0B09EA" w:rsidR="00F266EA" w:rsidRPr="00500DB6" w:rsidRDefault="00500DB6" w:rsidP="00675F0F">
      <w:pPr>
        <w:pStyle w:val="ListParagraph"/>
        <w:numPr>
          <w:ilvl w:val="0"/>
          <w:numId w:val="30"/>
        </w:numPr>
        <w:ind w:left="1560"/>
        <w:contextualSpacing w:val="0"/>
        <w:rPr>
          <w:rFonts w:eastAsia="Verdana" w:cs="Verdana"/>
          <w:b/>
          <w:bCs/>
          <w:color w:val="000000"/>
        </w:rPr>
      </w:pPr>
      <w:r w:rsidRPr="00500DB6">
        <w:rPr>
          <w:b/>
          <w:bCs/>
        </w:rPr>
        <w:t>prohibit all forms of advertising and marketing for military service targeted at children</w:t>
      </w:r>
      <w:r w:rsidR="00B8187A">
        <w:rPr>
          <w:b/>
          <w:bCs/>
        </w:rPr>
        <w:t xml:space="preserve"> in NI.</w:t>
      </w:r>
    </w:p>
    <w:p w14:paraId="7FF4740C" w14:textId="77777777" w:rsidR="00DD032B" w:rsidRDefault="00DD032B" w:rsidP="003A6C64">
      <w:pPr>
        <w:rPr>
          <w:rFonts w:eastAsia="Verdana" w:cs="Verdana"/>
          <w:bCs/>
          <w:color w:val="000000"/>
        </w:rPr>
      </w:pPr>
    </w:p>
    <w:p w14:paraId="50516379" w14:textId="34A6BADA" w:rsidR="00DD032B" w:rsidRPr="00DD032B" w:rsidRDefault="00DD032B" w:rsidP="007F6BF1">
      <w:pPr>
        <w:pStyle w:val="Heading2"/>
        <w:spacing w:after="240" w:line="288" w:lineRule="auto"/>
        <w:rPr>
          <w:rFonts w:eastAsia="Verdana"/>
        </w:rPr>
      </w:pPr>
      <w:bookmarkStart w:id="84" w:name="_Toc156901055"/>
      <w:r>
        <w:rPr>
          <w:rFonts w:eastAsia="Verdana"/>
        </w:rPr>
        <w:t>Anonymity</w:t>
      </w:r>
      <w:bookmarkEnd w:id="84"/>
    </w:p>
    <w:p w14:paraId="755519DB" w14:textId="473BB3D4" w:rsidR="00A51639" w:rsidRPr="00A51639" w:rsidRDefault="00695F9B" w:rsidP="00675F0F">
      <w:pPr>
        <w:pStyle w:val="ListParagraph"/>
        <w:numPr>
          <w:ilvl w:val="1"/>
          <w:numId w:val="15"/>
        </w:numPr>
        <w:ind w:left="851" w:hanging="851"/>
        <w:contextualSpacing w:val="0"/>
        <w:rPr>
          <w:rFonts w:eastAsia="Verdana" w:cs="Verdana"/>
          <w:bCs/>
          <w:color w:val="000000"/>
        </w:rPr>
      </w:pPr>
      <w:r>
        <w:t>It is not prohibited in NI to</w:t>
      </w:r>
      <w:r w:rsidR="00F55281">
        <w:t xml:space="preserve"> name a child suspected of committing an offence</w:t>
      </w:r>
      <w:r>
        <w:t xml:space="preserve"> in the media</w:t>
      </w:r>
      <w:r w:rsidR="00DD032B" w:rsidRPr="006473CF">
        <w:t>.</w:t>
      </w:r>
      <w:r w:rsidR="00DD032B" w:rsidRPr="006473CF">
        <w:rPr>
          <w:rStyle w:val="FootnoteReference"/>
        </w:rPr>
        <w:footnoteReference w:id="331"/>
      </w:r>
      <w:r w:rsidR="00DD032B" w:rsidRPr="006473CF">
        <w:t xml:space="preserve"> </w:t>
      </w:r>
      <w:r w:rsidR="00D81241">
        <w:t xml:space="preserve">There are </w:t>
      </w:r>
      <w:r w:rsidR="00DD032B" w:rsidRPr="006473CF">
        <w:t>reporting restrictions for minors in post-charge and court scenarios,</w:t>
      </w:r>
      <w:r w:rsidR="00D81241">
        <w:rPr>
          <w:rStyle w:val="FootnoteReference"/>
        </w:rPr>
        <w:footnoteReference w:id="332"/>
      </w:r>
      <w:r w:rsidR="00DD032B" w:rsidRPr="006473CF">
        <w:t xml:space="preserve"> but not for minors who are pre-charge.</w:t>
      </w:r>
    </w:p>
    <w:p w14:paraId="5EBF1F2E" w14:textId="77777777" w:rsidR="00A51639" w:rsidRPr="00A51639" w:rsidRDefault="00A51639" w:rsidP="00675F0F">
      <w:pPr>
        <w:pStyle w:val="ListParagraph"/>
        <w:ind w:left="851" w:hanging="851"/>
        <w:contextualSpacing w:val="0"/>
        <w:rPr>
          <w:rFonts w:eastAsia="Verdana" w:cs="Verdana"/>
          <w:bCs/>
          <w:color w:val="000000"/>
        </w:rPr>
      </w:pPr>
    </w:p>
    <w:p w14:paraId="39762014" w14:textId="70EAE365" w:rsidR="00DE0CFB" w:rsidRPr="00321E54" w:rsidRDefault="00A51639" w:rsidP="00675F0F">
      <w:pPr>
        <w:pStyle w:val="ListParagraph"/>
        <w:numPr>
          <w:ilvl w:val="1"/>
          <w:numId w:val="15"/>
        </w:numPr>
        <w:ind w:left="851" w:hanging="851"/>
        <w:contextualSpacing w:val="0"/>
        <w:rPr>
          <w:rFonts w:eastAsia="Verdana" w:cs="Verdana"/>
          <w:b/>
          <w:color w:val="000000"/>
        </w:rPr>
      </w:pPr>
      <w:r w:rsidRPr="00A51639">
        <w:rPr>
          <w:b/>
        </w:rPr>
        <w:t xml:space="preserve">The Committee may wish to </w:t>
      </w:r>
      <w:r w:rsidR="009D6B88">
        <w:rPr>
          <w:b/>
        </w:rPr>
        <w:t xml:space="preserve">recommend that </w:t>
      </w:r>
      <w:r w:rsidRPr="00A51639">
        <w:rPr>
          <w:b/>
        </w:rPr>
        <w:t xml:space="preserve">the UK </w:t>
      </w:r>
      <w:r w:rsidR="009D6B88">
        <w:rPr>
          <w:b/>
        </w:rPr>
        <w:t>takes effective steps</w:t>
      </w:r>
      <w:r w:rsidRPr="00A51639">
        <w:rPr>
          <w:b/>
        </w:rPr>
        <w:t xml:space="preserve"> to ensure all children allegedly involved in an offence are granted anonymity at every stage of the legal process in NI</w:t>
      </w:r>
      <w:r w:rsidR="00A611AC">
        <w:rPr>
          <w:b/>
        </w:rPr>
        <w:t>.</w:t>
      </w:r>
    </w:p>
    <w:p w14:paraId="5A85A97D" w14:textId="77777777" w:rsidR="00321E54" w:rsidRPr="00321E54" w:rsidRDefault="00321E54" w:rsidP="003A6C64">
      <w:pPr>
        <w:pStyle w:val="ListParagraph"/>
        <w:contextualSpacing w:val="0"/>
        <w:rPr>
          <w:rFonts w:eastAsia="Verdana" w:cs="Verdana"/>
          <w:b/>
          <w:color w:val="000000"/>
        </w:rPr>
      </w:pPr>
    </w:p>
    <w:p w14:paraId="4A1648EC" w14:textId="41269C57" w:rsidR="00321E54" w:rsidRPr="00EC1E80" w:rsidRDefault="00EA0F9C" w:rsidP="007F6BF1">
      <w:pPr>
        <w:pStyle w:val="Heading2"/>
        <w:spacing w:after="240" w:line="288" w:lineRule="auto"/>
      </w:pPr>
      <w:bookmarkStart w:id="85" w:name="_Toc156901056"/>
      <w:r>
        <w:t>Use of p</w:t>
      </w:r>
      <w:r w:rsidR="00321E54">
        <w:t xml:space="preserve">olice </w:t>
      </w:r>
      <w:r>
        <w:t xml:space="preserve">powers on </w:t>
      </w:r>
      <w:r w:rsidR="00321E54">
        <w:t>children</w:t>
      </w:r>
      <w:bookmarkEnd w:id="85"/>
    </w:p>
    <w:p w14:paraId="53F874ED" w14:textId="5855AE3A" w:rsidR="00321E54" w:rsidRPr="006B25FD" w:rsidRDefault="00321E54" w:rsidP="00675F0F">
      <w:pPr>
        <w:pStyle w:val="ListParagraph"/>
        <w:numPr>
          <w:ilvl w:val="1"/>
          <w:numId w:val="15"/>
        </w:numPr>
        <w:ind w:left="851" w:hanging="851"/>
        <w:contextualSpacing w:val="0"/>
      </w:pPr>
      <w:r w:rsidRPr="00287EB8">
        <w:rPr>
          <w:color w:val="000000"/>
        </w:rPr>
        <w:t xml:space="preserve">In 2022, spit and bite guards </w:t>
      </w:r>
      <w:r w:rsidR="00AE4E19">
        <w:rPr>
          <w:color w:val="000000"/>
        </w:rPr>
        <w:t>became</w:t>
      </w:r>
      <w:r w:rsidRPr="00287EB8">
        <w:rPr>
          <w:color w:val="000000"/>
        </w:rPr>
        <w:t xml:space="preserve"> a permanent tactic for all front-line police officers</w:t>
      </w:r>
      <w:r>
        <w:rPr>
          <w:color w:val="000000"/>
        </w:rPr>
        <w:t xml:space="preserve"> in NI</w:t>
      </w:r>
      <w:r w:rsidRPr="00287EB8">
        <w:rPr>
          <w:color w:val="000000"/>
        </w:rPr>
        <w:t xml:space="preserve">. Spit and bite guards can be used on children aged ten years old and upwards, in line with the age of criminal responsibility. </w:t>
      </w:r>
      <w:r w:rsidR="00D62B7E" w:rsidRPr="003A6C64">
        <w:t>In 2022/2023, spit and bite guards were used seven times on children under 18 years old in NI.</w:t>
      </w:r>
      <w:r w:rsidR="00486B11" w:rsidRPr="00287EB8">
        <w:rPr>
          <w:rStyle w:val="FootnoteReference"/>
        </w:rPr>
        <w:footnoteReference w:id="333"/>
      </w:r>
    </w:p>
    <w:p w14:paraId="7DAA9736" w14:textId="77777777" w:rsidR="00321E54" w:rsidRDefault="00321E54" w:rsidP="00675F0F">
      <w:pPr>
        <w:pStyle w:val="ListParagraph"/>
        <w:ind w:left="851" w:hanging="851"/>
        <w:contextualSpacing w:val="0"/>
      </w:pPr>
    </w:p>
    <w:p w14:paraId="6C846AB5" w14:textId="404244CE" w:rsidR="00AB00CF" w:rsidRDefault="00321E54" w:rsidP="00675F0F">
      <w:pPr>
        <w:pStyle w:val="ListParagraph"/>
        <w:numPr>
          <w:ilvl w:val="1"/>
          <w:numId w:val="15"/>
        </w:numPr>
        <w:ind w:left="851" w:hanging="851"/>
        <w:contextualSpacing w:val="0"/>
      </w:pPr>
      <w:r>
        <w:rPr>
          <w:color w:val="000000"/>
        </w:rPr>
        <w:t xml:space="preserve">In 2022, </w:t>
      </w:r>
      <w:r>
        <w:t>1,279 children were brought into custody and 27 were strip searched.</w:t>
      </w:r>
      <w:r>
        <w:rPr>
          <w:rStyle w:val="FootnoteReference"/>
        </w:rPr>
        <w:footnoteReference w:id="334"/>
      </w:r>
      <w:r>
        <w:t xml:space="preserve"> One was 14 years old, one was 15 years old, three were 16 years old and 22 were 17 years old.</w:t>
      </w:r>
      <w:r>
        <w:rPr>
          <w:rStyle w:val="FootnoteReference"/>
        </w:rPr>
        <w:footnoteReference w:id="335"/>
      </w:r>
      <w:r>
        <w:t xml:space="preserve"> An appropriate adult was present on only six occasions.</w:t>
      </w:r>
      <w:r>
        <w:rPr>
          <w:rStyle w:val="FootnoteReference"/>
        </w:rPr>
        <w:footnoteReference w:id="336"/>
      </w:r>
      <w:r>
        <w:t xml:space="preserve"> </w:t>
      </w:r>
      <w:r w:rsidR="00293DFB">
        <w:t>Steps are being taken</w:t>
      </w:r>
      <w:r w:rsidR="0096008E">
        <w:t xml:space="preserve"> to improve monitoring and </w:t>
      </w:r>
      <w:r w:rsidR="002B3484">
        <w:t xml:space="preserve">governance </w:t>
      </w:r>
      <w:r w:rsidR="00DE3583">
        <w:t>arrangements</w:t>
      </w:r>
      <w:r w:rsidR="002B3484">
        <w:t>.</w:t>
      </w:r>
      <w:r w:rsidR="00DE3583">
        <w:rPr>
          <w:rStyle w:val="FootnoteReference"/>
        </w:rPr>
        <w:footnoteReference w:id="337"/>
      </w:r>
    </w:p>
    <w:p w14:paraId="5AD03B69" w14:textId="77777777" w:rsidR="00321E54" w:rsidRDefault="00321E54" w:rsidP="00675F0F">
      <w:pPr>
        <w:pStyle w:val="ListParagraph"/>
        <w:ind w:left="851" w:hanging="851"/>
        <w:contextualSpacing w:val="0"/>
      </w:pPr>
    </w:p>
    <w:p w14:paraId="15936505" w14:textId="53F529AF" w:rsidR="006F3DB8" w:rsidRDefault="00321E54" w:rsidP="00675F0F">
      <w:pPr>
        <w:pStyle w:val="ListParagraph"/>
        <w:numPr>
          <w:ilvl w:val="1"/>
          <w:numId w:val="15"/>
        </w:numPr>
        <w:ind w:left="851" w:hanging="851"/>
        <w:contextualSpacing w:val="0"/>
        <w:rPr>
          <w:b/>
          <w:bCs/>
        </w:rPr>
      </w:pPr>
      <w:r w:rsidRPr="00BC5A1D">
        <w:rPr>
          <w:b/>
          <w:bCs/>
        </w:rPr>
        <w:t xml:space="preserve">The Committee may wish to </w:t>
      </w:r>
      <w:r w:rsidR="00BC420C">
        <w:rPr>
          <w:b/>
          <w:bCs/>
        </w:rPr>
        <w:t>recommend that</w:t>
      </w:r>
      <w:r w:rsidR="00BC420C" w:rsidRPr="00BC5A1D">
        <w:rPr>
          <w:b/>
          <w:bCs/>
        </w:rPr>
        <w:t xml:space="preserve"> </w:t>
      </w:r>
      <w:r w:rsidRPr="00BC5A1D">
        <w:rPr>
          <w:b/>
          <w:bCs/>
        </w:rPr>
        <w:t xml:space="preserve">the UK </w:t>
      </w:r>
      <w:r w:rsidR="00BC420C">
        <w:rPr>
          <w:b/>
          <w:bCs/>
        </w:rPr>
        <w:t>takes effective steps</w:t>
      </w:r>
      <w:r w:rsidRPr="00BC5A1D">
        <w:rPr>
          <w:b/>
          <w:bCs/>
        </w:rPr>
        <w:t xml:space="preserve"> to</w:t>
      </w:r>
      <w:r w:rsidR="006F3DB8">
        <w:rPr>
          <w:b/>
          <w:bCs/>
        </w:rPr>
        <w:t>:</w:t>
      </w:r>
      <w:r w:rsidRPr="00BC5A1D">
        <w:rPr>
          <w:b/>
          <w:bCs/>
        </w:rPr>
        <w:t xml:space="preserve"> </w:t>
      </w:r>
    </w:p>
    <w:p w14:paraId="52973959" w14:textId="77777777" w:rsidR="006F3DB8" w:rsidRPr="006F3DB8" w:rsidRDefault="006F3DB8" w:rsidP="003A6C64">
      <w:pPr>
        <w:pStyle w:val="ListParagraph"/>
        <w:contextualSpacing w:val="0"/>
        <w:rPr>
          <w:rFonts w:eastAsia="Times New Roman" w:cs="Arial"/>
        </w:rPr>
      </w:pPr>
    </w:p>
    <w:p w14:paraId="646FF63D" w14:textId="36ED8931" w:rsidR="000A6518" w:rsidRPr="00A66A1A" w:rsidRDefault="000A6518" w:rsidP="007F6BF1">
      <w:pPr>
        <w:pStyle w:val="ListParagraph"/>
        <w:numPr>
          <w:ilvl w:val="0"/>
          <w:numId w:val="57"/>
        </w:numPr>
        <w:ind w:left="1560"/>
        <w:contextualSpacing w:val="0"/>
        <w:rPr>
          <w:b/>
          <w:bCs/>
        </w:rPr>
      </w:pPr>
      <w:r w:rsidRPr="00A66A1A">
        <w:rPr>
          <w:rFonts w:eastAsia="Times New Roman" w:cs="Arial"/>
          <w:b/>
          <w:bCs/>
        </w:rPr>
        <w:t>minimise, with a view to eliminating, the use of spit and bite guards on children. This includes ensuring that the best interests of the child are a primary consideration in such scenarios.</w:t>
      </w:r>
      <w:r w:rsidR="00056AC4" w:rsidRPr="00A66A1A">
        <w:rPr>
          <w:rFonts w:eastAsia="Times New Roman" w:cs="Arial"/>
          <w:b/>
          <w:bCs/>
        </w:rPr>
        <w:t xml:space="preserve"> Also, while working towards the elimination for the use of spit and bite guards on children, policies in NI are amended to ensure the exceptional scenarios in which spit and bite guards can be used on children is clear, effective training is provided.</w:t>
      </w:r>
    </w:p>
    <w:p w14:paraId="1E152A47" w14:textId="77777777" w:rsidR="00A66A1A" w:rsidRPr="00A66A1A" w:rsidRDefault="00A66A1A" w:rsidP="007F6BF1">
      <w:pPr>
        <w:pStyle w:val="ListParagraph"/>
        <w:ind w:left="1560"/>
        <w:contextualSpacing w:val="0"/>
        <w:rPr>
          <w:b/>
          <w:bCs/>
        </w:rPr>
      </w:pPr>
    </w:p>
    <w:p w14:paraId="6B6B945F" w14:textId="4287CD7F" w:rsidR="00A66A1A" w:rsidRPr="00705BF7" w:rsidRDefault="007D5F04" w:rsidP="007F6BF1">
      <w:pPr>
        <w:pStyle w:val="ListParagraph"/>
        <w:numPr>
          <w:ilvl w:val="0"/>
          <w:numId w:val="57"/>
        </w:numPr>
        <w:ind w:left="1560"/>
        <w:contextualSpacing w:val="0"/>
        <w:rPr>
          <w:b/>
          <w:bCs/>
        </w:rPr>
      </w:pPr>
      <w:r w:rsidRPr="00705BF7">
        <w:rPr>
          <w:b/>
          <w:bCs/>
        </w:rPr>
        <w:t>to eliminate the use of strip searches on children. This includes ensuring availability of less intrusive methods for conducting searches that are effectively monitored, regularly reviewed and consider the child’s best interests.</w:t>
      </w:r>
      <w:r w:rsidR="00705BF7" w:rsidRPr="00705BF7">
        <w:rPr>
          <w:b/>
          <w:bCs/>
        </w:rPr>
        <w:t xml:space="preserve"> </w:t>
      </w:r>
    </w:p>
    <w:p w14:paraId="7B4F4146" w14:textId="77777777" w:rsidR="000E4765" w:rsidRPr="000E4765" w:rsidRDefault="000E4765" w:rsidP="003A6C64">
      <w:pPr>
        <w:ind w:left="1134" w:hanging="1145"/>
        <w:rPr>
          <w:b/>
        </w:rPr>
      </w:pPr>
    </w:p>
    <w:p w14:paraId="2851A4B6" w14:textId="14D8CBE9" w:rsidR="0089377D" w:rsidRPr="00587912" w:rsidRDefault="00926B1B" w:rsidP="006C6C1C">
      <w:pPr>
        <w:pStyle w:val="Heading1"/>
        <w:numPr>
          <w:ilvl w:val="0"/>
          <w:numId w:val="18"/>
        </w:numPr>
        <w:spacing w:before="0" w:after="240" w:line="288" w:lineRule="auto"/>
        <w:ind w:left="1134" w:hanging="1134"/>
      </w:pPr>
      <w:bookmarkStart w:id="86" w:name="_Toc156901057"/>
      <w:r w:rsidRPr="003007C4">
        <w:t>A</w:t>
      </w:r>
      <w:r w:rsidR="00B17B48">
        <w:t xml:space="preserve">rticle </w:t>
      </w:r>
      <w:r w:rsidR="00E02AE6">
        <w:t xml:space="preserve">25 – Right to </w:t>
      </w:r>
      <w:r w:rsidR="00F8218B">
        <w:t>V</w:t>
      </w:r>
      <w:r w:rsidR="00E02AE6">
        <w:t xml:space="preserve">ote and to be </w:t>
      </w:r>
      <w:r w:rsidR="00F8218B">
        <w:t>E</w:t>
      </w:r>
      <w:r w:rsidR="00E02AE6">
        <w:t>lected</w:t>
      </w:r>
      <w:bookmarkEnd w:id="86"/>
    </w:p>
    <w:p w14:paraId="79BE6A08" w14:textId="11899BCE" w:rsidR="00445C0D" w:rsidRDefault="00445C0D" w:rsidP="007F6BF1">
      <w:pPr>
        <w:pStyle w:val="Heading2"/>
        <w:spacing w:after="240" w:line="288" w:lineRule="auto"/>
      </w:pPr>
      <w:bookmarkStart w:id="87" w:name="_Toc156901058"/>
      <w:r>
        <w:t xml:space="preserve">Participation in political </w:t>
      </w:r>
      <w:r w:rsidR="00117B73">
        <w:t xml:space="preserve">and public </w:t>
      </w:r>
      <w:r>
        <w:t>life</w:t>
      </w:r>
      <w:bookmarkEnd w:id="87"/>
      <w:r>
        <w:t xml:space="preserve"> </w:t>
      </w:r>
    </w:p>
    <w:p w14:paraId="34C20EC0" w14:textId="759F1904" w:rsidR="00512E3F" w:rsidRPr="00512E3F" w:rsidRDefault="009B18F9" w:rsidP="007F6BF1">
      <w:pPr>
        <w:pStyle w:val="ListParagraph"/>
        <w:numPr>
          <w:ilvl w:val="1"/>
          <w:numId w:val="18"/>
        </w:numPr>
        <w:ind w:left="851" w:hanging="851"/>
        <w:contextualSpacing w:val="0"/>
      </w:pPr>
      <w:r>
        <w:t>W</w:t>
      </w:r>
      <w:r w:rsidR="00512E3F" w:rsidRPr="00512E3F">
        <w:t xml:space="preserve">omen, particularly minority women, remain under-represented in political life in NI. </w:t>
      </w:r>
      <w:r w:rsidR="00F64B45">
        <w:t xml:space="preserve">In 2023, </w:t>
      </w:r>
      <w:r w:rsidR="00FF26DF">
        <w:t>37 per cent of the NI Assembly</w:t>
      </w:r>
      <w:r w:rsidR="00512E3F" w:rsidRPr="00512E3F">
        <w:t xml:space="preserve"> </w:t>
      </w:r>
      <w:r w:rsidR="00E50507">
        <w:t xml:space="preserve">and 26 per cent of </w:t>
      </w:r>
      <w:r w:rsidR="00F64B45">
        <w:t xml:space="preserve">NI </w:t>
      </w:r>
      <w:r w:rsidR="00E50507">
        <w:t>Councillors</w:t>
      </w:r>
      <w:r w:rsidR="00862F7E">
        <w:t xml:space="preserve"> </w:t>
      </w:r>
      <w:r w:rsidR="00F64B45">
        <w:t>were women</w:t>
      </w:r>
      <w:r w:rsidR="00862F7E">
        <w:t>.</w:t>
      </w:r>
      <w:r w:rsidR="008D23F4">
        <w:rPr>
          <w:rStyle w:val="FootnoteReference"/>
        </w:rPr>
        <w:footnoteReference w:id="338"/>
      </w:r>
      <w:r w:rsidR="00076B69">
        <w:t xml:space="preserve"> T</w:t>
      </w:r>
      <w:r w:rsidR="00076B69" w:rsidRPr="00076B69">
        <w:t xml:space="preserve">here are no </w:t>
      </w:r>
      <w:r w:rsidR="00C22AD4">
        <w:t xml:space="preserve">members elected to the NI Assembly from </w:t>
      </w:r>
      <w:r w:rsidR="00076B69" w:rsidRPr="00076B69">
        <w:t>minority ethnic groups.</w:t>
      </w:r>
      <w:r w:rsidR="006425F8">
        <w:rPr>
          <w:rStyle w:val="FootnoteReference"/>
        </w:rPr>
        <w:footnoteReference w:id="339"/>
      </w:r>
    </w:p>
    <w:p w14:paraId="13BCBC43" w14:textId="77777777" w:rsidR="00512E3F" w:rsidRPr="00512E3F" w:rsidRDefault="00512E3F" w:rsidP="007F6BF1">
      <w:pPr>
        <w:pStyle w:val="ListParagraph"/>
        <w:ind w:left="851" w:hanging="851"/>
        <w:contextualSpacing w:val="0"/>
      </w:pPr>
    </w:p>
    <w:p w14:paraId="4A8F0804" w14:textId="7997BBB7" w:rsidR="00512E3F" w:rsidRDefault="004B3E6F" w:rsidP="007F6BF1">
      <w:pPr>
        <w:pStyle w:val="ListParagraph"/>
        <w:numPr>
          <w:ilvl w:val="1"/>
          <w:numId w:val="18"/>
        </w:numPr>
        <w:ind w:left="851" w:hanging="851"/>
        <w:contextualSpacing w:val="0"/>
      </w:pPr>
      <w:r>
        <w:t>P</w:t>
      </w:r>
      <w:r w:rsidR="00512E3F" w:rsidRPr="00512E3F">
        <w:t xml:space="preserve">olitical parties </w:t>
      </w:r>
      <w:r>
        <w:t>can</w:t>
      </w:r>
      <w:r w:rsidR="00512E3F" w:rsidRPr="00512E3F">
        <w:t xml:space="preserve"> take positive measures to reduce inequality between men and women elected to Parliament, the NI Assembly</w:t>
      </w:r>
      <w:r w:rsidR="000D5820">
        <w:t xml:space="preserve"> and </w:t>
      </w:r>
      <w:r w:rsidR="00512E3F" w:rsidRPr="00512E3F">
        <w:t>District Councils.</w:t>
      </w:r>
      <w:r w:rsidR="00512E3F" w:rsidRPr="00512E3F">
        <w:rPr>
          <w:vertAlign w:val="superscript"/>
        </w:rPr>
        <w:footnoteReference w:id="340"/>
      </w:r>
      <w:r w:rsidR="00512E3F" w:rsidRPr="00512E3F">
        <w:t xml:space="preserve"> </w:t>
      </w:r>
      <w:r>
        <w:t>However, this</w:t>
      </w:r>
      <w:r w:rsidR="00512E3F" w:rsidRPr="00512E3F">
        <w:t xml:space="preserve"> has not been utilised.</w:t>
      </w:r>
    </w:p>
    <w:p w14:paraId="4E6617D5" w14:textId="77777777" w:rsidR="007B4BD5" w:rsidRDefault="007B4BD5" w:rsidP="007F6BF1">
      <w:pPr>
        <w:pStyle w:val="ListParagraph"/>
        <w:ind w:left="851" w:hanging="851"/>
      </w:pPr>
    </w:p>
    <w:p w14:paraId="11D25DD3" w14:textId="080678FC" w:rsidR="007B4BD5" w:rsidRDefault="00580A15" w:rsidP="007F6BF1">
      <w:pPr>
        <w:pStyle w:val="ListParagraph"/>
        <w:numPr>
          <w:ilvl w:val="1"/>
          <w:numId w:val="18"/>
        </w:numPr>
        <w:ind w:left="851" w:hanging="851"/>
        <w:contextualSpacing w:val="0"/>
      </w:pPr>
      <w:r>
        <w:t>In</w:t>
      </w:r>
      <w:r w:rsidRPr="004D77D2">
        <w:t xml:space="preserve">accessibility of childcare in NI </w:t>
      </w:r>
      <w:r w:rsidR="00AA4E6E">
        <w:t xml:space="preserve">is </w:t>
      </w:r>
      <w:r w:rsidR="001128BA">
        <w:t>a barrier to</w:t>
      </w:r>
      <w:r w:rsidR="00AA4E6E">
        <w:t xml:space="preserve"> women</w:t>
      </w:r>
      <w:r w:rsidR="001128BA">
        <w:t xml:space="preserve"> </w:t>
      </w:r>
      <w:r w:rsidR="00F8000A">
        <w:t>participating in political and public life</w:t>
      </w:r>
      <w:r w:rsidR="006E1B0F">
        <w:t>.</w:t>
      </w:r>
      <w:r w:rsidRPr="00C30EB4">
        <w:rPr>
          <w:vertAlign w:val="superscript"/>
        </w:rPr>
        <w:footnoteReference w:id="341"/>
      </w:r>
      <w:r w:rsidR="006E1B0F">
        <w:t xml:space="preserve"> </w:t>
      </w:r>
      <w:r w:rsidR="00392F8B">
        <w:t>Unlike the rest of the UK, t</w:t>
      </w:r>
      <w:r w:rsidR="00F355C8" w:rsidRPr="00485AC0">
        <w:t>here is no statutory duty to provide childcare in NI.</w:t>
      </w:r>
      <w:r w:rsidR="00F355C8" w:rsidRPr="00485AC0">
        <w:rPr>
          <w:vertAlign w:val="superscript"/>
        </w:rPr>
        <w:footnoteReference w:id="342"/>
      </w:r>
      <w:r w:rsidR="00F355C8" w:rsidRPr="00485AC0">
        <w:t xml:space="preserve"> </w:t>
      </w:r>
      <w:r w:rsidR="00826972">
        <w:t>An up-to-date</w:t>
      </w:r>
      <w:r w:rsidR="00F355C8" w:rsidRPr="00485AC0">
        <w:t xml:space="preserve"> Childcare Strategy</w:t>
      </w:r>
      <w:r w:rsidR="00826972">
        <w:t xml:space="preserve"> is also lacking</w:t>
      </w:r>
      <w:r w:rsidR="00F959A4">
        <w:t>.</w:t>
      </w:r>
      <w:r w:rsidR="006248AF">
        <w:rPr>
          <w:rStyle w:val="FootnoteReference"/>
        </w:rPr>
        <w:footnoteReference w:id="343"/>
      </w:r>
      <w:r w:rsidR="00F959A4">
        <w:t xml:space="preserve"> P</w:t>
      </w:r>
      <w:r w:rsidR="00826972">
        <w:t xml:space="preserve">rogress </w:t>
      </w:r>
      <w:r w:rsidR="00B71766">
        <w:t>was hindered by the suspension of the</w:t>
      </w:r>
      <w:r w:rsidR="00F355C8">
        <w:t xml:space="preserve"> NI Executive.</w:t>
      </w:r>
      <w:r w:rsidR="00392F8B">
        <w:rPr>
          <w:rStyle w:val="FootnoteReference"/>
        </w:rPr>
        <w:footnoteReference w:id="344"/>
      </w:r>
    </w:p>
    <w:p w14:paraId="11EC2E47" w14:textId="77777777" w:rsidR="00A97E62" w:rsidRDefault="00A97E62" w:rsidP="007F6BF1">
      <w:pPr>
        <w:pStyle w:val="ListParagraph"/>
        <w:ind w:left="851" w:hanging="851"/>
      </w:pPr>
    </w:p>
    <w:p w14:paraId="40A4EB85" w14:textId="6728A81C" w:rsidR="00A97E62" w:rsidRPr="00512E3F" w:rsidRDefault="00A97E62" w:rsidP="007F6BF1">
      <w:pPr>
        <w:pStyle w:val="ListParagraph"/>
        <w:numPr>
          <w:ilvl w:val="1"/>
          <w:numId w:val="18"/>
        </w:numPr>
        <w:ind w:left="851" w:hanging="851"/>
        <w:contextualSpacing w:val="0"/>
      </w:pPr>
      <w:r>
        <w:t xml:space="preserve">Persons with disabilities </w:t>
      </w:r>
      <w:r w:rsidR="004411E1">
        <w:t>are</w:t>
      </w:r>
      <w:r>
        <w:t xml:space="preserve"> under-represented in both political and public life</w:t>
      </w:r>
      <w:r w:rsidR="00C93724">
        <w:t xml:space="preserve"> in NI</w:t>
      </w:r>
      <w:r w:rsidR="006D75B7">
        <w:t>.</w:t>
      </w:r>
      <w:r w:rsidR="00C93724">
        <w:rPr>
          <w:rStyle w:val="FootnoteReference"/>
        </w:rPr>
        <w:footnoteReference w:id="345"/>
      </w:r>
      <w:r w:rsidR="009A2378">
        <w:t xml:space="preserve"> In 2023</w:t>
      </w:r>
      <w:r w:rsidR="00BC4624">
        <w:t>, the Electoral</w:t>
      </w:r>
      <w:r w:rsidR="000C2343">
        <w:t xml:space="preserve"> Commission</w:t>
      </w:r>
      <w:r w:rsidR="00BC4624">
        <w:t xml:space="preserve"> advised that more work is needed</w:t>
      </w:r>
      <w:r w:rsidR="008D2378">
        <w:t xml:space="preserve"> in NI</w:t>
      </w:r>
      <w:r w:rsidR="00BC4624">
        <w:t xml:space="preserve"> </w:t>
      </w:r>
      <w:r w:rsidR="00B64A97">
        <w:t>to ensure</w:t>
      </w:r>
      <w:r w:rsidR="00FD746F">
        <w:t xml:space="preserve"> persons with disabilities </w:t>
      </w:r>
      <w:r w:rsidR="00594A1F">
        <w:t>receive adequate information at each stage of the electoral cycle</w:t>
      </w:r>
      <w:r w:rsidR="00C93724">
        <w:t>.</w:t>
      </w:r>
      <w:r w:rsidR="00C93724">
        <w:rPr>
          <w:rStyle w:val="FootnoteReference"/>
        </w:rPr>
        <w:footnoteReference w:id="346"/>
      </w:r>
    </w:p>
    <w:p w14:paraId="6AA0B960" w14:textId="77777777" w:rsidR="00445C0D" w:rsidRPr="00AA4A79" w:rsidRDefault="00445C0D" w:rsidP="007F6BF1">
      <w:pPr>
        <w:ind w:left="851" w:hanging="851"/>
        <w:rPr>
          <w:b/>
        </w:rPr>
      </w:pPr>
    </w:p>
    <w:p w14:paraId="5590CD9C" w14:textId="4AEFAECC" w:rsidR="00782533" w:rsidRDefault="00445C0D" w:rsidP="007F6BF1">
      <w:pPr>
        <w:pStyle w:val="ListParagraph"/>
        <w:numPr>
          <w:ilvl w:val="1"/>
          <w:numId w:val="18"/>
        </w:numPr>
        <w:ind w:left="851" w:hanging="851"/>
        <w:contextualSpacing w:val="0"/>
        <w:rPr>
          <w:b/>
        </w:rPr>
      </w:pPr>
      <w:r w:rsidRPr="00445C0D">
        <w:rPr>
          <w:b/>
        </w:rPr>
        <w:t xml:space="preserve">The Committee may wish to </w:t>
      </w:r>
      <w:r w:rsidR="004B3E6F">
        <w:rPr>
          <w:b/>
        </w:rPr>
        <w:t>recommend that</w:t>
      </w:r>
      <w:r w:rsidR="004B3E6F" w:rsidRPr="00445C0D">
        <w:rPr>
          <w:b/>
        </w:rPr>
        <w:t xml:space="preserve"> </w:t>
      </w:r>
      <w:r w:rsidRPr="00445C0D">
        <w:rPr>
          <w:b/>
        </w:rPr>
        <w:t xml:space="preserve">the UK </w:t>
      </w:r>
      <w:r w:rsidR="00864B02">
        <w:rPr>
          <w:b/>
        </w:rPr>
        <w:t>take</w:t>
      </w:r>
      <w:r w:rsidR="00A13CE5">
        <w:rPr>
          <w:b/>
        </w:rPr>
        <w:t>s</w:t>
      </w:r>
      <w:r w:rsidR="00864B02">
        <w:rPr>
          <w:b/>
        </w:rPr>
        <w:t xml:space="preserve"> effective </w:t>
      </w:r>
      <w:r w:rsidR="00471AAF">
        <w:rPr>
          <w:b/>
        </w:rPr>
        <w:t>steps</w:t>
      </w:r>
      <w:r w:rsidR="00864B02">
        <w:rPr>
          <w:b/>
        </w:rPr>
        <w:t xml:space="preserve"> to:</w:t>
      </w:r>
    </w:p>
    <w:p w14:paraId="2F2CCE43" w14:textId="77777777" w:rsidR="00782533" w:rsidRPr="00782533" w:rsidRDefault="00782533" w:rsidP="00782533">
      <w:pPr>
        <w:pStyle w:val="ListParagraph"/>
        <w:rPr>
          <w:b/>
        </w:rPr>
      </w:pPr>
    </w:p>
    <w:p w14:paraId="4CBC55B8" w14:textId="24B59197" w:rsidR="00E02AE6" w:rsidRDefault="00445C0D" w:rsidP="00675F0F">
      <w:pPr>
        <w:pStyle w:val="ListParagraph"/>
        <w:numPr>
          <w:ilvl w:val="0"/>
          <w:numId w:val="60"/>
        </w:numPr>
        <w:ind w:left="1560"/>
        <w:contextualSpacing w:val="0"/>
        <w:rPr>
          <w:b/>
        </w:rPr>
      </w:pPr>
      <w:r w:rsidRPr="00445C0D">
        <w:rPr>
          <w:b/>
        </w:rPr>
        <w:t xml:space="preserve">improve the representation of women, </w:t>
      </w:r>
      <w:r w:rsidR="002719FC">
        <w:rPr>
          <w:b/>
        </w:rPr>
        <w:t>particularly women from minority groups,</w:t>
      </w:r>
      <w:r w:rsidRPr="00445C0D">
        <w:rPr>
          <w:b/>
        </w:rPr>
        <w:t xml:space="preserve"> in NI local government, NI Assembly, and UK Parliament</w:t>
      </w:r>
      <w:r w:rsidR="00E6547D">
        <w:rPr>
          <w:b/>
        </w:rPr>
        <w:t>.</w:t>
      </w:r>
    </w:p>
    <w:p w14:paraId="6A5CE582" w14:textId="77777777" w:rsidR="003953D2" w:rsidRDefault="003953D2" w:rsidP="00675F0F">
      <w:pPr>
        <w:pStyle w:val="ListParagraph"/>
        <w:ind w:left="1560"/>
        <w:contextualSpacing w:val="0"/>
        <w:rPr>
          <w:b/>
        </w:rPr>
      </w:pPr>
    </w:p>
    <w:p w14:paraId="1B7A50C3" w14:textId="649F16C2" w:rsidR="00E6547D" w:rsidRPr="00E6547D" w:rsidRDefault="00864B02" w:rsidP="00675F0F">
      <w:pPr>
        <w:pStyle w:val="ListParagraph"/>
        <w:numPr>
          <w:ilvl w:val="0"/>
          <w:numId w:val="60"/>
        </w:numPr>
        <w:ind w:left="1560"/>
        <w:contextualSpacing w:val="0"/>
        <w:rPr>
          <w:b/>
        </w:rPr>
      </w:pPr>
      <w:r>
        <w:rPr>
          <w:b/>
        </w:rPr>
        <w:t>implement a</w:t>
      </w:r>
      <w:r w:rsidR="003953D2" w:rsidRPr="00485AC0">
        <w:rPr>
          <w:b/>
        </w:rPr>
        <w:t xml:space="preserve"> Childcare Strategy and action </w:t>
      </w:r>
      <w:r>
        <w:rPr>
          <w:b/>
        </w:rPr>
        <w:t xml:space="preserve">plan </w:t>
      </w:r>
      <w:r w:rsidR="003953D2">
        <w:rPr>
          <w:b/>
        </w:rPr>
        <w:t>in NI</w:t>
      </w:r>
      <w:r>
        <w:rPr>
          <w:b/>
        </w:rPr>
        <w:t xml:space="preserve"> </w:t>
      </w:r>
      <w:r w:rsidR="00C51B08" w:rsidRPr="00E6547D">
        <w:rPr>
          <w:b/>
          <w:bCs/>
        </w:rPr>
        <w:t>that recognises non-traditional working patterns and provides for affordable and accessible childcare facilities and/or arrangements</w:t>
      </w:r>
      <w:r w:rsidR="00E6547D" w:rsidRPr="00E6547D">
        <w:rPr>
          <w:b/>
          <w:bCs/>
        </w:rPr>
        <w:t>.</w:t>
      </w:r>
    </w:p>
    <w:p w14:paraId="3E79103F" w14:textId="77777777" w:rsidR="00E6547D" w:rsidRPr="00E6547D" w:rsidRDefault="00E6547D" w:rsidP="00675F0F">
      <w:pPr>
        <w:pStyle w:val="ListParagraph"/>
        <w:ind w:left="1560"/>
        <w:rPr>
          <w:b/>
        </w:rPr>
      </w:pPr>
    </w:p>
    <w:p w14:paraId="7CAC7666" w14:textId="1D9D7754" w:rsidR="003953D2" w:rsidRPr="004F69E5" w:rsidRDefault="00E6547D" w:rsidP="00675F0F">
      <w:pPr>
        <w:pStyle w:val="ListParagraph"/>
        <w:numPr>
          <w:ilvl w:val="0"/>
          <w:numId w:val="60"/>
        </w:numPr>
        <w:ind w:left="1560"/>
        <w:contextualSpacing w:val="0"/>
        <w:rPr>
          <w:b/>
        </w:rPr>
      </w:pPr>
      <w:r>
        <w:rPr>
          <w:b/>
        </w:rPr>
        <w:t>introduce a</w:t>
      </w:r>
      <w:r w:rsidR="00864B02">
        <w:rPr>
          <w:b/>
        </w:rPr>
        <w:t xml:space="preserve"> </w:t>
      </w:r>
      <w:r w:rsidR="003953D2" w:rsidRPr="00864B02">
        <w:rPr>
          <w:b/>
        </w:rPr>
        <w:t>statutory duty to provide adequate and effectively resourced childcare provision</w:t>
      </w:r>
      <w:r w:rsidR="001C4C6C">
        <w:rPr>
          <w:b/>
        </w:rPr>
        <w:t xml:space="preserve"> in NI</w:t>
      </w:r>
      <w:r w:rsidR="003953D2" w:rsidRPr="00864B02">
        <w:rPr>
          <w:b/>
        </w:rPr>
        <w:t>, in line with the rest of the UK.</w:t>
      </w:r>
    </w:p>
    <w:p w14:paraId="600C2451" w14:textId="77777777" w:rsidR="00F83268" w:rsidRDefault="00F83268" w:rsidP="00F83268">
      <w:pPr>
        <w:pStyle w:val="ListParagraph"/>
        <w:ind w:left="1494"/>
        <w:contextualSpacing w:val="0"/>
        <w:rPr>
          <w:b/>
        </w:rPr>
      </w:pPr>
    </w:p>
    <w:p w14:paraId="3C68F271" w14:textId="041C491D" w:rsidR="00782533" w:rsidRPr="0056533E" w:rsidRDefault="005929B0" w:rsidP="00675F0F">
      <w:pPr>
        <w:pStyle w:val="ListParagraph"/>
        <w:numPr>
          <w:ilvl w:val="0"/>
          <w:numId w:val="60"/>
        </w:numPr>
        <w:ind w:left="1560"/>
        <w:contextualSpacing w:val="0"/>
        <w:rPr>
          <w:b/>
        </w:rPr>
      </w:pPr>
      <w:r>
        <w:rPr>
          <w:b/>
        </w:rPr>
        <w:t xml:space="preserve">identify and </w:t>
      </w:r>
      <w:r w:rsidR="001F10A2">
        <w:rPr>
          <w:b/>
        </w:rPr>
        <w:t>remove</w:t>
      </w:r>
      <w:r w:rsidR="001B4AA9">
        <w:rPr>
          <w:b/>
        </w:rPr>
        <w:t xml:space="preserve"> </w:t>
      </w:r>
      <w:r w:rsidR="009231A9">
        <w:rPr>
          <w:b/>
        </w:rPr>
        <w:t xml:space="preserve">barriers to participation in public and political life </w:t>
      </w:r>
      <w:r w:rsidR="00472B97">
        <w:rPr>
          <w:b/>
        </w:rPr>
        <w:t>people with disabilities</w:t>
      </w:r>
      <w:r>
        <w:rPr>
          <w:b/>
        </w:rPr>
        <w:t xml:space="preserve"> in NI</w:t>
      </w:r>
      <w:r w:rsidR="009E566B">
        <w:rPr>
          <w:b/>
        </w:rPr>
        <w:t xml:space="preserve">. This includes </w:t>
      </w:r>
      <w:r w:rsidR="0072767B">
        <w:rPr>
          <w:b/>
        </w:rPr>
        <w:t xml:space="preserve">ensuring the provision of </w:t>
      </w:r>
      <w:r w:rsidR="00886B9B">
        <w:rPr>
          <w:b/>
        </w:rPr>
        <w:t xml:space="preserve">adequate information and </w:t>
      </w:r>
      <w:r w:rsidR="00784BD5">
        <w:rPr>
          <w:b/>
        </w:rPr>
        <w:t>reasonable adjustments</w:t>
      </w:r>
      <w:r w:rsidR="00977F7A">
        <w:rPr>
          <w:b/>
        </w:rPr>
        <w:t xml:space="preserve"> </w:t>
      </w:r>
      <w:r w:rsidR="00262213">
        <w:rPr>
          <w:b/>
        </w:rPr>
        <w:t xml:space="preserve">at all stages. </w:t>
      </w:r>
      <w:r w:rsidR="00784BD5">
        <w:rPr>
          <w:b/>
        </w:rPr>
        <w:t xml:space="preserve"> </w:t>
      </w:r>
    </w:p>
    <w:p w14:paraId="4FF49617" w14:textId="77777777" w:rsidR="004C371F" w:rsidRPr="00587912" w:rsidRDefault="004C371F" w:rsidP="003A6C64">
      <w:pPr>
        <w:pStyle w:val="ListParagraph"/>
        <w:ind w:left="851" w:hanging="851"/>
        <w:contextualSpacing w:val="0"/>
      </w:pPr>
    </w:p>
    <w:p w14:paraId="21705DDC" w14:textId="746FA8D8" w:rsidR="004C371F" w:rsidRPr="00587912" w:rsidRDefault="004C371F" w:rsidP="003A6C64">
      <w:pPr>
        <w:ind w:left="851" w:hanging="851"/>
      </w:pPr>
    </w:p>
    <w:p w14:paraId="7AAD69D1" w14:textId="69C160CC" w:rsidR="00C3789B" w:rsidRPr="00587912" w:rsidRDefault="00C3789B" w:rsidP="003A6C64">
      <w:pPr>
        <w:ind w:left="851" w:hanging="851"/>
      </w:pPr>
    </w:p>
    <w:p w14:paraId="0F43AB88" w14:textId="77777777" w:rsidR="00142383" w:rsidRDefault="00142383" w:rsidP="003A6C64">
      <w:pPr>
        <w:spacing w:after="160"/>
        <w:ind w:left="851" w:hanging="851"/>
      </w:pPr>
      <w:r>
        <w:br w:type="page"/>
      </w:r>
    </w:p>
    <w:p w14:paraId="769E03EA" w14:textId="77777777" w:rsidR="000C2BE6" w:rsidRDefault="000C2BE6" w:rsidP="00F82C55">
      <w:pPr>
        <w:pStyle w:val="BasicParagraph"/>
        <w:suppressAutoHyphens/>
        <w:jc w:val="center"/>
        <w:rPr>
          <w:rFonts w:ascii="Verdana" w:hAnsi="Verdana" w:cs="Arial"/>
          <w:b/>
          <w:bCs/>
          <w:color w:val="77328A"/>
          <w:sz w:val="44"/>
          <w:szCs w:val="44"/>
        </w:rPr>
      </w:pPr>
    </w:p>
    <w:p w14:paraId="541ABD2F" w14:textId="77777777" w:rsidR="000C2BE6" w:rsidRDefault="000C2BE6" w:rsidP="00F82C55">
      <w:pPr>
        <w:pStyle w:val="BasicParagraph"/>
        <w:suppressAutoHyphens/>
        <w:jc w:val="center"/>
        <w:rPr>
          <w:rFonts w:ascii="Verdana" w:hAnsi="Verdana" w:cs="Arial"/>
          <w:b/>
          <w:bCs/>
          <w:color w:val="77328A"/>
          <w:sz w:val="44"/>
          <w:szCs w:val="44"/>
        </w:rPr>
      </w:pPr>
    </w:p>
    <w:p w14:paraId="7B8D1516" w14:textId="77777777" w:rsidR="000C2BE6" w:rsidRDefault="000C2BE6" w:rsidP="00F82C55">
      <w:pPr>
        <w:pStyle w:val="BasicParagraph"/>
        <w:suppressAutoHyphens/>
        <w:jc w:val="center"/>
        <w:rPr>
          <w:rFonts w:ascii="Verdana" w:hAnsi="Verdana" w:cs="Arial"/>
          <w:b/>
          <w:bCs/>
          <w:color w:val="77328A"/>
          <w:sz w:val="44"/>
          <w:szCs w:val="44"/>
        </w:rPr>
      </w:pPr>
    </w:p>
    <w:p w14:paraId="3E926E8E" w14:textId="5D916D35" w:rsidR="000C2BE6" w:rsidRDefault="000C2BE6" w:rsidP="00F82C55">
      <w:pPr>
        <w:pStyle w:val="BasicParagraph"/>
        <w:suppressAutoHyphens/>
        <w:jc w:val="center"/>
        <w:rPr>
          <w:rFonts w:ascii="Verdana" w:hAnsi="Verdana" w:cs="Arial"/>
          <w:b/>
          <w:bCs/>
          <w:color w:val="77328A"/>
          <w:sz w:val="44"/>
          <w:szCs w:val="44"/>
        </w:rPr>
      </w:pPr>
    </w:p>
    <w:p w14:paraId="47F6AD45" w14:textId="77777777" w:rsidR="00835B5E" w:rsidRDefault="00835B5E" w:rsidP="00835B5E">
      <w:pPr>
        <w:pStyle w:val="BasicParagraph"/>
        <w:suppressAutoHyphens/>
        <w:rPr>
          <w:rFonts w:ascii="Verdana" w:hAnsi="Verdana" w:cs="Arial"/>
          <w:b/>
          <w:bCs/>
          <w:color w:val="77328A"/>
          <w:sz w:val="44"/>
          <w:szCs w:val="44"/>
        </w:rPr>
      </w:pPr>
    </w:p>
    <w:p w14:paraId="0D0677FA" w14:textId="77777777" w:rsidR="000C2BE6" w:rsidRDefault="000C2BE6" w:rsidP="00F82C55">
      <w:pPr>
        <w:pStyle w:val="BasicParagraph"/>
        <w:suppressAutoHyphens/>
        <w:jc w:val="center"/>
        <w:rPr>
          <w:rFonts w:ascii="Verdana" w:hAnsi="Verdana" w:cs="Arial"/>
          <w:b/>
          <w:bCs/>
          <w:color w:val="77328A"/>
          <w:sz w:val="44"/>
          <w:szCs w:val="44"/>
        </w:rPr>
      </w:pPr>
    </w:p>
    <w:p w14:paraId="077CE776" w14:textId="5DAE913B" w:rsidR="00F82C55" w:rsidRPr="00430ACC" w:rsidRDefault="00F82C55" w:rsidP="00F82C55">
      <w:pPr>
        <w:pStyle w:val="BasicParagraph"/>
        <w:suppressAutoHyphens/>
        <w:jc w:val="center"/>
        <w:rPr>
          <w:rFonts w:ascii="Verdana" w:hAnsi="Verdana" w:cs="Arial"/>
          <w:b/>
          <w:bCs/>
          <w:color w:val="77328A"/>
          <w:sz w:val="44"/>
          <w:szCs w:val="44"/>
        </w:rPr>
      </w:pPr>
      <w:r w:rsidRPr="00430ACC">
        <w:rPr>
          <w:rFonts w:ascii="Verdana" w:hAnsi="Verdana" w:cs="Arial"/>
          <w:b/>
          <w:bCs/>
          <w:color w:val="77328A"/>
          <w:sz w:val="44"/>
          <w:szCs w:val="44"/>
        </w:rPr>
        <w:t xml:space="preserve">Contact Us </w:t>
      </w:r>
    </w:p>
    <w:p w14:paraId="5DC84D44" w14:textId="77777777" w:rsidR="00F82C55" w:rsidRPr="001479C7" w:rsidRDefault="00F82C55" w:rsidP="00F82C55">
      <w:pPr>
        <w:pStyle w:val="BasicParagraph"/>
        <w:suppressAutoHyphens/>
        <w:jc w:val="center"/>
        <w:rPr>
          <w:rFonts w:ascii="Verdana" w:hAnsi="Verdana" w:cs="Arial"/>
          <w:b/>
          <w:bCs/>
          <w:color w:val="77328A"/>
        </w:rPr>
      </w:pPr>
    </w:p>
    <w:p w14:paraId="68491AC5" w14:textId="1E96CD07" w:rsidR="00F82C55" w:rsidRPr="000D15A8" w:rsidRDefault="00F82C55" w:rsidP="00F82C55">
      <w:pPr>
        <w:pStyle w:val="BasicParagraph"/>
        <w:suppressAutoHyphens/>
        <w:jc w:val="center"/>
        <w:rPr>
          <w:rFonts w:ascii="Verdana" w:hAnsi="Verdana" w:cs="Arial"/>
          <w:b/>
          <w:bCs/>
          <w:color w:val="auto"/>
        </w:rPr>
      </w:pPr>
      <w:r w:rsidRPr="000D15A8">
        <w:rPr>
          <w:rFonts w:ascii="Verdana" w:hAnsi="Verdana" w:cs="Arial"/>
          <w:b/>
          <w:bCs/>
          <w:color w:val="auto"/>
        </w:rPr>
        <w:t xml:space="preserve">For queries, please contact: </w:t>
      </w:r>
      <w:hyperlink r:id="rId12" w:history="1">
        <w:r w:rsidR="00D845DA" w:rsidRPr="00C03BE8">
          <w:rPr>
            <w:rStyle w:val="Hyperlink"/>
            <w:rFonts w:ascii="Verdana" w:hAnsi="Verdana" w:cs="Arial"/>
            <w:b/>
            <w:bCs/>
          </w:rPr>
          <w:t>Hannah.Russell@nihrc.org</w:t>
        </w:r>
      </w:hyperlink>
    </w:p>
    <w:p w14:paraId="79D10E68" w14:textId="77777777" w:rsidR="00D845DA" w:rsidRPr="000D15A8" w:rsidRDefault="00D845DA" w:rsidP="00F82C55">
      <w:pPr>
        <w:pStyle w:val="BasicParagraph"/>
        <w:suppressAutoHyphens/>
        <w:jc w:val="center"/>
        <w:rPr>
          <w:rFonts w:ascii="Verdana" w:hAnsi="Verdana" w:cs="Arial"/>
          <w:b/>
          <w:bCs/>
          <w:color w:val="auto"/>
        </w:rPr>
      </w:pPr>
    </w:p>
    <w:p w14:paraId="5794D513" w14:textId="4E81A549" w:rsidR="00F82C55" w:rsidRPr="000D15A8" w:rsidRDefault="00F82C55" w:rsidP="00F82C55">
      <w:pPr>
        <w:pStyle w:val="BasicParagraph"/>
        <w:suppressAutoHyphens/>
        <w:jc w:val="center"/>
        <w:rPr>
          <w:rStyle w:val="Hyperlink"/>
          <w:rFonts w:ascii="Verdana" w:hAnsi="Verdana" w:cs="Arial"/>
          <w:bCs/>
        </w:rPr>
      </w:pPr>
    </w:p>
    <w:p w14:paraId="5859042C" w14:textId="77777777" w:rsidR="00F82C55" w:rsidRPr="001479C7" w:rsidRDefault="00F82C55" w:rsidP="00F82C55">
      <w:pPr>
        <w:pStyle w:val="BasicParagraph"/>
        <w:suppressAutoHyphens/>
        <w:jc w:val="center"/>
        <w:rPr>
          <w:rFonts w:ascii="Verdana" w:hAnsi="Verdana" w:cs="Arial"/>
          <w:b/>
          <w:bCs/>
          <w:color w:val="auto"/>
        </w:rPr>
      </w:pPr>
    </w:p>
    <w:p w14:paraId="6A01EC91" w14:textId="77777777" w:rsidR="00F82C55" w:rsidRPr="00331C61" w:rsidRDefault="00F82C55" w:rsidP="00F82C55">
      <w:pPr>
        <w:jc w:val="center"/>
        <w:rPr>
          <w:rFonts w:cs="Arial"/>
          <w:b/>
          <w:color w:val="232120"/>
          <w:sz w:val="30"/>
          <w:szCs w:val="30"/>
        </w:rPr>
      </w:pPr>
    </w:p>
    <w:p w14:paraId="66DD55AF" w14:textId="77777777" w:rsidR="00F82C55" w:rsidRPr="00331C61" w:rsidRDefault="00BE2A09" w:rsidP="00F82C55">
      <w:pPr>
        <w:jc w:val="center"/>
        <w:rPr>
          <w:rFonts w:cs="Arial"/>
          <w:color w:val="232120"/>
          <w:sz w:val="28"/>
          <w:szCs w:val="28"/>
        </w:rPr>
      </w:pPr>
      <w:hyperlink r:id="rId13" w:history="1">
        <w:r w:rsidR="00F82C55" w:rsidRPr="00331C61">
          <w:rPr>
            <w:rStyle w:val="Hyperlink"/>
            <w:rFonts w:cs="Arial"/>
            <w:color w:val="232120"/>
            <w:sz w:val="28"/>
            <w:szCs w:val="28"/>
            <w:lang w:val="en-US"/>
          </w:rPr>
          <w:t>www.nihrc.org</w:t>
        </w:r>
      </w:hyperlink>
      <w:r w:rsidR="00F82C55" w:rsidRPr="00331C61">
        <w:rPr>
          <w:rFonts w:cs="Arial"/>
          <w:color w:val="232120"/>
          <w:sz w:val="28"/>
          <w:szCs w:val="28"/>
          <w:lang w:val="en-US"/>
        </w:rPr>
        <w:t xml:space="preserve">  |  </w:t>
      </w:r>
      <w:hyperlink r:id="rId14" w:history="1">
        <w:r w:rsidR="00F82C55" w:rsidRPr="00331C61">
          <w:rPr>
            <w:rStyle w:val="Hyperlink"/>
            <w:rFonts w:cs="Arial"/>
            <w:color w:val="232120"/>
            <w:sz w:val="28"/>
            <w:szCs w:val="28"/>
            <w:lang w:val="en-US"/>
          </w:rPr>
          <w:t>info@nihrc.org</w:t>
        </w:r>
      </w:hyperlink>
      <w:r w:rsidR="00F82C55" w:rsidRPr="00331C61">
        <w:rPr>
          <w:rFonts w:cs="Arial"/>
          <w:color w:val="232120"/>
          <w:sz w:val="28"/>
          <w:szCs w:val="28"/>
          <w:lang w:val="en-US"/>
        </w:rPr>
        <w:t xml:space="preserve">  |  +44 (0)28 9024 3987</w:t>
      </w:r>
    </w:p>
    <w:p w14:paraId="542D00B3" w14:textId="77777777" w:rsidR="00F82C55" w:rsidRPr="00331C61" w:rsidRDefault="00F82C55" w:rsidP="00F82C55">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D80C2F8" w14:textId="77777777" w:rsidR="00F82C55" w:rsidRPr="00331C61" w:rsidRDefault="00F82C55" w:rsidP="00F82C55">
      <w:pPr>
        <w:jc w:val="center"/>
        <w:rPr>
          <w:rFonts w:cs="Arial"/>
          <w:b/>
          <w:color w:val="232120"/>
          <w:sz w:val="28"/>
          <w:szCs w:val="28"/>
        </w:rPr>
      </w:pPr>
    </w:p>
    <w:p w14:paraId="2FC48C2C" w14:textId="77777777" w:rsidR="00F82C55" w:rsidRPr="00331C61" w:rsidRDefault="00F82C55" w:rsidP="00F82C55">
      <w:pPr>
        <w:jc w:val="center"/>
        <w:rPr>
          <w:rFonts w:cs="Arial"/>
          <w:color w:val="232120"/>
          <w:sz w:val="20"/>
          <w:szCs w:val="20"/>
        </w:rPr>
      </w:pPr>
    </w:p>
    <w:p w14:paraId="224232ED" w14:textId="77777777" w:rsidR="00F82C55" w:rsidRDefault="00F82C55" w:rsidP="00F82C55">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0A877C0" wp14:editId="3A06EFCB">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F4AE2BB" w14:textId="77777777" w:rsidR="00F82C55" w:rsidRDefault="00F82C55" w:rsidP="00657FEC"/>
    <w:p w14:paraId="25D2D39B" w14:textId="1663C780" w:rsidR="00D00D8B" w:rsidRDefault="00D00D8B" w:rsidP="00657FEC"/>
    <w:p w14:paraId="0FD070F9" w14:textId="0B8A083C" w:rsidR="00650A13" w:rsidRDefault="00650A13" w:rsidP="00DF33B5">
      <w:pPr>
        <w:spacing w:after="160" w:line="259" w:lineRule="auto"/>
      </w:pPr>
    </w:p>
    <w:p w14:paraId="028158CE" w14:textId="77777777" w:rsidR="00650A13" w:rsidRDefault="00650A13" w:rsidP="00650A13"/>
    <w:p w14:paraId="7C830785" w14:textId="77777777" w:rsidR="00D00D8B" w:rsidRPr="00587912" w:rsidRDefault="00D00D8B" w:rsidP="00657FEC"/>
    <w:sectPr w:rsidR="00D00D8B" w:rsidRPr="00587912" w:rsidSect="001111FA">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2F17" w14:textId="77777777" w:rsidR="00830FF0" w:rsidRDefault="00830FF0" w:rsidP="00E14735">
      <w:pPr>
        <w:spacing w:line="240" w:lineRule="auto"/>
      </w:pPr>
      <w:r>
        <w:separator/>
      </w:r>
    </w:p>
  </w:endnote>
  <w:endnote w:type="continuationSeparator" w:id="0">
    <w:p w14:paraId="082B79C0" w14:textId="77777777" w:rsidR="00830FF0" w:rsidRDefault="00830FF0" w:rsidP="00E14735">
      <w:pPr>
        <w:spacing w:line="240" w:lineRule="auto"/>
      </w:pPr>
      <w:r>
        <w:continuationSeparator/>
      </w:r>
    </w:p>
  </w:endnote>
  <w:endnote w:type="continuationNotice" w:id="1">
    <w:p w14:paraId="6B6DEEE9" w14:textId="77777777" w:rsidR="00830FF0" w:rsidRDefault="00830F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szCs w:val="24"/>
      </w:rPr>
      <w:id w:val="85813639"/>
      <w:docPartObj>
        <w:docPartGallery w:val="Page Numbers (Bottom of Page)"/>
        <w:docPartUnique/>
      </w:docPartObj>
    </w:sdtPr>
    <w:sdtEndPr>
      <w:rPr>
        <w:noProof/>
      </w:rPr>
    </w:sdtEndPr>
    <w:sdtContent>
      <w:p w14:paraId="5A67A94C" w14:textId="4125469A" w:rsidR="00FC3184" w:rsidRPr="00E90368" w:rsidRDefault="00FC3184" w:rsidP="00E90368">
        <w:pPr>
          <w:pStyle w:val="Footer"/>
          <w:jc w:val="right"/>
          <w:rPr>
            <w:color w:val="7030A0"/>
            <w:szCs w:val="24"/>
          </w:rPr>
        </w:pPr>
        <w:r w:rsidRPr="00E90368">
          <w:rPr>
            <w:color w:val="7030A0"/>
            <w:szCs w:val="24"/>
          </w:rPr>
          <w:fldChar w:fldCharType="begin"/>
        </w:r>
        <w:r w:rsidRPr="00E90368">
          <w:rPr>
            <w:color w:val="7030A0"/>
            <w:szCs w:val="24"/>
          </w:rPr>
          <w:instrText xml:space="preserve"> PAGE   \* MERGEFORMAT </w:instrText>
        </w:r>
        <w:r w:rsidRPr="00E90368">
          <w:rPr>
            <w:color w:val="7030A0"/>
            <w:szCs w:val="24"/>
          </w:rPr>
          <w:fldChar w:fldCharType="separate"/>
        </w:r>
        <w:r w:rsidR="008638A2">
          <w:rPr>
            <w:noProof/>
            <w:color w:val="7030A0"/>
            <w:szCs w:val="24"/>
          </w:rPr>
          <w:t>82</w:t>
        </w:r>
        <w:r w:rsidRPr="00E90368">
          <w:rPr>
            <w:noProof/>
            <w:color w:val="7030A0"/>
            <w:szCs w:val="24"/>
          </w:rPr>
          <w:fldChar w:fldCharType="end"/>
        </w:r>
      </w:p>
    </w:sdtContent>
  </w:sdt>
  <w:p w14:paraId="382F0E00" w14:textId="77777777" w:rsidR="00FC3184" w:rsidRDefault="00FC3184">
    <w:pPr>
      <w:pStyle w:val="Footer"/>
    </w:pPr>
  </w:p>
  <w:p w14:paraId="72C92DBE" w14:textId="77777777" w:rsidR="00FC3184" w:rsidRDefault="00FC3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E323" w14:textId="77777777" w:rsidR="00830FF0" w:rsidRDefault="00830FF0" w:rsidP="00E14735">
      <w:pPr>
        <w:spacing w:line="240" w:lineRule="auto"/>
      </w:pPr>
      <w:r>
        <w:separator/>
      </w:r>
    </w:p>
  </w:footnote>
  <w:footnote w:type="continuationSeparator" w:id="0">
    <w:p w14:paraId="4ADF8BBD" w14:textId="77777777" w:rsidR="00830FF0" w:rsidRDefault="00830FF0" w:rsidP="00E14735">
      <w:pPr>
        <w:spacing w:line="240" w:lineRule="auto"/>
      </w:pPr>
      <w:r>
        <w:continuationSeparator/>
      </w:r>
    </w:p>
  </w:footnote>
  <w:footnote w:type="continuationNotice" w:id="1">
    <w:p w14:paraId="20F63A30" w14:textId="77777777" w:rsidR="00830FF0" w:rsidRDefault="00830FF0">
      <w:pPr>
        <w:spacing w:line="240" w:lineRule="auto"/>
      </w:pPr>
    </w:p>
  </w:footnote>
  <w:footnote w:id="2">
    <w:p w14:paraId="0F6C217C" w14:textId="459C3BDF" w:rsidR="000E597A" w:rsidRPr="00FC04DA" w:rsidRDefault="000E597A" w:rsidP="00E43BFB">
      <w:pPr>
        <w:pStyle w:val="NIHRCFootnotes0"/>
      </w:pPr>
      <w:r w:rsidRPr="00FC04DA">
        <w:rPr>
          <w:rStyle w:val="FootnoteReference"/>
        </w:rPr>
        <w:footnoteRef/>
      </w:r>
      <w:r w:rsidRPr="00FC04DA">
        <w:t xml:space="preserve"> The Windsor Framework was formerly known as the Protocol on Ireland/Northern Ireland to the UK-EU Withdrawal Agreement 2020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r w:rsidR="00026E05" w:rsidRPr="00FC04DA">
        <w:t>.</w:t>
      </w:r>
    </w:p>
  </w:footnote>
  <w:footnote w:id="3">
    <w:p w14:paraId="10AADED8" w14:textId="10B16140" w:rsidR="00E854A2" w:rsidRPr="00FC04DA" w:rsidRDefault="00E854A2" w:rsidP="00E43BFB">
      <w:pPr>
        <w:pStyle w:val="NIHRCFootnotes0"/>
      </w:pPr>
      <w:r w:rsidRPr="00FC04DA">
        <w:rPr>
          <w:rStyle w:val="FootnoteReference"/>
        </w:rPr>
        <w:footnoteRef/>
      </w:r>
      <w:r w:rsidR="00026E05" w:rsidRPr="00FC04DA">
        <w:t xml:space="preserve"> The UK-EU Withdrawal Agreement, including the Windsor Framework, is incorporated into UK law via the EU (Withdrawal) Act 2018, including Section 7A.</w:t>
      </w:r>
    </w:p>
  </w:footnote>
  <w:footnote w:id="4">
    <w:p w14:paraId="2A53498A" w14:textId="3ED7FB4F" w:rsidR="00401067" w:rsidRPr="00FC04DA" w:rsidRDefault="00401067" w:rsidP="00E43BFB">
      <w:pPr>
        <w:pStyle w:val="NIHRCFootnotes0"/>
      </w:pPr>
      <w:r w:rsidRPr="00FC04DA">
        <w:rPr>
          <w:rStyle w:val="FootnoteReference"/>
        </w:rPr>
        <w:footnoteRef/>
      </w:r>
      <w:r w:rsidRPr="00FC04DA">
        <w:t xml:space="preserve"> The previous suspension ran from January 2017 until January 2020.</w:t>
      </w:r>
    </w:p>
  </w:footnote>
  <w:footnote w:id="5">
    <w:p w14:paraId="3E6FF634" w14:textId="77777777" w:rsidR="0067786B" w:rsidRPr="00FC04DA" w:rsidRDefault="0067786B" w:rsidP="00E43BFB">
      <w:pPr>
        <w:pStyle w:val="NIHRCFootnotes0"/>
        <w:rPr>
          <w:b/>
          <w:bCs/>
        </w:rPr>
      </w:pPr>
      <w:r w:rsidRPr="00FC04DA">
        <w:rPr>
          <w:rStyle w:val="FootnoteReference"/>
        </w:rPr>
        <w:footnoteRef/>
      </w:r>
      <w:r w:rsidRPr="00FC04DA">
        <w:t xml:space="preserve"> Department of Finance, ‘Press Release: NI Secretary announces 2023-2024 Budget and contingency plans for governance’, 27 April 2023.</w:t>
      </w:r>
    </w:p>
  </w:footnote>
  <w:footnote w:id="6">
    <w:p w14:paraId="406B58A0" w14:textId="77777777" w:rsidR="009C6ADA" w:rsidRPr="00FC04DA" w:rsidRDefault="009C6ADA" w:rsidP="00E43BFB">
      <w:pPr>
        <w:pStyle w:val="NIHRCFootnotes0"/>
      </w:pPr>
      <w:r w:rsidRPr="00FC04DA">
        <w:rPr>
          <w:rStyle w:val="FootnoteReference"/>
        </w:rPr>
        <w:footnoteRef/>
      </w:r>
      <w:r w:rsidRPr="00FC04DA">
        <w:t xml:space="preserve"> NI Human Rights Commission, ‘Submission to the Department for Communities on its Budget 2023-2024 Allocations’ (NIHRC, 2023); Equality Commission for NI, ‘Briefing Note: Concerns regarding Cumulative Equality Impacts of Proposed Departmental Budget Allocations for 2023-24’ (ECNI, 2023); NI Council for Voluntary Action, ‘Budget Cuts and Inequality in NI’. Available at: </w:t>
      </w:r>
      <w:hyperlink r:id="rId1" w:anchor=":~:text=The%20precarious%20financial%20situation%20and,this%20difficult%20and%20stormy%20period." w:history="1">
        <w:r w:rsidRPr="00FC04DA">
          <w:rPr>
            <w:rStyle w:val="Hyperlink"/>
            <w:color w:val="77328A"/>
          </w:rPr>
          <w:t>Budget cuts and inequality in Northern Ireland | NICVA</w:t>
        </w:r>
      </w:hyperlink>
      <w:r w:rsidRPr="00FC04DA">
        <w:t xml:space="preserve">; Letter from Women’s Policy Group to Secretary of State for NI, 15 August 2023. </w:t>
      </w:r>
    </w:p>
  </w:footnote>
  <w:footnote w:id="7">
    <w:p w14:paraId="063C8A92" w14:textId="00BDE9C0" w:rsidR="006A097F" w:rsidRDefault="006A097F" w:rsidP="00E43BFB">
      <w:pPr>
        <w:pStyle w:val="NIHRCFootnotes0"/>
      </w:pPr>
      <w:r>
        <w:rPr>
          <w:rStyle w:val="FootnoteReference"/>
        </w:rPr>
        <w:footnoteRef/>
      </w:r>
      <w:r>
        <w:t xml:space="preserve"> </w:t>
      </w:r>
      <w:r w:rsidR="00DD424B">
        <w:t>In December 2023, t</w:t>
      </w:r>
      <w:r>
        <w:t xml:space="preserve">he UK Government pledged </w:t>
      </w:r>
      <w:r w:rsidR="000913AE">
        <w:t>a</w:t>
      </w:r>
      <w:r w:rsidR="00FD516F">
        <w:t xml:space="preserve"> total of </w:t>
      </w:r>
      <w:r>
        <w:t xml:space="preserve">£3 billion to NI. </w:t>
      </w:r>
      <w:r w:rsidR="00515463">
        <w:t xml:space="preserve">The remaining £2 billion is to </w:t>
      </w:r>
      <w:r w:rsidR="00FD516F">
        <w:t xml:space="preserve">be </w:t>
      </w:r>
      <w:r w:rsidR="00515463">
        <w:t>used to develop</w:t>
      </w:r>
      <w:r w:rsidR="00D95A51">
        <w:t xml:space="preserve"> a new method of deciding how much money NI receives from the UK Government</w:t>
      </w:r>
      <w:r w:rsidR="00515463">
        <w:t xml:space="preserve"> and to assist in addressing issues with</w:t>
      </w:r>
      <w:r w:rsidR="00D95A51">
        <w:t xml:space="preserve"> public sector pay. </w:t>
      </w:r>
      <w:r w:rsidR="00D95A51" w:rsidRPr="00D95A51">
        <w:rPr>
          <w:i/>
          <w:iCs/>
        </w:rPr>
        <w:t>See</w:t>
      </w:r>
      <w:r w:rsidR="00D95A51">
        <w:t xml:space="preserve"> </w:t>
      </w:r>
      <w:r w:rsidR="00BB05D4">
        <w:t>NI Office, ‘Press Release: Secretary of State – Returning Executive can unleash NI’s potential’, 29 December 2023.</w:t>
      </w:r>
    </w:p>
  </w:footnote>
  <w:footnote w:id="8">
    <w:p w14:paraId="453A2CD9" w14:textId="00D42652" w:rsidR="00C62171" w:rsidRPr="00FC04DA" w:rsidRDefault="00C62171" w:rsidP="00E43BFB">
      <w:pPr>
        <w:pStyle w:val="NIHRCFootnotes0"/>
      </w:pPr>
      <w:r w:rsidRPr="00FC04DA">
        <w:rPr>
          <w:rStyle w:val="FootnoteReference"/>
        </w:rPr>
        <w:footnoteRef/>
      </w:r>
      <w:r w:rsidRPr="00FC04DA">
        <w:t xml:space="preserve"> House of Commons and House of Lords Joint Committee on Human Rights, ‘Legislative Scrutiny: Bill of Rights Bill’ (HC and HoL,</w:t>
      </w:r>
      <w:r w:rsidR="003A3B68" w:rsidRPr="00FC04DA">
        <w:t xml:space="preserve"> </w:t>
      </w:r>
      <w:r w:rsidRPr="00FC04DA">
        <w:t>2023), at para 339.</w:t>
      </w:r>
    </w:p>
  </w:footnote>
  <w:footnote w:id="9">
    <w:p w14:paraId="74020DDE" w14:textId="27744FE0" w:rsidR="00D4296F" w:rsidRPr="00FC04DA" w:rsidRDefault="00D4296F" w:rsidP="00E43BFB">
      <w:pPr>
        <w:pStyle w:val="NIHRCFootnotes0"/>
      </w:pPr>
      <w:r w:rsidRPr="00FC04DA">
        <w:rPr>
          <w:rStyle w:val="FootnoteReference"/>
        </w:rPr>
        <w:footnoteRef/>
      </w:r>
      <w:r w:rsidRPr="00FC04DA">
        <w:t xml:space="preserve"> </w:t>
      </w:r>
      <w:r w:rsidR="00F07E27">
        <w:t>Ibid</w:t>
      </w:r>
      <w:r w:rsidRPr="00FC04DA">
        <w:t>, at Chapter 9.</w:t>
      </w:r>
    </w:p>
  </w:footnote>
  <w:footnote w:id="10">
    <w:p w14:paraId="0593B044" w14:textId="7BABDD02" w:rsidR="002F5053" w:rsidRPr="00FC04DA" w:rsidRDefault="002F5053" w:rsidP="00E43BFB">
      <w:pPr>
        <w:pStyle w:val="NIHRCFootnotes0"/>
      </w:pPr>
      <w:r w:rsidRPr="00FC04DA">
        <w:rPr>
          <w:rStyle w:val="FootnoteReference"/>
        </w:rPr>
        <w:footnoteRef/>
      </w:r>
      <w:r w:rsidRPr="00FC04DA">
        <w:t xml:space="preserve"> </w:t>
      </w:r>
      <w:r w:rsidR="00947D79" w:rsidRPr="00FC04DA">
        <w:t xml:space="preserve">For example, the Illegal Migration Act, the NI Troubles (Legacy and Reconciliation) Act and the Safety of Rwanda (Asylum and Immigration) Bill. </w:t>
      </w:r>
      <w:r w:rsidR="00947D79" w:rsidRPr="00FC04DA">
        <w:rPr>
          <w:i/>
          <w:iCs/>
        </w:rPr>
        <w:t>See</w:t>
      </w:r>
      <w:r w:rsidR="00947D79" w:rsidRPr="00FC04DA">
        <w:t xml:space="preserve"> </w:t>
      </w:r>
      <w:r w:rsidRPr="00FC04DA">
        <w:t xml:space="preserve">‘Government officially scraps Dominic Raab’s Bill of Rights plan’, </w:t>
      </w:r>
      <w:r w:rsidRPr="00FC04DA">
        <w:rPr>
          <w:i/>
          <w:iCs/>
        </w:rPr>
        <w:t>Politics.Co.UK</w:t>
      </w:r>
      <w:r w:rsidRPr="00FC04DA">
        <w:t>, 27 June 2023.</w:t>
      </w:r>
    </w:p>
  </w:footnote>
  <w:footnote w:id="11">
    <w:p w14:paraId="7AAFB5A7" w14:textId="4BF80025" w:rsidR="004C65B4" w:rsidRPr="00FC04DA" w:rsidRDefault="004C65B4" w:rsidP="00E43BFB">
      <w:pPr>
        <w:pStyle w:val="NIHRCFootnotes0"/>
      </w:pPr>
      <w:r w:rsidRPr="00FC04DA">
        <w:rPr>
          <w:rStyle w:val="FootnoteReference"/>
          <w:rFonts w:eastAsiaTheme="majorEastAsia"/>
        </w:rPr>
        <w:footnoteRef/>
      </w:r>
      <w:r w:rsidRPr="00FC04DA">
        <w:t xml:space="preserve"> NI Human Rights Commission, ‘Evidence to Joint Committee on Human Rights Legislative Scrutiny of the Bill of Rights Bill’ (NIHRC, 2022); NI Human Rights Commission, ‘Advice on the Bill of Rights Bill’ (NIHRC, 2022);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w:t>
      </w:r>
      <w:r w:rsidR="004107E0" w:rsidRPr="00FC04DA">
        <w:t xml:space="preserve">Letter </w:t>
      </w:r>
      <w:r w:rsidR="00726FFC" w:rsidRPr="00FC04DA">
        <w:t xml:space="preserve">from the NI Human Rights Commission to the Lord Jay, Chair of the House of Lords Sub-Committee on the Ireland/Northern Ireland Protocol, 30 January 2023; </w:t>
      </w:r>
      <w:r w:rsidRPr="00FC04DA">
        <w:t>NI Human Rights Commission, ‘Supplementary Briefing: UK Government’s Additional Proposed Amendments to NI Troubles (Legacy and Reconciliation) Bill’ (NIHRC, 2023).</w:t>
      </w:r>
    </w:p>
  </w:footnote>
  <w:footnote w:id="12">
    <w:p w14:paraId="21550EB2" w14:textId="77777777" w:rsidR="00027B8A" w:rsidRPr="00FC04DA" w:rsidRDefault="00027B8A" w:rsidP="00E43BFB">
      <w:pPr>
        <w:pStyle w:val="NIHRCFootnotes0"/>
      </w:pPr>
      <w:r w:rsidRPr="00FC04DA">
        <w:rPr>
          <w:rStyle w:val="FootnoteReference"/>
          <w:rFonts w:eastAsiaTheme="majorEastAsia"/>
        </w:rPr>
        <w:footnoteRef/>
      </w:r>
      <w:r w:rsidRPr="00FC04DA">
        <w:t xml:space="preserve"> NI Office, 'New Decade, New Approach' (NIO, 2020), at para 5.26.</w:t>
      </w:r>
    </w:p>
  </w:footnote>
  <w:footnote w:id="13">
    <w:p w14:paraId="4B26C354" w14:textId="1A169C3A" w:rsidR="008B220A" w:rsidRPr="00FC04DA" w:rsidRDefault="008B220A" w:rsidP="00E43BFB">
      <w:pPr>
        <w:pStyle w:val="NIHRCFootnotes0"/>
      </w:pPr>
      <w:r w:rsidRPr="00FC04DA">
        <w:rPr>
          <w:rStyle w:val="FootnoteReference"/>
          <w:rFonts w:eastAsiaTheme="majorEastAsia"/>
        </w:rPr>
        <w:footnoteRef/>
      </w:r>
      <w:r w:rsidRPr="00FC04DA">
        <w:t xml:space="preserve"> </w:t>
      </w:r>
      <w:r w:rsidR="00F07E27">
        <w:t>Ibid</w:t>
      </w:r>
      <w:r w:rsidRPr="00FC04DA">
        <w:t>.</w:t>
      </w:r>
    </w:p>
  </w:footnote>
  <w:footnote w:id="14">
    <w:p w14:paraId="57ABB0BA" w14:textId="77777777" w:rsidR="008B220A" w:rsidRPr="00FC04DA" w:rsidRDefault="008B220A" w:rsidP="00E43BFB">
      <w:pPr>
        <w:pStyle w:val="NIHRCFootnotes0"/>
      </w:pPr>
      <w:r w:rsidRPr="00FC04DA">
        <w:rPr>
          <w:rStyle w:val="FootnoteReference"/>
          <w:rFonts w:eastAsiaTheme="majorEastAsia"/>
        </w:rPr>
        <w:footnoteRef/>
      </w:r>
      <w:r w:rsidRPr="00FC04DA">
        <w:t xml:space="preserve"> NI Assembly, 'Report of the Ad Hoc Committee on Bill of Rights' (NIA, 2022), at para 8.</w:t>
      </w:r>
    </w:p>
  </w:footnote>
  <w:footnote w:id="15">
    <w:p w14:paraId="33BA3439" w14:textId="77777777" w:rsidR="00455A95" w:rsidRPr="00FC04DA" w:rsidRDefault="00455A95" w:rsidP="00E43BFB">
      <w:pPr>
        <w:pStyle w:val="NIHRCFootnotes0"/>
      </w:pPr>
      <w:r w:rsidRPr="00FC04DA">
        <w:rPr>
          <w:rStyle w:val="FootnoteReference"/>
        </w:rPr>
        <w:footnoteRef/>
      </w:r>
      <w:r w:rsidRPr="00FC04DA">
        <w:t xml:space="preserve"> It concluded that “human rights of many individuals and groups in NI are not sufficiently protected”. </w:t>
      </w:r>
      <w:r w:rsidRPr="00FC04DA">
        <w:rPr>
          <w:i/>
          <w:iCs/>
        </w:rPr>
        <w:t>See</w:t>
      </w:r>
      <w:r w:rsidRPr="00FC04DA">
        <w:t xml:space="preserve"> NI Assembly, 'Report of the Ad Hoc Committee on Bill of Rights' (NIA, 2022), at paras 9 and 11.</w:t>
      </w:r>
    </w:p>
  </w:footnote>
  <w:footnote w:id="16">
    <w:p w14:paraId="5A49813E" w14:textId="77777777" w:rsidR="00DA76CC" w:rsidRPr="00FC04DA" w:rsidRDefault="00DA76CC" w:rsidP="00E43BFB">
      <w:pPr>
        <w:pStyle w:val="NIHRCFootnotes0"/>
      </w:pPr>
      <w:r w:rsidRPr="00FC04DA">
        <w:rPr>
          <w:rStyle w:val="FootnoteReference"/>
        </w:rPr>
        <w:footnoteRef/>
      </w:r>
      <w:r w:rsidRPr="00FC04DA">
        <w:t xml:space="preserve"> NI Assembly, 'Report of the Ad Hoc Committee on Bill of Rights' (NIA, 2022), at para 13.</w:t>
      </w:r>
    </w:p>
  </w:footnote>
  <w:footnote w:id="17">
    <w:p w14:paraId="1A85C7D7" w14:textId="6E0903CA" w:rsidR="00F90D3F" w:rsidRPr="00FC04DA" w:rsidRDefault="00F90D3F" w:rsidP="00E43BFB">
      <w:pPr>
        <w:pStyle w:val="NIHRCFootnotes0"/>
      </w:pPr>
      <w:r w:rsidRPr="00FC04DA">
        <w:rPr>
          <w:rStyle w:val="FootnoteReference"/>
        </w:rPr>
        <w:footnoteRef/>
      </w:r>
      <w:r w:rsidRPr="00FC04DA">
        <w:t xml:space="preserve"> </w:t>
      </w:r>
      <w:r w:rsidR="00E75EB0" w:rsidRPr="00FC04DA">
        <w:rPr>
          <w:i/>
        </w:rPr>
        <w:t xml:space="preserve">See </w:t>
      </w:r>
      <w:r w:rsidR="00E75EB0" w:rsidRPr="00FC04DA">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 Joint Declaration No 1/2023 of the European Union and the United Kingdom in the Joint Committee established by the Agreement on the Withdrawal of the United Kingdom of Great Britain and Northern Ireland from the European Union and the European Atomic Energy Community of 24 March 2023.</w:t>
      </w:r>
    </w:p>
  </w:footnote>
  <w:footnote w:id="18">
    <w:p w14:paraId="26E746FC" w14:textId="77777777" w:rsidR="00D77855" w:rsidRPr="00FC04DA" w:rsidRDefault="00D77855" w:rsidP="00E43BFB">
      <w:pPr>
        <w:pStyle w:val="NIHRCFootnotes0"/>
      </w:pPr>
      <w:r w:rsidRPr="00FC04DA">
        <w:rPr>
          <w:rStyle w:val="FootnoteReference"/>
        </w:rPr>
        <w:footnoteRef/>
      </w:r>
      <w:r w:rsidRPr="00FC04DA">
        <w:t xml:space="preserve"> This is subject to a procedure set out in the Unilateral Declaration by the UK appended as Annex 1 to </w:t>
      </w:r>
      <w:r w:rsidRPr="00FC04DA">
        <w:rPr>
          <w:rFonts w:cs="Times New Roman"/>
        </w:rPr>
        <w:t>Decision No 1/2023 of the Joint Committee</w:t>
      </w:r>
      <w:r w:rsidRPr="00FC04DA">
        <w:t xml:space="preserve"> established by the agreement on the withdrawal of the United Kingdom Great Britain and Northern Ireland from the European Union and the European Atomic Energy Community of 24 March 2023, laying down arrangements relating to the Windsor Framework.</w:t>
      </w:r>
    </w:p>
  </w:footnote>
  <w:footnote w:id="19">
    <w:p w14:paraId="6582A513" w14:textId="409751A2" w:rsidR="0047128D" w:rsidRPr="00FC04DA" w:rsidRDefault="0047128D" w:rsidP="00E43BFB">
      <w:pPr>
        <w:pStyle w:val="NIHRCFootnotes0"/>
      </w:pPr>
      <w:r w:rsidRPr="00FC04DA">
        <w:rPr>
          <w:rStyle w:val="FootnoteReference"/>
        </w:rPr>
        <w:footnoteRef/>
      </w:r>
      <w:r w:rsidRPr="00FC04DA">
        <w:t xml:space="preserve"> </w:t>
      </w:r>
      <w:r w:rsidR="00FB302F" w:rsidRPr="00FC04DA">
        <w:t>As part of the UK EU Withdrawal Agreement, the UK Government committed in Article 2 of the Windsor Framework, to ensure there is no diminution of the protections in the ‘Rights, Safeguards and Equality of Opportunity’ chapter of the Belfast (Good Friday) Agreement 1998, due to the UK’s withdrawal from the EU.</w:t>
      </w:r>
      <w:r w:rsidRPr="00FC04DA">
        <w:t xml:space="preserve"> </w:t>
      </w:r>
      <w:r w:rsidR="00EC550A" w:rsidRPr="00FC04DA">
        <w:t xml:space="preserve">See </w:t>
      </w:r>
      <w:r w:rsidR="00FC6DB3" w:rsidRPr="00FC04DA">
        <w:t>‘Equality and Human Rights on the Island of Ireland after Brexit: Annual joint report on the implementation of Article 2 of the Windsor Framework’, (</w:t>
      </w:r>
      <w:r w:rsidR="00F167F4" w:rsidRPr="00FC04DA">
        <w:t xml:space="preserve">NIHRC and ECNI, 2023), at para 2.8-2.17; </w:t>
      </w:r>
      <w:r w:rsidR="00516749" w:rsidRPr="00FC04DA">
        <w:t xml:space="preserve">‘Joint submission: Northern Ireland Human Rights Commission and Equality Commission submission to the Inquiry on Windsor Framework by the House of Lords Sub-Committee on the Protocol’, </w:t>
      </w:r>
      <w:r w:rsidR="00725A82" w:rsidRPr="00FC04DA">
        <w:t>(</w:t>
      </w:r>
      <w:r w:rsidR="00522342" w:rsidRPr="00FC04DA">
        <w:t xml:space="preserve">NIHRC and ECNI, 2023). </w:t>
      </w:r>
    </w:p>
  </w:footnote>
  <w:footnote w:id="20">
    <w:p w14:paraId="09379D7A" w14:textId="37AD2115" w:rsidR="005D3ECD" w:rsidRPr="00FC04DA" w:rsidRDefault="005D3ECD" w:rsidP="00E43BFB">
      <w:pPr>
        <w:pStyle w:val="NIHRCFootnotes0"/>
      </w:pPr>
      <w:r w:rsidRPr="00FC04DA">
        <w:rPr>
          <w:rStyle w:val="FootnoteReference"/>
        </w:rPr>
        <w:footnoteRef/>
      </w:r>
      <w:r w:rsidRPr="00FC04DA">
        <w:rPr>
          <w:rStyle w:val="FootnoteReference"/>
        </w:rPr>
        <w:t xml:space="preserve"> </w:t>
      </w:r>
      <w:r w:rsidR="00A506FC" w:rsidRPr="00FC04DA">
        <w:rPr>
          <w:i/>
        </w:rPr>
        <w:t>In the Matter of an Application by AA for Judicial Review</w:t>
      </w:r>
      <w:r w:rsidR="00A506FC" w:rsidRPr="00FC04DA">
        <w:t xml:space="preserve"> [2023] NIKB 102, at para 95.</w:t>
      </w:r>
      <w:r w:rsidRPr="00FC04DA">
        <w:t xml:space="preserve"> </w:t>
      </w:r>
      <w:r w:rsidRPr="00FC04DA">
        <w:rPr>
          <w:rFonts w:cs="Calibri"/>
        </w:rPr>
        <w:t xml:space="preserve">In May 2023, the NI Court of Appeal set out a six-part to test the engagement of Article 2 of the Windsor Framework test. </w:t>
      </w:r>
      <w:r w:rsidR="00C409D9">
        <w:rPr>
          <w:rFonts w:cs="Calibri"/>
          <w:i/>
          <w:iCs/>
        </w:rPr>
        <w:t xml:space="preserve">See </w:t>
      </w:r>
      <w:r w:rsidRPr="00FC04DA">
        <w:rPr>
          <w:rFonts w:cs="Calibri"/>
          <w:i/>
          <w:iCs/>
        </w:rPr>
        <w:t>Society for the Protection of the Unborn Child Pro-Life Ltd v Secretary of State for NI</w:t>
      </w:r>
      <w:r w:rsidRPr="00FC04DA">
        <w:rPr>
          <w:rFonts w:cs="Calibri"/>
        </w:rPr>
        <w:t xml:space="preserve"> [2023] NICA 35, </w:t>
      </w:r>
      <w:r w:rsidR="00DB1801" w:rsidRPr="00FC04DA">
        <w:rPr>
          <w:rFonts w:cs="Calibri"/>
        </w:rPr>
        <w:t xml:space="preserve">at </w:t>
      </w:r>
      <w:r w:rsidRPr="00FC04DA">
        <w:rPr>
          <w:rFonts w:cs="Calibri"/>
        </w:rPr>
        <w:t>para 54.</w:t>
      </w:r>
    </w:p>
  </w:footnote>
  <w:footnote w:id="21">
    <w:p w14:paraId="629A46E9" w14:textId="2CCF1234" w:rsidR="00D77855" w:rsidRPr="00FC04DA" w:rsidRDefault="00D77855" w:rsidP="00E43BFB">
      <w:pPr>
        <w:pStyle w:val="NIHRCFootnotes0"/>
      </w:pPr>
      <w:r w:rsidRPr="00FC04DA">
        <w:rPr>
          <w:rStyle w:val="FootnoteReference"/>
        </w:rPr>
        <w:footnoteRef/>
      </w:r>
      <w:r w:rsidRPr="00FC04DA">
        <w:t xml:space="preserve"> </w:t>
      </w:r>
      <w:r w:rsidR="006D5AD3" w:rsidRPr="00FC04DA">
        <w:rPr>
          <w:i/>
          <w:iCs/>
        </w:rPr>
        <w:t>In the Matter of an Application by AA for Judicial Review</w:t>
      </w:r>
      <w:r w:rsidR="006D5AD3" w:rsidRPr="00FC04DA">
        <w:t xml:space="preserve"> [2023] NIKB</w:t>
      </w:r>
      <w:r w:rsidR="004107E0" w:rsidRPr="00FC04DA">
        <w:t xml:space="preserve"> 102</w:t>
      </w:r>
      <w:r w:rsidR="006437DA" w:rsidRPr="00FC04DA">
        <w:t xml:space="preserve">, at para </w:t>
      </w:r>
      <w:r w:rsidR="00E3291F" w:rsidRPr="00FC04DA">
        <w:t xml:space="preserve">93. </w:t>
      </w:r>
      <w:r w:rsidR="00A506FC" w:rsidRPr="00FC04DA">
        <w:t>See also Secretary of State for Work and Pensions v AT [2023] EWCA Civ 1307.</w:t>
      </w:r>
    </w:p>
  </w:footnote>
  <w:footnote w:id="22">
    <w:p w14:paraId="539F522D" w14:textId="1F55BDFE" w:rsidR="00D77855" w:rsidRPr="00FC04DA" w:rsidRDefault="00D77855" w:rsidP="00E43BFB">
      <w:pPr>
        <w:pStyle w:val="NIHRCFootnotes0"/>
      </w:pPr>
      <w:r w:rsidRPr="00FC04DA">
        <w:rPr>
          <w:rStyle w:val="FootnoteReference"/>
        </w:rPr>
        <w:footnoteRef/>
      </w:r>
      <w:r w:rsidRPr="00FC04DA">
        <w:t xml:space="preserve"> </w:t>
      </w:r>
      <w:r w:rsidR="006266B1" w:rsidRPr="00FC04DA">
        <w:t xml:space="preserve">A case involving the removal of an asylum seeker from NI to Scotland. </w:t>
      </w:r>
      <w:r w:rsidR="009E3B47" w:rsidRPr="00FC04DA">
        <w:rPr>
          <w:i/>
          <w:iCs/>
        </w:rPr>
        <w:t>See</w:t>
      </w:r>
      <w:r w:rsidR="009E3B47" w:rsidRPr="00FC04DA">
        <w:t xml:space="preserve"> </w:t>
      </w:r>
      <w:r w:rsidR="006D5AD3" w:rsidRPr="00FC04DA">
        <w:rPr>
          <w:i/>
          <w:iCs/>
        </w:rPr>
        <w:t>In the Matter of an Application by AA for Judicial Review</w:t>
      </w:r>
      <w:r w:rsidR="006D5AD3" w:rsidRPr="00FC04DA">
        <w:t xml:space="preserve"> [2023] NIKB</w:t>
      </w:r>
      <w:r w:rsidR="004107E0" w:rsidRPr="00FC04DA">
        <w:t xml:space="preserve"> 102</w:t>
      </w:r>
      <w:r w:rsidR="00695D9D" w:rsidRPr="00FC04DA">
        <w:t xml:space="preserve">, at para </w:t>
      </w:r>
      <w:r w:rsidR="0031775B" w:rsidRPr="00FC04DA">
        <w:t xml:space="preserve">107. </w:t>
      </w:r>
    </w:p>
  </w:footnote>
  <w:footnote w:id="23">
    <w:p w14:paraId="048541A9" w14:textId="3BD80465" w:rsidR="00E428DE" w:rsidRPr="00FC04DA" w:rsidRDefault="00E428DE" w:rsidP="00E43BFB">
      <w:pPr>
        <w:pStyle w:val="NIHRCFootnotes0"/>
      </w:pPr>
      <w:r w:rsidRPr="00FC04DA">
        <w:rPr>
          <w:rStyle w:val="FootnoteReference"/>
        </w:rPr>
        <w:footnoteRef/>
      </w:r>
      <w:r w:rsidRPr="00FC04DA">
        <w:t xml:space="preserve"> Section 1, British Nationality Act 1981. </w:t>
      </w:r>
    </w:p>
  </w:footnote>
  <w:footnote w:id="24">
    <w:p w14:paraId="17850ECD" w14:textId="6390EFA8" w:rsidR="006D7775" w:rsidRPr="00FC04DA" w:rsidRDefault="006D7775" w:rsidP="00E43BFB">
      <w:pPr>
        <w:pStyle w:val="NIHRCFootnotes0"/>
      </w:pPr>
      <w:r w:rsidRPr="00FC04DA">
        <w:rPr>
          <w:rStyle w:val="FootnoteReference"/>
        </w:rPr>
        <w:footnoteRef/>
      </w:r>
      <w:r w:rsidRPr="00FC04DA">
        <w:t xml:space="preserve"> </w:t>
      </w:r>
      <w:r w:rsidR="00C67232" w:rsidRPr="00FC04DA">
        <w:t xml:space="preserve">In </w:t>
      </w:r>
      <w:r w:rsidR="00C67232" w:rsidRPr="00FC04DA">
        <w:rPr>
          <w:i/>
        </w:rPr>
        <w:t>De Souza</w:t>
      </w:r>
      <w:r w:rsidR="00C67232" w:rsidRPr="00FC04DA">
        <w:t xml:space="preserve"> the Upper Immigration and Asylum Tribunal decided that the system requiring a person to renounce their British citizenship in order to be considered Irish only was a proportionate means of achieving the legitimate aim of avoiding statelessness and maintaining a coherent system of nationality law. </w:t>
      </w:r>
      <w:r w:rsidR="0016428C" w:rsidRPr="00FC04DA">
        <w:t>T</w:t>
      </w:r>
      <w:r w:rsidR="00C67232" w:rsidRPr="00FC04DA">
        <w:t xml:space="preserve">he </w:t>
      </w:r>
      <w:r w:rsidR="00264A86" w:rsidRPr="00FC04DA">
        <w:t xml:space="preserve">High Court of Justice in NI </w:t>
      </w:r>
      <w:r w:rsidR="00C67232" w:rsidRPr="00FC04DA">
        <w:t>refused a challenge by an Irish identifying applicant to the same legal provision, stating that “she is an Irish citizen; and her additional British citizenship takes nothing away from this in terms of the rights, benefits and privileges which she enjoys as an Irish citizen</w:t>
      </w:r>
      <w:r w:rsidR="00E74F91" w:rsidRPr="00FC04DA">
        <w:t xml:space="preserve">. </w:t>
      </w:r>
      <w:r w:rsidR="003D52BA" w:rsidRPr="003D52BA">
        <w:rPr>
          <w:i/>
          <w:iCs/>
        </w:rPr>
        <w:t>See</w:t>
      </w:r>
      <w:r w:rsidR="003D52BA">
        <w:t xml:space="preserve"> </w:t>
      </w:r>
      <w:r w:rsidR="003D52BA" w:rsidRPr="00FC04DA">
        <w:rPr>
          <w:i/>
        </w:rPr>
        <w:t>De Souza (Good Friday Agreement: Nationality)</w:t>
      </w:r>
      <w:r w:rsidR="003D52BA" w:rsidRPr="00FC04DA">
        <w:t xml:space="preserve"> [2019] UKUT 355 (IAC)</w:t>
      </w:r>
      <w:r w:rsidR="003D52BA">
        <w:t>.</w:t>
      </w:r>
      <w:r w:rsidR="0016428C" w:rsidRPr="00FC04DA">
        <w:t xml:space="preserve"> </w:t>
      </w:r>
    </w:p>
  </w:footnote>
  <w:footnote w:id="25">
    <w:p w14:paraId="3F4D98D9" w14:textId="3A822B25" w:rsidR="00063F2C" w:rsidRPr="00FC04DA" w:rsidRDefault="00063F2C" w:rsidP="00E43BFB">
      <w:pPr>
        <w:pStyle w:val="NIHRCFootnotes0"/>
      </w:pPr>
      <w:r w:rsidRPr="00FC04DA">
        <w:rPr>
          <w:rStyle w:val="FootnoteReference"/>
        </w:rPr>
        <w:footnoteRef/>
      </w:r>
      <w:r w:rsidRPr="00FC04DA">
        <w:t xml:space="preserve"> </w:t>
      </w:r>
      <w:r w:rsidR="00740354" w:rsidRPr="00FC04DA">
        <w:t xml:space="preserve">In 2022, the NI Court of Appeal found that the appellant’s case in </w:t>
      </w:r>
      <w:r w:rsidR="00740354" w:rsidRPr="00FC04DA">
        <w:rPr>
          <w:i/>
          <w:iCs/>
        </w:rPr>
        <w:t xml:space="preserve">Ní Chuinneagain </w:t>
      </w:r>
      <w:r w:rsidR="00740354" w:rsidRPr="00FC04DA">
        <w:t xml:space="preserve">failed to identify any consequences of the operation of 1981 Act or arbitrariness in its provisions which constituted an interference with her private and family life as protected by Article 8 of the ECHR. </w:t>
      </w:r>
      <w:r w:rsidR="00E74F91" w:rsidRPr="00FC04DA">
        <w:t xml:space="preserve">The Court </w:t>
      </w:r>
      <w:r w:rsidR="00EC2F6D" w:rsidRPr="00FC04DA">
        <w:t xml:space="preserve">of </w:t>
      </w:r>
      <w:r w:rsidR="00EC629F" w:rsidRPr="00FC04DA">
        <w:t>Appeal</w:t>
      </w:r>
      <w:r w:rsidR="00EC2F6D" w:rsidRPr="00FC04DA">
        <w:t xml:space="preserve"> upheld the </w:t>
      </w:r>
      <w:r w:rsidR="00E74F91" w:rsidRPr="00FC04DA">
        <w:t>High Court</w:t>
      </w:r>
      <w:r w:rsidR="00EC2F6D" w:rsidRPr="00FC04DA">
        <w:t xml:space="preserve">’s </w:t>
      </w:r>
      <w:r w:rsidR="00E74F91" w:rsidRPr="00FC04DA">
        <w:t>refus</w:t>
      </w:r>
      <w:r w:rsidR="00EC2F6D" w:rsidRPr="00FC04DA">
        <w:t>al of</w:t>
      </w:r>
      <w:r w:rsidR="00E74F91" w:rsidRPr="00FC04DA">
        <w:t xml:space="preserve"> a challenge by an Irish identifying applicant to the same legal provision, stating that “she is an Irish citizen; and her additional British citizenship takes nothing away from this in terms of the rights, benefits and privileges which she enjoys as an Irish citizen”.</w:t>
      </w:r>
      <w:r w:rsidR="00E74F91" w:rsidRPr="00FC04DA">
        <w:rPr>
          <w:i/>
        </w:rPr>
        <w:t xml:space="preserve"> </w:t>
      </w:r>
      <w:r w:rsidR="003D52BA" w:rsidRPr="003D52BA">
        <w:rPr>
          <w:i/>
        </w:rPr>
        <w:t>See</w:t>
      </w:r>
      <w:r w:rsidR="003D52BA">
        <w:rPr>
          <w:iCs/>
        </w:rPr>
        <w:t xml:space="preserve"> </w:t>
      </w:r>
      <w:r w:rsidR="00135B4D" w:rsidRPr="00FC04DA">
        <w:rPr>
          <w:i/>
          <w:iCs/>
        </w:rPr>
        <w:t>In the Matter of Ní Chuinneagain</w:t>
      </w:r>
      <w:r w:rsidR="00135B4D" w:rsidRPr="00FC04DA">
        <w:t xml:space="preserve"> [2022] NICA 56, at paras 75-76</w:t>
      </w:r>
      <w:r w:rsidR="00DB1801" w:rsidRPr="00FC04DA">
        <w:t>.</w:t>
      </w:r>
    </w:p>
  </w:footnote>
  <w:footnote w:id="26">
    <w:p w14:paraId="7657F2D5" w14:textId="3B179DDA" w:rsidR="0011549C" w:rsidRPr="00FC04DA" w:rsidRDefault="0011549C" w:rsidP="00E43BFB">
      <w:pPr>
        <w:pStyle w:val="NIHRCFootnotes0"/>
      </w:pPr>
      <w:r w:rsidRPr="00FC04DA">
        <w:rPr>
          <w:rStyle w:val="FootnoteReference"/>
        </w:rPr>
        <w:footnoteRef/>
      </w:r>
      <w:r w:rsidRPr="00FC04DA">
        <w:t xml:space="preserve"> The Single Equality Act 2010. In NI, equality legislation includes Employment Equality (Age) Regulations (NI) 2006; Disability Discrimination Act 1995; Special Educational Needs </w:t>
      </w:r>
      <w:r w:rsidR="009F578C" w:rsidRPr="00FC04DA">
        <w:t>and</w:t>
      </w:r>
      <w:r w:rsidRPr="00FC04DA">
        <w:t xml:space="preserve"> Disability (NI) Order 2005; Equal Pay Act (NI) 1970; Sex Discrimination (NI) Order 1976; Race Relations (NI) Order 1997; Fair Employment </w:t>
      </w:r>
      <w:r w:rsidR="00792571">
        <w:t>and</w:t>
      </w:r>
      <w:r w:rsidRPr="00FC04DA">
        <w:t xml:space="preserve"> Treatment (NI) Order 1998; Employment Equality (Sexual Orientation) Regulations (NI) 2003; Equality Act (Sexual Orientation) Regulations (NI) 2006; </w:t>
      </w:r>
      <w:r w:rsidR="009F578C" w:rsidRPr="00FC04DA">
        <w:t>NI</w:t>
      </w:r>
      <w:r w:rsidRPr="00FC04DA">
        <w:t xml:space="preserve"> Act 1998.  </w:t>
      </w:r>
    </w:p>
  </w:footnote>
  <w:footnote w:id="27">
    <w:p w14:paraId="2E8B6E9B" w14:textId="77777777" w:rsidR="006A6152" w:rsidRPr="00FC04DA" w:rsidRDefault="006A6152" w:rsidP="00E43BFB">
      <w:pPr>
        <w:pStyle w:val="NIHRCFootnotes0"/>
      </w:pPr>
      <w:r w:rsidRPr="00FC04DA">
        <w:rPr>
          <w:rStyle w:val="FootnoteReference"/>
          <w:rFonts w:eastAsiaTheme="majorEastAsia"/>
        </w:rPr>
        <w:footnoteRef/>
      </w:r>
      <w:r w:rsidRPr="00FC04DA">
        <w:t xml:space="preserve"> Equality Commission for NI, 'Recommendations for Law Reform: Strengthening Protection Against Racial Discrimination' (ECNI, 2014), at 38.</w:t>
      </w:r>
    </w:p>
  </w:footnote>
  <w:footnote w:id="28">
    <w:p w14:paraId="68F13E0D" w14:textId="77777777" w:rsidR="001629C2" w:rsidRPr="00FC04DA" w:rsidRDefault="001629C2" w:rsidP="00E43BFB">
      <w:pPr>
        <w:pStyle w:val="NIHRCFootnotes0"/>
      </w:pPr>
      <w:r w:rsidRPr="00FC04DA">
        <w:rPr>
          <w:rStyle w:val="FootnoteReference"/>
        </w:rPr>
        <w:footnoteRef/>
      </w:r>
      <w:r w:rsidRPr="00FC04DA">
        <w:t xml:space="preserve"> 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29">
    <w:p w14:paraId="09E672A2" w14:textId="77777777" w:rsidR="001629C2" w:rsidRPr="00FC04DA" w:rsidRDefault="001629C2" w:rsidP="00E43BFB">
      <w:pPr>
        <w:pStyle w:val="NIHRCFootnotes0"/>
      </w:pPr>
      <w:r w:rsidRPr="00FC04DA">
        <w:rPr>
          <w:rStyle w:val="FootnoteReference"/>
          <w:rFonts w:eastAsiaTheme="majorEastAsia"/>
        </w:rPr>
        <w:footnoteRef/>
      </w:r>
      <w:r w:rsidRPr="00FC04DA">
        <w:t xml:space="preserve"> Directive 2000/43/EC, ‘</w:t>
      </w:r>
      <w:r w:rsidRPr="00FC04DA">
        <w:rPr>
          <w:rFonts w:cstheme="minorHAnsi"/>
        </w:rPr>
        <w:t>Council of the EU</w:t>
      </w:r>
      <w:r w:rsidRPr="00FC04DA">
        <w:t xml:space="preserve"> Directive on Implementing the Principle of Equal Treatment Between Persons Irrespective of Racial or Ethnic Origin’, 29 June 2000.</w:t>
      </w:r>
    </w:p>
  </w:footnote>
  <w:footnote w:id="30">
    <w:p w14:paraId="68C878A1" w14:textId="77777777" w:rsidR="001629C2" w:rsidRPr="00FC04DA" w:rsidRDefault="001629C2" w:rsidP="00E43BFB">
      <w:pPr>
        <w:pStyle w:val="NIHRCFootnotes0"/>
      </w:pPr>
      <w:r w:rsidRPr="00FC04DA">
        <w:rPr>
          <w:rStyle w:val="FootnoteReference"/>
          <w:rFonts w:eastAsiaTheme="majorEastAsia"/>
        </w:rPr>
        <w:footnoteRef/>
      </w:r>
      <w:r w:rsidRPr="00FC04DA">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31">
    <w:p w14:paraId="375F9DA0" w14:textId="77777777" w:rsidR="001701C5" w:rsidRPr="00FC04DA" w:rsidRDefault="001701C5" w:rsidP="00E43BFB">
      <w:pPr>
        <w:pStyle w:val="NIHRCFootnotes0"/>
      </w:pPr>
      <w:r w:rsidRPr="00FC04DA">
        <w:rPr>
          <w:rStyle w:val="FootnoteReference"/>
        </w:rPr>
        <w:footnoteRef/>
      </w:r>
      <w:r w:rsidRPr="00FC04DA">
        <w:t xml:space="preserve"> The Executive Office, ‘Review of the Race Relations (NI) Order 1997 Consultation Document’ (TEO, 2023).</w:t>
      </w:r>
    </w:p>
  </w:footnote>
  <w:footnote w:id="32">
    <w:p w14:paraId="1B74B6C9" w14:textId="77777777" w:rsidR="004F3AED" w:rsidRPr="00FC04DA" w:rsidRDefault="004F3AED" w:rsidP="00E43BFB">
      <w:pPr>
        <w:pStyle w:val="NIHRCFootnotes0"/>
      </w:pPr>
      <w:r w:rsidRPr="00FC04DA">
        <w:rPr>
          <w:rStyle w:val="FootnoteReference"/>
          <w:rFonts w:eastAsiaTheme="majorEastAsia"/>
        </w:rPr>
        <w:footnoteRef/>
      </w:r>
      <w:r w:rsidRPr="00FC04DA">
        <w:t xml:space="preserve"> Independent Hate Crime Review Team, 'Hate Crime Legislation in NI: Independent Review' (DoJ, 2020), at Recommendation 11.</w:t>
      </w:r>
    </w:p>
  </w:footnote>
  <w:footnote w:id="33">
    <w:p w14:paraId="740665EA" w14:textId="77777777" w:rsidR="00BD7D2C" w:rsidRPr="00FC04DA" w:rsidRDefault="00BD7D2C" w:rsidP="00E43BFB">
      <w:pPr>
        <w:pStyle w:val="NIHRCFootnotes0"/>
      </w:pPr>
      <w:r w:rsidRPr="00FC04DA">
        <w:rPr>
          <w:rStyle w:val="FootnoteReference"/>
          <w:rFonts w:eastAsiaTheme="majorEastAsia"/>
        </w:rPr>
        <w:footnoteRef/>
      </w:r>
      <w:r w:rsidRPr="00FC04DA">
        <w:t xml:space="preserve"> Department of Justice, ‘Improving the Effectiveness of Hate Crime Legislation in NI: A Public Consultation and Call for Views’ (DoJ, 2022).</w:t>
      </w:r>
    </w:p>
  </w:footnote>
  <w:footnote w:id="34">
    <w:p w14:paraId="6CF1E491" w14:textId="77777777" w:rsidR="00D66C70" w:rsidRPr="00FC04DA" w:rsidRDefault="00D66C70" w:rsidP="00E43BFB">
      <w:pPr>
        <w:pStyle w:val="NIHRCFootnotes0"/>
      </w:pPr>
      <w:r w:rsidRPr="00FC04DA">
        <w:rPr>
          <w:rStyle w:val="FootnoteReference"/>
          <w:rFonts w:eastAsiaTheme="majorEastAsia"/>
        </w:rPr>
        <w:footnoteRef/>
      </w:r>
      <w:r w:rsidRPr="00FC04DA">
        <w:t xml:space="preserve"> Letter from Department for Communities to the NI Human Rights Commission, 16 June 2023.</w:t>
      </w:r>
    </w:p>
  </w:footnote>
  <w:footnote w:id="35">
    <w:p w14:paraId="4F02F1E1" w14:textId="105904A3" w:rsidR="007A78BF" w:rsidRPr="00FC04DA" w:rsidRDefault="007A78BF" w:rsidP="00E43BFB">
      <w:pPr>
        <w:pStyle w:val="NIHRCFootnotes0"/>
      </w:pPr>
      <w:r w:rsidRPr="00FC04DA">
        <w:rPr>
          <w:rStyle w:val="FootnoteReference"/>
        </w:rPr>
        <w:footnoteRef/>
      </w:r>
      <w:r w:rsidRPr="00FC04DA">
        <w:t xml:space="preserve"> Article 2(3), Criminal Justice (No 2) (NI) Order 2004.</w:t>
      </w:r>
    </w:p>
  </w:footnote>
  <w:footnote w:id="36">
    <w:p w14:paraId="0A13E371" w14:textId="77777777" w:rsidR="00FC7F3B" w:rsidRPr="00FC04DA" w:rsidRDefault="00FC7F3B" w:rsidP="00E43BFB">
      <w:pPr>
        <w:pStyle w:val="NIHRCFootnotes0"/>
      </w:pPr>
      <w:r w:rsidRPr="00FC04DA">
        <w:rPr>
          <w:rStyle w:val="FootnoteReference"/>
          <w:rFonts w:eastAsiaTheme="majorEastAsia"/>
        </w:rPr>
        <w:footnoteRef/>
      </w:r>
      <w:r w:rsidRPr="00FC04DA">
        <w:t xml:space="preserve"> Independent Hate Crime Review Team, 'Hate Crime Legislation in NI: Independent Review' (DoJ, 2020).</w:t>
      </w:r>
    </w:p>
  </w:footnote>
  <w:footnote w:id="37">
    <w:p w14:paraId="44EAC1C0" w14:textId="60DD80B8" w:rsidR="00652D53" w:rsidRPr="00FC04DA" w:rsidRDefault="00652D53" w:rsidP="00E43BFB">
      <w:pPr>
        <w:pStyle w:val="NIHRCFootnotes0"/>
      </w:pPr>
      <w:r w:rsidRPr="00FC04DA">
        <w:rPr>
          <w:rStyle w:val="FootnoteReference"/>
          <w:rFonts w:eastAsiaTheme="majorEastAsia"/>
        </w:rPr>
        <w:footnoteRef/>
      </w:r>
      <w:r w:rsidRPr="00FC04DA">
        <w:t xml:space="preserve"> </w:t>
      </w:r>
      <w:r w:rsidR="00D15818" w:rsidRPr="00FC04DA">
        <w:t>Department for Communities, ‘</w:t>
      </w:r>
      <w:r w:rsidR="000C045E" w:rsidRPr="00FC04DA">
        <w:t>Report from the Sexual Orientation Strategy Expert Advisory Panel</w:t>
      </w:r>
      <w:r w:rsidR="00D15818" w:rsidRPr="00FC04DA">
        <w:t xml:space="preserve">’ (DfC, </w:t>
      </w:r>
      <w:r w:rsidR="00B17E06" w:rsidRPr="00FC04DA">
        <w:t>2021</w:t>
      </w:r>
      <w:r w:rsidR="00D15818" w:rsidRPr="00FC04DA">
        <w:t>),</w:t>
      </w:r>
      <w:r w:rsidR="00230E3B" w:rsidRPr="00FC04DA">
        <w:t xml:space="preserve"> at para 3.12</w:t>
      </w:r>
      <w:r w:rsidR="00AB6526" w:rsidRPr="00FC04DA">
        <w:t xml:space="preserve">. </w:t>
      </w:r>
    </w:p>
  </w:footnote>
  <w:footnote w:id="38">
    <w:p w14:paraId="67C41AC5" w14:textId="0778AB59" w:rsidR="00652D53" w:rsidRPr="00FC04DA" w:rsidRDefault="00652D53" w:rsidP="00E43BFB">
      <w:pPr>
        <w:pStyle w:val="NIHRCFootnotes0"/>
      </w:pPr>
      <w:r w:rsidRPr="00FC04DA">
        <w:rPr>
          <w:rStyle w:val="FootnoteReference"/>
        </w:rPr>
        <w:footnoteRef/>
      </w:r>
      <w:r w:rsidRPr="00FC04DA">
        <w:t xml:space="preserve"> </w:t>
      </w:r>
      <w:r w:rsidR="007A240E" w:rsidRPr="00FC04DA">
        <w:t xml:space="preserve">The resulting policy will be subject to consideration by </w:t>
      </w:r>
      <w:r w:rsidR="005831C5">
        <w:t>the</w:t>
      </w:r>
      <w:r w:rsidR="007A240E" w:rsidRPr="00FC04DA">
        <w:t xml:space="preserve"> NI Executive and to public consultation, before legislation will be introduced. </w:t>
      </w:r>
      <w:r w:rsidR="00B71766">
        <w:t>Progress of the</w:t>
      </w:r>
      <w:r w:rsidR="007A240E" w:rsidRPr="00FC04DA">
        <w:t xml:space="preserve"> policy </w:t>
      </w:r>
      <w:r w:rsidR="00B71766">
        <w:t>was hindered by the suspension of the</w:t>
      </w:r>
      <w:r w:rsidR="007A240E" w:rsidRPr="00FC04DA">
        <w:t xml:space="preserve"> NI Executive and NI Assembly. </w:t>
      </w:r>
      <w:r w:rsidR="007A240E" w:rsidRPr="00FC04DA">
        <w:rPr>
          <w:i/>
          <w:iCs/>
        </w:rPr>
        <w:t>See</w:t>
      </w:r>
      <w:r w:rsidR="007A240E" w:rsidRPr="00FC04DA">
        <w:t xml:space="preserve"> </w:t>
      </w:r>
      <w:r w:rsidRPr="00FC04DA">
        <w:t xml:space="preserve">Email correspondence from Department of Communities to NI Human Rights Commission, 16 June 2023. </w:t>
      </w:r>
    </w:p>
  </w:footnote>
  <w:footnote w:id="39">
    <w:p w14:paraId="07887A0D" w14:textId="7534D02D" w:rsidR="00914BCA" w:rsidRPr="00FC04DA" w:rsidRDefault="00914BCA" w:rsidP="00E43BFB">
      <w:pPr>
        <w:pStyle w:val="NIHRCFootnotes0"/>
      </w:pPr>
      <w:r w:rsidRPr="00FC04DA">
        <w:rPr>
          <w:rStyle w:val="FootnoteReference"/>
        </w:rPr>
        <w:footnoteRef/>
      </w:r>
      <w:r w:rsidRPr="00FC04DA">
        <w:t xml:space="preserve"> </w:t>
      </w:r>
      <w:r w:rsidR="00994122" w:rsidRPr="00FC04DA">
        <w:t>In 2021/2022, there were</w:t>
      </w:r>
      <w:r w:rsidR="00EE73DB" w:rsidRPr="00FC04DA">
        <w:t xml:space="preserve"> 3,121 hate motivated incidents and 2,239 recorded hate crimes in </w:t>
      </w:r>
      <w:r w:rsidR="00994122" w:rsidRPr="00FC04DA">
        <w:t>NI</w:t>
      </w:r>
      <w:r w:rsidR="00EE73DB" w:rsidRPr="00FC04DA">
        <w:t>.</w:t>
      </w:r>
      <w:r w:rsidRPr="00FC04DA">
        <w:t xml:space="preserve"> </w:t>
      </w:r>
      <w:r w:rsidR="00994122" w:rsidRPr="00FC04DA">
        <w:t>See</w:t>
      </w:r>
      <w:r w:rsidRPr="00FC04DA">
        <w:t xml:space="preserve"> Police Service of NI, 'Incidents and Crimes with a Hate Motivation Recorded by the Police Service of NI' (PSNI, 2023). </w:t>
      </w:r>
    </w:p>
  </w:footnote>
  <w:footnote w:id="40">
    <w:p w14:paraId="19BEF62E" w14:textId="77777777" w:rsidR="00914BCA" w:rsidRPr="00FC04DA" w:rsidRDefault="00914BCA" w:rsidP="00E43BFB">
      <w:pPr>
        <w:pStyle w:val="NIHRCFootnotes0"/>
      </w:pPr>
      <w:r w:rsidRPr="00FC04DA">
        <w:rPr>
          <w:rStyle w:val="FootnoteReference"/>
        </w:rPr>
        <w:footnoteRef/>
      </w:r>
      <w:r w:rsidRPr="00FC04DA">
        <w:t xml:space="preserve"> Meeting of refugee and ethnic minority business owners hosted by Participation and Practice of Rights, 31 August 2023; ‘Sandy Row: Belfast fire treated as racially motivated hate crime’, </w:t>
      </w:r>
      <w:r w:rsidRPr="00FC04DA">
        <w:rPr>
          <w:i/>
          <w:iCs/>
        </w:rPr>
        <w:t>BBC News</w:t>
      </w:r>
      <w:r w:rsidRPr="00FC04DA">
        <w:t xml:space="preserve">, 18 August 2023; ‘Belfast Multi-Cultural Association building for sale after arson attacks’, </w:t>
      </w:r>
      <w:r w:rsidRPr="00FC04DA">
        <w:rPr>
          <w:i/>
          <w:iCs/>
        </w:rPr>
        <w:t>BBC News</w:t>
      </w:r>
      <w:r w:rsidRPr="00FC04DA">
        <w:t xml:space="preserve">, 14 February 2023; ‘Belfast mosque leader’s worries after Nazi flags flown nearby’, </w:t>
      </w:r>
      <w:r w:rsidRPr="00FC04DA">
        <w:rPr>
          <w:i/>
          <w:iCs/>
        </w:rPr>
        <w:t>BBC News</w:t>
      </w:r>
      <w:r w:rsidRPr="00FC04DA">
        <w:t xml:space="preserve">, 23 August 2023; Sarah McKinley, ‘South Belfast businesses in emergency meeting over multiple racist attacks’, </w:t>
      </w:r>
      <w:r w:rsidRPr="00FC04DA">
        <w:rPr>
          <w:i/>
          <w:iCs/>
        </w:rPr>
        <w:t>UTV News</w:t>
      </w:r>
      <w:r w:rsidRPr="00FC04DA">
        <w:t xml:space="preserve">, 1 September 2023; Sara Girvan and Eimear Flanagan, ‘Syrian man to move shop after four racist attacks’, </w:t>
      </w:r>
      <w:r w:rsidRPr="00FC04DA">
        <w:rPr>
          <w:i/>
          <w:iCs/>
        </w:rPr>
        <w:t>BBC News</w:t>
      </w:r>
      <w:r w:rsidRPr="00FC04DA">
        <w:t xml:space="preserve">, 18 September 2023; Sara Givern, ‘Why has there been a spike in racist attacks in south Belfast?’, </w:t>
      </w:r>
      <w:r w:rsidRPr="00FC04DA">
        <w:rPr>
          <w:i/>
          <w:iCs/>
        </w:rPr>
        <w:t>BBC News</w:t>
      </w:r>
      <w:r w:rsidRPr="00FC04DA">
        <w:t xml:space="preserve">, 17 October 2023; Paul Ainsworth, ‘SDLP councillor says Belvoir residents support removal of racist posters’, </w:t>
      </w:r>
      <w:r w:rsidRPr="00FC04DA">
        <w:rPr>
          <w:i/>
          <w:iCs/>
        </w:rPr>
        <w:t>Irish News</w:t>
      </w:r>
      <w:r w:rsidRPr="00FC04DA">
        <w:t>, 1 November 2023.</w:t>
      </w:r>
    </w:p>
  </w:footnote>
  <w:footnote w:id="41">
    <w:p w14:paraId="7435338C" w14:textId="71BC4241" w:rsidR="00A71819" w:rsidRPr="00FC04DA" w:rsidRDefault="00A71819" w:rsidP="00E43BFB">
      <w:pPr>
        <w:pStyle w:val="NIHRCFootnotes0"/>
      </w:pPr>
      <w:r w:rsidRPr="00FC04DA">
        <w:rPr>
          <w:rStyle w:val="FootnoteReference"/>
        </w:rPr>
        <w:footnoteRef/>
      </w:r>
      <w:r w:rsidRPr="00FC04DA">
        <w:t xml:space="preserve"> Independent Hate Crime Review Team, 'Hate Crime Legislation in NI: An Independent Review - Consultation Paper' (IHCRT, 2020).</w:t>
      </w:r>
    </w:p>
  </w:footnote>
  <w:footnote w:id="42">
    <w:p w14:paraId="22154096" w14:textId="2A27B0A0" w:rsidR="003562B3" w:rsidRPr="00FC04DA" w:rsidRDefault="003562B3" w:rsidP="00E43BFB">
      <w:pPr>
        <w:pStyle w:val="NIHRCFootnotes0"/>
      </w:pPr>
      <w:r w:rsidRPr="00FC04DA">
        <w:rPr>
          <w:rStyle w:val="FootnoteReference"/>
        </w:rPr>
        <w:footnoteRef/>
      </w:r>
      <w:r w:rsidRPr="00FC04DA">
        <w:t xml:space="preserve"> </w:t>
      </w:r>
      <w:r w:rsidR="00C75A15" w:rsidRPr="00FC04DA">
        <w:t>NI Human Rights Commission, ‘</w:t>
      </w:r>
      <w:r w:rsidRPr="00FC04DA">
        <w:t>Response to Public Consultation on Improving the Effectiveness of Hate Crime Legislation in NI</w:t>
      </w:r>
      <w:r w:rsidR="00C75A15" w:rsidRPr="00FC04DA">
        <w:t>’, (NIHRC, 2022);</w:t>
      </w:r>
    </w:p>
  </w:footnote>
  <w:footnote w:id="43">
    <w:p w14:paraId="5D713AEF" w14:textId="77777777" w:rsidR="00094C3C" w:rsidRPr="00FC04DA" w:rsidRDefault="00094C3C" w:rsidP="00E43BFB">
      <w:pPr>
        <w:pStyle w:val="NIHRCFootnotes0"/>
      </w:pPr>
      <w:r w:rsidRPr="00FC04DA">
        <w:rPr>
          <w:rStyle w:val="FootnoteReference"/>
        </w:rPr>
        <w:footnoteRef/>
      </w:r>
      <w:r w:rsidRPr="00FC04DA">
        <w:t xml:space="preserve"> Email correspondence from Department of Justice NI to NI Human Rights Commission, 20 June 2023. </w:t>
      </w:r>
    </w:p>
  </w:footnote>
  <w:footnote w:id="44">
    <w:p w14:paraId="3E2D5F71" w14:textId="77777777" w:rsidR="005B296D" w:rsidRPr="00FC04DA" w:rsidRDefault="005B296D" w:rsidP="00E43BFB">
      <w:pPr>
        <w:pStyle w:val="NIHRCFootnotes0"/>
      </w:pPr>
      <w:r w:rsidRPr="00FC04DA">
        <w:rPr>
          <w:rStyle w:val="FootnoteReference"/>
        </w:rPr>
        <w:footnoteRef/>
      </w:r>
      <w:r w:rsidRPr="00FC04DA">
        <w:t xml:space="preserve"> The Executive Office, ‘Racial Equality’. Available at: </w:t>
      </w:r>
      <w:hyperlink r:id="rId2" w:history="1">
        <w:r w:rsidRPr="00FC04DA">
          <w:rPr>
            <w:rStyle w:val="Hyperlink"/>
            <w:color w:val="77328A"/>
          </w:rPr>
          <w:t>Racial Equality | The Executive Office (executiveoffice-ni.gov.uk)</w:t>
        </w:r>
      </w:hyperlink>
      <w:r w:rsidRPr="00FC04DA">
        <w:t xml:space="preserve"> </w:t>
      </w:r>
    </w:p>
  </w:footnote>
  <w:footnote w:id="45">
    <w:p w14:paraId="1B5CB4C1" w14:textId="77777777" w:rsidR="00324A95" w:rsidRPr="00FC04DA" w:rsidRDefault="00324A95" w:rsidP="00E43BFB">
      <w:pPr>
        <w:pStyle w:val="NIHRCFootnotes0"/>
      </w:pPr>
      <w:r w:rsidRPr="00FC04DA">
        <w:rPr>
          <w:rStyle w:val="FootnoteReference"/>
        </w:rPr>
        <w:footnoteRef/>
      </w:r>
      <w:r w:rsidRPr="00FC04DA">
        <w:t xml:space="preserve"> NI Human Rights Commission, ‘Response to The Executive Office’s Consultation on the Review of the Race Relations (NI) Order 1997’ (NIHRC, 2023).</w:t>
      </w:r>
    </w:p>
  </w:footnote>
  <w:footnote w:id="46">
    <w:p w14:paraId="64799DC4" w14:textId="77777777" w:rsidR="00121843" w:rsidRPr="00FC04DA" w:rsidRDefault="00121843" w:rsidP="00E43BFB">
      <w:pPr>
        <w:pStyle w:val="NIHRCFootnotes0"/>
      </w:pPr>
      <w:r w:rsidRPr="00FC04DA">
        <w:rPr>
          <w:rStyle w:val="FootnoteReference"/>
          <w:rFonts w:eastAsiaTheme="majorEastAsia"/>
        </w:rPr>
        <w:footnoteRef/>
      </w:r>
      <w:r w:rsidRPr="00FC04DA">
        <w:t xml:space="preserve"> The Executive Office, 'Racial Equality Strategy 2015-2025' (TEO, 2015).</w:t>
      </w:r>
    </w:p>
  </w:footnote>
  <w:footnote w:id="47">
    <w:p w14:paraId="6870874C" w14:textId="77777777" w:rsidR="00875559" w:rsidRPr="00FC04DA" w:rsidRDefault="00875559" w:rsidP="00E43BFB">
      <w:pPr>
        <w:pStyle w:val="NIHRCFootnotes0"/>
      </w:pPr>
      <w:r w:rsidRPr="00FC04DA">
        <w:rPr>
          <w:rStyle w:val="FootnoteReference"/>
          <w:rFonts w:eastAsiaTheme="majorEastAsia"/>
        </w:rPr>
        <w:footnoteRef/>
      </w:r>
      <w:r w:rsidRPr="00FC04DA">
        <w:t xml:space="preserve"> Directive 2000/43/EC, ‘</w:t>
      </w:r>
      <w:r w:rsidRPr="00FC04DA">
        <w:rPr>
          <w:rFonts w:cstheme="minorHAnsi"/>
        </w:rPr>
        <w:t>Council of the EU</w:t>
      </w:r>
      <w:r w:rsidRPr="00FC04DA">
        <w:t xml:space="preserve"> Directive on Implementing the Principle of Equal Treatment Between Persons Irrespective of Racial or Ethnic Origin’, 29 June 2000.</w:t>
      </w:r>
    </w:p>
  </w:footnote>
  <w:footnote w:id="48">
    <w:p w14:paraId="47972A40" w14:textId="128D4672" w:rsidR="00875559" w:rsidRPr="00FC04DA" w:rsidRDefault="00875559" w:rsidP="00E43BFB">
      <w:pPr>
        <w:pStyle w:val="NIHRCFootnotes0"/>
        <w:rPr>
          <w:rFonts w:cstheme="minorHAnsi"/>
        </w:rPr>
      </w:pPr>
      <w:r w:rsidRPr="00FC04DA">
        <w:rPr>
          <w:rStyle w:val="FootnoteReference"/>
          <w:rFonts w:cstheme="minorHAnsi"/>
        </w:rPr>
        <w:footnoteRef/>
      </w:r>
      <w:r w:rsidRPr="00FC04DA">
        <w:rPr>
          <w:rFonts w:cstheme="minorHAnsi"/>
        </w:rPr>
        <w:t xml:space="preserve"> EU Commission, ‘Addressing possible gaps in the Racial Equality Directive – Public Consultation’ (EU, 2022).  See NI Human Rights Commission, ‘Response to the European Commission Consultation on the Racial Equality Directive (Directive 2000/43/EC)’ (NIHRC, 2022).</w:t>
      </w:r>
    </w:p>
  </w:footnote>
  <w:footnote w:id="49">
    <w:p w14:paraId="40D993F3" w14:textId="77777777" w:rsidR="00102ABB" w:rsidRPr="00FC04DA" w:rsidRDefault="00102ABB" w:rsidP="00E43BFB">
      <w:pPr>
        <w:pStyle w:val="NIHRCFootnotes0"/>
      </w:pPr>
      <w:r w:rsidRPr="00FC04DA">
        <w:rPr>
          <w:rStyle w:val="FootnoteReference"/>
        </w:rPr>
        <w:footnoteRef/>
      </w:r>
      <w:r w:rsidRPr="00FC04DA">
        <w:t xml:space="preserve"> Police Service of NI, 'Incidents and Crimes with a Hate Motivation Recorded by the Police in NI: Financial Year Update' (PSNI, 2022), at 4.</w:t>
      </w:r>
    </w:p>
  </w:footnote>
  <w:footnote w:id="50">
    <w:p w14:paraId="301121F9" w14:textId="4415AF7A" w:rsidR="00102ABB" w:rsidRPr="00FC04DA" w:rsidRDefault="00102ABB" w:rsidP="00E43BFB">
      <w:pPr>
        <w:pStyle w:val="NIHRCFootnotes0"/>
      </w:pPr>
      <w:r w:rsidRPr="00FC04DA">
        <w:rPr>
          <w:rStyle w:val="FootnoteReference"/>
        </w:rPr>
        <w:footnoteRef/>
      </w:r>
      <w:r w:rsidRPr="00FC04DA">
        <w:t xml:space="preserve"> </w:t>
      </w:r>
      <w:r w:rsidR="000B7D85">
        <w:t>Ibid</w:t>
      </w:r>
      <w:r w:rsidRPr="00FC04DA">
        <w:t>.</w:t>
      </w:r>
    </w:p>
  </w:footnote>
  <w:footnote w:id="51">
    <w:p w14:paraId="51D14C21" w14:textId="5BAA6413" w:rsidR="00393EBF" w:rsidRPr="00FC04DA" w:rsidRDefault="00393EBF" w:rsidP="00E43BFB">
      <w:pPr>
        <w:pStyle w:val="NIHRCFootnotes0"/>
      </w:pPr>
      <w:r w:rsidRPr="00FC04DA">
        <w:rPr>
          <w:rStyle w:val="FootnoteReference"/>
        </w:rPr>
        <w:footnoteRef/>
      </w:r>
      <w:r w:rsidRPr="00FC04DA">
        <w:t xml:space="preserve"> </w:t>
      </w:r>
      <w:r w:rsidR="000B7D85">
        <w:t>Ibid</w:t>
      </w:r>
      <w:r w:rsidRPr="00FC04DA">
        <w:t>.</w:t>
      </w:r>
    </w:p>
  </w:footnote>
  <w:footnote w:id="52">
    <w:p w14:paraId="0A5CCE45" w14:textId="77777777" w:rsidR="0079452B" w:rsidRPr="00FC04DA" w:rsidRDefault="0079452B" w:rsidP="00E43BFB">
      <w:pPr>
        <w:pStyle w:val="NIHRCFootnotes0"/>
      </w:pPr>
      <w:r w:rsidRPr="00FC04DA">
        <w:rPr>
          <w:rStyle w:val="FootnoteReference"/>
          <w:rFonts w:eastAsiaTheme="majorEastAsia"/>
        </w:rPr>
        <w:footnoteRef/>
      </w:r>
      <w:r w:rsidRPr="00FC04DA">
        <w:t xml:space="preserve"> NI Office, 'New Decade, New Approach' (NIO, 2020), at 43.</w:t>
      </w:r>
    </w:p>
  </w:footnote>
  <w:footnote w:id="53">
    <w:p w14:paraId="5AD0ECBE" w14:textId="77777777" w:rsidR="0079452B" w:rsidRPr="00FC04DA" w:rsidRDefault="0079452B" w:rsidP="00E43BFB">
      <w:pPr>
        <w:pStyle w:val="NIHRCFootnotes0"/>
      </w:pPr>
      <w:r w:rsidRPr="00FC04DA">
        <w:rPr>
          <w:rStyle w:val="FootnoteReference"/>
          <w:rFonts w:eastAsiaTheme="majorEastAsia"/>
        </w:rPr>
        <w:footnoteRef/>
      </w:r>
      <w:r w:rsidRPr="00FC04DA">
        <w:t xml:space="preserve"> Independent Hate Crime Review Team, ‘Hate Crime Legislation in NI: Independent Review’ (DoJ, 2020), at Recommendation 12.</w:t>
      </w:r>
    </w:p>
  </w:footnote>
  <w:footnote w:id="54">
    <w:p w14:paraId="3FEEF46D" w14:textId="77777777" w:rsidR="00121843" w:rsidRPr="00FC04DA" w:rsidRDefault="00121843" w:rsidP="00E43BFB">
      <w:pPr>
        <w:pStyle w:val="NIHRCFootnotes0"/>
      </w:pPr>
      <w:r w:rsidRPr="00FC04DA">
        <w:rPr>
          <w:rStyle w:val="FootnoteReference"/>
          <w:rFonts w:eastAsiaTheme="majorEastAsia"/>
        </w:rPr>
        <w:footnoteRef/>
      </w:r>
      <w:r w:rsidRPr="00FC04DA">
        <w:t xml:space="preserve"> Department of Justice, ‘Review of Hate Crime Legislation in NI - Departmental Response’ (DoJ, 2021), at 6-7.</w:t>
      </w:r>
    </w:p>
  </w:footnote>
  <w:footnote w:id="55">
    <w:p w14:paraId="54D92385" w14:textId="2410C244" w:rsidR="00121843" w:rsidRPr="00FC04DA" w:rsidRDefault="00121843" w:rsidP="00E43BFB">
      <w:pPr>
        <w:pStyle w:val="NIHRCFootnotes0"/>
      </w:pPr>
      <w:r w:rsidRPr="00FC04DA">
        <w:rPr>
          <w:rStyle w:val="FootnoteReference"/>
          <w:rFonts w:eastAsiaTheme="majorEastAsia"/>
        </w:rPr>
        <w:footnoteRef/>
      </w:r>
      <w:r w:rsidRPr="00FC04DA">
        <w:t xml:space="preserve"> </w:t>
      </w:r>
      <w:r w:rsidR="000B7D85">
        <w:t>Ibid</w:t>
      </w:r>
      <w:r w:rsidRPr="00FC04DA">
        <w:t>.</w:t>
      </w:r>
    </w:p>
  </w:footnote>
  <w:footnote w:id="56">
    <w:p w14:paraId="76607FC5" w14:textId="77777777" w:rsidR="00F274D6" w:rsidRPr="00FC04DA" w:rsidRDefault="00F274D6" w:rsidP="00E43BFB">
      <w:pPr>
        <w:pStyle w:val="NIHRCFootnotes0"/>
      </w:pPr>
      <w:r w:rsidRPr="00FC04DA">
        <w:rPr>
          <w:rStyle w:val="FootnoteReference"/>
          <w:rFonts w:eastAsiaTheme="majorEastAsia"/>
        </w:rPr>
        <w:footnoteRef/>
      </w:r>
      <w:r w:rsidRPr="00FC04DA">
        <w:t xml:space="preserve"> The Executive Office, 'Racial Equality Strategy 2015-2025' (TEO, 2015).</w:t>
      </w:r>
    </w:p>
  </w:footnote>
  <w:footnote w:id="57">
    <w:p w14:paraId="4F0322BB" w14:textId="1095BB28" w:rsidR="00A6762F" w:rsidRPr="00FC04DA" w:rsidRDefault="00A6762F" w:rsidP="00E43BFB">
      <w:pPr>
        <w:pStyle w:val="NIHRCFootnotes0"/>
      </w:pPr>
      <w:r w:rsidRPr="00FC04DA">
        <w:rPr>
          <w:rStyle w:val="FootnoteReference"/>
        </w:rPr>
        <w:footnoteRef/>
      </w:r>
      <w:r w:rsidRPr="00FC04DA">
        <w:t xml:space="preserve"> </w:t>
      </w:r>
      <w:r w:rsidR="00CC7432" w:rsidRPr="00FC04DA">
        <w:t>The NIHRC recommends stating early that the strategy is human rights-based, requiring public authorities to adopt this approach</w:t>
      </w:r>
      <w:r w:rsidR="005C4E4E" w:rsidRPr="00FC04DA">
        <w:t xml:space="preserve"> and t</w:t>
      </w:r>
      <w:r w:rsidR="00C73413" w:rsidRPr="00FC04DA">
        <w:t>o</w:t>
      </w:r>
      <w:r w:rsidR="00CC7432" w:rsidRPr="00FC04DA">
        <w:t xml:space="preserve"> expand and clarify the list of relevant human rights standards, incorporating EU obligations supporting </w:t>
      </w:r>
      <w:r w:rsidR="00C73413" w:rsidRPr="00FC04DA">
        <w:t xml:space="preserve">Windsor Framework </w:t>
      </w:r>
      <w:r w:rsidR="00CC7432" w:rsidRPr="00FC04DA">
        <w:t xml:space="preserve">Article 2's non-diminution commitment. </w:t>
      </w:r>
      <w:r w:rsidRPr="00FC04DA">
        <w:t>N</w:t>
      </w:r>
      <w:r w:rsidR="00CC7432" w:rsidRPr="00FC04DA">
        <w:t xml:space="preserve">I </w:t>
      </w:r>
      <w:r w:rsidRPr="00FC04DA">
        <w:t>Human Rights Commission, ‘Response to Public Consultation on Draft Refugee Integration Strategy’</w:t>
      </w:r>
      <w:r w:rsidR="00133537" w:rsidRPr="00FC04DA">
        <w:t xml:space="preserve"> (NIHRC, 2022)</w:t>
      </w:r>
      <w:r w:rsidR="00C73413" w:rsidRPr="00FC04DA">
        <w:t xml:space="preserve">, at para </w:t>
      </w:r>
      <w:r w:rsidR="00CA0286" w:rsidRPr="00FC04DA">
        <w:t xml:space="preserve">2.12 and 2.13. </w:t>
      </w:r>
    </w:p>
  </w:footnote>
  <w:footnote w:id="58">
    <w:p w14:paraId="6F12B1AF" w14:textId="77777777" w:rsidR="00F274D6" w:rsidRPr="00FC04DA" w:rsidRDefault="00F274D6" w:rsidP="00E43BFB">
      <w:pPr>
        <w:pStyle w:val="NIHRCFootnotes0"/>
      </w:pPr>
      <w:r w:rsidRPr="00FC04DA">
        <w:rPr>
          <w:rStyle w:val="FootnoteReference"/>
          <w:rFonts w:eastAsiaTheme="majorEastAsia"/>
        </w:rPr>
        <w:footnoteRef/>
      </w:r>
      <w:r w:rsidRPr="00FC04DA">
        <w:t xml:space="preserve"> The Executive Office, 'Refugee Integration Strategy Consultation Document' (TEO, 2021).</w:t>
      </w:r>
    </w:p>
  </w:footnote>
  <w:footnote w:id="59">
    <w:p w14:paraId="58D0795B" w14:textId="5BE9F90B" w:rsidR="00F274D6" w:rsidRPr="00FC04DA" w:rsidRDefault="00F274D6" w:rsidP="00E43BFB">
      <w:pPr>
        <w:pStyle w:val="NIHRCFootnotes0"/>
      </w:pPr>
      <w:r w:rsidRPr="00FC04DA">
        <w:rPr>
          <w:rStyle w:val="FootnoteReference"/>
        </w:rPr>
        <w:footnoteRef/>
      </w:r>
      <w:r w:rsidRPr="00FC04DA">
        <w:t xml:space="preserve"> The Executive Office, ‘Racial Equality Subgroup: Minutes of the Meeting on 29 November 2022’ (TEO, 2022).</w:t>
      </w:r>
    </w:p>
  </w:footnote>
  <w:footnote w:id="60">
    <w:p w14:paraId="6B59DF83" w14:textId="7EA25590" w:rsidR="00A10A5B" w:rsidRPr="00FC04DA" w:rsidRDefault="00A10A5B" w:rsidP="00E43BFB">
      <w:pPr>
        <w:pStyle w:val="NIHRCFootnotes0"/>
      </w:pPr>
      <w:r w:rsidRPr="00FC04DA">
        <w:rPr>
          <w:rStyle w:val="FootnoteReference"/>
          <w:rFonts w:eastAsiaTheme="majorEastAsia"/>
        </w:rPr>
        <w:footnoteRef/>
      </w:r>
      <w:r w:rsidRPr="00FC04DA">
        <w:t xml:space="preserve"> </w:t>
      </w:r>
      <w:r w:rsidR="00E5608F" w:rsidRPr="00FC04DA">
        <w:t>Housing provision, access to healthcare services and the Belfast-centred provision of services were identified as particular issues facing refugees in NI</w:t>
      </w:r>
      <w:r w:rsidR="00E5608F" w:rsidRPr="00FC04DA">
        <w:rPr>
          <w:i/>
          <w:iCs/>
        </w:rPr>
        <w:t>. See</w:t>
      </w:r>
      <w:r w:rsidR="00E5608F" w:rsidRPr="00FC04DA">
        <w:t xml:space="preserve"> </w:t>
      </w:r>
      <w:r w:rsidRPr="00FC04DA">
        <w:t>House of Commons NI Affairs Committee, 'The Experiences of Minority Ethnic and Migrant People in NI' (HoC, 2022).</w:t>
      </w:r>
    </w:p>
  </w:footnote>
  <w:footnote w:id="61">
    <w:p w14:paraId="0DFBF629" w14:textId="77777777" w:rsidR="00881DBF" w:rsidRPr="00FC04DA" w:rsidRDefault="00881DBF" w:rsidP="00E43BFB">
      <w:pPr>
        <w:pStyle w:val="NIHRCFootnotes0"/>
      </w:pPr>
      <w:r w:rsidRPr="00FC04DA">
        <w:rPr>
          <w:rStyle w:val="FootnoteReference"/>
        </w:rPr>
        <w:footnoteRef/>
      </w:r>
      <w:r w:rsidRPr="00FC04DA">
        <w:t xml:space="preserve"> Law Centre NI, ‘Refugee and Asylum Forum: Priorities for Action 2023’ (LCNI, 2023).</w:t>
      </w:r>
    </w:p>
  </w:footnote>
  <w:footnote w:id="62">
    <w:p w14:paraId="5DFD1EAC" w14:textId="5BE31133" w:rsidR="00AA3EB7" w:rsidRPr="00FC04DA" w:rsidRDefault="00AA3EB7" w:rsidP="00E43BFB">
      <w:pPr>
        <w:pStyle w:val="NIHRCFootnotes0"/>
      </w:pPr>
      <w:r w:rsidRPr="00FC04DA">
        <w:rPr>
          <w:rStyle w:val="FootnoteReference"/>
        </w:rPr>
        <w:footnoteRef/>
      </w:r>
      <w:r w:rsidRPr="00FC04DA">
        <w:t xml:space="preserve"> </w:t>
      </w:r>
      <w:r w:rsidR="00FC3236">
        <w:t>Ibid</w:t>
      </w:r>
      <w:r w:rsidRPr="00FC04DA">
        <w:t>.</w:t>
      </w:r>
    </w:p>
  </w:footnote>
  <w:footnote w:id="63">
    <w:p w14:paraId="2330CD35" w14:textId="6A8EA47F" w:rsidR="001836EF" w:rsidRPr="00FC04DA" w:rsidRDefault="001836EF" w:rsidP="00E43BFB">
      <w:pPr>
        <w:pStyle w:val="NIHRCFootnotes0"/>
      </w:pPr>
      <w:r w:rsidRPr="00FC04DA">
        <w:rPr>
          <w:rStyle w:val="FootnoteReference"/>
          <w:rFonts w:eastAsiaTheme="majorEastAsia"/>
        </w:rPr>
        <w:footnoteRef/>
      </w:r>
      <w:r w:rsidRPr="00FC04DA">
        <w:t xml:space="preserve"> </w:t>
      </w:r>
      <w:r w:rsidR="004B499F" w:rsidRPr="00FC04DA">
        <w:t>The existing Gender Equality Strategy for NI expired in 2016.</w:t>
      </w:r>
      <w:r w:rsidR="00663990" w:rsidRPr="00FC04DA">
        <w:t xml:space="preserve"> </w:t>
      </w:r>
      <w:r w:rsidRPr="00FC04DA">
        <w:t>NI Office, 'New Decade, New Approach' (NIO, 2020).</w:t>
      </w:r>
      <w:r w:rsidR="00ED38EA" w:rsidRPr="00FC04DA">
        <w:t xml:space="preserve"> </w:t>
      </w:r>
    </w:p>
  </w:footnote>
  <w:footnote w:id="64">
    <w:p w14:paraId="1DA4A0DE" w14:textId="77777777" w:rsidR="001836EF" w:rsidRPr="00FC04DA" w:rsidRDefault="001836EF" w:rsidP="00E43BFB">
      <w:pPr>
        <w:pStyle w:val="NIHRCFootnotes0"/>
      </w:pPr>
      <w:r w:rsidRPr="00FC04DA">
        <w:rPr>
          <w:rStyle w:val="FootnoteReference"/>
          <w:rFonts w:eastAsiaTheme="majorEastAsia"/>
        </w:rPr>
        <w:footnoteRef/>
      </w:r>
      <w:r w:rsidRPr="00FC04DA">
        <w:t xml:space="preserve"> Correspondence from Department for Communities to NI Human Rights Commission, 21 July 2023.</w:t>
      </w:r>
    </w:p>
  </w:footnote>
  <w:footnote w:id="65">
    <w:p w14:paraId="01A45B06" w14:textId="77777777" w:rsidR="00065221" w:rsidRPr="00FC04DA" w:rsidRDefault="00065221" w:rsidP="00E43BFB">
      <w:pPr>
        <w:pStyle w:val="NIHRCFootnotes0"/>
      </w:pPr>
      <w:r w:rsidRPr="00FC04DA">
        <w:rPr>
          <w:rStyle w:val="FootnoteReference"/>
        </w:rPr>
        <w:footnoteRef/>
      </w:r>
      <w:r w:rsidRPr="00FC04DA">
        <w:t xml:space="preserve"> The relevant law is the Gender Recognition Act 2004. A panel considers each application. If the application is successful, the panel will issue a full or interim Gender Recognition Certificate. If the successful applicant’s birth was originally registered in NI, the panel will inform the Registrar General for NI when it issues the Gender Recognition Certificate and the Registrar will contact the successful applicant to arrange re-registration of their birth. Once agreed, a new registration showing the successful applicant’s new name and gender will be created and a replacement birth certificate (both long and short) will be available showing the new name and acquired gender. A short birth certificate will be issued free of charge. If a successful applicant is adopted, a new extract from the Adopted Children Register will be issued. If an applicant is unsuccessful, the panel will inform them in writing with their reasons. An unsuccessful applicant has a right of appeal. </w:t>
      </w:r>
      <w:r w:rsidRPr="00FC04DA">
        <w:rPr>
          <w:i/>
        </w:rPr>
        <w:t>See</w:t>
      </w:r>
      <w:r w:rsidRPr="00FC04DA">
        <w:t xml:space="preserve"> NI Direct, ‘Gender Recognition’. Available at: https://www.nidirect.gov.uk/articles/gender-recognition</w:t>
      </w:r>
    </w:p>
  </w:footnote>
  <w:footnote w:id="66">
    <w:p w14:paraId="0774047E" w14:textId="77777777" w:rsidR="0058759D" w:rsidRPr="00FC04DA" w:rsidRDefault="0058759D" w:rsidP="00E43BFB">
      <w:pPr>
        <w:pStyle w:val="NIHRCFootnotes0"/>
      </w:pPr>
      <w:r w:rsidRPr="00FC04DA">
        <w:rPr>
          <w:rStyle w:val="FootnoteReference"/>
        </w:rPr>
        <w:footnoteRef/>
      </w:r>
      <w:r w:rsidRPr="00FC04DA">
        <w:t xml:space="preserve"> Other criteria includes requiring that the applicant is over 18, has lived in the acquired gender for more than two years and intends to do so permanently.</w:t>
      </w:r>
    </w:p>
  </w:footnote>
  <w:footnote w:id="67">
    <w:p w14:paraId="6393FB2A" w14:textId="77777777" w:rsidR="00356736" w:rsidRPr="00FC04DA" w:rsidRDefault="00356736" w:rsidP="00E43BFB">
      <w:pPr>
        <w:pStyle w:val="NIHRCFootnotes0"/>
      </w:pPr>
      <w:r w:rsidRPr="00FC04DA">
        <w:rPr>
          <w:rStyle w:val="FootnoteReference"/>
        </w:rPr>
        <w:footnoteRef/>
      </w:r>
      <w:r w:rsidRPr="00FC04DA">
        <w:t xml:space="preserve"> Transgender civil society representatives reported that the Gender Identity Service does not provide reasonable adjustments for transgender women and girls with mental health issues or learning disabilities.</w:t>
      </w:r>
      <w:r w:rsidRPr="00FC04DA">
        <w:rPr>
          <w:i/>
        </w:rPr>
        <w:t xml:space="preserve"> See</w:t>
      </w:r>
      <w:r w:rsidRPr="00FC04DA">
        <w:t xml:space="preserve"> Roundtable discussion with civil society representatives, November 2018.</w:t>
      </w:r>
    </w:p>
  </w:footnote>
  <w:footnote w:id="68">
    <w:p w14:paraId="3F175333" w14:textId="592824BE" w:rsidR="00356736" w:rsidRPr="00FC04DA" w:rsidRDefault="00356736" w:rsidP="00E43BFB">
      <w:pPr>
        <w:pStyle w:val="NIHRCFootnotes0"/>
      </w:pPr>
      <w:r w:rsidRPr="00FC04DA">
        <w:rPr>
          <w:rStyle w:val="FootnoteReference"/>
        </w:rPr>
        <w:footnoteRef/>
      </w:r>
      <w:r w:rsidRPr="00FC04DA">
        <w:t xml:space="preserve"> The eligibility criteria requires that an applicant has lived in the acquired gender for more than two years and intends to do so permanently. Transgender civil society representatives reported that judgments will be made </w:t>
      </w:r>
      <w:r w:rsidR="002614AE" w:rsidRPr="00FC04DA">
        <w:t>based on</w:t>
      </w:r>
      <w:r w:rsidRPr="00FC04DA">
        <w:t xml:space="preserve"> what a transgender woman or girl is wearing. For example, if they wear male clothing this is used as evidence to show that they have not lived in the acquired gender for more than two years. </w:t>
      </w:r>
      <w:r w:rsidRPr="00FC04DA">
        <w:rPr>
          <w:i/>
        </w:rPr>
        <w:t>See</w:t>
      </w:r>
      <w:r w:rsidRPr="00FC04DA">
        <w:t xml:space="preserve"> Roundtable discussion with civil society representatives, November 2018.</w:t>
      </w:r>
    </w:p>
  </w:footnote>
  <w:footnote w:id="69">
    <w:p w14:paraId="7CDF964D" w14:textId="77777777" w:rsidR="00356736" w:rsidRPr="00FC04DA" w:rsidRDefault="00356736" w:rsidP="00E43BFB">
      <w:pPr>
        <w:pStyle w:val="NIHRCFootnotes0"/>
      </w:pPr>
      <w:r w:rsidRPr="00FC04DA">
        <w:rPr>
          <w:rStyle w:val="FootnoteReference"/>
        </w:rPr>
        <w:footnoteRef/>
      </w:r>
      <w:r w:rsidRPr="00FC04DA">
        <w:t xml:space="preserve"> In December 2018, the application fee for a Gender Recognition Certificate was £140. Assistance may be available to individuals on certain benefits or a low income. Within NI, the waiting list to transition is three years and the assessment for eligibility can take between six and 18 months. It was reported that doctors in NI have refused to provide the required medical report to prove gender dysphoria due to their own personal beliefs. There was one doctor in NI that would provide the required medical report for free on the National Health Service, but since 2018 has no longer been able to due to time constraints. As a result, individuals must pay privately to receive the required report, which costs £4,000. Transgender civil society representatives highlighted that barriers in the process can affect mental health and cause poverty, homelessness and trauma. It was also raised that if transgender children are not provided with hormone blockers early that it can lead to them being forced into major surgery in adulthood. It was reported that hormone blockers are provided for children in NI that are deemed not ready for puberty, but are not provided for transgender children. The Gender Equalities Office recently consulted on how to reform the Gender Recognition Act to address these issues. The proposed reform is limited to England and Wales. There are no plans to consider this issue in the context of NI. </w:t>
      </w:r>
      <w:r w:rsidRPr="00FC04DA">
        <w:rPr>
          <w:i/>
        </w:rPr>
        <w:t>See</w:t>
      </w:r>
      <w:r w:rsidRPr="00FC04DA">
        <w:t xml:space="preserve"> NI Direct, ‘Gender Recognition’. Available at: </w:t>
      </w:r>
      <w:hyperlink r:id="rId3" w:history="1">
        <w:r w:rsidRPr="00FC04DA">
          <w:rPr>
            <w:rStyle w:val="Hyperlink"/>
            <w:color w:val="77328A"/>
          </w:rPr>
          <w:t>https://www.nidirect.gov.uk/articles/gender-recognition</w:t>
        </w:r>
      </w:hyperlink>
      <w:r w:rsidRPr="00FC04DA">
        <w:t>; Focus: The Identity Trust, ‘Response to the Government’s Consultation on the Reform of the Gender Recognition Act 2004’ (Focus, 2018), at para 3.1; Roundtable discussion with civil society representatives, November 2018; Gov.UK, ‘Reform of the Gender Recognition Act 2004’. Available at: https://www.gov.uk/government/consultations/reform-of-the-gender-recognition-act-2004</w:t>
      </w:r>
    </w:p>
  </w:footnote>
  <w:footnote w:id="70">
    <w:p w14:paraId="32C589D6" w14:textId="77777777" w:rsidR="00356736" w:rsidRPr="00FC04DA" w:rsidRDefault="00356736" w:rsidP="00E43BFB">
      <w:pPr>
        <w:pStyle w:val="NIHRCFootnotes0"/>
      </w:pPr>
      <w:r w:rsidRPr="00FC04DA">
        <w:rPr>
          <w:rStyle w:val="FootnoteReference"/>
        </w:rPr>
        <w:footnoteRef/>
      </w:r>
      <w:r w:rsidRPr="00FC04DA">
        <w:rPr>
          <w:rFonts w:eastAsia="Verdana" w:cs="Verdana"/>
        </w:rPr>
        <w:t xml:space="preserve"> Scottish Government, ‘Review of the Gender Recognition Act 2004: A Consultation’ (Scottish Government, 2017); Gender Equalities Office, ‘Reform of the Gender Recognition Act – Government Consultation’ (GEO, 2018).</w:t>
      </w:r>
    </w:p>
  </w:footnote>
  <w:footnote w:id="71">
    <w:p w14:paraId="633EFC8B" w14:textId="77777777" w:rsidR="004150B6" w:rsidRPr="00FC04DA" w:rsidRDefault="004150B6" w:rsidP="00E43BFB">
      <w:pPr>
        <w:pStyle w:val="NIHRCFootnotes0"/>
      </w:pPr>
      <w:r w:rsidRPr="00FC04DA">
        <w:rPr>
          <w:rStyle w:val="FootnoteReference"/>
          <w:rFonts w:eastAsiaTheme="majorEastAsia"/>
        </w:rPr>
        <w:footnoteRef/>
      </w:r>
      <w:r w:rsidRPr="00FC04DA">
        <w:t xml:space="preserve"> Affiliation with paramilitary groups provides a source of power to perpetrators and paramilitary groups are seen to provide a more “rapid response” to domestic abuse for victims, by-passing the criminal justice system. </w:t>
      </w:r>
      <w:r w:rsidRPr="00FC04DA">
        <w:rPr>
          <w:i/>
          <w:iCs/>
        </w:rPr>
        <w:t xml:space="preserve">See </w:t>
      </w:r>
      <w:r w:rsidRPr="00FC04DA">
        <w:t>Jessical Leigh Doyle and Monica McWilliams, ‘Intimate Partner Violence in Conflict and Post-Conflict Settings’ (Ulster University, 2018), at 57; Roundtable discussions with NI women’s policy groups and NI women’s community groups, October 2017, November 2017, February 2018 and March 2018.</w:t>
      </w:r>
    </w:p>
  </w:footnote>
  <w:footnote w:id="72">
    <w:p w14:paraId="17870DDB" w14:textId="05F9CF24" w:rsidR="003C0A86" w:rsidRPr="00FC04DA" w:rsidRDefault="003C0A86" w:rsidP="00E43BFB">
      <w:pPr>
        <w:pStyle w:val="NIHRCFootnotes0"/>
      </w:pPr>
      <w:r w:rsidRPr="00FC04DA">
        <w:rPr>
          <w:rStyle w:val="FootnoteReference"/>
        </w:rPr>
        <w:footnoteRef/>
      </w:r>
      <w:r w:rsidRPr="00FC04DA">
        <w:t xml:space="preserve"> Research from the Institute for Conflict Research has found that there is a “distinct lack of legitimate leadership within many NI communities which is filled by paramilitary groups”. Research from the Women’s Support Network found that there is “endemic paramilitary ‘bullying’ and intimidation at the level of the community”. The NIHRC’s engagement with civil society organisations as part of the CEDAW process indicated that for women, paramilitary intimidation means women’s community groups feel unable to access funding and to engage with particular peacebuilding initiatives. It was highlighted that there is a historical and ongoing fear of paramilitaries (including paramilitaries from within their own communities) that is causing women to feel threatened, which is preventing the empowerment of women in NI. It was raised that women feel displaced by paramilitaries taking leadership roles. It was reported that this is closely linked to drug feuds and domestic violence.  </w:t>
      </w:r>
      <w:r w:rsidRPr="00FC04DA">
        <w:rPr>
          <w:i/>
          <w:iCs/>
        </w:rPr>
        <w:t xml:space="preserve">See </w:t>
      </w:r>
      <w:r w:rsidR="005545C7">
        <w:t xml:space="preserve">House of Commons NI Affairs Committee, ‘The Effect of Paramilitary Activity and Organised Crime on Society in NI’ (NIAC, 2024), at paras </w:t>
      </w:r>
      <w:r w:rsidR="00652EC3">
        <w:t>33-36</w:t>
      </w:r>
      <w:r w:rsidR="005545C7">
        <w:t xml:space="preserve">; </w:t>
      </w:r>
      <w:r w:rsidRPr="00FC04DA">
        <w:t xml:space="preserve">Caroline Walsh, ‘Consortium for the Regional Support for Women in Disadvantaged and Rural Areas: Policy Prioritisation for Disadvantaged Women – Women’s Perspectives’ (Women’s Support Network, 2017), at 34; Claire Pierson and Katy Radford, ‘Peacebuilding and the Women’s Sector in NI: An Overview of Reports and Programmes (Institute for Conflict Research, 2016), at 31; Margaret Ward, ‘Excluded and silenced: Women in Northern Ireland after the peace process’, </w:t>
      </w:r>
      <w:r w:rsidRPr="00FC04DA">
        <w:rPr>
          <w:i/>
          <w:iCs/>
        </w:rPr>
        <w:t>Open Democracy</w:t>
      </w:r>
      <w:r w:rsidRPr="00FC04DA">
        <w:t xml:space="preserve">, 12 June 2013; Roundtable discussions with NI women’s policy groups and NI women’s community groups, October 2017, November 2017, February 2018 and March 2018; National Crime Agency, ‘Press Release: Paramilitary Crime Taskforce launched in NI’, 27 September 2017; Emma Vardy, ‘Adverts bid to end paramilitary-style attacks in NI’, </w:t>
      </w:r>
      <w:r w:rsidRPr="00FC04DA">
        <w:rPr>
          <w:i/>
          <w:iCs/>
        </w:rPr>
        <w:t>BBC News</w:t>
      </w:r>
      <w:r w:rsidRPr="00FC04DA">
        <w:t xml:space="preserve">, 18 October 2018; Department of Justice, ‘Executive Programme for Tackling Paramilitary Activity and Organised Crime’. Available at: </w:t>
      </w:r>
      <w:hyperlink r:id="rId4" w:history="1">
        <w:r w:rsidRPr="00FC04DA">
          <w:rPr>
            <w:rStyle w:val="Hyperlink"/>
            <w:color w:val="77328A"/>
          </w:rPr>
          <w:t>https://www.justice-ni.gov.uk/articles/executive-programme-tackling-paramilitary-activity-and-organised-crime</w:t>
        </w:r>
      </w:hyperlink>
      <w:r w:rsidRPr="00FC04DA">
        <w:rPr>
          <w:rStyle w:val="Hyperlink"/>
          <w:color w:val="77328A"/>
        </w:rPr>
        <w:t xml:space="preserve">; </w:t>
      </w:r>
      <w:r w:rsidRPr="00FC04DA">
        <w:t xml:space="preserve">Jessical Leigh Doyle and Monica McWilliams, ‘Intimate Partner Violence in Conflict and Post-Conflict Settings’ (Ulster University, 2018), at 57.  </w:t>
      </w:r>
    </w:p>
  </w:footnote>
  <w:footnote w:id="73">
    <w:p w14:paraId="2B00990D" w14:textId="67CA2C54" w:rsidR="00AD6DAD" w:rsidRPr="00FC04DA" w:rsidRDefault="00AD6DAD" w:rsidP="00E43BFB">
      <w:pPr>
        <w:pStyle w:val="NIHRCFootnotes0"/>
      </w:pPr>
      <w:r w:rsidRPr="00FC04DA">
        <w:rPr>
          <w:rStyle w:val="FootnoteReference"/>
        </w:rPr>
        <w:footnoteRef/>
      </w:r>
      <w:r w:rsidRPr="00FC04DA">
        <w:t xml:space="preserve"> </w:t>
      </w:r>
      <w:r w:rsidR="00C22F91" w:rsidRPr="00FC04DA">
        <w:t xml:space="preserve">Research identifies issues around housing allocation relating to paramilitary intimidation, where if the perpetrator has a connection to a paramilitary organisation, the leadership will deny the intimidation. The research further notes that, with most social housing estates being segregated and paramilitary-controlled, women can often be placed on housing lists for years awaiting safe accommodation. </w:t>
      </w:r>
      <w:r w:rsidR="00C22F91" w:rsidRPr="00FC04DA">
        <w:rPr>
          <w:i/>
        </w:rPr>
        <w:t>See</w:t>
      </w:r>
      <w:r w:rsidR="00C22F91" w:rsidRPr="00FC04DA">
        <w:t xml:space="preserve"> </w:t>
      </w:r>
      <w:r w:rsidR="00286AC5" w:rsidRPr="00FC04DA">
        <w:t>Women’s Aid Federation NI, ‘Hear Her Voice’ (WAFNI, 2023), at 19 and 45.</w:t>
      </w:r>
    </w:p>
  </w:footnote>
  <w:footnote w:id="74">
    <w:p w14:paraId="5BDFDFF8" w14:textId="77777777" w:rsidR="00DA19DE" w:rsidRPr="00FC04DA" w:rsidRDefault="00DA19DE" w:rsidP="00E43BFB">
      <w:pPr>
        <w:pStyle w:val="NIHRCFootnotes0"/>
      </w:pPr>
      <w:r w:rsidRPr="00FC04DA">
        <w:rPr>
          <w:rStyle w:val="FootnoteReference"/>
          <w:rFonts w:eastAsiaTheme="majorEastAsia"/>
        </w:rPr>
        <w:footnoteRef/>
      </w:r>
      <w:r w:rsidRPr="00FC04DA">
        <w:t xml:space="preserve"> Roundtable discussions with NI women’s policy groups and NI women’s community groups, October 2017, November 2017, February 2018 and March 2018.</w:t>
      </w:r>
    </w:p>
  </w:footnote>
  <w:footnote w:id="75">
    <w:p w14:paraId="36A01086" w14:textId="77777777" w:rsidR="00DA19DE" w:rsidRPr="00FC04DA" w:rsidRDefault="00DA19DE" w:rsidP="00E43BFB">
      <w:pPr>
        <w:pStyle w:val="NIHRCFootnotes0"/>
      </w:pPr>
      <w:r w:rsidRPr="00FC04DA">
        <w:rPr>
          <w:rStyle w:val="FootnoteReference"/>
          <w:rFonts w:eastAsiaTheme="majorEastAsia"/>
        </w:rPr>
        <w:footnoteRef/>
      </w:r>
      <w:r w:rsidRPr="00FC04DA">
        <w:t xml:space="preserve"> HM Government, ‘UK National Action Plan on Women, Peace and Security 2018-2022’ (UK Gov, 2018).</w:t>
      </w:r>
    </w:p>
  </w:footnote>
  <w:footnote w:id="76">
    <w:p w14:paraId="6F270207" w14:textId="53E72880" w:rsidR="00730C44" w:rsidRPr="00FC04DA" w:rsidRDefault="00730C44" w:rsidP="00E43BFB">
      <w:pPr>
        <w:pStyle w:val="NIHRCFootnotes0"/>
      </w:pPr>
      <w:r w:rsidRPr="00FC04DA">
        <w:rPr>
          <w:rStyle w:val="FootnoteReference"/>
        </w:rPr>
        <w:footnoteRef/>
      </w:r>
      <w:r w:rsidRPr="00FC04DA">
        <w:t xml:space="preserve"> </w:t>
      </w:r>
      <w:r w:rsidR="00400D66" w:rsidRPr="00FC04DA">
        <w:t xml:space="preserve">CCPR/C/GBR/CO/7, 'UN Human Rights Committee Concluding Observations on the Seventh Periodic Report of the UK of Great Britain and NI', 17 August 2015, at para </w:t>
      </w:r>
      <w:r w:rsidR="00B02315" w:rsidRPr="00FC04DA">
        <w:t>8(a).</w:t>
      </w:r>
    </w:p>
  </w:footnote>
  <w:footnote w:id="77">
    <w:p w14:paraId="23EC86BD" w14:textId="37A09DFB" w:rsidR="001454B4" w:rsidRPr="00FC04DA" w:rsidRDefault="001454B4" w:rsidP="00E43BFB">
      <w:pPr>
        <w:pStyle w:val="NIHRCFootnotes0"/>
      </w:pPr>
      <w:r w:rsidRPr="00FC04DA">
        <w:rPr>
          <w:rStyle w:val="FootnoteReference"/>
        </w:rPr>
        <w:footnoteRef/>
      </w:r>
      <w:r w:rsidRPr="00FC04DA">
        <w:t xml:space="preserve"> In 2021, the UK Government set out specific plans for legislation to address the legacy of the Troubles. Contrary to the majority of views expressed during a public consultation in 2018, the plans indicated a shift away from conducting human rights compliant Troubles-related investigations, towards seeking and receiving information about Troubles-related deaths and injuries. The plan also included the intention to introduce a statute of limitations to apply equally to all Troubles-related incidents. In 2022, the then NI Troubles (Legacy and Reconciliation) Bill was introduced to the UK Parliament. Throughout the passage of the Bill, the Commission provided advice on its compatibility with the ECHR</w:t>
      </w:r>
      <w:r w:rsidR="000D6E8D" w:rsidRPr="00FC04DA">
        <w:t xml:space="preserve">, </w:t>
      </w:r>
      <w:r w:rsidRPr="00FC04DA">
        <w:t>international human rights framework</w:t>
      </w:r>
      <w:r w:rsidR="000D6E8D" w:rsidRPr="00FC04DA">
        <w:t xml:space="preserve"> and Windsor Framework Article 2</w:t>
      </w:r>
      <w:r w:rsidRPr="00FC04DA">
        <w:t xml:space="preserve">. </w:t>
      </w:r>
      <w:r w:rsidRPr="00FC04DA">
        <w:rPr>
          <w:i/>
          <w:iCs/>
        </w:rPr>
        <w:t>See</w:t>
      </w:r>
      <w:r w:rsidRPr="00FC04DA">
        <w:t xml:space="preserve"> NI Office, 'Addressing the Legacy of NI’s Past' (NIO, 2021); NI Office, 'Addressing the Legacy of NI's Past: Analysis of the Consultation Responses' (NIO, 2019); House of Commons NI Affairs Committee, 'Oral Evidence: Addressing the Legacy of NI's Past - The UK Government's New Proposals', 7 June 2022;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 Human Rights Commission to Lord Jay, Chair of the House of Lords Sub-Committee on the Ireland/Northern Ireland Protocol, 30 January 2023; NI Human Rights Commission, ‘Supplementary Briefing: UK Government’s Proposed Amendments to NI Troubles (Legacy and Reconciliation) Bill’ (NIHRC, 2023)</w:t>
      </w:r>
      <w:r w:rsidR="0079116C" w:rsidRPr="00FC04DA">
        <w:t>; Office of the UN High Commissioner for Human Rights, 'Press Release: UN experts voice concern at proposed blanket immunity to address the legacy of "the Troubles" in NI', 10 August 2021; Letter from CoE Commissioner for Human Rights, Dunja Mijatovic, to Secretary of State for NI, Brandon Lewis MP, 13 September 2021; CoE, ‘Submission by the CoE Commissioner for Human Rights Under Rule 9.4 of the Rules of the Committee of Ministers for the Supervision of the Execution of Judgments and of the Terms of Friendly Settlements in the Cases of McKerr v UK, Finucane v UK, Kelly and Others v UK, Shanaghan v UK, McCaughey and Others v UK’ (CoE, 2022), at para 28; CM/Notes/1443H46-32, ‘CoE Committee of Ministers McKerr Group v UK (Application No 28883/95) Supervision of the Execution of the ECtHR’s Judgments’, 22 September 2022, at para 8; CoE Parliamentary Assembly, ‘Resolution 2464(2002) – The Impact of Brexit on Human Rights on the Island of Ireland’, 31 October 2022, at paras 8 and 9; CommDH(2022)27, ‘CoE Commissioner for Human Rights, Dunja Mijatovic: Report Following Visit to UK From 27 June to 1 July 2022’, 18 November 2022, at 37-40; A/HRC/52/10,’Report of the UN Working Group on the Universal Periodic Review: UK of Great Britain and NI’, 9 January 2023, at paras 43.27, 43.106 and 43.112; CM/Del/Dec(2023)1459/H46-35, ‘McKerr Group v UK (Application No 28883/95 Supervision of the Execution of the European Court’s Judgments), 9 March 2023, at para 5; CM/ResDH(2023)148, ‘CoE Committee of Ministers Interim Resolution: McKerr and Four Cases Against the UK’, 7 June 2023.</w:t>
      </w:r>
    </w:p>
  </w:footnote>
  <w:footnote w:id="78">
    <w:p w14:paraId="35913CCB" w14:textId="00FD004A" w:rsidR="00C36BBD" w:rsidRPr="00FC04DA" w:rsidRDefault="00C36BBD" w:rsidP="00E43BFB">
      <w:pPr>
        <w:pStyle w:val="NIHRCFootnotes0"/>
      </w:pPr>
      <w:r w:rsidRPr="00FC04DA">
        <w:rPr>
          <w:rStyle w:val="FootnoteReference"/>
        </w:rPr>
        <w:footnoteRef/>
      </w:r>
      <w:r w:rsidRPr="00FC04DA">
        <w:t xml:space="preserve"> The 2023 Act establishes an Independent Commission for Reconciliation and Information Recovery which will conduct reviews, on request, into deaths and serious injuries resulting from or connected with conduct during the Troubles. The Independent Commission for Reconciliation and Information Recovery is also tasked with producing a historical record of all remaining deaths that occurred during the Troubles (i.e. Troubles-related deaths that are not subject to a review by the Independent Commission). The Independent Commission for Reconciliation and Information Recovery will operate a conditional immunity scheme for certain Troubles-related offences and most Troubles-related proceedings will cease by 1 May 2024. The 2023 Act also establishes several statutory-based initiatives aimed at memorialising the Troubles such as oral history records, a memorialisation strategy and Troubles-related academic research.</w:t>
      </w:r>
    </w:p>
  </w:footnote>
  <w:footnote w:id="79">
    <w:p w14:paraId="2ECD5341" w14:textId="5C4D6146" w:rsidR="00001EDA" w:rsidRPr="00FC04DA" w:rsidRDefault="00001EDA" w:rsidP="00E43BFB">
      <w:pPr>
        <w:pStyle w:val="NIHRCFootnotes0"/>
      </w:pPr>
      <w:r w:rsidRPr="00FC04DA">
        <w:rPr>
          <w:rStyle w:val="FootnoteReference"/>
        </w:rPr>
        <w:footnoteRef/>
      </w:r>
      <w:r w:rsidRPr="00FC04DA">
        <w:t xml:space="preserve">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 Human Rights Commission to Lord Jay, Chair of the House of Lords Sub-Committee on the Ireland/Northern Ireland Protocol, 30 January 2023; NI Human Rights Commission, ‘Supplementary Briefing: UK Government’s Proposed Amendments to NI Troubles (Legacy and Reconciliation) Bill’ (NIHRC, 2023).</w:t>
      </w:r>
    </w:p>
  </w:footnote>
  <w:footnote w:id="80">
    <w:p w14:paraId="4E48AFE6" w14:textId="77777777" w:rsidR="00001EDA" w:rsidRPr="00FC04DA" w:rsidRDefault="00001EDA" w:rsidP="00E43BFB">
      <w:pPr>
        <w:pStyle w:val="NIHRCFootnotes0"/>
      </w:pPr>
      <w:r w:rsidRPr="00FC04DA">
        <w:rPr>
          <w:rStyle w:val="FootnoteReference"/>
        </w:rPr>
        <w:footnoteRef/>
      </w:r>
      <w:r w:rsidRPr="00FC04DA">
        <w:t xml:space="preserve">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 Human Rights Commission to Lord Jay, Chair of the House of Lords Sub-Committee on the Ireland/Northern Ireland Protocol, 30 January 2023; NI Human Rights Commission, ‘Supplementary Briefing: UK Government’s Proposed Amendments to NI Troubles (Legacy and Reconciliation) Bill’ (NIHRC, 2023).</w:t>
      </w:r>
    </w:p>
  </w:footnote>
  <w:footnote w:id="81">
    <w:p w14:paraId="5EA7C049" w14:textId="77777777" w:rsidR="00001EDA" w:rsidRPr="00FC04DA" w:rsidRDefault="00001EDA" w:rsidP="00E43BFB">
      <w:pPr>
        <w:pStyle w:val="NIHRCFootnotes0"/>
      </w:pPr>
      <w:r w:rsidRPr="00FC04DA">
        <w:rPr>
          <w:rStyle w:val="FootnoteReference"/>
        </w:rPr>
        <w:footnoteRef/>
      </w:r>
      <w:r w:rsidRPr="00FC04DA">
        <w:t xml:space="preserve">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 Human Rights Commission to Lord Jay, Chair of the House of Lords Sub-Committee on the Ireland/Northern Ireland Protocol, 30 January 2023; NI Human Rights Commission, ‘Supplementary Briefing: UK Government’s Proposed Amendments to NI Troubles (Legacy and Reconciliation) Bill’ (NIHRC, 2023).</w:t>
      </w:r>
    </w:p>
  </w:footnote>
  <w:footnote w:id="82">
    <w:p w14:paraId="3ABC3766" w14:textId="77777777" w:rsidR="00C930D1" w:rsidRPr="00FC04DA" w:rsidRDefault="00C930D1" w:rsidP="00E43BFB">
      <w:pPr>
        <w:pStyle w:val="NIHRCFootnotes0"/>
      </w:pPr>
      <w:r w:rsidRPr="00FC04DA">
        <w:rPr>
          <w:rStyle w:val="FootnoteReference"/>
        </w:rPr>
        <w:footnoteRef/>
      </w:r>
      <w:r w:rsidRPr="00FC04DA">
        <w:t xml:space="preserve"> Email correspondence from Chief Commissioner of the Independent Commission for Reconciliation and Information Recovery, Sir Declan Morgan, to NI Human Rights Commission, 14 September 2023.</w:t>
      </w:r>
    </w:p>
  </w:footnote>
  <w:footnote w:id="83">
    <w:p w14:paraId="3B0E4396" w14:textId="2C7F38A1" w:rsidR="001D23AA" w:rsidRPr="00FC04DA" w:rsidRDefault="001D23AA" w:rsidP="00E43BFB">
      <w:pPr>
        <w:pStyle w:val="NIHRCFootnotes0"/>
        <w:rPr>
          <w:iCs/>
        </w:rPr>
      </w:pPr>
      <w:r w:rsidRPr="00FC04DA">
        <w:rPr>
          <w:rStyle w:val="FootnoteReference"/>
        </w:rPr>
        <w:footnoteRef/>
      </w:r>
      <w:r w:rsidRPr="00FC04DA">
        <w:t xml:space="preserve"> The NIHRC intervened in the cases</w:t>
      </w:r>
      <w:r w:rsidR="000D6E8D" w:rsidRPr="00FC04DA">
        <w:t xml:space="preserve"> raising concerns about compliance with the ECHR, international human rights standards and Windsor Framework Article 2</w:t>
      </w:r>
      <w:r w:rsidRPr="00FC04DA">
        <w:t>.</w:t>
      </w:r>
      <w:r w:rsidR="00313FA1" w:rsidRPr="00FC04DA">
        <w:t xml:space="preserve"> See Julian O’Neill, ‘Troubles Legacy Act a form of secondary trauma, Belfast High Court hears’, </w:t>
      </w:r>
      <w:r w:rsidR="00313FA1" w:rsidRPr="00FC04DA">
        <w:rPr>
          <w:i/>
        </w:rPr>
        <w:t>BBC News</w:t>
      </w:r>
      <w:r w:rsidR="00313FA1" w:rsidRPr="00FC04DA">
        <w:rPr>
          <w:iCs/>
        </w:rPr>
        <w:t xml:space="preserve">, 21 November 2023. </w:t>
      </w:r>
    </w:p>
  </w:footnote>
  <w:footnote w:id="84">
    <w:p w14:paraId="4A5835FA" w14:textId="4C400962" w:rsidR="001D23AA" w:rsidRPr="00FC04DA" w:rsidRDefault="001D23AA" w:rsidP="00E43BFB">
      <w:pPr>
        <w:pStyle w:val="NIHRCFootnotes0"/>
      </w:pPr>
      <w:r w:rsidRPr="00FC04DA">
        <w:rPr>
          <w:rStyle w:val="FootnoteReference"/>
        </w:rPr>
        <w:footnoteRef/>
      </w:r>
      <w:r w:rsidRPr="00FC04DA">
        <w:t xml:space="preserve"> </w:t>
      </w:r>
      <w:r w:rsidR="00883915" w:rsidRPr="00FC04DA">
        <w:t xml:space="preserve">Department of Foreign Affairs, ‘Press Release: </w:t>
      </w:r>
      <w:r w:rsidR="005B273A" w:rsidRPr="00FC04DA">
        <w:t>Statement by the Tánaiste, Micheál Martin, on the Government decision to initiate an inter-State case against the UK’</w:t>
      </w:r>
      <w:r w:rsidR="00D153B9" w:rsidRPr="00FC04DA">
        <w:t>, 20 December 2023.</w:t>
      </w:r>
    </w:p>
  </w:footnote>
  <w:footnote w:id="85">
    <w:p w14:paraId="1E8081D9" w14:textId="524963C1" w:rsidR="00F27E59" w:rsidRPr="00FC04DA" w:rsidRDefault="00F27E59" w:rsidP="00E43BFB">
      <w:pPr>
        <w:pStyle w:val="NIHRCFootnotes0"/>
      </w:pPr>
      <w:r w:rsidRPr="00FC04DA">
        <w:rPr>
          <w:rStyle w:val="FootnoteReference"/>
        </w:rPr>
        <w:footnoteRef/>
      </w:r>
      <w:r w:rsidRPr="00FC04DA">
        <w:t xml:space="preserve"> </w:t>
      </w:r>
      <w:r w:rsidR="0080298E" w:rsidRPr="00FC04DA">
        <w:t xml:space="preserve">NI Office, ‘Press Release: Statement in response to legacy inter-state case by the Irish Government’, </w:t>
      </w:r>
      <w:r w:rsidR="006540F3" w:rsidRPr="00FC04DA">
        <w:t>20 December 2023.</w:t>
      </w:r>
    </w:p>
  </w:footnote>
  <w:footnote w:id="86">
    <w:p w14:paraId="3651137C" w14:textId="5B727B8C" w:rsidR="006B7C6C" w:rsidRPr="00FC04DA" w:rsidRDefault="006B7C6C" w:rsidP="00E43BFB">
      <w:pPr>
        <w:pStyle w:val="NIHRCFootnotes0"/>
      </w:pPr>
      <w:r w:rsidRPr="00FC04DA">
        <w:rPr>
          <w:rStyle w:val="FootnoteReference"/>
        </w:rPr>
        <w:footnoteRef/>
      </w:r>
      <w:r w:rsidRPr="00FC04DA">
        <w:t xml:space="preserve"> CCPR/C/GBR/CO/7, 'UN Human Rights Committee Concluding Observations on the Seventh Periodic Report of the UK of Great Britain and NI', 17 August 2015, at para 8</w:t>
      </w:r>
      <w:r w:rsidR="00144DE4" w:rsidRPr="00FC04DA">
        <w:t>(c)</w:t>
      </w:r>
      <w:r w:rsidRPr="00FC04DA">
        <w:t>.</w:t>
      </w:r>
    </w:p>
  </w:footnote>
  <w:footnote w:id="87">
    <w:p w14:paraId="1C0592BB" w14:textId="116C43FD" w:rsidR="00C72934" w:rsidRPr="00FC04DA" w:rsidRDefault="00C72934" w:rsidP="00E43BFB">
      <w:pPr>
        <w:pStyle w:val="NIHRCFootnotes0"/>
      </w:pPr>
      <w:r w:rsidRPr="00FC04DA">
        <w:rPr>
          <w:rStyle w:val="FootnoteReference"/>
        </w:rPr>
        <w:footnoteRef/>
      </w:r>
      <w:r w:rsidRPr="00FC04DA">
        <w:t xml:space="preserve"> Coroners Service for NI, 'Case Management Direction - CMD Legacy No 1' (CSNI, 2021).</w:t>
      </w:r>
    </w:p>
  </w:footnote>
  <w:footnote w:id="88">
    <w:p w14:paraId="51722CE0" w14:textId="47B19433" w:rsidR="00171C71" w:rsidRPr="00FC04DA" w:rsidRDefault="00171C71" w:rsidP="00E43BFB">
      <w:pPr>
        <w:pStyle w:val="NIHRCFootnotes0"/>
      </w:pPr>
      <w:r w:rsidRPr="00FC04DA">
        <w:rPr>
          <w:rStyle w:val="FootnoteReference"/>
        </w:rPr>
        <w:footnoteRef/>
      </w:r>
      <w:r w:rsidRPr="00FC04DA">
        <w:t xml:space="preserve"> Six found that the deaths had occurred due to “unjustified” or “disproportionate” use of force. Three found the investigation obligations had not been adequately fulfilled. One found that that "the [military] operation was not planned and controlled in such a way that it minimised to the greatest extent possible the need for recourse to lethal force". </w:t>
      </w:r>
      <w:r w:rsidRPr="00FC04DA">
        <w:rPr>
          <w:i/>
          <w:iCs/>
        </w:rPr>
        <w:t>See In the Matter of an Inquest into the Death of Patrick McElhone</w:t>
      </w:r>
      <w:r w:rsidRPr="00FC04DA">
        <w:t xml:space="preserve"> [2021] NICoroner 1; </w:t>
      </w:r>
      <w:r w:rsidRPr="00FC04DA">
        <w:rPr>
          <w:i/>
          <w:iCs/>
        </w:rPr>
        <w:t>In the Matter of a Series of Deaths that Occurred in August 1971 at Ballymurphy, West Belfast</w:t>
      </w:r>
      <w:r w:rsidRPr="00FC04DA">
        <w:t xml:space="preserve"> [2021] NICoroner 6; Judicial Communications Office, 'Coroner Finds Soldier Was Not Justified in Shooting Thomas Mills - Summary of Judgment', 13 May 2022; </w:t>
      </w:r>
      <w:r w:rsidRPr="00FC04DA">
        <w:rPr>
          <w:i/>
          <w:iCs/>
        </w:rPr>
        <w:t>In the Matter of An Inquest Into the Death of Kathleen Thompson</w:t>
      </w:r>
      <w:r w:rsidRPr="00FC04DA">
        <w:t xml:space="preserve"> [2022] NICoroner1, at paras 412(i) and 412(j); </w:t>
      </w:r>
      <w:r w:rsidRPr="00FC04DA">
        <w:rPr>
          <w:i/>
          <w:iCs/>
        </w:rPr>
        <w:t xml:space="preserve">In the Matter of An Inquest into the Death of Master Stephen Geddis </w:t>
      </w:r>
      <w:r w:rsidRPr="00FC04DA">
        <w:t xml:space="preserve">[2022] NICorner 2, at para 463(v); </w:t>
      </w:r>
      <w:r w:rsidRPr="00FC04DA">
        <w:rPr>
          <w:i/>
          <w:iCs/>
        </w:rPr>
        <w:t>In the Matter of an Inquest into the Death of Leo Norney</w:t>
      </w:r>
      <w:r w:rsidRPr="00FC04DA">
        <w:t xml:space="preserve"> [2023] NICoroner 11, at para 315; </w:t>
      </w:r>
      <w:r w:rsidRPr="00FC04DA">
        <w:rPr>
          <w:i/>
          <w:iCs/>
        </w:rPr>
        <w:t>In the Matter of a Series of Deaths that Occurred in August 1971 at Ballymurphy, West Belfast</w:t>
      </w:r>
      <w:r w:rsidRPr="00FC04DA">
        <w:t xml:space="preserve"> [2021] NICoroner 6; Coroners Court for NI, 'In Matter of An Inquest into the Death of Neil John McConville', 11 April 2022; </w:t>
      </w:r>
      <w:r w:rsidRPr="00FC04DA">
        <w:rPr>
          <w:i/>
          <w:iCs/>
        </w:rPr>
        <w:t>In the Matter of An Inquest Into the Death of Kathleen Thompson</w:t>
      </w:r>
      <w:r w:rsidRPr="00FC04DA">
        <w:t xml:space="preserve"> [2022] NICoroner1, at paras 412(i) and 412(j); Coroners Court for NI, 'In Matter of An Inquest into the Death of Neil John McConville', 11 April 2022.</w:t>
      </w:r>
    </w:p>
  </w:footnote>
  <w:footnote w:id="89">
    <w:p w14:paraId="5AE52BC8" w14:textId="7938E92F" w:rsidR="00AD2E3E" w:rsidRPr="00FC04DA" w:rsidRDefault="00AD2E3E" w:rsidP="00E43BFB">
      <w:pPr>
        <w:pStyle w:val="NIHRCFootnotes0"/>
      </w:pPr>
      <w:r w:rsidRPr="00FC04DA">
        <w:rPr>
          <w:rStyle w:val="FootnoteReference"/>
        </w:rPr>
        <w:footnoteRef/>
      </w:r>
      <w:r w:rsidRPr="00FC04DA">
        <w:t xml:space="preserve"> Other than those referred by the Independent Commission for Reconciliation and Information Recovery to the prosecutor.</w:t>
      </w:r>
    </w:p>
  </w:footnote>
  <w:footnote w:id="90">
    <w:p w14:paraId="6F620D60" w14:textId="475393C5" w:rsidR="00341D79" w:rsidRPr="00FC04DA" w:rsidRDefault="00341D79" w:rsidP="00E43BFB">
      <w:pPr>
        <w:pStyle w:val="NIHRCFootnotes0"/>
      </w:pPr>
      <w:r w:rsidRPr="00FC04DA">
        <w:rPr>
          <w:rStyle w:val="FootnoteReference"/>
        </w:rPr>
        <w:footnoteRef/>
      </w:r>
      <w:r w:rsidRPr="00FC04DA">
        <w:t xml:space="preserve"> </w:t>
      </w:r>
      <w:r w:rsidR="00B55B94" w:rsidRPr="00FC04DA">
        <w:t>CCPR/C/GBR/CO/7, 'UN Human Rights Committee Concluding Observations on the Seventh Periodic Report of the UK of Great Britain and NI', 17 August 2015, at para 8.</w:t>
      </w:r>
    </w:p>
  </w:footnote>
  <w:footnote w:id="91">
    <w:p w14:paraId="462CF9ED" w14:textId="77777777" w:rsidR="0053352B" w:rsidRPr="00FC04DA" w:rsidRDefault="0053352B" w:rsidP="00E43BFB">
      <w:pPr>
        <w:pStyle w:val="NIHRCFootnotes0"/>
      </w:pPr>
      <w:r w:rsidRPr="00FC04DA">
        <w:rPr>
          <w:rStyle w:val="FootnoteReference"/>
        </w:rPr>
        <w:footnoteRef/>
      </w:r>
      <w:r w:rsidRPr="00FC04DA">
        <w:t xml:space="preserve"> </w:t>
      </w:r>
      <w:r w:rsidRPr="00FC04DA">
        <w:rPr>
          <w:i/>
          <w:iCs/>
        </w:rPr>
        <w:t>In the Matter of an Application by Geraldine Finucane for Judicial Review and In the Matter of a Decision of the Secretary of State for NI</w:t>
      </w:r>
      <w:r w:rsidRPr="00FC04DA">
        <w:t xml:space="preserve"> [2022] NIKB37, at para 79.</w:t>
      </w:r>
    </w:p>
  </w:footnote>
  <w:footnote w:id="92">
    <w:p w14:paraId="7386672E" w14:textId="77777777" w:rsidR="00D04CA4" w:rsidRPr="00FC04DA" w:rsidRDefault="00D04CA4" w:rsidP="00E43BFB">
      <w:pPr>
        <w:pStyle w:val="NIHRCFootnotes0"/>
      </w:pPr>
      <w:r w:rsidRPr="00FC04DA">
        <w:rPr>
          <w:rStyle w:val="FootnoteReference"/>
        </w:rPr>
        <w:footnoteRef/>
      </w:r>
      <w:r w:rsidRPr="00FC04DA">
        <w:t xml:space="preserve"> ‘Pat Finucane: Widow of murdered solicitor to receive £5,000 in additional damages from Secretary of State’, </w:t>
      </w:r>
      <w:r w:rsidRPr="00FC04DA">
        <w:rPr>
          <w:i/>
          <w:iCs/>
        </w:rPr>
        <w:t>Newsletter</w:t>
      </w:r>
      <w:r w:rsidRPr="00FC04DA">
        <w:t>, 30 March 2023.</w:t>
      </w:r>
    </w:p>
  </w:footnote>
  <w:footnote w:id="93">
    <w:p w14:paraId="0631364B" w14:textId="77777777" w:rsidR="00D04CA4" w:rsidRPr="00FC04DA" w:rsidRDefault="00D04CA4" w:rsidP="00E43BFB">
      <w:pPr>
        <w:pStyle w:val="NIHRCFootnotes0"/>
      </w:pPr>
      <w:r w:rsidRPr="00FC04DA">
        <w:rPr>
          <w:rStyle w:val="FootnoteReference"/>
        </w:rPr>
        <w:footnoteRef/>
      </w:r>
      <w:r w:rsidRPr="00FC04DA">
        <w:t xml:space="preserve"> Email correspondence from NI Office to NI Human Rights Commission, 10 August 2023.</w:t>
      </w:r>
    </w:p>
  </w:footnote>
  <w:footnote w:id="94">
    <w:p w14:paraId="28FC81FC" w14:textId="780F9909" w:rsidR="00D04CA4" w:rsidRPr="00FC04DA" w:rsidRDefault="00D04CA4" w:rsidP="00E43BFB">
      <w:pPr>
        <w:pStyle w:val="NIHRCFootnotes0"/>
      </w:pPr>
      <w:r w:rsidRPr="00FC04DA">
        <w:rPr>
          <w:rStyle w:val="FootnoteReference"/>
        </w:rPr>
        <w:footnoteRef/>
      </w:r>
      <w:r w:rsidRPr="00FC04DA">
        <w:t xml:space="preserve"> </w:t>
      </w:r>
      <w:r w:rsidR="00FC3236">
        <w:t>Ibid</w:t>
      </w:r>
      <w:r w:rsidR="008A1110" w:rsidRPr="00FC04DA">
        <w:t>.</w:t>
      </w:r>
    </w:p>
  </w:footnote>
  <w:footnote w:id="95">
    <w:p w14:paraId="6989F1E4" w14:textId="6088D691" w:rsidR="006F3F2D" w:rsidRPr="00FC04DA" w:rsidRDefault="006F3F2D" w:rsidP="00E43BFB">
      <w:pPr>
        <w:pStyle w:val="NIHRCFootnotes0"/>
      </w:pPr>
      <w:r w:rsidRPr="00FC04DA">
        <w:rPr>
          <w:rStyle w:val="FootnoteReference"/>
        </w:rPr>
        <w:footnoteRef/>
      </w:r>
      <w:r w:rsidRPr="00FC04DA">
        <w:t xml:space="preserve"> </w:t>
      </w:r>
      <w:r w:rsidR="000378A7">
        <w:t>Ibid.</w:t>
      </w:r>
    </w:p>
  </w:footnote>
  <w:footnote w:id="96">
    <w:p w14:paraId="6C11A572" w14:textId="3475B392" w:rsidR="006F3F2D" w:rsidRPr="00FC04DA" w:rsidRDefault="006F3F2D" w:rsidP="00E43BFB">
      <w:pPr>
        <w:pStyle w:val="NIHRCFootnotes0"/>
      </w:pPr>
      <w:r w:rsidRPr="00FC04DA">
        <w:rPr>
          <w:rStyle w:val="FootnoteReference"/>
        </w:rPr>
        <w:footnoteRef/>
      </w:r>
      <w:r w:rsidRPr="00FC04DA">
        <w:t xml:space="preserve"> </w:t>
      </w:r>
      <w:r w:rsidR="00450498" w:rsidRPr="00FC04DA">
        <w:t>In 1998, a bomb in the centre of Omagh injured at least 220 people and killed 29 people, including a woman who was pregnant with twins. In 2021, t</w:t>
      </w:r>
      <w:r w:rsidR="00FB5D4E" w:rsidRPr="00FC04DA">
        <w:t xml:space="preserve">he High Court did not “order a public inquiry to look at arguable grounds of preventability”. However, the High Court stated that "there is a real advantage in an Article 2 [of the ECHR] compliant investigation proceeding in… Ireland simultaneously with one in NI”. Thus, the High Court ruled that “it is for the government(s) to hold an investigation that is Article 2 [of the ECHR] compliant and which can receive both open and closed materials”: See </w:t>
      </w:r>
      <w:r w:rsidRPr="00FC04DA">
        <w:rPr>
          <w:i/>
          <w:iCs/>
        </w:rPr>
        <w:t>In the Matter of an Application by Michael Gallagher for Leave to Apply for Judicial Review and in the Matter of a Decision by the Secretary of State for NI Made On 12 September 2013</w:t>
      </w:r>
      <w:r w:rsidRPr="00FC04DA">
        <w:t xml:space="preserve"> [2021] NIQB 85, at para 310</w:t>
      </w:r>
      <w:r w:rsidR="007959B9" w:rsidRPr="00FC04DA">
        <w:t xml:space="preserve">; ‘Omagh bombing: Timeline of families’ search for justice’, </w:t>
      </w:r>
      <w:r w:rsidR="007959B9" w:rsidRPr="00FC04DA">
        <w:rPr>
          <w:i/>
          <w:iCs/>
        </w:rPr>
        <w:t>BBC News</w:t>
      </w:r>
      <w:r w:rsidR="007959B9" w:rsidRPr="00FC04DA">
        <w:t>, 11 August 2023.</w:t>
      </w:r>
    </w:p>
  </w:footnote>
  <w:footnote w:id="97">
    <w:p w14:paraId="49BF35C1" w14:textId="77777777" w:rsidR="003E6E5D" w:rsidRPr="00FC04DA" w:rsidRDefault="003E6E5D" w:rsidP="00E43BFB">
      <w:pPr>
        <w:pStyle w:val="NIHRCFootnotes0"/>
      </w:pPr>
      <w:r w:rsidRPr="00FC04DA">
        <w:rPr>
          <w:rStyle w:val="FootnoteReference"/>
        </w:rPr>
        <w:footnoteRef/>
      </w:r>
      <w:r w:rsidRPr="00FC04DA">
        <w:t xml:space="preserve"> NI Office, ‘Press Release: Omagh Bombing Inquiry – Statement to Parliament by Secretary of State Chris Heaton-Harris’, 2 February 2023.</w:t>
      </w:r>
    </w:p>
  </w:footnote>
  <w:footnote w:id="98">
    <w:p w14:paraId="1FEEE349" w14:textId="77777777" w:rsidR="007B67D6" w:rsidRPr="00FC04DA" w:rsidRDefault="007B67D6" w:rsidP="00E43BFB">
      <w:pPr>
        <w:pStyle w:val="NIHRCFootnotes0"/>
      </w:pPr>
      <w:r w:rsidRPr="00FC04DA">
        <w:rPr>
          <w:rStyle w:val="FootnoteReference"/>
        </w:rPr>
        <w:footnoteRef/>
      </w:r>
      <w:r w:rsidRPr="00FC04DA">
        <w:t xml:space="preserve"> CCPR/C/GBR/CO/7, ‘UN Human Rights Committee Concluding Observations on the Seventh Periodic Report of the UK of Great Britain and NI’, 17 August 2015, at para 8.</w:t>
      </w:r>
    </w:p>
  </w:footnote>
  <w:footnote w:id="99">
    <w:p w14:paraId="0CF48085" w14:textId="6E0C7970" w:rsidR="002C08B1" w:rsidRPr="00FC04DA" w:rsidRDefault="002C08B1" w:rsidP="00E43BFB">
      <w:pPr>
        <w:pStyle w:val="NIHRCFootnotes0"/>
      </w:pPr>
      <w:r w:rsidRPr="00FC04DA">
        <w:rPr>
          <w:rStyle w:val="FootnoteReference"/>
        </w:rPr>
        <w:footnoteRef/>
      </w:r>
      <w:r w:rsidRPr="00FC04DA">
        <w:t xml:space="preserve"> </w:t>
      </w:r>
      <w:r w:rsidR="00DF1089" w:rsidRPr="00FC04DA">
        <w:t xml:space="preserve">NI Troubles (Legacy and Reconciliation) Act 2023, Section </w:t>
      </w:r>
      <w:r w:rsidR="001D60A4" w:rsidRPr="00FC04DA">
        <w:t>10(1).</w:t>
      </w:r>
    </w:p>
  </w:footnote>
  <w:footnote w:id="100">
    <w:p w14:paraId="2780C82B" w14:textId="4676087B" w:rsidR="002C08B1" w:rsidRPr="00FC04DA" w:rsidRDefault="002C08B1" w:rsidP="00E43BFB">
      <w:pPr>
        <w:pStyle w:val="NIHRCFootnotes0"/>
      </w:pPr>
      <w:r w:rsidRPr="00FC04DA">
        <w:rPr>
          <w:rStyle w:val="FootnoteReference"/>
        </w:rPr>
        <w:footnoteRef/>
      </w:r>
      <w:r w:rsidRPr="00FC04DA">
        <w:t xml:space="preserve"> </w:t>
      </w:r>
      <w:r w:rsidR="00C815EF" w:rsidRPr="00FC04DA">
        <w:t>Section 1(6)</w:t>
      </w:r>
      <w:r w:rsidR="00173CA5" w:rsidRPr="00FC04DA">
        <w:t xml:space="preserve"> of the </w:t>
      </w:r>
      <w:r w:rsidR="005323AA" w:rsidRPr="00FC04DA">
        <w:t>NI Troubles (Legacy and Reconciliation) Act 2023</w:t>
      </w:r>
      <w:r w:rsidR="0061188A" w:rsidRPr="00FC04DA">
        <w:t xml:space="preserve"> </w:t>
      </w:r>
      <w:r w:rsidR="00656566" w:rsidRPr="00FC04DA">
        <w:t>defines</w:t>
      </w:r>
      <w:r w:rsidR="00DA33C9" w:rsidRPr="00FC04DA">
        <w:t xml:space="preserve"> “</w:t>
      </w:r>
      <w:r w:rsidR="005323AA" w:rsidRPr="00FC04DA">
        <w:t xml:space="preserve">serious physical or mental harm” </w:t>
      </w:r>
      <w:r w:rsidR="00656566" w:rsidRPr="00FC04DA">
        <w:t>as</w:t>
      </w:r>
      <w:r w:rsidR="00DA33C9" w:rsidRPr="00FC04DA">
        <w:t xml:space="preserve"> </w:t>
      </w:r>
      <w:r w:rsidR="00656566" w:rsidRPr="00FC04DA">
        <w:t>“</w:t>
      </w:r>
      <w:r w:rsidR="005323AA" w:rsidRPr="00FC04DA">
        <w:t>(a)</w:t>
      </w:r>
      <w:r w:rsidR="00DA33C9" w:rsidRPr="00FC04DA">
        <w:t xml:space="preserve"> </w:t>
      </w:r>
      <w:r w:rsidR="005323AA" w:rsidRPr="00FC04DA">
        <w:t>paraplegia;</w:t>
      </w:r>
      <w:r w:rsidR="00DA33C9" w:rsidRPr="00FC04DA">
        <w:t xml:space="preserve"> </w:t>
      </w:r>
      <w:r w:rsidR="005323AA" w:rsidRPr="00FC04DA">
        <w:t>(b)</w:t>
      </w:r>
      <w:r w:rsidR="00DA33C9" w:rsidRPr="00FC04DA">
        <w:t xml:space="preserve"> </w:t>
      </w:r>
      <w:r w:rsidR="005323AA" w:rsidRPr="00FC04DA">
        <w:t>quadriplegia;</w:t>
      </w:r>
      <w:r w:rsidR="00DA33C9" w:rsidRPr="00FC04DA">
        <w:t xml:space="preserve"> </w:t>
      </w:r>
      <w:r w:rsidR="005323AA" w:rsidRPr="00FC04DA">
        <w:t>(c)</w:t>
      </w:r>
      <w:r w:rsidR="00DA33C9" w:rsidRPr="00FC04DA">
        <w:t xml:space="preserve"> </w:t>
      </w:r>
      <w:r w:rsidR="005323AA" w:rsidRPr="00FC04DA">
        <w:t>severe brain injury or damage;</w:t>
      </w:r>
      <w:r w:rsidR="00DA33C9" w:rsidRPr="00FC04DA">
        <w:t xml:space="preserve"> </w:t>
      </w:r>
      <w:r w:rsidR="005323AA" w:rsidRPr="00FC04DA">
        <w:t>(d)</w:t>
      </w:r>
      <w:r w:rsidR="00DA33C9" w:rsidRPr="00FC04DA">
        <w:t xml:space="preserve"> </w:t>
      </w:r>
      <w:r w:rsidR="005323AA" w:rsidRPr="00FC04DA">
        <w:t>severe psychiatric damage;</w:t>
      </w:r>
      <w:r w:rsidR="00DA33C9" w:rsidRPr="00FC04DA">
        <w:t xml:space="preserve"> </w:t>
      </w:r>
      <w:r w:rsidR="005323AA" w:rsidRPr="00FC04DA">
        <w:t>(e)</w:t>
      </w:r>
      <w:r w:rsidR="00DA33C9" w:rsidRPr="00FC04DA">
        <w:t xml:space="preserve"> </w:t>
      </w:r>
      <w:r w:rsidR="005323AA" w:rsidRPr="00FC04DA">
        <w:t>total blindness;</w:t>
      </w:r>
      <w:r w:rsidR="00DA33C9" w:rsidRPr="00FC04DA">
        <w:t xml:space="preserve"> </w:t>
      </w:r>
      <w:r w:rsidR="005323AA" w:rsidRPr="00FC04DA">
        <w:t>(f)</w:t>
      </w:r>
      <w:r w:rsidR="00DA33C9" w:rsidRPr="00FC04DA">
        <w:t xml:space="preserve"> </w:t>
      </w:r>
      <w:r w:rsidR="005323AA" w:rsidRPr="00FC04DA">
        <w:t>total deafness;</w:t>
      </w:r>
      <w:r w:rsidR="00DA33C9" w:rsidRPr="00FC04DA">
        <w:t xml:space="preserve"> </w:t>
      </w:r>
      <w:r w:rsidR="005323AA" w:rsidRPr="00FC04DA">
        <w:t>(g)</w:t>
      </w:r>
      <w:r w:rsidR="00DA33C9" w:rsidRPr="00FC04DA">
        <w:t xml:space="preserve"> </w:t>
      </w:r>
      <w:r w:rsidR="005323AA" w:rsidRPr="00FC04DA">
        <w:t>loss of one or more limbs;</w:t>
      </w:r>
      <w:r w:rsidR="00DA33C9" w:rsidRPr="00FC04DA">
        <w:t xml:space="preserve"> </w:t>
      </w:r>
      <w:r w:rsidR="005323AA" w:rsidRPr="00FC04DA">
        <w:t>(h)</w:t>
      </w:r>
      <w:r w:rsidR="00DA33C9" w:rsidRPr="00FC04DA">
        <w:t xml:space="preserve"> </w:t>
      </w:r>
      <w:r w:rsidR="005323AA" w:rsidRPr="00FC04DA">
        <w:t>severe scarring or disfigurement</w:t>
      </w:r>
      <w:r w:rsidR="00656566" w:rsidRPr="00FC04DA">
        <w:t>”</w:t>
      </w:r>
      <w:r w:rsidR="005323AA" w:rsidRPr="00FC04DA">
        <w:t>.</w:t>
      </w:r>
    </w:p>
  </w:footnote>
  <w:footnote w:id="101">
    <w:p w14:paraId="0E09BDDD" w14:textId="363D46D6" w:rsidR="002C08B1" w:rsidRPr="00FC04DA" w:rsidRDefault="002C08B1" w:rsidP="00E43BFB">
      <w:pPr>
        <w:pStyle w:val="NIHRCFootnotes0"/>
      </w:pPr>
      <w:r w:rsidRPr="00FC04DA">
        <w:rPr>
          <w:rStyle w:val="FootnoteReference"/>
        </w:rPr>
        <w:footnoteRef/>
      </w:r>
      <w:r w:rsidRPr="00FC04DA">
        <w:t xml:space="preserve"> </w:t>
      </w:r>
      <w:r w:rsidR="00656566" w:rsidRPr="00FC04DA">
        <w:t>Section 28,</w:t>
      </w:r>
      <w:r w:rsidRPr="00FC04DA">
        <w:t xml:space="preserve"> </w:t>
      </w:r>
      <w:r w:rsidR="003526F9" w:rsidRPr="00FC04DA">
        <w:t>NI Troubles (Legacy and Reconciliation) Act 2023.</w:t>
      </w:r>
    </w:p>
  </w:footnote>
  <w:footnote w:id="102">
    <w:p w14:paraId="267B77C7" w14:textId="638C09E8" w:rsidR="002C08B1" w:rsidRPr="00FC04DA" w:rsidRDefault="002C08B1" w:rsidP="00E43BFB">
      <w:pPr>
        <w:pStyle w:val="NIHRCFootnotes0"/>
      </w:pPr>
      <w:r w:rsidRPr="00FC04DA">
        <w:rPr>
          <w:rStyle w:val="FootnoteReference"/>
        </w:rPr>
        <w:footnoteRef/>
      </w:r>
      <w:r w:rsidRPr="00FC04DA">
        <w:t xml:space="preserve"> </w:t>
      </w:r>
      <w:r w:rsidR="00656566" w:rsidRPr="00FC04DA">
        <w:t>Section 19,</w:t>
      </w:r>
      <w:r w:rsidRPr="00FC04DA">
        <w:t xml:space="preserve"> </w:t>
      </w:r>
      <w:r w:rsidR="003526F9" w:rsidRPr="00FC04DA">
        <w:t>NI Troubles (Legacy and Reconciliation) Act 2023</w:t>
      </w:r>
      <w:r w:rsidR="003C1421" w:rsidRPr="00FC04DA">
        <w:t xml:space="preserve"> </w:t>
      </w:r>
      <w:r w:rsidR="006C2624" w:rsidRPr="00FC04DA">
        <w:t xml:space="preserve">states that this </w:t>
      </w:r>
      <w:r w:rsidR="00B81D33" w:rsidRPr="00FC04DA">
        <w:t xml:space="preserve">includes </w:t>
      </w:r>
      <w:r w:rsidR="00B56A33" w:rsidRPr="00FC04DA">
        <w:t xml:space="preserve">conduct relating to </w:t>
      </w:r>
      <w:r w:rsidR="00B81D33" w:rsidRPr="00FC04DA">
        <w:t>“</w:t>
      </w:r>
      <w:r w:rsidR="007C5863" w:rsidRPr="00FC04DA">
        <w:t>one or more particular serious or connected Troubles</w:t>
      </w:r>
      <w:r w:rsidR="003B39FC" w:rsidRPr="00FC04DA">
        <w:t xml:space="preserve"> </w:t>
      </w:r>
      <w:r w:rsidR="007C5863" w:rsidRPr="00FC04DA">
        <w:t>related offences</w:t>
      </w:r>
      <w:r w:rsidR="00B81D33" w:rsidRPr="00FC04DA">
        <w:t>” which</w:t>
      </w:r>
      <w:r w:rsidR="00955556" w:rsidRPr="00FC04DA">
        <w:t>, as defined under Section 1(5)</w:t>
      </w:r>
      <w:r w:rsidR="006C2624" w:rsidRPr="00FC04DA">
        <w:t xml:space="preserve"> of the 2023 Act</w:t>
      </w:r>
      <w:r w:rsidR="0011573F" w:rsidRPr="00FC04DA">
        <w:t>,</w:t>
      </w:r>
      <w:r w:rsidR="00955556" w:rsidRPr="00FC04DA">
        <w:t xml:space="preserve"> </w:t>
      </w:r>
      <w:r w:rsidR="006C2624" w:rsidRPr="00FC04DA">
        <w:t>“</w:t>
      </w:r>
      <w:r w:rsidR="00955556" w:rsidRPr="00FC04DA">
        <w:t xml:space="preserve">includes </w:t>
      </w:r>
      <w:r w:rsidR="0011573F" w:rsidRPr="00FC04DA">
        <w:t>murder, manslaughter or culpable homicide; another offence that was committed by causing the death of a person, or</w:t>
      </w:r>
      <w:r w:rsidR="00BB422B" w:rsidRPr="00FC04DA">
        <w:t xml:space="preserve"> </w:t>
      </w:r>
      <w:r w:rsidR="0011573F" w:rsidRPr="00FC04DA">
        <w:t>cau</w:t>
      </w:r>
      <w:r w:rsidR="00BB422B" w:rsidRPr="00FC04DA">
        <w:t xml:space="preserve">ses </w:t>
      </w:r>
      <w:r w:rsidR="0011573F" w:rsidRPr="00FC04DA">
        <w:t>a person to suffer serious physical or mental harm</w:t>
      </w:r>
      <w:r w:rsidR="006C2624" w:rsidRPr="00FC04DA">
        <w:t>”</w:t>
      </w:r>
      <w:r w:rsidR="00BB422B" w:rsidRPr="00FC04DA">
        <w:t xml:space="preserve">. </w:t>
      </w:r>
    </w:p>
  </w:footnote>
  <w:footnote w:id="103">
    <w:p w14:paraId="780D2DEC" w14:textId="17C83A48" w:rsidR="001E1D42" w:rsidRPr="00FC04DA" w:rsidRDefault="001E1D42" w:rsidP="00E43BFB">
      <w:pPr>
        <w:pStyle w:val="NIHRCFootnotes0"/>
      </w:pPr>
      <w:r w:rsidRPr="00FC04DA">
        <w:rPr>
          <w:rStyle w:val="FootnoteReference"/>
        </w:rPr>
        <w:footnoteRef/>
      </w:r>
      <w:r w:rsidRPr="00FC04DA">
        <w:t xml:space="preserve"> This Scheme aims to provide "those living with permanent disablement (either physical or psychological) caused by injury through no fault of their own in a Troubles-related incident with payments primarily in acknowledgement of the harm they have suffered": </w:t>
      </w:r>
      <w:r w:rsidR="00310A5E" w:rsidRPr="00FC04DA">
        <w:t>Victims Payments Board, 'Procedural Guidance' (VPB, 2021), at para 4.</w:t>
      </w:r>
    </w:p>
  </w:footnote>
  <w:footnote w:id="104">
    <w:p w14:paraId="258BC2FD" w14:textId="77777777" w:rsidR="00296258" w:rsidRPr="00FC04DA" w:rsidRDefault="00296258" w:rsidP="00E43BFB">
      <w:pPr>
        <w:pStyle w:val="NIHRCFootnotes0"/>
      </w:pPr>
      <w:r w:rsidRPr="00FC04DA">
        <w:rPr>
          <w:rStyle w:val="FootnoteReference"/>
        </w:rPr>
        <w:footnoteRef/>
      </w:r>
      <w:r w:rsidRPr="00FC04DA">
        <w:t xml:space="preserve"> Victims Payments Board, 'About Us'. Available at: </w:t>
      </w:r>
      <w:hyperlink r:id="rId5" w:history="1">
        <w:r w:rsidRPr="00FC04DA">
          <w:rPr>
            <w:rStyle w:val="Hyperlink"/>
            <w:color w:val="77328A"/>
          </w:rPr>
          <w:t>https://www.victimspaymentsboard.org.uk/about-us-0</w:t>
        </w:r>
      </w:hyperlink>
      <w:r w:rsidRPr="00FC04DA">
        <w:t>; NI Direct, 'Troubles Permanent Disablement Payment Scheme'. Available at: https://www.nidirect.gov.uk/articles/troubles-permanent-disablement-payment-scheme</w:t>
      </w:r>
    </w:p>
  </w:footnote>
  <w:footnote w:id="105">
    <w:p w14:paraId="282CBC50" w14:textId="77777777" w:rsidR="009A21F3" w:rsidRPr="00FC04DA" w:rsidRDefault="009A21F3" w:rsidP="00E43BFB">
      <w:pPr>
        <w:pStyle w:val="NIHRCFootnotes0"/>
      </w:pPr>
      <w:r w:rsidRPr="00FC04DA">
        <w:rPr>
          <w:rStyle w:val="FootnoteReference"/>
        </w:rPr>
        <w:footnoteRef/>
      </w:r>
      <w:r w:rsidRPr="00FC04DA">
        <w:t xml:space="preserve"> Victims’ Payments Board, ‘Troubles Permanent Disablement Scheme: Annual Report 2021-2022’ (VPB, 2023), at 17.</w:t>
      </w:r>
    </w:p>
  </w:footnote>
  <w:footnote w:id="106">
    <w:p w14:paraId="5741200E" w14:textId="7D0ADB9E" w:rsidR="009A21F3" w:rsidRPr="00FC04DA" w:rsidRDefault="009A21F3" w:rsidP="00E43BFB">
      <w:pPr>
        <w:pStyle w:val="NIHRCFootnotes0"/>
      </w:pPr>
      <w:r w:rsidRPr="00FC04DA">
        <w:rPr>
          <w:rStyle w:val="FootnoteReference"/>
        </w:rPr>
        <w:footnoteRef/>
      </w:r>
      <w:r w:rsidRPr="00FC04DA">
        <w:t xml:space="preserve"> </w:t>
      </w:r>
      <w:r w:rsidR="00C06B4B" w:rsidRPr="00FC04DA">
        <w:t xml:space="preserve">Six of these cases concluded with a payment being recommended and 15 of these cases were deemed ineligible: </w:t>
      </w:r>
      <w:r w:rsidR="00A051DC" w:rsidRPr="00FC04DA">
        <w:t>Victims’ Payments Board, ‘Troubles Permanent Disablement Scheme: Annual Report 2021-2022’ (VPB, 2023), at 17.</w:t>
      </w:r>
    </w:p>
  </w:footnote>
  <w:footnote w:id="107">
    <w:p w14:paraId="08C87A7C" w14:textId="6037C68E" w:rsidR="009A21F3" w:rsidRPr="00FC04DA" w:rsidRDefault="009A21F3" w:rsidP="00E43BFB">
      <w:pPr>
        <w:pStyle w:val="NIHRCFootnotes0"/>
      </w:pPr>
      <w:r w:rsidRPr="00FC04DA">
        <w:rPr>
          <w:rStyle w:val="FootnoteReference"/>
        </w:rPr>
        <w:footnoteRef/>
      </w:r>
      <w:r w:rsidRPr="00FC04DA">
        <w:t xml:space="preserve"> </w:t>
      </w:r>
      <w:r w:rsidR="00A051DC" w:rsidRPr="00FC04DA">
        <w:t>Victims’ Payments Board, ‘Troubles Permanent Disablement Scheme: Annual Report 2021-2022’ (VPB, 2023), at 17.</w:t>
      </w:r>
    </w:p>
  </w:footnote>
  <w:footnote w:id="108">
    <w:p w14:paraId="3A0064C3" w14:textId="77777777" w:rsidR="00064E3E" w:rsidRPr="00FC04DA" w:rsidRDefault="00064E3E" w:rsidP="00E43BFB">
      <w:pPr>
        <w:pStyle w:val="NIHRCFootnotes0"/>
      </w:pPr>
      <w:r w:rsidRPr="00FC04DA">
        <w:rPr>
          <w:rStyle w:val="FootnoteReference"/>
        </w:rPr>
        <w:footnoteRef/>
      </w:r>
      <w:r w:rsidRPr="00FC04DA">
        <w:t xml:space="preserve"> Jayne McCormack, ‘Troubles victims pensions: One third of applicants denied access to scheme’, </w:t>
      </w:r>
      <w:r w:rsidRPr="00FC04DA">
        <w:rPr>
          <w:i/>
          <w:iCs/>
        </w:rPr>
        <w:t>BBC News</w:t>
      </w:r>
      <w:r w:rsidRPr="00FC04DA">
        <w:t>, 28 September 2023.</w:t>
      </w:r>
    </w:p>
  </w:footnote>
  <w:footnote w:id="109">
    <w:p w14:paraId="3C266AF3" w14:textId="15EAEE8C" w:rsidR="00064E3E" w:rsidRPr="00FC04DA" w:rsidRDefault="00064E3E" w:rsidP="00E43BFB">
      <w:pPr>
        <w:pStyle w:val="NIHRCFootnotes0"/>
      </w:pPr>
      <w:r w:rsidRPr="00FC04DA">
        <w:rPr>
          <w:rStyle w:val="FootnoteReference"/>
        </w:rPr>
        <w:footnoteRef/>
      </w:r>
      <w:r w:rsidRPr="00FC04DA">
        <w:t xml:space="preserve"> </w:t>
      </w:r>
      <w:r w:rsidR="000378A7">
        <w:t>Ibid</w:t>
      </w:r>
      <w:r w:rsidRPr="00FC04DA">
        <w:t>.</w:t>
      </w:r>
    </w:p>
  </w:footnote>
  <w:footnote w:id="110">
    <w:p w14:paraId="76E7281F" w14:textId="2BC1507B" w:rsidR="00947B0F" w:rsidRPr="00FC04DA" w:rsidRDefault="00947B0F" w:rsidP="00E43BFB">
      <w:pPr>
        <w:pStyle w:val="NIHRCFootnotes0"/>
      </w:pPr>
      <w:r w:rsidRPr="00FC04DA">
        <w:rPr>
          <w:rStyle w:val="FootnoteReference"/>
        </w:rPr>
        <w:footnoteRef/>
      </w:r>
      <w:r w:rsidRPr="00FC04DA">
        <w:t xml:space="preserve"> </w:t>
      </w:r>
      <w:r w:rsidR="00BB2A7E" w:rsidRPr="00FC04DA">
        <w:t xml:space="preserve">In 2021/2022, </w:t>
      </w:r>
      <w:r w:rsidR="000130D8" w:rsidRPr="00FC04DA">
        <w:t xml:space="preserve">there was one security related death, </w:t>
      </w:r>
      <w:r w:rsidR="00DF6E18" w:rsidRPr="00FC04DA">
        <w:t>33</w:t>
      </w:r>
      <w:r w:rsidR="00CD480E" w:rsidRPr="00FC04DA">
        <w:t xml:space="preserve"> casualties of paramilitary style assaults, </w:t>
      </w:r>
      <w:r w:rsidR="00E37A4A" w:rsidRPr="00FC04DA">
        <w:t>20</w:t>
      </w:r>
      <w:r w:rsidR="00CD480E" w:rsidRPr="00FC04DA">
        <w:t xml:space="preserve"> shooting incidents, </w:t>
      </w:r>
      <w:r w:rsidR="00E37A4A" w:rsidRPr="00FC04DA">
        <w:t>5</w:t>
      </w:r>
      <w:r w:rsidR="00CD480E" w:rsidRPr="00FC04DA">
        <w:t xml:space="preserve"> bombing incidents and 1</w:t>
      </w:r>
      <w:r w:rsidR="00E37A4A" w:rsidRPr="00FC04DA">
        <w:t>2</w:t>
      </w:r>
      <w:r w:rsidR="00CD480E" w:rsidRPr="00FC04DA">
        <w:t xml:space="preserve"> casualties from paramilitary style shootings were recorded.</w:t>
      </w:r>
      <w:r w:rsidR="00DF6E18" w:rsidRPr="00FC04DA">
        <w:t xml:space="preserve"> </w:t>
      </w:r>
      <w:r w:rsidR="000130D8" w:rsidRPr="00FC04DA">
        <w:rPr>
          <w:i/>
          <w:iCs/>
        </w:rPr>
        <w:t>See</w:t>
      </w:r>
      <w:r w:rsidR="000130D8" w:rsidRPr="00FC04DA">
        <w:t xml:space="preserve"> </w:t>
      </w:r>
      <w:r w:rsidRPr="00FC04DA">
        <w:t>Police Service of NI, 'Police Recorded Security Situation Statistics - 1 April 2022 to 31 March 2023' (PSNI, 2023), at 1.</w:t>
      </w:r>
    </w:p>
  </w:footnote>
  <w:footnote w:id="111">
    <w:p w14:paraId="23E31713" w14:textId="441A3460" w:rsidR="00E17D0F" w:rsidRPr="00FC04DA" w:rsidRDefault="00E17D0F" w:rsidP="00E43BFB">
      <w:pPr>
        <w:pStyle w:val="NIHRCFootnotes0"/>
      </w:pPr>
      <w:r w:rsidRPr="00FC04DA">
        <w:rPr>
          <w:rStyle w:val="FootnoteReference"/>
        </w:rPr>
        <w:footnoteRef/>
      </w:r>
      <w:r w:rsidRPr="00FC04DA">
        <w:t xml:space="preserve"> </w:t>
      </w:r>
      <w:r w:rsidR="00D53210" w:rsidRPr="00FC04DA">
        <w:t>The Executive Office that 9</w:t>
      </w:r>
      <w:r w:rsidR="006A1FA5" w:rsidRPr="00FC04DA">
        <w:t>3</w:t>
      </w:r>
      <w:r w:rsidR="00D53210" w:rsidRPr="00FC04DA">
        <w:t xml:space="preserve"> per cent of children and 60 per cent of women that engage with</w:t>
      </w:r>
      <w:r w:rsidR="00036749" w:rsidRPr="00FC04DA">
        <w:t xml:space="preserve"> its ending paramilitarism programmes in NI </w:t>
      </w:r>
      <w:r w:rsidR="006A1FA5" w:rsidRPr="00FC04DA">
        <w:t>are presenting with</w:t>
      </w:r>
      <w:r w:rsidR="00036749" w:rsidRPr="00FC04DA">
        <w:t xml:space="preserve"> trauma. See </w:t>
      </w:r>
      <w:r w:rsidR="00583627" w:rsidRPr="00FC04DA">
        <w:t>Meeting between The Executive Office and NI Human Rights Commission, 9 January 2024.</w:t>
      </w:r>
    </w:p>
  </w:footnote>
  <w:footnote w:id="112">
    <w:p w14:paraId="40D19631" w14:textId="1EBB2531" w:rsidR="002358CC" w:rsidRPr="00FC04DA" w:rsidRDefault="002358CC" w:rsidP="00E43BFB">
      <w:pPr>
        <w:pStyle w:val="NIHRCFootnotes0"/>
      </w:pPr>
      <w:r w:rsidRPr="00FC04DA">
        <w:rPr>
          <w:rStyle w:val="FootnoteReference"/>
        </w:rPr>
        <w:footnoteRef/>
      </w:r>
      <w:r w:rsidRPr="00FC04DA">
        <w:t xml:space="preserve"> Independent Reporting Commission, ‘Sixth Report’ (IRC, 2023), at para 1.51 “The attempted murder of Detective Chief Inspector John Caldwell was particularly shocking” and “a number of incidents, including a high-profile drug gang feud, served to underline how quickly situations can escalate. For these reasons, heightened vigilance continues to be needed.”</w:t>
      </w:r>
    </w:p>
  </w:footnote>
  <w:footnote w:id="113">
    <w:p w14:paraId="40A06ED4" w14:textId="0C8E7FE0" w:rsidR="00DF6B7D" w:rsidRPr="00FC04DA" w:rsidRDefault="00DF6B7D" w:rsidP="00E43BFB">
      <w:pPr>
        <w:pStyle w:val="NIHRCFootnotes0"/>
      </w:pPr>
      <w:r w:rsidRPr="00FC04DA">
        <w:rPr>
          <w:rStyle w:val="FootnoteReference"/>
        </w:rPr>
        <w:footnoteRef/>
      </w:r>
      <w:r w:rsidRPr="00FC04DA">
        <w:t xml:space="preserve"> Independent Reporting Commission, ‘Sixth Report’ (IRC, 2023),</w:t>
      </w:r>
      <w:r w:rsidR="005F2164" w:rsidRPr="00FC04DA">
        <w:t xml:space="preserve"> </w:t>
      </w:r>
      <w:r w:rsidR="0073326A" w:rsidRPr="00FC04DA">
        <w:t>at 4</w:t>
      </w:r>
      <w:r w:rsidR="00CC57F5" w:rsidRPr="00FC04DA">
        <w:t xml:space="preserve">. </w:t>
      </w:r>
    </w:p>
  </w:footnote>
  <w:footnote w:id="114">
    <w:p w14:paraId="59E12EBC" w14:textId="50B5E94E" w:rsidR="0027488F" w:rsidRPr="00FC04DA" w:rsidRDefault="0027488F" w:rsidP="00E43BFB">
      <w:pPr>
        <w:pStyle w:val="NIHRCFootnotes0"/>
      </w:pPr>
      <w:r w:rsidRPr="00FC04DA">
        <w:rPr>
          <w:rStyle w:val="FootnoteReference"/>
        </w:rPr>
        <w:footnoteRef/>
      </w:r>
      <w:r w:rsidR="00C53F78" w:rsidRPr="00FC04DA">
        <w:t>T</w:t>
      </w:r>
      <w:r w:rsidR="00153AF6" w:rsidRPr="00FC04DA">
        <w:t>his includes the lack of a functioning Executive and Assembly, instability around the Protocol on Ireland and Northern Ireland of the EU-UK Withdrawal Agreement and the subsequent Windsor Framework, the stop-start nature of politics in recent decades and controversy around the issue of legacy.</w:t>
      </w:r>
      <w:r w:rsidR="00C53F78" w:rsidRPr="00FC04DA">
        <w:t xml:space="preserve"> </w:t>
      </w:r>
      <w:r w:rsidR="00C53F78" w:rsidRPr="00FC04DA">
        <w:rPr>
          <w:i/>
        </w:rPr>
        <w:t xml:space="preserve">See </w:t>
      </w:r>
      <w:r w:rsidR="00C53F78" w:rsidRPr="00FC04DA">
        <w:t>Independent Reporting Commission, ‘Sixth Report’ (IRC, 2023), at para 1.27</w:t>
      </w:r>
    </w:p>
  </w:footnote>
  <w:footnote w:id="115">
    <w:p w14:paraId="192213C5" w14:textId="25A5CA32" w:rsidR="0027488F" w:rsidRPr="00FC04DA" w:rsidRDefault="0027488F" w:rsidP="00E43BFB">
      <w:pPr>
        <w:pStyle w:val="NIHRCFootnotes0"/>
      </w:pPr>
      <w:r w:rsidRPr="00FC04DA">
        <w:rPr>
          <w:rStyle w:val="FootnoteReference"/>
        </w:rPr>
        <w:footnoteRef/>
      </w:r>
      <w:r w:rsidR="00192BD5" w:rsidRPr="00FC04DA">
        <w:t xml:space="preserve"> “Funding and commitment to tackling paramilitarism must be long-term, multi-year and sustainable, allowing progress and innovation to bed in and avoiding a stop-start approach that is constrained by short budget cycles and associated pressures</w:t>
      </w:r>
      <w:r w:rsidR="00C53F78" w:rsidRPr="00FC04DA">
        <w:t>”. See Independent Reporting Commission, ‘Sixth Report’ (IRC, 2023), at para 1.65:</w:t>
      </w:r>
    </w:p>
  </w:footnote>
  <w:footnote w:id="116">
    <w:p w14:paraId="2C6305A7" w14:textId="68BAB9F9" w:rsidR="0073040B" w:rsidRPr="00FC04DA" w:rsidRDefault="0073040B" w:rsidP="00E43BFB">
      <w:pPr>
        <w:pStyle w:val="NIHRCFootnotes0"/>
      </w:pPr>
      <w:r w:rsidRPr="00FC04DA">
        <w:rPr>
          <w:rStyle w:val="FootnoteReference"/>
        </w:rPr>
        <w:footnoteRef/>
      </w:r>
      <w:r w:rsidRPr="00FC04DA">
        <w:t xml:space="preserve"> </w:t>
      </w:r>
      <w:r w:rsidR="00C53F78" w:rsidRPr="00FC04DA">
        <w:t xml:space="preserve">Independent Reporting Commission, ‘Sixth Report’ (IRC, 2023), at </w:t>
      </w:r>
      <w:r w:rsidR="00A61354" w:rsidRPr="00FC04DA">
        <w:t xml:space="preserve">paras 1.130–1.140. </w:t>
      </w:r>
    </w:p>
  </w:footnote>
  <w:footnote w:id="117">
    <w:p w14:paraId="6AED67E0" w14:textId="4DA6E6E0" w:rsidR="00757994" w:rsidRPr="00FC04DA" w:rsidRDefault="00757994" w:rsidP="00E43BFB">
      <w:pPr>
        <w:pStyle w:val="NIHRCFootnotes0"/>
      </w:pPr>
      <w:r w:rsidRPr="00FC04DA">
        <w:rPr>
          <w:rStyle w:val="FootnoteReference"/>
        </w:rPr>
        <w:footnoteRef/>
      </w:r>
      <w:r w:rsidRPr="00FC04DA">
        <w:t xml:space="preserve"> </w:t>
      </w:r>
      <w:r w:rsidR="009D2048" w:rsidRPr="00FC04DA">
        <w:t>This</w:t>
      </w:r>
      <w:r w:rsidR="006D1C41" w:rsidRPr="00FC04DA">
        <w:t xml:space="preserve"> </w:t>
      </w:r>
      <w:r w:rsidR="00EC3D71" w:rsidRPr="00FC04DA">
        <w:t xml:space="preserve">offence </w:t>
      </w:r>
      <w:r w:rsidR="006D1C41" w:rsidRPr="00FC04DA">
        <w:t>only applies</w:t>
      </w:r>
      <w:r w:rsidR="00EC3D71" w:rsidRPr="00FC04DA">
        <w:t xml:space="preserve"> to patients in mental health hospitals or who are under guardianship under the Mental Health (NI) Order 1986</w:t>
      </w:r>
      <w:r w:rsidR="006D1C41" w:rsidRPr="00FC04DA">
        <w:t xml:space="preserve"> </w:t>
      </w:r>
      <w:r w:rsidR="00EC3D71" w:rsidRPr="00FC04DA">
        <w:t>in relation to a deprivation of liberty</w:t>
      </w:r>
      <w:r w:rsidR="00210A84" w:rsidRPr="00FC04DA">
        <w:t>.</w:t>
      </w:r>
      <w:r w:rsidR="009E6030" w:rsidRPr="00FC04DA">
        <w:t xml:space="preserve"> </w:t>
      </w:r>
      <w:r w:rsidR="009E6030" w:rsidRPr="00FC04DA">
        <w:rPr>
          <w:i/>
          <w:iCs/>
        </w:rPr>
        <w:t>See</w:t>
      </w:r>
      <w:r w:rsidR="009E6030" w:rsidRPr="00FC04DA">
        <w:t xml:space="preserve"> section 267, Mental Capacity (NI) Act 2016</w:t>
      </w:r>
      <w:r w:rsidR="00210A84" w:rsidRPr="00FC04DA">
        <w:t>.</w:t>
      </w:r>
    </w:p>
  </w:footnote>
  <w:footnote w:id="118">
    <w:p w14:paraId="18F9FC14" w14:textId="7F83EDAE" w:rsidR="009D2048" w:rsidRPr="00FC04DA" w:rsidRDefault="009D2048" w:rsidP="00E43BFB">
      <w:pPr>
        <w:pStyle w:val="NIHRCFootnotes0"/>
      </w:pPr>
      <w:r w:rsidRPr="00FC04DA">
        <w:rPr>
          <w:rStyle w:val="FootnoteReference"/>
        </w:rPr>
        <w:footnoteRef/>
      </w:r>
      <w:r w:rsidRPr="00FC04DA">
        <w:t xml:space="preserve"> When fully commenced the offence will extend to situations where a person lacks capacity and where there are care arrangements, detentions or attorney or deputies appointed.</w:t>
      </w:r>
    </w:p>
  </w:footnote>
  <w:footnote w:id="119">
    <w:p w14:paraId="338E7751" w14:textId="7E234DCE" w:rsidR="008D5C75" w:rsidRPr="00FC04DA" w:rsidRDefault="008D5C75" w:rsidP="00E43BFB">
      <w:pPr>
        <w:pStyle w:val="NIHRCFootnotes0"/>
      </w:pPr>
      <w:r w:rsidRPr="00FC04DA">
        <w:rPr>
          <w:rStyle w:val="FootnoteReference"/>
        </w:rPr>
        <w:footnoteRef/>
      </w:r>
      <w:r w:rsidRPr="00FC04DA">
        <w:t xml:space="preserve"> Department of Health, ‘Adult Protection Bill – Draft Final Policy Proposals for Ministerial Consideration’ (DoH, 2021); NI Assembly Hansard, ‘Written Question: Adult Safeguarding – Gerry Carroll MLA – AQW27105/17-22’ 15 December 2021.</w:t>
      </w:r>
    </w:p>
  </w:footnote>
  <w:footnote w:id="120">
    <w:p w14:paraId="0BB5B049" w14:textId="4D9739C0" w:rsidR="006C1415" w:rsidRPr="00FC04DA" w:rsidRDefault="006C1415" w:rsidP="00E43BFB">
      <w:pPr>
        <w:pStyle w:val="NIHRCFootnotes0"/>
        <w:rPr>
          <w:rFonts w:eastAsia="Verdana" w:cs="Verdana"/>
        </w:rPr>
      </w:pPr>
      <w:r w:rsidRPr="00FC04DA">
        <w:rPr>
          <w:rStyle w:val="FootnoteReference"/>
        </w:rPr>
        <w:footnoteRef/>
      </w:r>
      <w:r w:rsidRPr="00FC04DA">
        <w:t xml:space="preserve"> </w:t>
      </w:r>
      <w:r w:rsidR="00041EBF" w:rsidRPr="00FC04DA">
        <w:t xml:space="preserve">The Adults with Incapacity Act (Scotland) 2000; </w:t>
      </w:r>
      <w:r w:rsidR="00041EBF" w:rsidRPr="00FC04DA">
        <w:rPr>
          <w:rFonts w:eastAsia="Verdana" w:cs="Verdana"/>
        </w:rPr>
        <w:t>t</w:t>
      </w:r>
      <w:r w:rsidR="001B373F" w:rsidRPr="00FC04DA">
        <w:rPr>
          <w:rFonts w:eastAsia="Verdana" w:cs="Verdana"/>
        </w:rPr>
        <w:t>he Criminal Justice and Courts Act 2015 (England and Wales);</w:t>
      </w:r>
      <w:r w:rsidR="00C04209" w:rsidRPr="00FC04DA">
        <w:rPr>
          <w:rFonts w:eastAsia="Verdana" w:cs="Verdana"/>
        </w:rPr>
        <w:t xml:space="preserve"> the Health (Tobacco, Nicotine etc. and Care) (Scotland) Act 2016;</w:t>
      </w:r>
      <w:r w:rsidR="001B373F" w:rsidRPr="00FC04DA">
        <w:rPr>
          <w:rFonts w:eastAsia="Verdana" w:cs="Verdana"/>
        </w:rPr>
        <w:t xml:space="preserve"> </w:t>
      </w:r>
      <w:r w:rsidRPr="00FC04DA">
        <w:t>ITV news, ‘Adult safeguarding in NI ‘not fit for purpose’, 27 November 2019.</w:t>
      </w:r>
    </w:p>
  </w:footnote>
  <w:footnote w:id="121">
    <w:p w14:paraId="257B429D" w14:textId="37863122" w:rsidR="00637016" w:rsidRPr="00FC04DA" w:rsidRDefault="00637016" w:rsidP="00E43BFB">
      <w:pPr>
        <w:pStyle w:val="NIHRCFootnotes0"/>
      </w:pPr>
      <w:r w:rsidRPr="00FC04DA">
        <w:rPr>
          <w:rStyle w:val="FootnoteReference"/>
        </w:rPr>
        <w:footnoteRef/>
      </w:r>
      <w:r w:rsidRPr="00FC04DA">
        <w:t xml:space="preserve"> </w:t>
      </w:r>
      <w:r w:rsidR="008F2E81" w:rsidRPr="00FC04DA">
        <w:t>Commissioner for Older People NI, ‘Home Truths: A Report on the Commissioner’s Investigation into Dunmurry Manor Care Home’ (COPNI, 2018);</w:t>
      </w:r>
      <w:r w:rsidR="007F0113" w:rsidRPr="00FC04DA">
        <w:t xml:space="preserve"> CPEA, ‘Independent Whole Systems Review into Safeguarding and Care at Dunmurry Manor Care Home – Evidence Paper 2: Learning and Change Briefing’ (DoH, 2022); </w:t>
      </w:r>
      <w:r w:rsidR="004A7891" w:rsidRPr="00FC04DA">
        <w:t xml:space="preserve">CPEA, ‘Independent Whole Systems Review into Safeguarding and Care at Dunmurry Manor Care Home – Evidence Paper 3: Regulation and Inspection’ (DoH, 2022); CPEA, ‘Independent Whole Systems Review into Safeguarding and Care at Dunmurry Manor Care Home – Evidence Paper 4: Assessment and Care Management’ (DoH, 2022); CPEA, ‘Independent Whole Systems Review into Safeguarding and Care at Dunmurry Manor Care Home – Evidence Paper 5: Care Home Providers’ (DoH, 2022); CPEA, ‘Independent Whole Systems Review into Safeguarding and Care at Dunmurry Manor Care Home – Evidence Paper 6: A Care Home Market?’ (DoH, 2022); </w:t>
      </w:r>
      <w:r w:rsidR="004E7176" w:rsidRPr="00FC04DA">
        <w:t xml:space="preserve">Department of Health, ‘A Review of Leadership and Governance at Muckamore Abbey Hospital’ (DoH, 2020); </w:t>
      </w:r>
      <w:r w:rsidR="00567EAF" w:rsidRPr="00FC04DA">
        <w:t xml:space="preserve">Public Prosecution Service, ‘Press Release: Public Prosecution Service NI issues decisions on one Muckamore Abbey Hospital file’, 16 April 2021; </w:t>
      </w:r>
      <w:r w:rsidR="00A7237A" w:rsidRPr="00FC04DA">
        <w:t>UK COVID-19 Inquiry, 'COVID-19 Inquiry Terms of Reference' (UKCI, 2022).</w:t>
      </w:r>
    </w:p>
  </w:footnote>
  <w:footnote w:id="122">
    <w:p w14:paraId="4CB4ABEF" w14:textId="77777777" w:rsidR="000518FB" w:rsidRPr="00FC04DA" w:rsidRDefault="000518FB" w:rsidP="00E43BFB">
      <w:pPr>
        <w:pStyle w:val="NIHRCFootnotes0"/>
      </w:pPr>
      <w:r w:rsidRPr="00FC04DA">
        <w:rPr>
          <w:rStyle w:val="FootnoteReference"/>
        </w:rPr>
        <w:footnoteRef/>
      </w:r>
      <w:r w:rsidRPr="00FC04DA">
        <w:t xml:space="preserve"> Department of Health, ‘Press Release: Care home review reports published’, 27 October 2022.</w:t>
      </w:r>
    </w:p>
  </w:footnote>
  <w:footnote w:id="123">
    <w:p w14:paraId="5E557591" w14:textId="33D86769" w:rsidR="00DC5F2B" w:rsidRPr="00FC04DA" w:rsidRDefault="00DC5F2B" w:rsidP="00E43BFB">
      <w:pPr>
        <w:pStyle w:val="NIHRCFootnotes0"/>
      </w:pPr>
      <w:r w:rsidRPr="00FC04DA">
        <w:rPr>
          <w:rStyle w:val="FootnoteReference"/>
        </w:rPr>
        <w:footnoteRef/>
      </w:r>
      <w:r w:rsidRPr="00FC04DA">
        <w:t xml:space="preserve"> </w:t>
      </w:r>
      <w:r w:rsidR="00274575" w:rsidRPr="00FC04DA">
        <w:t>Involves allegations of physical and mental abuse</w:t>
      </w:r>
      <w:r w:rsidR="0090038D" w:rsidRPr="00FC04DA">
        <w:t>, use of seclusion rooms</w:t>
      </w:r>
      <w:r w:rsidR="005931BE" w:rsidRPr="00FC04DA">
        <w:t>, ill-treatment and wilful neglect of patients</w:t>
      </w:r>
      <w:r w:rsidR="0090038D" w:rsidRPr="00FC04DA">
        <w:t xml:space="preserve"> </w:t>
      </w:r>
      <w:r w:rsidR="00274575" w:rsidRPr="00FC04DA">
        <w:t>at Muckamore Abbey Hospital</w:t>
      </w:r>
      <w:r w:rsidR="005931BE" w:rsidRPr="00FC04DA">
        <w:t>.</w:t>
      </w:r>
      <w:r w:rsidR="00274575" w:rsidRPr="00FC04DA">
        <w:t xml:space="preserve"> </w:t>
      </w:r>
      <w:r w:rsidR="000D39F3" w:rsidRPr="00FC04DA">
        <w:t xml:space="preserve">By June 2023, the total number of people arrested in connection with the investigation into Muckamore Abbey is 38: See, </w:t>
      </w:r>
      <w:r w:rsidR="00FE478F" w:rsidRPr="00FC04DA">
        <w:rPr>
          <w:rFonts w:cs="Helvetica"/>
          <w:bCs/>
          <w:shd w:val="clear" w:color="auto" w:fill="FFFFFF"/>
        </w:rPr>
        <w:t>Paul Ainsworth, ‘</w:t>
      </w:r>
      <w:r w:rsidR="00FE478F" w:rsidRPr="00FC04DA">
        <w:rPr>
          <w:bCs/>
          <w:spacing w:val="-15"/>
        </w:rPr>
        <w:t xml:space="preserve">38th arrest made in Muckamore Abbey Hospital probe’, </w:t>
      </w:r>
      <w:r w:rsidR="00FE478F" w:rsidRPr="00FC04DA">
        <w:rPr>
          <w:bCs/>
          <w:i/>
          <w:iCs/>
          <w:spacing w:val="-15"/>
        </w:rPr>
        <w:t>The Irish News</w:t>
      </w:r>
      <w:r w:rsidR="00FE478F" w:rsidRPr="00FC04DA">
        <w:rPr>
          <w:bCs/>
          <w:spacing w:val="-15"/>
        </w:rPr>
        <w:t>, 15 June 2023;</w:t>
      </w:r>
      <w:r w:rsidR="00D678C6" w:rsidRPr="00FC04DA">
        <w:rPr>
          <w:bCs/>
          <w:spacing w:val="-15"/>
        </w:rPr>
        <w:t xml:space="preserve"> </w:t>
      </w:r>
      <w:r w:rsidR="00D678C6" w:rsidRPr="00FC04DA">
        <w:t>Muckamore Abbey Hospital Inquiry, ‘Chair’s Statement as to the Evidence Plan for 2023 – Issued on 13 February 2023’ (MAHI, 2023).</w:t>
      </w:r>
    </w:p>
  </w:footnote>
  <w:footnote w:id="124">
    <w:p w14:paraId="292D0D0B" w14:textId="159A1C1A" w:rsidR="005F45C0" w:rsidRPr="00FC04DA" w:rsidRDefault="005F45C0" w:rsidP="00E43BFB">
      <w:pPr>
        <w:pStyle w:val="NIHRCFootnotes0"/>
      </w:pPr>
      <w:r w:rsidRPr="00FC04DA">
        <w:rPr>
          <w:rStyle w:val="FootnoteReference"/>
        </w:rPr>
        <w:footnoteRef/>
      </w:r>
      <w:r w:rsidRPr="00FC04DA">
        <w:t xml:space="preserve"> </w:t>
      </w:r>
      <w:r w:rsidR="002E1BA8" w:rsidRPr="00FC04DA">
        <w:t>In 2022, the England and Wales High Court ruled that the UK Government’s policy which allowed untested hospital patients to be discharged into care homes at the start of the pandemic was illegal</w:t>
      </w:r>
      <w:r w:rsidR="001B08C8" w:rsidRPr="00FC04DA">
        <w:t xml:space="preserve">. </w:t>
      </w:r>
      <w:r w:rsidR="00F85A99" w:rsidRPr="00FC04DA">
        <w:t>The UK Government commenced a UK-wide inquiry to examine the response to the COVID-19 pandemic</w:t>
      </w:r>
      <w:r w:rsidR="00812AF5" w:rsidRPr="00FC04DA">
        <w:t>: UK C</w:t>
      </w:r>
      <w:r w:rsidR="0030050F" w:rsidRPr="00FC04DA">
        <w:t>OVID</w:t>
      </w:r>
      <w:r w:rsidR="00812AF5" w:rsidRPr="00FC04DA">
        <w:t xml:space="preserve">-19 Inquiry, ‘Structure of the Inquiry’. Available at: </w:t>
      </w:r>
      <w:hyperlink r:id="rId6" w:history="1">
        <w:r w:rsidR="00812AF5" w:rsidRPr="00FC04DA">
          <w:rPr>
            <w:rStyle w:val="Hyperlink"/>
            <w:rFonts w:eastAsiaTheme="majorEastAsia"/>
            <w:color w:val="77328A"/>
          </w:rPr>
          <w:t>Structure of the Inquiry - UK Covid-19 Inquiry (covid19.public-inquiry.uk)</w:t>
        </w:r>
      </w:hyperlink>
      <w:r w:rsidR="00812AF5" w:rsidRPr="00FC04DA">
        <w:t>.</w:t>
      </w:r>
    </w:p>
  </w:footnote>
  <w:footnote w:id="125">
    <w:p w14:paraId="2048BE01" w14:textId="77777777" w:rsidR="00D22AF2" w:rsidRPr="00FC04DA" w:rsidRDefault="00D22AF2" w:rsidP="00E43BFB">
      <w:pPr>
        <w:pStyle w:val="NIHRCFootnotes0"/>
      </w:pPr>
      <w:r w:rsidRPr="00FC04DA">
        <w:rPr>
          <w:rStyle w:val="FootnoteReference"/>
        </w:rPr>
        <w:footnoteRef/>
      </w:r>
      <w:r w:rsidRPr="00FC04DA">
        <w:t xml:space="preserve"> Female Genital Mutilation Act 2003.</w:t>
      </w:r>
    </w:p>
  </w:footnote>
  <w:footnote w:id="126">
    <w:p w14:paraId="45E2C0A2" w14:textId="4DDD4C14" w:rsidR="00BC442E" w:rsidRPr="00FC04DA" w:rsidRDefault="00BC442E" w:rsidP="00E43BFB">
      <w:pPr>
        <w:pStyle w:val="NIHRCFootnotes0"/>
      </w:pPr>
      <w:r w:rsidRPr="00FC04DA">
        <w:rPr>
          <w:rStyle w:val="FootnoteReference"/>
        </w:rPr>
        <w:footnoteRef/>
      </w:r>
      <w:r w:rsidRPr="00FC04DA">
        <w:t xml:space="preserve"> The Female Genital Mutilation Protection Order (Relevant Third Party) Order (NI) 2021 enables health and social care trusts in NI to obtain a third-party protection order without the need to seek the leave of a court. It is intended to speed up the process of obtaining a protection order should a Health and Social Care Trust in NI have concerns about the safety of any girl or woman under its care. </w:t>
      </w:r>
      <w:r w:rsidR="00C86948" w:rsidRPr="00FC04DA">
        <w:rPr>
          <w:i/>
          <w:iCs/>
        </w:rPr>
        <w:t>See</w:t>
      </w:r>
      <w:r w:rsidR="00C86948" w:rsidRPr="00FC04DA">
        <w:t xml:space="preserve"> </w:t>
      </w:r>
      <w:r w:rsidR="009168EA" w:rsidRPr="00FC04DA">
        <w:t>Email correspondence from the Department of Finance to the NI Human Rights Commission, 7 July 2023.</w:t>
      </w:r>
    </w:p>
  </w:footnote>
  <w:footnote w:id="127">
    <w:p w14:paraId="2887B4B9" w14:textId="208FD6F2" w:rsidR="00D22AF2" w:rsidRPr="00FC04DA" w:rsidRDefault="00D22AF2" w:rsidP="00E43BFB">
      <w:pPr>
        <w:pStyle w:val="NIHRCFootnotes0"/>
      </w:pPr>
      <w:r w:rsidRPr="00FC04DA">
        <w:rPr>
          <w:rStyle w:val="FootnoteReference"/>
        </w:rPr>
        <w:footnoteRef/>
      </w:r>
      <w:r w:rsidRPr="00FC04DA">
        <w:t xml:space="preserve"> Health and Social Care NI, ‘NI Maternity Systems’. Available at: </w:t>
      </w:r>
      <w:hyperlink r:id="rId7" w:history="1">
        <w:r w:rsidRPr="00FC04DA">
          <w:rPr>
            <w:rStyle w:val="Hyperlink"/>
            <w:color w:val="77328A"/>
          </w:rPr>
          <w:t>Metadata (hscni.net)</w:t>
        </w:r>
      </w:hyperlink>
      <w:r w:rsidR="00775830" w:rsidRPr="00FC04DA">
        <w:t>.</w:t>
      </w:r>
    </w:p>
  </w:footnote>
  <w:footnote w:id="128">
    <w:p w14:paraId="6311207B" w14:textId="6A9A33D5" w:rsidR="003F501A" w:rsidRPr="00FC04DA" w:rsidRDefault="003F501A" w:rsidP="00E43BFB">
      <w:pPr>
        <w:pStyle w:val="NIHRCFootnotes0"/>
      </w:pPr>
      <w:r w:rsidRPr="00FC04DA">
        <w:rPr>
          <w:rStyle w:val="FootnoteReference"/>
        </w:rPr>
        <w:footnoteRef/>
      </w:r>
      <w:r w:rsidRPr="00FC04DA">
        <w:t xml:space="preserve"> This includes </w:t>
      </w:r>
      <w:r w:rsidR="00221005" w:rsidRPr="00FC04DA">
        <w:t>the Female Genital Mutilation Protection Order (Relevant Third Party) Order (NI) 2021,</w:t>
      </w:r>
      <w:r w:rsidRPr="00FC04DA">
        <w:rPr>
          <w:rFonts w:eastAsia="Verdana" w:cs="Verdana"/>
        </w:rPr>
        <w:t xml:space="preserve"> new care pathways and a risk assessment tool</w:t>
      </w:r>
      <w:r w:rsidR="00166470" w:rsidRPr="00FC04DA">
        <w:rPr>
          <w:rFonts w:eastAsia="Verdana" w:cs="Verdana"/>
        </w:rPr>
        <w:t xml:space="preserve">: </w:t>
      </w:r>
      <w:r w:rsidR="00166470" w:rsidRPr="00FC04DA">
        <w:t>Email correspondence from Department of Health to NI Human Rights Commission, 5 October 2022.</w:t>
      </w:r>
    </w:p>
  </w:footnote>
  <w:footnote w:id="129">
    <w:p w14:paraId="6F6DD85D" w14:textId="77777777" w:rsidR="009C5ED4" w:rsidRPr="00FC04DA" w:rsidRDefault="009C5ED4" w:rsidP="00E43BFB">
      <w:pPr>
        <w:pStyle w:val="NIHRCFootnotes0"/>
      </w:pPr>
      <w:r w:rsidRPr="00FC04DA">
        <w:rPr>
          <w:rStyle w:val="FootnoteReference"/>
        </w:rPr>
        <w:footnoteRef/>
      </w:r>
      <w:r w:rsidRPr="00FC04DA">
        <w:t xml:space="preserve"> Department of Health, Social Services and Public Safety, 'Reference Guide to Consent for Examination, Treatment or Care' (DHSSP, 2003), at para 64.</w:t>
      </w:r>
    </w:p>
  </w:footnote>
  <w:footnote w:id="130">
    <w:p w14:paraId="6412516F" w14:textId="649F27C1" w:rsidR="009C5ED4" w:rsidRPr="00FC04DA" w:rsidRDefault="009C5ED4" w:rsidP="00E43BFB">
      <w:pPr>
        <w:pStyle w:val="NIHRCFootnotes0"/>
      </w:pPr>
      <w:r w:rsidRPr="00FC04DA">
        <w:rPr>
          <w:rStyle w:val="FootnoteReference"/>
        </w:rPr>
        <w:footnoteRef/>
      </w:r>
      <w:r w:rsidRPr="00FC04DA">
        <w:t xml:space="preserve"> </w:t>
      </w:r>
      <w:r w:rsidR="0016103C" w:rsidRPr="00FC04DA">
        <w:rPr>
          <w:szCs w:val="24"/>
        </w:rPr>
        <w:t>In 2021, the Expert Panel for the Lesbian, Gay, Bisexual, Transgender, Queer (Or Questioning), Intersex+ Strategy recommended that there should be a commitment to and guidance around informed consent of intersex children and a commitment to ending intersex genital mutilation in NI.</w:t>
      </w:r>
      <w:r w:rsidR="00DA4A66" w:rsidRPr="00FC04DA">
        <w:rPr>
          <w:szCs w:val="24"/>
        </w:rPr>
        <w:t xml:space="preserve"> In 202</w:t>
      </w:r>
      <w:r w:rsidR="00AC281B">
        <w:rPr>
          <w:szCs w:val="24"/>
        </w:rPr>
        <w:t>3</w:t>
      </w:r>
      <w:r w:rsidR="00DA4A66" w:rsidRPr="00FC04DA">
        <w:rPr>
          <w:szCs w:val="24"/>
        </w:rPr>
        <w:t xml:space="preserve">, </w:t>
      </w:r>
      <w:r w:rsidR="00B71766">
        <w:rPr>
          <w:szCs w:val="24"/>
        </w:rPr>
        <w:t xml:space="preserve">progress of </w:t>
      </w:r>
      <w:r w:rsidR="00DA4A66" w:rsidRPr="00FC04DA">
        <w:rPr>
          <w:szCs w:val="24"/>
        </w:rPr>
        <w:t xml:space="preserve">the Lesbian, Gay, Bisexual, Transgender, Queer (Or Questioning), Intersex+ Strategy </w:t>
      </w:r>
      <w:r w:rsidR="00B71766">
        <w:rPr>
          <w:szCs w:val="24"/>
        </w:rPr>
        <w:t>was hindered by the suspension of the NI Executive</w:t>
      </w:r>
      <w:r w:rsidR="00DA4A66" w:rsidRPr="00FC04DA">
        <w:rPr>
          <w:szCs w:val="24"/>
        </w:rPr>
        <w:t xml:space="preserve">. </w:t>
      </w:r>
      <w:r w:rsidR="00DA4A66" w:rsidRPr="00FC04DA">
        <w:rPr>
          <w:i/>
          <w:iCs/>
          <w:szCs w:val="24"/>
        </w:rPr>
        <w:t>See</w:t>
      </w:r>
      <w:r w:rsidR="00DA4A66" w:rsidRPr="00FC04DA">
        <w:t xml:space="preserve"> </w:t>
      </w:r>
      <w:r w:rsidRPr="00FC04DA">
        <w:t>Department for Communities, 'Lesbian, Gay, Bisexual, Transgender, Queer (Or Questioning), Intersex+ Strategy Expert Advisory Panel – Themes and Recommendations' (DfC, 2021).</w:t>
      </w:r>
    </w:p>
  </w:footnote>
  <w:footnote w:id="131">
    <w:p w14:paraId="2239116B" w14:textId="75657A81" w:rsidR="00AF2A59" w:rsidRPr="00FC04DA" w:rsidRDefault="00AF2A59" w:rsidP="00E43BFB">
      <w:pPr>
        <w:pStyle w:val="NIHRCFootnotes0"/>
      </w:pPr>
      <w:r w:rsidRPr="00FC04DA">
        <w:rPr>
          <w:rStyle w:val="FootnoteReference"/>
        </w:rPr>
        <w:footnoteRef/>
      </w:r>
      <w:r w:rsidRPr="00FC04DA">
        <w:t xml:space="preserve"> </w:t>
      </w:r>
      <w:r w:rsidR="008E76E1" w:rsidRPr="00FC04DA">
        <w:t>It is unclear if any d</w:t>
      </w:r>
      <w:r w:rsidR="004E0E7D" w:rsidRPr="00FC04DA">
        <w:t>ata</w:t>
      </w:r>
      <w:r w:rsidR="008E76E1" w:rsidRPr="00FC04DA">
        <w:t xml:space="preserve"> exists in relation to</w:t>
      </w:r>
      <w:r w:rsidR="004E0E7D" w:rsidRPr="00FC04DA">
        <w:t xml:space="preserve"> the</w:t>
      </w:r>
      <w:r w:rsidR="00CD1CB5" w:rsidRPr="00FC04DA">
        <w:t xml:space="preserve"> number of children in NI who would be classed as intersex or those undergoing surgery or medical treatment regarding disorders of sexual differentiation/development.</w:t>
      </w:r>
    </w:p>
  </w:footnote>
  <w:footnote w:id="132">
    <w:p w14:paraId="67F643E7" w14:textId="011A3E17" w:rsidR="00456809" w:rsidRPr="00FC04DA" w:rsidRDefault="00456809" w:rsidP="00E43BFB">
      <w:pPr>
        <w:pStyle w:val="NIHRCFootnotes0"/>
      </w:pPr>
      <w:r w:rsidRPr="00FC04DA">
        <w:rPr>
          <w:rStyle w:val="FootnoteReference"/>
        </w:rPr>
        <w:footnoteRef/>
      </w:r>
      <w:r w:rsidRPr="00FC04DA">
        <w:t xml:space="preserve"> </w:t>
      </w:r>
      <w:bookmarkStart w:id="35" w:name="_Hlk132883257"/>
      <w:r w:rsidRPr="00FC04DA">
        <w:t>Police Service of NI, ‘Trends in Domestic Abuse Incidents and Crimes Recorded by the Police in NI 2004/</w:t>
      </w:r>
      <w:r w:rsidR="00156468">
        <w:t>20</w:t>
      </w:r>
      <w:r w:rsidRPr="00FC04DA">
        <w:t xml:space="preserve">05 to 2021/2022’ (PSNI, 2022), at 4. </w:t>
      </w:r>
      <w:bookmarkEnd w:id="35"/>
    </w:p>
  </w:footnote>
  <w:footnote w:id="133">
    <w:p w14:paraId="6D97E708" w14:textId="221B6084" w:rsidR="00456809" w:rsidRPr="00FC04DA" w:rsidRDefault="00456809" w:rsidP="00E43BFB">
      <w:pPr>
        <w:pStyle w:val="NIHRCFootnotes0"/>
      </w:pPr>
      <w:r w:rsidRPr="00FC04DA">
        <w:rPr>
          <w:rStyle w:val="FootnoteReference"/>
        </w:rPr>
        <w:footnoteRef/>
      </w:r>
      <w:r w:rsidRPr="00FC04DA">
        <w:t xml:space="preserve"> </w:t>
      </w:r>
      <w:r w:rsidR="00AC6CCC">
        <w:t>Ibid</w:t>
      </w:r>
      <w:r w:rsidRPr="00FC04DA">
        <w:t>.</w:t>
      </w:r>
    </w:p>
  </w:footnote>
  <w:footnote w:id="134">
    <w:p w14:paraId="7787103E" w14:textId="673C691A" w:rsidR="00456809" w:rsidRPr="00FC04DA" w:rsidRDefault="00456809" w:rsidP="00E43BFB">
      <w:pPr>
        <w:pStyle w:val="NIHRCFootnotes0"/>
      </w:pPr>
      <w:r w:rsidRPr="00FC04DA">
        <w:rPr>
          <w:rStyle w:val="FootnoteReference"/>
        </w:rPr>
        <w:footnoteRef/>
      </w:r>
      <w:r w:rsidRPr="00FC04DA">
        <w:t xml:space="preserve"> </w:t>
      </w:r>
      <w:r w:rsidR="00AC6CCC">
        <w:t>Ibid</w:t>
      </w:r>
      <w:r w:rsidRPr="00FC04DA">
        <w:t>.</w:t>
      </w:r>
    </w:p>
  </w:footnote>
  <w:footnote w:id="135">
    <w:p w14:paraId="138721EC" w14:textId="77777777" w:rsidR="00456809" w:rsidRPr="00FC04DA" w:rsidRDefault="00456809" w:rsidP="00E43BFB">
      <w:pPr>
        <w:pStyle w:val="NIHRCFootnotes0"/>
      </w:pPr>
      <w:r w:rsidRPr="00FC04DA">
        <w:rPr>
          <w:rStyle w:val="FootnoteReference"/>
        </w:rPr>
        <w:footnoteRef/>
      </w:r>
      <w:r w:rsidRPr="00FC04DA">
        <w:t xml:space="preserve"> Women’s Policy Group NI, ‘Violence against Women and Girls in NI: Primary Research Findings’ (WPGNI, 2022).</w:t>
      </w:r>
    </w:p>
  </w:footnote>
  <w:footnote w:id="136">
    <w:p w14:paraId="652F424C" w14:textId="77777777" w:rsidR="005213F9" w:rsidRPr="00FC04DA" w:rsidRDefault="005213F9" w:rsidP="00E43BFB">
      <w:pPr>
        <w:pStyle w:val="NIHRCFootnotes0"/>
      </w:pPr>
      <w:r w:rsidRPr="00FC04DA">
        <w:rPr>
          <w:rStyle w:val="FootnoteReference"/>
        </w:rPr>
        <w:footnoteRef/>
      </w:r>
      <w:r w:rsidRPr="00FC04DA">
        <w:t xml:space="preserve"> NI Human Rights Commission roundtable meetings with public bodies on CoE Istanbul Convention, 25 September 2023.</w:t>
      </w:r>
    </w:p>
  </w:footnote>
  <w:footnote w:id="137">
    <w:p w14:paraId="422D16E7" w14:textId="77777777" w:rsidR="00456809" w:rsidRPr="00FC04DA" w:rsidRDefault="00456809" w:rsidP="00E43BFB">
      <w:pPr>
        <w:pStyle w:val="NIHRCFootnotes0"/>
      </w:pPr>
      <w:r w:rsidRPr="00FC04DA">
        <w:rPr>
          <w:rStyle w:val="FootnoteReference"/>
        </w:rPr>
        <w:footnoteRef/>
      </w:r>
      <w:r w:rsidRPr="00FC04DA">
        <w:t xml:space="preserve"> Women’s Aid Federation NI, ‘Annual Report 2021-2022’ (WAFNI,2022), at 1. </w:t>
      </w:r>
    </w:p>
  </w:footnote>
  <w:footnote w:id="138">
    <w:p w14:paraId="56D47049" w14:textId="6FE4435D" w:rsidR="00456809" w:rsidRPr="00FC04DA" w:rsidRDefault="00456809" w:rsidP="00E43BFB">
      <w:pPr>
        <w:pStyle w:val="NIHRCFootnotes0"/>
      </w:pPr>
      <w:r w:rsidRPr="00FC04DA">
        <w:rPr>
          <w:rStyle w:val="FootnoteReference"/>
        </w:rPr>
        <w:footnoteRef/>
      </w:r>
      <w:r w:rsidRPr="00FC04DA">
        <w:t xml:space="preserve"> </w:t>
      </w:r>
      <w:r w:rsidR="00AC6CCC">
        <w:t>Ibid</w:t>
      </w:r>
      <w:r w:rsidRPr="00FC04DA">
        <w:t>.</w:t>
      </w:r>
    </w:p>
  </w:footnote>
  <w:footnote w:id="139">
    <w:p w14:paraId="2EE48E97" w14:textId="77777777" w:rsidR="00456809" w:rsidRPr="00FC04DA" w:rsidRDefault="00456809" w:rsidP="00E43BFB">
      <w:pPr>
        <w:pStyle w:val="NIHRCFootnotes0"/>
      </w:pPr>
      <w:r w:rsidRPr="00FC04DA">
        <w:rPr>
          <w:vertAlign w:val="superscript"/>
        </w:rPr>
        <w:footnoteRef/>
      </w:r>
      <w:r w:rsidRPr="00FC04DA">
        <w:t xml:space="preserve"> Susan Lagdon et al, ‘Every Voice Matters: Violence Against Women in NI’ (UU, 2023), at 1; Siobhán McAlister et al, ‘It’s Just What Happens: Girls’ and Young Women’s Views and Experiences of Violence in NI’ (QUB, 2023), at 50.</w:t>
      </w:r>
    </w:p>
  </w:footnote>
  <w:footnote w:id="140">
    <w:p w14:paraId="653BBE27" w14:textId="77777777" w:rsidR="00EB3993" w:rsidRPr="00FC04DA" w:rsidRDefault="00EB3993" w:rsidP="00E43BFB">
      <w:pPr>
        <w:pStyle w:val="NIHRCFootnotes0"/>
      </w:pPr>
      <w:r w:rsidRPr="00FC04DA">
        <w:rPr>
          <w:rStyle w:val="FootnoteReference"/>
        </w:rPr>
        <w:footnoteRef/>
      </w:r>
      <w:r w:rsidRPr="00FC04DA">
        <w:t xml:space="preserve"> Department of Justice, ‘Consultation on Enhancing Legal Protections for Victims of Domestic Abuse’ (DoJ 2021). </w:t>
      </w:r>
    </w:p>
  </w:footnote>
  <w:footnote w:id="141">
    <w:p w14:paraId="4987135C" w14:textId="2769AFA8" w:rsidR="00F05AF6" w:rsidRPr="00FC04DA" w:rsidRDefault="00F05AF6" w:rsidP="00E43BFB">
      <w:pPr>
        <w:pStyle w:val="NIHRCFootnotes0"/>
      </w:pPr>
      <w:r w:rsidRPr="00FC04DA">
        <w:rPr>
          <w:rStyle w:val="FootnoteReference"/>
        </w:rPr>
        <w:footnoteRef/>
      </w:r>
      <w:r w:rsidRPr="00FC04DA">
        <w:t xml:space="preserve"> </w:t>
      </w:r>
      <w:r w:rsidR="001A623C" w:rsidRPr="00FC04DA">
        <w:t>Council of Europe Convention on Preventing and Combating Violence against Women and Domestic Violence</w:t>
      </w:r>
      <w:r w:rsidR="008C7768" w:rsidRPr="00FC04DA">
        <w:t xml:space="preserve"> (Istanbul Convention).</w:t>
      </w:r>
    </w:p>
  </w:footnote>
  <w:footnote w:id="142">
    <w:p w14:paraId="4B81E518" w14:textId="77777777" w:rsidR="00A42415" w:rsidRPr="00FC04DA" w:rsidRDefault="00A42415" w:rsidP="00E43BFB">
      <w:pPr>
        <w:pStyle w:val="NIHRCFootnotes0"/>
      </w:pPr>
      <w:r w:rsidRPr="00FC04DA">
        <w:rPr>
          <w:rStyle w:val="FootnoteReference"/>
        </w:rPr>
        <w:footnoteRef/>
      </w:r>
      <w:r w:rsidRPr="00FC04DA">
        <w:t xml:space="preserve"> Department of Health and Department of Justice, ‘Draft Domestic and Sexual Abuse Strategy: 2023-2030’ (DoH and DoJ, 2023).</w:t>
      </w:r>
    </w:p>
  </w:footnote>
  <w:footnote w:id="143">
    <w:p w14:paraId="7892086B" w14:textId="636CC35D" w:rsidR="00B76CE4" w:rsidRPr="00FC04DA" w:rsidRDefault="00B76CE4" w:rsidP="00E43BFB">
      <w:pPr>
        <w:pStyle w:val="NIHRCFootnotes0"/>
      </w:pPr>
      <w:r w:rsidRPr="00FC04DA">
        <w:rPr>
          <w:rStyle w:val="FootnoteReference"/>
        </w:rPr>
        <w:footnoteRef/>
      </w:r>
      <w:r w:rsidRPr="00FC04DA">
        <w:t xml:space="preserve"> NI Human Rights Commission, ‘Response to </w:t>
      </w:r>
      <w:r w:rsidR="00CA03A8" w:rsidRPr="00FC04DA">
        <w:t>the Department of Health and Department of Justice’s Consultation on a Draft Domestic and Sexual Abuse Strategy’ (NIHRC, 2023).</w:t>
      </w:r>
    </w:p>
  </w:footnote>
  <w:footnote w:id="144">
    <w:p w14:paraId="55FC2037" w14:textId="3D584B95" w:rsidR="00C161BE" w:rsidRPr="00FC04DA" w:rsidRDefault="00C161BE" w:rsidP="00E43BFB">
      <w:pPr>
        <w:pStyle w:val="NIHRCFootnotes0"/>
      </w:pPr>
      <w:r w:rsidRPr="00FC04DA">
        <w:rPr>
          <w:rStyle w:val="FootnoteReference"/>
        </w:rPr>
        <w:footnoteRef/>
      </w:r>
      <w:r w:rsidR="00043FB1" w:rsidRPr="00FC04DA">
        <w:t xml:space="preserve"> In 2023, the Executive Office consulted on a draft Ending Violence Against Women and Girls Strategic Framework. The draft Strategic Framework takes a strong gender sensitive approach to tackling violence against women and girls, which the NIHRC welcomed. The draft Strategic Framework identifies that it will work across government Departments to tackle violence against women and girls.  It is unclear whether NI Departments are considering how the draft Strategic Framework can complement other strategies which take a gender-neutral approach.</w:t>
      </w:r>
      <w:r w:rsidR="001B4FD9" w:rsidRPr="00FC04DA">
        <w:t xml:space="preserve"> See The Executive Office, ‘Ending Violence Against Women and Girls Strategic Framework’ (TEO, 2023); </w:t>
      </w:r>
      <w:r w:rsidR="003B1A5F" w:rsidRPr="00FC04DA">
        <w:t>NI Human Rights Commission, ‘Submission to the Executive Office’s Consultation on the Ending Violence Against Women and Girls Strategic Framework’ (NIHRC, 2023).</w:t>
      </w:r>
    </w:p>
  </w:footnote>
  <w:footnote w:id="145">
    <w:p w14:paraId="4D9F07E5" w14:textId="6DC01DC7" w:rsidR="00AA3786" w:rsidRPr="00FC04DA" w:rsidRDefault="00AA3786" w:rsidP="00E43BFB">
      <w:pPr>
        <w:pStyle w:val="NIHRCFootnotes0"/>
      </w:pPr>
      <w:r w:rsidRPr="00FC04DA">
        <w:rPr>
          <w:rStyle w:val="FootnoteReference"/>
        </w:rPr>
        <w:footnoteRef/>
      </w:r>
      <w:r w:rsidRPr="00FC04DA">
        <w:t xml:space="preserve"> For example, the Executive Office has highlighted cuts to programmes to end violence against women and girls. The Department of Health’s cuts to the community voluntary sector through the Core Grant Funding Scheme further disproportionately impact women as organisations providing advice, support, and refuge to women experiencing domestic violence have had their funding cut.</w:t>
      </w:r>
      <w:r w:rsidR="000F3228" w:rsidRPr="00FC04DA">
        <w:t xml:space="preserve"> See The Executive Office, ‘Equality Impact Assessment: The Executive Office’s Spending Plans for 2023–2024’ (TEO, 2023), at 17 and 18; </w:t>
      </w:r>
      <w:r w:rsidR="007D23BD" w:rsidRPr="00FC04DA">
        <w:t xml:space="preserve">Liam Tunney, ‘Women’s Aid NI now only UK federation without government funding, says CEO’, </w:t>
      </w:r>
      <w:r w:rsidR="007D23BD" w:rsidRPr="00FC04DA">
        <w:rPr>
          <w:i/>
          <w:iCs/>
        </w:rPr>
        <w:t>Belfast Telegraph</w:t>
      </w:r>
      <w:r w:rsidR="007D23BD" w:rsidRPr="00FC04DA">
        <w:t xml:space="preserve">, 29 September 2023. </w:t>
      </w:r>
    </w:p>
  </w:footnote>
  <w:footnote w:id="146">
    <w:p w14:paraId="7D1EAFD5" w14:textId="77777777" w:rsidR="00825258" w:rsidRPr="00FC04DA" w:rsidRDefault="00825258" w:rsidP="00E43BFB">
      <w:pPr>
        <w:pStyle w:val="NIHRCFootnotes0"/>
      </w:pPr>
      <w:r w:rsidRPr="00FC04DA">
        <w:rPr>
          <w:rStyle w:val="FootnoteReference"/>
        </w:rPr>
        <w:footnoteRef/>
      </w:r>
      <w:r w:rsidRPr="00FC04DA">
        <w:t xml:space="preserve"> The Executive Office, ‘Ending Violence Against Women and Girls Strategic Framework’ (TEO, 2023), at 10.</w:t>
      </w:r>
    </w:p>
  </w:footnote>
  <w:footnote w:id="147">
    <w:p w14:paraId="247C55B3" w14:textId="77777777" w:rsidR="00EE7AFA" w:rsidRPr="00FC04DA" w:rsidRDefault="00EE7AFA" w:rsidP="00E43BFB">
      <w:pPr>
        <w:pStyle w:val="NIHRCFootnotes0"/>
      </w:pPr>
      <w:r w:rsidRPr="00FC04DA">
        <w:rPr>
          <w:rStyle w:val="FootnoteReference"/>
        </w:rPr>
        <w:footnoteRef/>
      </w:r>
      <w:r w:rsidRPr="00FC04DA">
        <w:t xml:space="preserve"> Nuala Toman et al, ‘Progress Towards the Implementation of the UN Convention on the Rights of Persons with Disabilities in NI’ (ECNI, 2022), at 166.</w:t>
      </w:r>
    </w:p>
  </w:footnote>
  <w:footnote w:id="148">
    <w:p w14:paraId="2CB9DCFD" w14:textId="77777777" w:rsidR="00485C1A" w:rsidRPr="00FC04DA" w:rsidRDefault="00485C1A" w:rsidP="00E43BFB">
      <w:pPr>
        <w:pStyle w:val="NIHRCFootnotes0"/>
      </w:pPr>
      <w:r w:rsidRPr="00FC04DA">
        <w:rPr>
          <w:rStyle w:val="FootnoteReference"/>
        </w:rPr>
        <w:footnoteRef/>
      </w:r>
      <w:r w:rsidRPr="00FC04DA">
        <w:t xml:space="preserve"> NI Human Rights Commission, ‘The 2022 Annual Statement: Human Rights in NI’ (NIHRC, 2022), at 103.</w:t>
      </w:r>
    </w:p>
  </w:footnote>
  <w:footnote w:id="149">
    <w:p w14:paraId="6AA5221C" w14:textId="77777777" w:rsidR="00DC68B1" w:rsidRPr="00FC04DA" w:rsidRDefault="00DC68B1" w:rsidP="00E43BFB">
      <w:pPr>
        <w:pStyle w:val="NIHRCFootnotes0"/>
      </w:pPr>
      <w:r w:rsidRPr="00FC04DA">
        <w:rPr>
          <w:rStyle w:val="FootnoteReference"/>
        </w:rPr>
        <w:footnoteRef/>
      </w:r>
      <w:r w:rsidRPr="00FC04DA">
        <w:t xml:space="preserve"> SafeLives, ‘Free to be Safe: LGBT+ People Experiencing Domestic Abuse’ (SafeLives, 2018), at 35.</w:t>
      </w:r>
    </w:p>
  </w:footnote>
  <w:footnote w:id="150">
    <w:p w14:paraId="442555B3" w14:textId="77777777" w:rsidR="00DE0A54" w:rsidRPr="00FC04DA" w:rsidRDefault="00DE0A54" w:rsidP="00E43BFB">
      <w:pPr>
        <w:pStyle w:val="NIHRCFootnotes0"/>
      </w:pPr>
      <w:r w:rsidRPr="00FC04DA">
        <w:rPr>
          <w:rStyle w:val="FootnoteReference"/>
        </w:rPr>
        <w:footnoteRef/>
      </w:r>
      <w:r w:rsidRPr="00FC04DA">
        <w:t xml:space="preserve"> </w:t>
      </w:r>
      <w:r w:rsidRPr="00FC04DA">
        <w:rPr>
          <w:rStyle w:val="ui-provider"/>
        </w:rPr>
        <w:t>Women’s Aid Federation NI, ‘Hear Her Voice’ (WAFNI, 2023), at 17.</w:t>
      </w:r>
    </w:p>
  </w:footnote>
  <w:footnote w:id="151">
    <w:p w14:paraId="002E6843" w14:textId="03F284CA" w:rsidR="001E1062" w:rsidRPr="00FC04DA" w:rsidRDefault="001E1062" w:rsidP="00E43BFB">
      <w:pPr>
        <w:pStyle w:val="NIHRCFootnotes0"/>
      </w:pPr>
      <w:r w:rsidRPr="00FC04DA">
        <w:rPr>
          <w:rStyle w:val="FootnoteReference"/>
        </w:rPr>
        <w:footnoteRef/>
      </w:r>
      <w:r w:rsidRPr="00FC04DA">
        <w:t xml:space="preserve"> Abortion has been legalised in NI on request up to 12 weeks and where there is a risk of injury to the physical or mental health of the pregnant woman up to 24 weeks. Abortion is also permitted in NI on the grounds of immediate necessity, a risk to life or grave permanent injury to physical or mental health of the pregnant woman, a diagnosis of a severe foetal impairment or fatal foetal abnormality. See Regulations 3 and 4, Abortion (NI) (No 2) Regulations 2020.</w:t>
      </w:r>
    </w:p>
  </w:footnote>
  <w:footnote w:id="152">
    <w:p w14:paraId="5AC011DD" w14:textId="77777777" w:rsidR="00541550" w:rsidRPr="00FC04DA" w:rsidRDefault="00541550" w:rsidP="00E43BFB">
      <w:pPr>
        <w:pStyle w:val="NIHRCFootnotes0"/>
      </w:pPr>
      <w:r w:rsidRPr="00FC04DA">
        <w:rPr>
          <w:rStyle w:val="FootnoteReference"/>
        </w:rPr>
        <w:footnoteRef/>
      </w:r>
      <w:r w:rsidRPr="00FC04DA">
        <w:t xml:space="preserve"> Amy Cochrane, ‘Secretary of State to commission abortion services in NI – three years after legalisation’, </w:t>
      </w:r>
      <w:r w:rsidRPr="00FC04DA">
        <w:rPr>
          <w:i/>
          <w:iCs/>
        </w:rPr>
        <w:t>Belfast Telegraph</w:t>
      </w:r>
      <w:r w:rsidRPr="00FC04DA">
        <w:t>, 24 October 2022.</w:t>
      </w:r>
    </w:p>
  </w:footnote>
  <w:footnote w:id="153">
    <w:p w14:paraId="0843885F" w14:textId="2FE6186E" w:rsidR="00541550" w:rsidRPr="00FC04DA" w:rsidRDefault="00541550" w:rsidP="00E43BFB">
      <w:pPr>
        <w:pStyle w:val="NIHRCFootnotes0"/>
      </w:pPr>
      <w:r w:rsidRPr="00FC04DA">
        <w:rPr>
          <w:rStyle w:val="FootnoteReference"/>
        </w:rPr>
        <w:footnoteRef/>
      </w:r>
      <w:r w:rsidRPr="00FC04DA">
        <w:t xml:space="preserve"> </w:t>
      </w:r>
      <w:r w:rsidR="00A351C1">
        <w:t>Ibid</w:t>
      </w:r>
      <w:r w:rsidR="00517BF8" w:rsidRPr="00FC04DA">
        <w:t>.</w:t>
      </w:r>
    </w:p>
  </w:footnote>
  <w:footnote w:id="154">
    <w:p w14:paraId="6AAF88B7" w14:textId="77777777" w:rsidR="00541550" w:rsidRPr="00FC04DA" w:rsidRDefault="00541550" w:rsidP="00E43BFB">
      <w:pPr>
        <w:pStyle w:val="NIHRCFootnotes0"/>
      </w:pPr>
      <w:r w:rsidRPr="00FC04DA">
        <w:rPr>
          <w:rStyle w:val="FootnoteReference"/>
        </w:rPr>
        <w:footnoteRef/>
      </w:r>
      <w:r w:rsidRPr="00FC04DA">
        <w:t xml:space="preserve"> Department of Health, ‘Press Statement: Department of Health Statement’, 2 December 2022.</w:t>
      </w:r>
    </w:p>
  </w:footnote>
  <w:footnote w:id="155">
    <w:p w14:paraId="3D916799" w14:textId="617D12F7" w:rsidR="00B91670" w:rsidRPr="00FC04DA" w:rsidRDefault="00B91670" w:rsidP="00E43BFB">
      <w:pPr>
        <w:pStyle w:val="NIHRCFootnotes0"/>
      </w:pPr>
      <w:r w:rsidRPr="00FC04DA">
        <w:rPr>
          <w:rStyle w:val="FootnoteReference"/>
        </w:rPr>
        <w:footnoteRef/>
      </w:r>
      <w:r w:rsidRPr="00FC04DA">
        <w:t xml:space="preserve"> </w:t>
      </w:r>
      <w:r w:rsidR="00E63492" w:rsidRPr="00FC04DA">
        <w:t xml:space="preserve">In November 2023, abortion services were available up to 11 weeks and six days in four of five Health and Social Care Trusts in NI. There was a delay in delivering these services in the Belfast Health and Social Care Trust due to challenges in “securing appropriate premise to enable the co-location of both the early surgical and early medical abortions up to 12 weeks”. This was expected to be remedied in December 2023. Similarly, four of five Trusts in NI offered surgical abortions up to 11 weeks and six days. The South Eastern Health and Social Care Trust offered surgical abortions up to ten weeks, with it expected to extend its services in line with other Trusts in NI by mid-November 2023. Abortions in cases of immediate necessity were available in all Health and Social Care Trusts in NI. Additionally, abortions were available in all Health and Social Care Trusts in NI on the grounds of risk to life or grave permanent injury to the physical or mental health of the individual or severe fetal impairment and fatal fetal abnormality. This was an improvement from provision in September 2023. </w:t>
      </w:r>
      <w:r w:rsidR="00E63492" w:rsidRPr="00FC04DA">
        <w:rPr>
          <w:i/>
          <w:iCs/>
        </w:rPr>
        <w:t>See</w:t>
      </w:r>
      <w:r w:rsidR="00E63492" w:rsidRPr="00FC04DA">
        <w:t xml:space="preserve"> Email correspondence from the Department of Health to the NI Human Rights Commission, 9 November 2023;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00E63492" w:rsidRPr="00FC04DA">
        <w:rPr>
          <w:rStyle w:val="FootnoteReference"/>
          <w:vertAlign w:val="baseline"/>
        </w:rPr>
        <w:t>NI Human Rights Commission, 'Monitoring Report on Reproductive Healthcare Provision in NI' (NIHRC, 2021)</w:t>
      </w:r>
      <w:r w:rsidR="00E63492" w:rsidRPr="00FC04DA">
        <w:t xml:space="preserve">; </w:t>
      </w:r>
      <w:r w:rsidRPr="00FC04DA">
        <w:t>Email correspondence from the Royal College of Nursing in NI to the NI Human Rights Commission, 19 July 2023; Meeting between NI Human Rights Commission and Informing Choices NI, 24 July 2023; Meeting between NI Human Rights Commission and civil society organisations, 25 July 2023.</w:t>
      </w:r>
    </w:p>
  </w:footnote>
  <w:footnote w:id="156">
    <w:p w14:paraId="0E402EC1" w14:textId="0DDCD455" w:rsidR="00B91670" w:rsidRPr="00FC04DA" w:rsidRDefault="00B91670" w:rsidP="00E43BFB">
      <w:pPr>
        <w:pStyle w:val="NIHRCFootnotes0"/>
      </w:pPr>
      <w:r w:rsidRPr="00FC04DA">
        <w:rPr>
          <w:rStyle w:val="FootnoteReference"/>
        </w:rPr>
        <w:footnoteRef/>
      </w:r>
      <w:r w:rsidRPr="00FC04DA">
        <w:t xml:space="preserve"> </w:t>
      </w:r>
      <w:r w:rsidR="00517BF8" w:rsidRPr="00FC04DA">
        <w:t xml:space="preserve">Email correspondence from the Department of Health to the NI Human Rights Commission, 9 November 2023;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00517BF8" w:rsidRPr="00FC04DA">
        <w:rPr>
          <w:rStyle w:val="FootnoteReference"/>
          <w:vertAlign w:val="baseline"/>
        </w:rPr>
        <w:t>NI Human Rights Commission, 'Monitoring Report on Reproductive Healthcare Provision in NI' (NIHRC, 2021)</w:t>
      </w:r>
      <w:r w:rsidR="00517BF8" w:rsidRPr="00FC04DA">
        <w:t>; Email correspondence from the Royal College of Nursing in NI to the NI Human Rights Commission, 19 July 2023; Meeting between NI Human Rights Commission and Informing Choices NI, 24 July 2023; Meeting between NI Human Rights Commission and civil society organisations, 25 July 2023.</w:t>
      </w:r>
    </w:p>
  </w:footnote>
  <w:footnote w:id="157">
    <w:p w14:paraId="4F4E513E" w14:textId="77777777" w:rsidR="00B91670" w:rsidRPr="00FC04DA" w:rsidRDefault="00B91670" w:rsidP="00E43BFB">
      <w:pPr>
        <w:pStyle w:val="NIHRCFootnotes0"/>
      </w:pPr>
      <w:r w:rsidRPr="00FC04DA">
        <w:rPr>
          <w:rStyle w:val="FootnoteReference"/>
        </w:rPr>
        <w:footnoteRef/>
      </w:r>
      <w:r w:rsidRPr="00FC04DA">
        <w:rPr>
          <w:rStyle w:val="FootnoteReference"/>
        </w:rPr>
        <w:t xml:space="preserve"> </w:t>
      </w:r>
      <w:r w:rsidRPr="00FC04DA">
        <w:t>Meeting between NI Human Rights Commission and NI Office, 25 April 2023; Meeting between NI Human Rights Commission and NI Office, 4 July 2023; Meeting between NI Human Rights Commission and Department of Health, 19 July 2023.</w:t>
      </w:r>
    </w:p>
  </w:footnote>
  <w:footnote w:id="158">
    <w:p w14:paraId="4FC1E79A" w14:textId="77777777" w:rsidR="0079319D" w:rsidRPr="00FC04DA" w:rsidRDefault="0079319D" w:rsidP="00E43BFB">
      <w:pPr>
        <w:pStyle w:val="NIHRCFootnotes0"/>
      </w:pPr>
      <w:r w:rsidRPr="00FC04DA">
        <w:rPr>
          <w:rStyle w:val="FootnoteReference"/>
        </w:rPr>
        <w:footnoteRef/>
      </w:r>
      <w:r w:rsidRPr="00FC04DA">
        <w:t xml:space="preserve"> Between January and June 2023, 96 individuals travelled from NI to England for an abortion, which included individuals under 9 weeks and six days gestation and minors. See Meeting between NI Human Rights Commission and civil society organisations, 25 July 2023; Office for Health Improvement and Disparities, ‘Abortion Statistics for England and Wales: January to June 2022’. Available at: https://www.gov.uk/government/statistics/abortion-statistics-for-england-and-wales-january-to-june-2022/abortion-statistics-for-england-and-wales-january-to-june-2022</w:t>
      </w:r>
    </w:p>
  </w:footnote>
  <w:footnote w:id="159">
    <w:p w14:paraId="400917EA" w14:textId="2407BCC5" w:rsidR="004B784E" w:rsidRPr="00FC04DA" w:rsidRDefault="004B784E" w:rsidP="00E43BFB">
      <w:pPr>
        <w:pStyle w:val="NIHRCFootnotes0"/>
      </w:pPr>
      <w:r w:rsidRPr="00FC04DA">
        <w:rPr>
          <w:rStyle w:val="FootnoteReference"/>
        </w:rPr>
        <w:footnoteRef/>
      </w:r>
      <w:r w:rsidRPr="00FC04DA">
        <w:t xml:space="preserve"> </w:t>
      </w:r>
      <w:r w:rsidR="00E2406E" w:rsidRPr="00FC04DA">
        <w:t xml:space="preserve">In 2023, there was “no framework in place to report on all terminations of pregnancy carried out in NI”. Disaggregation of the data was limited to recording medical abortions and termination of pregnancies, age of the individual that had an abortion and the trust area in which the abortion was performed. Many civil society organisations viewed the available statistics as uninformative and lacking in context. The Department of Health is working on improving its data collection process regarding abortion services in NI, which it intends to start utilising in 2024. </w:t>
      </w:r>
      <w:r w:rsidR="00E2406E" w:rsidRPr="00FC04DA">
        <w:rPr>
          <w:i/>
          <w:iCs/>
        </w:rPr>
        <w:t>See</w:t>
      </w:r>
      <w:r w:rsidR="00E2406E" w:rsidRPr="00FC04DA">
        <w:t xml:space="preserve"> Information Analysis Directorate, ‘NI Hospital Based Termination of Pregnancy Statistics: 2021/2022’ (DoH and NISRA), at 6; Meeting between NI Human Rights Commission and Informing Choices NI, 24 July 2023; Meeting between the NI Human Rights Commission and civil society organisations, 25 July 2023; Meeting between NI Human Rights Commission and Department of Health, 19 July 2023.</w:t>
      </w:r>
    </w:p>
  </w:footnote>
  <w:footnote w:id="160">
    <w:p w14:paraId="1E99D95A" w14:textId="77777777" w:rsidR="00213BE3" w:rsidRPr="00FC04DA" w:rsidRDefault="00213BE3" w:rsidP="00E43BFB">
      <w:pPr>
        <w:pStyle w:val="NIHRCFootnotes0"/>
      </w:pPr>
      <w:r w:rsidRPr="00FC04DA">
        <w:rPr>
          <w:rStyle w:val="FootnoteReference"/>
        </w:rPr>
        <w:footnoteRef/>
      </w:r>
      <w:r w:rsidRPr="00FC04DA">
        <w:t xml:space="preserve"> Meeting between NI Human Rights Commission and Department of Health, 19 July 2023.</w:t>
      </w:r>
    </w:p>
  </w:footnote>
  <w:footnote w:id="161">
    <w:p w14:paraId="0F34112A" w14:textId="2EAAB2FF" w:rsidR="00213BE3" w:rsidRPr="00FC04DA" w:rsidRDefault="00213BE3" w:rsidP="00E43BFB">
      <w:pPr>
        <w:pStyle w:val="NIHRCFootnotes0"/>
      </w:pPr>
      <w:r w:rsidRPr="00FC04DA">
        <w:rPr>
          <w:rStyle w:val="FootnoteReference"/>
        </w:rPr>
        <w:footnoteRef/>
      </w:r>
      <w:r w:rsidRPr="00FC04DA">
        <w:t xml:space="preserve"> </w:t>
      </w:r>
      <w:r w:rsidR="00A351C1">
        <w:t>Ibid</w:t>
      </w:r>
      <w:r w:rsidRPr="00FC04DA">
        <w:t>.</w:t>
      </w:r>
    </w:p>
  </w:footnote>
  <w:footnote w:id="162">
    <w:p w14:paraId="5B8325F6" w14:textId="7619C788" w:rsidR="00213BE3" w:rsidRPr="00FC04DA" w:rsidRDefault="00213BE3" w:rsidP="00E43BFB">
      <w:pPr>
        <w:pStyle w:val="NIHRCFootnotes0"/>
      </w:pPr>
      <w:r w:rsidRPr="00FC04DA">
        <w:rPr>
          <w:rStyle w:val="FootnoteReference"/>
        </w:rPr>
        <w:footnoteRef/>
      </w:r>
      <w:r w:rsidRPr="00FC04DA">
        <w:t xml:space="preserve"> </w:t>
      </w:r>
      <w:r w:rsidR="00A351C1">
        <w:t>Ibid.</w:t>
      </w:r>
    </w:p>
  </w:footnote>
  <w:footnote w:id="163">
    <w:p w14:paraId="515446ED" w14:textId="77777777" w:rsidR="00213BE3" w:rsidRPr="00FC04DA" w:rsidRDefault="00213BE3" w:rsidP="00E43BFB">
      <w:pPr>
        <w:pStyle w:val="NIHRCFootnotes0"/>
      </w:pPr>
      <w:r w:rsidRPr="00FC04DA">
        <w:rPr>
          <w:rStyle w:val="FootnoteReference"/>
        </w:rPr>
        <w:footnoteRef/>
      </w:r>
      <w:r w:rsidRPr="00FC04DA">
        <w:t xml:space="preserve"> Meeting between NI Human Rights Commission and civil society organisations, 25 July 2023.</w:t>
      </w:r>
    </w:p>
  </w:footnote>
  <w:footnote w:id="164">
    <w:p w14:paraId="2931D5E7" w14:textId="2232381E" w:rsidR="00213BE3" w:rsidRPr="00FC04DA" w:rsidRDefault="00213BE3" w:rsidP="00E43BFB">
      <w:pPr>
        <w:pStyle w:val="NIHRCFootnotes0"/>
      </w:pPr>
      <w:r w:rsidRPr="00FC04DA">
        <w:rPr>
          <w:rStyle w:val="FootnoteReference"/>
        </w:rPr>
        <w:footnoteRef/>
      </w:r>
      <w:r w:rsidRPr="00FC04DA">
        <w:t xml:space="preserve"> </w:t>
      </w:r>
      <w:r w:rsidR="00A351C1">
        <w:t>Ibid</w:t>
      </w:r>
      <w:r w:rsidRPr="00FC04DA">
        <w:t>.</w:t>
      </w:r>
    </w:p>
  </w:footnote>
  <w:footnote w:id="165">
    <w:p w14:paraId="77E7D6A8" w14:textId="77777777" w:rsidR="00213BE3" w:rsidRPr="00FC04DA" w:rsidRDefault="00213BE3" w:rsidP="00E43BFB">
      <w:pPr>
        <w:pStyle w:val="NIHRCFootnotes0"/>
      </w:pPr>
      <w:r w:rsidRPr="00FC04DA">
        <w:rPr>
          <w:rStyle w:val="FootnoteReference"/>
        </w:rPr>
        <w:footnoteRef/>
      </w:r>
      <w:r w:rsidRPr="00FC04DA">
        <w:t xml:space="preserve"> Health and Social Care Trusts in NI, Royal College of Obstetricians and Gynaecologists, the Royal College of Midwives and Royal College of Nursing were instructed to develop, review and appropriately revise their own guidance for abortion services in NI, which was to be disseminated to all staff. The Department of Health also directed that “appropriate training and support… [were] provided to all relevant staff”. </w:t>
      </w:r>
      <w:r w:rsidRPr="00FC04DA">
        <w:rPr>
          <w:i/>
          <w:iCs/>
        </w:rPr>
        <w:t>See</w:t>
      </w:r>
      <w:r w:rsidRPr="00FC04DA">
        <w:t xml:space="preserve"> Letter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66">
    <w:p w14:paraId="1422DFC6" w14:textId="0057E6C6" w:rsidR="00213BE3" w:rsidRPr="00FC04DA" w:rsidRDefault="00213BE3" w:rsidP="00E43BFB">
      <w:pPr>
        <w:pStyle w:val="NIHRCFootnotes0"/>
      </w:pPr>
      <w:r w:rsidRPr="00FC04DA">
        <w:rPr>
          <w:rStyle w:val="FootnoteReference"/>
        </w:rPr>
        <w:footnoteRef/>
      </w:r>
      <w:r w:rsidRPr="00FC04DA">
        <w:t xml:space="preserve"> </w:t>
      </w:r>
      <w:r w:rsidR="00AE68B4" w:rsidRPr="00FC04DA">
        <w:t xml:space="preserve">The Department of Health </w:t>
      </w:r>
      <w:r w:rsidR="00AD4E28" w:rsidRPr="00FC04DA">
        <w:t xml:space="preserve">is content that sufficient guidance already exists. </w:t>
      </w:r>
      <w:r w:rsidRPr="00FC04DA">
        <w:t xml:space="preserve">Each Trust in NI </w:t>
      </w:r>
      <w:r w:rsidR="00AD4E28" w:rsidRPr="00FC04DA">
        <w:t xml:space="preserve">has </w:t>
      </w:r>
      <w:r w:rsidRPr="00FC04DA">
        <w:t>provided</w:t>
      </w:r>
      <w:r w:rsidR="00AD4E28" w:rsidRPr="00FC04DA">
        <w:t xml:space="preserve"> </w:t>
      </w:r>
      <w:r w:rsidRPr="00FC04DA">
        <w:t xml:space="preserve">‘values clarification’ training. This training operated on an opt-in basis and was only offered as one cycle. This training operated on an opt-in basis and was only offered as one cycle. </w:t>
      </w:r>
      <w:r w:rsidRPr="00FC04DA">
        <w:rPr>
          <w:i/>
          <w:iCs/>
        </w:rPr>
        <w:t>See</w:t>
      </w:r>
      <w:r w:rsidRPr="00FC04DA">
        <w:t xml:space="preserve"> Meeting between NI Human Rights Commission and Department of Health, 19 July 2023; Meeting between NI Human Rights Commission and NI Office, 4 July 2023.</w:t>
      </w:r>
    </w:p>
  </w:footnote>
  <w:footnote w:id="167">
    <w:p w14:paraId="18EF6268" w14:textId="77777777" w:rsidR="00213BE3" w:rsidRPr="00FC04DA" w:rsidRDefault="00213BE3" w:rsidP="00E43BFB">
      <w:pPr>
        <w:pStyle w:val="NIHRCFootnotes0"/>
      </w:pPr>
      <w:r w:rsidRPr="00FC04DA">
        <w:rPr>
          <w:rStyle w:val="FootnoteReference"/>
        </w:rPr>
        <w:footnoteRef/>
      </w:r>
      <w:r w:rsidRPr="00FC04DA">
        <w:t xml:space="preserve"> Operationally, staff that apply for posts within abortion services all have a conscientious commitment to the provision of those services. Other staff that work in sexual and reproductive health are required to follow-up on complications from abortions and to direct patients to abortion services, even if they claim a conscientious objection to providing treatment. It is reliant on staff to express their conscientious objection to their line manager so that this can be accommodated. However, there have been reports of some pharmacists refusing to dispense early medical abortion medication to an abortion service in NI. It has also been reported that abortion services previously collapsed in a Trust area because the doctor providing the service was not provided with necessary administrative support due to other staff conscientiously objecting. See Meeting between NI Human Rights Commission and Informing Choices NI, 24 July 2023; Meeting between NI Human Rights Commission and civil society organisations, 25 July 2023; Email correspondence from Royal College of Nursing NI to NI Human Rights Commission, 19 July 2023.</w:t>
      </w:r>
    </w:p>
  </w:footnote>
  <w:footnote w:id="168">
    <w:p w14:paraId="5CA0C209" w14:textId="28D54C86" w:rsidR="00EC7330" w:rsidRPr="00FC04DA" w:rsidRDefault="00EC7330" w:rsidP="00E43BFB">
      <w:pPr>
        <w:pStyle w:val="NIHRCFootnotes0"/>
      </w:pPr>
      <w:r w:rsidRPr="00FC04DA">
        <w:rPr>
          <w:rStyle w:val="FootnoteReference"/>
        </w:rPr>
        <w:footnoteRef/>
      </w:r>
      <w:r w:rsidRPr="00FC04DA">
        <w:t xml:space="preserve"> </w:t>
      </w:r>
      <w:r w:rsidR="00123F00" w:rsidRPr="00FC04DA">
        <w:t>As of 31 March 2022, the Redress Board had received 2,566 applications relating to 4,104 residential placements covering 100 different institutions in NI</w:t>
      </w:r>
      <w:r w:rsidR="0071551C" w:rsidRPr="00FC04DA">
        <w:t>. As of 31 March 2022, determinations totalling £40.9 million have been made with 81 per cent of submitted applications considered by the panel</w:t>
      </w:r>
      <w:r w:rsidR="00123F00" w:rsidRPr="00FC04DA">
        <w:t>: Historical Institutional Abuse Redress Board, ‘Annual Report 2021-2022’ (HIARB, 2023), at 2.</w:t>
      </w:r>
    </w:p>
  </w:footnote>
  <w:footnote w:id="169">
    <w:p w14:paraId="714E7515" w14:textId="01E8C38D" w:rsidR="008C34A8" w:rsidRPr="00FC04DA" w:rsidRDefault="008C34A8" w:rsidP="00E43BFB">
      <w:pPr>
        <w:pStyle w:val="NIHRCFootnotes0"/>
      </w:pPr>
      <w:r w:rsidRPr="00FC04DA">
        <w:rPr>
          <w:rStyle w:val="FootnoteReference"/>
        </w:rPr>
        <w:footnoteRef/>
      </w:r>
      <w:r w:rsidRPr="00FC04DA">
        <w:t xml:space="preserve"> </w:t>
      </w:r>
      <w:r w:rsidR="002701C7" w:rsidRPr="00FC04DA">
        <w:t xml:space="preserve">Recent </w:t>
      </w:r>
      <w:r w:rsidR="001E39AB" w:rsidRPr="00FC04DA">
        <w:t>research found that</w:t>
      </w:r>
      <w:r w:rsidR="002701C7" w:rsidRPr="00FC04DA">
        <w:t>,</w:t>
      </w:r>
      <w:r w:rsidR="001E39AB" w:rsidRPr="00FC04DA">
        <w:t xml:space="preserve"> between 1922 and 1990</w:t>
      </w:r>
      <w:r w:rsidR="002701C7" w:rsidRPr="00FC04DA">
        <w:t xml:space="preserve"> in NI,</w:t>
      </w:r>
      <w:r w:rsidR="001E39AB" w:rsidRPr="00FC04DA">
        <w:t xml:space="preserve"> around 10,500 women were admitted to Mother</w:t>
      </w:r>
      <w:r w:rsidR="00AE2144" w:rsidRPr="00FC04DA">
        <w:t xml:space="preserve"> and Baby institutions and around 3,000 women were admitted to Magdalene Laundries. </w:t>
      </w:r>
      <w:r w:rsidR="002701C7" w:rsidRPr="00FC04DA">
        <w:t>T</w:t>
      </w:r>
      <w:r w:rsidR="00AE2144" w:rsidRPr="00FC04DA">
        <w:t>he last Mother and Baby institution closed in 1990 and the last Magdalene Laundry in 1984.</w:t>
      </w:r>
      <w:r w:rsidR="002701C7" w:rsidRPr="00FC04DA">
        <w:t xml:space="preserve"> </w:t>
      </w:r>
      <w:r w:rsidR="002701C7" w:rsidRPr="00FC04DA">
        <w:rPr>
          <w:i/>
        </w:rPr>
        <w:t>See</w:t>
      </w:r>
      <w:r w:rsidR="009D0616" w:rsidRPr="00FC04DA">
        <w:t xml:space="preserve"> Dr Leanne McCormick, Professor Sean O’Connell, Dr Olivia Dee, Dr John Privilege, ‘</w:t>
      </w:r>
      <w:r w:rsidR="003D45FC" w:rsidRPr="00FC04DA">
        <w:t>Mother and baby homes and Magdalene laundries in NI: report prepared for the inter-departmental working group’ (QUB and UUJ, 2021)</w:t>
      </w:r>
      <w:r w:rsidR="00356F33" w:rsidRPr="00FC04DA">
        <w:t>.</w:t>
      </w:r>
    </w:p>
  </w:footnote>
  <w:footnote w:id="170">
    <w:p w14:paraId="0AE2D327" w14:textId="77777777" w:rsidR="00F27A10" w:rsidRPr="00FC04DA" w:rsidRDefault="00F27A10" w:rsidP="00E43BFB">
      <w:pPr>
        <w:pStyle w:val="NIHRCFootnotes0"/>
      </w:pPr>
      <w:r w:rsidRPr="00FC04DA">
        <w:rPr>
          <w:rStyle w:val="FootnoteReference"/>
        </w:rPr>
        <w:footnoteRef/>
      </w:r>
      <w:r w:rsidRPr="00FC04DA">
        <w:t xml:space="preserve"> The Executive Office, ‘Press Release: Appointment of Truth Recovery Independent Panel’, 27 April 2023; Email correspondence from The Executive Office to the NI Human Rights Commission, 9 August 2023.</w:t>
      </w:r>
    </w:p>
  </w:footnote>
  <w:footnote w:id="171">
    <w:p w14:paraId="188E61C7" w14:textId="2D224EDB" w:rsidR="008F018D" w:rsidRPr="00FC04DA" w:rsidRDefault="008F018D" w:rsidP="00E43BFB">
      <w:pPr>
        <w:pStyle w:val="NIHRCFootnotes0"/>
      </w:pPr>
      <w:r w:rsidRPr="00FC04DA">
        <w:rPr>
          <w:rStyle w:val="FootnoteReference"/>
        </w:rPr>
        <w:footnoteRef/>
      </w:r>
      <w:r w:rsidRPr="00FC04DA">
        <w:t xml:space="preserve"> These are statistics for over the course of the year. </w:t>
      </w:r>
      <w:r w:rsidR="00552227" w:rsidRPr="00FC04DA">
        <w:t xml:space="preserve">NI only has one short-term holding facility for immigration and detainees called Larne House. </w:t>
      </w:r>
      <w:r w:rsidRPr="00FC04DA">
        <w:t xml:space="preserve">Larne House has the capacity to hold 19 men and women at one time. </w:t>
      </w:r>
      <w:r w:rsidRPr="00FC04DA">
        <w:rPr>
          <w:i/>
          <w:iCs/>
        </w:rPr>
        <w:t>See</w:t>
      </w:r>
      <w:r w:rsidRPr="00FC04DA">
        <w:t xml:space="preserve"> Home Office, ‘National Statistics: How Many People Are Detained or Returned’ (HO, 2023), at Table Det_02a.</w:t>
      </w:r>
    </w:p>
  </w:footnote>
  <w:footnote w:id="172">
    <w:p w14:paraId="01C5CA99" w14:textId="515457BD" w:rsidR="00E31B69" w:rsidRPr="00FC04DA" w:rsidRDefault="00E31B69" w:rsidP="00E43BFB">
      <w:pPr>
        <w:pStyle w:val="NIHRCFootnotes0"/>
      </w:pPr>
      <w:r w:rsidRPr="00FC04DA">
        <w:rPr>
          <w:rStyle w:val="FootnoteReference"/>
        </w:rPr>
        <w:footnoteRef/>
      </w:r>
      <w:r w:rsidRPr="00FC04DA">
        <w:t xml:space="preserve"> </w:t>
      </w:r>
      <w:r w:rsidR="00526A30" w:rsidRPr="00FC04DA">
        <w:t>Rule 35(3) of the Detention Centre Rules places an obligation on a medical practitioner to report to the manager of the Centre any detained person who they are concerned may have been the victim of torture.</w:t>
      </w:r>
    </w:p>
  </w:footnote>
  <w:footnote w:id="173">
    <w:p w14:paraId="1D4805B9" w14:textId="0BFB0219" w:rsidR="00943A8C" w:rsidRPr="00FC04DA" w:rsidRDefault="00943A8C" w:rsidP="00E43BFB">
      <w:pPr>
        <w:pStyle w:val="NIHRCFootnotes0"/>
      </w:pPr>
      <w:r w:rsidRPr="00FC04DA">
        <w:rPr>
          <w:rStyle w:val="FootnoteReference"/>
          <w:rFonts w:eastAsiaTheme="majorEastAsia"/>
        </w:rPr>
        <w:footnoteRef/>
      </w:r>
      <w:r w:rsidRPr="00FC04DA">
        <w:t xml:space="preserve"> </w:t>
      </w:r>
      <w:r w:rsidR="00B32556" w:rsidRPr="00FC04DA">
        <w:t xml:space="preserve">Meeting between NI Human Rights Commission and </w:t>
      </w:r>
      <w:r w:rsidR="000C1E0E" w:rsidRPr="00FC04DA">
        <w:t xml:space="preserve">civil society representatives, </w:t>
      </w:r>
      <w:r w:rsidR="0053716B" w:rsidRPr="00FC04DA">
        <w:t xml:space="preserve">19 December 2023; </w:t>
      </w:r>
      <w:r w:rsidRPr="00FC04DA">
        <w:t xml:space="preserve">Meeting between NI Human Rights Commission and civil society representatives, </w:t>
      </w:r>
      <w:r w:rsidR="000C1E0E" w:rsidRPr="00FC04DA">
        <w:t xml:space="preserve">8 </w:t>
      </w:r>
      <w:r w:rsidRPr="00FC04DA">
        <w:t>November 2018.</w:t>
      </w:r>
    </w:p>
  </w:footnote>
  <w:footnote w:id="174">
    <w:p w14:paraId="79BFC955" w14:textId="4CB3459E" w:rsidR="00E71AEA" w:rsidRPr="00FC04DA" w:rsidRDefault="00E71AEA" w:rsidP="00E43BFB">
      <w:pPr>
        <w:pStyle w:val="NIHRCFootnotes0"/>
      </w:pPr>
      <w:r w:rsidRPr="00FC04DA">
        <w:rPr>
          <w:rStyle w:val="FootnoteReference"/>
        </w:rPr>
        <w:footnoteRef/>
      </w:r>
      <w:r w:rsidRPr="00FC04DA">
        <w:t xml:space="preserve"> For each of the main sexual offence classifications of rape, sexual assault and sexual activity, there have been generally increasing trends between 2007/</w:t>
      </w:r>
      <w:r w:rsidR="00C16770">
        <w:t>20</w:t>
      </w:r>
      <w:r w:rsidRPr="00FC04DA">
        <w:t>08 and 2022/</w:t>
      </w:r>
      <w:r w:rsidR="00C16770">
        <w:t>20</w:t>
      </w:r>
      <w:r w:rsidRPr="00FC04DA">
        <w:t>23 where the victim was under 18 at the time the offence was committed. Rape recorded the highest number of offences in 2021/22 at 519 and sexual assaults reached the highest level in 2022/</w:t>
      </w:r>
      <w:r w:rsidR="00C16770">
        <w:t>20</w:t>
      </w:r>
      <w:r w:rsidRPr="00FC04DA">
        <w:t>23 at 1,087. See Police Service of NI, ‘Trends in Police Recorded Crime in Northern Ireland 1998/</w:t>
      </w:r>
      <w:r w:rsidR="00C16770">
        <w:t>19</w:t>
      </w:r>
      <w:r w:rsidRPr="00FC04DA">
        <w:t>99 to 2022/</w:t>
      </w:r>
      <w:r w:rsidR="00C16770">
        <w:t>20</w:t>
      </w:r>
      <w:r w:rsidRPr="00FC04DA">
        <w:t>23’ (PSNI, 2023).</w:t>
      </w:r>
    </w:p>
  </w:footnote>
  <w:footnote w:id="175">
    <w:p w14:paraId="7E590865" w14:textId="6B99415D" w:rsidR="007F6AAB" w:rsidRPr="00FC04DA" w:rsidRDefault="007F6AAB" w:rsidP="00E43BFB">
      <w:pPr>
        <w:pStyle w:val="NIHRCFootnotes0"/>
      </w:pPr>
      <w:r w:rsidRPr="00FC04DA">
        <w:rPr>
          <w:rStyle w:val="FootnoteReference"/>
        </w:rPr>
        <w:footnoteRef/>
      </w:r>
      <w:r w:rsidRPr="00FC04DA">
        <w:t xml:space="preserve"> </w:t>
      </w:r>
      <w:r w:rsidR="00DA2AF4" w:rsidRPr="00FC04DA">
        <w:t xml:space="preserve">In 2022/2023 there were four female victims per 1,000 of the population under 18. </w:t>
      </w:r>
      <w:r w:rsidR="001B4272" w:rsidRPr="00FC04DA">
        <w:t>See Police Service of NI, ‘Trends in Police Recorded Crime in Northern Ireland 1998/</w:t>
      </w:r>
      <w:r w:rsidR="00C16770">
        <w:t>19</w:t>
      </w:r>
      <w:r w:rsidR="001B4272" w:rsidRPr="00FC04DA">
        <w:t>99 to 2022/</w:t>
      </w:r>
      <w:r w:rsidR="00C16770">
        <w:t>20</w:t>
      </w:r>
      <w:r w:rsidR="001B4272" w:rsidRPr="00FC04DA">
        <w:t>23’ (PSNI, 2023).</w:t>
      </w:r>
    </w:p>
  </w:footnote>
  <w:footnote w:id="176">
    <w:p w14:paraId="5E47588C" w14:textId="4C3EAE6B" w:rsidR="00642C8B" w:rsidRPr="00FC04DA" w:rsidRDefault="00642C8B" w:rsidP="00E43BFB">
      <w:pPr>
        <w:pStyle w:val="NIHRCFootnotes0"/>
      </w:pPr>
      <w:r w:rsidRPr="00FC04DA">
        <w:rPr>
          <w:rStyle w:val="FootnoteReference"/>
        </w:rPr>
        <w:footnoteRef/>
      </w:r>
      <w:r w:rsidRPr="00FC04DA">
        <w:t xml:space="preserve"> </w:t>
      </w:r>
      <w:r w:rsidR="00EC08D7" w:rsidRPr="00FC04DA">
        <w:t>Criminal Justice Inspection NI, ‘Child Sexual Exploitation in NI: An Inspection of the Criminal Justice System’s Response’ (CJINI, 2020), at 80.</w:t>
      </w:r>
    </w:p>
  </w:footnote>
  <w:footnote w:id="177">
    <w:p w14:paraId="4C26459A" w14:textId="367D4928" w:rsidR="00EC08D7" w:rsidRPr="00FC04DA" w:rsidRDefault="00EC08D7" w:rsidP="00E43BFB">
      <w:pPr>
        <w:pStyle w:val="NIHRCFootnotes0"/>
      </w:pPr>
      <w:r w:rsidRPr="00FC04DA">
        <w:rPr>
          <w:rStyle w:val="FootnoteReference"/>
        </w:rPr>
        <w:footnoteRef/>
      </w:r>
      <w:r w:rsidRPr="00FC04DA">
        <w:t xml:space="preserve"> </w:t>
      </w:r>
      <w:r w:rsidR="00A351C1">
        <w:t>Ibid</w:t>
      </w:r>
      <w:r w:rsidRPr="00FC04DA">
        <w:t>.</w:t>
      </w:r>
    </w:p>
  </w:footnote>
  <w:footnote w:id="178">
    <w:p w14:paraId="3C818328" w14:textId="390D1113" w:rsidR="00251E02" w:rsidRPr="00FC04DA" w:rsidRDefault="00251E02" w:rsidP="00E43BFB">
      <w:pPr>
        <w:pStyle w:val="NIHRCFootnotes0"/>
      </w:pPr>
      <w:r w:rsidRPr="00FC04DA">
        <w:rPr>
          <w:rStyle w:val="FootnoteReference"/>
        </w:rPr>
        <w:footnoteRef/>
      </w:r>
      <w:r w:rsidRPr="00FC04DA">
        <w:t xml:space="preserve"> </w:t>
      </w:r>
      <w:r w:rsidR="00C16770">
        <w:t xml:space="preserve">Section 16, </w:t>
      </w:r>
      <w:r w:rsidR="001E141C" w:rsidRPr="00FC04DA">
        <w:t>Sexual Offences (NI) Order 2008.</w:t>
      </w:r>
    </w:p>
  </w:footnote>
  <w:footnote w:id="179">
    <w:p w14:paraId="026E1715" w14:textId="36A273FD" w:rsidR="008277B8" w:rsidRDefault="008277B8" w:rsidP="00E43BFB">
      <w:pPr>
        <w:pStyle w:val="NIHRCFootnotes0"/>
      </w:pPr>
      <w:r>
        <w:rPr>
          <w:rStyle w:val="FootnoteReference"/>
        </w:rPr>
        <w:footnoteRef/>
      </w:r>
      <w:r>
        <w:t xml:space="preserve"> </w:t>
      </w:r>
      <w:r w:rsidRPr="00654887">
        <w:t>Kathleen Marshall, 'Child Sexual Exploitation in NI: Report of the Independent Inquiry' (RQIA, 2014).</w:t>
      </w:r>
    </w:p>
  </w:footnote>
  <w:footnote w:id="180">
    <w:p w14:paraId="73115160" w14:textId="0E929C3B" w:rsidR="00307D95" w:rsidRPr="00FC04DA" w:rsidRDefault="00307D95" w:rsidP="00E43BFB">
      <w:pPr>
        <w:pStyle w:val="NIHRCFootnotes0"/>
      </w:pPr>
      <w:r w:rsidRPr="00FC04DA">
        <w:rPr>
          <w:rStyle w:val="FootnoteReference"/>
        </w:rPr>
        <w:footnoteRef/>
      </w:r>
      <w:r w:rsidRPr="00FC04DA">
        <w:t xml:space="preserve"> </w:t>
      </w:r>
      <w:r w:rsidR="00B03FFA" w:rsidRPr="00FC04DA">
        <w:t xml:space="preserve">The Justice (Sexual Offences and Trafficking Victims) Act (NI) 2022 made improvements to NI’s legislative framework. It includes provisions to create new offence of adults masquerading as children online; widen the scope and strengthen the current law on abuse of position of trust of a child; and remove terms such as ‘child prostitution’ and 'child pornography' from the Sexual Offences (NI) Order 2008. However, it </w:t>
      </w:r>
      <w:r w:rsidR="00AD27C6" w:rsidRPr="00FC04DA">
        <w:t>does not include provisions to reverse the burden of proof regarding the defence of reasonable belief</w:t>
      </w:r>
      <w:r w:rsidR="00947ADA" w:rsidRPr="00FC04DA">
        <w:t xml:space="preserve"> </w:t>
      </w:r>
      <w:r w:rsidR="00AD27C6" w:rsidRPr="00FC04DA">
        <w:t>as</w:t>
      </w:r>
      <w:r w:rsidR="00947ADA" w:rsidRPr="00FC04DA">
        <w:t>,</w:t>
      </w:r>
      <w:r w:rsidR="00AD27C6" w:rsidRPr="00FC04DA">
        <w:t xml:space="preserve"> </w:t>
      </w:r>
      <w:r w:rsidR="00947ADA" w:rsidRPr="00FC04DA">
        <w:t xml:space="preserve">during the consultation process, </w:t>
      </w:r>
      <w:r w:rsidR="00AD27C6" w:rsidRPr="00FC04DA">
        <w:t xml:space="preserve">legal practitioners raised concerns that it would erode the presumption of innocence and the right to a fair trial of the accused. </w:t>
      </w:r>
      <w:r w:rsidR="00AD27C6" w:rsidRPr="00FC04DA">
        <w:rPr>
          <w:i/>
        </w:rPr>
        <w:t>See</w:t>
      </w:r>
      <w:r w:rsidR="00AD27C6" w:rsidRPr="00FC04DA">
        <w:t xml:space="preserve"> </w:t>
      </w:r>
      <w:r w:rsidRPr="00FC04DA">
        <w:t>Department of Justice, ‘Review of the Law on Child Sexual Exploitation: Summary of Responses and Next Steps’ (DoJ, 2020), at</w:t>
      </w:r>
      <w:r w:rsidR="00E77743">
        <w:t xml:space="preserve"> paras</w:t>
      </w:r>
      <w:r w:rsidRPr="00FC04DA">
        <w:t xml:space="preserve"> 2.17-2.20.</w:t>
      </w:r>
    </w:p>
  </w:footnote>
  <w:footnote w:id="181">
    <w:p w14:paraId="03BE4705" w14:textId="2225CAE2" w:rsidR="00BA07E1" w:rsidRPr="00FC04DA" w:rsidRDefault="00BA07E1" w:rsidP="00E43BFB">
      <w:pPr>
        <w:pStyle w:val="NIHRCFootnotes0"/>
      </w:pPr>
      <w:r w:rsidRPr="00FC04DA">
        <w:rPr>
          <w:rStyle w:val="FootnoteReference"/>
        </w:rPr>
        <w:footnoteRef/>
      </w:r>
      <w:r w:rsidRPr="00FC04DA">
        <w:t xml:space="preserve"> </w:t>
      </w:r>
      <w:r w:rsidR="001E1C10" w:rsidRPr="00FC04DA">
        <w:t>NI Assembly Committee for Justice, ‘Report on the Justice (Sexual Offences and Trafficking Victims) Bill’ (2022), at 115.</w:t>
      </w:r>
    </w:p>
  </w:footnote>
  <w:footnote w:id="182">
    <w:p w14:paraId="203FB4DB" w14:textId="239F17AC" w:rsidR="004B091B" w:rsidRPr="00FC04DA" w:rsidRDefault="004B091B" w:rsidP="00E43BFB">
      <w:pPr>
        <w:pStyle w:val="NIHRCFootnotes0"/>
      </w:pPr>
      <w:r w:rsidRPr="00FC04DA">
        <w:rPr>
          <w:rStyle w:val="FootnoteReference"/>
        </w:rPr>
        <w:footnoteRef/>
      </w:r>
      <w:r w:rsidRPr="00FC04DA">
        <w:t xml:space="preserve"> </w:t>
      </w:r>
      <w:r w:rsidRPr="00A351C1">
        <w:rPr>
          <w:i/>
          <w:iCs/>
        </w:rPr>
        <w:t>See</w:t>
      </w:r>
      <w:r w:rsidRPr="00FC04DA">
        <w:t xml:space="preserve"> NI Human Rights Commission, ‘Response to Committee for Justice Call for Evidence on the Justice (Sexual Offences and Trafficking Victims) Bill’ (NIHRC, 2021); </w:t>
      </w:r>
      <w:r w:rsidR="00086124" w:rsidRPr="00FC04DA">
        <w:t>NI Human Rights Commission, ‘Submission to Department of Justice Consultation on the Draft Modern Slavery and Human Trafficking Strategy’ (NIHRC, 2023)</w:t>
      </w:r>
      <w:r w:rsidR="00D467CE" w:rsidRPr="00FC04DA">
        <w:t>.</w:t>
      </w:r>
    </w:p>
  </w:footnote>
  <w:footnote w:id="183">
    <w:p w14:paraId="1C995850" w14:textId="74EBD2AF" w:rsidR="003739FB" w:rsidRPr="00FC04DA" w:rsidRDefault="003739FB" w:rsidP="00E43BFB">
      <w:pPr>
        <w:pStyle w:val="NIHRCFootnotes0"/>
      </w:pPr>
      <w:r w:rsidRPr="00FC04DA">
        <w:rPr>
          <w:rStyle w:val="FootnoteReference"/>
        </w:rPr>
        <w:footnoteRef/>
      </w:r>
      <w:r w:rsidRPr="00FC04DA">
        <w:t xml:space="preserve"> NI Human Rights Commission, 'Submission to the UN Committee on the Rights of the Child 88th Session on the Sixth Periodic Report of the UK of Great Britain and NI on Compliance with the UN CRC (List of Issues)' (NIHRC, 2020).</w:t>
      </w:r>
    </w:p>
  </w:footnote>
  <w:footnote w:id="184">
    <w:p w14:paraId="5F4117D0" w14:textId="11D862D1" w:rsidR="008B4357" w:rsidRPr="00FC04DA" w:rsidRDefault="008B4357" w:rsidP="00E43BFB">
      <w:pPr>
        <w:pStyle w:val="NIHRCFootnotes0"/>
      </w:pPr>
      <w:r w:rsidRPr="00FC04DA">
        <w:rPr>
          <w:rStyle w:val="FootnoteReference"/>
        </w:rPr>
        <w:footnoteRef/>
      </w:r>
      <w:r w:rsidRPr="00FC04DA">
        <w:t xml:space="preserve"> </w:t>
      </w:r>
      <w:r w:rsidR="00C5080E" w:rsidRPr="00FC04DA">
        <w:rPr>
          <w:rFonts w:eastAsia="Calibri" w:cs="Times New Roman"/>
          <w:szCs w:val="24"/>
        </w:rPr>
        <w:t xml:space="preserve">Of these occurrences, 2,923 reports were from residential children’s homes, relating to 166 individual children. </w:t>
      </w:r>
      <w:r w:rsidR="00C5080E" w:rsidRPr="00FC04DA">
        <w:rPr>
          <w:rFonts w:eastAsia="Calibri" w:cs="Times New Roman"/>
          <w:i/>
          <w:iCs/>
          <w:szCs w:val="24"/>
        </w:rPr>
        <w:t>See</w:t>
      </w:r>
      <w:r w:rsidR="00C5080E" w:rsidRPr="00FC04DA">
        <w:rPr>
          <w:rFonts w:eastAsia="Calibri" w:cs="Times New Roman"/>
          <w:szCs w:val="24"/>
        </w:rPr>
        <w:t xml:space="preserve"> </w:t>
      </w:r>
      <w:r w:rsidRPr="00FC04DA">
        <w:t>Email correspondence from Police Service of NI to NI Human Rights Commission, 5 July 2023.</w:t>
      </w:r>
    </w:p>
  </w:footnote>
  <w:footnote w:id="185">
    <w:p w14:paraId="3D00F972" w14:textId="77777777" w:rsidR="00E9313E" w:rsidRPr="00FC04DA" w:rsidRDefault="00E9313E" w:rsidP="00E43BFB">
      <w:pPr>
        <w:pStyle w:val="NIHRCFootnotes0"/>
      </w:pPr>
      <w:r w:rsidRPr="00FC04DA">
        <w:rPr>
          <w:rStyle w:val="FootnoteReference"/>
          <w:rFonts w:eastAsia="Yu Gothic Light"/>
        </w:rPr>
        <w:footnoteRef/>
      </w:r>
      <w:r w:rsidRPr="00FC04DA">
        <w:t xml:space="preserve"> NI Human Rights Commission, 'Submission to the UN Committee on the Rights of the Child 88th Session on the Sixth Periodic Report of the UK of Great Britain and NI on Compliance with the UN CRC (List of Issues)' (NIHRC, 2020); Safeguarding Board for NI, ‘Getting Focused and Staying Focused, Looked After Children, Going Missing, and Child Sexual Exploitation – A Thematic Review’ (QUB, 2015), at 25.</w:t>
      </w:r>
    </w:p>
  </w:footnote>
  <w:footnote w:id="186">
    <w:p w14:paraId="342550E3" w14:textId="77777777" w:rsidR="008B4357" w:rsidRPr="00FC04DA" w:rsidRDefault="008B4357" w:rsidP="00E43BFB">
      <w:pPr>
        <w:pStyle w:val="NIHRCFootnotes0"/>
      </w:pPr>
      <w:r w:rsidRPr="00FC04DA">
        <w:rPr>
          <w:rStyle w:val="FootnoteReference"/>
        </w:rPr>
        <w:footnoteRef/>
      </w:r>
      <w:r w:rsidRPr="00FC04DA">
        <w:t xml:space="preserve"> Police Service of NI and Department of Health, ‘Interface Protocol between Health and Social Care Trusts and Police Service of NI: Where a Child is Reported Missing and Other Police Interactions with Residential Children’s Homes’ (PSNI and DoH, 2023). </w:t>
      </w:r>
    </w:p>
  </w:footnote>
  <w:footnote w:id="187">
    <w:p w14:paraId="1CA5C110" w14:textId="5667396F" w:rsidR="008B4357" w:rsidRPr="00FC04DA" w:rsidRDefault="008B4357" w:rsidP="00E43BFB">
      <w:pPr>
        <w:pStyle w:val="NIHRCFootnotes0"/>
      </w:pPr>
      <w:r w:rsidRPr="00FC04DA">
        <w:rPr>
          <w:rStyle w:val="FootnoteReference"/>
        </w:rPr>
        <w:footnoteRef/>
      </w:r>
      <w:r w:rsidRPr="00FC04DA">
        <w:t xml:space="preserve"> </w:t>
      </w:r>
      <w:r w:rsidR="008051BE" w:rsidRPr="00FC04DA">
        <w:t xml:space="preserve">These meetings are between the Police Service of NI and the Health and Social Care Trusts in NI. </w:t>
      </w:r>
      <w:r w:rsidR="008051BE" w:rsidRPr="00FC04DA">
        <w:rPr>
          <w:i/>
          <w:iCs/>
        </w:rPr>
        <w:t xml:space="preserve">See </w:t>
      </w:r>
      <w:r w:rsidRPr="00FC04DA">
        <w:t>Email correspondence from Police Service of NI to NI Human Rights Commission, 5 July 2023.</w:t>
      </w:r>
    </w:p>
  </w:footnote>
  <w:footnote w:id="188">
    <w:p w14:paraId="15ED6D8E" w14:textId="0673D35B" w:rsidR="00CC108F" w:rsidRPr="00FC04DA" w:rsidRDefault="00CC108F" w:rsidP="00E43BFB">
      <w:pPr>
        <w:pStyle w:val="NIHRCFootnotes0"/>
      </w:pPr>
      <w:r w:rsidRPr="00FC04DA">
        <w:rPr>
          <w:rStyle w:val="FootnoteReference"/>
        </w:rPr>
        <w:footnoteRef/>
      </w:r>
      <w:r w:rsidRPr="00FC04DA">
        <w:t xml:space="preserve"> </w:t>
      </w:r>
      <w:r w:rsidR="00B676B9" w:rsidRPr="00FC04DA">
        <w:rPr>
          <w:rStyle w:val="normaltextrun"/>
          <w:shd w:val="clear" w:color="auto" w:fill="FFFFFF"/>
        </w:rPr>
        <w:t>Home Office, 'Modern Slavery: National Referral Mechanism and Duty to Notify Statistics UK, End of Year Summary 2022: Data Tables' (HO, 2023), at Table 3.</w:t>
      </w:r>
    </w:p>
  </w:footnote>
  <w:footnote w:id="189">
    <w:p w14:paraId="290BAF17" w14:textId="18FFE9E6" w:rsidR="00B676B9" w:rsidRPr="00FC04DA" w:rsidRDefault="00B676B9" w:rsidP="00E43BFB">
      <w:pPr>
        <w:pStyle w:val="NIHRCFootnotes0"/>
      </w:pPr>
      <w:r w:rsidRPr="00FC04DA">
        <w:rPr>
          <w:rStyle w:val="FootnoteReference"/>
        </w:rPr>
        <w:footnoteRef/>
      </w:r>
      <w:r w:rsidRPr="00FC04DA">
        <w:t xml:space="preserve"> </w:t>
      </w:r>
      <w:r w:rsidR="005B5B3F">
        <w:t>Ibid</w:t>
      </w:r>
      <w:r w:rsidRPr="00FC04DA">
        <w:rPr>
          <w:rStyle w:val="normaltextrun"/>
          <w:shd w:val="clear" w:color="auto" w:fill="FFFFFF"/>
        </w:rPr>
        <w:t>.</w:t>
      </w:r>
    </w:p>
  </w:footnote>
  <w:footnote w:id="190">
    <w:p w14:paraId="6F3716A6" w14:textId="77777777" w:rsidR="009C5DA1" w:rsidRPr="00FC04DA" w:rsidRDefault="009C5DA1" w:rsidP="00E43BFB">
      <w:pPr>
        <w:pStyle w:val="NIHRCFootnotes0"/>
      </w:pPr>
      <w:r w:rsidRPr="00FC04DA">
        <w:rPr>
          <w:rStyle w:val="FootnoteReference"/>
        </w:rPr>
        <w:footnoteRef/>
      </w:r>
      <w:r w:rsidRPr="00FC04DA">
        <w:t xml:space="preserve"> Sections 22-29, Illegal Migration Act 2023. </w:t>
      </w:r>
      <w:r w:rsidRPr="00FC04DA">
        <w:rPr>
          <w:i/>
          <w:iCs/>
        </w:rPr>
        <w:t>See</w:t>
      </w:r>
      <w:r w:rsidRPr="00FC04DA">
        <w:t xml:space="preserve"> NI Human Rights Commission, ‘Submission to Joint Committee on Human Rights Inquiry on Illegal Migration Bill’ (NIHRC, 2023); NI Human Rights Commission, ‘Submission to House of Lords on the Illegal Migration Bill’ (NIHRC, 2023).</w:t>
      </w:r>
    </w:p>
  </w:footnote>
  <w:footnote w:id="191">
    <w:p w14:paraId="0FA1A9B6" w14:textId="77777777" w:rsidR="00F85050" w:rsidRPr="00FC04DA" w:rsidRDefault="00F85050" w:rsidP="00E43BFB">
      <w:pPr>
        <w:pStyle w:val="NIHRCFootnotes0"/>
      </w:pPr>
      <w:r w:rsidRPr="00FC04DA">
        <w:rPr>
          <w:rStyle w:val="FootnoteReference"/>
        </w:rPr>
        <w:footnoteRef/>
      </w:r>
      <w:r w:rsidRPr="00FC04DA">
        <w:t xml:space="preserve"> A scheduled High Court hearing is set in January 2024.</w:t>
      </w:r>
    </w:p>
  </w:footnote>
  <w:footnote w:id="192">
    <w:p w14:paraId="68B73C0F" w14:textId="2610A62B" w:rsidR="00493C00" w:rsidRPr="00FC04DA" w:rsidRDefault="00493C00" w:rsidP="00E43BFB">
      <w:pPr>
        <w:pStyle w:val="NIHRCFootnotes0"/>
      </w:pPr>
      <w:r w:rsidRPr="00FC04DA">
        <w:rPr>
          <w:rStyle w:val="FootnoteReference"/>
        </w:rPr>
        <w:footnoteRef/>
      </w:r>
      <w:r w:rsidRPr="00FC04DA">
        <w:t xml:space="preserve"> </w:t>
      </w:r>
      <w:r w:rsidR="004B3581" w:rsidRPr="00FC04DA">
        <w:t>F</w:t>
      </w:r>
      <w:r w:rsidR="004246F9" w:rsidRPr="00FC04DA">
        <w:t>or further detail, see NI Human Rights Commission, ‘Submission to House of Lords on the Illegal Migration Bill’ (NIHRC, 2023)</w:t>
      </w:r>
      <w:r w:rsidRPr="00FC04DA">
        <w:t>.</w:t>
      </w:r>
    </w:p>
  </w:footnote>
  <w:footnote w:id="193">
    <w:p w14:paraId="21134119" w14:textId="6AFF3AB6" w:rsidR="00C13EEB" w:rsidRPr="00FC04DA" w:rsidRDefault="00C13EEB" w:rsidP="00E43BFB">
      <w:pPr>
        <w:pStyle w:val="NIHRCFootnotes0"/>
        <w:rPr>
          <w:rFonts w:cstheme="minorHAnsi"/>
        </w:rPr>
      </w:pPr>
      <w:r w:rsidRPr="00FC04DA">
        <w:rPr>
          <w:rStyle w:val="FootnoteReference"/>
          <w:rFonts w:cstheme="minorHAnsi"/>
        </w:rPr>
        <w:footnoteRef/>
      </w:r>
      <w:r w:rsidRPr="00FC04DA">
        <w:rPr>
          <w:rFonts w:cstheme="minorHAnsi"/>
        </w:rPr>
        <w:t xml:space="preserve"> </w:t>
      </w:r>
      <w:r w:rsidR="00D170EE" w:rsidRPr="00FC04DA">
        <w:rPr>
          <w:rStyle w:val="normaltextrun"/>
          <w:shd w:val="clear" w:color="auto" w:fill="FFFFFF"/>
        </w:rPr>
        <w:t xml:space="preserve">In 2022, the Department of Justice consulted on its three-year strategy on Modern Slavery and Human Trafficking, which sought to operationalise the measures brought in under the Justice (Sexual Offences and Trafficking Victims) Act (NI) 2022. </w:t>
      </w:r>
      <w:r w:rsidR="00A9703A" w:rsidRPr="00FC04DA">
        <w:rPr>
          <w:rStyle w:val="normaltextrun"/>
          <w:shd w:val="clear" w:color="auto" w:fill="FFFFFF"/>
        </w:rPr>
        <w:t xml:space="preserve">As part of this consultation on a range of tools to tackle modern slavery and human trafficking, the Department of Justice sought views on the use of Slavery and Trafficking Risk Orders. </w:t>
      </w:r>
      <w:r w:rsidR="00A9703A" w:rsidRPr="00FC04DA">
        <w:rPr>
          <w:rStyle w:val="normaltextrun"/>
          <w:i/>
          <w:iCs/>
          <w:shd w:val="clear" w:color="auto" w:fill="FFFFFF"/>
        </w:rPr>
        <w:t>See</w:t>
      </w:r>
      <w:r w:rsidR="00A9703A" w:rsidRPr="00FC04DA">
        <w:rPr>
          <w:rStyle w:val="normaltextrun"/>
          <w:shd w:val="clear" w:color="auto" w:fill="FFFFFF"/>
        </w:rPr>
        <w:t xml:space="preserve"> </w:t>
      </w:r>
      <w:r w:rsidRPr="00FC04DA">
        <w:rPr>
          <w:rFonts w:cstheme="minorHAnsi"/>
        </w:rPr>
        <w:t>Department of Justice, ‘NI Draft Modern Slavery and Human Trafficking Strategy: Consultation’ (DoJ, 2022).</w:t>
      </w:r>
    </w:p>
  </w:footnote>
  <w:footnote w:id="194">
    <w:p w14:paraId="319F230D" w14:textId="3260FD69" w:rsidR="008B4357" w:rsidRPr="00FC04DA" w:rsidRDefault="008B4357" w:rsidP="00E43BFB">
      <w:pPr>
        <w:pStyle w:val="NIHRCFootnotes0"/>
      </w:pPr>
      <w:r w:rsidRPr="00FC04DA">
        <w:rPr>
          <w:rStyle w:val="FootnoteReference"/>
        </w:rPr>
        <w:footnoteRef/>
      </w:r>
      <w:r w:rsidRPr="00FC04DA">
        <w:t xml:space="preserve"> Department of Justice, ‘Draft Modern Slavery and Human Trafficking Strategy’ (DoJ, 2022), at 24.</w:t>
      </w:r>
    </w:p>
  </w:footnote>
  <w:footnote w:id="195">
    <w:p w14:paraId="20E4ADD8" w14:textId="77777777" w:rsidR="007F3C64" w:rsidRPr="00FC04DA" w:rsidRDefault="007F3C64" w:rsidP="00E43BFB">
      <w:pPr>
        <w:pStyle w:val="NIHRCFootnotes0"/>
      </w:pPr>
      <w:r w:rsidRPr="00FC04DA">
        <w:rPr>
          <w:rStyle w:val="FootnoteReference"/>
        </w:rPr>
        <w:footnoteRef/>
      </w:r>
      <w:r w:rsidRPr="00FC04DA">
        <w:t xml:space="preserve"> NI Human Rights Commission, ‘Parliamentary Briefing Paper on Counter-Terrorism and Border Security Bill’ (NIHRC, 2018); House of Commons and House of Lords Joint Committee on Human Rights, ‘Ten Clauses Government Must Change in Counter-Terrorism and Border Security Bill’ (JCHR, 2018).</w:t>
      </w:r>
    </w:p>
  </w:footnote>
  <w:footnote w:id="196">
    <w:p w14:paraId="0B8C8FEF" w14:textId="6587F1EB" w:rsidR="00E92B96" w:rsidRPr="00FC04DA" w:rsidRDefault="00E92B96" w:rsidP="00E43BFB">
      <w:pPr>
        <w:pStyle w:val="NIHRCFootnotes0"/>
      </w:pPr>
      <w:r w:rsidRPr="00FC04DA">
        <w:rPr>
          <w:rStyle w:val="FootnoteReference"/>
        </w:rPr>
        <w:footnoteRef/>
      </w:r>
      <w:r w:rsidRPr="00FC04DA">
        <w:t xml:space="preserve"> </w:t>
      </w:r>
      <w:r w:rsidR="005B5B3F">
        <w:t>Ibid</w:t>
      </w:r>
      <w:r w:rsidRPr="00FC04DA">
        <w:t>.</w:t>
      </w:r>
    </w:p>
  </w:footnote>
  <w:footnote w:id="197">
    <w:p w14:paraId="53B32A27" w14:textId="77777777" w:rsidR="00C01ADB" w:rsidRPr="00FC04DA" w:rsidRDefault="00C01ADB" w:rsidP="00E43BFB">
      <w:pPr>
        <w:pStyle w:val="NIHRCFootnotes0"/>
      </w:pPr>
      <w:r w:rsidRPr="00FC04DA">
        <w:rPr>
          <w:rStyle w:val="FootnoteReference"/>
        </w:rPr>
        <w:footnoteRef/>
      </w:r>
      <w:r w:rsidRPr="00FC04DA">
        <w:t xml:space="preserve"> Section 89, National Security Bill 2023; Section 11, Terrorism (Protection of Premises) Bill 2023.</w:t>
      </w:r>
    </w:p>
  </w:footnote>
  <w:footnote w:id="198">
    <w:p w14:paraId="14024D0B" w14:textId="69B6DAFF" w:rsidR="00A624FB" w:rsidRPr="00FC04DA" w:rsidRDefault="00A624FB" w:rsidP="00E43BFB">
      <w:pPr>
        <w:pStyle w:val="NIHRCFootnotes0"/>
      </w:pPr>
      <w:r w:rsidRPr="00FC04DA">
        <w:rPr>
          <w:rStyle w:val="FootnoteReference"/>
        </w:rPr>
        <w:footnoteRef/>
      </w:r>
      <w:r w:rsidRPr="00FC04DA">
        <w:t xml:space="preserve"> </w:t>
      </w:r>
      <w:r w:rsidR="0072481B" w:rsidRPr="00FC04DA">
        <w:t>CCPR/C/GBR/CO/7, ‘UN Human Rights Committee Concluding observations on the seventh periodic report of the UK of Great Britain and NI’, 17 August 2015, at para 14(a).</w:t>
      </w:r>
    </w:p>
  </w:footnote>
  <w:footnote w:id="199">
    <w:p w14:paraId="40684CF6" w14:textId="03528D12" w:rsidR="00E659AC" w:rsidRPr="00FC04DA" w:rsidRDefault="00E659AC" w:rsidP="00E43BFB">
      <w:pPr>
        <w:pStyle w:val="NIHRCFootnotes0"/>
      </w:pPr>
      <w:r w:rsidRPr="00FC04DA">
        <w:rPr>
          <w:rStyle w:val="FootnoteReference"/>
        </w:rPr>
        <w:footnoteRef/>
      </w:r>
      <w:r w:rsidRPr="00FC04DA">
        <w:t xml:space="preserve"> </w:t>
      </w:r>
      <w:r w:rsidR="002B4F96" w:rsidRPr="00FC04DA">
        <w:t xml:space="preserve">It is acknowledged that “embedded within the Terrorism Act 2000’s definition of terrorism is a type of terrorist action that would neatly fit a terrorist cyberattack”. </w:t>
      </w:r>
      <w:r w:rsidR="002B4F96" w:rsidRPr="00FC04DA">
        <w:rPr>
          <w:i/>
          <w:iCs/>
        </w:rPr>
        <w:t>See</w:t>
      </w:r>
      <w:r w:rsidR="002B4F96" w:rsidRPr="00FC04DA">
        <w:t xml:space="preserve"> </w:t>
      </w:r>
      <w:r w:rsidRPr="00FC04DA">
        <w:t xml:space="preserve">Jonathan Hall KC, ‘The Terrorism Acts in 2021 - Report of the Independent Reviewer of Terrorism Legislation on the Operation of the Terrorism Acts 2000 and 2006 and The Terrorism Prevention and Investigation Measures Act’ (IRTL, 2020), at para 1.4. </w:t>
      </w:r>
    </w:p>
  </w:footnote>
  <w:footnote w:id="200">
    <w:p w14:paraId="7A737D9F" w14:textId="77777777" w:rsidR="00603E3E" w:rsidRPr="00FC04DA" w:rsidRDefault="00603E3E" w:rsidP="00E43BFB">
      <w:pPr>
        <w:pStyle w:val="NIHRCFootnotes0"/>
      </w:pPr>
      <w:r w:rsidRPr="00FC04DA">
        <w:rPr>
          <w:rStyle w:val="FootnoteReference"/>
        </w:rPr>
        <w:footnoteRef/>
      </w:r>
      <w:r w:rsidRPr="00FC04DA">
        <w:rPr>
          <w:vertAlign w:val="superscript"/>
        </w:rPr>
        <w:t xml:space="preserve"> </w:t>
      </w:r>
      <w:r w:rsidRPr="00FC04DA">
        <w:t>CCPR/C/GBR/CO/7, ‘UN Human Rights Committee Concluding Observations on the Seventh Periodic Report of the United Kingdom of Great Britain and Northern Ireland’, 17 August 2015, para 14.</w:t>
      </w:r>
    </w:p>
  </w:footnote>
  <w:footnote w:id="201">
    <w:p w14:paraId="48BB801B" w14:textId="77777777" w:rsidR="006B20BD" w:rsidRPr="00FC04DA" w:rsidRDefault="006B20BD" w:rsidP="00E43BFB">
      <w:pPr>
        <w:pStyle w:val="NIHRCFootnotes0"/>
      </w:pPr>
      <w:r w:rsidRPr="00FC04DA">
        <w:rPr>
          <w:rStyle w:val="FootnoteReference"/>
        </w:rPr>
        <w:footnoteRef/>
      </w:r>
      <w:r w:rsidRPr="00FC04DA">
        <w:t xml:space="preserve"> Jonathan Hall KC, 'The Terrorism Acts in 2019: Report of the Independent Reviewer of Terrorism Legislation on the Operation of the Terrorism Acts 2000 and 2006' (IRTL, 2021), at para 5.4.</w:t>
      </w:r>
    </w:p>
  </w:footnote>
  <w:footnote w:id="202">
    <w:p w14:paraId="6AED42E4" w14:textId="77C6A78C" w:rsidR="000A1D0A" w:rsidRPr="00FC04DA" w:rsidRDefault="000A1D0A" w:rsidP="00E43BFB">
      <w:pPr>
        <w:pStyle w:val="NIHRCFootnotes0"/>
      </w:pPr>
      <w:r w:rsidRPr="00FC04DA">
        <w:rPr>
          <w:rStyle w:val="FootnoteReference"/>
        </w:rPr>
        <w:footnoteRef/>
      </w:r>
      <w:r w:rsidRPr="00FC04DA">
        <w:t xml:space="preserve"> </w:t>
      </w:r>
      <w:r w:rsidR="00FD161E" w:rsidRPr="00FC04DA">
        <w:t xml:space="preserve">This is a decrease from 126 in 2021/2022. </w:t>
      </w:r>
      <w:r w:rsidR="00FD161E" w:rsidRPr="00FC04DA">
        <w:rPr>
          <w:i/>
        </w:rPr>
        <w:t>See</w:t>
      </w:r>
      <w:r w:rsidRPr="00FC04DA">
        <w:t xml:space="preserve"> Police Service of NI, ‘Police Recorded Security Situation Statistics: 1 July 2022 to 30 June 2023’ (PSNI, 2023). </w:t>
      </w:r>
    </w:p>
  </w:footnote>
  <w:footnote w:id="203">
    <w:p w14:paraId="2B2C1C57" w14:textId="3AA2F530" w:rsidR="000A1D0A" w:rsidRPr="00FC04DA" w:rsidRDefault="000A1D0A" w:rsidP="00E43BFB">
      <w:pPr>
        <w:pStyle w:val="NIHRCFootnotes0"/>
      </w:pPr>
      <w:r w:rsidRPr="00FC04DA">
        <w:rPr>
          <w:rStyle w:val="FootnoteReference"/>
        </w:rPr>
        <w:footnoteRef/>
      </w:r>
      <w:r w:rsidRPr="00FC04DA">
        <w:t xml:space="preserve"> </w:t>
      </w:r>
      <w:r w:rsidR="006B20BD" w:rsidRPr="00FC04DA">
        <w:t xml:space="preserve">This is an increase from 111 in 2021/2022. </w:t>
      </w:r>
      <w:r w:rsidR="006B20BD" w:rsidRPr="00FC04DA">
        <w:rPr>
          <w:i/>
        </w:rPr>
        <w:t>See</w:t>
      </w:r>
      <w:r w:rsidRPr="00FC04DA">
        <w:t xml:space="preserve"> Police Service of NI, ‘Police Recorded Security Situation Statistics: 1 July 2022 to 30 June 2023’ (PSNI, 2023).</w:t>
      </w:r>
    </w:p>
  </w:footnote>
  <w:footnote w:id="204">
    <w:p w14:paraId="23E76CB6" w14:textId="48D54243" w:rsidR="000A1D0A" w:rsidRPr="00FC04DA" w:rsidRDefault="000A1D0A" w:rsidP="00E43BFB">
      <w:pPr>
        <w:pStyle w:val="NIHRCFootnotes0"/>
      </w:pPr>
      <w:r w:rsidRPr="00FC04DA">
        <w:rPr>
          <w:vertAlign w:val="superscript"/>
        </w:rPr>
        <w:footnoteRef/>
      </w:r>
      <w:r w:rsidRPr="00FC04DA">
        <w:rPr>
          <w:vertAlign w:val="superscript"/>
        </w:rPr>
        <w:t xml:space="preserve"> </w:t>
      </w:r>
      <w:r w:rsidR="00A07B3C" w:rsidRPr="00FC04DA">
        <w:t>This is an</w:t>
      </w:r>
      <w:r w:rsidR="00191B3F" w:rsidRPr="00FC04DA">
        <w:t xml:space="preserve"> increase from 85 in 2021/2022.</w:t>
      </w:r>
      <w:r w:rsidRPr="00FC04DA">
        <w:t xml:space="preserve"> </w:t>
      </w:r>
      <w:r w:rsidR="00380A9D" w:rsidRPr="00FC04DA">
        <w:rPr>
          <w:i/>
        </w:rPr>
        <w:t>See</w:t>
      </w:r>
      <w:r w:rsidR="00380A9D" w:rsidRPr="00FC04DA">
        <w:t xml:space="preserve"> </w:t>
      </w:r>
      <w:r w:rsidRPr="00FC04DA">
        <w:t xml:space="preserve">Department of Justice, ‘Press Release: The NI Prison Population 2022/2023’, 26 October 2023. </w:t>
      </w:r>
    </w:p>
  </w:footnote>
  <w:footnote w:id="205">
    <w:p w14:paraId="00424721" w14:textId="7208BCF2" w:rsidR="000A1D0A" w:rsidRPr="00FC04DA" w:rsidRDefault="000A1D0A" w:rsidP="00E43BFB">
      <w:pPr>
        <w:pStyle w:val="NIHRCFootnotes0"/>
      </w:pPr>
      <w:r w:rsidRPr="00FC04DA">
        <w:rPr>
          <w:vertAlign w:val="superscript"/>
        </w:rPr>
        <w:footnoteRef/>
      </w:r>
      <w:r w:rsidRPr="00FC04DA">
        <w:rPr>
          <w:vertAlign w:val="superscript"/>
        </w:rPr>
        <w:t xml:space="preserve"> </w:t>
      </w:r>
      <w:r w:rsidR="00AC5227" w:rsidRPr="00FC04DA">
        <w:t>Figures for unsecured debt indicate that adults in NI owe £3,990 on average and adults with debts owe an average of £10,730.</w:t>
      </w:r>
      <w:r w:rsidR="00AC5227" w:rsidRPr="00FC04DA">
        <w:rPr>
          <w:i/>
        </w:rPr>
        <w:t xml:space="preserve"> See</w:t>
      </w:r>
      <w:r w:rsidR="00AC5227" w:rsidRPr="00FC04DA">
        <w:t xml:space="preserve"> </w:t>
      </w:r>
      <w:r w:rsidRPr="00FC04DA">
        <w:t>Financial Conduct Authority, ‘Key findings from the FCA’s Financial Lives Survey 2017’ (FCA, 2018).</w:t>
      </w:r>
    </w:p>
  </w:footnote>
  <w:footnote w:id="206">
    <w:p w14:paraId="719BDF43" w14:textId="4B0109B9" w:rsidR="006442DF" w:rsidRPr="00FC04DA" w:rsidRDefault="006442DF" w:rsidP="00E43BFB">
      <w:pPr>
        <w:pStyle w:val="NIHRCFootnotes0"/>
      </w:pPr>
      <w:r w:rsidRPr="00FC04DA">
        <w:rPr>
          <w:rStyle w:val="FootnoteReference"/>
        </w:rPr>
        <w:footnoteRef/>
      </w:r>
      <w:r w:rsidRPr="00FC04DA">
        <w:t xml:space="preserve"> The increase in the cost of living for essentials such as food and energy is putting further strain on household budgets. </w:t>
      </w:r>
      <w:r w:rsidRPr="00FC04DA">
        <w:rPr>
          <w:i/>
        </w:rPr>
        <w:t>See</w:t>
      </w:r>
      <w:r w:rsidRPr="00FC04DA">
        <w:t xml:space="preserve"> Women’s Regional Consortium, ‘Women Living with Debt’ (WRC, 2022), at 5.</w:t>
      </w:r>
    </w:p>
  </w:footnote>
  <w:footnote w:id="207">
    <w:p w14:paraId="10BC1057" w14:textId="77777777" w:rsidR="006B712B" w:rsidRPr="00FC04DA" w:rsidRDefault="006B712B" w:rsidP="00E43BFB">
      <w:pPr>
        <w:pStyle w:val="NIHRCFootnotes0"/>
      </w:pPr>
      <w:r w:rsidRPr="00FC04DA">
        <w:rPr>
          <w:rStyle w:val="FootnoteReference"/>
        </w:rPr>
        <w:footnoteRef/>
      </w:r>
      <w:r w:rsidRPr="00FC04DA">
        <w:t xml:space="preserve"> </w:t>
      </w:r>
      <w:r w:rsidRPr="00FC04DA">
        <w:rPr>
          <w:rFonts w:eastAsia="Verdana" w:cs="Verdana"/>
        </w:rPr>
        <w:t>Justice (2016 Act) (Commencement No.2) Order (NI) 2018.</w:t>
      </w:r>
    </w:p>
  </w:footnote>
  <w:footnote w:id="208">
    <w:p w14:paraId="02259C44" w14:textId="71B7F193" w:rsidR="000A1D0A" w:rsidRPr="00FC04DA" w:rsidRDefault="000A1D0A" w:rsidP="00E43BFB">
      <w:pPr>
        <w:pStyle w:val="NIHRCFootnotes0"/>
      </w:pPr>
      <w:r w:rsidRPr="00FC04DA">
        <w:rPr>
          <w:rStyle w:val="FootnoteReference"/>
        </w:rPr>
        <w:footnoteRef/>
      </w:r>
      <w:r w:rsidRPr="00FC04DA">
        <w:t xml:space="preserve"> </w:t>
      </w:r>
      <w:r w:rsidRPr="00FC04DA">
        <w:rPr>
          <w:rFonts w:cs="Helvetica"/>
          <w:lang w:val="en"/>
        </w:rPr>
        <w:t>Criminal Justice (Children) (NI) Order 1998</w:t>
      </w:r>
      <w:r w:rsidR="00FC0E4F" w:rsidRPr="00FC04DA">
        <w:rPr>
          <w:rFonts w:cs="Helvetica"/>
          <w:lang w:val="en"/>
        </w:rPr>
        <w:t>.</w:t>
      </w:r>
    </w:p>
  </w:footnote>
  <w:footnote w:id="209">
    <w:p w14:paraId="56C95860" w14:textId="16A8F2A5" w:rsidR="00B5585D" w:rsidRPr="00FC04DA" w:rsidRDefault="00B5585D" w:rsidP="00E43BFB">
      <w:pPr>
        <w:pStyle w:val="NIHRCFootnotes0"/>
      </w:pPr>
      <w:r w:rsidRPr="00FC04DA">
        <w:rPr>
          <w:rStyle w:val="FootnoteReference"/>
        </w:rPr>
        <w:footnoteRef/>
      </w:r>
      <w:r w:rsidR="007F7936" w:rsidRPr="00FC04DA">
        <w:t xml:space="preserve"> Declan McGeown, ‘Scoping Study Stakeholder Update’ (DoJ, 2017); Email correspondence between NI Human Rights Commission and Department of Justice, 20 July 2020</w:t>
      </w:r>
      <w:r w:rsidR="007F7936" w:rsidRPr="00FC04DA" w:rsidDel="00D953F4">
        <w:t>.</w:t>
      </w:r>
    </w:p>
  </w:footnote>
  <w:footnote w:id="210">
    <w:p w14:paraId="45E7CF7B" w14:textId="69C87FB8" w:rsidR="008C0022" w:rsidRPr="00FC04DA" w:rsidRDefault="008C0022" w:rsidP="00E43BFB">
      <w:pPr>
        <w:pStyle w:val="NIHRCFootnotes0"/>
      </w:pPr>
      <w:r w:rsidRPr="00FC04DA">
        <w:rPr>
          <w:rStyle w:val="FootnoteReference"/>
        </w:rPr>
        <w:footnoteRef/>
      </w:r>
      <w:r w:rsidRPr="00FC04DA">
        <w:t xml:space="preserve"> CCPR/C/GBR/CO/7, ‘UN Human Rights Committee Concluding Observations on the Seventh Periodic Report of the UK of Great Britain and NI’, 17 August 2015, at para 23.</w:t>
      </w:r>
    </w:p>
  </w:footnote>
  <w:footnote w:id="211">
    <w:p w14:paraId="13905E85" w14:textId="3B69F0FF" w:rsidR="00161661" w:rsidRPr="00FC04DA" w:rsidRDefault="00161661" w:rsidP="00E43BFB">
      <w:pPr>
        <w:pStyle w:val="NIHRCFootnotes0"/>
      </w:pPr>
      <w:r w:rsidRPr="00FC04DA">
        <w:rPr>
          <w:rStyle w:val="FootnoteReference"/>
        </w:rPr>
        <w:footnoteRef/>
      </w:r>
      <w:r w:rsidRPr="00FC04DA">
        <w:t xml:space="preserve"> NI Statistics and Research Agency, ‘NI Youth Justice Agency Annual Workload Statistics 2021/2022' (NISRA, 2022)</w:t>
      </w:r>
      <w:r w:rsidR="00A30FBC" w:rsidRPr="00FC04DA">
        <w:t>.</w:t>
      </w:r>
    </w:p>
  </w:footnote>
  <w:footnote w:id="212">
    <w:p w14:paraId="4D6773DA" w14:textId="77777777" w:rsidR="00B12A1B" w:rsidRPr="00FC04DA" w:rsidRDefault="00B12A1B" w:rsidP="00E43BFB">
      <w:pPr>
        <w:pStyle w:val="NIHRCFootnotes0"/>
      </w:pPr>
      <w:r w:rsidRPr="00FC04DA">
        <w:rPr>
          <w:rStyle w:val="FootnoteReference"/>
        </w:rPr>
        <w:footnoteRef/>
      </w:r>
      <w:r w:rsidRPr="00FC04DA">
        <w:t xml:space="preserve"> NI Assembly Hansard, ‘Written Question – Custody of Children – Naomi Long MLA – AQO 992/17-22’, 2 November 2020.</w:t>
      </w:r>
    </w:p>
  </w:footnote>
  <w:footnote w:id="213">
    <w:p w14:paraId="1873B271" w14:textId="5A8297CC" w:rsidR="00E95365" w:rsidRPr="00FC04DA" w:rsidRDefault="00E95365" w:rsidP="00E43BFB">
      <w:pPr>
        <w:pStyle w:val="NIHRCFootnotes0"/>
      </w:pPr>
      <w:r w:rsidRPr="00FC04DA">
        <w:rPr>
          <w:rStyle w:val="FootnoteReference"/>
        </w:rPr>
        <w:footnoteRef/>
      </w:r>
      <w:r w:rsidRPr="00FC04DA">
        <w:t xml:space="preserve"> </w:t>
      </w:r>
      <w:r w:rsidR="00341D7D" w:rsidRPr="00FC04DA">
        <w:t xml:space="preserve">This was an increase from </w:t>
      </w:r>
      <w:r w:rsidR="00341D7D" w:rsidRPr="00FC04DA">
        <w:rPr>
          <w:rStyle w:val="normaltextrun"/>
          <w:shd w:val="clear" w:color="auto" w:fill="FFFFFF"/>
        </w:rPr>
        <w:t>1,494 in 2021/2022. See</w:t>
      </w:r>
      <w:r w:rsidRPr="00FC04DA">
        <w:rPr>
          <w:rStyle w:val="normaltextrun"/>
          <w:shd w:val="clear" w:color="auto" w:fill="FFFFFF"/>
        </w:rPr>
        <w:t xml:space="preserve"> </w:t>
      </w:r>
      <w:r w:rsidR="004A6A8F" w:rsidRPr="00FC04DA">
        <w:rPr>
          <w:rStyle w:val="normaltextrun"/>
          <w:bdr w:val="none" w:sz="0" w:space="0" w:color="auto" w:frame="1"/>
        </w:rPr>
        <w:t>NI Statistics and Research Agency, ‘NI Prison Population 2022/2023’ (DoJ, 2023), at 3.</w:t>
      </w:r>
    </w:p>
  </w:footnote>
  <w:footnote w:id="214">
    <w:p w14:paraId="014BC80F" w14:textId="36E296DC" w:rsidR="000A1D0A" w:rsidRPr="00FC04DA" w:rsidRDefault="000A1D0A" w:rsidP="00E43BFB">
      <w:pPr>
        <w:pStyle w:val="NIHRCFootnotes0"/>
      </w:pPr>
      <w:r w:rsidRPr="00FC04DA">
        <w:rPr>
          <w:rStyle w:val="FootnoteReference"/>
        </w:rPr>
        <w:footnoteRef/>
      </w:r>
      <w:r w:rsidRPr="00FC04DA">
        <w:t xml:space="preserve"> </w:t>
      </w:r>
      <w:r w:rsidR="00EC5CC4" w:rsidRPr="00FC04DA">
        <w:rPr>
          <w:rFonts w:eastAsia="Calibri" w:cs="Times New Roman"/>
        </w:rPr>
        <w:t xml:space="preserve">The NI Prison Service has been actively recruiting to ensure that the number of prison staff is sufficient for the number of prisoners. However, The NI Prison Service has stated that there is a limit to what can be done with current budgets. Recruiting additional staff also will not address the reasons for the rising numbers of prisoners, including the significant increase in prisoners on remand. </w:t>
      </w:r>
      <w:r w:rsidR="00AF711E" w:rsidRPr="00FC04DA">
        <w:rPr>
          <w:rFonts w:eastAsia="Calibri" w:cs="Times New Roman"/>
          <w:i/>
          <w:iCs/>
        </w:rPr>
        <w:t xml:space="preserve">See </w:t>
      </w:r>
      <w:r w:rsidR="00EC5CC4" w:rsidRPr="00FC04DA">
        <w:t>Meeting between NI Human Rights Commission and NI Prison Service, 24 February 2023</w:t>
      </w:r>
      <w:r w:rsidR="00AF711E" w:rsidRPr="00FC04DA">
        <w:t>;</w:t>
      </w:r>
      <w:r w:rsidR="00042290" w:rsidRPr="00FC04DA">
        <w:t xml:space="preserve"> </w:t>
      </w:r>
      <w:r w:rsidRPr="00FC04DA">
        <w:t>Meeting between NI Human Rights Commission and NI Prison Service, 24 February 2023; Meeting between Department of Justice and NI Prison Service, 4 August 2023.</w:t>
      </w:r>
    </w:p>
  </w:footnote>
  <w:footnote w:id="215">
    <w:p w14:paraId="29E78845" w14:textId="1C95F157" w:rsidR="006D73E3" w:rsidRPr="00FC04DA" w:rsidRDefault="006D73E3" w:rsidP="00E43BFB">
      <w:pPr>
        <w:pStyle w:val="NIHRCFootnotes0"/>
      </w:pPr>
      <w:r w:rsidRPr="00FC04DA">
        <w:rPr>
          <w:rStyle w:val="FootnoteReference"/>
        </w:rPr>
        <w:footnoteRef/>
      </w:r>
      <w:r w:rsidRPr="00FC04DA">
        <w:t xml:space="preserve"> </w:t>
      </w:r>
      <w:r w:rsidR="00AA5E69" w:rsidRPr="00FC04DA">
        <w:rPr>
          <w:rStyle w:val="normaltextrun"/>
          <w:bdr w:val="none" w:sz="0" w:space="0" w:color="auto" w:frame="1"/>
        </w:rPr>
        <w:t>Email correspondence from Department of Justice to NI Human Rights Commission, 7 August 2023.</w:t>
      </w:r>
    </w:p>
  </w:footnote>
  <w:footnote w:id="216">
    <w:p w14:paraId="7EC5F1E3" w14:textId="2DFD28F1" w:rsidR="00C826D7" w:rsidRPr="00FC04DA" w:rsidRDefault="00C826D7" w:rsidP="00E43BFB">
      <w:pPr>
        <w:pStyle w:val="NIHRCFootnotes0"/>
      </w:pPr>
      <w:r w:rsidRPr="00FC04DA">
        <w:rPr>
          <w:rStyle w:val="FootnoteReference"/>
        </w:rPr>
        <w:footnoteRef/>
      </w:r>
      <w:r w:rsidRPr="00FC04DA">
        <w:t xml:space="preserve"> </w:t>
      </w:r>
      <w:r w:rsidR="00C87F63" w:rsidRPr="00FC04DA">
        <w:t>Criminal Justice Inspection NI, ‘A Review into the Operation of Care and Supervision Units in the NI Prison Service’ (CJINI, 2022), at 4.</w:t>
      </w:r>
    </w:p>
  </w:footnote>
  <w:footnote w:id="217">
    <w:p w14:paraId="593650E9" w14:textId="02DF821A" w:rsidR="0081132B" w:rsidRPr="00FC04DA" w:rsidRDefault="0081132B" w:rsidP="00E43BFB">
      <w:pPr>
        <w:pStyle w:val="NIHRCFootnotes0"/>
      </w:pPr>
      <w:r w:rsidRPr="00FC04DA">
        <w:rPr>
          <w:rStyle w:val="FootnoteReference"/>
        </w:rPr>
        <w:footnoteRef/>
      </w:r>
      <w:r w:rsidRPr="00FC04DA">
        <w:t xml:space="preserve"> </w:t>
      </w:r>
      <w:r w:rsidR="005B5B3F">
        <w:t>Ibid</w:t>
      </w:r>
      <w:r w:rsidR="00C91B61" w:rsidRPr="00FC04DA">
        <w:t>.</w:t>
      </w:r>
    </w:p>
  </w:footnote>
  <w:footnote w:id="218">
    <w:p w14:paraId="3750B7F5" w14:textId="18D3C4A4" w:rsidR="004C405D" w:rsidRPr="00FC04DA" w:rsidRDefault="004C405D" w:rsidP="00E43BFB">
      <w:pPr>
        <w:pStyle w:val="NIHRCFootnotes0"/>
      </w:pPr>
      <w:r w:rsidRPr="00FC04DA">
        <w:rPr>
          <w:rStyle w:val="FootnoteReference"/>
        </w:rPr>
        <w:footnoteRef/>
      </w:r>
      <w:r w:rsidRPr="00FC04DA">
        <w:t xml:space="preserve"> The Criminal Justice Inspection found that </w:t>
      </w:r>
      <w:r w:rsidR="00943CA0" w:rsidRPr="00FC04DA">
        <w:t>the challenging findings of its review prompted substantial action, in partnership with health care, education and training providers.</w:t>
      </w:r>
      <w:r w:rsidR="008436C1" w:rsidRPr="00FC04DA">
        <w:t xml:space="preserve"> </w:t>
      </w:r>
      <w:r w:rsidR="00943CA0" w:rsidRPr="00FC04DA">
        <w:rPr>
          <w:shd w:val="clear" w:color="auto" w:fill="FFFFFF"/>
        </w:rPr>
        <w:t xml:space="preserve">This collaborative effort </w:t>
      </w:r>
      <w:r w:rsidR="008436C1" w:rsidRPr="00FC04DA">
        <w:rPr>
          <w:shd w:val="clear" w:color="auto" w:fill="FFFFFF"/>
        </w:rPr>
        <w:t xml:space="preserve">has </w:t>
      </w:r>
      <w:r w:rsidR="00943CA0" w:rsidRPr="00FC04DA">
        <w:rPr>
          <w:shd w:val="clear" w:color="auto" w:fill="FFFFFF"/>
        </w:rPr>
        <w:t xml:space="preserve">resulted in improvements in governance and oversight arrangements, leading to better access to purposeful activity for men and women held in the </w:t>
      </w:r>
      <w:r w:rsidR="008436C1" w:rsidRPr="00FC04DA">
        <w:rPr>
          <w:shd w:val="clear" w:color="auto" w:fill="FFFFFF"/>
        </w:rPr>
        <w:t>Care and Supervision Units.</w:t>
      </w:r>
    </w:p>
  </w:footnote>
  <w:footnote w:id="219">
    <w:p w14:paraId="06E754CE" w14:textId="46A9EF15" w:rsidR="005A4C7B" w:rsidRPr="00FC04DA" w:rsidRDefault="005A4C7B" w:rsidP="00E43BFB">
      <w:pPr>
        <w:pStyle w:val="NIHRCFootnotes0"/>
      </w:pPr>
      <w:r w:rsidRPr="00FC04DA">
        <w:rPr>
          <w:rStyle w:val="FootnoteReference"/>
        </w:rPr>
        <w:footnoteRef/>
      </w:r>
      <w:r w:rsidRPr="00FC04DA">
        <w:t xml:space="preserve"> </w:t>
      </w:r>
      <w:r w:rsidR="0029128B" w:rsidRPr="00FC04DA">
        <w:rPr>
          <w:shd w:val="clear" w:color="auto" w:fill="FFFFFF"/>
        </w:rPr>
        <w:t>The review found that 50</w:t>
      </w:r>
      <w:r w:rsidR="00C76A8D" w:rsidRPr="00FC04DA">
        <w:rPr>
          <w:shd w:val="clear" w:color="auto" w:fill="FFFFFF"/>
        </w:rPr>
        <w:t xml:space="preserve"> per cent </w:t>
      </w:r>
      <w:r w:rsidR="0029128B" w:rsidRPr="00FC04DA">
        <w:rPr>
          <w:shd w:val="clear" w:color="auto" w:fill="FFFFFF"/>
        </w:rPr>
        <w:t xml:space="preserve">of people within the </w:t>
      </w:r>
      <w:r w:rsidR="00C76A8D" w:rsidRPr="00FC04DA">
        <w:rPr>
          <w:shd w:val="clear" w:color="auto" w:fill="FFFFFF"/>
        </w:rPr>
        <w:t>[Care and Supervision Units]</w:t>
      </w:r>
      <w:r w:rsidR="0029128B" w:rsidRPr="00FC04DA">
        <w:rPr>
          <w:shd w:val="clear" w:color="auto" w:fill="FFFFFF"/>
        </w:rPr>
        <w:t xml:space="preserve"> at the time of fieldwork had complex mental health needs. The number of people with personality disorder in prison is significant with some held in a </w:t>
      </w:r>
      <w:r w:rsidR="00C76A8D" w:rsidRPr="00FC04DA">
        <w:rPr>
          <w:shd w:val="clear" w:color="auto" w:fill="FFFFFF"/>
        </w:rPr>
        <w:t>[Care and Supervision Unit]</w:t>
      </w:r>
      <w:r w:rsidR="0029128B" w:rsidRPr="00FC04DA">
        <w:rPr>
          <w:shd w:val="clear" w:color="auto" w:fill="FFFFFF"/>
        </w:rPr>
        <w:t>. These patients present with some of the most challenging and complex behaviours.  It is projected that this number will increase in the coming years. See Criminal Justice Inspection NI, ‘</w:t>
      </w:r>
      <w:r w:rsidR="00C76A8D" w:rsidRPr="00FC04DA">
        <w:rPr>
          <w:shd w:val="clear" w:color="auto" w:fill="FFFFFF"/>
        </w:rPr>
        <w:t>A review into the operation of Care and Supervision Units in the NI Prison Service’ (CJINI, 2023).</w:t>
      </w:r>
      <w:r w:rsidR="00C76A8D" w:rsidRPr="00FC04DA">
        <w:rPr>
          <w:rFonts w:ascii="Arial" w:hAnsi="Arial"/>
          <w:shd w:val="clear" w:color="auto" w:fill="FFFFFF"/>
        </w:rPr>
        <w:t xml:space="preserve"> </w:t>
      </w:r>
    </w:p>
  </w:footnote>
  <w:footnote w:id="220">
    <w:p w14:paraId="5943995C" w14:textId="5B9E3906" w:rsidR="006131D6" w:rsidRPr="00FC04DA" w:rsidRDefault="006131D6" w:rsidP="00E43BFB">
      <w:pPr>
        <w:pStyle w:val="NIHRCFootnotes0"/>
      </w:pPr>
      <w:r w:rsidRPr="00FC04DA">
        <w:rPr>
          <w:rStyle w:val="FootnoteReference"/>
        </w:rPr>
        <w:footnoteRef/>
      </w:r>
      <w:r w:rsidRPr="00FC04DA">
        <w:t xml:space="preserve"> </w:t>
      </w:r>
      <w:r w:rsidRPr="00FC04DA">
        <w:rPr>
          <w:rFonts w:eastAsia="Calibri" w:cs="Times New Roman"/>
        </w:rPr>
        <w:t xml:space="preserve">41 per cent of prisoners indicated it was easy to obtain drugs and 28 per cent had developed a drug problem while in Maghaberry Prison. </w:t>
      </w:r>
      <w:r w:rsidRPr="00FC04DA">
        <w:rPr>
          <w:rFonts w:eastAsia="Calibri" w:cs="Times New Roman"/>
          <w:i/>
        </w:rPr>
        <w:t>See</w:t>
      </w:r>
      <w:r w:rsidRPr="00FC04DA">
        <w:rPr>
          <w:rFonts w:eastAsia="Calibri" w:cs="Times New Roman"/>
        </w:rPr>
        <w:t xml:space="preserve"> </w:t>
      </w:r>
      <w:r w:rsidRPr="00FC04DA">
        <w:t>Criminal Justice Inspection NI, ‘Report on an Unannounced Inspection of Maghaberry Prison 20 September – 6 October 2022’ (CJINI, 2023)</w:t>
      </w:r>
      <w:r w:rsidR="00734ABF" w:rsidRPr="00FC04DA">
        <w:t xml:space="preserve">; </w:t>
      </w:r>
      <w:r w:rsidR="000B50CD" w:rsidRPr="00FC04DA">
        <w:t>Criminal Justice Inspection NI, ‘</w:t>
      </w:r>
      <w:r w:rsidR="004A0049" w:rsidRPr="00FC04DA">
        <w:t>Report on an Unannounced Inspection of Hydebank Wood Secure College 23-24 October and 4-7 November</w:t>
      </w:r>
      <w:r w:rsidR="00433E5C" w:rsidRPr="00FC04DA">
        <w:t xml:space="preserve"> 2019’ (CJINI, 2020); Criminal Justice Inspection NI, ‘Report on an Unannounced Inspection of Mag</w:t>
      </w:r>
      <w:r w:rsidR="008446D9" w:rsidRPr="00FC04DA">
        <w:t>illigan Prison 21 May – 10 June 2021’ (CJINI, 2022).</w:t>
      </w:r>
    </w:p>
  </w:footnote>
  <w:footnote w:id="221">
    <w:p w14:paraId="53E71C40" w14:textId="39FB1CF9" w:rsidR="006131D6" w:rsidRPr="00FC04DA" w:rsidRDefault="006131D6" w:rsidP="00E43BFB">
      <w:pPr>
        <w:pStyle w:val="NIHRCFootnotes0"/>
      </w:pPr>
      <w:r w:rsidRPr="00FC04DA">
        <w:rPr>
          <w:rStyle w:val="FootnoteReference"/>
        </w:rPr>
        <w:footnoteRef/>
      </w:r>
      <w:r w:rsidRPr="00FC04DA">
        <w:t xml:space="preserve"> </w:t>
      </w:r>
      <w:r w:rsidR="00FA593D" w:rsidRPr="00FC04DA">
        <w:rPr>
          <w:rFonts w:eastAsia="Calibri" w:cs="Times New Roman"/>
        </w:rPr>
        <w:t>T</w:t>
      </w:r>
      <w:r w:rsidRPr="00FC04DA">
        <w:rPr>
          <w:rFonts w:eastAsia="Calibri" w:cs="Times New Roman"/>
        </w:rPr>
        <w:t>he NI Prison Service advised that the introduction of x-ray body scanners in March 2023 is having a significant effect on detecting and deterring drug trafficking</w:t>
      </w:r>
      <w:r w:rsidRPr="00FC04DA">
        <w:t>. Department of Justice, ‘Press Release: Record population means prison pressures to continue for some time - Prison Chief’, 16 June 2023</w:t>
      </w:r>
      <w:r w:rsidR="00371A3D">
        <w:t>; NI Human Rights Commission visit to Maghaberry Prison, 19 January 2024.</w:t>
      </w:r>
    </w:p>
  </w:footnote>
  <w:footnote w:id="222">
    <w:p w14:paraId="7D7D79CD" w14:textId="5254A894" w:rsidR="00E80ECA" w:rsidRPr="00FC04DA" w:rsidRDefault="00E80ECA" w:rsidP="00E43BFB">
      <w:pPr>
        <w:pStyle w:val="NIHRCFootnotes0"/>
      </w:pPr>
      <w:r w:rsidRPr="00FC04DA">
        <w:rPr>
          <w:rStyle w:val="FootnoteReference"/>
        </w:rPr>
        <w:footnoteRef/>
      </w:r>
      <w:r w:rsidRPr="00FC04DA">
        <w:t xml:space="preserve"> </w:t>
      </w:r>
      <w:r w:rsidR="00E0138C" w:rsidRPr="00FC04DA">
        <w:rPr>
          <w:rStyle w:val="normaltextrun"/>
          <w:shd w:val="clear" w:color="auto" w:fill="FFFFFF"/>
        </w:rPr>
        <w:t>In June 2023, the Criminal Justice Inspection NI highlighted that purposeful activity, rehabilitation and release planning had been badly affected as a result of the COVID-19 pandemic in Maghaberry Prison. M</w:t>
      </w:r>
      <w:r w:rsidR="00E0138C" w:rsidRPr="00FC04DA">
        <w:rPr>
          <w:rStyle w:val="normaltextrun"/>
          <w:bdr w:val="none" w:sz="0" w:space="0" w:color="auto" w:frame="1"/>
        </w:rPr>
        <w:t>any prisoners were released without adequate plans and concerns were also identified regarding the adequacy of safeguarding</w:t>
      </w:r>
      <w:r w:rsidR="004924CB" w:rsidRPr="00FC04DA">
        <w:rPr>
          <w:rStyle w:val="normaltextrun"/>
          <w:bdr w:val="none" w:sz="0" w:space="0" w:color="auto" w:frame="1"/>
        </w:rPr>
        <w:t xml:space="preserve">. </w:t>
      </w:r>
      <w:r w:rsidR="004924CB" w:rsidRPr="00FC04DA">
        <w:rPr>
          <w:rStyle w:val="normaltextrun"/>
          <w:i/>
          <w:bdr w:val="none" w:sz="0" w:space="0" w:color="auto" w:frame="1"/>
        </w:rPr>
        <w:t xml:space="preserve">See </w:t>
      </w:r>
      <w:r w:rsidR="004924CB" w:rsidRPr="00FC04DA">
        <w:rPr>
          <w:rStyle w:val="normaltextrun"/>
          <w:bdr w:val="none" w:sz="0" w:space="0" w:color="auto" w:frame="1"/>
        </w:rPr>
        <w:t>Criminal Justice Inspection NI, ‘Report on an Unannounced Inspection of Maghaberry Prison 20 September-6 October 2022’ (CJINI, 2023).</w:t>
      </w:r>
    </w:p>
  </w:footnote>
  <w:footnote w:id="223">
    <w:p w14:paraId="2D1875A5" w14:textId="594E5755" w:rsidR="00D14E04" w:rsidRPr="00FC04DA" w:rsidRDefault="00D14E04" w:rsidP="00E43BFB">
      <w:pPr>
        <w:pStyle w:val="NIHRCFootnotes0"/>
      </w:pPr>
      <w:r w:rsidRPr="00FC04DA">
        <w:rPr>
          <w:rStyle w:val="FootnoteReference"/>
        </w:rPr>
        <w:footnoteRef/>
      </w:r>
      <w:r w:rsidRPr="00FC04DA">
        <w:t xml:space="preserve"> </w:t>
      </w:r>
      <w:r w:rsidR="00BC6CE1" w:rsidRPr="00FC04DA">
        <w:t>Regulation</w:t>
      </w:r>
      <w:r w:rsidR="00F20D42" w:rsidRPr="00FC04DA">
        <w:t xml:space="preserve"> and Quality Improvement Authority, ‘Review of Services for Vulnerable Persons Detained in NI Prisons’ (RQIA, 2021)</w:t>
      </w:r>
      <w:r w:rsidR="00E55302" w:rsidRPr="00FC04DA">
        <w:t xml:space="preserve">; Criminal Justice Inspection NI and Regulation and Quality Improvement Authority, ‘The Safety of Prisoners Held by the NI Prison Service: A Joint Inspection </w:t>
      </w:r>
      <w:r w:rsidR="00E94A6F" w:rsidRPr="00FC04DA">
        <w:t>by Criminal Justice Inspection NI and the Regulation and Quality Improvement Authority’ (CJINI and RQIA, 2019).</w:t>
      </w:r>
    </w:p>
  </w:footnote>
  <w:footnote w:id="224">
    <w:p w14:paraId="645C0958" w14:textId="64A49E6B" w:rsidR="00D14E04" w:rsidRPr="00FC04DA" w:rsidRDefault="00D14E04" w:rsidP="00E43BFB">
      <w:pPr>
        <w:pStyle w:val="NIHRCFootnotes0"/>
      </w:pPr>
      <w:r w:rsidRPr="00FC04DA">
        <w:rPr>
          <w:rStyle w:val="FootnoteReference"/>
        </w:rPr>
        <w:footnoteRef/>
      </w:r>
      <w:r w:rsidRPr="00FC04DA">
        <w:t xml:space="preserve"> </w:t>
      </w:r>
      <w:r w:rsidR="00F00A85" w:rsidRPr="00FC04DA">
        <w:t>Criminal Justice Inspection NI, ‘Report on an Unannounced Inspection of Maghaberry Prison 20 September – 6 October 2022’ (CJINI, 2023); Criminal Justice Inspection NI, ‘Report on an Unannounced Inspection of Magilligan Prison 21 May – 10 June 2021’ (CJINI, 2022).</w:t>
      </w:r>
    </w:p>
  </w:footnote>
  <w:footnote w:id="225">
    <w:p w14:paraId="32C8321F" w14:textId="31D127FE" w:rsidR="00C52DF0" w:rsidRPr="00FC04DA" w:rsidRDefault="00C52DF0" w:rsidP="00E43BFB">
      <w:pPr>
        <w:pStyle w:val="NIHRCFootnotes0"/>
      </w:pPr>
      <w:r w:rsidRPr="00FC04DA">
        <w:rPr>
          <w:rStyle w:val="FootnoteReference"/>
        </w:rPr>
        <w:footnoteRef/>
      </w:r>
      <w:r w:rsidRPr="00FC04DA">
        <w:t xml:space="preserve"> </w:t>
      </w:r>
      <w:r w:rsidR="00A03FF9" w:rsidRPr="00FC04DA">
        <w:t xml:space="preserve">Three rooms, on a single corridor, are designated for women detainees in Larne House. This corridor is not separate from the rest of the facility and men can walk through to go to the dining room. Women can lock the doors to their rooms, which can be overridden by staff in the event of an emergency. Women are not able to lock their doors if they were under close observation (for example, if it was believed they were a threat to themselves). Communal areas are shared by men and women and there is no option for a gender-specific communal area. </w:t>
      </w:r>
      <w:r w:rsidR="00A03FF9" w:rsidRPr="00FC04DA">
        <w:rPr>
          <w:i/>
        </w:rPr>
        <w:t xml:space="preserve">See </w:t>
      </w:r>
      <w:r w:rsidRPr="00FC04DA">
        <w:t>HM Inspectorate of Prisons, ‘Report on an Unannounced Inspection of the Residential Short-term Holding Facilities at Larne House, Manchester Airport and Yarl’s Wood by HM Chief Inspector of Prisons’ (HMIP, 2021), at para 2.27.</w:t>
      </w:r>
    </w:p>
  </w:footnote>
  <w:footnote w:id="226">
    <w:p w14:paraId="45378DFA" w14:textId="368F56DC" w:rsidR="00C52DF0" w:rsidRPr="00FC04DA" w:rsidRDefault="00C52DF0" w:rsidP="00E43BFB">
      <w:pPr>
        <w:pStyle w:val="NIHRCFootnotes0"/>
      </w:pPr>
      <w:r w:rsidRPr="00FC04DA">
        <w:rPr>
          <w:rStyle w:val="FootnoteReference"/>
        </w:rPr>
        <w:footnoteRef/>
      </w:r>
      <w:r w:rsidRPr="00FC04DA">
        <w:t xml:space="preserve"> Email correspondence from Larne Visitors House to NI Human Rights Commission, August 2023.</w:t>
      </w:r>
    </w:p>
  </w:footnote>
  <w:footnote w:id="227">
    <w:p w14:paraId="7F4E8AEE" w14:textId="7D09EA15" w:rsidR="00C52DF0" w:rsidRPr="00FC04DA" w:rsidRDefault="00C52DF0" w:rsidP="00E43BFB">
      <w:pPr>
        <w:pStyle w:val="NIHRCFootnotes0"/>
      </w:pPr>
      <w:r w:rsidRPr="00FC04DA">
        <w:rPr>
          <w:rStyle w:val="FootnoteReference"/>
        </w:rPr>
        <w:footnoteRef/>
      </w:r>
      <w:r w:rsidRPr="00FC04DA">
        <w:t xml:space="preserve"> </w:t>
      </w:r>
      <w:r w:rsidR="00816B7D" w:rsidRPr="00FC04DA">
        <w:t xml:space="preserve">A pregnant woman who has been released, can be detained again for the specified periods. </w:t>
      </w:r>
      <w:r w:rsidR="00816B7D" w:rsidRPr="00FC04DA">
        <w:rPr>
          <w:i/>
          <w:iCs/>
        </w:rPr>
        <w:t xml:space="preserve">See </w:t>
      </w:r>
      <w:r w:rsidRPr="00FC04DA">
        <w:t>Section</w:t>
      </w:r>
      <w:r w:rsidR="00816B7D" w:rsidRPr="00FC04DA">
        <w:t>s</w:t>
      </w:r>
      <w:r w:rsidRPr="00FC04DA">
        <w:t xml:space="preserve"> 2(2D)</w:t>
      </w:r>
      <w:r w:rsidR="00E96B16" w:rsidRPr="00FC04DA">
        <w:t xml:space="preserve"> and 2(2E)</w:t>
      </w:r>
      <w:r w:rsidRPr="00FC04DA">
        <w:t>, Illegal Migration Act 2023.</w:t>
      </w:r>
    </w:p>
  </w:footnote>
  <w:footnote w:id="228">
    <w:p w14:paraId="1AE46FC9" w14:textId="77777777" w:rsidR="00C52DF0" w:rsidRPr="00FC04DA" w:rsidRDefault="00C52DF0" w:rsidP="00E43BFB">
      <w:pPr>
        <w:pStyle w:val="NIHRCFootnotes0"/>
      </w:pPr>
      <w:r w:rsidRPr="00FC04DA">
        <w:rPr>
          <w:rStyle w:val="FootnoteReference"/>
        </w:rPr>
        <w:footnoteRef/>
      </w:r>
      <w:r w:rsidRPr="00FC04DA">
        <w:t xml:space="preserve"> Royal College of Midwives, ‘Position statement: Detention of Pregnant Women’ (RCM, 2017). </w:t>
      </w:r>
    </w:p>
  </w:footnote>
  <w:footnote w:id="229">
    <w:p w14:paraId="1312472A" w14:textId="621AFCA9" w:rsidR="00D04E58" w:rsidRPr="00FC04DA" w:rsidRDefault="00D04E58" w:rsidP="00E43BFB">
      <w:pPr>
        <w:pStyle w:val="NIHRCFootnotes0"/>
      </w:pPr>
      <w:r w:rsidRPr="00FC04DA">
        <w:rPr>
          <w:rStyle w:val="FootnoteReference"/>
        </w:rPr>
        <w:footnoteRef/>
      </w:r>
      <w:r w:rsidRPr="00FC04DA">
        <w:t xml:space="preserve"> Meeting between NI Human Rights Commission and civil society representatives, 19 December 2023.</w:t>
      </w:r>
    </w:p>
  </w:footnote>
  <w:footnote w:id="230">
    <w:p w14:paraId="73DD2B76" w14:textId="2953EF75" w:rsidR="00DA3E8D" w:rsidRPr="00FC04DA" w:rsidRDefault="00DA3E8D" w:rsidP="00E43BFB">
      <w:pPr>
        <w:pStyle w:val="NIHRCFootnotes0"/>
      </w:pPr>
      <w:r w:rsidRPr="00FC04DA">
        <w:rPr>
          <w:rStyle w:val="FootnoteReference"/>
        </w:rPr>
        <w:footnoteRef/>
      </w:r>
      <w:r w:rsidRPr="00FC04DA">
        <w:t xml:space="preserve"> Equality Commission, ‘Impact of Brexit on Minority Ethnic and Migrant People in NI’ (ECNI, 2022).</w:t>
      </w:r>
    </w:p>
  </w:footnote>
  <w:footnote w:id="231">
    <w:p w14:paraId="77E60841" w14:textId="3352891A" w:rsidR="003034DE" w:rsidRPr="00FC04DA" w:rsidRDefault="003034DE" w:rsidP="00E43BFB">
      <w:pPr>
        <w:pStyle w:val="NIHRCFootnotes0"/>
      </w:pPr>
      <w:r w:rsidRPr="00FC04DA">
        <w:rPr>
          <w:rStyle w:val="FootnoteReference"/>
        </w:rPr>
        <w:footnoteRef/>
      </w:r>
      <w:r w:rsidRPr="00FC04DA">
        <w:t xml:space="preserve"> </w:t>
      </w:r>
      <w:r w:rsidR="00DD0627" w:rsidRPr="00FC04DA">
        <w:rPr>
          <w:rStyle w:val="cf01"/>
          <w:rFonts w:ascii="Verdana" w:hAnsi="Verdana"/>
          <w:sz w:val="16"/>
          <w:szCs w:val="16"/>
        </w:rPr>
        <w:t>The legislative framework was introduced in 2022, but ETAs started in Nov</w:t>
      </w:r>
      <w:r w:rsidR="007D029B" w:rsidRPr="00FC04DA">
        <w:rPr>
          <w:rStyle w:val="cf01"/>
          <w:rFonts w:ascii="Verdana" w:hAnsi="Verdana"/>
          <w:sz w:val="16"/>
          <w:szCs w:val="16"/>
        </w:rPr>
        <w:t>ember</w:t>
      </w:r>
      <w:r w:rsidR="00DD0627" w:rsidRPr="00FC04DA">
        <w:rPr>
          <w:rStyle w:val="cf01"/>
          <w:rFonts w:ascii="Verdana" w:hAnsi="Verdana"/>
          <w:sz w:val="16"/>
          <w:szCs w:val="16"/>
        </w:rPr>
        <w:t xml:space="preserve"> 2023 for Qatari Nationals and will be further extended in Feb</w:t>
      </w:r>
      <w:r w:rsidR="007D029B" w:rsidRPr="00FC04DA">
        <w:rPr>
          <w:rStyle w:val="cf01"/>
          <w:rFonts w:ascii="Verdana" w:hAnsi="Verdana"/>
          <w:sz w:val="16"/>
          <w:szCs w:val="16"/>
        </w:rPr>
        <w:t>ruary</w:t>
      </w:r>
      <w:r w:rsidR="00DD0627" w:rsidRPr="00FC04DA">
        <w:rPr>
          <w:rStyle w:val="cf01"/>
          <w:rFonts w:ascii="Verdana" w:hAnsi="Verdana"/>
          <w:sz w:val="16"/>
          <w:szCs w:val="16"/>
        </w:rPr>
        <w:t xml:space="preserve"> 2024 to </w:t>
      </w:r>
      <w:r w:rsidR="007D029B" w:rsidRPr="00FC04DA">
        <w:rPr>
          <w:rStyle w:val="cf01"/>
          <w:rFonts w:ascii="Verdana" w:hAnsi="Verdana"/>
          <w:sz w:val="16"/>
          <w:szCs w:val="16"/>
        </w:rPr>
        <w:t>a l</w:t>
      </w:r>
      <w:r w:rsidR="00DD0627" w:rsidRPr="00FC04DA">
        <w:rPr>
          <w:rStyle w:val="cf01"/>
          <w:rFonts w:ascii="Verdana" w:hAnsi="Verdana"/>
          <w:sz w:val="16"/>
          <w:szCs w:val="16"/>
        </w:rPr>
        <w:t xml:space="preserve">imited number of other Gulf states. </w:t>
      </w:r>
      <w:r w:rsidR="00894F99" w:rsidRPr="00FC04DA">
        <w:t xml:space="preserve">Section 75, Nationality and Borders Act 2022. </w:t>
      </w:r>
    </w:p>
  </w:footnote>
  <w:footnote w:id="232">
    <w:p w14:paraId="25D5ACC4" w14:textId="5AE90F78" w:rsidR="0087005E" w:rsidRPr="00FC04DA" w:rsidRDefault="0087005E" w:rsidP="00E43BFB">
      <w:pPr>
        <w:pStyle w:val="NIHRCFootnotes0"/>
      </w:pPr>
      <w:r w:rsidRPr="00FC04DA">
        <w:rPr>
          <w:rStyle w:val="FootnoteReference"/>
        </w:rPr>
        <w:footnoteRef/>
      </w:r>
      <w:r w:rsidRPr="00FC04DA">
        <w:t xml:space="preserve"> </w:t>
      </w:r>
      <w:r w:rsidRPr="00FC04DA">
        <w:rPr>
          <w:rStyle w:val="normaltextrun"/>
          <w:bdr w:val="none" w:sz="0" w:space="0" w:color="auto" w:frame="1"/>
        </w:rPr>
        <w:t>Section 3ZA, Immigration Act 1971.</w:t>
      </w:r>
    </w:p>
  </w:footnote>
  <w:footnote w:id="233">
    <w:p w14:paraId="5E795333" w14:textId="5FCE06B2" w:rsidR="0087005E" w:rsidRPr="00FC04DA" w:rsidRDefault="0087005E" w:rsidP="00E43BFB">
      <w:pPr>
        <w:pStyle w:val="NIHRCFootnotes0"/>
      </w:pPr>
      <w:r w:rsidRPr="00FC04DA">
        <w:rPr>
          <w:rStyle w:val="FootnoteReference"/>
        </w:rPr>
        <w:footnoteRef/>
      </w:r>
      <w:r w:rsidRPr="00FC04DA">
        <w:t xml:space="preserve"> </w:t>
      </w:r>
      <w:r w:rsidR="005F27ED" w:rsidRPr="00FC04DA">
        <w:rPr>
          <w:rStyle w:val="normaltextrun"/>
          <w:bdr w:val="none" w:sz="0" w:space="0" w:color="auto" w:frame="1"/>
        </w:rPr>
        <w:t>Home Office, ‘Statement of Changes to the Immigration Rules - HC 1160’, 9 March 2023.</w:t>
      </w:r>
    </w:p>
  </w:footnote>
  <w:footnote w:id="234">
    <w:p w14:paraId="662FC725" w14:textId="1B107FA0" w:rsidR="005F27ED" w:rsidRPr="00FC04DA" w:rsidRDefault="005F27ED" w:rsidP="00E43BFB">
      <w:pPr>
        <w:pStyle w:val="NIHRCFootnotes0"/>
      </w:pPr>
      <w:r w:rsidRPr="00FC04DA">
        <w:rPr>
          <w:rStyle w:val="FootnoteReference"/>
        </w:rPr>
        <w:footnoteRef/>
      </w:r>
      <w:r w:rsidRPr="00FC04DA">
        <w:t xml:space="preserve"> </w:t>
      </w:r>
      <w:r w:rsidR="00F86F68" w:rsidRPr="00FC04DA">
        <w:rPr>
          <w:rStyle w:val="normaltextrun"/>
          <w:shd w:val="clear" w:color="auto" w:fill="FFFFFF"/>
        </w:rPr>
        <w:t>In October 2023, the Sovereign Affairs Committee to the British Irish Parliamentary Assembly published a report on the Common Travel Area post-Brexit.</w:t>
      </w:r>
      <w:r w:rsidR="00F86F68" w:rsidRPr="00FC04DA">
        <w:rPr>
          <w:rStyle w:val="superscript"/>
          <w:shd w:val="clear" w:color="auto" w:fill="FFFFFF"/>
          <w:vertAlign w:val="superscript"/>
        </w:rPr>
        <w:t>13</w:t>
      </w:r>
      <w:r w:rsidR="00F86F68" w:rsidRPr="00FC04DA">
        <w:rPr>
          <w:rStyle w:val="normaltextrun"/>
          <w:shd w:val="clear" w:color="auto" w:fill="FFFFFF"/>
        </w:rPr>
        <w:t xml:space="preserve"> The Committee raised concerns about the incompatibility of the Electronic Travel Authorisation system with tourism on the island of Ireland and recommended that all permanent residents in NI or Ireland be exempt from the requirement to obtain a visa for short visits to other jurisdictions. </w:t>
      </w:r>
      <w:r w:rsidR="00F86F68" w:rsidRPr="00FC04DA">
        <w:rPr>
          <w:rStyle w:val="normaltextrun"/>
          <w:i/>
          <w:shd w:val="clear" w:color="auto" w:fill="FFFFFF"/>
        </w:rPr>
        <w:t>See</w:t>
      </w:r>
      <w:r w:rsidR="00F86F68" w:rsidRPr="00FC04DA">
        <w:rPr>
          <w:rStyle w:val="normaltextrun"/>
          <w:shd w:val="clear" w:color="auto" w:fill="FFFFFF"/>
        </w:rPr>
        <w:t xml:space="preserve"> </w:t>
      </w:r>
      <w:r w:rsidR="000E715A" w:rsidRPr="00FC04DA">
        <w:rPr>
          <w:rStyle w:val="normaltextrun"/>
          <w:shd w:val="clear" w:color="auto" w:fill="FFFFFF"/>
        </w:rPr>
        <w:t>Sovereign Affairs Committee (Committee A) of the British Irish Parliamentary Assembly, ‘Protecting the Common Travel Area in the Post-Brexit Era’ (BIPA, 2023).</w:t>
      </w:r>
    </w:p>
  </w:footnote>
  <w:footnote w:id="235">
    <w:p w14:paraId="6BE5008B" w14:textId="5DFFEE1B" w:rsidR="005F27ED" w:rsidRPr="00FC04DA" w:rsidRDefault="005F27ED" w:rsidP="00E43BFB">
      <w:pPr>
        <w:pStyle w:val="NIHRCFootnotes0"/>
      </w:pPr>
      <w:r w:rsidRPr="00FC04DA">
        <w:rPr>
          <w:rStyle w:val="FootnoteReference"/>
        </w:rPr>
        <w:footnoteRef/>
      </w:r>
      <w:r w:rsidRPr="00FC04DA">
        <w:t xml:space="preserve"> </w:t>
      </w:r>
      <w:r w:rsidR="00A544E0" w:rsidRPr="00FC04DA">
        <w:t>Committee on the Administration of Justice, ‘Briefing Note: Electronic Travel Authorisation</w:t>
      </w:r>
      <w:r w:rsidR="00DE11E8" w:rsidRPr="00FC04DA">
        <w:t xml:space="preserve"> (ETA) September 2023’ (CAJ, 2023).</w:t>
      </w:r>
    </w:p>
  </w:footnote>
  <w:footnote w:id="236">
    <w:p w14:paraId="131DB5FF" w14:textId="77777777" w:rsidR="001D6636" w:rsidRPr="00FC04DA" w:rsidRDefault="001D6636" w:rsidP="00E43BFB">
      <w:pPr>
        <w:pStyle w:val="NIHRCFootnotes0"/>
      </w:pPr>
      <w:r w:rsidRPr="00FC04DA">
        <w:rPr>
          <w:rStyle w:val="FootnoteReference"/>
        </w:rPr>
        <w:footnoteRef/>
      </w:r>
      <w:r w:rsidRPr="00FC04DA">
        <w:t xml:space="preserve"> Section 1(1), Illegal Migration Act 2023.</w:t>
      </w:r>
    </w:p>
  </w:footnote>
  <w:footnote w:id="237">
    <w:p w14:paraId="75DBC33D" w14:textId="77777777" w:rsidR="001D6636" w:rsidRPr="00FC04DA" w:rsidRDefault="001D6636" w:rsidP="00E43BFB">
      <w:pPr>
        <w:pStyle w:val="NIHRCFootnotes0"/>
      </w:pPr>
      <w:r w:rsidRPr="00FC04DA">
        <w:rPr>
          <w:rStyle w:val="FootnoteReference"/>
        </w:rPr>
        <w:footnoteRef/>
      </w:r>
      <w:r w:rsidRPr="00FC04DA">
        <w:t xml:space="preserve"> Section 1(2), Illegal Migration Act 2023.</w:t>
      </w:r>
    </w:p>
  </w:footnote>
  <w:footnote w:id="238">
    <w:p w14:paraId="0ADDDF91" w14:textId="77777777" w:rsidR="001D6636" w:rsidRPr="00FC04DA" w:rsidRDefault="001D6636" w:rsidP="00E43BFB">
      <w:pPr>
        <w:pStyle w:val="NIHRCFootnotes0"/>
      </w:pPr>
      <w:r w:rsidRPr="00FC04DA">
        <w:rPr>
          <w:rStyle w:val="FootnoteReference"/>
        </w:rPr>
        <w:footnoteRef/>
      </w:r>
      <w:r w:rsidRPr="00FC04DA">
        <w:t xml:space="preserve"> Section 1(4), Illegal Migration Act 2023.</w:t>
      </w:r>
    </w:p>
  </w:footnote>
  <w:footnote w:id="239">
    <w:p w14:paraId="2F9AB261" w14:textId="77777777" w:rsidR="00FE1F33" w:rsidRPr="00FC04DA" w:rsidRDefault="00FE1F33" w:rsidP="00E43BFB">
      <w:pPr>
        <w:pStyle w:val="NIHRCFootnotes0"/>
      </w:pPr>
      <w:r w:rsidRPr="00FC04DA">
        <w:rPr>
          <w:rStyle w:val="FootnoteReference"/>
        </w:rPr>
        <w:footnoteRef/>
      </w:r>
      <w:r w:rsidRPr="00FC04DA">
        <w:t xml:space="preserve"> NI Human Rights Commission, ‘Submission to the House of Lords on the Illegal Migration Bill’ (NIHRC, 2023).</w:t>
      </w:r>
    </w:p>
  </w:footnote>
  <w:footnote w:id="240">
    <w:p w14:paraId="44BC62FB" w14:textId="3DF00B8E" w:rsidR="00476D55" w:rsidRPr="00FC04DA" w:rsidRDefault="00476D55" w:rsidP="00E43BFB">
      <w:pPr>
        <w:pStyle w:val="NIHRCFootnotes0"/>
      </w:pPr>
      <w:r w:rsidRPr="00FC04DA">
        <w:rPr>
          <w:rStyle w:val="FootnoteReference"/>
        </w:rPr>
        <w:footnoteRef/>
      </w:r>
      <w:r w:rsidRPr="00FC04DA">
        <w:t xml:space="preserve"> A scheduled High Court hearing is set in January 2024.</w:t>
      </w:r>
    </w:p>
  </w:footnote>
  <w:footnote w:id="241">
    <w:p w14:paraId="2C7C2987" w14:textId="5B8C2846" w:rsidR="00306276" w:rsidRPr="00FC04DA" w:rsidRDefault="00306276" w:rsidP="00E43BFB">
      <w:pPr>
        <w:pStyle w:val="NIHRCFootnotes0"/>
      </w:pPr>
      <w:r w:rsidRPr="00FC04DA">
        <w:rPr>
          <w:rStyle w:val="FootnoteReference"/>
        </w:rPr>
        <w:footnoteRef/>
      </w:r>
      <w:r w:rsidRPr="00FC04DA">
        <w:t xml:space="preserve"> Article 26, </w:t>
      </w:r>
      <w:r w:rsidR="00D03ABE" w:rsidRPr="00FC04DA">
        <w:t>Directive 2013/32/EU of the European Parliament and of the Council on Common Procedures for Granting and Withdrawing International Protection (Recast), 26 June 2013.</w:t>
      </w:r>
    </w:p>
  </w:footnote>
  <w:footnote w:id="242">
    <w:p w14:paraId="5805D398" w14:textId="4C599348" w:rsidR="001D6636" w:rsidRPr="00FC04DA" w:rsidRDefault="001D6636" w:rsidP="00E43BFB">
      <w:pPr>
        <w:pStyle w:val="NIHRCFootnotes0"/>
      </w:pPr>
      <w:r w:rsidRPr="00FC04DA">
        <w:rPr>
          <w:rStyle w:val="FootnoteReference"/>
          <w:rFonts w:eastAsiaTheme="majorEastAsia"/>
        </w:rPr>
        <w:footnoteRef/>
      </w:r>
      <w:r w:rsidRPr="00FC04DA">
        <w:t xml:space="preserve"> </w:t>
      </w:r>
      <w:r w:rsidR="00D664AE" w:rsidRPr="00FC04DA">
        <w:t xml:space="preserve">It is intended that there are two types of asylum accommodation in the UK, including NI. The two types of accommodation are initial accommodation (short-term housing for first three to four weeks) and dispersal accommodation (longer-term housing while awaiting determination of asylum claim). The Mears Group PLC is sub-contracted by the Home Office to provide accommodation for people seeking asylum in NI. </w:t>
      </w:r>
      <w:r w:rsidR="00D664AE" w:rsidRPr="00FC04DA">
        <w:rPr>
          <w:i/>
        </w:rPr>
        <w:t xml:space="preserve">See </w:t>
      </w:r>
      <w:r w:rsidR="00D664AE" w:rsidRPr="00FC04DA">
        <w:t>UK Visas and Immigration, 'A Home Office Guide to Living in Asylum Accommodation' (HO, 2019);</w:t>
      </w:r>
      <w:r w:rsidR="00596B1D" w:rsidRPr="00FC04DA">
        <w:rPr>
          <w:i/>
          <w:iCs/>
        </w:rPr>
        <w:t xml:space="preserve"> </w:t>
      </w:r>
      <w:r w:rsidR="00596B1D" w:rsidRPr="00FC04DA">
        <w:t xml:space="preserve">UK Government, 'Contracts Finder – Asylum Accommodation and Support Services Contract NI’. Available at: </w:t>
      </w:r>
      <w:hyperlink r:id="rId8" w:history="1">
        <w:r w:rsidR="00596B1D" w:rsidRPr="00FC04DA">
          <w:rPr>
            <w:rStyle w:val="Hyperlink"/>
            <w:color w:val="77328A"/>
          </w:rPr>
          <w:t>https://www.contractsfinder.service.gov.uk/Notice/af043016-dd83-4308-8b3c-0d134a3a89c9</w:t>
        </w:r>
      </w:hyperlink>
      <w:r w:rsidR="00596B1D" w:rsidRPr="00FC04DA">
        <w:t xml:space="preserve">; </w:t>
      </w:r>
      <w:r w:rsidRPr="00FC04DA">
        <w:t>Independent Chief Inspector of Borders and Immigration, 'An Inspection of Contingency Asylum Accommodation May 2021-November 2021' (UK Gov, 2022).</w:t>
      </w:r>
    </w:p>
  </w:footnote>
  <w:footnote w:id="243">
    <w:p w14:paraId="17C1934E" w14:textId="2B02AC2B" w:rsidR="001D6636" w:rsidRPr="00FC04DA" w:rsidRDefault="001D6636" w:rsidP="00E43BFB">
      <w:pPr>
        <w:pStyle w:val="NIHRCFootnotes0"/>
      </w:pPr>
      <w:r w:rsidRPr="00FC04DA">
        <w:rPr>
          <w:rStyle w:val="FootnoteReference"/>
        </w:rPr>
        <w:footnoteRef/>
      </w:r>
      <w:r w:rsidRPr="00FC04DA">
        <w:t xml:space="preserve"> Meetings between NI Human Rights Commission and civil society organisations, May 2022, August 2022 and October 2022.</w:t>
      </w:r>
    </w:p>
  </w:footnote>
  <w:footnote w:id="244">
    <w:p w14:paraId="783CD0CE" w14:textId="2EBE27AD" w:rsidR="001D6636" w:rsidRPr="00FC04DA" w:rsidRDefault="001D6636" w:rsidP="00E43BFB">
      <w:pPr>
        <w:pStyle w:val="NIHRCFootnotes0"/>
      </w:pPr>
      <w:r w:rsidRPr="00FC04DA">
        <w:rPr>
          <w:rStyle w:val="FootnoteReference"/>
        </w:rPr>
        <w:footnoteRef/>
      </w:r>
      <w:r w:rsidRPr="00FC04DA">
        <w:t xml:space="preserve"> </w:t>
      </w:r>
      <w:r w:rsidR="00D8268C">
        <w:t>Ibid</w:t>
      </w:r>
      <w:r w:rsidRPr="00FC04DA">
        <w:t>.</w:t>
      </w:r>
    </w:p>
  </w:footnote>
  <w:footnote w:id="245">
    <w:p w14:paraId="14CBA51A" w14:textId="0A0BF72A" w:rsidR="00443DC3" w:rsidRPr="00FC04DA" w:rsidRDefault="00443DC3" w:rsidP="00E43BFB">
      <w:pPr>
        <w:pStyle w:val="NIHRCFootnotes0"/>
      </w:pPr>
      <w:r w:rsidRPr="00FC04DA">
        <w:rPr>
          <w:rStyle w:val="FootnoteReference"/>
        </w:rPr>
        <w:footnoteRef/>
      </w:r>
      <w:r w:rsidRPr="00FC04DA">
        <w:t xml:space="preserve"> </w:t>
      </w:r>
      <w:r w:rsidR="007B6D59">
        <w:t xml:space="preserve">Such an approach is yet to be adopted in NI, but </w:t>
      </w:r>
      <w:r w:rsidR="00AB0DB6">
        <w:t xml:space="preserve">there is the possibility that people seeking asylum in NI could be moved to alternative accommodation such as this elsewhere in the UK. </w:t>
      </w:r>
      <w:r w:rsidR="00AB0DB6" w:rsidRPr="00AB0DB6">
        <w:rPr>
          <w:i/>
          <w:iCs/>
        </w:rPr>
        <w:t>See</w:t>
      </w:r>
      <w:r w:rsidR="00AB0DB6">
        <w:t xml:space="preserve"> </w:t>
      </w:r>
      <w:r w:rsidRPr="00FC04DA">
        <w:t xml:space="preserve">Andrew McDonald, ‘UK to house migrants in ex-army barracks, mulls use of barges’, </w:t>
      </w:r>
      <w:r w:rsidRPr="00FC04DA">
        <w:rPr>
          <w:i/>
          <w:iCs/>
        </w:rPr>
        <w:t>Politico</w:t>
      </w:r>
      <w:r w:rsidRPr="00FC04DA">
        <w:t xml:space="preserve">, 29 March 2023; Home Office, ‘Factsheet: Asylum accommodation on a vessel in Portland Port’ 18 July 2023; Kiran Stacey, ‘UK ministers accused over asylum backlogs after 2,000 tents bought’, </w:t>
      </w:r>
      <w:r w:rsidRPr="00FC04DA">
        <w:rPr>
          <w:i/>
          <w:iCs/>
        </w:rPr>
        <w:t>The Guardian</w:t>
      </w:r>
      <w:r w:rsidRPr="00FC04DA">
        <w:t xml:space="preserve">, 28 July 2023; Rajeev Syal, ‘First occupants of Bibby Stockholm barge are taken onboard’, </w:t>
      </w:r>
      <w:r w:rsidRPr="00FC04DA">
        <w:rPr>
          <w:i/>
          <w:iCs/>
        </w:rPr>
        <w:t>The Guardian</w:t>
      </w:r>
      <w:r w:rsidRPr="00FC04DA">
        <w:t>, 7 August 2023.</w:t>
      </w:r>
    </w:p>
  </w:footnote>
  <w:footnote w:id="246">
    <w:p w14:paraId="502354E3" w14:textId="77777777" w:rsidR="001D6636" w:rsidRPr="00FC04DA" w:rsidRDefault="001D6636" w:rsidP="00E43BFB">
      <w:pPr>
        <w:pStyle w:val="NIHRCFootnotes0"/>
      </w:pPr>
      <w:r w:rsidRPr="00FC04DA">
        <w:rPr>
          <w:rStyle w:val="FootnoteReference"/>
        </w:rPr>
        <w:footnoteRef/>
      </w:r>
      <w:r w:rsidRPr="00FC04DA">
        <w:t xml:space="preserve"> Independent Chief Inspector of Borders and Immigration, ‘Press Release: An inspection of contingency asylum accommodation for families with children in Northern Ireland’. Available at: https://www.gov.uk/government/news/an-inspection-of-contingency-asylum-accommodation-for-families-with-children-in-northern-ireland</w:t>
      </w:r>
    </w:p>
  </w:footnote>
  <w:footnote w:id="247">
    <w:p w14:paraId="705FB3F5" w14:textId="33944450" w:rsidR="001D6636" w:rsidRPr="00FC04DA" w:rsidRDefault="001D6636" w:rsidP="00E43BFB">
      <w:pPr>
        <w:pStyle w:val="NIHRCFootnotes0"/>
      </w:pPr>
      <w:r w:rsidRPr="00FC04DA">
        <w:rPr>
          <w:rStyle w:val="FootnoteReference"/>
        </w:rPr>
        <w:footnoteRef/>
      </w:r>
      <w:r w:rsidRPr="00FC04DA">
        <w:t xml:space="preserve"> </w:t>
      </w:r>
      <w:r w:rsidR="002202B2" w:rsidRPr="00FC04DA">
        <w:rPr>
          <w:rFonts w:eastAsia="Calibri" w:cs="Times New Roman"/>
        </w:rPr>
        <w:t xml:space="preserve">The Memorandum of Understanding also contained a commitment by the UK and Rwanda to </w:t>
      </w:r>
      <w:r w:rsidR="002202B2" w:rsidRPr="00FC04DA">
        <w:rPr>
          <w:rFonts w:eastAsia="Calibri" w:cs="Times New Roman"/>
          <w:shd w:val="clear" w:color="auto" w:fill="FFFFFF"/>
        </w:rPr>
        <w:t>uphold “fundamental human rights and freedoms without discrimination”. Yet, it is not binding in international law</w:t>
      </w:r>
      <w:r w:rsidR="002202B2" w:rsidRPr="00FC04DA">
        <w:t xml:space="preserve"> </w:t>
      </w:r>
      <w:r w:rsidR="002202B2" w:rsidRPr="00FC04DA">
        <w:rPr>
          <w:rFonts w:eastAsia="Calibri" w:cs="Times New Roman"/>
          <w:shd w:val="clear" w:color="auto" w:fill="FFFFFF"/>
        </w:rPr>
        <w:t xml:space="preserve">and compliance with this arrangement is not “justiciable in any court of law by third-parties or individuals”. </w:t>
      </w:r>
      <w:r w:rsidR="002202B2" w:rsidRPr="00FC04DA">
        <w:rPr>
          <w:rFonts w:eastAsia="Calibri" w:cs="Times New Roman"/>
          <w:i/>
          <w:iCs/>
          <w:shd w:val="clear" w:color="auto" w:fill="FFFFFF"/>
        </w:rPr>
        <w:t xml:space="preserve">See </w:t>
      </w:r>
      <w:r w:rsidRPr="00FC04DA">
        <w:t>Home Office, ‘Press Release: UK and Rwanda migration and economic development partnership’, 14 April 2022</w:t>
      </w:r>
      <w:r w:rsidR="00CB6652" w:rsidRPr="00FC04DA">
        <w:t>; Memorandum of Understanding Between the Government of the UK of Great Britain and NI and the Government of the Republic of Rwanda for the Provision of an Asylum Partnership Arrangement</w:t>
      </w:r>
      <w:r w:rsidR="00CB6652" w:rsidRPr="00FC04DA">
        <w:rPr>
          <w:rStyle w:val="Hyperlink1"/>
          <w:color w:val="77328A"/>
        </w:rPr>
        <w:t>, 13 April 2022</w:t>
      </w:r>
    </w:p>
  </w:footnote>
  <w:footnote w:id="248">
    <w:p w14:paraId="62F95E4D" w14:textId="77777777" w:rsidR="001D6636" w:rsidRPr="00FC04DA" w:rsidRDefault="001D6636" w:rsidP="00E43BFB">
      <w:pPr>
        <w:pStyle w:val="NIHRCFootnotes0"/>
      </w:pPr>
      <w:r w:rsidRPr="00FC04DA">
        <w:rPr>
          <w:rStyle w:val="FootnoteReference"/>
        </w:rPr>
        <w:footnoteRef/>
      </w:r>
      <w:r w:rsidRPr="00FC04DA">
        <w:t xml:space="preserve"> Home Office, ‘Press Release: First migrants set for Rwanda to be given final notice’, 1 June 2022.</w:t>
      </w:r>
    </w:p>
  </w:footnote>
  <w:footnote w:id="249">
    <w:p w14:paraId="13A39C06" w14:textId="231CCA7B" w:rsidR="001D6636" w:rsidRPr="00FC04DA" w:rsidRDefault="001D6636" w:rsidP="00E43BFB">
      <w:pPr>
        <w:pStyle w:val="NIHRCFootnotes0"/>
      </w:pPr>
      <w:r w:rsidRPr="00FC04DA">
        <w:rPr>
          <w:rStyle w:val="FootnoteReference"/>
        </w:rPr>
        <w:footnoteRef/>
      </w:r>
      <w:r w:rsidRPr="00FC04DA">
        <w:t xml:space="preserve"> </w:t>
      </w:r>
      <w:r w:rsidR="0073340B" w:rsidRPr="00FC04DA">
        <w:t xml:space="preserve">The ECtHR issued the interim measure </w:t>
      </w:r>
      <w:r w:rsidR="0073340B" w:rsidRPr="00FC04DA">
        <w:rPr>
          <w:rFonts w:eastAsia="Calibri" w:cs="Times New Roman"/>
          <w:shd w:val="clear" w:color="auto" w:fill="FFFFFF"/>
        </w:rPr>
        <w:t>to prevent irreversible harm to an applicant challenging the legality of their deportation</w:t>
      </w:r>
      <w:r w:rsidR="0073340B" w:rsidRPr="00FC04DA">
        <w:t xml:space="preserve">. </w:t>
      </w:r>
      <w:r w:rsidR="0073340B" w:rsidRPr="00FC04DA">
        <w:rPr>
          <w:i/>
          <w:iCs/>
        </w:rPr>
        <w:t>See</w:t>
      </w:r>
      <w:r w:rsidR="0073340B" w:rsidRPr="00FC04DA">
        <w:t xml:space="preserve"> </w:t>
      </w:r>
      <w:r w:rsidRPr="00FC04DA">
        <w:t>European Court of Human Rights, ‘Press Release: The European Court grants urgent interim measure in case concerning asylum-seeker’s imminent removal from the UK to Rwanda’, 14 June 2022.</w:t>
      </w:r>
    </w:p>
  </w:footnote>
  <w:footnote w:id="250">
    <w:p w14:paraId="61F6F02D" w14:textId="486A56AF" w:rsidR="001D6636" w:rsidRPr="00FC04DA" w:rsidRDefault="001D6636" w:rsidP="00E43BFB">
      <w:pPr>
        <w:pStyle w:val="NIHRCFootnotes0"/>
      </w:pPr>
      <w:r w:rsidRPr="00FC04DA">
        <w:rPr>
          <w:rStyle w:val="FootnoteReference"/>
        </w:rPr>
        <w:footnoteRef/>
      </w:r>
      <w:r w:rsidRPr="00FC04DA">
        <w:t xml:space="preserve"> </w:t>
      </w:r>
      <w:r w:rsidRPr="00FC04DA">
        <w:rPr>
          <w:i/>
          <w:iCs/>
        </w:rPr>
        <w:t>AAA and Others Secretary of State for the Home Department</w:t>
      </w:r>
      <w:r w:rsidR="00F43769" w:rsidRPr="00FC04DA">
        <w:t xml:space="preserve"> [2023] UKSC 42</w:t>
      </w:r>
      <w:r w:rsidRPr="00FC04DA">
        <w:t>.</w:t>
      </w:r>
    </w:p>
  </w:footnote>
  <w:footnote w:id="251">
    <w:p w14:paraId="2E98BD28" w14:textId="42869DB1" w:rsidR="00FB0C95" w:rsidRPr="00FC04DA" w:rsidRDefault="00FB0C95" w:rsidP="00E43BFB">
      <w:pPr>
        <w:pStyle w:val="NIHRCFootnotes0"/>
      </w:pPr>
      <w:r w:rsidRPr="00FC04DA">
        <w:rPr>
          <w:rStyle w:val="FootnoteReference"/>
        </w:rPr>
        <w:footnoteRef/>
      </w:r>
      <w:r w:rsidRPr="00FC04DA">
        <w:t xml:space="preserve"> </w:t>
      </w:r>
      <w:r w:rsidR="00FE35AB" w:rsidRPr="00FC04DA">
        <w:t xml:space="preserve">The definition of Rwanda as a safe third country is not subject to criteria, such as set out in Article 27 of the EU Procedures Directive, which were reflected in UK law prior to Brexit. The NIHRC considers this may diminish rights contrary to Windsor Framework Article 2. </w:t>
      </w:r>
      <w:r w:rsidR="00FE35AB" w:rsidRPr="00FC04DA">
        <w:rPr>
          <w:i/>
          <w:iCs/>
        </w:rPr>
        <w:t>See</w:t>
      </w:r>
      <w:r w:rsidR="00FE35AB" w:rsidRPr="00FC04DA">
        <w:t xml:space="preserve"> </w:t>
      </w:r>
      <w:r w:rsidR="00877B8D" w:rsidRPr="00FC04DA">
        <w:t>Home Office, ‘</w:t>
      </w:r>
      <w:r w:rsidR="00B06C09" w:rsidRPr="00FC04DA">
        <w:t>UK-Rwanda Treaty: Provision of an Asylum Partnership</w:t>
      </w:r>
      <w:r w:rsidR="00877B8D" w:rsidRPr="00FC04DA">
        <w:t>’ (HO, 2023).</w:t>
      </w:r>
      <w:r w:rsidR="003F0782" w:rsidRPr="00FC04DA">
        <w:t xml:space="preserve"> </w:t>
      </w:r>
    </w:p>
  </w:footnote>
  <w:footnote w:id="252">
    <w:p w14:paraId="412709F0" w14:textId="219C230B" w:rsidR="00417C13" w:rsidRPr="00FC04DA" w:rsidRDefault="00417C13" w:rsidP="00E43BFB">
      <w:pPr>
        <w:pStyle w:val="NIHRCFootnotes0"/>
      </w:pPr>
      <w:r w:rsidRPr="00FC04DA">
        <w:rPr>
          <w:rStyle w:val="FootnoteReference"/>
        </w:rPr>
        <w:footnoteRef/>
      </w:r>
      <w:r w:rsidRPr="00FC04DA">
        <w:t xml:space="preserve"> </w:t>
      </w:r>
      <w:r w:rsidR="0052748F" w:rsidRPr="00FC04DA">
        <w:t>In 2</w:t>
      </w:r>
      <w:r w:rsidR="00DF1A08" w:rsidRPr="00FC04DA">
        <w:t>022/2023, the Legal Services Agency NI</w:t>
      </w:r>
      <w:r w:rsidR="003B4359" w:rsidRPr="00FC04DA">
        <w:t xml:space="preserve"> </w:t>
      </w:r>
      <w:r w:rsidR="00012DED" w:rsidRPr="00FC04DA">
        <w:t>reports</w:t>
      </w:r>
      <w:r w:rsidR="0075581F" w:rsidRPr="00FC04DA">
        <w:t xml:space="preserve"> that the continued upturn in demand for legal aid reflects recovery within the NI justice system</w:t>
      </w:r>
      <w:r w:rsidR="005C7B54" w:rsidRPr="00FC04DA">
        <w:t xml:space="preserve"> – relating to the backlog of cases caused by the COVID-19 pandemic</w:t>
      </w:r>
      <w:r w:rsidR="00B71757" w:rsidRPr="00FC04DA">
        <w:t xml:space="preserve"> and </w:t>
      </w:r>
      <w:r w:rsidR="00943496" w:rsidRPr="00FC04DA">
        <w:t xml:space="preserve">adapting to new </w:t>
      </w:r>
      <w:r w:rsidR="00E66E7F" w:rsidRPr="00FC04DA">
        <w:t>ways of working</w:t>
      </w:r>
      <w:r w:rsidR="009055D0" w:rsidRPr="00FC04DA">
        <w:t xml:space="preserve">. </w:t>
      </w:r>
      <w:r w:rsidR="009055D0" w:rsidRPr="00FC04DA">
        <w:rPr>
          <w:i/>
        </w:rPr>
        <w:t xml:space="preserve">See </w:t>
      </w:r>
      <w:r w:rsidR="009055D0" w:rsidRPr="00FC04DA">
        <w:t>Legal Services Agency NI, ‘Annual Report and Accounts 2022-2023’ (LSANI, 2023)</w:t>
      </w:r>
      <w:r w:rsidR="00E66E7F" w:rsidRPr="00FC04DA">
        <w:t>, at 1.</w:t>
      </w:r>
    </w:p>
  </w:footnote>
  <w:footnote w:id="253">
    <w:p w14:paraId="26B4A731" w14:textId="78F87293" w:rsidR="00850233" w:rsidRPr="00FC04DA" w:rsidRDefault="00850233" w:rsidP="00E43BFB">
      <w:pPr>
        <w:pStyle w:val="NIHRCFootnotes0"/>
      </w:pPr>
      <w:r w:rsidRPr="00FC04DA">
        <w:rPr>
          <w:rStyle w:val="FootnoteReference"/>
        </w:rPr>
        <w:footnoteRef/>
      </w:r>
      <w:r w:rsidRPr="00FC04DA">
        <w:t xml:space="preserve"> </w:t>
      </w:r>
      <w:r w:rsidR="00BE4DB2" w:rsidRPr="00FC04DA">
        <w:t>The budget for l</w:t>
      </w:r>
      <w:r w:rsidR="00050962" w:rsidRPr="00FC04DA">
        <w:t xml:space="preserve">egal aid in NI is </w:t>
      </w:r>
      <w:r w:rsidR="00DA4E1E" w:rsidRPr="00FC04DA">
        <w:t>fixed</w:t>
      </w:r>
      <w:r w:rsidR="00755429" w:rsidRPr="00FC04DA">
        <w:t xml:space="preserve"> and funded through the Department of Justice</w:t>
      </w:r>
      <w:r w:rsidR="00DA4E1E" w:rsidRPr="00FC04DA">
        <w:t xml:space="preserve">. Legal professionals </w:t>
      </w:r>
      <w:r w:rsidR="00167E23" w:rsidRPr="00FC04DA">
        <w:t>highlight</w:t>
      </w:r>
      <w:r w:rsidR="00FA3491" w:rsidRPr="00FC04DA">
        <w:t xml:space="preserve"> a disconnect between</w:t>
      </w:r>
      <w:r w:rsidR="008A11B5" w:rsidRPr="00FC04DA">
        <w:t xml:space="preserve"> the</w:t>
      </w:r>
      <w:r w:rsidR="0020693D" w:rsidRPr="00FC04DA">
        <w:t xml:space="preserve"> </w:t>
      </w:r>
      <w:r w:rsidR="008A11B5" w:rsidRPr="00FC04DA">
        <w:t>budget</w:t>
      </w:r>
      <w:r w:rsidR="0020693D" w:rsidRPr="00FC04DA">
        <w:t xml:space="preserve"> arrangements</w:t>
      </w:r>
      <w:r w:rsidR="008A11B5" w:rsidRPr="00FC04DA">
        <w:t xml:space="preserve"> and</w:t>
      </w:r>
      <w:r w:rsidR="00FA3491" w:rsidRPr="00FC04DA">
        <w:t xml:space="preserve"> the demand-led nature of publicly funded legal services</w:t>
      </w:r>
      <w:r w:rsidR="001F3BE4" w:rsidRPr="00FC04DA">
        <w:t>. Increas</w:t>
      </w:r>
      <w:r w:rsidR="007A6B8B" w:rsidRPr="00FC04DA">
        <w:t>ed</w:t>
      </w:r>
      <w:r w:rsidR="001F3BE4" w:rsidRPr="00FC04DA">
        <w:t xml:space="preserve"> demand </w:t>
      </w:r>
      <w:r w:rsidR="00167E23" w:rsidRPr="00FC04DA">
        <w:t xml:space="preserve">often </w:t>
      </w:r>
      <w:r w:rsidR="00C02070" w:rsidRPr="00FC04DA">
        <w:t>result</w:t>
      </w:r>
      <w:r w:rsidR="001F3BE4" w:rsidRPr="00FC04DA">
        <w:t>s</w:t>
      </w:r>
      <w:r w:rsidR="00C02070" w:rsidRPr="00FC04DA">
        <w:t xml:space="preserve"> in the Legal Services Agency NI having to delay payments</w:t>
      </w:r>
      <w:r w:rsidR="001F3BE4" w:rsidRPr="00FC04DA">
        <w:t xml:space="preserve"> of legal aid,</w:t>
      </w:r>
      <w:r w:rsidR="00167E23" w:rsidRPr="00FC04DA">
        <w:t xml:space="preserve"> </w:t>
      </w:r>
      <w:r w:rsidR="00E66E7F" w:rsidRPr="00FC04DA">
        <w:t>compounding existing</w:t>
      </w:r>
      <w:r w:rsidR="00023AD4" w:rsidRPr="00FC04DA">
        <w:t xml:space="preserve"> delays and backlogs </w:t>
      </w:r>
      <w:r w:rsidR="00E66E7F" w:rsidRPr="00FC04DA">
        <w:t xml:space="preserve">in the </w:t>
      </w:r>
      <w:r w:rsidR="005041FE" w:rsidRPr="00FC04DA">
        <w:t>system,</w:t>
      </w:r>
      <w:r w:rsidR="00E66E7F" w:rsidRPr="00FC04DA">
        <w:t xml:space="preserve"> resulting in </w:t>
      </w:r>
      <w:r w:rsidR="001F3BE4" w:rsidRPr="00FC04DA">
        <w:t>a</w:t>
      </w:r>
      <w:r w:rsidR="00023AD4" w:rsidRPr="00FC04DA">
        <w:t xml:space="preserve"> </w:t>
      </w:r>
      <w:r w:rsidR="00167E23" w:rsidRPr="00FC04DA">
        <w:t xml:space="preserve">highly </w:t>
      </w:r>
      <w:r w:rsidR="00023AD4" w:rsidRPr="00FC04DA">
        <w:t>pressurised workforce.</w:t>
      </w:r>
      <w:r w:rsidR="006477BC" w:rsidRPr="00FC04DA">
        <w:t xml:space="preserve"> </w:t>
      </w:r>
      <w:r w:rsidR="00A46535" w:rsidRPr="00FC04DA">
        <w:t>Many</w:t>
      </w:r>
      <w:r w:rsidR="00947DB3" w:rsidRPr="00FC04DA">
        <w:t xml:space="preserve"> suppliers </w:t>
      </w:r>
      <w:r w:rsidR="00A46535" w:rsidRPr="00FC04DA">
        <w:t xml:space="preserve">do </w:t>
      </w:r>
      <w:r w:rsidR="00947DB3" w:rsidRPr="00FC04DA">
        <w:t>not hav</w:t>
      </w:r>
      <w:r w:rsidR="00A46535" w:rsidRPr="00FC04DA">
        <w:t>e</w:t>
      </w:r>
      <w:r w:rsidR="00947DB3" w:rsidRPr="00FC04DA">
        <w:t xml:space="preserve"> the cash flow necessary to</w:t>
      </w:r>
      <w:r w:rsidR="00A46535" w:rsidRPr="00FC04DA">
        <w:t xml:space="preserve"> continue</w:t>
      </w:r>
      <w:r w:rsidR="00947DB3" w:rsidRPr="00FC04DA">
        <w:t xml:space="preserve"> provid</w:t>
      </w:r>
      <w:r w:rsidR="00A46535" w:rsidRPr="00FC04DA">
        <w:t>ing</w:t>
      </w:r>
      <w:r w:rsidR="00947DB3" w:rsidRPr="00FC04DA">
        <w:t xml:space="preserve"> legal aid services</w:t>
      </w:r>
      <w:r w:rsidR="008C71EA" w:rsidRPr="00FC04DA">
        <w:t xml:space="preserve">, </w:t>
      </w:r>
      <w:r w:rsidR="001F6887" w:rsidRPr="00FC04DA">
        <w:t>threatening legal aid coverage across NI</w:t>
      </w:r>
      <w:r w:rsidR="00A367B2" w:rsidRPr="00FC04DA">
        <w:t xml:space="preserve"> and impeding the ability of citizens to access local </w:t>
      </w:r>
      <w:r w:rsidR="0015223E" w:rsidRPr="00FC04DA">
        <w:t>solicitor firms.</w:t>
      </w:r>
      <w:r w:rsidR="00281458" w:rsidRPr="00FC04DA">
        <w:t xml:space="preserve"> </w:t>
      </w:r>
      <w:r w:rsidR="008D7879" w:rsidRPr="00FC04DA">
        <w:rPr>
          <w:i/>
        </w:rPr>
        <w:t xml:space="preserve">See </w:t>
      </w:r>
      <w:r w:rsidR="000F23B4" w:rsidRPr="00FC04DA">
        <w:t xml:space="preserve">The </w:t>
      </w:r>
      <w:r w:rsidR="0047439A" w:rsidRPr="00FC04DA">
        <w:t xml:space="preserve">Law Society of NI and </w:t>
      </w:r>
      <w:r w:rsidR="000F23B4" w:rsidRPr="00FC04DA">
        <w:t xml:space="preserve">The </w:t>
      </w:r>
      <w:r w:rsidR="0047439A" w:rsidRPr="00FC04DA">
        <w:t>Bar of NI, ‘</w:t>
      </w:r>
      <w:r w:rsidR="00F363B4" w:rsidRPr="00FC04DA">
        <w:t xml:space="preserve">Access to Justice Under Threat: A </w:t>
      </w:r>
      <w:r w:rsidR="005B57A7" w:rsidRPr="00FC04DA">
        <w:t>J</w:t>
      </w:r>
      <w:r w:rsidR="00F363B4" w:rsidRPr="00FC04DA">
        <w:t xml:space="preserve">oint </w:t>
      </w:r>
      <w:r w:rsidR="005B57A7" w:rsidRPr="00FC04DA">
        <w:t>S</w:t>
      </w:r>
      <w:r w:rsidR="00F363B4" w:rsidRPr="00FC04DA">
        <w:t xml:space="preserve">ubmission on the </w:t>
      </w:r>
      <w:r w:rsidR="005B57A7" w:rsidRPr="00FC04DA">
        <w:t>D</w:t>
      </w:r>
      <w:r w:rsidR="00F363B4" w:rsidRPr="00FC04DA">
        <w:t>raft NI Executive Budget 2022-25’ (</w:t>
      </w:r>
      <w:r w:rsidR="000F23B4" w:rsidRPr="00FC04DA">
        <w:t xml:space="preserve">LSNI and Bar of NI, </w:t>
      </w:r>
      <w:r w:rsidR="002A6EFB" w:rsidRPr="00FC04DA">
        <w:t>2022)</w:t>
      </w:r>
      <w:r w:rsidR="008D7879" w:rsidRPr="00FC04DA">
        <w:t>; The Law Society of NI and The Bar of NI,</w:t>
      </w:r>
      <w:r w:rsidR="005B57A7" w:rsidRPr="00FC04DA">
        <w:t xml:space="preserve"> </w:t>
      </w:r>
      <w:r w:rsidR="008D7879" w:rsidRPr="00FC04DA">
        <w:t xml:space="preserve">‘Written evidence submitted by The Law Society of NI and The Bar of NI, relating to the funding of public services in NI’ (LSNI and Bar of NI, 2023). </w:t>
      </w:r>
    </w:p>
  </w:footnote>
  <w:footnote w:id="254">
    <w:p w14:paraId="24452F51" w14:textId="3AD89D71" w:rsidR="00DA6038" w:rsidRPr="00FC04DA" w:rsidRDefault="00DA6038" w:rsidP="00E43BFB">
      <w:pPr>
        <w:pStyle w:val="NIHRCFootnotes0"/>
      </w:pPr>
      <w:r w:rsidRPr="00FC04DA">
        <w:rPr>
          <w:rStyle w:val="FootnoteReference"/>
        </w:rPr>
        <w:footnoteRef/>
      </w:r>
      <w:r w:rsidRPr="00FC04DA">
        <w:t xml:space="preserve"> </w:t>
      </w:r>
      <w:r w:rsidR="001D3F99" w:rsidRPr="00FC04DA">
        <w:t>Department of Justice, ‘Press Release: Additional £10.9m for Legal Aid services’, 17 November 2023</w:t>
      </w:r>
      <w:r w:rsidR="00A17106" w:rsidRPr="00FC04DA">
        <w:t>; Department of Justice, ‘Press Release: Fundamental review of criminal legal aid commenced’, 2 October 2023.</w:t>
      </w:r>
    </w:p>
  </w:footnote>
  <w:footnote w:id="255">
    <w:p w14:paraId="7E9946B4" w14:textId="66EF5BB8" w:rsidR="00DD22BD" w:rsidRPr="00FC04DA" w:rsidRDefault="00DD22BD" w:rsidP="00E43BFB">
      <w:pPr>
        <w:pStyle w:val="NIHRCFootnotes0"/>
      </w:pPr>
      <w:r w:rsidRPr="00FC04DA">
        <w:rPr>
          <w:rStyle w:val="FootnoteReference"/>
        </w:rPr>
        <w:footnoteRef/>
      </w:r>
      <w:r w:rsidRPr="00FC04DA">
        <w:t xml:space="preserve"> </w:t>
      </w:r>
      <w:r w:rsidR="00B54CC6" w:rsidRPr="00FC04DA">
        <w:t>Andrew Madden, ‘DoJ launches review of criminal legal aid in NI amid dispute over fees for barristers’</w:t>
      </w:r>
      <w:r w:rsidR="00B95234" w:rsidRPr="00FC04DA">
        <w:t xml:space="preserve">, </w:t>
      </w:r>
      <w:r w:rsidR="00B54CC6" w:rsidRPr="00FC04DA">
        <w:rPr>
          <w:i/>
        </w:rPr>
        <w:t>Belfast Telegraph</w:t>
      </w:r>
      <w:r w:rsidR="00B95234" w:rsidRPr="00FC04DA">
        <w:rPr>
          <w:i/>
        </w:rPr>
        <w:t xml:space="preserve">, </w:t>
      </w:r>
      <w:r w:rsidR="00B95234" w:rsidRPr="00FC04DA">
        <w:t>3 October 2023.</w:t>
      </w:r>
    </w:p>
  </w:footnote>
  <w:footnote w:id="256">
    <w:p w14:paraId="21142FE5" w14:textId="439A6305" w:rsidR="00E355EC" w:rsidRPr="00FC04DA" w:rsidRDefault="00E355EC" w:rsidP="00E43BFB">
      <w:pPr>
        <w:pStyle w:val="NIHRCFootnotes0"/>
      </w:pPr>
      <w:r w:rsidRPr="00FC04DA">
        <w:rPr>
          <w:rStyle w:val="FootnoteReference"/>
        </w:rPr>
        <w:footnoteRef/>
      </w:r>
      <w:r w:rsidRPr="00FC04DA">
        <w:t xml:space="preserve"> </w:t>
      </w:r>
      <w:r w:rsidR="00FD1F25" w:rsidRPr="00FC04DA">
        <w:t>Gráinne McKeever, Lucy Royal-Dawson, Eleanor Kirk and John McCord, ‘Litigants in Person in NI: Barriers to Legal Participation’ (UU, NIHRC and Nuffield Foundation, 2018)</w:t>
      </w:r>
      <w:r w:rsidR="00437B7D" w:rsidRPr="00FC04DA">
        <w:t xml:space="preserve">. </w:t>
      </w:r>
    </w:p>
  </w:footnote>
  <w:footnote w:id="257">
    <w:p w14:paraId="78F1BC45" w14:textId="22ECD411" w:rsidR="00C65CCA" w:rsidRPr="00FC04DA" w:rsidRDefault="00C65CCA" w:rsidP="00E43BFB">
      <w:pPr>
        <w:pStyle w:val="NIHRCFootnotes0"/>
      </w:pPr>
      <w:r w:rsidRPr="00FC04DA">
        <w:rPr>
          <w:rStyle w:val="FootnoteReference"/>
        </w:rPr>
        <w:footnoteRef/>
      </w:r>
      <w:r w:rsidRPr="00FC04DA">
        <w:t xml:space="preserve"> </w:t>
      </w:r>
      <w:r w:rsidR="00267E66" w:rsidRPr="00FC04DA">
        <w:t>Brona</w:t>
      </w:r>
      <w:r w:rsidR="00B222EC" w:rsidRPr="00FC04DA">
        <w:t xml:space="preserve">gh Byrne, Brent Elder, Michael Schwartz, ‘Enhancing Deaf People’s Access to Justice in Northern Ireland: Implementing Article 13 of the UN Convention on the Rights of Persons with Disabilities’ </w:t>
      </w:r>
      <w:r w:rsidR="006D1EFB" w:rsidRPr="00FC04DA">
        <w:t xml:space="preserve">(SJDR, 2021); </w:t>
      </w:r>
      <w:r w:rsidR="00B5747B" w:rsidRPr="00FC04DA">
        <w:t>Department for Communities, ‘</w:t>
      </w:r>
      <w:r w:rsidR="00432018" w:rsidRPr="00FC04DA">
        <w:t>Disability Strategy Expert Advisory Panel: Report and Recommendations’ (DfC, 2020), at para 5.6;</w:t>
      </w:r>
      <w:r w:rsidR="00B222EC" w:rsidRPr="00FC04DA">
        <w:t xml:space="preserve"> </w:t>
      </w:r>
      <w:r w:rsidR="00293982" w:rsidRPr="00FC04DA">
        <w:t>CRPD/C/GBR/CO/1, 'UN CRPD Committee Concluding Observations on the Initial Report of the UK of Great Britain and NI', 3 October 2017, at para 33.</w:t>
      </w:r>
    </w:p>
  </w:footnote>
  <w:footnote w:id="258">
    <w:p w14:paraId="01D751A6" w14:textId="5F835C2B" w:rsidR="00EA05A0" w:rsidRPr="00FC04DA" w:rsidRDefault="00EA05A0" w:rsidP="00E43BFB">
      <w:pPr>
        <w:pStyle w:val="NIHRCFootnotes0"/>
      </w:pPr>
      <w:r w:rsidRPr="00FC04DA">
        <w:rPr>
          <w:rStyle w:val="FootnoteReference"/>
        </w:rPr>
        <w:footnoteRef/>
      </w:r>
      <w:r w:rsidRPr="00FC04DA">
        <w:t xml:space="preserve"> </w:t>
      </w:r>
      <w:r w:rsidR="00C91668" w:rsidRPr="00FC04DA">
        <w:t xml:space="preserve">Department of Justice, ‘Digital Justice Strategy 2020-2025’ (DoJ, 2020); NI Courts and Tribunals Service, ‘Digital Strategy 2021-2026’ (NICTS, 2022); Department of Justice, ‘Consultation on Proposals on the Use of Live Links for Police Detention/Interviews’ (DoJ, 2020); Department of Justice, ‘Consultation on Use of Live Links for Courts and Tribunals’ (DoJ, 2022). </w:t>
      </w:r>
      <w:r w:rsidR="00C91668" w:rsidRPr="00FC04DA">
        <w:rPr>
          <w:i/>
          <w:iCs/>
        </w:rPr>
        <w:t xml:space="preserve">See </w:t>
      </w:r>
      <w:r w:rsidR="00575D64" w:rsidRPr="00FC04DA">
        <w:t>NI Human Rights Commission, ‘Response to the Department of Justice's Consultation on Audio and Video Links for NI Court and Tribunal Hearings’ (NIHRC, 2022)</w:t>
      </w:r>
      <w:r w:rsidR="00172384" w:rsidRPr="00FC04DA">
        <w:t>; The Law Society of NI and The Bar of NI, ‘Access to Justice Under Threat: A Joint Submission on the Draft NI Executive Budget 2022-25’ (LSNI and Bar of NI, 2022); The Law Society of NI and The Bar of NI, ‘Written evidence submitted by The Law Society of NI and The Bar of NI, relating to the funding of public services in NI’ (LSNI and Bar of NI, 2023).</w:t>
      </w:r>
      <w:r w:rsidR="007B3444" w:rsidRPr="00FC04DA">
        <w:t>; Department for Communities, ‘Disability Strategy Expert Advisory Panel: Report and Recommendations’ (DfC, 2020), at para 5.6.</w:t>
      </w:r>
    </w:p>
  </w:footnote>
  <w:footnote w:id="259">
    <w:p w14:paraId="38281E12" w14:textId="4BB245A3" w:rsidR="00A83A12" w:rsidRPr="00FC04DA" w:rsidRDefault="00A83A12" w:rsidP="00E43BFB">
      <w:pPr>
        <w:pStyle w:val="NIHRCFootnotes0"/>
      </w:pPr>
      <w:r w:rsidRPr="00FC04DA">
        <w:rPr>
          <w:rStyle w:val="FootnoteReference"/>
        </w:rPr>
        <w:footnoteRef/>
      </w:r>
      <w:r w:rsidRPr="00FC04DA">
        <w:t xml:space="preserve"> NI Human Rights Commission, ‘Response to the Department of Justice's Consultation on Audio and Video Links for NI Court and Tribunal Hearings’ (NIHRC, 2022). </w:t>
      </w:r>
    </w:p>
  </w:footnote>
  <w:footnote w:id="260">
    <w:p w14:paraId="00789B67" w14:textId="1E83DC1C" w:rsidR="00715F18" w:rsidRPr="00FC04DA" w:rsidRDefault="00715F18" w:rsidP="00E43BFB">
      <w:pPr>
        <w:pStyle w:val="NIHRCFootnotes0"/>
      </w:pPr>
      <w:r w:rsidRPr="00FC04DA">
        <w:rPr>
          <w:rStyle w:val="FootnoteReference"/>
        </w:rPr>
        <w:footnoteRef/>
      </w:r>
      <w:r w:rsidRPr="00FC04DA">
        <w:t xml:space="preserve"> Criminal Justice Inspection NI, ‘</w:t>
      </w:r>
      <w:r w:rsidR="00FD0E2C" w:rsidRPr="00FC04DA">
        <w:t>An Inspection of the Criminal Justice System's Approach to Vulnerable Older People in NI’ (CJINI, 2023).</w:t>
      </w:r>
    </w:p>
  </w:footnote>
  <w:footnote w:id="261">
    <w:p w14:paraId="1406349B" w14:textId="0A4204AD" w:rsidR="00D9576C" w:rsidRPr="00FC04DA" w:rsidRDefault="00D9576C" w:rsidP="00E43BFB">
      <w:pPr>
        <w:pStyle w:val="NIHRCFootnotes0"/>
      </w:pPr>
      <w:r w:rsidRPr="00FC04DA">
        <w:rPr>
          <w:rStyle w:val="FootnoteReference"/>
        </w:rPr>
        <w:footnoteRef/>
      </w:r>
      <w:r w:rsidRPr="00FC04DA">
        <w:t xml:space="preserve"> </w:t>
      </w:r>
      <w:r w:rsidR="006F2702" w:rsidRPr="00FC04DA">
        <w:rPr>
          <w:rFonts w:cs="Helvetica"/>
          <w:lang w:val="en"/>
        </w:rPr>
        <w:t>There are 14 lawyers on the Law Society of NI’s Directory of Solicitors that provide advice in relation to immigration and asylum in NI</w:t>
      </w:r>
      <w:r w:rsidR="006F2702" w:rsidRPr="00FC04DA">
        <w:t xml:space="preserve">. See: Law Society of NI, ‘Immigration Practitioners’ List – Law Society of NI’. Available at: </w:t>
      </w:r>
      <w:hyperlink r:id="rId9" w:history="1">
        <w:r w:rsidR="006F2702" w:rsidRPr="00FC04DA">
          <w:rPr>
            <w:rStyle w:val="Hyperlink"/>
            <w:color w:val="77328A"/>
          </w:rPr>
          <w:t>https://www.lawsoc-ni.org/immigration-practitioners-list-law-society-of-northern-ireland</w:t>
        </w:r>
      </w:hyperlink>
      <w:r w:rsidR="006F2702" w:rsidRPr="00FC04DA">
        <w:t>.</w:t>
      </w:r>
    </w:p>
  </w:footnote>
  <w:footnote w:id="262">
    <w:p w14:paraId="5BB887EB" w14:textId="5142670A" w:rsidR="001F7C17" w:rsidRPr="00FC04DA" w:rsidRDefault="001F7C17" w:rsidP="00E43BFB">
      <w:pPr>
        <w:pStyle w:val="NIHRCFootnotes0"/>
      </w:pPr>
      <w:r w:rsidRPr="00FC04DA">
        <w:rPr>
          <w:rStyle w:val="FootnoteReference"/>
        </w:rPr>
        <w:footnoteRef/>
      </w:r>
      <w:r w:rsidRPr="00FC04DA">
        <w:t xml:space="preserve"> Meeting between NI Human Rights Commission and the Law Centre NI, 27 November 2023;</w:t>
      </w:r>
      <w:r w:rsidR="00FF5BBD" w:rsidRPr="00FC04DA">
        <w:t xml:space="preserve"> Law Centre NI, </w:t>
      </w:r>
      <w:r w:rsidR="00DC5E4D" w:rsidRPr="00FC04DA">
        <w:t>‘</w:t>
      </w:r>
      <w:r w:rsidR="00F31087" w:rsidRPr="00FC04DA">
        <w:t xml:space="preserve">Refugee and Asylum </w:t>
      </w:r>
      <w:r w:rsidR="00FF5BBD" w:rsidRPr="00FC04DA">
        <w:t>Forum Priorities for Action 2023’</w:t>
      </w:r>
      <w:r w:rsidR="00DC5E4D" w:rsidRPr="00FC04DA">
        <w:t xml:space="preserve"> (LCNI, 2023), at 28</w:t>
      </w:r>
      <w:r w:rsidR="009E6B5B" w:rsidRPr="00FC04DA">
        <w:t>; Migrant Centre NI, ‘</w:t>
      </w:r>
      <w:r w:rsidR="00F72300" w:rsidRPr="00FC04DA">
        <w:t>Submission to the UK Parliament NI Affairs Committee’s Call for Evidence on “The Experience of Minority Ethnic and Migrant People in Northern Ireland”’ (</w:t>
      </w:r>
      <w:r w:rsidR="0013759C" w:rsidRPr="00FC04DA">
        <w:t>UK Parliament, 20</w:t>
      </w:r>
      <w:r w:rsidR="00696E1C" w:rsidRPr="00FC04DA">
        <w:t xml:space="preserve">21). </w:t>
      </w:r>
    </w:p>
  </w:footnote>
  <w:footnote w:id="263">
    <w:p w14:paraId="74410F63" w14:textId="3A36C753" w:rsidR="001F7C17" w:rsidRPr="00FC04DA" w:rsidRDefault="001F7C17" w:rsidP="00E43BFB">
      <w:pPr>
        <w:pStyle w:val="NIHRCFootnotes0"/>
      </w:pPr>
      <w:r w:rsidRPr="00FC04DA">
        <w:rPr>
          <w:rStyle w:val="FootnoteReference"/>
        </w:rPr>
        <w:footnoteRef/>
      </w:r>
      <w:r w:rsidR="0076598A" w:rsidRPr="00FC04DA">
        <w:t xml:space="preserve"> Law Society of NI, ‘Immigration Practitioners’ List – Law Society of NI’. Available at: </w:t>
      </w:r>
      <w:hyperlink r:id="rId10" w:history="1">
        <w:r w:rsidR="0076598A" w:rsidRPr="00FC04DA">
          <w:rPr>
            <w:rStyle w:val="Hyperlink"/>
            <w:color w:val="77328A"/>
          </w:rPr>
          <w:t>https://www.lawsoc-ni.org/immigration-practitioners-list-law-society-of-northern-ireland</w:t>
        </w:r>
      </w:hyperlink>
      <w:r w:rsidR="0076598A" w:rsidRPr="00FC04DA">
        <w:t>;</w:t>
      </w:r>
      <w:r w:rsidRPr="00FC04DA">
        <w:t xml:space="preserve"> Meeting between NI Human Rights Commission and the Law Centre NI, 27 November 2023;</w:t>
      </w:r>
      <w:r w:rsidR="00FF5BBD" w:rsidRPr="00FC04DA">
        <w:t xml:space="preserve"> Law Centre NI, </w:t>
      </w:r>
      <w:r w:rsidR="00DC5E4D" w:rsidRPr="00FC04DA">
        <w:t>‘</w:t>
      </w:r>
      <w:r w:rsidR="00F31087" w:rsidRPr="00FC04DA">
        <w:t xml:space="preserve">Refugee and Asylum </w:t>
      </w:r>
      <w:r w:rsidR="00FF5BBD" w:rsidRPr="00FC04DA">
        <w:t>Forum Priorities for Action 2023’</w:t>
      </w:r>
      <w:r w:rsidR="00DC5E4D" w:rsidRPr="00FC04DA">
        <w:t xml:space="preserve"> (LCNI, 2023), at 28</w:t>
      </w:r>
      <w:r w:rsidR="009E6B5B" w:rsidRPr="00FC04DA">
        <w:t>; Migrant Centre NI, ‘</w:t>
      </w:r>
      <w:r w:rsidR="00F72300" w:rsidRPr="00FC04DA">
        <w:t>Submission to the UK Parliament NI Affairs Committee’s Call for Evidence on “The Experience of Minority Ethnic and Migrant People in Northern Ireland”’ (</w:t>
      </w:r>
      <w:r w:rsidR="0013759C" w:rsidRPr="00FC04DA">
        <w:t>UK Parliament, 20</w:t>
      </w:r>
      <w:r w:rsidR="00696E1C" w:rsidRPr="00FC04DA">
        <w:t>21).</w:t>
      </w:r>
    </w:p>
  </w:footnote>
  <w:footnote w:id="264">
    <w:p w14:paraId="137E5278" w14:textId="6A67C7E7" w:rsidR="00F40BB0" w:rsidRPr="00FC04DA" w:rsidRDefault="00F40BB0" w:rsidP="00E43BFB">
      <w:pPr>
        <w:pStyle w:val="NIHRCFootnotes0"/>
      </w:pPr>
      <w:r w:rsidRPr="00FC04DA">
        <w:rPr>
          <w:rStyle w:val="FootnoteReference"/>
        </w:rPr>
        <w:footnoteRef/>
      </w:r>
      <w:r w:rsidRPr="00FC04DA">
        <w:t xml:space="preserve"> </w:t>
      </w:r>
      <w:r w:rsidR="001F2410" w:rsidRPr="00FC04DA">
        <w:t>The Age of Criminal Responsibility (Scotland) Act 2019 raised the age of criminal responsibility in Scotland to 12 years old.</w:t>
      </w:r>
    </w:p>
  </w:footnote>
  <w:footnote w:id="265">
    <w:p w14:paraId="7C4C3E7C" w14:textId="0A0329C0" w:rsidR="0044749A" w:rsidRPr="00FC04DA" w:rsidRDefault="0044749A" w:rsidP="00E43BFB">
      <w:pPr>
        <w:pStyle w:val="NIHRCFootnotes0"/>
      </w:pPr>
      <w:r w:rsidRPr="00FC04DA">
        <w:rPr>
          <w:rStyle w:val="FootnoteReference"/>
        </w:rPr>
        <w:footnoteRef/>
      </w:r>
      <w:r w:rsidRPr="00FC04DA">
        <w:t xml:space="preserve"> </w:t>
      </w:r>
      <w:r w:rsidR="008A029E" w:rsidRPr="00FC04DA">
        <w:t xml:space="preserve">A total of 455 responses were received, 109 of these were from children and young people aged 18 years old and under. Overall, 83.7 per cent of respondents supported increasing the minimum age of criminal responsibility beyond ten years. </w:t>
      </w:r>
      <w:r w:rsidR="008A029E" w:rsidRPr="00FC04DA">
        <w:rPr>
          <w:i/>
        </w:rPr>
        <w:t xml:space="preserve">See </w:t>
      </w:r>
      <w:r w:rsidR="00A917CB" w:rsidRPr="00FC04DA">
        <w:t>Department of Justice, ‘Increasing the Minimum Age of Criminal Responsibility in NI from 10 Years to 14 Years: Summary of Consultation Responses’ (DoJ, 2023), at 25.</w:t>
      </w:r>
    </w:p>
  </w:footnote>
  <w:footnote w:id="266">
    <w:p w14:paraId="62BDEE96" w14:textId="5EC8BC37" w:rsidR="00A7210D" w:rsidRPr="00FC04DA" w:rsidRDefault="00A7210D" w:rsidP="00E43BFB">
      <w:pPr>
        <w:pStyle w:val="NIHRCFootnotes0"/>
      </w:pPr>
      <w:r w:rsidRPr="00FC04DA">
        <w:rPr>
          <w:rStyle w:val="FootnoteReference"/>
        </w:rPr>
        <w:footnoteRef/>
      </w:r>
      <w:r w:rsidRPr="00FC04DA">
        <w:t xml:space="preserve"> CCPR/C/GBR/CO/7, ‘UN Human Rights Committee Concluding Observations on the Seventh Periodic Report of the United Kingdom of Great Britain and Northern Ireland’, 17 August 2015, at para 23</w:t>
      </w:r>
      <w:r w:rsidR="00E43BFB">
        <w:t xml:space="preserve">; </w:t>
      </w:r>
      <w:r w:rsidRPr="00FC04DA">
        <w:t>CRC/C/GBR/CO/6-7, 'UN CRC Committee Concluding Observations on the Sixth and Seventh Periodic Reports of the UK of Great Britain and NI', 2 June 2023, at paras 54(a)-54(c).</w:t>
      </w:r>
    </w:p>
  </w:footnote>
  <w:footnote w:id="267">
    <w:p w14:paraId="0736F803" w14:textId="77777777" w:rsidR="002C2498" w:rsidRPr="00FC04DA" w:rsidRDefault="002C2498" w:rsidP="00E43BFB">
      <w:pPr>
        <w:pStyle w:val="NIHRCFootnotes0"/>
      </w:pPr>
      <w:r w:rsidRPr="00FC04DA">
        <w:rPr>
          <w:rStyle w:val="FootnoteReference"/>
        </w:rPr>
        <w:footnoteRef/>
      </w:r>
      <w:r w:rsidRPr="00FC04DA">
        <w:t xml:space="preserve"> ‘NI criminal justice system ‘at breaking point’’, </w:t>
      </w:r>
      <w:r w:rsidRPr="00FC04DA">
        <w:rPr>
          <w:i/>
          <w:iCs/>
        </w:rPr>
        <w:t>BBC News</w:t>
      </w:r>
      <w:r w:rsidRPr="00FC04DA">
        <w:t>, 6 June 2023; Criminal Justice Inspection NI, ‘The operation of bail and remand in NI’ (CJINI, 2023), at para 4.9.</w:t>
      </w:r>
    </w:p>
  </w:footnote>
  <w:footnote w:id="268">
    <w:p w14:paraId="74FA3A94" w14:textId="77777777" w:rsidR="0036641D" w:rsidRPr="00FC04DA" w:rsidRDefault="0036641D" w:rsidP="00E43BFB">
      <w:pPr>
        <w:pStyle w:val="NIHRCFootnotes0"/>
      </w:pPr>
      <w:r w:rsidRPr="00FC04DA">
        <w:rPr>
          <w:rStyle w:val="FootnoteReference"/>
        </w:rPr>
        <w:footnoteRef/>
      </w:r>
      <w:r w:rsidRPr="00FC04DA">
        <w:t xml:space="preserve"> Ministry of Justice, ‘Report on the Use of Closed Material Procedure (from 25 June 2020 to 24 June 2021)’ (MoJ, 2022), at 4.</w:t>
      </w:r>
    </w:p>
  </w:footnote>
  <w:footnote w:id="269">
    <w:p w14:paraId="19009CA2" w14:textId="43F9D166" w:rsidR="00E43BFB" w:rsidRDefault="00E43BFB" w:rsidP="00E43BFB">
      <w:pPr>
        <w:pStyle w:val="NIHRCFootnotes0"/>
      </w:pPr>
      <w:r>
        <w:rPr>
          <w:rStyle w:val="FootnoteReference"/>
        </w:rPr>
        <w:footnoteRef/>
      </w:r>
      <w:r>
        <w:t xml:space="preserve"> Ibid.</w:t>
      </w:r>
    </w:p>
  </w:footnote>
  <w:footnote w:id="270">
    <w:p w14:paraId="0BABB65D" w14:textId="15488086" w:rsidR="0036641D" w:rsidRPr="00FC04DA" w:rsidRDefault="0036641D" w:rsidP="00E43BFB">
      <w:pPr>
        <w:pStyle w:val="NIHRCFootnotes0"/>
      </w:pPr>
      <w:r w:rsidRPr="00FC04DA">
        <w:rPr>
          <w:rStyle w:val="FootnoteReference"/>
        </w:rPr>
        <w:footnoteRef/>
      </w:r>
      <w:r w:rsidRPr="00FC04DA">
        <w:t xml:space="preserve"> </w:t>
      </w:r>
      <w:r w:rsidR="00E43BFB">
        <w:t>Ibid</w:t>
      </w:r>
      <w:r w:rsidRPr="00FC04DA">
        <w:t>, at 6.</w:t>
      </w:r>
    </w:p>
  </w:footnote>
  <w:footnote w:id="271">
    <w:p w14:paraId="4A09102C" w14:textId="7AF0D510" w:rsidR="00225E4E" w:rsidRPr="00FC04DA" w:rsidRDefault="00225E4E" w:rsidP="00E43BFB">
      <w:pPr>
        <w:pStyle w:val="NIHRCFootnotes0"/>
      </w:pPr>
      <w:r w:rsidRPr="00FC04DA">
        <w:rPr>
          <w:rStyle w:val="FootnoteReference"/>
        </w:rPr>
        <w:footnoteRef/>
      </w:r>
      <w:r w:rsidRPr="00FC04DA">
        <w:t xml:space="preserve"> </w:t>
      </w:r>
      <w:r w:rsidR="00E43BFB">
        <w:t>Ibid</w:t>
      </w:r>
      <w:r w:rsidRPr="00FC04DA">
        <w:t>, at 7.</w:t>
      </w:r>
    </w:p>
  </w:footnote>
  <w:footnote w:id="272">
    <w:p w14:paraId="104B0D9D" w14:textId="77777777" w:rsidR="007D2AAB" w:rsidRPr="00FC04DA" w:rsidRDefault="007D2AAB" w:rsidP="00E43BFB">
      <w:pPr>
        <w:pStyle w:val="NIHRCFootnotes0"/>
      </w:pPr>
      <w:r w:rsidRPr="00FC04DA">
        <w:rPr>
          <w:vertAlign w:val="superscript"/>
        </w:rPr>
        <w:footnoteRef/>
      </w:r>
      <w:r w:rsidRPr="00FC04DA">
        <w:t xml:space="preserve"> Sir Duncan Ouseley, ‘Review of Closed Material Procedure in the Justice and Security Act 2013’ (MoJ, 2022), at 115. </w:t>
      </w:r>
    </w:p>
  </w:footnote>
  <w:footnote w:id="273">
    <w:p w14:paraId="78A1CA38" w14:textId="77777777" w:rsidR="00466F12" w:rsidRPr="00FC04DA" w:rsidRDefault="00466F12" w:rsidP="00E43BFB">
      <w:pPr>
        <w:pStyle w:val="NIHRCFootnotes0"/>
      </w:pPr>
      <w:r w:rsidRPr="00FC04DA">
        <w:rPr>
          <w:rStyle w:val="FootnoteReference"/>
        </w:rPr>
        <w:footnoteRef/>
      </w:r>
      <w:r w:rsidRPr="00FC04DA">
        <w:t xml:space="preserve"> CCPR/C/GBR/CO/7, ‘UN Human Rights Committee Concluding Observations on the Seventh Periodic Report of the United Kingdom of Great Britain and Northern Ireland’, 17 August 2015, at para 22(b).</w:t>
      </w:r>
    </w:p>
  </w:footnote>
  <w:footnote w:id="274">
    <w:p w14:paraId="0135C422" w14:textId="1E355A69" w:rsidR="000524F0" w:rsidRPr="00FC04DA" w:rsidRDefault="000524F0" w:rsidP="00E43BFB">
      <w:pPr>
        <w:pStyle w:val="NIHRCFootnotes0"/>
      </w:pPr>
      <w:r w:rsidRPr="00FC04DA">
        <w:rPr>
          <w:rStyle w:val="FootnoteReference"/>
        </w:rPr>
        <w:footnoteRef/>
      </w:r>
      <w:r w:rsidRPr="00FC04DA">
        <w:t xml:space="preserve"> European Court of Human Rights, ‘Press Release: Grand Chamber to examine case concerning refusal of compensation following unsafe convictions’, 3 March 2023.</w:t>
      </w:r>
    </w:p>
  </w:footnote>
  <w:footnote w:id="275">
    <w:p w14:paraId="0BC39311" w14:textId="4974CFE6" w:rsidR="00DE0EB4" w:rsidRPr="00FC04DA" w:rsidRDefault="00DE0EB4" w:rsidP="00E43BFB">
      <w:pPr>
        <w:pStyle w:val="NIHRCFootnotes0"/>
      </w:pPr>
      <w:r w:rsidRPr="00FC04DA">
        <w:rPr>
          <w:rStyle w:val="FootnoteReference"/>
        </w:rPr>
        <w:footnoteRef/>
      </w:r>
      <w:r w:rsidRPr="00FC04DA">
        <w:t xml:space="preserve"> </w:t>
      </w:r>
      <w:r w:rsidR="00A25955" w:rsidRPr="00FC04DA">
        <w:t xml:space="preserve">Section 1 of the Justice and Security (NI) Act 2007 enables the Director of Public Prosecutions for NI to issue a certificate in relation to any trial on indictment of a defendant (and anyone tried with that defendant). The effect of the certificate is that the trial is conducted in the Crown Court without a jury. </w:t>
      </w:r>
      <w:r w:rsidR="00051B85" w:rsidRPr="00FC04DA">
        <w:t>Of the 13</w:t>
      </w:r>
      <w:r w:rsidR="00A25955" w:rsidRPr="00FC04DA">
        <w:t xml:space="preserve"> defendants in 2022</w:t>
      </w:r>
      <w:r w:rsidR="00051B85" w:rsidRPr="00FC04DA">
        <w:t>, 12 were found guilty of at least one offence while the remaining defendant was found not guilty on all charges.</w:t>
      </w:r>
      <w:r w:rsidR="00A25955" w:rsidRPr="00FC04DA">
        <w:t xml:space="preserve"> See </w:t>
      </w:r>
      <w:r w:rsidR="00BA361F" w:rsidRPr="00FC04DA">
        <w:t>NI Office, ‘NI</w:t>
      </w:r>
      <w:r w:rsidR="00230C4E" w:rsidRPr="00FC04DA">
        <w:t xml:space="preserve"> Terrorism Legislation: Annual Statistics 2022’</w:t>
      </w:r>
      <w:r w:rsidR="00A43948" w:rsidRPr="00FC04DA">
        <w:t xml:space="preserve"> (NIO, 2023), </w:t>
      </w:r>
      <w:r w:rsidR="00A25955" w:rsidRPr="00FC04DA">
        <w:t>at 6.</w:t>
      </w:r>
    </w:p>
  </w:footnote>
  <w:footnote w:id="276">
    <w:p w14:paraId="30E9BE71" w14:textId="6EE7CB54" w:rsidR="00BD4325" w:rsidRPr="00FC04DA" w:rsidRDefault="00BD4325" w:rsidP="00E43BFB">
      <w:pPr>
        <w:pStyle w:val="NIHRCFootnotes0"/>
      </w:pPr>
      <w:r w:rsidRPr="00FC04DA">
        <w:rPr>
          <w:rStyle w:val="FootnoteReference"/>
        </w:rPr>
        <w:footnoteRef/>
      </w:r>
      <w:r w:rsidRPr="00FC04DA">
        <w:t xml:space="preserve"> Justice and Security (NI) Act 2007 (Extension of Duration of Non-jury Trial Provisions) Order 2023.</w:t>
      </w:r>
    </w:p>
  </w:footnote>
  <w:footnote w:id="277">
    <w:p w14:paraId="5CAB9AED" w14:textId="77777777" w:rsidR="00736343" w:rsidRPr="00FC04DA" w:rsidRDefault="00736343" w:rsidP="00E43BFB">
      <w:pPr>
        <w:pStyle w:val="NIHRCFootnotes0"/>
      </w:pPr>
      <w:r w:rsidRPr="00FC04DA">
        <w:rPr>
          <w:rStyle w:val="FootnoteReference"/>
        </w:rPr>
        <w:footnoteRef/>
      </w:r>
      <w:r w:rsidRPr="00FC04DA">
        <w:t xml:space="preserve"> Letter from the NI Human Rights Commission to the Secretary of State for NI, Brandon Lewis MP, 11 February 2021.</w:t>
      </w:r>
    </w:p>
  </w:footnote>
  <w:footnote w:id="278">
    <w:p w14:paraId="4721785A" w14:textId="77777777" w:rsidR="003525DB" w:rsidRPr="00FC04DA" w:rsidRDefault="003525DB" w:rsidP="00E43BFB">
      <w:pPr>
        <w:pStyle w:val="NIHRCFootnotes0"/>
      </w:pPr>
      <w:r w:rsidRPr="00FC04DA">
        <w:rPr>
          <w:rStyle w:val="FootnoteReference"/>
        </w:rPr>
        <w:footnoteRef/>
      </w:r>
      <w:r w:rsidRPr="00FC04DA">
        <w:t xml:space="preserve"> NI Office, ‘Non-Jury Trials Working Group: Report to the Independent Reviewer of the Justice and Security (NI) Act 2007’ (NIO, 2022); Professor Marie Breen-Smyth, ‘Report of the Independent Reviewer Justice and Security (Northern Ireland) Act 2007 Fifteenth Report 1 August 2021 – 31 July 2022’ (NIO, 2023) at 109. </w:t>
      </w:r>
    </w:p>
  </w:footnote>
  <w:footnote w:id="279">
    <w:p w14:paraId="57FBC1E4" w14:textId="74676122" w:rsidR="00913057" w:rsidRPr="00FC04DA" w:rsidRDefault="00913057" w:rsidP="00E43BFB">
      <w:pPr>
        <w:pStyle w:val="NIHRCFootnotes0"/>
      </w:pPr>
      <w:r w:rsidRPr="00FC04DA">
        <w:rPr>
          <w:rStyle w:val="FootnoteReference"/>
        </w:rPr>
        <w:footnoteRef/>
      </w:r>
      <w:r w:rsidRPr="00FC04DA">
        <w:t xml:space="preserve"> </w:t>
      </w:r>
      <w:r w:rsidR="00E43BFB">
        <w:t>Ibid</w:t>
      </w:r>
      <w:r w:rsidR="00ED2B9C" w:rsidRPr="00FC04DA">
        <w:t xml:space="preserve">. </w:t>
      </w:r>
    </w:p>
  </w:footnote>
  <w:footnote w:id="280">
    <w:p w14:paraId="511E6A33" w14:textId="77777777" w:rsidR="000E68DC" w:rsidRPr="00FC04DA" w:rsidRDefault="000E68DC" w:rsidP="00E43BFB">
      <w:pPr>
        <w:pStyle w:val="NIHRCFootnotes0"/>
      </w:pPr>
      <w:r w:rsidRPr="00FC04DA">
        <w:rPr>
          <w:rStyle w:val="FootnoteReference"/>
        </w:rPr>
        <w:footnoteRef/>
      </w:r>
      <w:r w:rsidRPr="00FC04DA">
        <w:t xml:space="preserve"> Article 596-632, UK-EU Trade and Cooperation Agreement 2020.</w:t>
      </w:r>
    </w:p>
  </w:footnote>
  <w:footnote w:id="281">
    <w:p w14:paraId="72E1E1B9" w14:textId="5445882C" w:rsidR="00A80D69" w:rsidRPr="00FC04DA" w:rsidRDefault="00A80D69" w:rsidP="00E43BFB">
      <w:pPr>
        <w:pStyle w:val="NIHRCFootnotes0"/>
      </w:pPr>
      <w:r w:rsidRPr="00FC04DA">
        <w:rPr>
          <w:rStyle w:val="FootnoteReference"/>
        </w:rPr>
        <w:footnoteRef/>
      </w:r>
      <w:r w:rsidRPr="00FC04DA">
        <w:t xml:space="preserve"> </w:t>
      </w:r>
      <w:r w:rsidRPr="00FC04DA">
        <w:rPr>
          <w:bCs/>
        </w:rPr>
        <w:t>Before 1 January 2021, cross-border disputes within the EU relating to children were regulated under the Brussels IIa Regulation</w:t>
      </w:r>
      <w:r w:rsidRPr="00FC04DA" w:rsidDel="00F755BB">
        <w:rPr>
          <w:bCs/>
        </w:rPr>
        <w:t xml:space="preserve"> (‘Brussels IIa’</w:t>
      </w:r>
      <w:r w:rsidRPr="00FC04DA">
        <w:rPr>
          <w:bCs/>
        </w:rPr>
        <w:t xml:space="preserve">). </w:t>
      </w:r>
      <w:r w:rsidRPr="00FC04DA">
        <w:t>Regulation 2201/2003/EU, ‘EU Council Regulation Concerning Jurisdiction and the Recognition and Enforcement of Judgments in Matrimonial Matters and the Matters of Parental Responsibility (Brussels IIa)’, 27 November 2003.</w:t>
      </w:r>
    </w:p>
  </w:footnote>
  <w:footnote w:id="282">
    <w:p w14:paraId="0F0318B0" w14:textId="77777777" w:rsidR="000E68DC" w:rsidRPr="00FC04DA" w:rsidRDefault="000E68DC" w:rsidP="00E43BFB">
      <w:pPr>
        <w:pStyle w:val="NIHRCFootnotes0"/>
      </w:pPr>
      <w:r w:rsidRPr="00FC04DA">
        <w:rPr>
          <w:rStyle w:val="FootnoteReference"/>
        </w:rPr>
        <w:footnoteRef/>
      </w:r>
      <w:r w:rsidRPr="00FC04DA">
        <w:t xml:space="preserve"> Ratified by the UK in 2012.</w:t>
      </w:r>
    </w:p>
  </w:footnote>
  <w:footnote w:id="283">
    <w:p w14:paraId="2B26AE6C" w14:textId="248A7417" w:rsidR="00142D72" w:rsidRPr="00FC04DA" w:rsidRDefault="00142D72" w:rsidP="00E43BFB">
      <w:pPr>
        <w:pStyle w:val="NIHRCFootnotes0"/>
      </w:pPr>
      <w:r w:rsidRPr="00FC04DA">
        <w:rPr>
          <w:rStyle w:val="FootnoteReference"/>
        </w:rPr>
        <w:footnoteRef/>
      </w:r>
      <w:r w:rsidRPr="00FC04DA">
        <w:t>N</w:t>
      </w:r>
      <w:r w:rsidR="00ED1DC7" w:rsidRPr="00FC04DA">
        <w:t xml:space="preserve">I </w:t>
      </w:r>
      <w:r w:rsidRPr="00FC04DA">
        <w:t>Human Rights Commission, ‘</w:t>
      </w:r>
      <w:r w:rsidR="00ED1DC7" w:rsidRPr="00FC04DA">
        <w:t xml:space="preserve">NIHRC Briefing on the Data Protection and Digital Information Bill’ (NIHRC, 2023), at para </w:t>
      </w:r>
      <w:r w:rsidR="00975857" w:rsidRPr="00FC04DA">
        <w:t xml:space="preserve">3.10. </w:t>
      </w:r>
    </w:p>
  </w:footnote>
  <w:footnote w:id="284">
    <w:p w14:paraId="3DD695C7" w14:textId="77777777" w:rsidR="007F5166" w:rsidRPr="00FC04DA" w:rsidRDefault="007F5166" w:rsidP="00E43BFB">
      <w:pPr>
        <w:pStyle w:val="NIHRCFootnotes0"/>
      </w:pPr>
      <w:r w:rsidRPr="00FC04DA">
        <w:rPr>
          <w:rStyle w:val="FootnoteReference"/>
        </w:rPr>
        <w:footnoteRef/>
      </w:r>
      <w:r w:rsidRPr="00FC04DA">
        <w:rPr>
          <w:vertAlign w:val="superscript"/>
        </w:rPr>
        <w:t xml:space="preserve"> </w:t>
      </w:r>
      <w:r w:rsidRPr="00FC04DA">
        <w:rPr>
          <w:i/>
        </w:rPr>
        <w:t>In the Matter of an Application by Siobhan McLaughlin for Judicial Review (NI)</w:t>
      </w:r>
      <w:r w:rsidRPr="00FC04DA">
        <w:t xml:space="preserve"> [2018] UKSC 48.</w:t>
      </w:r>
    </w:p>
  </w:footnote>
  <w:footnote w:id="285">
    <w:p w14:paraId="72E62CCE" w14:textId="5090557D" w:rsidR="007F75E7" w:rsidRPr="00FC04DA" w:rsidRDefault="007F75E7" w:rsidP="00E43BFB">
      <w:pPr>
        <w:pStyle w:val="NIHRCFootnotes0"/>
      </w:pPr>
      <w:r w:rsidRPr="00FC04DA">
        <w:rPr>
          <w:rStyle w:val="FootnoteReference"/>
        </w:rPr>
        <w:footnoteRef/>
      </w:r>
      <w:r w:rsidRPr="00FC04DA">
        <w:t xml:space="preserve"> </w:t>
      </w:r>
      <w:r w:rsidR="00AD32E5" w:rsidRPr="00FC04DA">
        <w:t>Where a claimant’s late partner died before this date, the Remedial Order provides for a part payment of the higher rate of Bereavement Support Payment, if the death was after 5 April 2017, provided that the claim is made by 8 February 2024</w:t>
      </w:r>
      <w:r w:rsidR="00E77ACE" w:rsidRPr="00FC04DA">
        <w:t>.</w:t>
      </w:r>
    </w:p>
  </w:footnote>
  <w:footnote w:id="286">
    <w:p w14:paraId="1B12935D" w14:textId="3632BF06" w:rsidR="003E3867" w:rsidRPr="00FC04DA" w:rsidRDefault="003E3867" w:rsidP="00E43BFB">
      <w:pPr>
        <w:pStyle w:val="NIHRCFootnotes0"/>
      </w:pPr>
      <w:r w:rsidRPr="00FC04DA">
        <w:rPr>
          <w:rStyle w:val="FootnoteReference"/>
        </w:rPr>
        <w:footnoteRef/>
      </w:r>
      <w:r w:rsidRPr="00FC04DA">
        <w:t xml:space="preserve"> </w:t>
      </w:r>
      <w:r w:rsidR="00A2250A" w:rsidRPr="00FC04DA">
        <w:t>Where their late partner died before 6 April 2017, and they continue to meet the entitlement conditions on 30 August 2018</w:t>
      </w:r>
      <w:r w:rsidR="00C31DA0" w:rsidRPr="00FC04DA">
        <w:t xml:space="preserve">. </w:t>
      </w:r>
      <w:r w:rsidR="00C31DA0" w:rsidRPr="00FC04DA">
        <w:rPr>
          <w:i/>
          <w:iCs/>
        </w:rPr>
        <w:t xml:space="preserve">See </w:t>
      </w:r>
      <w:r w:rsidRPr="00FC04DA">
        <w:t>Department for Work and Pensions, ‘Explanatory Memorandum to The Bereavement Benefits (Remedial) Order 2022’ (DWP, 2022), at para 7.13.</w:t>
      </w:r>
    </w:p>
  </w:footnote>
  <w:footnote w:id="287">
    <w:p w14:paraId="70653817" w14:textId="7C0601B6" w:rsidR="000F25C4" w:rsidRPr="00FC04DA" w:rsidRDefault="000F25C4" w:rsidP="00E43BFB">
      <w:pPr>
        <w:pStyle w:val="NIHRCFootnotes0"/>
      </w:pPr>
      <w:r w:rsidRPr="00FC04DA">
        <w:rPr>
          <w:rStyle w:val="FootnoteReference"/>
        </w:rPr>
        <w:footnoteRef/>
      </w:r>
      <w:r w:rsidRPr="00FC04DA">
        <w:t xml:space="preserve"> NI Human Rights Commission, ‘Submission to Joint Committee for Human Rights on the Proposal for a draft Bereavement Benefits (Remedial) Order 2021' (NIHRC, 2021)</w:t>
      </w:r>
      <w:r w:rsidR="00D62199" w:rsidRPr="00FC04DA">
        <w:t>; House of Commons and House of Lords Joint Committee for Human Rights, ‘Proposal for a Draft Bereavement Benefits Remedial Order 2021: Discrimination against Cohabiting Partners’ (JCHR, 2021).</w:t>
      </w:r>
    </w:p>
  </w:footnote>
  <w:footnote w:id="288">
    <w:p w14:paraId="152B8EFA" w14:textId="604D2191" w:rsidR="00B92132" w:rsidRPr="00FC04DA" w:rsidRDefault="00B92132" w:rsidP="00E43BFB">
      <w:pPr>
        <w:pStyle w:val="NIHRCFootnotes0"/>
      </w:pPr>
      <w:r w:rsidRPr="00FC04DA">
        <w:rPr>
          <w:rStyle w:val="FootnoteReference"/>
        </w:rPr>
        <w:footnoteRef/>
      </w:r>
      <w:r w:rsidRPr="00FC04DA">
        <w:t xml:space="preserve"> </w:t>
      </w:r>
      <w:r w:rsidR="001B0821" w:rsidRPr="00FC04DA">
        <w:t>In 2008, the ECtHR found that UK laws on retention of biometric data violated Article 8</w:t>
      </w:r>
      <w:r w:rsidR="00AC5E2D" w:rsidRPr="00FC04DA">
        <w:t xml:space="preserve"> of the </w:t>
      </w:r>
      <w:r w:rsidR="001B0821" w:rsidRPr="00FC04DA">
        <w:t xml:space="preserve">ECHR. The Criminal Justice Act (NI) 2013 aimed to rectify this. However, </w:t>
      </w:r>
      <w:r w:rsidR="00C758CE" w:rsidRPr="00FC04DA">
        <w:t xml:space="preserve">Schedule 2 of the Criminal Justice Act (NI) 2013 </w:t>
      </w:r>
      <w:r w:rsidR="001B0821" w:rsidRPr="00FC04DA">
        <w:t xml:space="preserve">that </w:t>
      </w:r>
      <w:r w:rsidR="00C758CE" w:rsidRPr="00FC04DA">
        <w:t>provides the statutory framework for the retention of biometric data was not commenced pending political agreement on its effect on legacy investigations in NI.</w:t>
      </w:r>
    </w:p>
  </w:footnote>
  <w:footnote w:id="289">
    <w:p w14:paraId="172B5775" w14:textId="77777777" w:rsidR="00133999" w:rsidRPr="00FC04DA" w:rsidRDefault="00133999" w:rsidP="00E43BFB">
      <w:pPr>
        <w:pStyle w:val="NIHRCFootnotes0"/>
      </w:pPr>
      <w:r w:rsidRPr="00FC04DA">
        <w:rPr>
          <w:rStyle w:val="FootnoteReference"/>
        </w:rPr>
        <w:footnoteRef/>
      </w:r>
      <w:r w:rsidRPr="00FC04DA">
        <w:t xml:space="preserve"> </w:t>
      </w:r>
      <w:r w:rsidRPr="00FC04DA">
        <w:rPr>
          <w:i/>
          <w:iCs/>
        </w:rPr>
        <w:t>Gaughran v UK</w:t>
      </w:r>
      <w:r w:rsidRPr="00FC04DA">
        <w:t xml:space="preserve"> (2020) ECHR 144, at 96.</w:t>
      </w:r>
    </w:p>
  </w:footnote>
  <w:footnote w:id="290">
    <w:p w14:paraId="459B3D2B" w14:textId="19C2C475" w:rsidR="0052513B" w:rsidRPr="00FC04DA" w:rsidRDefault="0052513B" w:rsidP="00E43BFB">
      <w:pPr>
        <w:pStyle w:val="NIHRCFootnotes0"/>
      </w:pPr>
      <w:r w:rsidRPr="00FC04DA">
        <w:rPr>
          <w:rStyle w:val="FootnoteReference"/>
        </w:rPr>
        <w:footnoteRef/>
      </w:r>
      <w:r w:rsidRPr="00FC04DA">
        <w:t xml:space="preserve"> </w:t>
      </w:r>
      <w:r w:rsidR="00894435" w:rsidRPr="00FC04DA">
        <w:t xml:space="preserve">Department of Justice, ‘Consultation on Proposals to Amend the Legislation Governing the Retention of DNA and Fingerprints in NI’ (DoJ, 2020), at 96. </w:t>
      </w:r>
    </w:p>
  </w:footnote>
  <w:footnote w:id="291">
    <w:p w14:paraId="177976A9" w14:textId="41713B7E" w:rsidR="00CA3519" w:rsidRPr="00FC04DA" w:rsidRDefault="00CA3519" w:rsidP="00E43BFB">
      <w:pPr>
        <w:pStyle w:val="NIHRCFootnotes0"/>
      </w:pPr>
      <w:r w:rsidRPr="00FC04DA">
        <w:rPr>
          <w:rStyle w:val="FootnoteReference"/>
        </w:rPr>
        <w:footnoteRef/>
      </w:r>
      <w:r w:rsidRPr="00FC04DA">
        <w:t xml:space="preserve"> </w:t>
      </w:r>
      <w:r w:rsidR="00713094" w:rsidRPr="00FC04DA">
        <w:t>NI Human Rights Commission, ‘Press Release: Human Rights Commission secures settlement in DNA fingerprint retention case’, 9 January 2019.</w:t>
      </w:r>
    </w:p>
  </w:footnote>
  <w:footnote w:id="292">
    <w:p w14:paraId="29E6A617" w14:textId="7E96FD2E" w:rsidR="00713094" w:rsidRPr="00FC04DA" w:rsidRDefault="00713094" w:rsidP="00E43BFB">
      <w:pPr>
        <w:pStyle w:val="NIHRCFootnotes0"/>
      </w:pPr>
      <w:r w:rsidRPr="00FC04DA">
        <w:rPr>
          <w:rStyle w:val="FootnoteReference"/>
        </w:rPr>
        <w:footnoteRef/>
      </w:r>
      <w:r w:rsidRPr="00FC04DA">
        <w:t xml:space="preserve"> </w:t>
      </w:r>
      <w:r w:rsidR="006328B9" w:rsidRPr="00FC04DA">
        <w:t>Police Service of NI, ‘Service Instruction SI9999 on Biometric Retention’ (PSNI, 2022).</w:t>
      </w:r>
    </w:p>
  </w:footnote>
  <w:footnote w:id="293">
    <w:p w14:paraId="4C6AF688" w14:textId="5DC6A03A" w:rsidR="00040AD7" w:rsidRPr="00FC04DA" w:rsidRDefault="00040AD7" w:rsidP="00E43BFB">
      <w:pPr>
        <w:pStyle w:val="NIHRCFootnotes0"/>
      </w:pPr>
      <w:r w:rsidRPr="00FC04DA">
        <w:rPr>
          <w:rStyle w:val="FootnoteReference"/>
        </w:rPr>
        <w:footnoteRef/>
      </w:r>
      <w:r w:rsidRPr="00FC04DA">
        <w:t xml:space="preserve"> </w:t>
      </w:r>
      <w:r w:rsidR="008D4AF5" w:rsidRPr="00FC04DA">
        <w:t>NI Policing Board, ‘</w:t>
      </w:r>
      <w:r w:rsidR="004231AF" w:rsidRPr="00FC04DA">
        <w:t>Human Rights Review of Privacy and Policing’ (NIPB, 2023), a</w:t>
      </w:r>
      <w:r w:rsidRPr="00FC04DA">
        <w:t>t 113.</w:t>
      </w:r>
    </w:p>
  </w:footnote>
  <w:footnote w:id="294">
    <w:p w14:paraId="63F1ED5C" w14:textId="1BF1AF0B" w:rsidR="000C3B80" w:rsidRPr="00FC04DA" w:rsidRDefault="000C3B80" w:rsidP="00E43BFB">
      <w:pPr>
        <w:pStyle w:val="NIHRCFootnotes0"/>
      </w:pPr>
      <w:r w:rsidRPr="00FC04DA">
        <w:rPr>
          <w:rStyle w:val="FootnoteReference"/>
        </w:rPr>
        <w:footnoteRef/>
      </w:r>
      <w:r w:rsidRPr="00FC04DA">
        <w:t xml:space="preserve"> </w:t>
      </w:r>
      <w:r w:rsidR="00E5488F" w:rsidRPr="00FC04DA">
        <w:t>This represents a four per cent increase since 2021/2022.</w:t>
      </w:r>
      <w:r w:rsidR="0045042B" w:rsidRPr="00FC04DA">
        <w:t xml:space="preserve"> Of the 23,650 stops in</w:t>
      </w:r>
      <w:r w:rsidR="00897280" w:rsidRPr="00FC04DA">
        <w:t xml:space="preserve"> </w:t>
      </w:r>
      <w:r w:rsidR="00052AA0" w:rsidRPr="00FC04DA">
        <w:t xml:space="preserve">2022/2023, </w:t>
      </w:r>
      <w:r w:rsidR="0045042B" w:rsidRPr="00FC04DA">
        <w:t>73</w:t>
      </w:r>
      <w:r w:rsidR="00052AA0" w:rsidRPr="00FC04DA">
        <w:t xml:space="preserve"> per cent</w:t>
      </w:r>
      <w:r w:rsidR="0045042B" w:rsidRPr="00FC04DA">
        <w:t xml:space="preserve"> were conducted under the Misuse of Drugs Act (</w:t>
      </w:r>
      <w:r w:rsidR="000A3DA8" w:rsidRPr="00FC04DA">
        <w:t xml:space="preserve">subsequent </w:t>
      </w:r>
      <w:r w:rsidR="0045042B" w:rsidRPr="00FC04DA">
        <w:t>arrest rate</w:t>
      </w:r>
      <w:r w:rsidR="000A3DA8" w:rsidRPr="00FC04DA">
        <w:t xml:space="preserve"> of</w:t>
      </w:r>
      <w:r w:rsidR="0045042B" w:rsidRPr="00FC04DA">
        <w:t xml:space="preserve"> 5</w:t>
      </w:r>
      <w:r w:rsidR="00052AA0" w:rsidRPr="00FC04DA">
        <w:t xml:space="preserve"> per cent</w:t>
      </w:r>
      <w:r w:rsidR="0045042B" w:rsidRPr="00FC04DA">
        <w:t>)</w:t>
      </w:r>
      <w:r w:rsidR="00FC2B59" w:rsidRPr="00FC04DA">
        <w:t>,</w:t>
      </w:r>
      <w:r w:rsidR="00A445AC" w:rsidRPr="00FC04DA">
        <w:t xml:space="preserve"> </w:t>
      </w:r>
      <w:r w:rsidR="0045042B" w:rsidRPr="00FC04DA">
        <w:t>11</w:t>
      </w:r>
      <w:r w:rsidR="00052AA0" w:rsidRPr="00FC04DA">
        <w:t xml:space="preserve"> per cent</w:t>
      </w:r>
      <w:r w:rsidR="0045042B" w:rsidRPr="00FC04DA">
        <w:t xml:space="preserve"> were conducted under </w:t>
      </w:r>
      <w:r w:rsidR="00DC5D27" w:rsidRPr="00FC04DA">
        <w:t xml:space="preserve">the Police and Criminal Evidence </w:t>
      </w:r>
      <w:r w:rsidR="002C7101" w:rsidRPr="00FC04DA">
        <w:t xml:space="preserve">(NI) </w:t>
      </w:r>
      <w:r w:rsidR="00DC5D27" w:rsidRPr="00FC04DA">
        <w:t>Order</w:t>
      </w:r>
      <w:r w:rsidR="002C7101" w:rsidRPr="00FC04DA">
        <w:t xml:space="preserve"> 1989</w:t>
      </w:r>
      <w:r w:rsidR="0045042B" w:rsidRPr="00FC04DA">
        <w:t xml:space="preserve"> (arrest rate 20</w:t>
      </w:r>
      <w:r w:rsidR="00DC5D27" w:rsidRPr="00FC04DA">
        <w:t xml:space="preserve"> per cent</w:t>
      </w:r>
      <w:r w:rsidR="0045042B" w:rsidRPr="00FC04DA">
        <w:t>)</w:t>
      </w:r>
      <w:r w:rsidR="00FC2B59" w:rsidRPr="00FC04DA">
        <w:t xml:space="preserve"> and 16 </w:t>
      </w:r>
      <w:r w:rsidR="00DC5D27" w:rsidRPr="00FC04DA">
        <w:t>per cent</w:t>
      </w:r>
      <w:r w:rsidR="0045042B" w:rsidRPr="00FC04DA">
        <w:t xml:space="preserve"> were conducted under </w:t>
      </w:r>
      <w:r w:rsidR="00E228F1" w:rsidRPr="00FC04DA">
        <w:t>counter</w:t>
      </w:r>
      <w:r w:rsidR="0028330A" w:rsidRPr="00FC04DA">
        <w:t xml:space="preserve"> terrorism powers (</w:t>
      </w:r>
      <w:r w:rsidR="00F71CDA" w:rsidRPr="00FC04DA">
        <w:t xml:space="preserve">further </w:t>
      </w:r>
      <w:r w:rsidR="0028330A" w:rsidRPr="00FC04DA">
        <w:t>breakdown below).</w:t>
      </w:r>
      <w:r w:rsidR="00E5488F" w:rsidRPr="00FC04DA">
        <w:t xml:space="preserve"> </w:t>
      </w:r>
      <w:r w:rsidR="00E5488F" w:rsidRPr="00FC04DA">
        <w:rPr>
          <w:i/>
        </w:rPr>
        <w:t>See</w:t>
      </w:r>
      <w:r w:rsidR="00E5488F" w:rsidRPr="00FC04DA">
        <w:t xml:space="preserve"> </w:t>
      </w:r>
      <w:r w:rsidR="00E5488F" w:rsidRPr="00FC04DA">
        <w:rPr>
          <w:rStyle w:val="normaltextrun"/>
          <w:shd w:val="clear" w:color="auto" w:fill="FFFFFF"/>
        </w:rPr>
        <w:t>NI Statistics and Research Agency, 'Use of Stop and Search Powers by the Police in NI: 1 April 2022 to 31 March 2023' (NISRA, 2023), at 3.</w:t>
      </w:r>
      <w:r w:rsidR="00E5488F" w:rsidRPr="00FC04DA">
        <w:rPr>
          <w:rStyle w:val="eop"/>
          <w:shd w:val="clear" w:color="auto" w:fill="FFFFFF"/>
        </w:rPr>
        <w:t> </w:t>
      </w:r>
    </w:p>
  </w:footnote>
  <w:footnote w:id="295">
    <w:p w14:paraId="69C4F2AC" w14:textId="77777777" w:rsidR="00872E71" w:rsidRPr="00FC04DA" w:rsidRDefault="00872E71" w:rsidP="00E43BFB">
      <w:pPr>
        <w:pStyle w:val="NIHRCFootnotes0"/>
      </w:pPr>
      <w:r w:rsidRPr="00FC04DA">
        <w:rPr>
          <w:rStyle w:val="FootnoteReference"/>
        </w:rPr>
        <w:footnoteRef/>
      </w:r>
      <w:r w:rsidRPr="00FC04DA">
        <w:t xml:space="preserve"> In 2022/2023, 616 persons were stopped under Section 24 (search for munitions - without suspicion) of the Justice and Security Act (subsequent arrest rate of 1 per cent); 3,037 persons were stopped under Section 21 (stop and question) of the Justice and Security Act (subsequent arrest rate of 1 per cent); 55 persons were stopped under Section 43 (search of persons) of the Terrorism Act 2000 (subsequent arrest rate of 9 per cent); 36 persons were stopped under Section 43A (search of vehicles) of the Terrorism Act 2000 (subsequent arrest rate of 0 per cent); no stops were conducted under Section 47A (searches in specified areas or places- without suspicion) of the Terrorism Act 2000. </w:t>
      </w:r>
      <w:r w:rsidRPr="00FC04DA">
        <w:rPr>
          <w:rStyle w:val="normaltextrun"/>
          <w:i/>
          <w:shd w:val="clear" w:color="auto" w:fill="FFFFFF"/>
        </w:rPr>
        <w:t xml:space="preserve">See </w:t>
      </w:r>
      <w:r w:rsidRPr="00FC04DA">
        <w:rPr>
          <w:rStyle w:val="normaltextrun"/>
          <w:shd w:val="clear" w:color="auto" w:fill="FFFFFF"/>
        </w:rPr>
        <w:t xml:space="preserve">NI Statistics and Research Agency, 'Use of Stop and Search Powers by the Police in NI: 1 April 2022 to 31 March 2023' (NISRA, 2023). </w:t>
      </w:r>
    </w:p>
  </w:footnote>
  <w:footnote w:id="296">
    <w:p w14:paraId="11940225" w14:textId="31E65200" w:rsidR="00667E2C" w:rsidRPr="00FC04DA" w:rsidRDefault="00667E2C" w:rsidP="00E43BFB">
      <w:pPr>
        <w:pStyle w:val="NIHRCFootnotes0"/>
      </w:pPr>
      <w:r w:rsidRPr="00FC04DA">
        <w:rPr>
          <w:rStyle w:val="FootnoteReference"/>
        </w:rPr>
        <w:footnoteRef/>
      </w:r>
      <w:r w:rsidRPr="00FC04DA">
        <w:t xml:space="preserve"> </w:t>
      </w:r>
      <w:r w:rsidRPr="00FC04DA">
        <w:rPr>
          <w:rStyle w:val="normaltextrun"/>
          <w:shd w:val="clear" w:color="auto" w:fill="FFFFFF"/>
        </w:rPr>
        <w:t xml:space="preserve">2,499 were aged 13 to 17 years old, while 62 were aged 12 years and under. </w:t>
      </w:r>
      <w:r w:rsidRPr="00FC04DA">
        <w:rPr>
          <w:rStyle w:val="normaltextrun"/>
          <w:i/>
          <w:shd w:val="clear" w:color="auto" w:fill="FFFFFF"/>
        </w:rPr>
        <w:t>See</w:t>
      </w:r>
      <w:r w:rsidRPr="00FC04DA">
        <w:rPr>
          <w:rStyle w:val="normaltextrun"/>
          <w:shd w:val="clear" w:color="auto" w:fill="FFFFFF"/>
        </w:rPr>
        <w:t xml:space="preserve"> </w:t>
      </w:r>
      <w:r w:rsidR="00856C6C" w:rsidRPr="00FC04DA">
        <w:rPr>
          <w:rStyle w:val="normaltextrun"/>
          <w:shd w:val="clear" w:color="auto" w:fill="FFFFFF"/>
        </w:rPr>
        <w:t>NI Statistics and Research Agency, 'Use of Stop and Search Powers by the Police in NI: 1 April 2022 to 31 March 2023' (NISRA, 2023), at 6.</w:t>
      </w:r>
    </w:p>
  </w:footnote>
  <w:footnote w:id="297">
    <w:p w14:paraId="65F5CA0B" w14:textId="27AF443A" w:rsidR="00495D84" w:rsidRPr="00FC04DA" w:rsidRDefault="00495D84" w:rsidP="00E43BFB">
      <w:pPr>
        <w:pStyle w:val="NIHRCFootnotes0"/>
      </w:pPr>
      <w:r w:rsidRPr="00FC04DA">
        <w:rPr>
          <w:rStyle w:val="FootnoteReference"/>
        </w:rPr>
        <w:footnoteRef/>
      </w:r>
      <w:r w:rsidRPr="00FC04DA">
        <w:t xml:space="preserve"> </w:t>
      </w:r>
      <w:r w:rsidR="00EC507E" w:rsidRPr="00FC04DA">
        <w:t>The</w:t>
      </w:r>
      <w:r w:rsidR="00C93CD0" w:rsidRPr="00FC04DA">
        <w:t xml:space="preserve"> UN Human Rights </w:t>
      </w:r>
      <w:r w:rsidR="00EC507E" w:rsidRPr="00FC04DA">
        <w:t>Committee</w:t>
      </w:r>
      <w:r w:rsidR="00C93CD0" w:rsidRPr="00FC04DA">
        <w:t xml:space="preserve"> and eight successive Independent </w:t>
      </w:r>
      <w:r w:rsidR="00311EE0" w:rsidRPr="00FC04DA">
        <w:t>Reviewers</w:t>
      </w:r>
      <w:r w:rsidR="00C93CD0" w:rsidRPr="00FC04DA">
        <w:t xml:space="preserve"> of the Justice and Security </w:t>
      </w:r>
      <w:r w:rsidR="00311EE0" w:rsidRPr="00FC04DA">
        <w:t xml:space="preserve">(NI) </w:t>
      </w:r>
      <w:r w:rsidR="00C93CD0" w:rsidRPr="00FC04DA">
        <w:t>Act</w:t>
      </w:r>
      <w:r w:rsidR="00CE4B4A" w:rsidRPr="00FC04DA">
        <w:t xml:space="preserve"> 2007</w:t>
      </w:r>
      <w:r w:rsidR="00EC507E" w:rsidRPr="00FC04DA">
        <w:t xml:space="preserve"> have</w:t>
      </w:r>
      <w:r w:rsidR="00C93CD0" w:rsidRPr="00FC04DA">
        <w:t xml:space="preserve"> repeated this recommendation</w:t>
      </w:r>
      <w:r w:rsidR="00EC507E" w:rsidRPr="00FC04DA">
        <w:t xml:space="preserve">. </w:t>
      </w:r>
      <w:r w:rsidR="00EC507E" w:rsidRPr="00FC04DA">
        <w:rPr>
          <w:i/>
          <w:iCs/>
        </w:rPr>
        <w:t>See</w:t>
      </w:r>
      <w:r w:rsidR="00EC507E" w:rsidRPr="00FC04DA">
        <w:t xml:space="preserve"> </w:t>
      </w:r>
      <w:r w:rsidR="00943858" w:rsidRPr="00FC04DA">
        <w:t xml:space="preserve">Professor Marie Breen-Smyth, 'Report of the Independent Reviewer Justice and Security (NI) Act 2007: Fifteenth Report - 1 August 2021-31 July 2022' (NIO, 2023), at </w:t>
      </w:r>
      <w:r w:rsidR="00F4217F" w:rsidRPr="00FC04DA">
        <w:t xml:space="preserve">6.25; and </w:t>
      </w:r>
      <w:r w:rsidRPr="00FC04DA">
        <w:t>CCPR/C/GBR/CO/7, ‘UN Human Rights Committee Concluding Observations on the Seventh Periodic Report of the United Kingdom of Great Britain and Northern Ireland’, 17 August 2015, at para 11.</w:t>
      </w:r>
    </w:p>
  </w:footnote>
  <w:footnote w:id="298">
    <w:p w14:paraId="06EF3751" w14:textId="38320D9D" w:rsidR="00393E87" w:rsidRPr="00FC04DA" w:rsidRDefault="00393E87" w:rsidP="00E43BFB">
      <w:pPr>
        <w:pStyle w:val="NIHRCFootnotes0"/>
      </w:pPr>
      <w:r w:rsidRPr="00FC04DA">
        <w:rPr>
          <w:rStyle w:val="FootnoteReference"/>
        </w:rPr>
        <w:footnoteRef/>
      </w:r>
      <w:r w:rsidRPr="00FC04DA">
        <w:t xml:space="preserve"> </w:t>
      </w:r>
      <w:r w:rsidRPr="00FC04DA">
        <w:rPr>
          <w:i/>
        </w:rPr>
        <w:t>In the Matter of an application by Stephen Ramsey (No 2)</w:t>
      </w:r>
      <w:r w:rsidRPr="00FC04DA">
        <w:t xml:space="preserve"> [2020] NICA 14, at paras 55-58; Professor Marie Breen-Smyth, 'Report of the Independent Reviewer Justice and Security (NI) Act 2007: </w:t>
      </w:r>
      <w:r w:rsidR="001471A7" w:rsidRPr="00FC04DA">
        <w:t>Fifteenth</w:t>
      </w:r>
      <w:r w:rsidRPr="00FC04DA">
        <w:t xml:space="preserve"> Report - 1 August 202</w:t>
      </w:r>
      <w:r w:rsidR="001471A7" w:rsidRPr="00FC04DA">
        <w:t>1</w:t>
      </w:r>
      <w:r w:rsidRPr="00FC04DA">
        <w:t>-31 July 202</w:t>
      </w:r>
      <w:r w:rsidR="001471A7" w:rsidRPr="00FC04DA">
        <w:t>2</w:t>
      </w:r>
      <w:r w:rsidRPr="00FC04DA">
        <w:t>' (NIO, 202</w:t>
      </w:r>
      <w:r w:rsidR="00EA79B3" w:rsidRPr="00FC04DA">
        <w:t>3), at para 2.35.</w:t>
      </w:r>
    </w:p>
  </w:footnote>
  <w:footnote w:id="299">
    <w:p w14:paraId="2480B7C5" w14:textId="04F812BC" w:rsidR="0029415D" w:rsidRPr="00FC04DA" w:rsidRDefault="0029415D" w:rsidP="00E43BFB">
      <w:pPr>
        <w:pStyle w:val="NIHRCFootnotes0"/>
      </w:pPr>
      <w:r w:rsidRPr="00FC04DA">
        <w:rPr>
          <w:rStyle w:val="FootnoteReference"/>
        </w:rPr>
        <w:footnoteRef/>
      </w:r>
      <w:r w:rsidRPr="00FC04DA">
        <w:t xml:space="preserve"> </w:t>
      </w:r>
      <w:r w:rsidR="001F599D" w:rsidRPr="00FC04DA">
        <w:t xml:space="preserve">The Justice and Security (NI) Act 2007 Act applies to the Police Service of NI only. In relation to the power to stop and search for wireless apparatus or munitions under Section 24, the officer does not need to have reasonable suspicion that the person is carrying any such items. </w:t>
      </w:r>
      <w:r w:rsidR="00D406DF" w:rsidRPr="00FC04DA">
        <w:t xml:space="preserve">See </w:t>
      </w:r>
      <w:r w:rsidR="00C46D7F" w:rsidRPr="00FC04DA">
        <w:t xml:space="preserve">Professor Marie Breen-Smyth, 'Report of the Independent Reviewer Justice and Security (NI) Act 2007: Fifteenth Report - 1 August 2021-31 July 2022' (NIO, 2023), at </w:t>
      </w:r>
      <w:r w:rsidR="00E77743">
        <w:t xml:space="preserve">paras </w:t>
      </w:r>
      <w:r w:rsidR="00EA338D" w:rsidRPr="00FC04DA">
        <w:t>5.29</w:t>
      </w:r>
      <w:r w:rsidR="00E77743">
        <w:t>-</w:t>
      </w:r>
      <w:r w:rsidR="005F7F2E" w:rsidRPr="00FC04DA">
        <w:t>5.47.</w:t>
      </w:r>
    </w:p>
  </w:footnote>
  <w:footnote w:id="300">
    <w:p w14:paraId="6088B360" w14:textId="2D0B59C4" w:rsidR="001C42A4" w:rsidRPr="00FC04DA" w:rsidRDefault="001C42A4" w:rsidP="00E43BFB">
      <w:pPr>
        <w:pStyle w:val="NIHRCFootnotes0"/>
      </w:pPr>
      <w:r w:rsidRPr="00FC04DA">
        <w:rPr>
          <w:rStyle w:val="FootnoteReference"/>
        </w:rPr>
        <w:footnoteRef/>
      </w:r>
      <w:r w:rsidRPr="00FC04DA">
        <w:t xml:space="preserve"> </w:t>
      </w:r>
      <w:r w:rsidR="00B217E9" w:rsidRPr="00FC04DA">
        <w:t>Article 6(1) of the Rehabilitation of Offenders (Northern Ireland) Order 1978 prevents certain previous convictions from ever becoming ‘spent’</w:t>
      </w:r>
      <w:r w:rsidR="00B16F67" w:rsidRPr="00FC04DA">
        <w:t xml:space="preserve"> or removed from an individual’s </w:t>
      </w:r>
      <w:r w:rsidR="00E975AD" w:rsidRPr="00FC04DA">
        <w:t xml:space="preserve">criminal </w:t>
      </w:r>
      <w:r w:rsidR="00B16F67" w:rsidRPr="00FC04DA">
        <w:t>record</w:t>
      </w:r>
      <w:r w:rsidR="00B217E9" w:rsidRPr="00FC04DA">
        <w:t xml:space="preserve">. Such sentences include imprisonment for life, imprisonment or corrective training for a term exceeding 30 months and preventive detention. Consequently, this provision prevents those that have served sentences identified within this law from ever becoming a rehabilitated person, irrespective of their circumstances. See </w:t>
      </w:r>
      <w:r w:rsidR="008876B4" w:rsidRPr="00FC04DA">
        <w:t>NI Human Rights Commission</w:t>
      </w:r>
      <w:r w:rsidR="00E17283" w:rsidRPr="00FC04DA">
        <w:t>, ‘</w:t>
      </w:r>
      <w:r w:rsidR="00E77743">
        <w:t>S</w:t>
      </w:r>
      <w:r w:rsidR="00E5218D" w:rsidRPr="00FC04DA">
        <w:t xml:space="preserve">ubmission to Rehabilitation of Offenders Reform </w:t>
      </w:r>
      <w:r w:rsidR="00E77743">
        <w:t>C</w:t>
      </w:r>
      <w:r w:rsidR="00E5218D" w:rsidRPr="00FC04DA">
        <w:t xml:space="preserve">onsultation’ </w:t>
      </w:r>
      <w:r w:rsidR="00D47FA2" w:rsidRPr="00FC04DA">
        <w:t xml:space="preserve">(NIHRC, 2021). </w:t>
      </w:r>
    </w:p>
  </w:footnote>
  <w:footnote w:id="301">
    <w:p w14:paraId="1FF2A238" w14:textId="22D87530" w:rsidR="00441A3F" w:rsidRPr="00FC04DA" w:rsidRDefault="00441A3F" w:rsidP="00E43BFB">
      <w:pPr>
        <w:pStyle w:val="NIHRCFootnotes0"/>
      </w:pPr>
      <w:r w:rsidRPr="00FC04DA">
        <w:rPr>
          <w:rStyle w:val="FootnoteReference"/>
        </w:rPr>
        <w:footnoteRef/>
      </w:r>
      <w:r w:rsidRPr="00FC04DA">
        <w:t xml:space="preserve"> </w:t>
      </w:r>
      <w:r w:rsidR="00B36A77" w:rsidRPr="00FC04DA">
        <w:t>The NIHRC was challenging the</w:t>
      </w:r>
      <w:r w:rsidRPr="00FC04DA">
        <w:t xml:space="preserve"> failure to provide a mechanism by which the applicant could apply to have their criminal convictions considered spent irrespective or the passage of time and their personal circumstances. </w:t>
      </w:r>
      <w:r w:rsidR="00B36A77" w:rsidRPr="00FC04DA">
        <w:rPr>
          <w:i/>
          <w:iCs/>
        </w:rPr>
        <w:t xml:space="preserve">See </w:t>
      </w:r>
      <w:r w:rsidR="00BA7367" w:rsidRPr="00FC04DA">
        <w:rPr>
          <w:i/>
          <w:iCs/>
        </w:rPr>
        <w:t>In the Matter of an Application by JR123 for Judicial Review</w:t>
      </w:r>
      <w:r w:rsidR="00BA7367" w:rsidRPr="00FC04DA">
        <w:t xml:space="preserve"> [2022] NIQB 42.</w:t>
      </w:r>
    </w:p>
  </w:footnote>
  <w:footnote w:id="302">
    <w:p w14:paraId="15B27F55" w14:textId="63E17E8D" w:rsidR="002777E2" w:rsidRPr="00FC04DA" w:rsidRDefault="002777E2" w:rsidP="00E43BFB">
      <w:pPr>
        <w:pStyle w:val="NIHRCFootnotes0"/>
      </w:pPr>
      <w:r w:rsidRPr="00FC04DA">
        <w:rPr>
          <w:rStyle w:val="FootnoteReference"/>
        </w:rPr>
        <w:footnoteRef/>
      </w:r>
      <w:r w:rsidRPr="00FC04DA">
        <w:t xml:space="preserve"> </w:t>
      </w:r>
      <w:r w:rsidR="00773A93" w:rsidRPr="00FC04DA">
        <w:t>For</w:t>
      </w:r>
      <w:r w:rsidR="00D866BA" w:rsidRPr="00FC04DA">
        <w:t xml:space="preserve"> fail</w:t>
      </w:r>
      <w:r w:rsidR="00773A93" w:rsidRPr="00FC04DA">
        <w:t>ing</w:t>
      </w:r>
      <w:r w:rsidR="00D866BA" w:rsidRPr="00FC04DA">
        <w:t xml:space="preserve"> to provide a mechanism by which the applicant could apply to have their criminal convictions considered spent irrespective or the passage of time and their personal circumstances</w:t>
      </w:r>
      <w:r w:rsidR="00EE071D" w:rsidRPr="00FC04DA">
        <w:t xml:space="preserve">. </w:t>
      </w:r>
      <w:r w:rsidR="00EE071D" w:rsidRPr="00FC04DA">
        <w:rPr>
          <w:i/>
        </w:rPr>
        <w:t>See</w:t>
      </w:r>
      <w:r w:rsidR="00D866BA" w:rsidRPr="00FC04DA">
        <w:t xml:space="preserve"> </w:t>
      </w:r>
      <w:r w:rsidR="00773A93" w:rsidRPr="00FC04DA">
        <w:rPr>
          <w:i/>
        </w:rPr>
        <w:t>In the Matter of an Application by JR123 for Judicial Review</w:t>
      </w:r>
      <w:r w:rsidR="00773A93" w:rsidRPr="00FC04DA">
        <w:t xml:space="preserve"> [2022] NIQB 42.</w:t>
      </w:r>
    </w:p>
  </w:footnote>
  <w:footnote w:id="303">
    <w:p w14:paraId="6FABF8EB" w14:textId="77777777" w:rsidR="00DF46E6" w:rsidRPr="00FC04DA" w:rsidRDefault="00DF46E6" w:rsidP="00E43BFB">
      <w:pPr>
        <w:pStyle w:val="NIHRCFootnotes0"/>
      </w:pPr>
      <w:r w:rsidRPr="00FC04DA">
        <w:rPr>
          <w:rStyle w:val="FootnoteReference"/>
        </w:rPr>
        <w:footnoteRef/>
      </w:r>
      <w:r w:rsidRPr="00FC04DA">
        <w:t xml:space="preserve"> UK Supreme Court, ‘Permission to Appeal – November 2023’. Available at: </w:t>
      </w:r>
      <w:hyperlink r:id="rId11" w:history="1">
        <w:r w:rsidRPr="00FC04DA">
          <w:rPr>
            <w:rStyle w:val="Hyperlink"/>
            <w:color w:val="77328A"/>
          </w:rPr>
          <w:t>https://www.supremecourt.uk/pta/permission-to-appeal-2023-11.html</w:t>
        </w:r>
      </w:hyperlink>
      <w:r w:rsidRPr="00FC04DA">
        <w:t xml:space="preserve"> </w:t>
      </w:r>
    </w:p>
  </w:footnote>
  <w:footnote w:id="304">
    <w:p w14:paraId="309172EC" w14:textId="2DB80B8E" w:rsidR="00E41298" w:rsidRPr="00FC04DA" w:rsidRDefault="00E41298" w:rsidP="00E43BFB">
      <w:pPr>
        <w:pStyle w:val="NIHRCFootnotes0"/>
      </w:pPr>
      <w:r w:rsidRPr="00FC04DA">
        <w:rPr>
          <w:rStyle w:val="FootnoteReference"/>
        </w:rPr>
        <w:footnoteRef/>
      </w:r>
      <w:r w:rsidRPr="00FC04DA">
        <w:t xml:space="preserve"> </w:t>
      </w:r>
      <w:r w:rsidR="00F94A52" w:rsidRPr="00FC04DA">
        <w:rPr>
          <w:i/>
        </w:rPr>
        <w:t xml:space="preserve">R (Bridges) v Chief Constable of South Wales </w:t>
      </w:r>
      <w:r w:rsidR="003B07EF" w:rsidRPr="00FC04DA">
        <w:rPr>
          <w:i/>
        </w:rPr>
        <w:t>Police</w:t>
      </w:r>
      <w:r w:rsidR="000D0440" w:rsidRPr="00FC04DA">
        <w:t xml:space="preserve"> [</w:t>
      </w:r>
      <w:r w:rsidR="008A48C2" w:rsidRPr="00FC04DA">
        <w:t>2020] EWCA Civ 1058.</w:t>
      </w:r>
    </w:p>
  </w:footnote>
  <w:footnote w:id="305">
    <w:p w14:paraId="5F8A0270" w14:textId="1090AD2E" w:rsidR="00E41298" w:rsidRPr="00FC04DA" w:rsidRDefault="00E41298" w:rsidP="00E43BFB">
      <w:pPr>
        <w:pStyle w:val="NIHRCFootnotes0"/>
      </w:pPr>
      <w:r w:rsidRPr="00FC04DA">
        <w:rPr>
          <w:rStyle w:val="FootnoteReference"/>
        </w:rPr>
        <w:footnoteRef/>
      </w:r>
      <w:r w:rsidRPr="00FC04DA">
        <w:t xml:space="preserve"> </w:t>
      </w:r>
      <w:r w:rsidR="00E04967" w:rsidRPr="00FC04DA">
        <w:t xml:space="preserve">Metropolitan Police, ‘Facial Recognition Technology’. Available at: </w:t>
      </w:r>
      <w:hyperlink r:id="rId12" w:history="1">
        <w:r w:rsidR="005C49CB" w:rsidRPr="00FC04DA">
          <w:rPr>
            <w:rStyle w:val="Hyperlink"/>
            <w:color w:val="77328A"/>
          </w:rPr>
          <w:t>https://www.met.police.uk/advice/advice-and-information/fr/facial-recognition-technology/</w:t>
        </w:r>
      </w:hyperlink>
      <w:r w:rsidR="005C49CB" w:rsidRPr="00FC04DA">
        <w:t>; NI Policing Board, ‘Human Rights Review of Privacy and Policing’ (NIPB, 2022), at 45</w:t>
      </w:r>
      <w:r w:rsidR="00D05178" w:rsidRPr="00FC04DA" w:rsidDel="005C49CB">
        <w:t>.</w:t>
      </w:r>
    </w:p>
  </w:footnote>
  <w:footnote w:id="306">
    <w:p w14:paraId="0AA85E3E" w14:textId="77777777" w:rsidR="00695CCB" w:rsidRPr="00FC04DA" w:rsidRDefault="00695CCB" w:rsidP="00E43BFB">
      <w:pPr>
        <w:pStyle w:val="NIHRCFootnotes0"/>
      </w:pPr>
      <w:r w:rsidRPr="00FC04DA">
        <w:rPr>
          <w:rStyle w:val="FootnoteReference"/>
        </w:rPr>
        <w:footnoteRef/>
      </w:r>
      <w:r w:rsidRPr="00FC04DA">
        <w:t xml:space="preserve"> In particular, the Commissioner identified “the need for greater transparency and understanding of how the technology is used, the potential for racial and gender bias, why an individual would be placed on a watchlist, the accuracy of the technology, proportionality and the link between use and the number of arrests, and how deployment decisions are made”. </w:t>
      </w:r>
      <w:r w:rsidRPr="00FC04DA">
        <w:rPr>
          <w:i/>
        </w:rPr>
        <w:t>See</w:t>
      </w:r>
      <w:r w:rsidRPr="00FC04DA">
        <w:t xml:space="preserve"> Office of the Biometrics and Surveillance Camera Commissioner, ‘Commissioner for the Retention and Use of Biometric Material Annual Report January 2021- March 2022 and Surveillance Camera Commissioner Annual Report March 2021 -March 2022’ (HO, 2023), at 18-19.</w:t>
      </w:r>
    </w:p>
  </w:footnote>
  <w:footnote w:id="307">
    <w:p w14:paraId="78342FC3" w14:textId="77777777" w:rsidR="00695CCB" w:rsidRPr="00FC04DA" w:rsidRDefault="00695CCB" w:rsidP="00E43BFB">
      <w:pPr>
        <w:pStyle w:val="NIHRCFootnotes0"/>
      </w:pPr>
      <w:r w:rsidRPr="00FC04DA">
        <w:rPr>
          <w:rStyle w:val="FootnoteReference"/>
        </w:rPr>
        <w:footnoteRef/>
      </w:r>
      <w:r w:rsidRPr="00FC04DA">
        <w:t xml:space="preserve"> “It is worth noting that police accountability in their use of new technology such as facial recognition, voice pattern analysis and other Artificial Intelligence-driven capabilities is one of the most contentious aspects of biometric surveillance yet remains unaddressed, either in the Bill (the focus of which remains solely the regulation of DNA and fingerprints in certain, limited circumstances) or at all. As an advocate of the accountable and proportionate use of new technology by the police I think this lacuna is problematic as much for the police themselves as for the communities they serve”. </w:t>
      </w:r>
      <w:r w:rsidRPr="00926F05">
        <w:rPr>
          <w:i/>
          <w:iCs/>
        </w:rPr>
        <w:t>See</w:t>
      </w:r>
      <w:r w:rsidRPr="00FC04DA">
        <w:t xml:space="preserve"> Letter to the House of Commons from the Biometrics and Surveillance Camera Commissioner, 15 May 2023.</w:t>
      </w:r>
    </w:p>
  </w:footnote>
  <w:footnote w:id="308">
    <w:p w14:paraId="0519315F" w14:textId="77777777" w:rsidR="00695CCB" w:rsidRPr="00FC04DA" w:rsidRDefault="00695CCB" w:rsidP="00E43BFB">
      <w:pPr>
        <w:pStyle w:val="NIHRCFootnotes0"/>
      </w:pPr>
      <w:r w:rsidRPr="00FC04DA">
        <w:rPr>
          <w:rStyle w:val="FootnoteReference"/>
        </w:rPr>
        <w:footnoteRef/>
      </w:r>
      <w:r w:rsidRPr="00FC04DA">
        <w:t xml:space="preserve"> “Apart from the lack of information available to people in NI about the activities of the Police Service of NI in relation to our privacy there appears to be an absence of significant consultation by the police, the Department of Justice, or the Northern Ireland Office on these issues. The driving force for all these developments and some significant erosion of privacy appears to originate from the law enforcement agencies in the UK. The Home Office, the College of Policing and others are developing more and more techniques and sometimes there appears to be no equivalent democratic input in NI, even during the times that the Assembly is functioning.” </w:t>
      </w:r>
      <w:r w:rsidRPr="00FC04DA">
        <w:rPr>
          <w:i/>
        </w:rPr>
        <w:t xml:space="preserve">See </w:t>
      </w:r>
      <w:r w:rsidRPr="00FC04DA">
        <w:t xml:space="preserve">NI Policing Board, ‘Human Rights Review of Privacy and Policing’ (NIPB, 2022), at 15. </w:t>
      </w:r>
    </w:p>
  </w:footnote>
  <w:footnote w:id="309">
    <w:p w14:paraId="6CB074FC" w14:textId="50973FA1" w:rsidR="00463807" w:rsidRPr="00FC04DA" w:rsidRDefault="00463807" w:rsidP="00E43BFB">
      <w:pPr>
        <w:pStyle w:val="NIHRCFootnotes0"/>
      </w:pPr>
      <w:r w:rsidRPr="00FC04DA">
        <w:rPr>
          <w:rStyle w:val="FootnoteReference"/>
        </w:rPr>
        <w:footnoteRef/>
      </w:r>
      <w:r w:rsidRPr="00FC04DA">
        <w:t xml:space="preserve"> The common law offence of blasphemy and blasphemous libel has been abolished in England and Wales. In 2018, the Constitution of Ireland was amended to remove blasphemy as an offence. </w:t>
      </w:r>
      <w:r w:rsidRPr="00FC04DA">
        <w:rPr>
          <w:i/>
        </w:rPr>
        <w:t>See</w:t>
      </w:r>
      <w:r w:rsidRPr="00FC04DA">
        <w:t xml:space="preserve"> Section 79, Criminal Justice Act 2008; Thirty-seventh Amendment of the Constitution (Repeal of offence of publication or utterance of blasphemous matter) Act 2018</w:t>
      </w:r>
      <w:r w:rsidR="00FC00BE" w:rsidRPr="00FC04DA">
        <w:t>; BJAC Valentine, ‘Booklet of Criminal Offences in NI’ (LSNI, 2016).</w:t>
      </w:r>
    </w:p>
  </w:footnote>
  <w:footnote w:id="310">
    <w:p w14:paraId="49896343" w14:textId="77777777" w:rsidR="00262971" w:rsidRPr="00FC04DA" w:rsidRDefault="00262971" w:rsidP="00E43BFB">
      <w:pPr>
        <w:pStyle w:val="NIHRCFootnotes0"/>
      </w:pPr>
      <w:r w:rsidRPr="00FC04DA">
        <w:rPr>
          <w:rStyle w:val="FootnoteReference"/>
        </w:rPr>
        <w:footnoteRef/>
      </w:r>
      <w:r w:rsidRPr="00FC04DA">
        <w:t xml:space="preserve"> The principal changes arising from the Act are the removal of the presumption in favour of a trial by jury in defamation cases in NI; and the introduction of statutory defences of truth, honest opinion, and publication on matters of public interest (replacing common law defences). </w:t>
      </w:r>
    </w:p>
  </w:footnote>
  <w:footnote w:id="311">
    <w:p w14:paraId="002F7A56" w14:textId="2A3299FD" w:rsidR="00262971" w:rsidRPr="00FC04DA" w:rsidRDefault="00262971" w:rsidP="00E43BFB">
      <w:pPr>
        <w:pStyle w:val="NIHRCFootnotes0"/>
      </w:pPr>
      <w:r w:rsidRPr="00FC04DA">
        <w:rPr>
          <w:rStyle w:val="FootnoteReference"/>
        </w:rPr>
        <w:footnoteRef/>
      </w:r>
      <w:r w:rsidRPr="00FC04DA">
        <w:t xml:space="preserve"> In England and Wales, the Defamation Act 2013 introduced a ‘serious harm’ test, requiring a claimant to prove that a statement caused, or was likely to cause, serious harm to the reputation of a claimant before it would qualify as defamatory. This replaced the previous position under the common law by increasing the burden on a claimant seeking to successfully pursue a legal action for defamation in England and Wales. By not replicating this, the threshold for a plaintiff to prove defamation remains lower in NI than in England and Wales. In addition, unlike the 2013 Act, there is no clarification around specific defences open to website operators and no codification of the ‘single publication rule’. During the passing of the Defamation Act (NI) 2022, debates in the NI Assembly suggested no evidence of any increase in defamation actions being brought in the NI jurisdiction since 2013. Members of the Legislative Assembly were content that the removal of the presumption in favour of jury trials in defamation cases further minimised the risk of libel tourism. However, the disparity enables this to be a possibility. </w:t>
      </w:r>
      <w:r w:rsidRPr="00FC04DA">
        <w:rPr>
          <w:i/>
          <w:iCs/>
        </w:rPr>
        <w:t xml:space="preserve">See </w:t>
      </w:r>
      <w:r w:rsidRPr="00FC04DA">
        <w:t>Department of Finance, ‘Review of Defamation Law in NI: Engaging with Stakeholders’ (DoF, 2023), at 10</w:t>
      </w:r>
      <w:r w:rsidR="00445358">
        <w:t>.</w:t>
      </w:r>
    </w:p>
  </w:footnote>
  <w:footnote w:id="312">
    <w:p w14:paraId="107725B8" w14:textId="77777777" w:rsidR="009779A5" w:rsidRPr="00FC04DA" w:rsidRDefault="009779A5" w:rsidP="00E43BFB">
      <w:pPr>
        <w:pStyle w:val="NIHRCFootnotes0"/>
      </w:pPr>
      <w:r w:rsidRPr="00FC04DA">
        <w:rPr>
          <w:rStyle w:val="FootnoteReference"/>
        </w:rPr>
        <w:footnoteRef/>
      </w:r>
      <w:r w:rsidRPr="00FC04DA">
        <w:t xml:space="preserve"> ‘Loughinisland: Journalists arrested over documents investigation’, </w:t>
      </w:r>
      <w:r w:rsidRPr="00FC04DA">
        <w:rPr>
          <w:i/>
        </w:rPr>
        <w:t>BBC News</w:t>
      </w:r>
      <w:r w:rsidRPr="00FC04DA">
        <w:t>, 31 August 2018.</w:t>
      </w:r>
    </w:p>
  </w:footnote>
  <w:footnote w:id="313">
    <w:p w14:paraId="493DE50D" w14:textId="4DCF6918" w:rsidR="00836914" w:rsidRPr="00FC04DA" w:rsidRDefault="00836914" w:rsidP="00E43BFB">
      <w:pPr>
        <w:pStyle w:val="NIHRCFootnotes0"/>
      </w:pPr>
      <w:r w:rsidRPr="00FC04DA">
        <w:rPr>
          <w:rStyle w:val="FootnoteReference"/>
        </w:rPr>
        <w:footnoteRef/>
      </w:r>
      <w:r w:rsidRPr="00FC04DA">
        <w:t xml:space="preserve"> </w:t>
      </w:r>
      <w:r w:rsidRPr="00FC04DA">
        <w:rPr>
          <w:i/>
          <w:w w:val="95"/>
        </w:rPr>
        <w:t>In</w:t>
      </w:r>
      <w:r w:rsidRPr="00FC04DA">
        <w:rPr>
          <w:i/>
          <w:spacing w:val="2"/>
          <w:w w:val="95"/>
        </w:rPr>
        <w:t xml:space="preserve"> </w:t>
      </w:r>
      <w:r w:rsidRPr="00FC04DA">
        <w:rPr>
          <w:i/>
          <w:w w:val="95"/>
        </w:rPr>
        <w:t>the</w:t>
      </w:r>
      <w:r w:rsidRPr="00FC04DA">
        <w:rPr>
          <w:i/>
          <w:spacing w:val="2"/>
          <w:w w:val="95"/>
        </w:rPr>
        <w:t xml:space="preserve"> </w:t>
      </w:r>
      <w:r w:rsidRPr="00FC04DA">
        <w:rPr>
          <w:i/>
          <w:w w:val="95"/>
        </w:rPr>
        <w:t>Matter</w:t>
      </w:r>
      <w:r w:rsidRPr="00FC04DA">
        <w:rPr>
          <w:i/>
          <w:spacing w:val="2"/>
          <w:w w:val="95"/>
        </w:rPr>
        <w:t xml:space="preserve"> </w:t>
      </w:r>
      <w:r w:rsidRPr="00FC04DA">
        <w:rPr>
          <w:i/>
          <w:w w:val="95"/>
        </w:rPr>
        <w:t>of</w:t>
      </w:r>
      <w:r w:rsidRPr="00FC04DA">
        <w:rPr>
          <w:i/>
          <w:spacing w:val="3"/>
          <w:w w:val="95"/>
        </w:rPr>
        <w:t xml:space="preserve"> </w:t>
      </w:r>
      <w:r w:rsidRPr="00FC04DA">
        <w:rPr>
          <w:i/>
          <w:w w:val="95"/>
        </w:rPr>
        <w:t>an</w:t>
      </w:r>
      <w:r w:rsidRPr="00FC04DA">
        <w:rPr>
          <w:i/>
          <w:spacing w:val="2"/>
          <w:w w:val="95"/>
        </w:rPr>
        <w:t xml:space="preserve"> </w:t>
      </w:r>
      <w:r w:rsidRPr="00FC04DA">
        <w:rPr>
          <w:i/>
          <w:w w:val="95"/>
        </w:rPr>
        <w:t>Application</w:t>
      </w:r>
      <w:r w:rsidRPr="00FC04DA">
        <w:rPr>
          <w:i/>
          <w:spacing w:val="2"/>
          <w:w w:val="95"/>
        </w:rPr>
        <w:t xml:space="preserve"> </w:t>
      </w:r>
      <w:r w:rsidRPr="00FC04DA">
        <w:rPr>
          <w:i/>
          <w:w w:val="95"/>
        </w:rPr>
        <w:t>by</w:t>
      </w:r>
      <w:r w:rsidRPr="00FC04DA">
        <w:rPr>
          <w:i/>
          <w:spacing w:val="3"/>
          <w:w w:val="95"/>
        </w:rPr>
        <w:t xml:space="preserve"> </w:t>
      </w:r>
      <w:r w:rsidRPr="00FC04DA">
        <w:rPr>
          <w:i/>
          <w:w w:val="95"/>
        </w:rPr>
        <w:t>Fine</w:t>
      </w:r>
      <w:r w:rsidRPr="00FC04DA">
        <w:rPr>
          <w:i/>
          <w:spacing w:val="2"/>
          <w:w w:val="95"/>
        </w:rPr>
        <w:t xml:space="preserve"> </w:t>
      </w:r>
      <w:r w:rsidRPr="00FC04DA">
        <w:rPr>
          <w:i/>
          <w:w w:val="95"/>
        </w:rPr>
        <w:t>Point</w:t>
      </w:r>
      <w:r w:rsidRPr="00FC04DA">
        <w:rPr>
          <w:i/>
          <w:spacing w:val="2"/>
          <w:w w:val="95"/>
        </w:rPr>
        <w:t xml:space="preserve"> </w:t>
      </w:r>
      <w:r w:rsidRPr="00FC04DA">
        <w:rPr>
          <w:i/>
          <w:w w:val="95"/>
        </w:rPr>
        <w:t>Films</w:t>
      </w:r>
      <w:r w:rsidRPr="00FC04DA">
        <w:rPr>
          <w:i/>
          <w:spacing w:val="3"/>
          <w:w w:val="95"/>
        </w:rPr>
        <w:t xml:space="preserve"> </w:t>
      </w:r>
      <w:r w:rsidRPr="00FC04DA">
        <w:rPr>
          <w:i/>
          <w:w w:val="95"/>
        </w:rPr>
        <w:t>and</w:t>
      </w:r>
      <w:r w:rsidRPr="00FC04DA">
        <w:rPr>
          <w:i/>
          <w:spacing w:val="2"/>
          <w:w w:val="95"/>
        </w:rPr>
        <w:t xml:space="preserve"> </w:t>
      </w:r>
      <w:r w:rsidRPr="00FC04DA">
        <w:rPr>
          <w:i/>
          <w:w w:val="95"/>
        </w:rPr>
        <w:t>Trevor</w:t>
      </w:r>
      <w:r w:rsidRPr="00FC04DA">
        <w:rPr>
          <w:i/>
          <w:spacing w:val="2"/>
          <w:w w:val="95"/>
        </w:rPr>
        <w:t xml:space="preserve"> </w:t>
      </w:r>
      <w:r w:rsidRPr="00FC04DA">
        <w:rPr>
          <w:i/>
          <w:w w:val="95"/>
        </w:rPr>
        <w:t>Birney</w:t>
      </w:r>
      <w:r w:rsidRPr="00FC04DA">
        <w:rPr>
          <w:i/>
          <w:spacing w:val="3"/>
          <w:w w:val="95"/>
        </w:rPr>
        <w:t xml:space="preserve"> </w:t>
      </w:r>
      <w:r w:rsidRPr="00FC04DA">
        <w:rPr>
          <w:i/>
          <w:w w:val="95"/>
        </w:rPr>
        <w:t>for</w:t>
      </w:r>
      <w:r w:rsidRPr="00FC04DA">
        <w:rPr>
          <w:i/>
          <w:spacing w:val="2"/>
          <w:w w:val="95"/>
        </w:rPr>
        <w:t xml:space="preserve"> </w:t>
      </w:r>
      <w:r w:rsidRPr="00FC04DA">
        <w:rPr>
          <w:i/>
          <w:w w:val="95"/>
        </w:rPr>
        <w:t>Judicial</w:t>
      </w:r>
      <w:r w:rsidRPr="00FC04DA">
        <w:rPr>
          <w:i/>
          <w:spacing w:val="2"/>
          <w:w w:val="95"/>
        </w:rPr>
        <w:t xml:space="preserve"> </w:t>
      </w:r>
      <w:r w:rsidRPr="00FC04DA">
        <w:rPr>
          <w:i/>
          <w:w w:val="95"/>
        </w:rPr>
        <w:t>Review</w:t>
      </w:r>
      <w:r w:rsidRPr="00FC04DA">
        <w:rPr>
          <w:i/>
          <w:spacing w:val="2"/>
          <w:w w:val="95"/>
        </w:rPr>
        <w:t xml:space="preserve"> </w:t>
      </w:r>
      <w:r w:rsidRPr="00FC04DA">
        <w:rPr>
          <w:i/>
          <w:w w:val="95"/>
        </w:rPr>
        <w:t>and</w:t>
      </w:r>
      <w:r w:rsidRPr="00FC04DA">
        <w:rPr>
          <w:i/>
          <w:spacing w:val="3"/>
          <w:w w:val="95"/>
        </w:rPr>
        <w:t xml:space="preserve"> </w:t>
      </w:r>
      <w:r w:rsidRPr="00FC04DA">
        <w:rPr>
          <w:i/>
          <w:w w:val="95"/>
        </w:rPr>
        <w:t>the</w:t>
      </w:r>
      <w:r w:rsidRPr="00FC04DA">
        <w:rPr>
          <w:i/>
          <w:spacing w:val="2"/>
          <w:w w:val="95"/>
        </w:rPr>
        <w:t xml:space="preserve"> </w:t>
      </w:r>
      <w:r w:rsidRPr="00FC04DA">
        <w:rPr>
          <w:i/>
          <w:w w:val="95"/>
        </w:rPr>
        <w:t>in</w:t>
      </w:r>
      <w:r w:rsidRPr="00FC04DA">
        <w:rPr>
          <w:i/>
          <w:spacing w:val="2"/>
          <w:w w:val="95"/>
        </w:rPr>
        <w:t xml:space="preserve"> </w:t>
      </w:r>
      <w:r w:rsidRPr="00FC04DA">
        <w:rPr>
          <w:i/>
          <w:w w:val="95"/>
        </w:rPr>
        <w:t>the</w:t>
      </w:r>
      <w:r w:rsidRPr="00FC04DA">
        <w:rPr>
          <w:i/>
          <w:spacing w:val="3"/>
          <w:w w:val="95"/>
        </w:rPr>
        <w:t xml:space="preserve"> </w:t>
      </w:r>
      <w:r w:rsidRPr="00FC04DA">
        <w:rPr>
          <w:i/>
          <w:w w:val="95"/>
        </w:rPr>
        <w:t>Matter</w:t>
      </w:r>
      <w:r w:rsidRPr="00FC04DA">
        <w:rPr>
          <w:i/>
          <w:spacing w:val="2"/>
          <w:w w:val="95"/>
        </w:rPr>
        <w:t xml:space="preserve"> </w:t>
      </w:r>
      <w:r w:rsidRPr="00FC04DA">
        <w:rPr>
          <w:i/>
          <w:w w:val="95"/>
        </w:rPr>
        <w:t>of</w:t>
      </w:r>
      <w:r w:rsidRPr="00FC04DA">
        <w:rPr>
          <w:i/>
          <w:spacing w:val="2"/>
          <w:w w:val="95"/>
        </w:rPr>
        <w:t xml:space="preserve"> </w:t>
      </w:r>
      <w:r w:rsidRPr="00FC04DA">
        <w:rPr>
          <w:i/>
          <w:w w:val="95"/>
        </w:rPr>
        <w:t>an</w:t>
      </w:r>
      <w:r w:rsidRPr="00FC04DA">
        <w:rPr>
          <w:i/>
          <w:spacing w:val="1"/>
          <w:w w:val="95"/>
        </w:rPr>
        <w:t xml:space="preserve"> </w:t>
      </w:r>
      <w:r w:rsidRPr="00FC04DA">
        <w:rPr>
          <w:i/>
        </w:rPr>
        <w:t>Application</w:t>
      </w:r>
      <w:r w:rsidRPr="00FC04DA">
        <w:rPr>
          <w:i/>
          <w:spacing w:val="-13"/>
        </w:rPr>
        <w:t xml:space="preserve"> </w:t>
      </w:r>
      <w:r w:rsidRPr="00FC04DA">
        <w:rPr>
          <w:i/>
        </w:rPr>
        <w:t>by</w:t>
      </w:r>
      <w:r w:rsidRPr="00FC04DA">
        <w:rPr>
          <w:i/>
          <w:spacing w:val="-12"/>
        </w:rPr>
        <w:t xml:space="preserve"> </w:t>
      </w:r>
      <w:r w:rsidRPr="00FC04DA">
        <w:rPr>
          <w:i/>
        </w:rPr>
        <w:t>Barry</w:t>
      </w:r>
      <w:r w:rsidRPr="00FC04DA">
        <w:rPr>
          <w:i/>
          <w:spacing w:val="-12"/>
        </w:rPr>
        <w:t xml:space="preserve"> </w:t>
      </w:r>
      <w:r w:rsidRPr="00FC04DA">
        <w:rPr>
          <w:i/>
        </w:rPr>
        <w:t>McCaffey</w:t>
      </w:r>
      <w:r w:rsidRPr="00FC04DA">
        <w:rPr>
          <w:i/>
          <w:spacing w:val="-12"/>
        </w:rPr>
        <w:t xml:space="preserve"> </w:t>
      </w:r>
      <w:r w:rsidRPr="00FC04DA">
        <w:rPr>
          <w:i/>
        </w:rPr>
        <w:t>and</w:t>
      </w:r>
      <w:r w:rsidRPr="00FC04DA">
        <w:rPr>
          <w:i/>
          <w:spacing w:val="-12"/>
        </w:rPr>
        <w:t xml:space="preserve"> </w:t>
      </w:r>
      <w:r w:rsidRPr="00FC04DA">
        <w:rPr>
          <w:i/>
        </w:rPr>
        <w:t>the</w:t>
      </w:r>
      <w:r w:rsidRPr="00FC04DA">
        <w:rPr>
          <w:i/>
          <w:spacing w:val="-13"/>
        </w:rPr>
        <w:t xml:space="preserve"> </w:t>
      </w:r>
      <w:r w:rsidRPr="00FC04DA">
        <w:rPr>
          <w:i/>
        </w:rPr>
        <w:t>in</w:t>
      </w:r>
      <w:r w:rsidRPr="00FC04DA">
        <w:rPr>
          <w:i/>
          <w:spacing w:val="-12"/>
        </w:rPr>
        <w:t xml:space="preserve"> </w:t>
      </w:r>
      <w:r w:rsidRPr="00FC04DA">
        <w:rPr>
          <w:i/>
        </w:rPr>
        <w:t>the</w:t>
      </w:r>
      <w:r w:rsidRPr="00FC04DA">
        <w:rPr>
          <w:i/>
          <w:spacing w:val="-12"/>
        </w:rPr>
        <w:t xml:space="preserve"> </w:t>
      </w:r>
      <w:r w:rsidRPr="00FC04DA">
        <w:rPr>
          <w:i/>
        </w:rPr>
        <w:t>Matter</w:t>
      </w:r>
      <w:r w:rsidRPr="00FC04DA">
        <w:rPr>
          <w:i/>
          <w:spacing w:val="-12"/>
        </w:rPr>
        <w:t xml:space="preserve"> </w:t>
      </w:r>
      <w:r w:rsidRPr="00FC04DA">
        <w:rPr>
          <w:i/>
        </w:rPr>
        <w:t>of</w:t>
      </w:r>
      <w:r w:rsidRPr="00FC04DA">
        <w:rPr>
          <w:i/>
          <w:spacing w:val="-12"/>
        </w:rPr>
        <w:t xml:space="preserve"> </w:t>
      </w:r>
      <w:r w:rsidRPr="00FC04DA">
        <w:rPr>
          <w:i/>
        </w:rPr>
        <w:t>an</w:t>
      </w:r>
      <w:r w:rsidRPr="00FC04DA">
        <w:rPr>
          <w:i/>
          <w:spacing w:val="-13"/>
        </w:rPr>
        <w:t xml:space="preserve"> </w:t>
      </w:r>
      <w:r w:rsidRPr="00FC04DA">
        <w:rPr>
          <w:i/>
        </w:rPr>
        <w:t>Application</w:t>
      </w:r>
      <w:r w:rsidRPr="00FC04DA">
        <w:rPr>
          <w:i/>
          <w:spacing w:val="-12"/>
        </w:rPr>
        <w:t xml:space="preserve"> </w:t>
      </w:r>
      <w:r w:rsidRPr="00FC04DA">
        <w:rPr>
          <w:i/>
        </w:rPr>
        <w:t>by</w:t>
      </w:r>
      <w:r w:rsidRPr="00FC04DA">
        <w:rPr>
          <w:i/>
          <w:spacing w:val="-12"/>
        </w:rPr>
        <w:t xml:space="preserve"> </w:t>
      </w:r>
      <w:r w:rsidRPr="00FC04DA">
        <w:rPr>
          <w:i/>
        </w:rPr>
        <w:t>Police</w:t>
      </w:r>
      <w:r w:rsidRPr="00FC04DA">
        <w:rPr>
          <w:i/>
          <w:spacing w:val="-12"/>
        </w:rPr>
        <w:t xml:space="preserve"> </w:t>
      </w:r>
      <w:r w:rsidRPr="00FC04DA">
        <w:rPr>
          <w:i/>
        </w:rPr>
        <w:t>Service</w:t>
      </w:r>
      <w:r w:rsidRPr="00FC04DA">
        <w:rPr>
          <w:i/>
          <w:spacing w:val="-12"/>
        </w:rPr>
        <w:t xml:space="preserve"> </w:t>
      </w:r>
      <w:r w:rsidRPr="00FC04DA">
        <w:rPr>
          <w:i/>
        </w:rPr>
        <w:t>of</w:t>
      </w:r>
      <w:r w:rsidRPr="00FC04DA">
        <w:rPr>
          <w:i/>
          <w:spacing w:val="-13"/>
        </w:rPr>
        <w:t xml:space="preserve"> </w:t>
      </w:r>
      <w:r w:rsidRPr="00FC04DA">
        <w:rPr>
          <w:i/>
        </w:rPr>
        <w:t>NI</w:t>
      </w:r>
      <w:r w:rsidRPr="00FC04DA">
        <w:rPr>
          <w:i/>
          <w:spacing w:val="-12"/>
        </w:rPr>
        <w:t xml:space="preserve"> </w:t>
      </w:r>
      <w:r w:rsidRPr="00FC04DA">
        <w:rPr>
          <w:i/>
        </w:rPr>
        <w:t>and</w:t>
      </w:r>
      <w:r w:rsidRPr="00FC04DA">
        <w:rPr>
          <w:i/>
          <w:spacing w:val="-12"/>
        </w:rPr>
        <w:t xml:space="preserve"> </w:t>
      </w:r>
      <w:r w:rsidRPr="00FC04DA">
        <w:rPr>
          <w:i/>
        </w:rPr>
        <w:t>Durham</w:t>
      </w:r>
      <w:r w:rsidRPr="00FC04DA">
        <w:rPr>
          <w:i/>
          <w:spacing w:val="-12"/>
        </w:rPr>
        <w:t xml:space="preserve"> </w:t>
      </w:r>
      <w:r w:rsidR="009F4A59" w:rsidRPr="00FC04DA">
        <w:rPr>
          <w:i/>
        </w:rPr>
        <w:t xml:space="preserve">Constabulary </w:t>
      </w:r>
      <w:r w:rsidR="009F4A59" w:rsidRPr="00FC04DA">
        <w:rPr>
          <w:i/>
          <w:spacing w:val="-46"/>
        </w:rPr>
        <w:t>for</w:t>
      </w:r>
      <w:r w:rsidR="009F4A59" w:rsidRPr="00FC04DA">
        <w:rPr>
          <w:i/>
          <w:spacing w:val="-11"/>
          <w:w w:val="105"/>
        </w:rPr>
        <w:t xml:space="preserve"> Search</w:t>
      </w:r>
      <w:r w:rsidRPr="00FC04DA">
        <w:rPr>
          <w:i/>
          <w:spacing w:val="-10"/>
          <w:w w:val="105"/>
        </w:rPr>
        <w:t xml:space="preserve"> </w:t>
      </w:r>
      <w:r w:rsidRPr="00FC04DA">
        <w:rPr>
          <w:i/>
          <w:w w:val="105"/>
        </w:rPr>
        <w:t>Warrants</w:t>
      </w:r>
      <w:r w:rsidRPr="00FC04DA">
        <w:rPr>
          <w:i/>
          <w:spacing w:val="-11"/>
          <w:w w:val="105"/>
        </w:rPr>
        <w:t xml:space="preserve"> </w:t>
      </w:r>
      <w:r w:rsidRPr="00423727">
        <w:rPr>
          <w:iCs/>
          <w:w w:val="105"/>
        </w:rPr>
        <w:t>[</w:t>
      </w:r>
      <w:r w:rsidRPr="00445358">
        <w:rPr>
          <w:iCs/>
          <w:w w:val="105"/>
        </w:rPr>
        <w:t>2020]</w:t>
      </w:r>
      <w:r w:rsidRPr="00445358">
        <w:rPr>
          <w:iCs/>
          <w:spacing w:val="1"/>
          <w:w w:val="105"/>
        </w:rPr>
        <w:t xml:space="preserve"> </w:t>
      </w:r>
      <w:r w:rsidRPr="00445358">
        <w:rPr>
          <w:iCs/>
          <w:w w:val="105"/>
        </w:rPr>
        <w:t>NIQB</w:t>
      </w:r>
      <w:r w:rsidRPr="00445358">
        <w:rPr>
          <w:iCs/>
          <w:spacing w:val="1"/>
          <w:w w:val="105"/>
        </w:rPr>
        <w:t xml:space="preserve"> </w:t>
      </w:r>
      <w:r w:rsidRPr="00445358">
        <w:rPr>
          <w:iCs/>
          <w:w w:val="105"/>
        </w:rPr>
        <w:t>55,</w:t>
      </w:r>
      <w:r w:rsidRPr="00445358">
        <w:rPr>
          <w:iCs/>
          <w:spacing w:val="1"/>
          <w:w w:val="105"/>
        </w:rPr>
        <w:t xml:space="preserve"> </w:t>
      </w:r>
      <w:r w:rsidRPr="00445358">
        <w:rPr>
          <w:iCs/>
          <w:w w:val="105"/>
        </w:rPr>
        <w:t>at</w:t>
      </w:r>
      <w:r w:rsidRPr="00445358">
        <w:rPr>
          <w:iCs/>
          <w:spacing w:val="1"/>
          <w:w w:val="105"/>
        </w:rPr>
        <w:t xml:space="preserve"> </w:t>
      </w:r>
      <w:r w:rsidRPr="00445358">
        <w:rPr>
          <w:iCs/>
          <w:w w:val="105"/>
        </w:rPr>
        <w:t>para</w:t>
      </w:r>
      <w:r w:rsidRPr="00445358">
        <w:rPr>
          <w:iCs/>
          <w:spacing w:val="1"/>
          <w:w w:val="105"/>
        </w:rPr>
        <w:t xml:space="preserve"> </w:t>
      </w:r>
      <w:r w:rsidRPr="00445358">
        <w:rPr>
          <w:iCs/>
          <w:w w:val="105"/>
        </w:rPr>
        <w:t>55</w:t>
      </w:r>
      <w:r w:rsidRPr="00FC04DA">
        <w:rPr>
          <w:i/>
          <w:w w:val="105"/>
        </w:rPr>
        <w:t>.</w:t>
      </w:r>
    </w:p>
  </w:footnote>
  <w:footnote w:id="314">
    <w:p w14:paraId="041BA88E" w14:textId="77777777" w:rsidR="00B5168A" w:rsidRPr="00FC04DA" w:rsidRDefault="00B5168A" w:rsidP="00E43BFB">
      <w:pPr>
        <w:pStyle w:val="NIHRCFootnotes0"/>
      </w:pPr>
      <w:r w:rsidRPr="00FC04DA">
        <w:rPr>
          <w:rStyle w:val="FootnoteReference"/>
          <w:rFonts w:eastAsiaTheme="majorEastAsia"/>
        </w:rPr>
        <w:footnoteRef/>
      </w:r>
      <w:r w:rsidRPr="00FC04DA">
        <w:t xml:space="preserve"> </w:t>
      </w:r>
      <w:r w:rsidRPr="00FC04DA">
        <w:rPr>
          <w:rFonts w:eastAsia="Verdana" w:cs="Verdana"/>
        </w:rPr>
        <w:t xml:space="preserve">‘Loughinisland: Police drop case against two journalists’, </w:t>
      </w:r>
      <w:r w:rsidRPr="00FC04DA">
        <w:rPr>
          <w:rFonts w:eastAsia="Verdana" w:cs="Verdana"/>
          <w:i/>
        </w:rPr>
        <w:t>BBC News</w:t>
      </w:r>
      <w:r w:rsidRPr="00FC04DA">
        <w:rPr>
          <w:rFonts w:eastAsia="Verdana" w:cs="Verdana"/>
        </w:rPr>
        <w:t>, 3 June 2019.</w:t>
      </w:r>
    </w:p>
  </w:footnote>
  <w:footnote w:id="315">
    <w:p w14:paraId="13434BEB" w14:textId="5570E62B" w:rsidR="00984682" w:rsidRPr="00FC04DA" w:rsidRDefault="00984682" w:rsidP="00E43BFB">
      <w:pPr>
        <w:pStyle w:val="NIHRCFootnotes0"/>
      </w:pPr>
      <w:r w:rsidRPr="00FC04DA">
        <w:rPr>
          <w:rStyle w:val="FootnoteReference"/>
        </w:rPr>
        <w:footnoteRef/>
      </w:r>
      <w:r w:rsidRPr="00FC04DA">
        <w:t xml:space="preserve"> </w:t>
      </w:r>
      <w:r w:rsidR="0069108C" w:rsidRPr="00FC04DA">
        <w:t>Hearings by the Investigatory Powers Tribunal can take place in private, without complainants present.</w:t>
      </w:r>
      <w:r w:rsidRPr="00FC04DA">
        <w:t xml:space="preserve"> </w:t>
      </w:r>
      <w:r w:rsidR="001947B9" w:rsidRPr="00FC04DA">
        <w:t xml:space="preserve">Mr McCaffrey contacted </w:t>
      </w:r>
      <w:r w:rsidR="00336C47" w:rsidRPr="00FC04DA">
        <w:t>the Police Service of NI’s P</w:t>
      </w:r>
      <w:r w:rsidR="00703DAD" w:rsidRPr="00FC04DA">
        <w:t xml:space="preserve">ress </w:t>
      </w:r>
      <w:r w:rsidR="00336C47" w:rsidRPr="00FC04DA">
        <w:t>O</w:t>
      </w:r>
      <w:r w:rsidR="00703DAD" w:rsidRPr="00FC04DA">
        <w:t>ffice</w:t>
      </w:r>
      <w:r w:rsidR="001947B9" w:rsidRPr="00FC04DA">
        <w:t xml:space="preserve"> </w:t>
      </w:r>
      <w:r w:rsidR="006B40D3" w:rsidRPr="00FC04DA">
        <w:t xml:space="preserve">in 2013 </w:t>
      </w:r>
      <w:r w:rsidR="00336C47" w:rsidRPr="00FC04DA">
        <w:t xml:space="preserve">in relation to </w:t>
      </w:r>
      <w:r w:rsidR="00F231FF" w:rsidRPr="00FC04DA">
        <w:t>a</w:t>
      </w:r>
      <w:r w:rsidR="001947B9" w:rsidRPr="00FC04DA">
        <w:t xml:space="preserve"> story he was investigating</w:t>
      </w:r>
      <w:r w:rsidR="00D13ACE" w:rsidRPr="00FC04DA">
        <w:t xml:space="preserve"> into</w:t>
      </w:r>
      <w:r w:rsidR="000573C4" w:rsidRPr="00FC04DA">
        <w:t xml:space="preserve"> alleged financial corruption in </w:t>
      </w:r>
      <w:r w:rsidR="00D9649A" w:rsidRPr="00FC04DA">
        <w:t>the police service</w:t>
      </w:r>
      <w:r w:rsidR="008D57BB" w:rsidRPr="00FC04DA">
        <w:t xml:space="preserve">. It is alleged that the Police Service of NI then started monitoring the journalist’s phone </w:t>
      </w:r>
      <w:r w:rsidR="0019782B" w:rsidRPr="00FC04DA">
        <w:t>in order to identify a whistleblower</w:t>
      </w:r>
      <w:r w:rsidR="00D9649A" w:rsidRPr="00FC04DA">
        <w:t xml:space="preserve">: </w:t>
      </w:r>
      <w:r w:rsidR="00D9649A" w:rsidRPr="00FC04DA">
        <w:rPr>
          <w:i/>
        </w:rPr>
        <w:t>See</w:t>
      </w:r>
      <w:r w:rsidR="00D9649A" w:rsidRPr="00FC04DA">
        <w:t xml:space="preserve">, </w:t>
      </w:r>
      <w:r w:rsidR="00A02E92" w:rsidRPr="00FC04DA">
        <w:t xml:space="preserve">‘Police Service of NI monitored phone of journalist Barry McCaffery’, </w:t>
      </w:r>
      <w:r w:rsidR="00A02E92" w:rsidRPr="00FC04DA">
        <w:rPr>
          <w:i/>
        </w:rPr>
        <w:t>BBC News</w:t>
      </w:r>
      <w:r w:rsidR="00A02E92" w:rsidRPr="00FC04DA">
        <w:t>, 24 July 2023</w:t>
      </w:r>
      <w:r w:rsidR="00433C68" w:rsidRPr="00FC04DA">
        <w:t>; The Investigatory Powers Tribunal, ‘Open and closed proceedings’. Available at: https://investigatorypowerstribunal.org.uk/open-and-closed-proceedings/</w:t>
      </w:r>
    </w:p>
  </w:footnote>
  <w:footnote w:id="316">
    <w:p w14:paraId="40E856A6" w14:textId="6737566E" w:rsidR="00275118" w:rsidRPr="00FC04DA" w:rsidRDefault="00275118" w:rsidP="00E43BFB">
      <w:pPr>
        <w:pStyle w:val="NIHRCFootnotes0"/>
      </w:pPr>
      <w:r w:rsidRPr="00FC04DA">
        <w:rPr>
          <w:rStyle w:val="FootnoteReference"/>
        </w:rPr>
        <w:footnoteRef/>
      </w:r>
      <w:r w:rsidRPr="00FC04DA">
        <w:t xml:space="preserve"> </w:t>
      </w:r>
      <w:r w:rsidR="009F4A59" w:rsidRPr="00FC04DA">
        <w:t xml:space="preserve">‘Police Service of NI monitored phone of journalist Barry McCaffery’, </w:t>
      </w:r>
      <w:r w:rsidR="009F4A59" w:rsidRPr="00FC04DA">
        <w:rPr>
          <w:i/>
        </w:rPr>
        <w:t>BBC News</w:t>
      </w:r>
      <w:r w:rsidR="009F4A59" w:rsidRPr="00FC04DA">
        <w:t>, 24 July 2023.</w:t>
      </w:r>
    </w:p>
  </w:footnote>
  <w:footnote w:id="317">
    <w:p w14:paraId="56441F02" w14:textId="2E3C1737" w:rsidR="009A22D3" w:rsidRPr="00FC04DA" w:rsidRDefault="009A22D3" w:rsidP="00E43BFB">
      <w:pPr>
        <w:pStyle w:val="NIHRCFootnotes0"/>
      </w:pPr>
      <w:r w:rsidRPr="00FC04DA">
        <w:rPr>
          <w:rStyle w:val="FootnoteReference"/>
        </w:rPr>
        <w:footnoteRef/>
      </w:r>
      <w:r w:rsidRPr="00FC04DA">
        <w:t xml:space="preserve"> This included 2,558 </w:t>
      </w:r>
      <w:r w:rsidR="00DF1A3C" w:rsidRPr="00FC04DA">
        <w:t>P</w:t>
      </w:r>
      <w:r w:rsidRPr="00FC04DA">
        <w:t>rotestant/</w:t>
      </w:r>
      <w:r w:rsidR="00DF1A3C" w:rsidRPr="00FC04DA">
        <w:t>U</w:t>
      </w:r>
      <w:r w:rsidRPr="00FC04DA">
        <w:t>nionist/</w:t>
      </w:r>
      <w:r w:rsidR="00DF1A3C" w:rsidRPr="00FC04DA">
        <w:t>L</w:t>
      </w:r>
      <w:r w:rsidRPr="00FC04DA">
        <w:t xml:space="preserve">oyalist, 92 </w:t>
      </w:r>
      <w:r w:rsidR="00DF1A3C" w:rsidRPr="00FC04DA">
        <w:t>C</w:t>
      </w:r>
      <w:r w:rsidRPr="00FC04DA">
        <w:t>atholic/</w:t>
      </w:r>
      <w:r w:rsidR="00DF1A3C" w:rsidRPr="00FC04DA">
        <w:t>R</w:t>
      </w:r>
      <w:r w:rsidRPr="00FC04DA">
        <w:t>epublican/</w:t>
      </w:r>
      <w:r w:rsidR="00DF1A3C" w:rsidRPr="00FC04DA">
        <w:t>N</w:t>
      </w:r>
      <w:r w:rsidRPr="00FC04DA">
        <w:t>ationalist and 935 'other' parades.</w:t>
      </w:r>
      <w:r w:rsidR="0023433F" w:rsidRPr="00FC04DA">
        <w:t xml:space="preserve"> In 2021/2022, </w:t>
      </w:r>
      <w:r w:rsidR="00A003A0" w:rsidRPr="00FC04DA">
        <w:t xml:space="preserve">2,488 notifications </w:t>
      </w:r>
      <w:r w:rsidR="0023433F" w:rsidRPr="00FC04DA">
        <w:t xml:space="preserve">were </w:t>
      </w:r>
      <w:r w:rsidR="00A003A0" w:rsidRPr="00FC04DA">
        <w:t xml:space="preserve">received, </w:t>
      </w:r>
      <w:r w:rsidR="00AF51E5" w:rsidRPr="00FC04DA">
        <w:t>compris</w:t>
      </w:r>
      <w:r w:rsidR="00DF1A3C" w:rsidRPr="00FC04DA">
        <w:t>ing</w:t>
      </w:r>
      <w:r w:rsidR="00AF51E5" w:rsidRPr="00FC04DA">
        <w:t xml:space="preserve"> of </w:t>
      </w:r>
      <w:r w:rsidR="00612B44" w:rsidRPr="00FC04DA">
        <w:t>1,8</w:t>
      </w:r>
      <w:r w:rsidR="00F31651" w:rsidRPr="00FC04DA">
        <w:t>46</w:t>
      </w:r>
      <w:r w:rsidR="00AE253F" w:rsidRPr="00FC04DA">
        <w:t xml:space="preserve"> </w:t>
      </w:r>
      <w:r w:rsidR="00DF1A3C" w:rsidRPr="00FC04DA">
        <w:t>P</w:t>
      </w:r>
      <w:r w:rsidR="00AE253F" w:rsidRPr="00FC04DA">
        <w:t>rotestant/</w:t>
      </w:r>
      <w:r w:rsidR="00DF1A3C" w:rsidRPr="00FC04DA">
        <w:t>U</w:t>
      </w:r>
      <w:r w:rsidR="00AE253F" w:rsidRPr="00FC04DA">
        <w:t>nionist/</w:t>
      </w:r>
      <w:r w:rsidR="00DF1A3C" w:rsidRPr="00FC04DA">
        <w:t>L</w:t>
      </w:r>
      <w:r w:rsidR="00AE253F" w:rsidRPr="00FC04DA">
        <w:t xml:space="preserve">oyalist, </w:t>
      </w:r>
      <w:r w:rsidR="0023433F" w:rsidRPr="00FC04DA">
        <w:t xml:space="preserve">42 </w:t>
      </w:r>
      <w:r w:rsidR="00DF1A3C" w:rsidRPr="00FC04DA">
        <w:t>C</w:t>
      </w:r>
      <w:r w:rsidR="00AE253F" w:rsidRPr="00FC04DA">
        <w:t>atholic/</w:t>
      </w:r>
      <w:r w:rsidR="00DF1A3C" w:rsidRPr="00FC04DA">
        <w:t>R</w:t>
      </w:r>
      <w:r w:rsidR="00AE253F" w:rsidRPr="00FC04DA">
        <w:t>epublican/</w:t>
      </w:r>
      <w:r w:rsidR="00DF1A3C" w:rsidRPr="00FC04DA">
        <w:t>N</w:t>
      </w:r>
      <w:r w:rsidR="00AE253F" w:rsidRPr="00FC04DA">
        <w:t xml:space="preserve">ationalist and </w:t>
      </w:r>
      <w:r w:rsidR="0023433F" w:rsidRPr="00FC04DA">
        <w:t>600</w:t>
      </w:r>
      <w:r w:rsidR="00AE253F" w:rsidRPr="00FC04DA">
        <w:t xml:space="preserve"> 'other' parades</w:t>
      </w:r>
      <w:r w:rsidR="00DF1A3C" w:rsidRPr="00FC04DA">
        <w:t>.</w:t>
      </w:r>
      <w:r w:rsidR="00D21785" w:rsidRPr="00FC04DA">
        <w:t xml:space="preserve"> </w:t>
      </w:r>
      <w:r w:rsidRPr="00FC04DA">
        <w:t>See Parades Commission for NI, 'Annual Report and Financial Statements for the Year Ended 31 March 2023' (PCNI, 2023), at Table 1.</w:t>
      </w:r>
    </w:p>
  </w:footnote>
  <w:footnote w:id="318">
    <w:p w14:paraId="0E666AC5" w14:textId="634224EA" w:rsidR="009A22D3" w:rsidRPr="00FC04DA" w:rsidRDefault="009A22D3" w:rsidP="00E43BFB">
      <w:pPr>
        <w:pStyle w:val="NIHRCFootnotes0"/>
      </w:pPr>
      <w:r w:rsidRPr="00FC04DA">
        <w:rPr>
          <w:rStyle w:val="FootnoteReference"/>
        </w:rPr>
        <w:footnoteRef/>
      </w:r>
      <w:r w:rsidRPr="00FC04DA">
        <w:t xml:space="preserve"> Of these, 177 were recorded as protestant/unionist/loyalist, one as catholic/republican/nationalist, and 14 as 'others'</w:t>
      </w:r>
      <w:r w:rsidR="00D41627" w:rsidRPr="00FC04DA">
        <w:t xml:space="preserve">. In 2021/2022, there were </w:t>
      </w:r>
      <w:r w:rsidR="00415CD5" w:rsidRPr="00FC04DA">
        <w:t xml:space="preserve">141 </w:t>
      </w:r>
      <w:r w:rsidR="00CE7BC3" w:rsidRPr="00FC04DA">
        <w:t xml:space="preserve">parades and parade-related protests considered sensitive, including </w:t>
      </w:r>
      <w:r w:rsidR="000945D8" w:rsidRPr="00FC04DA">
        <w:t>135 protestant/unionist/loyalist, two as catholic/republican/nationalist, and four 'others'.</w:t>
      </w:r>
      <w:r w:rsidRPr="00FC04DA">
        <w:t>: See Parades Commission for NI, 'Annual Report and Financial Statements for the Year Ended 31 March 2023' (PCNI, 2023), at Table 1.</w:t>
      </w:r>
      <w:r w:rsidR="00A35657" w:rsidRPr="00FC04DA">
        <w:t xml:space="preserve"> </w:t>
      </w:r>
    </w:p>
  </w:footnote>
  <w:footnote w:id="319">
    <w:p w14:paraId="7EC341BE" w14:textId="18B74ABC" w:rsidR="00CC2D57" w:rsidRPr="00FC04DA" w:rsidRDefault="00CC2D57" w:rsidP="00E43BFB">
      <w:pPr>
        <w:pStyle w:val="NIHRCFootnotes0"/>
      </w:pPr>
      <w:r w:rsidRPr="00FC04DA">
        <w:rPr>
          <w:rStyle w:val="FootnoteReference"/>
        </w:rPr>
        <w:footnoteRef/>
      </w:r>
      <w:r w:rsidRPr="00FC04DA">
        <w:t xml:space="preserve"> NI Office, ‘Stormont House Agreement’, 23 December 2014, at para</w:t>
      </w:r>
      <w:r w:rsidR="00D7445B" w:rsidRPr="00FC04DA">
        <w:t>s</w:t>
      </w:r>
      <w:r w:rsidRPr="00FC04DA">
        <w:t xml:space="preserve"> 17</w:t>
      </w:r>
      <w:r w:rsidR="00D7445B" w:rsidRPr="00FC04DA">
        <w:t xml:space="preserve"> and 18</w:t>
      </w:r>
      <w:r w:rsidRPr="00FC04DA">
        <w:t>.</w:t>
      </w:r>
    </w:p>
  </w:footnote>
  <w:footnote w:id="320">
    <w:p w14:paraId="23BE21C4" w14:textId="77777777" w:rsidR="00CC2D57" w:rsidRPr="00FC04DA" w:rsidRDefault="00CC2D57" w:rsidP="00E43BFB">
      <w:pPr>
        <w:pStyle w:val="NIHRCFootnotes0"/>
      </w:pPr>
      <w:r w:rsidRPr="00FC04DA">
        <w:rPr>
          <w:rStyle w:val="FootnoteReference"/>
        </w:rPr>
        <w:footnoteRef/>
      </w:r>
      <w:r w:rsidRPr="00FC04DA">
        <w:t xml:space="preserve"> </w:t>
      </w:r>
      <w:r w:rsidRPr="00FC04DA">
        <w:rPr>
          <w:rFonts w:cs="Helvetica"/>
          <w:lang w:val="en"/>
        </w:rPr>
        <w:t>Remaining issues include the Code of Conduct, criteria and accountability.</w:t>
      </w:r>
    </w:p>
  </w:footnote>
  <w:footnote w:id="321">
    <w:p w14:paraId="0CD4614C" w14:textId="5253560C" w:rsidR="005E62DA" w:rsidRPr="00FC04DA" w:rsidRDefault="005E62DA" w:rsidP="00E43BFB">
      <w:pPr>
        <w:pStyle w:val="NIHRCFootnotes0"/>
      </w:pPr>
      <w:r w:rsidRPr="00FC04DA">
        <w:rPr>
          <w:rStyle w:val="FootnoteReference"/>
        </w:rPr>
        <w:footnoteRef/>
      </w:r>
      <w:r w:rsidRPr="00FC04DA">
        <w:t xml:space="preserve"> </w:t>
      </w:r>
      <w:r w:rsidR="005179C2" w:rsidRPr="00FC04DA">
        <w:t>Section 22,</w:t>
      </w:r>
      <w:r w:rsidRPr="00FC04DA">
        <w:t xml:space="preserve"> </w:t>
      </w:r>
      <w:r w:rsidR="00200A4E" w:rsidRPr="00FC04DA">
        <w:t>Marriage (NI) Order 2003</w:t>
      </w:r>
      <w:r w:rsidR="00512C6C" w:rsidRPr="00FC04DA">
        <w:t>.</w:t>
      </w:r>
    </w:p>
  </w:footnote>
  <w:footnote w:id="322">
    <w:p w14:paraId="34D5134F" w14:textId="702DE7BD" w:rsidR="005F1124" w:rsidRPr="00FC04DA" w:rsidRDefault="005F1124" w:rsidP="00E43BFB">
      <w:pPr>
        <w:pStyle w:val="NIHRCFootnotes0"/>
      </w:pPr>
      <w:r w:rsidRPr="00FC04DA">
        <w:rPr>
          <w:rStyle w:val="FootnoteReference"/>
          <w:rFonts w:eastAsiaTheme="majorEastAsia"/>
        </w:rPr>
        <w:footnoteRef/>
      </w:r>
      <w:r w:rsidR="00516F3B" w:rsidRPr="00FC04DA">
        <w:t xml:space="preserve"> </w:t>
      </w:r>
      <w:r w:rsidR="008E3331" w:rsidRPr="00FC04DA">
        <w:t xml:space="preserve">In </w:t>
      </w:r>
      <w:r w:rsidR="00516F3B" w:rsidRPr="00FC04DA">
        <w:t xml:space="preserve">2021, 39 girls and 15 boys </w:t>
      </w:r>
      <w:r w:rsidR="008E3331" w:rsidRPr="00FC04DA">
        <w:t xml:space="preserve">were </w:t>
      </w:r>
      <w:r w:rsidR="00516F3B" w:rsidRPr="00FC04DA">
        <w:t>married in NI.</w:t>
      </w:r>
      <w:r w:rsidR="00065803" w:rsidRPr="00FC04DA">
        <w:t xml:space="preserve"> </w:t>
      </w:r>
      <w:r w:rsidR="00065803" w:rsidRPr="00FC04DA">
        <w:rPr>
          <w:i/>
          <w:iCs/>
        </w:rPr>
        <w:t>See</w:t>
      </w:r>
      <w:r w:rsidR="00516F3B" w:rsidRPr="00FC04DA">
        <w:t xml:space="preserve"> </w:t>
      </w:r>
      <w:r w:rsidRPr="00FC04DA">
        <w:t>Email correspondence from NI Statistics and Research Agency to NI Human Rights Commission, 21 June 2023.</w:t>
      </w:r>
    </w:p>
  </w:footnote>
  <w:footnote w:id="323">
    <w:p w14:paraId="24B4B9E6" w14:textId="432C885A" w:rsidR="007F1325" w:rsidRPr="00FC04DA" w:rsidRDefault="007F1325" w:rsidP="00E43BFB">
      <w:pPr>
        <w:pStyle w:val="NIHRCFootnotes0"/>
      </w:pPr>
      <w:r w:rsidRPr="00FC04DA">
        <w:rPr>
          <w:rStyle w:val="FootnoteReference"/>
          <w:rFonts w:eastAsiaTheme="majorEastAsia"/>
        </w:rPr>
        <w:footnoteRef/>
      </w:r>
      <w:r w:rsidRPr="00FC04DA">
        <w:t xml:space="preserve"> Department of Finance, 'Marriage Law Consultation: Results and Analysis' (DoF, 2022)</w:t>
      </w:r>
      <w:r w:rsidR="00D90F81" w:rsidRPr="00FC04DA">
        <w:t xml:space="preserve">; NI Human Rights Commission, ‘Response to the Department of Finance Consultation on Marriage Law’ (NIHRC, 2022). </w:t>
      </w:r>
    </w:p>
  </w:footnote>
  <w:footnote w:id="324">
    <w:p w14:paraId="414C21BC" w14:textId="77777777" w:rsidR="007F1325" w:rsidRPr="00FC04DA" w:rsidRDefault="007F1325" w:rsidP="00E43BFB">
      <w:pPr>
        <w:pStyle w:val="NIHRCFootnotes0"/>
      </w:pPr>
      <w:r w:rsidRPr="00FC04DA">
        <w:rPr>
          <w:rStyle w:val="FootnoteReference"/>
        </w:rPr>
        <w:footnoteRef/>
      </w:r>
      <w:r w:rsidRPr="00FC04DA">
        <w:t xml:space="preserve"> Email correspondence from Department of Finance to the NI Human Rights Commission, 3 July 2023. </w:t>
      </w:r>
    </w:p>
  </w:footnote>
  <w:footnote w:id="325">
    <w:p w14:paraId="688766BA" w14:textId="77777777" w:rsidR="00854AA6" w:rsidRPr="00FC04DA" w:rsidRDefault="00854AA6" w:rsidP="00E43BFB">
      <w:pPr>
        <w:pStyle w:val="NIHRCFootnotes0"/>
      </w:pPr>
      <w:r w:rsidRPr="00FC04DA">
        <w:rPr>
          <w:rStyle w:val="FootnoteReference"/>
        </w:rPr>
        <w:footnoteRef/>
      </w:r>
      <w:r w:rsidRPr="00FC04DA">
        <w:t xml:space="preserve"> Section 2, Law Reform (Miscellaneous Provisions) (NI) Order 2006.</w:t>
      </w:r>
    </w:p>
  </w:footnote>
  <w:footnote w:id="326">
    <w:p w14:paraId="2D7CE708" w14:textId="77777777" w:rsidR="00854AA6" w:rsidRPr="00FC04DA" w:rsidRDefault="00854AA6" w:rsidP="00E43BFB">
      <w:pPr>
        <w:pStyle w:val="NIHRCFootnotes0"/>
      </w:pPr>
      <w:r w:rsidRPr="00FC04DA">
        <w:rPr>
          <w:rStyle w:val="FootnoteReference"/>
        </w:rPr>
        <w:footnoteRef/>
      </w:r>
      <w:r w:rsidRPr="00FC04DA">
        <w:t xml:space="preserve"> Meeting between Department of Justice and NI Human Rights Commission, 29 November 2018.</w:t>
      </w:r>
    </w:p>
  </w:footnote>
  <w:footnote w:id="327">
    <w:p w14:paraId="61A0DA68" w14:textId="77777777" w:rsidR="00E113CC" w:rsidRPr="00FC04DA" w:rsidRDefault="00E113CC" w:rsidP="00E43BFB">
      <w:pPr>
        <w:pStyle w:val="NIHRCFootnotes0"/>
      </w:pPr>
      <w:r w:rsidRPr="00FC04DA">
        <w:rPr>
          <w:rStyle w:val="FootnoteReference"/>
        </w:rPr>
        <w:footnoteRef/>
      </w:r>
      <w:r w:rsidRPr="00FC04DA">
        <w:t xml:space="preserve"> NI Assembly Hansard, 'Committee for Justice: Report on the Justice (Sexual Offences and Trafficking Victims) Bill - NIA 165/17-22' (NIA, 2022).</w:t>
      </w:r>
    </w:p>
  </w:footnote>
  <w:footnote w:id="328">
    <w:p w14:paraId="6423FFC0" w14:textId="77777777" w:rsidR="0050080E" w:rsidRPr="00FC04DA" w:rsidRDefault="0050080E" w:rsidP="00E43BFB">
      <w:pPr>
        <w:pStyle w:val="NIHRCFootnotes0"/>
      </w:pPr>
      <w:r w:rsidRPr="00FC04DA">
        <w:rPr>
          <w:rStyle w:val="FootnoteReference"/>
        </w:rPr>
        <w:footnoteRef/>
      </w:r>
      <w:r w:rsidRPr="00FC04DA">
        <w:t xml:space="preserve"> Email correspondence from the Department of Justice to the NI Human Rights Commission, 22 June 2022.</w:t>
      </w:r>
    </w:p>
  </w:footnote>
  <w:footnote w:id="329">
    <w:p w14:paraId="05E299B7" w14:textId="2946CB04" w:rsidR="009C5507" w:rsidRPr="00FC04DA" w:rsidRDefault="009C5507" w:rsidP="00E43BFB">
      <w:pPr>
        <w:pStyle w:val="NIHRCFootnotes0"/>
      </w:pPr>
      <w:r w:rsidRPr="00FC04DA">
        <w:rPr>
          <w:rStyle w:val="FootnoteReference"/>
        </w:rPr>
        <w:footnoteRef/>
      </w:r>
      <w:r w:rsidRPr="00FC04DA">
        <w:t xml:space="preserve"> </w:t>
      </w:r>
      <w:r w:rsidR="00B675A2" w:rsidRPr="00FC04DA">
        <w:t xml:space="preserve">Children aged 16 and 17 years old can be recruited to the British Armed Forces, provided it is voluntary and there are safeguards in place. It remains that the consent of only one parent or legal guardian is required. The issue was considered by the UK Parliament during the passage of the Armed Forces Act 2021 when a proposed amendment that would have raised the minimum recruitment age to 18 years of age was rejected. </w:t>
      </w:r>
      <w:r w:rsidR="00B675A2" w:rsidRPr="00FC04DA">
        <w:rPr>
          <w:i/>
          <w:iCs/>
        </w:rPr>
        <w:t>See</w:t>
      </w:r>
      <w:r w:rsidR="00B675A2" w:rsidRPr="00FC04DA">
        <w:t xml:space="preserve"> Article 3, Optional Protocol to the UN CRC on the Involvement of Children in Armed Conflict 2000; British Army, ‘Register’. Available at: </w:t>
      </w:r>
      <w:hyperlink r:id="rId13" w:history="1">
        <w:r w:rsidR="00B675A2" w:rsidRPr="00FC04DA">
          <w:rPr>
            <w:rStyle w:val="Hyperlink"/>
            <w:color w:val="77328A"/>
          </w:rPr>
          <w:t>https://Apply.army.mod.uk/register</w:t>
        </w:r>
      </w:hyperlink>
      <w:r w:rsidR="00B675A2" w:rsidRPr="00FC04DA">
        <w:t>; UK Parliament Hansard, ‘Public Bill Committee: Armed Forces Bill (First sitting)’, 25 March 2021.</w:t>
      </w:r>
    </w:p>
  </w:footnote>
  <w:footnote w:id="330">
    <w:p w14:paraId="46593E92" w14:textId="77777777" w:rsidR="00E42BD4" w:rsidRPr="00FC04DA" w:rsidRDefault="00E42BD4" w:rsidP="00E43BFB">
      <w:pPr>
        <w:pStyle w:val="NIHRCFootnotes0"/>
      </w:pPr>
      <w:r w:rsidRPr="00FC04DA">
        <w:rPr>
          <w:rStyle w:val="FootnoteReference"/>
        </w:rPr>
        <w:footnoteRef/>
      </w:r>
      <w:r w:rsidRPr="00FC04DA">
        <w:rPr>
          <w:rFonts w:eastAsia="Verdana" w:cs="Verdana"/>
        </w:rPr>
        <w:t xml:space="preserve"> British Medical Journal, 'Press Release: Stop recruiting children, UK Armed Forces urged', 25 February 2019.</w:t>
      </w:r>
    </w:p>
  </w:footnote>
  <w:footnote w:id="331">
    <w:p w14:paraId="79A5FD1C" w14:textId="0D2911D2" w:rsidR="00DD032B" w:rsidRPr="00FC04DA" w:rsidRDefault="00DD032B" w:rsidP="00E43BFB">
      <w:pPr>
        <w:pStyle w:val="NIHRCFootnotes0"/>
      </w:pPr>
      <w:r w:rsidRPr="00FC04DA">
        <w:rPr>
          <w:rStyle w:val="FootnoteReference"/>
          <w:rFonts w:eastAsiaTheme="majorEastAsia"/>
        </w:rPr>
        <w:footnoteRef/>
      </w:r>
      <w:r w:rsidRPr="00FC04DA">
        <w:t xml:space="preserve"> </w:t>
      </w:r>
      <w:r w:rsidR="007F48F8" w:rsidRPr="00FC04DA">
        <w:t>Section 44 of the Youth Justice and Criminal Evidence Act 1999 prohibits the naming of a child suspected of committing an offence in the media. It is intended that t</w:t>
      </w:r>
      <w:r w:rsidRPr="00FC04DA">
        <w:t>his provision applies in England, Wales and NI</w:t>
      </w:r>
      <w:r w:rsidR="007F48F8" w:rsidRPr="00FC04DA">
        <w:t>, but has not been enacted in NI.</w:t>
      </w:r>
    </w:p>
  </w:footnote>
  <w:footnote w:id="332">
    <w:p w14:paraId="53AB4D9E" w14:textId="19F3087C" w:rsidR="00D81241" w:rsidRPr="00FC04DA" w:rsidRDefault="00D81241" w:rsidP="00E43BFB">
      <w:pPr>
        <w:pStyle w:val="NIHRCFootnotes0"/>
      </w:pPr>
      <w:r w:rsidRPr="00FC04DA">
        <w:rPr>
          <w:rStyle w:val="FootnoteReference"/>
        </w:rPr>
        <w:footnoteRef/>
      </w:r>
      <w:r w:rsidRPr="00FC04DA">
        <w:t xml:space="preserve"> Article 22, Criminal Justice (Children) (NI) Order 1998.</w:t>
      </w:r>
    </w:p>
  </w:footnote>
  <w:footnote w:id="333">
    <w:p w14:paraId="01960AF7" w14:textId="77777777" w:rsidR="00486B11" w:rsidRPr="00FC04DA" w:rsidRDefault="00486B11" w:rsidP="00E43BFB">
      <w:pPr>
        <w:pStyle w:val="NIHRCFootnotes0"/>
      </w:pPr>
      <w:r w:rsidRPr="00FC04DA">
        <w:rPr>
          <w:rStyle w:val="FootnoteReference"/>
        </w:rPr>
        <w:footnoteRef/>
      </w:r>
      <w:r w:rsidRPr="00FC04DA">
        <w:t xml:space="preserve"> Four instances involved a child under 16 years old and three instances were on a child aged between 16 and 17 years old: Email correspondence from Police Service of NI to NI Human Rights Commission, 11 July 2023.</w:t>
      </w:r>
    </w:p>
  </w:footnote>
  <w:footnote w:id="334">
    <w:p w14:paraId="55039EC0" w14:textId="77777777" w:rsidR="00321E54" w:rsidRPr="00FC04DA" w:rsidRDefault="00321E54" w:rsidP="00E43BFB">
      <w:pPr>
        <w:pStyle w:val="NIHRCFootnotes0"/>
      </w:pPr>
      <w:r w:rsidRPr="00FC04DA">
        <w:rPr>
          <w:rStyle w:val="FootnoteReference"/>
        </w:rPr>
        <w:footnoteRef/>
      </w:r>
      <w:r w:rsidRPr="00FC04DA">
        <w:t xml:space="preserve"> NI Policing Board, ‘Human Rights Review - Children and Young People: Strip Searching in Police Custody’ (NIPB, 2023), at 15.</w:t>
      </w:r>
    </w:p>
  </w:footnote>
  <w:footnote w:id="335">
    <w:p w14:paraId="06EE0E49" w14:textId="196853D3" w:rsidR="00321E54" w:rsidRPr="00FC04DA" w:rsidRDefault="00321E54" w:rsidP="00E43BFB">
      <w:pPr>
        <w:pStyle w:val="NIHRCFootnotes0"/>
      </w:pPr>
      <w:r w:rsidRPr="00FC04DA">
        <w:rPr>
          <w:rStyle w:val="FootnoteReference"/>
        </w:rPr>
        <w:footnoteRef/>
      </w:r>
      <w:r w:rsidRPr="00FC04DA">
        <w:t xml:space="preserve"> </w:t>
      </w:r>
      <w:r w:rsidR="009130C9">
        <w:t>Ibid</w:t>
      </w:r>
      <w:r w:rsidRPr="00FC04DA">
        <w:t>.</w:t>
      </w:r>
    </w:p>
  </w:footnote>
  <w:footnote w:id="336">
    <w:p w14:paraId="75A6B486" w14:textId="17F83914" w:rsidR="00321E54" w:rsidRPr="00FC04DA" w:rsidRDefault="00321E54" w:rsidP="00E43BFB">
      <w:pPr>
        <w:pStyle w:val="NIHRCFootnotes0"/>
      </w:pPr>
      <w:r w:rsidRPr="00FC04DA">
        <w:rPr>
          <w:rStyle w:val="FootnoteReference"/>
        </w:rPr>
        <w:footnoteRef/>
      </w:r>
      <w:r w:rsidRPr="00FC04DA">
        <w:t xml:space="preserve"> </w:t>
      </w:r>
      <w:r w:rsidR="009130C9">
        <w:t>Ibid</w:t>
      </w:r>
      <w:r w:rsidRPr="00FC04DA">
        <w:t>.</w:t>
      </w:r>
    </w:p>
  </w:footnote>
  <w:footnote w:id="337">
    <w:p w14:paraId="55C17B33" w14:textId="1300EC77" w:rsidR="00DE3583" w:rsidRPr="00FC04DA" w:rsidRDefault="00DE3583" w:rsidP="00E43BFB">
      <w:pPr>
        <w:pStyle w:val="NIHRCFootnotes0"/>
      </w:pPr>
      <w:r w:rsidRPr="00FC04DA">
        <w:rPr>
          <w:rStyle w:val="FootnoteReference"/>
        </w:rPr>
        <w:footnoteRef/>
      </w:r>
      <w:r w:rsidRPr="00FC04DA">
        <w:t xml:space="preserve"> </w:t>
      </w:r>
      <w:r w:rsidR="009130C9">
        <w:t>Ibid</w:t>
      </w:r>
      <w:r w:rsidRPr="00FC04DA">
        <w:t>, at 16.</w:t>
      </w:r>
    </w:p>
  </w:footnote>
  <w:footnote w:id="338">
    <w:p w14:paraId="01408F34" w14:textId="1B2F39F1" w:rsidR="008D23F4" w:rsidRPr="00FC04DA" w:rsidRDefault="008D23F4" w:rsidP="00E43BFB">
      <w:pPr>
        <w:pStyle w:val="NIHRCFootnotes0"/>
      </w:pPr>
      <w:r w:rsidRPr="00FC04DA">
        <w:rPr>
          <w:rStyle w:val="FootnoteReference"/>
        </w:rPr>
        <w:footnoteRef/>
      </w:r>
      <w:r w:rsidRPr="00FC04DA">
        <w:t xml:space="preserve"> </w:t>
      </w:r>
      <w:r w:rsidR="00232269" w:rsidRPr="00FC04DA">
        <w:t>UK Parliament, ‘</w:t>
      </w:r>
      <w:r w:rsidR="0042135A" w:rsidRPr="00FC04DA">
        <w:t xml:space="preserve">House of Commons Library: Research Briefing </w:t>
      </w:r>
      <w:r w:rsidR="00651F7C" w:rsidRPr="00FC04DA">
        <w:t xml:space="preserve">- </w:t>
      </w:r>
      <w:r w:rsidR="0042135A" w:rsidRPr="00FC04DA">
        <w:t xml:space="preserve">Women in Politics and Public Life’ </w:t>
      </w:r>
      <w:r w:rsidR="00651F7C" w:rsidRPr="00FC04DA">
        <w:t>(HoC, 2023).</w:t>
      </w:r>
    </w:p>
  </w:footnote>
  <w:footnote w:id="339">
    <w:p w14:paraId="50E888C5" w14:textId="2BA83BE0" w:rsidR="006425F8" w:rsidRPr="00FC04DA" w:rsidRDefault="006425F8" w:rsidP="00E43BFB">
      <w:pPr>
        <w:pStyle w:val="NIHRCFootnotes0"/>
      </w:pPr>
      <w:r w:rsidRPr="00FC04DA">
        <w:rPr>
          <w:rStyle w:val="FootnoteReference"/>
        </w:rPr>
        <w:footnoteRef/>
      </w:r>
      <w:r w:rsidRPr="00FC04DA">
        <w:t xml:space="preserve"> Equality Commission for NI, ‘NI Assembly Election 2022 Results’. Available at: </w:t>
      </w:r>
      <w:r w:rsidR="00232269" w:rsidRPr="00FC04DA">
        <w:t>https://www.equalityni.org/Blog/Articles/May-2022/Assembly-Election-2022-Results.</w:t>
      </w:r>
    </w:p>
  </w:footnote>
  <w:footnote w:id="340">
    <w:p w14:paraId="50BBABA1" w14:textId="73A135CE" w:rsidR="00512E3F" w:rsidRPr="00FC04DA" w:rsidRDefault="00512E3F" w:rsidP="00E43BFB">
      <w:pPr>
        <w:pStyle w:val="NIHRCFootnotes0"/>
      </w:pPr>
      <w:r w:rsidRPr="00FC04DA">
        <w:rPr>
          <w:rStyle w:val="FootnoteReference"/>
          <w:rFonts w:eastAsiaTheme="majorEastAsia"/>
        </w:rPr>
        <w:footnoteRef/>
      </w:r>
      <w:r w:rsidRPr="00FC04DA">
        <w:t xml:space="preserve"> </w:t>
      </w:r>
      <w:r w:rsidR="004B3E6F" w:rsidRPr="00FC04DA">
        <w:t>Section 43A,</w:t>
      </w:r>
      <w:r w:rsidRPr="00FC04DA">
        <w:t xml:space="preserve"> Sex Discrimination (NI) Order 1976.</w:t>
      </w:r>
    </w:p>
  </w:footnote>
  <w:footnote w:id="341">
    <w:p w14:paraId="660EA3BC" w14:textId="00C0BA4C" w:rsidR="00580A15" w:rsidRPr="00FC04DA" w:rsidRDefault="00580A15" w:rsidP="00E43BFB">
      <w:pPr>
        <w:pStyle w:val="NIHRCFootnotes0"/>
      </w:pPr>
      <w:r w:rsidRPr="00FC04DA">
        <w:rPr>
          <w:rStyle w:val="FootnoteReference"/>
        </w:rPr>
        <w:footnoteRef/>
      </w:r>
      <w:r w:rsidRPr="00FC04DA">
        <w:t xml:space="preserve"> Parents are adjusting work hours or leaving jobs due to childcare challenges, particularly in lower-income households. About 76</w:t>
      </w:r>
      <w:r w:rsidR="00792571">
        <w:t xml:space="preserve"> per cent</w:t>
      </w:r>
      <w:r w:rsidRPr="00FC04DA">
        <w:t xml:space="preserve"> are considering changes in work arrangements, and 95</w:t>
      </w:r>
      <w:r w:rsidR="00792571">
        <w:t xml:space="preserve"> per cent</w:t>
      </w:r>
      <w:r w:rsidRPr="00FC04DA">
        <w:t xml:space="preserve"> of those using childcare feel it impacts work productivity, with 61</w:t>
      </w:r>
      <w:r w:rsidR="00792571">
        <w:t xml:space="preserve"> per cent</w:t>
      </w:r>
      <w:r w:rsidRPr="00FC04DA">
        <w:t xml:space="preserve"> reporting weekly stress. </w:t>
      </w:r>
      <w:r w:rsidR="006E1B0F" w:rsidRPr="00FC04DA">
        <w:rPr>
          <w:i/>
          <w:iCs/>
        </w:rPr>
        <w:t>See</w:t>
      </w:r>
      <w:r w:rsidR="006E1B0F" w:rsidRPr="00FC04DA">
        <w:t xml:space="preserve"> Employers for Childcare, ‘</w:t>
      </w:r>
      <w:r w:rsidRPr="00FC04DA">
        <w:t>Northern Ireland Childcare Survey 2023</w:t>
      </w:r>
      <w:r w:rsidR="006E1B0F" w:rsidRPr="00FC04DA">
        <w:t>’</w:t>
      </w:r>
      <w:r w:rsidRPr="00FC04DA">
        <w:t xml:space="preserve"> </w:t>
      </w:r>
      <w:r w:rsidR="006E1B0F" w:rsidRPr="00FC04DA">
        <w:t xml:space="preserve">(Employers for Childcare, 2023); Equality Commission for NI, ‘NI Assembly Election 2022 Results’. Available at: </w:t>
      </w:r>
      <w:hyperlink r:id="rId14" w:history="1">
        <w:r w:rsidR="006E1B0F" w:rsidRPr="00FC04DA">
          <w:rPr>
            <w:rStyle w:val="Hyperlink"/>
            <w:color w:val="77328A"/>
          </w:rPr>
          <w:t>https://www.equalityni.org/Blog/Articles/May-2022/Assembly-Election-2022-Results</w:t>
        </w:r>
      </w:hyperlink>
      <w:r w:rsidR="006E1B0F" w:rsidRPr="00FC04DA">
        <w:t>; Department of Education, ‘Review of Childcare Services in NI – Final Report’ (DE, 2023).</w:t>
      </w:r>
    </w:p>
  </w:footnote>
  <w:footnote w:id="342">
    <w:p w14:paraId="31FC9FC9" w14:textId="77777777" w:rsidR="00F355C8" w:rsidRPr="00FC04DA" w:rsidRDefault="00F355C8" w:rsidP="00E43BFB">
      <w:pPr>
        <w:pStyle w:val="NIHRCFootnotes0"/>
      </w:pPr>
      <w:r w:rsidRPr="00FC04DA">
        <w:rPr>
          <w:rStyle w:val="FootnoteReference"/>
        </w:rPr>
        <w:footnoteRef/>
      </w:r>
      <w:r w:rsidRPr="00FC04DA">
        <w:rPr>
          <w:vertAlign w:val="superscript"/>
        </w:rPr>
        <w:t xml:space="preserve"> </w:t>
      </w:r>
      <w:r w:rsidRPr="00FC04DA">
        <w:t xml:space="preserve">In England and Wales, qualifying children can receive up to 30 hours of free childcare over 38 weeks of the year; in Scotland, qualifying children can receive up to 600 hours (approximately 16 hours per week) over a year. There is no comparable provision on NI. There is a statutory duty to secure childcare provision free of charge for qualifying children in England (Childcare Act 2016), Scotland (Children and Young People (Scotland) Act 2014) and Wales (Childcare Act 2006). </w:t>
      </w:r>
    </w:p>
  </w:footnote>
  <w:footnote w:id="343">
    <w:p w14:paraId="0EA9EDD3" w14:textId="1993E1E2" w:rsidR="006248AF" w:rsidRPr="00FC04DA" w:rsidRDefault="006248AF" w:rsidP="00E43BFB">
      <w:pPr>
        <w:pStyle w:val="NIHRCFootnotes0"/>
      </w:pPr>
      <w:r w:rsidRPr="00FC04DA">
        <w:rPr>
          <w:rStyle w:val="FootnoteReference"/>
        </w:rPr>
        <w:footnoteRef/>
      </w:r>
      <w:r w:rsidRPr="00FC04DA">
        <w:t xml:space="preserve"> </w:t>
      </w:r>
      <w:r w:rsidR="004D512A" w:rsidRPr="00FC04DA">
        <w:t xml:space="preserve">In 2015, a new Childcare Strategy was consulted on, but there has been no updated strategy implemented since 1992. </w:t>
      </w:r>
      <w:r w:rsidR="004D512A" w:rsidRPr="00FC04DA">
        <w:rPr>
          <w:i/>
        </w:rPr>
        <w:t xml:space="preserve">See </w:t>
      </w:r>
      <w:r w:rsidR="00514BB4" w:rsidRPr="00FC04DA">
        <w:t>NI Executive Office, ‘Delivering Social Change Through Childcare: A Ten Year Strategy for Affordable and Integrated Childcare 2015-2025’ (NIEO, 2015).</w:t>
      </w:r>
    </w:p>
  </w:footnote>
  <w:footnote w:id="344">
    <w:p w14:paraId="6A74DCE4" w14:textId="72D9244A" w:rsidR="00392F8B" w:rsidRPr="00FC04DA" w:rsidRDefault="00392F8B" w:rsidP="00E43BFB">
      <w:pPr>
        <w:pStyle w:val="NIHRCFootnotes0"/>
      </w:pPr>
      <w:r w:rsidRPr="00FC04DA">
        <w:rPr>
          <w:rStyle w:val="FootnoteReference"/>
        </w:rPr>
        <w:footnoteRef/>
      </w:r>
      <w:r w:rsidRPr="00FC04DA">
        <w:t xml:space="preserve"> </w:t>
      </w:r>
      <w:r w:rsidR="00F6688B" w:rsidRPr="00FC04DA">
        <w:t>Clodagh Rice, ‘</w:t>
      </w:r>
      <w:r w:rsidR="00C728F0" w:rsidRPr="00FC04DA">
        <w:t xml:space="preserve">Childcare costs: Average yearly fee for one child hits £10k’, </w:t>
      </w:r>
      <w:r w:rsidR="00C728F0" w:rsidRPr="00FC04DA">
        <w:rPr>
          <w:i/>
        </w:rPr>
        <w:t>BBC News NI</w:t>
      </w:r>
      <w:r w:rsidR="00C728F0" w:rsidRPr="00FC04DA">
        <w:t>, 6 December 2023; Matt Fox, ‘</w:t>
      </w:r>
      <w:r w:rsidR="004822CF" w:rsidRPr="00FC04DA">
        <w:t xml:space="preserve">NI childcare: New year, same call for government support’, </w:t>
      </w:r>
      <w:r w:rsidR="004822CF" w:rsidRPr="00FC04DA">
        <w:rPr>
          <w:i/>
        </w:rPr>
        <w:t>BBC News NI</w:t>
      </w:r>
      <w:r w:rsidR="004822CF" w:rsidRPr="00FC04DA">
        <w:t>, 6 December 2024.</w:t>
      </w:r>
    </w:p>
  </w:footnote>
  <w:footnote w:id="345">
    <w:p w14:paraId="6483971D" w14:textId="5E3C0AA1" w:rsidR="00C93724" w:rsidRPr="00FC04DA" w:rsidRDefault="00C93724" w:rsidP="00E43BFB">
      <w:pPr>
        <w:pStyle w:val="NIHRCFootnotes0"/>
      </w:pPr>
      <w:r w:rsidRPr="00FC04DA">
        <w:rPr>
          <w:rStyle w:val="FootnoteReference"/>
        </w:rPr>
        <w:footnoteRef/>
      </w:r>
      <w:r w:rsidRPr="00FC04DA">
        <w:t xml:space="preserve"> </w:t>
      </w:r>
      <w:r w:rsidR="002D7B67" w:rsidRPr="00FC04DA">
        <w:t xml:space="preserve">NI Statistics and Research </w:t>
      </w:r>
      <w:r w:rsidR="00336BA4" w:rsidRPr="00FC04DA">
        <w:t>Agency, ‘</w:t>
      </w:r>
      <w:r w:rsidR="004852F6" w:rsidRPr="00FC04DA">
        <w:t xml:space="preserve">Equality Statistics for the Northern Ireland Civil Service – 2023’ (NISRA, 2023); </w:t>
      </w:r>
      <w:r w:rsidR="001E03A3" w:rsidRPr="00FC04DA">
        <w:t>NI Judicial Appointments Commissio</w:t>
      </w:r>
      <w:r w:rsidR="001A362B" w:rsidRPr="00FC04DA">
        <w:t>n,</w:t>
      </w:r>
      <w:r w:rsidR="001E03A3" w:rsidRPr="00FC04DA">
        <w:t xml:space="preserve"> </w:t>
      </w:r>
      <w:r w:rsidR="00F729D8" w:rsidRPr="00FC04DA">
        <w:t>‘Equality Monitoring – 2020/2021, 2021/2022</w:t>
      </w:r>
      <w:r w:rsidR="00397FC3" w:rsidRPr="00FC04DA">
        <w:t xml:space="preserve"> and 2022/2023’ (NIJAC, 20</w:t>
      </w:r>
      <w:r w:rsidR="00846D74" w:rsidRPr="00FC04DA">
        <w:t>23);</w:t>
      </w:r>
      <w:r w:rsidR="001E03A3" w:rsidRPr="00FC04DA">
        <w:t xml:space="preserve"> </w:t>
      </w:r>
      <w:r w:rsidR="005E1BEA" w:rsidRPr="00FC04DA">
        <w:t>NI Statistics and Research Agency, ‘</w:t>
      </w:r>
      <w:r w:rsidR="007C4247" w:rsidRPr="00FC04DA">
        <w:t xml:space="preserve">Public Appointments Report for Northern Ireland: 2019/20; 2020/21; 2021/22’ (NISRA, 2023); </w:t>
      </w:r>
      <w:r w:rsidR="00E36850" w:rsidRPr="00FC04DA">
        <w:t>Department for Communities, ‘Disability Strategy Expert Advisory Panel: Report and Recommendations’ (DfC, 2020), at para 5.7; Disability Action, ‘</w:t>
      </w:r>
      <w:r w:rsidR="00975FA4" w:rsidRPr="00FC04DA">
        <w:t xml:space="preserve">Response to Electoral Office’s Draft Disability Action Plan and Equality Action Plan for the period 2022 – 2027’. Available at: </w:t>
      </w:r>
      <w:hyperlink r:id="rId15" w:anchor="_ftn1" w:history="1">
        <w:r w:rsidR="00975FA4" w:rsidRPr="00FC04DA">
          <w:rPr>
            <w:rStyle w:val="Hyperlink"/>
            <w:color w:val="77328A"/>
          </w:rPr>
          <w:t>https://www.disabilityaction.org/news/response-to-electoral-offices-draft-disability-action-plan-and-equality-action-plan-for-the-period-2022-2027#_ftn1</w:t>
        </w:r>
      </w:hyperlink>
      <w:r w:rsidR="00975FA4" w:rsidRPr="00FC04DA">
        <w:t xml:space="preserve">. </w:t>
      </w:r>
    </w:p>
  </w:footnote>
  <w:footnote w:id="346">
    <w:p w14:paraId="6FEAECD5" w14:textId="0E88FEED" w:rsidR="00C93724" w:rsidRPr="00FC04DA" w:rsidRDefault="00C93724" w:rsidP="00E43BFB">
      <w:pPr>
        <w:pStyle w:val="NIHRCFootnotes0"/>
      </w:pPr>
      <w:r w:rsidRPr="00FC04DA">
        <w:rPr>
          <w:rStyle w:val="FootnoteReference"/>
        </w:rPr>
        <w:footnoteRef/>
      </w:r>
      <w:r w:rsidRPr="00FC04DA">
        <w:t xml:space="preserve"> </w:t>
      </w:r>
      <w:r w:rsidR="00B06523" w:rsidRPr="00FC04DA">
        <w:t xml:space="preserve">The Electoral Commission, ‘Report on the May 2023 local elections in NI’. Available at: </w:t>
      </w:r>
      <w:hyperlink r:id="rId16" w:history="1">
        <w:r w:rsidR="00B06523" w:rsidRPr="00FC04DA">
          <w:rPr>
            <w:rStyle w:val="Hyperlink"/>
            <w:color w:val="77328A"/>
          </w:rPr>
          <w:t>https://www.electoralcommission.org.uk/research-reports-and-data/our-reports-and-data-past-elections-and-referendums/report-may-2023-local-elections-northern-ireland</w:t>
        </w:r>
      </w:hyperlink>
      <w:r w:rsidR="00B06523" w:rsidRPr="00FC04D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6E7"/>
    <w:multiLevelType w:val="hybridMultilevel"/>
    <w:tmpl w:val="6DACC46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5693629"/>
    <w:multiLevelType w:val="hybridMultilevel"/>
    <w:tmpl w:val="1F2899E2"/>
    <w:lvl w:ilvl="0" w:tplc="08090001">
      <w:start w:val="1"/>
      <w:numFmt w:val="bullet"/>
      <w:lvlText w:val=""/>
      <w:lvlJc w:val="left"/>
      <w:pPr>
        <w:ind w:left="7514" w:hanging="360"/>
      </w:pPr>
      <w:rPr>
        <w:rFonts w:ascii="Symbol" w:hAnsi="Symbol" w:hint="default"/>
      </w:rPr>
    </w:lvl>
    <w:lvl w:ilvl="1" w:tplc="08090003">
      <w:start w:val="1"/>
      <w:numFmt w:val="bullet"/>
      <w:lvlText w:val="o"/>
      <w:lvlJc w:val="left"/>
      <w:pPr>
        <w:ind w:left="8234" w:hanging="360"/>
      </w:pPr>
      <w:rPr>
        <w:rFonts w:ascii="Courier New" w:hAnsi="Courier New" w:cs="Courier New" w:hint="default"/>
      </w:rPr>
    </w:lvl>
    <w:lvl w:ilvl="2" w:tplc="08090005" w:tentative="1">
      <w:start w:val="1"/>
      <w:numFmt w:val="bullet"/>
      <w:lvlText w:val=""/>
      <w:lvlJc w:val="left"/>
      <w:pPr>
        <w:ind w:left="8954" w:hanging="360"/>
      </w:pPr>
      <w:rPr>
        <w:rFonts w:ascii="Wingdings" w:hAnsi="Wingdings" w:hint="default"/>
      </w:rPr>
    </w:lvl>
    <w:lvl w:ilvl="3" w:tplc="08090001" w:tentative="1">
      <w:start w:val="1"/>
      <w:numFmt w:val="bullet"/>
      <w:lvlText w:val=""/>
      <w:lvlJc w:val="left"/>
      <w:pPr>
        <w:ind w:left="9674" w:hanging="360"/>
      </w:pPr>
      <w:rPr>
        <w:rFonts w:ascii="Symbol" w:hAnsi="Symbol" w:hint="default"/>
      </w:rPr>
    </w:lvl>
    <w:lvl w:ilvl="4" w:tplc="08090003" w:tentative="1">
      <w:start w:val="1"/>
      <w:numFmt w:val="bullet"/>
      <w:lvlText w:val="o"/>
      <w:lvlJc w:val="left"/>
      <w:pPr>
        <w:ind w:left="10394" w:hanging="360"/>
      </w:pPr>
      <w:rPr>
        <w:rFonts w:ascii="Courier New" w:hAnsi="Courier New" w:cs="Courier New" w:hint="default"/>
      </w:rPr>
    </w:lvl>
    <w:lvl w:ilvl="5" w:tplc="08090005" w:tentative="1">
      <w:start w:val="1"/>
      <w:numFmt w:val="bullet"/>
      <w:lvlText w:val=""/>
      <w:lvlJc w:val="left"/>
      <w:pPr>
        <w:ind w:left="11114" w:hanging="360"/>
      </w:pPr>
      <w:rPr>
        <w:rFonts w:ascii="Wingdings" w:hAnsi="Wingdings" w:hint="default"/>
      </w:rPr>
    </w:lvl>
    <w:lvl w:ilvl="6" w:tplc="08090001" w:tentative="1">
      <w:start w:val="1"/>
      <w:numFmt w:val="bullet"/>
      <w:lvlText w:val=""/>
      <w:lvlJc w:val="left"/>
      <w:pPr>
        <w:ind w:left="11834" w:hanging="360"/>
      </w:pPr>
      <w:rPr>
        <w:rFonts w:ascii="Symbol" w:hAnsi="Symbol" w:hint="default"/>
      </w:rPr>
    </w:lvl>
    <w:lvl w:ilvl="7" w:tplc="08090003" w:tentative="1">
      <w:start w:val="1"/>
      <w:numFmt w:val="bullet"/>
      <w:lvlText w:val="o"/>
      <w:lvlJc w:val="left"/>
      <w:pPr>
        <w:ind w:left="12554" w:hanging="360"/>
      </w:pPr>
      <w:rPr>
        <w:rFonts w:ascii="Courier New" w:hAnsi="Courier New" w:cs="Courier New" w:hint="default"/>
      </w:rPr>
    </w:lvl>
    <w:lvl w:ilvl="8" w:tplc="08090005" w:tentative="1">
      <w:start w:val="1"/>
      <w:numFmt w:val="bullet"/>
      <w:lvlText w:val=""/>
      <w:lvlJc w:val="left"/>
      <w:pPr>
        <w:ind w:left="13274" w:hanging="360"/>
      </w:pPr>
      <w:rPr>
        <w:rFonts w:ascii="Wingdings" w:hAnsi="Wingdings" w:hint="default"/>
      </w:rPr>
    </w:lvl>
  </w:abstractNum>
  <w:abstractNum w:abstractNumId="2" w15:restartNumberingAfterBreak="0">
    <w:nsid w:val="06104B0A"/>
    <w:multiLevelType w:val="multilevel"/>
    <w:tmpl w:val="109CACAA"/>
    <w:lvl w:ilvl="0">
      <w:start w:val="4"/>
      <w:numFmt w:val="decimal"/>
      <w:lvlText w:val="%1"/>
      <w:lvlJc w:val="left"/>
      <w:pPr>
        <w:ind w:left="540" w:hanging="54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D035A6"/>
    <w:multiLevelType w:val="hybridMultilevel"/>
    <w:tmpl w:val="CAEC7BC4"/>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4" w15:restartNumberingAfterBreak="0">
    <w:nsid w:val="0B5159AD"/>
    <w:multiLevelType w:val="hybridMultilevel"/>
    <w:tmpl w:val="0B7622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B612F0D"/>
    <w:multiLevelType w:val="multilevel"/>
    <w:tmpl w:val="946EB1A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B736A35"/>
    <w:multiLevelType w:val="multilevel"/>
    <w:tmpl w:val="840E7E1E"/>
    <w:lvl w:ilvl="0">
      <w:start w:val="12"/>
      <w:numFmt w:val="decimal"/>
      <w:lvlText w:val="%1"/>
      <w:lvlJc w:val="left"/>
      <w:pPr>
        <w:ind w:left="540" w:hanging="540"/>
      </w:pPr>
      <w:rPr>
        <w:rFonts w:eastAsia="Verdana" w:cs="Verdana" w:hint="default"/>
        <w:color w:val="000000"/>
      </w:rPr>
    </w:lvl>
    <w:lvl w:ilvl="1">
      <w:start w:val="1"/>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7" w15:restartNumberingAfterBreak="0">
    <w:nsid w:val="0BC24B30"/>
    <w:multiLevelType w:val="multilevel"/>
    <w:tmpl w:val="CF4E7AC0"/>
    <w:lvl w:ilvl="0">
      <w:start w:val="6"/>
      <w:numFmt w:val="decimal"/>
      <w:lvlText w:val="%1.0"/>
      <w:lvlJc w:val="left"/>
      <w:pPr>
        <w:ind w:left="709" w:hanging="720"/>
      </w:pPr>
      <w:rPr>
        <w:rFonts w:hint="default"/>
      </w:rPr>
    </w:lvl>
    <w:lvl w:ilvl="1">
      <w:start w:val="1"/>
      <w:numFmt w:val="decimal"/>
      <w:lvlText w:val="%1.%2"/>
      <w:lvlJc w:val="left"/>
      <w:pPr>
        <w:ind w:left="1429" w:hanging="720"/>
      </w:pPr>
      <w:rPr>
        <w:rFonts w:hint="default"/>
        <w:b w:val="0"/>
        <w:bCs w:val="0"/>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8" w15:restartNumberingAfterBreak="0">
    <w:nsid w:val="0D0105C9"/>
    <w:multiLevelType w:val="multilevel"/>
    <w:tmpl w:val="F7484476"/>
    <w:lvl w:ilvl="0">
      <w:start w:val="7"/>
      <w:numFmt w:val="decimal"/>
      <w:lvlText w:val="%1.0"/>
      <w:lvlJc w:val="left"/>
      <w:pPr>
        <w:ind w:left="709" w:hanging="720"/>
      </w:pPr>
      <w:rPr>
        <w:rFonts w:hint="default"/>
      </w:rPr>
    </w:lvl>
    <w:lvl w:ilvl="1">
      <w:start w:val="1"/>
      <w:numFmt w:val="decimal"/>
      <w:lvlText w:val="%1.%2"/>
      <w:lvlJc w:val="left"/>
      <w:pPr>
        <w:ind w:left="1429" w:hanging="720"/>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9" w15:restartNumberingAfterBreak="0">
    <w:nsid w:val="0D2270FB"/>
    <w:multiLevelType w:val="multilevel"/>
    <w:tmpl w:val="C90087C8"/>
    <w:lvl w:ilvl="0">
      <w:start w:val="9"/>
      <w:numFmt w:val="decimal"/>
      <w:lvlText w:val="%1"/>
      <w:lvlJc w:val="left"/>
      <w:pPr>
        <w:ind w:left="390" w:hanging="390"/>
      </w:pPr>
      <w:rPr>
        <w:rFonts w:hint="default"/>
      </w:rPr>
    </w:lvl>
    <w:lvl w:ilvl="1">
      <w:start w:val="1"/>
      <w:numFmt w:val="decimal"/>
      <w:lvlText w:val="%1.%2"/>
      <w:lvlJc w:val="left"/>
      <w:pPr>
        <w:ind w:left="862" w:hanging="86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EBB3C53"/>
    <w:multiLevelType w:val="hybridMultilevel"/>
    <w:tmpl w:val="049E602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3486D52"/>
    <w:multiLevelType w:val="hybridMultilevel"/>
    <w:tmpl w:val="412A7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9F67F2"/>
    <w:multiLevelType w:val="hybridMultilevel"/>
    <w:tmpl w:val="EB1C36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9685548"/>
    <w:multiLevelType w:val="multilevel"/>
    <w:tmpl w:val="C50618E8"/>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98F41BF"/>
    <w:multiLevelType w:val="hybridMultilevel"/>
    <w:tmpl w:val="0268C1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1B387C2D"/>
    <w:multiLevelType w:val="multilevel"/>
    <w:tmpl w:val="4F94710E"/>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BE7136D"/>
    <w:multiLevelType w:val="multilevel"/>
    <w:tmpl w:val="D556D750"/>
    <w:lvl w:ilvl="0">
      <w:start w:val="19"/>
      <w:numFmt w:val="decimal"/>
      <w:lvlText w:val="%1.0"/>
      <w:lvlJc w:val="left"/>
      <w:pPr>
        <w:ind w:left="818" w:hanging="818"/>
      </w:pPr>
      <w:rPr>
        <w:rFonts w:hint="default"/>
      </w:rPr>
    </w:lvl>
    <w:lvl w:ilvl="1">
      <w:start w:val="1"/>
      <w:numFmt w:val="decimal"/>
      <w:lvlText w:val="%1.%2"/>
      <w:lvlJc w:val="left"/>
      <w:pPr>
        <w:ind w:left="1538" w:hanging="818"/>
      </w:pPr>
      <w:rPr>
        <w:rFonts w:hint="default"/>
        <w:b w:val="0"/>
        <w:bCs/>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17" w15:restartNumberingAfterBreak="0">
    <w:nsid w:val="1D172C95"/>
    <w:multiLevelType w:val="multilevel"/>
    <w:tmpl w:val="C28C128E"/>
    <w:lvl w:ilvl="0">
      <w:start w:val="4"/>
      <w:numFmt w:val="decimal"/>
      <w:lvlText w:val="%1.0"/>
      <w:lvlJc w:val="left"/>
      <w:pPr>
        <w:ind w:left="709" w:hanging="720"/>
      </w:pPr>
      <w:rPr>
        <w:rFonts w:hint="default"/>
      </w:rPr>
    </w:lvl>
    <w:lvl w:ilvl="1">
      <w:start w:val="1"/>
      <w:numFmt w:val="decimal"/>
      <w:lvlText w:val="%1.%2"/>
      <w:lvlJc w:val="left"/>
      <w:pPr>
        <w:ind w:left="1004" w:hanging="720"/>
      </w:pPr>
      <w:rPr>
        <w:rFonts w:hint="default"/>
        <w:b w:val="0"/>
        <w:bCs/>
        <w:vertAlign w:val="baseline"/>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18" w15:restartNumberingAfterBreak="0">
    <w:nsid w:val="1D882C4C"/>
    <w:multiLevelType w:val="multilevel"/>
    <w:tmpl w:val="35C8BF26"/>
    <w:lvl w:ilvl="0">
      <w:start w:val="15"/>
      <w:numFmt w:val="decimal"/>
      <w:lvlText w:val="%1"/>
      <w:lvlJc w:val="left"/>
      <w:pPr>
        <w:ind w:left="540" w:hanging="540"/>
      </w:pPr>
      <w:rPr>
        <w:rFonts w:hint="default"/>
      </w:rPr>
    </w:lvl>
    <w:lvl w:ilvl="1">
      <w:start w:val="1"/>
      <w:numFmt w:val="decimal"/>
      <w:lvlText w:val="%1.%2"/>
      <w:lvlJc w:val="left"/>
      <w:pPr>
        <w:ind w:left="851" w:hanging="851"/>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E5C6D6F"/>
    <w:multiLevelType w:val="hybridMultilevel"/>
    <w:tmpl w:val="44165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FE55AE4"/>
    <w:multiLevelType w:val="hybridMultilevel"/>
    <w:tmpl w:val="32E28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1770DD3"/>
    <w:multiLevelType w:val="hybridMultilevel"/>
    <w:tmpl w:val="04BCF4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25C6762"/>
    <w:multiLevelType w:val="hybridMultilevel"/>
    <w:tmpl w:val="DEBA31F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240D33D2"/>
    <w:multiLevelType w:val="hybridMultilevel"/>
    <w:tmpl w:val="8272AD06"/>
    <w:lvl w:ilvl="0" w:tplc="0809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5" w:tentative="1">
      <w:start w:val="1"/>
      <w:numFmt w:val="bullet"/>
      <w:lvlText w:val=""/>
      <w:lvlJc w:val="left"/>
      <w:pPr>
        <w:ind w:left="2978" w:hanging="360"/>
      </w:pPr>
      <w:rPr>
        <w:rFonts w:ascii="Wingdings" w:hAnsi="Wingdings"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4" w15:restartNumberingAfterBreak="0">
    <w:nsid w:val="24C1395F"/>
    <w:multiLevelType w:val="hybridMultilevel"/>
    <w:tmpl w:val="6FAC8C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6136E9C"/>
    <w:multiLevelType w:val="multilevel"/>
    <w:tmpl w:val="557246FA"/>
    <w:lvl w:ilvl="0">
      <w:start w:val="8"/>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26" w15:restartNumberingAfterBreak="0">
    <w:nsid w:val="26F417FF"/>
    <w:multiLevelType w:val="hybridMultilevel"/>
    <w:tmpl w:val="7AD0E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B162498"/>
    <w:multiLevelType w:val="multilevel"/>
    <w:tmpl w:val="7638DFF0"/>
    <w:lvl w:ilvl="0">
      <w:start w:val="12"/>
      <w:numFmt w:val="decimal"/>
      <w:lvlText w:val="%1.0"/>
      <w:lvlJc w:val="left"/>
      <w:pPr>
        <w:ind w:left="807" w:hanging="818"/>
      </w:pPr>
      <w:rPr>
        <w:rFonts w:hint="default"/>
      </w:rPr>
    </w:lvl>
    <w:lvl w:ilvl="1">
      <w:start w:val="1"/>
      <w:numFmt w:val="decimal"/>
      <w:lvlText w:val="%1.%2"/>
      <w:lvlJc w:val="left"/>
      <w:pPr>
        <w:ind w:left="1527" w:hanging="818"/>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28" w15:restartNumberingAfterBreak="0">
    <w:nsid w:val="2C224EA7"/>
    <w:multiLevelType w:val="multilevel"/>
    <w:tmpl w:val="6D827592"/>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2C416D3A"/>
    <w:multiLevelType w:val="hybridMultilevel"/>
    <w:tmpl w:val="2AC06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D084D8D"/>
    <w:multiLevelType w:val="multilevel"/>
    <w:tmpl w:val="541C394C"/>
    <w:lvl w:ilvl="0">
      <w:start w:val="17"/>
      <w:numFmt w:val="decimal"/>
      <w:lvlText w:val="%1.0"/>
      <w:lvlJc w:val="left"/>
      <w:pPr>
        <w:ind w:left="807" w:hanging="818"/>
      </w:pPr>
      <w:rPr>
        <w:rFonts w:hint="default"/>
      </w:rPr>
    </w:lvl>
    <w:lvl w:ilvl="1">
      <w:start w:val="1"/>
      <w:numFmt w:val="decimal"/>
      <w:lvlText w:val="%1.%2"/>
      <w:lvlJc w:val="left"/>
      <w:pPr>
        <w:ind w:left="1527" w:hanging="818"/>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31" w15:restartNumberingAfterBreak="0">
    <w:nsid w:val="2E1513F7"/>
    <w:multiLevelType w:val="multilevel"/>
    <w:tmpl w:val="7FFC777C"/>
    <w:lvl w:ilvl="0">
      <w:start w:val="16"/>
      <w:numFmt w:val="decimal"/>
      <w:lvlText w:val="%1.0"/>
      <w:lvlJc w:val="left"/>
      <w:pPr>
        <w:ind w:left="807" w:hanging="818"/>
      </w:pPr>
      <w:rPr>
        <w:rFonts w:hint="default"/>
      </w:rPr>
    </w:lvl>
    <w:lvl w:ilvl="1">
      <w:start w:val="1"/>
      <w:numFmt w:val="decimal"/>
      <w:lvlText w:val="%1.%2"/>
      <w:lvlJc w:val="left"/>
      <w:pPr>
        <w:ind w:left="851" w:hanging="142"/>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32" w15:restartNumberingAfterBreak="0">
    <w:nsid w:val="301C6CCB"/>
    <w:multiLevelType w:val="hybridMultilevel"/>
    <w:tmpl w:val="D54C660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307D6A2F"/>
    <w:multiLevelType w:val="hybridMultilevel"/>
    <w:tmpl w:val="B0AEA9C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37905216"/>
    <w:multiLevelType w:val="multilevel"/>
    <w:tmpl w:val="ECEE1486"/>
    <w:lvl w:ilvl="0">
      <w:start w:val="4"/>
      <w:numFmt w:val="decimal"/>
      <w:lvlText w:val="%1.0"/>
      <w:lvlJc w:val="left"/>
      <w:pPr>
        <w:ind w:left="709" w:hanging="720"/>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35" w15:restartNumberingAfterBreak="0">
    <w:nsid w:val="37AB68F0"/>
    <w:multiLevelType w:val="hybridMultilevel"/>
    <w:tmpl w:val="36EA167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3A225FD4"/>
    <w:multiLevelType w:val="multilevel"/>
    <w:tmpl w:val="CD2A75EC"/>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3A9705CD"/>
    <w:multiLevelType w:val="hybridMultilevel"/>
    <w:tmpl w:val="5EF66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0ED032A"/>
    <w:multiLevelType w:val="multilevel"/>
    <w:tmpl w:val="492EB65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3C22486"/>
    <w:multiLevelType w:val="hybridMultilevel"/>
    <w:tmpl w:val="DF6CB58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48B74D4B"/>
    <w:multiLevelType w:val="hybridMultilevel"/>
    <w:tmpl w:val="176C03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1" w15:restartNumberingAfterBreak="0">
    <w:nsid w:val="4A2E0272"/>
    <w:multiLevelType w:val="hybridMultilevel"/>
    <w:tmpl w:val="05F0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A674F0"/>
    <w:multiLevelType w:val="multilevel"/>
    <w:tmpl w:val="36F0EEF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4C4C348D"/>
    <w:multiLevelType w:val="hybridMultilevel"/>
    <w:tmpl w:val="9D84615E"/>
    <w:lvl w:ilvl="0" w:tplc="D6B0A992">
      <w:start w:val="1"/>
      <w:numFmt w:val="bullet"/>
      <w:lvlText w:val=""/>
      <w:lvlJc w:val="left"/>
      <w:pPr>
        <w:ind w:left="1515" w:hanging="360"/>
      </w:pPr>
      <w:rPr>
        <w:rFonts w:ascii="Symbol" w:hAnsi="Symbol" w:hint="default"/>
        <w:color w:val="auto"/>
      </w:rPr>
    </w:lvl>
    <w:lvl w:ilvl="1" w:tplc="08090003">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4" w15:restartNumberingAfterBreak="0">
    <w:nsid w:val="4D1D22C1"/>
    <w:multiLevelType w:val="hybridMultilevel"/>
    <w:tmpl w:val="E7B468B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4F094E29"/>
    <w:multiLevelType w:val="hybridMultilevel"/>
    <w:tmpl w:val="13AACEC6"/>
    <w:lvl w:ilvl="0" w:tplc="08090001">
      <w:start w:val="1"/>
      <w:numFmt w:val="bullet"/>
      <w:lvlText w:val=""/>
      <w:lvlJc w:val="left"/>
      <w:pPr>
        <w:ind w:left="1518" w:hanging="360"/>
      </w:pPr>
      <w:rPr>
        <w:rFonts w:ascii="Symbol" w:hAnsi="Symbo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46" w15:restartNumberingAfterBreak="0">
    <w:nsid w:val="50FE5701"/>
    <w:multiLevelType w:val="hybridMultilevel"/>
    <w:tmpl w:val="F5767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1240674"/>
    <w:multiLevelType w:val="multilevel"/>
    <w:tmpl w:val="8304980C"/>
    <w:styleLink w:val="CurrentList1"/>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val="0"/>
        <w:bCs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2BD6519"/>
    <w:multiLevelType w:val="multilevel"/>
    <w:tmpl w:val="02B65ACE"/>
    <w:lvl w:ilvl="0">
      <w:start w:val="3"/>
      <w:numFmt w:val="decimal"/>
      <w:lvlText w:val="%1.0"/>
      <w:lvlJc w:val="left"/>
      <w:pPr>
        <w:ind w:left="709" w:hanging="720"/>
      </w:pPr>
      <w:rPr>
        <w:rFonts w:hint="default"/>
      </w:rPr>
    </w:lvl>
    <w:lvl w:ilvl="1">
      <w:start w:val="1"/>
      <w:numFmt w:val="decimal"/>
      <w:lvlText w:val="%1.%2"/>
      <w:lvlJc w:val="left"/>
      <w:pPr>
        <w:ind w:left="1854" w:hanging="720"/>
      </w:pPr>
      <w:rPr>
        <w:rFonts w:hint="default"/>
        <w:b w:val="0"/>
        <w:bCs w:val="0"/>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49" w15:restartNumberingAfterBreak="0">
    <w:nsid w:val="54D4230F"/>
    <w:multiLevelType w:val="hybridMultilevel"/>
    <w:tmpl w:val="78CA591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15:restartNumberingAfterBreak="0">
    <w:nsid w:val="59640E8D"/>
    <w:multiLevelType w:val="hybridMultilevel"/>
    <w:tmpl w:val="C87CB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96548BD"/>
    <w:multiLevelType w:val="hybridMultilevel"/>
    <w:tmpl w:val="5D8A04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1DD1CE9"/>
    <w:multiLevelType w:val="hybridMultilevel"/>
    <w:tmpl w:val="7E68C5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3" w15:restartNumberingAfterBreak="0">
    <w:nsid w:val="61EB39A4"/>
    <w:multiLevelType w:val="hybridMultilevel"/>
    <w:tmpl w:val="E9D05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20943B9"/>
    <w:multiLevelType w:val="multilevel"/>
    <w:tmpl w:val="BF36EE22"/>
    <w:lvl w:ilvl="0">
      <w:start w:val="18"/>
      <w:numFmt w:val="decimal"/>
      <w:lvlText w:val="%1.0"/>
      <w:lvlJc w:val="left"/>
      <w:pPr>
        <w:ind w:left="807" w:hanging="818"/>
      </w:pPr>
      <w:rPr>
        <w:rFonts w:hint="default"/>
      </w:rPr>
    </w:lvl>
    <w:lvl w:ilvl="1">
      <w:start w:val="1"/>
      <w:numFmt w:val="decimal"/>
      <w:lvlText w:val="%1.%2"/>
      <w:lvlJc w:val="left"/>
      <w:pPr>
        <w:ind w:left="1527" w:hanging="818"/>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949" w:hanging="1800"/>
      </w:pPr>
      <w:rPr>
        <w:rFonts w:hint="default"/>
      </w:rPr>
    </w:lvl>
    <w:lvl w:ilvl="4">
      <w:start w:val="1"/>
      <w:numFmt w:val="decimal"/>
      <w:lvlText w:val="%1.%2.%3.%4.%5"/>
      <w:lvlJc w:val="left"/>
      <w:pPr>
        <w:ind w:left="5029" w:hanging="2160"/>
      </w:pPr>
      <w:rPr>
        <w:rFonts w:hint="default"/>
      </w:rPr>
    </w:lvl>
    <w:lvl w:ilvl="5">
      <w:start w:val="1"/>
      <w:numFmt w:val="decimal"/>
      <w:lvlText w:val="%1.%2.%3.%4.%5.%6"/>
      <w:lvlJc w:val="left"/>
      <w:pPr>
        <w:ind w:left="6109" w:hanging="2520"/>
      </w:pPr>
      <w:rPr>
        <w:rFonts w:hint="default"/>
      </w:rPr>
    </w:lvl>
    <w:lvl w:ilvl="6">
      <w:start w:val="1"/>
      <w:numFmt w:val="decimal"/>
      <w:lvlText w:val="%1.%2.%3.%4.%5.%6.%7"/>
      <w:lvlJc w:val="left"/>
      <w:pPr>
        <w:ind w:left="7189" w:hanging="2880"/>
      </w:pPr>
      <w:rPr>
        <w:rFonts w:hint="default"/>
      </w:rPr>
    </w:lvl>
    <w:lvl w:ilvl="7">
      <w:start w:val="1"/>
      <w:numFmt w:val="decimal"/>
      <w:lvlText w:val="%1.%2.%3.%4.%5.%6.%7.%8"/>
      <w:lvlJc w:val="left"/>
      <w:pPr>
        <w:ind w:left="8269" w:hanging="3240"/>
      </w:pPr>
      <w:rPr>
        <w:rFonts w:hint="default"/>
      </w:rPr>
    </w:lvl>
    <w:lvl w:ilvl="8">
      <w:start w:val="1"/>
      <w:numFmt w:val="decimal"/>
      <w:lvlText w:val="%1.%2.%3.%4.%5.%6.%7.%8.%9"/>
      <w:lvlJc w:val="left"/>
      <w:pPr>
        <w:ind w:left="9349" w:hanging="3600"/>
      </w:pPr>
      <w:rPr>
        <w:rFonts w:hint="default"/>
      </w:rPr>
    </w:lvl>
  </w:abstractNum>
  <w:abstractNum w:abstractNumId="55" w15:restartNumberingAfterBreak="0">
    <w:nsid w:val="6209441B"/>
    <w:multiLevelType w:val="multilevel"/>
    <w:tmpl w:val="0AB4F5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64857D5C"/>
    <w:multiLevelType w:val="multilevel"/>
    <w:tmpl w:val="21344FC4"/>
    <w:lvl w:ilvl="0">
      <w:start w:val="9"/>
      <w:numFmt w:val="decimal"/>
      <w:lvlText w:val="%1"/>
      <w:lvlJc w:val="left"/>
      <w:pPr>
        <w:ind w:left="390" w:hanging="390"/>
      </w:pPr>
      <w:rPr>
        <w:rFonts w:eastAsia="Verdana" w:cs="Verdana" w:hint="default"/>
        <w:color w:val="000000"/>
      </w:rPr>
    </w:lvl>
    <w:lvl w:ilvl="1">
      <w:start w:val="1"/>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57" w15:restartNumberingAfterBreak="0">
    <w:nsid w:val="6595599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8" w15:restartNumberingAfterBreak="0">
    <w:nsid w:val="65F76F83"/>
    <w:multiLevelType w:val="hybridMultilevel"/>
    <w:tmpl w:val="6F440AA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15:restartNumberingAfterBreak="0">
    <w:nsid w:val="684447B0"/>
    <w:multiLevelType w:val="hybridMultilevel"/>
    <w:tmpl w:val="FD6CA10A"/>
    <w:lvl w:ilvl="0" w:tplc="0809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5" w:tentative="1">
      <w:start w:val="1"/>
      <w:numFmt w:val="bullet"/>
      <w:lvlText w:val=""/>
      <w:lvlJc w:val="left"/>
      <w:pPr>
        <w:ind w:left="2978" w:hanging="360"/>
      </w:pPr>
      <w:rPr>
        <w:rFonts w:ascii="Wingdings" w:hAnsi="Wingdings"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60" w15:restartNumberingAfterBreak="0">
    <w:nsid w:val="68CB0B54"/>
    <w:multiLevelType w:val="multilevel"/>
    <w:tmpl w:val="AA54F8C6"/>
    <w:lvl w:ilvl="0">
      <w:start w:val="13"/>
      <w:numFmt w:val="decimal"/>
      <w:lvlText w:val="%1"/>
      <w:lvlJc w:val="left"/>
      <w:pPr>
        <w:ind w:left="540" w:hanging="540"/>
      </w:pPr>
      <w:rPr>
        <w:rFonts w:eastAsia="Verdana" w:cs="Verdana" w:hint="default"/>
        <w:color w:val="000000"/>
      </w:rPr>
    </w:lvl>
    <w:lvl w:ilvl="1">
      <w:start w:val="1"/>
      <w:numFmt w:val="decimal"/>
      <w:lvlText w:val="%1.%2"/>
      <w:lvlJc w:val="left"/>
      <w:pPr>
        <w:ind w:left="720" w:hanging="720"/>
      </w:pPr>
      <w:rPr>
        <w:rFonts w:eastAsia="Verdana" w:cs="Verdana" w:hint="default"/>
        <w:b w:val="0"/>
        <w:bCs/>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61" w15:restartNumberingAfterBreak="0">
    <w:nsid w:val="6C6406AD"/>
    <w:multiLevelType w:val="hybridMultilevel"/>
    <w:tmpl w:val="75163D5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2" w15:restartNumberingAfterBreak="0">
    <w:nsid w:val="6CBE14FC"/>
    <w:multiLevelType w:val="multilevel"/>
    <w:tmpl w:val="5CA22684"/>
    <w:lvl w:ilvl="0">
      <w:start w:val="5"/>
      <w:numFmt w:val="decimal"/>
      <w:lvlText w:val="%1"/>
      <w:lvlJc w:val="left"/>
      <w:pPr>
        <w:ind w:left="390" w:hanging="390"/>
      </w:pPr>
      <w:rPr>
        <w:rFonts w:cstheme="minorBidi" w:hint="default"/>
      </w:rPr>
    </w:lvl>
    <w:lvl w:ilvl="1">
      <w:start w:val="1"/>
      <w:numFmt w:val="decimal"/>
      <w:lvlText w:val="%1.%2"/>
      <w:lvlJc w:val="left"/>
      <w:pPr>
        <w:ind w:left="1004" w:hanging="720"/>
      </w:pPr>
      <w:rPr>
        <w:rFonts w:cstheme="minorBidi" w:hint="default"/>
      </w:rPr>
    </w:lvl>
    <w:lvl w:ilvl="2">
      <w:start w:val="1"/>
      <w:numFmt w:val="decimal"/>
      <w:lvlText w:val="%1.%2.%3"/>
      <w:lvlJc w:val="left"/>
      <w:pPr>
        <w:ind w:left="1058" w:hanging="1080"/>
      </w:pPr>
      <w:rPr>
        <w:rFonts w:cstheme="minorBidi" w:hint="default"/>
      </w:rPr>
    </w:lvl>
    <w:lvl w:ilvl="3">
      <w:start w:val="1"/>
      <w:numFmt w:val="decimal"/>
      <w:lvlText w:val="%1.%2.%3.%4"/>
      <w:lvlJc w:val="left"/>
      <w:pPr>
        <w:ind w:left="1047" w:hanging="1080"/>
      </w:pPr>
      <w:rPr>
        <w:rFonts w:cstheme="minorBidi" w:hint="default"/>
      </w:rPr>
    </w:lvl>
    <w:lvl w:ilvl="4">
      <w:start w:val="1"/>
      <w:numFmt w:val="decimal"/>
      <w:lvlText w:val="%1.%2.%3.%4.%5"/>
      <w:lvlJc w:val="left"/>
      <w:pPr>
        <w:ind w:left="1396" w:hanging="1440"/>
      </w:pPr>
      <w:rPr>
        <w:rFonts w:cstheme="minorBidi" w:hint="default"/>
      </w:rPr>
    </w:lvl>
    <w:lvl w:ilvl="5">
      <w:start w:val="1"/>
      <w:numFmt w:val="decimal"/>
      <w:lvlText w:val="%1.%2.%3.%4.%5.%6"/>
      <w:lvlJc w:val="left"/>
      <w:pPr>
        <w:ind w:left="1745" w:hanging="1800"/>
      </w:pPr>
      <w:rPr>
        <w:rFonts w:cstheme="minorBidi" w:hint="default"/>
      </w:rPr>
    </w:lvl>
    <w:lvl w:ilvl="6">
      <w:start w:val="1"/>
      <w:numFmt w:val="decimal"/>
      <w:lvlText w:val="%1.%2.%3.%4.%5.%6.%7"/>
      <w:lvlJc w:val="left"/>
      <w:pPr>
        <w:ind w:left="2094" w:hanging="2160"/>
      </w:pPr>
      <w:rPr>
        <w:rFonts w:cstheme="minorBidi" w:hint="default"/>
      </w:rPr>
    </w:lvl>
    <w:lvl w:ilvl="7">
      <w:start w:val="1"/>
      <w:numFmt w:val="decimal"/>
      <w:lvlText w:val="%1.%2.%3.%4.%5.%6.%7.%8"/>
      <w:lvlJc w:val="left"/>
      <w:pPr>
        <w:ind w:left="2443" w:hanging="2520"/>
      </w:pPr>
      <w:rPr>
        <w:rFonts w:cstheme="minorBidi" w:hint="default"/>
      </w:rPr>
    </w:lvl>
    <w:lvl w:ilvl="8">
      <w:start w:val="1"/>
      <w:numFmt w:val="decimal"/>
      <w:lvlText w:val="%1.%2.%3.%4.%5.%6.%7.%8.%9"/>
      <w:lvlJc w:val="left"/>
      <w:pPr>
        <w:ind w:left="2432" w:hanging="2520"/>
      </w:pPr>
      <w:rPr>
        <w:rFonts w:cstheme="minorBidi" w:hint="default"/>
      </w:rPr>
    </w:lvl>
  </w:abstractNum>
  <w:abstractNum w:abstractNumId="63" w15:restartNumberingAfterBreak="0">
    <w:nsid w:val="739D284B"/>
    <w:multiLevelType w:val="hybridMultilevel"/>
    <w:tmpl w:val="1AE64FB0"/>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64" w15:restartNumberingAfterBreak="0">
    <w:nsid w:val="74291652"/>
    <w:multiLevelType w:val="hybridMultilevel"/>
    <w:tmpl w:val="FC6EC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4B34AE4"/>
    <w:multiLevelType w:val="multilevel"/>
    <w:tmpl w:val="820441B4"/>
    <w:lvl w:ilvl="0">
      <w:start w:val="5"/>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66" w15:restartNumberingAfterBreak="0">
    <w:nsid w:val="756E498D"/>
    <w:multiLevelType w:val="multilevel"/>
    <w:tmpl w:val="B21A2CC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7" w15:restartNumberingAfterBreak="0">
    <w:nsid w:val="7C8A1487"/>
    <w:multiLevelType w:val="multilevel"/>
    <w:tmpl w:val="804C5F98"/>
    <w:lvl w:ilvl="0">
      <w:start w:val="4"/>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CFB7ED6"/>
    <w:multiLevelType w:val="multilevel"/>
    <w:tmpl w:val="38BE52C4"/>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9" w15:restartNumberingAfterBreak="0">
    <w:nsid w:val="7DCC537A"/>
    <w:multiLevelType w:val="multilevel"/>
    <w:tmpl w:val="4B8237E0"/>
    <w:lvl w:ilvl="0">
      <w:start w:val="15"/>
      <w:numFmt w:val="decimal"/>
      <w:lvlText w:val="%1.0"/>
      <w:lvlJc w:val="left"/>
      <w:pPr>
        <w:ind w:left="807" w:hanging="818"/>
      </w:pPr>
      <w:rPr>
        <w:rFonts w:hint="default"/>
      </w:rPr>
    </w:lvl>
    <w:lvl w:ilvl="1">
      <w:start w:val="1"/>
      <w:numFmt w:val="decimal"/>
      <w:lvlText w:val="%1.%2"/>
      <w:lvlJc w:val="left"/>
      <w:pPr>
        <w:ind w:left="1527" w:hanging="818"/>
      </w:pPr>
      <w:rPr>
        <w:rFonts w:hint="default"/>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70" w15:restartNumberingAfterBreak="0">
    <w:nsid w:val="7E8C1232"/>
    <w:multiLevelType w:val="multilevel"/>
    <w:tmpl w:val="E7485C0E"/>
    <w:lvl w:ilvl="0">
      <w:start w:val="10"/>
      <w:numFmt w:val="decimal"/>
      <w:lvlText w:val="%1.0"/>
      <w:lvlJc w:val="left"/>
      <w:pPr>
        <w:ind w:left="807" w:hanging="818"/>
      </w:pPr>
      <w:rPr>
        <w:rFonts w:hint="default"/>
      </w:rPr>
    </w:lvl>
    <w:lvl w:ilvl="1">
      <w:start w:val="1"/>
      <w:numFmt w:val="decimal"/>
      <w:lvlText w:val="%1.%2"/>
      <w:lvlJc w:val="left"/>
      <w:pPr>
        <w:ind w:left="818" w:hanging="818"/>
      </w:pPr>
      <w:rPr>
        <w:rFonts w:hint="default"/>
        <w:vertAlign w:val="baseline"/>
      </w:rPr>
    </w:lvl>
    <w:lvl w:ilvl="2">
      <w:start w:val="1"/>
      <w:numFmt w:val="decimal"/>
      <w:lvlText w:val="%1.%2.%3"/>
      <w:lvlJc w:val="left"/>
      <w:pPr>
        <w:ind w:left="2509" w:hanging="108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4309" w:hanging="1440"/>
      </w:pPr>
      <w:rPr>
        <w:rFonts w:hint="default"/>
      </w:rPr>
    </w:lvl>
    <w:lvl w:ilvl="5">
      <w:start w:val="1"/>
      <w:numFmt w:val="decimal"/>
      <w:lvlText w:val="%1.%2.%3.%4.%5.%6"/>
      <w:lvlJc w:val="left"/>
      <w:pPr>
        <w:ind w:left="5389" w:hanging="1800"/>
      </w:pPr>
      <w:rPr>
        <w:rFonts w:hint="default"/>
      </w:rPr>
    </w:lvl>
    <w:lvl w:ilvl="6">
      <w:start w:val="1"/>
      <w:numFmt w:val="decimal"/>
      <w:lvlText w:val="%1.%2.%3.%4.%5.%6.%7"/>
      <w:lvlJc w:val="left"/>
      <w:pPr>
        <w:ind w:left="6469" w:hanging="2160"/>
      </w:pPr>
      <w:rPr>
        <w:rFonts w:hint="default"/>
      </w:rPr>
    </w:lvl>
    <w:lvl w:ilvl="7">
      <w:start w:val="1"/>
      <w:numFmt w:val="decimal"/>
      <w:lvlText w:val="%1.%2.%3.%4.%5.%6.%7.%8"/>
      <w:lvlJc w:val="left"/>
      <w:pPr>
        <w:ind w:left="7549" w:hanging="2520"/>
      </w:pPr>
      <w:rPr>
        <w:rFonts w:hint="default"/>
      </w:rPr>
    </w:lvl>
    <w:lvl w:ilvl="8">
      <w:start w:val="1"/>
      <w:numFmt w:val="decimal"/>
      <w:lvlText w:val="%1.%2.%3.%4.%5.%6.%7.%8.%9"/>
      <w:lvlJc w:val="left"/>
      <w:pPr>
        <w:ind w:left="8269" w:hanging="2520"/>
      </w:pPr>
      <w:rPr>
        <w:rFonts w:hint="default"/>
      </w:rPr>
    </w:lvl>
  </w:abstractNum>
  <w:abstractNum w:abstractNumId="71" w15:restartNumberingAfterBreak="0">
    <w:nsid w:val="7FF121DE"/>
    <w:multiLevelType w:val="multilevel"/>
    <w:tmpl w:val="CF2A176E"/>
    <w:lvl w:ilvl="0">
      <w:start w:val="2"/>
      <w:numFmt w:val="decimal"/>
      <w:lvlText w:val="%1"/>
      <w:lvlJc w:val="left"/>
      <w:pPr>
        <w:ind w:left="390" w:hanging="390"/>
      </w:pPr>
      <w:rPr>
        <w:rFonts w:hint="default"/>
      </w:rPr>
    </w:lvl>
    <w:lvl w:ilvl="1">
      <w:numFmt w:val="decimal"/>
      <w:lvlText w:val="%1.%2"/>
      <w:lvlJc w:val="left"/>
      <w:pPr>
        <w:ind w:left="639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3590858">
    <w:abstractNumId w:val="28"/>
  </w:num>
  <w:num w:numId="2" w16cid:durableId="965433191">
    <w:abstractNumId w:val="67"/>
  </w:num>
  <w:num w:numId="3" w16cid:durableId="309480829">
    <w:abstractNumId w:val="5"/>
  </w:num>
  <w:num w:numId="4" w16cid:durableId="1559778829">
    <w:abstractNumId w:val="9"/>
  </w:num>
  <w:num w:numId="5" w16cid:durableId="465271857">
    <w:abstractNumId w:val="6"/>
  </w:num>
  <w:num w:numId="6" w16cid:durableId="309871980">
    <w:abstractNumId w:val="71"/>
  </w:num>
  <w:num w:numId="7" w16cid:durableId="1402679421">
    <w:abstractNumId w:val="66"/>
  </w:num>
  <w:num w:numId="8" w16cid:durableId="1132406315">
    <w:abstractNumId w:val="13"/>
  </w:num>
  <w:num w:numId="9" w16cid:durableId="1413239841">
    <w:abstractNumId w:val="2"/>
  </w:num>
  <w:num w:numId="10" w16cid:durableId="123472316">
    <w:abstractNumId w:val="62"/>
  </w:num>
  <w:num w:numId="11" w16cid:durableId="1751611478">
    <w:abstractNumId w:val="47"/>
  </w:num>
  <w:num w:numId="12" w16cid:durableId="1391920811">
    <w:abstractNumId w:val="36"/>
  </w:num>
  <w:num w:numId="13" w16cid:durableId="452747754">
    <w:abstractNumId w:val="18"/>
  </w:num>
  <w:num w:numId="14" w16cid:durableId="1240555623">
    <w:abstractNumId w:val="60"/>
  </w:num>
  <w:num w:numId="15" w16cid:durableId="459080926">
    <w:abstractNumId w:val="30"/>
  </w:num>
  <w:num w:numId="16" w16cid:durableId="1396078087">
    <w:abstractNumId w:val="48"/>
  </w:num>
  <w:num w:numId="17" w16cid:durableId="734815301">
    <w:abstractNumId w:val="54"/>
  </w:num>
  <w:num w:numId="18" w16cid:durableId="165825017">
    <w:abstractNumId w:val="16"/>
  </w:num>
  <w:num w:numId="19" w16cid:durableId="278344697">
    <w:abstractNumId w:val="17"/>
  </w:num>
  <w:num w:numId="20" w16cid:durableId="225533879">
    <w:abstractNumId w:val="65"/>
  </w:num>
  <w:num w:numId="21" w16cid:durableId="1337535055">
    <w:abstractNumId w:val="7"/>
  </w:num>
  <w:num w:numId="22" w16cid:durableId="1871645303">
    <w:abstractNumId w:val="8"/>
  </w:num>
  <w:num w:numId="23" w16cid:durableId="415173559">
    <w:abstractNumId w:val="25"/>
  </w:num>
  <w:num w:numId="24" w16cid:durableId="1588615991">
    <w:abstractNumId w:val="38"/>
  </w:num>
  <w:num w:numId="25" w16cid:durableId="2009936976">
    <w:abstractNumId w:val="70"/>
  </w:num>
  <w:num w:numId="26" w16cid:durableId="214197059">
    <w:abstractNumId w:val="27"/>
  </w:num>
  <w:num w:numId="27" w16cid:durableId="2078746865">
    <w:abstractNumId w:val="15"/>
  </w:num>
  <w:num w:numId="28" w16cid:durableId="2130852373">
    <w:abstractNumId w:val="69"/>
  </w:num>
  <w:num w:numId="29" w16cid:durableId="1641495413">
    <w:abstractNumId w:val="31"/>
  </w:num>
  <w:num w:numId="30" w16cid:durableId="62342355">
    <w:abstractNumId w:val="1"/>
  </w:num>
  <w:num w:numId="31" w16cid:durableId="814878746">
    <w:abstractNumId w:val="52"/>
  </w:num>
  <w:num w:numId="32" w16cid:durableId="272834145">
    <w:abstractNumId w:val="14"/>
  </w:num>
  <w:num w:numId="33" w16cid:durableId="101531642">
    <w:abstractNumId w:val="24"/>
  </w:num>
  <w:num w:numId="34" w16cid:durableId="1705641802">
    <w:abstractNumId w:val="56"/>
  </w:num>
  <w:num w:numId="35" w16cid:durableId="2034063887">
    <w:abstractNumId w:val="44"/>
  </w:num>
  <w:num w:numId="36" w16cid:durableId="1172599079">
    <w:abstractNumId w:val="35"/>
  </w:num>
  <w:num w:numId="37" w16cid:durableId="1477380319">
    <w:abstractNumId w:val="10"/>
  </w:num>
  <w:num w:numId="38" w16cid:durableId="66195090">
    <w:abstractNumId w:val="11"/>
  </w:num>
  <w:num w:numId="39" w16cid:durableId="355346756">
    <w:abstractNumId w:val="41"/>
  </w:num>
  <w:num w:numId="40" w16cid:durableId="4674914">
    <w:abstractNumId w:val="49"/>
  </w:num>
  <w:num w:numId="41" w16cid:durableId="2039548118">
    <w:abstractNumId w:val="12"/>
  </w:num>
  <w:num w:numId="42" w16cid:durableId="308291273">
    <w:abstractNumId w:val="33"/>
  </w:num>
  <w:num w:numId="43" w16cid:durableId="1246257781">
    <w:abstractNumId w:val="61"/>
  </w:num>
  <w:num w:numId="44" w16cid:durableId="333649396">
    <w:abstractNumId w:val="55"/>
  </w:num>
  <w:num w:numId="45" w16cid:durableId="1238443958">
    <w:abstractNumId w:val="43"/>
  </w:num>
  <w:num w:numId="46" w16cid:durableId="655457046">
    <w:abstractNumId w:val="45"/>
  </w:num>
  <w:num w:numId="47" w16cid:durableId="846402113">
    <w:abstractNumId w:val="42"/>
  </w:num>
  <w:num w:numId="48" w16cid:durableId="1828015307">
    <w:abstractNumId w:val="37"/>
  </w:num>
  <w:num w:numId="49" w16cid:durableId="1389838676">
    <w:abstractNumId w:val="68"/>
  </w:num>
  <w:num w:numId="50" w16cid:durableId="1461533332">
    <w:abstractNumId w:val="64"/>
  </w:num>
  <w:num w:numId="51" w16cid:durableId="2008172300">
    <w:abstractNumId w:val="59"/>
  </w:num>
  <w:num w:numId="52" w16cid:durableId="1474566017">
    <w:abstractNumId w:val="58"/>
  </w:num>
  <w:num w:numId="53" w16cid:durableId="1119253521">
    <w:abstractNumId w:val="4"/>
  </w:num>
  <w:num w:numId="54" w16cid:durableId="760302021">
    <w:abstractNumId w:val="46"/>
  </w:num>
  <w:num w:numId="55" w16cid:durableId="1980381896">
    <w:abstractNumId w:val="50"/>
  </w:num>
  <w:num w:numId="56" w16cid:durableId="747311588">
    <w:abstractNumId w:val="19"/>
  </w:num>
  <w:num w:numId="57" w16cid:durableId="1717389057">
    <w:abstractNumId w:val="39"/>
  </w:num>
  <w:num w:numId="58" w16cid:durableId="367920188">
    <w:abstractNumId w:val="23"/>
  </w:num>
  <w:num w:numId="59" w16cid:durableId="424346744">
    <w:abstractNumId w:val="22"/>
  </w:num>
  <w:num w:numId="60" w16cid:durableId="918565448">
    <w:abstractNumId w:val="32"/>
  </w:num>
  <w:num w:numId="61" w16cid:durableId="1829401403">
    <w:abstractNumId w:val="26"/>
  </w:num>
  <w:num w:numId="62" w16cid:durableId="821039556">
    <w:abstractNumId w:val="40"/>
  </w:num>
  <w:num w:numId="63" w16cid:durableId="101609489">
    <w:abstractNumId w:val="0"/>
  </w:num>
  <w:num w:numId="64" w16cid:durableId="626006469">
    <w:abstractNumId w:val="53"/>
  </w:num>
  <w:num w:numId="65" w16cid:durableId="867569311">
    <w:abstractNumId w:val="29"/>
  </w:num>
  <w:num w:numId="66" w16cid:durableId="1633897567">
    <w:abstractNumId w:val="34"/>
  </w:num>
  <w:num w:numId="67" w16cid:durableId="1609777052">
    <w:abstractNumId w:val="3"/>
  </w:num>
  <w:num w:numId="68" w16cid:durableId="1098990620">
    <w:abstractNumId w:val="21"/>
  </w:num>
  <w:num w:numId="69" w16cid:durableId="1874538579">
    <w:abstractNumId w:val="20"/>
  </w:num>
  <w:num w:numId="70" w16cid:durableId="1688750668">
    <w:abstractNumId w:val="57"/>
  </w:num>
  <w:num w:numId="71" w16cid:durableId="1607926248">
    <w:abstractNumId w:val="51"/>
  </w:num>
  <w:num w:numId="72" w16cid:durableId="355813737">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B3"/>
    <w:rsid w:val="000003EF"/>
    <w:rsid w:val="00000B56"/>
    <w:rsid w:val="00000F35"/>
    <w:rsid w:val="00000F9D"/>
    <w:rsid w:val="00001006"/>
    <w:rsid w:val="00001091"/>
    <w:rsid w:val="000012B0"/>
    <w:rsid w:val="000016AC"/>
    <w:rsid w:val="00001A4D"/>
    <w:rsid w:val="00001C80"/>
    <w:rsid w:val="00001CBB"/>
    <w:rsid w:val="00001EDA"/>
    <w:rsid w:val="000022BC"/>
    <w:rsid w:val="00002883"/>
    <w:rsid w:val="00002A7C"/>
    <w:rsid w:val="00002B9B"/>
    <w:rsid w:val="00002C67"/>
    <w:rsid w:val="00003620"/>
    <w:rsid w:val="00003671"/>
    <w:rsid w:val="00003848"/>
    <w:rsid w:val="00003943"/>
    <w:rsid w:val="00003A06"/>
    <w:rsid w:val="00003A13"/>
    <w:rsid w:val="00003BD6"/>
    <w:rsid w:val="00003DB9"/>
    <w:rsid w:val="00003E28"/>
    <w:rsid w:val="00003EA6"/>
    <w:rsid w:val="00003EC4"/>
    <w:rsid w:val="0000402E"/>
    <w:rsid w:val="000042BC"/>
    <w:rsid w:val="00004304"/>
    <w:rsid w:val="00004487"/>
    <w:rsid w:val="00004B6B"/>
    <w:rsid w:val="00004E67"/>
    <w:rsid w:val="000050F2"/>
    <w:rsid w:val="000051CF"/>
    <w:rsid w:val="000051DF"/>
    <w:rsid w:val="000056F1"/>
    <w:rsid w:val="0000593D"/>
    <w:rsid w:val="00005E04"/>
    <w:rsid w:val="00005E1B"/>
    <w:rsid w:val="00005E2B"/>
    <w:rsid w:val="000062E2"/>
    <w:rsid w:val="00006784"/>
    <w:rsid w:val="000068D0"/>
    <w:rsid w:val="00006A02"/>
    <w:rsid w:val="00006A23"/>
    <w:rsid w:val="00006C6E"/>
    <w:rsid w:val="00006CD4"/>
    <w:rsid w:val="00006CFF"/>
    <w:rsid w:val="00006D6D"/>
    <w:rsid w:val="00007333"/>
    <w:rsid w:val="0000739F"/>
    <w:rsid w:val="00007444"/>
    <w:rsid w:val="000074DC"/>
    <w:rsid w:val="00007767"/>
    <w:rsid w:val="00007D0A"/>
    <w:rsid w:val="000105A7"/>
    <w:rsid w:val="000105B5"/>
    <w:rsid w:val="000105D7"/>
    <w:rsid w:val="00010616"/>
    <w:rsid w:val="00010770"/>
    <w:rsid w:val="00010888"/>
    <w:rsid w:val="000110E1"/>
    <w:rsid w:val="00011173"/>
    <w:rsid w:val="00011963"/>
    <w:rsid w:val="00011D3B"/>
    <w:rsid w:val="00011E03"/>
    <w:rsid w:val="00011E95"/>
    <w:rsid w:val="00012402"/>
    <w:rsid w:val="00012851"/>
    <w:rsid w:val="00012A1E"/>
    <w:rsid w:val="00012A91"/>
    <w:rsid w:val="00012DED"/>
    <w:rsid w:val="00012FF2"/>
    <w:rsid w:val="000130D8"/>
    <w:rsid w:val="00013373"/>
    <w:rsid w:val="00013774"/>
    <w:rsid w:val="000137AA"/>
    <w:rsid w:val="0001380D"/>
    <w:rsid w:val="00013900"/>
    <w:rsid w:val="00013E8A"/>
    <w:rsid w:val="000143DC"/>
    <w:rsid w:val="00014910"/>
    <w:rsid w:val="00014A5C"/>
    <w:rsid w:val="00014B00"/>
    <w:rsid w:val="00015300"/>
    <w:rsid w:val="0001551F"/>
    <w:rsid w:val="000155E6"/>
    <w:rsid w:val="00015636"/>
    <w:rsid w:val="00015754"/>
    <w:rsid w:val="0001591A"/>
    <w:rsid w:val="00015DE0"/>
    <w:rsid w:val="00016294"/>
    <w:rsid w:val="00016368"/>
    <w:rsid w:val="00016473"/>
    <w:rsid w:val="000165EC"/>
    <w:rsid w:val="0001660F"/>
    <w:rsid w:val="0001674A"/>
    <w:rsid w:val="000167A5"/>
    <w:rsid w:val="00016963"/>
    <w:rsid w:val="00016D14"/>
    <w:rsid w:val="000170AD"/>
    <w:rsid w:val="000172A2"/>
    <w:rsid w:val="000174C0"/>
    <w:rsid w:val="00017D7D"/>
    <w:rsid w:val="00020427"/>
    <w:rsid w:val="00020A04"/>
    <w:rsid w:val="00020A7D"/>
    <w:rsid w:val="0002104D"/>
    <w:rsid w:val="000210F1"/>
    <w:rsid w:val="00021251"/>
    <w:rsid w:val="000217CD"/>
    <w:rsid w:val="00021BB4"/>
    <w:rsid w:val="00021D44"/>
    <w:rsid w:val="00021E50"/>
    <w:rsid w:val="00022062"/>
    <w:rsid w:val="00022334"/>
    <w:rsid w:val="000226CC"/>
    <w:rsid w:val="000228C5"/>
    <w:rsid w:val="00022F7F"/>
    <w:rsid w:val="00023092"/>
    <w:rsid w:val="000230C2"/>
    <w:rsid w:val="00023497"/>
    <w:rsid w:val="000235CD"/>
    <w:rsid w:val="00023754"/>
    <w:rsid w:val="00023AD4"/>
    <w:rsid w:val="00023DAA"/>
    <w:rsid w:val="00023EB2"/>
    <w:rsid w:val="00024174"/>
    <w:rsid w:val="0002433C"/>
    <w:rsid w:val="00024350"/>
    <w:rsid w:val="000244CC"/>
    <w:rsid w:val="00024AE3"/>
    <w:rsid w:val="00024F65"/>
    <w:rsid w:val="000254D6"/>
    <w:rsid w:val="000255B0"/>
    <w:rsid w:val="00025757"/>
    <w:rsid w:val="000259DA"/>
    <w:rsid w:val="00025D1C"/>
    <w:rsid w:val="00025FC6"/>
    <w:rsid w:val="00026601"/>
    <w:rsid w:val="00026789"/>
    <w:rsid w:val="000268B7"/>
    <w:rsid w:val="00026E05"/>
    <w:rsid w:val="0002773F"/>
    <w:rsid w:val="0002784B"/>
    <w:rsid w:val="000278A7"/>
    <w:rsid w:val="00027948"/>
    <w:rsid w:val="000279F6"/>
    <w:rsid w:val="00027AC4"/>
    <w:rsid w:val="00027B8A"/>
    <w:rsid w:val="00027D93"/>
    <w:rsid w:val="00027E6B"/>
    <w:rsid w:val="00030364"/>
    <w:rsid w:val="0003079D"/>
    <w:rsid w:val="00030CD8"/>
    <w:rsid w:val="00030D33"/>
    <w:rsid w:val="00030EE0"/>
    <w:rsid w:val="0003109B"/>
    <w:rsid w:val="00031250"/>
    <w:rsid w:val="00031875"/>
    <w:rsid w:val="00031A53"/>
    <w:rsid w:val="00031B6C"/>
    <w:rsid w:val="0003274C"/>
    <w:rsid w:val="00032B4D"/>
    <w:rsid w:val="00032FBE"/>
    <w:rsid w:val="000332FB"/>
    <w:rsid w:val="00033586"/>
    <w:rsid w:val="000336C0"/>
    <w:rsid w:val="0003382F"/>
    <w:rsid w:val="000339A9"/>
    <w:rsid w:val="00033A7F"/>
    <w:rsid w:val="00033C9F"/>
    <w:rsid w:val="00033DA2"/>
    <w:rsid w:val="00034105"/>
    <w:rsid w:val="0003434B"/>
    <w:rsid w:val="0003484C"/>
    <w:rsid w:val="00034893"/>
    <w:rsid w:val="00034C19"/>
    <w:rsid w:val="000352B4"/>
    <w:rsid w:val="00035522"/>
    <w:rsid w:val="00035690"/>
    <w:rsid w:val="00035B7B"/>
    <w:rsid w:val="00035B86"/>
    <w:rsid w:val="00036284"/>
    <w:rsid w:val="000366E8"/>
    <w:rsid w:val="00036749"/>
    <w:rsid w:val="00036798"/>
    <w:rsid w:val="000368FF"/>
    <w:rsid w:val="0003693E"/>
    <w:rsid w:val="00036E4E"/>
    <w:rsid w:val="00036EEA"/>
    <w:rsid w:val="000370A4"/>
    <w:rsid w:val="000370FC"/>
    <w:rsid w:val="00037115"/>
    <w:rsid w:val="000371D6"/>
    <w:rsid w:val="000372E8"/>
    <w:rsid w:val="0003737B"/>
    <w:rsid w:val="000373C8"/>
    <w:rsid w:val="000374ED"/>
    <w:rsid w:val="000375B1"/>
    <w:rsid w:val="000378A7"/>
    <w:rsid w:val="00037E72"/>
    <w:rsid w:val="00037F7C"/>
    <w:rsid w:val="0004055B"/>
    <w:rsid w:val="000407F5"/>
    <w:rsid w:val="00040AD7"/>
    <w:rsid w:val="00040C75"/>
    <w:rsid w:val="000410A8"/>
    <w:rsid w:val="00041218"/>
    <w:rsid w:val="00041525"/>
    <w:rsid w:val="00041B37"/>
    <w:rsid w:val="00041B3E"/>
    <w:rsid w:val="00041EBF"/>
    <w:rsid w:val="00041FE5"/>
    <w:rsid w:val="00042290"/>
    <w:rsid w:val="00042715"/>
    <w:rsid w:val="0004292B"/>
    <w:rsid w:val="000429A1"/>
    <w:rsid w:val="000430F7"/>
    <w:rsid w:val="000433EB"/>
    <w:rsid w:val="0004378B"/>
    <w:rsid w:val="000437A2"/>
    <w:rsid w:val="00043C4C"/>
    <w:rsid w:val="00043F97"/>
    <w:rsid w:val="00043FB1"/>
    <w:rsid w:val="000446AD"/>
    <w:rsid w:val="00044AF1"/>
    <w:rsid w:val="00044CB3"/>
    <w:rsid w:val="00044DC7"/>
    <w:rsid w:val="00045022"/>
    <w:rsid w:val="00045704"/>
    <w:rsid w:val="0004591A"/>
    <w:rsid w:val="00045DF7"/>
    <w:rsid w:val="0004606E"/>
    <w:rsid w:val="00046346"/>
    <w:rsid w:val="00046522"/>
    <w:rsid w:val="0004684E"/>
    <w:rsid w:val="0004695A"/>
    <w:rsid w:val="00046B2A"/>
    <w:rsid w:val="00046BDC"/>
    <w:rsid w:val="0004701D"/>
    <w:rsid w:val="00047102"/>
    <w:rsid w:val="0004793E"/>
    <w:rsid w:val="00047B48"/>
    <w:rsid w:val="00050260"/>
    <w:rsid w:val="0005063F"/>
    <w:rsid w:val="0005076B"/>
    <w:rsid w:val="0005080E"/>
    <w:rsid w:val="00050962"/>
    <w:rsid w:val="00050BC9"/>
    <w:rsid w:val="00050EB9"/>
    <w:rsid w:val="00050EF5"/>
    <w:rsid w:val="000514F5"/>
    <w:rsid w:val="000517C3"/>
    <w:rsid w:val="000518FB"/>
    <w:rsid w:val="0005192A"/>
    <w:rsid w:val="00051B85"/>
    <w:rsid w:val="00051C74"/>
    <w:rsid w:val="00051D6F"/>
    <w:rsid w:val="00051FC2"/>
    <w:rsid w:val="0005241B"/>
    <w:rsid w:val="00052493"/>
    <w:rsid w:val="000524F0"/>
    <w:rsid w:val="000525B9"/>
    <w:rsid w:val="00052A41"/>
    <w:rsid w:val="00052AA0"/>
    <w:rsid w:val="000532C5"/>
    <w:rsid w:val="00053976"/>
    <w:rsid w:val="00053B4C"/>
    <w:rsid w:val="00053C41"/>
    <w:rsid w:val="00053D2C"/>
    <w:rsid w:val="00053F67"/>
    <w:rsid w:val="0005400B"/>
    <w:rsid w:val="00054344"/>
    <w:rsid w:val="000543C8"/>
    <w:rsid w:val="000545E3"/>
    <w:rsid w:val="00054720"/>
    <w:rsid w:val="00054790"/>
    <w:rsid w:val="00054982"/>
    <w:rsid w:val="00054DA8"/>
    <w:rsid w:val="00054F88"/>
    <w:rsid w:val="000550EA"/>
    <w:rsid w:val="000552F9"/>
    <w:rsid w:val="000556FE"/>
    <w:rsid w:val="000558DB"/>
    <w:rsid w:val="0005591F"/>
    <w:rsid w:val="000559FA"/>
    <w:rsid w:val="00055D1F"/>
    <w:rsid w:val="00055EC4"/>
    <w:rsid w:val="00055EF2"/>
    <w:rsid w:val="000561A8"/>
    <w:rsid w:val="000564F9"/>
    <w:rsid w:val="0005697C"/>
    <w:rsid w:val="00056AC4"/>
    <w:rsid w:val="0005734A"/>
    <w:rsid w:val="000573C4"/>
    <w:rsid w:val="00057466"/>
    <w:rsid w:val="00057ADB"/>
    <w:rsid w:val="00057BF3"/>
    <w:rsid w:val="00060106"/>
    <w:rsid w:val="0006066A"/>
    <w:rsid w:val="000606BB"/>
    <w:rsid w:val="000608DC"/>
    <w:rsid w:val="00060BD2"/>
    <w:rsid w:val="00060CF0"/>
    <w:rsid w:val="00061724"/>
    <w:rsid w:val="00061773"/>
    <w:rsid w:val="00061AC6"/>
    <w:rsid w:val="00061CD4"/>
    <w:rsid w:val="00061D09"/>
    <w:rsid w:val="00061E75"/>
    <w:rsid w:val="000621B0"/>
    <w:rsid w:val="0006224B"/>
    <w:rsid w:val="000623C0"/>
    <w:rsid w:val="0006295C"/>
    <w:rsid w:val="0006298E"/>
    <w:rsid w:val="00062A89"/>
    <w:rsid w:val="00062E9F"/>
    <w:rsid w:val="00062EC4"/>
    <w:rsid w:val="000630FE"/>
    <w:rsid w:val="000635EB"/>
    <w:rsid w:val="00063D8A"/>
    <w:rsid w:val="00063F2C"/>
    <w:rsid w:val="00063F48"/>
    <w:rsid w:val="00063F7F"/>
    <w:rsid w:val="00064181"/>
    <w:rsid w:val="000646B1"/>
    <w:rsid w:val="0006476C"/>
    <w:rsid w:val="00064A8D"/>
    <w:rsid w:val="00064ACC"/>
    <w:rsid w:val="00064BB7"/>
    <w:rsid w:val="00064C71"/>
    <w:rsid w:val="00064E3E"/>
    <w:rsid w:val="00064FF1"/>
    <w:rsid w:val="00065221"/>
    <w:rsid w:val="00065234"/>
    <w:rsid w:val="00065803"/>
    <w:rsid w:val="00065BA6"/>
    <w:rsid w:val="00065DB6"/>
    <w:rsid w:val="00066193"/>
    <w:rsid w:val="0006632B"/>
    <w:rsid w:val="000663D8"/>
    <w:rsid w:val="00066A6B"/>
    <w:rsid w:val="00066AFA"/>
    <w:rsid w:val="00066D73"/>
    <w:rsid w:val="00067224"/>
    <w:rsid w:val="000673A3"/>
    <w:rsid w:val="00067ACC"/>
    <w:rsid w:val="00067B9A"/>
    <w:rsid w:val="0007008D"/>
    <w:rsid w:val="0007021B"/>
    <w:rsid w:val="0007021F"/>
    <w:rsid w:val="00070377"/>
    <w:rsid w:val="00070516"/>
    <w:rsid w:val="000706A8"/>
    <w:rsid w:val="00070778"/>
    <w:rsid w:val="000708AD"/>
    <w:rsid w:val="00070954"/>
    <w:rsid w:val="00070B90"/>
    <w:rsid w:val="00071087"/>
    <w:rsid w:val="00071526"/>
    <w:rsid w:val="000715D9"/>
    <w:rsid w:val="0007165C"/>
    <w:rsid w:val="000723BC"/>
    <w:rsid w:val="00072499"/>
    <w:rsid w:val="000724BD"/>
    <w:rsid w:val="000729FB"/>
    <w:rsid w:val="00072D4D"/>
    <w:rsid w:val="00072D77"/>
    <w:rsid w:val="0007303E"/>
    <w:rsid w:val="00073184"/>
    <w:rsid w:val="000735F1"/>
    <w:rsid w:val="00073A6A"/>
    <w:rsid w:val="000743CE"/>
    <w:rsid w:val="0007444D"/>
    <w:rsid w:val="0007457B"/>
    <w:rsid w:val="000745D7"/>
    <w:rsid w:val="00074743"/>
    <w:rsid w:val="00074895"/>
    <w:rsid w:val="00074C42"/>
    <w:rsid w:val="0007513F"/>
    <w:rsid w:val="0007546F"/>
    <w:rsid w:val="000756B7"/>
    <w:rsid w:val="00075CAE"/>
    <w:rsid w:val="00075F30"/>
    <w:rsid w:val="000761C1"/>
    <w:rsid w:val="000763FE"/>
    <w:rsid w:val="0007687F"/>
    <w:rsid w:val="00076B69"/>
    <w:rsid w:val="00076D8C"/>
    <w:rsid w:val="00076E76"/>
    <w:rsid w:val="00076EB4"/>
    <w:rsid w:val="00076F65"/>
    <w:rsid w:val="00077313"/>
    <w:rsid w:val="000773F0"/>
    <w:rsid w:val="000774AA"/>
    <w:rsid w:val="00077ABE"/>
    <w:rsid w:val="00080137"/>
    <w:rsid w:val="00080365"/>
    <w:rsid w:val="000804AB"/>
    <w:rsid w:val="00080569"/>
    <w:rsid w:val="00080684"/>
    <w:rsid w:val="00080B8F"/>
    <w:rsid w:val="00081536"/>
    <w:rsid w:val="000818EE"/>
    <w:rsid w:val="00081A50"/>
    <w:rsid w:val="00081A7B"/>
    <w:rsid w:val="00081BA2"/>
    <w:rsid w:val="00082134"/>
    <w:rsid w:val="000823A9"/>
    <w:rsid w:val="0008240A"/>
    <w:rsid w:val="00082437"/>
    <w:rsid w:val="00082B32"/>
    <w:rsid w:val="00082C07"/>
    <w:rsid w:val="0008356C"/>
    <w:rsid w:val="0008365A"/>
    <w:rsid w:val="00083870"/>
    <w:rsid w:val="00083BCD"/>
    <w:rsid w:val="00083C47"/>
    <w:rsid w:val="00083CAD"/>
    <w:rsid w:val="00083E16"/>
    <w:rsid w:val="00083F47"/>
    <w:rsid w:val="00083FFB"/>
    <w:rsid w:val="00084502"/>
    <w:rsid w:val="00084781"/>
    <w:rsid w:val="00084DC2"/>
    <w:rsid w:val="00084FD1"/>
    <w:rsid w:val="00085616"/>
    <w:rsid w:val="00085636"/>
    <w:rsid w:val="0008566D"/>
    <w:rsid w:val="00085E87"/>
    <w:rsid w:val="00085FF2"/>
    <w:rsid w:val="00086124"/>
    <w:rsid w:val="00086233"/>
    <w:rsid w:val="0008637C"/>
    <w:rsid w:val="000867A0"/>
    <w:rsid w:val="00086808"/>
    <w:rsid w:val="0008689C"/>
    <w:rsid w:val="00086BD2"/>
    <w:rsid w:val="00086CC6"/>
    <w:rsid w:val="00086D30"/>
    <w:rsid w:val="00086EF6"/>
    <w:rsid w:val="00086F17"/>
    <w:rsid w:val="0008712D"/>
    <w:rsid w:val="000873F8"/>
    <w:rsid w:val="000877E4"/>
    <w:rsid w:val="00087819"/>
    <w:rsid w:val="00087C2B"/>
    <w:rsid w:val="0009000C"/>
    <w:rsid w:val="00090076"/>
    <w:rsid w:val="00090318"/>
    <w:rsid w:val="00090693"/>
    <w:rsid w:val="000906F9"/>
    <w:rsid w:val="00090817"/>
    <w:rsid w:val="00090957"/>
    <w:rsid w:val="00090968"/>
    <w:rsid w:val="00090ABC"/>
    <w:rsid w:val="00090C34"/>
    <w:rsid w:val="00090E18"/>
    <w:rsid w:val="00091039"/>
    <w:rsid w:val="000913AE"/>
    <w:rsid w:val="0009170A"/>
    <w:rsid w:val="0009184E"/>
    <w:rsid w:val="000918BC"/>
    <w:rsid w:val="000918D4"/>
    <w:rsid w:val="00091E34"/>
    <w:rsid w:val="00092485"/>
    <w:rsid w:val="000924AE"/>
    <w:rsid w:val="000924D7"/>
    <w:rsid w:val="00092633"/>
    <w:rsid w:val="00092C67"/>
    <w:rsid w:val="00092F89"/>
    <w:rsid w:val="00093340"/>
    <w:rsid w:val="0009343B"/>
    <w:rsid w:val="00093458"/>
    <w:rsid w:val="000936DA"/>
    <w:rsid w:val="00093750"/>
    <w:rsid w:val="0009383E"/>
    <w:rsid w:val="00094519"/>
    <w:rsid w:val="000945D8"/>
    <w:rsid w:val="000946F4"/>
    <w:rsid w:val="00094ACF"/>
    <w:rsid w:val="00094C3C"/>
    <w:rsid w:val="00094F0A"/>
    <w:rsid w:val="00095229"/>
    <w:rsid w:val="00095315"/>
    <w:rsid w:val="000955E6"/>
    <w:rsid w:val="00095BA9"/>
    <w:rsid w:val="00095F34"/>
    <w:rsid w:val="000963A8"/>
    <w:rsid w:val="0009640B"/>
    <w:rsid w:val="000968D4"/>
    <w:rsid w:val="00096C19"/>
    <w:rsid w:val="00096DED"/>
    <w:rsid w:val="00096EAC"/>
    <w:rsid w:val="000970CE"/>
    <w:rsid w:val="000975A0"/>
    <w:rsid w:val="00097646"/>
    <w:rsid w:val="00097688"/>
    <w:rsid w:val="0009778C"/>
    <w:rsid w:val="000979BA"/>
    <w:rsid w:val="00097A65"/>
    <w:rsid w:val="00097C30"/>
    <w:rsid w:val="00097F8F"/>
    <w:rsid w:val="000A0171"/>
    <w:rsid w:val="000A0260"/>
    <w:rsid w:val="000A0723"/>
    <w:rsid w:val="000A0AE9"/>
    <w:rsid w:val="000A0E74"/>
    <w:rsid w:val="000A0EB6"/>
    <w:rsid w:val="000A0EC0"/>
    <w:rsid w:val="000A10EA"/>
    <w:rsid w:val="000A1291"/>
    <w:rsid w:val="000A1AC0"/>
    <w:rsid w:val="000A1D0A"/>
    <w:rsid w:val="000A2255"/>
    <w:rsid w:val="000A2B6C"/>
    <w:rsid w:val="000A2BB9"/>
    <w:rsid w:val="000A2E35"/>
    <w:rsid w:val="000A2F7D"/>
    <w:rsid w:val="000A3204"/>
    <w:rsid w:val="000A329A"/>
    <w:rsid w:val="000A34B0"/>
    <w:rsid w:val="000A3878"/>
    <w:rsid w:val="000A3B06"/>
    <w:rsid w:val="000A3DA8"/>
    <w:rsid w:val="000A40D6"/>
    <w:rsid w:val="000A424A"/>
    <w:rsid w:val="000A464E"/>
    <w:rsid w:val="000A46D8"/>
    <w:rsid w:val="000A4849"/>
    <w:rsid w:val="000A4CB0"/>
    <w:rsid w:val="000A514A"/>
    <w:rsid w:val="000A5747"/>
    <w:rsid w:val="000A5AF6"/>
    <w:rsid w:val="000A5BC6"/>
    <w:rsid w:val="000A5D76"/>
    <w:rsid w:val="000A5DF2"/>
    <w:rsid w:val="000A5E60"/>
    <w:rsid w:val="000A60A5"/>
    <w:rsid w:val="000A6518"/>
    <w:rsid w:val="000A68F0"/>
    <w:rsid w:val="000A6C30"/>
    <w:rsid w:val="000A6EFE"/>
    <w:rsid w:val="000A6F17"/>
    <w:rsid w:val="000A725D"/>
    <w:rsid w:val="000A7567"/>
    <w:rsid w:val="000A7AD7"/>
    <w:rsid w:val="000A7C34"/>
    <w:rsid w:val="000A7D1E"/>
    <w:rsid w:val="000B008E"/>
    <w:rsid w:val="000B0338"/>
    <w:rsid w:val="000B051D"/>
    <w:rsid w:val="000B06EE"/>
    <w:rsid w:val="000B0AE0"/>
    <w:rsid w:val="000B0BB4"/>
    <w:rsid w:val="000B126F"/>
    <w:rsid w:val="000B12AD"/>
    <w:rsid w:val="000B1A4D"/>
    <w:rsid w:val="000B2075"/>
    <w:rsid w:val="000B258C"/>
    <w:rsid w:val="000B273F"/>
    <w:rsid w:val="000B2937"/>
    <w:rsid w:val="000B29B5"/>
    <w:rsid w:val="000B29DD"/>
    <w:rsid w:val="000B2A56"/>
    <w:rsid w:val="000B2A5F"/>
    <w:rsid w:val="000B2D89"/>
    <w:rsid w:val="000B316C"/>
    <w:rsid w:val="000B354F"/>
    <w:rsid w:val="000B375E"/>
    <w:rsid w:val="000B394E"/>
    <w:rsid w:val="000B3AFF"/>
    <w:rsid w:val="000B3C4C"/>
    <w:rsid w:val="000B416E"/>
    <w:rsid w:val="000B43F3"/>
    <w:rsid w:val="000B44A0"/>
    <w:rsid w:val="000B44C4"/>
    <w:rsid w:val="000B4853"/>
    <w:rsid w:val="000B4AA7"/>
    <w:rsid w:val="000B4F9A"/>
    <w:rsid w:val="000B5040"/>
    <w:rsid w:val="000B50CD"/>
    <w:rsid w:val="000B56FA"/>
    <w:rsid w:val="000B57E4"/>
    <w:rsid w:val="000B5E18"/>
    <w:rsid w:val="000B5E97"/>
    <w:rsid w:val="000B6114"/>
    <w:rsid w:val="000B6541"/>
    <w:rsid w:val="000B680B"/>
    <w:rsid w:val="000B6A9B"/>
    <w:rsid w:val="000B6B42"/>
    <w:rsid w:val="000B6C1D"/>
    <w:rsid w:val="000B701E"/>
    <w:rsid w:val="000B70C2"/>
    <w:rsid w:val="000B713E"/>
    <w:rsid w:val="000B7555"/>
    <w:rsid w:val="000B7BFA"/>
    <w:rsid w:val="000B7D85"/>
    <w:rsid w:val="000C006F"/>
    <w:rsid w:val="000C00DC"/>
    <w:rsid w:val="000C03B6"/>
    <w:rsid w:val="000C0403"/>
    <w:rsid w:val="000C045E"/>
    <w:rsid w:val="000C0A8C"/>
    <w:rsid w:val="000C0E5A"/>
    <w:rsid w:val="000C11A6"/>
    <w:rsid w:val="000C1347"/>
    <w:rsid w:val="000C14A0"/>
    <w:rsid w:val="000C1A44"/>
    <w:rsid w:val="000C1B5C"/>
    <w:rsid w:val="000C1E0E"/>
    <w:rsid w:val="000C1F1A"/>
    <w:rsid w:val="000C2343"/>
    <w:rsid w:val="000C2409"/>
    <w:rsid w:val="000C24CB"/>
    <w:rsid w:val="000C26F2"/>
    <w:rsid w:val="000C2BE6"/>
    <w:rsid w:val="000C2C9B"/>
    <w:rsid w:val="000C2CD8"/>
    <w:rsid w:val="000C2D3E"/>
    <w:rsid w:val="000C31A9"/>
    <w:rsid w:val="000C3260"/>
    <w:rsid w:val="000C32AF"/>
    <w:rsid w:val="000C394A"/>
    <w:rsid w:val="000C3954"/>
    <w:rsid w:val="000C3B3A"/>
    <w:rsid w:val="000C3B80"/>
    <w:rsid w:val="000C3D8C"/>
    <w:rsid w:val="000C3E1C"/>
    <w:rsid w:val="000C3E6A"/>
    <w:rsid w:val="000C40CD"/>
    <w:rsid w:val="000C4329"/>
    <w:rsid w:val="000C4460"/>
    <w:rsid w:val="000C45E5"/>
    <w:rsid w:val="000C477B"/>
    <w:rsid w:val="000C48BC"/>
    <w:rsid w:val="000C4B25"/>
    <w:rsid w:val="000C4C3D"/>
    <w:rsid w:val="000C4DF3"/>
    <w:rsid w:val="000C4FBE"/>
    <w:rsid w:val="000C50CB"/>
    <w:rsid w:val="000C5733"/>
    <w:rsid w:val="000C5AAA"/>
    <w:rsid w:val="000C5B79"/>
    <w:rsid w:val="000C5DD2"/>
    <w:rsid w:val="000C5EB4"/>
    <w:rsid w:val="000C62E8"/>
    <w:rsid w:val="000C6517"/>
    <w:rsid w:val="000C6A80"/>
    <w:rsid w:val="000C6FE0"/>
    <w:rsid w:val="000C775D"/>
    <w:rsid w:val="000C7992"/>
    <w:rsid w:val="000C7998"/>
    <w:rsid w:val="000D00E4"/>
    <w:rsid w:val="000D0223"/>
    <w:rsid w:val="000D0421"/>
    <w:rsid w:val="000D0440"/>
    <w:rsid w:val="000D0655"/>
    <w:rsid w:val="000D066B"/>
    <w:rsid w:val="000D0EAE"/>
    <w:rsid w:val="000D14C3"/>
    <w:rsid w:val="000D1591"/>
    <w:rsid w:val="000D15A8"/>
    <w:rsid w:val="000D189D"/>
    <w:rsid w:val="000D18B6"/>
    <w:rsid w:val="000D1926"/>
    <w:rsid w:val="000D19DE"/>
    <w:rsid w:val="000D1D32"/>
    <w:rsid w:val="000D1DC4"/>
    <w:rsid w:val="000D1EC6"/>
    <w:rsid w:val="000D2148"/>
    <w:rsid w:val="000D2198"/>
    <w:rsid w:val="000D2601"/>
    <w:rsid w:val="000D28EA"/>
    <w:rsid w:val="000D2BDB"/>
    <w:rsid w:val="000D2CC8"/>
    <w:rsid w:val="000D2D3B"/>
    <w:rsid w:val="000D2FE7"/>
    <w:rsid w:val="000D3261"/>
    <w:rsid w:val="000D3474"/>
    <w:rsid w:val="000D39F3"/>
    <w:rsid w:val="000D3A20"/>
    <w:rsid w:val="000D3BAD"/>
    <w:rsid w:val="000D3E6A"/>
    <w:rsid w:val="000D3FDC"/>
    <w:rsid w:val="000D4384"/>
    <w:rsid w:val="000D44E5"/>
    <w:rsid w:val="000D4A20"/>
    <w:rsid w:val="000D5076"/>
    <w:rsid w:val="000D52CC"/>
    <w:rsid w:val="000D5650"/>
    <w:rsid w:val="000D572A"/>
    <w:rsid w:val="000D576B"/>
    <w:rsid w:val="000D5820"/>
    <w:rsid w:val="000D5939"/>
    <w:rsid w:val="000D5A2E"/>
    <w:rsid w:val="000D5D41"/>
    <w:rsid w:val="000D5F85"/>
    <w:rsid w:val="000D6017"/>
    <w:rsid w:val="000D606B"/>
    <w:rsid w:val="000D6075"/>
    <w:rsid w:val="000D656D"/>
    <w:rsid w:val="000D65E5"/>
    <w:rsid w:val="000D6C00"/>
    <w:rsid w:val="000D6D13"/>
    <w:rsid w:val="000D6E8D"/>
    <w:rsid w:val="000D6ECF"/>
    <w:rsid w:val="000D6FA3"/>
    <w:rsid w:val="000D72FE"/>
    <w:rsid w:val="000D75FE"/>
    <w:rsid w:val="000D7AC6"/>
    <w:rsid w:val="000D7EC4"/>
    <w:rsid w:val="000E02AA"/>
    <w:rsid w:val="000E03CD"/>
    <w:rsid w:val="000E0626"/>
    <w:rsid w:val="000E06BD"/>
    <w:rsid w:val="000E06E8"/>
    <w:rsid w:val="000E07F4"/>
    <w:rsid w:val="000E0A17"/>
    <w:rsid w:val="000E1937"/>
    <w:rsid w:val="000E1A4E"/>
    <w:rsid w:val="000E1D45"/>
    <w:rsid w:val="000E2061"/>
    <w:rsid w:val="000E24B5"/>
    <w:rsid w:val="000E2606"/>
    <w:rsid w:val="000E2A8F"/>
    <w:rsid w:val="000E2CC0"/>
    <w:rsid w:val="000E2DD3"/>
    <w:rsid w:val="000E3051"/>
    <w:rsid w:val="000E3296"/>
    <w:rsid w:val="000E33E6"/>
    <w:rsid w:val="000E35B2"/>
    <w:rsid w:val="000E3708"/>
    <w:rsid w:val="000E3782"/>
    <w:rsid w:val="000E3869"/>
    <w:rsid w:val="000E3A97"/>
    <w:rsid w:val="000E3AFE"/>
    <w:rsid w:val="000E3F31"/>
    <w:rsid w:val="000E3FF3"/>
    <w:rsid w:val="000E4153"/>
    <w:rsid w:val="000E4273"/>
    <w:rsid w:val="000E445F"/>
    <w:rsid w:val="000E4602"/>
    <w:rsid w:val="000E4765"/>
    <w:rsid w:val="000E47A5"/>
    <w:rsid w:val="000E481B"/>
    <w:rsid w:val="000E4ECE"/>
    <w:rsid w:val="000E4F3A"/>
    <w:rsid w:val="000E4FCD"/>
    <w:rsid w:val="000E50DD"/>
    <w:rsid w:val="000E527D"/>
    <w:rsid w:val="000E597A"/>
    <w:rsid w:val="000E5A65"/>
    <w:rsid w:val="000E5DB8"/>
    <w:rsid w:val="000E5E3D"/>
    <w:rsid w:val="000E5F6E"/>
    <w:rsid w:val="000E604B"/>
    <w:rsid w:val="000E60ED"/>
    <w:rsid w:val="000E61F7"/>
    <w:rsid w:val="000E62B6"/>
    <w:rsid w:val="000E645F"/>
    <w:rsid w:val="000E669B"/>
    <w:rsid w:val="000E68DC"/>
    <w:rsid w:val="000E6965"/>
    <w:rsid w:val="000E6B86"/>
    <w:rsid w:val="000E6DEE"/>
    <w:rsid w:val="000E6F3C"/>
    <w:rsid w:val="000E715A"/>
    <w:rsid w:val="000E7235"/>
    <w:rsid w:val="000E72DC"/>
    <w:rsid w:val="000E7C76"/>
    <w:rsid w:val="000E7DAF"/>
    <w:rsid w:val="000E7E19"/>
    <w:rsid w:val="000F008E"/>
    <w:rsid w:val="000F0769"/>
    <w:rsid w:val="000F081E"/>
    <w:rsid w:val="000F0E2A"/>
    <w:rsid w:val="000F104A"/>
    <w:rsid w:val="000F1504"/>
    <w:rsid w:val="000F1741"/>
    <w:rsid w:val="000F193B"/>
    <w:rsid w:val="000F2322"/>
    <w:rsid w:val="000F23B4"/>
    <w:rsid w:val="000F25C0"/>
    <w:rsid w:val="000F25C4"/>
    <w:rsid w:val="000F25DD"/>
    <w:rsid w:val="000F28B8"/>
    <w:rsid w:val="000F2EE4"/>
    <w:rsid w:val="000F3228"/>
    <w:rsid w:val="000F32A1"/>
    <w:rsid w:val="000F343C"/>
    <w:rsid w:val="000F3462"/>
    <w:rsid w:val="000F3648"/>
    <w:rsid w:val="000F3B57"/>
    <w:rsid w:val="000F3D7C"/>
    <w:rsid w:val="000F461F"/>
    <w:rsid w:val="000F462C"/>
    <w:rsid w:val="000F485D"/>
    <w:rsid w:val="000F4B7D"/>
    <w:rsid w:val="000F4E10"/>
    <w:rsid w:val="000F5422"/>
    <w:rsid w:val="000F5E87"/>
    <w:rsid w:val="000F627D"/>
    <w:rsid w:val="000F66A3"/>
    <w:rsid w:val="000F66F9"/>
    <w:rsid w:val="000F6E43"/>
    <w:rsid w:val="000F7117"/>
    <w:rsid w:val="000F7264"/>
    <w:rsid w:val="000F72D0"/>
    <w:rsid w:val="000F7420"/>
    <w:rsid w:val="000F76EE"/>
    <w:rsid w:val="000F7907"/>
    <w:rsid w:val="000F7A64"/>
    <w:rsid w:val="000F7C16"/>
    <w:rsid w:val="000F7C36"/>
    <w:rsid w:val="000F7C8D"/>
    <w:rsid w:val="000F7DFD"/>
    <w:rsid w:val="00100023"/>
    <w:rsid w:val="00100048"/>
    <w:rsid w:val="00100430"/>
    <w:rsid w:val="001006A9"/>
    <w:rsid w:val="0010096C"/>
    <w:rsid w:val="00100C6E"/>
    <w:rsid w:val="00100DA7"/>
    <w:rsid w:val="00100F79"/>
    <w:rsid w:val="00101240"/>
    <w:rsid w:val="0010132B"/>
    <w:rsid w:val="00101705"/>
    <w:rsid w:val="001017DD"/>
    <w:rsid w:val="00101B2E"/>
    <w:rsid w:val="00101BB2"/>
    <w:rsid w:val="00101D48"/>
    <w:rsid w:val="00101DD0"/>
    <w:rsid w:val="00101EF0"/>
    <w:rsid w:val="00102118"/>
    <w:rsid w:val="001024F8"/>
    <w:rsid w:val="00102ABB"/>
    <w:rsid w:val="00102B53"/>
    <w:rsid w:val="00102BAD"/>
    <w:rsid w:val="00102CBB"/>
    <w:rsid w:val="001030C5"/>
    <w:rsid w:val="001032AF"/>
    <w:rsid w:val="001035A0"/>
    <w:rsid w:val="001036F3"/>
    <w:rsid w:val="00103CB7"/>
    <w:rsid w:val="0010418B"/>
    <w:rsid w:val="00104F70"/>
    <w:rsid w:val="00105173"/>
    <w:rsid w:val="0010522F"/>
    <w:rsid w:val="00105436"/>
    <w:rsid w:val="0010558B"/>
    <w:rsid w:val="001055E3"/>
    <w:rsid w:val="0010575B"/>
    <w:rsid w:val="00105A21"/>
    <w:rsid w:val="00105D7B"/>
    <w:rsid w:val="00105F9A"/>
    <w:rsid w:val="00106684"/>
    <w:rsid w:val="00106838"/>
    <w:rsid w:val="001068C0"/>
    <w:rsid w:val="00106F29"/>
    <w:rsid w:val="00106F49"/>
    <w:rsid w:val="0010702C"/>
    <w:rsid w:val="00107040"/>
    <w:rsid w:val="0010732E"/>
    <w:rsid w:val="00107945"/>
    <w:rsid w:val="00107B69"/>
    <w:rsid w:val="00107DA3"/>
    <w:rsid w:val="00107F68"/>
    <w:rsid w:val="00107FB9"/>
    <w:rsid w:val="00110270"/>
    <w:rsid w:val="00110363"/>
    <w:rsid w:val="001103EE"/>
    <w:rsid w:val="00110408"/>
    <w:rsid w:val="00110964"/>
    <w:rsid w:val="001110CC"/>
    <w:rsid w:val="001111FA"/>
    <w:rsid w:val="001113C2"/>
    <w:rsid w:val="001116BF"/>
    <w:rsid w:val="00111879"/>
    <w:rsid w:val="00111CB1"/>
    <w:rsid w:val="00111EA0"/>
    <w:rsid w:val="00111FA5"/>
    <w:rsid w:val="00112368"/>
    <w:rsid w:val="001126C4"/>
    <w:rsid w:val="001126DA"/>
    <w:rsid w:val="001126EB"/>
    <w:rsid w:val="001127A6"/>
    <w:rsid w:val="001128BA"/>
    <w:rsid w:val="00112C2D"/>
    <w:rsid w:val="0011304A"/>
    <w:rsid w:val="001132B1"/>
    <w:rsid w:val="001133D5"/>
    <w:rsid w:val="001136FC"/>
    <w:rsid w:val="00113835"/>
    <w:rsid w:val="00113ACC"/>
    <w:rsid w:val="00113C69"/>
    <w:rsid w:val="0011404E"/>
    <w:rsid w:val="0011424C"/>
    <w:rsid w:val="0011481F"/>
    <w:rsid w:val="00114A6C"/>
    <w:rsid w:val="00114C7C"/>
    <w:rsid w:val="0011549C"/>
    <w:rsid w:val="001156FE"/>
    <w:rsid w:val="0011573F"/>
    <w:rsid w:val="00115B9B"/>
    <w:rsid w:val="00115C02"/>
    <w:rsid w:val="00115DD3"/>
    <w:rsid w:val="00115E4A"/>
    <w:rsid w:val="00115E7C"/>
    <w:rsid w:val="00115EBB"/>
    <w:rsid w:val="001166DE"/>
    <w:rsid w:val="00116E02"/>
    <w:rsid w:val="001170D4"/>
    <w:rsid w:val="0011767E"/>
    <w:rsid w:val="00117808"/>
    <w:rsid w:val="001178C0"/>
    <w:rsid w:val="00117988"/>
    <w:rsid w:val="00117A43"/>
    <w:rsid w:val="00117B73"/>
    <w:rsid w:val="00117DFC"/>
    <w:rsid w:val="001201D5"/>
    <w:rsid w:val="00120257"/>
    <w:rsid w:val="001204DC"/>
    <w:rsid w:val="00120572"/>
    <w:rsid w:val="001208BA"/>
    <w:rsid w:val="00120A7B"/>
    <w:rsid w:val="00120DEE"/>
    <w:rsid w:val="00120E72"/>
    <w:rsid w:val="00120EA9"/>
    <w:rsid w:val="00120F6D"/>
    <w:rsid w:val="00121020"/>
    <w:rsid w:val="00121040"/>
    <w:rsid w:val="001210E5"/>
    <w:rsid w:val="00121458"/>
    <w:rsid w:val="00121843"/>
    <w:rsid w:val="00121B3A"/>
    <w:rsid w:val="00121B84"/>
    <w:rsid w:val="00121EAD"/>
    <w:rsid w:val="00122062"/>
    <w:rsid w:val="001222D0"/>
    <w:rsid w:val="001225DF"/>
    <w:rsid w:val="00122787"/>
    <w:rsid w:val="00122C15"/>
    <w:rsid w:val="00122CB1"/>
    <w:rsid w:val="001231CD"/>
    <w:rsid w:val="001231ED"/>
    <w:rsid w:val="0012380F"/>
    <w:rsid w:val="00123903"/>
    <w:rsid w:val="001239D2"/>
    <w:rsid w:val="00123B47"/>
    <w:rsid w:val="00123B67"/>
    <w:rsid w:val="00123D51"/>
    <w:rsid w:val="00123E7B"/>
    <w:rsid w:val="00123F00"/>
    <w:rsid w:val="001241FB"/>
    <w:rsid w:val="001248B4"/>
    <w:rsid w:val="00124DA0"/>
    <w:rsid w:val="00124F4F"/>
    <w:rsid w:val="00125352"/>
    <w:rsid w:val="00125384"/>
    <w:rsid w:val="001253EB"/>
    <w:rsid w:val="0012598B"/>
    <w:rsid w:val="00125BE9"/>
    <w:rsid w:val="00125C5E"/>
    <w:rsid w:val="00125D8A"/>
    <w:rsid w:val="00126097"/>
    <w:rsid w:val="00126126"/>
    <w:rsid w:val="001262CA"/>
    <w:rsid w:val="00126785"/>
    <w:rsid w:val="001268CF"/>
    <w:rsid w:val="00126B84"/>
    <w:rsid w:val="00126C29"/>
    <w:rsid w:val="00127094"/>
    <w:rsid w:val="00127438"/>
    <w:rsid w:val="00127528"/>
    <w:rsid w:val="00127DA9"/>
    <w:rsid w:val="001300C3"/>
    <w:rsid w:val="00130215"/>
    <w:rsid w:val="00130977"/>
    <w:rsid w:val="00130A75"/>
    <w:rsid w:val="00130CFF"/>
    <w:rsid w:val="00130F08"/>
    <w:rsid w:val="00130F15"/>
    <w:rsid w:val="0013116A"/>
    <w:rsid w:val="00131AFE"/>
    <w:rsid w:val="00131EE2"/>
    <w:rsid w:val="001321B1"/>
    <w:rsid w:val="0013226D"/>
    <w:rsid w:val="00132411"/>
    <w:rsid w:val="0013296B"/>
    <w:rsid w:val="00132CE1"/>
    <w:rsid w:val="001330F5"/>
    <w:rsid w:val="001331D8"/>
    <w:rsid w:val="001333F7"/>
    <w:rsid w:val="00133537"/>
    <w:rsid w:val="00133605"/>
    <w:rsid w:val="00133999"/>
    <w:rsid w:val="001340F4"/>
    <w:rsid w:val="00134239"/>
    <w:rsid w:val="00134350"/>
    <w:rsid w:val="001347A3"/>
    <w:rsid w:val="001347ED"/>
    <w:rsid w:val="00134993"/>
    <w:rsid w:val="00134D94"/>
    <w:rsid w:val="00134DA1"/>
    <w:rsid w:val="00134F8F"/>
    <w:rsid w:val="00134FB2"/>
    <w:rsid w:val="0013524C"/>
    <w:rsid w:val="001352C0"/>
    <w:rsid w:val="00135632"/>
    <w:rsid w:val="00135754"/>
    <w:rsid w:val="00135A57"/>
    <w:rsid w:val="00135B4D"/>
    <w:rsid w:val="00135CCA"/>
    <w:rsid w:val="001361E9"/>
    <w:rsid w:val="001364F0"/>
    <w:rsid w:val="001368A7"/>
    <w:rsid w:val="00136930"/>
    <w:rsid w:val="001369B3"/>
    <w:rsid w:val="00136C26"/>
    <w:rsid w:val="00136C65"/>
    <w:rsid w:val="00136E8C"/>
    <w:rsid w:val="00136FB6"/>
    <w:rsid w:val="0013710B"/>
    <w:rsid w:val="00137455"/>
    <w:rsid w:val="00137592"/>
    <w:rsid w:val="0013759C"/>
    <w:rsid w:val="00137779"/>
    <w:rsid w:val="00137AA6"/>
    <w:rsid w:val="00137DB5"/>
    <w:rsid w:val="00137E45"/>
    <w:rsid w:val="001402B8"/>
    <w:rsid w:val="00140B3D"/>
    <w:rsid w:val="00140D15"/>
    <w:rsid w:val="00140D65"/>
    <w:rsid w:val="00140E3B"/>
    <w:rsid w:val="00140E69"/>
    <w:rsid w:val="00141198"/>
    <w:rsid w:val="00141354"/>
    <w:rsid w:val="00141555"/>
    <w:rsid w:val="00141947"/>
    <w:rsid w:val="0014199A"/>
    <w:rsid w:val="00141C62"/>
    <w:rsid w:val="00141C85"/>
    <w:rsid w:val="00142165"/>
    <w:rsid w:val="00142383"/>
    <w:rsid w:val="00142A7E"/>
    <w:rsid w:val="00142B21"/>
    <w:rsid w:val="00142BB5"/>
    <w:rsid w:val="00142D72"/>
    <w:rsid w:val="00142F77"/>
    <w:rsid w:val="001432C1"/>
    <w:rsid w:val="0014341C"/>
    <w:rsid w:val="001439E9"/>
    <w:rsid w:val="00144072"/>
    <w:rsid w:val="00144309"/>
    <w:rsid w:val="00144812"/>
    <w:rsid w:val="00144DE4"/>
    <w:rsid w:val="00144F3C"/>
    <w:rsid w:val="00145493"/>
    <w:rsid w:val="001454B4"/>
    <w:rsid w:val="001456B7"/>
    <w:rsid w:val="0014576E"/>
    <w:rsid w:val="001458AE"/>
    <w:rsid w:val="00145E7F"/>
    <w:rsid w:val="001463A6"/>
    <w:rsid w:val="00146842"/>
    <w:rsid w:val="00146AE6"/>
    <w:rsid w:val="00146E79"/>
    <w:rsid w:val="00146ED3"/>
    <w:rsid w:val="001471A7"/>
    <w:rsid w:val="0014728D"/>
    <w:rsid w:val="0014732B"/>
    <w:rsid w:val="001473F5"/>
    <w:rsid w:val="001476AE"/>
    <w:rsid w:val="001478E9"/>
    <w:rsid w:val="00147B63"/>
    <w:rsid w:val="00147D45"/>
    <w:rsid w:val="0015006D"/>
    <w:rsid w:val="001501FC"/>
    <w:rsid w:val="00150269"/>
    <w:rsid w:val="00150356"/>
    <w:rsid w:val="001507E0"/>
    <w:rsid w:val="00150978"/>
    <w:rsid w:val="00150B45"/>
    <w:rsid w:val="00150FBC"/>
    <w:rsid w:val="001513FE"/>
    <w:rsid w:val="001517A7"/>
    <w:rsid w:val="00151849"/>
    <w:rsid w:val="001518F1"/>
    <w:rsid w:val="00151AE4"/>
    <w:rsid w:val="0015223E"/>
    <w:rsid w:val="0015276D"/>
    <w:rsid w:val="00152ABF"/>
    <w:rsid w:val="00153257"/>
    <w:rsid w:val="0015329B"/>
    <w:rsid w:val="001532B5"/>
    <w:rsid w:val="00153695"/>
    <w:rsid w:val="00153826"/>
    <w:rsid w:val="00153AF6"/>
    <w:rsid w:val="00153B66"/>
    <w:rsid w:val="0015404F"/>
    <w:rsid w:val="001542EA"/>
    <w:rsid w:val="00154329"/>
    <w:rsid w:val="00154337"/>
    <w:rsid w:val="001547C4"/>
    <w:rsid w:val="00154888"/>
    <w:rsid w:val="00154900"/>
    <w:rsid w:val="00154B4F"/>
    <w:rsid w:val="00154BFA"/>
    <w:rsid w:val="00154C8D"/>
    <w:rsid w:val="00154E36"/>
    <w:rsid w:val="00155321"/>
    <w:rsid w:val="00155776"/>
    <w:rsid w:val="00155ABB"/>
    <w:rsid w:val="00155CE3"/>
    <w:rsid w:val="0015600A"/>
    <w:rsid w:val="001562EB"/>
    <w:rsid w:val="00156468"/>
    <w:rsid w:val="0015654D"/>
    <w:rsid w:val="001565FE"/>
    <w:rsid w:val="0015665F"/>
    <w:rsid w:val="00156786"/>
    <w:rsid w:val="00156B5B"/>
    <w:rsid w:val="00156C0F"/>
    <w:rsid w:val="00156C2B"/>
    <w:rsid w:val="00157107"/>
    <w:rsid w:val="001571BA"/>
    <w:rsid w:val="0015728A"/>
    <w:rsid w:val="00157906"/>
    <w:rsid w:val="0016000C"/>
    <w:rsid w:val="00160403"/>
    <w:rsid w:val="001605F7"/>
    <w:rsid w:val="001606D9"/>
    <w:rsid w:val="00160D02"/>
    <w:rsid w:val="0016103C"/>
    <w:rsid w:val="0016123A"/>
    <w:rsid w:val="00161460"/>
    <w:rsid w:val="001615EB"/>
    <w:rsid w:val="0016162C"/>
    <w:rsid w:val="00161661"/>
    <w:rsid w:val="00161708"/>
    <w:rsid w:val="00161717"/>
    <w:rsid w:val="00161BD2"/>
    <w:rsid w:val="00161DBA"/>
    <w:rsid w:val="00162195"/>
    <w:rsid w:val="0016235A"/>
    <w:rsid w:val="0016236B"/>
    <w:rsid w:val="001629C2"/>
    <w:rsid w:val="00162AC6"/>
    <w:rsid w:val="00162E02"/>
    <w:rsid w:val="0016315B"/>
    <w:rsid w:val="001631BF"/>
    <w:rsid w:val="0016352F"/>
    <w:rsid w:val="00163AEF"/>
    <w:rsid w:val="0016428C"/>
    <w:rsid w:val="001644D6"/>
    <w:rsid w:val="001646ED"/>
    <w:rsid w:val="00164792"/>
    <w:rsid w:val="00164801"/>
    <w:rsid w:val="00164985"/>
    <w:rsid w:val="00164AFA"/>
    <w:rsid w:val="00164CC5"/>
    <w:rsid w:val="00164DDE"/>
    <w:rsid w:val="001652CB"/>
    <w:rsid w:val="001655C8"/>
    <w:rsid w:val="00165815"/>
    <w:rsid w:val="00165B28"/>
    <w:rsid w:val="00165BAE"/>
    <w:rsid w:val="00165BBD"/>
    <w:rsid w:val="00165C3E"/>
    <w:rsid w:val="001660F7"/>
    <w:rsid w:val="001661BE"/>
    <w:rsid w:val="00166470"/>
    <w:rsid w:val="00166569"/>
    <w:rsid w:val="00166572"/>
    <w:rsid w:val="001666AE"/>
    <w:rsid w:val="001666E2"/>
    <w:rsid w:val="001666F4"/>
    <w:rsid w:val="001666F9"/>
    <w:rsid w:val="001667D3"/>
    <w:rsid w:val="00166989"/>
    <w:rsid w:val="00166B22"/>
    <w:rsid w:val="00166E22"/>
    <w:rsid w:val="00166FAA"/>
    <w:rsid w:val="0016756C"/>
    <w:rsid w:val="00167652"/>
    <w:rsid w:val="001676FC"/>
    <w:rsid w:val="00167A29"/>
    <w:rsid w:val="00167C47"/>
    <w:rsid w:val="00167D4D"/>
    <w:rsid w:val="00167E23"/>
    <w:rsid w:val="00167E60"/>
    <w:rsid w:val="00167F6C"/>
    <w:rsid w:val="00170048"/>
    <w:rsid w:val="0017006C"/>
    <w:rsid w:val="0017007B"/>
    <w:rsid w:val="001701BA"/>
    <w:rsid w:val="001701C5"/>
    <w:rsid w:val="0017054E"/>
    <w:rsid w:val="001705CD"/>
    <w:rsid w:val="001709EF"/>
    <w:rsid w:val="00170A86"/>
    <w:rsid w:val="001710C2"/>
    <w:rsid w:val="00171376"/>
    <w:rsid w:val="001716B7"/>
    <w:rsid w:val="00171723"/>
    <w:rsid w:val="001718A5"/>
    <w:rsid w:val="0017193C"/>
    <w:rsid w:val="00171C71"/>
    <w:rsid w:val="00171FD7"/>
    <w:rsid w:val="001722B5"/>
    <w:rsid w:val="0017234D"/>
    <w:rsid w:val="00172384"/>
    <w:rsid w:val="001724AD"/>
    <w:rsid w:val="001726F1"/>
    <w:rsid w:val="00172801"/>
    <w:rsid w:val="00172845"/>
    <w:rsid w:val="00172C59"/>
    <w:rsid w:val="00173068"/>
    <w:rsid w:val="001731E7"/>
    <w:rsid w:val="0017327D"/>
    <w:rsid w:val="00173474"/>
    <w:rsid w:val="0017391D"/>
    <w:rsid w:val="00173BF6"/>
    <w:rsid w:val="00173CA5"/>
    <w:rsid w:val="0017406B"/>
    <w:rsid w:val="00174087"/>
    <w:rsid w:val="001744D0"/>
    <w:rsid w:val="00174606"/>
    <w:rsid w:val="00174861"/>
    <w:rsid w:val="0017491F"/>
    <w:rsid w:val="00174920"/>
    <w:rsid w:val="00174DAE"/>
    <w:rsid w:val="00174E54"/>
    <w:rsid w:val="00174EF9"/>
    <w:rsid w:val="00174FD9"/>
    <w:rsid w:val="001750CF"/>
    <w:rsid w:val="00175338"/>
    <w:rsid w:val="001754A9"/>
    <w:rsid w:val="00175756"/>
    <w:rsid w:val="001758A4"/>
    <w:rsid w:val="00175A33"/>
    <w:rsid w:val="00175D33"/>
    <w:rsid w:val="00175E6B"/>
    <w:rsid w:val="00175FC6"/>
    <w:rsid w:val="001761B4"/>
    <w:rsid w:val="00176B8E"/>
    <w:rsid w:val="00176BC2"/>
    <w:rsid w:val="00176D13"/>
    <w:rsid w:val="00176D92"/>
    <w:rsid w:val="00176E1D"/>
    <w:rsid w:val="001771EA"/>
    <w:rsid w:val="001772A5"/>
    <w:rsid w:val="00177866"/>
    <w:rsid w:val="001778FD"/>
    <w:rsid w:val="00177975"/>
    <w:rsid w:val="00177A14"/>
    <w:rsid w:val="00177BB3"/>
    <w:rsid w:val="00177CAC"/>
    <w:rsid w:val="0018000D"/>
    <w:rsid w:val="00180144"/>
    <w:rsid w:val="00180907"/>
    <w:rsid w:val="00180F24"/>
    <w:rsid w:val="001816FC"/>
    <w:rsid w:val="00181B6F"/>
    <w:rsid w:val="00181C69"/>
    <w:rsid w:val="00181F63"/>
    <w:rsid w:val="0018205F"/>
    <w:rsid w:val="001825B5"/>
    <w:rsid w:val="001829FA"/>
    <w:rsid w:val="00182B0B"/>
    <w:rsid w:val="00182C18"/>
    <w:rsid w:val="00182D9E"/>
    <w:rsid w:val="00183229"/>
    <w:rsid w:val="001836EF"/>
    <w:rsid w:val="00183AF9"/>
    <w:rsid w:val="0018411D"/>
    <w:rsid w:val="0018436B"/>
    <w:rsid w:val="00184652"/>
    <w:rsid w:val="0018478A"/>
    <w:rsid w:val="001849BD"/>
    <w:rsid w:val="00184F84"/>
    <w:rsid w:val="00184FBD"/>
    <w:rsid w:val="001851EE"/>
    <w:rsid w:val="001852BE"/>
    <w:rsid w:val="001853F1"/>
    <w:rsid w:val="001859D5"/>
    <w:rsid w:val="00185BCB"/>
    <w:rsid w:val="00185DAD"/>
    <w:rsid w:val="001864B7"/>
    <w:rsid w:val="0018677E"/>
    <w:rsid w:val="001867FC"/>
    <w:rsid w:val="0018688C"/>
    <w:rsid w:val="00186986"/>
    <w:rsid w:val="00187309"/>
    <w:rsid w:val="00187380"/>
    <w:rsid w:val="00187844"/>
    <w:rsid w:val="00187851"/>
    <w:rsid w:val="00187F61"/>
    <w:rsid w:val="001906BD"/>
    <w:rsid w:val="001907B4"/>
    <w:rsid w:val="001908AB"/>
    <w:rsid w:val="001909FF"/>
    <w:rsid w:val="00190A53"/>
    <w:rsid w:val="00190C81"/>
    <w:rsid w:val="00190E61"/>
    <w:rsid w:val="00190EA1"/>
    <w:rsid w:val="00190F93"/>
    <w:rsid w:val="001912AF"/>
    <w:rsid w:val="001914E7"/>
    <w:rsid w:val="00191A41"/>
    <w:rsid w:val="00191ACD"/>
    <w:rsid w:val="00191B3F"/>
    <w:rsid w:val="00191BBD"/>
    <w:rsid w:val="00191F11"/>
    <w:rsid w:val="0019225F"/>
    <w:rsid w:val="00192625"/>
    <w:rsid w:val="00192A05"/>
    <w:rsid w:val="00192BD5"/>
    <w:rsid w:val="00193085"/>
    <w:rsid w:val="001932B6"/>
    <w:rsid w:val="0019374C"/>
    <w:rsid w:val="00193B71"/>
    <w:rsid w:val="00193C72"/>
    <w:rsid w:val="00193E29"/>
    <w:rsid w:val="00193E74"/>
    <w:rsid w:val="00194306"/>
    <w:rsid w:val="001944B2"/>
    <w:rsid w:val="001944C1"/>
    <w:rsid w:val="00194609"/>
    <w:rsid w:val="00194692"/>
    <w:rsid w:val="001947B9"/>
    <w:rsid w:val="00194955"/>
    <w:rsid w:val="00195099"/>
    <w:rsid w:val="001952D0"/>
    <w:rsid w:val="001954B6"/>
    <w:rsid w:val="001954DE"/>
    <w:rsid w:val="001956F3"/>
    <w:rsid w:val="00195AA4"/>
    <w:rsid w:val="00195D59"/>
    <w:rsid w:val="001961EB"/>
    <w:rsid w:val="001967B8"/>
    <w:rsid w:val="00196810"/>
    <w:rsid w:val="00196C4E"/>
    <w:rsid w:val="00196C53"/>
    <w:rsid w:val="00196CC0"/>
    <w:rsid w:val="001970D0"/>
    <w:rsid w:val="0019733E"/>
    <w:rsid w:val="001976D3"/>
    <w:rsid w:val="0019779D"/>
    <w:rsid w:val="0019782B"/>
    <w:rsid w:val="0019790B"/>
    <w:rsid w:val="00197CC6"/>
    <w:rsid w:val="00197D87"/>
    <w:rsid w:val="001A0146"/>
    <w:rsid w:val="001A03E6"/>
    <w:rsid w:val="001A0809"/>
    <w:rsid w:val="001A0AA7"/>
    <w:rsid w:val="001A0DF8"/>
    <w:rsid w:val="001A157C"/>
    <w:rsid w:val="001A19CC"/>
    <w:rsid w:val="001A1A33"/>
    <w:rsid w:val="001A1E7B"/>
    <w:rsid w:val="001A1EDE"/>
    <w:rsid w:val="001A2040"/>
    <w:rsid w:val="001A23A9"/>
    <w:rsid w:val="001A2660"/>
    <w:rsid w:val="001A26AF"/>
    <w:rsid w:val="001A27B8"/>
    <w:rsid w:val="001A27DB"/>
    <w:rsid w:val="001A28D8"/>
    <w:rsid w:val="001A2A29"/>
    <w:rsid w:val="001A2C32"/>
    <w:rsid w:val="001A3164"/>
    <w:rsid w:val="001A3410"/>
    <w:rsid w:val="001A3489"/>
    <w:rsid w:val="001A3568"/>
    <w:rsid w:val="001A362B"/>
    <w:rsid w:val="001A398A"/>
    <w:rsid w:val="001A39A0"/>
    <w:rsid w:val="001A3A4B"/>
    <w:rsid w:val="001A4153"/>
    <w:rsid w:val="001A43F0"/>
    <w:rsid w:val="001A45AA"/>
    <w:rsid w:val="001A46D7"/>
    <w:rsid w:val="001A480F"/>
    <w:rsid w:val="001A4C0F"/>
    <w:rsid w:val="001A4D70"/>
    <w:rsid w:val="001A4DB6"/>
    <w:rsid w:val="001A50F5"/>
    <w:rsid w:val="001A5181"/>
    <w:rsid w:val="001A5256"/>
    <w:rsid w:val="001A52CE"/>
    <w:rsid w:val="001A5367"/>
    <w:rsid w:val="001A5B8E"/>
    <w:rsid w:val="001A6090"/>
    <w:rsid w:val="001A623C"/>
    <w:rsid w:val="001A62A4"/>
    <w:rsid w:val="001A64CC"/>
    <w:rsid w:val="001A6557"/>
    <w:rsid w:val="001A6848"/>
    <w:rsid w:val="001A6D08"/>
    <w:rsid w:val="001A6D4A"/>
    <w:rsid w:val="001A6DC6"/>
    <w:rsid w:val="001A6F85"/>
    <w:rsid w:val="001A700C"/>
    <w:rsid w:val="001A74F3"/>
    <w:rsid w:val="001A78F9"/>
    <w:rsid w:val="001B01BC"/>
    <w:rsid w:val="001B0416"/>
    <w:rsid w:val="001B0797"/>
    <w:rsid w:val="001B0821"/>
    <w:rsid w:val="001B0834"/>
    <w:rsid w:val="001B08C8"/>
    <w:rsid w:val="001B0A1A"/>
    <w:rsid w:val="001B0A43"/>
    <w:rsid w:val="001B0D50"/>
    <w:rsid w:val="001B0F2F"/>
    <w:rsid w:val="001B1444"/>
    <w:rsid w:val="001B1499"/>
    <w:rsid w:val="001B1D8A"/>
    <w:rsid w:val="001B2457"/>
    <w:rsid w:val="001B2496"/>
    <w:rsid w:val="001B2564"/>
    <w:rsid w:val="001B27F1"/>
    <w:rsid w:val="001B3054"/>
    <w:rsid w:val="001B313D"/>
    <w:rsid w:val="001B36EE"/>
    <w:rsid w:val="001B373F"/>
    <w:rsid w:val="001B38F3"/>
    <w:rsid w:val="001B3913"/>
    <w:rsid w:val="001B3CA1"/>
    <w:rsid w:val="001B408A"/>
    <w:rsid w:val="001B41E3"/>
    <w:rsid w:val="001B4272"/>
    <w:rsid w:val="001B45E3"/>
    <w:rsid w:val="001B4679"/>
    <w:rsid w:val="001B46A6"/>
    <w:rsid w:val="001B4769"/>
    <w:rsid w:val="001B4AA9"/>
    <w:rsid w:val="001B4B34"/>
    <w:rsid w:val="001B4BBE"/>
    <w:rsid w:val="001B4E15"/>
    <w:rsid w:val="001B4FD9"/>
    <w:rsid w:val="001B518A"/>
    <w:rsid w:val="001B540A"/>
    <w:rsid w:val="001B542C"/>
    <w:rsid w:val="001B568A"/>
    <w:rsid w:val="001B573C"/>
    <w:rsid w:val="001B5842"/>
    <w:rsid w:val="001B5B49"/>
    <w:rsid w:val="001B5BFB"/>
    <w:rsid w:val="001B5E4F"/>
    <w:rsid w:val="001B5F0E"/>
    <w:rsid w:val="001B64EA"/>
    <w:rsid w:val="001B6694"/>
    <w:rsid w:val="001B67ED"/>
    <w:rsid w:val="001B6846"/>
    <w:rsid w:val="001B6A09"/>
    <w:rsid w:val="001B6CC2"/>
    <w:rsid w:val="001B6DFF"/>
    <w:rsid w:val="001B6F7D"/>
    <w:rsid w:val="001B7112"/>
    <w:rsid w:val="001B782B"/>
    <w:rsid w:val="001B7952"/>
    <w:rsid w:val="001B7974"/>
    <w:rsid w:val="001B7B06"/>
    <w:rsid w:val="001B7BD4"/>
    <w:rsid w:val="001C0039"/>
    <w:rsid w:val="001C03A8"/>
    <w:rsid w:val="001C0ACC"/>
    <w:rsid w:val="001C0C3C"/>
    <w:rsid w:val="001C0E63"/>
    <w:rsid w:val="001C1042"/>
    <w:rsid w:val="001C1218"/>
    <w:rsid w:val="001C14B5"/>
    <w:rsid w:val="001C161A"/>
    <w:rsid w:val="001C19BF"/>
    <w:rsid w:val="001C1EAA"/>
    <w:rsid w:val="001C1FB4"/>
    <w:rsid w:val="001C209D"/>
    <w:rsid w:val="001C2152"/>
    <w:rsid w:val="001C2255"/>
    <w:rsid w:val="001C24E6"/>
    <w:rsid w:val="001C250D"/>
    <w:rsid w:val="001C2711"/>
    <w:rsid w:val="001C271D"/>
    <w:rsid w:val="001C292F"/>
    <w:rsid w:val="001C29FD"/>
    <w:rsid w:val="001C35C0"/>
    <w:rsid w:val="001C35C5"/>
    <w:rsid w:val="001C388E"/>
    <w:rsid w:val="001C3F0B"/>
    <w:rsid w:val="001C4045"/>
    <w:rsid w:val="001C42A4"/>
    <w:rsid w:val="001C4307"/>
    <w:rsid w:val="001C4450"/>
    <w:rsid w:val="001C4C5E"/>
    <w:rsid w:val="001C4C6C"/>
    <w:rsid w:val="001C4D92"/>
    <w:rsid w:val="001C4F9B"/>
    <w:rsid w:val="001C559C"/>
    <w:rsid w:val="001C5956"/>
    <w:rsid w:val="001C5969"/>
    <w:rsid w:val="001C5B23"/>
    <w:rsid w:val="001C5FA7"/>
    <w:rsid w:val="001C6753"/>
    <w:rsid w:val="001C68AC"/>
    <w:rsid w:val="001C6A07"/>
    <w:rsid w:val="001C6A87"/>
    <w:rsid w:val="001C6CFE"/>
    <w:rsid w:val="001C76B0"/>
    <w:rsid w:val="001C7850"/>
    <w:rsid w:val="001C7ABA"/>
    <w:rsid w:val="001D00EE"/>
    <w:rsid w:val="001D029D"/>
    <w:rsid w:val="001D04E7"/>
    <w:rsid w:val="001D066B"/>
    <w:rsid w:val="001D071E"/>
    <w:rsid w:val="001D089B"/>
    <w:rsid w:val="001D0CAB"/>
    <w:rsid w:val="001D0D9B"/>
    <w:rsid w:val="001D0EC9"/>
    <w:rsid w:val="001D0F36"/>
    <w:rsid w:val="001D12A3"/>
    <w:rsid w:val="001D12CD"/>
    <w:rsid w:val="001D1949"/>
    <w:rsid w:val="001D1BB6"/>
    <w:rsid w:val="001D23AA"/>
    <w:rsid w:val="001D289F"/>
    <w:rsid w:val="001D31DD"/>
    <w:rsid w:val="001D323B"/>
    <w:rsid w:val="001D32C3"/>
    <w:rsid w:val="001D3692"/>
    <w:rsid w:val="001D36D0"/>
    <w:rsid w:val="001D3715"/>
    <w:rsid w:val="001D3894"/>
    <w:rsid w:val="001D39E0"/>
    <w:rsid w:val="001D3A8E"/>
    <w:rsid w:val="001D3F1E"/>
    <w:rsid w:val="001D3F99"/>
    <w:rsid w:val="001D4288"/>
    <w:rsid w:val="001D438C"/>
    <w:rsid w:val="001D47FD"/>
    <w:rsid w:val="001D4CD9"/>
    <w:rsid w:val="001D4D93"/>
    <w:rsid w:val="001D5382"/>
    <w:rsid w:val="001D5654"/>
    <w:rsid w:val="001D56EC"/>
    <w:rsid w:val="001D5A42"/>
    <w:rsid w:val="001D5CBB"/>
    <w:rsid w:val="001D5E17"/>
    <w:rsid w:val="001D5FFF"/>
    <w:rsid w:val="001D60A4"/>
    <w:rsid w:val="001D6188"/>
    <w:rsid w:val="001D6310"/>
    <w:rsid w:val="001D6523"/>
    <w:rsid w:val="001D6636"/>
    <w:rsid w:val="001D673A"/>
    <w:rsid w:val="001D7594"/>
    <w:rsid w:val="001D7692"/>
    <w:rsid w:val="001D7A6E"/>
    <w:rsid w:val="001D7C6D"/>
    <w:rsid w:val="001D7DE7"/>
    <w:rsid w:val="001D7F12"/>
    <w:rsid w:val="001E001B"/>
    <w:rsid w:val="001E00F3"/>
    <w:rsid w:val="001E03A3"/>
    <w:rsid w:val="001E0AAB"/>
    <w:rsid w:val="001E1051"/>
    <w:rsid w:val="001E1062"/>
    <w:rsid w:val="001E141C"/>
    <w:rsid w:val="001E14B5"/>
    <w:rsid w:val="001E1527"/>
    <w:rsid w:val="001E18EB"/>
    <w:rsid w:val="001E1C10"/>
    <w:rsid w:val="001E1D42"/>
    <w:rsid w:val="001E1E62"/>
    <w:rsid w:val="001E2111"/>
    <w:rsid w:val="001E2491"/>
    <w:rsid w:val="001E275D"/>
    <w:rsid w:val="001E27C9"/>
    <w:rsid w:val="001E2889"/>
    <w:rsid w:val="001E2900"/>
    <w:rsid w:val="001E2912"/>
    <w:rsid w:val="001E2B5B"/>
    <w:rsid w:val="001E2C7D"/>
    <w:rsid w:val="001E2F24"/>
    <w:rsid w:val="001E3095"/>
    <w:rsid w:val="001E318B"/>
    <w:rsid w:val="001E329C"/>
    <w:rsid w:val="001E39AB"/>
    <w:rsid w:val="001E3B45"/>
    <w:rsid w:val="001E3B49"/>
    <w:rsid w:val="001E3BF3"/>
    <w:rsid w:val="001E3D7B"/>
    <w:rsid w:val="001E3EBB"/>
    <w:rsid w:val="001E41E0"/>
    <w:rsid w:val="001E41E6"/>
    <w:rsid w:val="001E477D"/>
    <w:rsid w:val="001E47C6"/>
    <w:rsid w:val="001E4880"/>
    <w:rsid w:val="001E4B26"/>
    <w:rsid w:val="001E4CA9"/>
    <w:rsid w:val="001E531B"/>
    <w:rsid w:val="001E5342"/>
    <w:rsid w:val="001E5402"/>
    <w:rsid w:val="001E557D"/>
    <w:rsid w:val="001E5635"/>
    <w:rsid w:val="001E5BCA"/>
    <w:rsid w:val="001E61EF"/>
    <w:rsid w:val="001E6285"/>
    <w:rsid w:val="001E63C5"/>
    <w:rsid w:val="001E66F1"/>
    <w:rsid w:val="001E6B1D"/>
    <w:rsid w:val="001E706F"/>
    <w:rsid w:val="001E7642"/>
    <w:rsid w:val="001E77D2"/>
    <w:rsid w:val="001E781C"/>
    <w:rsid w:val="001E7833"/>
    <w:rsid w:val="001E7987"/>
    <w:rsid w:val="001E7D4E"/>
    <w:rsid w:val="001F03AB"/>
    <w:rsid w:val="001F0535"/>
    <w:rsid w:val="001F0D5B"/>
    <w:rsid w:val="001F0F84"/>
    <w:rsid w:val="001F1092"/>
    <w:rsid w:val="001F10A2"/>
    <w:rsid w:val="001F115A"/>
    <w:rsid w:val="001F1354"/>
    <w:rsid w:val="001F1815"/>
    <w:rsid w:val="001F1B76"/>
    <w:rsid w:val="001F1CE0"/>
    <w:rsid w:val="001F1D10"/>
    <w:rsid w:val="001F1E1E"/>
    <w:rsid w:val="001F21E4"/>
    <w:rsid w:val="001F2273"/>
    <w:rsid w:val="001F2410"/>
    <w:rsid w:val="001F269E"/>
    <w:rsid w:val="001F26AB"/>
    <w:rsid w:val="001F27FD"/>
    <w:rsid w:val="001F2819"/>
    <w:rsid w:val="001F2931"/>
    <w:rsid w:val="001F2AEB"/>
    <w:rsid w:val="001F2D23"/>
    <w:rsid w:val="001F30C2"/>
    <w:rsid w:val="001F33F4"/>
    <w:rsid w:val="001F3AA8"/>
    <w:rsid w:val="001F3BE4"/>
    <w:rsid w:val="001F3C13"/>
    <w:rsid w:val="001F3CFE"/>
    <w:rsid w:val="001F3D73"/>
    <w:rsid w:val="001F42B5"/>
    <w:rsid w:val="001F46E1"/>
    <w:rsid w:val="001F4A05"/>
    <w:rsid w:val="001F4B2F"/>
    <w:rsid w:val="001F4B4E"/>
    <w:rsid w:val="001F4D18"/>
    <w:rsid w:val="001F4E23"/>
    <w:rsid w:val="001F4FC6"/>
    <w:rsid w:val="001F5261"/>
    <w:rsid w:val="001F5442"/>
    <w:rsid w:val="001F5474"/>
    <w:rsid w:val="001F5614"/>
    <w:rsid w:val="001F57ED"/>
    <w:rsid w:val="001F58B8"/>
    <w:rsid w:val="001F599D"/>
    <w:rsid w:val="001F6113"/>
    <w:rsid w:val="001F6175"/>
    <w:rsid w:val="001F61D1"/>
    <w:rsid w:val="001F61D3"/>
    <w:rsid w:val="001F64F8"/>
    <w:rsid w:val="001F658B"/>
    <w:rsid w:val="001F683F"/>
    <w:rsid w:val="001F6887"/>
    <w:rsid w:val="001F6894"/>
    <w:rsid w:val="001F69C4"/>
    <w:rsid w:val="001F6B41"/>
    <w:rsid w:val="001F6CAF"/>
    <w:rsid w:val="001F6FD6"/>
    <w:rsid w:val="001F72A5"/>
    <w:rsid w:val="001F73AC"/>
    <w:rsid w:val="001F7412"/>
    <w:rsid w:val="001F7440"/>
    <w:rsid w:val="001F74C4"/>
    <w:rsid w:val="001F78BA"/>
    <w:rsid w:val="001F7C17"/>
    <w:rsid w:val="001F7DCB"/>
    <w:rsid w:val="001F7E46"/>
    <w:rsid w:val="001F7E8B"/>
    <w:rsid w:val="001F7F88"/>
    <w:rsid w:val="00200195"/>
    <w:rsid w:val="00200A4E"/>
    <w:rsid w:val="00200ED7"/>
    <w:rsid w:val="002010DC"/>
    <w:rsid w:val="002011A0"/>
    <w:rsid w:val="002012B3"/>
    <w:rsid w:val="00201618"/>
    <w:rsid w:val="002017B6"/>
    <w:rsid w:val="00201A2E"/>
    <w:rsid w:val="00201F67"/>
    <w:rsid w:val="002020F9"/>
    <w:rsid w:val="00202290"/>
    <w:rsid w:val="00202590"/>
    <w:rsid w:val="0020261E"/>
    <w:rsid w:val="002027A6"/>
    <w:rsid w:val="00202C13"/>
    <w:rsid w:val="002031C0"/>
    <w:rsid w:val="00203422"/>
    <w:rsid w:val="00203A5D"/>
    <w:rsid w:val="00203A68"/>
    <w:rsid w:val="00203E7F"/>
    <w:rsid w:val="002042D2"/>
    <w:rsid w:val="00204465"/>
    <w:rsid w:val="00204913"/>
    <w:rsid w:val="00204B5A"/>
    <w:rsid w:val="00204C08"/>
    <w:rsid w:val="00204DD1"/>
    <w:rsid w:val="00204E22"/>
    <w:rsid w:val="00204F05"/>
    <w:rsid w:val="00204FBF"/>
    <w:rsid w:val="002051AD"/>
    <w:rsid w:val="00205629"/>
    <w:rsid w:val="0020579C"/>
    <w:rsid w:val="00205807"/>
    <w:rsid w:val="002059AC"/>
    <w:rsid w:val="00205B2A"/>
    <w:rsid w:val="00205BEC"/>
    <w:rsid w:val="0020651F"/>
    <w:rsid w:val="0020672C"/>
    <w:rsid w:val="0020693D"/>
    <w:rsid w:val="00206A65"/>
    <w:rsid w:val="00206AA2"/>
    <w:rsid w:val="00206C28"/>
    <w:rsid w:val="00206E1C"/>
    <w:rsid w:val="002071F0"/>
    <w:rsid w:val="00207632"/>
    <w:rsid w:val="0020768D"/>
    <w:rsid w:val="002079B8"/>
    <w:rsid w:val="00207A92"/>
    <w:rsid w:val="00207E23"/>
    <w:rsid w:val="002104CF"/>
    <w:rsid w:val="00210A84"/>
    <w:rsid w:val="00210BFC"/>
    <w:rsid w:val="002110E2"/>
    <w:rsid w:val="00211489"/>
    <w:rsid w:val="00211893"/>
    <w:rsid w:val="00211C15"/>
    <w:rsid w:val="0021247E"/>
    <w:rsid w:val="00212776"/>
    <w:rsid w:val="00212B67"/>
    <w:rsid w:val="00212F8A"/>
    <w:rsid w:val="00213146"/>
    <w:rsid w:val="0021375D"/>
    <w:rsid w:val="002139D5"/>
    <w:rsid w:val="00213A00"/>
    <w:rsid w:val="00213A8C"/>
    <w:rsid w:val="00213BE3"/>
    <w:rsid w:val="00213D5B"/>
    <w:rsid w:val="00213DBB"/>
    <w:rsid w:val="002142E6"/>
    <w:rsid w:val="00214370"/>
    <w:rsid w:val="002144EB"/>
    <w:rsid w:val="0021453F"/>
    <w:rsid w:val="00214C25"/>
    <w:rsid w:val="00214C88"/>
    <w:rsid w:val="0021537F"/>
    <w:rsid w:val="002153A6"/>
    <w:rsid w:val="0021578E"/>
    <w:rsid w:val="00215C7D"/>
    <w:rsid w:val="00215F0E"/>
    <w:rsid w:val="002161F5"/>
    <w:rsid w:val="002162CB"/>
    <w:rsid w:val="00216353"/>
    <w:rsid w:val="00216536"/>
    <w:rsid w:val="002169BD"/>
    <w:rsid w:val="00216F75"/>
    <w:rsid w:val="00217013"/>
    <w:rsid w:val="00217402"/>
    <w:rsid w:val="00217853"/>
    <w:rsid w:val="00217B0A"/>
    <w:rsid w:val="00217B82"/>
    <w:rsid w:val="002202B2"/>
    <w:rsid w:val="002203CA"/>
    <w:rsid w:val="00220907"/>
    <w:rsid w:val="00220975"/>
    <w:rsid w:val="00220B49"/>
    <w:rsid w:val="00220C85"/>
    <w:rsid w:val="00220CFD"/>
    <w:rsid w:val="00220E68"/>
    <w:rsid w:val="00220EC3"/>
    <w:rsid w:val="00220F13"/>
    <w:rsid w:val="00221005"/>
    <w:rsid w:val="002217AB"/>
    <w:rsid w:val="00221AD6"/>
    <w:rsid w:val="00221CB4"/>
    <w:rsid w:val="00221ECF"/>
    <w:rsid w:val="00221FA2"/>
    <w:rsid w:val="00221FFC"/>
    <w:rsid w:val="00222001"/>
    <w:rsid w:val="002221A4"/>
    <w:rsid w:val="002222B8"/>
    <w:rsid w:val="00222683"/>
    <w:rsid w:val="00222BAF"/>
    <w:rsid w:val="00222CBB"/>
    <w:rsid w:val="00222FA4"/>
    <w:rsid w:val="00223074"/>
    <w:rsid w:val="002230E8"/>
    <w:rsid w:val="0022341D"/>
    <w:rsid w:val="00223BEE"/>
    <w:rsid w:val="00223DCF"/>
    <w:rsid w:val="00224082"/>
    <w:rsid w:val="002241DE"/>
    <w:rsid w:val="0022441C"/>
    <w:rsid w:val="002246E1"/>
    <w:rsid w:val="00224D52"/>
    <w:rsid w:val="00224E64"/>
    <w:rsid w:val="00224ECE"/>
    <w:rsid w:val="00224F86"/>
    <w:rsid w:val="00225002"/>
    <w:rsid w:val="00225188"/>
    <w:rsid w:val="00225221"/>
    <w:rsid w:val="00225E4E"/>
    <w:rsid w:val="00226209"/>
    <w:rsid w:val="002268C8"/>
    <w:rsid w:val="00226B07"/>
    <w:rsid w:val="00226D39"/>
    <w:rsid w:val="00226F7F"/>
    <w:rsid w:val="00226FD3"/>
    <w:rsid w:val="00227293"/>
    <w:rsid w:val="002275B9"/>
    <w:rsid w:val="002276EE"/>
    <w:rsid w:val="00227875"/>
    <w:rsid w:val="00227A8C"/>
    <w:rsid w:val="00227AE7"/>
    <w:rsid w:val="00227D6A"/>
    <w:rsid w:val="00230436"/>
    <w:rsid w:val="0023049B"/>
    <w:rsid w:val="002305C9"/>
    <w:rsid w:val="00230763"/>
    <w:rsid w:val="002309DF"/>
    <w:rsid w:val="00230A27"/>
    <w:rsid w:val="00230B71"/>
    <w:rsid w:val="00230C4E"/>
    <w:rsid w:val="00230D98"/>
    <w:rsid w:val="00230DEC"/>
    <w:rsid w:val="00230E3B"/>
    <w:rsid w:val="00230FB2"/>
    <w:rsid w:val="002312EE"/>
    <w:rsid w:val="00231419"/>
    <w:rsid w:val="00231546"/>
    <w:rsid w:val="002316E0"/>
    <w:rsid w:val="00231791"/>
    <w:rsid w:val="002319FC"/>
    <w:rsid w:val="00231E1A"/>
    <w:rsid w:val="002321A3"/>
    <w:rsid w:val="00232269"/>
    <w:rsid w:val="00232655"/>
    <w:rsid w:val="002327D1"/>
    <w:rsid w:val="00232BC8"/>
    <w:rsid w:val="00232DA7"/>
    <w:rsid w:val="0023301E"/>
    <w:rsid w:val="0023345A"/>
    <w:rsid w:val="00233870"/>
    <w:rsid w:val="002341B2"/>
    <w:rsid w:val="00234216"/>
    <w:rsid w:val="0023433F"/>
    <w:rsid w:val="002346EB"/>
    <w:rsid w:val="00234B7C"/>
    <w:rsid w:val="00234CBC"/>
    <w:rsid w:val="00234F86"/>
    <w:rsid w:val="002350F0"/>
    <w:rsid w:val="002350FD"/>
    <w:rsid w:val="00235214"/>
    <w:rsid w:val="002354B7"/>
    <w:rsid w:val="002355BC"/>
    <w:rsid w:val="0023583B"/>
    <w:rsid w:val="00235864"/>
    <w:rsid w:val="002358CC"/>
    <w:rsid w:val="002359F1"/>
    <w:rsid w:val="00235A20"/>
    <w:rsid w:val="00235A49"/>
    <w:rsid w:val="00235BA1"/>
    <w:rsid w:val="00235E3A"/>
    <w:rsid w:val="002360BB"/>
    <w:rsid w:val="0023680D"/>
    <w:rsid w:val="00236E12"/>
    <w:rsid w:val="00236E1B"/>
    <w:rsid w:val="0023781A"/>
    <w:rsid w:val="0023787B"/>
    <w:rsid w:val="00237C49"/>
    <w:rsid w:val="00237CAB"/>
    <w:rsid w:val="00240983"/>
    <w:rsid w:val="00240AFA"/>
    <w:rsid w:val="00240B39"/>
    <w:rsid w:val="00240E19"/>
    <w:rsid w:val="002410F2"/>
    <w:rsid w:val="00241195"/>
    <w:rsid w:val="00241312"/>
    <w:rsid w:val="00241367"/>
    <w:rsid w:val="00241383"/>
    <w:rsid w:val="0024140A"/>
    <w:rsid w:val="0024166E"/>
    <w:rsid w:val="0024186D"/>
    <w:rsid w:val="00241A2B"/>
    <w:rsid w:val="00241A80"/>
    <w:rsid w:val="00241B66"/>
    <w:rsid w:val="00241B6F"/>
    <w:rsid w:val="00241BF6"/>
    <w:rsid w:val="00241C3E"/>
    <w:rsid w:val="00241D90"/>
    <w:rsid w:val="00242204"/>
    <w:rsid w:val="00242725"/>
    <w:rsid w:val="002428AF"/>
    <w:rsid w:val="00242B1A"/>
    <w:rsid w:val="00242E04"/>
    <w:rsid w:val="0024324A"/>
    <w:rsid w:val="002433E2"/>
    <w:rsid w:val="00243563"/>
    <w:rsid w:val="0024385E"/>
    <w:rsid w:val="00243B19"/>
    <w:rsid w:val="00243B35"/>
    <w:rsid w:val="0024481F"/>
    <w:rsid w:val="00244B7F"/>
    <w:rsid w:val="00244C50"/>
    <w:rsid w:val="00245060"/>
    <w:rsid w:val="00245198"/>
    <w:rsid w:val="002452B8"/>
    <w:rsid w:val="002459B9"/>
    <w:rsid w:val="00245B31"/>
    <w:rsid w:val="00245C03"/>
    <w:rsid w:val="002465DA"/>
    <w:rsid w:val="0024686B"/>
    <w:rsid w:val="0024693A"/>
    <w:rsid w:val="00246FA3"/>
    <w:rsid w:val="002477E5"/>
    <w:rsid w:val="0024785E"/>
    <w:rsid w:val="00247872"/>
    <w:rsid w:val="00247989"/>
    <w:rsid w:val="00247D19"/>
    <w:rsid w:val="00247D31"/>
    <w:rsid w:val="00247DEF"/>
    <w:rsid w:val="00247F9B"/>
    <w:rsid w:val="002500DB"/>
    <w:rsid w:val="00250369"/>
    <w:rsid w:val="002507CA"/>
    <w:rsid w:val="00250C9A"/>
    <w:rsid w:val="00250E85"/>
    <w:rsid w:val="0025173C"/>
    <w:rsid w:val="00251E02"/>
    <w:rsid w:val="00251E88"/>
    <w:rsid w:val="002520A0"/>
    <w:rsid w:val="002525F1"/>
    <w:rsid w:val="002528D8"/>
    <w:rsid w:val="00252A70"/>
    <w:rsid w:val="00252E31"/>
    <w:rsid w:val="00252EB7"/>
    <w:rsid w:val="002530FE"/>
    <w:rsid w:val="002537F4"/>
    <w:rsid w:val="00253A84"/>
    <w:rsid w:val="00253C45"/>
    <w:rsid w:val="00253E83"/>
    <w:rsid w:val="00253EC3"/>
    <w:rsid w:val="00253F40"/>
    <w:rsid w:val="00253F6F"/>
    <w:rsid w:val="00254008"/>
    <w:rsid w:val="002540A5"/>
    <w:rsid w:val="00254100"/>
    <w:rsid w:val="002541BF"/>
    <w:rsid w:val="002549AF"/>
    <w:rsid w:val="00254B2C"/>
    <w:rsid w:val="00254E80"/>
    <w:rsid w:val="00255301"/>
    <w:rsid w:val="00255646"/>
    <w:rsid w:val="002556CF"/>
    <w:rsid w:val="002560AA"/>
    <w:rsid w:val="00256187"/>
    <w:rsid w:val="002561B4"/>
    <w:rsid w:val="00256885"/>
    <w:rsid w:val="0025691C"/>
    <w:rsid w:val="00256B69"/>
    <w:rsid w:val="00257378"/>
    <w:rsid w:val="002576F4"/>
    <w:rsid w:val="002577CA"/>
    <w:rsid w:val="00257881"/>
    <w:rsid w:val="00257912"/>
    <w:rsid w:val="0025798D"/>
    <w:rsid w:val="00257A12"/>
    <w:rsid w:val="00257F63"/>
    <w:rsid w:val="0026041D"/>
    <w:rsid w:val="00260740"/>
    <w:rsid w:val="00260F27"/>
    <w:rsid w:val="00260F81"/>
    <w:rsid w:val="002610A6"/>
    <w:rsid w:val="0026116C"/>
    <w:rsid w:val="002614AE"/>
    <w:rsid w:val="0026152E"/>
    <w:rsid w:val="00261726"/>
    <w:rsid w:val="0026179D"/>
    <w:rsid w:val="00261AE3"/>
    <w:rsid w:val="00261B51"/>
    <w:rsid w:val="00261CFE"/>
    <w:rsid w:val="00262135"/>
    <w:rsid w:val="00262213"/>
    <w:rsid w:val="00262215"/>
    <w:rsid w:val="0026242E"/>
    <w:rsid w:val="00262971"/>
    <w:rsid w:val="00262A1D"/>
    <w:rsid w:val="00262B1B"/>
    <w:rsid w:val="00262CBC"/>
    <w:rsid w:val="0026307C"/>
    <w:rsid w:val="00263215"/>
    <w:rsid w:val="002638FE"/>
    <w:rsid w:val="0026398F"/>
    <w:rsid w:val="00263B0C"/>
    <w:rsid w:val="00263FD0"/>
    <w:rsid w:val="002640AA"/>
    <w:rsid w:val="00264174"/>
    <w:rsid w:val="00264A86"/>
    <w:rsid w:val="00264B13"/>
    <w:rsid w:val="00264E61"/>
    <w:rsid w:val="00264E69"/>
    <w:rsid w:val="00264E7F"/>
    <w:rsid w:val="00265431"/>
    <w:rsid w:val="0026606F"/>
    <w:rsid w:val="00266723"/>
    <w:rsid w:val="00266A44"/>
    <w:rsid w:val="00266E00"/>
    <w:rsid w:val="00266F87"/>
    <w:rsid w:val="002672B8"/>
    <w:rsid w:val="0026750D"/>
    <w:rsid w:val="00267803"/>
    <w:rsid w:val="00267886"/>
    <w:rsid w:val="002679BE"/>
    <w:rsid w:val="00267B3B"/>
    <w:rsid w:val="00267BB4"/>
    <w:rsid w:val="00267E1F"/>
    <w:rsid w:val="00267E27"/>
    <w:rsid w:val="00267E66"/>
    <w:rsid w:val="00267EC3"/>
    <w:rsid w:val="002701C7"/>
    <w:rsid w:val="00270BD3"/>
    <w:rsid w:val="002711D1"/>
    <w:rsid w:val="002713A3"/>
    <w:rsid w:val="00271700"/>
    <w:rsid w:val="0027183C"/>
    <w:rsid w:val="002719FC"/>
    <w:rsid w:val="00271C2C"/>
    <w:rsid w:val="00271F97"/>
    <w:rsid w:val="0027218F"/>
    <w:rsid w:val="002723D0"/>
    <w:rsid w:val="00272470"/>
    <w:rsid w:val="0027247F"/>
    <w:rsid w:val="002725C3"/>
    <w:rsid w:val="002726F0"/>
    <w:rsid w:val="00272767"/>
    <w:rsid w:val="002727FA"/>
    <w:rsid w:val="00272AE8"/>
    <w:rsid w:val="0027300D"/>
    <w:rsid w:val="00273288"/>
    <w:rsid w:val="00273350"/>
    <w:rsid w:val="002736A3"/>
    <w:rsid w:val="00273C1D"/>
    <w:rsid w:val="00273D1A"/>
    <w:rsid w:val="00273F33"/>
    <w:rsid w:val="00273FCC"/>
    <w:rsid w:val="00274238"/>
    <w:rsid w:val="00274575"/>
    <w:rsid w:val="0027488F"/>
    <w:rsid w:val="00274A42"/>
    <w:rsid w:val="00274A73"/>
    <w:rsid w:val="00274C31"/>
    <w:rsid w:val="00274D06"/>
    <w:rsid w:val="0027501C"/>
    <w:rsid w:val="00275118"/>
    <w:rsid w:val="00275490"/>
    <w:rsid w:val="002754CE"/>
    <w:rsid w:val="00275915"/>
    <w:rsid w:val="00275944"/>
    <w:rsid w:val="00275BA6"/>
    <w:rsid w:val="00276691"/>
    <w:rsid w:val="002766AE"/>
    <w:rsid w:val="002766E6"/>
    <w:rsid w:val="00276ABD"/>
    <w:rsid w:val="00277149"/>
    <w:rsid w:val="002772B1"/>
    <w:rsid w:val="0027738C"/>
    <w:rsid w:val="002777E2"/>
    <w:rsid w:val="0027790B"/>
    <w:rsid w:val="002779FB"/>
    <w:rsid w:val="0028020F"/>
    <w:rsid w:val="0028035A"/>
    <w:rsid w:val="0028059B"/>
    <w:rsid w:val="00280894"/>
    <w:rsid w:val="00280B97"/>
    <w:rsid w:val="00280C21"/>
    <w:rsid w:val="00281008"/>
    <w:rsid w:val="0028103A"/>
    <w:rsid w:val="00281458"/>
    <w:rsid w:val="002819FB"/>
    <w:rsid w:val="00281CE6"/>
    <w:rsid w:val="00281F70"/>
    <w:rsid w:val="00281FB7"/>
    <w:rsid w:val="00281FD0"/>
    <w:rsid w:val="002821F8"/>
    <w:rsid w:val="002826AD"/>
    <w:rsid w:val="00282915"/>
    <w:rsid w:val="00282B57"/>
    <w:rsid w:val="0028311B"/>
    <w:rsid w:val="002832D8"/>
    <w:rsid w:val="0028330A"/>
    <w:rsid w:val="002835D8"/>
    <w:rsid w:val="00283612"/>
    <w:rsid w:val="00283646"/>
    <w:rsid w:val="00283707"/>
    <w:rsid w:val="00283F6A"/>
    <w:rsid w:val="002840A1"/>
    <w:rsid w:val="00284737"/>
    <w:rsid w:val="00284AFE"/>
    <w:rsid w:val="00285766"/>
    <w:rsid w:val="00285B0A"/>
    <w:rsid w:val="00285BC9"/>
    <w:rsid w:val="00285D09"/>
    <w:rsid w:val="00285D41"/>
    <w:rsid w:val="00285D55"/>
    <w:rsid w:val="00286292"/>
    <w:rsid w:val="0028688A"/>
    <w:rsid w:val="0028688D"/>
    <w:rsid w:val="00286A28"/>
    <w:rsid w:val="00286AC5"/>
    <w:rsid w:val="00286AF3"/>
    <w:rsid w:val="00286C44"/>
    <w:rsid w:val="00286DF0"/>
    <w:rsid w:val="00287158"/>
    <w:rsid w:val="0028727B"/>
    <w:rsid w:val="00287515"/>
    <w:rsid w:val="002878B2"/>
    <w:rsid w:val="002879CD"/>
    <w:rsid w:val="00287C24"/>
    <w:rsid w:val="00287CA8"/>
    <w:rsid w:val="00287D78"/>
    <w:rsid w:val="00287DF7"/>
    <w:rsid w:val="00287EB8"/>
    <w:rsid w:val="00287F79"/>
    <w:rsid w:val="00290054"/>
    <w:rsid w:val="002901F2"/>
    <w:rsid w:val="0029029F"/>
    <w:rsid w:val="00290894"/>
    <w:rsid w:val="00290931"/>
    <w:rsid w:val="00290934"/>
    <w:rsid w:val="0029098B"/>
    <w:rsid w:val="00290CD4"/>
    <w:rsid w:val="00290EE8"/>
    <w:rsid w:val="00291146"/>
    <w:rsid w:val="00291197"/>
    <w:rsid w:val="0029128B"/>
    <w:rsid w:val="00291BBC"/>
    <w:rsid w:val="00291D25"/>
    <w:rsid w:val="00291F3A"/>
    <w:rsid w:val="0029203F"/>
    <w:rsid w:val="00292109"/>
    <w:rsid w:val="00292138"/>
    <w:rsid w:val="002921F7"/>
    <w:rsid w:val="0029249E"/>
    <w:rsid w:val="002925AB"/>
    <w:rsid w:val="00292860"/>
    <w:rsid w:val="00292B02"/>
    <w:rsid w:val="00292D87"/>
    <w:rsid w:val="0029312B"/>
    <w:rsid w:val="0029345D"/>
    <w:rsid w:val="002935C7"/>
    <w:rsid w:val="00293982"/>
    <w:rsid w:val="00293DFB"/>
    <w:rsid w:val="0029415D"/>
    <w:rsid w:val="00294239"/>
    <w:rsid w:val="0029434C"/>
    <w:rsid w:val="002945BB"/>
    <w:rsid w:val="00294A5D"/>
    <w:rsid w:val="00294BFB"/>
    <w:rsid w:val="00294C37"/>
    <w:rsid w:val="00294DAE"/>
    <w:rsid w:val="00294F92"/>
    <w:rsid w:val="00295AB1"/>
    <w:rsid w:val="00295ADD"/>
    <w:rsid w:val="00296258"/>
    <w:rsid w:val="002963C5"/>
    <w:rsid w:val="002964DF"/>
    <w:rsid w:val="0029652F"/>
    <w:rsid w:val="002965CE"/>
    <w:rsid w:val="00296772"/>
    <w:rsid w:val="00296857"/>
    <w:rsid w:val="002968F2"/>
    <w:rsid w:val="00296B05"/>
    <w:rsid w:val="00296FCC"/>
    <w:rsid w:val="002970A7"/>
    <w:rsid w:val="00297789"/>
    <w:rsid w:val="0029790D"/>
    <w:rsid w:val="00297A39"/>
    <w:rsid w:val="00297F3C"/>
    <w:rsid w:val="002A038B"/>
    <w:rsid w:val="002A03C0"/>
    <w:rsid w:val="002A077A"/>
    <w:rsid w:val="002A0D50"/>
    <w:rsid w:val="002A0F78"/>
    <w:rsid w:val="002A12E9"/>
    <w:rsid w:val="002A1350"/>
    <w:rsid w:val="002A148A"/>
    <w:rsid w:val="002A17A7"/>
    <w:rsid w:val="002A1BCD"/>
    <w:rsid w:val="002A26D6"/>
    <w:rsid w:val="002A2913"/>
    <w:rsid w:val="002A2D7F"/>
    <w:rsid w:val="002A2D90"/>
    <w:rsid w:val="002A2E2D"/>
    <w:rsid w:val="002A2EDD"/>
    <w:rsid w:val="002A2F5D"/>
    <w:rsid w:val="002A2F63"/>
    <w:rsid w:val="002A3088"/>
    <w:rsid w:val="002A3108"/>
    <w:rsid w:val="002A32A6"/>
    <w:rsid w:val="002A337E"/>
    <w:rsid w:val="002A3495"/>
    <w:rsid w:val="002A39E6"/>
    <w:rsid w:val="002A3A2E"/>
    <w:rsid w:val="002A3A4D"/>
    <w:rsid w:val="002A3E37"/>
    <w:rsid w:val="002A4223"/>
    <w:rsid w:val="002A4ABC"/>
    <w:rsid w:val="002A5066"/>
    <w:rsid w:val="002A529E"/>
    <w:rsid w:val="002A5AC8"/>
    <w:rsid w:val="002A5B8E"/>
    <w:rsid w:val="002A5E8D"/>
    <w:rsid w:val="002A5EB9"/>
    <w:rsid w:val="002A5F7C"/>
    <w:rsid w:val="002A6060"/>
    <w:rsid w:val="002A626A"/>
    <w:rsid w:val="002A64BE"/>
    <w:rsid w:val="002A6542"/>
    <w:rsid w:val="002A675A"/>
    <w:rsid w:val="002A6B3B"/>
    <w:rsid w:val="002A6C71"/>
    <w:rsid w:val="002A6EFB"/>
    <w:rsid w:val="002A6F96"/>
    <w:rsid w:val="002A70B8"/>
    <w:rsid w:val="002A7191"/>
    <w:rsid w:val="002A73F3"/>
    <w:rsid w:val="002A7871"/>
    <w:rsid w:val="002A78CB"/>
    <w:rsid w:val="002A796E"/>
    <w:rsid w:val="002A7D0A"/>
    <w:rsid w:val="002A7EDF"/>
    <w:rsid w:val="002B0204"/>
    <w:rsid w:val="002B0630"/>
    <w:rsid w:val="002B065C"/>
    <w:rsid w:val="002B08ED"/>
    <w:rsid w:val="002B0A42"/>
    <w:rsid w:val="002B0B5D"/>
    <w:rsid w:val="002B0DD4"/>
    <w:rsid w:val="002B0FC1"/>
    <w:rsid w:val="002B1082"/>
    <w:rsid w:val="002B1172"/>
    <w:rsid w:val="002B1813"/>
    <w:rsid w:val="002B18CD"/>
    <w:rsid w:val="002B1A49"/>
    <w:rsid w:val="002B1AFB"/>
    <w:rsid w:val="002B23BF"/>
    <w:rsid w:val="002B2515"/>
    <w:rsid w:val="002B27F4"/>
    <w:rsid w:val="002B286E"/>
    <w:rsid w:val="002B2992"/>
    <w:rsid w:val="002B29F0"/>
    <w:rsid w:val="002B332F"/>
    <w:rsid w:val="002B3484"/>
    <w:rsid w:val="002B376E"/>
    <w:rsid w:val="002B3E2E"/>
    <w:rsid w:val="002B4312"/>
    <w:rsid w:val="002B4592"/>
    <w:rsid w:val="002B49C5"/>
    <w:rsid w:val="002B4E69"/>
    <w:rsid w:val="002B4F96"/>
    <w:rsid w:val="002B505A"/>
    <w:rsid w:val="002B5448"/>
    <w:rsid w:val="002B55B0"/>
    <w:rsid w:val="002B56C6"/>
    <w:rsid w:val="002B5743"/>
    <w:rsid w:val="002B5B7C"/>
    <w:rsid w:val="002B5BD7"/>
    <w:rsid w:val="002B5FE8"/>
    <w:rsid w:val="002B6166"/>
    <w:rsid w:val="002B6256"/>
    <w:rsid w:val="002B64E0"/>
    <w:rsid w:val="002B680F"/>
    <w:rsid w:val="002B6AD8"/>
    <w:rsid w:val="002B6C75"/>
    <w:rsid w:val="002B7119"/>
    <w:rsid w:val="002B723E"/>
    <w:rsid w:val="002B73DC"/>
    <w:rsid w:val="002B7403"/>
    <w:rsid w:val="002B76BE"/>
    <w:rsid w:val="002B794E"/>
    <w:rsid w:val="002B7B6A"/>
    <w:rsid w:val="002B7C8A"/>
    <w:rsid w:val="002C03D1"/>
    <w:rsid w:val="002C0661"/>
    <w:rsid w:val="002C0704"/>
    <w:rsid w:val="002C08B1"/>
    <w:rsid w:val="002C0B0A"/>
    <w:rsid w:val="002C0B4D"/>
    <w:rsid w:val="002C0B93"/>
    <w:rsid w:val="002C159F"/>
    <w:rsid w:val="002C1B3D"/>
    <w:rsid w:val="002C2232"/>
    <w:rsid w:val="002C2413"/>
    <w:rsid w:val="002C2498"/>
    <w:rsid w:val="002C2784"/>
    <w:rsid w:val="002C28DE"/>
    <w:rsid w:val="002C293F"/>
    <w:rsid w:val="002C2B3A"/>
    <w:rsid w:val="002C2CC3"/>
    <w:rsid w:val="002C313F"/>
    <w:rsid w:val="002C3147"/>
    <w:rsid w:val="002C33F4"/>
    <w:rsid w:val="002C3BE2"/>
    <w:rsid w:val="002C3C3B"/>
    <w:rsid w:val="002C3DA1"/>
    <w:rsid w:val="002C4197"/>
    <w:rsid w:val="002C4312"/>
    <w:rsid w:val="002C48EC"/>
    <w:rsid w:val="002C48EF"/>
    <w:rsid w:val="002C573F"/>
    <w:rsid w:val="002C57A4"/>
    <w:rsid w:val="002C5A03"/>
    <w:rsid w:val="002C5C33"/>
    <w:rsid w:val="002C5F02"/>
    <w:rsid w:val="002C607F"/>
    <w:rsid w:val="002C6185"/>
    <w:rsid w:val="002C64CC"/>
    <w:rsid w:val="002C663B"/>
    <w:rsid w:val="002C6A37"/>
    <w:rsid w:val="002C6CF3"/>
    <w:rsid w:val="002C6E11"/>
    <w:rsid w:val="002C7101"/>
    <w:rsid w:val="002C72DE"/>
    <w:rsid w:val="002C758A"/>
    <w:rsid w:val="002C7639"/>
    <w:rsid w:val="002C7BF0"/>
    <w:rsid w:val="002D0092"/>
    <w:rsid w:val="002D02A3"/>
    <w:rsid w:val="002D04B3"/>
    <w:rsid w:val="002D0BC3"/>
    <w:rsid w:val="002D1426"/>
    <w:rsid w:val="002D14E4"/>
    <w:rsid w:val="002D1813"/>
    <w:rsid w:val="002D2047"/>
    <w:rsid w:val="002D2145"/>
    <w:rsid w:val="002D2558"/>
    <w:rsid w:val="002D27F2"/>
    <w:rsid w:val="002D28DD"/>
    <w:rsid w:val="002D2910"/>
    <w:rsid w:val="002D29E3"/>
    <w:rsid w:val="002D2C95"/>
    <w:rsid w:val="002D2D82"/>
    <w:rsid w:val="002D2E40"/>
    <w:rsid w:val="002D2E53"/>
    <w:rsid w:val="002D2F13"/>
    <w:rsid w:val="002D3208"/>
    <w:rsid w:val="002D35A4"/>
    <w:rsid w:val="002D379A"/>
    <w:rsid w:val="002D3984"/>
    <w:rsid w:val="002D4172"/>
    <w:rsid w:val="002D421E"/>
    <w:rsid w:val="002D4777"/>
    <w:rsid w:val="002D49A9"/>
    <w:rsid w:val="002D4C3D"/>
    <w:rsid w:val="002D4CD6"/>
    <w:rsid w:val="002D4E0E"/>
    <w:rsid w:val="002D4F13"/>
    <w:rsid w:val="002D5337"/>
    <w:rsid w:val="002D57BE"/>
    <w:rsid w:val="002D5836"/>
    <w:rsid w:val="002D5BE4"/>
    <w:rsid w:val="002D5C26"/>
    <w:rsid w:val="002D621C"/>
    <w:rsid w:val="002D6669"/>
    <w:rsid w:val="002D68CD"/>
    <w:rsid w:val="002D694A"/>
    <w:rsid w:val="002D6AB3"/>
    <w:rsid w:val="002D6F66"/>
    <w:rsid w:val="002D7211"/>
    <w:rsid w:val="002D766A"/>
    <w:rsid w:val="002D7792"/>
    <w:rsid w:val="002D7B67"/>
    <w:rsid w:val="002E0056"/>
    <w:rsid w:val="002E032C"/>
    <w:rsid w:val="002E0416"/>
    <w:rsid w:val="002E041B"/>
    <w:rsid w:val="002E04C9"/>
    <w:rsid w:val="002E098E"/>
    <w:rsid w:val="002E0ACD"/>
    <w:rsid w:val="002E0F4C"/>
    <w:rsid w:val="002E1185"/>
    <w:rsid w:val="002E1432"/>
    <w:rsid w:val="002E186C"/>
    <w:rsid w:val="002E194D"/>
    <w:rsid w:val="002E1BA8"/>
    <w:rsid w:val="002E1C5A"/>
    <w:rsid w:val="002E2123"/>
    <w:rsid w:val="002E22ED"/>
    <w:rsid w:val="002E240E"/>
    <w:rsid w:val="002E2635"/>
    <w:rsid w:val="002E26C3"/>
    <w:rsid w:val="002E3157"/>
    <w:rsid w:val="002E319C"/>
    <w:rsid w:val="002E331E"/>
    <w:rsid w:val="002E3466"/>
    <w:rsid w:val="002E36E4"/>
    <w:rsid w:val="002E3D52"/>
    <w:rsid w:val="002E4123"/>
    <w:rsid w:val="002E45A9"/>
    <w:rsid w:val="002E4825"/>
    <w:rsid w:val="002E49AE"/>
    <w:rsid w:val="002E4DC0"/>
    <w:rsid w:val="002E50E8"/>
    <w:rsid w:val="002E5236"/>
    <w:rsid w:val="002E5374"/>
    <w:rsid w:val="002E5670"/>
    <w:rsid w:val="002E57E8"/>
    <w:rsid w:val="002E5B5F"/>
    <w:rsid w:val="002E5CA4"/>
    <w:rsid w:val="002E5F12"/>
    <w:rsid w:val="002E5F76"/>
    <w:rsid w:val="002E5FDA"/>
    <w:rsid w:val="002E61AC"/>
    <w:rsid w:val="002E672C"/>
    <w:rsid w:val="002E673A"/>
    <w:rsid w:val="002E67A1"/>
    <w:rsid w:val="002E67F5"/>
    <w:rsid w:val="002E6890"/>
    <w:rsid w:val="002E6E26"/>
    <w:rsid w:val="002E6FFA"/>
    <w:rsid w:val="002E7045"/>
    <w:rsid w:val="002E70F4"/>
    <w:rsid w:val="002E78A2"/>
    <w:rsid w:val="002E79B6"/>
    <w:rsid w:val="002E7AC4"/>
    <w:rsid w:val="002E7C7C"/>
    <w:rsid w:val="002E7D18"/>
    <w:rsid w:val="002E7DA5"/>
    <w:rsid w:val="002E7E36"/>
    <w:rsid w:val="002E7F2D"/>
    <w:rsid w:val="002F0005"/>
    <w:rsid w:val="002F01F2"/>
    <w:rsid w:val="002F021B"/>
    <w:rsid w:val="002F0360"/>
    <w:rsid w:val="002F03E2"/>
    <w:rsid w:val="002F049F"/>
    <w:rsid w:val="002F0569"/>
    <w:rsid w:val="002F05BE"/>
    <w:rsid w:val="002F06C0"/>
    <w:rsid w:val="002F0B8B"/>
    <w:rsid w:val="002F0C1F"/>
    <w:rsid w:val="002F105D"/>
    <w:rsid w:val="002F1540"/>
    <w:rsid w:val="002F15DA"/>
    <w:rsid w:val="002F17FB"/>
    <w:rsid w:val="002F1816"/>
    <w:rsid w:val="002F1A4D"/>
    <w:rsid w:val="002F1B8E"/>
    <w:rsid w:val="002F1E8D"/>
    <w:rsid w:val="002F222E"/>
    <w:rsid w:val="002F235E"/>
    <w:rsid w:val="002F2363"/>
    <w:rsid w:val="002F2517"/>
    <w:rsid w:val="002F268E"/>
    <w:rsid w:val="002F2CBB"/>
    <w:rsid w:val="002F2CE8"/>
    <w:rsid w:val="002F2E18"/>
    <w:rsid w:val="002F3339"/>
    <w:rsid w:val="002F34D5"/>
    <w:rsid w:val="002F3913"/>
    <w:rsid w:val="002F3D95"/>
    <w:rsid w:val="002F3EA6"/>
    <w:rsid w:val="002F3ED2"/>
    <w:rsid w:val="002F4447"/>
    <w:rsid w:val="002F4454"/>
    <w:rsid w:val="002F45EB"/>
    <w:rsid w:val="002F4DC0"/>
    <w:rsid w:val="002F4E2B"/>
    <w:rsid w:val="002F503C"/>
    <w:rsid w:val="002F5053"/>
    <w:rsid w:val="002F545D"/>
    <w:rsid w:val="002F5544"/>
    <w:rsid w:val="002F5613"/>
    <w:rsid w:val="002F590B"/>
    <w:rsid w:val="002F5B3D"/>
    <w:rsid w:val="002F5C33"/>
    <w:rsid w:val="002F5DDC"/>
    <w:rsid w:val="002F5F11"/>
    <w:rsid w:val="002F60EB"/>
    <w:rsid w:val="002F6348"/>
    <w:rsid w:val="002F644B"/>
    <w:rsid w:val="002F6639"/>
    <w:rsid w:val="002F6A4B"/>
    <w:rsid w:val="002F6CD2"/>
    <w:rsid w:val="002F6E90"/>
    <w:rsid w:val="002F70F8"/>
    <w:rsid w:val="002F75A9"/>
    <w:rsid w:val="002F7759"/>
    <w:rsid w:val="002F7ACD"/>
    <w:rsid w:val="002F7AFC"/>
    <w:rsid w:val="0030050F"/>
    <w:rsid w:val="003007C4"/>
    <w:rsid w:val="00300915"/>
    <w:rsid w:val="00300C0E"/>
    <w:rsid w:val="00300E67"/>
    <w:rsid w:val="00300F19"/>
    <w:rsid w:val="003012DC"/>
    <w:rsid w:val="00301410"/>
    <w:rsid w:val="00301A56"/>
    <w:rsid w:val="00301BFE"/>
    <w:rsid w:val="00301DA7"/>
    <w:rsid w:val="00302687"/>
    <w:rsid w:val="00302A68"/>
    <w:rsid w:val="00302AE8"/>
    <w:rsid w:val="00302EC3"/>
    <w:rsid w:val="0030306D"/>
    <w:rsid w:val="003032FA"/>
    <w:rsid w:val="00303366"/>
    <w:rsid w:val="00303466"/>
    <w:rsid w:val="003034DE"/>
    <w:rsid w:val="00303526"/>
    <w:rsid w:val="0030358B"/>
    <w:rsid w:val="003035B4"/>
    <w:rsid w:val="003036FB"/>
    <w:rsid w:val="0030375A"/>
    <w:rsid w:val="003037E6"/>
    <w:rsid w:val="00303A6A"/>
    <w:rsid w:val="00303CCB"/>
    <w:rsid w:val="00303D4B"/>
    <w:rsid w:val="00303D7A"/>
    <w:rsid w:val="00303E71"/>
    <w:rsid w:val="00304266"/>
    <w:rsid w:val="0030426F"/>
    <w:rsid w:val="0030470C"/>
    <w:rsid w:val="00304A5A"/>
    <w:rsid w:val="00304A94"/>
    <w:rsid w:val="00304AA3"/>
    <w:rsid w:val="00304CD0"/>
    <w:rsid w:val="00304F5E"/>
    <w:rsid w:val="00304FFD"/>
    <w:rsid w:val="00305049"/>
    <w:rsid w:val="0030504D"/>
    <w:rsid w:val="003050A6"/>
    <w:rsid w:val="0030510B"/>
    <w:rsid w:val="003051E0"/>
    <w:rsid w:val="0030536E"/>
    <w:rsid w:val="003053D2"/>
    <w:rsid w:val="0030541F"/>
    <w:rsid w:val="00305DEC"/>
    <w:rsid w:val="00305E48"/>
    <w:rsid w:val="00305EEC"/>
    <w:rsid w:val="00305F32"/>
    <w:rsid w:val="00305FDC"/>
    <w:rsid w:val="003060E2"/>
    <w:rsid w:val="0030622D"/>
    <w:rsid w:val="00306276"/>
    <w:rsid w:val="003069C5"/>
    <w:rsid w:val="003071EC"/>
    <w:rsid w:val="003078DC"/>
    <w:rsid w:val="00307CA9"/>
    <w:rsid w:val="00307D3D"/>
    <w:rsid w:val="00307D95"/>
    <w:rsid w:val="00307EE5"/>
    <w:rsid w:val="00310288"/>
    <w:rsid w:val="0031054E"/>
    <w:rsid w:val="0031097C"/>
    <w:rsid w:val="003109D3"/>
    <w:rsid w:val="00310A5E"/>
    <w:rsid w:val="00310B73"/>
    <w:rsid w:val="00310D90"/>
    <w:rsid w:val="00311032"/>
    <w:rsid w:val="003112D2"/>
    <w:rsid w:val="00311546"/>
    <w:rsid w:val="00311548"/>
    <w:rsid w:val="00311C20"/>
    <w:rsid w:val="00311C5F"/>
    <w:rsid w:val="00311C84"/>
    <w:rsid w:val="00311EE0"/>
    <w:rsid w:val="003121E1"/>
    <w:rsid w:val="003122C7"/>
    <w:rsid w:val="00312735"/>
    <w:rsid w:val="00312C3A"/>
    <w:rsid w:val="00312C40"/>
    <w:rsid w:val="00312DEF"/>
    <w:rsid w:val="0031309A"/>
    <w:rsid w:val="003135F9"/>
    <w:rsid w:val="00313A5D"/>
    <w:rsid w:val="00313AE8"/>
    <w:rsid w:val="00313B8D"/>
    <w:rsid w:val="00313D13"/>
    <w:rsid w:val="00313FA1"/>
    <w:rsid w:val="003140A2"/>
    <w:rsid w:val="003146F8"/>
    <w:rsid w:val="00314836"/>
    <w:rsid w:val="00314900"/>
    <w:rsid w:val="00314BDB"/>
    <w:rsid w:val="00314DF1"/>
    <w:rsid w:val="0031503A"/>
    <w:rsid w:val="0031545C"/>
    <w:rsid w:val="0031565E"/>
    <w:rsid w:val="00315943"/>
    <w:rsid w:val="003159C8"/>
    <w:rsid w:val="00315B75"/>
    <w:rsid w:val="00315C0F"/>
    <w:rsid w:val="003160B6"/>
    <w:rsid w:val="00316134"/>
    <w:rsid w:val="00316181"/>
    <w:rsid w:val="00316433"/>
    <w:rsid w:val="0031691C"/>
    <w:rsid w:val="00316EC5"/>
    <w:rsid w:val="00316F60"/>
    <w:rsid w:val="00317105"/>
    <w:rsid w:val="00317190"/>
    <w:rsid w:val="003172B3"/>
    <w:rsid w:val="003174E1"/>
    <w:rsid w:val="0031775B"/>
    <w:rsid w:val="003178E2"/>
    <w:rsid w:val="00320052"/>
    <w:rsid w:val="00320264"/>
    <w:rsid w:val="00320362"/>
    <w:rsid w:val="003203A1"/>
    <w:rsid w:val="0032043F"/>
    <w:rsid w:val="003209F2"/>
    <w:rsid w:val="00320D7A"/>
    <w:rsid w:val="003213B6"/>
    <w:rsid w:val="00321541"/>
    <w:rsid w:val="003219CC"/>
    <w:rsid w:val="00321BCE"/>
    <w:rsid w:val="00321E54"/>
    <w:rsid w:val="0032201C"/>
    <w:rsid w:val="003222E8"/>
    <w:rsid w:val="00322318"/>
    <w:rsid w:val="00322654"/>
    <w:rsid w:val="00322979"/>
    <w:rsid w:val="00322989"/>
    <w:rsid w:val="00322A30"/>
    <w:rsid w:val="00322AA1"/>
    <w:rsid w:val="00322BD1"/>
    <w:rsid w:val="00322C28"/>
    <w:rsid w:val="00323234"/>
    <w:rsid w:val="003236D6"/>
    <w:rsid w:val="0032384C"/>
    <w:rsid w:val="00323A1B"/>
    <w:rsid w:val="00323B62"/>
    <w:rsid w:val="00323D37"/>
    <w:rsid w:val="00323D64"/>
    <w:rsid w:val="00323FE3"/>
    <w:rsid w:val="00324284"/>
    <w:rsid w:val="00324347"/>
    <w:rsid w:val="0032434F"/>
    <w:rsid w:val="00324688"/>
    <w:rsid w:val="00324945"/>
    <w:rsid w:val="003249AA"/>
    <w:rsid w:val="00324A95"/>
    <w:rsid w:val="00324C56"/>
    <w:rsid w:val="00325049"/>
    <w:rsid w:val="0032511C"/>
    <w:rsid w:val="00325688"/>
    <w:rsid w:val="0032589E"/>
    <w:rsid w:val="00325E54"/>
    <w:rsid w:val="00325E5C"/>
    <w:rsid w:val="003261EC"/>
    <w:rsid w:val="0032640C"/>
    <w:rsid w:val="003266BB"/>
    <w:rsid w:val="003267C2"/>
    <w:rsid w:val="003269AD"/>
    <w:rsid w:val="00326B10"/>
    <w:rsid w:val="00326FAB"/>
    <w:rsid w:val="003270BD"/>
    <w:rsid w:val="00327CEE"/>
    <w:rsid w:val="0033011F"/>
    <w:rsid w:val="003306B3"/>
    <w:rsid w:val="00330ABC"/>
    <w:rsid w:val="00330C70"/>
    <w:rsid w:val="00331095"/>
    <w:rsid w:val="003311B3"/>
    <w:rsid w:val="003312E7"/>
    <w:rsid w:val="0033153D"/>
    <w:rsid w:val="003319EB"/>
    <w:rsid w:val="00331A60"/>
    <w:rsid w:val="00331B9B"/>
    <w:rsid w:val="00331C5F"/>
    <w:rsid w:val="00332075"/>
    <w:rsid w:val="0033216D"/>
    <w:rsid w:val="0033229A"/>
    <w:rsid w:val="003329B1"/>
    <w:rsid w:val="00332B71"/>
    <w:rsid w:val="00332BDA"/>
    <w:rsid w:val="003333C0"/>
    <w:rsid w:val="0033360D"/>
    <w:rsid w:val="00333814"/>
    <w:rsid w:val="00333832"/>
    <w:rsid w:val="0033384D"/>
    <w:rsid w:val="00333887"/>
    <w:rsid w:val="0033409E"/>
    <w:rsid w:val="003342B4"/>
    <w:rsid w:val="003345BE"/>
    <w:rsid w:val="003345F7"/>
    <w:rsid w:val="00334614"/>
    <w:rsid w:val="003348C5"/>
    <w:rsid w:val="00334DB4"/>
    <w:rsid w:val="00334F0E"/>
    <w:rsid w:val="00334F89"/>
    <w:rsid w:val="00335381"/>
    <w:rsid w:val="0033550F"/>
    <w:rsid w:val="00335645"/>
    <w:rsid w:val="003356C8"/>
    <w:rsid w:val="003356CE"/>
    <w:rsid w:val="0033590A"/>
    <w:rsid w:val="00335B39"/>
    <w:rsid w:val="00335C48"/>
    <w:rsid w:val="00335D86"/>
    <w:rsid w:val="00335E1B"/>
    <w:rsid w:val="00336571"/>
    <w:rsid w:val="00336927"/>
    <w:rsid w:val="00336AED"/>
    <w:rsid w:val="00336BA4"/>
    <w:rsid w:val="00336C47"/>
    <w:rsid w:val="00336EC9"/>
    <w:rsid w:val="00337260"/>
    <w:rsid w:val="003374EF"/>
    <w:rsid w:val="0033764B"/>
    <w:rsid w:val="003379F0"/>
    <w:rsid w:val="00340DB3"/>
    <w:rsid w:val="00340F2C"/>
    <w:rsid w:val="003412FE"/>
    <w:rsid w:val="0034157C"/>
    <w:rsid w:val="00341BA0"/>
    <w:rsid w:val="00341C9C"/>
    <w:rsid w:val="00341D79"/>
    <w:rsid w:val="00341D7D"/>
    <w:rsid w:val="003420EB"/>
    <w:rsid w:val="00342187"/>
    <w:rsid w:val="003425AA"/>
    <w:rsid w:val="003425FB"/>
    <w:rsid w:val="00342E84"/>
    <w:rsid w:val="003431B4"/>
    <w:rsid w:val="003434F1"/>
    <w:rsid w:val="00343502"/>
    <w:rsid w:val="00343510"/>
    <w:rsid w:val="00343D82"/>
    <w:rsid w:val="00343DD7"/>
    <w:rsid w:val="00344157"/>
    <w:rsid w:val="00344308"/>
    <w:rsid w:val="00344325"/>
    <w:rsid w:val="0034434D"/>
    <w:rsid w:val="003445F7"/>
    <w:rsid w:val="0034464C"/>
    <w:rsid w:val="00344A8E"/>
    <w:rsid w:val="00344AC1"/>
    <w:rsid w:val="00344BCE"/>
    <w:rsid w:val="00344D56"/>
    <w:rsid w:val="00344DD1"/>
    <w:rsid w:val="00345115"/>
    <w:rsid w:val="00345158"/>
    <w:rsid w:val="0034537E"/>
    <w:rsid w:val="0034565B"/>
    <w:rsid w:val="00345CDF"/>
    <w:rsid w:val="00345E08"/>
    <w:rsid w:val="0034619C"/>
    <w:rsid w:val="00346264"/>
    <w:rsid w:val="00346309"/>
    <w:rsid w:val="00346324"/>
    <w:rsid w:val="00346328"/>
    <w:rsid w:val="0034648A"/>
    <w:rsid w:val="00346E2C"/>
    <w:rsid w:val="00346EE1"/>
    <w:rsid w:val="0034708E"/>
    <w:rsid w:val="003479FE"/>
    <w:rsid w:val="00347A64"/>
    <w:rsid w:val="00347D63"/>
    <w:rsid w:val="00347E07"/>
    <w:rsid w:val="00347E5B"/>
    <w:rsid w:val="00347EC7"/>
    <w:rsid w:val="0035061C"/>
    <w:rsid w:val="0035097C"/>
    <w:rsid w:val="00350AD5"/>
    <w:rsid w:val="00350B4F"/>
    <w:rsid w:val="00350E89"/>
    <w:rsid w:val="00350E9B"/>
    <w:rsid w:val="00351170"/>
    <w:rsid w:val="00351176"/>
    <w:rsid w:val="00351447"/>
    <w:rsid w:val="003514C0"/>
    <w:rsid w:val="00351537"/>
    <w:rsid w:val="00351662"/>
    <w:rsid w:val="003518EE"/>
    <w:rsid w:val="00351B38"/>
    <w:rsid w:val="00352054"/>
    <w:rsid w:val="00352147"/>
    <w:rsid w:val="0035225C"/>
    <w:rsid w:val="003522D9"/>
    <w:rsid w:val="00352418"/>
    <w:rsid w:val="003524D5"/>
    <w:rsid w:val="003525AA"/>
    <w:rsid w:val="003525BD"/>
    <w:rsid w:val="003525DB"/>
    <w:rsid w:val="003526F9"/>
    <w:rsid w:val="0035293D"/>
    <w:rsid w:val="00352970"/>
    <w:rsid w:val="00352C85"/>
    <w:rsid w:val="003533C7"/>
    <w:rsid w:val="00353535"/>
    <w:rsid w:val="00353561"/>
    <w:rsid w:val="003536BF"/>
    <w:rsid w:val="003538BB"/>
    <w:rsid w:val="00353B49"/>
    <w:rsid w:val="0035458B"/>
    <w:rsid w:val="003545D7"/>
    <w:rsid w:val="00354831"/>
    <w:rsid w:val="00354834"/>
    <w:rsid w:val="00354BEC"/>
    <w:rsid w:val="003550E7"/>
    <w:rsid w:val="00355145"/>
    <w:rsid w:val="003551B4"/>
    <w:rsid w:val="0035546E"/>
    <w:rsid w:val="00355657"/>
    <w:rsid w:val="0035568C"/>
    <w:rsid w:val="003557CE"/>
    <w:rsid w:val="003559B9"/>
    <w:rsid w:val="00355A1B"/>
    <w:rsid w:val="00355ABE"/>
    <w:rsid w:val="00355BF7"/>
    <w:rsid w:val="00355F03"/>
    <w:rsid w:val="00356014"/>
    <w:rsid w:val="00356137"/>
    <w:rsid w:val="003562A6"/>
    <w:rsid w:val="003562B3"/>
    <w:rsid w:val="00356589"/>
    <w:rsid w:val="003565E6"/>
    <w:rsid w:val="003566CB"/>
    <w:rsid w:val="00356736"/>
    <w:rsid w:val="00356B38"/>
    <w:rsid w:val="00356B6F"/>
    <w:rsid w:val="00356F33"/>
    <w:rsid w:val="00357461"/>
    <w:rsid w:val="00357656"/>
    <w:rsid w:val="0035787D"/>
    <w:rsid w:val="0035793F"/>
    <w:rsid w:val="003579D2"/>
    <w:rsid w:val="00357AC9"/>
    <w:rsid w:val="00357BE5"/>
    <w:rsid w:val="00357CCD"/>
    <w:rsid w:val="00357F2B"/>
    <w:rsid w:val="00357F38"/>
    <w:rsid w:val="00360216"/>
    <w:rsid w:val="00360220"/>
    <w:rsid w:val="003602D2"/>
    <w:rsid w:val="0036033F"/>
    <w:rsid w:val="0036063F"/>
    <w:rsid w:val="0036080D"/>
    <w:rsid w:val="0036082C"/>
    <w:rsid w:val="00360839"/>
    <w:rsid w:val="003610D3"/>
    <w:rsid w:val="003612E0"/>
    <w:rsid w:val="0036144A"/>
    <w:rsid w:val="00361577"/>
    <w:rsid w:val="00361746"/>
    <w:rsid w:val="00361747"/>
    <w:rsid w:val="00361788"/>
    <w:rsid w:val="00361842"/>
    <w:rsid w:val="0036195B"/>
    <w:rsid w:val="00361D86"/>
    <w:rsid w:val="00362069"/>
    <w:rsid w:val="003620A1"/>
    <w:rsid w:val="003622A5"/>
    <w:rsid w:val="00362707"/>
    <w:rsid w:val="0036285D"/>
    <w:rsid w:val="00362BE9"/>
    <w:rsid w:val="00362DC6"/>
    <w:rsid w:val="00362F15"/>
    <w:rsid w:val="00363090"/>
    <w:rsid w:val="0036337D"/>
    <w:rsid w:val="00363869"/>
    <w:rsid w:val="003639B3"/>
    <w:rsid w:val="003640BE"/>
    <w:rsid w:val="003642E1"/>
    <w:rsid w:val="00364A4B"/>
    <w:rsid w:val="00364C6D"/>
    <w:rsid w:val="00364CAB"/>
    <w:rsid w:val="003652E7"/>
    <w:rsid w:val="0036546F"/>
    <w:rsid w:val="003655F4"/>
    <w:rsid w:val="00365AC6"/>
    <w:rsid w:val="00365C4E"/>
    <w:rsid w:val="00365DB7"/>
    <w:rsid w:val="00366161"/>
    <w:rsid w:val="003662FC"/>
    <w:rsid w:val="0036641D"/>
    <w:rsid w:val="003666EB"/>
    <w:rsid w:val="00366843"/>
    <w:rsid w:val="0036684A"/>
    <w:rsid w:val="003668C1"/>
    <w:rsid w:val="00366BC4"/>
    <w:rsid w:val="003675DF"/>
    <w:rsid w:val="003678F1"/>
    <w:rsid w:val="00367A00"/>
    <w:rsid w:val="00367A17"/>
    <w:rsid w:val="00367A4D"/>
    <w:rsid w:val="00367C03"/>
    <w:rsid w:val="00367CAE"/>
    <w:rsid w:val="00367DB2"/>
    <w:rsid w:val="00367E01"/>
    <w:rsid w:val="00367F69"/>
    <w:rsid w:val="00370BDC"/>
    <w:rsid w:val="00370F31"/>
    <w:rsid w:val="0037156F"/>
    <w:rsid w:val="00371578"/>
    <w:rsid w:val="0037168F"/>
    <w:rsid w:val="0037194C"/>
    <w:rsid w:val="00371A3D"/>
    <w:rsid w:val="00372111"/>
    <w:rsid w:val="00372232"/>
    <w:rsid w:val="003722A8"/>
    <w:rsid w:val="003724F9"/>
    <w:rsid w:val="003728BF"/>
    <w:rsid w:val="00372B94"/>
    <w:rsid w:val="00372C61"/>
    <w:rsid w:val="003731DA"/>
    <w:rsid w:val="0037323F"/>
    <w:rsid w:val="0037353B"/>
    <w:rsid w:val="003736CC"/>
    <w:rsid w:val="00373982"/>
    <w:rsid w:val="003739C1"/>
    <w:rsid w:val="003739FB"/>
    <w:rsid w:val="00373C17"/>
    <w:rsid w:val="00373DD4"/>
    <w:rsid w:val="00373EEA"/>
    <w:rsid w:val="00374058"/>
    <w:rsid w:val="003742ED"/>
    <w:rsid w:val="00374433"/>
    <w:rsid w:val="00374516"/>
    <w:rsid w:val="003745B5"/>
    <w:rsid w:val="00374979"/>
    <w:rsid w:val="00374A65"/>
    <w:rsid w:val="00374B63"/>
    <w:rsid w:val="00374BE5"/>
    <w:rsid w:val="00374C76"/>
    <w:rsid w:val="00374DF8"/>
    <w:rsid w:val="00374EF2"/>
    <w:rsid w:val="00375085"/>
    <w:rsid w:val="00375EFA"/>
    <w:rsid w:val="00375EFC"/>
    <w:rsid w:val="003762F3"/>
    <w:rsid w:val="00376A19"/>
    <w:rsid w:val="00376C1D"/>
    <w:rsid w:val="0037720E"/>
    <w:rsid w:val="003775AB"/>
    <w:rsid w:val="00377F11"/>
    <w:rsid w:val="003802A2"/>
    <w:rsid w:val="0038051C"/>
    <w:rsid w:val="003805F1"/>
    <w:rsid w:val="003808AF"/>
    <w:rsid w:val="00380973"/>
    <w:rsid w:val="003809A1"/>
    <w:rsid w:val="00380A6E"/>
    <w:rsid w:val="00380A9D"/>
    <w:rsid w:val="00380ACF"/>
    <w:rsid w:val="00380D7B"/>
    <w:rsid w:val="00380DD8"/>
    <w:rsid w:val="00381026"/>
    <w:rsid w:val="003812CB"/>
    <w:rsid w:val="00381469"/>
    <w:rsid w:val="00381579"/>
    <w:rsid w:val="00381978"/>
    <w:rsid w:val="00381A11"/>
    <w:rsid w:val="00381A88"/>
    <w:rsid w:val="00381BFB"/>
    <w:rsid w:val="00381DA3"/>
    <w:rsid w:val="0038271B"/>
    <w:rsid w:val="00382B02"/>
    <w:rsid w:val="00383090"/>
    <w:rsid w:val="003837B0"/>
    <w:rsid w:val="0038392C"/>
    <w:rsid w:val="00383938"/>
    <w:rsid w:val="00383AEE"/>
    <w:rsid w:val="00383BE0"/>
    <w:rsid w:val="00383F91"/>
    <w:rsid w:val="003840E4"/>
    <w:rsid w:val="003840FE"/>
    <w:rsid w:val="00384586"/>
    <w:rsid w:val="00384697"/>
    <w:rsid w:val="003847DA"/>
    <w:rsid w:val="0038483D"/>
    <w:rsid w:val="003848F2"/>
    <w:rsid w:val="00384D1E"/>
    <w:rsid w:val="00384E17"/>
    <w:rsid w:val="00384E70"/>
    <w:rsid w:val="0038503E"/>
    <w:rsid w:val="00385127"/>
    <w:rsid w:val="00385682"/>
    <w:rsid w:val="00385B11"/>
    <w:rsid w:val="0038603D"/>
    <w:rsid w:val="003861B1"/>
    <w:rsid w:val="00386370"/>
    <w:rsid w:val="003863F2"/>
    <w:rsid w:val="00386481"/>
    <w:rsid w:val="0038660B"/>
    <w:rsid w:val="0038692A"/>
    <w:rsid w:val="00386D28"/>
    <w:rsid w:val="00386EAE"/>
    <w:rsid w:val="0038735D"/>
    <w:rsid w:val="003878DB"/>
    <w:rsid w:val="00387903"/>
    <w:rsid w:val="0038793D"/>
    <w:rsid w:val="00387CB3"/>
    <w:rsid w:val="00387EC5"/>
    <w:rsid w:val="00390185"/>
    <w:rsid w:val="003903DB"/>
    <w:rsid w:val="00390B96"/>
    <w:rsid w:val="00391003"/>
    <w:rsid w:val="00391494"/>
    <w:rsid w:val="003914A8"/>
    <w:rsid w:val="00391BB2"/>
    <w:rsid w:val="00391D55"/>
    <w:rsid w:val="00391E1E"/>
    <w:rsid w:val="003923EC"/>
    <w:rsid w:val="003926C8"/>
    <w:rsid w:val="003928FF"/>
    <w:rsid w:val="00392CE8"/>
    <w:rsid w:val="00392EAD"/>
    <w:rsid w:val="00392ED2"/>
    <w:rsid w:val="00392F00"/>
    <w:rsid w:val="00392F65"/>
    <w:rsid w:val="00392F8B"/>
    <w:rsid w:val="00393073"/>
    <w:rsid w:val="003930EC"/>
    <w:rsid w:val="003930F9"/>
    <w:rsid w:val="003934BE"/>
    <w:rsid w:val="0039355C"/>
    <w:rsid w:val="0039372E"/>
    <w:rsid w:val="0039376B"/>
    <w:rsid w:val="00393873"/>
    <w:rsid w:val="00393A0F"/>
    <w:rsid w:val="00393C41"/>
    <w:rsid w:val="00393E87"/>
    <w:rsid w:val="00393EBF"/>
    <w:rsid w:val="00394347"/>
    <w:rsid w:val="003945AE"/>
    <w:rsid w:val="00394A43"/>
    <w:rsid w:val="00394B6E"/>
    <w:rsid w:val="00394C1E"/>
    <w:rsid w:val="00395136"/>
    <w:rsid w:val="003953D2"/>
    <w:rsid w:val="0039631F"/>
    <w:rsid w:val="0039636C"/>
    <w:rsid w:val="00396407"/>
    <w:rsid w:val="00396A10"/>
    <w:rsid w:val="00396F62"/>
    <w:rsid w:val="0039724E"/>
    <w:rsid w:val="00397314"/>
    <w:rsid w:val="0039737B"/>
    <w:rsid w:val="00397C0D"/>
    <w:rsid w:val="00397CE9"/>
    <w:rsid w:val="00397E1C"/>
    <w:rsid w:val="00397EB2"/>
    <w:rsid w:val="00397F95"/>
    <w:rsid w:val="00397FC3"/>
    <w:rsid w:val="00397FFB"/>
    <w:rsid w:val="003A068D"/>
    <w:rsid w:val="003A0A7F"/>
    <w:rsid w:val="003A0FF3"/>
    <w:rsid w:val="003A15CF"/>
    <w:rsid w:val="003A15D4"/>
    <w:rsid w:val="003A1855"/>
    <w:rsid w:val="003A189F"/>
    <w:rsid w:val="003A191D"/>
    <w:rsid w:val="003A1A1D"/>
    <w:rsid w:val="003A1BC2"/>
    <w:rsid w:val="003A1C69"/>
    <w:rsid w:val="003A1EEF"/>
    <w:rsid w:val="003A21F5"/>
    <w:rsid w:val="003A25AF"/>
    <w:rsid w:val="003A269C"/>
    <w:rsid w:val="003A27DB"/>
    <w:rsid w:val="003A2862"/>
    <w:rsid w:val="003A2940"/>
    <w:rsid w:val="003A2985"/>
    <w:rsid w:val="003A2DCD"/>
    <w:rsid w:val="003A2EAD"/>
    <w:rsid w:val="003A3054"/>
    <w:rsid w:val="003A3087"/>
    <w:rsid w:val="003A3B68"/>
    <w:rsid w:val="003A3E65"/>
    <w:rsid w:val="003A3F3C"/>
    <w:rsid w:val="003A4077"/>
    <w:rsid w:val="003A42F3"/>
    <w:rsid w:val="003A4308"/>
    <w:rsid w:val="003A4840"/>
    <w:rsid w:val="003A4BDF"/>
    <w:rsid w:val="003A4C37"/>
    <w:rsid w:val="003A4DF3"/>
    <w:rsid w:val="003A4FB0"/>
    <w:rsid w:val="003A5701"/>
    <w:rsid w:val="003A5A75"/>
    <w:rsid w:val="003A5B5C"/>
    <w:rsid w:val="003A5B68"/>
    <w:rsid w:val="003A5BA5"/>
    <w:rsid w:val="003A5D9B"/>
    <w:rsid w:val="003A5EE9"/>
    <w:rsid w:val="003A6042"/>
    <w:rsid w:val="003A617C"/>
    <w:rsid w:val="003A63A6"/>
    <w:rsid w:val="003A64DC"/>
    <w:rsid w:val="003A6711"/>
    <w:rsid w:val="003A6762"/>
    <w:rsid w:val="003A6812"/>
    <w:rsid w:val="003A6C64"/>
    <w:rsid w:val="003A6D1A"/>
    <w:rsid w:val="003A719E"/>
    <w:rsid w:val="003A7248"/>
    <w:rsid w:val="003A75E5"/>
    <w:rsid w:val="003A79E2"/>
    <w:rsid w:val="003A7AC3"/>
    <w:rsid w:val="003A7C2E"/>
    <w:rsid w:val="003A7C3E"/>
    <w:rsid w:val="003A7CF0"/>
    <w:rsid w:val="003A7D68"/>
    <w:rsid w:val="003A7E13"/>
    <w:rsid w:val="003B0269"/>
    <w:rsid w:val="003B07C4"/>
    <w:rsid w:val="003B07EF"/>
    <w:rsid w:val="003B0861"/>
    <w:rsid w:val="003B0C6E"/>
    <w:rsid w:val="003B0D3B"/>
    <w:rsid w:val="003B0D67"/>
    <w:rsid w:val="003B1121"/>
    <w:rsid w:val="003B133B"/>
    <w:rsid w:val="003B1458"/>
    <w:rsid w:val="003B1A5F"/>
    <w:rsid w:val="003B1BF7"/>
    <w:rsid w:val="003B1ED6"/>
    <w:rsid w:val="003B2010"/>
    <w:rsid w:val="003B209C"/>
    <w:rsid w:val="003B223B"/>
    <w:rsid w:val="003B227D"/>
    <w:rsid w:val="003B26BD"/>
    <w:rsid w:val="003B26E4"/>
    <w:rsid w:val="003B2A62"/>
    <w:rsid w:val="003B2AF4"/>
    <w:rsid w:val="003B2CAF"/>
    <w:rsid w:val="003B2EF6"/>
    <w:rsid w:val="003B2F69"/>
    <w:rsid w:val="003B397E"/>
    <w:rsid w:val="003B39FC"/>
    <w:rsid w:val="003B3D0E"/>
    <w:rsid w:val="003B3DC1"/>
    <w:rsid w:val="003B40B7"/>
    <w:rsid w:val="003B4131"/>
    <w:rsid w:val="003B4254"/>
    <w:rsid w:val="003B4359"/>
    <w:rsid w:val="003B43F5"/>
    <w:rsid w:val="003B484A"/>
    <w:rsid w:val="003B48E5"/>
    <w:rsid w:val="003B48E6"/>
    <w:rsid w:val="003B493F"/>
    <w:rsid w:val="003B49F1"/>
    <w:rsid w:val="003B4CDE"/>
    <w:rsid w:val="003B4DA2"/>
    <w:rsid w:val="003B5081"/>
    <w:rsid w:val="003B50DC"/>
    <w:rsid w:val="003B511E"/>
    <w:rsid w:val="003B5226"/>
    <w:rsid w:val="003B551E"/>
    <w:rsid w:val="003B5667"/>
    <w:rsid w:val="003B59ED"/>
    <w:rsid w:val="003B6E7C"/>
    <w:rsid w:val="003B6FFE"/>
    <w:rsid w:val="003B7268"/>
    <w:rsid w:val="003B7568"/>
    <w:rsid w:val="003B77EB"/>
    <w:rsid w:val="003B7B82"/>
    <w:rsid w:val="003B7DE2"/>
    <w:rsid w:val="003C04DB"/>
    <w:rsid w:val="003C081F"/>
    <w:rsid w:val="003C0901"/>
    <w:rsid w:val="003C090F"/>
    <w:rsid w:val="003C0A86"/>
    <w:rsid w:val="003C0BA7"/>
    <w:rsid w:val="003C0FFD"/>
    <w:rsid w:val="003C1421"/>
    <w:rsid w:val="003C148D"/>
    <w:rsid w:val="003C14CC"/>
    <w:rsid w:val="003C189E"/>
    <w:rsid w:val="003C1A92"/>
    <w:rsid w:val="003C240C"/>
    <w:rsid w:val="003C245C"/>
    <w:rsid w:val="003C2655"/>
    <w:rsid w:val="003C265C"/>
    <w:rsid w:val="003C267D"/>
    <w:rsid w:val="003C281C"/>
    <w:rsid w:val="003C28AB"/>
    <w:rsid w:val="003C2919"/>
    <w:rsid w:val="003C2A4E"/>
    <w:rsid w:val="003C2ECB"/>
    <w:rsid w:val="003C3056"/>
    <w:rsid w:val="003C32A5"/>
    <w:rsid w:val="003C32BA"/>
    <w:rsid w:val="003C336D"/>
    <w:rsid w:val="003C39FD"/>
    <w:rsid w:val="003C3E98"/>
    <w:rsid w:val="003C40D8"/>
    <w:rsid w:val="003C4313"/>
    <w:rsid w:val="003C4414"/>
    <w:rsid w:val="003C44C7"/>
    <w:rsid w:val="003C4A6A"/>
    <w:rsid w:val="003C52C8"/>
    <w:rsid w:val="003C57BB"/>
    <w:rsid w:val="003C57E9"/>
    <w:rsid w:val="003C5838"/>
    <w:rsid w:val="003C5A8B"/>
    <w:rsid w:val="003C6059"/>
    <w:rsid w:val="003C6183"/>
    <w:rsid w:val="003C61C2"/>
    <w:rsid w:val="003C6228"/>
    <w:rsid w:val="003C62D4"/>
    <w:rsid w:val="003C6771"/>
    <w:rsid w:val="003C68D9"/>
    <w:rsid w:val="003C6CE7"/>
    <w:rsid w:val="003C6E85"/>
    <w:rsid w:val="003C6EC6"/>
    <w:rsid w:val="003C6EEF"/>
    <w:rsid w:val="003C7501"/>
    <w:rsid w:val="003C7690"/>
    <w:rsid w:val="003C7C8B"/>
    <w:rsid w:val="003C7D50"/>
    <w:rsid w:val="003D055E"/>
    <w:rsid w:val="003D0651"/>
    <w:rsid w:val="003D0AD2"/>
    <w:rsid w:val="003D0AF9"/>
    <w:rsid w:val="003D0CC7"/>
    <w:rsid w:val="003D0E5F"/>
    <w:rsid w:val="003D0FBC"/>
    <w:rsid w:val="003D1061"/>
    <w:rsid w:val="003D118B"/>
    <w:rsid w:val="003D125B"/>
    <w:rsid w:val="003D1400"/>
    <w:rsid w:val="003D1431"/>
    <w:rsid w:val="003D1655"/>
    <w:rsid w:val="003D1973"/>
    <w:rsid w:val="003D1B15"/>
    <w:rsid w:val="003D1F34"/>
    <w:rsid w:val="003D1FD6"/>
    <w:rsid w:val="003D21FA"/>
    <w:rsid w:val="003D2804"/>
    <w:rsid w:val="003D293E"/>
    <w:rsid w:val="003D2B69"/>
    <w:rsid w:val="003D30A5"/>
    <w:rsid w:val="003D372C"/>
    <w:rsid w:val="003D3840"/>
    <w:rsid w:val="003D3D04"/>
    <w:rsid w:val="003D40ED"/>
    <w:rsid w:val="003D428F"/>
    <w:rsid w:val="003D433F"/>
    <w:rsid w:val="003D45CD"/>
    <w:rsid w:val="003D45FC"/>
    <w:rsid w:val="003D4664"/>
    <w:rsid w:val="003D4739"/>
    <w:rsid w:val="003D4B70"/>
    <w:rsid w:val="003D50C6"/>
    <w:rsid w:val="003D5105"/>
    <w:rsid w:val="003D5109"/>
    <w:rsid w:val="003D51F1"/>
    <w:rsid w:val="003D52BA"/>
    <w:rsid w:val="003D5465"/>
    <w:rsid w:val="003D550F"/>
    <w:rsid w:val="003D5860"/>
    <w:rsid w:val="003D5C53"/>
    <w:rsid w:val="003D5C86"/>
    <w:rsid w:val="003D5E3F"/>
    <w:rsid w:val="003D5F1A"/>
    <w:rsid w:val="003D5F1D"/>
    <w:rsid w:val="003D6220"/>
    <w:rsid w:val="003D63FE"/>
    <w:rsid w:val="003D66BC"/>
    <w:rsid w:val="003D6726"/>
    <w:rsid w:val="003D674F"/>
    <w:rsid w:val="003D6791"/>
    <w:rsid w:val="003D77DF"/>
    <w:rsid w:val="003D79A1"/>
    <w:rsid w:val="003E0008"/>
    <w:rsid w:val="003E01ED"/>
    <w:rsid w:val="003E0A32"/>
    <w:rsid w:val="003E0B18"/>
    <w:rsid w:val="003E0BCD"/>
    <w:rsid w:val="003E0EEA"/>
    <w:rsid w:val="003E102D"/>
    <w:rsid w:val="003E1603"/>
    <w:rsid w:val="003E1AA4"/>
    <w:rsid w:val="003E1BF8"/>
    <w:rsid w:val="003E1CF5"/>
    <w:rsid w:val="003E20F5"/>
    <w:rsid w:val="003E2155"/>
    <w:rsid w:val="003E2607"/>
    <w:rsid w:val="003E2634"/>
    <w:rsid w:val="003E2822"/>
    <w:rsid w:val="003E2964"/>
    <w:rsid w:val="003E31E2"/>
    <w:rsid w:val="003E33CC"/>
    <w:rsid w:val="003E33E0"/>
    <w:rsid w:val="003E3493"/>
    <w:rsid w:val="003E3496"/>
    <w:rsid w:val="003E35AB"/>
    <w:rsid w:val="003E37EE"/>
    <w:rsid w:val="003E3867"/>
    <w:rsid w:val="003E3B4A"/>
    <w:rsid w:val="003E3C57"/>
    <w:rsid w:val="003E3EF2"/>
    <w:rsid w:val="003E41CF"/>
    <w:rsid w:val="003E4532"/>
    <w:rsid w:val="003E461F"/>
    <w:rsid w:val="003E47E8"/>
    <w:rsid w:val="003E4B13"/>
    <w:rsid w:val="003E4E73"/>
    <w:rsid w:val="003E4F6E"/>
    <w:rsid w:val="003E50A2"/>
    <w:rsid w:val="003E536A"/>
    <w:rsid w:val="003E53E1"/>
    <w:rsid w:val="003E5A42"/>
    <w:rsid w:val="003E5BBA"/>
    <w:rsid w:val="003E5C1C"/>
    <w:rsid w:val="003E5D72"/>
    <w:rsid w:val="003E5DB6"/>
    <w:rsid w:val="003E5E4B"/>
    <w:rsid w:val="003E5FDD"/>
    <w:rsid w:val="003E61AB"/>
    <w:rsid w:val="003E61B9"/>
    <w:rsid w:val="003E623A"/>
    <w:rsid w:val="003E627B"/>
    <w:rsid w:val="003E62B1"/>
    <w:rsid w:val="003E63A7"/>
    <w:rsid w:val="003E65C0"/>
    <w:rsid w:val="003E6B6B"/>
    <w:rsid w:val="003E6C9C"/>
    <w:rsid w:val="003E6E5D"/>
    <w:rsid w:val="003E6F16"/>
    <w:rsid w:val="003E702A"/>
    <w:rsid w:val="003E7044"/>
    <w:rsid w:val="003E727A"/>
    <w:rsid w:val="003E73E8"/>
    <w:rsid w:val="003E76B4"/>
    <w:rsid w:val="003E7705"/>
    <w:rsid w:val="003E77E6"/>
    <w:rsid w:val="003E7871"/>
    <w:rsid w:val="003F01A1"/>
    <w:rsid w:val="003F041A"/>
    <w:rsid w:val="003F0782"/>
    <w:rsid w:val="003F09A1"/>
    <w:rsid w:val="003F0BBE"/>
    <w:rsid w:val="003F0CE5"/>
    <w:rsid w:val="003F0D6E"/>
    <w:rsid w:val="003F0E95"/>
    <w:rsid w:val="003F0EB6"/>
    <w:rsid w:val="003F120D"/>
    <w:rsid w:val="003F137F"/>
    <w:rsid w:val="003F1B75"/>
    <w:rsid w:val="003F1BAA"/>
    <w:rsid w:val="003F1F59"/>
    <w:rsid w:val="003F1F7D"/>
    <w:rsid w:val="003F2183"/>
    <w:rsid w:val="003F22EF"/>
    <w:rsid w:val="003F239B"/>
    <w:rsid w:val="003F257B"/>
    <w:rsid w:val="003F2804"/>
    <w:rsid w:val="003F2BB8"/>
    <w:rsid w:val="003F3299"/>
    <w:rsid w:val="003F39DE"/>
    <w:rsid w:val="003F3BC1"/>
    <w:rsid w:val="003F405C"/>
    <w:rsid w:val="003F4227"/>
    <w:rsid w:val="003F4341"/>
    <w:rsid w:val="003F4850"/>
    <w:rsid w:val="003F48AA"/>
    <w:rsid w:val="003F4AD6"/>
    <w:rsid w:val="003F4B0E"/>
    <w:rsid w:val="003F4D7F"/>
    <w:rsid w:val="003F4D99"/>
    <w:rsid w:val="003F501A"/>
    <w:rsid w:val="003F5166"/>
    <w:rsid w:val="003F51FF"/>
    <w:rsid w:val="003F5474"/>
    <w:rsid w:val="003F557F"/>
    <w:rsid w:val="003F5AC4"/>
    <w:rsid w:val="003F62AE"/>
    <w:rsid w:val="003F66B2"/>
    <w:rsid w:val="003F674E"/>
    <w:rsid w:val="003F67A6"/>
    <w:rsid w:val="003F6AD1"/>
    <w:rsid w:val="003F6B1B"/>
    <w:rsid w:val="003F6E99"/>
    <w:rsid w:val="003F7029"/>
    <w:rsid w:val="003F70E4"/>
    <w:rsid w:val="003F7158"/>
    <w:rsid w:val="003F7313"/>
    <w:rsid w:val="003F76BD"/>
    <w:rsid w:val="003F7BC6"/>
    <w:rsid w:val="00400130"/>
    <w:rsid w:val="00400342"/>
    <w:rsid w:val="00400791"/>
    <w:rsid w:val="00400B6F"/>
    <w:rsid w:val="00400D13"/>
    <w:rsid w:val="00400D63"/>
    <w:rsid w:val="00400D66"/>
    <w:rsid w:val="00400DDF"/>
    <w:rsid w:val="00400F4E"/>
    <w:rsid w:val="00401067"/>
    <w:rsid w:val="00401285"/>
    <w:rsid w:val="00401400"/>
    <w:rsid w:val="0040146E"/>
    <w:rsid w:val="0040153B"/>
    <w:rsid w:val="00401931"/>
    <w:rsid w:val="0040197B"/>
    <w:rsid w:val="00401C41"/>
    <w:rsid w:val="00401C75"/>
    <w:rsid w:val="00401E23"/>
    <w:rsid w:val="00401EDA"/>
    <w:rsid w:val="0040211E"/>
    <w:rsid w:val="00402503"/>
    <w:rsid w:val="004029AA"/>
    <w:rsid w:val="00402A55"/>
    <w:rsid w:val="00402B67"/>
    <w:rsid w:val="00402F45"/>
    <w:rsid w:val="00403098"/>
    <w:rsid w:val="00403331"/>
    <w:rsid w:val="004034E0"/>
    <w:rsid w:val="00403514"/>
    <w:rsid w:val="00403726"/>
    <w:rsid w:val="00403AA4"/>
    <w:rsid w:val="00403AEE"/>
    <w:rsid w:val="00403BB0"/>
    <w:rsid w:val="00404B7D"/>
    <w:rsid w:val="0040505B"/>
    <w:rsid w:val="004051C6"/>
    <w:rsid w:val="00405301"/>
    <w:rsid w:val="0040533B"/>
    <w:rsid w:val="00405345"/>
    <w:rsid w:val="004053A0"/>
    <w:rsid w:val="0040553A"/>
    <w:rsid w:val="004057C7"/>
    <w:rsid w:val="00405BA4"/>
    <w:rsid w:val="00405C72"/>
    <w:rsid w:val="00405D9C"/>
    <w:rsid w:val="00405E53"/>
    <w:rsid w:val="00405F3A"/>
    <w:rsid w:val="004065BA"/>
    <w:rsid w:val="00406C84"/>
    <w:rsid w:val="00406C89"/>
    <w:rsid w:val="00406CD6"/>
    <w:rsid w:val="00406DA6"/>
    <w:rsid w:val="00406F9B"/>
    <w:rsid w:val="004071CC"/>
    <w:rsid w:val="00407235"/>
    <w:rsid w:val="0040731B"/>
    <w:rsid w:val="00407348"/>
    <w:rsid w:val="00407534"/>
    <w:rsid w:val="00410177"/>
    <w:rsid w:val="004107E0"/>
    <w:rsid w:val="00410AED"/>
    <w:rsid w:val="00410FBE"/>
    <w:rsid w:val="00411145"/>
    <w:rsid w:val="0041188B"/>
    <w:rsid w:val="00411A14"/>
    <w:rsid w:val="00412099"/>
    <w:rsid w:val="00412592"/>
    <w:rsid w:val="004125A8"/>
    <w:rsid w:val="004125EA"/>
    <w:rsid w:val="004125ED"/>
    <w:rsid w:val="0041275D"/>
    <w:rsid w:val="00412E09"/>
    <w:rsid w:val="00412E7E"/>
    <w:rsid w:val="00412E86"/>
    <w:rsid w:val="00412EA5"/>
    <w:rsid w:val="00412EAC"/>
    <w:rsid w:val="00412F25"/>
    <w:rsid w:val="00413874"/>
    <w:rsid w:val="00413AD6"/>
    <w:rsid w:val="004140A9"/>
    <w:rsid w:val="00414166"/>
    <w:rsid w:val="00414335"/>
    <w:rsid w:val="00414516"/>
    <w:rsid w:val="00414597"/>
    <w:rsid w:val="004147EC"/>
    <w:rsid w:val="00414A19"/>
    <w:rsid w:val="00414BC2"/>
    <w:rsid w:val="00414EA9"/>
    <w:rsid w:val="004150B6"/>
    <w:rsid w:val="004153FC"/>
    <w:rsid w:val="0041541B"/>
    <w:rsid w:val="00415496"/>
    <w:rsid w:val="00415725"/>
    <w:rsid w:val="004157C1"/>
    <w:rsid w:val="00415904"/>
    <w:rsid w:val="004159F8"/>
    <w:rsid w:val="00415CD5"/>
    <w:rsid w:val="0041600D"/>
    <w:rsid w:val="0041607B"/>
    <w:rsid w:val="00416413"/>
    <w:rsid w:val="00416512"/>
    <w:rsid w:val="004165E0"/>
    <w:rsid w:val="00416A5E"/>
    <w:rsid w:val="00416E9B"/>
    <w:rsid w:val="00417068"/>
    <w:rsid w:val="00417263"/>
    <w:rsid w:val="004173C0"/>
    <w:rsid w:val="0041760A"/>
    <w:rsid w:val="004178D6"/>
    <w:rsid w:val="00417952"/>
    <w:rsid w:val="00417A69"/>
    <w:rsid w:val="00417B3C"/>
    <w:rsid w:val="00417C13"/>
    <w:rsid w:val="00417C89"/>
    <w:rsid w:val="00417C99"/>
    <w:rsid w:val="00417D34"/>
    <w:rsid w:val="00417EA7"/>
    <w:rsid w:val="00417F7C"/>
    <w:rsid w:val="00420060"/>
    <w:rsid w:val="0042018F"/>
    <w:rsid w:val="0042088D"/>
    <w:rsid w:val="00420949"/>
    <w:rsid w:val="00420990"/>
    <w:rsid w:val="004209AD"/>
    <w:rsid w:val="00420AD5"/>
    <w:rsid w:val="00420B54"/>
    <w:rsid w:val="00420B70"/>
    <w:rsid w:val="00420CF6"/>
    <w:rsid w:val="00420EA3"/>
    <w:rsid w:val="004210EE"/>
    <w:rsid w:val="0042135A"/>
    <w:rsid w:val="00421365"/>
    <w:rsid w:val="004214EC"/>
    <w:rsid w:val="00421557"/>
    <w:rsid w:val="0042155F"/>
    <w:rsid w:val="00421867"/>
    <w:rsid w:val="00422927"/>
    <w:rsid w:val="00422AAD"/>
    <w:rsid w:val="00422BC1"/>
    <w:rsid w:val="00422BF5"/>
    <w:rsid w:val="00422F23"/>
    <w:rsid w:val="0042307B"/>
    <w:rsid w:val="004231AF"/>
    <w:rsid w:val="00423727"/>
    <w:rsid w:val="00423C46"/>
    <w:rsid w:val="00423F03"/>
    <w:rsid w:val="004241FE"/>
    <w:rsid w:val="0042429C"/>
    <w:rsid w:val="0042439F"/>
    <w:rsid w:val="00424551"/>
    <w:rsid w:val="004246F9"/>
    <w:rsid w:val="004247DF"/>
    <w:rsid w:val="004251EE"/>
    <w:rsid w:val="0042526E"/>
    <w:rsid w:val="00425ABA"/>
    <w:rsid w:val="00425C99"/>
    <w:rsid w:val="00425DB7"/>
    <w:rsid w:val="00425E37"/>
    <w:rsid w:val="004261FB"/>
    <w:rsid w:val="0042660B"/>
    <w:rsid w:val="00426B6F"/>
    <w:rsid w:val="00426BC1"/>
    <w:rsid w:val="00426F07"/>
    <w:rsid w:val="00426FE2"/>
    <w:rsid w:val="004277A2"/>
    <w:rsid w:val="004277DD"/>
    <w:rsid w:val="004278C8"/>
    <w:rsid w:val="0043014B"/>
    <w:rsid w:val="0043080B"/>
    <w:rsid w:val="00430C84"/>
    <w:rsid w:val="00430CF5"/>
    <w:rsid w:val="004310C1"/>
    <w:rsid w:val="004312EA"/>
    <w:rsid w:val="004314BD"/>
    <w:rsid w:val="004316C2"/>
    <w:rsid w:val="00431730"/>
    <w:rsid w:val="004318CF"/>
    <w:rsid w:val="00431A05"/>
    <w:rsid w:val="00431BDA"/>
    <w:rsid w:val="00431DC8"/>
    <w:rsid w:val="00431E7C"/>
    <w:rsid w:val="00431E8F"/>
    <w:rsid w:val="00432018"/>
    <w:rsid w:val="004320DC"/>
    <w:rsid w:val="00432108"/>
    <w:rsid w:val="00432152"/>
    <w:rsid w:val="00432220"/>
    <w:rsid w:val="004324CA"/>
    <w:rsid w:val="00432731"/>
    <w:rsid w:val="004329A1"/>
    <w:rsid w:val="00432D28"/>
    <w:rsid w:val="00432D6A"/>
    <w:rsid w:val="00432D82"/>
    <w:rsid w:val="00433158"/>
    <w:rsid w:val="004331CA"/>
    <w:rsid w:val="00433A00"/>
    <w:rsid w:val="00433AC0"/>
    <w:rsid w:val="00433C68"/>
    <w:rsid w:val="00433E5C"/>
    <w:rsid w:val="00434198"/>
    <w:rsid w:val="00434611"/>
    <w:rsid w:val="00434803"/>
    <w:rsid w:val="00434917"/>
    <w:rsid w:val="00434B01"/>
    <w:rsid w:val="00434C40"/>
    <w:rsid w:val="00434D93"/>
    <w:rsid w:val="00434E3B"/>
    <w:rsid w:val="00434F24"/>
    <w:rsid w:val="00434F30"/>
    <w:rsid w:val="00435392"/>
    <w:rsid w:val="0043546F"/>
    <w:rsid w:val="00435498"/>
    <w:rsid w:val="0043575C"/>
    <w:rsid w:val="00435800"/>
    <w:rsid w:val="00435DCE"/>
    <w:rsid w:val="00435E8A"/>
    <w:rsid w:val="004360CE"/>
    <w:rsid w:val="004361D7"/>
    <w:rsid w:val="004361F9"/>
    <w:rsid w:val="0043662A"/>
    <w:rsid w:val="00436790"/>
    <w:rsid w:val="00436862"/>
    <w:rsid w:val="00436883"/>
    <w:rsid w:val="0043697B"/>
    <w:rsid w:val="00436F6A"/>
    <w:rsid w:val="00437041"/>
    <w:rsid w:val="00437200"/>
    <w:rsid w:val="0043723D"/>
    <w:rsid w:val="004372EB"/>
    <w:rsid w:val="00437354"/>
    <w:rsid w:val="00437455"/>
    <w:rsid w:val="0043747B"/>
    <w:rsid w:val="004377CE"/>
    <w:rsid w:val="00437815"/>
    <w:rsid w:val="00437B7D"/>
    <w:rsid w:val="00437E6F"/>
    <w:rsid w:val="00437F73"/>
    <w:rsid w:val="004401DD"/>
    <w:rsid w:val="0044042B"/>
    <w:rsid w:val="00440909"/>
    <w:rsid w:val="00440C64"/>
    <w:rsid w:val="00440DEA"/>
    <w:rsid w:val="0044106E"/>
    <w:rsid w:val="004410E7"/>
    <w:rsid w:val="00441152"/>
    <w:rsid w:val="004411E1"/>
    <w:rsid w:val="004415C7"/>
    <w:rsid w:val="004415EF"/>
    <w:rsid w:val="00441976"/>
    <w:rsid w:val="00441A3F"/>
    <w:rsid w:val="00441A69"/>
    <w:rsid w:val="00441D5C"/>
    <w:rsid w:val="00441D5E"/>
    <w:rsid w:val="00441F28"/>
    <w:rsid w:val="00442309"/>
    <w:rsid w:val="00442418"/>
    <w:rsid w:val="0044256A"/>
    <w:rsid w:val="004425E4"/>
    <w:rsid w:val="004426AD"/>
    <w:rsid w:val="00442835"/>
    <w:rsid w:val="004429BD"/>
    <w:rsid w:val="00442A90"/>
    <w:rsid w:val="00442DD2"/>
    <w:rsid w:val="00442F7B"/>
    <w:rsid w:val="0044340A"/>
    <w:rsid w:val="00443758"/>
    <w:rsid w:val="00443B5D"/>
    <w:rsid w:val="00443DC3"/>
    <w:rsid w:val="00443FF0"/>
    <w:rsid w:val="0044419E"/>
    <w:rsid w:val="00444368"/>
    <w:rsid w:val="0044466F"/>
    <w:rsid w:val="00444670"/>
    <w:rsid w:val="004448ED"/>
    <w:rsid w:val="00444BC2"/>
    <w:rsid w:val="00445304"/>
    <w:rsid w:val="00445358"/>
    <w:rsid w:val="0044556A"/>
    <w:rsid w:val="00445C0D"/>
    <w:rsid w:val="00445DC6"/>
    <w:rsid w:val="00445E00"/>
    <w:rsid w:val="00446562"/>
    <w:rsid w:val="0044696A"/>
    <w:rsid w:val="00446B2E"/>
    <w:rsid w:val="00446D10"/>
    <w:rsid w:val="00446F55"/>
    <w:rsid w:val="00447138"/>
    <w:rsid w:val="004473DF"/>
    <w:rsid w:val="0044749A"/>
    <w:rsid w:val="004477BE"/>
    <w:rsid w:val="00447B06"/>
    <w:rsid w:val="00447B21"/>
    <w:rsid w:val="0045031E"/>
    <w:rsid w:val="00450400"/>
    <w:rsid w:val="00450421"/>
    <w:rsid w:val="0045042B"/>
    <w:rsid w:val="00450498"/>
    <w:rsid w:val="00450683"/>
    <w:rsid w:val="00450A09"/>
    <w:rsid w:val="00450D3F"/>
    <w:rsid w:val="00451176"/>
    <w:rsid w:val="00451776"/>
    <w:rsid w:val="004517EF"/>
    <w:rsid w:val="00451992"/>
    <w:rsid w:val="00451A53"/>
    <w:rsid w:val="00451C8F"/>
    <w:rsid w:val="00451D7A"/>
    <w:rsid w:val="00451FBE"/>
    <w:rsid w:val="00451FEF"/>
    <w:rsid w:val="004520F9"/>
    <w:rsid w:val="004523DD"/>
    <w:rsid w:val="0045277D"/>
    <w:rsid w:val="00452A56"/>
    <w:rsid w:val="00452DE0"/>
    <w:rsid w:val="00453102"/>
    <w:rsid w:val="00453272"/>
    <w:rsid w:val="00453B05"/>
    <w:rsid w:val="00453C5C"/>
    <w:rsid w:val="00453C6E"/>
    <w:rsid w:val="00453E34"/>
    <w:rsid w:val="004542B5"/>
    <w:rsid w:val="004542FA"/>
    <w:rsid w:val="00454464"/>
    <w:rsid w:val="004549CE"/>
    <w:rsid w:val="00454A41"/>
    <w:rsid w:val="00454B7C"/>
    <w:rsid w:val="00454CE7"/>
    <w:rsid w:val="00454E06"/>
    <w:rsid w:val="00454F65"/>
    <w:rsid w:val="004551E7"/>
    <w:rsid w:val="004556E6"/>
    <w:rsid w:val="0045591C"/>
    <w:rsid w:val="00455A95"/>
    <w:rsid w:val="00455AE0"/>
    <w:rsid w:val="00455D49"/>
    <w:rsid w:val="00455EAA"/>
    <w:rsid w:val="0045603B"/>
    <w:rsid w:val="00456442"/>
    <w:rsid w:val="00456809"/>
    <w:rsid w:val="00456A0F"/>
    <w:rsid w:val="00456DD6"/>
    <w:rsid w:val="00456F72"/>
    <w:rsid w:val="00456FD5"/>
    <w:rsid w:val="0045747B"/>
    <w:rsid w:val="00457945"/>
    <w:rsid w:val="00457A04"/>
    <w:rsid w:val="00457A8B"/>
    <w:rsid w:val="00457AFB"/>
    <w:rsid w:val="004602BD"/>
    <w:rsid w:val="004604B4"/>
    <w:rsid w:val="004608E2"/>
    <w:rsid w:val="00460B29"/>
    <w:rsid w:val="00460D87"/>
    <w:rsid w:val="00460E33"/>
    <w:rsid w:val="00461366"/>
    <w:rsid w:val="0046165F"/>
    <w:rsid w:val="00461896"/>
    <w:rsid w:val="00461FE6"/>
    <w:rsid w:val="004620F7"/>
    <w:rsid w:val="00462537"/>
    <w:rsid w:val="00462AAF"/>
    <w:rsid w:val="00462F37"/>
    <w:rsid w:val="0046309C"/>
    <w:rsid w:val="00463407"/>
    <w:rsid w:val="0046341C"/>
    <w:rsid w:val="004637AB"/>
    <w:rsid w:val="00463807"/>
    <w:rsid w:val="004638B3"/>
    <w:rsid w:val="004638EA"/>
    <w:rsid w:val="00463AC8"/>
    <w:rsid w:val="004641B4"/>
    <w:rsid w:val="004641E7"/>
    <w:rsid w:val="004647A2"/>
    <w:rsid w:val="004648E4"/>
    <w:rsid w:val="00464A86"/>
    <w:rsid w:val="00464B39"/>
    <w:rsid w:val="00464E7A"/>
    <w:rsid w:val="00465321"/>
    <w:rsid w:val="004653F6"/>
    <w:rsid w:val="00465846"/>
    <w:rsid w:val="00465887"/>
    <w:rsid w:val="00465E7E"/>
    <w:rsid w:val="00465F09"/>
    <w:rsid w:val="0046619E"/>
    <w:rsid w:val="00466305"/>
    <w:rsid w:val="00466540"/>
    <w:rsid w:val="00466757"/>
    <w:rsid w:val="004667F2"/>
    <w:rsid w:val="004669E8"/>
    <w:rsid w:val="00466B18"/>
    <w:rsid w:val="00466C2E"/>
    <w:rsid w:val="00466F12"/>
    <w:rsid w:val="00467015"/>
    <w:rsid w:val="004674A0"/>
    <w:rsid w:val="00467A7C"/>
    <w:rsid w:val="00467C82"/>
    <w:rsid w:val="00467FAD"/>
    <w:rsid w:val="004700D5"/>
    <w:rsid w:val="00470198"/>
    <w:rsid w:val="00470223"/>
    <w:rsid w:val="00470417"/>
    <w:rsid w:val="004705EA"/>
    <w:rsid w:val="00470976"/>
    <w:rsid w:val="00470A1D"/>
    <w:rsid w:val="00470D6F"/>
    <w:rsid w:val="00470EA1"/>
    <w:rsid w:val="00470EFD"/>
    <w:rsid w:val="00470F19"/>
    <w:rsid w:val="004710B3"/>
    <w:rsid w:val="0047128D"/>
    <w:rsid w:val="004713AE"/>
    <w:rsid w:val="00471437"/>
    <w:rsid w:val="00471481"/>
    <w:rsid w:val="00471651"/>
    <w:rsid w:val="00471858"/>
    <w:rsid w:val="00471AAF"/>
    <w:rsid w:val="004722B7"/>
    <w:rsid w:val="00472637"/>
    <w:rsid w:val="00472886"/>
    <w:rsid w:val="00472A2A"/>
    <w:rsid w:val="00472B97"/>
    <w:rsid w:val="004734E5"/>
    <w:rsid w:val="0047355B"/>
    <w:rsid w:val="00473875"/>
    <w:rsid w:val="004738CF"/>
    <w:rsid w:val="00473A0E"/>
    <w:rsid w:val="00473A53"/>
    <w:rsid w:val="00473AB2"/>
    <w:rsid w:val="00473B01"/>
    <w:rsid w:val="00473F81"/>
    <w:rsid w:val="00473FE0"/>
    <w:rsid w:val="004741A7"/>
    <w:rsid w:val="0047439A"/>
    <w:rsid w:val="0047452E"/>
    <w:rsid w:val="00474758"/>
    <w:rsid w:val="004749DE"/>
    <w:rsid w:val="00474D34"/>
    <w:rsid w:val="00474D7A"/>
    <w:rsid w:val="00474F49"/>
    <w:rsid w:val="004753D8"/>
    <w:rsid w:val="004754A9"/>
    <w:rsid w:val="004757F6"/>
    <w:rsid w:val="00475B88"/>
    <w:rsid w:val="00475DD3"/>
    <w:rsid w:val="00475F3C"/>
    <w:rsid w:val="00476070"/>
    <w:rsid w:val="004764F7"/>
    <w:rsid w:val="00476739"/>
    <w:rsid w:val="00476D55"/>
    <w:rsid w:val="004770A4"/>
    <w:rsid w:val="00477902"/>
    <w:rsid w:val="004779BB"/>
    <w:rsid w:val="00477BCF"/>
    <w:rsid w:val="00477DA9"/>
    <w:rsid w:val="00477E4C"/>
    <w:rsid w:val="00480377"/>
    <w:rsid w:val="00480B32"/>
    <w:rsid w:val="00480F46"/>
    <w:rsid w:val="004811EB"/>
    <w:rsid w:val="00481210"/>
    <w:rsid w:val="00481312"/>
    <w:rsid w:val="0048155C"/>
    <w:rsid w:val="0048161C"/>
    <w:rsid w:val="0048180E"/>
    <w:rsid w:val="00481842"/>
    <w:rsid w:val="00481AB1"/>
    <w:rsid w:val="00481CB5"/>
    <w:rsid w:val="00481FB6"/>
    <w:rsid w:val="00482053"/>
    <w:rsid w:val="00482231"/>
    <w:rsid w:val="004822CF"/>
    <w:rsid w:val="0048232F"/>
    <w:rsid w:val="0048234E"/>
    <w:rsid w:val="004823C3"/>
    <w:rsid w:val="004823D4"/>
    <w:rsid w:val="0048243A"/>
    <w:rsid w:val="00482928"/>
    <w:rsid w:val="0048334B"/>
    <w:rsid w:val="004833D2"/>
    <w:rsid w:val="004835C5"/>
    <w:rsid w:val="00483685"/>
    <w:rsid w:val="0048398A"/>
    <w:rsid w:val="004839A7"/>
    <w:rsid w:val="00483B89"/>
    <w:rsid w:val="00483F6F"/>
    <w:rsid w:val="004841AC"/>
    <w:rsid w:val="0048484E"/>
    <w:rsid w:val="004848BE"/>
    <w:rsid w:val="00484E05"/>
    <w:rsid w:val="004850C6"/>
    <w:rsid w:val="004850D8"/>
    <w:rsid w:val="004851AB"/>
    <w:rsid w:val="004852F6"/>
    <w:rsid w:val="00485371"/>
    <w:rsid w:val="004853B0"/>
    <w:rsid w:val="00485787"/>
    <w:rsid w:val="00485AC0"/>
    <w:rsid w:val="00485B2E"/>
    <w:rsid w:val="00485BD6"/>
    <w:rsid w:val="00485C1A"/>
    <w:rsid w:val="00485E61"/>
    <w:rsid w:val="00486074"/>
    <w:rsid w:val="00486377"/>
    <w:rsid w:val="0048665C"/>
    <w:rsid w:val="004866FC"/>
    <w:rsid w:val="004868B9"/>
    <w:rsid w:val="00486B11"/>
    <w:rsid w:val="00486B65"/>
    <w:rsid w:val="004870B3"/>
    <w:rsid w:val="00487506"/>
    <w:rsid w:val="004876B1"/>
    <w:rsid w:val="00487BEB"/>
    <w:rsid w:val="00487C93"/>
    <w:rsid w:val="00487CF5"/>
    <w:rsid w:val="00487DB2"/>
    <w:rsid w:val="00487F2C"/>
    <w:rsid w:val="004900B9"/>
    <w:rsid w:val="00490284"/>
    <w:rsid w:val="00490968"/>
    <w:rsid w:val="00490B6F"/>
    <w:rsid w:val="00490E5C"/>
    <w:rsid w:val="00491109"/>
    <w:rsid w:val="004919F4"/>
    <w:rsid w:val="00491A67"/>
    <w:rsid w:val="00491BCC"/>
    <w:rsid w:val="00491E36"/>
    <w:rsid w:val="00491F45"/>
    <w:rsid w:val="00491FED"/>
    <w:rsid w:val="004924CB"/>
    <w:rsid w:val="0049255C"/>
    <w:rsid w:val="00492766"/>
    <w:rsid w:val="004929C6"/>
    <w:rsid w:val="00492D81"/>
    <w:rsid w:val="00493307"/>
    <w:rsid w:val="00493364"/>
    <w:rsid w:val="004937FC"/>
    <w:rsid w:val="00493BE7"/>
    <w:rsid w:val="00493C00"/>
    <w:rsid w:val="004940E3"/>
    <w:rsid w:val="00494359"/>
    <w:rsid w:val="004943B7"/>
    <w:rsid w:val="004945A8"/>
    <w:rsid w:val="00494765"/>
    <w:rsid w:val="0049476B"/>
    <w:rsid w:val="004948A5"/>
    <w:rsid w:val="00494B60"/>
    <w:rsid w:val="004953B2"/>
    <w:rsid w:val="004955C1"/>
    <w:rsid w:val="004955C8"/>
    <w:rsid w:val="0049560F"/>
    <w:rsid w:val="004957C0"/>
    <w:rsid w:val="00495975"/>
    <w:rsid w:val="00495BC2"/>
    <w:rsid w:val="00495C60"/>
    <w:rsid w:val="00495D84"/>
    <w:rsid w:val="004960B0"/>
    <w:rsid w:val="004967ED"/>
    <w:rsid w:val="0049686C"/>
    <w:rsid w:val="00496B58"/>
    <w:rsid w:val="00496C66"/>
    <w:rsid w:val="00496CD4"/>
    <w:rsid w:val="00496D71"/>
    <w:rsid w:val="00496DA3"/>
    <w:rsid w:val="004973C1"/>
    <w:rsid w:val="004978D5"/>
    <w:rsid w:val="00497A71"/>
    <w:rsid w:val="00497AFB"/>
    <w:rsid w:val="00497C17"/>
    <w:rsid w:val="004A0049"/>
    <w:rsid w:val="004A0217"/>
    <w:rsid w:val="004A1372"/>
    <w:rsid w:val="004A1B09"/>
    <w:rsid w:val="004A20F6"/>
    <w:rsid w:val="004A27B2"/>
    <w:rsid w:val="004A2A2B"/>
    <w:rsid w:val="004A2B1E"/>
    <w:rsid w:val="004A2B43"/>
    <w:rsid w:val="004A307D"/>
    <w:rsid w:val="004A36A4"/>
    <w:rsid w:val="004A37A1"/>
    <w:rsid w:val="004A37A3"/>
    <w:rsid w:val="004A3E4B"/>
    <w:rsid w:val="004A3F80"/>
    <w:rsid w:val="004A4096"/>
    <w:rsid w:val="004A4314"/>
    <w:rsid w:val="004A43C7"/>
    <w:rsid w:val="004A45E4"/>
    <w:rsid w:val="004A45FE"/>
    <w:rsid w:val="004A4866"/>
    <w:rsid w:val="004A49DB"/>
    <w:rsid w:val="004A4D4A"/>
    <w:rsid w:val="004A51E2"/>
    <w:rsid w:val="004A5200"/>
    <w:rsid w:val="004A539A"/>
    <w:rsid w:val="004A56CB"/>
    <w:rsid w:val="004A58D3"/>
    <w:rsid w:val="004A5A86"/>
    <w:rsid w:val="004A5EAD"/>
    <w:rsid w:val="004A60B1"/>
    <w:rsid w:val="004A659A"/>
    <w:rsid w:val="004A6780"/>
    <w:rsid w:val="004A6888"/>
    <w:rsid w:val="004A6A8F"/>
    <w:rsid w:val="004A6D3A"/>
    <w:rsid w:val="004A6D4C"/>
    <w:rsid w:val="004A6DB6"/>
    <w:rsid w:val="004A6DBD"/>
    <w:rsid w:val="004A6EEF"/>
    <w:rsid w:val="004A700C"/>
    <w:rsid w:val="004A72C8"/>
    <w:rsid w:val="004A730D"/>
    <w:rsid w:val="004A7658"/>
    <w:rsid w:val="004A7891"/>
    <w:rsid w:val="004A7DA1"/>
    <w:rsid w:val="004B00B1"/>
    <w:rsid w:val="004B0527"/>
    <w:rsid w:val="004B091B"/>
    <w:rsid w:val="004B0A72"/>
    <w:rsid w:val="004B0B83"/>
    <w:rsid w:val="004B0CAA"/>
    <w:rsid w:val="004B0D75"/>
    <w:rsid w:val="004B0DCD"/>
    <w:rsid w:val="004B0DE3"/>
    <w:rsid w:val="004B106E"/>
    <w:rsid w:val="004B11C9"/>
    <w:rsid w:val="004B1C21"/>
    <w:rsid w:val="004B1F49"/>
    <w:rsid w:val="004B1F4E"/>
    <w:rsid w:val="004B1F93"/>
    <w:rsid w:val="004B20AE"/>
    <w:rsid w:val="004B230F"/>
    <w:rsid w:val="004B27B6"/>
    <w:rsid w:val="004B2803"/>
    <w:rsid w:val="004B29F2"/>
    <w:rsid w:val="004B29F8"/>
    <w:rsid w:val="004B31F8"/>
    <w:rsid w:val="004B3256"/>
    <w:rsid w:val="004B3581"/>
    <w:rsid w:val="004B37DE"/>
    <w:rsid w:val="004B3E6F"/>
    <w:rsid w:val="004B3F5E"/>
    <w:rsid w:val="004B479F"/>
    <w:rsid w:val="004B499F"/>
    <w:rsid w:val="004B4ACA"/>
    <w:rsid w:val="004B4BCF"/>
    <w:rsid w:val="004B4C02"/>
    <w:rsid w:val="004B4C43"/>
    <w:rsid w:val="004B4CE5"/>
    <w:rsid w:val="004B50A9"/>
    <w:rsid w:val="004B5206"/>
    <w:rsid w:val="004B5994"/>
    <w:rsid w:val="004B5A13"/>
    <w:rsid w:val="004B5B1F"/>
    <w:rsid w:val="004B5C1A"/>
    <w:rsid w:val="004B5DA5"/>
    <w:rsid w:val="004B6417"/>
    <w:rsid w:val="004B64B3"/>
    <w:rsid w:val="004B70F6"/>
    <w:rsid w:val="004B784E"/>
    <w:rsid w:val="004B7A58"/>
    <w:rsid w:val="004B7A8F"/>
    <w:rsid w:val="004B7FD4"/>
    <w:rsid w:val="004C0116"/>
    <w:rsid w:val="004C02FC"/>
    <w:rsid w:val="004C0322"/>
    <w:rsid w:val="004C04A1"/>
    <w:rsid w:val="004C0935"/>
    <w:rsid w:val="004C0CAC"/>
    <w:rsid w:val="004C1112"/>
    <w:rsid w:val="004C1188"/>
    <w:rsid w:val="004C1231"/>
    <w:rsid w:val="004C123D"/>
    <w:rsid w:val="004C132C"/>
    <w:rsid w:val="004C14A5"/>
    <w:rsid w:val="004C16D6"/>
    <w:rsid w:val="004C171C"/>
    <w:rsid w:val="004C17BE"/>
    <w:rsid w:val="004C1AC7"/>
    <w:rsid w:val="004C1B3B"/>
    <w:rsid w:val="004C1E42"/>
    <w:rsid w:val="004C1F27"/>
    <w:rsid w:val="004C21D9"/>
    <w:rsid w:val="004C2243"/>
    <w:rsid w:val="004C24BC"/>
    <w:rsid w:val="004C2C8C"/>
    <w:rsid w:val="004C2F1B"/>
    <w:rsid w:val="004C32CA"/>
    <w:rsid w:val="004C34FB"/>
    <w:rsid w:val="004C3670"/>
    <w:rsid w:val="004C369B"/>
    <w:rsid w:val="004C371F"/>
    <w:rsid w:val="004C3A06"/>
    <w:rsid w:val="004C3F20"/>
    <w:rsid w:val="004C405D"/>
    <w:rsid w:val="004C417D"/>
    <w:rsid w:val="004C418E"/>
    <w:rsid w:val="004C4310"/>
    <w:rsid w:val="004C4614"/>
    <w:rsid w:val="004C5232"/>
    <w:rsid w:val="004C52A9"/>
    <w:rsid w:val="004C578C"/>
    <w:rsid w:val="004C58CD"/>
    <w:rsid w:val="004C5A09"/>
    <w:rsid w:val="004C5ABB"/>
    <w:rsid w:val="004C5AC1"/>
    <w:rsid w:val="004C5CD4"/>
    <w:rsid w:val="004C5EA3"/>
    <w:rsid w:val="004C65B4"/>
    <w:rsid w:val="004C6859"/>
    <w:rsid w:val="004C69F8"/>
    <w:rsid w:val="004C6FC5"/>
    <w:rsid w:val="004C7809"/>
    <w:rsid w:val="004C7BA6"/>
    <w:rsid w:val="004D040A"/>
    <w:rsid w:val="004D0453"/>
    <w:rsid w:val="004D0615"/>
    <w:rsid w:val="004D14D9"/>
    <w:rsid w:val="004D1593"/>
    <w:rsid w:val="004D19BB"/>
    <w:rsid w:val="004D1DCA"/>
    <w:rsid w:val="004D1EC9"/>
    <w:rsid w:val="004D26EF"/>
    <w:rsid w:val="004D2BB3"/>
    <w:rsid w:val="004D2C5E"/>
    <w:rsid w:val="004D3B46"/>
    <w:rsid w:val="004D3B58"/>
    <w:rsid w:val="004D3C10"/>
    <w:rsid w:val="004D3CED"/>
    <w:rsid w:val="004D4209"/>
    <w:rsid w:val="004D43D0"/>
    <w:rsid w:val="004D449C"/>
    <w:rsid w:val="004D473A"/>
    <w:rsid w:val="004D4918"/>
    <w:rsid w:val="004D49E4"/>
    <w:rsid w:val="004D4D89"/>
    <w:rsid w:val="004D5099"/>
    <w:rsid w:val="004D512A"/>
    <w:rsid w:val="004D5336"/>
    <w:rsid w:val="004D5337"/>
    <w:rsid w:val="004D533C"/>
    <w:rsid w:val="004D53CE"/>
    <w:rsid w:val="004D55BF"/>
    <w:rsid w:val="004D5C18"/>
    <w:rsid w:val="004D5D69"/>
    <w:rsid w:val="004D5E6F"/>
    <w:rsid w:val="004D5F71"/>
    <w:rsid w:val="004D6014"/>
    <w:rsid w:val="004D62D0"/>
    <w:rsid w:val="004D649F"/>
    <w:rsid w:val="004D688F"/>
    <w:rsid w:val="004D692D"/>
    <w:rsid w:val="004D6A2E"/>
    <w:rsid w:val="004D6BB1"/>
    <w:rsid w:val="004D6C56"/>
    <w:rsid w:val="004D6E87"/>
    <w:rsid w:val="004D7124"/>
    <w:rsid w:val="004D76BF"/>
    <w:rsid w:val="004D77C2"/>
    <w:rsid w:val="004D7815"/>
    <w:rsid w:val="004D7C40"/>
    <w:rsid w:val="004E010C"/>
    <w:rsid w:val="004E025D"/>
    <w:rsid w:val="004E032C"/>
    <w:rsid w:val="004E03CB"/>
    <w:rsid w:val="004E03F5"/>
    <w:rsid w:val="004E0412"/>
    <w:rsid w:val="004E05AD"/>
    <w:rsid w:val="004E0760"/>
    <w:rsid w:val="004E0AED"/>
    <w:rsid w:val="004E0E7D"/>
    <w:rsid w:val="004E10AE"/>
    <w:rsid w:val="004E13D3"/>
    <w:rsid w:val="004E1899"/>
    <w:rsid w:val="004E19BF"/>
    <w:rsid w:val="004E1A50"/>
    <w:rsid w:val="004E1E1C"/>
    <w:rsid w:val="004E2003"/>
    <w:rsid w:val="004E2380"/>
    <w:rsid w:val="004E295E"/>
    <w:rsid w:val="004E2AAD"/>
    <w:rsid w:val="004E2AD5"/>
    <w:rsid w:val="004E2B43"/>
    <w:rsid w:val="004E2C38"/>
    <w:rsid w:val="004E2D54"/>
    <w:rsid w:val="004E300D"/>
    <w:rsid w:val="004E34D5"/>
    <w:rsid w:val="004E380B"/>
    <w:rsid w:val="004E3879"/>
    <w:rsid w:val="004E397D"/>
    <w:rsid w:val="004E39D1"/>
    <w:rsid w:val="004E3ADA"/>
    <w:rsid w:val="004E3C80"/>
    <w:rsid w:val="004E3CB3"/>
    <w:rsid w:val="004E3EAC"/>
    <w:rsid w:val="004E3F3E"/>
    <w:rsid w:val="004E4094"/>
    <w:rsid w:val="004E42C4"/>
    <w:rsid w:val="004E461D"/>
    <w:rsid w:val="004E4D21"/>
    <w:rsid w:val="004E4E49"/>
    <w:rsid w:val="004E5262"/>
    <w:rsid w:val="004E5334"/>
    <w:rsid w:val="004E5A5D"/>
    <w:rsid w:val="004E5E70"/>
    <w:rsid w:val="004E6443"/>
    <w:rsid w:val="004E65CD"/>
    <w:rsid w:val="004E6C4B"/>
    <w:rsid w:val="004E6CC3"/>
    <w:rsid w:val="004E6DF2"/>
    <w:rsid w:val="004E7176"/>
    <w:rsid w:val="004E72CE"/>
    <w:rsid w:val="004E75A9"/>
    <w:rsid w:val="004E7CB9"/>
    <w:rsid w:val="004F0305"/>
    <w:rsid w:val="004F032D"/>
    <w:rsid w:val="004F03EF"/>
    <w:rsid w:val="004F0539"/>
    <w:rsid w:val="004F05A1"/>
    <w:rsid w:val="004F05C1"/>
    <w:rsid w:val="004F0601"/>
    <w:rsid w:val="004F0756"/>
    <w:rsid w:val="004F07DA"/>
    <w:rsid w:val="004F0FD6"/>
    <w:rsid w:val="004F11E0"/>
    <w:rsid w:val="004F14CE"/>
    <w:rsid w:val="004F15E2"/>
    <w:rsid w:val="004F17A3"/>
    <w:rsid w:val="004F1BF3"/>
    <w:rsid w:val="004F1D07"/>
    <w:rsid w:val="004F2170"/>
    <w:rsid w:val="004F2530"/>
    <w:rsid w:val="004F2856"/>
    <w:rsid w:val="004F29EE"/>
    <w:rsid w:val="004F2C47"/>
    <w:rsid w:val="004F2CA2"/>
    <w:rsid w:val="004F2CF5"/>
    <w:rsid w:val="004F2D40"/>
    <w:rsid w:val="004F2E81"/>
    <w:rsid w:val="004F2EB3"/>
    <w:rsid w:val="004F37A8"/>
    <w:rsid w:val="004F3832"/>
    <w:rsid w:val="004F384D"/>
    <w:rsid w:val="004F3866"/>
    <w:rsid w:val="004F3A01"/>
    <w:rsid w:val="004F3AED"/>
    <w:rsid w:val="004F40FF"/>
    <w:rsid w:val="004F410F"/>
    <w:rsid w:val="004F46E0"/>
    <w:rsid w:val="004F48D3"/>
    <w:rsid w:val="004F4D6A"/>
    <w:rsid w:val="004F615C"/>
    <w:rsid w:val="004F61AD"/>
    <w:rsid w:val="004F61BA"/>
    <w:rsid w:val="004F62FA"/>
    <w:rsid w:val="004F642A"/>
    <w:rsid w:val="004F66DA"/>
    <w:rsid w:val="004F69E5"/>
    <w:rsid w:val="004F6BB0"/>
    <w:rsid w:val="004F76F9"/>
    <w:rsid w:val="004F7AB8"/>
    <w:rsid w:val="004F7D6C"/>
    <w:rsid w:val="004F7F6E"/>
    <w:rsid w:val="004F7F83"/>
    <w:rsid w:val="0050000A"/>
    <w:rsid w:val="0050013A"/>
    <w:rsid w:val="00500462"/>
    <w:rsid w:val="0050080E"/>
    <w:rsid w:val="00500CC3"/>
    <w:rsid w:val="00500DB6"/>
    <w:rsid w:val="00500EEB"/>
    <w:rsid w:val="005017FC"/>
    <w:rsid w:val="00501B5E"/>
    <w:rsid w:val="00501C49"/>
    <w:rsid w:val="00501F5A"/>
    <w:rsid w:val="00502071"/>
    <w:rsid w:val="005022A7"/>
    <w:rsid w:val="00502438"/>
    <w:rsid w:val="00502A09"/>
    <w:rsid w:val="00502A1B"/>
    <w:rsid w:val="00502F7C"/>
    <w:rsid w:val="005030FB"/>
    <w:rsid w:val="005031FB"/>
    <w:rsid w:val="005032CF"/>
    <w:rsid w:val="00503AE8"/>
    <w:rsid w:val="00503F3A"/>
    <w:rsid w:val="005041FE"/>
    <w:rsid w:val="00504566"/>
    <w:rsid w:val="00504A08"/>
    <w:rsid w:val="00504B36"/>
    <w:rsid w:val="00504CD6"/>
    <w:rsid w:val="005055D7"/>
    <w:rsid w:val="0050567D"/>
    <w:rsid w:val="00505A18"/>
    <w:rsid w:val="00506120"/>
    <w:rsid w:val="005063EF"/>
    <w:rsid w:val="00506954"/>
    <w:rsid w:val="005069C5"/>
    <w:rsid w:val="00506B87"/>
    <w:rsid w:val="00506D01"/>
    <w:rsid w:val="00507546"/>
    <w:rsid w:val="00507B3B"/>
    <w:rsid w:val="00507C2F"/>
    <w:rsid w:val="00507CC0"/>
    <w:rsid w:val="00507EED"/>
    <w:rsid w:val="005103C2"/>
    <w:rsid w:val="00510550"/>
    <w:rsid w:val="00510871"/>
    <w:rsid w:val="00510940"/>
    <w:rsid w:val="00510AE6"/>
    <w:rsid w:val="00510BA0"/>
    <w:rsid w:val="00510C0C"/>
    <w:rsid w:val="005112A0"/>
    <w:rsid w:val="005119A4"/>
    <w:rsid w:val="00512200"/>
    <w:rsid w:val="0051225F"/>
    <w:rsid w:val="005123B0"/>
    <w:rsid w:val="0051251C"/>
    <w:rsid w:val="005129C5"/>
    <w:rsid w:val="00512C6C"/>
    <w:rsid w:val="00512DA0"/>
    <w:rsid w:val="00512E3F"/>
    <w:rsid w:val="00512E73"/>
    <w:rsid w:val="0051330F"/>
    <w:rsid w:val="0051349F"/>
    <w:rsid w:val="0051351C"/>
    <w:rsid w:val="0051361D"/>
    <w:rsid w:val="00513652"/>
    <w:rsid w:val="00513831"/>
    <w:rsid w:val="00513833"/>
    <w:rsid w:val="00513E8F"/>
    <w:rsid w:val="00513EC1"/>
    <w:rsid w:val="0051414F"/>
    <w:rsid w:val="0051455A"/>
    <w:rsid w:val="00514BB4"/>
    <w:rsid w:val="00514D82"/>
    <w:rsid w:val="00515463"/>
    <w:rsid w:val="0051580B"/>
    <w:rsid w:val="00515A01"/>
    <w:rsid w:val="00515C82"/>
    <w:rsid w:val="00515CD3"/>
    <w:rsid w:val="00515DF4"/>
    <w:rsid w:val="0051644F"/>
    <w:rsid w:val="00516500"/>
    <w:rsid w:val="005165AE"/>
    <w:rsid w:val="00516749"/>
    <w:rsid w:val="005167F0"/>
    <w:rsid w:val="00516B9C"/>
    <w:rsid w:val="00516CAC"/>
    <w:rsid w:val="00516CD1"/>
    <w:rsid w:val="00516F10"/>
    <w:rsid w:val="00516F3B"/>
    <w:rsid w:val="005172DA"/>
    <w:rsid w:val="005179C2"/>
    <w:rsid w:val="005179E5"/>
    <w:rsid w:val="00517BF8"/>
    <w:rsid w:val="00517C1E"/>
    <w:rsid w:val="00517D80"/>
    <w:rsid w:val="00517E25"/>
    <w:rsid w:val="00520622"/>
    <w:rsid w:val="005208A9"/>
    <w:rsid w:val="005209DE"/>
    <w:rsid w:val="00520A6D"/>
    <w:rsid w:val="00520CA9"/>
    <w:rsid w:val="00520FC7"/>
    <w:rsid w:val="00521214"/>
    <w:rsid w:val="005212F9"/>
    <w:rsid w:val="005213F9"/>
    <w:rsid w:val="00521A0F"/>
    <w:rsid w:val="00521BB9"/>
    <w:rsid w:val="00521C74"/>
    <w:rsid w:val="00521CF5"/>
    <w:rsid w:val="00521EE7"/>
    <w:rsid w:val="00522274"/>
    <w:rsid w:val="005222FB"/>
    <w:rsid w:val="00522342"/>
    <w:rsid w:val="005223A5"/>
    <w:rsid w:val="00522F47"/>
    <w:rsid w:val="00523082"/>
    <w:rsid w:val="005230CF"/>
    <w:rsid w:val="005237F4"/>
    <w:rsid w:val="00523904"/>
    <w:rsid w:val="00523BCD"/>
    <w:rsid w:val="00523BF4"/>
    <w:rsid w:val="00523CE2"/>
    <w:rsid w:val="00523DF8"/>
    <w:rsid w:val="005240DC"/>
    <w:rsid w:val="00524172"/>
    <w:rsid w:val="00524188"/>
    <w:rsid w:val="0052428E"/>
    <w:rsid w:val="005244AB"/>
    <w:rsid w:val="0052466F"/>
    <w:rsid w:val="0052496C"/>
    <w:rsid w:val="0052498C"/>
    <w:rsid w:val="005249FE"/>
    <w:rsid w:val="00525115"/>
    <w:rsid w:val="0052513B"/>
    <w:rsid w:val="005251D1"/>
    <w:rsid w:val="0052530C"/>
    <w:rsid w:val="00525463"/>
    <w:rsid w:val="0052567F"/>
    <w:rsid w:val="0052590A"/>
    <w:rsid w:val="00525A7E"/>
    <w:rsid w:val="00525ABC"/>
    <w:rsid w:val="00525E0F"/>
    <w:rsid w:val="00525EE7"/>
    <w:rsid w:val="0052670D"/>
    <w:rsid w:val="00526A30"/>
    <w:rsid w:val="00526A4A"/>
    <w:rsid w:val="00526CBF"/>
    <w:rsid w:val="00527019"/>
    <w:rsid w:val="00527325"/>
    <w:rsid w:val="0052748F"/>
    <w:rsid w:val="0052751A"/>
    <w:rsid w:val="005279A5"/>
    <w:rsid w:val="00527B0F"/>
    <w:rsid w:val="00527D3F"/>
    <w:rsid w:val="00527D40"/>
    <w:rsid w:val="00527E27"/>
    <w:rsid w:val="00530876"/>
    <w:rsid w:val="005309D5"/>
    <w:rsid w:val="00530A2B"/>
    <w:rsid w:val="00530B57"/>
    <w:rsid w:val="00531039"/>
    <w:rsid w:val="0053138B"/>
    <w:rsid w:val="005314CA"/>
    <w:rsid w:val="0053161A"/>
    <w:rsid w:val="005316D1"/>
    <w:rsid w:val="00531D63"/>
    <w:rsid w:val="0053207A"/>
    <w:rsid w:val="005323AA"/>
    <w:rsid w:val="00532910"/>
    <w:rsid w:val="005329FA"/>
    <w:rsid w:val="00532AA4"/>
    <w:rsid w:val="00532BFC"/>
    <w:rsid w:val="005330B9"/>
    <w:rsid w:val="00533245"/>
    <w:rsid w:val="005333B3"/>
    <w:rsid w:val="0053352B"/>
    <w:rsid w:val="005338F6"/>
    <w:rsid w:val="00533968"/>
    <w:rsid w:val="00533AAB"/>
    <w:rsid w:val="00533B1E"/>
    <w:rsid w:val="00533C95"/>
    <w:rsid w:val="005340E9"/>
    <w:rsid w:val="005341FA"/>
    <w:rsid w:val="0053424D"/>
    <w:rsid w:val="00534553"/>
    <w:rsid w:val="0053477F"/>
    <w:rsid w:val="0053497F"/>
    <w:rsid w:val="00534C5C"/>
    <w:rsid w:val="00534DAA"/>
    <w:rsid w:val="00534F5A"/>
    <w:rsid w:val="00535276"/>
    <w:rsid w:val="005354A9"/>
    <w:rsid w:val="005354F9"/>
    <w:rsid w:val="005355D7"/>
    <w:rsid w:val="00535A93"/>
    <w:rsid w:val="00535B69"/>
    <w:rsid w:val="00535C2F"/>
    <w:rsid w:val="00535CBD"/>
    <w:rsid w:val="00535E29"/>
    <w:rsid w:val="00535F1C"/>
    <w:rsid w:val="005360FE"/>
    <w:rsid w:val="00536200"/>
    <w:rsid w:val="00536565"/>
    <w:rsid w:val="005367B2"/>
    <w:rsid w:val="00536CF2"/>
    <w:rsid w:val="00536E6D"/>
    <w:rsid w:val="005370BD"/>
    <w:rsid w:val="0053716B"/>
    <w:rsid w:val="005374C1"/>
    <w:rsid w:val="00537D3C"/>
    <w:rsid w:val="00540202"/>
    <w:rsid w:val="0054035B"/>
    <w:rsid w:val="0054043D"/>
    <w:rsid w:val="005405A5"/>
    <w:rsid w:val="005406BD"/>
    <w:rsid w:val="00540761"/>
    <w:rsid w:val="00540C0E"/>
    <w:rsid w:val="00541487"/>
    <w:rsid w:val="00541550"/>
    <w:rsid w:val="005417D7"/>
    <w:rsid w:val="00541D6B"/>
    <w:rsid w:val="00541F8C"/>
    <w:rsid w:val="00542249"/>
    <w:rsid w:val="00542349"/>
    <w:rsid w:val="00542429"/>
    <w:rsid w:val="00542930"/>
    <w:rsid w:val="00542932"/>
    <w:rsid w:val="00542D55"/>
    <w:rsid w:val="00543283"/>
    <w:rsid w:val="00543518"/>
    <w:rsid w:val="00543DFD"/>
    <w:rsid w:val="00543F5A"/>
    <w:rsid w:val="00543FEA"/>
    <w:rsid w:val="00544172"/>
    <w:rsid w:val="00544383"/>
    <w:rsid w:val="005443E7"/>
    <w:rsid w:val="00544799"/>
    <w:rsid w:val="005448EA"/>
    <w:rsid w:val="00544CDA"/>
    <w:rsid w:val="00544D2B"/>
    <w:rsid w:val="00544F44"/>
    <w:rsid w:val="00545235"/>
    <w:rsid w:val="005453C5"/>
    <w:rsid w:val="0054543A"/>
    <w:rsid w:val="005466B5"/>
    <w:rsid w:val="00546761"/>
    <w:rsid w:val="005477C4"/>
    <w:rsid w:val="005479C0"/>
    <w:rsid w:val="00547B11"/>
    <w:rsid w:val="00547D9D"/>
    <w:rsid w:val="00550234"/>
    <w:rsid w:val="0055023C"/>
    <w:rsid w:val="005504F2"/>
    <w:rsid w:val="0055096B"/>
    <w:rsid w:val="00550A37"/>
    <w:rsid w:val="00550B29"/>
    <w:rsid w:val="00550BE0"/>
    <w:rsid w:val="005510A5"/>
    <w:rsid w:val="005510F8"/>
    <w:rsid w:val="00551421"/>
    <w:rsid w:val="0055192E"/>
    <w:rsid w:val="005521FB"/>
    <w:rsid w:val="00552227"/>
    <w:rsid w:val="00552292"/>
    <w:rsid w:val="00552427"/>
    <w:rsid w:val="005527A6"/>
    <w:rsid w:val="00552DB7"/>
    <w:rsid w:val="00553006"/>
    <w:rsid w:val="005532D3"/>
    <w:rsid w:val="005532E1"/>
    <w:rsid w:val="0055338A"/>
    <w:rsid w:val="005534CA"/>
    <w:rsid w:val="0055352C"/>
    <w:rsid w:val="005537A3"/>
    <w:rsid w:val="00553B2C"/>
    <w:rsid w:val="00553BC3"/>
    <w:rsid w:val="00553BEB"/>
    <w:rsid w:val="00553F06"/>
    <w:rsid w:val="00554300"/>
    <w:rsid w:val="00554338"/>
    <w:rsid w:val="005545C7"/>
    <w:rsid w:val="005546E3"/>
    <w:rsid w:val="00554700"/>
    <w:rsid w:val="00554AB1"/>
    <w:rsid w:val="00554FE9"/>
    <w:rsid w:val="005550F2"/>
    <w:rsid w:val="00555224"/>
    <w:rsid w:val="005554AF"/>
    <w:rsid w:val="00555569"/>
    <w:rsid w:val="00555A00"/>
    <w:rsid w:val="00555C13"/>
    <w:rsid w:val="00555D8E"/>
    <w:rsid w:val="00555E2E"/>
    <w:rsid w:val="00556021"/>
    <w:rsid w:val="005560E7"/>
    <w:rsid w:val="005562B7"/>
    <w:rsid w:val="0055669A"/>
    <w:rsid w:val="00556C58"/>
    <w:rsid w:val="00556F21"/>
    <w:rsid w:val="00557082"/>
    <w:rsid w:val="00557372"/>
    <w:rsid w:val="00557658"/>
    <w:rsid w:val="005577FF"/>
    <w:rsid w:val="00557859"/>
    <w:rsid w:val="005579FF"/>
    <w:rsid w:val="00557BD4"/>
    <w:rsid w:val="00557CC9"/>
    <w:rsid w:val="00557EB7"/>
    <w:rsid w:val="005600F1"/>
    <w:rsid w:val="00560357"/>
    <w:rsid w:val="005604C4"/>
    <w:rsid w:val="005606D7"/>
    <w:rsid w:val="00560CBA"/>
    <w:rsid w:val="00560D2F"/>
    <w:rsid w:val="00560D33"/>
    <w:rsid w:val="0056117E"/>
    <w:rsid w:val="005616CC"/>
    <w:rsid w:val="00561C89"/>
    <w:rsid w:val="00561CCD"/>
    <w:rsid w:val="00561F25"/>
    <w:rsid w:val="00561F69"/>
    <w:rsid w:val="005620CC"/>
    <w:rsid w:val="00562338"/>
    <w:rsid w:val="00562577"/>
    <w:rsid w:val="00562711"/>
    <w:rsid w:val="005629D5"/>
    <w:rsid w:val="00562D20"/>
    <w:rsid w:val="00562F31"/>
    <w:rsid w:val="005630BC"/>
    <w:rsid w:val="00563345"/>
    <w:rsid w:val="00563A68"/>
    <w:rsid w:val="00563E94"/>
    <w:rsid w:val="00564448"/>
    <w:rsid w:val="00564ADB"/>
    <w:rsid w:val="00564F4F"/>
    <w:rsid w:val="0056533E"/>
    <w:rsid w:val="00565C4D"/>
    <w:rsid w:val="00565C78"/>
    <w:rsid w:val="00565FEE"/>
    <w:rsid w:val="005667E5"/>
    <w:rsid w:val="00566BCB"/>
    <w:rsid w:val="00566D86"/>
    <w:rsid w:val="00566E78"/>
    <w:rsid w:val="005670BF"/>
    <w:rsid w:val="00567463"/>
    <w:rsid w:val="00567739"/>
    <w:rsid w:val="00567EAF"/>
    <w:rsid w:val="005703A7"/>
    <w:rsid w:val="0057066D"/>
    <w:rsid w:val="00570819"/>
    <w:rsid w:val="00570976"/>
    <w:rsid w:val="00570999"/>
    <w:rsid w:val="0057133B"/>
    <w:rsid w:val="00571348"/>
    <w:rsid w:val="005714BD"/>
    <w:rsid w:val="0057150E"/>
    <w:rsid w:val="005715E3"/>
    <w:rsid w:val="00571BD3"/>
    <w:rsid w:val="00571DE0"/>
    <w:rsid w:val="00571E63"/>
    <w:rsid w:val="00571E85"/>
    <w:rsid w:val="00571F24"/>
    <w:rsid w:val="0057267A"/>
    <w:rsid w:val="005727A5"/>
    <w:rsid w:val="00572A72"/>
    <w:rsid w:val="00572ACB"/>
    <w:rsid w:val="00572BB6"/>
    <w:rsid w:val="00572E2C"/>
    <w:rsid w:val="00572E62"/>
    <w:rsid w:val="00572EC1"/>
    <w:rsid w:val="00572F39"/>
    <w:rsid w:val="00572FA0"/>
    <w:rsid w:val="00573E75"/>
    <w:rsid w:val="00573ED1"/>
    <w:rsid w:val="00573F81"/>
    <w:rsid w:val="005740FD"/>
    <w:rsid w:val="0057417C"/>
    <w:rsid w:val="005741CD"/>
    <w:rsid w:val="00574A30"/>
    <w:rsid w:val="00574AD3"/>
    <w:rsid w:val="0057505A"/>
    <w:rsid w:val="005754F5"/>
    <w:rsid w:val="00575988"/>
    <w:rsid w:val="00575D64"/>
    <w:rsid w:val="0057600C"/>
    <w:rsid w:val="0057601F"/>
    <w:rsid w:val="00576666"/>
    <w:rsid w:val="005766BA"/>
    <w:rsid w:val="00576754"/>
    <w:rsid w:val="005768D7"/>
    <w:rsid w:val="00576A87"/>
    <w:rsid w:val="00576D1F"/>
    <w:rsid w:val="00576E76"/>
    <w:rsid w:val="00576EE2"/>
    <w:rsid w:val="00576F39"/>
    <w:rsid w:val="00576FE7"/>
    <w:rsid w:val="00577CCB"/>
    <w:rsid w:val="00577D01"/>
    <w:rsid w:val="00577F42"/>
    <w:rsid w:val="0058010E"/>
    <w:rsid w:val="005802CF"/>
    <w:rsid w:val="005803FF"/>
    <w:rsid w:val="005805CB"/>
    <w:rsid w:val="0058065F"/>
    <w:rsid w:val="005808B4"/>
    <w:rsid w:val="00580979"/>
    <w:rsid w:val="005809EF"/>
    <w:rsid w:val="00580A15"/>
    <w:rsid w:val="00580D3A"/>
    <w:rsid w:val="00580EDB"/>
    <w:rsid w:val="00581482"/>
    <w:rsid w:val="00581A94"/>
    <w:rsid w:val="00581FA5"/>
    <w:rsid w:val="005820F6"/>
    <w:rsid w:val="00582119"/>
    <w:rsid w:val="00582197"/>
    <w:rsid w:val="00582199"/>
    <w:rsid w:val="005822A4"/>
    <w:rsid w:val="005823D9"/>
    <w:rsid w:val="005827C5"/>
    <w:rsid w:val="00582921"/>
    <w:rsid w:val="005829E7"/>
    <w:rsid w:val="00583142"/>
    <w:rsid w:val="005831C5"/>
    <w:rsid w:val="00583386"/>
    <w:rsid w:val="0058354F"/>
    <w:rsid w:val="005835AC"/>
    <w:rsid w:val="00583627"/>
    <w:rsid w:val="00583A61"/>
    <w:rsid w:val="00583C64"/>
    <w:rsid w:val="00583FC0"/>
    <w:rsid w:val="00584089"/>
    <w:rsid w:val="005841EE"/>
    <w:rsid w:val="00584554"/>
    <w:rsid w:val="00584998"/>
    <w:rsid w:val="00584C75"/>
    <w:rsid w:val="00585373"/>
    <w:rsid w:val="00585450"/>
    <w:rsid w:val="005854B8"/>
    <w:rsid w:val="005854E7"/>
    <w:rsid w:val="00585543"/>
    <w:rsid w:val="0058600D"/>
    <w:rsid w:val="00586050"/>
    <w:rsid w:val="0058630B"/>
    <w:rsid w:val="005863E1"/>
    <w:rsid w:val="005867D9"/>
    <w:rsid w:val="0058683F"/>
    <w:rsid w:val="00586B22"/>
    <w:rsid w:val="00586DAB"/>
    <w:rsid w:val="00586DAF"/>
    <w:rsid w:val="00586F9B"/>
    <w:rsid w:val="00587037"/>
    <w:rsid w:val="00587117"/>
    <w:rsid w:val="0058752A"/>
    <w:rsid w:val="0058759D"/>
    <w:rsid w:val="0058767D"/>
    <w:rsid w:val="00587912"/>
    <w:rsid w:val="00587A52"/>
    <w:rsid w:val="00587B12"/>
    <w:rsid w:val="00587B7F"/>
    <w:rsid w:val="00587BD0"/>
    <w:rsid w:val="00587C1B"/>
    <w:rsid w:val="00587DE5"/>
    <w:rsid w:val="00587FF5"/>
    <w:rsid w:val="00590664"/>
    <w:rsid w:val="005906C1"/>
    <w:rsid w:val="005907A3"/>
    <w:rsid w:val="00590AA6"/>
    <w:rsid w:val="00590BC8"/>
    <w:rsid w:val="00590FAB"/>
    <w:rsid w:val="005910B4"/>
    <w:rsid w:val="005914DF"/>
    <w:rsid w:val="00591547"/>
    <w:rsid w:val="005915E0"/>
    <w:rsid w:val="0059167B"/>
    <w:rsid w:val="00591C63"/>
    <w:rsid w:val="00592392"/>
    <w:rsid w:val="00592425"/>
    <w:rsid w:val="005929B0"/>
    <w:rsid w:val="00592CD5"/>
    <w:rsid w:val="00592E7E"/>
    <w:rsid w:val="00592E86"/>
    <w:rsid w:val="005931BE"/>
    <w:rsid w:val="00593328"/>
    <w:rsid w:val="005933C9"/>
    <w:rsid w:val="00593A6B"/>
    <w:rsid w:val="0059429E"/>
    <w:rsid w:val="005943FA"/>
    <w:rsid w:val="00594541"/>
    <w:rsid w:val="00594995"/>
    <w:rsid w:val="00594A1F"/>
    <w:rsid w:val="00594D4A"/>
    <w:rsid w:val="00594FAF"/>
    <w:rsid w:val="00594FE7"/>
    <w:rsid w:val="00595132"/>
    <w:rsid w:val="005952F7"/>
    <w:rsid w:val="00595358"/>
    <w:rsid w:val="0059553F"/>
    <w:rsid w:val="0059557B"/>
    <w:rsid w:val="00595818"/>
    <w:rsid w:val="005958FB"/>
    <w:rsid w:val="00595941"/>
    <w:rsid w:val="00595BE0"/>
    <w:rsid w:val="00595F5B"/>
    <w:rsid w:val="00596087"/>
    <w:rsid w:val="0059648D"/>
    <w:rsid w:val="00596834"/>
    <w:rsid w:val="00596837"/>
    <w:rsid w:val="00596B1D"/>
    <w:rsid w:val="00596D60"/>
    <w:rsid w:val="00597319"/>
    <w:rsid w:val="005974A0"/>
    <w:rsid w:val="0059778E"/>
    <w:rsid w:val="005978FC"/>
    <w:rsid w:val="00597C58"/>
    <w:rsid w:val="00597C60"/>
    <w:rsid w:val="00597F9D"/>
    <w:rsid w:val="00597FD2"/>
    <w:rsid w:val="005A025A"/>
    <w:rsid w:val="005A04E7"/>
    <w:rsid w:val="005A0585"/>
    <w:rsid w:val="005A0E5F"/>
    <w:rsid w:val="005A1061"/>
    <w:rsid w:val="005A1B2E"/>
    <w:rsid w:val="005A1F0D"/>
    <w:rsid w:val="005A26EE"/>
    <w:rsid w:val="005A2D7C"/>
    <w:rsid w:val="005A2D7D"/>
    <w:rsid w:val="005A30B4"/>
    <w:rsid w:val="005A3485"/>
    <w:rsid w:val="005A3628"/>
    <w:rsid w:val="005A38E2"/>
    <w:rsid w:val="005A39BA"/>
    <w:rsid w:val="005A3D17"/>
    <w:rsid w:val="005A3F9C"/>
    <w:rsid w:val="005A3FEB"/>
    <w:rsid w:val="005A400C"/>
    <w:rsid w:val="005A408D"/>
    <w:rsid w:val="005A424E"/>
    <w:rsid w:val="005A465E"/>
    <w:rsid w:val="005A47EB"/>
    <w:rsid w:val="005A4903"/>
    <w:rsid w:val="005A4C7B"/>
    <w:rsid w:val="005A4CBA"/>
    <w:rsid w:val="005A5455"/>
    <w:rsid w:val="005A54D2"/>
    <w:rsid w:val="005A5A2A"/>
    <w:rsid w:val="005A60FA"/>
    <w:rsid w:val="005A61D0"/>
    <w:rsid w:val="005A69E9"/>
    <w:rsid w:val="005A6AC3"/>
    <w:rsid w:val="005A6AEE"/>
    <w:rsid w:val="005A6CD6"/>
    <w:rsid w:val="005A6DAB"/>
    <w:rsid w:val="005A70D1"/>
    <w:rsid w:val="005A7156"/>
    <w:rsid w:val="005A74D0"/>
    <w:rsid w:val="005A7671"/>
    <w:rsid w:val="005A7916"/>
    <w:rsid w:val="005A7A2A"/>
    <w:rsid w:val="005B003E"/>
    <w:rsid w:val="005B00AA"/>
    <w:rsid w:val="005B021A"/>
    <w:rsid w:val="005B0458"/>
    <w:rsid w:val="005B08ED"/>
    <w:rsid w:val="005B0B77"/>
    <w:rsid w:val="005B0B90"/>
    <w:rsid w:val="005B1344"/>
    <w:rsid w:val="005B13E0"/>
    <w:rsid w:val="005B1446"/>
    <w:rsid w:val="005B16A7"/>
    <w:rsid w:val="005B1826"/>
    <w:rsid w:val="005B193C"/>
    <w:rsid w:val="005B1A90"/>
    <w:rsid w:val="005B1B16"/>
    <w:rsid w:val="005B1C23"/>
    <w:rsid w:val="005B1C76"/>
    <w:rsid w:val="005B1C90"/>
    <w:rsid w:val="005B1D06"/>
    <w:rsid w:val="005B1E30"/>
    <w:rsid w:val="005B200D"/>
    <w:rsid w:val="005B22A3"/>
    <w:rsid w:val="005B257C"/>
    <w:rsid w:val="005B273A"/>
    <w:rsid w:val="005B296D"/>
    <w:rsid w:val="005B2BC3"/>
    <w:rsid w:val="005B2E02"/>
    <w:rsid w:val="005B325E"/>
    <w:rsid w:val="005B357A"/>
    <w:rsid w:val="005B3C53"/>
    <w:rsid w:val="005B414A"/>
    <w:rsid w:val="005B4262"/>
    <w:rsid w:val="005B44C0"/>
    <w:rsid w:val="005B450F"/>
    <w:rsid w:val="005B4B02"/>
    <w:rsid w:val="005B4D92"/>
    <w:rsid w:val="005B527D"/>
    <w:rsid w:val="005B5508"/>
    <w:rsid w:val="005B5645"/>
    <w:rsid w:val="005B57A7"/>
    <w:rsid w:val="005B5B3F"/>
    <w:rsid w:val="005B5C12"/>
    <w:rsid w:val="005B60A9"/>
    <w:rsid w:val="005B6414"/>
    <w:rsid w:val="005B6C0A"/>
    <w:rsid w:val="005B6C92"/>
    <w:rsid w:val="005B79C0"/>
    <w:rsid w:val="005B7B4A"/>
    <w:rsid w:val="005B7BEE"/>
    <w:rsid w:val="005B7D49"/>
    <w:rsid w:val="005B7E5F"/>
    <w:rsid w:val="005C02AE"/>
    <w:rsid w:val="005C07AB"/>
    <w:rsid w:val="005C0825"/>
    <w:rsid w:val="005C0CAE"/>
    <w:rsid w:val="005C0F9F"/>
    <w:rsid w:val="005C0FE9"/>
    <w:rsid w:val="005C1320"/>
    <w:rsid w:val="005C18BA"/>
    <w:rsid w:val="005C1B9D"/>
    <w:rsid w:val="005C201A"/>
    <w:rsid w:val="005C2E38"/>
    <w:rsid w:val="005C3672"/>
    <w:rsid w:val="005C3932"/>
    <w:rsid w:val="005C3B4A"/>
    <w:rsid w:val="005C3F92"/>
    <w:rsid w:val="005C4057"/>
    <w:rsid w:val="005C419E"/>
    <w:rsid w:val="005C44A6"/>
    <w:rsid w:val="005C4506"/>
    <w:rsid w:val="005C48A4"/>
    <w:rsid w:val="005C49CB"/>
    <w:rsid w:val="005C4A9C"/>
    <w:rsid w:val="005C4CAB"/>
    <w:rsid w:val="005C4E4E"/>
    <w:rsid w:val="005C508B"/>
    <w:rsid w:val="005C5658"/>
    <w:rsid w:val="005C59E6"/>
    <w:rsid w:val="005C5ADF"/>
    <w:rsid w:val="005C5AFD"/>
    <w:rsid w:val="005C5D19"/>
    <w:rsid w:val="005C5E03"/>
    <w:rsid w:val="005C6280"/>
    <w:rsid w:val="005C62AB"/>
    <w:rsid w:val="005C66E5"/>
    <w:rsid w:val="005C6812"/>
    <w:rsid w:val="005C68C8"/>
    <w:rsid w:val="005C69A3"/>
    <w:rsid w:val="005C6EB2"/>
    <w:rsid w:val="005C6F20"/>
    <w:rsid w:val="005C7147"/>
    <w:rsid w:val="005C7255"/>
    <w:rsid w:val="005C75B5"/>
    <w:rsid w:val="005C78A9"/>
    <w:rsid w:val="005C7912"/>
    <w:rsid w:val="005C7B54"/>
    <w:rsid w:val="005C7BB0"/>
    <w:rsid w:val="005C7BE9"/>
    <w:rsid w:val="005D01E8"/>
    <w:rsid w:val="005D0461"/>
    <w:rsid w:val="005D07DD"/>
    <w:rsid w:val="005D0880"/>
    <w:rsid w:val="005D0904"/>
    <w:rsid w:val="005D0F85"/>
    <w:rsid w:val="005D0FF0"/>
    <w:rsid w:val="005D11A8"/>
    <w:rsid w:val="005D12AE"/>
    <w:rsid w:val="005D1408"/>
    <w:rsid w:val="005D18DA"/>
    <w:rsid w:val="005D1B7F"/>
    <w:rsid w:val="005D1CAC"/>
    <w:rsid w:val="005D1CC8"/>
    <w:rsid w:val="005D1E56"/>
    <w:rsid w:val="005D23D4"/>
    <w:rsid w:val="005D2917"/>
    <w:rsid w:val="005D29BE"/>
    <w:rsid w:val="005D2A07"/>
    <w:rsid w:val="005D2BD7"/>
    <w:rsid w:val="005D2DE6"/>
    <w:rsid w:val="005D361D"/>
    <w:rsid w:val="005D37A4"/>
    <w:rsid w:val="005D3814"/>
    <w:rsid w:val="005D38D2"/>
    <w:rsid w:val="005D3B2F"/>
    <w:rsid w:val="005D3BEA"/>
    <w:rsid w:val="005D3EC2"/>
    <w:rsid w:val="005D3ECD"/>
    <w:rsid w:val="005D4099"/>
    <w:rsid w:val="005D42AE"/>
    <w:rsid w:val="005D431B"/>
    <w:rsid w:val="005D478F"/>
    <w:rsid w:val="005D4818"/>
    <w:rsid w:val="005D4B80"/>
    <w:rsid w:val="005D4DB3"/>
    <w:rsid w:val="005D5104"/>
    <w:rsid w:val="005D51D6"/>
    <w:rsid w:val="005D546A"/>
    <w:rsid w:val="005D59DF"/>
    <w:rsid w:val="005D5A5D"/>
    <w:rsid w:val="005D5F9C"/>
    <w:rsid w:val="005D6039"/>
    <w:rsid w:val="005D6172"/>
    <w:rsid w:val="005D653C"/>
    <w:rsid w:val="005D673E"/>
    <w:rsid w:val="005D6773"/>
    <w:rsid w:val="005D684D"/>
    <w:rsid w:val="005D6920"/>
    <w:rsid w:val="005D6C3F"/>
    <w:rsid w:val="005D6DBC"/>
    <w:rsid w:val="005D6EB2"/>
    <w:rsid w:val="005D6EF0"/>
    <w:rsid w:val="005D6F92"/>
    <w:rsid w:val="005D7878"/>
    <w:rsid w:val="005D78CE"/>
    <w:rsid w:val="005D7917"/>
    <w:rsid w:val="005D7991"/>
    <w:rsid w:val="005D7E8C"/>
    <w:rsid w:val="005E0017"/>
    <w:rsid w:val="005E00F3"/>
    <w:rsid w:val="005E0281"/>
    <w:rsid w:val="005E047F"/>
    <w:rsid w:val="005E11EC"/>
    <w:rsid w:val="005E12E9"/>
    <w:rsid w:val="005E1980"/>
    <w:rsid w:val="005E199A"/>
    <w:rsid w:val="005E1BEA"/>
    <w:rsid w:val="005E1BEB"/>
    <w:rsid w:val="005E1E52"/>
    <w:rsid w:val="005E1F90"/>
    <w:rsid w:val="005E2105"/>
    <w:rsid w:val="005E2227"/>
    <w:rsid w:val="005E227D"/>
    <w:rsid w:val="005E2570"/>
    <w:rsid w:val="005E257A"/>
    <w:rsid w:val="005E25C9"/>
    <w:rsid w:val="005E26F9"/>
    <w:rsid w:val="005E270E"/>
    <w:rsid w:val="005E2854"/>
    <w:rsid w:val="005E2A68"/>
    <w:rsid w:val="005E2A8F"/>
    <w:rsid w:val="005E2B4C"/>
    <w:rsid w:val="005E2C2E"/>
    <w:rsid w:val="005E2E80"/>
    <w:rsid w:val="005E2FA8"/>
    <w:rsid w:val="005E30D7"/>
    <w:rsid w:val="005E31D3"/>
    <w:rsid w:val="005E3460"/>
    <w:rsid w:val="005E35BB"/>
    <w:rsid w:val="005E35C3"/>
    <w:rsid w:val="005E365F"/>
    <w:rsid w:val="005E36E1"/>
    <w:rsid w:val="005E38ED"/>
    <w:rsid w:val="005E3F24"/>
    <w:rsid w:val="005E453F"/>
    <w:rsid w:val="005E4989"/>
    <w:rsid w:val="005E49FB"/>
    <w:rsid w:val="005E4A0C"/>
    <w:rsid w:val="005E4A69"/>
    <w:rsid w:val="005E4C4F"/>
    <w:rsid w:val="005E50F8"/>
    <w:rsid w:val="005E52C8"/>
    <w:rsid w:val="005E5719"/>
    <w:rsid w:val="005E5913"/>
    <w:rsid w:val="005E5914"/>
    <w:rsid w:val="005E5A1E"/>
    <w:rsid w:val="005E5C50"/>
    <w:rsid w:val="005E5D82"/>
    <w:rsid w:val="005E5E57"/>
    <w:rsid w:val="005E62DA"/>
    <w:rsid w:val="005E6306"/>
    <w:rsid w:val="005E64DE"/>
    <w:rsid w:val="005E6F62"/>
    <w:rsid w:val="005E7460"/>
    <w:rsid w:val="005E767C"/>
    <w:rsid w:val="005E788A"/>
    <w:rsid w:val="005E78E1"/>
    <w:rsid w:val="005E7AEF"/>
    <w:rsid w:val="005E7CAA"/>
    <w:rsid w:val="005E7E16"/>
    <w:rsid w:val="005F04DA"/>
    <w:rsid w:val="005F1124"/>
    <w:rsid w:val="005F1243"/>
    <w:rsid w:val="005F18C3"/>
    <w:rsid w:val="005F1A0D"/>
    <w:rsid w:val="005F1B10"/>
    <w:rsid w:val="005F1F5F"/>
    <w:rsid w:val="005F2164"/>
    <w:rsid w:val="005F21B4"/>
    <w:rsid w:val="005F23F3"/>
    <w:rsid w:val="005F24AA"/>
    <w:rsid w:val="005F2686"/>
    <w:rsid w:val="005F27ED"/>
    <w:rsid w:val="005F2963"/>
    <w:rsid w:val="005F2A3D"/>
    <w:rsid w:val="005F2C2E"/>
    <w:rsid w:val="005F2DD6"/>
    <w:rsid w:val="005F2F85"/>
    <w:rsid w:val="005F2FC9"/>
    <w:rsid w:val="005F3782"/>
    <w:rsid w:val="005F382F"/>
    <w:rsid w:val="005F38DB"/>
    <w:rsid w:val="005F395A"/>
    <w:rsid w:val="005F3986"/>
    <w:rsid w:val="005F3BAD"/>
    <w:rsid w:val="005F3D1A"/>
    <w:rsid w:val="005F3EB0"/>
    <w:rsid w:val="005F45C0"/>
    <w:rsid w:val="005F4827"/>
    <w:rsid w:val="005F4E5D"/>
    <w:rsid w:val="005F4E81"/>
    <w:rsid w:val="005F5199"/>
    <w:rsid w:val="005F5306"/>
    <w:rsid w:val="005F5317"/>
    <w:rsid w:val="005F5580"/>
    <w:rsid w:val="005F5C87"/>
    <w:rsid w:val="005F5F61"/>
    <w:rsid w:val="005F6122"/>
    <w:rsid w:val="005F621E"/>
    <w:rsid w:val="005F6A83"/>
    <w:rsid w:val="005F6BAE"/>
    <w:rsid w:val="005F6C70"/>
    <w:rsid w:val="005F6D3B"/>
    <w:rsid w:val="005F737C"/>
    <w:rsid w:val="005F7412"/>
    <w:rsid w:val="005F7797"/>
    <w:rsid w:val="005F7F2E"/>
    <w:rsid w:val="00600054"/>
    <w:rsid w:val="00600252"/>
    <w:rsid w:val="0060035C"/>
    <w:rsid w:val="0060048B"/>
    <w:rsid w:val="00600DE5"/>
    <w:rsid w:val="00600E00"/>
    <w:rsid w:val="006011DC"/>
    <w:rsid w:val="006015A8"/>
    <w:rsid w:val="00601AD8"/>
    <w:rsid w:val="00601BC3"/>
    <w:rsid w:val="00601BF3"/>
    <w:rsid w:val="006021FB"/>
    <w:rsid w:val="006025E2"/>
    <w:rsid w:val="00602604"/>
    <w:rsid w:val="006026B3"/>
    <w:rsid w:val="006026C7"/>
    <w:rsid w:val="006027A1"/>
    <w:rsid w:val="00602DB5"/>
    <w:rsid w:val="00603189"/>
    <w:rsid w:val="00603198"/>
    <w:rsid w:val="00603498"/>
    <w:rsid w:val="00603935"/>
    <w:rsid w:val="00603C4C"/>
    <w:rsid w:val="00603D64"/>
    <w:rsid w:val="00603E3E"/>
    <w:rsid w:val="00603EB7"/>
    <w:rsid w:val="00603F01"/>
    <w:rsid w:val="006043C4"/>
    <w:rsid w:val="00604556"/>
    <w:rsid w:val="006046CA"/>
    <w:rsid w:val="00604A6D"/>
    <w:rsid w:val="00604B71"/>
    <w:rsid w:val="00604B94"/>
    <w:rsid w:val="00604BC0"/>
    <w:rsid w:val="00604F17"/>
    <w:rsid w:val="00604F6D"/>
    <w:rsid w:val="00604FE2"/>
    <w:rsid w:val="00605020"/>
    <w:rsid w:val="006051C2"/>
    <w:rsid w:val="006053AC"/>
    <w:rsid w:val="006055F7"/>
    <w:rsid w:val="0060564D"/>
    <w:rsid w:val="00605AD4"/>
    <w:rsid w:val="00605BD8"/>
    <w:rsid w:val="006062D2"/>
    <w:rsid w:val="0060694A"/>
    <w:rsid w:val="006069B4"/>
    <w:rsid w:val="006069D2"/>
    <w:rsid w:val="00606A88"/>
    <w:rsid w:val="006070B9"/>
    <w:rsid w:val="006070D0"/>
    <w:rsid w:val="00607AFA"/>
    <w:rsid w:val="00607B0B"/>
    <w:rsid w:val="00607BE1"/>
    <w:rsid w:val="00607E4A"/>
    <w:rsid w:val="00607F6F"/>
    <w:rsid w:val="0061028F"/>
    <w:rsid w:val="006106E1"/>
    <w:rsid w:val="00610D7A"/>
    <w:rsid w:val="006111FF"/>
    <w:rsid w:val="00611257"/>
    <w:rsid w:val="0061188A"/>
    <w:rsid w:val="00611915"/>
    <w:rsid w:val="00611998"/>
    <w:rsid w:val="00611B45"/>
    <w:rsid w:val="00611CFF"/>
    <w:rsid w:val="00611D5B"/>
    <w:rsid w:val="006124B6"/>
    <w:rsid w:val="006128F1"/>
    <w:rsid w:val="00612B44"/>
    <w:rsid w:val="00612B70"/>
    <w:rsid w:val="00612B99"/>
    <w:rsid w:val="00612FAF"/>
    <w:rsid w:val="006131D6"/>
    <w:rsid w:val="006131FC"/>
    <w:rsid w:val="006132CF"/>
    <w:rsid w:val="006137F9"/>
    <w:rsid w:val="00613878"/>
    <w:rsid w:val="00613C7B"/>
    <w:rsid w:val="00613CBF"/>
    <w:rsid w:val="00613DE6"/>
    <w:rsid w:val="00613F75"/>
    <w:rsid w:val="00613FC7"/>
    <w:rsid w:val="00614516"/>
    <w:rsid w:val="00614591"/>
    <w:rsid w:val="006148CF"/>
    <w:rsid w:val="00614CFB"/>
    <w:rsid w:val="00614EF8"/>
    <w:rsid w:val="006152E0"/>
    <w:rsid w:val="006153E3"/>
    <w:rsid w:val="00615631"/>
    <w:rsid w:val="006159A5"/>
    <w:rsid w:val="00615EF5"/>
    <w:rsid w:val="00616469"/>
    <w:rsid w:val="00616721"/>
    <w:rsid w:val="00616876"/>
    <w:rsid w:val="0061695B"/>
    <w:rsid w:val="00616DB2"/>
    <w:rsid w:val="00616E11"/>
    <w:rsid w:val="00616F6E"/>
    <w:rsid w:val="0061746A"/>
    <w:rsid w:val="0061766F"/>
    <w:rsid w:val="00617951"/>
    <w:rsid w:val="006201D4"/>
    <w:rsid w:val="00620295"/>
    <w:rsid w:val="0062030B"/>
    <w:rsid w:val="0062038B"/>
    <w:rsid w:val="0062052D"/>
    <w:rsid w:val="00620625"/>
    <w:rsid w:val="00621398"/>
    <w:rsid w:val="0062163F"/>
    <w:rsid w:val="006216FD"/>
    <w:rsid w:val="00621C1C"/>
    <w:rsid w:val="006225C5"/>
    <w:rsid w:val="00622673"/>
    <w:rsid w:val="00622CAB"/>
    <w:rsid w:val="006230F9"/>
    <w:rsid w:val="00623156"/>
    <w:rsid w:val="006233FE"/>
    <w:rsid w:val="00623891"/>
    <w:rsid w:val="00623F0C"/>
    <w:rsid w:val="006240A5"/>
    <w:rsid w:val="006240B3"/>
    <w:rsid w:val="006242DB"/>
    <w:rsid w:val="006248AF"/>
    <w:rsid w:val="00624C2C"/>
    <w:rsid w:val="00624F3A"/>
    <w:rsid w:val="006253D8"/>
    <w:rsid w:val="0062556C"/>
    <w:rsid w:val="006258CC"/>
    <w:rsid w:val="00625B0C"/>
    <w:rsid w:val="00625B1F"/>
    <w:rsid w:val="00625BE6"/>
    <w:rsid w:val="00625E66"/>
    <w:rsid w:val="00625EF5"/>
    <w:rsid w:val="0062625D"/>
    <w:rsid w:val="006266B1"/>
    <w:rsid w:val="00626FE9"/>
    <w:rsid w:val="00627139"/>
    <w:rsid w:val="006273A3"/>
    <w:rsid w:val="0062740B"/>
    <w:rsid w:val="0062744D"/>
    <w:rsid w:val="006275EF"/>
    <w:rsid w:val="006276BF"/>
    <w:rsid w:val="0062777C"/>
    <w:rsid w:val="00627CC3"/>
    <w:rsid w:val="00627FEC"/>
    <w:rsid w:val="006301F5"/>
    <w:rsid w:val="006302E0"/>
    <w:rsid w:val="006302FB"/>
    <w:rsid w:val="00630545"/>
    <w:rsid w:val="0063056B"/>
    <w:rsid w:val="006306AF"/>
    <w:rsid w:val="006309D5"/>
    <w:rsid w:val="00630E15"/>
    <w:rsid w:val="00631094"/>
    <w:rsid w:val="006313B6"/>
    <w:rsid w:val="00631D31"/>
    <w:rsid w:val="0063216B"/>
    <w:rsid w:val="006321B8"/>
    <w:rsid w:val="006322A4"/>
    <w:rsid w:val="006328B9"/>
    <w:rsid w:val="00632A27"/>
    <w:rsid w:val="00632B89"/>
    <w:rsid w:val="00632D67"/>
    <w:rsid w:val="00632D92"/>
    <w:rsid w:val="00633198"/>
    <w:rsid w:val="0063326C"/>
    <w:rsid w:val="006332E8"/>
    <w:rsid w:val="006334AA"/>
    <w:rsid w:val="00634B4F"/>
    <w:rsid w:val="00634D0E"/>
    <w:rsid w:val="00634E57"/>
    <w:rsid w:val="00634EBF"/>
    <w:rsid w:val="00635113"/>
    <w:rsid w:val="00635143"/>
    <w:rsid w:val="00635AB6"/>
    <w:rsid w:val="00635DEB"/>
    <w:rsid w:val="0063600F"/>
    <w:rsid w:val="00636713"/>
    <w:rsid w:val="006369BE"/>
    <w:rsid w:val="00636A53"/>
    <w:rsid w:val="00636D0F"/>
    <w:rsid w:val="00637016"/>
    <w:rsid w:val="006373BF"/>
    <w:rsid w:val="00637C84"/>
    <w:rsid w:val="00637DCF"/>
    <w:rsid w:val="00640276"/>
    <w:rsid w:val="006402A0"/>
    <w:rsid w:val="006402EE"/>
    <w:rsid w:val="0064051A"/>
    <w:rsid w:val="0064097E"/>
    <w:rsid w:val="00640EE8"/>
    <w:rsid w:val="0064102D"/>
    <w:rsid w:val="00641993"/>
    <w:rsid w:val="00641B80"/>
    <w:rsid w:val="00641BAB"/>
    <w:rsid w:val="00641FCD"/>
    <w:rsid w:val="00642196"/>
    <w:rsid w:val="00642232"/>
    <w:rsid w:val="00642521"/>
    <w:rsid w:val="006425F8"/>
    <w:rsid w:val="00642C4C"/>
    <w:rsid w:val="00642C8B"/>
    <w:rsid w:val="00642DDE"/>
    <w:rsid w:val="00642F4B"/>
    <w:rsid w:val="00643103"/>
    <w:rsid w:val="00643341"/>
    <w:rsid w:val="00643572"/>
    <w:rsid w:val="006437DA"/>
    <w:rsid w:val="00643B3C"/>
    <w:rsid w:val="00643CCE"/>
    <w:rsid w:val="00643D74"/>
    <w:rsid w:val="0064414A"/>
    <w:rsid w:val="00644296"/>
    <w:rsid w:val="006442DF"/>
    <w:rsid w:val="0064430C"/>
    <w:rsid w:val="00644317"/>
    <w:rsid w:val="0064471F"/>
    <w:rsid w:val="00644BEE"/>
    <w:rsid w:val="00644D88"/>
    <w:rsid w:val="00644DFC"/>
    <w:rsid w:val="00644F1D"/>
    <w:rsid w:val="00646098"/>
    <w:rsid w:val="006464F7"/>
    <w:rsid w:val="00646603"/>
    <w:rsid w:val="006466ED"/>
    <w:rsid w:val="00646A6D"/>
    <w:rsid w:val="00646C06"/>
    <w:rsid w:val="006475F0"/>
    <w:rsid w:val="006477BC"/>
    <w:rsid w:val="00647919"/>
    <w:rsid w:val="00647AB0"/>
    <w:rsid w:val="00647CE6"/>
    <w:rsid w:val="00647F4A"/>
    <w:rsid w:val="0065000C"/>
    <w:rsid w:val="006504A5"/>
    <w:rsid w:val="0065067C"/>
    <w:rsid w:val="0065072B"/>
    <w:rsid w:val="006508DA"/>
    <w:rsid w:val="00650938"/>
    <w:rsid w:val="00650A13"/>
    <w:rsid w:val="00650CD0"/>
    <w:rsid w:val="006513A9"/>
    <w:rsid w:val="00651791"/>
    <w:rsid w:val="00651F7C"/>
    <w:rsid w:val="00652132"/>
    <w:rsid w:val="00652307"/>
    <w:rsid w:val="006523C6"/>
    <w:rsid w:val="006526AD"/>
    <w:rsid w:val="00652CED"/>
    <w:rsid w:val="00652D53"/>
    <w:rsid w:val="00652EC3"/>
    <w:rsid w:val="006530DD"/>
    <w:rsid w:val="00653121"/>
    <w:rsid w:val="00653551"/>
    <w:rsid w:val="00653641"/>
    <w:rsid w:val="006536D7"/>
    <w:rsid w:val="00653E65"/>
    <w:rsid w:val="00653F91"/>
    <w:rsid w:val="006540F3"/>
    <w:rsid w:val="0065420E"/>
    <w:rsid w:val="00654469"/>
    <w:rsid w:val="006546DE"/>
    <w:rsid w:val="00654E85"/>
    <w:rsid w:val="00654E9B"/>
    <w:rsid w:val="00654F5F"/>
    <w:rsid w:val="00654F63"/>
    <w:rsid w:val="006550C4"/>
    <w:rsid w:val="00655196"/>
    <w:rsid w:val="0065539E"/>
    <w:rsid w:val="00655A2B"/>
    <w:rsid w:val="00655AC8"/>
    <w:rsid w:val="0065618C"/>
    <w:rsid w:val="00656458"/>
    <w:rsid w:val="006564C3"/>
    <w:rsid w:val="00656566"/>
    <w:rsid w:val="0065672B"/>
    <w:rsid w:val="0065680D"/>
    <w:rsid w:val="00656884"/>
    <w:rsid w:val="00656F5D"/>
    <w:rsid w:val="006570C5"/>
    <w:rsid w:val="006574B0"/>
    <w:rsid w:val="006576BA"/>
    <w:rsid w:val="00657773"/>
    <w:rsid w:val="00657935"/>
    <w:rsid w:val="00657CFC"/>
    <w:rsid w:val="00657FEC"/>
    <w:rsid w:val="00660001"/>
    <w:rsid w:val="00660007"/>
    <w:rsid w:val="00660437"/>
    <w:rsid w:val="00660820"/>
    <w:rsid w:val="00660DE1"/>
    <w:rsid w:val="006611F3"/>
    <w:rsid w:val="0066132A"/>
    <w:rsid w:val="006613F5"/>
    <w:rsid w:val="00661E0B"/>
    <w:rsid w:val="00661E2D"/>
    <w:rsid w:val="006622FA"/>
    <w:rsid w:val="0066230F"/>
    <w:rsid w:val="00662336"/>
    <w:rsid w:val="006627A7"/>
    <w:rsid w:val="00662822"/>
    <w:rsid w:val="006628A8"/>
    <w:rsid w:val="00662D85"/>
    <w:rsid w:val="006631DB"/>
    <w:rsid w:val="00663990"/>
    <w:rsid w:val="00663A3B"/>
    <w:rsid w:val="00663EB4"/>
    <w:rsid w:val="0066402E"/>
    <w:rsid w:val="006641BB"/>
    <w:rsid w:val="00664312"/>
    <w:rsid w:val="006644F4"/>
    <w:rsid w:val="006650FE"/>
    <w:rsid w:val="00665238"/>
    <w:rsid w:val="00665243"/>
    <w:rsid w:val="006657D6"/>
    <w:rsid w:val="00665900"/>
    <w:rsid w:val="0066612A"/>
    <w:rsid w:val="0066614D"/>
    <w:rsid w:val="0066682E"/>
    <w:rsid w:val="00666CCD"/>
    <w:rsid w:val="00666D85"/>
    <w:rsid w:val="0066723E"/>
    <w:rsid w:val="00667494"/>
    <w:rsid w:val="006678AB"/>
    <w:rsid w:val="0066795A"/>
    <w:rsid w:val="00667E2C"/>
    <w:rsid w:val="00667ED3"/>
    <w:rsid w:val="00667EDE"/>
    <w:rsid w:val="00670428"/>
    <w:rsid w:val="00670447"/>
    <w:rsid w:val="00670915"/>
    <w:rsid w:val="00670C4F"/>
    <w:rsid w:val="00670CC8"/>
    <w:rsid w:val="00670CD5"/>
    <w:rsid w:val="0067109F"/>
    <w:rsid w:val="00671182"/>
    <w:rsid w:val="0067177D"/>
    <w:rsid w:val="00671783"/>
    <w:rsid w:val="00671A92"/>
    <w:rsid w:val="00671C5D"/>
    <w:rsid w:val="00671CBD"/>
    <w:rsid w:val="00671D68"/>
    <w:rsid w:val="0067248C"/>
    <w:rsid w:val="00672554"/>
    <w:rsid w:val="00672642"/>
    <w:rsid w:val="006726ED"/>
    <w:rsid w:val="00672895"/>
    <w:rsid w:val="006728E3"/>
    <w:rsid w:val="00672CA8"/>
    <w:rsid w:val="00672DF7"/>
    <w:rsid w:val="00672EA1"/>
    <w:rsid w:val="00673066"/>
    <w:rsid w:val="00673196"/>
    <w:rsid w:val="006731CB"/>
    <w:rsid w:val="00673380"/>
    <w:rsid w:val="00673CE2"/>
    <w:rsid w:val="00673D00"/>
    <w:rsid w:val="00673D57"/>
    <w:rsid w:val="00673FF3"/>
    <w:rsid w:val="0067463B"/>
    <w:rsid w:val="00674A59"/>
    <w:rsid w:val="00674A83"/>
    <w:rsid w:val="00674AA3"/>
    <w:rsid w:val="00675672"/>
    <w:rsid w:val="00675F0F"/>
    <w:rsid w:val="00676108"/>
    <w:rsid w:val="00676387"/>
    <w:rsid w:val="00676747"/>
    <w:rsid w:val="00676806"/>
    <w:rsid w:val="00676B44"/>
    <w:rsid w:val="00676BA9"/>
    <w:rsid w:val="00676D8A"/>
    <w:rsid w:val="006770D6"/>
    <w:rsid w:val="00677165"/>
    <w:rsid w:val="0067736B"/>
    <w:rsid w:val="0067759E"/>
    <w:rsid w:val="00677700"/>
    <w:rsid w:val="006777D7"/>
    <w:rsid w:val="0067786B"/>
    <w:rsid w:val="00677BAB"/>
    <w:rsid w:val="00677FF7"/>
    <w:rsid w:val="00680390"/>
    <w:rsid w:val="006808B0"/>
    <w:rsid w:val="0068094E"/>
    <w:rsid w:val="00680C3F"/>
    <w:rsid w:val="00680CF3"/>
    <w:rsid w:val="00680EFD"/>
    <w:rsid w:val="00681066"/>
    <w:rsid w:val="00681791"/>
    <w:rsid w:val="00681836"/>
    <w:rsid w:val="00681994"/>
    <w:rsid w:val="00681E4C"/>
    <w:rsid w:val="00681EE6"/>
    <w:rsid w:val="0068217C"/>
    <w:rsid w:val="00682180"/>
    <w:rsid w:val="0068260F"/>
    <w:rsid w:val="00682B38"/>
    <w:rsid w:val="00682CFE"/>
    <w:rsid w:val="00683253"/>
    <w:rsid w:val="0068344D"/>
    <w:rsid w:val="006837BD"/>
    <w:rsid w:val="00683A1B"/>
    <w:rsid w:val="00683E8C"/>
    <w:rsid w:val="0068410E"/>
    <w:rsid w:val="00684124"/>
    <w:rsid w:val="00684238"/>
    <w:rsid w:val="00684380"/>
    <w:rsid w:val="00684519"/>
    <w:rsid w:val="00684922"/>
    <w:rsid w:val="00684E7E"/>
    <w:rsid w:val="006850A5"/>
    <w:rsid w:val="006853EB"/>
    <w:rsid w:val="00685618"/>
    <w:rsid w:val="00685714"/>
    <w:rsid w:val="006858D3"/>
    <w:rsid w:val="00685A59"/>
    <w:rsid w:val="00685B86"/>
    <w:rsid w:val="00685D64"/>
    <w:rsid w:val="00685E34"/>
    <w:rsid w:val="00685E4F"/>
    <w:rsid w:val="00685E66"/>
    <w:rsid w:val="0068603C"/>
    <w:rsid w:val="00686B74"/>
    <w:rsid w:val="00686D02"/>
    <w:rsid w:val="00686D70"/>
    <w:rsid w:val="00686F9C"/>
    <w:rsid w:val="006870FB"/>
    <w:rsid w:val="006871E6"/>
    <w:rsid w:val="006872D8"/>
    <w:rsid w:val="006873B3"/>
    <w:rsid w:val="006875A8"/>
    <w:rsid w:val="00687A8A"/>
    <w:rsid w:val="00687ECA"/>
    <w:rsid w:val="006904BF"/>
    <w:rsid w:val="00690D11"/>
    <w:rsid w:val="00690D97"/>
    <w:rsid w:val="00690FCA"/>
    <w:rsid w:val="0069108C"/>
    <w:rsid w:val="00691157"/>
    <w:rsid w:val="006916EC"/>
    <w:rsid w:val="006919A9"/>
    <w:rsid w:val="00691AEA"/>
    <w:rsid w:val="00691D00"/>
    <w:rsid w:val="00691E7E"/>
    <w:rsid w:val="00691E90"/>
    <w:rsid w:val="00692205"/>
    <w:rsid w:val="0069230D"/>
    <w:rsid w:val="00692395"/>
    <w:rsid w:val="00692727"/>
    <w:rsid w:val="00692AB5"/>
    <w:rsid w:val="00692C48"/>
    <w:rsid w:val="00692ED7"/>
    <w:rsid w:val="00692FAD"/>
    <w:rsid w:val="00693249"/>
    <w:rsid w:val="006934FD"/>
    <w:rsid w:val="00693510"/>
    <w:rsid w:val="0069362C"/>
    <w:rsid w:val="00693ACF"/>
    <w:rsid w:val="00693B52"/>
    <w:rsid w:val="00693B79"/>
    <w:rsid w:val="00693D22"/>
    <w:rsid w:val="00693E44"/>
    <w:rsid w:val="0069401E"/>
    <w:rsid w:val="006945D9"/>
    <w:rsid w:val="006947F5"/>
    <w:rsid w:val="00694C95"/>
    <w:rsid w:val="00694D5C"/>
    <w:rsid w:val="00695026"/>
    <w:rsid w:val="006952F9"/>
    <w:rsid w:val="006956EE"/>
    <w:rsid w:val="00695BFA"/>
    <w:rsid w:val="00695C1A"/>
    <w:rsid w:val="00695CBE"/>
    <w:rsid w:val="00695CCB"/>
    <w:rsid w:val="00695D9D"/>
    <w:rsid w:val="00695DED"/>
    <w:rsid w:val="00695E2D"/>
    <w:rsid w:val="00695F9B"/>
    <w:rsid w:val="00696593"/>
    <w:rsid w:val="006965DD"/>
    <w:rsid w:val="00696751"/>
    <w:rsid w:val="006968AB"/>
    <w:rsid w:val="00696AF1"/>
    <w:rsid w:val="00696BF3"/>
    <w:rsid w:val="00696DBC"/>
    <w:rsid w:val="00696E1C"/>
    <w:rsid w:val="00697088"/>
    <w:rsid w:val="00697137"/>
    <w:rsid w:val="00697310"/>
    <w:rsid w:val="00697439"/>
    <w:rsid w:val="0069755D"/>
    <w:rsid w:val="006975BD"/>
    <w:rsid w:val="006975FD"/>
    <w:rsid w:val="00697780"/>
    <w:rsid w:val="00697A81"/>
    <w:rsid w:val="00697C4C"/>
    <w:rsid w:val="00697F2E"/>
    <w:rsid w:val="006A01D3"/>
    <w:rsid w:val="006A03FA"/>
    <w:rsid w:val="006A0589"/>
    <w:rsid w:val="006A097F"/>
    <w:rsid w:val="006A0B3B"/>
    <w:rsid w:val="006A0B4E"/>
    <w:rsid w:val="006A0B7E"/>
    <w:rsid w:val="006A1124"/>
    <w:rsid w:val="006A1292"/>
    <w:rsid w:val="006A1699"/>
    <w:rsid w:val="006A16D0"/>
    <w:rsid w:val="006A198D"/>
    <w:rsid w:val="006A1C67"/>
    <w:rsid w:val="006A1CEF"/>
    <w:rsid w:val="006A1FA5"/>
    <w:rsid w:val="006A23F9"/>
    <w:rsid w:val="006A2525"/>
    <w:rsid w:val="006A2560"/>
    <w:rsid w:val="006A25BF"/>
    <w:rsid w:val="006A26F9"/>
    <w:rsid w:val="006A28E2"/>
    <w:rsid w:val="006A29A0"/>
    <w:rsid w:val="006A2BDC"/>
    <w:rsid w:val="006A2D5F"/>
    <w:rsid w:val="006A2E74"/>
    <w:rsid w:val="006A30F9"/>
    <w:rsid w:val="006A331D"/>
    <w:rsid w:val="006A33FF"/>
    <w:rsid w:val="006A36FE"/>
    <w:rsid w:val="006A3700"/>
    <w:rsid w:val="006A3C80"/>
    <w:rsid w:val="006A3F6C"/>
    <w:rsid w:val="006A4937"/>
    <w:rsid w:val="006A4BEF"/>
    <w:rsid w:val="006A52FA"/>
    <w:rsid w:val="006A563A"/>
    <w:rsid w:val="006A56BF"/>
    <w:rsid w:val="006A56EA"/>
    <w:rsid w:val="006A57B0"/>
    <w:rsid w:val="006A5C29"/>
    <w:rsid w:val="006A5D24"/>
    <w:rsid w:val="006A5E9D"/>
    <w:rsid w:val="006A5EC3"/>
    <w:rsid w:val="006A60EF"/>
    <w:rsid w:val="006A6137"/>
    <w:rsid w:val="006A6152"/>
    <w:rsid w:val="006A653A"/>
    <w:rsid w:val="006A6560"/>
    <w:rsid w:val="006A6A91"/>
    <w:rsid w:val="006A6C6B"/>
    <w:rsid w:val="006A6D11"/>
    <w:rsid w:val="006A7050"/>
    <w:rsid w:val="006A7152"/>
    <w:rsid w:val="006A7387"/>
    <w:rsid w:val="006A7563"/>
    <w:rsid w:val="006A7932"/>
    <w:rsid w:val="006A7DE7"/>
    <w:rsid w:val="006B00CA"/>
    <w:rsid w:val="006B03F5"/>
    <w:rsid w:val="006B0538"/>
    <w:rsid w:val="006B0625"/>
    <w:rsid w:val="006B0A62"/>
    <w:rsid w:val="006B1127"/>
    <w:rsid w:val="006B1171"/>
    <w:rsid w:val="006B1364"/>
    <w:rsid w:val="006B1669"/>
    <w:rsid w:val="006B1B6A"/>
    <w:rsid w:val="006B1BA8"/>
    <w:rsid w:val="006B1C10"/>
    <w:rsid w:val="006B1CDB"/>
    <w:rsid w:val="006B1CF4"/>
    <w:rsid w:val="006B1E4D"/>
    <w:rsid w:val="006B201E"/>
    <w:rsid w:val="006B20BD"/>
    <w:rsid w:val="006B23F5"/>
    <w:rsid w:val="006B25FD"/>
    <w:rsid w:val="006B302E"/>
    <w:rsid w:val="006B326D"/>
    <w:rsid w:val="006B3305"/>
    <w:rsid w:val="006B334F"/>
    <w:rsid w:val="006B372F"/>
    <w:rsid w:val="006B38FC"/>
    <w:rsid w:val="006B3B09"/>
    <w:rsid w:val="006B3CF6"/>
    <w:rsid w:val="006B40D3"/>
    <w:rsid w:val="006B42F7"/>
    <w:rsid w:val="006B4BBE"/>
    <w:rsid w:val="006B4EA8"/>
    <w:rsid w:val="006B50A7"/>
    <w:rsid w:val="006B5408"/>
    <w:rsid w:val="006B56E4"/>
    <w:rsid w:val="006B5E13"/>
    <w:rsid w:val="006B5E2D"/>
    <w:rsid w:val="006B5F39"/>
    <w:rsid w:val="006B5FCB"/>
    <w:rsid w:val="006B60DE"/>
    <w:rsid w:val="006B6294"/>
    <w:rsid w:val="006B6462"/>
    <w:rsid w:val="006B6605"/>
    <w:rsid w:val="006B6BE6"/>
    <w:rsid w:val="006B7107"/>
    <w:rsid w:val="006B712B"/>
    <w:rsid w:val="006B73A6"/>
    <w:rsid w:val="006B78DA"/>
    <w:rsid w:val="006B7C6C"/>
    <w:rsid w:val="006C0048"/>
    <w:rsid w:val="006C03FE"/>
    <w:rsid w:val="006C0632"/>
    <w:rsid w:val="006C08BA"/>
    <w:rsid w:val="006C0CA4"/>
    <w:rsid w:val="006C0D48"/>
    <w:rsid w:val="006C0F4A"/>
    <w:rsid w:val="006C13B9"/>
    <w:rsid w:val="006C1415"/>
    <w:rsid w:val="006C1CAF"/>
    <w:rsid w:val="006C211A"/>
    <w:rsid w:val="006C22D8"/>
    <w:rsid w:val="006C24DC"/>
    <w:rsid w:val="006C25B5"/>
    <w:rsid w:val="006C2624"/>
    <w:rsid w:val="006C28BD"/>
    <w:rsid w:val="006C2A29"/>
    <w:rsid w:val="006C2E57"/>
    <w:rsid w:val="006C33A1"/>
    <w:rsid w:val="006C3425"/>
    <w:rsid w:val="006C3525"/>
    <w:rsid w:val="006C35DB"/>
    <w:rsid w:val="006C35DC"/>
    <w:rsid w:val="006C3621"/>
    <w:rsid w:val="006C3688"/>
    <w:rsid w:val="006C39EE"/>
    <w:rsid w:val="006C3A80"/>
    <w:rsid w:val="006C3F76"/>
    <w:rsid w:val="006C3FDA"/>
    <w:rsid w:val="006C4318"/>
    <w:rsid w:val="006C44D0"/>
    <w:rsid w:val="006C4804"/>
    <w:rsid w:val="006C49F5"/>
    <w:rsid w:val="006C4BFA"/>
    <w:rsid w:val="006C4E64"/>
    <w:rsid w:val="006C4FC3"/>
    <w:rsid w:val="006C543D"/>
    <w:rsid w:val="006C577A"/>
    <w:rsid w:val="006C57B7"/>
    <w:rsid w:val="006C5B40"/>
    <w:rsid w:val="006C5CAE"/>
    <w:rsid w:val="006C5D28"/>
    <w:rsid w:val="006C5EA7"/>
    <w:rsid w:val="006C68BC"/>
    <w:rsid w:val="006C6A65"/>
    <w:rsid w:val="006C6B28"/>
    <w:rsid w:val="006C6C1C"/>
    <w:rsid w:val="006C6F91"/>
    <w:rsid w:val="006C70A8"/>
    <w:rsid w:val="006C7184"/>
    <w:rsid w:val="006C7262"/>
    <w:rsid w:val="006C7393"/>
    <w:rsid w:val="006C7664"/>
    <w:rsid w:val="006C77F8"/>
    <w:rsid w:val="006C7AEC"/>
    <w:rsid w:val="006C7C2F"/>
    <w:rsid w:val="006C7CB1"/>
    <w:rsid w:val="006C7D28"/>
    <w:rsid w:val="006D00D5"/>
    <w:rsid w:val="006D039C"/>
    <w:rsid w:val="006D051F"/>
    <w:rsid w:val="006D0799"/>
    <w:rsid w:val="006D0A4C"/>
    <w:rsid w:val="006D0B15"/>
    <w:rsid w:val="006D1096"/>
    <w:rsid w:val="006D10D8"/>
    <w:rsid w:val="006D110F"/>
    <w:rsid w:val="006D11B6"/>
    <w:rsid w:val="006D148E"/>
    <w:rsid w:val="006D1877"/>
    <w:rsid w:val="006D1C41"/>
    <w:rsid w:val="006D1DB2"/>
    <w:rsid w:val="006D1E14"/>
    <w:rsid w:val="006D1E80"/>
    <w:rsid w:val="006D1EFB"/>
    <w:rsid w:val="006D1F2E"/>
    <w:rsid w:val="006D22F3"/>
    <w:rsid w:val="006D2465"/>
    <w:rsid w:val="006D2F5A"/>
    <w:rsid w:val="006D3252"/>
    <w:rsid w:val="006D3327"/>
    <w:rsid w:val="006D3451"/>
    <w:rsid w:val="006D38D1"/>
    <w:rsid w:val="006D39A2"/>
    <w:rsid w:val="006D3CC5"/>
    <w:rsid w:val="006D3DCE"/>
    <w:rsid w:val="006D4430"/>
    <w:rsid w:val="006D495C"/>
    <w:rsid w:val="006D498A"/>
    <w:rsid w:val="006D49DC"/>
    <w:rsid w:val="006D4E75"/>
    <w:rsid w:val="006D4F55"/>
    <w:rsid w:val="006D581A"/>
    <w:rsid w:val="006D5AD3"/>
    <w:rsid w:val="006D5D02"/>
    <w:rsid w:val="006D62C5"/>
    <w:rsid w:val="006D668B"/>
    <w:rsid w:val="006D6820"/>
    <w:rsid w:val="006D68F1"/>
    <w:rsid w:val="006D6C3E"/>
    <w:rsid w:val="006D73E3"/>
    <w:rsid w:val="006D75B7"/>
    <w:rsid w:val="006D7775"/>
    <w:rsid w:val="006E00F6"/>
    <w:rsid w:val="006E0275"/>
    <w:rsid w:val="006E032E"/>
    <w:rsid w:val="006E057F"/>
    <w:rsid w:val="006E07A9"/>
    <w:rsid w:val="006E0899"/>
    <w:rsid w:val="006E0BD9"/>
    <w:rsid w:val="006E0CC1"/>
    <w:rsid w:val="006E0E33"/>
    <w:rsid w:val="006E161A"/>
    <w:rsid w:val="006E17C7"/>
    <w:rsid w:val="006E17E4"/>
    <w:rsid w:val="006E1851"/>
    <w:rsid w:val="006E1894"/>
    <w:rsid w:val="006E195D"/>
    <w:rsid w:val="006E1B0F"/>
    <w:rsid w:val="006E1FB9"/>
    <w:rsid w:val="006E2092"/>
    <w:rsid w:val="006E243A"/>
    <w:rsid w:val="006E246B"/>
    <w:rsid w:val="006E2761"/>
    <w:rsid w:val="006E27A6"/>
    <w:rsid w:val="006E298A"/>
    <w:rsid w:val="006E2D5B"/>
    <w:rsid w:val="006E2F1A"/>
    <w:rsid w:val="006E323A"/>
    <w:rsid w:val="006E32A8"/>
    <w:rsid w:val="006E3739"/>
    <w:rsid w:val="006E3790"/>
    <w:rsid w:val="006E3A4C"/>
    <w:rsid w:val="006E3B6F"/>
    <w:rsid w:val="006E4159"/>
    <w:rsid w:val="006E4570"/>
    <w:rsid w:val="006E46BA"/>
    <w:rsid w:val="006E4A8A"/>
    <w:rsid w:val="006E4ABD"/>
    <w:rsid w:val="006E4BF1"/>
    <w:rsid w:val="006E569A"/>
    <w:rsid w:val="006E5751"/>
    <w:rsid w:val="006E59C1"/>
    <w:rsid w:val="006E59E6"/>
    <w:rsid w:val="006E5A9D"/>
    <w:rsid w:val="006E5C9E"/>
    <w:rsid w:val="006E5DE5"/>
    <w:rsid w:val="006E5FFF"/>
    <w:rsid w:val="006E6029"/>
    <w:rsid w:val="006E64BB"/>
    <w:rsid w:val="006E6D30"/>
    <w:rsid w:val="006E6D91"/>
    <w:rsid w:val="006E7055"/>
    <w:rsid w:val="006E7298"/>
    <w:rsid w:val="006E7426"/>
    <w:rsid w:val="006E782B"/>
    <w:rsid w:val="006E7917"/>
    <w:rsid w:val="006E79F1"/>
    <w:rsid w:val="006E7A05"/>
    <w:rsid w:val="006F0052"/>
    <w:rsid w:val="006F02C0"/>
    <w:rsid w:val="006F052F"/>
    <w:rsid w:val="006F06EA"/>
    <w:rsid w:val="006F094D"/>
    <w:rsid w:val="006F0BA1"/>
    <w:rsid w:val="006F0EE8"/>
    <w:rsid w:val="006F1072"/>
    <w:rsid w:val="006F1089"/>
    <w:rsid w:val="006F11F8"/>
    <w:rsid w:val="006F1409"/>
    <w:rsid w:val="006F1569"/>
    <w:rsid w:val="006F15E1"/>
    <w:rsid w:val="006F16C8"/>
    <w:rsid w:val="006F1A42"/>
    <w:rsid w:val="006F1A45"/>
    <w:rsid w:val="006F2104"/>
    <w:rsid w:val="006F2238"/>
    <w:rsid w:val="006F230C"/>
    <w:rsid w:val="006F235B"/>
    <w:rsid w:val="006F237C"/>
    <w:rsid w:val="006F2418"/>
    <w:rsid w:val="006F2702"/>
    <w:rsid w:val="006F2919"/>
    <w:rsid w:val="006F2BDA"/>
    <w:rsid w:val="006F2D17"/>
    <w:rsid w:val="006F3076"/>
    <w:rsid w:val="006F33CA"/>
    <w:rsid w:val="006F3617"/>
    <w:rsid w:val="006F383C"/>
    <w:rsid w:val="006F3A64"/>
    <w:rsid w:val="006F3ACF"/>
    <w:rsid w:val="006F3DB8"/>
    <w:rsid w:val="006F3F2D"/>
    <w:rsid w:val="006F4184"/>
    <w:rsid w:val="006F4493"/>
    <w:rsid w:val="006F45D8"/>
    <w:rsid w:val="006F49D6"/>
    <w:rsid w:val="006F4AEB"/>
    <w:rsid w:val="006F4DF7"/>
    <w:rsid w:val="006F5153"/>
    <w:rsid w:val="006F52B0"/>
    <w:rsid w:val="006F5565"/>
    <w:rsid w:val="006F5590"/>
    <w:rsid w:val="006F57E3"/>
    <w:rsid w:val="006F5866"/>
    <w:rsid w:val="006F5DFC"/>
    <w:rsid w:val="006F5F71"/>
    <w:rsid w:val="006F6658"/>
    <w:rsid w:val="006F6736"/>
    <w:rsid w:val="006F6851"/>
    <w:rsid w:val="006F696D"/>
    <w:rsid w:val="006F69D5"/>
    <w:rsid w:val="006F6D21"/>
    <w:rsid w:val="006F6E31"/>
    <w:rsid w:val="006F738C"/>
    <w:rsid w:val="006F7667"/>
    <w:rsid w:val="006F7731"/>
    <w:rsid w:val="006F77E0"/>
    <w:rsid w:val="006F7A31"/>
    <w:rsid w:val="006F7D94"/>
    <w:rsid w:val="006F7EF8"/>
    <w:rsid w:val="00700122"/>
    <w:rsid w:val="007003A1"/>
    <w:rsid w:val="0070051E"/>
    <w:rsid w:val="0070065B"/>
    <w:rsid w:val="00700860"/>
    <w:rsid w:val="00700C01"/>
    <w:rsid w:val="00700D07"/>
    <w:rsid w:val="00700D22"/>
    <w:rsid w:val="00700D6A"/>
    <w:rsid w:val="00700E9A"/>
    <w:rsid w:val="00701211"/>
    <w:rsid w:val="00701366"/>
    <w:rsid w:val="00701373"/>
    <w:rsid w:val="0070145E"/>
    <w:rsid w:val="007016B9"/>
    <w:rsid w:val="00701A3F"/>
    <w:rsid w:val="00701A4C"/>
    <w:rsid w:val="00701B0B"/>
    <w:rsid w:val="00701BFA"/>
    <w:rsid w:val="00701D18"/>
    <w:rsid w:val="00701E4B"/>
    <w:rsid w:val="00701F0F"/>
    <w:rsid w:val="00702A97"/>
    <w:rsid w:val="00702AEB"/>
    <w:rsid w:val="00702C31"/>
    <w:rsid w:val="00703025"/>
    <w:rsid w:val="007032A0"/>
    <w:rsid w:val="00703357"/>
    <w:rsid w:val="007033E0"/>
    <w:rsid w:val="00703421"/>
    <w:rsid w:val="007035EC"/>
    <w:rsid w:val="007035FE"/>
    <w:rsid w:val="00703659"/>
    <w:rsid w:val="00703B7F"/>
    <w:rsid w:val="00703CAC"/>
    <w:rsid w:val="00703D12"/>
    <w:rsid w:val="00703D66"/>
    <w:rsid w:val="00703DAD"/>
    <w:rsid w:val="00704407"/>
    <w:rsid w:val="00704712"/>
    <w:rsid w:val="00704791"/>
    <w:rsid w:val="00704899"/>
    <w:rsid w:val="00704A81"/>
    <w:rsid w:val="00704E33"/>
    <w:rsid w:val="00705068"/>
    <w:rsid w:val="00705BF7"/>
    <w:rsid w:val="00705DFF"/>
    <w:rsid w:val="00705ECE"/>
    <w:rsid w:val="007064B4"/>
    <w:rsid w:val="0070656A"/>
    <w:rsid w:val="00706645"/>
    <w:rsid w:val="00706793"/>
    <w:rsid w:val="00706961"/>
    <w:rsid w:val="00706B62"/>
    <w:rsid w:val="00706D09"/>
    <w:rsid w:val="00706E0D"/>
    <w:rsid w:val="00706E75"/>
    <w:rsid w:val="00706F8F"/>
    <w:rsid w:val="007070DF"/>
    <w:rsid w:val="00707695"/>
    <w:rsid w:val="007079F6"/>
    <w:rsid w:val="00707BA1"/>
    <w:rsid w:val="00707C7D"/>
    <w:rsid w:val="00707FA3"/>
    <w:rsid w:val="00710452"/>
    <w:rsid w:val="007106A1"/>
    <w:rsid w:val="00710790"/>
    <w:rsid w:val="00710798"/>
    <w:rsid w:val="0071080C"/>
    <w:rsid w:val="00710AA7"/>
    <w:rsid w:val="00710CCB"/>
    <w:rsid w:val="00710CF2"/>
    <w:rsid w:val="00710DCA"/>
    <w:rsid w:val="00710DE6"/>
    <w:rsid w:val="00710F8F"/>
    <w:rsid w:val="00711409"/>
    <w:rsid w:val="00711442"/>
    <w:rsid w:val="00711F34"/>
    <w:rsid w:val="00712120"/>
    <w:rsid w:val="00712126"/>
    <w:rsid w:val="00712163"/>
    <w:rsid w:val="00712D8C"/>
    <w:rsid w:val="00712F71"/>
    <w:rsid w:val="00712FF3"/>
    <w:rsid w:val="00713094"/>
    <w:rsid w:val="0071348F"/>
    <w:rsid w:val="00713650"/>
    <w:rsid w:val="007136AC"/>
    <w:rsid w:val="007139AC"/>
    <w:rsid w:val="00713B1A"/>
    <w:rsid w:val="00713BA1"/>
    <w:rsid w:val="00713C28"/>
    <w:rsid w:val="00713CF0"/>
    <w:rsid w:val="007142DF"/>
    <w:rsid w:val="00714706"/>
    <w:rsid w:val="007147F2"/>
    <w:rsid w:val="00714B69"/>
    <w:rsid w:val="007152D6"/>
    <w:rsid w:val="0071551C"/>
    <w:rsid w:val="007159DA"/>
    <w:rsid w:val="00715F18"/>
    <w:rsid w:val="0071680D"/>
    <w:rsid w:val="00716A26"/>
    <w:rsid w:val="00716B8A"/>
    <w:rsid w:val="00716D75"/>
    <w:rsid w:val="00716FDB"/>
    <w:rsid w:val="00717080"/>
    <w:rsid w:val="00717140"/>
    <w:rsid w:val="00717867"/>
    <w:rsid w:val="007200F6"/>
    <w:rsid w:val="0072036E"/>
    <w:rsid w:val="0072046D"/>
    <w:rsid w:val="0072055D"/>
    <w:rsid w:val="007208B5"/>
    <w:rsid w:val="007208E9"/>
    <w:rsid w:val="00720A6D"/>
    <w:rsid w:val="00720EF7"/>
    <w:rsid w:val="0072116C"/>
    <w:rsid w:val="00721865"/>
    <w:rsid w:val="007219E8"/>
    <w:rsid w:val="00721D77"/>
    <w:rsid w:val="00722019"/>
    <w:rsid w:val="00722940"/>
    <w:rsid w:val="00722A61"/>
    <w:rsid w:val="00722AE6"/>
    <w:rsid w:val="00722CDD"/>
    <w:rsid w:val="00722CEA"/>
    <w:rsid w:val="007230C7"/>
    <w:rsid w:val="007233E6"/>
    <w:rsid w:val="00723497"/>
    <w:rsid w:val="00723AB9"/>
    <w:rsid w:val="00723BF2"/>
    <w:rsid w:val="007240A2"/>
    <w:rsid w:val="00724541"/>
    <w:rsid w:val="0072478A"/>
    <w:rsid w:val="0072481B"/>
    <w:rsid w:val="00724D54"/>
    <w:rsid w:val="00724D57"/>
    <w:rsid w:val="00725385"/>
    <w:rsid w:val="0072540A"/>
    <w:rsid w:val="00725450"/>
    <w:rsid w:val="0072555C"/>
    <w:rsid w:val="00725577"/>
    <w:rsid w:val="00725607"/>
    <w:rsid w:val="00725632"/>
    <w:rsid w:val="00725916"/>
    <w:rsid w:val="00725A82"/>
    <w:rsid w:val="00726596"/>
    <w:rsid w:val="007267D8"/>
    <w:rsid w:val="00726997"/>
    <w:rsid w:val="00726A2D"/>
    <w:rsid w:val="00726D5D"/>
    <w:rsid w:val="00726E24"/>
    <w:rsid w:val="00726E58"/>
    <w:rsid w:val="00726FA1"/>
    <w:rsid w:val="00726FF2"/>
    <w:rsid w:val="00726FFC"/>
    <w:rsid w:val="00727424"/>
    <w:rsid w:val="0072767B"/>
    <w:rsid w:val="00727ABF"/>
    <w:rsid w:val="00727DEF"/>
    <w:rsid w:val="00727F99"/>
    <w:rsid w:val="0073034D"/>
    <w:rsid w:val="007303C1"/>
    <w:rsid w:val="0073040B"/>
    <w:rsid w:val="0073048C"/>
    <w:rsid w:val="007307D7"/>
    <w:rsid w:val="00730B2E"/>
    <w:rsid w:val="00730C44"/>
    <w:rsid w:val="00730CC5"/>
    <w:rsid w:val="00730DC2"/>
    <w:rsid w:val="00731132"/>
    <w:rsid w:val="00731425"/>
    <w:rsid w:val="00731449"/>
    <w:rsid w:val="007318D0"/>
    <w:rsid w:val="00731C15"/>
    <w:rsid w:val="00731CC1"/>
    <w:rsid w:val="007327D4"/>
    <w:rsid w:val="007328F3"/>
    <w:rsid w:val="00732988"/>
    <w:rsid w:val="00732CD8"/>
    <w:rsid w:val="007331BF"/>
    <w:rsid w:val="0073326A"/>
    <w:rsid w:val="00733313"/>
    <w:rsid w:val="007333B2"/>
    <w:rsid w:val="007333BB"/>
    <w:rsid w:val="0073340B"/>
    <w:rsid w:val="00733463"/>
    <w:rsid w:val="0073367F"/>
    <w:rsid w:val="007336D0"/>
    <w:rsid w:val="00733926"/>
    <w:rsid w:val="007348B9"/>
    <w:rsid w:val="00734A10"/>
    <w:rsid w:val="00734A59"/>
    <w:rsid w:val="00734ABF"/>
    <w:rsid w:val="00734C78"/>
    <w:rsid w:val="00734E94"/>
    <w:rsid w:val="00735100"/>
    <w:rsid w:val="007353E5"/>
    <w:rsid w:val="00735485"/>
    <w:rsid w:val="00735661"/>
    <w:rsid w:val="00735674"/>
    <w:rsid w:val="00736343"/>
    <w:rsid w:val="00736350"/>
    <w:rsid w:val="007367AC"/>
    <w:rsid w:val="00736B38"/>
    <w:rsid w:val="00737121"/>
    <w:rsid w:val="00737183"/>
    <w:rsid w:val="007378DF"/>
    <w:rsid w:val="00737937"/>
    <w:rsid w:val="00737B2C"/>
    <w:rsid w:val="00737C4D"/>
    <w:rsid w:val="00737F92"/>
    <w:rsid w:val="00740213"/>
    <w:rsid w:val="00740354"/>
    <w:rsid w:val="00740554"/>
    <w:rsid w:val="0074064F"/>
    <w:rsid w:val="0074075E"/>
    <w:rsid w:val="00740794"/>
    <w:rsid w:val="00740BEF"/>
    <w:rsid w:val="00740C10"/>
    <w:rsid w:val="00740F83"/>
    <w:rsid w:val="0074164C"/>
    <w:rsid w:val="0074174E"/>
    <w:rsid w:val="00741931"/>
    <w:rsid w:val="00741CB3"/>
    <w:rsid w:val="00741CED"/>
    <w:rsid w:val="00742070"/>
    <w:rsid w:val="00742623"/>
    <w:rsid w:val="0074268D"/>
    <w:rsid w:val="00742739"/>
    <w:rsid w:val="0074286A"/>
    <w:rsid w:val="00743057"/>
    <w:rsid w:val="00743173"/>
    <w:rsid w:val="00743BEC"/>
    <w:rsid w:val="00743CA2"/>
    <w:rsid w:val="00743E6C"/>
    <w:rsid w:val="00743E6F"/>
    <w:rsid w:val="007441FE"/>
    <w:rsid w:val="0074455F"/>
    <w:rsid w:val="00744702"/>
    <w:rsid w:val="007447B1"/>
    <w:rsid w:val="00744C32"/>
    <w:rsid w:val="00744CF5"/>
    <w:rsid w:val="00744D7E"/>
    <w:rsid w:val="00745649"/>
    <w:rsid w:val="00745F24"/>
    <w:rsid w:val="00746498"/>
    <w:rsid w:val="007464B7"/>
    <w:rsid w:val="00746521"/>
    <w:rsid w:val="0074678F"/>
    <w:rsid w:val="007468FB"/>
    <w:rsid w:val="00746D42"/>
    <w:rsid w:val="0074743A"/>
    <w:rsid w:val="007476CF"/>
    <w:rsid w:val="00747755"/>
    <w:rsid w:val="00747BAB"/>
    <w:rsid w:val="00747E0B"/>
    <w:rsid w:val="00747EC0"/>
    <w:rsid w:val="00747FC3"/>
    <w:rsid w:val="007500A7"/>
    <w:rsid w:val="0075047B"/>
    <w:rsid w:val="007504E3"/>
    <w:rsid w:val="00750AC5"/>
    <w:rsid w:val="00750BD8"/>
    <w:rsid w:val="00750C01"/>
    <w:rsid w:val="00750D27"/>
    <w:rsid w:val="00750FCD"/>
    <w:rsid w:val="007510B7"/>
    <w:rsid w:val="007512E1"/>
    <w:rsid w:val="00751702"/>
    <w:rsid w:val="00751747"/>
    <w:rsid w:val="00751764"/>
    <w:rsid w:val="00751881"/>
    <w:rsid w:val="00751A63"/>
    <w:rsid w:val="00751B4E"/>
    <w:rsid w:val="00751C5B"/>
    <w:rsid w:val="007521A3"/>
    <w:rsid w:val="007524E6"/>
    <w:rsid w:val="00752662"/>
    <w:rsid w:val="007526A7"/>
    <w:rsid w:val="00752BCA"/>
    <w:rsid w:val="007536BE"/>
    <w:rsid w:val="007537CC"/>
    <w:rsid w:val="007543DD"/>
    <w:rsid w:val="00754A5B"/>
    <w:rsid w:val="00754E43"/>
    <w:rsid w:val="0075537F"/>
    <w:rsid w:val="00755429"/>
    <w:rsid w:val="007554FB"/>
    <w:rsid w:val="0075581F"/>
    <w:rsid w:val="0075590D"/>
    <w:rsid w:val="00755D5D"/>
    <w:rsid w:val="00755FEF"/>
    <w:rsid w:val="0075642B"/>
    <w:rsid w:val="007566D8"/>
    <w:rsid w:val="00756BB1"/>
    <w:rsid w:val="00757287"/>
    <w:rsid w:val="00757423"/>
    <w:rsid w:val="00757493"/>
    <w:rsid w:val="007578ED"/>
    <w:rsid w:val="00757994"/>
    <w:rsid w:val="00757E96"/>
    <w:rsid w:val="00757EDF"/>
    <w:rsid w:val="007605C1"/>
    <w:rsid w:val="00760D13"/>
    <w:rsid w:val="007610D0"/>
    <w:rsid w:val="007610D6"/>
    <w:rsid w:val="007613C7"/>
    <w:rsid w:val="00761623"/>
    <w:rsid w:val="007618F5"/>
    <w:rsid w:val="00761ABA"/>
    <w:rsid w:val="00761C25"/>
    <w:rsid w:val="00761C45"/>
    <w:rsid w:val="007622BA"/>
    <w:rsid w:val="00762318"/>
    <w:rsid w:val="0076231E"/>
    <w:rsid w:val="0076275A"/>
    <w:rsid w:val="00762919"/>
    <w:rsid w:val="00762F8B"/>
    <w:rsid w:val="00763920"/>
    <w:rsid w:val="00763A55"/>
    <w:rsid w:val="00763A8E"/>
    <w:rsid w:val="0076444B"/>
    <w:rsid w:val="0076449A"/>
    <w:rsid w:val="00764531"/>
    <w:rsid w:val="0076478A"/>
    <w:rsid w:val="00764A20"/>
    <w:rsid w:val="007651E9"/>
    <w:rsid w:val="00765256"/>
    <w:rsid w:val="00765471"/>
    <w:rsid w:val="0076564A"/>
    <w:rsid w:val="007656D5"/>
    <w:rsid w:val="00765838"/>
    <w:rsid w:val="007658B0"/>
    <w:rsid w:val="0076598A"/>
    <w:rsid w:val="00765AA5"/>
    <w:rsid w:val="00765AB6"/>
    <w:rsid w:val="00765BD4"/>
    <w:rsid w:val="00765D55"/>
    <w:rsid w:val="0076627F"/>
    <w:rsid w:val="00766551"/>
    <w:rsid w:val="0076690E"/>
    <w:rsid w:val="00766982"/>
    <w:rsid w:val="00766A63"/>
    <w:rsid w:val="00766C2A"/>
    <w:rsid w:val="007670D2"/>
    <w:rsid w:val="0076710C"/>
    <w:rsid w:val="007672F9"/>
    <w:rsid w:val="007678BD"/>
    <w:rsid w:val="00767A51"/>
    <w:rsid w:val="00767AE8"/>
    <w:rsid w:val="00767ECB"/>
    <w:rsid w:val="007703A8"/>
    <w:rsid w:val="00770454"/>
    <w:rsid w:val="00770457"/>
    <w:rsid w:val="007707A9"/>
    <w:rsid w:val="00770A74"/>
    <w:rsid w:val="00771446"/>
    <w:rsid w:val="007714E4"/>
    <w:rsid w:val="0077170C"/>
    <w:rsid w:val="007717BA"/>
    <w:rsid w:val="007719DA"/>
    <w:rsid w:val="00771DB6"/>
    <w:rsid w:val="00771F7B"/>
    <w:rsid w:val="007721A4"/>
    <w:rsid w:val="00772215"/>
    <w:rsid w:val="007724E8"/>
    <w:rsid w:val="007725D7"/>
    <w:rsid w:val="00772AE5"/>
    <w:rsid w:val="00772DB0"/>
    <w:rsid w:val="00772EC4"/>
    <w:rsid w:val="00772FC6"/>
    <w:rsid w:val="0077326D"/>
    <w:rsid w:val="007734E7"/>
    <w:rsid w:val="007738AE"/>
    <w:rsid w:val="0077395F"/>
    <w:rsid w:val="00773A3A"/>
    <w:rsid w:val="00773A93"/>
    <w:rsid w:val="00773B85"/>
    <w:rsid w:val="00773D39"/>
    <w:rsid w:val="00773D56"/>
    <w:rsid w:val="007740B2"/>
    <w:rsid w:val="00774454"/>
    <w:rsid w:val="00774544"/>
    <w:rsid w:val="0077473C"/>
    <w:rsid w:val="007748D1"/>
    <w:rsid w:val="00774BA3"/>
    <w:rsid w:val="007752C7"/>
    <w:rsid w:val="007753D4"/>
    <w:rsid w:val="0077554F"/>
    <w:rsid w:val="007756B5"/>
    <w:rsid w:val="00775830"/>
    <w:rsid w:val="007758C8"/>
    <w:rsid w:val="007759D7"/>
    <w:rsid w:val="00775FB8"/>
    <w:rsid w:val="0077601C"/>
    <w:rsid w:val="00776229"/>
    <w:rsid w:val="0077631D"/>
    <w:rsid w:val="007764D5"/>
    <w:rsid w:val="007768D0"/>
    <w:rsid w:val="0077697D"/>
    <w:rsid w:val="00776F49"/>
    <w:rsid w:val="0077719B"/>
    <w:rsid w:val="007777D9"/>
    <w:rsid w:val="0077781A"/>
    <w:rsid w:val="00777B6C"/>
    <w:rsid w:val="00777B6D"/>
    <w:rsid w:val="00777C0D"/>
    <w:rsid w:val="00780058"/>
    <w:rsid w:val="00780283"/>
    <w:rsid w:val="007803E1"/>
    <w:rsid w:val="007809B5"/>
    <w:rsid w:val="00780ADD"/>
    <w:rsid w:val="00780B54"/>
    <w:rsid w:val="00780F54"/>
    <w:rsid w:val="007813AD"/>
    <w:rsid w:val="00781564"/>
    <w:rsid w:val="00781634"/>
    <w:rsid w:val="0078195F"/>
    <w:rsid w:val="00781A27"/>
    <w:rsid w:val="0078207E"/>
    <w:rsid w:val="00782533"/>
    <w:rsid w:val="00782D41"/>
    <w:rsid w:val="00782E1C"/>
    <w:rsid w:val="00782E64"/>
    <w:rsid w:val="00783050"/>
    <w:rsid w:val="0078310D"/>
    <w:rsid w:val="00783542"/>
    <w:rsid w:val="0078364A"/>
    <w:rsid w:val="007837E6"/>
    <w:rsid w:val="00783899"/>
    <w:rsid w:val="00783AE9"/>
    <w:rsid w:val="0078412B"/>
    <w:rsid w:val="007841B7"/>
    <w:rsid w:val="007842CA"/>
    <w:rsid w:val="0078434E"/>
    <w:rsid w:val="0078451B"/>
    <w:rsid w:val="007845BA"/>
    <w:rsid w:val="0078472A"/>
    <w:rsid w:val="007847F0"/>
    <w:rsid w:val="00784B13"/>
    <w:rsid w:val="00784BCA"/>
    <w:rsid w:val="00784BCE"/>
    <w:rsid w:val="00784BD5"/>
    <w:rsid w:val="007850AE"/>
    <w:rsid w:val="00785513"/>
    <w:rsid w:val="0078558A"/>
    <w:rsid w:val="007855A3"/>
    <w:rsid w:val="00785BB1"/>
    <w:rsid w:val="007860FB"/>
    <w:rsid w:val="007862CC"/>
    <w:rsid w:val="007862F9"/>
    <w:rsid w:val="007863BC"/>
    <w:rsid w:val="007866D9"/>
    <w:rsid w:val="0078680C"/>
    <w:rsid w:val="0078693A"/>
    <w:rsid w:val="00786C25"/>
    <w:rsid w:val="00786C98"/>
    <w:rsid w:val="00786E48"/>
    <w:rsid w:val="00786E4F"/>
    <w:rsid w:val="00786F18"/>
    <w:rsid w:val="00786F70"/>
    <w:rsid w:val="007877E0"/>
    <w:rsid w:val="00787AF3"/>
    <w:rsid w:val="00787BC0"/>
    <w:rsid w:val="0079015B"/>
    <w:rsid w:val="0079019C"/>
    <w:rsid w:val="00790397"/>
    <w:rsid w:val="007904E0"/>
    <w:rsid w:val="00790550"/>
    <w:rsid w:val="007908D2"/>
    <w:rsid w:val="00790B21"/>
    <w:rsid w:val="0079116C"/>
    <w:rsid w:val="0079137B"/>
    <w:rsid w:val="00791411"/>
    <w:rsid w:val="00791AE3"/>
    <w:rsid w:val="00791E2C"/>
    <w:rsid w:val="00792150"/>
    <w:rsid w:val="00792193"/>
    <w:rsid w:val="00792304"/>
    <w:rsid w:val="00792327"/>
    <w:rsid w:val="007924E0"/>
    <w:rsid w:val="007924F6"/>
    <w:rsid w:val="00792571"/>
    <w:rsid w:val="00792598"/>
    <w:rsid w:val="0079285F"/>
    <w:rsid w:val="00792D26"/>
    <w:rsid w:val="00792E54"/>
    <w:rsid w:val="0079319D"/>
    <w:rsid w:val="00793374"/>
    <w:rsid w:val="00793B77"/>
    <w:rsid w:val="00793D4E"/>
    <w:rsid w:val="00793E03"/>
    <w:rsid w:val="00793E2F"/>
    <w:rsid w:val="00793FA1"/>
    <w:rsid w:val="00794023"/>
    <w:rsid w:val="007940CD"/>
    <w:rsid w:val="007942C1"/>
    <w:rsid w:val="0079452B"/>
    <w:rsid w:val="00794E67"/>
    <w:rsid w:val="0079522A"/>
    <w:rsid w:val="007957DE"/>
    <w:rsid w:val="007959B9"/>
    <w:rsid w:val="00795AAE"/>
    <w:rsid w:val="00795DB3"/>
    <w:rsid w:val="00796414"/>
    <w:rsid w:val="00796871"/>
    <w:rsid w:val="0079705B"/>
    <w:rsid w:val="00797090"/>
    <w:rsid w:val="007972EF"/>
    <w:rsid w:val="00797552"/>
    <w:rsid w:val="007976D4"/>
    <w:rsid w:val="007977EA"/>
    <w:rsid w:val="00797A3E"/>
    <w:rsid w:val="00797BB9"/>
    <w:rsid w:val="00797BFE"/>
    <w:rsid w:val="00797E06"/>
    <w:rsid w:val="007A04E1"/>
    <w:rsid w:val="007A0562"/>
    <w:rsid w:val="007A0615"/>
    <w:rsid w:val="007A0705"/>
    <w:rsid w:val="007A07D7"/>
    <w:rsid w:val="007A092B"/>
    <w:rsid w:val="007A0AD2"/>
    <w:rsid w:val="007A0AF7"/>
    <w:rsid w:val="007A0B26"/>
    <w:rsid w:val="007A0FC0"/>
    <w:rsid w:val="007A1890"/>
    <w:rsid w:val="007A1B28"/>
    <w:rsid w:val="007A1C00"/>
    <w:rsid w:val="007A2195"/>
    <w:rsid w:val="007A240E"/>
    <w:rsid w:val="007A28AB"/>
    <w:rsid w:val="007A2A76"/>
    <w:rsid w:val="007A2D79"/>
    <w:rsid w:val="007A2EF1"/>
    <w:rsid w:val="007A3411"/>
    <w:rsid w:val="007A3460"/>
    <w:rsid w:val="007A390C"/>
    <w:rsid w:val="007A3DE9"/>
    <w:rsid w:val="007A3DF6"/>
    <w:rsid w:val="007A43BA"/>
    <w:rsid w:val="007A4443"/>
    <w:rsid w:val="007A45CE"/>
    <w:rsid w:val="007A45E0"/>
    <w:rsid w:val="007A48F3"/>
    <w:rsid w:val="007A4B1D"/>
    <w:rsid w:val="007A5042"/>
    <w:rsid w:val="007A511E"/>
    <w:rsid w:val="007A5216"/>
    <w:rsid w:val="007A5245"/>
    <w:rsid w:val="007A5684"/>
    <w:rsid w:val="007A59B1"/>
    <w:rsid w:val="007A5BE3"/>
    <w:rsid w:val="007A5C49"/>
    <w:rsid w:val="007A5C83"/>
    <w:rsid w:val="007A60B7"/>
    <w:rsid w:val="007A63B8"/>
    <w:rsid w:val="007A6A11"/>
    <w:rsid w:val="007A6B8B"/>
    <w:rsid w:val="007A6E78"/>
    <w:rsid w:val="007A7201"/>
    <w:rsid w:val="007A7265"/>
    <w:rsid w:val="007A72F4"/>
    <w:rsid w:val="007A759C"/>
    <w:rsid w:val="007A7764"/>
    <w:rsid w:val="007A78BF"/>
    <w:rsid w:val="007A7A27"/>
    <w:rsid w:val="007A7A93"/>
    <w:rsid w:val="007B05F7"/>
    <w:rsid w:val="007B0701"/>
    <w:rsid w:val="007B0B38"/>
    <w:rsid w:val="007B0B9B"/>
    <w:rsid w:val="007B0CBC"/>
    <w:rsid w:val="007B0D96"/>
    <w:rsid w:val="007B144B"/>
    <w:rsid w:val="007B1B0E"/>
    <w:rsid w:val="007B1FC8"/>
    <w:rsid w:val="007B2293"/>
    <w:rsid w:val="007B2301"/>
    <w:rsid w:val="007B23A4"/>
    <w:rsid w:val="007B23EB"/>
    <w:rsid w:val="007B23FB"/>
    <w:rsid w:val="007B2504"/>
    <w:rsid w:val="007B29B7"/>
    <w:rsid w:val="007B2B50"/>
    <w:rsid w:val="007B2EFB"/>
    <w:rsid w:val="007B3444"/>
    <w:rsid w:val="007B399E"/>
    <w:rsid w:val="007B3BBA"/>
    <w:rsid w:val="007B3CB1"/>
    <w:rsid w:val="007B408E"/>
    <w:rsid w:val="007B4155"/>
    <w:rsid w:val="007B4BD5"/>
    <w:rsid w:val="007B4D04"/>
    <w:rsid w:val="007B5328"/>
    <w:rsid w:val="007B53B2"/>
    <w:rsid w:val="007B5C93"/>
    <w:rsid w:val="007B6001"/>
    <w:rsid w:val="007B609C"/>
    <w:rsid w:val="007B6282"/>
    <w:rsid w:val="007B62E8"/>
    <w:rsid w:val="007B65AE"/>
    <w:rsid w:val="007B67D6"/>
    <w:rsid w:val="007B68EB"/>
    <w:rsid w:val="007B6B60"/>
    <w:rsid w:val="007B6C44"/>
    <w:rsid w:val="007B6D59"/>
    <w:rsid w:val="007B7509"/>
    <w:rsid w:val="007B7E76"/>
    <w:rsid w:val="007C00FA"/>
    <w:rsid w:val="007C076C"/>
    <w:rsid w:val="007C0A76"/>
    <w:rsid w:val="007C0AE4"/>
    <w:rsid w:val="007C0BA9"/>
    <w:rsid w:val="007C0C57"/>
    <w:rsid w:val="007C0D14"/>
    <w:rsid w:val="007C0D1E"/>
    <w:rsid w:val="007C0E91"/>
    <w:rsid w:val="007C1011"/>
    <w:rsid w:val="007C10A6"/>
    <w:rsid w:val="007C10E9"/>
    <w:rsid w:val="007C111E"/>
    <w:rsid w:val="007C1284"/>
    <w:rsid w:val="007C12DF"/>
    <w:rsid w:val="007C16BB"/>
    <w:rsid w:val="007C1716"/>
    <w:rsid w:val="007C17F8"/>
    <w:rsid w:val="007C1B87"/>
    <w:rsid w:val="007C1BA8"/>
    <w:rsid w:val="007C1EB1"/>
    <w:rsid w:val="007C215F"/>
    <w:rsid w:val="007C2382"/>
    <w:rsid w:val="007C23BF"/>
    <w:rsid w:val="007C23D6"/>
    <w:rsid w:val="007C24E5"/>
    <w:rsid w:val="007C2586"/>
    <w:rsid w:val="007C27A3"/>
    <w:rsid w:val="007C31A8"/>
    <w:rsid w:val="007C334F"/>
    <w:rsid w:val="007C36E7"/>
    <w:rsid w:val="007C3812"/>
    <w:rsid w:val="007C3C59"/>
    <w:rsid w:val="007C3EE7"/>
    <w:rsid w:val="007C3F2B"/>
    <w:rsid w:val="007C4247"/>
    <w:rsid w:val="007C42DC"/>
    <w:rsid w:val="007C44DC"/>
    <w:rsid w:val="007C4581"/>
    <w:rsid w:val="007C4699"/>
    <w:rsid w:val="007C4754"/>
    <w:rsid w:val="007C480C"/>
    <w:rsid w:val="007C4908"/>
    <w:rsid w:val="007C492F"/>
    <w:rsid w:val="007C4BAB"/>
    <w:rsid w:val="007C4F7E"/>
    <w:rsid w:val="007C5422"/>
    <w:rsid w:val="007C5863"/>
    <w:rsid w:val="007C59B9"/>
    <w:rsid w:val="007C5B91"/>
    <w:rsid w:val="007C5EE1"/>
    <w:rsid w:val="007C5EE7"/>
    <w:rsid w:val="007C6492"/>
    <w:rsid w:val="007C6C48"/>
    <w:rsid w:val="007C71F4"/>
    <w:rsid w:val="007C720A"/>
    <w:rsid w:val="007C78B3"/>
    <w:rsid w:val="007C79E7"/>
    <w:rsid w:val="007C7A62"/>
    <w:rsid w:val="007C7BA4"/>
    <w:rsid w:val="007C7DCB"/>
    <w:rsid w:val="007C7F2D"/>
    <w:rsid w:val="007C7FA6"/>
    <w:rsid w:val="007D0105"/>
    <w:rsid w:val="007D028B"/>
    <w:rsid w:val="007D029B"/>
    <w:rsid w:val="007D0492"/>
    <w:rsid w:val="007D0AB1"/>
    <w:rsid w:val="007D0C27"/>
    <w:rsid w:val="007D0D30"/>
    <w:rsid w:val="007D0F42"/>
    <w:rsid w:val="007D1143"/>
    <w:rsid w:val="007D12A2"/>
    <w:rsid w:val="007D12ED"/>
    <w:rsid w:val="007D1427"/>
    <w:rsid w:val="007D1D2C"/>
    <w:rsid w:val="007D1EAB"/>
    <w:rsid w:val="007D238F"/>
    <w:rsid w:val="007D23BD"/>
    <w:rsid w:val="007D23F7"/>
    <w:rsid w:val="007D25E0"/>
    <w:rsid w:val="007D2AAB"/>
    <w:rsid w:val="007D2E29"/>
    <w:rsid w:val="007D2F7B"/>
    <w:rsid w:val="007D2FAF"/>
    <w:rsid w:val="007D2FF9"/>
    <w:rsid w:val="007D319B"/>
    <w:rsid w:val="007D328B"/>
    <w:rsid w:val="007D37C2"/>
    <w:rsid w:val="007D3821"/>
    <w:rsid w:val="007D3910"/>
    <w:rsid w:val="007D39E6"/>
    <w:rsid w:val="007D3DFE"/>
    <w:rsid w:val="007D3EA8"/>
    <w:rsid w:val="007D3F85"/>
    <w:rsid w:val="007D4181"/>
    <w:rsid w:val="007D41EA"/>
    <w:rsid w:val="007D4371"/>
    <w:rsid w:val="007D4555"/>
    <w:rsid w:val="007D458F"/>
    <w:rsid w:val="007D46B2"/>
    <w:rsid w:val="007D48A6"/>
    <w:rsid w:val="007D4974"/>
    <w:rsid w:val="007D4C0A"/>
    <w:rsid w:val="007D4FAE"/>
    <w:rsid w:val="007D5013"/>
    <w:rsid w:val="007D5477"/>
    <w:rsid w:val="007D5516"/>
    <w:rsid w:val="007D5779"/>
    <w:rsid w:val="007D5D51"/>
    <w:rsid w:val="007D5F04"/>
    <w:rsid w:val="007D60DF"/>
    <w:rsid w:val="007D61F4"/>
    <w:rsid w:val="007D65AF"/>
    <w:rsid w:val="007D65BC"/>
    <w:rsid w:val="007D6662"/>
    <w:rsid w:val="007D6A0F"/>
    <w:rsid w:val="007D6B26"/>
    <w:rsid w:val="007D6B48"/>
    <w:rsid w:val="007D71FE"/>
    <w:rsid w:val="007D746D"/>
    <w:rsid w:val="007D7550"/>
    <w:rsid w:val="007D767E"/>
    <w:rsid w:val="007D797A"/>
    <w:rsid w:val="007D7BE0"/>
    <w:rsid w:val="007D7CB2"/>
    <w:rsid w:val="007E01B9"/>
    <w:rsid w:val="007E07CF"/>
    <w:rsid w:val="007E0AA9"/>
    <w:rsid w:val="007E0BCD"/>
    <w:rsid w:val="007E0C70"/>
    <w:rsid w:val="007E1074"/>
    <w:rsid w:val="007E12DD"/>
    <w:rsid w:val="007E133F"/>
    <w:rsid w:val="007E16B8"/>
    <w:rsid w:val="007E1B48"/>
    <w:rsid w:val="007E1C01"/>
    <w:rsid w:val="007E1C05"/>
    <w:rsid w:val="007E1C16"/>
    <w:rsid w:val="007E1CDC"/>
    <w:rsid w:val="007E1F81"/>
    <w:rsid w:val="007E2523"/>
    <w:rsid w:val="007E289D"/>
    <w:rsid w:val="007E2902"/>
    <w:rsid w:val="007E2F53"/>
    <w:rsid w:val="007E336E"/>
    <w:rsid w:val="007E370F"/>
    <w:rsid w:val="007E3C52"/>
    <w:rsid w:val="007E3C8E"/>
    <w:rsid w:val="007E4034"/>
    <w:rsid w:val="007E41E7"/>
    <w:rsid w:val="007E4287"/>
    <w:rsid w:val="007E43D3"/>
    <w:rsid w:val="007E45A8"/>
    <w:rsid w:val="007E476B"/>
    <w:rsid w:val="007E4937"/>
    <w:rsid w:val="007E4FA1"/>
    <w:rsid w:val="007E5017"/>
    <w:rsid w:val="007E5239"/>
    <w:rsid w:val="007E52C1"/>
    <w:rsid w:val="007E5433"/>
    <w:rsid w:val="007E5883"/>
    <w:rsid w:val="007E58E5"/>
    <w:rsid w:val="007E5A51"/>
    <w:rsid w:val="007E5D3B"/>
    <w:rsid w:val="007E5E0C"/>
    <w:rsid w:val="007E5E1E"/>
    <w:rsid w:val="007E61D4"/>
    <w:rsid w:val="007E629A"/>
    <w:rsid w:val="007E7D20"/>
    <w:rsid w:val="007E7E1C"/>
    <w:rsid w:val="007E7F99"/>
    <w:rsid w:val="007F0113"/>
    <w:rsid w:val="007F0145"/>
    <w:rsid w:val="007F0592"/>
    <w:rsid w:val="007F06FC"/>
    <w:rsid w:val="007F08FA"/>
    <w:rsid w:val="007F0D13"/>
    <w:rsid w:val="007F0EAB"/>
    <w:rsid w:val="007F10E5"/>
    <w:rsid w:val="007F122D"/>
    <w:rsid w:val="007F1325"/>
    <w:rsid w:val="007F1361"/>
    <w:rsid w:val="007F1C03"/>
    <w:rsid w:val="007F1FB7"/>
    <w:rsid w:val="007F221C"/>
    <w:rsid w:val="007F2BF3"/>
    <w:rsid w:val="007F2FD0"/>
    <w:rsid w:val="007F2FE8"/>
    <w:rsid w:val="007F3028"/>
    <w:rsid w:val="007F30F7"/>
    <w:rsid w:val="007F32B2"/>
    <w:rsid w:val="007F362A"/>
    <w:rsid w:val="007F3827"/>
    <w:rsid w:val="007F3C42"/>
    <w:rsid w:val="007F3C64"/>
    <w:rsid w:val="007F3E71"/>
    <w:rsid w:val="007F4058"/>
    <w:rsid w:val="007F41BB"/>
    <w:rsid w:val="007F42B0"/>
    <w:rsid w:val="007F43BB"/>
    <w:rsid w:val="007F443C"/>
    <w:rsid w:val="007F48C9"/>
    <w:rsid w:val="007F48F8"/>
    <w:rsid w:val="007F4A61"/>
    <w:rsid w:val="007F5166"/>
    <w:rsid w:val="007F5573"/>
    <w:rsid w:val="007F57ED"/>
    <w:rsid w:val="007F581F"/>
    <w:rsid w:val="007F593E"/>
    <w:rsid w:val="007F5A57"/>
    <w:rsid w:val="007F5FE1"/>
    <w:rsid w:val="007F60EE"/>
    <w:rsid w:val="007F6434"/>
    <w:rsid w:val="007F68E4"/>
    <w:rsid w:val="007F6AA7"/>
    <w:rsid w:val="007F6AAB"/>
    <w:rsid w:val="007F6AD7"/>
    <w:rsid w:val="007F6BF1"/>
    <w:rsid w:val="007F6C78"/>
    <w:rsid w:val="007F6C7E"/>
    <w:rsid w:val="007F6CE2"/>
    <w:rsid w:val="007F70D6"/>
    <w:rsid w:val="007F7176"/>
    <w:rsid w:val="007F718E"/>
    <w:rsid w:val="007F75A6"/>
    <w:rsid w:val="007F75A9"/>
    <w:rsid w:val="007F75E7"/>
    <w:rsid w:val="007F765D"/>
    <w:rsid w:val="007F7936"/>
    <w:rsid w:val="007F7A82"/>
    <w:rsid w:val="007F7BD0"/>
    <w:rsid w:val="007F7FAA"/>
    <w:rsid w:val="0080061E"/>
    <w:rsid w:val="008006FA"/>
    <w:rsid w:val="00800AF0"/>
    <w:rsid w:val="00800C53"/>
    <w:rsid w:val="00800FB6"/>
    <w:rsid w:val="00801063"/>
    <w:rsid w:val="008012E6"/>
    <w:rsid w:val="00801367"/>
    <w:rsid w:val="00801AAC"/>
    <w:rsid w:val="00801D82"/>
    <w:rsid w:val="00801EEA"/>
    <w:rsid w:val="00801F06"/>
    <w:rsid w:val="008020F5"/>
    <w:rsid w:val="008024EA"/>
    <w:rsid w:val="0080261A"/>
    <w:rsid w:val="008027A4"/>
    <w:rsid w:val="00802851"/>
    <w:rsid w:val="0080298E"/>
    <w:rsid w:val="00802A4D"/>
    <w:rsid w:val="00802C13"/>
    <w:rsid w:val="00802CC5"/>
    <w:rsid w:val="00802D4D"/>
    <w:rsid w:val="00803454"/>
    <w:rsid w:val="008039FE"/>
    <w:rsid w:val="00803AEC"/>
    <w:rsid w:val="00803DB7"/>
    <w:rsid w:val="00804094"/>
    <w:rsid w:val="0080440F"/>
    <w:rsid w:val="00804451"/>
    <w:rsid w:val="00804735"/>
    <w:rsid w:val="00804A63"/>
    <w:rsid w:val="00804FE2"/>
    <w:rsid w:val="008051BE"/>
    <w:rsid w:val="008052B7"/>
    <w:rsid w:val="00805307"/>
    <w:rsid w:val="00805420"/>
    <w:rsid w:val="008056D9"/>
    <w:rsid w:val="008059E7"/>
    <w:rsid w:val="00805E06"/>
    <w:rsid w:val="00806146"/>
    <w:rsid w:val="008062BF"/>
    <w:rsid w:val="008063F8"/>
    <w:rsid w:val="008069D0"/>
    <w:rsid w:val="00806AA9"/>
    <w:rsid w:val="00806BBB"/>
    <w:rsid w:val="00806C1B"/>
    <w:rsid w:val="00806EB7"/>
    <w:rsid w:val="008070AF"/>
    <w:rsid w:val="00807197"/>
    <w:rsid w:val="00807482"/>
    <w:rsid w:val="00807637"/>
    <w:rsid w:val="00807769"/>
    <w:rsid w:val="008077CF"/>
    <w:rsid w:val="00807913"/>
    <w:rsid w:val="00807BEA"/>
    <w:rsid w:val="00807D55"/>
    <w:rsid w:val="00810025"/>
    <w:rsid w:val="00810140"/>
    <w:rsid w:val="00810174"/>
    <w:rsid w:val="008103A4"/>
    <w:rsid w:val="00810472"/>
    <w:rsid w:val="0081051B"/>
    <w:rsid w:val="008106FB"/>
    <w:rsid w:val="00810732"/>
    <w:rsid w:val="00810740"/>
    <w:rsid w:val="00810743"/>
    <w:rsid w:val="00810880"/>
    <w:rsid w:val="008108E1"/>
    <w:rsid w:val="00810961"/>
    <w:rsid w:val="008109ED"/>
    <w:rsid w:val="00810BDD"/>
    <w:rsid w:val="00810E3E"/>
    <w:rsid w:val="00810E80"/>
    <w:rsid w:val="008110A5"/>
    <w:rsid w:val="00811191"/>
    <w:rsid w:val="008111F7"/>
    <w:rsid w:val="00811257"/>
    <w:rsid w:val="0081132B"/>
    <w:rsid w:val="0081139C"/>
    <w:rsid w:val="008114BC"/>
    <w:rsid w:val="008115C8"/>
    <w:rsid w:val="00811E1E"/>
    <w:rsid w:val="00811E1F"/>
    <w:rsid w:val="008120CC"/>
    <w:rsid w:val="00812A49"/>
    <w:rsid w:val="00812AE5"/>
    <w:rsid w:val="00812AF5"/>
    <w:rsid w:val="00812B0C"/>
    <w:rsid w:val="00812CCA"/>
    <w:rsid w:val="00812D26"/>
    <w:rsid w:val="0081307B"/>
    <w:rsid w:val="0081332C"/>
    <w:rsid w:val="008136AE"/>
    <w:rsid w:val="00813989"/>
    <w:rsid w:val="00813A28"/>
    <w:rsid w:val="00813AF4"/>
    <w:rsid w:val="00813B3A"/>
    <w:rsid w:val="00813D50"/>
    <w:rsid w:val="00813DA7"/>
    <w:rsid w:val="00813EF1"/>
    <w:rsid w:val="0081402D"/>
    <w:rsid w:val="008141B8"/>
    <w:rsid w:val="00814440"/>
    <w:rsid w:val="00814605"/>
    <w:rsid w:val="00814771"/>
    <w:rsid w:val="008147E7"/>
    <w:rsid w:val="008149B7"/>
    <w:rsid w:val="00815171"/>
    <w:rsid w:val="0081539D"/>
    <w:rsid w:val="00815744"/>
    <w:rsid w:val="008158AC"/>
    <w:rsid w:val="008158C5"/>
    <w:rsid w:val="00815AC1"/>
    <w:rsid w:val="00815BA3"/>
    <w:rsid w:val="00815C22"/>
    <w:rsid w:val="00815F18"/>
    <w:rsid w:val="0081609F"/>
    <w:rsid w:val="008160EF"/>
    <w:rsid w:val="008162E9"/>
    <w:rsid w:val="008164F7"/>
    <w:rsid w:val="0081685E"/>
    <w:rsid w:val="00816A00"/>
    <w:rsid w:val="00816A7C"/>
    <w:rsid w:val="00816B7D"/>
    <w:rsid w:val="00816F73"/>
    <w:rsid w:val="0081708E"/>
    <w:rsid w:val="008172AE"/>
    <w:rsid w:val="0081732E"/>
    <w:rsid w:val="008173FA"/>
    <w:rsid w:val="00817775"/>
    <w:rsid w:val="00817989"/>
    <w:rsid w:val="008201DD"/>
    <w:rsid w:val="00820972"/>
    <w:rsid w:val="008209D1"/>
    <w:rsid w:val="00820A12"/>
    <w:rsid w:val="00820F0C"/>
    <w:rsid w:val="008216C3"/>
    <w:rsid w:val="00821874"/>
    <w:rsid w:val="008219CD"/>
    <w:rsid w:val="00821A5C"/>
    <w:rsid w:val="00821ABD"/>
    <w:rsid w:val="00821AC5"/>
    <w:rsid w:val="00821B71"/>
    <w:rsid w:val="00821D11"/>
    <w:rsid w:val="00821E1A"/>
    <w:rsid w:val="00821EBF"/>
    <w:rsid w:val="00822497"/>
    <w:rsid w:val="00822C4C"/>
    <w:rsid w:val="00822C95"/>
    <w:rsid w:val="00822DBF"/>
    <w:rsid w:val="008230A0"/>
    <w:rsid w:val="0082314D"/>
    <w:rsid w:val="008231E6"/>
    <w:rsid w:val="00823207"/>
    <w:rsid w:val="008233B1"/>
    <w:rsid w:val="008235E0"/>
    <w:rsid w:val="00824018"/>
    <w:rsid w:val="00824080"/>
    <w:rsid w:val="0082441B"/>
    <w:rsid w:val="00824604"/>
    <w:rsid w:val="00824645"/>
    <w:rsid w:val="008249DF"/>
    <w:rsid w:val="008249EB"/>
    <w:rsid w:val="00824B15"/>
    <w:rsid w:val="00824CD2"/>
    <w:rsid w:val="00824CE2"/>
    <w:rsid w:val="00825258"/>
    <w:rsid w:val="008252DA"/>
    <w:rsid w:val="00825ADE"/>
    <w:rsid w:val="00825CB2"/>
    <w:rsid w:val="008262BE"/>
    <w:rsid w:val="0082633B"/>
    <w:rsid w:val="00826972"/>
    <w:rsid w:val="008269F7"/>
    <w:rsid w:val="00826B4B"/>
    <w:rsid w:val="00826C43"/>
    <w:rsid w:val="00826E60"/>
    <w:rsid w:val="00826E9E"/>
    <w:rsid w:val="00827593"/>
    <w:rsid w:val="008277B8"/>
    <w:rsid w:val="00827944"/>
    <w:rsid w:val="00827B2B"/>
    <w:rsid w:val="008300FD"/>
    <w:rsid w:val="00830A5B"/>
    <w:rsid w:val="00830B41"/>
    <w:rsid w:val="00830BE4"/>
    <w:rsid w:val="00830CDC"/>
    <w:rsid w:val="00830CF1"/>
    <w:rsid w:val="00830EAB"/>
    <w:rsid w:val="00830EE1"/>
    <w:rsid w:val="00830F93"/>
    <w:rsid w:val="00830FF0"/>
    <w:rsid w:val="008314C0"/>
    <w:rsid w:val="00831546"/>
    <w:rsid w:val="00831579"/>
    <w:rsid w:val="00831695"/>
    <w:rsid w:val="00831C48"/>
    <w:rsid w:val="00831D74"/>
    <w:rsid w:val="00831E94"/>
    <w:rsid w:val="00832043"/>
    <w:rsid w:val="00832063"/>
    <w:rsid w:val="00832168"/>
    <w:rsid w:val="00832172"/>
    <w:rsid w:val="0083222B"/>
    <w:rsid w:val="00832320"/>
    <w:rsid w:val="00832593"/>
    <w:rsid w:val="008325DF"/>
    <w:rsid w:val="00832AA8"/>
    <w:rsid w:val="00832C1D"/>
    <w:rsid w:val="00832D24"/>
    <w:rsid w:val="0083357C"/>
    <w:rsid w:val="008337A2"/>
    <w:rsid w:val="0083394B"/>
    <w:rsid w:val="00833A17"/>
    <w:rsid w:val="00833B29"/>
    <w:rsid w:val="00833BF6"/>
    <w:rsid w:val="00833D56"/>
    <w:rsid w:val="00833ECF"/>
    <w:rsid w:val="0083425D"/>
    <w:rsid w:val="00834659"/>
    <w:rsid w:val="0083467F"/>
    <w:rsid w:val="0083489B"/>
    <w:rsid w:val="00834B5A"/>
    <w:rsid w:val="00834C34"/>
    <w:rsid w:val="00834CCA"/>
    <w:rsid w:val="00835103"/>
    <w:rsid w:val="00835837"/>
    <w:rsid w:val="008358E4"/>
    <w:rsid w:val="0083595C"/>
    <w:rsid w:val="00835B5E"/>
    <w:rsid w:val="00835D46"/>
    <w:rsid w:val="00835F6E"/>
    <w:rsid w:val="008360CD"/>
    <w:rsid w:val="0083639B"/>
    <w:rsid w:val="00836578"/>
    <w:rsid w:val="00836707"/>
    <w:rsid w:val="00836914"/>
    <w:rsid w:val="00836C4B"/>
    <w:rsid w:val="00836D5E"/>
    <w:rsid w:val="00836D7F"/>
    <w:rsid w:val="0083720B"/>
    <w:rsid w:val="008374C6"/>
    <w:rsid w:val="00837708"/>
    <w:rsid w:val="00837892"/>
    <w:rsid w:val="00837A96"/>
    <w:rsid w:val="00837B24"/>
    <w:rsid w:val="00837E9D"/>
    <w:rsid w:val="00840450"/>
    <w:rsid w:val="00840A5C"/>
    <w:rsid w:val="00840E16"/>
    <w:rsid w:val="00841081"/>
    <w:rsid w:val="008414F5"/>
    <w:rsid w:val="00841520"/>
    <w:rsid w:val="00841C26"/>
    <w:rsid w:val="00841DBD"/>
    <w:rsid w:val="00842064"/>
    <w:rsid w:val="008421D1"/>
    <w:rsid w:val="00842517"/>
    <w:rsid w:val="0084277F"/>
    <w:rsid w:val="0084279B"/>
    <w:rsid w:val="00842F29"/>
    <w:rsid w:val="00843248"/>
    <w:rsid w:val="00843634"/>
    <w:rsid w:val="008436C1"/>
    <w:rsid w:val="00843FA9"/>
    <w:rsid w:val="00844168"/>
    <w:rsid w:val="00844212"/>
    <w:rsid w:val="0084439E"/>
    <w:rsid w:val="008446D9"/>
    <w:rsid w:val="00844E26"/>
    <w:rsid w:val="00844EC1"/>
    <w:rsid w:val="00844F30"/>
    <w:rsid w:val="00844F8B"/>
    <w:rsid w:val="00845B50"/>
    <w:rsid w:val="00845D2F"/>
    <w:rsid w:val="0084638A"/>
    <w:rsid w:val="008465E3"/>
    <w:rsid w:val="00846711"/>
    <w:rsid w:val="008468E6"/>
    <w:rsid w:val="00846962"/>
    <w:rsid w:val="00846B48"/>
    <w:rsid w:val="00846C7E"/>
    <w:rsid w:val="00846CA2"/>
    <w:rsid w:val="00846D74"/>
    <w:rsid w:val="00846F34"/>
    <w:rsid w:val="0084739D"/>
    <w:rsid w:val="008475CE"/>
    <w:rsid w:val="00847D93"/>
    <w:rsid w:val="00847F79"/>
    <w:rsid w:val="00847FA3"/>
    <w:rsid w:val="00847FCA"/>
    <w:rsid w:val="00850233"/>
    <w:rsid w:val="00850ABA"/>
    <w:rsid w:val="00850CBA"/>
    <w:rsid w:val="00850FE3"/>
    <w:rsid w:val="0085136C"/>
    <w:rsid w:val="0085162D"/>
    <w:rsid w:val="00851682"/>
    <w:rsid w:val="00851975"/>
    <w:rsid w:val="00851DD9"/>
    <w:rsid w:val="0085201E"/>
    <w:rsid w:val="00852065"/>
    <w:rsid w:val="00852191"/>
    <w:rsid w:val="00852BBC"/>
    <w:rsid w:val="00852D77"/>
    <w:rsid w:val="00852E38"/>
    <w:rsid w:val="00852F43"/>
    <w:rsid w:val="00852FF8"/>
    <w:rsid w:val="00853070"/>
    <w:rsid w:val="008531A4"/>
    <w:rsid w:val="008534F6"/>
    <w:rsid w:val="00853AD3"/>
    <w:rsid w:val="00853EDA"/>
    <w:rsid w:val="00854250"/>
    <w:rsid w:val="008543FE"/>
    <w:rsid w:val="00854916"/>
    <w:rsid w:val="00854AA6"/>
    <w:rsid w:val="00854DDF"/>
    <w:rsid w:val="0085505E"/>
    <w:rsid w:val="00855557"/>
    <w:rsid w:val="00855774"/>
    <w:rsid w:val="00855919"/>
    <w:rsid w:val="00855B53"/>
    <w:rsid w:val="00855FDF"/>
    <w:rsid w:val="0085640C"/>
    <w:rsid w:val="0085648A"/>
    <w:rsid w:val="0085689F"/>
    <w:rsid w:val="00856A5D"/>
    <w:rsid w:val="00856C6C"/>
    <w:rsid w:val="00856DCE"/>
    <w:rsid w:val="00857081"/>
    <w:rsid w:val="0085710B"/>
    <w:rsid w:val="008571E9"/>
    <w:rsid w:val="0085765C"/>
    <w:rsid w:val="00857728"/>
    <w:rsid w:val="0085795F"/>
    <w:rsid w:val="00857AAF"/>
    <w:rsid w:val="00857B8F"/>
    <w:rsid w:val="00857C92"/>
    <w:rsid w:val="00857D68"/>
    <w:rsid w:val="00857EF0"/>
    <w:rsid w:val="00857F5D"/>
    <w:rsid w:val="008603D5"/>
    <w:rsid w:val="00860950"/>
    <w:rsid w:val="00860EA1"/>
    <w:rsid w:val="008611FE"/>
    <w:rsid w:val="008613D5"/>
    <w:rsid w:val="008615A2"/>
    <w:rsid w:val="00861838"/>
    <w:rsid w:val="00861A43"/>
    <w:rsid w:val="00861CAD"/>
    <w:rsid w:val="00861D4D"/>
    <w:rsid w:val="0086239B"/>
    <w:rsid w:val="00862524"/>
    <w:rsid w:val="0086262A"/>
    <w:rsid w:val="0086279A"/>
    <w:rsid w:val="008627CB"/>
    <w:rsid w:val="00862A49"/>
    <w:rsid w:val="00862F7E"/>
    <w:rsid w:val="00863145"/>
    <w:rsid w:val="008633B2"/>
    <w:rsid w:val="00863529"/>
    <w:rsid w:val="008636C4"/>
    <w:rsid w:val="00863809"/>
    <w:rsid w:val="008638A2"/>
    <w:rsid w:val="00863E77"/>
    <w:rsid w:val="00864019"/>
    <w:rsid w:val="00864197"/>
    <w:rsid w:val="008648E3"/>
    <w:rsid w:val="00864A09"/>
    <w:rsid w:val="00864B02"/>
    <w:rsid w:val="00864B13"/>
    <w:rsid w:val="00864C42"/>
    <w:rsid w:val="00864F8D"/>
    <w:rsid w:val="00865527"/>
    <w:rsid w:val="00865673"/>
    <w:rsid w:val="00865852"/>
    <w:rsid w:val="00865C28"/>
    <w:rsid w:val="00865D78"/>
    <w:rsid w:val="00865DAA"/>
    <w:rsid w:val="00865DAE"/>
    <w:rsid w:val="00865F8A"/>
    <w:rsid w:val="008665EF"/>
    <w:rsid w:val="008665F0"/>
    <w:rsid w:val="00866799"/>
    <w:rsid w:val="008670FE"/>
    <w:rsid w:val="0086785A"/>
    <w:rsid w:val="00867AA6"/>
    <w:rsid w:val="0087005E"/>
    <w:rsid w:val="0087020C"/>
    <w:rsid w:val="00870242"/>
    <w:rsid w:val="00870252"/>
    <w:rsid w:val="00870272"/>
    <w:rsid w:val="008704C3"/>
    <w:rsid w:val="008705D9"/>
    <w:rsid w:val="008707B8"/>
    <w:rsid w:val="00870A4C"/>
    <w:rsid w:val="00870EB5"/>
    <w:rsid w:val="00870EB6"/>
    <w:rsid w:val="00871587"/>
    <w:rsid w:val="008718FC"/>
    <w:rsid w:val="00871D64"/>
    <w:rsid w:val="008723B1"/>
    <w:rsid w:val="008727CD"/>
    <w:rsid w:val="008728E3"/>
    <w:rsid w:val="00872909"/>
    <w:rsid w:val="008729F7"/>
    <w:rsid w:val="00872C4B"/>
    <w:rsid w:val="00872CAC"/>
    <w:rsid w:val="00872CAF"/>
    <w:rsid w:val="00872E71"/>
    <w:rsid w:val="00872F3D"/>
    <w:rsid w:val="0087336D"/>
    <w:rsid w:val="00873688"/>
    <w:rsid w:val="008738C8"/>
    <w:rsid w:val="00873982"/>
    <w:rsid w:val="00873B48"/>
    <w:rsid w:val="00873C27"/>
    <w:rsid w:val="00873FA1"/>
    <w:rsid w:val="008743FC"/>
    <w:rsid w:val="00874EA9"/>
    <w:rsid w:val="00875163"/>
    <w:rsid w:val="0087519C"/>
    <w:rsid w:val="00875559"/>
    <w:rsid w:val="00875946"/>
    <w:rsid w:val="00875B1F"/>
    <w:rsid w:val="00875EE7"/>
    <w:rsid w:val="008760D3"/>
    <w:rsid w:val="00876334"/>
    <w:rsid w:val="00876AD5"/>
    <w:rsid w:val="00876C77"/>
    <w:rsid w:val="00876D1E"/>
    <w:rsid w:val="00877036"/>
    <w:rsid w:val="008771E1"/>
    <w:rsid w:val="008775F5"/>
    <w:rsid w:val="0087764C"/>
    <w:rsid w:val="00877785"/>
    <w:rsid w:val="00877795"/>
    <w:rsid w:val="00877AD1"/>
    <w:rsid w:val="00877B8D"/>
    <w:rsid w:val="00877D8D"/>
    <w:rsid w:val="00880342"/>
    <w:rsid w:val="0088037F"/>
    <w:rsid w:val="00880605"/>
    <w:rsid w:val="008806C6"/>
    <w:rsid w:val="008809B9"/>
    <w:rsid w:val="00880A00"/>
    <w:rsid w:val="00880A63"/>
    <w:rsid w:val="00880AF8"/>
    <w:rsid w:val="00880B34"/>
    <w:rsid w:val="008812EB"/>
    <w:rsid w:val="00881525"/>
    <w:rsid w:val="00881758"/>
    <w:rsid w:val="00881BAD"/>
    <w:rsid w:val="00881C4A"/>
    <w:rsid w:val="00881DBF"/>
    <w:rsid w:val="0088219F"/>
    <w:rsid w:val="008821F7"/>
    <w:rsid w:val="00882419"/>
    <w:rsid w:val="00882D47"/>
    <w:rsid w:val="00883140"/>
    <w:rsid w:val="008832F6"/>
    <w:rsid w:val="008834A6"/>
    <w:rsid w:val="008837AD"/>
    <w:rsid w:val="00883866"/>
    <w:rsid w:val="00883915"/>
    <w:rsid w:val="00883DDF"/>
    <w:rsid w:val="00883E87"/>
    <w:rsid w:val="00884240"/>
    <w:rsid w:val="008842D8"/>
    <w:rsid w:val="008846B6"/>
    <w:rsid w:val="00884EA7"/>
    <w:rsid w:val="0088516D"/>
    <w:rsid w:val="008851AC"/>
    <w:rsid w:val="008857E9"/>
    <w:rsid w:val="00885A3F"/>
    <w:rsid w:val="00885CAD"/>
    <w:rsid w:val="00885CB3"/>
    <w:rsid w:val="00886452"/>
    <w:rsid w:val="008865F4"/>
    <w:rsid w:val="0088699D"/>
    <w:rsid w:val="00886A1E"/>
    <w:rsid w:val="00886B9B"/>
    <w:rsid w:val="00886CD2"/>
    <w:rsid w:val="008872A6"/>
    <w:rsid w:val="008873EB"/>
    <w:rsid w:val="008875D6"/>
    <w:rsid w:val="008876B4"/>
    <w:rsid w:val="0088771F"/>
    <w:rsid w:val="00887B3C"/>
    <w:rsid w:val="00887E65"/>
    <w:rsid w:val="00887F19"/>
    <w:rsid w:val="008900F0"/>
    <w:rsid w:val="008901AD"/>
    <w:rsid w:val="00890570"/>
    <w:rsid w:val="00890865"/>
    <w:rsid w:val="00890B54"/>
    <w:rsid w:val="00890D7A"/>
    <w:rsid w:val="00890F60"/>
    <w:rsid w:val="00890F93"/>
    <w:rsid w:val="00890FB2"/>
    <w:rsid w:val="00890FBD"/>
    <w:rsid w:val="00891360"/>
    <w:rsid w:val="00891AF7"/>
    <w:rsid w:val="00891C42"/>
    <w:rsid w:val="00891DF8"/>
    <w:rsid w:val="00892778"/>
    <w:rsid w:val="00892912"/>
    <w:rsid w:val="0089305C"/>
    <w:rsid w:val="008931C4"/>
    <w:rsid w:val="008933F6"/>
    <w:rsid w:val="00893457"/>
    <w:rsid w:val="0089377D"/>
    <w:rsid w:val="00893A1A"/>
    <w:rsid w:val="00893B94"/>
    <w:rsid w:val="00893EB2"/>
    <w:rsid w:val="008942CB"/>
    <w:rsid w:val="00894435"/>
    <w:rsid w:val="008945EC"/>
    <w:rsid w:val="008948A7"/>
    <w:rsid w:val="008948CC"/>
    <w:rsid w:val="00894EB1"/>
    <w:rsid w:val="00894F1B"/>
    <w:rsid w:val="00894F99"/>
    <w:rsid w:val="00895362"/>
    <w:rsid w:val="00895752"/>
    <w:rsid w:val="00895C0F"/>
    <w:rsid w:val="00895D42"/>
    <w:rsid w:val="0089602D"/>
    <w:rsid w:val="00896352"/>
    <w:rsid w:val="00896457"/>
    <w:rsid w:val="008966BF"/>
    <w:rsid w:val="008969CE"/>
    <w:rsid w:val="00896B2D"/>
    <w:rsid w:val="00896EEB"/>
    <w:rsid w:val="00897191"/>
    <w:rsid w:val="008971D7"/>
    <w:rsid w:val="00897202"/>
    <w:rsid w:val="00897280"/>
    <w:rsid w:val="008979F9"/>
    <w:rsid w:val="00897ADD"/>
    <w:rsid w:val="00897F42"/>
    <w:rsid w:val="008A01FA"/>
    <w:rsid w:val="008A029E"/>
    <w:rsid w:val="008A0681"/>
    <w:rsid w:val="008A1110"/>
    <w:rsid w:val="008A113B"/>
    <w:rsid w:val="008A11B5"/>
    <w:rsid w:val="008A11E3"/>
    <w:rsid w:val="008A1323"/>
    <w:rsid w:val="008A13C7"/>
    <w:rsid w:val="008A171A"/>
    <w:rsid w:val="008A1764"/>
    <w:rsid w:val="008A1B3C"/>
    <w:rsid w:val="008A20B8"/>
    <w:rsid w:val="008A2133"/>
    <w:rsid w:val="008A235C"/>
    <w:rsid w:val="008A2763"/>
    <w:rsid w:val="008A2CEF"/>
    <w:rsid w:val="008A3350"/>
    <w:rsid w:val="008A33D2"/>
    <w:rsid w:val="008A3574"/>
    <w:rsid w:val="008A3B32"/>
    <w:rsid w:val="008A3F2B"/>
    <w:rsid w:val="008A3F40"/>
    <w:rsid w:val="008A3FF3"/>
    <w:rsid w:val="008A4158"/>
    <w:rsid w:val="008A44D0"/>
    <w:rsid w:val="008A44E7"/>
    <w:rsid w:val="008A47B8"/>
    <w:rsid w:val="008A48C2"/>
    <w:rsid w:val="008A4953"/>
    <w:rsid w:val="008A4995"/>
    <w:rsid w:val="008A49FB"/>
    <w:rsid w:val="008A4A50"/>
    <w:rsid w:val="008A51CE"/>
    <w:rsid w:val="008A525E"/>
    <w:rsid w:val="008A5278"/>
    <w:rsid w:val="008A5363"/>
    <w:rsid w:val="008A5407"/>
    <w:rsid w:val="008A5456"/>
    <w:rsid w:val="008A5484"/>
    <w:rsid w:val="008A5571"/>
    <w:rsid w:val="008A5DCD"/>
    <w:rsid w:val="008A603E"/>
    <w:rsid w:val="008A62CA"/>
    <w:rsid w:val="008A663F"/>
    <w:rsid w:val="008A698E"/>
    <w:rsid w:val="008A6EF1"/>
    <w:rsid w:val="008A7071"/>
    <w:rsid w:val="008A76F4"/>
    <w:rsid w:val="008A7898"/>
    <w:rsid w:val="008A78A6"/>
    <w:rsid w:val="008B01F5"/>
    <w:rsid w:val="008B055C"/>
    <w:rsid w:val="008B13E2"/>
    <w:rsid w:val="008B18DF"/>
    <w:rsid w:val="008B1D21"/>
    <w:rsid w:val="008B1E2E"/>
    <w:rsid w:val="008B1F2B"/>
    <w:rsid w:val="008B21F4"/>
    <w:rsid w:val="008B220A"/>
    <w:rsid w:val="008B22FB"/>
    <w:rsid w:val="008B231A"/>
    <w:rsid w:val="008B26F3"/>
    <w:rsid w:val="008B2779"/>
    <w:rsid w:val="008B2792"/>
    <w:rsid w:val="008B2C25"/>
    <w:rsid w:val="008B2C8F"/>
    <w:rsid w:val="008B2E14"/>
    <w:rsid w:val="008B300F"/>
    <w:rsid w:val="008B326B"/>
    <w:rsid w:val="008B32D7"/>
    <w:rsid w:val="008B36BD"/>
    <w:rsid w:val="008B3709"/>
    <w:rsid w:val="008B3B2E"/>
    <w:rsid w:val="008B3CE7"/>
    <w:rsid w:val="008B3D5C"/>
    <w:rsid w:val="008B3E01"/>
    <w:rsid w:val="008B4096"/>
    <w:rsid w:val="008B40A7"/>
    <w:rsid w:val="008B414F"/>
    <w:rsid w:val="008B4357"/>
    <w:rsid w:val="008B4705"/>
    <w:rsid w:val="008B484C"/>
    <w:rsid w:val="008B48DD"/>
    <w:rsid w:val="008B4BB2"/>
    <w:rsid w:val="008B4C19"/>
    <w:rsid w:val="008B4C45"/>
    <w:rsid w:val="008B4CB7"/>
    <w:rsid w:val="008B4CBE"/>
    <w:rsid w:val="008B4DAB"/>
    <w:rsid w:val="008B4DB2"/>
    <w:rsid w:val="008B54C5"/>
    <w:rsid w:val="008B597B"/>
    <w:rsid w:val="008B5A9F"/>
    <w:rsid w:val="008B5D19"/>
    <w:rsid w:val="008B637B"/>
    <w:rsid w:val="008B66B0"/>
    <w:rsid w:val="008B6770"/>
    <w:rsid w:val="008B6BE9"/>
    <w:rsid w:val="008B6CF9"/>
    <w:rsid w:val="008B71B1"/>
    <w:rsid w:val="008B71E6"/>
    <w:rsid w:val="008B7550"/>
    <w:rsid w:val="008B764E"/>
    <w:rsid w:val="008B778B"/>
    <w:rsid w:val="008B787A"/>
    <w:rsid w:val="008B7B04"/>
    <w:rsid w:val="008C0022"/>
    <w:rsid w:val="008C010A"/>
    <w:rsid w:val="008C039C"/>
    <w:rsid w:val="008C0D8B"/>
    <w:rsid w:val="008C0EAC"/>
    <w:rsid w:val="008C11C5"/>
    <w:rsid w:val="008C138F"/>
    <w:rsid w:val="008C1B65"/>
    <w:rsid w:val="008C1EBB"/>
    <w:rsid w:val="008C2651"/>
    <w:rsid w:val="008C28D5"/>
    <w:rsid w:val="008C2EAD"/>
    <w:rsid w:val="008C31D7"/>
    <w:rsid w:val="008C331C"/>
    <w:rsid w:val="008C34A8"/>
    <w:rsid w:val="008C38E5"/>
    <w:rsid w:val="008C3C7F"/>
    <w:rsid w:val="008C3CB0"/>
    <w:rsid w:val="008C3F5F"/>
    <w:rsid w:val="008C47A2"/>
    <w:rsid w:val="008C4C9F"/>
    <w:rsid w:val="008C50F0"/>
    <w:rsid w:val="008C53E7"/>
    <w:rsid w:val="008C54E6"/>
    <w:rsid w:val="008C5D05"/>
    <w:rsid w:val="008C5D18"/>
    <w:rsid w:val="008C5E66"/>
    <w:rsid w:val="008C610B"/>
    <w:rsid w:val="008C6328"/>
    <w:rsid w:val="008C6AA1"/>
    <w:rsid w:val="008C6CCD"/>
    <w:rsid w:val="008C71B4"/>
    <w:rsid w:val="008C71EA"/>
    <w:rsid w:val="008C721C"/>
    <w:rsid w:val="008C7257"/>
    <w:rsid w:val="008C72F0"/>
    <w:rsid w:val="008C7768"/>
    <w:rsid w:val="008C7798"/>
    <w:rsid w:val="008C7A21"/>
    <w:rsid w:val="008C7AF5"/>
    <w:rsid w:val="008C7B96"/>
    <w:rsid w:val="008C7D2E"/>
    <w:rsid w:val="008D013E"/>
    <w:rsid w:val="008D04C3"/>
    <w:rsid w:val="008D0A83"/>
    <w:rsid w:val="008D0BF9"/>
    <w:rsid w:val="008D0C7F"/>
    <w:rsid w:val="008D0DF0"/>
    <w:rsid w:val="008D0E8C"/>
    <w:rsid w:val="008D0EDE"/>
    <w:rsid w:val="008D0F3C"/>
    <w:rsid w:val="008D16FF"/>
    <w:rsid w:val="008D1A14"/>
    <w:rsid w:val="008D1B7C"/>
    <w:rsid w:val="008D1D6F"/>
    <w:rsid w:val="008D1E69"/>
    <w:rsid w:val="008D1F74"/>
    <w:rsid w:val="008D2055"/>
    <w:rsid w:val="008D215D"/>
    <w:rsid w:val="008D2378"/>
    <w:rsid w:val="008D23F4"/>
    <w:rsid w:val="008D243C"/>
    <w:rsid w:val="008D2650"/>
    <w:rsid w:val="008D26C6"/>
    <w:rsid w:val="008D27BF"/>
    <w:rsid w:val="008D29ED"/>
    <w:rsid w:val="008D2DDA"/>
    <w:rsid w:val="008D2E37"/>
    <w:rsid w:val="008D305E"/>
    <w:rsid w:val="008D30E1"/>
    <w:rsid w:val="008D315E"/>
    <w:rsid w:val="008D3E62"/>
    <w:rsid w:val="008D3EB8"/>
    <w:rsid w:val="008D4213"/>
    <w:rsid w:val="008D462B"/>
    <w:rsid w:val="008D4AF5"/>
    <w:rsid w:val="008D50D3"/>
    <w:rsid w:val="008D51BB"/>
    <w:rsid w:val="008D553F"/>
    <w:rsid w:val="008D57BB"/>
    <w:rsid w:val="008D5845"/>
    <w:rsid w:val="008D58AF"/>
    <w:rsid w:val="008D59C9"/>
    <w:rsid w:val="008D5C75"/>
    <w:rsid w:val="008D5E9B"/>
    <w:rsid w:val="008D5FF9"/>
    <w:rsid w:val="008D6058"/>
    <w:rsid w:val="008D65B6"/>
    <w:rsid w:val="008D699F"/>
    <w:rsid w:val="008D74D7"/>
    <w:rsid w:val="008D76DA"/>
    <w:rsid w:val="008D7854"/>
    <w:rsid w:val="008D7879"/>
    <w:rsid w:val="008D79F8"/>
    <w:rsid w:val="008E025C"/>
    <w:rsid w:val="008E0313"/>
    <w:rsid w:val="008E0460"/>
    <w:rsid w:val="008E076B"/>
    <w:rsid w:val="008E08FB"/>
    <w:rsid w:val="008E0BB7"/>
    <w:rsid w:val="008E0C92"/>
    <w:rsid w:val="008E142F"/>
    <w:rsid w:val="008E17CC"/>
    <w:rsid w:val="008E1830"/>
    <w:rsid w:val="008E1E70"/>
    <w:rsid w:val="008E2326"/>
    <w:rsid w:val="008E254D"/>
    <w:rsid w:val="008E3045"/>
    <w:rsid w:val="008E3255"/>
    <w:rsid w:val="008E3331"/>
    <w:rsid w:val="008E3551"/>
    <w:rsid w:val="008E36BA"/>
    <w:rsid w:val="008E3992"/>
    <w:rsid w:val="008E3D80"/>
    <w:rsid w:val="008E40DA"/>
    <w:rsid w:val="008E458B"/>
    <w:rsid w:val="008E461E"/>
    <w:rsid w:val="008E4EE2"/>
    <w:rsid w:val="008E5146"/>
    <w:rsid w:val="008E5579"/>
    <w:rsid w:val="008E5608"/>
    <w:rsid w:val="008E586F"/>
    <w:rsid w:val="008E5B4C"/>
    <w:rsid w:val="008E5E43"/>
    <w:rsid w:val="008E60DC"/>
    <w:rsid w:val="008E643B"/>
    <w:rsid w:val="008E65D3"/>
    <w:rsid w:val="008E6794"/>
    <w:rsid w:val="008E6CAC"/>
    <w:rsid w:val="008E6E74"/>
    <w:rsid w:val="008E6EA2"/>
    <w:rsid w:val="008E702F"/>
    <w:rsid w:val="008E703E"/>
    <w:rsid w:val="008E7162"/>
    <w:rsid w:val="008E76A4"/>
    <w:rsid w:val="008E76E1"/>
    <w:rsid w:val="008E7B91"/>
    <w:rsid w:val="008E7D2B"/>
    <w:rsid w:val="008E7E18"/>
    <w:rsid w:val="008E7F02"/>
    <w:rsid w:val="008E7FA5"/>
    <w:rsid w:val="008F018D"/>
    <w:rsid w:val="008F0384"/>
    <w:rsid w:val="008F045D"/>
    <w:rsid w:val="008F0606"/>
    <w:rsid w:val="008F0726"/>
    <w:rsid w:val="008F072C"/>
    <w:rsid w:val="008F0862"/>
    <w:rsid w:val="008F0E02"/>
    <w:rsid w:val="008F1091"/>
    <w:rsid w:val="008F1716"/>
    <w:rsid w:val="008F18C7"/>
    <w:rsid w:val="008F1A28"/>
    <w:rsid w:val="008F1C4B"/>
    <w:rsid w:val="008F1CA7"/>
    <w:rsid w:val="008F20C9"/>
    <w:rsid w:val="008F230C"/>
    <w:rsid w:val="008F240E"/>
    <w:rsid w:val="008F24E0"/>
    <w:rsid w:val="008F2688"/>
    <w:rsid w:val="008F2816"/>
    <w:rsid w:val="008F28BA"/>
    <w:rsid w:val="008F2C3B"/>
    <w:rsid w:val="008F2E81"/>
    <w:rsid w:val="008F30F6"/>
    <w:rsid w:val="008F3199"/>
    <w:rsid w:val="008F3338"/>
    <w:rsid w:val="008F35E2"/>
    <w:rsid w:val="008F3BBD"/>
    <w:rsid w:val="008F3FD8"/>
    <w:rsid w:val="008F403C"/>
    <w:rsid w:val="008F437B"/>
    <w:rsid w:val="008F4524"/>
    <w:rsid w:val="008F4824"/>
    <w:rsid w:val="008F4A90"/>
    <w:rsid w:val="008F4B83"/>
    <w:rsid w:val="008F50BF"/>
    <w:rsid w:val="008F518A"/>
    <w:rsid w:val="008F53AB"/>
    <w:rsid w:val="008F570E"/>
    <w:rsid w:val="008F5742"/>
    <w:rsid w:val="008F5832"/>
    <w:rsid w:val="008F5C7D"/>
    <w:rsid w:val="008F5D1A"/>
    <w:rsid w:val="008F5EED"/>
    <w:rsid w:val="008F6303"/>
    <w:rsid w:val="008F6435"/>
    <w:rsid w:val="008F68A4"/>
    <w:rsid w:val="008F6D18"/>
    <w:rsid w:val="008F720E"/>
    <w:rsid w:val="008F727B"/>
    <w:rsid w:val="008F7343"/>
    <w:rsid w:val="008F73B5"/>
    <w:rsid w:val="008F7784"/>
    <w:rsid w:val="008F79E4"/>
    <w:rsid w:val="008F7F77"/>
    <w:rsid w:val="008F7FFA"/>
    <w:rsid w:val="00900220"/>
    <w:rsid w:val="0090024A"/>
    <w:rsid w:val="0090038D"/>
    <w:rsid w:val="00900674"/>
    <w:rsid w:val="00900816"/>
    <w:rsid w:val="00900CBE"/>
    <w:rsid w:val="009012F6"/>
    <w:rsid w:val="009013F3"/>
    <w:rsid w:val="00901450"/>
    <w:rsid w:val="00901674"/>
    <w:rsid w:val="00901692"/>
    <w:rsid w:val="009016AF"/>
    <w:rsid w:val="009017AD"/>
    <w:rsid w:val="00901880"/>
    <w:rsid w:val="00901935"/>
    <w:rsid w:val="00901A00"/>
    <w:rsid w:val="00901A4D"/>
    <w:rsid w:val="00901DC8"/>
    <w:rsid w:val="009024FD"/>
    <w:rsid w:val="00902ADA"/>
    <w:rsid w:val="00902ECA"/>
    <w:rsid w:val="00903269"/>
    <w:rsid w:val="00903314"/>
    <w:rsid w:val="009037F0"/>
    <w:rsid w:val="00903A9F"/>
    <w:rsid w:val="00903EDD"/>
    <w:rsid w:val="009040A3"/>
    <w:rsid w:val="009043AF"/>
    <w:rsid w:val="00904461"/>
    <w:rsid w:val="009044EE"/>
    <w:rsid w:val="009048DF"/>
    <w:rsid w:val="00904917"/>
    <w:rsid w:val="0090493B"/>
    <w:rsid w:val="00904CA4"/>
    <w:rsid w:val="00904D38"/>
    <w:rsid w:val="00904D39"/>
    <w:rsid w:val="00904E19"/>
    <w:rsid w:val="00904F57"/>
    <w:rsid w:val="009051E3"/>
    <w:rsid w:val="009052FA"/>
    <w:rsid w:val="00905363"/>
    <w:rsid w:val="00905405"/>
    <w:rsid w:val="009055D0"/>
    <w:rsid w:val="00905739"/>
    <w:rsid w:val="00905784"/>
    <w:rsid w:val="00905B32"/>
    <w:rsid w:val="00905BDB"/>
    <w:rsid w:val="00905D63"/>
    <w:rsid w:val="0090631E"/>
    <w:rsid w:val="0090636E"/>
    <w:rsid w:val="009063BD"/>
    <w:rsid w:val="009067DA"/>
    <w:rsid w:val="009067F5"/>
    <w:rsid w:val="0090689F"/>
    <w:rsid w:val="00906B8A"/>
    <w:rsid w:val="00906C97"/>
    <w:rsid w:val="00906CA0"/>
    <w:rsid w:val="00907009"/>
    <w:rsid w:val="00907163"/>
    <w:rsid w:val="009074CC"/>
    <w:rsid w:val="00907AE0"/>
    <w:rsid w:val="00907D54"/>
    <w:rsid w:val="00910178"/>
    <w:rsid w:val="0091023A"/>
    <w:rsid w:val="00910499"/>
    <w:rsid w:val="00910679"/>
    <w:rsid w:val="009107DB"/>
    <w:rsid w:val="00910925"/>
    <w:rsid w:val="00910BD0"/>
    <w:rsid w:val="00911171"/>
    <w:rsid w:val="0091159B"/>
    <w:rsid w:val="00911A03"/>
    <w:rsid w:val="00911AF9"/>
    <w:rsid w:val="00911FDC"/>
    <w:rsid w:val="00912002"/>
    <w:rsid w:val="00912155"/>
    <w:rsid w:val="009125D6"/>
    <w:rsid w:val="00913057"/>
    <w:rsid w:val="009130C9"/>
    <w:rsid w:val="009133E9"/>
    <w:rsid w:val="00913687"/>
    <w:rsid w:val="0091379F"/>
    <w:rsid w:val="00913B37"/>
    <w:rsid w:val="00913D4F"/>
    <w:rsid w:val="00914010"/>
    <w:rsid w:val="009142A6"/>
    <w:rsid w:val="00914345"/>
    <w:rsid w:val="0091434F"/>
    <w:rsid w:val="009143DB"/>
    <w:rsid w:val="009147AC"/>
    <w:rsid w:val="0091498E"/>
    <w:rsid w:val="00914B7B"/>
    <w:rsid w:val="00914BCA"/>
    <w:rsid w:val="00914E55"/>
    <w:rsid w:val="0091503D"/>
    <w:rsid w:val="0091509D"/>
    <w:rsid w:val="009154EF"/>
    <w:rsid w:val="009158A4"/>
    <w:rsid w:val="00915CE6"/>
    <w:rsid w:val="00915CF9"/>
    <w:rsid w:val="00915ED7"/>
    <w:rsid w:val="00915EEE"/>
    <w:rsid w:val="00915FC3"/>
    <w:rsid w:val="00916281"/>
    <w:rsid w:val="00916309"/>
    <w:rsid w:val="009164F2"/>
    <w:rsid w:val="0091659F"/>
    <w:rsid w:val="00916623"/>
    <w:rsid w:val="009168EA"/>
    <w:rsid w:val="0091691F"/>
    <w:rsid w:val="00916982"/>
    <w:rsid w:val="00916A43"/>
    <w:rsid w:val="00916E19"/>
    <w:rsid w:val="00916E93"/>
    <w:rsid w:val="00917059"/>
    <w:rsid w:val="0091712C"/>
    <w:rsid w:val="0091724E"/>
    <w:rsid w:val="0091734C"/>
    <w:rsid w:val="00917463"/>
    <w:rsid w:val="00917476"/>
    <w:rsid w:val="00917618"/>
    <w:rsid w:val="0091774C"/>
    <w:rsid w:val="009177C7"/>
    <w:rsid w:val="009178C0"/>
    <w:rsid w:val="00917D34"/>
    <w:rsid w:val="00920027"/>
    <w:rsid w:val="00920062"/>
    <w:rsid w:val="00920542"/>
    <w:rsid w:val="00920D83"/>
    <w:rsid w:val="009210F6"/>
    <w:rsid w:val="00921137"/>
    <w:rsid w:val="0092159C"/>
    <w:rsid w:val="009219D5"/>
    <w:rsid w:val="009219F1"/>
    <w:rsid w:val="00921B49"/>
    <w:rsid w:val="00921C14"/>
    <w:rsid w:val="00921F5F"/>
    <w:rsid w:val="009222DF"/>
    <w:rsid w:val="0092238E"/>
    <w:rsid w:val="009224DD"/>
    <w:rsid w:val="009228A1"/>
    <w:rsid w:val="00922978"/>
    <w:rsid w:val="009229A5"/>
    <w:rsid w:val="009229BA"/>
    <w:rsid w:val="00922B90"/>
    <w:rsid w:val="00922E35"/>
    <w:rsid w:val="00922E4F"/>
    <w:rsid w:val="009231A9"/>
    <w:rsid w:val="00923387"/>
    <w:rsid w:val="0092355E"/>
    <w:rsid w:val="00923CAE"/>
    <w:rsid w:val="00923D77"/>
    <w:rsid w:val="00923F91"/>
    <w:rsid w:val="009242CF"/>
    <w:rsid w:val="00924408"/>
    <w:rsid w:val="00924C8F"/>
    <w:rsid w:val="00924DAE"/>
    <w:rsid w:val="0092517C"/>
    <w:rsid w:val="0092532D"/>
    <w:rsid w:val="00925559"/>
    <w:rsid w:val="00925DCF"/>
    <w:rsid w:val="00926109"/>
    <w:rsid w:val="00926B1B"/>
    <w:rsid w:val="00926DAC"/>
    <w:rsid w:val="00926F05"/>
    <w:rsid w:val="009272E4"/>
    <w:rsid w:val="00927E71"/>
    <w:rsid w:val="0093013E"/>
    <w:rsid w:val="009304B2"/>
    <w:rsid w:val="0093075E"/>
    <w:rsid w:val="009309BA"/>
    <w:rsid w:val="009309D6"/>
    <w:rsid w:val="00930ADA"/>
    <w:rsid w:val="00930AE6"/>
    <w:rsid w:val="00930D5D"/>
    <w:rsid w:val="00930D64"/>
    <w:rsid w:val="00930E08"/>
    <w:rsid w:val="0093119D"/>
    <w:rsid w:val="009314C7"/>
    <w:rsid w:val="00931FAB"/>
    <w:rsid w:val="0093204D"/>
    <w:rsid w:val="0093246A"/>
    <w:rsid w:val="009324B4"/>
    <w:rsid w:val="00932568"/>
    <w:rsid w:val="00932679"/>
    <w:rsid w:val="009327D5"/>
    <w:rsid w:val="00932988"/>
    <w:rsid w:val="009329E9"/>
    <w:rsid w:val="00932DDF"/>
    <w:rsid w:val="009332AD"/>
    <w:rsid w:val="00933471"/>
    <w:rsid w:val="00933475"/>
    <w:rsid w:val="0093398B"/>
    <w:rsid w:val="00933A74"/>
    <w:rsid w:val="00933ADF"/>
    <w:rsid w:val="00933BC1"/>
    <w:rsid w:val="00933F1C"/>
    <w:rsid w:val="009343F6"/>
    <w:rsid w:val="00934549"/>
    <w:rsid w:val="0093489C"/>
    <w:rsid w:val="00934F2B"/>
    <w:rsid w:val="00934F43"/>
    <w:rsid w:val="00935002"/>
    <w:rsid w:val="009351E8"/>
    <w:rsid w:val="009356B4"/>
    <w:rsid w:val="00935740"/>
    <w:rsid w:val="009358C4"/>
    <w:rsid w:val="0093591E"/>
    <w:rsid w:val="00935AF7"/>
    <w:rsid w:val="00935B00"/>
    <w:rsid w:val="00935E63"/>
    <w:rsid w:val="0093623C"/>
    <w:rsid w:val="00936915"/>
    <w:rsid w:val="00936A01"/>
    <w:rsid w:val="00936CC8"/>
    <w:rsid w:val="00936D90"/>
    <w:rsid w:val="00937018"/>
    <w:rsid w:val="00937244"/>
    <w:rsid w:val="00937AED"/>
    <w:rsid w:val="00937BB1"/>
    <w:rsid w:val="009404A9"/>
    <w:rsid w:val="0094052F"/>
    <w:rsid w:val="009407D3"/>
    <w:rsid w:val="009407E2"/>
    <w:rsid w:val="00940B65"/>
    <w:rsid w:val="00940C57"/>
    <w:rsid w:val="00940CB8"/>
    <w:rsid w:val="0094168F"/>
    <w:rsid w:val="009416F7"/>
    <w:rsid w:val="00942255"/>
    <w:rsid w:val="00942C78"/>
    <w:rsid w:val="00942DF7"/>
    <w:rsid w:val="00942ED3"/>
    <w:rsid w:val="00943321"/>
    <w:rsid w:val="009433B0"/>
    <w:rsid w:val="009433DF"/>
    <w:rsid w:val="00943496"/>
    <w:rsid w:val="0094367A"/>
    <w:rsid w:val="00943858"/>
    <w:rsid w:val="00943A8C"/>
    <w:rsid w:val="00943CA0"/>
    <w:rsid w:val="00943F5B"/>
    <w:rsid w:val="00943F5E"/>
    <w:rsid w:val="00944276"/>
    <w:rsid w:val="009442A3"/>
    <w:rsid w:val="009443F3"/>
    <w:rsid w:val="00944656"/>
    <w:rsid w:val="00944F53"/>
    <w:rsid w:val="009451CD"/>
    <w:rsid w:val="00945541"/>
    <w:rsid w:val="00945BC1"/>
    <w:rsid w:val="00946152"/>
    <w:rsid w:val="00946458"/>
    <w:rsid w:val="0094680D"/>
    <w:rsid w:val="009468FB"/>
    <w:rsid w:val="00946D04"/>
    <w:rsid w:val="00946F25"/>
    <w:rsid w:val="0094748D"/>
    <w:rsid w:val="00947552"/>
    <w:rsid w:val="0094777A"/>
    <w:rsid w:val="00947A97"/>
    <w:rsid w:val="00947ADA"/>
    <w:rsid w:val="00947B0F"/>
    <w:rsid w:val="00947D79"/>
    <w:rsid w:val="00947DB3"/>
    <w:rsid w:val="00947E1D"/>
    <w:rsid w:val="00947EA4"/>
    <w:rsid w:val="009502C9"/>
    <w:rsid w:val="009504CD"/>
    <w:rsid w:val="009505C3"/>
    <w:rsid w:val="009506E2"/>
    <w:rsid w:val="009509A7"/>
    <w:rsid w:val="00950A4E"/>
    <w:rsid w:val="00950AB6"/>
    <w:rsid w:val="00950AFF"/>
    <w:rsid w:val="00950D2D"/>
    <w:rsid w:val="00950DA1"/>
    <w:rsid w:val="00950FE7"/>
    <w:rsid w:val="00951234"/>
    <w:rsid w:val="00951272"/>
    <w:rsid w:val="00951320"/>
    <w:rsid w:val="00951497"/>
    <w:rsid w:val="00951663"/>
    <w:rsid w:val="00951988"/>
    <w:rsid w:val="0095198A"/>
    <w:rsid w:val="00951AD2"/>
    <w:rsid w:val="00951B78"/>
    <w:rsid w:val="00951DF6"/>
    <w:rsid w:val="00951E92"/>
    <w:rsid w:val="00951ECE"/>
    <w:rsid w:val="0095227A"/>
    <w:rsid w:val="009524CD"/>
    <w:rsid w:val="009527B4"/>
    <w:rsid w:val="009528E0"/>
    <w:rsid w:val="00952CD5"/>
    <w:rsid w:val="00952EC9"/>
    <w:rsid w:val="00952F69"/>
    <w:rsid w:val="0095379C"/>
    <w:rsid w:val="00953AAA"/>
    <w:rsid w:val="00953E5F"/>
    <w:rsid w:val="00953F0A"/>
    <w:rsid w:val="00953FCC"/>
    <w:rsid w:val="00954062"/>
    <w:rsid w:val="0095412F"/>
    <w:rsid w:val="00954303"/>
    <w:rsid w:val="00954403"/>
    <w:rsid w:val="009544B5"/>
    <w:rsid w:val="0095467D"/>
    <w:rsid w:val="00954A64"/>
    <w:rsid w:val="0095541B"/>
    <w:rsid w:val="009554DD"/>
    <w:rsid w:val="00955556"/>
    <w:rsid w:val="009556E5"/>
    <w:rsid w:val="00955ABC"/>
    <w:rsid w:val="009564FF"/>
    <w:rsid w:val="00956A4C"/>
    <w:rsid w:val="00956A60"/>
    <w:rsid w:val="00956C89"/>
    <w:rsid w:val="00956D19"/>
    <w:rsid w:val="00956D43"/>
    <w:rsid w:val="009570F0"/>
    <w:rsid w:val="00957131"/>
    <w:rsid w:val="0095727F"/>
    <w:rsid w:val="009578AF"/>
    <w:rsid w:val="00957A99"/>
    <w:rsid w:val="00957D8F"/>
    <w:rsid w:val="00957F64"/>
    <w:rsid w:val="00960077"/>
    <w:rsid w:val="0096008E"/>
    <w:rsid w:val="009602D0"/>
    <w:rsid w:val="00960349"/>
    <w:rsid w:val="0096089C"/>
    <w:rsid w:val="00960A30"/>
    <w:rsid w:val="00960B12"/>
    <w:rsid w:val="00960B1F"/>
    <w:rsid w:val="00960BCB"/>
    <w:rsid w:val="00960CFA"/>
    <w:rsid w:val="00960E01"/>
    <w:rsid w:val="00960E0E"/>
    <w:rsid w:val="00960FAF"/>
    <w:rsid w:val="009611AD"/>
    <w:rsid w:val="009611C9"/>
    <w:rsid w:val="009612F3"/>
    <w:rsid w:val="0096156C"/>
    <w:rsid w:val="00961680"/>
    <w:rsid w:val="00961D6D"/>
    <w:rsid w:val="0096246C"/>
    <w:rsid w:val="00962BF1"/>
    <w:rsid w:val="00962CC0"/>
    <w:rsid w:val="00962D98"/>
    <w:rsid w:val="009631C7"/>
    <w:rsid w:val="009632C2"/>
    <w:rsid w:val="009634EF"/>
    <w:rsid w:val="00963B14"/>
    <w:rsid w:val="00963D3B"/>
    <w:rsid w:val="00964266"/>
    <w:rsid w:val="0096485D"/>
    <w:rsid w:val="00964ABC"/>
    <w:rsid w:val="00964C3A"/>
    <w:rsid w:val="009651FD"/>
    <w:rsid w:val="009652CC"/>
    <w:rsid w:val="0096536B"/>
    <w:rsid w:val="00965A64"/>
    <w:rsid w:val="00965A8B"/>
    <w:rsid w:val="00965C9E"/>
    <w:rsid w:val="00965DE2"/>
    <w:rsid w:val="00965F21"/>
    <w:rsid w:val="00965F34"/>
    <w:rsid w:val="00965F40"/>
    <w:rsid w:val="0096610A"/>
    <w:rsid w:val="009662FD"/>
    <w:rsid w:val="009663C9"/>
    <w:rsid w:val="009668E5"/>
    <w:rsid w:val="00966969"/>
    <w:rsid w:val="00966C96"/>
    <w:rsid w:val="00966E6E"/>
    <w:rsid w:val="00967575"/>
    <w:rsid w:val="00967609"/>
    <w:rsid w:val="0096760D"/>
    <w:rsid w:val="009677F3"/>
    <w:rsid w:val="00967906"/>
    <w:rsid w:val="00967ACE"/>
    <w:rsid w:val="00967B85"/>
    <w:rsid w:val="00967BE9"/>
    <w:rsid w:val="00967EF0"/>
    <w:rsid w:val="009701A1"/>
    <w:rsid w:val="00970201"/>
    <w:rsid w:val="00970454"/>
    <w:rsid w:val="00970912"/>
    <w:rsid w:val="00970D7F"/>
    <w:rsid w:val="0097102D"/>
    <w:rsid w:val="00971247"/>
    <w:rsid w:val="009712E0"/>
    <w:rsid w:val="00971A4A"/>
    <w:rsid w:val="00971DDD"/>
    <w:rsid w:val="00971EBA"/>
    <w:rsid w:val="00971F43"/>
    <w:rsid w:val="00972110"/>
    <w:rsid w:val="00972725"/>
    <w:rsid w:val="009731C5"/>
    <w:rsid w:val="0097321C"/>
    <w:rsid w:val="00973556"/>
    <w:rsid w:val="00973C9E"/>
    <w:rsid w:val="00973D75"/>
    <w:rsid w:val="00973F0F"/>
    <w:rsid w:val="00973FC8"/>
    <w:rsid w:val="00974013"/>
    <w:rsid w:val="00974015"/>
    <w:rsid w:val="009742B4"/>
    <w:rsid w:val="0097496A"/>
    <w:rsid w:val="00974B73"/>
    <w:rsid w:val="00974DA3"/>
    <w:rsid w:val="009751D9"/>
    <w:rsid w:val="009754BA"/>
    <w:rsid w:val="009755E5"/>
    <w:rsid w:val="00975857"/>
    <w:rsid w:val="00975B83"/>
    <w:rsid w:val="00975B93"/>
    <w:rsid w:val="00975BC6"/>
    <w:rsid w:val="00975BEB"/>
    <w:rsid w:val="00975E3F"/>
    <w:rsid w:val="00975E78"/>
    <w:rsid w:val="00975FA4"/>
    <w:rsid w:val="0097617C"/>
    <w:rsid w:val="00976261"/>
    <w:rsid w:val="00976302"/>
    <w:rsid w:val="00976424"/>
    <w:rsid w:val="0097646F"/>
    <w:rsid w:val="009764F7"/>
    <w:rsid w:val="0097674E"/>
    <w:rsid w:val="0097697D"/>
    <w:rsid w:val="00976B5B"/>
    <w:rsid w:val="00976FC2"/>
    <w:rsid w:val="00977087"/>
    <w:rsid w:val="009770B9"/>
    <w:rsid w:val="0097730A"/>
    <w:rsid w:val="0097737D"/>
    <w:rsid w:val="0097753A"/>
    <w:rsid w:val="00977668"/>
    <w:rsid w:val="009779A5"/>
    <w:rsid w:val="00977A36"/>
    <w:rsid w:val="00977BFA"/>
    <w:rsid w:val="00977CCF"/>
    <w:rsid w:val="00977D33"/>
    <w:rsid w:val="00977F7A"/>
    <w:rsid w:val="00980277"/>
    <w:rsid w:val="00980485"/>
    <w:rsid w:val="009805F3"/>
    <w:rsid w:val="009809A0"/>
    <w:rsid w:val="00980C05"/>
    <w:rsid w:val="00980D5A"/>
    <w:rsid w:val="00980DBA"/>
    <w:rsid w:val="00981663"/>
    <w:rsid w:val="00981741"/>
    <w:rsid w:val="00981D09"/>
    <w:rsid w:val="00981D1C"/>
    <w:rsid w:val="0098223D"/>
    <w:rsid w:val="0098253B"/>
    <w:rsid w:val="009826C5"/>
    <w:rsid w:val="009828E1"/>
    <w:rsid w:val="00982CF6"/>
    <w:rsid w:val="00982D8A"/>
    <w:rsid w:val="00982E26"/>
    <w:rsid w:val="00982ED0"/>
    <w:rsid w:val="00982F1B"/>
    <w:rsid w:val="009831A4"/>
    <w:rsid w:val="009833F3"/>
    <w:rsid w:val="0098371A"/>
    <w:rsid w:val="00983990"/>
    <w:rsid w:val="009841CC"/>
    <w:rsid w:val="00984385"/>
    <w:rsid w:val="0098447C"/>
    <w:rsid w:val="00984543"/>
    <w:rsid w:val="00984655"/>
    <w:rsid w:val="00984682"/>
    <w:rsid w:val="00984777"/>
    <w:rsid w:val="009847EB"/>
    <w:rsid w:val="00984E41"/>
    <w:rsid w:val="009854E5"/>
    <w:rsid w:val="009857CE"/>
    <w:rsid w:val="009858DA"/>
    <w:rsid w:val="0098597D"/>
    <w:rsid w:val="00985A19"/>
    <w:rsid w:val="00985C32"/>
    <w:rsid w:val="00985EBB"/>
    <w:rsid w:val="0098629A"/>
    <w:rsid w:val="009864F1"/>
    <w:rsid w:val="00986557"/>
    <w:rsid w:val="009866DE"/>
    <w:rsid w:val="009866F6"/>
    <w:rsid w:val="009867C9"/>
    <w:rsid w:val="009867E3"/>
    <w:rsid w:val="0098721E"/>
    <w:rsid w:val="0098761D"/>
    <w:rsid w:val="009876D3"/>
    <w:rsid w:val="00987907"/>
    <w:rsid w:val="00987A65"/>
    <w:rsid w:val="00987B76"/>
    <w:rsid w:val="0099016D"/>
    <w:rsid w:val="009902C3"/>
    <w:rsid w:val="0099041C"/>
    <w:rsid w:val="00990439"/>
    <w:rsid w:val="0099073D"/>
    <w:rsid w:val="00990A7F"/>
    <w:rsid w:val="00990E90"/>
    <w:rsid w:val="00990F9B"/>
    <w:rsid w:val="0099100E"/>
    <w:rsid w:val="009910A9"/>
    <w:rsid w:val="009910EC"/>
    <w:rsid w:val="00991114"/>
    <w:rsid w:val="009915A6"/>
    <w:rsid w:val="009918EA"/>
    <w:rsid w:val="00991AE0"/>
    <w:rsid w:val="00991D34"/>
    <w:rsid w:val="00991DA9"/>
    <w:rsid w:val="00992213"/>
    <w:rsid w:val="00992391"/>
    <w:rsid w:val="009929D8"/>
    <w:rsid w:val="00992A4C"/>
    <w:rsid w:val="0099338C"/>
    <w:rsid w:val="009938E1"/>
    <w:rsid w:val="00993B53"/>
    <w:rsid w:val="00993C93"/>
    <w:rsid w:val="00993FB0"/>
    <w:rsid w:val="00994065"/>
    <w:rsid w:val="00994122"/>
    <w:rsid w:val="00994453"/>
    <w:rsid w:val="0099452D"/>
    <w:rsid w:val="00994661"/>
    <w:rsid w:val="009947CF"/>
    <w:rsid w:val="0099487F"/>
    <w:rsid w:val="0099492B"/>
    <w:rsid w:val="009952F5"/>
    <w:rsid w:val="00995717"/>
    <w:rsid w:val="0099577D"/>
    <w:rsid w:val="00995EA8"/>
    <w:rsid w:val="00995F88"/>
    <w:rsid w:val="009960D1"/>
    <w:rsid w:val="0099622D"/>
    <w:rsid w:val="009966FB"/>
    <w:rsid w:val="00996902"/>
    <w:rsid w:val="00996928"/>
    <w:rsid w:val="00996CEC"/>
    <w:rsid w:val="00996D03"/>
    <w:rsid w:val="00996FF9"/>
    <w:rsid w:val="0099706F"/>
    <w:rsid w:val="0099715D"/>
    <w:rsid w:val="00997264"/>
    <w:rsid w:val="009972AB"/>
    <w:rsid w:val="00997764"/>
    <w:rsid w:val="00997DBD"/>
    <w:rsid w:val="009A00C9"/>
    <w:rsid w:val="009A0412"/>
    <w:rsid w:val="009A0522"/>
    <w:rsid w:val="009A0527"/>
    <w:rsid w:val="009A076F"/>
    <w:rsid w:val="009A079B"/>
    <w:rsid w:val="009A07A4"/>
    <w:rsid w:val="009A0E02"/>
    <w:rsid w:val="009A0ED9"/>
    <w:rsid w:val="009A15C0"/>
    <w:rsid w:val="009A16C5"/>
    <w:rsid w:val="009A1873"/>
    <w:rsid w:val="009A20DE"/>
    <w:rsid w:val="009A21F3"/>
    <w:rsid w:val="009A22D3"/>
    <w:rsid w:val="009A2301"/>
    <w:rsid w:val="009A2329"/>
    <w:rsid w:val="009A2378"/>
    <w:rsid w:val="009A23F2"/>
    <w:rsid w:val="009A2787"/>
    <w:rsid w:val="009A28F2"/>
    <w:rsid w:val="009A29D3"/>
    <w:rsid w:val="009A2BFC"/>
    <w:rsid w:val="009A2DF7"/>
    <w:rsid w:val="009A2F55"/>
    <w:rsid w:val="009A308E"/>
    <w:rsid w:val="009A3102"/>
    <w:rsid w:val="009A3627"/>
    <w:rsid w:val="009A3665"/>
    <w:rsid w:val="009A3684"/>
    <w:rsid w:val="009A36A7"/>
    <w:rsid w:val="009A38A5"/>
    <w:rsid w:val="009A3A09"/>
    <w:rsid w:val="009A3A7E"/>
    <w:rsid w:val="009A3CD1"/>
    <w:rsid w:val="009A4052"/>
    <w:rsid w:val="009A40D1"/>
    <w:rsid w:val="009A413F"/>
    <w:rsid w:val="009A4487"/>
    <w:rsid w:val="009A44EE"/>
    <w:rsid w:val="009A483C"/>
    <w:rsid w:val="009A4C1E"/>
    <w:rsid w:val="009A4DAD"/>
    <w:rsid w:val="009A4F7B"/>
    <w:rsid w:val="009A52B4"/>
    <w:rsid w:val="009A549E"/>
    <w:rsid w:val="009A5607"/>
    <w:rsid w:val="009A566D"/>
    <w:rsid w:val="009A5B5F"/>
    <w:rsid w:val="009A5C91"/>
    <w:rsid w:val="009A5D58"/>
    <w:rsid w:val="009A6050"/>
    <w:rsid w:val="009A6068"/>
    <w:rsid w:val="009A60A1"/>
    <w:rsid w:val="009A7178"/>
    <w:rsid w:val="009A72C0"/>
    <w:rsid w:val="009A79E0"/>
    <w:rsid w:val="009A7B31"/>
    <w:rsid w:val="009A7D2E"/>
    <w:rsid w:val="009A7FF3"/>
    <w:rsid w:val="009B04AC"/>
    <w:rsid w:val="009B07F4"/>
    <w:rsid w:val="009B0B25"/>
    <w:rsid w:val="009B0C41"/>
    <w:rsid w:val="009B13F6"/>
    <w:rsid w:val="009B174F"/>
    <w:rsid w:val="009B1812"/>
    <w:rsid w:val="009B18F9"/>
    <w:rsid w:val="009B1E5D"/>
    <w:rsid w:val="009B223C"/>
    <w:rsid w:val="009B24B7"/>
    <w:rsid w:val="009B2E35"/>
    <w:rsid w:val="009B2F48"/>
    <w:rsid w:val="009B3028"/>
    <w:rsid w:val="009B31EE"/>
    <w:rsid w:val="009B367B"/>
    <w:rsid w:val="009B3700"/>
    <w:rsid w:val="009B3741"/>
    <w:rsid w:val="009B3869"/>
    <w:rsid w:val="009B391F"/>
    <w:rsid w:val="009B39E9"/>
    <w:rsid w:val="009B3B76"/>
    <w:rsid w:val="009B3CA0"/>
    <w:rsid w:val="009B40AF"/>
    <w:rsid w:val="009B428C"/>
    <w:rsid w:val="009B42F4"/>
    <w:rsid w:val="009B4913"/>
    <w:rsid w:val="009B4A34"/>
    <w:rsid w:val="009B4BE3"/>
    <w:rsid w:val="009B505B"/>
    <w:rsid w:val="009B52D2"/>
    <w:rsid w:val="009B558A"/>
    <w:rsid w:val="009B5598"/>
    <w:rsid w:val="009B57A4"/>
    <w:rsid w:val="009B58B9"/>
    <w:rsid w:val="009B5A7D"/>
    <w:rsid w:val="009B5C7F"/>
    <w:rsid w:val="009B5CD3"/>
    <w:rsid w:val="009B67D6"/>
    <w:rsid w:val="009B6833"/>
    <w:rsid w:val="009B6A0E"/>
    <w:rsid w:val="009B6CBF"/>
    <w:rsid w:val="009B6D5C"/>
    <w:rsid w:val="009B7080"/>
    <w:rsid w:val="009B71D9"/>
    <w:rsid w:val="009B72A1"/>
    <w:rsid w:val="009B738E"/>
    <w:rsid w:val="009B7561"/>
    <w:rsid w:val="009B7736"/>
    <w:rsid w:val="009B789E"/>
    <w:rsid w:val="009B7CDC"/>
    <w:rsid w:val="009B7D02"/>
    <w:rsid w:val="009C01A7"/>
    <w:rsid w:val="009C065F"/>
    <w:rsid w:val="009C1AD6"/>
    <w:rsid w:val="009C1CB3"/>
    <w:rsid w:val="009C1CBB"/>
    <w:rsid w:val="009C1E33"/>
    <w:rsid w:val="009C1EA9"/>
    <w:rsid w:val="009C2178"/>
    <w:rsid w:val="009C23AB"/>
    <w:rsid w:val="009C28DD"/>
    <w:rsid w:val="009C2AED"/>
    <w:rsid w:val="009C2B5C"/>
    <w:rsid w:val="009C3543"/>
    <w:rsid w:val="009C35F6"/>
    <w:rsid w:val="009C3761"/>
    <w:rsid w:val="009C3818"/>
    <w:rsid w:val="009C3A5D"/>
    <w:rsid w:val="009C40F9"/>
    <w:rsid w:val="009C4480"/>
    <w:rsid w:val="009C4713"/>
    <w:rsid w:val="009C4758"/>
    <w:rsid w:val="009C4C8B"/>
    <w:rsid w:val="009C4DFD"/>
    <w:rsid w:val="009C4E23"/>
    <w:rsid w:val="009C545D"/>
    <w:rsid w:val="009C5507"/>
    <w:rsid w:val="009C5606"/>
    <w:rsid w:val="009C577F"/>
    <w:rsid w:val="009C57E0"/>
    <w:rsid w:val="009C5A9C"/>
    <w:rsid w:val="009C5C45"/>
    <w:rsid w:val="009C5D32"/>
    <w:rsid w:val="009C5DA1"/>
    <w:rsid w:val="009C5ED4"/>
    <w:rsid w:val="009C666E"/>
    <w:rsid w:val="009C6A04"/>
    <w:rsid w:val="009C6ADA"/>
    <w:rsid w:val="009C6F63"/>
    <w:rsid w:val="009C776A"/>
    <w:rsid w:val="009C7BBF"/>
    <w:rsid w:val="009C7E76"/>
    <w:rsid w:val="009D017C"/>
    <w:rsid w:val="009D01E1"/>
    <w:rsid w:val="009D03DC"/>
    <w:rsid w:val="009D0616"/>
    <w:rsid w:val="009D07D1"/>
    <w:rsid w:val="009D0D97"/>
    <w:rsid w:val="009D1226"/>
    <w:rsid w:val="009D1328"/>
    <w:rsid w:val="009D132D"/>
    <w:rsid w:val="009D1E96"/>
    <w:rsid w:val="009D203D"/>
    <w:rsid w:val="009D2048"/>
    <w:rsid w:val="009D258D"/>
    <w:rsid w:val="009D266D"/>
    <w:rsid w:val="009D268C"/>
    <w:rsid w:val="009D269D"/>
    <w:rsid w:val="009D2717"/>
    <w:rsid w:val="009D2A5D"/>
    <w:rsid w:val="009D3035"/>
    <w:rsid w:val="009D333D"/>
    <w:rsid w:val="009D3546"/>
    <w:rsid w:val="009D3970"/>
    <w:rsid w:val="009D3ADE"/>
    <w:rsid w:val="009D4271"/>
    <w:rsid w:val="009D4B97"/>
    <w:rsid w:val="009D4F4D"/>
    <w:rsid w:val="009D51E3"/>
    <w:rsid w:val="009D6532"/>
    <w:rsid w:val="009D665A"/>
    <w:rsid w:val="009D6B88"/>
    <w:rsid w:val="009D6EEC"/>
    <w:rsid w:val="009D7110"/>
    <w:rsid w:val="009D7189"/>
    <w:rsid w:val="009D731D"/>
    <w:rsid w:val="009D7372"/>
    <w:rsid w:val="009D77F8"/>
    <w:rsid w:val="009D7A7A"/>
    <w:rsid w:val="009D7D8D"/>
    <w:rsid w:val="009D7E29"/>
    <w:rsid w:val="009D7EF0"/>
    <w:rsid w:val="009D7FFE"/>
    <w:rsid w:val="009E0188"/>
    <w:rsid w:val="009E0566"/>
    <w:rsid w:val="009E1421"/>
    <w:rsid w:val="009E14F1"/>
    <w:rsid w:val="009E1738"/>
    <w:rsid w:val="009E1800"/>
    <w:rsid w:val="009E181C"/>
    <w:rsid w:val="009E19AB"/>
    <w:rsid w:val="009E1EB6"/>
    <w:rsid w:val="009E1F43"/>
    <w:rsid w:val="009E2D52"/>
    <w:rsid w:val="009E317C"/>
    <w:rsid w:val="009E31AD"/>
    <w:rsid w:val="009E34E9"/>
    <w:rsid w:val="009E34EE"/>
    <w:rsid w:val="009E37EF"/>
    <w:rsid w:val="009E3B47"/>
    <w:rsid w:val="009E41A4"/>
    <w:rsid w:val="009E426F"/>
    <w:rsid w:val="009E43D0"/>
    <w:rsid w:val="009E4504"/>
    <w:rsid w:val="009E4B2A"/>
    <w:rsid w:val="009E50FE"/>
    <w:rsid w:val="009E51D8"/>
    <w:rsid w:val="009E54BA"/>
    <w:rsid w:val="009E566B"/>
    <w:rsid w:val="009E583C"/>
    <w:rsid w:val="009E5D8E"/>
    <w:rsid w:val="009E5E33"/>
    <w:rsid w:val="009E6030"/>
    <w:rsid w:val="009E60E2"/>
    <w:rsid w:val="009E60EC"/>
    <w:rsid w:val="009E6241"/>
    <w:rsid w:val="009E62A8"/>
    <w:rsid w:val="009E63A7"/>
    <w:rsid w:val="009E64C3"/>
    <w:rsid w:val="009E66B3"/>
    <w:rsid w:val="009E6947"/>
    <w:rsid w:val="009E6B5B"/>
    <w:rsid w:val="009E6BD2"/>
    <w:rsid w:val="009E6DE7"/>
    <w:rsid w:val="009E6EA3"/>
    <w:rsid w:val="009E7114"/>
    <w:rsid w:val="009E71D8"/>
    <w:rsid w:val="009E74C0"/>
    <w:rsid w:val="009E79CB"/>
    <w:rsid w:val="009E7A9A"/>
    <w:rsid w:val="009E7C3C"/>
    <w:rsid w:val="009E7D30"/>
    <w:rsid w:val="009E7DA7"/>
    <w:rsid w:val="009F0125"/>
    <w:rsid w:val="009F0177"/>
    <w:rsid w:val="009F070C"/>
    <w:rsid w:val="009F075B"/>
    <w:rsid w:val="009F105F"/>
    <w:rsid w:val="009F171D"/>
    <w:rsid w:val="009F1792"/>
    <w:rsid w:val="009F17F7"/>
    <w:rsid w:val="009F1B85"/>
    <w:rsid w:val="009F1BAB"/>
    <w:rsid w:val="009F1CD5"/>
    <w:rsid w:val="009F1D5E"/>
    <w:rsid w:val="009F1EA1"/>
    <w:rsid w:val="009F1EBB"/>
    <w:rsid w:val="009F1FA2"/>
    <w:rsid w:val="009F253D"/>
    <w:rsid w:val="009F2688"/>
    <w:rsid w:val="009F2916"/>
    <w:rsid w:val="009F29F4"/>
    <w:rsid w:val="009F2B7C"/>
    <w:rsid w:val="009F2C17"/>
    <w:rsid w:val="009F2EE4"/>
    <w:rsid w:val="009F30BC"/>
    <w:rsid w:val="009F3693"/>
    <w:rsid w:val="009F410E"/>
    <w:rsid w:val="009F465E"/>
    <w:rsid w:val="009F47EA"/>
    <w:rsid w:val="009F484A"/>
    <w:rsid w:val="009F4A59"/>
    <w:rsid w:val="009F4DD6"/>
    <w:rsid w:val="009F578C"/>
    <w:rsid w:val="009F584F"/>
    <w:rsid w:val="009F58C0"/>
    <w:rsid w:val="009F5C12"/>
    <w:rsid w:val="009F5E43"/>
    <w:rsid w:val="009F5FB3"/>
    <w:rsid w:val="009F63B6"/>
    <w:rsid w:val="009F63E6"/>
    <w:rsid w:val="009F6545"/>
    <w:rsid w:val="009F666C"/>
    <w:rsid w:val="009F67C1"/>
    <w:rsid w:val="009F6921"/>
    <w:rsid w:val="009F69DC"/>
    <w:rsid w:val="009F6CEC"/>
    <w:rsid w:val="009F733A"/>
    <w:rsid w:val="009F745A"/>
    <w:rsid w:val="009F779F"/>
    <w:rsid w:val="009F77D0"/>
    <w:rsid w:val="009F7DD8"/>
    <w:rsid w:val="009F7ED9"/>
    <w:rsid w:val="009F7EE8"/>
    <w:rsid w:val="009F7FDC"/>
    <w:rsid w:val="00A00073"/>
    <w:rsid w:val="00A00217"/>
    <w:rsid w:val="00A002B4"/>
    <w:rsid w:val="00A003A0"/>
    <w:rsid w:val="00A00528"/>
    <w:rsid w:val="00A0056A"/>
    <w:rsid w:val="00A00CBC"/>
    <w:rsid w:val="00A00D08"/>
    <w:rsid w:val="00A00D26"/>
    <w:rsid w:val="00A00F97"/>
    <w:rsid w:val="00A0108D"/>
    <w:rsid w:val="00A01670"/>
    <w:rsid w:val="00A0176F"/>
    <w:rsid w:val="00A01B9F"/>
    <w:rsid w:val="00A01BDD"/>
    <w:rsid w:val="00A01C5A"/>
    <w:rsid w:val="00A01FFD"/>
    <w:rsid w:val="00A02133"/>
    <w:rsid w:val="00A028FD"/>
    <w:rsid w:val="00A02903"/>
    <w:rsid w:val="00A029D2"/>
    <w:rsid w:val="00A02E1C"/>
    <w:rsid w:val="00A02E92"/>
    <w:rsid w:val="00A02F62"/>
    <w:rsid w:val="00A031C8"/>
    <w:rsid w:val="00A034EB"/>
    <w:rsid w:val="00A03789"/>
    <w:rsid w:val="00A03A5B"/>
    <w:rsid w:val="00A03AFD"/>
    <w:rsid w:val="00A03B17"/>
    <w:rsid w:val="00A03D2C"/>
    <w:rsid w:val="00A03FF9"/>
    <w:rsid w:val="00A04126"/>
    <w:rsid w:val="00A0454E"/>
    <w:rsid w:val="00A04723"/>
    <w:rsid w:val="00A04882"/>
    <w:rsid w:val="00A04A46"/>
    <w:rsid w:val="00A04CFD"/>
    <w:rsid w:val="00A04F4B"/>
    <w:rsid w:val="00A050A8"/>
    <w:rsid w:val="00A05113"/>
    <w:rsid w:val="00A051DC"/>
    <w:rsid w:val="00A053C7"/>
    <w:rsid w:val="00A058D6"/>
    <w:rsid w:val="00A0595E"/>
    <w:rsid w:val="00A05A2C"/>
    <w:rsid w:val="00A05B03"/>
    <w:rsid w:val="00A05D97"/>
    <w:rsid w:val="00A05E16"/>
    <w:rsid w:val="00A05EA0"/>
    <w:rsid w:val="00A06006"/>
    <w:rsid w:val="00A06367"/>
    <w:rsid w:val="00A06531"/>
    <w:rsid w:val="00A066E7"/>
    <w:rsid w:val="00A067C8"/>
    <w:rsid w:val="00A06901"/>
    <w:rsid w:val="00A0694C"/>
    <w:rsid w:val="00A069CB"/>
    <w:rsid w:val="00A06B89"/>
    <w:rsid w:val="00A06C5C"/>
    <w:rsid w:val="00A06E34"/>
    <w:rsid w:val="00A072AD"/>
    <w:rsid w:val="00A072D7"/>
    <w:rsid w:val="00A0758F"/>
    <w:rsid w:val="00A075B2"/>
    <w:rsid w:val="00A07AE0"/>
    <w:rsid w:val="00A07B3C"/>
    <w:rsid w:val="00A07C12"/>
    <w:rsid w:val="00A07FE2"/>
    <w:rsid w:val="00A10995"/>
    <w:rsid w:val="00A10A5B"/>
    <w:rsid w:val="00A10C87"/>
    <w:rsid w:val="00A10FDD"/>
    <w:rsid w:val="00A10FFA"/>
    <w:rsid w:val="00A11106"/>
    <w:rsid w:val="00A11940"/>
    <w:rsid w:val="00A11C3E"/>
    <w:rsid w:val="00A11DA1"/>
    <w:rsid w:val="00A12017"/>
    <w:rsid w:val="00A122FB"/>
    <w:rsid w:val="00A127A5"/>
    <w:rsid w:val="00A12B9A"/>
    <w:rsid w:val="00A132E1"/>
    <w:rsid w:val="00A1335D"/>
    <w:rsid w:val="00A13870"/>
    <w:rsid w:val="00A138D6"/>
    <w:rsid w:val="00A13B46"/>
    <w:rsid w:val="00A13C5F"/>
    <w:rsid w:val="00A13CAE"/>
    <w:rsid w:val="00A13CE5"/>
    <w:rsid w:val="00A13EF4"/>
    <w:rsid w:val="00A140B1"/>
    <w:rsid w:val="00A146BB"/>
    <w:rsid w:val="00A147A3"/>
    <w:rsid w:val="00A14A29"/>
    <w:rsid w:val="00A14AC3"/>
    <w:rsid w:val="00A14F7D"/>
    <w:rsid w:val="00A15105"/>
    <w:rsid w:val="00A15302"/>
    <w:rsid w:val="00A153B1"/>
    <w:rsid w:val="00A154D6"/>
    <w:rsid w:val="00A155F2"/>
    <w:rsid w:val="00A157D1"/>
    <w:rsid w:val="00A15E64"/>
    <w:rsid w:val="00A16036"/>
    <w:rsid w:val="00A167EE"/>
    <w:rsid w:val="00A16AC1"/>
    <w:rsid w:val="00A17106"/>
    <w:rsid w:val="00A17111"/>
    <w:rsid w:val="00A17568"/>
    <w:rsid w:val="00A177FE"/>
    <w:rsid w:val="00A17887"/>
    <w:rsid w:val="00A1797B"/>
    <w:rsid w:val="00A17B8F"/>
    <w:rsid w:val="00A17C5D"/>
    <w:rsid w:val="00A17D0A"/>
    <w:rsid w:val="00A17DAD"/>
    <w:rsid w:val="00A2002B"/>
    <w:rsid w:val="00A20171"/>
    <w:rsid w:val="00A201A4"/>
    <w:rsid w:val="00A20729"/>
    <w:rsid w:val="00A20BE8"/>
    <w:rsid w:val="00A21666"/>
    <w:rsid w:val="00A216FF"/>
    <w:rsid w:val="00A21D1A"/>
    <w:rsid w:val="00A21E5C"/>
    <w:rsid w:val="00A22154"/>
    <w:rsid w:val="00A2250A"/>
    <w:rsid w:val="00A225FA"/>
    <w:rsid w:val="00A228E1"/>
    <w:rsid w:val="00A228F5"/>
    <w:rsid w:val="00A22E57"/>
    <w:rsid w:val="00A22EB1"/>
    <w:rsid w:val="00A23327"/>
    <w:rsid w:val="00A23EEA"/>
    <w:rsid w:val="00A24691"/>
    <w:rsid w:val="00A24BC2"/>
    <w:rsid w:val="00A24BEF"/>
    <w:rsid w:val="00A25564"/>
    <w:rsid w:val="00A25656"/>
    <w:rsid w:val="00A25955"/>
    <w:rsid w:val="00A25DE9"/>
    <w:rsid w:val="00A25EE2"/>
    <w:rsid w:val="00A25FE9"/>
    <w:rsid w:val="00A26119"/>
    <w:rsid w:val="00A2630A"/>
    <w:rsid w:val="00A26566"/>
    <w:rsid w:val="00A265D0"/>
    <w:rsid w:val="00A268CB"/>
    <w:rsid w:val="00A26B91"/>
    <w:rsid w:val="00A26F58"/>
    <w:rsid w:val="00A2706A"/>
    <w:rsid w:val="00A270CF"/>
    <w:rsid w:val="00A272D8"/>
    <w:rsid w:val="00A27980"/>
    <w:rsid w:val="00A27A48"/>
    <w:rsid w:val="00A27E47"/>
    <w:rsid w:val="00A27E5B"/>
    <w:rsid w:val="00A27EDA"/>
    <w:rsid w:val="00A27F5A"/>
    <w:rsid w:val="00A30180"/>
    <w:rsid w:val="00A301A4"/>
    <w:rsid w:val="00A302F5"/>
    <w:rsid w:val="00A30992"/>
    <w:rsid w:val="00A30ABD"/>
    <w:rsid w:val="00A30D57"/>
    <w:rsid w:val="00A30F27"/>
    <w:rsid w:val="00A30FBC"/>
    <w:rsid w:val="00A3114D"/>
    <w:rsid w:val="00A3115A"/>
    <w:rsid w:val="00A3147B"/>
    <w:rsid w:val="00A314A3"/>
    <w:rsid w:val="00A31724"/>
    <w:rsid w:val="00A31800"/>
    <w:rsid w:val="00A31A7E"/>
    <w:rsid w:val="00A31C46"/>
    <w:rsid w:val="00A31CAF"/>
    <w:rsid w:val="00A31E71"/>
    <w:rsid w:val="00A3200C"/>
    <w:rsid w:val="00A323AE"/>
    <w:rsid w:val="00A32467"/>
    <w:rsid w:val="00A3273A"/>
    <w:rsid w:val="00A32744"/>
    <w:rsid w:val="00A329FB"/>
    <w:rsid w:val="00A32C80"/>
    <w:rsid w:val="00A32EDF"/>
    <w:rsid w:val="00A32FD1"/>
    <w:rsid w:val="00A33473"/>
    <w:rsid w:val="00A33661"/>
    <w:rsid w:val="00A33B80"/>
    <w:rsid w:val="00A33DED"/>
    <w:rsid w:val="00A33F7F"/>
    <w:rsid w:val="00A3434A"/>
    <w:rsid w:val="00A34594"/>
    <w:rsid w:val="00A34653"/>
    <w:rsid w:val="00A34940"/>
    <w:rsid w:val="00A34949"/>
    <w:rsid w:val="00A34A5F"/>
    <w:rsid w:val="00A351C1"/>
    <w:rsid w:val="00A35383"/>
    <w:rsid w:val="00A35657"/>
    <w:rsid w:val="00A35671"/>
    <w:rsid w:val="00A3569C"/>
    <w:rsid w:val="00A360E0"/>
    <w:rsid w:val="00A360F7"/>
    <w:rsid w:val="00A3644C"/>
    <w:rsid w:val="00A3653A"/>
    <w:rsid w:val="00A36609"/>
    <w:rsid w:val="00A36705"/>
    <w:rsid w:val="00A367B2"/>
    <w:rsid w:val="00A37214"/>
    <w:rsid w:val="00A37436"/>
    <w:rsid w:val="00A37817"/>
    <w:rsid w:val="00A37CE0"/>
    <w:rsid w:val="00A401C8"/>
    <w:rsid w:val="00A4031C"/>
    <w:rsid w:val="00A404D5"/>
    <w:rsid w:val="00A4064E"/>
    <w:rsid w:val="00A409B6"/>
    <w:rsid w:val="00A40C53"/>
    <w:rsid w:val="00A411C1"/>
    <w:rsid w:val="00A41563"/>
    <w:rsid w:val="00A41A4F"/>
    <w:rsid w:val="00A41CF3"/>
    <w:rsid w:val="00A41D4D"/>
    <w:rsid w:val="00A41F57"/>
    <w:rsid w:val="00A423AC"/>
    <w:rsid w:val="00A423C7"/>
    <w:rsid w:val="00A42415"/>
    <w:rsid w:val="00A42A30"/>
    <w:rsid w:val="00A42E42"/>
    <w:rsid w:val="00A433C3"/>
    <w:rsid w:val="00A434EE"/>
    <w:rsid w:val="00A434FA"/>
    <w:rsid w:val="00A43501"/>
    <w:rsid w:val="00A43683"/>
    <w:rsid w:val="00A4380F"/>
    <w:rsid w:val="00A43941"/>
    <w:rsid w:val="00A43948"/>
    <w:rsid w:val="00A4397C"/>
    <w:rsid w:val="00A43B26"/>
    <w:rsid w:val="00A43B38"/>
    <w:rsid w:val="00A43B44"/>
    <w:rsid w:val="00A43B67"/>
    <w:rsid w:val="00A43DF8"/>
    <w:rsid w:val="00A43F91"/>
    <w:rsid w:val="00A441C7"/>
    <w:rsid w:val="00A44207"/>
    <w:rsid w:val="00A444CD"/>
    <w:rsid w:val="00A445AC"/>
    <w:rsid w:val="00A446B2"/>
    <w:rsid w:val="00A447DC"/>
    <w:rsid w:val="00A44E00"/>
    <w:rsid w:val="00A4508A"/>
    <w:rsid w:val="00A45183"/>
    <w:rsid w:val="00A451C6"/>
    <w:rsid w:val="00A451F9"/>
    <w:rsid w:val="00A45298"/>
    <w:rsid w:val="00A453F7"/>
    <w:rsid w:val="00A454FC"/>
    <w:rsid w:val="00A4571F"/>
    <w:rsid w:val="00A4581F"/>
    <w:rsid w:val="00A4596F"/>
    <w:rsid w:val="00A45B22"/>
    <w:rsid w:val="00A45E18"/>
    <w:rsid w:val="00A4618E"/>
    <w:rsid w:val="00A46220"/>
    <w:rsid w:val="00A46339"/>
    <w:rsid w:val="00A46535"/>
    <w:rsid w:val="00A469F9"/>
    <w:rsid w:val="00A46B7E"/>
    <w:rsid w:val="00A46CC8"/>
    <w:rsid w:val="00A479F4"/>
    <w:rsid w:val="00A47D8C"/>
    <w:rsid w:val="00A47FB5"/>
    <w:rsid w:val="00A47FCA"/>
    <w:rsid w:val="00A50215"/>
    <w:rsid w:val="00A502E8"/>
    <w:rsid w:val="00A503EE"/>
    <w:rsid w:val="00A506FC"/>
    <w:rsid w:val="00A507DC"/>
    <w:rsid w:val="00A50B94"/>
    <w:rsid w:val="00A50F26"/>
    <w:rsid w:val="00A510C3"/>
    <w:rsid w:val="00A51497"/>
    <w:rsid w:val="00A5149B"/>
    <w:rsid w:val="00A5150A"/>
    <w:rsid w:val="00A51639"/>
    <w:rsid w:val="00A5183C"/>
    <w:rsid w:val="00A51870"/>
    <w:rsid w:val="00A518B5"/>
    <w:rsid w:val="00A5198E"/>
    <w:rsid w:val="00A51A63"/>
    <w:rsid w:val="00A51BB2"/>
    <w:rsid w:val="00A51BE6"/>
    <w:rsid w:val="00A51D74"/>
    <w:rsid w:val="00A52197"/>
    <w:rsid w:val="00A523B8"/>
    <w:rsid w:val="00A526BC"/>
    <w:rsid w:val="00A526E7"/>
    <w:rsid w:val="00A52708"/>
    <w:rsid w:val="00A527A9"/>
    <w:rsid w:val="00A52C8B"/>
    <w:rsid w:val="00A52D8F"/>
    <w:rsid w:val="00A532C9"/>
    <w:rsid w:val="00A53415"/>
    <w:rsid w:val="00A53526"/>
    <w:rsid w:val="00A53536"/>
    <w:rsid w:val="00A5361F"/>
    <w:rsid w:val="00A5372B"/>
    <w:rsid w:val="00A53A46"/>
    <w:rsid w:val="00A53BBC"/>
    <w:rsid w:val="00A53DB3"/>
    <w:rsid w:val="00A53E73"/>
    <w:rsid w:val="00A53EE7"/>
    <w:rsid w:val="00A53F59"/>
    <w:rsid w:val="00A54079"/>
    <w:rsid w:val="00A543F9"/>
    <w:rsid w:val="00A544E0"/>
    <w:rsid w:val="00A544ED"/>
    <w:rsid w:val="00A5467D"/>
    <w:rsid w:val="00A54863"/>
    <w:rsid w:val="00A548C1"/>
    <w:rsid w:val="00A549FD"/>
    <w:rsid w:val="00A54CDB"/>
    <w:rsid w:val="00A555E2"/>
    <w:rsid w:val="00A56190"/>
    <w:rsid w:val="00A56595"/>
    <w:rsid w:val="00A5665E"/>
    <w:rsid w:val="00A56728"/>
    <w:rsid w:val="00A56795"/>
    <w:rsid w:val="00A569C1"/>
    <w:rsid w:val="00A569E2"/>
    <w:rsid w:val="00A56B0C"/>
    <w:rsid w:val="00A56E65"/>
    <w:rsid w:val="00A56FC9"/>
    <w:rsid w:val="00A57116"/>
    <w:rsid w:val="00A5717D"/>
    <w:rsid w:val="00A573FC"/>
    <w:rsid w:val="00A5767F"/>
    <w:rsid w:val="00A57936"/>
    <w:rsid w:val="00A57B22"/>
    <w:rsid w:val="00A57B76"/>
    <w:rsid w:val="00A57B90"/>
    <w:rsid w:val="00A60474"/>
    <w:rsid w:val="00A607B3"/>
    <w:rsid w:val="00A60997"/>
    <w:rsid w:val="00A60C58"/>
    <w:rsid w:val="00A611AC"/>
    <w:rsid w:val="00A6126F"/>
    <w:rsid w:val="00A61354"/>
    <w:rsid w:val="00A61965"/>
    <w:rsid w:val="00A61DC2"/>
    <w:rsid w:val="00A61E76"/>
    <w:rsid w:val="00A624FB"/>
    <w:rsid w:val="00A6259B"/>
    <w:rsid w:val="00A62ACE"/>
    <w:rsid w:val="00A62CDE"/>
    <w:rsid w:val="00A62E3C"/>
    <w:rsid w:val="00A63148"/>
    <w:rsid w:val="00A631AD"/>
    <w:rsid w:val="00A632FE"/>
    <w:rsid w:val="00A6351E"/>
    <w:rsid w:val="00A63A30"/>
    <w:rsid w:val="00A63A9A"/>
    <w:rsid w:val="00A63C34"/>
    <w:rsid w:val="00A63DDB"/>
    <w:rsid w:val="00A64027"/>
    <w:rsid w:val="00A6423E"/>
    <w:rsid w:val="00A642E4"/>
    <w:rsid w:val="00A6442C"/>
    <w:rsid w:val="00A64B1A"/>
    <w:rsid w:val="00A64C7D"/>
    <w:rsid w:val="00A64CCB"/>
    <w:rsid w:val="00A6552B"/>
    <w:rsid w:val="00A656E4"/>
    <w:rsid w:val="00A65FC5"/>
    <w:rsid w:val="00A66220"/>
    <w:rsid w:val="00A662D9"/>
    <w:rsid w:val="00A66333"/>
    <w:rsid w:val="00A66635"/>
    <w:rsid w:val="00A666E1"/>
    <w:rsid w:val="00A667CD"/>
    <w:rsid w:val="00A668F7"/>
    <w:rsid w:val="00A6697C"/>
    <w:rsid w:val="00A66A1A"/>
    <w:rsid w:val="00A66CAE"/>
    <w:rsid w:val="00A67289"/>
    <w:rsid w:val="00A672FE"/>
    <w:rsid w:val="00A67449"/>
    <w:rsid w:val="00A675FE"/>
    <w:rsid w:val="00A6761D"/>
    <w:rsid w:val="00A6762F"/>
    <w:rsid w:val="00A67672"/>
    <w:rsid w:val="00A67687"/>
    <w:rsid w:val="00A678C6"/>
    <w:rsid w:val="00A67D98"/>
    <w:rsid w:val="00A67E5F"/>
    <w:rsid w:val="00A700F5"/>
    <w:rsid w:val="00A7050E"/>
    <w:rsid w:val="00A70526"/>
    <w:rsid w:val="00A706C5"/>
    <w:rsid w:val="00A70730"/>
    <w:rsid w:val="00A70AD0"/>
    <w:rsid w:val="00A70B05"/>
    <w:rsid w:val="00A712B0"/>
    <w:rsid w:val="00A714DE"/>
    <w:rsid w:val="00A71819"/>
    <w:rsid w:val="00A71972"/>
    <w:rsid w:val="00A71A5B"/>
    <w:rsid w:val="00A71DF8"/>
    <w:rsid w:val="00A72086"/>
    <w:rsid w:val="00A7210D"/>
    <w:rsid w:val="00A7216C"/>
    <w:rsid w:val="00A7237A"/>
    <w:rsid w:val="00A724A4"/>
    <w:rsid w:val="00A7250E"/>
    <w:rsid w:val="00A72682"/>
    <w:rsid w:val="00A72901"/>
    <w:rsid w:val="00A7297B"/>
    <w:rsid w:val="00A72B83"/>
    <w:rsid w:val="00A72BE6"/>
    <w:rsid w:val="00A72CB2"/>
    <w:rsid w:val="00A72D4C"/>
    <w:rsid w:val="00A72E4B"/>
    <w:rsid w:val="00A7308F"/>
    <w:rsid w:val="00A7323D"/>
    <w:rsid w:val="00A734C7"/>
    <w:rsid w:val="00A734D5"/>
    <w:rsid w:val="00A7350E"/>
    <w:rsid w:val="00A73C5A"/>
    <w:rsid w:val="00A745FC"/>
    <w:rsid w:val="00A746BF"/>
    <w:rsid w:val="00A74C6C"/>
    <w:rsid w:val="00A74F8C"/>
    <w:rsid w:val="00A75285"/>
    <w:rsid w:val="00A752B9"/>
    <w:rsid w:val="00A7547B"/>
    <w:rsid w:val="00A75625"/>
    <w:rsid w:val="00A756D1"/>
    <w:rsid w:val="00A75707"/>
    <w:rsid w:val="00A75B2E"/>
    <w:rsid w:val="00A75C00"/>
    <w:rsid w:val="00A75CFD"/>
    <w:rsid w:val="00A75ED5"/>
    <w:rsid w:val="00A7636D"/>
    <w:rsid w:val="00A76FC0"/>
    <w:rsid w:val="00A776B6"/>
    <w:rsid w:val="00A77860"/>
    <w:rsid w:val="00A804A9"/>
    <w:rsid w:val="00A80D69"/>
    <w:rsid w:val="00A80EC6"/>
    <w:rsid w:val="00A80FD9"/>
    <w:rsid w:val="00A8133C"/>
    <w:rsid w:val="00A816CD"/>
    <w:rsid w:val="00A81CF1"/>
    <w:rsid w:val="00A81FA2"/>
    <w:rsid w:val="00A82195"/>
    <w:rsid w:val="00A822F7"/>
    <w:rsid w:val="00A82359"/>
    <w:rsid w:val="00A823CE"/>
    <w:rsid w:val="00A82A9F"/>
    <w:rsid w:val="00A82D7C"/>
    <w:rsid w:val="00A82E6C"/>
    <w:rsid w:val="00A8309B"/>
    <w:rsid w:val="00A83158"/>
    <w:rsid w:val="00A832A8"/>
    <w:rsid w:val="00A83355"/>
    <w:rsid w:val="00A83510"/>
    <w:rsid w:val="00A83593"/>
    <w:rsid w:val="00A836AB"/>
    <w:rsid w:val="00A836D3"/>
    <w:rsid w:val="00A83A12"/>
    <w:rsid w:val="00A83B0B"/>
    <w:rsid w:val="00A83B24"/>
    <w:rsid w:val="00A840FC"/>
    <w:rsid w:val="00A845FE"/>
    <w:rsid w:val="00A848BC"/>
    <w:rsid w:val="00A84947"/>
    <w:rsid w:val="00A84C50"/>
    <w:rsid w:val="00A84CD6"/>
    <w:rsid w:val="00A85633"/>
    <w:rsid w:val="00A85756"/>
    <w:rsid w:val="00A859C0"/>
    <w:rsid w:val="00A859D5"/>
    <w:rsid w:val="00A85A60"/>
    <w:rsid w:val="00A85AB5"/>
    <w:rsid w:val="00A85B18"/>
    <w:rsid w:val="00A85C07"/>
    <w:rsid w:val="00A86045"/>
    <w:rsid w:val="00A860CE"/>
    <w:rsid w:val="00A860FC"/>
    <w:rsid w:val="00A861E8"/>
    <w:rsid w:val="00A861F7"/>
    <w:rsid w:val="00A862ED"/>
    <w:rsid w:val="00A864ED"/>
    <w:rsid w:val="00A8677A"/>
    <w:rsid w:val="00A867A1"/>
    <w:rsid w:val="00A867D6"/>
    <w:rsid w:val="00A86C94"/>
    <w:rsid w:val="00A86F90"/>
    <w:rsid w:val="00A870E2"/>
    <w:rsid w:val="00A871B5"/>
    <w:rsid w:val="00A87379"/>
    <w:rsid w:val="00A87CCB"/>
    <w:rsid w:val="00A87EE2"/>
    <w:rsid w:val="00A87F8B"/>
    <w:rsid w:val="00A90A6A"/>
    <w:rsid w:val="00A90A9C"/>
    <w:rsid w:val="00A90C18"/>
    <w:rsid w:val="00A90F04"/>
    <w:rsid w:val="00A90F6A"/>
    <w:rsid w:val="00A9122B"/>
    <w:rsid w:val="00A91295"/>
    <w:rsid w:val="00A912D3"/>
    <w:rsid w:val="00A915FA"/>
    <w:rsid w:val="00A917A4"/>
    <w:rsid w:val="00A917CB"/>
    <w:rsid w:val="00A9191F"/>
    <w:rsid w:val="00A91C27"/>
    <w:rsid w:val="00A91D17"/>
    <w:rsid w:val="00A91F19"/>
    <w:rsid w:val="00A91F5F"/>
    <w:rsid w:val="00A91F9A"/>
    <w:rsid w:val="00A92340"/>
    <w:rsid w:val="00A923A5"/>
    <w:rsid w:val="00A924B3"/>
    <w:rsid w:val="00A92517"/>
    <w:rsid w:val="00A92A31"/>
    <w:rsid w:val="00A92ABB"/>
    <w:rsid w:val="00A93049"/>
    <w:rsid w:val="00A9323B"/>
    <w:rsid w:val="00A93654"/>
    <w:rsid w:val="00A9376D"/>
    <w:rsid w:val="00A938B3"/>
    <w:rsid w:val="00A93990"/>
    <w:rsid w:val="00A93B27"/>
    <w:rsid w:val="00A93F78"/>
    <w:rsid w:val="00A943D5"/>
    <w:rsid w:val="00A94496"/>
    <w:rsid w:val="00A94572"/>
    <w:rsid w:val="00A949CA"/>
    <w:rsid w:val="00A952D3"/>
    <w:rsid w:val="00A956CD"/>
    <w:rsid w:val="00A95C67"/>
    <w:rsid w:val="00A95D44"/>
    <w:rsid w:val="00A9615A"/>
    <w:rsid w:val="00A9619A"/>
    <w:rsid w:val="00A96843"/>
    <w:rsid w:val="00A96D55"/>
    <w:rsid w:val="00A9703A"/>
    <w:rsid w:val="00A97656"/>
    <w:rsid w:val="00A97A4C"/>
    <w:rsid w:val="00A97AFF"/>
    <w:rsid w:val="00A97E4C"/>
    <w:rsid w:val="00A97E62"/>
    <w:rsid w:val="00A97EC6"/>
    <w:rsid w:val="00A97F36"/>
    <w:rsid w:val="00A97FE2"/>
    <w:rsid w:val="00AA000B"/>
    <w:rsid w:val="00AA00F8"/>
    <w:rsid w:val="00AA0143"/>
    <w:rsid w:val="00AA0449"/>
    <w:rsid w:val="00AA0475"/>
    <w:rsid w:val="00AA08D7"/>
    <w:rsid w:val="00AA0CF6"/>
    <w:rsid w:val="00AA0F1C"/>
    <w:rsid w:val="00AA0F34"/>
    <w:rsid w:val="00AA10A8"/>
    <w:rsid w:val="00AA13BD"/>
    <w:rsid w:val="00AA1516"/>
    <w:rsid w:val="00AA19C0"/>
    <w:rsid w:val="00AA1A0A"/>
    <w:rsid w:val="00AA1B05"/>
    <w:rsid w:val="00AA223E"/>
    <w:rsid w:val="00AA2402"/>
    <w:rsid w:val="00AA25CC"/>
    <w:rsid w:val="00AA27DD"/>
    <w:rsid w:val="00AA286B"/>
    <w:rsid w:val="00AA28DB"/>
    <w:rsid w:val="00AA2FEB"/>
    <w:rsid w:val="00AA3215"/>
    <w:rsid w:val="00AA3285"/>
    <w:rsid w:val="00AA3424"/>
    <w:rsid w:val="00AA3786"/>
    <w:rsid w:val="00AA3EB7"/>
    <w:rsid w:val="00AA41DC"/>
    <w:rsid w:val="00AA42D6"/>
    <w:rsid w:val="00AA45E0"/>
    <w:rsid w:val="00AA4825"/>
    <w:rsid w:val="00AA493C"/>
    <w:rsid w:val="00AA4952"/>
    <w:rsid w:val="00AA4A79"/>
    <w:rsid w:val="00AA4C29"/>
    <w:rsid w:val="00AA4E6E"/>
    <w:rsid w:val="00AA5391"/>
    <w:rsid w:val="00AA5529"/>
    <w:rsid w:val="00AA55C3"/>
    <w:rsid w:val="00AA57E6"/>
    <w:rsid w:val="00AA59B7"/>
    <w:rsid w:val="00AA5D69"/>
    <w:rsid w:val="00AA5E69"/>
    <w:rsid w:val="00AA5FA9"/>
    <w:rsid w:val="00AA5FD4"/>
    <w:rsid w:val="00AA61D0"/>
    <w:rsid w:val="00AA65A6"/>
    <w:rsid w:val="00AA6665"/>
    <w:rsid w:val="00AA683D"/>
    <w:rsid w:val="00AA6891"/>
    <w:rsid w:val="00AA6A33"/>
    <w:rsid w:val="00AA6C95"/>
    <w:rsid w:val="00AA6FBF"/>
    <w:rsid w:val="00AA711E"/>
    <w:rsid w:val="00AA71D4"/>
    <w:rsid w:val="00AA7354"/>
    <w:rsid w:val="00AA7506"/>
    <w:rsid w:val="00AA751C"/>
    <w:rsid w:val="00AA754A"/>
    <w:rsid w:val="00AA7987"/>
    <w:rsid w:val="00AA7EE2"/>
    <w:rsid w:val="00AB00CF"/>
    <w:rsid w:val="00AB0129"/>
    <w:rsid w:val="00AB060C"/>
    <w:rsid w:val="00AB0997"/>
    <w:rsid w:val="00AB0D8C"/>
    <w:rsid w:val="00AB0DB6"/>
    <w:rsid w:val="00AB1167"/>
    <w:rsid w:val="00AB11EF"/>
    <w:rsid w:val="00AB1457"/>
    <w:rsid w:val="00AB18C2"/>
    <w:rsid w:val="00AB1973"/>
    <w:rsid w:val="00AB1D47"/>
    <w:rsid w:val="00AB2A08"/>
    <w:rsid w:val="00AB2DE5"/>
    <w:rsid w:val="00AB3352"/>
    <w:rsid w:val="00AB3532"/>
    <w:rsid w:val="00AB3714"/>
    <w:rsid w:val="00AB398E"/>
    <w:rsid w:val="00AB40CB"/>
    <w:rsid w:val="00AB4275"/>
    <w:rsid w:val="00AB4421"/>
    <w:rsid w:val="00AB45C0"/>
    <w:rsid w:val="00AB4619"/>
    <w:rsid w:val="00AB4925"/>
    <w:rsid w:val="00AB4A67"/>
    <w:rsid w:val="00AB4B7E"/>
    <w:rsid w:val="00AB5102"/>
    <w:rsid w:val="00AB511A"/>
    <w:rsid w:val="00AB5345"/>
    <w:rsid w:val="00AB53AA"/>
    <w:rsid w:val="00AB540A"/>
    <w:rsid w:val="00AB583B"/>
    <w:rsid w:val="00AB58CD"/>
    <w:rsid w:val="00AB5E51"/>
    <w:rsid w:val="00AB6526"/>
    <w:rsid w:val="00AB6572"/>
    <w:rsid w:val="00AB6D20"/>
    <w:rsid w:val="00AB6D5A"/>
    <w:rsid w:val="00AB6F0B"/>
    <w:rsid w:val="00AB71FE"/>
    <w:rsid w:val="00AB7392"/>
    <w:rsid w:val="00AB7785"/>
    <w:rsid w:val="00AB7823"/>
    <w:rsid w:val="00AB7B29"/>
    <w:rsid w:val="00AB7D11"/>
    <w:rsid w:val="00AB7DBE"/>
    <w:rsid w:val="00AB7DCA"/>
    <w:rsid w:val="00AB7DE0"/>
    <w:rsid w:val="00AB7E32"/>
    <w:rsid w:val="00AC0272"/>
    <w:rsid w:val="00AC03A5"/>
    <w:rsid w:val="00AC0524"/>
    <w:rsid w:val="00AC0858"/>
    <w:rsid w:val="00AC08D0"/>
    <w:rsid w:val="00AC1272"/>
    <w:rsid w:val="00AC127D"/>
    <w:rsid w:val="00AC12BD"/>
    <w:rsid w:val="00AC1656"/>
    <w:rsid w:val="00AC1A89"/>
    <w:rsid w:val="00AC1AA3"/>
    <w:rsid w:val="00AC1E95"/>
    <w:rsid w:val="00AC1F63"/>
    <w:rsid w:val="00AC23AC"/>
    <w:rsid w:val="00AC2410"/>
    <w:rsid w:val="00AC2423"/>
    <w:rsid w:val="00AC2466"/>
    <w:rsid w:val="00AC2625"/>
    <w:rsid w:val="00AC281B"/>
    <w:rsid w:val="00AC2A80"/>
    <w:rsid w:val="00AC2E9C"/>
    <w:rsid w:val="00AC359B"/>
    <w:rsid w:val="00AC4576"/>
    <w:rsid w:val="00AC4608"/>
    <w:rsid w:val="00AC49B2"/>
    <w:rsid w:val="00AC4AD7"/>
    <w:rsid w:val="00AC4AF0"/>
    <w:rsid w:val="00AC4B43"/>
    <w:rsid w:val="00AC4F1F"/>
    <w:rsid w:val="00AC4F27"/>
    <w:rsid w:val="00AC5227"/>
    <w:rsid w:val="00AC548D"/>
    <w:rsid w:val="00AC56AF"/>
    <w:rsid w:val="00AC56FA"/>
    <w:rsid w:val="00AC5B47"/>
    <w:rsid w:val="00AC5B58"/>
    <w:rsid w:val="00AC5E2D"/>
    <w:rsid w:val="00AC5FE7"/>
    <w:rsid w:val="00AC608E"/>
    <w:rsid w:val="00AC649F"/>
    <w:rsid w:val="00AC68F0"/>
    <w:rsid w:val="00AC698E"/>
    <w:rsid w:val="00AC6B69"/>
    <w:rsid w:val="00AC6CCC"/>
    <w:rsid w:val="00AC6E1C"/>
    <w:rsid w:val="00AC6F4B"/>
    <w:rsid w:val="00AC6FED"/>
    <w:rsid w:val="00AC726B"/>
    <w:rsid w:val="00AC7436"/>
    <w:rsid w:val="00AC765E"/>
    <w:rsid w:val="00AC7707"/>
    <w:rsid w:val="00AC7BBF"/>
    <w:rsid w:val="00AC7C00"/>
    <w:rsid w:val="00AC7E05"/>
    <w:rsid w:val="00AC7ED6"/>
    <w:rsid w:val="00AD0030"/>
    <w:rsid w:val="00AD0238"/>
    <w:rsid w:val="00AD0312"/>
    <w:rsid w:val="00AD0437"/>
    <w:rsid w:val="00AD0712"/>
    <w:rsid w:val="00AD087B"/>
    <w:rsid w:val="00AD0A88"/>
    <w:rsid w:val="00AD116D"/>
    <w:rsid w:val="00AD1222"/>
    <w:rsid w:val="00AD14F7"/>
    <w:rsid w:val="00AD18AE"/>
    <w:rsid w:val="00AD1B5D"/>
    <w:rsid w:val="00AD1DC6"/>
    <w:rsid w:val="00AD208B"/>
    <w:rsid w:val="00AD2367"/>
    <w:rsid w:val="00AD252D"/>
    <w:rsid w:val="00AD26A1"/>
    <w:rsid w:val="00AD27C6"/>
    <w:rsid w:val="00AD2CB0"/>
    <w:rsid w:val="00AD2DA0"/>
    <w:rsid w:val="00AD2E3E"/>
    <w:rsid w:val="00AD2F9C"/>
    <w:rsid w:val="00AD32E5"/>
    <w:rsid w:val="00AD3381"/>
    <w:rsid w:val="00AD33C2"/>
    <w:rsid w:val="00AD3AA5"/>
    <w:rsid w:val="00AD3CF4"/>
    <w:rsid w:val="00AD3EAD"/>
    <w:rsid w:val="00AD3F16"/>
    <w:rsid w:val="00AD4414"/>
    <w:rsid w:val="00AD444F"/>
    <w:rsid w:val="00AD46E1"/>
    <w:rsid w:val="00AD47F2"/>
    <w:rsid w:val="00AD48BC"/>
    <w:rsid w:val="00AD4A98"/>
    <w:rsid w:val="00AD4E28"/>
    <w:rsid w:val="00AD4F5D"/>
    <w:rsid w:val="00AD528E"/>
    <w:rsid w:val="00AD554B"/>
    <w:rsid w:val="00AD59A8"/>
    <w:rsid w:val="00AD5ED6"/>
    <w:rsid w:val="00AD6338"/>
    <w:rsid w:val="00AD65BD"/>
    <w:rsid w:val="00AD65C6"/>
    <w:rsid w:val="00AD67AC"/>
    <w:rsid w:val="00AD6DAD"/>
    <w:rsid w:val="00AD70BC"/>
    <w:rsid w:val="00AD7174"/>
    <w:rsid w:val="00AD7682"/>
    <w:rsid w:val="00AD7774"/>
    <w:rsid w:val="00AE05F2"/>
    <w:rsid w:val="00AE0B52"/>
    <w:rsid w:val="00AE0E1B"/>
    <w:rsid w:val="00AE118B"/>
    <w:rsid w:val="00AE19CE"/>
    <w:rsid w:val="00AE1B2F"/>
    <w:rsid w:val="00AE1C50"/>
    <w:rsid w:val="00AE1C61"/>
    <w:rsid w:val="00AE206E"/>
    <w:rsid w:val="00AE2144"/>
    <w:rsid w:val="00AE21DF"/>
    <w:rsid w:val="00AE21FD"/>
    <w:rsid w:val="00AE253F"/>
    <w:rsid w:val="00AE2964"/>
    <w:rsid w:val="00AE2C3A"/>
    <w:rsid w:val="00AE2D35"/>
    <w:rsid w:val="00AE3096"/>
    <w:rsid w:val="00AE322F"/>
    <w:rsid w:val="00AE364D"/>
    <w:rsid w:val="00AE375D"/>
    <w:rsid w:val="00AE3B21"/>
    <w:rsid w:val="00AE3DDC"/>
    <w:rsid w:val="00AE3E32"/>
    <w:rsid w:val="00AE3F9A"/>
    <w:rsid w:val="00AE3FD1"/>
    <w:rsid w:val="00AE40B8"/>
    <w:rsid w:val="00AE43DE"/>
    <w:rsid w:val="00AE4D05"/>
    <w:rsid w:val="00AE4E19"/>
    <w:rsid w:val="00AE525A"/>
    <w:rsid w:val="00AE560A"/>
    <w:rsid w:val="00AE56C8"/>
    <w:rsid w:val="00AE59AD"/>
    <w:rsid w:val="00AE5AF9"/>
    <w:rsid w:val="00AE5BAA"/>
    <w:rsid w:val="00AE5CC1"/>
    <w:rsid w:val="00AE5ED1"/>
    <w:rsid w:val="00AE686E"/>
    <w:rsid w:val="00AE68B4"/>
    <w:rsid w:val="00AE68DA"/>
    <w:rsid w:val="00AE6A9F"/>
    <w:rsid w:val="00AE7395"/>
    <w:rsid w:val="00AE7615"/>
    <w:rsid w:val="00AE7B08"/>
    <w:rsid w:val="00AE7C04"/>
    <w:rsid w:val="00AF0150"/>
    <w:rsid w:val="00AF01EF"/>
    <w:rsid w:val="00AF0571"/>
    <w:rsid w:val="00AF06C1"/>
    <w:rsid w:val="00AF06D4"/>
    <w:rsid w:val="00AF08BF"/>
    <w:rsid w:val="00AF09E9"/>
    <w:rsid w:val="00AF0AAA"/>
    <w:rsid w:val="00AF0EA3"/>
    <w:rsid w:val="00AF1178"/>
    <w:rsid w:val="00AF1357"/>
    <w:rsid w:val="00AF138D"/>
    <w:rsid w:val="00AF1437"/>
    <w:rsid w:val="00AF1D18"/>
    <w:rsid w:val="00AF1D69"/>
    <w:rsid w:val="00AF1DD9"/>
    <w:rsid w:val="00AF20AE"/>
    <w:rsid w:val="00AF23AF"/>
    <w:rsid w:val="00AF2515"/>
    <w:rsid w:val="00AF2586"/>
    <w:rsid w:val="00AF2602"/>
    <w:rsid w:val="00AF2A59"/>
    <w:rsid w:val="00AF3044"/>
    <w:rsid w:val="00AF3AC5"/>
    <w:rsid w:val="00AF3D8C"/>
    <w:rsid w:val="00AF3F17"/>
    <w:rsid w:val="00AF41AD"/>
    <w:rsid w:val="00AF45F9"/>
    <w:rsid w:val="00AF462C"/>
    <w:rsid w:val="00AF473B"/>
    <w:rsid w:val="00AF4849"/>
    <w:rsid w:val="00AF498A"/>
    <w:rsid w:val="00AF4E58"/>
    <w:rsid w:val="00AF4FBF"/>
    <w:rsid w:val="00AF51E5"/>
    <w:rsid w:val="00AF5C34"/>
    <w:rsid w:val="00AF5DB5"/>
    <w:rsid w:val="00AF6360"/>
    <w:rsid w:val="00AF68DF"/>
    <w:rsid w:val="00AF6930"/>
    <w:rsid w:val="00AF694C"/>
    <w:rsid w:val="00AF6E85"/>
    <w:rsid w:val="00AF711E"/>
    <w:rsid w:val="00AF7343"/>
    <w:rsid w:val="00AF73F9"/>
    <w:rsid w:val="00AF74A4"/>
    <w:rsid w:val="00AF752D"/>
    <w:rsid w:val="00AF7827"/>
    <w:rsid w:val="00AF7B42"/>
    <w:rsid w:val="00AF7C6A"/>
    <w:rsid w:val="00AF7D19"/>
    <w:rsid w:val="00AF7F7C"/>
    <w:rsid w:val="00AF7FB0"/>
    <w:rsid w:val="00B00131"/>
    <w:rsid w:val="00B00419"/>
    <w:rsid w:val="00B008E4"/>
    <w:rsid w:val="00B00B4A"/>
    <w:rsid w:val="00B00C3F"/>
    <w:rsid w:val="00B01276"/>
    <w:rsid w:val="00B016A0"/>
    <w:rsid w:val="00B0178C"/>
    <w:rsid w:val="00B02315"/>
    <w:rsid w:val="00B024BE"/>
    <w:rsid w:val="00B029A7"/>
    <w:rsid w:val="00B030EF"/>
    <w:rsid w:val="00B033A3"/>
    <w:rsid w:val="00B035DE"/>
    <w:rsid w:val="00B03980"/>
    <w:rsid w:val="00B03FFA"/>
    <w:rsid w:val="00B042AB"/>
    <w:rsid w:val="00B0433F"/>
    <w:rsid w:val="00B0447F"/>
    <w:rsid w:val="00B0485A"/>
    <w:rsid w:val="00B04A2A"/>
    <w:rsid w:val="00B04B97"/>
    <w:rsid w:val="00B04BB2"/>
    <w:rsid w:val="00B051C2"/>
    <w:rsid w:val="00B055BE"/>
    <w:rsid w:val="00B0566E"/>
    <w:rsid w:val="00B05887"/>
    <w:rsid w:val="00B05BC9"/>
    <w:rsid w:val="00B05C22"/>
    <w:rsid w:val="00B05CC5"/>
    <w:rsid w:val="00B05D15"/>
    <w:rsid w:val="00B05D9F"/>
    <w:rsid w:val="00B05E6A"/>
    <w:rsid w:val="00B06025"/>
    <w:rsid w:val="00B06028"/>
    <w:rsid w:val="00B06082"/>
    <w:rsid w:val="00B060ED"/>
    <w:rsid w:val="00B06523"/>
    <w:rsid w:val="00B0672F"/>
    <w:rsid w:val="00B06826"/>
    <w:rsid w:val="00B06C09"/>
    <w:rsid w:val="00B06CE3"/>
    <w:rsid w:val="00B06D79"/>
    <w:rsid w:val="00B06D82"/>
    <w:rsid w:val="00B06FB8"/>
    <w:rsid w:val="00B072ED"/>
    <w:rsid w:val="00B07740"/>
    <w:rsid w:val="00B07C57"/>
    <w:rsid w:val="00B07CF6"/>
    <w:rsid w:val="00B07E1A"/>
    <w:rsid w:val="00B07FE2"/>
    <w:rsid w:val="00B100F6"/>
    <w:rsid w:val="00B102FF"/>
    <w:rsid w:val="00B103E5"/>
    <w:rsid w:val="00B104AF"/>
    <w:rsid w:val="00B1056D"/>
    <w:rsid w:val="00B10573"/>
    <w:rsid w:val="00B10596"/>
    <w:rsid w:val="00B1079A"/>
    <w:rsid w:val="00B10D59"/>
    <w:rsid w:val="00B10E15"/>
    <w:rsid w:val="00B10EC2"/>
    <w:rsid w:val="00B113A4"/>
    <w:rsid w:val="00B1162A"/>
    <w:rsid w:val="00B1176A"/>
    <w:rsid w:val="00B11A74"/>
    <w:rsid w:val="00B11AA8"/>
    <w:rsid w:val="00B11F8E"/>
    <w:rsid w:val="00B12270"/>
    <w:rsid w:val="00B122FC"/>
    <w:rsid w:val="00B12409"/>
    <w:rsid w:val="00B12421"/>
    <w:rsid w:val="00B12A1B"/>
    <w:rsid w:val="00B12FDF"/>
    <w:rsid w:val="00B1303F"/>
    <w:rsid w:val="00B131B7"/>
    <w:rsid w:val="00B13A76"/>
    <w:rsid w:val="00B13B12"/>
    <w:rsid w:val="00B13DC1"/>
    <w:rsid w:val="00B1400E"/>
    <w:rsid w:val="00B140B0"/>
    <w:rsid w:val="00B142C2"/>
    <w:rsid w:val="00B148E6"/>
    <w:rsid w:val="00B14E0B"/>
    <w:rsid w:val="00B14E8A"/>
    <w:rsid w:val="00B150D4"/>
    <w:rsid w:val="00B15196"/>
    <w:rsid w:val="00B151DB"/>
    <w:rsid w:val="00B1534C"/>
    <w:rsid w:val="00B15672"/>
    <w:rsid w:val="00B1590E"/>
    <w:rsid w:val="00B15A30"/>
    <w:rsid w:val="00B15C39"/>
    <w:rsid w:val="00B15E0B"/>
    <w:rsid w:val="00B15F8D"/>
    <w:rsid w:val="00B161C7"/>
    <w:rsid w:val="00B1634A"/>
    <w:rsid w:val="00B163C8"/>
    <w:rsid w:val="00B16C2C"/>
    <w:rsid w:val="00B16ED4"/>
    <w:rsid w:val="00B16F67"/>
    <w:rsid w:val="00B16FAF"/>
    <w:rsid w:val="00B17346"/>
    <w:rsid w:val="00B173AD"/>
    <w:rsid w:val="00B17B48"/>
    <w:rsid w:val="00B17D08"/>
    <w:rsid w:val="00B17E06"/>
    <w:rsid w:val="00B2027C"/>
    <w:rsid w:val="00B2095F"/>
    <w:rsid w:val="00B20C48"/>
    <w:rsid w:val="00B21062"/>
    <w:rsid w:val="00B2161E"/>
    <w:rsid w:val="00B217E9"/>
    <w:rsid w:val="00B218E0"/>
    <w:rsid w:val="00B21B06"/>
    <w:rsid w:val="00B21D25"/>
    <w:rsid w:val="00B21D31"/>
    <w:rsid w:val="00B2213E"/>
    <w:rsid w:val="00B22213"/>
    <w:rsid w:val="00B222EC"/>
    <w:rsid w:val="00B2275E"/>
    <w:rsid w:val="00B22A0C"/>
    <w:rsid w:val="00B22A9E"/>
    <w:rsid w:val="00B22E58"/>
    <w:rsid w:val="00B22E66"/>
    <w:rsid w:val="00B235E9"/>
    <w:rsid w:val="00B23ACC"/>
    <w:rsid w:val="00B23B99"/>
    <w:rsid w:val="00B242BE"/>
    <w:rsid w:val="00B244A6"/>
    <w:rsid w:val="00B24916"/>
    <w:rsid w:val="00B24975"/>
    <w:rsid w:val="00B24C54"/>
    <w:rsid w:val="00B251D8"/>
    <w:rsid w:val="00B25A9D"/>
    <w:rsid w:val="00B25D95"/>
    <w:rsid w:val="00B25E5D"/>
    <w:rsid w:val="00B25F3E"/>
    <w:rsid w:val="00B26183"/>
    <w:rsid w:val="00B2640B"/>
    <w:rsid w:val="00B2683B"/>
    <w:rsid w:val="00B271CC"/>
    <w:rsid w:val="00B278E6"/>
    <w:rsid w:val="00B3006A"/>
    <w:rsid w:val="00B30156"/>
    <w:rsid w:val="00B301AF"/>
    <w:rsid w:val="00B30627"/>
    <w:rsid w:val="00B30FD1"/>
    <w:rsid w:val="00B31248"/>
    <w:rsid w:val="00B31558"/>
    <w:rsid w:val="00B31FF5"/>
    <w:rsid w:val="00B32556"/>
    <w:rsid w:val="00B32593"/>
    <w:rsid w:val="00B32624"/>
    <w:rsid w:val="00B32644"/>
    <w:rsid w:val="00B3297F"/>
    <w:rsid w:val="00B329B5"/>
    <w:rsid w:val="00B32A11"/>
    <w:rsid w:val="00B33ED2"/>
    <w:rsid w:val="00B33F72"/>
    <w:rsid w:val="00B33FAC"/>
    <w:rsid w:val="00B34348"/>
    <w:rsid w:val="00B34894"/>
    <w:rsid w:val="00B348FB"/>
    <w:rsid w:val="00B3491B"/>
    <w:rsid w:val="00B34B60"/>
    <w:rsid w:val="00B34F3B"/>
    <w:rsid w:val="00B34F44"/>
    <w:rsid w:val="00B34F76"/>
    <w:rsid w:val="00B35108"/>
    <w:rsid w:val="00B355CE"/>
    <w:rsid w:val="00B35744"/>
    <w:rsid w:val="00B35B82"/>
    <w:rsid w:val="00B35DAA"/>
    <w:rsid w:val="00B36130"/>
    <w:rsid w:val="00B3615F"/>
    <w:rsid w:val="00B362A5"/>
    <w:rsid w:val="00B36415"/>
    <w:rsid w:val="00B36479"/>
    <w:rsid w:val="00B36630"/>
    <w:rsid w:val="00B36A77"/>
    <w:rsid w:val="00B36BEB"/>
    <w:rsid w:val="00B36E99"/>
    <w:rsid w:val="00B36EB7"/>
    <w:rsid w:val="00B372AB"/>
    <w:rsid w:val="00B37985"/>
    <w:rsid w:val="00B37C34"/>
    <w:rsid w:val="00B400A3"/>
    <w:rsid w:val="00B4011A"/>
    <w:rsid w:val="00B401E6"/>
    <w:rsid w:val="00B4035C"/>
    <w:rsid w:val="00B40D7B"/>
    <w:rsid w:val="00B410E7"/>
    <w:rsid w:val="00B410F9"/>
    <w:rsid w:val="00B41438"/>
    <w:rsid w:val="00B4156E"/>
    <w:rsid w:val="00B4157E"/>
    <w:rsid w:val="00B416BA"/>
    <w:rsid w:val="00B419B0"/>
    <w:rsid w:val="00B41D69"/>
    <w:rsid w:val="00B421B8"/>
    <w:rsid w:val="00B421C2"/>
    <w:rsid w:val="00B4264D"/>
    <w:rsid w:val="00B4287C"/>
    <w:rsid w:val="00B4291E"/>
    <w:rsid w:val="00B42AFF"/>
    <w:rsid w:val="00B42BAF"/>
    <w:rsid w:val="00B42D25"/>
    <w:rsid w:val="00B4308F"/>
    <w:rsid w:val="00B43951"/>
    <w:rsid w:val="00B44081"/>
    <w:rsid w:val="00B441E6"/>
    <w:rsid w:val="00B4429C"/>
    <w:rsid w:val="00B448D5"/>
    <w:rsid w:val="00B44A08"/>
    <w:rsid w:val="00B45259"/>
    <w:rsid w:val="00B45331"/>
    <w:rsid w:val="00B454A8"/>
    <w:rsid w:val="00B45539"/>
    <w:rsid w:val="00B455BC"/>
    <w:rsid w:val="00B45B0A"/>
    <w:rsid w:val="00B45CD7"/>
    <w:rsid w:val="00B46120"/>
    <w:rsid w:val="00B46445"/>
    <w:rsid w:val="00B46458"/>
    <w:rsid w:val="00B4686A"/>
    <w:rsid w:val="00B46876"/>
    <w:rsid w:val="00B46BB2"/>
    <w:rsid w:val="00B46BB8"/>
    <w:rsid w:val="00B46E3B"/>
    <w:rsid w:val="00B4702B"/>
    <w:rsid w:val="00B47AC2"/>
    <w:rsid w:val="00B50030"/>
    <w:rsid w:val="00B500B4"/>
    <w:rsid w:val="00B501DE"/>
    <w:rsid w:val="00B5047F"/>
    <w:rsid w:val="00B50A0B"/>
    <w:rsid w:val="00B50D6E"/>
    <w:rsid w:val="00B50ECC"/>
    <w:rsid w:val="00B50F25"/>
    <w:rsid w:val="00B51023"/>
    <w:rsid w:val="00B51089"/>
    <w:rsid w:val="00B51555"/>
    <w:rsid w:val="00B5168A"/>
    <w:rsid w:val="00B51B12"/>
    <w:rsid w:val="00B51CC0"/>
    <w:rsid w:val="00B51E94"/>
    <w:rsid w:val="00B520D0"/>
    <w:rsid w:val="00B522A3"/>
    <w:rsid w:val="00B5271C"/>
    <w:rsid w:val="00B527BD"/>
    <w:rsid w:val="00B52840"/>
    <w:rsid w:val="00B528B6"/>
    <w:rsid w:val="00B52A42"/>
    <w:rsid w:val="00B52EFE"/>
    <w:rsid w:val="00B532E3"/>
    <w:rsid w:val="00B53308"/>
    <w:rsid w:val="00B53415"/>
    <w:rsid w:val="00B536F3"/>
    <w:rsid w:val="00B5378F"/>
    <w:rsid w:val="00B53CB4"/>
    <w:rsid w:val="00B53EDB"/>
    <w:rsid w:val="00B53FC9"/>
    <w:rsid w:val="00B54199"/>
    <w:rsid w:val="00B5443D"/>
    <w:rsid w:val="00B54449"/>
    <w:rsid w:val="00B547A3"/>
    <w:rsid w:val="00B547E9"/>
    <w:rsid w:val="00B54CC6"/>
    <w:rsid w:val="00B54D8C"/>
    <w:rsid w:val="00B54DC5"/>
    <w:rsid w:val="00B54EF0"/>
    <w:rsid w:val="00B54EFB"/>
    <w:rsid w:val="00B552CC"/>
    <w:rsid w:val="00B55488"/>
    <w:rsid w:val="00B55632"/>
    <w:rsid w:val="00B557C1"/>
    <w:rsid w:val="00B557EB"/>
    <w:rsid w:val="00B5585D"/>
    <w:rsid w:val="00B559A7"/>
    <w:rsid w:val="00B55A54"/>
    <w:rsid w:val="00B55B58"/>
    <w:rsid w:val="00B55B94"/>
    <w:rsid w:val="00B55F52"/>
    <w:rsid w:val="00B55FAE"/>
    <w:rsid w:val="00B56101"/>
    <w:rsid w:val="00B5673D"/>
    <w:rsid w:val="00B56A33"/>
    <w:rsid w:val="00B56A44"/>
    <w:rsid w:val="00B56BDD"/>
    <w:rsid w:val="00B56C46"/>
    <w:rsid w:val="00B56CDB"/>
    <w:rsid w:val="00B56E38"/>
    <w:rsid w:val="00B573A5"/>
    <w:rsid w:val="00B5747B"/>
    <w:rsid w:val="00B5775A"/>
    <w:rsid w:val="00B57911"/>
    <w:rsid w:val="00B57E72"/>
    <w:rsid w:val="00B60081"/>
    <w:rsid w:val="00B602D0"/>
    <w:rsid w:val="00B603CA"/>
    <w:rsid w:val="00B605D4"/>
    <w:rsid w:val="00B606C0"/>
    <w:rsid w:val="00B608A2"/>
    <w:rsid w:val="00B608D9"/>
    <w:rsid w:val="00B611ED"/>
    <w:rsid w:val="00B6125B"/>
    <w:rsid w:val="00B617E6"/>
    <w:rsid w:val="00B6181C"/>
    <w:rsid w:val="00B61B2C"/>
    <w:rsid w:val="00B61B3B"/>
    <w:rsid w:val="00B61EA0"/>
    <w:rsid w:val="00B6210E"/>
    <w:rsid w:val="00B62187"/>
    <w:rsid w:val="00B6250E"/>
    <w:rsid w:val="00B625FD"/>
    <w:rsid w:val="00B62676"/>
    <w:rsid w:val="00B630FE"/>
    <w:rsid w:val="00B63399"/>
    <w:rsid w:val="00B634FC"/>
    <w:rsid w:val="00B63534"/>
    <w:rsid w:val="00B6354C"/>
    <w:rsid w:val="00B638E2"/>
    <w:rsid w:val="00B638EB"/>
    <w:rsid w:val="00B63980"/>
    <w:rsid w:val="00B64475"/>
    <w:rsid w:val="00B64652"/>
    <w:rsid w:val="00B64A97"/>
    <w:rsid w:val="00B64B39"/>
    <w:rsid w:val="00B64E48"/>
    <w:rsid w:val="00B6596C"/>
    <w:rsid w:val="00B65BC9"/>
    <w:rsid w:val="00B65FA4"/>
    <w:rsid w:val="00B65FB6"/>
    <w:rsid w:val="00B660C3"/>
    <w:rsid w:val="00B664D7"/>
    <w:rsid w:val="00B66B10"/>
    <w:rsid w:val="00B66BCC"/>
    <w:rsid w:val="00B66CBA"/>
    <w:rsid w:val="00B66F6A"/>
    <w:rsid w:val="00B67003"/>
    <w:rsid w:val="00B6704B"/>
    <w:rsid w:val="00B673C7"/>
    <w:rsid w:val="00B6744A"/>
    <w:rsid w:val="00B67549"/>
    <w:rsid w:val="00B6758F"/>
    <w:rsid w:val="00B675A2"/>
    <w:rsid w:val="00B67695"/>
    <w:rsid w:val="00B676B9"/>
    <w:rsid w:val="00B67801"/>
    <w:rsid w:val="00B67928"/>
    <w:rsid w:val="00B67AEB"/>
    <w:rsid w:val="00B67E54"/>
    <w:rsid w:val="00B703CF"/>
    <w:rsid w:val="00B70560"/>
    <w:rsid w:val="00B708EC"/>
    <w:rsid w:val="00B70A53"/>
    <w:rsid w:val="00B7104B"/>
    <w:rsid w:val="00B71250"/>
    <w:rsid w:val="00B712C9"/>
    <w:rsid w:val="00B71321"/>
    <w:rsid w:val="00B7132F"/>
    <w:rsid w:val="00B715D6"/>
    <w:rsid w:val="00B716C9"/>
    <w:rsid w:val="00B71757"/>
    <w:rsid w:val="00B71766"/>
    <w:rsid w:val="00B71BFA"/>
    <w:rsid w:val="00B71DD3"/>
    <w:rsid w:val="00B72006"/>
    <w:rsid w:val="00B721A5"/>
    <w:rsid w:val="00B724A8"/>
    <w:rsid w:val="00B725C5"/>
    <w:rsid w:val="00B725FB"/>
    <w:rsid w:val="00B7260A"/>
    <w:rsid w:val="00B72627"/>
    <w:rsid w:val="00B727FD"/>
    <w:rsid w:val="00B72809"/>
    <w:rsid w:val="00B729C7"/>
    <w:rsid w:val="00B72B23"/>
    <w:rsid w:val="00B72ED4"/>
    <w:rsid w:val="00B736C6"/>
    <w:rsid w:val="00B73859"/>
    <w:rsid w:val="00B73AF7"/>
    <w:rsid w:val="00B73D03"/>
    <w:rsid w:val="00B742D8"/>
    <w:rsid w:val="00B7432E"/>
    <w:rsid w:val="00B744E1"/>
    <w:rsid w:val="00B74824"/>
    <w:rsid w:val="00B74952"/>
    <w:rsid w:val="00B7495C"/>
    <w:rsid w:val="00B74D2B"/>
    <w:rsid w:val="00B74DEF"/>
    <w:rsid w:val="00B75072"/>
    <w:rsid w:val="00B75249"/>
    <w:rsid w:val="00B752C3"/>
    <w:rsid w:val="00B7536D"/>
    <w:rsid w:val="00B7549D"/>
    <w:rsid w:val="00B7553D"/>
    <w:rsid w:val="00B7558B"/>
    <w:rsid w:val="00B7579C"/>
    <w:rsid w:val="00B757E3"/>
    <w:rsid w:val="00B75FB7"/>
    <w:rsid w:val="00B765C1"/>
    <w:rsid w:val="00B76B11"/>
    <w:rsid w:val="00B76CE4"/>
    <w:rsid w:val="00B76DE9"/>
    <w:rsid w:val="00B771B0"/>
    <w:rsid w:val="00B7750D"/>
    <w:rsid w:val="00B775AE"/>
    <w:rsid w:val="00B775ED"/>
    <w:rsid w:val="00B77660"/>
    <w:rsid w:val="00B779C7"/>
    <w:rsid w:val="00B77EE4"/>
    <w:rsid w:val="00B8025E"/>
    <w:rsid w:val="00B80482"/>
    <w:rsid w:val="00B8066D"/>
    <w:rsid w:val="00B8085A"/>
    <w:rsid w:val="00B808BB"/>
    <w:rsid w:val="00B80ABC"/>
    <w:rsid w:val="00B80B61"/>
    <w:rsid w:val="00B811A9"/>
    <w:rsid w:val="00B8123A"/>
    <w:rsid w:val="00B81274"/>
    <w:rsid w:val="00B8187A"/>
    <w:rsid w:val="00B819F9"/>
    <w:rsid w:val="00B81A1D"/>
    <w:rsid w:val="00B81D33"/>
    <w:rsid w:val="00B81D56"/>
    <w:rsid w:val="00B81E43"/>
    <w:rsid w:val="00B81EB8"/>
    <w:rsid w:val="00B81FC4"/>
    <w:rsid w:val="00B82099"/>
    <w:rsid w:val="00B822AC"/>
    <w:rsid w:val="00B824C3"/>
    <w:rsid w:val="00B8261D"/>
    <w:rsid w:val="00B82CC1"/>
    <w:rsid w:val="00B8307F"/>
    <w:rsid w:val="00B830C6"/>
    <w:rsid w:val="00B832D3"/>
    <w:rsid w:val="00B83514"/>
    <w:rsid w:val="00B83E51"/>
    <w:rsid w:val="00B842DE"/>
    <w:rsid w:val="00B84664"/>
    <w:rsid w:val="00B849AA"/>
    <w:rsid w:val="00B84B04"/>
    <w:rsid w:val="00B84E02"/>
    <w:rsid w:val="00B84F26"/>
    <w:rsid w:val="00B85114"/>
    <w:rsid w:val="00B85822"/>
    <w:rsid w:val="00B85B51"/>
    <w:rsid w:val="00B85F7E"/>
    <w:rsid w:val="00B85F8D"/>
    <w:rsid w:val="00B85F9B"/>
    <w:rsid w:val="00B865D7"/>
    <w:rsid w:val="00B86874"/>
    <w:rsid w:val="00B86D58"/>
    <w:rsid w:val="00B86F43"/>
    <w:rsid w:val="00B86F7D"/>
    <w:rsid w:val="00B872F7"/>
    <w:rsid w:val="00B874FC"/>
    <w:rsid w:val="00B87623"/>
    <w:rsid w:val="00B87723"/>
    <w:rsid w:val="00B87AB3"/>
    <w:rsid w:val="00B87F2B"/>
    <w:rsid w:val="00B90093"/>
    <w:rsid w:val="00B900C3"/>
    <w:rsid w:val="00B905A1"/>
    <w:rsid w:val="00B9068A"/>
    <w:rsid w:val="00B90694"/>
    <w:rsid w:val="00B90832"/>
    <w:rsid w:val="00B91173"/>
    <w:rsid w:val="00B9132E"/>
    <w:rsid w:val="00B91670"/>
    <w:rsid w:val="00B916EB"/>
    <w:rsid w:val="00B9182E"/>
    <w:rsid w:val="00B919D8"/>
    <w:rsid w:val="00B91A4A"/>
    <w:rsid w:val="00B91ADD"/>
    <w:rsid w:val="00B91AF5"/>
    <w:rsid w:val="00B91AF7"/>
    <w:rsid w:val="00B91B78"/>
    <w:rsid w:val="00B92132"/>
    <w:rsid w:val="00B921AA"/>
    <w:rsid w:val="00B92C0F"/>
    <w:rsid w:val="00B92F01"/>
    <w:rsid w:val="00B93270"/>
    <w:rsid w:val="00B932D8"/>
    <w:rsid w:val="00B935AA"/>
    <w:rsid w:val="00B93691"/>
    <w:rsid w:val="00B936A0"/>
    <w:rsid w:val="00B9398E"/>
    <w:rsid w:val="00B93ED1"/>
    <w:rsid w:val="00B93FD6"/>
    <w:rsid w:val="00B94131"/>
    <w:rsid w:val="00B94356"/>
    <w:rsid w:val="00B94532"/>
    <w:rsid w:val="00B945F6"/>
    <w:rsid w:val="00B94670"/>
    <w:rsid w:val="00B94691"/>
    <w:rsid w:val="00B94D11"/>
    <w:rsid w:val="00B94D9A"/>
    <w:rsid w:val="00B94DAA"/>
    <w:rsid w:val="00B94DB8"/>
    <w:rsid w:val="00B95234"/>
    <w:rsid w:val="00B952CA"/>
    <w:rsid w:val="00B952E6"/>
    <w:rsid w:val="00B95783"/>
    <w:rsid w:val="00B95B3D"/>
    <w:rsid w:val="00B96962"/>
    <w:rsid w:val="00B96A50"/>
    <w:rsid w:val="00B96EB0"/>
    <w:rsid w:val="00B96EB4"/>
    <w:rsid w:val="00B975C4"/>
    <w:rsid w:val="00B97B9E"/>
    <w:rsid w:val="00B97CBC"/>
    <w:rsid w:val="00B97DD6"/>
    <w:rsid w:val="00B97F39"/>
    <w:rsid w:val="00BA017D"/>
    <w:rsid w:val="00BA0450"/>
    <w:rsid w:val="00BA0538"/>
    <w:rsid w:val="00BA07E1"/>
    <w:rsid w:val="00BA0966"/>
    <w:rsid w:val="00BA0978"/>
    <w:rsid w:val="00BA0B2F"/>
    <w:rsid w:val="00BA0D9D"/>
    <w:rsid w:val="00BA100F"/>
    <w:rsid w:val="00BA12B5"/>
    <w:rsid w:val="00BA13E2"/>
    <w:rsid w:val="00BA1A05"/>
    <w:rsid w:val="00BA1DA2"/>
    <w:rsid w:val="00BA22D8"/>
    <w:rsid w:val="00BA24B0"/>
    <w:rsid w:val="00BA2A5D"/>
    <w:rsid w:val="00BA2E5E"/>
    <w:rsid w:val="00BA3155"/>
    <w:rsid w:val="00BA32E7"/>
    <w:rsid w:val="00BA361F"/>
    <w:rsid w:val="00BA3A7C"/>
    <w:rsid w:val="00BA3CC4"/>
    <w:rsid w:val="00BA3F30"/>
    <w:rsid w:val="00BA422D"/>
    <w:rsid w:val="00BA44C8"/>
    <w:rsid w:val="00BA452B"/>
    <w:rsid w:val="00BA45FE"/>
    <w:rsid w:val="00BA496A"/>
    <w:rsid w:val="00BA4A66"/>
    <w:rsid w:val="00BA4CF2"/>
    <w:rsid w:val="00BA4DC5"/>
    <w:rsid w:val="00BA5106"/>
    <w:rsid w:val="00BA528E"/>
    <w:rsid w:val="00BA53CF"/>
    <w:rsid w:val="00BA5950"/>
    <w:rsid w:val="00BA5CE6"/>
    <w:rsid w:val="00BA5D5E"/>
    <w:rsid w:val="00BA6428"/>
    <w:rsid w:val="00BA6590"/>
    <w:rsid w:val="00BA65AB"/>
    <w:rsid w:val="00BA67E6"/>
    <w:rsid w:val="00BA688C"/>
    <w:rsid w:val="00BA697D"/>
    <w:rsid w:val="00BA6C50"/>
    <w:rsid w:val="00BA6DE7"/>
    <w:rsid w:val="00BA7367"/>
    <w:rsid w:val="00BA77C8"/>
    <w:rsid w:val="00BA79A5"/>
    <w:rsid w:val="00BA7A74"/>
    <w:rsid w:val="00BA7DD5"/>
    <w:rsid w:val="00BB03C4"/>
    <w:rsid w:val="00BB05D4"/>
    <w:rsid w:val="00BB06BB"/>
    <w:rsid w:val="00BB079B"/>
    <w:rsid w:val="00BB0883"/>
    <w:rsid w:val="00BB0E88"/>
    <w:rsid w:val="00BB0ECD"/>
    <w:rsid w:val="00BB107E"/>
    <w:rsid w:val="00BB1300"/>
    <w:rsid w:val="00BB1618"/>
    <w:rsid w:val="00BB1731"/>
    <w:rsid w:val="00BB1936"/>
    <w:rsid w:val="00BB1A88"/>
    <w:rsid w:val="00BB1D3E"/>
    <w:rsid w:val="00BB22E0"/>
    <w:rsid w:val="00BB2A7E"/>
    <w:rsid w:val="00BB2B93"/>
    <w:rsid w:val="00BB2CDB"/>
    <w:rsid w:val="00BB2D38"/>
    <w:rsid w:val="00BB2E57"/>
    <w:rsid w:val="00BB2F59"/>
    <w:rsid w:val="00BB3145"/>
    <w:rsid w:val="00BB39AA"/>
    <w:rsid w:val="00BB3A81"/>
    <w:rsid w:val="00BB3B36"/>
    <w:rsid w:val="00BB40C0"/>
    <w:rsid w:val="00BB41FA"/>
    <w:rsid w:val="00BB422B"/>
    <w:rsid w:val="00BB451C"/>
    <w:rsid w:val="00BB4529"/>
    <w:rsid w:val="00BB45C8"/>
    <w:rsid w:val="00BB46FB"/>
    <w:rsid w:val="00BB485A"/>
    <w:rsid w:val="00BB4A01"/>
    <w:rsid w:val="00BB4D95"/>
    <w:rsid w:val="00BB4F11"/>
    <w:rsid w:val="00BB512B"/>
    <w:rsid w:val="00BB5260"/>
    <w:rsid w:val="00BB5ACE"/>
    <w:rsid w:val="00BB5D14"/>
    <w:rsid w:val="00BB623D"/>
    <w:rsid w:val="00BB638C"/>
    <w:rsid w:val="00BB6698"/>
    <w:rsid w:val="00BB6750"/>
    <w:rsid w:val="00BB6921"/>
    <w:rsid w:val="00BB6D35"/>
    <w:rsid w:val="00BB6EE1"/>
    <w:rsid w:val="00BB73C9"/>
    <w:rsid w:val="00BB748F"/>
    <w:rsid w:val="00BB7CDF"/>
    <w:rsid w:val="00BB7DDF"/>
    <w:rsid w:val="00BC006E"/>
    <w:rsid w:val="00BC00A3"/>
    <w:rsid w:val="00BC014A"/>
    <w:rsid w:val="00BC0161"/>
    <w:rsid w:val="00BC01C0"/>
    <w:rsid w:val="00BC02A1"/>
    <w:rsid w:val="00BC037C"/>
    <w:rsid w:val="00BC04AD"/>
    <w:rsid w:val="00BC071B"/>
    <w:rsid w:val="00BC0C31"/>
    <w:rsid w:val="00BC0C60"/>
    <w:rsid w:val="00BC14E4"/>
    <w:rsid w:val="00BC163A"/>
    <w:rsid w:val="00BC1BF8"/>
    <w:rsid w:val="00BC1D73"/>
    <w:rsid w:val="00BC1FAE"/>
    <w:rsid w:val="00BC2CCF"/>
    <w:rsid w:val="00BC2DD9"/>
    <w:rsid w:val="00BC2EB7"/>
    <w:rsid w:val="00BC30A7"/>
    <w:rsid w:val="00BC3907"/>
    <w:rsid w:val="00BC3ADB"/>
    <w:rsid w:val="00BC41FD"/>
    <w:rsid w:val="00BC420C"/>
    <w:rsid w:val="00BC4237"/>
    <w:rsid w:val="00BC4323"/>
    <w:rsid w:val="00BC442E"/>
    <w:rsid w:val="00BC44F2"/>
    <w:rsid w:val="00BC456C"/>
    <w:rsid w:val="00BC458D"/>
    <w:rsid w:val="00BC4624"/>
    <w:rsid w:val="00BC466F"/>
    <w:rsid w:val="00BC479A"/>
    <w:rsid w:val="00BC498F"/>
    <w:rsid w:val="00BC4A13"/>
    <w:rsid w:val="00BC4AEB"/>
    <w:rsid w:val="00BC4C05"/>
    <w:rsid w:val="00BC4D15"/>
    <w:rsid w:val="00BC5416"/>
    <w:rsid w:val="00BC5644"/>
    <w:rsid w:val="00BC5A1D"/>
    <w:rsid w:val="00BC5CBF"/>
    <w:rsid w:val="00BC5D7A"/>
    <w:rsid w:val="00BC623F"/>
    <w:rsid w:val="00BC62B1"/>
    <w:rsid w:val="00BC63CA"/>
    <w:rsid w:val="00BC6930"/>
    <w:rsid w:val="00BC6A19"/>
    <w:rsid w:val="00BC6ADB"/>
    <w:rsid w:val="00BC6C2E"/>
    <w:rsid w:val="00BC6CE1"/>
    <w:rsid w:val="00BC6D6C"/>
    <w:rsid w:val="00BC6E70"/>
    <w:rsid w:val="00BC6F00"/>
    <w:rsid w:val="00BC6F76"/>
    <w:rsid w:val="00BC70C3"/>
    <w:rsid w:val="00BC7219"/>
    <w:rsid w:val="00BC749C"/>
    <w:rsid w:val="00BC75D1"/>
    <w:rsid w:val="00BD0A7B"/>
    <w:rsid w:val="00BD0BFD"/>
    <w:rsid w:val="00BD0E32"/>
    <w:rsid w:val="00BD0EBE"/>
    <w:rsid w:val="00BD15F7"/>
    <w:rsid w:val="00BD1677"/>
    <w:rsid w:val="00BD16CD"/>
    <w:rsid w:val="00BD17F2"/>
    <w:rsid w:val="00BD181F"/>
    <w:rsid w:val="00BD1903"/>
    <w:rsid w:val="00BD1986"/>
    <w:rsid w:val="00BD19FD"/>
    <w:rsid w:val="00BD1AE3"/>
    <w:rsid w:val="00BD1EE0"/>
    <w:rsid w:val="00BD1F4E"/>
    <w:rsid w:val="00BD20C1"/>
    <w:rsid w:val="00BD213A"/>
    <w:rsid w:val="00BD214B"/>
    <w:rsid w:val="00BD217A"/>
    <w:rsid w:val="00BD23E1"/>
    <w:rsid w:val="00BD2540"/>
    <w:rsid w:val="00BD2579"/>
    <w:rsid w:val="00BD25E4"/>
    <w:rsid w:val="00BD272A"/>
    <w:rsid w:val="00BD297A"/>
    <w:rsid w:val="00BD3150"/>
    <w:rsid w:val="00BD3215"/>
    <w:rsid w:val="00BD3CE7"/>
    <w:rsid w:val="00BD4012"/>
    <w:rsid w:val="00BD40EA"/>
    <w:rsid w:val="00BD4113"/>
    <w:rsid w:val="00BD4325"/>
    <w:rsid w:val="00BD434B"/>
    <w:rsid w:val="00BD47F1"/>
    <w:rsid w:val="00BD4AF1"/>
    <w:rsid w:val="00BD4FCD"/>
    <w:rsid w:val="00BD5162"/>
    <w:rsid w:val="00BD54CB"/>
    <w:rsid w:val="00BD5B9D"/>
    <w:rsid w:val="00BD5C68"/>
    <w:rsid w:val="00BD5FE7"/>
    <w:rsid w:val="00BD60B3"/>
    <w:rsid w:val="00BD6510"/>
    <w:rsid w:val="00BD65C8"/>
    <w:rsid w:val="00BD6782"/>
    <w:rsid w:val="00BD69C3"/>
    <w:rsid w:val="00BD69F9"/>
    <w:rsid w:val="00BD6CB3"/>
    <w:rsid w:val="00BD6EFF"/>
    <w:rsid w:val="00BD6F08"/>
    <w:rsid w:val="00BD7106"/>
    <w:rsid w:val="00BD7219"/>
    <w:rsid w:val="00BD78C5"/>
    <w:rsid w:val="00BD7A3E"/>
    <w:rsid w:val="00BD7CDE"/>
    <w:rsid w:val="00BD7D2C"/>
    <w:rsid w:val="00BE0146"/>
    <w:rsid w:val="00BE0215"/>
    <w:rsid w:val="00BE045B"/>
    <w:rsid w:val="00BE079E"/>
    <w:rsid w:val="00BE0813"/>
    <w:rsid w:val="00BE0958"/>
    <w:rsid w:val="00BE0A19"/>
    <w:rsid w:val="00BE1235"/>
    <w:rsid w:val="00BE13D2"/>
    <w:rsid w:val="00BE1A33"/>
    <w:rsid w:val="00BE1C5D"/>
    <w:rsid w:val="00BE21D8"/>
    <w:rsid w:val="00BE2263"/>
    <w:rsid w:val="00BE22FA"/>
    <w:rsid w:val="00BE2361"/>
    <w:rsid w:val="00BE2468"/>
    <w:rsid w:val="00BE26A1"/>
    <w:rsid w:val="00BE289F"/>
    <w:rsid w:val="00BE2A09"/>
    <w:rsid w:val="00BE339B"/>
    <w:rsid w:val="00BE34DA"/>
    <w:rsid w:val="00BE35BC"/>
    <w:rsid w:val="00BE3655"/>
    <w:rsid w:val="00BE36A3"/>
    <w:rsid w:val="00BE36E0"/>
    <w:rsid w:val="00BE3784"/>
    <w:rsid w:val="00BE38F5"/>
    <w:rsid w:val="00BE39C4"/>
    <w:rsid w:val="00BE3C19"/>
    <w:rsid w:val="00BE3F5F"/>
    <w:rsid w:val="00BE409B"/>
    <w:rsid w:val="00BE4170"/>
    <w:rsid w:val="00BE4824"/>
    <w:rsid w:val="00BE494C"/>
    <w:rsid w:val="00BE4B25"/>
    <w:rsid w:val="00BE4DB2"/>
    <w:rsid w:val="00BE5229"/>
    <w:rsid w:val="00BE528B"/>
    <w:rsid w:val="00BE5366"/>
    <w:rsid w:val="00BE54D1"/>
    <w:rsid w:val="00BE56BB"/>
    <w:rsid w:val="00BE56F6"/>
    <w:rsid w:val="00BE5773"/>
    <w:rsid w:val="00BE58F8"/>
    <w:rsid w:val="00BE5972"/>
    <w:rsid w:val="00BE5A7D"/>
    <w:rsid w:val="00BE5BD7"/>
    <w:rsid w:val="00BE5C2B"/>
    <w:rsid w:val="00BE6318"/>
    <w:rsid w:val="00BE64A6"/>
    <w:rsid w:val="00BE64A8"/>
    <w:rsid w:val="00BE658A"/>
    <w:rsid w:val="00BE6684"/>
    <w:rsid w:val="00BE6862"/>
    <w:rsid w:val="00BE68E3"/>
    <w:rsid w:val="00BE6D5A"/>
    <w:rsid w:val="00BE6EB7"/>
    <w:rsid w:val="00BE6F57"/>
    <w:rsid w:val="00BE7049"/>
    <w:rsid w:val="00BE72C7"/>
    <w:rsid w:val="00BE72EF"/>
    <w:rsid w:val="00BE74AD"/>
    <w:rsid w:val="00BE76F5"/>
    <w:rsid w:val="00BE77BF"/>
    <w:rsid w:val="00BE7800"/>
    <w:rsid w:val="00BE7E2E"/>
    <w:rsid w:val="00BF03F3"/>
    <w:rsid w:val="00BF08F6"/>
    <w:rsid w:val="00BF0AF2"/>
    <w:rsid w:val="00BF0BA2"/>
    <w:rsid w:val="00BF0CFB"/>
    <w:rsid w:val="00BF123B"/>
    <w:rsid w:val="00BF1F80"/>
    <w:rsid w:val="00BF2737"/>
    <w:rsid w:val="00BF2856"/>
    <w:rsid w:val="00BF2FA2"/>
    <w:rsid w:val="00BF2FB5"/>
    <w:rsid w:val="00BF3169"/>
    <w:rsid w:val="00BF3201"/>
    <w:rsid w:val="00BF325B"/>
    <w:rsid w:val="00BF333B"/>
    <w:rsid w:val="00BF356D"/>
    <w:rsid w:val="00BF36EA"/>
    <w:rsid w:val="00BF37C8"/>
    <w:rsid w:val="00BF38D5"/>
    <w:rsid w:val="00BF3B6C"/>
    <w:rsid w:val="00BF40A3"/>
    <w:rsid w:val="00BF418A"/>
    <w:rsid w:val="00BF43EF"/>
    <w:rsid w:val="00BF49BC"/>
    <w:rsid w:val="00BF4A4E"/>
    <w:rsid w:val="00BF4AB4"/>
    <w:rsid w:val="00BF4EAC"/>
    <w:rsid w:val="00BF4EFA"/>
    <w:rsid w:val="00BF4FE6"/>
    <w:rsid w:val="00BF547E"/>
    <w:rsid w:val="00BF555B"/>
    <w:rsid w:val="00BF6097"/>
    <w:rsid w:val="00BF609F"/>
    <w:rsid w:val="00BF622D"/>
    <w:rsid w:val="00BF65C1"/>
    <w:rsid w:val="00BF6BBF"/>
    <w:rsid w:val="00BF6C05"/>
    <w:rsid w:val="00BF6C66"/>
    <w:rsid w:val="00BF6EC5"/>
    <w:rsid w:val="00BF6F79"/>
    <w:rsid w:val="00BF6FD8"/>
    <w:rsid w:val="00BF701F"/>
    <w:rsid w:val="00BF71EB"/>
    <w:rsid w:val="00BF76EE"/>
    <w:rsid w:val="00C004B3"/>
    <w:rsid w:val="00C00541"/>
    <w:rsid w:val="00C007CD"/>
    <w:rsid w:val="00C007D7"/>
    <w:rsid w:val="00C00812"/>
    <w:rsid w:val="00C0087F"/>
    <w:rsid w:val="00C0092F"/>
    <w:rsid w:val="00C00967"/>
    <w:rsid w:val="00C0127E"/>
    <w:rsid w:val="00C01498"/>
    <w:rsid w:val="00C01873"/>
    <w:rsid w:val="00C018AE"/>
    <w:rsid w:val="00C0194D"/>
    <w:rsid w:val="00C01ADB"/>
    <w:rsid w:val="00C01B68"/>
    <w:rsid w:val="00C02070"/>
    <w:rsid w:val="00C02246"/>
    <w:rsid w:val="00C0234A"/>
    <w:rsid w:val="00C024C4"/>
    <w:rsid w:val="00C025F1"/>
    <w:rsid w:val="00C0268F"/>
    <w:rsid w:val="00C027B8"/>
    <w:rsid w:val="00C029BE"/>
    <w:rsid w:val="00C02A52"/>
    <w:rsid w:val="00C02AA6"/>
    <w:rsid w:val="00C03064"/>
    <w:rsid w:val="00C03167"/>
    <w:rsid w:val="00C03168"/>
    <w:rsid w:val="00C0318A"/>
    <w:rsid w:val="00C033C4"/>
    <w:rsid w:val="00C0341E"/>
    <w:rsid w:val="00C03530"/>
    <w:rsid w:val="00C038AF"/>
    <w:rsid w:val="00C038CD"/>
    <w:rsid w:val="00C03E2B"/>
    <w:rsid w:val="00C03E30"/>
    <w:rsid w:val="00C041D5"/>
    <w:rsid w:val="00C04209"/>
    <w:rsid w:val="00C0434E"/>
    <w:rsid w:val="00C0469C"/>
    <w:rsid w:val="00C04966"/>
    <w:rsid w:val="00C04ACA"/>
    <w:rsid w:val="00C05216"/>
    <w:rsid w:val="00C057CF"/>
    <w:rsid w:val="00C0632A"/>
    <w:rsid w:val="00C066E6"/>
    <w:rsid w:val="00C06B4B"/>
    <w:rsid w:val="00C06C3F"/>
    <w:rsid w:val="00C06DA3"/>
    <w:rsid w:val="00C06E44"/>
    <w:rsid w:val="00C070E2"/>
    <w:rsid w:val="00C071BE"/>
    <w:rsid w:val="00C07593"/>
    <w:rsid w:val="00C07A64"/>
    <w:rsid w:val="00C07B4F"/>
    <w:rsid w:val="00C105B8"/>
    <w:rsid w:val="00C1090E"/>
    <w:rsid w:val="00C109CC"/>
    <w:rsid w:val="00C10A39"/>
    <w:rsid w:val="00C10A7F"/>
    <w:rsid w:val="00C10B41"/>
    <w:rsid w:val="00C10CBE"/>
    <w:rsid w:val="00C10CBF"/>
    <w:rsid w:val="00C10E49"/>
    <w:rsid w:val="00C10F50"/>
    <w:rsid w:val="00C10F83"/>
    <w:rsid w:val="00C10FA7"/>
    <w:rsid w:val="00C1108D"/>
    <w:rsid w:val="00C113EE"/>
    <w:rsid w:val="00C1163D"/>
    <w:rsid w:val="00C1165D"/>
    <w:rsid w:val="00C116B5"/>
    <w:rsid w:val="00C118FC"/>
    <w:rsid w:val="00C11B10"/>
    <w:rsid w:val="00C11D88"/>
    <w:rsid w:val="00C11D9D"/>
    <w:rsid w:val="00C11E14"/>
    <w:rsid w:val="00C11FE5"/>
    <w:rsid w:val="00C12714"/>
    <w:rsid w:val="00C129D8"/>
    <w:rsid w:val="00C130B0"/>
    <w:rsid w:val="00C13105"/>
    <w:rsid w:val="00C13123"/>
    <w:rsid w:val="00C13146"/>
    <w:rsid w:val="00C1320C"/>
    <w:rsid w:val="00C132D8"/>
    <w:rsid w:val="00C13462"/>
    <w:rsid w:val="00C136C9"/>
    <w:rsid w:val="00C1378C"/>
    <w:rsid w:val="00C139D0"/>
    <w:rsid w:val="00C13C0E"/>
    <w:rsid w:val="00C13CC9"/>
    <w:rsid w:val="00C13D7E"/>
    <w:rsid w:val="00C13EEB"/>
    <w:rsid w:val="00C13F7E"/>
    <w:rsid w:val="00C142BF"/>
    <w:rsid w:val="00C14332"/>
    <w:rsid w:val="00C14498"/>
    <w:rsid w:val="00C1459E"/>
    <w:rsid w:val="00C14C3A"/>
    <w:rsid w:val="00C1559C"/>
    <w:rsid w:val="00C15696"/>
    <w:rsid w:val="00C156FD"/>
    <w:rsid w:val="00C15BF3"/>
    <w:rsid w:val="00C15FF8"/>
    <w:rsid w:val="00C160EA"/>
    <w:rsid w:val="00C161BE"/>
    <w:rsid w:val="00C16317"/>
    <w:rsid w:val="00C16770"/>
    <w:rsid w:val="00C17418"/>
    <w:rsid w:val="00C2011D"/>
    <w:rsid w:val="00C201B0"/>
    <w:rsid w:val="00C2039C"/>
    <w:rsid w:val="00C205C1"/>
    <w:rsid w:val="00C2065F"/>
    <w:rsid w:val="00C20853"/>
    <w:rsid w:val="00C20E81"/>
    <w:rsid w:val="00C20E8E"/>
    <w:rsid w:val="00C20EF3"/>
    <w:rsid w:val="00C21269"/>
    <w:rsid w:val="00C216F3"/>
    <w:rsid w:val="00C21AAE"/>
    <w:rsid w:val="00C21AC2"/>
    <w:rsid w:val="00C21E23"/>
    <w:rsid w:val="00C21FC8"/>
    <w:rsid w:val="00C22011"/>
    <w:rsid w:val="00C228F1"/>
    <w:rsid w:val="00C22912"/>
    <w:rsid w:val="00C22AD4"/>
    <w:rsid w:val="00C22E9A"/>
    <w:rsid w:val="00C22F91"/>
    <w:rsid w:val="00C230F7"/>
    <w:rsid w:val="00C23181"/>
    <w:rsid w:val="00C23368"/>
    <w:rsid w:val="00C23544"/>
    <w:rsid w:val="00C23FEE"/>
    <w:rsid w:val="00C23FF5"/>
    <w:rsid w:val="00C241E9"/>
    <w:rsid w:val="00C242BB"/>
    <w:rsid w:val="00C24995"/>
    <w:rsid w:val="00C24BD0"/>
    <w:rsid w:val="00C250F5"/>
    <w:rsid w:val="00C2512B"/>
    <w:rsid w:val="00C25FF6"/>
    <w:rsid w:val="00C26139"/>
    <w:rsid w:val="00C2656F"/>
    <w:rsid w:val="00C26766"/>
    <w:rsid w:val="00C26C04"/>
    <w:rsid w:val="00C26C40"/>
    <w:rsid w:val="00C26F01"/>
    <w:rsid w:val="00C27280"/>
    <w:rsid w:val="00C274B6"/>
    <w:rsid w:val="00C27983"/>
    <w:rsid w:val="00C27ED0"/>
    <w:rsid w:val="00C30037"/>
    <w:rsid w:val="00C3044F"/>
    <w:rsid w:val="00C305BE"/>
    <w:rsid w:val="00C30983"/>
    <w:rsid w:val="00C309C9"/>
    <w:rsid w:val="00C30AD6"/>
    <w:rsid w:val="00C30AED"/>
    <w:rsid w:val="00C30D29"/>
    <w:rsid w:val="00C30EB4"/>
    <w:rsid w:val="00C312F3"/>
    <w:rsid w:val="00C3150A"/>
    <w:rsid w:val="00C31576"/>
    <w:rsid w:val="00C3158A"/>
    <w:rsid w:val="00C317DB"/>
    <w:rsid w:val="00C31C10"/>
    <w:rsid w:val="00C31DA0"/>
    <w:rsid w:val="00C32238"/>
    <w:rsid w:val="00C328B4"/>
    <w:rsid w:val="00C32995"/>
    <w:rsid w:val="00C32D84"/>
    <w:rsid w:val="00C330EC"/>
    <w:rsid w:val="00C33233"/>
    <w:rsid w:val="00C334F8"/>
    <w:rsid w:val="00C33573"/>
    <w:rsid w:val="00C3375C"/>
    <w:rsid w:val="00C337DC"/>
    <w:rsid w:val="00C33BE8"/>
    <w:rsid w:val="00C33CCF"/>
    <w:rsid w:val="00C342A9"/>
    <w:rsid w:val="00C343CE"/>
    <w:rsid w:val="00C34A0F"/>
    <w:rsid w:val="00C34CBF"/>
    <w:rsid w:val="00C34DB5"/>
    <w:rsid w:val="00C35035"/>
    <w:rsid w:val="00C35223"/>
    <w:rsid w:val="00C35429"/>
    <w:rsid w:val="00C35490"/>
    <w:rsid w:val="00C35886"/>
    <w:rsid w:val="00C35A0E"/>
    <w:rsid w:val="00C35B15"/>
    <w:rsid w:val="00C35EB6"/>
    <w:rsid w:val="00C35EDF"/>
    <w:rsid w:val="00C360AE"/>
    <w:rsid w:val="00C3679C"/>
    <w:rsid w:val="00C36BBD"/>
    <w:rsid w:val="00C36BD6"/>
    <w:rsid w:val="00C37382"/>
    <w:rsid w:val="00C373FE"/>
    <w:rsid w:val="00C377B0"/>
    <w:rsid w:val="00C3789B"/>
    <w:rsid w:val="00C37A77"/>
    <w:rsid w:val="00C401FB"/>
    <w:rsid w:val="00C402F1"/>
    <w:rsid w:val="00C40367"/>
    <w:rsid w:val="00C406AA"/>
    <w:rsid w:val="00C4083A"/>
    <w:rsid w:val="00C409D9"/>
    <w:rsid w:val="00C40A22"/>
    <w:rsid w:val="00C40BC3"/>
    <w:rsid w:val="00C40CE6"/>
    <w:rsid w:val="00C41259"/>
    <w:rsid w:val="00C414C4"/>
    <w:rsid w:val="00C4168E"/>
    <w:rsid w:val="00C41719"/>
    <w:rsid w:val="00C41976"/>
    <w:rsid w:val="00C41AF6"/>
    <w:rsid w:val="00C421EC"/>
    <w:rsid w:val="00C42222"/>
    <w:rsid w:val="00C425D0"/>
    <w:rsid w:val="00C4284F"/>
    <w:rsid w:val="00C432F7"/>
    <w:rsid w:val="00C4333D"/>
    <w:rsid w:val="00C433DE"/>
    <w:rsid w:val="00C43439"/>
    <w:rsid w:val="00C43793"/>
    <w:rsid w:val="00C4384D"/>
    <w:rsid w:val="00C43D2C"/>
    <w:rsid w:val="00C43F77"/>
    <w:rsid w:val="00C43FA0"/>
    <w:rsid w:val="00C4443F"/>
    <w:rsid w:val="00C44A99"/>
    <w:rsid w:val="00C44B9A"/>
    <w:rsid w:val="00C4515A"/>
    <w:rsid w:val="00C45177"/>
    <w:rsid w:val="00C45260"/>
    <w:rsid w:val="00C452D8"/>
    <w:rsid w:val="00C455E7"/>
    <w:rsid w:val="00C4599A"/>
    <w:rsid w:val="00C45B3C"/>
    <w:rsid w:val="00C45B7B"/>
    <w:rsid w:val="00C45EFD"/>
    <w:rsid w:val="00C46012"/>
    <w:rsid w:val="00C4642F"/>
    <w:rsid w:val="00C46564"/>
    <w:rsid w:val="00C467F2"/>
    <w:rsid w:val="00C46D7F"/>
    <w:rsid w:val="00C46D98"/>
    <w:rsid w:val="00C46FF0"/>
    <w:rsid w:val="00C47330"/>
    <w:rsid w:val="00C4759D"/>
    <w:rsid w:val="00C476D8"/>
    <w:rsid w:val="00C476E5"/>
    <w:rsid w:val="00C47A0B"/>
    <w:rsid w:val="00C47B74"/>
    <w:rsid w:val="00C47B9E"/>
    <w:rsid w:val="00C47BDF"/>
    <w:rsid w:val="00C47D13"/>
    <w:rsid w:val="00C5080E"/>
    <w:rsid w:val="00C50BCC"/>
    <w:rsid w:val="00C50ED6"/>
    <w:rsid w:val="00C5112B"/>
    <w:rsid w:val="00C517D3"/>
    <w:rsid w:val="00C51927"/>
    <w:rsid w:val="00C5193F"/>
    <w:rsid w:val="00C51A65"/>
    <w:rsid w:val="00C51B08"/>
    <w:rsid w:val="00C51B5D"/>
    <w:rsid w:val="00C51D36"/>
    <w:rsid w:val="00C51D3F"/>
    <w:rsid w:val="00C51ECF"/>
    <w:rsid w:val="00C525B7"/>
    <w:rsid w:val="00C525F6"/>
    <w:rsid w:val="00C52914"/>
    <w:rsid w:val="00C52DF0"/>
    <w:rsid w:val="00C52EAE"/>
    <w:rsid w:val="00C52ED9"/>
    <w:rsid w:val="00C53325"/>
    <w:rsid w:val="00C535F8"/>
    <w:rsid w:val="00C538EF"/>
    <w:rsid w:val="00C539B4"/>
    <w:rsid w:val="00C53F78"/>
    <w:rsid w:val="00C544FC"/>
    <w:rsid w:val="00C545A1"/>
    <w:rsid w:val="00C54690"/>
    <w:rsid w:val="00C54C49"/>
    <w:rsid w:val="00C54D11"/>
    <w:rsid w:val="00C54F03"/>
    <w:rsid w:val="00C54FDD"/>
    <w:rsid w:val="00C55061"/>
    <w:rsid w:val="00C55094"/>
    <w:rsid w:val="00C55103"/>
    <w:rsid w:val="00C5579F"/>
    <w:rsid w:val="00C55979"/>
    <w:rsid w:val="00C55C46"/>
    <w:rsid w:val="00C55E96"/>
    <w:rsid w:val="00C55F9F"/>
    <w:rsid w:val="00C5605B"/>
    <w:rsid w:val="00C56144"/>
    <w:rsid w:val="00C561D5"/>
    <w:rsid w:val="00C56B7D"/>
    <w:rsid w:val="00C5703B"/>
    <w:rsid w:val="00C57215"/>
    <w:rsid w:val="00C572AD"/>
    <w:rsid w:val="00C579A1"/>
    <w:rsid w:val="00C57EF2"/>
    <w:rsid w:val="00C57FEA"/>
    <w:rsid w:val="00C6047A"/>
    <w:rsid w:val="00C60747"/>
    <w:rsid w:val="00C60795"/>
    <w:rsid w:val="00C607AB"/>
    <w:rsid w:val="00C608BF"/>
    <w:rsid w:val="00C608C7"/>
    <w:rsid w:val="00C6091D"/>
    <w:rsid w:val="00C60CA8"/>
    <w:rsid w:val="00C615DD"/>
    <w:rsid w:val="00C615FB"/>
    <w:rsid w:val="00C6170D"/>
    <w:rsid w:val="00C61ABD"/>
    <w:rsid w:val="00C61C74"/>
    <w:rsid w:val="00C62171"/>
    <w:rsid w:val="00C631FD"/>
    <w:rsid w:val="00C633A9"/>
    <w:rsid w:val="00C633EF"/>
    <w:rsid w:val="00C63615"/>
    <w:rsid w:val="00C63755"/>
    <w:rsid w:val="00C63965"/>
    <w:rsid w:val="00C6408F"/>
    <w:rsid w:val="00C64461"/>
    <w:rsid w:val="00C648B4"/>
    <w:rsid w:val="00C649CC"/>
    <w:rsid w:val="00C64B48"/>
    <w:rsid w:val="00C64F10"/>
    <w:rsid w:val="00C65181"/>
    <w:rsid w:val="00C65689"/>
    <w:rsid w:val="00C65C9B"/>
    <w:rsid w:val="00C65CCA"/>
    <w:rsid w:val="00C65EA6"/>
    <w:rsid w:val="00C65F17"/>
    <w:rsid w:val="00C67232"/>
    <w:rsid w:val="00C6741A"/>
    <w:rsid w:val="00C6770E"/>
    <w:rsid w:val="00C6771D"/>
    <w:rsid w:val="00C67BCD"/>
    <w:rsid w:val="00C67C39"/>
    <w:rsid w:val="00C67DE0"/>
    <w:rsid w:val="00C700A7"/>
    <w:rsid w:val="00C701BF"/>
    <w:rsid w:val="00C7041C"/>
    <w:rsid w:val="00C70FBB"/>
    <w:rsid w:val="00C717BF"/>
    <w:rsid w:val="00C71B83"/>
    <w:rsid w:val="00C71CE3"/>
    <w:rsid w:val="00C71E69"/>
    <w:rsid w:val="00C71EBE"/>
    <w:rsid w:val="00C7200B"/>
    <w:rsid w:val="00C723FF"/>
    <w:rsid w:val="00C724BF"/>
    <w:rsid w:val="00C7256E"/>
    <w:rsid w:val="00C7267F"/>
    <w:rsid w:val="00C7268A"/>
    <w:rsid w:val="00C728F0"/>
    <w:rsid w:val="00C72934"/>
    <w:rsid w:val="00C72C1D"/>
    <w:rsid w:val="00C72DBA"/>
    <w:rsid w:val="00C73192"/>
    <w:rsid w:val="00C73413"/>
    <w:rsid w:val="00C735C6"/>
    <w:rsid w:val="00C73D14"/>
    <w:rsid w:val="00C73D33"/>
    <w:rsid w:val="00C73D77"/>
    <w:rsid w:val="00C73E51"/>
    <w:rsid w:val="00C73E59"/>
    <w:rsid w:val="00C7417C"/>
    <w:rsid w:val="00C7424B"/>
    <w:rsid w:val="00C74990"/>
    <w:rsid w:val="00C749F1"/>
    <w:rsid w:val="00C74A69"/>
    <w:rsid w:val="00C74C24"/>
    <w:rsid w:val="00C74CA2"/>
    <w:rsid w:val="00C74FAF"/>
    <w:rsid w:val="00C752CF"/>
    <w:rsid w:val="00C75544"/>
    <w:rsid w:val="00C757C4"/>
    <w:rsid w:val="00C758CE"/>
    <w:rsid w:val="00C75949"/>
    <w:rsid w:val="00C75A03"/>
    <w:rsid w:val="00C75A15"/>
    <w:rsid w:val="00C75BA5"/>
    <w:rsid w:val="00C75C70"/>
    <w:rsid w:val="00C75D62"/>
    <w:rsid w:val="00C76340"/>
    <w:rsid w:val="00C76602"/>
    <w:rsid w:val="00C767B9"/>
    <w:rsid w:val="00C76A8D"/>
    <w:rsid w:val="00C76F5C"/>
    <w:rsid w:val="00C76FED"/>
    <w:rsid w:val="00C77179"/>
    <w:rsid w:val="00C771B5"/>
    <w:rsid w:val="00C775A9"/>
    <w:rsid w:val="00C775B6"/>
    <w:rsid w:val="00C777C8"/>
    <w:rsid w:val="00C77B4A"/>
    <w:rsid w:val="00C77D4F"/>
    <w:rsid w:val="00C77D83"/>
    <w:rsid w:val="00C80150"/>
    <w:rsid w:val="00C801DE"/>
    <w:rsid w:val="00C804FB"/>
    <w:rsid w:val="00C80565"/>
    <w:rsid w:val="00C80851"/>
    <w:rsid w:val="00C808F4"/>
    <w:rsid w:val="00C80EF1"/>
    <w:rsid w:val="00C80F2A"/>
    <w:rsid w:val="00C813FD"/>
    <w:rsid w:val="00C814A1"/>
    <w:rsid w:val="00C814BE"/>
    <w:rsid w:val="00C815EA"/>
    <w:rsid w:val="00C815EF"/>
    <w:rsid w:val="00C8160D"/>
    <w:rsid w:val="00C817F6"/>
    <w:rsid w:val="00C818D7"/>
    <w:rsid w:val="00C81BCC"/>
    <w:rsid w:val="00C81EE4"/>
    <w:rsid w:val="00C822AB"/>
    <w:rsid w:val="00C8239C"/>
    <w:rsid w:val="00C82565"/>
    <w:rsid w:val="00C82588"/>
    <w:rsid w:val="00C826BB"/>
    <w:rsid w:val="00C826D7"/>
    <w:rsid w:val="00C82A13"/>
    <w:rsid w:val="00C82B4F"/>
    <w:rsid w:val="00C83017"/>
    <w:rsid w:val="00C830F0"/>
    <w:rsid w:val="00C831B8"/>
    <w:rsid w:val="00C831E1"/>
    <w:rsid w:val="00C834A0"/>
    <w:rsid w:val="00C83BF6"/>
    <w:rsid w:val="00C83C0E"/>
    <w:rsid w:val="00C83C3B"/>
    <w:rsid w:val="00C8400A"/>
    <w:rsid w:val="00C8445A"/>
    <w:rsid w:val="00C84503"/>
    <w:rsid w:val="00C84ADF"/>
    <w:rsid w:val="00C85355"/>
    <w:rsid w:val="00C856BB"/>
    <w:rsid w:val="00C85AC1"/>
    <w:rsid w:val="00C85AC6"/>
    <w:rsid w:val="00C85AE5"/>
    <w:rsid w:val="00C85C61"/>
    <w:rsid w:val="00C85DE6"/>
    <w:rsid w:val="00C864FC"/>
    <w:rsid w:val="00C86628"/>
    <w:rsid w:val="00C86633"/>
    <w:rsid w:val="00C86948"/>
    <w:rsid w:val="00C86B9B"/>
    <w:rsid w:val="00C86BF3"/>
    <w:rsid w:val="00C87105"/>
    <w:rsid w:val="00C87577"/>
    <w:rsid w:val="00C87BF2"/>
    <w:rsid w:val="00C87F63"/>
    <w:rsid w:val="00C900F8"/>
    <w:rsid w:val="00C9027F"/>
    <w:rsid w:val="00C902B7"/>
    <w:rsid w:val="00C903A9"/>
    <w:rsid w:val="00C9045F"/>
    <w:rsid w:val="00C90618"/>
    <w:rsid w:val="00C90799"/>
    <w:rsid w:val="00C90942"/>
    <w:rsid w:val="00C912DA"/>
    <w:rsid w:val="00C91668"/>
    <w:rsid w:val="00C91712"/>
    <w:rsid w:val="00C91B28"/>
    <w:rsid w:val="00C91B61"/>
    <w:rsid w:val="00C91C44"/>
    <w:rsid w:val="00C91F14"/>
    <w:rsid w:val="00C91F70"/>
    <w:rsid w:val="00C91FCF"/>
    <w:rsid w:val="00C92331"/>
    <w:rsid w:val="00C92457"/>
    <w:rsid w:val="00C92573"/>
    <w:rsid w:val="00C92E3C"/>
    <w:rsid w:val="00C92ED8"/>
    <w:rsid w:val="00C92FE1"/>
    <w:rsid w:val="00C930D1"/>
    <w:rsid w:val="00C93170"/>
    <w:rsid w:val="00C93634"/>
    <w:rsid w:val="00C93724"/>
    <w:rsid w:val="00C93AF7"/>
    <w:rsid w:val="00C93B16"/>
    <w:rsid w:val="00C93B63"/>
    <w:rsid w:val="00C93C38"/>
    <w:rsid w:val="00C93CD0"/>
    <w:rsid w:val="00C940E8"/>
    <w:rsid w:val="00C941A7"/>
    <w:rsid w:val="00C9447D"/>
    <w:rsid w:val="00C94651"/>
    <w:rsid w:val="00C946FF"/>
    <w:rsid w:val="00C94A50"/>
    <w:rsid w:val="00C94CE0"/>
    <w:rsid w:val="00C94F64"/>
    <w:rsid w:val="00C95455"/>
    <w:rsid w:val="00C9563F"/>
    <w:rsid w:val="00C95695"/>
    <w:rsid w:val="00C957FF"/>
    <w:rsid w:val="00C95831"/>
    <w:rsid w:val="00C95839"/>
    <w:rsid w:val="00C9606C"/>
    <w:rsid w:val="00C962B9"/>
    <w:rsid w:val="00C96366"/>
    <w:rsid w:val="00C96557"/>
    <w:rsid w:val="00C96C3F"/>
    <w:rsid w:val="00C96C55"/>
    <w:rsid w:val="00C971E2"/>
    <w:rsid w:val="00C97271"/>
    <w:rsid w:val="00C97452"/>
    <w:rsid w:val="00C97484"/>
    <w:rsid w:val="00C97784"/>
    <w:rsid w:val="00C977A5"/>
    <w:rsid w:val="00C97960"/>
    <w:rsid w:val="00C97968"/>
    <w:rsid w:val="00C97994"/>
    <w:rsid w:val="00C97D45"/>
    <w:rsid w:val="00C97E1B"/>
    <w:rsid w:val="00CA0260"/>
    <w:rsid w:val="00CA0286"/>
    <w:rsid w:val="00CA03A8"/>
    <w:rsid w:val="00CA066C"/>
    <w:rsid w:val="00CA0693"/>
    <w:rsid w:val="00CA0775"/>
    <w:rsid w:val="00CA0842"/>
    <w:rsid w:val="00CA0A30"/>
    <w:rsid w:val="00CA0D95"/>
    <w:rsid w:val="00CA13FA"/>
    <w:rsid w:val="00CA149B"/>
    <w:rsid w:val="00CA1731"/>
    <w:rsid w:val="00CA18B8"/>
    <w:rsid w:val="00CA1A64"/>
    <w:rsid w:val="00CA1ADB"/>
    <w:rsid w:val="00CA1D0D"/>
    <w:rsid w:val="00CA1D8A"/>
    <w:rsid w:val="00CA1D8D"/>
    <w:rsid w:val="00CA1E01"/>
    <w:rsid w:val="00CA224E"/>
    <w:rsid w:val="00CA279F"/>
    <w:rsid w:val="00CA28D5"/>
    <w:rsid w:val="00CA2B69"/>
    <w:rsid w:val="00CA2E55"/>
    <w:rsid w:val="00CA3035"/>
    <w:rsid w:val="00CA307F"/>
    <w:rsid w:val="00CA34C5"/>
    <w:rsid w:val="00CA3519"/>
    <w:rsid w:val="00CA36AE"/>
    <w:rsid w:val="00CA36F0"/>
    <w:rsid w:val="00CA3919"/>
    <w:rsid w:val="00CA3940"/>
    <w:rsid w:val="00CA3A87"/>
    <w:rsid w:val="00CA3B14"/>
    <w:rsid w:val="00CA3D5E"/>
    <w:rsid w:val="00CA3E78"/>
    <w:rsid w:val="00CA444D"/>
    <w:rsid w:val="00CA4BE3"/>
    <w:rsid w:val="00CA4EC8"/>
    <w:rsid w:val="00CA4ECD"/>
    <w:rsid w:val="00CA5375"/>
    <w:rsid w:val="00CA5901"/>
    <w:rsid w:val="00CA594F"/>
    <w:rsid w:val="00CA5D3C"/>
    <w:rsid w:val="00CA61B1"/>
    <w:rsid w:val="00CA624A"/>
    <w:rsid w:val="00CA6B45"/>
    <w:rsid w:val="00CA6C38"/>
    <w:rsid w:val="00CA6DDB"/>
    <w:rsid w:val="00CA6FF7"/>
    <w:rsid w:val="00CA7077"/>
    <w:rsid w:val="00CA7191"/>
    <w:rsid w:val="00CA72AE"/>
    <w:rsid w:val="00CA7451"/>
    <w:rsid w:val="00CA76B7"/>
    <w:rsid w:val="00CA79B0"/>
    <w:rsid w:val="00CA7B74"/>
    <w:rsid w:val="00CA7D14"/>
    <w:rsid w:val="00CB0326"/>
    <w:rsid w:val="00CB03BB"/>
    <w:rsid w:val="00CB07A8"/>
    <w:rsid w:val="00CB14C7"/>
    <w:rsid w:val="00CB14E2"/>
    <w:rsid w:val="00CB156F"/>
    <w:rsid w:val="00CB16BB"/>
    <w:rsid w:val="00CB16CD"/>
    <w:rsid w:val="00CB1BFF"/>
    <w:rsid w:val="00CB1D23"/>
    <w:rsid w:val="00CB1FA2"/>
    <w:rsid w:val="00CB28B3"/>
    <w:rsid w:val="00CB28BD"/>
    <w:rsid w:val="00CB28D7"/>
    <w:rsid w:val="00CB2989"/>
    <w:rsid w:val="00CB2AB4"/>
    <w:rsid w:val="00CB2C37"/>
    <w:rsid w:val="00CB2D67"/>
    <w:rsid w:val="00CB3273"/>
    <w:rsid w:val="00CB32EA"/>
    <w:rsid w:val="00CB3391"/>
    <w:rsid w:val="00CB3512"/>
    <w:rsid w:val="00CB3941"/>
    <w:rsid w:val="00CB39C1"/>
    <w:rsid w:val="00CB3A32"/>
    <w:rsid w:val="00CB3B04"/>
    <w:rsid w:val="00CB3DE2"/>
    <w:rsid w:val="00CB4030"/>
    <w:rsid w:val="00CB4667"/>
    <w:rsid w:val="00CB46EA"/>
    <w:rsid w:val="00CB49E0"/>
    <w:rsid w:val="00CB49EB"/>
    <w:rsid w:val="00CB4DA9"/>
    <w:rsid w:val="00CB4E10"/>
    <w:rsid w:val="00CB56B4"/>
    <w:rsid w:val="00CB59D8"/>
    <w:rsid w:val="00CB5CC4"/>
    <w:rsid w:val="00CB5DD0"/>
    <w:rsid w:val="00CB608D"/>
    <w:rsid w:val="00CB6346"/>
    <w:rsid w:val="00CB6652"/>
    <w:rsid w:val="00CB6673"/>
    <w:rsid w:val="00CB68A6"/>
    <w:rsid w:val="00CB69F3"/>
    <w:rsid w:val="00CB6BCD"/>
    <w:rsid w:val="00CB6F57"/>
    <w:rsid w:val="00CB6FAC"/>
    <w:rsid w:val="00CB71F5"/>
    <w:rsid w:val="00CB7228"/>
    <w:rsid w:val="00CB7286"/>
    <w:rsid w:val="00CB7332"/>
    <w:rsid w:val="00CB7418"/>
    <w:rsid w:val="00CB75E3"/>
    <w:rsid w:val="00CB7EAB"/>
    <w:rsid w:val="00CC013F"/>
    <w:rsid w:val="00CC06CA"/>
    <w:rsid w:val="00CC0860"/>
    <w:rsid w:val="00CC08D1"/>
    <w:rsid w:val="00CC0D3E"/>
    <w:rsid w:val="00CC0FBB"/>
    <w:rsid w:val="00CC108F"/>
    <w:rsid w:val="00CC119D"/>
    <w:rsid w:val="00CC1539"/>
    <w:rsid w:val="00CC1E7E"/>
    <w:rsid w:val="00CC20F5"/>
    <w:rsid w:val="00CC20FB"/>
    <w:rsid w:val="00CC2101"/>
    <w:rsid w:val="00CC2296"/>
    <w:rsid w:val="00CC25C6"/>
    <w:rsid w:val="00CC28D3"/>
    <w:rsid w:val="00CC28D5"/>
    <w:rsid w:val="00CC2A16"/>
    <w:rsid w:val="00CC2A46"/>
    <w:rsid w:val="00CC2BC3"/>
    <w:rsid w:val="00CC2D21"/>
    <w:rsid w:val="00CC2D57"/>
    <w:rsid w:val="00CC3086"/>
    <w:rsid w:val="00CC3953"/>
    <w:rsid w:val="00CC3971"/>
    <w:rsid w:val="00CC3A3E"/>
    <w:rsid w:val="00CC3EB9"/>
    <w:rsid w:val="00CC3F56"/>
    <w:rsid w:val="00CC42A4"/>
    <w:rsid w:val="00CC444F"/>
    <w:rsid w:val="00CC4692"/>
    <w:rsid w:val="00CC4BF0"/>
    <w:rsid w:val="00CC4E86"/>
    <w:rsid w:val="00CC4E95"/>
    <w:rsid w:val="00CC5216"/>
    <w:rsid w:val="00CC5397"/>
    <w:rsid w:val="00CC57F5"/>
    <w:rsid w:val="00CC58BC"/>
    <w:rsid w:val="00CC5AFE"/>
    <w:rsid w:val="00CC5D61"/>
    <w:rsid w:val="00CC5E79"/>
    <w:rsid w:val="00CC5F32"/>
    <w:rsid w:val="00CC64A8"/>
    <w:rsid w:val="00CC6899"/>
    <w:rsid w:val="00CC69BC"/>
    <w:rsid w:val="00CC6C6D"/>
    <w:rsid w:val="00CC6CF1"/>
    <w:rsid w:val="00CC6FBF"/>
    <w:rsid w:val="00CC7432"/>
    <w:rsid w:val="00CC7F67"/>
    <w:rsid w:val="00CD02CE"/>
    <w:rsid w:val="00CD0365"/>
    <w:rsid w:val="00CD0A8A"/>
    <w:rsid w:val="00CD0C11"/>
    <w:rsid w:val="00CD0D3A"/>
    <w:rsid w:val="00CD0DF0"/>
    <w:rsid w:val="00CD101D"/>
    <w:rsid w:val="00CD1526"/>
    <w:rsid w:val="00CD157E"/>
    <w:rsid w:val="00CD170E"/>
    <w:rsid w:val="00CD17B2"/>
    <w:rsid w:val="00CD185D"/>
    <w:rsid w:val="00CD1C58"/>
    <w:rsid w:val="00CD1C5A"/>
    <w:rsid w:val="00CD1C6F"/>
    <w:rsid w:val="00CD1CB5"/>
    <w:rsid w:val="00CD1DAA"/>
    <w:rsid w:val="00CD1F62"/>
    <w:rsid w:val="00CD213E"/>
    <w:rsid w:val="00CD2143"/>
    <w:rsid w:val="00CD2338"/>
    <w:rsid w:val="00CD2378"/>
    <w:rsid w:val="00CD23CB"/>
    <w:rsid w:val="00CD2A3E"/>
    <w:rsid w:val="00CD2AD2"/>
    <w:rsid w:val="00CD2BB5"/>
    <w:rsid w:val="00CD2EBC"/>
    <w:rsid w:val="00CD2F6F"/>
    <w:rsid w:val="00CD40FC"/>
    <w:rsid w:val="00CD41BF"/>
    <w:rsid w:val="00CD480E"/>
    <w:rsid w:val="00CD4EB9"/>
    <w:rsid w:val="00CD508A"/>
    <w:rsid w:val="00CD5817"/>
    <w:rsid w:val="00CD5E0D"/>
    <w:rsid w:val="00CD6B56"/>
    <w:rsid w:val="00CD6DB6"/>
    <w:rsid w:val="00CD6F6A"/>
    <w:rsid w:val="00CD7495"/>
    <w:rsid w:val="00CD7611"/>
    <w:rsid w:val="00CD7787"/>
    <w:rsid w:val="00CD78B4"/>
    <w:rsid w:val="00CD7B2F"/>
    <w:rsid w:val="00CD7C1B"/>
    <w:rsid w:val="00CD7C66"/>
    <w:rsid w:val="00CD7D31"/>
    <w:rsid w:val="00CD7E98"/>
    <w:rsid w:val="00CE019A"/>
    <w:rsid w:val="00CE039C"/>
    <w:rsid w:val="00CE07D5"/>
    <w:rsid w:val="00CE0ABC"/>
    <w:rsid w:val="00CE0ACB"/>
    <w:rsid w:val="00CE0ECD"/>
    <w:rsid w:val="00CE1879"/>
    <w:rsid w:val="00CE1B6B"/>
    <w:rsid w:val="00CE1E74"/>
    <w:rsid w:val="00CE1EF3"/>
    <w:rsid w:val="00CE231C"/>
    <w:rsid w:val="00CE2788"/>
    <w:rsid w:val="00CE2BFA"/>
    <w:rsid w:val="00CE2C1C"/>
    <w:rsid w:val="00CE2FC0"/>
    <w:rsid w:val="00CE30B1"/>
    <w:rsid w:val="00CE33D6"/>
    <w:rsid w:val="00CE370F"/>
    <w:rsid w:val="00CE377D"/>
    <w:rsid w:val="00CE37C8"/>
    <w:rsid w:val="00CE395C"/>
    <w:rsid w:val="00CE3C6B"/>
    <w:rsid w:val="00CE3E4E"/>
    <w:rsid w:val="00CE4028"/>
    <w:rsid w:val="00CE444B"/>
    <w:rsid w:val="00CE45A8"/>
    <w:rsid w:val="00CE4709"/>
    <w:rsid w:val="00CE4B4A"/>
    <w:rsid w:val="00CE4C1E"/>
    <w:rsid w:val="00CE4EFA"/>
    <w:rsid w:val="00CE5159"/>
    <w:rsid w:val="00CE51BB"/>
    <w:rsid w:val="00CE53F9"/>
    <w:rsid w:val="00CE5555"/>
    <w:rsid w:val="00CE5B0E"/>
    <w:rsid w:val="00CE63F7"/>
    <w:rsid w:val="00CE6950"/>
    <w:rsid w:val="00CE6DB0"/>
    <w:rsid w:val="00CE6FBF"/>
    <w:rsid w:val="00CE7080"/>
    <w:rsid w:val="00CE7351"/>
    <w:rsid w:val="00CE76F7"/>
    <w:rsid w:val="00CE7A79"/>
    <w:rsid w:val="00CE7B2B"/>
    <w:rsid w:val="00CE7BC3"/>
    <w:rsid w:val="00CF0153"/>
    <w:rsid w:val="00CF081D"/>
    <w:rsid w:val="00CF0941"/>
    <w:rsid w:val="00CF09CD"/>
    <w:rsid w:val="00CF0A87"/>
    <w:rsid w:val="00CF0AEC"/>
    <w:rsid w:val="00CF0CCD"/>
    <w:rsid w:val="00CF1148"/>
    <w:rsid w:val="00CF1209"/>
    <w:rsid w:val="00CF14F8"/>
    <w:rsid w:val="00CF1559"/>
    <w:rsid w:val="00CF17E6"/>
    <w:rsid w:val="00CF2138"/>
    <w:rsid w:val="00CF2173"/>
    <w:rsid w:val="00CF22FF"/>
    <w:rsid w:val="00CF2433"/>
    <w:rsid w:val="00CF251F"/>
    <w:rsid w:val="00CF253E"/>
    <w:rsid w:val="00CF2546"/>
    <w:rsid w:val="00CF264F"/>
    <w:rsid w:val="00CF2761"/>
    <w:rsid w:val="00CF27D4"/>
    <w:rsid w:val="00CF2858"/>
    <w:rsid w:val="00CF28C2"/>
    <w:rsid w:val="00CF29B5"/>
    <w:rsid w:val="00CF2A75"/>
    <w:rsid w:val="00CF2CEF"/>
    <w:rsid w:val="00CF3046"/>
    <w:rsid w:val="00CF316F"/>
    <w:rsid w:val="00CF3623"/>
    <w:rsid w:val="00CF3655"/>
    <w:rsid w:val="00CF3AA2"/>
    <w:rsid w:val="00CF3BD1"/>
    <w:rsid w:val="00CF3C25"/>
    <w:rsid w:val="00CF3D4F"/>
    <w:rsid w:val="00CF3F2C"/>
    <w:rsid w:val="00CF4097"/>
    <w:rsid w:val="00CF41D6"/>
    <w:rsid w:val="00CF41DB"/>
    <w:rsid w:val="00CF432C"/>
    <w:rsid w:val="00CF45E6"/>
    <w:rsid w:val="00CF4644"/>
    <w:rsid w:val="00CF487C"/>
    <w:rsid w:val="00CF4994"/>
    <w:rsid w:val="00CF49F1"/>
    <w:rsid w:val="00CF4C69"/>
    <w:rsid w:val="00CF4D39"/>
    <w:rsid w:val="00CF50A0"/>
    <w:rsid w:val="00CF51FB"/>
    <w:rsid w:val="00CF5263"/>
    <w:rsid w:val="00CF5780"/>
    <w:rsid w:val="00CF5AB4"/>
    <w:rsid w:val="00CF5E14"/>
    <w:rsid w:val="00CF5E7E"/>
    <w:rsid w:val="00CF613A"/>
    <w:rsid w:val="00CF6155"/>
    <w:rsid w:val="00CF617B"/>
    <w:rsid w:val="00CF61EB"/>
    <w:rsid w:val="00CF64A9"/>
    <w:rsid w:val="00CF6526"/>
    <w:rsid w:val="00CF660B"/>
    <w:rsid w:val="00CF667F"/>
    <w:rsid w:val="00CF6921"/>
    <w:rsid w:val="00CF6AF0"/>
    <w:rsid w:val="00CF75AE"/>
    <w:rsid w:val="00CF7812"/>
    <w:rsid w:val="00CF7996"/>
    <w:rsid w:val="00CF7AB5"/>
    <w:rsid w:val="00CF7D15"/>
    <w:rsid w:val="00CF7E90"/>
    <w:rsid w:val="00CF7F8B"/>
    <w:rsid w:val="00D00105"/>
    <w:rsid w:val="00D001F1"/>
    <w:rsid w:val="00D0055F"/>
    <w:rsid w:val="00D00B7F"/>
    <w:rsid w:val="00D00D8B"/>
    <w:rsid w:val="00D01BBB"/>
    <w:rsid w:val="00D01BC9"/>
    <w:rsid w:val="00D01C79"/>
    <w:rsid w:val="00D01FC2"/>
    <w:rsid w:val="00D021AE"/>
    <w:rsid w:val="00D0223F"/>
    <w:rsid w:val="00D0249F"/>
    <w:rsid w:val="00D0280D"/>
    <w:rsid w:val="00D029ED"/>
    <w:rsid w:val="00D02AC3"/>
    <w:rsid w:val="00D02B5E"/>
    <w:rsid w:val="00D03361"/>
    <w:rsid w:val="00D03498"/>
    <w:rsid w:val="00D03526"/>
    <w:rsid w:val="00D035A7"/>
    <w:rsid w:val="00D037AC"/>
    <w:rsid w:val="00D03ABE"/>
    <w:rsid w:val="00D03BCE"/>
    <w:rsid w:val="00D03C6E"/>
    <w:rsid w:val="00D03D3B"/>
    <w:rsid w:val="00D03D99"/>
    <w:rsid w:val="00D03E42"/>
    <w:rsid w:val="00D03FAD"/>
    <w:rsid w:val="00D040BD"/>
    <w:rsid w:val="00D040F8"/>
    <w:rsid w:val="00D04415"/>
    <w:rsid w:val="00D0469A"/>
    <w:rsid w:val="00D04CA4"/>
    <w:rsid w:val="00D04D25"/>
    <w:rsid w:val="00D04D4A"/>
    <w:rsid w:val="00D04E58"/>
    <w:rsid w:val="00D05178"/>
    <w:rsid w:val="00D05437"/>
    <w:rsid w:val="00D05570"/>
    <w:rsid w:val="00D05877"/>
    <w:rsid w:val="00D0591E"/>
    <w:rsid w:val="00D05AA8"/>
    <w:rsid w:val="00D05DCC"/>
    <w:rsid w:val="00D05EE7"/>
    <w:rsid w:val="00D05FA2"/>
    <w:rsid w:val="00D06085"/>
    <w:rsid w:val="00D06263"/>
    <w:rsid w:val="00D0680F"/>
    <w:rsid w:val="00D06F36"/>
    <w:rsid w:val="00D07129"/>
    <w:rsid w:val="00D0716A"/>
    <w:rsid w:val="00D0736F"/>
    <w:rsid w:val="00D07736"/>
    <w:rsid w:val="00D07BDA"/>
    <w:rsid w:val="00D101B7"/>
    <w:rsid w:val="00D104E4"/>
    <w:rsid w:val="00D108D6"/>
    <w:rsid w:val="00D10A46"/>
    <w:rsid w:val="00D10AAE"/>
    <w:rsid w:val="00D10FDF"/>
    <w:rsid w:val="00D11A23"/>
    <w:rsid w:val="00D11B0D"/>
    <w:rsid w:val="00D11B38"/>
    <w:rsid w:val="00D11C4F"/>
    <w:rsid w:val="00D11D52"/>
    <w:rsid w:val="00D11ED0"/>
    <w:rsid w:val="00D1210B"/>
    <w:rsid w:val="00D12167"/>
    <w:rsid w:val="00D12B31"/>
    <w:rsid w:val="00D12CD9"/>
    <w:rsid w:val="00D12FC2"/>
    <w:rsid w:val="00D13261"/>
    <w:rsid w:val="00D13ACE"/>
    <w:rsid w:val="00D13D6B"/>
    <w:rsid w:val="00D13E7A"/>
    <w:rsid w:val="00D1409D"/>
    <w:rsid w:val="00D140F2"/>
    <w:rsid w:val="00D14260"/>
    <w:rsid w:val="00D14523"/>
    <w:rsid w:val="00D14857"/>
    <w:rsid w:val="00D149C0"/>
    <w:rsid w:val="00D14DC9"/>
    <w:rsid w:val="00D14E04"/>
    <w:rsid w:val="00D153B9"/>
    <w:rsid w:val="00D15818"/>
    <w:rsid w:val="00D15BBF"/>
    <w:rsid w:val="00D15C10"/>
    <w:rsid w:val="00D15D65"/>
    <w:rsid w:val="00D16D50"/>
    <w:rsid w:val="00D16E76"/>
    <w:rsid w:val="00D16F8D"/>
    <w:rsid w:val="00D16FA5"/>
    <w:rsid w:val="00D170EE"/>
    <w:rsid w:val="00D171A1"/>
    <w:rsid w:val="00D173B3"/>
    <w:rsid w:val="00D174C5"/>
    <w:rsid w:val="00D1787C"/>
    <w:rsid w:val="00D17B66"/>
    <w:rsid w:val="00D2036A"/>
    <w:rsid w:val="00D20A77"/>
    <w:rsid w:val="00D20A84"/>
    <w:rsid w:val="00D20E8A"/>
    <w:rsid w:val="00D20F42"/>
    <w:rsid w:val="00D20F6F"/>
    <w:rsid w:val="00D2109A"/>
    <w:rsid w:val="00D211D5"/>
    <w:rsid w:val="00D2128B"/>
    <w:rsid w:val="00D213F9"/>
    <w:rsid w:val="00D214AB"/>
    <w:rsid w:val="00D216C9"/>
    <w:rsid w:val="00D21785"/>
    <w:rsid w:val="00D2180F"/>
    <w:rsid w:val="00D218F1"/>
    <w:rsid w:val="00D21AAF"/>
    <w:rsid w:val="00D21AEB"/>
    <w:rsid w:val="00D21C48"/>
    <w:rsid w:val="00D21DC4"/>
    <w:rsid w:val="00D21E5F"/>
    <w:rsid w:val="00D22035"/>
    <w:rsid w:val="00D221A9"/>
    <w:rsid w:val="00D22212"/>
    <w:rsid w:val="00D222AC"/>
    <w:rsid w:val="00D2236C"/>
    <w:rsid w:val="00D2255B"/>
    <w:rsid w:val="00D225FA"/>
    <w:rsid w:val="00D22857"/>
    <w:rsid w:val="00D2295E"/>
    <w:rsid w:val="00D22AF2"/>
    <w:rsid w:val="00D22D3B"/>
    <w:rsid w:val="00D23327"/>
    <w:rsid w:val="00D23397"/>
    <w:rsid w:val="00D235F2"/>
    <w:rsid w:val="00D23626"/>
    <w:rsid w:val="00D2377A"/>
    <w:rsid w:val="00D23885"/>
    <w:rsid w:val="00D23CDB"/>
    <w:rsid w:val="00D23D0B"/>
    <w:rsid w:val="00D23D65"/>
    <w:rsid w:val="00D23DFF"/>
    <w:rsid w:val="00D240F5"/>
    <w:rsid w:val="00D245A1"/>
    <w:rsid w:val="00D24677"/>
    <w:rsid w:val="00D24DC0"/>
    <w:rsid w:val="00D24EFF"/>
    <w:rsid w:val="00D25159"/>
    <w:rsid w:val="00D25302"/>
    <w:rsid w:val="00D25B23"/>
    <w:rsid w:val="00D25BAA"/>
    <w:rsid w:val="00D2626A"/>
    <w:rsid w:val="00D2626B"/>
    <w:rsid w:val="00D264BF"/>
    <w:rsid w:val="00D2652C"/>
    <w:rsid w:val="00D26642"/>
    <w:rsid w:val="00D2679E"/>
    <w:rsid w:val="00D26B55"/>
    <w:rsid w:val="00D26BCA"/>
    <w:rsid w:val="00D26F28"/>
    <w:rsid w:val="00D27841"/>
    <w:rsid w:val="00D27C59"/>
    <w:rsid w:val="00D27D7E"/>
    <w:rsid w:val="00D300D8"/>
    <w:rsid w:val="00D3010E"/>
    <w:rsid w:val="00D30546"/>
    <w:rsid w:val="00D30976"/>
    <w:rsid w:val="00D30D61"/>
    <w:rsid w:val="00D30E04"/>
    <w:rsid w:val="00D30E5D"/>
    <w:rsid w:val="00D30FD7"/>
    <w:rsid w:val="00D31058"/>
    <w:rsid w:val="00D3122E"/>
    <w:rsid w:val="00D314DD"/>
    <w:rsid w:val="00D3170D"/>
    <w:rsid w:val="00D317BB"/>
    <w:rsid w:val="00D31999"/>
    <w:rsid w:val="00D31B46"/>
    <w:rsid w:val="00D31B77"/>
    <w:rsid w:val="00D31F5D"/>
    <w:rsid w:val="00D32628"/>
    <w:rsid w:val="00D32654"/>
    <w:rsid w:val="00D3274B"/>
    <w:rsid w:val="00D327F0"/>
    <w:rsid w:val="00D32813"/>
    <w:rsid w:val="00D32B6E"/>
    <w:rsid w:val="00D32D9C"/>
    <w:rsid w:val="00D32E4F"/>
    <w:rsid w:val="00D32F07"/>
    <w:rsid w:val="00D330DA"/>
    <w:rsid w:val="00D33486"/>
    <w:rsid w:val="00D33631"/>
    <w:rsid w:val="00D336A8"/>
    <w:rsid w:val="00D3382C"/>
    <w:rsid w:val="00D33AF7"/>
    <w:rsid w:val="00D33C18"/>
    <w:rsid w:val="00D33CC4"/>
    <w:rsid w:val="00D3401C"/>
    <w:rsid w:val="00D34200"/>
    <w:rsid w:val="00D345EF"/>
    <w:rsid w:val="00D346AF"/>
    <w:rsid w:val="00D349A5"/>
    <w:rsid w:val="00D34AE0"/>
    <w:rsid w:val="00D3519B"/>
    <w:rsid w:val="00D35289"/>
    <w:rsid w:val="00D35907"/>
    <w:rsid w:val="00D361BE"/>
    <w:rsid w:val="00D36253"/>
    <w:rsid w:val="00D3648B"/>
    <w:rsid w:val="00D36AF6"/>
    <w:rsid w:val="00D36B8C"/>
    <w:rsid w:val="00D36C5B"/>
    <w:rsid w:val="00D36DC3"/>
    <w:rsid w:val="00D36E97"/>
    <w:rsid w:val="00D36F2A"/>
    <w:rsid w:val="00D3708B"/>
    <w:rsid w:val="00D376AF"/>
    <w:rsid w:val="00D376C8"/>
    <w:rsid w:val="00D400E9"/>
    <w:rsid w:val="00D4025F"/>
    <w:rsid w:val="00D4045B"/>
    <w:rsid w:val="00D406DF"/>
    <w:rsid w:val="00D407D9"/>
    <w:rsid w:val="00D4089A"/>
    <w:rsid w:val="00D40B8C"/>
    <w:rsid w:val="00D40B90"/>
    <w:rsid w:val="00D40FD9"/>
    <w:rsid w:val="00D413A9"/>
    <w:rsid w:val="00D41627"/>
    <w:rsid w:val="00D41A08"/>
    <w:rsid w:val="00D42058"/>
    <w:rsid w:val="00D42061"/>
    <w:rsid w:val="00D422A3"/>
    <w:rsid w:val="00D423DA"/>
    <w:rsid w:val="00D423DF"/>
    <w:rsid w:val="00D424DD"/>
    <w:rsid w:val="00D426DC"/>
    <w:rsid w:val="00D4296F"/>
    <w:rsid w:val="00D42C06"/>
    <w:rsid w:val="00D42C4B"/>
    <w:rsid w:val="00D42F93"/>
    <w:rsid w:val="00D430A7"/>
    <w:rsid w:val="00D4321D"/>
    <w:rsid w:val="00D43396"/>
    <w:rsid w:val="00D4341B"/>
    <w:rsid w:val="00D4344A"/>
    <w:rsid w:val="00D434D6"/>
    <w:rsid w:val="00D43591"/>
    <w:rsid w:val="00D43B71"/>
    <w:rsid w:val="00D44103"/>
    <w:rsid w:val="00D44203"/>
    <w:rsid w:val="00D446B9"/>
    <w:rsid w:val="00D44933"/>
    <w:rsid w:val="00D449DD"/>
    <w:rsid w:val="00D44BEA"/>
    <w:rsid w:val="00D45384"/>
    <w:rsid w:val="00D45706"/>
    <w:rsid w:val="00D45AC5"/>
    <w:rsid w:val="00D45AE6"/>
    <w:rsid w:val="00D45B36"/>
    <w:rsid w:val="00D46044"/>
    <w:rsid w:val="00D46508"/>
    <w:rsid w:val="00D46743"/>
    <w:rsid w:val="00D467CE"/>
    <w:rsid w:val="00D46C17"/>
    <w:rsid w:val="00D46D74"/>
    <w:rsid w:val="00D47039"/>
    <w:rsid w:val="00D470D2"/>
    <w:rsid w:val="00D470FE"/>
    <w:rsid w:val="00D472AB"/>
    <w:rsid w:val="00D472CE"/>
    <w:rsid w:val="00D47463"/>
    <w:rsid w:val="00D47671"/>
    <w:rsid w:val="00D4774E"/>
    <w:rsid w:val="00D478D4"/>
    <w:rsid w:val="00D47FA2"/>
    <w:rsid w:val="00D5001C"/>
    <w:rsid w:val="00D5060A"/>
    <w:rsid w:val="00D5091B"/>
    <w:rsid w:val="00D50BD0"/>
    <w:rsid w:val="00D50C1F"/>
    <w:rsid w:val="00D50CBB"/>
    <w:rsid w:val="00D50D21"/>
    <w:rsid w:val="00D5104C"/>
    <w:rsid w:val="00D512CE"/>
    <w:rsid w:val="00D51392"/>
    <w:rsid w:val="00D51461"/>
    <w:rsid w:val="00D5155A"/>
    <w:rsid w:val="00D515B2"/>
    <w:rsid w:val="00D51703"/>
    <w:rsid w:val="00D52103"/>
    <w:rsid w:val="00D521CC"/>
    <w:rsid w:val="00D52208"/>
    <w:rsid w:val="00D522B0"/>
    <w:rsid w:val="00D5234C"/>
    <w:rsid w:val="00D52553"/>
    <w:rsid w:val="00D5285E"/>
    <w:rsid w:val="00D528E8"/>
    <w:rsid w:val="00D5294E"/>
    <w:rsid w:val="00D52D27"/>
    <w:rsid w:val="00D53210"/>
    <w:rsid w:val="00D532C5"/>
    <w:rsid w:val="00D53492"/>
    <w:rsid w:val="00D5369E"/>
    <w:rsid w:val="00D537D7"/>
    <w:rsid w:val="00D53F0E"/>
    <w:rsid w:val="00D543F5"/>
    <w:rsid w:val="00D54968"/>
    <w:rsid w:val="00D54B95"/>
    <w:rsid w:val="00D54CC0"/>
    <w:rsid w:val="00D54E1A"/>
    <w:rsid w:val="00D55081"/>
    <w:rsid w:val="00D55221"/>
    <w:rsid w:val="00D55313"/>
    <w:rsid w:val="00D556F5"/>
    <w:rsid w:val="00D559F0"/>
    <w:rsid w:val="00D55A34"/>
    <w:rsid w:val="00D55A5A"/>
    <w:rsid w:val="00D55B90"/>
    <w:rsid w:val="00D55FBF"/>
    <w:rsid w:val="00D56196"/>
    <w:rsid w:val="00D5679E"/>
    <w:rsid w:val="00D567E1"/>
    <w:rsid w:val="00D56901"/>
    <w:rsid w:val="00D56F24"/>
    <w:rsid w:val="00D570A0"/>
    <w:rsid w:val="00D57281"/>
    <w:rsid w:val="00D572A9"/>
    <w:rsid w:val="00D57363"/>
    <w:rsid w:val="00D5771E"/>
    <w:rsid w:val="00D57979"/>
    <w:rsid w:val="00D60103"/>
    <w:rsid w:val="00D61174"/>
    <w:rsid w:val="00D612C2"/>
    <w:rsid w:val="00D612E0"/>
    <w:rsid w:val="00D61537"/>
    <w:rsid w:val="00D61794"/>
    <w:rsid w:val="00D61868"/>
    <w:rsid w:val="00D619F6"/>
    <w:rsid w:val="00D61A78"/>
    <w:rsid w:val="00D61BE0"/>
    <w:rsid w:val="00D61F3F"/>
    <w:rsid w:val="00D62184"/>
    <w:rsid w:val="00D62199"/>
    <w:rsid w:val="00D62519"/>
    <w:rsid w:val="00D6256F"/>
    <w:rsid w:val="00D62642"/>
    <w:rsid w:val="00D626AB"/>
    <w:rsid w:val="00D62B7E"/>
    <w:rsid w:val="00D62F77"/>
    <w:rsid w:val="00D6303E"/>
    <w:rsid w:val="00D63158"/>
    <w:rsid w:val="00D6320F"/>
    <w:rsid w:val="00D632A6"/>
    <w:rsid w:val="00D634CD"/>
    <w:rsid w:val="00D635F5"/>
    <w:rsid w:val="00D6362B"/>
    <w:rsid w:val="00D63657"/>
    <w:rsid w:val="00D637C2"/>
    <w:rsid w:val="00D63830"/>
    <w:rsid w:val="00D639CC"/>
    <w:rsid w:val="00D63A3F"/>
    <w:rsid w:val="00D63BFF"/>
    <w:rsid w:val="00D63CAD"/>
    <w:rsid w:val="00D63CB4"/>
    <w:rsid w:val="00D63CD5"/>
    <w:rsid w:val="00D63DDB"/>
    <w:rsid w:val="00D640B7"/>
    <w:rsid w:val="00D645CD"/>
    <w:rsid w:val="00D6476B"/>
    <w:rsid w:val="00D6482A"/>
    <w:rsid w:val="00D649CA"/>
    <w:rsid w:val="00D649E4"/>
    <w:rsid w:val="00D64CFB"/>
    <w:rsid w:val="00D64D1D"/>
    <w:rsid w:val="00D64F5E"/>
    <w:rsid w:val="00D65386"/>
    <w:rsid w:val="00D65417"/>
    <w:rsid w:val="00D655C2"/>
    <w:rsid w:val="00D65655"/>
    <w:rsid w:val="00D65874"/>
    <w:rsid w:val="00D658CE"/>
    <w:rsid w:val="00D65FB3"/>
    <w:rsid w:val="00D664AE"/>
    <w:rsid w:val="00D66560"/>
    <w:rsid w:val="00D6657E"/>
    <w:rsid w:val="00D666F5"/>
    <w:rsid w:val="00D667AF"/>
    <w:rsid w:val="00D66C70"/>
    <w:rsid w:val="00D66EF6"/>
    <w:rsid w:val="00D67411"/>
    <w:rsid w:val="00D6747D"/>
    <w:rsid w:val="00D678C6"/>
    <w:rsid w:val="00D678D6"/>
    <w:rsid w:val="00D67AA9"/>
    <w:rsid w:val="00D67D1E"/>
    <w:rsid w:val="00D67E9A"/>
    <w:rsid w:val="00D7000F"/>
    <w:rsid w:val="00D70115"/>
    <w:rsid w:val="00D70237"/>
    <w:rsid w:val="00D7025A"/>
    <w:rsid w:val="00D702F5"/>
    <w:rsid w:val="00D70555"/>
    <w:rsid w:val="00D705EB"/>
    <w:rsid w:val="00D706F9"/>
    <w:rsid w:val="00D70C76"/>
    <w:rsid w:val="00D70CF9"/>
    <w:rsid w:val="00D71164"/>
    <w:rsid w:val="00D7135A"/>
    <w:rsid w:val="00D719FB"/>
    <w:rsid w:val="00D71B51"/>
    <w:rsid w:val="00D7215D"/>
    <w:rsid w:val="00D72CF4"/>
    <w:rsid w:val="00D72D23"/>
    <w:rsid w:val="00D72DD0"/>
    <w:rsid w:val="00D732A0"/>
    <w:rsid w:val="00D73448"/>
    <w:rsid w:val="00D73661"/>
    <w:rsid w:val="00D7380E"/>
    <w:rsid w:val="00D73B94"/>
    <w:rsid w:val="00D74125"/>
    <w:rsid w:val="00D7412B"/>
    <w:rsid w:val="00D74238"/>
    <w:rsid w:val="00D74359"/>
    <w:rsid w:val="00D7445B"/>
    <w:rsid w:val="00D74489"/>
    <w:rsid w:val="00D74BBE"/>
    <w:rsid w:val="00D74C41"/>
    <w:rsid w:val="00D74E50"/>
    <w:rsid w:val="00D74E6C"/>
    <w:rsid w:val="00D74EBF"/>
    <w:rsid w:val="00D75363"/>
    <w:rsid w:val="00D754CD"/>
    <w:rsid w:val="00D755CC"/>
    <w:rsid w:val="00D76178"/>
    <w:rsid w:val="00D76232"/>
    <w:rsid w:val="00D7651B"/>
    <w:rsid w:val="00D769AC"/>
    <w:rsid w:val="00D76B71"/>
    <w:rsid w:val="00D76C56"/>
    <w:rsid w:val="00D76EB4"/>
    <w:rsid w:val="00D77144"/>
    <w:rsid w:val="00D7723D"/>
    <w:rsid w:val="00D77254"/>
    <w:rsid w:val="00D772D2"/>
    <w:rsid w:val="00D77855"/>
    <w:rsid w:val="00D77C16"/>
    <w:rsid w:val="00D77CA0"/>
    <w:rsid w:val="00D80508"/>
    <w:rsid w:val="00D8064A"/>
    <w:rsid w:val="00D80CBD"/>
    <w:rsid w:val="00D80D88"/>
    <w:rsid w:val="00D80F26"/>
    <w:rsid w:val="00D80F4A"/>
    <w:rsid w:val="00D80F86"/>
    <w:rsid w:val="00D81241"/>
    <w:rsid w:val="00D81422"/>
    <w:rsid w:val="00D819B5"/>
    <w:rsid w:val="00D81CA7"/>
    <w:rsid w:val="00D820BF"/>
    <w:rsid w:val="00D820FE"/>
    <w:rsid w:val="00D8268C"/>
    <w:rsid w:val="00D8277E"/>
    <w:rsid w:val="00D82E2C"/>
    <w:rsid w:val="00D832FC"/>
    <w:rsid w:val="00D8403D"/>
    <w:rsid w:val="00D840F4"/>
    <w:rsid w:val="00D84112"/>
    <w:rsid w:val="00D8416F"/>
    <w:rsid w:val="00D845DA"/>
    <w:rsid w:val="00D847ED"/>
    <w:rsid w:val="00D84B00"/>
    <w:rsid w:val="00D84B48"/>
    <w:rsid w:val="00D84E56"/>
    <w:rsid w:val="00D84E84"/>
    <w:rsid w:val="00D851FE"/>
    <w:rsid w:val="00D852B8"/>
    <w:rsid w:val="00D8551F"/>
    <w:rsid w:val="00D85549"/>
    <w:rsid w:val="00D8578F"/>
    <w:rsid w:val="00D85FAE"/>
    <w:rsid w:val="00D8614E"/>
    <w:rsid w:val="00D86603"/>
    <w:rsid w:val="00D86671"/>
    <w:rsid w:val="00D866BA"/>
    <w:rsid w:val="00D867AD"/>
    <w:rsid w:val="00D870F5"/>
    <w:rsid w:val="00D877A5"/>
    <w:rsid w:val="00D87838"/>
    <w:rsid w:val="00D87F9B"/>
    <w:rsid w:val="00D9028A"/>
    <w:rsid w:val="00D90E65"/>
    <w:rsid w:val="00D90F81"/>
    <w:rsid w:val="00D91198"/>
    <w:rsid w:val="00D911D3"/>
    <w:rsid w:val="00D913AC"/>
    <w:rsid w:val="00D9151A"/>
    <w:rsid w:val="00D91E62"/>
    <w:rsid w:val="00D9224B"/>
    <w:rsid w:val="00D92348"/>
    <w:rsid w:val="00D92453"/>
    <w:rsid w:val="00D9247C"/>
    <w:rsid w:val="00D92B0E"/>
    <w:rsid w:val="00D92D09"/>
    <w:rsid w:val="00D92DF8"/>
    <w:rsid w:val="00D92F85"/>
    <w:rsid w:val="00D9329B"/>
    <w:rsid w:val="00D93360"/>
    <w:rsid w:val="00D9339A"/>
    <w:rsid w:val="00D9340C"/>
    <w:rsid w:val="00D93781"/>
    <w:rsid w:val="00D938E2"/>
    <w:rsid w:val="00D938F5"/>
    <w:rsid w:val="00D93BCA"/>
    <w:rsid w:val="00D93EB5"/>
    <w:rsid w:val="00D94014"/>
    <w:rsid w:val="00D9411F"/>
    <w:rsid w:val="00D94461"/>
    <w:rsid w:val="00D95111"/>
    <w:rsid w:val="00D9522D"/>
    <w:rsid w:val="00D952BE"/>
    <w:rsid w:val="00D953F4"/>
    <w:rsid w:val="00D9576C"/>
    <w:rsid w:val="00D95994"/>
    <w:rsid w:val="00D95A51"/>
    <w:rsid w:val="00D95AEE"/>
    <w:rsid w:val="00D95B95"/>
    <w:rsid w:val="00D95F03"/>
    <w:rsid w:val="00D960EC"/>
    <w:rsid w:val="00D961C3"/>
    <w:rsid w:val="00D96225"/>
    <w:rsid w:val="00D962CA"/>
    <w:rsid w:val="00D96315"/>
    <w:rsid w:val="00D9649A"/>
    <w:rsid w:val="00D96B8C"/>
    <w:rsid w:val="00D96D6D"/>
    <w:rsid w:val="00D96DC3"/>
    <w:rsid w:val="00D97271"/>
    <w:rsid w:val="00D97381"/>
    <w:rsid w:val="00D9769A"/>
    <w:rsid w:val="00D977B5"/>
    <w:rsid w:val="00D97984"/>
    <w:rsid w:val="00D97A66"/>
    <w:rsid w:val="00D97CA4"/>
    <w:rsid w:val="00DA02F1"/>
    <w:rsid w:val="00DA0396"/>
    <w:rsid w:val="00DA0B39"/>
    <w:rsid w:val="00DA0BD8"/>
    <w:rsid w:val="00DA139E"/>
    <w:rsid w:val="00DA19DE"/>
    <w:rsid w:val="00DA1BF3"/>
    <w:rsid w:val="00DA1C94"/>
    <w:rsid w:val="00DA1E06"/>
    <w:rsid w:val="00DA2046"/>
    <w:rsid w:val="00DA21B0"/>
    <w:rsid w:val="00DA21BB"/>
    <w:rsid w:val="00DA2443"/>
    <w:rsid w:val="00DA25AB"/>
    <w:rsid w:val="00DA27DD"/>
    <w:rsid w:val="00DA27FB"/>
    <w:rsid w:val="00DA284E"/>
    <w:rsid w:val="00DA2AF4"/>
    <w:rsid w:val="00DA2BFA"/>
    <w:rsid w:val="00DA33C9"/>
    <w:rsid w:val="00DA342F"/>
    <w:rsid w:val="00DA34E9"/>
    <w:rsid w:val="00DA36C9"/>
    <w:rsid w:val="00DA3A91"/>
    <w:rsid w:val="00DA3ABE"/>
    <w:rsid w:val="00DA3B6E"/>
    <w:rsid w:val="00DA3C6B"/>
    <w:rsid w:val="00DA3E0C"/>
    <w:rsid w:val="00DA3E8D"/>
    <w:rsid w:val="00DA3F48"/>
    <w:rsid w:val="00DA3F5C"/>
    <w:rsid w:val="00DA3F98"/>
    <w:rsid w:val="00DA4096"/>
    <w:rsid w:val="00DA410A"/>
    <w:rsid w:val="00DA4261"/>
    <w:rsid w:val="00DA435C"/>
    <w:rsid w:val="00DA43CC"/>
    <w:rsid w:val="00DA4634"/>
    <w:rsid w:val="00DA48F4"/>
    <w:rsid w:val="00DA494B"/>
    <w:rsid w:val="00DA4A66"/>
    <w:rsid w:val="00DA4E1E"/>
    <w:rsid w:val="00DA4F20"/>
    <w:rsid w:val="00DA5130"/>
    <w:rsid w:val="00DA5164"/>
    <w:rsid w:val="00DA51FA"/>
    <w:rsid w:val="00DA56B7"/>
    <w:rsid w:val="00DA586D"/>
    <w:rsid w:val="00DA5D77"/>
    <w:rsid w:val="00DA5ECE"/>
    <w:rsid w:val="00DA5F1E"/>
    <w:rsid w:val="00DA5F2E"/>
    <w:rsid w:val="00DA6038"/>
    <w:rsid w:val="00DA6330"/>
    <w:rsid w:val="00DA6555"/>
    <w:rsid w:val="00DA6596"/>
    <w:rsid w:val="00DA6C7F"/>
    <w:rsid w:val="00DA6D1D"/>
    <w:rsid w:val="00DA6FA5"/>
    <w:rsid w:val="00DA76CC"/>
    <w:rsid w:val="00DA79D4"/>
    <w:rsid w:val="00DA79DD"/>
    <w:rsid w:val="00DA7B43"/>
    <w:rsid w:val="00DA7FD4"/>
    <w:rsid w:val="00DB0029"/>
    <w:rsid w:val="00DB07BB"/>
    <w:rsid w:val="00DB086A"/>
    <w:rsid w:val="00DB0A95"/>
    <w:rsid w:val="00DB0BC8"/>
    <w:rsid w:val="00DB12FB"/>
    <w:rsid w:val="00DB1801"/>
    <w:rsid w:val="00DB1D8A"/>
    <w:rsid w:val="00DB1FDE"/>
    <w:rsid w:val="00DB241E"/>
    <w:rsid w:val="00DB246F"/>
    <w:rsid w:val="00DB251B"/>
    <w:rsid w:val="00DB2859"/>
    <w:rsid w:val="00DB28D3"/>
    <w:rsid w:val="00DB2A4E"/>
    <w:rsid w:val="00DB2C49"/>
    <w:rsid w:val="00DB32C7"/>
    <w:rsid w:val="00DB396A"/>
    <w:rsid w:val="00DB43CC"/>
    <w:rsid w:val="00DB4417"/>
    <w:rsid w:val="00DB4715"/>
    <w:rsid w:val="00DB4998"/>
    <w:rsid w:val="00DB4B96"/>
    <w:rsid w:val="00DB4C04"/>
    <w:rsid w:val="00DB4C66"/>
    <w:rsid w:val="00DB4C74"/>
    <w:rsid w:val="00DB4EC0"/>
    <w:rsid w:val="00DB4F8A"/>
    <w:rsid w:val="00DB4FA8"/>
    <w:rsid w:val="00DB51F1"/>
    <w:rsid w:val="00DB52DD"/>
    <w:rsid w:val="00DB52EE"/>
    <w:rsid w:val="00DB5571"/>
    <w:rsid w:val="00DB55C0"/>
    <w:rsid w:val="00DB56F7"/>
    <w:rsid w:val="00DB58D5"/>
    <w:rsid w:val="00DB599E"/>
    <w:rsid w:val="00DB5DD4"/>
    <w:rsid w:val="00DB5F83"/>
    <w:rsid w:val="00DB5F8E"/>
    <w:rsid w:val="00DB6032"/>
    <w:rsid w:val="00DB61F1"/>
    <w:rsid w:val="00DB62A7"/>
    <w:rsid w:val="00DB6457"/>
    <w:rsid w:val="00DB6467"/>
    <w:rsid w:val="00DB6A4D"/>
    <w:rsid w:val="00DB6A68"/>
    <w:rsid w:val="00DB6BBA"/>
    <w:rsid w:val="00DB6D12"/>
    <w:rsid w:val="00DB6D44"/>
    <w:rsid w:val="00DB6DB9"/>
    <w:rsid w:val="00DB6E01"/>
    <w:rsid w:val="00DB6E41"/>
    <w:rsid w:val="00DB76A4"/>
    <w:rsid w:val="00DB7BA2"/>
    <w:rsid w:val="00DB7DA1"/>
    <w:rsid w:val="00DB7FD6"/>
    <w:rsid w:val="00DC038B"/>
    <w:rsid w:val="00DC053E"/>
    <w:rsid w:val="00DC0B27"/>
    <w:rsid w:val="00DC0D36"/>
    <w:rsid w:val="00DC0EC8"/>
    <w:rsid w:val="00DC14FB"/>
    <w:rsid w:val="00DC175B"/>
    <w:rsid w:val="00DC18F1"/>
    <w:rsid w:val="00DC1A45"/>
    <w:rsid w:val="00DC1A76"/>
    <w:rsid w:val="00DC1FF1"/>
    <w:rsid w:val="00DC260A"/>
    <w:rsid w:val="00DC2695"/>
    <w:rsid w:val="00DC2E43"/>
    <w:rsid w:val="00DC2E4A"/>
    <w:rsid w:val="00DC30C0"/>
    <w:rsid w:val="00DC3646"/>
    <w:rsid w:val="00DC36F2"/>
    <w:rsid w:val="00DC3C6A"/>
    <w:rsid w:val="00DC3C87"/>
    <w:rsid w:val="00DC3E4D"/>
    <w:rsid w:val="00DC3F9F"/>
    <w:rsid w:val="00DC4678"/>
    <w:rsid w:val="00DC493B"/>
    <w:rsid w:val="00DC49B1"/>
    <w:rsid w:val="00DC4C10"/>
    <w:rsid w:val="00DC550F"/>
    <w:rsid w:val="00DC5803"/>
    <w:rsid w:val="00DC5D27"/>
    <w:rsid w:val="00DC5E4D"/>
    <w:rsid w:val="00DC5E57"/>
    <w:rsid w:val="00DC5F2B"/>
    <w:rsid w:val="00DC63E5"/>
    <w:rsid w:val="00DC6449"/>
    <w:rsid w:val="00DC6655"/>
    <w:rsid w:val="00DC68B1"/>
    <w:rsid w:val="00DC6957"/>
    <w:rsid w:val="00DC6CEC"/>
    <w:rsid w:val="00DC77B3"/>
    <w:rsid w:val="00DC79AB"/>
    <w:rsid w:val="00DC7AC4"/>
    <w:rsid w:val="00DC7B3A"/>
    <w:rsid w:val="00DC7BBD"/>
    <w:rsid w:val="00DC7E6A"/>
    <w:rsid w:val="00DD032B"/>
    <w:rsid w:val="00DD0627"/>
    <w:rsid w:val="00DD0669"/>
    <w:rsid w:val="00DD06BA"/>
    <w:rsid w:val="00DD07C0"/>
    <w:rsid w:val="00DD0906"/>
    <w:rsid w:val="00DD0EAA"/>
    <w:rsid w:val="00DD11C5"/>
    <w:rsid w:val="00DD1287"/>
    <w:rsid w:val="00DD1882"/>
    <w:rsid w:val="00DD18B5"/>
    <w:rsid w:val="00DD18E4"/>
    <w:rsid w:val="00DD18ED"/>
    <w:rsid w:val="00DD1BA8"/>
    <w:rsid w:val="00DD1C78"/>
    <w:rsid w:val="00DD1CF2"/>
    <w:rsid w:val="00DD1E85"/>
    <w:rsid w:val="00DD2156"/>
    <w:rsid w:val="00DD22BD"/>
    <w:rsid w:val="00DD26BB"/>
    <w:rsid w:val="00DD27AF"/>
    <w:rsid w:val="00DD2961"/>
    <w:rsid w:val="00DD2B61"/>
    <w:rsid w:val="00DD2E92"/>
    <w:rsid w:val="00DD3596"/>
    <w:rsid w:val="00DD35CD"/>
    <w:rsid w:val="00DD3811"/>
    <w:rsid w:val="00DD3A38"/>
    <w:rsid w:val="00DD3B4E"/>
    <w:rsid w:val="00DD3C4F"/>
    <w:rsid w:val="00DD3C65"/>
    <w:rsid w:val="00DD3E55"/>
    <w:rsid w:val="00DD3EB2"/>
    <w:rsid w:val="00DD3F9F"/>
    <w:rsid w:val="00DD420C"/>
    <w:rsid w:val="00DD424B"/>
    <w:rsid w:val="00DD43E3"/>
    <w:rsid w:val="00DD450F"/>
    <w:rsid w:val="00DD459A"/>
    <w:rsid w:val="00DD46BA"/>
    <w:rsid w:val="00DD4732"/>
    <w:rsid w:val="00DD4744"/>
    <w:rsid w:val="00DD4996"/>
    <w:rsid w:val="00DD49B2"/>
    <w:rsid w:val="00DD4D99"/>
    <w:rsid w:val="00DD55DC"/>
    <w:rsid w:val="00DD55DD"/>
    <w:rsid w:val="00DD5926"/>
    <w:rsid w:val="00DD5A0D"/>
    <w:rsid w:val="00DD5B14"/>
    <w:rsid w:val="00DD6AF5"/>
    <w:rsid w:val="00DD6BA5"/>
    <w:rsid w:val="00DD6ED6"/>
    <w:rsid w:val="00DD75FB"/>
    <w:rsid w:val="00DD769A"/>
    <w:rsid w:val="00DD7719"/>
    <w:rsid w:val="00DD78A9"/>
    <w:rsid w:val="00DE010F"/>
    <w:rsid w:val="00DE0146"/>
    <w:rsid w:val="00DE01D1"/>
    <w:rsid w:val="00DE09A8"/>
    <w:rsid w:val="00DE0A54"/>
    <w:rsid w:val="00DE0CFB"/>
    <w:rsid w:val="00DE0EB4"/>
    <w:rsid w:val="00DE0F35"/>
    <w:rsid w:val="00DE10A1"/>
    <w:rsid w:val="00DE11E8"/>
    <w:rsid w:val="00DE1718"/>
    <w:rsid w:val="00DE174C"/>
    <w:rsid w:val="00DE1E10"/>
    <w:rsid w:val="00DE1E75"/>
    <w:rsid w:val="00DE1F3D"/>
    <w:rsid w:val="00DE23BE"/>
    <w:rsid w:val="00DE2468"/>
    <w:rsid w:val="00DE24EC"/>
    <w:rsid w:val="00DE25E5"/>
    <w:rsid w:val="00DE25FF"/>
    <w:rsid w:val="00DE2F9B"/>
    <w:rsid w:val="00DE302D"/>
    <w:rsid w:val="00DE3150"/>
    <w:rsid w:val="00DE3280"/>
    <w:rsid w:val="00DE3372"/>
    <w:rsid w:val="00DE33B4"/>
    <w:rsid w:val="00DE3583"/>
    <w:rsid w:val="00DE37FB"/>
    <w:rsid w:val="00DE3892"/>
    <w:rsid w:val="00DE38D8"/>
    <w:rsid w:val="00DE39EB"/>
    <w:rsid w:val="00DE3B0B"/>
    <w:rsid w:val="00DE3E05"/>
    <w:rsid w:val="00DE3F76"/>
    <w:rsid w:val="00DE434B"/>
    <w:rsid w:val="00DE4812"/>
    <w:rsid w:val="00DE492B"/>
    <w:rsid w:val="00DE4962"/>
    <w:rsid w:val="00DE4C93"/>
    <w:rsid w:val="00DE518A"/>
    <w:rsid w:val="00DE53ED"/>
    <w:rsid w:val="00DE54BB"/>
    <w:rsid w:val="00DE54FB"/>
    <w:rsid w:val="00DE5BD9"/>
    <w:rsid w:val="00DE6011"/>
    <w:rsid w:val="00DE614D"/>
    <w:rsid w:val="00DE63AF"/>
    <w:rsid w:val="00DE6725"/>
    <w:rsid w:val="00DE67D1"/>
    <w:rsid w:val="00DE6EA0"/>
    <w:rsid w:val="00DE6FD7"/>
    <w:rsid w:val="00DE700C"/>
    <w:rsid w:val="00DE72AE"/>
    <w:rsid w:val="00DE72B7"/>
    <w:rsid w:val="00DE7B35"/>
    <w:rsid w:val="00DF04A7"/>
    <w:rsid w:val="00DF0914"/>
    <w:rsid w:val="00DF0E06"/>
    <w:rsid w:val="00DF0E25"/>
    <w:rsid w:val="00DF0E3D"/>
    <w:rsid w:val="00DF0E9B"/>
    <w:rsid w:val="00DF0EA6"/>
    <w:rsid w:val="00DF105B"/>
    <w:rsid w:val="00DF1089"/>
    <w:rsid w:val="00DF120B"/>
    <w:rsid w:val="00DF135B"/>
    <w:rsid w:val="00DF1448"/>
    <w:rsid w:val="00DF18B1"/>
    <w:rsid w:val="00DF18E7"/>
    <w:rsid w:val="00DF1A08"/>
    <w:rsid w:val="00DF1A3C"/>
    <w:rsid w:val="00DF1DE4"/>
    <w:rsid w:val="00DF1F20"/>
    <w:rsid w:val="00DF2634"/>
    <w:rsid w:val="00DF279E"/>
    <w:rsid w:val="00DF2A9B"/>
    <w:rsid w:val="00DF2B0C"/>
    <w:rsid w:val="00DF2B59"/>
    <w:rsid w:val="00DF2F16"/>
    <w:rsid w:val="00DF33B5"/>
    <w:rsid w:val="00DF3448"/>
    <w:rsid w:val="00DF352B"/>
    <w:rsid w:val="00DF35B0"/>
    <w:rsid w:val="00DF39B9"/>
    <w:rsid w:val="00DF3BFA"/>
    <w:rsid w:val="00DF3DF5"/>
    <w:rsid w:val="00DF3EC6"/>
    <w:rsid w:val="00DF4259"/>
    <w:rsid w:val="00DF46E6"/>
    <w:rsid w:val="00DF4909"/>
    <w:rsid w:val="00DF49B9"/>
    <w:rsid w:val="00DF49FE"/>
    <w:rsid w:val="00DF4C8D"/>
    <w:rsid w:val="00DF4E3D"/>
    <w:rsid w:val="00DF5502"/>
    <w:rsid w:val="00DF58C5"/>
    <w:rsid w:val="00DF59FC"/>
    <w:rsid w:val="00DF5BE6"/>
    <w:rsid w:val="00DF5C03"/>
    <w:rsid w:val="00DF5CE4"/>
    <w:rsid w:val="00DF5CFA"/>
    <w:rsid w:val="00DF5ED4"/>
    <w:rsid w:val="00DF6056"/>
    <w:rsid w:val="00DF6207"/>
    <w:rsid w:val="00DF62AA"/>
    <w:rsid w:val="00DF64D5"/>
    <w:rsid w:val="00DF69B5"/>
    <w:rsid w:val="00DF6B7D"/>
    <w:rsid w:val="00DF6E18"/>
    <w:rsid w:val="00DF7094"/>
    <w:rsid w:val="00DF7126"/>
    <w:rsid w:val="00DF718E"/>
    <w:rsid w:val="00DF7349"/>
    <w:rsid w:val="00DF788F"/>
    <w:rsid w:val="00DF7969"/>
    <w:rsid w:val="00DF7AA8"/>
    <w:rsid w:val="00DF7B64"/>
    <w:rsid w:val="00DF7C4D"/>
    <w:rsid w:val="00DF7DB3"/>
    <w:rsid w:val="00E00452"/>
    <w:rsid w:val="00E005B2"/>
    <w:rsid w:val="00E00677"/>
    <w:rsid w:val="00E00BE8"/>
    <w:rsid w:val="00E00C3A"/>
    <w:rsid w:val="00E00FE8"/>
    <w:rsid w:val="00E012B7"/>
    <w:rsid w:val="00E0138C"/>
    <w:rsid w:val="00E014FC"/>
    <w:rsid w:val="00E01A9B"/>
    <w:rsid w:val="00E01D3B"/>
    <w:rsid w:val="00E01EA4"/>
    <w:rsid w:val="00E01EF1"/>
    <w:rsid w:val="00E02AE6"/>
    <w:rsid w:val="00E02C48"/>
    <w:rsid w:val="00E02EC8"/>
    <w:rsid w:val="00E02FB5"/>
    <w:rsid w:val="00E031B0"/>
    <w:rsid w:val="00E03510"/>
    <w:rsid w:val="00E03CD9"/>
    <w:rsid w:val="00E03DDD"/>
    <w:rsid w:val="00E03FBB"/>
    <w:rsid w:val="00E045AE"/>
    <w:rsid w:val="00E0493C"/>
    <w:rsid w:val="00E04967"/>
    <w:rsid w:val="00E049ED"/>
    <w:rsid w:val="00E04DA9"/>
    <w:rsid w:val="00E0505A"/>
    <w:rsid w:val="00E054A0"/>
    <w:rsid w:val="00E05503"/>
    <w:rsid w:val="00E058D1"/>
    <w:rsid w:val="00E061A9"/>
    <w:rsid w:val="00E06874"/>
    <w:rsid w:val="00E06DB3"/>
    <w:rsid w:val="00E07340"/>
    <w:rsid w:val="00E0791D"/>
    <w:rsid w:val="00E07C10"/>
    <w:rsid w:val="00E10034"/>
    <w:rsid w:val="00E101E7"/>
    <w:rsid w:val="00E1032A"/>
    <w:rsid w:val="00E103BF"/>
    <w:rsid w:val="00E104DE"/>
    <w:rsid w:val="00E10536"/>
    <w:rsid w:val="00E105C0"/>
    <w:rsid w:val="00E10844"/>
    <w:rsid w:val="00E109F8"/>
    <w:rsid w:val="00E10A51"/>
    <w:rsid w:val="00E10B21"/>
    <w:rsid w:val="00E10B66"/>
    <w:rsid w:val="00E10CCD"/>
    <w:rsid w:val="00E11321"/>
    <w:rsid w:val="00E113CC"/>
    <w:rsid w:val="00E1184B"/>
    <w:rsid w:val="00E11AED"/>
    <w:rsid w:val="00E11CC3"/>
    <w:rsid w:val="00E1218C"/>
    <w:rsid w:val="00E1240B"/>
    <w:rsid w:val="00E12C12"/>
    <w:rsid w:val="00E12E1A"/>
    <w:rsid w:val="00E12E7C"/>
    <w:rsid w:val="00E13423"/>
    <w:rsid w:val="00E138C9"/>
    <w:rsid w:val="00E13AD3"/>
    <w:rsid w:val="00E13C10"/>
    <w:rsid w:val="00E13D05"/>
    <w:rsid w:val="00E13D9B"/>
    <w:rsid w:val="00E14242"/>
    <w:rsid w:val="00E143BB"/>
    <w:rsid w:val="00E14619"/>
    <w:rsid w:val="00E1469E"/>
    <w:rsid w:val="00E14735"/>
    <w:rsid w:val="00E14CC5"/>
    <w:rsid w:val="00E14DA8"/>
    <w:rsid w:val="00E14E5D"/>
    <w:rsid w:val="00E14FAC"/>
    <w:rsid w:val="00E1515F"/>
    <w:rsid w:val="00E1529B"/>
    <w:rsid w:val="00E1637D"/>
    <w:rsid w:val="00E1646E"/>
    <w:rsid w:val="00E16761"/>
    <w:rsid w:val="00E16863"/>
    <w:rsid w:val="00E16E7C"/>
    <w:rsid w:val="00E17283"/>
    <w:rsid w:val="00E174B3"/>
    <w:rsid w:val="00E17846"/>
    <w:rsid w:val="00E179B7"/>
    <w:rsid w:val="00E17D0F"/>
    <w:rsid w:val="00E20199"/>
    <w:rsid w:val="00E2021F"/>
    <w:rsid w:val="00E20346"/>
    <w:rsid w:val="00E20513"/>
    <w:rsid w:val="00E20523"/>
    <w:rsid w:val="00E2085B"/>
    <w:rsid w:val="00E20CF5"/>
    <w:rsid w:val="00E2149C"/>
    <w:rsid w:val="00E21511"/>
    <w:rsid w:val="00E21CBA"/>
    <w:rsid w:val="00E21EB0"/>
    <w:rsid w:val="00E21F9F"/>
    <w:rsid w:val="00E220C6"/>
    <w:rsid w:val="00E2211A"/>
    <w:rsid w:val="00E22129"/>
    <w:rsid w:val="00E22156"/>
    <w:rsid w:val="00E2217C"/>
    <w:rsid w:val="00E2260E"/>
    <w:rsid w:val="00E228F1"/>
    <w:rsid w:val="00E22B2E"/>
    <w:rsid w:val="00E22B2F"/>
    <w:rsid w:val="00E22BDF"/>
    <w:rsid w:val="00E22EA1"/>
    <w:rsid w:val="00E23241"/>
    <w:rsid w:val="00E232CD"/>
    <w:rsid w:val="00E23312"/>
    <w:rsid w:val="00E23581"/>
    <w:rsid w:val="00E236D7"/>
    <w:rsid w:val="00E23AB9"/>
    <w:rsid w:val="00E23E92"/>
    <w:rsid w:val="00E24060"/>
    <w:rsid w:val="00E2406E"/>
    <w:rsid w:val="00E241ED"/>
    <w:rsid w:val="00E24817"/>
    <w:rsid w:val="00E24853"/>
    <w:rsid w:val="00E248C3"/>
    <w:rsid w:val="00E24AD8"/>
    <w:rsid w:val="00E24CBE"/>
    <w:rsid w:val="00E25118"/>
    <w:rsid w:val="00E2540C"/>
    <w:rsid w:val="00E2576A"/>
    <w:rsid w:val="00E257B5"/>
    <w:rsid w:val="00E25A04"/>
    <w:rsid w:val="00E26120"/>
    <w:rsid w:val="00E26578"/>
    <w:rsid w:val="00E26A82"/>
    <w:rsid w:val="00E26C1E"/>
    <w:rsid w:val="00E26E04"/>
    <w:rsid w:val="00E26EDA"/>
    <w:rsid w:val="00E271C5"/>
    <w:rsid w:val="00E27671"/>
    <w:rsid w:val="00E279A4"/>
    <w:rsid w:val="00E27CDE"/>
    <w:rsid w:val="00E3026A"/>
    <w:rsid w:val="00E3047B"/>
    <w:rsid w:val="00E306CC"/>
    <w:rsid w:val="00E30C85"/>
    <w:rsid w:val="00E30DA7"/>
    <w:rsid w:val="00E3107B"/>
    <w:rsid w:val="00E3113E"/>
    <w:rsid w:val="00E31172"/>
    <w:rsid w:val="00E3125F"/>
    <w:rsid w:val="00E31338"/>
    <w:rsid w:val="00E318A1"/>
    <w:rsid w:val="00E319A1"/>
    <w:rsid w:val="00E31B0D"/>
    <w:rsid w:val="00E31B69"/>
    <w:rsid w:val="00E31D4C"/>
    <w:rsid w:val="00E31F78"/>
    <w:rsid w:val="00E31F91"/>
    <w:rsid w:val="00E32081"/>
    <w:rsid w:val="00E32151"/>
    <w:rsid w:val="00E32213"/>
    <w:rsid w:val="00E325CF"/>
    <w:rsid w:val="00E328E6"/>
    <w:rsid w:val="00E3291F"/>
    <w:rsid w:val="00E32B70"/>
    <w:rsid w:val="00E32B85"/>
    <w:rsid w:val="00E32BF4"/>
    <w:rsid w:val="00E32CEE"/>
    <w:rsid w:val="00E32DFF"/>
    <w:rsid w:val="00E32F23"/>
    <w:rsid w:val="00E32FE3"/>
    <w:rsid w:val="00E3352B"/>
    <w:rsid w:val="00E337D2"/>
    <w:rsid w:val="00E340F3"/>
    <w:rsid w:val="00E3433B"/>
    <w:rsid w:val="00E34621"/>
    <w:rsid w:val="00E3499A"/>
    <w:rsid w:val="00E34B7F"/>
    <w:rsid w:val="00E35037"/>
    <w:rsid w:val="00E354B0"/>
    <w:rsid w:val="00E3554B"/>
    <w:rsid w:val="00E355EC"/>
    <w:rsid w:val="00E357E8"/>
    <w:rsid w:val="00E35860"/>
    <w:rsid w:val="00E36044"/>
    <w:rsid w:val="00E36194"/>
    <w:rsid w:val="00E366CC"/>
    <w:rsid w:val="00E36850"/>
    <w:rsid w:val="00E36E3B"/>
    <w:rsid w:val="00E36E6C"/>
    <w:rsid w:val="00E3754C"/>
    <w:rsid w:val="00E37752"/>
    <w:rsid w:val="00E37A4A"/>
    <w:rsid w:val="00E37BF7"/>
    <w:rsid w:val="00E37CF8"/>
    <w:rsid w:val="00E4024D"/>
    <w:rsid w:val="00E402C5"/>
    <w:rsid w:val="00E4063E"/>
    <w:rsid w:val="00E40891"/>
    <w:rsid w:val="00E40CF7"/>
    <w:rsid w:val="00E410F9"/>
    <w:rsid w:val="00E41298"/>
    <w:rsid w:val="00E4135F"/>
    <w:rsid w:val="00E41415"/>
    <w:rsid w:val="00E414BD"/>
    <w:rsid w:val="00E41787"/>
    <w:rsid w:val="00E41979"/>
    <w:rsid w:val="00E420B3"/>
    <w:rsid w:val="00E428DE"/>
    <w:rsid w:val="00E429AB"/>
    <w:rsid w:val="00E42AE2"/>
    <w:rsid w:val="00E42BD4"/>
    <w:rsid w:val="00E42D1B"/>
    <w:rsid w:val="00E430F7"/>
    <w:rsid w:val="00E43531"/>
    <w:rsid w:val="00E43584"/>
    <w:rsid w:val="00E43782"/>
    <w:rsid w:val="00E43AB5"/>
    <w:rsid w:val="00E43BD7"/>
    <w:rsid w:val="00E43BFB"/>
    <w:rsid w:val="00E43D34"/>
    <w:rsid w:val="00E43DEB"/>
    <w:rsid w:val="00E43EBC"/>
    <w:rsid w:val="00E44071"/>
    <w:rsid w:val="00E44116"/>
    <w:rsid w:val="00E445E6"/>
    <w:rsid w:val="00E448DF"/>
    <w:rsid w:val="00E44B95"/>
    <w:rsid w:val="00E44CE8"/>
    <w:rsid w:val="00E44DF3"/>
    <w:rsid w:val="00E4542F"/>
    <w:rsid w:val="00E456FE"/>
    <w:rsid w:val="00E45C6B"/>
    <w:rsid w:val="00E45E19"/>
    <w:rsid w:val="00E45E57"/>
    <w:rsid w:val="00E46482"/>
    <w:rsid w:val="00E465B1"/>
    <w:rsid w:val="00E46723"/>
    <w:rsid w:val="00E46788"/>
    <w:rsid w:val="00E46C3B"/>
    <w:rsid w:val="00E46EBB"/>
    <w:rsid w:val="00E46FC3"/>
    <w:rsid w:val="00E47299"/>
    <w:rsid w:val="00E47345"/>
    <w:rsid w:val="00E4749E"/>
    <w:rsid w:val="00E47560"/>
    <w:rsid w:val="00E476B9"/>
    <w:rsid w:val="00E47707"/>
    <w:rsid w:val="00E47937"/>
    <w:rsid w:val="00E479B7"/>
    <w:rsid w:val="00E479F1"/>
    <w:rsid w:val="00E47C6E"/>
    <w:rsid w:val="00E47EE4"/>
    <w:rsid w:val="00E50004"/>
    <w:rsid w:val="00E502C4"/>
    <w:rsid w:val="00E50507"/>
    <w:rsid w:val="00E50519"/>
    <w:rsid w:val="00E5063F"/>
    <w:rsid w:val="00E507F3"/>
    <w:rsid w:val="00E50818"/>
    <w:rsid w:val="00E50940"/>
    <w:rsid w:val="00E509DA"/>
    <w:rsid w:val="00E50BC3"/>
    <w:rsid w:val="00E50E7F"/>
    <w:rsid w:val="00E5109F"/>
    <w:rsid w:val="00E51689"/>
    <w:rsid w:val="00E518B4"/>
    <w:rsid w:val="00E519F6"/>
    <w:rsid w:val="00E51B62"/>
    <w:rsid w:val="00E51DE1"/>
    <w:rsid w:val="00E51EF8"/>
    <w:rsid w:val="00E51FA4"/>
    <w:rsid w:val="00E5218D"/>
    <w:rsid w:val="00E52240"/>
    <w:rsid w:val="00E52303"/>
    <w:rsid w:val="00E52A30"/>
    <w:rsid w:val="00E53050"/>
    <w:rsid w:val="00E53051"/>
    <w:rsid w:val="00E53452"/>
    <w:rsid w:val="00E53758"/>
    <w:rsid w:val="00E537E0"/>
    <w:rsid w:val="00E53AC9"/>
    <w:rsid w:val="00E53BE2"/>
    <w:rsid w:val="00E54063"/>
    <w:rsid w:val="00E54445"/>
    <w:rsid w:val="00E545AE"/>
    <w:rsid w:val="00E5488F"/>
    <w:rsid w:val="00E54DAF"/>
    <w:rsid w:val="00E54F0F"/>
    <w:rsid w:val="00E54F6C"/>
    <w:rsid w:val="00E550D7"/>
    <w:rsid w:val="00E55302"/>
    <w:rsid w:val="00E55CE8"/>
    <w:rsid w:val="00E55DB9"/>
    <w:rsid w:val="00E55EE8"/>
    <w:rsid w:val="00E55F1A"/>
    <w:rsid w:val="00E5608F"/>
    <w:rsid w:val="00E562E3"/>
    <w:rsid w:val="00E563F9"/>
    <w:rsid w:val="00E56578"/>
    <w:rsid w:val="00E5657F"/>
    <w:rsid w:val="00E566FE"/>
    <w:rsid w:val="00E568A6"/>
    <w:rsid w:val="00E569E1"/>
    <w:rsid w:val="00E56A36"/>
    <w:rsid w:val="00E56AD8"/>
    <w:rsid w:val="00E56D84"/>
    <w:rsid w:val="00E56FC2"/>
    <w:rsid w:val="00E5737E"/>
    <w:rsid w:val="00E57B16"/>
    <w:rsid w:val="00E57BEA"/>
    <w:rsid w:val="00E57C50"/>
    <w:rsid w:val="00E57D16"/>
    <w:rsid w:val="00E6031D"/>
    <w:rsid w:val="00E6065C"/>
    <w:rsid w:val="00E608D4"/>
    <w:rsid w:val="00E60D4A"/>
    <w:rsid w:val="00E6149E"/>
    <w:rsid w:val="00E61582"/>
    <w:rsid w:val="00E61BC6"/>
    <w:rsid w:val="00E61BF8"/>
    <w:rsid w:val="00E61C7C"/>
    <w:rsid w:val="00E61C8D"/>
    <w:rsid w:val="00E61CE3"/>
    <w:rsid w:val="00E61D6D"/>
    <w:rsid w:val="00E61FAE"/>
    <w:rsid w:val="00E6202C"/>
    <w:rsid w:val="00E621DE"/>
    <w:rsid w:val="00E62581"/>
    <w:rsid w:val="00E62A77"/>
    <w:rsid w:val="00E62B9B"/>
    <w:rsid w:val="00E62C54"/>
    <w:rsid w:val="00E6327E"/>
    <w:rsid w:val="00E63422"/>
    <w:rsid w:val="00E63492"/>
    <w:rsid w:val="00E638DE"/>
    <w:rsid w:val="00E63F86"/>
    <w:rsid w:val="00E63FA1"/>
    <w:rsid w:val="00E6409F"/>
    <w:rsid w:val="00E64389"/>
    <w:rsid w:val="00E646E9"/>
    <w:rsid w:val="00E647FC"/>
    <w:rsid w:val="00E64A7A"/>
    <w:rsid w:val="00E651E9"/>
    <w:rsid w:val="00E65379"/>
    <w:rsid w:val="00E653E3"/>
    <w:rsid w:val="00E6547D"/>
    <w:rsid w:val="00E6566C"/>
    <w:rsid w:val="00E656B1"/>
    <w:rsid w:val="00E65916"/>
    <w:rsid w:val="00E65930"/>
    <w:rsid w:val="00E659AC"/>
    <w:rsid w:val="00E65BE7"/>
    <w:rsid w:val="00E65D40"/>
    <w:rsid w:val="00E65E36"/>
    <w:rsid w:val="00E65F84"/>
    <w:rsid w:val="00E65FAA"/>
    <w:rsid w:val="00E660D3"/>
    <w:rsid w:val="00E663A7"/>
    <w:rsid w:val="00E6681F"/>
    <w:rsid w:val="00E668FA"/>
    <w:rsid w:val="00E66E7F"/>
    <w:rsid w:val="00E671C6"/>
    <w:rsid w:val="00E671FB"/>
    <w:rsid w:val="00E67505"/>
    <w:rsid w:val="00E67806"/>
    <w:rsid w:val="00E67C73"/>
    <w:rsid w:val="00E67DCB"/>
    <w:rsid w:val="00E700E8"/>
    <w:rsid w:val="00E7020F"/>
    <w:rsid w:val="00E70210"/>
    <w:rsid w:val="00E70625"/>
    <w:rsid w:val="00E7077D"/>
    <w:rsid w:val="00E70B24"/>
    <w:rsid w:val="00E70B5D"/>
    <w:rsid w:val="00E70B64"/>
    <w:rsid w:val="00E70D62"/>
    <w:rsid w:val="00E7104C"/>
    <w:rsid w:val="00E711F6"/>
    <w:rsid w:val="00E71507"/>
    <w:rsid w:val="00E71514"/>
    <w:rsid w:val="00E71A45"/>
    <w:rsid w:val="00E71AEA"/>
    <w:rsid w:val="00E71C5A"/>
    <w:rsid w:val="00E71C8F"/>
    <w:rsid w:val="00E7206B"/>
    <w:rsid w:val="00E721AE"/>
    <w:rsid w:val="00E72379"/>
    <w:rsid w:val="00E72A79"/>
    <w:rsid w:val="00E7381B"/>
    <w:rsid w:val="00E73D39"/>
    <w:rsid w:val="00E73D75"/>
    <w:rsid w:val="00E745D8"/>
    <w:rsid w:val="00E7496F"/>
    <w:rsid w:val="00E74A02"/>
    <w:rsid w:val="00E74A33"/>
    <w:rsid w:val="00E74B25"/>
    <w:rsid w:val="00E74F91"/>
    <w:rsid w:val="00E75298"/>
    <w:rsid w:val="00E758CC"/>
    <w:rsid w:val="00E75EB0"/>
    <w:rsid w:val="00E75FF7"/>
    <w:rsid w:val="00E762C4"/>
    <w:rsid w:val="00E76646"/>
    <w:rsid w:val="00E7676C"/>
    <w:rsid w:val="00E76B87"/>
    <w:rsid w:val="00E7729C"/>
    <w:rsid w:val="00E773EE"/>
    <w:rsid w:val="00E77405"/>
    <w:rsid w:val="00E77743"/>
    <w:rsid w:val="00E77897"/>
    <w:rsid w:val="00E779EE"/>
    <w:rsid w:val="00E77ACE"/>
    <w:rsid w:val="00E77E2D"/>
    <w:rsid w:val="00E80136"/>
    <w:rsid w:val="00E807CF"/>
    <w:rsid w:val="00E80BF2"/>
    <w:rsid w:val="00E80ECA"/>
    <w:rsid w:val="00E81150"/>
    <w:rsid w:val="00E813A3"/>
    <w:rsid w:val="00E813E9"/>
    <w:rsid w:val="00E815CF"/>
    <w:rsid w:val="00E817D9"/>
    <w:rsid w:val="00E81987"/>
    <w:rsid w:val="00E81D56"/>
    <w:rsid w:val="00E824A7"/>
    <w:rsid w:val="00E82739"/>
    <w:rsid w:val="00E827A2"/>
    <w:rsid w:val="00E82966"/>
    <w:rsid w:val="00E82A9F"/>
    <w:rsid w:val="00E82D75"/>
    <w:rsid w:val="00E82EB7"/>
    <w:rsid w:val="00E83534"/>
    <w:rsid w:val="00E8368C"/>
    <w:rsid w:val="00E838A6"/>
    <w:rsid w:val="00E8395E"/>
    <w:rsid w:val="00E83B42"/>
    <w:rsid w:val="00E83CD3"/>
    <w:rsid w:val="00E84059"/>
    <w:rsid w:val="00E843BE"/>
    <w:rsid w:val="00E84BD6"/>
    <w:rsid w:val="00E851F4"/>
    <w:rsid w:val="00E854A2"/>
    <w:rsid w:val="00E855EB"/>
    <w:rsid w:val="00E85B70"/>
    <w:rsid w:val="00E85BDC"/>
    <w:rsid w:val="00E85CD1"/>
    <w:rsid w:val="00E8611F"/>
    <w:rsid w:val="00E862C8"/>
    <w:rsid w:val="00E86487"/>
    <w:rsid w:val="00E869C5"/>
    <w:rsid w:val="00E8714C"/>
    <w:rsid w:val="00E8745D"/>
    <w:rsid w:val="00E8754B"/>
    <w:rsid w:val="00E875CE"/>
    <w:rsid w:val="00E87856"/>
    <w:rsid w:val="00E87B51"/>
    <w:rsid w:val="00E87B93"/>
    <w:rsid w:val="00E900EE"/>
    <w:rsid w:val="00E9019B"/>
    <w:rsid w:val="00E902BA"/>
    <w:rsid w:val="00E90368"/>
    <w:rsid w:val="00E9068C"/>
    <w:rsid w:val="00E90A0A"/>
    <w:rsid w:val="00E90C89"/>
    <w:rsid w:val="00E913D8"/>
    <w:rsid w:val="00E91686"/>
    <w:rsid w:val="00E91708"/>
    <w:rsid w:val="00E91821"/>
    <w:rsid w:val="00E91838"/>
    <w:rsid w:val="00E91849"/>
    <w:rsid w:val="00E91A6F"/>
    <w:rsid w:val="00E91BDC"/>
    <w:rsid w:val="00E91CA8"/>
    <w:rsid w:val="00E91DFC"/>
    <w:rsid w:val="00E921CC"/>
    <w:rsid w:val="00E92456"/>
    <w:rsid w:val="00E92676"/>
    <w:rsid w:val="00E92745"/>
    <w:rsid w:val="00E927C8"/>
    <w:rsid w:val="00E929CD"/>
    <w:rsid w:val="00E92B8A"/>
    <w:rsid w:val="00E92B96"/>
    <w:rsid w:val="00E92BB2"/>
    <w:rsid w:val="00E92D75"/>
    <w:rsid w:val="00E9302A"/>
    <w:rsid w:val="00E93081"/>
    <w:rsid w:val="00E9313E"/>
    <w:rsid w:val="00E931BB"/>
    <w:rsid w:val="00E936B3"/>
    <w:rsid w:val="00E93755"/>
    <w:rsid w:val="00E93937"/>
    <w:rsid w:val="00E93A15"/>
    <w:rsid w:val="00E93BE9"/>
    <w:rsid w:val="00E942B1"/>
    <w:rsid w:val="00E94358"/>
    <w:rsid w:val="00E9435F"/>
    <w:rsid w:val="00E94577"/>
    <w:rsid w:val="00E94908"/>
    <w:rsid w:val="00E94A6F"/>
    <w:rsid w:val="00E94B60"/>
    <w:rsid w:val="00E94BF7"/>
    <w:rsid w:val="00E95365"/>
    <w:rsid w:val="00E95807"/>
    <w:rsid w:val="00E95F0F"/>
    <w:rsid w:val="00E96121"/>
    <w:rsid w:val="00E96274"/>
    <w:rsid w:val="00E9654E"/>
    <w:rsid w:val="00E96691"/>
    <w:rsid w:val="00E968B0"/>
    <w:rsid w:val="00E96949"/>
    <w:rsid w:val="00E96B16"/>
    <w:rsid w:val="00E96E04"/>
    <w:rsid w:val="00E97395"/>
    <w:rsid w:val="00E97414"/>
    <w:rsid w:val="00E97478"/>
    <w:rsid w:val="00E97524"/>
    <w:rsid w:val="00E975AD"/>
    <w:rsid w:val="00E975C3"/>
    <w:rsid w:val="00E97792"/>
    <w:rsid w:val="00E977E0"/>
    <w:rsid w:val="00E978EF"/>
    <w:rsid w:val="00E97B89"/>
    <w:rsid w:val="00E97BB5"/>
    <w:rsid w:val="00E97EDD"/>
    <w:rsid w:val="00EA0104"/>
    <w:rsid w:val="00EA012C"/>
    <w:rsid w:val="00EA033D"/>
    <w:rsid w:val="00EA05A0"/>
    <w:rsid w:val="00EA0858"/>
    <w:rsid w:val="00EA0AA1"/>
    <w:rsid w:val="00EA0D06"/>
    <w:rsid w:val="00EA0F7E"/>
    <w:rsid w:val="00EA0F9C"/>
    <w:rsid w:val="00EA1255"/>
    <w:rsid w:val="00EA136C"/>
    <w:rsid w:val="00EA14B5"/>
    <w:rsid w:val="00EA1693"/>
    <w:rsid w:val="00EA16E7"/>
    <w:rsid w:val="00EA1746"/>
    <w:rsid w:val="00EA1C4B"/>
    <w:rsid w:val="00EA1F5C"/>
    <w:rsid w:val="00EA2014"/>
    <w:rsid w:val="00EA2057"/>
    <w:rsid w:val="00EA209B"/>
    <w:rsid w:val="00EA2111"/>
    <w:rsid w:val="00EA240F"/>
    <w:rsid w:val="00EA2565"/>
    <w:rsid w:val="00EA2A69"/>
    <w:rsid w:val="00EA2BD1"/>
    <w:rsid w:val="00EA30EA"/>
    <w:rsid w:val="00EA338D"/>
    <w:rsid w:val="00EA33AC"/>
    <w:rsid w:val="00EA34EE"/>
    <w:rsid w:val="00EA3501"/>
    <w:rsid w:val="00EA37D6"/>
    <w:rsid w:val="00EA3AB6"/>
    <w:rsid w:val="00EA3C3D"/>
    <w:rsid w:val="00EA3F06"/>
    <w:rsid w:val="00EA436D"/>
    <w:rsid w:val="00EA4877"/>
    <w:rsid w:val="00EA495E"/>
    <w:rsid w:val="00EA4B5B"/>
    <w:rsid w:val="00EA50BD"/>
    <w:rsid w:val="00EA51FE"/>
    <w:rsid w:val="00EA5455"/>
    <w:rsid w:val="00EA5A30"/>
    <w:rsid w:val="00EA5FE2"/>
    <w:rsid w:val="00EA6568"/>
    <w:rsid w:val="00EA6666"/>
    <w:rsid w:val="00EA6794"/>
    <w:rsid w:val="00EA6D11"/>
    <w:rsid w:val="00EA6DEF"/>
    <w:rsid w:val="00EA6F71"/>
    <w:rsid w:val="00EA79B3"/>
    <w:rsid w:val="00EA7AEE"/>
    <w:rsid w:val="00EA7DC7"/>
    <w:rsid w:val="00EA7F34"/>
    <w:rsid w:val="00EA7F3C"/>
    <w:rsid w:val="00EB01B1"/>
    <w:rsid w:val="00EB0B51"/>
    <w:rsid w:val="00EB0BDB"/>
    <w:rsid w:val="00EB0C9B"/>
    <w:rsid w:val="00EB1119"/>
    <w:rsid w:val="00EB1699"/>
    <w:rsid w:val="00EB16F9"/>
    <w:rsid w:val="00EB1889"/>
    <w:rsid w:val="00EB19CF"/>
    <w:rsid w:val="00EB2055"/>
    <w:rsid w:val="00EB208A"/>
    <w:rsid w:val="00EB2141"/>
    <w:rsid w:val="00EB216C"/>
    <w:rsid w:val="00EB24A5"/>
    <w:rsid w:val="00EB279E"/>
    <w:rsid w:val="00EB27C0"/>
    <w:rsid w:val="00EB27C8"/>
    <w:rsid w:val="00EB2910"/>
    <w:rsid w:val="00EB2C5B"/>
    <w:rsid w:val="00EB2CB8"/>
    <w:rsid w:val="00EB2F6C"/>
    <w:rsid w:val="00EB2F83"/>
    <w:rsid w:val="00EB2FF1"/>
    <w:rsid w:val="00EB30F5"/>
    <w:rsid w:val="00EB3383"/>
    <w:rsid w:val="00EB36C5"/>
    <w:rsid w:val="00EB3993"/>
    <w:rsid w:val="00EB3A21"/>
    <w:rsid w:val="00EB3FA2"/>
    <w:rsid w:val="00EB40F8"/>
    <w:rsid w:val="00EB419C"/>
    <w:rsid w:val="00EB4347"/>
    <w:rsid w:val="00EB4362"/>
    <w:rsid w:val="00EB47A1"/>
    <w:rsid w:val="00EB492E"/>
    <w:rsid w:val="00EB4C5F"/>
    <w:rsid w:val="00EB4C79"/>
    <w:rsid w:val="00EB4D8D"/>
    <w:rsid w:val="00EB5506"/>
    <w:rsid w:val="00EB5690"/>
    <w:rsid w:val="00EB57E2"/>
    <w:rsid w:val="00EB589C"/>
    <w:rsid w:val="00EB5A53"/>
    <w:rsid w:val="00EB5EB6"/>
    <w:rsid w:val="00EB605F"/>
    <w:rsid w:val="00EB6101"/>
    <w:rsid w:val="00EB629D"/>
    <w:rsid w:val="00EB653C"/>
    <w:rsid w:val="00EB6B08"/>
    <w:rsid w:val="00EB7092"/>
    <w:rsid w:val="00EB71E4"/>
    <w:rsid w:val="00EB749F"/>
    <w:rsid w:val="00EB7594"/>
    <w:rsid w:val="00EB75A0"/>
    <w:rsid w:val="00EB76BB"/>
    <w:rsid w:val="00EB78D3"/>
    <w:rsid w:val="00EB7932"/>
    <w:rsid w:val="00EB7AB9"/>
    <w:rsid w:val="00EB7B94"/>
    <w:rsid w:val="00EC0243"/>
    <w:rsid w:val="00EC0340"/>
    <w:rsid w:val="00EC0407"/>
    <w:rsid w:val="00EC07A7"/>
    <w:rsid w:val="00EC08D7"/>
    <w:rsid w:val="00EC0B53"/>
    <w:rsid w:val="00EC19D2"/>
    <w:rsid w:val="00EC1E58"/>
    <w:rsid w:val="00EC1E80"/>
    <w:rsid w:val="00EC2195"/>
    <w:rsid w:val="00EC2196"/>
    <w:rsid w:val="00EC225C"/>
    <w:rsid w:val="00EC2271"/>
    <w:rsid w:val="00EC2782"/>
    <w:rsid w:val="00EC2887"/>
    <w:rsid w:val="00EC2AC6"/>
    <w:rsid w:val="00EC2CE7"/>
    <w:rsid w:val="00EC2F6D"/>
    <w:rsid w:val="00EC31C7"/>
    <w:rsid w:val="00EC35F3"/>
    <w:rsid w:val="00EC378A"/>
    <w:rsid w:val="00EC37DD"/>
    <w:rsid w:val="00EC3D71"/>
    <w:rsid w:val="00EC45A0"/>
    <w:rsid w:val="00EC4B14"/>
    <w:rsid w:val="00EC4D74"/>
    <w:rsid w:val="00EC507E"/>
    <w:rsid w:val="00EC550A"/>
    <w:rsid w:val="00EC557F"/>
    <w:rsid w:val="00EC5CC4"/>
    <w:rsid w:val="00EC5D06"/>
    <w:rsid w:val="00EC5DDB"/>
    <w:rsid w:val="00EC5E91"/>
    <w:rsid w:val="00EC6014"/>
    <w:rsid w:val="00EC629F"/>
    <w:rsid w:val="00EC6599"/>
    <w:rsid w:val="00EC659B"/>
    <w:rsid w:val="00EC66EE"/>
    <w:rsid w:val="00EC6763"/>
    <w:rsid w:val="00EC6CD3"/>
    <w:rsid w:val="00EC6CE7"/>
    <w:rsid w:val="00EC701C"/>
    <w:rsid w:val="00EC708E"/>
    <w:rsid w:val="00EC70B5"/>
    <w:rsid w:val="00EC7159"/>
    <w:rsid w:val="00EC7330"/>
    <w:rsid w:val="00EC74B8"/>
    <w:rsid w:val="00EC7887"/>
    <w:rsid w:val="00EC7C0C"/>
    <w:rsid w:val="00ED01B6"/>
    <w:rsid w:val="00ED04BA"/>
    <w:rsid w:val="00ED04C8"/>
    <w:rsid w:val="00ED07A8"/>
    <w:rsid w:val="00ED0D7D"/>
    <w:rsid w:val="00ED0F31"/>
    <w:rsid w:val="00ED1DC7"/>
    <w:rsid w:val="00ED1E33"/>
    <w:rsid w:val="00ED1E57"/>
    <w:rsid w:val="00ED1EB3"/>
    <w:rsid w:val="00ED20AF"/>
    <w:rsid w:val="00ED2144"/>
    <w:rsid w:val="00ED257D"/>
    <w:rsid w:val="00ED28D7"/>
    <w:rsid w:val="00ED29D2"/>
    <w:rsid w:val="00ED2B9C"/>
    <w:rsid w:val="00ED3239"/>
    <w:rsid w:val="00ED3415"/>
    <w:rsid w:val="00ED3485"/>
    <w:rsid w:val="00ED3530"/>
    <w:rsid w:val="00ED3853"/>
    <w:rsid w:val="00ED38EA"/>
    <w:rsid w:val="00ED3A1C"/>
    <w:rsid w:val="00ED3BE6"/>
    <w:rsid w:val="00ED3D44"/>
    <w:rsid w:val="00ED3DBE"/>
    <w:rsid w:val="00ED3EB2"/>
    <w:rsid w:val="00ED45AF"/>
    <w:rsid w:val="00ED4682"/>
    <w:rsid w:val="00ED4FB8"/>
    <w:rsid w:val="00ED544B"/>
    <w:rsid w:val="00ED59FB"/>
    <w:rsid w:val="00ED5A10"/>
    <w:rsid w:val="00ED5B3D"/>
    <w:rsid w:val="00ED5E88"/>
    <w:rsid w:val="00ED5E9D"/>
    <w:rsid w:val="00ED64A9"/>
    <w:rsid w:val="00ED6776"/>
    <w:rsid w:val="00ED678B"/>
    <w:rsid w:val="00ED68EE"/>
    <w:rsid w:val="00ED6941"/>
    <w:rsid w:val="00ED6CBE"/>
    <w:rsid w:val="00ED6D26"/>
    <w:rsid w:val="00ED70F7"/>
    <w:rsid w:val="00ED71B9"/>
    <w:rsid w:val="00ED7203"/>
    <w:rsid w:val="00ED73C7"/>
    <w:rsid w:val="00ED7740"/>
    <w:rsid w:val="00ED796D"/>
    <w:rsid w:val="00ED7A99"/>
    <w:rsid w:val="00ED7C0A"/>
    <w:rsid w:val="00ED7C3C"/>
    <w:rsid w:val="00ED7F68"/>
    <w:rsid w:val="00EE010F"/>
    <w:rsid w:val="00EE017A"/>
    <w:rsid w:val="00EE034E"/>
    <w:rsid w:val="00EE0552"/>
    <w:rsid w:val="00EE071D"/>
    <w:rsid w:val="00EE0987"/>
    <w:rsid w:val="00EE0F60"/>
    <w:rsid w:val="00EE13EF"/>
    <w:rsid w:val="00EE15CD"/>
    <w:rsid w:val="00EE17A8"/>
    <w:rsid w:val="00EE181C"/>
    <w:rsid w:val="00EE1A6B"/>
    <w:rsid w:val="00EE1D3F"/>
    <w:rsid w:val="00EE1E51"/>
    <w:rsid w:val="00EE1ED4"/>
    <w:rsid w:val="00EE2581"/>
    <w:rsid w:val="00EE2815"/>
    <w:rsid w:val="00EE2828"/>
    <w:rsid w:val="00EE2B67"/>
    <w:rsid w:val="00EE2C89"/>
    <w:rsid w:val="00EE35BA"/>
    <w:rsid w:val="00EE379D"/>
    <w:rsid w:val="00EE37D7"/>
    <w:rsid w:val="00EE38FC"/>
    <w:rsid w:val="00EE3A12"/>
    <w:rsid w:val="00EE3C15"/>
    <w:rsid w:val="00EE3C81"/>
    <w:rsid w:val="00EE3CC3"/>
    <w:rsid w:val="00EE3D9E"/>
    <w:rsid w:val="00EE429C"/>
    <w:rsid w:val="00EE4536"/>
    <w:rsid w:val="00EE4669"/>
    <w:rsid w:val="00EE46E1"/>
    <w:rsid w:val="00EE478C"/>
    <w:rsid w:val="00EE4846"/>
    <w:rsid w:val="00EE4CF7"/>
    <w:rsid w:val="00EE5017"/>
    <w:rsid w:val="00EE52CF"/>
    <w:rsid w:val="00EE5336"/>
    <w:rsid w:val="00EE53BE"/>
    <w:rsid w:val="00EE5494"/>
    <w:rsid w:val="00EE56CF"/>
    <w:rsid w:val="00EE5A5A"/>
    <w:rsid w:val="00EE5B1F"/>
    <w:rsid w:val="00EE5CFC"/>
    <w:rsid w:val="00EE6492"/>
    <w:rsid w:val="00EE64B3"/>
    <w:rsid w:val="00EE6542"/>
    <w:rsid w:val="00EE6553"/>
    <w:rsid w:val="00EE6588"/>
    <w:rsid w:val="00EE6606"/>
    <w:rsid w:val="00EE6A32"/>
    <w:rsid w:val="00EE6A7D"/>
    <w:rsid w:val="00EE7082"/>
    <w:rsid w:val="00EE73DB"/>
    <w:rsid w:val="00EE7AFA"/>
    <w:rsid w:val="00EE7BCB"/>
    <w:rsid w:val="00EE7BF4"/>
    <w:rsid w:val="00EE7F72"/>
    <w:rsid w:val="00EF00CF"/>
    <w:rsid w:val="00EF0463"/>
    <w:rsid w:val="00EF0C2C"/>
    <w:rsid w:val="00EF1249"/>
    <w:rsid w:val="00EF1795"/>
    <w:rsid w:val="00EF199A"/>
    <w:rsid w:val="00EF1C7D"/>
    <w:rsid w:val="00EF1E92"/>
    <w:rsid w:val="00EF2260"/>
    <w:rsid w:val="00EF283F"/>
    <w:rsid w:val="00EF2943"/>
    <w:rsid w:val="00EF2AB0"/>
    <w:rsid w:val="00EF3082"/>
    <w:rsid w:val="00EF31C3"/>
    <w:rsid w:val="00EF34AF"/>
    <w:rsid w:val="00EF35E5"/>
    <w:rsid w:val="00EF37B7"/>
    <w:rsid w:val="00EF38DD"/>
    <w:rsid w:val="00EF4112"/>
    <w:rsid w:val="00EF42D1"/>
    <w:rsid w:val="00EF44E2"/>
    <w:rsid w:val="00EF44FE"/>
    <w:rsid w:val="00EF451B"/>
    <w:rsid w:val="00EF4590"/>
    <w:rsid w:val="00EF49AA"/>
    <w:rsid w:val="00EF4A13"/>
    <w:rsid w:val="00EF4B4F"/>
    <w:rsid w:val="00EF4BC2"/>
    <w:rsid w:val="00EF4E95"/>
    <w:rsid w:val="00EF5103"/>
    <w:rsid w:val="00EF5170"/>
    <w:rsid w:val="00EF55F1"/>
    <w:rsid w:val="00EF5675"/>
    <w:rsid w:val="00EF5688"/>
    <w:rsid w:val="00EF58B0"/>
    <w:rsid w:val="00EF5BB8"/>
    <w:rsid w:val="00EF5E06"/>
    <w:rsid w:val="00EF5F34"/>
    <w:rsid w:val="00EF5F3A"/>
    <w:rsid w:val="00EF5F42"/>
    <w:rsid w:val="00EF5F43"/>
    <w:rsid w:val="00EF6127"/>
    <w:rsid w:val="00EF6263"/>
    <w:rsid w:val="00EF6578"/>
    <w:rsid w:val="00EF6612"/>
    <w:rsid w:val="00EF69DF"/>
    <w:rsid w:val="00EF6AD7"/>
    <w:rsid w:val="00EF6BFC"/>
    <w:rsid w:val="00EF6D59"/>
    <w:rsid w:val="00EF6D97"/>
    <w:rsid w:val="00EF6F16"/>
    <w:rsid w:val="00EF7889"/>
    <w:rsid w:val="00EF7896"/>
    <w:rsid w:val="00EF7911"/>
    <w:rsid w:val="00EF7AD0"/>
    <w:rsid w:val="00EF7BCD"/>
    <w:rsid w:val="00EF7CB1"/>
    <w:rsid w:val="00EF7DA6"/>
    <w:rsid w:val="00EF7E29"/>
    <w:rsid w:val="00F000AD"/>
    <w:rsid w:val="00F005FE"/>
    <w:rsid w:val="00F00677"/>
    <w:rsid w:val="00F008EE"/>
    <w:rsid w:val="00F00A85"/>
    <w:rsid w:val="00F00AD6"/>
    <w:rsid w:val="00F00F88"/>
    <w:rsid w:val="00F0137C"/>
    <w:rsid w:val="00F019C9"/>
    <w:rsid w:val="00F01C2B"/>
    <w:rsid w:val="00F01CA9"/>
    <w:rsid w:val="00F01D56"/>
    <w:rsid w:val="00F01D9E"/>
    <w:rsid w:val="00F02185"/>
    <w:rsid w:val="00F022F1"/>
    <w:rsid w:val="00F02B08"/>
    <w:rsid w:val="00F02B74"/>
    <w:rsid w:val="00F02CB9"/>
    <w:rsid w:val="00F02CF7"/>
    <w:rsid w:val="00F02DCE"/>
    <w:rsid w:val="00F032B0"/>
    <w:rsid w:val="00F0338E"/>
    <w:rsid w:val="00F033C1"/>
    <w:rsid w:val="00F03868"/>
    <w:rsid w:val="00F038CE"/>
    <w:rsid w:val="00F038E8"/>
    <w:rsid w:val="00F03A01"/>
    <w:rsid w:val="00F03BA9"/>
    <w:rsid w:val="00F03E13"/>
    <w:rsid w:val="00F03E2A"/>
    <w:rsid w:val="00F03F9F"/>
    <w:rsid w:val="00F04319"/>
    <w:rsid w:val="00F04336"/>
    <w:rsid w:val="00F0466D"/>
    <w:rsid w:val="00F04A3F"/>
    <w:rsid w:val="00F05170"/>
    <w:rsid w:val="00F05299"/>
    <w:rsid w:val="00F053CD"/>
    <w:rsid w:val="00F05554"/>
    <w:rsid w:val="00F0579C"/>
    <w:rsid w:val="00F05AF6"/>
    <w:rsid w:val="00F05BAF"/>
    <w:rsid w:val="00F05FC6"/>
    <w:rsid w:val="00F0621C"/>
    <w:rsid w:val="00F0679C"/>
    <w:rsid w:val="00F067E2"/>
    <w:rsid w:val="00F068AC"/>
    <w:rsid w:val="00F06902"/>
    <w:rsid w:val="00F06D1B"/>
    <w:rsid w:val="00F06D38"/>
    <w:rsid w:val="00F06E00"/>
    <w:rsid w:val="00F06E38"/>
    <w:rsid w:val="00F06FF3"/>
    <w:rsid w:val="00F073FA"/>
    <w:rsid w:val="00F0770F"/>
    <w:rsid w:val="00F078D7"/>
    <w:rsid w:val="00F07CDE"/>
    <w:rsid w:val="00F07E27"/>
    <w:rsid w:val="00F10425"/>
    <w:rsid w:val="00F1055A"/>
    <w:rsid w:val="00F10CFD"/>
    <w:rsid w:val="00F10D7E"/>
    <w:rsid w:val="00F10D86"/>
    <w:rsid w:val="00F10E03"/>
    <w:rsid w:val="00F10F8C"/>
    <w:rsid w:val="00F10FE7"/>
    <w:rsid w:val="00F112C6"/>
    <w:rsid w:val="00F11505"/>
    <w:rsid w:val="00F1169B"/>
    <w:rsid w:val="00F11770"/>
    <w:rsid w:val="00F11CA1"/>
    <w:rsid w:val="00F12462"/>
    <w:rsid w:val="00F124AC"/>
    <w:rsid w:val="00F1254F"/>
    <w:rsid w:val="00F1269C"/>
    <w:rsid w:val="00F127E3"/>
    <w:rsid w:val="00F1286D"/>
    <w:rsid w:val="00F128D2"/>
    <w:rsid w:val="00F12B3C"/>
    <w:rsid w:val="00F12B81"/>
    <w:rsid w:val="00F13169"/>
    <w:rsid w:val="00F1331B"/>
    <w:rsid w:val="00F13418"/>
    <w:rsid w:val="00F13515"/>
    <w:rsid w:val="00F1364C"/>
    <w:rsid w:val="00F13AD8"/>
    <w:rsid w:val="00F13BD5"/>
    <w:rsid w:val="00F14681"/>
    <w:rsid w:val="00F146CC"/>
    <w:rsid w:val="00F152B7"/>
    <w:rsid w:val="00F15435"/>
    <w:rsid w:val="00F15549"/>
    <w:rsid w:val="00F15614"/>
    <w:rsid w:val="00F15630"/>
    <w:rsid w:val="00F1575F"/>
    <w:rsid w:val="00F15990"/>
    <w:rsid w:val="00F15F28"/>
    <w:rsid w:val="00F1605F"/>
    <w:rsid w:val="00F1609A"/>
    <w:rsid w:val="00F166E1"/>
    <w:rsid w:val="00F1672E"/>
    <w:rsid w:val="00F167F4"/>
    <w:rsid w:val="00F16BD1"/>
    <w:rsid w:val="00F16EF5"/>
    <w:rsid w:val="00F172FA"/>
    <w:rsid w:val="00F1748F"/>
    <w:rsid w:val="00F17678"/>
    <w:rsid w:val="00F1772E"/>
    <w:rsid w:val="00F1797E"/>
    <w:rsid w:val="00F17A97"/>
    <w:rsid w:val="00F17C01"/>
    <w:rsid w:val="00F17C08"/>
    <w:rsid w:val="00F17F73"/>
    <w:rsid w:val="00F17FDB"/>
    <w:rsid w:val="00F201B1"/>
    <w:rsid w:val="00F20402"/>
    <w:rsid w:val="00F20703"/>
    <w:rsid w:val="00F208FC"/>
    <w:rsid w:val="00F209F6"/>
    <w:rsid w:val="00F20D42"/>
    <w:rsid w:val="00F20F4E"/>
    <w:rsid w:val="00F212C5"/>
    <w:rsid w:val="00F216C3"/>
    <w:rsid w:val="00F219C2"/>
    <w:rsid w:val="00F21A1F"/>
    <w:rsid w:val="00F21AB5"/>
    <w:rsid w:val="00F21C21"/>
    <w:rsid w:val="00F21CCA"/>
    <w:rsid w:val="00F21DFF"/>
    <w:rsid w:val="00F221F5"/>
    <w:rsid w:val="00F22BD7"/>
    <w:rsid w:val="00F22EBB"/>
    <w:rsid w:val="00F2317A"/>
    <w:rsid w:val="00F231FF"/>
    <w:rsid w:val="00F23222"/>
    <w:rsid w:val="00F2333A"/>
    <w:rsid w:val="00F2334D"/>
    <w:rsid w:val="00F233E6"/>
    <w:rsid w:val="00F23406"/>
    <w:rsid w:val="00F23768"/>
    <w:rsid w:val="00F237CB"/>
    <w:rsid w:val="00F23FD7"/>
    <w:rsid w:val="00F24175"/>
    <w:rsid w:val="00F24184"/>
    <w:rsid w:val="00F24461"/>
    <w:rsid w:val="00F24518"/>
    <w:rsid w:val="00F247ED"/>
    <w:rsid w:val="00F248AA"/>
    <w:rsid w:val="00F249C8"/>
    <w:rsid w:val="00F24ADC"/>
    <w:rsid w:val="00F24EAE"/>
    <w:rsid w:val="00F24F31"/>
    <w:rsid w:val="00F25027"/>
    <w:rsid w:val="00F25180"/>
    <w:rsid w:val="00F2522C"/>
    <w:rsid w:val="00F253E2"/>
    <w:rsid w:val="00F2542A"/>
    <w:rsid w:val="00F254D4"/>
    <w:rsid w:val="00F2552A"/>
    <w:rsid w:val="00F2585C"/>
    <w:rsid w:val="00F25A32"/>
    <w:rsid w:val="00F25AFB"/>
    <w:rsid w:val="00F25E99"/>
    <w:rsid w:val="00F261B6"/>
    <w:rsid w:val="00F26336"/>
    <w:rsid w:val="00F26580"/>
    <w:rsid w:val="00F26627"/>
    <w:rsid w:val="00F266EA"/>
    <w:rsid w:val="00F268E5"/>
    <w:rsid w:val="00F27178"/>
    <w:rsid w:val="00F27188"/>
    <w:rsid w:val="00F274D6"/>
    <w:rsid w:val="00F27A10"/>
    <w:rsid w:val="00F27E59"/>
    <w:rsid w:val="00F30392"/>
    <w:rsid w:val="00F3046C"/>
    <w:rsid w:val="00F304BB"/>
    <w:rsid w:val="00F30A96"/>
    <w:rsid w:val="00F30C2E"/>
    <w:rsid w:val="00F31087"/>
    <w:rsid w:val="00F312ED"/>
    <w:rsid w:val="00F31525"/>
    <w:rsid w:val="00F31651"/>
    <w:rsid w:val="00F316DF"/>
    <w:rsid w:val="00F31729"/>
    <w:rsid w:val="00F3195D"/>
    <w:rsid w:val="00F31C9A"/>
    <w:rsid w:val="00F31E45"/>
    <w:rsid w:val="00F3296B"/>
    <w:rsid w:val="00F32A03"/>
    <w:rsid w:val="00F32CD4"/>
    <w:rsid w:val="00F32D5F"/>
    <w:rsid w:val="00F32D63"/>
    <w:rsid w:val="00F33469"/>
    <w:rsid w:val="00F33476"/>
    <w:rsid w:val="00F33548"/>
    <w:rsid w:val="00F338EA"/>
    <w:rsid w:val="00F34264"/>
    <w:rsid w:val="00F34341"/>
    <w:rsid w:val="00F34369"/>
    <w:rsid w:val="00F346D5"/>
    <w:rsid w:val="00F34C47"/>
    <w:rsid w:val="00F34C56"/>
    <w:rsid w:val="00F34F85"/>
    <w:rsid w:val="00F35426"/>
    <w:rsid w:val="00F3547C"/>
    <w:rsid w:val="00F355C8"/>
    <w:rsid w:val="00F35A64"/>
    <w:rsid w:val="00F35A6F"/>
    <w:rsid w:val="00F35B3B"/>
    <w:rsid w:val="00F35B8D"/>
    <w:rsid w:val="00F35EEA"/>
    <w:rsid w:val="00F35F99"/>
    <w:rsid w:val="00F362E6"/>
    <w:rsid w:val="00F363B4"/>
    <w:rsid w:val="00F3646E"/>
    <w:rsid w:val="00F3695C"/>
    <w:rsid w:val="00F36B94"/>
    <w:rsid w:val="00F36C7D"/>
    <w:rsid w:val="00F36ED7"/>
    <w:rsid w:val="00F37151"/>
    <w:rsid w:val="00F37727"/>
    <w:rsid w:val="00F3773D"/>
    <w:rsid w:val="00F3786D"/>
    <w:rsid w:val="00F37F35"/>
    <w:rsid w:val="00F40067"/>
    <w:rsid w:val="00F40427"/>
    <w:rsid w:val="00F406B2"/>
    <w:rsid w:val="00F4076A"/>
    <w:rsid w:val="00F40BB0"/>
    <w:rsid w:val="00F40C8E"/>
    <w:rsid w:val="00F40DCF"/>
    <w:rsid w:val="00F412BE"/>
    <w:rsid w:val="00F412C9"/>
    <w:rsid w:val="00F412EC"/>
    <w:rsid w:val="00F41675"/>
    <w:rsid w:val="00F41DBF"/>
    <w:rsid w:val="00F41F61"/>
    <w:rsid w:val="00F4217C"/>
    <w:rsid w:val="00F4217F"/>
    <w:rsid w:val="00F422B5"/>
    <w:rsid w:val="00F422F1"/>
    <w:rsid w:val="00F423E8"/>
    <w:rsid w:val="00F42482"/>
    <w:rsid w:val="00F42770"/>
    <w:rsid w:val="00F42C5D"/>
    <w:rsid w:val="00F42CE5"/>
    <w:rsid w:val="00F42DE1"/>
    <w:rsid w:val="00F42E47"/>
    <w:rsid w:val="00F42ECF"/>
    <w:rsid w:val="00F434AB"/>
    <w:rsid w:val="00F43516"/>
    <w:rsid w:val="00F43721"/>
    <w:rsid w:val="00F43769"/>
    <w:rsid w:val="00F437B4"/>
    <w:rsid w:val="00F437C4"/>
    <w:rsid w:val="00F437D9"/>
    <w:rsid w:val="00F43DEA"/>
    <w:rsid w:val="00F43F18"/>
    <w:rsid w:val="00F441C9"/>
    <w:rsid w:val="00F4427B"/>
    <w:rsid w:val="00F442EE"/>
    <w:rsid w:val="00F4437E"/>
    <w:rsid w:val="00F44866"/>
    <w:rsid w:val="00F44A59"/>
    <w:rsid w:val="00F44B75"/>
    <w:rsid w:val="00F44DD2"/>
    <w:rsid w:val="00F44F5B"/>
    <w:rsid w:val="00F45267"/>
    <w:rsid w:val="00F454A2"/>
    <w:rsid w:val="00F4584C"/>
    <w:rsid w:val="00F458DF"/>
    <w:rsid w:val="00F458E0"/>
    <w:rsid w:val="00F4626A"/>
    <w:rsid w:val="00F463EA"/>
    <w:rsid w:val="00F46749"/>
    <w:rsid w:val="00F47014"/>
    <w:rsid w:val="00F474AB"/>
    <w:rsid w:val="00F476BC"/>
    <w:rsid w:val="00F477E8"/>
    <w:rsid w:val="00F47C2A"/>
    <w:rsid w:val="00F47F26"/>
    <w:rsid w:val="00F50337"/>
    <w:rsid w:val="00F50487"/>
    <w:rsid w:val="00F50588"/>
    <w:rsid w:val="00F50629"/>
    <w:rsid w:val="00F507C1"/>
    <w:rsid w:val="00F508E4"/>
    <w:rsid w:val="00F50A4C"/>
    <w:rsid w:val="00F50BBD"/>
    <w:rsid w:val="00F50F14"/>
    <w:rsid w:val="00F511E0"/>
    <w:rsid w:val="00F515C7"/>
    <w:rsid w:val="00F5160A"/>
    <w:rsid w:val="00F5181E"/>
    <w:rsid w:val="00F518BC"/>
    <w:rsid w:val="00F51A49"/>
    <w:rsid w:val="00F51A7A"/>
    <w:rsid w:val="00F51BE9"/>
    <w:rsid w:val="00F51C06"/>
    <w:rsid w:val="00F520A5"/>
    <w:rsid w:val="00F524A4"/>
    <w:rsid w:val="00F52852"/>
    <w:rsid w:val="00F530DD"/>
    <w:rsid w:val="00F5310A"/>
    <w:rsid w:val="00F534E3"/>
    <w:rsid w:val="00F536A7"/>
    <w:rsid w:val="00F539C0"/>
    <w:rsid w:val="00F53B50"/>
    <w:rsid w:val="00F54144"/>
    <w:rsid w:val="00F54280"/>
    <w:rsid w:val="00F54ED4"/>
    <w:rsid w:val="00F550DD"/>
    <w:rsid w:val="00F55281"/>
    <w:rsid w:val="00F5535E"/>
    <w:rsid w:val="00F55509"/>
    <w:rsid w:val="00F5584B"/>
    <w:rsid w:val="00F55B03"/>
    <w:rsid w:val="00F55C20"/>
    <w:rsid w:val="00F55C23"/>
    <w:rsid w:val="00F5615D"/>
    <w:rsid w:val="00F564F7"/>
    <w:rsid w:val="00F5653A"/>
    <w:rsid w:val="00F56B08"/>
    <w:rsid w:val="00F56EB5"/>
    <w:rsid w:val="00F570C8"/>
    <w:rsid w:val="00F570DF"/>
    <w:rsid w:val="00F5727D"/>
    <w:rsid w:val="00F57660"/>
    <w:rsid w:val="00F577B0"/>
    <w:rsid w:val="00F57A43"/>
    <w:rsid w:val="00F57A5C"/>
    <w:rsid w:val="00F57B42"/>
    <w:rsid w:val="00F57DE9"/>
    <w:rsid w:val="00F60147"/>
    <w:rsid w:val="00F6076A"/>
    <w:rsid w:val="00F60E53"/>
    <w:rsid w:val="00F6175E"/>
    <w:rsid w:val="00F61ABE"/>
    <w:rsid w:val="00F61CC6"/>
    <w:rsid w:val="00F62274"/>
    <w:rsid w:val="00F622A6"/>
    <w:rsid w:val="00F62605"/>
    <w:rsid w:val="00F62684"/>
    <w:rsid w:val="00F62A3A"/>
    <w:rsid w:val="00F62AD1"/>
    <w:rsid w:val="00F62B2A"/>
    <w:rsid w:val="00F62B66"/>
    <w:rsid w:val="00F62E7A"/>
    <w:rsid w:val="00F630A1"/>
    <w:rsid w:val="00F632E2"/>
    <w:rsid w:val="00F63325"/>
    <w:rsid w:val="00F63478"/>
    <w:rsid w:val="00F637FB"/>
    <w:rsid w:val="00F63B4B"/>
    <w:rsid w:val="00F63C7F"/>
    <w:rsid w:val="00F63CEA"/>
    <w:rsid w:val="00F63DD9"/>
    <w:rsid w:val="00F6420E"/>
    <w:rsid w:val="00F642A0"/>
    <w:rsid w:val="00F642E2"/>
    <w:rsid w:val="00F64643"/>
    <w:rsid w:val="00F64B1D"/>
    <w:rsid w:val="00F64B45"/>
    <w:rsid w:val="00F64E25"/>
    <w:rsid w:val="00F64F96"/>
    <w:rsid w:val="00F65549"/>
    <w:rsid w:val="00F657B3"/>
    <w:rsid w:val="00F65A05"/>
    <w:rsid w:val="00F65B54"/>
    <w:rsid w:val="00F65B71"/>
    <w:rsid w:val="00F65F87"/>
    <w:rsid w:val="00F65FEB"/>
    <w:rsid w:val="00F66015"/>
    <w:rsid w:val="00F66409"/>
    <w:rsid w:val="00F6688B"/>
    <w:rsid w:val="00F66A0A"/>
    <w:rsid w:val="00F66A63"/>
    <w:rsid w:val="00F66A75"/>
    <w:rsid w:val="00F66B44"/>
    <w:rsid w:val="00F66B57"/>
    <w:rsid w:val="00F66C7E"/>
    <w:rsid w:val="00F66F13"/>
    <w:rsid w:val="00F67297"/>
    <w:rsid w:val="00F672D9"/>
    <w:rsid w:val="00F67892"/>
    <w:rsid w:val="00F70013"/>
    <w:rsid w:val="00F70282"/>
    <w:rsid w:val="00F703CE"/>
    <w:rsid w:val="00F70645"/>
    <w:rsid w:val="00F70D2B"/>
    <w:rsid w:val="00F70E0E"/>
    <w:rsid w:val="00F71081"/>
    <w:rsid w:val="00F711C9"/>
    <w:rsid w:val="00F7123D"/>
    <w:rsid w:val="00F713B2"/>
    <w:rsid w:val="00F71964"/>
    <w:rsid w:val="00F71AC6"/>
    <w:rsid w:val="00F71CDA"/>
    <w:rsid w:val="00F72015"/>
    <w:rsid w:val="00F72300"/>
    <w:rsid w:val="00F7250D"/>
    <w:rsid w:val="00F72655"/>
    <w:rsid w:val="00F72681"/>
    <w:rsid w:val="00F727BE"/>
    <w:rsid w:val="00F72890"/>
    <w:rsid w:val="00F729D8"/>
    <w:rsid w:val="00F729EC"/>
    <w:rsid w:val="00F72EE0"/>
    <w:rsid w:val="00F72F90"/>
    <w:rsid w:val="00F72FA8"/>
    <w:rsid w:val="00F72FCA"/>
    <w:rsid w:val="00F731DE"/>
    <w:rsid w:val="00F7322D"/>
    <w:rsid w:val="00F732A1"/>
    <w:rsid w:val="00F73676"/>
    <w:rsid w:val="00F7373C"/>
    <w:rsid w:val="00F73816"/>
    <w:rsid w:val="00F740D2"/>
    <w:rsid w:val="00F74148"/>
    <w:rsid w:val="00F744B4"/>
    <w:rsid w:val="00F74512"/>
    <w:rsid w:val="00F74538"/>
    <w:rsid w:val="00F74900"/>
    <w:rsid w:val="00F749D6"/>
    <w:rsid w:val="00F74E99"/>
    <w:rsid w:val="00F74F39"/>
    <w:rsid w:val="00F75618"/>
    <w:rsid w:val="00F75933"/>
    <w:rsid w:val="00F759AA"/>
    <w:rsid w:val="00F76211"/>
    <w:rsid w:val="00F76470"/>
    <w:rsid w:val="00F7661B"/>
    <w:rsid w:val="00F767C1"/>
    <w:rsid w:val="00F769A8"/>
    <w:rsid w:val="00F76DD5"/>
    <w:rsid w:val="00F76E04"/>
    <w:rsid w:val="00F77135"/>
    <w:rsid w:val="00F7723F"/>
    <w:rsid w:val="00F775F6"/>
    <w:rsid w:val="00F77651"/>
    <w:rsid w:val="00F77A0A"/>
    <w:rsid w:val="00F8000A"/>
    <w:rsid w:val="00F80129"/>
    <w:rsid w:val="00F803E7"/>
    <w:rsid w:val="00F80419"/>
    <w:rsid w:val="00F8092C"/>
    <w:rsid w:val="00F80BC2"/>
    <w:rsid w:val="00F80C30"/>
    <w:rsid w:val="00F80E93"/>
    <w:rsid w:val="00F80F68"/>
    <w:rsid w:val="00F8138A"/>
    <w:rsid w:val="00F81474"/>
    <w:rsid w:val="00F8149A"/>
    <w:rsid w:val="00F81584"/>
    <w:rsid w:val="00F81635"/>
    <w:rsid w:val="00F81A41"/>
    <w:rsid w:val="00F81C74"/>
    <w:rsid w:val="00F81DA1"/>
    <w:rsid w:val="00F81E09"/>
    <w:rsid w:val="00F81F0F"/>
    <w:rsid w:val="00F8218B"/>
    <w:rsid w:val="00F82349"/>
    <w:rsid w:val="00F823B3"/>
    <w:rsid w:val="00F82626"/>
    <w:rsid w:val="00F826A9"/>
    <w:rsid w:val="00F82C55"/>
    <w:rsid w:val="00F83268"/>
    <w:rsid w:val="00F832ED"/>
    <w:rsid w:val="00F83544"/>
    <w:rsid w:val="00F835D8"/>
    <w:rsid w:val="00F8368F"/>
    <w:rsid w:val="00F837CE"/>
    <w:rsid w:val="00F83847"/>
    <w:rsid w:val="00F83B7B"/>
    <w:rsid w:val="00F84524"/>
    <w:rsid w:val="00F84551"/>
    <w:rsid w:val="00F84A59"/>
    <w:rsid w:val="00F85050"/>
    <w:rsid w:val="00F85497"/>
    <w:rsid w:val="00F8563F"/>
    <w:rsid w:val="00F856E1"/>
    <w:rsid w:val="00F85A99"/>
    <w:rsid w:val="00F85AF3"/>
    <w:rsid w:val="00F85F2C"/>
    <w:rsid w:val="00F860E1"/>
    <w:rsid w:val="00F8625B"/>
    <w:rsid w:val="00F86266"/>
    <w:rsid w:val="00F862A7"/>
    <w:rsid w:val="00F86344"/>
    <w:rsid w:val="00F86681"/>
    <w:rsid w:val="00F86809"/>
    <w:rsid w:val="00F868E7"/>
    <w:rsid w:val="00F86C61"/>
    <w:rsid w:val="00F86F68"/>
    <w:rsid w:val="00F87151"/>
    <w:rsid w:val="00F8715A"/>
    <w:rsid w:val="00F8720D"/>
    <w:rsid w:val="00F87361"/>
    <w:rsid w:val="00F8746F"/>
    <w:rsid w:val="00F8792A"/>
    <w:rsid w:val="00F87AD7"/>
    <w:rsid w:val="00F87B07"/>
    <w:rsid w:val="00F87F40"/>
    <w:rsid w:val="00F87F49"/>
    <w:rsid w:val="00F902A4"/>
    <w:rsid w:val="00F90403"/>
    <w:rsid w:val="00F907E6"/>
    <w:rsid w:val="00F90934"/>
    <w:rsid w:val="00F90ACE"/>
    <w:rsid w:val="00F90D3F"/>
    <w:rsid w:val="00F90EA7"/>
    <w:rsid w:val="00F9120B"/>
    <w:rsid w:val="00F912D5"/>
    <w:rsid w:val="00F91650"/>
    <w:rsid w:val="00F91987"/>
    <w:rsid w:val="00F91A90"/>
    <w:rsid w:val="00F91D6E"/>
    <w:rsid w:val="00F920EF"/>
    <w:rsid w:val="00F921F2"/>
    <w:rsid w:val="00F921FA"/>
    <w:rsid w:val="00F92434"/>
    <w:rsid w:val="00F9283F"/>
    <w:rsid w:val="00F92BD8"/>
    <w:rsid w:val="00F92C00"/>
    <w:rsid w:val="00F92D36"/>
    <w:rsid w:val="00F930E9"/>
    <w:rsid w:val="00F9319C"/>
    <w:rsid w:val="00F931CE"/>
    <w:rsid w:val="00F931E3"/>
    <w:rsid w:val="00F93560"/>
    <w:rsid w:val="00F93642"/>
    <w:rsid w:val="00F9364D"/>
    <w:rsid w:val="00F937BB"/>
    <w:rsid w:val="00F9382F"/>
    <w:rsid w:val="00F939BF"/>
    <w:rsid w:val="00F940A5"/>
    <w:rsid w:val="00F943B0"/>
    <w:rsid w:val="00F943E1"/>
    <w:rsid w:val="00F94556"/>
    <w:rsid w:val="00F94652"/>
    <w:rsid w:val="00F9489C"/>
    <w:rsid w:val="00F948A2"/>
    <w:rsid w:val="00F948B7"/>
    <w:rsid w:val="00F94A52"/>
    <w:rsid w:val="00F94E08"/>
    <w:rsid w:val="00F94E14"/>
    <w:rsid w:val="00F95301"/>
    <w:rsid w:val="00F95321"/>
    <w:rsid w:val="00F95433"/>
    <w:rsid w:val="00F954D5"/>
    <w:rsid w:val="00F956B7"/>
    <w:rsid w:val="00F958D0"/>
    <w:rsid w:val="00F959A4"/>
    <w:rsid w:val="00F95BBA"/>
    <w:rsid w:val="00F95D12"/>
    <w:rsid w:val="00F95D26"/>
    <w:rsid w:val="00F96297"/>
    <w:rsid w:val="00F96303"/>
    <w:rsid w:val="00F96320"/>
    <w:rsid w:val="00F96C6E"/>
    <w:rsid w:val="00F96F61"/>
    <w:rsid w:val="00F97741"/>
    <w:rsid w:val="00F97A4F"/>
    <w:rsid w:val="00F97C2E"/>
    <w:rsid w:val="00F97FB2"/>
    <w:rsid w:val="00FA0138"/>
    <w:rsid w:val="00FA03BC"/>
    <w:rsid w:val="00FA0664"/>
    <w:rsid w:val="00FA0773"/>
    <w:rsid w:val="00FA0BC3"/>
    <w:rsid w:val="00FA0C3D"/>
    <w:rsid w:val="00FA0F33"/>
    <w:rsid w:val="00FA123E"/>
    <w:rsid w:val="00FA126B"/>
    <w:rsid w:val="00FA12BC"/>
    <w:rsid w:val="00FA135F"/>
    <w:rsid w:val="00FA166C"/>
    <w:rsid w:val="00FA16F3"/>
    <w:rsid w:val="00FA1990"/>
    <w:rsid w:val="00FA1B7D"/>
    <w:rsid w:val="00FA1D4C"/>
    <w:rsid w:val="00FA20A6"/>
    <w:rsid w:val="00FA2136"/>
    <w:rsid w:val="00FA23BA"/>
    <w:rsid w:val="00FA2554"/>
    <w:rsid w:val="00FA271A"/>
    <w:rsid w:val="00FA2800"/>
    <w:rsid w:val="00FA2B01"/>
    <w:rsid w:val="00FA3316"/>
    <w:rsid w:val="00FA347C"/>
    <w:rsid w:val="00FA3491"/>
    <w:rsid w:val="00FA3816"/>
    <w:rsid w:val="00FA3854"/>
    <w:rsid w:val="00FA39EA"/>
    <w:rsid w:val="00FA3B7F"/>
    <w:rsid w:val="00FA3F38"/>
    <w:rsid w:val="00FA3FC2"/>
    <w:rsid w:val="00FA4187"/>
    <w:rsid w:val="00FA41AA"/>
    <w:rsid w:val="00FA42AD"/>
    <w:rsid w:val="00FA42C1"/>
    <w:rsid w:val="00FA471B"/>
    <w:rsid w:val="00FA4798"/>
    <w:rsid w:val="00FA4BC8"/>
    <w:rsid w:val="00FA4F59"/>
    <w:rsid w:val="00FA5182"/>
    <w:rsid w:val="00FA542C"/>
    <w:rsid w:val="00FA5913"/>
    <w:rsid w:val="00FA593D"/>
    <w:rsid w:val="00FA59AA"/>
    <w:rsid w:val="00FA59B9"/>
    <w:rsid w:val="00FA59D9"/>
    <w:rsid w:val="00FA5D7A"/>
    <w:rsid w:val="00FA5D9A"/>
    <w:rsid w:val="00FA6498"/>
    <w:rsid w:val="00FA6F03"/>
    <w:rsid w:val="00FA71DA"/>
    <w:rsid w:val="00FA72AC"/>
    <w:rsid w:val="00FA7CC1"/>
    <w:rsid w:val="00FA7CE1"/>
    <w:rsid w:val="00FA7F38"/>
    <w:rsid w:val="00FA7FDF"/>
    <w:rsid w:val="00FB0067"/>
    <w:rsid w:val="00FB0171"/>
    <w:rsid w:val="00FB03C3"/>
    <w:rsid w:val="00FB03E9"/>
    <w:rsid w:val="00FB0B37"/>
    <w:rsid w:val="00FB0C95"/>
    <w:rsid w:val="00FB0DB6"/>
    <w:rsid w:val="00FB1089"/>
    <w:rsid w:val="00FB17A3"/>
    <w:rsid w:val="00FB1821"/>
    <w:rsid w:val="00FB1A4B"/>
    <w:rsid w:val="00FB1A70"/>
    <w:rsid w:val="00FB1EE3"/>
    <w:rsid w:val="00FB2E8B"/>
    <w:rsid w:val="00FB302F"/>
    <w:rsid w:val="00FB30A5"/>
    <w:rsid w:val="00FB3312"/>
    <w:rsid w:val="00FB3664"/>
    <w:rsid w:val="00FB3A40"/>
    <w:rsid w:val="00FB3F79"/>
    <w:rsid w:val="00FB4053"/>
    <w:rsid w:val="00FB414A"/>
    <w:rsid w:val="00FB44F1"/>
    <w:rsid w:val="00FB4BDE"/>
    <w:rsid w:val="00FB5161"/>
    <w:rsid w:val="00FB532E"/>
    <w:rsid w:val="00FB57AB"/>
    <w:rsid w:val="00FB5B94"/>
    <w:rsid w:val="00FB5C13"/>
    <w:rsid w:val="00FB5D4E"/>
    <w:rsid w:val="00FB5D6A"/>
    <w:rsid w:val="00FB5D7F"/>
    <w:rsid w:val="00FB5E0C"/>
    <w:rsid w:val="00FB6136"/>
    <w:rsid w:val="00FB61E5"/>
    <w:rsid w:val="00FB6633"/>
    <w:rsid w:val="00FB6865"/>
    <w:rsid w:val="00FB6A5C"/>
    <w:rsid w:val="00FB6A64"/>
    <w:rsid w:val="00FB6F63"/>
    <w:rsid w:val="00FB76B6"/>
    <w:rsid w:val="00FB7B04"/>
    <w:rsid w:val="00FC000D"/>
    <w:rsid w:val="00FC00BE"/>
    <w:rsid w:val="00FC02FA"/>
    <w:rsid w:val="00FC04DA"/>
    <w:rsid w:val="00FC0AAD"/>
    <w:rsid w:val="00FC0B5B"/>
    <w:rsid w:val="00FC0E4F"/>
    <w:rsid w:val="00FC0E61"/>
    <w:rsid w:val="00FC1563"/>
    <w:rsid w:val="00FC15FA"/>
    <w:rsid w:val="00FC16FA"/>
    <w:rsid w:val="00FC1755"/>
    <w:rsid w:val="00FC197D"/>
    <w:rsid w:val="00FC1A5E"/>
    <w:rsid w:val="00FC1FA0"/>
    <w:rsid w:val="00FC22E2"/>
    <w:rsid w:val="00FC290F"/>
    <w:rsid w:val="00FC2B59"/>
    <w:rsid w:val="00FC2E87"/>
    <w:rsid w:val="00FC3184"/>
    <w:rsid w:val="00FC31C6"/>
    <w:rsid w:val="00FC31D5"/>
    <w:rsid w:val="00FC3236"/>
    <w:rsid w:val="00FC3B33"/>
    <w:rsid w:val="00FC3FFA"/>
    <w:rsid w:val="00FC42EE"/>
    <w:rsid w:val="00FC4685"/>
    <w:rsid w:val="00FC47A0"/>
    <w:rsid w:val="00FC487D"/>
    <w:rsid w:val="00FC4C5D"/>
    <w:rsid w:val="00FC4E6A"/>
    <w:rsid w:val="00FC503E"/>
    <w:rsid w:val="00FC522E"/>
    <w:rsid w:val="00FC53D4"/>
    <w:rsid w:val="00FC543C"/>
    <w:rsid w:val="00FC5DD3"/>
    <w:rsid w:val="00FC6089"/>
    <w:rsid w:val="00FC609C"/>
    <w:rsid w:val="00FC630A"/>
    <w:rsid w:val="00FC66B1"/>
    <w:rsid w:val="00FC6821"/>
    <w:rsid w:val="00FC6839"/>
    <w:rsid w:val="00FC6DB3"/>
    <w:rsid w:val="00FC6E18"/>
    <w:rsid w:val="00FC6EB6"/>
    <w:rsid w:val="00FC6F14"/>
    <w:rsid w:val="00FC706B"/>
    <w:rsid w:val="00FC7244"/>
    <w:rsid w:val="00FC793C"/>
    <w:rsid w:val="00FC797A"/>
    <w:rsid w:val="00FC7A3A"/>
    <w:rsid w:val="00FC7AE6"/>
    <w:rsid w:val="00FC7E38"/>
    <w:rsid w:val="00FC7F3B"/>
    <w:rsid w:val="00FD02BC"/>
    <w:rsid w:val="00FD031D"/>
    <w:rsid w:val="00FD0408"/>
    <w:rsid w:val="00FD05D0"/>
    <w:rsid w:val="00FD0685"/>
    <w:rsid w:val="00FD0A40"/>
    <w:rsid w:val="00FD0E2C"/>
    <w:rsid w:val="00FD0E57"/>
    <w:rsid w:val="00FD161E"/>
    <w:rsid w:val="00FD1834"/>
    <w:rsid w:val="00FD1A69"/>
    <w:rsid w:val="00FD1F25"/>
    <w:rsid w:val="00FD209A"/>
    <w:rsid w:val="00FD2189"/>
    <w:rsid w:val="00FD251F"/>
    <w:rsid w:val="00FD25EB"/>
    <w:rsid w:val="00FD2711"/>
    <w:rsid w:val="00FD2955"/>
    <w:rsid w:val="00FD30E1"/>
    <w:rsid w:val="00FD30F1"/>
    <w:rsid w:val="00FD325D"/>
    <w:rsid w:val="00FD3BA3"/>
    <w:rsid w:val="00FD3ED5"/>
    <w:rsid w:val="00FD449E"/>
    <w:rsid w:val="00FD4584"/>
    <w:rsid w:val="00FD45E3"/>
    <w:rsid w:val="00FD4927"/>
    <w:rsid w:val="00FD4988"/>
    <w:rsid w:val="00FD49B0"/>
    <w:rsid w:val="00FD4EDF"/>
    <w:rsid w:val="00FD4EF2"/>
    <w:rsid w:val="00FD516F"/>
    <w:rsid w:val="00FD52D4"/>
    <w:rsid w:val="00FD5382"/>
    <w:rsid w:val="00FD5449"/>
    <w:rsid w:val="00FD588F"/>
    <w:rsid w:val="00FD5F0F"/>
    <w:rsid w:val="00FD6692"/>
    <w:rsid w:val="00FD6B80"/>
    <w:rsid w:val="00FD6CEC"/>
    <w:rsid w:val="00FD6F5B"/>
    <w:rsid w:val="00FD7313"/>
    <w:rsid w:val="00FD7464"/>
    <w:rsid w:val="00FD746F"/>
    <w:rsid w:val="00FD7602"/>
    <w:rsid w:val="00FD77AC"/>
    <w:rsid w:val="00FD7A7E"/>
    <w:rsid w:val="00FD7C6B"/>
    <w:rsid w:val="00FD7CCE"/>
    <w:rsid w:val="00FD7F5F"/>
    <w:rsid w:val="00FE0015"/>
    <w:rsid w:val="00FE01D2"/>
    <w:rsid w:val="00FE01D7"/>
    <w:rsid w:val="00FE0238"/>
    <w:rsid w:val="00FE061F"/>
    <w:rsid w:val="00FE06CC"/>
    <w:rsid w:val="00FE0A11"/>
    <w:rsid w:val="00FE0C66"/>
    <w:rsid w:val="00FE0E72"/>
    <w:rsid w:val="00FE1078"/>
    <w:rsid w:val="00FE1368"/>
    <w:rsid w:val="00FE136A"/>
    <w:rsid w:val="00FE1433"/>
    <w:rsid w:val="00FE1483"/>
    <w:rsid w:val="00FE17AF"/>
    <w:rsid w:val="00FE1961"/>
    <w:rsid w:val="00FE1B28"/>
    <w:rsid w:val="00FE1E1B"/>
    <w:rsid w:val="00FE1E8A"/>
    <w:rsid w:val="00FE1F33"/>
    <w:rsid w:val="00FE21F9"/>
    <w:rsid w:val="00FE27B2"/>
    <w:rsid w:val="00FE295B"/>
    <w:rsid w:val="00FE2D51"/>
    <w:rsid w:val="00FE2D9C"/>
    <w:rsid w:val="00FE31A3"/>
    <w:rsid w:val="00FE35AB"/>
    <w:rsid w:val="00FE3728"/>
    <w:rsid w:val="00FE3815"/>
    <w:rsid w:val="00FE3C24"/>
    <w:rsid w:val="00FE40A4"/>
    <w:rsid w:val="00FE4336"/>
    <w:rsid w:val="00FE476E"/>
    <w:rsid w:val="00FE478F"/>
    <w:rsid w:val="00FE4A3C"/>
    <w:rsid w:val="00FE4ACB"/>
    <w:rsid w:val="00FE4D46"/>
    <w:rsid w:val="00FE4DD2"/>
    <w:rsid w:val="00FE4E02"/>
    <w:rsid w:val="00FE54A7"/>
    <w:rsid w:val="00FE5692"/>
    <w:rsid w:val="00FE56BA"/>
    <w:rsid w:val="00FE56C7"/>
    <w:rsid w:val="00FE56E5"/>
    <w:rsid w:val="00FE5827"/>
    <w:rsid w:val="00FE5858"/>
    <w:rsid w:val="00FE599E"/>
    <w:rsid w:val="00FE5D8C"/>
    <w:rsid w:val="00FE5E6D"/>
    <w:rsid w:val="00FE5F76"/>
    <w:rsid w:val="00FE6785"/>
    <w:rsid w:val="00FE6791"/>
    <w:rsid w:val="00FE6B38"/>
    <w:rsid w:val="00FE6C43"/>
    <w:rsid w:val="00FE703A"/>
    <w:rsid w:val="00FE7493"/>
    <w:rsid w:val="00FE76A4"/>
    <w:rsid w:val="00FE7778"/>
    <w:rsid w:val="00FE78BC"/>
    <w:rsid w:val="00FE7A6F"/>
    <w:rsid w:val="00FE7B4D"/>
    <w:rsid w:val="00FE7B8C"/>
    <w:rsid w:val="00FE7DAB"/>
    <w:rsid w:val="00FF0445"/>
    <w:rsid w:val="00FF0540"/>
    <w:rsid w:val="00FF0646"/>
    <w:rsid w:val="00FF090E"/>
    <w:rsid w:val="00FF0973"/>
    <w:rsid w:val="00FF0EA3"/>
    <w:rsid w:val="00FF0FF9"/>
    <w:rsid w:val="00FF1861"/>
    <w:rsid w:val="00FF1A1E"/>
    <w:rsid w:val="00FF1B34"/>
    <w:rsid w:val="00FF1EDD"/>
    <w:rsid w:val="00FF2253"/>
    <w:rsid w:val="00FF22B3"/>
    <w:rsid w:val="00FF2456"/>
    <w:rsid w:val="00FF262C"/>
    <w:rsid w:val="00FF26DF"/>
    <w:rsid w:val="00FF27DD"/>
    <w:rsid w:val="00FF2931"/>
    <w:rsid w:val="00FF2A1E"/>
    <w:rsid w:val="00FF328E"/>
    <w:rsid w:val="00FF32BC"/>
    <w:rsid w:val="00FF36D5"/>
    <w:rsid w:val="00FF3A4D"/>
    <w:rsid w:val="00FF3ACB"/>
    <w:rsid w:val="00FF3B7B"/>
    <w:rsid w:val="00FF3BEE"/>
    <w:rsid w:val="00FF3DC9"/>
    <w:rsid w:val="00FF3EFF"/>
    <w:rsid w:val="00FF40A3"/>
    <w:rsid w:val="00FF423C"/>
    <w:rsid w:val="00FF42DA"/>
    <w:rsid w:val="00FF43E0"/>
    <w:rsid w:val="00FF474E"/>
    <w:rsid w:val="00FF47EF"/>
    <w:rsid w:val="00FF4A4A"/>
    <w:rsid w:val="00FF4B4B"/>
    <w:rsid w:val="00FF4BD0"/>
    <w:rsid w:val="00FF4D72"/>
    <w:rsid w:val="00FF4DFB"/>
    <w:rsid w:val="00FF4F16"/>
    <w:rsid w:val="00FF4F44"/>
    <w:rsid w:val="00FF4F62"/>
    <w:rsid w:val="00FF505B"/>
    <w:rsid w:val="00FF53C7"/>
    <w:rsid w:val="00FF5448"/>
    <w:rsid w:val="00FF558A"/>
    <w:rsid w:val="00FF56E4"/>
    <w:rsid w:val="00FF5703"/>
    <w:rsid w:val="00FF573F"/>
    <w:rsid w:val="00FF59C9"/>
    <w:rsid w:val="00FF5BBD"/>
    <w:rsid w:val="00FF5CD1"/>
    <w:rsid w:val="00FF5E25"/>
    <w:rsid w:val="00FF5EA2"/>
    <w:rsid w:val="00FF5FEE"/>
    <w:rsid w:val="00FF61B5"/>
    <w:rsid w:val="00FF6201"/>
    <w:rsid w:val="00FF6342"/>
    <w:rsid w:val="00FF645C"/>
    <w:rsid w:val="00FF6A58"/>
    <w:rsid w:val="00FF6BB7"/>
    <w:rsid w:val="00FF6DAF"/>
    <w:rsid w:val="00FF6F4C"/>
    <w:rsid w:val="00FF7183"/>
    <w:rsid w:val="00FF7804"/>
    <w:rsid w:val="00FF7EF2"/>
    <w:rsid w:val="00FF7FB9"/>
    <w:rsid w:val="025CF218"/>
    <w:rsid w:val="02DC42D6"/>
    <w:rsid w:val="03053015"/>
    <w:rsid w:val="05954BF9"/>
    <w:rsid w:val="0676BCFD"/>
    <w:rsid w:val="06C9031C"/>
    <w:rsid w:val="07B77756"/>
    <w:rsid w:val="084F54F2"/>
    <w:rsid w:val="08F071F4"/>
    <w:rsid w:val="097C6240"/>
    <w:rsid w:val="09CF1832"/>
    <w:rsid w:val="0A356284"/>
    <w:rsid w:val="0C58306E"/>
    <w:rsid w:val="0C64C30B"/>
    <w:rsid w:val="0D1D16EA"/>
    <w:rsid w:val="103C9D95"/>
    <w:rsid w:val="118094F3"/>
    <w:rsid w:val="11D86DF6"/>
    <w:rsid w:val="123F02F8"/>
    <w:rsid w:val="131D7C44"/>
    <w:rsid w:val="1337C331"/>
    <w:rsid w:val="13985F2E"/>
    <w:rsid w:val="14026C6B"/>
    <w:rsid w:val="14E18A95"/>
    <w:rsid w:val="155C9310"/>
    <w:rsid w:val="15DE2EC1"/>
    <w:rsid w:val="19C9272B"/>
    <w:rsid w:val="19EE09DB"/>
    <w:rsid w:val="1A61E611"/>
    <w:rsid w:val="1AA68193"/>
    <w:rsid w:val="1CF9D0AA"/>
    <w:rsid w:val="1D55F244"/>
    <w:rsid w:val="1D71BD8A"/>
    <w:rsid w:val="1E01EF8F"/>
    <w:rsid w:val="219C7787"/>
    <w:rsid w:val="22AF6447"/>
    <w:rsid w:val="22E15799"/>
    <w:rsid w:val="233EB31C"/>
    <w:rsid w:val="2669CAF2"/>
    <w:rsid w:val="26C946CA"/>
    <w:rsid w:val="27713039"/>
    <w:rsid w:val="27CE3B78"/>
    <w:rsid w:val="288B37CB"/>
    <w:rsid w:val="28AE5F3E"/>
    <w:rsid w:val="28FE2C7D"/>
    <w:rsid w:val="2946F858"/>
    <w:rsid w:val="2AAA6FC5"/>
    <w:rsid w:val="2C67CA0D"/>
    <w:rsid w:val="2D2E6116"/>
    <w:rsid w:val="2D58F4C5"/>
    <w:rsid w:val="2DAD1FFF"/>
    <w:rsid w:val="30B504DA"/>
    <w:rsid w:val="31CD656B"/>
    <w:rsid w:val="3234287A"/>
    <w:rsid w:val="3293896F"/>
    <w:rsid w:val="32F3A7D9"/>
    <w:rsid w:val="33333748"/>
    <w:rsid w:val="361AE552"/>
    <w:rsid w:val="371D7683"/>
    <w:rsid w:val="3726257C"/>
    <w:rsid w:val="382E4008"/>
    <w:rsid w:val="38D98A07"/>
    <w:rsid w:val="39367F52"/>
    <w:rsid w:val="395E2A97"/>
    <w:rsid w:val="3AA8E999"/>
    <w:rsid w:val="3BB6ADE7"/>
    <w:rsid w:val="3BEC6CF7"/>
    <w:rsid w:val="3D0273A0"/>
    <w:rsid w:val="3D75161C"/>
    <w:rsid w:val="3F9E499D"/>
    <w:rsid w:val="41109643"/>
    <w:rsid w:val="43E3C40A"/>
    <w:rsid w:val="43F64655"/>
    <w:rsid w:val="446DDF74"/>
    <w:rsid w:val="454467D0"/>
    <w:rsid w:val="4A48E732"/>
    <w:rsid w:val="4ABD6EF4"/>
    <w:rsid w:val="4B0EE3F5"/>
    <w:rsid w:val="4F060231"/>
    <w:rsid w:val="4F29CB6B"/>
    <w:rsid w:val="4F332D6B"/>
    <w:rsid w:val="508D45B7"/>
    <w:rsid w:val="5259645F"/>
    <w:rsid w:val="540C153B"/>
    <w:rsid w:val="54567136"/>
    <w:rsid w:val="551091E7"/>
    <w:rsid w:val="55614EE1"/>
    <w:rsid w:val="55B3E72F"/>
    <w:rsid w:val="56B45172"/>
    <w:rsid w:val="57DB683C"/>
    <w:rsid w:val="58ADB891"/>
    <w:rsid w:val="5D360B2F"/>
    <w:rsid w:val="5EFDE20B"/>
    <w:rsid w:val="5F1DB7E1"/>
    <w:rsid w:val="5F286D9F"/>
    <w:rsid w:val="618A4BD3"/>
    <w:rsid w:val="62E15D9B"/>
    <w:rsid w:val="62F00337"/>
    <w:rsid w:val="63138EF0"/>
    <w:rsid w:val="6333FEFC"/>
    <w:rsid w:val="65E7F734"/>
    <w:rsid w:val="664046B4"/>
    <w:rsid w:val="6692D9D4"/>
    <w:rsid w:val="669BFD2D"/>
    <w:rsid w:val="69CB87CD"/>
    <w:rsid w:val="69F86BFD"/>
    <w:rsid w:val="6AEE03B6"/>
    <w:rsid w:val="6B2CBC9D"/>
    <w:rsid w:val="6B3DC463"/>
    <w:rsid w:val="6D2B4070"/>
    <w:rsid w:val="6E0D839D"/>
    <w:rsid w:val="6E0DAE1C"/>
    <w:rsid w:val="6F350F2C"/>
    <w:rsid w:val="7253941D"/>
    <w:rsid w:val="734EFCE6"/>
    <w:rsid w:val="7500DB32"/>
    <w:rsid w:val="7600F030"/>
    <w:rsid w:val="76B1237A"/>
    <w:rsid w:val="77D1E42E"/>
    <w:rsid w:val="78DEEC48"/>
    <w:rsid w:val="79665E42"/>
    <w:rsid w:val="7ACD11C5"/>
    <w:rsid w:val="7AD5DC05"/>
    <w:rsid w:val="7AE13959"/>
    <w:rsid w:val="7BE447A2"/>
    <w:rsid w:val="7CF6ACAE"/>
    <w:rsid w:val="7EF3CE21"/>
    <w:rsid w:val="7F208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670F1"/>
  <w15:chartTrackingRefBased/>
  <w15:docId w15:val="{7E527745-63FA-4673-AC7A-ADCB53FE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88"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E0"/>
    <w:rPr>
      <w:rFonts w:ascii="Verdana" w:hAnsi="Verdana"/>
      <w:sz w:val="24"/>
    </w:rPr>
  </w:style>
  <w:style w:type="paragraph" w:styleId="Heading1">
    <w:name w:val="heading 1"/>
    <w:basedOn w:val="Normal"/>
    <w:next w:val="Normal"/>
    <w:link w:val="Heading1Char"/>
    <w:uiPriority w:val="9"/>
    <w:qFormat/>
    <w:rsid w:val="004B7A8F"/>
    <w:pPr>
      <w:keepNext/>
      <w:keepLines/>
      <w:spacing w:before="240" w:line="480" w:lineRule="auto"/>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AA751C"/>
    <w:pPr>
      <w:keepNext/>
      <w:keepLines/>
      <w:spacing w:before="40" w:line="480" w:lineRule="auto"/>
      <w:ind w:left="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72036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D20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51C"/>
    <w:rPr>
      <w:rFonts w:ascii="Verdana" w:eastAsiaTheme="majorEastAsia" w:hAnsi="Verdana" w:cstheme="majorBidi"/>
      <w:b/>
      <w:sz w:val="30"/>
      <w:szCs w:val="26"/>
    </w:rPr>
  </w:style>
  <w:style w:type="character" w:styleId="CommentReference">
    <w:name w:val="annotation reference"/>
    <w:basedOn w:val="DefaultParagraphFont"/>
    <w:unhideWhenUsed/>
    <w:rsid w:val="00A938B3"/>
    <w:rPr>
      <w:sz w:val="16"/>
      <w:szCs w:val="16"/>
    </w:rPr>
  </w:style>
  <w:style w:type="paragraph" w:styleId="CommentText">
    <w:name w:val="annotation text"/>
    <w:basedOn w:val="Normal"/>
    <w:link w:val="CommentTextChar"/>
    <w:unhideWhenUsed/>
    <w:rsid w:val="00A938B3"/>
    <w:pPr>
      <w:spacing w:line="240" w:lineRule="auto"/>
    </w:pPr>
    <w:rPr>
      <w:sz w:val="20"/>
      <w:szCs w:val="20"/>
    </w:rPr>
  </w:style>
  <w:style w:type="character" w:customStyle="1" w:styleId="CommentTextChar">
    <w:name w:val="Comment Text Char"/>
    <w:basedOn w:val="DefaultParagraphFont"/>
    <w:link w:val="CommentText"/>
    <w:rsid w:val="00A938B3"/>
    <w:rPr>
      <w:rFonts w:ascii="Verdana" w:hAnsi="Verdana"/>
      <w:sz w:val="20"/>
      <w:szCs w:val="20"/>
    </w:rPr>
  </w:style>
  <w:style w:type="paragraph" w:styleId="CommentSubject">
    <w:name w:val="annotation subject"/>
    <w:basedOn w:val="CommentText"/>
    <w:next w:val="CommentText"/>
    <w:link w:val="CommentSubjectChar"/>
    <w:unhideWhenUsed/>
    <w:rsid w:val="00A938B3"/>
    <w:rPr>
      <w:b/>
      <w:bCs/>
    </w:rPr>
  </w:style>
  <w:style w:type="character" w:customStyle="1" w:styleId="CommentSubjectChar">
    <w:name w:val="Comment Subject Char"/>
    <w:basedOn w:val="CommentTextChar"/>
    <w:link w:val="CommentSubject"/>
    <w:rsid w:val="00A938B3"/>
    <w:rPr>
      <w:rFonts w:ascii="Verdana" w:hAnsi="Verdana"/>
      <w:b/>
      <w:bCs/>
      <w:sz w:val="20"/>
      <w:szCs w:val="20"/>
    </w:rPr>
  </w:style>
  <w:style w:type="paragraph" w:styleId="BalloonText">
    <w:name w:val="Balloon Text"/>
    <w:basedOn w:val="Normal"/>
    <w:link w:val="BalloonTextChar"/>
    <w:uiPriority w:val="99"/>
    <w:semiHidden/>
    <w:unhideWhenUsed/>
    <w:rsid w:val="00A938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8B3"/>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1"/>
    <w:qFormat/>
    <w:rsid w:val="00E14735"/>
    <w:pPr>
      <w:contextualSpacing/>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E14735"/>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E14735"/>
    <w:rPr>
      <w:rFonts w:ascii="Verdana" w:hAnsi="Verdana"/>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E14735"/>
    <w:rPr>
      <w:vertAlign w:val="superscript"/>
    </w:rPr>
  </w:style>
  <w:style w:type="character" w:styleId="Hyperlink">
    <w:name w:val="Hyperlink"/>
    <w:basedOn w:val="DefaultParagraphFont"/>
    <w:uiPriority w:val="99"/>
    <w:unhideWhenUsed/>
    <w:rsid w:val="00932988"/>
    <w:rPr>
      <w:color w:val="0000FF"/>
      <w:u w:val="single"/>
    </w:rPr>
  </w:style>
  <w:style w:type="character" w:customStyle="1" w:styleId="Heading1Char">
    <w:name w:val="Heading 1 Char"/>
    <w:basedOn w:val="DefaultParagraphFont"/>
    <w:link w:val="Heading1"/>
    <w:uiPriority w:val="9"/>
    <w:rsid w:val="004B7A8F"/>
    <w:rPr>
      <w:rFonts w:ascii="Verdana" w:eastAsiaTheme="majorEastAsia" w:hAnsi="Verdana" w:cstheme="majorBidi"/>
      <w:b/>
      <w:color w:val="77328A"/>
      <w:sz w:val="32"/>
      <w:szCs w:val="32"/>
    </w:rPr>
  </w:style>
  <w:style w:type="paragraph" w:customStyle="1" w:styleId="footnote">
    <w:name w:val="footnote"/>
    <w:basedOn w:val="FootnoteText"/>
    <w:link w:val="footnoteChar"/>
    <w:rsid w:val="00CE0ACB"/>
    <w:rPr>
      <w:color w:val="7030A0"/>
      <w:sz w:val="16"/>
    </w:rPr>
  </w:style>
  <w:style w:type="paragraph" w:styleId="NormalWeb">
    <w:name w:val="Normal (Web)"/>
    <w:basedOn w:val="Normal"/>
    <w:uiPriority w:val="99"/>
    <w:unhideWhenUsed/>
    <w:rsid w:val="00DC69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ootnoteChar">
    <w:name w:val="footnote Char"/>
    <w:basedOn w:val="FootnoteTextChar"/>
    <w:link w:val="footnote"/>
    <w:rsid w:val="00CE0ACB"/>
    <w:rPr>
      <w:rFonts w:ascii="Verdana" w:hAnsi="Verdana"/>
      <w:color w:val="7030A0"/>
      <w:sz w:val="16"/>
      <w:szCs w:val="20"/>
    </w:rPr>
  </w:style>
  <w:style w:type="character" w:styleId="Emphasis">
    <w:name w:val="Emphasis"/>
    <w:basedOn w:val="DefaultParagraphFont"/>
    <w:uiPriority w:val="20"/>
    <w:qFormat/>
    <w:rsid w:val="00DC6957"/>
    <w:rPr>
      <w:i/>
      <w:iCs/>
    </w:rPr>
  </w:style>
  <w:style w:type="character" w:styleId="FollowedHyperlink">
    <w:name w:val="FollowedHyperlink"/>
    <w:basedOn w:val="DefaultParagraphFont"/>
    <w:uiPriority w:val="99"/>
    <w:semiHidden/>
    <w:unhideWhenUsed/>
    <w:rsid w:val="00A33B80"/>
    <w:rPr>
      <w:color w:val="954F72" w:themeColor="followedHyperlink"/>
      <w:u w:val="single"/>
    </w:rPr>
  </w:style>
  <w:style w:type="paragraph" w:customStyle="1" w:styleId="Default">
    <w:name w:val="Default"/>
    <w:rsid w:val="00ED04C8"/>
    <w:pPr>
      <w:autoSpaceDE w:val="0"/>
      <w:autoSpaceDN w:val="0"/>
      <w:adjustRightInd w:val="0"/>
      <w:spacing w:line="240" w:lineRule="auto"/>
    </w:pPr>
    <w:rPr>
      <w:rFonts w:ascii="Verdana" w:eastAsia="Times New Roman" w:hAnsi="Verdana" w:cs="Verdana"/>
      <w:color w:val="000000"/>
      <w:sz w:val="24"/>
      <w:szCs w:val="24"/>
    </w:rPr>
  </w:style>
  <w:style w:type="paragraph" w:customStyle="1" w:styleId="NIHRCfootnotes">
    <w:name w:val="NIHRC footnotes"/>
    <w:basedOn w:val="Normal"/>
    <w:link w:val="NIHRCfootnotesChar"/>
    <w:qFormat/>
    <w:rsid w:val="00587912"/>
    <w:pPr>
      <w:spacing w:after="160" w:line="259" w:lineRule="auto"/>
    </w:pPr>
    <w:rPr>
      <w:color w:val="77328A"/>
      <w:sz w:val="16"/>
    </w:rPr>
  </w:style>
  <w:style w:type="character" w:customStyle="1" w:styleId="NIHRCfootnotesChar">
    <w:name w:val="NIHRC footnotes Char"/>
    <w:basedOn w:val="DefaultParagraphFont"/>
    <w:link w:val="NIHRCfootnotes"/>
    <w:rsid w:val="00587912"/>
    <w:rPr>
      <w:rFonts w:ascii="Verdana" w:hAnsi="Verdana"/>
      <w:color w:val="77328A"/>
      <w:sz w:val="1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D04C8"/>
    <w:pPr>
      <w:spacing w:after="160" w:line="240" w:lineRule="exact"/>
      <w:jc w:val="both"/>
    </w:pPr>
    <w:rPr>
      <w:rFonts w:asciiTheme="minorHAnsi" w:hAnsiTheme="minorHAnsi"/>
      <w:vertAlign w:val="superscript"/>
    </w:rPr>
  </w:style>
  <w:style w:type="paragraph" w:styleId="TOCHeading">
    <w:name w:val="TOC Heading"/>
    <w:basedOn w:val="Heading1"/>
    <w:next w:val="Normal"/>
    <w:uiPriority w:val="39"/>
    <w:unhideWhenUsed/>
    <w:qFormat/>
    <w:rsid w:val="0068094E"/>
    <w:pPr>
      <w:spacing w:line="259" w:lineRule="auto"/>
      <w:outlineLvl w:val="9"/>
    </w:pPr>
    <w:rPr>
      <w:rFonts w:asciiTheme="majorHAnsi" w:hAnsiTheme="majorHAnsi"/>
      <w:b w:val="0"/>
      <w:color w:val="2E74B5" w:themeColor="accent1" w:themeShade="BF"/>
      <w:lang w:val="en-US"/>
    </w:rPr>
  </w:style>
  <w:style w:type="paragraph" w:styleId="TOC2">
    <w:name w:val="toc 2"/>
    <w:basedOn w:val="Normal"/>
    <w:next w:val="Normal"/>
    <w:autoRedefine/>
    <w:uiPriority w:val="39"/>
    <w:unhideWhenUsed/>
    <w:rsid w:val="0068094E"/>
    <w:pPr>
      <w:spacing w:after="100"/>
      <w:ind w:left="220"/>
    </w:pPr>
  </w:style>
  <w:style w:type="paragraph" w:styleId="TOC1">
    <w:name w:val="toc 1"/>
    <w:basedOn w:val="Normal"/>
    <w:next w:val="Normal"/>
    <w:autoRedefine/>
    <w:uiPriority w:val="39"/>
    <w:unhideWhenUsed/>
    <w:rsid w:val="00AD444F"/>
    <w:pPr>
      <w:tabs>
        <w:tab w:val="left" w:pos="1540"/>
        <w:tab w:val="right" w:leader="dot" w:pos="9016"/>
      </w:tabs>
      <w:spacing w:after="100"/>
      <w:ind w:hanging="720"/>
    </w:pPr>
    <w:rPr>
      <w:b/>
      <w:bCs/>
      <w:noProof/>
    </w:rPr>
  </w:style>
  <w:style w:type="paragraph" w:customStyle="1" w:styleId="Footnote0">
    <w:name w:val="Footnote"/>
    <w:basedOn w:val="FootnoteText"/>
    <w:link w:val="FootnoteChar0"/>
    <w:qFormat/>
    <w:rsid w:val="00587912"/>
    <w:rPr>
      <w:color w:val="77328A"/>
      <w:sz w:val="16"/>
      <w:szCs w:val="16"/>
    </w:rPr>
  </w:style>
  <w:style w:type="character" w:customStyle="1" w:styleId="FootnoteChar0">
    <w:name w:val="Footnote Char"/>
    <w:basedOn w:val="DefaultParagraphFont"/>
    <w:link w:val="Footnote0"/>
    <w:rsid w:val="00587912"/>
    <w:rPr>
      <w:rFonts w:ascii="Verdana" w:hAnsi="Verdana"/>
      <w:color w:val="77328A"/>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1"/>
    <w:qFormat/>
    <w:locked/>
    <w:rsid w:val="006B1B6A"/>
    <w:rPr>
      <w:rFonts w:ascii="Verdana" w:hAnsi="Verdana"/>
      <w:sz w:val="24"/>
    </w:rPr>
  </w:style>
  <w:style w:type="character" w:customStyle="1" w:styleId="author-twitter">
    <w:name w:val="author-twitter"/>
    <w:basedOn w:val="DefaultParagraphFont"/>
    <w:rsid w:val="00465F09"/>
  </w:style>
  <w:style w:type="character" w:customStyle="1" w:styleId="hgkelc">
    <w:name w:val="hgkelc"/>
    <w:basedOn w:val="DefaultParagraphFont"/>
    <w:rsid w:val="00465F09"/>
  </w:style>
  <w:style w:type="character" w:customStyle="1" w:styleId="kx21rb">
    <w:name w:val="kx21rb"/>
    <w:basedOn w:val="DefaultParagraphFont"/>
    <w:rsid w:val="00465F09"/>
  </w:style>
  <w:style w:type="character" w:customStyle="1" w:styleId="bylinename">
    <w:name w:val="byline__name"/>
    <w:basedOn w:val="DefaultParagraphFont"/>
    <w:rsid w:val="00465F09"/>
  </w:style>
  <w:style w:type="character" w:customStyle="1" w:styleId="bylinetitle">
    <w:name w:val="byline__title"/>
    <w:basedOn w:val="DefaultParagraphFont"/>
    <w:rsid w:val="00465F09"/>
  </w:style>
  <w:style w:type="character" w:styleId="Strong">
    <w:name w:val="Strong"/>
    <w:basedOn w:val="DefaultParagraphFont"/>
    <w:uiPriority w:val="22"/>
    <w:qFormat/>
    <w:rsid w:val="00447B21"/>
    <w:rPr>
      <w:b/>
      <w:bCs/>
    </w:rPr>
  </w:style>
  <w:style w:type="character" w:customStyle="1" w:styleId="Heading3Char">
    <w:name w:val="Heading 3 Char"/>
    <w:basedOn w:val="DefaultParagraphFont"/>
    <w:link w:val="Heading3"/>
    <w:uiPriority w:val="9"/>
    <w:rsid w:val="0072036E"/>
    <w:rPr>
      <w:rFonts w:asciiTheme="majorHAnsi" w:eastAsiaTheme="majorEastAsia" w:hAnsiTheme="majorHAnsi" w:cstheme="majorBidi"/>
      <w:color w:val="1F4D78" w:themeColor="accent1" w:themeShade="7F"/>
      <w:sz w:val="24"/>
      <w:szCs w:val="24"/>
    </w:rPr>
  </w:style>
  <w:style w:type="paragraph" w:customStyle="1" w:styleId="panel-pane">
    <w:name w:val="panel-pane"/>
    <w:basedOn w:val="Normal"/>
    <w:rsid w:val="004C7BA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abel-inline">
    <w:name w:val="label-inline"/>
    <w:basedOn w:val="DefaultParagraphFont"/>
    <w:rsid w:val="004C7BA6"/>
  </w:style>
  <w:style w:type="character" w:customStyle="1" w:styleId="date-display-single">
    <w:name w:val="date-display-single"/>
    <w:basedOn w:val="DefaultParagraphFont"/>
    <w:rsid w:val="004C7BA6"/>
  </w:style>
  <w:style w:type="paragraph" w:customStyle="1" w:styleId="story-bodyintroduction">
    <w:name w:val="story-body__introduction"/>
    <w:basedOn w:val="Normal"/>
    <w:rsid w:val="00687EC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invisible">
    <w:name w:val="element-invisible"/>
    <w:basedOn w:val="DefaultParagraphFont"/>
    <w:rsid w:val="00DF5ED4"/>
  </w:style>
  <w:style w:type="paragraph" w:customStyle="1" w:styleId="TitleHCH">
    <w:name w:val="Title_H_CH"/>
    <w:basedOn w:val="Normal"/>
    <w:next w:val="Normal"/>
    <w:qFormat/>
    <w:rsid w:val="00E32B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ascii="Times New Roman" w:hAnsi="Times New Roman" w:cs="Times New Roman"/>
      <w:b/>
      <w:spacing w:val="-2"/>
      <w:w w:val="103"/>
      <w:kern w:val="14"/>
      <w:sz w:val="28"/>
      <w:szCs w:val="20"/>
    </w:rPr>
  </w:style>
  <w:style w:type="paragraph" w:customStyle="1" w:styleId="SingleTxtG">
    <w:name w:val="_ Single Txt_G"/>
    <w:basedOn w:val="Normal"/>
    <w:link w:val="SingleTxtGChar"/>
    <w:qFormat/>
    <w:rsid w:val="009C545D"/>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9C545D"/>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530A2B"/>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530A2B"/>
    <w:rPr>
      <w:sz w:val="20"/>
      <w:szCs w:val="20"/>
    </w:rPr>
  </w:style>
  <w:style w:type="character" w:styleId="EndnoteReference">
    <w:name w:val="endnote reference"/>
    <w:basedOn w:val="DefaultParagraphFont"/>
    <w:uiPriority w:val="99"/>
    <w:semiHidden/>
    <w:unhideWhenUsed/>
    <w:rsid w:val="00530A2B"/>
    <w:rPr>
      <w:vertAlign w:val="superscript"/>
    </w:rPr>
  </w:style>
  <w:style w:type="character" w:customStyle="1" w:styleId="Heading4Char">
    <w:name w:val="Heading 4 Char"/>
    <w:basedOn w:val="DefaultParagraphFont"/>
    <w:link w:val="Heading4"/>
    <w:uiPriority w:val="9"/>
    <w:semiHidden/>
    <w:rsid w:val="00AD208B"/>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qFormat/>
    <w:rsid w:val="00A31800"/>
    <w:pPr>
      <w:ind w:left="1440" w:right="1440"/>
    </w:pPr>
    <w:rPr>
      <w:iCs/>
    </w:rPr>
  </w:style>
  <w:style w:type="character" w:customStyle="1" w:styleId="QuoteChar">
    <w:name w:val="Quote Char"/>
    <w:basedOn w:val="DefaultParagraphFont"/>
    <w:link w:val="Quote"/>
    <w:rsid w:val="00AD208B"/>
    <w:rPr>
      <w:rFonts w:ascii="Verdana" w:hAnsi="Verdana"/>
      <w:iCs/>
      <w:sz w:val="24"/>
    </w:rPr>
  </w:style>
  <w:style w:type="paragraph" w:customStyle="1" w:styleId="H23G">
    <w:name w:val="_ H_2/3_G"/>
    <w:basedOn w:val="Normal"/>
    <w:next w:val="Normal"/>
    <w:rsid w:val="00016D14"/>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1111FA"/>
    <w:pPr>
      <w:tabs>
        <w:tab w:val="center" w:pos="4513"/>
        <w:tab w:val="right" w:pos="9026"/>
      </w:tabs>
      <w:spacing w:line="240" w:lineRule="auto"/>
    </w:pPr>
  </w:style>
  <w:style w:type="character" w:customStyle="1" w:styleId="HeaderChar">
    <w:name w:val="Header Char"/>
    <w:basedOn w:val="DefaultParagraphFont"/>
    <w:link w:val="Header"/>
    <w:uiPriority w:val="99"/>
    <w:rsid w:val="001111FA"/>
    <w:rPr>
      <w:rFonts w:ascii="Verdana" w:hAnsi="Verdana"/>
    </w:rPr>
  </w:style>
  <w:style w:type="paragraph" w:styleId="Footer">
    <w:name w:val="footer"/>
    <w:basedOn w:val="Normal"/>
    <w:link w:val="FooterChar"/>
    <w:uiPriority w:val="99"/>
    <w:unhideWhenUsed/>
    <w:rsid w:val="001111FA"/>
    <w:pPr>
      <w:tabs>
        <w:tab w:val="center" w:pos="4513"/>
        <w:tab w:val="right" w:pos="9026"/>
      </w:tabs>
      <w:spacing w:line="240" w:lineRule="auto"/>
    </w:pPr>
  </w:style>
  <w:style w:type="character" w:customStyle="1" w:styleId="FooterChar">
    <w:name w:val="Footer Char"/>
    <w:basedOn w:val="DefaultParagraphFont"/>
    <w:link w:val="Footer"/>
    <w:uiPriority w:val="99"/>
    <w:rsid w:val="001111FA"/>
    <w:rPr>
      <w:rFonts w:ascii="Verdana" w:hAnsi="Verdana"/>
    </w:rPr>
  </w:style>
  <w:style w:type="paragraph" w:customStyle="1" w:styleId="BasicParagraph">
    <w:name w:val="[Basic Paragraph]"/>
    <w:basedOn w:val="Normal"/>
    <w:uiPriority w:val="99"/>
    <w:rsid w:val="00F82C55"/>
    <w:pPr>
      <w:widowControl w:val="0"/>
      <w:autoSpaceDE w:val="0"/>
      <w:autoSpaceDN w:val="0"/>
      <w:adjustRightInd w:val="0"/>
      <w:textAlignment w:val="center"/>
    </w:pPr>
    <w:rPr>
      <w:rFonts w:ascii="MinionPro-Regular" w:eastAsiaTheme="minorEastAsia" w:hAnsi="MinionPro-Regular" w:cs="MinionPro-Regular"/>
      <w:color w:val="000000"/>
      <w:szCs w:val="24"/>
    </w:rPr>
  </w:style>
  <w:style w:type="numbering" w:customStyle="1" w:styleId="CurrentList1">
    <w:name w:val="Current List1"/>
    <w:uiPriority w:val="99"/>
    <w:rsid w:val="006E7A05"/>
    <w:pPr>
      <w:numPr>
        <w:numId w:val="11"/>
      </w:numPr>
    </w:pPr>
  </w:style>
  <w:style w:type="paragraph" w:styleId="Revision">
    <w:name w:val="Revision"/>
    <w:hidden/>
    <w:uiPriority w:val="99"/>
    <w:semiHidden/>
    <w:rsid w:val="00FE703A"/>
    <w:pPr>
      <w:spacing w:line="240" w:lineRule="auto"/>
    </w:pPr>
    <w:rPr>
      <w:rFonts w:ascii="Verdana" w:hAnsi="Verdana"/>
      <w:sz w:val="24"/>
    </w:rPr>
  </w:style>
  <w:style w:type="character" w:customStyle="1" w:styleId="normaltextrun">
    <w:name w:val="normaltextrun"/>
    <w:basedOn w:val="DefaultParagraphFont"/>
    <w:rsid w:val="00623F0C"/>
  </w:style>
  <w:style w:type="character" w:customStyle="1" w:styleId="eop">
    <w:name w:val="eop"/>
    <w:basedOn w:val="DefaultParagraphFont"/>
    <w:rsid w:val="00623F0C"/>
  </w:style>
  <w:style w:type="paragraph" w:customStyle="1" w:styleId="NIHRCFootnotes0">
    <w:name w:val="NIHRC Footnotes"/>
    <w:basedOn w:val="Normal"/>
    <w:qFormat/>
    <w:rsid w:val="00AE206E"/>
    <w:pPr>
      <w:tabs>
        <w:tab w:val="left" w:pos="284"/>
      </w:tabs>
      <w:spacing w:line="240" w:lineRule="auto"/>
    </w:pPr>
    <w:rPr>
      <w:rFonts w:eastAsiaTheme="minorEastAsia" w:cs="Arial"/>
      <w:color w:val="77328A"/>
      <w:sz w:val="16"/>
      <w:szCs w:val="16"/>
    </w:rPr>
  </w:style>
  <w:style w:type="character" w:customStyle="1" w:styleId="cf01">
    <w:name w:val="cf01"/>
    <w:basedOn w:val="DefaultParagraphFont"/>
    <w:rsid w:val="00BA13E2"/>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2C573F"/>
    <w:rPr>
      <w:color w:val="605E5C"/>
      <w:shd w:val="clear" w:color="auto" w:fill="E1DFDD"/>
    </w:rPr>
  </w:style>
  <w:style w:type="character" w:customStyle="1" w:styleId="Mention1">
    <w:name w:val="Mention1"/>
    <w:basedOn w:val="DefaultParagraphFont"/>
    <w:uiPriority w:val="99"/>
    <w:unhideWhenUsed/>
    <w:rsid w:val="002C573F"/>
    <w:rPr>
      <w:color w:val="2B579A"/>
      <w:shd w:val="clear" w:color="auto" w:fill="E1DFDD"/>
    </w:rPr>
  </w:style>
  <w:style w:type="paragraph" w:styleId="NoSpacing">
    <w:name w:val="No Spacing"/>
    <w:uiPriority w:val="1"/>
    <w:qFormat/>
    <w:rsid w:val="00186986"/>
    <w:pPr>
      <w:spacing w:line="240" w:lineRule="auto"/>
    </w:pPr>
    <w:rPr>
      <w:rFonts w:ascii="Verdana" w:hAnsi="Verdana"/>
      <w:sz w:val="24"/>
    </w:rPr>
  </w:style>
  <w:style w:type="character" w:styleId="UnresolvedMention">
    <w:name w:val="Unresolved Mention"/>
    <w:basedOn w:val="DefaultParagraphFont"/>
    <w:uiPriority w:val="99"/>
    <w:semiHidden/>
    <w:unhideWhenUsed/>
    <w:rsid w:val="00CC2D57"/>
    <w:rPr>
      <w:color w:val="605E5C"/>
      <w:shd w:val="clear" w:color="auto" w:fill="E1DFDD"/>
    </w:rPr>
  </w:style>
  <w:style w:type="character" w:customStyle="1" w:styleId="ui-provider">
    <w:name w:val="ui-provider"/>
    <w:basedOn w:val="DefaultParagraphFont"/>
    <w:rsid w:val="00DE0A54"/>
  </w:style>
  <w:style w:type="character" w:customStyle="1" w:styleId="Hyperlink1">
    <w:name w:val="Hyperlink1"/>
    <w:basedOn w:val="DefaultParagraphFont"/>
    <w:uiPriority w:val="99"/>
    <w:unhideWhenUsed/>
    <w:rsid w:val="000B44A0"/>
    <w:rPr>
      <w:rFonts w:cs="Times New Roman"/>
      <w:color w:val="0563C1"/>
      <w:u w:val="single"/>
    </w:rPr>
  </w:style>
  <w:style w:type="paragraph" w:styleId="TOC3">
    <w:name w:val="toc 3"/>
    <w:basedOn w:val="Normal"/>
    <w:next w:val="Normal"/>
    <w:autoRedefine/>
    <w:uiPriority w:val="39"/>
    <w:unhideWhenUsed/>
    <w:rsid w:val="000B44A0"/>
    <w:pPr>
      <w:spacing w:after="100"/>
      <w:ind w:left="480"/>
    </w:pPr>
  </w:style>
  <w:style w:type="character" w:styleId="Mention">
    <w:name w:val="Mention"/>
    <w:basedOn w:val="DefaultParagraphFont"/>
    <w:uiPriority w:val="99"/>
    <w:unhideWhenUsed/>
    <w:rsid w:val="00FE7778"/>
    <w:rPr>
      <w:color w:val="2B579A"/>
      <w:shd w:val="clear" w:color="auto" w:fill="E1DFDD"/>
    </w:rPr>
  </w:style>
  <w:style w:type="character" w:customStyle="1" w:styleId="superscript">
    <w:name w:val="superscript"/>
    <w:basedOn w:val="DefaultParagraphFont"/>
    <w:rsid w:val="00CB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197">
      <w:bodyDiv w:val="1"/>
      <w:marLeft w:val="0"/>
      <w:marRight w:val="0"/>
      <w:marTop w:val="0"/>
      <w:marBottom w:val="0"/>
      <w:divBdr>
        <w:top w:val="none" w:sz="0" w:space="0" w:color="auto"/>
        <w:left w:val="none" w:sz="0" w:space="0" w:color="auto"/>
        <w:bottom w:val="none" w:sz="0" w:space="0" w:color="auto"/>
        <w:right w:val="none" w:sz="0" w:space="0" w:color="auto"/>
      </w:divBdr>
    </w:div>
    <w:div w:id="45840049">
      <w:bodyDiv w:val="1"/>
      <w:marLeft w:val="0"/>
      <w:marRight w:val="0"/>
      <w:marTop w:val="0"/>
      <w:marBottom w:val="0"/>
      <w:divBdr>
        <w:top w:val="none" w:sz="0" w:space="0" w:color="auto"/>
        <w:left w:val="none" w:sz="0" w:space="0" w:color="auto"/>
        <w:bottom w:val="none" w:sz="0" w:space="0" w:color="auto"/>
        <w:right w:val="none" w:sz="0" w:space="0" w:color="auto"/>
      </w:divBdr>
    </w:div>
    <w:div w:id="62262858">
      <w:bodyDiv w:val="1"/>
      <w:marLeft w:val="0"/>
      <w:marRight w:val="0"/>
      <w:marTop w:val="0"/>
      <w:marBottom w:val="0"/>
      <w:divBdr>
        <w:top w:val="none" w:sz="0" w:space="0" w:color="auto"/>
        <w:left w:val="none" w:sz="0" w:space="0" w:color="auto"/>
        <w:bottom w:val="none" w:sz="0" w:space="0" w:color="auto"/>
        <w:right w:val="none" w:sz="0" w:space="0" w:color="auto"/>
      </w:divBdr>
    </w:div>
    <w:div w:id="64574720">
      <w:bodyDiv w:val="1"/>
      <w:marLeft w:val="0"/>
      <w:marRight w:val="0"/>
      <w:marTop w:val="0"/>
      <w:marBottom w:val="0"/>
      <w:divBdr>
        <w:top w:val="none" w:sz="0" w:space="0" w:color="auto"/>
        <w:left w:val="none" w:sz="0" w:space="0" w:color="auto"/>
        <w:bottom w:val="none" w:sz="0" w:space="0" w:color="auto"/>
        <w:right w:val="none" w:sz="0" w:space="0" w:color="auto"/>
      </w:divBdr>
    </w:div>
    <w:div w:id="70123743">
      <w:bodyDiv w:val="1"/>
      <w:marLeft w:val="0"/>
      <w:marRight w:val="0"/>
      <w:marTop w:val="0"/>
      <w:marBottom w:val="0"/>
      <w:divBdr>
        <w:top w:val="none" w:sz="0" w:space="0" w:color="auto"/>
        <w:left w:val="none" w:sz="0" w:space="0" w:color="auto"/>
        <w:bottom w:val="none" w:sz="0" w:space="0" w:color="auto"/>
        <w:right w:val="none" w:sz="0" w:space="0" w:color="auto"/>
      </w:divBdr>
    </w:div>
    <w:div w:id="79640928">
      <w:bodyDiv w:val="1"/>
      <w:marLeft w:val="0"/>
      <w:marRight w:val="0"/>
      <w:marTop w:val="0"/>
      <w:marBottom w:val="0"/>
      <w:divBdr>
        <w:top w:val="none" w:sz="0" w:space="0" w:color="auto"/>
        <w:left w:val="none" w:sz="0" w:space="0" w:color="auto"/>
        <w:bottom w:val="none" w:sz="0" w:space="0" w:color="auto"/>
        <w:right w:val="none" w:sz="0" w:space="0" w:color="auto"/>
      </w:divBdr>
    </w:div>
    <w:div w:id="84961291">
      <w:bodyDiv w:val="1"/>
      <w:marLeft w:val="0"/>
      <w:marRight w:val="0"/>
      <w:marTop w:val="0"/>
      <w:marBottom w:val="0"/>
      <w:divBdr>
        <w:top w:val="none" w:sz="0" w:space="0" w:color="auto"/>
        <w:left w:val="none" w:sz="0" w:space="0" w:color="auto"/>
        <w:bottom w:val="none" w:sz="0" w:space="0" w:color="auto"/>
        <w:right w:val="none" w:sz="0" w:space="0" w:color="auto"/>
      </w:divBdr>
    </w:div>
    <w:div w:id="141048508">
      <w:bodyDiv w:val="1"/>
      <w:marLeft w:val="0"/>
      <w:marRight w:val="0"/>
      <w:marTop w:val="0"/>
      <w:marBottom w:val="0"/>
      <w:divBdr>
        <w:top w:val="none" w:sz="0" w:space="0" w:color="auto"/>
        <w:left w:val="none" w:sz="0" w:space="0" w:color="auto"/>
        <w:bottom w:val="none" w:sz="0" w:space="0" w:color="auto"/>
        <w:right w:val="none" w:sz="0" w:space="0" w:color="auto"/>
      </w:divBdr>
    </w:div>
    <w:div w:id="154691797">
      <w:bodyDiv w:val="1"/>
      <w:marLeft w:val="0"/>
      <w:marRight w:val="0"/>
      <w:marTop w:val="0"/>
      <w:marBottom w:val="0"/>
      <w:divBdr>
        <w:top w:val="none" w:sz="0" w:space="0" w:color="auto"/>
        <w:left w:val="none" w:sz="0" w:space="0" w:color="auto"/>
        <w:bottom w:val="none" w:sz="0" w:space="0" w:color="auto"/>
        <w:right w:val="none" w:sz="0" w:space="0" w:color="auto"/>
      </w:divBdr>
    </w:div>
    <w:div w:id="157311796">
      <w:bodyDiv w:val="1"/>
      <w:marLeft w:val="0"/>
      <w:marRight w:val="0"/>
      <w:marTop w:val="0"/>
      <w:marBottom w:val="0"/>
      <w:divBdr>
        <w:top w:val="none" w:sz="0" w:space="0" w:color="auto"/>
        <w:left w:val="none" w:sz="0" w:space="0" w:color="auto"/>
        <w:bottom w:val="none" w:sz="0" w:space="0" w:color="auto"/>
        <w:right w:val="none" w:sz="0" w:space="0" w:color="auto"/>
      </w:divBdr>
    </w:div>
    <w:div w:id="168376981">
      <w:bodyDiv w:val="1"/>
      <w:marLeft w:val="0"/>
      <w:marRight w:val="0"/>
      <w:marTop w:val="0"/>
      <w:marBottom w:val="0"/>
      <w:divBdr>
        <w:top w:val="none" w:sz="0" w:space="0" w:color="auto"/>
        <w:left w:val="none" w:sz="0" w:space="0" w:color="auto"/>
        <w:bottom w:val="none" w:sz="0" w:space="0" w:color="auto"/>
        <w:right w:val="none" w:sz="0" w:space="0" w:color="auto"/>
      </w:divBdr>
    </w:div>
    <w:div w:id="186450637">
      <w:bodyDiv w:val="1"/>
      <w:marLeft w:val="0"/>
      <w:marRight w:val="0"/>
      <w:marTop w:val="0"/>
      <w:marBottom w:val="0"/>
      <w:divBdr>
        <w:top w:val="none" w:sz="0" w:space="0" w:color="auto"/>
        <w:left w:val="none" w:sz="0" w:space="0" w:color="auto"/>
        <w:bottom w:val="none" w:sz="0" w:space="0" w:color="auto"/>
        <w:right w:val="none" w:sz="0" w:space="0" w:color="auto"/>
      </w:divBdr>
    </w:div>
    <w:div w:id="288900227">
      <w:bodyDiv w:val="1"/>
      <w:marLeft w:val="0"/>
      <w:marRight w:val="0"/>
      <w:marTop w:val="0"/>
      <w:marBottom w:val="0"/>
      <w:divBdr>
        <w:top w:val="none" w:sz="0" w:space="0" w:color="auto"/>
        <w:left w:val="none" w:sz="0" w:space="0" w:color="auto"/>
        <w:bottom w:val="none" w:sz="0" w:space="0" w:color="auto"/>
        <w:right w:val="none" w:sz="0" w:space="0" w:color="auto"/>
      </w:divBdr>
    </w:div>
    <w:div w:id="289676372">
      <w:bodyDiv w:val="1"/>
      <w:marLeft w:val="0"/>
      <w:marRight w:val="0"/>
      <w:marTop w:val="0"/>
      <w:marBottom w:val="0"/>
      <w:divBdr>
        <w:top w:val="none" w:sz="0" w:space="0" w:color="auto"/>
        <w:left w:val="none" w:sz="0" w:space="0" w:color="auto"/>
        <w:bottom w:val="none" w:sz="0" w:space="0" w:color="auto"/>
        <w:right w:val="none" w:sz="0" w:space="0" w:color="auto"/>
      </w:divBdr>
    </w:div>
    <w:div w:id="290863117">
      <w:bodyDiv w:val="1"/>
      <w:marLeft w:val="0"/>
      <w:marRight w:val="0"/>
      <w:marTop w:val="0"/>
      <w:marBottom w:val="0"/>
      <w:divBdr>
        <w:top w:val="none" w:sz="0" w:space="0" w:color="auto"/>
        <w:left w:val="none" w:sz="0" w:space="0" w:color="auto"/>
        <w:bottom w:val="none" w:sz="0" w:space="0" w:color="auto"/>
        <w:right w:val="none" w:sz="0" w:space="0" w:color="auto"/>
      </w:divBdr>
    </w:div>
    <w:div w:id="305161664">
      <w:bodyDiv w:val="1"/>
      <w:marLeft w:val="0"/>
      <w:marRight w:val="0"/>
      <w:marTop w:val="0"/>
      <w:marBottom w:val="0"/>
      <w:divBdr>
        <w:top w:val="none" w:sz="0" w:space="0" w:color="auto"/>
        <w:left w:val="none" w:sz="0" w:space="0" w:color="auto"/>
        <w:bottom w:val="none" w:sz="0" w:space="0" w:color="auto"/>
        <w:right w:val="none" w:sz="0" w:space="0" w:color="auto"/>
      </w:divBdr>
      <w:divsChild>
        <w:div w:id="1552379288">
          <w:marLeft w:val="0"/>
          <w:marRight w:val="0"/>
          <w:marTop w:val="0"/>
          <w:marBottom w:val="0"/>
          <w:divBdr>
            <w:top w:val="none" w:sz="0" w:space="0" w:color="auto"/>
            <w:left w:val="none" w:sz="0" w:space="0" w:color="auto"/>
            <w:bottom w:val="none" w:sz="0" w:space="0" w:color="auto"/>
            <w:right w:val="none" w:sz="0" w:space="0" w:color="auto"/>
          </w:divBdr>
          <w:divsChild>
            <w:div w:id="94793344">
              <w:marLeft w:val="0"/>
              <w:marRight w:val="0"/>
              <w:marTop w:val="0"/>
              <w:marBottom w:val="0"/>
              <w:divBdr>
                <w:top w:val="none" w:sz="0" w:space="0" w:color="auto"/>
                <w:left w:val="none" w:sz="0" w:space="0" w:color="auto"/>
                <w:bottom w:val="none" w:sz="0" w:space="0" w:color="auto"/>
                <w:right w:val="none" w:sz="0" w:space="0" w:color="auto"/>
              </w:divBdr>
            </w:div>
            <w:div w:id="522480977">
              <w:marLeft w:val="0"/>
              <w:marRight w:val="0"/>
              <w:marTop w:val="0"/>
              <w:marBottom w:val="0"/>
              <w:divBdr>
                <w:top w:val="none" w:sz="0" w:space="0" w:color="auto"/>
                <w:left w:val="none" w:sz="0" w:space="0" w:color="auto"/>
                <w:bottom w:val="none" w:sz="0" w:space="0" w:color="auto"/>
                <w:right w:val="none" w:sz="0" w:space="0" w:color="auto"/>
              </w:divBdr>
            </w:div>
            <w:div w:id="634145284">
              <w:marLeft w:val="0"/>
              <w:marRight w:val="0"/>
              <w:marTop w:val="0"/>
              <w:marBottom w:val="0"/>
              <w:divBdr>
                <w:top w:val="none" w:sz="0" w:space="0" w:color="auto"/>
                <w:left w:val="none" w:sz="0" w:space="0" w:color="auto"/>
                <w:bottom w:val="none" w:sz="0" w:space="0" w:color="auto"/>
                <w:right w:val="none" w:sz="0" w:space="0" w:color="auto"/>
              </w:divBdr>
            </w:div>
            <w:div w:id="636030666">
              <w:marLeft w:val="0"/>
              <w:marRight w:val="0"/>
              <w:marTop w:val="0"/>
              <w:marBottom w:val="0"/>
              <w:divBdr>
                <w:top w:val="none" w:sz="0" w:space="0" w:color="auto"/>
                <w:left w:val="none" w:sz="0" w:space="0" w:color="auto"/>
                <w:bottom w:val="none" w:sz="0" w:space="0" w:color="auto"/>
                <w:right w:val="none" w:sz="0" w:space="0" w:color="auto"/>
              </w:divBdr>
            </w:div>
            <w:div w:id="1188445312">
              <w:marLeft w:val="0"/>
              <w:marRight w:val="0"/>
              <w:marTop w:val="0"/>
              <w:marBottom w:val="0"/>
              <w:divBdr>
                <w:top w:val="none" w:sz="0" w:space="0" w:color="auto"/>
                <w:left w:val="none" w:sz="0" w:space="0" w:color="auto"/>
                <w:bottom w:val="none" w:sz="0" w:space="0" w:color="auto"/>
                <w:right w:val="none" w:sz="0" w:space="0" w:color="auto"/>
              </w:divBdr>
            </w:div>
            <w:div w:id="1262182034">
              <w:marLeft w:val="0"/>
              <w:marRight w:val="0"/>
              <w:marTop w:val="0"/>
              <w:marBottom w:val="0"/>
              <w:divBdr>
                <w:top w:val="none" w:sz="0" w:space="0" w:color="auto"/>
                <w:left w:val="none" w:sz="0" w:space="0" w:color="auto"/>
                <w:bottom w:val="none" w:sz="0" w:space="0" w:color="auto"/>
                <w:right w:val="none" w:sz="0" w:space="0" w:color="auto"/>
              </w:divBdr>
            </w:div>
            <w:div w:id="1507790394">
              <w:marLeft w:val="0"/>
              <w:marRight w:val="0"/>
              <w:marTop w:val="0"/>
              <w:marBottom w:val="0"/>
              <w:divBdr>
                <w:top w:val="none" w:sz="0" w:space="0" w:color="auto"/>
                <w:left w:val="none" w:sz="0" w:space="0" w:color="auto"/>
                <w:bottom w:val="none" w:sz="0" w:space="0" w:color="auto"/>
                <w:right w:val="none" w:sz="0" w:space="0" w:color="auto"/>
              </w:divBdr>
            </w:div>
            <w:div w:id="16536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8565">
      <w:bodyDiv w:val="1"/>
      <w:marLeft w:val="0"/>
      <w:marRight w:val="0"/>
      <w:marTop w:val="0"/>
      <w:marBottom w:val="0"/>
      <w:divBdr>
        <w:top w:val="none" w:sz="0" w:space="0" w:color="auto"/>
        <w:left w:val="none" w:sz="0" w:space="0" w:color="auto"/>
        <w:bottom w:val="none" w:sz="0" w:space="0" w:color="auto"/>
        <w:right w:val="none" w:sz="0" w:space="0" w:color="auto"/>
      </w:divBdr>
    </w:div>
    <w:div w:id="328680145">
      <w:bodyDiv w:val="1"/>
      <w:marLeft w:val="0"/>
      <w:marRight w:val="0"/>
      <w:marTop w:val="0"/>
      <w:marBottom w:val="0"/>
      <w:divBdr>
        <w:top w:val="none" w:sz="0" w:space="0" w:color="auto"/>
        <w:left w:val="none" w:sz="0" w:space="0" w:color="auto"/>
        <w:bottom w:val="none" w:sz="0" w:space="0" w:color="auto"/>
        <w:right w:val="none" w:sz="0" w:space="0" w:color="auto"/>
      </w:divBdr>
    </w:div>
    <w:div w:id="360474045">
      <w:bodyDiv w:val="1"/>
      <w:marLeft w:val="0"/>
      <w:marRight w:val="0"/>
      <w:marTop w:val="0"/>
      <w:marBottom w:val="0"/>
      <w:divBdr>
        <w:top w:val="none" w:sz="0" w:space="0" w:color="auto"/>
        <w:left w:val="none" w:sz="0" w:space="0" w:color="auto"/>
        <w:bottom w:val="none" w:sz="0" w:space="0" w:color="auto"/>
        <w:right w:val="none" w:sz="0" w:space="0" w:color="auto"/>
      </w:divBdr>
    </w:div>
    <w:div w:id="394667620">
      <w:bodyDiv w:val="1"/>
      <w:marLeft w:val="0"/>
      <w:marRight w:val="0"/>
      <w:marTop w:val="0"/>
      <w:marBottom w:val="0"/>
      <w:divBdr>
        <w:top w:val="none" w:sz="0" w:space="0" w:color="auto"/>
        <w:left w:val="none" w:sz="0" w:space="0" w:color="auto"/>
        <w:bottom w:val="none" w:sz="0" w:space="0" w:color="auto"/>
        <w:right w:val="none" w:sz="0" w:space="0" w:color="auto"/>
      </w:divBdr>
    </w:div>
    <w:div w:id="396629953">
      <w:bodyDiv w:val="1"/>
      <w:marLeft w:val="0"/>
      <w:marRight w:val="0"/>
      <w:marTop w:val="0"/>
      <w:marBottom w:val="0"/>
      <w:divBdr>
        <w:top w:val="none" w:sz="0" w:space="0" w:color="auto"/>
        <w:left w:val="none" w:sz="0" w:space="0" w:color="auto"/>
        <w:bottom w:val="none" w:sz="0" w:space="0" w:color="auto"/>
        <w:right w:val="none" w:sz="0" w:space="0" w:color="auto"/>
      </w:divBdr>
    </w:div>
    <w:div w:id="442311153">
      <w:bodyDiv w:val="1"/>
      <w:marLeft w:val="0"/>
      <w:marRight w:val="0"/>
      <w:marTop w:val="0"/>
      <w:marBottom w:val="0"/>
      <w:divBdr>
        <w:top w:val="none" w:sz="0" w:space="0" w:color="auto"/>
        <w:left w:val="none" w:sz="0" w:space="0" w:color="auto"/>
        <w:bottom w:val="none" w:sz="0" w:space="0" w:color="auto"/>
        <w:right w:val="none" w:sz="0" w:space="0" w:color="auto"/>
      </w:divBdr>
    </w:div>
    <w:div w:id="455754638">
      <w:bodyDiv w:val="1"/>
      <w:marLeft w:val="0"/>
      <w:marRight w:val="0"/>
      <w:marTop w:val="0"/>
      <w:marBottom w:val="0"/>
      <w:divBdr>
        <w:top w:val="none" w:sz="0" w:space="0" w:color="auto"/>
        <w:left w:val="none" w:sz="0" w:space="0" w:color="auto"/>
        <w:bottom w:val="none" w:sz="0" w:space="0" w:color="auto"/>
        <w:right w:val="none" w:sz="0" w:space="0" w:color="auto"/>
      </w:divBdr>
    </w:div>
    <w:div w:id="463499203">
      <w:bodyDiv w:val="1"/>
      <w:marLeft w:val="0"/>
      <w:marRight w:val="0"/>
      <w:marTop w:val="0"/>
      <w:marBottom w:val="0"/>
      <w:divBdr>
        <w:top w:val="none" w:sz="0" w:space="0" w:color="auto"/>
        <w:left w:val="none" w:sz="0" w:space="0" w:color="auto"/>
        <w:bottom w:val="none" w:sz="0" w:space="0" w:color="auto"/>
        <w:right w:val="none" w:sz="0" w:space="0" w:color="auto"/>
      </w:divBdr>
    </w:div>
    <w:div w:id="469053553">
      <w:bodyDiv w:val="1"/>
      <w:marLeft w:val="0"/>
      <w:marRight w:val="0"/>
      <w:marTop w:val="0"/>
      <w:marBottom w:val="0"/>
      <w:divBdr>
        <w:top w:val="none" w:sz="0" w:space="0" w:color="auto"/>
        <w:left w:val="none" w:sz="0" w:space="0" w:color="auto"/>
        <w:bottom w:val="none" w:sz="0" w:space="0" w:color="auto"/>
        <w:right w:val="none" w:sz="0" w:space="0" w:color="auto"/>
      </w:divBdr>
    </w:div>
    <w:div w:id="531772727">
      <w:bodyDiv w:val="1"/>
      <w:marLeft w:val="0"/>
      <w:marRight w:val="0"/>
      <w:marTop w:val="0"/>
      <w:marBottom w:val="0"/>
      <w:divBdr>
        <w:top w:val="none" w:sz="0" w:space="0" w:color="auto"/>
        <w:left w:val="none" w:sz="0" w:space="0" w:color="auto"/>
        <w:bottom w:val="none" w:sz="0" w:space="0" w:color="auto"/>
        <w:right w:val="none" w:sz="0" w:space="0" w:color="auto"/>
      </w:divBdr>
    </w:div>
    <w:div w:id="579408447">
      <w:bodyDiv w:val="1"/>
      <w:marLeft w:val="0"/>
      <w:marRight w:val="0"/>
      <w:marTop w:val="0"/>
      <w:marBottom w:val="0"/>
      <w:divBdr>
        <w:top w:val="none" w:sz="0" w:space="0" w:color="auto"/>
        <w:left w:val="none" w:sz="0" w:space="0" w:color="auto"/>
        <w:bottom w:val="none" w:sz="0" w:space="0" w:color="auto"/>
        <w:right w:val="none" w:sz="0" w:space="0" w:color="auto"/>
      </w:divBdr>
    </w:div>
    <w:div w:id="624193946">
      <w:bodyDiv w:val="1"/>
      <w:marLeft w:val="0"/>
      <w:marRight w:val="0"/>
      <w:marTop w:val="0"/>
      <w:marBottom w:val="0"/>
      <w:divBdr>
        <w:top w:val="none" w:sz="0" w:space="0" w:color="auto"/>
        <w:left w:val="none" w:sz="0" w:space="0" w:color="auto"/>
        <w:bottom w:val="none" w:sz="0" w:space="0" w:color="auto"/>
        <w:right w:val="none" w:sz="0" w:space="0" w:color="auto"/>
      </w:divBdr>
    </w:div>
    <w:div w:id="637565529">
      <w:bodyDiv w:val="1"/>
      <w:marLeft w:val="0"/>
      <w:marRight w:val="0"/>
      <w:marTop w:val="0"/>
      <w:marBottom w:val="0"/>
      <w:divBdr>
        <w:top w:val="none" w:sz="0" w:space="0" w:color="auto"/>
        <w:left w:val="none" w:sz="0" w:space="0" w:color="auto"/>
        <w:bottom w:val="none" w:sz="0" w:space="0" w:color="auto"/>
        <w:right w:val="none" w:sz="0" w:space="0" w:color="auto"/>
      </w:divBdr>
    </w:div>
    <w:div w:id="650792218">
      <w:bodyDiv w:val="1"/>
      <w:marLeft w:val="0"/>
      <w:marRight w:val="0"/>
      <w:marTop w:val="0"/>
      <w:marBottom w:val="0"/>
      <w:divBdr>
        <w:top w:val="none" w:sz="0" w:space="0" w:color="auto"/>
        <w:left w:val="none" w:sz="0" w:space="0" w:color="auto"/>
        <w:bottom w:val="none" w:sz="0" w:space="0" w:color="auto"/>
        <w:right w:val="none" w:sz="0" w:space="0" w:color="auto"/>
      </w:divBdr>
    </w:div>
    <w:div w:id="741875356">
      <w:bodyDiv w:val="1"/>
      <w:marLeft w:val="0"/>
      <w:marRight w:val="0"/>
      <w:marTop w:val="0"/>
      <w:marBottom w:val="0"/>
      <w:divBdr>
        <w:top w:val="none" w:sz="0" w:space="0" w:color="auto"/>
        <w:left w:val="none" w:sz="0" w:space="0" w:color="auto"/>
        <w:bottom w:val="none" w:sz="0" w:space="0" w:color="auto"/>
        <w:right w:val="none" w:sz="0" w:space="0" w:color="auto"/>
      </w:divBdr>
    </w:div>
    <w:div w:id="777062255">
      <w:bodyDiv w:val="1"/>
      <w:marLeft w:val="0"/>
      <w:marRight w:val="0"/>
      <w:marTop w:val="0"/>
      <w:marBottom w:val="0"/>
      <w:divBdr>
        <w:top w:val="none" w:sz="0" w:space="0" w:color="auto"/>
        <w:left w:val="none" w:sz="0" w:space="0" w:color="auto"/>
        <w:bottom w:val="none" w:sz="0" w:space="0" w:color="auto"/>
        <w:right w:val="none" w:sz="0" w:space="0" w:color="auto"/>
      </w:divBdr>
    </w:div>
    <w:div w:id="791438464">
      <w:bodyDiv w:val="1"/>
      <w:marLeft w:val="0"/>
      <w:marRight w:val="0"/>
      <w:marTop w:val="0"/>
      <w:marBottom w:val="0"/>
      <w:divBdr>
        <w:top w:val="none" w:sz="0" w:space="0" w:color="auto"/>
        <w:left w:val="none" w:sz="0" w:space="0" w:color="auto"/>
        <w:bottom w:val="none" w:sz="0" w:space="0" w:color="auto"/>
        <w:right w:val="none" w:sz="0" w:space="0" w:color="auto"/>
      </w:divBdr>
    </w:div>
    <w:div w:id="795757970">
      <w:bodyDiv w:val="1"/>
      <w:marLeft w:val="0"/>
      <w:marRight w:val="0"/>
      <w:marTop w:val="0"/>
      <w:marBottom w:val="0"/>
      <w:divBdr>
        <w:top w:val="none" w:sz="0" w:space="0" w:color="auto"/>
        <w:left w:val="none" w:sz="0" w:space="0" w:color="auto"/>
        <w:bottom w:val="none" w:sz="0" w:space="0" w:color="auto"/>
        <w:right w:val="none" w:sz="0" w:space="0" w:color="auto"/>
      </w:divBdr>
    </w:div>
    <w:div w:id="800533131">
      <w:bodyDiv w:val="1"/>
      <w:marLeft w:val="0"/>
      <w:marRight w:val="0"/>
      <w:marTop w:val="0"/>
      <w:marBottom w:val="0"/>
      <w:divBdr>
        <w:top w:val="none" w:sz="0" w:space="0" w:color="auto"/>
        <w:left w:val="none" w:sz="0" w:space="0" w:color="auto"/>
        <w:bottom w:val="none" w:sz="0" w:space="0" w:color="auto"/>
        <w:right w:val="none" w:sz="0" w:space="0" w:color="auto"/>
      </w:divBdr>
    </w:div>
    <w:div w:id="822887300">
      <w:bodyDiv w:val="1"/>
      <w:marLeft w:val="0"/>
      <w:marRight w:val="0"/>
      <w:marTop w:val="0"/>
      <w:marBottom w:val="0"/>
      <w:divBdr>
        <w:top w:val="none" w:sz="0" w:space="0" w:color="auto"/>
        <w:left w:val="none" w:sz="0" w:space="0" w:color="auto"/>
        <w:bottom w:val="none" w:sz="0" w:space="0" w:color="auto"/>
        <w:right w:val="none" w:sz="0" w:space="0" w:color="auto"/>
      </w:divBdr>
    </w:div>
    <w:div w:id="826896219">
      <w:bodyDiv w:val="1"/>
      <w:marLeft w:val="0"/>
      <w:marRight w:val="0"/>
      <w:marTop w:val="0"/>
      <w:marBottom w:val="0"/>
      <w:divBdr>
        <w:top w:val="none" w:sz="0" w:space="0" w:color="auto"/>
        <w:left w:val="none" w:sz="0" w:space="0" w:color="auto"/>
        <w:bottom w:val="none" w:sz="0" w:space="0" w:color="auto"/>
        <w:right w:val="none" w:sz="0" w:space="0" w:color="auto"/>
      </w:divBdr>
    </w:div>
    <w:div w:id="847332746">
      <w:bodyDiv w:val="1"/>
      <w:marLeft w:val="0"/>
      <w:marRight w:val="0"/>
      <w:marTop w:val="0"/>
      <w:marBottom w:val="0"/>
      <w:divBdr>
        <w:top w:val="none" w:sz="0" w:space="0" w:color="auto"/>
        <w:left w:val="none" w:sz="0" w:space="0" w:color="auto"/>
        <w:bottom w:val="none" w:sz="0" w:space="0" w:color="auto"/>
        <w:right w:val="none" w:sz="0" w:space="0" w:color="auto"/>
      </w:divBdr>
    </w:div>
    <w:div w:id="869224168">
      <w:bodyDiv w:val="1"/>
      <w:marLeft w:val="0"/>
      <w:marRight w:val="0"/>
      <w:marTop w:val="0"/>
      <w:marBottom w:val="0"/>
      <w:divBdr>
        <w:top w:val="none" w:sz="0" w:space="0" w:color="auto"/>
        <w:left w:val="none" w:sz="0" w:space="0" w:color="auto"/>
        <w:bottom w:val="none" w:sz="0" w:space="0" w:color="auto"/>
        <w:right w:val="none" w:sz="0" w:space="0" w:color="auto"/>
      </w:divBdr>
    </w:div>
    <w:div w:id="893007040">
      <w:bodyDiv w:val="1"/>
      <w:marLeft w:val="0"/>
      <w:marRight w:val="0"/>
      <w:marTop w:val="0"/>
      <w:marBottom w:val="0"/>
      <w:divBdr>
        <w:top w:val="none" w:sz="0" w:space="0" w:color="auto"/>
        <w:left w:val="none" w:sz="0" w:space="0" w:color="auto"/>
        <w:bottom w:val="none" w:sz="0" w:space="0" w:color="auto"/>
        <w:right w:val="none" w:sz="0" w:space="0" w:color="auto"/>
      </w:divBdr>
    </w:div>
    <w:div w:id="898904347">
      <w:bodyDiv w:val="1"/>
      <w:marLeft w:val="0"/>
      <w:marRight w:val="0"/>
      <w:marTop w:val="0"/>
      <w:marBottom w:val="0"/>
      <w:divBdr>
        <w:top w:val="none" w:sz="0" w:space="0" w:color="auto"/>
        <w:left w:val="none" w:sz="0" w:space="0" w:color="auto"/>
        <w:bottom w:val="none" w:sz="0" w:space="0" w:color="auto"/>
        <w:right w:val="none" w:sz="0" w:space="0" w:color="auto"/>
      </w:divBdr>
    </w:div>
    <w:div w:id="922103364">
      <w:bodyDiv w:val="1"/>
      <w:marLeft w:val="0"/>
      <w:marRight w:val="0"/>
      <w:marTop w:val="0"/>
      <w:marBottom w:val="0"/>
      <w:divBdr>
        <w:top w:val="none" w:sz="0" w:space="0" w:color="auto"/>
        <w:left w:val="none" w:sz="0" w:space="0" w:color="auto"/>
        <w:bottom w:val="none" w:sz="0" w:space="0" w:color="auto"/>
        <w:right w:val="none" w:sz="0" w:space="0" w:color="auto"/>
      </w:divBdr>
    </w:div>
    <w:div w:id="926421587">
      <w:bodyDiv w:val="1"/>
      <w:marLeft w:val="0"/>
      <w:marRight w:val="0"/>
      <w:marTop w:val="0"/>
      <w:marBottom w:val="0"/>
      <w:divBdr>
        <w:top w:val="none" w:sz="0" w:space="0" w:color="auto"/>
        <w:left w:val="none" w:sz="0" w:space="0" w:color="auto"/>
        <w:bottom w:val="none" w:sz="0" w:space="0" w:color="auto"/>
        <w:right w:val="none" w:sz="0" w:space="0" w:color="auto"/>
      </w:divBdr>
    </w:div>
    <w:div w:id="940338952">
      <w:bodyDiv w:val="1"/>
      <w:marLeft w:val="0"/>
      <w:marRight w:val="0"/>
      <w:marTop w:val="0"/>
      <w:marBottom w:val="0"/>
      <w:divBdr>
        <w:top w:val="none" w:sz="0" w:space="0" w:color="auto"/>
        <w:left w:val="none" w:sz="0" w:space="0" w:color="auto"/>
        <w:bottom w:val="none" w:sz="0" w:space="0" w:color="auto"/>
        <w:right w:val="none" w:sz="0" w:space="0" w:color="auto"/>
      </w:divBdr>
    </w:div>
    <w:div w:id="941883520">
      <w:bodyDiv w:val="1"/>
      <w:marLeft w:val="0"/>
      <w:marRight w:val="0"/>
      <w:marTop w:val="0"/>
      <w:marBottom w:val="0"/>
      <w:divBdr>
        <w:top w:val="none" w:sz="0" w:space="0" w:color="auto"/>
        <w:left w:val="none" w:sz="0" w:space="0" w:color="auto"/>
        <w:bottom w:val="none" w:sz="0" w:space="0" w:color="auto"/>
        <w:right w:val="none" w:sz="0" w:space="0" w:color="auto"/>
      </w:divBdr>
    </w:div>
    <w:div w:id="954992406">
      <w:bodyDiv w:val="1"/>
      <w:marLeft w:val="0"/>
      <w:marRight w:val="0"/>
      <w:marTop w:val="0"/>
      <w:marBottom w:val="0"/>
      <w:divBdr>
        <w:top w:val="none" w:sz="0" w:space="0" w:color="auto"/>
        <w:left w:val="none" w:sz="0" w:space="0" w:color="auto"/>
        <w:bottom w:val="none" w:sz="0" w:space="0" w:color="auto"/>
        <w:right w:val="none" w:sz="0" w:space="0" w:color="auto"/>
      </w:divBdr>
    </w:div>
    <w:div w:id="988440008">
      <w:bodyDiv w:val="1"/>
      <w:marLeft w:val="0"/>
      <w:marRight w:val="0"/>
      <w:marTop w:val="0"/>
      <w:marBottom w:val="0"/>
      <w:divBdr>
        <w:top w:val="none" w:sz="0" w:space="0" w:color="auto"/>
        <w:left w:val="none" w:sz="0" w:space="0" w:color="auto"/>
        <w:bottom w:val="none" w:sz="0" w:space="0" w:color="auto"/>
        <w:right w:val="none" w:sz="0" w:space="0" w:color="auto"/>
      </w:divBdr>
    </w:div>
    <w:div w:id="1056974463">
      <w:bodyDiv w:val="1"/>
      <w:marLeft w:val="0"/>
      <w:marRight w:val="0"/>
      <w:marTop w:val="0"/>
      <w:marBottom w:val="0"/>
      <w:divBdr>
        <w:top w:val="none" w:sz="0" w:space="0" w:color="auto"/>
        <w:left w:val="none" w:sz="0" w:space="0" w:color="auto"/>
        <w:bottom w:val="none" w:sz="0" w:space="0" w:color="auto"/>
        <w:right w:val="none" w:sz="0" w:space="0" w:color="auto"/>
      </w:divBdr>
      <w:divsChild>
        <w:div w:id="1596934701">
          <w:marLeft w:val="0"/>
          <w:marRight w:val="0"/>
          <w:marTop w:val="240"/>
          <w:marBottom w:val="0"/>
          <w:divBdr>
            <w:top w:val="none" w:sz="0" w:space="0" w:color="auto"/>
            <w:left w:val="none" w:sz="0" w:space="0" w:color="auto"/>
            <w:bottom w:val="none" w:sz="0" w:space="0" w:color="auto"/>
            <w:right w:val="none" w:sz="0" w:space="0" w:color="auto"/>
          </w:divBdr>
        </w:div>
      </w:divsChild>
    </w:div>
    <w:div w:id="1086727959">
      <w:bodyDiv w:val="1"/>
      <w:marLeft w:val="0"/>
      <w:marRight w:val="0"/>
      <w:marTop w:val="0"/>
      <w:marBottom w:val="0"/>
      <w:divBdr>
        <w:top w:val="none" w:sz="0" w:space="0" w:color="auto"/>
        <w:left w:val="none" w:sz="0" w:space="0" w:color="auto"/>
        <w:bottom w:val="none" w:sz="0" w:space="0" w:color="auto"/>
        <w:right w:val="none" w:sz="0" w:space="0" w:color="auto"/>
      </w:divBdr>
    </w:div>
    <w:div w:id="1100301212">
      <w:bodyDiv w:val="1"/>
      <w:marLeft w:val="0"/>
      <w:marRight w:val="0"/>
      <w:marTop w:val="0"/>
      <w:marBottom w:val="0"/>
      <w:divBdr>
        <w:top w:val="none" w:sz="0" w:space="0" w:color="auto"/>
        <w:left w:val="none" w:sz="0" w:space="0" w:color="auto"/>
        <w:bottom w:val="none" w:sz="0" w:space="0" w:color="auto"/>
        <w:right w:val="none" w:sz="0" w:space="0" w:color="auto"/>
      </w:divBdr>
    </w:div>
    <w:div w:id="1102920632">
      <w:bodyDiv w:val="1"/>
      <w:marLeft w:val="0"/>
      <w:marRight w:val="0"/>
      <w:marTop w:val="0"/>
      <w:marBottom w:val="0"/>
      <w:divBdr>
        <w:top w:val="none" w:sz="0" w:space="0" w:color="auto"/>
        <w:left w:val="none" w:sz="0" w:space="0" w:color="auto"/>
        <w:bottom w:val="none" w:sz="0" w:space="0" w:color="auto"/>
        <w:right w:val="none" w:sz="0" w:space="0" w:color="auto"/>
      </w:divBdr>
      <w:divsChild>
        <w:div w:id="846796726">
          <w:marLeft w:val="0"/>
          <w:marRight w:val="0"/>
          <w:marTop w:val="0"/>
          <w:marBottom w:val="0"/>
          <w:divBdr>
            <w:top w:val="single" w:sz="2" w:space="0" w:color="D9D9E3"/>
            <w:left w:val="single" w:sz="2" w:space="0" w:color="D9D9E3"/>
            <w:bottom w:val="single" w:sz="2" w:space="0" w:color="D9D9E3"/>
            <w:right w:val="single" w:sz="2" w:space="0" w:color="D9D9E3"/>
          </w:divBdr>
          <w:divsChild>
            <w:div w:id="2069648575">
              <w:marLeft w:val="0"/>
              <w:marRight w:val="0"/>
              <w:marTop w:val="100"/>
              <w:marBottom w:val="100"/>
              <w:divBdr>
                <w:top w:val="single" w:sz="2" w:space="0" w:color="D9D9E3"/>
                <w:left w:val="single" w:sz="2" w:space="0" w:color="D9D9E3"/>
                <w:bottom w:val="single" w:sz="2" w:space="0" w:color="D9D9E3"/>
                <w:right w:val="single" w:sz="2" w:space="0" w:color="D9D9E3"/>
              </w:divBdr>
              <w:divsChild>
                <w:div w:id="45111959">
                  <w:marLeft w:val="0"/>
                  <w:marRight w:val="0"/>
                  <w:marTop w:val="0"/>
                  <w:marBottom w:val="0"/>
                  <w:divBdr>
                    <w:top w:val="single" w:sz="2" w:space="0" w:color="D9D9E3"/>
                    <w:left w:val="single" w:sz="2" w:space="0" w:color="D9D9E3"/>
                    <w:bottom w:val="single" w:sz="2" w:space="0" w:color="D9D9E3"/>
                    <w:right w:val="single" w:sz="2" w:space="0" w:color="D9D9E3"/>
                  </w:divBdr>
                  <w:divsChild>
                    <w:div w:id="412624607">
                      <w:marLeft w:val="0"/>
                      <w:marRight w:val="0"/>
                      <w:marTop w:val="0"/>
                      <w:marBottom w:val="0"/>
                      <w:divBdr>
                        <w:top w:val="single" w:sz="2" w:space="0" w:color="D9D9E3"/>
                        <w:left w:val="single" w:sz="2" w:space="0" w:color="D9D9E3"/>
                        <w:bottom w:val="single" w:sz="2" w:space="0" w:color="D9D9E3"/>
                        <w:right w:val="single" w:sz="2" w:space="0" w:color="D9D9E3"/>
                      </w:divBdr>
                      <w:divsChild>
                        <w:div w:id="1605726023">
                          <w:marLeft w:val="0"/>
                          <w:marRight w:val="0"/>
                          <w:marTop w:val="0"/>
                          <w:marBottom w:val="0"/>
                          <w:divBdr>
                            <w:top w:val="single" w:sz="2" w:space="0" w:color="D9D9E3"/>
                            <w:left w:val="single" w:sz="2" w:space="0" w:color="D9D9E3"/>
                            <w:bottom w:val="single" w:sz="2" w:space="0" w:color="D9D9E3"/>
                            <w:right w:val="single" w:sz="2" w:space="0" w:color="D9D9E3"/>
                          </w:divBdr>
                          <w:divsChild>
                            <w:div w:id="240869422">
                              <w:marLeft w:val="0"/>
                              <w:marRight w:val="0"/>
                              <w:marTop w:val="0"/>
                              <w:marBottom w:val="0"/>
                              <w:divBdr>
                                <w:top w:val="single" w:sz="2" w:space="0" w:color="D9D9E3"/>
                                <w:left w:val="single" w:sz="2" w:space="0" w:color="D9D9E3"/>
                                <w:bottom w:val="single" w:sz="2" w:space="0" w:color="D9D9E3"/>
                                <w:right w:val="single" w:sz="2" w:space="0" w:color="D9D9E3"/>
                              </w:divBdr>
                              <w:divsChild>
                                <w:div w:id="399640190">
                                  <w:marLeft w:val="0"/>
                                  <w:marRight w:val="0"/>
                                  <w:marTop w:val="0"/>
                                  <w:marBottom w:val="0"/>
                                  <w:divBdr>
                                    <w:top w:val="single" w:sz="2" w:space="0" w:color="D9D9E3"/>
                                    <w:left w:val="single" w:sz="2" w:space="0" w:color="D9D9E3"/>
                                    <w:bottom w:val="single" w:sz="2" w:space="0" w:color="D9D9E3"/>
                                    <w:right w:val="single" w:sz="2" w:space="0" w:color="D9D9E3"/>
                                  </w:divBdr>
                                  <w:divsChild>
                                    <w:div w:id="587931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3124202">
                      <w:marLeft w:val="0"/>
                      <w:marRight w:val="0"/>
                      <w:marTop w:val="0"/>
                      <w:marBottom w:val="0"/>
                      <w:divBdr>
                        <w:top w:val="single" w:sz="2" w:space="0" w:color="D9D9E3"/>
                        <w:left w:val="single" w:sz="2" w:space="0" w:color="D9D9E3"/>
                        <w:bottom w:val="single" w:sz="2" w:space="0" w:color="D9D9E3"/>
                        <w:right w:val="single" w:sz="2" w:space="0" w:color="D9D9E3"/>
                      </w:divBdr>
                      <w:divsChild>
                        <w:div w:id="979460584">
                          <w:marLeft w:val="0"/>
                          <w:marRight w:val="0"/>
                          <w:marTop w:val="0"/>
                          <w:marBottom w:val="0"/>
                          <w:divBdr>
                            <w:top w:val="single" w:sz="2" w:space="0" w:color="D9D9E3"/>
                            <w:left w:val="single" w:sz="2" w:space="0" w:color="D9D9E3"/>
                            <w:bottom w:val="single" w:sz="2" w:space="0" w:color="D9D9E3"/>
                            <w:right w:val="single" w:sz="2" w:space="0" w:color="D9D9E3"/>
                          </w:divBdr>
                          <w:divsChild>
                            <w:div w:id="1276862305">
                              <w:marLeft w:val="0"/>
                              <w:marRight w:val="0"/>
                              <w:marTop w:val="0"/>
                              <w:marBottom w:val="0"/>
                              <w:divBdr>
                                <w:top w:val="single" w:sz="2" w:space="0" w:color="D9D9E3"/>
                                <w:left w:val="single" w:sz="2" w:space="0" w:color="D9D9E3"/>
                                <w:bottom w:val="single" w:sz="2" w:space="0" w:color="D9D9E3"/>
                                <w:right w:val="single" w:sz="2" w:space="0" w:color="D9D9E3"/>
                              </w:divBdr>
                              <w:divsChild>
                                <w:div w:id="106512140">
                                  <w:marLeft w:val="0"/>
                                  <w:marRight w:val="0"/>
                                  <w:marTop w:val="0"/>
                                  <w:marBottom w:val="0"/>
                                  <w:divBdr>
                                    <w:top w:val="single" w:sz="2" w:space="0" w:color="D9D9E3"/>
                                    <w:left w:val="single" w:sz="2" w:space="0" w:color="D9D9E3"/>
                                    <w:bottom w:val="single" w:sz="2" w:space="0" w:color="D9D9E3"/>
                                    <w:right w:val="single" w:sz="2" w:space="0" w:color="D9D9E3"/>
                                  </w:divBdr>
                                  <w:divsChild>
                                    <w:div w:id="2043745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46593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0773754">
          <w:marLeft w:val="0"/>
          <w:marRight w:val="0"/>
          <w:marTop w:val="0"/>
          <w:marBottom w:val="0"/>
          <w:divBdr>
            <w:top w:val="single" w:sz="2" w:space="0" w:color="D9D9E3"/>
            <w:left w:val="single" w:sz="2" w:space="0" w:color="D9D9E3"/>
            <w:bottom w:val="single" w:sz="2" w:space="0" w:color="D9D9E3"/>
            <w:right w:val="single" w:sz="2" w:space="0" w:color="D9D9E3"/>
          </w:divBdr>
          <w:divsChild>
            <w:div w:id="2093618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615304">
                  <w:marLeft w:val="0"/>
                  <w:marRight w:val="0"/>
                  <w:marTop w:val="0"/>
                  <w:marBottom w:val="0"/>
                  <w:divBdr>
                    <w:top w:val="single" w:sz="2" w:space="0" w:color="D9D9E3"/>
                    <w:left w:val="single" w:sz="2" w:space="0" w:color="D9D9E3"/>
                    <w:bottom w:val="single" w:sz="2" w:space="0" w:color="D9D9E3"/>
                    <w:right w:val="single" w:sz="2" w:space="0" w:color="D9D9E3"/>
                  </w:divBdr>
                  <w:divsChild>
                    <w:div w:id="477579578">
                      <w:marLeft w:val="0"/>
                      <w:marRight w:val="0"/>
                      <w:marTop w:val="0"/>
                      <w:marBottom w:val="0"/>
                      <w:divBdr>
                        <w:top w:val="single" w:sz="2" w:space="0" w:color="D9D9E3"/>
                        <w:left w:val="single" w:sz="2" w:space="0" w:color="D9D9E3"/>
                        <w:bottom w:val="single" w:sz="2" w:space="0" w:color="D9D9E3"/>
                        <w:right w:val="single" w:sz="2" w:space="0" w:color="D9D9E3"/>
                      </w:divBdr>
                      <w:divsChild>
                        <w:div w:id="1457020295">
                          <w:marLeft w:val="0"/>
                          <w:marRight w:val="0"/>
                          <w:marTop w:val="0"/>
                          <w:marBottom w:val="0"/>
                          <w:divBdr>
                            <w:top w:val="single" w:sz="2" w:space="0" w:color="D9D9E3"/>
                            <w:left w:val="single" w:sz="2" w:space="0" w:color="D9D9E3"/>
                            <w:bottom w:val="single" w:sz="2" w:space="0" w:color="D9D9E3"/>
                            <w:right w:val="single" w:sz="2" w:space="0" w:color="D9D9E3"/>
                          </w:divBdr>
                          <w:divsChild>
                            <w:div w:id="64837650">
                              <w:marLeft w:val="0"/>
                              <w:marRight w:val="0"/>
                              <w:marTop w:val="0"/>
                              <w:marBottom w:val="0"/>
                              <w:divBdr>
                                <w:top w:val="single" w:sz="2" w:space="0" w:color="D9D9E3"/>
                                <w:left w:val="single" w:sz="2" w:space="0" w:color="D9D9E3"/>
                                <w:bottom w:val="single" w:sz="2" w:space="0" w:color="D9D9E3"/>
                                <w:right w:val="single" w:sz="2" w:space="0" w:color="D9D9E3"/>
                              </w:divBdr>
                              <w:divsChild>
                                <w:div w:id="1966151768">
                                  <w:marLeft w:val="0"/>
                                  <w:marRight w:val="0"/>
                                  <w:marTop w:val="0"/>
                                  <w:marBottom w:val="0"/>
                                  <w:divBdr>
                                    <w:top w:val="single" w:sz="2" w:space="0" w:color="D9D9E3"/>
                                    <w:left w:val="single" w:sz="2" w:space="0" w:color="D9D9E3"/>
                                    <w:bottom w:val="single" w:sz="2" w:space="0" w:color="D9D9E3"/>
                                    <w:right w:val="single" w:sz="2" w:space="0" w:color="D9D9E3"/>
                                  </w:divBdr>
                                  <w:divsChild>
                                    <w:div w:id="1214926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14908163">
      <w:bodyDiv w:val="1"/>
      <w:marLeft w:val="0"/>
      <w:marRight w:val="0"/>
      <w:marTop w:val="0"/>
      <w:marBottom w:val="0"/>
      <w:divBdr>
        <w:top w:val="none" w:sz="0" w:space="0" w:color="auto"/>
        <w:left w:val="none" w:sz="0" w:space="0" w:color="auto"/>
        <w:bottom w:val="none" w:sz="0" w:space="0" w:color="auto"/>
        <w:right w:val="none" w:sz="0" w:space="0" w:color="auto"/>
      </w:divBdr>
    </w:div>
    <w:div w:id="1118376233">
      <w:bodyDiv w:val="1"/>
      <w:marLeft w:val="0"/>
      <w:marRight w:val="0"/>
      <w:marTop w:val="0"/>
      <w:marBottom w:val="0"/>
      <w:divBdr>
        <w:top w:val="none" w:sz="0" w:space="0" w:color="auto"/>
        <w:left w:val="none" w:sz="0" w:space="0" w:color="auto"/>
        <w:bottom w:val="none" w:sz="0" w:space="0" w:color="auto"/>
        <w:right w:val="none" w:sz="0" w:space="0" w:color="auto"/>
      </w:divBdr>
    </w:div>
    <w:div w:id="1120685080">
      <w:bodyDiv w:val="1"/>
      <w:marLeft w:val="0"/>
      <w:marRight w:val="0"/>
      <w:marTop w:val="0"/>
      <w:marBottom w:val="0"/>
      <w:divBdr>
        <w:top w:val="none" w:sz="0" w:space="0" w:color="auto"/>
        <w:left w:val="none" w:sz="0" w:space="0" w:color="auto"/>
        <w:bottom w:val="none" w:sz="0" w:space="0" w:color="auto"/>
        <w:right w:val="none" w:sz="0" w:space="0" w:color="auto"/>
      </w:divBdr>
      <w:divsChild>
        <w:div w:id="453444877">
          <w:marLeft w:val="0"/>
          <w:marRight w:val="0"/>
          <w:marTop w:val="0"/>
          <w:marBottom w:val="0"/>
          <w:divBdr>
            <w:top w:val="none" w:sz="0" w:space="0" w:color="auto"/>
            <w:left w:val="none" w:sz="0" w:space="0" w:color="auto"/>
            <w:bottom w:val="none" w:sz="0" w:space="0" w:color="auto"/>
            <w:right w:val="none" w:sz="0" w:space="0" w:color="auto"/>
          </w:divBdr>
        </w:div>
      </w:divsChild>
    </w:div>
    <w:div w:id="1125856367">
      <w:bodyDiv w:val="1"/>
      <w:marLeft w:val="0"/>
      <w:marRight w:val="0"/>
      <w:marTop w:val="0"/>
      <w:marBottom w:val="0"/>
      <w:divBdr>
        <w:top w:val="none" w:sz="0" w:space="0" w:color="auto"/>
        <w:left w:val="none" w:sz="0" w:space="0" w:color="auto"/>
        <w:bottom w:val="none" w:sz="0" w:space="0" w:color="auto"/>
        <w:right w:val="none" w:sz="0" w:space="0" w:color="auto"/>
      </w:divBdr>
    </w:div>
    <w:div w:id="1155686713">
      <w:bodyDiv w:val="1"/>
      <w:marLeft w:val="0"/>
      <w:marRight w:val="0"/>
      <w:marTop w:val="0"/>
      <w:marBottom w:val="0"/>
      <w:divBdr>
        <w:top w:val="none" w:sz="0" w:space="0" w:color="auto"/>
        <w:left w:val="none" w:sz="0" w:space="0" w:color="auto"/>
        <w:bottom w:val="none" w:sz="0" w:space="0" w:color="auto"/>
        <w:right w:val="none" w:sz="0" w:space="0" w:color="auto"/>
      </w:divBdr>
    </w:div>
    <w:div w:id="1161433552">
      <w:bodyDiv w:val="1"/>
      <w:marLeft w:val="0"/>
      <w:marRight w:val="0"/>
      <w:marTop w:val="0"/>
      <w:marBottom w:val="0"/>
      <w:divBdr>
        <w:top w:val="none" w:sz="0" w:space="0" w:color="auto"/>
        <w:left w:val="none" w:sz="0" w:space="0" w:color="auto"/>
        <w:bottom w:val="none" w:sz="0" w:space="0" w:color="auto"/>
        <w:right w:val="none" w:sz="0" w:space="0" w:color="auto"/>
      </w:divBdr>
    </w:div>
    <w:div w:id="1167332426">
      <w:bodyDiv w:val="1"/>
      <w:marLeft w:val="0"/>
      <w:marRight w:val="0"/>
      <w:marTop w:val="0"/>
      <w:marBottom w:val="0"/>
      <w:divBdr>
        <w:top w:val="none" w:sz="0" w:space="0" w:color="auto"/>
        <w:left w:val="none" w:sz="0" w:space="0" w:color="auto"/>
        <w:bottom w:val="none" w:sz="0" w:space="0" w:color="auto"/>
        <w:right w:val="none" w:sz="0" w:space="0" w:color="auto"/>
      </w:divBdr>
      <w:divsChild>
        <w:div w:id="439376427">
          <w:marLeft w:val="0"/>
          <w:marRight w:val="0"/>
          <w:marTop w:val="0"/>
          <w:marBottom w:val="0"/>
          <w:divBdr>
            <w:top w:val="none" w:sz="0" w:space="0" w:color="auto"/>
            <w:left w:val="none" w:sz="0" w:space="0" w:color="auto"/>
            <w:bottom w:val="none" w:sz="0" w:space="0" w:color="auto"/>
            <w:right w:val="none" w:sz="0" w:space="0" w:color="auto"/>
          </w:divBdr>
          <w:divsChild>
            <w:div w:id="697243928">
              <w:marLeft w:val="0"/>
              <w:marRight w:val="0"/>
              <w:marTop w:val="0"/>
              <w:marBottom w:val="0"/>
              <w:divBdr>
                <w:top w:val="none" w:sz="0" w:space="0" w:color="auto"/>
                <w:left w:val="none" w:sz="0" w:space="0" w:color="auto"/>
                <w:bottom w:val="none" w:sz="0" w:space="0" w:color="auto"/>
                <w:right w:val="none" w:sz="0" w:space="0" w:color="auto"/>
              </w:divBdr>
            </w:div>
            <w:div w:id="728185863">
              <w:marLeft w:val="0"/>
              <w:marRight w:val="0"/>
              <w:marTop w:val="0"/>
              <w:marBottom w:val="0"/>
              <w:divBdr>
                <w:top w:val="none" w:sz="0" w:space="0" w:color="auto"/>
                <w:left w:val="none" w:sz="0" w:space="0" w:color="auto"/>
                <w:bottom w:val="none" w:sz="0" w:space="0" w:color="auto"/>
                <w:right w:val="none" w:sz="0" w:space="0" w:color="auto"/>
              </w:divBdr>
            </w:div>
            <w:div w:id="792557032">
              <w:marLeft w:val="0"/>
              <w:marRight w:val="0"/>
              <w:marTop w:val="0"/>
              <w:marBottom w:val="0"/>
              <w:divBdr>
                <w:top w:val="none" w:sz="0" w:space="0" w:color="auto"/>
                <w:left w:val="none" w:sz="0" w:space="0" w:color="auto"/>
                <w:bottom w:val="none" w:sz="0" w:space="0" w:color="auto"/>
                <w:right w:val="none" w:sz="0" w:space="0" w:color="auto"/>
              </w:divBdr>
            </w:div>
            <w:div w:id="930772698">
              <w:marLeft w:val="0"/>
              <w:marRight w:val="0"/>
              <w:marTop w:val="0"/>
              <w:marBottom w:val="0"/>
              <w:divBdr>
                <w:top w:val="none" w:sz="0" w:space="0" w:color="auto"/>
                <w:left w:val="none" w:sz="0" w:space="0" w:color="auto"/>
                <w:bottom w:val="none" w:sz="0" w:space="0" w:color="auto"/>
                <w:right w:val="none" w:sz="0" w:space="0" w:color="auto"/>
              </w:divBdr>
            </w:div>
            <w:div w:id="992222217">
              <w:marLeft w:val="0"/>
              <w:marRight w:val="0"/>
              <w:marTop w:val="0"/>
              <w:marBottom w:val="0"/>
              <w:divBdr>
                <w:top w:val="none" w:sz="0" w:space="0" w:color="auto"/>
                <w:left w:val="none" w:sz="0" w:space="0" w:color="auto"/>
                <w:bottom w:val="none" w:sz="0" w:space="0" w:color="auto"/>
                <w:right w:val="none" w:sz="0" w:space="0" w:color="auto"/>
              </w:divBdr>
            </w:div>
            <w:div w:id="1107772242">
              <w:marLeft w:val="0"/>
              <w:marRight w:val="0"/>
              <w:marTop w:val="0"/>
              <w:marBottom w:val="0"/>
              <w:divBdr>
                <w:top w:val="none" w:sz="0" w:space="0" w:color="auto"/>
                <w:left w:val="none" w:sz="0" w:space="0" w:color="auto"/>
                <w:bottom w:val="none" w:sz="0" w:space="0" w:color="auto"/>
                <w:right w:val="none" w:sz="0" w:space="0" w:color="auto"/>
              </w:divBdr>
            </w:div>
            <w:div w:id="2110612929">
              <w:marLeft w:val="0"/>
              <w:marRight w:val="0"/>
              <w:marTop w:val="0"/>
              <w:marBottom w:val="0"/>
              <w:divBdr>
                <w:top w:val="none" w:sz="0" w:space="0" w:color="auto"/>
                <w:left w:val="none" w:sz="0" w:space="0" w:color="auto"/>
                <w:bottom w:val="none" w:sz="0" w:space="0" w:color="auto"/>
                <w:right w:val="none" w:sz="0" w:space="0" w:color="auto"/>
              </w:divBdr>
            </w:div>
            <w:div w:id="21350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861">
      <w:bodyDiv w:val="1"/>
      <w:marLeft w:val="0"/>
      <w:marRight w:val="0"/>
      <w:marTop w:val="0"/>
      <w:marBottom w:val="0"/>
      <w:divBdr>
        <w:top w:val="none" w:sz="0" w:space="0" w:color="auto"/>
        <w:left w:val="none" w:sz="0" w:space="0" w:color="auto"/>
        <w:bottom w:val="none" w:sz="0" w:space="0" w:color="auto"/>
        <w:right w:val="none" w:sz="0" w:space="0" w:color="auto"/>
      </w:divBdr>
    </w:div>
    <w:div w:id="1191842510">
      <w:bodyDiv w:val="1"/>
      <w:marLeft w:val="0"/>
      <w:marRight w:val="0"/>
      <w:marTop w:val="0"/>
      <w:marBottom w:val="0"/>
      <w:divBdr>
        <w:top w:val="none" w:sz="0" w:space="0" w:color="auto"/>
        <w:left w:val="none" w:sz="0" w:space="0" w:color="auto"/>
        <w:bottom w:val="none" w:sz="0" w:space="0" w:color="auto"/>
        <w:right w:val="none" w:sz="0" w:space="0" w:color="auto"/>
      </w:divBdr>
    </w:div>
    <w:div w:id="1208761944">
      <w:bodyDiv w:val="1"/>
      <w:marLeft w:val="0"/>
      <w:marRight w:val="0"/>
      <w:marTop w:val="0"/>
      <w:marBottom w:val="0"/>
      <w:divBdr>
        <w:top w:val="none" w:sz="0" w:space="0" w:color="auto"/>
        <w:left w:val="none" w:sz="0" w:space="0" w:color="auto"/>
        <w:bottom w:val="none" w:sz="0" w:space="0" w:color="auto"/>
        <w:right w:val="none" w:sz="0" w:space="0" w:color="auto"/>
      </w:divBdr>
    </w:div>
    <w:div w:id="1287347493">
      <w:bodyDiv w:val="1"/>
      <w:marLeft w:val="0"/>
      <w:marRight w:val="0"/>
      <w:marTop w:val="0"/>
      <w:marBottom w:val="0"/>
      <w:divBdr>
        <w:top w:val="none" w:sz="0" w:space="0" w:color="auto"/>
        <w:left w:val="none" w:sz="0" w:space="0" w:color="auto"/>
        <w:bottom w:val="none" w:sz="0" w:space="0" w:color="auto"/>
        <w:right w:val="none" w:sz="0" w:space="0" w:color="auto"/>
      </w:divBdr>
    </w:div>
    <w:div w:id="1293750814">
      <w:bodyDiv w:val="1"/>
      <w:marLeft w:val="0"/>
      <w:marRight w:val="0"/>
      <w:marTop w:val="0"/>
      <w:marBottom w:val="0"/>
      <w:divBdr>
        <w:top w:val="none" w:sz="0" w:space="0" w:color="auto"/>
        <w:left w:val="none" w:sz="0" w:space="0" w:color="auto"/>
        <w:bottom w:val="none" w:sz="0" w:space="0" w:color="auto"/>
        <w:right w:val="none" w:sz="0" w:space="0" w:color="auto"/>
      </w:divBdr>
    </w:div>
    <w:div w:id="1307396769">
      <w:bodyDiv w:val="1"/>
      <w:marLeft w:val="0"/>
      <w:marRight w:val="0"/>
      <w:marTop w:val="0"/>
      <w:marBottom w:val="0"/>
      <w:divBdr>
        <w:top w:val="none" w:sz="0" w:space="0" w:color="auto"/>
        <w:left w:val="none" w:sz="0" w:space="0" w:color="auto"/>
        <w:bottom w:val="none" w:sz="0" w:space="0" w:color="auto"/>
        <w:right w:val="none" w:sz="0" w:space="0" w:color="auto"/>
      </w:divBdr>
    </w:div>
    <w:div w:id="1310939925">
      <w:bodyDiv w:val="1"/>
      <w:marLeft w:val="0"/>
      <w:marRight w:val="0"/>
      <w:marTop w:val="0"/>
      <w:marBottom w:val="0"/>
      <w:divBdr>
        <w:top w:val="none" w:sz="0" w:space="0" w:color="auto"/>
        <w:left w:val="none" w:sz="0" w:space="0" w:color="auto"/>
        <w:bottom w:val="none" w:sz="0" w:space="0" w:color="auto"/>
        <w:right w:val="none" w:sz="0" w:space="0" w:color="auto"/>
      </w:divBdr>
    </w:div>
    <w:div w:id="1312171396">
      <w:bodyDiv w:val="1"/>
      <w:marLeft w:val="0"/>
      <w:marRight w:val="0"/>
      <w:marTop w:val="0"/>
      <w:marBottom w:val="0"/>
      <w:divBdr>
        <w:top w:val="none" w:sz="0" w:space="0" w:color="auto"/>
        <w:left w:val="none" w:sz="0" w:space="0" w:color="auto"/>
        <w:bottom w:val="none" w:sz="0" w:space="0" w:color="auto"/>
        <w:right w:val="none" w:sz="0" w:space="0" w:color="auto"/>
      </w:divBdr>
    </w:div>
    <w:div w:id="1320377702">
      <w:bodyDiv w:val="1"/>
      <w:marLeft w:val="0"/>
      <w:marRight w:val="0"/>
      <w:marTop w:val="0"/>
      <w:marBottom w:val="0"/>
      <w:divBdr>
        <w:top w:val="none" w:sz="0" w:space="0" w:color="auto"/>
        <w:left w:val="none" w:sz="0" w:space="0" w:color="auto"/>
        <w:bottom w:val="none" w:sz="0" w:space="0" w:color="auto"/>
        <w:right w:val="none" w:sz="0" w:space="0" w:color="auto"/>
      </w:divBdr>
    </w:div>
    <w:div w:id="1335301909">
      <w:bodyDiv w:val="1"/>
      <w:marLeft w:val="0"/>
      <w:marRight w:val="0"/>
      <w:marTop w:val="0"/>
      <w:marBottom w:val="0"/>
      <w:divBdr>
        <w:top w:val="none" w:sz="0" w:space="0" w:color="auto"/>
        <w:left w:val="none" w:sz="0" w:space="0" w:color="auto"/>
        <w:bottom w:val="none" w:sz="0" w:space="0" w:color="auto"/>
        <w:right w:val="none" w:sz="0" w:space="0" w:color="auto"/>
      </w:divBdr>
    </w:div>
    <w:div w:id="1349410262">
      <w:bodyDiv w:val="1"/>
      <w:marLeft w:val="0"/>
      <w:marRight w:val="0"/>
      <w:marTop w:val="0"/>
      <w:marBottom w:val="0"/>
      <w:divBdr>
        <w:top w:val="none" w:sz="0" w:space="0" w:color="auto"/>
        <w:left w:val="none" w:sz="0" w:space="0" w:color="auto"/>
        <w:bottom w:val="none" w:sz="0" w:space="0" w:color="auto"/>
        <w:right w:val="none" w:sz="0" w:space="0" w:color="auto"/>
      </w:divBdr>
    </w:div>
    <w:div w:id="1350913212">
      <w:bodyDiv w:val="1"/>
      <w:marLeft w:val="0"/>
      <w:marRight w:val="0"/>
      <w:marTop w:val="0"/>
      <w:marBottom w:val="0"/>
      <w:divBdr>
        <w:top w:val="none" w:sz="0" w:space="0" w:color="auto"/>
        <w:left w:val="none" w:sz="0" w:space="0" w:color="auto"/>
        <w:bottom w:val="none" w:sz="0" w:space="0" w:color="auto"/>
        <w:right w:val="none" w:sz="0" w:space="0" w:color="auto"/>
      </w:divBdr>
    </w:div>
    <w:div w:id="1356925153">
      <w:bodyDiv w:val="1"/>
      <w:marLeft w:val="0"/>
      <w:marRight w:val="0"/>
      <w:marTop w:val="0"/>
      <w:marBottom w:val="0"/>
      <w:divBdr>
        <w:top w:val="none" w:sz="0" w:space="0" w:color="auto"/>
        <w:left w:val="none" w:sz="0" w:space="0" w:color="auto"/>
        <w:bottom w:val="none" w:sz="0" w:space="0" w:color="auto"/>
        <w:right w:val="none" w:sz="0" w:space="0" w:color="auto"/>
      </w:divBdr>
    </w:div>
    <w:div w:id="1395422947">
      <w:bodyDiv w:val="1"/>
      <w:marLeft w:val="0"/>
      <w:marRight w:val="0"/>
      <w:marTop w:val="0"/>
      <w:marBottom w:val="0"/>
      <w:divBdr>
        <w:top w:val="none" w:sz="0" w:space="0" w:color="auto"/>
        <w:left w:val="none" w:sz="0" w:space="0" w:color="auto"/>
        <w:bottom w:val="none" w:sz="0" w:space="0" w:color="auto"/>
        <w:right w:val="none" w:sz="0" w:space="0" w:color="auto"/>
      </w:divBdr>
    </w:div>
    <w:div w:id="1409426787">
      <w:bodyDiv w:val="1"/>
      <w:marLeft w:val="0"/>
      <w:marRight w:val="0"/>
      <w:marTop w:val="0"/>
      <w:marBottom w:val="0"/>
      <w:divBdr>
        <w:top w:val="none" w:sz="0" w:space="0" w:color="auto"/>
        <w:left w:val="none" w:sz="0" w:space="0" w:color="auto"/>
        <w:bottom w:val="none" w:sz="0" w:space="0" w:color="auto"/>
        <w:right w:val="none" w:sz="0" w:space="0" w:color="auto"/>
      </w:divBdr>
    </w:div>
    <w:div w:id="1495027476">
      <w:bodyDiv w:val="1"/>
      <w:marLeft w:val="0"/>
      <w:marRight w:val="0"/>
      <w:marTop w:val="0"/>
      <w:marBottom w:val="0"/>
      <w:divBdr>
        <w:top w:val="none" w:sz="0" w:space="0" w:color="auto"/>
        <w:left w:val="none" w:sz="0" w:space="0" w:color="auto"/>
        <w:bottom w:val="none" w:sz="0" w:space="0" w:color="auto"/>
        <w:right w:val="none" w:sz="0" w:space="0" w:color="auto"/>
      </w:divBdr>
      <w:divsChild>
        <w:div w:id="1231422186">
          <w:marLeft w:val="0"/>
          <w:marRight w:val="0"/>
          <w:marTop w:val="0"/>
          <w:marBottom w:val="0"/>
          <w:divBdr>
            <w:top w:val="none" w:sz="0" w:space="0" w:color="auto"/>
            <w:left w:val="none" w:sz="0" w:space="0" w:color="auto"/>
            <w:bottom w:val="none" w:sz="0" w:space="0" w:color="auto"/>
            <w:right w:val="none" w:sz="0" w:space="0" w:color="auto"/>
          </w:divBdr>
        </w:div>
      </w:divsChild>
    </w:div>
    <w:div w:id="1528130742">
      <w:bodyDiv w:val="1"/>
      <w:marLeft w:val="0"/>
      <w:marRight w:val="0"/>
      <w:marTop w:val="0"/>
      <w:marBottom w:val="0"/>
      <w:divBdr>
        <w:top w:val="none" w:sz="0" w:space="0" w:color="auto"/>
        <w:left w:val="none" w:sz="0" w:space="0" w:color="auto"/>
        <w:bottom w:val="none" w:sz="0" w:space="0" w:color="auto"/>
        <w:right w:val="none" w:sz="0" w:space="0" w:color="auto"/>
      </w:divBdr>
      <w:divsChild>
        <w:div w:id="544029289">
          <w:marLeft w:val="0"/>
          <w:marRight w:val="0"/>
          <w:marTop w:val="0"/>
          <w:marBottom w:val="0"/>
          <w:divBdr>
            <w:top w:val="none" w:sz="0" w:space="0" w:color="auto"/>
            <w:left w:val="none" w:sz="0" w:space="0" w:color="auto"/>
            <w:bottom w:val="none" w:sz="0" w:space="0" w:color="auto"/>
            <w:right w:val="none" w:sz="0" w:space="0" w:color="auto"/>
          </w:divBdr>
        </w:div>
      </w:divsChild>
    </w:div>
    <w:div w:id="1537082126">
      <w:bodyDiv w:val="1"/>
      <w:marLeft w:val="0"/>
      <w:marRight w:val="0"/>
      <w:marTop w:val="0"/>
      <w:marBottom w:val="0"/>
      <w:divBdr>
        <w:top w:val="none" w:sz="0" w:space="0" w:color="auto"/>
        <w:left w:val="none" w:sz="0" w:space="0" w:color="auto"/>
        <w:bottom w:val="none" w:sz="0" w:space="0" w:color="auto"/>
        <w:right w:val="none" w:sz="0" w:space="0" w:color="auto"/>
      </w:divBdr>
    </w:div>
    <w:div w:id="1567567866">
      <w:bodyDiv w:val="1"/>
      <w:marLeft w:val="0"/>
      <w:marRight w:val="0"/>
      <w:marTop w:val="0"/>
      <w:marBottom w:val="0"/>
      <w:divBdr>
        <w:top w:val="none" w:sz="0" w:space="0" w:color="auto"/>
        <w:left w:val="none" w:sz="0" w:space="0" w:color="auto"/>
        <w:bottom w:val="none" w:sz="0" w:space="0" w:color="auto"/>
        <w:right w:val="none" w:sz="0" w:space="0" w:color="auto"/>
      </w:divBdr>
    </w:div>
    <w:div w:id="1582835821">
      <w:bodyDiv w:val="1"/>
      <w:marLeft w:val="0"/>
      <w:marRight w:val="0"/>
      <w:marTop w:val="0"/>
      <w:marBottom w:val="0"/>
      <w:divBdr>
        <w:top w:val="none" w:sz="0" w:space="0" w:color="auto"/>
        <w:left w:val="none" w:sz="0" w:space="0" w:color="auto"/>
        <w:bottom w:val="none" w:sz="0" w:space="0" w:color="auto"/>
        <w:right w:val="none" w:sz="0" w:space="0" w:color="auto"/>
      </w:divBdr>
    </w:div>
    <w:div w:id="1605649103">
      <w:bodyDiv w:val="1"/>
      <w:marLeft w:val="0"/>
      <w:marRight w:val="0"/>
      <w:marTop w:val="0"/>
      <w:marBottom w:val="0"/>
      <w:divBdr>
        <w:top w:val="none" w:sz="0" w:space="0" w:color="auto"/>
        <w:left w:val="none" w:sz="0" w:space="0" w:color="auto"/>
        <w:bottom w:val="none" w:sz="0" w:space="0" w:color="auto"/>
        <w:right w:val="none" w:sz="0" w:space="0" w:color="auto"/>
      </w:divBdr>
    </w:div>
    <w:div w:id="1611203261">
      <w:bodyDiv w:val="1"/>
      <w:marLeft w:val="0"/>
      <w:marRight w:val="0"/>
      <w:marTop w:val="0"/>
      <w:marBottom w:val="0"/>
      <w:divBdr>
        <w:top w:val="none" w:sz="0" w:space="0" w:color="auto"/>
        <w:left w:val="none" w:sz="0" w:space="0" w:color="auto"/>
        <w:bottom w:val="none" w:sz="0" w:space="0" w:color="auto"/>
        <w:right w:val="none" w:sz="0" w:space="0" w:color="auto"/>
      </w:divBdr>
    </w:div>
    <w:div w:id="1635408888">
      <w:bodyDiv w:val="1"/>
      <w:marLeft w:val="0"/>
      <w:marRight w:val="0"/>
      <w:marTop w:val="0"/>
      <w:marBottom w:val="0"/>
      <w:divBdr>
        <w:top w:val="none" w:sz="0" w:space="0" w:color="auto"/>
        <w:left w:val="none" w:sz="0" w:space="0" w:color="auto"/>
        <w:bottom w:val="none" w:sz="0" w:space="0" w:color="auto"/>
        <w:right w:val="none" w:sz="0" w:space="0" w:color="auto"/>
      </w:divBdr>
    </w:div>
    <w:div w:id="1643732955">
      <w:bodyDiv w:val="1"/>
      <w:marLeft w:val="0"/>
      <w:marRight w:val="0"/>
      <w:marTop w:val="0"/>
      <w:marBottom w:val="0"/>
      <w:divBdr>
        <w:top w:val="none" w:sz="0" w:space="0" w:color="auto"/>
        <w:left w:val="none" w:sz="0" w:space="0" w:color="auto"/>
        <w:bottom w:val="none" w:sz="0" w:space="0" w:color="auto"/>
        <w:right w:val="none" w:sz="0" w:space="0" w:color="auto"/>
      </w:divBdr>
    </w:div>
    <w:div w:id="1644234458">
      <w:bodyDiv w:val="1"/>
      <w:marLeft w:val="0"/>
      <w:marRight w:val="0"/>
      <w:marTop w:val="0"/>
      <w:marBottom w:val="0"/>
      <w:divBdr>
        <w:top w:val="none" w:sz="0" w:space="0" w:color="auto"/>
        <w:left w:val="none" w:sz="0" w:space="0" w:color="auto"/>
        <w:bottom w:val="none" w:sz="0" w:space="0" w:color="auto"/>
        <w:right w:val="none" w:sz="0" w:space="0" w:color="auto"/>
      </w:divBdr>
    </w:div>
    <w:div w:id="1674339256">
      <w:bodyDiv w:val="1"/>
      <w:marLeft w:val="0"/>
      <w:marRight w:val="0"/>
      <w:marTop w:val="0"/>
      <w:marBottom w:val="0"/>
      <w:divBdr>
        <w:top w:val="none" w:sz="0" w:space="0" w:color="auto"/>
        <w:left w:val="none" w:sz="0" w:space="0" w:color="auto"/>
        <w:bottom w:val="none" w:sz="0" w:space="0" w:color="auto"/>
        <w:right w:val="none" w:sz="0" w:space="0" w:color="auto"/>
      </w:divBdr>
    </w:div>
    <w:div w:id="1677801140">
      <w:bodyDiv w:val="1"/>
      <w:marLeft w:val="0"/>
      <w:marRight w:val="0"/>
      <w:marTop w:val="0"/>
      <w:marBottom w:val="0"/>
      <w:divBdr>
        <w:top w:val="none" w:sz="0" w:space="0" w:color="auto"/>
        <w:left w:val="none" w:sz="0" w:space="0" w:color="auto"/>
        <w:bottom w:val="none" w:sz="0" w:space="0" w:color="auto"/>
        <w:right w:val="none" w:sz="0" w:space="0" w:color="auto"/>
      </w:divBdr>
    </w:div>
    <w:div w:id="1679962249">
      <w:bodyDiv w:val="1"/>
      <w:marLeft w:val="0"/>
      <w:marRight w:val="0"/>
      <w:marTop w:val="0"/>
      <w:marBottom w:val="0"/>
      <w:divBdr>
        <w:top w:val="none" w:sz="0" w:space="0" w:color="auto"/>
        <w:left w:val="none" w:sz="0" w:space="0" w:color="auto"/>
        <w:bottom w:val="none" w:sz="0" w:space="0" w:color="auto"/>
        <w:right w:val="none" w:sz="0" w:space="0" w:color="auto"/>
      </w:divBdr>
    </w:div>
    <w:div w:id="1695039427">
      <w:bodyDiv w:val="1"/>
      <w:marLeft w:val="0"/>
      <w:marRight w:val="0"/>
      <w:marTop w:val="0"/>
      <w:marBottom w:val="0"/>
      <w:divBdr>
        <w:top w:val="none" w:sz="0" w:space="0" w:color="auto"/>
        <w:left w:val="none" w:sz="0" w:space="0" w:color="auto"/>
        <w:bottom w:val="none" w:sz="0" w:space="0" w:color="auto"/>
        <w:right w:val="none" w:sz="0" w:space="0" w:color="auto"/>
      </w:divBdr>
    </w:div>
    <w:div w:id="1713845887">
      <w:bodyDiv w:val="1"/>
      <w:marLeft w:val="0"/>
      <w:marRight w:val="0"/>
      <w:marTop w:val="0"/>
      <w:marBottom w:val="0"/>
      <w:divBdr>
        <w:top w:val="none" w:sz="0" w:space="0" w:color="auto"/>
        <w:left w:val="none" w:sz="0" w:space="0" w:color="auto"/>
        <w:bottom w:val="none" w:sz="0" w:space="0" w:color="auto"/>
        <w:right w:val="none" w:sz="0" w:space="0" w:color="auto"/>
      </w:divBdr>
    </w:div>
    <w:div w:id="1735468032">
      <w:bodyDiv w:val="1"/>
      <w:marLeft w:val="0"/>
      <w:marRight w:val="0"/>
      <w:marTop w:val="0"/>
      <w:marBottom w:val="0"/>
      <w:divBdr>
        <w:top w:val="none" w:sz="0" w:space="0" w:color="auto"/>
        <w:left w:val="none" w:sz="0" w:space="0" w:color="auto"/>
        <w:bottom w:val="none" w:sz="0" w:space="0" w:color="auto"/>
        <w:right w:val="none" w:sz="0" w:space="0" w:color="auto"/>
      </w:divBdr>
    </w:div>
    <w:div w:id="1744600223">
      <w:bodyDiv w:val="1"/>
      <w:marLeft w:val="0"/>
      <w:marRight w:val="0"/>
      <w:marTop w:val="0"/>
      <w:marBottom w:val="0"/>
      <w:divBdr>
        <w:top w:val="none" w:sz="0" w:space="0" w:color="auto"/>
        <w:left w:val="none" w:sz="0" w:space="0" w:color="auto"/>
        <w:bottom w:val="none" w:sz="0" w:space="0" w:color="auto"/>
        <w:right w:val="none" w:sz="0" w:space="0" w:color="auto"/>
      </w:divBdr>
    </w:div>
    <w:div w:id="1760516583">
      <w:bodyDiv w:val="1"/>
      <w:marLeft w:val="0"/>
      <w:marRight w:val="0"/>
      <w:marTop w:val="0"/>
      <w:marBottom w:val="0"/>
      <w:divBdr>
        <w:top w:val="none" w:sz="0" w:space="0" w:color="auto"/>
        <w:left w:val="none" w:sz="0" w:space="0" w:color="auto"/>
        <w:bottom w:val="none" w:sz="0" w:space="0" w:color="auto"/>
        <w:right w:val="none" w:sz="0" w:space="0" w:color="auto"/>
      </w:divBdr>
    </w:div>
    <w:div w:id="1791583002">
      <w:bodyDiv w:val="1"/>
      <w:marLeft w:val="0"/>
      <w:marRight w:val="0"/>
      <w:marTop w:val="0"/>
      <w:marBottom w:val="0"/>
      <w:divBdr>
        <w:top w:val="none" w:sz="0" w:space="0" w:color="auto"/>
        <w:left w:val="none" w:sz="0" w:space="0" w:color="auto"/>
        <w:bottom w:val="none" w:sz="0" w:space="0" w:color="auto"/>
        <w:right w:val="none" w:sz="0" w:space="0" w:color="auto"/>
      </w:divBdr>
      <w:divsChild>
        <w:div w:id="113988043">
          <w:marLeft w:val="0"/>
          <w:marRight w:val="0"/>
          <w:marTop w:val="0"/>
          <w:marBottom w:val="0"/>
          <w:divBdr>
            <w:top w:val="none" w:sz="0" w:space="0" w:color="auto"/>
            <w:left w:val="none" w:sz="0" w:space="0" w:color="auto"/>
            <w:bottom w:val="none" w:sz="0" w:space="0" w:color="auto"/>
            <w:right w:val="none" w:sz="0" w:space="0" w:color="auto"/>
          </w:divBdr>
        </w:div>
      </w:divsChild>
    </w:div>
    <w:div w:id="1801722633">
      <w:bodyDiv w:val="1"/>
      <w:marLeft w:val="0"/>
      <w:marRight w:val="0"/>
      <w:marTop w:val="0"/>
      <w:marBottom w:val="0"/>
      <w:divBdr>
        <w:top w:val="none" w:sz="0" w:space="0" w:color="auto"/>
        <w:left w:val="none" w:sz="0" w:space="0" w:color="auto"/>
        <w:bottom w:val="none" w:sz="0" w:space="0" w:color="auto"/>
        <w:right w:val="none" w:sz="0" w:space="0" w:color="auto"/>
      </w:divBdr>
    </w:div>
    <w:div w:id="1817064374">
      <w:bodyDiv w:val="1"/>
      <w:marLeft w:val="0"/>
      <w:marRight w:val="0"/>
      <w:marTop w:val="0"/>
      <w:marBottom w:val="0"/>
      <w:divBdr>
        <w:top w:val="none" w:sz="0" w:space="0" w:color="auto"/>
        <w:left w:val="none" w:sz="0" w:space="0" w:color="auto"/>
        <w:bottom w:val="none" w:sz="0" w:space="0" w:color="auto"/>
        <w:right w:val="none" w:sz="0" w:space="0" w:color="auto"/>
      </w:divBdr>
    </w:div>
    <w:div w:id="1822694831">
      <w:bodyDiv w:val="1"/>
      <w:marLeft w:val="0"/>
      <w:marRight w:val="0"/>
      <w:marTop w:val="0"/>
      <w:marBottom w:val="0"/>
      <w:divBdr>
        <w:top w:val="none" w:sz="0" w:space="0" w:color="auto"/>
        <w:left w:val="none" w:sz="0" w:space="0" w:color="auto"/>
        <w:bottom w:val="none" w:sz="0" w:space="0" w:color="auto"/>
        <w:right w:val="none" w:sz="0" w:space="0" w:color="auto"/>
      </w:divBdr>
    </w:div>
    <w:div w:id="1824656556">
      <w:bodyDiv w:val="1"/>
      <w:marLeft w:val="0"/>
      <w:marRight w:val="0"/>
      <w:marTop w:val="0"/>
      <w:marBottom w:val="0"/>
      <w:divBdr>
        <w:top w:val="none" w:sz="0" w:space="0" w:color="auto"/>
        <w:left w:val="none" w:sz="0" w:space="0" w:color="auto"/>
        <w:bottom w:val="none" w:sz="0" w:space="0" w:color="auto"/>
        <w:right w:val="none" w:sz="0" w:space="0" w:color="auto"/>
      </w:divBdr>
    </w:div>
    <w:div w:id="1830779686">
      <w:bodyDiv w:val="1"/>
      <w:marLeft w:val="0"/>
      <w:marRight w:val="0"/>
      <w:marTop w:val="0"/>
      <w:marBottom w:val="0"/>
      <w:divBdr>
        <w:top w:val="none" w:sz="0" w:space="0" w:color="auto"/>
        <w:left w:val="none" w:sz="0" w:space="0" w:color="auto"/>
        <w:bottom w:val="none" w:sz="0" w:space="0" w:color="auto"/>
        <w:right w:val="none" w:sz="0" w:space="0" w:color="auto"/>
      </w:divBdr>
    </w:div>
    <w:div w:id="1843740095">
      <w:bodyDiv w:val="1"/>
      <w:marLeft w:val="0"/>
      <w:marRight w:val="0"/>
      <w:marTop w:val="0"/>
      <w:marBottom w:val="0"/>
      <w:divBdr>
        <w:top w:val="none" w:sz="0" w:space="0" w:color="auto"/>
        <w:left w:val="none" w:sz="0" w:space="0" w:color="auto"/>
        <w:bottom w:val="none" w:sz="0" w:space="0" w:color="auto"/>
        <w:right w:val="none" w:sz="0" w:space="0" w:color="auto"/>
      </w:divBdr>
    </w:div>
    <w:div w:id="1868105279">
      <w:bodyDiv w:val="1"/>
      <w:marLeft w:val="0"/>
      <w:marRight w:val="0"/>
      <w:marTop w:val="0"/>
      <w:marBottom w:val="0"/>
      <w:divBdr>
        <w:top w:val="none" w:sz="0" w:space="0" w:color="auto"/>
        <w:left w:val="none" w:sz="0" w:space="0" w:color="auto"/>
        <w:bottom w:val="none" w:sz="0" w:space="0" w:color="auto"/>
        <w:right w:val="none" w:sz="0" w:space="0" w:color="auto"/>
      </w:divBdr>
    </w:div>
    <w:div w:id="1872455889">
      <w:bodyDiv w:val="1"/>
      <w:marLeft w:val="0"/>
      <w:marRight w:val="0"/>
      <w:marTop w:val="0"/>
      <w:marBottom w:val="0"/>
      <w:divBdr>
        <w:top w:val="none" w:sz="0" w:space="0" w:color="auto"/>
        <w:left w:val="none" w:sz="0" w:space="0" w:color="auto"/>
        <w:bottom w:val="none" w:sz="0" w:space="0" w:color="auto"/>
        <w:right w:val="none" w:sz="0" w:space="0" w:color="auto"/>
      </w:divBdr>
    </w:div>
    <w:div w:id="1889680344">
      <w:bodyDiv w:val="1"/>
      <w:marLeft w:val="0"/>
      <w:marRight w:val="0"/>
      <w:marTop w:val="0"/>
      <w:marBottom w:val="0"/>
      <w:divBdr>
        <w:top w:val="none" w:sz="0" w:space="0" w:color="auto"/>
        <w:left w:val="none" w:sz="0" w:space="0" w:color="auto"/>
        <w:bottom w:val="none" w:sz="0" w:space="0" w:color="auto"/>
        <w:right w:val="none" w:sz="0" w:space="0" w:color="auto"/>
      </w:divBdr>
    </w:div>
    <w:div w:id="1899315171">
      <w:bodyDiv w:val="1"/>
      <w:marLeft w:val="0"/>
      <w:marRight w:val="0"/>
      <w:marTop w:val="0"/>
      <w:marBottom w:val="0"/>
      <w:divBdr>
        <w:top w:val="none" w:sz="0" w:space="0" w:color="auto"/>
        <w:left w:val="none" w:sz="0" w:space="0" w:color="auto"/>
        <w:bottom w:val="none" w:sz="0" w:space="0" w:color="auto"/>
        <w:right w:val="none" w:sz="0" w:space="0" w:color="auto"/>
      </w:divBdr>
    </w:div>
    <w:div w:id="1905069140">
      <w:bodyDiv w:val="1"/>
      <w:marLeft w:val="0"/>
      <w:marRight w:val="0"/>
      <w:marTop w:val="0"/>
      <w:marBottom w:val="0"/>
      <w:divBdr>
        <w:top w:val="none" w:sz="0" w:space="0" w:color="auto"/>
        <w:left w:val="none" w:sz="0" w:space="0" w:color="auto"/>
        <w:bottom w:val="none" w:sz="0" w:space="0" w:color="auto"/>
        <w:right w:val="none" w:sz="0" w:space="0" w:color="auto"/>
      </w:divBdr>
    </w:div>
    <w:div w:id="1912688703">
      <w:bodyDiv w:val="1"/>
      <w:marLeft w:val="0"/>
      <w:marRight w:val="0"/>
      <w:marTop w:val="0"/>
      <w:marBottom w:val="0"/>
      <w:divBdr>
        <w:top w:val="none" w:sz="0" w:space="0" w:color="auto"/>
        <w:left w:val="none" w:sz="0" w:space="0" w:color="auto"/>
        <w:bottom w:val="none" w:sz="0" w:space="0" w:color="auto"/>
        <w:right w:val="none" w:sz="0" w:space="0" w:color="auto"/>
      </w:divBdr>
    </w:div>
    <w:div w:id="1962032172">
      <w:bodyDiv w:val="1"/>
      <w:marLeft w:val="0"/>
      <w:marRight w:val="0"/>
      <w:marTop w:val="0"/>
      <w:marBottom w:val="0"/>
      <w:divBdr>
        <w:top w:val="none" w:sz="0" w:space="0" w:color="auto"/>
        <w:left w:val="none" w:sz="0" w:space="0" w:color="auto"/>
        <w:bottom w:val="none" w:sz="0" w:space="0" w:color="auto"/>
        <w:right w:val="none" w:sz="0" w:space="0" w:color="auto"/>
      </w:divBdr>
    </w:div>
    <w:div w:id="1975331616">
      <w:bodyDiv w:val="1"/>
      <w:marLeft w:val="0"/>
      <w:marRight w:val="0"/>
      <w:marTop w:val="0"/>
      <w:marBottom w:val="0"/>
      <w:divBdr>
        <w:top w:val="none" w:sz="0" w:space="0" w:color="auto"/>
        <w:left w:val="none" w:sz="0" w:space="0" w:color="auto"/>
        <w:bottom w:val="none" w:sz="0" w:space="0" w:color="auto"/>
        <w:right w:val="none" w:sz="0" w:space="0" w:color="auto"/>
      </w:divBdr>
      <w:divsChild>
        <w:div w:id="1852329055">
          <w:marLeft w:val="0"/>
          <w:marRight w:val="0"/>
          <w:marTop w:val="0"/>
          <w:marBottom w:val="0"/>
          <w:divBdr>
            <w:top w:val="none" w:sz="0" w:space="0" w:color="auto"/>
            <w:left w:val="none" w:sz="0" w:space="0" w:color="auto"/>
            <w:bottom w:val="none" w:sz="0" w:space="0" w:color="auto"/>
            <w:right w:val="none" w:sz="0" w:space="0" w:color="auto"/>
          </w:divBdr>
          <w:divsChild>
            <w:div w:id="550044915">
              <w:marLeft w:val="0"/>
              <w:marRight w:val="0"/>
              <w:marTop w:val="0"/>
              <w:marBottom w:val="0"/>
              <w:divBdr>
                <w:top w:val="none" w:sz="0" w:space="0" w:color="auto"/>
                <w:left w:val="none" w:sz="0" w:space="0" w:color="auto"/>
                <w:bottom w:val="none" w:sz="0" w:space="0" w:color="auto"/>
                <w:right w:val="none" w:sz="0" w:space="0" w:color="auto"/>
              </w:divBdr>
            </w:div>
          </w:divsChild>
        </w:div>
        <w:div w:id="2085297822">
          <w:marLeft w:val="0"/>
          <w:marRight w:val="0"/>
          <w:marTop w:val="0"/>
          <w:marBottom w:val="0"/>
          <w:divBdr>
            <w:top w:val="none" w:sz="0" w:space="0" w:color="auto"/>
            <w:left w:val="none" w:sz="0" w:space="0" w:color="auto"/>
            <w:bottom w:val="none" w:sz="0" w:space="0" w:color="auto"/>
            <w:right w:val="none" w:sz="0" w:space="0" w:color="auto"/>
          </w:divBdr>
          <w:divsChild>
            <w:div w:id="10073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086">
      <w:bodyDiv w:val="1"/>
      <w:marLeft w:val="0"/>
      <w:marRight w:val="0"/>
      <w:marTop w:val="0"/>
      <w:marBottom w:val="0"/>
      <w:divBdr>
        <w:top w:val="none" w:sz="0" w:space="0" w:color="auto"/>
        <w:left w:val="none" w:sz="0" w:space="0" w:color="auto"/>
        <w:bottom w:val="none" w:sz="0" w:space="0" w:color="auto"/>
        <w:right w:val="none" w:sz="0" w:space="0" w:color="auto"/>
      </w:divBdr>
    </w:div>
    <w:div w:id="2046979275">
      <w:bodyDiv w:val="1"/>
      <w:marLeft w:val="0"/>
      <w:marRight w:val="0"/>
      <w:marTop w:val="0"/>
      <w:marBottom w:val="0"/>
      <w:divBdr>
        <w:top w:val="none" w:sz="0" w:space="0" w:color="auto"/>
        <w:left w:val="none" w:sz="0" w:space="0" w:color="auto"/>
        <w:bottom w:val="none" w:sz="0" w:space="0" w:color="auto"/>
        <w:right w:val="none" w:sz="0" w:space="0" w:color="auto"/>
      </w:divBdr>
    </w:div>
    <w:div w:id="2052461648">
      <w:bodyDiv w:val="1"/>
      <w:marLeft w:val="0"/>
      <w:marRight w:val="0"/>
      <w:marTop w:val="0"/>
      <w:marBottom w:val="0"/>
      <w:divBdr>
        <w:top w:val="none" w:sz="0" w:space="0" w:color="auto"/>
        <w:left w:val="none" w:sz="0" w:space="0" w:color="auto"/>
        <w:bottom w:val="none" w:sz="0" w:space="0" w:color="auto"/>
        <w:right w:val="none" w:sz="0" w:space="0" w:color="auto"/>
      </w:divBdr>
    </w:div>
    <w:div w:id="2056999851">
      <w:bodyDiv w:val="1"/>
      <w:marLeft w:val="0"/>
      <w:marRight w:val="0"/>
      <w:marTop w:val="0"/>
      <w:marBottom w:val="0"/>
      <w:divBdr>
        <w:top w:val="none" w:sz="0" w:space="0" w:color="auto"/>
        <w:left w:val="none" w:sz="0" w:space="0" w:color="auto"/>
        <w:bottom w:val="none" w:sz="0" w:space="0" w:color="auto"/>
        <w:right w:val="none" w:sz="0" w:space="0" w:color="auto"/>
      </w:divBdr>
    </w:div>
    <w:div w:id="2123525507">
      <w:bodyDiv w:val="1"/>
      <w:marLeft w:val="0"/>
      <w:marRight w:val="0"/>
      <w:marTop w:val="0"/>
      <w:marBottom w:val="0"/>
      <w:divBdr>
        <w:top w:val="none" w:sz="0" w:space="0" w:color="auto"/>
        <w:left w:val="none" w:sz="0" w:space="0" w:color="auto"/>
        <w:bottom w:val="none" w:sz="0" w:space="0" w:color="auto"/>
        <w:right w:val="none" w:sz="0" w:space="0" w:color="auto"/>
      </w:divBdr>
    </w:div>
    <w:div w:id="2125996335">
      <w:bodyDiv w:val="1"/>
      <w:marLeft w:val="0"/>
      <w:marRight w:val="0"/>
      <w:marTop w:val="0"/>
      <w:marBottom w:val="0"/>
      <w:divBdr>
        <w:top w:val="none" w:sz="0" w:space="0" w:color="auto"/>
        <w:left w:val="none" w:sz="0" w:space="0" w:color="auto"/>
        <w:bottom w:val="none" w:sz="0" w:space="0" w:color="auto"/>
        <w:right w:val="none" w:sz="0" w:space="0" w:color="auto"/>
      </w:divBdr>
    </w:div>
    <w:div w:id="2137019349">
      <w:bodyDiv w:val="1"/>
      <w:marLeft w:val="0"/>
      <w:marRight w:val="0"/>
      <w:marTop w:val="0"/>
      <w:marBottom w:val="0"/>
      <w:divBdr>
        <w:top w:val="none" w:sz="0" w:space="0" w:color="auto"/>
        <w:left w:val="none" w:sz="0" w:space="0" w:color="auto"/>
        <w:bottom w:val="none" w:sz="0" w:space="0" w:color="auto"/>
        <w:right w:val="none" w:sz="0" w:space="0" w:color="auto"/>
      </w:divBdr>
    </w:div>
    <w:div w:id="21412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Russell@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ntractsfinder.service.gov.uk/Notice/af043016-dd83-4308-8b3c-0d134a3a89c9" TargetMode="External"/><Relationship Id="rId13" Type="http://schemas.openxmlformats.org/officeDocument/2006/relationships/hyperlink" Target="https://Apply.army.mod.uk/register" TargetMode="External"/><Relationship Id="rId3" Type="http://schemas.openxmlformats.org/officeDocument/2006/relationships/hyperlink" Target="https://www.nidirect.gov.uk/articles/gender-recognition" TargetMode="External"/><Relationship Id="rId7" Type="http://schemas.openxmlformats.org/officeDocument/2006/relationships/hyperlink" Target="https://hscbusiness.hscni.net/services/2512.htm" TargetMode="External"/><Relationship Id="rId12" Type="http://schemas.openxmlformats.org/officeDocument/2006/relationships/hyperlink" Target="https://www.met.police.uk/advice/advice-and-information/fr/facial-recognition-technology/" TargetMode="External"/><Relationship Id="rId2" Type="http://schemas.openxmlformats.org/officeDocument/2006/relationships/hyperlink" Target="https://www.executiveoffice-ni.gov.uk/articles/racial-equality" TargetMode="External"/><Relationship Id="rId16" Type="http://schemas.openxmlformats.org/officeDocument/2006/relationships/hyperlink" Target="https://www.electoralcommission.org.uk/research-reports-and-data/our-reports-and-data-past-elections-and-referendums/report-may-2023-local-elections-northern-ireland" TargetMode="External"/><Relationship Id="rId1" Type="http://schemas.openxmlformats.org/officeDocument/2006/relationships/hyperlink" Target="https://www.nicva.org/article/budget-cuts-and-inequality-in-northern-ireland" TargetMode="External"/><Relationship Id="rId6" Type="http://schemas.openxmlformats.org/officeDocument/2006/relationships/hyperlink" Target="https://covid19.public-inquiry.uk/structure-of-the-inquiry/" TargetMode="External"/><Relationship Id="rId11" Type="http://schemas.openxmlformats.org/officeDocument/2006/relationships/hyperlink" Target="https://www.supremecourt.uk/pta/permission-to-appeal-2023-11.html" TargetMode="External"/><Relationship Id="rId5" Type="http://schemas.openxmlformats.org/officeDocument/2006/relationships/hyperlink" Target="https://www.victimspaymentsboard.org.uk/about-us-0" TargetMode="External"/><Relationship Id="rId15" Type="http://schemas.openxmlformats.org/officeDocument/2006/relationships/hyperlink" Target="https://www.disabilityaction.org/news/response-to-electoral-offices-draft-disability-action-plan-and-equality-action-plan-for-the-period-2022-2027" TargetMode="External"/><Relationship Id="rId10" Type="http://schemas.openxmlformats.org/officeDocument/2006/relationships/hyperlink" Target="https://www.lawsoc-ni.org/immigration-practitioners-list-law-society-of-northern-ireland" TargetMode="External"/><Relationship Id="rId4" Type="http://schemas.openxmlformats.org/officeDocument/2006/relationships/hyperlink" Target="https://www.justice-ni.gov.uk/articles/executive-programme-tackling-paramilitary-activity-and-organised-crime" TargetMode="External"/><Relationship Id="rId9" Type="http://schemas.openxmlformats.org/officeDocument/2006/relationships/hyperlink" Target="https://www.lawsoc-ni.org/immigration-practitioners-list-law-society-of-northern-ireland" TargetMode="External"/><Relationship Id="rId14" Type="http://schemas.openxmlformats.org/officeDocument/2006/relationships/hyperlink" Target="https://www.equalityni.org/Blog/Articles/May-2022/Assembly-Election-2022-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Hannah Russell</DisplayName>
        <AccountId>19</AccountId>
        <AccountType/>
      </UserInfo>
      <UserInfo>
        <DisplayName>Nada Ahmed</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30D3-6C0B-4C84-8B94-7647B63A99B9}">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E22B6C41-4C67-4934-80E6-8C2961B4F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533F0-0C42-4B29-BCDA-35B510A651AE}">
  <ds:schemaRefs>
    <ds:schemaRef ds:uri="http://schemas.microsoft.com/sharepoint/v3/contenttype/forms"/>
  </ds:schemaRefs>
</ds:datastoreItem>
</file>

<file path=customXml/itemProps4.xml><?xml version="1.0" encoding="utf-8"?>
<ds:datastoreItem xmlns:ds="http://schemas.openxmlformats.org/officeDocument/2006/customXml" ds:itemID="{C86E09EE-3121-4828-94B6-2E3DF84C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11826</Words>
  <Characters>67413</Characters>
  <Application>Microsoft Office Word</Application>
  <DocSecurity>4</DocSecurity>
  <Lines>561</Lines>
  <Paragraphs>158</Paragraphs>
  <ScaleCrop>false</ScaleCrop>
  <Company/>
  <LinksUpToDate>false</LinksUpToDate>
  <CharactersWithSpaces>79081</CharactersWithSpaces>
  <SharedDoc>false</SharedDoc>
  <HLinks>
    <vt:vector size="618" baseType="variant">
      <vt:variant>
        <vt:i4>6946881</vt:i4>
      </vt:variant>
      <vt:variant>
        <vt:i4>513</vt:i4>
      </vt:variant>
      <vt:variant>
        <vt:i4>0</vt:i4>
      </vt:variant>
      <vt:variant>
        <vt:i4>5</vt:i4>
      </vt:variant>
      <vt:variant>
        <vt:lpwstr>mailto:info@nihrc.org</vt:lpwstr>
      </vt:variant>
      <vt:variant>
        <vt:lpwstr/>
      </vt:variant>
      <vt:variant>
        <vt:i4>4587543</vt:i4>
      </vt:variant>
      <vt:variant>
        <vt:i4>510</vt:i4>
      </vt:variant>
      <vt:variant>
        <vt:i4>0</vt:i4>
      </vt:variant>
      <vt:variant>
        <vt:i4>5</vt:i4>
      </vt:variant>
      <vt:variant>
        <vt:lpwstr>http://www.nihrc.org/</vt:lpwstr>
      </vt:variant>
      <vt:variant>
        <vt:lpwstr/>
      </vt:variant>
      <vt:variant>
        <vt:i4>4587567</vt:i4>
      </vt:variant>
      <vt:variant>
        <vt:i4>507</vt:i4>
      </vt:variant>
      <vt:variant>
        <vt:i4>0</vt:i4>
      </vt:variant>
      <vt:variant>
        <vt:i4>5</vt:i4>
      </vt:variant>
      <vt:variant>
        <vt:lpwstr>mailto:Hannah.Russell@nihrc.org</vt:lpwstr>
      </vt:variant>
      <vt:variant>
        <vt:lpwstr/>
      </vt:variant>
      <vt:variant>
        <vt:i4>2031671</vt:i4>
      </vt:variant>
      <vt:variant>
        <vt:i4>500</vt:i4>
      </vt:variant>
      <vt:variant>
        <vt:i4>0</vt:i4>
      </vt:variant>
      <vt:variant>
        <vt:i4>5</vt:i4>
      </vt:variant>
      <vt:variant>
        <vt:lpwstr/>
      </vt:variant>
      <vt:variant>
        <vt:lpwstr>_Toc156901058</vt:lpwstr>
      </vt:variant>
      <vt:variant>
        <vt:i4>2031671</vt:i4>
      </vt:variant>
      <vt:variant>
        <vt:i4>494</vt:i4>
      </vt:variant>
      <vt:variant>
        <vt:i4>0</vt:i4>
      </vt:variant>
      <vt:variant>
        <vt:i4>5</vt:i4>
      </vt:variant>
      <vt:variant>
        <vt:lpwstr/>
      </vt:variant>
      <vt:variant>
        <vt:lpwstr>_Toc156901057</vt:lpwstr>
      </vt:variant>
      <vt:variant>
        <vt:i4>2031671</vt:i4>
      </vt:variant>
      <vt:variant>
        <vt:i4>488</vt:i4>
      </vt:variant>
      <vt:variant>
        <vt:i4>0</vt:i4>
      </vt:variant>
      <vt:variant>
        <vt:i4>5</vt:i4>
      </vt:variant>
      <vt:variant>
        <vt:lpwstr/>
      </vt:variant>
      <vt:variant>
        <vt:lpwstr>_Toc156901056</vt:lpwstr>
      </vt:variant>
      <vt:variant>
        <vt:i4>2031671</vt:i4>
      </vt:variant>
      <vt:variant>
        <vt:i4>482</vt:i4>
      </vt:variant>
      <vt:variant>
        <vt:i4>0</vt:i4>
      </vt:variant>
      <vt:variant>
        <vt:i4>5</vt:i4>
      </vt:variant>
      <vt:variant>
        <vt:lpwstr/>
      </vt:variant>
      <vt:variant>
        <vt:lpwstr>_Toc156901055</vt:lpwstr>
      </vt:variant>
      <vt:variant>
        <vt:i4>2031671</vt:i4>
      </vt:variant>
      <vt:variant>
        <vt:i4>476</vt:i4>
      </vt:variant>
      <vt:variant>
        <vt:i4>0</vt:i4>
      </vt:variant>
      <vt:variant>
        <vt:i4>5</vt:i4>
      </vt:variant>
      <vt:variant>
        <vt:lpwstr/>
      </vt:variant>
      <vt:variant>
        <vt:lpwstr>_Toc156901054</vt:lpwstr>
      </vt:variant>
      <vt:variant>
        <vt:i4>2031671</vt:i4>
      </vt:variant>
      <vt:variant>
        <vt:i4>470</vt:i4>
      </vt:variant>
      <vt:variant>
        <vt:i4>0</vt:i4>
      </vt:variant>
      <vt:variant>
        <vt:i4>5</vt:i4>
      </vt:variant>
      <vt:variant>
        <vt:lpwstr/>
      </vt:variant>
      <vt:variant>
        <vt:lpwstr>_Toc156901053</vt:lpwstr>
      </vt:variant>
      <vt:variant>
        <vt:i4>2031671</vt:i4>
      </vt:variant>
      <vt:variant>
        <vt:i4>464</vt:i4>
      </vt:variant>
      <vt:variant>
        <vt:i4>0</vt:i4>
      </vt:variant>
      <vt:variant>
        <vt:i4>5</vt:i4>
      </vt:variant>
      <vt:variant>
        <vt:lpwstr/>
      </vt:variant>
      <vt:variant>
        <vt:lpwstr>_Toc156901052</vt:lpwstr>
      </vt:variant>
      <vt:variant>
        <vt:i4>2031671</vt:i4>
      </vt:variant>
      <vt:variant>
        <vt:i4>458</vt:i4>
      </vt:variant>
      <vt:variant>
        <vt:i4>0</vt:i4>
      </vt:variant>
      <vt:variant>
        <vt:i4>5</vt:i4>
      </vt:variant>
      <vt:variant>
        <vt:lpwstr/>
      </vt:variant>
      <vt:variant>
        <vt:lpwstr>_Toc156901051</vt:lpwstr>
      </vt:variant>
      <vt:variant>
        <vt:i4>2031671</vt:i4>
      </vt:variant>
      <vt:variant>
        <vt:i4>452</vt:i4>
      </vt:variant>
      <vt:variant>
        <vt:i4>0</vt:i4>
      </vt:variant>
      <vt:variant>
        <vt:i4>5</vt:i4>
      </vt:variant>
      <vt:variant>
        <vt:lpwstr/>
      </vt:variant>
      <vt:variant>
        <vt:lpwstr>_Toc156901050</vt:lpwstr>
      </vt:variant>
      <vt:variant>
        <vt:i4>1966135</vt:i4>
      </vt:variant>
      <vt:variant>
        <vt:i4>446</vt:i4>
      </vt:variant>
      <vt:variant>
        <vt:i4>0</vt:i4>
      </vt:variant>
      <vt:variant>
        <vt:i4>5</vt:i4>
      </vt:variant>
      <vt:variant>
        <vt:lpwstr/>
      </vt:variant>
      <vt:variant>
        <vt:lpwstr>_Toc156901049</vt:lpwstr>
      </vt:variant>
      <vt:variant>
        <vt:i4>1966135</vt:i4>
      </vt:variant>
      <vt:variant>
        <vt:i4>440</vt:i4>
      </vt:variant>
      <vt:variant>
        <vt:i4>0</vt:i4>
      </vt:variant>
      <vt:variant>
        <vt:i4>5</vt:i4>
      </vt:variant>
      <vt:variant>
        <vt:lpwstr/>
      </vt:variant>
      <vt:variant>
        <vt:lpwstr>_Toc156901048</vt:lpwstr>
      </vt:variant>
      <vt:variant>
        <vt:i4>1966135</vt:i4>
      </vt:variant>
      <vt:variant>
        <vt:i4>434</vt:i4>
      </vt:variant>
      <vt:variant>
        <vt:i4>0</vt:i4>
      </vt:variant>
      <vt:variant>
        <vt:i4>5</vt:i4>
      </vt:variant>
      <vt:variant>
        <vt:lpwstr/>
      </vt:variant>
      <vt:variant>
        <vt:lpwstr>_Toc156901047</vt:lpwstr>
      </vt:variant>
      <vt:variant>
        <vt:i4>1966135</vt:i4>
      </vt:variant>
      <vt:variant>
        <vt:i4>428</vt:i4>
      </vt:variant>
      <vt:variant>
        <vt:i4>0</vt:i4>
      </vt:variant>
      <vt:variant>
        <vt:i4>5</vt:i4>
      </vt:variant>
      <vt:variant>
        <vt:lpwstr/>
      </vt:variant>
      <vt:variant>
        <vt:lpwstr>_Toc156901046</vt:lpwstr>
      </vt:variant>
      <vt:variant>
        <vt:i4>1966135</vt:i4>
      </vt:variant>
      <vt:variant>
        <vt:i4>422</vt:i4>
      </vt:variant>
      <vt:variant>
        <vt:i4>0</vt:i4>
      </vt:variant>
      <vt:variant>
        <vt:i4>5</vt:i4>
      </vt:variant>
      <vt:variant>
        <vt:lpwstr/>
      </vt:variant>
      <vt:variant>
        <vt:lpwstr>_Toc156901045</vt:lpwstr>
      </vt:variant>
      <vt:variant>
        <vt:i4>1966135</vt:i4>
      </vt:variant>
      <vt:variant>
        <vt:i4>416</vt:i4>
      </vt:variant>
      <vt:variant>
        <vt:i4>0</vt:i4>
      </vt:variant>
      <vt:variant>
        <vt:i4>5</vt:i4>
      </vt:variant>
      <vt:variant>
        <vt:lpwstr/>
      </vt:variant>
      <vt:variant>
        <vt:lpwstr>_Toc156901044</vt:lpwstr>
      </vt:variant>
      <vt:variant>
        <vt:i4>1966135</vt:i4>
      </vt:variant>
      <vt:variant>
        <vt:i4>410</vt:i4>
      </vt:variant>
      <vt:variant>
        <vt:i4>0</vt:i4>
      </vt:variant>
      <vt:variant>
        <vt:i4>5</vt:i4>
      </vt:variant>
      <vt:variant>
        <vt:lpwstr/>
      </vt:variant>
      <vt:variant>
        <vt:lpwstr>_Toc156901043</vt:lpwstr>
      </vt:variant>
      <vt:variant>
        <vt:i4>1966135</vt:i4>
      </vt:variant>
      <vt:variant>
        <vt:i4>404</vt:i4>
      </vt:variant>
      <vt:variant>
        <vt:i4>0</vt:i4>
      </vt:variant>
      <vt:variant>
        <vt:i4>5</vt:i4>
      </vt:variant>
      <vt:variant>
        <vt:lpwstr/>
      </vt:variant>
      <vt:variant>
        <vt:lpwstr>_Toc156901042</vt:lpwstr>
      </vt:variant>
      <vt:variant>
        <vt:i4>1966135</vt:i4>
      </vt:variant>
      <vt:variant>
        <vt:i4>398</vt:i4>
      </vt:variant>
      <vt:variant>
        <vt:i4>0</vt:i4>
      </vt:variant>
      <vt:variant>
        <vt:i4>5</vt:i4>
      </vt:variant>
      <vt:variant>
        <vt:lpwstr/>
      </vt:variant>
      <vt:variant>
        <vt:lpwstr>_Toc156901041</vt:lpwstr>
      </vt:variant>
      <vt:variant>
        <vt:i4>1966135</vt:i4>
      </vt:variant>
      <vt:variant>
        <vt:i4>392</vt:i4>
      </vt:variant>
      <vt:variant>
        <vt:i4>0</vt:i4>
      </vt:variant>
      <vt:variant>
        <vt:i4>5</vt:i4>
      </vt:variant>
      <vt:variant>
        <vt:lpwstr/>
      </vt:variant>
      <vt:variant>
        <vt:lpwstr>_Toc156901040</vt:lpwstr>
      </vt:variant>
      <vt:variant>
        <vt:i4>1638455</vt:i4>
      </vt:variant>
      <vt:variant>
        <vt:i4>386</vt:i4>
      </vt:variant>
      <vt:variant>
        <vt:i4>0</vt:i4>
      </vt:variant>
      <vt:variant>
        <vt:i4>5</vt:i4>
      </vt:variant>
      <vt:variant>
        <vt:lpwstr/>
      </vt:variant>
      <vt:variant>
        <vt:lpwstr>_Toc156901039</vt:lpwstr>
      </vt:variant>
      <vt:variant>
        <vt:i4>1638455</vt:i4>
      </vt:variant>
      <vt:variant>
        <vt:i4>380</vt:i4>
      </vt:variant>
      <vt:variant>
        <vt:i4>0</vt:i4>
      </vt:variant>
      <vt:variant>
        <vt:i4>5</vt:i4>
      </vt:variant>
      <vt:variant>
        <vt:lpwstr/>
      </vt:variant>
      <vt:variant>
        <vt:lpwstr>_Toc156901038</vt:lpwstr>
      </vt:variant>
      <vt:variant>
        <vt:i4>1638455</vt:i4>
      </vt:variant>
      <vt:variant>
        <vt:i4>374</vt:i4>
      </vt:variant>
      <vt:variant>
        <vt:i4>0</vt:i4>
      </vt:variant>
      <vt:variant>
        <vt:i4>5</vt:i4>
      </vt:variant>
      <vt:variant>
        <vt:lpwstr/>
      </vt:variant>
      <vt:variant>
        <vt:lpwstr>_Toc156901037</vt:lpwstr>
      </vt:variant>
      <vt:variant>
        <vt:i4>1638455</vt:i4>
      </vt:variant>
      <vt:variant>
        <vt:i4>368</vt:i4>
      </vt:variant>
      <vt:variant>
        <vt:i4>0</vt:i4>
      </vt:variant>
      <vt:variant>
        <vt:i4>5</vt:i4>
      </vt:variant>
      <vt:variant>
        <vt:lpwstr/>
      </vt:variant>
      <vt:variant>
        <vt:lpwstr>_Toc156901036</vt:lpwstr>
      </vt:variant>
      <vt:variant>
        <vt:i4>1638455</vt:i4>
      </vt:variant>
      <vt:variant>
        <vt:i4>362</vt:i4>
      </vt:variant>
      <vt:variant>
        <vt:i4>0</vt:i4>
      </vt:variant>
      <vt:variant>
        <vt:i4>5</vt:i4>
      </vt:variant>
      <vt:variant>
        <vt:lpwstr/>
      </vt:variant>
      <vt:variant>
        <vt:lpwstr>_Toc156901035</vt:lpwstr>
      </vt:variant>
      <vt:variant>
        <vt:i4>1638455</vt:i4>
      </vt:variant>
      <vt:variant>
        <vt:i4>356</vt:i4>
      </vt:variant>
      <vt:variant>
        <vt:i4>0</vt:i4>
      </vt:variant>
      <vt:variant>
        <vt:i4>5</vt:i4>
      </vt:variant>
      <vt:variant>
        <vt:lpwstr/>
      </vt:variant>
      <vt:variant>
        <vt:lpwstr>_Toc156901034</vt:lpwstr>
      </vt:variant>
      <vt:variant>
        <vt:i4>1638455</vt:i4>
      </vt:variant>
      <vt:variant>
        <vt:i4>350</vt:i4>
      </vt:variant>
      <vt:variant>
        <vt:i4>0</vt:i4>
      </vt:variant>
      <vt:variant>
        <vt:i4>5</vt:i4>
      </vt:variant>
      <vt:variant>
        <vt:lpwstr/>
      </vt:variant>
      <vt:variant>
        <vt:lpwstr>_Toc156901033</vt:lpwstr>
      </vt:variant>
      <vt:variant>
        <vt:i4>1638455</vt:i4>
      </vt:variant>
      <vt:variant>
        <vt:i4>344</vt:i4>
      </vt:variant>
      <vt:variant>
        <vt:i4>0</vt:i4>
      </vt:variant>
      <vt:variant>
        <vt:i4>5</vt:i4>
      </vt:variant>
      <vt:variant>
        <vt:lpwstr/>
      </vt:variant>
      <vt:variant>
        <vt:lpwstr>_Toc156901032</vt:lpwstr>
      </vt:variant>
      <vt:variant>
        <vt:i4>1638455</vt:i4>
      </vt:variant>
      <vt:variant>
        <vt:i4>338</vt:i4>
      </vt:variant>
      <vt:variant>
        <vt:i4>0</vt:i4>
      </vt:variant>
      <vt:variant>
        <vt:i4>5</vt:i4>
      </vt:variant>
      <vt:variant>
        <vt:lpwstr/>
      </vt:variant>
      <vt:variant>
        <vt:lpwstr>_Toc156901031</vt:lpwstr>
      </vt:variant>
      <vt:variant>
        <vt:i4>1638455</vt:i4>
      </vt:variant>
      <vt:variant>
        <vt:i4>332</vt:i4>
      </vt:variant>
      <vt:variant>
        <vt:i4>0</vt:i4>
      </vt:variant>
      <vt:variant>
        <vt:i4>5</vt:i4>
      </vt:variant>
      <vt:variant>
        <vt:lpwstr/>
      </vt:variant>
      <vt:variant>
        <vt:lpwstr>_Toc156901030</vt:lpwstr>
      </vt:variant>
      <vt:variant>
        <vt:i4>1572919</vt:i4>
      </vt:variant>
      <vt:variant>
        <vt:i4>326</vt:i4>
      </vt:variant>
      <vt:variant>
        <vt:i4>0</vt:i4>
      </vt:variant>
      <vt:variant>
        <vt:i4>5</vt:i4>
      </vt:variant>
      <vt:variant>
        <vt:lpwstr/>
      </vt:variant>
      <vt:variant>
        <vt:lpwstr>_Toc156901029</vt:lpwstr>
      </vt:variant>
      <vt:variant>
        <vt:i4>1572919</vt:i4>
      </vt:variant>
      <vt:variant>
        <vt:i4>320</vt:i4>
      </vt:variant>
      <vt:variant>
        <vt:i4>0</vt:i4>
      </vt:variant>
      <vt:variant>
        <vt:i4>5</vt:i4>
      </vt:variant>
      <vt:variant>
        <vt:lpwstr/>
      </vt:variant>
      <vt:variant>
        <vt:lpwstr>_Toc156901028</vt:lpwstr>
      </vt:variant>
      <vt:variant>
        <vt:i4>1572919</vt:i4>
      </vt:variant>
      <vt:variant>
        <vt:i4>314</vt:i4>
      </vt:variant>
      <vt:variant>
        <vt:i4>0</vt:i4>
      </vt:variant>
      <vt:variant>
        <vt:i4>5</vt:i4>
      </vt:variant>
      <vt:variant>
        <vt:lpwstr/>
      </vt:variant>
      <vt:variant>
        <vt:lpwstr>_Toc156901027</vt:lpwstr>
      </vt:variant>
      <vt:variant>
        <vt:i4>1572919</vt:i4>
      </vt:variant>
      <vt:variant>
        <vt:i4>308</vt:i4>
      </vt:variant>
      <vt:variant>
        <vt:i4>0</vt:i4>
      </vt:variant>
      <vt:variant>
        <vt:i4>5</vt:i4>
      </vt:variant>
      <vt:variant>
        <vt:lpwstr/>
      </vt:variant>
      <vt:variant>
        <vt:lpwstr>_Toc156901026</vt:lpwstr>
      </vt:variant>
      <vt:variant>
        <vt:i4>1572919</vt:i4>
      </vt:variant>
      <vt:variant>
        <vt:i4>302</vt:i4>
      </vt:variant>
      <vt:variant>
        <vt:i4>0</vt:i4>
      </vt:variant>
      <vt:variant>
        <vt:i4>5</vt:i4>
      </vt:variant>
      <vt:variant>
        <vt:lpwstr/>
      </vt:variant>
      <vt:variant>
        <vt:lpwstr>_Toc156901025</vt:lpwstr>
      </vt:variant>
      <vt:variant>
        <vt:i4>1572919</vt:i4>
      </vt:variant>
      <vt:variant>
        <vt:i4>296</vt:i4>
      </vt:variant>
      <vt:variant>
        <vt:i4>0</vt:i4>
      </vt:variant>
      <vt:variant>
        <vt:i4>5</vt:i4>
      </vt:variant>
      <vt:variant>
        <vt:lpwstr/>
      </vt:variant>
      <vt:variant>
        <vt:lpwstr>_Toc156901024</vt:lpwstr>
      </vt:variant>
      <vt:variant>
        <vt:i4>1572919</vt:i4>
      </vt:variant>
      <vt:variant>
        <vt:i4>290</vt:i4>
      </vt:variant>
      <vt:variant>
        <vt:i4>0</vt:i4>
      </vt:variant>
      <vt:variant>
        <vt:i4>5</vt:i4>
      </vt:variant>
      <vt:variant>
        <vt:lpwstr/>
      </vt:variant>
      <vt:variant>
        <vt:lpwstr>_Toc156901023</vt:lpwstr>
      </vt:variant>
      <vt:variant>
        <vt:i4>1572919</vt:i4>
      </vt:variant>
      <vt:variant>
        <vt:i4>284</vt:i4>
      </vt:variant>
      <vt:variant>
        <vt:i4>0</vt:i4>
      </vt:variant>
      <vt:variant>
        <vt:i4>5</vt:i4>
      </vt:variant>
      <vt:variant>
        <vt:lpwstr/>
      </vt:variant>
      <vt:variant>
        <vt:lpwstr>_Toc156901022</vt:lpwstr>
      </vt:variant>
      <vt:variant>
        <vt:i4>1572919</vt:i4>
      </vt:variant>
      <vt:variant>
        <vt:i4>278</vt:i4>
      </vt:variant>
      <vt:variant>
        <vt:i4>0</vt:i4>
      </vt:variant>
      <vt:variant>
        <vt:i4>5</vt:i4>
      </vt:variant>
      <vt:variant>
        <vt:lpwstr/>
      </vt:variant>
      <vt:variant>
        <vt:lpwstr>_Toc156901021</vt:lpwstr>
      </vt:variant>
      <vt:variant>
        <vt:i4>1572919</vt:i4>
      </vt:variant>
      <vt:variant>
        <vt:i4>272</vt:i4>
      </vt:variant>
      <vt:variant>
        <vt:i4>0</vt:i4>
      </vt:variant>
      <vt:variant>
        <vt:i4>5</vt:i4>
      </vt:variant>
      <vt:variant>
        <vt:lpwstr/>
      </vt:variant>
      <vt:variant>
        <vt:lpwstr>_Toc156901020</vt:lpwstr>
      </vt:variant>
      <vt:variant>
        <vt:i4>1769527</vt:i4>
      </vt:variant>
      <vt:variant>
        <vt:i4>266</vt:i4>
      </vt:variant>
      <vt:variant>
        <vt:i4>0</vt:i4>
      </vt:variant>
      <vt:variant>
        <vt:i4>5</vt:i4>
      </vt:variant>
      <vt:variant>
        <vt:lpwstr/>
      </vt:variant>
      <vt:variant>
        <vt:lpwstr>_Toc156901019</vt:lpwstr>
      </vt:variant>
      <vt:variant>
        <vt:i4>1769527</vt:i4>
      </vt:variant>
      <vt:variant>
        <vt:i4>260</vt:i4>
      </vt:variant>
      <vt:variant>
        <vt:i4>0</vt:i4>
      </vt:variant>
      <vt:variant>
        <vt:i4>5</vt:i4>
      </vt:variant>
      <vt:variant>
        <vt:lpwstr/>
      </vt:variant>
      <vt:variant>
        <vt:lpwstr>_Toc156901018</vt:lpwstr>
      </vt:variant>
      <vt:variant>
        <vt:i4>1769527</vt:i4>
      </vt:variant>
      <vt:variant>
        <vt:i4>254</vt:i4>
      </vt:variant>
      <vt:variant>
        <vt:i4>0</vt:i4>
      </vt:variant>
      <vt:variant>
        <vt:i4>5</vt:i4>
      </vt:variant>
      <vt:variant>
        <vt:lpwstr/>
      </vt:variant>
      <vt:variant>
        <vt:lpwstr>_Toc156901017</vt:lpwstr>
      </vt:variant>
      <vt:variant>
        <vt:i4>1769527</vt:i4>
      </vt:variant>
      <vt:variant>
        <vt:i4>248</vt:i4>
      </vt:variant>
      <vt:variant>
        <vt:i4>0</vt:i4>
      </vt:variant>
      <vt:variant>
        <vt:i4>5</vt:i4>
      </vt:variant>
      <vt:variant>
        <vt:lpwstr/>
      </vt:variant>
      <vt:variant>
        <vt:lpwstr>_Toc156901016</vt:lpwstr>
      </vt:variant>
      <vt:variant>
        <vt:i4>1769527</vt:i4>
      </vt:variant>
      <vt:variant>
        <vt:i4>242</vt:i4>
      </vt:variant>
      <vt:variant>
        <vt:i4>0</vt:i4>
      </vt:variant>
      <vt:variant>
        <vt:i4>5</vt:i4>
      </vt:variant>
      <vt:variant>
        <vt:lpwstr/>
      </vt:variant>
      <vt:variant>
        <vt:lpwstr>_Toc156901015</vt:lpwstr>
      </vt:variant>
      <vt:variant>
        <vt:i4>1769527</vt:i4>
      </vt:variant>
      <vt:variant>
        <vt:i4>236</vt:i4>
      </vt:variant>
      <vt:variant>
        <vt:i4>0</vt:i4>
      </vt:variant>
      <vt:variant>
        <vt:i4>5</vt:i4>
      </vt:variant>
      <vt:variant>
        <vt:lpwstr/>
      </vt:variant>
      <vt:variant>
        <vt:lpwstr>_Toc156901014</vt:lpwstr>
      </vt:variant>
      <vt:variant>
        <vt:i4>1769527</vt:i4>
      </vt:variant>
      <vt:variant>
        <vt:i4>230</vt:i4>
      </vt:variant>
      <vt:variant>
        <vt:i4>0</vt:i4>
      </vt:variant>
      <vt:variant>
        <vt:i4>5</vt:i4>
      </vt:variant>
      <vt:variant>
        <vt:lpwstr/>
      </vt:variant>
      <vt:variant>
        <vt:lpwstr>_Toc156901013</vt:lpwstr>
      </vt:variant>
      <vt:variant>
        <vt:i4>1769527</vt:i4>
      </vt:variant>
      <vt:variant>
        <vt:i4>224</vt:i4>
      </vt:variant>
      <vt:variant>
        <vt:i4>0</vt:i4>
      </vt:variant>
      <vt:variant>
        <vt:i4>5</vt:i4>
      </vt:variant>
      <vt:variant>
        <vt:lpwstr/>
      </vt:variant>
      <vt:variant>
        <vt:lpwstr>_Toc156901012</vt:lpwstr>
      </vt:variant>
      <vt:variant>
        <vt:i4>1769527</vt:i4>
      </vt:variant>
      <vt:variant>
        <vt:i4>218</vt:i4>
      </vt:variant>
      <vt:variant>
        <vt:i4>0</vt:i4>
      </vt:variant>
      <vt:variant>
        <vt:i4>5</vt:i4>
      </vt:variant>
      <vt:variant>
        <vt:lpwstr/>
      </vt:variant>
      <vt:variant>
        <vt:lpwstr>_Toc156901011</vt:lpwstr>
      </vt:variant>
      <vt:variant>
        <vt:i4>1769527</vt:i4>
      </vt:variant>
      <vt:variant>
        <vt:i4>212</vt:i4>
      </vt:variant>
      <vt:variant>
        <vt:i4>0</vt:i4>
      </vt:variant>
      <vt:variant>
        <vt:i4>5</vt:i4>
      </vt:variant>
      <vt:variant>
        <vt:lpwstr/>
      </vt:variant>
      <vt:variant>
        <vt:lpwstr>_Toc156901010</vt:lpwstr>
      </vt:variant>
      <vt:variant>
        <vt:i4>1703991</vt:i4>
      </vt:variant>
      <vt:variant>
        <vt:i4>206</vt:i4>
      </vt:variant>
      <vt:variant>
        <vt:i4>0</vt:i4>
      </vt:variant>
      <vt:variant>
        <vt:i4>5</vt:i4>
      </vt:variant>
      <vt:variant>
        <vt:lpwstr/>
      </vt:variant>
      <vt:variant>
        <vt:lpwstr>_Toc156901009</vt:lpwstr>
      </vt:variant>
      <vt:variant>
        <vt:i4>1703991</vt:i4>
      </vt:variant>
      <vt:variant>
        <vt:i4>200</vt:i4>
      </vt:variant>
      <vt:variant>
        <vt:i4>0</vt:i4>
      </vt:variant>
      <vt:variant>
        <vt:i4>5</vt:i4>
      </vt:variant>
      <vt:variant>
        <vt:lpwstr/>
      </vt:variant>
      <vt:variant>
        <vt:lpwstr>_Toc156901008</vt:lpwstr>
      </vt:variant>
      <vt:variant>
        <vt:i4>1703991</vt:i4>
      </vt:variant>
      <vt:variant>
        <vt:i4>194</vt:i4>
      </vt:variant>
      <vt:variant>
        <vt:i4>0</vt:i4>
      </vt:variant>
      <vt:variant>
        <vt:i4>5</vt:i4>
      </vt:variant>
      <vt:variant>
        <vt:lpwstr/>
      </vt:variant>
      <vt:variant>
        <vt:lpwstr>_Toc156901007</vt:lpwstr>
      </vt:variant>
      <vt:variant>
        <vt:i4>1703991</vt:i4>
      </vt:variant>
      <vt:variant>
        <vt:i4>188</vt:i4>
      </vt:variant>
      <vt:variant>
        <vt:i4>0</vt:i4>
      </vt:variant>
      <vt:variant>
        <vt:i4>5</vt:i4>
      </vt:variant>
      <vt:variant>
        <vt:lpwstr/>
      </vt:variant>
      <vt:variant>
        <vt:lpwstr>_Toc156901006</vt:lpwstr>
      </vt:variant>
      <vt:variant>
        <vt:i4>1703991</vt:i4>
      </vt:variant>
      <vt:variant>
        <vt:i4>182</vt:i4>
      </vt:variant>
      <vt:variant>
        <vt:i4>0</vt:i4>
      </vt:variant>
      <vt:variant>
        <vt:i4>5</vt:i4>
      </vt:variant>
      <vt:variant>
        <vt:lpwstr/>
      </vt:variant>
      <vt:variant>
        <vt:lpwstr>_Toc156901005</vt:lpwstr>
      </vt:variant>
      <vt:variant>
        <vt:i4>1703991</vt:i4>
      </vt:variant>
      <vt:variant>
        <vt:i4>176</vt:i4>
      </vt:variant>
      <vt:variant>
        <vt:i4>0</vt:i4>
      </vt:variant>
      <vt:variant>
        <vt:i4>5</vt:i4>
      </vt:variant>
      <vt:variant>
        <vt:lpwstr/>
      </vt:variant>
      <vt:variant>
        <vt:lpwstr>_Toc156901004</vt:lpwstr>
      </vt:variant>
      <vt:variant>
        <vt:i4>1703991</vt:i4>
      </vt:variant>
      <vt:variant>
        <vt:i4>170</vt:i4>
      </vt:variant>
      <vt:variant>
        <vt:i4>0</vt:i4>
      </vt:variant>
      <vt:variant>
        <vt:i4>5</vt:i4>
      </vt:variant>
      <vt:variant>
        <vt:lpwstr/>
      </vt:variant>
      <vt:variant>
        <vt:lpwstr>_Toc156901003</vt:lpwstr>
      </vt:variant>
      <vt:variant>
        <vt:i4>1703991</vt:i4>
      </vt:variant>
      <vt:variant>
        <vt:i4>164</vt:i4>
      </vt:variant>
      <vt:variant>
        <vt:i4>0</vt:i4>
      </vt:variant>
      <vt:variant>
        <vt:i4>5</vt:i4>
      </vt:variant>
      <vt:variant>
        <vt:lpwstr/>
      </vt:variant>
      <vt:variant>
        <vt:lpwstr>_Toc156901002</vt:lpwstr>
      </vt:variant>
      <vt:variant>
        <vt:i4>1703991</vt:i4>
      </vt:variant>
      <vt:variant>
        <vt:i4>158</vt:i4>
      </vt:variant>
      <vt:variant>
        <vt:i4>0</vt:i4>
      </vt:variant>
      <vt:variant>
        <vt:i4>5</vt:i4>
      </vt:variant>
      <vt:variant>
        <vt:lpwstr/>
      </vt:variant>
      <vt:variant>
        <vt:lpwstr>_Toc156901001</vt:lpwstr>
      </vt:variant>
      <vt:variant>
        <vt:i4>1703991</vt:i4>
      </vt:variant>
      <vt:variant>
        <vt:i4>152</vt:i4>
      </vt:variant>
      <vt:variant>
        <vt:i4>0</vt:i4>
      </vt:variant>
      <vt:variant>
        <vt:i4>5</vt:i4>
      </vt:variant>
      <vt:variant>
        <vt:lpwstr/>
      </vt:variant>
      <vt:variant>
        <vt:lpwstr>_Toc156901000</vt:lpwstr>
      </vt:variant>
      <vt:variant>
        <vt:i4>1179710</vt:i4>
      </vt:variant>
      <vt:variant>
        <vt:i4>146</vt:i4>
      </vt:variant>
      <vt:variant>
        <vt:i4>0</vt:i4>
      </vt:variant>
      <vt:variant>
        <vt:i4>5</vt:i4>
      </vt:variant>
      <vt:variant>
        <vt:lpwstr/>
      </vt:variant>
      <vt:variant>
        <vt:lpwstr>_Toc156900999</vt:lpwstr>
      </vt:variant>
      <vt:variant>
        <vt:i4>1179710</vt:i4>
      </vt:variant>
      <vt:variant>
        <vt:i4>140</vt:i4>
      </vt:variant>
      <vt:variant>
        <vt:i4>0</vt:i4>
      </vt:variant>
      <vt:variant>
        <vt:i4>5</vt:i4>
      </vt:variant>
      <vt:variant>
        <vt:lpwstr/>
      </vt:variant>
      <vt:variant>
        <vt:lpwstr>_Toc156900998</vt:lpwstr>
      </vt:variant>
      <vt:variant>
        <vt:i4>1179710</vt:i4>
      </vt:variant>
      <vt:variant>
        <vt:i4>134</vt:i4>
      </vt:variant>
      <vt:variant>
        <vt:i4>0</vt:i4>
      </vt:variant>
      <vt:variant>
        <vt:i4>5</vt:i4>
      </vt:variant>
      <vt:variant>
        <vt:lpwstr/>
      </vt:variant>
      <vt:variant>
        <vt:lpwstr>_Toc156900997</vt:lpwstr>
      </vt:variant>
      <vt:variant>
        <vt:i4>1179710</vt:i4>
      </vt:variant>
      <vt:variant>
        <vt:i4>128</vt:i4>
      </vt:variant>
      <vt:variant>
        <vt:i4>0</vt:i4>
      </vt:variant>
      <vt:variant>
        <vt:i4>5</vt:i4>
      </vt:variant>
      <vt:variant>
        <vt:lpwstr/>
      </vt:variant>
      <vt:variant>
        <vt:lpwstr>_Toc156900996</vt:lpwstr>
      </vt:variant>
      <vt:variant>
        <vt:i4>1179710</vt:i4>
      </vt:variant>
      <vt:variant>
        <vt:i4>122</vt:i4>
      </vt:variant>
      <vt:variant>
        <vt:i4>0</vt:i4>
      </vt:variant>
      <vt:variant>
        <vt:i4>5</vt:i4>
      </vt:variant>
      <vt:variant>
        <vt:lpwstr/>
      </vt:variant>
      <vt:variant>
        <vt:lpwstr>_Toc156900995</vt:lpwstr>
      </vt:variant>
      <vt:variant>
        <vt:i4>1179710</vt:i4>
      </vt:variant>
      <vt:variant>
        <vt:i4>116</vt:i4>
      </vt:variant>
      <vt:variant>
        <vt:i4>0</vt:i4>
      </vt:variant>
      <vt:variant>
        <vt:i4>5</vt:i4>
      </vt:variant>
      <vt:variant>
        <vt:lpwstr/>
      </vt:variant>
      <vt:variant>
        <vt:lpwstr>_Toc156900994</vt:lpwstr>
      </vt:variant>
      <vt:variant>
        <vt:i4>1179710</vt:i4>
      </vt:variant>
      <vt:variant>
        <vt:i4>110</vt:i4>
      </vt:variant>
      <vt:variant>
        <vt:i4>0</vt:i4>
      </vt:variant>
      <vt:variant>
        <vt:i4>5</vt:i4>
      </vt:variant>
      <vt:variant>
        <vt:lpwstr/>
      </vt:variant>
      <vt:variant>
        <vt:lpwstr>_Toc156900993</vt:lpwstr>
      </vt:variant>
      <vt:variant>
        <vt:i4>1179710</vt:i4>
      </vt:variant>
      <vt:variant>
        <vt:i4>104</vt:i4>
      </vt:variant>
      <vt:variant>
        <vt:i4>0</vt:i4>
      </vt:variant>
      <vt:variant>
        <vt:i4>5</vt:i4>
      </vt:variant>
      <vt:variant>
        <vt:lpwstr/>
      </vt:variant>
      <vt:variant>
        <vt:lpwstr>_Toc156900992</vt:lpwstr>
      </vt:variant>
      <vt:variant>
        <vt:i4>1179710</vt:i4>
      </vt:variant>
      <vt:variant>
        <vt:i4>98</vt:i4>
      </vt:variant>
      <vt:variant>
        <vt:i4>0</vt:i4>
      </vt:variant>
      <vt:variant>
        <vt:i4>5</vt:i4>
      </vt:variant>
      <vt:variant>
        <vt:lpwstr/>
      </vt:variant>
      <vt:variant>
        <vt:lpwstr>_Toc156900991</vt:lpwstr>
      </vt:variant>
      <vt:variant>
        <vt:i4>1179710</vt:i4>
      </vt:variant>
      <vt:variant>
        <vt:i4>92</vt:i4>
      </vt:variant>
      <vt:variant>
        <vt:i4>0</vt:i4>
      </vt:variant>
      <vt:variant>
        <vt:i4>5</vt:i4>
      </vt:variant>
      <vt:variant>
        <vt:lpwstr/>
      </vt:variant>
      <vt:variant>
        <vt:lpwstr>_Toc156900990</vt:lpwstr>
      </vt:variant>
      <vt:variant>
        <vt:i4>1245246</vt:i4>
      </vt:variant>
      <vt:variant>
        <vt:i4>86</vt:i4>
      </vt:variant>
      <vt:variant>
        <vt:i4>0</vt:i4>
      </vt:variant>
      <vt:variant>
        <vt:i4>5</vt:i4>
      </vt:variant>
      <vt:variant>
        <vt:lpwstr/>
      </vt:variant>
      <vt:variant>
        <vt:lpwstr>_Toc156900989</vt:lpwstr>
      </vt:variant>
      <vt:variant>
        <vt:i4>1245246</vt:i4>
      </vt:variant>
      <vt:variant>
        <vt:i4>80</vt:i4>
      </vt:variant>
      <vt:variant>
        <vt:i4>0</vt:i4>
      </vt:variant>
      <vt:variant>
        <vt:i4>5</vt:i4>
      </vt:variant>
      <vt:variant>
        <vt:lpwstr/>
      </vt:variant>
      <vt:variant>
        <vt:lpwstr>_Toc156900988</vt:lpwstr>
      </vt:variant>
      <vt:variant>
        <vt:i4>1245246</vt:i4>
      </vt:variant>
      <vt:variant>
        <vt:i4>74</vt:i4>
      </vt:variant>
      <vt:variant>
        <vt:i4>0</vt:i4>
      </vt:variant>
      <vt:variant>
        <vt:i4>5</vt:i4>
      </vt:variant>
      <vt:variant>
        <vt:lpwstr/>
      </vt:variant>
      <vt:variant>
        <vt:lpwstr>_Toc156900987</vt:lpwstr>
      </vt:variant>
      <vt:variant>
        <vt:i4>1245246</vt:i4>
      </vt:variant>
      <vt:variant>
        <vt:i4>68</vt:i4>
      </vt:variant>
      <vt:variant>
        <vt:i4>0</vt:i4>
      </vt:variant>
      <vt:variant>
        <vt:i4>5</vt:i4>
      </vt:variant>
      <vt:variant>
        <vt:lpwstr/>
      </vt:variant>
      <vt:variant>
        <vt:lpwstr>_Toc156900986</vt:lpwstr>
      </vt:variant>
      <vt:variant>
        <vt:i4>1245246</vt:i4>
      </vt:variant>
      <vt:variant>
        <vt:i4>62</vt:i4>
      </vt:variant>
      <vt:variant>
        <vt:i4>0</vt:i4>
      </vt:variant>
      <vt:variant>
        <vt:i4>5</vt:i4>
      </vt:variant>
      <vt:variant>
        <vt:lpwstr/>
      </vt:variant>
      <vt:variant>
        <vt:lpwstr>_Toc156900985</vt:lpwstr>
      </vt:variant>
      <vt:variant>
        <vt:i4>1245246</vt:i4>
      </vt:variant>
      <vt:variant>
        <vt:i4>56</vt:i4>
      </vt:variant>
      <vt:variant>
        <vt:i4>0</vt:i4>
      </vt:variant>
      <vt:variant>
        <vt:i4>5</vt:i4>
      </vt:variant>
      <vt:variant>
        <vt:lpwstr/>
      </vt:variant>
      <vt:variant>
        <vt:lpwstr>_Toc156900984</vt:lpwstr>
      </vt:variant>
      <vt:variant>
        <vt:i4>1245246</vt:i4>
      </vt:variant>
      <vt:variant>
        <vt:i4>50</vt:i4>
      </vt:variant>
      <vt:variant>
        <vt:i4>0</vt:i4>
      </vt:variant>
      <vt:variant>
        <vt:i4>5</vt:i4>
      </vt:variant>
      <vt:variant>
        <vt:lpwstr/>
      </vt:variant>
      <vt:variant>
        <vt:lpwstr>_Toc156900983</vt:lpwstr>
      </vt:variant>
      <vt:variant>
        <vt:i4>1245246</vt:i4>
      </vt:variant>
      <vt:variant>
        <vt:i4>44</vt:i4>
      </vt:variant>
      <vt:variant>
        <vt:i4>0</vt:i4>
      </vt:variant>
      <vt:variant>
        <vt:i4>5</vt:i4>
      </vt:variant>
      <vt:variant>
        <vt:lpwstr/>
      </vt:variant>
      <vt:variant>
        <vt:lpwstr>_Toc156900982</vt:lpwstr>
      </vt:variant>
      <vt:variant>
        <vt:i4>1245246</vt:i4>
      </vt:variant>
      <vt:variant>
        <vt:i4>38</vt:i4>
      </vt:variant>
      <vt:variant>
        <vt:i4>0</vt:i4>
      </vt:variant>
      <vt:variant>
        <vt:i4>5</vt:i4>
      </vt:variant>
      <vt:variant>
        <vt:lpwstr/>
      </vt:variant>
      <vt:variant>
        <vt:lpwstr>_Toc156900981</vt:lpwstr>
      </vt:variant>
      <vt:variant>
        <vt:i4>1245246</vt:i4>
      </vt:variant>
      <vt:variant>
        <vt:i4>32</vt:i4>
      </vt:variant>
      <vt:variant>
        <vt:i4>0</vt:i4>
      </vt:variant>
      <vt:variant>
        <vt:i4>5</vt:i4>
      </vt:variant>
      <vt:variant>
        <vt:lpwstr/>
      </vt:variant>
      <vt:variant>
        <vt:lpwstr>_Toc156900980</vt:lpwstr>
      </vt:variant>
      <vt:variant>
        <vt:i4>1835070</vt:i4>
      </vt:variant>
      <vt:variant>
        <vt:i4>26</vt:i4>
      </vt:variant>
      <vt:variant>
        <vt:i4>0</vt:i4>
      </vt:variant>
      <vt:variant>
        <vt:i4>5</vt:i4>
      </vt:variant>
      <vt:variant>
        <vt:lpwstr/>
      </vt:variant>
      <vt:variant>
        <vt:lpwstr>_Toc156900979</vt:lpwstr>
      </vt:variant>
      <vt:variant>
        <vt:i4>1835070</vt:i4>
      </vt:variant>
      <vt:variant>
        <vt:i4>20</vt:i4>
      </vt:variant>
      <vt:variant>
        <vt:i4>0</vt:i4>
      </vt:variant>
      <vt:variant>
        <vt:i4>5</vt:i4>
      </vt:variant>
      <vt:variant>
        <vt:lpwstr/>
      </vt:variant>
      <vt:variant>
        <vt:lpwstr>_Toc156900978</vt:lpwstr>
      </vt:variant>
      <vt:variant>
        <vt:i4>1835070</vt:i4>
      </vt:variant>
      <vt:variant>
        <vt:i4>14</vt:i4>
      </vt:variant>
      <vt:variant>
        <vt:i4>0</vt:i4>
      </vt:variant>
      <vt:variant>
        <vt:i4>5</vt:i4>
      </vt:variant>
      <vt:variant>
        <vt:lpwstr/>
      </vt:variant>
      <vt:variant>
        <vt:lpwstr>_Toc156900977</vt:lpwstr>
      </vt:variant>
      <vt:variant>
        <vt:i4>1835070</vt:i4>
      </vt:variant>
      <vt:variant>
        <vt:i4>8</vt:i4>
      </vt:variant>
      <vt:variant>
        <vt:i4>0</vt:i4>
      </vt:variant>
      <vt:variant>
        <vt:i4>5</vt:i4>
      </vt:variant>
      <vt:variant>
        <vt:lpwstr/>
      </vt:variant>
      <vt:variant>
        <vt:lpwstr>_Toc156900976</vt:lpwstr>
      </vt:variant>
      <vt:variant>
        <vt:i4>1835070</vt:i4>
      </vt:variant>
      <vt:variant>
        <vt:i4>2</vt:i4>
      </vt:variant>
      <vt:variant>
        <vt:i4>0</vt:i4>
      </vt:variant>
      <vt:variant>
        <vt:i4>5</vt:i4>
      </vt:variant>
      <vt:variant>
        <vt:lpwstr/>
      </vt:variant>
      <vt:variant>
        <vt:lpwstr>_Toc156900975</vt:lpwstr>
      </vt:variant>
      <vt:variant>
        <vt:i4>458834</vt:i4>
      </vt:variant>
      <vt:variant>
        <vt:i4>45</vt:i4>
      </vt:variant>
      <vt:variant>
        <vt:i4>0</vt:i4>
      </vt:variant>
      <vt:variant>
        <vt:i4>5</vt:i4>
      </vt:variant>
      <vt:variant>
        <vt:lpwstr>https://www.electoralcommission.org.uk/research-reports-and-data/our-reports-and-data-past-elections-and-referendums/report-may-2023-local-elections-northern-ireland</vt:lpwstr>
      </vt:variant>
      <vt:variant>
        <vt:lpwstr/>
      </vt:variant>
      <vt:variant>
        <vt:i4>6750221</vt:i4>
      </vt:variant>
      <vt:variant>
        <vt:i4>42</vt:i4>
      </vt:variant>
      <vt:variant>
        <vt:i4>0</vt:i4>
      </vt:variant>
      <vt:variant>
        <vt:i4>5</vt:i4>
      </vt:variant>
      <vt:variant>
        <vt:lpwstr>https://www.disabilityaction.org/news/response-to-electoral-offices-draft-disability-action-plan-and-equality-action-plan-for-the-period-2022-2027</vt:lpwstr>
      </vt:variant>
      <vt:variant>
        <vt:lpwstr>_ftn1</vt:lpwstr>
      </vt:variant>
      <vt:variant>
        <vt:i4>1245267</vt:i4>
      </vt:variant>
      <vt:variant>
        <vt:i4>39</vt:i4>
      </vt:variant>
      <vt:variant>
        <vt:i4>0</vt:i4>
      </vt:variant>
      <vt:variant>
        <vt:i4>5</vt:i4>
      </vt:variant>
      <vt:variant>
        <vt:lpwstr>https://www.equalityni.org/Blog/Articles/May-2022/Assembly-Election-2022-Results</vt:lpwstr>
      </vt:variant>
      <vt:variant>
        <vt:lpwstr/>
      </vt:variant>
      <vt:variant>
        <vt:i4>7405603</vt:i4>
      </vt:variant>
      <vt:variant>
        <vt:i4>36</vt:i4>
      </vt:variant>
      <vt:variant>
        <vt:i4>0</vt:i4>
      </vt:variant>
      <vt:variant>
        <vt:i4>5</vt:i4>
      </vt:variant>
      <vt:variant>
        <vt:lpwstr>https://apply.army.mod.uk/register</vt:lpwstr>
      </vt:variant>
      <vt:variant>
        <vt:lpwstr/>
      </vt:variant>
      <vt:variant>
        <vt:i4>851977</vt:i4>
      </vt:variant>
      <vt:variant>
        <vt:i4>33</vt:i4>
      </vt:variant>
      <vt:variant>
        <vt:i4>0</vt:i4>
      </vt:variant>
      <vt:variant>
        <vt:i4>5</vt:i4>
      </vt:variant>
      <vt:variant>
        <vt:lpwstr>https://www.met.police.uk/advice/advice-and-information/fr/facial-recognition-technology/</vt:lpwstr>
      </vt:variant>
      <vt:variant>
        <vt:lpwstr/>
      </vt:variant>
      <vt:variant>
        <vt:i4>262154</vt:i4>
      </vt:variant>
      <vt:variant>
        <vt:i4>30</vt:i4>
      </vt:variant>
      <vt:variant>
        <vt:i4>0</vt:i4>
      </vt:variant>
      <vt:variant>
        <vt:i4>5</vt:i4>
      </vt:variant>
      <vt:variant>
        <vt:lpwstr>https://www.supremecourt.uk/pta/permission-to-appeal-2023-11.html</vt:lpwstr>
      </vt:variant>
      <vt:variant>
        <vt:lpwstr/>
      </vt:variant>
      <vt:variant>
        <vt:i4>1376265</vt:i4>
      </vt:variant>
      <vt:variant>
        <vt:i4>27</vt:i4>
      </vt:variant>
      <vt:variant>
        <vt:i4>0</vt:i4>
      </vt:variant>
      <vt:variant>
        <vt:i4>5</vt:i4>
      </vt:variant>
      <vt:variant>
        <vt:lpwstr>https://www.lawsoc-ni.org/immigration-practitioners-list-law-society-of-northern-ireland</vt:lpwstr>
      </vt:variant>
      <vt:variant>
        <vt:lpwstr/>
      </vt:variant>
      <vt:variant>
        <vt:i4>1376265</vt:i4>
      </vt:variant>
      <vt:variant>
        <vt:i4>24</vt:i4>
      </vt:variant>
      <vt:variant>
        <vt:i4>0</vt:i4>
      </vt:variant>
      <vt:variant>
        <vt:i4>5</vt:i4>
      </vt:variant>
      <vt:variant>
        <vt:lpwstr>https://www.lawsoc-ni.org/immigration-practitioners-list-law-society-of-northern-ireland</vt:lpwstr>
      </vt:variant>
      <vt:variant>
        <vt:lpwstr/>
      </vt:variant>
      <vt:variant>
        <vt:i4>7864361</vt:i4>
      </vt:variant>
      <vt:variant>
        <vt:i4>21</vt:i4>
      </vt:variant>
      <vt:variant>
        <vt:i4>0</vt:i4>
      </vt:variant>
      <vt:variant>
        <vt:i4>5</vt:i4>
      </vt:variant>
      <vt:variant>
        <vt:lpwstr>https://www.contractsfinder.service.gov.uk/Notice/af043016-dd83-4308-8b3c-0d134a3a89c9</vt:lpwstr>
      </vt:variant>
      <vt:variant>
        <vt:lpwstr/>
      </vt:variant>
      <vt:variant>
        <vt:i4>6488180</vt:i4>
      </vt:variant>
      <vt:variant>
        <vt:i4>18</vt:i4>
      </vt:variant>
      <vt:variant>
        <vt:i4>0</vt:i4>
      </vt:variant>
      <vt:variant>
        <vt:i4>5</vt:i4>
      </vt:variant>
      <vt:variant>
        <vt:lpwstr>https://hscbusiness.hscni.net/services/2512.htm</vt:lpwstr>
      </vt:variant>
      <vt:variant>
        <vt:lpwstr/>
      </vt:variant>
      <vt:variant>
        <vt:i4>7667822</vt:i4>
      </vt:variant>
      <vt:variant>
        <vt:i4>15</vt:i4>
      </vt:variant>
      <vt:variant>
        <vt:i4>0</vt:i4>
      </vt:variant>
      <vt:variant>
        <vt:i4>5</vt:i4>
      </vt:variant>
      <vt:variant>
        <vt:lpwstr>https://covid19.public-inquiry.uk/structure-of-the-inquiry/</vt:lpwstr>
      </vt:variant>
      <vt:variant>
        <vt:lpwstr/>
      </vt:variant>
      <vt:variant>
        <vt:i4>7078008</vt:i4>
      </vt:variant>
      <vt:variant>
        <vt:i4>12</vt:i4>
      </vt:variant>
      <vt:variant>
        <vt:i4>0</vt:i4>
      </vt:variant>
      <vt:variant>
        <vt:i4>5</vt:i4>
      </vt:variant>
      <vt:variant>
        <vt:lpwstr>https://www.victimspaymentsboard.org.uk/about-us-0</vt:lpwstr>
      </vt:variant>
      <vt:variant>
        <vt:lpwstr/>
      </vt:variant>
      <vt:variant>
        <vt:i4>4784203</vt:i4>
      </vt:variant>
      <vt:variant>
        <vt:i4>9</vt:i4>
      </vt:variant>
      <vt:variant>
        <vt:i4>0</vt:i4>
      </vt:variant>
      <vt:variant>
        <vt:i4>5</vt:i4>
      </vt:variant>
      <vt:variant>
        <vt:lpwstr>https://www.justice-ni.gov.uk/articles/executive-programme-tackling-paramilitary-activity-and-organised-crime</vt:lpwstr>
      </vt:variant>
      <vt:variant>
        <vt:lpwstr/>
      </vt:variant>
      <vt:variant>
        <vt:i4>2621542</vt:i4>
      </vt:variant>
      <vt:variant>
        <vt:i4>6</vt:i4>
      </vt:variant>
      <vt:variant>
        <vt:i4>0</vt:i4>
      </vt:variant>
      <vt:variant>
        <vt:i4>5</vt:i4>
      </vt:variant>
      <vt:variant>
        <vt:lpwstr>https://www.nidirect.gov.uk/articles/gender-recognition</vt:lpwstr>
      </vt:variant>
      <vt:variant>
        <vt:lpwstr/>
      </vt:variant>
      <vt:variant>
        <vt:i4>7143529</vt:i4>
      </vt:variant>
      <vt:variant>
        <vt:i4>3</vt:i4>
      </vt:variant>
      <vt:variant>
        <vt:i4>0</vt:i4>
      </vt:variant>
      <vt:variant>
        <vt:i4>5</vt:i4>
      </vt:variant>
      <vt:variant>
        <vt:lpwstr>https://www.executiveoffice-ni.gov.uk/articles/racial-equality</vt:lpwstr>
      </vt:variant>
      <vt:variant>
        <vt:lpwstr/>
      </vt:variant>
      <vt:variant>
        <vt:i4>4194377</vt:i4>
      </vt:variant>
      <vt:variant>
        <vt:i4>0</vt:i4>
      </vt:variant>
      <vt:variant>
        <vt:i4>0</vt:i4>
      </vt:variant>
      <vt:variant>
        <vt:i4>5</vt:i4>
      </vt:variant>
      <vt:variant>
        <vt:lpwstr>https://www.nicva.org/article/budget-cuts-and-inequality-in-northern-ireland</vt:lpwstr>
      </vt:variant>
      <vt:variant>
        <vt:lpwstr>:~:text=The%20precarious%20financial%20situation%20and,this%20difficult%20and%20stormy%20period.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Nada Ahmed</cp:lastModifiedBy>
  <cp:revision>2</cp:revision>
  <cp:lastPrinted>2024-02-05T10:18:00Z</cp:lastPrinted>
  <dcterms:created xsi:type="dcterms:W3CDTF">2024-02-05T12:03:00Z</dcterms:created>
  <dcterms:modified xsi:type="dcterms:W3CDTF">2024-02-05T12:03:00Z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9897600</vt:r8>
  </property>
  <property fmtid="{D5CDD505-2E9C-101B-9397-08002B2CF9AE}" pid="4" name="MediaServiceImageTags">
    <vt:lpwstr/>
  </property>
</Properties>
</file>