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2ED11"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7FC97F3F" wp14:editId="70239B8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6FCD60F7"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350DE1FC" w14:textId="77777777" w:rsidR="0096459E" w:rsidRPr="003B7D0E" w:rsidRDefault="00101EE7"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Response to the Department of Health Consultation on the Reform of Adult Social Care</w:t>
      </w:r>
    </w:p>
    <w:p w14:paraId="70A35CEE" w14:textId="77777777" w:rsidR="00F31387" w:rsidRPr="00331C61" w:rsidRDefault="00F31387" w:rsidP="003B7D0E">
      <w:pPr>
        <w:pStyle w:val="Default"/>
        <w:spacing w:line="288" w:lineRule="auto"/>
        <w:jc w:val="center"/>
        <w:rPr>
          <w:rFonts w:cs="Arial"/>
          <w:color w:val="232120"/>
          <w:sz w:val="36"/>
          <w:szCs w:val="36"/>
        </w:rPr>
      </w:pPr>
    </w:p>
    <w:p w14:paraId="55DFD673" w14:textId="77777777" w:rsidR="00560E91" w:rsidRDefault="00560E91" w:rsidP="003B7D0E">
      <w:pPr>
        <w:jc w:val="center"/>
        <w:rPr>
          <w:rFonts w:cs="Arial"/>
          <w:b/>
          <w:color w:val="232120"/>
          <w:sz w:val="30"/>
          <w:szCs w:val="30"/>
        </w:rPr>
      </w:pPr>
    </w:p>
    <w:p w14:paraId="4340ADD4" w14:textId="77777777" w:rsidR="00560E91" w:rsidRDefault="00560E91" w:rsidP="003B7D0E">
      <w:pPr>
        <w:jc w:val="center"/>
        <w:rPr>
          <w:rFonts w:cs="Arial"/>
          <w:b/>
          <w:color w:val="232120"/>
          <w:sz w:val="30"/>
          <w:szCs w:val="30"/>
        </w:rPr>
      </w:pPr>
    </w:p>
    <w:p w14:paraId="3CD60185" w14:textId="77777777" w:rsidR="00560E91" w:rsidRDefault="00560E91" w:rsidP="003B7D0E">
      <w:pPr>
        <w:jc w:val="center"/>
        <w:rPr>
          <w:rFonts w:cs="Arial"/>
          <w:b/>
          <w:color w:val="232120"/>
          <w:sz w:val="30"/>
          <w:szCs w:val="30"/>
        </w:rPr>
      </w:pPr>
    </w:p>
    <w:p w14:paraId="563E37E4" w14:textId="77777777" w:rsidR="00560E91" w:rsidRDefault="00560E91" w:rsidP="003B7D0E">
      <w:pPr>
        <w:jc w:val="center"/>
        <w:rPr>
          <w:rFonts w:cs="Arial"/>
          <w:b/>
          <w:color w:val="232120"/>
          <w:sz w:val="30"/>
          <w:szCs w:val="30"/>
        </w:rPr>
      </w:pPr>
    </w:p>
    <w:p w14:paraId="25C283B9" w14:textId="77777777" w:rsidR="00560E91" w:rsidRDefault="00560E91" w:rsidP="003B7D0E">
      <w:pPr>
        <w:jc w:val="center"/>
        <w:rPr>
          <w:rFonts w:cs="Arial"/>
          <w:b/>
          <w:color w:val="232120"/>
          <w:sz w:val="30"/>
          <w:szCs w:val="30"/>
        </w:rPr>
      </w:pPr>
    </w:p>
    <w:p w14:paraId="7AF42CB4" w14:textId="77777777" w:rsidR="00560E91" w:rsidRDefault="00560E91" w:rsidP="003B7D0E">
      <w:pPr>
        <w:jc w:val="center"/>
        <w:rPr>
          <w:rFonts w:cs="Arial"/>
          <w:b/>
          <w:color w:val="232120"/>
          <w:sz w:val="30"/>
          <w:szCs w:val="30"/>
        </w:rPr>
      </w:pPr>
    </w:p>
    <w:p w14:paraId="0708BA0B" w14:textId="77777777" w:rsidR="00560E91" w:rsidRDefault="00560E91" w:rsidP="003B7D0E">
      <w:pPr>
        <w:jc w:val="center"/>
        <w:rPr>
          <w:rFonts w:cs="Arial"/>
          <w:b/>
          <w:color w:val="232120"/>
          <w:sz w:val="30"/>
          <w:szCs w:val="30"/>
        </w:rPr>
      </w:pPr>
    </w:p>
    <w:p w14:paraId="4631153D" w14:textId="514A31B7" w:rsidR="008159E8" w:rsidRPr="00331C61" w:rsidRDefault="009E5DBE" w:rsidP="003B7D0E">
      <w:pPr>
        <w:jc w:val="center"/>
        <w:rPr>
          <w:rFonts w:cs="Arial"/>
          <w:b/>
          <w:color w:val="232120"/>
          <w:sz w:val="30"/>
          <w:szCs w:val="30"/>
        </w:rPr>
      </w:pPr>
      <w:r>
        <w:rPr>
          <w:rFonts w:cs="Arial"/>
          <w:b/>
          <w:color w:val="232120"/>
          <w:sz w:val="30"/>
          <w:szCs w:val="30"/>
        </w:rPr>
        <w:t>June</w:t>
      </w:r>
      <w:r w:rsidR="00203A79">
        <w:rPr>
          <w:rFonts w:cs="Arial"/>
          <w:b/>
          <w:color w:val="232120"/>
          <w:sz w:val="30"/>
          <w:szCs w:val="30"/>
        </w:rPr>
        <w:t xml:space="preserve"> </w:t>
      </w:r>
      <w:r w:rsidR="00101EE7">
        <w:rPr>
          <w:rFonts w:cs="Arial"/>
          <w:b/>
          <w:color w:val="232120"/>
          <w:sz w:val="30"/>
          <w:szCs w:val="30"/>
        </w:rPr>
        <w:t>2022</w:t>
      </w:r>
    </w:p>
    <w:p w14:paraId="6408ABE3" w14:textId="77777777" w:rsidR="00046705" w:rsidRPr="00331C61" w:rsidRDefault="00046705" w:rsidP="003B7D0E">
      <w:pPr>
        <w:jc w:val="center"/>
        <w:rPr>
          <w:rFonts w:cs="Arial"/>
          <w:b/>
          <w:color w:val="232120"/>
          <w:sz w:val="28"/>
          <w:szCs w:val="28"/>
        </w:rPr>
      </w:pPr>
    </w:p>
    <w:p w14:paraId="3BB6FE6E" w14:textId="77777777" w:rsidR="00046705" w:rsidRPr="00331C61" w:rsidRDefault="00046705" w:rsidP="003B7D0E">
      <w:pPr>
        <w:jc w:val="center"/>
        <w:rPr>
          <w:rFonts w:cs="Arial"/>
          <w:b/>
          <w:color w:val="232120"/>
          <w:sz w:val="28"/>
          <w:szCs w:val="28"/>
        </w:rPr>
      </w:pPr>
    </w:p>
    <w:p w14:paraId="764B8911" w14:textId="77777777" w:rsidR="00EA12CE" w:rsidRPr="00331C61" w:rsidRDefault="00EA12CE" w:rsidP="003B7D0E">
      <w:pPr>
        <w:pStyle w:val="Default"/>
        <w:spacing w:line="288" w:lineRule="auto"/>
        <w:jc w:val="center"/>
        <w:rPr>
          <w:rFonts w:cs="Arial"/>
          <w:b/>
          <w:color w:val="232120"/>
          <w:sz w:val="28"/>
          <w:szCs w:val="28"/>
          <w:lang w:val="en-GB"/>
        </w:rPr>
      </w:pPr>
    </w:p>
    <w:p w14:paraId="4AD6397A" w14:textId="77777777" w:rsidR="003B7D0E" w:rsidRPr="00331C61" w:rsidRDefault="003B7D0E" w:rsidP="003B7D0E">
      <w:pPr>
        <w:pStyle w:val="Default"/>
        <w:spacing w:line="480" w:lineRule="auto"/>
        <w:jc w:val="center"/>
        <w:rPr>
          <w:rFonts w:cs="Arial"/>
          <w:b/>
          <w:color w:val="232120"/>
          <w:sz w:val="36"/>
          <w:szCs w:val="36"/>
        </w:rPr>
      </w:pPr>
    </w:p>
    <w:sdt>
      <w:sdtPr>
        <w:rPr>
          <w:rFonts w:ascii="Verdana" w:eastAsiaTheme="minorEastAsia" w:hAnsi="Verdana" w:cstheme="minorBidi"/>
          <w:color w:val="auto"/>
          <w:sz w:val="24"/>
          <w:szCs w:val="24"/>
          <w:lang w:val="en-GB"/>
        </w:rPr>
        <w:id w:val="-1175954188"/>
        <w:docPartObj>
          <w:docPartGallery w:val="Table of Contents"/>
          <w:docPartUnique/>
        </w:docPartObj>
      </w:sdtPr>
      <w:sdtEndPr>
        <w:rPr>
          <w:b/>
          <w:bCs/>
          <w:noProof/>
        </w:rPr>
      </w:sdtEndPr>
      <w:sdtContent>
        <w:p w14:paraId="0E90020C" w14:textId="62C72B70" w:rsidR="009D6DA7" w:rsidRPr="001561CF" w:rsidRDefault="009D6DA7">
          <w:pPr>
            <w:pStyle w:val="TOCHeading"/>
            <w:rPr>
              <w:rFonts w:ascii="Verdana" w:hAnsi="Verdana"/>
              <w:b/>
              <w:bCs/>
              <w:color w:val="77328A"/>
              <w:sz w:val="30"/>
              <w:szCs w:val="30"/>
            </w:rPr>
          </w:pPr>
          <w:r w:rsidRPr="001561CF">
            <w:rPr>
              <w:rFonts w:ascii="Verdana" w:hAnsi="Verdana"/>
              <w:b/>
              <w:bCs/>
              <w:color w:val="77328A"/>
              <w:sz w:val="30"/>
              <w:szCs w:val="30"/>
            </w:rPr>
            <w:t>Table of Contents</w:t>
          </w:r>
        </w:p>
        <w:p w14:paraId="0C042F00" w14:textId="0ED80FEE" w:rsidR="00871195" w:rsidRDefault="00871195" w:rsidP="00871195"/>
        <w:p w14:paraId="353E396D" w14:textId="1761C9A5" w:rsidR="00A97EB6" w:rsidRDefault="009D6DA7">
          <w:pPr>
            <w:pStyle w:val="TOC1"/>
            <w:tabs>
              <w:tab w:val="right" w:leader="dot" w:pos="9848"/>
            </w:tabs>
            <w:rPr>
              <w:rFonts w:asciiTheme="minorHAnsi" w:hAnsiTheme="minorHAnsi"/>
              <w:noProof/>
              <w:sz w:val="22"/>
              <w:szCs w:val="22"/>
              <w:lang w:eastAsia="en-GB"/>
            </w:rPr>
          </w:pPr>
          <w:r>
            <w:fldChar w:fldCharType="begin"/>
          </w:r>
          <w:r>
            <w:instrText xml:space="preserve"> TOC \o "1-3" \h \z \u </w:instrText>
          </w:r>
          <w:r>
            <w:fldChar w:fldCharType="separate"/>
          </w:r>
          <w:hyperlink w:anchor="_Toc106894205" w:history="1">
            <w:r w:rsidR="00A97EB6" w:rsidRPr="00993B7B">
              <w:rPr>
                <w:rStyle w:val="Hyperlink"/>
                <w:noProof/>
              </w:rPr>
              <w:t>Summary of Recommendations</w:t>
            </w:r>
            <w:r w:rsidR="00A97EB6">
              <w:rPr>
                <w:noProof/>
                <w:webHidden/>
              </w:rPr>
              <w:tab/>
            </w:r>
            <w:r w:rsidR="00A97EB6">
              <w:rPr>
                <w:noProof/>
                <w:webHidden/>
              </w:rPr>
              <w:fldChar w:fldCharType="begin"/>
            </w:r>
            <w:r w:rsidR="00A97EB6">
              <w:rPr>
                <w:noProof/>
                <w:webHidden/>
              </w:rPr>
              <w:instrText xml:space="preserve"> PAGEREF _Toc106894205 \h </w:instrText>
            </w:r>
            <w:r w:rsidR="00A97EB6">
              <w:rPr>
                <w:noProof/>
                <w:webHidden/>
              </w:rPr>
            </w:r>
            <w:r w:rsidR="00A97EB6">
              <w:rPr>
                <w:noProof/>
                <w:webHidden/>
              </w:rPr>
              <w:fldChar w:fldCharType="separate"/>
            </w:r>
            <w:r w:rsidR="00C60877">
              <w:rPr>
                <w:noProof/>
                <w:webHidden/>
              </w:rPr>
              <w:t>3</w:t>
            </w:r>
            <w:r w:rsidR="00A97EB6">
              <w:rPr>
                <w:noProof/>
                <w:webHidden/>
              </w:rPr>
              <w:fldChar w:fldCharType="end"/>
            </w:r>
          </w:hyperlink>
        </w:p>
        <w:p w14:paraId="2F2DD47A" w14:textId="07E2215F" w:rsidR="00A97EB6" w:rsidRDefault="00663B97">
          <w:pPr>
            <w:pStyle w:val="TOC1"/>
            <w:tabs>
              <w:tab w:val="left" w:pos="660"/>
              <w:tab w:val="right" w:leader="dot" w:pos="9848"/>
            </w:tabs>
            <w:rPr>
              <w:rFonts w:asciiTheme="minorHAnsi" w:hAnsiTheme="minorHAnsi"/>
              <w:noProof/>
              <w:sz w:val="22"/>
              <w:szCs w:val="22"/>
              <w:lang w:eastAsia="en-GB"/>
            </w:rPr>
          </w:pPr>
          <w:hyperlink w:anchor="_Toc106894206" w:history="1">
            <w:r w:rsidR="00A97EB6" w:rsidRPr="00993B7B">
              <w:rPr>
                <w:rStyle w:val="Hyperlink"/>
                <w:noProof/>
              </w:rPr>
              <w:t>1.0</w:t>
            </w:r>
            <w:r w:rsidR="00A97EB6">
              <w:rPr>
                <w:rFonts w:asciiTheme="minorHAnsi" w:hAnsiTheme="minorHAnsi"/>
                <w:noProof/>
                <w:sz w:val="22"/>
                <w:szCs w:val="22"/>
                <w:lang w:eastAsia="en-GB"/>
              </w:rPr>
              <w:tab/>
            </w:r>
            <w:r w:rsidR="00A97EB6" w:rsidRPr="00993B7B">
              <w:rPr>
                <w:rStyle w:val="Hyperlink"/>
                <w:noProof/>
              </w:rPr>
              <w:t>Introduction</w:t>
            </w:r>
            <w:r w:rsidR="00A97EB6">
              <w:rPr>
                <w:noProof/>
                <w:webHidden/>
              </w:rPr>
              <w:tab/>
            </w:r>
            <w:r w:rsidR="00A97EB6">
              <w:rPr>
                <w:noProof/>
                <w:webHidden/>
              </w:rPr>
              <w:fldChar w:fldCharType="begin"/>
            </w:r>
            <w:r w:rsidR="00A97EB6">
              <w:rPr>
                <w:noProof/>
                <w:webHidden/>
              </w:rPr>
              <w:instrText xml:space="preserve"> PAGEREF _Toc106894206 \h </w:instrText>
            </w:r>
            <w:r w:rsidR="00A97EB6">
              <w:rPr>
                <w:noProof/>
                <w:webHidden/>
              </w:rPr>
            </w:r>
            <w:r w:rsidR="00A97EB6">
              <w:rPr>
                <w:noProof/>
                <w:webHidden/>
              </w:rPr>
              <w:fldChar w:fldCharType="separate"/>
            </w:r>
            <w:r w:rsidR="00C60877">
              <w:rPr>
                <w:noProof/>
                <w:webHidden/>
              </w:rPr>
              <w:t>7</w:t>
            </w:r>
            <w:r w:rsidR="00A97EB6">
              <w:rPr>
                <w:noProof/>
                <w:webHidden/>
              </w:rPr>
              <w:fldChar w:fldCharType="end"/>
            </w:r>
          </w:hyperlink>
        </w:p>
        <w:p w14:paraId="0C3D29E9" w14:textId="37050492" w:rsidR="00A97EB6" w:rsidRDefault="00663B97">
          <w:pPr>
            <w:pStyle w:val="TOC1"/>
            <w:tabs>
              <w:tab w:val="left" w:pos="660"/>
              <w:tab w:val="right" w:leader="dot" w:pos="9848"/>
            </w:tabs>
            <w:rPr>
              <w:rFonts w:asciiTheme="minorHAnsi" w:hAnsiTheme="minorHAnsi"/>
              <w:noProof/>
              <w:sz w:val="22"/>
              <w:szCs w:val="22"/>
              <w:lang w:eastAsia="en-GB"/>
            </w:rPr>
          </w:pPr>
          <w:hyperlink w:anchor="_Toc106894207" w:history="1">
            <w:r w:rsidR="00A97EB6" w:rsidRPr="00993B7B">
              <w:rPr>
                <w:rStyle w:val="Hyperlink"/>
                <w:noProof/>
              </w:rPr>
              <w:t>2.0</w:t>
            </w:r>
            <w:r w:rsidR="00A97EB6">
              <w:rPr>
                <w:rFonts w:asciiTheme="minorHAnsi" w:hAnsiTheme="minorHAnsi"/>
                <w:noProof/>
                <w:sz w:val="22"/>
                <w:szCs w:val="22"/>
                <w:lang w:eastAsia="en-GB"/>
              </w:rPr>
              <w:tab/>
            </w:r>
            <w:r w:rsidR="00A97EB6" w:rsidRPr="00993B7B">
              <w:rPr>
                <w:rStyle w:val="Hyperlink"/>
                <w:noProof/>
              </w:rPr>
              <w:t>Human Rights Standards</w:t>
            </w:r>
            <w:r w:rsidR="00A97EB6">
              <w:rPr>
                <w:noProof/>
                <w:webHidden/>
              </w:rPr>
              <w:tab/>
            </w:r>
            <w:r w:rsidR="00A97EB6">
              <w:rPr>
                <w:noProof/>
                <w:webHidden/>
              </w:rPr>
              <w:fldChar w:fldCharType="begin"/>
            </w:r>
            <w:r w:rsidR="00A97EB6">
              <w:rPr>
                <w:noProof/>
                <w:webHidden/>
              </w:rPr>
              <w:instrText xml:space="preserve"> PAGEREF _Toc106894207 \h </w:instrText>
            </w:r>
            <w:r w:rsidR="00A97EB6">
              <w:rPr>
                <w:noProof/>
                <w:webHidden/>
              </w:rPr>
            </w:r>
            <w:r w:rsidR="00A97EB6">
              <w:rPr>
                <w:noProof/>
                <w:webHidden/>
              </w:rPr>
              <w:fldChar w:fldCharType="separate"/>
            </w:r>
            <w:r w:rsidR="00C60877">
              <w:rPr>
                <w:noProof/>
                <w:webHidden/>
              </w:rPr>
              <w:t>9</w:t>
            </w:r>
            <w:r w:rsidR="00A97EB6">
              <w:rPr>
                <w:noProof/>
                <w:webHidden/>
              </w:rPr>
              <w:fldChar w:fldCharType="end"/>
            </w:r>
          </w:hyperlink>
        </w:p>
        <w:p w14:paraId="217D7E1A" w14:textId="026E925A" w:rsidR="00A97EB6" w:rsidRDefault="00663B97">
          <w:pPr>
            <w:pStyle w:val="TOC1"/>
            <w:tabs>
              <w:tab w:val="left" w:pos="660"/>
              <w:tab w:val="right" w:leader="dot" w:pos="9848"/>
            </w:tabs>
            <w:rPr>
              <w:rFonts w:asciiTheme="minorHAnsi" w:hAnsiTheme="minorHAnsi"/>
              <w:noProof/>
              <w:sz w:val="22"/>
              <w:szCs w:val="22"/>
              <w:lang w:eastAsia="en-GB"/>
            </w:rPr>
          </w:pPr>
          <w:hyperlink w:anchor="_Toc106894208" w:history="1">
            <w:r w:rsidR="00A97EB6" w:rsidRPr="00993B7B">
              <w:rPr>
                <w:rStyle w:val="Hyperlink"/>
                <w:noProof/>
              </w:rPr>
              <w:t>3.0</w:t>
            </w:r>
            <w:r w:rsidR="00A97EB6">
              <w:rPr>
                <w:rFonts w:asciiTheme="minorHAnsi" w:hAnsiTheme="minorHAnsi"/>
                <w:noProof/>
                <w:sz w:val="22"/>
                <w:szCs w:val="22"/>
                <w:lang w:eastAsia="en-GB"/>
              </w:rPr>
              <w:tab/>
            </w:r>
            <w:r w:rsidR="00A97EB6" w:rsidRPr="00993B7B">
              <w:rPr>
                <w:rStyle w:val="Hyperlink"/>
                <w:noProof/>
              </w:rPr>
              <w:t>Resourcing</w:t>
            </w:r>
            <w:r w:rsidR="00A97EB6">
              <w:rPr>
                <w:noProof/>
                <w:webHidden/>
              </w:rPr>
              <w:tab/>
            </w:r>
            <w:r w:rsidR="00A97EB6">
              <w:rPr>
                <w:noProof/>
                <w:webHidden/>
              </w:rPr>
              <w:fldChar w:fldCharType="begin"/>
            </w:r>
            <w:r w:rsidR="00A97EB6">
              <w:rPr>
                <w:noProof/>
                <w:webHidden/>
              </w:rPr>
              <w:instrText xml:space="preserve"> PAGEREF _Toc106894208 \h </w:instrText>
            </w:r>
            <w:r w:rsidR="00A97EB6">
              <w:rPr>
                <w:noProof/>
                <w:webHidden/>
              </w:rPr>
            </w:r>
            <w:r w:rsidR="00A97EB6">
              <w:rPr>
                <w:noProof/>
                <w:webHidden/>
              </w:rPr>
              <w:fldChar w:fldCharType="separate"/>
            </w:r>
            <w:r w:rsidR="00C60877">
              <w:rPr>
                <w:noProof/>
                <w:webHidden/>
              </w:rPr>
              <w:t>14</w:t>
            </w:r>
            <w:r w:rsidR="00A97EB6">
              <w:rPr>
                <w:noProof/>
                <w:webHidden/>
              </w:rPr>
              <w:fldChar w:fldCharType="end"/>
            </w:r>
          </w:hyperlink>
        </w:p>
        <w:p w14:paraId="665B7699" w14:textId="501D927A" w:rsidR="00A97EB6" w:rsidRDefault="00663B97">
          <w:pPr>
            <w:pStyle w:val="TOC1"/>
            <w:tabs>
              <w:tab w:val="left" w:pos="660"/>
              <w:tab w:val="right" w:leader="dot" w:pos="9848"/>
            </w:tabs>
            <w:rPr>
              <w:rFonts w:asciiTheme="minorHAnsi" w:hAnsiTheme="minorHAnsi"/>
              <w:noProof/>
              <w:sz w:val="22"/>
              <w:szCs w:val="22"/>
              <w:lang w:eastAsia="en-GB"/>
            </w:rPr>
          </w:pPr>
          <w:hyperlink w:anchor="_Toc106894209" w:history="1">
            <w:r w:rsidR="00A97EB6" w:rsidRPr="00993B7B">
              <w:rPr>
                <w:rStyle w:val="Hyperlink"/>
                <w:noProof/>
              </w:rPr>
              <w:t>4.0</w:t>
            </w:r>
            <w:r w:rsidR="00A97EB6">
              <w:rPr>
                <w:rFonts w:asciiTheme="minorHAnsi" w:hAnsiTheme="minorHAnsi"/>
                <w:noProof/>
                <w:sz w:val="22"/>
                <w:szCs w:val="22"/>
                <w:lang w:eastAsia="en-GB"/>
              </w:rPr>
              <w:tab/>
            </w:r>
            <w:r w:rsidR="00A97EB6" w:rsidRPr="00993B7B">
              <w:rPr>
                <w:rStyle w:val="Hyperlink"/>
                <w:noProof/>
              </w:rPr>
              <w:t>Monitoring and Data Collection</w:t>
            </w:r>
            <w:r w:rsidR="00A97EB6">
              <w:rPr>
                <w:noProof/>
                <w:webHidden/>
              </w:rPr>
              <w:tab/>
            </w:r>
            <w:r w:rsidR="00A97EB6">
              <w:rPr>
                <w:noProof/>
                <w:webHidden/>
              </w:rPr>
              <w:fldChar w:fldCharType="begin"/>
            </w:r>
            <w:r w:rsidR="00A97EB6">
              <w:rPr>
                <w:noProof/>
                <w:webHidden/>
              </w:rPr>
              <w:instrText xml:space="preserve"> PAGEREF _Toc106894209 \h </w:instrText>
            </w:r>
            <w:r w:rsidR="00A97EB6">
              <w:rPr>
                <w:noProof/>
                <w:webHidden/>
              </w:rPr>
            </w:r>
            <w:r w:rsidR="00A97EB6">
              <w:rPr>
                <w:noProof/>
                <w:webHidden/>
              </w:rPr>
              <w:fldChar w:fldCharType="separate"/>
            </w:r>
            <w:r w:rsidR="00C60877">
              <w:rPr>
                <w:noProof/>
                <w:webHidden/>
              </w:rPr>
              <w:t>15</w:t>
            </w:r>
            <w:r w:rsidR="00A97EB6">
              <w:rPr>
                <w:noProof/>
                <w:webHidden/>
              </w:rPr>
              <w:fldChar w:fldCharType="end"/>
            </w:r>
          </w:hyperlink>
        </w:p>
        <w:p w14:paraId="5DE1AC8A" w14:textId="3E367527" w:rsidR="00A97EB6" w:rsidRDefault="00663B97">
          <w:pPr>
            <w:pStyle w:val="TOC1"/>
            <w:tabs>
              <w:tab w:val="left" w:pos="660"/>
              <w:tab w:val="right" w:leader="dot" w:pos="9848"/>
            </w:tabs>
            <w:rPr>
              <w:rFonts w:asciiTheme="minorHAnsi" w:hAnsiTheme="minorHAnsi"/>
              <w:noProof/>
              <w:sz w:val="22"/>
              <w:szCs w:val="22"/>
              <w:lang w:eastAsia="en-GB"/>
            </w:rPr>
          </w:pPr>
          <w:hyperlink w:anchor="_Toc106894210" w:history="1">
            <w:r w:rsidR="00A97EB6" w:rsidRPr="00993B7B">
              <w:rPr>
                <w:rStyle w:val="Hyperlink"/>
                <w:noProof/>
              </w:rPr>
              <w:t>5.0</w:t>
            </w:r>
            <w:r w:rsidR="00A97EB6">
              <w:rPr>
                <w:rFonts w:asciiTheme="minorHAnsi" w:hAnsiTheme="minorHAnsi"/>
                <w:noProof/>
                <w:sz w:val="22"/>
                <w:szCs w:val="22"/>
                <w:lang w:eastAsia="en-GB"/>
              </w:rPr>
              <w:tab/>
            </w:r>
            <w:r w:rsidR="00A97EB6" w:rsidRPr="00993B7B">
              <w:rPr>
                <w:rStyle w:val="Hyperlink"/>
                <w:noProof/>
              </w:rPr>
              <w:t>Strategic Priority 1 - Sustainable Systems Building</w:t>
            </w:r>
            <w:r w:rsidR="00A97EB6">
              <w:rPr>
                <w:noProof/>
                <w:webHidden/>
              </w:rPr>
              <w:tab/>
            </w:r>
            <w:r w:rsidR="00A97EB6">
              <w:rPr>
                <w:noProof/>
                <w:webHidden/>
              </w:rPr>
              <w:fldChar w:fldCharType="begin"/>
            </w:r>
            <w:r w:rsidR="00A97EB6">
              <w:rPr>
                <w:noProof/>
                <w:webHidden/>
              </w:rPr>
              <w:instrText xml:space="preserve"> PAGEREF _Toc106894210 \h </w:instrText>
            </w:r>
            <w:r w:rsidR="00A97EB6">
              <w:rPr>
                <w:noProof/>
                <w:webHidden/>
              </w:rPr>
            </w:r>
            <w:r w:rsidR="00A97EB6">
              <w:rPr>
                <w:noProof/>
                <w:webHidden/>
              </w:rPr>
              <w:fldChar w:fldCharType="separate"/>
            </w:r>
            <w:r w:rsidR="00C60877">
              <w:rPr>
                <w:noProof/>
                <w:webHidden/>
              </w:rPr>
              <w:t>18</w:t>
            </w:r>
            <w:r w:rsidR="00A97EB6">
              <w:rPr>
                <w:noProof/>
                <w:webHidden/>
              </w:rPr>
              <w:fldChar w:fldCharType="end"/>
            </w:r>
          </w:hyperlink>
        </w:p>
        <w:p w14:paraId="35A5059F" w14:textId="102FDC59" w:rsidR="00A97EB6" w:rsidRDefault="00663B97">
          <w:pPr>
            <w:pStyle w:val="TOC1"/>
            <w:tabs>
              <w:tab w:val="left" w:pos="660"/>
              <w:tab w:val="right" w:leader="dot" w:pos="9848"/>
            </w:tabs>
            <w:rPr>
              <w:rFonts w:asciiTheme="minorHAnsi" w:hAnsiTheme="minorHAnsi"/>
              <w:noProof/>
              <w:sz w:val="22"/>
              <w:szCs w:val="22"/>
              <w:lang w:eastAsia="en-GB"/>
            </w:rPr>
          </w:pPr>
          <w:hyperlink w:anchor="_Toc106894211" w:history="1">
            <w:r w:rsidR="00A97EB6" w:rsidRPr="00993B7B">
              <w:rPr>
                <w:rStyle w:val="Hyperlink"/>
                <w:noProof/>
              </w:rPr>
              <w:t>6.0</w:t>
            </w:r>
            <w:r w:rsidR="00A97EB6">
              <w:rPr>
                <w:rFonts w:asciiTheme="minorHAnsi" w:hAnsiTheme="minorHAnsi"/>
                <w:noProof/>
                <w:sz w:val="22"/>
                <w:szCs w:val="22"/>
                <w:lang w:eastAsia="en-GB"/>
              </w:rPr>
              <w:tab/>
            </w:r>
            <w:r w:rsidR="00A97EB6" w:rsidRPr="00993B7B">
              <w:rPr>
                <w:rStyle w:val="Hyperlink"/>
                <w:noProof/>
              </w:rPr>
              <w:t>Strategic Priority 2 - Valuing the Workforce</w:t>
            </w:r>
            <w:r w:rsidR="00A97EB6">
              <w:rPr>
                <w:noProof/>
                <w:webHidden/>
              </w:rPr>
              <w:tab/>
            </w:r>
            <w:r w:rsidR="00A97EB6">
              <w:rPr>
                <w:noProof/>
                <w:webHidden/>
              </w:rPr>
              <w:fldChar w:fldCharType="begin"/>
            </w:r>
            <w:r w:rsidR="00A97EB6">
              <w:rPr>
                <w:noProof/>
                <w:webHidden/>
              </w:rPr>
              <w:instrText xml:space="preserve"> PAGEREF _Toc106894211 \h </w:instrText>
            </w:r>
            <w:r w:rsidR="00A97EB6">
              <w:rPr>
                <w:noProof/>
                <w:webHidden/>
              </w:rPr>
            </w:r>
            <w:r w:rsidR="00A97EB6">
              <w:rPr>
                <w:noProof/>
                <w:webHidden/>
              </w:rPr>
              <w:fldChar w:fldCharType="separate"/>
            </w:r>
            <w:r w:rsidR="00C60877">
              <w:rPr>
                <w:noProof/>
                <w:webHidden/>
              </w:rPr>
              <w:t>20</w:t>
            </w:r>
            <w:r w:rsidR="00A97EB6">
              <w:rPr>
                <w:noProof/>
                <w:webHidden/>
              </w:rPr>
              <w:fldChar w:fldCharType="end"/>
            </w:r>
          </w:hyperlink>
        </w:p>
        <w:p w14:paraId="16D57649" w14:textId="02A8B8D6" w:rsidR="00A97EB6" w:rsidRDefault="00663B97">
          <w:pPr>
            <w:pStyle w:val="TOC1"/>
            <w:tabs>
              <w:tab w:val="left" w:pos="660"/>
              <w:tab w:val="right" w:leader="dot" w:pos="9848"/>
            </w:tabs>
            <w:rPr>
              <w:rFonts w:asciiTheme="minorHAnsi" w:hAnsiTheme="minorHAnsi"/>
              <w:noProof/>
              <w:sz w:val="22"/>
              <w:szCs w:val="22"/>
              <w:lang w:eastAsia="en-GB"/>
            </w:rPr>
          </w:pPr>
          <w:hyperlink w:anchor="_Toc106894212" w:history="1">
            <w:r w:rsidR="00A97EB6" w:rsidRPr="00993B7B">
              <w:rPr>
                <w:rStyle w:val="Hyperlink"/>
                <w:noProof/>
              </w:rPr>
              <w:t>7.0</w:t>
            </w:r>
            <w:r w:rsidR="00A97EB6">
              <w:rPr>
                <w:rFonts w:asciiTheme="minorHAnsi" w:hAnsiTheme="minorHAnsi"/>
                <w:noProof/>
                <w:sz w:val="22"/>
                <w:szCs w:val="22"/>
                <w:lang w:eastAsia="en-GB"/>
              </w:rPr>
              <w:tab/>
            </w:r>
            <w:r w:rsidR="00A97EB6" w:rsidRPr="00993B7B">
              <w:rPr>
                <w:rStyle w:val="Hyperlink"/>
                <w:noProof/>
              </w:rPr>
              <w:t>Strategic Priority 3 - Individual Choice and Control</w:t>
            </w:r>
            <w:r w:rsidR="00A97EB6">
              <w:rPr>
                <w:noProof/>
                <w:webHidden/>
              </w:rPr>
              <w:tab/>
            </w:r>
            <w:r w:rsidR="00A97EB6">
              <w:rPr>
                <w:noProof/>
                <w:webHidden/>
              </w:rPr>
              <w:fldChar w:fldCharType="begin"/>
            </w:r>
            <w:r w:rsidR="00A97EB6">
              <w:rPr>
                <w:noProof/>
                <w:webHidden/>
              </w:rPr>
              <w:instrText xml:space="preserve"> PAGEREF _Toc106894212 \h </w:instrText>
            </w:r>
            <w:r w:rsidR="00A97EB6">
              <w:rPr>
                <w:noProof/>
                <w:webHidden/>
              </w:rPr>
            </w:r>
            <w:r w:rsidR="00A97EB6">
              <w:rPr>
                <w:noProof/>
                <w:webHidden/>
              </w:rPr>
              <w:fldChar w:fldCharType="separate"/>
            </w:r>
            <w:r w:rsidR="00C60877">
              <w:rPr>
                <w:noProof/>
                <w:webHidden/>
              </w:rPr>
              <w:t>23</w:t>
            </w:r>
            <w:r w:rsidR="00A97EB6">
              <w:rPr>
                <w:noProof/>
                <w:webHidden/>
              </w:rPr>
              <w:fldChar w:fldCharType="end"/>
            </w:r>
          </w:hyperlink>
        </w:p>
        <w:p w14:paraId="162799FA" w14:textId="0F17F150" w:rsidR="00A97EB6" w:rsidRDefault="00663B97">
          <w:pPr>
            <w:pStyle w:val="TOC1"/>
            <w:tabs>
              <w:tab w:val="left" w:pos="660"/>
              <w:tab w:val="right" w:leader="dot" w:pos="9848"/>
            </w:tabs>
            <w:rPr>
              <w:rFonts w:asciiTheme="minorHAnsi" w:hAnsiTheme="minorHAnsi"/>
              <w:noProof/>
              <w:sz w:val="22"/>
              <w:szCs w:val="22"/>
              <w:lang w:eastAsia="en-GB"/>
            </w:rPr>
          </w:pPr>
          <w:hyperlink w:anchor="_Toc106894213" w:history="1">
            <w:r w:rsidR="00A97EB6" w:rsidRPr="00993B7B">
              <w:rPr>
                <w:rStyle w:val="Hyperlink"/>
                <w:noProof/>
              </w:rPr>
              <w:t>8.0</w:t>
            </w:r>
            <w:r w:rsidR="00A97EB6">
              <w:rPr>
                <w:rFonts w:asciiTheme="minorHAnsi" w:hAnsiTheme="minorHAnsi"/>
                <w:noProof/>
                <w:sz w:val="22"/>
                <w:szCs w:val="22"/>
                <w:lang w:eastAsia="en-GB"/>
              </w:rPr>
              <w:tab/>
            </w:r>
            <w:r w:rsidR="00A97EB6" w:rsidRPr="00993B7B">
              <w:rPr>
                <w:rStyle w:val="Hyperlink"/>
                <w:noProof/>
              </w:rPr>
              <w:t>Strategic Priority 4 – Prevention and Early Intervention</w:t>
            </w:r>
            <w:r w:rsidR="00A97EB6">
              <w:rPr>
                <w:noProof/>
                <w:webHidden/>
              </w:rPr>
              <w:tab/>
            </w:r>
            <w:r w:rsidR="00A97EB6">
              <w:rPr>
                <w:noProof/>
                <w:webHidden/>
              </w:rPr>
              <w:fldChar w:fldCharType="begin"/>
            </w:r>
            <w:r w:rsidR="00A97EB6">
              <w:rPr>
                <w:noProof/>
                <w:webHidden/>
              </w:rPr>
              <w:instrText xml:space="preserve"> PAGEREF _Toc106894213 \h </w:instrText>
            </w:r>
            <w:r w:rsidR="00A97EB6">
              <w:rPr>
                <w:noProof/>
                <w:webHidden/>
              </w:rPr>
            </w:r>
            <w:r w:rsidR="00A97EB6">
              <w:rPr>
                <w:noProof/>
                <w:webHidden/>
              </w:rPr>
              <w:fldChar w:fldCharType="separate"/>
            </w:r>
            <w:r w:rsidR="00C60877">
              <w:rPr>
                <w:noProof/>
                <w:webHidden/>
              </w:rPr>
              <w:t>28</w:t>
            </w:r>
            <w:r w:rsidR="00A97EB6">
              <w:rPr>
                <w:noProof/>
                <w:webHidden/>
              </w:rPr>
              <w:fldChar w:fldCharType="end"/>
            </w:r>
          </w:hyperlink>
        </w:p>
        <w:p w14:paraId="084ABBEE" w14:textId="741ABB7B" w:rsidR="00A97EB6" w:rsidRDefault="00663B97">
          <w:pPr>
            <w:pStyle w:val="TOC1"/>
            <w:tabs>
              <w:tab w:val="left" w:pos="660"/>
              <w:tab w:val="right" w:leader="dot" w:pos="9848"/>
            </w:tabs>
            <w:rPr>
              <w:rFonts w:asciiTheme="minorHAnsi" w:hAnsiTheme="minorHAnsi"/>
              <w:noProof/>
              <w:sz w:val="22"/>
              <w:szCs w:val="22"/>
              <w:lang w:eastAsia="en-GB"/>
            </w:rPr>
          </w:pPr>
          <w:hyperlink w:anchor="_Toc106894214" w:history="1">
            <w:r w:rsidR="00A97EB6" w:rsidRPr="00993B7B">
              <w:rPr>
                <w:rStyle w:val="Hyperlink"/>
                <w:noProof/>
              </w:rPr>
              <w:t>9.0</w:t>
            </w:r>
            <w:r w:rsidR="00A97EB6">
              <w:rPr>
                <w:rFonts w:asciiTheme="minorHAnsi" w:hAnsiTheme="minorHAnsi"/>
                <w:noProof/>
                <w:sz w:val="22"/>
                <w:szCs w:val="22"/>
                <w:lang w:eastAsia="en-GB"/>
              </w:rPr>
              <w:tab/>
            </w:r>
            <w:r w:rsidR="00A97EB6" w:rsidRPr="00993B7B">
              <w:rPr>
                <w:rStyle w:val="Hyperlink"/>
                <w:noProof/>
              </w:rPr>
              <w:t>Strategic Priority 5 – Supporting Carers</w:t>
            </w:r>
            <w:r w:rsidR="00A97EB6">
              <w:rPr>
                <w:noProof/>
                <w:webHidden/>
              </w:rPr>
              <w:tab/>
            </w:r>
            <w:r w:rsidR="00A97EB6">
              <w:rPr>
                <w:noProof/>
                <w:webHidden/>
              </w:rPr>
              <w:fldChar w:fldCharType="begin"/>
            </w:r>
            <w:r w:rsidR="00A97EB6">
              <w:rPr>
                <w:noProof/>
                <w:webHidden/>
              </w:rPr>
              <w:instrText xml:space="preserve"> PAGEREF _Toc106894214 \h </w:instrText>
            </w:r>
            <w:r w:rsidR="00A97EB6">
              <w:rPr>
                <w:noProof/>
                <w:webHidden/>
              </w:rPr>
            </w:r>
            <w:r w:rsidR="00A97EB6">
              <w:rPr>
                <w:noProof/>
                <w:webHidden/>
              </w:rPr>
              <w:fldChar w:fldCharType="separate"/>
            </w:r>
            <w:r w:rsidR="00C60877">
              <w:rPr>
                <w:noProof/>
                <w:webHidden/>
              </w:rPr>
              <w:t>29</w:t>
            </w:r>
            <w:r w:rsidR="00A97EB6">
              <w:rPr>
                <w:noProof/>
                <w:webHidden/>
              </w:rPr>
              <w:fldChar w:fldCharType="end"/>
            </w:r>
          </w:hyperlink>
        </w:p>
        <w:p w14:paraId="36183E1A" w14:textId="0989842F" w:rsidR="00A97EB6" w:rsidRDefault="00663B97">
          <w:pPr>
            <w:pStyle w:val="TOC1"/>
            <w:tabs>
              <w:tab w:val="left" w:pos="880"/>
              <w:tab w:val="right" w:leader="dot" w:pos="9848"/>
            </w:tabs>
            <w:rPr>
              <w:rFonts w:asciiTheme="minorHAnsi" w:hAnsiTheme="minorHAnsi"/>
              <w:noProof/>
              <w:sz w:val="22"/>
              <w:szCs w:val="22"/>
              <w:lang w:eastAsia="en-GB"/>
            </w:rPr>
          </w:pPr>
          <w:hyperlink w:anchor="_Toc106894215" w:history="1">
            <w:r w:rsidR="00A97EB6" w:rsidRPr="00993B7B">
              <w:rPr>
                <w:rStyle w:val="Hyperlink"/>
                <w:noProof/>
              </w:rPr>
              <w:t>10.0</w:t>
            </w:r>
            <w:r w:rsidR="00A97EB6">
              <w:rPr>
                <w:rFonts w:asciiTheme="minorHAnsi" w:hAnsiTheme="minorHAnsi"/>
                <w:noProof/>
                <w:sz w:val="22"/>
                <w:szCs w:val="22"/>
                <w:lang w:eastAsia="en-GB"/>
              </w:rPr>
              <w:tab/>
            </w:r>
            <w:r w:rsidR="00A97EB6" w:rsidRPr="00993B7B">
              <w:rPr>
                <w:rStyle w:val="Hyperlink"/>
                <w:noProof/>
              </w:rPr>
              <w:t>Strategic Priority 6 – Primacy of Home</w:t>
            </w:r>
            <w:r w:rsidR="00A97EB6">
              <w:rPr>
                <w:noProof/>
                <w:webHidden/>
              </w:rPr>
              <w:tab/>
            </w:r>
            <w:r w:rsidR="00A97EB6">
              <w:rPr>
                <w:noProof/>
                <w:webHidden/>
              </w:rPr>
              <w:fldChar w:fldCharType="begin"/>
            </w:r>
            <w:r w:rsidR="00A97EB6">
              <w:rPr>
                <w:noProof/>
                <w:webHidden/>
              </w:rPr>
              <w:instrText xml:space="preserve"> PAGEREF _Toc106894215 \h </w:instrText>
            </w:r>
            <w:r w:rsidR="00A97EB6">
              <w:rPr>
                <w:noProof/>
                <w:webHidden/>
              </w:rPr>
            </w:r>
            <w:r w:rsidR="00A97EB6">
              <w:rPr>
                <w:noProof/>
                <w:webHidden/>
              </w:rPr>
              <w:fldChar w:fldCharType="separate"/>
            </w:r>
            <w:r w:rsidR="00C60877">
              <w:rPr>
                <w:noProof/>
                <w:webHidden/>
              </w:rPr>
              <w:t>31</w:t>
            </w:r>
            <w:r w:rsidR="00A97EB6">
              <w:rPr>
                <w:noProof/>
                <w:webHidden/>
              </w:rPr>
              <w:fldChar w:fldCharType="end"/>
            </w:r>
          </w:hyperlink>
        </w:p>
        <w:p w14:paraId="45AB46CC" w14:textId="5B133E77" w:rsidR="009D6DA7" w:rsidRDefault="009D6DA7">
          <w:r>
            <w:rPr>
              <w:b/>
              <w:bCs/>
              <w:noProof/>
            </w:rPr>
            <w:fldChar w:fldCharType="end"/>
          </w:r>
        </w:p>
      </w:sdtContent>
    </w:sdt>
    <w:p w14:paraId="16DBD307" w14:textId="77777777" w:rsidR="001E79A9" w:rsidRPr="00331C61" w:rsidRDefault="001E79A9" w:rsidP="00331C61">
      <w:pPr>
        <w:pStyle w:val="Default"/>
        <w:spacing w:line="288" w:lineRule="auto"/>
        <w:rPr>
          <w:rFonts w:cs="Arial"/>
          <w:b/>
          <w:color w:val="232120"/>
        </w:rPr>
      </w:pPr>
    </w:p>
    <w:p w14:paraId="0A3B7ED9" w14:textId="77777777" w:rsidR="00EA12CE" w:rsidRPr="00331C61" w:rsidRDefault="00EA12CE" w:rsidP="00331C61">
      <w:pPr>
        <w:pStyle w:val="Default"/>
        <w:spacing w:line="288" w:lineRule="auto"/>
        <w:rPr>
          <w:rFonts w:cs="Arial"/>
          <w:b/>
          <w:color w:val="232120"/>
        </w:rPr>
      </w:pPr>
    </w:p>
    <w:p w14:paraId="277E135D" w14:textId="77777777" w:rsidR="00EA12CE" w:rsidRPr="00331C61" w:rsidRDefault="00EA12CE" w:rsidP="00331C61">
      <w:pPr>
        <w:pStyle w:val="Default"/>
        <w:spacing w:line="288" w:lineRule="auto"/>
        <w:rPr>
          <w:rFonts w:cs="Arial"/>
          <w:b/>
          <w:color w:val="232120"/>
        </w:rPr>
      </w:pPr>
    </w:p>
    <w:p w14:paraId="2AB9AA08" w14:textId="77777777" w:rsidR="00EA12CE" w:rsidRPr="00331C61" w:rsidRDefault="00EA12CE" w:rsidP="00331C61">
      <w:pPr>
        <w:pStyle w:val="Default"/>
        <w:spacing w:line="288" w:lineRule="auto"/>
        <w:rPr>
          <w:rFonts w:cs="Arial"/>
          <w:b/>
          <w:color w:val="232120"/>
        </w:rPr>
      </w:pPr>
    </w:p>
    <w:p w14:paraId="2FBCC72E" w14:textId="77777777" w:rsidR="00EA12CE" w:rsidRPr="00331C61" w:rsidRDefault="00EA12CE" w:rsidP="00331C61">
      <w:pPr>
        <w:pStyle w:val="Default"/>
        <w:spacing w:line="288" w:lineRule="auto"/>
        <w:rPr>
          <w:rFonts w:cs="Arial"/>
          <w:b/>
          <w:color w:val="232120"/>
        </w:rPr>
      </w:pPr>
    </w:p>
    <w:p w14:paraId="7831F41E" w14:textId="77777777" w:rsidR="00EA12CE" w:rsidRPr="00331C61" w:rsidRDefault="00EA12CE" w:rsidP="00331C61">
      <w:pPr>
        <w:pStyle w:val="Default"/>
        <w:spacing w:line="288" w:lineRule="auto"/>
        <w:rPr>
          <w:rFonts w:cs="Arial"/>
          <w:b/>
          <w:color w:val="232120"/>
        </w:rPr>
      </w:pPr>
    </w:p>
    <w:p w14:paraId="2F6F1CE2" w14:textId="77777777" w:rsidR="00EA12CE" w:rsidRPr="00331C61" w:rsidRDefault="00EA12CE" w:rsidP="00331C61">
      <w:pPr>
        <w:pStyle w:val="Default"/>
        <w:spacing w:line="288" w:lineRule="auto"/>
        <w:rPr>
          <w:rFonts w:cs="Arial"/>
          <w:b/>
          <w:color w:val="232120"/>
        </w:rPr>
      </w:pPr>
    </w:p>
    <w:p w14:paraId="54B3D8DA" w14:textId="77777777" w:rsidR="00EA12CE" w:rsidRPr="00331C61" w:rsidRDefault="00EA12CE" w:rsidP="00331C61">
      <w:pPr>
        <w:pStyle w:val="Default"/>
        <w:spacing w:line="288" w:lineRule="auto"/>
        <w:rPr>
          <w:rFonts w:cs="Arial"/>
          <w:b/>
          <w:color w:val="232120"/>
        </w:rPr>
      </w:pPr>
    </w:p>
    <w:p w14:paraId="1292F95E" w14:textId="77777777" w:rsidR="00EA12CE" w:rsidRPr="00331C61" w:rsidRDefault="00EA12CE" w:rsidP="00331C61">
      <w:pPr>
        <w:pStyle w:val="Default"/>
        <w:spacing w:line="288" w:lineRule="auto"/>
        <w:rPr>
          <w:rFonts w:cs="Arial"/>
          <w:b/>
          <w:color w:val="232120"/>
        </w:rPr>
      </w:pPr>
    </w:p>
    <w:p w14:paraId="2B753A48" w14:textId="77777777" w:rsidR="00EA12CE" w:rsidRPr="00331C61" w:rsidRDefault="00EA12CE" w:rsidP="00331C61">
      <w:pPr>
        <w:pStyle w:val="Default"/>
        <w:spacing w:line="288" w:lineRule="auto"/>
        <w:rPr>
          <w:rFonts w:cs="Arial"/>
          <w:b/>
          <w:color w:val="232120"/>
        </w:rPr>
      </w:pPr>
    </w:p>
    <w:p w14:paraId="4B49994C" w14:textId="77777777" w:rsidR="00EA12CE" w:rsidRPr="00331C61" w:rsidRDefault="00EA12CE" w:rsidP="00331C61">
      <w:pPr>
        <w:pStyle w:val="Default"/>
        <w:spacing w:line="288" w:lineRule="auto"/>
        <w:rPr>
          <w:rFonts w:cs="Arial"/>
          <w:b/>
          <w:color w:val="232120"/>
        </w:rPr>
      </w:pPr>
    </w:p>
    <w:p w14:paraId="618ADAD7" w14:textId="77777777" w:rsidR="00EA12CE" w:rsidRPr="00331C61" w:rsidRDefault="00EA12CE" w:rsidP="00331C61">
      <w:pPr>
        <w:pStyle w:val="Default"/>
        <w:spacing w:line="288" w:lineRule="auto"/>
        <w:rPr>
          <w:rFonts w:cs="Arial"/>
          <w:b/>
          <w:color w:val="232120"/>
        </w:rPr>
      </w:pPr>
    </w:p>
    <w:p w14:paraId="26FA48F7" w14:textId="77777777" w:rsidR="00EA12CE" w:rsidRPr="00331C61" w:rsidRDefault="00EA12CE" w:rsidP="00331C61">
      <w:pPr>
        <w:pStyle w:val="Default"/>
        <w:spacing w:line="288" w:lineRule="auto"/>
        <w:rPr>
          <w:rFonts w:cs="Arial"/>
          <w:b/>
          <w:color w:val="232120"/>
        </w:rPr>
      </w:pPr>
    </w:p>
    <w:p w14:paraId="6ACE03EB" w14:textId="77777777" w:rsidR="00EA12CE" w:rsidRPr="00331C61" w:rsidRDefault="00EA12CE" w:rsidP="00331C61">
      <w:pPr>
        <w:pStyle w:val="Default"/>
        <w:spacing w:line="288" w:lineRule="auto"/>
        <w:rPr>
          <w:rFonts w:cs="Arial"/>
          <w:b/>
          <w:color w:val="232120"/>
        </w:rPr>
      </w:pPr>
    </w:p>
    <w:p w14:paraId="7C79468D" w14:textId="77777777" w:rsidR="00EA12CE" w:rsidRPr="00331C61" w:rsidRDefault="00EA12CE" w:rsidP="00331C61">
      <w:pPr>
        <w:pStyle w:val="Default"/>
        <w:spacing w:line="288" w:lineRule="auto"/>
        <w:rPr>
          <w:rFonts w:cs="Arial"/>
          <w:b/>
          <w:color w:val="232120"/>
        </w:rPr>
      </w:pPr>
    </w:p>
    <w:p w14:paraId="53949CE9" w14:textId="77777777" w:rsidR="00EA12CE" w:rsidRPr="00331C61" w:rsidRDefault="00EA12CE" w:rsidP="00331C61">
      <w:pPr>
        <w:pStyle w:val="Default"/>
        <w:spacing w:line="288" w:lineRule="auto"/>
        <w:rPr>
          <w:rFonts w:cs="Arial"/>
          <w:b/>
          <w:color w:val="232120"/>
        </w:rPr>
      </w:pPr>
    </w:p>
    <w:p w14:paraId="07548312" w14:textId="77777777" w:rsidR="00EA12CE" w:rsidRDefault="00EA12CE" w:rsidP="00331C61">
      <w:pPr>
        <w:pStyle w:val="Default"/>
        <w:spacing w:line="288" w:lineRule="auto"/>
        <w:rPr>
          <w:rFonts w:cs="Arial"/>
          <w:b/>
          <w:color w:val="232120"/>
        </w:rPr>
      </w:pPr>
    </w:p>
    <w:p w14:paraId="5034F6A5" w14:textId="77777777" w:rsidR="00101EE7" w:rsidRDefault="00101EE7" w:rsidP="00331C61">
      <w:pPr>
        <w:pStyle w:val="Default"/>
        <w:spacing w:line="288" w:lineRule="auto"/>
        <w:rPr>
          <w:rFonts w:cs="Arial"/>
          <w:b/>
          <w:color w:val="232120"/>
        </w:rPr>
      </w:pPr>
    </w:p>
    <w:p w14:paraId="1AE6FF1F" w14:textId="77777777" w:rsidR="00101EE7" w:rsidRPr="00331C61" w:rsidRDefault="00101EE7" w:rsidP="00331C61">
      <w:pPr>
        <w:pStyle w:val="Default"/>
        <w:spacing w:line="288" w:lineRule="auto"/>
        <w:rPr>
          <w:rFonts w:cs="Arial"/>
          <w:b/>
          <w:color w:val="232120"/>
        </w:rPr>
      </w:pPr>
    </w:p>
    <w:p w14:paraId="2AD6004F" w14:textId="77777777" w:rsidR="00EA12CE" w:rsidRPr="00331C61" w:rsidRDefault="00EA12CE" w:rsidP="00331C61">
      <w:pPr>
        <w:pStyle w:val="Default"/>
        <w:spacing w:line="288" w:lineRule="auto"/>
        <w:rPr>
          <w:rFonts w:cs="Arial"/>
          <w:b/>
          <w:color w:val="232120"/>
        </w:rPr>
      </w:pPr>
    </w:p>
    <w:p w14:paraId="6ED6AB71" w14:textId="77777777" w:rsidR="003B7D0E" w:rsidRPr="00331C61" w:rsidRDefault="003B7D0E" w:rsidP="00331C61">
      <w:pPr>
        <w:pStyle w:val="Default"/>
        <w:spacing w:line="288" w:lineRule="auto"/>
        <w:rPr>
          <w:rFonts w:cs="Arial"/>
          <w:b/>
          <w:color w:val="232120"/>
        </w:rPr>
      </w:pPr>
    </w:p>
    <w:p w14:paraId="3E1F8160" w14:textId="77777777" w:rsidR="009D5AE2" w:rsidRDefault="009D5AE2" w:rsidP="00DB2121">
      <w:bookmarkStart w:id="0" w:name="_Toc96330834"/>
    </w:p>
    <w:tbl>
      <w:tblPr>
        <w:tblStyle w:val="TableGrid"/>
        <w:tblW w:w="0" w:type="auto"/>
        <w:tblLook w:val="04A0" w:firstRow="1" w:lastRow="0" w:firstColumn="1" w:lastColumn="0" w:noHBand="0" w:noVBand="1"/>
      </w:tblPr>
      <w:tblGrid>
        <w:gridCol w:w="9848"/>
      </w:tblGrid>
      <w:tr w:rsidR="00A97EB6" w14:paraId="07A245C5" w14:textId="77777777" w:rsidTr="00A97EB6">
        <w:tc>
          <w:tcPr>
            <w:tcW w:w="9848" w:type="dxa"/>
          </w:tcPr>
          <w:p w14:paraId="775B46AB" w14:textId="77777777" w:rsidR="00A97EB6" w:rsidRDefault="00A97EB6" w:rsidP="00A97EB6">
            <w:pPr>
              <w:pStyle w:val="Heading1"/>
            </w:pPr>
            <w:bookmarkStart w:id="1" w:name="_Toc106894205"/>
            <w:r>
              <w:lastRenderedPageBreak/>
              <w:t>Summary of Recommendations</w:t>
            </w:r>
            <w:bookmarkEnd w:id="1"/>
          </w:p>
          <w:p w14:paraId="03B2FF7E" w14:textId="77777777" w:rsidR="00A97EB6" w:rsidRDefault="00A97EB6" w:rsidP="00A97EB6"/>
          <w:p w14:paraId="05003182" w14:textId="77777777" w:rsidR="00A97EB6" w:rsidRPr="009D5AE2" w:rsidRDefault="00A97EB6" w:rsidP="00A97EB6">
            <w:pPr>
              <w:rPr>
                <w:b/>
              </w:rPr>
            </w:pPr>
            <w:r w:rsidRPr="009D5AE2">
              <w:rPr>
                <w:b/>
              </w:rPr>
              <w:t>2.10</w:t>
            </w:r>
            <w:r w:rsidRPr="009D5AE2">
              <w:rPr>
                <w:b/>
              </w:rPr>
              <w:tab/>
              <w:t xml:space="preserve">the Department of Health adopts a human </w:t>
            </w:r>
            <w:proofErr w:type="gramStart"/>
            <w:r w:rsidRPr="009D5AE2">
              <w:rPr>
                <w:b/>
              </w:rPr>
              <w:t>rights based</w:t>
            </w:r>
            <w:proofErr w:type="gramEnd"/>
            <w:r w:rsidRPr="009D5AE2">
              <w:rPr>
                <w:b/>
              </w:rPr>
              <w:t xml:space="preserve"> approach to the development of a new social care strategy. In addition, to the ECHR, UN ICCPR and UN ICESCR, this strategy should adopt and, for the purposes of benchmarking, utilise the FREDA Principles.</w:t>
            </w:r>
          </w:p>
          <w:p w14:paraId="73780C8F" w14:textId="77777777" w:rsidR="00A97EB6" w:rsidRPr="009D5AE2" w:rsidRDefault="00A97EB6" w:rsidP="00A97EB6">
            <w:pPr>
              <w:rPr>
                <w:b/>
              </w:rPr>
            </w:pPr>
          </w:p>
          <w:p w14:paraId="5F86BCF6" w14:textId="77777777" w:rsidR="00A97EB6" w:rsidRPr="009D5AE2" w:rsidRDefault="00A97EB6" w:rsidP="00A97EB6">
            <w:pPr>
              <w:rPr>
                <w:b/>
              </w:rPr>
            </w:pPr>
            <w:r w:rsidRPr="009D5AE2">
              <w:rPr>
                <w:b/>
              </w:rPr>
              <w:t xml:space="preserve">2.13 the Department of Health ensures effective participation in any further steps taken in developing implementing, </w:t>
            </w:r>
            <w:proofErr w:type="gramStart"/>
            <w:r w:rsidRPr="009D5AE2">
              <w:rPr>
                <w:b/>
              </w:rPr>
              <w:t>monitoring</w:t>
            </w:r>
            <w:proofErr w:type="gramEnd"/>
            <w:r w:rsidRPr="009D5AE2">
              <w:rPr>
                <w:b/>
              </w:rPr>
              <w:t xml:space="preserve"> and evaluating this strategy.</w:t>
            </w:r>
          </w:p>
          <w:p w14:paraId="4F0C22AD" w14:textId="77777777" w:rsidR="00A97EB6" w:rsidRPr="009D5AE2" w:rsidRDefault="00A97EB6" w:rsidP="00A97EB6">
            <w:pPr>
              <w:rPr>
                <w:b/>
              </w:rPr>
            </w:pPr>
          </w:p>
          <w:p w14:paraId="1F9B239C" w14:textId="77777777" w:rsidR="00A97EB6" w:rsidRPr="009D5AE2" w:rsidRDefault="00A97EB6" w:rsidP="00A97EB6">
            <w:pPr>
              <w:rPr>
                <w:b/>
              </w:rPr>
            </w:pPr>
            <w:r w:rsidRPr="009D5AE2">
              <w:rPr>
                <w:b/>
              </w:rPr>
              <w:t xml:space="preserve">3.6 the Department of Health assesses the level of resources necessary and, with the NI Executive, ensures that the maximum available resources are </w:t>
            </w:r>
            <w:proofErr w:type="gramStart"/>
            <w:r w:rsidRPr="009D5AE2">
              <w:rPr>
                <w:b/>
              </w:rPr>
              <w:t>utilised</w:t>
            </w:r>
            <w:proofErr w:type="gramEnd"/>
            <w:r w:rsidRPr="009D5AE2">
              <w:rPr>
                <w:b/>
              </w:rPr>
              <w:t xml:space="preserve"> and ring fenced for the development of this strategy. </w:t>
            </w:r>
          </w:p>
          <w:p w14:paraId="1DB1EC91" w14:textId="77777777" w:rsidR="00A97EB6" w:rsidRPr="009D5AE2" w:rsidRDefault="00A97EB6" w:rsidP="00A97EB6">
            <w:pPr>
              <w:rPr>
                <w:b/>
              </w:rPr>
            </w:pPr>
          </w:p>
          <w:p w14:paraId="4DCD48CC" w14:textId="77777777" w:rsidR="00A97EB6" w:rsidRPr="009D5AE2" w:rsidRDefault="00A97EB6" w:rsidP="00A97EB6">
            <w:pPr>
              <w:rPr>
                <w:b/>
              </w:rPr>
            </w:pPr>
            <w:r w:rsidRPr="009D5AE2">
              <w:rPr>
                <w:b/>
              </w:rPr>
              <w:t>3.7 the Department of Health maintains a participatory process in the development of the budget relating to the proposed strategy and engages in meaningful consultation with those affected by the strategy and their representative organisations.</w:t>
            </w:r>
          </w:p>
          <w:p w14:paraId="576E96F2" w14:textId="77777777" w:rsidR="00A97EB6" w:rsidRPr="009D5AE2" w:rsidRDefault="00A97EB6" w:rsidP="00A97EB6">
            <w:pPr>
              <w:rPr>
                <w:b/>
              </w:rPr>
            </w:pPr>
          </w:p>
          <w:p w14:paraId="48A19DC7" w14:textId="77777777" w:rsidR="00A97EB6" w:rsidRPr="009D5AE2" w:rsidRDefault="00A97EB6" w:rsidP="00A97EB6">
            <w:pPr>
              <w:rPr>
                <w:b/>
              </w:rPr>
            </w:pPr>
            <w:r w:rsidRPr="009D5AE2">
              <w:rPr>
                <w:b/>
              </w:rPr>
              <w:t xml:space="preserve">4.4 the Department of Health develops a clear and realistic timeframe for delivery, using appropriate benchmarks and indicators for each agreed action. This should include provisions for regular reporting to the NI Committee for Health, and an annual report on progress. </w:t>
            </w:r>
          </w:p>
          <w:p w14:paraId="7B2EA94A" w14:textId="77777777" w:rsidR="00A97EB6" w:rsidRPr="009D5AE2" w:rsidRDefault="00A97EB6" w:rsidP="00A97EB6">
            <w:pPr>
              <w:rPr>
                <w:b/>
              </w:rPr>
            </w:pPr>
          </w:p>
          <w:p w14:paraId="48217F75" w14:textId="77777777" w:rsidR="00A97EB6" w:rsidRPr="009D5AE2" w:rsidRDefault="00A97EB6" w:rsidP="00A97EB6">
            <w:pPr>
              <w:rPr>
                <w:b/>
              </w:rPr>
            </w:pPr>
            <w:r w:rsidRPr="009D5AE2">
              <w:rPr>
                <w:b/>
              </w:rPr>
              <w:t xml:space="preserve">4.5 the Department of Health ensures that outsourcing of responsibilities to private entities or civil society is subject to a human rights-based procurement process and will </w:t>
            </w:r>
            <w:proofErr w:type="gramStart"/>
            <w:r w:rsidRPr="009D5AE2">
              <w:rPr>
                <w:b/>
              </w:rPr>
              <w:t>be  monitored</w:t>
            </w:r>
            <w:proofErr w:type="gramEnd"/>
            <w:r w:rsidRPr="009D5AE2">
              <w:rPr>
                <w:b/>
              </w:rPr>
              <w:t>, including for human rights compliance.</w:t>
            </w:r>
          </w:p>
          <w:p w14:paraId="482383D8" w14:textId="77777777" w:rsidR="00A97EB6" w:rsidRPr="009D5AE2" w:rsidRDefault="00A97EB6" w:rsidP="00A97EB6">
            <w:pPr>
              <w:rPr>
                <w:b/>
              </w:rPr>
            </w:pPr>
          </w:p>
          <w:p w14:paraId="1585D53B" w14:textId="77777777" w:rsidR="00A97EB6" w:rsidRPr="009D5AE2" w:rsidRDefault="00A97EB6" w:rsidP="00A97EB6">
            <w:pPr>
              <w:rPr>
                <w:b/>
              </w:rPr>
            </w:pPr>
            <w:r w:rsidRPr="009D5AE2">
              <w:rPr>
                <w:b/>
              </w:rPr>
              <w:t>4.6 the Department of Health ensures that external agencies, particularly civil society organisations, are appropriately resourced to ensure their long-term sustainability in the provision of care.</w:t>
            </w:r>
          </w:p>
          <w:p w14:paraId="4A51F127" w14:textId="77777777" w:rsidR="00A97EB6" w:rsidRPr="009D5AE2" w:rsidRDefault="00A97EB6" w:rsidP="00A97EB6">
            <w:pPr>
              <w:rPr>
                <w:b/>
              </w:rPr>
            </w:pPr>
          </w:p>
          <w:p w14:paraId="449D5243" w14:textId="77777777" w:rsidR="00A97EB6" w:rsidRPr="009D5AE2" w:rsidRDefault="00A97EB6" w:rsidP="00A97EB6">
            <w:pPr>
              <w:rPr>
                <w:b/>
              </w:rPr>
            </w:pPr>
            <w:r w:rsidRPr="009D5AE2">
              <w:rPr>
                <w:b/>
              </w:rPr>
              <w:t xml:space="preserve">4.8 the Department of Health commits to consistently collect, </w:t>
            </w:r>
            <w:proofErr w:type="gramStart"/>
            <w:r w:rsidRPr="009D5AE2">
              <w:rPr>
                <w:b/>
              </w:rPr>
              <w:t>monitor</w:t>
            </w:r>
            <w:proofErr w:type="gramEnd"/>
            <w:r w:rsidRPr="009D5AE2">
              <w:rPr>
                <w:b/>
              </w:rPr>
              <w:t xml:space="preserve"> and publish robust data that is comprehensively disaggregated and offers an opportunity for comparison across time and jurisdictions.</w:t>
            </w:r>
          </w:p>
          <w:p w14:paraId="6269C029" w14:textId="77777777" w:rsidR="00A97EB6" w:rsidRPr="009D5AE2" w:rsidRDefault="00A97EB6" w:rsidP="00A97EB6">
            <w:pPr>
              <w:rPr>
                <w:b/>
              </w:rPr>
            </w:pPr>
          </w:p>
          <w:p w14:paraId="0DFDCD59" w14:textId="77777777" w:rsidR="00A97EB6" w:rsidRPr="009D5AE2" w:rsidRDefault="00A97EB6" w:rsidP="00A97EB6">
            <w:pPr>
              <w:rPr>
                <w:b/>
              </w:rPr>
            </w:pPr>
            <w:r w:rsidRPr="009D5AE2">
              <w:rPr>
                <w:b/>
              </w:rPr>
              <w:t>5.4 the Department of Health ensures that decisions on cost bandings as part of the tariff setting exercise are informed by human rights standards and principles that centre on the dignity of those availing of social care services.</w:t>
            </w:r>
          </w:p>
          <w:p w14:paraId="5CBB8AC0" w14:textId="77777777" w:rsidR="00A97EB6" w:rsidRPr="009D5AE2" w:rsidRDefault="00A97EB6" w:rsidP="00A97EB6">
            <w:pPr>
              <w:rPr>
                <w:b/>
              </w:rPr>
            </w:pPr>
          </w:p>
          <w:p w14:paraId="21C6C32A" w14:textId="77777777" w:rsidR="00A97EB6" w:rsidRPr="009D5AE2" w:rsidRDefault="00A97EB6" w:rsidP="00A97EB6">
            <w:pPr>
              <w:rPr>
                <w:b/>
              </w:rPr>
            </w:pPr>
          </w:p>
          <w:p w14:paraId="6139ECCF" w14:textId="77777777" w:rsidR="00A97EB6" w:rsidRPr="009D5AE2" w:rsidRDefault="00A97EB6" w:rsidP="00A97EB6">
            <w:pPr>
              <w:rPr>
                <w:b/>
              </w:rPr>
            </w:pPr>
            <w:r w:rsidRPr="009D5AE2">
              <w:rPr>
                <w:b/>
              </w:rPr>
              <w:t xml:space="preserve">5.9 the Department of Health ensures that it is made explicit that the principles guiding the implementation of future legislation operate within a human </w:t>
            </w:r>
            <w:proofErr w:type="gramStart"/>
            <w:r w:rsidRPr="009D5AE2">
              <w:rPr>
                <w:b/>
              </w:rPr>
              <w:t>rights based</w:t>
            </w:r>
            <w:proofErr w:type="gramEnd"/>
            <w:r w:rsidRPr="009D5AE2">
              <w:rPr>
                <w:b/>
              </w:rPr>
              <w:t xml:space="preserve"> framework, which incorporates the full range of international human rights standards ratified by the UK.</w:t>
            </w:r>
          </w:p>
          <w:p w14:paraId="063EB724" w14:textId="77777777" w:rsidR="00A97EB6" w:rsidRPr="009D5AE2" w:rsidRDefault="00A97EB6" w:rsidP="00A97EB6">
            <w:pPr>
              <w:rPr>
                <w:b/>
              </w:rPr>
            </w:pPr>
          </w:p>
          <w:p w14:paraId="2F048FCF" w14:textId="77777777" w:rsidR="00A97EB6" w:rsidRPr="009D5AE2" w:rsidRDefault="00A97EB6" w:rsidP="00A97EB6">
            <w:pPr>
              <w:rPr>
                <w:b/>
              </w:rPr>
            </w:pPr>
            <w:r w:rsidRPr="009D5AE2">
              <w:rPr>
                <w:b/>
              </w:rPr>
              <w:t>5.10 the Department of Health ensures that any future legislation is accompanied by a Human Rights Impact Assessment that takes account of all the UK’s international human rights obligations.</w:t>
            </w:r>
          </w:p>
          <w:p w14:paraId="5D0DC6B9" w14:textId="77777777" w:rsidR="00A97EB6" w:rsidRPr="009D5AE2" w:rsidRDefault="00A97EB6" w:rsidP="00A97EB6">
            <w:pPr>
              <w:rPr>
                <w:b/>
              </w:rPr>
            </w:pPr>
          </w:p>
          <w:p w14:paraId="748D8ED4" w14:textId="77777777" w:rsidR="00A97EB6" w:rsidRPr="009D5AE2" w:rsidRDefault="00A97EB6" w:rsidP="00A97EB6">
            <w:pPr>
              <w:rPr>
                <w:b/>
              </w:rPr>
            </w:pPr>
            <w:r w:rsidRPr="009D5AE2">
              <w:rPr>
                <w:b/>
              </w:rPr>
              <w:t xml:space="preserve">6.7 in assessing appropriate wage levels for social care workers, the Department of Health considers whether the current </w:t>
            </w:r>
            <w:proofErr w:type="gramStart"/>
            <w:r w:rsidRPr="009D5AE2">
              <w:rPr>
                <w:b/>
              </w:rPr>
              <w:t>rates</w:t>
            </w:r>
            <w:proofErr w:type="gramEnd"/>
            <w:r w:rsidRPr="009D5AE2">
              <w:rPr>
                <w:b/>
              </w:rPr>
              <w:t xml:space="preserve"> of pay reflects an inherently discriminatory evaluation of the value of social care work. </w:t>
            </w:r>
          </w:p>
          <w:p w14:paraId="75AD633B" w14:textId="77777777" w:rsidR="00A97EB6" w:rsidRPr="009D5AE2" w:rsidRDefault="00A97EB6" w:rsidP="00A97EB6">
            <w:pPr>
              <w:rPr>
                <w:b/>
              </w:rPr>
            </w:pPr>
          </w:p>
          <w:p w14:paraId="17C4D755" w14:textId="77777777" w:rsidR="00A97EB6" w:rsidRPr="009D5AE2" w:rsidRDefault="00A97EB6" w:rsidP="00A97EB6">
            <w:pPr>
              <w:rPr>
                <w:b/>
              </w:rPr>
            </w:pPr>
            <w:r w:rsidRPr="009D5AE2">
              <w:rPr>
                <w:b/>
              </w:rPr>
              <w:t>6.8 that, at a minimum, wages should be set at a living wage level.</w:t>
            </w:r>
          </w:p>
          <w:p w14:paraId="758585F5" w14:textId="77777777" w:rsidR="00A97EB6" w:rsidRPr="009D5AE2" w:rsidRDefault="00A97EB6" w:rsidP="00A97EB6">
            <w:pPr>
              <w:rPr>
                <w:b/>
              </w:rPr>
            </w:pPr>
          </w:p>
          <w:p w14:paraId="1E70FD0B" w14:textId="77777777" w:rsidR="00A97EB6" w:rsidRPr="009D5AE2" w:rsidRDefault="00A97EB6" w:rsidP="00A97EB6">
            <w:pPr>
              <w:rPr>
                <w:b/>
              </w:rPr>
            </w:pPr>
            <w:r w:rsidRPr="009D5AE2">
              <w:rPr>
                <w:b/>
              </w:rPr>
              <w:t>6.11 that safe staffing levels are determined in consultation with service providers and allocated the necessary funding.</w:t>
            </w:r>
          </w:p>
          <w:p w14:paraId="6FA85E58" w14:textId="77777777" w:rsidR="00A97EB6" w:rsidRPr="009D5AE2" w:rsidRDefault="00A97EB6" w:rsidP="00A97EB6">
            <w:pPr>
              <w:rPr>
                <w:b/>
              </w:rPr>
            </w:pPr>
          </w:p>
          <w:p w14:paraId="29383D85" w14:textId="77777777" w:rsidR="00A97EB6" w:rsidRPr="009D5AE2" w:rsidRDefault="00A97EB6" w:rsidP="00A97EB6">
            <w:pPr>
              <w:rPr>
                <w:b/>
              </w:rPr>
            </w:pPr>
            <w:r w:rsidRPr="009D5AE2">
              <w:rPr>
                <w:b/>
              </w:rPr>
              <w:t>6.13 the Department of Health includes within the strategy a commitment to comprehensive human rights training for all social care staff. This training should be mandatory and be subject to periodic review and evaluation.</w:t>
            </w:r>
          </w:p>
          <w:p w14:paraId="6D9CF25A" w14:textId="77777777" w:rsidR="00A97EB6" w:rsidRPr="009D5AE2" w:rsidRDefault="00A97EB6" w:rsidP="00A97EB6">
            <w:pPr>
              <w:rPr>
                <w:b/>
              </w:rPr>
            </w:pPr>
          </w:p>
          <w:p w14:paraId="390A5B22" w14:textId="77777777" w:rsidR="00A97EB6" w:rsidRPr="009D5AE2" w:rsidRDefault="00A97EB6" w:rsidP="00A97EB6">
            <w:pPr>
              <w:rPr>
                <w:b/>
              </w:rPr>
            </w:pPr>
            <w:r w:rsidRPr="009D5AE2">
              <w:rPr>
                <w:b/>
              </w:rPr>
              <w:t>7.8 the Department of Health, as part of the development of a regional strategic ‘In Control’ action plan, considers the inclusion of those who face barriers to engagement in consultation processes.</w:t>
            </w:r>
          </w:p>
          <w:p w14:paraId="5D570BAE" w14:textId="77777777" w:rsidR="00A97EB6" w:rsidRPr="009D5AE2" w:rsidRDefault="00A97EB6" w:rsidP="00A97EB6">
            <w:pPr>
              <w:rPr>
                <w:b/>
              </w:rPr>
            </w:pPr>
          </w:p>
          <w:p w14:paraId="6F67F45D" w14:textId="77777777" w:rsidR="00A97EB6" w:rsidRPr="009D5AE2" w:rsidRDefault="00A97EB6" w:rsidP="00A97EB6">
            <w:pPr>
              <w:rPr>
                <w:b/>
              </w:rPr>
            </w:pPr>
            <w:r w:rsidRPr="009D5AE2">
              <w:rPr>
                <w:b/>
              </w:rPr>
              <w:t xml:space="preserve">7.10 the proposed legislative duty on Health and Social Care Trusts to provide information and advice on care and support options includes a requirement that this is tailored to a range of communication requirements. </w:t>
            </w:r>
          </w:p>
          <w:p w14:paraId="0216920B" w14:textId="77777777" w:rsidR="00A97EB6" w:rsidRPr="009D5AE2" w:rsidRDefault="00A97EB6" w:rsidP="00A97EB6">
            <w:pPr>
              <w:rPr>
                <w:b/>
              </w:rPr>
            </w:pPr>
          </w:p>
          <w:p w14:paraId="36ED6605" w14:textId="77777777" w:rsidR="00A97EB6" w:rsidRPr="009D5AE2" w:rsidRDefault="00A97EB6" w:rsidP="00A97EB6">
            <w:pPr>
              <w:rPr>
                <w:b/>
              </w:rPr>
            </w:pPr>
            <w:r w:rsidRPr="009D5AE2">
              <w:rPr>
                <w:b/>
              </w:rPr>
              <w:t>7.14 the Department of Health includes specific action on the deinstitutionalisation of care through the lens of the UN CRPD. This should be completed as a matter of urgency.</w:t>
            </w:r>
          </w:p>
          <w:p w14:paraId="4C6FA63C" w14:textId="77777777" w:rsidR="00A97EB6" w:rsidRPr="009D5AE2" w:rsidRDefault="00A97EB6" w:rsidP="00A97EB6">
            <w:pPr>
              <w:rPr>
                <w:b/>
              </w:rPr>
            </w:pPr>
          </w:p>
          <w:p w14:paraId="72492329" w14:textId="77777777" w:rsidR="00A97EB6" w:rsidRPr="009D5AE2" w:rsidRDefault="00A97EB6" w:rsidP="00A97EB6">
            <w:pPr>
              <w:rPr>
                <w:b/>
              </w:rPr>
            </w:pPr>
            <w:r w:rsidRPr="009D5AE2">
              <w:rPr>
                <w:b/>
              </w:rPr>
              <w:t xml:space="preserve">7.16 the Department of Health adopts the recommendations from the COVID-19 Inquiry in relation to the management of the pandemic in care homes, ensuring that learning is disseminated across the sector and that a human </w:t>
            </w:r>
            <w:proofErr w:type="gramStart"/>
            <w:r w:rsidRPr="009D5AE2">
              <w:rPr>
                <w:b/>
              </w:rPr>
              <w:t>rights based</w:t>
            </w:r>
            <w:proofErr w:type="gramEnd"/>
            <w:r w:rsidRPr="009D5AE2">
              <w:rPr>
                <w:b/>
              </w:rPr>
              <w:t xml:space="preserve"> plan is in place for any future outbreak. This learning should be incorporated into the future strategy to ensure that the isolation experienced during the COVID-19 pandemic is prevented in any future pandemic or societal emergency.</w:t>
            </w:r>
          </w:p>
          <w:p w14:paraId="7AD6D427" w14:textId="77777777" w:rsidR="00A97EB6" w:rsidRPr="009D5AE2" w:rsidRDefault="00A97EB6" w:rsidP="00A97EB6">
            <w:pPr>
              <w:rPr>
                <w:b/>
              </w:rPr>
            </w:pPr>
          </w:p>
          <w:p w14:paraId="1E95CA8A" w14:textId="77777777" w:rsidR="00A97EB6" w:rsidRPr="009D5AE2" w:rsidRDefault="00A97EB6" w:rsidP="00A97EB6">
            <w:pPr>
              <w:rPr>
                <w:b/>
              </w:rPr>
            </w:pPr>
            <w:r w:rsidRPr="009D5AE2">
              <w:rPr>
                <w:b/>
              </w:rPr>
              <w:t>8.3 that specific provision for these services is guaranteed within the future strategy in close consultation with the relevant services providers. This will require the appropriate allocation of resources and clear monitoring mechanisms.</w:t>
            </w:r>
          </w:p>
          <w:p w14:paraId="7387D909" w14:textId="77777777" w:rsidR="00A97EB6" w:rsidRPr="009D5AE2" w:rsidRDefault="00A97EB6" w:rsidP="00A97EB6">
            <w:pPr>
              <w:rPr>
                <w:b/>
              </w:rPr>
            </w:pPr>
          </w:p>
          <w:p w14:paraId="3D9E245B" w14:textId="77777777" w:rsidR="00A97EB6" w:rsidRPr="009D5AE2" w:rsidRDefault="00A97EB6" w:rsidP="00A97EB6">
            <w:pPr>
              <w:rPr>
                <w:b/>
              </w:rPr>
            </w:pPr>
            <w:r w:rsidRPr="009D5AE2">
              <w:rPr>
                <w:b/>
              </w:rPr>
              <w:t>8.5 the Department of Health ensures that the future strategy includes provision for those who are transitioning into adult social care services.</w:t>
            </w:r>
          </w:p>
          <w:p w14:paraId="76E59B16" w14:textId="77777777" w:rsidR="00A97EB6" w:rsidRPr="009D5AE2" w:rsidRDefault="00A97EB6" w:rsidP="00A97EB6">
            <w:pPr>
              <w:rPr>
                <w:b/>
              </w:rPr>
            </w:pPr>
          </w:p>
          <w:p w14:paraId="617B87A3" w14:textId="77777777" w:rsidR="00A97EB6" w:rsidRPr="009D5AE2" w:rsidRDefault="00A97EB6" w:rsidP="00A97EB6">
            <w:pPr>
              <w:rPr>
                <w:b/>
              </w:rPr>
            </w:pPr>
            <w:r w:rsidRPr="009D5AE2">
              <w:rPr>
                <w:b/>
              </w:rPr>
              <w:t>8.6 as part of introducing the offer of preventative/support visits for anyone aged over 75 by an appropriately trained professional, the Department of Health incorporates learning from the application of the scheme in Denmark and ensures that there are appropriate guidelines and quality assurance indicators.</w:t>
            </w:r>
          </w:p>
          <w:p w14:paraId="5B0F60BD" w14:textId="77777777" w:rsidR="00A97EB6" w:rsidRPr="009D5AE2" w:rsidRDefault="00A97EB6" w:rsidP="00A97EB6">
            <w:pPr>
              <w:rPr>
                <w:b/>
              </w:rPr>
            </w:pPr>
          </w:p>
          <w:p w14:paraId="77FF1B68" w14:textId="77777777" w:rsidR="00A97EB6" w:rsidRPr="009D5AE2" w:rsidRDefault="00A97EB6" w:rsidP="00A97EB6">
            <w:pPr>
              <w:rPr>
                <w:b/>
              </w:rPr>
            </w:pPr>
            <w:r w:rsidRPr="009D5AE2">
              <w:rPr>
                <w:b/>
              </w:rPr>
              <w:t xml:space="preserve">9.3 the Department of Health ensures that the proposed legislative duties include legislative provision for the right of carers to access respite care services.  </w:t>
            </w:r>
          </w:p>
          <w:p w14:paraId="10CB6270" w14:textId="77777777" w:rsidR="00A97EB6" w:rsidRPr="009D5AE2" w:rsidRDefault="00A97EB6" w:rsidP="00A97EB6">
            <w:pPr>
              <w:rPr>
                <w:b/>
              </w:rPr>
            </w:pPr>
          </w:p>
          <w:p w14:paraId="658C2DB0" w14:textId="77777777" w:rsidR="00A97EB6" w:rsidRPr="009D5AE2" w:rsidRDefault="00A97EB6" w:rsidP="00A97EB6">
            <w:pPr>
              <w:rPr>
                <w:b/>
              </w:rPr>
            </w:pPr>
            <w:r w:rsidRPr="009D5AE2">
              <w:rPr>
                <w:b/>
              </w:rPr>
              <w:t xml:space="preserve">9.7 as part of the review of the Caring for Carers strategy and development of a new strategic approach, the Department of Health adopts a human </w:t>
            </w:r>
            <w:proofErr w:type="gramStart"/>
            <w:r w:rsidRPr="009D5AE2">
              <w:rPr>
                <w:b/>
              </w:rPr>
              <w:t>rights based</w:t>
            </w:r>
            <w:proofErr w:type="gramEnd"/>
            <w:r w:rsidRPr="009D5AE2">
              <w:rPr>
                <w:b/>
              </w:rPr>
              <w:t xml:space="preserve"> approach with specific consideration to rights of child carers, including the right to participation, as protected by the UN CRC.  </w:t>
            </w:r>
          </w:p>
          <w:p w14:paraId="4DC1B252" w14:textId="77777777" w:rsidR="00A97EB6" w:rsidRPr="009D5AE2" w:rsidRDefault="00A97EB6" w:rsidP="00A97EB6">
            <w:pPr>
              <w:rPr>
                <w:b/>
              </w:rPr>
            </w:pPr>
          </w:p>
          <w:p w14:paraId="1AE2D785" w14:textId="77777777" w:rsidR="00A97EB6" w:rsidRPr="009D5AE2" w:rsidRDefault="00A97EB6" w:rsidP="00A97EB6">
            <w:pPr>
              <w:rPr>
                <w:b/>
              </w:rPr>
            </w:pPr>
            <w:r w:rsidRPr="009D5AE2">
              <w:rPr>
                <w:b/>
              </w:rPr>
              <w:lastRenderedPageBreak/>
              <w:t>10.3 the Department of Health ensures that the philosophy of care clearly states that it is grounded in human rights and that staff must act in full compliance with ECHR rights, as per the Human Rights Act.</w:t>
            </w:r>
          </w:p>
          <w:p w14:paraId="0B72DA18" w14:textId="77777777" w:rsidR="00A97EB6" w:rsidRPr="009D5AE2" w:rsidRDefault="00A97EB6" w:rsidP="00A97EB6">
            <w:pPr>
              <w:rPr>
                <w:b/>
              </w:rPr>
            </w:pPr>
          </w:p>
          <w:p w14:paraId="502576DA" w14:textId="77777777" w:rsidR="00A97EB6" w:rsidRPr="009D5AE2" w:rsidRDefault="00A97EB6" w:rsidP="00A97EB6">
            <w:pPr>
              <w:rPr>
                <w:b/>
              </w:rPr>
            </w:pPr>
            <w:r w:rsidRPr="009D5AE2">
              <w:rPr>
                <w:b/>
              </w:rPr>
              <w:t>10.7</w:t>
            </w:r>
            <w:r w:rsidRPr="009D5AE2">
              <w:rPr>
                <w:b/>
              </w:rPr>
              <w:tab/>
              <w:t xml:space="preserve">the measures proposed to reduce the possibility of any care home resident having to move home are monitored as part of the Regulation and Quality Improvement </w:t>
            </w:r>
            <w:proofErr w:type="gramStart"/>
            <w:r w:rsidRPr="009D5AE2">
              <w:rPr>
                <w:b/>
              </w:rPr>
              <w:t>Authority’s  inspections</w:t>
            </w:r>
            <w:proofErr w:type="gramEnd"/>
            <w:r w:rsidRPr="009D5AE2">
              <w:rPr>
                <w:b/>
              </w:rPr>
              <w:t xml:space="preserve"> of care homes.</w:t>
            </w:r>
          </w:p>
          <w:p w14:paraId="484D6282" w14:textId="77777777" w:rsidR="00A97EB6" w:rsidRPr="009D5AE2" w:rsidRDefault="00A97EB6" w:rsidP="00A97EB6">
            <w:pPr>
              <w:rPr>
                <w:b/>
              </w:rPr>
            </w:pPr>
          </w:p>
          <w:p w14:paraId="5BC902D8" w14:textId="77777777" w:rsidR="00A97EB6" w:rsidRPr="009D5AE2" w:rsidRDefault="00A97EB6" w:rsidP="00A97EB6">
            <w:pPr>
              <w:rPr>
                <w:b/>
              </w:rPr>
            </w:pPr>
            <w:r>
              <w:rPr>
                <w:b/>
              </w:rPr>
              <w:t>10.10</w:t>
            </w:r>
            <w:r w:rsidRPr="009D5AE2">
              <w:rPr>
                <w:b/>
              </w:rPr>
              <w:t xml:space="preserve"> the Department of Health ensures that the strategy includes a clear, expeditious complaints mechanism that is accessible and includes a transparent and meaningful process by which to appeal decisions. The Strategy should include a commitment that comprehensive, fully accessible information on these processes is available to those availing of social care services and their </w:t>
            </w:r>
            <w:proofErr w:type="spellStart"/>
            <w:r w:rsidRPr="009D5AE2">
              <w:rPr>
                <w:b/>
              </w:rPr>
              <w:t>carers</w:t>
            </w:r>
            <w:proofErr w:type="spellEnd"/>
            <w:r w:rsidRPr="009D5AE2">
              <w:rPr>
                <w:b/>
              </w:rPr>
              <w:t>.</w:t>
            </w:r>
          </w:p>
          <w:p w14:paraId="497F0EB5" w14:textId="77777777" w:rsidR="00A97EB6" w:rsidRPr="009D5AE2" w:rsidRDefault="00A97EB6" w:rsidP="00A97EB6">
            <w:pPr>
              <w:rPr>
                <w:b/>
              </w:rPr>
            </w:pPr>
          </w:p>
          <w:p w14:paraId="65F51E8F" w14:textId="2A64015C" w:rsidR="00A97EB6" w:rsidRDefault="00A97EB6" w:rsidP="00A97EB6">
            <w:r>
              <w:rPr>
                <w:b/>
              </w:rPr>
              <w:t>10.13</w:t>
            </w:r>
            <w:r w:rsidRPr="009D5AE2">
              <w:rPr>
                <w:b/>
              </w:rPr>
              <w:t xml:space="preserve"> the Department of Health ensure that fully accessible, independent advocacy services are available to everyone supported within the social care system.</w:t>
            </w:r>
          </w:p>
        </w:tc>
      </w:tr>
    </w:tbl>
    <w:p w14:paraId="3332AD5C" w14:textId="77777777" w:rsidR="00DB2121" w:rsidRDefault="00DB2121" w:rsidP="00DB2121"/>
    <w:p w14:paraId="2B4D7A51" w14:textId="7F68EC21" w:rsidR="00871195" w:rsidRDefault="00871195" w:rsidP="00871195"/>
    <w:p w14:paraId="77379DA1" w14:textId="0D909D7E" w:rsidR="00871195" w:rsidRDefault="00871195" w:rsidP="00871195"/>
    <w:p w14:paraId="7FF69CF9" w14:textId="338D8E15" w:rsidR="00871195" w:rsidRDefault="00871195" w:rsidP="00871195"/>
    <w:p w14:paraId="58908B20" w14:textId="49142BC9" w:rsidR="00871195" w:rsidRDefault="00871195" w:rsidP="00871195"/>
    <w:p w14:paraId="25E0A400" w14:textId="03C66C2F" w:rsidR="00871195" w:rsidRDefault="00871195" w:rsidP="00871195"/>
    <w:p w14:paraId="6E30E917" w14:textId="79DC5BF1" w:rsidR="00871195" w:rsidRDefault="00871195" w:rsidP="00871195"/>
    <w:p w14:paraId="15C019B9" w14:textId="153D8A9F" w:rsidR="00871195" w:rsidRDefault="00871195" w:rsidP="00871195"/>
    <w:p w14:paraId="74FBC45C" w14:textId="120967B3" w:rsidR="00871195" w:rsidRDefault="00871195" w:rsidP="00871195"/>
    <w:p w14:paraId="0DDBEAB0" w14:textId="5ED5C4AB" w:rsidR="00871195" w:rsidRDefault="00871195" w:rsidP="00871195"/>
    <w:p w14:paraId="49E6AAF6" w14:textId="67C37EDA" w:rsidR="00871195" w:rsidRDefault="00871195" w:rsidP="00871195"/>
    <w:p w14:paraId="51E65DD7" w14:textId="1704E752" w:rsidR="00871195" w:rsidRDefault="00871195" w:rsidP="00871195"/>
    <w:p w14:paraId="322AF59A" w14:textId="1B07F343" w:rsidR="00871195" w:rsidRDefault="00871195" w:rsidP="00871195"/>
    <w:p w14:paraId="1B0C0977" w14:textId="14B66004" w:rsidR="00871195" w:rsidRDefault="00871195" w:rsidP="00871195"/>
    <w:p w14:paraId="338E420F" w14:textId="6CF3AE73" w:rsidR="00871195" w:rsidRDefault="00871195" w:rsidP="00871195"/>
    <w:p w14:paraId="5B786371" w14:textId="4B5A492C" w:rsidR="00871195" w:rsidRDefault="00871195" w:rsidP="00871195"/>
    <w:p w14:paraId="61B60D13" w14:textId="090B4F5C" w:rsidR="00871195" w:rsidRDefault="00871195" w:rsidP="00871195"/>
    <w:p w14:paraId="11F03A04" w14:textId="7DB954F0" w:rsidR="00871195" w:rsidRDefault="00871195" w:rsidP="00871195"/>
    <w:p w14:paraId="49FC70F9" w14:textId="192A7EF3" w:rsidR="00871195" w:rsidRDefault="00871195" w:rsidP="00871195"/>
    <w:p w14:paraId="0E54FFDB" w14:textId="5F4CC8B1" w:rsidR="00871195" w:rsidRDefault="00871195" w:rsidP="00871195"/>
    <w:p w14:paraId="44F017CB" w14:textId="0DFD48BD" w:rsidR="00871195" w:rsidRDefault="00871195" w:rsidP="00871195"/>
    <w:p w14:paraId="48DC461D" w14:textId="77777777" w:rsidR="002E5A1E" w:rsidRPr="00871195" w:rsidRDefault="002E5A1E" w:rsidP="00871195"/>
    <w:p w14:paraId="7AFCEACF" w14:textId="79320152" w:rsidR="00101EE7" w:rsidRPr="00101EE7" w:rsidRDefault="00101EE7" w:rsidP="002E5A1E">
      <w:pPr>
        <w:pStyle w:val="Heading1"/>
        <w:numPr>
          <w:ilvl w:val="0"/>
          <w:numId w:val="25"/>
        </w:numPr>
      </w:pPr>
      <w:bookmarkStart w:id="2" w:name="_Toc106894206"/>
      <w:r w:rsidRPr="00101EE7">
        <w:t>Introduction</w:t>
      </w:r>
      <w:bookmarkEnd w:id="0"/>
      <w:bookmarkEnd w:id="2"/>
    </w:p>
    <w:p w14:paraId="53C8F03F" w14:textId="7440D05D" w:rsidR="00101EE7" w:rsidRPr="00101EE7" w:rsidRDefault="00101EE7" w:rsidP="00101EE7">
      <w:pPr>
        <w:numPr>
          <w:ilvl w:val="1"/>
          <w:numId w:val="8"/>
        </w:numPr>
        <w:spacing w:line="360" w:lineRule="auto"/>
        <w:ind w:left="720"/>
        <w:contextualSpacing/>
        <w:jc w:val="both"/>
      </w:pPr>
      <w:r w:rsidRPr="00101EE7">
        <w:t>The Northern Ireland Human Rights Commission (</w:t>
      </w:r>
      <w:r w:rsidR="00EB52E9">
        <w:t xml:space="preserve">the </w:t>
      </w:r>
      <w:r w:rsidR="00860A8F">
        <w:t>NIHRC</w:t>
      </w:r>
      <w:r w:rsidRPr="00101EE7">
        <w:t xml:space="preserve">), pursuant to section 69(1) of the Northern Ireland Act 1998, reviews the adequacy and effectiveness of law and practice relating to the protection of human rights in </w:t>
      </w:r>
      <w:r w:rsidR="009D7AC6">
        <w:t>Northern Ireland (</w:t>
      </w:r>
      <w:r w:rsidRPr="00101EE7">
        <w:t>NI</w:t>
      </w:r>
      <w:r w:rsidR="009D7AC6">
        <w:t>)</w:t>
      </w:r>
      <w:r w:rsidRPr="00101EE7">
        <w:t xml:space="preserve">. The </w:t>
      </w:r>
      <w:r w:rsidR="0014347D">
        <w:t xml:space="preserve">NIHRC </w:t>
      </w:r>
      <w:r w:rsidRPr="00101EE7">
        <w:t>is also mandated, under section 78</w:t>
      </w:r>
      <w:proofErr w:type="gramStart"/>
      <w:r w:rsidRPr="00101EE7">
        <w:t>A(</w:t>
      </w:r>
      <w:proofErr w:type="gramEnd"/>
      <w:r w:rsidRPr="00101EE7">
        <w:t xml:space="preserve">1) to monitor the implementation of Article 2(1) of the Protocol on Ireland/NI of the European Union (EU) Withdrawal Agreement, to ensure there is no diminution of rights protected in the ‘Rights, Safeguards and Equality of Opportunity’ chapter of the Belfast (Good Friday) Agreement 1998 as a result of the United Kingdom’s withdrawal from the </w:t>
      </w:r>
      <w:r w:rsidR="006903B0">
        <w:t>EU</w:t>
      </w:r>
      <w:r w:rsidRPr="00101EE7">
        <w:t xml:space="preserve">. In accordance with these functions the following statutory advice is submitted to the </w:t>
      </w:r>
      <w:r>
        <w:t xml:space="preserve">Department of Health </w:t>
      </w:r>
      <w:r w:rsidRPr="00101EE7">
        <w:t xml:space="preserve">in response to its consultation on </w:t>
      </w:r>
      <w:r>
        <w:t xml:space="preserve">the reform of adult social care. </w:t>
      </w:r>
    </w:p>
    <w:p w14:paraId="5EB59433" w14:textId="77777777" w:rsidR="00101EE7" w:rsidRPr="00101EE7" w:rsidRDefault="00101EE7" w:rsidP="00101EE7">
      <w:pPr>
        <w:spacing w:line="360" w:lineRule="auto"/>
        <w:ind w:left="1440"/>
        <w:contextualSpacing/>
        <w:jc w:val="both"/>
      </w:pPr>
    </w:p>
    <w:p w14:paraId="77035745" w14:textId="506F9FD8" w:rsidR="00101EE7" w:rsidRDefault="00101EE7" w:rsidP="00101EE7">
      <w:pPr>
        <w:numPr>
          <w:ilvl w:val="1"/>
          <w:numId w:val="8"/>
        </w:numPr>
        <w:spacing w:line="360" w:lineRule="auto"/>
        <w:ind w:left="720"/>
        <w:contextualSpacing/>
        <w:jc w:val="both"/>
      </w:pPr>
      <w:r w:rsidRPr="00101EE7">
        <w:t xml:space="preserve">The </w:t>
      </w:r>
      <w:r w:rsidR="0014347D">
        <w:t xml:space="preserve">NIHRC </w:t>
      </w:r>
      <w:r w:rsidRPr="00101EE7">
        <w:t>bases its advice on the full range of internationally accepted human rights standards, including the European Convention on Human Rights, as incorporated by the Human Rights Act 1998 and the treaty obligations of the Council of Europe (</w:t>
      </w:r>
      <w:proofErr w:type="spellStart"/>
      <w:r w:rsidRPr="00101EE7">
        <w:t>CoE</w:t>
      </w:r>
      <w:proofErr w:type="spellEnd"/>
      <w:r w:rsidRPr="00101EE7">
        <w:t>) and United Nations (UN) systems.</w:t>
      </w:r>
      <w:r w:rsidRPr="00101EE7">
        <w:rPr>
          <w:vertAlign w:val="superscript"/>
        </w:rPr>
        <w:footnoteReference w:id="2"/>
      </w:r>
      <w:r w:rsidRPr="00101EE7">
        <w:t xml:space="preserve"> The relevant regional and international treaties in this context include:</w:t>
      </w:r>
    </w:p>
    <w:p w14:paraId="5637DDBD" w14:textId="77777777" w:rsidR="00FE2142" w:rsidRDefault="00FE2142" w:rsidP="00FE2142">
      <w:pPr>
        <w:pStyle w:val="ListParagraph"/>
      </w:pPr>
    </w:p>
    <w:p w14:paraId="38427640" w14:textId="503665C1" w:rsidR="00FE2142" w:rsidRPr="00FE2142" w:rsidRDefault="00FE2142" w:rsidP="00657BE9">
      <w:pPr>
        <w:pStyle w:val="ListParagraph"/>
        <w:numPr>
          <w:ilvl w:val="0"/>
          <w:numId w:val="14"/>
        </w:numPr>
      </w:pPr>
      <w:r w:rsidRPr="00FE2142">
        <w:t xml:space="preserve">European Convention on Human Rights </w:t>
      </w:r>
      <w:r w:rsidR="007933F6">
        <w:t xml:space="preserve">1950 </w:t>
      </w:r>
      <w:r w:rsidRPr="00FE2142">
        <w:t>(ECHR);</w:t>
      </w:r>
      <w:r w:rsidR="009461D8">
        <w:rPr>
          <w:rStyle w:val="FootnoteReference"/>
        </w:rPr>
        <w:footnoteReference w:id="3"/>
      </w:r>
    </w:p>
    <w:p w14:paraId="68BF3FE0" w14:textId="5B673F27" w:rsidR="00FE2142" w:rsidRPr="00FE2142" w:rsidRDefault="00FE2142" w:rsidP="00657BE9">
      <w:pPr>
        <w:pStyle w:val="ListParagraph"/>
        <w:numPr>
          <w:ilvl w:val="0"/>
          <w:numId w:val="14"/>
        </w:numPr>
      </w:pPr>
      <w:r w:rsidRPr="00FE2142">
        <w:t xml:space="preserve">UN International Covenant on Civil and Political Rights </w:t>
      </w:r>
      <w:r w:rsidR="007933F6">
        <w:t xml:space="preserve">1966 </w:t>
      </w:r>
      <w:r w:rsidRPr="00FE2142">
        <w:t>(UN ICCPR);</w:t>
      </w:r>
      <w:r w:rsidR="009461D8">
        <w:rPr>
          <w:rStyle w:val="FootnoteReference"/>
        </w:rPr>
        <w:footnoteReference w:id="4"/>
      </w:r>
      <w:r w:rsidRPr="00FE2142">
        <w:t xml:space="preserve">  </w:t>
      </w:r>
    </w:p>
    <w:p w14:paraId="0C027149" w14:textId="26554121" w:rsidR="00FE2142" w:rsidRDefault="00FE2142" w:rsidP="00657BE9">
      <w:pPr>
        <w:pStyle w:val="ListParagraph"/>
        <w:numPr>
          <w:ilvl w:val="0"/>
          <w:numId w:val="14"/>
        </w:numPr>
      </w:pPr>
      <w:r w:rsidRPr="00FE2142">
        <w:lastRenderedPageBreak/>
        <w:t xml:space="preserve">UN International Covenant on Economic, Social and Cultural Rights </w:t>
      </w:r>
      <w:r w:rsidR="007933F6">
        <w:t xml:space="preserve">1966 </w:t>
      </w:r>
      <w:r w:rsidRPr="00FE2142">
        <w:t>(UN ICESCR);</w:t>
      </w:r>
      <w:r w:rsidR="009461D8">
        <w:rPr>
          <w:rStyle w:val="FootnoteReference"/>
        </w:rPr>
        <w:footnoteReference w:id="5"/>
      </w:r>
      <w:r w:rsidRPr="00FE2142">
        <w:t xml:space="preserve"> </w:t>
      </w:r>
    </w:p>
    <w:p w14:paraId="2FB04CE1" w14:textId="62C8BF29" w:rsidR="005531DE" w:rsidRPr="00FE2142" w:rsidRDefault="005531DE" w:rsidP="00657BE9">
      <w:pPr>
        <w:pStyle w:val="ListParagraph"/>
        <w:numPr>
          <w:ilvl w:val="0"/>
          <w:numId w:val="14"/>
        </w:numPr>
      </w:pPr>
      <w:r>
        <w:t>UN Convention on the Rights of the Child 1989 (UN CRC),</w:t>
      </w:r>
      <w:r>
        <w:rPr>
          <w:rStyle w:val="FootnoteReference"/>
        </w:rPr>
        <w:footnoteReference w:id="6"/>
      </w:r>
      <w:r>
        <w:t xml:space="preserve"> and</w:t>
      </w:r>
    </w:p>
    <w:p w14:paraId="54C0A920" w14:textId="4CEE3995" w:rsidR="00FE2142" w:rsidRDefault="00FE2142" w:rsidP="00657BE9">
      <w:pPr>
        <w:pStyle w:val="ListParagraph"/>
        <w:numPr>
          <w:ilvl w:val="0"/>
          <w:numId w:val="14"/>
        </w:numPr>
      </w:pPr>
      <w:r w:rsidRPr="00FE2142">
        <w:t>UN Convention on the Rights of Pers</w:t>
      </w:r>
      <w:r w:rsidR="009461D8">
        <w:t>ons with Disabilities</w:t>
      </w:r>
      <w:r w:rsidR="007933F6">
        <w:t xml:space="preserve"> 2006</w:t>
      </w:r>
      <w:r w:rsidR="009461D8">
        <w:t xml:space="preserve"> (UN CRPD)</w:t>
      </w:r>
      <w:r w:rsidR="005531DE">
        <w:t>.</w:t>
      </w:r>
      <w:r w:rsidR="009461D8">
        <w:rPr>
          <w:rStyle w:val="FootnoteReference"/>
        </w:rPr>
        <w:footnoteReference w:id="7"/>
      </w:r>
      <w:r w:rsidR="00FF3195">
        <w:t xml:space="preserve"> </w:t>
      </w:r>
    </w:p>
    <w:p w14:paraId="722B5991" w14:textId="3751506E" w:rsidR="00FE2142" w:rsidRDefault="00FE2142" w:rsidP="000F45DA">
      <w:pPr>
        <w:spacing w:line="360" w:lineRule="auto"/>
        <w:contextualSpacing/>
        <w:jc w:val="both"/>
      </w:pPr>
    </w:p>
    <w:p w14:paraId="0418034B" w14:textId="77777777" w:rsidR="00101EE7" w:rsidRPr="007933F6" w:rsidRDefault="00101EE7" w:rsidP="007933F6"/>
    <w:p w14:paraId="28431237" w14:textId="77777777" w:rsidR="00101EE7" w:rsidRDefault="00101EE7" w:rsidP="00101EE7">
      <w:pPr>
        <w:pStyle w:val="ListParagraph"/>
        <w:numPr>
          <w:ilvl w:val="1"/>
          <w:numId w:val="8"/>
        </w:numPr>
        <w:spacing w:line="360" w:lineRule="auto"/>
        <w:ind w:left="720"/>
        <w:jc w:val="both"/>
      </w:pPr>
      <w:r w:rsidRPr="00101EE7">
        <w:t xml:space="preserve">In addition, there exists a body of ‘soft law’ developed by human rights bodies of the </w:t>
      </w:r>
      <w:proofErr w:type="spellStart"/>
      <w:r w:rsidRPr="00101EE7">
        <w:t>CoE</w:t>
      </w:r>
      <w:proofErr w:type="spellEnd"/>
      <w:r w:rsidRPr="00101EE7">
        <w:t xml:space="preserve"> and UN. These declarations and principles are non-</w:t>
      </w:r>
      <w:proofErr w:type="gramStart"/>
      <w:r w:rsidRPr="00101EE7">
        <w:t>binding, but</w:t>
      </w:r>
      <w:proofErr w:type="gramEnd"/>
      <w:r w:rsidRPr="00101EE7">
        <w:t xml:space="preserve"> provide further guidance in respect of specific areas. The relevant standards in this context include, inter alia:</w:t>
      </w:r>
    </w:p>
    <w:p w14:paraId="301E83C6" w14:textId="77777777" w:rsidR="00657BE9" w:rsidRDefault="00657BE9" w:rsidP="00657BE9">
      <w:pPr>
        <w:spacing w:line="339" w:lineRule="exact"/>
        <w:rPr>
          <w:rFonts w:ascii="Times New Roman" w:eastAsia="Times New Roman" w:hAnsi="Times New Roman"/>
        </w:rPr>
      </w:pPr>
    </w:p>
    <w:p w14:paraId="54BBC69A" w14:textId="553EA228" w:rsidR="00657BE9" w:rsidRDefault="00940A99" w:rsidP="00657BE9">
      <w:pPr>
        <w:spacing w:line="2" w:lineRule="exact"/>
        <w:rPr>
          <w:rFonts w:eastAsia="Verdana"/>
        </w:rPr>
      </w:pPr>
      <w:r>
        <w:rPr>
          <w:rFonts w:eastAsia="Verdana"/>
          <w:color w:val="000000"/>
        </w:rPr>
        <w:t xml:space="preserve"> </w:t>
      </w:r>
    </w:p>
    <w:p w14:paraId="112AC6E5" w14:textId="457C3ECB" w:rsidR="009F7C66" w:rsidRDefault="009F7C66" w:rsidP="00657BE9">
      <w:pPr>
        <w:numPr>
          <w:ilvl w:val="0"/>
          <w:numId w:val="13"/>
        </w:numPr>
        <w:tabs>
          <w:tab w:val="left" w:pos="1700"/>
        </w:tabs>
        <w:spacing w:line="0" w:lineRule="atLeast"/>
        <w:ind w:left="1700" w:hanging="279"/>
        <w:rPr>
          <w:rFonts w:eastAsia="Verdana"/>
        </w:rPr>
      </w:pPr>
      <w:r w:rsidRPr="009F7C66">
        <w:rPr>
          <w:rFonts w:eastAsia="Verdana"/>
        </w:rPr>
        <w:t>UN CEDAW Committee General Comment No 6</w:t>
      </w:r>
      <w:r w:rsidR="00E87C24">
        <w:rPr>
          <w:rFonts w:eastAsia="Verdana"/>
        </w:rPr>
        <w:t>;</w:t>
      </w:r>
      <w:r>
        <w:rPr>
          <w:rStyle w:val="FootnoteReference"/>
          <w:rFonts w:eastAsia="Verdana"/>
        </w:rPr>
        <w:footnoteReference w:id="8"/>
      </w:r>
    </w:p>
    <w:p w14:paraId="5311829D" w14:textId="4A81D314" w:rsidR="00940A99" w:rsidRPr="00940A99" w:rsidRDefault="00940A99" w:rsidP="00657BE9">
      <w:pPr>
        <w:numPr>
          <w:ilvl w:val="0"/>
          <w:numId w:val="13"/>
        </w:numPr>
        <w:tabs>
          <w:tab w:val="left" w:pos="1700"/>
        </w:tabs>
        <w:spacing w:line="0" w:lineRule="atLeast"/>
        <w:ind w:left="1700" w:hanging="279"/>
        <w:rPr>
          <w:rFonts w:eastAsia="Verdana"/>
        </w:rPr>
      </w:pPr>
      <w:r w:rsidRPr="00940A99">
        <w:rPr>
          <w:rFonts w:eastAsia="Verdana"/>
        </w:rPr>
        <w:t xml:space="preserve">UN </w:t>
      </w:r>
      <w:r w:rsidR="00527AF4">
        <w:rPr>
          <w:rFonts w:eastAsia="Verdana"/>
        </w:rPr>
        <w:t xml:space="preserve">ICESCR Committee </w:t>
      </w:r>
      <w:r w:rsidRPr="00940A99">
        <w:rPr>
          <w:rFonts w:eastAsia="Verdana"/>
        </w:rPr>
        <w:t>General Comment No 3</w:t>
      </w:r>
      <w:r w:rsidR="00E87C24">
        <w:rPr>
          <w:rFonts w:eastAsia="Verdana"/>
        </w:rPr>
        <w:t>;</w:t>
      </w:r>
      <w:r w:rsidR="009F7C66">
        <w:rPr>
          <w:rStyle w:val="FootnoteReference"/>
          <w:rFonts w:eastAsia="Verdana"/>
        </w:rPr>
        <w:footnoteReference w:id="9"/>
      </w:r>
    </w:p>
    <w:p w14:paraId="42BED364" w14:textId="734FAFA0" w:rsidR="00657BE9" w:rsidRDefault="00657BE9" w:rsidP="00657BE9">
      <w:pPr>
        <w:numPr>
          <w:ilvl w:val="0"/>
          <w:numId w:val="13"/>
        </w:numPr>
        <w:tabs>
          <w:tab w:val="left" w:pos="1700"/>
        </w:tabs>
        <w:spacing w:line="0" w:lineRule="atLeast"/>
        <w:ind w:left="1700" w:hanging="279"/>
        <w:rPr>
          <w:rFonts w:eastAsia="Verdana"/>
        </w:rPr>
      </w:pPr>
      <w:r>
        <w:rPr>
          <w:rFonts w:eastAsia="Verdana"/>
          <w:color w:val="232120"/>
        </w:rPr>
        <w:t>UN Principles for Older Persons;</w:t>
      </w:r>
      <w:r w:rsidR="00A50FFC">
        <w:rPr>
          <w:rStyle w:val="FootnoteReference"/>
          <w:rFonts w:eastAsia="Verdana"/>
          <w:color w:val="232120"/>
        </w:rPr>
        <w:footnoteReference w:id="10"/>
      </w:r>
    </w:p>
    <w:p w14:paraId="34DC0140" w14:textId="77777777" w:rsidR="00527AF4" w:rsidRPr="00A36A50" w:rsidRDefault="00657BE9" w:rsidP="00657BE9">
      <w:pPr>
        <w:numPr>
          <w:ilvl w:val="0"/>
          <w:numId w:val="13"/>
        </w:numPr>
        <w:tabs>
          <w:tab w:val="left" w:pos="1700"/>
        </w:tabs>
        <w:spacing w:line="246" w:lineRule="auto"/>
        <w:ind w:left="1700" w:right="180" w:hanging="279"/>
        <w:rPr>
          <w:rFonts w:eastAsia="Verdana"/>
        </w:rPr>
      </w:pPr>
      <w:r>
        <w:rPr>
          <w:rFonts w:eastAsia="Verdana"/>
          <w:color w:val="232120"/>
        </w:rPr>
        <w:t>UN Principles for the Protection of Persons with Mental Illness and the Improvement of Mental Health Care;</w:t>
      </w:r>
      <w:r w:rsidR="00A50FFC">
        <w:rPr>
          <w:rStyle w:val="FootnoteReference"/>
          <w:rFonts w:eastAsia="Verdana"/>
          <w:color w:val="232120"/>
        </w:rPr>
        <w:footnoteReference w:id="11"/>
      </w:r>
    </w:p>
    <w:p w14:paraId="2DC08E2D" w14:textId="1430CF77" w:rsidR="00657BE9" w:rsidRPr="00A36A50" w:rsidRDefault="009F7C66" w:rsidP="00657BE9">
      <w:pPr>
        <w:numPr>
          <w:ilvl w:val="0"/>
          <w:numId w:val="13"/>
        </w:numPr>
        <w:tabs>
          <w:tab w:val="left" w:pos="1700"/>
        </w:tabs>
        <w:spacing w:line="246" w:lineRule="auto"/>
        <w:ind w:left="1700" w:right="180" w:hanging="279"/>
        <w:rPr>
          <w:rFonts w:eastAsia="Verdana"/>
        </w:rPr>
      </w:pPr>
      <w:r w:rsidRPr="009F7C66">
        <w:rPr>
          <w:rFonts w:eastAsia="Verdana"/>
          <w:color w:val="232120"/>
        </w:rPr>
        <w:t xml:space="preserve">UN ICESCR Committee </w:t>
      </w:r>
      <w:r>
        <w:rPr>
          <w:rFonts w:eastAsia="Verdana"/>
          <w:color w:val="232120"/>
        </w:rPr>
        <w:t>General Comment No 14;</w:t>
      </w:r>
      <w:r>
        <w:rPr>
          <w:rStyle w:val="FootnoteReference"/>
          <w:rFonts w:eastAsia="Verdana"/>
          <w:color w:val="232120"/>
        </w:rPr>
        <w:footnoteReference w:id="12"/>
      </w:r>
    </w:p>
    <w:p w14:paraId="2F93D0EA" w14:textId="177AC146" w:rsidR="00A36A50" w:rsidRPr="00A36A50" w:rsidRDefault="00A36A50" w:rsidP="00657BE9">
      <w:pPr>
        <w:numPr>
          <w:ilvl w:val="0"/>
          <w:numId w:val="13"/>
        </w:numPr>
        <w:tabs>
          <w:tab w:val="left" w:pos="1700"/>
        </w:tabs>
        <w:spacing w:line="246" w:lineRule="auto"/>
        <w:ind w:left="1700" w:right="180" w:hanging="279"/>
        <w:rPr>
          <w:rFonts w:eastAsia="Verdana"/>
        </w:rPr>
      </w:pPr>
      <w:r w:rsidRPr="00A36A50">
        <w:rPr>
          <w:rFonts w:eastAsia="Verdana"/>
        </w:rPr>
        <w:t>UN CRC Committee General Comment No 5</w:t>
      </w:r>
      <w:r>
        <w:rPr>
          <w:rFonts w:eastAsia="Verdana"/>
        </w:rPr>
        <w:t>;</w:t>
      </w:r>
      <w:r>
        <w:rPr>
          <w:rStyle w:val="FootnoteReference"/>
          <w:rFonts w:eastAsia="Verdana"/>
        </w:rPr>
        <w:footnoteReference w:id="13"/>
      </w:r>
    </w:p>
    <w:p w14:paraId="27112977" w14:textId="01F7C346" w:rsidR="009F7C66" w:rsidRDefault="009F7C66" w:rsidP="00657BE9">
      <w:pPr>
        <w:numPr>
          <w:ilvl w:val="0"/>
          <w:numId w:val="13"/>
        </w:numPr>
        <w:tabs>
          <w:tab w:val="left" w:pos="1700"/>
        </w:tabs>
        <w:spacing w:line="246" w:lineRule="auto"/>
        <w:ind w:left="1700" w:right="180" w:hanging="279"/>
        <w:rPr>
          <w:rFonts w:eastAsia="Verdana"/>
        </w:rPr>
      </w:pPr>
      <w:r w:rsidRPr="009F7C66">
        <w:rPr>
          <w:rFonts w:eastAsia="Verdana"/>
        </w:rPr>
        <w:t>UN ICESCR Committee General Comment No 20</w:t>
      </w:r>
      <w:r>
        <w:rPr>
          <w:rFonts w:eastAsia="Verdana"/>
        </w:rPr>
        <w:t>;</w:t>
      </w:r>
      <w:r>
        <w:rPr>
          <w:rStyle w:val="FootnoteReference"/>
          <w:rFonts w:eastAsia="Verdana"/>
        </w:rPr>
        <w:footnoteReference w:id="14"/>
      </w:r>
    </w:p>
    <w:p w14:paraId="4F1B2EEF" w14:textId="77777777" w:rsidR="00657BE9" w:rsidRDefault="00657BE9" w:rsidP="00657BE9">
      <w:pPr>
        <w:spacing w:line="2" w:lineRule="exact"/>
        <w:rPr>
          <w:rFonts w:eastAsia="Verdana"/>
        </w:rPr>
      </w:pPr>
    </w:p>
    <w:p w14:paraId="7DA3D401" w14:textId="67C723D9" w:rsidR="00BA3333" w:rsidRPr="00BA3333" w:rsidRDefault="00F913EC" w:rsidP="00BA3333">
      <w:pPr>
        <w:numPr>
          <w:ilvl w:val="0"/>
          <w:numId w:val="13"/>
        </w:numPr>
        <w:tabs>
          <w:tab w:val="left" w:pos="1700"/>
        </w:tabs>
        <w:spacing w:line="297" w:lineRule="auto"/>
        <w:ind w:left="1700" w:right="80" w:hanging="279"/>
        <w:rPr>
          <w:rFonts w:eastAsia="Verdana"/>
        </w:rPr>
      </w:pPr>
      <w:proofErr w:type="spellStart"/>
      <w:r>
        <w:rPr>
          <w:rFonts w:eastAsia="Verdana"/>
          <w:color w:val="232120"/>
        </w:rPr>
        <w:t>CoE</w:t>
      </w:r>
      <w:proofErr w:type="spellEnd"/>
      <w:r w:rsidR="00657BE9">
        <w:rPr>
          <w:rFonts w:eastAsia="Verdana"/>
          <w:color w:val="232120"/>
        </w:rPr>
        <w:t xml:space="preserve"> Committee of Ministers on the promotion of human rights of older persons</w:t>
      </w:r>
      <w:r w:rsidR="00940A99">
        <w:rPr>
          <w:rFonts w:eastAsia="Verdana"/>
          <w:color w:val="232120"/>
        </w:rPr>
        <w:t>;</w:t>
      </w:r>
      <w:r w:rsidR="00A50FFC">
        <w:rPr>
          <w:rStyle w:val="FootnoteReference"/>
          <w:rFonts w:eastAsia="Verdana"/>
          <w:color w:val="232120"/>
        </w:rPr>
        <w:footnoteReference w:id="15"/>
      </w:r>
    </w:p>
    <w:p w14:paraId="738FAA69" w14:textId="0376065D" w:rsidR="00BA3333" w:rsidRDefault="00BA3333" w:rsidP="00BA3333">
      <w:pPr>
        <w:numPr>
          <w:ilvl w:val="0"/>
          <w:numId w:val="13"/>
        </w:numPr>
        <w:tabs>
          <w:tab w:val="left" w:pos="1700"/>
        </w:tabs>
        <w:spacing w:line="297" w:lineRule="auto"/>
        <w:ind w:left="1700" w:right="80" w:hanging="279"/>
        <w:rPr>
          <w:rFonts w:eastAsia="Verdana"/>
        </w:rPr>
      </w:pPr>
      <w:r w:rsidRPr="00BA3333">
        <w:rPr>
          <w:rFonts w:eastAsia="Verdana"/>
        </w:rPr>
        <w:t xml:space="preserve">UN </w:t>
      </w:r>
      <w:r w:rsidR="00527AF4">
        <w:rPr>
          <w:rFonts w:eastAsia="Verdana"/>
        </w:rPr>
        <w:t>CRPD Committee</w:t>
      </w:r>
      <w:r w:rsidRPr="00BA3333">
        <w:rPr>
          <w:rFonts w:eastAsia="Verdana"/>
        </w:rPr>
        <w:t xml:space="preserve"> 2017 Concluding Observations to the UK</w:t>
      </w:r>
      <w:r w:rsidR="009F7C66">
        <w:rPr>
          <w:rFonts w:eastAsia="Verdana"/>
        </w:rPr>
        <w:t>;</w:t>
      </w:r>
      <w:r w:rsidR="00940A99" w:rsidRPr="00940A99">
        <w:rPr>
          <w:rFonts w:eastAsia="Verdana"/>
          <w:vertAlign w:val="superscript"/>
        </w:rPr>
        <w:footnoteReference w:id="16"/>
      </w:r>
    </w:p>
    <w:p w14:paraId="61DEC9C4" w14:textId="157B31EA" w:rsidR="00A36A50" w:rsidRDefault="00A36A50" w:rsidP="00BA3333">
      <w:pPr>
        <w:numPr>
          <w:ilvl w:val="0"/>
          <w:numId w:val="13"/>
        </w:numPr>
        <w:tabs>
          <w:tab w:val="left" w:pos="1700"/>
        </w:tabs>
        <w:spacing w:line="297" w:lineRule="auto"/>
        <w:ind w:left="1700" w:right="80" w:hanging="279"/>
        <w:rPr>
          <w:rFonts w:eastAsia="Verdana"/>
        </w:rPr>
      </w:pPr>
      <w:r w:rsidRPr="00A36A50">
        <w:rPr>
          <w:rFonts w:eastAsia="Verdana"/>
        </w:rPr>
        <w:t>UN CRPD Committee General Comment No 5</w:t>
      </w:r>
      <w:r w:rsidR="00E87CC2">
        <w:rPr>
          <w:rFonts w:eastAsia="Verdana"/>
        </w:rPr>
        <w:t>;</w:t>
      </w:r>
      <w:r w:rsidRPr="00A36A50">
        <w:rPr>
          <w:rFonts w:eastAsia="Verdana"/>
          <w:vertAlign w:val="superscript"/>
        </w:rPr>
        <w:footnoteReference w:id="17"/>
      </w:r>
      <w:r w:rsidR="00E87CC2">
        <w:rPr>
          <w:rFonts w:eastAsia="Verdana"/>
        </w:rPr>
        <w:t xml:space="preserve"> and</w:t>
      </w:r>
    </w:p>
    <w:p w14:paraId="763B41FE" w14:textId="76970441" w:rsidR="009F7C66" w:rsidRPr="00BA3333" w:rsidRDefault="009F7C66" w:rsidP="00BA3333">
      <w:pPr>
        <w:numPr>
          <w:ilvl w:val="0"/>
          <w:numId w:val="13"/>
        </w:numPr>
        <w:tabs>
          <w:tab w:val="left" w:pos="1700"/>
        </w:tabs>
        <w:spacing w:line="297" w:lineRule="auto"/>
        <w:ind w:left="1700" w:right="80" w:hanging="279"/>
        <w:rPr>
          <w:rFonts w:eastAsia="Verdana"/>
        </w:rPr>
      </w:pPr>
      <w:r w:rsidRPr="009F7C66">
        <w:rPr>
          <w:rFonts w:eastAsia="Verdana"/>
        </w:rPr>
        <w:lastRenderedPageBreak/>
        <w:t>UN CRPD Committee General Comment No 7</w:t>
      </w:r>
      <w:r w:rsidR="00E87CC2">
        <w:rPr>
          <w:rFonts w:eastAsia="Verdana"/>
        </w:rPr>
        <w:t>.</w:t>
      </w:r>
      <w:r>
        <w:rPr>
          <w:rStyle w:val="FootnoteReference"/>
          <w:rFonts w:eastAsia="Verdana"/>
        </w:rPr>
        <w:footnoteReference w:id="18"/>
      </w:r>
    </w:p>
    <w:p w14:paraId="37D56378" w14:textId="77777777" w:rsidR="00101EE7" w:rsidRPr="00101EE7" w:rsidRDefault="00101EE7" w:rsidP="00101EE7">
      <w:pPr>
        <w:pStyle w:val="ListParagraph"/>
        <w:spacing w:line="360" w:lineRule="auto"/>
        <w:jc w:val="both"/>
      </w:pPr>
    </w:p>
    <w:p w14:paraId="1055C492" w14:textId="49770B11" w:rsidR="00101EE7" w:rsidRDefault="00101EE7" w:rsidP="00101EE7">
      <w:pPr>
        <w:pStyle w:val="ListParagraph"/>
        <w:numPr>
          <w:ilvl w:val="1"/>
          <w:numId w:val="8"/>
        </w:numPr>
        <w:spacing w:line="360" w:lineRule="auto"/>
        <w:ind w:left="709"/>
        <w:jc w:val="both"/>
      </w:pPr>
      <w:r w:rsidRPr="00101EE7">
        <w:t xml:space="preserve">The </w:t>
      </w:r>
      <w:r w:rsidR="00073240">
        <w:t>NIHRC</w:t>
      </w:r>
      <w:r w:rsidR="00073240" w:rsidRPr="00101EE7">
        <w:t xml:space="preserve"> </w:t>
      </w:r>
      <w:r w:rsidRPr="00101EE7">
        <w:t xml:space="preserve">further advises on the UK Government commitment in Protocol Article 2(1) to ensure there is no diminution of rights, </w:t>
      </w:r>
      <w:proofErr w:type="gramStart"/>
      <w:r w:rsidRPr="00101EE7">
        <w:t>safeguards</w:t>
      </w:r>
      <w:proofErr w:type="gramEnd"/>
      <w:r w:rsidRPr="00101EE7">
        <w:t xml:space="preserve"> and equality of opportunity in the relevant section of the Belfast (Good Friday) Agreement as a result of the UK’s withdrawal from the EU. This is given effect in UK law by section 7A of the EU (Withdrawal) Act 2018. In addition, Section 6 of the Northern Ireland Act 1998 provides that the NI Assembly is prohibited from making any law which is incompatible with Protocol Article 2. Section 24 of the 1998 Act also provides that all acts of the Department should be com</w:t>
      </w:r>
      <w:r w:rsidR="00CB2CAB">
        <w:t xml:space="preserve">patible with Protocol Article 2. </w:t>
      </w:r>
    </w:p>
    <w:p w14:paraId="4562BD93" w14:textId="77777777" w:rsidR="00CB2CAB" w:rsidRDefault="00CB2CAB" w:rsidP="00CB2CAB">
      <w:pPr>
        <w:pStyle w:val="ListParagraph"/>
        <w:spacing w:line="360" w:lineRule="auto"/>
        <w:ind w:left="709"/>
        <w:jc w:val="both"/>
      </w:pPr>
    </w:p>
    <w:p w14:paraId="67269237" w14:textId="18311476" w:rsidR="002E5A1E" w:rsidRDefault="00CB2CAB" w:rsidP="002E5A1E">
      <w:pPr>
        <w:pStyle w:val="ListParagraph"/>
        <w:numPr>
          <w:ilvl w:val="1"/>
          <w:numId w:val="8"/>
        </w:numPr>
        <w:spacing w:line="360" w:lineRule="auto"/>
        <w:ind w:left="709"/>
        <w:jc w:val="both"/>
      </w:pPr>
      <w:r>
        <w:t xml:space="preserve">The </w:t>
      </w:r>
      <w:r w:rsidR="00073240">
        <w:t xml:space="preserve">NIHRC </w:t>
      </w:r>
      <w:r>
        <w:t xml:space="preserve">welcomes the opportunity to respond to the Department of Health’s consultation on the reform of adult social care. The </w:t>
      </w:r>
      <w:r w:rsidR="00073240">
        <w:t xml:space="preserve">NIHRC </w:t>
      </w:r>
      <w:r>
        <w:t xml:space="preserve">has sought to highlight relevant human rights standards and principles where they may be of assistance in developing the new adult social care strategy. The </w:t>
      </w:r>
      <w:r w:rsidR="00073240">
        <w:t xml:space="preserve">NIHRC </w:t>
      </w:r>
      <w:r>
        <w:t>wi</w:t>
      </w:r>
      <w:r w:rsidR="00F0711D">
        <w:t xml:space="preserve">ll provide some general comments on the consultation document referencing, where relevant, </w:t>
      </w:r>
      <w:r w:rsidR="00FA5B56">
        <w:t>examples from the</w:t>
      </w:r>
      <w:r w:rsidR="00F0711D">
        <w:t xml:space="preserve"> 48 proposed actions. </w:t>
      </w:r>
    </w:p>
    <w:p w14:paraId="6D7E8FC2" w14:textId="77777777" w:rsidR="002E5A1E" w:rsidRPr="002E5A1E" w:rsidRDefault="002E5A1E" w:rsidP="002E5A1E">
      <w:pPr>
        <w:pStyle w:val="ListParagraph"/>
        <w:spacing w:line="360" w:lineRule="auto"/>
        <w:ind w:left="709"/>
        <w:jc w:val="both"/>
      </w:pPr>
    </w:p>
    <w:p w14:paraId="6F6F2A75" w14:textId="4BEEFE19" w:rsidR="0062304A" w:rsidRPr="0054010B" w:rsidRDefault="009D6DA7" w:rsidP="002E5A1E">
      <w:pPr>
        <w:pStyle w:val="Heading1"/>
      </w:pPr>
      <w:bookmarkStart w:id="3" w:name="_Toc106894207"/>
      <w:r>
        <w:t>2.0</w:t>
      </w:r>
      <w:r>
        <w:tab/>
      </w:r>
      <w:r w:rsidR="00FF4B38">
        <w:t>Human Rights Standards</w:t>
      </w:r>
      <w:bookmarkEnd w:id="3"/>
    </w:p>
    <w:p w14:paraId="138C9EDE" w14:textId="77777777" w:rsidR="00560E91" w:rsidRPr="00560E91" w:rsidRDefault="00560E91" w:rsidP="00560E91">
      <w:pPr>
        <w:pStyle w:val="ListParagraph"/>
        <w:numPr>
          <w:ilvl w:val="0"/>
          <w:numId w:val="8"/>
        </w:numPr>
        <w:spacing w:line="360" w:lineRule="auto"/>
        <w:jc w:val="both"/>
        <w:rPr>
          <w:vanish/>
        </w:rPr>
      </w:pPr>
    </w:p>
    <w:p w14:paraId="16BCC8E9" w14:textId="73DD8036" w:rsidR="00657BE9" w:rsidRDefault="005E067A" w:rsidP="00560E91">
      <w:pPr>
        <w:pStyle w:val="ListParagraph"/>
        <w:numPr>
          <w:ilvl w:val="1"/>
          <w:numId w:val="8"/>
        </w:numPr>
        <w:spacing w:line="360" w:lineRule="auto"/>
        <w:ind w:left="709"/>
        <w:jc w:val="both"/>
      </w:pPr>
      <w:r w:rsidRPr="0054010B">
        <w:t>Social care engages a range of rights outlined in the ECHR. This includes the</w:t>
      </w:r>
      <w:r w:rsidR="00C92EC3" w:rsidRPr="0054010B">
        <w:t xml:space="preserve"> right to life</w:t>
      </w:r>
      <w:r w:rsidR="00657BE9" w:rsidRPr="0054010B">
        <w:t xml:space="preserve"> (Article 2), the prohibition on torture, cruel, </w:t>
      </w:r>
      <w:proofErr w:type="gramStart"/>
      <w:r w:rsidR="00657BE9" w:rsidRPr="0054010B">
        <w:t>inhuman</w:t>
      </w:r>
      <w:proofErr w:type="gramEnd"/>
      <w:r w:rsidR="00657BE9" w:rsidRPr="0054010B">
        <w:t xml:space="preserve"> and degrading treatment (Article 3), the right to liberty (Article 5</w:t>
      </w:r>
      <w:r w:rsidR="00C92EC3" w:rsidRPr="0054010B">
        <w:t xml:space="preserve">), </w:t>
      </w:r>
      <w:r w:rsidR="00657BE9" w:rsidRPr="0054010B">
        <w:t>the right to private and family life (Article 8), and the prohibition o</w:t>
      </w:r>
      <w:r w:rsidR="00C92EC3" w:rsidRPr="0054010B">
        <w:t>f</w:t>
      </w:r>
      <w:r w:rsidR="00657BE9" w:rsidRPr="0054010B">
        <w:t xml:space="preserve"> discrimination (Article 14).</w:t>
      </w:r>
    </w:p>
    <w:p w14:paraId="7141D0A1" w14:textId="77777777" w:rsidR="000B42AE" w:rsidRDefault="000B42AE" w:rsidP="000B42AE">
      <w:pPr>
        <w:pStyle w:val="ListParagraph"/>
        <w:spacing w:line="360" w:lineRule="auto"/>
        <w:ind w:left="709"/>
        <w:jc w:val="both"/>
      </w:pPr>
    </w:p>
    <w:p w14:paraId="6A745726" w14:textId="695871AA" w:rsidR="000B42AE" w:rsidRPr="000B42AE" w:rsidRDefault="00C92EC3" w:rsidP="000B42AE">
      <w:pPr>
        <w:pStyle w:val="ListParagraph"/>
        <w:numPr>
          <w:ilvl w:val="1"/>
          <w:numId w:val="8"/>
        </w:numPr>
        <w:spacing w:line="360" w:lineRule="auto"/>
        <w:ind w:left="709"/>
        <w:jc w:val="both"/>
      </w:pPr>
      <w:r w:rsidRPr="000B42AE">
        <w:lastRenderedPageBreak/>
        <w:t xml:space="preserve">Social care </w:t>
      </w:r>
      <w:r w:rsidR="005E067A" w:rsidRPr="000B42AE">
        <w:t xml:space="preserve">further engages </w:t>
      </w:r>
      <w:r w:rsidR="00046F0A" w:rsidRPr="000B42AE">
        <w:t>several</w:t>
      </w:r>
      <w:r w:rsidR="005E067A" w:rsidRPr="000B42AE">
        <w:t xml:space="preserve"> rights</w:t>
      </w:r>
      <w:r w:rsidRPr="000B42AE">
        <w:t xml:space="preserve"> outlined in international treaties which have been ratified by the UK.</w:t>
      </w:r>
      <w:r w:rsidR="000B42AE" w:rsidRPr="000B42AE">
        <w:t xml:space="preserve"> </w:t>
      </w:r>
      <w:r w:rsidR="009D7AC6" w:rsidRPr="000B42AE">
        <w:t>A</w:t>
      </w:r>
      <w:r w:rsidRPr="000B42AE">
        <w:t xml:space="preserve">rticle 12 of </w:t>
      </w:r>
      <w:r w:rsidR="00A2719D" w:rsidRPr="000B42AE">
        <w:t>UN ICESCR protects the right to the highest attainable standard of physical and mental health</w:t>
      </w:r>
      <w:r w:rsidR="000B42AE">
        <w:t xml:space="preserve">. </w:t>
      </w:r>
      <w:r w:rsidR="0090329A">
        <w:t xml:space="preserve">In the context of the </w:t>
      </w:r>
      <w:r w:rsidR="0045205B">
        <w:t>latter right</w:t>
      </w:r>
      <w:r w:rsidR="0090329A">
        <w:t>,</w:t>
      </w:r>
      <w:r w:rsidR="00DD1741">
        <w:t xml:space="preserve"> </w:t>
      </w:r>
      <w:r w:rsidR="0045205B">
        <w:t xml:space="preserve">Article 2 of the UN ICESCR </w:t>
      </w:r>
      <w:r w:rsidR="00934519">
        <w:t>requires that the UK “takes steps… to the maximum of its available resources</w:t>
      </w:r>
      <w:r w:rsidR="008C49BA">
        <w:t xml:space="preserve">, with a view to </w:t>
      </w:r>
      <w:r w:rsidR="002749B9">
        <w:t xml:space="preserve">achieving </w:t>
      </w:r>
      <w:r w:rsidR="008C49BA">
        <w:t>progressively the full realisation</w:t>
      </w:r>
      <w:r w:rsidR="002749B9">
        <w:t>… [of this right] by all appropriate means”.</w:t>
      </w:r>
      <w:r w:rsidR="00AB026C">
        <w:t xml:space="preserve"> </w:t>
      </w:r>
      <w:r w:rsidR="002749B9">
        <w:t xml:space="preserve">The UN ICESCR Committee </w:t>
      </w:r>
      <w:r w:rsidR="00F84E33">
        <w:t>clarifies that “such steps should be deliberate, concrete</w:t>
      </w:r>
      <w:r w:rsidR="00CA6324">
        <w:t xml:space="preserve"> and targeted as clearly as possible towards meeting the obligations” contained within this right</w:t>
      </w:r>
      <w:r w:rsidR="00E64B14">
        <w:t>”</w:t>
      </w:r>
      <w:r w:rsidR="00CA6324">
        <w:t>.</w:t>
      </w:r>
      <w:r w:rsidR="00CA6324">
        <w:rPr>
          <w:rStyle w:val="FootnoteReference"/>
        </w:rPr>
        <w:footnoteReference w:id="19"/>
      </w:r>
      <w:r w:rsidR="00F84E33">
        <w:t xml:space="preserve"> </w:t>
      </w:r>
      <w:r w:rsidR="00E64B14">
        <w:t xml:space="preserve">These steps should also be </w:t>
      </w:r>
      <w:r w:rsidR="00FC1F67">
        <w:t>taken “expeditiously and effectively as possible” towards fulfilment of the right.</w:t>
      </w:r>
      <w:r w:rsidR="00FC1F67">
        <w:rPr>
          <w:rStyle w:val="FootnoteReference"/>
        </w:rPr>
        <w:footnoteReference w:id="20"/>
      </w:r>
      <w:r w:rsidR="00FC1F67">
        <w:t xml:space="preserve"> </w:t>
      </w:r>
      <w:r w:rsidR="00B3037B">
        <w:t>Furthermore, “any deliberately retrogressive measures</w:t>
      </w:r>
      <w:r w:rsidR="000F1A4E">
        <w:t>… require the most careful consideration” and “need to be fully justified</w:t>
      </w:r>
      <w:r w:rsidR="00573217">
        <w:t>” an</w:t>
      </w:r>
      <w:r w:rsidR="00F4378B">
        <w:t xml:space="preserve">d “in the context of </w:t>
      </w:r>
      <w:r w:rsidR="002B347E">
        <w:t>the full use of the maximum available resources”.</w:t>
      </w:r>
      <w:r w:rsidR="002B347E">
        <w:rPr>
          <w:rStyle w:val="FootnoteReference"/>
        </w:rPr>
        <w:footnoteReference w:id="21"/>
      </w:r>
      <w:r w:rsidR="002B347E">
        <w:t xml:space="preserve"> </w:t>
      </w:r>
      <w:r w:rsidR="0055470C">
        <w:t xml:space="preserve">The UN ICESCR Committee </w:t>
      </w:r>
      <w:r w:rsidR="006D768E">
        <w:t xml:space="preserve">also </w:t>
      </w:r>
      <w:r w:rsidR="0055470C">
        <w:t xml:space="preserve">clarifies that </w:t>
      </w:r>
      <w:r w:rsidR="00D71C7A">
        <w:t>“the guarantee that the right will be exercised without discrimination of any kind”</w:t>
      </w:r>
      <w:r w:rsidR="005A21A0">
        <w:t xml:space="preserve"> </w:t>
      </w:r>
      <w:r w:rsidR="006D768E">
        <w:t xml:space="preserve">should be </w:t>
      </w:r>
      <w:r w:rsidR="00292DE5">
        <w:t>given “immediate effect”</w:t>
      </w:r>
      <w:r w:rsidR="005A21A0">
        <w:t>.</w:t>
      </w:r>
      <w:r w:rsidR="00292DE5">
        <w:rPr>
          <w:rStyle w:val="FootnoteReference"/>
        </w:rPr>
        <w:footnoteReference w:id="22"/>
      </w:r>
    </w:p>
    <w:p w14:paraId="3C410FA4" w14:textId="77777777" w:rsidR="000B42AE" w:rsidRPr="000B42AE" w:rsidRDefault="000B42AE" w:rsidP="000B42AE">
      <w:pPr>
        <w:pStyle w:val="ListParagraph"/>
        <w:spacing w:line="360" w:lineRule="auto"/>
        <w:ind w:left="709"/>
        <w:jc w:val="both"/>
      </w:pPr>
    </w:p>
    <w:p w14:paraId="58C21C6B" w14:textId="4E655DC6" w:rsidR="00B36C65" w:rsidRDefault="00B36C65" w:rsidP="0054010B">
      <w:pPr>
        <w:pStyle w:val="ListParagraph"/>
        <w:numPr>
          <w:ilvl w:val="1"/>
          <w:numId w:val="8"/>
        </w:numPr>
        <w:spacing w:line="360" w:lineRule="auto"/>
        <w:ind w:left="709"/>
        <w:jc w:val="both"/>
      </w:pPr>
      <w:r>
        <w:t xml:space="preserve">Consideration should also be given to </w:t>
      </w:r>
      <w:r w:rsidRPr="000B42AE">
        <w:t>Article 12 of the UN ICCPR</w:t>
      </w:r>
      <w:r w:rsidR="00515429">
        <w:t xml:space="preserve"> which</w:t>
      </w:r>
      <w:r w:rsidRPr="000B42AE">
        <w:t xml:space="preserve"> protects the right to liberty of movement and freedom to choose one’s residence</w:t>
      </w:r>
      <w:r>
        <w:t>.</w:t>
      </w:r>
    </w:p>
    <w:p w14:paraId="2F9E15D4" w14:textId="5EB82075" w:rsidR="00B36C65" w:rsidRDefault="00B36C65" w:rsidP="00B36C65">
      <w:pPr>
        <w:pStyle w:val="ListParagraph"/>
        <w:spacing w:line="360" w:lineRule="auto"/>
        <w:ind w:left="709"/>
        <w:jc w:val="both"/>
      </w:pPr>
      <w:r w:rsidRPr="000B42AE">
        <w:t xml:space="preserve"> </w:t>
      </w:r>
    </w:p>
    <w:p w14:paraId="335CBED1" w14:textId="35F377CB" w:rsidR="00C92EC3" w:rsidRPr="0054010B" w:rsidRDefault="00FA5B56" w:rsidP="0054010B">
      <w:pPr>
        <w:pStyle w:val="ListParagraph"/>
        <w:numPr>
          <w:ilvl w:val="1"/>
          <w:numId w:val="8"/>
        </w:numPr>
        <w:spacing w:line="360" w:lineRule="auto"/>
        <w:ind w:left="709"/>
        <w:jc w:val="both"/>
      </w:pPr>
      <w:r w:rsidRPr="000B42AE">
        <w:t xml:space="preserve">The UN CRPD </w:t>
      </w:r>
      <w:r w:rsidR="004B1FD7" w:rsidRPr="000B42AE">
        <w:t>compels</w:t>
      </w:r>
      <w:r w:rsidRPr="000B42AE">
        <w:t xml:space="preserve"> </w:t>
      </w:r>
      <w:r w:rsidR="00571253">
        <w:t>S</w:t>
      </w:r>
      <w:r w:rsidRPr="000B42AE">
        <w:t xml:space="preserve">tates to ensure that </w:t>
      </w:r>
      <w:r w:rsidR="001B17D9">
        <w:t>persons with disabilities</w:t>
      </w:r>
      <w:r w:rsidRPr="000B42AE">
        <w:t xml:space="preserve"> are supported </w:t>
      </w:r>
      <w:r w:rsidR="005E067A" w:rsidRPr="0054010B">
        <w:rPr>
          <w:rFonts w:cs="Arial"/>
        </w:rPr>
        <w:t>to live in the community on an equal basis with others</w:t>
      </w:r>
      <w:r w:rsidR="004B1FD7" w:rsidRPr="0054010B">
        <w:rPr>
          <w:rFonts w:cs="Arial"/>
        </w:rPr>
        <w:t>. Article 19 requires that States:</w:t>
      </w:r>
    </w:p>
    <w:p w14:paraId="081127BA" w14:textId="77777777" w:rsidR="005E067A" w:rsidRDefault="005E067A" w:rsidP="0083208D">
      <w:pPr>
        <w:pStyle w:val="BasicParagraph"/>
        <w:suppressAutoHyphens/>
        <w:rPr>
          <w:rFonts w:ascii="Verdana" w:hAnsi="Verdana" w:cs="Arial"/>
          <w:color w:val="auto"/>
        </w:rPr>
      </w:pPr>
    </w:p>
    <w:p w14:paraId="152DCF35" w14:textId="3FD4E9B8" w:rsidR="005E067A" w:rsidRPr="005E067A" w:rsidRDefault="005E067A" w:rsidP="0054010B">
      <w:pPr>
        <w:pStyle w:val="BasicParagraph"/>
        <w:suppressAutoHyphens/>
        <w:ind w:left="993"/>
        <w:rPr>
          <w:rFonts w:ascii="Verdana" w:hAnsi="Verdana" w:cs="Arial"/>
          <w:color w:val="auto"/>
        </w:rPr>
      </w:pPr>
      <w:r w:rsidRPr="005E067A">
        <w:rPr>
          <w:rFonts w:ascii="Verdana" w:hAnsi="Verdana" w:cs="Arial"/>
          <w:color w:val="auto"/>
        </w:rPr>
        <w:t>recogni</w:t>
      </w:r>
      <w:r w:rsidR="001B17D9">
        <w:rPr>
          <w:rFonts w:ascii="Verdana" w:hAnsi="Verdana" w:cs="Arial"/>
          <w:color w:val="auto"/>
        </w:rPr>
        <w:t>s</w:t>
      </w:r>
      <w:r w:rsidRPr="005E067A">
        <w:rPr>
          <w:rFonts w:ascii="Verdana" w:hAnsi="Verdana" w:cs="Arial"/>
          <w:color w:val="auto"/>
        </w:rPr>
        <w:t xml:space="preserve">e the equal right of all persons with disabilities to live in the community, with choices equal to others, and shall take effective and </w:t>
      </w:r>
      <w:r w:rsidRPr="005E067A">
        <w:rPr>
          <w:rFonts w:ascii="Verdana" w:hAnsi="Verdana" w:cs="Arial"/>
          <w:color w:val="auto"/>
        </w:rPr>
        <w:lastRenderedPageBreak/>
        <w:t>appropriate measures to facilitate full enjoyment by persons with disabilities of this right and their full inclusion and participation in the community, including by ensuring that:</w:t>
      </w:r>
    </w:p>
    <w:p w14:paraId="1972E66B" w14:textId="77777777" w:rsidR="005E067A" w:rsidRPr="005E067A" w:rsidRDefault="005E067A" w:rsidP="0054010B">
      <w:pPr>
        <w:pStyle w:val="BasicParagraph"/>
        <w:suppressAutoHyphens/>
        <w:ind w:left="993"/>
        <w:rPr>
          <w:rFonts w:ascii="Verdana" w:hAnsi="Verdana" w:cs="Arial"/>
          <w:color w:val="auto"/>
        </w:rPr>
      </w:pPr>
    </w:p>
    <w:p w14:paraId="67FE5941" w14:textId="77777777" w:rsidR="005E067A" w:rsidRPr="005E067A" w:rsidRDefault="005E067A" w:rsidP="0054010B">
      <w:pPr>
        <w:pStyle w:val="BasicParagraph"/>
        <w:suppressAutoHyphens/>
        <w:ind w:left="993"/>
        <w:rPr>
          <w:rFonts w:ascii="Verdana" w:hAnsi="Verdana" w:cs="Arial"/>
          <w:color w:val="auto"/>
        </w:rPr>
      </w:pPr>
      <w:r w:rsidRPr="005E067A">
        <w:rPr>
          <w:rFonts w:ascii="Verdana" w:hAnsi="Verdana" w:cs="Arial"/>
          <w:color w:val="auto"/>
        </w:rPr>
        <w:t xml:space="preserve">a) Persons with disabilities have the opportunity to choose their place of residence and where and with whom they live on an equal basis with others and are not obliged to live in a particular living </w:t>
      </w:r>
      <w:proofErr w:type="gramStart"/>
      <w:r w:rsidRPr="005E067A">
        <w:rPr>
          <w:rFonts w:ascii="Verdana" w:hAnsi="Verdana" w:cs="Arial"/>
          <w:color w:val="auto"/>
        </w:rPr>
        <w:t>arrangement;</w:t>
      </w:r>
      <w:proofErr w:type="gramEnd"/>
    </w:p>
    <w:p w14:paraId="23B31045" w14:textId="77777777" w:rsidR="005E067A" w:rsidRPr="005E067A" w:rsidRDefault="005E067A" w:rsidP="0054010B">
      <w:pPr>
        <w:pStyle w:val="BasicParagraph"/>
        <w:suppressAutoHyphens/>
        <w:ind w:left="993"/>
        <w:rPr>
          <w:rFonts w:ascii="Verdana" w:hAnsi="Verdana" w:cs="Arial"/>
          <w:color w:val="auto"/>
        </w:rPr>
      </w:pPr>
    </w:p>
    <w:p w14:paraId="2783F1FF" w14:textId="77777777" w:rsidR="005E067A" w:rsidRPr="005E067A" w:rsidRDefault="005E067A" w:rsidP="0054010B">
      <w:pPr>
        <w:pStyle w:val="BasicParagraph"/>
        <w:suppressAutoHyphens/>
        <w:ind w:left="993"/>
        <w:rPr>
          <w:rFonts w:ascii="Verdana" w:hAnsi="Verdana" w:cs="Arial"/>
          <w:color w:val="auto"/>
        </w:rPr>
      </w:pPr>
      <w:r w:rsidRPr="005E067A">
        <w:rPr>
          <w:rFonts w:ascii="Verdana" w:hAnsi="Verdana" w:cs="Arial"/>
          <w:color w:val="auto"/>
        </w:rPr>
        <w:t xml:space="preserve">b) Persons with disabilities have access to a range of in-home, residential and other community support services, including personal assistance necessary to support living and inclusion in the community, and to prevent isolation or segregation from the </w:t>
      </w:r>
      <w:proofErr w:type="gramStart"/>
      <w:r w:rsidRPr="005E067A">
        <w:rPr>
          <w:rFonts w:ascii="Verdana" w:hAnsi="Verdana" w:cs="Arial"/>
          <w:color w:val="auto"/>
        </w:rPr>
        <w:t>community;</w:t>
      </w:r>
      <w:proofErr w:type="gramEnd"/>
    </w:p>
    <w:p w14:paraId="0BE78FB1" w14:textId="77777777" w:rsidR="005E067A" w:rsidRPr="005E067A" w:rsidRDefault="005E067A" w:rsidP="0054010B">
      <w:pPr>
        <w:pStyle w:val="BasicParagraph"/>
        <w:suppressAutoHyphens/>
        <w:ind w:left="993"/>
        <w:rPr>
          <w:rFonts w:ascii="Verdana" w:hAnsi="Verdana" w:cs="Arial"/>
          <w:color w:val="auto"/>
        </w:rPr>
      </w:pPr>
    </w:p>
    <w:p w14:paraId="4D803ACA" w14:textId="77777777" w:rsidR="00C92EC3" w:rsidRDefault="005E067A" w:rsidP="0054010B">
      <w:pPr>
        <w:pStyle w:val="BasicParagraph"/>
        <w:suppressAutoHyphens/>
        <w:ind w:left="993"/>
        <w:rPr>
          <w:rFonts w:ascii="Verdana" w:hAnsi="Verdana" w:cs="Arial"/>
          <w:color w:val="auto"/>
        </w:rPr>
      </w:pPr>
      <w:r w:rsidRPr="005E067A">
        <w:rPr>
          <w:rFonts w:ascii="Verdana" w:hAnsi="Verdana" w:cs="Arial"/>
          <w:color w:val="auto"/>
        </w:rPr>
        <w:t>c) Community services and facilities for the general population are available on an equal basis to persons with disabilities and are responsive to their needs.</w:t>
      </w:r>
    </w:p>
    <w:p w14:paraId="4B5C27C8" w14:textId="77777777" w:rsidR="0022589F" w:rsidRDefault="0022589F" w:rsidP="0083208D">
      <w:pPr>
        <w:pStyle w:val="BasicParagraph"/>
        <w:suppressAutoHyphens/>
        <w:rPr>
          <w:rFonts w:ascii="Verdana" w:hAnsi="Verdana" w:cs="Arial"/>
          <w:color w:val="auto"/>
        </w:rPr>
      </w:pPr>
    </w:p>
    <w:p w14:paraId="503FCA1C" w14:textId="78B53CE3" w:rsidR="00F71C8E" w:rsidRDefault="0022589F" w:rsidP="0054010B">
      <w:pPr>
        <w:pStyle w:val="ListParagraph"/>
        <w:numPr>
          <w:ilvl w:val="1"/>
          <w:numId w:val="8"/>
        </w:numPr>
        <w:spacing w:line="360" w:lineRule="auto"/>
        <w:ind w:left="709"/>
        <w:jc w:val="both"/>
      </w:pPr>
      <w:r w:rsidRPr="0054010B">
        <w:t>Further relevant guidance is found in the</w:t>
      </w:r>
      <w:r w:rsidR="00534E6F" w:rsidRPr="0054010B">
        <w:t xml:space="preserve"> UN Principles for Older Persons </w:t>
      </w:r>
      <w:r w:rsidRPr="0054010B">
        <w:t xml:space="preserve">which </w:t>
      </w:r>
      <w:r w:rsidR="00534E6F" w:rsidRPr="0054010B">
        <w:t>recognise that older persons</w:t>
      </w:r>
      <w:r w:rsidR="00F71C8E">
        <w:t>:</w:t>
      </w:r>
    </w:p>
    <w:p w14:paraId="75FEA69F" w14:textId="6668743A" w:rsidR="00F71C8E" w:rsidRDefault="00534E6F" w:rsidP="00F71C8E">
      <w:pPr>
        <w:pStyle w:val="ListParagraph"/>
        <w:spacing w:line="360" w:lineRule="auto"/>
        <w:ind w:left="709"/>
        <w:jc w:val="both"/>
      </w:pPr>
      <w:r w:rsidRPr="0054010B">
        <w:t xml:space="preserve"> </w:t>
      </w:r>
    </w:p>
    <w:p w14:paraId="296EF9AD" w14:textId="610FA3E8" w:rsidR="00534E6F" w:rsidRPr="0054010B" w:rsidRDefault="00534E6F" w:rsidP="00F71C8E">
      <w:pPr>
        <w:pStyle w:val="Quote"/>
      </w:pPr>
      <w:r w:rsidRPr="0054010B">
        <w:t xml:space="preserve">should be able to enjoy human rights and fundamental freedoms when residing in any shelter, </w:t>
      </w:r>
      <w:proofErr w:type="gramStart"/>
      <w:r w:rsidRPr="0054010B">
        <w:t>care</w:t>
      </w:r>
      <w:proofErr w:type="gramEnd"/>
      <w:r w:rsidRPr="0054010B">
        <w:t xml:space="preserve"> or treatment facility, including full respect for their dignity, beliefs, needs and privacy and for the right to make decisions about their care</w:t>
      </w:r>
      <w:r w:rsidR="00A50FFC">
        <w:t xml:space="preserve"> and the quality of their lives.</w:t>
      </w:r>
      <w:r w:rsidR="00A50FFC">
        <w:rPr>
          <w:rStyle w:val="FootnoteReference"/>
        </w:rPr>
        <w:footnoteReference w:id="23"/>
      </w:r>
    </w:p>
    <w:p w14:paraId="216D2968" w14:textId="77777777" w:rsidR="00534E6F" w:rsidRPr="0054010B" w:rsidRDefault="00534E6F" w:rsidP="0054010B">
      <w:pPr>
        <w:pStyle w:val="ListParagraph"/>
        <w:spacing w:line="360" w:lineRule="auto"/>
        <w:ind w:left="709"/>
        <w:jc w:val="both"/>
      </w:pPr>
    </w:p>
    <w:p w14:paraId="73DA4029" w14:textId="0FF11D92" w:rsidR="00534E6F" w:rsidRDefault="009D7AC6" w:rsidP="0054010B">
      <w:pPr>
        <w:pStyle w:val="ListParagraph"/>
        <w:numPr>
          <w:ilvl w:val="1"/>
          <w:numId w:val="8"/>
        </w:numPr>
        <w:spacing w:line="360" w:lineRule="auto"/>
        <w:ind w:left="709"/>
        <w:jc w:val="both"/>
      </w:pPr>
      <w:r>
        <w:t>T</w:t>
      </w:r>
      <w:r w:rsidR="00534E6F" w:rsidRPr="0054010B">
        <w:t xml:space="preserve">he UN Principles for the Protection of Persons with Mental Illness and the Improvement of Mental Health Care recognise that </w:t>
      </w:r>
      <w:r w:rsidR="0022589F" w:rsidRPr="0054010B">
        <w:t>“</w:t>
      </w:r>
      <w:r>
        <w:t>[a]</w:t>
      </w:r>
      <w:proofErr w:type="spellStart"/>
      <w:r w:rsidR="0022589F" w:rsidRPr="0054010B">
        <w:t>ll</w:t>
      </w:r>
      <w:proofErr w:type="spellEnd"/>
      <w:r w:rsidR="0022589F" w:rsidRPr="0054010B">
        <w:t xml:space="preserve"> persons have the right to the best available mental health care, which shall be part of the health and social care system”</w:t>
      </w:r>
      <w:r w:rsidR="00A238E6">
        <w:rPr>
          <w:rStyle w:val="FootnoteReference"/>
        </w:rPr>
        <w:footnoteReference w:id="24"/>
      </w:r>
      <w:r w:rsidR="0022589F" w:rsidRPr="0054010B">
        <w:t xml:space="preserve"> and that </w:t>
      </w:r>
      <w:r w:rsidR="00534E6F" w:rsidRPr="0054010B">
        <w:t>“</w:t>
      </w:r>
      <w:r>
        <w:t>[e]</w:t>
      </w:r>
      <w:r w:rsidR="00E53AEA" w:rsidRPr="0054010B">
        <w:t>very patient shall have the right to be treated and cared for, as far as possible, in the com</w:t>
      </w:r>
      <w:r w:rsidR="0022589F" w:rsidRPr="0054010B">
        <w:t>munity in which he or she lives</w:t>
      </w:r>
      <w:r w:rsidR="00534E6F" w:rsidRPr="0054010B">
        <w:t>”</w:t>
      </w:r>
      <w:r w:rsidR="00D956AB">
        <w:t>.</w:t>
      </w:r>
      <w:r w:rsidR="00BA3333">
        <w:rPr>
          <w:rStyle w:val="FootnoteReference"/>
        </w:rPr>
        <w:footnoteReference w:id="25"/>
      </w:r>
    </w:p>
    <w:p w14:paraId="16DC6CBE" w14:textId="77777777" w:rsidR="0054010B" w:rsidRPr="0054010B" w:rsidRDefault="0054010B" w:rsidP="0054010B">
      <w:pPr>
        <w:pStyle w:val="ListParagraph"/>
      </w:pPr>
    </w:p>
    <w:p w14:paraId="214474A4" w14:textId="125B8D0B" w:rsidR="00A10071" w:rsidRPr="0054010B" w:rsidRDefault="0086382A" w:rsidP="0054010B">
      <w:pPr>
        <w:pStyle w:val="ListParagraph"/>
        <w:numPr>
          <w:ilvl w:val="1"/>
          <w:numId w:val="8"/>
        </w:numPr>
        <w:spacing w:line="360" w:lineRule="auto"/>
        <w:ind w:left="709"/>
        <w:jc w:val="both"/>
      </w:pPr>
      <w:r w:rsidRPr="0054010B">
        <w:rPr>
          <w:rFonts w:cs="Arial"/>
        </w:rPr>
        <w:lastRenderedPageBreak/>
        <w:t xml:space="preserve">The </w:t>
      </w:r>
      <w:r w:rsidR="00D956AB">
        <w:rPr>
          <w:rFonts w:cs="Arial"/>
        </w:rPr>
        <w:t>NIHRC</w:t>
      </w:r>
      <w:r w:rsidR="00D956AB" w:rsidRPr="0054010B">
        <w:rPr>
          <w:rFonts w:cs="Arial"/>
        </w:rPr>
        <w:t xml:space="preserve"> </w:t>
      </w:r>
      <w:r w:rsidRPr="0054010B">
        <w:rPr>
          <w:rFonts w:cs="Arial"/>
        </w:rPr>
        <w:t xml:space="preserve">welcomes the </w:t>
      </w:r>
      <w:r w:rsidR="002C1CDC">
        <w:rPr>
          <w:rFonts w:cs="Arial"/>
        </w:rPr>
        <w:t>D</w:t>
      </w:r>
      <w:r w:rsidRPr="0054010B">
        <w:rPr>
          <w:rFonts w:cs="Arial"/>
        </w:rPr>
        <w:t>epartment</w:t>
      </w:r>
      <w:r w:rsidR="004B3CE0" w:rsidRPr="0054010B">
        <w:rPr>
          <w:rFonts w:cs="Arial"/>
        </w:rPr>
        <w:t>’</w:t>
      </w:r>
      <w:r w:rsidRPr="0054010B">
        <w:rPr>
          <w:rFonts w:cs="Arial"/>
        </w:rPr>
        <w:t xml:space="preserve">s vision for the future of a “human </w:t>
      </w:r>
      <w:proofErr w:type="gramStart"/>
      <w:r w:rsidRPr="0054010B">
        <w:rPr>
          <w:rFonts w:cs="Arial"/>
        </w:rPr>
        <w:t>rights based</w:t>
      </w:r>
      <w:proofErr w:type="gramEnd"/>
      <w:r w:rsidRPr="0054010B">
        <w:rPr>
          <w:rFonts w:cs="Arial"/>
        </w:rPr>
        <w:t xml:space="preserve"> system of service provision”</w:t>
      </w:r>
      <w:r w:rsidR="00515429">
        <w:rPr>
          <w:rFonts w:cs="Arial"/>
        </w:rPr>
        <w:t>,</w:t>
      </w:r>
      <w:r w:rsidR="00163BC8" w:rsidRPr="00EB52E9">
        <w:rPr>
          <w:vertAlign w:val="superscript"/>
        </w:rPr>
        <w:footnoteReference w:id="26"/>
      </w:r>
      <w:r w:rsidR="00A10071" w:rsidRPr="0054010B">
        <w:rPr>
          <w:rFonts w:cs="Arial"/>
        </w:rPr>
        <w:t xml:space="preserve"> however notes the limited reference to specific rights within the consultation document. The </w:t>
      </w:r>
      <w:r w:rsidR="00D956AB">
        <w:rPr>
          <w:rFonts w:cs="Arial"/>
        </w:rPr>
        <w:t>NIHRC</w:t>
      </w:r>
      <w:r w:rsidR="00D956AB" w:rsidRPr="0054010B">
        <w:rPr>
          <w:rFonts w:cs="Arial"/>
        </w:rPr>
        <w:t xml:space="preserve"> </w:t>
      </w:r>
      <w:r w:rsidR="00A10071" w:rsidRPr="0054010B">
        <w:rPr>
          <w:rFonts w:cs="Arial"/>
        </w:rPr>
        <w:t>recommends that the human rights-basis of service provision encompasses the full range of internationally accepted human rights standards, which the UK has signed and ratified.</w:t>
      </w:r>
      <w:r w:rsidRPr="0054010B">
        <w:rPr>
          <w:rFonts w:cs="Arial"/>
        </w:rPr>
        <w:t xml:space="preserve"> </w:t>
      </w:r>
    </w:p>
    <w:p w14:paraId="5A3B7338" w14:textId="77777777" w:rsidR="0054010B" w:rsidRPr="0054010B" w:rsidRDefault="0054010B" w:rsidP="0054010B">
      <w:pPr>
        <w:pStyle w:val="ListParagraph"/>
      </w:pPr>
    </w:p>
    <w:p w14:paraId="35C01BAA" w14:textId="77777777" w:rsidR="004B1FD7" w:rsidRPr="0054010B" w:rsidRDefault="00367689" w:rsidP="0054010B">
      <w:pPr>
        <w:pStyle w:val="ListParagraph"/>
        <w:numPr>
          <w:ilvl w:val="1"/>
          <w:numId w:val="8"/>
        </w:numPr>
        <w:spacing w:line="360" w:lineRule="auto"/>
        <w:ind w:left="709"/>
        <w:jc w:val="both"/>
      </w:pPr>
      <w:r w:rsidRPr="0054010B">
        <w:rPr>
          <w:rFonts w:cs="Arial"/>
        </w:rPr>
        <w:t>A human rights-based approach enables rights-holders to exercise and claim their rights and enhances the capacity of duty bearers who have a legal obligation to respect, protec</w:t>
      </w:r>
      <w:r w:rsidR="00FA5B56" w:rsidRPr="0054010B">
        <w:rPr>
          <w:rFonts w:cs="Arial"/>
        </w:rPr>
        <w:t xml:space="preserve">t, </w:t>
      </w:r>
      <w:proofErr w:type="gramStart"/>
      <w:r w:rsidR="00FA5B56" w:rsidRPr="0054010B">
        <w:rPr>
          <w:rFonts w:cs="Arial"/>
        </w:rPr>
        <w:t>promote</w:t>
      </w:r>
      <w:proofErr w:type="gramEnd"/>
      <w:r w:rsidR="00FA5B56" w:rsidRPr="0054010B">
        <w:rPr>
          <w:rFonts w:cs="Arial"/>
        </w:rPr>
        <w:t xml:space="preserve"> and fulfil human ri</w:t>
      </w:r>
      <w:r w:rsidR="004B1FD7" w:rsidRPr="0054010B">
        <w:rPr>
          <w:rFonts w:cs="Arial"/>
        </w:rPr>
        <w:t>ghts</w:t>
      </w:r>
      <w:r w:rsidRPr="0054010B">
        <w:rPr>
          <w:rFonts w:cs="Arial"/>
        </w:rPr>
        <w:t>.</w:t>
      </w:r>
      <w:r w:rsidR="004B3CE0">
        <w:rPr>
          <w:rStyle w:val="FootnoteReference"/>
          <w:rFonts w:cs="Arial"/>
        </w:rPr>
        <w:footnoteReference w:id="27"/>
      </w:r>
      <w:r w:rsidRPr="0054010B">
        <w:rPr>
          <w:rFonts w:cs="Arial"/>
        </w:rPr>
        <w:t xml:space="preserve"> </w:t>
      </w:r>
    </w:p>
    <w:p w14:paraId="25F206F3" w14:textId="77777777" w:rsidR="0054010B" w:rsidRPr="0054010B" w:rsidRDefault="0054010B" w:rsidP="0054010B">
      <w:pPr>
        <w:pStyle w:val="ListParagraph"/>
      </w:pPr>
    </w:p>
    <w:p w14:paraId="510168F9" w14:textId="758AF0EE" w:rsidR="0054010B" w:rsidRPr="00C35E16" w:rsidRDefault="00367689" w:rsidP="00C35E16">
      <w:pPr>
        <w:pStyle w:val="ListParagraph"/>
        <w:numPr>
          <w:ilvl w:val="1"/>
          <w:numId w:val="8"/>
        </w:numPr>
        <w:spacing w:line="360" w:lineRule="auto"/>
        <w:ind w:left="709"/>
        <w:jc w:val="both"/>
      </w:pPr>
      <w:r w:rsidRPr="0054010B">
        <w:rPr>
          <w:rFonts w:cs="Arial"/>
        </w:rPr>
        <w:t xml:space="preserve">The FREDA principles helpfully demonstrate how a human </w:t>
      </w:r>
      <w:r w:rsidR="00C647C8">
        <w:rPr>
          <w:rFonts w:cs="Arial"/>
        </w:rPr>
        <w:t xml:space="preserve">rights-based </w:t>
      </w:r>
      <w:r w:rsidRPr="0054010B">
        <w:rPr>
          <w:rFonts w:cs="Arial"/>
        </w:rPr>
        <w:t>approach can be applied in practice.</w:t>
      </w:r>
      <w:r w:rsidR="004B3CE0">
        <w:rPr>
          <w:rStyle w:val="FootnoteReference"/>
          <w:rFonts w:cs="Arial"/>
        </w:rPr>
        <w:footnoteReference w:id="28"/>
      </w:r>
      <w:r w:rsidRPr="0054010B">
        <w:rPr>
          <w:rFonts w:cs="Arial"/>
        </w:rPr>
        <w:t xml:space="preserve"> They are comprised of the following elements:</w:t>
      </w:r>
    </w:p>
    <w:p w14:paraId="3E250A59" w14:textId="77777777" w:rsidR="00367689" w:rsidRPr="00367689" w:rsidRDefault="00367689" w:rsidP="00367689">
      <w:pPr>
        <w:pStyle w:val="BasicParagraph"/>
        <w:suppressAutoHyphens/>
        <w:rPr>
          <w:rFonts w:ascii="Verdana" w:hAnsi="Verdana" w:cs="Arial"/>
        </w:rPr>
      </w:pPr>
    </w:p>
    <w:p w14:paraId="2E0AD5C5" w14:textId="77777777" w:rsidR="00367689" w:rsidRPr="00367689" w:rsidRDefault="00367689" w:rsidP="0054010B">
      <w:pPr>
        <w:pStyle w:val="BasicParagraph"/>
        <w:numPr>
          <w:ilvl w:val="0"/>
          <w:numId w:val="10"/>
        </w:numPr>
        <w:suppressAutoHyphens/>
        <w:ind w:left="993"/>
        <w:rPr>
          <w:rFonts w:ascii="Verdana" w:hAnsi="Verdana" w:cs="Arial"/>
        </w:rPr>
      </w:pPr>
      <w:r w:rsidRPr="00367689">
        <w:rPr>
          <w:rFonts w:ascii="Verdana" w:hAnsi="Verdana" w:cs="Arial"/>
        </w:rPr>
        <w:t>Fairness – individuals should have a say in matters which impact their human rights.</w:t>
      </w:r>
    </w:p>
    <w:p w14:paraId="70B7AD72" w14:textId="77777777" w:rsidR="00367689" w:rsidRPr="00367689" w:rsidRDefault="00367689" w:rsidP="0054010B">
      <w:pPr>
        <w:pStyle w:val="BasicParagraph"/>
        <w:suppressAutoHyphens/>
        <w:ind w:left="993"/>
        <w:rPr>
          <w:rFonts w:ascii="Verdana" w:hAnsi="Verdana" w:cs="Arial"/>
        </w:rPr>
      </w:pPr>
    </w:p>
    <w:p w14:paraId="5185E82C" w14:textId="77777777" w:rsidR="00367689" w:rsidRPr="00367689" w:rsidRDefault="00367689" w:rsidP="0054010B">
      <w:pPr>
        <w:pStyle w:val="BasicParagraph"/>
        <w:numPr>
          <w:ilvl w:val="0"/>
          <w:numId w:val="10"/>
        </w:numPr>
        <w:suppressAutoHyphens/>
        <w:ind w:left="993"/>
        <w:rPr>
          <w:rFonts w:ascii="Verdana" w:hAnsi="Verdana" w:cs="Arial"/>
        </w:rPr>
      </w:pPr>
      <w:r w:rsidRPr="00367689">
        <w:rPr>
          <w:rFonts w:ascii="Verdana" w:hAnsi="Verdana" w:cs="Arial"/>
        </w:rPr>
        <w:t>Respect – an obligation to refrain from interfering or undermining a person’s rights.</w:t>
      </w:r>
    </w:p>
    <w:p w14:paraId="1928C045" w14:textId="77777777" w:rsidR="00367689" w:rsidRPr="00367689" w:rsidRDefault="00367689" w:rsidP="0054010B">
      <w:pPr>
        <w:pStyle w:val="BasicParagraph"/>
        <w:suppressAutoHyphens/>
        <w:ind w:left="993"/>
        <w:rPr>
          <w:rFonts w:ascii="Verdana" w:hAnsi="Verdana" w:cs="Arial"/>
        </w:rPr>
      </w:pPr>
    </w:p>
    <w:p w14:paraId="4B64DA34" w14:textId="77777777" w:rsidR="00367689" w:rsidRPr="00367689" w:rsidRDefault="00367689" w:rsidP="0054010B">
      <w:pPr>
        <w:pStyle w:val="BasicParagraph"/>
        <w:numPr>
          <w:ilvl w:val="0"/>
          <w:numId w:val="10"/>
        </w:numPr>
        <w:suppressAutoHyphens/>
        <w:ind w:left="993"/>
        <w:rPr>
          <w:rFonts w:ascii="Verdana" w:hAnsi="Verdana" w:cs="Arial"/>
        </w:rPr>
      </w:pPr>
      <w:r w:rsidRPr="00367689">
        <w:rPr>
          <w:rFonts w:ascii="Verdana" w:hAnsi="Verdana" w:cs="Arial"/>
        </w:rPr>
        <w:t>Equality – all forms of discrimination should be eliminated and those that face the biggest barriers should be prioritised.</w:t>
      </w:r>
    </w:p>
    <w:p w14:paraId="7713CD23" w14:textId="77777777" w:rsidR="00367689" w:rsidRPr="00367689" w:rsidRDefault="00367689" w:rsidP="0054010B">
      <w:pPr>
        <w:pStyle w:val="BasicParagraph"/>
        <w:suppressAutoHyphens/>
        <w:ind w:left="993"/>
        <w:rPr>
          <w:rFonts w:ascii="Verdana" w:hAnsi="Verdana" w:cs="Arial"/>
        </w:rPr>
      </w:pPr>
    </w:p>
    <w:p w14:paraId="4DB1A629" w14:textId="77777777" w:rsidR="00367689" w:rsidRPr="00367689" w:rsidRDefault="00367689" w:rsidP="0054010B">
      <w:pPr>
        <w:pStyle w:val="BasicParagraph"/>
        <w:numPr>
          <w:ilvl w:val="0"/>
          <w:numId w:val="10"/>
        </w:numPr>
        <w:suppressAutoHyphens/>
        <w:ind w:left="993"/>
        <w:rPr>
          <w:rFonts w:ascii="Verdana" w:hAnsi="Verdana" w:cs="Arial"/>
        </w:rPr>
      </w:pPr>
      <w:r w:rsidRPr="00367689">
        <w:rPr>
          <w:rFonts w:ascii="Verdana" w:hAnsi="Verdana" w:cs="Arial"/>
        </w:rPr>
        <w:t xml:space="preserve">Dignity – a person must be recognised, </w:t>
      </w:r>
      <w:proofErr w:type="gramStart"/>
      <w:r w:rsidRPr="00367689">
        <w:rPr>
          <w:rFonts w:ascii="Verdana" w:hAnsi="Verdana" w:cs="Arial"/>
        </w:rPr>
        <w:t>respected</w:t>
      </w:r>
      <w:proofErr w:type="gramEnd"/>
      <w:r w:rsidRPr="00367689">
        <w:rPr>
          <w:rFonts w:ascii="Verdana" w:hAnsi="Verdana" w:cs="Arial"/>
        </w:rPr>
        <w:t xml:space="preserve"> and protected as a rights holder and as a unique and valuable human being with an individual personality, distinct needs, interests and privacy.</w:t>
      </w:r>
    </w:p>
    <w:p w14:paraId="334042D8" w14:textId="77777777" w:rsidR="00367689" w:rsidRPr="00367689" w:rsidRDefault="00367689" w:rsidP="0054010B">
      <w:pPr>
        <w:pStyle w:val="BasicParagraph"/>
        <w:suppressAutoHyphens/>
        <w:ind w:left="993"/>
        <w:rPr>
          <w:rFonts w:ascii="Verdana" w:hAnsi="Verdana" w:cs="Arial"/>
        </w:rPr>
      </w:pPr>
    </w:p>
    <w:p w14:paraId="43512B0A" w14:textId="77777777" w:rsidR="00367689" w:rsidRDefault="00367689" w:rsidP="0054010B">
      <w:pPr>
        <w:pStyle w:val="BasicParagraph"/>
        <w:numPr>
          <w:ilvl w:val="0"/>
          <w:numId w:val="10"/>
        </w:numPr>
        <w:suppressAutoHyphens/>
        <w:ind w:left="993"/>
        <w:rPr>
          <w:rFonts w:ascii="Verdana" w:hAnsi="Verdana" w:cs="Arial"/>
        </w:rPr>
      </w:pPr>
      <w:r w:rsidRPr="00367689">
        <w:rPr>
          <w:rFonts w:ascii="Verdana" w:hAnsi="Verdana" w:cs="Arial"/>
        </w:rPr>
        <w:t>Autonomy – a person should be allowed to make free and informed decisions about how they wish to live their lives.</w:t>
      </w:r>
    </w:p>
    <w:p w14:paraId="1BECFEEB" w14:textId="77777777" w:rsidR="0054010B" w:rsidRDefault="0054010B" w:rsidP="0054010B">
      <w:pPr>
        <w:pStyle w:val="ListParagraph"/>
        <w:rPr>
          <w:rFonts w:cs="Arial"/>
        </w:rPr>
      </w:pPr>
    </w:p>
    <w:p w14:paraId="6DFC4081" w14:textId="77777777" w:rsidR="0054010B" w:rsidRPr="00367689" w:rsidRDefault="0054010B" w:rsidP="0054010B">
      <w:pPr>
        <w:pStyle w:val="BasicParagraph"/>
        <w:suppressAutoHyphens/>
        <w:ind w:left="993"/>
        <w:rPr>
          <w:rFonts w:ascii="Verdana" w:hAnsi="Verdana" w:cs="Arial"/>
        </w:rPr>
      </w:pPr>
    </w:p>
    <w:p w14:paraId="01438B7B" w14:textId="7324C055" w:rsidR="00C25291" w:rsidRDefault="0054010B" w:rsidP="00943913">
      <w:pPr>
        <w:pStyle w:val="ListParagraph"/>
        <w:numPr>
          <w:ilvl w:val="1"/>
          <w:numId w:val="8"/>
        </w:numPr>
        <w:spacing w:line="360" w:lineRule="auto"/>
        <w:ind w:left="709"/>
        <w:jc w:val="both"/>
        <w:rPr>
          <w:b/>
        </w:rPr>
      </w:pPr>
      <w:r w:rsidRPr="0054010B">
        <w:rPr>
          <w:b/>
        </w:rPr>
        <w:t xml:space="preserve">The </w:t>
      </w:r>
      <w:r w:rsidR="006459A8">
        <w:rPr>
          <w:b/>
        </w:rPr>
        <w:t>NIHRC</w:t>
      </w:r>
      <w:r w:rsidR="006459A8" w:rsidRPr="0054010B">
        <w:rPr>
          <w:b/>
        </w:rPr>
        <w:t xml:space="preserve"> </w:t>
      </w:r>
      <w:r w:rsidRPr="0054010B">
        <w:rPr>
          <w:b/>
        </w:rPr>
        <w:t xml:space="preserve">recommends that the Department of Health adopts a human </w:t>
      </w:r>
      <w:proofErr w:type="gramStart"/>
      <w:r w:rsidRPr="0054010B">
        <w:rPr>
          <w:b/>
        </w:rPr>
        <w:t>rights based</w:t>
      </w:r>
      <w:proofErr w:type="gramEnd"/>
      <w:r w:rsidRPr="0054010B">
        <w:rPr>
          <w:b/>
        </w:rPr>
        <w:t xml:space="preserve"> approach </w:t>
      </w:r>
      <w:r w:rsidR="00130EE9">
        <w:rPr>
          <w:b/>
        </w:rPr>
        <w:t>to</w:t>
      </w:r>
      <w:r w:rsidR="00130EE9" w:rsidRPr="0054010B">
        <w:rPr>
          <w:b/>
        </w:rPr>
        <w:t xml:space="preserve"> </w:t>
      </w:r>
      <w:r w:rsidRPr="0054010B">
        <w:rPr>
          <w:b/>
        </w:rPr>
        <w:t>the development of a new social care strategy</w:t>
      </w:r>
      <w:r w:rsidR="006459A8">
        <w:rPr>
          <w:b/>
        </w:rPr>
        <w:t xml:space="preserve">. </w:t>
      </w:r>
      <w:r w:rsidR="00374743">
        <w:rPr>
          <w:b/>
        </w:rPr>
        <w:t>In addition, to the ECHR, UN ICCPR and UN ICESCR, t</w:t>
      </w:r>
      <w:r w:rsidR="006459A8">
        <w:rPr>
          <w:b/>
        </w:rPr>
        <w:t>his strategy should adopt and</w:t>
      </w:r>
      <w:r w:rsidR="00562075">
        <w:rPr>
          <w:b/>
        </w:rPr>
        <w:t>, for the purposes of benchmarking, utilise the FREDA Principles</w:t>
      </w:r>
      <w:r w:rsidR="00DB7D0A">
        <w:rPr>
          <w:b/>
        </w:rPr>
        <w:t>.</w:t>
      </w:r>
      <w:r w:rsidRPr="0054010B">
        <w:rPr>
          <w:b/>
        </w:rPr>
        <w:t xml:space="preserve"> </w:t>
      </w:r>
    </w:p>
    <w:p w14:paraId="1286DB48" w14:textId="77777777" w:rsidR="00DE29E0" w:rsidRDefault="00DE29E0" w:rsidP="006C2734">
      <w:pPr>
        <w:pStyle w:val="ListParagraph"/>
        <w:spacing w:line="360" w:lineRule="auto"/>
        <w:ind w:left="709"/>
        <w:jc w:val="both"/>
      </w:pPr>
    </w:p>
    <w:p w14:paraId="44A22F01" w14:textId="74A2BC82" w:rsidR="00DE29E0" w:rsidRDefault="00C647C8" w:rsidP="00943913">
      <w:pPr>
        <w:pStyle w:val="ListParagraph"/>
        <w:numPr>
          <w:ilvl w:val="1"/>
          <w:numId w:val="8"/>
        </w:numPr>
        <w:spacing w:line="360" w:lineRule="auto"/>
        <w:ind w:left="709"/>
        <w:jc w:val="both"/>
      </w:pPr>
      <w:r>
        <w:t xml:space="preserve">A human rights-based approach also </w:t>
      </w:r>
      <w:r w:rsidR="00C73B13">
        <w:t>involves ensuring</w:t>
      </w:r>
      <w:r>
        <w:t xml:space="preserve"> effective participation</w:t>
      </w:r>
      <w:r w:rsidR="006C2734">
        <w:t>.</w:t>
      </w:r>
      <w:r w:rsidR="00DE29E0">
        <w:rPr>
          <w:rStyle w:val="FootnoteReference"/>
        </w:rPr>
        <w:footnoteReference w:id="29"/>
      </w:r>
      <w:r w:rsidR="00DE29E0">
        <w:t xml:space="preserve"> </w:t>
      </w:r>
      <w:r>
        <w:t>This</w:t>
      </w:r>
      <w:r w:rsidR="006C2734" w:rsidRPr="006C2734">
        <w:t xml:space="preserve"> requires genuine opportunities to be offered at every stage of the process - design, development, implementation, </w:t>
      </w:r>
      <w:proofErr w:type="gramStart"/>
      <w:r w:rsidR="006C2734" w:rsidRPr="006C2734">
        <w:t>monitoring</w:t>
      </w:r>
      <w:proofErr w:type="gramEnd"/>
      <w:r w:rsidR="006C2734" w:rsidRPr="006C2734">
        <w:t xml:space="preserve"> and evaluation. It also requires consideration to be given to accessibility and to reasonable accommodation, which should be established by consulting with those you are seeking to engage with.</w:t>
      </w:r>
    </w:p>
    <w:p w14:paraId="38C0AAC7" w14:textId="0EFFA411" w:rsidR="00C647C8" w:rsidRDefault="00C647C8" w:rsidP="00C647C8">
      <w:pPr>
        <w:spacing w:line="360" w:lineRule="auto"/>
        <w:jc w:val="both"/>
      </w:pPr>
    </w:p>
    <w:p w14:paraId="531EAE8A" w14:textId="07E60179" w:rsidR="00DE29E0" w:rsidRDefault="006C2734" w:rsidP="00943913">
      <w:pPr>
        <w:pStyle w:val="ListParagraph"/>
        <w:numPr>
          <w:ilvl w:val="1"/>
          <w:numId w:val="8"/>
        </w:numPr>
        <w:spacing w:line="360" w:lineRule="auto"/>
        <w:ind w:left="709"/>
        <w:jc w:val="both"/>
      </w:pPr>
      <w:r w:rsidRPr="006C2734">
        <w:t>Article 4(3) of the UN CRPD provides useful guidance as to what effective participation requires. It states that “in the development and implementation of legislation and policies… and in other decision-making processes… States Parties shall closely consult with and actively involve persons with disabilities, including children with disabilities, through their representative organisations”</w:t>
      </w:r>
      <w:r>
        <w:t>.</w:t>
      </w:r>
      <w:r>
        <w:rPr>
          <w:rStyle w:val="FootnoteReference"/>
        </w:rPr>
        <w:footnoteReference w:id="30"/>
      </w:r>
      <w:r w:rsidR="00C647C8" w:rsidRPr="00C647C8">
        <w:t xml:space="preserve"> The participation should be “meaningful” and occur in a “timely manner”.</w:t>
      </w:r>
      <w:r w:rsidR="00C647C8">
        <w:rPr>
          <w:rStyle w:val="FootnoteReference"/>
        </w:rPr>
        <w:footnoteReference w:id="31"/>
      </w:r>
    </w:p>
    <w:p w14:paraId="39F76AC1" w14:textId="77777777" w:rsidR="00C647C8" w:rsidRDefault="00C647C8" w:rsidP="00C647C8">
      <w:pPr>
        <w:pStyle w:val="ListParagraph"/>
      </w:pPr>
    </w:p>
    <w:p w14:paraId="1DD33CED" w14:textId="7E9ACF6E" w:rsidR="00C647C8" w:rsidRPr="00C647C8" w:rsidRDefault="00C647C8" w:rsidP="00943913">
      <w:pPr>
        <w:pStyle w:val="ListParagraph"/>
        <w:numPr>
          <w:ilvl w:val="1"/>
          <w:numId w:val="8"/>
        </w:numPr>
        <w:spacing w:line="360" w:lineRule="auto"/>
        <w:ind w:left="709"/>
        <w:jc w:val="both"/>
        <w:rPr>
          <w:b/>
        </w:rPr>
      </w:pPr>
      <w:r w:rsidRPr="00C647C8">
        <w:rPr>
          <w:b/>
        </w:rPr>
        <w:t xml:space="preserve">The NIHRC recommends that the Department of Health ensures effective participation in any further steps taken </w:t>
      </w:r>
      <w:r w:rsidR="00F45E60">
        <w:rPr>
          <w:b/>
        </w:rPr>
        <w:t xml:space="preserve">in developing implementing, </w:t>
      </w:r>
      <w:proofErr w:type="gramStart"/>
      <w:r w:rsidR="00F45E60">
        <w:rPr>
          <w:b/>
        </w:rPr>
        <w:t>monitoring</w:t>
      </w:r>
      <w:proofErr w:type="gramEnd"/>
      <w:r w:rsidR="00F45E60">
        <w:rPr>
          <w:b/>
        </w:rPr>
        <w:t xml:space="preserve"> and evaluating this strategy</w:t>
      </w:r>
      <w:r w:rsidRPr="00C647C8">
        <w:rPr>
          <w:b/>
        </w:rPr>
        <w:t>.</w:t>
      </w:r>
    </w:p>
    <w:p w14:paraId="174A8F7B" w14:textId="77777777" w:rsidR="007569C1" w:rsidRPr="003B7D0E" w:rsidRDefault="007569C1" w:rsidP="00331C61">
      <w:pPr>
        <w:pStyle w:val="BasicParagraph"/>
        <w:suppressAutoHyphens/>
        <w:rPr>
          <w:rFonts w:ascii="Verdana" w:hAnsi="Verdana" w:cs="Arial"/>
          <w:b/>
          <w:color w:val="734791"/>
        </w:rPr>
      </w:pPr>
    </w:p>
    <w:p w14:paraId="1A15C85F" w14:textId="658A6A78" w:rsidR="001B2A6E" w:rsidRPr="0054010B" w:rsidRDefault="009D6DA7" w:rsidP="002E5A1E">
      <w:pPr>
        <w:pStyle w:val="Heading1"/>
      </w:pPr>
      <w:bookmarkStart w:id="4" w:name="_Toc106894208"/>
      <w:r>
        <w:lastRenderedPageBreak/>
        <w:t>3.0</w:t>
      </w:r>
      <w:r>
        <w:tab/>
      </w:r>
      <w:r w:rsidR="001B2A6E">
        <w:t>Resourcing</w:t>
      </w:r>
      <w:bookmarkEnd w:id="4"/>
      <w:r w:rsidR="001B2A6E">
        <w:t xml:space="preserve"> </w:t>
      </w:r>
    </w:p>
    <w:p w14:paraId="7E6C8ACA" w14:textId="77777777" w:rsidR="00560E91" w:rsidRPr="00560E91" w:rsidRDefault="00560E91" w:rsidP="00560E91">
      <w:pPr>
        <w:pStyle w:val="ListParagraph"/>
        <w:numPr>
          <w:ilvl w:val="0"/>
          <w:numId w:val="8"/>
        </w:numPr>
        <w:spacing w:line="360" w:lineRule="auto"/>
        <w:jc w:val="both"/>
        <w:rPr>
          <w:vanish/>
        </w:rPr>
      </w:pPr>
    </w:p>
    <w:p w14:paraId="50B4B5B2" w14:textId="58B3A277" w:rsidR="00DB2EF6" w:rsidRDefault="00EF1D71" w:rsidP="00560E91">
      <w:pPr>
        <w:pStyle w:val="ListParagraph"/>
        <w:numPr>
          <w:ilvl w:val="1"/>
          <w:numId w:val="8"/>
        </w:numPr>
        <w:spacing w:line="360" w:lineRule="auto"/>
        <w:ind w:left="709"/>
        <w:jc w:val="both"/>
      </w:pPr>
      <w:r w:rsidRPr="0054010B">
        <w:t>The consu</w:t>
      </w:r>
      <w:r w:rsidR="00C35E16">
        <w:t>ltation document advises that “e</w:t>
      </w:r>
      <w:r w:rsidRPr="0054010B">
        <w:t>stimated costings and an economic impact assessment for the proposed actions will be developed during the consultation period”</w:t>
      </w:r>
      <w:r w:rsidRPr="00EB52E9">
        <w:rPr>
          <w:vertAlign w:val="superscript"/>
        </w:rPr>
        <w:footnoteReference w:id="32"/>
      </w:r>
      <w:r w:rsidRPr="00EB52E9">
        <w:t xml:space="preserve"> </w:t>
      </w:r>
      <w:r w:rsidR="00C35E16">
        <w:t>and that “t</w:t>
      </w:r>
      <w:r w:rsidRPr="0054010B">
        <w:t>hese costings, impact assessments as well as the availability of funding will inform the future strategy”.</w:t>
      </w:r>
      <w:r w:rsidR="00AE3476" w:rsidRPr="0054010B">
        <w:rPr>
          <w:vertAlign w:val="superscript"/>
        </w:rPr>
        <w:footnoteReference w:id="33"/>
      </w:r>
      <w:r w:rsidRPr="0054010B">
        <w:rPr>
          <w:vertAlign w:val="superscript"/>
        </w:rPr>
        <w:t xml:space="preserve"> </w:t>
      </w:r>
    </w:p>
    <w:p w14:paraId="3FAB534E" w14:textId="77777777" w:rsidR="0054010B" w:rsidRDefault="0054010B" w:rsidP="0054010B">
      <w:pPr>
        <w:pStyle w:val="ListParagraph"/>
        <w:spacing w:line="360" w:lineRule="auto"/>
        <w:ind w:left="709"/>
        <w:jc w:val="both"/>
      </w:pPr>
    </w:p>
    <w:p w14:paraId="2AA7AD35" w14:textId="03E0199A" w:rsidR="00D67147" w:rsidRPr="0054010B" w:rsidRDefault="001B2A6E" w:rsidP="0054010B">
      <w:pPr>
        <w:pStyle w:val="ListParagraph"/>
        <w:numPr>
          <w:ilvl w:val="1"/>
          <w:numId w:val="8"/>
        </w:numPr>
        <w:spacing w:line="360" w:lineRule="auto"/>
        <w:ind w:left="709"/>
        <w:jc w:val="both"/>
      </w:pPr>
      <w:r w:rsidRPr="0054010B">
        <w:rPr>
          <w:rFonts w:cs="Arial"/>
        </w:rPr>
        <w:t>The</w:t>
      </w:r>
      <w:r w:rsidR="00474314" w:rsidRPr="0054010B">
        <w:rPr>
          <w:rFonts w:cs="Arial"/>
        </w:rPr>
        <w:t xml:space="preserve"> </w:t>
      </w:r>
      <w:r w:rsidR="0029332E">
        <w:rPr>
          <w:rFonts w:cs="Arial"/>
        </w:rPr>
        <w:t>NIHRC</w:t>
      </w:r>
      <w:r w:rsidR="0029332E" w:rsidRPr="0054010B">
        <w:rPr>
          <w:rFonts w:cs="Arial"/>
        </w:rPr>
        <w:t xml:space="preserve"> </w:t>
      </w:r>
      <w:r w:rsidR="00474314" w:rsidRPr="0054010B">
        <w:rPr>
          <w:rFonts w:cs="Arial"/>
        </w:rPr>
        <w:t>recalls the</w:t>
      </w:r>
      <w:r w:rsidRPr="0054010B">
        <w:rPr>
          <w:rFonts w:cs="Arial"/>
        </w:rPr>
        <w:t xml:space="preserve"> obligation</w:t>
      </w:r>
      <w:r w:rsidR="006A5F6D">
        <w:rPr>
          <w:rFonts w:cs="Arial"/>
        </w:rPr>
        <w:t>s</w:t>
      </w:r>
      <w:r w:rsidRPr="0054010B">
        <w:rPr>
          <w:rFonts w:cs="Arial"/>
        </w:rPr>
        <w:t xml:space="preserve"> to </w:t>
      </w:r>
      <w:r w:rsidR="006A5F6D" w:rsidRPr="0054010B">
        <w:rPr>
          <w:rFonts w:cs="Arial"/>
        </w:rPr>
        <w:t>respect, to pro</w:t>
      </w:r>
      <w:r w:rsidR="006A5F6D">
        <w:rPr>
          <w:rFonts w:cs="Arial"/>
        </w:rPr>
        <w:t>tect and to fulfil human rights</w:t>
      </w:r>
      <w:r w:rsidR="006A5F6D" w:rsidRPr="0054010B">
        <w:rPr>
          <w:rFonts w:cs="Arial"/>
        </w:rPr>
        <w:t xml:space="preserve"> </w:t>
      </w:r>
      <w:r w:rsidR="006A5F6D">
        <w:rPr>
          <w:rFonts w:cs="Arial"/>
        </w:rPr>
        <w:t xml:space="preserve">and to </w:t>
      </w:r>
      <w:r w:rsidRPr="0054010B">
        <w:rPr>
          <w:rFonts w:cs="Arial"/>
        </w:rPr>
        <w:t>maximise available resources</w:t>
      </w:r>
      <w:r w:rsidR="006A5F6D">
        <w:rPr>
          <w:rFonts w:cs="Arial"/>
        </w:rPr>
        <w:t>,</w:t>
      </w:r>
      <w:r w:rsidRPr="0054010B">
        <w:rPr>
          <w:rFonts w:cs="Arial"/>
        </w:rPr>
        <w:t xml:space="preserve"> </w:t>
      </w:r>
      <w:r w:rsidR="006A5F6D">
        <w:rPr>
          <w:rFonts w:cs="Arial"/>
        </w:rPr>
        <w:t>a</w:t>
      </w:r>
      <w:r w:rsidRPr="0054010B">
        <w:rPr>
          <w:rFonts w:cs="Arial"/>
        </w:rPr>
        <w:t>s identified</w:t>
      </w:r>
      <w:r w:rsidR="004F5D74" w:rsidRPr="0054010B">
        <w:rPr>
          <w:rFonts w:cs="Arial"/>
        </w:rPr>
        <w:t xml:space="preserve"> within human rights treaties including</w:t>
      </w:r>
      <w:r w:rsidRPr="0054010B">
        <w:rPr>
          <w:rFonts w:cs="Arial"/>
        </w:rPr>
        <w:t xml:space="preserve"> Article 2(</w:t>
      </w:r>
      <w:r w:rsidR="004F5D74" w:rsidRPr="0054010B">
        <w:rPr>
          <w:rFonts w:cs="Arial"/>
        </w:rPr>
        <w:t>2</w:t>
      </w:r>
      <w:r w:rsidRPr="0054010B">
        <w:rPr>
          <w:rFonts w:cs="Arial"/>
        </w:rPr>
        <w:t xml:space="preserve">) </w:t>
      </w:r>
      <w:r w:rsidR="00076F39">
        <w:rPr>
          <w:rFonts w:cs="Arial"/>
        </w:rPr>
        <w:t xml:space="preserve">of the </w:t>
      </w:r>
      <w:r w:rsidR="00923A5E" w:rsidRPr="0054010B">
        <w:rPr>
          <w:rFonts w:cs="Arial"/>
        </w:rPr>
        <w:t>UN ICCPR</w:t>
      </w:r>
      <w:r w:rsidR="004F5D74" w:rsidRPr="0054010B">
        <w:rPr>
          <w:rFonts w:cs="Arial"/>
        </w:rPr>
        <w:t xml:space="preserve">, Article 2(1) </w:t>
      </w:r>
      <w:r w:rsidR="00076F39">
        <w:rPr>
          <w:rFonts w:cs="Arial"/>
        </w:rPr>
        <w:t xml:space="preserve">of the </w:t>
      </w:r>
      <w:r w:rsidR="004F5D74" w:rsidRPr="0054010B">
        <w:rPr>
          <w:rFonts w:cs="Arial"/>
        </w:rPr>
        <w:t>UN ICESCR</w:t>
      </w:r>
      <w:r w:rsidR="00923A5E" w:rsidRPr="0054010B">
        <w:rPr>
          <w:rFonts w:cs="Arial"/>
        </w:rPr>
        <w:t xml:space="preserve"> </w:t>
      </w:r>
      <w:r w:rsidRPr="0054010B">
        <w:rPr>
          <w:rFonts w:cs="Arial"/>
        </w:rPr>
        <w:t xml:space="preserve">and Article 4(2) </w:t>
      </w:r>
      <w:r w:rsidR="00076F39">
        <w:rPr>
          <w:rFonts w:cs="Arial"/>
        </w:rPr>
        <w:t xml:space="preserve">of the </w:t>
      </w:r>
      <w:r w:rsidRPr="0054010B">
        <w:rPr>
          <w:rFonts w:cs="Arial"/>
        </w:rPr>
        <w:t xml:space="preserve">UN </w:t>
      </w:r>
      <w:r w:rsidR="00923A5E" w:rsidRPr="0054010B">
        <w:rPr>
          <w:rFonts w:cs="Arial"/>
        </w:rPr>
        <w:t>CRPD.</w:t>
      </w:r>
      <w:r w:rsidRPr="0054010B">
        <w:rPr>
          <w:rFonts w:cs="Arial"/>
        </w:rPr>
        <w:t xml:space="preserve"> </w:t>
      </w:r>
    </w:p>
    <w:p w14:paraId="7DAC83DF" w14:textId="77777777" w:rsidR="0054010B" w:rsidRPr="0054010B" w:rsidRDefault="0054010B" w:rsidP="0054010B">
      <w:pPr>
        <w:pStyle w:val="ListParagraph"/>
      </w:pPr>
    </w:p>
    <w:p w14:paraId="5E4BF600" w14:textId="7BC4CFD3" w:rsidR="00D67147" w:rsidRPr="0054010B" w:rsidRDefault="00923A5E" w:rsidP="0054010B">
      <w:pPr>
        <w:pStyle w:val="ListParagraph"/>
        <w:numPr>
          <w:ilvl w:val="1"/>
          <w:numId w:val="8"/>
        </w:numPr>
        <w:spacing w:line="360" w:lineRule="auto"/>
        <w:ind w:left="709"/>
        <w:jc w:val="both"/>
      </w:pPr>
      <w:r w:rsidRPr="0054010B">
        <w:rPr>
          <w:rFonts w:cs="Arial"/>
        </w:rPr>
        <w:t xml:space="preserve">The </w:t>
      </w:r>
      <w:r w:rsidR="00364BB9" w:rsidRPr="0054010B">
        <w:rPr>
          <w:rFonts w:cs="Arial"/>
        </w:rPr>
        <w:t xml:space="preserve">effective </w:t>
      </w:r>
      <w:r w:rsidRPr="0054010B">
        <w:rPr>
          <w:rFonts w:cs="Arial"/>
        </w:rPr>
        <w:t xml:space="preserve">allocation of resources is a key element </w:t>
      </w:r>
      <w:r w:rsidR="004F5D74" w:rsidRPr="0054010B">
        <w:rPr>
          <w:rFonts w:cs="Arial"/>
        </w:rPr>
        <w:t xml:space="preserve">in </w:t>
      </w:r>
      <w:r w:rsidRPr="0054010B">
        <w:rPr>
          <w:rFonts w:cs="Arial"/>
        </w:rPr>
        <w:t xml:space="preserve">the enjoyment of human rights </w:t>
      </w:r>
      <w:r w:rsidR="00364BB9" w:rsidRPr="0054010B">
        <w:rPr>
          <w:rFonts w:cs="Arial"/>
        </w:rPr>
        <w:t>and requires State</w:t>
      </w:r>
      <w:r w:rsidR="00613E0F" w:rsidRPr="0054010B">
        <w:rPr>
          <w:rFonts w:cs="Arial"/>
        </w:rPr>
        <w:t>s</w:t>
      </w:r>
      <w:r w:rsidR="00364BB9" w:rsidRPr="0054010B">
        <w:rPr>
          <w:rFonts w:cs="Arial"/>
        </w:rPr>
        <w:t xml:space="preserve"> not only</w:t>
      </w:r>
      <w:r w:rsidR="00613E0F" w:rsidRPr="0054010B">
        <w:rPr>
          <w:rFonts w:cs="Arial"/>
        </w:rPr>
        <w:t xml:space="preserve"> to</w:t>
      </w:r>
      <w:r w:rsidR="00364BB9" w:rsidRPr="0054010B">
        <w:rPr>
          <w:rFonts w:cs="Arial"/>
        </w:rPr>
        <w:t xml:space="preserve"> distribute</w:t>
      </w:r>
      <w:r w:rsidR="00613E0F" w:rsidRPr="0054010B">
        <w:rPr>
          <w:rFonts w:cs="Arial"/>
        </w:rPr>
        <w:t xml:space="preserve"> existing</w:t>
      </w:r>
      <w:r w:rsidR="00364BB9" w:rsidRPr="0054010B">
        <w:rPr>
          <w:rFonts w:cs="Arial"/>
        </w:rPr>
        <w:t xml:space="preserve"> resources, but </w:t>
      </w:r>
      <w:r w:rsidR="00286EF0">
        <w:rPr>
          <w:rFonts w:cs="Arial"/>
        </w:rPr>
        <w:t>also to effectively mobilise resources within a country</w:t>
      </w:r>
      <w:r w:rsidR="00D141A0">
        <w:rPr>
          <w:rFonts w:cs="Arial"/>
        </w:rPr>
        <w:t>,</w:t>
      </w:r>
      <w:r w:rsidR="00286EF0">
        <w:rPr>
          <w:rFonts w:cs="Arial"/>
        </w:rPr>
        <w:t xml:space="preserve"> including through fiscal reform.</w:t>
      </w:r>
      <w:r w:rsidR="00286EF0">
        <w:rPr>
          <w:rStyle w:val="FootnoteReference"/>
          <w:rFonts w:cs="Arial"/>
        </w:rPr>
        <w:footnoteReference w:id="34"/>
      </w:r>
      <w:r w:rsidR="00286EF0">
        <w:rPr>
          <w:rFonts w:cs="Arial"/>
        </w:rPr>
        <w:t xml:space="preserve"> </w:t>
      </w:r>
    </w:p>
    <w:p w14:paraId="23293EBC" w14:textId="77777777" w:rsidR="0054010B" w:rsidRPr="0054010B" w:rsidRDefault="0054010B" w:rsidP="0054010B">
      <w:pPr>
        <w:pStyle w:val="ListParagraph"/>
      </w:pPr>
    </w:p>
    <w:p w14:paraId="005878E2" w14:textId="6A636FDC" w:rsidR="00D67147" w:rsidRPr="000C5FBD" w:rsidRDefault="00076F39" w:rsidP="0054010B">
      <w:pPr>
        <w:pStyle w:val="ListParagraph"/>
        <w:numPr>
          <w:ilvl w:val="1"/>
          <w:numId w:val="8"/>
        </w:numPr>
        <w:spacing w:line="360" w:lineRule="auto"/>
        <w:ind w:left="709"/>
        <w:jc w:val="both"/>
      </w:pPr>
      <w:r>
        <w:rPr>
          <w:rFonts w:cs="Arial"/>
        </w:rPr>
        <w:t>T</w:t>
      </w:r>
      <w:r w:rsidR="00FF2FEE" w:rsidRPr="0054010B">
        <w:rPr>
          <w:rFonts w:cs="Arial"/>
        </w:rPr>
        <w:t xml:space="preserve">he </w:t>
      </w:r>
      <w:r>
        <w:rPr>
          <w:rFonts w:cs="Arial"/>
        </w:rPr>
        <w:t>UN ICESCR Committee</w:t>
      </w:r>
      <w:r w:rsidR="00FF2FEE" w:rsidRPr="0054010B">
        <w:rPr>
          <w:rFonts w:cs="Arial"/>
        </w:rPr>
        <w:t xml:space="preserve"> </w:t>
      </w:r>
      <w:r w:rsidR="00613E0F" w:rsidRPr="0054010B">
        <w:rPr>
          <w:rFonts w:cs="Arial"/>
        </w:rPr>
        <w:t xml:space="preserve">has </w:t>
      </w:r>
      <w:r w:rsidR="00450303">
        <w:rPr>
          <w:rFonts w:cs="Arial"/>
        </w:rPr>
        <w:t xml:space="preserve">previously </w:t>
      </w:r>
      <w:r w:rsidR="00613E0F" w:rsidRPr="0054010B">
        <w:rPr>
          <w:rFonts w:cs="Arial"/>
        </w:rPr>
        <w:t>raised</w:t>
      </w:r>
      <w:r w:rsidR="00A8572F" w:rsidRPr="0054010B">
        <w:rPr>
          <w:rFonts w:cs="Arial"/>
        </w:rPr>
        <w:t xml:space="preserve"> concerns about</w:t>
      </w:r>
      <w:r w:rsidR="00613E0F" w:rsidRPr="0054010B">
        <w:rPr>
          <w:rFonts w:cs="Arial"/>
        </w:rPr>
        <w:t xml:space="preserve"> the impact of the UK’s fiscal policy on its capacity to </w:t>
      </w:r>
      <w:r w:rsidR="00364BB9" w:rsidRPr="0054010B">
        <w:rPr>
          <w:rFonts w:cs="Arial"/>
        </w:rPr>
        <w:t>“collect sufficient resources to achieve the full reali</w:t>
      </w:r>
      <w:r w:rsidR="00283FDE">
        <w:rPr>
          <w:rFonts w:cs="Arial"/>
        </w:rPr>
        <w:t>s</w:t>
      </w:r>
      <w:r w:rsidR="00364BB9" w:rsidRPr="0054010B">
        <w:rPr>
          <w:rFonts w:cs="Arial"/>
        </w:rPr>
        <w:t>ation of economic, social and cultural rights for the benefit of disadvantaged and marg</w:t>
      </w:r>
      <w:r w:rsidR="00613E0F" w:rsidRPr="0054010B">
        <w:rPr>
          <w:rFonts w:cs="Arial"/>
        </w:rPr>
        <w:t>inali</w:t>
      </w:r>
      <w:r w:rsidR="00283FDE">
        <w:rPr>
          <w:rFonts w:cs="Arial"/>
        </w:rPr>
        <w:t>s</w:t>
      </w:r>
      <w:r w:rsidR="00613E0F" w:rsidRPr="0054010B">
        <w:rPr>
          <w:rFonts w:cs="Arial"/>
        </w:rPr>
        <w:t>ed individuals and groups</w:t>
      </w:r>
      <w:r w:rsidR="00364BB9" w:rsidRPr="0054010B">
        <w:rPr>
          <w:rFonts w:cs="Arial"/>
        </w:rPr>
        <w:t>”</w:t>
      </w:r>
      <w:r w:rsidR="00613E0F" w:rsidRPr="0054010B">
        <w:rPr>
          <w:rFonts w:cs="Arial"/>
        </w:rPr>
        <w:t>.</w:t>
      </w:r>
      <w:r w:rsidR="00364BB9">
        <w:rPr>
          <w:rStyle w:val="FootnoteReference"/>
          <w:rFonts w:cs="Arial"/>
        </w:rPr>
        <w:footnoteReference w:id="35"/>
      </w:r>
      <w:r w:rsidR="00364BB9" w:rsidRPr="0054010B">
        <w:rPr>
          <w:rFonts w:cs="Arial"/>
        </w:rPr>
        <w:t> </w:t>
      </w:r>
      <w:r w:rsidR="00D67147" w:rsidRPr="0054010B">
        <w:rPr>
          <w:rFonts w:cs="Arial"/>
        </w:rPr>
        <w:t xml:space="preserve"> </w:t>
      </w:r>
    </w:p>
    <w:p w14:paraId="5D222D9F" w14:textId="77777777" w:rsidR="000C5FBD" w:rsidRPr="000C5FBD" w:rsidRDefault="000C5FBD" w:rsidP="000C5FBD">
      <w:pPr>
        <w:pStyle w:val="ListParagraph"/>
      </w:pPr>
    </w:p>
    <w:p w14:paraId="033D1D76" w14:textId="18E4B4DE" w:rsidR="00F74A16" w:rsidRPr="000C5FBD" w:rsidRDefault="00D67147" w:rsidP="000C5FBD">
      <w:pPr>
        <w:pStyle w:val="ListParagraph"/>
        <w:numPr>
          <w:ilvl w:val="1"/>
          <w:numId w:val="8"/>
        </w:numPr>
        <w:spacing w:line="360" w:lineRule="auto"/>
        <w:ind w:left="709"/>
        <w:jc w:val="both"/>
      </w:pPr>
      <w:r w:rsidRPr="000C5FBD">
        <w:rPr>
          <w:rFonts w:cs="Arial"/>
        </w:rPr>
        <w:t xml:space="preserve">Further, </w:t>
      </w:r>
      <w:r w:rsidR="00BF2FCB">
        <w:rPr>
          <w:rFonts w:cs="Arial"/>
        </w:rPr>
        <w:t>the UN ICESCR Committee states</w:t>
      </w:r>
      <w:r w:rsidR="000C5FBD" w:rsidRPr="000C5FBD">
        <w:rPr>
          <w:rFonts w:cs="Arial"/>
        </w:rPr>
        <w:t xml:space="preserve"> that “</w:t>
      </w:r>
      <w:r w:rsidRPr="000C5FBD">
        <w:rPr>
          <w:rFonts w:cs="Arial"/>
        </w:rPr>
        <w:t>economic policies, such as budgetary allocations and measures to stimulate economic growth, should pay attention to the need to guarantee the effective enjoyment of the Covenant rights without discriminati</w:t>
      </w:r>
      <w:r w:rsidR="000C5FBD" w:rsidRPr="000C5FBD">
        <w:rPr>
          <w:rFonts w:cs="Arial"/>
        </w:rPr>
        <w:t>on”</w:t>
      </w:r>
      <w:r w:rsidRPr="000C5FBD">
        <w:rPr>
          <w:rFonts w:cs="Arial"/>
        </w:rPr>
        <w:t>.</w:t>
      </w:r>
      <w:r w:rsidRPr="00BF2FCB">
        <w:rPr>
          <w:vertAlign w:val="superscript"/>
        </w:rPr>
        <w:footnoteReference w:id="36"/>
      </w:r>
    </w:p>
    <w:p w14:paraId="5A9FDA8F" w14:textId="77777777" w:rsidR="000C5FBD" w:rsidRPr="000C5FBD" w:rsidRDefault="000C5FBD" w:rsidP="000C5FBD">
      <w:pPr>
        <w:pStyle w:val="ListParagraph"/>
      </w:pPr>
    </w:p>
    <w:p w14:paraId="41907D9D" w14:textId="42708629" w:rsidR="001B2A6E" w:rsidRPr="000C5FBD" w:rsidRDefault="001B2A6E" w:rsidP="000C5FBD">
      <w:pPr>
        <w:pStyle w:val="ListParagraph"/>
        <w:numPr>
          <w:ilvl w:val="1"/>
          <w:numId w:val="8"/>
        </w:numPr>
        <w:spacing w:line="360" w:lineRule="auto"/>
        <w:ind w:left="709"/>
        <w:jc w:val="both"/>
      </w:pPr>
      <w:r w:rsidRPr="000C5FBD">
        <w:rPr>
          <w:rFonts w:cs="Arial"/>
          <w:b/>
        </w:rPr>
        <w:t xml:space="preserve">The </w:t>
      </w:r>
      <w:r w:rsidR="00BF2FCB">
        <w:rPr>
          <w:rFonts w:cs="Arial"/>
          <w:b/>
        </w:rPr>
        <w:t>NIHRC</w:t>
      </w:r>
      <w:r w:rsidR="00BF2FCB" w:rsidRPr="000C5FBD">
        <w:rPr>
          <w:rFonts w:cs="Arial"/>
          <w:b/>
        </w:rPr>
        <w:t xml:space="preserve"> </w:t>
      </w:r>
      <w:r w:rsidRPr="000C5FBD">
        <w:rPr>
          <w:rFonts w:cs="Arial"/>
          <w:b/>
        </w:rPr>
        <w:t>recommends that the Department of Health assesses the level of resources necessary and</w:t>
      </w:r>
      <w:r w:rsidR="00807A86" w:rsidRPr="000C5FBD">
        <w:rPr>
          <w:rFonts w:cs="Arial"/>
          <w:b/>
        </w:rPr>
        <w:t>, with the NI Executive,</w:t>
      </w:r>
      <w:r w:rsidRPr="000C5FBD">
        <w:rPr>
          <w:rFonts w:cs="Arial"/>
          <w:b/>
        </w:rPr>
        <w:t xml:space="preserve"> ensures that the maximum a</w:t>
      </w:r>
      <w:r w:rsidR="00DB2EF6" w:rsidRPr="000C5FBD">
        <w:rPr>
          <w:rFonts w:cs="Arial"/>
          <w:b/>
        </w:rPr>
        <w:t xml:space="preserve">vailable resources are </w:t>
      </w:r>
      <w:proofErr w:type="gramStart"/>
      <w:r w:rsidR="00620158">
        <w:rPr>
          <w:rFonts w:cs="Arial"/>
          <w:b/>
        </w:rPr>
        <w:t>utilised</w:t>
      </w:r>
      <w:proofErr w:type="gramEnd"/>
      <w:r w:rsidR="00620158">
        <w:rPr>
          <w:rFonts w:cs="Arial"/>
          <w:b/>
        </w:rPr>
        <w:t xml:space="preserve"> and </w:t>
      </w:r>
      <w:r w:rsidR="00EB52E9">
        <w:rPr>
          <w:rFonts w:cs="Arial"/>
          <w:b/>
        </w:rPr>
        <w:t xml:space="preserve">ring fenced for </w:t>
      </w:r>
      <w:r w:rsidR="00DB2EF6" w:rsidRPr="000C5FBD">
        <w:rPr>
          <w:rFonts w:cs="Arial"/>
          <w:b/>
        </w:rPr>
        <w:t xml:space="preserve">the development of </w:t>
      </w:r>
      <w:r w:rsidR="00CC10A0">
        <w:rPr>
          <w:rFonts w:cs="Arial"/>
          <w:b/>
        </w:rPr>
        <w:t>this</w:t>
      </w:r>
      <w:r w:rsidR="00DB2EF6" w:rsidRPr="000C5FBD">
        <w:rPr>
          <w:rFonts w:cs="Arial"/>
          <w:b/>
        </w:rPr>
        <w:t xml:space="preserve"> strategy. </w:t>
      </w:r>
    </w:p>
    <w:p w14:paraId="5F2FBC76" w14:textId="77777777" w:rsidR="000C5FBD" w:rsidRPr="000C5FBD" w:rsidRDefault="000C5FBD" w:rsidP="000C5FBD">
      <w:pPr>
        <w:pStyle w:val="ListParagraph"/>
      </w:pPr>
    </w:p>
    <w:p w14:paraId="455DDF32" w14:textId="3E8BC97E" w:rsidR="00F74A16" w:rsidRPr="000C5FBD" w:rsidRDefault="00F74A16" w:rsidP="000C5FBD">
      <w:pPr>
        <w:pStyle w:val="ListParagraph"/>
        <w:numPr>
          <w:ilvl w:val="1"/>
          <w:numId w:val="8"/>
        </w:numPr>
        <w:spacing w:line="360" w:lineRule="auto"/>
        <w:ind w:left="709"/>
        <w:jc w:val="both"/>
      </w:pPr>
      <w:r w:rsidRPr="000C5FBD">
        <w:rPr>
          <w:rFonts w:cs="Arial"/>
          <w:b/>
        </w:rPr>
        <w:t xml:space="preserve">The </w:t>
      </w:r>
      <w:r w:rsidR="00620158">
        <w:rPr>
          <w:rFonts w:cs="Arial"/>
          <w:b/>
        </w:rPr>
        <w:t>NIHRC</w:t>
      </w:r>
      <w:r w:rsidR="00620158" w:rsidRPr="000C5FBD">
        <w:rPr>
          <w:rFonts w:cs="Arial"/>
          <w:b/>
        </w:rPr>
        <w:t xml:space="preserve"> </w:t>
      </w:r>
      <w:r w:rsidRPr="000C5FBD">
        <w:rPr>
          <w:rFonts w:cs="Arial"/>
          <w:b/>
        </w:rPr>
        <w:t>further recommends that the Department of Health maintains a participatory process in the development of the budget relating to the proposed strategy and engages in meaningful consultation</w:t>
      </w:r>
      <w:r w:rsidR="00B5695E">
        <w:rPr>
          <w:rFonts w:cs="Arial"/>
          <w:b/>
        </w:rPr>
        <w:t xml:space="preserve"> with those affected by the strategy and their representative organisations</w:t>
      </w:r>
      <w:r w:rsidRPr="000C5FBD">
        <w:rPr>
          <w:rFonts w:cs="Arial"/>
          <w:b/>
        </w:rPr>
        <w:t xml:space="preserve">. </w:t>
      </w:r>
    </w:p>
    <w:p w14:paraId="3D486352" w14:textId="4F58C671" w:rsidR="00DB2EF6" w:rsidRDefault="00DB2EF6" w:rsidP="00DB2EF6">
      <w:pPr>
        <w:pStyle w:val="ListParagraph"/>
        <w:rPr>
          <w:rFonts w:cs="Arial"/>
          <w:b/>
          <w:color w:val="7030A0"/>
          <w:sz w:val="28"/>
          <w:szCs w:val="28"/>
        </w:rPr>
      </w:pPr>
    </w:p>
    <w:p w14:paraId="1BC1C9C6" w14:textId="77777777" w:rsidR="002E5A1E" w:rsidRPr="00594414" w:rsidRDefault="002E5A1E" w:rsidP="00DB2EF6">
      <w:pPr>
        <w:pStyle w:val="ListParagraph"/>
        <w:rPr>
          <w:rFonts w:cs="Arial"/>
          <w:b/>
          <w:color w:val="7030A0"/>
          <w:sz w:val="28"/>
          <w:szCs w:val="28"/>
        </w:rPr>
      </w:pPr>
    </w:p>
    <w:p w14:paraId="1A1AA786" w14:textId="0893AF90" w:rsidR="00281A6E" w:rsidRPr="002E5A1E" w:rsidRDefault="009D6DA7" w:rsidP="002E5A1E">
      <w:pPr>
        <w:pStyle w:val="Heading1"/>
      </w:pPr>
      <w:bookmarkStart w:id="5" w:name="_Toc106894209"/>
      <w:r>
        <w:t>4.0</w:t>
      </w:r>
      <w:r>
        <w:tab/>
      </w:r>
      <w:r w:rsidR="00281A6E">
        <w:t xml:space="preserve">Monitoring </w:t>
      </w:r>
      <w:r w:rsidR="00C07B24">
        <w:t xml:space="preserve">and </w:t>
      </w:r>
      <w:r w:rsidR="00F13CF5">
        <w:t>D</w:t>
      </w:r>
      <w:r w:rsidR="00C07B24">
        <w:t xml:space="preserve">ata </w:t>
      </w:r>
      <w:r w:rsidR="00F13CF5">
        <w:t>C</w:t>
      </w:r>
      <w:r w:rsidR="00C07B24">
        <w:t>ollection</w:t>
      </w:r>
      <w:bookmarkEnd w:id="5"/>
    </w:p>
    <w:p w14:paraId="33EB287A" w14:textId="77777777" w:rsidR="00560E91" w:rsidRPr="00560E91" w:rsidRDefault="00560E91" w:rsidP="00560E91">
      <w:pPr>
        <w:pStyle w:val="ListParagraph"/>
        <w:numPr>
          <w:ilvl w:val="0"/>
          <w:numId w:val="8"/>
        </w:numPr>
        <w:spacing w:line="360" w:lineRule="auto"/>
        <w:jc w:val="both"/>
        <w:rPr>
          <w:rFonts w:cs="Arial"/>
          <w:vanish/>
        </w:rPr>
      </w:pPr>
    </w:p>
    <w:p w14:paraId="0B999121" w14:textId="71DFDB40" w:rsidR="00281A6E" w:rsidRPr="00281A6E" w:rsidRDefault="00281A6E" w:rsidP="00560E91">
      <w:pPr>
        <w:pStyle w:val="ListParagraph"/>
        <w:numPr>
          <w:ilvl w:val="1"/>
          <w:numId w:val="8"/>
        </w:numPr>
        <w:spacing w:line="360" w:lineRule="auto"/>
        <w:ind w:left="709"/>
        <w:jc w:val="both"/>
        <w:rPr>
          <w:rFonts w:cs="Arial"/>
        </w:rPr>
      </w:pPr>
      <w:r w:rsidRPr="00281A6E">
        <w:rPr>
          <w:rFonts w:cs="Arial"/>
        </w:rPr>
        <w:t xml:space="preserve">Effective monitoring is essential to ensuring human rights compliance </w:t>
      </w:r>
      <w:r>
        <w:rPr>
          <w:rFonts w:cs="Arial"/>
        </w:rPr>
        <w:t xml:space="preserve">and is a </w:t>
      </w:r>
      <w:r w:rsidRPr="00281A6E">
        <w:rPr>
          <w:rFonts w:cs="Arial"/>
        </w:rPr>
        <w:t>recurring requirement of human rights standards.</w:t>
      </w:r>
      <w:r w:rsidRPr="00EB52E9">
        <w:rPr>
          <w:rFonts w:cs="Arial"/>
          <w:vertAlign w:val="superscript"/>
        </w:rPr>
        <w:footnoteReference w:id="37"/>
      </w:r>
      <w:r w:rsidRPr="00281A6E">
        <w:rPr>
          <w:rFonts w:cs="Arial"/>
        </w:rPr>
        <w:t xml:space="preserve"> For monitoring to be effective it “should assess both the steps taken and the results achieved” and “national strategies, policies and plans should use appropriate indicators and benchmarks, disaggregated </w:t>
      </w:r>
      <w:proofErr w:type="gramStart"/>
      <w:r w:rsidRPr="00281A6E">
        <w:rPr>
          <w:rFonts w:cs="Arial"/>
        </w:rPr>
        <w:t>on the basis of</w:t>
      </w:r>
      <w:proofErr w:type="gramEnd"/>
      <w:r w:rsidRPr="00281A6E">
        <w:rPr>
          <w:rFonts w:cs="Arial"/>
        </w:rPr>
        <w:t xml:space="preserve"> the prohibited grounds of discrimination”.</w:t>
      </w:r>
      <w:r w:rsidRPr="000C5FBD">
        <w:rPr>
          <w:rFonts w:cs="Arial"/>
          <w:vertAlign w:val="superscript"/>
        </w:rPr>
        <w:footnoteReference w:id="38"/>
      </w:r>
    </w:p>
    <w:p w14:paraId="1D61637A" w14:textId="77777777" w:rsidR="00281A6E" w:rsidRPr="00281A6E" w:rsidRDefault="00281A6E" w:rsidP="000C5FBD">
      <w:pPr>
        <w:pStyle w:val="ListParagraph"/>
        <w:spacing w:line="360" w:lineRule="auto"/>
        <w:ind w:left="709"/>
        <w:jc w:val="both"/>
        <w:rPr>
          <w:rFonts w:cs="Arial"/>
        </w:rPr>
      </w:pPr>
    </w:p>
    <w:p w14:paraId="08C25A00" w14:textId="77777777" w:rsidR="00560E91" w:rsidRDefault="00281A6E" w:rsidP="00560E91">
      <w:pPr>
        <w:pStyle w:val="ListParagraph"/>
        <w:numPr>
          <w:ilvl w:val="1"/>
          <w:numId w:val="8"/>
        </w:numPr>
        <w:spacing w:line="360" w:lineRule="auto"/>
        <w:ind w:left="709"/>
        <w:jc w:val="both"/>
        <w:rPr>
          <w:rFonts w:cs="Arial"/>
        </w:rPr>
      </w:pPr>
      <w:r w:rsidRPr="00281A6E">
        <w:rPr>
          <w:rFonts w:cs="Arial"/>
        </w:rPr>
        <w:t>Comprehensive monitoring requires a State to “establish and/or strengthen effective national machinery, institutions and procedures, at a high level of Government, and with adequate resources, commitment and authority”.</w:t>
      </w:r>
      <w:r w:rsidRPr="000C5FBD">
        <w:rPr>
          <w:rFonts w:cs="Arial"/>
          <w:vertAlign w:val="superscript"/>
        </w:rPr>
        <w:footnoteReference w:id="39"/>
      </w:r>
      <w:r w:rsidRPr="000C5FBD">
        <w:rPr>
          <w:rFonts w:cs="Arial"/>
        </w:rPr>
        <w:t xml:space="preserve">  </w:t>
      </w:r>
    </w:p>
    <w:p w14:paraId="23035AB0" w14:textId="77777777" w:rsidR="00560E91" w:rsidRPr="00560E91" w:rsidRDefault="00560E91" w:rsidP="00560E91">
      <w:pPr>
        <w:pStyle w:val="ListParagraph"/>
        <w:rPr>
          <w:rFonts w:cs="Arial"/>
        </w:rPr>
      </w:pPr>
    </w:p>
    <w:p w14:paraId="57F57B9C" w14:textId="5C78DA79" w:rsidR="000C5FBD" w:rsidRPr="00C05371" w:rsidRDefault="00AA04D5" w:rsidP="00C05371">
      <w:pPr>
        <w:pStyle w:val="ListParagraph"/>
        <w:numPr>
          <w:ilvl w:val="1"/>
          <w:numId w:val="8"/>
        </w:numPr>
        <w:spacing w:line="360" w:lineRule="auto"/>
        <w:ind w:left="709"/>
        <w:jc w:val="both"/>
      </w:pPr>
      <w:r w:rsidRPr="00BA4E77">
        <w:rPr>
          <w:rFonts w:cs="Arial"/>
        </w:rPr>
        <w:lastRenderedPageBreak/>
        <w:t>The consultation document sets out that there will be a phased and incremental approach to the implementation of the proposed actions over the next ten years.</w:t>
      </w:r>
      <w:r w:rsidR="008E6130" w:rsidRPr="00747633">
        <w:rPr>
          <w:vertAlign w:val="superscript"/>
        </w:rPr>
        <w:footnoteReference w:id="40"/>
      </w:r>
      <w:r w:rsidRPr="00BA4E77">
        <w:rPr>
          <w:rFonts w:cs="Arial"/>
        </w:rPr>
        <w:t xml:space="preserve"> </w:t>
      </w:r>
      <w:r w:rsidR="00F74E16" w:rsidRPr="00BA4E77">
        <w:rPr>
          <w:rFonts w:cs="Arial"/>
        </w:rPr>
        <w:t xml:space="preserve">However, it does not outline how the implementation of the strategy will be monitored. </w:t>
      </w:r>
      <w:r w:rsidR="00AD0EB1" w:rsidRPr="00BA4E77">
        <w:rPr>
          <w:rFonts w:cs="Arial"/>
        </w:rPr>
        <w:t xml:space="preserve">The </w:t>
      </w:r>
      <w:r w:rsidR="008E3642" w:rsidRPr="00BA4E77">
        <w:rPr>
          <w:rFonts w:cs="Arial"/>
        </w:rPr>
        <w:t xml:space="preserve">NIHRC </w:t>
      </w:r>
      <w:r w:rsidR="00AD0EB1" w:rsidRPr="00BA4E77">
        <w:rPr>
          <w:rFonts w:cs="Arial"/>
        </w:rPr>
        <w:t xml:space="preserve">also notes that many of the proposed actions will rely on </w:t>
      </w:r>
      <w:r w:rsidR="008E3642" w:rsidRPr="00BA4E77">
        <w:rPr>
          <w:rFonts w:cs="Arial"/>
        </w:rPr>
        <w:t>cooperation</w:t>
      </w:r>
      <w:r w:rsidR="00AD0EB1" w:rsidRPr="00BA4E77">
        <w:rPr>
          <w:rFonts w:cs="Arial"/>
        </w:rPr>
        <w:t xml:space="preserve"> with civil society organisations and the private sector.</w:t>
      </w:r>
      <w:r w:rsidR="00C73B13" w:rsidRPr="00C73B13">
        <w:t xml:space="preserve"> When delegating to private entities or civil society organisations this should be in the confident knowledge that they are appropriately resourced and best placed to take on the responsibility, including comprehensively trained on human rights obligations</w:t>
      </w:r>
      <w:r w:rsidR="00911193">
        <w:t>.</w:t>
      </w:r>
      <w:r w:rsidR="00EB32D1">
        <w:t xml:space="preserve"> </w:t>
      </w:r>
      <w:r w:rsidR="00B67BDA">
        <w:t xml:space="preserve">The </w:t>
      </w:r>
      <w:r w:rsidR="00B67BDA" w:rsidRPr="00B67BDA">
        <w:t>Department</w:t>
      </w:r>
      <w:r w:rsidR="00B67BDA">
        <w:t xml:space="preserve"> of Health</w:t>
      </w:r>
      <w:r w:rsidR="00B67BDA" w:rsidRPr="00B67BDA">
        <w:t xml:space="preserve"> </w:t>
      </w:r>
      <w:r w:rsidR="00B67BDA">
        <w:t xml:space="preserve">should ensure that </w:t>
      </w:r>
      <w:r w:rsidR="00B67BDA" w:rsidRPr="00B67BDA">
        <w:t>human rights considerations</w:t>
      </w:r>
      <w:r w:rsidR="00B67BDA">
        <w:t xml:space="preserve"> are </w:t>
      </w:r>
      <w:r w:rsidR="00C0423B">
        <w:t>embedded within it</w:t>
      </w:r>
      <w:r w:rsidR="005C53D3">
        <w:t>s</w:t>
      </w:r>
      <w:r w:rsidR="00B67BDA" w:rsidRPr="00B67BDA">
        <w:t xml:space="preserve"> procurement process</w:t>
      </w:r>
      <w:r w:rsidR="00C0423B">
        <w:t>es as required by the Procurement Policy Note on Human Rights.</w:t>
      </w:r>
      <w:r w:rsidR="00C0423B">
        <w:rPr>
          <w:rStyle w:val="FootnoteReference"/>
        </w:rPr>
        <w:footnoteReference w:id="41"/>
      </w:r>
      <w:r w:rsidR="00C0423B">
        <w:t xml:space="preserve">  </w:t>
      </w:r>
      <w:r w:rsidR="00C05371">
        <w:t xml:space="preserve">This should include ensuring that a due diligence process is adhered to when awarding contracts and requiring external agencies </w:t>
      </w:r>
      <w:r w:rsidR="00AB351C">
        <w:t xml:space="preserve">to demonstrate their compliance with human rights standards. </w:t>
      </w:r>
    </w:p>
    <w:p w14:paraId="6AA81748" w14:textId="77777777" w:rsidR="00BA4E77" w:rsidRPr="00BA4E77" w:rsidRDefault="00BA4E77" w:rsidP="00BA4E77">
      <w:pPr>
        <w:spacing w:line="360" w:lineRule="auto"/>
        <w:jc w:val="both"/>
        <w:rPr>
          <w:rFonts w:cs="Arial"/>
        </w:rPr>
      </w:pPr>
    </w:p>
    <w:p w14:paraId="22B04328" w14:textId="3F4BDB8F" w:rsidR="00EB32D1" w:rsidRPr="00C0423B" w:rsidRDefault="008E6130" w:rsidP="00C0423B">
      <w:pPr>
        <w:pStyle w:val="ListParagraph"/>
        <w:numPr>
          <w:ilvl w:val="1"/>
          <w:numId w:val="8"/>
        </w:numPr>
        <w:spacing w:line="360" w:lineRule="auto"/>
        <w:ind w:left="709"/>
        <w:jc w:val="both"/>
        <w:rPr>
          <w:rFonts w:cs="Arial"/>
        </w:rPr>
      </w:pPr>
      <w:r w:rsidRPr="000C5FBD">
        <w:rPr>
          <w:rFonts w:cs="Arial"/>
          <w:b/>
        </w:rPr>
        <w:t xml:space="preserve">The </w:t>
      </w:r>
      <w:r w:rsidR="004C3B38">
        <w:rPr>
          <w:rFonts w:cs="Arial"/>
          <w:b/>
        </w:rPr>
        <w:t>NIHRC</w:t>
      </w:r>
      <w:r w:rsidR="004C3B38" w:rsidRPr="000C5FBD">
        <w:rPr>
          <w:rFonts w:cs="Arial"/>
          <w:b/>
        </w:rPr>
        <w:t xml:space="preserve"> </w:t>
      </w:r>
      <w:r w:rsidRPr="000C5FBD">
        <w:rPr>
          <w:rFonts w:cs="Arial"/>
          <w:b/>
        </w:rPr>
        <w:t>recommends</w:t>
      </w:r>
      <w:r w:rsidR="00F74E16" w:rsidRPr="000C5FBD">
        <w:rPr>
          <w:rFonts w:cs="Arial"/>
          <w:b/>
        </w:rPr>
        <w:t xml:space="preserve"> that</w:t>
      </w:r>
      <w:r w:rsidRPr="000C5FBD">
        <w:rPr>
          <w:rFonts w:cs="Arial"/>
          <w:b/>
        </w:rPr>
        <w:t xml:space="preserve"> </w:t>
      </w:r>
      <w:r w:rsidR="00F74E16" w:rsidRPr="000C5FBD">
        <w:rPr>
          <w:rFonts w:cs="Arial"/>
          <w:b/>
        </w:rPr>
        <w:t>in drafting the strategy, the Department</w:t>
      </w:r>
      <w:r w:rsidRPr="000C5FBD">
        <w:rPr>
          <w:rFonts w:cs="Arial"/>
          <w:b/>
        </w:rPr>
        <w:t xml:space="preserve"> </w:t>
      </w:r>
      <w:r w:rsidR="004C3B38">
        <w:rPr>
          <w:rFonts w:cs="Arial"/>
          <w:b/>
        </w:rPr>
        <w:t xml:space="preserve">of Health </w:t>
      </w:r>
      <w:r w:rsidR="00F74E16" w:rsidRPr="000C5FBD">
        <w:rPr>
          <w:rFonts w:cs="Arial"/>
          <w:b/>
        </w:rPr>
        <w:t>develops a clear and realistic timeframe for delivery</w:t>
      </w:r>
      <w:r w:rsidR="000063EF">
        <w:rPr>
          <w:rFonts w:cs="Arial"/>
          <w:b/>
        </w:rPr>
        <w:t>, using appropriate benchmarks and indicators</w:t>
      </w:r>
      <w:r w:rsidR="00527AF4">
        <w:rPr>
          <w:rFonts w:cs="Arial"/>
          <w:b/>
        </w:rPr>
        <w:t xml:space="preserve"> for</w:t>
      </w:r>
      <w:r w:rsidR="000063EF">
        <w:rPr>
          <w:rFonts w:cs="Arial"/>
          <w:b/>
        </w:rPr>
        <w:t xml:space="preserve"> each agreed action.</w:t>
      </w:r>
      <w:r w:rsidR="00135128">
        <w:rPr>
          <w:rFonts w:cs="Arial"/>
          <w:b/>
        </w:rPr>
        <w:t xml:space="preserve"> </w:t>
      </w:r>
      <w:r w:rsidR="00F74E16" w:rsidRPr="000C5FBD">
        <w:rPr>
          <w:rFonts w:cs="Arial"/>
          <w:b/>
        </w:rPr>
        <w:t xml:space="preserve">This should include provisions for regular reporting </w:t>
      </w:r>
      <w:r w:rsidRPr="000C5FBD">
        <w:rPr>
          <w:rFonts w:cs="Arial"/>
          <w:b/>
        </w:rPr>
        <w:t xml:space="preserve">to the </w:t>
      </w:r>
      <w:r w:rsidR="004C3B38">
        <w:rPr>
          <w:rFonts w:cs="Arial"/>
          <w:b/>
        </w:rPr>
        <w:t xml:space="preserve">NI </w:t>
      </w:r>
      <w:r w:rsidRPr="000C5FBD">
        <w:rPr>
          <w:rFonts w:cs="Arial"/>
          <w:b/>
        </w:rPr>
        <w:t>Committee for Health</w:t>
      </w:r>
      <w:r w:rsidR="0031428F">
        <w:rPr>
          <w:rFonts w:cs="Arial"/>
          <w:b/>
        </w:rPr>
        <w:t>,</w:t>
      </w:r>
      <w:r w:rsidRPr="000C5FBD">
        <w:rPr>
          <w:rFonts w:cs="Arial"/>
          <w:b/>
        </w:rPr>
        <w:t xml:space="preserve"> and an annual report on progress</w:t>
      </w:r>
      <w:r w:rsidR="00F74E16" w:rsidRPr="000C5FBD">
        <w:rPr>
          <w:rFonts w:cs="Arial"/>
          <w:b/>
        </w:rPr>
        <w:t xml:space="preserve">. </w:t>
      </w:r>
    </w:p>
    <w:p w14:paraId="43ADCABB" w14:textId="77777777" w:rsidR="00EB32D1" w:rsidRPr="00EB32D1" w:rsidRDefault="00EB32D1" w:rsidP="00EB32D1">
      <w:pPr>
        <w:pStyle w:val="ListParagraph"/>
        <w:rPr>
          <w:rFonts w:cs="Arial"/>
          <w:b/>
          <w:bCs/>
        </w:rPr>
      </w:pPr>
    </w:p>
    <w:p w14:paraId="0579590A" w14:textId="10B0FF74" w:rsidR="00911193" w:rsidRPr="00BA4E77" w:rsidRDefault="00C07B24" w:rsidP="00BA4E77">
      <w:pPr>
        <w:pStyle w:val="ListParagraph"/>
        <w:numPr>
          <w:ilvl w:val="1"/>
          <w:numId w:val="8"/>
        </w:numPr>
        <w:spacing w:line="360" w:lineRule="auto"/>
        <w:ind w:left="709"/>
        <w:jc w:val="both"/>
        <w:rPr>
          <w:rFonts w:cs="Arial"/>
        </w:rPr>
      </w:pPr>
      <w:r w:rsidRPr="00BA4E77">
        <w:rPr>
          <w:rFonts w:cs="Arial"/>
          <w:b/>
          <w:bCs/>
        </w:rPr>
        <w:t xml:space="preserve">The </w:t>
      </w:r>
      <w:r w:rsidR="00A42455" w:rsidRPr="00BA4E77">
        <w:rPr>
          <w:rFonts w:cs="Arial"/>
          <w:b/>
          <w:bCs/>
        </w:rPr>
        <w:t xml:space="preserve">NIHRC </w:t>
      </w:r>
      <w:r w:rsidRPr="00BA4E77">
        <w:rPr>
          <w:rFonts w:cs="Arial"/>
          <w:b/>
          <w:bCs/>
        </w:rPr>
        <w:t xml:space="preserve">recommends that the Department </w:t>
      </w:r>
      <w:r w:rsidR="00A42455" w:rsidRPr="00BA4E77">
        <w:rPr>
          <w:rFonts w:cs="Arial"/>
          <w:b/>
          <w:bCs/>
        </w:rPr>
        <w:t xml:space="preserve">of Health </w:t>
      </w:r>
      <w:r w:rsidRPr="00BA4E77">
        <w:rPr>
          <w:rFonts w:cs="Arial"/>
          <w:b/>
          <w:bCs/>
        </w:rPr>
        <w:t>ensures that outsourcing of responsibilities to private entities or civil society</w:t>
      </w:r>
      <w:r w:rsidR="00C0423B">
        <w:rPr>
          <w:rFonts w:cs="Arial"/>
          <w:b/>
          <w:bCs/>
        </w:rPr>
        <w:t xml:space="preserve"> is subject to a human rights-based procurement process and</w:t>
      </w:r>
      <w:r w:rsidRPr="00BA4E77">
        <w:rPr>
          <w:rFonts w:cs="Arial"/>
          <w:b/>
          <w:bCs/>
        </w:rPr>
        <w:t xml:space="preserve"> will be</w:t>
      </w:r>
      <w:r w:rsidR="00C0423B">
        <w:rPr>
          <w:rFonts w:cs="Arial"/>
          <w:b/>
          <w:bCs/>
        </w:rPr>
        <w:t xml:space="preserve"> </w:t>
      </w:r>
      <w:r w:rsidRPr="00BA4E77">
        <w:rPr>
          <w:rFonts w:cs="Arial"/>
          <w:b/>
          <w:bCs/>
        </w:rPr>
        <w:t>monitored</w:t>
      </w:r>
      <w:r w:rsidR="00911193" w:rsidRPr="00BA4E77">
        <w:rPr>
          <w:rFonts w:cs="Arial"/>
          <w:b/>
          <w:bCs/>
        </w:rPr>
        <w:t xml:space="preserve"> for human rights compliance.</w:t>
      </w:r>
    </w:p>
    <w:p w14:paraId="3C10D3E4" w14:textId="77777777" w:rsidR="00BA4E77" w:rsidRPr="00BA4E77" w:rsidRDefault="00BA4E77" w:rsidP="00BA4E77">
      <w:pPr>
        <w:spacing w:line="360" w:lineRule="auto"/>
        <w:jc w:val="both"/>
        <w:rPr>
          <w:rFonts w:cs="Arial"/>
        </w:rPr>
      </w:pPr>
    </w:p>
    <w:p w14:paraId="215EEFAB" w14:textId="107EA935" w:rsidR="00911193" w:rsidRPr="00527AF4" w:rsidRDefault="00911193" w:rsidP="00871195">
      <w:pPr>
        <w:pStyle w:val="ListParagraph"/>
        <w:numPr>
          <w:ilvl w:val="1"/>
          <w:numId w:val="8"/>
        </w:numPr>
        <w:spacing w:line="360" w:lineRule="auto"/>
        <w:ind w:left="709"/>
        <w:jc w:val="both"/>
        <w:rPr>
          <w:rFonts w:cs="Arial"/>
          <w:b/>
        </w:rPr>
      </w:pPr>
      <w:r w:rsidRPr="00527AF4">
        <w:rPr>
          <w:rFonts w:cs="Arial"/>
          <w:b/>
        </w:rPr>
        <w:t xml:space="preserve">The NIHRC recommends that the Department of Health ensures that external agencies, particularly civil society organisations, are </w:t>
      </w:r>
      <w:r w:rsidRPr="00527AF4">
        <w:rPr>
          <w:rFonts w:cs="Arial"/>
          <w:b/>
        </w:rPr>
        <w:lastRenderedPageBreak/>
        <w:t xml:space="preserve">appropriately resourced to ensure their long-term sustainability in the provision of care. </w:t>
      </w:r>
    </w:p>
    <w:p w14:paraId="034B68EF" w14:textId="77777777" w:rsidR="000C5FBD" w:rsidRPr="000C5FBD" w:rsidRDefault="000C5FBD" w:rsidP="000C5FBD">
      <w:pPr>
        <w:pStyle w:val="ListParagraph"/>
        <w:rPr>
          <w:rFonts w:cs="Arial"/>
        </w:rPr>
      </w:pPr>
    </w:p>
    <w:p w14:paraId="7F054ED8" w14:textId="556ED139" w:rsidR="00C07B24" w:rsidRDefault="00C07B24" w:rsidP="000C5FBD">
      <w:pPr>
        <w:pStyle w:val="ListParagraph"/>
        <w:numPr>
          <w:ilvl w:val="1"/>
          <w:numId w:val="8"/>
        </w:numPr>
        <w:spacing w:line="360" w:lineRule="auto"/>
        <w:ind w:left="709"/>
        <w:jc w:val="both"/>
        <w:rPr>
          <w:rFonts w:cs="Arial"/>
        </w:rPr>
      </w:pPr>
      <w:r w:rsidRPr="000C5FBD">
        <w:rPr>
          <w:rFonts w:cs="Arial"/>
        </w:rPr>
        <w:t xml:space="preserve">The </w:t>
      </w:r>
      <w:r w:rsidR="00A42455">
        <w:rPr>
          <w:rFonts w:cs="Arial"/>
        </w:rPr>
        <w:t>NIHRC</w:t>
      </w:r>
      <w:r w:rsidR="00A42455" w:rsidRPr="000C5FBD">
        <w:rPr>
          <w:rFonts w:cs="Arial"/>
        </w:rPr>
        <w:t xml:space="preserve"> </w:t>
      </w:r>
      <w:r w:rsidRPr="000C5FBD">
        <w:rPr>
          <w:rFonts w:cs="Arial"/>
        </w:rPr>
        <w:t xml:space="preserve">notes the proposal </w:t>
      </w:r>
      <w:r w:rsidR="00714821" w:rsidRPr="000C5FBD">
        <w:rPr>
          <w:rFonts w:cs="Arial"/>
        </w:rPr>
        <w:t xml:space="preserve">to </w:t>
      </w:r>
      <w:r w:rsidRPr="000C5FBD">
        <w:rPr>
          <w:rFonts w:cs="Arial"/>
        </w:rPr>
        <w:t>adopt a regional approach to data collection in relation to social care staff.</w:t>
      </w:r>
      <w:r w:rsidR="00714821">
        <w:rPr>
          <w:rStyle w:val="FootnoteReference"/>
          <w:rFonts w:cs="Arial"/>
        </w:rPr>
        <w:footnoteReference w:id="42"/>
      </w:r>
      <w:r w:rsidRPr="000C5FBD">
        <w:rPr>
          <w:rFonts w:cs="Arial"/>
        </w:rPr>
        <w:t xml:space="preserve"> </w:t>
      </w:r>
      <w:r w:rsidR="00714821" w:rsidRPr="000C5FBD">
        <w:rPr>
          <w:rFonts w:cs="Arial"/>
        </w:rPr>
        <w:t xml:space="preserve">It is the </w:t>
      </w:r>
      <w:r w:rsidR="00544AF2">
        <w:rPr>
          <w:rFonts w:cs="Arial"/>
        </w:rPr>
        <w:t>NIHRC</w:t>
      </w:r>
      <w:r w:rsidR="00544AF2" w:rsidRPr="000C5FBD">
        <w:rPr>
          <w:rFonts w:cs="Arial"/>
        </w:rPr>
        <w:t xml:space="preserve">’s </w:t>
      </w:r>
      <w:r w:rsidR="00714821" w:rsidRPr="000C5FBD">
        <w:rPr>
          <w:rFonts w:cs="Arial"/>
        </w:rPr>
        <w:t>view that robust disaggregated quantitative and qualitative data of those who engage with social care services is essential to effective</w:t>
      </w:r>
      <w:r w:rsidR="00807FE3" w:rsidRPr="000C5FBD">
        <w:rPr>
          <w:rFonts w:cs="Arial"/>
        </w:rPr>
        <w:t xml:space="preserve">ly implementing law and policy in this area. For example, the </w:t>
      </w:r>
      <w:r w:rsidR="00060C3D">
        <w:rPr>
          <w:rFonts w:cs="Arial"/>
        </w:rPr>
        <w:t xml:space="preserve">UN </w:t>
      </w:r>
      <w:r w:rsidR="00A52691">
        <w:rPr>
          <w:rFonts w:cs="Arial"/>
        </w:rPr>
        <w:t>CRPD Committee</w:t>
      </w:r>
      <w:r w:rsidR="00807FE3" w:rsidRPr="000C5FBD">
        <w:rPr>
          <w:rFonts w:cs="Arial"/>
        </w:rPr>
        <w:t xml:space="preserve"> has found that to fulfil the right to independent living it is necessary to “collect consistent quantitative and qualitative data on people with disabilities, including those still living in institutions”.</w:t>
      </w:r>
      <w:r w:rsidR="00807FE3">
        <w:rPr>
          <w:rStyle w:val="FootnoteReference"/>
          <w:rFonts w:cs="Arial"/>
        </w:rPr>
        <w:footnoteReference w:id="43"/>
      </w:r>
    </w:p>
    <w:p w14:paraId="09AEB341" w14:textId="77777777" w:rsidR="000C5FBD" w:rsidRPr="000C5FBD" w:rsidRDefault="000C5FBD" w:rsidP="000C5FBD">
      <w:pPr>
        <w:pStyle w:val="ListParagraph"/>
        <w:rPr>
          <w:rFonts w:cs="Arial"/>
        </w:rPr>
      </w:pPr>
    </w:p>
    <w:p w14:paraId="0E1F75B2" w14:textId="1A615948" w:rsidR="00C07B24" w:rsidRPr="0031428F" w:rsidRDefault="001642A1" w:rsidP="0031428F">
      <w:pPr>
        <w:pStyle w:val="ListParagraph"/>
        <w:numPr>
          <w:ilvl w:val="1"/>
          <w:numId w:val="8"/>
        </w:numPr>
        <w:spacing w:line="360" w:lineRule="auto"/>
        <w:ind w:left="709"/>
        <w:jc w:val="both"/>
        <w:rPr>
          <w:rFonts w:cs="Arial"/>
        </w:rPr>
      </w:pPr>
      <w:r w:rsidRPr="000C5FBD">
        <w:rPr>
          <w:rFonts w:cs="Arial"/>
          <w:b/>
          <w:bCs/>
        </w:rPr>
        <w:t xml:space="preserve">The </w:t>
      </w:r>
      <w:r w:rsidR="00060C3D">
        <w:rPr>
          <w:rFonts w:cs="Arial"/>
          <w:b/>
          <w:bCs/>
        </w:rPr>
        <w:t>NIHRC</w:t>
      </w:r>
      <w:r w:rsidR="00060C3D" w:rsidRPr="000C5FBD">
        <w:rPr>
          <w:rFonts w:cs="Arial"/>
          <w:b/>
          <w:bCs/>
        </w:rPr>
        <w:t xml:space="preserve"> </w:t>
      </w:r>
      <w:r w:rsidRPr="000C5FBD">
        <w:rPr>
          <w:rFonts w:cs="Arial"/>
          <w:b/>
          <w:bCs/>
        </w:rPr>
        <w:t xml:space="preserve">recommends that </w:t>
      </w:r>
      <w:r w:rsidR="00060C3D">
        <w:rPr>
          <w:rFonts w:cs="Arial"/>
          <w:b/>
          <w:bCs/>
        </w:rPr>
        <w:t xml:space="preserve">the </w:t>
      </w:r>
      <w:r w:rsidRPr="000C5FBD">
        <w:rPr>
          <w:rFonts w:cs="Arial"/>
          <w:b/>
          <w:bCs/>
        </w:rPr>
        <w:t xml:space="preserve">Department </w:t>
      </w:r>
      <w:r w:rsidR="00060C3D">
        <w:rPr>
          <w:rFonts w:cs="Arial"/>
          <w:b/>
          <w:bCs/>
        </w:rPr>
        <w:t xml:space="preserve">of Health </w:t>
      </w:r>
      <w:r w:rsidR="0031428F" w:rsidRPr="000C5FBD">
        <w:rPr>
          <w:rFonts w:cs="Arial"/>
          <w:b/>
          <w:bCs/>
        </w:rPr>
        <w:t>commit</w:t>
      </w:r>
      <w:r w:rsidR="0031428F">
        <w:rPr>
          <w:rFonts w:cs="Arial"/>
          <w:b/>
          <w:bCs/>
        </w:rPr>
        <w:t>s</w:t>
      </w:r>
      <w:r w:rsidR="0031428F" w:rsidRPr="000C5FBD">
        <w:rPr>
          <w:rFonts w:cs="Arial"/>
          <w:b/>
          <w:bCs/>
        </w:rPr>
        <w:t xml:space="preserve"> </w:t>
      </w:r>
      <w:r w:rsidRPr="000C5FBD">
        <w:rPr>
          <w:rFonts w:cs="Arial"/>
          <w:b/>
          <w:bCs/>
        </w:rPr>
        <w:t xml:space="preserve">to </w:t>
      </w:r>
      <w:r w:rsidR="00BC6824">
        <w:rPr>
          <w:rFonts w:cs="Arial"/>
          <w:b/>
          <w:bCs/>
        </w:rPr>
        <w:t xml:space="preserve">consistently </w:t>
      </w:r>
      <w:r w:rsidRPr="000C5FBD">
        <w:rPr>
          <w:rFonts w:cs="Arial"/>
          <w:b/>
          <w:bCs/>
        </w:rPr>
        <w:t xml:space="preserve">collect, </w:t>
      </w:r>
      <w:proofErr w:type="gramStart"/>
      <w:r w:rsidRPr="000C5FBD">
        <w:rPr>
          <w:rFonts w:cs="Arial"/>
          <w:b/>
          <w:bCs/>
        </w:rPr>
        <w:t>monitor</w:t>
      </w:r>
      <w:proofErr w:type="gramEnd"/>
      <w:r w:rsidRPr="000C5FBD">
        <w:rPr>
          <w:rFonts w:cs="Arial"/>
          <w:b/>
          <w:bCs/>
        </w:rPr>
        <w:t xml:space="preserve"> and publish robust data </w:t>
      </w:r>
      <w:r w:rsidR="00AD0EB1">
        <w:rPr>
          <w:rFonts w:cs="Arial"/>
          <w:b/>
          <w:bCs/>
        </w:rPr>
        <w:t xml:space="preserve">that is </w:t>
      </w:r>
      <w:r w:rsidRPr="000C5FBD">
        <w:rPr>
          <w:rFonts w:cs="Arial"/>
          <w:b/>
          <w:bCs/>
        </w:rPr>
        <w:t>comprehensively disaggregated and offer</w:t>
      </w:r>
      <w:r w:rsidR="0031428F">
        <w:rPr>
          <w:rFonts w:cs="Arial"/>
          <w:b/>
          <w:bCs/>
        </w:rPr>
        <w:t>s</w:t>
      </w:r>
      <w:r w:rsidRPr="000C5FBD">
        <w:rPr>
          <w:rFonts w:cs="Arial"/>
          <w:b/>
          <w:bCs/>
        </w:rPr>
        <w:t xml:space="preserve"> an opportunity for comparison across time and jurisdictions.</w:t>
      </w:r>
    </w:p>
    <w:p w14:paraId="67F2E02A" w14:textId="77777777" w:rsidR="00281A6E" w:rsidRDefault="00281A6E" w:rsidP="00281A6E">
      <w:pPr>
        <w:pStyle w:val="ListParagraph"/>
        <w:rPr>
          <w:rFonts w:cs="Arial"/>
          <w:b/>
          <w:color w:val="77328A"/>
          <w:sz w:val="30"/>
          <w:szCs w:val="30"/>
        </w:rPr>
      </w:pPr>
    </w:p>
    <w:p w14:paraId="5807858F" w14:textId="2CB4E756" w:rsidR="00307B50" w:rsidRPr="00EC12D7" w:rsidRDefault="009D6DA7" w:rsidP="00EC12D7">
      <w:pPr>
        <w:pStyle w:val="Heading1"/>
      </w:pPr>
      <w:bookmarkStart w:id="6" w:name="_Toc106894210"/>
      <w:r>
        <w:t>5.0</w:t>
      </w:r>
      <w:r>
        <w:tab/>
      </w:r>
      <w:r w:rsidR="00594414" w:rsidRPr="00594414">
        <w:t>Strat</w:t>
      </w:r>
      <w:r w:rsidR="00F74E16">
        <w:t xml:space="preserve">egic </w:t>
      </w:r>
      <w:r w:rsidR="00F13CF5">
        <w:t>P</w:t>
      </w:r>
      <w:r w:rsidR="00F74E16">
        <w:t>riority 1</w:t>
      </w:r>
      <w:r w:rsidR="00F13CF5">
        <w:t xml:space="preserve"> </w:t>
      </w:r>
      <w:r w:rsidR="00AA04D5">
        <w:t xml:space="preserve">- </w:t>
      </w:r>
      <w:r w:rsidR="00F13CF5">
        <w:t>S</w:t>
      </w:r>
      <w:r w:rsidR="00AA04D5">
        <w:t xml:space="preserve">ustainable </w:t>
      </w:r>
      <w:r w:rsidR="00F13CF5">
        <w:t>S</w:t>
      </w:r>
      <w:r w:rsidR="00AA04D5">
        <w:t xml:space="preserve">ystems </w:t>
      </w:r>
      <w:r w:rsidR="00F13CF5">
        <w:t>B</w:t>
      </w:r>
      <w:r w:rsidR="00AA04D5">
        <w:t>uilding</w:t>
      </w:r>
      <w:bookmarkEnd w:id="6"/>
    </w:p>
    <w:p w14:paraId="13C00F81" w14:textId="77777777" w:rsidR="00BA4E77" w:rsidRPr="00BA4E77" w:rsidRDefault="00BA4E77" w:rsidP="00BA4E77">
      <w:pPr>
        <w:pStyle w:val="ListParagraph"/>
        <w:numPr>
          <w:ilvl w:val="0"/>
          <w:numId w:val="8"/>
        </w:numPr>
        <w:spacing w:line="360" w:lineRule="auto"/>
        <w:jc w:val="both"/>
        <w:rPr>
          <w:rFonts w:cs="Arial"/>
          <w:bCs/>
          <w:vanish/>
        </w:rPr>
      </w:pPr>
    </w:p>
    <w:p w14:paraId="339BAEAB" w14:textId="6DBA00DD" w:rsidR="000C5FBD" w:rsidRDefault="000C5FBD" w:rsidP="00BA4E77">
      <w:pPr>
        <w:pStyle w:val="ListParagraph"/>
        <w:numPr>
          <w:ilvl w:val="1"/>
          <w:numId w:val="8"/>
        </w:numPr>
        <w:spacing w:line="360" w:lineRule="auto"/>
        <w:ind w:left="709"/>
        <w:jc w:val="both"/>
        <w:rPr>
          <w:rFonts w:cs="Arial"/>
          <w:bCs/>
        </w:rPr>
      </w:pPr>
      <w:r w:rsidRPr="000C5FBD">
        <w:rPr>
          <w:rFonts w:cs="Arial"/>
          <w:bCs/>
        </w:rPr>
        <w:t xml:space="preserve">The </w:t>
      </w:r>
      <w:r w:rsidR="00F13CF5">
        <w:rPr>
          <w:rFonts w:cs="Arial"/>
          <w:bCs/>
        </w:rPr>
        <w:t>NIHRC</w:t>
      </w:r>
      <w:r w:rsidR="00F13CF5" w:rsidRPr="000C5FBD">
        <w:rPr>
          <w:rFonts w:cs="Arial"/>
          <w:bCs/>
        </w:rPr>
        <w:t xml:space="preserve"> </w:t>
      </w:r>
      <w:r w:rsidRPr="000C5FBD">
        <w:rPr>
          <w:rFonts w:cs="Arial"/>
          <w:bCs/>
        </w:rPr>
        <w:t>recognises the concern that “</w:t>
      </w:r>
      <w:r w:rsidR="0075294B">
        <w:rPr>
          <w:rFonts w:cs="Arial"/>
          <w:bCs/>
        </w:rPr>
        <w:t>c</w:t>
      </w:r>
      <w:r w:rsidRPr="000C5FBD">
        <w:rPr>
          <w:rFonts w:cs="Arial"/>
          <w:bCs/>
        </w:rPr>
        <w:t>urrent procurement, contracting and monitoring processes can drive a short term, cost focused system of service provision with a focus on the transactional time for task arrangements rather than a personalised outcomes model of care”.</w:t>
      </w:r>
      <w:r w:rsidR="00090814">
        <w:rPr>
          <w:rStyle w:val="FootnoteReference"/>
          <w:rFonts w:cs="Arial"/>
          <w:bCs/>
        </w:rPr>
        <w:footnoteReference w:id="44"/>
      </w:r>
      <w:r w:rsidRPr="000C5FBD">
        <w:rPr>
          <w:rFonts w:cs="Arial"/>
          <w:bCs/>
        </w:rPr>
        <w:t xml:space="preserve">  This is inconsistent with a human </w:t>
      </w:r>
      <w:proofErr w:type="gramStart"/>
      <w:r w:rsidRPr="000C5FBD">
        <w:rPr>
          <w:rFonts w:cs="Arial"/>
          <w:bCs/>
        </w:rPr>
        <w:t>rights based</w:t>
      </w:r>
      <w:proofErr w:type="gramEnd"/>
      <w:r w:rsidRPr="000C5FBD">
        <w:rPr>
          <w:rFonts w:cs="Arial"/>
          <w:bCs/>
        </w:rPr>
        <w:t xml:space="preserve"> approach to social care embedded with</w:t>
      </w:r>
      <w:r w:rsidR="002F71EC">
        <w:rPr>
          <w:rFonts w:cs="Arial"/>
          <w:bCs/>
        </w:rPr>
        <w:t>in</w:t>
      </w:r>
      <w:r w:rsidRPr="000C5FBD">
        <w:rPr>
          <w:rFonts w:cs="Arial"/>
          <w:bCs/>
        </w:rPr>
        <w:t xml:space="preserve"> the FREDA principles. As suggested in the Power to People report, “the care sector is not the right place for a ‘profit maximisation’ business model”.</w:t>
      </w:r>
      <w:r w:rsidR="00EB52E9">
        <w:rPr>
          <w:rStyle w:val="FootnoteReference"/>
          <w:rFonts w:cs="Arial"/>
          <w:bCs/>
        </w:rPr>
        <w:footnoteReference w:id="45"/>
      </w:r>
      <w:r w:rsidRPr="000C5FBD">
        <w:rPr>
          <w:rFonts w:cs="Arial"/>
          <w:bCs/>
        </w:rPr>
        <w:t xml:space="preserve">  </w:t>
      </w:r>
    </w:p>
    <w:p w14:paraId="7688A94A" w14:textId="77777777" w:rsidR="000C5FBD" w:rsidRDefault="000C5FBD" w:rsidP="000C5FBD">
      <w:pPr>
        <w:pStyle w:val="ListParagraph"/>
        <w:spacing w:line="360" w:lineRule="auto"/>
        <w:ind w:left="709"/>
        <w:jc w:val="both"/>
        <w:rPr>
          <w:rFonts w:cs="Arial"/>
          <w:bCs/>
        </w:rPr>
      </w:pPr>
    </w:p>
    <w:p w14:paraId="73D36D8C" w14:textId="531EF3EA" w:rsidR="00DB51E6" w:rsidRPr="000C5FBD" w:rsidRDefault="00307B50" w:rsidP="000C5FBD">
      <w:pPr>
        <w:pStyle w:val="ListParagraph"/>
        <w:numPr>
          <w:ilvl w:val="1"/>
          <w:numId w:val="8"/>
        </w:numPr>
        <w:spacing w:line="360" w:lineRule="auto"/>
        <w:ind w:left="709"/>
        <w:jc w:val="both"/>
        <w:rPr>
          <w:rFonts w:cs="Arial"/>
          <w:bCs/>
        </w:rPr>
      </w:pPr>
      <w:r w:rsidRPr="000C5FBD">
        <w:rPr>
          <w:rFonts w:cs="Arial"/>
          <w:bCs/>
        </w:rPr>
        <w:t xml:space="preserve">The </w:t>
      </w:r>
      <w:r w:rsidR="001441E7">
        <w:rPr>
          <w:rFonts w:cs="Arial"/>
          <w:bCs/>
        </w:rPr>
        <w:t>NIHRC</w:t>
      </w:r>
      <w:r w:rsidR="001441E7" w:rsidRPr="000C5FBD">
        <w:rPr>
          <w:rFonts w:cs="Arial"/>
          <w:bCs/>
        </w:rPr>
        <w:t xml:space="preserve"> </w:t>
      </w:r>
      <w:r w:rsidR="00B54888" w:rsidRPr="000C5FBD">
        <w:rPr>
          <w:rFonts w:cs="Arial"/>
          <w:bCs/>
        </w:rPr>
        <w:t>notes</w:t>
      </w:r>
      <w:r w:rsidRPr="000C5FBD">
        <w:rPr>
          <w:rFonts w:cs="Arial"/>
          <w:bCs/>
        </w:rPr>
        <w:t xml:space="preserve"> the proposals set out in </w:t>
      </w:r>
      <w:r w:rsidR="004A6235">
        <w:rPr>
          <w:rFonts w:cs="Arial"/>
          <w:bCs/>
        </w:rPr>
        <w:t>A</w:t>
      </w:r>
      <w:r w:rsidRPr="000C5FBD">
        <w:rPr>
          <w:rFonts w:cs="Arial"/>
          <w:bCs/>
        </w:rPr>
        <w:t>ctions 6 and 7 in relation to regionally consistent tariff setting for adult social care services and increased powers of inspection and regulation in relation to overhead and management costs and levels of profit.</w:t>
      </w:r>
      <w:r w:rsidRPr="00EB52E9">
        <w:rPr>
          <w:rFonts w:cs="Arial"/>
          <w:vertAlign w:val="superscript"/>
        </w:rPr>
        <w:footnoteReference w:id="46"/>
      </w:r>
      <w:r w:rsidRPr="000C5FBD">
        <w:rPr>
          <w:rFonts w:cs="Arial"/>
          <w:bCs/>
        </w:rPr>
        <w:t xml:space="preserve"> As outlined on page 32 of the consultation document, it is important that any regulated level of cost “would be flexible enough to accommodate smaller scale providers who cannot offer economies of scale but can provide added value in other ways”.</w:t>
      </w:r>
      <w:r w:rsidR="00B54888" w:rsidRPr="00EB52E9">
        <w:rPr>
          <w:rFonts w:cs="Arial"/>
          <w:vertAlign w:val="superscript"/>
        </w:rPr>
        <w:footnoteReference w:id="47"/>
      </w:r>
      <w:r w:rsidR="00B54888" w:rsidRPr="000C5FBD">
        <w:rPr>
          <w:rFonts w:cs="Arial"/>
          <w:bCs/>
        </w:rPr>
        <w:t xml:space="preserve"> </w:t>
      </w:r>
      <w:r w:rsidR="001005CF" w:rsidRPr="000C5FBD">
        <w:rPr>
          <w:rFonts w:cs="Arial"/>
          <w:bCs/>
        </w:rPr>
        <w:t>The</w:t>
      </w:r>
      <w:r w:rsidR="00B54888" w:rsidRPr="000C5FBD">
        <w:rPr>
          <w:rFonts w:cs="Arial"/>
          <w:bCs/>
        </w:rPr>
        <w:t xml:space="preserve"> </w:t>
      </w:r>
      <w:r w:rsidR="001441E7">
        <w:rPr>
          <w:rFonts w:cs="Arial"/>
          <w:bCs/>
        </w:rPr>
        <w:t>NIHRC</w:t>
      </w:r>
      <w:r w:rsidR="001441E7" w:rsidRPr="000C5FBD">
        <w:rPr>
          <w:rFonts w:cs="Arial"/>
          <w:bCs/>
        </w:rPr>
        <w:t xml:space="preserve"> </w:t>
      </w:r>
      <w:r w:rsidR="00B54888" w:rsidRPr="000C5FBD">
        <w:rPr>
          <w:rFonts w:cs="Arial"/>
          <w:bCs/>
        </w:rPr>
        <w:t>welcomes more regional consistency in t</w:t>
      </w:r>
      <w:r w:rsidR="001005CF" w:rsidRPr="000C5FBD">
        <w:rPr>
          <w:rFonts w:cs="Arial"/>
          <w:bCs/>
        </w:rPr>
        <w:t>erms of social care costs, but notes that this mus</w:t>
      </w:r>
      <w:r w:rsidR="00B54888" w:rsidRPr="000C5FBD">
        <w:rPr>
          <w:rFonts w:cs="Arial"/>
          <w:bCs/>
        </w:rPr>
        <w:t>t allow scope for person-centre</w:t>
      </w:r>
      <w:r w:rsidR="00961F43">
        <w:rPr>
          <w:rFonts w:cs="Arial"/>
          <w:bCs/>
        </w:rPr>
        <w:t>d</w:t>
      </w:r>
      <w:r w:rsidR="00B54888" w:rsidRPr="000C5FBD">
        <w:rPr>
          <w:rFonts w:cs="Arial"/>
          <w:bCs/>
        </w:rPr>
        <w:t xml:space="preserve"> care planning to address the specific support requirements of each individual. </w:t>
      </w:r>
    </w:p>
    <w:p w14:paraId="111E82D5" w14:textId="77777777" w:rsidR="00DB51E6" w:rsidRPr="000C5FBD" w:rsidRDefault="00DB51E6" w:rsidP="000C5FBD">
      <w:pPr>
        <w:pStyle w:val="ListParagraph"/>
        <w:spacing w:line="360" w:lineRule="auto"/>
        <w:ind w:left="709"/>
        <w:jc w:val="both"/>
        <w:rPr>
          <w:rFonts w:cs="Arial"/>
          <w:bCs/>
        </w:rPr>
      </w:pPr>
    </w:p>
    <w:p w14:paraId="5A8DD94E" w14:textId="057D8E3B" w:rsidR="00CC5E1E" w:rsidRPr="000C5FBD" w:rsidRDefault="00CC5E1E" w:rsidP="000C5FBD">
      <w:pPr>
        <w:pStyle w:val="ListParagraph"/>
        <w:numPr>
          <w:ilvl w:val="1"/>
          <w:numId w:val="8"/>
        </w:numPr>
        <w:spacing w:line="360" w:lineRule="auto"/>
        <w:ind w:left="709"/>
        <w:jc w:val="both"/>
        <w:rPr>
          <w:rFonts w:cs="Arial"/>
          <w:bCs/>
        </w:rPr>
      </w:pPr>
      <w:r w:rsidRPr="000C5FBD">
        <w:rPr>
          <w:rFonts w:cs="Arial"/>
          <w:bCs/>
        </w:rPr>
        <w:t xml:space="preserve">The </w:t>
      </w:r>
      <w:r w:rsidR="00F53CA8">
        <w:rPr>
          <w:rFonts w:cs="Arial"/>
          <w:bCs/>
        </w:rPr>
        <w:t>NIHRC</w:t>
      </w:r>
      <w:r w:rsidR="00F53CA8" w:rsidRPr="000C5FBD">
        <w:rPr>
          <w:rFonts w:cs="Arial"/>
          <w:bCs/>
        </w:rPr>
        <w:t xml:space="preserve"> </w:t>
      </w:r>
      <w:r w:rsidR="001005CF" w:rsidRPr="000C5FBD">
        <w:rPr>
          <w:rFonts w:cs="Arial"/>
          <w:bCs/>
        </w:rPr>
        <w:t>also</w:t>
      </w:r>
      <w:r w:rsidRPr="000C5FBD">
        <w:rPr>
          <w:rFonts w:cs="Arial"/>
          <w:bCs/>
        </w:rPr>
        <w:t xml:space="preserve"> welcomes the assertion that “agreed regional bandings would have to reflect the true cost of providing the model of care that is being commissioned”.</w:t>
      </w:r>
      <w:r w:rsidRPr="00EB52E9">
        <w:rPr>
          <w:rFonts w:cs="Arial"/>
          <w:vertAlign w:val="superscript"/>
        </w:rPr>
        <w:footnoteReference w:id="48"/>
      </w:r>
      <w:r w:rsidRPr="000C5FBD">
        <w:rPr>
          <w:rFonts w:cs="Arial"/>
          <w:bCs/>
        </w:rPr>
        <w:t xml:space="preserve"> </w:t>
      </w:r>
      <w:r w:rsidR="00DB51E6" w:rsidRPr="000C5FBD">
        <w:rPr>
          <w:rFonts w:cs="Arial"/>
          <w:bCs/>
        </w:rPr>
        <w:t xml:space="preserve">This should </w:t>
      </w:r>
      <w:r w:rsidR="00216225" w:rsidRPr="000C5FBD">
        <w:rPr>
          <w:rFonts w:cs="Arial"/>
          <w:bCs/>
        </w:rPr>
        <w:t xml:space="preserve">fully consider </w:t>
      </w:r>
      <w:r w:rsidR="00DB51E6" w:rsidRPr="000C5FBD">
        <w:rPr>
          <w:rFonts w:cs="Arial"/>
          <w:bCs/>
        </w:rPr>
        <w:t xml:space="preserve">the cost of care delivery that is human rights compliant and supports the full realisation of the rights of those being supported. </w:t>
      </w:r>
    </w:p>
    <w:p w14:paraId="0ED65A75" w14:textId="77777777" w:rsidR="00F04E79" w:rsidRPr="000C5FBD" w:rsidRDefault="00F04E79" w:rsidP="000C5FBD">
      <w:pPr>
        <w:pStyle w:val="ListParagraph"/>
        <w:spacing w:line="360" w:lineRule="auto"/>
        <w:ind w:left="709"/>
        <w:jc w:val="both"/>
        <w:rPr>
          <w:rFonts w:cs="Arial"/>
          <w:bCs/>
        </w:rPr>
      </w:pPr>
    </w:p>
    <w:p w14:paraId="5058FB2B" w14:textId="16C5AD2B" w:rsidR="00CC5E1E" w:rsidRDefault="00CC5E1E" w:rsidP="000C5FBD">
      <w:pPr>
        <w:pStyle w:val="ListParagraph"/>
        <w:numPr>
          <w:ilvl w:val="1"/>
          <w:numId w:val="8"/>
        </w:numPr>
        <w:spacing w:line="360" w:lineRule="auto"/>
        <w:ind w:left="709"/>
        <w:jc w:val="both"/>
        <w:rPr>
          <w:rFonts w:cs="Arial"/>
          <w:b/>
          <w:bCs/>
        </w:rPr>
      </w:pPr>
      <w:r w:rsidRPr="000C5FBD">
        <w:rPr>
          <w:rFonts w:cs="Arial"/>
          <w:b/>
          <w:bCs/>
        </w:rPr>
        <w:t xml:space="preserve">The </w:t>
      </w:r>
      <w:r w:rsidR="00F53CA8">
        <w:rPr>
          <w:rFonts w:cs="Arial"/>
          <w:b/>
          <w:bCs/>
        </w:rPr>
        <w:t>NIHRC</w:t>
      </w:r>
      <w:r w:rsidR="00F53CA8" w:rsidRPr="000C5FBD">
        <w:rPr>
          <w:rFonts w:cs="Arial"/>
          <w:b/>
          <w:bCs/>
        </w:rPr>
        <w:t xml:space="preserve"> </w:t>
      </w:r>
      <w:r w:rsidRPr="000C5FBD">
        <w:rPr>
          <w:rFonts w:cs="Arial"/>
          <w:b/>
          <w:bCs/>
        </w:rPr>
        <w:t xml:space="preserve">recommends </w:t>
      </w:r>
      <w:r w:rsidR="00EF45D2">
        <w:rPr>
          <w:rFonts w:cs="Arial"/>
          <w:b/>
          <w:bCs/>
        </w:rPr>
        <w:t xml:space="preserve">the Department of Health ensures </w:t>
      </w:r>
      <w:r w:rsidRPr="000C5FBD">
        <w:rPr>
          <w:rFonts w:cs="Arial"/>
          <w:b/>
          <w:bCs/>
        </w:rPr>
        <w:t xml:space="preserve">that decisions on cost </w:t>
      </w:r>
      <w:r w:rsidR="001005CF" w:rsidRPr="000C5FBD">
        <w:rPr>
          <w:rFonts w:cs="Arial"/>
          <w:b/>
          <w:bCs/>
        </w:rPr>
        <w:t xml:space="preserve">bandings as part of </w:t>
      </w:r>
      <w:r w:rsidR="00EF45D2">
        <w:rPr>
          <w:rFonts w:cs="Arial"/>
          <w:b/>
          <w:bCs/>
        </w:rPr>
        <w:t xml:space="preserve">the </w:t>
      </w:r>
      <w:r w:rsidR="001005CF" w:rsidRPr="000C5FBD">
        <w:rPr>
          <w:rFonts w:cs="Arial"/>
          <w:b/>
          <w:bCs/>
        </w:rPr>
        <w:t xml:space="preserve">tariff setting exercise </w:t>
      </w:r>
      <w:r w:rsidR="00F04E79" w:rsidRPr="000C5FBD">
        <w:rPr>
          <w:rFonts w:cs="Arial"/>
          <w:b/>
          <w:bCs/>
        </w:rPr>
        <w:t xml:space="preserve">are informed by human rights standards and principles that centre on the dignity of those availing of social care services. </w:t>
      </w:r>
    </w:p>
    <w:p w14:paraId="00A87119" w14:textId="77777777" w:rsidR="000C5FBD" w:rsidRPr="000C5FBD" w:rsidRDefault="000C5FBD" w:rsidP="000C5FBD">
      <w:pPr>
        <w:pStyle w:val="ListParagraph"/>
        <w:rPr>
          <w:rFonts w:cs="Arial"/>
          <w:b/>
          <w:bCs/>
        </w:rPr>
      </w:pPr>
    </w:p>
    <w:p w14:paraId="590782B4" w14:textId="3D259057" w:rsidR="00FB2A01" w:rsidRDefault="00FB2A01" w:rsidP="000C5FBD">
      <w:pPr>
        <w:pStyle w:val="ListParagraph"/>
        <w:numPr>
          <w:ilvl w:val="1"/>
          <w:numId w:val="8"/>
        </w:numPr>
        <w:spacing w:line="360" w:lineRule="auto"/>
        <w:ind w:left="709"/>
        <w:jc w:val="both"/>
        <w:rPr>
          <w:rFonts w:cs="Arial"/>
          <w:bCs/>
        </w:rPr>
      </w:pPr>
      <w:r w:rsidRPr="000C5FBD">
        <w:rPr>
          <w:rFonts w:cs="Arial"/>
          <w:bCs/>
        </w:rPr>
        <w:t xml:space="preserve">The </w:t>
      </w:r>
      <w:r w:rsidR="00EF45D2">
        <w:rPr>
          <w:rFonts w:cs="Arial"/>
          <w:bCs/>
        </w:rPr>
        <w:t>NIHRC</w:t>
      </w:r>
      <w:r w:rsidR="00EF45D2" w:rsidRPr="000C5FBD">
        <w:rPr>
          <w:rFonts w:cs="Arial"/>
          <w:bCs/>
        </w:rPr>
        <w:t xml:space="preserve"> </w:t>
      </w:r>
      <w:r w:rsidRPr="000C5FBD">
        <w:rPr>
          <w:rFonts w:cs="Arial"/>
          <w:bCs/>
        </w:rPr>
        <w:t>notes that there is currently a level of inconsistency in the availability of social care based on geogr</w:t>
      </w:r>
      <w:r w:rsidR="00EB52E9">
        <w:rPr>
          <w:rFonts w:cs="Arial"/>
          <w:bCs/>
        </w:rPr>
        <w:t>aphical setting</w:t>
      </w:r>
      <w:r w:rsidR="00EF45D2">
        <w:rPr>
          <w:rFonts w:cs="Arial"/>
          <w:bCs/>
        </w:rPr>
        <w:t>,</w:t>
      </w:r>
      <w:r w:rsidR="00CE5157">
        <w:rPr>
          <w:rStyle w:val="FootnoteReference"/>
          <w:rFonts w:cs="Arial"/>
          <w:bCs/>
        </w:rPr>
        <w:footnoteReference w:id="49"/>
      </w:r>
      <w:r w:rsidR="00EB52E9">
        <w:rPr>
          <w:rFonts w:cs="Arial"/>
          <w:bCs/>
        </w:rPr>
        <w:t xml:space="preserve"> </w:t>
      </w:r>
      <w:r w:rsidR="00B840AD">
        <w:rPr>
          <w:rFonts w:cs="Arial"/>
          <w:bCs/>
        </w:rPr>
        <w:t xml:space="preserve">which </w:t>
      </w:r>
      <w:r w:rsidR="00C25291" w:rsidRPr="000C5FBD">
        <w:rPr>
          <w:rFonts w:cs="Arial"/>
          <w:bCs/>
        </w:rPr>
        <w:t>risks leaving certain</w:t>
      </w:r>
      <w:r w:rsidRPr="000C5FBD">
        <w:rPr>
          <w:rFonts w:cs="Arial"/>
          <w:bCs/>
        </w:rPr>
        <w:t xml:space="preserve"> individuals less able to realise their rights </w:t>
      </w:r>
      <w:proofErr w:type="gramStart"/>
      <w:r w:rsidRPr="000C5FBD">
        <w:rPr>
          <w:rFonts w:cs="Arial"/>
          <w:bCs/>
        </w:rPr>
        <w:t>as a result of</w:t>
      </w:r>
      <w:proofErr w:type="gramEnd"/>
      <w:r w:rsidRPr="000C5FBD">
        <w:rPr>
          <w:rFonts w:cs="Arial"/>
          <w:bCs/>
        </w:rPr>
        <w:t xml:space="preserve"> their location. </w:t>
      </w:r>
    </w:p>
    <w:p w14:paraId="102E1D32" w14:textId="77777777" w:rsidR="000C5FBD" w:rsidRPr="000C5FBD" w:rsidRDefault="000C5FBD" w:rsidP="000C5FBD">
      <w:pPr>
        <w:pStyle w:val="ListParagraph"/>
        <w:rPr>
          <w:rFonts w:cs="Arial"/>
          <w:bCs/>
        </w:rPr>
      </w:pPr>
    </w:p>
    <w:p w14:paraId="5422B206" w14:textId="1F0610B2" w:rsidR="00C25291" w:rsidRPr="000C5FBD" w:rsidRDefault="00C25291" w:rsidP="00C25291">
      <w:pPr>
        <w:pStyle w:val="ListParagraph"/>
        <w:numPr>
          <w:ilvl w:val="1"/>
          <w:numId w:val="8"/>
        </w:numPr>
        <w:spacing w:line="360" w:lineRule="auto"/>
        <w:ind w:left="709"/>
        <w:jc w:val="both"/>
        <w:rPr>
          <w:rFonts w:cs="Arial"/>
          <w:bCs/>
        </w:rPr>
      </w:pPr>
      <w:r w:rsidRPr="000C5FBD">
        <w:rPr>
          <w:rFonts w:cs="Arial"/>
          <w:bCs/>
        </w:rPr>
        <w:t xml:space="preserve">The </w:t>
      </w:r>
      <w:r w:rsidR="00EF45D2">
        <w:rPr>
          <w:rFonts w:cs="Arial"/>
          <w:bCs/>
        </w:rPr>
        <w:t>UN ICESCR Committee</w:t>
      </w:r>
      <w:r w:rsidRPr="000C5FBD">
        <w:rPr>
          <w:rFonts w:cs="Arial"/>
          <w:bCs/>
        </w:rPr>
        <w:t xml:space="preserve"> </w:t>
      </w:r>
      <w:r w:rsidR="00EF45D2">
        <w:rPr>
          <w:rFonts w:cs="Arial"/>
          <w:bCs/>
        </w:rPr>
        <w:t>makes clear</w:t>
      </w:r>
      <w:r w:rsidR="00275CEE" w:rsidRPr="000C5FBD">
        <w:rPr>
          <w:rFonts w:cs="Arial"/>
          <w:bCs/>
        </w:rPr>
        <w:t xml:space="preserve"> </w:t>
      </w:r>
      <w:r w:rsidRPr="000C5FBD">
        <w:rPr>
          <w:rFonts w:cs="Arial"/>
          <w:bCs/>
        </w:rPr>
        <w:t xml:space="preserve">that: </w:t>
      </w:r>
    </w:p>
    <w:p w14:paraId="5214661F" w14:textId="77777777" w:rsidR="00C25291" w:rsidRPr="00C25291" w:rsidRDefault="00C25291" w:rsidP="00C25291">
      <w:pPr>
        <w:pStyle w:val="BasicParagraph"/>
        <w:rPr>
          <w:rFonts w:ascii="Verdana" w:hAnsi="Verdana" w:cs="Arial"/>
          <w:bCs/>
        </w:rPr>
      </w:pPr>
    </w:p>
    <w:p w14:paraId="739E9A36" w14:textId="4C46CF4C" w:rsidR="00C25291" w:rsidRDefault="00EF45D2" w:rsidP="000C5FBD">
      <w:pPr>
        <w:pStyle w:val="BasicParagraph"/>
        <w:ind w:left="851"/>
        <w:rPr>
          <w:rFonts w:ascii="Verdana" w:hAnsi="Verdana" w:cs="Arial"/>
          <w:bCs/>
        </w:rPr>
      </w:pPr>
      <w:r>
        <w:rPr>
          <w:rFonts w:ascii="Verdana" w:hAnsi="Verdana" w:cs="Arial"/>
          <w:bCs/>
        </w:rPr>
        <w:t>t</w:t>
      </w:r>
      <w:r w:rsidR="00C25291" w:rsidRPr="00C25291">
        <w:rPr>
          <w:rFonts w:ascii="Verdana" w:hAnsi="Verdana" w:cs="Arial"/>
          <w:bCs/>
        </w:rPr>
        <w:t xml:space="preserve">he exercise of </w:t>
      </w:r>
      <w:r>
        <w:rPr>
          <w:rFonts w:ascii="Verdana" w:hAnsi="Verdana" w:cs="Arial"/>
          <w:bCs/>
        </w:rPr>
        <w:t>… [UN ICESCR]</w:t>
      </w:r>
      <w:r w:rsidRPr="00C25291">
        <w:rPr>
          <w:rFonts w:ascii="Verdana" w:hAnsi="Verdana" w:cs="Arial"/>
          <w:bCs/>
        </w:rPr>
        <w:t xml:space="preserve"> </w:t>
      </w:r>
      <w:r w:rsidR="00C25291" w:rsidRPr="00C25291">
        <w:rPr>
          <w:rFonts w:ascii="Verdana" w:hAnsi="Verdana" w:cs="Arial"/>
          <w:bCs/>
        </w:rPr>
        <w:t xml:space="preserve">rights should not be conditional on, or determined by, a person’s current or former place of </w:t>
      </w:r>
      <w:proofErr w:type="gramStart"/>
      <w:r w:rsidR="00C25291" w:rsidRPr="00C25291">
        <w:rPr>
          <w:rFonts w:ascii="Verdana" w:hAnsi="Verdana" w:cs="Arial"/>
          <w:bCs/>
        </w:rPr>
        <w:t>residence;</w:t>
      </w:r>
      <w:proofErr w:type="gramEnd"/>
      <w:r w:rsidR="00C25291" w:rsidRPr="00C25291">
        <w:rPr>
          <w:rFonts w:ascii="Verdana" w:hAnsi="Verdana" w:cs="Arial"/>
          <w:bCs/>
        </w:rPr>
        <w:t xml:space="preserve"> e.g. whether an individual lives or is registered in an urban or a rural area … or leads a nomadic lifestyle.</w:t>
      </w:r>
      <w:r w:rsidR="00C25291" w:rsidRPr="00C25291">
        <w:rPr>
          <w:rFonts w:ascii="Verdana" w:hAnsi="Verdana" w:cs="Arial"/>
          <w:bCs/>
          <w:vertAlign w:val="superscript"/>
        </w:rPr>
        <w:footnoteReference w:id="50"/>
      </w:r>
    </w:p>
    <w:p w14:paraId="268EF97D" w14:textId="77777777" w:rsidR="000C5FBD" w:rsidRPr="00C25291" w:rsidRDefault="000C5FBD" w:rsidP="000C5FBD">
      <w:pPr>
        <w:pStyle w:val="BasicParagraph"/>
        <w:ind w:left="851"/>
        <w:rPr>
          <w:rFonts w:ascii="Verdana" w:hAnsi="Verdana" w:cs="Arial"/>
          <w:bCs/>
        </w:rPr>
      </w:pPr>
    </w:p>
    <w:p w14:paraId="5605EB3A" w14:textId="1FF51594" w:rsidR="00003B47" w:rsidRPr="000C5FBD" w:rsidRDefault="00FB2A01" w:rsidP="000C5FBD">
      <w:pPr>
        <w:pStyle w:val="ListParagraph"/>
        <w:numPr>
          <w:ilvl w:val="1"/>
          <w:numId w:val="8"/>
        </w:numPr>
        <w:spacing w:line="360" w:lineRule="auto"/>
        <w:ind w:left="709"/>
        <w:jc w:val="both"/>
        <w:rPr>
          <w:rFonts w:cs="Arial"/>
          <w:bCs/>
        </w:rPr>
      </w:pPr>
      <w:r w:rsidRPr="000C5FBD">
        <w:rPr>
          <w:rFonts w:cs="Arial"/>
          <w:bCs/>
        </w:rPr>
        <w:t xml:space="preserve">The </w:t>
      </w:r>
      <w:r w:rsidR="004A6235">
        <w:rPr>
          <w:rFonts w:cs="Arial"/>
          <w:bCs/>
        </w:rPr>
        <w:t>NIHRC</w:t>
      </w:r>
      <w:r w:rsidR="004A6235" w:rsidRPr="000C5FBD">
        <w:rPr>
          <w:rFonts w:cs="Arial"/>
          <w:bCs/>
        </w:rPr>
        <w:t xml:space="preserve"> </w:t>
      </w:r>
      <w:r w:rsidRPr="000C5FBD">
        <w:rPr>
          <w:rFonts w:cs="Arial"/>
          <w:bCs/>
        </w:rPr>
        <w:t xml:space="preserve">therefore welcomes the proposed </w:t>
      </w:r>
      <w:r w:rsidR="00500926">
        <w:rPr>
          <w:rFonts w:cs="Arial"/>
          <w:bCs/>
        </w:rPr>
        <w:t>A</w:t>
      </w:r>
      <w:r w:rsidRPr="000C5FBD">
        <w:rPr>
          <w:rFonts w:cs="Arial"/>
          <w:bCs/>
        </w:rPr>
        <w:t>ction 5</w:t>
      </w:r>
      <w:r w:rsidR="004A6235">
        <w:rPr>
          <w:rFonts w:cs="Arial"/>
          <w:bCs/>
        </w:rPr>
        <w:t>,</w:t>
      </w:r>
      <w:r w:rsidRPr="000C5FBD">
        <w:rPr>
          <w:rFonts w:cs="Arial"/>
          <w:bCs/>
        </w:rPr>
        <w:t xml:space="preserve"> which will reform how adult social care is planned and delivered within the new Integrated Care System model.</w:t>
      </w:r>
      <w:r w:rsidR="00275CEE" w:rsidRPr="000C5FBD">
        <w:rPr>
          <w:rFonts w:cs="Arial"/>
          <w:bCs/>
        </w:rPr>
        <w:t xml:space="preserve"> Included in the list of outcomes and objectives is the intention to ensure “equitable access to </w:t>
      </w:r>
      <w:r w:rsidR="005017D9" w:rsidRPr="000C5FBD">
        <w:rPr>
          <w:rFonts w:cs="Arial"/>
          <w:bCs/>
        </w:rPr>
        <w:t>publicly</w:t>
      </w:r>
      <w:r w:rsidR="00275CEE" w:rsidRPr="000C5FBD">
        <w:rPr>
          <w:rFonts w:cs="Arial"/>
          <w:bCs/>
        </w:rPr>
        <w:t xml:space="preserve"> funded services across localities, types of need and financial means”.</w:t>
      </w:r>
      <w:r w:rsidR="00216225" w:rsidRPr="00140650">
        <w:rPr>
          <w:vertAlign w:val="superscript"/>
        </w:rPr>
        <w:footnoteReference w:id="51"/>
      </w:r>
      <w:r w:rsidR="00275CEE" w:rsidRPr="000C5FBD">
        <w:rPr>
          <w:rFonts w:cs="Arial"/>
          <w:bCs/>
        </w:rPr>
        <w:t xml:space="preserve"> </w:t>
      </w:r>
      <w:r w:rsidR="00164F56" w:rsidRPr="000C5FBD">
        <w:rPr>
          <w:rFonts w:cs="Arial"/>
          <w:bCs/>
        </w:rPr>
        <w:t xml:space="preserve">This should </w:t>
      </w:r>
      <w:proofErr w:type="gramStart"/>
      <w:r w:rsidR="00164F56" w:rsidRPr="000C5FBD">
        <w:rPr>
          <w:rFonts w:cs="Arial"/>
          <w:bCs/>
        </w:rPr>
        <w:t>give full consideration to</w:t>
      </w:r>
      <w:proofErr w:type="gramEnd"/>
      <w:r w:rsidR="00164F56" w:rsidRPr="000C5FBD">
        <w:rPr>
          <w:rFonts w:cs="Arial"/>
          <w:bCs/>
        </w:rPr>
        <w:t xml:space="preserve"> the rurality of N</w:t>
      </w:r>
      <w:r w:rsidR="00B840AD">
        <w:rPr>
          <w:rFonts w:cs="Arial"/>
          <w:bCs/>
        </w:rPr>
        <w:t>I</w:t>
      </w:r>
      <w:r w:rsidR="00164F56" w:rsidRPr="000C5FBD">
        <w:rPr>
          <w:rFonts w:cs="Arial"/>
          <w:bCs/>
        </w:rPr>
        <w:t xml:space="preserve">, assessing and rectifying any discrepancy in support options between urban and rural settings. </w:t>
      </w:r>
    </w:p>
    <w:p w14:paraId="3C1E0077" w14:textId="77777777" w:rsidR="00164F56" w:rsidRPr="00164F56" w:rsidRDefault="00164F56" w:rsidP="000C5FBD">
      <w:pPr>
        <w:pStyle w:val="ListParagraph"/>
        <w:spacing w:line="360" w:lineRule="auto"/>
        <w:ind w:left="709"/>
        <w:jc w:val="both"/>
        <w:rPr>
          <w:rFonts w:cs="Arial"/>
          <w:bCs/>
        </w:rPr>
      </w:pPr>
    </w:p>
    <w:p w14:paraId="66049A63" w14:textId="123116C9" w:rsidR="000C5FBD" w:rsidRPr="00B840AD" w:rsidRDefault="00164F56" w:rsidP="00B840AD">
      <w:pPr>
        <w:pStyle w:val="ListParagraph"/>
        <w:numPr>
          <w:ilvl w:val="1"/>
          <w:numId w:val="8"/>
        </w:numPr>
        <w:spacing w:line="360" w:lineRule="auto"/>
        <w:ind w:left="709"/>
        <w:jc w:val="both"/>
        <w:rPr>
          <w:rFonts w:cs="Arial"/>
          <w:bCs/>
        </w:rPr>
      </w:pPr>
      <w:r w:rsidRPr="00164F56">
        <w:rPr>
          <w:rFonts w:cs="Arial"/>
          <w:bCs/>
        </w:rPr>
        <w:t xml:space="preserve">The </w:t>
      </w:r>
      <w:r w:rsidR="004A6235">
        <w:rPr>
          <w:rFonts w:cs="Arial"/>
          <w:bCs/>
        </w:rPr>
        <w:t xml:space="preserve">NIHRC </w:t>
      </w:r>
      <w:r>
        <w:rPr>
          <w:rFonts w:cs="Arial"/>
          <w:bCs/>
        </w:rPr>
        <w:t>further</w:t>
      </w:r>
      <w:r w:rsidRPr="00164F56">
        <w:rPr>
          <w:rFonts w:cs="Arial"/>
          <w:bCs/>
        </w:rPr>
        <w:t xml:space="preserve"> welcomes the proposal set out in Action 1 which will consolidate legislation to provide a cohesive framework for the delivery of social care.</w:t>
      </w:r>
      <w:r w:rsidRPr="000C5FBD">
        <w:rPr>
          <w:rFonts w:cs="Arial"/>
          <w:bCs/>
          <w:vertAlign w:val="superscript"/>
        </w:rPr>
        <w:footnoteReference w:id="52"/>
      </w:r>
    </w:p>
    <w:p w14:paraId="59A3BAE7" w14:textId="77777777" w:rsidR="000C5FBD" w:rsidRPr="00164F56" w:rsidRDefault="000C5FBD" w:rsidP="000C5FBD">
      <w:pPr>
        <w:pStyle w:val="ListParagraph"/>
        <w:spacing w:line="360" w:lineRule="auto"/>
        <w:ind w:left="709"/>
        <w:jc w:val="both"/>
        <w:rPr>
          <w:rFonts w:cs="Arial"/>
          <w:bCs/>
        </w:rPr>
      </w:pPr>
    </w:p>
    <w:p w14:paraId="7946222E" w14:textId="3838DD0E" w:rsidR="00164F56" w:rsidRPr="000C5FBD" w:rsidRDefault="00164F56" w:rsidP="000C5FBD">
      <w:pPr>
        <w:pStyle w:val="ListParagraph"/>
        <w:numPr>
          <w:ilvl w:val="1"/>
          <w:numId w:val="8"/>
        </w:numPr>
        <w:spacing w:line="360" w:lineRule="auto"/>
        <w:ind w:left="709"/>
        <w:jc w:val="both"/>
        <w:rPr>
          <w:rFonts w:cs="Arial"/>
          <w:b/>
          <w:bCs/>
        </w:rPr>
      </w:pPr>
      <w:r w:rsidRPr="000C5FBD">
        <w:rPr>
          <w:rFonts w:cs="Arial"/>
          <w:b/>
          <w:bCs/>
        </w:rPr>
        <w:t xml:space="preserve">The </w:t>
      </w:r>
      <w:r w:rsidR="004A6235">
        <w:rPr>
          <w:rFonts w:cs="Arial"/>
          <w:b/>
          <w:bCs/>
        </w:rPr>
        <w:t>NIHRC</w:t>
      </w:r>
      <w:r w:rsidR="004A6235" w:rsidRPr="000C5FBD">
        <w:rPr>
          <w:rFonts w:cs="Arial"/>
          <w:b/>
          <w:bCs/>
        </w:rPr>
        <w:t xml:space="preserve"> </w:t>
      </w:r>
      <w:r w:rsidRPr="000C5FBD">
        <w:rPr>
          <w:rFonts w:cs="Arial"/>
          <w:b/>
          <w:bCs/>
        </w:rPr>
        <w:t xml:space="preserve">recommends that </w:t>
      </w:r>
      <w:r w:rsidR="00F31C03">
        <w:rPr>
          <w:rFonts w:cs="Arial"/>
          <w:b/>
          <w:bCs/>
        </w:rPr>
        <w:t xml:space="preserve">the Department of Health ensures that </w:t>
      </w:r>
      <w:r w:rsidRPr="000C5FBD">
        <w:rPr>
          <w:rFonts w:cs="Arial"/>
          <w:b/>
          <w:bCs/>
        </w:rPr>
        <w:t xml:space="preserve">it is made explicit that the principles guiding the implementation of future legislation operate within a human </w:t>
      </w:r>
      <w:proofErr w:type="gramStart"/>
      <w:r w:rsidRPr="000C5FBD">
        <w:rPr>
          <w:rFonts w:cs="Arial"/>
          <w:b/>
          <w:bCs/>
        </w:rPr>
        <w:t>rights based</w:t>
      </w:r>
      <w:proofErr w:type="gramEnd"/>
      <w:r w:rsidRPr="000C5FBD">
        <w:rPr>
          <w:rFonts w:cs="Arial"/>
          <w:b/>
          <w:bCs/>
        </w:rPr>
        <w:t xml:space="preserve"> framework</w:t>
      </w:r>
      <w:r w:rsidR="00F31C03">
        <w:rPr>
          <w:rFonts w:cs="Arial"/>
          <w:b/>
          <w:bCs/>
        </w:rPr>
        <w:t>,</w:t>
      </w:r>
      <w:r w:rsidRPr="000C5FBD">
        <w:rPr>
          <w:rFonts w:cs="Arial"/>
          <w:b/>
          <w:bCs/>
        </w:rPr>
        <w:t xml:space="preserve"> which incorporates the full range of international human rights standards ratified by the UK.</w:t>
      </w:r>
    </w:p>
    <w:p w14:paraId="129A3EFE" w14:textId="77777777" w:rsidR="00164F56" w:rsidRPr="000C5FBD" w:rsidRDefault="00164F56" w:rsidP="000C5FBD">
      <w:pPr>
        <w:pStyle w:val="ListParagraph"/>
        <w:spacing w:line="360" w:lineRule="auto"/>
        <w:ind w:left="709"/>
        <w:jc w:val="both"/>
        <w:rPr>
          <w:rFonts w:cs="Arial"/>
          <w:bCs/>
        </w:rPr>
      </w:pPr>
    </w:p>
    <w:p w14:paraId="426F488D" w14:textId="70FD7372" w:rsidR="00C25291" w:rsidRPr="00B840AD" w:rsidRDefault="00164F56" w:rsidP="00B840AD">
      <w:pPr>
        <w:pStyle w:val="ListParagraph"/>
        <w:numPr>
          <w:ilvl w:val="1"/>
          <w:numId w:val="8"/>
        </w:numPr>
        <w:spacing w:line="360" w:lineRule="auto"/>
        <w:ind w:left="709"/>
        <w:jc w:val="both"/>
        <w:rPr>
          <w:rFonts w:cs="Arial"/>
          <w:b/>
          <w:bCs/>
        </w:rPr>
      </w:pPr>
      <w:r w:rsidRPr="000C5FBD">
        <w:rPr>
          <w:rFonts w:cs="Arial"/>
          <w:b/>
          <w:bCs/>
        </w:rPr>
        <w:t xml:space="preserve">The </w:t>
      </w:r>
      <w:r w:rsidR="00F31C03">
        <w:rPr>
          <w:rFonts w:cs="Arial"/>
          <w:b/>
          <w:bCs/>
        </w:rPr>
        <w:t>NIHRC</w:t>
      </w:r>
      <w:r w:rsidRPr="000C5FBD">
        <w:rPr>
          <w:rFonts w:cs="Arial"/>
          <w:b/>
          <w:bCs/>
        </w:rPr>
        <w:t xml:space="preserve"> recommends that </w:t>
      </w:r>
      <w:r w:rsidR="00F31C03">
        <w:rPr>
          <w:rFonts w:cs="Arial"/>
          <w:b/>
          <w:bCs/>
        </w:rPr>
        <w:t xml:space="preserve">the Department of Health ensures that </w:t>
      </w:r>
      <w:r w:rsidRPr="000C5FBD">
        <w:rPr>
          <w:rFonts w:cs="Arial"/>
          <w:b/>
          <w:bCs/>
        </w:rPr>
        <w:t xml:space="preserve">any future legislation </w:t>
      </w:r>
      <w:r w:rsidR="00F31C03">
        <w:rPr>
          <w:rFonts w:cs="Arial"/>
          <w:b/>
          <w:bCs/>
        </w:rPr>
        <w:t>is</w:t>
      </w:r>
      <w:r w:rsidRPr="000C5FBD">
        <w:rPr>
          <w:rFonts w:cs="Arial"/>
          <w:b/>
          <w:bCs/>
        </w:rPr>
        <w:t xml:space="preserve"> accompanied by a Human Rights Impact Assessment </w:t>
      </w:r>
      <w:r w:rsidR="00F31C03">
        <w:rPr>
          <w:rFonts w:cs="Arial"/>
          <w:b/>
          <w:bCs/>
        </w:rPr>
        <w:t>that</w:t>
      </w:r>
      <w:r w:rsidR="00F31C03" w:rsidRPr="000C5FBD">
        <w:rPr>
          <w:rFonts w:cs="Arial"/>
          <w:b/>
          <w:bCs/>
        </w:rPr>
        <w:t xml:space="preserve"> </w:t>
      </w:r>
      <w:r w:rsidRPr="000C5FBD">
        <w:rPr>
          <w:rFonts w:cs="Arial"/>
          <w:b/>
          <w:bCs/>
        </w:rPr>
        <w:t xml:space="preserve">takes account of all </w:t>
      </w:r>
      <w:r w:rsidR="00B840AD">
        <w:rPr>
          <w:rFonts w:cs="Arial"/>
          <w:b/>
          <w:bCs/>
        </w:rPr>
        <w:t xml:space="preserve">the UK’s </w:t>
      </w:r>
      <w:r w:rsidRPr="000C5FBD">
        <w:rPr>
          <w:rFonts w:cs="Arial"/>
          <w:b/>
          <w:bCs/>
        </w:rPr>
        <w:t>international human rights obligations.</w:t>
      </w:r>
    </w:p>
    <w:p w14:paraId="423F1E7E" w14:textId="42A0EA1F" w:rsidR="00FF4B38" w:rsidRDefault="00FF4B38" w:rsidP="001F3B99">
      <w:pPr>
        <w:pStyle w:val="BasicParagraph"/>
        <w:suppressAutoHyphens/>
        <w:rPr>
          <w:rFonts w:ascii="Verdana" w:hAnsi="Verdana" w:cs="Arial"/>
          <w:color w:val="auto"/>
        </w:rPr>
      </w:pPr>
    </w:p>
    <w:p w14:paraId="3242873F" w14:textId="77777777" w:rsidR="00DB2121" w:rsidRPr="001F3B99" w:rsidRDefault="00DB2121" w:rsidP="001F3B99">
      <w:pPr>
        <w:pStyle w:val="BasicParagraph"/>
        <w:suppressAutoHyphens/>
        <w:rPr>
          <w:rFonts w:ascii="Verdana" w:hAnsi="Verdana" w:cs="Arial"/>
          <w:color w:val="auto"/>
        </w:rPr>
      </w:pPr>
    </w:p>
    <w:p w14:paraId="2872A91C" w14:textId="0EAD035C" w:rsidR="00FF4B38" w:rsidRPr="00EC12D7" w:rsidRDefault="009D6DA7" w:rsidP="00EC12D7">
      <w:pPr>
        <w:pStyle w:val="Heading1"/>
      </w:pPr>
      <w:bookmarkStart w:id="7" w:name="_Toc106894211"/>
      <w:r>
        <w:t>6.0</w:t>
      </w:r>
      <w:r>
        <w:tab/>
      </w:r>
      <w:r w:rsidR="00594414" w:rsidRPr="00594414">
        <w:t xml:space="preserve">Strategic </w:t>
      </w:r>
      <w:r>
        <w:t>P</w:t>
      </w:r>
      <w:r w:rsidR="00594414" w:rsidRPr="00594414">
        <w:t xml:space="preserve">riority 2 - </w:t>
      </w:r>
      <w:r>
        <w:t>V</w:t>
      </w:r>
      <w:r w:rsidR="00594414" w:rsidRPr="00594414">
        <w:t xml:space="preserve">aluing the </w:t>
      </w:r>
      <w:r>
        <w:t>W</w:t>
      </w:r>
      <w:r w:rsidR="00594414" w:rsidRPr="00594414">
        <w:t>orkforce</w:t>
      </w:r>
      <w:bookmarkEnd w:id="7"/>
    </w:p>
    <w:p w14:paraId="6B36FAC4" w14:textId="77777777" w:rsidR="00EC12D7" w:rsidRPr="00EC12D7" w:rsidRDefault="00EC12D7" w:rsidP="00EC12D7">
      <w:pPr>
        <w:pStyle w:val="ListParagraph"/>
        <w:numPr>
          <w:ilvl w:val="0"/>
          <w:numId w:val="8"/>
        </w:numPr>
        <w:spacing w:line="360" w:lineRule="auto"/>
        <w:jc w:val="both"/>
        <w:rPr>
          <w:rFonts w:cs="Arial"/>
          <w:bCs/>
          <w:vanish/>
        </w:rPr>
      </w:pPr>
    </w:p>
    <w:p w14:paraId="51CE4E8B" w14:textId="335F546F" w:rsidR="0082274C" w:rsidRDefault="008A73FF" w:rsidP="00EC12D7">
      <w:pPr>
        <w:pStyle w:val="ListParagraph"/>
        <w:numPr>
          <w:ilvl w:val="1"/>
          <w:numId w:val="8"/>
        </w:numPr>
        <w:spacing w:line="360" w:lineRule="auto"/>
        <w:ind w:left="709"/>
        <w:jc w:val="both"/>
        <w:rPr>
          <w:rFonts w:cs="Arial"/>
          <w:bCs/>
        </w:rPr>
      </w:pPr>
      <w:r>
        <w:rPr>
          <w:rFonts w:cs="Arial"/>
          <w:bCs/>
        </w:rPr>
        <w:t>The Universal Declaration of Human Rights protects the rights of those who work to</w:t>
      </w:r>
      <w:r w:rsidRPr="008A73FF">
        <w:rPr>
          <w:rFonts w:ascii="Arial" w:hAnsi="Arial" w:cs="Arial"/>
          <w:color w:val="212529"/>
          <w:shd w:val="clear" w:color="auto" w:fill="FFFFFF"/>
        </w:rPr>
        <w:t xml:space="preserve"> </w:t>
      </w:r>
      <w:r>
        <w:rPr>
          <w:rFonts w:cs="Arial"/>
          <w:bCs/>
        </w:rPr>
        <w:t>“</w:t>
      </w:r>
      <w:r w:rsidRPr="008A73FF">
        <w:rPr>
          <w:rFonts w:cs="Arial"/>
          <w:bCs/>
        </w:rPr>
        <w:t xml:space="preserve">just and favourable remuneration ensuring for </w:t>
      </w:r>
      <w:r>
        <w:rPr>
          <w:rFonts w:cs="Arial"/>
          <w:bCs/>
        </w:rPr>
        <w:t xml:space="preserve">[themselves] </w:t>
      </w:r>
      <w:r w:rsidRPr="008A73FF">
        <w:rPr>
          <w:rFonts w:cs="Arial"/>
          <w:bCs/>
        </w:rPr>
        <w:t xml:space="preserve">and </w:t>
      </w:r>
      <w:r>
        <w:rPr>
          <w:rFonts w:cs="Arial"/>
          <w:bCs/>
        </w:rPr>
        <w:t>[their]</w:t>
      </w:r>
      <w:r w:rsidRPr="008A73FF">
        <w:rPr>
          <w:rFonts w:cs="Arial"/>
          <w:bCs/>
        </w:rPr>
        <w:t xml:space="preserve"> family an existence worthy of human dignity</w:t>
      </w:r>
      <w:r>
        <w:rPr>
          <w:rFonts w:cs="Arial"/>
          <w:bCs/>
        </w:rPr>
        <w:t xml:space="preserve">”. </w:t>
      </w:r>
      <w:r w:rsidR="007C362D" w:rsidRPr="000C5FBD">
        <w:rPr>
          <w:rFonts w:cs="Arial"/>
          <w:bCs/>
        </w:rPr>
        <w:t xml:space="preserve">The right of everyone to the enjoyment of just and favourable conditions of work is </w:t>
      </w:r>
      <w:r>
        <w:rPr>
          <w:rFonts w:cs="Arial"/>
          <w:bCs/>
        </w:rPr>
        <w:t xml:space="preserve">further </w:t>
      </w:r>
      <w:r w:rsidR="007C362D" w:rsidRPr="000C5FBD">
        <w:rPr>
          <w:rFonts w:cs="Arial"/>
          <w:bCs/>
        </w:rPr>
        <w:t>recogni</w:t>
      </w:r>
      <w:r w:rsidR="00E23127">
        <w:rPr>
          <w:rFonts w:cs="Arial"/>
          <w:bCs/>
        </w:rPr>
        <w:t>s</w:t>
      </w:r>
      <w:r w:rsidR="007C362D" w:rsidRPr="000C5FBD">
        <w:rPr>
          <w:rFonts w:cs="Arial"/>
          <w:bCs/>
        </w:rPr>
        <w:t>ed in the</w:t>
      </w:r>
      <w:r w:rsidR="001F4433" w:rsidRPr="000C5FBD">
        <w:rPr>
          <w:rFonts w:cs="Arial"/>
          <w:bCs/>
        </w:rPr>
        <w:t xml:space="preserve"> UN</w:t>
      </w:r>
      <w:r w:rsidR="007C362D" w:rsidRPr="000C5FBD">
        <w:rPr>
          <w:rFonts w:cs="Arial"/>
          <w:bCs/>
        </w:rPr>
        <w:t xml:space="preserve"> </w:t>
      </w:r>
      <w:r w:rsidR="001F4433" w:rsidRPr="000C5FBD">
        <w:rPr>
          <w:rFonts w:cs="Arial"/>
          <w:bCs/>
        </w:rPr>
        <w:t>ICESCR as well as through</w:t>
      </w:r>
      <w:r w:rsidR="007C362D" w:rsidRPr="000C5FBD">
        <w:rPr>
          <w:rFonts w:cs="Arial"/>
          <w:bCs/>
        </w:rPr>
        <w:t xml:space="preserve"> other international and </w:t>
      </w:r>
      <w:r w:rsidR="001F4433" w:rsidRPr="000C5FBD">
        <w:rPr>
          <w:rFonts w:cs="Arial"/>
          <w:bCs/>
        </w:rPr>
        <w:t>regional human rights treaties.</w:t>
      </w:r>
      <w:r w:rsidR="001F4433" w:rsidRPr="00140650">
        <w:rPr>
          <w:bCs/>
          <w:vertAlign w:val="superscript"/>
        </w:rPr>
        <w:footnoteReference w:id="53"/>
      </w:r>
      <w:r w:rsidR="001F4433" w:rsidRPr="00140650">
        <w:rPr>
          <w:rFonts w:cs="Arial"/>
          <w:bCs/>
        </w:rPr>
        <w:t xml:space="preserve"> </w:t>
      </w:r>
      <w:r w:rsidR="001F4433" w:rsidRPr="000C5FBD">
        <w:rPr>
          <w:rFonts w:cs="Arial"/>
          <w:bCs/>
        </w:rPr>
        <w:t xml:space="preserve">  </w:t>
      </w:r>
      <w:r w:rsidR="00BB2BF3" w:rsidRPr="000C5FBD">
        <w:rPr>
          <w:rFonts w:cs="Arial"/>
          <w:bCs/>
        </w:rPr>
        <w:t>Article</w:t>
      </w:r>
      <w:r w:rsidR="00594414" w:rsidRPr="000C5FBD">
        <w:rPr>
          <w:rFonts w:cs="Arial"/>
          <w:bCs/>
        </w:rPr>
        <w:t xml:space="preserve"> 7 </w:t>
      </w:r>
      <w:r w:rsidR="00BB2BF3" w:rsidRPr="000C5FBD">
        <w:rPr>
          <w:rFonts w:cs="Arial"/>
          <w:bCs/>
        </w:rPr>
        <w:t xml:space="preserve">of the UN </w:t>
      </w:r>
      <w:r w:rsidR="00594414" w:rsidRPr="000C5FBD">
        <w:rPr>
          <w:rFonts w:cs="Arial"/>
          <w:bCs/>
        </w:rPr>
        <w:t>ICESCR</w:t>
      </w:r>
      <w:r w:rsidR="001F4433" w:rsidRPr="000C5FBD">
        <w:rPr>
          <w:rFonts w:cs="Arial"/>
          <w:bCs/>
        </w:rPr>
        <w:t xml:space="preserve"> specifically protects the right to </w:t>
      </w:r>
      <w:r w:rsidR="00BB2BF3" w:rsidRPr="000C5FBD">
        <w:rPr>
          <w:rFonts w:cs="Arial"/>
          <w:bCs/>
        </w:rPr>
        <w:t>“Fair wages and equal remuneration for work of equal value</w:t>
      </w:r>
      <w:r w:rsidR="007C362D" w:rsidRPr="000C5FBD">
        <w:rPr>
          <w:rFonts w:cs="Arial"/>
          <w:bCs/>
        </w:rPr>
        <w:t>”</w:t>
      </w:r>
      <w:r w:rsidR="001F4433" w:rsidRPr="000C5FBD">
        <w:rPr>
          <w:rFonts w:cs="Arial"/>
          <w:bCs/>
        </w:rPr>
        <w:t xml:space="preserve">. </w:t>
      </w:r>
    </w:p>
    <w:p w14:paraId="72A80D40" w14:textId="77777777" w:rsidR="0082274C" w:rsidRDefault="0082274C" w:rsidP="00406E61">
      <w:pPr>
        <w:pStyle w:val="ListParagraph"/>
        <w:spacing w:line="360" w:lineRule="auto"/>
        <w:ind w:left="709"/>
        <w:jc w:val="both"/>
        <w:rPr>
          <w:rFonts w:cs="Arial"/>
          <w:bCs/>
        </w:rPr>
      </w:pPr>
    </w:p>
    <w:p w14:paraId="493203F8" w14:textId="77777777" w:rsidR="00EC12D7" w:rsidRDefault="00406E61" w:rsidP="002C5DAA">
      <w:pPr>
        <w:pStyle w:val="ListParagraph"/>
        <w:numPr>
          <w:ilvl w:val="1"/>
          <w:numId w:val="8"/>
        </w:numPr>
        <w:spacing w:line="360" w:lineRule="auto"/>
        <w:ind w:left="709"/>
        <w:jc w:val="both"/>
        <w:rPr>
          <w:rFonts w:cs="Arial"/>
          <w:bCs/>
        </w:rPr>
      </w:pPr>
      <w:r w:rsidRPr="00406E61">
        <w:rPr>
          <w:rFonts w:cs="Arial"/>
          <w:bCs/>
        </w:rPr>
        <w:t>While the minimum wage is the minimum that an employer is required by law to pay an employee, a living wage is one that affords a decent standard of living for the worker and their family. This includes food, water, housing, education, health care, transportation, clothing, and other essential needs, including provisions for unexpected events.</w:t>
      </w:r>
      <w:r>
        <w:rPr>
          <w:rStyle w:val="FootnoteReference"/>
          <w:rFonts w:cs="Arial"/>
          <w:bCs/>
        </w:rPr>
        <w:footnoteReference w:id="54"/>
      </w:r>
      <w:r w:rsidRPr="00406E61">
        <w:rPr>
          <w:rFonts w:cs="Arial"/>
          <w:bCs/>
        </w:rPr>
        <w:t xml:space="preserve">  </w:t>
      </w:r>
      <w:r w:rsidR="008A73FF">
        <w:rPr>
          <w:rFonts w:cs="Arial"/>
          <w:bCs/>
        </w:rPr>
        <w:t xml:space="preserve">The right to an adequate living wage is stressed in the </w:t>
      </w:r>
      <w:r w:rsidR="002C5DAA">
        <w:rPr>
          <w:rFonts w:cs="Arial"/>
          <w:bCs/>
        </w:rPr>
        <w:t>P</w:t>
      </w:r>
      <w:r w:rsidR="008A73FF">
        <w:rPr>
          <w:rFonts w:cs="Arial"/>
          <w:bCs/>
        </w:rPr>
        <w:t xml:space="preserve">reamble to </w:t>
      </w:r>
      <w:proofErr w:type="gramStart"/>
      <w:r w:rsidR="008A73FF">
        <w:rPr>
          <w:rFonts w:cs="Arial"/>
          <w:bCs/>
        </w:rPr>
        <w:t>the  International</w:t>
      </w:r>
      <w:proofErr w:type="gramEnd"/>
      <w:r w:rsidR="008A73FF">
        <w:rPr>
          <w:rFonts w:cs="Arial"/>
          <w:bCs/>
        </w:rPr>
        <w:t xml:space="preserve"> Labour Organisation</w:t>
      </w:r>
      <w:r w:rsidR="002C5DAA">
        <w:rPr>
          <w:rFonts w:cs="Arial"/>
          <w:bCs/>
        </w:rPr>
        <w:t>’s Constitution</w:t>
      </w:r>
      <w:r w:rsidR="008A73FF">
        <w:rPr>
          <w:rFonts w:cs="Arial"/>
          <w:bCs/>
        </w:rPr>
        <w:t>.</w:t>
      </w:r>
      <w:r w:rsidR="008A73FF">
        <w:rPr>
          <w:rStyle w:val="FootnoteReference"/>
          <w:rFonts w:cs="Arial"/>
          <w:bCs/>
        </w:rPr>
        <w:footnoteReference w:id="55"/>
      </w:r>
    </w:p>
    <w:p w14:paraId="1ECF2FC4" w14:textId="77777777" w:rsidR="00EC12D7" w:rsidRPr="00EC12D7" w:rsidRDefault="00EC12D7" w:rsidP="00EC12D7">
      <w:pPr>
        <w:pStyle w:val="ListParagraph"/>
        <w:rPr>
          <w:rFonts w:cs="Arial"/>
          <w:bCs/>
        </w:rPr>
      </w:pPr>
    </w:p>
    <w:p w14:paraId="59608AC4" w14:textId="486E7FC0" w:rsidR="00C87A03" w:rsidRPr="00EC12D7" w:rsidRDefault="002C5DAA" w:rsidP="002C5DAA">
      <w:pPr>
        <w:pStyle w:val="ListParagraph"/>
        <w:numPr>
          <w:ilvl w:val="1"/>
          <w:numId w:val="8"/>
        </w:numPr>
        <w:spacing w:line="360" w:lineRule="auto"/>
        <w:ind w:left="709"/>
        <w:jc w:val="both"/>
        <w:rPr>
          <w:rFonts w:cs="Arial"/>
          <w:bCs/>
        </w:rPr>
      </w:pPr>
      <w:r w:rsidRPr="00EC12D7">
        <w:rPr>
          <w:rFonts w:cs="Arial"/>
          <w:bCs/>
        </w:rPr>
        <w:t>T</w:t>
      </w:r>
      <w:r w:rsidR="006D6D07" w:rsidRPr="00EC12D7">
        <w:rPr>
          <w:rFonts w:cs="Arial"/>
          <w:bCs/>
        </w:rPr>
        <w:t xml:space="preserve">he UN </w:t>
      </w:r>
      <w:r w:rsidRPr="00EC12D7">
        <w:rPr>
          <w:rFonts w:cs="Arial"/>
          <w:bCs/>
        </w:rPr>
        <w:t>ICESCR Committee</w:t>
      </w:r>
      <w:r w:rsidR="006D6D07" w:rsidRPr="00EC12D7">
        <w:rPr>
          <w:rFonts w:cs="Arial"/>
          <w:bCs/>
        </w:rPr>
        <w:t xml:space="preserve"> comments </w:t>
      </w:r>
      <w:proofErr w:type="gramStart"/>
      <w:r w:rsidR="006D6D07" w:rsidRPr="00EC12D7">
        <w:rPr>
          <w:rFonts w:cs="Arial"/>
          <w:bCs/>
        </w:rPr>
        <w:t>that</w:t>
      </w:r>
      <w:r w:rsidRPr="00EC12D7">
        <w:rPr>
          <w:rFonts w:cs="Arial"/>
          <w:bCs/>
        </w:rPr>
        <w:t xml:space="preserve"> ”t</w:t>
      </w:r>
      <w:r w:rsidR="006D6D07" w:rsidRPr="00EC12D7">
        <w:rPr>
          <w:rFonts w:cs="Arial"/>
          <w:bCs/>
        </w:rPr>
        <w:t>he</w:t>
      </w:r>
      <w:proofErr w:type="gramEnd"/>
      <w:r w:rsidR="006D6D07" w:rsidRPr="00EC12D7">
        <w:rPr>
          <w:rFonts w:cs="Arial"/>
          <w:bCs/>
        </w:rPr>
        <w:t xml:space="preserve"> notion of a fair wage is not static, since it depends on a range of non-exhaustive objective criteria, reflecting not only the output of the work but also the responsibilities of the worker</w:t>
      </w:r>
      <w:r w:rsidRPr="00EC12D7">
        <w:rPr>
          <w:rFonts w:cs="Arial"/>
          <w:bCs/>
        </w:rPr>
        <w:t>”</w:t>
      </w:r>
      <w:r w:rsidR="006D6D07" w:rsidRPr="00EC12D7">
        <w:rPr>
          <w:rFonts w:cs="Arial"/>
          <w:bCs/>
        </w:rPr>
        <w:t>.</w:t>
      </w:r>
      <w:r w:rsidR="006D6D07" w:rsidRPr="002C5DAA">
        <w:rPr>
          <w:vertAlign w:val="superscript"/>
        </w:rPr>
        <w:footnoteReference w:id="56"/>
      </w:r>
      <w:r w:rsidR="006D6D07" w:rsidRPr="00EC12D7">
        <w:rPr>
          <w:rFonts w:cs="Arial"/>
          <w:bCs/>
          <w:vertAlign w:val="superscript"/>
        </w:rPr>
        <w:t xml:space="preserve"> </w:t>
      </w:r>
    </w:p>
    <w:p w14:paraId="67B85E43" w14:textId="77777777" w:rsidR="00C87A03" w:rsidRPr="000C5FBD" w:rsidRDefault="00C87A03" w:rsidP="000C5FBD">
      <w:pPr>
        <w:pStyle w:val="ListParagraph"/>
        <w:spacing w:line="360" w:lineRule="auto"/>
        <w:ind w:left="709"/>
        <w:jc w:val="both"/>
        <w:rPr>
          <w:rFonts w:cs="Arial"/>
          <w:bCs/>
        </w:rPr>
      </w:pPr>
    </w:p>
    <w:p w14:paraId="2705211C" w14:textId="77777777" w:rsidR="001F4433" w:rsidRPr="000C5FBD" w:rsidRDefault="00B64248" w:rsidP="000C5FBD">
      <w:pPr>
        <w:pStyle w:val="ListParagraph"/>
        <w:numPr>
          <w:ilvl w:val="1"/>
          <w:numId w:val="8"/>
        </w:numPr>
        <w:spacing w:line="360" w:lineRule="auto"/>
        <w:ind w:left="709"/>
        <w:jc w:val="both"/>
        <w:rPr>
          <w:rFonts w:cs="Arial"/>
          <w:bCs/>
        </w:rPr>
      </w:pPr>
      <w:r w:rsidRPr="000C5FBD">
        <w:rPr>
          <w:rFonts w:cs="Arial"/>
          <w:bCs/>
        </w:rPr>
        <w:lastRenderedPageBreak/>
        <w:t>Care work is “an essential, skilled and professional occupation”.</w:t>
      </w:r>
      <w:r w:rsidRPr="000C5FBD">
        <w:rPr>
          <w:bCs/>
          <w:vertAlign w:val="superscript"/>
        </w:rPr>
        <w:footnoteReference w:id="57"/>
      </w:r>
      <w:r w:rsidRPr="000C5FBD">
        <w:rPr>
          <w:rFonts w:cs="Arial"/>
          <w:bCs/>
        </w:rPr>
        <w:t xml:space="preserve"> </w:t>
      </w:r>
      <w:r w:rsidR="001F4433" w:rsidRPr="000C5FBD">
        <w:rPr>
          <w:rFonts w:cs="Arial"/>
          <w:bCs/>
        </w:rPr>
        <w:t>Care workers play a vital role in protecting and promoting the rights of those who avail of their services yet they “receive amongst the lowest wages in the labour market”.</w:t>
      </w:r>
      <w:r w:rsidR="001F4433" w:rsidRPr="000C5FBD">
        <w:rPr>
          <w:rFonts w:cs="Arial"/>
          <w:bCs/>
          <w:vertAlign w:val="superscript"/>
        </w:rPr>
        <w:footnoteReference w:id="58"/>
      </w:r>
      <w:r w:rsidR="00FE7FB0" w:rsidRPr="000C5FBD">
        <w:rPr>
          <w:rFonts w:cs="Arial"/>
          <w:bCs/>
          <w:vertAlign w:val="superscript"/>
        </w:rPr>
        <w:t xml:space="preserve"> </w:t>
      </w:r>
    </w:p>
    <w:p w14:paraId="0AD3F0D0" w14:textId="77777777" w:rsidR="00FE7FB0" w:rsidRPr="000C5FBD" w:rsidRDefault="00FE7FB0" w:rsidP="000C5FBD">
      <w:pPr>
        <w:pStyle w:val="ListParagraph"/>
        <w:spacing w:line="360" w:lineRule="auto"/>
        <w:ind w:left="709"/>
        <w:jc w:val="both"/>
        <w:rPr>
          <w:rFonts w:cs="Arial"/>
          <w:bCs/>
        </w:rPr>
      </w:pPr>
    </w:p>
    <w:p w14:paraId="19BAEE65" w14:textId="77777777" w:rsidR="00E73C93" w:rsidRDefault="00854699" w:rsidP="00B840AD">
      <w:pPr>
        <w:pStyle w:val="ListParagraph"/>
        <w:numPr>
          <w:ilvl w:val="1"/>
          <w:numId w:val="8"/>
        </w:numPr>
        <w:spacing w:line="360" w:lineRule="auto"/>
        <w:ind w:left="709"/>
        <w:jc w:val="both"/>
        <w:rPr>
          <w:rFonts w:cs="Arial"/>
          <w:bCs/>
        </w:rPr>
      </w:pPr>
      <w:r>
        <w:rPr>
          <w:rFonts w:cs="Arial"/>
          <w:bCs/>
        </w:rPr>
        <w:t>The UN I</w:t>
      </w:r>
      <w:r w:rsidR="00FE7FB0" w:rsidRPr="000C5FBD">
        <w:rPr>
          <w:rFonts w:cs="Arial"/>
          <w:bCs/>
        </w:rPr>
        <w:t>CESCR</w:t>
      </w:r>
      <w:r>
        <w:rPr>
          <w:rFonts w:cs="Arial"/>
          <w:bCs/>
        </w:rPr>
        <w:t xml:space="preserve"> Committee</w:t>
      </w:r>
      <w:r w:rsidR="00FE7FB0" w:rsidRPr="000C5FBD">
        <w:rPr>
          <w:rFonts w:cs="Arial"/>
          <w:bCs/>
        </w:rPr>
        <w:t xml:space="preserve"> further comments that</w:t>
      </w:r>
      <w:r w:rsidR="00396A78" w:rsidRPr="000C5FBD">
        <w:rPr>
          <w:rFonts w:cs="Arial"/>
          <w:bCs/>
        </w:rPr>
        <w:t>:</w:t>
      </w:r>
    </w:p>
    <w:p w14:paraId="7FCA1388" w14:textId="6B2F584E" w:rsidR="00396A78" w:rsidRPr="00B840AD" w:rsidRDefault="00396A78" w:rsidP="00E73C93">
      <w:pPr>
        <w:pStyle w:val="ListParagraph"/>
        <w:spacing w:line="360" w:lineRule="auto"/>
        <w:ind w:left="709"/>
        <w:jc w:val="both"/>
        <w:rPr>
          <w:rFonts w:cs="Arial"/>
          <w:bCs/>
        </w:rPr>
      </w:pPr>
    </w:p>
    <w:p w14:paraId="065C3C8D" w14:textId="4F2B20DF" w:rsidR="00396A78" w:rsidRPr="000C5FBD" w:rsidRDefault="00854699" w:rsidP="00854699">
      <w:pPr>
        <w:pStyle w:val="Quote"/>
      </w:pPr>
      <w:r>
        <w:t>[</w:t>
      </w:r>
      <w:proofErr w:type="spellStart"/>
      <w:r>
        <w:t>i</w:t>
      </w:r>
      <w:proofErr w:type="spellEnd"/>
      <w:r>
        <w:t>]</w:t>
      </w:r>
      <w:r w:rsidR="00396A78" w:rsidRPr="000C5FBD">
        <w:t>n setting minimum wages at the sector or industry level, the work performed in sectors predominantly employing women, minorities or foreign workers should not be undervalued compared with work in sectors predominantly employing men or nationals. It is particularly important to ensure that the job evaluation methods used to align or adjust sectoral or occupational minimum wage schemes are not inherently discriminatory.</w:t>
      </w:r>
      <w:r w:rsidR="00396A78" w:rsidRPr="000C5FBD">
        <w:rPr>
          <w:vertAlign w:val="superscript"/>
        </w:rPr>
        <w:footnoteReference w:id="59"/>
      </w:r>
      <w:r w:rsidR="00396A78" w:rsidRPr="000C5FBD">
        <w:rPr>
          <w:vertAlign w:val="superscript"/>
        </w:rPr>
        <w:t xml:space="preserve"> </w:t>
      </w:r>
    </w:p>
    <w:p w14:paraId="1B8B8F51" w14:textId="77777777" w:rsidR="00396A78" w:rsidRPr="000C5FBD" w:rsidRDefault="00396A78" w:rsidP="000C5FBD">
      <w:pPr>
        <w:pStyle w:val="ListParagraph"/>
        <w:spacing w:line="360" w:lineRule="auto"/>
        <w:ind w:left="709"/>
        <w:jc w:val="both"/>
        <w:rPr>
          <w:rFonts w:cs="Arial"/>
          <w:bCs/>
        </w:rPr>
      </w:pPr>
    </w:p>
    <w:p w14:paraId="4316BC02" w14:textId="2BB6F50F" w:rsidR="00854699" w:rsidRPr="00854699" w:rsidRDefault="00FE7FB0" w:rsidP="000C5FBD">
      <w:pPr>
        <w:pStyle w:val="ListParagraph"/>
        <w:numPr>
          <w:ilvl w:val="1"/>
          <w:numId w:val="8"/>
        </w:numPr>
        <w:spacing w:line="360" w:lineRule="auto"/>
        <w:ind w:left="709"/>
        <w:jc w:val="both"/>
        <w:rPr>
          <w:rFonts w:cs="Arial"/>
          <w:bCs/>
        </w:rPr>
      </w:pPr>
      <w:r w:rsidRPr="000C5FBD">
        <w:rPr>
          <w:rFonts w:cs="Arial"/>
          <w:bCs/>
        </w:rPr>
        <w:t xml:space="preserve">The </w:t>
      </w:r>
      <w:r w:rsidR="00854699">
        <w:rPr>
          <w:rFonts w:cs="Arial"/>
          <w:bCs/>
        </w:rPr>
        <w:t>NIHRC</w:t>
      </w:r>
      <w:r w:rsidR="00854699" w:rsidRPr="000C5FBD">
        <w:rPr>
          <w:rFonts w:cs="Arial"/>
          <w:bCs/>
        </w:rPr>
        <w:t xml:space="preserve"> </w:t>
      </w:r>
      <w:r w:rsidRPr="000C5FBD">
        <w:rPr>
          <w:rFonts w:cs="Arial"/>
          <w:bCs/>
        </w:rPr>
        <w:t xml:space="preserve">notes that </w:t>
      </w:r>
      <w:proofErr w:type="gramStart"/>
      <w:r w:rsidRPr="000C5FBD">
        <w:rPr>
          <w:rFonts w:cs="Arial"/>
          <w:bCs/>
        </w:rPr>
        <w:t xml:space="preserve">the </w:t>
      </w:r>
      <w:r w:rsidR="00396A78" w:rsidRPr="000C5FBD">
        <w:rPr>
          <w:rFonts w:cs="Arial"/>
          <w:bCs/>
        </w:rPr>
        <w:t xml:space="preserve">vast </w:t>
      </w:r>
      <w:r w:rsidRPr="000C5FBD">
        <w:rPr>
          <w:rFonts w:cs="Arial"/>
          <w:bCs/>
        </w:rPr>
        <w:t>majority of</w:t>
      </w:r>
      <w:proofErr w:type="gramEnd"/>
      <w:r w:rsidRPr="000C5FBD">
        <w:rPr>
          <w:rFonts w:cs="Arial"/>
          <w:bCs/>
        </w:rPr>
        <w:t xml:space="preserve"> care workers are women</w:t>
      </w:r>
      <w:r w:rsidR="00653B0B" w:rsidRPr="000C5FBD">
        <w:rPr>
          <w:rFonts w:cs="Arial"/>
          <w:bCs/>
        </w:rPr>
        <w:t>.</w:t>
      </w:r>
      <w:r w:rsidRPr="000C5FBD">
        <w:rPr>
          <w:bCs/>
          <w:vertAlign w:val="superscript"/>
        </w:rPr>
        <w:footnoteReference w:id="60"/>
      </w:r>
      <w:r w:rsidR="00396A78" w:rsidRPr="000C5FBD">
        <w:rPr>
          <w:rFonts w:cs="Arial"/>
          <w:bCs/>
          <w:vertAlign w:val="superscript"/>
        </w:rPr>
        <w:t xml:space="preserve"> </w:t>
      </w:r>
    </w:p>
    <w:p w14:paraId="1D0D6C85" w14:textId="77777777" w:rsidR="00854699" w:rsidRPr="00854699" w:rsidRDefault="00854699" w:rsidP="00854699">
      <w:pPr>
        <w:pStyle w:val="ListParagraph"/>
        <w:spacing w:line="360" w:lineRule="auto"/>
        <w:ind w:left="709"/>
        <w:jc w:val="both"/>
        <w:rPr>
          <w:rFonts w:cs="Arial"/>
          <w:bCs/>
        </w:rPr>
      </w:pPr>
    </w:p>
    <w:p w14:paraId="5405E2B4" w14:textId="3A38AABA" w:rsidR="00396A78" w:rsidRPr="000C5FBD" w:rsidRDefault="00653B0B" w:rsidP="000C5FBD">
      <w:pPr>
        <w:pStyle w:val="ListParagraph"/>
        <w:numPr>
          <w:ilvl w:val="1"/>
          <w:numId w:val="8"/>
        </w:numPr>
        <w:spacing w:line="360" w:lineRule="auto"/>
        <w:ind w:left="709"/>
        <w:jc w:val="both"/>
        <w:rPr>
          <w:rFonts w:cs="Arial"/>
          <w:bCs/>
        </w:rPr>
      </w:pPr>
      <w:r w:rsidRPr="000C5FBD">
        <w:rPr>
          <w:rFonts w:cs="Arial"/>
          <w:b/>
          <w:bCs/>
        </w:rPr>
        <w:t xml:space="preserve">The </w:t>
      </w:r>
      <w:r w:rsidR="00854699">
        <w:rPr>
          <w:rFonts w:cs="Arial"/>
          <w:b/>
          <w:bCs/>
        </w:rPr>
        <w:t>NIHRC</w:t>
      </w:r>
      <w:r w:rsidR="00854699" w:rsidRPr="000C5FBD">
        <w:rPr>
          <w:rFonts w:cs="Arial"/>
          <w:b/>
          <w:bCs/>
        </w:rPr>
        <w:t xml:space="preserve"> </w:t>
      </w:r>
      <w:r w:rsidRPr="000C5FBD">
        <w:rPr>
          <w:rFonts w:cs="Arial"/>
          <w:b/>
          <w:bCs/>
        </w:rPr>
        <w:t xml:space="preserve">recommends that in assessing appropriate wage levels for social care workers, the Department </w:t>
      </w:r>
      <w:r w:rsidR="00854699">
        <w:rPr>
          <w:rFonts w:cs="Arial"/>
          <w:b/>
          <w:bCs/>
        </w:rPr>
        <w:t xml:space="preserve">of Health </w:t>
      </w:r>
      <w:r w:rsidRPr="000C5FBD">
        <w:rPr>
          <w:rFonts w:cs="Arial"/>
          <w:b/>
          <w:bCs/>
        </w:rPr>
        <w:t xml:space="preserve">considers whether the current </w:t>
      </w:r>
      <w:proofErr w:type="gramStart"/>
      <w:r w:rsidRPr="000C5FBD">
        <w:rPr>
          <w:rFonts w:cs="Arial"/>
          <w:b/>
          <w:bCs/>
        </w:rPr>
        <w:t>rates</w:t>
      </w:r>
      <w:proofErr w:type="gramEnd"/>
      <w:r w:rsidRPr="000C5FBD">
        <w:rPr>
          <w:rFonts w:cs="Arial"/>
          <w:b/>
          <w:bCs/>
        </w:rPr>
        <w:t xml:space="preserve"> of pay reflects an inherently discriminatory evaluation of the value of social care work.</w:t>
      </w:r>
      <w:r w:rsidRPr="000C5FBD">
        <w:rPr>
          <w:rFonts w:cs="Arial"/>
          <w:bCs/>
        </w:rPr>
        <w:t xml:space="preserve"> </w:t>
      </w:r>
    </w:p>
    <w:p w14:paraId="00D6E9CA" w14:textId="77777777" w:rsidR="00BB2BF3" w:rsidRPr="000C5FBD" w:rsidRDefault="00BB2BF3" w:rsidP="000C5FBD">
      <w:pPr>
        <w:pStyle w:val="ListParagraph"/>
        <w:spacing w:line="360" w:lineRule="auto"/>
        <w:ind w:left="709"/>
        <w:jc w:val="both"/>
        <w:rPr>
          <w:rFonts w:cs="Arial"/>
          <w:bCs/>
        </w:rPr>
      </w:pPr>
    </w:p>
    <w:p w14:paraId="4FD3880E" w14:textId="145F2504" w:rsidR="00594414" w:rsidRPr="00F07200" w:rsidRDefault="00FD6E9D" w:rsidP="000C5FBD">
      <w:pPr>
        <w:pStyle w:val="ListParagraph"/>
        <w:numPr>
          <w:ilvl w:val="1"/>
          <w:numId w:val="8"/>
        </w:numPr>
        <w:spacing w:line="360" w:lineRule="auto"/>
        <w:ind w:left="709"/>
        <w:jc w:val="both"/>
        <w:rPr>
          <w:rFonts w:cs="Arial"/>
          <w:b/>
          <w:bCs/>
        </w:rPr>
      </w:pPr>
      <w:r w:rsidRPr="00F07200">
        <w:rPr>
          <w:rFonts w:cs="Arial"/>
          <w:b/>
          <w:bCs/>
        </w:rPr>
        <w:t xml:space="preserve">The </w:t>
      </w:r>
      <w:r w:rsidR="00854699">
        <w:rPr>
          <w:rFonts w:cs="Arial"/>
          <w:b/>
          <w:bCs/>
        </w:rPr>
        <w:t>NIHRC</w:t>
      </w:r>
      <w:r w:rsidR="00854699" w:rsidRPr="00F07200">
        <w:rPr>
          <w:rFonts w:cs="Arial"/>
          <w:b/>
          <w:bCs/>
        </w:rPr>
        <w:t xml:space="preserve"> </w:t>
      </w:r>
      <w:r w:rsidRPr="00F07200">
        <w:rPr>
          <w:rFonts w:cs="Arial"/>
          <w:b/>
          <w:bCs/>
        </w:rPr>
        <w:t xml:space="preserve">welcomes the proposal to improve the pay, </w:t>
      </w:r>
      <w:proofErr w:type="gramStart"/>
      <w:r w:rsidRPr="00F07200">
        <w:rPr>
          <w:rFonts w:cs="Arial"/>
          <w:b/>
          <w:bCs/>
        </w:rPr>
        <w:t>terms</w:t>
      </w:r>
      <w:proofErr w:type="gramEnd"/>
      <w:r w:rsidRPr="00F07200">
        <w:rPr>
          <w:rFonts w:cs="Arial"/>
          <w:b/>
          <w:bCs/>
        </w:rPr>
        <w:t xml:space="preserve"> and conditions of the lowest paid in the social care workforce</w:t>
      </w:r>
      <w:r w:rsidR="00854699">
        <w:rPr>
          <w:rFonts w:cs="Arial"/>
          <w:b/>
          <w:bCs/>
        </w:rPr>
        <w:t>, but</w:t>
      </w:r>
      <w:r w:rsidR="00854699" w:rsidRPr="00F07200">
        <w:rPr>
          <w:rFonts w:cs="Arial"/>
          <w:b/>
          <w:bCs/>
        </w:rPr>
        <w:t xml:space="preserve"> </w:t>
      </w:r>
      <w:r w:rsidR="00304A13" w:rsidRPr="00F07200">
        <w:rPr>
          <w:rFonts w:cs="Arial"/>
          <w:b/>
          <w:bCs/>
        </w:rPr>
        <w:t xml:space="preserve">recommends that, at a minimum, wages should be set at a living wage level. </w:t>
      </w:r>
    </w:p>
    <w:p w14:paraId="0117583C" w14:textId="3D5C23B1" w:rsidR="003B7D0E" w:rsidRDefault="003B7D0E" w:rsidP="000C5FBD">
      <w:pPr>
        <w:pStyle w:val="ListParagraph"/>
        <w:spacing w:line="360" w:lineRule="auto"/>
        <w:ind w:left="709"/>
        <w:jc w:val="both"/>
        <w:rPr>
          <w:rFonts w:cs="Arial"/>
          <w:bCs/>
        </w:rPr>
      </w:pPr>
    </w:p>
    <w:p w14:paraId="12D220E2" w14:textId="77777777" w:rsidR="00DB2121" w:rsidRPr="000C5FBD" w:rsidRDefault="00DB2121" w:rsidP="000C5FBD">
      <w:pPr>
        <w:pStyle w:val="ListParagraph"/>
        <w:spacing w:line="360" w:lineRule="auto"/>
        <w:ind w:left="709"/>
        <w:jc w:val="both"/>
        <w:rPr>
          <w:rFonts w:cs="Arial"/>
          <w:bCs/>
        </w:rPr>
      </w:pPr>
    </w:p>
    <w:p w14:paraId="77A097E3" w14:textId="218A96C3" w:rsidR="001F3B99" w:rsidRPr="000C5FBD" w:rsidRDefault="007C362D" w:rsidP="000C5FBD">
      <w:pPr>
        <w:pStyle w:val="ListParagraph"/>
        <w:numPr>
          <w:ilvl w:val="1"/>
          <w:numId w:val="8"/>
        </w:numPr>
        <w:spacing w:line="360" w:lineRule="auto"/>
        <w:ind w:left="709"/>
        <w:jc w:val="both"/>
        <w:rPr>
          <w:rFonts w:cs="Arial"/>
          <w:bCs/>
        </w:rPr>
      </w:pPr>
      <w:r w:rsidRPr="000C5FBD">
        <w:rPr>
          <w:rFonts w:cs="Arial"/>
          <w:bCs/>
        </w:rPr>
        <w:lastRenderedPageBreak/>
        <w:t xml:space="preserve">Article 7 of the UN ICESCR </w:t>
      </w:r>
      <w:r w:rsidR="00653B0B" w:rsidRPr="000C5FBD">
        <w:rPr>
          <w:rFonts w:cs="Arial"/>
          <w:bCs/>
        </w:rPr>
        <w:t>also</w:t>
      </w:r>
      <w:r w:rsidRPr="000C5FBD">
        <w:rPr>
          <w:rFonts w:cs="Arial"/>
          <w:bCs/>
        </w:rPr>
        <w:t xml:space="preserve"> protects the right to “</w:t>
      </w:r>
      <w:r w:rsidR="00F11443">
        <w:rPr>
          <w:rFonts w:cs="Arial"/>
          <w:bCs/>
        </w:rPr>
        <w:t>s</w:t>
      </w:r>
      <w:r w:rsidRPr="000C5FBD">
        <w:rPr>
          <w:rFonts w:cs="Arial"/>
          <w:bCs/>
        </w:rPr>
        <w:t>afe and healthy working conditions”.</w:t>
      </w:r>
      <w:r w:rsidR="00D45084" w:rsidRPr="000C5FBD">
        <w:rPr>
          <w:rFonts w:cs="Arial"/>
          <w:bCs/>
        </w:rPr>
        <w:t xml:space="preserve"> It is the </w:t>
      </w:r>
      <w:r w:rsidR="00854699">
        <w:rPr>
          <w:rFonts w:cs="Arial"/>
          <w:bCs/>
        </w:rPr>
        <w:t>NIHRC’</w:t>
      </w:r>
      <w:r w:rsidR="00854699" w:rsidRPr="000C5FBD">
        <w:rPr>
          <w:rFonts w:cs="Arial"/>
          <w:bCs/>
        </w:rPr>
        <w:t xml:space="preserve">s </w:t>
      </w:r>
      <w:r w:rsidR="00D45084" w:rsidRPr="000C5FBD">
        <w:rPr>
          <w:rFonts w:cs="Arial"/>
          <w:bCs/>
        </w:rPr>
        <w:t xml:space="preserve">view that the identification and adequate funding of safe staffing levels in social care is essential to the health and safety of the workforce. </w:t>
      </w:r>
    </w:p>
    <w:p w14:paraId="66EFD21B" w14:textId="77777777" w:rsidR="00D45084" w:rsidRPr="000C5FBD" w:rsidRDefault="00D45084" w:rsidP="000C5FBD">
      <w:pPr>
        <w:pStyle w:val="ListParagraph"/>
        <w:spacing w:line="360" w:lineRule="auto"/>
        <w:ind w:left="709"/>
        <w:jc w:val="both"/>
        <w:rPr>
          <w:rFonts w:cs="Arial"/>
          <w:bCs/>
        </w:rPr>
      </w:pPr>
    </w:p>
    <w:p w14:paraId="38840EF4" w14:textId="18771753" w:rsidR="00854699" w:rsidRDefault="00D45084" w:rsidP="000C5FBD">
      <w:pPr>
        <w:pStyle w:val="ListParagraph"/>
        <w:numPr>
          <w:ilvl w:val="1"/>
          <w:numId w:val="8"/>
        </w:numPr>
        <w:spacing w:line="360" w:lineRule="auto"/>
        <w:ind w:left="709"/>
        <w:jc w:val="both"/>
        <w:rPr>
          <w:rFonts w:cs="Arial"/>
          <w:bCs/>
        </w:rPr>
      </w:pPr>
      <w:r w:rsidRPr="000C5FBD">
        <w:rPr>
          <w:rFonts w:cs="Arial"/>
          <w:bCs/>
        </w:rPr>
        <w:t xml:space="preserve">The </w:t>
      </w:r>
      <w:r w:rsidR="00854699">
        <w:rPr>
          <w:rFonts w:cs="Arial"/>
          <w:bCs/>
        </w:rPr>
        <w:t>NIHRC</w:t>
      </w:r>
      <w:r w:rsidR="00854699" w:rsidRPr="000C5FBD">
        <w:rPr>
          <w:rFonts w:cs="Arial"/>
          <w:bCs/>
        </w:rPr>
        <w:t xml:space="preserve"> </w:t>
      </w:r>
      <w:r w:rsidR="00A24AF9" w:rsidRPr="000C5FBD">
        <w:rPr>
          <w:rFonts w:cs="Arial"/>
          <w:bCs/>
        </w:rPr>
        <w:t xml:space="preserve">welcomes the proposal to develop a model which will identify safe staffing levels in social care settings. </w:t>
      </w:r>
    </w:p>
    <w:p w14:paraId="3D3E77F1" w14:textId="77777777" w:rsidR="00854699" w:rsidRPr="00854699" w:rsidRDefault="00854699" w:rsidP="00854699">
      <w:pPr>
        <w:pStyle w:val="ListParagraph"/>
        <w:rPr>
          <w:rFonts w:cs="Arial"/>
          <w:b/>
          <w:bCs/>
        </w:rPr>
      </w:pPr>
    </w:p>
    <w:p w14:paraId="195C37BE" w14:textId="6091065A" w:rsidR="00D45084" w:rsidRPr="000C5FBD" w:rsidRDefault="00A24AF9" w:rsidP="000C5FBD">
      <w:pPr>
        <w:pStyle w:val="ListParagraph"/>
        <w:numPr>
          <w:ilvl w:val="1"/>
          <w:numId w:val="8"/>
        </w:numPr>
        <w:spacing w:line="360" w:lineRule="auto"/>
        <w:ind w:left="709"/>
        <w:jc w:val="both"/>
        <w:rPr>
          <w:rFonts w:cs="Arial"/>
          <w:bCs/>
        </w:rPr>
      </w:pPr>
      <w:r w:rsidRPr="000C5FBD">
        <w:rPr>
          <w:rFonts w:cs="Arial"/>
          <w:b/>
          <w:bCs/>
        </w:rPr>
        <w:t xml:space="preserve">The </w:t>
      </w:r>
      <w:r w:rsidR="00854699">
        <w:rPr>
          <w:rFonts w:cs="Arial"/>
          <w:b/>
          <w:bCs/>
        </w:rPr>
        <w:t>NIHRC</w:t>
      </w:r>
      <w:r w:rsidR="00854699" w:rsidRPr="000C5FBD">
        <w:rPr>
          <w:rFonts w:cs="Arial"/>
          <w:b/>
          <w:bCs/>
        </w:rPr>
        <w:t xml:space="preserve"> </w:t>
      </w:r>
      <w:r w:rsidRPr="000C5FBD">
        <w:rPr>
          <w:rFonts w:cs="Arial"/>
          <w:b/>
          <w:bCs/>
        </w:rPr>
        <w:t xml:space="preserve">recommends that this is determined in consultation with service providers and is allocated the necessary funding. </w:t>
      </w:r>
    </w:p>
    <w:p w14:paraId="01D33703" w14:textId="77777777" w:rsidR="00763EB0" w:rsidRPr="000C5FBD" w:rsidRDefault="00763EB0" w:rsidP="000C5FBD">
      <w:pPr>
        <w:pStyle w:val="ListParagraph"/>
        <w:spacing w:line="360" w:lineRule="auto"/>
        <w:ind w:left="709"/>
        <w:jc w:val="both"/>
        <w:rPr>
          <w:rFonts w:cs="Arial"/>
          <w:bCs/>
        </w:rPr>
      </w:pPr>
    </w:p>
    <w:p w14:paraId="1EF23067" w14:textId="05B5B555" w:rsidR="00C87A03" w:rsidRPr="000C5FBD" w:rsidRDefault="00763EB0" w:rsidP="000C5FBD">
      <w:pPr>
        <w:pStyle w:val="ListParagraph"/>
        <w:numPr>
          <w:ilvl w:val="1"/>
          <w:numId w:val="8"/>
        </w:numPr>
        <w:spacing w:line="360" w:lineRule="auto"/>
        <w:ind w:left="709"/>
        <w:jc w:val="both"/>
        <w:rPr>
          <w:rFonts w:cs="Arial"/>
          <w:bCs/>
        </w:rPr>
      </w:pPr>
      <w:r w:rsidRPr="000C5FBD">
        <w:rPr>
          <w:rFonts w:cs="Arial"/>
          <w:bCs/>
        </w:rPr>
        <w:t xml:space="preserve">The </w:t>
      </w:r>
      <w:r w:rsidR="00854699">
        <w:rPr>
          <w:rFonts w:cs="Arial"/>
          <w:bCs/>
        </w:rPr>
        <w:t>NIHRC</w:t>
      </w:r>
      <w:r w:rsidR="00854699" w:rsidRPr="000C5FBD">
        <w:rPr>
          <w:rFonts w:cs="Arial"/>
          <w:bCs/>
        </w:rPr>
        <w:t xml:space="preserve"> </w:t>
      </w:r>
      <w:r w:rsidRPr="000C5FBD">
        <w:rPr>
          <w:rFonts w:cs="Arial"/>
          <w:bCs/>
        </w:rPr>
        <w:t xml:space="preserve">welcomes the inclusion of training and education of the workforce within proposed </w:t>
      </w:r>
      <w:r w:rsidR="00B14D7A">
        <w:rPr>
          <w:rFonts w:cs="Arial"/>
          <w:bCs/>
        </w:rPr>
        <w:t>A</w:t>
      </w:r>
      <w:r w:rsidRPr="000C5FBD">
        <w:rPr>
          <w:rFonts w:cs="Arial"/>
          <w:bCs/>
        </w:rPr>
        <w:t>ction 10</w:t>
      </w:r>
      <w:r w:rsidR="00856009">
        <w:rPr>
          <w:rFonts w:cs="Arial"/>
          <w:bCs/>
        </w:rPr>
        <w:t>,</w:t>
      </w:r>
      <w:r w:rsidRPr="000C5FBD">
        <w:rPr>
          <w:bCs/>
          <w:vertAlign w:val="superscript"/>
        </w:rPr>
        <w:footnoteReference w:id="61"/>
      </w:r>
      <w:r w:rsidRPr="000C5FBD">
        <w:rPr>
          <w:rFonts w:cs="Arial"/>
          <w:bCs/>
          <w:vertAlign w:val="superscript"/>
        </w:rPr>
        <w:t xml:space="preserve"> </w:t>
      </w:r>
      <w:r w:rsidRPr="000C5FBD">
        <w:rPr>
          <w:rFonts w:cs="Arial"/>
          <w:bCs/>
        </w:rPr>
        <w:t xml:space="preserve">however notes the absence of specific reference to training in human rights standards and principles. Ensuring that staff are </w:t>
      </w:r>
      <w:r w:rsidR="00C87A03" w:rsidRPr="000C5FBD">
        <w:rPr>
          <w:rFonts w:cs="Arial"/>
          <w:bCs/>
        </w:rPr>
        <w:t xml:space="preserve">trained in applying human rights standards is not only important in promoting the professional development of the social care </w:t>
      </w:r>
      <w:proofErr w:type="gramStart"/>
      <w:r w:rsidR="00C87A03" w:rsidRPr="000C5FBD">
        <w:rPr>
          <w:rFonts w:cs="Arial"/>
          <w:bCs/>
        </w:rPr>
        <w:t>workforce, but</w:t>
      </w:r>
      <w:proofErr w:type="gramEnd"/>
      <w:r w:rsidR="00C87A03" w:rsidRPr="000C5FBD">
        <w:rPr>
          <w:rFonts w:cs="Arial"/>
          <w:bCs/>
        </w:rPr>
        <w:t xml:space="preserve"> is essential in ensuring that human rights are realised in practice and embedded within the social care system. </w:t>
      </w:r>
      <w:r w:rsidR="00780C0C" w:rsidRPr="00780C0C">
        <w:rPr>
          <w:rFonts w:cs="Arial"/>
          <w:bCs/>
        </w:rPr>
        <w:t xml:space="preserve">This was previously raised by the </w:t>
      </w:r>
      <w:r w:rsidR="00854699">
        <w:rPr>
          <w:rFonts w:cs="Arial"/>
          <w:bCs/>
        </w:rPr>
        <w:t>NIHRC</w:t>
      </w:r>
      <w:r w:rsidR="00780C0C" w:rsidRPr="00780C0C">
        <w:rPr>
          <w:rFonts w:cs="Arial"/>
          <w:bCs/>
        </w:rPr>
        <w:t xml:space="preserve"> in its report ‘In Defence of Dignity’</w:t>
      </w:r>
      <w:r w:rsidR="00AD0EB1">
        <w:rPr>
          <w:rFonts w:cs="Arial"/>
          <w:bCs/>
        </w:rPr>
        <w:t xml:space="preserve">, </w:t>
      </w:r>
      <w:r w:rsidR="00780C0C" w:rsidRPr="00780C0C">
        <w:rPr>
          <w:rFonts w:cs="Arial"/>
          <w:bCs/>
        </w:rPr>
        <w:t>which recommended that “[n]</w:t>
      </w:r>
      <w:proofErr w:type="spellStart"/>
      <w:r w:rsidR="00780C0C" w:rsidRPr="00780C0C">
        <w:rPr>
          <w:rFonts w:cs="Arial"/>
          <w:bCs/>
        </w:rPr>
        <w:t>ursing</w:t>
      </w:r>
      <w:proofErr w:type="spellEnd"/>
      <w:r w:rsidR="00780C0C" w:rsidRPr="00780C0C">
        <w:rPr>
          <w:rFonts w:cs="Arial"/>
          <w:bCs/>
        </w:rPr>
        <w:t xml:space="preserve"> home staff, managers and homeowners should receive human rights training developed in collaboration with health care staff and human rights experts”</w:t>
      </w:r>
      <w:r w:rsidR="00780C0C">
        <w:rPr>
          <w:rFonts w:cs="Arial"/>
          <w:bCs/>
        </w:rPr>
        <w:t>.</w:t>
      </w:r>
      <w:r w:rsidR="00780C0C">
        <w:rPr>
          <w:rStyle w:val="FootnoteReference"/>
          <w:rFonts w:cs="Arial"/>
          <w:bCs/>
        </w:rPr>
        <w:footnoteReference w:id="62"/>
      </w:r>
      <w:r w:rsidR="00780C0C">
        <w:rPr>
          <w:rFonts w:cs="Arial"/>
          <w:bCs/>
        </w:rPr>
        <w:t xml:space="preserve"> It is also </w:t>
      </w:r>
      <w:r w:rsidR="006849DF" w:rsidRPr="006849DF">
        <w:rPr>
          <w:rFonts w:cs="Arial"/>
          <w:bCs/>
        </w:rPr>
        <w:t xml:space="preserve">in line with recommendations put forward in the Commissioner for Older People for </w:t>
      </w:r>
      <w:r w:rsidR="00854699">
        <w:rPr>
          <w:rFonts w:cs="Arial"/>
          <w:bCs/>
        </w:rPr>
        <w:t>NI</w:t>
      </w:r>
      <w:r w:rsidR="006849DF" w:rsidRPr="006849DF">
        <w:rPr>
          <w:rFonts w:cs="Arial"/>
          <w:bCs/>
        </w:rPr>
        <w:t xml:space="preserve">’s report, </w:t>
      </w:r>
      <w:r w:rsidR="00EE69CD">
        <w:rPr>
          <w:rFonts w:cs="Arial"/>
          <w:bCs/>
        </w:rPr>
        <w:t>‘</w:t>
      </w:r>
      <w:r w:rsidR="006849DF" w:rsidRPr="006849DF">
        <w:rPr>
          <w:rFonts w:cs="Arial"/>
          <w:bCs/>
        </w:rPr>
        <w:t>Home Truths</w:t>
      </w:r>
      <w:r w:rsidR="00EE69CD">
        <w:rPr>
          <w:rFonts w:cs="Arial"/>
          <w:bCs/>
        </w:rPr>
        <w:t>’</w:t>
      </w:r>
      <w:r w:rsidR="00780C0C">
        <w:rPr>
          <w:rFonts w:cs="Arial"/>
          <w:bCs/>
        </w:rPr>
        <w:t xml:space="preserve">, which </w:t>
      </w:r>
      <w:r w:rsidR="006849DF" w:rsidRPr="006849DF">
        <w:rPr>
          <w:rFonts w:cs="Arial"/>
          <w:bCs/>
        </w:rPr>
        <w:t>argues that “human rights should be an essential component of practitioner dialogue” and that “all staff in care settings, commissioners of care, social care workers, and regulators must receive training on the implications of human rights for their work”.</w:t>
      </w:r>
      <w:r w:rsidR="004B0469">
        <w:rPr>
          <w:rStyle w:val="FootnoteReference"/>
          <w:rFonts w:cs="Arial"/>
          <w:bCs/>
        </w:rPr>
        <w:footnoteReference w:id="63"/>
      </w:r>
    </w:p>
    <w:p w14:paraId="4C37AFBE" w14:textId="77777777" w:rsidR="00C87A03" w:rsidRPr="000C5FBD" w:rsidRDefault="00C87A03" w:rsidP="000C5FBD">
      <w:pPr>
        <w:pStyle w:val="ListParagraph"/>
        <w:spacing w:line="360" w:lineRule="auto"/>
        <w:ind w:left="709"/>
        <w:jc w:val="both"/>
        <w:rPr>
          <w:rFonts w:cs="Arial"/>
          <w:bCs/>
        </w:rPr>
      </w:pPr>
    </w:p>
    <w:p w14:paraId="0F5DF214" w14:textId="59BB4D5F" w:rsidR="00C87A03" w:rsidRDefault="00C87A03" w:rsidP="000C5FBD">
      <w:pPr>
        <w:pStyle w:val="ListParagraph"/>
        <w:numPr>
          <w:ilvl w:val="1"/>
          <w:numId w:val="8"/>
        </w:numPr>
        <w:spacing w:line="360" w:lineRule="auto"/>
        <w:ind w:left="709"/>
        <w:jc w:val="both"/>
        <w:rPr>
          <w:rFonts w:cs="Arial"/>
          <w:b/>
          <w:bCs/>
        </w:rPr>
      </w:pPr>
      <w:r w:rsidRPr="001025A0">
        <w:rPr>
          <w:rFonts w:cs="Arial"/>
          <w:b/>
          <w:bCs/>
        </w:rPr>
        <w:lastRenderedPageBreak/>
        <w:t xml:space="preserve">The </w:t>
      </w:r>
      <w:r w:rsidR="00854699">
        <w:rPr>
          <w:rFonts w:cs="Arial"/>
          <w:b/>
          <w:bCs/>
        </w:rPr>
        <w:t>NIHRC</w:t>
      </w:r>
      <w:r w:rsidR="00854699" w:rsidRPr="001025A0">
        <w:rPr>
          <w:rFonts w:cs="Arial"/>
          <w:b/>
          <w:bCs/>
        </w:rPr>
        <w:t xml:space="preserve"> </w:t>
      </w:r>
      <w:r w:rsidRPr="001025A0">
        <w:rPr>
          <w:rFonts w:cs="Arial"/>
          <w:b/>
          <w:bCs/>
        </w:rPr>
        <w:t xml:space="preserve">recommends that the Department of Health includes within the strategy a commitment to </w:t>
      </w:r>
      <w:r w:rsidR="00854699">
        <w:rPr>
          <w:rFonts w:cs="Arial"/>
          <w:b/>
          <w:bCs/>
        </w:rPr>
        <w:t>comprehensive</w:t>
      </w:r>
      <w:r w:rsidR="00854699" w:rsidRPr="001025A0">
        <w:rPr>
          <w:rFonts w:cs="Arial"/>
          <w:b/>
          <w:bCs/>
        </w:rPr>
        <w:t xml:space="preserve"> </w:t>
      </w:r>
      <w:r w:rsidRPr="001025A0">
        <w:rPr>
          <w:rFonts w:cs="Arial"/>
          <w:b/>
          <w:bCs/>
        </w:rPr>
        <w:t xml:space="preserve">human rights training for all social care staff. </w:t>
      </w:r>
      <w:r w:rsidR="00854699">
        <w:rPr>
          <w:rFonts w:cs="Arial"/>
          <w:b/>
          <w:bCs/>
        </w:rPr>
        <w:t>This t</w:t>
      </w:r>
      <w:r w:rsidRPr="001025A0">
        <w:rPr>
          <w:rFonts w:cs="Arial"/>
          <w:b/>
          <w:bCs/>
        </w:rPr>
        <w:t xml:space="preserve">raining should be mandatory and </w:t>
      </w:r>
      <w:r w:rsidR="00281A6E" w:rsidRPr="001025A0">
        <w:rPr>
          <w:rFonts w:cs="Arial"/>
          <w:b/>
          <w:bCs/>
        </w:rPr>
        <w:t xml:space="preserve">be subject to periodic review and evaluation. </w:t>
      </w:r>
    </w:p>
    <w:p w14:paraId="221CABE1" w14:textId="77777777" w:rsidR="001025A0" w:rsidRPr="001025A0" w:rsidRDefault="001025A0" w:rsidP="001025A0">
      <w:pPr>
        <w:pStyle w:val="ListParagraph"/>
        <w:rPr>
          <w:rFonts w:cs="Arial"/>
          <w:b/>
          <w:bCs/>
        </w:rPr>
      </w:pPr>
    </w:p>
    <w:p w14:paraId="695571F7" w14:textId="69F47B24" w:rsidR="00D13019" w:rsidRPr="002E5A1E" w:rsidRDefault="009D6DA7" w:rsidP="002E5A1E">
      <w:pPr>
        <w:pStyle w:val="Heading1"/>
      </w:pPr>
      <w:bookmarkStart w:id="8" w:name="_Toc106894212"/>
      <w:r>
        <w:t>7.0</w:t>
      </w:r>
      <w:r>
        <w:tab/>
      </w:r>
      <w:r w:rsidR="00163BC8" w:rsidRPr="001025A0">
        <w:t xml:space="preserve">Strategic </w:t>
      </w:r>
      <w:r w:rsidR="00854699">
        <w:t>P</w:t>
      </w:r>
      <w:r w:rsidR="00163BC8" w:rsidRPr="001025A0">
        <w:t xml:space="preserve">riority 3 - </w:t>
      </w:r>
      <w:r w:rsidR="00854699">
        <w:t>I</w:t>
      </w:r>
      <w:r w:rsidR="00163BC8" w:rsidRPr="001025A0">
        <w:t xml:space="preserve">ndividual </w:t>
      </w:r>
      <w:r w:rsidR="00854699">
        <w:t>C</w:t>
      </w:r>
      <w:r w:rsidR="00163BC8" w:rsidRPr="001025A0">
        <w:t xml:space="preserve">hoice and </w:t>
      </w:r>
      <w:r w:rsidR="00854699">
        <w:t>C</w:t>
      </w:r>
      <w:r w:rsidR="00163BC8" w:rsidRPr="001025A0">
        <w:t>ontrol</w:t>
      </w:r>
      <w:bookmarkEnd w:id="8"/>
      <w:r w:rsidR="00163BC8" w:rsidRPr="001025A0">
        <w:t xml:space="preserve"> </w:t>
      </w:r>
    </w:p>
    <w:p w14:paraId="465E2CB5" w14:textId="77777777" w:rsidR="00EC12D7" w:rsidRPr="00EC12D7" w:rsidRDefault="00EC12D7" w:rsidP="00EC12D7">
      <w:pPr>
        <w:pStyle w:val="ListParagraph"/>
        <w:numPr>
          <w:ilvl w:val="0"/>
          <w:numId w:val="8"/>
        </w:numPr>
        <w:spacing w:line="360" w:lineRule="auto"/>
        <w:jc w:val="both"/>
        <w:rPr>
          <w:rFonts w:cs="Arial"/>
          <w:bCs/>
          <w:vanish/>
        </w:rPr>
      </w:pPr>
    </w:p>
    <w:p w14:paraId="7E6333CB" w14:textId="3EC6EDC7" w:rsidR="00EC12D7" w:rsidRDefault="00224D65" w:rsidP="007C093A">
      <w:pPr>
        <w:pStyle w:val="ListParagraph"/>
        <w:numPr>
          <w:ilvl w:val="1"/>
          <w:numId w:val="8"/>
        </w:numPr>
        <w:spacing w:line="360" w:lineRule="auto"/>
        <w:ind w:left="709"/>
        <w:jc w:val="both"/>
        <w:rPr>
          <w:rFonts w:cs="Arial"/>
          <w:bCs/>
        </w:rPr>
      </w:pPr>
      <w:r w:rsidRPr="001025A0">
        <w:rPr>
          <w:rFonts w:cs="Arial"/>
          <w:bCs/>
        </w:rPr>
        <w:t xml:space="preserve">Article 3 of the UN CRPD states </w:t>
      </w:r>
      <w:r w:rsidR="00BF11FE">
        <w:rPr>
          <w:rFonts w:cs="Arial"/>
          <w:bCs/>
        </w:rPr>
        <w:t>that</w:t>
      </w:r>
      <w:r w:rsidRPr="001025A0">
        <w:rPr>
          <w:rFonts w:cs="Arial"/>
          <w:bCs/>
        </w:rPr>
        <w:t xml:space="preserve"> </w:t>
      </w:r>
      <w:r w:rsidR="00917E0F">
        <w:rPr>
          <w:rFonts w:cs="Arial"/>
          <w:bCs/>
        </w:rPr>
        <w:t xml:space="preserve">the </w:t>
      </w:r>
      <w:r w:rsidRPr="001025A0">
        <w:rPr>
          <w:rFonts w:cs="Arial"/>
          <w:bCs/>
        </w:rPr>
        <w:t xml:space="preserve">general principle </w:t>
      </w:r>
      <w:r w:rsidR="00917E0F">
        <w:rPr>
          <w:rFonts w:cs="Arial"/>
          <w:bCs/>
        </w:rPr>
        <w:t xml:space="preserve">of </w:t>
      </w:r>
      <w:r w:rsidR="008D00C4">
        <w:rPr>
          <w:rFonts w:cs="Arial"/>
          <w:bCs/>
        </w:rPr>
        <w:t>“</w:t>
      </w:r>
      <w:r w:rsidRPr="001025A0">
        <w:rPr>
          <w:rFonts w:cs="Arial"/>
          <w:bCs/>
        </w:rPr>
        <w:t>respect for inherent dignity, individual autonomy including the freedom to make one's own choices, and independence of persons</w:t>
      </w:r>
      <w:r w:rsidR="008D00C4">
        <w:rPr>
          <w:rFonts w:cs="Arial"/>
          <w:bCs/>
        </w:rPr>
        <w:t>”</w:t>
      </w:r>
      <w:r w:rsidR="004D5A38">
        <w:rPr>
          <w:rFonts w:cs="Arial"/>
          <w:bCs/>
        </w:rPr>
        <w:t>,</w:t>
      </w:r>
      <w:r w:rsidRPr="001025A0">
        <w:rPr>
          <w:rFonts w:cs="Arial"/>
          <w:bCs/>
        </w:rPr>
        <w:t xml:space="preserve"> while Article 19 emphasises that </w:t>
      </w:r>
      <w:r w:rsidR="008A7E76">
        <w:rPr>
          <w:rFonts w:cs="Arial"/>
          <w:bCs/>
        </w:rPr>
        <w:t>persons with disabilities</w:t>
      </w:r>
      <w:r w:rsidRPr="001025A0">
        <w:rPr>
          <w:rFonts w:cs="Arial"/>
          <w:bCs/>
        </w:rPr>
        <w:t xml:space="preserve"> are not obliged to live in any </w:t>
      </w:r>
      <w:proofErr w:type="gramStart"/>
      <w:r w:rsidRPr="001025A0">
        <w:rPr>
          <w:rFonts w:cs="Arial"/>
          <w:bCs/>
        </w:rPr>
        <w:t>particular living</w:t>
      </w:r>
      <w:proofErr w:type="gramEnd"/>
      <w:r w:rsidRPr="001025A0">
        <w:rPr>
          <w:rFonts w:cs="Arial"/>
          <w:bCs/>
        </w:rPr>
        <w:t xml:space="preserve"> arrangement</w:t>
      </w:r>
      <w:r w:rsidR="004D5A38">
        <w:rPr>
          <w:rFonts w:cs="Arial"/>
          <w:bCs/>
        </w:rPr>
        <w:t>.</w:t>
      </w:r>
    </w:p>
    <w:p w14:paraId="709CCF05" w14:textId="77777777" w:rsidR="00EC12D7" w:rsidRDefault="00EC12D7" w:rsidP="00EC12D7">
      <w:pPr>
        <w:pStyle w:val="ListParagraph"/>
        <w:spacing w:line="360" w:lineRule="auto"/>
        <w:ind w:left="709"/>
        <w:jc w:val="both"/>
        <w:rPr>
          <w:rFonts w:cs="Arial"/>
          <w:bCs/>
        </w:rPr>
      </w:pPr>
    </w:p>
    <w:p w14:paraId="02061D76" w14:textId="1B2F3DD1" w:rsidR="00E706D6" w:rsidRPr="00EC12D7" w:rsidRDefault="008A7E76" w:rsidP="007C093A">
      <w:pPr>
        <w:pStyle w:val="ListParagraph"/>
        <w:numPr>
          <w:ilvl w:val="1"/>
          <w:numId w:val="8"/>
        </w:numPr>
        <w:spacing w:line="360" w:lineRule="auto"/>
        <w:ind w:left="709"/>
        <w:jc w:val="both"/>
        <w:rPr>
          <w:rFonts w:cs="Arial"/>
          <w:bCs/>
        </w:rPr>
      </w:pPr>
      <w:r w:rsidRPr="00EC12D7">
        <w:rPr>
          <w:rFonts w:cs="Arial"/>
          <w:bCs/>
        </w:rPr>
        <w:t>T</w:t>
      </w:r>
      <w:r w:rsidR="00D13019" w:rsidRPr="00EC12D7">
        <w:rPr>
          <w:rFonts w:cs="Arial"/>
          <w:bCs/>
        </w:rPr>
        <w:t xml:space="preserve">he UN </w:t>
      </w:r>
      <w:r w:rsidRPr="00EC12D7">
        <w:rPr>
          <w:rFonts w:cs="Arial"/>
          <w:bCs/>
        </w:rPr>
        <w:t>CRPD Committee</w:t>
      </w:r>
      <w:r w:rsidR="00D13019" w:rsidRPr="00EC12D7">
        <w:rPr>
          <w:rFonts w:cs="Arial"/>
          <w:bCs/>
        </w:rPr>
        <w:t xml:space="preserve"> defines independent living as meaning</w:t>
      </w:r>
      <w:r w:rsidR="00E706D6" w:rsidRPr="00EC12D7">
        <w:rPr>
          <w:rFonts w:cs="Arial"/>
          <w:bCs/>
        </w:rPr>
        <w:t xml:space="preserve"> </w:t>
      </w:r>
      <w:r w:rsidR="004A6D1A" w:rsidRPr="00EC12D7">
        <w:rPr>
          <w:rFonts w:cs="Arial"/>
          <w:bCs/>
        </w:rPr>
        <w:t>“</w:t>
      </w:r>
      <w:r w:rsidR="00D13019" w:rsidRPr="00EC12D7">
        <w:rPr>
          <w:rFonts w:cs="Arial"/>
          <w:bCs/>
        </w:rPr>
        <w:t>individuals with disabilities are provided with all necessary means to enable them to exercise choice and control over their lives and make all decisions concerning their lives”.</w:t>
      </w:r>
      <w:r w:rsidR="00E706D6" w:rsidRPr="00EC12D7">
        <w:rPr>
          <w:rFonts w:cs="Arial"/>
          <w:bCs/>
        </w:rPr>
        <w:t xml:space="preserve"> </w:t>
      </w:r>
      <w:r w:rsidR="00E706D6" w:rsidRPr="001025A0">
        <w:rPr>
          <w:vertAlign w:val="superscript"/>
        </w:rPr>
        <w:footnoteReference w:id="64"/>
      </w:r>
      <w:r w:rsidR="00D13019" w:rsidRPr="00EC12D7">
        <w:rPr>
          <w:rFonts w:cs="Arial"/>
          <w:bCs/>
          <w:vertAlign w:val="superscript"/>
        </w:rPr>
        <w:t xml:space="preserve"> </w:t>
      </w:r>
      <w:r w:rsidR="00D13019" w:rsidRPr="00EC12D7">
        <w:rPr>
          <w:rFonts w:cs="Arial"/>
          <w:bCs/>
        </w:rPr>
        <w:t>It has confirmed that</w:t>
      </w:r>
      <w:r w:rsidR="00E706D6" w:rsidRPr="00EC12D7">
        <w:rPr>
          <w:rFonts w:cs="Arial"/>
          <w:bCs/>
        </w:rPr>
        <w:t>:</w:t>
      </w:r>
    </w:p>
    <w:p w14:paraId="3FA4FB14" w14:textId="77777777" w:rsidR="00E706D6" w:rsidRPr="001025A0" w:rsidRDefault="00E706D6" w:rsidP="001025A0">
      <w:pPr>
        <w:pStyle w:val="ListParagraph"/>
        <w:spacing w:line="360" w:lineRule="auto"/>
        <w:ind w:left="709"/>
        <w:jc w:val="both"/>
        <w:rPr>
          <w:rFonts w:cs="Arial"/>
          <w:bCs/>
        </w:rPr>
      </w:pPr>
    </w:p>
    <w:p w14:paraId="3741057C" w14:textId="14A18AA9" w:rsidR="00D13019" w:rsidRPr="001025A0" w:rsidRDefault="007C093A" w:rsidP="001025A0">
      <w:pPr>
        <w:pStyle w:val="ListParagraph"/>
        <w:spacing w:line="360" w:lineRule="auto"/>
        <w:ind w:left="993"/>
        <w:jc w:val="both"/>
        <w:rPr>
          <w:rFonts w:cs="Arial"/>
          <w:bCs/>
        </w:rPr>
      </w:pPr>
      <w:r>
        <w:rPr>
          <w:rFonts w:cs="Arial"/>
          <w:bCs/>
        </w:rPr>
        <w:t>[</w:t>
      </w:r>
      <w:proofErr w:type="spellStart"/>
      <w:r>
        <w:rPr>
          <w:rFonts w:cs="Arial"/>
          <w:bCs/>
        </w:rPr>
        <w:t>i</w:t>
      </w:r>
      <w:proofErr w:type="spellEnd"/>
      <w:r>
        <w:rPr>
          <w:rFonts w:cs="Arial"/>
          <w:bCs/>
        </w:rPr>
        <w:t>]</w:t>
      </w:r>
      <w:proofErr w:type="spellStart"/>
      <w:r w:rsidR="00D13019" w:rsidRPr="001025A0">
        <w:rPr>
          <w:rFonts w:cs="Arial"/>
          <w:bCs/>
        </w:rPr>
        <w:t>ndividuali</w:t>
      </w:r>
      <w:r>
        <w:rPr>
          <w:rFonts w:cs="Arial"/>
          <w:bCs/>
        </w:rPr>
        <w:t>s</w:t>
      </w:r>
      <w:r w:rsidR="00D13019" w:rsidRPr="001025A0">
        <w:rPr>
          <w:rFonts w:cs="Arial"/>
          <w:bCs/>
        </w:rPr>
        <w:t>ed</w:t>
      </w:r>
      <w:proofErr w:type="spellEnd"/>
      <w:r w:rsidR="00D13019" w:rsidRPr="001025A0">
        <w:rPr>
          <w:rFonts w:cs="Arial"/>
          <w:bCs/>
        </w:rPr>
        <w:t xml:space="preserve"> support services must be considered a right</w:t>
      </w:r>
      <w:r w:rsidR="00E706D6" w:rsidRPr="001025A0">
        <w:rPr>
          <w:rFonts w:cs="Arial"/>
          <w:bCs/>
        </w:rPr>
        <w:t xml:space="preserve"> rather than a form of medical, social or charity care. For many persons with disabilities, access to a range of individuali</w:t>
      </w:r>
      <w:r>
        <w:rPr>
          <w:rFonts w:cs="Arial"/>
          <w:bCs/>
        </w:rPr>
        <w:t>s</w:t>
      </w:r>
      <w:r w:rsidR="00E706D6" w:rsidRPr="001025A0">
        <w:rPr>
          <w:rFonts w:cs="Arial"/>
          <w:bCs/>
        </w:rPr>
        <w:t>ed support services is a precondition for independent living within the community. Persons with disabilities have the right to choose services and service providers according to their individual requirements and personal preferences, and individuali</w:t>
      </w:r>
      <w:r>
        <w:rPr>
          <w:rFonts w:cs="Arial"/>
          <w:bCs/>
        </w:rPr>
        <w:t>s</w:t>
      </w:r>
      <w:r w:rsidR="00E706D6" w:rsidRPr="001025A0">
        <w:rPr>
          <w:rFonts w:cs="Arial"/>
          <w:bCs/>
        </w:rPr>
        <w:t>ed support should be flexible enough to adapt to the requirements of the “users” and not the other way around.</w:t>
      </w:r>
      <w:r w:rsidR="004A6D1A" w:rsidRPr="001025A0">
        <w:rPr>
          <w:bCs/>
          <w:vertAlign w:val="superscript"/>
        </w:rPr>
        <w:footnoteReference w:id="65"/>
      </w:r>
    </w:p>
    <w:p w14:paraId="547C4102" w14:textId="77777777" w:rsidR="00925258" w:rsidRPr="001025A0" w:rsidRDefault="00925258" w:rsidP="001025A0">
      <w:pPr>
        <w:pStyle w:val="ListParagraph"/>
        <w:spacing w:line="360" w:lineRule="auto"/>
        <w:ind w:left="709"/>
        <w:jc w:val="both"/>
        <w:rPr>
          <w:rFonts w:cs="Arial"/>
          <w:bCs/>
        </w:rPr>
      </w:pPr>
    </w:p>
    <w:p w14:paraId="3DD6D732" w14:textId="70246DE4" w:rsidR="00262902" w:rsidRPr="001025A0" w:rsidRDefault="007C093A" w:rsidP="001025A0">
      <w:pPr>
        <w:pStyle w:val="ListParagraph"/>
        <w:numPr>
          <w:ilvl w:val="1"/>
          <w:numId w:val="8"/>
        </w:numPr>
        <w:spacing w:line="360" w:lineRule="auto"/>
        <w:ind w:left="709"/>
        <w:jc w:val="both"/>
        <w:rPr>
          <w:rFonts w:cs="Arial"/>
          <w:bCs/>
        </w:rPr>
      </w:pPr>
      <w:r>
        <w:rPr>
          <w:rFonts w:cs="Arial"/>
          <w:bCs/>
        </w:rPr>
        <w:t xml:space="preserve">The UN CRPD Committee also </w:t>
      </w:r>
      <w:r w:rsidR="00686ED0">
        <w:rPr>
          <w:rFonts w:cs="Arial"/>
          <w:bCs/>
        </w:rPr>
        <w:t>confirms that</w:t>
      </w:r>
      <w:r w:rsidR="00351E36" w:rsidRPr="001025A0">
        <w:rPr>
          <w:rFonts w:cs="Arial"/>
          <w:bCs/>
        </w:rPr>
        <w:t>:</w:t>
      </w:r>
    </w:p>
    <w:p w14:paraId="760A8176" w14:textId="77777777" w:rsidR="00262902" w:rsidRPr="001025A0" w:rsidRDefault="00262902" w:rsidP="001025A0">
      <w:pPr>
        <w:pStyle w:val="ListParagraph"/>
        <w:spacing w:line="360" w:lineRule="auto"/>
        <w:ind w:left="709"/>
        <w:jc w:val="both"/>
        <w:rPr>
          <w:rFonts w:cs="Arial"/>
          <w:bCs/>
        </w:rPr>
      </w:pPr>
    </w:p>
    <w:p w14:paraId="0C158614" w14:textId="37BF2EBC" w:rsidR="006849DF" w:rsidRPr="006849DF" w:rsidRDefault="00686ED0" w:rsidP="006849DF">
      <w:pPr>
        <w:pStyle w:val="ListParagraph"/>
        <w:spacing w:line="360" w:lineRule="auto"/>
        <w:ind w:left="993"/>
        <w:jc w:val="both"/>
        <w:rPr>
          <w:rFonts w:cs="Arial"/>
          <w:bCs/>
        </w:rPr>
      </w:pPr>
      <w:r>
        <w:rPr>
          <w:rFonts w:cs="Arial"/>
          <w:bCs/>
        </w:rPr>
        <w:t>i</w:t>
      </w:r>
      <w:r w:rsidR="00925258" w:rsidRPr="001025A0">
        <w:rPr>
          <w:rFonts w:cs="Arial"/>
          <w:bCs/>
        </w:rPr>
        <w:t>ndividual choice</w:t>
      </w:r>
      <w:r w:rsidR="00262902" w:rsidRPr="001025A0">
        <w:rPr>
          <w:rFonts w:cs="Arial"/>
          <w:bCs/>
        </w:rPr>
        <w:t>…</w:t>
      </w:r>
      <w:r w:rsidR="00925258" w:rsidRPr="001025A0">
        <w:rPr>
          <w:rFonts w:cs="Arial"/>
          <w:bCs/>
        </w:rPr>
        <w:t>is not limited to the place of residence but includes all aspects of a person’s living arrangements: the daily schedule and routine as well as the way of life and lifestyle of a person, covering the private and public spheres, every day and in the long term.</w:t>
      </w:r>
      <w:r w:rsidR="00925258" w:rsidRPr="001025A0">
        <w:rPr>
          <w:bCs/>
          <w:vertAlign w:val="superscript"/>
        </w:rPr>
        <w:footnoteReference w:id="66"/>
      </w:r>
    </w:p>
    <w:p w14:paraId="30C56AA2" w14:textId="77777777" w:rsidR="006849DF" w:rsidRPr="006849DF" w:rsidRDefault="006849DF" w:rsidP="006849DF">
      <w:pPr>
        <w:spacing w:line="360" w:lineRule="auto"/>
        <w:jc w:val="both"/>
        <w:rPr>
          <w:rFonts w:cs="Arial"/>
          <w:bCs/>
        </w:rPr>
      </w:pPr>
    </w:p>
    <w:p w14:paraId="209899A0" w14:textId="6E3EF67E" w:rsidR="006849DF" w:rsidRDefault="00686ED0" w:rsidP="001025A0">
      <w:pPr>
        <w:pStyle w:val="ListParagraph"/>
        <w:numPr>
          <w:ilvl w:val="1"/>
          <w:numId w:val="8"/>
        </w:numPr>
        <w:spacing w:line="360" w:lineRule="auto"/>
        <w:ind w:left="709"/>
        <w:jc w:val="both"/>
        <w:rPr>
          <w:rFonts w:cs="Arial"/>
          <w:bCs/>
        </w:rPr>
      </w:pPr>
      <w:r>
        <w:rPr>
          <w:rFonts w:cs="Arial"/>
          <w:bCs/>
        </w:rPr>
        <w:t>The former UN</w:t>
      </w:r>
      <w:r w:rsidR="006849DF" w:rsidRPr="006849DF">
        <w:rPr>
          <w:rFonts w:cs="Arial"/>
          <w:bCs/>
        </w:rPr>
        <w:t xml:space="preserve"> Special Rapporteur on Torture and other Cruel, Inhuman or Degrading Treatment or Punishment</w:t>
      </w:r>
      <w:r>
        <w:rPr>
          <w:rFonts w:cs="Arial"/>
          <w:bCs/>
        </w:rPr>
        <w:t xml:space="preserve">, </w:t>
      </w:r>
      <w:proofErr w:type="spellStart"/>
      <w:r>
        <w:rPr>
          <w:rFonts w:cs="Arial"/>
          <w:bCs/>
        </w:rPr>
        <w:t>Juane</w:t>
      </w:r>
      <w:proofErr w:type="spellEnd"/>
      <w:r>
        <w:rPr>
          <w:rFonts w:cs="Arial"/>
          <w:bCs/>
        </w:rPr>
        <w:t xml:space="preserve"> E Ménde</w:t>
      </w:r>
      <w:r w:rsidR="0052589E">
        <w:rPr>
          <w:rFonts w:cs="Arial"/>
          <w:bCs/>
        </w:rPr>
        <w:t>z</w:t>
      </w:r>
      <w:r>
        <w:rPr>
          <w:rFonts w:cs="Arial"/>
          <w:bCs/>
        </w:rPr>
        <w:t xml:space="preserve"> </w:t>
      </w:r>
      <w:r w:rsidR="0052589E">
        <w:rPr>
          <w:rFonts w:cs="Arial"/>
          <w:bCs/>
        </w:rPr>
        <w:t xml:space="preserve">previously </w:t>
      </w:r>
      <w:r w:rsidR="006849DF" w:rsidRPr="006849DF">
        <w:rPr>
          <w:rFonts w:cs="Arial"/>
          <w:bCs/>
        </w:rPr>
        <w:t>highlighted that in the health care context, “choices by people with disabilities are often overridden based on their supposed ‘best interests,’” and “serious violations and discrimination against persons with disabilities may be masked as ‘good inte</w:t>
      </w:r>
      <w:r w:rsidR="006849DF">
        <w:rPr>
          <w:rFonts w:cs="Arial"/>
          <w:bCs/>
        </w:rPr>
        <w:t>ntions’ of health professionals</w:t>
      </w:r>
      <w:r w:rsidR="006849DF" w:rsidRPr="006849DF">
        <w:rPr>
          <w:rFonts w:cs="Arial"/>
          <w:bCs/>
        </w:rPr>
        <w:t>”</w:t>
      </w:r>
      <w:r w:rsidR="006849DF">
        <w:rPr>
          <w:rFonts w:cs="Arial"/>
          <w:bCs/>
        </w:rPr>
        <w:t>.</w:t>
      </w:r>
      <w:r w:rsidR="006849DF">
        <w:rPr>
          <w:rStyle w:val="FootnoteReference"/>
          <w:rFonts w:cs="Arial"/>
          <w:bCs/>
        </w:rPr>
        <w:footnoteReference w:id="67"/>
      </w:r>
    </w:p>
    <w:p w14:paraId="194A61A0" w14:textId="77777777" w:rsidR="006849DF" w:rsidRDefault="006849DF" w:rsidP="006849DF">
      <w:pPr>
        <w:pStyle w:val="ListParagraph"/>
        <w:spacing w:line="360" w:lineRule="auto"/>
        <w:ind w:left="709"/>
        <w:jc w:val="both"/>
        <w:rPr>
          <w:rFonts w:cs="Arial"/>
          <w:bCs/>
        </w:rPr>
      </w:pPr>
    </w:p>
    <w:p w14:paraId="558FEA13" w14:textId="149641A4" w:rsidR="00262902" w:rsidRPr="001025A0" w:rsidRDefault="0052589E" w:rsidP="001025A0">
      <w:pPr>
        <w:pStyle w:val="ListParagraph"/>
        <w:numPr>
          <w:ilvl w:val="1"/>
          <w:numId w:val="8"/>
        </w:numPr>
        <w:spacing w:line="360" w:lineRule="auto"/>
        <w:ind w:left="709"/>
        <w:jc w:val="both"/>
        <w:rPr>
          <w:rFonts w:cs="Arial"/>
          <w:bCs/>
        </w:rPr>
      </w:pPr>
      <w:r>
        <w:rPr>
          <w:rFonts w:cs="Arial"/>
          <w:bCs/>
        </w:rPr>
        <w:t xml:space="preserve">The </w:t>
      </w:r>
      <w:proofErr w:type="spellStart"/>
      <w:r>
        <w:rPr>
          <w:rFonts w:cs="Arial"/>
          <w:bCs/>
        </w:rPr>
        <w:t>CoE</w:t>
      </w:r>
      <w:proofErr w:type="spellEnd"/>
      <w:r>
        <w:rPr>
          <w:rFonts w:cs="Arial"/>
          <w:bCs/>
        </w:rPr>
        <w:t xml:space="preserve"> Committee of Ministers also recognises that</w:t>
      </w:r>
      <w:r w:rsidR="00E27B48" w:rsidRPr="001025A0">
        <w:rPr>
          <w:rFonts w:cs="Arial"/>
          <w:bCs/>
        </w:rPr>
        <w:t xml:space="preserve">: </w:t>
      </w:r>
    </w:p>
    <w:p w14:paraId="0D13C887" w14:textId="77777777" w:rsidR="00262902" w:rsidRPr="001025A0" w:rsidRDefault="00262902" w:rsidP="001025A0">
      <w:pPr>
        <w:pStyle w:val="ListParagraph"/>
        <w:spacing w:line="360" w:lineRule="auto"/>
        <w:ind w:left="709"/>
        <w:jc w:val="both"/>
        <w:rPr>
          <w:rFonts w:cs="Arial"/>
          <w:bCs/>
        </w:rPr>
      </w:pPr>
    </w:p>
    <w:p w14:paraId="4B008C8E" w14:textId="1DEA6018" w:rsidR="00E27B48" w:rsidRPr="001025A0" w:rsidRDefault="0052589E" w:rsidP="00140650">
      <w:pPr>
        <w:pStyle w:val="ListParagraph"/>
        <w:spacing w:line="360" w:lineRule="auto"/>
        <w:ind w:left="1440"/>
        <w:jc w:val="both"/>
        <w:rPr>
          <w:rFonts w:cs="Arial"/>
          <w:bCs/>
        </w:rPr>
      </w:pPr>
      <w:r>
        <w:rPr>
          <w:rFonts w:cs="Arial"/>
          <w:bCs/>
        </w:rPr>
        <w:t>o</w:t>
      </w:r>
      <w:r w:rsidR="00E27B48" w:rsidRPr="001025A0">
        <w:rPr>
          <w:rFonts w:cs="Arial"/>
          <w:bCs/>
        </w:rPr>
        <w:t xml:space="preserve">lder persons have the right to respect for their inherent dignity. They are entitled to lead their lives independently, in a self-determined and autonomous manner. This encompasses, inter alia, the taking of independent decisions </w:t>
      </w:r>
      <w:proofErr w:type="gramStart"/>
      <w:r w:rsidR="00E27B48" w:rsidRPr="001025A0">
        <w:rPr>
          <w:rFonts w:cs="Arial"/>
          <w:bCs/>
        </w:rPr>
        <w:t>with regard to</w:t>
      </w:r>
      <w:proofErr w:type="gramEnd"/>
      <w:r w:rsidR="00E27B48" w:rsidRPr="001025A0">
        <w:rPr>
          <w:rFonts w:cs="Arial"/>
          <w:bCs/>
        </w:rPr>
        <w:t xml:space="preserve"> all issues which concern them, including those regarding their property, income, finances, place of residence, health, medical treatment or care, as well as funeral arrangements. Any limitations should be proportionate to the specific </w:t>
      </w:r>
      <w:proofErr w:type="gramStart"/>
      <w:r w:rsidR="00E27B48" w:rsidRPr="001025A0">
        <w:rPr>
          <w:rFonts w:cs="Arial"/>
          <w:bCs/>
        </w:rPr>
        <w:t>situation, and</w:t>
      </w:r>
      <w:proofErr w:type="gramEnd"/>
      <w:r w:rsidR="00E27B48" w:rsidRPr="001025A0">
        <w:rPr>
          <w:rFonts w:cs="Arial"/>
          <w:bCs/>
        </w:rPr>
        <w:t xml:space="preserve"> provided with appropriate and effective safeguards to prevent abuse and discrimina</w:t>
      </w:r>
      <w:r w:rsidR="00262902" w:rsidRPr="001025A0">
        <w:rPr>
          <w:rFonts w:cs="Arial"/>
          <w:bCs/>
        </w:rPr>
        <w:t>tion.</w:t>
      </w:r>
      <w:r w:rsidR="00E27B48" w:rsidRPr="001025A0">
        <w:rPr>
          <w:bCs/>
          <w:vertAlign w:val="superscript"/>
        </w:rPr>
        <w:footnoteReference w:id="68"/>
      </w:r>
    </w:p>
    <w:p w14:paraId="6F1CEF30" w14:textId="77777777" w:rsidR="00E27B48" w:rsidRPr="001025A0" w:rsidRDefault="00E27B48" w:rsidP="001025A0">
      <w:pPr>
        <w:pStyle w:val="ListParagraph"/>
        <w:spacing w:line="360" w:lineRule="auto"/>
        <w:ind w:left="709"/>
        <w:jc w:val="both"/>
        <w:rPr>
          <w:rFonts w:cs="Arial"/>
          <w:bCs/>
        </w:rPr>
      </w:pPr>
    </w:p>
    <w:p w14:paraId="4410E8D7" w14:textId="723F4E57" w:rsidR="00224D65" w:rsidRPr="001025A0" w:rsidRDefault="0052589E" w:rsidP="001025A0">
      <w:pPr>
        <w:pStyle w:val="ListParagraph"/>
        <w:numPr>
          <w:ilvl w:val="1"/>
          <w:numId w:val="8"/>
        </w:numPr>
        <w:spacing w:line="360" w:lineRule="auto"/>
        <w:ind w:left="709"/>
        <w:jc w:val="both"/>
        <w:rPr>
          <w:rFonts w:cs="Arial"/>
          <w:bCs/>
        </w:rPr>
      </w:pPr>
      <w:r>
        <w:rPr>
          <w:rFonts w:cs="Arial"/>
          <w:bCs/>
        </w:rPr>
        <w:t>Additionally, t</w:t>
      </w:r>
      <w:r w:rsidR="00224D65" w:rsidRPr="001025A0">
        <w:rPr>
          <w:rFonts w:cs="Arial"/>
          <w:bCs/>
        </w:rPr>
        <w:t xml:space="preserve">he </w:t>
      </w:r>
      <w:r>
        <w:rPr>
          <w:rFonts w:cs="Arial"/>
          <w:bCs/>
        </w:rPr>
        <w:t>UN I</w:t>
      </w:r>
      <w:r w:rsidR="00224D65" w:rsidRPr="001025A0">
        <w:rPr>
          <w:rFonts w:cs="Arial"/>
          <w:bCs/>
        </w:rPr>
        <w:t>CESCR</w:t>
      </w:r>
      <w:r>
        <w:rPr>
          <w:rFonts w:cs="Arial"/>
          <w:bCs/>
        </w:rPr>
        <w:t xml:space="preserve"> Committee</w:t>
      </w:r>
      <w:r w:rsidR="00224D65" w:rsidRPr="001025A0">
        <w:rPr>
          <w:rFonts w:cs="Arial"/>
          <w:bCs/>
        </w:rPr>
        <w:t xml:space="preserve"> </w:t>
      </w:r>
      <w:r>
        <w:rPr>
          <w:rFonts w:cs="Arial"/>
          <w:bCs/>
        </w:rPr>
        <w:t>recognises</w:t>
      </w:r>
      <w:r w:rsidR="00224D65" w:rsidRPr="001025A0">
        <w:rPr>
          <w:rFonts w:cs="Arial"/>
          <w:bCs/>
        </w:rPr>
        <w:t xml:space="preserve"> the importance of people’s involvement and participation in their own health-related decision-</w:t>
      </w:r>
      <w:r w:rsidR="00224D65" w:rsidRPr="001025A0">
        <w:rPr>
          <w:rFonts w:cs="Arial"/>
          <w:bCs/>
        </w:rPr>
        <w:lastRenderedPageBreak/>
        <w:t xml:space="preserve">making </w:t>
      </w:r>
      <w:proofErr w:type="gramStart"/>
      <w:r w:rsidR="00224D65" w:rsidRPr="001025A0">
        <w:rPr>
          <w:rFonts w:cs="Arial"/>
          <w:bCs/>
        </w:rPr>
        <w:t>and also</w:t>
      </w:r>
      <w:proofErr w:type="gramEnd"/>
      <w:r w:rsidR="00224D65" w:rsidRPr="001025A0">
        <w:rPr>
          <w:rFonts w:cs="Arial"/>
          <w:bCs/>
        </w:rPr>
        <w:t xml:space="preserve"> wider planning of policies and services. This includes those groups who face barriers to effectively engage in consultation processes.</w:t>
      </w:r>
      <w:r w:rsidR="00224D65" w:rsidRPr="001025A0">
        <w:rPr>
          <w:rFonts w:cs="Arial"/>
          <w:bCs/>
          <w:vertAlign w:val="superscript"/>
        </w:rPr>
        <w:footnoteReference w:id="69"/>
      </w:r>
    </w:p>
    <w:p w14:paraId="57C1693B" w14:textId="77777777" w:rsidR="00D13019" w:rsidRPr="001025A0" w:rsidRDefault="00D13019" w:rsidP="001025A0">
      <w:pPr>
        <w:pStyle w:val="ListParagraph"/>
        <w:spacing w:line="360" w:lineRule="auto"/>
        <w:ind w:left="709"/>
        <w:jc w:val="both"/>
        <w:rPr>
          <w:rFonts w:cs="Arial"/>
          <w:bCs/>
        </w:rPr>
      </w:pPr>
    </w:p>
    <w:p w14:paraId="14E18C62" w14:textId="503DC778" w:rsidR="0052589E" w:rsidRDefault="00A85608" w:rsidP="001025A0">
      <w:pPr>
        <w:pStyle w:val="ListParagraph"/>
        <w:numPr>
          <w:ilvl w:val="1"/>
          <w:numId w:val="8"/>
        </w:numPr>
        <w:spacing w:line="360" w:lineRule="auto"/>
        <w:ind w:left="709"/>
        <w:jc w:val="both"/>
        <w:rPr>
          <w:rFonts w:cs="Arial"/>
          <w:bCs/>
        </w:rPr>
      </w:pPr>
      <w:r w:rsidRPr="001025A0">
        <w:rPr>
          <w:rFonts w:cs="Arial"/>
          <w:bCs/>
        </w:rPr>
        <w:t xml:space="preserve">The </w:t>
      </w:r>
      <w:r w:rsidR="0052589E">
        <w:rPr>
          <w:rFonts w:cs="Arial"/>
          <w:bCs/>
        </w:rPr>
        <w:t>NIHRC</w:t>
      </w:r>
      <w:r w:rsidR="0052589E" w:rsidRPr="001025A0">
        <w:rPr>
          <w:rFonts w:cs="Arial"/>
          <w:bCs/>
        </w:rPr>
        <w:t xml:space="preserve"> </w:t>
      </w:r>
      <w:r w:rsidRPr="001025A0">
        <w:rPr>
          <w:rFonts w:cs="Arial"/>
          <w:bCs/>
        </w:rPr>
        <w:t>welcomes the proposals set out under strategic priority 3</w:t>
      </w:r>
      <w:r w:rsidR="00351E36" w:rsidRPr="001025A0">
        <w:rPr>
          <w:rFonts w:cs="Arial"/>
          <w:bCs/>
        </w:rPr>
        <w:t xml:space="preserve">. </w:t>
      </w:r>
    </w:p>
    <w:p w14:paraId="2BD35961" w14:textId="77777777" w:rsidR="0052589E" w:rsidRPr="0052589E" w:rsidRDefault="0052589E" w:rsidP="0052589E">
      <w:pPr>
        <w:pStyle w:val="ListParagraph"/>
        <w:rPr>
          <w:rFonts w:cs="Arial"/>
          <w:b/>
          <w:bCs/>
        </w:rPr>
      </w:pPr>
    </w:p>
    <w:p w14:paraId="31EED034" w14:textId="25AD8B38" w:rsidR="00D13019" w:rsidRPr="001025A0" w:rsidRDefault="00351E36" w:rsidP="001025A0">
      <w:pPr>
        <w:pStyle w:val="ListParagraph"/>
        <w:numPr>
          <w:ilvl w:val="1"/>
          <w:numId w:val="8"/>
        </w:numPr>
        <w:spacing w:line="360" w:lineRule="auto"/>
        <w:ind w:left="709"/>
        <w:jc w:val="both"/>
        <w:rPr>
          <w:rFonts w:cs="Arial"/>
          <w:bCs/>
        </w:rPr>
      </w:pPr>
      <w:r w:rsidRPr="001025A0">
        <w:rPr>
          <w:rFonts w:cs="Arial"/>
          <w:b/>
          <w:bCs/>
        </w:rPr>
        <w:t xml:space="preserve">The </w:t>
      </w:r>
      <w:r w:rsidR="0052589E">
        <w:rPr>
          <w:rFonts w:cs="Arial"/>
          <w:b/>
          <w:bCs/>
        </w:rPr>
        <w:t>NIHRC</w:t>
      </w:r>
      <w:r w:rsidR="0052589E" w:rsidRPr="001025A0">
        <w:rPr>
          <w:rFonts w:cs="Arial"/>
          <w:b/>
          <w:bCs/>
        </w:rPr>
        <w:t xml:space="preserve"> </w:t>
      </w:r>
      <w:r w:rsidRPr="001025A0">
        <w:rPr>
          <w:rFonts w:cs="Arial"/>
          <w:b/>
          <w:bCs/>
        </w:rPr>
        <w:t xml:space="preserve">recommends that </w:t>
      </w:r>
      <w:r w:rsidR="0052589E">
        <w:rPr>
          <w:rFonts w:cs="Arial"/>
          <w:b/>
          <w:bCs/>
        </w:rPr>
        <w:t>the Department of Health</w:t>
      </w:r>
      <w:r w:rsidR="00DA7D75">
        <w:rPr>
          <w:rFonts w:cs="Arial"/>
          <w:b/>
          <w:bCs/>
        </w:rPr>
        <w:t>,</w:t>
      </w:r>
      <w:r w:rsidR="0052589E">
        <w:rPr>
          <w:rFonts w:cs="Arial"/>
          <w:b/>
          <w:bCs/>
        </w:rPr>
        <w:t xml:space="preserve"> </w:t>
      </w:r>
      <w:r w:rsidRPr="001025A0">
        <w:rPr>
          <w:rFonts w:cs="Arial"/>
          <w:b/>
          <w:bCs/>
        </w:rPr>
        <w:t>as part of the development of a</w:t>
      </w:r>
      <w:r w:rsidR="00A85608" w:rsidRPr="001025A0">
        <w:rPr>
          <w:rFonts w:cs="Arial"/>
          <w:b/>
          <w:bCs/>
        </w:rPr>
        <w:t xml:space="preserve"> </w:t>
      </w:r>
      <w:r w:rsidRPr="001025A0">
        <w:rPr>
          <w:rFonts w:cs="Arial"/>
          <w:b/>
          <w:bCs/>
        </w:rPr>
        <w:t xml:space="preserve">regional strategic </w:t>
      </w:r>
      <w:r w:rsidR="0052589E">
        <w:rPr>
          <w:rFonts w:cs="Arial"/>
          <w:b/>
          <w:bCs/>
        </w:rPr>
        <w:t>‘</w:t>
      </w:r>
      <w:r w:rsidRPr="001025A0">
        <w:rPr>
          <w:rFonts w:cs="Arial"/>
          <w:b/>
          <w:bCs/>
        </w:rPr>
        <w:t>In Control</w:t>
      </w:r>
      <w:r w:rsidR="0052589E">
        <w:rPr>
          <w:rFonts w:cs="Arial"/>
          <w:b/>
          <w:bCs/>
        </w:rPr>
        <w:t>’</w:t>
      </w:r>
      <w:r w:rsidRPr="001025A0">
        <w:rPr>
          <w:rFonts w:cs="Arial"/>
          <w:b/>
          <w:bCs/>
        </w:rPr>
        <w:t xml:space="preserve"> action plan</w:t>
      </w:r>
      <w:r w:rsidR="007719F2">
        <w:rPr>
          <w:rFonts w:cs="Arial"/>
          <w:b/>
          <w:bCs/>
        </w:rPr>
        <w:t>,</w:t>
      </w:r>
      <w:r w:rsidRPr="001025A0">
        <w:rPr>
          <w:rFonts w:cs="Arial"/>
          <w:b/>
          <w:bCs/>
        </w:rPr>
        <w:t xml:space="preserve"> </w:t>
      </w:r>
      <w:r w:rsidR="00BE1221">
        <w:rPr>
          <w:rFonts w:cs="Arial"/>
          <w:b/>
          <w:bCs/>
        </w:rPr>
        <w:t>considers</w:t>
      </w:r>
      <w:r w:rsidRPr="001025A0">
        <w:rPr>
          <w:rFonts w:cs="Arial"/>
          <w:b/>
          <w:bCs/>
        </w:rPr>
        <w:t xml:space="preserve"> the inclusion of those who face barriers to engagement in consultation processes.</w:t>
      </w:r>
      <w:r w:rsidRPr="001025A0">
        <w:rPr>
          <w:rFonts w:cs="Arial"/>
          <w:bCs/>
        </w:rPr>
        <w:t xml:space="preserve"> </w:t>
      </w:r>
    </w:p>
    <w:p w14:paraId="31B63794" w14:textId="77777777" w:rsidR="00351E36" w:rsidRPr="001025A0" w:rsidRDefault="00351E36" w:rsidP="001025A0">
      <w:pPr>
        <w:pStyle w:val="ListParagraph"/>
        <w:spacing w:line="360" w:lineRule="auto"/>
        <w:ind w:left="709"/>
        <w:jc w:val="both"/>
        <w:rPr>
          <w:rFonts w:cs="Arial"/>
          <w:bCs/>
        </w:rPr>
      </w:pPr>
    </w:p>
    <w:p w14:paraId="367EF6B1" w14:textId="71E01FEC" w:rsidR="001025A0" w:rsidRPr="001025A0" w:rsidRDefault="00C24AED" w:rsidP="001025A0">
      <w:pPr>
        <w:pStyle w:val="ListParagraph"/>
        <w:numPr>
          <w:ilvl w:val="1"/>
          <w:numId w:val="8"/>
        </w:numPr>
        <w:spacing w:line="360" w:lineRule="auto"/>
        <w:ind w:left="709"/>
        <w:jc w:val="both"/>
        <w:rPr>
          <w:rFonts w:cs="Arial"/>
          <w:bCs/>
        </w:rPr>
      </w:pPr>
      <w:r w:rsidRPr="001025A0">
        <w:rPr>
          <w:rFonts w:cs="Arial"/>
          <w:bCs/>
        </w:rPr>
        <w:t xml:space="preserve">The </w:t>
      </w:r>
      <w:r w:rsidR="0052589E">
        <w:rPr>
          <w:rFonts w:cs="Arial"/>
          <w:bCs/>
        </w:rPr>
        <w:t>NIHRC</w:t>
      </w:r>
      <w:r w:rsidR="0052589E" w:rsidRPr="001025A0">
        <w:rPr>
          <w:rFonts w:cs="Arial"/>
          <w:bCs/>
        </w:rPr>
        <w:t xml:space="preserve"> </w:t>
      </w:r>
      <w:r w:rsidRPr="001025A0">
        <w:rPr>
          <w:rFonts w:cs="Arial"/>
          <w:bCs/>
        </w:rPr>
        <w:t xml:space="preserve">notes that </w:t>
      </w:r>
      <w:proofErr w:type="gramStart"/>
      <w:r w:rsidRPr="001025A0">
        <w:rPr>
          <w:rFonts w:cs="Arial"/>
          <w:bCs/>
        </w:rPr>
        <w:t>in order for</w:t>
      </w:r>
      <w:proofErr w:type="gramEnd"/>
      <w:r w:rsidRPr="001025A0">
        <w:rPr>
          <w:rFonts w:cs="Arial"/>
          <w:bCs/>
        </w:rPr>
        <w:t xml:space="preserve"> an individual to effectively exercise choice and control, their options must be presented in a way that is accessible to them. </w:t>
      </w:r>
    </w:p>
    <w:p w14:paraId="3FCABA8B" w14:textId="77777777" w:rsidR="001025A0" w:rsidRPr="001025A0" w:rsidRDefault="001025A0" w:rsidP="001025A0">
      <w:pPr>
        <w:pStyle w:val="ListParagraph"/>
        <w:rPr>
          <w:rFonts w:cs="Arial"/>
          <w:b/>
          <w:bCs/>
        </w:rPr>
      </w:pPr>
    </w:p>
    <w:p w14:paraId="5F6342F5" w14:textId="357AA27B" w:rsidR="00351E36" w:rsidRPr="001025A0" w:rsidRDefault="00C24AED" w:rsidP="001025A0">
      <w:pPr>
        <w:pStyle w:val="ListParagraph"/>
        <w:numPr>
          <w:ilvl w:val="1"/>
          <w:numId w:val="8"/>
        </w:numPr>
        <w:spacing w:line="360" w:lineRule="auto"/>
        <w:ind w:left="709"/>
        <w:jc w:val="both"/>
        <w:rPr>
          <w:rFonts w:cs="Arial"/>
          <w:b/>
          <w:bCs/>
        </w:rPr>
      </w:pPr>
      <w:r w:rsidRPr="001025A0">
        <w:rPr>
          <w:rFonts w:cs="Arial"/>
          <w:b/>
          <w:bCs/>
        </w:rPr>
        <w:t xml:space="preserve">The </w:t>
      </w:r>
      <w:r w:rsidR="0052589E">
        <w:rPr>
          <w:rFonts w:cs="Arial"/>
          <w:b/>
          <w:bCs/>
        </w:rPr>
        <w:t>NIHRC</w:t>
      </w:r>
      <w:r w:rsidR="0052589E" w:rsidRPr="001025A0">
        <w:rPr>
          <w:rFonts w:cs="Arial"/>
          <w:b/>
          <w:bCs/>
        </w:rPr>
        <w:t xml:space="preserve"> </w:t>
      </w:r>
      <w:r w:rsidRPr="001025A0">
        <w:rPr>
          <w:rFonts w:cs="Arial"/>
          <w:b/>
          <w:bCs/>
        </w:rPr>
        <w:t xml:space="preserve">recommends that the proposed legislative duty on </w:t>
      </w:r>
      <w:r w:rsidR="008146C0">
        <w:rPr>
          <w:rFonts w:cs="Arial"/>
          <w:b/>
          <w:bCs/>
        </w:rPr>
        <w:t xml:space="preserve">Health and Social Care Trusts </w:t>
      </w:r>
      <w:r w:rsidRPr="001025A0">
        <w:rPr>
          <w:rFonts w:cs="Arial"/>
          <w:b/>
          <w:bCs/>
        </w:rPr>
        <w:t>to provide information and advice on care and support options includes a requirement that this is tailored to a range of communication requirements. For example, through the provision</w:t>
      </w:r>
      <w:r w:rsidR="00916D0B" w:rsidRPr="001025A0">
        <w:rPr>
          <w:rFonts w:cs="Arial"/>
          <w:b/>
          <w:bCs/>
        </w:rPr>
        <w:t xml:space="preserve"> of language translations, large print, easy </w:t>
      </w:r>
      <w:proofErr w:type="gramStart"/>
      <w:r w:rsidR="00916D0B" w:rsidRPr="001025A0">
        <w:rPr>
          <w:rFonts w:cs="Arial"/>
          <w:b/>
          <w:bCs/>
        </w:rPr>
        <w:t>read</w:t>
      </w:r>
      <w:proofErr w:type="gramEnd"/>
      <w:r w:rsidR="00916D0B" w:rsidRPr="001025A0">
        <w:rPr>
          <w:rFonts w:cs="Arial"/>
          <w:b/>
          <w:bCs/>
        </w:rPr>
        <w:t xml:space="preserve"> and audio versions. This will require appropriate resource allocation. </w:t>
      </w:r>
    </w:p>
    <w:p w14:paraId="7E0C9062" w14:textId="77777777" w:rsidR="00916D0B" w:rsidRPr="001025A0" w:rsidRDefault="00916D0B" w:rsidP="001025A0">
      <w:pPr>
        <w:pStyle w:val="ListParagraph"/>
        <w:spacing w:line="360" w:lineRule="auto"/>
        <w:ind w:left="709"/>
        <w:jc w:val="both"/>
        <w:rPr>
          <w:rFonts w:cs="Arial"/>
          <w:bCs/>
        </w:rPr>
      </w:pPr>
    </w:p>
    <w:p w14:paraId="430C0892" w14:textId="77777777" w:rsidR="00916D0B" w:rsidRPr="001025A0" w:rsidRDefault="00387E44" w:rsidP="001025A0">
      <w:pPr>
        <w:pStyle w:val="ListParagraph"/>
        <w:numPr>
          <w:ilvl w:val="1"/>
          <w:numId w:val="8"/>
        </w:numPr>
        <w:spacing w:line="360" w:lineRule="auto"/>
        <w:ind w:left="709"/>
        <w:jc w:val="both"/>
        <w:rPr>
          <w:rFonts w:cs="Arial"/>
          <w:bCs/>
        </w:rPr>
      </w:pPr>
      <w:r w:rsidRPr="001025A0">
        <w:rPr>
          <w:rFonts w:cs="Arial"/>
          <w:bCs/>
        </w:rPr>
        <w:t xml:space="preserve">Within the health and social care system, certain individuals, particularly those with complex communication requirements have been assessed as being unable to live in a community setting. </w:t>
      </w:r>
      <w:r w:rsidR="00C06913" w:rsidRPr="001025A0">
        <w:rPr>
          <w:rFonts w:cs="Arial"/>
          <w:bCs/>
        </w:rPr>
        <w:t>Article 19 of the UN CRPD “extends the right to live independently and be included in the community to all persons with disabilities, regardless of their level of intellectual capacity, self-functioning or support requirements”.</w:t>
      </w:r>
      <w:r w:rsidR="00C06913" w:rsidRPr="001025A0">
        <w:rPr>
          <w:bCs/>
          <w:vertAlign w:val="superscript"/>
        </w:rPr>
        <w:footnoteReference w:id="70"/>
      </w:r>
    </w:p>
    <w:p w14:paraId="3FB1A461" w14:textId="77777777" w:rsidR="005B7107" w:rsidRPr="001025A0" w:rsidRDefault="005B7107" w:rsidP="001025A0">
      <w:pPr>
        <w:pStyle w:val="ListParagraph"/>
        <w:spacing w:line="360" w:lineRule="auto"/>
        <w:ind w:left="709"/>
        <w:jc w:val="both"/>
        <w:rPr>
          <w:rFonts w:cs="Arial"/>
          <w:bCs/>
        </w:rPr>
      </w:pPr>
    </w:p>
    <w:p w14:paraId="1CFBE0D3" w14:textId="58C57031" w:rsidR="008F6D4E" w:rsidRPr="001025A0" w:rsidRDefault="0052589E" w:rsidP="001025A0">
      <w:pPr>
        <w:pStyle w:val="ListParagraph"/>
        <w:numPr>
          <w:ilvl w:val="1"/>
          <w:numId w:val="8"/>
        </w:numPr>
        <w:spacing w:line="360" w:lineRule="auto"/>
        <w:ind w:left="709"/>
        <w:jc w:val="both"/>
        <w:rPr>
          <w:rFonts w:cs="Arial"/>
          <w:bCs/>
        </w:rPr>
      </w:pPr>
      <w:r>
        <w:rPr>
          <w:rFonts w:cs="Arial"/>
          <w:bCs/>
        </w:rPr>
        <w:lastRenderedPageBreak/>
        <w:t xml:space="preserve">The UN CRPD Committee’s </w:t>
      </w:r>
      <w:r w:rsidR="008F6D4E" w:rsidRPr="001025A0">
        <w:rPr>
          <w:rFonts w:cs="Arial"/>
          <w:bCs/>
        </w:rPr>
        <w:t xml:space="preserve">General Comment No 5 describes institutionalised settings as having </w:t>
      </w:r>
      <w:r w:rsidR="005B7107" w:rsidRPr="001025A0">
        <w:rPr>
          <w:rFonts w:cs="Arial"/>
          <w:bCs/>
        </w:rPr>
        <w:t xml:space="preserve">defining elements, such as: </w:t>
      </w:r>
    </w:p>
    <w:p w14:paraId="05ECD25A" w14:textId="77777777" w:rsidR="008F6D4E" w:rsidRPr="001025A0" w:rsidRDefault="008F6D4E" w:rsidP="001025A0">
      <w:pPr>
        <w:pStyle w:val="ListParagraph"/>
        <w:spacing w:line="360" w:lineRule="auto"/>
        <w:ind w:left="709"/>
        <w:jc w:val="both"/>
        <w:rPr>
          <w:rFonts w:cs="Arial"/>
          <w:bCs/>
        </w:rPr>
      </w:pPr>
    </w:p>
    <w:p w14:paraId="694E760C" w14:textId="77777777" w:rsidR="005B7107" w:rsidRPr="001025A0" w:rsidRDefault="005B7107" w:rsidP="001025A0">
      <w:pPr>
        <w:pStyle w:val="ListParagraph"/>
        <w:spacing w:line="360" w:lineRule="auto"/>
        <w:ind w:left="993"/>
        <w:jc w:val="both"/>
        <w:rPr>
          <w:rFonts w:cs="Arial"/>
          <w:bCs/>
        </w:rPr>
      </w:pPr>
      <w:r w:rsidRPr="001025A0">
        <w:rPr>
          <w:rFonts w:cs="Arial"/>
          <w:bCs/>
        </w:rPr>
        <w:t>obligatory sharing of assistants with others and no or limited influence over by whom one has to accept assistance, isolation and segregation from independent life within the community,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 in the same environment. Institutional settings may offer persons with disabilities a certain degree of choice and control, however, these choices are limited to specific areas of life and do not change the segregating character of institutions.</w:t>
      </w:r>
      <w:r w:rsidRPr="001025A0">
        <w:rPr>
          <w:bCs/>
          <w:vertAlign w:val="superscript"/>
        </w:rPr>
        <w:footnoteReference w:id="71"/>
      </w:r>
    </w:p>
    <w:p w14:paraId="0213A2C6" w14:textId="77777777" w:rsidR="0078308D" w:rsidRPr="001025A0" w:rsidRDefault="0078308D" w:rsidP="001025A0">
      <w:pPr>
        <w:pStyle w:val="ListParagraph"/>
        <w:spacing w:line="360" w:lineRule="auto"/>
        <w:ind w:left="709"/>
        <w:jc w:val="both"/>
        <w:rPr>
          <w:rFonts w:cs="Arial"/>
          <w:bCs/>
        </w:rPr>
      </w:pPr>
    </w:p>
    <w:p w14:paraId="282B1013" w14:textId="4013B2F7" w:rsidR="001D7B46" w:rsidRDefault="008F6D4E" w:rsidP="009C0C6F">
      <w:pPr>
        <w:pStyle w:val="ListParagraph"/>
        <w:numPr>
          <w:ilvl w:val="1"/>
          <w:numId w:val="8"/>
        </w:numPr>
        <w:spacing w:line="360" w:lineRule="auto"/>
        <w:ind w:left="709"/>
        <w:jc w:val="both"/>
        <w:rPr>
          <w:rFonts w:cs="Arial"/>
          <w:bCs/>
        </w:rPr>
      </w:pPr>
      <w:r w:rsidRPr="001025A0">
        <w:rPr>
          <w:rFonts w:cs="Arial"/>
          <w:bCs/>
        </w:rPr>
        <w:t xml:space="preserve">The </w:t>
      </w:r>
      <w:r w:rsidR="004333D9">
        <w:rPr>
          <w:rFonts w:cs="Arial"/>
          <w:bCs/>
        </w:rPr>
        <w:t>NIHRC</w:t>
      </w:r>
      <w:r w:rsidR="004333D9" w:rsidRPr="001025A0">
        <w:rPr>
          <w:rFonts w:cs="Arial"/>
          <w:bCs/>
        </w:rPr>
        <w:t xml:space="preserve"> </w:t>
      </w:r>
      <w:r w:rsidR="0078308D" w:rsidRPr="001025A0">
        <w:rPr>
          <w:rFonts w:cs="Arial"/>
          <w:bCs/>
        </w:rPr>
        <w:t xml:space="preserve">acknowledges the need for careful planning and safeguarding procedures in promoting </w:t>
      </w:r>
      <w:proofErr w:type="gramStart"/>
      <w:r w:rsidR="0078308D" w:rsidRPr="001025A0">
        <w:rPr>
          <w:rFonts w:cs="Arial"/>
          <w:bCs/>
        </w:rPr>
        <w:t>community based</w:t>
      </w:r>
      <w:proofErr w:type="gramEnd"/>
      <w:r w:rsidR="0078308D" w:rsidRPr="001025A0">
        <w:rPr>
          <w:rFonts w:cs="Arial"/>
          <w:bCs/>
        </w:rPr>
        <w:t xml:space="preserve"> care options</w:t>
      </w:r>
      <w:r w:rsidR="002465BA">
        <w:rPr>
          <w:rFonts w:cs="Arial"/>
          <w:bCs/>
        </w:rPr>
        <w:t>, but notes that there have been</w:t>
      </w:r>
      <w:r w:rsidR="009C0C6F">
        <w:rPr>
          <w:rFonts w:cs="Arial"/>
          <w:bCs/>
        </w:rPr>
        <w:t xml:space="preserve"> significant</w:t>
      </w:r>
      <w:r w:rsidR="002465BA">
        <w:rPr>
          <w:rFonts w:cs="Arial"/>
          <w:bCs/>
        </w:rPr>
        <w:t xml:space="preserve"> ongoing delays in the resettlement of people with learning disabilities and mental health needs into the community</w:t>
      </w:r>
      <w:r w:rsidR="002E5A1E">
        <w:rPr>
          <w:rFonts w:cs="Arial"/>
          <w:bCs/>
        </w:rPr>
        <w:t>.</w:t>
      </w:r>
      <w:r w:rsidR="004333D9">
        <w:rPr>
          <w:rFonts w:cs="Arial"/>
          <w:bCs/>
        </w:rPr>
        <w:t xml:space="preserve"> </w:t>
      </w:r>
      <w:r w:rsidR="0078308D" w:rsidRPr="001025A0">
        <w:rPr>
          <w:rFonts w:cs="Arial"/>
          <w:bCs/>
        </w:rPr>
        <w:t xml:space="preserve">The </w:t>
      </w:r>
      <w:r w:rsidR="004333D9">
        <w:rPr>
          <w:rFonts w:cs="Arial"/>
          <w:bCs/>
        </w:rPr>
        <w:t>NIHRC</w:t>
      </w:r>
      <w:r w:rsidR="004333D9" w:rsidRPr="001025A0">
        <w:rPr>
          <w:rFonts w:cs="Arial"/>
          <w:bCs/>
        </w:rPr>
        <w:t xml:space="preserve"> </w:t>
      </w:r>
      <w:r w:rsidR="0078308D" w:rsidRPr="001025A0">
        <w:rPr>
          <w:rFonts w:cs="Arial"/>
          <w:bCs/>
        </w:rPr>
        <w:t>welcomes</w:t>
      </w:r>
      <w:r w:rsidR="00B0505A" w:rsidRPr="001025A0">
        <w:rPr>
          <w:rFonts w:cs="Arial"/>
          <w:bCs/>
        </w:rPr>
        <w:t xml:space="preserve"> that </w:t>
      </w:r>
      <w:proofErr w:type="gramStart"/>
      <w:r w:rsidR="00B0505A" w:rsidRPr="001025A0">
        <w:rPr>
          <w:rFonts w:cs="Arial"/>
          <w:bCs/>
        </w:rPr>
        <w:t>a number of</w:t>
      </w:r>
      <w:proofErr w:type="gramEnd"/>
      <w:r w:rsidR="00B0505A" w:rsidRPr="001025A0">
        <w:rPr>
          <w:rFonts w:cs="Arial"/>
          <w:bCs/>
        </w:rPr>
        <w:t xml:space="preserve"> the proposed actions within the consultation document support the deinstitutionalisation of social care.</w:t>
      </w:r>
      <w:r w:rsidR="009C0C6F">
        <w:rPr>
          <w:rFonts w:cs="Arial"/>
          <w:bCs/>
        </w:rPr>
        <w:t xml:space="preserve"> However, the</w:t>
      </w:r>
      <w:r w:rsidR="001D7B46">
        <w:rPr>
          <w:rFonts w:cs="Arial"/>
          <w:bCs/>
        </w:rPr>
        <w:t>re is room for improvement.</w:t>
      </w:r>
    </w:p>
    <w:p w14:paraId="4096909F" w14:textId="5F8F4D96" w:rsidR="001D7B46" w:rsidRDefault="001D7B46" w:rsidP="001D7B46">
      <w:pPr>
        <w:pStyle w:val="ListParagraph"/>
        <w:spacing w:line="360" w:lineRule="auto"/>
        <w:ind w:left="709"/>
        <w:jc w:val="both"/>
        <w:rPr>
          <w:rFonts w:cs="Arial"/>
          <w:bCs/>
        </w:rPr>
      </w:pPr>
    </w:p>
    <w:p w14:paraId="3B7F9254" w14:textId="41A34F57" w:rsidR="008F6D4E" w:rsidRPr="00DA7D75" w:rsidRDefault="001D7B46" w:rsidP="009C0C6F">
      <w:pPr>
        <w:pStyle w:val="ListParagraph"/>
        <w:numPr>
          <w:ilvl w:val="1"/>
          <w:numId w:val="8"/>
        </w:numPr>
        <w:spacing w:line="360" w:lineRule="auto"/>
        <w:ind w:left="709"/>
        <w:jc w:val="both"/>
        <w:rPr>
          <w:rFonts w:cs="Arial"/>
          <w:bCs/>
        </w:rPr>
      </w:pPr>
      <w:r>
        <w:rPr>
          <w:rFonts w:cs="Arial"/>
          <w:b/>
          <w:bCs/>
        </w:rPr>
        <w:t>The NIHRC</w:t>
      </w:r>
      <w:r w:rsidRPr="009C0C6F">
        <w:rPr>
          <w:rFonts w:cs="Arial"/>
          <w:b/>
          <w:bCs/>
        </w:rPr>
        <w:t xml:space="preserve"> </w:t>
      </w:r>
      <w:r w:rsidR="00953FEE" w:rsidRPr="009C0C6F">
        <w:rPr>
          <w:rFonts w:cs="Arial"/>
          <w:b/>
          <w:bCs/>
        </w:rPr>
        <w:t>recommends that</w:t>
      </w:r>
      <w:r w:rsidR="00B0505A" w:rsidRPr="009C0C6F">
        <w:rPr>
          <w:rFonts w:cs="Arial"/>
          <w:b/>
          <w:bCs/>
        </w:rPr>
        <w:t>, within the strategy,</w:t>
      </w:r>
      <w:r w:rsidR="00953FEE" w:rsidRPr="009C0C6F">
        <w:rPr>
          <w:rFonts w:cs="Arial"/>
          <w:b/>
          <w:bCs/>
        </w:rPr>
        <w:t xml:space="preserve"> </w:t>
      </w:r>
      <w:r w:rsidR="00B0505A" w:rsidRPr="009C0C6F">
        <w:rPr>
          <w:rFonts w:cs="Arial"/>
          <w:b/>
          <w:bCs/>
        </w:rPr>
        <w:t xml:space="preserve">the Department </w:t>
      </w:r>
      <w:r>
        <w:rPr>
          <w:rFonts w:cs="Arial"/>
          <w:b/>
          <w:bCs/>
        </w:rPr>
        <w:t xml:space="preserve">of Health </w:t>
      </w:r>
      <w:r w:rsidR="0067521D" w:rsidRPr="009C0C6F">
        <w:rPr>
          <w:rFonts w:cs="Arial"/>
          <w:b/>
          <w:bCs/>
        </w:rPr>
        <w:t xml:space="preserve">includes specific action on the deinstitutionalisation of care through the lens of the UN CRPD. </w:t>
      </w:r>
      <w:r w:rsidR="009C0C6F" w:rsidRPr="009C0C6F">
        <w:rPr>
          <w:rFonts w:cs="Arial"/>
          <w:b/>
          <w:bCs/>
        </w:rPr>
        <w:t>This should be completed as a matter of urgenc</w:t>
      </w:r>
      <w:r w:rsidR="009C0C6F">
        <w:rPr>
          <w:rFonts w:cs="Arial"/>
          <w:b/>
          <w:bCs/>
        </w:rPr>
        <w:t>y.</w:t>
      </w:r>
    </w:p>
    <w:p w14:paraId="1091A829" w14:textId="77777777" w:rsidR="00C0423B" w:rsidRPr="00EA1419" w:rsidRDefault="00C0423B" w:rsidP="00DA7D75">
      <w:pPr>
        <w:pStyle w:val="ListParagraph"/>
        <w:rPr>
          <w:rFonts w:cs="Arial"/>
          <w:bCs/>
        </w:rPr>
      </w:pPr>
    </w:p>
    <w:p w14:paraId="3127825D" w14:textId="5EE9F5BB" w:rsidR="00C0423B" w:rsidRDefault="00DC0D3D" w:rsidP="009C0C6F">
      <w:pPr>
        <w:pStyle w:val="ListParagraph"/>
        <w:numPr>
          <w:ilvl w:val="1"/>
          <w:numId w:val="8"/>
        </w:numPr>
        <w:spacing w:line="360" w:lineRule="auto"/>
        <w:ind w:left="709"/>
        <w:jc w:val="both"/>
        <w:rPr>
          <w:rFonts w:cs="Arial"/>
          <w:bCs/>
        </w:rPr>
      </w:pPr>
      <w:r>
        <w:rPr>
          <w:rFonts w:cs="Arial"/>
          <w:bCs/>
        </w:rPr>
        <w:lastRenderedPageBreak/>
        <w:t xml:space="preserve">The </w:t>
      </w:r>
      <w:r w:rsidR="0031223C">
        <w:rPr>
          <w:rFonts w:cs="Arial"/>
          <w:bCs/>
        </w:rPr>
        <w:t>NIHRC</w:t>
      </w:r>
      <w:r>
        <w:rPr>
          <w:rFonts w:cs="Arial"/>
          <w:bCs/>
        </w:rPr>
        <w:t xml:space="preserve"> notes that measures implemented during the COVID-19 pandemic impacted the choice and control of many of those receiving social care support. For example, t</w:t>
      </w:r>
      <w:r w:rsidRPr="00DC0D3D">
        <w:rPr>
          <w:rFonts w:cs="Arial"/>
          <w:bCs/>
        </w:rPr>
        <w:t xml:space="preserve">he Commissioner for Older People for NI expressed concerns of possible breaches of human rights </w:t>
      </w:r>
      <w:proofErr w:type="gramStart"/>
      <w:r w:rsidRPr="00DC0D3D">
        <w:rPr>
          <w:rFonts w:cs="Arial"/>
          <w:bCs/>
        </w:rPr>
        <w:t>as a result of</w:t>
      </w:r>
      <w:proofErr w:type="gramEnd"/>
      <w:r w:rsidRPr="00DC0D3D">
        <w:rPr>
          <w:rFonts w:cs="Arial"/>
          <w:bCs/>
        </w:rPr>
        <w:t xml:space="preserve"> older people in care homes being denied visits from families for many months.</w:t>
      </w:r>
      <w:r>
        <w:rPr>
          <w:rStyle w:val="FootnoteReference"/>
          <w:rFonts w:cs="Arial"/>
          <w:bCs/>
        </w:rPr>
        <w:footnoteReference w:id="72"/>
      </w:r>
      <w:r w:rsidRPr="00DC0D3D">
        <w:rPr>
          <w:rFonts w:ascii="YIUEB V+ Gotham" w:hAnsi="YIUEB V+ Gotham" w:cs="YIUEB V+ Gotham"/>
          <w:color w:val="000000"/>
          <w:sz w:val="23"/>
          <w:szCs w:val="23"/>
        </w:rPr>
        <w:t xml:space="preserve"> </w:t>
      </w:r>
      <w:r>
        <w:rPr>
          <w:rFonts w:cs="Arial"/>
          <w:bCs/>
        </w:rPr>
        <w:t>The</w:t>
      </w:r>
      <w:r w:rsidR="00EA1419">
        <w:rPr>
          <w:rFonts w:cs="Arial"/>
          <w:bCs/>
        </w:rPr>
        <w:t>se</w:t>
      </w:r>
      <w:r>
        <w:rPr>
          <w:rFonts w:cs="Arial"/>
          <w:bCs/>
        </w:rPr>
        <w:t xml:space="preserve"> restrictions</w:t>
      </w:r>
      <w:r w:rsidR="00AB351C">
        <w:rPr>
          <w:rFonts w:cs="Arial"/>
          <w:bCs/>
        </w:rPr>
        <w:t>,</w:t>
      </w:r>
      <w:r>
        <w:rPr>
          <w:rFonts w:cs="Arial"/>
          <w:bCs/>
        </w:rPr>
        <w:t xml:space="preserve"> </w:t>
      </w:r>
      <w:r w:rsidR="00AB351C">
        <w:rPr>
          <w:rFonts w:cs="Arial"/>
          <w:bCs/>
        </w:rPr>
        <w:t xml:space="preserve">and the resulting isolation, </w:t>
      </w:r>
      <w:r>
        <w:rPr>
          <w:rFonts w:cs="Arial"/>
          <w:bCs/>
        </w:rPr>
        <w:t xml:space="preserve">had a </w:t>
      </w:r>
      <w:r w:rsidRPr="00DC0D3D">
        <w:rPr>
          <w:rFonts w:cs="Arial"/>
          <w:bCs/>
        </w:rPr>
        <w:t>negative</w:t>
      </w:r>
      <w:r>
        <w:rPr>
          <w:rFonts w:cs="Arial"/>
          <w:bCs/>
        </w:rPr>
        <w:t xml:space="preserve"> and sometimes traumatic impact</w:t>
      </w:r>
      <w:r w:rsidRPr="00DC0D3D">
        <w:rPr>
          <w:rFonts w:cs="Arial"/>
          <w:bCs/>
        </w:rPr>
        <w:t xml:space="preserve"> on the physical and mental we</w:t>
      </w:r>
      <w:r>
        <w:rPr>
          <w:rFonts w:cs="Arial"/>
          <w:bCs/>
        </w:rPr>
        <w:t>llbeing of care home residents</w:t>
      </w:r>
      <w:r w:rsidR="00EA1419">
        <w:rPr>
          <w:rFonts w:cs="Arial"/>
          <w:bCs/>
        </w:rPr>
        <w:t>.</w:t>
      </w:r>
      <w:r w:rsidR="00EA1419">
        <w:rPr>
          <w:rStyle w:val="FootnoteReference"/>
          <w:rFonts w:cs="Arial"/>
          <w:bCs/>
        </w:rPr>
        <w:footnoteReference w:id="73"/>
      </w:r>
    </w:p>
    <w:p w14:paraId="260CAE53" w14:textId="77777777" w:rsidR="00EA1419" w:rsidRPr="00EA1419" w:rsidRDefault="00EA1419" w:rsidP="00560C4F">
      <w:pPr>
        <w:pStyle w:val="ListParagraph"/>
        <w:rPr>
          <w:rFonts w:cs="Arial"/>
          <w:bCs/>
        </w:rPr>
      </w:pPr>
    </w:p>
    <w:p w14:paraId="526523A8" w14:textId="083F0544" w:rsidR="00EA1419" w:rsidRPr="00560C4F" w:rsidRDefault="00EA1419" w:rsidP="009C0C6F">
      <w:pPr>
        <w:pStyle w:val="ListParagraph"/>
        <w:numPr>
          <w:ilvl w:val="1"/>
          <w:numId w:val="8"/>
        </w:numPr>
        <w:spacing w:line="360" w:lineRule="auto"/>
        <w:ind w:left="709"/>
        <w:jc w:val="both"/>
        <w:rPr>
          <w:rFonts w:cs="Arial"/>
          <w:b/>
          <w:bCs/>
        </w:rPr>
      </w:pPr>
      <w:r w:rsidRPr="00560C4F">
        <w:rPr>
          <w:rFonts w:cs="Arial"/>
          <w:b/>
          <w:bCs/>
        </w:rPr>
        <w:t xml:space="preserve">The </w:t>
      </w:r>
      <w:r w:rsidR="0031223C">
        <w:rPr>
          <w:rFonts w:cs="Arial"/>
          <w:b/>
          <w:bCs/>
        </w:rPr>
        <w:t>NIHRC</w:t>
      </w:r>
      <w:r w:rsidRPr="00560C4F">
        <w:rPr>
          <w:rFonts w:cs="Arial"/>
          <w:b/>
          <w:bCs/>
        </w:rPr>
        <w:t xml:space="preserve"> recommends that the Department of Health adopts the recommendations from the COVID-19 Inquiry in relation to the management of the pandemic in care homes, ensuring that learning is disseminated across the sector and that a human </w:t>
      </w:r>
      <w:proofErr w:type="gramStart"/>
      <w:r w:rsidRPr="00560C4F">
        <w:rPr>
          <w:rFonts w:cs="Arial"/>
          <w:b/>
          <w:bCs/>
        </w:rPr>
        <w:t>rights based</w:t>
      </w:r>
      <w:proofErr w:type="gramEnd"/>
      <w:r w:rsidRPr="00560C4F">
        <w:rPr>
          <w:rFonts w:cs="Arial"/>
          <w:b/>
          <w:bCs/>
        </w:rPr>
        <w:t xml:space="preserve"> plan is in place for any future outbreak. </w:t>
      </w:r>
      <w:r w:rsidR="00AB351C">
        <w:rPr>
          <w:rFonts w:cs="Arial"/>
          <w:b/>
          <w:bCs/>
        </w:rPr>
        <w:t xml:space="preserve">This learning should be </w:t>
      </w:r>
      <w:r w:rsidR="002C728E">
        <w:rPr>
          <w:rFonts w:cs="Arial"/>
          <w:b/>
          <w:bCs/>
        </w:rPr>
        <w:t xml:space="preserve">incorporated into the future strategy to ensure that the isolation </w:t>
      </w:r>
      <w:r w:rsidR="00560C4F">
        <w:rPr>
          <w:rFonts w:cs="Arial"/>
          <w:b/>
          <w:bCs/>
        </w:rPr>
        <w:t xml:space="preserve">experienced during the COVID-19 pandemic is prevented in any future pandemic or societal emergency. </w:t>
      </w:r>
    </w:p>
    <w:p w14:paraId="281D782F" w14:textId="77777777" w:rsidR="0078308D" w:rsidRPr="00163BC8" w:rsidRDefault="0078308D" w:rsidP="0078308D">
      <w:pPr>
        <w:pStyle w:val="BasicParagraph"/>
        <w:suppressAutoHyphens/>
        <w:rPr>
          <w:rFonts w:ascii="Verdana" w:hAnsi="Verdana" w:cs="Arial"/>
          <w:b/>
          <w:color w:val="77328A"/>
          <w:sz w:val="30"/>
          <w:szCs w:val="30"/>
        </w:rPr>
      </w:pPr>
    </w:p>
    <w:p w14:paraId="2B39CE7F" w14:textId="12A9301C" w:rsidR="00594414" w:rsidRPr="00EC12D7" w:rsidRDefault="009D6DA7" w:rsidP="00EC12D7">
      <w:pPr>
        <w:pStyle w:val="Heading1"/>
      </w:pPr>
      <w:bookmarkStart w:id="9" w:name="_Toc106894213"/>
      <w:r>
        <w:t>8.0</w:t>
      </w:r>
      <w:r>
        <w:tab/>
      </w:r>
      <w:r w:rsidR="00163BC8" w:rsidRPr="00163BC8">
        <w:t xml:space="preserve">Strategic </w:t>
      </w:r>
      <w:r w:rsidR="001D7B46">
        <w:t>P</w:t>
      </w:r>
      <w:r w:rsidR="00163BC8" w:rsidRPr="00163BC8">
        <w:t>riority 4</w:t>
      </w:r>
      <w:r w:rsidR="00163BC8">
        <w:t xml:space="preserve"> – </w:t>
      </w:r>
      <w:r w:rsidR="001D7B46">
        <w:t>P</w:t>
      </w:r>
      <w:r w:rsidR="00163BC8">
        <w:t xml:space="preserve">revention and </w:t>
      </w:r>
      <w:r w:rsidR="001D7B46">
        <w:t>E</w:t>
      </w:r>
      <w:r w:rsidR="002E5A1E">
        <w:t xml:space="preserve">arly </w:t>
      </w:r>
      <w:r w:rsidR="001D7B46">
        <w:t>I</w:t>
      </w:r>
      <w:r w:rsidR="00163BC8" w:rsidRPr="00163BC8">
        <w:t>ntervention</w:t>
      </w:r>
      <w:bookmarkEnd w:id="9"/>
    </w:p>
    <w:p w14:paraId="0BB2D04E" w14:textId="77777777" w:rsidR="00EC12D7" w:rsidRPr="00EC12D7" w:rsidRDefault="00EC12D7" w:rsidP="00EC12D7">
      <w:pPr>
        <w:pStyle w:val="ListParagraph"/>
        <w:numPr>
          <w:ilvl w:val="0"/>
          <w:numId w:val="8"/>
        </w:numPr>
        <w:spacing w:line="360" w:lineRule="auto"/>
        <w:jc w:val="both"/>
        <w:rPr>
          <w:rFonts w:cs="Arial"/>
          <w:bCs/>
          <w:vanish/>
        </w:rPr>
      </w:pPr>
    </w:p>
    <w:p w14:paraId="63B3A17F" w14:textId="7F556FE6" w:rsidR="0008222E" w:rsidRDefault="0054010B" w:rsidP="00EC12D7">
      <w:pPr>
        <w:pStyle w:val="ListParagraph"/>
        <w:numPr>
          <w:ilvl w:val="1"/>
          <w:numId w:val="8"/>
        </w:numPr>
        <w:spacing w:line="360" w:lineRule="auto"/>
        <w:ind w:left="709"/>
        <w:jc w:val="both"/>
        <w:rPr>
          <w:rFonts w:cs="Arial"/>
          <w:bCs/>
        </w:rPr>
      </w:pPr>
      <w:r w:rsidRPr="005C31F9">
        <w:rPr>
          <w:rFonts w:cs="Arial"/>
          <w:bCs/>
        </w:rPr>
        <w:t xml:space="preserve">The </w:t>
      </w:r>
      <w:r w:rsidR="001D7B46">
        <w:rPr>
          <w:rFonts w:cs="Arial"/>
          <w:bCs/>
        </w:rPr>
        <w:t>NIHRC</w:t>
      </w:r>
      <w:r w:rsidR="001D7B46" w:rsidRPr="005C31F9">
        <w:rPr>
          <w:rFonts w:cs="Arial"/>
          <w:bCs/>
        </w:rPr>
        <w:t xml:space="preserve"> </w:t>
      </w:r>
      <w:r w:rsidRPr="005C31F9">
        <w:rPr>
          <w:rFonts w:cs="Arial"/>
          <w:bCs/>
        </w:rPr>
        <w:t xml:space="preserve">welcomes the inclusion of a chapter on prevention and early intervention. </w:t>
      </w:r>
      <w:r w:rsidR="00B05080" w:rsidRPr="005C31F9">
        <w:rPr>
          <w:rFonts w:cs="Arial"/>
          <w:bCs/>
        </w:rPr>
        <w:t xml:space="preserve">The right to non-discrimination </w:t>
      </w:r>
      <w:r w:rsidR="005C31F9" w:rsidRPr="005C31F9">
        <w:rPr>
          <w:rFonts w:cs="Arial"/>
          <w:bCs/>
        </w:rPr>
        <w:t>is essential to human rights law,</w:t>
      </w:r>
      <w:r w:rsidR="005C31F9" w:rsidRPr="005C31F9">
        <w:rPr>
          <w:bCs/>
          <w:vertAlign w:val="superscript"/>
        </w:rPr>
        <w:footnoteReference w:id="74"/>
      </w:r>
      <w:r w:rsidR="005C31F9" w:rsidRPr="005C31F9">
        <w:rPr>
          <w:rFonts w:cs="Arial"/>
          <w:bCs/>
        </w:rPr>
        <w:t xml:space="preserve"> yet in practice</w:t>
      </w:r>
      <w:r w:rsidR="00090814">
        <w:rPr>
          <w:rFonts w:cs="Arial"/>
          <w:bCs/>
        </w:rPr>
        <w:t>,</w:t>
      </w:r>
      <w:r w:rsidR="005C31F9" w:rsidRPr="005C31F9">
        <w:rPr>
          <w:rFonts w:cs="Arial"/>
          <w:bCs/>
        </w:rPr>
        <w:t xml:space="preserve"> inequality leaves many individuals with a lower level of human rights protections.</w:t>
      </w:r>
      <w:r w:rsidR="005C31F9" w:rsidRPr="005C31F9">
        <w:rPr>
          <w:bCs/>
          <w:vertAlign w:val="superscript"/>
        </w:rPr>
        <w:footnoteReference w:id="75"/>
      </w:r>
      <w:r w:rsidR="004B4911">
        <w:rPr>
          <w:rFonts w:cs="Arial"/>
          <w:bCs/>
          <w:vertAlign w:val="superscript"/>
        </w:rPr>
        <w:t xml:space="preserve"> </w:t>
      </w:r>
      <w:r w:rsidR="004B4911">
        <w:rPr>
          <w:rFonts w:cs="Arial"/>
          <w:bCs/>
        </w:rPr>
        <w:t xml:space="preserve">Prevention and early intervention are key to </w:t>
      </w:r>
      <w:r w:rsidR="004B4911">
        <w:rPr>
          <w:rFonts w:cs="Arial"/>
          <w:bCs/>
        </w:rPr>
        <w:lastRenderedPageBreak/>
        <w:t xml:space="preserve">addressing the issues which can lead to an individual requiring health and social care services </w:t>
      </w:r>
      <w:r w:rsidR="001D3650">
        <w:rPr>
          <w:rFonts w:cs="Arial"/>
          <w:bCs/>
        </w:rPr>
        <w:t xml:space="preserve">with </w:t>
      </w:r>
      <w:proofErr w:type="gramStart"/>
      <w:r w:rsidR="001D3650">
        <w:rPr>
          <w:rFonts w:cs="Arial"/>
          <w:bCs/>
        </w:rPr>
        <w:t>particular regard</w:t>
      </w:r>
      <w:proofErr w:type="gramEnd"/>
      <w:r w:rsidR="001D3650">
        <w:rPr>
          <w:rFonts w:cs="Arial"/>
          <w:bCs/>
        </w:rPr>
        <w:t xml:space="preserve"> </w:t>
      </w:r>
      <w:r w:rsidR="0008222E">
        <w:rPr>
          <w:rFonts w:cs="Arial"/>
          <w:bCs/>
        </w:rPr>
        <w:t xml:space="preserve">given to </w:t>
      </w:r>
      <w:r w:rsidR="001D3650">
        <w:rPr>
          <w:rFonts w:cs="Arial"/>
          <w:bCs/>
        </w:rPr>
        <w:t xml:space="preserve">those who face higher levels of marginalisation and discrimination. </w:t>
      </w:r>
      <w:r w:rsidR="004B4911">
        <w:rPr>
          <w:rFonts w:cs="Arial"/>
          <w:bCs/>
        </w:rPr>
        <w:t xml:space="preserve"> </w:t>
      </w:r>
    </w:p>
    <w:p w14:paraId="7D476A49" w14:textId="77777777" w:rsidR="0008222E" w:rsidRDefault="0008222E" w:rsidP="0008222E">
      <w:pPr>
        <w:pStyle w:val="ListParagraph"/>
        <w:spacing w:line="360" w:lineRule="auto"/>
        <w:ind w:left="709"/>
        <w:jc w:val="both"/>
        <w:rPr>
          <w:rFonts w:cs="Arial"/>
          <w:bCs/>
        </w:rPr>
      </w:pPr>
    </w:p>
    <w:p w14:paraId="37C57AF7" w14:textId="77777777" w:rsidR="00644E7D" w:rsidRPr="00644E7D" w:rsidRDefault="0008222E" w:rsidP="005C31F9">
      <w:pPr>
        <w:pStyle w:val="ListParagraph"/>
        <w:numPr>
          <w:ilvl w:val="1"/>
          <w:numId w:val="8"/>
        </w:numPr>
        <w:spacing w:line="360" w:lineRule="auto"/>
        <w:ind w:left="709"/>
        <w:jc w:val="both"/>
        <w:rPr>
          <w:rFonts w:cs="Arial"/>
          <w:b/>
          <w:bCs/>
        </w:rPr>
      </w:pPr>
      <w:r>
        <w:rPr>
          <w:rFonts w:cs="Arial"/>
          <w:bCs/>
        </w:rPr>
        <w:t>The consultation document importantly highlights that there should be “</w:t>
      </w:r>
      <w:r w:rsidRPr="0008222E">
        <w:rPr>
          <w:rFonts w:cs="Arial"/>
          <w:bCs/>
        </w:rPr>
        <w:t>an emphasis on the provision of services that recognise and tackle root causes of social care need. This would include services which recognise and seek to ameliorate the impact of poverty and social deprivation</w:t>
      </w:r>
      <w:r>
        <w:rPr>
          <w:rFonts w:cs="Arial"/>
          <w:bCs/>
        </w:rPr>
        <w:t>”</w:t>
      </w:r>
      <w:r w:rsidRPr="0008222E">
        <w:rPr>
          <w:rFonts w:cs="Arial"/>
          <w:bCs/>
        </w:rPr>
        <w:t>.</w:t>
      </w:r>
      <w:r>
        <w:rPr>
          <w:rStyle w:val="FootnoteReference"/>
          <w:rFonts w:cs="Arial"/>
          <w:bCs/>
        </w:rPr>
        <w:footnoteReference w:id="76"/>
      </w:r>
      <w:r>
        <w:rPr>
          <w:rFonts w:cs="Arial"/>
          <w:bCs/>
        </w:rPr>
        <w:t xml:space="preserve"> </w:t>
      </w:r>
    </w:p>
    <w:p w14:paraId="2E0B26BB" w14:textId="77777777" w:rsidR="00644E7D" w:rsidRPr="00644E7D" w:rsidRDefault="00644E7D" w:rsidP="00644E7D">
      <w:pPr>
        <w:pStyle w:val="ListParagraph"/>
        <w:rPr>
          <w:rFonts w:cs="Arial"/>
          <w:b/>
          <w:bCs/>
        </w:rPr>
      </w:pPr>
    </w:p>
    <w:p w14:paraId="7CD994F8" w14:textId="03DC79AC" w:rsidR="0078308D" w:rsidRPr="0008728D" w:rsidRDefault="0008222E" w:rsidP="005C31F9">
      <w:pPr>
        <w:pStyle w:val="ListParagraph"/>
        <w:numPr>
          <w:ilvl w:val="1"/>
          <w:numId w:val="8"/>
        </w:numPr>
        <w:spacing w:line="360" w:lineRule="auto"/>
        <w:ind w:left="709"/>
        <w:jc w:val="both"/>
        <w:rPr>
          <w:rFonts w:cs="Arial"/>
          <w:b/>
          <w:bCs/>
        </w:rPr>
      </w:pPr>
      <w:r w:rsidRPr="0008728D">
        <w:rPr>
          <w:rFonts w:cs="Arial"/>
          <w:b/>
          <w:bCs/>
        </w:rPr>
        <w:t xml:space="preserve">The </w:t>
      </w:r>
      <w:r w:rsidR="001D7B46">
        <w:rPr>
          <w:rFonts w:cs="Arial"/>
          <w:b/>
          <w:bCs/>
        </w:rPr>
        <w:t>NIHRC</w:t>
      </w:r>
      <w:r w:rsidR="001D7B46" w:rsidRPr="0008728D">
        <w:rPr>
          <w:rFonts w:cs="Arial"/>
          <w:b/>
          <w:bCs/>
        </w:rPr>
        <w:t xml:space="preserve"> </w:t>
      </w:r>
      <w:r w:rsidRPr="0008728D">
        <w:rPr>
          <w:rFonts w:cs="Arial"/>
          <w:b/>
          <w:bCs/>
        </w:rPr>
        <w:t xml:space="preserve">recommends that specific provision for these services </w:t>
      </w:r>
      <w:r w:rsidR="009225BD" w:rsidRPr="0008728D">
        <w:rPr>
          <w:rFonts w:cs="Arial"/>
          <w:b/>
          <w:bCs/>
        </w:rPr>
        <w:t>is guaranteed within the future strategy i</w:t>
      </w:r>
      <w:r w:rsidR="0008728D" w:rsidRPr="0008728D">
        <w:rPr>
          <w:rFonts w:cs="Arial"/>
          <w:b/>
          <w:bCs/>
        </w:rPr>
        <w:t>n close consultation with the relevant services providers. This will require</w:t>
      </w:r>
      <w:r w:rsidR="0008728D">
        <w:rPr>
          <w:rFonts w:cs="Arial"/>
          <w:b/>
          <w:bCs/>
        </w:rPr>
        <w:t xml:space="preserve"> the</w:t>
      </w:r>
      <w:r w:rsidR="0008728D" w:rsidRPr="0008728D">
        <w:rPr>
          <w:rFonts w:cs="Arial"/>
          <w:b/>
          <w:bCs/>
        </w:rPr>
        <w:t xml:space="preserve"> appropriate allocation of resources and clear monitoring mechanisms. </w:t>
      </w:r>
    </w:p>
    <w:p w14:paraId="4234E169" w14:textId="77777777" w:rsidR="004B4911" w:rsidRDefault="004B4911" w:rsidP="004B4911">
      <w:pPr>
        <w:pStyle w:val="ListParagraph"/>
        <w:spacing w:line="360" w:lineRule="auto"/>
        <w:ind w:left="709"/>
        <w:jc w:val="both"/>
        <w:rPr>
          <w:rFonts w:cs="Arial"/>
          <w:bCs/>
        </w:rPr>
      </w:pPr>
    </w:p>
    <w:p w14:paraId="01B8419B" w14:textId="04A2CEF4" w:rsidR="004B4911" w:rsidRDefault="004B4911" w:rsidP="005C31F9">
      <w:pPr>
        <w:pStyle w:val="ListParagraph"/>
        <w:numPr>
          <w:ilvl w:val="1"/>
          <w:numId w:val="8"/>
        </w:numPr>
        <w:spacing w:line="360" w:lineRule="auto"/>
        <w:ind w:left="709"/>
        <w:jc w:val="both"/>
        <w:rPr>
          <w:rFonts w:cs="Arial"/>
          <w:bCs/>
        </w:rPr>
      </w:pPr>
      <w:r>
        <w:rPr>
          <w:rFonts w:cs="Arial"/>
          <w:bCs/>
        </w:rPr>
        <w:t xml:space="preserve">The </w:t>
      </w:r>
      <w:r w:rsidR="001D7B46">
        <w:rPr>
          <w:rFonts w:cs="Arial"/>
          <w:bCs/>
        </w:rPr>
        <w:t xml:space="preserve">NIHRC </w:t>
      </w:r>
      <w:r>
        <w:rPr>
          <w:rFonts w:cs="Arial"/>
          <w:bCs/>
        </w:rPr>
        <w:t xml:space="preserve">notes the absence of reference to transitional care in this chapter. </w:t>
      </w:r>
      <w:r w:rsidR="00571822">
        <w:rPr>
          <w:rFonts w:cs="Arial"/>
          <w:bCs/>
        </w:rPr>
        <w:t>While the consultation is focused on adult social</w:t>
      </w:r>
      <w:r w:rsidR="00644E7D">
        <w:rPr>
          <w:rFonts w:cs="Arial"/>
          <w:bCs/>
        </w:rPr>
        <w:t xml:space="preserve"> care</w:t>
      </w:r>
      <w:r w:rsidR="0008728D">
        <w:rPr>
          <w:rFonts w:cs="Arial"/>
          <w:bCs/>
        </w:rPr>
        <w:t>,</w:t>
      </w:r>
      <w:r w:rsidR="00571822">
        <w:rPr>
          <w:rFonts w:cs="Arial"/>
          <w:bCs/>
        </w:rPr>
        <w:t xml:space="preserve"> </w:t>
      </w:r>
      <w:r w:rsidR="0008728D" w:rsidRPr="0008728D">
        <w:rPr>
          <w:rFonts w:cs="Arial"/>
          <w:bCs/>
        </w:rPr>
        <w:t>there needs to be a seamless tr</w:t>
      </w:r>
      <w:r w:rsidR="0008728D">
        <w:rPr>
          <w:rFonts w:cs="Arial"/>
          <w:bCs/>
        </w:rPr>
        <w:t>ansition</w:t>
      </w:r>
      <w:r w:rsidR="0008728D" w:rsidRPr="0008728D">
        <w:rPr>
          <w:rFonts w:cs="Arial"/>
          <w:bCs/>
        </w:rPr>
        <w:t xml:space="preserve"> from </w:t>
      </w:r>
      <w:proofErr w:type="gramStart"/>
      <w:r w:rsidR="0008728D" w:rsidRPr="0008728D">
        <w:rPr>
          <w:rFonts w:cs="Arial"/>
          <w:bCs/>
        </w:rPr>
        <w:t>children’s</w:t>
      </w:r>
      <w:proofErr w:type="gramEnd"/>
      <w:r w:rsidR="0008728D" w:rsidRPr="0008728D">
        <w:rPr>
          <w:rFonts w:cs="Arial"/>
          <w:bCs/>
        </w:rPr>
        <w:t xml:space="preserve"> to adult </w:t>
      </w:r>
      <w:r w:rsidR="0008728D">
        <w:rPr>
          <w:rFonts w:cs="Arial"/>
          <w:bCs/>
        </w:rPr>
        <w:t xml:space="preserve">social </w:t>
      </w:r>
      <w:r w:rsidR="0008728D" w:rsidRPr="0008728D">
        <w:rPr>
          <w:rFonts w:cs="Arial"/>
          <w:bCs/>
        </w:rPr>
        <w:t>care</w:t>
      </w:r>
      <w:r w:rsidR="0008728D">
        <w:rPr>
          <w:rFonts w:cs="Arial"/>
          <w:bCs/>
        </w:rPr>
        <w:t xml:space="preserve"> services</w:t>
      </w:r>
      <w:r w:rsidR="0008728D" w:rsidRPr="0008728D">
        <w:rPr>
          <w:rFonts w:cs="Arial"/>
          <w:bCs/>
        </w:rPr>
        <w:t xml:space="preserve">, including </w:t>
      </w:r>
      <w:r w:rsidR="00644E7D">
        <w:rPr>
          <w:rFonts w:cs="Arial"/>
          <w:bCs/>
        </w:rPr>
        <w:t xml:space="preserve">clear </w:t>
      </w:r>
      <w:r w:rsidR="0008728D" w:rsidRPr="0008728D">
        <w:rPr>
          <w:rFonts w:cs="Arial"/>
          <w:bCs/>
        </w:rPr>
        <w:t>communica</w:t>
      </w:r>
      <w:r w:rsidR="0008728D">
        <w:rPr>
          <w:rFonts w:cs="Arial"/>
          <w:bCs/>
        </w:rPr>
        <w:t xml:space="preserve">tion between </w:t>
      </w:r>
      <w:r w:rsidR="00644E7D">
        <w:rPr>
          <w:rFonts w:cs="Arial"/>
          <w:bCs/>
        </w:rPr>
        <w:t>the relevant</w:t>
      </w:r>
      <w:r w:rsidR="0008728D">
        <w:rPr>
          <w:rFonts w:cs="Arial"/>
          <w:bCs/>
        </w:rPr>
        <w:t xml:space="preserve"> agencies. </w:t>
      </w:r>
      <w:r w:rsidR="00644E7D">
        <w:rPr>
          <w:rFonts w:cs="Arial"/>
          <w:bCs/>
        </w:rPr>
        <w:t xml:space="preserve">A loss of continuity in care has the potential to be a disruptive experience whereas a </w:t>
      </w:r>
      <w:r w:rsidR="00D21763">
        <w:rPr>
          <w:rFonts w:cs="Arial"/>
          <w:bCs/>
        </w:rPr>
        <w:t>well-</w:t>
      </w:r>
      <w:r w:rsidR="00644E7D">
        <w:rPr>
          <w:rFonts w:cs="Arial"/>
          <w:bCs/>
        </w:rPr>
        <w:t xml:space="preserve">managed transition can prevent the escalation of identified issues and the need for crisis intervention. </w:t>
      </w:r>
    </w:p>
    <w:p w14:paraId="14B97D3A" w14:textId="77777777" w:rsidR="00644E7D" w:rsidRPr="00644E7D" w:rsidRDefault="00644E7D" w:rsidP="00644E7D">
      <w:pPr>
        <w:pStyle w:val="ListParagraph"/>
        <w:rPr>
          <w:rFonts w:cs="Arial"/>
          <w:bCs/>
        </w:rPr>
      </w:pPr>
    </w:p>
    <w:p w14:paraId="13C8D1DB" w14:textId="6197E11E" w:rsidR="00F84F42" w:rsidRDefault="00644E7D" w:rsidP="00F84F42">
      <w:pPr>
        <w:pStyle w:val="ListParagraph"/>
        <w:numPr>
          <w:ilvl w:val="1"/>
          <w:numId w:val="8"/>
        </w:numPr>
        <w:spacing w:line="360" w:lineRule="auto"/>
        <w:ind w:left="709"/>
        <w:jc w:val="both"/>
        <w:rPr>
          <w:rFonts w:cs="Arial"/>
          <w:b/>
          <w:bCs/>
        </w:rPr>
      </w:pPr>
      <w:r w:rsidRPr="00C35527">
        <w:rPr>
          <w:rFonts w:cs="Arial"/>
          <w:b/>
          <w:bCs/>
        </w:rPr>
        <w:t xml:space="preserve">The </w:t>
      </w:r>
      <w:r w:rsidR="00D64DD9">
        <w:rPr>
          <w:rFonts w:cs="Arial"/>
          <w:b/>
          <w:bCs/>
        </w:rPr>
        <w:t>NIHRC</w:t>
      </w:r>
      <w:r w:rsidR="00D64DD9" w:rsidRPr="00C35527">
        <w:rPr>
          <w:rFonts w:cs="Arial"/>
          <w:b/>
          <w:bCs/>
        </w:rPr>
        <w:t xml:space="preserve"> </w:t>
      </w:r>
      <w:r w:rsidRPr="00C35527">
        <w:rPr>
          <w:rFonts w:cs="Arial"/>
          <w:b/>
          <w:bCs/>
        </w:rPr>
        <w:t>recommends that</w:t>
      </w:r>
      <w:r w:rsidR="00BF0780">
        <w:rPr>
          <w:rFonts w:cs="Arial"/>
          <w:b/>
          <w:bCs/>
        </w:rPr>
        <w:t xml:space="preserve"> the</w:t>
      </w:r>
      <w:r w:rsidRPr="00C35527">
        <w:rPr>
          <w:rFonts w:cs="Arial"/>
          <w:b/>
          <w:bCs/>
        </w:rPr>
        <w:t xml:space="preserve"> </w:t>
      </w:r>
      <w:r w:rsidR="00D64DD9">
        <w:rPr>
          <w:rFonts w:cs="Arial"/>
          <w:b/>
          <w:bCs/>
        </w:rPr>
        <w:t xml:space="preserve">Department of Health ensures that </w:t>
      </w:r>
      <w:r w:rsidRPr="00C35527">
        <w:rPr>
          <w:rFonts w:cs="Arial"/>
          <w:b/>
          <w:bCs/>
        </w:rPr>
        <w:t xml:space="preserve">the future strategy includes </w:t>
      </w:r>
      <w:r w:rsidR="00C35527" w:rsidRPr="00C35527">
        <w:rPr>
          <w:rFonts w:cs="Arial"/>
          <w:b/>
          <w:bCs/>
        </w:rPr>
        <w:t xml:space="preserve">provision for those who are transitioning </w:t>
      </w:r>
      <w:r w:rsidR="00F84F42">
        <w:rPr>
          <w:rFonts w:cs="Arial"/>
          <w:b/>
          <w:bCs/>
        </w:rPr>
        <w:t>into adult social care services</w:t>
      </w:r>
      <w:r w:rsidR="00D64DD9">
        <w:rPr>
          <w:rFonts w:cs="Arial"/>
          <w:b/>
          <w:bCs/>
        </w:rPr>
        <w:t>.</w:t>
      </w:r>
    </w:p>
    <w:p w14:paraId="2383DBA9" w14:textId="77777777" w:rsidR="00F84F42" w:rsidRPr="00F84F42" w:rsidRDefault="00F84F42" w:rsidP="00F84F42">
      <w:pPr>
        <w:pStyle w:val="ListParagraph"/>
        <w:rPr>
          <w:rFonts w:cs="Arial"/>
          <w:b/>
          <w:bCs/>
        </w:rPr>
      </w:pPr>
    </w:p>
    <w:p w14:paraId="1839677A" w14:textId="5C061658" w:rsidR="00F84F42" w:rsidRPr="00F84F42" w:rsidRDefault="00F84F42" w:rsidP="00F84F42">
      <w:pPr>
        <w:pStyle w:val="ListParagraph"/>
        <w:numPr>
          <w:ilvl w:val="1"/>
          <w:numId w:val="8"/>
        </w:numPr>
        <w:spacing w:line="360" w:lineRule="auto"/>
        <w:ind w:left="709"/>
        <w:jc w:val="both"/>
        <w:rPr>
          <w:rFonts w:cs="Arial"/>
          <w:b/>
          <w:bCs/>
        </w:rPr>
      </w:pPr>
      <w:r w:rsidRPr="00F84F42">
        <w:rPr>
          <w:rFonts w:cs="Arial"/>
          <w:b/>
          <w:bCs/>
        </w:rPr>
        <w:t xml:space="preserve">The </w:t>
      </w:r>
      <w:r w:rsidR="00E36819">
        <w:rPr>
          <w:rFonts w:cs="Arial"/>
          <w:b/>
          <w:bCs/>
        </w:rPr>
        <w:t>NIHRC</w:t>
      </w:r>
      <w:r w:rsidRPr="00F84F42">
        <w:rPr>
          <w:rFonts w:cs="Arial"/>
          <w:b/>
          <w:bCs/>
        </w:rPr>
        <w:t xml:space="preserve"> recommends that, as part of </w:t>
      </w:r>
      <w:r w:rsidR="00D64DD9">
        <w:rPr>
          <w:rFonts w:cs="Arial"/>
          <w:b/>
          <w:bCs/>
        </w:rPr>
        <w:t xml:space="preserve">introducing </w:t>
      </w:r>
      <w:r w:rsidR="00E36819">
        <w:rPr>
          <w:rFonts w:cs="Arial"/>
          <w:b/>
          <w:bCs/>
        </w:rPr>
        <w:t>the offer of preventative/support visits for anyone aged over 75 by an appropriately trained professional</w:t>
      </w:r>
      <w:r w:rsidRPr="00F84F42">
        <w:rPr>
          <w:rFonts w:cs="Arial"/>
          <w:b/>
          <w:bCs/>
        </w:rPr>
        <w:t xml:space="preserve">, the Department </w:t>
      </w:r>
      <w:r w:rsidR="00E36819">
        <w:rPr>
          <w:rFonts w:cs="Arial"/>
          <w:b/>
          <w:bCs/>
        </w:rPr>
        <w:t xml:space="preserve">of Health </w:t>
      </w:r>
      <w:r w:rsidRPr="00F84F42">
        <w:rPr>
          <w:rFonts w:cs="Arial"/>
          <w:b/>
          <w:bCs/>
        </w:rPr>
        <w:t xml:space="preserve">incorporates learning from the application of the scheme in Denmark </w:t>
      </w:r>
      <w:r w:rsidRPr="00F84F42">
        <w:rPr>
          <w:rFonts w:cs="Arial"/>
          <w:b/>
          <w:bCs/>
        </w:rPr>
        <w:lastRenderedPageBreak/>
        <w:t>and ensures that there are appropriate guidelines and quality assurance indicators</w:t>
      </w:r>
      <w:r>
        <w:rPr>
          <w:rFonts w:cs="Arial"/>
          <w:b/>
          <w:bCs/>
        </w:rPr>
        <w:t>.</w:t>
      </w:r>
    </w:p>
    <w:p w14:paraId="3062BD20" w14:textId="77777777" w:rsidR="0078308D" w:rsidRPr="00D40A4C" w:rsidRDefault="0078308D" w:rsidP="00EC12D7">
      <w:pPr>
        <w:pStyle w:val="BasicParagraph"/>
        <w:suppressAutoHyphens/>
        <w:rPr>
          <w:rFonts w:ascii="Verdana" w:hAnsi="Verdana" w:cs="Arial"/>
          <w:color w:val="77328A"/>
        </w:rPr>
      </w:pPr>
    </w:p>
    <w:p w14:paraId="70E1ED44" w14:textId="04D730ED" w:rsidR="001025A0" w:rsidRPr="00EC12D7" w:rsidRDefault="009D6DA7" w:rsidP="00EC12D7">
      <w:pPr>
        <w:pStyle w:val="Heading1"/>
      </w:pPr>
      <w:bookmarkStart w:id="10" w:name="_Toc106894214"/>
      <w:r>
        <w:t>9.0</w:t>
      </w:r>
      <w:r>
        <w:tab/>
      </w:r>
      <w:r w:rsidR="00163BC8" w:rsidRPr="00163BC8">
        <w:t xml:space="preserve">Strategic </w:t>
      </w:r>
      <w:r w:rsidR="000D539E">
        <w:t>P</w:t>
      </w:r>
      <w:r w:rsidR="00163BC8" w:rsidRPr="00163BC8">
        <w:t xml:space="preserve">riority 5 – </w:t>
      </w:r>
      <w:r w:rsidR="000D539E">
        <w:t>S</w:t>
      </w:r>
      <w:r w:rsidR="00163BC8" w:rsidRPr="00163BC8">
        <w:t xml:space="preserve">upporting </w:t>
      </w:r>
      <w:r w:rsidR="000D539E">
        <w:t>C</w:t>
      </w:r>
      <w:r w:rsidR="00163BC8" w:rsidRPr="00163BC8">
        <w:t>arers</w:t>
      </w:r>
      <w:bookmarkEnd w:id="10"/>
      <w:r w:rsidR="00163BC8" w:rsidRPr="00163BC8">
        <w:t xml:space="preserve"> </w:t>
      </w:r>
    </w:p>
    <w:p w14:paraId="5BB7ECBA" w14:textId="77777777" w:rsidR="00EC12D7" w:rsidRPr="00EC12D7" w:rsidRDefault="00EC12D7" w:rsidP="00EC12D7">
      <w:pPr>
        <w:pStyle w:val="ListParagraph"/>
        <w:numPr>
          <w:ilvl w:val="0"/>
          <w:numId w:val="8"/>
        </w:numPr>
        <w:spacing w:line="360" w:lineRule="auto"/>
        <w:jc w:val="both"/>
        <w:rPr>
          <w:vanish/>
        </w:rPr>
      </w:pPr>
    </w:p>
    <w:p w14:paraId="26585034" w14:textId="08CA80B2" w:rsidR="00255482" w:rsidRPr="001025A0" w:rsidRDefault="000C21E1" w:rsidP="00EC12D7">
      <w:pPr>
        <w:pStyle w:val="ListParagraph"/>
        <w:numPr>
          <w:ilvl w:val="1"/>
          <w:numId w:val="8"/>
        </w:numPr>
        <w:spacing w:line="360" w:lineRule="auto"/>
        <w:ind w:left="709"/>
        <w:jc w:val="both"/>
      </w:pPr>
      <w:r w:rsidRPr="001025A0">
        <w:t xml:space="preserve">The </w:t>
      </w:r>
      <w:r w:rsidR="000D539E">
        <w:t>UN CRPD Committee</w:t>
      </w:r>
      <w:r w:rsidRPr="001025A0">
        <w:t xml:space="preserve"> </w:t>
      </w:r>
      <w:r w:rsidR="000D539E">
        <w:t>confirms</w:t>
      </w:r>
      <w:r w:rsidR="00255482" w:rsidRPr="001025A0">
        <w:t xml:space="preserve"> that States have an obligation to:</w:t>
      </w:r>
    </w:p>
    <w:p w14:paraId="2509902B" w14:textId="77777777" w:rsidR="00255482" w:rsidRPr="001025A0" w:rsidRDefault="00255482" w:rsidP="001025A0">
      <w:pPr>
        <w:pStyle w:val="ListParagraph"/>
        <w:spacing w:line="360" w:lineRule="auto"/>
        <w:ind w:left="709"/>
        <w:jc w:val="both"/>
      </w:pPr>
    </w:p>
    <w:p w14:paraId="7AEC7AB7" w14:textId="77777777" w:rsidR="009D2D8A" w:rsidRPr="001025A0" w:rsidRDefault="009D2D8A" w:rsidP="001025A0">
      <w:pPr>
        <w:pStyle w:val="ListParagraph"/>
        <w:spacing w:line="360" w:lineRule="auto"/>
        <w:ind w:left="993"/>
        <w:jc w:val="both"/>
      </w:pPr>
      <w:r w:rsidRPr="001025A0">
        <w:t xml:space="preserve">provide adequate support services to family carers, so they can in turn support their child or relative to live independently in the community. This support includes respite care services, childcare </w:t>
      </w:r>
      <w:proofErr w:type="gramStart"/>
      <w:r w:rsidRPr="001025A0">
        <w:t>services</w:t>
      </w:r>
      <w:proofErr w:type="gramEnd"/>
      <w:r w:rsidRPr="001025A0">
        <w:t xml:space="preserve"> and other supportive parenting services. Financial support is also crucial for family carers who often live in situations of extreme poverty, without the possibility of accessing the labour market. States parties should also provide social support to families and foster the development of counselling services, circles of support and other adequate support options.</w:t>
      </w:r>
      <w:r w:rsidRPr="001025A0">
        <w:rPr>
          <w:vertAlign w:val="superscript"/>
        </w:rPr>
        <w:footnoteReference w:id="77"/>
      </w:r>
    </w:p>
    <w:p w14:paraId="5D2CA80E" w14:textId="77777777" w:rsidR="00734423" w:rsidRPr="001025A0" w:rsidRDefault="00734423" w:rsidP="001025A0">
      <w:pPr>
        <w:pStyle w:val="ListParagraph"/>
        <w:spacing w:line="360" w:lineRule="auto"/>
        <w:ind w:left="709"/>
        <w:jc w:val="both"/>
      </w:pPr>
    </w:p>
    <w:p w14:paraId="0365B9F3" w14:textId="409A17B3" w:rsidR="000D539E" w:rsidRPr="000D539E" w:rsidRDefault="00734423" w:rsidP="001025A0">
      <w:pPr>
        <w:pStyle w:val="ListParagraph"/>
        <w:numPr>
          <w:ilvl w:val="1"/>
          <w:numId w:val="8"/>
        </w:numPr>
        <w:spacing w:line="360" w:lineRule="auto"/>
        <w:ind w:left="709"/>
        <w:jc w:val="both"/>
        <w:rPr>
          <w:bCs/>
        </w:rPr>
      </w:pPr>
      <w:r w:rsidRPr="000D539E">
        <w:rPr>
          <w:bCs/>
        </w:rPr>
        <w:t xml:space="preserve">The </w:t>
      </w:r>
      <w:r w:rsidR="000D539E" w:rsidRPr="000D539E">
        <w:rPr>
          <w:bCs/>
        </w:rPr>
        <w:t xml:space="preserve">NIHRC </w:t>
      </w:r>
      <w:r w:rsidR="000C21E1" w:rsidRPr="000D539E">
        <w:rPr>
          <w:bCs/>
        </w:rPr>
        <w:t>welcomes</w:t>
      </w:r>
      <w:r w:rsidRPr="000D539E">
        <w:rPr>
          <w:bCs/>
        </w:rPr>
        <w:t xml:space="preserve"> the </w:t>
      </w:r>
      <w:r w:rsidR="000C21E1" w:rsidRPr="000D539E">
        <w:rPr>
          <w:bCs/>
        </w:rPr>
        <w:t xml:space="preserve">proposed </w:t>
      </w:r>
      <w:r w:rsidRPr="000D539E">
        <w:rPr>
          <w:bCs/>
        </w:rPr>
        <w:t>legislative duties to sustain, promote and protect social wellbeing for service users and family carers in the provision of adult social care services</w:t>
      </w:r>
      <w:r w:rsidR="000C21E1" w:rsidRPr="000D539E">
        <w:rPr>
          <w:bCs/>
        </w:rPr>
        <w:t xml:space="preserve">. </w:t>
      </w:r>
    </w:p>
    <w:p w14:paraId="10CE32C8" w14:textId="77777777" w:rsidR="000D539E" w:rsidRDefault="000D539E" w:rsidP="000D539E">
      <w:pPr>
        <w:pStyle w:val="ListParagraph"/>
        <w:spacing w:line="360" w:lineRule="auto"/>
        <w:ind w:left="709"/>
        <w:jc w:val="both"/>
        <w:rPr>
          <w:b/>
        </w:rPr>
      </w:pPr>
    </w:p>
    <w:p w14:paraId="1537F861" w14:textId="5E37C609" w:rsidR="009D2D8A" w:rsidRPr="001025A0" w:rsidRDefault="000C21E1" w:rsidP="001025A0">
      <w:pPr>
        <w:pStyle w:val="ListParagraph"/>
        <w:numPr>
          <w:ilvl w:val="1"/>
          <w:numId w:val="8"/>
        </w:numPr>
        <w:spacing w:line="360" w:lineRule="auto"/>
        <w:ind w:left="709"/>
        <w:jc w:val="both"/>
        <w:rPr>
          <w:b/>
        </w:rPr>
      </w:pPr>
      <w:r w:rsidRPr="001025A0">
        <w:rPr>
          <w:b/>
        </w:rPr>
        <w:t xml:space="preserve">The </w:t>
      </w:r>
      <w:r w:rsidR="000D539E">
        <w:rPr>
          <w:b/>
        </w:rPr>
        <w:t>NIHRC</w:t>
      </w:r>
      <w:r w:rsidR="000D539E" w:rsidRPr="001025A0">
        <w:rPr>
          <w:b/>
        </w:rPr>
        <w:t xml:space="preserve"> </w:t>
      </w:r>
      <w:r w:rsidRPr="001025A0">
        <w:rPr>
          <w:b/>
        </w:rPr>
        <w:t xml:space="preserve">recommends that </w:t>
      </w:r>
      <w:r w:rsidR="000D539E">
        <w:rPr>
          <w:b/>
        </w:rPr>
        <w:t xml:space="preserve">the Department of Health ensures that the </w:t>
      </w:r>
      <w:r w:rsidR="000344DF">
        <w:rPr>
          <w:b/>
        </w:rPr>
        <w:t xml:space="preserve">proposed legislative duties </w:t>
      </w:r>
      <w:r w:rsidR="00734423" w:rsidRPr="001025A0">
        <w:rPr>
          <w:b/>
        </w:rPr>
        <w:t>include</w:t>
      </w:r>
      <w:r w:rsidR="00341E26">
        <w:rPr>
          <w:b/>
        </w:rPr>
        <w:t xml:space="preserve"> </w:t>
      </w:r>
      <w:r w:rsidR="00734423" w:rsidRPr="001025A0">
        <w:rPr>
          <w:b/>
        </w:rPr>
        <w:t>legislative provision for the right</w:t>
      </w:r>
      <w:r w:rsidRPr="001025A0">
        <w:rPr>
          <w:b/>
        </w:rPr>
        <w:t xml:space="preserve"> of carers</w:t>
      </w:r>
      <w:r w:rsidR="00734423" w:rsidRPr="001025A0">
        <w:rPr>
          <w:b/>
        </w:rPr>
        <w:t xml:space="preserve"> to access respite care services.  </w:t>
      </w:r>
    </w:p>
    <w:p w14:paraId="1F406C2B" w14:textId="77777777" w:rsidR="009D2D8A" w:rsidRPr="001025A0" w:rsidRDefault="009D2D8A" w:rsidP="001025A0">
      <w:pPr>
        <w:pStyle w:val="ListParagraph"/>
        <w:spacing w:line="360" w:lineRule="auto"/>
        <w:ind w:left="709"/>
        <w:jc w:val="both"/>
        <w:rPr>
          <w:rFonts w:cs="Arial"/>
          <w:bCs/>
        </w:rPr>
      </w:pPr>
    </w:p>
    <w:p w14:paraId="058279AD" w14:textId="32974513" w:rsidR="00232183" w:rsidRPr="001025A0" w:rsidRDefault="00232183" w:rsidP="001025A0">
      <w:pPr>
        <w:pStyle w:val="ListParagraph"/>
        <w:numPr>
          <w:ilvl w:val="1"/>
          <w:numId w:val="8"/>
        </w:numPr>
        <w:spacing w:line="360" w:lineRule="auto"/>
        <w:ind w:left="709"/>
        <w:jc w:val="both"/>
      </w:pPr>
      <w:r w:rsidRPr="001025A0">
        <w:t>The preamble to the UN</w:t>
      </w:r>
      <w:r w:rsidR="00AE492E" w:rsidRPr="001025A0">
        <w:t xml:space="preserve"> </w:t>
      </w:r>
      <w:r w:rsidRPr="001025A0">
        <w:t xml:space="preserve">CRC states that </w:t>
      </w:r>
      <w:r w:rsidR="000344DF">
        <w:t>“</w:t>
      </w:r>
      <w:r w:rsidRPr="001025A0">
        <w:t>children, for the full and harmonious development of his or her personality, should grow up in a family environment, in an atmosphere of happiness, love and understanding</w:t>
      </w:r>
      <w:r w:rsidR="000344DF">
        <w:t>”</w:t>
      </w:r>
      <w:r w:rsidRPr="001025A0">
        <w:t xml:space="preserve">. The </w:t>
      </w:r>
      <w:r w:rsidR="000344DF">
        <w:t>NIHRC</w:t>
      </w:r>
      <w:r w:rsidR="000344DF" w:rsidRPr="001025A0">
        <w:t xml:space="preserve"> </w:t>
      </w:r>
      <w:r w:rsidRPr="001025A0">
        <w:t xml:space="preserve">notes that in circumstances where a child is </w:t>
      </w:r>
      <w:r w:rsidRPr="001025A0">
        <w:lastRenderedPageBreak/>
        <w:t>required to spend a significant amount of their time in a caring role their development may be hindered.</w:t>
      </w:r>
    </w:p>
    <w:p w14:paraId="7982A355" w14:textId="77777777" w:rsidR="00232183" w:rsidRPr="001025A0" w:rsidRDefault="00232183" w:rsidP="001025A0">
      <w:pPr>
        <w:pStyle w:val="ListParagraph"/>
        <w:spacing w:line="360" w:lineRule="auto"/>
        <w:ind w:left="709"/>
        <w:jc w:val="both"/>
      </w:pPr>
    </w:p>
    <w:p w14:paraId="23C0EAA4" w14:textId="75967552" w:rsidR="00232183" w:rsidRPr="001025A0" w:rsidRDefault="00232183" w:rsidP="001025A0">
      <w:pPr>
        <w:pStyle w:val="ListParagraph"/>
        <w:numPr>
          <w:ilvl w:val="1"/>
          <w:numId w:val="8"/>
        </w:numPr>
        <w:spacing w:line="360" w:lineRule="auto"/>
        <w:ind w:left="709"/>
        <w:jc w:val="both"/>
      </w:pPr>
      <w:proofErr w:type="gramStart"/>
      <w:r w:rsidRPr="001025A0">
        <w:t>A number of</w:t>
      </w:r>
      <w:proofErr w:type="gramEnd"/>
      <w:r w:rsidRPr="001025A0">
        <w:t xml:space="preserve"> protected human rights within the UN CRC may be</w:t>
      </w:r>
      <w:r w:rsidR="00AE492E" w:rsidRPr="001025A0">
        <w:t xml:space="preserve"> engaged</w:t>
      </w:r>
      <w:r w:rsidRPr="001025A0">
        <w:t xml:space="preserve"> in the case of children who are carers. </w:t>
      </w:r>
      <w:proofErr w:type="gramStart"/>
      <w:r w:rsidRPr="001025A0">
        <w:t>In particular</w:t>
      </w:r>
      <w:r w:rsidR="00CB3ADA">
        <w:t xml:space="preserve"> in</w:t>
      </w:r>
      <w:proofErr w:type="gramEnd"/>
      <w:r w:rsidR="00CB3ADA">
        <w:t xml:space="preserve"> this context</w:t>
      </w:r>
      <w:r w:rsidRPr="001025A0">
        <w:t xml:space="preserve">, Article 3 </w:t>
      </w:r>
      <w:r w:rsidR="000344DF">
        <w:t xml:space="preserve">of the UN CRC </w:t>
      </w:r>
      <w:r w:rsidRPr="001025A0">
        <w:t>must be given due weight. It states</w:t>
      </w:r>
      <w:r w:rsidR="000344DF">
        <w:t xml:space="preserve"> that</w:t>
      </w:r>
      <w:r w:rsidRPr="001025A0">
        <w:t xml:space="preserve">: </w:t>
      </w:r>
    </w:p>
    <w:p w14:paraId="3AF66BAC" w14:textId="77777777" w:rsidR="00232183" w:rsidRDefault="00232183" w:rsidP="00232183">
      <w:pPr>
        <w:pStyle w:val="BasicParagraph"/>
        <w:suppressAutoHyphens/>
        <w:rPr>
          <w:rFonts w:ascii="Verdana" w:hAnsi="Verdana" w:cs="Arial"/>
          <w:color w:val="auto"/>
        </w:rPr>
      </w:pPr>
    </w:p>
    <w:p w14:paraId="4D368954" w14:textId="77777777" w:rsidR="000344DF" w:rsidRDefault="000344DF" w:rsidP="000344DF">
      <w:pPr>
        <w:pStyle w:val="Quote"/>
      </w:pPr>
      <w:r>
        <w:rPr>
          <w:rFonts w:cs="Arial"/>
        </w:rPr>
        <w:t xml:space="preserve">1) </w:t>
      </w:r>
      <w:r w:rsidR="00232183" w:rsidRPr="00232183">
        <w:rPr>
          <w:rFonts w:cs="Arial"/>
        </w:rPr>
        <w:t>I</w:t>
      </w:r>
      <w:r w:rsidR="00232183" w:rsidRPr="003D5E1A">
        <w:t>n all actions concerning children, whether undertaken by public or private social welfare institutions, courts of law, administrative authorities or legislative bodies, the best interests of the child shall be a primary consideration.</w:t>
      </w:r>
    </w:p>
    <w:p w14:paraId="1A8D7403" w14:textId="2E8C08B3" w:rsidR="00232183" w:rsidRPr="003D5E1A" w:rsidRDefault="00232183" w:rsidP="00187751">
      <w:pPr>
        <w:pStyle w:val="Quote"/>
      </w:pPr>
      <w:r w:rsidRPr="003D5E1A">
        <w:t xml:space="preserve"> </w:t>
      </w:r>
    </w:p>
    <w:p w14:paraId="3852568D" w14:textId="49286A8A" w:rsidR="001025A0" w:rsidRPr="003D5E1A" w:rsidRDefault="000344DF" w:rsidP="00187751">
      <w:pPr>
        <w:pStyle w:val="Quote"/>
      </w:pPr>
      <w:r>
        <w:t xml:space="preserve">2) </w:t>
      </w:r>
      <w:r w:rsidR="00232183" w:rsidRPr="003D5E1A">
        <w:t xml:space="preserve">States Parties undertake to ensure the child such protection and care as is necessary for his or her well-being, </w:t>
      </w:r>
      <w:proofErr w:type="gramStart"/>
      <w:r w:rsidR="00232183" w:rsidRPr="003D5E1A">
        <w:t>taking into account</w:t>
      </w:r>
      <w:proofErr w:type="gramEnd"/>
      <w:r w:rsidR="00232183" w:rsidRPr="003D5E1A">
        <w:t xml:space="preserve"> the rights and duties of his or her parents, legal guardians, or other individuals legally responsible for him or her, and, to this end, shall take all appropriate legislative and administrative measures.</w:t>
      </w:r>
    </w:p>
    <w:p w14:paraId="258DA6F5" w14:textId="35D27C5F" w:rsidR="00F84F42" w:rsidRPr="00F84F42" w:rsidRDefault="00F84F42" w:rsidP="00F84F42">
      <w:pPr>
        <w:pStyle w:val="BasicParagraph"/>
        <w:suppressAutoHyphens/>
        <w:ind w:left="993"/>
        <w:rPr>
          <w:rFonts w:ascii="Verdana" w:hAnsi="Verdana" w:cs="Arial"/>
          <w:color w:val="auto"/>
        </w:rPr>
      </w:pPr>
    </w:p>
    <w:p w14:paraId="7145C238" w14:textId="35E0C4F1" w:rsidR="003D5E1A" w:rsidRPr="00747633" w:rsidRDefault="003D5E1A" w:rsidP="003D5E1A">
      <w:pPr>
        <w:pStyle w:val="ListParagraph"/>
        <w:numPr>
          <w:ilvl w:val="1"/>
          <w:numId w:val="8"/>
        </w:numPr>
        <w:spacing w:line="360" w:lineRule="auto"/>
        <w:ind w:left="709"/>
        <w:jc w:val="both"/>
      </w:pPr>
      <w:r w:rsidRPr="00747633">
        <w:t xml:space="preserve">Also of relevance is </w:t>
      </w:r>
      <w:r w:rsidR="00F84F42" w:rsidRPr="00747633">
        <w:t xml:space="preserve">Article 12 of </w:t>
      </w:r>
      <w:r w:rsidRPr="00747633">
        <w:t>the UN CRC which provides</w:t>
      </w:r>
      <w:r w:rsidR="00187751" w:rsidRPr="00747633">
        <w:t xml:space="preserve"> that</w:t>
      </w:r>
      <w:r w:rsidRPr="00747633">
        <w:t xml:space="preserve">: </w:t>
      </w:r>
    </w:p>
    <w:p w14:paraId="14E71EEF" w14:textId="77777777" w:rsidR="00187751" w:rsidRPr="00747633" w:rsidRDefault="00187751" w:rsidP="00187751">
      <w:pPr>
        <w:pStyle w:val="Quote"/>
      </w:pPr>
    </w:p>
    <w:p w14:paraId="08EA1C28" w14:textId="01206321" w:rsidR="003D5E1A" w:rsidRPr="00747633" w:rsidRDefault="00187751" w:rsidP="00187751">
      <w:pPr>
        <w:pStyle w:val="Quote"/>
      </w:pPr>
      <w:r w:rsidRPr="00747633">
        <w:t xml:space="preserve">1) </w:t>
      </w:r>
      <w:r w:rsidR="00F84F42" w:rsidRPr="00747633">
        <w:t xml:space="preserve">States Parties shall assure to the child who </w:t>
      </w:r>
      <w:proofErr w:type="gramStart"/>
      <w:r w:rsidR="00F84F42" w:rsidRPr="00747633">
        <w:t>is capable of forming</w:t>
      </w:r>
      <w:proofErr w:type="gramEnd"/>
      <w:r w:rsidR="00F84F42" w:rsidRPr="00747633">
        <w:t xml:space="preserve"> his or her own views the right to express those views freely in all matters affecting the child, the views of the child being given due weight in accordance with the ag</w:t>
      </w:r>
      <w:r w:rsidR="003D5E1A" w:rsidRPr="00747633">
        <w:t>e and maturity of the child.</w:t>
      </w:r>
    </w:p>
    <w:p w14:paraId="52879618" w14:textId="77777777" w:rsidR="00187751" w:rsidRPr="00747633" w:rsidRDefault="00187751" w:rsidP="00187751"/>
    <w:p w14:paraId="21A9339D" w14:textId="2E4DFE45" w:rsidR="00F84F42" w:rsidRPr="00747633" w:rsidRDefault="00187751" w:rsidP="00187751">
      <w:pPr>
        <w:pStyle w:val="Quote"/>
      </w:pPr>
      <w:r w:rsidRPr="00747633">
        <w:t xml:space="preserve">2) </w:t>
      </w:r>
      <w:r w:rsidR="00F84F42" w:rsidRPr="00747633">
        <w:t xml:space="preserve">For this </w:t>
      </w:r>
      <w:proofErr w:type="gramStart"/>
      <w:r w:rsidR="00F84F42" w:rsidRPr="00747633">
        <w:t>purpose</w:t>
      </w:r>
      <w:proofErr w:type="gramEnd"/>
      <w:r w:rsidR="00F84F42" w:rsidRPr="00747633">
        <w:t xml:space="preserve"> the child shall in particular be provided the opportunity to be heard in any judicial and administrative proceedings affecting the child, either directly, or through a representative or an appropriate body, in a manner consistent with the pr</w:t>
      </w:r>
      <w:r w:rsidR="003D5E1A" w:rsidRPr="00747633">
        <w:t>ocedural rules of national law.</w:t>
      </w:r>
    </w:p>
    <w:p w14:paraId="34C4D890" w14:textId="77777777" w:rsidR="003D5E1A" w:rsidRPr="00F84F42" w:rsidRDefault="003D5E1A" w:rsidP="003D5E1A">
      <w:pPr>
        <w:pStyle w:val="ListParagraph"/>
        <w:spacing w:line="360" w:lineRule="auto"/>
        <w:ind w:left="1069"/>
        <w:jc w:val="both"/>
      </w:pPr>
    </w:p>
    <w:p w14:paraId="49CF419A" w14:textId="0A9A6CD4" w:rsidR="00B24A57" w:rsidRDefault="00B24A57" w:rsidP="001025A0">
      <w:pPr>
        <w:pStyle w:val="ListParagraph"/>
        <w:numPr>
          <w:ilvl w:val="1"/>
          <w:numId w:val="8"/>
        </w:numPr>
        <w:spacing w:line="360" w:lineRule="auto"/>
        <w:ind w:left="709"/>
        <w:jc w:val="both"/>
        <w:rPr>
          <w:b/>
        </w:rPr>
      </w:pPr>
      <w:r w:rsidRPr="001025A0">
        <w:rPr>
          <w:b/>
        </w:rPr>
        <w:t xml:space="preserve">The </w:t>
      </w:r>
      <w:r w:rsidR="00187751">
        <w:rPr>
          <w:b/>
        </w:rPr>
        <w:t>NIHRC</w:t>
      </w:r>
      <w:r w:rsidR="00187751" w:rsidRPr="001025A0">
        <w:rPr>
          <w:b/>
        </w:rPr>
        <w:t xml:space="preserve"> </w:t>
      </w:r>
      <w:r w:rsidRPr="001025A0">
        <w:rPr>
          <w:b/>
        </w:rPr>
        <w:t xml:space="preserve">recommends </w:t>
      </w:r>
      <w:r w:rsidR="003B29CA">
        <w:rPr>
          <w:b/>
        </w:rPr>
        <w:t xml:space="preserve">that, </w:t>
      </w:r>
      <w:r w:rsidR="00AE492E" w:rsidRPr="001025A0">
        <w:rPr>
          <w:b/>
        </w:rPr>
        <w:t xml:space="preserve">as part of the review of the Caring for Carers strategy and development of </w:t>
      </w:r>
      <w:r w:rsidR="00BB5511" w:rsidRPr="001025A0">
        <w:rPr>
          <w:b/>
        </w:rPr>
        <w:t xml:space="preserve">a </w:t>
      </w:r>
      <w:r w:rsidR="00AE492E" w:rsidRPr="001025A0">
        <w:rPr>
          <w:b/>
        </w:rPr>
        <w:t>new strategic approach</w:t>
      </w:r>
      <w:r w:rsidR="00BB5511" w:rsidRPr="001025A0">
        <w:rPr>
          <w:b/>
        </w:rPr>
        <w:t xml:space="preserve">, the Department </w:t>
      </w:r>
      <w:r w:rsidR="003B29CA">
        <w:rPr>
          <w:b/>
        </w:rPr>
        <w:t xml:space="preserve">of Health </w:t>
      </w:r>
      <w:r w:rsidR="00BB5511" w:rsidRPr="001025A0">
        <w:rPr>
          <w:b/>
        </w:rPr>
        <w:t xml:space="preserve">adopts a human </w:t>
      </w:r>
      <w:proofErr w:type="gramStart"/>
      <w:r w:rsidR="00BB5511" w:rsidRPr="001025A0">
        <w:rPr>
          <w:b/>
        </w:rPr>
        <w:t>rights based</w:t>
      </w:r>
      <w:proofErr w:type="gramEnd"/>
      <w:r w:rsidR="00BB5511" w:rsidRPr="001025A0">
        <w:rPr>
          <w:b/>
        </w:rPr>
        <w:t xml:space="preserve"> approach with specific consideration to rights of child carers</w:t>
      </w:r>
      <w:r w:rsidR="003D5E1A">
        <w:rPr>
          <w:b/>
        </w:rPr>
        <w:t>, including the right to participation,</w:t>
      </w:r>
      <w:r w:rsidR="00BB5511" w:rsidRPr="001025A0">
        <w:rPr>
          <w:b/>
        </w:rPr>
        <w:t xml:space="preserve"> as protected by the UN CRC. </w:t>
      </w:r>
      <w:r w:rsidR="00AE492E" w:rsidRPr="001025A0">
        <w:rPr>
          <w:b/>
        </w:rPr>
        <w:t xml:space="preserve"> </w:t>
      </w:r>
    </w:p>
    <w:p w14:paraId="2F149DBE" w14:textId="77777777" w:rsidR="009461D8" w:rsidRDefault="009461D8" w:rsidP="009461D8">
      <w:pPr>
        <w:pStyle w:val="ListParagraph"/>
        <w:spacing w:line="360" w:lineRule="auto"/>
        <w:ind w:left="709"/>
        <w:jc w:val="both"/>
        <w:rPr>
          <w:b/>
        </w:rPr>
      </w:pPr>
    </w:p>
    <w:p w14:paraId="6BF99007" w14:textId="5FA15E5E" w:rsidR="00163BC8" w:rsidRPr="009461D8" w:rsidRDefault="009D6DA7" w:rsidP="00EC12D7">
      <w:pPr>
        <w:pStyle w:val="Heading1"/>
      </w:pPr>
      <w:bookmarkStart w:id="11" w:name="_Toc106894215"/>
      <w:r>
        <w:t>10.0</w:t>
      </w:r>
      <w:r>
        <w:tab/>
      </w:r>
      <w:r w:rsidR="00163BC8" w:rsidRPr="009461D8">
        <w:t xml:space="preserve">Strategic </w:t>
      </w:r>
      <w:r w:rsidR="003B29CA">
        <w:t>P</w:t>
      </w:r>
      <w:r w:rsidR="00163BC8" w:rsidRPr="009461D8">
        <w:t xml:space="preserve">riority 6 – </w:t>
      </w:r>
      <w:r w:rsidR="003B29CA">
        <w:t>P</w:t>
      </w:r>
      <w:r w:rsidR="00163BC8" w:rsidRPr="009461D8">
        <w:t xml:space="preserve">rimacy of </w:t>
      </w:r>
      <w:r w:rsidR="003B29CA">
        <w:t>H</w:t>
      </w:r>
      <w:r w:rsidR="00163BC8" w:rsidRPr="009461D8">
        <w:t>ome</w:t>
      </w:r>
      <w:bookmarkEnd w:id="11"/>
      <w:r w:rsidR="00163BC8" w:rsidRPr="009461D8">
        <w:t xml:space="preserve"> </w:t>
      </w:r>
    </w:p>
    <w:p w14:paraId="3DF884B1" w14:textId="77777777" w:rsidR="00EC12D7" w:rsidRPr="00EC12D7" w:rsidRDefault="00EC12D7" w:rsidP="00EC12D7">
      <w:pPr>
        <w:pStyle w:val="ListParagraph"/>
        <w:numPr>
          <w:ilvl w:val="0"/>
          <w:numId w:val="8"/>
        </w:numPr>
        <w:spacing w:line="360" w:lineRule="auto"/>
        <w:jc w:val="both"/>
        <w:rPr>
          <w:vanish/>
        </w:rPr>
      </w:pPr>
    </w:p>
    <w:p w14:paraId="60173CD3" w14:textId="6134B45F" w:rsidR="00594414" w:rsidRPr="009461D8" w:rsidRDefault="00A36220" w:rsidP="00EC12D7">
      <w:pPr>
        <w:numPr>
          <w:ilvl w:val="1"/>
          <w:numId w:val="8"/>
        </w:numPr>
        <w:spacing w:line="360" w:lineRule="auto"/>
        <w:ind w:left="720"/>
        <w:contextualSpacing/>
        <w:jc w:val="both"/>
      </w:pPr>
      <w:r w:rsidRPr="009461D8">
        <w:t xml:space="preserve">As outlined in previous sections of this submission, </w:t>
      </w:r>
      <w:r w:rsidR="00D0058C" w:rsidRPr="009461D8">
        <w:t xml:space="preserve">individual </w:t>
      </w:r>
      <w:proofErr w:type="gramStart"/>
      <w:r w:rsidR="00D0058C" w:rsidRPr="009461D8">
        <w:t>autonomy</w:t>
      </w:r>
      <w:proofErr w:type="gramEnd"/>
      <w:r w:rsidR="00D0058C" w:rsidRPr="009461D8">
        <w:t xml:space="preserve"> and the ability to live independently in the community are key to the fulfilment of human rights within social care. The </w:t>
      </w:r>
      <w:r w:rsidR="003B29CA">
        <w:t>NIHRC</w:t>
      </w:r>
      <w:r w:rsidR="003B29CA" w:rsidRPr="009461D8">
        <w:t xml:space="preserve"> </w:t>
      </w:r>
      <w:r w:rsidR="00D0058C" w:rsidRPr="009461D8">
        <w:t>therefore welcomes the proposals</w:t>
      </w:r>
      <w:r w:rsidR="00D21763">
        <w:t>,</w:t>
      </w:r>
      <w:r w:rsidR="00D0058C" w:rsidRPr="009461D8">
        <w:t xml:space="preserve"> set out under </w:t>
      </w:r>
      <w:r w:rsidR="003B29CA">
        <w:t>S</w:t>
      </w:r>
      <w:r w:rsidR="00D0058C" w:rsidRPr="009461D8">
        <w:t xml:space="preserve">trategic </w:t>
      </w:r>
      <w:r w:rsidR="003B29CA">
        <w:t>P</w:t>
      </w:r>
      <w:r w:rsidR="00D0058C" w:rsidRPr="009461D8">
        <w:t>riority 6</w:t>
      </w:r>
      <w:r w:rsidR="00D21763">
        <w:t>,</w:t>
      </w:r>
      <w:r w:rsidR="00D0058C" w:rsidRPr="009461D8">
        <w:t xml:space="preserve"> which aim</w:t>
      </w:r>
      <w:r w:rsidR="003B29CA">
        <w:t>s</w:t>
      </w:r>
      <w:r w:rsidR="00D0058C" w:rsidRPr="009461D8">
        <w:t xml:space="preserve"> to support people to live well independently in their own homes.</w:t>
      </w:r>
      <w:r w:rsidR="007E2AFD" w:rsidRPr="009461D8">
        <w:t xml:space="preserve"> The </w:t>
      </w:r>
      <w:r w:rsidR="003B29CA">
        <w:t>NIHRC</w:t>
      </w:r>
      <w:r w:rsidR="003B29CA" w:rsidRPr="009461D8">
        <w:t xml:space="preserve"> </w:t>
      </w:r>
      <w:r w:rsidR="007E2AFD" w:rsidRPr="009461D8">
        <w:t>particularly welcomes the</w:t>
      </w:r>
      <w:r w:rsidR="00D0058C" w:rsidRPr="009461D8">
        <w:t xml:space="preserve"> </w:t>
      </w:r>
      <w:r w:rsidR="007E2AFD" w:rsidRPr="009461D8">
        <w:t xml:space="preserve">removal of any set limits on the amount or cost of a service someone may receive and views this as an important measure in promoting the dignity and autonomy of those requiring social care support. As with </w:t>
      </w:r>
      <w:r w:rsidR="003B29CA" w:rsidRPr="009461D8">
        <w:t>most</w:t>
      </w:r>
      <w:r w:rsidR="007E2AFD" w:rsidRPr="009461D8">
        <w:t xml:space="preserve"> proposals contained within the consultation document, this will require </w:t>
      </w:r>
      <w:r w:rsidR="002A603F" w:rsidRPr="009461D8">
        <w:t xml:space="preserve">a commitment to the necessary levels of </w:t>
      </w:r>
      <w:r w:rsidR="00D21763">
        <w:t xml:space="preserve">adequate </w:t>
      </w:r>
      <w:r w:rsidR="002A603F" w:rsidRPr="009461D8">
        <w:t>funding</w:t>
      </w:r>
      <w:r w:rsidR="008347B9" w:rsidRPr="009461D8">
        <w:t>.</w:t>
      </w:r>
    </w:p>
    <w:p w14:paraId="76855439" w14:textId="77777777" w:rsidR="00D0058C" w:rsidRPr="009461D8" w:rsidRDefault="00D0058C" w:rsidP="009461D8">
      <w:pPr>
        <w:spacing w:line="360" w:lineRule="auto"/>
        <w:ind w:left="720"/>
        <w:contextualSpacing/>
        <w:jc w:val="both"/>
      </w:pPr>
    </w:p>
    <w:p w14:paraId="73FD0C49" w14:textId="523354B5" w:rsidR="00D0058C" w:rsidRDefault="00937DDC" w:rsidP="00B41FC4">
      <w:pPr>
        <w:numPr>
          <w:ilvl w:val="1"/>
          <w:numId w:val="8"/>
        </w:numPr>
        <w:spacing w:line="360" w:lineRule="auto"/>
        <w:ind w:left="720"/>
        <w:contextualSpacing/>
        <w:jc w:val="both"/>
      </w:pPr>
      <w:r w:rsidRPr="00B41FC4">
        <w:t xml:space="preserve">The </w:t>
      </w:r>
      <w:r w:rsidR="003B29CA">
        <w:t>NIHRC</w:t>
      </w:r>
      <w:r w:rsidR="003B29CA" w:rsidRPr="00B41FC4">
        <w:t xml:space="preserve"> </w:t>
      </w:r>
      <w:r w:rsidRPr="00B41FC4">
        <w:t>notes that</w:t>
      </w:r>
      <w:r w:rsidR="008347B9" w:rsidRPr="00B41FC4">
        <w:t xml:space="preserve"> the proposal requiring the R</w:t>
      </w:r>
      <w:r w:rsidR="00765C14">
        <w:t xml:space="preserve">egulation and </w:t>
      </w:r>
      <w:r w:rsidR="008347B9" w:rsidRPr="00B41FC4">
        <w:t>Q</w:t>
      </w:r>
      <w:r w:rsidR="00765C14">
        <w:t xml:space="preserve">uality </w:t>
      </w:r>
      <w:r w:rsidR="008347B9" w:rsidRPr="00B41FC4">
        <w:t>I</w:t>
      </w:r>
      <w:r w:rsidR="00765C14">
        <w:t xml:space="preserve">mprovement </w:t>
      </w:r>
      <w:r w:rsidR="008347B9" w:rsidRPr="00B41FC4">
        <w:t>A</w:t>
      </w:r>
      <w:r w:rsidR="00765C14">
        <w:t>uthority</w:t>
      </w:r>
      <w:r w:rsidR="008347B9" w:rsidRPr="00B41FC4">
        <w:t xml:space="preserve"> and commissioning </w:t>
      </w:r>
      <w:r w:rsidR="00B1638E" w:rsidRPr="00B41FC4">
        <w:t xml:space="preserve">Health and Social Care Trusts </w:t>
      </w:r>
      <w:r w:rsidR="008347B9" w:rsidRPr="00B41FC4">
        <w:t xml:space="preserve">to ensure that, in places of residential care, the care on offer is in line with the philosophy outlined on pages 81 and 82 of the consultation </w:t>
      </w:r>
      <w:proofErr w:type="gramStart"/>
      <w:r w:rsidR="008347B9" w:rsidRPr="00B41FC4">
        <w:t>document</w:t>
      </w:r>
      <w:proofErr w:type="gramEnd"/>
      <w:r w:rsidR="008347B9" w:rsidRPr="00B41FC4">
        <w:t xml:space="preserve">. </w:t>
      </w:r>
      <w:r w:rsidR="00A86923" w:rsidRPr="00B41FC4">
        <w:t>The philosophy of care indicates that care homes should protect and promote the right of residents to private and family life</w:t>
      </w:r>
      <w:r w:rsidR="00380EF5">
        <w:t>,</w:t>
      </w:r>
      <w:r w:rsidR="00A86923" w:rsidRPr="00B41FC4">
        <w:t xml:space="preserve"> as per Article 8 of the </w:t>
      </w:r>
      <w:r w:rsidR="004C77D3" w:rsidRPr="00B41FC4">
        <w:t>ECHR</w:t>
      </w:r>
      <w:r w:rsidR="00A86923" w:rsidRPr="00B41FC4">
        <w:t>.</w:t>
      </w:r>
      <w:r w:rsidR="00CC08BC" w:rsidRPr="00B41FC4">
        <w:t xml:space="preserve"> </w:t>
      </w:r>
      <w:r w:rsidR="004C77D3" w:rsidRPr="00B41FC4">
        <w:t xml:space="preserve">As outlined under </w:t>
      </w:r>
      <w:r w:rsidR="00B41FC4" w:rsidRPr="00B41FC4">
        <w:t>‘</w:t>
      </w:r>
      <w:r w:rsidR="004C77D3" w:rsidRPr="00B41FC4">
        <w:t>human rights standards</w:t>
      </w:r>
      <w:r w:rsidR="00B41FC4" w:rsidRPr="00B41FC4">
        <w:t>’</w:t>
      </w:r>
      <w:r w:rsidR="004C77D3" w:rsidRPr="00B41FC4">
        <w:t xml:space="preserve">, there are </w:t>
      </w:r>
      <w:proofErr w:type="gramStart"/>
      <w:r w:rsidR="004C77D3" w:rsidRPr="00B41FC4">
        <w:t>a number of</w:t>
      </w:r>
      <w:proofErr w:type="gramEnd"/>
      <w:r w:rsidR="004C77D3" w:rsidRPr="00B41FC4">
        <w:t xml:space="preserve"> human rights engaged in adult social </w:t>
      </w:r>
      <w:r w:rsidR="004C77D3" w:rsidRPr="00ED7AD4">
        <w:t>care</w:t>
      </w:r>
      <w:r w:rsidR="003D5E1A" w:rsidRPr="00ED7AD4">
        <w:t xml:space="preserve"> and it is a legal requirement under </w:t>
      </w:r>
      <w:r w:rsidR="00A52691" w:rsidRPr="00ED7AD4">
        <w:t>s</w:t>
      </w:r>
      <w:r w:rsidR="003D5E1A" w:rsidRPr="00ED7AD4">
        <w:t xml:space="preserve">ection 6 of the Human Rights Act </w:t>
      </w:r>
      <w:r w:rsidR="004C2C65" w:rsidRPr="00ED7AD4">
        <w:t xml:space="preserve">for public authorities </w:t>
      </w:r>
      <w:r w:rsidR="003D5E1A" w:rsidRPr="00ED7AD4">
        <w:t xml:space="preserve">to </w:t>
      </w:r>
      <w:r w:rsidR="00467EE8" w:rsidRPr="00ED7AD4">
        <w:t>act in a way that is compatible with ECHR rights</w:t>
      </w:r>
      <w:r w:rsidR="005A1F59" w:rsidRPr="00ED7AD4">
        <w:t xml:space="preserve">. </w:t>
      </w:r>
      <w:r w:rsidR="004C77D3" w:rsidRPr="00ED7AD4">
        <w:t>It is</w:t>
      </w:r>
      <w:r w:rsidR="004C77D3" w:rsidRPr="00B41FC4">
        <w:t xml:space="preserve"> vital that social care staff are fully informed of </w:t>
      </w:r>
      <w:proofErr w:type="gramStart"/>
      <w:r w:rsidR="004C77D3" w:rsidRPr="00B41FC4">
        <w:t>all of</w:t>
      </w:r>
      <w:proofErr w:type="gramEnd"/>
      <w:r w:rsidR="004C77D3" w:rsidRPr="00B41FC4">
        <w:t xml:space="preserve"> the human rights obligations that apply in the provision of social care. </w:t>
      </w:r>
      <w:r w:rsidR="00B41FC4" w:rsidRPr="00B41FC4">
        <w:t xml:space="preserve">Human </w:t>
      </w:r>
      <w:r w:rsidR="009016FB">
        <w:t>r</w:t>
      </w:r>
      <w:r w:rsidR="00B41FC4" w:rsidRPr="00B41FC4">
        <w:t xml:space="preserve">ights training for all social care staff will be essential to ensuring that staff understand what this means in practice. </w:t>
      </w:r>
    </w:p>
    <w:p w14:paraId="25714E2D" w14:textId="77777777" w:rsidR="005A1F59" w:rsidRPr="005A1F59" w:rsidRDefault="005A1F59" w:rsidP="005A1F59">
      <w:pPr>
        <w:rPr>
          <w:b/>
        </w:rPr>
      </w:pPr>
    </w:p>
    <w:p w14:paraId="7955F4F6" w14:textId="410F1805" w:rsidR="005A1F59" w:rsidRPr="00ED7AD4" w:rsidRDefault="005A1F59" w:rsidP="00B41FC4">
      <w:pPr>
        <w:numPr>
          <w:ilvl w:val="1"/>
          <w:numId w:val="8"/>
        </w:numPr>
        <w:spacing w:line="360" w:lineRule="auto"/>
        <w:ind w:left="720"/>
        <w:contextualSpacing/>
        <w:jc w:val="both"/>
        <w:rPr>
          <w:b/>
        </w:rPr>
      </w:pPr>
      <w:r w:rsidRPr="00ED7AD4">
        <w:rPr>
          <w:b/>
        </w:rPr>
        <w:t xml:space="preserve">The </w:t>
      </w:r>
      <w:r w:rsidR="009016FB" w:rsidRPr="00ED7AD4">
        <w:rPr>
          <w:b/>
        </w:rPr>
        <w:t xml:space="preserve">NIHRC </w:t>
      </w:r>
      <w:r w:rsidRPr="00ED7AD4">
        <w:rPr>
          <w:b/>
        </w:rPr>
        <w:t xml:space="preserve">recommends that </w:t>
      </w:r>
      <w:r w:rsidR="002C3B95">
        <w:rPr>
          <w:b/>
        </w:rPr>
        <w:t xml:space="preserve">the </w:t>
      </w:r>
      <w:r w:rsidR="009016FB" w:rsidRPr="00ED7AD4">
        <w:rPr>
          <w:b/>
        </w:rPr>
        <w:t xml:space="preserve">Department of Health ensures that </w:t>
      </w:r>
      <w:r w:rsidRPr="00ED7AD4">
        <w:rPr>
          <w:b/>
        </w:rPr>
        <w:t xml:space="preserve">the </w:t>
      </w:r>
      <w:r w:rsidR="009016FB" w:rsidRPr="00ED7AD4">
        <w:rPr>
          <w:b/>
        </w:rPr>
        <w:t>p</w:t>
      </w:r>
      <w:r w:rsidRPr="00ED7AD4">
        <w:rPr>
          <w:b/>
        </w:rPr>
        <w:t xml:space="preserve">hilosophy of care clearly states that </w:t>
      </w:r>
      <w:r w:rsidR="009E35AB" w:rsidRPr="00ED7AD4">
        <w:rPr>
          <w:b/>
        </w:rPr>
        <w:t>it is</w:t>
      </w:r>
      <w:r w:rsidR="009D5AE2">
        <w:rPr>
          <w:b/>
        </w:rPr>
        <w:t xml:space="preserve"> grounded in </w:t>
      </w:r>
      <w:r w:rsidRPr="00ED7AD4">
        <w:rPr>
          <w:b/>
        </w:rPr>
        <w:t xml:space="preserve">human rights and that staff must </w:t>
      </w:r>
      <w:r w:rsidR="0044060E" w:rsidRPr="00ED7AD4">
        <w:rPr>
          <w:b/>
        </w:rPr>
        <w:t xml:space="preserve">act </w:t>
      </w:r>
      <w:r w:rsidRPr="00ED7AD4">
        <w:rPr>
          <w:b/>
        </w:rPr>
        <w:t xml:space="preserve">in full compliance with </w:t>
      </w:r>
      <w:r w:rsidR="009E35AB" w:rsidRPr="00ED7AD4">
        <w:rPr>
          <w:b/>
        </w:rPr>
        <w:t xml:space="preserve">ECHR </w:t>
      </w:r>
      <w:r w:rsidRPr="00ED7AD4">
        <w:rPr>
          <w:b/>
        </w:rPr>
        <w:t>rights</w:t>
      </w:r>
      <w:r w:rsidR="00D721C6" w:rsidRPr="00ED7AD4">
        <w:rPr>
          <w:b/>
        </w:rPr>
        <w:t>, as per the Human Rights Act</w:t>
      </w:r>
      <w:r w:rsidRPr="00ED7AD4">
        <w:rPr>
          <w:b/>
        </w:rPr>
        <w:t xml:space="preserve">. </w:t>
      </w:r>
    </w:p>
    <w:p w14:paraId="106376EE" w14:textId="77777777" w:rsidR="00D0058C" w:rsidRPr="009461D8" w:rsidRDefault="00D0058C" w:rsidP="009461D8">
      <w:pPr>
        <w:spacing w:line="360" w:lineRule="auto"/>
        <w:ind w:left="720"/>
        <w:contextualSpacing/>
        <w:jc w:val="both"/>
      </w:pPr>
    </w:p>
    <w:p w14:paraId="52D631E5" w14:textId="5A665FCF" w:rsidR="004C77D3" w:rsidRPr="009461D8" w:rsidRDefault="004C77D3" w:rsidP="009461D8">
      <w:pPr>
        <w:numPr>
          <w:ilvl w:val="1"/>
          <w:numId w:val="8"/>
        </w:numPr>
        <w:spacing w:line="360" w:lineRule="auto"/>
        <w:ind w:left="720"/>
        <w:contextualSpacing/>
        <w:jc w:val="both"/>
      </w:pPr>
      <w:r w:rsidRPr="009461D8">
        <w:t xml:space="preserve">The </w:t>
      </w:r>
      <w:r w:rsidR="00E72EA6">
        <w:t xml:space="preserve">NIHRC </w:t>
      </w:r>
      <w:r w:rsidRPr="009461D8">
        <w:t>welcomes the measures proposed to reduce the possibility of any care home resident having to move home because of a change in their care needs.</w:t>
      </w:r>
      <w:r w:rsidRPr="009461D8">
        <w:rPr>
          <w:vertAlign w:val="superscript"/>
        </w:rPr>
        <w:footnoteReference w:id="78"/>
      </w:r>
      <w:r w:rsidRPr="009461D8">
        <w:t xml:space="preserve"> It is essential that staff involved in any potential decision to compel a resident to move to an alternative care home understand the potential rights implications of the decision. </w:t>
      </w:r>
    </w:p>
    <w:p w14:paraId="7E45092F" w14:textId="77777777" w:rsidR="004C77D3" w:rsidRPr="009461D8" w:rsidRDefault="004C77D3" w:rsidP="009461D8">
      <w:pPr>
        <w:spacing w:line="360" w:lineRule="auto"/>
        <w:ind w:left="720"/>
        <w:contextualSpacing/>
        <w:jc w:val="both"/>
      </w:pPr>
    </w:p>
    <w:p w14:paraId="397E5EF7" w14:textId="208BAFD9" w:rsidR="00594414" w:rsidRDefault="00232183" w:rsidP="009461D8">
      <w:pPr>
        <w:numPr>
          <w:ilvl w:val="1"/>
          <w:numId w:val="8"/>
        </w:numPr>
        <w:spacing w:line="360" w:lineRule="auto"/>
        <w:ind w:left="720"/>
        <w:contextualSpacing/>
        <w:jc w:val="both"/>
      </w:pPr>
      <w:r w:rsidRPr="009461D8">
        <w:t xml:space="preserve">In the case of </w:t>
      </w:r>
      <w:r w:rsidRPr="00140650">
        <w:rPr>
          <w:i/>
          <w:iCs/>
        </w:rPr>
        <w:t xml:space="preserve">Watt </w:t>
      </w:r>
      <w:proofErr w:type="gramStart"/>
      <w:r w:rsidR="00380EF5">
        <w:rPr>
          <w:i/>
          <w:iCs/>
        </w:rPr>
        <w:t>v</w:t>
      </w:r>
      <w:proofErr w:type="gramEnd"/>
      <w:r w:rsidR="00380EF5">
        <w:rPr>
          <w:i/>
          <w:iCs/>
        </w:rPr>
        <w:t xml:space="preserve"> the</w:t>
      </w:r>
      <w:r w:rsidR="00341E26">
        <w:rPr>
          <w:i/>
          <w:iCs/>
        </w:rPr>
        <w:t xml:space="preserve"> </w:t>
      </w:r>
      <w:r w:rsidRPr="00140650">
        <w:rPr>
          <w:i/>
          <w:iCs/>
        </w:rPr>
        <w:t>United Kingdom</w:t>
      </w:r>
      <w:r w:rsidR="00C261DA">
        <w:rPr>
          <w:i/>
          <w:iCs/>
        </w:rPr>
        <w:t xml:space="preserve"> </w:t>
      </w:r>
      <w:r w:rsidR="00C261DA">
        <w:t>(2010)</w:t>
      </w:r>
      <w:r w:rsidRPr="009461D8">
        <w:t xml:space="preserve">, the </w:t>
      </w:r>
      <w:r w:rsidR="003837A6">
        <w:t>European Court of Human Rights (</w:t>
      </w:r>
      <w:r w:rsidRPr="009461D8">
        <w:t>ECtHR</w:t>
      </w:r>
      <w:r w:rsidR="003837A6">
        <w:t>)</w:t>
      </w:r>
      <w:r w:rsidRPr="009461D8">
        <w:t xml:space="preserve"> </w:t>
      </w:r>
      <w:r w:rsidR="00B24A57" w:rsidRPr="009461D8">
        <w:t>found that Article 2</w:t>
      </w:r>
      <w:r w:rsidR="00380EF5">
        <w:t xml:space="preserve"> ECHR</w:t>
      </w:r>
      <w:r w:rsidR="00B24A57" w:rsidRPr="009461D8">
        <w:t xml:space="preserve"> was engaged in a case in which</w:t>
      </w:r>
      <w:r w:rsidR="00304A13" w:rsidRPr="009461D8">
        <w:t xml:space="preserve"> an elderly resident was involuntarily transferred from one care home to another home. While the ECtHR found no violation in this instance, it was</w:t>
      </w:r>
      <w:r w:rsidR="00B24A57" w:rsidRPr="009461D8">
        <w:t xml:space="preserve"> </w:t>
      </w:r>
      <w:r w:rsidRPr="009461D8">
        <w:t>“persuaded that a badly managed transfer of elderly residents of a care home could well have a negative impact on their life expectancy as a result of the general frailty and resistance to change of older people”.</w:t>
      </w:r>
      <w:r w:rsidR="004C77D3" w:rsidRPr="009461D8">
        <w:rPr>
          <w:vertAlign w:val="superscript"/>
        </w:rPr>
        <w:footnoteReference w:id="79"/>
      </w:r>
    </w:p>
    <w:p w14:paraId="400DEC31" w14:textId="77777777" w:rsidR="00BE21C4" w:rsidRDefault="00BE21C4" w:rsidP="00BE21C4">
      <w:pPr>
        <w:pStyle w:val="ListParagraph"/>
      </w:pPr>
    </w:p>
    <w:p w14:paraId="712AF20F" w14:textId="49B916F7" w:rsidR="00BE21C4" w:rsidRDefault="00BE21C4" w:rsidP="009461D8">
      <w:pPr>
        <w:numPr>
          <w:ilvl w:val="1"/>
          <w:numId w:val="8"/>
        </w:numPr>
        <w:spacing w:line="360" w:lineRule="auto"/>
        <w:ind w:left="720"/>
        <w:contextualSpacing/>
        <w:jc w:val="both"/>
      </w:pPr>
      <w:r>
        <w:t xml:space="preserve">The ECtHR further held that while there was no violation, Article 8 </w:t>
      </w:r>
      <w:r w:rsidR="00C261DA">
        <w:t xml:space="preserve">of the ECHR </w:t>
      </w:r>
      <w:r>
        <w:t>was also engaged as the transfer</w:t>
      </w:r>
      <w:r w:rsidRPr="00BE21C4">
        <w:t xml:space="preserve"> gave rise to stress and distress which could have had an impact on the applicant's health.</w:t>
      </w:r>
      <w:r>
        <w:rPr>
          <w:rStyle w:val="FootnoteReference"/>
        </w:rPr>
        <w:footnoteReference w:id="80"/>
      </w:r>
    </w:p>
    <w:p w14:paraId="1795169F" w14:textId="77777777" w:rsidR="003C14C0" w:rsidRDefault="003C14C0" w:rsidP="003C14C0">
      <w:pPr>
        <w:pStyle w:val="ListParagraph"/>
      </w:pPr>
    </w:p>
    <w:p w14:paraId="4D919E43" w14:textId="41F51970" w:rsidR="003C14C0" w:rsidRPr="003C14C0" w:rsidRDefault="003C14C0" w:rsidP="009461D8">
      <w:pPr>
        <w:numPr>
          <w:ilvl w:val="1"/>
          <w:numId w:val="8"/>
        </w:numPr>
        <w:spacing w:line="360" w:lineRule="auto"/>
        <w:ind w:left="720"/>
        <w:contextualSpacing/>
        <w:jc w:val="both"/>
        <w:rPr>
          <w:b/>
        </w:rPr>
      </w:pPr>
      <w:r w:rsidRPr="003C14C0">
        <w:rPr>
          <w:b/>
        </w:rPr>
        <w:t xml:space="preserve">The </w:t>
      </w:r>
      <w:r w:rsidR="00C4691D">
        <w:rPr>
          <w:b/>
        </w:rPr>
        <w:t>NIHRC</w:t>
      </w:r>
      <w:r w:rsidR="00C4691D" w:rsidRPr="003C14C0">
        <w:rPr>
          <w:b/>
        </w:rPr>
        <w:t xml:space="preserve"> </w:t>
      </w:r>
      <w:r w:rsidRPr="003C14C0">
        <w:rPr>
          <w:b/>
        </w:rPr>
        <w:t xml:space="preserve">recommends that the measures proposed to reduce the possibility of any care home resident having to move home </w:t>
      </w:r>
      <w:r w:rsidR="004857F5">
        <w:rPr>
          <w:b/>
        </w:rPr>
        <w:t xml:space="preserve">are monitored as part of the </w:t>
      </w:r>
      <w:r w:rsidR="00C4691D" w:rsidRPr="00ED7AD4">
        <w:rPr>
          <w:b/>
        </w:rPr>
        <w:t xml:space="preserve">Regulation and Quality Improvement </w:t>
      </w:r>
      <w:proofErr w:type="gramStart"/>
      <w:r w:rsidR="00C4691D" w:rsidRPr="00ED7AD4">
        <w:rPr>
          <w:b/>
        </w:rPr>
        <w:t>Authority</w:t>
      </w:r>
      <w:r w:rsidR="00FF20EA" w:rsidRPr="00ED7AD4">
        <w:rPr>
          <w:b/>
        </w:rPr>
        <w:t>’s</w:t>
      </w:r>
      <w:r w:rsidR="00FF20EA">
        <w:t xml:space="preserve"> </w:t>
      </w:r>
      <w:r w:rsidR="004857F5">
        <w:rPr>
          <w:b/>
        </w:rPr>
        <w:t xml:space="preserve"> inspections</w:t>
      </w:r>
      <w:proofErr w:type="gramEnd"/>
      <w:r w:rsidR="004857F5">
        <w:rPr>
          <w:b/>
        </w:rPr>
        <w:t xml:space="preserve"> of care homes. </w:t>
      </w:r>
      <w:r w:rsidR="004F0457">
        <w:rPr>
          <w:b/>
        </w:rPr>
        <w:t xml:space="preserve">Safeguards should also be in place to prevent distress to those who are forced to move home </w:t>
      </w:r>
      <w:r w:rsidR="002E5A1E">
        <w:rPr>
          <w:b/>
        </w:rPr>
        <w:t>because</w:t>
      </w:r>
      <w:r w:rsidR="004F0457">
        <w:rPr>
          <w:b/>
        </w:rPr>
        <w:t xml:space="preserve"> of a closure decision made by the </w:t>
      </w:r>
      <w:r w:rsidR="004F0457" w:rsidRPr="004F0457">
        <w:rPr>
          <w:b/>
        </w:rPr>
        <w:t>Regulation and Quality Improvement Authority</w:t>
      </w:r>
      <w:r w:rsidR="004F0457">
        <w:rPr>
          <w:b/>
        </w:rPr>
        <w:t>.</w:t>
      </w:r>
    </w:p>
    <w:p w14:paraId="66715BA3" w14:textId="77777777" w:rsidR="004B0469" w:rsidRDefault="004B0469" w:rsidP="004B0469">
      <w:pPr>
        <w:pStyle w:val="ListParagraph"/>
      </w:pPr>
    </w:p>
    <w:p w14:paraId="46D6D67F" w14:textId="1C7A0A4E" w:rsidR="00A55F5B" w:rsidRDefault="004B0469" w:rsidP="004857F5">
      <w:pPr>
        <w:numPr>
          <w:ilvl w:val="1"/>
          <w:numId w:val="8"/>
        </w:numPr>
        <w:spacing w:line="360" w:lineRule="auto"/>
        <w:ind w:left="720"/>
        <w:contextualSpacing/>
        <w:jc w:val="both"/>
      </w:pPr>
      <w:r>
        <w:lastRenderedPageBreak/>
        <w:t>The Department is proposing that</w:t>
      </w:r>
      <w:r w:rsidR="008C005D">
        <w:t>,</w:t>
      </w:r>
      <w:r>
        <w:t xml:space="preserve"> </w:t>
      </w:r>
      <w:r w:rsidR="00BE21C4">
        <w:t xml:space="preserve">where a notice to leave has been given, the resident will be given a right to </w:t>
      </w:r>
      <w:proofErr w:type="gramStart"/>
      <w:r w:rsidR="00BE21C4">
        <w:t>appeal</w:t>
      </w:r>
      <w:proofErr w:type="gramEnd"/>
      <w:r w:rsidR="00BE21C4">
        <w:t xml:space="preserve"> and </w:t>
      </w:r>
      <w:r w:rsidR="006D01A7">
        <w:t>i</w:t>
      </w:r>
      <w:r w:rsidR="00BE21C4" w:rsidRPr="00BE21C4">
        <w:t>ndependent advocacy would be made available to the resident and family carer in such a process</w:t>
      </w:r>
      <w:r w:rsidR="00BE21C4">
        <w:t>.</w:t>
      </w:r>
      <w:r w:rsidR="00BE21C4">
        <w:rPr>
          <w:rStyle w:val="FootnoteReference"/>
        </w:rPr>
        <w:footnoteReference w:id="81"/>
      </w:r>
    </w:p>
    <w:p w14:paraId="12618B1F" w14:textId="77777777" w:rsidR="00A55F5B" w:rsidRDefault="00A55F5B" w:rsidP="00A55F5B">
      <w:pPr>
        <w:pStyle w:val="ListParagraph"/>
      </w:pPr>
    </w:p>
    <w:p w14:paraId="748C00EE" w14:textId="072F4E8A" w:rsidR="00A55F5B" w:rsidRPr="00ED7AD4" w:rsidRDefault="008C005D" w:rsidP="004857F5">
      <w:pPr>
        <w:numPr>
          <w:ilvl w:val="1"/>
          <w:numId w:val="8"/>
        </w:numPr>
        <w:spacing w:line="360" w:lineRule="auto"/>
        <w:ind w:left="720"/>
        <w:contextualSpacing/>
        <w:jc w:val="both"/>
      </w:pPr>
      <w:r w:rsidRPr="00ED7AD4">
        <w:t>Accountability and transparency are key features of a human rights based approach</w:t>
      </w:r>
      <w:r w:rsidR="00A63D35" w:rsidRPr="00ED7AD4">
        <w:t>,</w:t>
      </w:r>
      <w:r w:rsidRPr="00ED7AD4">
        <w:rPr>
          <w:rStyle w:val="FootnoteReference"/>
        </w:rPr>
        <w:footnoteReference w:id="82"/>
      </w:r>
      <w:r w:rsidRPr="00ED7AD4">
        <w:t xml:space="preserve"> </w:t>
      </w:r>
      <w:r w:rsidR="00CA7F28" w:rsidRPr="00ED7AD4">
        <w:t>while</w:t>
      </w:r>
      <w:r w:rsidR="00A63D35" w:rsidRPr="00ED7AD4">
        <w:t xml:space="preserve"> access to justice is protected within regional and international human rights mechanisms.</w:t>
      </w:r>
      <w:r w:rsidR="00A63D35" w:rsidRPr="00ED7AD4">
        <w:rPr>
          <w:rStyle w:val="FootnoteReference"/>
        </w:rPr>
        <w:footnoteReference w:id="83"/>
      </w:r>
      <w:r w:rsidR="00943598" w:rsidRPr="00ED7AD4">
        <w:t xml:space="preserve"> </w:t>
      </w:r>
      <w:r w:rsidR="00D02080" w:rsidRPr="00ED7AD4">
        <w:t>Along with the</w:t>
      </w:r>
      <w:r w:rsidR="00943598" w:rsidRPr="00ED7AD4">
        <w:t xml:space="preserve"> right to access the justice system</w:t>
      </w:r>
      <w:r w:rsidR="00D02080" w:rsidRPr="00ED7AD4">
        <w:t>,</w:t>
      </w:r>
      <w:r w:rsidR="00943598" w:rsidRPr="00ED7AD4">
        <w:t xml:space="preserve"> </w:t>
      </w:r>
      <w:r w:rsidR="00D02080" w:rsidRPr="00ED7AD4">
        <w:t>this also includes the right to</w:t>
      </w:r>
      <w:r w:rsidR="00943598" w:rsidRPr="00ED7AD4">
        <w:t xml:space="preserve"> clear and effective complaints mechanisms when accessing statutory care services.</w:t>
      </w:r>
      <w:r w:rsidR="00943598" w:rsidRPr="00ED7AD4">
        <w:rPr>
          <w:rStyle w:val="FootnoteReference"/>
        </w:rPr>
        <w:footnoteReference w:id="84"/>
      </w:r>
      <w:r w:rsidR="00943598" w:rsidRPr="00ED7AD4">
        <w:t xml:space="preserve"> </w:t>
      </w:r>
      <w:r w:rsidR="00CA7F28" w:rsidRPr="00ED7AD4">
        <w:t xml:space="preserve">This applies not only to a decision in relation to a care home resident having to move home, but to decisions made throughout the social care system. For example, the </w:t>
      </w:r>
      <w:r w:rsidR="00FF20EA" w:rsidRPr="00ED7AD4">
        <w:t>UN CRPD Committee</w:t>
      </w:r>
      <w:r w:rsidR="00CA7F28" w:rsidRPr="00ED7AD4">
        <w:t xml:space="preserve"> has held that “</w:t>
      </w:r>
      <w:r w:rsidR="0023151D" w:rsidRPr="00ED7AD4">
        <w:t xml:space="preserve">States </w:t>
      </w:r>
      <w:r w:rsidR="00FF20EA" w:rsidRPr="00ED7AD4">
        <w:t>P</w:t>
      </w:r>
      <w:r w:rsidR="0023151D" w:rsidRPr="00ED7AD4">
        <w:t>arties must...</w:t>
      </w:r>
      <w:r w:rsidR="00CA7F28" w:rsidRPr="00ED7AD4">
        <w:t>ensure that all decisions concerning living independently in the community can be appealed</w:t>
      </w:r>
      <w:r w:rsidR="0023151D" w:rsidRPr="00ED7AD4">
        <w:t>”</w:t>
      </w:r>
      <w:r w:rsidR="0023151D" w:rsidRPr="00ED7AD4">
        <w:rPr>
          <w:rStyle w:val="FootnoteReference"/>
        </w:rPr>
        <w:footnoteReference w:id="85"/>
      </w:r>
      <w:r w:rsidR="00CA7F28" w:rsidRPr="00ED7AD4">
        <w:t xml:space="preserve"> and that “</w:t>
      </w:r>
      <w:r w:rsidR="0023151D" w:rsidRPr="00ED7AD4">
        <w:t>[s]</w:t>
      </w:r>
      <w:proofErr w:type="spellStart"/>
      <w:r w:rsidR="0023151D" w:rsidRPr="00ED7AD4">
        <w:t>upport</w:t>
      </w:r>
      <w:proofErr w:type="spellEnd"/>
      <w:r w:rsidR="0023151D" w:rsidRPr="00ED7AD4">
        <w:t xml:space="preserve"> </w:t>
      </w:r>
      <w:r w:rsidR="00CA7F28" w:rsidRPr="00ED7AD4">
        <w:t>to enable living independently in the community shall be enforceable as a right and an entitlement”.</w:t>
      </w:r>
      <w:r w:rsidR="0023151D" w:rsidRPr="00ED7AD4">
        <w:rPr>
          <w:rStyle w:val="FootnoteReference"/>
        </w:rPr>
        <w:footnoteReference w:id="86"/>
      </w:r>
    </w:p>
    <w:p w14:paraId="0B643345" w14:textId="77777777" w:rsidR="00CA7F28" w:rsidRDefault="00CA7F28" w:rsidP="00CA7F28">
      <w:pPr>
        <w:pStyle w:val="ListParagraph"/>
      </w:pPr>
    </w:p>
    <w:p w14:paraId="52CEFC86" w14:textId="60D37D95" w:rsidR="00CA7F28" w:rsidRDefault="0023151D" w:rsidP="004857F5">
      <w:pPr>
        <w:numPr>
          <w:ilvl w:val="1"/>
          <w:numId w:val="8"/>
        </w:numPr>
        <w:spacing w:line="360" w:lineRule="auto"/>
        <w:ind w:left="720"/>
        <w:contextualSpacing/>
        <w:jc w:val="both"/>
        <w:rPr>
          <w:b/>
        </w:rPr>
      </w:pPr>
      <w:r w:rsidRPr="00D02080">
        <w:rPr>
          <w:b/>
        </w:rPr>
        <w:t xml:space="preserve">The </w:t>
      </w:r>
      <w:r w:rsidR="00FF20EA">
        <w:rPr>
          <w:b/>
        </w:rPr>
        <w:t>NIHRC</w:t>
      </w:r>
      <w:r w:rsidRPr="00D02080">
        <w:rPr>
          <w:b/>
        </w:rPr>
        <w:t xml:space="preserve"> recommends that the </w:t>
      </w:r>
      <w:r w:rsidR="00FF20EA">
        <w:rPr>
          <w:b/>
        </w:rPr>
        <w:t>Department of H</w:t>
      </w:r>
      <w:r w:rsidR="002C259D">
        <w:rPr>
          <w:b/>
        </w:rPr>
        <w:t>ealth ensures that the strategy</w:t>
      </w:r>
      <w:r w:rsidRPr="00D02080">
        <w:rPr>
          <w:b/>
        </w:rPr>
        <w:t xml:space="preserve"> includes </w:t>
      </w:r>
      <w:r w:rsidR="009B1219" w:rsidRPr="00D02080">
        <w:rPr>
          <w:b/>
        </w:rPr>
        <w:t xml:space="preserve">a </w:t>
      </w:r>
      <w:r w:rsidRPr="00D02080">
        <w:rPr>
          <w:b/>
        </w:rPr>
        <w:t>clear</w:t>
      </w:r>
      <w:r w:rsidR="00EE5908">
        <w:rPr>
          <w:b/>
        </w:rPr>
        <w:t xml:space="preserve">, </w:t>
      </w:r>
      <w:r w:rsidR="00DA7D75">
        <w:rPr>
          <w:b/>
        </w:rPr>
        <w:t>expeditious</w:t>
      </w:r>
      <w:r w:rsidR="00DA7D75" w:rsidRPr="00D02080">
        <w:rPr>
          <w:b/>
        </w:rPr>
        <w:t xml:space="preserve"> </w:t>
      </w:r>
      <w:r w:rsidR="009B1219" w:rsidRPr="00D02080">
        <w:rPr>
          <w:b/>
        </w:rPr>
        <w:t xml:space="preserve">complaints mechanism </w:t>
      </w:r>
      <w:r w:rsidR="00BB744D">
        <w:rPr>
          <w:b/>
        </w:rPr>
        <w:t xml:space="preserve">that is accessible and includes </w:t>
      </w:r>
      <w:r w:rsidR="001517D9">
        <w:rPr>
          <w:b/>
        </w:rPr>
        <w:t xml:space="preserve">a </w:t>
      </w:r>
      <w:r w:rsidR="00B47EE2">
        <w:rPr>
          <w:b/>
        </w:rPr>
        <w:t xml:space="preserve">transparent and meaningful </w:t>
      </w:r>
      <w:r w:rsidR="00DA7D75">
        <w:rPr>
          <w:b/>
        </w:rPr>
        <w:t xml:space="preserve">process by which to </w:t>
      </w:r>
      <w:r w:rsidRPr="00D02080">
        <w:rPr>
          <w:b/>
        </w:rPr>
        <w:t>appeal decision</w:t>
      </w:r>
      <w:r w:rsidR="009B1219" w:rsidRPr="00D02080">
        <w:rPr>
          <w:b/>
        </w:rPr>
        <w:t>s</w:t>
      </w:r>
      <w:r w:rsidR="00015300">
        <w:rPr>
          <w:b/>
        </w:rPr>
        <w:t xml:space="preserve">. </w:t>
      </w:r>
      <w:r w:rsidR="009B1219" w:rsidRPr="00D02080">
        <w:rPr>
          <w:b/>
        </w:rPr>
        <w:t xml:space="preserve">The Strategy should </w:t>
      </w:r>
      <w:r w:rsidR="00EE5908">
        <w:rPr>
          <w:b/>
        </w:rPr>
        <w:t>include a commitment that comprehensive</w:t>
      </w:r>
      <w:r w:rsidR="004655B9">
        <w:rPr>
          <w:b/>
        </w:rPr>
        <w:t>, fully accessible</w:t>
      </w:r>
      <w:r w:rsidR="009B1219" w:rsidRPr="00D02080">
        <w:rPr>
          <w:b/>
        </w:rPr>
        <w:t xml:space="preserve"> information</w:t>
      </w:r>
      <w:r w:rsidR="00D02080">
        <w:rPr>
          <w:b/>
        </w:rPr>
        <w:t xml:space="preserve"> on these processes</w:t>
      </w:r>
      <w:r w:rsidR="009B1219" w:rsidRPr="00D02080">
        <w:rPr>
          <w:b/>
        </w:rPr>
        <w:t xml:space="preserve"> is available</w:t>
      </w:r>
      <w:r w:rsidR="00140684">
        <w:rPr>
          <w:b/>
        </w:rPr>
        <w:t xml:space="preserve"> </w:t>
      </w:r>
      <w:r w:rsidR="009B1219" w:rsidRPr="00D02080">
        <w:rPr>
          <w:b/>
        </w:rPr>
        <w:t xml:space="preserve">to </w:t>
      </w:r>
      <w:r w:rsidR="00D02080">
        <w:rPr>
          <w:b/>
        </w:rPr>
        <w:t>those</w:t>
      </w:r>
      <w:r w:rsidR="009B1219" w:rsidRPr="00D02080">
        <w:rPr>
          <w:b/>
        </w:rPr>
        <w:t xml:space="preserve"> availing of social care services and their </w:t>
      </w:r>
      <w:proofErr w:type="spellStart"/>
      <w:r w:rsidR="009B1219" w:rsidRPr="00D02080">
        <w:rPr>
          <w:b/>
        </w:rPr>
        <w:t>carers</w:t>
      </w:r>
      <w:proofErr w:type="spellEnd"/>
      <w:r w:rsidR="009B1219" w:rsidRPr="00D02080">
        <w:rPr>
          <w:b/>
        </w:rPr>
        <w:t xml:space="preserve">. </w:t>
      </w:r>
    </w:p>
    <w:p w14:paraId="62922D59" w14:textId="77777777" w:rsidR="00015300" w:rsidRDefault="00015300" w:rsidP="00015300">
      <w:pPr>
        <w:pStyle w:val="ListParagraph"/>
        <w:rPr>
          <w:b/>
        </w:rPr>
      </w:pPr>
    </w:p>
    <w:p w14:paraId="45755DF8" w14:textId="49746F8D" w:rsidR="00EC512D" w:rsidRPr="00EC512D" w:rsidRDefault="00015300" w:rsidP="004857F5">
      <w:pPr>
        <w:numPr>
          <w:ilvl w:val="1"/>
          <w:numId w:val="8"/>
        </w:numPr>
        <w:spacing w:line="360" w:lineRule="auto"/>
        <w:ind w:left="720"/>
        <w:contextualSpacing/>
        <w:jc w:val="both"/>
        <w:rPr>
          <w:b/>
        </w:rPr>
      </w:pPr>
      <w:r w:rsidRPr="00015300">
        <w:lastRenderedPageBreak/>
        <w:t xml:space="preserve">The </w:t>
      </w:r>
      <w:r w:rsidR="00EC512D">
        <w:t>NIHRC</w:t>
      </w:r>
      <w:r w:rsidRPr="00015300">
        <w:t xml:space="preserve"> welcomes the provision of independent advocacy services to those who have been given notice to leave their place of residence.</w:t>
      </w:r>
      <w:r>
        <w:t xml:space="preserve"> The </w:t>
      </w:r>
      <w:r w:rsidR="00EC512D">
        <w:t>NIHRC</w:t>
      </w:r>
      <w:r>
        <w:t xml:space="preserve"> notes that the consultation document </w:t>
      </w:r>
      <w:r w:rsidR="001E36E6">
        <w:t xml:space="preserve">in some instances suggests that </w:t>
      </w:r>
      <w:r>
        <w:t>the strategy will “</w:t>
      </w:r>
      <w:r w:rsidRPr="00015300">
        <w:t>provide independent advocacy for service users and family carers</w:t>
      </w:r>
      <w:r>
        <w:t>”</w:t>
      </w:r>
      <w:r w:rsidR="001E36E6">
        <w:t>,</w:t>
      </w:r>
      <w:r>
        <w:rPr>
          <w:rStyle w:val="FootnoteReference"/>
        </w:rPr>
        <w:footnoteReference w:id="87"/>
      </w:r>
      <w:r w:rsidR="001E36E6">
        <w:t xml:space="preserve"> while other instances it indicates that this will be available “</w:t>
      </w:r>
      <w:r w:rsidR="001E36E6" w:rsidRPr="001E36E6">
        <w:t>where a person would otherwise be unable to participate in decisions about their care and where there are no informal advocates such as family members available</w:t>
      </w:r>
      <w:r w:rsidR="001E36E6">
        <w:t>”.</w:t>
      </w:r>
      <w:r w:rsidR="001E36E6">
        <w:rPr>
          <w:rStyle w:val="FootnoteReference"/>
        </w:rPr>
        <w:footnoteReference w:id="88"/>
      </w:r>
      <w:r w:rsidR="005C165A">
        <w:t xml:space="preserve"> </w:t>
      </w:r>
    </w:p>
    <w:p w14:paraId="42A2DD0B" w14:textId="77777777" w:rsidR="00EC512D" w:rsidRDefault="00EC512D" w:rsidP="00EC512D">
      <w:pPr>
        <w:pStyle w:val="ListParagraph"/>
        <w:rPr>
          <w:b/>
        </w:rPr>
      </w:pPr>
    </w:p>
    <w:p w14:paraId="493D6978" w14:textId="032DA26F" w:rsidR="00EC512D" w:rsidRPr="00EC512D" w:rsidRDefault="00EC512D" w:rsidP="004857F5">
      <w:pPr>
        <w:numPr>
          <w:ilvl w:val="1"/>
          <w:numId w:val="8"/>
        </w:numPr>
        <w:spacing w:line="360" w:lineRule="auto"/>
        <w:ind w:left="720"/>
        <w:contextualSpacing/>
        <w:jc w:val="both"/>
        <w:rPr>
          <w:bCs/>
        </w:rPr>
      </w:pPr>
      <w:r>
        <w:rPr>
          <w:b/>
        </w:rPr>
        <w:t xml:space="preserve"> </w:t>
      </w:r>
      <w:r w:rsidRPr="00EC512D">
        <w:rPr>
          <w:bCs/>
        </w:rPr>
        <w:t xml:space="preserve">The NIHRC is aware that </w:t>
      </w:r>
      <w:r w:rsidR="005C165A" w:rsidRPr="00EC512D">
        <w:rPr>
          <w:bCs/>
        </w:rPr>
        <w:t xml:space="preserve">those in receipt of social care may be reluctant to complain </w:t>
      </w:r>
      <w:proofErr w:type="gramStart"/>
      <w:r w:rsidR="005C165A" w:rsidRPr="00EC512D">
        <w:rPr>
          <w:bCs/>
        </w:rPr>
        <w:t>for</w:t>
      </w:r>
      <w:proofErr w:type="gramEnd"/>
      <w:r w:rsidR="005C165A" w:rsidRPr="00EC512D">
        <w:rPr>
          <w:bCs/>
        </w:rPr>
        <w:t xml:space="preserve"> a variety of reasons</w:t>
      </w:r>
      <w:r w:rsidRPr="00EC512D">
        <w:rPr>
          <w:bCs/>
        </w:rPr>
        <w:t>.</w:t>
      </w:r>
      <w:r w:rsidR="005C165A" w:rsidRPr="00EC512D">
        <w:rPr>
          <w:rStyle w:val="FootnoteReference"/>
          <w:bCs/>
        </w:rPr>
        <w:footnoteReference w:id="89"/>
      </w:r>
    </w:p>
    <w:p w14:paraId="5404055F" w14:textId="77777777" w:rsidR="00EC512D" w:rsidRDefault="00EC512D" w:rsidP="00EC512D">
      <w:pPr>
        <w:pStyle w:val="ListParagraph"/>
        <w:rPr>
          <w:b/>
        </w:rPr>
      </w:pPr>
    </w:p>
    <w:p w14:paraId="40E5E648" w14:textId="27F846A3" w:rsidR="00015300" w:rsidRPr="00FC26C8" w:rsidRDefault="009D6DA7" w:rsidP="004857F5">
      <w:pPr>
        <w:numPr>
          <w:ilvl w:val="1"/>
          <w:numId w:val="8"/>
        </w:numPr>
        <w:spacing w:line="360" w:lineRule="auto"/>
        <w:ind w:left="720"/>
        <w:contextualSpacing/>
        <w:jc w:val="both"/>
        <w:rPr>
          <w:b/>
        </w:rPr>
      </w:pPr>
      <w:r>
        <w:rPr>
          <w:b/>
        </w:rPr>
        <w:t>T</w:t>
      </w:r>
      <w:r w:rsidR="00FC26C8" w:rsidRPr="00FC26C8">
        <w:rPr>
          <w:b/>
        </w:rPr>
        <w:t xml:space="preserve">he </w:t>
      </w:r>
      <w:r>
        <w:rPr>
          <w:b/>
        </w:rPr>
        <w:t>NIHRC</w:t>
      </w:r>
      <w:r w:rsidR="00FC26C8" w:rsidRPr="00FC26C8">
        <w:rPr>
          <w:b/>
        </w:rPr>
        <w:t xml:space="preserve"> recommends</w:t>
      </w:r>
      <w:r w:rsidR="005C165A" w:rsidRPr="00FC26C8">
        <w:rPr>
          <w:b/>
        </w:rPr>
        <w:t xml:space="preserve"> that </w:t>
      </w:r>
      <w:r>
        <w:rPr>
          <w:b/>
        </w:rPr>
        <w:t xml:space="preserve">the Department of Health ensure that fully accessible, </w:t>
      </w:r>
      <w:r w:rsidR="005C165A" w:rsidRPr="00FC26C8">
        <w:rPr>
          <w:b/>
        </w:rPr>
        <w:t xml:space="preserve">independent advocacy services </w:t>
      </w:r>
      <w:r>
        <w:rPr>
          <w:b/>
        </w:rPr>
        <w:t>are</w:t>
      </w:r>
      <w:r w:rsidR="005C165A" w:rsidRPr="00FC26C8">
        <w:rPr>
          <w:b/>
        </w:rPr>
        <w:t xml:space="preserve"> available to everyone supported within the social care system.</w:t>
      </w:r>
    </w:p>
    <w:p w14:paraId="472DFE02" w14:textId="799ADDBB" w:rsidR="00943598" w:rsidRDefault="00943598" w:rsidP="00943598">
      <w:pPr>
        <w:spacing w:line="360" w:lineRule="auto"/>
        <w:contextualSpacing/>
        <w:jc w:val="both"/>
      </w:pPr>
    </w:p>
    <w:p w14:paraId="2ABF9494" w14:textId="77777777" w:rsidR="00BC1272" w:rsidRDefault="00BC1272" w:rsidP="00BC1272">
      <w:pPr>
        <w:pStyle w:val="ListParagraph"/>
      </w:pPr>
    </w:p>
    <w:p w14:paraId="04F42185" w14:textId="77777777" w:rsidR="00BE21C4" w:rsidRPr="00CA7F28" w:rsidRDefault="00BE21C4" w:rsidP="00CA7F28"/>
    <w:p w14:paraId="24B69DBF" w14:textId="77777777" w:rsidR="00BE21C4" w:rsidRPr="009461D8" w:rsidRDefault="00BE21C4" w:rsidP="00F07200">
      <w:pPr>
        <w:spacing w:line="360" w:lineRule="auto"/>
        <w:ind w:left="720"/>
        <w:contextualSpacing/>
        <w:jc w:val="both"/>
      </w:pPr>
    </w:p>
    <w:p w14:paraId="0CCE653B" w14:textId="77777777" w:rsidR="00594414" w:rsidRDefault="00594414" w:rsidP="00331C61">
      <w:pPr>
        <w:pStyle w:val="BasicParagraph"/>
        <w:suppressAutoHyphens/>
        <w:rPr>
          <w:rFonts w:ascii="Verdana" w:hAnsi="Verdana" w:cs="Arial"/>
          <w:color w:val="232120"/>
          <w:sz w:val="20"/>
          <w:szCs w:val="20"/>
        </w:rPr>
      </w:pPr>
    </w:p>
    <w:p w14:paraId="650E4ECA" w14:textId="77777777" w:rsidR="00594414" w:rsidRDefault="00594414" w:rsidP="00331C61">
      <w:pPr>
        <w:pStyle w:val="BasicParagraph"/>
        <w:suppressAutoHyphens/>
        <w:rPr>
          <w:rFonts w:ascii="Verdana" w:hAnsi="Verdana" w:cs="Arial"/>
          <w:color w:val="232120"/>
          <w:sz w:val="20"/>
          <w:szCs w:val="20"/>
        </w:rPr>
      </w:pPr>
    </w:p>
    <w:p w14:paraId="70F18AB9" w14:textId="77777777" w:rsidR="003B7D0E" w:rsidRPr="00331C61" w:rsidRDefault="003B7D0E" w:rsidP="00331C61">
      <w:pPr>
        <w:pStyle w:val="BasicParagraph"/>
        <w:suppressAutoHyphens/>
        <w:rPr>
          <w:rFonts w:ascii="Verdana" w:hAnsi="Verdana" w:cs="Arial"/>
          <w:color w:val="232120"/>
          <w:sz w:val="20"/>
          <w:szCs w:val="20"/>
        </w:rPr>
      </w:pPr>
    </w:p>
    <w:p w14:paraId="7D63D842" w14:textId="77777777" w:rsidR="003B7D0E" w:rsidRDefault="003B7D0E" w:rsidP="003B7D0E">
      <w:pPr>
        <w:pStyle w:val="BasicParagraph"/>
        <w:suppressAutoHyphens/>
        <w:jc w:val="center"/>
        <w:rPr>
          <w:rFonts w:ascii="Verdana" w:hAnsi="Verdana" w:cs="Arial"/>
          <w:color w:val="3C3C3B"/>
          <w:sz w:val="20"/>
          <w:szCs w:val="20"/>
        </w:rPr>
      </w:pPr>
    </w:p>
    <w:p w14:paraId="1E1AC3A7" w14:textId="6830E74F" w:rsidR="0054010B" w:rsidRDefault="0054010B" w:rsidP="00527AF4">
      <w:pPr>
        <w:pStyle w:val="BasicParagraph"/>
        <w:suppressAutoHyphens/>
        <w:rPr>
          <w:rFonts w:ascii="Verdana" w:hAnsi="Verdana" w:cs="Arial"/>
          <w:color w:val="3C3C3B"/>
          <w:sz w:val="20"/>
          <w:szCs w:val="20"/>
        </w:rPr>
      </w:pPr>
    </w:p>
    <w:p w14:paraId="3726B3E4" w14:textId="798BC945" w:rsidR="00A36A50" w:rsidRDefault="00A36A50" w:rsidP="00527AF4">
      <w:pPr>
        <w:pStyle w:val="BasicParagraph"/>
        <w:suppressAutoHyphens/>
        <w:rPr>
          <w:rFonts w:ascii="Verdana" w:hAnsi="Verdana" w:cs="Arial"/>
          <w:color w:val="3C3C3B"/>
          <w:sz w:val="20"/>
          <w:szCs w:val="20"/>
        </w:rPr>
      </w:pPr>
    </w:p>
    <w:p w14:paraId="02B556A7" w14:textId="31994947" w:rsidR="00A36A50" w:rsidRDefault="00A36A50" w:rsidP="00527AF4">
      <w:pPr>
        <w:pStyle w:val="BasicParagraph"/>
        <w:suppressAutoHyphens/>
        <w:rPr>
          <w:rFonts w:ascii="Verdana" w:hAnsi="Verdana" w:cs="Arial"/>
          <w:color w:val="3C3C3B"/>
          <w:sz w:val="20"/>
          <w:szCs w:val="20"/>
        </w:rPr>
      </w:pPr>
    </w:p>
    <w:p w14:paraId="609CE3FC" w14:textId="478DC86F" w:rsidR="00A36A50" w:rsidRDefault="00A36A50" w:rsidP="00527AF4">
      <w:pPr>
        <w:pStyle w:val="BasicParagraph"/>
        <w:suppressAutoHyphens/>
        <w:rPr>
          <w:rFonts w:ascii="Verdana" w:hAnsi="Verdana" w:cs="Arial"/>
          <w:color w:val="3C3C3B"/>
          <w:sz w:val="20"/>
          <w:szCs w:val="20"/>
        </w:rPr>
      </w:pPr>
    </w:p>
    <w:p w14:paraId="254F1867" w14:textId="4C958C52" w:rsidR="00A36A50" w:rsidRDefault="00A36A50" w:rsidP="00527AF4">
      <w:pPr>
        <w:pStyle w:val="BasicParagraph"/>
        <w:suppressAutoHyphens/>
        <w:rPr>
          <w:rFonts w:ascii="Verdana" w:hAnsi="Verdana" w:cs="Arial"/>
          <w:color w:val="3C3C3B"/>
          <w:sz w:val="20"/>
          <w:szCs w:val="20"/>
        </w:rPr>
      </w:pPr>
    </w:p>
    <w:p w14:paraId="20350480" w14:textId="462B701E" w:rsidR="00A36A50" w:rsidRDefault="00A36A50" w:rsidP="00527AF4">
      <w:pPr>
        <w:pStyle w:val="BasicParagraph"/>
        <w:suppressAutoHyphens/>
        <w:rPr>
          <w:rFonts w:ascii="Verdana" w:hAnsi="Verdana" w:cs="Arial"/>
          <w:color w:val="3C3C3B"/>
          <w:sz w:val="20"/>
          <w:szCs w:val="20"/>
        </w:rPr>
      </w:pPr>
    </w:p>
    <w:p w14:paraId="0B78F629" w14:textId="0CCBA72D" w:rsidR="00A36A50" w:rsidRDefault="00A36A50" w:rsidP="00527AF4">
      <w:pPr>
        <w:pStyle w:val="BasicParagraph"/>
        <w:suppressAutoHyphens/>
        <w:rPr>
          <w:rFonts w:ascii="Verdana" w:hAnsi="Verdana" w:cs="Arial"/>
          <w:color w:val="3C3C3B"/>
          <w:sz w:val="20"/>
          <w:szCs w:val="20"/>
        </w:rPr>
      </w:pPr>
    </w:p>
    <w:p w14:paraId="7BD921C4" w14:textId="6F090A98" w:rsidR="00A36A50" w:rsidRDefault="00A36A50" w:rsidP="00527AF4">
      <w:pPr>
        <w:pStyle w:val="BasicParagraph"/>
        <w:suppressAutoHyphens/>
        <w:rPr>
          <w:rFonts w:ascii="Verdana" w:hAnsi="Verdana" w:cs="Arial"/>
          <w:color w:val="3C3C3B"/>
          <w:sz w:val="20"/>
          <w:szCs w:val="20"/>
        </w:rPr>
      </w:pPr>
    </w:p>
    <w:p w14:paraId="48E84FCC" w14:textId="6E25747A" w:rsidR="00A36A50" w:rsidRDefault="00A36A50" w:rsidP="00527AF4">
      <w:pPr>
        <w:pStyle w:val="BasicParagraph"/>
        <w:suppressAutoHyphens/>
        <w:rPr>
          <w:rFonts w:ascii="Verdana" w:hAnsi="Verdana" w:cs="Arial"/>
          <w:color w:val="3C3C3B"/>
          <w:sz w:val="20"/>
          <w:szCs w:val="20"/>
        </w:rPr>
      </w:pPr>
    </w:p>
    <w:p w14:paraId="2DF26601" w14:textId="250DC1A4" w:rsidR="00A36A50" w:rsidRDefault="00A36A50" w:rsidP="00527AF4">
      <w:pPr>
        <w:pStyle w:val="BasicParagraph"/>
        <w:suppressAutoHyphens/>
        <w:rPr>
          <w:rFonts w:ascii="Verdana" w:hAnsi="Verdana" w:cs="Arial"/>
          <w:color w:val="3C3C3B"/>
          <w:sz w:val="20"/>
          <w:szCs w:val="20"/>
        </w:rPr>
      </w:pPr>
    </w:p>
    <w:p w14:paraId="1BCA75BD" w14:textId="7300B20C" w:rsidR="00A36A50" w:rsidRDefault="00A36A50" w:rsidP="00527AF4">
      <w:pPr>
        <w:pStyle w:val="BasicParagraph"/>
        <w:suppressAutoHyphens/>
        <w:rPr>
          <w:rFonts w:ascii="Verdana" w:hAnsi="Verdana" w:cs="Arial"/>
          <w:color w:val="3C3C3B"/>
          <w:sz w:val="20"/>
          <w:szCs w:val="20"/>
        </w:rPr>
      </w:pPr>
    </w:p>
    <w:p w14:paraId="7CBB7E0D" w14:textId="7F800F7C" w:rsidR="00A36A50" w:rsidRDefault="00A36A50" w:rsidP="00527AF4">
      <w:pPr>
        <w:pStyle w:val="BasicParagraph"/>
        <w:suppressAutoHyphens/>
        <w:rPr>
          <w:rFonts w:ascii="Verdana" w:hAnsi="Verdana" w:cs="Arial"/>
          <w:color w:val="3C3C3B"/>
          <w:sz w:val="20"/>
          <w:szCs w:val="20"/>
        </w:rPr>
      </w:pPr>
    </w:p>
    <w:p w14:paraId="6EDF0C11" w14:textId="00913FE4" w:rsidR="00A36A50" w:rsidRDefault="00A36A50" w:rsidP="00527AF4">
      <w:pPr>
        <w:pStyle w:val="BasicParagraph"/>
        <w:suppressAutoHyphens/>
        <w:rPr>
          <w:rFonts w:ascii="Verdana" w:hAnsi="Verdana" w:cs="Arial"/>
          <w:color w:val="3C3C3B"/>
          <w:sz w:val="20"/>
          <w:szCs w:val="20"/>
        </w:rPr>
      </w:pPr>
    </w:p>
    <w:p w14:paraId="5F4CCBDE" w14:textId="3099436B" w:rsidR="00A36A50" w:rsidRDefault="00A36A50" w:rsidP="00527AF4">
      <w:pPr>
        <w:pStyle w:val="BasicParagraph"/>
        <w:suppressAutoHyphens/>
        <w:rPr>
          <w:rFonts w:ascii="Verdana" w:hAnsi="Verdana" w:cs="Arial"/>
          <w:color w:val="3C3C3B"/>
          <w:sz w:val="20"/>
          <w:szCs w:val="20"/>
        </w:rPr>
      </w:pPr>
    </w:p>
    <w:p w14:paraId="02BC318C" w14:textId="77777777" w:rsidR="00A36A50" w:rsidRDefault="00A36A50" w:rsidP="00527AF4">
      <w:pPr>
        <w:pStyle w:val="BasicParagraph"/>
        <w:suppressAutoHyphens/>
        <w:rPr>
          <w:rFonts w:ascii="Verdana" w:hAnsi="Verdana" w:cs="Arial"/>
          <w:color w:val="3C3C3B"/>
          <w:sz w:val="20"/>
          <w:szCs w:val="20"/>
        </w:rPr>
      </w:pPr>
    </w:p>
    <w:p w14:paraId="2E2FEF65" w14:textId="479AF8F3" w:rsidR="009C0C6F" w:rsidRDefault="009C0C6F" w:rsidP="003B7D0E">
      <w:pPr>
        <w:pStyle w:val="BasicParagraph"/>
        <w:suppressAutoHyphens/>
        <w:jc w:val="center"/>
        <w:rPr>
          <w:rFonts w:ascii="Verdana" w:hAnsi="Verdana" w:cs="Arial"/>
          <w:color w:val="3C3C3B"/>
          <w:sz w:val="20"/>
          <w:szCs w:val="20"/>
        </w:rPr>
      </w:pPr>
    </w:p>
    <w:p w14:paraId="1F4D65EF" w14:textId="0FAEC04E" w:rsidR="009C0C6F" w:rsidRDefault="009C0C6F" w:rsidP="003B7D0E">
      <w:pPr>
        <w:pStyle w:val="BasicParagraph"/>
        <w:suppressAutoHyphens/>
        <w:jc w:val="center"/>
        <w:rPr>
          <w:rFonts w:ascii="Verdana" w:hAnsi="Verdana" w:cs="Arial"/>
          <w:color w:val="3C3C3B"/>
          <w:sz w:val="20"/>
          <w:szCs w:val="20"/>
        </w:rPr>
      </w:pPr>
    </w:p>
    <w:p w14:paraId="6E8F2A9F" w14:textId="77777777" w:rsidR="00943913" w:rsidRDefault="00943913" w:rsidP="003B7D0E">
      <w:pPr>
        <w:pStyle w:val="BasicParagraph"/>
        <w:suppressAutoHyphens/>
        <w:jc w:val="center"/>
        <w:rPr>
          <w:rFonts w:ascii="Verdana" w:hAnsi="Verdana" w:cs="Arial"/>
          <w:color w:val="3C3C3B"/>
          <w:sz w:val="20"/>
          <w:szCs w:val="20"/>
        </w:rPr>
      </w:pPr>
    </w:p>
    <w:p w14:paraId="05631658" w14:textId="77777777" w:rsidR="00943913" w:rsidRDefault="00943913" w:rsidP="003B7D0E">
      <w:pPr>
        <w:pStyle w:val="BasicParagraph"/>
        <w:suppressAutoHyphens/>
        <w:jc w:val="center"/>
        <w:rPr>
          <w:rFonts w:ascii="Verdana" w:hAnsi="Verdana" w:cs="Arial"/>
          <w:color w:val="3C3C3B"/>
          <w:sz w:val="20"/>
          <w:szCs w:val="20"/>
        </w:rPr>
      </w:pPr>
    </w:p>
    <w:p w14:paraId="5F078451" w14:textId="77777777" w:rsidR="00560E91" w:rsidRDefault="00560E91" w:rsidP="00943913">
      <w:pPr>
        <w:pStyle w:val="BasicParagraph"/>
        <w:suppressAutoHyphens/>
        <w:ind w:left="709" w:hanging="709"/>
        <w:jc w:val="center"/>
        <w:rPr>
          <w:rFonts w:ascii="Verdana" w:hAnsi="Verdana" w:cs="Arial"/>
          <w:b/>
          <w:bCs/>
          <w:color w:val="77328A"/>
          <w:sz w:val="36"/>
          <w:szCs w:val="36"/>
        </w:rPr>
      </w:pPr>
    </w:p>
    <w:p w14:paraId="57DDA149" w14:textId="69AF5123" w:rsidR="00EC12D7" w:rsidRDefault="00EC12D7" w:rsidP="002E5A1E">
      <w:pPr>
        <w:pStyle w:val="BasicParagraph"/>
        <w:suppressAutoHyphens/>
        <w:rPr>
          <w:rFonts w:ascii="Verdana" w:hAnsi="Verdana" w:cs="Arial"/>
          <w:b/>
          <w:bCs/>
          <w:color w:val="77328A"/>
          <w:sz w:val="36"/>
          <w:szCs w:val="36"/>
        </w:rPr>
      </w:pPr>
    </w:p>
    <w:p w14:paraId="36EEC258" w14:textId="77777777" w:rsidR="00EC12D7" w:rsidRDefault="00EC12D7" w:rsidP="00943913">
      <w:pPr>
        <w:pStyle w:val="BasicParagraph"/>
        <w:suppressAutoHyphens/>
        <w:ind w:left="709" w:hanging="709"/>
        <w:jc w:val="center"/>
        <w:rPr>
          <w:rFonts w:ascii="Verdana" w:hAnsi="Verdana" w:cs="Arial"/>
          <w:b/>
          <w:bCs/>
          <w:color w:val="77328A"/>
          <w:sz w:val="36"/>
          <w:szCs w:val="36"/>
        </w:rPr>
      </w:pPr>
    </w:p>
    <w:p w14:paraId="74EF7625" w14:textId="77777777" w:rsidR="00EC12D7" w:rsidRDefault="00EC12D7" w:rsidP="00943913">
      <w:pPr>
        <w:pStyle w:val="BasicParagraph"/>
        <w:suppressAutoHyphens/>
        <w:ind w:left="709" w:hanging="709"/>
        <w:jc w:val="center"/>
        <w:rPr>
          <w:rFonts w:ascii="Verdana" w:hAnsi="Verdana" w:cs="Arial"/>
          <w:b/>
          <w:bCs/>
          <w:color w:val="77328A"/>
          <w:sz w:val="36"/>
          <w:szCs w:val="36"/>
        </w:rPr>
      </w:pPr>
    </w:p>
    <w:p w14:paraId="455CD5C1" w14:textId="00A27F04" w:rsidR="00943913" w:rsidRPr="00331C61" w:rsidRDefault="00943913" w:rsidP="00943913">
      <w:pPr>
        <w:pStyle w:val="BasicParagraph"/>
        <w:suppressAutoHyphens/>
        <w:ind w:left="709" w:hanging="709"/>
        <w:jc w:val="center"/>
        <w:rPr>
          <w:rFonts w:ascii="Verdana" w:hAnsi="Verdana" w:cs="Arial"/>
          <w:b/>
          <w:bCs/>
          <w:color w:val="77328A"/>
          <w:sz w:val="36"/>
          <w:szCs w:val="36"/>
        </w:rPr>
      </w:pPr>
      <w:r w:rsidRPr="00331C61">
        <w:rPr>
          <w:rFonts w:ascii="Verdana" w:hAnsi="Verdana" w:cs="Arial"/>
          <w:b/>
          <w:bCs/>
          <w:color w:val="77328A"/>
          <w:sz w:val="36"/>
          <w:szCs w:val="36"/>
        </w:rPr>
        <w:t>Co</w:t>
      </w:r>
      <w:r>
        <w:rPr>
          <w:rFonts w:ascii="Verdana" w:hAnsi="Verdana" w:cs="Arial"/>
          <w:b/>
          <w:bCs/>
          <w:color w:val="77328A"/>
          <w:sz w:val="36"/>
          <w:szCs w:val="36"/>
        </w:rPr>
        <w:t xml:space="preserve">ntact us </w:t>
      </w:r>
    </w:p>
    <w:p w14:paraId="15813843" w14:textId="77777777" w:rsidR="00943913" w:rsidRPr="00331C61" w:rsidRDefault="00943913" w:rsidP="00943913">
      <w:pPr>
        <w:ind w:left="709" w:hanging="709"/>
        <w:jc w:val="center"/>
        <w:rPr>
          <w:rFonts w:cs="Arial"/>
          <w:b/>
          <w:color w:val="232120"/>
          <w:sz w:val="30"/>
          <w:szCs w:val="30"/>
        </w:rPr>
      </w:pPr>
    </w:p>
    <w:p w14:paraId="19583271" w14:textId="77777777" w:rsidR="00943913" w:rsidRPr="00331C61" w:rsidRDefault="00943913" w:rsidP="00943913">
      <w:pPr>
        <w:ind w:left="709" w:hanging="709"/>
        <w:jc w:val="center"/>
        <w:rPr>
          <w:rFonts w:cs="Arial"/>
          <w:b/>
          <w:color w:val="232120"/>
          <w:sz w:val="30"/>
          <w:szCs w:val="30"/>
        </w:rPr>
      </w:pPr>
    </w:p>
    <w:p w14:paraId="6793D331" w14:textId="77777777" w:rsidR="00943913" w:rsidRPr="00331C61" w:rsidRDefault="00663B97" w:rsidP="00943913">
      <w:pPr>
        <w:ind w:left="709" w:hanging="709"/>
        <w:jc w:val="center"/>
        <w:rPr>
          <w:rFonts w:cs="Arial"/>
          <w:color w:val="232120"/>
          <w:sz w:val="28"/>
          <w:szCs w:val="28"/>
        </w:rPr>
      </w:pPr>
      <w:hyperlink r:id="rId12" w:history="1">
        <w:r w:rsidR="00943913" w:rsidRPr="00331C61">
          <w:rPr>
            <w:rStyle w:val="Hyperlink"/>
            <w:rFonts w:cs="Arial"/>
            <w:color w:val="232120"/>
            <w:sz w:val="28"/>
            <w:szCs w:val="28"/>
            <w:u w:val="none"/>
            <w:lang w:val="en-US"/>
          </w:rPr>
          <w:t>www.nihrc.org</w:t>
        </w:r>
      </w:hyperlink>
      <w:r w:rsidR="00943913" w:rsidRPr="00331C61">
        <w:rPr>
          <w:rFonts w:cs="Arial"/>
          <w:color w:val="232120"/>
          <w:sz w:val="28"/>
          <w:szCs w:val="28"/>
          <w:lang w:val="en-US"/>
        </w:rPr>
        <w:t xml:space="preserve">  |  </w:t>
      </w:r>
      <w:hyperlink r:id="rId13" w:history="1">
        <w:r w:rsidR="00943913" w:rsidRPr="00331C61">
          <w:rPr>
            <w:rStyle w:val="Hyperlink"/>
            <w:rFonts w:cs="Arial"/>
            <w:color w:val="232120"/>
            <w:sz w:val="28"/>
            <w:szCs w:val="28"/>
            <w:u w:val="none"/>
            <w:lang w:val="en-US"/>
          </w:rPr>
          <w:t>info@nihrc.org</w:t>
        </w:r>
      </w:hyperlink>
      <w:r w:rsidR="00943913" w:rsidRPr="00331C61">
        <w:rPr>
          <w:rFonts w:cs="Arial"/>
          <w:color w:val="232120"/>
          <w:sz w:val="28"/>
          <w:szCs w:val="28"/>
          <w:lang w:val="en-US"/>
        </w:rPr>
        <w:t xml:space="preserve">  |  +44 (0)28 9024 3987</w:t>
      </w:r>
    </w:p>
    <w:p w14:paraId="2D19FD35" w14:textId="77777777" w:rsidR="00943913" w:rsidRPr="00331C61" w:rsidRDefault="00943913" w:rsidP="00943913">
      <w:pPr>
        <w:ind w:left="709" w:hanging="709"/>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59139E23" w14:textId="77777777" w:rsidR="00943913" w:rsidRPr="00331C61" w:rsidRDefault="00943913" w:rsidP="00943913">
      <w:pPr>
        <w:ind w:left="709" w:hanging="709"/>
        <w:jc w:val="center"/>
        <w:rPr>
          <w:rFonts w:cs="Arial"/>
          <w:b/>
          <w:color w:val="232120"/>
          <w:sz w:val="28"/>
          <w:szCs w:val="28"/>
        </w:rPr>
      </w:pPr>
    </w:p>
    <w:p w14:paraId="60A69448" w14:textId="77777777" w:rsidR="00943913" w:rsidRPr="00331C61" w:rsidRDefault="00943913" w:rsidP="00943913">
      <w:pPr>
        <w:ind w:left="709" w:hanging="709"/>
        <w:jc w:val="center"/>
        <w:rPr>
          <w:rFonts w:cs="Arial"/>
          <w:color w:val="232120"/>
          <w:sz w:val="20"/>
          <w:szCs w:val="20"/>
        </w:rPr>
      </w:pPr>
    </w:p>
    <w:p w14:paraId="719379C0" w14:textId="77777777" w:rsidR="00943913" w:rsidRPr="00331C61" w:rsidRDefault="00943913" w:rsidP="00943913">
      <w:pPr>
        <w:pStyle w:val="BasicParagraph"/>
        <w:suppressAutoHyphens/>
        <w:spacing w:line="240" w:lineRule="auto"/>
        <w:ind w:left="709" w:hanging="709"/>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21119B60" wp14:editId="3B8280ED">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41B2B4A9" w14:textId="77777777" w:rsidR="00705833" w:rsidRPr="00331C61" w:rsidRDefault="00705833" w:rsidP="003B7D0E">
      <w:pPr>
        <w:pStyle w:val="BasicParagraph"/>
        <w:suppressAutoHyphens/>
        <w:spacing w:line="240" w:lineRule="auto"/>
        <w:jc w:val="center"/>
        <w:rPr>
          <w:rFonts w:ascii="Verdana" w:hAnsi="Verdana" w:cs="Arial"/>
          <w:color w:val="232120"/>
          <w:sz w:val="28"/>
          <w:szCs w:val="28"/>
        </w:rPr>
      </w:pPr>
    </w:p>
    <w:sectPr w:rsidR="00705833" w:rsidRPr="00331C61"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F78A" w14:textId="77777777" w:rsidR="00B57CCB" w:rsidRDefault="00B57CCB" w:rsidP="00962B2B">
      <w:r>
        <w:separator/>
      </w:r>
    </w:p>
  </w:endnote>
  <w:endnote w:type="continuationSeparator" w:id="0">
    <w:p w14:paraId="1280C617" w14:textId="77777777" w:rsidR="00B57CCB" w:rsidRDefault="00B57CCB"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IUEB V+ 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0781" w14:textId="77777777" w:rsidR="00871195" w:rsidRDefault="00871195" w:rsidP="00656ECD">
    <w:pPr>
      <w:pStyle w:val="Footer"/>
      <w:jc w:val="right"/>
      <w:rPr>
        <w:rStyle w:val="PageNumber"/>
        <w:rFonts w:ascii="Arial" w:hAnsi="Arial" w:cs="Arial"/>
        <w:b/>
        <w:sz w:val="16"/>
        <w:szCs w:val="16"/>
      </w:rPr>
    </w:pPr>
  </w:p>
  <w:p w14:paraId="38E9B8A7" w14:textId="2DB3F2FF" w:rsidR="00871195" w:rsidRPr="007569C1" w:rsidRDefault="00871195"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C60877">
      <w:rPr>
        <w:rStyle w:val="PageNumber"/>
        <w:rFonts w:ascii="Arial" w:hAnsi="Arial" w:cs="Arial"/>
        <w:b/>
        <w:noProof/>
        <w:color w:val="77328A"/>
        <w:sz w:val="16"/>
        <w:szCs w:val="16"/>
      </w:rPr>
      <w:t>24</w:t>
    </w:r>
    <w:r w:rsidRPr="007569C1">
      <w:rPr>
        <w:rStyle w:val="PageNumber"/>
        <w:rFonts w:ascii="Arial" w:hAnsi="Arial" w:cs="Arial"/>
        <w:b/>
        <w:color w:val="77328A"/>
        <w:sz w:val="16"/>
        <w:szCs w:val="16"/>
      </w:rPr>
      <w:fldChar w:fldCharType="end"/>
    </w:r>
  </w:p>
  <w:p w14:paraId="795DC1DF" w14:textId="77777777" w:rsidR="00871195" w:rsidRDefault="00871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195A" w14:textId="77777777" w:rsidR="00871195" w:rsidRDefault="00871195" w:rsidP="00046705">
    <w:pPr>
      <w:pStyle w:val="Footer"/>
      <w:jc w:val="right"/>
      <w:rPr>
        <w:rStyle w:val="PageNumber"/>
        <w:rFonts w:ascii="Arial" w:hAnsi="Arial" w:cs="Arial"/>
        <w:b/>
        <w:sz w:val="16"/>
        <w:szCs w:val="16"/>
      </w:rPr>
    </w:pPr>
  </w:p>
  <w:p w14:paraId="34936F5B" w14:textId="77777777" w:rsidR="00871195" w:rsidRPr="00D12EF8" w:rsidRDefault="00871195"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FF83" w14:textId="77777777" w:rsidR="00B57CCB" w:rsidRDefault="00B57CCB" w:rsidP="00B96D34">
      <w:r>
        <w:continuationSeparator/>
      </w:r>
    </w:p>
    <w:p w14:paraId="6D5D295E" w14:textId="77777777" w:rsidR="00B57CCB" w:rsidRPr="00B96D34" w:rsidRDefault="00B57CCB" w:rsidP="00B96D34">
      <w:pPr>
        <w:pStyle w:val="Footer"/>
      </w:pPr>
    </w:p>
  </w:footnote>
  <w:footnote w:type="continuationSeparator" w:id="0">
    <w:p w14:paraId="31A30B47" w14:textId="77777777" w:rsidR="00B57CCB" w:rsidRDefault="00B57CCB" w:rsidP="00962B2B">
      <w:r>
        <w:continuationSeparator/>
      </w:r>
    </w:p>
  </w:footnote>
  <w:footnote w:type="continuationNotice" w:id="1">
    <w:p w14:paraId="7D133C5F" w14:textId="77777777" w:rsidR="00B57CCB" w:rsidRDefault="00B57CCB"/>
  </w:footnote>
  <w:footnote w:id="2">
    <w:p w14:paraId="3F30579E" w14:textId="77777777" w:rsidR="00871195" w:rsidRPr="00E9697D" w:rsidRDefault="00871195" w:rsidP="00E9697D">
      <w:pPr>
        <w:pStyle w:val="NIHRCFootnotes"/>
      </w:pPr>
      <w:r w:rsidRPr="00E9697D">
        <w:rPr>
          <w:rStyle w:val="FootnoteReference"/>
        </w:rPr>
        <w:footnoteRef/>
      </w:r>
      <w:r w:rsidRPr="00E9697D">
        <w:t xml:space="preserve"> The NI Executive is subject to the obligations contained within the specified regional and international treaties by virtue of the United Kingdom (UK) Government’s ratification. In addition, section 26(1) of the NI Act 1998 provides that “if the Secretary of State considers that any action proposed to be taken by a Minister or NI department would be incompatible with any international obligations… [s]he may order direct that the proposed action shall be taken”. The NIHRC further recalls that section 24(1)(a) of the NI Act 1998 states that “a Minister or NI department has no power to make, confirm or approve any subordinate legislation, or to do any act, so far as the legislation or act… is incompatible with any of the [ECHR] rights”.</w:t>
      </w:r>
    </w:p>
  </w:footnote>
  <w:footnote w:id="3">
    <w:p w14:paraId="3C9E205D" w14:textId="77777777" w:rsidR="00871195" w:rsidRPr="00E9697D" w:rsidRDefault="00871195" w:rsidP="00E9697D">
      <w:pPr>
        <w:pStyle w:val="NIHRCFootnotes"/>
        <w:rPr>
          <w:vertAlign w:val="superscript"/>
        </w:rPr>
      </w:pPr>
      <w:r w:rsidRPr="00E9697D">
        <w:rPr>
          <w:rStyle w:val="FootnoteReference"/>
        </w:rPr>
        <w:footnoteRef/>
      </w:r>
      <w:r w:rsidRPr="00E9697D">
        <w:rPr>
          <w:rStyle w:val="FootnoteReference"/>
        </w:rPr>
        <w:t xml:space="preserve"> </w:t>
      </w:r>
      <w:r w:rsidRPr="00E9697D">
        <w:rPr>
          <w:rStyle w:val="FootnoteReference"/>
          <w:vertAlign w:val="baseline"/>
        </w:rPr>
        <w:t>Ratified by the UK in 1951. Further guidance is also taken from the body of case law from the European Court of Human Rights (ECtHR).</w:t>
      </w:r>
    </w:p>
  </w:footnote>
  <w:footnote w:id="4">
    <w:p w14:paraId="194C7311" w14:textId="77777777" w:rsidR="00871195" w:rsidRPr="00E9697D" w:rsidRDefault="00871195" w:rsidP="00E9697D">
      <w:pPr>
        <w:pStyle w:val="NIHRCFootnotes"/>
      </w:pPr>
      <w:r w:rsidRPr="00E9697D">
        <w:rPr>
          <w:rStyle w:val="FootnoteReference"/>
        </w:rPr>
        <w:footnoteRef/>
      </w:r>
      <w:r w:rsidRPr="00E9697D">
        <w:t xml:space="preserve"> </w:t>
      </w:r>
      <w:r w:rsidRPr="00E9697D">
        <w:rPr>
          <w:rStyle w:val="FootnoteReference"/>
          <w:vertAlign w:val="baseline"/>
        </w:rPr>
        <w:t>Ratified by the UK in 1966.</w:t>
      </w:r>
    </w:p>
  </w:footnote>
  <w:footnote w:id="5">
    <w:p w14:paraId="51D6B9B9" w14:textId="4FDC7D85" w:rsidR="00871195" w:rsidRPr="00E9697D" w:rsidRDefault="00871195" w:rsidP="00E9697D">
      <w:pPr>
        <w:pStyle w:val="NIHRCFootnotes"/>
      </w:pPr>
      <w:r w:rsidRPr="00E9697D">
        <w:rPr>
          <w:rStyle w:val="FootnoteReference"/>
        </w:rPr>
        <w:footnoteRef/>
      </w:r>
      <w:r w:rsidRPr="00E9697D">
        <w:rPr>
          <w:rStyle w:val="FootnoteReference"/>
        </w:rPr>
        <w:t xml:space="preserve"> </w:t>
      </w:r>
      <w:r w:rsidRPr="00E9697D">
        <w:rPr>
          <w:rStyle w:val="FootnoteReference"/>
          <w:vertAlign w:val="baseline"/>
        </w:rPr>
        <w:t>Ratified by the UK in 1966.</w:t>
      </w:r>
    </w:p>
  </w:footnote>
  <w:footnote w:id="6">
    <w:p w14:paraId="324F161C" w14:textId="56227E21" w:rsidR="00871195" w:rsidRPr="00E9697D" w:rsidRDefault="00871195" w:rsidP="00E9697D">
      <w:pPr>
        <w:pStyle w:val="NIHRCFootnotes"/>
      </w:pPr>
      <w:r w:rsidRPr="00E9697D">
        <w:rPr>
          <w:rStyle w:val="FootnoteReference"/>
        </w:rPr>
        <w:footnoteRef/>
      </w:r>
      <w:r w:rsidRPr="00E9697D">
        <w:rPr>
          <w:rStyle w:val="FootnoteReference"/>
        </w:rPr>
        <w:t xml:space="preserve"> </w:t>
      </w:r>
      <w:r w:rsidRPr="00E9697D">
        <w:rPr>
          <w:rStyle w:val="FootnoteReference"/>
          <w:vertAlign w:val="baseline"/>
        </w:rPr>
        <w:t>Ratified by the UK in 1991</w:t>
      </w:r>
      <w:r>
        <w:t>.</w:t>
      </w:r>
    </w:p>
  </w:footnote>
  <w:footnote w:id="7">
    <w:p w14:paraId="359FC546" w14:textId="734B2DD3" w:rsidR="00871195" w:rsidRPr="00E9697D" w:rsidRDefault="00871195" w:rsidP="00E9697D">
      <w:pPr>
        <w:pStyle w:val="NIHRCFootnotes"/>
      </w:pPr>
      <w:r w:rsidRPr="00E9697D">
        <w:rPr>
          <w:rStyle w:val="FootnoteReference"/>
        </w:rPr>
        <w:footnoteRef/>
      </w:r>
      <w:r w:rsidRPr="00E9697D">
        <w:rPr>
          <w:rStyle w:val="FootnoteReference"/>
        </w:rPr>
        <w:t xml:space="preserve"> </w:t>
      </w:r>
      <w:r w:rsidRPr="00E9697D">
        <w:rPr>
          <w:rStyle w:val="FootnoteReference"/>
          <w:vertAlign w:val="baseline"/>
        </w:rPr>
        <w:t>Ratified by the UK in 2009</w:t>
      </w:r>
      <w:r>
        <w:t>.</w:t>
      </w:r>
      <w:r w:rsidRPr="00E9697D">
        <w:rPr>
          <w:rStyle w:val="FootnoteReference"/>
        </w:rPr>
        <w:t>.</w:t>
      </w:r>
    </w:p>
  </w:footnote>
  <w:footnote w:id="8">
    <w:p w14:paraId="0E17C87F" w14:textId="5BA4EF21" w:rsidR="00871195" w:rsidRPr="00A36A50" w:rsidRDefault="00871195" w:rsidP="00A36A50">
      <w:pPr>
        <w:pStyle w:val="NIHRCFootnotes"/>
        <w:rPr>
          <w:rStyle w:val="FootnoteReference"/>
          <w:vertAlign w:val="baseline"/>
        </w:rPr>
      </w:pPr>
      <w:r w:rsidRPr="00A36A50">
        <w:rPr>
          <w:rStyle w:val="FootnoteReference"/>
        </w:rPr>
        <w:footnoteRef/>
      </w:r>
      <w:r w:rsidRPr="00A36A50">
        <w:rPr>
          <w:rStyle w:val="FootnoteReference"/>
          <w:vertAlign w:val="baseline"/>
        </w:rPr>
        <w:t xml:space="preserve"> UN CEDAW Committee General Comment No 6: Effective National Machinery and Publicity’, 1988.</w:t>
      </w:r>
    </w:p>
  </w:footnote>
  <w:footnote w:id="9">
    <w:p w14:paraId="3CC8BF1D" w14:textId="47AA35DB" w:rsidR="00871195" w:rsidRDefault="00871195" w:rsidP="00A36A50">
      <w:pPr>
        <w:pStyle w:val="NIHRCFootnotes"/>
      </w:pPr>
      <w:r w:rsidRPr="00A36A50">
        <w:rPr>
          <w:rStyle w:val="FootnoteReference"/>
        </w:rPr>
        <w:footnoteRef/>
      </w:r>
      <w:r w:rsidRPr="00A36A50">
        <w:rPr>
          <w:rStyle w:val="FootnoteReference"/>
        </w:rPr>
        <w:t xml:space="preserve"> </w:t>
      </w:r>
      <w:r w:rsidRPr="00A36A50">
        <w:rPr>
          <w:rStyle w:val="FootnoteReference"/>
          <w:vertAlign w:val="baseline"/>
        </w:rPr>
        <w:t>E/1991/23, ‘UN ICESCR Committee General Comment No 3: Nature of States Parties’ Obligations’, 14 December 1990.</w:t>
      </w:r>
    </w:p>
  </w:footnote>
  <w:footnote w:id="10">
    <w:p w14:paraId="2E71EC55" w14:textId="77777777" w:rsidR="00871195" w:rsidRPr="00E9697D" w:rsidRDefault="00871195" w:rsidP="00E9697D">
      <w:pPr>
        <w:pStyle w:val="NIHRCFootnotes"/>
        <w:rPr>
          <w:rStyle w:val="FootnoteReference"/>
          <w:vertAlign w:val="baseline"/>
        </w:rPr>
      </w:pPr>
      <w:r w:rsidRPr="00E9697D">
        <w:rPr>
          <w:rStyle w:val="FootnoteReference"/>
        </w:rPr>
        <w:footnoteRef/>
      </w:r>
      <w:r w:rsidRPr="00E9697D">
        <w:rPr>
          <w:rStyle w:val="FootnoteReference"/>
          <w:vertAlign w:val="baseline"/>
        </w:rPr>
        <w:t xml:space="preserve"> A/RES/46/91 ‘United Nations Principles for Older Persons’, 16 December 1991.</w:t>
      </w:r>
    </w:p>
  </w:footnote>
  <w:footnote w:id="11">
    <w:p w14:paraId="638453EA" w14:textId="77777777" w:rsidR="00871195" w:rsidRPr="00E9697D" w:rsidRDefault="00871195" w:rsidP="00E9697D">
      <w:pPr>
        <w:pStyle w:val="NIHRCFootnotes"/>
        <w:rPr>
          <w:rStyle w:val="FootnoteReference"/>
          <w:vertAlign w:val="baseline"/>
        </w:rPr>
      </w:pPr>
      <w:r w:rsidRPr="00E9697D">
        <w:rPr>
          <w:rStyle w:val="FootnoteReference"/>
        </w:rPr>
        <w:footnoteRef/>
      </w:r>
      <w:r w:rsidRPr="00E9697D">
        <w:rPr>
          <w:rStyle w:val="FootnoteReference"/>
          <w:vertAlign w:val="baseline"/>
        </w:rPr>
        <w:t xml:space="preserve"> A/RES/46/119 ‘UN Principles for the Protection of Persons with Mental Illness and the Improvement of Mental Health Care’, 17 December 1991.</w:t>
      </w:r>
    </w:p>
  </w:footnote>
  <w:footnote w:id="12">
    <w:p w14:paraId="5D7BBE6C" w14:textId="5B471FA5" w:rsidR="00871195" w:rsidRDefault="00871195">
      <w:pPr>
        <w:pStyle w:val="FootnoteText"/>
      </w:pPr>
      <w:r w:rsidRPr="009F7C66">
        <w:rPr>
          <w:rStyle w:val="FootnoteReference"/>
          <w:rFonts w:cs="Arial"/>
          <w:color w:val="77328A"/>
          <w:sz w:val="16"/>
          <w:szCs w:val="16"/>
        </w:rPr>
        <w:footnoteRef/>
      </w:r>
      <w:r w:rsidRPr="009F7C66">
        <w:rPr>
          <w:rStyle w:val="FootnoteReference"/>
          <w:rFonts w:cs="Arial"/>
          <w:color w:val="77328A"/>
          <w:sz w:val="16"/>
          <w:szCs w:val="16"/>
        </w:rPr>
        <w:t xml:space="preserve"> </w:t>
      </w:r>
      <w:r w:rsidRPr="009F7C66">
        <w:rPr>
          <w:rStyle w:val="FootnoteReference"/>
          <w:rFonts w:cs="Arial"/>
          <w:color w:val="77328A"/>
          <w:sz w:val="16"/>
          <w:szCs w:val="16"/>
          <w:vertAlign w:val="baseline"/>
        </w:rPr>
        <w:t>E/C.12/2000/4, ‘UN ICESCR Committee General Comment No 14: The Right to the Highest Attainable Standard of Health’, 11 August 2000</w:t>
      </w:r>
      <w:r>
        <w:rPr>
          <w:rStyle w:val="FootnoteReference"/>
          <w:rFonts w:cs="Arial"/>
          <w:color w:val="77328A"/>
          <w:sz w:val="16"/>
          <w:szCs w:val="16"/>
          <w:vertAlign w:val="baseline"/>
        </w:rPr>
        <w:t>.</w:t>
      </w:r>
    </w:p>
  </w:footnote>
  <w:footnote w:id="13">
    <w:p w14:paraId="1AC3337F" w14:textId="48771A67" w:rsidR="00871195" w:rsidRDefault="00871195" w:rsidP="00A36A50">
      <w:pPr>
        <w:pStyle w:val="NIHRCFootnotes"/>
      </w:pPr>
      <w:r w:rsidRPr="00A36A50">
        <w:rPr>
          <w:rStyle w:val="FootnoteReference"/>
        </w:rPr>
        <w:footnoteRef/>
      </w:r>
      <w:r w:rsidRPr="00A36A50">
        <w:rPr>
          <w:rStyle w:val="FootnoteReference"/>
          <w:vertAlign w:val="baseline"/>
        </w:rPr>
        <w:t xml:space="preserve"> CRC/GC/2003/5, ‘UN CRC Committee General Comment No 5: General Measures of Implementation of the UN CRC’, 27 November 2003</w:t>
      </w:r>
      <w:r>
        <w:t>.</w:t>
      </w:r>
    </w:p>
  </w:footnote>
  <w:footnote w:id="14">
    <w:p w14:paraId="060D58A0" w14:textId="27F0EB2E" w:rsidR="00871195" w:rsidRPr="00A36A50" w:rsidRDefault="00871195" w:rsidP="009F7C66">
      <w:pPr>
        <w:pStyle w:val="NIHRCFootnotes"/>
        <w:rPr>
          <w:rStyle w:val="FootnoteReference"/>
          <w:vertAlign w:val="baseline"/>
        </w:rPr>
      </w:pPr>
      <w:r w:rsidRPr="00A36A50">
        <w:rPr>
          <w:rStyle w:val="FootnoteReference"/>
        </w:rPr>
        <w:footnoteRef/>
      </w:r>
      <w:r w:rsidRPr="00A36A50">
        <w:rPr>
          <w:rStyle w:val="FootnoteReference"/>
        </w:rPr>
        <w:t xml:space="preserve"> </w:t>
      </w:r>
      <w:r w:rsidRPr="009F7C66">
        <w:rPr>
          <w:rStyle w:val="FootnoteReference"/>
          <w:vertAlign w:val="baseline"/>
        </w:rPr>
        <w:t>E/C.12/GC/20, ‘UN ICESCR Committee General Comment No 20: Non-discrimination in Economic, Social and Cultural Rights’ 2 July 2009.</w:t>
      </w:r>
    </w:p>
  </w:footnote>
  <w:footnote w:id="15">
    <w:p w14:paraId="5D79F597" w14:textId="3E0A0E0A" w:rsidR="00871195" w:rsidRPr="00A36A50" w:rsidRDefault="00871195" w:rsidP="00E9697D">
      <w:pPr>
        <w:pStyle w:val="NIHRCFootnotes"/>
        <w:rPr>
          <w:rStyle w:val="FootnoteReference"/>
          <w:vertAlign w:val="baseline"/>
        </w:rPr>
      </w:pPr>
      <w:r w:rsidRPr="00A36A50">
        <w:rPr>
          <w:rStyle w:val="FootnoteReference"/>
        </w:rPr>
        <w:footnoteRef/>
      </w:r>
      <w:r w:rsidRPr="00A36A50">
        <w:rPr>
          <w:rStyle w:val="FootnoteReference"/>
        </w:rPr>
        <w:t xml:space="preserve"> </w:t>
      </w:r>
      <w:r w:rsidRPr="00E9697D">
        <w:rPr>
          <w:rStyle w:val="FootnoteReference"/>
          <w:vertAlign w:val="baseline"/>
        </w:rPr>
        <w:t>Recommendation CM/Rec(2014)2</w:t>
      </w:r>
      <w:r w:rsidRPr="00A36A50">
        <w:rPr>
          <w:rStyle w:val="FootnoteReference"/>
          <w:vertAlign w:val="baseline"/>
        </w:rPr>
        <w:t>, ‘CoE</w:t>
      </w:r>
      <w:r w:rsidRPr="00E9697D">
        <w:rPr>
          <w:rStyle w:val="FootnoteReference"/>
          <w:vertAlign w:val="baseline"/>
        </w:rPr>
        <w:t xml:space="preserve"> Committee of Ministers to Member States on the </w:t>
      </w:r>
      <w:r w:rsidRPr="00A36A50">
        <w:rPr>
          <w:rStyle w:val="FootnoteReference"/>
          <w:vertAlign w:val="baseline"/>
        </w:rPr>
        <w:t>P</w:t>
      </w:r>
      <w:r w:rsidRPr="00E9697D">
        <w:rPr>
          <w:rStyle w:val="FootnoteReference"/>
          <w:vertAlign w:val="baseline"/>
        </w:rPr>
        <w:t xml:space="preserve">romotion of </w:t>
      </w:r>
      <w:r w:rsidRPr="00A36A50">
        <w:rPr>
          <w:rStyle w:val="FootnoteReference"/>
          <w:vertAlign w:val="baseline"/>
        </w:rPr>
        <w:t>H</w:t>
      </w:r>
      <w:r w:rsidRPr="00E9697D">
        <w:rPr>
          <w:rStyle w:val="FootnoteReference"/>
          <w:vertAlign w:val="baseline"/>
        </w:rPr>
        <w:t xml:space="preserve">uman </w:t>
      </w:r>
      <w:r w:rsidRPr="00A36A50">
        <w:rPr>
          <w:rStyle w:val="FootnoteReference"/>
          <w:vertAlign w:val="baseline"/>
        </w:rPr>
        <w:t>R</w:t>
      </w:r>
      <w:r w:rsidRPr="00E9697D">
        <w:rPr>
          <w:rStyle w:val="FootnoteReference"/>
          <w:vertAlign w:val="baseline"/>
        </w:rPr>
        <w:t xml:space="preserve">ights of </w:t>
      </w:r>
      <w:r w:rsidRPr="00A36A50">
        <w:rPr>
          <w:rStyle w:val="FootnoteReference"/>
          <w:vertAlign w:val="baseline"/>
        </w:rPr>
        <w:t>O</w:t>
      </w:r>
      <w:r w:rsidRPr="00E9697D">
        <w:rPr>
          <w:rStyle w:val="FootnoteReference"/>
          <w:vertAlign w:val="baseline"/>
        </w:rPr>
        <w:t xml:space="preserve">lder </w:t>
      </w:r>
      <w:r w:rsidRPr="00A36A50">
        <w:rPr>
          <w:rStyle w:val="FootnoteReference"/>
          <w:vertAlign w:val="baseline"/>
        </w:rPr>
        <w:t>P</w:t>
      </w:r>
      <w:r>
        <w:rPr>
          <w:rStyle w:val="FootnoteReference"/>
          <w:vertAlign w:val="baseline"/>
        </w:rPr>
        <w:t>ersons’, 19 February 2014.</w:t>
      </w:r>
    </w:p>
  </w:footnote>
  <w:footnote w:id="16">
    <w:p w14:paraId="56C8299D" w14:textId="77777777" w:rsidR="00871195" w:rsidRPr="00A36A50" w:rsidRDefault="00871195" w:rsidP="00940A99">
      <w:pPr>
        <w:pStyle w:val="NIHRCFootnotes"/>
        <w:rPr>
          <w:rStyle w:val="FootnoteReference"/>
          <w:vertAlign w:val="baseline"/>
        </w:rPr>
      </w:pPr>
      <w:r w:rsidRPr="00A36A50">
        <w:rPr>
          <w:rStyle w:val="FootnoteReference"/>
        </w:rPr>
        <w:footnoteRef/>
      </w:r>
      <w:r w:rsidRPr="00A36A50">
        <w:rPr>
          <w:rStyle w:val="FootnoteReference"/>
        </w:rPr>
        <w:t xml:space="preserve"> </w:t>
      </w:r>
      <w:r w:rsidRPr="00E9697D">
        <w:rPr>
          <w:rStyle w:val="FootnoteReference"/>
          <w:vertAlign w:val="baseline"/>
        </w:rPr>
        <w:t xml:space="preserve">CRPD/C/GBR/CO/1, ‘UN CRPD Committee Concluding Observations on the Initial Report of the UK of Great Britain and </w:t>
      </w:r>
      <w:r w:rsidRPr="00A36A50">
        <w:rPr>
          <w:rStyle w:val="FootnoteReference"/>
          <w:vertAlign w:val="baseline"/>
        </w:rPr>
        <w:t>NI’, 29 August 2017.</w:t>
      </w:r>
    </w:p>
  </w:footnote>
  <w:footnote w:id="17">
    <w:p w14:paraId="62B6F71A" w14:textId="40D1E0F5" w:rsidR="00871195" w:rsidRPr="00A36A50" w:rsidRDefault="00871195" w:rsidP="00A36A50">
      <w:pPr>
        <w:pStyle w:val="FootnoteText"/>
        <w:rPr>
          <w:rStyle w:val="FootnoteReference"/>
          <w:rFonts w:cs="Arial"/>
          <w:color w:val="77328A"/>
          <w:sz w:val="16"/>
          <w:szCs w:val="16"/>
          <w:vertAlign w:val="baseline"/>
        </w:rPr>
      </w:pPr>
      <w:r w:rsidRPr="00A36A50">
        <w:rPr>
          <w:rStyle w:val="FootnoteReference"/>
          <w:rFonts w:cs="Arial"/>
          <w:color w:val="77328A"/>
          <w:sz w:val="16"/>
          <w:szCs w:val="16"/>
        </w:rPr>
        <w:footnoteRef/>
      </w:r>
      <w:r w:rsidRPr="00A36A50">
        <w:rPr>
          <w:rStyle w:val="FootnoteReference"/>
          <w:rFonts w:cs="Arial"/>
          <w:color w:val="77328A"/>
          <w:sz w:val="16"/>
          <w:szCs w:val="16"/>
        </w:rPr>
        <w:t xml:space="preserve"> </w:t>
      </w:r>
      <w:r w:rsidRPr="00A36A50">
        <w:rPr>
          <w:rStyle w:val="FootnoteReference"/>
          <w:rFonts w:cs="Arial"/>
          <w:color w:val="77328A"/>
          <w:sz w:val="16"/>
          <w:szCs w:val="16"/>
          <w:vertAlign w:val="baseline"/>
        </w:rPr>
        <w:t>CRPD/C/GC/5, ‘UN CRPD Committee General Comment No 5: Living Independently and Being Included in the Community’, 27 October 2017</w:t>
      </w:r>
      <w:r>
        <w:rPr>
          <w:rFonts w:cs="Arial"/>
          <w:color w:val="77328A"/>
          <w:sz w:val="16"/>
          <w:szCs w:val="16"/>
        </w:rPr>
        <w:t>.</w:t>
      </w:r>
    </w:p>
  </w:footnote>
  <w:footnote w:id="18">
    <w:p w14:paraId="6FE6E278" w14:textId="36623FD7" w:rsidR="00871195" w:rsidRDefault="00871195" w:rsidP="009F7C66">
      <w:pPr>
        <w:pStyle w:val="NIHRCFootnotes"/>
      </w:pPr>
      <w:r w:rsidRPr="00A36A50">
        <w:rPr>
          <w:rStyle w:val="FootnoteReference"/>
        </w:rPr>
        <w:footnoteRef/>
      </w:r>
      <w:r w:rsidRPr="00A36A50">
        <w:rPr>
          <w:rStyle w:val="FootnoteReference"/>
          <w:vertAlign w:val="baseline"/>
        </w:rPr>
        <w:t xml:space="preserve"> CRPD/C/GC/7, ‘UN CRPD Committee General Comment No 7: Participation of Persons with Disabilities Including Children with Disabilities, Through Their Representative Organisations, In the Implementation and Monitoring of the UN CRPD’, 9 November 2018.</w:t>
      </w:r>
    </w:p>
  </w:footnote>
  <w:footnote w:id="19">
    <w:p w14:paraId="557753AA" w14:textId="314BD853" w:rsidR="00871195" w:rsidRPr="00E9697D" w:rsidRDefault="00871195" w:rsidP="00E9697D">
      <w:pPr>
        <w:pStyle w:val="NIHRCFootnotes"/>
      </w:pPr>
      <w:r w:rsidRPr="00E9697D">
        <w:rPr>
          <w:rStyle w:val="FootnoteReference"/>
        </w:rPr>
        <w:footnoteRef/>
      </w:r>
      <w:r w:rsidRPr="00E9697D">
        <w:t xml:space="preserve"> E/1991/23, ‘UN </w:t>
      </w:r>
      <w:r>
        <w:t xml:space="preserve">ICESCR Committee </w:t>
      </w:r>
      <w:r w:rsidRPr="00E9697D">
        <w:t>General Comment No 3: Nature of States Parties’ Obligations’, 14 December 1990, at para 2.</w:t>
      </w:r>
    </w:p>
  </w:footnote>
  <w:footnote w:id="20">
    <w:p w14:paraId="404ED2EF" w14:textId="0CBEBE56" w:rsidR="00871195" w:rsidRPr="00E9697D" w:rsidRDefault="00871195" w:rsidP="00E9697D">
      <w:pPr>
        <w:pStyle w:val="NIHRCFootnotes"/>
      </w:pPr>
      <w:r w:rsidRPr="00E9697D">
        <w:rPr>
          <w:rStyle w:val="FootnoteReference"/>
        </w:rPr>
        <w:footnoteRef/>
      </w:r>
      <w:r w:rsidRPr="00E9697D">
        <w:t xml:space="preserve"> E/1991/23, ‘UN </w:t>
      </w:r>
      <w:r>
        <w:t>ICESCR Committee</w:t>
      </w:r>
      <w:r w:rsidRPr="00E9697D">
        <w:t xml:space="preserve"> General Comment No 3: Nature of States Parties’ Obligations’, 14 December 1990, at para 9; </w:t>
      </w:r>
      <w:r w:rsidRPr="00E9697D">
        <w:rPr>
          <w:rStyle w:val="FootnoteReference"/>
          <w:vertAlign w:val="baseline"/>
        </w:rPr>
        <w:t>E/C.12/2000/4</w:t>
      </w:r>
      <w:r w:rsidRPr="00E9697D">
        <w:t>,</w:t>
      </w:r>
      <w:r w:rsidRPr="00E9697D">
        <w:rPr>
          <w:rStyle w:val="FootnoteReference"/>
          <w:vertAlign w:val="baseline"/>
        </w:rPr>
        <w:t xml:space="preserve"> ‘UN </w:t>
      </w:r>
      <w:r>
        <w:rPr>
          <w:rStyle w:val="FootnoteReference"/>
          <w:vertAlign w:val="baseline"/>
        </w:rPr>
        <w:t>I</w:t>
      </w:r>
      <w:r>
        <w:t xml:space="preserve">CESCR Committee </w:t>
      </w:r>
      <w:r w:rsidRPr="00E9697D">
        <w:rPr>
          <w:rStyle w:val="FootnoteReference"/>
          <w:vertAlign w:val="baseline"/>
        </w:rPr>
        <w:t>General Comment No 14: The Right to the Highest Attainable Standard of Health</w:t>
      </w:r>
      <w:r w:rsidRPr="00E9697D">
        <w:t>’</w:t>
      </w:r>
      <w:r w:rsidRPr="00E9697D">
        <w:rPr>
          <w:rStyle w:val="FootnoteReference"/>
          <w:vertAlign w:val="baseline"/>
        </w:rPr>
        <w:t>, 11 August 2000, at para 30.</w:t>
      </w:r>
    </w:p>
  </w:footnote>
  <w:footnote w:id="21">
    <w:p w14:paraId="10F5DFC0" w14:textId="2C6CAA3C" w:rsidR="00871195" w:rsidRPr="00E9697D" w:rsidRDefault="00871195" w:rsidP="00E9697D">
      <w:pPr>
        <w:pStyle w:val="NIHRCFootnotes"/>
      </w:pPr>
      <w:r w:rsidRPr="00E9697D">
        <w:rPr>
          <w:rStyle w:val="FootnoteReference"/>
        </w:rPr>
        <w:footnoteRef/>
      </w:r>
      <w:r w:rsidRPr="00E9697D">
        <w:t xml:space="preserve"> E/1991/23, ‘UN </w:t>
      </w:r>
      <w:r>
        <w:t xml:space="preserve">ICESCR Committee </w:t>
      </w:r>
      <w:r w:rsidRPr="00E9697D">
        <w:t>General Comment No 3: Nature of States Parties’ Obligations’, 14 December 1990, at para 9.</w:t>
      </w:r>
    </w:p>
  </w:footnote>
  <w:footnote w:id="22">
    <w:p w14:paraId="6EF88F97" w14:textId="6B46E5AB" w:rsidR="00871195" w:rsidRPr="00E9697D" w:rsidRDefault="00871195" w:rsidP="00E9697D">
      <w:pPr>
        <w:pStyle w:val="NIHRCFootnotes"/>
      </w:pPr>
      <w:r w:rsidRPr="00E9697D">
        <w:rPr>
          <w:rStyle w:val="FootnoteReference"/>
        </w:rPr>
        <w:footnoteRef/>
      </w:r>
      <w:r w:rsidRPr="00E9697D">
        <w:rPr>
          <w:rStyle w:val="FootnoteReference"/>
          <w:vertAlign w:val="baseline"/>
        </w:rPr>
        <w:t xml:space="preserve"> E/C.12/2000/4</w:t>
      </w:r>
      <w:r w:rsidRPr="00E9697D">
        <w:t>,</w:t>
      </w:r>
      <w:r w:rsidRPr="00E9697D">
        <w:rPr>
          <w:rStyle w:val="FootnoteReference"/>
          <w:vertAlign w:val="baseline"/>
        </w:rPr>
        <w:t xml:space="preserve"> ‘UN </w:t>
      </w:r>
      <w:r>
        <w:rPr>
          <w:rStyle w:val="FootnoteReference"/>
          <w:vertAlign w:val="baseline"/>
        </w:rPr>
        <w:t>ICESCR Committee</w:t>
      </w:r>
      <w:r w:rsidRPr="00E9697D">
        <w:rPr>
          <w:rStyle w:val="FootnoteReference"/>
          <w:vertAlign w:val="baseline"/>
        </w:rPr>
        <w:t xml:space="preserve"> General Comment No 14: The Right to the Highest Attainable Standard of Health</w:t>
      </w:r>
      <w:r w:rsidRPr="00E9697D">
        <w:t>’</w:t>
      </w:r>
      <w:r w:rsidRPr="00E9697D">
        <w:rPr>
          <w:rStyle w:val="FootnoteReference"/>
          <w:vertAlign w:val="baseline"/>
        </w:rPr>
        <w:t>, 11 August 2000, at para 30.</w:t>
      </w:r>
    </w:p>
  </w:footnote>
  <w:footnote w:id="23">
    <w:p w14:paraId="2ACF9C71" w14:textId="049DB9F9" w:rsidR="00871195" w:rsidRPr="00E9697D" w:rsidRDefault="00871195" w:rsidP="00E9697D">
      <w:pPr>
        <w:pStyle w:val="NIHRCFootnotes"/>
        <w:rPr>
          <w:rStyle w:val="FootnoteReference"/>
        </w:rPr>
      </w:pPr>
      <w:r w:rsidRPr="00E9697D">
        <w:rPr>
          <w:rStyle w:val="FootnoteReference"/>
        </w:rPr>
        <w:footnoteRef/>
      </w:r>
      <w:r w:rsidRPr="00E9697D">
        <w:rPr>
          <w:rStyle w:val="FootnoteReference"/>
        </w:rPr>
        <w:t xml:space="preserve"> </w:t>
      </w:r>
      <w:r w:rsidRPr="00E9697D">
        <w:rPr>
          <w:rStyle w:val="FootnoteReference"/>
          <w:vertAlign w:val="baseline"/>
        </w:rPr>
        <w:t>A/RES/46/91 ‘U</w:t>
      </w:r>
      <w:r w:rsidRPr="00E9697D">
        <w:t>N</w:t>
      </w:r>
      <w:r w:rsidRPr="00E9697D">
        <w:rPr>
          <w:rStyle w:val="FootnoteReference"/>
          <w:vertAlign w:val="baseline"/>
        </w:rPr>
        <w:t xml:space="preserve"> Principles for Older Persons’, 16 December 1991, at Article 14.</w:t>
      </w:r>
      <w:r w:rsidRPr="00E9697D">
        <w:rPr>
          <w:rStyle w:val="FootnoteReference"/>
        </w:rPr>
        <w:t xml:space="preserve"> </w:t>
      </w:r>
    </w:p>
  </w:footnote>
  <w:footnote w:id="24">
    <w:p w14:paraId="79B154D1" w14:textId="1AD11266" w:rsidR="00871195" w:rsidRPr="00E9697D" w:rsidRDefault="00871195" w:rsidP="00E9697D">
      <w:pPr>
        <w:pStyle w:val="NIHRCFootnotes"/>
        <w:rPr>
          <w:rStyle w:val="FootnoteReference"/>
        </w:rPr>
      </w:pPr>
      <w:r w:rsidRPr="00E9697D">
        <w:rPr>
          <w:rStyle w:val="FootnoteReference"/>
        </w:rPr>
        <w:footnoteRef/>
      </w:r>
      <w:r w:rsidRPr="00E9697D">
        <w:rPr>
          <w:rStyle w:val="FootnoteReference"/>
        </w:rPr>
        <w:t xml:space="preserve"> </w:t>
      </w:r>
      <w:r w:rsidRPr="00E9697D">
        <w:rPr>
          <w:rStyle w:val="FootnoteReference"/>
          <w:vertAlign w:val="baseline"/>
        </w:rPr>
        <w:t>A/RES/46/119 ‘UN Principles for the Protection of Persons with Mental Illness and the Improvement of Mental Health Care’, 17 December 1991</w:t>
      </w:r>
      <w:r w:rsidRPr="00E9697D">
        <w:t>,</w:t>
      </w:r>
      <w:r w:rsidRPr="00E9697D">
        <w:rPr>
          <w:rStyle w:val="FootnoteReference"/>
          <w:vertAlign w:val="baseline"/>
        </w:rPr>
        <w:t xml:space="preserve"> at P</w:t>
      </w:r>
      <w:r w:rsidRPr="00E9697D">
        <w:t xml:space="preserve">rinciple 1(1). </w:t>
      </w:r>
    </w:p>
  </w:footnote>
  <w:footnote w:id="25">
    <w:p w14:paraId="30082BE7" w14:textId="722ED074" w:rsidR="00871195" w:rsidRDefault="00871195">
      <w:pPr>
        <w:pStyle w:val="FootnoteText"/>
      </w:pPr>
      <w:r w:rsidRPr="00BA3333">
        <w:rPr>
          <w:rStyle w:val="FootnoteReference"/>
          <w:rFonts w:cs="Arial"/>
          <w:color w:val="77328A"/>
          <w:sz w:val="16"/>
          <w:szCs w:val="16"/>
        </w:rPr>
        <w:footnoteRef/>
      </w:r>
      <w:r w:rsidRPr="00BA3333">
        <w:rPr>
          <w:rStyle w:val="FootnoteReference"/>
          <w:rFonts w:cs="Arial"/>
          <w:color w:val="77328A"/>
          <w:sz w:val="16"/>
          <w:szCs w:val="16"/>
          <w:vertAlign w:val="baseline"/>
        </w:rPr>
        <w:t xml:space="preserve"> A/RES/46/119 ‘UN Principles for the Protection of Persons with Mental Illness and the Improvement of Mental Health Care’, 17 December 1991, at P</w:t>
      </w:r>
      <w:r>
        <w:rPr>
          <w:rStyle w:val="FootnoteReference"/>
          <w:rFonts w:cs="Arial"/>
          <w:color w:val="77328A"/>
          <w:sz w:val="16"/>
          <w:szCs w:val="16"/>
          <w:vertAlign w:val="baseline"/>
        </w:rPr>
        <w:t xml:space="preserve">rinciple </w:t>
      </w:r>
      <w:r>
        <w:rPr>
          <w:rFonts w:cs="Arial"/>
          <w:color w:val="77328A"/>
          <w:sz w:val="16"/>
          <w:szCs w:val="16"/>
        </w:rPr>
        <w:t>3.</w:t>
      </w:r>
    </w:p>
  </w:footnote>
  <w:footnote w:id="26">
    <w:p w14:paraId="230FD7DB" w14:textId="32B0AB2D" w:rsidR="00871195" w:rsidRPr="00E9697D" w:rsidRDefault="00871195" w:rsidP="00E9697D">
      <w:pPr>
        <w:pStyle w:val="NIHRCFootnotes"/>
      </w:pPr>
      <w:r w:rsidRPr="00E9697D">
        <w:rPr>
          <w:rStyle w:val="FootnoteReference"/>
        </w:rPr>
        <w:footnoteRef/>
      </w:r>
      <w:r w:rsidRPr="00E9697D">
        <w:rPr>
          <w:rStyle w:val="FootnoteReference"/>
        </w:rPr>
        <w:t xml:space="preserve"> </w:t>
      </w:r>
      <w:r w:rsidRPr="00E9697D">
        <w:rPr>
          <w:rStyle w:val="FootnoteReference"/>
          <w:vertAlign w:val="baseline"/>
        </w:rPr>
        <w:t>A/RES/46/119 ‘UN Principles for the Protection of Persons with Mental Illness and the Improvement of Mental Health Care’, 17 December 1991</w:t>
      </w:r>
      <w:r w:rsidRPr="00E9697D">
        <w:t>,</w:t>
      </w:r>
      <w:r w:rsidRPr="00E9697D">
        <w:rPr>
          <w:rStyle w:val="FootnoteReference"/>
          <w:vertAlign w:val="baseline"/>
        </w:rPr>
        <w:t xml:space="preserve"> at P</w:t>
      </w:r>
      <w:r w:rsidRPr="00E9697D">
        <w:t xml:space="preserve">rinciple </w:t>
      </w:r>
      <w:r w:rsidRPr="00E9697D">
        <w:rPr>
          <w:rStyle w:val="FootnoteReference"/>
          <w:vertAlign w:val="baseline"/>
        </w:rPr>
        <w:t xml:space="preserve">3. </w:t>
      </w:r>
    </w:p>
  </w:footnote>
  <w:footnote w:id="27">
    <w:p w14:paraId="31D89ED6" w14:textId="6332CD28" w:rsidR="00871195" w:rsidRPr="00E9697D" w:rsidRDefault="00871195" w:rsidP="00E9697D">
      <w:pPr>
        <w:pStyle w:val="NIHRCFootnotes"/>
        <w:rPr>
          <w:rStyle w:val="FootnoteReference"/>
          <w:vertAlign w:val="baseline"/>
        </w:rPr>
      </w:pPr>
      <w:r w:rsidRPr="00E9697D">
        <w:rPr>
          <w:rStyle w:val="FootnoteReference"/>
        </w:rPr>
        <w:footnoteRef/>
      </w:r>
      <w:r w:rsidRPr="00E9697D">
        <w:rPr>
          <w:rStyle w:val="FootnoteReference"/>
          <w:vertAlign w:val="baseline"/>
        </w:rPr>
        <w:t xml:space="preserve"> </w:t>
      </w:r>
      <w:r w:rsidRPr="00E9697D">
        <w:t xml:space="preserve">UN </w:t>
      </w:r>
      <w:r w:rsidRPr="00E9697D">
        <w:rPr>
          <w:rStyle w:val="FootnoteReference"/>
          <w:vertAlign w:val="baseline"/>
        </w:rPr>
        <w:t>O</w:t>
      </w:r>
      <w:r w:rsidRPr="00E9697D">
        <w:t xml:space="preserve">ffice of the </w:t>
      </w:r>
      <w:r w:rsidRPr="00E9697D">
        <w:rPr>
          <w:rStyle w:val="FootnoteReference"/>
          <w:vertAlign w:val="baseline"/>
        </w:rPr>
        <w:t>H</w:t>
      </w:r>
      <w:r w:rsidRPr="00E9697D">
        <w:t xml:space="preserve">igh Commissioner for </w:t>
      </w:r>
      <w:r w:rsidRPr="00E9697D">
        <w:rPr>
          <w:rStyle w:val="FootnoteReference"/>
          <w:vertAlign w:val="baseline"/>
        </w:rPr>
        <w:t>Hu</w:t>
      </w:r>
      <w:r w:rsidRPr="00E9697D">
        <w:t xml:space="preserve">man </w:t>
      </w:r>
      <w:r w:rsidRPr="00E9697D">
        <w:rPr>
          <w:rStyle w:val="FootnoteReference"/>
          <w:vertAlign w:val="baseline"/>
        </w:rPr>
        <w:t>Ri</w:t>
      </w:r>
      <w:r w:rsidRPr="00E9697D">
        <w:t>ghts</w:t>
      </w:r>
      <w:r w:rsidRPr="00E9697D">
        <w:rPr>
          <w:rStyle w:val="FootnoteReference"/>
          <w:vertAlign w:val="baseline"/>
        </w:rPr>
        <w:t>, ‘Frequently Asked Questions about a Human Rights Based Approach to Development and Cooperation’</w:t>
      </w:r>
      <w:r w:rsidRPr="00E9697D">
        <w:t xml:space="preserve"> (OHCHR, </w:t>
      </w:r>
      <w:r w:rsidRPr="00E9697D">
        <w:rPr>
          <w:rStyle w:val="FootnoteReference"/>
          <w:vertAlign w:val="baseline"/>
        </w:rPr>
        <w:t>2006), at 15.</w:t>
      </w:r>
    </w:p>
  </w:footnote>
  <w:footnote w:id="28">
    <w:p w14:paraId="5E524D02" w14:textId="417891C6" w:rsidR="00871195" w:rsidRPr="00E9697D" w:rsidRDefault="00871195" w:rsidP="00E9697D">
      <w:pPr>
        <w:pStyle w:val="NIHRCFootnotes"/>
        <w:rPr>
          <w:vertAlign w:val="superscript"/>
        </w:rPr>
      </w:pPr>
      <w:r w:rsidRPr="00E9697D">
        <w:rPr>
          <w:rStyle w:val="FootnoteReference"/>
        </w:rPr>
        <w:footnoteRef/>
      </w:r>
      <w:r w:rsidRPr="00E9697D">
        <w:rPr>
          <w:rStyle w:val="FootnoteReference"/>
          <w:vertAlign w:val="baseline"/>
        </w:rPr>
        <w:t xml:space="preserve"> NI Public Services Ombudsman and the NI Human Rights Commission, ‘Human Rights Manual’</w:t>
      </w:r>
      <w:r w:rsidRPr="00E9697D">
        <w:t xml:space="preserve"> (NIPSO and NIHRC,</w:t>
      </w:r>
      <w:r w:rsidRPr="00E9697D">
        <w:rPr>
          <w:rStyle w:val="FootnoteReference"/>
          <w:vertAlign w:val="baseline"/>
        </w:rPr>
        <w:t xml:space="preserve"> 2017</w:t>
      </w:r>
      <w:r w:rsidRPr="00E9697D">
        <w:t>)</w:t>
      </w:r>
      <w:r w:rsidRPr="00E9697D">
        <w:rPr>
          <w:rStyle w:val="FootnoteReference"/>
          <w:vertAlign w:val="baseline"/>
        </w:rPr>
        <w:t>.</w:t>
      </w:r>
    </w:p>
  </w:footnote>
  <w:footnote w:id="29">
    <w:p w14:paraId="1821FD13" w14:textId="28F2B18D" w:rsidR="00871195" w:rsidRDefault="00871195">
      <w:pPr>
        <w:pStyle w:val="FootnoteText"/>
      </w:pPr>
      <w:r w:rsidRPr="006C2734">
        <w:rPr>
          <w:rFonts w:cs="Arial"/>
          <w:color w:val="77328A"/>
          <w:sz w:val="16"/>
          <w:szCs w:val="16"/>
          <w:vertAlign w:val="superscript"/>
        </w:rPr>
        <w:footnoteRef/>
      </w:r>
      <w:r w:rsidRPr="006C2734">
        <w:rPr>
          <w:rFonts w:cs="Arial"/>
          <w:color w:val="77328A"/>
          <w:sz w:val="16"/>
          <w:szCs w:val="16"/>
          <w:vertAlign w:val="superscript"/>
        </w:rPr>
        <w:t xml:space="preserve"> </w:t>
      </w:r>
      <w:r w:rsidRPr="006C2734">
        <w:rPr>
          <w:rFonts w:cs="Arial"/>
          <w:color w:val="77328A"/>
          <w:sz w:val="16"/>
          <w:szCs w:val="16"/>
        </w:rPr>
        <w:t>European Network of National Human Rights Institutions, ‘We Have the Same Rights: The Human Rights of Older Persons in Europe’ (ENNHRI, 2017)</w:t>
      </w:r>
      <w:r>
        <w:rPr>
          <w:rFonts w:cs="Arial"/>
          <w:color w:val="77328A"/>
          <w:sz w:val="16"/>
          <w:szCs w:val="16"/>
        </w:rPr>
        <w:t>, at p.49.</w:t>
      </w:r>
    </w:p>
  </w:footnote>
  <w:footnote w:id="30">
    <w:p w14:paraId="0789F99B" w14:textId="67FD9FFA" w:rsidR="00871195" w:rsidRPr="006C2734" w:rsidRDefault="00871195">
      <w:pPr>
        <w:pStyle w:val="FootnoteText"/>
        <w:rPr>
          <w:rFonts w:cs="Arial"/>
          <w:color w:val="77328A"/>
          <w:sz w:val="16"/>
          <w:szCs w:val="16"/>
        </w:rPr>
      </w:pPr>
      <w:r w:rsidRPr="006C2734">
        <w:rPr>
          <w:rFonts w:cs="Arial"/>
          <w:color w:val="77328A"/>
          <w:sz w:val="16"/>
          <w:szCs w:val="16"/>
          <w:vertAlign w:val="superscript"/>
        </w:rPr>
        <w:footnoteRef/>
      </w:r>
      <w:r w:rsidRPr="006C2734">
        <w:rPr>
          <w:rFonts w:cs="Arial"/>
          <w:color w:val="77328A"/>
          <w:sz w:val="16"/>
          <w:szCs w:val="16"/>
          <w:vertAlign w:val="superscript"/>
        </w:rPr>
        <w:t xml:space="preserve"> </w:t>
      </w:r>
      <w:r w:rsidRPr="006C2734">
        <w:rPr>
          <w:rFonts w:cs="Arial"/>
          <w:color w:val="77328A"/>
          <w:sz w:val="16"/>
          <w:szCs w:val="16"/>
        </w:rPr>
        <w:t>Article 4(3), UN Convention on the Rights of Persons with Disabilities 2006.</w:t>
      </w:r>
    </w:p>
  </w:footnote>
  <w:footnote w:id="31">
    <w:p w14:paraId="01F81F3D" w14:textId="450865C6" w:rsidR="00871195" w:rsidRDefault="00871195">
      <w:pPr>
        <w:pStyle w:val="FootnoteText"/>
      </w:pPr>
      <w:r w:rsidRPr="00C647C8">
        <w:rPr>
          <w:rFonts w:cs="Arial"/>
          <w:color w:val="77328A"/>
          <w:sz w:val="16"/>
          <w:szCs w:val="16"/>
          <w:vertAlign w:val="superscript"/>
        </w:rPr>
        <w:footnoteRef/>
      </w:r>
      <w:r w:rsidRPr="00C647C8">
        <w:rPr>
          <w:rFonts w:cs="Arial"/>
          <w:color w:val="77328A"/>
          <w:sz w:val="16"/>
          <w:szCs w:val="16"/>
          <w:vertAlign w:val="superscript"/>
        </w:rPr>
        <w:t xml:space="preserve"> </w:t>
      </w:r>
      <w:r w:rsidRPr="00C647C8">
        <w:rPr>
          <w:rFonts w:cs="Arial"/>
          <w:color w:val="77328A"/>
          <w:sz w:val="16"/>
          <w:szCs w:val="16"/>
        </w:rPr>
        <w:t>CRPD/C/GC/7, ‘UN CRPD Committee General Comment No 7: Participation of Persons with Disabilities Including Children with Disabilities, Through Their Representative Organisations, In the Implementation and Monitoring of the UN CRPD’, 9 November 2018, at paras 11 and 22.</w:t>
      </w:r>
    </w:p>
  </w:footnote>
  <w:footnote w:id="32">
    <w:p w14:paraId="16613AB1" w14:textId="4A903D81" w:rsidR="00871195" w:rsidRPr="00E9697D" w:rsidRDefault="00871195" w:rsidP="00E9697D">
      <w:pPr>
        <w:pStyle w:val="NIHRCFootnotes"/>
      </w:pPr>
      <w:r w:rsidRPr="00D141A0">
        <w:rPr>
          <w:vertAlign w:val="superscript"/>
        </w:rPr>
        <w:footnoteRef/>
      </w:r>
      <w:r w:rsidRPr="00E9697D">
        <w:t xml:space="preserve"> </w:t>
      </w:r>
      <w:r>
        <w:t>Department of Health, ‘Consultation on the Reform o</w:t>
      </w:r>
      <w:r w:rsidRPr="00F30BA0">
        <w:t>f Adult Social Care</w:t>
      </w:r>
      <w:r>
        <w:t xml:space="preserve">’ (DoH, 2022), </w:t>
      </w:r>
      <w:r w:rsidRPr="00E9697D">
        <w:t xml:space="preserve">at 5. </w:t>
      </w:r>
    </w:p>
  </w:footnote>
  <w:footnote w:id="33">
    <w:p w14:paraId="2B156089" w14:textId="7D97D839" w:rsidR="00871195" w:rsidRPr="00E9697D" w:rsidRDefault="00871195" w:rsidP="00E9697D">
      <w:pPr>
        <w:pStyle w:val="NIHRCFootnotes"/>
      </w:pPr>
      <w:r w:rsidRPr="00D141A0">
        <w:rPr>
          <w:vertAlign w:val="superscript"/>
        </w:rPr>
        <w:footnoteRef/>
      </w:r>
      <w:r w:rsidRPr="00E9697D">
        <w:t xml:space="preserve"> </w:t>
      </w:r>
      <w:r w:rsidRPr="00F30BA0">
        <w:t>Department of Health, ‘</w:t>
      </w:r>
      <w:r>
        <w:t>Consultation on the Reform of</w:t>
      </w:r>
      <w:r w:rsidRPr="00F30BA0">
        <w:t xml:space="preserve"> Adult Social Care’ (DoH, 2022), at 5.</w:t>
      </w:r>
    </w:p>
  </w:footnote>
  <w:footnote w:id="34">
    <w:p w14:paraId="46622344" w14:textId="66F136DE" w:rsidR="00871195" w:rsidRDefault="00871195">
      <w:pPr>
        <w:pStyle w:val="FootnoteText"/>
      </w:pPr>
      <w:r w:rsidRPr="00D141A0">
        <w:rPr>
          <w:rFonts w:cs="Arial"/>
          <w:color w:val="77328A"/>
          <w:sz w:val="16"/>
          <w:szCs w:val="16"/>
          <w:vertAlign w:val="superscript"/>
        </w:rPr>
        <w:footnoteRef/>
      </w:r>
      <w:r w:rsidRPr="00D141A0">
        <w:rPr>
          <w:rFonts w:cs="Arial"/>
          <w:color w:val="77328A"/>
          <w:sz w:val="16"/>
          <w:szCs w:val="16"/>
          <w:vertAlign w:val="superscript"/>
        </w:rPr>
        <w:t xml:space="preserve"> </w:t>
      </w:r>
      <w:r>
        <w:rPr>
          <w:rFonts w:cs="Arial"/>
          <w:color w:val="77328A"/>
          <w:sz w:val="16"/>
          <w:szCs w:val="16"/>
        </w:rPr>
        <w:t>UN</w:t>
      </w:r>
      <w:r w:rsidRPr="00D141A0">
        <w:rPr>
          <w:rFonts w:cs="Arial"/>
          <w:color w:val="77328A"/>
          <w:sz w:val="16"/>
          <w:szCs w:val="16"/>
        </w:rPr>
        <w:t xml:space="preserve"> Human Rights Office of the High Commissioner, ‘Realising Human Rights Through Government Budget’ (OHCHR, 2017). </w:t>
      </w:r>
    </w:p>
  </w:footnote>
  <w:footnote w:id="35">
    <w:p w14:paraId="6E251F24" w14:textId="715F4383" w:rsidR="00871195" w:rsidRPr="00E9697D" w:rsidRDefault="00871195" w:rsidP="00E9697D">
      <w:pPr>
        <w:pStyle w:val="NIHRCFootnotes"/>
      </w:pPr>
      <w:r w:rsidRPr="00D141A0">
        <w:rPr>
          <w:vertAlign w:val="superscript"/>
        </w:rPr>
        <w:footnoteRef/>
      </w:r>
      <w:r w:rsidRPr="00D141A0">
        <w:rPr>
          <w:vertAlign w:val="superscript"/>
        </w:rPr>
        <w:t xml:space="preserve"> </w:t>
      </w:r>
      <w:r w:rsidRPr="00E9697D">
        <w:t>E/C.12/GBR/CO/6, ‘UN ICESCR Committee Concluding Observations on the Sixth Periodic Report of the UK of Great Britain and NI’, 14 July 2016, at para 16.</w:t>
      </w:r>
    </w:p>
  </w:footnote>
  <w:footnote w:id="36">
    <w:p w14:paraId="21288AD6" w14:textId="59F68164" w:rsidR="00871195" w:rsidRPr="00E9697D" w:rsidRDefault="00871195" w:rsidP="00E9697D">
      <w:pPr>
        <w:pStyle w:val="NIHRCFootnotes"/>
      </w:pPr>
      <w:r w:rsidRPr="00233D77">
        <w:rPr>
          <w:vertAlign w:val="superscript"/>
        </w:rPr>
        <w:footnoteRef/>
      </w:r>
      <w:r w:rsidRPr="00E9697D">
        <w:t xml:space="preserve"> E/C.12/GC/20, ‘UN ICESCR Committee General Comment No 20: Non-discrimination in Economic, Social and Cultural Rights’ 2 July 2009, at para 38.</w:t>
      </w:r>
    </w:p>
  </w:footnote>
  <w:footnote w:id="37">
    <w:p w14:paraId="2B62F6CE" w14:textId="33F98A06" w:rsidR="00871195" w:rsidRPr="00E9697D" w:rsidRDefault="00871195" w:rsidP="00E9697D">
      <w:pPr>
        <w:pStyle w:val="NIHRCFootnotes"/>
      </w:pPr>
      <w:r w:rsidRPr="00233D77">
        <w:rPr>
          <w:vertAlign w:val="superscript"/>
        </w:rPr>
        <w:footnoteRef/>
      </w:r>
      <w:r w:rsidRPr="00E9697D">
        <w:t xml:space="preserve"> E/C.12/GC/20, ‘UN ICESCR Committee General Comment No 20: Non-discrimination in Economic, Social and Cultural Rights’, 2 July 2009, at para 41; ‘UN CEDAW Committee General Comment No 6: Effective National Machinery and Publicity’, 1988, at para 1(b); CRC/GC/2003/5, ‘UN CRC Committee General Comment No 5: General Measures of Implementation of the UN CRC’, 27 November 2003, at para 45.</w:t>
      </w:r>
    </w:p>
  </w:footnote>
  <w:footnote w:id="38">
    <w:p w14:paraId="0EA3061F" w14:textId="77777777" w:rsidR="00871195" w:rsidRPr="00E9697D" w:rsidRDefault="00871195" w:rsidP="00E9697D">
      <w:pPr>
        <w:pStyle w:val="NIHRCFootnotes"/>
      </w:pPr>
      <w:r w:rsidRPr="00233D77">
        <w:rPr>
          <w:vertAlign w:val="superscript"/>
        </w:rPr>
        <w:footnoteRef/>
      </w:r>
      <w:r w:rsidRPr="00E9697D">
        <w:t xml:space="preserve"> E/C.12/GC/20, ‘UN ICESCR Committee General Comment No 20: Non-discrimination in Economic, Social and Cultural Rights’, 2 July 2009, at para 41.</w:t>
      </w:r>
    </w:p>
  </w:footnote>
  <w:footnote w:id="39">
    <w:p w14:paraId="1F2E791A" w14:textId="77777777" w:rsidR="00871195" w:rsidRPr="00E9697D" w:rsidRDefault="00871195" w:rsidP="00E9697D">
      <w:pPr>
        <w:pStyle w:val="NIHRCFootnotes"/>
      </w:pPr>
      <w:r w:rsidRPr="00233D77">
        <w:rPr>
          <w:vertAlign w:val="superscript"/>
        </w:rPr>
        <w:footnoteRef/>
      </w:r>
      <w:r w:rsidRPr="00233D77">
        <w:rPr>
          <w:vertAlign w:val="superscript"/>
        </w:rPr>
        <w:t xml:space="preserve"> </w:t>
      </w:r>
      <w:r w:rsidRPr="00E9697D">
        <w:t>‘UN CEDAW Committee General Comment No 6: Effective National Machinery and Publicity’, 1988, at para 1(b).</w:t>
      </w:r>
    </w:p>
  </w:footnote>
  <w:footnote w:id="40">
    <w:p w14:paraId="54E8A9DE" w14:textId="56DEAB9F" w:rsidR="00871195" w:rsidRPr="00E9697D" w:rsidRDefault="00871195" w:rsidP="00E9697D">
      <w:pPr>
        <w:pStyle w:val="NIHRCFootnotes"/>
      </w:pPr>
      <w:r w:rsidRPr="00233D77">
        <w:rPr>
          <w:vertAlign w:val="superscript"/>
        </w:rPr>
        <w:footnoteRef/>
      </w:r>
      <w:r w:rsidRPr="00E9697D">
        <w:t xml:space="preserve"> </w:t>
      </w:r>
      <w:r>
        <w:t>Department of Health, ‘Consultation on the Reform o</w:t>
      </w:r>
      <w:r w:rsidRPr="00F30BA0">
        <w:t>f Adult Social Care</w:t>
      </w:r>
      <w:r>
        <w:t xml:space="preserve">’ (DoH, 2022), </w:t>
      </w:r>
      <w:r w:rsidRPr="00E9697D">
        <w:t xml:space="preserve">at 5. </w:t>
      </w:r>
    </w:p>
  </w:footnote>
  <w:footnote w:id="41">
    <w:p w14:paraId="788BF0E8" w14:textId="06EAD28A" w:rsidR="00871195" w:rsidRDefault="00871195">
      <w:pPr>
        <w:pStyle w:val="FootnoteText"/>
      </w:pPr>
      <w:r w:rsidRPr="00DA7D75">
        <w:rPr>
          <w:rFonts w:cs="Arial"/>
          <w:color w:val="77328A"/>
          <w:sz w:val="16"/>
          <w:szCs w:val="16"/>
          <w:vertAlign w:val="superscript"/>
        </w:rPr>
        <w:footnoteRef/>
      </w:r>
      <w:r w:rsidRPr="00DA7D75">
        <w:rPr>
          <w:rFonts w:cs="Arial"/>
          <w:color w:val="77328A"/>
          <w:sz w:val="16"/>
          <w:szCs w:val="16"/>
          <w:vertAlign w:val="superscript"/>
        </w:rPr>
        <w:t xml:space="preserve"> </w:t>
      </w:r>
      <w:r w:rsidRPr="00DA7D75">
        <w:rPr>
          <w:rFonts w:cs="Arial"/>
          <w:color w:val="77328A"/>
          <w:sz w:val="16"/>
          <w:szCs w:val="16"/>
        </w:rPr>
        <w:t>Department of Finance, ‘Procurement Policy Note PPN 05/21 Human Rights in Public Procurement’ (DoF, 2021).</w:t>
      </w:r>
      <w:r>
        <w:t xml:space="preserve"> </w:t>
      </w:r>
    </w:p>
  </w:footnote>
  <w:footnote w:id="42">
    <w:p w14:paraId="7CC9982A" w14:textId="7F8EE45B" w:rsidR="00871195" w:rsidRPr="00E9697D" w:rsidRDefault="00871195" w:rsidP="00E9697D">
      <w:pPr>
        <w:pStyle w:val="NIHRCFootnotes"/>
      </w:pPr>
      <w:r w:rsidRPr="00233D77">
        <w:rPr>
          <w:vertAlign w:val="superscript"/>
        </w:rPr>
        <w:footnoteRef/>
      </w:r>
      <w:r w:rsidRPr="00E9697D">
        <w:t xml:space="preserve"> </w:t>
      </w:r>
      <w:r w:rsidRPr="00D141A0">
        <w:t xml:space="preserve">Department of Health, ‘Consultation on the Reform of Adult Social Care’ (DoH, 2022), </w:t>
      </w:r>
      <w:r w:rsidRPr="00E9697D">
        <w:t xml:space="preserve">at 41. </w:t>
      </w:r>
    </w:p>
  </w:footnote>
  <w:footnote w:id="43">
    <w:p w14:paraId="5CDF8063" w14:textId="6C315268" w:rsidR="00871195" w:rsidRPr="00E9697D" w:rsidRDefault="00871195" w:rsidP="00E9697D">
      <w:pPr>
        <w:pStyle w:val="NIHRCFootnotes"/>
      </w:pPr>
      <w:r w:rsidRPr="00E9697D">
        <w:rPr>
          <w:vertAlign w:val="superscript"/>
        </w:rPr>
        <w:footnoteRef/>
      </w:r>
      <w:r w:rsidRPr="00E9697D">
        <w:rPr>
          <w:vertAlign w:val="superscript"/>
        </w:rPr>
        <w:t xml:space="preserve"> </w:t>
      </w:r>
      <w:r w:rsidRPr="00E9697D">
        <w:t xml:space="preserve">CRPD/C/GC/5, ‘UN CRPD Committee General Comment No 5: Living Independently and Being Included in the Community’, 27 October 2017, at para 38(g). </w:t>
      </w:r>
    </w:p>
  </w:footnote>
  <w:footnote w:id="44">
    <w:p w14:paraId="054D3CFF" w14:textId="4FAD69B7" w:rsidR="00871195" w:rsidRPr="00E9697D" w:rsidRDefault="00871195" w:rsidP="00E9697D">
      <w:pPr>
        <w:pStyle w:val="NIHRCFootnotes"/>
      </w:pPr>
      <w:r w:rsidRPr="00E9697D">
        <w:rPr>
          <w:vertAlign w:val="superscript"/>
        </w:rPr>
        <w:footnoteRef/>
      </w:r>
      <w:r w:rsidRPr="00E9697D">
        <w:rPr>
          <w:vertAlign w:val="superscript"/>
        </w:rPr>
        <w:t xml:space="preserve"> </w:t>
      </w:r>
      <w:r>
        <w:t>Department of Health, ‘Consultation on the Reform o</w:t>
      </w:r>
      <w:r w:rsidRPr="00F30BA0">
        <w:t>f Adult Social Care</w:t>
      </w:r>
      <w:r>
        <w:t>’ (DoH, 2022),</w:t>
      </w:r>
      <w:r w:rsidRPr="00E9697D">
        <w:t xml:space="preserve"> at 28. </w:t>
      </w:r>
    </w:p>
  </w:footnote>
  <w:footnote w:id="45">
    <w:p w14:paraId="7F29ACBE" w14:textId="7F111635" w:rsidR="00871195" w:rsidRPr="00E9697D" w:rsidRDefault="00871195" w:rsidP="00E9697D">
      <w:pPr>
        <w:pStyle w:val="NIHRCFootnotes"/>
      </w:pPr>
      <w:r w:rsidRPr="00E9697D">
        <w:rPr>
          <w:vertAlign w:val="superscript"/>
        </w:rPr>
        <w:footnoteRef/>
      </w:r>
      <w:r w:rsidRPr="00E9697D">
        <w:t xml:space="preserve"> Expert Advisory on Adult Care and Support, ‘Power to People: Proposals to Reboot Adult Care and Support in NI’ (DoH, 2017), at 64.</w:t>
      </w:r>
    </w:p>
  </w:footnote>
  <w:footnote w:id="46">
    <w:p w14:paraId="7CD4F85F" w14:textId="156DFFCF" w:rsidR="00871195" w:rsidRPr="00E9697D" w:rsidRDefault="00871195" w:rsidP="00E9697D">
      <w:pPr>
        <w:pStyle w:val="NIHRCFootnotes"/>
      </w:pPr>
      <w:r w:rsidRPr="00E9697D">
        <w:rPr>
          <w:vertAlign w:val="superscript"/>
        </w:rPr>
        <w:footnoteRef/>
      </w:r>
      <w:r w:rsidRPr="00E9697D">
        <w:t xml:space="preserve"> </w:t>
      </w:r>
      <w:r>
        <w:t>Department of Health, ‘Consultation on the Reform o</w:t>
      </w:r>
      <w:r w:rsidRPr="00F30BA0">
        <w:t>f Adult Social Care</w:t>
      </w:r>
      <w:r>
        <w:t xml:space="preserve">’ (DoH, 2022), </w:t>
      </w:r>
      <w:r w:rsidRPr="00E9697D">
        <w:t xml:space="preserve">at 33. </w:t>
      </w:r>
    </w:p>
  </w:footnote>
  <w:footnote w:id="47">
    <w:p w14:paraId="11493E63" w14:textId="79461276" w:rsidR="00871195" w:rsidRPr="00E9697D" w:rsidRDefault="00871195" w:rsidP="00E9697D">
      <w:pPr>
        <w:pStyle w:val="NIHRCFootnotes"/>
      </w:pPr>
      <w:r w:rsidRPr="00E9697D">
        <w:rPr>
          <w:vertAlign w:val="superscript"/>
        </w:rPr>
        <w:footnoteRef/>
      </w:r>
      <w:r w:rsidRPr="00E9697D">
        <w:rPr>
          <w:vertAlign w:val="superscript"/>
        </w:rPr>
        <w:t xml:space="preserve"> </w:t>
      </w:r>
      <w:r>
        <w:t>Department of Health, ‘Consultation on the Reform o</w:t>
      </w:r>
      <w:r w:rsidRPr="00F30BA0">
        <w:t>f Adult Social Care</w:t>
      </w:r>
      <w:r>
        <w:t>’ (DoH, 2022),</w:t>
      </w:r>
      <w:r w:rsidRPr="00E9697D">
        <w:t xml:space="preserve"> at 32. </w:t>
      </w:r>
    </w:p>
  </w:footnote>
  <w:footnote w:id="48">
    <w:p w14:paraId="41EB28C4" w14:textId="06409595" w:rsidR="00871195" w:rsidRPr="00E9697D" w:rsidRDefault="00871195" w:rsidP="00E9697D">
      <w:pPr>
        <w:pStyle w:val="NIHRCFootnotes"/>
      </w:pPr>
      <w:r w:rsidRPr="00E9697D">
        <w:rPr>
          <w:vertAlign w:val="superscript"/>
        </w:rPr>
        <w:footnoteRef/>
      </w:r>
      <w:r>
        <w:t xml:space="preserve"> Department of Health, ‘Consultation on the Reform o</w:t>
      </w:r>
      <w:r w:rsidRPr="00F30BA0">
        <w:t>f Adult Social Care</w:t>
      </w:r>
      <w:r>
        <w:t xml:space="preserve">’ (DoH, 2022), </w:t>
      </w:r>
      <w:r w:rsidRPr="00E9697D">
        <w:t xml:space="preserve">at 33. </w:t>
      </w:r>
    </w:p>
  </w:footnote>
  <w:footnote w:id="49">
    <w:p w14:paraId="7587C802" w14:textId="56778072" w:rsidR="00871195" w:rsidRPr="00E9697D" w:rsidRDefault="00871195" w:rsidP="00E9697D">
      <w:pPr>
        <w:pStyle w:val="NIHRCFootnotes"/>
      </w:pPr>
      <w:r w:rsidRPr="00E9697D">
        <w:rPr>
          <w:vertAlign w:val="superscript"/>
        </w:rPr>
        <w:footnoteRef/>
      </w:r>
      <w:r w:rsidRPr="00E9697D">
        <w:t xml:space="preserve"> Expert Advisory on Adult Care and Support, ‘Power to People: Proposals to Reboot Adult Care and Support in NI’ (DoH, 2017), at 62.</w:t>
      </w:r>
    </w:p>
  </w:footnote>
  <w:footnote w:id="50">
    <w:p w14:paraId="7510E8A3" w14:textId="05A1F61A" w:rsidR="00871195" w:rsidRPr="00E9697D" w:rsidRDefault="00871195" w:rsidP="00E9697D">
      <w:pPr>
        <w:pStyle w:val="NIHRCFootnotes"/>
      </w:pPr>
      <w:r w:rsidRPr="00E9697D">
        <w:rPr>
          <w:vertAlign w:val="superscript"/>
        </w:rPr>
        <w:footnoteRef/>
      </w:r>
      <w:r w:rsidRPr="00E9697D">
        <w:t xml:space="preserve"> E/C.12/GC/20, ‘UN ICESCR Committee General Comment No 20: Non-discrimination in Economic, Social and Cultural Rights’, 2 July 2009, at</w:t>
      </w:r>
      <w:r w:rsidRPr="00E9697D" w:rsidDel="00B9772C">
        <w:t xml:space="preserve"> </w:t>
      </w:r>
      <w:r w:rsidRPr="00E9697D">
        <w:t>para 34.</w:t>
      </w:r>
    </w:p>
  </w:footnote>
  <w:footnote w:id="51">
    <w:p w14:paraId="24B9B56B" w14:textId="51F1DF6D" w:rsidR="00871195" w:rsidRPr="00E9697D" w:rsidRDefault="00871195" w:rsidP="00E9697D">
      <w:pPr>
        <w:pStyle w:val="NIHRCFootnotes"/>
      </w:pPr>
      <w:r w:rsidRPr="00E9697D">
        <w:rPr>
          <w:vertAlign w:val="superscript"/>
        </w:rPr>
        <w:footnoteRef/>
      </w:r>
      <w:r w:rsidRPr="00E9697D">
        <w:t xml:space="preserve"> </w:t>
      </w:r>
      <w:r>
        <w:t>Department of Health, ‘Consultation on the Reform o</w:t>
      </w:r>
      <w:r w:rsidRPr="00F30BA0">
        <w:t>f Adult Social Care</w:t>
      </w:r>
      <w:r>
        <w:t xml:space="preserve">’ (DoH, 2022), </w:t>
      </w:r>
      <w:r w:rsidRPr="00E9697D">
        <w:t xml:space="preserve">at 31. </w:t>
      </w:r>
    </w:p>
  </w:footnote>
  <w:footnote w:id="52">
    <w:p w14:paraId="03719B9F" w14:textId="2A85EB15" w:rsidR="00871195" w:rsidRPr="00E9697D" w:rsidRDefault="00871195" w:rsidP="00E9697D">
      <w:pPr>
        <w:pStyle w:val="NIHRCFootnotes"/>
      </w:pPr>
      <w:r w:rsidRPr="00E9697D">
        <w:rPr>
          <w:vertAlign w:val="superscript"/>
        </w:rPr>
        <w:footnoteRef/>
      </w:r>
      <w:r w:rsidRPr="00E9697D">
        <w:t xml:space="preserve"> </w:t>
      </w:r>
      <w:r>
        <w:t>Department of Health, ‘Consultation on the Reform o</w:t>
      </w:r>
      <w:r w:rsidRPr="00F30BA0">
        <w:t>f Adult Social Care</w:t>
      </w:r>
      <w:r>
        <w:t xml:space="preserve">’ (DoH, 2022), </w:t>
      </w:r>
      <w:r w:rsidRPr="00E9697D">
        <w:t>at 16.</w:t>
      </w:r>
    </w:p>
  </w:footnote>
  <w:footnote w:id="53">
    <w:p w14:paraId="386BDCC2" w14:textId="371DA6F0" w:rsidR="00871195" w:rsidRPr="00E9697D" w:rsidRDefault="00871195" w:rsidP="00E9697D">
      <w:pPr>
        <w:pStyle w:val="NIHRCFootnotes"/>
      </w:pPr>
      <w:r w:rsidRPr="00E9697D">
        <w:rPr>
          <w:vertAlign w:val="superscript"/>
        </w:rPr>
        <w:footnoteRef/>
      </w:r>
      <w:r w:rsidRPr="00E9697D">
        <w:t xml:space="preserve"> See Article 5, UN CERD; Article 11, UN CEDAW; Article 32, UN CRC.</w:t>
      </w:r>
    </w:p>
  </w:footnote>
  <w:footnote w:id="54">
    <w:p w14:paraId="1D00C895" w14:textId="02674E78" w:rsidR="00871195" w:rsidRPr="00E9697D" w:rsidRDefault="00871195" w:rsidP="00E9697D">
      <w:pPr>
        <w:pStyle w:val="NIHRCFootnotes"/>
      </w:pPr>
      <w:r w:rsidRPr="00E9697D">
        <w:rPr>
          <w:vertAlign w:val="superscript"/>
        </w:rPr>
        <w:footnoteRef/>
      </w:r>
      <w:r w:rsidRPr="00E9697D">
        <w:rPr>
          <w:vertAlign w:val="superscript"/>
        </w:rPr>
        <w:t xml:space="preserve"> </w:t>
      </w:r>
      <w:r w:rsidRPr="00E9697D">
        <w:t>Global Living Wage Coalition, ‘The Anker Methodology for Estimating a Living Wage’. Available at: https://www.globallivingwage.org/about/anker-methodology/</w:t>
      </w:r>
    </w:p>
  </w:footnote>
  <w:footnote w:id="55">
    <w:p w14:paraId="421BC842" w14:textId="650FFDA2" w:rsidR="00871195" w:rsidRPr="00E9697D" w:rsidRDefault="00871195" w:rsidP="00E9697D">
      <w:pPr>
        <w:pStyle w:val="NIHRCFootnotes"/>
      </w:pPr>
      <w:r w:rsidRPr="00E9697D">
        <w:rPr>
          <w:rFonts w:cs="Segoe UI"/>
          <w:vertAlign w:val="superscript"/>
        </w:rPr>
        <w:footnoteRef/>
      </w:r>
      <w:r w:rsidRPr="00E9697D">
        <w:rPr>
          <w:rFonts w:cs="Segoe UI"/>
        </w:rPr>
        <w:t xml:space="preserve"> International Labour Organization, ‘Constitution of the International Labour Organisation’, 1 April 1919.</w:t>
      </w:r>
    </w:p>
  </w:footnote>
  <w:footnote w:id="56">
    <w:p w14:paraId="3EDE546F" w14:textId="660E0838" w:rsidR="00871195" w:rsidRPr="00E9697D" w:rsidRDefault="00871195" w:rsidP="00E9697D">
      <w:pPr>
        <w:pStyle w:val="NIHRCFootnotes"/>
        <w:rPr>
          <w:rFonts w:cs="Segoe UI"/>
        </w:rPr>
      </w:pPr>
      <w:r w:rsidRPr="00E9697D">
        <w:rPr>
          <w:rFonts w:cs="Segoe UI"/>
          <w:vertAlign w:val="superscript"/>
        </w:rPr>
        <w:footnoteRef/>
      </w:r>
      <w:r w:rsidRPr="00E9697D">
        <w:rPr>
          <w:rFonts w:cs="Segoe UI"/>
        </w:rPr>
        <w:t xml:space="preserve"> </w:t>
      </w:r>
      <w:r w:rsidRPr="00733EC1">
        <w:rPr>
          <w:rFonts w:cs="Segoe UI"/>
        </w:rPr>
        <w:t>E/C.12/GC/23</w:t>
      </w:r>
      <w:r>
        <w:rPr>
          <w:rFonts w:cs="Segoe UI"/>
        </w:rPr>
        <w:t>, ‘</w:t>
      </w:r>
      <w:r w:rsidRPr="00E9697D">
        <w:rPr>
          <w:rFonts w:cs="Segoe UI"/>
        </w:rPr>
        <w:t xml:space="preserve">UN </w:t>
      </w:r>
      <w:r>
        <w:rPr>
          <w:rFonts w:cs="Segoe UI"/>
        </w:rPr>
        <w:t>ICESCR Committee</w:t>
      </w:r>
      <w:r w:rsidRPr="00E9697D">
        <w:rPr>
          <w:rFonts w:cs="Segoe UI"/>
        </w:rPr>
        <w:t xml:space="preserve"> General </w:t>
      </w:r>
      <w:r>
        <w:rPr>
          <w:rFonts w:cs="Segoe UI"/>
        </w:rPr>
        <w:t>C</w:t>
      </w:r>
      <w:r w:rsidRPr="00E9697D">
        <w:rPr>
          <w:rFonts w:cs="Segoe UI"/>
        </w:rPr>
        <w:t>omment No</w:t>
      </w:r>
      <w:r>
        <w:rPr>
          <w:rFonts w:cs="Segoe UI"/>
        </w:rPr>
        <w:t xml:space="preserve"> </w:t>
      </w:r>
      <w:r w:rsidRPr="00E9697D">
        <w:rPr>
          <w:rFonts w:cs="Segoe UI"/>
        </w:rPr>
        <w:t>23</w:t>
      </w:r>
      <w:r>
        <w:rPr>
          <w:rFonts w:cs="Segoe UI"/>
        </w:rPr>
        <w:t>: R</w:t>
      </w:r>
      <w:r w:rsidRPr="00E9697D">
        <w:rPr>
          <w:rFonts w:cs="Segoe UI"/>
        </w:rPr>
        <w:t xml:space="preserve">ight to </w:t>
      </w:r>
      <w:r>
        <w:rPr>
          <w:rFonts w:cs="Segoe UI"/>
        </w:rPr>
        <w:t>J</w:t>
      </w:r>
      <w:r w:rsidRPr="00E9697D">
        <w:rPr>
          <w:rFonts w:cs="Segoe UI"/>
        </w:rPr>
        <w:t xml:space="preserve">ust and </w:t>
      </w:r>
      <w:r>
        <w:rPr>
          <w:rFonts w:cs="Segoe UI"/>
        </w:rPr>
        <w:t>F</w:t>
      </w:r>
      <w:r w:rsidRPr="00E9697D">
        <w:rPr>
          <w:rFonts w:cs="Segoe UI"/>
        </w:rPr>
        <w:t xml:space="preserve">avourable </w:t>
      </w:r>
      <w:r>
        <w:rPr>
          <w:rFonts w:cs="Segoe UI"/>
        </w:rPr>
        <w:t>C</w:t>
      </w:r>
      <w:r w:rsidRPr="00E9697D">
        <w:rPr>
          <w:rFonts w:cs="Segoe UI"/>
        </w:rPr>
        <w:t xml:space="preserve">onditions of </w:t>
      </w:r>
      <w:r>
        <w:rPr>
          <w:rFonts w:cs="Segoe UI"/>
        </w:rPr>
        <w:t>W</w:t>
      </w:r>
      <w:r w:rsidRPr="00E9697D">
        <w:rPr>
          <w:rFonts w:cs="Segoe UI"/>
        </w:rPr>
        <w:t>ork</w:t>
      </w:r>
      <w:r>
        <w:rPr>
          <w:rFonts w:cs="Segoe UI"/>
        </w:rPr>
        <w:t>’</w:t>
      </w:r>
      <w:r w:rsidRPr="00E9697D">
        <w:rPr>
          <w:rFonts w:cs="Segoe UI"/>
        </w:rPr>
        <w:t>, 7 April 2016</w:t>
      </w:r>
      <w:r>
        <w:rPr>
          <w:rFonts w:cs="Segoe UI"/>
        </w:rPr>
        <w:t>,</w:t>
      </w:r>
      <w:r w:rsidRPr="00E9697D">
        <w:rPr>
          <w:rFonts w:cs="Segoe UI"/>
        </w:rPr>
        <w:t xml:space="preserve"> at para 10. </w:t>
      </w:r>
    </w:p>
  </w:footnote>
  <w:footnote w:id="57">
    <w:p w14:paraId="7259F299" w14:textId="62DD4E35" w:rsidR="00871195" w:rsidRPr="00E9697D" w:rsidRDefault="00871195" w:rsidP="00E9697D">
      <w:pPr>
        <w:pStyle w:val="NIHRCFootnotes"/>
        <w:rPr>
          <w:rFonts w:cs="Segoe UI"/>
        </w:rPr>
      </w:pPr>
      <w:r w:rsidRPr="00E9697D">
        <w:rPr>
          <w:rFonts w:cs="Segoe UI"/>
          <w:vertAlign w:val="superscript"/>
        </w:rPr>
        <w:footnoteRef/>
      </w:r>
      <w:r w:rsidRPr="00E9697D">
        <w:rPr>
          <w:rFonts w:cs="Segoe UI"/>
        </w:rPr>
        <w:t xml:space="preserve"> Expert Advisory on Adult Care and Support, ‘Power to People: Proposals to </w:t>
      </w:r>
      <w:r>
        <w:rPr>
          <w:rFonts w:cs="Segoe UI"/>
        </w:rPr>
        <w:t>R</w:t>
      </w:r>
      <w:r w:rsidRPr="00E9697D">
        <w:rPr>
          <w:rFonts w:cs="Segoe UI"/>
        </w:rPr>
        <w:t xml:space="preserve">eboot </w:t>
      </w:r>
      <w:r>
        <w:rPr>
          <w:rFonts w:cs="Segoe UI"/>
        </w:rPr>
        <w:t>A</w:t>
      </w:r>
      <w:r w:rsidRPr="00E9697D">
        <w:rPr>
          <w:rFonts w:cs="Segoe UI"/>
        </w:rPr>
        <w:t xml:space="preserve">dult </w:t>
      </w:r>
      <w:r>
        <w:rPr>
          <w:rFonts w:cs="Segoe UI"/>
        </w:rPr>
        <w:t>C</w:t>
      </w:r>
      <w:r w:rsidRPr="00E9697D">
        <w:rPr>
          <w:rFonts w:cs="Segoe UI"/>
        </w:rPr>
        <w:t xml:space="preserve">are </w:t>
      </w:r>
      <w:r>
        <w:rPr>
          <w:rFonts w:cs="Segoe UI"/>
        </w:rPr>
        <w:t>and S</w:t>
      </w:r>
      <w:r w:rsidRPr="00E9697D">
        <w:rPr>
          <w:rFonts w:cs="Segoe UI"/>
        </w:rPr>
        <w:t xml:space="preserve">upport in </w:t>
      </w:r>
      <w:r>
        <w:rPr>
          <w:rFonts w:cs="Segoe UI"/>
        </w:rPr>
        <w:t>NI</w:t>
      </w:r>
      <w:r w:rsidRPr="00E9697D">
        <w:rPr>
          <w:rFonts w:cs="Segoe UI"/>
        </w:rPr>
        <w:t xml:space="preserve">’ </w:t>
      </w:r>
      <w:r>
        <w:rPr>
          <w:rFonts w:cs="Segoe UI"/>
        </w:rPr>
        <w:t xml:space="preserve">(DoH, </w:t>
      </w:r>
      <w:r w:rsidRPr="00E9697D">
        <w:rPr>
          <w:rFonts w:cs="Segoe UI"/>
        </w:rPr>
        <w:t>2017</w:t>
      </w:r>
      <w:r>
        <w:rPr>
          <w:rFonts w:cs="Segoe UI"/>
        </w:rPr>
        <w:t>),</w:t>
      </w:r>
      <w:r w:rsidRPr="00E9697D">
        <w:rPr>
          <w:rFonts w:cs="Segoe UI"/>
        </w:rPr>
        <w:t xml:space="preserve"> at 54.</w:t>
      </w:r>
    </w:p>
  </w:footnote>
  <w:footnote w:id="58">
    <w:p w14:paraId="7FBCD456" w14:textId="1E0BFD29" w:rsidR="00871195" w:rsidRPr="00E9697D" w:rsidRDefault="00871195" w:rsidP="00E9697D">
      <w:pPr>
        <w:pStyle w:val="NIHRCFootnotes"/>
        <w:rPr>
          <w:rFonts w:cs="Segoe UI"/>
        </w:rPr>
      </w:pPr>
      <w:r w:rsidRPr="00E9697D">
        <w:rPr>
          <w:rFonts w:cs="Segoe UI"/>
          <w:vertAlign w:val="superscript"/>
        </w:rPr>
        <w:footnoteRef/>
      </w:r>
      <w:r w:rsidRPr="00E9697D">
        <w:rPr>
          <w:rFonts w:cs="Segoe UI"/>
        </w:rPr>
        <w:t xml:space="preserve"> </w:t>
      </w:r>
      <w:r>
        <w:t>Department of Health, ‘Consultation on the Reform o</w:t>
      </w:r>
      <w:r w:rsidRPr="00F30BA0">
        <w:t>f Adult Social Care</w:t>
      </w:r>
      <w:r>
        <w:t xml:space="preserve">’ (DoH, 2022), </w:t>
      </w:r>
      <w:r w:rsidRPr="00E9697D">
        <w:rPr>
          <w:rFonts w:cs="Segoe UI"/>
        </w:rPr>
        <w:t xml:space="preserve">at 53. </w:t>
      </w:r>
    </w:p>
  </w:footnote>
  <w:footnote w:id="59">
    <w:p w14:paraId="0A2AD1B8" w14:textId="4FBDC001" w:rsidR="00871195" w:rsidRPr="00E9697D" w:rsidRDefault="00871195" w:rsidP="00E9697D">
      <w:pPr>
        <w:pStyle w:val="NIHRCFootnotes"/>
        <w:rPr>
          <w:rFonts w:cs="Segoe UI"/>
        </w:rPr>
      </w:pPr>
      <w:r w:rsidRPr="00E9697D">
        <w:rPr>
          <w:rFonts w:cs="Segoe UI"/>
          <w:vertAlign w:val="superscript"/>
        </w:rPr>
        <w:footnoteRef/>
      </w:r>
      <w:r w:rsidRPr="00E9697D">
        <w:rPr>
          <w:rFonts w:cs="Segoe UI"/>
        </w:rPr>
        <w:t xml:space="preserve"> </w:t>
      </w:r>
      <w:r w:rsidRPr="00733EC1">
        <w:rPr>
          <w:rFonts w:cs="Segoe UI"/>
        </w:rPr>
        <w:t>E/C.12/GC/23</w:t>
      </w:r>
      <w:r>
        <w:rPr>
          <w:rFonts w:cs="Segoe UI"/>
        </w:rPr>
        <w:t>, ‘</w:t>
      </w:r>
      <w:r w:rsidRPr="00E9697D">
        <w:rPr>
          <w:rFonts w:cs="Segoe UI"/>
        </w:rPr>
        <w:t xml:space="preserve">UN </w:t>
      </w:r>
      <w:r>
        <w:rPr>
          <w:rFonts w:cs="Segoe UI"/>
        </w:rPr>
        <w:t>ICESCR Committee</w:t>
      </w:r>
      <w:r w:rsidRPr="00E9697D">
        <w:rPr>
          <w:rFonts w:cs="Segoe UI"/>
        </w:rPr>
        <w:t xml:space="preserve"> General </w:t>
      </w:r>
      <w:r>
        <w:rPr>
          <w:rFonts w:cs="Segoe UI"/>
        </w:rPr>
        <w:t>C</w:t>
      </w:r>
      <w:r w:rsidRPr="00E9697D">
        <w:rPr>
          <w:rFonts w:cs="Segoe UI"/>
        </w:rPr>
        <w:t>omment No 23</w:t>
      </w:r>
      <w:r>
        <w:rPr>
          <w:rFonts w:cs="Segoe UI"/>
        </w:rPr>
        <w:t>: R</w:t>
      </w:r>
      <w:r w:rsidRPr="00E9697D">
        <w:rPr>
          <w:rFonts w:cs="Segoe UI"/>
        </w:rPr>
        <w:t xml:space="preserve">ight to </w:t>
      </w:r>
      <w:r>
        <w:rPr>
          <w:rFonts w:cs="Segoe UI"/>
        </w:rPr>
        <w:t>J</w:t>
      </w:r>
      <w:r w:rsidRPr="00E9697D">
        <w:rPr>
          <w:rFonts w:cs="Segoe UI"/>
        </w:rPr>
        <w:t xml:space="preserve">ust and </w:t>
      </w:r>
      <w:r>
        <w:rPr>
          <w:rFonts w:cs="Segoe UI"/>
        </w:rPr>
        <w:t>F</w:t>
      </w:r>
      <w:r w:rsidRPr="00E9697D">
        <w:rPr>
          <w:rFonts w:cs="Segoe UI"/>
        </w:rPr>
        <w:t xml:space="preserve">avourable </w:t>
      </w:r>
      <w:r>
        <w:rPr>
          <w:rFonts w:cs="Segoe UI"/>
        </w:rPr>
        <w:t>C</w:t>
      </w:r>
      <w:r w:rsidRPr="00E9697D">
        <w:rPr>
          <w:rFonts w:cs="Segoe UI"/>
        </w:rPr>
        <w:t xml:space="preserve">onditions of </w:t>
      </w:r>
      <w:r>
        <w:rPr>
          <w:rFonts w:cs="Segoe UI"/>
        </w:rPr>
        <w:t>W</w:t>
      </w:r>
      <w:r w:rsidRPr="00E9697D">
        <w:rPr>
          <w:rFonts w:cs="Segoe UI"/>
        </w:rPr>
        <w:t>ork</w:t>
      </w:r>
      <w:r>
        <w:rPr>
          <w:rFonts w:cs="Segoe UI"/>
        </w:rPr>
        <w:t>’</w:t>
      </w:r>
      <w:r w:rsidRPr="00E9697D">
        <w:rPr>
          <w:rFonts w:cs="Segoe UI"/>
        </w:rPr>
        <w:t>, 7 April 2016</w:t>
      </w:r>
      <w:r>
        <w:rPr>
          <w:rFonts w:cs="Segoe UI"/>
        </w:rPr>
        <w:t>,</w:t>
      </w:r>
      <w:r w:rsidRPr="00E9697D">
        <w:rPr>
          <w:rFonts w:cs="Segoe UI"/>
        </w:rPr>
        <w:t xml:space="preserve"> at para 10.</w:t>
      </w:r>
    </w:p>
  </w:footnote>
  <w:footnote w:id="60">
    <w:p w14:paraId="27BC37AB" w14:textId="23BA658A" w:rsidR="00871195" w:rsidRPr="00E9697D" w:rsidRDefault="00871195" w:rsidP="00E9697D">
      <w:pPr>
        <w:pStyle w:val="NIHRCFootnotes"/>
      </w:pPr>
      <w:r w:rsidRPr="00E9697D">
        <w:rPr>
          <w:rFonts w:cs="Segoe UI"/>
          <w:vertAlign w:val="superscript"/>
        </w:rPr>
        <w:footnoteRef/>
      </w:r>
      <w:r w:rsidRPr="00E9697D">
        <w:rPr>
          <w:rFonts w:cs="Segoe UI"/>
        </w:rPr>
        <w:t xml:space="preserve"> Expert Advisory on Adult Care and Support, ‘Power to People: Proposals to </w:t>
      </w:r>
      <w:r>
        <w:rPr>
          <w:rFonts w:cs="Segoe UI"/>
        </w:rPr>
        <w:t>R</w:t>
      </w:r>
      <w:r w:rsidRPr="00E9697D">
        <w:rPr>
          <w:rFonts w:cs="Segoe UI"/>
        </w:rPr>
        <w:t xml:space="preserve">eboot </w:t>
      </w:r>
      <w:r>
        <w:rPr>
          <w:rFonts w:cs="Segoe UI"/>
        </w:rPr>
        <w:t>A</w:t>
      </w:r>
      <w:r w:rsidRPr="00E9697D">
        <w:rPr>
          <w:rFonts w:cs="Segoe UI"/>
        </w:rPr>
        <w:t xml:space="preserve">dult </w:t>
      </w:r>
      <w:r>
        <w:rPr>
          <w:rFonts w:cs="Segoe UI"/>
        </w:rPr>
        <w:t>C</w:t>
      </w:r>
      <w:r w:rsidRPr="00E9697D">
        <w:rPr>
          <w:rFonts w:cs="Segoe UI"/>
        </w:rPr>
        <w:t xml:space="preserve">are </w:t>
      </w:r>
      <w:r>
        <w:rPr>
          <w:rFonts w:cs="Segoe UI"/>
        </w:rPr>
        <w:t>and S</w:t>
      </w:r>
      <w:r w:rsidRPr="00E9697D">
        <w:rPr>
          <w:rFonts w:cs="Segoe UI"/>
        </w:rPr>
        <w:t xml:space="preserve">upport in </w:t>
      </w:r>
      <w:r>
        <w:rPr>
          <w:rFonts w:cs="Segoe UI"/>
        </w:rPr>
        <w:t>NI</w:t>
      </w:r>
      <w:r w:rsidRPr="00E9697D">
        <w:rPr>
          <w:rFonts w:cs="Segoe UI"/>
        </w:rPr>
        <w:t xml:space="preserve">’ </w:t>
      </w:r>
      <w:r>
        <w:rPr>
          <w:rFonts w:cs="Segoe UI"/>
        </w:rPr>
        <w:t xml:space="preserve">(DoH, </w:t>
      </w:r>
      <w:r w:rsidRPr="00E9697D">
        <w:rPr>
          <w:rFonts w:cs="Segoe UI"/>
        </w:rPr>
        <w:t>2017</w:t>
      </w:r>
      <w:r>
        <w:rPr>
          <w:rFonts w:cs="Segoe UI"/>
        </w:rPr>
        <w:t>),</w:t>
      </w:r>
      <w:r w:rsidRPr="00E9697D">
        <w:rPr>
          <w:rFonts w:cs="Segoe UI"/>
        </w:rPr>
        <w:t xml:space="preserve"> at 53.</w:t>
      </w:r>
      <w:r w:rsidRPr="00E9697D">
        <w:t xml:space="preserve"> </w:t>
      </w:r>
    </w:p>
  </w:footnote>
  <w:footnote w:id="61">
    <w:p w14:paraId="50BD5EFF" w14:textId="5736DCB9" w:rsidR="00871195" w:rsidRPr="00E9697D" w:rsidRDefault="00871195" w:rsidP="00E9697D">
      <w:pPr>
        <w:pStyle w:val="NIHRCFootnotes"/>
      </w:pPr>
      <w:r w:rsidRPr="00E9697D">
        <w:rPr>
          <w:vertAlign w:val="superscript"/>
        </w:rPr>
        <w:footnoteRef/>
      </w:r>
      <w:r w:rsidRPr="00E9697D">
        <w:t xml:space="preserve"> </w:t>
      </w:r>
      <w:r>
        <w:t>Department of Health, ‘Consultation on the Reform o</w:t>
      </w:r>
      <w:r w:rsidRPr="00F30BA0">
        <w:t>f Adult Social Care</w:t>
      </w:r>
      <w:r>
        <w:t xml:space="preserve">’ (DoH, 2022), at </w:t>
      </w:r>
      <w:r w:rsidRPr="00E9697D">
        <w:t>38.</w:t>
      </w:r>
    </w:p>
  </w:footnote>
  <w:footnote w:id="62">
    <w:p w14:paraId="2707EC57" w14:textId="7DD6DE12" w:rsidR="00871195" w:rsidRPr="00E9697D" w:rsidRDefault="00871195" w:rsidP="00E9697D">
      <w:pPr>
        <w:pStyle w:val="NIHRCFootnotes"/>
      </w:pPr>
      <w:r w:rsidRPr="00E9697D">
        <w:rPr>
          <w:vertAlign w:val="superscript"/>
        </w:rPr>
        <w:footnoteRef/>
      </w:r>
      <w:r w:rsidRPr="00E9697D">
        <w:rPr>
          <w:vertAlign w:val="superscript"/>
        </w:rPr>
        <w:t xml:space="preserve"> </w:t>
      </w:r>
      <w:r w:rsidRPr="00E9697D">
        <w:t xml:space="preserve">NI Human Rights Commission, ‘In Defence of Dignity: The Human Rights of Older People in Nursing Homes’ (NIHRC, 2012), at 71. </w:t>
      </w:r>
    </w:p>
  </w:footnote>
  <w:footnote w:id="63">
    <w:p w14:paraId="0BF24F35" w14:textId="4AEDB687" w:rsidR="00871195" w:rsidRPr="00E9697D" w:rsidRDefault="00871195" w:rsidP="00E9697D">
      <w:pPr>
        <w:pStyle w:val="NIHRCFootnotes"/>
      </w:pPr>
      <w:r w:rsidRPr="00E9697D">
        <w:rPr>
          <w:vertAlign w:val="superscript"/>
        </w:rPr>
        <w:footnoteRef/>
      </w:r>
      <w:r w:rsidRPr="00E9697D">
        <w:t xml:space="preserve"> Commissioner for Older People for NI, ‘Home Truths’ (COPNI, 2018), at 30.</w:t>
      </w:r>
    </w:p>
  </w:footnote>
  <w:footnote w:id="64">
    <w:p w14:paraId="08D2780A" w14:textId="3E457D92" w:rsidR="00871195" w:rsidRPr="00E9697D" w:rsidRDefault="00871195" w:rsidP="00E9697D">
      <w:pPr>
        <w:pStyle w:val="NIHRCFootnotes"/>
      </w:pPr>
      <w:r w:rsidRPr="00E9697D">
        <w:rPr>
          <w:vertAlign w:val="superscript"/>
        </w:rPr>
        <w:footnoteRef/>
      </w:r>
      <w:r w:rsidRPr="00E9697D">
        <w:t xml:space="preserve"> CRPD/C/GC/5,</w:t>
      </w:r>
      <w:r>
        <w:t>’</w:t>
      </w:r>
      <w:r w:rsidRPr="00E9697D">
        <w:t xml:space="preserve"> </w:t>
      </w:r>
      <w:r>
        <w:t xml:space="preserve">UN CRPD Committee </w:t>
      </w:r>
      <w:r w:rsidRPr="00E9697D">
        <w:t xml:space="preserve">General </w:t>
      </w:r>
      <w:r>
        <w:t>C</w:t>
      </w:r>
      <w:r w:rsidRPr="00E9697D">
        <w:t xml:space="preserve">omment </w:t>
      </w:r>
      <w:r>
        <w:t>No 5:</w:t>
      </w:r>
      <w:r w:rsidRPr="00E9697D">
        <w:t xml:space="preserve"> </w:t>
      </w:r>
      <w:r>
        <w:t>L</w:t>
      </w:r>
      <w:r w:rsidRPr="00E9697D">
        <w:t xml:space="preserve">iving </w:t>
      </w:r>
      <w:r>
        <w:t>I</w:t>
      </w:r>
      <w:r w:rsidRPr="00E9697D">
        <w:t xml:space="preserve">ndependently and </w:t>
      </w:r>
      <w:r>
        <w:t>B</w:t>
      </w:r>
      <w:r w:rsidRPr="00E9697D">
        <w:t xml:space="preserve">eing </w:t>
      </w:r>
      <w:r>
        <w:t>I</w:t>
      </w:r>
      <w:r w:rsidRPr="00E9697D">
        <w:t xml:space="preserve">ncluded in the </w:t>
      </w:r>
      <w:r>
        <w:t>C</w:t>
      </w:r>
      <w:r w:rsidRPr="00E9697D">
        <w:t>ommunity’</w:t>
      </w:r>
      <w:r>
        <w:t>,</w:t>
      </w:r>
      <w:r w:rsidRPr="00E9697D">
        <w:t xml:space="preserve"> </w:t>
      </w:r>
      <w:r>
        <w:t xml:space="preserve">27 </w:t>
      </w:r>
      <w:r w:rsidRPr="00E9697D">
        <w:t xml:space="preserve">October 2017, at para 16(a). </w:t>
      </w:r>
    </w:p>
  </w:footnote>
  <w:footnote w:id="65">
    <w:p w14:paraId="0D53DDEB" w14:textId="59A09C49" w:rsidR="00871195" w:rsidRPr="00E9697D" w:rsidRDefault="00871195" w:rsidP="00E9697D">
      <w:pPr>
        <w:pStyle w:val="NIHRCFootnotes"/>
      </w:pPr>
      <w:r w:rsidRPr="00E9697D">
        <w:rPr>
          <w:vertAlign w:val="superscript"/>
        </w:rPr>
        <w:footnoteRef/>
      </w:r>
      <w:r w:rsidRPr="00E9697D">
        <w:t xml:space="preserve"> CRPD/C/GC/5,</w:t>
      </w:r>
      <w:r>
        <w:t>’</w:t>
      </w:r>
      <w:r w:rsidRPr="00E9697D">
        <w:t xml:space="preserve"> </w:t>
      </w:r>
      <w:r>
        <w:t xml:space="preserve">UN CRPD Committee </w:t>
      </w:r>
      <w:r w:rsidRPr="00E9697D">
        <w:t xml:space="preserve">General </w:t>
      </w:r>
      <w:r>
        <w:t>C</w:t>
      </w:r>
      <w:r w:rsidRPr="00E9697D">
        <w:t xml:space="preserve">omment </w:t>
      </w:r>
      <w:r>
        <w:t>No 5:</w:t>
      </w:r>
      <w:r w:rsidRPr="00E9697D">
        <w:t xml:space="preserve"> </w:t>
      </w:r>
      <w:r>
        <w:t>L</w:t>
      </w:r>
      <w:r w:rsidRPr="00E9697D">
        <w:t xml:space="preserve">iving </w:t>
      </w:r>
      <w:r>
        <w:t>I</w:t>
      </w:r>
      <w:r w:rsidRPr="00E9697D">
        <w:t xml:space="preserve">ndependently and </w:t>
      </w:r>
      <w:r>
        <w:t>B</w:t>
      </w:r>
      <w:r w:rsidRPr="00E9697D">
        <w:t xml:space="preserve">eing </w:t>
      </w:r>
      <w:r>
        <w:t>I</w:t>
      </w:r>
      <w:r w:rsidRPr="00E9697D">
        <w:t xml:space="preserve">ncluded in the </w:t>
      </w:r>
      <w:r>
        <w:t>C</w:t>
      </w:r>
      <w:r w:rsidRPr="00E9697D">
        <w:t>ommunity’</w:t>
      </w:r>
      <w:r>
        <w:t>,</w:t>
      </w:r>
      <w:r w:rsidRPr="00E9697D">
        <w:t xml:space="preserve"> </w:t>
      </w:r>
      <w:r>
        <w:t xml:space="preserve">27 </w:t>
      </w:r>
      <w:r w:rsidRPr="00E9697D">
        <w:t xml:space="preserve">October 2017, at para 28. </w:t>
      </w:r>
    </w:p>
  </w:footnote>
  <w:footnote w:id="66">
    <w:p w14:paraId="65754262" w14:textId="50F8D97B" w:rsidR="00871195" w:rsidRPr="00E9697D" w:rsidRDefault="00871195" w:rsidP="00E9697D">
      <w:pPr>
        <w:pStyle w:val="NIHRCFootnotes"/>
      </w:pPr>
      <w:r w:rsidRPr="00E9697D">
        <w:rPr>
          <w:vertAlign w:val="superscript"/>
        </w:rPr>
        <w:footnoteRef/>
      </w:r>
      <w:r w:rsidRPr="00E9697D">
        <w:t xml:space="preserve"> CRPD/C/GC/5,</w:t>
      </w:r>
      <w:r>
        <w:t>’</w:t>
      </w:r>
      <w:r w:rsidRPr="00E9697D">
        <w:t xml:space="preserve"> </w:t>
      </w:r>
      <w:r>
        <w:t xml:space="preserve">UN CRPD Committee </w:t>
      </w:r>
      <w:r w:rsidRPr="00E9697D">
        <w:t xml:space="preserve">General </w:t>
      </w:r>
      <w:r>
        <w:t>C</w:t>
      </w:r>
      <w:r w:rsidRPr="00E9697D">
        <w:t xml:space="preserve">omment </w:t>
      </w:r>
      <w:r>
        <w:t>No 5:</w:t>
      </w:r>
      <w:r w:rsidRPr="00E9697D">
        <w:t xml:space="preserve"> </w:t>
      </w:r>
      <w:r>
        <w:t>L</w:t>
      </w:r>
      <w:r w:rsidRPr="00E9697D">
        <w:t xml:space="preserve">iving </w:t>
      </w:r>
      <w:r>
        <w:t>I</w:t>
      </w:r>
      <w:r w:rsidRPr="00E9697D">
        <w:t xml:space="preserve">ndependently and </w:t>
      </w:r>
      <w:r>
        <w:t>B</w:t>
      </w:r>
      <w:r w:rsidRPr="00E9697D">
        <w:t xml:space="preserve">eing </w:t>
      </w:r>
      <w:r>
        <w:t>I</w:t>
      </w:r>
      <w:r w:rsidRPr="00E9697D">
        <w:t xml:space="preserve">ncluded in the </w:t>
      </w:r>
      <w:r>
        <w:t>C</w:t>
      </w:r>
      <w:r w:rsidRPr="00E9697D">
        <w:t>ommunity’</w:t>
      </w:r>
      <w:r>
        <w:t>,</w:t>
      </w:r>
      <w:r w:rsidRPr="00E9697D">
        <w:t xml:space="preserve"> </w:t>
      </w:r>
      <w:r>
        <w:t xml:space="preserve">27 </w:t>
      </w:r>
      <w:r w:rsidRPr="00E9697D">
        <w:t xml:space="preserve">October 2017, at para 24. </w:t>
      </w:r>
    </w:p>
  </w:footnote>
  <w:footnote w:id="67">
    <w:p w14:paraId="5E80846A" w14:textId="3A53FF44" w:rsidR="00871195" w:rsidRPr="00E9697D" w:rsidRDefault="00871195" w:rsidP="00E9697D">
      <w:pPr>
        <w:pStyle w:val="NIHRCFootnotes"/>
        <w:rPr>
          <w:vertAlign w:val="superscript"/>
        </w:rPr>
      </w:pPr>
      <w:r w:rsidRPr="00E9697D">
        <w:rPr>
          <w:vertAlign w:val="superscript"/>
        </w:rPr>
        <w:footnoteRef/>
      </w:r>
      <w:r w:rsidRPr="00E9697D">
        <w:t xml:space="preserve"> A/HRC/22/53 ‘Report of the Special Rapporteur on </w:t>
      </w:r>
      <w:r>
        <w:t>T</w:t>
      </w:r>
      <w:r w:rsidRPr="00E9697D">
        <w:t xml:space="preserve">orture and </w:t>
      </w:r>
      <w:r>
        <w:t>O</w:t>
      </w:r>
      <w:r w:rsidRPr="00E9697D">
        <w:t xml:space="preserve">ther </w:t>
      </w:r>
      <w:r>
        <w:t>C</w:t>
      </w:r>
      <w:r w:rsidRPr="00E9697D">
        <w:t xml:space="preserve">ruel, </w:t>
      </w:r>
      <w:r>
        <w:t>I</w:t>
      </w:r>
      <w:r w:rsidRPr="00E9697D">
        <w:t xml:space="preserve">nhuman or </w:t>
      </w:r>
      <w:r>
        <w:t>D</w:t>
      </w:r>
      <w:r w:rsidRPr="00E9697D">
        <w:t xml:space="preserve">egrading </w:t>
      </w:r>
      <w:r>
        <w:t>T</w:t>
      </w:r>
      <w:r w:rsidRPr="00E9697D">
        <w:t xml:space="preserve">reatment or </w:t>
      </w:r>
      <w:r>
        <w:t>P</w:t>
      </w:r>
      <w:r w:rsidRPr="00E9697D">
        <w:t>unishment, Juan E Méndez’, 1 February 2013, at para 61.</w:t>
      </w:r>
    </w:p>
  </w:footnote>
  <w:footnote w:id="68">
    <w:p w14:paraId="0364B60C" w14:textId="31B0401D" w:rsidR="00871195" w:rsidRPr="00E9697D" w:rsidRDefault="00871195" w:rsidP="00E9697D">
      <w:pPr>
        <w:pStyle w:val="NIHRCFootnotes"/>
      </w:pPr>
      <w:r w:rsidRPr="00E9697D">
        <w:rPr>
          <w:vertAlign w:val="superscript"/>
        </w:rPr>
        <w:footnoteRef/>
      </w:r>
      <w:r w:rsidRPr="00E9697D">
        <w:t xml:space="preserve"> CM/Rec(2014)2, ‘CoE Committee of Ministers, Recommendation to Member States on the Promotion of Human Rights of Older Persons’, 19 February 2014, at para 9. </w:t>
      </w:r>
    </w:p>
  </w:footnote>
  <w:footnote w:id="69">
    <w:p w14:paraId="49A88E2D" w14:textId="39177E64" w:rsidR="00871195" w:rsidRPr="00E9697D" w:rsidRDefault="00871195" w:rsidP="00E9697D">
      <w:pPr>
        <w:pStyle w:val="NIHRCFootnotes"/>
      </w:pPr>
      <w:r w:rsidRPr="00E9697D">
        <w:rPr>
          <w:vertAlign w:val="superscript"/>
        </w:rPr>
        <w:footnoteRef/>
      </w:r>
      <w:r w:rsidRPr="00E9697D">
        <w:rPr>
          <w:vertAlign w:val="superscript"/>
        </w:rPr>
        <w:t xml:space="preserve"> </w:t>
      </w:r>
      <w:r w:rsidRPr="00E9697D">
        <w:t>E/C.12/2000/4</w:t>
      </w:r>
      <w:r>
        <w:t>,</w:t>
      </w:r>
      <w:r w:rsidRPr="00E9697D">
        <w:t xml:space="preserve"> </w:t>
      </w:r>
      <w:r>
        <w:t>‘</w:t>
      </w:r>
      <w:r w:rsidRPr="00E9697D">
        <w:t xml:space="preserve">UN </w:t>
      </w:r>
      <w:r>
        <w:t>ICESCR Committee</w:t>
      </w:r>
      <w:r w:rsidRPr="00E9697D">
        <w:t> General Comment No 14: Right to the Highest Attainable Standard of Health</w:t>
      </w:r>
      <w:r>
        <w:t>’</w:t>
      </w:r>
      <w:r w:rsidRPr="00E9697D">
        <w:t>, 11 August 2000, at para 54.</w:t>
      </w:r>
    </w:p>
  </w:footnote>
  <w:footnote w:id="70">
    <w:p w14:paraId="62632771" w14:textId="4F827725" w:rsidR="00871195" w:rsidRPr="00E9697D" w:rsidRDefault="00871195" w:rsidP="00E9697D">
      <w:pPr>
        <w:pStyle w:val="NIHRCFootnotes"/>
      </w:pPr>
      <w:r w:rsidRPr="00E9697D">
        <w:rPr>
          <w:vertAlign w:val="superscript"/>
        </w:rPr>
        <w:footnoteRef/>
      </w:r>
      <w:r w:rsidRPr="00E9697D">
        <w:rPr>
          <w:vertAlign w:val="superscript"/>
        </w:rPr>
        <w:t xml:space="preserve"> </w:t>
      </w:r>
      <w:r>
        <w:t xml:space="preserve">CRPD/C/GC/5, ‘UN CRPD Committee </w:t>
      </w:r>
      <w:r w:rsidRPr="00E9697D">
        <w:t xml:space="preserve">General </w:t>
      </w:r>
      <w:r>
        <w:t>C</w:t>
      </w:r>
      <w:r w:rsidRPr="00E9697D">
        <w:t xml:space="preserve">omment </w:t>
      </w:r>
      <w:r>
        <w:t>No 5: L</w:t>
      </w:r>
      <w:r w:rsidRPr="00E9697D">
        <w:t xml:space="preserve">iving </w:t>
      </w:r>
      <w:r>
        <w:t>I</w:t>
      </w:r>
      <w:r w:rsidRPr="00E9697D">
        <w:t xml:space="preserve">ndependently and </w:t>
      </w:r>
      <w:r>
        <w:t>B</w:t>
      </w:r>
      <w:r w:rsidRPr="00E9697D">
        <w:t xml:space="preserve">eing </w:t>
      </w:r>
      <w:r>
        <w:t>I</w:t>
      </w:r>
      <w:r w:rsidRPr="00E9697D">
        <w:t xml:space="preserve">ncluded in the </w:t>
      </w:r>
      <w:r>
        <w:t>C</w:t>
      </w:r>
      <w:r w:rsidRPr="00E9697D">
        <w:t>ommunity’</w:t>
      </w:r>
      <w:r>
        <w:t>,</w:t>
      </w:r>
      <w:r w:rsidRPr="00E9697D">
        <w:t xml:space="preserve"> </w:t>
      </w:r>
      <w:r>
        <w:t xml:space="preserve">27 </w:t>
      </w:r>
      <w:r w:rsidRPr="00E9697D">
        <w:t xml:space="preserve">October 2017, at para 21. </w:t>
      </w:r>
    </w:p>
  </w:footnote>
  <w:footnote w:id="71">
    <w:p w14:paraId="10ED04C0" w14:textId="3261A449" w:rsidR="00871195" w:rsidRPr="00E9697D" w:rsidRDefault="00871195" w:rsidP="00E9697D">
      <w:pPr>
        <w:pStyle w:val="NIHRCFootnotes"/>
      </w:pPr>
      <w:r w:rsidRPr="00E9697D">
        <w:rPr>
          <w:vertAlign w:val="superscript"/>
        </w:rPr>
        <w:footnoteRef/>
      </w:r>
      <w:r w:rsidRPr="00E9697D">
        <w:rPr>
          <w:vertAlign w:val="superscript"/>
        </w:rPr>
        <w:t xml:space="preserve"> </w:t>
      </w:r>
      <w:r>
        <w:t xml:space="preserve">CRPD/C/GC/5, ‘UN CRPD Committee </w:t>
      </w:r>
      <w:r w:rsidRPr="00E9697D">
        <w:t xml:space="preserve">General </w:t>
      </w:r>
      <w:r>
        <w:t>C</w:t>
      </w:r>
      <w:r w:rsidRPr="00E9697D">
        <w:t xml:space="preserve">omment </w:t>
      </w:r>
      <w:r>
        <w:t>No 5: L</w:t>
      </w:r>
      <w:r w:rsidRPr="00E9697D">
        <w:t xml:space="preserve">iving </w:t>
      </w:r>
      <w:r>
        <w:t>I</w:t>
      </w:r>
      <w:r w:rsidRPr="00E9697D">
        <w:t xml:space="preserve">ndependently and </w:t>
      </w:r>
      <w:r>
        <w:t>B</w:t>
      </w:r>
      <w:r w:rsidRPr="00E9697D">
        <w:t xml:space="preserve">eing </w:t>
      </w:r>
      <w:r>
        <w:t>I</w:t>
      </w:r>
      <w:r w:rsidRPr="00E9697D">
        <w:t xml:space="preserve">ncluded in the </w:t>
      </w:r>
      <w:r>
        <w:t>C</w:t>
      </w:r>
      <w:r w:rsidRPr="00E9697D">
        <w:t>ommunity’</w:t>
      </w:r>
      <w:r>
        <w:t>,</w:t>
      </w:r>
      <w:r w:rsidRPr="00E9697D">
        <w:t xml:space="preserve"> </w:t>
      </w:r>
      <w:r>
        <w:t xml:space="preserve">27 </w:t>
      </w:r>
      <w:r w:rsidRPr="00E9697D">
        <w:t xml:space="preserve">October 2017, at </w:t>
      </w:r>
      <w:r>
        <w:t xml:space="preserve">para </w:t>
      </w:r>
      <w:r w:rsidRPr="00E9697D">
        <w:t xml:space="preserve">16(c). </w:t>
      </w:r>
    </w:p>
  </w:footnote>
  <w:footnote w:id="72">
    <w:p w14:paraId="21ABEC2D" w14:textId="71269BB2" w:rsidR="00871195" w:rsidRDefault="00871195" w:rsidP="00DC0D3D">
      <w:pPr>
        <w:pStyle w:val="FootnoteText"/>
      </w:pPr>
      <w:r w:rsidRPr="00560C4F">
        <w:rPr>
          <w:rFonts w:cs="Arial"/>
          <w:color w:val="77328A"/>
          <w:sz w:val="16"/>
          <w:szCs w:val="16"/>
        </w:rPr>
        <w:footnoteRef/>
      </w:r>
      <w:r w:rsidRPr="00560C4F">
        <w:rPr>
          <w:rFonts w:cs="Arial"/>
          <w:color w:val="77328A"/>
          <w:sz w:val="16"/>
          <w:szCs w:val="16"/>
          <w:vertAlign w:val="superscript"/>
        </w:rPr>
        <w:t xml:space="preserve"> </w:t>
      </w:r>
      <w:r w:rsidRPr="00560C4F">
        <w:rPr>
          <w:rFonts w:cs="Arial"/>
          <w:color w:val="77328A"/>
          <w:sz w:val="16"/>
          <w:szCs w:val="16"/>
        </w:rPr>
        <w:t xml:space="preserve">Commissioner for Older People for </w:t>
      </w:r>
      <w:r>
        <w:rPr>
          <w:rFonts w:cs="Arial"/>
          <w:color w:val="77328A"/>
          <w:sz w:val="16"/>
          <w:szCs w:val="16"/>
        </w:rPr>
        <w:t>NI</w:t>
      </w:r>
      <w:r w:rsidRPr="00560C4F">
        <w:rPr>
          <w:rFonts w:cs="Arial"/>
          <w:color w:val="77328A"/>
          <w:sz w:val="16"/>
          <w:szCs w:val="16"/>
        </w:rPr>
        <w:t>, ‘Press Release: Commissioner says denial of care home visits a breach of human rights’</w:t>
      </w:r>
      <w:r>
        <w:rPr>
          <w:rFonts w:cs="Arial"/>
          <w:color w:val="77328A"/>
          <w:sz w:val="16"/>
          <w:szCs w:val="16"/>
        </w:rPr>
        <w:t>,</w:t>
      </w:r>
      <w:r w:rsidRPr="00560C4F">
        <w:rPr>
          <w:rFonts w:cs="Arial"/>
          <w:color w:val="77328A"/>
          <w:sz w:val="16"/>
          <w:szCs w:val="16"/>
        </w:rPr>
        <w:t xml:space="preserve"> 10 March 2021.</w:t>
      </w:r>
    </w:p>
  </w:footnote>
  <w:footnote w:id="73">
    <w:p w14:paraId="236FFFE7" w14:textId="04875AA5" w:rsidR="00871195" w:rsidRDefault="00871195" w:rsidP="00EA1419">
      <w:pPr>
        <w:pStyle w:val="FootnoteText"/>
      </w:pPr>
      <w:r w:rsidRPr="00560C4F">
        <w:rPr>
          <w:rFonts w:cs="Arial"/>
          <w:color w:val="77328A"/>
          <w:sz w:val="16"/>
          <w:szCs w:val="16"/>
        </w:rPr>
        <w:footnoteRef/>
      </w:r>
      <w:r w:rsidRPr="00560C4F">
        <w:rPr>
          <w:rFonts w:cs="Arial"/>
          <w:color w:val="77328A"/>
          <w:sz w:val="16"/>
          <w:szCs w:val="16"/>
          <w:vertAlign w:val="superscript"/>
        </w:rPr>
        <w:t xml:space="preserve"> </w:t>
      </w:r>
      <w:r w:rsidRPr="00560C4F">
        <w:rPr>
          <w:rFonts w:cs="Arial"/>
          <w:color w:val="77328A"/>
          <w:sz w:val="16"/>
          <w:szCs w:val="16"/>
        </w:rPr>
        <w:t>Committee for Health, ‘Inquiry Report on the Impact of COVID-19 in Care Homes’, 1 February 2021, at para 14.</w:t>
      </w:r>
    </w:p>
  </w:footnote>
  <w:footnote w:id="74">
    <w:p w14:paraId="6FDC0666" w14:textId="24651364" w:rsidR="00871195" w:rsidRPr="00E9697D" w:rsidRDefault="00871195" w:rsidP="00E9697D">
      <w:pPr>
        <w:pStyle w:val="NIHRCFootnotes"/>
      </w:pPr>
      <w:r w:rsidRPr="00E9697D">
        <w:rPr>
          <w:vertAlign w:val="superscript"/>
        </w:rPr>
        <w:footnoteRef/>
      </w:r>
      <w:r w:rsidRPr="00E9697D">
        <w:t xml:space="preserve"> E/C.12/GC/20</w:t>
      </w:r>
      <w:r>
        <w:t>,</w:t>
      </w:r>
      <w:r w:rsidRPr="00E9697D">
        <w:t xml:space="preserve"> </w:t>
      </w:r>
      <w:r>
        <w:t>‘UN ICESCR Committee</w:t>
      </w:r>
      <w:r w:rsidRPr="00E9697D">
        <w:t xml:space="preserve"> General </w:t>
      </w:r>
      <w:r>
        <w:t>C</w:t>
      </w:r>
      <w:r w:rsidRPr="00E9697D">
        <w:t xml:space="preserve">omment No 20: Non-discrimination in </w:t>
      </w:r>
      <w:r>
        <w:t>E</w:t>
      </w:r>
      <w:r w:rsidRPr="00E9697D">
        <w:t xml:space="preserve">conomic, </w:t>
      </w:r>
      <w:r>
        <w:t>S</w:t>
      </w:r>
      <w:r w:rsidRPr="00E9697D">
        <w:t xml:space="preserve">ocial and </w:t>
      </w:r>
      <w:r>
        <w:t>C</w:t>
      </w:r>
      <w:r w:rsidRPr="00E9697D">
        <w:t xml:space="preserve">ultural </w:t>
      </w:r>
      <w:r>
        <w:t>R</w:t>
      </w:r>
      <w:r w:rsidRPr="00E9697D">
        <w:t>ights</w:t>
      </w:r>
      <w:r>
        <w:t>’</w:t>
      </w:r>
      <w:r w:rsidRPr="00E9697D">
        <w:t>, 2 July 2009. </w:t>
      </w:r>
    </w:p>
  </w:footnote>
  <w:footnote w:id="75">
    <w:p w14:paraId="66EE7049" w14:textId="25D09A83" w:rsidR="00871195" w:rsidRPr="00212F30" w:rsidRDefault="00871195" w:rsidP="00E9697D">
      <w:pPr>
        <w:pStyle w:val="NIHRCFootnotes"/>
        <w:rPr>
          <w:i/>
          <w:iCs/>
        </w:rPr>
      </w:pPr>
      <w:r w:rsidRPr="00E9697D">
        <w:rPr>
          <w:vertAlign w:val="superscript"/>
        </w:rPr>
        <w:footnoteRef/>
      </w:r>
      <w:r w:rsidRPr="00E9697D">
        <w:rPr>
          <w:vertAlign w:val="superscript"/>
        </w:rPr>
        <w:t xml:space="preserve"> </w:t>
      </w:r>
      <w:r w:rsidRPr="00E9697D">
        <w:t>For example</w:t>
      </w:r>
      <w:r>
        <w:t>,</w:t>
      </w:r>
      <w:r w:rsidRPr="00E9697D">
        <w:t xml:space="preserve"> </w:t>
      </w:r>
      <w:r>
        <w:t>in 2022 there was a</w:t>
      </w:r>
      <w:r w:rsidRPr="00E9697D">
        <w:t xml:space="preserve"> gap of seven years in male life expectancy between the most and the least deprived areas. </w:t>
      </w:r>
      <w:r w:rsidRPr="00E9697D">
        <w:rPr>
          <w:i/>
          <w:iCs/>
        </w:rPr>
        <w:t>See</w:t>
      </w:r>
      <w:r w:rsidRPr="00E9697D">
        <w:t xml:space="preserve"> Department of Health, ‘Health Inequalities Annual Report’ (DoH, 2022). </w:t>
      </w:r>
    </w:p>
  </w:footnote>
  <w:footnote w:id="76">
    <w:p w14:paraId="64569CD3" w14:textId="2C230141" w:rsidR="00871195" w:rsidRPr="00E9697D" w:rsidRDefault="00871195" w:rsidP="00E9697D">
      <w:pPr>
        <w:pStyle w:val="NIHRCFootnotes"/>
      </w:pPr>
      <w:r w:rsidRPr="00E9697D">
        <w:rPr>
          <w:vertAlign w:val="superscript"/>
        </w:rPr>
        <w:footnoteRef/>
      </w:r>
      <w:r w:rsidRPr="00E9697D">
        <w:t xml:space="preserve"> </w:t>
      </w:r>
      <w:r>
        <w:t>Department of Health, ‘Consultation on the Reform o</w:t>
      </w:r>
      <w:r w:rsidRPr="00F30BA0">
        <w:t>f Adult Social Care</w:t>
      </w:r>
      <w:r>
        <w:t xml:space="preserve">’ (DoH, 2022), at </w:t>
      </w:r>
      <w:r w:rsidRPr="00E9697D">
        <w:t xml:space="preserve">57. </w:t>
      </w:r>
    </w:p>
  </w:footnote>
  <w:footnote w:id="77">
    <w:p w14:paraId="69CB319A" w14:textId="7D3F17C5" w:rsidR="00871195" w:rsidRPr="00E9697D" w:rsidRDefault="00871195" w:rsidP="00E9697D">
      <w:pPr>
        <w:pStyle w:val="NIHRCFootnotes"/>
      </w:pPr>
      <w:r w:rsidRPr="00E9697D">
        <w:rPr>
          <w:vertAlign w:val="superscript"/>
        </w:rPr>
        <w:footnoteRef/>
      </w:r>
      <w:r w:rsidRPr="00E9697D">
        <w:t xml:space="preserve"> CRPD/C/GC/5</w:t>
      </w:r>
      <w:r>
        <w:t xml:space="preserve">, ‘UN CRPD Committee </w:t>
      </w:r>
      <w:r w:rsidRPr="00E9697D">
        <w:t xml:space="preserve">General </w:t>
      </w:r>
      <w:r>
        <w:t>C</w:t>
      </w:r>
      <w:r w:rsidRPr="00E9697D">
        <w:t xml:space="preserve">omment No </w:t>
      </w:r>
      <w:r>
        <w:t>5: L</w:t>
      </w:r>
      <w:r w:rsidRPr="00E9697D">
        <w:t xml:space="preserve">iving </w:t>
      </w:r>
      <w:r>
        <w:t>I</w:t>
      </w:r>
      <w:r w:rsidRPr="00E9697D">
        <w:t xml:space="preserve">ndependently and </w:t>
      </w:r>
      <w:r>
        <w:t>B</w:t>
      </w:r>
      <w:r w:rsidRPr="00E9697D">
        <w:t xml:space="preserve">eing </w:t>
      </w:r>
      <w:r>
        <w:t>I</w:t>
      </w:r>
      <w:r w:rsidRPr="00E9697D">
        <w:t xml:space="preserve">ncluded in the </w:t>
      </w:r>
      <w:r>
        <w:t>C</w:t>
      </w:r>
      <w:r w:rsidRPr="00E9697D">
        <w:t>ommunity’</w:t>
      </w:r>
      <w:r>
        <w:t>,</w:t>
      </w:r>
      <w:r w:rsidRPr="00E9697D">
        <w:t xml:space="preserve"> </w:t>
      </w:r>
      <w:r>
        <w:t xml:space="preserve">27 </w:t>
      </w:r>
      <w:r w:rsidRPr="00E9697D">
        <w:t>October 2017</w:t>
      </w:r>
      <w:r>
        <w:t>,</w:t>
      </w:r>
      <w:r w:rsidRPr="00E9697D">
        <w:t xml:space="preserve"> at para 67. </w:t>
      </w:r>
    </w:p>
  </w:footnote>
  <w:footnote w:id="78">
    <w:p w14:paraId="333AD0D0" w14:textId="64FCE05A" w:rsidR="00871195" w:rsidRPr="00E9697D" w:rsidRDefault="00871195" w:rsidP="00E9697D">
      <w:pPr>
        <w:pStyle w:val="NIHRCFootnotes"/>
      </w:pPr>
      <w:r w:rsidRPr="00E9697D">
        <w:rPr>
          <w:vertAlign w:val="superscript"/>
        </w:rPr>
        <w:footnoteRef/>
      </w:r>
      <w:r w:rsidRPr="00E9697D">
        <w:rPr>
          <w:vertAlign w:val="superscript"/>
        </w:rPr>
        <w:t xml:space="preserve"> </w:t>
      </w:r>
      <w:r>
        <w:t>Department of Health, ‘Consultation on the Reform o</w:t>
      </w:r>
      <w:r w:rsidRPr="00F30BA0">
        <w:t>f Adult Social Care</w:t>
      </w:r>
      <w:r>
        <w:t xml:space="preserve">’ (DoH, 2022), at </w:t>
      </w:r>
      <w:r w:rsidRPr="00E9697D">
        <w:t xml:space="preserve">85. </w:t>
      </w:r>
    </w:p>
  </w:footnote>
  <w:footnote w:id="79">
    <w:p w14:paraId="72699CAB" w14:textId="46F3F3EB" w:rsidR="00871195" w:rsidRPr="00E9697D" w:rsidRDefault="00871195" w:rsidP="00E9697D">
      <w:pPr>
        <w:pStyle w:val="NIHRCFootnotes"/>
      </w:pPr>
      <w:r w:rsidRPr="00E9697D">
        <w:rPr>
          <w:vertAlign w:val="superscript"/>
        </w:rPr>
        <w:footnoteRef/>
      </w:r>
      <w:r w:rsidRPr="00E9697D">
        <w:t xml:space="preserve"> </w:t>
      </w:r>
      <w:r w:rsidRPr="00E9697D">
        <w:rPr>
          <w:i/>
          <w:iCs/>
        </w:rPr>
        <w:t>Watts v UK</w:t>
      </w:r>
      <w:r w:rsidRPr="00E9697D">
        <w:t xml:space="preserve"> (2010) ECHR 793, at para 88. </w:t>
      </w:r>
    </w:p>
  </w:footnote>
  <w:footnote w:id="80">
    <w:p w14:paraId="58AC358B" w14:textId="13F14C8E" w:rsidR="00871195" w:rsidRPr="00E9697D" w:rsidRDefault="00871195" w:rsidP="00E9697D">
      <w:pPr>
        <w:pStyle w:val="NIHRCFootnotes"/>
      </w:pPr>
      <w:r w:rsidRPr="00E9697D">
        <w:rPr>
          <w:vertAlign w:val="superscript"/>
        </w:rPr>
        <w:footnoteRef/>
      </w:r>
      <w:r w:rsidRPr="00E9697D">
        <w:t xml:space="preserve"> </w:t>
      </w:r>
      <w:r w:rsidRPr="00E9697D">
        <w:rPr>
          <w:i/>
          <w:iCs/>
        </w:rPr>
        <w:t>Watts v UK</w:t>
      </w:r>
      <w:r w:rsidRPr="00E9697D">
        <w:t xml:space="preserve"> (2010) ECHR 793, at para 97. </w:t>
      </w:r>
    </w:p>
  </w:footnote>
  <w:footnote w:id="81">
    <w:p w14:paraId="55232F55" w14:textId="10E934D9" w:rsidR="00871195" w:rsidRPr="00E9697D" w:rsidRDefault="00871195" w:rsidP="00E9697D">
      <w:pPr>
        <w:pStyle w:val="NIHRCFootnotes"/>
      </w:pPr>
      <w:r w:rsidRPr="00E9697D">
        <w:rPr>
          <w:vertAlign w:val="superscript"/>
        </w:rPr>
        <w:footnoteRef/>
      </w:r>
      <w:r w:rsidRPr="00E9697D">
        <w:rPr>
          <w:vertAlign w:val="superscript"/>
        </w:rPr>
        <w:t xml:space="preserve"> </w:t>
      </w:r>
      <w:r>
        <w:t>Department of Health, ‘Consultation on the Reform o</w:t>
      </w:r>
      <w:r w:rsidRPr="00F30BA0">
        <w:t>f Adult Social Care</w:t>
      </w:r>
      <w:r>
        <w:t xml:space="preserve">’ (DoH, 2022), at </w:t>
      </w:r>
      <w:r w:rsidRPr="00E9697D">
        <w:t xml:space="preserve">85. </w:t>
      </w:r>
    </w:p>
  </w:footnote>
  <w:footnote w:id="82">
    <w:p w14:paraId="41DBA8D2" w14:textId="6C8886F3" w:rsidR="00871195" w:rsidRPr="00E9697D" w:rsidRDefault="00871195" w:rsidP="00E9697D">
      <w:pPr>
        <w:pStyle w:val="NIHRCFootnotes"/>
      </w:pPr>
      <w:r w:rsidRPr="00E9697D">
        <w:rPr>
          <w:vertAlign w:val="superscript"/>
        </w:rPr>
        <w:footnoteRef/>
      </w:r>
      <w:r w:rsidRPr="00E9697D">
        <w:rPr>
          <w:vertAlign w:val="superscript"/>
        </w:rPr>
        <w:t xml:space="preserve"> </w:t>
      </w:r>
      <w:r w:rsidRPr="00E9697D">
        <w:t xml:space="preserve">European Network of National Human Rights Institutions, ‘We Have the Same Rights: The Human Rights of Older Persons in Europe’ (ENNHRI, 2017), at 69. </w:t>
      </w:r>
    </w:p>
  </w:footnote>
  <w:footnote w:id="83">
    <w:p w14:paraId="22E84B12" w14:textId="06ED8D7B" w:rsidR="00871195" w:rsidRPr="00E9697D" w:rsidRDefault="00871195" w:rsidP="00E9697D">
      <w:pPr>
        <w:pStyle w:val="NIHRCFootnotes"/>
      </w:pPr>
      <w:r w:rsidRPr="00E9697D">
        <w:rPr>
          <w:vertAlign w:val="superscript"/>
        </w:rPr>
        <w:footnoteRef/>
      </w:r>
      <w:r w:rsidRPr="00E9697D">
        <w:t xml:space="preserve"> See Articles 6 and 13, ECHR; Article 3, UN ICCPR; Article 13, UN CRPD.</w:t>
      </w:r>
    </w:p>
  </w:footnote>
  <w:footnote w:id="84">
    <w:p w14:paraId="172389C3" w14:textId="0705B4E7" w:rsidR="00871195" w:rsidRPr="00E9697D" w:rsidRDefault="00871195" w:rsidP="00E9697D">
      <w:pPr>
        <w:pStyle w:val="NIHRCFootnotes"/>
      </w:pPr>
      <w:r w:rsidRPr="00E9697D">
        <w:rPr>
          <w:vertAlign w:val="superscript"/>
        </w:rPr>
        <w:footnoteRef/>
      </w:r>
      <w:r w:rsidRPr="00E9697D">
        <w:rPr>
          <w:vertAlign w:val="superscript"/>
        </w:rPr>
        <w:t xml:space="preserve"> </w:t>
      </w:r>
      <w:r w:rsidRPr="00E9697D">
        <w:t xml:space="preserve">European Network of National Human Rights Institutions, ‘We Have the Same Rights: The Human Rights of Older Persons in Europe’ (ENNHRI, 2017), at 54. </w:t>
      </w:r>
    </w:p>
  </w:footnote>
  <w:footnote w:id="85">
    <w:p w14:paraId="4968CD7D" w14:textId="1F36D53F" w:rsidR="00871195" w:rsidRPr="00E9697D" w:rsidRDefault="00871195" w:rsidP="00E9697D">
      <w:pPr>
        <w:pStyle w:val="NIHRCFootnotes"/>
      </w:pPr>
      <w:r w:rsidRPr="00E9697D">
        <w:rPr>
          <w:vertAlign w:val="superscript"/>
        </w:rPr>
        <w:footnoteRef/>
      </w:r>
      <w:r w:rsidRPr="00E9697D">
        <w:rPr>
          <w:vertAlign w:val="superscript"/>
        </w:rPr>
        <w:t xml:space="preserve"> </w:t>
      </w:r>
      <w:r w:rsidRPr="00E9697D">
        <w:t>CRPD/C/GC/5</w:t>
      </w:r>
      <w:r>
        <w:t xml:space="preserve"> ‘UN CRPD Committee </w:t>
      </w:r>
      <w:r w:rsidRPr="00E9697D">
        <w:t>General comment No 5</w:t>
      </w:r>
      <w:r>
        <w:t>: L</w:t>
      </w:r>
      <w:r w:rsidRPr="00E9697D">
        <w:t xml:space="preserve">iving </w:t>
      </w:r>
      <w:r>
        <w:t>I</w:t>
      </w:r>
      <w:r w:rsidRPr="00E9697D">
        <w:t xml:space="preserve">ndependently and </w:t>
      </w:r>
      <w:r>
        <w:t>B</w:t>
      </w:r>
      <w:r w:rsidRPr="00E9697D">
        <w:t xml:space="preserve">eing </w:t>
      </w:r>
      <w:r>
        <w:t>I</w:t>
      </w:r>
      <w:r w:rsidRPr="00E9697D">
        <w:t xml:space="preserve">ncluded in the </w:t>
      </w:r>
      <w:r>
        <w:t>C</w:t>
      </w:r>
      <w:r w:rsidRPr="00E9697D">
        <w:t xml:space="preserve">ommunity’, </w:t>
      </w:r>
      <w:r>
        <w:t xml:space="preserve">27 </w:t>
      </w:r>
      <w:r w:rsidRPr="00E9697D">
        <w:t>October 2017, at para 81.</w:t>
      </w:r>
    </w:p>
  </w:footnote>
  <w:footnote w:id="86">
    <w:p w14:paraId="54A01178" w14:textId="499BA134" w:rsidR="00871195" w:rsidRPr="00E9697D" w:rsidRDefault="00871195" w:rsidP="00E9697D">
      <w:pPr>
        <w:pStyle w:val="NIHRCFootnotes"/>
      </w:pPr>
      <w:r w:rsidRPr="00E9697D">
        <w:rPr>
          <w:vertAlign w:val="superscript"/>
        </w:rPr>
        <w:footnoteRef/>
      </w:r>
      <w:r w:rsidRPr="00E9697D">
        <w:t xml:space="preserve"> CRPD/C/GC/5</w:t>
      </w:r>
      <w:r>
        <w:t xml:space="preserve"> ‘UN CRPD Committee </w:t>
      </w:r>
      <w:r w:rsidRPr="00E9697D">
        <w:t>General comment No 5</w:t>
      </w:r>
      <w:r>
        <w:t>: L</w:t>
      </w:r>
      <w:r w:rsidRPr="00E9697D">
        <w:t xml:space="preserve">iving </w:t>
      </w:r>
      <w:r>
        <w:t>I</w:t>
      </w:r>
      <w:r w:rsidRPr="00E9697D">
        <w:t xml:space="preserve">ndependently and </w:t>
      </w:r>
      <w:r>
        <w:t>B</w:t>
      </w:r>
      <w:r w:rsidRPr="00E9697D">
        <w:t xml:space="preserve">eing </w:t>
      </w:r>
      <w:r>
        <w:t>I</w:t>
      </w:r>
      <w:r w:rsidRPr="00E9697D">
        <w:t xml:space="preserve">ncluded in the </w:t>
      </w:r>
      <w:r>
        <w:t>C</w:t>
      </w:r>
      <w:r w:rsidRPr="00E9697D">
        <w:t xml:space="preserve">ommunity’, </w:t>
      </w:r>
      <w:r>
        <w:t xml:space="preserve">27 </w:t>
      </w:r>
      <w:r w:rsidRPr="00E9697D">
        <w:t>October 2017, at para 81.</w:t>
      </w:r>
    </w:p>
  </w:footnote>
  <w:footnote w:id="87">
    <w:p w14:paraId="5B365819" w14:textId="7E2C8287" w:rsidR="00871195" w:rsidRPr="00E9697D" w:rsidRDefault="00871195" w:rsidP="00E9697D">
      <w:pPr>
        <w:pStyle w:val="NIHRCFootnotes"/>
      </w:pPr>
      <w:r w:rsidRPr="00E9697D">
        <w:rPr>
          <w:vertAlign w:val="superscript"/>
        </w:rPr>
        <w:footnoteRef/>
      </w:r>
      <w:r w:rsidRPr="00E9697D">
        <w:rPr>
          <w:vertAlign w:val="superscript"/>
        </w:rPr>
        <w:t xml:space="preserve"> </w:t>
      </w:r>
      <w:r>
        <w:t>Department of Health, ‘Consultation on the Reform o</w:t>
      </w:r>
      <w:r w:rsidRPr="00F30BA0">
        <w:t>f Adult Social Care</w:t>
      </w:r>
      <w:r>
        <w:t>’ (DoH, 2022), at 16 and</w:t>
      </w:r>
      <w:r w:rsidRPr="00E9697D">
        <w:t xml:space="preserve"> 69.</w:t>
      </w:r>
    </w:p>
  </w:footnote>
  <w:footnote w:id="88">
    <w:p w14:paraId="3CCD4BF7" w14:textId="388B8DAF" w:rsidR="00871195" w:rsidRPr="00E9697D" w:rsidRDefault="00871195" w:rsidP="00E9697D">
      <w:pPr>
        <w:pStyle w:val="NIHRCFootnotes"/>
      </w:pPr>
      <w:r w:rsidRPr="00E9697D">
        <w:rPr>
          <w:vertAlign w:val="superscript"/>
        </w:rPr>
        <w:footnoteRef/>
      </w:r>
      <w:r w:rsidRPr="00E9697D">
        <w:t xml:space="preserve"> </w:t>
      </w:r>
      <w:r>
        <w:t>Department of Health, ‘Consultation on the Reform o</w:t>
      </w:r>
      <w:r w:rsidRPr="00F30BA0">
        <w:t>f Adult Social Care</w:t>
      </w:r>
      <w:r>
        <w:t xml:space="preserve">’ (DoH, 2022), at 47 and </w:t>
      </w:r>
      <w:r w:rsidRPr="00E9697D">
        <w:t xml:space="preserve">49. </w:t>
      </w:r>
    </w:p>
  </w:footnote>
  <w:footnote w:id="89">
    <w:p w14:paraId="2AE82962" w14:textId="730AAC81" w:rsidR="00871195" w:rsidRPr="00E9697D" w:rsidRDefault="00871195" w:rsidP="00E9697D">
      <w:pPr>
        <w:pStyle w:val="NIHRCFootnotes"/>
      </w:pPr>
      <w:r w:rsidRPr="00E9697D">
        <w:rPr>
          <w:vertAlign w:val="superscript"/>
        </w:rPr>
        <w:footnoteRef/>
      </w:r>
      <w:r w:rsidRPr="00E9697D">
        <w:rPr>
          <w:vertAlign w:val="superscript"/>
        </w:rPr>
        <w:t xml:space="preserve"> </w:t>
      </w:r>
      <w:r w:rsidRPr="00E9697D">
        <w:t>European Network of National Hu</w:t>
      </w:r>
      <w:r>
        <w:t>man Rights Institutions</w:t>
      </w:r>
      <w:r w:rsidRPr="00E9697D">
        <w:t>, ‘We Have the Same Rights: The Human Rig</w:t>
      </w:r>
      <w:r>
        <w:t xml:space="preserve">hts of Older Persons in Europe’ (ENNHRI, </w:t>
      </w:r>
      <w:r w:rsidRPr="00E9697D">
        <w:t>2017</w:t>
      </w:r>
      <w:r>
        <w:t>)</w:t>
      </w:r>
      <w:r w:rsidRPr="00E9697D">
        <w:t>, at 54</w:t>
      </w:r>
      <w:r>
        <w:t>;</w:t>
      </w:r>
      <w:r w:rsidRPr="00E9697D">
        <w:t xml:space="preserve"> Equality and Human Rights Commission, ‘Close to </w:t>
      </w:r>
      <w:r>
        <w:t>H</w:t>
      </w:r>
      <w:r w:rsidRPr="00E9697D">
        <w:t>ome</w:t>
      </w:r>
      <w:r>
        <w:t>:</w:t>
      </w:r>
      <w:r w:rsidRPr="00E9697D">
        <w:t xml:space="preserve"> An </w:t>
      </w:r>
      <w:r>
        <w:t>I</w:t>
      </w:r>
      <w:r w:rsidRPr="00E9697D">
        <w:t xml:space="preserve">nquiry into </w:t>
      </w:r>
      <w:r>
        <w:t>O</w:t>
      </w:r>
      <w:r w:rsidRPr="00E9697D">
        <w:t xml:space="preserve">lder </w:t>
      </w:r>
      <w:r>
        <w:t>P</w:t>
      </w:r>
      <w:r w:rsidRPr="00E9697D">
        <w:t>eople</w:t>
      </w:r>
      <w:r>
        <w:t xml:space="preserve"> and Human Rights in Home Care’</w:t>
      </w:r>
      <w:r w:rsidRPr="00E9697D">
        <w:t xml:space="preserve"> </w:t>
      </w:r>
      <w:r>
        <w:t>(EHRC,</w:t>
      </w:r>
      <w:r w:rsidRPr="00E9697D">
        <w:t xml:space="preserve"> 2011</w:t>
      </w:r>
      <w:r>
        <w:t>)</w:t>
      </w:r>
      <w:r w:rsidRPr="00E9697D">
        <w:t xml:space="preserve"> at 83.   </w:t>
      </w:r>
    </w:p>
    <w:p w14:paraId="27886899" w14:textId="77777777" w:rsidR="00871195" w:rsidRPr="00E9697D" w:rsidRDefault="00871195" w:rsidP="00E9697D">
      <w:pPr>
        <w:pStyle w:val="NIHRCFootnote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7FDCC23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519B500C"/>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3F2DBA30"/>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8775BF5"/>
    <w:multiLevelType w:val="multilevel"/>
    <w:tmpl w:val="41A23D0E"/>
    <w:lvl w:ilvl="0">
      <w:start w:val="6"/>
      <w:numFmt w:val="decimal"/>
      <w:lvlText w:val="%1"/>
      <w:lvlJc w:val="left"/>
      <w:pPr>
        <w:ind w:left="430" w:hanging="4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0DF051CE"/>
    <w:multiLevelType w:val="hybridMultilevel"/>
    <w:tmpl w:val="DB4C9588"/>
    <w:lvl w:ilvl="0" w:tplc="5000899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25AF0"/>
    <w:multiLevelType w:val="hybridMultilevel"/>
    <w:tmpl w:val="DEA06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9E25B4"/>
    <w:multiLevelType w:val="hybridMultilevel"/>
    <w:tmpl w:val="ABCE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AB598C"/>
    <w:multiLevelType w:val="multilevel"/>
    <w:tmpl w:val="1B0CF70A"/>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6"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3801BD"/>
    <w:multiLevelType w:val="multilevel"/>
    <w:tmpl w:val="44468B6A"/>
    <w:lvl w:ilvl="0">
      <w:start w:val="1"/>
      <w:numFmt w:val="decimal"/>
      <w:lvlText w:val="%1"/>
      <w:lvlJc w:val="left"/>
      <w:pPr>
        <w:ind w:left="548" w:hanging="548"/>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6D367439"/>
    <w:multiLevelType w:val="hybridMultilevel"/>
    <w:tmpl w:val="7842105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6C7E7E"/>
    <w:multiLevelType w:val="hybridMultilevel"/>
    <w:tmpl w:val="7842105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BC7688"/>
    <w:multiLevelType w:val="multilevel"/>
    <w:tmpl w:val="E4902102"/>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b w:val="0"/>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0A2AC6"/>
    <w:multiLevelType w:val="multilevel"/>
    <w:tmpl w:val="3954A0D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7BC64094"/>
    <w:multiLevelType w:val="multilevel"/>
    <w:tmpl w:val="50DC93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0942960">
    <w:abstractNumId w:val="16"/>
  </w:num>
  <w:num w:numId="2" w16cid:durableId="47648636">
    <w:abstractNumId w:val="24"/>
  </w:num>
  <w:num w:numId="3" w16cid:durableId="335957098">
    <w:abstractNumId w:val="9"/>
  </w:num>
  <w:num w:numId="4" w16cid:durableId="1269241717">
    <w:abstractNumId w:val="13"/>
  </w:num>
  <w:num w:numId="5" w16cid:durableId="66152928">
    <w:abstractNumId w:val="21"/>
  </w:num>
  <w:num w:numId="6" w16cid:durableId="703750000">
    <w:abstractNumId w:val="11"/>
  </w:num>
  <w:num w:numId="7" w16cid:durableId="810562317">
    <w:abstractNumId w:val="14"/>
  </w:num>
  <w:num w:numId="8" w16cid:durableId="309798276">
    <w:abstractNumId w:val="20"/>
  </w:num>
  <w:num w:numId="9" w16cid:durableId="633868512">
    <w:abstractNumId w:val="15"/>
  </w:num>
  <w:num w:numId="10" w16cid:durableId="1069689320">
    <w:abstractNumId w:val="4"/>
  </w:num>
  <w:num w:numId="11" w16cid:durableId="1175339130">
    <w:abstractNumId w:val="5"/>
  </w:num>
  <w:num w:numId="12" w16cid:durableId="1069234385">
    <w:abstractNumId w:val="0"/>
  </w:num>
  <w:num w:numId="13" w16cid:durableId="2047943949">
    <w:abstractNumId w:val="2"/>
  </w:num>
  <w:num w:numId="14" w16cid:durableId="2086174346">
    <w:abstractNumId w:val="10"/>
  </w:num>
  <w:num w:numId="15" w16cid:durableId="942999784">
    <w:abstractNumId w:val="12"/>
  </w:num>
  <w:num w:numId="16" w16cid:durableId="614757296">
    <w:abstractNumId w:val="17"/>
  </w:num>
  <w:num w:numId="17" w16cid:durableId="219705844">
    <w:abstractNumId w:val="18"/>
  </w:num>
  <w:num w:numId="18" w16cid:durableId="1672101974">
    <w:abstractNumId w:val="22"/>
  </w:num>
  <w:num w:numId="19" w16cid:durableId="618875836">
    <w:abstractNumId w:val="7"/>
  </w:num>
  <w:num w:numId="20" w16cid:durableId="556672531">
    <w:abstractNumId w:val="1"/>
  </w:num>
  <w:num w:numId="21" w16cid:durableId="9187387">
    <w:abstractNumId w:val="3"/>
  </w:num>
  <w:num w:numId="22" w16cid:durableId="169300802">
    <w:abstractNumId w:val="6"/>
  </w:num>
  <w:num w:numId="23" w16cid:durableId="2032997298">
    <w:abstractNumId w:val="8"/>
  </w:num>
  <w:num w:numId="24" w16cid:durableId="1336105941">
    <w:abstractNumId w:val="19"/>
  </w:num>
  <w:num w:numId="25" w16cid:durableId="9531715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3B47"/>
    <w:rsid w:val="000063EF"/>
    <w:rsid w:val="0000793B"/>
    <w:rsid w:val="00015300"/>
    <w:rsid w:val="00020409"/>
    <w:rsid w:val="00020756"/>
    <w:rsid w:val="00031C3C"/>
    <w:rsid w:val="000344DF"/>
    <w:rsid w:val="00046705"/>
    <w:rsid w:val="00046F0A"/>
    <w:rsid w:val="00047CDF"/>
    <w:rsid w:val="0005379E"/>
    <w:rsid w:val="00060C3D"/>
    <w:rsid w:val="00073240"/>
    <w:rsid w:val="000739E5"/>
    <w:rsid w:val="00076F39"/>
    <w:rsid w:val="0008222E"/>
    <w:rsid w:val="0008728D"/>
    <w:rsid w:val="00087DDB"/>
    <w:rsid w:val="00090814"/>
    <w:rsid w:val="00096792"/>
    <w:rsid w:val="000975DB"/>
    <w:rsid w:val="000B4001"/>
    <w:rsid w:val="000B42AE"/>
    <w:rsid w:val="000C21E1"/>
    <w:rsid w:val="000C5FBD"/>
    <w:rsid w:val="000D539E"/>
    <w:rsid w:val="000E1F61"/>
    <w:rsid w:val="000E7F0C"/>
    <w:rsid w:val="000F1A4E"/>
    <w:rsid w:val="000F45DA"/>
    <w:rsid w:val="001005CF"/>
    <w:rsid w:val="001017F5"/>
    <w:rsid w:val="00101EE7"/>
    <w:rsid w:val="001025A0"/>
    <w:rsid w:val="00115699"/>
    <w:rsid w:val="00124A69"/>
    <w:rsid w:val="00130EE9"/>
    <w:rsid w:val="00135128"/>
    <w:rsid w:val="00140650"/>
    <w:rsid w:val="00140684"/>
    <w:rsid w:val="0014347D"/>
    <w:rsid w:val="001441E7"/>
    <w:rsid w:val="001517D9"/>
    <w:rsid w:val="001561CF"/>
    <w:rsid w:val="00163BC8"/>
    <w:rsid w:val="001642A1"/>
    <w:rsid w:val="00164F56"/>
    <w:rsid w:val="00176E4A"/>
    <w:rsid w:val="00185235"/>
    <w:rsid w:val="00187751"/>
    <w:rsid w:val="001A10BA"/>
    <w:rsid w:val="001A289C"/>
    <w:rsid w:val="001B17D9"/>
    <w:rsid w:val="001B22CB"/>
    <w:rsid w:val="001B2A6E"/>
    <w:rsid w:val="001B2DF3"/>
    <w:rsid w:val="001D3650"/>
    <w:rsid w:val="001D646E"/>
    <w:rsid w:val="001D793B"/>
    <w:rsid w:val="001D7B46"/>
    <w:rsid w:val="001E36E6"/>
    <w:rsid w:val="001E79A9"/>
    <w:rsid w:val="001F2513"/>
    <w:rsid w:val="001F3B99"/>
    <w:rsid w:val="001F4383"/>
    <w:rsid w:val="001F4433"/>
    <w:rsid w:val="001F4A06"/>
    <w:rsid w:val="001F709A"/>
    <w:rsid w:val="00203A79"/>
    <w:rsid w:val="00212F30"/>
    <w:rsid w:val="00213B8A"/>
    <w:rsid w:val="00216225"/>
    <w:rsid w:val="00224140"/>
    <w:rsid w:val="00224D65"/>
    <w:rsid w:val="0022589F"/>
    <w:rsid w:val="0023151D"/>
    <w:rsid w:val="00232183"/>
    <w:rsid w:val="00233D77"/>
    <w:rsid w:val="002351CB"/>
    <w:rsid w:val="002353A8"/>
    <w:rsid w:val="002428EC"/>
    <w:rsid w:val="002465BA"/>
    <w:rsid w:val="00255482"/>
    <w:rsid w:val="00256FFA"/>
    <w:rsid w:val="00262902"/>
    <w:rsid w:val="002749B9"/>
    <w:rsid w:val="00275C40"/>
    <w:rsid w:val="00275CEE"/>
    <w:rsid w:val="002807C5"/>
    <w:rsid w:val="00281A6E"/>
    <w:rsid w:val="00283FDE"/>
    <w:rsid w:val="00286EF0"/>
    <w:rsid w:val="00290982"/>
    <w:rsid w:val="00292DE5"/>
    <w:rsid w:val="0029332E"/>
    <w:rsid w:val="002947D7"/>
    <w:rsid w:val="002949AA"/>
    <w:rsid w:val="00297F40"/>
    <w:rsid w:val="002A0686"/>
    <w:rsid w:val="002A603F"/>
    <w:rsid w:val="002B1272"/>
    <w:rsid w:val="002B347E"/>
    <w:rsid w:val="002C1CDC"/>
    <w:rsid w:val="002C1E1B"/>
    <w:rsid w:val="002C259D"/>
    <w:rsid w:val="002C3B95"/>
    <w:rsid w:val="002C5DAA"/>
    <w:rsid w:val="002C728E"/>
    <w:rsid w:val="002D651F"/>
    <w:rsid w:val="002E5A1E"/>
    <w:rsid w:val="002F71EC"/>
    <w:rsid w:val="00304A13"/>
    <w:rsid w:val="00306317"/>
    <w:rsid w:val="00307B50"/>
    <w:rsid w:val="0031223C"/>
    <w:rsid w:val="003127FA"/>
    <w:rsid w:val="0031360A"/>
    <w:rsid w:val="0031428F"/>
    <w:rsid w:val="003274CA"/>
    <w:rsid w:val="00331C61"/>
    <w:rsid w:val="00341928"/>
    <w:rsid w:val="00341BFE"/>
    <w:rsid w:val="00341E26"/>
    <w:rsid w:val="00351E36"/>
    <w:rsid w:val="00352777"/>
    <w:rsid w:val="0036136F"/>
    <w:rsid w:val="00364BB9"/>
    <w:rsid w:val="00367689"/>
    <w:rsid w:val="00367CCA"/>
    <w:rsid w:val="00374743"/>
    <w:rsid w:val="00380EF5"/>
    <w:rsid w:val="003837A6"/>
    <w:rsid w:val="00387E44"/>
    <w:rsid w:val="00396A78"/>
    <w:rsid w:val="003973BD"/>
    <w:rsid w:val="003B29CA"/>
    <w:rsid w:val="003B7D0E"/>
    <w:rsid w:val="003C14C0"/>
    <w:rsid w:val="003C5C50"/>
    <w:rsid w:val="003C6A3D"/>
    <w:rsid w:val="003D09D2"/>
    <w:rsid w:val="003D1DA9"/>
    <w:rsid w:val="003D26BC"/>
    <w:rsid w:val="003D5E1A"/>
    <w:rsid w:val="003F43CE"/>
    <w:rsid w:val="003F570E"/>
    <w:rsid w:val="00404FE5"/>
    <w:rsid w:val="00406E61"/>
    <w:rsid w:val="00413989"/>
    <w:rsid w:val="00426D36"/>
    <w:rsid w:val="004333D9"/>
    <w:rsid w:val="0044060E"/>
    <w:rsid w:val="00450303"/>
    <w:rsid w:val="0045205B"/>
    <w:rsid w:val="00463D6B"/>
    <w:rsid w:val="004655B9"/>
    <w:rsid w:val="00466A2E"/>
    <w:rsid w:val="004672AC"/>
    <w:rsid w:val="00467EE8"/>
    <w:rsid w:val="004733B5"/>
    <w:rsid w:val="00474314"/>
    <w:rsid w:val="004857F5"/>
    <w:rsid w:val="004926D4"/>
    <w:rsid w:val="004A6235"/>
    <w:rsid w:val="004A6D1A"/>
    <w:rsid w:val="004B0469"/>
    <w:rsid w:val="004B1FD7"/>
    <w:rsid w:val="004B3CE0"/>
    <w:rsid w:val="004B4911"/>
    <w:rsid w:val="004C2C65"/>
    <w:rsid w:val="004C3B38"/>
    <w:rsid w:val="004C77D3"/>
    <w:rsid w:val="004D3B5D"/>
    <w:rsid w:val="004D5A38"/>
    <w:rsid w:val="004F0457"/>
    <w:rsid w:val="004F2F4A"/>
    <w:rsid w:val="004F5D74"/>
    <w:rsid w:val="00500926"/>
    <w:rsid w:val="005017D9"/>
    <w:rsid w:val="00515429"/>
    <w:rsid w:val="0052589E"/>
    <w:rsid w:val="00527AF4"/>
    <w:rsid w:val="00534E6F"/>
    <w:rsid w:val="0054010B"/>
    <w:rsid w:val="00544AF2"/>
    <w:rsid w:val="00552293"/>
    <w:rsid w:val="005531DE"/>
    <w:rsid w:val="0055470C"/>
    <w:rsid w:val="0056058D"/>
    <w:rsid w:val="00560C4F"/>
    <w:rsid w:val="00560E91"/>
    <w:rsid w:val="00562075"/>
    <w:rsid w:val="00564784"/>
    <w:rsid w:val="005651FC"/>
    <w:rsid w:val="00566574"/>
    <w:rsid w:val="00571253"/>
    <w:rsid w:val="00571822"/>
    <w:rsid w:val="00573217"/>
    <w:rsid w:val="00573985"/>
    <w:rsid w:val="00576E30"/>
    <w:rsid w:val="0058032F"/>
    <w:rsid w:val="00590955"/>
    <w:rsid w:val="00594414"/>
    <w:rsid w:val="00597BCA"/>
    <w:rsid w:val="005A1F59"/>
    <w:rsid w:val="005A21A0"/>
    <w:rsid w:val="005A228A"/>
    <w:rsid w:val="005B7107"/>
    <w:rsid w:val="005B723E"/>
    <w:rsid w:val="005C165A"/>
    <w:rsid w:val="005C31F9"/>
    <w:rsid w:val="005C53D3"/>
    <w:rsid w:val="005C5C27"/>
    <w:rsid w:val="005C5DE0"/>
    <w:rsid w:val="005E067A"/>
    <w:rsid w:val="005E1F9E"/>
    <w:rsid w:val="005E62F4"/>
    <w:rsid w:val="005F04DE"/>
    <w:rsid w:val="00613E0F"/>
    <w:rsid w:val="00620158"/>
    <w:rsid w:val="0062304A"/>
    <w:rsid w:val="0063047F"/>
    <w:rsid w:val="00641A6E"/>
    <w:rsid w:val="00644E7D"/>
    <w:rsid w:val="006459A8"/>
    <w:rsid w:val="00653B0B"/>
    <w:rsid w:val="00656ECD"/>
    <w:rsid w:val="00657BE9"/>
    <w:rsid w:val="0066159B"/>
    <w:rsid w:val="00663B97"/>
    <w:rsid w:val="00666A20"/>
    <w:rsid w:val="0067521D"/>
    <w:rsid w:val="006849DF"/>
    <w:rsid w:val="00686ED0"/>
    <w:rsid w:val="006903B0"/>
    <w:rsid w:val="006A5F6D"/>
    <w:rsid w:val="006A6085"/>
    <w:rsid w:val="006B2E38"/>
    <w:rsid w:val="006C0CE2"/>
    <w:rsid w:val="006C2734"/>
    <w:rsid w:val="006D01A7"/>
    <w:rsid w:val="006D09F1"/>
    <w:rsid w:val="006D269D"/>
    <w:rsid w:val="006D56AF"/>
    <w:rsid w:val="006D6D07"/>
    <w:rsid w:val="006D768E"/>
    <w:rsid w:val="006E16D4"/>
    <w:rsid w:val="00705833"/>
    <w:rsid w:val="00714821"/>
    <w:rsid w:val="00720903"/>
    <w:rsid w:val="00733EC1"/>
    <w:rsid w:val="00734423"/>
    <w:rsid w:val="00737B9B"/>
    <w:rsid w:val="00741F44"/>
    <w:rsid w:val="0074309C"/>
    <w:rsid w:val="00744388"/>
    <w:rsid w:val="00744BBB"/>
    <w:rsid w:val="00747633"/>
    <w:rsid w:val="0075294B"/>
    <w:rsid w:val="007569C1"/>
    <w:rsid w:val="00763EB0"/>
    <w:rsid w:val="00765C14"/>
    <w:rsid w:val="007719F2"/>
    <w:rsid w:val="00780C0C"/>
    <w:rsid w:val="0078308D"/>
    <w:rsid w:val="00792863"/>
    <w:rsid w:val="007933F6"/>
    <w:rsid w:val="007B0AA4"/>
    <w:rsid w:val="007C093A"/>
    <w:rsid w:val="007C362D"/>
    <w:rsid w:val="007C5AAA"/>
    <w:rsid w:val="007E2AFD"/>
    <w:rsid w:val="007F266D"/>
    <w:rsid w:val="007F64F5"/>
    <w:rsid w:val="00807A86"/>
    <w:rsid w:val="00807FE3"/>
    <w:rsid w:val="00812D47"/>
    <w:rsid w:val="00813A91"/>
    <w:rsid w:val="008146C0"/>
    <w:rsid w:val="008159E8"/>
    <w:rsid w:val="0082274C"/>
    <w:rsid w:val="0083208D"/>
    <w:rsid w:val="008347B9"/>
    <w:rsid w:val="00844FCD"/>
    <w:rsid w:val="00854699"/>
    <w:rsid w:val="00854D3D"/>
    <w:rsid w:val="00856009"/>
    <w:rsid w:val="00860A8F"/>
    <w:rsid w:val="0086382A"/>
    <w:rsid w:val="00867FD5"/>
    <w:rsid w:val="00871195"/>
    <w:rsid w:val="0087161B"/>
    <w:rsid w:val="00872187"/>
    <w:rsid w:val="00875E68"/>
    <w:rsid w:val="00886007"/>
    <w:rsid w:val="008A73FF"/>
    <w:rsid w:val="008A7E76"/>
    <w:rsid w:val="008C005D"/>
    <w:rsid w:val="008C49BA"/>
    <w:rsid w:val="008D00C4"/>
    <w:rsid w:val="008D7C32"/>
    <w:rsid w:val="008E3642"/>
    <w:rsid w:val="008E6130"/>
    <w:rsid w:val="008F657A"/>
    <w:rsid w:val="008F6D4E"/>
    <w:rsid w:val="009016FB"/>
    <w:rsid w:val="0090329A"/>
    <w:rsid w:val="00911193"/>
    <w:rsid w:val="00916D0B"/>
    <w:rsid w:val="00917E0F"/>
    <w:rsid w:val="009225BD"/>
    <w:rsid w:val="00923A5E"/>
    <w:rsid w:val="00925258"/>
    <w:rsid w:val="00932FB9"/>
    <w:rsid w:val="00934519"/>
    <w:rsid w:val="00937DDC"/>
    <w:rsid w:val="00940A99"/>
    <w:rsid w:val="00943428"/>
    <w:rsid w:val="00943598"/>
    <w:rsid w:val="00943913"/>
    <w:rsid w:val="009461D8"/>
    <w:rsid w:val="00953FEE"/>
    <w:rsid w:val="00961F43"/>
    <w:rsid w:val="00962B2B"/>
    <w:rsid w:val="0096459E"/>
    <w:rsid w:val="0098132E"/>
    <w:rsid w:val="00987F47"/>
    <w:rsid w:val="00991F97"/>
    <w:rsid w:val="009A01FB"/>
    <w:rsid w:val="009A2E8F"/>
    <w:rsid w:val="009B1219"/>
    <w:rsid w:val="009C0C6F"/>
    <w:rsid w:val="009C2D05"/>
    <w:rsid w:val="009D2D8A"/>
    <w:rsid w:val="009D5AE2"/>
    <w:rsid w:val="009D6DA7"/>
    <w:rsid w:val="009D7AC6"/>
    <w:rsid w:val="009E1894"/>
    <w:rsid w:val="009E35AB"/>
    <w:rsid w:val="009E35FE"/>
    <w:rsid w:val="009E5DBE"/>
    <w:rsid w:val="009E6174"/>
    <w:rsid w:val="009F7C66"/>
    <w:rsid w:val="00A06820"/>
    <w:rsid w:val="00A10071"/>
    <w:rsid w:val="00A1553D"/>
    <w:rsid w:val="00A238E6"/>
    <w:rsid w:val="00A24AF9"/>
    <w:rsid w:val="00A2719D"/>
    <w:rsid w:val="00A33337"/>
    <w:rsid w:val="00A349F7"/>
    <w:rsid w:val="00A36220"/>
    <w:rsid w:val="00A36A50"/>
    <w:rsid w:val="00A4132E"/>
    <w:rsid w:val="00A42156"/>
    <w:rsid w:val="00A42455"/>
    <w:rsid w:val="00A50FFC"/>
    <w:rsid w:val="00A52691"/>
    <w:rsid w:val="00A55F5B"/>
    <w:rsid w:val="00A56C51"/>
    <w:rsid w:val="00A63D35"/>
    <w:rsid w:val="00A85608"/>
    <w:rsid w:val="00A8572F"/>
    <w:rsid w:val="00A86923"/>
    <w:rsid w:val="00A97EB6"/>
    <w:rsid w:val="00AA04D5"/>
    <w:rsid w:val="00AB026C"/>
    <w:rsid w:val="00AB351C"/>
    <w:rsid w:val="00AB46A4"/>
    <w:rsid w:val="00AC763A"/>
    <w:rsid w:val="00AD0EB1"/>
    <w:rsid w:val="00AE3476"/>
    <w:rsid w:val="00AE492E"/>
    <w:rsid w:val="00AF4C8B"/>
    <w:rsid w:val="00AF74C9"/>
    <w:rsid w:val="00B0505A"/>
    <w:rsid w:val="00B05080"/>
    <w:rsid w:val="00B14D7A"/>
    <w:rsid w:val="00B1638E"/>
    <w:rsid w:val="00B16DC5"/>
    <w:rsid w:val="00B21085"/>
    <w:rsid w:val="00B24A57"/>
    <w:rsid w:val="00B26A12"/>
    <w:rsid w:val="00B3037B"/>
    <w:rsid w:val="00B32F48"/>
    <w:rsid w:val="00B36C65"/>
    <w:rsid w:val="00B41FC4"/>
    <w:rsid w:val="00B47EE2"/>
    <w:rsid w:val="00B5097D"/>
    <w:rsid w:val="00B54888"/>
    <w:rsid w:val="00B5695E"/>
    <w:rsid w:val="00B57CCB"/>
    <w:rsid w:val="00B64248"/>
    <w:rsid w:val="00B67BDA"/>
    <w:rsid w:val="00B840AD"/>
    <w:rsid w:val="00B96D34"/>
    <w:rsid w:val="00B9772C"/>
    <w:rsid w:val="00BA3333"/>
    <w:rsid w:val="00BA4E77"/>
    <w:rsid w:val="00BB2BF3"/>
    <w:rsid w:val="00BB5511"/>
    <w:rsid w:val="00BB744D"/>
    <w:rsid w:val="00BC1272"/>
    <w:rsid w:val="00BC6824"/>
    <w:rsid w:val="00BE1221"/>
    <w:rsid w:val="00BE21C4"/>
    <w:rsid w:val="00BE5849"/>
    <w:rsid w:val="00BF0780"/>
    <w:rsid w:val="00BF11FE"/>
    <w:rsid w:val="00BF2FCB"/>
    <w:rsid w:val="00C0423B"/>
    <w:rsid w:val="00C05371"/>
    <w:rsid w:val="00C06913"/>
    <w:rsid w:val="00C07B24"/>
    <w:rsid w:val="00C14FBD"/>
    <w:rsid w:val="00C24AED"/>
    <w:rsid w:val="00C25291"/>
    <w:rsid w:val="00C261DA"/>
    <w:rsid w:val="00C2725D"/>
    <w:rsid w:val="00C30C0F"/>
    <w:rsid w:val="00C35527"/>
    <w:rsid w:val="00C35E16"/>
    <w:rsid w:val="00C43D16"/>
    <w:rsid w:val="00C4691D"/>
    <w:rsid w:val="00C52689"/>
    <w:rsid w:val="00C5723D"/>
    <w:rsid w:val="00C60877"/>
    <w:rsid w:val="00C647C8"/>
    <w:rsid w:val="00C7274B"/>
    <w:rsid w:val="00C73B13"/>
    <w:rsid w:val="00C76E49"/>
    <w:rsid w:val="00C82BBD"/>
    <w:rsid w:val="00C87A03"/>
    <w:rsid w:val="00C90FC9"/>
    <w:rsid w:val="00C92EC3"/>
    <w:rsid w:val="00CA6324"/>
    <w:rsid w:val="00CA7F28"/>
    <w:rsid w:val="00CB2CAB"/>
    <w:rsid w:val="00CB3ADA"/>
    <w:rsid w:val="00CC08BC"/>
    <w:rsid w:val="00CC10A0"/>
    <w:rsid w:val="00CC331B"/>
    <w:rsid w:val="00CC5E1E"/>
    <w:rsid w:val="00CC6225"/>
    <w:rsid w:val="00CD53C5"/>
    <w:rsid w:val="00CE3039"/>
    <w:rsid w:val="00CE5157"/>
    <w:rsid w:val="00CF0261"/>
    <w:rsid w:val="00CF09C9"/>
    <w:rsid w:val="00D0058C"/>
    <w:rsid w:val="00D02080"/>
    <w:rsid w:val="00D12EF8"/>
    <w:rsid w:val="00D13019"/>
    <w:rsid w:val="00D141A0"/>
    <w:rsid w:val="00D16532"/>
    <w:rsid w:val="00D165ED"/>
    <w:rsid w:val="00D179CE"/>
    <w:rsid w:val="00D21763"/>
    <w:rsid w:val="00D22068"/>
    <w:rsid w:val="00D2770F"/>
    <w:rsid w:val="00D300C5"/>
    <w:rsid w:val="00D40A4C"/>
    <w:rsid w:val="00D43ED1"/>
    <w:rsid w:val="00D45084"/>
    <w:rsid w:val="00D45763"/>
    <w:rsid w:val="00D54A41"/>
    <w:rsid w:val="00D64DD9"/>
    <w:rsid w:val="00D67147"/>
    <w:rsid w:val="00D71C7A"/>
    <w:rsid w:val="00D721C6"/>
    <w:rsid w:val="00D830CC"/>
    <w:rsid w:val="00D85F49"/>
    <w:rsid w:val="00D86F96"/>
    <w:rsid w:val="00D956AB"/>
    <w:rsid w:val="00DA7D75"/>
    <w:rsid w:val="00DB2121"/>
    <w:rsid w:val="00DB2EF6"/>
    <w:rsid w:val="00DB51E6"/>
    <w:rsid w:val="00DB7D0A"/>
    <w:rsid w:val="00DC0D3D"/>
    <w:rsid w:val="00DD1741"/>
    <w:rsid w:val="00DD56EA"/>
    <w:rsid w:val="00DD647C"/>
    <w:rsid w:val="00DE29E0"/>
    <w:rsid w:val="00DF1AF4"/>
    <w:rsid w:val="00DF7550"/>
    <w:rsid w:val="00E00BD6"/>
    <w:rsid w:val="00E15A14"/>
    <w:rsid w:val="00E23127"/>
    <w:rsid w:val="00E27B48"/>
    <w:rsid w:val="00E30747"/>
    <w:rsid w:val="00E36819"/>
    <w:rsid w:val="00E46146"/>
    <w:rsid w:val="00E53AEA"/>
    <w:rsid w:val="00E5505D"/>
    <w:rsid w:val="00E56844"/>
    <w:rsid w:val="00E64B14"/>
    <w:rsid w:val="00E700C6"/>
    <w:rsid w:val="00E706D6"/>
    <w:rsid w:val="00E72EA6"/>
    <w:rsid w:val="00E739FF"/>
    <w:rsid w:val="00E73C93"/>
    <w:rsid w:val="00E87C24"/>
    <w:rsid w:val="00E87CC2"/>
    <w:rsid w:val="00E9697D"/>
    <w:rsid w:val="00EA12CE"/>
    <w:rsid w:val="00EA1419"/>
    <w:rsid w:val="00EA2EB7"/>
    <w:rsid w:val="00EA7599"/>
    <w:rsid w:val="00EB1429"/>
    <w:rsid w:val="00EB32D1"/>
    <w:rsid w:val="00EB52E9"/>
    <w:rsid w:val="00EC12D7"/>
    <w:rsid w:val="00EC2552"/>
    <w:rsid w:val="00EC512D"/>
    <w:rsid w:val="00ED64E2"/>
    <w:rsid w:val="00ED7AD4"/>
    <w:rsid w:val="00EE4809"/>
    <w:rsid w:val="00EE5908"/>
    <w:rsid w:val="00EE69CD"/>
    <w:rsid w:val="00EF1D71"/>
    <w:rsid w:val="00EF45D2"/>
    <w:rsid w:val="00F03FC2"/>
    <w:rsid w:val="00F04E79"/>
    <w:rsid w:val="00F07035"/>
    <w:rsid w:val="00F0711D"/>
    <w:rsid w:val="00F07200"/>
    <w:rsid w:val="00F10DEC"/>
    <w:rsid w:val="00F11443"/>
    <w:rsid w:val="00F12461"/>
    <w:rsid w:val="00F13CF5"/>
    <w:rsid w:val="00F15EFE"/>
    <w:rsid w:val="00F30BA0"/>
    <w:rsid w:val="00F31387"/>
    <w:rsid w:val="00F31C03"/>
    <w:rsid w:val="00F33530"/>
    <w:rsid w:val="00F34135"/>
    <w:rsid w:val="00F35450"/>
    <w:rsid w:val="00F4378B"/>
    <w:rsid w:val="00F43CE4"/>
    <w:rsid w:val="00F45E60"/>
    <w:rsid w:val="00F47B06"/>
    <w:rsid w:val="00F53CA8"/>
    <w:rsid w:val="00F54056"/>
    <w:rsid w:val="00F564F3"/>
    <w:rsid w:val="00F56C78"/>
    <w:rsid w:val="00F66ACF"/>
    <w:rsid w:val="00F71C8E"/>
    <w:rsid w:val="00F7253A"/>
    <w:rsid w:val="00F73B5E"/>
    <w:rsid w:val="00F74A16"/>
    <w:rsid w:val="00F74E16"/>
    <w:rsid w:val="00F84E33"/>
    <w:rsid w:val="00F84F42"/>
    <w:rsid w:val="00F87D87"/>
    <w:rsid w:val="00F913EC"/>
    <w:rsid w:val="00F92A1A"/>
    <w:rsid w:val="00F97D1B"/>
    <w:rsid w:val="00FA5B56"/>
    <w:rsid w:val="00FB1851"/>
    <w:rsid w:val="00FB2A01"/>
    <w:rsid w:val="00FC1F67"/>
    <w:rsid w:val="00FC26C8"/>
    <w:rsid w:val="00FC30C8"/>
    <w:rsid w:val="00FC5BEB"/>
    <w:rsid w:val="00FC63B3"/>
    <w:rsid w:val="00FD45CE"/>
    <w:rsid w:val="00FD6E9D"/>
    <w:rsid w:val="00FD7E00"/>
    <w:rsid w:val="00FE2142"/>
    <w:rsid w:val="00FE3ED7"/>
    <w:rsid w:val="00FE6554"/>
    <w:rsid w:val="00FE7FB0"/>
    <w:rsid w:val="00FF20EA"/>
    <w:rsid w:val="00FF2FEE"/>
    <w:rsid w:val="00FF3195"/>
    <w:rsid w:val="00FF3CBA"/>
    <w:rsid w:val="00FF4B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0C4A46"/>
  <w14:defaultImageDpi w14:val="300"/>
  <w15:docId w15:val="{BA9D0D42-2D69-4023-B968-287CDD34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A7"/>
    <w:pPr>
      <w:spacing w:line="288" w:lineRule="auto"/>
    </w:pPr>
    <w:rPr>
      <w:rFonts w:ascii="Verdana" w:hAnsi="Verdana"/>
    </w:rPr>
  </w:style>
  <w:style w:type="paragraph" w:styleId="Heading1">
    <w:name w:val="heading 1"/>
    <w:basedOn w:val="Normal"/>
    <w:next w:val="Normal"/>
    <w:link w:val="Heading1Char"/>
    <w:uiPriority w:val="9"/>
    <w:qFormat/>
    <w:rsid w:val="009D6DA7"/>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semiHidden/>
    <w:unhideWhenUsed/>
    <w:qFormat/>
    <w:rsid w:val="00FF2FE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E9697D"/>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9D6DA7"/>
    <w:rPr>
      <w:rFonts w:ascii="Verdana" w:eastAsiaTheme="majorEastAsia" w:hAnsi="Verdana" w:cstheme="majorBidi"/>
      <w:b/>
      <w:color w:val="77328A"/>
      <w:sz w:val="30"/>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101EE7"/>
    <w:pPr>
      <w:spacing w:after="160" w:line="240" w:lineRule="exact"/>
      <w:jc w:val="both"/>
    </w:pPr>
    <w:rPr>
      <w:vertAlign w:val="superscript"/>
    </w:rPr>
  </w:style>
  <w:style w:type="paragraph" w:styleId="ListParagraph">
    <w:name w:val="List Paragraph"/>
    <w:basedOn w:val="Normal"/>
    <w:uiPriority w:val="34"/>
    <w:qFormat/>
    <w:rsid w:val="00101EE7"/>
    <w:pPr>
      <w:ind w:left="720"/>
      <w:contextualSpacing/>
    </w:pPr>
  </w:style>
  <w:style w:type="character" w:customStyle="1" w:styleId="Heading2Char">
    <w:name w:val="Heading 2 Char"/>
    <w:basedOn w:val="DefaultParagraphFont"/>
    <w:link w:val="Heading2"/>
    <w:uiPriority w:val="9"/>
    <w:semiHidden/>
    <w:rsid w:val="00FF2FE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396A78"/>
    <w:rPr>
      <w:sz w:val="16"/>
      <w:szCs w:val="16"/>
    </w:rPr>
  </w:style>
  <w:style w:type="paragraph" w:styleId="CommentText">
    <w:name w:val="annotation text"/>
    <w:basedOn w:val="Normal"/>
    <w:link w:val="CommentTextChar"/>
    <w:uiPriority w:val="99"/>
    <w:semiHidden/>
    <w:unhideWhenUsed/>
    <w:rsid w:val="00396A78"/>
    <w:rPr>
      <w:sz w:val="20"/>
      <w:szCs w:val="20"/>
    </w:rPr>
  </w:style>
  <w:style w:type="character" w:customStyle="1" w:styleId="CommentTextChar">
    <w:name w:val="Comment Text Char"/>
    <w:basedOn w:val="DefaultParagraphFont"/>
    <w:link w:val="CommentText"/>
    <w:uiPriority w:val="99"/>
    <w:semiHidden/>
    <w:rsid w:val="00396A78"/>
    <w:rPr>
      <w:sz w:val="20"/>
      <w:szCs w:val="20"/>
    </w:rPr>
  </w:style>
  <w:style w:type="paragraph" w:styleId="CommentSubject">
    <w:name w:val="annotation subject"/>
    <w:basedOn w:val="CommentText"/>
    <w:next w:val="CommentText"/>
    <w:link w:val="CommentSubjectChar"/>
    <w:uiPriority w:val="99"/>
    <w:semiHidden/>
    <w:unhideWhenUsed/>
    <w:rsid w:val="00396A78"/>
    <w:rPr>
      <w:b/>
      <w:bCs/>
    </w:rPr>
  </w:style>
  <w:style w:type="character" w:customStyle="1" w:styleId="CommentSubjectChar">
    <w:name w:val="Comment Subject Char"/>
    <w:basedOn w:val="CommentTextChar"/>
    <w:link w:val="CommentSubject"/>
    <w:uiPriority w:val="99"/>
    <w:semiHidden/>
    <w:rsid w:val="00396A78"/>
    <w:rPr>
      <w:b/>
      <w:bCs/>
      <w:sz w:val="20"/>
      <w:szCs w:val="20"/>
    </w:rPr>
  </w:style>
  <w:style w:type="paragraph" w:styleId="Quote">
    <w:name w:val="Quote"/>
    <w:basedOn w:val="Normal"/>
    <w:next w:val="Normal"/>
    <w:link w:val="QuoteChar"/>
    <w:uiPriority w:val="29"/>
    <w:qFormat/>
    <w:rsid w:val="00F71C8E"/>
    <w:pPr>
      <w:ind w:left="862" w:right="862"/>
      <w:jc w:val="both"/>
    </w:pPr>
    <w:rPr>
      <w:iCs/>
      <w:color w:val="000000" w:themeColor="text1"/>
    </w:rPr>
  </w:style>
  <w:style w:type="character" w:customStyle="1" w:styleId="QuoteChar">
    <w:name w:val="Quote Char"/>
    <w:basedOn w:val="DefaultParagraphFont"/>
    <w:link w:val="Quote"/>
    <w:uiPriority w:val="29"/>
    <w:rsid w:val="00F71C8E"/>
    <w:rPr>
      <w:rFonts w:ascii="Verdana" w:hAnsi="Verdana"/>
      <w:iCs/>
      <w:color w:val="000000" w:themeColor="text1"/>
    </w:rPr>
  </w:style>
  <w:style w:type="paragraph" w:styleId="TOCHeading">
    <w:name w:val="TOC Heading"/>
    <w:basedOn w:val="Heading1"/>
    <w:next w:val="Normal"/>
    <w:uiPriority w:val="39"/>
    <w:unhideWhenUsed/>
    <w:qFormat/>
    <w:rsid w:val="009D6DA7"/>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9D6DA7"/>
    <w:pPr>
      <w:spacing w:after="100"/>
    </w:pPr>
  </w:style>
  <w:style w:type="paragraph" w:styleId="Revision">
    <w:name w:val="Revision"/>
    <w:hidden/>
    <w:uiPriority w:val="99"/>
    <w:semiHidden/>
    <w:rsid w:val="00A36A50"/>
    <w:rPr>
      <w:rFonts w:ascii="Verdana" w:hAnsi="Verdana"/>
    </w:rPr>
  </w:style>
  <w:style w:type="table" w:styleId="TableGrid">
    <w:name w:val="Table Grid"/>
    <w:basedOn w:val="TableNormal"/>
    <w:uiPriority w:val="59"/>
    <w:rsid w:val="00A9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9906">
      <w:bodyDiv w:val="1"/>
      <w:marLeft w:val="0"/>
      <w:marRight w:val="0"/>
      <w:marTop w:val="0"/>
      <w:marBottom w:val="0"/>
      <w:divBdr>
        <w:top w:val="none" w:sz="0" w:space="0" w:color="auto"/>
        <w:left w:val="none" w:sz="0" w:space="0" w:color="auto"/>
        <w:bottom w:val="none" w:sz="0" w:space="0" w:color="auto"/>
        <w:right w:val="none" w:sz="0" w:space="0" w:color="auto"/>
      </w:divBdr>
    </w:div>
    <w:div w:id="360055510">
      <w:bodyDiv w:val="1"/>
      <w:marLeft w:val="0"/>
      <w:marRight w:val="0"/>
      <w:marTop w:val="0"/>
      <w:marBottom w:val="0"/>
      <w:divBdr>
        <w:top w:val="none" w:sz="0" w:space="0" w:color="auto"/>
        <w:left w:val="none" w:sz="0" w:space="0" w:color="auto"/>
        <w:bottom w:val="none" w:sz="0" w:space="0" w:color="auto"/>
        <w:right w:val="none" w:sz="0" w:space="0" w:color="auto"/>
      </w:divBdr>
    </w:div>
    <w:div w:id="560210971">
      <w:bodyDiv w:val="1"/>
      <w:marLeft w:val="0"/>
      <w:marRight w:val="0"/>
      <w:marTop w:val="0"/>
      <w:marBottom w:val="0"/>
      <w:divBdr>
        <w:top w:val="none" w:sz="0" w:space="0" w:color="auto"/>
        <w:left w:val="none" w:sz="0" w:space="0" w:color="auto"/>
        <w:bottom w:val="none" w:sz="0" w:space="0" w:color="auto"/>
        <w:right w:val="none" w:sz="0" w:space="0" w:color="auto"/>
      </w:divBdr>
    </w:div>
    <w:div w:id="715088711">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766145844">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020765893">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899AC5F7C4C45BC8EF16AB4373A26" ma:contentTypeVersion="11" ma:contentTypeDescription="Create a new document." ma:contentTypeScope="" ma:versionID="d5cfdcc30dfccd5148c76f8774f1aceb">
  <xsd:schema xmlns:xsd="http://www.w3.org/2001/XMLSchema" xmlns:xs="http://www.w3.org/2001/XMLSchema" xmlns:p="http://schemas.microsoft.com/office/2006/metadata/properties" xmlns:ns3="1a27aaff-d31a-49f7-86dd-2acde9cae9cb" xmlns:ns4="0294a276-9c8c-4f8b-828e-ea5ddf8b436a" targetNamespace="http://schemas.microsoft.com/office/2006/metadata/properties" ma:root="true" ma:fieldsID="d9edcd3afab0cbc5e3256c2c333983c9" ns3:_="" ns4:_="">
    <xsd:import namespace="1a27aaff-d31a-49f7-86dd-2acde9cae9cb"/>
    <xsd:import namespace="0294a276-9c8c-4f8b-828e-ea5ddf8b43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7aaff-d31a-49f7-86dd-2acde9cae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4a276-9c8c-4f8b-828e-ea5ddf8b43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6D361-A3C8-4422-B0DA-037FC0F7927C}">
  <ds:schemaRefs>
    <ds:schemaRef ds:uri="http://schemas.openxmlformats.org/officeDocument/2006/bibliography"/>
  </ds:schemaRefs>
</ds:datastoreItem>
</file>

<file path=customXml/itemProps2.xml><?xml version="1.0" encoding="utf-8"?>
<ds:datastoreItem xmlns:ds="http://schemas.openxmlformats.org/officeDocument/2006/customXml" ds:itemID="{24CD92F4-D93C-4B4A-A76E-C0C817A2AA24}">
  <ds:schemaRefs>
    <ds:schemaRef ds:uri="http://schemas.microsoft.com/sharepoint/v3/contenttype/forms"/>
  </ds:schemaRefs>
</ds:datastoreItem>
</file>

<file path=customXml/itemProps3.xml><?xml version="1.0" encoding="utf-8"?>
<ds:datastoreItem xmlns:ds="http://schemas.openxmlformats.org/officeDocument/2006/customXml" ds:itemID="{46AF5840-4793-4F9F-A44E-EA871A3FD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7aaff-d31a-49f7-86dd-2acde9cae9cb"/>
    <ds:schemaRef ds:uri="0294a276-9c8c-4f8b-828e-ea5ddf8b4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2414F-E511-4DA8-9A9F-4E26E19E8BB5}">
  <ds:schemaRefs>
    <ds:schemaRef ds:uri="http://schemas.openxmlformats.org/package/2006/metadata/core-properties"/>
    <ds:schemaRef ds:uri="1a27aaff-d31a-49f7-86dd-2acde9cae9cb"/>
    <ds:schemaRef ds:uri="http://schemas.microsoft.com/office/infopath/2007/PartnerControls"/>
    <ds:schemaRef ds:uri="http://purl.org/dc/terms/"/>
    <ds:schemaRef ds:uri="http://schemas.microsoft.com/office/2006/documentManagement/types"/>
    <ds:schemaRef ds:uri="0294a276-9c8c-4f8b-828e-ea5ddf8b436a"/>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7233</Words>
  <Characters>41229</Characters>
  <Application>Microsoft Office Word</Application>
  <DocSecurity>4</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2022-06-23T16:09:00Z</cp:lastPrinted>
  <dcterms:created xsi:type="dcterms:W3CDTF">2022-06-29T11:37:00Z</dcterms:created>
  <dcterms:modified xsi:type="dcterms:W3CDTF">2022-06-29T11:37:00Z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0x01010025F899AC5F7C4C45BC8EF16AB4373A26</vt:lpwstr>
  </property>
</Properties>
</file>