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9E01D" w14:textId="77777777" w:rsidR="00F31387" w:rsidRDefault="00F31387" w:rsidP="00EF0CA0">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129794A0"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521D0DD0" w14:textId="77777777" w:rsidR="00BD2E10" w:rsidRPr="00EA12CE" w:rsidRDefault="00BD2E10" w:rsidP="003B7D0E">
      <w:pPr>
        <w:pStyle w:val="BasicParagraph"/>
        <w:suppressAutoHyphens/>
        <w:jc w:val="center"/>
        <w:rPr>
          <w:rFonts w:ascii="Verdana" w:hAnsi="Verdana" w:cs="Arial"/>
          <w:b/>
          <w:bCs/>
          <w:color w:val="734791"/>
          <w:sz w:val="36"/>
          <w:szCs w:val="36"/>
        </w:rPr>
      </w:pPr>
    </w:p>
    <w:p w14:paraId="57C7C2F8" w14:textId="02A04290" w:rsidR="0096459E" w:rsidRPr="003B7D0E" w:rsidRDefault="00AD6F93"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Submission to the </w:t>
      </w:r>
      <w:r w:rsidR="008479B4">
        <w:rPr>
          <w:rFonts w:ascii="Verdana" w:hAnsi="Verdana" w:cs="Arial"/>
          <w:b/>
          <w:bCs/>
          <w:color w:val="77328A"/>
          <w:sz w:val="36"/>
          <w:szCs w:val="36"/>
        </w:rPr>
        <w:t xml:space="preserve">Department of </w:t>
      </w:r>
      <w:r w:rsidR="004509F6">
        <w:rPr>
          <w:rFonts w:ascii="Verdana" w:hAnsi="Verdana" w:cs="Arial"/>
          <w:b/>
          <w:bCs/>
          <w:color w:val="77328A"/>
          <w:sz w:val="36"/>
          <w:szCs w:val="36"/>
        </w:rPr>
        <w:t>Education</w:t>
      </w:r>
      <w:r w:rsidR="00B017AA">
        <w:rPr>
          <w:rFonts w:ascii="Verdana" w:hAnsi="Verdana" w:cs="Arial"/>
          <w:b/>
          <w:bCs/>
          <w:color w:val="77328A"/>
          <w:sz w:val="36"/>
          <w:szCs w:val="36"/>
        </w:rPr>
        <w:t xml:space="preserve"> on the School Uniform Policy Consultation</w:t>
      </w:r>
    </w:p>
    <w:p w14:paraId="258F7D8F" w14:textId="77777777" w:rsidR="00F31387" w:rsidRPr="00331C61" w:rsidRDefault="00F31387" w:rsidP="003B7D0E">
      <w:pPr>
        <w:pStyle w:val="Default"/>
        <w:spacing w:line="288" w:lineRule="auto"/>
        <w:jc w:val="center"/>
        <w:rPr>
          <w:rFonts w:cs="Arial"/>
          <w:color w:val="232120"/>
          <w:sz w:val="36"/>
          <w:szCs w:val="36"/>
        </w:rPr>
      </w:pPr>
    </w:p>
    <w:p w14:paraId="2014B73B" w14:textId="77777777" w:rsidR="00BD2E10" w:rsidRDefault="00BD2E10" w:rsidP="003B7D0E">
      <w:pPr>
        <w:pStyle w:val="Default"/>
        <w:spacing w:line="288" w:lineRule="auto"/>
        <w:jc w:val="center"/>
        <w:rPr>
          <w:rFonts w:cs="Arial"/>
          <w:color w:val="232120"/>
          <w:sz w:val="36"/>
          <w:szCs w:val="36"/>
        </w:rPr>
      </w:pPr>
    </w:p>
    <w:p w14:paraId="2C0B08B8" w14:textId="77777777" w:rsidR="00BD2E10" w:rsidRDefault="00BD2E10" w:rsidP="003B7D0E">
      <w:pPr>
        <w:pStyle w:val="Default"/>
        <w:spacing w:line="288" w:lineRule="auto"/>
        <w:jc w:val="center"/>
        <w:rPr>
          <w:rFonts w:cs="Arial"/>
          <w:color w:val="232120"/>
          <w:sz w:val="36"/>
          <w:szCs w:val="36"/>
        </w:rPr>
      </w:pPr>
    </w:p>
    <w:p w14:paraId="28110A89" w14:textId="77777777" w:rsidR="00BD2E10" w:rsidRDefault="00BD2E10" w:rsidP="003B7D0E">
      <w:pPr>
        <w:pStyle w:val="Default"/>
        <w:spacing w:line="288" w:lineRule="auto"/>
        <w:jc w:val="center"/>
        <w:rPr>
          <w:rFonts w:cs="Arial"/>
          <w:color w:val="232120"/>
          <w:sz w:val="36"/>
          <w:szCs w:val="36"/>
        </w:rPr>
      </w:pPr>
    </w:p>
    <w:p w14:paraId="6870803B" w14:textId="77777777" w:rsidR="00BD2E10" w:rsidRDefault="00BD2E10" w:rsidP="003B7D0E">
      <w:pPr>
        <w:pStyle w:val="Default"/>
        <w:spacing w:line="288" w:lineRule="auto"/>
        <w:jc w:val="center"/>
        <w:rPr>
          <w:rFonts w:cs="Arial"/>
          <w:color w:val="232120"/>
          <w:sz w:val="36"/>
          <w:szCs w:val="36"/>
        </w:rPr>
      </w:pPr>
    </w:p>
    <w:p w14:paraId="3ED5B9C2" w14:textId="77777777" w:rsidR="00BD2E10" w:rsidRDefault="00BD2E10" w:rsidP="003B7D0E">
      <w:pPr>
        <w:pStyle w:val="Default"/>
        <w:spacing w:line="288" w:lineRule="auto"/>
        <w:jc w:val="center"/>
        <w:rPr>
          <w:rFonts w:cs="Arial"/>
          <w:color w:val="232120"/>
          <w:sz w:val="36"/>
          <w:szCs w:val="36"/>
        </w:rPr>
      </w:pPr>
    </w:p>
    <w:p w14:paraId="580F99FC" w14:textId="77777777" w:rsidR="00BD2E10" w:rsidRPr="00331C61" w:rsidRDefault="00BD2E10" w:rsidP="003B7D0E">
      <w:pPr>
        <w:pStyle w:val="Default"/>
        <w:spacing w:line="288" w:lineRule="auto"/>
        <w:jc w:val="center"/>
        <w:rPr>
          <w:rFonts w:cs="Arial"/>
          <w:color w:val="232120"/>
          <w:sz w:val="36"/>
          <w:szCs w:val="36"/>
        </w:rPr>
      </w:pPr>
    </w:p>
    <w:p w14:paraId="0CD0AC25" w14:textId="48179B2B" w:rsidR="008159E8" w:rsidRPr="00331C61" w:rsidRDefault="00B017AA" w:rsidP="003B7D0E">
      <w:pPr>
        <w:jc w:val="center"/>
        <w:rPr>
          <w:rFonts w:cs="Arial"/>
          <w:b/>
          <w:color w:val="232120"/>
          <w:sz w:val="30"/>
          <w:szCs w:val="30"/>
        </w:rPr>
      </w:pPr>
      <w:r>
        <w:rPr>
          <w:rFonts w:cs="Arial"/>
          <w:b/>
          <w:color w:val="232120"/>
          <w:sz w:val="30"/>
          <w:szCs w:val="30"/>
        </w:rPr>
        <w:t xml:space="preserve">September </w:t>
      </w:r>
      <w:r w:rsidR="0096056C">
        <w:rPr>
          <w:rFonts w:cs="Arial"/>
          <w:b/>
          <w:color w:val="232120"/>
          <w:sz w:val="30"/>
          <w:szCs w:val="30"/>
        </w:rPr>
        <w:t>202</w:t>
      </w:r>
      <w:r w:rsidR="007E69FB">
        <w:rPr>
          <w:rFonts w:cs="Arial"/>
          <w:b/>
          <w:color w:val="232120"/>
          <w:sz w:val="30"/>
          <w:szCs w:val="30"/>
        </w:rPr>
        <w:t>4</w:t>
      </w:r>
    </w:p>
    <w:p w14:paraId="3C68CF13" w14:textId="77777777" w:rsidR="00046705" w:rsidRPr="00331C61" w:rsidRDefault="00046705" w:rsidP="003B7D0E">
      <w:pPr>
        <w:jc w:val="center"/>
        <w:rPr>
          <w:rFonts w:cs="Arial"/>
          <w:b/>
          <w:color w:val="232120"/>
          <w:sz w:val="28"/>
          <w:szCs w:val="28"/>
        </w:rPr>
      </w:pPr>
    </w:p>
    <w:p w14:paraId="1BDCD842" w14:textId="77777777" w:rsidR="00046705" w:rsidRPr="00331C61" w:rsidRDefault="00046705" w:rsidP="003B7D0E">
      <w:pPr>
        <w:jc w:val="center"/>
        <w:rPr>
          <w:rFonts w:cs="Arial"/>
          <w:b/>
          <w:color w:val="232120"/>
          <w:sz w:val="28"/>
          <w:szCs w:val="28"/>
        </w:rPr>
      </w:pPr>
    </w:p>
    <w:p w14:paraId="026112FA" w14:textId="77777777" w:rsidR="00EA12CE" w:rsidRPr="00331C61" w:rsidRDefault="00EA12CE" w:rsidP="003B7D0E">
      <w:pPr>
        <w:pStyle w:val="Default"/>
        <w:spacing w:line="288" w:lineRule="auto"/>
        <w:jc w:val="center"/>
        <w:rPr>
          <w:rFonts w:cs="Arial"/>
          <w:b/>
          <w:color w:val="232120"/>
          <w:sz w:val="28"/>
          <w:szCs w:val="28"/>
          <w:lang w:val="en-GB"/>
        </w:rPr>
      </w:pPr>
    </w:p>
    <w:sdt>
      <w:sdtPr>
        <w:rPr>
          <w:rFonts w:ascii="Verdana" w:eastAsiaTheme="minorEastAsia" w:hAnsi="Verdana" w:cstheme="minorBidi"/>
          <w:b/>
          <w:bCs/>
          <w:color w:val="77328A"/>
          <w:sz w:val="30"/>
          <w:szCs w:val="30"/>
          <w:lang w:val="en-GB"/>
        </w:rPr>
        <w:id w:val="-1539971895"/>
        <w:docPartObj>
          <w:docPartGallery w:val="Table of Contents"/>
          <w:docPartUnique/>
        </w:docPartObj>
      </w:sdtPr>
      <w:sdtEndPr>
        <w:rPr>
          <w:noProof/>
          <w:color w:val="auto"/>
          <w:sz w:val="24"/>
          <w:szCs w:val="24"/>
        </w:rPr>
      </w:sdtEndPr>
      <w:sdtContent>
        <w:p w14:paraId="373F7FE9" w14:textId="4761EE0D" w:rsidR="0096056C" w:rsidRPr="00D84515" w:rsidRDefault="0096056C">
          <w:pPr>
            <w:pStyle w:val="TOCHeading"/>
            <w:rPr>
              <w:rFonts w:ascii="Verdana" w:hAnsi="Verdana"/>
              <w:b/>
              <w:bCs/>
              <w:color w:val="77328A"/>
              <w:sz w:val="30"/>
              <w:szCs w:val="30"/>
            </w:rPr>
          </w:pPr>
          <w:r w:rsidRPr="00D84515">
            <w:rPr>
              <w:rFonts w:ascii="Verdana" w:hAnsi="Verdana"/>
              <w:b/>
              <w:bCs/>
              <w:color w:val="77328A"/>
              <w:sz w:val="30"/>
              <w:szCs w:val="30"/>
            </w:rPr>
            <w:t>Table of Contents</w:t>
          </w:r>
        </w:p>
        <w:p w14:paraId="638D7FAB" w14:textId="77777777" w:rsidR="0096056C" w:rsidRPr="00D84515" w:rsidRDefault="0096056C" w:rsidP="0096056C">
          <w:pPr>
            <w:rPr>
              <w:lang w:val="en-US"/>
            </w:rPr>
          </w:pPr>
        </w:p>
        <w:p w14:paraId="246B17A5" w14:textId="50DF3C68" w:rsidR="00B5298A" w:rsidRDefault="0096056C">
          <w:pPr>
            <w:pStyle w:val="TOC1"/>
            <w:rPr>
              <w:rFonts w:asciiTheme="minorHAnsi" w:hAnsiTheme="minorHAnsi"/>
              <w:b w:val="0"/>
              <w:bCs w:val="0"/>
              <w:kern w:val="2"/>
              <w:lang w:eastAsia="en-GB"/>
              <w14:ligatures w14:val="standardContextual"/>
            </w:rPr>
          </w:pPr>
          <w:r w:rsidRPr="00D84515">
            <w:rPr>
              <w:noProof w:val="0"/>
            </w:rPr>
            <w:fldChar w:fldCharType="begin"/>
          </w:r>
          <w:r w:rsidRPr="00D84515">
            <w:instrText xml:space="preserve"> TOC \o "1-3" \h \z \u </w:instrText>
          </w:r>
          <w:r w:rsidRPr="00D84515">
            <w:rPr>
              <w:noProof w:val="0"/>
            </w:rPr>
            <w:fldChar w:fldCharType="separate"/>
          </w:r>
          <w:hyperlink w:anchor="_Toc178255664" w:history="1">
            <w:r w:rsidR="00B5298A" w:rsidRPr="00826513">
              <w:rPr>
                <w:rStyle w:val="Hyperlink"/>
              </w:rPr>
              <w:t>Summary of Recommendations</w:t>
            </w:r>
            <w:r w:rsidR="00B5298A">
              <w:rPr>
                <w:webHidden/>
              </w:rPr>
              <w:tab/>
            </w:r>
            <w:r w:rsidR="00B5298A">
              <w:rPr>
                <w:webHidden/>
              </w:rPr>
              <w:fldChar w:fldCharType="begin"/>
            </w:r>
            <w:r w:rsidR="00B5298A">
              <w:rPr>
                <w:webHidden/>
              </w:rPr>
              <w:instrText xml:space="preserve"> PAGEREF _Toc178255664 \h </w:instrText>
            </w:r>
            <w:r w:rsidR="00B5298A">
              <w:rPr>
                <w:webHidden/>
              </w:rPr>
            </w:r>
            <w:r w:rsidR="00B5298A">
              <w:rPr>
                <w:webHidden/>
              </w:rPr>
              <w:fldChar w:fldCharType="separate"/>
            </w:r>
            <w:r w:rsidR="006D0F03">
              <w:rPr>
                <w:webHidden/>
              </w:rPr>
              <w:t>3</w:t>
            </w:r>
            <w:r w:rsidR="00B5298A">
              <w:rPr>
                <w:webHidden/>
              </w:rPr>
              <w:fldChar w:fldCharType="end"/>
            </w:r>
          </w:hyperlink>
        </w:p>
        <w:p w14:paraId="3B76CC50" w14:textId="4BB9E44E" w:rsidR="00B5298A" w:rsidRDefault="00B5298A">
          <w:pPr>
            <w:pStyle w:val="TOC1"/>
            <w:rPr>
              <w:rFonts w:asciiTheme="minorHAnsi" w:hAnsiTheme="minorHAnsi"/>
              <w:b w:val="0"/>
              <w:bCs w:val="0"/>
              <w:kern w:val="2"/>
              <w:lang w:eastAsia="en-GB"/>
              <w14:ligatures w14:val="standardContextual"/>
            </w:rPr>
          </w:pPr>
          <w:hyperlink w:anchor="_Toc178255665" w:history="1">
            <w:r w:rsidRPr="00826513">
              <w:rPr>
                <w:rStyle w:val="Hyperlink"/>
              </w:rPr>
              <w:t>1.0</w:t>
            </w:r>
            <w:r>
              <w:rPr>
                <w:rFonts w:asciiTheme="minorHAnsi" w:hAnsiTheme="minorHAnsi"/>
                <w:b w:val="0"/>
                <w:bCs w:val="0"/>
                <w:kern w:val="2"/>
                <w:lang w:eastAsia="en-GB"/>
                <w14:ligatures w14:val="standardContextual"/>
              </w:rPr>
              <w:tab/>
            </w:r>
            <w:r w:rsidRPr="00826513">
              <w:rPr>
                <w:rStyle w:val="Hyperlink"/>
              </w:rPr>
              <w:t>Introduction</w:t>
            </w:r>
            <w:r>
              <w:rPr>
                <w:webHidden/>
              </w:rPr>
              <w:tab/>
            </w:r>
            <w:r>
              <w:rPr>
                <w:webHidden/>
              </w:rPr>
              <w:fldChar w:fldCharType="begin"/>
            </w:r>
            <w:r>
              <w:rPr>
                <w:webHidden/>
              </w:rPr>
              <w:instrText xml:space="preserve"> PAGEREF _Toc178255665 \h </w:instrText>
            </w:r>
            <w:r>
              <w:rPr>
                <w:webHidden/>
              </w:rPr>
            </w:r>
            <w:r>
              <w:rPr>
                <w:webHidden/>
              </w:rPr>
              <w:fldChar w:fldCharType="separate"/>
            </w:r>
            <w:r w:rsidR="006D0F03">
              <w:rPr>
                <w:webHidden/>
              </w:rPr>
              <w:t>5</w:t>
            </w:r>
            <w:r>
              <w:rPr>
                <w:webHidden/>
              </w:rPr>
              <w:fldChar w:fldCharType="end"/>
            </w:r>
          </w:hyperlink>
        </w:p>
        <w:p w14:paraId="5788FBD1" w14:textId="63C7CCC7" w:rsidR="00B5298A" w:rsidRDefault="00B5298A">
          <w:pPr>
            <w:pStyle w:val="TOC1"/>
            <w:rPr>
              <w:rFonts w:asciiTheme="minorHAnsi" w:hAnsiTheme="minorHAnsi"/>
              <w:b w:val="0"/>
              <w:bCs w:val="0"/>
              <w:kern w:val="2"/>
              <w:lang w:eastAsia="en-GB"/>
              <w14:ligatures w14:val="standardContextual"/>
            </w:rPr>
          </w:pPr>
          <w:hyperlink w:anchor="_Toc178255666" w:history="1">
            <w:r w:rsidRPr="00826513">
              <w:rPr>
                <w:rStyle w:val="Hyperlink"/>
              </w:rPr>
              <w:t>2.0</w:t>
            </w:r>
            <w:r>
              <w:rPr>
                <w:rFonts w:asciiTheme="minorHAnsi" w:hAnsiTheme="minorHAnsi"/>
                <w:b w:val="0"/>
                <w:bCs w:val="0"/>
                <w:kern w:val="2"/>
                <w:lang w:eastAsia="en-GB"/>
                <w14:ligatures w14:val="standardContextual"/>
              </w:rPr>
              <w:tab/>
            </w:r>
            <w:r w:rsidRPr="00826513">
              <w:rPr>
                <w:rStyle w:val="Hyperlink"/>
              </w:rPr>
              <w:t>Rights-based Approach</w:t>
            </w:r>
            <w:r>
              <w:rPr>
                <w:webHidden/>
              </w:rPr>
              <w:tab/>
            </w:r>
            <w:r>
              <w:rPr>
                <w:webHidden/>
              </w:rPr>
              <w:fldChar w:fldCharType="begin"/>
            </w:r>
            <w:r>
              <w:rPr>
                <w:webHidden/>
              </w:rPr>
              <w:instrText xml:space="preserve"> PAGEREF _Toc178255666 \h </w:instrText>
            </w:r>
            <w:r>
              <w:rPr>
                <w:webHidden/>
              </w:rPr>
            </w:r>
            <w:r>
              <w:rPr>
                <w:webHidden/>
              </w:rPr>
              <w:fldChar w:fldCharType="separate"/>
            </w:r>
            <w:r w:rsidR="006D0F03">
              <w:rPr>
                <w:webHidden/>
              </w:rPr>
              <w:t>6</w:t>
            </w:r>
            <w:r>
              <w:rPr>
                <w:webHidden/>
              </w:rPr>
              <w:fldChar w:fldCharType="end"/>
            </w:r>
          </w:hyperlink>
        </w:p>
        <w:p w14:paraId="3D316A33" w14:textId="61BA16CA" w:rsidR="00B5298A" w:rsidRDefault="00B5298A">
          <w:pPr>
            <w:pStyle w:val="TOC2"/>
            <w:rPr>
              <w:rFonts w:asciiTheme="minorHAnsi" w:hAnsiTheme="minorHAnsi"/>
              <w:kern w:val="2"/>
              <w:lang w:eastAsia="en-GB"/>
              <w14:ligatures w14:val="standardContextual"/>
            </w:rPr>
          </w:pPr>
          <w:hyperlink w:anchor="_Toc178255667" w:history="1">
            <w:r w:rsidRPr="00826513">
              <w:rPr>
                <w:rStyle w:val="Hyperlink"/>
                <w:lang w:eastAsia="en-GB"/>
              </w:rPr>
              <w:t>Right to education</w:t>
            </w:r>
            <w:r>
              <w:rPr>
                <w:webHidden/>
              </w:rPr>
              <w:tab/>
            </w:r>
            <w:r>
              <w:rPr>
                <w:webHidden/>
              </w:rPr>
              <w:fldChar w:fldCharType="begin"/>
            </w:r>
            <w:r>
              <w:rPr>
                <w:webHidden/>
              </w:rPr>
              <w:instrText xml:space="preserve"> PAGEREF _Toc178255667 \h </w:instrText>
            </w:r>
            <w:r>
              <w:rPr>
                <w:webHidden/>
              </w:rPr>
            </w:r>
            <w:r>
              <w:rPr>
                <w:webHidden/>
              </w:rPr>
              <w:fldChar w:fldCharType="separate"/>
            </w:r>
            <w:r w:rsidR="006D0F03">
              <w:rPr>
                <w:webHidden/>
              </w:rPr>
              <w:t>6</w:t>
            </w:r>
            <w:r>
              <w:rPr>
                <w:webHidden/>
              </w:rPr>
              <w:fldChar w:fldCharType="end"/>
            </w:r>
          </w:hyperlink>
        </w:p>
        <w:p w14:paraId="2BC4083C" w14:textId="6C3C4822" w:rsidR="00B5298A" w:rsidRDefault="00B5298A">
          <w:pPr>
            <w:pStyle w:val="TOC2"/>
            <w:rPr>
              <w:rFonts w:asciiTheme="minorHAnsi" w:hAnsiTheme="minorHAnsi"/>
              <w:kern w:val="2"/>
              <w:lang w:eastAsia="en-GB"/>
              <w14:ligatures w14:val="standardContextual"/>
            </w:rPr>
          </w:pPr>
          <w:hyperlink w:anchor="_Toc178255668" w:history="1">
            <w:r w:rsidRPr="00826513">
              <w:rPr>
                <w:rStyle w:val="Hyperlink"/>
              </w:rPr>
              <w:t>Best interests of the child</w:t>
            </w:r>
            <w:r>
              <w:rPr>
                <w:webHidden/>
              </w:rPr>
              <w:tab/>
            </w:r>
            <w:r>
              <w:rPr>
                <w:webHidden/>
              </w:rPr>
              <w:fldChar w:fldCharType="begin"/>
            </w:r>
            <w:r>
              <w:rPr>
                <w:webHidden/>
              </w:rPr>
              <w:instrText xml:space="preserve"> PAGEREF _Toc178255668 \h </w:instrText>
            </w:r>
            <w:r>
              <w:rPr>
                <w:webHidden/>
              </w:rPr>
            </w:r>
            <w:r>
              <w:rPr>
                <w:webHidden/>
              </w:rPr>
              <w:fldChar w:fldCharType="separate"/>
            </w:r>
            <w:r w:rsidR="006D0F03">
              <w:rPr>
                <w:webHidden/>
              </w:rPr>
              <w:t>12</w:t>
            </w:r>
            <w:r>
              <w:rPr>
                <w:webHidden/>
              </w:rPr>
              <w:fldChar w:fldCharType="end"/>
            </w:r>
          </w:hyperlink>
        </w:p>
        <w:p w14:paraId="1A7CBA3E" w14:textId="5109E410" w:rsidR="00B5298A" w:rsidRDefault="00B5298A">
          <w:pPr>
            <w:pStyle w:val="TOC2"/>
            <w:rPr>
              <w:rFonts w:asciiTheme="minorHAnsi" w:hAnsiTheme="minorHAnsi"/>
              <w:kern w:val="2"/>
              <w:lang w:eastAsia="en-GB"/>
              <w14:ligatures w14:val="standardContextual"/>
            </w:rPr>
          </w:pPr>
          <w:hyperlink w:anchor="_Toc178255669" w:history="1">
            <w:r w:rsidRPr="00826513">
              <w:rPr>
                <w:rStyle w:val="Hyperlink"/>
              </w:rPr>
              <w:t>Non-discrimination</w:t>
            </w:r>
            <w:r>
              <w:rPr>
                <w:webHidden/>
              </w:rPr>
              <w:tab/>
            </w:r>
            <w:r>
              <w:rPr>
                <w:webHidden/>
              </w:rPr>
              <w:fldChar w:fldCharType="begin"/>
            </w:r>
            <w:r>
              <w:rPr>
                <w:webHidden/>
              </w:rPr>
              <w:instrText xml:space="preserve"> PAGEREF _Toc178255669 \h </w:instrText>
            </w:r>
            <w:r>
              <w:rPr>
                <w:webHidden/>
              </w:rPr>
            </w:r>
            <w:r>
              <w:rPr>
                <w:webHidden/>
              </w:rPr>
              <w:fldChar w:fldCharType="separate"/>
            </w:r>
            <w:r w:rsidR="006D0F03">
              <w:rPr>
                <w:webHidden/>
              </w:rPr>
              <w:t>14</w:t>
            </w:r>
            <w:r>
              <w:rPr>
                <w:webHidden/>
              </w:rPr>
              <w:fldChar w:fldCharType="end"/>
            </w:r>
          </w:hyperlink>
        </w:p>
        <w:p w14:paraId="3E01AB33" w14:textId="4043BB42" w:rsidR="00B5298A" w:rsidRDefault="00B5298A">
          <w:pPr>
            <w:pStyle w:val="TOC2"/>
            <w:rPr>
              <w:rFonts w:asciiTheme="minorHAnsi" w:hAnsiTheme="minorHAnsi"/>
              <w:kern w:val="2"/>
              <w:lang w:eastAsia="en-GB"/>
              <w14:ligatures w14:val="standardContextual"/>
            </w:rPr>
          </w:pPr>
          <w:hyperlink w:anchor="_Toc178255670" w:history="1">
            <w:r w:rsidRPr="00826513">
              <w:rPr>
                <w:rStyle w:val="Hyperlink"/>
              </w:rPr>
              <w:t>Monitoring and data collection</w:t>
            </w:r>
            <w:r>
              <w:rPr>
                <w:webHidden/>
              </w:rPr>
              <w:tab/>
            </w:r>
            <w:r>
              <w:rPr>
                <w:webHidden/>
              </w:rPr>
              <w:fldChar w:fldCharType="begin"/>
            </w:r>
            <w:r>
              <w:rPr>
                <w:webHidden/>
              </w:rPr>
              <w:instrText xml:space="preserve"> PAGEREF _Toc178255670 \h </w:instrText>
            </w:r>
            <w:r>
              <w:rPr>
                <w:webHidden/>
              </w:rPr>
            </w:r>
            <w:r>
              <w:rPr>
                <w:webHidden/>
              </w:rPr>
              <w:fldChar w:fldCharType="separate"/>
            </w:r>
            <w:r w:rsidR="006D0F03">
              <w:rPr>
                <w:webHidden/>
              </w:rPr>
              <w:t>16</w:t>
            </w:r>
            <w:r>
              <w:rPr>
                <w:webHidden/>
              </w:rPr>
              <w:fldChar w:fldCharType="end"/>
            </w:r>
          </w:hyperlink>
        </w:p>
        <w:p w14:paraId="611192BA" w14:textId="4DD37E6F" w:rsidR="00B5298A" w:rsidRDefault="00B5298A">
          <w:pPr>
            <w:pStyle w:val="TOC1"/>
            <w:rPr>
              <w:rFonts w:asciiTheme="minorHAnsi" w:hAnsiTheme="minorHAnsi"/>
              <w:b w:val="0"/>
              <w:bCs w:val="0"/>
              <w:kern w:val="2"/>
              <w:lang w:eastAsia="en-GB"/>
              <w14:ligatures w14:val="standardContextual"/>
            </w:rPr>
          </w:pPr>
          <w:hyperlink w:anchor="_Toc178255671" w:history="1">
            <w:r w:rsidRPr="00826513">
              <w:rPr>
                <w:rStyle w:val="Hyperlink"/>
              </w:rPr>
              <w:t>3.0</w:t>
            </w:r>
            <w:r>
              <w:rPr>
                <w:rFonts w:asciiTheme="minorHAnsi" w:hAnsiTheme="minorHAnsi"/>
                <w:b w:val="0"/>
                <w:bCs w:val="0"/>
                <w:kern w:val="2"/>
                <w:lang w:eastAsia="en-GB"/>
                <w14:ligatures w14:val="standardContextual"/>
              </w:rPr>
              <w:tab/>
            </w:r>
            <w:r w:rsidRPr="00826513">
              <w:rPr>
                <w:rStyle w:val="Hyperlink"/>
              </w:rPr>
              <w:t>General Comments</w:t>
            </w:r>
            <w:r>
              <w:rPr>
                <w:webHidden/>
              </w:rPr>
              <w:tab/>
            </w:r>
            <w:r>
              <w:rPr>
                <w:webHidden/>
              </w:rPr>
              <w:fldChar w:fldCharType="begin"/>
            </w:r>
            <w:r>
              <w:rPr>
                <w:webHidden/>
              </w:rPr>
              <w:instrText xml:space="preserve"> PAGEREF _Toc178255671 \h </w:instrText>
            </w:r>
            <w:r>
              <w:rPr>
                <w:webHidden/>
              </w:rPr>
            </w:r>
            <w:r>
              <w:rPr>
                <w:webHidden/>
              </w:rPr>
              <w:fldChar w:fldCharType="separate"/>
            </w:r>
            <w:r w:rsidR="006D0F03">
              <w:rPr>
                <w:webHidden/>
              </w:rPr>
              <w:t>18</w:t>
            </w:r>
            <w:r>
              <w:rPr>
                <w:webHidden/>
              </w:rPr>
              <w:fldChar w:fldCharType="end"/>
            </w:r>
          </w:hyperlink>
        </w:p>
        <w:p w14:paraId="7A36C32E" w14:textId="1664C0F9" w:rsidR="00B5298A" w:rsidRDefault="00B5298A">
          <w:pPr>
            <w:pStyle w:val="TOC2"/>
            <w:rPr>
              <w:rFonts w:asciiTheme="minorHAnsi" w:hAnsiTheme="minorHAnsi"/>
              <w:kern w:val="2"/>
              <w:lang w:eastAsia="en-GB"/>
              <w14:ligatures w14:val="standardContextual"/>
            </w:rPr>
          </w:pPr>
          <w:hyperlink w:anchor="_Toc178255672" w:history="1">
            <w:r w:rsidRPr="00826513">
              <w:rPr>
                <w:rStyle w:val="Hyperlink"/>
              </w:rPr>
              <w:t>Principle 1: Affordability</w:t>
            </w:r>
            <w:r>
              <w:rPr>
                <w:webHidden/>
              </w:rPr>
              <w:tab/>
            </w:r>
            <w:r>
              <w:rPr>
                <w:webHidden/>
              </w:rPr>
              <w:fldChar w:fldCharType="begin"/>
            </w:r>
            <w:r>
              <w:rPr>
                <w:webHidden/>
              </w:rPr>
              <w:instrText xml:space="preserve"> PAGEREF _Toc178255672 \h </w:instrText>
            </w:r>
            <w:r>
              <w:rPr>
                <w:webHidden/>
              </w:rPr>
            </w:r>
            <w:r>
              <w:rPr>
                <w:webHidden/>
              </w:rPr>
              <w:fldChar w:fldCharType="separate"/>
            </w:r>
            <w:r w:rsidR="006D0F03">
              <w:rPr>
                <w:webHidden/>
              </w:rPr>
              <w:t>18</w:t>
            </w:r>
            <w:r>
              <w:rPr>
                <w:webHidden/>
              </w:rPr>
              <w:fldChar w:fldCharType="end"/>
            </w:r>
          </w:hyperlink>
        </w:p>
        <w:p w14:paraId="21EAC535" w14:textId="231811ED" w:rsidR="00B5298A" w:rsidRDefault="00B5298A">
          <w:pPr>
            <w:pStyle w:val="TOC2"/>
            <w:rPr>
              <w:rFonts w:asciiTheme="minorHAnsi" w:hAnsiTheme="minorHAnsi"/>
              <w:kern w:val="2"/>
              <w:lang w:eastAsia="en-GB"/>
              <w14:ligatures w14:val="standardContextual"/>
            </w:rPr>
          </w:pPr>
          <w:hyperlink w:anchor="_Toc178255673" w:history="1">
            <w:r w:rsidRPr="00826513">
              <w:rPr>
                <w:rStyle w:val="Hyperlink"/>
                <w:bCs/>
              </w:rPr>
              <w:t>Uniform grants</w:t>
            </w:r>
            <w:r>
              <w:rPr>
                <w:webHidden/>
              </w:rPr>
              <w:tab/>
            </w:r>
            <w:r>
              <w:rPr>
                <w:webHidden/>
              </w:rPr>
              <w:fldChar w:fldCharType="begin"/>
            </w:r>
            <w:r>
              <w:rPr>
                <w:webHidden/>
              </w:rPr>
              <w:instrText xml:space="preserve"> PAGEREF _Toc178255673 \h </w:instrText>
            </w:r>
            <w:r>
              <w:rPr>
                <w:webHidden/>
              </w:rPr>
            </w:r>
            <w:r>
              <w:rPr>
                <w:webHidden/>
              </w:rPr>
              <w:fldChar w:fldCharType="separate"/>
            </w:r>
            <w:r w:rsidR="006D0F03">
              <w:rPr>
                <w:webHidden/>
              </w:rPr>
              <w:t>24</w:t>
            </w:r>
            <w:r>
              <w:rPr>
                <w:webHidden/>
              </w:rPr>
              <w:fldChar w:fldCharType="end"/>
            </w:r>
          </w:hyperlink>
        </w:p>
        <w:p w14:paraId="469C41B8" w14:textId="25EFA551" w:rsidR="00B5298A" w:rsidRDefault="00B5298A">
          <w:pPr>
            <w:pStyle w:val="TOC2"/>
            <w:rPr>
              <w:rFonts w:asciiTheme="minorHAnsi" w:hAnsiTheme="minorHAnsi"/>
              <w:kern w:val="2"/>
              <w:lang w:eastAsia="en-GB"/>
              <w14:ligatures w14:val="standardContextual"/>
            </w:rPr>
          </w:pPr>
          <w:hyperlink w:anchor="_Toc178255674" w:history="1">
            <w:r w:rsidRPr="00826513">
              <w:rPr>
                <w:rStyle w:val="Hyperlink"/>
                <w:lang w:val="en" w:eastAsia="en-GB"/>
              </w:rPr>
              <w:t>Principle 2: Comfort</w:t>
            </w:r>
            <w:r>
              <w:rPr>
                <w:webHidden/>
              </w:rPr>
              <w:tab/>
            </w:r>
            <w:r>
              <w:rPr>
                <w:webHidden/>
              </w:rPr>
              <w:fldChar w:fldCharType="begin"/>
            </w:r>
            <w:r>
              <w:rPr>
                <w:webHidden/>
              </w:rPr>
              <w:instrText xml:space="preserve"> PAGEREF _Toc178255674 \h </w:instrText>
            </w:r>
            <w:r>
              <w:rPr>
                <w:webHidden/>
              </w:rPr>
            </w:r>
            <w:r>
              <w:rPr>
                <w:webHidden/>
              </w:rPr>
              <w:fldChar w:fldCharType="separate"/>
            </w:r>
            <w:r w:rsidR="006D0F03">
              <w:rPr>
                <w:webHidden/>
              </w:rPr>
              <w:t>27</w:t>
            </w:r>
            <w:r>
              <w:rPr>
                <w:webHidden/>
              </w:rPr>
              <w:fldChar w:fldCharType="end"/>
            </w:r>
          </w:hyperlink>
        </w:p>
        <w:p w14:paraId="739203E9" w14:textId="77179660" w:rsidR="00B5298A" w:rsidRDefault="00B5298A">
          <w:pPr>
            <w:pStyle w:val="TOC2"/>
            <w:rPr>
              <w:rFonts w:asciiTheme="minorHAnsi" w:hAnsiTheme="minorHAnsi"/>
              <w:kern w:val="2"/>
              <w:lang w:eastAsia="en-GB"/>
              <w14:ligatures w14:val="standardContextual"/>
            </w:rPr>
          </w:pPr>
          <w:hyperlink w:anchor="_Toc178255675" w:history="1">
            <w:r w:rsidRPr="00826513">
              <w:rPr>
                <w:rStyle w:val="Hyperlink"/>
                <w:bCs/>
              </w:rPr>
              <w:t>Children with disabilities</w:t>
            </w:r>
            <w:r>
              <w:rPr>
                <w:webHidden/>
              </w:rPr>
              <w:tab/>
            </w:r>
            <w:r>
              <w:rPr>
                <w:webHidden/>
              </w:rPr>
              <w:fldChar w:fldCharType="begin"/>
            </w:r>
            <w:r>
              <w:rPr>
                <w:webHidden/>
              </w:rPr>
              <w:instrText xml:space="preserve"> PAGEREF _Toc178255675 \h </w:instrText>
            </w:r>
            <w:r>
              <w:rPr>
                <w:webHidden/>
              </w:rPr>
            </w:r>
            <w:r>
              <w:rPr>
                <w:webHidden/>
              </w:rPr>
              <w:fldChar w:fldCharType="separate"/>
            </w:r>
            <w:r w:rsidR="006D0F03">
              <w:rPr>
                <w:webHidden/>
              </w:rPr>
              <w:t>28</w:t>
            </w:r>
            <w:r>
              <w:rPr>
                <w:webHidden/>
              </w:rPr>
              <w:fldChar w:fldCharType="end"/>
            </w:r>
          </w:hyperlink>
        </w:p>
        <w:p w14:paraId="43ACFA34" w14:textId="597913B4" w:rsidR="00B5298A" w:rsidRDefault="00B5298A">
          <w:pPr>
            <w:pStyle w:val="TOC2"/>
            <w:rPr>
              <w:rFonts w:asciiTheme="minorHAnsi" w:hAnsiTheme="minorHAnsi"/>
              <w:kern w:val="2"/>
              <w:lang w:eastAsia="en-GB"/>
              <w14:ligatures w14:val="standardContextual"/>
            </w:rPr>
          </w:pPr>
          <w:hyperlink w:anchor="_Toc178255676" w:history="1">
            <w:r w:rsidRPr="00826513">
              <w:rPr>
                <w:rStyle w:val="Hyperlink"/>
                <w:bCs/>
              </w:rPr>
              <w:t>Gender and gender identity</w:t>
            </w:r>
            <w:r>
              <w:rPr>
                <w:webHidden/>
              </w:rPr>
              <w:tab/>
            </w:r>
            <w:r>
              <w:rPr>
                <w:webHidden/>
              </w:rPr>
              <w:fldChar w:fldCharType="begin"/>
            </w:r>
            <w:r>
              <w:rPr>
                <w:webHidden/>
              </w:rPr>
              <w:instrText xml:space="preserve"> PAGEREF _Toc178255676 \h </w:instrText>
            </w:r>
            <w:r>
              <w:rPr>
                <w:webHidden/>
              </w:rPr>
            </w:r>
            <w:r>
              <w:rPr>
                <w:webHidden/>
              </w:rPr>
              <w:fldChar w:fldCharType="separate"/>
            </w:r>
            <w:r w:rsidR="006D0F03">
              <w:rPr>
                <w:webHidden/>
              </w:rPr>
              <w:t>29</w:t>
            </w:r>
            <w:r>
              <w:rPr>
                <w:webHidden/>
              </w:rPr>
              <w:fldChar w:fldCharType="end"/>
            </w:r>
          </w:hyperlink>
        </w:p>
        <w:p w14:paraId="5E0780C5" w14:textId="315DE1F6" w:rsidR="00B5298A" w:rsidRDefault="00B5298A">
          <w:pPr>
            <w:pStyle w:val="TOC2"/>
            <w:rPr>
              <w:rFonts w:asciiTheme="minorHAnsi" w:hAnsiTheme="minorHAnsi"/>
              <w:kern w:val="2"/>
              <w:lang w:eastAsia="en-GB"/>
              <w14:ligatures w14:val="standardContextual"/>
            </w:rPr>
          </w:pPr>
          <w:hyperlink w:anchor="_Toc178255677" w:history="1">
            <w:r w:rsidRPr="00826513">
              <w:rPr>
                <w:rStyle w:val="Hyperlink"/>
                <w:bCs/>
              </w:rPr>
              <w:t>Religion or beliefs</w:t>
            </w:r>
            <w:r>
              <w:rPr>
                <w:webHidden/>
              </w:rPr>
              <w:tab/>
            </w:r>
            <w:r>
              <w:rPr>
                <w:webHidden/>
              </w:rPr>
              <w:fldChar w:fldCharType="begin"/>
            </w:r>
            <w:r>
              <w:rPr>
                <w:webHidden/>
              </w:rPr>
              <w:instrText xml:space="preserve"> PAGEREF _Toc178255677 \h </w:instrText>
            </w:r>
            <w:r>
              <w:rPr>
                <w:webHidden/>
              </w:rPr>
            </w:r>
            <w:r>
              <w:rPr>
                <w:webHidden/>
              </w:rPr>
              <w:fldChar w:fldCharType="separate"/>
            </w:r>
            <w:r w:rsidR="006D0F03">
              <w:rPr>
                <w:webHidden/>
              </w:rPr>
              <w:t>30</w:t>
            </w:r>
            <w:r>
              <w:rPr>
                <w:webHidden/>
              </w:rPr>
              <w:fldChar w:fldCharType="end"/>
            </w:r>
          </w:hyperlink>
        </w:p>
        <w:p w14:paraId="1A1ADE6B" w14:textId="60E3E446" w:rsidR="0096056C" w:rsidRPr="00D84515" w:rsidRDefault="0096056C">
          <w:r w:rsidRPr="00D84515">
            <w:rPr>
              <w:noProof/>
            </w:rPr>
            <w:fldChar w:fldCharType="end"/>
          </w:r>
        </w:p>
      </w:sdtContent>
    </w:sdt>
    <w:p w14:paraId="32F82717" w14:textId="77777777" w:rsidR="00EA12CE" w:rsidRPr="00D84515" w:rsidRDefault="00EA12CE" w:rsidP="00331C61">
      <w:pPr>
        <w:pStyle w:val="Default"/>
        <w:spacing w:line="288" w:lineRule="auto"/>
        <w:rPr>
          <w:rFonts w:cs="Arial"/>
          <w:b/>
          <w:color w:val="232120"/>
        </w:rPr>
      </w:pPr>
    </w:p>
    <w:p w14:paraId="75006B94" w14:textId="77777777" w:rsidR="00EA12CE" w:rsidRPr="00D84515" w:rsidRDefault="00EA12CE" w:rsidP="00331C61">
      <w:pPr>
        <w:pStyle w:val="Default"/>
        <w:spacing w:line="288" w:lineRule="auto"/>
        <w:rPr>
          <w:rFonts w:cs="Arial"/>
          <w:b/>
          <w:color w:val="232120"/>
        </w:rPr>
      </w:pPr>
    </w:p>
    <w:p w14:paraId="2C2BFEE2" w14:textId="6262D194" w:rsidR="00EA12CE" w:rsidRPr="00331C61" w:rsidRDefault="00DF3326" w:rsidP="00DF3326">
      <w:pPr>
        <w:pStyle w:val="Default"/>
        <w:tabs>
          <w:tab w:val="left" w:pos="7751"/>
        </w:tabs>
        <w:spacing w:line="288" w:lineRule="auto"/>
        <w:rPr>
          <w:rFonts w:cs="Arial"/>
          <w:b/>
          <w:color w:val="232120"/>
        </w:rPr>
      </w:pPr>
      <w:r>
        <w:rPr>
          <w:rFonts w:cs="Arial"/>
          <w:b/>
          <w:color w:val="232120"/>
        </w:rPr>
        <w:tab/>
      </w:r>
    </w:p>
    <w:p w14:paraId="2EDDF028" w14:textId="77777777" w:rsidR="00EA12CE" w:rsidRPr="00331C61" w:rsidRDefault="00EA12CE" w:rsidP="00331C61">
      <w:pPr>
        <w:pStyle w:val="Default"/>
        <w:spacing w:line="288" w:lineRule="auto"/>
        <w:rPr>
          <w:rFonts w:cs="Arial"/>
          <w:b/>
          <w:color w:val="232120"/>
        </w:rPr>
      </w:pPr>
    </w:p>
    <w:p w14:paraId="1352F006" w14:textId="77777777" w:rsidR="00EA12CE" w:rsidRPr="00331C61" w:rsidRDefault="00EA12CE" w:rsidP="00331C61">
      <w:pPr>
        <w:pStyle w:val="Default"/>
        <w:spacing w:line="288" w:lineRule="auto"/>
        <w:rPr>
          <w:rFonts w:cs="Arial"/>
          <w:b/>
          <w:color w:val="232120"/>
        </w:rPr>
      </w:pPr>
    </w:p>
    <w:p w14:paraId="6FCEC036" w14:textId="77777777" w:rsidR="00EA12CE" w:rsidRDefault="00EA12CE" w:rsidP="00331C61">
      <w:pPr>
        <w:pStyle w:val="Default"/>
        <w:spacing w:line="288" w:lineRule="auto"/>
        <w:rPr>
          <w:rFonts w:cs="Arial"/>
          <w:b/>
          <w:color w:val="232120"/>
        </w:rPr>
      </w:pPr>
    </w:p>
    <w:p w14:paraId="166E8B36" w14:textId="77777777" w:rsidR="00E45433" w:rsidRDefault="00E45433" w:rsidP="00331C61">
      <w:pPr>
        <w:pStyle w:val="Default"/>
        <w:spacing w:line="288" w:lineRule="auto"/>
        <w:rPr>
          <w:rFonts w:cs="Arial"/>
          <w:b/>
          <w:color w:val="232120"/>
        </w:rPr>
      </w:pPr>
    </w:p>
    <w:p w14:paraId="77A2DB72" w14:textId="77777777" w:rsidR="00E45433" w:rsidRDefault="00E45433" w:rsidP="00331C61">
      <w:pPr>
        <w:pStyle w:val="Default"/>
        <w:spacing w:line="288" w:lineRule="auto"/>
        <w:rPr>
          <w:rFonts w:cs="Arial"/>
          <w:b/>
          <w:color w:val="232120"/>
        </w:rPr>
      </w:pPr>
    </w:p>
    <w:p w14:paraId="6F1CCBBE" w14:textId="77777777" w:rsidR="00B2194E" w:rsidRDefault="00B2194E" w:rsidP="00331C61">
      <w:pPr>
        <w:pStyle w:val="Default"/>
        <w:spacing w:line="288" w:lineRule="auto"/>
        <w:rPr>
          <w:rFonts w:cs="Arial"/>
          <w:b/>
          <w:color w:val="232120"/>
        </w:rPr>
      </w:pPr>
    </w:p>
    <w:p w14:paraId="7B4178A1" w14:textId="77777777" w:rsidR="00E45433" w:rsidRDefault="00E45433" w:rsidP="00331C61">
      <w:pPr>
        <w:pStyle w:val="Default"/>
        <w:spacing w:line="288" w:lineRule="auto"/>
        <w:rPr>
          <w:rFonts w:cs="Arial"/>
          <w:b/>
          <w:color w:val="232120"/>
        </w:rPr>
      </w:pPr>
    </w:p>
    <w:p w14:paraId="1C216A1F" w14:textId="77777777" w:rsidR="00E45433" w:rsidRDefault="00E45433" w:rsidP="00331C61">
      <w:pPr>
        <w:pStyle w:val="Default"/>
        <w:spacing w:line="288" w:lineRule="auto"/>
        <w:rPr>
          <w:rFonts w:cs="Arial"/>
          <w:b/>
          <w:color w:val="232120"/>
        </w:rPr>
      </w:pPr>
    </w:p>
    <w:p w14:paraId="5AB0FA15" w14:textId="77777777" w:rsidR="00E45433" w:rsidRDefault="00E45433" w:rsidP="00331C61">
      <w:pPr>
        <w:pStyle w:val="Default"/>
        <w:spacing w:line="288" w:lineRule="auto"/>
        <w:rPr>
          <w:rFonts w:cs="Arial"/>
          <w:b/>
          <w:color w:val="232120"/>
        </w:rPr>
      </w:pPr>
    </w:p>
    <w:p w14:paraId="33E7136A" w14:textId="77777777" w:rsidR="00E45433" w:rsidRDefault="00E45433" w:rsidP="00331C61">
      <w:pPr>
        <w:pStyle w:val="Default"/>
        <w:spacing w:line="288" w:lineRule="auto"/>
        <w:rPr>
          <w:rFonts w:cs="Arial"/>
          <w:b/>
          <w:color w:val="232120"/>
        </w:rPr>
      </w:pPr>
    </w:p>
    <w:p w14:paraId="3AD9ADB1" w14:textId="77777777" w:rsidR="00E45433" w:rsidRPr="00331C61" w:rsidRDefault="00E45433" w:rsidP="00331C61">
      <w:pPr>
        <w:pStyle w:val="Default"/>
        <w:spacing w:line="288" w:lineRule="auto"/>
        <w:rPr>
          <w:rFonts w:cs="Arial"/>
          <w:b/>
          <w:color w:val="232120"/>
        </w:rPr>
      </w:pPr>
    </w:p>
    <w:p w14:paraId="69B0D3FF" w14:textId="77777777" w:rsidR="00EA12CE" w:rsidRPr="00331C61" w:rsidRDefault="00EA12CE" w:rsidP="00331C61">
      <w:pPr>
        <w:pStyle w:val="Default"/>
        <w:spacing w:line="288" w:lineRule="auto"/>
        <w:rPr>
          <w:rFonts w:cs="Arial"/>
          <w:b/>
          <w:color w:val="232120"/>
        </w:rPr>
      </w:pPr>
    </w:p>
    <w:p w14:paraId="3FC1CB8F" w14:textId="77777777" w:rsidR="00EA12CE" w:rsidRDefault="00EA12CE" w:rsidP="00331C61">
      <w:pPr>
        <w:pStyle w:val="Default"/>
        <w:spacing w:line="288" w:lineRule="auto"/>
        <w:rPr>
          <w:rFonts w:cs="Arial"/>
          <w:b/>
          <w:color w:val="232120"/>
        </w:rPr>
      </w:pPr>
    </w:p>
    <w:p w14:paraId="72B78C29" w14:textId="77777777" w:rsidR="0096328C" w:rsidRDefault="0096328C" w:rsidP="00331C61">
      <w:pPr>
        <w:pStyle w:val="Default"/>
        <w:spacing w:line="288" w:lineRule="auto"/>
        <w:rPr>
          <w:rFonts w:cs="Arial"/>
          <w:b/>
          <w:color w:val="232120"/>
        </w:rPr>
      </w:pPr>
    </w:p>
    <w:p w14:paraId="6D7334EE" w14:textId="5EE051F8" w:rsidR="001E79A9" w:rsidRDefault="00F9629B" w:rsidP="00D4533D">
      <w:pPr>
        <w:pStyle w:val="Heading1"/>
        <w:numPr>
          <w:ilvl w:val="0"/>
          <w:numId w:val="0"/>
        </w:numPr>
      </w:pPr>
      <w:bookmarkStart w:id="0" w:name="_Toc178255664"/>
      <w:r>
        <w:t xml:space="preserve">Summary of </w:t>
      </w:r>
      <w:r w:rsidR="00D4533D">
        <w:t>Recommendations</w:t>
      </w:r>
      <w:bookmarkEnd w:id="0"/>
    </w:p>
    <w:p w14:paraId="389DE8DD" w14:textId="5A8E7F56" w:rsidR="003B0B86" w:rsidRDefault="00447B70" w:rsidP="00FD3E44">
      <w:pPr>
        <w:pStyle w:val="ListParagraph"/>
        <w:ind w:left="0"/>
      </w:pPr>
      <w:r>
        <w:t xml:space="preserve">The NI Human Rights Commission recommends that: </w:t>
      </w:r>
    </w:p>
    <w:p w14:paraId="1947F155" w14:textId="77777777" w:rsidR="00644EA0" w:rsidRDefault="00644EA0" w:rsidP="00644EA0">
      <w:pPr>
        <w:pStyle w:val="BasicParagraph"/>
        <w:tabs>
          <w:tab w:val="left" w:pos="993"/>
        </w:tabs>
        <w:suppressAutoHyphens/>
        <w:ind w:left="993" w:hanging="993"/>
        <w:rPr>
          <w:rFonts w:ascii="Verdana" w:hAnsi="Verdana" w:cs="Arial"/>
          <w:color w:val="232120"/>
        </w:rPr>
      </w:pPr>
    </w:p>
    <w:p w14:paraId="78020EF6" w14:textId="77777777" w:rsidR="00644EA0" w:rsidRDefault="00644EA0" w:rsidP="00644EA0">
      <w:pPr>
        <w:pStyle w:val="ListParagraph"/>
        <w:numPr>
          <w:ilvl w:val="0"/>
          <w:numId w:val="8"/>
        </w:numPr>
        <w:spacing w:line="240" w:lineRule="auto"/>
        <w:rPr>
          <w:rFonts w:cs="Arial"/>
          <w:color w:val="232120"/>
        </w:rPr>
      </w:pPr>
      <w:r w:rsidRPr="00E94A5E">
        <w:rPr>
          <w:rFonts w:cs="Arial"/>
          <w:color w:val="232120"/>
        </w:rPr>
        <w:t xml:space="preserve">the Department of Education adopts a human </w:t>
      </w:r>
      <w:proofErr w:type="gramStart"/>
      <w:r w:rsidRPr="00E94A5E">
        <w:rPr>
          <w:rFonts w:cs="Arial"/>
          <w:color w:val="232120"/>
        </w:rPr>
        <w:t>rights based</w:t>
      </w:r>
      <w:proofErr w:type="gramEnd"/>
      <w:r w:rsidRPr="00E94A5E">
        <w:rPr>
          <w:rFonts w:cs="Arial"/>
          <w:color w:val="232120"/>
        </w:rPr>
        <w:t xml:space="preserve"> approach to the development, implementation and monitoring of the updated statutory guidance. The full range of internationally accepted human rights standards should be clearly referenced throughout the policy, including cross-reference the right to education and the principles of availability, accessibility, acceptability and adaptability where appropriate. </w:t>
      </w:r>
    </w:p>
    <w:p w14:paraId="0204DF58" w14:textId="77777777" w:rsidR="00644EA0" w:rsidRPr="00E94A5E" w:rsidRDefault="00644EA0" w:rsidP="00644EA0">
      <w:pPr>
        <w:pStyle w:val="ListParagraph"/>
        <w:rPr>
          <w:rFonts w:cs="Arial"/>
          <w:color w:val="232120"/>
        </w:rPr>
      </w:pPr>
    </w:p>
    <w:p w14:paraId="0FF8DCB5" w14:textId="77777777" w:rsidR="00644EA0" w:rsidRDefault="00644EA0" w:rsidP="00644EA0">
      <w:pPr>
        <w:pStyle w:val="ListParagraph"/>
        <w:numPr>
          <w:ilvl w:val="0"/>
          <w:numId w:val="8"/>
        </w:numPr>
        <w:spacing w:line="240" w:lineRule="auto"/>
        <w:rPr>
          <w:rFonts w:cs="Arial"/>
          <w:color w:val="232120"/>
        </w:rPr>
      </w:pPr>
      <w:r w:rsidRPr="00E94A5E">
        <w:rPr>
          <w:rFonts w:cs="Arial"/>
          <w:color w:val="232120"/>
        </w:rPr>
        <w:t>the revised statutory guidance on school uniforms makes explicit reference to the ‘best interests’ principle.</w:t>
      </w:r>
    </w:p>
    <w:p w14:paraId="5937C5E6" w14:textId="77777777" w:rsidR="00644EA0" w:rsidRPr="00E94A5E" w:rsidRDefault="00644EA0" w:rsidP="00644EA0">
      <w:pPr>
        <w:rPr>
          <w:rFonts w:cs="Arial"/>
          <w:color w:val="232120"/>
        </w:rPr>
      </w:pPr>
    </w:p>
    <w:p w14:paraId="4BAFF799" w14:textId="77777777" w:rsidR="00644EA0" w:rsidRDefault="00644EA0" w:rsidP="00644EA0">
      <w:pPr>
        <w:pStyle w:val="ListParagraph"/>
        <w:numPr>
          <w:ilvl w:val="0"/>
          <w:numId w:val="8"/>
        </w:numPr>
        <w:spacing w:line="240" w:lineRule="auto"/>
        <w:rPr>
          <w:rFonts w:cs="Arial"/>
          <w:color w:val="232120"/>
        </w:rPr>
      </w:pPr>
      <w:r w:rsidRPr="00E94A5E">
        <w:rPr>
          <w:rFonts w:cs="Arial"/>
          <w:color w:val="232120"/>
        </w:rPr>
        <w:t>the revised statutory guidance on school uniforms makes explicit reference to the evolving capacit</w:t>
      </w:r>
      <w:r>
        <w:rPr>
          <w:rFonts w:cs="Arial"/>
          <w:color w:val="232120"/>
        </w:rPr>
        <w:t>y</w:t>
      </w:r>
      <w:r w:rsidRPr="00E94A5E">
        <w:rPr>
          <w:rFonts w:cs="Arial"/>
          <w:color w:val="232120"/>
        </w:rPr>
        <w:t xml:space="preserve"> of children and young people to ensure their views on school uniform policy are given due weight in accordance with their age and maturity. </w:t>
      </w:r>
    </w:p>
    <w:p w14:paraId="38BA89C4" w14:textId="77777777" w:rsidR="00644EA0" w:rsidRPr="00E94A5E" w:rsidRDefault="00644EA0" w:rsidP="00644EA0">
      <w:pPr>
        <w:rPr>
          <w:rFonts w:cs="Arial"/>
          <w:color w:val="232120"/>
        </w:rPr>
      </w:pPr>
    </w:p>
    <w:p w14:paraId="6743EE3B" w14:textId="77777777" w:rsidR="00644EA0" w:rsidRDefault="00644EA0" w:rsidP="00644EA0">
      <w:pPr>
        <w:pStyle w:val="ListParagraph"/>
        <w:numPr>
          <w:ilvl w:val="0"/>
          <w:numId w:val="8"/>
        </w:numPr>
        <w:spacing w:line="240" w:lineRule="auto"/>
        <w:rPr>
          <w:rFonts w:cs="Arial"/>
          <w:color w:val="232120"/>
        </w:rPr>
      </w:pPr>
      <w:r w:rsidRPr="00E94A5E">
        <w:rPr>
          <w:rFonts w:cs="Arial"/>
          <w:color w:val="232120"/>
        </w:rPr>
        <w:t>the revised statutory guidance specifically references international obligations on non-discrimination, including Article 14 of the ECHR. This should include a commitment to eliminate discrimination against children in disadvantaged situations, including children belonging to ethnic minority groups, asylum-seeking, refugee and migrant children, Roma, gypsy and traveller children, children with disabilities, children in alternative care, lesbian, gay, bisexual, transgender and intersex children, and socioeconomically disadvantaged children, among others.</w:t>
      </w:r>
    </w:p>
    <w:p w14:paraId="341738F5" w14:textId="77777777" w:rsidR="00644EA0" w:rsidRPr="004364BE" w:rsidRDefault="00644EA0" w:rsidP="00644EA0">
      <w:pPr>
        <w:pStyle w:val="ListParagraph"/>
        <w:rPr>
          <w:rFonts w:cs="Arial"/>
          <w:color w:val="232120"/>
        </w:rPr>
      </w:pPr>
    </w:p>
    <w:p w14:paraId="79F0DB94" w14:textId="77777777" w:rsidR="00644EA0" w:rsidRDefault="00644EA0" w:rsidP="00644EA0">
      <w:pPr>
        <w:pStyle w:val="ListParagraph"/>
        <w:numPr>
          <w:ilvl w:val="0"/>
          <w:numId w:val="8"/>
        </w:numPr>
        <w:spacing w:line="240" w:lineRule="auto"/>
        <w:rPr>
          <w:rFonts w:cs="Arial"/>
          <w:color w:val="232120"/>
        </w:rPr>
      </w:pPr>
      <w:r w:rsidRPr="004364BE">
        <w:rPr>
          <w:rFonts w:cs="Arial"/>
          <w:color w:val="232120"/>
        </w:rPr>
        <w:t>the Department of Education supports schools and governing bodies to improve the collection of data in relation to the statutory guidance, including disaggregation by age, sex, disability, geographical location, ethnic origin, nationality and socioeconomic background. Disaggregated data should be reported to the Department of Education during each monitoring round to inform ongoing analysis and child rights impact assessments of the guidance.</w:t>
      </w:r>
    </w:p>
    <w:p w14:paraId="2824AF08" w14:textId="77777777" w:rsidR="00644EA0" w:rsidRPr="004364BE" w:rsidRDefault="00644EA0" w:rsidP="00644EA0">
      <w:pPr>
        <w:pStyle w:val="ListParagraph"/>
        <w:rPr>
          <w:rFonts w:cs="Arial"/>
          <w:color w:val="232120"/>
        </w:rPr>
      </w:pPr>
    </w:p>
    <w:p w14:paraId="4B55A318" w14:textId="77777777" w:rsidR="00644EA0" w:rsidRDefault="00644EA0" w:rsidP="00644EA0">
      <w:pPr>
        <w:pStyle w:val="ListParagraph"/>
        <w:numPr>
          <w:ilvl w:val="0"/>
          <w:numId w:val="8"/>
        </w:numPr>
        <w:spacing w:line="240" w:lineRule="auto"/>
        <w:rPr>
          <w:rFonts w:cs="Arial"/>
          <w:color w:val="232120"/>
        </w:rPr>
      </w:pPr>
      <w:r w:rsidRPr="004364BE">
        <w:rPr>
          <w:rFonts w:cs="Arial"/>
          <w:color w:val="232120"/>
        </w:rPr>
        <w:t xml:space="preserve">statutory guidance should ensure that all effective measures are taken so that children in disadvantaged situations, including children in socioeconomically disadvantaged situations, are not denied access to </w:t>
      </w:r>
    </w:p>
    <w:p w14:paraId="225B9FE6" w14:textId="6BD451DE" w:rsidR="00644EA0" w:rsidRDefault="00644EA0" w:rsidP="00644EA0">
      <w:pPr>
        <w:pStyle w:val="ListParagraph"/>
        <w:spacing w:line="240" w:lineRule="auto"/>
        <w:rPr>
          <w:rFonts w:cs="Arial"/>
          <w:color w:val="232120"/>
        </w:rPr>
      </w:pPr>
      <w:r w:rsidRPr="004364BE">
        <w:rPr>
          <w:rFonts w:cs="Arial"/>
          <w:color w:val="232120"/>
        </w:rPr>
        <w:t xml:space="preserve">certain schools in NI or any level of education based on their inability to meet school uniform costs. This includes the stipulation only of basic items </w:t>
      </w:r>
      <w:r w:rsidRPr="004364BE">
        <w:rPr>
          <w:rFonts w:cs="Arial"/>
          <w:color w:val="232120"/>
        </w:rPr>
        <w:lastRenderedPageBreak/>
        <w:t xml:space="preserve">and colours. Moreover, any </w:t>
      </w:r>
      <w:proofErr w:type="gramStart"/>
      <w:r w:rsidRPr="004364BE">
        <w:rPr>
          <w:rFonts w:cs="Arial"/>
          <w:color w:val="232120"/>
        </w:rPr>
        <w:t>high cost</w:t>
      </w:r>
      <w:proofErr w:type="gramEnd"/>
      <w:r w:rsidRPr="004364BE">
        <w:rPr>
          <w:rFonts w:cs="Arial"/>
          <w:color w:val="232120"/>
        </w:rPr>
        <w:t xml:space="preserve"> items or items with unnecessary variations should be avoided.</w:t>
      </w:r>
    </w:p>
    <w:p w14:paraId="3011F3CD" w14:textId="77777777" w:rsidR="00644EA0" w:rsidRPr="004364BE" w:rsidRDefault="00644EA0" w:rsidP="00644EA0">
      <w:pPr>
        <w:pStyle w:val="ListParagraph"/>
        <w:rPr>
          <w:rFonts w:cs="Arial"/>
          <w:color w:val="232120"/>
        </w:rPr>
      </w:pPr>
    </w:p>
    <w:p w14:paraId="3BCA32BD" w14:textId="77777777" w:rsidR="00644EA0" w:rsidRDefault="00644EA0" w:rsidP="00644EA0">
      <w:pPr>
        <w:pStyle w:val="ListParagraph"/>
        <w:numPr>
          <w:ilvl w:val="0"/>
          <w:numId w:val="8"/>
        </w:numPr>
        <w:spacing w:line="240" w:lineRule="auto"/>
        <w:rPr>
          <w:rFonts w:cs="Arial"/>
          <w:color w:val="232120"/>
        </w:rPr>
      </w:pPr>
      <w:r w:rsidRPr="004364BE">
        <w:rPr>
          <w:rFonts w:cs="Arial"/>
          <w:color w:val="232120"/>
        </w:rPr>
        <w:t>the Department of Education makes every effort to use all available resources to ensure school uniform grants in NI are sufficient, proportional to costs and include targeted measures for children identified as particularly disadvantaged, in accordance with the principles of non-discrimination and best interests of the child.</w:t>
      </w:r>
    </w:p>
    <w:p w14:paraId="5709415E" w14:textId="77777777" w:rsidR="00644EA0" w:rsidRPr="00E94A5E" w:rsidRDefault="00644EA0" w:rsidP="00644EA0">
      <w:pPr>
        <w:rPr>
          <w:rFonts w:cs="Arial"/>
          <w:color w:val="232120"/>
        </w:rPr>
      </w:pPr>
    </w:p>
    <w:p w14:paraId="191DA2A5" w14:textId="77777777" w:rsidR="00644EA0" w:rsidRPr="00E94A5E" w:rsidRDefault="00644EA0" w:rsidP="00644EA0">
      <w:pPr>
        <w:pStyle w:val="BasicParagraph"/>
        <w:numPr>
          <w:ilvl w:val="0"/>
          <w:numId w:val="8"/>
        </w:numPr>
        <w:tabs>
          <w:tab w:val="left" w:pos="993"/>
        </w:tabs>
        <w:suppressAutoHyphens/>
        <w:spacing w:line="240" w:lineRule="auto"/>
        <w:rPr>
          <w:rFonts w:ascii="Verdana" w:hAnsi="Verdana" w:cs="Arial"/>
          <w:color w:val="232120"/>
        </w:rPr>
      </w:pPr>
      <w:r w:rsidRPr="00E94A5E">
        <w:rPr>
          <w:rFonts w:ascii="Verdana" w:hAnsi="Verdana" w:cs="Arial"/>
          <w:color w:val="232120"/>
        </w:rPr>
        <w:t xml:space="preserve">the Department of Education monitors and publishes disaggregated data on school uniform grants, including: </w:t>
      </w:r>
    </w:p>
    <w:p w14:paraId="20F55236" w14:textId="77777777" w:rsidR="00644EA0" w:rsidRPr="00E94A5E" w:rsidRDefault="00644EA0" w:rsidP="00644EA0">
      <w:pPr>
        <w:pStyle w:val="BasicParagraph"/>
        <w:numPr>
          <w:ilvl w:val="0"/>
          <w:numId w:val="9"/>
        </w:numPr>
        <w:tabs>
          <w:tab w:val="left" w:pos="993"/>
        </w:tabs>
        <w:suppressAutoHyphens/>
        <w:spacing w:line="240" w:lineRule="auto"/>
        <w:rPr>
          <w:rFonts w:ascii="Verdana" w:hAnsi="Verdana" w:cs="Arial"/>
          <w:color w:val="232120"/>
        </w:rPr>
      </w:pPr>
      <w:r w:rsidRPr="00E94A5E">
        <w:rPr>
          <w:rFonts w:ascii="Verdana" w:hAnsi="Verdana" w:cs="Arial"/>
          <w:color w:val="232120"/>
        </w:rPr>
        <w:t>Data on the average cost of school uniforms in NI (disaggregated by school type)</w:t>
      </w:r>
    </w:p>
    <w:p w14:paraId="7E5F92EB" w14:textId="77777777" w:rsidR="00644EA0" w:rsidRPr="00E94A5E" w:rsidRDefault="00644EA0" w:rsidP="00644EA0">
      <w:pPr>
        <w:pStyle w:val="BasicParagraph"/>
        <w:numPr>
          <w:ilvl w:val="0"/>
          <w:numId w:val="9"/>
        </w:numPr>
        <w:tabs>
          <w:tab w:val="left" w:pos="993"/>
        </w:tabs>
        <w:suppressAutoHyphens/>
        <w:spacing w:line="240" w:lineRule="auto"/>
        <w:rPr>
          <w:rFonts w:ascii="Verdana" w:hAnsi="Verdana" w:cs="Arial"/>
          <w:color w:val="232120"/>
        </w:rPr>
      </w:pPr>
      <w:r w:rsidRPr="00E94A5E">
        <w:rPr>
          <w:rFonts w:ascii="Verdana" w:hAnsi="Verdana" w:cs="Arial"/>
          <w:color w:val="232120"/>
        </w:rPr>
        <w:t>Data on the average cost of PE kits in NI (disaggregated by school type)</w:t>
      </w:r>
    </w:p>
    <w:p w14:paraId="33942F24" w14:textId="77777777" w:rsidR="00644EA0" w:rsidRPr="00E94A5E" w:rsidRDefault="00644EA0" w:rsidP="00644EA0">
      <w:pPr>
        <w:pStyle w:val="BasicParagraph"/>
        <w:numPr>
          <w:ilvl w:val="0"/>
          <w:numId w:val="9"/>
        </w:numPr>
        <w:tabs>
          <w:tab w:val="left" w:pos="993"/>
        </w:tabs>
        <w:suppressAutoHyphens/>
        <w:spacing w:line="240" w:lineRule="auto"/>
        <w:rPr>
          <w:rFonts w:ascii="Verdana" w:hAnsi="Verdana" w:cs="Arial"/>
          <w:color w:val="232120"/>
        </w:rPr>
      </w:pPr>
      <w:r w:rsidRPr="00E94A5E">
        <w:rPr>
          <w:rFonts w:ascii="Verdana" w:hAnsi="Verdana" w:cs="Arial"/>
          <w:color w:val="232120"/>
        </w:rPr>
        <w:t>Data on the number of pupils/families eligible for a uniform grant (disaggregated by school type)</w:t>
      </w:r>
    </w:p>
    <w:p w14:paraId="56E155F6" w14:textId="77777777" w:rsidR="00644EA0" w:rsidRDefault="00644EA0" w:rsidP="00644EA0">
      <w:pPr>
        <w:pStyle w:val="BasicParagraph"/>
        <w:numPr>
          <w:ilvl w:val="0"/>
          <w:numId w:val="9"/>
        </w:numPr>
        <w:tabs>
          <w:tab w:val="left" w:pos="993"/>
        </w:tabs>
        <w:suppressAutoHyphens/>
        <w:spacing w:line="240" w:lineRule="auto"/>
        <w:rPr>
          <w:rFonts w:ascii="Verdana" w:hAnsi="Verdana" w:cs="Arial"/>
          <w:color w:val="232120"/>
        </w:rPr>
      </w:pPr>
      <w:r w:rsidRPr="00E94A5E">
        <w:rPr>
          <w:rFonts w:ascii="Verdana" w:hAnsi="Verdana" w:cs="Arial"/>
          <w:color w:val="232120"/>
        </w:rPr>
        <w:t>Data on pupils/families eligible for a uniform grant disaggregated by age, sex, disability, geographical location, ethnic origin, nationality and socioeconomic background.</w:t>
      </w:r>
    </w:p>
    <w:p w14:paraId="1DABAF10" w14:textId="77777777" w:rsidR="00644EA0" w:rsidRPr="00E94A5E" w:rsidRDefault="00644EA0" w:rsidP="00644EA0">
      <w:pPr>
        <w:pStyle w:val="BasicParagraph"/>
        <w:tabs>
          <w:tab w:val="left" w:pos="993"/>
        </w:tabs>
        <w:suppressAutoHyphens/>
        <w:rPr>
          <w:rFonts w:ascii="Verdana" w:hAnsi="Verdana" w:cs="Arial"/>
          <w:color w:val="232120"/>
        </w:rPr>
      </w:pPr>
    </w:p>
    <w:p w14:paraId="5E67B37B" w14:textId="77777777" w:rsidR="00644EA0" w:rsidRDefault="00644EA0" w:rsidP="00644EA0">
      <w:pPr>
        <w:pStyle w:val="ListParagraph"/>
        <w:numPr>
          <w:ilvl w:val="0"/>
          <w:numId w:val="8"/>
        </w:numPr>
        <w:spacing w:line="240" w:lineRule="auto"/>
        <w:rPr>
          <w:rFonts w:cs="Arial"/>
          <w:color w:val="232120"/>
        </w:rPr>
      </w:pPr>
      <w:r w:rsidRPr="00E94A5E">
        <w:rPr>
          <w:rFonts w:cs="Arial"/>
          <w:color w:val="232120"/>
        </w:rPr>
        <w:t xml:space="preserve">the statutory guidance specifies that schools and governing bodies must ensure that school uniform policies do not disadvantage pupils with disabilities and that consideration must be given to the need for reasonable adjustments, where necessary. </w:t>
      </w:r>
    </w:p>
    <w:p w14:paraId="4B5D5824" w14:textId="77777777" w:rsidR="00644EA0" w:rsidRPr="00E94A5E" w:rsidRDefault="00644EA0" w:rsidP="00644EA0">
      <w:pPr>
        <w:pStyle w:val="ListParagraph"/>
        <w:rPr>
          <w:rFonts w:cs="Arial"/>
          <w:color w:val="232120"/>
        </w:rPr>
      </w:pPr>
    </w:p>
    <w:p w14:paraId="570B2A7A" w14:textId="77777777" w:rsidR="00644EA0" w:rsidRDefault="00644EA0" w:rsidP="00644EA0">
      <w:pPr>
        <w:pStyle w:val="ListParagraph"/>
        <w:numPr>
          <w:ilvl w:val="0"/>
          <w:numId w:val="8"/>
        </w:numPr>
        <w:spacing w:line="240" w:lineRule="auto"/>
        <w:rPr>
          <w:rFonts w:cs="Arial"/>
          <w:color w:val="232120"/>
        </w:rPr>
      </w:pPr>
      <w:r w:rsidRPr="00E94A5E">
        <w:rPr>
          <w:rFonts w:cs="Arial"/>
          <w:color w:val="232120"/>
        </w:rPr>
        <w:t xml:space="preserve">the statutory guidance specifies that schools and governing bodies should ensure an inclusive uniform policy that does not directly or indirectly discriminate </w:t>
      </w:r>
      <w:proofErr w:type="gramStart"/>
      <w:r w:rsidRPr="00E94A5E">
        <w:rPr>
          <w:rFonts w:cs="Arial"/>
          <w:color w:val="232120"/>
        </w:rPr>
        <w:t>on the basis of</w:t>
      </w:r>
      <w:proofErr w:type="gramEnd"/>
      <w:r w:rsidRPr="00E94A5E">
        <w:rPr>
          <w:rFonts w:cs="Arial"/>
          <w:color w:val="232120"/>
        </w:rPr>
        <w:t xml:space="preserve"> gender or gender identity. This includes avoiding strict requirements for items of clothing to only be worn by pupils of a certain gender or gender identity, and by having a </w:t>
      </w:r>
      <w:proofErr w:type="gramStart"/>
      <w:r w:rsidRPr="00E94A5E">
        <w:rPr>
          <w:rFonts w:cs="Arial"/>
          <w:color w:val="232120"/>
        </w:rPr>
        <w:t>gender neutral</w:t>
      </w:r>
      <w:proofErr w:type="gramEnd"/>
      <w:r w:rsidRPr="00E94A5E">
        <w:rPr>
          <w:rFonts w:cs="Arial"/>
          <w:color w:val="232120"/>
        </w:rPr>
        <w:t xml:space="preserve"> uniform option available to all pupils.</w:t>
      </w:r>
    </w:p>
    <w:p w14:paraId="62697C82" w14:textId="77777777" w:rsidR="00644EA0" w:rsidRDefault="00644EA0" w:rsidP="00644EA0">
      <w:pPr>
        <w:pStyle w:val="BasicParagraph"/>
        <w:tabs>
          <w:tab w:val="left" w:pos="993"/>
        </w:tabs>
        <w:suppressAutoHyphens/>
        <w:rPr>
          <w:rFonts w:ascii="Verdana" w:hAnsi="Verdana" w:cs="Arial"/>
          <w:color w:val="232120"/>
        </w:rPr>
      </w:pPr>
    </w:p>
    <w:p w14:paraId="09ACB9ED" w14:textId="0F396374" w:rsidR="00B5298A" w:rsidRPr="00B5298A" w:rsidRDefault="00B5298A" w:rsidP="00B5298A">
      <w:pPr>
        <w:pStyle w:val="ListParagraph"/>
        <w:numPr>
          <w:ilvl w:val="0"/>
          <w:numId w:val="8"/>
        </w:numPr>
        <w:spacing w:line="240" w:lineRule="auto"/>
        <w:rPr>
          <w:rFonts w:cs="Arial"/>
          <w:color w:val="232120"/>
        </w:rPr>
      </w:pPr>
      <w:r w:rsidRPr="00B5298A">
        <w:rPr>
          <w:rFonts w:cs="Arial"/>
          <w:color w:val="232120"/>
        </w:rPr>
        <w:t xml:space="preserve">the statutory guidance specifies that schools and governing bodies should be sensitive to the needs of different cultures, races and religions and that reasonable accommodation should be made to meet those needs. This includes consideration of how policy can interfere with a pupil’s right to manifest their religion or belief under Article 9(2) of the ECHR. </w:t>
      </w:r>
    </w:p>
    <w:p w14:paraId="0A00B6BF" w14:textId="77777777" w:rsidR="00B5298A" w:rsidRPr="00644EA0" w:rsidRDefault="00B5298A" w:rsidP="00B5298A">
      <w:pPr>
        <w:pStyle w:val="ListParagraph"/>
        <w:spacing w:line="240" w:lineRule="auto"/>
        <w:rPr>
          <w:rFonts w:cs="Arial"/>
          <w:color w:val="232120"/>
        </w:rPr>
      </w:pPr>
    </w:p>
    <w:p w14:paraId="303C0ECB" w14:textId="4714CF46" w:rsidR="009222D4" w:rsidRDefault="00BA533F" w:rsidP="008143AF">
      <w:pPr>
        <w:pStyle w:val="Heading1"/>
        <w:numPr>
          <w:ilvl w:val="0"/>
          <w:numId w:val="0"/>
        </w:numPr>
        <w:ind w:left="360" w:hanging="360"/>
      </w:pPr>
      <w:bookmarkStart w:id="1" w:name="_Toc178255665"/>
      <w:r>
        <w:lastRenderedPageBreak/>
        <w:t>1.0</w:t>
      </w:r>
      <w:r>
        <w:tab/>
      </w:r>
      <w:r w:rsidR="00ED40E9" w:rsidRPr="00041050">
        <w:t>Introduction</w:t>
      </w:r>
      <w:bookmarkEnd w:id="1"/>
    </w:p>
    <w:p w14:paraId="484FAE9A" w14:textId="6F5FDE74" w:rsidR="0093383D" w:rsidRDefault="00693F63" w:rsidP="00B8500E">
      <w:pPr>
        <w:pStyle w:val="ListParagraph"/>
        <w:numPr>
          <w:ilvl w:val="1"/>
          <w:numId w:val="2"/>
        </w:numPr>
      </w:pPr>
      <w:r w:rsidRPr="00693F63">
        <w:t xml:space="preserve">The Northern Ireland Human Rights Commission (the NIHRC), pursuant to section 69(1) of the Northern Ireland Act 1998, reviews the adequacy and effectiveness of law and practice relating to the protection of human rights in Northern Ireland (NI). The NIHRC is also </w:t>
      </w:r>
      <w:r w:rsidR="001D23D4">
        <w:t>required</w:t>
      </w:r>
      <w:r w:rsidRPr="00693F63">
        <w:t xml:space="preserve">, </w:t>
      </w:r>
      <w:r w:rsidR="001D23D4">
        <w:t>by</w:t>
      </w:r>
      <w:r w:rsidR="001D23D4" w:rsidRPr="00693F63">
        <w:t xml:space="preserve"> </w:t>
      </w:r>
      <w:r w:rsidRPr="00693F63">
        <w:t>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sidR="005C30ED">
        <w:rPr>
          <w:rStyle w:val="FootnoteReference"/>
        </w:rPr>
        <w:footnoteReference w:id="2"/>
      </w:r>
      <w:r w:rsidRPr="00693F63">
        <w:t xml:space="preserve"> In accordance with these </w:t>
      </w:r>
      <w:r w:rsidR="001D23D4">
        <w:t>statutory duties</w:t>
      </w:r>
      <w:r w:rsidR="001D23D4" w:rsidRPr="00693F63">
        <w:t xml:space="preserve"> </w:t>
      </w:r>
      <w:r w:rsidR="004F6D3A">
        <w:rPr>
          <w:rFonts w:cs="Segoe UI"/>
          <w:lang w:val="en" w:eastAsia="en-GB"/>
        </w:rPr>
        <w:t xml:space="preserve">the following advice is submitted to the Department of </w:t>
      </w:r>
      <w:r w:rsidR="00436779">
        <w:rPr>
          <w:rFonts w:cs="Segoe UI"/>
          <w:lang w:val="en" w:eastAsia="en-GB"/>
        </w:rPr>
        <w:t>Education</w:t>
      </w:r>
      <w:r w:rsidR="004F6D3A">
        <w:rPr>
          <w:rFonts w:cs="Segoe UI"/>
          <w:lang w:val="en" w:eastAsia="en-GB"/>
        </w:rPr>
        <w:t xml:space="preserve"> to inform its policy development on </w:t>
      </w:r>
      <w:r w:rsidR="00C24645">
        <w:rPr>
          <w:rFonts w:cs="Segoe UI"/>
          <w:lang w:val="en" w:eastAsia="en-GB"/>
        </w:rPr>
        <w:t xml:space="preserve">guidance for </w:t>
      </w:r>
      <w:r w:rsidR="00436779">
        <w:rPr>
          <w:rFonts w:cs="Segoe UI"/>
          <w:lang w:val="en" w:eastAsia="en-GB"/>
        </w:rPr>
        <w:t>school unif</w:t>
      </w:r>
      <w:r w:rsidR="004E01A5">
        <w:rPr>
          <w:rFonts w:cs="Segoe UI"/>
          <w:lang w:val="en" w:eastAsia="en-GB"/>
        </w:rPr>
        <w:t>orm</w:t>
      </w:r>
      <w:r w:rsidR="00C24645">
        <w:rPr>
          <w:rFonts w:cs="Segoe UI"/>
          <w:lang w:val="en" w:eastAsia="en-GB"/>
        </w:rPr>
        <w:t>s</w:t>
      </w:r>
      <w:r w:rsidR="004F6D3A">
        <w:rPr>
          <w:rFonts w:cs="Segoe UI"/>
          <w:lang w:val="en" w:eastAsia="en-GB"/>
        </w:rPr>
        <w:t xml:space="preserve"> in </w:t>
      </w:r>
      <w:r w:rsidR="00C24645">
        <w:rPr>
          <w:rFonts w:cs="Segoe UI"/>
          <w:lang w:val="en" w:eastAsia="en-GB"/>
        </w:rPr>
        <w:t>NI.</w:t>
      </w:r>
    </w:p>
    <w:p w14:paraId="42B35CC6" w14:textId="77777777" w:rsidR="00693F63" w:rsidRPr="00693F63" w:rsidRDefault="00693F63" w:rsidP="00693F63">
      <w:pPr>
        <w:pStyle w:val="ListParagraph"/>
      </w:pPr>
    </w:p>
    <w:p w14:paraId="23BCD6DC" w14:textId="4E3B6302" w:rsidR="00917F39" w:rsidRPr="00917F39" w:rsidRDefault="00DA159C" w:rsidP="00C360F0">
      <w:pPr>
        <w:pStyle w:val="ListParagraph"/>
        <w:numPr>
          <w:ilvl w:val="1"/>
          <w:numId w:val="2"/>
        </w:numPr>
      </w:pPr>
      <w:r w:rsidRPr="00DA159C">
        <w:t>The NIHRC bases its advice on the full range of internationally accepted human rights standards, including the European Convention on Human Rights (ECHR), as incorporated by the Human Rights Act 1998, and the United Nations (UN) system and treaty obligations of the Council of Europe (</w:t>
      </w:r>
      <w:proofErr w:type="spellStart"/>
      <w:r w:rsidRPr="00DA159C">
        <w:t>CoE</w:t>
      </w:r>
      <w:proofErr w:type="spellEnd"/>
      <w:r w:rsidRPr="00DA159C">
        <w:t xml:space="preserve">) and United Nations (UN). </w:t>
      </w:r>
    </w:p>
    <w:p w14:paraId="6A37D74E" w14:textId="77777777" w:rsidR="00683FB4" w:rsidRPr="00DD25CB" w:rsidRDefault="00683FB4" w:rsidP="004E01A5">
      <w:pPr>
        <w:pStyle w:val="FootnoteText"/>
      </w:pPr>
    </w:p>
    <w:p w14:paraId="36F1A518" w14:textId="3897AB1A" w:rsidR="0092752E" w:rsidRDefault="00DD25CB" w:rsidP="00391A46">
      <w:pPr>
        <w:pStyle w:val="ListParagraph"/>
        <w:numPr>
          <w:ilvl w:val="1"/>
          <w:numId w:val="2"/>
        </w:numPr>
      </w:pPr>
      <w:r>
        <w:t xml:space="preserve">The NIHRC further advises on the </w:t>
      </w:r>
      <w:r w:rsidR="001D23D4">
        <w:t xml:space="preserve">compatibility of this consultation with the </w:t>
      </w:r>
      <w:r>
        <w:t>UK Government’s commitment</w:t>
      </w:r>
      <w:r w:rsidR="001D23D4">
        <w:t>,</w:t>
      </w:r>
      <w:r>
        <w:t xml:space="preserve"> in Windsor Framework Article 2(1)</w:t>
      </w:r>
      <w:r w:rsidR="001D23D4">
        <w:t>,</w:t>
      </w:r>
      <w:r>
        <w:t xml:space="preserve"> to ensure there is no diminution of rights, safeguards and equality of opportunity in the relevant section of the Belfast (Good Friday) Agreement </w:t>
      </w:r>
      <w:proofErr w:type="gramStart"/>
      <w:r>
        <w:t>as a result of</w:t>
      </w:r>
      <w:proofErr w:type="gramEnd"/>
      <w:r>
        <w:t xml:space="preserve"> the UK’s withdrawal from the EU. This is given effect in UK law by section 7A of the EU (Withdrawal) Act 2018. In addition, Section 6 of the Northern Ireland Act 1998 provides that the NI Assembly is prohibited from making any law which is incompatible with Windsor Framework Article 2. Section 24 of the 1998 Act also provides that all acts of the Department should be compatible with Windsor Framework Article 2. </w:t>
      </w:r>
    </w:p>
    <w:p w14:paraId="0634F2F2" w14:textId="77777777" w:rsidR="0083686E" w:rsidRDefault="0083686E" w:rsidP="0083686E">
      <w:pPr>
        <w:pStyle w:val="ListParagraph"/>
      </w:pPr>
    </w:p>
    <w:p w14:paraId="3279D033" w14:textId="375A343F" w:rsidR="0083686E" w:rsidRDefault="0083686E" w:rsidP="00391A46">
      <w:pPr>
        <w:pStyle w:val="ListParagraph"/>
        <w:numPr>
          <w:ilvl w:val="1"/>
          <w:numId w:val="2"/>
        </w:numPr>
      </w:pPr>
      <w:r>
        <w:lastRenderedPageBreak/>
        <w:t>The</w:t>
      </w:r>
      <w:r w:rsidRPr="00786F82">
        <w:t xml:space="preserve"> </w:t>
      </w:r>
      <w:r>
        <w:t>NIHRC</w:t>
      </w:r>
      <w:r w:rsidRPr="00786F82">
        <w:t xml:space="preserve"> </w:t>
      </w:r>
      <w:r>
        <w:t>welcomes the</w:t>
      </w:r>
      <w:r w:rsidRPr="00786F82">
        <w:t xml:space="preserve"> opportunity to </w:t>
      </w:r>
      <w:r>
        <w:t xml:space="preserve">respond to the Department of Education’s consultation on </w:t>
      </w:r>
      <w:r w:rsidR="0053661F">
        <w:t>the policy framework for school uniforms in NI.</w:t>
      </w:r>
      <w:r w:rsidRPr="00786F82">
        <w:t xml:space="preserve"> </w:t>
      </w:r>
      <w:r w:rsidR="00925062" w:rsidRPr="00925062">
        <w:t>Whil</w:t>
      </w:r>
      <w:r w:rsidR="00992B74">
        <w:t>e</w:t>
      </w:r>
      <w:r w:rsidR="00925062" w:rsidRPr="00925062">
        <w:t xml:space="preserve"> the NIHRC welcomes the intention of the policy, it could be substantially strengthened by adopting a human rights-based approach </w:t>
      </w:r>
      <w:r w:rsidR="005E06EC">
        <w:t xml:space="preserve">that </w:t>
      </w:r>
      <w:r w:rsidR="00925062" w:rsidRPr="00925062">
        <w:t>reflect</w:t>
      </w:r>
      <w:r w:rsidR="005E06EC">
        <w:t>s</w:t>
      </w:r>
      <w:r w:rsidR="00925062" w:rsidRPr="00925062">
        <w:t xml:space="preserve"> the</w:t>
      </w:r>
      <w:r w:rsidR="005E06EC">
        <w:t xml:space="preserve"> full range of</w:t>
      </w:r>
      <w:r w:rsidR="002C7DC7">
        <w:t xml:space="preserve"> international</w:t>
      </w:r>
      <w:r w:rsidR="00925062" w:rsidRPr="00925062">
        <w:t xml:space="preserve"> human rights standards this response sets out.</w:t>
      </w:r>
      <w:r w:rsidR="00992B74">
        <w:t xml:space="preserve"> </w:t>
      </w:r>
      <w:r w:rsidRPr="00786F82">
        <w:rPr>
          <w:lang w:val="en"/>
        </w:rPr>
        <w:t xml:space="preserve">The following section </w:t>
      </w:r>
      <w:r w:rsidR="00031518">
        <w:rPr>
          <w:lang w:val="en"/>
        </w:rPr>
        <w:t xml:space="preserve">highlights </w:t>
      </w:r>
      <w:r w:rsidR="005E06EC">
        <w:rPr>
          <w:lang w:val="en"/>
        </w:rPr>
        <w:t xml:space="preserve">relevant </w:t>
      </w:r>
      <w:r w:rsidRPr="00786F82">
        <w:rPr>
          <w:lang w:val="en"/>
        </w:rPr>
        <w:t>international human rights standards</w:t>
      </w:r>
      <w:r w:rsidR="00031518">
        <w:rPr>
          <w:lang w:val="en"/>
        </w:rPr>
        <w:t xml:space="preserve"> and </w:t>
      </w:r>
      <w:r w:rsidRPr="00786F82">
        <w:rPr>
          <w:lang w:val="en"/>
        </w:rPr>
        <w:t>jurisprudence from courts, tribunals and treaty-monitoring bodies</w:t>
      </w:r>
      <w:r w:rsidR="00031518">
        <w:rPr>
          <w:lang w:val="en"/>
        </w:rPr>
        <w:t xml:space="preserve"> </w:t>
      </w:r>
      <w:r w:rsidR="00031518" w:rsidRPr="00786F82">
        <w:t xml:space="preserve">that should </w:t>
      </w:r>
      <w:r w:rsidR="00031518">
        <w:t>inform</w:t>
      </w:r>
      <w:r w:rsidR="00031518" w:rsidRPr="00786F82">
        <w:t xml:space="preserve"> policy development in this area</w:t>
      </w:r>
      <w:r w:rsidRPr="00786F82">
        <w:rPr>
          <w:lang w:val="en"/>
        </w:rPr>
        <w:t xml:space="preserve">. The subsequent section </w:t>
      </w:r>
      <w:r w:rsidR="00752C56">
        <w:rPr>
          <w:rFonts w:eastAsia="Verdana"/>
        </w:rPr>
        <w:t xml:space="preserve">considers </w:t>
      </w:r>
      <w:proofErr w:type="gramStart"/>
      <w:r w:rsidR="00752C56">
        <w:rPr>
          <w:rFonts w:eastAsia="Verdana"/>
        </w:rPr>
        <w:t>a number of</w:t>
      </w:r>
      <w:proofErr w:type="gramEnd"/>
      <w:r w:rsidR="00752C56">
        <w:rPr>
          <w:rFonts w:eastAsia="Verdana"/>
        </w:rPr>
        <w:t xml:space="preserve"> issues</w:t>
      </w:r>
      <w:r w:rsidR="00095706">
        <w:rPr>
          <w:rFonts w:eastAsia="Verdana"/>
        </w:rPr>
        <w:t xml:space="preserve"> raised in the consultation</w:t>
      </w:r>
      <w:r w:rsidR="00EA15D5">
        <w:rPr>
          <w:rFonts w:eastAsia="Verdana"/>
        </w:rPr>
        <w:t xml:space="preserve"> and highlights how to give </w:t>
      </w:r>
      <w:r w:rsidR="00752C56">
        <w:rPr>
          <w:rFonts w:eastAsia="Verdana"/>
        </w:rPr>
        <w:t>effect to a human rights</w:t>
      </w:r>
      <w:r w:rsidR="2A55F32F" w:rsidRPr="0AC37AC3">
        <w:rPr>
          <w:rFonts w:eastAsia="Verdana"/>
        </w:rPr>
        <w:t>-</w:t>
      </w:r>
      <w:r w:rsidR="00752C56">
        <w:rPr>
          <w:rFonts w:eastAsia="Verdana"/>
        </w:rPr>
        <w:t>based approach</w:t>
      </w:r>
      <w:r w:rsidR="00EA15D5">
        <w:rPr>
          <w:rFonts w:eastAsia="Verdana"/>
        </w:rPr>
        <w:t xml:space="preserve"> in practice</w:t>
      </w:r>
      <w:r w:rsidR="00752C56">
        <w:rPr>
          <w:rFonts w:eastAsia="Verdana"/>
        </w:rPr>
        <w:t>.</w:t>
      </w:r>
    </w:p>
    <w:p w14:paraId="26DEA202" w14:textId="3E80685F" w:rsidR="00424644" w:rsidRPr="00424644" w:rsidRDefault="00424644" w:rsidP="00027913">
      <w:pPr>
        <w:spacing w:line="276" w:lineRule="auto"/>
      </w:pPr>
    </w:p>
    <w:p w14:paraId="3EF65771" w14:textId="17D5FB89" w:rsidR="00424644" w:rsidRPr="00424644" w:rsidRDefault="000840AB" w:rsidP="00080B26">
      <w:pPr>
        <w:pStyle w:val="Heading1"/>
        <w:numPr>
          <w:ilvl w:val="0"/>
          <w:numId w:val="3"/>
        </w:numPr>
        <w:spacing w:before="0" w:line="276" w:lineRule="auto"/>
      </w:pPr>
      <w:bookmarkStart w:id="2" w:name="_Toc178255666"/>
      <w:r>
        <w:t>Rights-base</w:t>
      </w:r>
      <w:r w:rsidR="009667D7">
        <w:t>d Approach</w:t>
      </w:r>
      <w:bookmarkEnd w:id="2"/>
    </w:p>
    <w:p w14:paraId="523DB832" w14:textId="77777777" w:rsidR="00E73B6A" w:rsidRDefault="00E73B6A" w:rsidP="00B004F9">
      <w:pPr>
        <w:rPr>
          <w:sz w:val="16"/>
          <w:szCs w:val="16"/>
        </w:rPr>
      </w:pPr>
    </w:p>
    <w:p w14:paraId="65FBD2A5" w14:textId="3629D77C" w:rsidR="00A62843" w:rsidRPr="00A62843" w:rsidRDefault="00A62843" w:rsidP="00A62843">
      <w:pPr>
        <w:pStyle w:val="Heading2"/>
        <w:rPr>
          <w:lang w:eastAsia="en-GB"/>
        </w:rPr>
      </w:pPr>
      <w:bookmarkStart w:id="3" w:name="_Toc178255667"/>
      <w:r>
        <w:rPr>
          <w:lang w:eastAsia="en-GB"/>
        </w:rPr>
        <w:t xml:space="preserve">Right to </w:t>
      </w:r>
      <w:r w:rsidR="00D44945">
        <w:rPr>
          <w:lang w:eastAsia="en-GB"/>
        </w:rPr>
        <w:t>e</w:t>
      </w:r>
      <w:r>
        <w:rPr>
          <w:lang w:eastAsia="en-GB"/>
        </w:rPr>
        <w:t>ducation</w:t>
      </w:r>
      <w:bookmarkEnd w:id="3"/>
      <w:r>
        <w:rPr>
          <w:lang w:eastAsia="en-GB"/>
        </w:rPr>
        <w:t xml:space="preserve"> </w:t>
      </w:r>
    </w:p>
    <w:p w14:paraId="2D7048D9" w14:textId="10C8397E" w:rsidR="00FA66EF" w:rsidRPr="00300F22" w:rsidRDefault="003852AF" w:rsidP="00080B26">
      <w:pPr>
        <w:pStyle w:val="ListParagraph"/>
        <w:numPr>
          <w:ilvl w:val="1"/>
          <w:numId w:val="3"/>
        </w:numPr>
        <w:rPr>
          <w:rFonts w:cs="Segoe UI"/>
          <w:lang w:eastAsia="en-GB"/>
        </w:rPr>
      </w:pPr>
      <w:r>
        <w:rPr>
          <w:rFonts w:cs="Segoe UI"/>
          <w:lang w:eastAsia="en-GB"/>
        </w:rPr>
        <w:t xml:space="preserve">The </w:t>
      </w:r>
      <w:r w:rsidR="009519C3">
        <w:rPr>
          <w:rFonts w:cs="Segoe UI"/>
          <w:lang w:eastAsia="en-GB"/>
        </w:rPr>
        <w:t xml:space="preserve">UK-wide </w:t>
      </w:r>
      <w:r>
        <w:rPr>
          <w:rFonts w:cs="Segoe UI"/>
          <w:lang w:eastAsia="en-GB"/>
        </w:rPr>
        <w:t xml:space="preserve">Human Rights Act 1998 incorporated the ECHR into domestic law. </w:t>
      </w:r>
      <w:r w:rsidR="00645E29">
        <w:rPr>
          <w:rFonts w:cs="Segoe UI"/>
          <w:lang w:eastAsia="en-GB"/>
        </w:rPr>
        <w:t>Section 6 of the 1998</w:t>
      </w:r>
      <w:r w:rsidR="00870550">
        <w:rPr>
          <w:rFonts w:cs="Segoe UI"/>
          <w:lang w:eastAsia="en-GB"/>
        </w:rPr>
        <w:t xml:space="preserve"> Act</w:t>
      </w:r>
      <w:r w:rsidR="00645E29">
        <w:rPr>
          <w:rFonts w:cs="Segoe UI"/>
          <w:lang w:eastAsia="en-GB"/>
        </w:rPr>
        <w:t xml:space="preserve"> makes it unlawful for a public authority</w:t>
      </w:r>
      <w:r w:rsidR="001A5711">
        <w:rPr>
          <w:rFonts w:cs="Segoe UI"/>
          <w:lang w:eastAsia="en-GB"/>
        </w:rPr>
        <w:t xml:space="preserve">, including </w:t>
      </w:r>
      <w:r w:rsidR="008B7CD7">
        <w:rPr>
          <w:rFonts w:cs="Segoe UI"/>
          <w:lang w:eastAsia="en-GB"/>
        </w:rPr>
        <w:t>schools and governing bodies,</w:t>
      </w:r>
      <w:r w:rsidR="002F67D4">
        <w:rPr>
          <w:rStyle w:val="FootnoteReference"/>
          <w:rFonts w:cs="Segoe UI"/>
          <w:lang w:eastAsia="en-GB"/>
        </w:rPr>
        <w:footnoteReference w:id="3"/>
      </w:r>
      <w:r w:rsidR="006B5821">
        <w:rPr>
          <w:rFonts w:cs="Segoe UI"/>
          <w:lang w:eastAsia="en-GB"/>
        </w:rPr>
        <w:t xml:space="preserve"> </w:t>
      </w:r>
      <w:r w:rsidR="00645E29">
        <w:rPr>
          <w:rFonts w:cs="Segoe UI"/>
          <w:lang w:eastAsia="en-GB"/>
        </w:rPr>
        <w:t>to act in a way which is incompatible wit</w:t>
      </w:r>
      <w:r w:rsidR="005855A7">
        <w:rPr>
          <w:rFonts w:cs="Segoe UI"/>
          <w:lang w:eastAsia="en-GB"/>
        </w:rPr>
        <w:t xml:space="preserve">h the ECHR. </w:t>
      </w:r>
      <w:r w:rsidR="00FA66EF" w:rsidRPr="00FA66EF">
        <w:rPr>
          <w:rFonts w:cs="Segoe UI"/>
          <w:lang w:eastAsia="en-GB"/>
        </w:rPr>
        <w:t>The right to education is recognised in Article 2 of Protocol 1 of the ECHR, which confirms that “no person shall be denied the right to education”. The European Court of Human Rights (ECtHR) has noted that the right to education “is indispensable to the furtherance of human rights” and “a restrictive interpretation… would not be consistent with the aim or purpose of that provision”.</w:t>
      </w:r>
      <w:r w:rsidR="00FA66EF" w:rsidRPr="00FA66EF">
        <w:rPr>
          <w:rFonts w:cs="Segoe UI"/>
          <w:vertAlign w:val="superscript"/>
          <w:lang w:eastAsia="en-GB"/>
        </w:rPr>
        <w:footnoteReference w:id="4"/>
      </w:r>
      <w:r w:rsidR="00FA66EF" w:rsidRPr="00FA66EF">
        <w:rPr>
          <w:rFonts w:cs="Segoe UI"/>
          <w:lang w:eastAsia="en-GB"/>
        </w:rPr>
        <w:t xml:space="preserve"> Moreover, it covers access to primary, secondary and higher education.</w:t>
      </w:r>
      <w:r w:rsidR="00FA66EF" w:rsidRPr="00FA66EF">
        <w:rPr>
          <w:rFonts w:cs="Segoe UI"/>
          <w:vertAlign w:val="superscript"/>
          <w:lang w:eastAsia="en-GB"/>
        </w:rPr>
        <w:footnoteReference w:id="5"/>
      </w:r>
      <w:r w:rsidR="00FA66EF" w:rsidRPr="00FA66EF">
        <w:rPr>
          <w:rFonts w:cs="Segoe UI"/>
          <w:lang w:eastAsia="en-GB"/>
        </w:rPr>
        <w:t xml:space="preserve"> </w:t>
      </w:r>
      <w:r w:rsidR="00FA66EF" w:rsidRPr="00300F22">
        <w:rPr>
          <w:rFonts w:cs="Segoe UI"/>
          <w:lang w:eastAsia="en-GB"/>
        </w:rPr>
        <w:t>The ECtHR has also recognised that:</w:t>
      </w:r>
    </w:p>
    <w:p w14:paraId="47A7786F" w14:textId="77777777" w:rsidR="00FA66EF" w:rsidRPr="00FA66EF" w:rsidRDefault="00FA66EF" w:rsidP="00FA66EF">
      <w:pPr>
        <w:pStyle w:val="ListParagraph"/>
        <w:rPr>
          <w:rFonts w:cs="Segoe UI"/>
          <w:lang w:eastAsia="en-GB"/>
        </w:rPr>
      </w:pPr>
    </w:p>
    <w:p w14:paraId="7EC41EBA" w14:textId="77777777" w:rsidR="00FA66EF" w:rsidRDefault="00FA66EF" w:rsidP="00FA66EF">
      <w:pPr>
        <w:pStyle w:val="ListParagraph"/>
        <w:ind w:left="1440"/>
        <w:rPr>
          <w:rFonts w:cs="Segoe UI"/>
          <w:iCs/>
          <w:lang w:eastAsia="en-GB"/>
        </w:rPr>
      </w:pPr>
      <w:r w:rsidRPr="00FA66EF">
        <w:rPr>
          <w:rFonts w:cs="Segoe UI"/>
          <w:iCs/>
          <w:lang w:eastAsia="en-GB"/>
        </w:rPr>
        <w:t xml:space="preserve">education is an activity that is complex to organise and expensive to run, whereas the resources that the authorities can devote to it are necessarily finite.... However, the Court cannot overlook the fact </w:t>
      </w:r>
      <w:r w:rsidRPr="00FA66EF">
        <w:rPr>
          <w:rFonts w:cs="Segoe UI"/>
          <w:iCs/>
          <w:lang w:eastAsia="en-GB"/>
        </w:rPr>
        <w:lastRenderedPageBreak/>
        <w:t>that, unlike some other public services... education is a right that enjoys direct protection under the [ECHR].</w:t>
      </w:r>
      <w:r w:rsidRPr="00FA66EF">
        <w:rPr>
          <w:rFonts w:cs="Segoe UI"/>
          <w:iCs/>
          <w:vertAlign w:val="superscript"/>
          <w:lang w:eastAsia="en-GB"/>
        </w:rPr>
        <w:footnoteReference w:id="6"/>
      </w:r>
    </w:p>
    <w:p w14:paraId="42895AA8" w14:textId="77777777" w:rsidR="00F906BC" w:rsidRPr="00FA66EF" w:rsidRDefault="00F906BC" w:rsidP="00FA66EF">
      <w:pPr>
        <w:pStyle w:val="ListParagraph"/>
        <w:ind w:left="1440"/>
        <w:rPr>
          <w:rFonts w:cs="Segoe UI"/>
          <w:iCs/>
          <w:lang w:eastAsia="en-GB"/>
        </w:rPr>
      </w:pPr>
    </w:p>
    <w:p w14:paraId="5D356575" w14:textId="1964DA65" w:rsidR="0047000D" w:rsidRDefault="005D749A" w:rsidP="00080B26">
      <w:pPr>
        <w:pStyle w:val="ListParagraph"/>
        <w:numPr>
          <w:ilvl w:val="1"/>
          <w:numId w:val="3"/>
        </w:numPr>
      </w:pPr>
      <w:r>
        <w:t xml:space="preserve">The UK Government has </w:t>
      </w:r>
      <w:r w:rsidR="00E776F9">
        <w:t xml:space="preserve">additionally </w:t>
      </w:r>
      <w:r>
        <w:t xml:space="preserve">ratified several relevant UN and </w:t>
      </w:r>
      <w:proofErr w:type="spellStart"/>
      <w:r>
        <w:t>CoE</w:t>
      </w:r>
      <w:proofErr w:type="spellEnd"/>
      <w:r>
        <w:t xml:space="preserve"> </w:t>
      </w:r>
      <w:r w:rsidR="00E776F9">
        <w:t>treaties and</w:t>
      </w:r>
      <w:r w:rsidR="00C04760">
        <w:t xml:space="preserve"> </w:t>
      </w:r>
      <w:r>
        <w:t xml:space="preserve">has </w:t>
      </w:r>
      <w:r w:rsidR="00C04760">
        <w:t xml:space="preserve">therefore </w:t>
      </w:r>
      <w:r>
        <w:t>agreed to be bound by the obligations contained within.</w:t>
      </w:r>
      <w:r>
        <w:rPr>
          <w:rStyle w:val="FootnoteReference"/>
        </w:rPr>
        <w:footnoteReference w:id="7"/>
      </w:r>
      <w:r>
        <w:t xml:space="preserve"> </w:t>
      </w:r>
      <w:r w:rsidR="0047000D" w:rsidRPr="0047000D">
        <w:t xml:space="preserve">The right to education is enshrined in a number of </w:t>
      </w:r>
      <w:r w:rsidR="0047000D">
        <w:t xml:space="preserve">such </w:t>
      </w:r>
      <w:r w:rsidR="0047000D" w:rsidRPr="0047000D">
        <w:t xml:space="preserve">treaties </w:t>
      </w:r>
      <w:proofErr w:type="gramStart"/>
      <w:r w:rsidR="0047000D" w:rsidRPr="0047000D">
        <w:t>including:</w:t>
      </w:r>
      <w:proofErr w:type="gramEnd"/>
      <w:r w:rsidR="0047000D">
        <w:t xml:space="preserve"> </w:t>
      </w:r>
      <w:r w:rsidR="0047000D" w:rsidRPr="0047000D">
        <w:t>UN CRC, Articles 28-29;</w:t>
      </w:r>
      <w:r w:rsidR="0047000D">
        <w:t xml:space="preserve"> </w:t>
      </w:r>
      <w:r w:rsidR="0047000D" w:rsidRPr="0047000D">
        <w:t>UN ICESCR, Article 13; UN CRPD, Article 24</w:t>
      </w:r>
      <w:r w:rsidR="0047000D">
        <w:t xml:space="preserve">; </w:t>
      </w:r>
      <w:r w:rsidR="0047000D" w:rsidRPr="0047000D">
        <w:t>UN CERD, Article 5; and</w:t>
      </w:r>
      <w:r w:rsidR="0047000D">
        <w:t xml:space="preserve"> the </w:t>
      </w:r>
      <w:r w:rsidR="0047000D" w:rsidRPr="0047000D">
        <w:t>UN Refugee Convention, Article 22.</w:t>
      </w:r>
      <w:r w:rsidR="0047000D">
        <w:t xml:space="preserve"> </w:t>
      </w:r>
      <w:r>
        <w:t xml:space="preserve">General Comments and Concluding Observations attached to these treaties provide guidance and best practice standards. </w:t>
      </w:r>
    </w:p>
    <w:p w14:paraId="6C863024" w14:textId="77777777" w:rsidR="0047000D" w:rsidRDefault="0047000D" w:rsidP="0047000D">
      <w:pPr>
        <w:pStyle w:val="ListParagraph"/>
      </w:pPr>
    </w:p>
    <w:p w14:paraId="016FC335" w14:textId="56F47432" w:rsidR="00630B55" w:rsidRDefault="00F906BC" w:rsidP="00080B26">
      <w:pPr>
        <w:pStyle w:val="ListParagraph"/>
        <w:numPr>
          <w:ilvl w:val="1"/>
          <w:numId w:val="3"/>
        </w:numPr>
      </w:pPr>
      <w:r>
        <w:t xml:space="preserve">Article 28 of the UN </w:t>
      </w:r>
      <w:r w:rsidR="002B164D">
        <w:t xml:space="preserve">CRC </w:t>
      </w:r>
      <w:r>
        <w:t>recognises “the right of the child to education”</w:t>
      </w:r>
      <w:r w:rsidR="00327568">
        <w:t xml:space="preserve"> and </w:t>
      </w:r>
      <w:r w:rsidR="007E790E">
        <w:t>highlight</w:t>
      </w:r>
      <w:r w:rsidR="00327568">
        <w:t>s</w:t>
      </w:r>
      <w:r w:rsidR="007E790E">
        <w:t xml:space="preserve"> the need to make education a</w:t>
      </w:r>
      <w:r w:rsidR="00D96E82">
        <w:t xml:space="preserve">vailable and accessible </w:t>
      </w:r>
      <w:r w:rsidR="00900F30">
        <w:t>by taking appropriate measures, such as “offering financial assistance in case of need”.</w:t>
      </w:r>
      <w:r>
        <w:t xml:space="preserve"> </w:t>
      </w:r>
      <w:r w:rsidR="00FE2138">
        <w:t xml:space="preserve">Article 29 of the UN CRC </w:t>
      </w:r>
      <w:r w:rsidR="00E52685">
        <w:t>requires that the education of the child be directed to “</w:t>
      </w:r>
      <w:r w:rsidR="00340C12">
        <w:t>t</w:t>
      </w:r>
      <w:r w:rsidR="00340C12" w:rsidRPr="00340C12">
        <w:t>he development of the child's personality, talents and mental and physical abilities to their fullest potential</w:t>
      </w:r>
      <w:r w:rsidR="00340C12">
        <w:t xml:space="preserve">”. </w:t>
      </w:r>
      <w:r w:rsidR="00165259">
        <w:t xml:space="preserve">Article 4 of the UN CRC </w:t>
      </w:r>
      <w:r w:rsidR="00F81702">
        <w:t>acknowledges</w:t>
      </w:r>
      <w:r w:rsidR="00382D59">
        <w:t xml:space="preserve"> </w:t>
      </w:r>
      <w:r w:rsidR="00EB33AE">
        <w:t xml:space="preserve">the </w:t>
      </w:r>
      <w:r w:rsidR="000E4548">
        <w:t>interdependence of</w:t>
      </w:r>
      <w:r w:rsidR="00EB33AE">
        <w:t xml:space="preserve"> </w:t>
      </w:r>
      <w:r w:rsidR="0044189F">
        <w:t xml:space="preserve">economic, social and cultural rights </w:t>
      </w:r>
      <w:r w:rsidR="0000201A">
        <w:t>with</w:t>
      </w:r>
      <w:r w:rsidR="00EB33AE">
        <w:t xml:space="preserve"> </w:t>
      </w:r>
      <w:r w:rsidR="0044189F">
        <w:t xml:space="preserve">the </w:t>
      </w:r>
      <w:r w:rsidR="005606BC">
        <w:t>realisation of the rights of the child</w:t>
      </w:r>
      <w:r w:rsidR="003F645A">
        <w:t>.</w:t>
      </w:r>
    </w:p>
    <w:p w14:paraId="22C5E5F6" w14:textId="77777777" w:rsidR="00630B55" w:rsidRPr="0052650D" w:rsidRDefault="00630B55" w:rsidP="0052650D">
      <w:pPr>
        <w:rPr>
          <w:rFonts w:cs="Times New Roman"/>
        </w:rPr>
      </w:pPr>
    </w:p>
    <w:p w14:paraId="67774DF3" w14:textId="623311F9" w:rsidR="00630B55" w:rsidRPr="00922ABD" w:rsidRDefault="00630B55" w:rsidP="00080B26">
      <w:pPr>
        <w:pStyle w:val="ListParagraph"/>
        <w:numPr>
          <w:ilvl w:val="1"/>
          <w:numId w:val="3"/>
        </w:numPr>
        <w:rPr>
          <w:rFonts w:cs="Times New Roman"/>
        </w:rPr>
      </w:pPr>
      <w:r>
        <w:t xml:space="preserve">Article 13(1) of the UN International Covenant on Economic, Social and Cultural Rights (UN ICESCR) recognises the right to education and guarantees that “education shall be directed to the full development of the human personality and the sense of its </w:t>
      </w:r>
      <w:proofErr w:type="gramStart"/>
      <w:r>
        <w:t>dignity, and</w:t>
      </w:r>
      <w:proofErr w:type="gramEnd"/>
      <w:r>
        <w:t xml:space="preserve"> shall strengthen the respect for human rights and fundamental freedoms”. Article 13(2) UN ICESCR makes specific commitments to free compulsory primary education for everyone, accessible and available secondary education and higher education that is “equally accessible to all, on the basis of capacity”. </w:t>
      </w:r>
    </w:p>
    <w:p w14:paraId="66F647C1" w14:textId="77777777" w:rsidR="00630B55" w:rsidRDefault="00630B55" w:rsidP="00630B55">
      <w:pPr>
        <w:pStyle w:val="ListParagraph"/>
      </w:pPr>
    </w:p>
    <w:p w14:paraId="32CC2430" w14:textId="40E83136" w:rsidR="00630B55" w:rsidRPr="00630B55" w:rsidRDefault="00630B55" w:rsidP="00080B26">
      <w:pPr>
        <w:pStyle w:val="ListParagraph"/>
        <w:numPr>
          <w:ilvl w:val="1"/>
          <w:numId w:val="3"/>
        </w:numPr>
        <w:rPr>
          <w:rFonts w:cs="Times New Roman"/>
        </w:rPr>
      </w:pPr>
      <w:r>
        <w:t>Article 2 UN ICESCR prohibits discrimination of any kind on grounds of “</w:t>
      </w:r>
      <w:r w:rsidRPr="00B9247E">
        <w:t>race, colour, sex, language, religion, political or other opinion, national or social origin, property, birth or other status</w:t>
      </w:r>
      <w:r>
        <w:t>” in the realisation of the rights in the UN ICESCR. In General Comment No 13 the UN ICESCR Committee clarified that this obligation</w:t>
      </w:r>
      <w:r w:rsidR="00F2560A">
        <w:t xml:space="preserve"> “</w:t>
      </w:r>
      <w:r w:rsidR="00F2560A" w:rsidRPr="00F2560A">
        <w:t xml:space="preserve">is subject to neither progressive realization </w:t>
      </w:r>
      <w:r w:rsidR="00F2560A" w:rsidRPr="00F2560A">
        <w:lastRenderedPageBreak/>
        <w:t>nor the availability of resources; it applies fully and immediately to all aspects of education and encompasses all internationally prohibited grounds of discrimination</w:t>
      </w:r>
      <w:r w:rsidR="00F2560A">
        <w:t>”.</w:t>
      </w:r>
      <w:r w:rsidR="00704D91">
        <w:rPr>
          <w:rStyle w:val="FootnoteReference"/>
        </w:rPr>
        <w:footnoteReference w:id="8"/>
      </w:r>
      <w:r w:rsidR="00F2560A">
        <w:t xml:space="preserve"> </w:t>
      </w:r>
      <w:r w:rsidR="00704D91">
        <w:t xml:space="preserve">The Committee further advises </w:t>
      </w:r>
      <w:r>
        <w:t>that special measures which “are intended to bring about de facto equality for men and women and for disadvantaged groups” are permitted.</w:t>
      </w:r>
      <w:r>
        <w:rPr>
          <w:rStyle w:val="FootnoteReference"/>
        </w:rPr>
        <w:footnoteReference w:id="9"/>
      </w:r>
      <w:r>
        <w:t xml:space="preserve"> </w:t>
      </w:r>
    </w:p>
    <w:p w14:paraId="5C950D98" w14:textId="77777777" w:rsidR="00630B55" w:rsidRDefault="00630B55" w:rsidP="00630B55">
      <w:pPr>
        <w:pStyle w:val="ListParagraph"/>
      </w:pPr>
    </w:p>
    <w:p w14:paraId="764AB746" w14:textId="685AC254" w:rsidR="00630B55" w:rsidRPr="00630B55" w:rsidRDefault="00630B55" w:rsidP="00080B26">
      <w:pPr>
        <w:pStyle w:val="ListParagraph"/>
        <w:numPr>
          <w:ilvl w:val="1"/>
          <w:numId w:val="3"/>
        </w:numPr>
        <w:rPr>
          <w:rFonts w:cs="Times New Roman"/>
        </w:rPr>
      </w:pPr>
      <w:r>
        <w:t>The UN ICESCR Committee affirms that, while education can be provided in different forms, it should include four “interrelated and essential features”</w:t>
      </w:r>
      <w:r w:rsidR="00E36061">
        <w:t xml:space="preserve"> that are </w:t>
      </w:r>
      <w:r w:rsidR="00E36061" w:rsidRPr="00E36061">
        <w:t>common to education in all its forms and at all levels</w:t>
      </w:r>
      <w:r>
        <w:t>.</w:t>
      </w:r>
      <w:r>
        <w:rPr>
          <w:rStyle w:val="FootnoteReference"/>
        </w:rPr>
        <w:footnoteReference w:id="10"/>
      </w:r>
      <w:r>
        <w:t xml:space="preserve"> These are that education is:</w:t>
      </w:r>
    </w:p>
    <w:p w14:paraId="2B65ED8B" w14:textId="77777777" w:rsidR="00630B55" w:rsidRDefault="00630B55" w:rsidP="00630B55"/>
    <w:p w14:paraId="0056C3BE" w14:textId="77777777" w:rsidR="00630B55" w:rsidRDefault="00630B55" w:rsidP="00F81702">
      <w:pPr>
        <w:pStyle w:val="ListParagraph"/>
        <w:ind w:left="993"/>
      </w:pPr>
      <w:r>
        <w:t>Available – availability requires functioning educational institutions to be available in sufficient quantity and includes trained teachers receiving domestically competitive salaries, teaching materials, library and computer facilities and information technology.</w:t>
      </w:r>
      <w:r>
        <w:rPr>
          <w:rStyle w:val="FootnoteReference"/>
        </w:rPr>
        <w:footnoteReference w:id="11"/>
      </w:r>
    </w:p>
    <w:p w14:paraId="1BA00620" w14:textId="77777777" w:rsidR="00630B55" w:rsidRDefault="00630B55" w:rsidP="00F81702">
      <w:pPr>
        <w:pStyle w:val="ListParagraph"/>
        <w:ind w:left="993"/>
      </w:pPr>
    </w:p>
    <w:p w14:paraId="6517B2A5" w14:textId="77777777" w:rsidR="00630B55" w:rsidRDefault="00630B55" w:rsidP="00F81702">
      <w:pPr>
        <w:pStyle w:val="ListParagraph"/>
        <w:ind w:left="993"/>
      </w:pPr>
      <w:r>
        <w:t>Accessible – accessibility requires that everyone has access to education without discrimination, especially the most vulnerable groups.</w:t>
      </w:r>
      <w:r>
        <w:rPr>
          <w:rStyle w:val="FootnoteReference"/>
        </w:rPr>
        <w:footnoteReference w:id="12"/>
      </w:r>
      <w:r>
        <w:t xml:space="preserve"> In addition, education </w:t>
      </w:r>
      <w:proofErr w:type="gramStart"/>
      <w:r>
        <w:t>has to</w:t>
      </w:r>
      <w:proofErr w:type="gramEnd"/>
      <w:r>
        <w:t xml:space="preserve"> be “within safe physical reach” either by a “convenient geographic location” or “via modern technology”.</w:t>
      </w:r>
      <w:r>
        <w:rPr>
          <w:rStyle w:val="FootnoteReference"/>
        </w:rPr>
        <w:footnoteReference w:id="13"/>
      </w:r>
      <w:r>
        <w:t xml:space="preserve"> Education must also be affordable to all.</w:t>
      </w:r>
      <w:r>
        <w:rPr>
          <w:rStyle w:val="FootnoteReference"/>
        </w:rPr>
        <w:footnoteReference w:id="14"/>
      </w:r>
    </w:p>
    <w:p w14:paraId="592D54EF" w14:textId="77777777" w:rsidR="00630B55" w:rsidRDefault="00630B55" w:rsidP="00F81702">
      <w:pPr>
        <w:pStyle w:val="ListParagraph"/>
        <w:ind w:left="993"/>
      </w:pPr>
    </w:p>
    <w:p w14:paraId="3B202B5E" w14:textId="77777777" w:rsidR="00630B55" w:rsidRDefault="00630B55" w:rsidP="00F81702">
      <w:pPr>
        <w:pStyle w:val="ListParagraph"/>
        <w:ind w:left="993"/>
      </w:pPr>
      <w:r>
        <w:t>Acceptable – acceptability requires that “the form and substance of education, including curricula and teaching methods, have to be acceptable (e.g. relevant, culturally appropriate and of good quality) to students and, in appropriate cases, parents”.</w:t>
      </w:r>
      <w:r>
        <w:rPr>
          <w:rStyle w:val="FootnoteReference"/>
        </w:rPr>
        <w:footnoteReference w:id="15"/>
      </w:r>
    </w:p>
    <w:p w14:paraId="5C2C871E" w14:textId="77777777" w:rsidR="00630B55" w:rsidRDefault="00630B55" w:rsidP="00F81702">
      <w:pPr>
        <w:pStyle w:val="ListParagraph"/>
        <w:ind w:left="993"/>
      </w:pPr>
    </w:p>
    <w:p w14:paraId="33487F2A" w14:textId="77777777" w:rsidR="00630B55" w:rsidRDefault="00630B55" w:rsidP="00F81702">
      <w:pPr>
        <w:pStyle w:val="ListParagraph"/>
        <w:ind w:left="993"/>
      </w:pPr>
      <w:r>
        <w:t xml:space="preserve">Adaptable – adaptability requires that education must be “flexible so it can adapt to the needs of changing societies and communities and </w:t>
      </w:r>
      <w:bookmarkStart w:id="4" w:name="_Hlk175664762"/>
      <w:r>
        <w:lastRenderedPageBreak/>
        <w:t>respond to the needs of students within their diverse social and cultural settings”.</w:t>
      </w:r>
      <w:r>
        <w:rPr>
          <w:rStyle w:val="FootnoteReference"/>
        </w:rPr>
        <w:footnoteReference w:id="16"/>
      </w:r>
    </w:p>
    <w:bookmarkEnd w:id="4"/>
    <w:p w14:paraId="70BAA716" w14:textId="77777777" w:rsidR="0014456A" w:rsidRPr="00333D8A" w:rsidRDefault="0014456A" w:rsidP="00333D8A">
      <w:pPr>
        <w:rPr>
          <w:rFonts w:eastAsia="Verdana"/>
        </w:rPr>
      </w:pPr>
    </w:p>
    <w:p w14:paraId="0CF801C6" w14:textId="693D95D6" w:rsidR="0052650D" w:rsidRDefault="0052650D" w:rsidP="00080B26">
      <w:pPr>
        <w:pStyle w:val="ListParagraph"/>
        <w:numPr>
          <w:ilvl w:val="1"/>
          <w:numId w:val="3"/>
        </w:numPr>
        <w:rPr>
          <w:rFonts w:cs="Times New Roman"/>
        </w:rPr>
      </w:pPr>
      <w:r w:rsidRPr="00F252EC">
        <w:rPr>
          <w:rFonts w:cs="Times New Roman"/>
        </w:rPr>
        <w:t>Article 24 of the UN Convention on the Rights of P</w:t>
      </w:r>
      <w:r w:rsidR="6CC12E1E" w:rsidRPr="0AC37AC3">
        <w:rPr>
          <w:rFonts w:cs="Times New Roman"/>
        </w:rPr>
        <w:t>ersons</w:t>
      </w:r>
      <w:r w:rsidRPr="00F252EC">
        <w:rPr>
          <w:rFonts w:cs="Times New Roman"/>
        </w:rPr>
        <w:t xml:space="preserve"> with Disabilities (UN CRPD) recognises the right of disabled people to education and requires states to ensure “an inclusive education system at all levels and lifelong learning”. In addition, States are required to ensure that disabled people “receive the support required, within the general education system, to facilitate their effective education”. </w:t>
      </w:r>
    </w:p>
    <w:p w14:paraId="4A3611C6" w14:textId="77777777" w:rsidR="0052650D" w:rsidRPr="00A923C9" w:rsidRDefault="0052650D" w:rsidP="0052650D">
      <w:pPr>
        <w:pStyle w:val="ListParagraph"/>
        <w:rPr>
          <w:rFonts w:cs="Times New Roman"/>
        </w:rPr>
      </w:pPr>
    </w:p>
    <w:p w14:paraId="2E89F389" w14:textId="77777777" w:rsidR="002711CE" w:rsidRDefault="002711CE" w:rsidP="00080B26">
      <w:pPr>
        <w:pStyle w:val="ListParagraph"/>
        <w:numPr>
          <w:ilvl w:val="1"/>
          <w:numId w:val="3"/>
        </w:numPr>
      </w:pPr>
      <w:r>
        <w:t>Article 5 of the UN Convention on the Elimination of Racial Discrimination (UN CERD) requires States to “prohibit and eliminate racial discrimination” and to “guarantee the right of everyone, without distinction as to race, colour, or national or ethnic origin, to equality before the law and the enjoyment of… the right to education and training”.</w:t>
      </w:r>
    </w:p>
    <w:p w14:paraId="13E4A3EA" w14:textId="77777777" w:rsidR="001D0A06" w:rsidRDefault="001D0A06" w:rsidP="001A259E"/>
    <w:p w14:paraId="0561CC3B" w14:textId="183B7693" w:rsidR="001D0A06" w:rsidRDefault="001D0A06" w:rsidP="00080B26">
      <w:pPr>
        <w:pStyle w:val="ListParagraph"/>
        <w:numPr>
          <w:ilvl w:val="1"/>
          <w:numId w:val="3"/>
        </w:numPr>
      </w:pPr>
      <w:r>
        <w:t xml:space="preserve">Article 22 of the UN Refugee Convention </w:t>
      </w:r>
      <w:r w:rsidR="003255CA">
        <w:t>requires States to “</w:t>
      </w:r>
      <w:r w:rsidR="003255CA" w:rsidRPr="003255CA">
        <w:t>accord to refugees the same treatment as is accorded to nationals with respect to elementary education</w:t>
      </w:r>
      <w:r w:rsidR="003255CA">
        <w:t xml:space="preserve">”. </w:t>
      </w:r>
      <w:proofErr w:type="gramStart"/>
      <w:r w:rsidR="002F05F8">
        <w:t>With regard to</w:t>
      </w:r>
      <w:proofErr w:type="gramEnd"/>
      <w:r w:rsidR="008A74E1">
        <w:t xml:space="preserve"> accessing </w:t>
      </w:r>
      <w:r w:rsidR="002F05F8">
        <w:t xml:space="preserve">post-primary education, Article 22 requires States to provide </w:t>
      </w:r>
      <w:r w:rsidR="00AD6769">
        <w:t>“</w:t>
      </w:r>
      <w:r w:rsidR="00AD6769" w:rsidRPr="00AD6769">
        <w:t>refugees treatment as favourable as possible, and, in any event, not less favourable than that accorded to aliens generally in the same circumstances</w:t>
      </w:r>
      <w:r w:rsidR="00AD6769">
        <w:t>”.</w:t>
      </w:r>
    </w:p>
    <w:p w14:paraId="5212CCDC" w14:textId="77777777" w:rsidR="002711CE" w:rsidRDefault="002711CE" w:rsidP="002711CE"/>
    <w:p w14:paraId="770383CF" w14:textId="7401E046" w:rsidR="0036508B" w:rsidRPr="0036508B" w:rsidRDefault="00EF352E" w:rsidP="00080B26">
      <w:pPr>
        <w:pStyle w:val="ListParagraph"/>
        <w:numPr>
          <w:ilvl w:val="1"/>
          <w:numId w:val="3"/>
        </w:numPr>
      </w:pPr>
      <w:r>
        <w:rPr>
          <w:rFonts w:eastAsia="Verdana"/>
        </w:rPr>
        <w:t xml:space="preserve">In summary, </w:t>
      </w:r>
      <w:r w:rsidR="00525B76">
        <w:rPr>
          <w:rFonts w:eastAsia="Verdana"/>
        </w:rPr>
        <w:t>t</w:t>
      </w:r>
      <w:r w:rsidR="00525B76" w:rsidRPr="00525B76">
        <w:rPr>
          <w:rFonts w:eastAsia="Verdana"/>
        </w:rPr>
        <w:t xml:space="preserve">he right to education </w:t>
      </w:r>
      <w:r w:rsidR="002B163E">
        <w:rPr>
          <w:rFonts w:eastAsia="Verdana"/>
        </w:rPr>
        <w:t>should be</w:t>
      </w:r>
      <w:r w:rsidR="00525B76" w:rsidRPr="00525B76">
        <w:rPr>
          <w:rFonts w:eastAsia="Verdana"/>
        </w:rPr>
        <w:t xml:space="preserve"> interpreted broadly.</w:t>
      </w:r>
      <w:r w:rsidR="00525B76">
        <w:rPr>
          <w:rStyle w:val="FootnoteReference"/>
          <w:rFonts w:eastAsia="Verdana"/>
        </w:rPr>
        <w:footnoteReference w:id="17"/>
      </w:r>
      <w:r w:rsidR="00525B76">
        <w:rPr>
          <w:rFonts w:eastAsia="Verdana"/>
        </w:rPr>
        <w:t xml:space="preserve"> </w:t>
      </w:r>
      <w:r w:rsidR="002B163E">
        <w:rPr>
          <w:rFonts w:eastAsia="Verdana"/>
        </w:rPr>
        <w:t xml:space="preserve">Education is more than </w:t>
      </w:r>
      <w:r w:rsidR="0014456A" w:rsidRPr="0014456A">
        <w:rPr>
          <w:rFonts w:eastAsia="Verdana"/>
        </w:rPr>
        <w:t>academic progress; its realisation is also essential in terms of the enjoyment of other rights</w:t>
      </w:r>
      <w:r>
        <w:rPr>
          <w:rFonts w:eastAsia="Verdana"/>
        </w:rPr>
        <w:t>.</w:t>
      </w:r>
      <w:r>
        <w:rPr>
          <w:rStyle w:val="FootnoteReference"/>
          <w:rFonts w:eastAsia="Verdana"/>
        </w:rPr>
        <w:footnoteReference w:id="18"/>
      </w:r>
      <w:r w:rsidR="0014456A" w:rsidRPr="0014456A">
        <w:rPr>
          <w:rFonts w:eastAsia="Verdana"/>
        </w:rPr>
        <w:t xml:space="preserve"> </w:t>
      </w:r>
      <w:r>
        <w:rPr>
          <w:rFonts w:eastAsia="Verdana"/>
        </w:rPr>
        <w:t>The</w:t>
      </w:r>
      <w:r w:rsidR="0014456A" w:rsidRPr="0014456A">
        <w:rPr>
          <w:rFonts w:eastAsia="Verdana"/>
        </w:rPr>
        <w:t xml:space="preserve"> UN High Commissioner for Human Rights describes the right to education as a “well-known catalyst for the fulfilment of many other rights”</w:t>
      </w:r>
      <w:r w:rsidR="0014456A" w:rsidRPr="0014456A">
        <w:rPr>
          <w:rFonts w:ascii="Arial" w:eastAsia="Arial" w:hAnsi="Arial"/>
          <w:color w:val="231F20"/>
          <w:sz w:val="23"/>
        </w:rPr>
        <w:t>.</w:t>
      </w:r>
      <w:r>
        <w:rPr>
          <w:rStyle w:val="FootnoteReference"/>
          <w:rFonts w:ascii="Arial" w:eastAsia="Arial" w:hAnsi="Arial"/>
          <w:color w:val="231F20"/>
          <w:sz w:val="23"/>
        </w:rPr>
        <w:footnoteReference w:id="19"/>
      </w:r>
      <w:r>
        <w:rPr>
          <w:rFonts w:ascii="Arial" w:eastAsia="Arial" w:hAnsi="Arial"/>
          <w:color w:val="231F20"/>
          <w:sz w:val="15"/>
        </w:rPr>
        <w:t xml:space="preserve"> </w:t>
      </w:r>
      <w:r w:rsidR="0014456A" w:rsidRPr="0014456A">
        <w:rPr>
          <w:rFonts w:eastAsia="Verdana"/>
        </w:rPr>
        <w:t>The UN ICESCR Committee highlights the multi-faceted nature of the right to education by stating that:</w:t>
      </w:r>
    </w:p>
    <w:p w14:paraId="6F4725AD" w14:textId="77777777" w:rsidR="004E6ADF" w:rsidRDefault="004E6ADF" w:rsidP="004E6ADF">
      <w:pPr>
        <w:pStyle w:val="ListParagraph"/>
        <w:rPr>
          <w:rFonts w:eastAsia="Verdana"/>
        </w:rPr>
      </w:pPr>
    </w:p>
    <w:p w14:paraId="6FB56AA3" w14:textId="3C965BA9" w:rsidR="004E6ADF" w:rsidRDefault="004E6ADF" w:rsidP="004E6ADF">
      <w:pPr>
        <w:pStyle w:val="ListParagraph"/>
        <w:ind w:left="851"/>
      </w:pPr>
      <w:r>
        <w:rPr>
          <w:rFonts w:eastAsia="Verdana"/>
        </w:rPr>
        <w:lastRenderedPageBreak/>
        <w:t xml:space="preserve">education is both a human right </w:t>
      </w:r>
      <w:proofErr w:type="gramStart"/>
      <w:r>
        <w:rPr>
          <w:rFonts w:eastAsia="Verdana"/>
        </w:rPr>
        <w:t>in itself and</w:t>
      </w:r>
      <w:proofErr w:type="gramEnd"/>
      <w:r>
        <w:rPr>
          <w:rFonts w:eastAsia="Verdana"/>
        </w:rPr>
        <w:t xml:space="preserve"> an indispensable means of realising other human rights. As an empowerment right, education is the primary vehicle by which economically and socially marginalised adults and children can lift themselves out of poverty and obtain the means to participate fully in their communities.</w:t>
      </w:r>
      <w:r>
        <w:rPr>
          <w:rStyle w:val="FootnoteReference"/>
          <w:rFonts w:eastAsia="Verdana"/>
        </w:rPr>
        <w:footnoteReference w:id="20"/>
      </w:r>
    </w:p>
    <w:p w14:paraId="5CE494E8" w14:textId="77777777" w:rsidR="0036508B" w:rsidRPr="0036508B" w:rsidRDefault="0036508B" w:rsidP="0036508B">
      <w:pPr>
        <w:pStyle w:val="ListParagraph"/>
        <w:rPr>
          <w:rFonts w:eastAsia="Verdana"/>
        </w:rPr>
      </w:pPr>
    </w:p>
    <w:p w14:paraId="69470013" w14:textId="539E526D" w:rsidR="008E5769" w:rsidRPr="00FB2663" w:rsidRDefault="008E5769" w:rsidP="00080B26">
      <w:pPr>
        <w:pStyle w:val="ListParagraph"/>
        <w:numPr>
          <w:ilvl w:val="1"/>
          <w:numId w:val="3"/>
        </w:numPr>
        <w:suppressAutoHyphens/>
        <w:rPr>
          <w:rFonts w:cs="Arial"/>
          <w:b/>
          <w:bCs/>
          <w:color w:val="000000" w:themeColor="text1"/>
        </w:rPr>
      </w:pPr>
      <w:r>
        <w:rPr>
          <w:rFonts w:cs="Segoe UI"/>
          <w:lang w:val="en" w:eastAsia="en-GB"/>
        </w:rPr>
        <w:t>In the current consultation, the Department of Education is proposing to strengthen guidance on school unforms in NI and to place it on a statutory footing. The overarching aim of the consultation is “</w:t>
      </w:r>
      <w:r w:rsidRPr="00AE31F5">
        <w:rPr>
          <w:rFonts w:cs="Segoe UI"/>
          <w:lang w:eastAsia="en-GB"/>
        </w:rPr>
        <w:t>to ensure that all school governing bodies put affordability, comfort and sustainability at the centre of their decision-making when they set their school uniform requirements</w:t>
      </w:r>
      <w:r>
        <w:rPr>
          <w:rFonts w:cs="Segoe UI"/>
          <w:lang w:eastAsia="en-GB"/>
        </w:rPr>
        <w:t>”.</w:t>
      </w:r>
      <w:r>
        <w:rPr>
          <w:rStyle w:val="FootnoteReference"/>
          <w:rFonts w:cs="Segoe UI"/>
          <w:lang w:eastAsia="en-GB"/>
        </w:rPr>
        <w:footnoteReference w:id="21"/>
      </w:r>
      <w:r>
        <w:rPr>
          <w:rFonts w:cs="Segoe UI"/>
          <w:lang w:eastAsia="en-GB"/>
        </w:rPr>
        <w:t xml:space="preserve"> </w:t>
      </w:r>
      <w:r>
        <w:rPr>
          <w:rFonts w:cs="Segoe UI"/>
          <w:lang w:val="en" w:eastAsia="en-GB"/>
        </w:rPr>
        <w:t xml:space="preserve">Through the passage of a new School Uniform Bill in the NI Assembly, it is proposed that </w:t>
      </w:r>
      <w:r w:rsidRPr="00FD13CB">
        <w:rPr>
          <w:rFonts w:cs="Segoe UI"/>
          <w:lang w:eastAsia="en-GB"/>
        </w:rPr>
        <w:t xml:space="preserve">schools and their governing boards </w:t>
      </w:r>
      <w:r>
        <w:rPr>
          <w:rFonts w:cs="Segoe UI"/>
          <w:lang w:eastAsia="en-GB"/>
        </w:rPr>
        <w:t>“</w:t>
      </w:r>
      <w:r w:rsidRPr="00FD13CB">
        <w:rPr>
          <w:rFonts w:cs="Segoe UI"/>
          <w:lang w:eastAsia="en-GB"/>
        </w:rPr>
        <w:t>will have to have regard to the guidance when developing their school uniform policies</w:t>
      </w:r>
      <w:r>
        <w:rPr>
          <w:rFonts w:cs="Segoe UI"/>
          <w:lang w:eastAsia="en-GB"/>
        </w:rPr>
        <w:t>”.</w:t>
      </w:r>
      <w:r>
        <w:rPr>
          <w:rStyle w:val="FootnoteReference"/>
          <w:rFonts w:cs="Segoe UI"/>
          <w:lang w:eastAsia="en-GB"/>
        </w:rPr>
        <w:footnoteReference w:id="22"/>
      </w:r>
    </w:p>
    <w:p w14:paraId="63DACD0A" w14:textId="77777777" w:rsidR="008E5769" w:rsidRPr="00334427" w:rsidRDefault="008E5769" w:rsidP="008E5769">
      <w:pPr>
        <w:pStyle w:val="ListParagraph"/>
        <w:suppressAutoHyphens/>
        <w:ind w:left="709"/>
        <w:rPr>
          <w:rFonts w:cs="Arial"/>
          <w:b/>
          <w:bCs/>
          <w:color w:val="000000" w:themeColor="text1"/>
        </w:rPr>
      </w:pPr>
    </w:p>
    <w:p w14:paraId="5BF8E74D" w14:textId="1BFBE6E0" w:rsidR="008E5769" w:rsidRPr="00140229" w:rsidRDefault="008E5769" w:rsidP="00080B26">
      <w:pPr>
        <w:pStyle w:val="ListParagraph"/>
        <w:numPr>
          <w:ilvl w:val="1"/>
          <w:numId w:val="3"/>
        </w:numPr>
        <w:suppressAutoHyphens/>
        <w:rPr>
          <w:rFonts w:cs="Arial"/>
          <w:b/>
          <w:bCs/>
          <w:color w:val="000000" w:themeColor="text1"/>
        </w:rPr>
      </w:pPr>
      <w:r>
        <w:rPr>
          <w:rFonts w:cs="Segoe UI"/>
          <w:lang w:eastAsia="en-GB"/>
        </w:rPr>
        <w:t>The NIHRC welcomes the proposal to ensure that schools and governing bodies are legally required to comply with updated statutory guidance on school uniforms. The NIHRC additionally welcomes the underpinning principles and the requirement that school uniform policies are developed</w:t>
      </w:r>
      <w:r w:rsidRPr="004F7AFD">
        <w:t xml:space="preserve"> </w:t>
      </w:r>
      <w:r w:rsidRPr="004F7AFD">
        <w:rPr>
          <w:rFonts w:cs="Segoe UI"/>
          <w:lang w:eastAsia="en-GB"/>
        </w:rPr>
        <w:t>in partnership with pupils and their parents/carers</w:t>
      </w:r>
      <w:r>
        <w:rPr>
          <w:rFonts w:cs="Segoe UI"/>
          <w:lang w:eastAsia="en-GB"/>
        </w:rPr>
        <w:t>,</w:t>
      </w:r>
      <w:r w:rsidRPr="004F7AFD">
        <w:rPr>
          <w:rFonts w:cs="Segoe UI"/>
          <w:lang w:eastAsia="en-GB"/>
        </w:rPr>
        <w:t xml:space="preserve"> published</w:t>
      </w:r>
      <w:r>
        <w:rPr>
          <w:rFonts w:cs="Segoe UI"/>
          <w:lang w:eastAsia="en-GB"/>
        </w:rPr>
        <w:t>, a</w:t>
      </w:r>
      <w:r w:rsidRPr="004F7AFD">
        <w:rPr>
          <w:rFonts w:cs="Segoe UI"/>
          <w:lang w:eastAsia="en-GB"/>
        </w:rPr>
        <w:t>nd regularly reviewed.</w:t>
      </w:r>
      <w:r>
        <w:rPr>
          <w:rStyle w:val="FootnoteReference"/>
          <w:rFonts w:cs="Arial"/>
          <w:color w:val="000000" w:themeColor="text1"/>
        </w:rPr>
        <w:footnoteReference w:id="23"/>
      </w:r>
      <w:r>
        <w:rPr>
          <w:rFonts w:cs="Segoe UI"/>
          <w:lang w:eastAsia="en-GB"/>
        </w:rPr>
        <w:t xml:space="preserve"> These proposals are inherently consistent with a human </w:t>
      </w:r>
      <w:proofErr w:type="gramStart"/>
      <w:r>
        <w:rPr>
          <w:rFonts w:cs="Segoe UI"/>
          <w:lang w:eastAsia="en-GB"/>
        </w:rPr>
        <w:t>rights based</w:t>
      </w:r>
      <w:proofErr w:type="gramEnd"/>
      <w:r>
        <w:rPr>
          <w:rFonts w:cs="Segoe UI"/>
          <w:lang w:eastAsia="en-GB"/>
        </w:rPr>
        <w:t xml:space="preserve"> approach, which centres on the guiding principles of </w:t>
      </w:r>
      <w:r>
        <w:t>participation, accountability, non-discrimination, empowerment and legality.</w:t>
      </w:r>
      <w:r>
        <w:rPr>
          <w:rStyle w:val="FootnoteReference"/>
        </w:rPr>
        <w:footnoteReference w:id="24"/>
      </w:r>
      <w:r>
        <w:t xml:space="preserve"> </w:t>
      </w:r>
    </w:p>
    <w:p w14:paraId="76CE59AC" w14:textId="77777777" w:rsidR="008E5769" w:rsidRDefault="008E5769" w:rsidP="008E5769">
      <w:pPr>
        <w:pStyle w:val="ListParagraph"/>
      </w:pPr>
    </w:p>
    <w:p w14:paraId="6553207B" w14:textId="09C3E301" w:rsidR="008E5769" w:rsidRPr="00C12F19" w:rsidRDefault="008E5769" w:rsidP="00080B26">
      <w:pPr>
        <w:pStyle w:val="ListParagraph"/>
        <w:numPr>
          <w:ilvl w:val="1"/>
          <w:numId w:val="3"/>
        </w:numPr>
        <w:suppressAutoHyphens/>
        <w:rPr>
          <w:rFonts w:cs="Arial"/>
          <w:b/>
          <w:bCs/>
          <w:color w:val="000000" w:themeColor="text1"/>
        </w:rPr>
      </w:pPr>
      <w:r>
        <w:t>However,</w:t>
      </w:r>
      <w:r w:rsidR="00154C5C">
        <w:t xml:space="preserve"> the NIHRC observes that the current proposals do </w:t>
      </w:r>
      <w:r>
        <w:t>not mention human rights</w:t>
      </w:r>
      <w:r w:rsidR="002B163E">
        <w:t xml:space="preserve"> in any substantive way</w:t>
      </w:r>
      <w:r>
        <w:t xml:space="preserve">. </w:t>
      </w:r>
      <w:r w:rsidR="002B163E">
        <w:t>T</w:t>
      </w:r>
      <w:r>
        <w:t>he Department of Education</w:t>
      </w:r>
      <w:r w:rsidR="002B163E">
        <w:t xml:space="preserve"> and </w:t>
      </w:r>
      <w:r>
        <w:t xml:space="preserve">schools and governing bodies </w:t>
      </w:r>
      <w:r w:rsidR="002B163E">
        <w:t xml:space="preserve">performing a public function are required to comply with duties under the ECHR, </w:t>
      </w:r>
      <w:r w:rsidR="00466723">
        <w:t>enforced</w:t>
      </w:r>
      <w:r w:rsidR="002B163E">
        <w:t xml:space="preserve"> directly by </w:t>
      </w:r>
      <w:r>
        <w:t xml:space="preserve">the Human Rights </w:t>
      </w:r>
      <w:r>
        <w:lastRenderedPageBreak/>
        <w:t>Act 1998</w:t>
      </w:r>
      <w:r w:rsidR="002B163E">
        <w:t xml:space="preserve">. That includes </w:t>
      </w:r>
      <w:r>
        <w:t>development and implementation of school uniform polic</w:t>
      </w:r>
      <w:r w:rsidR="002B163E">
        <w:t>y.</w:t>
      </w:r>
      <w:r w:rsidR="0048609D">
        <w:t xml:space="preserve"> </w:t>
      </w:r>
      <w:r w:rsidR="003958C5">
        <w:t>Both</w:t>
      </w:r>
      <w:r>
        <w:t xml:space="preserve"> the UK Government and the Welsh Government highlight </w:t>
      </w:r>
      <w:r w:rsidR="006F273C">
        <w:t xml:space="preserve">schools and governing bodies </w:t>
      </w:r>
      <w:r>
        <w:t>obligations under the Human Rights Act 1998 in their guidance on school uniform policy.</w:t>
      </w:r>
      <w:r>
        <w:rPr>
          <w:rStyle w:val="FootnoteReference"/>
        </w:rPr>
        <w:footnoteReference w:id="25"/>
      </w:r>
      <w:r w:rsidR="0064555A">
        <w:t xml:space="preserve"> </w:t>
      </w:r>
    </w:p>
    <w:p w14:paraId="32A98708" w14:textId="77777777" w:rsidR="00C12F19" w:rsidRPr="00C12F19" w:rsidRDefault="00C12F19" w:rsidP="00C12F19">
      <w:pPr>
        <w:pStyle w:val="ListParagraph"/>
        <w:rPr>
          <w:rFonts w:cs="Arial"/>
          <w:b/>
          <w:bCs/>
          <w:color w:val="000000" w:themeColor="text1"/>
        </w:rPr>
      </w:pPr>
    </w:p>
    <w:p w14:paraId="4B4F0CC4" w14:textId="098D6075" w:rsidR="00C12F19" w:rsidRPr="00C12F19" w:rsidRDefault="000745BB" w:rsidP="00080B26">
      <w:pPr>
        <w:pStyle w:val="ListParagraph"/>
        <w:numPr>
          <w:ilvl w:val="1"/>
          <w:numId w:val="3"/>
        </w:numPr>
      </w:pPr>
      <w:r>
        <w:t>While the</w:t>
      </w:r>
      <w:r w:rsidR="003152AE">
        <w:t xml:space="preserve"> Department’s </w:t>
      </w:r>
      <w:r w:rsidR="00C12F19">
        <w:t>current guidance</w:t>
      </w:r>
      <w:r w:rsidR="002436E2">
        <w:t xml:space="preserve"> on school uniforms</w:t>
      </w:r>
      <w:r>
        <w:t xml:space="preserve"> </w:t>
      </w:r>
      <w:r w:rsidR="000F59C2">
        <w:t>notes the relevance of</w:t>
      </w:r>
      <w:r w:rsidR="002436E2">
        <w:t xml:space="preserve"> the Human Rights Act 1998</w:t>
      </w:r>
      <w:r w:rsidR="007166B8">
        <w:t xml:space="preserve"> and the ECHR, it only does so in relation to the right to freedom of thought, conscience and religion.</w:t>
      </w:r>
      <w:r w:rsidR="000F59C2">
        <w:rPr>
          <w:rStyle w:val="FootnoteReference"/>
        </w:rPr>
        <w:footnoteReference w:id="26"/>
      </w:r>
      <w:r w:rsidR="00F63C4A">
        <w:t xml:space="preserve"> </w:t>
      </w:r>
      <w:r w:rsidR="005073F8">
        <w:t>Moreover, the NIHRC notes with caution that in relation to interferences with the 1998 Act the Department states that</w:t>
      </w:r>
      <w:r w:rsidR="00493502">
        <w:t>,</w:t>
      </w:r>
      <w:r w:rsidR="008A2ED7">
        <w:t xml:space="preserve"> </w:t>
      </w:r>
      <w:r w:rsidR="00C12F19">
        <w:t>“</w:t>
      </w:r>
      <w:r w:rsidR="00C12F19" w:rsidRPr="00612FB1">
        <w:t>Each case will, however, depend on the circumstances of the particular school and it is for a school to determine what sort of uniform policy is appropriate for it</w:t>
      </w:r>
      <w:r w:rsidR="00C12F19">
        <w:t>”</w:t>
      </w:r>
      <w:r w:rsidR="00C12F19" w:rsidRPr="00612FB1">
        <w:t>.</w:t>
      </w:r>
      <w:r w:rsidR="00C12F19">
        <w:rPr>
          <w:rStyle w:val="FootnoteReference"/>
        </w:rPr>
        <w:footnoteReference w:id="27"/>
      </w:r>
      <w:r w:rsidR="00C12F19">
        <w:t xml:space="preserve"> While it is the responsibility of the school to develop and implement its own school uniform policy, the NIHRC consider this wording to potentially </w:t>
      </w:r>
      <w:r w:rsidR="76FAF1F1">
        <w:t>be</w:t>
      </w:r>
      <w:r w:rsidR="00C12F19">
        <w:t xml:space="preserve"> misleading for schools and governing bodies when used in relation to their human rights obligations. The Department of Education may wish to further clarify that it is the responsibility of schools and governing bodies to develop human rights compliant policies and that, when challenged, it is ultimately </w:t>
      </w:r>
      <w:r w:rsidR="42337154">
        <w:t>for</w:t>
      </w:r>
      <w:r w:rsidR="00C12F19">
        <w:t xml:space="preserve"> the courts to determine whether an interference is justified, based on the </w:t>
      </w:r>
      <w:proofErr w:type="gramStart"/>
      <w:r w:rsidR="00C12F19">
        <w:t>particular circumstances</w:t>
      </w:r>
      <w:proofErr w:type="gramEnd"/>
      <w:r w:rsidR="00C12F19">
        <w:t xml:space="preserve"> of that case. </w:t>
      </w:r>
      <w:r w:rsidR="17B1860A">
        <w:t xml:space="preserve">  </w:t>
      </w:r>
      <w:r w:rsidR="00C12F19">
        <w:t xml:space="preserve"> </w:t>
      </w:r>
    </w:p>
    <w:p w14:paraId="58E7B9FB" w14:textId="77777777" w:rsidR="00742F79" w:rsidRPr="00742F79" w:rsidRDefault="00742F79" w:rsidP="00742F79">
      <w:pPr>
        <w:pStyle w:val="ListParagraph"/>
        <w:rPr>
          <w:rFonts w:cs="Arial"/>
          <w:b/>
          <w:bCs/>
          <w:color w:val="000000" w:themeColor="text1"/>
        </w:rPr>
      </w:pPr>
    </w:p>
    <w:p w14:paraId="28B131D8" w14:textId="380F6396" w:rsidR="00742F79" w:rsidRPr="00CC6B2C" w:rsidRDefault="00742F79" w:rsidP="00080B26">
      <w:pPr>
        <w:pStyle w:val="ListParagraph"/>
        <w:numPr>
          <w:ilvl w:val="1"/>
          <w:numId w:val="3"/>
        </w:numPr>
        <w:suppressAutoHyphens/>
        <w:rPr>
          <w:rFonts w:cs="Arial"/>
          <w:b/>
          <w:bCs/>
          <w:color w:val="000000" w:themeColor="text1"/>
        </w:rPr>
      </w:pPr>
      <w:r>
        <w:t xml:space="preserve">The NIHRC </w:t>
      </w:r>
      <w:r w:rsidR="00144FA4">
        <w:t>continues to recommend taking a human rights</w:t>
      </w:r>
      <w:r w:rsidR="64A0AAAC">
        <w:t>-</w:t>
      </w:r>
      <w:r w:rsidR="00144FA4">
        <w:t>based approach to the development, implementation and monitoring of educational policy.</w:t>
      </w:r>
      <w:r w:rsidR="00CC6B2C">
        <w:rPr>
          <w:rStyle w:val="FootnoteReference"/>
        </w:rPr>
        <w:footnoteReference w:id="28"/>
      </w:r>
      <w:r>
        <w:t xml:space="preserve"> </w:t>
      </w:r>
      <w:r w:rsidR="006F273C" w:rsidRPr="0036508B">
        <w:rPr>
          <w:rFonts w:eastAsia="Verdana"/>
        </w:rPr>
        <w:t xml:space="preserve">This review </w:t>
      </w:r>
      <w:r w:rsidR="006F273C">
        <w:rPr>
          <w:rFonts w:eastAsia="Verdana"/>
        </w:rPr>
        <w:t xml:space="preserve">of the current guidance on school uniform policy </w:t>
      </w:r>
      <w:r w:rsidR="006F273C" w:rsidRPr="0036508B">
        <w:rPr>
          <w:rFonts w:eastAsia="Verdana"/>
        </w:rPr>
        <w:t>affords the opportunity to ensure the revised policy has a human rights</w:t>
      </w:r>
      <w:r w:rsidR="28B8E821" w:rsidRPr="0036508B">
        <w:rPr>
          <w:rFonts w:eastAsia="Verdana"/>
        </w:rPr>
        <w:t>-</w:t>
      </w:r>
      <w:r w:rsidR="006F273C" w:rsidRPr="0036508B">
        <w:rPr>
          <w:rFonts w:eastAsia="Verdana"/>
        </w:rPr>
        <w:t>based approach at its core</w:t>
      </w:r>
      <w:r w:rsidR="006F273C">
        <w:rPr>
          <w:rFonts w:eastAsia="Verdana"/>
        </w:rPr>
        <w:t xml:space="preserve">. </w:t>
      </w:r>
      <w:r w:rsidR="00144FA4">
        <w:t xml:space="preserve">This approach aims to </w:t>
      </w:r>
      <w:r>
        <w:t>empower children</w:t>
      </w:r>
      <w:r w:rsidR="00C104D9">
        <w:t xml:space="preserve"> and young people</w:t>
      </w:r>
      <w:r>
        <w:t xml:space="preserve"> (rights-holders) to understand and exercise their rights </w:t>
      </w:r>
      <w:r>
        <w:lastRenderedPageBreak/>
        <w:t>and entitlements, while supporting the Department</w:t>
      </w:r>
      <w:r w:rsidR="00CC6B2C">
        <w:t xml:space="preserve"> of Education</w:t>
      </w:r>
      <w:r>
        <w:t xml:space="preserve">, schools and governing bodies (duty bearers) in the implementation and monitoring of their policies. </w:t>
      </w:r>
    </w:p>
    <w:p w14:paraId="29CE67B9" w14:textId="77777777" w:rsidR="00CC6B2C" w:rsidRPr="00CC6B2C" w:rsidRDefault="00CC6B2C" w:rsidP="00CC6B2C">
      <w:pPr>
        <w:suppressAutoHyphens/>
        <w:rPr>
          <w:rFonts w:cs="Arial"/>
          <w:b/>
          <w:bCs/>
          <w:color w:val="000000" w:themeColor="text1"/>
        </w:rPr>
      </w:pPr>
    </w:p>
    <w:p w14:paraId="0C2DECF2" w14:textId="567EDAB6" w:rsidR="00742F79" w:rsidRPr="001D2C35" w:rsidRDefault="00771D95" w:rsidP="00080B26">
      <w:pPr>
        <w:pStyle w:val="ListParagraph"/>
        <w:numPr>
          <w:ilvl w:val="1"/>
          <w:numId w:val="3"/>
        </w:numPr>
        <w:suppressAutoHyphens/>
        <w:rPr>
          <w:rFonts w:cs="Arial"/>
          <w:color w:val="000000" w:themeColor="text1"/>
        </w:rPr>
      </w:pPr>
      <w:r>
        <w:rPr>
          <w:rFonts w:cs="Arial"/>
          <w:color w:val="000000" w:themeColor="text1"/>
        </w:rPr>
        <w:t>For instance,</w:t>
      </w:r>
      <w:r w:rsidR="00CC6B2C">
        <w:rPr>
          <w:rFonts w:cs="Arial"/>
          <w:color w:val="000000" w:themeColor="text1"/>
        </w:rPr>
        <w:t xml:space="preserve"> </w:t>
      </w:r>
      <w:r>
        <w:rPr>
          <w:rFonts w:cs="Arial"/>
          <w:color w:val="000000" w:themeColor="text1"/>
        </w:rPr>
        <w:t xml:space="preserve">a </w:t>
      </w:r>
      <w:r w:rsidR="00CC6B2C">
        <w:rPr>
          <w:rFonts w:cs="Arial"/>
          <w:color w:val="000000" w:themeColor="text1"/>
        </w:rPr>
        <w:t xml:space="preserve">human </w:t>
      </w:r>
      <w:proofErr w:type="gramStart"/>
      <w:r w:rsidR="00CC6B2C">
        <w:rPr>
          <w:rFonts w:cs="Arial"/>
          <w:color w:val="000000" w:themeColor="text1"/>
        </w:rPr>
        <w:t>rights based</w:t>
      </w:r>
      <w:proofErr w:type="gramEnd"/>
      <w:r w:rsidR="00CC6B2C">
        <w:rPr>
          <w:rFonts w:cs="Arial"/>
          <w:color w:val="000000" w:themeColor="text1"/>
        </w:rPr>
        <w:t xml:space="preserve"> approach requires duty-bearers to be accountable for failing to fulfil their obligations towards rights-holders.</w:t>
      </w:r>
      <w:r w:rsidR="00CC6B2C">
        <w:rPr>
          <w:rStyle w:val="FootnoteReference"/>
          <w:rFonts w:cs="Arial"/>
          <w:color w:val="000000" w:themeColor="text1"/>
        </w:rPr>
        <w:footnoteReference w:id="29"/>
      </w:r>
      <w:r w:rsidR="00CC6B2C">
        <w:rPr>
          <w:rFonts w:cs="Arial"/>
          <w:color w:val="000000" w:themeColor="text1"/>
        </w:rPr>
        <w:t xml:space="preserve"> </w:t>
      </w:r>
      <w:r w:rsidR="00380EBA">
        <w:rPr>
          <w:rFonts w:cs="Arial"/>
          <w:color w:val="000000" w:themeColor="text1"/>
        </w:rPr>
        <w:t>While the</w:t>
      </w:r>
      <w:r w:rsidR="00CC6B2C">
        <w:rPr>
          <w:rFonts w:cs="Arial"/>
          <w:color w:val="000000" w:themeColor="text1"/>
        </w:rPr>
        <w:t xml:space="preserve"> NIHRC welcomes the strengthening of the reporting and review requirements on schools and governing bodies</w:t>
      </w:r>
      <w:r w:rsidR="00380EBA">
        <w:rPr>
          <w:rFonts w:cs="Arial"/>
          <w:color w:val="000000" w:themeColor="text1"/>
        </w:rPr>
        <w:t>,</w:t>
      </w:r>
      <w:r w:rsidR="00CC6B2C">
        <w:rPr>
          <w:rStyle w:val="FootnoteReference"/>
          <w:rFonts w:cs="Arial"/>
          <w:color w:val="000000" w:themeColor="text1"/>
        </w:rPr>
        <w:footnoteReference w:id="30"/>
      </w:r>
      <w:r w:rsidR="00CC6B2C">
        <w:rPr>
          <w:rFonts w:cs="Arial"/>
          <w:color w:val="000000" w:themeColor="text1"/>
        </w:rPr>
        <w:t xml:space="preserve"> </w:t>
      </w:r>
      <w:r w:rsidR="00CC6B2C" w:rsidRPr="00C17E32">
        <w:rPr>
          <w:rFonts w:cs="Arial"/>
          <w:color w:val="000000" w:themeColor="text1"/>
        </w:rPr>
        <w:t xml:space="preserve">it is notable that the current proposals do not </w:t>
      </w:r>
      <w:r w:rsidR="001D2C35">
        <w:rPr>
          <w:rFonts w:cs="Arial"/>
          <w:color w:val="000000" w:themeColor="text1"/>
        </w:rPr>
        <w:t xml:space="preserve">specifically </w:t>
      </w:r>
      <w:r w:rsidR="00CC6B2C" w:rsidRPr="00C17E32">
        <w:rPr>
          <w:rFonts w:cs="Arial"/>
          <w:color w:val="000000" w:themeColor="text1"/>
        </w:rPr>
        <w:t xml:space="preserve">outline the procedures for addressing complaints or concerns with school uniform policies. This </w:t>
      </w:r>
      <w:r w:rsidR="00CC6B2C">
        <w:rPr>
          <w:rFonts w:cs="Arial"/>
          <w:color w:val="000000" w:themeColor="text1"/>
        </w:rPr>
        <w:t xml:space="preserve">should </w:t>
      </w:r>
      <w:r w:rsidR="00CC6B2C" w:rsidRPr="00C17E32">
        <w:rPr>
          <w:rFonts w:cs="Arial"/>
          <w:color w:val="000000" w:themeColor="text1"/>
        </w:rPr>
        <w:t>include complaints from pupils, parents, members of staff, governors, members of the local community</w:t>
      </w:r>
      <w:r w:rsidR="00CC6B2C">
        <w:t>. Both the UK Government and the Welsh Government highlight processes for lodging and resolving disputes about school uniforms, including specific considerations for school uniform suppliers.</w:t>
      </w:r>
      <w:r w:rsidR="00CC6B2C">
        <w:rPr>
          <w:rStyle w:val="FootnoteReference"/>
        </w:rPr>
        <w:footnoteReference w:id="31"/>
      </w:r>
    </w:p>
    <w:p w14:paraId="7E527570" w14:textId="77777777" w:rsidR="0036508B" w:rsidRPr="001D2C35" w:rsidRDefault="0036508B" w:rsidP="001D2C35">
      <w:pPr>
        <w:rPr>
          <w:rFonts w:eastAsia="Verdana"/>
          <w:b/>
        </w:rPr>
      </w:pPr>
    </w:p>
    <w:p w14:paraId="4FE86057" w14:textId="2FB69315" w:rsidR="00140822" w:rsidRPr="008A74E1" w:rsidRDefault="0036508B" w:rsidP="00080B26">
      <w:pPr>
        <w:pStyle w:val="ListParagraph"/>
        <w:numPr>
          <w:ilvl w:val="1"/>
          <w:numId w:val="3"/>
        </w:numPr>
      </w:pPr>
      <w:r w:rsidRPr="00273AD7">
        <w:rPr>
          <w:rFonts w:eastAsia="Verdana"/>
          <w:b/>
        </w:rPr>
        <w:t>The NIHRC recommends that</w:t>
      </w:r>
      <w:r w:rsidR="004B6B4B" w:rsidRPr="00273AD7">
        <w:rPr>
          <w:b/>
          <w:bCs/>
        </w:rPr>
        <w:t xml:space="preserve"> the Department of Education adopts a human </w:t>
      </w:r>
      <w:proofErr w:type="gramStart"/>
      <w:r w:rsidR="004B6B4B" w:rsidRPr="00273AD7">
        <w:rPr>
          <w:b/>
          <w:bCs/>
        </w:rPr>
        <w:t>rights</w:t>
      </w:r>
      <w:r w:rsidR="00637CA9">
        <w:rPr>
          <w:b/>
          <w:bCs/>
        </w:rPr>
        <w:t xml:space="preserve"> </w:t>
      </w:r>
      <w:r w:rsidR="004B6B4B" w:rsidRPr="00273AD7">
        <w:rPr>
          <w:b/>
          <w:bCs/>
        </w:rPr>
        <w:t>based</w:t>
      </w:r>
      <w:proofErr w:type="gramEnd"/>
      <w:r w:rsidR="004B6B4B" w:rsidRPr="00273AD7">
        <w:rPr>
          <w:b/>
          <w:bCs/>
        </w:rPr>
        <w:t xml:space="preserve"> approach to the development, implementation and monitoring of </w:t>
      </w:r>
      <w:r w:rsidRPr="00273AD7">
        <w:rPr>
          <w:rFonts w:eastAsia="Verdana"/>
          <w:b/>
        </w:rPr>
        <w:t xml:space="preserve">the </w:t>
      </w:r>
      <w:r w:rsidR="00C858D2" w:rsidRPr="00273AD7">
        <w:rPr>
          <w:rFonts w:eastAsia="Verdana"/>
          <w:b/>
        </w:rPr>
        <w:t>updated statutory</w:t>
      </w:r>
      <w:r w:rsidR="004B6B4B" w:rsidRPr="00273AD7">
        <w:rPr>
          <w:rFonts w:eastAsia="Verdana"/>
          <w:b/>
        </w:rPr>
        <w:t xml:space="preserve"> guidance</w:t>
      </w:r>
      <w:r w:rsidRPr="00273AD7">
        <w:rPr>
          <w:rFonts w:eastAsia="Verdana"/>
          <w:b/>
        </w:rPr>
        <w:t xml:space="preserve">. </w:t>
      </w:r>
      <w:r w:rsidR="00595F13">
        <w:rPr>
          <w:rFonts w:eastAsia="Verdana"/>
          <w:b/>
        </w:rPr>
        <w:t xml:space="preserve">The full range of internationally accepted human rights standards should be </w:t>
      </w:r>
      <w:r w:rsidRPr="00273AD7">
        <w:rPr>
          <w:rFonts w:eastAsia="Verdana"/>
          <w:b/>
        </w:rPr>
        <w:t xml:space="preserve">clearly referenced throughout the policy, including </w:t>
      </w:r>
      <w:r w:rsidR="00725E1A" w:rsidRPr="00273AD7">
        <w:rPr>
          <w:rFonts w:eastAsia="Verdana"/>
          <w:b/>
        </w:rPr>
        <w:t xml:space="preserve">cross-reference </w:t>
      </w:r>
      <w:r w:rsidR="00595F13">
        <w:rPr>
          <w:rFonts w:eastAsia="Verdana"/>
          <w:b/>
        </w:rPr>
        <w:t>the</w:t>
      </w:r>
      <w:r w:rsidR="00595F13" w:rsidRPr="00273AD7">
        <w:rPr>
          <w:rFonts w:eastAsia="Verdana"/>
          <w:b/>
        </w:rPr>
        <w:t xml:space="preserve"> right to education </w:t>
      </w:r>
      <w:r w:rsidR="00595F13">
        <w:rPr>
          <w:rFonts w:eastAsia="Verdana"/>
          <w:b/>
        </w:rPr>
        <w:t>and</w:t>
      </w:r>
      <w:r w:rsidR="00725E1A" w:rsidRPr="00273AD7">
        <w:rPr>
          <w:rFonts w:eastAsia="Verdana"/>
          <w:b/>
        </w:rPr>
        <w:t xml:space="preserve"> </w:t>
      </w:r>
      <w:r w:rsidRPr="00273AD7">
        <w:rPr>
          <w:rFonts w:eastAsia="Verdana"/>
          <w:b/>
        </w:rPr>
        <w:t>the principles of availability, accessibility, acceptability and adaptability</w:t>
      </w:r>
      <w:r w:rsidR="00725E1A" w:rsidRPr="00273AD7">
        <w:rPr>
          <w:rFonts w:eastAsia="Verdana"/>
          <w:b/>
        </w:rPr>
        <w:t xml:space="preserve"> where appropriate.</w:t>
      </w:r>
      <w:r w:rsidR="00A21472" w:rsidRPr="00273AD7">
        <w:rPr>
          <w:rFonts w:eastAsia="Verdana"/>
          <w:b/>
        </w:rPr>
        <w:t xml:space="preserve"> </w:t>
      </w:r>
    </w:p>
    <w:p w14:paraId="1491E8C9" w14:textId="77777777" w:rsidR="008A74E1" w:rsidRDefault="008A74E1" w:rsidP="008A74E1"/>
    <w:p w14:paraId="58A7CC9E" w14:textId="2C4C842E" w:rsidR="00140822" w:rsidRDefault="00140822" w:rsidP="005E72FF">
      <w:pPr>
        <w:pStyle w:val="Heading2"/>
      </w:pPr>
      <w:bookmarkStart w:id="5" w:name="_Toc178255668"/>
      <w:r>
        <w:t>Best interests of the child</w:t>
      </w:r>
      <w:bookmarkEnd w:id="5"/>
    </w:p>
    <w:p w14:paraId="3861B7B2" w14:textId="5CB7714A" w:rsidR="00140822" w:rsidRDefault="00140822" w:rsidP="00080B26">
      <w:pPr>
        <w:pStyle w:val="ListParagraph"/>
        <w:numPr>
          <w:ilvl w:val="1"/>
          <w:numId w:val="3"/>
        </w:numPr>
      </w:pPr>
      <w:r>
        <w:t>The UN CRC states that the best interests of the child should be a primary consideration:</w:t>
      </w:r>
    </w:p>
    <w:p w14:paraId="17D0E987" w14:textId="77777777" w:rsidR="00140822" w:rsidRDefault="00140822" w:rsidP="00140822">
      <w:pPr>
        <w:pStyle w:val="ListParagraph"/>
      </w:pPr>
    </w:p>
    <w:p w14:paraId="449BACEB" w14:textId="48E20705" w:rsidR="00140822" w:rsidRDefault="00140822" w:rsidP="00140822">
      <w:pPr>
        <w:pStyle w:val="ListParagraph"/>
        <w:ind w:left="851"/>
      </w:pPr>
      <w:r>
        <w:t xml:space="preserve">in all actions concerning children, whether undertaken by public or private social welfare institutions, courts of law, administrative authorities or </w:t>
      </w:r>
      <w:r>
        <w:lastRenderedPageBreak/>
        <w:t>legislative bodies, the best interests of the child shall be a primary consideration.</w:t>
      </w:r>
      <w:r>
        <w:rPr>
          <w:rStyle w:val="FootnoteReference"/>
        </w:rPr>
        <w:footnoteReference w:id="32"/>
      </w:r>
    </w:p>
    <w:p w14:paraId="23459B26" w14:textId="77777777" w:rsidR="00140822" w:rsidRDefault="00140822" w:rsidP="00140822">
      <w:pPr>
        <w:pStyle w:val="ListParagraph"/>
      </w:pPr>
    </w:p>
    <w:p w14:paraId="405DCA3C" w14:textId="2C773EAC" w:rsidR="00140822" w:rsidRDefault="00140822" w:rsidP="00080B26">
      <w:pPr>
        <w:pStyle w:val="ListParagraph"/>
        <w:numPr>
          <w:ilvl w:val="1"/>
          <w:numId w:val="3"/>
        </w:numPr>
      </w:pPr>
      <w:r>
        <w:t>Specific to education, it is in the best interests of the child “to have access to quality education, including early childhood education, non-formal or informal education and related activities, free of charge”.</w:t>
      </w:r>
      <w:r>
        <w:rPr>
          <w:rStyle w:val="FootnoteReference"/>
        </w:rPr>
        <w:footnoteReference w:id="33"/>
      </w:r>
    </w:p>
    <w:p w14:paraId="1BED3271" w14:textId="77777777" w:rsidR="00A75107" w:rsidRDefault="00A75107" w:rsidP="00A75107">
      <w:pPr>
        <w:pStyle w:val="ListParagraph"/>
      </w:pPr>
    </w:p>
    <w:p w14:paraId="5917476B" w14:textId="4D9183E6" w:rsidR="00173C4F" w:rsidRDefault="00140822" w:rsidP="00080B26">
      <w:pPr>
        <w:pStyle w:val="ListParagraph"/>
        <w:numPr>
          <w:ilvl w:val="1"/>
          <w:numId w:val="3"/>
        </w:numPr>
        <w:rPr>
          <w:b/>
          <w:bCs/>
        </w:rPr>
      </w:pPr>
      <w:r w:rsidRPr="00493DE0">
        <w:rPr>
          <w:b/>
          <w:bCs/>
        </w:rPr>
        <w:t xml:space="preserve">The NIHRC recommends that the </w:t>
      </w:r>
      <w:r w:rsidR="00493DE0" w:rsidRPr="00493DE0">
        <w:rPr>
          <w:b/>
          <w:bCs/>
        </w:rPr>
        <w:t xml:space="preserve">revised statutory guidance on school uniforms </w:t>
      </w:r>
      <w:r w:rsidRPr="00493DE0">
        <w:rPr>
          <w:b/>
          <w:bCs/>
        </w:rPr>
        <w:t>makes explicit reference to the ‘best interests</w:t>
      </w:r>
      <w:r w:rsidR="002B163E">
        <w:rPr>
          <w:b/>
          <w:bCs/>
        </w:rPr>
        <w:t xml:space="preserve"> of the child</w:t>
      </w:r>
      <w:r w:rsidRPr="00493DE0">
        <w:rPr>
          <w:b/>
          <w:bCs/>
        </w:rPr>
        <w:t>’ principle.</w:t>
      </w:r>
    </w:p>
    <w:p w14:paraId="6D1BB20E" w14:textId="77777777" w:rsidR="00173C4F" w:rsidRPr="00173C4F" w:rsidRDefault="00173C4F" w:rsidP="00173C4F">
      <w:pPr>
        <w:pStyle w:val="ListParagraph"/>
        <w:rPr>
          <w:rFonts w:cs="Arial"/>
          <w:color w:val="000000" w:themeColor="text1"/>
        </w:rPr>
      </w:pPr>
    </w:p>
    <w:p w14:paraId="6F7C0C24" w14:textId="35B4FD2B" w:rsidR="00173C4F" w:rsidRPr="00173C4F" w:rsidRDefault="00173C4F" w:rsidP="00080B26">
      <w:pPr>
        <w:pStyle w:val="ListParagraph"/>
        <w:numPr>
          <w:ilvl w:val="1"/>
          <w:numId w:val="3"/>
        </w:numPr>
        <w:rPr>
          <w:b/>
          <w:bCs/>
        </w:rPr>
      </w:pPr>
      <w:r>
        <w:rPr>
          <w:rFonts w:cs="Arial"/>
          <w:color w:val="000000" w:themeColor="text1"/>
        </w:rPr>
        <w:t>T</w:t>
      </w:r>
      <w:r w:rsidRPr="00173C4F">
        <w:rPr>
          <w:rFonts w:cs="Arial"/>
          <w:color w:val="000000" w:themeColor="text1"/>
        </w:rPr>
        <w:t>he NIHRC welcomes the proposals to strengthen schools’ commitment to engaging with pupils and parents, and to publishing the details of any consultation.</w:t>
      </w:r>
      <w:r>
        <w:rPr>
          <w:rStyle w:val="FootnoteReference"/>
          <w:rFonts w:cs="Arial"/>
          <w:color w:val="000000" w:themeColor="text1"/>
        </w:rPr>
        <w:footnoteReference w:id="34"/>
      </w:r>
      <w:r w:rsidRPr="00173C4F">
        <w:rPr>
          <w:rFonts w:cs="Arial"/>
          <w:color w:val="000000" w:themeColor="text1"/>
        </w:rPr>
        <w:t xml:space="preserve"> This is consistent with </w:t>
      </w:r>
      <w:r>
        <w:rPr>
          <w:rFonts w:cs="Arial"/>
          <w:color w:val="000000" w:themeColor="text1"/>
        </w:rPr>
        <w:t xml:space="preserve">the best </w:t>
      </w:r>
      <w:proofErr w:type="gramStart"/>
      <w:r>
        <w:rPr>
          <w:rFonts w:cs="Arial"/>
          <w:color w:val="000000" w:themeColor="text1"/>
        </w:rPr>
        <w:t>interests</w:t>
      </w:r>
      <w:proofErr w:type="gramEnd"/>
      <w:r w:rsidRPr="00173C4F">
        <w:rPr>
          <w:rFonts w:cs="Arial"/>
          <w:color w:val="000000" w:themeColor="text1"/>
        </w:rPr>
        <w:t xml:space="preserve"> principle and Article 12 of the UN CRC, which recognises respect for the views of the child as a fundamental right. However, the NIHRC would encourage the Department of Education to consider “the evolving capacities of children and young people” within the statutory guidance, to ensure “their views being given due weight in accordance with their age and maturity”.</w:t>
      </w:r>
      <w:r>
        <w:rPr>
          <w:rStyle w:val="FootnoteReference"/>
          <w:rFonts w:cs="Arial"/>
          <w:color w:val="000000" w:themeColor="text1"/>
        </w:rPr>
        <w:footnoteReference w:id="35"/>
      </w:r>
      <w:r w:rsidRPr="00173C4F">
        <w:rPr>
          <w:rFonts w:cs="Arial"/>
          <w:color w:val="000000" w:themeColor="text1"/>
        </w:rPr>
        <w:t xml:space="preserve"> This approach is recommended by both UN and </w:t>
      </w:r>
      <w:proofErr w:type="spellStart"/>
      <w:r w:rsidRPr="00173C4F">
        <w:rPr>
          <w:rFonts w:cs="Arial"/>
          <w:color w:val="000000" w:themeColor="text1"/>
        </w:rPr>
        <w:t>CoE</w:t>
      </w:r>
      <w:proofErr w:type="spellEnd"/>
      <w:r w:rsidRPr="00173C4F">
        <w:rPr>
          <w:rFonts w:cs="Arial"/>
          <w:color w:val="000000" w:themeColor="text1"/>
        </w:rPr>
        <w:t xml:space="preserve"> human rights treaty bodies that advise that children are entitled to an increasing level of responsibility for the regulation of matters affecting them. To understand how this intersects with the right of parents or carers to provide direction and guidance on matters affecting their child, the UN CRC Committee advises</w:t>
      </w:r>
      <w:r w:rsidR="2EE13F6D" w:rsidRPr="00173C4F">
        <w:rPr>
          <w:rFonts w:cs="Arial"/>
          <w:color w:val="000000" w:themeColor="text1"/>
        </w:rPr>
        <w:t>:</w:t>
      </w:r>
      <w:r w:rsidRPr="00173C4F">
        <w:rPr>
          <w:rFonts w:cs="Arial"/>
          <w:color w:val="000000" w:themeColor="text1"/>
        </w:rPr>
        <w:t xml:space="preserve"> </w:t>
      </w:r>
    </w:p>
    <w:p w14:paraId="04EAAE1A" w14:textId="77777777" w:rsidR="00173C4F" w:rsidRPr="00DE548A" w:rsidRDefault="00173C4F" w:rsidP="00173C4F">
      <w:pPr>
        <w:pStyle w:val="ListParagraph"/>
        <w:rPr>
          <w:rFonts w:cs="Arial"/>
          <w:color w:val="000000" w:themeColor="text1"/>
        </w:rPr>
      </w:pPr>
    </w:p>
    <w:p w14:paraId="3A25DA03" w14:textId="77777777" w:rsidR="00173C4F" w:rsidRDefault="00173C4F" w:rsidP="00173C4F">
      <w:pPr>
        <w:pStyle w:val="ListParagraph"/>
        <w:suppressAutoHyphens/>
        <w:ind w:left="851"/>
        <w:rPr>
          <w:rFonts w:cs="Arial"/>
          <w:color w:val="000000" w:themeColor="text1"/>
        </w:rPr>
      </w:pPr>
      <w:r w:rsidRPr="00DE548A">
        <w:rPr>
          <w:rFonts w:cs="Arial"/>
          <w:color w:val="000000" w:themeColor="text1"/>
        </w:rPr>
        <w:t xml:space="preserve">The more the child himself or herself knows, has experienced and understands, the more the parent, legal guardian or other persons legally responsible for the child </w:t>
      </w:r>
      <w:proofErr w:type="gramStart"/>
      <w:r w:rsidRPr="00DE548A">
        <w:rPr>
          <w:rFonts w:cs="Arial"/>
          <w:color w:val="000000" w:themeColor="text1"/>
        </w:rPr>
        <w:t>have to</w:t>
      </w:r>
      <w:proofErr w:type="gramEnd"/>
      <w:r w:rsidRPr="00DE548A">
        <w:rPr>
          <w:rFonts w:cs="Arial"/>
          <w:color w:val="000000" w:themeColor="text1"/>
        </w:rPr>
        <w:t xml:space="preserve"> transform direction and guidance into reminders and advice and later to an exchange on an equal footing. This transformation will not take place at a fixed point in a child’s </w:t>
      </w:r>
      <w:proofErr w:type="gramStart"/>
      <w:r w:rsidRPr="00DE548A">
        <w:rPr>
          <w:rFonts w:cs="Arial"/>
          <w:color w:val="000000" w:themeColor="text1"/>
        </w:rPr>
        <w:lastRenderedPageBreak/>
        <w:t>development, but</w:t>
      </w:r>
      <w:proofErr w:type="gramEnd"/>
      <w:r w:rsidRPr="00DE548A">
        <w:rPr>
          <w:rFonts w:cs="Arial"/>
          <w:color w:val="000000" w:themeColor="text1"/>
        </w:rPr>
        <w:t xml:space="preserve"> will steadily increase as the child is encouraged to contribute her or his views.</w:t>
      </w:r>
      <w:r>
        <w:rPr>
          <w:rStyle w:val="FootnoteReference"/>
          <w:rFonts w:cs="Arial"/>
          <w:color w:val="000000" w:themeColor="text1"/>
        </w:rPr>
        <w:footnoteReference w:id="36"/>
      </w:r>
    </w:p>
    <w:p w14:paraId="04233521" w14:textId="77777777" w:rsidR="00173C4F" w:rsidRDefault="00173C4F" w:rsidP="00173C4F">
      <w:pPr>
        <w:pStyle w:val="ListParagraph"/>
        <w:suppressAutoHyphens/>
        <w:ind w:left="851"/>
        <w:rPr>
          <w:rFonts w:cs="Arial"/>
          <w:color w:val="000000" w:themeColor="text1"/>
        </w:rPr>
      </w:pPr>
    </w:p>
    <w:p w14:paraId="5BBA1F62" w14:textId="7F196666" w:rsidR="00173C4F" w:rsidRPr="007E4B86" w:rsidRDefault="00173C4F" w:rsidP="00080B26">
      <w:pPr>
        <w:pStyle w:val="ListParagraph"/>
        <w:numPr>
          <w:ilvl w:val="1"/>
          <w:numId w:val="3"/>
        </w:numPr>
        <w:rPr>
          <w:b/>
          <w:bCs/>
        </w:rPr>
      </w:pPr>
      <w:r w:rsidRPr="00493DE0">
        <w:rPr>
          <w:b/>
          <w:bCs/>
        </w:rPr>
        <w:t xml:space="preserve">The NIHRC recommends that the revised statutory guidance on school uniforms makes explicit reference to the </w:t>
      </w:r>
      <w:r w:rsidRPr="00173C4F">
        <w:rPr>
          <w:rFonts w:cs="Arial"/>
          <w:b/>
          <w:bCs/>
          <w:color w:val="000000" w:themeColor="text1"/>
        </w:rPr>
        <w:t>evolving capacit</w:t>
      </w:r>
      <w:r w:rsidR="002B163E">
        <w:rPr>
          <w:rFonts w:cs="Arial"/>
          <w:b/>
          <w:bCs/>
          <w:color w:val="000000" w:themeColor="text1"/>
        </w:rPr>
        <w:t>y</w:t>
      </w:r>
      <w:r w:rsidRPr="00173C4F">
        <w:rPr>
          <w:rFonts w:cs="Arial"/>
          <w:b/>
          <w:bCs/>
          <w:color w:val="000000" w:themeColor="text1"/>
        </w:rPr>
        <w:t xml:space="preserve"> of children and young people to ensure their views</w:t>
      </w:r>
      <w:r w:rsidR="007E4B86">
        <w:rPr>
          <w:rFonts w:cs="Arial"/>
          <w:b/>
          <w:bCs/>
          <w:color w:val="000000" w:themeColor="text1"/>
        </w:rPr>
        <w:t xml:space="preserve"> on school uniform policy are given</w:t>
      </w:r>
      <w:r w:rsidRPr="00173C4F">
        <w:rPr>
          <w:rFonts w:cs="Arial"/>
          <w:b/>
          <w:bCs/>
          <w:color w:val="000000" w:themeColor="text1"/>
        </w:rPr>
        <w:t xml:space="preserve"> due weight in accordance with their age and maturity</w:t>
      </w:r>
      <w:r w:rsidR="007E4B86">
        <w:rPr>
          <w:b/>
          <w:bCs/>
        </w:rPr>
        <w:t xml:space="preserve">. </w:t>
      </w:r>
    </w:p>
    <w:p w14:paraId="5D286BE4" w14:textId="77777777" w:rsidR="0014467D" w:rsidRPr="0014467D" w:rsidRDefault="0014467D" w:rsidP="0014467D">
      <w:pPr>
        <w:pStyle w:val="ListParagraph"/>
        <w:rPr>
          <w:b/>
          <w:bCs/>
        </w:rPr>
      </w:pPr>
    </w:p>
    <w:p w14:paraId="2D6CFA1C" w14:textId="3974E789" w:rsidR="00300F22" w:rsidRPr="007519F2" w:rsidRDefault="0014467D" w:rsidP="007519F2">
      <w:pPr>
        <w:pStyle w:val="Heading2"/>
      </w:pPr>
      <w:bookmarkStart w:id="6" w:name="_Toc178255669"/>
      <w:r>
        <w:t>Non-discrimination</w:t>
      </w:r>
      <w:bookmarkEnd w:id="6"/>
      <w:r>
        <w:t xml:space="preserve"> </w:t>
      </w:r>
    </w:p>
    <w:p w14:paraId="0A24999B" w14:textId="4C5B0580" w:rsidR="002A2F4A" w:rsidRPr="002A2F4A" w:rsidRDefault="00636C0F" w:rsidP="00080B26">
      <w:pPr>
        <w:pStyle w:val="ListParagraph"/>
        <w:numPr>
          <w:ilvl w:val="1"/>
          <w:numId w:val="3"/>
        </w:numPr>
      </w:pPr>
      <w:r>
        <w:rPr>
          <w:rFonts w:eastAsia="Verdana"/>
        </w:rPr>
        <w:t xml:space="preserve">The ECHR, Article 14, requires that the enjoyment of ECHR rights, including the right to education, is upheld without discrimination. </w:t>
      </w:r>
      <w:r w:rsidR="00542928">
        <w:rPr>
          <w:rFonts w:eastAsia="Verdana"/>
        </w:rPr>
        <w:t>This is not a stand-alone right and must be asserted in conjunction with another right that is within the ambit of the ECHR.</w:t>
      </w:r>
      <w:r w:rsidR="00A77889">
        <w:rPr>
          <w:rFonts w:eastAsia="Verdana"/>
        </w:rPr>
        <w:t xml:space="preserve"> Article 14</w:t>
      </w:r>
      <w:r w:rsidR="008E65AB">
        <w:rPr>
          <w:rFonts w:eastAsia="Verdana"/>
        </w:rPr>
        <w:t xml:space="preserve"> </w:t>
      </w:r>
      <w:r w:rsidR="008E65AB" w:rsidRPr="00FA66EF">
        <w:rPr>
          <w:rFonts w:cs="Segoe UI"/>
          <w:lang w:eastAsia="en-GB"/>
        </w:rPr>
        <w:t xml:space="preserve">guarantees that “the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 </w:t>
      </w:r>
      <w:r w:rsidR="002A2F4A" w:rsidRPr="002A2F4A">
        <w:rPr>
          <w:rFonts w:cs="Segoe UI"/>
          <w:lang w:eastAsia="en-GB"/>
        </w:rPr>
        <w:t>The ECtHR has generally given the words “other status” a wide meaning, to include grounds such as age, gender identity, sexual orientation, health and disability, among others.</w:t>
      </w:r>
      <w:r w:rsidR="002A2F4A">
        <w:rPr>
          <w:rStyle w:val="FootnoteReference"/>
          <w:rFonts w:cs="Segoe UI"/>
          <w:lang w:eastAsia="en-GB"/>
        </w:rPr>
        <w:footnoteReference w:id="37"/>
      </w:r>
      <w:r w:rsidR="002A2F4A" w:rsidRPr="002A2F4A">
        <w:rPr>
          <w:rFonts w:cs="Segoe UI"/>
          <w:lang w:eastAsia="en-GB"/>
        </w:rPr>
        <w:t xml:space="preserve"> </w:t>
      </w:r>
    </w:p>
    <w:p w14:paraId="65ECE94F" w14:textId="77777777" w:rsidR="00AC0470" w:rsidRPr="00AC0470" w:rsidRDefault="00AC0470" w:rsidP="00DD7C1B"/>
    <w:p w14:paraId="4546764E" w14:textId="071434C3" w:rsidR="00F13102" w:rsidRPr="004971F4" w:rsidRDefault="00636C0F" w:rsidP="00080B26">
      <w:pPr>
        <w:pStyle w:val="ListParagraph"/>
        <w:numPr>
          <w:ilvl w:val="1"/>
          <w:numId w:val="3"/>
        </w:numPr>
      </w:pPr>
      <w:r w:rsidRPr="004971F4">
        <w:rPr>
          <w:rFonts w:eastAsia="Verdana"/>
        </w:rPr>
        <w:t>The right to freedom from discrimination is</w:t>
      </w:r>
      <w:r w:rsidR="004328FA" w:rsidRPr="004971F4">
        <w:rPr>
          <w:rFonts w:eastAsia="Verdana"/>
        </w:rPr>
        <w:t xml:space="preserve"> also </w:t>
      </w:r>
      <w:r w:rsidRPr="004971F4">
        <w:rPr>
          <w:rFonts w:eastAsia="Verdana"/>
        </w:rPr>
        <w:t>provided for within UN ICESCR, Article 2</w:t>
      </w:r>
      <w:r w:rsidR="00A77C76">
        <w:rPr>
          <w:rFonts w:eastAsia="Verdana"/>
        </w:rPr>
        <w:t>; UN CRPD,</w:t>
      </w:r>
      <w:r w:rsidR="00CC0A76" w:rsidRPr="00CC0A76">
        <w:rPr>
          <w:rFonts w:eastAsia="Verdana"/>
        </w:rPr>
        <w:t xml:space="preserve"> </w:t>
      </w:r>
      <w:r w:rsidR="00CC0A76">
        <w:rPr>
          <w:rFonts w:eastAsia="Verdana"/>
        </w:rPr>
        <w:t>Article 5;</w:t>
      </w:r>
      <w:r w:rsidR="007A5526">
        <w:rPr>
          <w:rFonts w:eastAsia="Verdana"/>
        </w:rPr>
        <w:t xml:space="preserve"> </w:t>
      </w:r>
      <w:r w:rsidR="00A77C76">
        <w:rPr>
          <w:rFonts w:eastAsia="Verdana"/>
        </w:rPr>
        <w:t>UN CERD</w:t>
      </w:r>
      <w:r w:rsidR="00CC0A76">
        <w:rPr>
          <w:rFonts w:eastAsia="Verdana"/>
        </w:rPr>
        <w:t>, Article 5</w:t>
      </w:r>
      <w:r w:rsidR="00222362">
        <w:rPr>
          <w:rFonts w:eastAsia="Verdana"/>
        </w:rPr>
        <w:t>, and UN CEDAW Article 10.</w:t>
      </w:r>
    </w:p>
    <w:p w14:paraId="5CFFA64E" w14:textId="77777777" w:rsidR="000D6924" w:rsidRPr="004971F4" w:rsidRDefault="000D6924" w:rsidP="000D6924">
      <w:pPr>
        <w:pStyle w:val="ListParagraph"/>
      </w:pPr>
    </w:p>
    <w:p w14:paraId="077FE940" w14:textId="35371567" w:rsidR="008311E7" w:rsidRPr="004971F4" w:rsidRDefault="00836D5E" w:rsidP="00080B26">
      <w:pPr>
        <w:pStyle w:val="ListParagraph"/>
        <w:numPr>
          <w:ilvl w:val="1"/>
          <w:numId w:val="3"/>
        </w:numPr>
      </w:pPr>
      <w:r w:rsidRPr="004971F4">
        <w:rPr>
          <w:rFonts w:eastAsia="Verdana" w:cs="Verdana"/>
          <w:color w:val="000000"/>
        </w:rPr>
        <w:t>The UN ICESCR Committee recommends that States take “concrete, deliberate and targeted measures” to eliminate direct and indirect discrimination in the implementation of</w:t>
      </w:r>
      <w:r w:rsidR="00EC2D0F">
        <w:rPr>
          <w:rFonts w:eastAsia="Verdana" w:cs="Verdana"/>
          <w:color w:val="000000"/>
        </w:rPr>
        <w:t xml:space="preserve"> all</w:t>
      </w:r>
      <w:r w:rsidRPr="004971F4">
        <w:rPr>
          <w:rFonts w:eastAsia="Verdana" w:cs="Verdana"/>
          <w:color w:val="000000"/>
        </w:rPr>
        <w:t xml:space="preserve"> </w:t>
      </w:r>
      <w:r w:rsidRPr="004971F4">
        <w:t>economic, social and cultural rights, including</w:t>
      </w:r>
      <w:r w:rsidRPr="004971F4">
        <w:rPr>
          <w:rFonts w:eastAsia="Verdana" w:cs="Verdana"/>
          <w:color w:val="000000"/>
        </w:rPr>
        <w:t xml:space="preserve"> the right to education.</w:t>
      </w:r>
      <w:r w:rsidRPr="004971F4">
        <w:rPr>
          <w:rStyle w:val="FootnoteReference"/>
          <w:rFonts w:eastAsia="Verdana" w:cs="Verdana"/>
          <w:color w:val="000000"/>
        </w:rPr>
        <w:footnoteReference w:id="38"/>
      </w:r>
      <w:r w:rsidRPr="004971F4">
        <w:t xml:space="preserve"> T</w:t>
      </w:r>
      <w:r w:rsidR="00274339" w:rsidRPr="004971F4">
        <w:t xml:space="preserve">he </w:t>
      </w:r>
      <w:r w:rsidR="000D6924" w:rsidRPr="004971F4">
        <w:t xml:space="preserve">UN ICESCR Committee </w:t>
      </w:r>
      <w:r w:rsidR="006954D7" w:rsidRPr="004971F4">
        <w:t xml:space="preserve">lists a </w:t>
      </w:r>
      <w:r w:rsidR="006954D7" w:rsidRPr="004971F4">
        <w:lastRenderedPageBreak/>
        <w:t xml:space="preserve">number of grounds, such as disability, age, health status or sexual orientation under ‘other </w:t>
      </w:r>
      <w:proofErr w:type="gramStart"/>
      <w:r w:rsidR="006954D7" w:rsidRPr="004971F4">
        <w:t>status’</w:t>
      </w:r>
      <w:proofErr w:type="gramEnd"/>
      <w:r w:rsidR="006954D7" w:rsidRPr="004971F4">
        <w:t>, and states:</w:t>
      </w:r>
    </w:p>
    <w:p w14:paraId="5123F98A" w14:textId="77777777" w:rsidR="008311E7" w:rsidRPr="008311E7" w:rsidRDefault="008311E7" w:rsidP="008311E7">
      <w:pPr>
        <w:pStyle w:val="ListParagraph"/>
      </w:pPr>
    </w:p>
    <w:p w14:paraId="5F186445" w14:textId="3E64442B" w:rsidR="000D6924" w:rsidRPr="008311E7" w:rsidRDefault="000D6924" w:rsidP="008311E7">
      <w:pPr>
        <w:pStyle w:val="ListParagraph"/>
        <w:tabs>
          <w:tab w:val="left" w:pos="851"/>
        </w:tabs>
        <w:ind w:left="851"/>
      </w:pPr>
      <w:r w:rsidRPr="008311E7">
        <w:t>individuals and groups of individuals must not be arbitrarily treated on account of belonging to a certain economic or social group or strata within society. A person’s social and economic situation when living in poverty or being homeless may result in pervasive discrimination, stigmatization and negative stereotyping which can lead to the refusal of, or unequal access to, the same quality of education and health care as others, as well as the denial of or unequal access to public places.</w:t>
      </w:r>
      <w:r w:rsidR="009255EC">
        <w:rPr>
          <w:rStyle w:val="FootnoteReference"/>
        </w:rPr>
        <w:footnoteReference w:id="39"/>
      </w:r>
    </w:p>
    <w:p w14:paraId="089089E5" w14:textId="77777777" w:rsidR="007960D6" w:rsidRPr="00807F86" w:rsidRDefault="007960D6" w:rsidP="00807F86">
      <w:pPr>
        <w:rPr>
          <w:rFonts w:cs="Arial"/>
          <w:color w:val="000000" w:themeColor="text1"/>
        </w:rPr>
      </w:pPr>
    </w:p>
    <w:p w14:paraId="1A86C087" w14:textId="2D62EA64" w:rsidR="006C2940" w:rsidRDefault="00B345DF" w:rsidP="00080B26">
      <w:pPr>
        <w:pStyle w:val="ListParagraph"/>
        <w:numPr>
          <w:ilvl w:val="1"/>
          <w:numId w:val="3"/>
        </w:numPr>
      </w:pPr>
      <w:proofErr w:type="gramStart"/>
      <w:r>
        <w:t>A</w:t>
      </w:r>
      <w:r w:rsidR="006C2940" w:rsidRPr="00C93F49">
        <w:t xml:space="preserve"> number of</w:t>
      </w:r>
      <w:proofErr w:type="gramEnd"/>
      <w:r w:rsidR="00EB3756">
        <w:t xml:space="preserve"> other</w:t>
      </w:r>
      <w:r w:rsidR="006C2940" w:rsidRPr="00C93F49">
        <w:t xml:space="preserve"> UN Committees have </w:t>
      </w:r>
      <w:r>
        <w:t xml:space="preserve">also </w:t>
      </w:r>
      <w:r w:rsidR="006C2940" w:rsidRPr="00C93F49">
        <w:t xml:space="preserve">called for the adoption of special </w:t>
      </w:r>
      <w:r w:rsidR="006C2940">
        <w:t xml:space="preserve">and/or targeted </w:t>
      </w:r>
      <w:r w:rsidR="006C2940" w:rsidRPr="00C93F49">
        <w:t>measures as a means to address</w:t>
      </w:r>
      <w:r w:rsidR="00BB3419">
        <w:t>ing</w:t>
      </w:r>
      <w:r w:rsidR="006C2940" w:rsidRPr="00C93F49">
        <w:t xml:space="preserve"> </w:t>
      </w:r>
      <w:r w:rsidR="007F1BD6">
        <w:t>discrimination, including in education</w:t>
      </w:r>
      <w:r w:rsidR="006C2940" w:rsidRPr="00C93F49">
        <w:t>.</w:t>
      </w:r>
      <w:r w:rsidR="006C2940">
        <w:rPr>
          <w:rStyle w:val="FootnoteReference"/>
        </w:rPr>
        <w:footnoteReference w:id="40"/>
      </w:r>
      <w:r w:rsidR="007F1BD6">
        <w:t xml:space="preserve"> </w:t>
      </w:r>
      <w:r w:rsidR="00D44FB2">
        <w:t>In 2023, the UN CRC Committee specifically recommended that the UK Government and NI Executive</w:t>
      </w:r>
      <w:r w:rsidR="004166F6">
        <w:t xml:space="preserve">, </w:t>
      </w:r>
    </w:p>
    <w:p w14:paraId="07575056" w14:textId="77777777" w:rsidR="00AA20B0" w:rsidRDefault="00AA20B0" w:rsidP="00AA20B0">
      <w:pPr>
        <w:pStyle w:val="ListParagraph"/>
      </w:pPr>
    </w:p>
    <w:p w14:paraId="5964B3EC" w14:textId="3A8A457A" w:rsidR="00AA20B0" w:rsidRPr="00AA20B0" w:rsidRDefault="00AA20B0" w:rsidP="000E6EEB">
      <w:pPr>
        <w:pStyle w:val="ListParagraph"/>
        <w:ind w:left="851"/>
      </w:pPr>
      <w:r>
        <w:t>e</w:t>
      </w:r>
      <w:r w:rsidRPr="00AA20B0">
        <w:t>liminate discrimination against children in disadvantaged situations, including children belonging to ethnic minority groups, asylum-seeking, refugee and migrant children, Roma, gypsy and traveller children, children with disabilities, children in alternative care, children of incarcerated parents, children of unmarried parents, lesbian, gay, bisexual, transgender and intersex children, socioeconomically disadvantaged children and children in the justice system</w:t>
      </w:r>
      <w:r>
        <w:t>.</w:t>
      </w:r>
      <w:r>
        <w:rPr>
          <w:rStyle w:val="FootnoteReference"/>
        </w:rPr>
        <w:footnoteReference w:id="41"/>
      </w:r>
    </w:p>
    <w:p w14:paraId="6F97B950" w14:textId="77777777" w:rsidR="00F9488A" w:rsidRPr="00876DB8" w:rsidRDefault="00F9488A" w:rsidP="00876DB8">
      <w:pPr>
        <w:rPr>
          <w:highlight w:val="yellow"/>
        </w:rPr>
      </w:pPr>
    </w:p>
    <w:p w14:paraId="43098560" w14:textId="7B612060" w:rsidR="006C2940" w:rsidRDefault="006C2940" w:rsidP="00080B26">
      <w:pPr>
        <w:pStyle w:val="ListParagraph"/>
        <w:numPr>
          <w:ilvl w:val="1"/>
          <w:numId w:val="3"/>
        </w:numPr>
      </w:pPr>
      <w:r>
        <w:rPr>
          <w:rFonts w:cs="Arial"/>
          <w:color w:val="000000" w:themeColor="text1"/>
        </w:rPr>
        <w:t xml:space="preserve">The </w:t>
      </w:r>
      <w:r w:rsidR="0041013C">
        <w:rPr>
          <w:rFonts w:cs="Arial"/>
          <w:color w:val="000000" w:themeColor="text1"/>
        </w:rPr>
        <w:t xml:space="preserve">NIHRC notes that </w:t>
      </w:r>
      <w:r w:rsidR="00684ED5">
        <w:rPr>
          <w:rFonts w:cs="Arial"/>
          <w:color w:val="000000" w:themeColor="text1"/>
        </w:rPr>
        <w:t xml:space="preserve">neither </w:t>
      </w:r>
      <w:r w:rsidR="0041013C">
        <w:rPr>
          <w:rFonts w:cs="Arial"/>
          <w:color w:val="000000" w:themeColor="text1"/>
        </w:rPr>
        <w:t xml:space="preserve">the </w:t>
      </w:r>
      <w:r w:rsidR="00F15ADD">
        <w:rPr>
          <w:rFonts w:cs="Arial"/>
          <w:color w:val="000000" w:themeColor="text1"/>
        </w:rPr>
        <w:t>proposals</w:t>
      </w:r>
      <w:r w:rsidR="00684ED5">
        <w:rPr>
          <w:rFonts w:cs="Arial"/>
          <w:color w:val="000000" w:themeColor="text1"/>
        </w:rPr>
        <w:t xml:space="preserve"> or</w:t>
      </w:r>
      <w:r w:rsidR="00F15ADD">
        <w:rPr>
          <w:rFonts w:cs="Arial"/>
          <w:color w:val="000000" w:themeColor="text1"/>
        </w:rPr>
        <w:t xml:space="preserve"> current</w:t>
      </w:r>
      <w:r w:rsidR="00684ED5">
        <w:rPr>
          <w:rFonts w:cs="Arial"/>
          <w:color w:val="000000" w:themeColor="text1"/>
        </w:rPr>
        <w:t xml:space="preserve"> guidance</w:t>
      </w:r>
      <w:r>
        <w:rPr>
          <w:rFonts w:cs="Arial"/>
          <w:color w:val="000000" w:themeColor="text1"/>
        </w:rPr>
        <w:t xml:space="preserve"> highlight the duty on schools and governing bodies to prohibit discrimination under Article 14 ECHR</w:t>
      </w:r>
      <w:r w:rsidR="001C0F97">
        <w:rPr>
          <w:rFonts w:cs="Arial"/>
          <w:color w:val="000000" w:themeColor="text1"/>
        </w:rPr>
        <w:t>, among ot</w:t>
      </w:r>
      <w:r w:rsidR="002534B8">
        <w:rPr>
          <w:rFonts w:cs="Arial"/>
          <w:color w:val="000000" w:themeColor="text1"/>
        </w:rPr>
        <w:t>her international</w:t>
      </w:r>
      <w:r w:rsidR="0041013C">
        <w:rPr>
          <w:rFonts w:cs="Arial"/>
          <w:color w:val="000000" w:themeColor="text1"/>
        </w:rPr>
        <w:t xml:space="preserve"> standards</w:t>
      </w:r>
      <w:r>
        <w:rPr>
          <w:rFonts w:cs="Arial"/>
          <w:color w:val="000000" w:themeColor="text1"/>
        </w:rPr>
        <w:t xml:space="preserve">. </w:t>
      </w:r>
      <w:r w:rsidR="00C278F1">
        <w:rPr>
          <w:rFonts w:cs="Arial"/>
          <w:color w:val="000000" w:themeColor="text1"/>
        </w:rPr>
        <w:t>To ensure consistency with a human rights</w:t>
      </w:r>
      <w:r w:rsidR="76D27DF1" w:rsidRPr="0AC37AC3">
        <w:rPr>
          <w:rFonts w:cs="Arial"/>
          <w:color w:val="000000" w:themeColor="text1"/>
        </w:rPr>
        <w:t>-</w:t>
      </w:r>
      <w:r w:rsidR="00C278F1">
        <w:rPr>
          <w:rFonts w:cs="Arial"/>
          <w:color w:val="000000" w:themeColor="text1"/>
        </w:rPr>
        <w:t>based approach, t</w:t>
      </w:r>
      <w:r>
        <w:rPr>
          <w:rFonts w:cs="Arial"/>
          <w:color w:val="000000" w:themeColor="text1"/>
        </w:rPr>
        <w:t xml:space="preserve">he NIHRC reiterates the importance of ensuring that schools and governing bodies are sufficiently </w:t>
      </w:r>
      <w:r w:rsidR="00282920">
        <w:rPr>
          <w:rFonts w:cs="Arial"/>
          <w:color w:val="000000" w:themeColor="text1"/>
        </w:rPr>
        <w:lastRenderedPageBreak/>
        <w:t>aware of</w:t>
      </w:r>
      <w:r w:rsidR="0043636B">
        <w:rPr>
          <w:rFonts w:cs="Arial"/>
          <w:color w:val="000000" w:themeColor="text1"/>
        </w:rPr>
        <w:t xml:space="preserve"> their </w:t>
      </w:r>
      <w:r w:rsidR="00FF301B">
        <w:rPr>
          <w:rFonts w:cs="Arial"/>
          <w:color w:val="000000" w:themeColor="text1"/>
        </w:rPr>
        <w:t xml:space="preserve">legal </w:t>
      </w:r>
      <w:r w:rsidR="0043636B">
        <w:rPr>
          <w:rFonts w:cs="Arial"/>
          <w:color w:val="000000" w:themeColor="text1"/>
        </w:rPr>
        <w:t>obligations in respect of non-discrimination</w:t>
      </w:r>
      <w:r w:rsidR="00FF301B">
        <w:rPr>
          <w:rFonts w:cs="Arial"/>
          <w:color w:val="000000" w:themeColor="text1"/>
        </w:rPr>
        <w:t xml:space="preserve"> </w:t>
      </w:r>
      <w:r w:rsidR="00913631">
        <w:rPr>
          <w:rFonts w:cs="Arial"/>
          <w:color w:val="000000" w:themeColor="text1"/>
        </w:rPr>
        <w:t>in the</w:t>
      </w:r>
      <w:r w:rsidR="00864CFB">
        <w:rPr>
          <w:rFonts w:cs="Arial"/>
          <w:color w:val="000000" w:themeColor="text1"/>
        </w:rPr>
        <w:t xml:space="preserve"> develop</w:t>
      </w:r>
      <w:r w:rsidR="00913631">
        <w:rPr>
          <w:rFonts w:cs="Arial"/>
          <w:color w:val="000000" w:themeColor="text1"/>
        </w:rPr>
        <w:t>ment</w:t>
      </w:r>
      <w:r w:rsidR="009346C4">
        <w:rPr>
          <w:rFonts w:cs="Arial"/>
          <w:color w:val="000000" w:themeColor="text1"/>
        </w:rPr>
        <w:t xml:space="preserve">, </w:t>
      </w:r>
      <w:r w:rsidR="00913631">
        <w:rPr>
          <w:rFonts w:cs="Arial"/>
          <w:color w:val="000000" w:themeColor="text1"/>
        </w:rPr>
        <w:t xml:space="preserve">implementation </w:t>
      </w:r>
      <w:r w:rsidR="009346C4">
        <w:rPr>
          <w:rFonts w:cs="Arial"/>
          <w:color w:val="000000" w:themeColor="text1"/>
        </w:rPr>
        <w:t xml:space="preserve">and monitoring </w:t>
      </w:r>
      <w:r w:rsidR="00913631">
        <w:rPr>
          <w:rFonts w:cs="Arial"/>
          <w:color w:val="000000" w:themeColor="text1"/>
        </w:rPr>
        <w:t xml:space="preserve">of their </w:t>
      </w:r>
      <w:r>
        <w:rPr>
          <w:rFonts w:cs="Arial"/>
          <w:color w:val="000000" w:themeColor="text1"/>
        </w:rPr>
        <w:t>polic</w:t>
      </w:r>
      <w:r w:rsidR="00913631">
        <w:rPr>
          <w:rFonts w:cs="Arial"/>
          <w:color w:val="000000" w:themeColor="text1"/>
        </w:rPr>
        <w:t>ies.</w:t>
      </w:r>
    </w:p>
    <w:p w14:paraId="03B214C0" w14:textId="77777777" w:rsidR="00E91C90" w:rsidRDefault="00E91C90" w:rsidP="00E91C90">
      <w:pPr>
        <w:pStyle w:val="ListParagraph"/>
      </w:pPr>
    </w:p>
    <w:p w14:paraId="3B356E78" w14:textId="34F0CF9D" w:rsidR="00F13102" w:rsidRDefault="00E91C90" w:rsidP="00080B26">
      <w:pPr>
        <w:pStyle w:val="ListParagraph"/>
        <w:numPr>
          <w:ilvl w:val="1"/>
          <w:numId w:val="3"/>
        </w:numPr>
        <w:rPr>
          <w:b/>
          <w:bCs/>
        </w:rPr>
      </w:pPr>
      <w:r w:rsidRPr="00CA0E04">
        <w:rPr>
          <w:rFonts w:eastAsia="Verdana"/>
          <w:b/>
        </w:rPr>
        <w:t>The NIHRC recommends that the revised statutory guidance specifically</w:t>
      </w:r>
      <w:r w:rsidRPr="00CA0E04">
        <w:rPr>
          <w:rFonts w:eastAsia="Verdana"/>
        </w:rPr>
        <w:t xml:space="preserve"> </w:t>
      </w:r>
      <w:r w:rsidRPr="00CA0E04">
        <w:rPr>
          <w:rFonts w:eastAsia="Verdana"/>
          <w:b/>
        </w:rPr>
        <w:t xml:space="preserve">references </w:t>
      </w:r>
      <w:r w:rsidR="00AB39EA">
        <w:rPr>
          <w:rFonts w:eastAsia="Verdana"/>
          <w:b/>
        </w:rPr>
        <w:t xml:space="preserve">international </w:t>
      </w:r>
      <w:r w:rsidR="008B0987">
        <w:rPr>
          <w:rFonts w:eastAsia="Verdana"/>
          <w:b/>
        </w:rPr>
        <w:t xml:space="preserve">obligations </w:t>
      </w:r>
      <w:r w:rsidR="008C1B83">
        <w:rPr>
          <w:rFonts w:eastAsia="Verdana"/>
          <w:b/>
        </w:rPr>
        <w:t>on</w:t>
      </w:r>
      <w:r w:rsidRPr="00CA0E04">
        <w:rPr>
          <w:rFonts w:eastAsia="Verdana"/>
          <w:b/>
        </w:rPr>
        <w:t xml:space="preserve"> non-discrimination</w:t>
      </w:r>
      <w:r w:rsidR="008C1B83">
        <w:rPr>
          <w:rFonts w:eastAsia="Verdana"/>
          <w:b/>
        </w:rPr>
        <w:t>, including Article 14 of the ECHR</w:t>
      </w:r>
      <w:r w:rsidR="008B0987">
        <w:rPr>
          <w:rFonts w:eastAsia="Verdana"/>
          <w:b/>
        </w:rPr>
        <w:t xml:space="preserve">. </w:t>
      </w:r>
      <w:r w:rsidRPr="00CA0E04">
        <w:rPr>
          <w:rFonts w:eastAsia="Verdana"/>
          <w:b/>
        </w:rPr>
        <w:t xml:space="preserve">This should include a commitment to </w:t>
      </w:r>
      <w:r w:rsidR="00C01472" w:rsidRPr="001C0F97">
        <w:rPr>
          <w:b/>
          <w:bCs/>
        </w:rPr>
        <w:t xml:space="preserve">eliminate discrimination against children in disadvantaged situations, including children belonging to ethnic minority groups, asylum-seeking, refugee and migrant children, Roma, gypsy and traveller children, children with disabilities, children in alternative care, lesbian, gay, bisexual, transgender and intersex children, </w:t>
      </w:r>
      <w:r w:rsidR="001C0F97" w:rsidRPr="001C0F97">
        <w:rPr>
          <w:b/>
          <w:bCs/>
        </w:rPr>
        <w:t xml:space="preserve">and </w:t>
      </w:r>
      <w:r w:rsidR="00C01472" w:rsidRPr="001C0F97">
        <w:rPr>
          <w:b/>
          <w:bCs/>
        </w:rPr>
        <w:t>socioeconomically disadvantaged children</w:t>
      </w:r>
      <w:r w:rsidR="00B56035">
        <w:rPr>
          <w:b/>
          <w:bCs/>
        </w:rPr>
        <w:t>, among others.</w:t>
      </w:r>
    </w:p>
    <w:p w14:paraId="0DCE493D" w14:textId="77777777" w:rsidR="00D30E5A" w:rsidRPr="00D30E5A" w:rsidRDefault="00D30E5A" w:rsidP="00D30E5A">
      <w:pPr>
        <w:pStyle w:val="ListParagraph"/>
        <w:rPr>
          <w:b/>
          <w:bCs/>
        </w:rPr>
      </w:pPr>
    </w:p>
    <w:p w14:paraId="7E1A36F1" w14:textId="0B4438A6" w:rsidR="00D30E5A" w:rsidRPr="00D30E5A" w:rsidRDefault="00D30E5A" w:rsidP="0006089A">
      <w:pPr>
        <w:pStyle w:val="Heading2"/>
      </w:pPr>
      <w:bookmarkStart w:id="7" w:name="_Toc178255670"/>
      <w:r w:rsidRPr="0006089A">
        <w:t>Monitoring and data collection</w:t>
      </w:r>
      <w:bookmarkEnd w:id="7"/>
      <w:r w:rsidRPr="0006089A">
        <w:t xml:space="preserve"> </w:t>
      </w:r>
    </w:p>
    <w:p w14:paraId="4EBABD40" w14:textId="223AA71D" w:rsidR="00D30E5A" w:rsidRPr="00D30E5A" w:rsidRDefault="00D30E5A" w:rsidP="00080B26">
      <w:pPr>
        <w:pStyle w:val="ListParagraph"/>
        <w:numPr>
          <w:ilvl w:val="1"/>
          <w:numId w:val="3"/>
        </w:numPr>
      </w:pPr>
      <w:r w:rsidRPr="00D30E5A">
        <w:t xml:space="preserve">Robust data collection and monitoring is an essential component in ensuring a policy, such as the proposed statutory guidance, is </w:t>
      </w:r>
      <w:r w:rsidR="001300D3">
        <w:t xml:space="preserve">appropriately targeted and </w:t>
      </w:r>
      <w:r w:rsidRPr="00D30E5A">
        <w:t>achieving its purpose. In terms of what effective monitoring requires, the UN CRC Committee notes that:</w:t>
      </w:r>
    </w:p>
    <w:p w14:paraId="6CFB2A45" w14:textId="77777777" w:rsidR="00D30E5A" w:rsidRPr="00D30E5A" w:rsidRDefault="00D30E5A" w:rsidP="00D30E5A">
      <w:pPr>
        <w:pStyle w:val="ListParagraph"/>
      </w:pPr>
    </w:p>
    <w:p w14:paraId="7A919A17" w14:textId="685C7257" w:rsidR="00D30E5A" w:rsidRPr="00D30E5A" w:rsidRDefault="00D30E5A" w:rsidP="00D30E5A">
      <w:pPr>
        <w:pStyle w:val="ListParagraph"/>
        <w:ind w:left="851"/>
      </w:pPr>
      <w:r w:rsidRPr="00D30E5A">
        <w:t>delivery at all levels of government demands a continuous process of child impact assessment (predicting the impact of any proposed law, policy or budgetary allocation which affects children and the enjoyment of their rights) and child impact evaluation (evaluating the actual impact of implementation).</w:t>
      </w:r>
      <w:r w:rsidR="003812AF">
        <w:rPr>
          <w:rStyle w:val="FootnoteReference"/>
        </w:rPr>
        <w:footnoteReference w:id="42"/>
      </w:r>
      <w:r w:rsidRPr="00D30E5A">
        <w:t xml:space="preserve"> </w:t>
      </w:r>
    </w:p>
    <w:p w14:paraId="3ED15C77" w14:textId="77777777" w:rsidR="00D30E5A" w:rsidRPr="00D30E5A" w:rsidRDefault="00D30E5A" w:rsidP="00D30E5A">
      <w:pPr>
        <w:pStyle w:val="ListParagraph"/>
      </w:pPr>
    </w:p>
    <w:p w14:paraId="00D521AB" w14:textId="0744FD9A" w:rsidR="00D30E5A" w:rsidRPr="00D30E5A" w:rsidRDefault="00D30E5A" w:rsidP="00080B26">
      <w:pPr>
        <w:pStyle w:val="ListParagraph"/>
        <w:numPr>
          <w:ilvl w:val="1"/>
          <w:numId w:val="3"/>
        </w:numPr>
      </w:pPr>
      <w:r w:rsidRPr="00D30E5A">
        <w:t>This process should be “built into government at all levels and as early as possible in the development of policy”.</w:t>
      </w:r>
      <w:r w:rsidR="00BD34C4">
        <w:rPr>
          <w:rStyle w:val="FootnoteReference"/>
        </w:rPr>
        <w:footnoteReference w:id="43"/>
      </w:r>
      <w:r w:rsidRPr="00D30E5A">
        <w:t xml:space="preserve"> This includes self-monitoring and independent monitoring.</w:t>
      </w:r>
      <w:r w:rsidR="00BD34C4">
        <w:rPr>
          <w:rStyle w:val="FootnoteReference"/>
        </w:rPr>
        <w:footnoteReference w:id="44"/>
      </w:r>
      <w:r w:rsidRPr="00D30E5A">
        <w:t xml:space="preserve"> Monitoring should be set out in legislation and implemented in practice.</w:t>
      </w:r>
      <w:r w:rsidR="00BD34C4">
        <w:rPr>
          <w:rStyle w:val="FootnoteReference"/>
        </w:rPr>
        <w:footnoteReference w:id="45"/>
      </w:r>
      <w:r w:rsidRPr="00D30E5A">
        <w:t xml:space="preserve"> </w:t>
      </w:r>
    </w:p>
    <w:p w14:paraId="0B7947D5" w14:textId="77777777" w:rsidR="00D30E5A" w:rsidRPr="00D30E5A" w:rsidRDefault="00D30E5A" w:rsidP="00D30E5A">
      <w:pPr>
        <w:pStyle w:val="ListParagraph"/>
      </w:pPr>
    </w:p>
    <w:p w14:paraId="46C57E63" w14:textId="77777777" w:rsidR="00D30E5A" w:rsidRPr="00D30E5A" w:rsidRDefault="00D30E5A" w:rsidP="00080B26">
      <w:pPr>
        <w:pStyle w:val="ListParagraph"/>
        <w:numPr>
          <w:ilvl w:val="1"/>
          <w:numId w:val="3"/>
        </w:numPr>
      </w:pPr>
      <w:r w:rsidRPr="00D30E5A">
        <w:lastRenderedPageBreak/>
        <w:t>In terms of the tools required to assist with monitoring, data collection is essential. This is affirmed by the UN CRC, which requires:</w:t>
      </w:r>
    </w:p>
    <w:p w14:paraId="218E704C" w14:textId="77777777" w:rsidR="00D30E5A" w:rsidRPr="00D30E5A" w:rsidRDefault="00D30E5A" w:rsidP="00D30E5A">
      <w:pPr>
        <w:pStyle w:val="ListParagraph"/>
      </w:pPr>
    </w:p>
    <w:p w14:paraId="7076EAF9" w14:textId="3AFB4E0E" w:rsidR="00D30E5A" w:rsidRPr="00D30E5A" w:rsidRDefault="00D30E5A" w:rsidP="00D30E5A">
      <w:pPr>
        <w:pStyle w:val="ListParagraph"/>
        <w:ind w:left="851"/>
      </w:pPr>
      <w:r w:rsidRPr="00D30E5A">
        <w:t>States Parties to monitor the availability of and access to quality services that contribute to young children’s survival and development, including through systematic data collection, disaggregated in terms of major variables related to children’s and families’ background and circumstances.</w:t>
      </w:r>
      <w:r w:rsidR="00214C5C">
        <w:rPr>
          <w:rStyle w:val="FootnoteReference"/>
        </w:rPr>
        <w:footnoteReference w:id="46"/>
      </w:r>
    </w:p>
    <w:p w14:paraId="1D214AB8" w14:textId="77777777" w:rsidR="00D30E5A" w:rsidRPr="00D30E5A" w:rsidRDefault="00D30E5A" w:rsidP="00D30E5A">
      <w:pPr>
        <w:pStyle w:val="ListParagraph"/>
      </w:pPr>
    </w:p>
    <w:p w14:paraId="213C3CDA" w14:textId="0CCE4011" w:rsidR="00D30E5A" w:rsidRDefault="005F5F39" w:rsidP="00080B26">
      <w:pPr>
        <w:pStyle w:val="ListParagraph"/>
        <w:numPr>
          <w:ilvl w:val="1"/>
          <w:numId w:val="3"/>
        </w:numPr>
      </w:pPr>
      <w:r>
        <w:rPr>
          <w:rFonts w:eastAsia="Verdana"/>
        </w:rPr>
        <w:t>The UN CRC highlights the need for data collection to be disaggregated as a means to “enable discrimination or potential discrimination to be</w:t>
      </w:r>
      <w:r w:rsidRPr="00D30E5A">
        <w:t xml:space="preserve"> </w:t>
      </w:r>
      <w:r>
        <w:t>identified”.</w:t>
      </w:r>
      <w:r>
        <w:rPr>
          <w:rStyle w:val="FootnoteReference"/>
        </w:rPr>
        <w:footnoteReference w:id="47"/>
      </w:r>
      <w:r>
        <w:t xml:space="preserve"> </w:t>
      </w:r>
      <w:r w:rsidR="00D30E5A" w:rsidRPr="00D30E5A">
        <w:t>The UN CRC Committee has repeatedly called on the UK and NI to improve its collection and monitoring of comprehensive and disaggregated data relating to children.</w:t>
      </w:r>
      <w:r w:rsidR="00854A97">
        <w:rPr>
          <w:rStyle w:val="FootnoteReference"/>
        </w:rPr>
        <w:footnoteReference w:id="48"/>
      </w:r>
      <w:r w:rsidR="00D30E5A" w:rsidRPr="00D30E5A">
        <w:t xml:space="preserve"> In 2023, the UN CRC Committee reiterated the need for the UK Government and NI Executive to improve the collection and analysis of data regarding education and children in disadvantaged situations.</w:t>
      </w:r>
      <w:r w:rsidR="00B750C8">
        <w:rPr>
          <w:rStyle w:val="FootnoteReference"/>
        </w:rPr>
        <w:footnoteReference w:id="49"/>
      </w:r>
      <w:r w:rsidR="00D30E5A" w:rsidRPr="00D30E5A">
        <w:t xml:space="preserve"> It recommends that the UK Government and NI Executive:</w:t>
      </w:r>
    </w:p>
    <w:p w14:paraId="08444A86" w14:textId="77777777" w:rsidR="00D30E5A" w:rsidRPr="00D30E5A" w:rsidRDefault="00D30E5A" w:rsidP="00D30E5A">
      <w:pPr>
        <w:pStyle w:val="ListParagraph"/>
      </w:pPr>
    </w:p>
    <w:p w14:paraId="1EF74007" w14:textId="6511D966" w:rsidR="00D30E5A" w:rsidRPr="00D30E5A" w:rsidRDefault="00D30E5A" w:rsidP="00D30E5A">
      <w:pPr>
        <w:pStyle w:val="ListParagraph"/>
        <w:ind w:left="851"/>
      </w:pPr>
      <w:r w:rsidRPr="00D30E5A">
        <w:t xml:space="preserve">Strengthen its data-collection system </w:t>
      </w:r>
      <w:proofErr w:type="gramStart"/>
      <w:r w:rsidRPr="00D30E5A">
        <w:t>with regard to</w:t>
      </w:r>
      <w:proofErr w:type="gramEnd"/>
      <w:r w:rsidRPr="00D30E5A">
        <w:t xml:space="preserve"> both qualitative and quantitative indicators to encompass all areas of the Convention and ensure that the data are disaggregated by age, sex, disability, geographical location, ethnic origin, nationality and socioeconomic background.</w:t>
      </w:r>
      <w:r w:rsidR="006619F1">
        <w:rPr>
          <w:rStyle w:val="FootnoteReference"/>
        </w:rPr>
        <w:footnoteReference w:id="50"/>
      </w:r>
      <w:r w:rsidRPr="00D30E5A">
        <w:t xml:space="preserve"> </w:t>
      </w:r>
    </w:p>
    <w:p w14:paraId="0269C6FE" w14:textId="77777777" w:rsidR="00DB30CF" w:rsidRPr="00561403" w:rsidRDefault="00DB30CF" w:rsidP="00561403">
      <w:pPr>
        <w:rPr>
          <w:b/>
          <w:bCs/>
        </w:rPr>
      </w:pPr>
    </w:p>
    <w:p w14:paraId="547C3BA5" w14:textId="70F46402" w:rsidR="00932B49" w:rsidRPr="00932B49" w:rsidRDefault="00F96F2C" w:rsidP="00080B26">
      <w:pPr>
        <w:pStyle w:val="ListParagraph"/>
        <w:numPr>
          <w:ilvl w:val="1"/>
          <w:numId w:val="3"/>
        </w:numPr>
        <w:rPr>
          <w:b/>
          <w:bCs/>
        </w:rPr>
      </w:pPr>
      <w:r>
        <w:rPr>
          <w:rFonts w:eastAsia="Verdana"/>
          <w:bCs/>
        </w:rPr>
        <w:t xml:space="preserve">The current </w:t>
      </w:r>
      <w:r w:rsidR="00E03F76">
        <w:rPr>
          <w:rFonts w:eastAsia="Verdana"/>
          <w:bCs/>
        </w:rPr>
        <w:t xml:space="preserve">proposals seek to strengthen requirements for monitoring </w:t>
      </w:r>
      <w:r w:rsidR="007D1B15">
        <w:rPr>
          <w:rFonts w:eastAsia="Verdana"/>
          <w:bCs/>
        </w:rPr>
        <w:t>schools</w:t>
      </w:r>
      <w:r w:rsidR="00817A22">
        <w:rPr>
          <w:rFonts w:eastAsia="Verdana"/>
          <w:bCs/>
        </w:rPr>
        <w:t>’</w:t>
      </w:r>
      <w:r w:rsidR="007D1B15">
        <w:rPr>
          <w:rFonts w:eastAsia="Verdana"/>
          <w:bCs/>
        </w:rPr>
        <w:t xml:space="preserve"> adherence to the statutory guidance by </w:t>
      </w:r>
      <w:r w:rsidR="00C04E52">
        <w:rPr>
          <w:rFonts w:eastAsia="Verdana"/>
          <w:bCs/>
        </w:rPr>
        <w:t>implementing a requirement to report</w:t>
      </w:r>
      <w:r w:rsidR="00932B49">
        <w:rPr>
          <w:rFonts w:eastAsia="Verdana"/>
          <w:bCs/>
        </w:rPr>
        <w:t xml:space="preserve"> to the Department of Education every three years. This is welcomed, however the NIHRC would additionally encourage the </w:t>
      </w:r>
      <w:r w:rsidR="00932B49">
        <w:rPr>
          <w:rFonts w:eastAsia="Verdana"/>
          <w:bCs/>
        </w:rPr>
        <w:lastRenderedPageBreak/>
        <w:t xml:space="preserve">Department to </w:t>
      </w:r>
      <w:r w:rsidR="00260D30">
        <w:rPr>
          <w:rFonts w:eastAsia="Verdana"/>
          <w:bCs/>
        </w:rPr>
        <w:t xml:space="preserve">specify that schools must </w:t>
      </w:r>
      <w:r w:rsidR="00362573">
        <w:rPr>
          <w:rFonts w:eastAsia="Verdana"/>
          <w:bCs/>
        </w:rPr>
        <w:t xml:space="preserve">strengthen </w:t>
      </w:r>
      <w:r w:rsidR="006B35EE">
        <w:rPr>
          <w:rFonts w:eastAsia="Verdana"/>
          <w:bCs/>
        </w:rPr>
        <w:t>data collection</w:t>
      </w:r>
      <w:r w:rsidR="00362573">
        <w:rPr>
          <w:rFonts w:eastAsia="Verdana"/>
          <w:bCs/>
        </w:rPr>
        <w:t xml:space="preserve"> </w:t>
      </w:r>
      <w:r w:rsidR="006B35EE">
        <w:rPr>
          <w:rFonts w:eastAsia="Verdana"/>
          <w:bCs/>
        </w:rPr>
        <w:t xml:space="preserve">in relation to </w:t>
      </w:r>
      <w:r w:rsidR="00362573">
        <w:rPr>
          <w:rFonts w:eastAsia="Verdana"/>
          <w:bCs/>
        </w:rPr>
        <w:t xml:space="preserve">the guidance to ensure that the Department </w:t>
      </w:r>
      <w:r w:rsidR="00B6089E">
        <w:rPr>
          <w:rFonts w:eastAsia="Verdana"/>
          <w:bCs/>
        </w:rPr>
        <w:t>can assess its</w:t>
      </w:r>
      <w:r w:rsidR="00BC459D">
        <w:rPr>
          <w:rFonts w:eastAsia="Verdana"/>
          <w:bCs/>
        </w:rPr>
        <w:t xml:space="preserve"> impact </w:t>
      </w:r>
      <w:r w:rsidR="00B6089E">
        <w:rPr>
          <w:rFonts w:eastAsia="Verdana"/>
          <w:bCs/>
        </w:rPr>
        <w:t xml:space="preserve">on </w:t>
      </w:r>
      <w:r w:rsidR="00AB669F">
        <w:rPr>
          <w:rFonts w:eastAsia="Verdana"/>
          <w:bCs/>
        </w:rPr>
        <w:t>the rights of child</w:t>
      </w:r>
      <w:r w:rsidR="00DC6C06">
        <w:rPr>
          <w:rFonts w:eastAsia="Verdana"/>
          <w:bCs/>
        </w:rPr>
        <w:t>. This should include the provision of</w:t>
      </w:r>
      <w:r w:rsidR="001F2D9A">
        <w:rPr>
          <w:rFonts w:eastAsia="Verdana"/>
        </w:rPr>
        <w:t xml:space="preserve"> disaggregated </w:t>
      </w:r>
      <w:r w:rsidR="00DC6C06">
        <w:rPr>
          <w:rFonts w:eastAsia="Verdana"/>
        </w:rPr>
        <w:t xml:space="preserve">data </w:t>
      </w:r>
      <w:proofErr w:type="gramStart"/>
      <w:r w:rsidR="001F2D9A">
        <w:rPr>
          <w:rFonts w:eastAsia="Verdana"/>
        </w:rPr>
        <w:t>as a means to</w:t>
      </w:r>
      <w:proofErr w:type="gramEnd"/>
      <w:r w:rsidR="001F2D9A">
        <w:rPr>
          <w:rFonts w:eastAsia="Verdana"/>
        </w:rPr>
        <w:t xml:space="preserve"> “enable discrimination or potential discrimination to be</w:t>
      </w:r>
      <w:r w:rsidR="001F2D9A" w:rsidRPr="00D30E5A">
        <w:t xml:space="preserve"> </w:t>
      </w:r>
      <w:r w:rsidR="001F2D9A">
        <w:t>identified”.</w:t>
      </w:r>
      <w:r w:rsidR="001F2D9A">
        <w:rPr>
          <w:rStyle w:val="FootnoteReference"/>
        </w:rPr>
        <w:footnoteReference w:id="51"/>
      </w:r>
    </w:p>
    <w:p w14:paraId="6C523BD3" w14:textId="77777777" w:rsidR="0045482D" w:rsidRPr="00561403" w:rsidRDefault="0045482D" w:rsidP="00561403">
      <w:pPr>
        <w:rPr>
          <w:b/>
          <w:bCs/>
        </w:rPr>
      </w:pPr>
    </w:p>
    <w:p w14:paraId="33373A1A" w14:textId="77777777" w:rsidR="006C5E8F" w:rsidRDefault="006C5E8F" w:rsidP="006C5E8F">
      <w:pPr>
        <w:pStyle w:val="ListParagraph"/>
        <w:numPr>
          <w:ilvl w:val="1"/>
          <w:numId w:val="3"/>
        </w:numPr>
      </w:pPr>
      <w:r w:rsidRPr="007006B5">
        <w:rPr>
          <w:b/>
          <w:bCs/>
        </w:rPr>
        <w:t xml:space="preserve">The NIHRC recommends that the Department of Education supports schools and governing bodies to improve the collection of data in relation to the statutory guidance, including disaggregation by age, sex, disability, geographical location, ethnic origin, nationality and socioeconomic background. Disaggregated data should be reported to the Department of Education during each monitoring round to inform ongoing analysis and child rights impact assessments of the guidance. </w:t>
      </w:r>
    </w:p>
    <w:p w14:paraId="2A5B8B3C" w14:textId="77777777" w:rsidR="002825B1" w:rsidRDefault="002825B1" w:rsidP="002825B1"/>
    <w:p w14:paraId="2CD16D5E" w14:textId="12007AFA" w:rsidR="0012171A" w:rsidRPr="001A50F2" w:rsidRDefault="00986EB3" w:rsidP="001A50F2">
      <w:pPr>
        <w:pStyle w:val="Heading1"/>
        <w:numPr>
          <w:ilvl w:val="0"/>
          <w:numId w:val="0"/>
        </w:numPr>
        <w:spacing w:line="240" w:lineRule="auto"/>
        <w:ind w:left="360" w:hanging="360"/>
      </w:pPr>
      <w:bookmarkStart w:id="8" w:name="_Toc178255671"/>
      <w:r w:rsidRPr="00E44B40">
        <w:t>3.0</w:t>
      </w:r>
      <w:r w:rsidRPr="00E44B40">
        <w:tab/>
      </w:r>
      <w:r w:rsidR="0004738F">
        <w:t>General Comments</w:t>
      </w:r>
      <w:bookmarkEnd w:id="8"/>
      <w:r w:rsidR="0004738F">
        <w:t xml:space="preserve"> </w:t>
      </w:r>
      <w:r w:rsidR="00D07577" w:rsidRPr="00E44B40">
        <w:t xml:space="preserve"> </w:t>
      </w:r>
      <w:bookmarkStart w:id="9" w:name="_Hlk163636728"/>
    </w:p>
    <w:bookmarkEnd w:id="9"/>
    <w:p w14:paraId="263D9F1A" w14:textId="77777777" w:rsidR="003800A8" w:rsidRDefault="003800A8" w:rsidP="003800A8"/>
    <w:p w14:paraId="2F8A3D39" w14:textId="2ED8D168" w:rsidR="00016F87" w:rsidRPr="007D4AF6" w:rsidRDefault="00326B9F" w:rsidP="007D4AF6">
      <w:pPr>
        <w:pStyle w:val="Heading2"/>
      </w:pPr>
      <w:bookmarkStart w:id="10" w:name="_Toc178255672"/>
      <w:r>
        <w:t>Principle 1: Affordability</w:t>
      </w:r>
      <w:bookmarkEnd w:id="10"/>
    </w:p>
    <w:p w14:paraId="610CA888" w14:textId="77777777" w:rsidR="00DC5C20" w:rsidRPr="00DC5C20" w:rsidRDefault="001D57EB" w:rsidP="00080B26">
      <w:pPr>
        <w:pStyle w:val="ListParagraph"/>
        <w:numPr>
          <w:ilvl w:val="1"/>
          <w:numId w:val="4"/>
        </w:numPr>
        <w:suppressAutoHyphens/>
        <w:ind w:left="709" w:hanging="709"/>
        <w:rPr>
          <w:rFonts w:cs="Arial"/>
          <w:b/>
          <w:bCs/>
          <w:color w:val="000000" w:themeColor="text1"/>
        </w:rPr>
      </w:pPr>
      <w:r>
        <w:rPr>
          <w:rFonts w:cs="Segoe UI"/>
          <w:lang w:val="en" w:eastAsia="en-GB"/>
        </w:rPr>
        <w:t>The</w:t>
      </w:r>
      <w:r w:rsidRPr="003800A8">
        <w:rPr>
          <w:rFonts w:cs="Segoe UI"/>
          <w:lang w:val="en" w:eastAsia="en-GB"/>
        </w:rPr>
        <w:t xml:space="preserve"> UN CEDAW Committee has highlighted that “</w:t>
      </w:r>
      <w:r w:rsidRPr="003800A8">
        <w:rPr>
          <w:rFonts w:cs="Segoe UI"/>
          <w:lang w:eastAsia="en-GB"/>
        </w:rPr>
        <w:t>parents are faced with meeting the hidden cost of uniforms, transportation, textbooks and other school materials, lunch and various levies and user fees with students from the poorest quintile being most adversely affected and often stigmatised”</w:t>
      </w:r>
      <w:r w:rsidRPr="003800A8">
        <w:rPr>
          <w:rFonts w:cs="Segoe UI"/>
          <w:lang w:val="en" w:eastAsia="en-GB"/>
        </w:rPr>
        <w:t>.</w:t>
      </w:r>
      <w:r>
        <w:rPr>
          <w:rStyle w:val="FootnoteReference"/>
          <w:rFonts w:cs="Segoe UI"/>
          <w:lang w:val="en" w:eastAsia="en-GB"/>
        </w:rPr>
        <w:footnoteReference w:id="52"/>
      </w:r>
      <w:r w:rsidRPr="003800A8">
        <w:rPr>
          <w:rFonts w:cs="Segoe UI"/>
          <w:lang w:val="en" w:eastAsia="en-GB"/>
        </w:rPr>
        <w:t xml:space="preserve"> </w:t>
      </w:r>
      <w:r>
        <w:rPr>
          <w:rFonts w:cs="Segoe UI"/>
          <w:lang w:val="en" w:eastAsia="en-GB"/>
        </w:rPr>
        <w:t>The Committee</w:t>
      </w:r>
      <w:r w:rsidRPr="003800A8">
        <w:rPr>
          <w:rFonts w:cs="Segoe UI"/>
          <w:lang w:val="en" w:eastAsia="en-GB"/>
        </w:rPr>
        <w:t xml:space="preserve"> recommends that State parties </w:t>
      </w:r>
      <w:r w:rsidRPr="003800A8">
        <w:rPr>
          <w:rFonts w:cs="Segoe UI"/>
          <w:lang w:eastAsia="en-GB"/>
        </w:rPr>
        <w:t>take effective measures to ensure that hidden costs do not negatively impact girls’ and women’s access to education.</w:t>
      </w:r>
      <w:r>
        <w:rPr>
          <w:rStyle w:val="FootnoteReference"/>
          <w:rFonts w:cs="Segoe UI"/>
          <w:lang w:eastAsia="en-GB"/>
        </w:rPr>
        <w:footnoteReference w:id="53"/>
      </w:r>
      <w:r w:rsidRPr="003800A8">
        <w:rPr>
          <w:rFonts w:cs="Segoe UI"/>
          <w:lang w:eastAsia="en-GB"/>
        </w:rPr>
        <w:t xml:space="preserve"> This includes the “introduction of safety nets, and other measures to ensure that girls and women from lower socio-economic strata are not denied access to any level of education based on their inability to pay user fees and/or meet hidden costs”.</w:t>
      </w:r>
      <w:r>
        <w:rPr>
          <w:rStyle w:val="FootnoteReference"/>
          <w:rFonts w:cs="Segoe UI"/>
          <w:lang w:eastAsia="en-GB"/>
        </w:rPr>
        <w:footnoteReference w:id="54"/>
      </w:r>
    </w:p>
    <w:p w14:paraId="4CF5DF1A" w14:textId="77777777" w:rsidR="00DC5C20" w:rsidRPr="00DC5C20" w:rsidRDefault="00DC5C20" w:rsidP="00DC5C20">
      <w:pPr>
        <w:pStyle w:val="ListParagraph"/>
        <w:suppressAutoHyphens/>
        <w:ind w:left="709"/>
        <w:rPr>
          <w:rFonts w:cs="Arial"/>
          <w:b/>
          <w:bCs/>
          <w:color w:val="000000" w:themeColor="text1"/>
        </w:rPr>
      </w:pPr>
    </w:p>
    <w:p w14:paraId="20AE6920" w14:textId="77777777" w:rsidR="00DC5C20" w:rsidRPr="00A40B3C" w:rsidRDefault="00C12966" w:rsidP="00080B26">
      <w:pPr>
        <w:pStyle w:val="ListParagraph"/>
        <w:numPr>
          <w:ilvl w:val="1"/>
          <w:numId w:val="4"/>
        </w:numPr>
        <w:suppressAutoHyphens/>
        <w:ind w:left="709" w:hanging="709"/>
        <w:rPr>
          <w:rFonts w:cs="Arial"/>
          <w:b/>
          <w:bCs/>
          <w:color w:val="000000" w:themeColor="text1"/>
        </w:rPr>
      </w:pPr>
      <w:r w:rsidRPr="00DC5C20">
        <w:rPr>
          <w:rFonts w:eastAsia="Verdana" w:cs="Verdana"/>
          <w:color w:val="000000"/>
        </w:rPr>
        <w:t>The UN ICESCR Committee has highlighted that an individual’s access to quality education may be impacted by their “belonging to a certain economic or social group or strata within society”.</w:t>
      </w:r>
      <w:r>
        <w:rPr>
          <w:rStyle w:val="FootnoteReference"/>
          <w:rFonts w:eastAsia="Verdana" w:cs="Verdana"/>
          <w:color w:val="000000"/>
        </w:rPr>
        <w:footnoteReference w:id="55"/>
      </w:r>
      <w:r w:rsidRPr="00DC5C20">
        <w:rPr>
          <w:rFonts w:eastAsia="Verdana" w:cs="Verdana"/>
          <w:color w:val="000000"/>
        </w:rPr>
        <w:t xml:space="preserve"> </w:t>
      </w:r>
      <w:r w:rsidR="00C30C43">
        <w:t>In the UK and NI specifically, the UN ICESCR Committee noted that certain groups are more affected by and at increased risk of poverty, including single parent families and families with children, recommending that the UK Government and NI Executive “</w:t>
      </w:r>
      <w:r w:rsidR="00C30C43" w:rsidRPr="001B501A">
        <w:t>take steps to introduce measures to guarantee targeted support to all those living in poverty or at risk of poverty</w:t>
      </w:r>
      <w:r w:rsidR="00C30C43">
        <w:t>”.</w:t>
      </w:r>
      <w:r w:rsidR="00C30C43">
        <w:rPr>
          <w:rStyle w:val="FootnoteReference"/>
          <w:rFonts w:eastAsia="Verdana" w:cs="Verdana"/>
          <w:color w:val="000000"/>
        </w:rPr>
        <w:footnoteReference w:id="56"/>
      </w:r>
      <w:r w:rsidR="00C30C43">
        <w:t xml:space="preserve"> It further recommended effectively implementing “measures aimed at reducing de facto discrimination and segregation of students based on </w:t>
      </w:r>
      <w:r w:rsidR="00C30C43" w:rsidRPr="00333A9F">
        <w:t>their religion, national or social origin, as well as their economic background</w:t>
      </w:r>
      <w:r w:rsidR="00C30C43">
        <w:t>”</w:t>
      </w:r>
      <w:r w:rsidR="00C30C43" w:rsidRPr="00DC5C20">
        <w:rPr>
          <w:rFonts w:eastAsia="Verdana" w:cs="Verdana"/>
          <w:color w:val="000000"/>
        </w:rPr>
        <w:t>.</w:t>
      </w:r>
      <w:r w:rsidR="00C30C43" w:rsidRPr="00DC5C20">
        <w:rPr>
          <w:rStyle w:val="FootnoteReference"/>
          <w:rFonts w:eastAsia="Verdana" w:cs="Verdana"/>
          <w:color w:val="000000"/>
        </w:rPr>
        <w:t xml:space="preserve"> </w:t>
      </w:r>
      <w:r w:rsidR="00C30C43">
        <w:rPr>
          <w:rStyle w:val="FootnoteReference"/>
          <w:rFonts w:eastAsia="Verdana" w:cs="Verdana"/>
          <w:color w:val="000000"/>
        </w:rPr>
        <w:footnoteReference w:id="57"/>
      </w:r>
    </w:p>
    <w:p w14:paraId="67FC70D6" w14:textId="77777777" w:rsidR="00A40B3C" w:rsidRPr="00A40B3C" w:rsidRDefault="00A40B3C" w:rsidP="00A40B3C">
      <w:pPr>
        <w:pStyle w:val="ListParagraph"/>
        <w:rPr>
          <w:rStyle w:val="FootnoteReference"/>
          <w:rFonts w:cs="Arial"/>
          <w:b/>
          <w:bCs/>
          <w:color w:val="000000" w:themeColor="text1"/>
          <w:vertAlign w:val="baseline"/>
        </w:rPr>
      </w:pPr>
    </w:p>
    <w:p w14:paraId="5A249D1F" w14:textId="1F77FA85" w:rsidR="0016493E" w:rsidRPr="00533AAC" w:rsidRDefault="00A40B3C" w:rsidP="00080B26">
      <w:pPr>
        <w:pStyle w:val="ListParagraph"/>
        <w:numPr>
          <w:ilvl w:val="1"/>
          <w:numId w:val="4"/>
        </w:numPr>
        <w:suppressAutoHyphens/>
        <w:ind w:left="709" w:hanging="709"/>
        <w:rPr>
          <w:rFonts w:cs="Arial"/>
          <w:b/>
          <w:bCs/>
          <w:color w:val="000000" w:themeColor="text1"/>
        </w:rPr>
      </w:pPr>
      <w:r w:rsidRPr="00533AAC">
        <w:rPr>
          <w:rFonts w:cs="Arial"/>
          <w:color w:val="000000" w:themeColor="text1"/>
        </w:rPr>
        <w:t>Further, the UN ICESCR Committee has expressed concerns about the challenges faced by asylum seekers and the likelihood of destitution.</w:t>
      </w:r>
      <w:r>
        <w:rPr>
          <w:rStyle w:val="FootnoteReference"/>
          <w:rFonts w:cs="Arial"/>
          <w:color w:val="000000" w:themeColor="text1"/>
        </w:rPr>
        <w:footnoteReference w:id="58"/>
      </w:r>
      <w:r w:rsidRPr="00533AAC">
        <w:rPr>
          <w:rFonts w:cs="Arial"/>
          <w:color w:val="000000" w:themeColor="text1"/>
        </w:rPr>
        <w:t xml:space="preserve"> </w:t>
      </w:r>
      <w:r w:rsidR="0016493E" w:rsidRPr="00533AAC">
        <w:rPr>
          <w:rFonts w:cs="Arial"/>
          <w:color w:val="000000" w:themeColor="text1"/>
        </w:rPr>
        <w:t xml:space="preserve">The </w:t>
      </w:r>
      <w:r w:rsidR="00181608">
        <w:rPr>
          <w:rFonts w:cs="Arial"/>
          <w:color w:val="000000" w:themeColor="text1"/>
        </w:rPr>
        <w:t xml:space="preserve">UN </w:t>
      </w:r>
      <w:r w:rsidR="0016493E" w:rsidRPr="00533AAC">
        <w:rPr>
          <w:rFonts w:cs="Arial"/>
          <w:color w:val="000000" w:themeColor="text1"/>
        </w:rPr>
        <w:t>CERD Committee has advised States to “Ensure that public educational institutions are open to non-citizens and children of undocumented immigrants residing in the territory”.</w:t>
      </w:r>
      <w:r w:rsidR="0016493E">
        <w:rPr>
          <w:rStyle w:val="FootnoteReference"/>
          <w:rFonts w:cs="Arial"/>
          <w:color w:val="000000" w:themeColor="text1"/>
        </w:rPr>
        <w:footnoteReference w:id="59"/>
      </w:r>
      <w:r w:rsidR="0016493E" w:rsidRPr="00533AAC">
        <w:rPr>
          <w:rFonts w:cs="Arial"/>
          <w:color w:val="000000" w:themeColor="text1"/>
        </w:rPr>
        <w:t xml:space="preserve"> It also recommends States “Avoid segregated schooling and different standards of treatment being applied to non-citizens on grounds of race, colour, descent, and national or ethnic origin in elementary and secondary school and with respect to access to higher education”.</w:t>
      </w:r>
      <w:r w:rsidR="0016493E">
        <w:rPr>
          <w:rStyle w:val="FootnoteReference"/>
          <w:rFonts w:cs="Arial"/>
          <w:color w:val="000000" w:themeColor="text1"/>
        </w:rPr>
        <w:footnoteReference w:id="60"/>
      </w:r>
    </w:p>
    <w:p w14:paraId="49AC92BE" w14:textId="77777777" w:rsidR="0016493E" w:rsidRDefault="0016493E" w:rsidP="00A40B3C">
      <w:pPr>
        <w:pStyle w:val="ListParagraph"/>
        <w:suppressAutoHyphens/>
        <w:ind w:left="709"/>
        <w:rPr>
          <w:rFonts w:cs="Arial"/>
          <w:color w:val="000000" w:themeColor="text1"/>
        </w:rPr>
      </w:pPr>
    </w:p>
    <w:p w14:paraId="72CF5C8B" w14:textId="77777777" w:rsidR="00DC5C20" w:rsidRPr="00DC5C20" w:rsidRDefault="00C30C43" w:rsidP="00080B26">
      <w:pPr>
        <w:pStyle w:val="ListParagraph"/>
        <w:numPr>
          <w:ilvl w:val="1"/>
          <w:numId w:val="4"/>
        </w:numPr>
        <w:suppressAutoHyphens/>
        <w:ind w:left="709" w:hanging="709"/>
        <w:rPr>
          <w:rFonts w:cs="Arial"/>
          <w:b/>
          <w:bCs/>
          <w:color w:val="000000" w:themeColor="text1"/>
        </w:rPr>
      </w:pPr>
      <w:r w:rsidRPr="00DC5C20">
        <w:rPr>
          <w:rFonts w:cs="Arial"/>
          <w:color w:val="000000" w:themeColor="text1"/>
        </w:rPr>
        <w:t>In 2023, the UN CRC Committee noted with deep concern</w:t>
      </w:r>
      <w:r w:rsidRPr="008210DB">
        <w:t xml:space="preserve"> the large number of children living in poverty</w:t>
      </w:r>
      <w:r w:rsidR="006120C2">
        <w:t xml:space="preserve"> </w:t>
      </w:r>
      <w:r w:rsidRPr="008210DB">
        <w:t>across the UK and</w:t>
      </w:r>
      <w:r w:rsidRPr="00DC5C20">
        <w:rPr>
          <w:rFonts w:cs="Arial"/>
          <w:color w:val="000000" w:themeColor="text1"/>
        </w:rPr>
        <w:t xml:space="preserve"> urged the </w:t>
      </w:r>
      <w:r w:rsidR="005D40A7" w:rsidRPr="00DC5C20">
        <w:rPr>
          <w:rFonts w:cs="Arial"/>
          <w:color w:val="000000" w:themeColor="text1"/>
        </w:rPr>
        <w:t>UK Government and NI Executive</w:t>
      </w:r>
      <w:r w:rsidRPr="00DC5C20">
        <w:rPr>
          <w:rFonts w:cs="Arial"/>
          <w:color w:val="000000" w:themeColor="text1"/>
        </w:rPr>
        <w:t>,</w:t>
      </w:r>
      <w:r w:rsidR="006120C2" w:rsidRPr="00DC5C20">
        <w:rPr>
          <w:rFonts w:cs="Arial"/>
          <w:color w:val="000000" w:themeColor="text1"/>
        </w:rPr>
        <w:t xml:space="preserve"> “</w:t>
      </w:r>
      <w:r w:rsidRPr="00DC5C20">
        <w:rPr>
          <w:rFonts w:cs="Arial"/>
          <w:color w:val="000000" w:themeColor="text1"/>
        </w:rPr>
        <w:t xml:space="preserve">to ensure that measures to combat poverty comply with a child rights-based approach and include a particular </w:t>
      </w:r>
      <w:r w:rsidRPr="00DC5C20">
        <w:rPr>
          <w:rFonts w:cs="Arial"/>
          <w:color w:val="000000" w:themeColor="text1"/>
        </w:rPr>
        <w:lastRenderedPageBreak/>
        <w:t>focus on children in disadvantaged situations</w:t>
      </w:r>
      <w:r w:rsidR="006120C2" w:rsidRPr="00DC5C20">
        <w:rPr>
          <w:rFonts w:cs="Arial"/>
          <w:color w:val="000000" w:themeColor="text1"/>
        </w:rPr>
        <w:t>”</w:t>
      </w:r>
      <w:r w:rsidRPr="00DC5C20">
        <w:rPr>
          <w:rFonts w:cs="Arial"/>
          <w:color w:val="000000" w:themeColor="text1"/>
        </w:rPr>
        <w:t>.</w:t>
      </w:r>
      <w:r>
        <w:rPr>
          <w:rStyle w:val="FootnoteReference"/>
        </w:rPr>
        <w:footnoteReference w:id="61"/>
      </w:r>
      <w:r w:rsidR="008B7F38" w:rsidRPr="00DC5C20">
        <w:rPr>
          <w:rFonts w:cs="Arial"/>
          <w:color w:val="000000" w:themeColor="text1"/>
        </w:rPr>
        <w:t xml:space="preserve"> In terms of </w:t>
      </w:r>
      <w:r w:rsidR="00627B66" w:rsidRPr="00DC5C20">
        <w:rPr>
          <w:rFonts w:cs="Arial"/>
          <w:color w:val="000000" w:themeColor="text1"/>
        </w:rPr>
        <w:t>inequalities in education</w:t>
      </w:r>
      <w:r w:rsidR="005D40A7" w:rsidRPr="00DC5C20">
        <w:rPr>
          <w:rFonts w:cs="Arial"/>
          <w:color w:val="000000" w:themeColor="text1"/>
        </w:rPr>
        <w:t xml:space="preserve">, the UN CRC Committee recommends that the UK Government and NI Executive: </w:t>
      </w:r>
    </w:p>
    <w:p w14:paraId="181E273A" w14:textId="77777777" w:rsidR="00DC5C20" w:rsidRDefault="00DC5C20" w:rsidP="00DC5C20">
      <w:pPr>
        <w:pStyle w:val="ListParagraph"/>
        <w:rPr>
          <w:rFonts w:cs="Segoe UI"/>
          <w:lang w:val="en" w:eastAsia="en-GB"/>
        </w:rPr>
      </w:pPr>
    </w:p>
    <w:p w14:paraId="6B6753A4" w14:textId="03CB30E6" w:rsidR="00DC5C20" w:rsidRPr="00DC5C20" w:rsidRDefault="00DC5C20" w:rsidP="00DC5C20">
      <w:pPr>
        <w:pStyle w:val="ListParagraph"/>
        <w:tabs>
          <w:tab w:val="left" w:pos="851"/>
        </w:tabs>
        <w:ind w:left="851"/>
      </w:pPr>
      <w:r w:rsidRPr="00376D41">
        <w:t>Strengthen measures to address inequalities in educational attainment and improve educational outcomes for children in disadvantaged situations, including children in socioeconomically disadvantaged situations, children belonging to ethnic minority groups, asylum-seeking, refugee and migrant children, children with disabilities and young carers, by, inter alia: (</w:t>
      </w:r>
      <w:proofErr w:type="spellStart"/>
      <w:r w:rsidRPr="00376D41">
        <w:t>i</w:t>
      </w:r>
      <w:proofErr w:type="spellEnd"/>
      <w:r w:rsidRPr="00376D41">
        <w:t>) providing financial and other support for such children to finish school; (ii) developing guidelines for responding to cases of school absenteeism; and (iii) collecting and analysing data disaggregated by ethnic origin, educational outcomes and other relevant indicators on completion rates and exclusions to inform policies and programmes.</w:t>
      </w:r>
      <w:r w:rsidRPr="00376D41">
        <w:rPr>
          <w:rStyle w:val="FootnoteReference"/>
        </w:rPr>
        <w:footnoteReference w:id="62"/>
      </w:r>
    </w:p>
    <w:p w14:paraId="3A91F6A9" w14:textId="77777777" w:rsidR="00DC5C20" w:rsidRPr="00DC5C20" w:rsidRDefault="00DC5C20" w:rsidP="00DC5C20">
      <w:pPr>
        <w:pStyle w:val="ListParagraph"/>
        <w:rPr>
          <w:rFonts w:cs="Segoe UI"/>
          <w:lang w:val="en" w:eastAsia="en-GB"/>
        </w:rPr>
      </w:pPr>
    </w:p>
    <w:p w14:paraId="7655CC53" w14:textId="694B36FC" w:rsidR="00B0375E" w:rsidRDefault="00B0375E" w:rsidP="00080B26">
      <w:pPr>
        <w:pStyle w:val="ListParagraph"/>
        <w:numPr>
          <w:ilvl w:val="1"/>
          <w:numId w:val="4"/>
        </w:numPr>
        <w:suppressAutoHyphens/>
        <w:ind w:left="709" w:hanging="709"/>
        <w:rPr>
          <w:rFonts w:cs="Arial"/>
          <w:color w:val="000000" w:themeColor="text1"/>
        </w:rPr>
      </w:pPr>
      <w:r>
        <w:rPr>
          <w:rFonts w:cs="Arial"/>
          <w:color w:val="000000" w:themeColor="text1"/>
        </w:rPr>
        <w:t>In August 2024, the UN CERD Committee reiterated its concerns with inequalities in the education system in the UK and NI. It recommended that the UK Government and NI Executive. “</w:t>
      </w:r>
      <w:r w:rsidRPr="00C41724">
        <w:rPr>
          <w:rFonts w:cs="Arial"/>
          <w:color w:val="000000" w:themeColor="text1"/>
        </w:rPr>
        <w:t>Strengthen its measures to ensure the availability, accessibility and quality of education for children belonging to ethnic minority groups, notably children belonging to Gypsy, Roma and Traveller communities, children of African descent and migrant, asylum-seeking and refugee children</w:t>
      </w:r>
      <w:r>
        <w:rPr>
          <w:rFonts w:cs="Arial"/>
          <w:color w:val="000000" w:themeColor="text1"/>
        </w:rPr>
        <w:t>”.</w:t>
      </w:r>
      <w:r>
        <w:rPr>
          <w:rStyle w:val="FootnoteReference"/>
          <w:rFonts w:cs="Arial"/>
          <w:color w:val="000000" w:themeColor="text1"/>
        </w:rPr>
        <w:footnoteReference w:id="63"/>
      </w:r>
      <w:r w:rsidR="00E87C4A">
        <w:rPr>
          <w:rFonts w:cs="Arial"/>
          <w:color w:val="000000" w:themeColor="text1"/>
        </w:rPr>
        <w:t xml:space="preserve"> </w:t>
      </w:r>
    </w:p>
    <w:p w14:paraId="67347220" w14:textId="77777777" w:rsidR="00B0375E" w:rsidRDefault="00B0375E" w:rsidP="00B0375E">
      <w:pPr>
        <w:pStyle w:val="ListParagraph"/>
        <w:suppressAutoHyphens/>
        <w:ind w:left="709"/>
        <w:rPr>
          <w:rFonts w:cs="Arial"/>
          <w:color w:val="000000" w:themeColor="text1"/>
        </w:rPr>
      </w:pPr>
    </w:p>
    <w:p w14:paraId="1B9F2820" w14:textId="76E60EB6" w:rsidR="00865929" w:rsidRPr="00DC5C20" w:rsidRDefault="007B68A3" w:rsidP="00080B26">
      <w:pPr>
        <w:pStyle w:val="ListParagraph"/>
        <w:numPr>
          <w:ilvl w:val="1"/>
          <w:numId w:val="4"/>
        </w:numPr>
        <w:suppressAutoHyphens/>
        <w:ind w:left="709" w:hanging="709"/>
        <w:rPr>
          <w:rFonts w:cs="Arial"/>
          <w:b/>
          <w:bCs/>
          <w:color w:val="000000" w:themeColor="text1"/>
        </w:rPr>
      </w:pPr>
      <w:r w:rsidRPr="00DC5C20">
        <w:rPr>
          <w:rFonts w:cs="Segoe UI"/>
          <w:lang w:val="en" w:eastAsia="en-GB"/>
        </w:rPr>
        <w:t>In 2024, t</w:t>
      </w:r>
      <w:r w:rsidR="002F061B" w:rsidRPr="00DC5C20">
        <w:rPr>
          <w:rFonts w:cs="Segoe UI"/>
          <w:lang w:val="en" w:eastAsia="en-GB"/>
        </w:rPr>
        <w:t xml:space="preserve">he ongoing cost of living crisis continues to affect the affordability of rent, energy and food for </w:t>
      </w:r>
      <w:r w:rsidR="00204D69" w:rsidRPr="00DC5C20">
        <w:rPr>
          <w:rFonts w:cs="Segoe UI"/>
          <w:lang w:val="en" w:eastAsia="en-GB"/>
        </w:rPr>
        <w:t>many</w:t>
      </w:r>
      <w:r w:rsidR="002F061B" w:rsidRPr="00DC5C20">
        <w:rPr>
          <w:rFonts w:cs="Segoe UI"/>
          <w:lang w:val="en" w:eastAsia="en-GB"/>
        </w:rPr>
        <w:t xml:space="preserve"> families</w:t>
      </w:r>
      <w:r w:rsidR="00204D69" w:rsidRPr="00DC5C20">
        <w:rPr>
          <w:rFonts w:cs="Segoe UI"/>
          <w:lang w:val="en" w:eastAsia="en-GB"/>
        </w:rPr>
        <w:t xml:space="preserve"> across NI</w:t>
      </w:r>
      <w:r w:rsidR="0096645A" w:rsidRPr="00DC5C20">
        <w:rPr>
          <w:rFonts w:cs="Segoe UI"/>
          <w:lang w:val="en" w:eastAsia="en-GB"/>
        </w:rPr>
        <w:t>.</w:t>
      </w:r>
      <w:r w:rsidR="002F061B" w:rsidRPr="00DC5C20">
        <w:rPr>
          <w:rFonts w:cs="Segoe UI"/>
          <w:lang w:val="en" w:eastAsia="en-GB"/>
        </w:rPr>
        <w:t xml:space="preserve"> </w:t>
      </w:r>
      <w:r w:rsidR="00CD0780" w:rsidRPr="00DC5C20">
        <w:rPr>
          <w:rFonts w:cs="Segoe UI"/>
          <w:lang w:val="en" w:eastAsia="en-GB"/>
        </w:rPr>
        <w:t>S</w:t>
      </w:r>
      <w:r w:rsidR="0086062B" w:rsidRPr="00DC5C20">
        <w:rPr>
          <w:rFonts w:cs="Segoe UI"/>
          <w:lang w:val="en" w:eastAsia="en-GB"/>
        </w:rPr>
        <w:t>chool</w:t>
      </w:r>
      <w:r w:rsidR="002F061B" w:rsidRPr="00DC5C20">
        <w:rPr>
          <w:rFonts w:cs="Segoe UI"/>
          <w:lang w:val="en" w:eastAsia="en-GB"/>
        </w:rPr>
        <w:t xml:space="preserve"> uniforms</w:t>
      </w:r>
      <w:r w:rsidR="00725FE6" w:rsidRPr="00DC5C20">
        <w:rPr>
          <w:rFonts w:cs="Segoe UI"/>
          <w:lang w:val="en" w:eastAsia="en-GB"/>
        </w:rPr>
        <w:t xml:space="preserve"> </w:t>
      </w:r>
      <w:r w:rsidR="00010C8D" w:rsidRPr="00DC5C20">
        <w:rPr>
          <w:rFonts w:cs="Segoe UI"/>
          <w:lang w:val="en" w:eastAsia="en-GB"/>
        </w:rPr>
        <w:t>are an additional</w:t>
      </w:r>
      <w:r w:rsidR="002F061B" w:rsidRPr="00DC5C20">
        <w:rPr>
          <w:rFonts w:cs="Segoe UI"/>
          <w:lang w:val="en" w:eastAsia="en-GB"/>
        </w:rPr>
        <w:t xml:space="preserve"> financial burden</w:t>
      </w:r>
      <w:r w:rsidR="00CD0780" w:rsidRPr="00DC5C20">
        <w:rPr>
          <w:rFonts w:cs="Segoe UI"/>
          <w:lang w:val="en" w:eastAsia="en-GB"/>
        </w:rPr>
        <w:t xml:space="preserve"> for families with children</w:t>
      </w:r>
      <w:r w:rsidR="002A6DE7" w:rsidRPr="00DC5C20">
        <w:rPr>
          <w:rFonts w:cs="Segoe UI"/>
          <w:lang w:val="en" w:eastAsia="en-GB"/>
        </w:rPr>
        <w:t xml:space="preserve">, </w:t>
      </w:r>
      <w:r w:rsidR="00972B8C" w:rsidRPr="00DC5C20">
        <w:rPr>
          <w:rFonts w:cs="Segoe UI"/>
          <w:lang w:val="en" w:eastAsia="en-GB"/>
        </w:rPr>
        <w:t xml:space="preserve">which has a particular impact on those from </w:t>
      </w:r>
      <w:r w:rsidR="00827FE6" w:rsidRPr="00DC5C20">
        <w:rPr>
          <w:rFonts w:cs="Segoe UI"/>
          <w:lang w:val="en" w:eastAsia="en-GB"/>
        </w:rPr>
        <w:t>lower socio-economic strata</w:t>
      </w:r>
      <w:r w:rsidR="002F061B" w:rsidRPr="00DC5C20">
        <w:rPr>
          <w:rFonts w:cs="Segoe UI"/>
          <w:lang w:val="en" w:eastAsia="en-GB"/>
        </w:rPr>
        <w:t>.</w:t>
      </w:r>
      <w:r w:rsidR="002F061B">
        <w:rPr>
          <w:rStyle w:val="FootnoteReference"/>
          <w:rFonts w:cs="Segoe UI"/>
          <w:lang w:val="en" w:eastAsia="en-GB"/>
        </w:rPr>
        <w:footnoteReference w:id="64"/>
      </w:r>
      <w:r w:rsidR="002F061B" w:rsidRPr="00DC5C20">
        <w:rPr>
          <w:rFonts w:cs="Segoe UI"/>
          <w:lang w:val="en" w:eastAsia="en-GB"/>
        </w:rPr>
        <w:t xml:space="preserve"> </w:t>
      </w:r>
      <w:r w:rsidR="00865929" w:rsidRPr="00DC5C20">
        <w:rPr>
          <w:color w:val="000000"/>
        </w:rPr>
        <w:t>The most recent figures indicate that approximately 109,000 children in NI (24 per cent) live in relative poverty, while approximately 86,000 children (19 per cent) live in absolute poverty.</w:t>
      </w:r>
      <w:r w:rsidR="00865929">
        <w:rPr>
          <w:rStyle w:val="FootnoteReference"/>
          <w:color w:val="000000"/>
        </w:rPr>
        <w:footnoteReference w:id="65"/>
      </w:r>
      <w:r w:rsidR="00865929" w:rsidRPr="00DC5C20">
        <w:rPr>
          <w:color w:val="000000"/>
        </w:rPr>
        <w:t xml:space="preserve"> The estimated percentage of children </w:t>
      </w:r>
      <w:r w:rsidR="00865929" w:rsidRPr="00DC5C20">
        <w:rPr>
          <w:color w:val="000000"/>
        </w:rPr>
        <w:lastRenderedPageBreak/>
        <w:t>in combined low income and material deprivation was 9 per cent in 2022/2023.</w:t>
      </w:r>
      <w:r w:rsidR="00865929">
        <w:rPr>
          <w:rStyle w:val="FootnoteReference"/>
          <w:color w:val="000000"/>
        </w:rPr>
        <w:footnoteReference w:id="66"/>
      </w:r>
    </w:p>
    <w:p w14:paraId="5ECE384A" w14:textId="77777777" w:rsidR="00C62091" w:rsidRPr="0032696F" w:rsidRDefault="00C62091" w:rsidP="00C62091">
      <w:pPr>
        <w:pStyle w:val="ListParagraph"/>
        <w:suppressAutoHyphens/>
        <w:ind w:left="709"/>
        <w:rPr>
          <w:rFonts w:cs="Arial"/>
          <w:b/>
          <w:bCs/>
          <w:color w:val="000000" w:themeColor="text1"/>
        </w:rPr>
      </w:pPr>
    </w:p>
    <w:p w14:paraId="24BDE8F2" w14:textId="5BE1664B" w:rsidR="002F061B" w:rsidRPr="00AB1D1D" w:rsidRDefault="00FE4461" w:rsidP="00080B26">
      <w:pPr>
        <w:pStyle w:val="ListParagraph"/>
        <w:numPr>
          <w:ilvl w:val="1"/>
          <w:numId w:val="4"/>
        </w:numPr>
        <w:suppressAutoHyphens/>
        <w:ind w:left="709" w:hanging="709"/>
        <w:rPr>
          <w:rFonts w:cs="Arial"/>
          <w:b/>
          <w:bCs/>
          <w:color w:val="000000" w:themeColor="text1"/>
        </w:rPr>
      </w:pPr>
      <w:r>
        <w:rPr>
          <w:color w:val="000000"/>
        </w:rPr>
        <w:t>While</w:t>
      </w:r>
      <w:r w:rsidR="002F061B">
        <w:rPr>
          <w:color w:val="000000"/>
        </w:rPr>
        <w:t xml:space="preserve"> </w:t>
      </w:r>
      <w:r w:rsidR="002F061B" w:rsidRPr="00FB2B0A">
        <w:rPr>
          <w:color w:val="000000"/>
        </w:rPr>
        <w:t xml:space="preserve">uniform grants are available to families </w:t>
      </w:r>
      <w:r w:rsidR="002F061B">
        <w:rPr>
          <w:color w:val="000000"/>
        </w:rPr>
        <w:t>w</w:t>
      </w:r>
      <w:r w:rsidR="002F061B" w:rsidRPr="00FB2B0A">
        <w:rPr>
          <w:color w:val="000000"/>
        </w:rPr>
        <w:t>ho meet certain qualifying criteria, this has proved insufficient in making school uniforms affordable.</w:t>
      </w:r>
      <w:r w:rsidR="002F061B">
        <w:rPr>
          <w:rStyle w:val="FootnoteReference"/>
        </w:rPr>
        <w:footnoteReference w:id="67"/>
      </w:r>
      <w:r w:rsidR="002F061B" w:rsidRPr="00FB2B0A">
        <w:rPr>
          <w:color w:val="000000"/>
        </w:rPr>
        <w:t xml:space="preserve"> </w:t>
      </w:r>
      <w:r w:rsidR="002F061B">
        <w:rPr>
          <w:color w:val="000000"/>
        </w:rPr>
        <w:t xml:space="preserve"> </w:t>
      </w:r>
      <w:r w:rsidR="00C62091">
        <w:rPr>
          <w:color w:val="000000"/>
        </w:rPr>
        <w:t xml:space="preserve"> </w:t>
      </w:r>
      <w:r w:rsidR="00CD11AC" w:rsidRPr="00C62091">
        <w:rPr>
          <w:rFonts w:cs="Arial"/>
          <w:color w:val="000000" w:themeColor="text1"/>
        </w:rPr>
        <w:t xml:space="preserve">In 2023, a </w:t>
      </w:r>
      <w:proofErr w:type="spellStart"/>
      <w:r w:rsidR="00CD11AC" w:rsidRPr="00C62091">
        <w:rPr>
          <w:rFonts w:cs="Arial"/>
          <w:color w:val="000000" w:themeColor="text1"/>
        </w:rPr>
        <w:t>LucidTalk</w:t>
      </w:r>
      <w:proofErr w:type="spellEnd"/>
      <w:r w:rsidR="00CD11AC" w:rsidRPr="00C62091">
        <w:rPr>
          <w:rFonts w:cs="Arial"/>
          <w:color w:val="000000" w:themeColor="text1"/>
        </w:rPr>
        <w:t xml:space="preserve"> poll for Save the Children NI </w:t>
      </w:r>
      <w:r w:rsidR="002742FA" w:rsidRPr="00C62091">
        <w:rPr>
          <w:rFonts w:cs="Arial"/>
          <w:color w:val="000000" w:themeColor="text1"/>
        </w:rPr>
        <w:t xml:space="preserve">found that </w:t>
      </w:r>
      <w:r w:rsidR="00CA21FA" w:rsidRPr="00C62091">
        <w:rPr>
          <w:rFonts w:cs="Arial"/>
          <w:color w:val="000000" w:themeColor="text1"/>
        </w:rPr>
        <w:t xml:space="preserve">six in ten </w:t>
      </w:r>
      <w:r w:rsidR="002C0314" w:rsidRPr="00C62091">
        <w:rPr>
          <w:rFonts w:cs="Arial"/>
          <w:color w:val="000000" w:themeColor="text1"/>
        </w:rPr>
        <w:t>respondents</w:t>
      </w:r>
      <w:r w:rsidR="00CA21FA" w:rsidRPr="00C62091">
        <w:rPr>
          <w:rFonts w:cs="Arial"/>
          <w:color w:val="000000" w:themeColor="text1"/>
        </w:rPr>
        <w:t xml:space="preserve"> “</w:t>
      </w:r>
      <w:r w:rsidR="00741CEC" w:rsidRPr="00C62091">
        <w:rPr>
          <w:rFonts w:cs="Arial"/>
          <w:color w:val="000000" w:themeColor="text1"/>
        </w:rPr>
        <w:t>were financially challenged by the cost of school uniforms and PE kits</w:t>
      </w:r>
      <w:r w:rsidR="008F68C2" w:rsidRPr="00C62091">
        <w:rPr>
          <w:rFonts w:cs="Arial"/>
          <w:color w:val="000000" w:themeColor="text1"/>
        </w:rPr>
        <w:t>”.</w:t>
      </w:r>
      <w:r w:rsidR="00354FA1">
        <w:rPr>
          <w:rStyle w:val="FootnoteReference"/>
          <w:rFonts w:cs="Arial"/>
          <w:color w:val="000000" w:themeColor="text1"/>
        </w:rPr>
        <w:footnoteReference w:id="68"/>
      </w:r>
      <w:r w:rsidR="00550E78" w:rsidRPr="00C62091">
        <w:rPr>
          <w:rFonts w:cs="Arial"/>
          <w:color w:val="000000" w:themeColor="text1"/>
        </w:rPr>
        <w:t xml:space="preserve"> For</w:t>
      </w:r>
      <w:r w:rsidR="00274A8E" w:rsidRPr="00C62091">
        <w:rPr>
          <w:rFonts w:cs="Arial"/>
          <w:color w:val="000000" w:themeColor="text1"/>
        </w:rPr>
        <w:t xml:space="preserve"> respondents </w:t>
      </w:r>
      <w:r w:rsidR="00197067" w:rsidRPr="00C62091">
        <w:rPr>
          <w:rFonts w:cs="Arial"/>
          <w:color w:val="000000" w:themeColor="text1"/>
        </w:rPr>
        <w:t xml:space="preserve">recorded </w:t>
      </w:r>
      <w:r w:rsidR="008F68C2" w:rsidRPr="00C62091">
        <w:rPr>
          <w:rFonts w:cs="Arial"/>
          <w:color w:val="000000" w:themeColor="text1"/>
        </w:rPr>
        <w:t xml:space="preserve">as </w:t>
      </w:r>
      <w:r w:rsidR="00550E78" w:rsidRPr="00C62091">
        <w:rPr>
          <w:rFonts w:cs="Arial"/>
          <w:color w:val="000000" w:themeColor="text1"/>
        </w:rPr>
        <w:t>low-income</w:t>
      </w:r>
      <w:r w:rsidR="008F68C2" w:rsidRPr="00C62091">
        <w:rPr>
          <w:rFonts w:cs="Arial"/>
          <w:color w:val="000000" w:themeColor="text1"/>
        </w:rPr>
        <w:t xml:space="preserve">, </w:t>
      </w:r>
      <w:r w:rsidR="00550E78" w:rsidRPr="00C62091">
        <w:rPr>
          <w:rFonts w:cs="Arial"/>
          <w:color w:val="000000" w:themeColor="text1"/>
        </w:rPr>
        <w:t>this rises to over seven in ten.</w:t>
      </w:r>
      <w:r w:rsidR="00E50A69" w:rsidRPr="00C62091">
        <w:rPr>
          <w:rFonts w:cs="Arial"/>
          <w:color w:val="000000" w:themeColor="text1"/>
        </w:rPr>
        <w:t xml:space="preserve"> </w:t>
      </w:r>
      <w:r w:rsidR="00AE3C40" w:rsidRPr="00C62091">
        <w:rPr>
          <w:rFonts w:cs="Arial"/>
          <w:color w:val="000000" w:themeColor="text1"/>
        </w:rPr>
        <w:t xml:space="preserve">Approximately one in three respondents have had to borrow money to cover the cost of </w:t>
      </w:r>
      <w:r w:rsidR="000207CE" w:rsidRPr="00C62091">
        <w:rPr>
          <w:rFonts w:cs="Arial"/>
          <w:color w:val="000000" w:themeColor="text1"/>
        </w:rPr>
        <w:t>school uniforms and PE kits.</w:t>
      </w:r>
      <w:r w:rsidR="00CE1FAA">
        <w:rPr>
          <w:rStyle w:val="FootnoteReference"/>
          <w:rFonts w:cs="Arial"/>
          <w:color w:val="000000" w:themeColor="text1"/>
        </w:rPr>
        <w:footnoteReference w:id="69"/>
      </w:r>
      <w:r w:rsidR="000207CE" w:rsidRPr="00C62091">
        <w:rPr>
          <w:rFonts w:cs="Arial"/>
          <w:color w:val="000000" w:themeColor="text1"/>
        </w:rPr>
        <w:t xml:space="preserve"> While one in ten respondents advised that their child has missed out on school due to issues relating to school uniform</w:t>
      </w:r>
      <w:r w:rsidR="005F1DBC" w:rsidRPr="00C62091">
        <w:rPr>
          <w:rFonts w:cs="Arial"/>
          <w:color w:val="000000" w:themeColor="text1"/>
        </w:rPr>
        <w:t xml:space="preserve"> and PE kits.</w:t>
      </w:r>
      <w:r w:rsidR="00CE1FAA">
        <w:rPr>
          <w:rStyle w:val="FootnoteReference"/>
          <w:rFonts w:cs="Arial"/>
          <w:color w:val="000000" w:themeColor="text1"/>
        </w:rPr>
        <w:footnoteReference w:id="70"/>
      </w:r>
    </w:p>
    <w:p w14:paraId="5AFD4092" w14:textId="77777777" w:rsidR="00AB1D1D" w:rsidRPr="00AB1D1D" w:rsidRDefault="00AB1D1D" w:rsidP="00AB1D1D">
      <w:pPr>
        <w:pStyle w:val="ListParagraph"/>
        <w:rPr>
          <w:rFonts w:cs="Arial"/>
          <w:b/>
          <w:bCs/>
          <w:color w:val="000000" w:themeColor="text1"/>
        </w:rPr>
      </w:pPr>
    </w:p>
    <w:p w14:paraId="25D8E1ED" w14:textId="3DDB12DE" w:rsidR="005060F3" w:rsidRDefault="00AB1D1D" w:rsidP="00080B26">
      <w:pPr>
        <w:pStyle w:val="ListParagraph"/>
        <w:numPr>
          <w:ilvl w:val="1"/>
          <w:numId w:val="4"/>
        </w:numPr>
        <w:suppressAutoHyphens/>
        <w:ind w:left="709" w:hanging="709"/>
        <w:rPr>
          <w:rFonts w:cs="Arial"/>
          <w:color w:val="000000" w:themeColor="text1"/>
        </w:rPr>
      </w:pPr>
      <w:r w:rsidRPr="00327D56">
        <w:rPr>
          <w:rFonts w:cs="Arial"/>
          <w:color w:val="000000" w:themeColor="text1"/>
        </w:rPr>
        <w:t xml:space="preserve">In 2024, the Irish League of Credit Unions published the results of its </w:t>
      </w:r>
      <w:r w:rsidR="002E7114" w:rsidRPr="00327D56">
        <w:rPr>
          <w:rFonts w:cs="Arial"/>
          <w:color w:val="000000" w:themeColor="text1"/>
        </w:rPr>
        <w:t>A</w:t>
      </w:r>
      <w:r w:rsidRPr="00327D56">
        <w:rPr>
          <w:rFonts w:cs="Arial"/>
          <w:color w:val="000000" w:themeColor="text1"/>
        </w:rPr>
        <w:t>nnual NI Back to School survey</w:t>
      </w:r>
      <w:r w:rsidR="002E7114" w:rsidRPr="00327D56">
        <w:rPr>
          <w:rFonts w:cs="Arial"/>
          <w:color w:val="000000" w:themeColor="text1"/>
        </w:rPr>
        <w:t>.</w:t>
      </w:r>
      <w:r w:rsidR="00CE1FAA">
        <w:rPr>
          <w:rStyle w:val="FootnoteReference"/>
          <w:rFonts w:cs="Arial"/>
          <w:color w:val="000000" w:themeColor="text1"/>
        </w:rPr>
        <w:footnoteReference w:id="71"/>
      </w:r>
      <w:r w:rsidR="002E7114" w:rsidRPr="00327D56">
        <w:rPr>
          <w:rFonts w:cs="Arial"/>
          <w:color w:val="000000" w:themeColor="text1"/>
        </w:rPr>
        <w:t xml:space="preserve"> It found that </w:t>
      </w:r>
      <w:r w:rsidR="00327D56">
        <w:rPr>
          <w:rFonts w:cs="Arial"/>
          <w:color w:val="000000" w:themeColor="text1"/>
        </w:rPr>
        <w:t>p</w:t>
      </w:r>
      <w:r w:rsidR="00327D56" w:rsidRPr="00327D56">
        <w:rPr>
          <w:rFonts w:cs="Arial"/>
          <w:color w:val="000000" w:themeColor="text1"/>
        </w:rPr>
        <w:t xml:space="preserve">rimary school </w:t>
      </w:r>
      <w:r w:rsidR="00327D56">
        <w:rPr>
          <w:rFonts w:cs="Arial"/>
          <w:color w:val="000000" w:themeColor="text1"/>
        </w:rPr>
        <w:t>p</w:t>
      </w:r>
      <w:r w:rsidR="00327D56" w:rsidRPr="00327D56">
        <w:rPr>
          <w:rFonts w:cs="Arial"/>
          <w:color w:val="000000" w:themeColor="text1"/>
        </w:rPr>
        <w:t xml:space="preserve">arents spend on average £132 on uniforms a year while </w:t>
      </w:r>
      <w:r w:rsidR="00390238">
        <w:rPr>
          <w:rFonts w:cs="Arial"/>
          <w:color w:val="000000" w:themeColor="text1"/>
        </w:rPr>
        <w:t>s</w:t>
      </w:r>
      <w:r w:rsidR="00327D56" w:rsidRPr="00327D56">
        <w:rPr>
          <w:rFonts w:cs="Arial"/>
          <w:color w:val="000000" w:themeColor="text1"/>
        </w:rPr>
        <w:t xml:space="preserve">econdary school </w:t>
      </w:r>
      <w:r w:rsidR="00390238">
        <w:rPr>
          <w:rFonts w:cs="Arial"/>
          <w:color w:val="000000" w:themeColor="text1"/>
        </w:rPr>
        <w:t>p</w:t>
      </w:r>
      <w:r w:rsidR="00327D56" w:rsidRPr="00327D56">
        <w:rPr>
          <w:rFonts w:cs="Arial"/>
          <w:color w:val="000000" w:themeColor="text1"/>
        </w:rPr>
        <w:t>arents are spending £210, on average.</w:t>
      </w:r>
      <w:r w:rsidR="00646270">
        <w:rPr>
          <w:rStyle w:val="FootnoteReference"/>
          <w:rFonts w:cs="Arial"/>
          <w:color w:val="000000" w:themeColor="text1"/>
        </w:rPr>
        <w:footnoteReference w:id="72"/>
      </w:r>
      <w:r w:rsidR="00390238">
        <w:rPr>
          <w:rFonts w:cs="Arial"/>
          <w:color w:val="000000" w:themeColor="text1"/>
        </w:rPr>
        <w:t xml:space="preserve"> </w:t>
      </w:r>
      <w:r w:rsidR="007761B7">
        <w:rPr>
          <w:rFonts w:cs="Arial"/>
          <w:color w:val="000000" w:themeColor="text1"/>
        </w:rPr>
        <w:t>Of 540 respondents, 58 per cent recorded that the increasing costs of new school uniforms if the biggest effect of the rising cost of living</w:t>
      </w:r>
      <w:r w:rsidR="00E624B8">
        <w:rPr>
          <w:rFonts w:cs="Arial"/>
          <w:color w:val="000000" w:themeColor="text1"/>
        </w:rPr>
        <w:t>.</w:t>
      </w:r>
      <w:r w:rsidR="00646270">
        <w:rPr>
          <w:rStyle w:val="FootnoteReference"/>
          <w:rFonts w:cs="Arial"/>
          <w:color w:val="000000" w:themeColor="text1"/>
        </w:rPr>
        <w:footnoteReference w:id="73"/>
      </w:r>
      <w:r w:rsidR="00E624B8">
        <w:rPr>
          <w:rFonts w:cs="Arial"/>
          <w:color w:val="000000" w:themeColor="text1"/>
        </w:rPr>
        <w:t xml:space="preserve"> Uniform was recorded as the top expense for secondary school parents. </w:t>
      </w:r>
      <w:r w:rsidR="00873F36">
        <w:rPr>
          <w:rFonts w:cs="Arial"/>
          <w:color w:val="000000" w:themeColor="text1"/>
        </w:rPr>
        <w:t>Currently, the uniform grant for a primary school pupil is £42.90</w:t>
      </w:r>
      <w:r w:rsidR="0036280B">
        <w:rPr>
          <w:rFonts w:cs="Arial"/>
          <w:color w:val="000000" w:themeColor="text1"/>
        </w:rPr>
        <w:t xml:space="preserve"> and up to £67</w:t>
      </w:r>
      <w:r w:rsidR="003905F2">
        <w:rPr>
          <w:rFonts w:cs="Arial"/>
          <w:color w:val="000000" w:themeColor="text1"/>
        </w:rPr>
        <w:t xml:space="preserve">.20 is available for post-primary </w:t>
      </w:r>
      <w:r w:rsidR="00035D35">
        <w:rPr>
          <w:rFonts w:cs="Arial"/>
          <w:color w:val="000000" w:themeColor="text1"/>
        </w:rPr>
        <w:t xml:space="preserve">school </w:t>
      </w:r>
      <w:r w:rsidR="003905F2">
        <w:rPr>
          <w:rFonts w:cs="Arial"/>
          <w:color w:val="000000" w:themeColor="text1"/>
        </w:rPr>
        <w:t>uniforms</w:t>
      </w:r>
      <w:r w:rsidR="00035D35">
        <w:rPr>
          <w:rFonts w:cs="Arial"/>
          <w:color w:val="000000" w:themeColor="text1"/>
        </w:rPr>
        <w:t>.</w:t>
      </w:r>
      <w:r w:rsidR="00035D35">
        <w:rPr>
          <w:rStyle w:val="FootnoteReference"/>
          <w:rFonts w:cs="Arial"/>
          <w:color w:val="000000" w:themeColor="text1"/>
        </w:rPr>
        <w:footnoteReference w:id="74"/>
      </w:r>
    </w:p>
    <w:p w14:paraId="51877874" w14:textId="77777777" w:rsidR="00E624B8" w:rsidRPr="00E624B8" w:rsidRDefault="00E624B8" w:rsidP="00E624B8">
      <w:pPr>
        <w:suppressAutoHyphens/>
        <w:rPr>
          <w:rFonts w:cs="Arial"/>
          <w:color w:val="000000" w:themeColor="text1"/>
        </w:rPr>
      </w:pPr>
    </w:p>
    <w:p w14:paraId="5D4172B2" w14:textId="76407459" w:rsidR="002A16E1" w:rsidRPr="002A16E1" w:rsidRDefault="006120C2" w:rsidP="00080B26">
      <w:pPr>
        <w:pStyle w:val="ListParagraph"/>
        <w:numPr>
          <w:ilvl w:val="1"/>
          <w:numId w:val="4"/>
        </w:numPr>
        <w:suppressAutoHyphens/>
        <w:ind w:left="709" w:hanging="709"/>
        <w:rPr>
          <w:rFonts w:cs="Arial"/>
          <w:b/>
          <w:bCs/>
          <w:color w:val="000000" w:themeColor="text1"/>
        </w:rPr>
      </w:pPr>
      <w:r>
        <w:rPr>
          <w:rFonts w:cs="Segoe UI"/>
          <w:lang w:val="en" w:eastAsia="en-GB"/>
        </w:rPr>
        <w:lastRenderedPageBreak/>
        <w:t>The</w:t>
      </w:r>
      <w:r w:rsidR="00AB41A3">
        <w:rPr>
          <w:rFonts w:cs="Segoe UI"/>
          <w:lang w:val="en" w:eastAsia="en-GB"/>
        </w:rPr>
        <w:t xml:space="preserve"> NIHRC welcomes the</w:t>
      </w:r>
      <w:r>
        <w:rPr>
          <w:rFonts w:cs="Segoe UI"/>
          <w:lang w:val="en" w:eastAsia="en-GB"/>
        </w:rPr>
        <w:t xml:space="preserve"> range of measures</w:t>
      </w:r>
      <w:r w:rsidR="00AF001D">
        <w:rPr>
          <w:rFonts w:cs="Segoe UI"/>
          <w:lang w:val="en" w:eastAsia="en-GB"/>
        </w:rPr>
        <w:t xml:space="preserve"> proposed which are </w:t>
      </w:r>
      <w:r>
        <w:rPr>
          <w:rFonts w:cs="Segoe UI"/>
          <w:lang w:val="en" w:eastAsia="en-GB"/>
        </w:rPr>
        <w:t>designed to keep the cost of school uniforms as low as possible.</w:t>
      </w:r>
      <w:r>
        <w:rPr>
          <w:rStyle w:val="FootnoteReference"/>
          <w:rFonts w:cs="Segoe UI"/>
          <w:lang w:val="en" w:eastAsia="en-GB"/>
        </w:rPr>
        <w:footnoteReference w:id="75"/>
      </w:r>
      <w:r>
        <w:rPr>
          <w:rFonts w:cs="Segoe UI"/>
          <w:lang w:val="en" w:eastAsia="en-GB"/>
        </w:rPr>
        <w:t xml:space="preserve"> This includes strengthening statutory guidance to make it compulsory for Board of Governors to demonstrate </w:t>
      </w:r>
      <w:r w:rsidRPr="002E27EF">
        <w:rPr>
          <w:rFonts w:cs="Segoe UI"/>
          <w:lang w:eastAsia="en-GB"/>
        </w:rPr>
        <w:t>how they have taken costs into account when designing their uniform</w:t>
      </w:r>
      <w:r>
        <w:rPr>
          <w:rFonts w:cs="Segoe UI"/>
          <w:lang w:eastAsia="en-GB"/>
        </w:rPr>
        <w:t xml:space="preserve"> and a requirement that schools publish details of the costs of their uniform.</w:t>
      </w:r>
      <w:r>
        <w:rPr>
          <w:rStyle w:val="FootnoteReference"/>
          <w:rFonts w:cs="Segoe UI"/>
          <w:lang w:eastAsia="en-GB"/>
        </w:rPr>
        <w:footnoteReference w:id="76"/>
      </w:r>
      <w:r>
        <w:rPr>
          <w:rFonts w:cs="Segoe UI"/>
          <w:lang w:eastAsia="en-GB"/>
        </w:rPr>
        <w:t xml:space="preserve"> </w:t>
      </w:r>
    </w:p>
    <w:p w14:paraId="32D9FFCA" w14:textId="77777777" w:rsidR="002A16E1" w:rsidRPr="002A16E1" w:rsidRDefault="002A16E1" w:rsidP="002A16E1">
      <w:pPr>
        <w:pStyle w:val="ListParagraph"/>
        <w:rPr>
          <w:rFonts w:cs="Arial"/>
          <w:color w:val="000000" w:themeColor="text1"/>
        </w:rPr>
      </w:pPr>
    </w:p>
    <w:p w14:paraId="5EDA2317" w14:textId="446E45C8" w:rsidR="00EA632C" w:rsidRPr="000E01F4" w:rsidRDefault="002A16E1" w:rsidP="00080B26">
      <w:pPr>
        <w:pStyle w:val="ListParagraph"/>
        <w:numPr>
          <w:ilvl w:val="1"/>
          <w:numId w:val="4"/>
        </w:numPr>
        <w:suppressAutoHyphens/>
        <w:ind w:left="709" w:hanging="709"/>
        <w:rPr>
          <w:rFonts w:cs="Arial"/>
          <w:b/>
          <w:bCs/>
          <w:color w:val="000000" w:themeColor="text1"/>
        </w:rPr>
      </w:pPr>
      <w:r>
        <w:rPr>
          <w:rFonts w:cs="Arial"/>
          <w:color w:val="000000" w:themeColor="text1"/>
        </w:rPr>
        <w:t>In addition, t</w:t>
      </w:r>
      <w:r w:rsidR="005060F3" w:rsidRPr="000E01F4">
        <w:rPr>
          <w:rFonts w:cs="Arial"/>
          <w:color w:val="000000" w:themeColor="text1"/>
        </w:rPr>
        <w:t xml:space="preserve">he NIHRC is encouraged by the </w:t>
      </w:r>
      <w:r w:rsidR="00190126" w:rsidRPr="000E01F4">
        <w:rPr>
          <w:rFonts w:cs="Arial"/>
          <w:color w:val="000000" w:themeColor="text1"/>
        </w:rPr>
        <w:t xml:space="preserve">proposal </w:t>
      </w:r>
      <w:r w:rsidR="00A61E10" w:rsidRPr="000E01F4">
        <w:rPr>
          <w:rFonts w:cs="Arial"/>
          <w:color w:val="000000" w:themeColor="text1"/>
        </w:rPr>
        <w:t xml:space="preserve">that </w:t>
      </w:r>
      <w:r w:rsidR="008B2E24" w:rsidRPr="000E01F4">
        <w:rPr>
          <w:rFonts w:cs="Arial"/>
          <w:color w:val="000000" w:themeColor="text1"/>
        </w:rPr>
        <w:t xml:space="preserve">schools </w:t>
      </w:r>
      <w:r w:rsidR="00A61E10" w:rsidRPr="000E01F4">
        <w:rPr>
          <w:rFonts w:cs="Arial"/>
          <w:color w:val="000000" w:themeColor="text1"/>
        </w:rPr>
        <w:t>“</w:t>
      </w:r>
      <w:r w:rsidR="00DE3A6D" w:rsidRPr="000E01F4">
        <w:rPr>
          <w:rFonts w:cs="Arial"/>
          <w:color w:val="000000" w:themeColor="text1"/>
        </w:rPr>
        <w:t>must review their uniform policy and consider if unusual colours/designs are necessary</w:t>
      </w:r>
      <w:r w:rsidR="008B2E24" w:rsidRPr="000E01F4">
        <w:rPr>
          <w:rFonts w:cs="Arial"/>
          <w:color w:val="000000" w:themeColor="text1"/>
        </w:rPr>
        <w:t>”</w:t>
      </w:r>
      <w:r w:rsidR="00BF2CA5" w:rsidRPr="000E01F4">
        <w:rPr>
          <w:rFonts w:cs="Arial"/>
          <w:color w:val="000000" w:themeColor="text1"/>
        </w:rPr>
        <w:t xml:space="preserve">, while aiming </w:t>
      </w:r>
      <w:r w:rsidR="008B2E24" w:rsidRPr="000E01F4">
        <w:rPr>
          <w:rFonts w:cs="Arial"/>
          <w:color w:val="000000" w:themeColor="text1"/>
        </w:rPr>
        <w:t xml:space="preserve">“to have a more standardised basic uniform which can be bought in a variety of shops”. </w:t>
      </w:r>
      <w:r w:rsidR="002063D6">
        <w:rPr>
          <w:rFonts w:cs="Arial"/>
          <w:color w:val="000000" w:themeColor="text1"/>
        </w:rPr>
        <w:t xml:space="preserve">This includes </w:t>
      </w:r>
      <w:r w:rsidR="00D95924">
        <w:rPr>
          <w:rFonts w:cs="Arial"/>
          <w:color w:val="000000" w:themeColor="text1"/>
        </w:rPr>
        <w:t xml:space="preserve">having an </w:t>
      </w:r>
      <w:r w:rsidR="00EA632C" w:rsidRPr="000E01F4">
        <w:rPr>
          <w:rFonts w:cs="Arial"/>
          <w:color w:val="000000" w:themeColor="text1"/>
        </w:rPr>
        <w:t xml:space="preserve">option to purchase a </w:t>
      </w:r>
      <w:r w:rsidR="00D95924">
        <w:rPr>
          <w:rFonts w:cs="Arial"/>
          <w:color w:val="000000" w:themeColor="text1"/>
        </w:rPr>
        <w:t>reusable, s</w:t>
      </w:r>
      <w:r w:rsidR="00EA632C" w:rsidRPr="000E01F4">
        <w:rPr>
          <w:rFonts w:cs="Arial"/>
          <w:color w:val="000000" w:themeColor="text1"/>
        </w:rPr>
        <w:t>ew</w:t>
      </w:r>
      <w:r w:rsidR="00D95924">
        <w:rPr>
          <w:rFonts w:cs="Arial"/>
          <w:color w:val="000000" w:themeColor="text1"/>
        </w:rPr>
        <w:t>-on</w:t>
      </w:r>
      <w:r w:rsidR="00EA632C" w:rsidRPr="000E01F4">
        <w:rPr>
          <w:rFonts w:cs="Arial"/>
          <w:color w:val="000000" w:themeColor="text1"/>
        </w:rPr>
        <w:t xml:space="preserve"> crest or logo</w:t>
      </w:r>
      <w:r w:rsidR="009941DE">
        <w:rPr>
          <w:rFonts w:cs="Arial"/>
          <w:color w:val="000000" w:themeColor="text1"/>
        </w:rPr>
        <w:t>,</w:t>
      </w:r>
      <w:r w:rsidR="00D95924">
        <w:rPr>
          <w:rFonts w:cs="Arial"/>
          <w:color w:val="000000" w:themeColor="text1"/>
        </w:rPr>
        <w:t xml:space="preserve"> </w:t>
      </w:r>
      <w:r w:rsidR="00D95924" w:rsidRPr="000E01F4">
        <w:rPr>
          <w:rFonts w:cs="Arial"/>
          <w:color w:val="000000" w:themeColor="text1"/>
        </w:rPr>
        <w:t>where considered necessary as part of the uniform</w:t>
      </w:r>
      <w:r w:rsidR="00EA632C" w:rsidRPr="000E01F4">
        <w:rPr>
          <w:rFonts w:cs="Arial"/>
          <w:color w:val="000000" w:themeColor="text1"/>
        </w:rPr>
        <w:t xml:space="preserve">. </w:t>
      </w:r>
      <w:r w:rsidR="002063D6" w:rsidRPr="00C66E6A">
        <w:rPr>
          <w:rFonts w:cs="Segoe UI"/>
          <w:lang w:eastAsia="en-GB"/>
        </w:rPr>
        <w:t xml:space="preserve">The NIHRC welcomes </w:t>
      </w:r>
      <w:r w:rsidR="00302E63">
        <w:rPr>
          <w:rFonts w:cs="Segoe UI"/>
          <w:lang w:eastAsia="en-GB"/>
        </w:rPr>
        <w:t>this range of cost-saving measures and</w:t>
      </w:r>
      <w:r w:rsidR="002063D6" w:rsidRPr="00C66E6A">
        <w:rPr>
          <w:rFonts w:cs="Segoe UI"/>
          <w:lang w:eastAsia="en-GB"/>
        </w:rPr>
        <w:t xml:space="preserve"> not</w:t>
      </w:r>
      <w:r w:rsidR="00302E63">
        <w:rPr>
          <w:rFonts w:cs="Segoe UI"/>
          <w:lang w:eastAsia="en-GB"/>
        </w:rPr>
        <w:t xml:space="preserve">es </w:t>
      </w:r>
      <w:r w:rsidR="002063D6" w:rsidRPr="00C66E6A">
        <w:rPr>
          <w:rFonts w:cs="Segoe UI"/>
          <w:lang w:eastAsia="en-GB"/>
        </w:rPr>
        <w:t xml:space="preserve">their consistency with the UN ICESCR Committee’s </w:t>
      </w:r>
      <w:r w:rsidR="002063D6">
        <w:t>“interrelated and essential” features of education</w:t>
      </w:r>
      <w:r w:rsidR="009941DE">
        <w:t>, particularly accessibility</w:t>
      </w:r>
      <w:r w:rsidR="002063D6">
        <w:t>.</w:t>
      </w:r>
      <w:r w:rsidR="002063D6" w:rsidRPr="003C5165">
        <w:rPr>
          <w:vertAlign w:val="superscript"/>
          <w:lang w:eastAsia="en-GB"/>
        </w:rPr>
        <w:footnoteReference w:id="77"/>
      </w:r>
    </w:p>
    <w:p w14:paraId="718116E6" w14:textId="77777777" w:rsidR="00EA632C" w:rsidRPr="00EA632C" w:rsidRDefault="00EA632C" w:rsidP="00EA632C">
      <w:pPr>
        <w:pStyle w:val="ListParagraph"/>
        <w:rPr>
          <w:rFonts w:cs="Arial"/>
          <w:color w:val="000000" w:themeColor="text1"/>
        </w:rPr>
      </w:pPr>
    </w:p>
    <w:p w14:paraId="3B9F15E1" w14:textId="53731D3C" w:rsidR="007A55A5" w:rsidRPr="00AA17FB" w:rsidRDefault="0045087A" w:rsidP="00080B26">
      <w:pPr>
        <w:pStyle w:val="ListParagraph"/>
        <w:numPr>
          <w:ilvl w:val="1"/>
          <w:numId w:val="4"/>
        </w:numPr>
        <w:suppressAutoHyphens/>
        <w:ind w:left="709" w:hanging="709"/>
        <w:rPr>
          <w:rFonts w:cs="Arial"/>
          <w:color w:val="000000" w:themeColor="text1"/>
        </w:rPr>
      </w:pPr>
      <w:r>
        <w:t xml:space="preserve">However, it is notable that </w:t>
      </w:r>
      <w:r w:rsidRPr="00596B59">
        <w:rPr>
          <w:rFonts w:cs="Arial"/>
          <w:color w:val="000000" w:themeColor="text1"/>
        </w:rPr>
        <w:t>the necessity of high cost items, such as blazers</w:t>
      </w:r>
      <w:r>
        <w:rPr>
          <w:rFonts w:cs="Arial"/>
          <w:color w:val="000000" w:themeColor="text1"/>
        </w:rPr>
        <w:t>, is not given specific consideration under the principle of affordability</w:t>
      </w:r>
      <w:r w:rsidRPr="00596B59">
        <w:rPr>
          <w:rFonts w:cs="Arial"/>
          <w:color w:val="000000" w:themeColor="text1"/>
        </w:rPr>
        <w:t>.</w:t>
      </w:r>
      <w:r w:rsidR="002A16E1">
        <w:rPr>
          <w:rStyle w:val="FootnoteReference"/>
          <w:rFonts w:cs="Segoe UI"/>
          <w:lang w:val="en" w:eastAsia="en-GB"/>
        </w:rPr>
        <w:footnoteReference w:id="78"/>
      </w:r>
      <w:r w:rsidR="002A16E1">
        <w:rPr>
          <w:rFonts w:cs="Segoe UI"/>
          <w:lang w:val="en" w:eastAsia="en-GB"/>
        </w:rPr>
        <w:t xml:space="preserve"> </w:t>
      </w:r>
      <w:r w:rsidR="00C84A4B" w:rsidRPr="00517C1C">
        <w:rPr>
          <w:rFonts w:cs="Arial"/>
          <w:color w:val="000000" w:themeColor="text1"/>
        </w:rPr>
        <w:t xml:space="preserve">In 2024, </w:t>
      </w:r>
      <w:r w:rsidR="00BB2D3C" w:rsidRPr="00517C1C">
        <w:rPr>
          <w:rFonts w:cs="Arial"/>
          <w:color w:val="000000" w:themeColor="text1"/>
        </w:rPr>
        <w:t>post-primary school</w:t>
      </w:r>
      <w:r w:rsidR="00C84A4B" w:rsidRPr="00517C1C">
        <w:rPr>
          <w:rFonts w:cs="Arial"/>
          <w:color w:val="000000" w:themeColor="text1"/>
        </w:rPr>
        <w:t xml:space="preserve"> parents </w:t>
      </w:r>
      <w:r w:rsidR="00BF2CA5" w:rsidRPr="00517C1C">
        <w:rPr>
          <w:rFonts w:cs="Arial"/>
          <w:color w:val="000000" w:themeColor="text1"/>
        </w:rPr>
        <w:t>in NI</w:t>
      </w:r>
      <w:r w:rsidR="00C84A4B" w:rsidRPr="00517C1C">
        <w:rPr>
          <w:rFonts w:cs="Arial"/>
          <w:color w:val="000000" w:themeColor="text1"/>
        </w:rPr>
        <w:t xml:space="preserve"> </w:t>
      </w:r>
      <w:r w:rsidR="00CD786B" w:rsidRPr="00517C1C">
        <w:rPr>
          <w:rFonts w:cs="Arial"/>
          <w:color w:val="000000" w:themeColor="text1"/>
        </w:rPr>
        <w:t>advised</w:t>
      </w:r>
      <w:r w:rsidR="00C84A4B" w:rsidRPr="00517C1C">
        <w:rPr>
          <w:rFonts w:cs="Arial"/>
          <w:color w:val="000000" w:themeColor="text1"/>
        </w:rPr>
        <w:t xml:space="preserve"> that the cost of a school blazer alone could take the full uniform grant.</w:t>
      </w:r>
      <w:r w:rsidR="00C84A4B">
        <w:rPr>
          <w:rStyle w:val="FootnoteReference"/>
          <w:rFonts w:cs="Arial"/>
          <w:color w:val="000000" w:themeColor="text1"/>
        </w:rPr>
        <w:footnoteReference w:id="79"/>
      </w:r>
      <w:r w:rsidR="00EA632C" w:rsidRPr="00517C1C">
        <w:rPr>
          <w:rFonts w:cs="Arial"/>
          <w:color w:val="000000" w:themeColor="text1"/>
        </w:rPr>
        <w:t xml:space="preserve"> </w:t>
      </w:r>
      <w:r w:rsidR="00A25C71" w:rsidRPr="00517C1C">
        <w:rPr>
          <w:rFonts w:cs="Arial"/>
          <w:color w:val="000000" w:themeColor="text1"/>
        </w:rPr>
        <w:t>Th</w:t>
      </w:r>
      <w:r w:rsidR="00292E54" w:rsidRPr="00517C1C">
        <w:rPr>
          <w:rFonts w:cs="Arial"/>
          <w:color w:val="000000" w:themeColor="text1"/>
        </w:rPr>
        <w:t xml:space="preserve">is </w:t>
      </w:r>
      <w:r w:rsidR="004852B1" w:rsidRPr="00517C1C">
        <w:rPr>
          <w:rFonts w:cs="Arial"/>
          <w:color w:val="000000" w:themeColor="text1"/>
        </w:rPr>
        <w:t>cou</w:t>
      </w:r>
      <w:r w:rsidR="00576DB8" w:rsidRPr="00517C1C">
        <w:rPr>
          <w:rFonts w:cs="Arial"/>
          <w:color w:val="000000" w:themeColor="text1"/>
        </w:rPr>
        <w:t>ld have a disproportionate impact on</w:t>
      </w:r>
      <w:r w:rsidR="00AB378B" w:rsidRPr="00517C1C">
        <w:rPr>
          <w:rFonts w:cs="Arial"/>
          <w:color w:val="000000" w:themeColor="text1"/>
        </w:rPr>
        <w:t xml:space="preserve"> lower income</w:t>
      </w:r>
      <w:r w:rsidR="00576DB8" w:rsidRPr="00517C1C">
        <w:rPr>
          <w:rFonts w:cs="Arial"/>
          <w:color w:val="000000" w:themeColor="text1"/>
        </w:rPr>
        <w:t xml:space="preserve"> families</w:t>
      </w:r>
      <w:r w:rsidR="00701702" w:rsidRPr="00517C1C">
        <w:rPr>
          <w:rFonts w:cs="Arial"/>
          <w:color w:val="000000" w:themeColor="text1"/>
        </w:rPr>
        <w:t xml:space="preserve"> </w:t>
      </w:r>
      <w:r w:rsidR="00576DB8" w:rsidRPr="00517C1C">
        <w:rPr>
          <w:rFonts w:cs="Arial"/>
          <w:color w:val="000000" w:themeColor="text1"/>
        </w:rPr>
        <w:t>who</w:t>
      </w:r>
      <w:r w:rsidR="00ED353B" w:rsidRPr="00517C1C">
        <w:rPr>
          <w:rFonts w:cs="Arial"/>
          <w:color w:val="000000" w:themeColor="text1"/>
        </w:rPr>
        <w:t xml:space="preserve"> may be unable to </w:t>
      </w:r>
      <w:r w:rsidR="00B1558C" w:rsidRPr="00517C1C">
        <w:rPr>
          <w:rFonts w:cs="Arial"/>
          <w:color w:val="000000" w:themeColor="text1"/>
        </w:rPr>
        <w:t xml:space="preserve">meet the </w:t>
      </w:r>
      <w:r w:rsidR="00EF1C2A" w:rsidRPr="00517C1C">
        <w:rPr>
          <w:rFonts w:cs="Arial"/>
          <w:color w:val="000000" w:themeColor="text1"/>
        </w:rPr>
        <w:t>additional</w:t>
      </w:r>
      <w:r w:rsidR="000A2609" w:rsidRPr="00517C1C">
        <w:rPr>
          <w:rFonts w:cs="Arial"/>
          <w:color w:val="000000" w:themeColor="text1"/>
        </w:rPr>
        <w:t xml:space="preserve"> hidden</w:t>
      </w:r>
      <w:r w:rsidR="00322632" w:rsidRPr="00517C1C">
        <w:rPr>
          <w:rFonts w:cs="Arial"/>
          <w:color w:val="000000" w:themeColor="text1"/>
        </w:rPr>
        <w:t xml:space="preserve"> </w:t>
      </w:r>
      <w:r w:rsidR="0046197D" w:rsidRPr="00517C1C">
        <w:rPr>
          <w:rFonts w:cs="Arial"/>
          <w:color w:val="000000" w:themeColor="text1"/>
        </w:rPr>
        <w:t>costs</w:t>
      </w:r>
      <w:r w:rsidR="00605075" w:rsidRPr="00517C1C">
        <w:rPr>
          <w:rFonts w:cs="Arial"/>
          <w:color w:val="000000" w:themeColor="text1"/>
        </w:rPr>
        <w:t xml:space="preserve"> of </w:t>
      </w:r>
      <w:r w:rsidR="00EF1C2A" w:rsidRPr="00517C1C">
        <w:rPr>
          <w:rFonts w:cs="Arial"/>
          <w:color w:val="000000" w:themeColor="text1"/>
        </w:rPr>
        <w:t>education</w:t>
      </w:r>
      <w:r w:rsidR="00292E54" w:rsidRPr="00517C1C">
        <w:rPr>
          <w:rFonts w:cs="Arial"/>
          <w:color w:val="000000" w:themeColor="text1"/>
        </w:rPr>
        <w:t>.</w:t>
      </w:r>
      <w:r w:rsidR="00AB378B">
        <w:rPr>
          <w:rStyle w:val="FootnoteReference"/>
          <w:rFonts w:cs="Segoe UI"/>
          <w:lang w:val="en" w:eastAsia="en-GB"/>
        </w:rPr>
        <w:footnoteReference w:id="80"/>
      </w:r>
      <w:r w:rsidR="00576DB8" w:rsidRPr="00517C1C">
        <w:rPr>
          <w:rFonts w:cs="Arial"/>
          <w:color w:val="000000" w:themeColor="text1"/>
        </w:rPr>
        <w:t xml:space="preserve"> </w:t>
      </w:r>
      <w:r w:rsidR="009C0327">
        <w:rPr>
          <w:rFonts w:cs="Arial"/>
          <w:color w:val="000000" w:themeColor="text1"/>
        </w:rPr>
        <w:t xml:space="preserve">While it is </w:t>
      </w:r>
      <w:r w:rsidR="00517C1C">
        <w:t>welcomed that the need for blazers is queried in</w:t>
      </w:r>
      <w:r w:rsidR="009C0327">
        <w:t xml:space="preserve"> respect of</w:t>
      </w:r>
      <w:r w:rsidR="00517C1C">
        <w:t xml:space="preserve"> the principles of comfort and sustainability, the NIHRC highlights that the high cost of blazers could have significant implications </w:t>
      </w:r>
      <w:r w:rsidR="009C0327">
        <w:t>for</w:t>
      </w:r>
      <w:r w:rsidR="00517C1C">
        <w:t xml:space="preserve"> the </w:t>
      </w:r>
      <w:r w:rsidR="00D61A4F">
        <w:t>accessibility</w:t>
      </w:r>
      <w:r w:rsidR="00517C1C">
        <w:t xml:space="preserve"> of certain schools</w:t>
      </w:r>
      <w:r w:rsidR="00485A61">
        <w:t xml:space="preserve"> and should therefore be</w:t>
      </w:r>
      <w:r w:rsidR="00204FDC">
        <w:t xml:space="preserve"> appropriately</w:t>
      </w:r>
      <w:r w:rsidR="00485A61">
        <w:t xml:space="preserve"> mitigated </w:t>
      </w:r>
      <w:r w:rsidR="00204FDC">
        <w:t>under the principle of affordability.</w:t>
      </w:r>
    </w:p>
    <w:p w14:paraId="7632E5B9" w14:textId="77777777" w:rsidR="00AA17FB" w:rsidRPr="00AA17FB" w:rsidRDefault="00AA17FB" w:rsidP="00AA17FB">
      <w:pPr>
        <w:suppressAutoHyphens/>
        <w:rPr>
          <w:rFonts w:cs="Arial"/>
          <w:color w:val="000000" w:themeColor="text1"/>
        </w:rPr>
      </w:pPr>
    </w:p>
    <w:p w14:paraId="4EA39200" w14:textId="68295F36" w:rsidR="007536FB" w:rsidRDefault="000A06A1" w:rsidP="00080B26">
      <w:pPr>
        <w:pStyle w:val="ListParagraph"/>
        <w:numPr>
          <w:ilvl w:val="1"/>
          <w:numId w:val="4"/>
        </w:numPr>
        <w:suppressAutoHyphens/>
        <w:ind w:left="709" w:hanging="709"/>
        <w:rPr>
          <w:rFonts w:cs="Arial"/>
          <w:color w:val="000000" w:themeColor="text1"/>
        </w:rPr>
      </w:pPr>
      <w:r>
        <w:rPr>
          <w:rFonts w:cs="Arial"/>
          <w:color w:val="000000" w:themeColor="text1"/>
        </w:rPr>
        <w:t>In addition</w:t>
      </w:r>
      <w:r w:rsidR="001D0B2B" w:rsidRPr="00815E0D">
        <w:rPr>
          <w:rFonts w:cs="Arial"/>
          <w:color w:val="000000" w:themeColor="text1"/>
        </w:rPr>
        <w:t>, t</w:t>
      </w:r>
      <w:r w:rsidR="00EA632C" w:rsidRPr="00815E0D">
        <w:rPr>
          <w:rFonts w:cs="Arial"/>
          <w:color w:val="000000" w:themeColor="text1"/>
        </w:rPr>
        <w:t>he NIHRC would encourage</w:t>
      </w:r>
      <w:r w:rsidR="008417C0">
        <w:rPr>
          <w:rFonts w:cs="Arial"/>
          <w:color w:val="000000" w:themeColor="text1"/>
        </w:rPr>
        <w:t xml:space="preserve"> the Department to</w:t>
      </w:r>
      <w:r w:rsidR="005401F2">
        <w:rPr>
          <w:rFonts w:cs="Arial"/>
          <w:color w:val="000000" w:themeColor="text1"/>
        </w:rPr>
        <w:t xml:space="preserve"> outline</w:t>
      </w:r>
      <w:r w:rsidR="001D0B2B" w:rsidRPr="00815E0D">
        <w:rPr>
          <w:rFonts w:cs="Arial"/>
          <w:color w:val="000000" w:themeColor="text1"/>
        </w:rPr>
        <w:t xml:space="preserve"> the</w:t>
      </w:r>
      <w:r w:rsidR="00EA632C" w:rsidRPr="00815E0D">
        <w:rPr>
          <w:rFonts w:cs="Arial"/>
          <w:color w:val="000000" w:themeColor="text1"/>
        </w:rPr>
        <w:t xml:space="preserve"> cost implications of other variations in school uniforms. For example, the </w:t>
      </w:r>
      <w:r w:rsidR="00EA632C" w:rsidRPr="00815E0D">
        <w:rPr>
          <w:rFonts w:cs="Arial"/>
          <w:color w:val="000000" w:themeColor="text1"/>
        </w:rPr>
        <w:lastRenderedPageBreak/>
        <w:t xml:space="preserve">UK government highlights that house colours or specific items of clothing for different year groups can drive up total costs </w:t>
      </w:r>
      <w:r w:rsidR="006574C1" w:rsidRPr="00815E0D">
        <w:rPr>
          <w:rFonts w:cs="Arial"/>
          <w:color w:val="000000" w:themeColor="text1"/>
        </w:rPr>
        <w:t xml:space="preserve">and </w:t>
      </w:r>
      <w:r w:rsidR="002B163E">
        <w:rPr>
          <w:rFonts w:cs="Arial"/>
          <w:color w:val="000000" w:themeColor="text1"/>
        </w:rPr>
        <w:t>affects</w:t>
      </w:r>
      <w:r w:rsidR="002B163E" w:rsidRPr="00815E0D">
        <w:rPr>
          <w:rFonts w:cs="Arial"/>
          <w:color w:val="000000" w:themeColor="text1"/>
        </w:rPr>
        <w:t xml:space="preserve"> </w:t>
      </w:r>
      <w:r w:rsidR="00EA632C" w:rsidRPr="00815E0D">
        <w:rPr>
          <w:rFonts w:cs="Arial"/>
          <w:color w:val="000000" w:themeColor="text1"/>
        </w:rPr>
        <w:t>the ability of parents to pass items down between siblings.</w:t>
      </w:r>
      <w:r w:rsidR="006574C1">
        <w:rPr>
          <w:rStyle w:val="FootnoteReference"/>
          <w:rFonts w:cs="Arial"/>
          <w:color w:val="000000" w:themeColor="text1"/>
        </w:rPr>
        <w:footnoteReference w:id="81"/>
      </w:r>
      <w:r w:rsidR="00EA632C" w:rsidRPr="00815E0D">
        <w:rPr>
          <w:rFonts w:cs="Arial"/>
          <w:color w:val="000000" w:themeColor="text1"/>
        </w:rPr>
        <w:t xml:space="preserve"> </w:t>
      </w:r>
      <w:r w:rsidR="00B675A3" w:rsidRPr="00302E8C">
        <w:rPr>
          <w:rFonts w:cs="Arial"/>
          <w:color w:val="000000" w:themeColor="text1"/>
        </w:rPr>
        <w:t xml:space="preserve">To </w:t>
      </w:r>
      <w:r w:rsidR="00451F47" w:rsidRPr="00302E8C">
        <w:rPr>
          <w:rFonts w:cs="Arial"/>
          <w:color w:val="000000" w:themeColor="text1"/>
        </w:rPr>
        <w:t xml:space="preserve">assist in </w:t>
      </w:r>
      <w:r w:rsidR="00B675A3" w:rsidRPr="00302E8C">
        <w:rPr>
          <w:rFonts w:cs="Arial"/>
          <w:color w:val="000000" w:themeColor="text1"/>
        </w:rPr>
        <w:t>address</w:t>
      </w:r>
      <w:r w:rsidR="00451F47" w:rsidRPr="00302E8C">
        <w:rPr>
          <w:rFonts w:cs="Arial"/>
          <w:color w:val="000000" w:themeColor="text1"/>
        </w:rPr>
        <w:t>ing</w:t>
      </w:r>
      <w:r w:rsidR="00B675A3" w:rsidRPr="00302E8C">
        <w:rPr>
          <w:rFonts w:cs="Arial"/>
          <w:color w:val="000000" w:themeColor="text1"/>
        </w:rPr>
        <w:t xml:space="preserve"> these concerns</w:t>
      </w:r>
      <w:r w:rsidR="00E32F47" w:rsidRPr="00302E8C">
        <w:rPr>
          <w:rFonts w:cs="Arial"/>
          <w:color w:val="000000" w:themeColor="text1"/>
        </w:rPr>
        <w:t>,</w:t>
      </w:r>
      <w:r w:rsidR="006B1157" w:rsidRPr="00302E8C">
        <w:rPr>
          <w:rFonts w:cs="Arial"/>
          <w:color w:val="000000" w:themeColor="text1"/>
        </w:rPr>
        <w:t xml:space="preserve"> </w:t>
      </w:r>
      <w:r w:rsidR="00DB6E62" w:rsidRPr="00302E8C">
        <w:rPr>
          <w:rFonts w:cs="Arial"/>
          <w:color w:val="000000" w:themeColor="text1"/>
        </w:rPr>
        <w:t>the NIHRC considers</w:t>
      </w:r>
      <w:r w:rsidR="00274440" w:rsidRPr="00302E8C">
        <w:rPr>
          <w:rFonts w:cs="Arial"/>
          <w:color w:val="000000" w:themeColor="text1"/>
        </w:rPr>
        <w:t xml:space="preserve"> that</w:t>
      </w:r>
      <w:r w:rsidR="00C74A08" w:rsidRPr="00302E8C">
        <w:rPr>
          <w:rFonts w:cs="Arial"/>
          <w:color w:val="000000" w:themeColor="text1"/>
        </w:rPr>
        <w:t xml:space="preserve"> the </w:t>
      </w:r>
      <w:r w:rsidR="00B8646B">
        <w:rPr>
          <w:rFonts w:cs="Arial"/>
          <w:color w:val="000000" w:themeColor="text1"/>
        </w:rPr>
        <w:t>wording</w:t>
      </w:r>
      <w:r w:rsidR="00274440" w:rsidRPr="00302E8C">
        <w:rPr>
          <w:rFonts w:cs="Arial"/>
          <w:color w:val="000000" w:themeColor="text1"/>
        </w:rPr>
        <w:t xml:space="preserve"> of the</w:t>
      </w:r>
      <w:r w:rsidR="006574C1" w:rsidRPr="00302E8C">
        <w:rPr>
          <w:rFonts w:cs="Arial"/>
          <w:color w:val="000000" w:themeColor="text1"/>
        </w:rPr>
        <w:t xml:space="preserve"> above </w:t>
      </w:r>
      <w:r w:rsidR="00C74A08" w:rsidRPr="00302E8C">
        <w:rPr>
          <w:rFonts w:cs="Arial"/>
          <w:color w:val="000000" w:themeColor="text1"/>
        </w:rPr>
        <w:t>requirements</w:t>
      </w:r>
      <w:r w:rsidR="00274440" w:rsidRPr="00302E8C">
        <w:rPr>
          <w:rFonts w:cs="Arial"/>
          <w:color w:val="000000" w:themeColor="text1"/>
        </w:rPr>
        <w:t xml:space="preserve"> could be strengthened</w:t>
      </w:r>
      <w:r w:rsidR="00C74A08" w:rsidRPr="00302E8C">
        <w:rPr>
          <w:rFonts w:cs="Arial"/>
          <w:color w:val="000000" w:themeColor="text1"/>
        </w:rPr>
        <w:t>.</w:t>
      </w:r>
      <w:r w:rsidR="00274440" w:rsidRPr="00302E8C">
        <w:rPr>
          <w:rFonts w:cs="Arial"/>
          <w:color w:val="000000" w:themeColor="text1"/>
        </w:rPr>
        <w:t xml:space="preserve"> For example, </w:t>
      </w:r>
      <w:r w:rsidR="00C73B65" w:rsidRPr="00302E8C">
        <w:rPr>
          <w:rFonts w:cs="Arial"/>
          <w:color w:val="000000" w:themeColor="text1"/>
        </w:rPr>
        <w:t xml:space="preserve">the Welsh </w:t>
      </w:r>
      <w:r w:rsidR="006920B3" w:rsidRPr="00302E8C">
        <w:rPr>
          <w:rFonts w:cs="Arial"/>
          <w:color w:val="000000" w:themeColor="text1"/>
        </w:rPr>
        <w:t xml:space="preserve">government requires </w:t>
      </w:r>
      <w:r w:rsidR="00465D0D" w:rsidRPr="00302E8C">
        <w:rPr>
          <w:rFonts w:cs="Arial"/>
          <w:color w:val="000000" w:themeColor="text1"/>
        </w:rPr>
        <w:t xml:space="preserve">that </w:t>
      </w:r>
      <w:r w:rsidR="006920B3" w:rsidRPr="00302E8C">
        <w:rPr>
          <w:rFonts w:cs="Arial"/>
          <w:color w:val="000000" w:themeColor="text1"/>
        </w:rPr>
        <w:t>schools</w:t>
      </w:r>
      <w:r w:rsidR="00465D0D" w:rsidRPr="00302E8C">
        <w:rPr>
          <w:rFonts w:cs="Arial"/>
          <w:color w:val="000000" w:themeColor="text1"/>
        </w:rPr>
        <w:t xml:space="preserve"> “</w:t>
      </w:r>
      <w:r w:rsidR="00465D0D" w:rsidRPr="006E5CBE">
        <w:rPr>
          <w:rFonts w:cs="Arial"/>
          <w:i/>
          <w:iCs/>
          <w:color w:val="000000" w:themeColor="text1"/>
        </w:rPr>
        <w:t xml:space="preserve">should </w:t>
      </w:r>
      <w:r w:rsidR="006920B3" w:rsidRPr="006E5CBE">
        <w:rPr>
          <w:rFonts w:cs="Arial"/>
          <w:i/>
          <w:iCs/>
          <w:color w:val="000000" w:themeColor="text1"/>
        </w:rPr>
        <w:t>only</w:t>
      </w:r>
      <w:r w:rsidR="006920B3" w:rsidRPr="009F0B05">
        <w:rPr>
          <w:rFonts w:cs="Arial"/>
          <w:color w:val="000000" w:themeColor="text1"/>
        </w:rPr>
        <w:t xml:space="preserve"> stipulate</w:t>
      </w:r>
      <w:r w:rsidR="006920B3" w:rsidRPr="00302E8C">
        <w:rPr>
          <w:rFonts w:cs="Arial"/>
          <w:color w:val="000000" w:themeColor="text1"/>
        </w:rPr>
        <w:t xml:space="preserve"> basic items</w:t>
      </w:r>
      <w:r w:rsidR="00465D0D" w:rsidRPr="00302E8C">
        <w:rPr>
          <w:rFonts w:cs="Arial"/>
          <w:color w:val="000000" w:themeColor="text1"/>
        </w:rPr>
        <w:t xml:space="preserve"> and colours”</w:t>
      </w:r>
      <w:r w:rsidR="00E534B3" w:rsidRPr="00302E8C">
        <w:rPr>
          <w:rFonts w:cs="Arial"/>
          <w:color w:val="000000" w:themeColor="text1"/>
        </w:rPr>
        <w:t>, with</w:t>
      </w:r>
      <w:r w:rsidR="00EC2439" w:rsidRPr="00302E8C">
        <w:rPr>
          <w:rFonts w:cs="Arial"/>
          <w:color w:val="000000" w:themeColor="text1"/>
        </w:rPr>
        <w:t xml:space="preserve"> schools</w:t>
      </w:r>
      <w:r w:rsidR="00E534B3" w:rsidRPr="00302E8C">
        <w:rPr>
          <w:rFonts w:cs="Arial"/>
          <w:color w:val="000000" w:themeColor="text1"/>
        </w:rPr>
        <w:t xml:space="preserve"> being</w:t>
      </w:r>
      <w:r w:rsidR="008F0217" w:rsidRPr="00302E8C">
        <w:rPr>
          <w:rFonts w:cs="Arial"/>
          <w:color w:val="000000" w:themeColor="text1"/>
        </w:rPr>
        <w:t xml:space="preserve"> explicitly</w:t>
      </w:r>
      <w:r w:rsidR="00EC2439" w:rsidRPr="00302E8C">
        <w:rPr>
          <w:rFonts w:cs="Arial"/>
          <w:color w:val="000000" w:themeColor="text1"/>
        </w:rPr>
        <w:t xml:space="preserve"> advised </w:t>
      </w:r>
      <w:r w:rsidR="00641FD5" w:rsidRPr="00302E8C">
        <w:rPr>
          <w:rFonts w:cs="Arial"/>
          <w:color w:val="000000" w:themeColor="text1"/>
        </w:rPr>
        <w:t>to “</w:t>
      </w:r>
      <w:r w:rsidR="00641FD5" w:rsidRPr="00934B8D">
        <w:rPr>
          <w:rFonts w:cs="Arial"/>
          <w:i/>
          <w:iCs/>
          <w:color w:val="000000" w:themeColor="text1"/>
        </w:rPr>
        <w:t>avoid</w:t>
      </w:r>
      <w:r w:rsidR="00641FD5" w:rsidRPr="009F0B05">
        <w:rPr>
          <w:rFonts w:ascii="Arial" w:hAnsi="Arial" w:cs="Arial"/>
          <w:color w:val="1F1F1F"/>
          <w:sz w:val="27"/>
          <w:szCs w:val="27"/>
          <w:shd w:val="clear" w:color="auto" w:fill="FFFFFF"/>
        </w:rPr>
        <w:t xml:space="preserve"> </w:t>
      </w:r>
      <w:proofErr w:type="gramStart"/>
      <w:r w:rsidR="00641FD5" w:rsidRPr="00302E8C">
        <w:rPr>
          <w:rFonts w:cs="Arial"/>
          <w:color w:val="000000" w:themeColor="text1"/>
        </w:rPr>
        <w:t>high cost</w:t>
      </w:r>
      <w:proofErr w:type="gramEnd"/>
      <w:r w:rsidR="00641FD5" w:rsidRPr="00302E8C">
        <w:rPr>
          <w:rFonts w:cs="Arial"/>
          <w:color w:val="000000" w:themeColor="text1"/>
        </w:rPr>
        <w:t xml:space="preserve"> items such as blazers and caps” and “</w:t>
      </w:r>
      <w:r w:rsidR="00EF76AE" w:rsidRPr="006E5CBE">
        <w:rPr>
          <w:rFonts w:cs="Arial"/>
          <w:i/>
          <w:iCs/>
          <w:color w:val="000000" w:themeColor="text1"/>
        </w:rPr>
        <w:t>avoid</w:t>
      </w:r>
      <w:r w:rsidR="00EF76AE" w:rsidRPr="00302E8C">
        <w:rPr>
          <w:rFonts w:cs="Arial"/>
          <w:color w:val="000000" w:themeColor="text1"/>
        </w:rPr>
        <w:t xml:space="preserve"> variation in colours and style for different year groups as this is expensive for parents and limits the scope for second-hand sale or handing on to siblings”.</w:t>
      </w:r>
      <w:r w:rsidR="00894464">
        <w:rPr>
          <w:rStyle w:val="FootnoteReference"/>
          <w:rFonts w:cs="Arial"/>
          <w:color w:val="000000" w:themeColor="text1"/>
        </w:rPr>
        <w:footnoteReference w:id="82"/>
      </w:r>
    </w:p>
    <w:p w14:paraId="1CC77C30" w14:textId="77777777" w:rsidR="00A94DBC" w:rsidRPr="00A94DBC" w:rsidRDefault="00A94DBC" w:rsidP="00A94DBC">
      <w:pPr>
        <w:pStyle w:val="ListParagraph"/>
        <w:rPr>
          <w:rFonts w:cs="Arial"/>
          <w:color w:val="000000" w:themeColor="text1"/>
        </w:rPr>
      </w:pPr>
    </w:p>
    <w:p w14:paraId="07B516F8" w14:textId="725C0AF4" w:rsidR="003D27D1" w:rsidRDefault="00A94DBC" w:rsidP="00080B26">
      <w:pPr>
        <w:pStyle w:val="ListParagraph"/>
        <w:numPr>
          <w:ilvl w:val="1"/>
          <w:numId w:val="4"/>
        </w:numPr>
        <w:suppressAutoHyphens/>
        <w:ind w:left="709" w:hanging="709"/>
        <w:rPr>
          <w:rFonts w:cs="Arial"/>
          <w:color w:val="000000" w:themeColor="text1"/>
        </w:rPr>
      </w:pPr>
      <w:r>
        <w:rPr>
          <w:rFonts w:cs="Arial"/>
          <w:color w:val="000000" w:themeColor="text1"/>
        </w:rPr>
        <w:t>The current</w:t>
      </w:r>
      <w:r w:rsidR="002857BC">
        <w:rPr>
          <w:rFonts w:cs="Arial"/>
          <w:color w:val="000000" w:themeColor="text1"/>
        </w:rPr>
        <w:t xml:space="preserve"> proposals</w:t>
      </w:r>
      <w:r w:rsidR="007D2396">
        <w:rPr>
          <w:rFonts w:cs="Arial"/>
          <w:color w:val="000000" w:themeColor="text1"/>
        </w:rPr>
        <w:t xml:space="preserve"> </w:t>
      </w:r>
      <w:r w:rsidR="00CB76EA">
        <w:rPr>
          <w:rFonts w:cs="Arial"/>
          <w:color w:val="000000" w:themeColor="text1"/>
        </w:rPr>
        <w:t>stipulate that “</w:t>
      </w:r>
      <w:r w:rsidR="00CB76EA" w:rsidRPr="00CB76EA">
        <w:rPr>
          <w:rFonts w:cs="Arial"/>
          <w:color w:val="000000" w:themeColor="text1"/>
        </w:rPr>
        <w:t>branded sports kits should not be compulsory elements of a school PE kit</w:t>
      </w:r>
      <w:r w:rsidR="00CB76EA">
        <w:rPr>
          <w:rFonts w:cs="Arial"/>
          <w:color w:val="000000" w:themeColor="text1"/>
        </w:rPr>
        <w:t>”.</w:t>
      </w:r>
      <w:r w:rsidR="002C7013">
        <w:rPr>
          <w:rStyle w:val="FootnoteReference"/>
          <w:rFonts w:cs="Arial"/>
          <w:color w:val="000000" w:themeColor="text1"/>
        </w:rPr>
        <w:footnoteReference w:id="83"/>
      </w:r>
      <w:r w:rsidR="00CB76EA">
        <w:rPr>
          <w:rFonts w:cs="Arial"/>
          <w:color w:val="000000" w:themeColor="text1"/>
        </w:rPr>
        <w:t xml:space="preserve"> This is welcomed. However, the NIHRC </w:t>
      </w:r>
      <w:r w:rsidR="002E3265">
        <w:rPr>
          <w:rFonts w:cs="Arial"/>
          <w:color w:val="000000" w:themeColor="text1"/>
        </w:rPr>
        <w:t>notes</w:t>
      </w:r>
      <w:r w:rsidR="000E1931">
        <w:rPr>
          <w:rFonts w:cs="Arial"/>
          <w:color w:val="000000" w:themeColor="text1"/>
        </w:rPr>
        <w:t xml:space="preserve"> with caution</w:t>
      </w:r>
      <w:r w:rsidR="0002523E">
        <w:rPr>
          <w:rFonts w:cs="Arial"/>
          <w:color w:val="000000" w:themeColor="text1"/>
        </w:rPr>
        <w:t xml:space="preserve"> the</w:t>
      </w:r>
      <w:r w:rsidR="00D9335C">
        <w:rPr>
          <w:rFonts w:cs="Arial"/>
          <w:color w:val="000000" w:themeColor="text1"/>
        </w:rPr>
        <w:t xml:space="preserve"> subsequent</w:t>
      </w:r>
      <w:r w:rsidR="0002523E">
        <w:rPr>
          <w:rFonts w:cs="Arial"/>
          <w:color w:val="000000" w:themeColor="text1"/>
        </w:rPr>
        <w:t xml:space="preserve"> proposal</w:t>
      </w:r>
      <w:r w:rsidR="002E3265">
        <w:rPr>
          <w:rFonts w:cs="Arial"/>
          <w:color w:val="000000" w:themeColor="text1"/>
        </w:rPr>
        <w:t xml:space="preserve"> </w:t>
      </w:r>
      <w:r w:rsidR="0002523E">
        <w:rPr>
          <w:rFonts w:cs="Arial"/>
          <w:color w:val="000000" w:themeColor="text1"/>
        </w:rPr>
        <w:t>that parents “</w:t>
      </w:r>
      <w:r w:rsidR="0002523E" w:rsidRPr="0002523E">
        <w:rPr>
          <w:rFonts w:cs="Arial"/>
          <w:color w:val="000000" w:themeColor="text1"/>
        </w:rPr>
        <w:t>should only have to purchase specific branded or school sports kits when their child is chosen to represent the school</w:t>
      </w:r>
      <w:r w:rsidR="008A4EB7">
        <w:rPr>
          <w:rFonts w:cs="Arial"/>
          <w:color w:val="000000" w:themeColor="text1"/>
        </w:rPr>
        <w:t xml:space="preserve">”. </w:t>
      </w:r>
      <w:r w:rsidR="00B20EB4">
        <w:rPr>
          <w:rFonts w:cs="Arial"/>
          <w:color w:val="000000" w:themeColor="text1"/>
        </w:rPr>
        <w:t xml:space="preserve">Requiring branded kit at </w:t>
      </w:r>
      <w:r w:rsidR="000203AC">
        <w:rPr>
          <w:rFonts w:cs="Arial"/>
          <w:color w:val="000000" w:themeColor="text1"/>
        </w:rPr>
        <w:t>any</w:t>
      </w:r>
      <w:r w:rsidR="006873F8">
        <w:rPr>
          <w:rFonts w:cs="Arial"/>
          <w:color w:val="000000" w:themeColor="text1"/>
        </w:rPr>
        <w:t xml:space="preserve"> </w:t>
      </w:r>
      <w:r w:rsidR="004D145C">
        <w:rPr>
          <w:rFonts w:cs="Arial"/>
          <w:color w:val="000000" w:themeColor="text1"/>
        </w:rPr>
        <w:t xml:space="preserve">point </w:t>
      </w:r>
      <w:r w:rsidR="006873F8">
        <w:rPr>
          <w:rFonts w:cs="Arial"/>
          <w:color w:val="000000" w:themeColor="text1"/>
        </w:rPr>
        <w:t>of</w:t>
      </w:r>
      <w:r w:rsidR="006873F8" w:rsidRPr="006873F8">
        <w:rPr>
          <w:rFonts w:cs="Arial"/>
          <w:color w:val="000000" w:themeColor="text1"/>
        </w:rPr>
        <w:t xml:space="preserve"> </w:t>
      </w:r>
      <w:r w:rsidR="008D2B1E">
        <w:rPr>
          <w:rFonts w:cs="Arial"/>
          <w:color w:val="000000" w:themeColor="text1"/>
        </w:rPr>
        <w:t xml:space="preserve">a child’s </w:t>
      </w:r>
      <w:r w:rsidR="00A75998">
        <w:rPr>
          <w:rFonts w:cs="Arial"/>
          <w:color w:val="000000" w:themeColor="text1"/>
        </w:rPr>
        <w:t>involvement</w:t>
      </w:r>
      <w:r w:rsidR="004D145C">
        <w:rPr>
          <w:rFonts w:cs="Arial"/>
          <w:color w:val="000000" w:themeColor="text1"/>
        </w:rPr>
        <w:t xml:space="preserve"> </w:t>
      </w:r>
      <w:r w:rsidR="00A75998">
        <w:rPr>
          <w:rFonts w:cs="Arial"/>
          <w:color w:val="000000" w:themeColor="text1"/>
        </w:rPr>
        <w:t xml:space="preserve">in </w:t>
      </w:r>
      <w:r w:rsidR="006873F8">
        <w:rPr>
          <w:rFonts w:cs="Arial"/>
          <w:color w:val="000000" w:themeColor="text1"/>
        </w:rPr>
        <w:t xml:space="preserve">extra-curricular activities </w:t>
      </w:r>
      <w:r w:rsidR="00D9335C">
        <w:rPr>
          <w:rFonts w:cs="Arial"/>
          <w:color w:val="000000" w:themeColor="text1"/>
        </w:rPr>
        <w:t xml:space="preserve">could have </w:t>
      </w:r>
      <w:r w:rsidR="0B956672">
        <w:rPr>
          <w:rFonts w:cs="Arial"/>
          <w:color w:val="000000" w:themeColor="text1"/>
        </w:rPr>
        <w:t xml:space="preserve">a </w:t>
      </w:r>
      <w:r w:rsidR="00D9335C">
        <w:rPr>
          <w:rFonts w:cs="Arial"/>
          <w:color w:val="000000" w:themeColor="text1"/>
        </w:rPr>
        <w:t xml:space="preserve">prohibitive effect on </w:t>
      </w:r>
      <w:r w:rsidR="008D2B1E">
        <w:rPr>
          <w:rFonts w:cs="Arial"/>
          <w:color w:val="000000" w:themeColor="text1"/>
        </w:rPr>
        <w:t>their</w:t>
      </w:r>
      <w:r w:rsidR="00C84EB4">
        <w:rPr>
          <w:rFonts w:cs="Arial"/>
          <w:color w:val="000000" w:themeColor="text1"/>
        </w:rPr>
        <w:t xml:space="preserve"> </w:t>
      </w:r>
      <w:r w:rsidR="00D9335C">
        <w:rPr>
          <w:rFonts w:cs="Arial"/>
          <w:color w:val="000000" w:themeColor="text1"/>
        </w:rPr>
        <w:t xml:space="preserve">ability to </w:t>
      </w:r>
      <w:r w:rsidR="006873F8">
        <w:rPr>
          <w:rFonts w:cs="Arial"/>
          <w:color w:val="000000" w:themeColor="text1"/>
        </w:rPr>
        <w:t xml:space="preserve">fully </w:t>
      </w:r>
      <w:r w:rsidR="00F6261F">
        <w:rPr>
          <w:rFonts w:cs="Arial"/>
          <w:color w:val="000000" w:themeColor="text1"/>
        </w:rPr>
        <w:t>engage</w:t>
      </w:r>
      <w:r w:rsidR="00C84EB4">
        <w:rPr>
          <w:rFonts w:cs="Arial"/>
          <w:color w:val="000000" w:themeColor="text1"/>
        </w:rPr>
        <w:t xml:space="preserve"> if their family is unable to meet the additional costs. </w:t>
      </w:r>
      <w:r w:rsidR="00231BF5">
        <w:rPr>
          <w:rFonts w:cs="Arial"/>
          <w:color w:val="000000" w:themeColor="text1"/>
        </w:rPr>
        <w:t>While</w:t>
      </w:r>
      <w:r w:rsidR="009D17B7">
        <w:rPr>
          <w:rFonts w:cs="Arial"/>
          <w:color w:val="000000" w:themeColor="text1"/>
        </w:rPr>
        <w:t xml:space="preserve"> the NIHRC agrees that “schools </w:t>
      </w:r>
      <w:r w:rsidR="009D17B7" w:rsidRPr="00CB304C">
        <w:rPr>
          <w:rFonts w:cs="Arial"/>
          <w:color w:val="000000" w:themeColor="text1"/>
        </w:rPr>
        <w:t xml:space="preserve">should </w:t>
      </w:r>
      <w:r w:rsidR="009D17B7" w:rsidRPr="009D17B7">
        <w:rPr>
          <w:rFonts w:cs="Arial"/>
          <w:color w:val="000000" w:themeColor="text1"/>
        </w:rPr>
        <w:t xml:space="preserve">aim </w:t>
      </w:r>
      <w:r w:rsidR="009D17B7">
        <w:rPr>
          <w:rFonts w:cs="Arial"/>
          <w:color w:val="000000" w:themeColor="text1"/>
        </w:rPr>
        <w:t>to have team kits available for loan</w:t>
      </w:r>
      <w:r w:rsidR="00930DB3">
        <w:rPr>
          <w:rFonts w:cs="Arial"/>
          <w:color w:val="000000" w:themeColor="text1"/>
        </w:rPr>
        <w:t xml:space="preserve"> </w:t>
      </w:r>
      <w:r w:rsidR="00930DB3" w:rsidRPr="00930DB3">
        <w:rPr>
          <w:rFonts w:cs="Arial"/>
          <w:color w:val="000000" w:themeColor="text1"/>
        </w:rPr>
        <w:t>for those representing the schoo</w:t>
      </w:r>
      <w:r w:rsidR="00930DB3">
        <w:rPr>
          <w:rFonts w:cs="Arial"/>
          <w:color w:val="000000" w:themeColor="text1"/>
        </w:rPr>
        <w:t xml:space="preserve">l”, it considers that the </w:t>
      </w:r>
      <w:r w:rsidR="003D27D1" w:rsidRPr="00930DB3">
        <w:rPr>
          <w:rFonts w:cs="Arial"/>
          <w:color w:val="000000" w:themeColor="text1"/>
        </w:rPr>
        <w:t>wording of this proposal could be further strengthened</w:t>
      </w:r>
      <w:r w:rsidR="00CB304C" w:rsidRPr="00930DB3">
        <w:rPr>
          <w:rFonts w:cs="Arial"/>
          <w:color w:val="000000" w:themeColor="text1"/>
        </w:rPr>
        <w:t xml:space="preserve"> by changing </w:t>
      </w:r>
      <w:r w:rsidR="00C16CA6">
        <w:rPr>
          <w:rFonts w:cs="Arial"/>
          <w:color w:val="000000" w:themeColor="text1"/>
        </w:rPr>
        <w:t xml:space="preserve">it </w:t>
      </w:r>
      <w:r w:rsidR="00CB304C" w:rsidRPr="00930DB3">
        <w:rPr>
          <w:rFonts w:cs="Arial"/>
          <w:color w:val="000000" w:themeColor="text1"/>
        </w:rPr>
        <w:t>to “schools should</w:t>
      </w:r>
      <w:r w:rsidR="00CB304C" w:rsidRPr="00930DB3">
        <w:rPr>
          <w:rFonts w:cs="Arial"/>
          <w:i/>
          <w:iCs/>
          <w:color w:val="000000" w:themeColor="text1"/>
        </w:rPr>
        <w:t xml:space="preserve"> </w:t>
      </w:r>
      <w:r w:rsidR="00CB304C" w:rsidRPr="00C54BAA">
        <w:rPr>
          <w:rFonts w:cs="Arial"/>
          <w:i/>
          <w:iCs/>
          <w:color w:val="000000" w:themeColor="text1"/>
        </w:rPr>
        <w:t>ensure</w:t>
      </w:r>
      <w:r w:rsidR="00CB304C" w:rsidRPr="00041EF8">
        <w:rPr>
          <w:rFonts w:cs="Arial"/>
          <w:color w:val="000000" w:themeColor="text1"/>
        </w:rPr>
        <w:t xml:space="preserve"> </w:t>
      </w:r>
      <w:r w:rsidR="00CB304C" w:rsidRPr="00930DB3">
        <w:rPr>
          <w:rFonts w:cs="Arial"/>
          <w:color w:val="000000" w:themeColor="text1"/>
        </w:rPr>
        <w:t>to have team kits available for loan”.</w:t>
      </w:r>
    </w:p>
    <w:p w14:paraId="6BD51693" w14:textId="77777777" w:rsidR="008B2E24" w:rsidRPr="008F0217" w:rsidRDefault="008B2E24" w:rsidP="008F0217">
      <w:pPr>
        <w:suppressAutoHyphens/>
        <w:rPr>
          <w:rFonts w:cs="Arial"/>
          <w:color w:val="000000" w:themeColor="text1"/>
        </w:rPr>
      </w:pPr>
    </w:p>
    <w:p w14:paraId="09812BA2" w14:textId="0E59D84D" w:rsidR="00BF60EF" w:rsidRDefault="00037649" w:rsidP="00A7188A">
      <w:pPr>
        <w:pStyle w:val="ListParagraph"/>
        <w:numPr>
          <w:ilvl w:val="1"/>
          <w:numId w:val="4"/>
        </w:numPr>
        <w:suppressAutoHyphens/>
        <w:ind w:left="709" w:hanging="709"/>
        <w:rPr>
          <w:rFonts w:cs="Arial"/>
          <w:b/>
          <w:bCs/>
          <w:color w:val="000000" w:themeColor="text1"/>
        </w:rPr>
      </w:pPr>
      <w:r w:rsidRPr="002B163E">
        <w:rPr>
          <w:rFonts w:cs="Arial"/>
          <w:b/>
          <w:bCs/>
          <w:color w:val="000000" w:themeColor="text1"/>
        </w:rPr>
        <w:t>The</w:t>
      </w:r>
      <w:r w:rsidR="00857A4B" w:rsidRPr="002B163E">
        <w:rPr>
          <w:rFonts w:cs="Arial"/>
          <w:b/>
          <w:bCs/>
          <w:color w:val="000000" w:themeColor="text1"/>
        </w:rPr>
        <w:t xml:space="preserve"> NIHRC recommends </w:t>
      </w:r>
      <w:r w:rsidR="002B163E" w:rsidRPr="002B163E">
        <w:rPr>
          <w:rFonts w:cs="Arial"/>
          <w:b/>
          <w:bCs/>
          <w:color w:val="000000" w:themeColor="text1"/>
        </w:rPr>
        <w:t xml:space="preserve">that </w:t>
      </w:r>
      <w:r w:rsidR="00310201" w:rsidRPr="002B163E">
        <w:rPr>
          <w:rFonts w:cs="Arial"/>
          <w:b/>
          <w:bCs/>
          <w:color w:val="000000" w:themeColor="text1"/>
        </w:rPr>
        <w:t>statutory guidance</w:t>
      </w:r>
      <w:r w:rsidR="00292856" w:rsidRPr="002B163E">
        <w:rPr>
          <w:rFonts w:cs="Arial"/>
          <w:b/>
          <w:bCs/>
          <w:color w:val="000000" w:themeColor="text1"/>
        </w:rPr>
        <w:t xml:space="preserve"> </w:t>
      </w:r>
      <w:r w:rsidR="002B163E" w:rsidRPr="002B163E">
        <w:rPr>
          <w:rFonts w:cs="Arial"/>
          <w:b/>
          <w:bCs/>
          <w:color w:val="000000" w:themeColor="text1"/>
        </w:rPr>
        <w:t xml:space="preserve">should ensure that </w:t>
      </w:r>
      <w:r w:rsidR="00260361" w:rsidRPr="002B163E">
        <w:rPr>
          <w:rFonts w:cs="Arial"/>
          <w:b/>
          <w:bCs/>
          <w:color w:val="000000" w:themeColor="text1"/>
        </w:rPr>
        <w:t xml:space="preserve">all effective measures </w:t>
      </w:r>
      <w:r w:rsidR="002B163E" w:rsidRPr="002B163E">
        <w:rPr>
          <w:rFonts w:cs="Arial"/>
          <w:b/>
          <w:bCs/>
          <w:color w:val="000000" w:themeColor="text1"/>
        </w:rPr>
        <w:t xml:space="preserve">are taken so that </w:t>
      </w:r>
      <w:r w:rsidR="00AD3C26" w:rsidRPr="002B163E">
        <w:rPr>
          <w:rFonts w:cs="Arial"/>
          <w:b/>
          <w:bCs/>
          <w:color w:val="000000" w:themeColor="text1"/>
        </w:rPr>
        <w:t xml:space="preserve">children in disadvantaged situations, including children in socioeconomically disadvantaged situations, </w:t>
      </w:r>
      <w:r w:rsidR="002B28D8" w:rsidRPr="002B163E">
        <w:rPr>
          <w:rFonts w:cs="Arial"/>
          <w:b/>
          <w:bCs/>
          <w:color w:val="000000" w:themeColor="text1"/>
        </w:rPr>
        <w:t>are not denied access to</w:t>
      </w:r>
      <w:r w:rsidR="007B6ADA" w:rsidRPr="002B163E">
        <w:rPr>
          <w:rFonts w:cs="Arial"/>
          <w:b/>
          <w:bCs/>
          <w:color w:val="000000" w:themeColor="text1"/>
        </w:rPr>
        <w:t xml:space="preserve"> certain schools </w:t>
      </w:r>
      <w:r w:rsidR="005C22AD" w:rsidRPr="002B163E">
        <w:rPr>
          <w:rFonts w:cs="Arial"/>
          <w:b/>
          <w:bCs/>
          <w:color w:val="000000" w:themeColor="text1"/>
        </w:rPr>
        <w:t xml:space="preserve">in NI </w:t>
      </w:r>
      <w:r w:rsidR="007B6ADA" w:rsidRPr="002B163E">
        <w:rPr>
          <w:rFonts w:cs="Arial"/>
          <w:b/>
          <w:bCs/>
          <w:color w:val="000000" w:themeColor="text1"/>
        </w:rPr>
        <w:t>or any level of education based on their inability to meet school uniform costs.</w:t>
      </w:r>
      <w:r w:rsidR="00CC04B2" w:rsidRPr="002B163E">
        <w:rPr>
          <w:rFonts w:cs="Arial"/>
          <w:b/>
          <w:bCs/>
          <w:color w:val="000000" w:themeColor="text1"/>
        </w:rPr>
        <w:t xml:space="preserve"> </w:t>
      </w:r>
      <w:r w:rsidR="00E67748" w:rsidRPr="002B163E">
        <w:rPr>
          <w:rFonts w:cs="Arial"/>
          <w:b/>
          <w:bCs/>
          <w:color w:val="000000" w:themeColor="text1"/>
        </w:rPr>
        <w:t xml:space="preserve">This </w:t>
      </w:r>
      <w:r w:rsidR="005C22AD" w:rsidRPr="002B163E">
        <w:rPr>
          <w:rFonts w:cs="Arial"/>
          <w:b/>
          <w:bCs/>
          <w:color w:val="000000" w:themeColor="text1"/>
        </w:rPr>
        <w:t xml:space="preserve">includes </w:t>
      </w:r>
      <w:r w:rsidR="002B163E" w:rsidRPr="002B163E">
        <w:rPr>
          <w:rFonts w:cs="Arial"/>
          <w:b/>
          <w:bCs/>
          <w:color w:val="000000" w:themeColor="text1"/>
        </w:rPr>
        <w:t xml:space="preserve">the </w:t>
      </w:r>
      <w:r w:rsidR="00F61481" w:rsidRPr="002B163E">
        <w:rPr>
          <w:rFonts w:cs="Arial"/>
          <w:b/>
          <w:bCs/>
          <w:color w:val="000000" w:themeColor="text1"/>
        </w:rPr>
        <w:t>stipulat</w:t>
      </w:r>
      <w:r w:rsidR="002B163E" w:rsidRPr="002B163E">
        <w:rPr>
          <w:rFonts w:cs="Arial"/>
          <w:b/>
          <w:bCs/>
          <w:color w:val="000000" w:themeColor="text1"/>
        </w:rPr>
        <w:t>ion only of</w:t>
      </w:r>
      <w:r w:rsidR="00F61481" w:rsidRPr="002B163E">
        <w:rPr>
          <w:rFonts w:cs="Arial"/>
          <w:b/>
          <w:bCs/>
          <w:color w:val="000000" w:themeColor="text1"/>
        </w:rPr>
        <w:t xml:space="preserve"> basic items and colours</w:t>
      </w:r>
      <w:r w:rsidR="002B163E" w:rsidRPr="002B163E">
        <w:rPr>
          <w:rFonts w:cs="Arial"/>
          <w:b/>
          <w:bCs/>
          <w:color w:val="000000" w:themeColor="text1"/>
        </w:rPr>
        <w:t xml:space="preserve">. Moreover, any </w:t>
      </w:r>
      <w:proofErr w:type="gramStart"/>
      <w:r w:rsidR="00F61481" w:rsidRPr="002B163E">
        <w:rPr>
          <w:rFonts w:cs="Arial"/>
          <w:b/>
          <w:bCs/>
          <w:color w:val="000000" w:themeColor="text1"/>
        </w:rPr>
        <w:t>high cost</w:t>
      </w:r>
      <w:proofErr w:type="gramEnd"/>
      <w:r w:rsidR="00F61481" w:rsidRPr="002B163E">
        <w:rPr>
          <w:rFonts w:cs="Arial"/>
          <w:b/>
          <w:bCs/>
          <w:color w:val="000000" w:themeColor="text1"/>
        </w:rPr>
        <w:t xml:space="preserve"> items</w:t>
      </w:r>
      <w:r w:rsidR="00FF1031" w:rsidRPr="002B163E">
        <w:rPr>
          <w:rFonts w:cs="Arial"/>
          <w:b/>
          <w:bCs/>
          <w:color w:val="000000" w:themeColor="text1"/>
        </w:rPr>
        <w:t xml:space="preserve"> </w:t>
      </w:r>
      <w:r w:rsidR="002B163E" w:rsidRPr="002B163E">
        <w:rPr>
          <w:rFonts w:cs="Arial"/>
          <w:b/>
          <w:bCs/>
          <w:color w:val="000000" w:themeColor="text1"/>
        </w:rPr>
        <w:t xml:space="preserve">or items with unnecessary variations should be avoided. </w:t>
      </w:r>
    </w:p>
    <w:p w14:paraId="550D7CD8" w14:textId="77777777" w:rsidR="00BB52C3" w:rsidRPr="00BB52C3" w:rsidRDefault="00BB52C3" w:rsidP="00BB52C3">
      <w:pPr>
        <w:suppressAutoHyphens/>
        <w:rPr>
          <w:rFonts w:cs="Arial"/>
          <w:b/>
          <w:bCs/>
          <w:color w:val="000000" w:themeColor="text1"/>
        </w:rPr>
      </w:pPr>
    </w:p>
    <w:p w14:paraId="7AA109A2" w14:textId="66B79B53" w:rsidR="00BF60EF" w:rsidRPr="00096757" w:rsidRDefault="00C65BBC" w:rsidP="00BF60EF">
      <w:pPr>
        <w:pStyle w:val="Heading2"/>
        <w:rPr>
          <w:b w:val="0"/>
          <w:bCs/>
          <w:u w:val="single"/>
        </w:rPr>
      </w:pPr>
      <w:bookmarkStart w:id="11" w:name="_Toc178255673"/>
      <w:r w:rsidRPr="00096757">
        <w:rPr>
          <w:b w:val="0"/>
          <w:bCs/>
          <w:u w:val="single"/>
        </w:rPr>
        <w:t>Uniform gr</w:t>
      </w:r>
      <w:r w:rsidR="00BF60EF" w:rsidRPr="00096757">
        <w:rPr>
          <w:b w:val="0"/>
          <w:bCs/>
          <w:u w:val="single"/>
        </w:rPr>
        <w:t>ants</w:t>
      </w:r>
      <w:bookmarkEnd w:id="11"/>
    </w:p>
    <w:p w14:paraId="56257938" w14:textId="65EEA298" w:rsidR="004728DA" w:rsidRPr="004728DA" w:rsidRDefault="004728DA" w:rsidP="00080B26">
      <w:pPr>
        <w:pStyle w:val="ListParagraph"/>
        <w:numPr>
          <w:ilvl w:val="1"/>
          <w:numId w:val="4"/>
        </w:numPr>
        <w:suppressAutoHyphens/>
        <w:ind w:left="851" w:hanging="851"/>
        <w:rPr>
          <w:rFonts w:cs="Arial"/>
          <w:color w:val="000000" w:themeColor="text1"/>
        </w:rPr>
      </w:pPr>
      <w:r w:rsidRPr="004728DA">
        <w:rPr>
          <w:rFonts w:cs="Arial"/>
          <w:color w:val="000000" w:themeColor="text1"/>
        </w:rPr>
        <w:t>In relation to preventing discrimination in the implementation of economic, social and cultural rights, including the right to education, the ICESCR Committee advises that</w:t>
      </w:r>
      <w:r w:rsidR="6A4D6080" w:rsidRPr="6BCD94F9">
        <w:rPr>
          <w:rFonts w:cs="Arial"/>
          <w:color w:val="000000" w:themeColor="text1"/>
        </w:rPr>
        <w:t>:</w:t>
      </w:r>
      <w:r w:rsidRPr="004728DA">
        <w:rPr>
          <w:rFonts w:cs="Arial"/>
          <w:color w:val="000000" w:themeColor="text1"/>
        </w:rPr>
        <w:t xml:space="preserve"> </w:t>
      </w:r>
    </w:p>
    <w:p w14:paraId="3A9853A6" w14:textId="77777777" w:rsidR="004728DA" w:rsidRDefault="004728DA" w:rsidP="004728DA">
      <w:pPr>
        <w:pStyle w:val="ListParagraph"/>
        <w:suppressAutoHyphens/>
        <w:ind w:left="851"/>
        <w:rPr>
          <w:rFonts w:cs="Arial"/>
          <w:color w:val="000000" w:themeColor="text1"/>
        </w:rPr>
      </w:pPr>
    </w:p>
    <w:p w14:paraId="76A84DC8" w14:textId="2BAB000A" w:rsidR="004728DA" w:rsidRDefault="004728DA" w:rsidP="004728DA">
      <w:pPr>
        <w:pStyle w:val="ListParagraph"/>
        <w:suppressAutoHyphens/>
        <w:ind w:left="993"/>
        <w:rPr>
          <w:rFonts w:cs="Arial"/>
          <w:color w:val="000000" w:themeColor="text1"/>
        </w:rPr>
      </w:pPr>
      <w:r w:rsidRPr="004728DA">
        <w:rPr>
          <w:rFonts w:cs="Arial"/>
          <w:color w:val="000000" w:themeColor="text1"/>
        </w:rPr>
        <w:t xml:space="preserve">A failure to remove differential treatment </w:t>
      </w:r>
      <w:proofErr w:type="gramStart"/>
      <w:r w:rsidRPr="004728DA">
        <w:rPr>
          <w:rFonts w:cs="Arial"/>
          <w:color w:val="000000" w:themeColor="text1"/>
        </w:rPr>
        <w:t>on the basis of</w:t>
      </w:r>
      <w:proofErr w:type="gramEnd"/>
      <w:r w:rsidRPr="004728DA">
        <w:rPr>
          <w:rFonts w:cs="Arial"/>
          <w:color w:val="000000" w:themeColor="text1"/>
        </w:rPr>
        <w:t xml:space="preserve"> a lack of available resources is not an objective and reasonable justification unless every effort has been made to use all resources that are at the State party’s disposition in an effort to address and eliminate the discrimination, as a matter of priority.</w:t>
      </w:r>
      <w:r w:rsidR="00E65727" w:rsidRPr="0046596E">
        <w:rPr>
          <w:rStyle w:val="FootnoteReference"/>
        </w:rPr>
        <w:footnoteReference w:id="84"/>
      </w:r>
    </w:p>
    <w:p w14:paraId="1866CD4A" w14:textId="77777777" w:rsidR="00E65727" w:rsidRPr="004728DA" w:rsidRDefault="00E65727" w:rsidP="004728DA">
      <w:pPr>
        <w:pStyle w:val="ListParagraph"/>
        <w:suppressAutoHyphens/>
        <w:ind w:left="993"/>
        <w:rPr>
          <w:rFonts w:cs="Arial"/>
          <w:color w:val="000000" w:themeColor="text1"/>
        </w:rPr>
      </w:pPr>
    </w:p>
    <w:p w14:paraId="31BCD5D6" w14:textId="77777777" w:rsidR="004728DA" w:rsidRDefault="004728DA" w:rsidP="00080B26">
      <w:pPr>
        <w:pStyle w:val="ListParagraph"/>
        <w:numPr>
          <w:ilvl w:val="1"/>
          <w:numId w:val="4"/>
        </w:numPr>
        <w:suppressAutoHyphens/>
        <w:ind w:left="709" w:hanging="851"/>
        <w:rPr>
          <w:rFonts w:cs="Arial"/>
          <w:color w:val="000000" w:themeColor="text1"/>
        </w:rPr>
      </w:pPr>
      <w:r w:rsidRPr="004728DA">
        <w:rPr>
          <w:rFonts w:cs="Arial"/>
          <w:color w:val="000000" w:themeColor="text1"/>
        </w:rPr>
        <w:t xml:space="preserve">To address issues regarding access to education for women and girls, the CEDAW Committee recommends that States, </w:t>
      </w:r>
    </w:p>
    <w:p w14:paraId="719E761A" w14:textId="77777777" w:rsidR="004728DA" w:rsidRPr="004728DA" w:rsidRDefault="004728DA" w:rsidP="004728DA">
      <w:pPr>
        <w:pStyle w:val="ListParagraph"/>
        <w:suppressAutoHyphens/>
        <w:ind w:left="851"/>
        <w:rPr>
          <w:rFonts w:cs="Arial"/>
          <w:color w:val="000000" w:themeColor="text1"/>
        </w:rPr>
      </w:pPr>
    </w:p>
    <w:p w14:paraId="3464470A" w14:textId="3BCB77AC" w:rsidR="004728DA" w:rsidRDefault="004728DA" w:rsidP="00080B26">
      <w:pPr>
        <w:pStyle w:val="ListParagraph"/>
        <w:numPr>
          <w:ilvl w:val="0"/>
          <w:numId w:val="6"/>
        </w:numPr>
        <w:suppressAutoHyphens/>
        <w:rPr>
          <w:rFonts w:cs="Arial"/>
          <w:color w:val="000000" w:themeColor="text1"/>
        </w:rPr>
      </w:pPr>
      <w:r w:rsidRPr="004728DA">
        <w:rPr>
          <w:rFonts w:cs="Arial"/>
          <w:color w:val="000000" w:themeColor="text1"/>
        </w:rPr>
        <w:t xml:space="preserve">provide adequate budgetary, human and administrative resources to ensure that adequate provision is made at the primary and secondary levels to accommodate all girls in the respective population age </w:t>
      </w:r>
      <w:proofErr w:type="gramStart"/>
      <w:r w:rsidRPr="004728DA">
        <w:rPr>
          <w:rFonts w:cs="Arial"/>
          <w:color w:val="000000" w:themeColor="text1"/>
        </w:rPr>
        <w:t>cohorts;</w:t>
      </w:r>
      <w:proofErr w:type="gramEnd"/>
      <w:r w:rsidRPr="004728DA">
        <w:rPr>
          <w:rFonts w:cs="Arial"/>
          <w:color w:val="000000" w:themeColor="text1"/>
        </w:rPr>
        <w:t xml:space="preserve"> </w:t>
      </w:r>
    </w:p>
    <w:p w14:paraId="2B712FDA" w14:textId="77777777" w:rsidR="004728DA" w:rsidRPr="004728DA" w:rsidRDefault="004728DA" w:rsidP="00E65727">
      <w:pPr>
        <w:pStyle w:val="ListParagraph"/>
        <w:suppressAutoHyphens/>
        <w:ind w:left="851"/>
        <w:rPr>
          <w:rFonts w:cs="Arial"/>
          <w:color w:val="000000" w:themeColor="text1"/>
        </w:rPr>
      </w:pPr>
    </w:p>
    <w:p w14:paraId="2BDE83A5" w14:textId="28C06AFE" w:rsidR="004728DA" w:rsidRPr="004728DA" w:rsidRDefault="004728DA" w:rsidP="00080B26">
      <w:pPr>
        <w:pStyle w:val="ListParagraph"/>
        <w:numPr>
          <w:ilvl w:val="0"/>
          <w:numId w:val="6"/>
        </w:numPr>
        <w:suppressAutoHyphens/>
        <w:rPr>
          <w:rFonts w:cs="Arial"/>
          <w:color w:val="000000" w:themeColor="text1"/>
        </w:rPr>
      </w:pPr>
      <w:r w:rsidRPr="004728DA">
        <w:rPr>
          <w:rFonts w:cs="Arial"/>
          <w:color w:val="000000" w:themeColor="text1"/>
        </w:rPr>
        <w:t>address imbalances in budgetary allocations for disadvantaged and marginalised groups of girls and women based on socioeconomic status, location, ethnicity, gender identity and religious persuasion.</w:t>
      </w:r>
      <w:r w:rsidR="00DB5B04" w:rsidRPr="0046596E">
        <w:rPr>
          <w:rStyle w:val="FootnoteReference"/>
        </w:rPr>
        <w:footnoteReference w:id="85"/>
      </w:r>
    </w:p>
    <w:p w14:paraId="7CF49F4F" w14:textId="77777777" w:rsidR="004728DA" w:rsidRDefault="004728DA" w:rsidP="004728DA">
      <w:pPr>
        <w:pStyle w:val="ListParagraph"/>
        <w:suppressAutoHyphens/>
        <w:ind w:left="1440"/>
        <w:rPr>
          <w:rFonts w:cs="Arial"/>
          <w:color w:val="000000" w:themeColor="text1"/>
        </w:rPr>
      </w:pPr>
    </w:p>
    <w:p w14:paraId="0EFB7A39" w14:textId="3AD1960C" w:rsidR="00BF60EF" w:rsidRDefault="00BF60EF" w:rsidP="00080B26">
      <w:pPr>
        <w:pStyle w:val="ListParagraph"/>
        <w:numPr>
          <w:ilvl w:val="1"/>
          <w:numId w:val="4"/>
        </w:numPr>
        <w:suppressAutoHyphens/>
        <w:ind w:left="709" w:hanging="709"/>
        <w:rPr>
          <w:rFonts w:cs="Arial"/>
          <w:color w:val="000000" w:themeColor="text1"/>
        </w:rPr>
      </w:pPr>
      <w:r>
        <w:rPr>
          <w:rFonts w:cs="Arial"/>
          <w:color w:val="000000" w:themeColor="text1"/>
        </w:rPr>
        <w:t>In 2023, the UN CRC Committee</w:t>
      </w:r>
      <w:r w:rsidR="006E7FCE">
        <w:rPr>
          <w:rFonts w:cs="Arial"/>
          <w:color w:val="000000" w:themeColor="text1"/>
        </w:rPr>
        <w:t xml:space="preserve"> specifically </w:t>
      </w:r>
      <w:r>
        <w:rPr>
          <w:rFonts w:cs="Arial"/>
          <w:color w:val="000000" w:themeColor="text1"/>
        </w:rPr>
        <w:t xml:space="preserve">recommended that the UK Government and NI Executive incorporate a child rights-based approach into budgeting processes, and: </w:t>
      </w:r>
    </w:p>
    <w:p w14:paraId="608CA59C" w14:textId="77777777" w:rsidR="00BF60EF" w:rsidRDefault="00BF60EF" w:rsidP="00BF60EF">
      <w:pPr>
        <w:suppressAutoHyphens/>
        <w:rPr>
          <w:rFonts w:cs="Arial"/>
          <w:color w:val="000000" w:themeColor="text1"/>
        </w:rPr>
      </w:pPr>
    </w:p>
    <w:p w14:paraId="0EBA47C3" w14:textId="14090EE7" w:rsidR="00BF60EF" w:rsidRPr="00E65727" w:rsidRDefault="00E65727" w:rsidP="00080B26">
      <w:pPr>
        <w:pStyle w:val="ListParagraph"/>
        <w:numPr>
          <w:ilvl w:val="0"/>
          <w:numId w:val="7"/>
        </w:numPr>
        <w:suppressAutoHyphens/>
        <w:rPr>
          <w:rFonts w:cs="Arial"/>
          <w:color w:val="000000" w:themeColor="text1"/>
        </w:rPr>
      </w:pPr>
      <w:r>
        <w:rPr>
          <w:rFonts w:cs="Arial"/>
          <w:color w:val="000000" w:themeColor="text1"/>
        </w:rPr>
        <w:t>i</w:t>
      </w:r>
      <w:r w:rsidR="00BF60EF" w:rsidRPr="00E65727">
        <w:rPr>
          <w:rFonts w:cs="Arial"/>
          <w:color w:val="000000" w:themeColor="text1"/>
        </w:rPr>
        <w:t xml:space="preserve">mplement a tracking system for the allocation, use and monitoring of resources for children, with a view to eliminating disparities and ensuring equitability, and assess how investments in all sectors serve the best interests of </w:t>
      </w:r>
      <w:proofErr w:type="gramStart"/>
      <w:r w:rsidR="00BF60EF" w:rsidRPr="00E65727">
        <w:rPr>
          <w:rFonts w:cs="Arial"/>
          <w:color w:val="000000" w:themeColor="text1"/>
        </w:rPr>
        <w:t>children;</w:t>
      </w:r>
      <w:proofErr w:type="gramEnd"/>
    </w:p>
    <w:p w14:paraId="1B5FC182" w14:textId="77777777" w:rsidR="00BF60EF" w:rsidRPr="002645A5" w:rsidRDefault="00BF60EF" w:rsidP="00BF60EF">
      <w:pPr>
        <w:ind w:left="851"/>
      </w:pPr>
    </w:p>
    <w:p w14:paraId="438F5E82" w14:textId="24385451" w:rsidR="00BF60EF" w:rsidRPr="00E65727" w:rsidRDefault="00E65727" w:rsidP="00080B26">
      <w:pPr>
        <w:pStyle w:val="ListParagraph"/>
        <w:numPr>
          <w:ilvl w:val="0"/>
          <w:numId w:val="7"/>
        </w:numPr>
        <w:suppressAutoHyphens/>
        <w:rPr>
          <w:rFonts w:cs="Arial"/>
          <w:color w:val="000000" w:themeColor="text1"/>
        </w:rPr>
      </w:pPr>
      <w:r>
        <w:rPr>
          <w:rFonts w:cs="Arial"/>
          <w:color w:val="000000" w:themeColor="text1"/>
        </w:rPr>
        <w:t>i</w:t>
      </w:r>
      <w:r w:rsidR="00BF60EF" w:rsidRPr="00E65727">
        <w:rPr>
          <w:rFonts w:cs="Arial"/>
          <w:color w:val="000000" w:themeColor="text1"/>
        </w:rPr>
        <w:t xml:space="preserve">ntroduce budgetary allocations for children in disadvantaged situations and ensure that children are not affected by austerity </w:t>
      </w:r>
      <w:proofErr w:type="gramStart"/>
      <w:r w:rsidR="00BF60EF" w:rsidRPr="00E65727">
        <w:rPr>
          <w:rFonts w:cs="Arial"/>
          <w:color w:val="000000" w:themeColor="text1"/>
        </w:rPr>
        <w:t>measures;</w:t>
      </w:r>
      <w:proofErr w:type="gramEnd"/>
    </w:p>
    <w:p w14:paraId="6E298999" w14:textId="77777777" w:rsidR="00BF60EF" w:rsidRPr="00B16319" w:rsidRDefault="00BF60EF" w:rsidP="00BF60EF">
      <w:pPr>
        <w:suppressAutoHyphens/>
        <w:ind w:left="851"/>
        <w:rPr>
          <w:rFonts w:cs="Arial"/>
          <w:color w:val="000000" w:themeColor="text1"/>
        </w:rPr>
      </w:pPr>
    </w:p>
    <w:p w14:paraId="4A90B3C2" w14:textId="24A34AEC" w:rsidR="00BF60EF" w:rsidRPr="00E65727" w:rsidRDefault="00E65727" w:rsidP="00080B26">
      <w:pPr>
        <w:pStyle w:val="ListParagraph"/>
        <w:numPr>
          <w:ilvl w:val="0"/>
          <w:numId w:val="7"/>
        </w:numPr>
        <w:suppressAutoHyphens/>
        <w:rPr>
          <w:rFonts w:cs="Arial"/>
          <w:color w:val="000000" w:themeColor="text1"/>
        </w:rPr>
      </w:pPr>
      <w:r>
        <w:rPr>
          <w:rFonts w:cs="Arial"/>
          <w:color w:val="000000" w:themeColor="text1"/>
        </w:rPr>
        <w:t>e</w:t>
      </w:r>
      <w:r w:rsidR="00BF60EF" w:rsidRPr="00E65727">
        <w:rPr>
          <w:rFonts w:cs="Arial"/>
          <w:color w:val="000000" w:themeColor="text1"/>
        </w:rPr>
        <w:t>nsure that, in situations of economic crisis, regressive measures are not taken without meeting the requirements set out in paragraph 31 of the Committee’ s general comment No. 19 (2016) on public budgeting for the realization of children’s rights, including that children participate in the decision-making process relating to such measures.</w:t>
      </w:r>
      <w:r w:rsidR="00BF60EF">
        <w:rPr>
          <w:rStyle w:val="FootnoteReference"/>
          <w:rFonts w:cs="Arial"/>
          <w:color w:val="000000" w:themeColor="text1"/>
        </w:rPr>
        <w:footnoteReference w:id="86"/>
      </w:r>
    </w:p>
    <w:p w14:paraId="0BA5AED8" w14:textId="77777777" w:rsidR="0073669D" w:rsidRPr="00B80D7B" w:rsidRDefault="0073669D" w:rsidP="00B80D7B">
      <w:pPr>
        <w:suppressAutoHyphens/>
        <w:rPr>
          <w:rFonts w:cs="Arial"/>
          <w:color w:val="000000" w:themeColor="text1"/>
        </w:rPr>
      </w:pPr>
    </w:p>
    <w:p w14:paraId="74C4ECF9" w14:textId="302BB177" w:rsidR="00A22291" w:rsidRPr="00B80D7B" w:rsidRDefault="00673D96" w:rsidP="00080B26">
      <w:pPr>
        <w:pStyle w:val="ListParagraph"/>
        <w:numPr>
          <w:ilvl w:val="1"/>
          <w:numId w:val="4"/>
        </w:numPr>
        <w:suppressAutoHyphens/>
        <w:ind w:left="709"/>
        <w:rPr>
          <w:rFonts w:cs="Arial"/>
          <w:color w:val="000000" w:themeColor="text1"/>
        </w:rPr>
      </w:pPr>
      <w:r>
        <w:rPr>
          <w:rFonts w:eastAsia="Verdana"/>
          <w:bCs/>
        </w:rPr>
        <w:t>The</w:t>
      </w:r>
      <w:r w:rsidR="00BE408A">
        <w:rPr>
          <w:rFonts w:eastAsia="Verdana"/>
          <w:bCs/>
        </w:rPr>
        <w:t xml:space="preserve"> </w:t>
      </w:r>
      <w:r w:rsidR="00561379">
        <w:rPr>
          <w:rFonts w:eastAsia="Verdana"/>
          <w:bCs/>
        </w:rPr>
        <w:t xml:space="preserve">NIHRC welcomes the </w:t>
      </w:r>
      <w:r w:rsidR="002619C9">
        <w:rPr>
          <w:rFonts w:eastAsia="Verdana"/>
          <w:bCs/>
        </w:rPr>
        <w:t xml:space="preserve">current proposals </w:t>
      </w:r>
      <w:r w:rsidR="0020064D">
        <w:rPr>
          <w:rFonts w:eastAsia="Verdana"/>
          <w:bCs/>
        </w:rPr>
        <w:t>for taking a holistic approach to</w:t>
      </w:r>
      <w:r w:rsidR="00B35033">
        <w:rPr>
          <w:rFonts w:eastAsia="Verdana"/>
          <w:bCs/>
        </w:rPr>
        <w:t xml:space="preserve"> the </w:t>
      </w:r>
      <w:r w:rsidR="00DF3C65">
        <w:rPr>
          <w:rFonts w:eastAsia="Verdana"/>
          <w:bCs/>
        </w:rPr>
        <w:t>regulation</w:t>
      </w:r>
      <w:r w:rsidR="00B344DD">
        <w:rPr>
          <w:rFonts w:eastAsia="Verdana"/>
          <w:bCs/>
        </w:rPr>
        <w:t xml:space="preserve"> of school uniforms</w:t>
      </w:r>
      <w:r w:rsidR="00B35033">
        <w:rPr>
          <w:rFonts w:eastAsia="Verdana"/>
          <w:bCs/>
        </w:rPr>
        <w:t xml:space="preserve"> as </w:t>
      </w:r>
      <w:r w:rsidR="3DF035CF" w:rsidRPr="03C24E2B">
        <w:rPr>
          <w:rFonts w:eastAsia="Verdana"/>
        </w:rPr>
        <w:t xml:space="preserve">a </w:t>
      </w:r>
      <w:r w:rsidR="00B35033">
        <w:rPr>
          <w:rFonts w:eastAsia="Verdana"/>
          <w:bCs/>
        </w:rPr>
        <w:t>way of tackling overall costs</w:t>
      </w:r>
      <w:r w:rsidR="00B344DD">
        <w:rPr>
          <w:rFonts w:eastAsia="Verdana"/>
          <w:bCs/>
        </w:rPr>
        <w:t>, including</w:t>
      </w:r>
      <w:r w:rsidR="006E4F5A">
        <w:rPr>
          <w:rFonts w:eastAsia="Verdana"/>
          <w:bCs/>
        </w:rPr>
        <w:t xml:space="preserve"> a requirement that schools must use </w:t>
      </w:r>
      <w:r w:rsidR="00BD400C">
        <w:rPr>
          <w:rFonts w:eastAsia="Verdana"/>
          <w:bCs/>
        </w:rPr>
        <w:t>a range of suppliers and</w:t>
      </w:r>
      <w:r w:rsidR="00252631">
        <w:rPr>
          <w:rFonts w:eastAsia="Verdana"/>
          <w:bCs/>
        </w:rPr>
        <w:t xml:space="preserve"> </w:t>
      </w:r>
      <w:r w:rsidR="009A0FEF">
        <w:rPr>
          <w:rFonts w:eastAsia="Verdana"/>
          <w:bCs/>
        </w:rPr>
        <w:t xml:space="preserve">possible </w:t>
      </w:r>
      <w:r w:rsidR="00B344DD">
        <w:rPr>
          <w:rFonts w:eastAsia="Verdana"/>
          <w:bCs/>
        </w:rPr>
        <w:t xml:space="preserve">introduction of a </w:t>
      </w:r>
      <w:r w:rsidR="0073669D">
        <w:rPr>
          <w:rFonts w:eastAsia="Verdana"/>
          <w:bCs/>
        </w:rPr>
        <w:t>cap on</w:t>
      </w:r>
      <w:r w:rsidR="009A0FEF">
        <w:rPr>
          <w:rFonts w:eastAsia="Verdana"/>
          <w:bCs/>
        </w:rPr>
        <w:t xml:space="preserve"> </w:t>
      </w:r>
      <w:r w:rsidR="00D64D5B">
        <w:rPr>
          <w:rFonts w:eastAsia="Verdana"/>
          <w:bCs/>
        </w:rPr>
        <w:t xml:space="preserve">the total </w:t>
      </w:r>
      <w:r w:rsidR="003F1A74">
        <w:rPr>
          <w:rFonts w:eastAsia="Verdana"/>
          <w:bCs/>
        </w:rPr>
        <w:t xml:space="preserve">costs </w:t>
      </w:r>
      <w:r w:rsidR="009A1A61">
        <w:rPr>
          <w:rFonts w:eastAsia="Verdana"/>
          <w:bCs/>
        </w:rPr>
        <w:t xml:space="preserve">of school </w:t>
      </w:r>
      <w:r w:rsidR="009A0FEF">
        <w:rPr>
          <w:rFonts w:eastAsia="Verdana"/>
          <w:bCs/>
        </w:rPr>
        <w:t>uniform</w:t>
      </w:r>
      <w:r w:rsidR="009A1A61">
        <w:rPr>
          <w:rFonts w:eastAsia="Verdana"/>
          <w:bCs/>
        </w:rPr>
        <w:t>s.</w:t>
      </w:r>
      <w:r w:rsidR="0027535B">
        <w:rPr>
          <w:rStyle w:val="FootnoteReference"/>
          <w:rFonts w:eastAsia="Verdana"/>
          <w:bCs/>
        </w:rPr>
        <w:footnoteReference w:id="87"/>
      </w:r>
      <w:r w:rsidR="009A1A61">
        <w:rPr>
          <w:rFonts w:eastAsia="Verdana"/>
          <w:bCs/>
        </w:rPr>
        <w:t xml:space="preserve"> </w:t>
      </w:r>
      <w:r w:rsidR="00023ECB">
        <w:rPr>
          <w:rFonts w:eastAsia="Verdana"/>
          <w:bCs/>
        </w:rPr>
        <w:t xml:space="preserve">However, in the interim, </w:t>
      </w:r>
      <w:r w:rsidR="00536568">
        <w:rPr>
          <w:rFonts w:eastAsia="Verdana"/>
          <w:bCs/>
        </w:rPr>
        <w:t xml:space="preserve">the </w:t>
      </w:r>
      <w:r w:rsidR="004300F9">
        <w:rPr>
          <w:rFonts w:eastAsia="Verdana"/>
          <w:bCs/>
        </w:rPr>
        <w:t xml:space="preserve">school uniform grant </w:t>
      </w:r>
      <w:r w:rsidR="008F3D96">
        <w:rPr>
          <w:rFonts w:eastAsia="Verdana"/>
          <w:bCs/>
        </w:rPr>
        <w:t>is a</w:t>
      </w:r>
      <w:r w:rsidR="00A22291">
        <w:rPr>
          <w:rFonts w:eastAsia="Verdana"/>
          <w:bCs/>
        </w:rPr>
        <w:t xml:space="preserve"> critical</w:t>
      </w:r>
      <w:r w:rsidR="00973C59">
        <w:rPr>
          <w:rFonts w:eastAsia="Verdana"/>
          <w:bCs/>
        </w:rPr>
        <w:t xml:space="preserve"> measure for tackling the disparities currently seen in the NI education system. </w:t>
      </w:r>
      <w:r w:rsidR="00973C59">
        <w:rPr>
          <w:rFonts w:cs="Arial"/>
        </w:rPr>
        <w:t>If the school uniform</w:t>
      </w:r>
      <w:r w:rsidR="00973C59" w:rsidRPr="00DB30CF">
        <w:rPr>
          <w:rFonts w:cs="Arial"/>
        </w:rPr>
        <w:t xml:space="preserve"> grant does not </w:t>
      </w:r>
      <w:r w:rsidR="00973C59">
        <w:rPr>
          <w:rFonts w:cs="Arial"/>
        </w:rPr>
        <w:t>provide sufficient financial assistance for families</w:t>
      </w:r>
      <w:r w:rsidR="00973C59" w:rsidRPr="00DB30CF">
        <w:rPr>
          <w:rFonts w:cs="Arial"/>
        </w:rPr>
        <w:t>, then it</w:t>
      </w:r>
      <w:r w:rsidR="00973C59">
        <w:rPr>
          <w:rFonts w:cs="Arial"/>
        </w:rPr>
        <w:t xml:space="preserve"> is foreseeable that</w:t>
      </w:r>
      <w:r w:rsidR="00973C59" w:rsidRPr="00DB30CF">
        <w:rPr>
          <w:rFonts w:cs="Arial"/>
          <w:color w:val="FF0000"/>
        </w:rPr>
        <w:t xml:space="preserve"> </w:t>
      </w:r>
      <w:r w:rsidR="00973C59" w:rsidRPr="00DB30CF">
        <w:rPr>
          <w:rFonts w:cs="Arial"/>
          <w:color w:val="000000" w:themeColor="text1"/>
        </w:rPr>
        <w:t xml:space="preserve">the cost of school uniforms </w:t>
      </w:r>
      <w:r w:rsidR="00973C59">
        <w:rPr>
          <w:rFonts w:cs="Arial"/>
          <w:color w:val="000000" w:themeColor="text1"/>
        </w:rPr>
        <w:t>would have a prohibitive effect on a child’s</w:t>
      </w:r>
      <w:r w:rsidR="00973C59" w:rsidRPr="00DB30CF">
        <w:rPr>
          <w:rFonts w:eastAsia="Verdana" w:cs="Verdana"/>
          <w:color w:val="000000"/>
        </w:rPr>
        <w:t xml:space="preserve"> </w:t>
      </w:r>
      <w:r w:rsidR="00973C59">
        <w:rPr>
          <w:rFonts w:eastAsia="Verdana" w:cs="Verdana"/>
          <w:color w:val="000000"/>
        </w:rPr>
        <w:t xml:space="preserve">ability to </w:t>
      </w:r>
      <w:r w:rsidR="00973C59" w:rsidRPr="00DB30CF">
        <w:rPr>
          <w:rFonts w:eastAsia="Verdana" w:cs="Verdana"/>
          <w:color w:val="000000"/>
        </w:rPr>
        <w:t xml:space="preserve">access </w:t>
      </w:r>
      <w:r w:rsidR="00973C59">
        <w:rPr>
          <w:rFonts w:eastAsia="Verdana" w:cs="Verdana"/>
          <w:color w:val="000000"/>
        </w:rPr>
        <w:t xml:space="preserve">certain schools. </w:t>
      </w:r>
      <w:r w:rsidR="001F7315">
        <w:rPr>
          <w:rFonts w:eastAsia="Verdana" w:cs="Verdana"/>
          <w:color w:val="000000"/>
        </w:rPr>
        <w:t>The NIHRC remains concerned that</w:t>
      </w:r>
      <w:r w:rsidR="00973C59">
        <w:rPr>
          <w:rFonts w:eastAsia="Verdana"/>
          <w:bCs/>
        </w:rPr>
        <w:t xml:space="preserve">, due to budgetary pressures, </w:t>
      </w:r>
      <w:r w:rsidR="00973C59" w:rsidRPr="002E5FD0">
        <w:rPr>
          <w:rFonts w:eastAsia="Verdana"/>
          <w:bCs/>
        </w:rPr>
        <w:t xml:space="preserve">additional funding </w:t>
      </w:r>
      <w:r w:rsidR="00973C59">
        <w:rPr>
          <w:rFonts w:eastAsia="Verdana"/>
          <w:bCs/>
        </w:rPr>
        <w:t xml:space="preserve">has not been allocated to </w:t>
      </w:r>
      <w:r w:rsidR="00973C59" w:rsidRPr="002E5FD0">
        <w:rPr>
          <w:rFonts w:eastAsia="Verdana"/>
          <w:bCs/>
        </w:rPr>
        <w:t xml:space="preserve">the Education Authority to implement </w:t>
      </w:r>
      <w:r w:rsidR="00973C59">
        <w:rPr>
          <w:rFonts w:eastAsia="Verdana"/>
          <w:bCs/>
        </w:rPr>
        <w:t>a</w:t>
      </w:r>
      <w:r w:rsidR="00973C59" w:rsidRPr="002E5FD0">
        <w:rPr>
          <w:rFonts w:eastAsia="Verdana"/>
          <w:bCs/>
        </w:rPr>
        <w:t xml:space="preserve"> rise in the rate of the uniform grant for the 2024-25 academic year</w:t>
      </w:r>
      <w:r w:rsidR="00973C59">
        <w:rPr>
          <w:rFonts w:eastAsia="Verdana"/>
          <w:bCs/>
        </w:rPr>
        <w:t>, as seen in other UK jurisdictions.</w:t>
      </w:r>
      <w:r w:rsidR="00973C59">
        <w:rPr>
          <w:rStyle w:val="FootnoteReference"/>
          <w:rFonts w:eastAsia="Verdana"/>
          <w:bCs/>
        </w:rPr>
        <w:footnoteReference w:id="88"/>
      </w:r>
    </w:p>
    <w:p w14:paraId="32C39576" w14:textId="77777777" w:rsidR="008F07DF" w:rsidRPr="00B80D7B" w:rsidRDefault="008F07DF" w:rsidP="00B80D7B">
      <w:pPr>
        <w:suppressAutoHyphens/>
        <w:rPr>
          <w:rFonts w:cs="Arial"/>
          <w:color w:val="000000" w:themeColor="text1"/>
        </w:rPr>
      </w:pPr>
    </w:p>
    <w:p w14:paraId="2258CD21" w14:textId="0EE08926" w:rsidR="00CF54F3" w:rsidRPr="00E34E1E" w:rsidRDefault="00B803A6" w:rsidP="00080B26">
      <w:pPr>
        <w:pStyle w:val="ListParagraph"/>
        <w:numPr>
          <w:ilvl w:val="1"/>
          <w:numId w:val="4"/>
        </w:numPr>
        <w:suppressAutoHyphens/>
        <w:ind w:left="709"/>
        <w:rPr>
          <w:rFonts w:cs="Arial"/>
          <w:color w:val="000000" w:themeColor="text1"/>
        </w:rPr>
      </w:pPr>
      <w:r>
        <w:rPr>
          <w:rFonts w:eastAsia="Verdana"/>
          <w:bCs/>
        </w:rPr>
        <w:t>The NIHRC welcomes the</w:t>
      </w:r>
      <w:r w:rsidR="00B12962">
        <w:rPr>
          <w:rFonts w:eastAsia="Verdana"/>
          <w:bCs/>
        </w:rPr>
        <w:t xml:space="preserve"> </w:t>
      </w:r>
      <w:r>
        <w:rPr>
          <w:rFonts w:eastAsia="Verdana"/>
          <w:bCs/>
        </w:rPr>
        <w:t>proposal to introduce additional band</w:t>
      </w:r>
      <w:r w:rsidR="00BB6FE4">
        <w:rPr>
          <w:rFonts w:eastAsia="Verdana"/>
          <w:bCs/>
        </w:rPr>
        <w:t>ing</w:t>
      </w:r>
      <w:r>
        <w:rPr>
          <w:rFonts w:eastAsia="Verdana"/>
          <w:bCs/>
        </w:rPr>
        <w:t xml:space="preserve"> </w:t>
      </w:r>
      <w:r w:rsidR="00E34E1E">
        <w:rPr>
          <w:rFonts w:eastAsia="Verdana"/>
          <w:bCs/>
        </w:rPr>
        <w:t>for</w:t>
      </w:r>
      <w:r w:rsidR="002F02F8">
        <w:rPr>
          <w:rFonts w:eastAsia="Verdana"/>
          <w:bCs/>
        </w:rPr>
        <w:t xml:space="preserve"> provision of the uniform grant</w:t>
      </w:r>
      <w:r w:rsidR="000D1B06">
        <w:rPr>
          <w:rFonts w:eastAsia="Verdana"/>
          <w:bCs/>
        </w:rPr>
        <w:t xml:space="preserve">, </w:t>
      </w:r>
      <w:r w:rsidR="007D7CE0">
        <w:rPr>
          <w:rFonts w:eastAsia="Verdana"/>
          <w:bCs/>
        </w:rPr>
        <w:t xml:space="preserve">which </w:t>
      </w:r>
      <w:r w:rsidR="0048643D">
        <w:rPr>
          <w:rFonts w:eastAsia="Verdana"/>
          <w:bCs/>
        </w:rPr>
        <w:t>targets</w:t>
      </w:r>
      <w:r w:rsidR="000D1B06">
        <w:rPr>
          <w:rFonts w:eastAsia="Verdana"/>
          <w:bCs/>
        </w:rPr>
        <w:t xml:space="preserve"> the</w:t>
      </w:r>
      <w:r w:rsidR="008F4B2C">
        <w:rPr>
          <w:rFonts w:eastAsia="Verdana"/>
          <w:bCs/>
        </w:rPr>
        <w:t xml:space="preserve"> increased costs of uniforms during transition </w:t>
      </w:r>
      <w:r w:rsidR="007D7CE0">
        <w:rPr>
          <w:rFonts w:eastAsia="Verdana"/>
          <w:bCs/>
        </w:rPr>
        <w:t>from primary to post-primary</w:t>
      </w:r>
      <w:r w:rsidR="008F4B2C">
        <w:rPr>
          <w:rFonts w:eastAsia="Verdana"/>
          <w:bCs/>
        </w:rPr>
        <w:t>.</w:t>
      </w:r>
      <w:r w:rsidR="007D7CE0">
        <w:rPr>
          <w:rStyle w:val="FootnoteReference"/>
          <w:rFonts w:eastAsia="Verdana"/>
          <w:bCs/>
        </w:rPr>
        <w:footnoteReference w:id="89"/>
      </w:r>
      <w:r w:rsidR="003D400A">
        <w:rPr>
          <w:rFonts w:eastAsia="Verdana"/>
          <w:bCs/>
        </w:rPr>
        <w:t xml:space="preserve"> </w:t>
      </w:r>
      <w:r w:rsidR="00486BD5" w:rsidRPr="00E34E1E">
        <w:rPr>
          <w:rFonts w:eastAsia="Verdana"/>
          <w:bCs/>
        </w:rPr>
        <w:t>However,</w:t>
      </w:r>
      <w:r w:rsidR="00FF7D33" w:rsidRPr="00E34E1E">
        <w:rPr>
          <w:rFonts w:eastAsia="Verdana"/>
          <w:bCs/>
        </w:rPr>
        <w:t xml:space="preserve"> t</w:t>
      </w:r>
      <w:r w:rsidR="00714C47" w:rsidRPr="00E34E1E">
        <w:rPr>
          <w:rFonts w:eastAsia="Verdana"/>
          <w:bCs/>
        </w:rPr>
        <w:t xml:space="preserve">he </w:t>
      </w:r>
      <w:r w:rsidR="00FF7D33" w:rsidRPr="00E34E1E">
        <w:rPr>
          <w:rFonts w:eastAsia="Verdana"/>
          <w:bCs/>
        </w:rPr>
        <w:t>consultation notes that</w:t>
      </w:r>
      <w:r w:rsidR="00714C47" w:rsidRPr="00E34E1E">
        <w:rPr>
          <w:rFonts w:eastAsia="Verdana"/>
          <w:bCs/>
        </w:rPr>
        <w:t xml:space="preserve"> </w:t>
      </w:r>
      <w:r w:rsidR="00486BD5" w:rsidRPr="00E34E1E">
        <w:rPr>
          <w:rFonts w:eastAsia="Verdana"/>
          <w:bCs/>
        </w:rPr>
        <w:t xml:space="preserve">support from the uniform grant is </w:t>
      </w:r>
      <w:r w:rsidR="00714C47" w:rsidRPr="00E34E1E">
        <w:rPr>
          <w:rFonts w:eastAsia="Verdana"/>
          <w:bCs/>
        </w:rPr>
        <w:t>“targeted at families on low income and is not targeted on the needs of specific children”.</w:t>
      </w:r>
      <w:r w:rsidR="00763021">
        <w:rPr>
          <w:rStyle w:val="FootnoteReference"/>
          <w:rFonts w:eastAsia="Verdana"/>
          <w:bCs/>
        </w:rPr>
        <w:footnoteReference w:id="90"/>
      </w:r>
      <w:r w:rsidR="00714C47" w:rsidRPr="00E34E1E">
        <w:rPr>
          <w:rFonts w:eastAsia="Verdana"/>
          <w:bCs/>
        </w:rPr>
        <w:t xml:space="preserve"> In accordance with the principle</w:t>
      </w:r>
      <w:r w:rsidR="00016EBF" w:rsidRPr="00E34E1E">
        <w:rPr>
          <w:rFonts w:eastAsia="Verdana"/>
          <w:bCs/>
        </w:rPr>
        <w:t xml:space="preserve">s </w:t>
      </w:r>
      <w:r w:rsidR="00714C47" w:rsidRPr="00E34E1E">
        <w:rPr>
          <w:rFonts w:eastAsia="Verdana"/>
          <w:bCs/>
        </w:rPr>
        <w:t xml:space="preserve">of non-discrimination and best interests of the child, the NIHRC </w:t>
      </w:r>
      <w:r w:rsidR="00714C47" w:rsidRPr="6BCD94F9">
        <w:rPr>
          <w:rFonts w:eastAsia="Verdana"/>
        </w:rPr>
        <w:t>encourage</w:t>
      </w:r>
      <w:r w:rsidR="727BB479" w:rsidRPr="6BCD94F9">
        <w:rPr>
          <w:rFonts w:eastAsia="Verdana"/>
        </w:rPr>
        <w:t>s</w:t>
      </w:r>
      <w:r w:rsidR="00714C47" w:rsidRPr="00E34E1E">
        <w:rPr>
          <w:rFonts w:eastAsia="Verdana"/>
          <w:bCs/>
        </w:rPr>
        <w:t xml:space="preserve"> </w:t>
      </w:r>
      <w:r w:rsidR="00814791" w:rsidRPr="00E34E1E">
        <w:rPr>
          <w:rFonts w:cs="Arial"/>
          <w:color w:val="000000" w:themeColor="text1"/>
        </w:rPr>
        <w:t xml:space="preserve">the Department of </w:t>
      </w:r>
      <w:r w:rsidR="00814791" w:rsidRPr="00E34E1E">
        <w:rPr>
          <w:rFonts w:cs="Arial"/>
          <w:color w:val="000000" w:themeColor="text1"/>
        </w:rPr>
        <w:lastRenderedPageBreak/>
        <w:t xml:space="preserve">Education to consider cost-saving measures and targeted mitigations </w:t>
      </w:r>
      <w:r w:rsidR="00366949">
        <w:t xml:space="preserve">for those </w:t>
      </w:r>
      <w:r w:rsidR="00366949" w:rsidRPr="00376D41">
        <w:t xml:space="preserve">children </w:t>
      </w:r>
      <w:r w:rsidR="00366949">
        <w:t xml:space="preserve">identified as particularly </w:t>
      </w:r>
      <w:r w:rsidR="00366949" w:rsidRPr="00376D41">
        <w:t>disadvantaged</w:t>
      </w:r>
      <w:r w:rsidR="00366949">
        <w:t>.</w:t>
      </w:r>
      <w:r w:rsidR="00763021">
        <w:t xml:space="preserve"> </w:t>
      </w:r>
    </w:p>
    <w:p w14:paraId="0E4D50E6" w14:textId="77777777" w:rsidR="00CF54F3" w:rsidRPr="00CF54F3" w:rsidRDefault="00CF54F3" w:rsidP="00CF54F3">
      <w:pPr>
        <w:pStyle w:val="ListParagraph"/>
        <w:suppressAutoHyphens/>
        <w:ind w:left="709"/>
        <w:rPr>
          <w:rFonts w:cs="Arial"/>
          <w:color w:val="000000" w:themeColor="text1"/>
        </w:rPr>
      </w:pPr>
    </w:p>
    <w:p w14:paraId="0BACF8E4" w14:textId="764ECE6A" w:rsidR="00763021" w:rsidRDefault="00763021" w:rsidP="00080B26">
      <w:pPr>
        <w:pStyle w:val="ListParagraph"/>
        <w:numPr>
          <w:ilvl w:val="1"/>
          <w:numId w:val="4"/>
        </w:numPr>
        <w:suppressAutoHyphens/>
        <w:ind w:left="709"/>
        <w:rPr>
          <w:rFonts w:cs="Arial"/>
          <w:color w:val="000000" w:themeColor="text1"/>
        </w:rPr>
      </w:pPr>
      <w:r>
        <w:t xml:space="preserve">For </w:t>
      </w:r>
      <w:r w:rsidR="00CF54F3">
        <w:t>example</w:t>
      </w:r>
      <w:r>
        <w:t xml:space="preserve">, </w:t>
      </w:r>
      <w:r>
        <w:rPr>
          <w:rFonts w:cs="Arial"/>
          <w:color w:val="000000" w:themeColor="text1"/>
        </w:rPr>
        <w:t xml:space="preserve">neither the </w:t>
      </w:r>
      <w:r w:rsidRPr="002F58C7">
        <w:rPr>
          <w:rFonts w:cs="Arial"/>
          <w:color w:val="000000" w:themeColor="text1"/>
        </w:rPr>
        <w:t>consultation document</w:t>
      </w:r>
      <w:r>
        <w:rPr>
          <w:rFonts w:cs="Arial"/>
          <w:color w:val="000000" w:themeColor="text1"/>
        </w:rPr>
        <w:t xml:space="preserve"> or current guidance</w:t>
      </w:r>
      <w:r w:rsidRPr="002F58C7">
        <w:rPr>
          <w:rFonts w:cs="Arial"/>
          <w:color w:val="000000" w:themeColor="text1"/>
        </w:rPr>
        <w:t xml:space="preserve"> highlight </w:t>
      </w:r>
      <w:r>
        <w:rPr>
          <w:rFonts w:cs="Arial"/>
          <w:color w:val="000000" w:themeColor="text1"/>
        </w:rPr>
        <w:t xml:space="preserve">the specific needs of </w:t>
      </w:r>
      <w:proofErr w:type="gramStart"/>
      <w:r w:rsidRPr="002F58C7">
        <w:rPr>
          <w:rFonts w:cs="Arial"/>
          <w:color w:val="000000" w:themeColor="text1"/>
        </w:rPr>
        <w:t>asylum seek</w:t>
      </w:r>
      <w:r>
        <w:rPr>
          <w:rFonts w:cs="Arial"/>
          <w:color w:val="000000" w:themeColor="text1"/>
        </w:rPr>
        <w:t>ing</w:t>
      </w:r>
      <w:proofErr w:type="gramEnd"/>
      <w:r>
        <w:rPr>
          <w:rFonts w:cs="Arial"/>
          <w:color w:val="000000" w:themeColor="text1"/>
        </w:rPr>
        <w:t xml:space="preserve"> children and their</w:t>
      </w:r>
      <w:r w:rsidRPr="002F58C7">
        <w:rPr>
          <w:rFonts w:cs="Arial"/>
          <w:color w:val="000000" w:themeColor="text1"/>
        </w:rPr>
        <w:t xml:space="preserve"> families</w:t>
      </w:r>
      <w:r>
        <w:rPr>
          <w:rFonts w:cs="Arial"/>
          <w:color w:val="000000" w:themeColor="text1"/>
        </w:rPr>
        <w:t xml:space="preserve"> in terms of affordability. Asylum seeking families may be</w:t>
      </w:r>
      <w:r w:rsidRPr="002F58C7">
        <w:rPr>
          <w:rFonts w:cs="Arial"/>
          <w:color w:val="000000" w:themeColor="text1"/>
        </w:rPr>
        <w:t xml:space="preserve"> required to move home, which can then necessitate a school move.</w:t>
      </w:r>
      <w:r>
        <w:rPr>
          <w:rFonts w:cs="Arial"/>
          <w:color w:val="000000" w:themeColor="text1"/>
        </w:rPr>
        <w:t xml:space="preserve"> </w:t>
      </w:r>
      <w:r w:rsidRPr="002F58C7">
        <w:rPr>
          <w:rFonts w:cs="Arial"/>
          <w:color w:val="000000" w:themeColor="text1"/>
        </w:rPr>
        <w:t>This can cause difficulties for families in respect of school uniforms because, under the current policy, pupils can usually only get one clothing allowance for each school year.</w:t>
      </w:r>
      <w:r>
        <w:rPr>
          <w:rFonts w:cs="Arial"/>
          <w:color w:val="000000" w:themeColor="text1"/>
        </w:rPr>
        <w:t xml:space="preserve"> </w:t>
      </w:r>
    </w:p>
    <w:p w14:paraId="13BD3FC0" w14:textId="77777777" w:rsidR="000A276A" w:rsidRPr="000A276A" w:rsidRDefault="000A276A" w:rsidP="000A276A">
      <w:pPr>
        <w:pStyle w:val="ListParagraph"/>
        <w:rPr>
          <w:rFonts w:cs="Arial"/>
          <w:color w:val="000000" w:themeColor="text1"/>
        </w:rPr>
      </w:pPr>
    </w:p>
    <w:p w14:paraId="0A7709BD" w14:textId="5A9E8961" w:rsidR="000A276A" w:rsidRPr="000A276A" w:rsidRDefault="000A276A" w:rsidP="00080B26">
      <w:pPr>
        <w:pStyle w:val="ListParagraph"/>
        <w:numPr>
          <w:ilvl w:val="1"/>
          <w:numId w:val="4"/>
        </w:numPr>
        <w:ind w:left="709" w:hanging="709"/>
        <w:rPr>
          <w:rFonts w:cs="Arial"/>
          <w:b/>
          <w:bCs/>
          <w:color w:val="000000" w:themeColor="text1"/>
        </w:rPr>
      </w:pPr>
      <w:r w:rsidRPr="000A276A">
        <w:rPr>
          <w:rFonts w:cs="Arial"/>
          <w:b/>
          <w:bCs/>
          <w:color w:val="000000" w:themeColor="text1"/>
        </w:rPr>
        <w:t xml:space="preserve">The NIHRC recommends that the Department of Education </w:t>
      </w:r>
      <w:r w:rsidR="00956B94">
        <w:rPr>
          <w:rFonts w:cs="Arial"/>
          <w:b/>
          <w:bCs/>
          <w:color w:val="000000" w:themeColor="text1"/>
        </w:rPr>
        <w:t xml:space="preserve">makes </w:t>
      </w:r>
      <w:r w:rsidRPr="000A276A">
        <w:rPr>
          <w:rFonts w:cs="Arial"/>
          <w:b/>
          <w:bCs/>
          <w:color w:val="000000" w:themeColor="text1"/>
        </w:rPr>
        <w:t xml:space="preserve">every effort to use all available resources to ensure school uniform grants in NI are sufficient, proportional to costs and </w:t>
      </w:r>
      <w:r w:rsidR="007C4DFA">
        <w:rPr>
          <w:rFonts w:cs="Arial"/>
          <w:b/>
          <w:bCs/>
          <w:color w:val="000000" w:themeColor="text1"/>
        </w:rPr>
        <w:t xml:space="preserve">include </w:t>
      </w:r>
      <w:r w:rsidR="00E87D4C">
        <w:rPr>
          <w:rFonts w:cs="Arial"/>
          <w:b/>
          <w:bCs/>
          <w:color w:val="000000" w:themeColor="text1"/>
        </w:rPr>
        <w:t>targeted</w:t>
      </w:r>
      <w:r w:rsidR="00E87D4C" w:rsidRPr="00923224">
        <w:rPr>
          <w:rFonts w:cs="Arial"/>
          <w:b/>
          <w:bCs/>
          <w:color w:val="000000" w:themeColor="text1"/>
        </w:rPr>
        <w:t xml:space="preserve"> </w:t>
      </w:r>
      <w:r w:rsidR="007C4DFA">
        <w:rPr>
          <w:rFonts w:cs="Arial"/>
          <w:b/>
          <w:bCs/>
          <w:color w:val="000000" w:themeColor="text1"/>
        </w:rPr>
        <w:t xml:space="preserve">measures </w:t>
      </w:r>
      <w:r w:rsidR="00E87D4C" w:rsidRPr="00923224">
        <w:rPr>
          <w:b/>
          <w:bCs/>
        </w:rPr>
        <w:t>for children identified as particularly disadvantaged</w:t>
      </w:r>
      <w:r w:rsidR="00E87D4C">
        <w:rPr>
          <w:b/>
          <w:bCs/>
        </w:rPr>
        <w:t xml:space="preserve">, </w:t>
      </w:r>
      <w:r w:rsidR="00E87D4C">
        <w:rPr>
          <w:rFonts w:eastAsia="Verdana"/>
          <w:b/>
          <w:bCs/>
        </w:rPr>
        <w:t>i</w:t>
      </w:r>
      <w:r w:rsidR="00E87D4C" w:rsidRPr="00923224">
        <w:rPr>
          <w:rFonts w:eastAsia="Verdana"/>
          <w:b/>
          <w:bCs/>
        </w:rPr>
        <w:t>n accordance with the principle</w:t>
      </w:r>
      <w:r w:rsidR="00E87D4C">
        <w:rPr>
          <w:rFonts w:eastAsia="Verdana"/>
          <w:b/>
          <w:bCs/>
        </w:rPr>
        <w:t>s</w:t>
      </w:r>
      <w:r w:rsidR="00E87D4C" w:rsidRPr="00923224">
        <w:rPr>
          <w:rFonts w:eastAsia="Verdana"/>
          <w:b/>
          <w:bCs/>
        </w:rPr>
        <w:t xml:space="preserve"> of non-discrimination and best interests of the child</w:t>
      </w:r>
      <w:r w:rsidR="00E87D4C">
        <w:rPr>
          <w:rFonts w:eastAsia="Verdana"/>
          <w:b/>
          <w:bCs/>
        </w:rPr>
        <w:t>.</w:t>
      </w:r>
    </w:p>
    <w:p w14:paraId="4DB8BECA" w14:textId="05D50B5D" w:rsidR="00763021" w:rsidRPr="00763021" w:rsidRDefault="00763021" w:rsidP="00763021">
      <w:pPr>
        <w:pStyle w:val="ListParagraph"/>
        <w:suppressAutoHyphens/>
        <w:ind w:left="709"/>
        <w:rPr>
          <w:rFonts w:cs="Arial"/>
          <w:color w:val="000000" w:themeColor="text1"/>
        </w:rPr>
      </w:pPr>
    </w:p>
    <w:p w14:paraId="39F11635" w14:textId="55D60218" w:rsidR="00795967" w:rsidRPr="00795967" w:rsidRDefault="00366949" w:rsidP="00080B26">
      <w:pPr>
        <w:pStyle w:val="ListParagraph"/>
        <w:numPr>
          <w:ilvl w:val="1"/>
          <w:numId w:val="4"/>
        </w:numPr>
        <w:suppressAutoHyphens/>
        <w:ind w:left="709"/>
        <w:rPr>
          <w:rFonts w:cs="Arial"/>
          <w:color w:val="000000" w:themeColor="text1"/>
        </w:rPr>
      </w:pPr>
      <w:r>
        <w:t>T</w:t>
      </w:r>
      <w:r w:rsidR="00784AF8">
        <w:t xml:space="preserve">o ensure the needs of children are appropriately identified </w:t>
      </w:r>
      <w:r w:rsidR="00235A9F">
        <w:t>and mitigated</w:t>
      </w:r>
      <w:r w:rsidR="48277B21">
        <w:t>,</w:t>
      </w:r>
      <w:r w:rsidR="00784AF8">
        <w:t xml:space="preserve"> </w:t>
      </w:r>
      <w:r w:rsidR="00564E95">
        <w:t>further</w:t>
      </w:r>
      <w:r w:rsidR="00784AF8">
        <w:t xml:space="preserve"> </w:t>
      </w:r>
      <w:r>
        <w:t xml:space="preserve">data collection and </w:t>
      </w:r>
      <w:r w:rsidR="00564E95">
        <w:t>analysis</w:t>
      </w:r>
      <w:r w:rsidR="1B024B36">
        <w:t xml:space="preserve"> is required</w:t>
      </w:r>
      <w:r w:rsidR="00564E95">
        <w:t>, as</w:t>
      </w:r>
      <w:r>
        <w:t xml:space="preserve"> </w:t>
      </w:r>
      <w:r w:rsidR="00564E95">
        <w:t xml:space="preserve">explored </w:t>
      </w:r>
      <w:r>
        <w:t xml:space="preserve">at paragraphs 2.28 – 2.31 above. </w:t>
      </w:r>
      <w:r w:rsidR="00D4163A">
        <w:t>The consultation document advises that</w:t>
      </w:r>
      <w:r w:rsidR="00645713">
        <w:t xml:space="preserve"> uniform grant support is</w:t>
      </w:r>
      <w:r w:rsidR="00EB04FA">
        <w:t xml:space="preserve"> currently</w:t>
      </w:r>
      <w:r w:rsidR="00645713">
        <w:t xml:space="preserve"> provided to over 94,000 school pupils.</w:t>
      </w:r>
      <w:r w:rsidR="00F8547E">
        <w:t xml:space="preserve"> </w:t>
      </w:r>
      <w:r w:rsidR="00EB04FA">
        <w:t xml:space="preserve">However, disaggregated </w:t>
      </w:r>
      <w:r w:rsidR="00F8547E">
        <w:t xml:space="preserve">data on school uniform grants is not publicly available. </w:t>
      </w:r>
      <w:r w:rsidR="00106D33">
        <w:t>For instance, c</w:t>
      </w:r>
      <w:r w:rsidR="00EB04FA">
        <w:t xml:space="preserve">urrent </w:t>
      </w:r>
      <w:r>
        <w:t>s</w:t>
      </w:r>
      <w:r w:rsidR="00561403" w:rsidRPr="00134904">
        <w:t>tatistics on school enrolments show that approximately 96,300 pupils are entitled to free school meals, representing approximately 28 per cent of children in funded education.</w:t>
      </w:r>
      <w:r w:rsidR="00561403">
        <w:rPr>
          <w:rStyle w:val="FootnoteReference"/>
        </w:rPr>
        <w:footnoteReference w:id="91"/>
      </w:r>
      <w:r w:rsidR="00561403" w:rsidRPr="00134904">
        <w:t xml:space="preserve"> </w:t>
      </w:r>
      <w:r w:rsidR="00106D33">
        <w:t>However, the statistics reveal a</w:t>
      </w:r>
      <w:r w:rsidR="00561403" w:rsidRPr="00134904">
        <w:t xml:space="preserve"> significant disparity in terms of free school meal entitlement with regards to school type. Special schools have a much higher than average proportion of pupils entitled to free school meals (52 per cent), while non-grammar </w:t>
      </w:r>
      <w:r w:rsidR="5153D8D6" w:rsidRPr="00134904">
        <w:t xml:space="preserve">school </w:t>
      </w:r>
      <w:r w:rsidR="00561403" w:rsidRPr="00134904">
        <w:t>pupils are also much more likely than grammar school pupils to be entitled to free school meals (35 per cent compared to 13 per cent).</w:t>
      </w:r>
      <w:r w:rsidR="00561403">
        <w:rPr>
          <w:rStyle w:val="FootnoteReference"/>
        </w:rPr>
        <w:footnoteReference w:id="92"/>
      </w:r>
      <w:r w:rsidR="00561403" w:rsidRPr="00134904">
        <w:t xml:space="preserve"> </w:t>
      </w:r>
      <w:r w:rsidR="00E34E1E" w:rsidRPr="00D30208">
        <w:rPr>
          <w:rFonts w:eastAsia="Verdana" w:cs="Verdana"/>
          <w:color w:val="000000"/>
        </w:rPr>
        <w:t>Monitoring</w:t>
      </w:r>
      <w:r w:rsidR="006C2602" w:rsidRPr="00D30208">
        <w:rPr>
          <w:rFonts w:eastAsia="Verdana" w:cs="Verdana"/>
          <w:color w:val="000000"/>
        </w:rPr>
        <w:t xml:space="preserve"> data on school uniform</w:t>
      </w:r>
      <w:r w:rsidR="00AA2A22" w:rsidRPr="00D30208">
        <w:rPr>
          <w:rFonts w:eastAsia="Verdana" w:cs="Verdana"/>
          <w:color w:val="000000"/>
        </w:rPr>
        <w:t xml:space="preserve">s </w:t>
      </w:r>
      <w:r w:rsidR="006C2602" w:rsidRPr="00D30208">
        <w:rPr>
          <w:rFonts w:eastAsia="Verdana" w:cs="Verdana"/>
          <w:color w:val="000000"/>
        </w:rPr>
        <w:t xml:space="preserve">will </w:t>
      </w:r>
      <w:r w:rsidR="00CA2BD8" w:rsidRPr="00D30208">
        <w:rPr>
          <w:rFonts w:eastAsia="Verdana" w:cs="Verdana"/>
          <w:color w:val="000000"/>
        </w:rPr>
        <w:t xml:space="preserve">provide useful insight </w:t>
      </w:r>
      <w:r w:rsidR="00B0485B" w:rsidRPr="00D30208">
        <w:rPr>
          <w:rFonts w:eastAsia="Verdana" w:cs="Verdana"/>
          <w:color w:val="000000"/>
        </w:rPr>
        <w:t>on</w:t>
      </w:r>
      <w:r w:rsidR="00CA2BD8" w:rsidRPr="00D30208">
        <w:rPr>
          <w:rFonts w:eastAsia="Verdana" w:cs="Verdana"/>
          <w:color w:val="000000"/>
        </w:rPr>
        <w:t xml:space="preserve"> </w:t>
      </w:r>
      <w:r w:rsidR="00280DD8" w:rsidRPr="00D30208">
        <w:rPr>
          <w:rFonts w:eastAsia="Verdana" w:cs="Verdana"/>
          <w:color w:val="000000"/>
        </w:rPr>
        <w:lastRenderedPageBreak/>
        <w:t xml:space="preserve">any disparities </w:t>
      </w:r>
      <w:r w:rsidR="00AA2A22" w:rsidRPr="00D30208">
        <w:rPr>
          <w:rFonts w:eastAsia="Verdana" w:cs="Verdana"/>
          <w:color w:val="000000"/>
        </w:rPr>
        <w:t xml:space="preserve">in the </w:t>
      </w:r>
      <w:r w:rsidR="00883FEC" w:rsidRPr="00D30208">
        <w:rPr>
          <w:rFonts w:eastAsia="Verdana" w:cs="Verdana"/>
          <w:color w:val="000000"/>
        </w:rPr>
        <w:t>operation</w:t>
      </w:r>
      <w:r w:rsidR="00AA2A22" w:rsidRPr="00D30208">
        <w:rPr>
          <w:rFonts w:eastAsia="Verdana" w:cs="Verdana"/>
          <w:color w:val="000000"/>
        </w:rPr>
        <w:t xml:space="preserve"> of grants </w:t>
      </w:r>
      <w:r w:rsidR="00280DD8" w:rsidRPr="00D30208">
        <w:rPr>
          <w:rFonts w:eastAsia="Verdana" w:cs="Verdana"/>
          <w:color w:val="000000"/>
        </w:rPr>
        <w:t>and</w:t>
      </w:r>
      <w:r w:rsidR="00883FEC" w:rsidRPr="00D30208">
        <w:rPr>
          <w:rFonts w:eastAsia="Verdana" w:cs="Verdana"/>
          <w:color w:val="000000"/>
        </w:rPr>
        <w:t xml:space="preserve"> the</w:t>
      </w:r>
      <w:r w:rsidR="00280DD8" w:rsidRPr="00D30208">
        <w:rPr>
          <w:rFonts w:eastAsia="Verdana" w:cs="Verdana"/>
          <w:color w:val="000000"/>
        </w:rPr>
        <w:t xml:space="preserve"> </w:t>
      </w:r>
      <w:r w:rsidR="009F1FAF" w:rsidRPr="00D30208">
        <w:rPr>
          <w:rFonts w:eastAsia="Verdana"/>
          <w:bCs/>
        </w:rPr>
        <w:t>potential implications on the</w:t>
      </w:r>
      <w:r w:rsidR="00566B87" w:rsidRPr="00D30208">
        <w:rPr>
          <w:rFonts w:eastAsia="Verdana"/>
          <w:bCs/>
        </w:rPr>
        <w:t xml:space="preserve"> availability of and access to schools</w:t>
      </w:r>
      <w:r w:rsidR="00811075" w:rsidRPr="00D30208">
        <w:rPr>
          <w:rFonts w:eastAsia="Verdana"/>
          <w:bCs/>
        </w:rPr>
        <w:t xml:space="preserve">. </w:t>
      </w:r>
    </w:p>
    <w:p w14:paraId="6B00E9A4" w14:textId="77777777" w:rsidR="00795967" w:rsidRPr="00795967" w:rsidRDefault="00795967" w:rsidP="00795967">
      <w:pPr>
        <w:pStyle w:val="ListParagraph"/>
        <w:suppressAutoHyphens/>
        <w:ind w:left="709"/>
        <w:rPr>
          <w:rFonts w:cs="Arial"/>
          <w:color w:val="000000" w:themeColor="text1"/>
        </w:rPr>
      </w:pPr>
    </w:p>
    <w:p w14:paraId="6BE9A9B6" w14:textId="37C27436" w:rsidR="00AA701A" w:rsidRPr="00795967" w:rsidRDefault="00BF60EF" w:rsidP="00080B26">
      <w:pPr>
        <w:pStyle w:val="ListParagraph"/>
        <w:numPr>
          <w:ilvl w:val="1"/>
          <w:numId w:val="4"/>
        </w:numPr>
        <w:suppressAutoHyphens/>
        <w:ind w:left="709"/>
        <w:rPr>
          <w:rFonts w:cs="Arial"/>
          <w:color w:val="000000" w:themeColor="text1"/>
        </w:rPr>
      </w:pPr>
      <w:r w:rsidRPr="00795967">
        <w:rPr>
          <w:rFonts w:cs="Arial"/>
          <w:b/>
          <w:bCs/>
          <w:color w:val="000000" w:themeColor="text1"/>
        </w:rPr>
        <w:t xml:space="preserve">The NIHRC </w:t>
      </w:r>
      <w:r w:rsidR="00827D45" w:rsidRPr="00795967">
        <w:rPr>
          <w:rFonts w:cs="Arial"/>
          <w:b/>
          <w:bCs/>
          <w:color w:val="000000" w:themeColor="text1"/>
        </w:rPr>
        <w:t xml:space="preserve">recommends that the Department of Education </w:t>
      </w:r>
      <w:r w:rsidR="00A7575B" w:rsidRPr="00795967">
        <w:rPr>
          <w:rFonts w:cs="Arial"/>
          <w:b/>
          <w:bCs/>
          <w:color w:val="000000" w:themeColor="text1"/>
        </w:rPr>
        <w:t>monitors and publishes disaggregated data on school uniform grants</w:t>
      </w:r>
      <w:r w:rsidR="00AA701A" w:rsidRPr="00795967">
        <w:rPr>
          <w:rFonts w:cs="Arial"/>
          <w:b/>
          <w:bCs/>
          <w:color w:val="000000" w:themeColor="text1"/>
        </w:rPr>
        <w:t xml:space="preserve">, including: </w:t>
      </w:r>
    </w:p>
    <w:p w14:paraId="3CF5803C" w14:textId="77777777" w:rsidR="00AA701A" w:rsidRPr="00AA701A" w:rsidRDefault="00AA701A" w:rsidP="00080B26">
      <w:pPr>
        <w:pStyle w:val="ListParagraph"/>
        <w:numPr>
          <w:ilvl w:val="0"/>
          <w:numId w:val="5"/>
        </w:numPr>
        <w:rPr>
          <w:rFonts w:eastAsia="Verdana"/>
          <w:b/>
        </w:rPr>
      </w:pPr>
      <w:r w:rsidRPr="00AA701A">
        <w:rPr>
          <w:rFonts w:eastAsia="Verdana"/>
          <w:b/>
        </w:rPr>
        <w:t>Data on the average cost of school uniforms in NI (disaggregated by school type)</w:t>
      </w:r>
    </w:p>
    <w:p w14:paraId="31454714" w14:textId="77777777" w:rsidR="00AA701A" w:rsidRPr="00AA701A" w:rsidRDefault="00AA701A" w:rsidP="00080B26">
      <w:pPr>
        <w:pStyle w:val="ListParagraph"/>
        <w:numPr>
          <w:ilvl w:val="0"/>
          <w:numId w:val="5"/>
        </w:numPr>
        <w:rPr>
          <w:rFonts w:eastAsia="Verdana"/>
          <w:b/>
        </w:rPr>
      </w:pPr>
      <w:r w:rsidRPr="00AA701A">
        <w:rPr>
          <w:rFonts w:eastAsia="Verdana"/>
          <w:b/>
        </w:rPr>
        <w:t>Data on the average cost of PE kits in NI (disaggregated by school type)</w:t>
      </w:r>
    </w:p>
    <w:p w14:paraId="49C49678" w14:textId="77777777" w:rsidR="00AA701A" w:rsidRPr="00AA701A" w:rsidRDefault="00AA701A" w:rsidP="00080B26">
      <w:pPr>
        <w:pStyle w:val="ListParagraph"/>
        <w:numPr>
          <w:ilvl w:val="0"/>
          <w:numId w:val="5"/>
        </w:numPr>
        <w:rPr>
          <w:rFonts w:eastAsia="Verdana"/>
          <w:b/>
        </w:rPr>
      </w:pPr>
      <w:r w:rsidRPr="00AA701A">
        <w:rPr>
          <w:rFonts w:eastAsia="Verdana"/>
          <w:b/>
        </w:rPr>
        <w:t>Data on the number of pupils/families eligible for a uniform grant (disaggregated by school type)</w:t>
      </w:r>
    </w:p>
    <w:p w14:paraId="4CD996B8" w14:textId="3E0748BB" w:rsidR="00AA701A" w:rsidRPr="00C01D05" w:rsidRDefault="00AA701A" w:rsidP="00080B26">
      <w:pPr>
        <w:pStyle w:val="ListParagraph"/>
        <w:numPr>
          <w:ilvl w:val="0"/>
          <w:numId w:val="5"/>
        </w:numPr>
        <w:rPr>
          <w:rFonts w:eastAsia="Verdana"/>
          <w:b/>
          <w:bCs/>
        </w:rPr>
      </w:pPr>
      <w:r w:rsidRPr="00AA701A">
        <w:rPr>
          <w:rFonts w:eastAsia="Verdana"/>
          <w:b/>
        </w:rPr>
        <w:t>Data on pupils/families eligible for a uniform grant</w:t>
      </w:r>
      <w:r w:rsidR="009C6570">
        <w:rPr>
          <w:rFonts w:eastAsia="Verdana"/>
          <w:b/>
        </w:rPr>
        <w:t xml:space="preserve"> </w:t>
      </w:r>
      <w:r w:rsidR="00527379" w:rsidRPr="00C01D05">
        <w:rPr>
          <w:b/>
          <w:bCs/>
        </w:rPr>
        <w:t>disaggregated by age, sex, disability, geographical location, ethnic origin, nationality and socioeconomic background.</w:t>
      </w:r>
    </w:p>
    <w:p w14:paraId="5A69C590" w14:textId="77777777" w:rsidR="00174A2E" w:rsidRPr="007C4DFA" w:rsidRDefault="00174A2E" w:rsidP="007C4DFA">
      <w:pPr>
        <w:pStyle w:val="ListParagraph"/>
        <w:rPr>
          <w:rFonts w:cs="Arial"/>
          <w:b/>
          <w:bCs/>
          <w:color w:val="000000" w:themeColor="text1"/>
        </w:rPr>
      </w:pPr>
    </w:p>
    <w:p w14:paraId="592F9B75" w14:textId="2F3D5336" w:rsidR="00387634" w:rsidRPr="00D36DF9" w:rsidRDefault="00C7465B" w:rsidP="00D36DF9">
      <w:pPr>
        <w:pStyle w:val="Heading2"/>
        <w:rPr>
          <w:lang w:val="en" w:eastAsia="en-GB"/>
        </w:rPr>
      </w:pPr>
      <w:bookmarkStart w:id="12" w:name="_Toc178255674"/>
      <w:r>
        <w:rPr>
          <w:lang w:val="en" w:eastAsia="en-GB"/>
        </w:rPr>
        <w:t>Principle 2: Comfort</w:t>
      </w:r>
      <w:bookmarkEnd w:id="12"/>
      <w:r>
        <w:rPr>
          <w:lang w:val="en" w:eastAsia="en-GB"/>
        </w:rPr>
        <w:t xml:space="preserve"> </w:t>
      </w:r>
    </w:p>
    <w:p w14:paraId="0808ADAA" w14:textId="59E0B3AB" w:rsidR="00C66E6A" w:rsidRDefault="003C3CF7" w:rsidP="00080B26">
      <w:pPr>
        <w:pStyle w:val="ListParagraph"/>
        <w:numPr>
          <w:ilvl w:val="1"/>
          <w:numId w:val="4"/>
        </w:numPr>
        <w:suppressAutoHyphens/>
        <w:ind w:left="709" w:hanging="709"/>
        <w:rPr>
          <w:rFonts w:cs="Segoe UI"/>
          <w:lang w:eastAsia="en-GB"/>
        </w:rPr>
      </w:pPr>
      <w:r>
        <w:rPr>
          <w:rFonts w:cs="Segoe UI"/>
          <w:lang w:val="en" w:eastAsia="en-GB"/>
        </w:rPr>
        <w:t xml:space="preserve">The current consultation proposes making it “compulsory </w:t>
      </w:r>
      <w:r w:rsidRPr="009E168D">
        <w:rPr>
          <w:rFonts w:cs="Segoe UI"/>
          <w:lang w:eastAsia="en-GB"/>
        </w:rPr>
        <w:t>for schools to demonstrate how their school uniform policy fulfils the conditions of comfort, flexibility and safety</w:t>
      </w:r>
      <w:r>
        <w:rPr>
          <w:rFonts w:cs="Segoe UI"/>
          <w:lang w:eastAsia="en-GB"/>
        </w:rPr>
        <w:t>”.</w:t>
      </w:r>
      <w:r>
        <w:rPr>
          <w:rStyle w:val="FootnoteReference"/>
          <w:rFonts w:cs="Segoe UI"/>
          <w:lang w:eastAsia="en-GB"/>
        </w:rPr>
        <w:footnoteReference w:id="93"/>
      </w:r>
      <w:r>
        <w:rPr>
          <w:rFonts w:cs="Segoe UI"/>
          <w:lang w:eastAsia="en-GB"/>
        </w:rPr>
        <w:t xml:space="preserve"> </w:t>
      </w:r>
      <w:r w:rsidR="00ED5C56">
        <w:rPr>
          <w:rFonts w:cs="Segoe UI"/>
          <w:lang w:eastAsia="en-GB"/>
        </w:rPr>
        <w:t>Under this principle, t</w:t>
      </w:r>
      <w:r>
        <w:rPr>
          <w:rFonts w:cs="Segoe UI"/>
          <w:lang w:eastAsia="en-GB"/>
        </w:rPr>
        <w:t>he Department of Education highlights that consideration should be given to children with additional needs when specifying a uniform, particularly those who may have sensory issues.</w:t>
      </w:r>
      <w:r w:rsidR="00B17583">
        <w:rPr>
          <w:rFonts w:cs="Segoe UI"/>
          <w:lang w:eastAsia="en-GB"/>
        </w:rPr>
        <w:t xml:space="preserve"> </w:t>
      </w:r>
    </w:p>
    <w:p w14:paraId="6ADAAC99" w14:textId="77777777" w:rsidR="00C66E6A" w:rsidRDefault="00C66E6A" w:rsidP="00C66E6A">
      <w:pPr>
        <w:pStyle w:val="ListParagraph"/>
        <w:suppressAutoHyphens/>
        <w:ind w:left="709"/>
        <w:rPr>
          <w:rFonts w:cs="Segoe UI"/>
          <w:lang w:eastAsia="en-GB"/>
        </w:rPr>
      </w:pPr>
    </w:p>
    <w:p w14:paraId="56BC5FE2" w14:textId="080FF9B9" w:rsidR="00C7465B" w:rsidRPr="00C66E6A" w:rsidRDefault="00BD17BF" w:rsidP="00080B26">
      <w:pPr>
        <w:pStyle w:val="ListParagraph"/>
        <w:numPr>
          <w:ilvl w:val="1"/>
          <w:numId w:val="4"/>
        </w:numPr>
        <w:suppressAutoHyphens/>
        <w:ind w:left="709" w:hanging="709"/>
        <w:rPr>
          <w:rFonts w:cs="Segoe UI"/>
          <w:lang w:eastAsia="en-GB"/>
        </w:rPr>
      </w:pPr>
      <w:r w:rsidRPr="00C66E6A">
        <w:rPr>
          <w:rFonts w:cs="Segoe UI"/>
          <w:lang w:eastAsia="en-GB"/>
        </w:rPr>
        <w:t xml:space="preserve">The NIHRC welcomes </w:t>
      </w:r>
      <w:r w:rsidR="00D41FBE" w:rsidRPr="00C66E6A">
        <w:rPr>
          <w:rFonts w:cs="Segoe UI"/>
          <w:lang w:eastAsia="en-GB"/>
        </w:rPr>
        <w:t>these proposals</w:t>
      </w:r>
      <w:r w:rsidR="008F5BD0">
        <w:rPr>
          <w:rFonts w:cs="Segoe UI"/>
          <w:lang w:eastAsia="en-GB"/>
        </w:rPr>
        <w:t xml:space="preserve"> and </w:t>
      </w:r>
      <w:r w:rsidR="003C5165" w:rsidRPr="00C66E6A">
        <w:rPr>
          <w:rFonts w:cs="Segoe UI"/>
          <w:lang w:eastAsia="en-GB"/>
        </w:rPr>
        <w:t>not</w:t>
      </w:r>
      <w:r w:rsidR="008F5BD0">
        <w:rPr>
          <w:rFonts w:cs="Segoe UI"/>
          <w:lang w:eastAsia="en-GB"/>
        </w:rPr>
        <w:t>es</w:t>
      </w:r>
      <w:r w:rsidR="003C5165" w:rsidRPr="00C66E6A">
        <w:rPr>
          <w:rFonts w:cs="Segoe UI"/>
          <w:lang w:eastAsia="en-GB"/>
        </w:rPr>
        <w:t xml:space="preserve"> their consistency with </w:t>
      </w:r>
      <w:r w:rsidR="00AD4DCB" w:rsidRPr="00C66E6A">
        <w:rPr>
          <w:rFonts w:cs="Segoe UI"/>
          <w:lang w:eastAsia="en-GB"/>
        </w:rPr>
        <w:t xml:space="preserve">the </w:t>
      </w:r>
      <w:r w:rsidR="00D41FBE" w:rsidRPr="00C66E6A">
        <w:rPr>
          <w:rFonts w:cs="Segoe UI"/>
          <w:lang w:eastAsia="en-GB"/>
        </w:rPr>
        <w:t xml:space="preserve">UN ICESCR Committee’s </w:t>
      </w:r>
      <w:r w:rsidR="00D41FBE">
        <w:t>“interrelated and essential</w:t>
      </w:r>
      <w:r w:rsidR="002664C4">
        <w:t>”</w:t>
      </w:r>
      <w:r w:rsidR="00D41FBE">
        <w:t xml:space="preserve"> feature</w:t>
      </w:r>
      <w:r w:rsidR="002664C4">
        <w:t>s of education</w:t>
      </w:r>
      <w:r w:rsidR="008F5BD0">
        <w:t xml:space="preserve">, particularly </w:t>
      </w:r>
      <w:r w:rsidR="00AD4DCB">
        <w:t>adaptability.</w:t>
      </w:r>
      <w:r w:rsidR="00275268" w:rsidRPr="00C66E6A">
        <w:rPr>
          <w:rFonts w:cs="Segoe UI"/>
          <w:vertAlign w:val="superscript"/>
          <w:lang w:eastAsia="en-GB"/>
        </w:rPr>
        <w:t xml:space="preserve"> </w:t>
      </w:r>
      <w:r w:rsidR="00275268" w:rsidRPr="003C5165">
        <w:rPr>
          <w:vertAlign w:val="superscript"/>
          <w:lang w:eastAsia="en-GB"/>
        </w:rPr>
        <w:footnoteReference w:id="94"/>
      </w:r>
      <w:r w:rsidR="00AD4DCB">
        <w:t xml:space="preserve"> </w:t>
      </w:r>
      <w:r w:rsidR="00275268">
        <w:t xml:space="preserve">The </w:t>
      </w:r>
      <w:r w:rsidR="00191742">
        <w:t xml:space="preserve">UN ICESCR </w:t>
      </w:r>
      <w:r w:rsidR="00275268">
        <w:t>Committee emphasises that schools must</w:t>
      </w:r>
      <w:r w:rsidR="00D41FBE" w:rsidRPr="00C66E6A">
        <w:rPr>
          <w:rFonts w:cs="Segoe UI"/>
          <w:lang w:eastAsia="en-GB"/>
        </w:rPr>
        <w:t xml:space="preserve"> </w:t>
      </w:r>
      <w:r w:rsidR="00275268" w:rsidRPr="00C66E6A">
        <w:rPr>
          <w:rFonts w:cs="Segoe UI"/>
          <w:lang w:eastAsia="en-GB"/>
        </w:rPr>
        <w:t>“</w:t>
      </w:r>
      <w:r w:rsidR="003C5165" w:rsidRPr="00C66E6A">
        <w:rPr>
          <w:rFonts w:cs="Segoe UI"/>
          <w:lang w:eastAsia="en-GB"/>
        </w:rPr>
        <w:t>respond to the needs of students within their diverse social and cultural settings”.</w:t>
      </w:r>
      <w:r w:rsidR="003C5165" w:rsidRPr="003C5165">
        <w:rPr>
          <w:vertAlign w:val="superscript"/>
          <w:lang w:eastAsia="en-GB"/>
        </w:rPr>
        <w:footnoteReference w:id="95"/>
      </w:r>
      <w:r w:rsidR="00275268" w:rsidRPr="00C66E6A">
        <w:rPr>
          <w:rFonts w:cs="Segoe UI"/>
          <w:lang w:eastAsia="en-GB"/>
        </w:rPr>
        <w:t xml:space="preserve"> </w:t>
      </w:r>
      <w:r w:rsidR="00F15F6A" w:rsidRPr="00C66E6A">
        <w:rPr>
          <w:rFonts w:cs="Segoe UI"/>
          <w:lang w:eastAsia="en-GB"/>
        </w:rPr>
        <w:t xml:space="preserve">While </w:t>
      </w:r>
      <w:r w:rsidR="000E70EE" w:rsidRPr="00C66E6A">
        <w:rPr>
          <w:rFonts w:cs="Segoe UI"/>
          <w:lang w:eastAsia="en-GB"/>
        </w:rPr>
        <w:t xml:space="preserve">current guidance </w:t>
      </w:r>
      <w:r w:rsidR="006A7E70" w:rsidRPr="00C66E6A">
        <w:rPr>
          <w:rFonts w:cs="Segoe UI"/>
          <w:lang w:eastAsia="en-GB"/>
        </w:rPr>
        <w:t>refers to</w:t>
      </w:r>
      <w:r w:rsidR="00F15F6A" w:rsidRPr="00C66E6A">
        <w:rPr>
          <w:rFonts w:cs="Segoe UI"/>
          <w:lang w:eastAsia="en-GB"/>
        </w:rPr>
        <w:t xml:space="preserve"> </w:t>
      </w:r>
      <w:r w:rsidR="006A7E70" w:rsidRPr="00C66E6A">
        <w:rPr>
          <w:rFonts w:cs="Arial"/>
          <w:color w:val="000000" w:themeColor="text1"/>
        </w:rPr>
        <w:t xml:space="preserve">the domestic equality protections </w:t>
      </w:r>
      <w:r w:rsidR="006908D8">
        <w:rPr>
          <w:rFonts w:cs="Arial"/>
          <w:color w:val="000000" w:themeColor="text1"/>
        </w:rPr>
        <w:t>on</w:t>
      </w:r>
      <w:r w:rsidR="006A7E70" w:rsidRPr="00C66E6A">
        <w:rPr>
          <w:rFonts w:cs="Arial"/>
          <w:color w:val="000000" w:themeColor="text1"/>
        </w:rPr>
        <w:t xml:space="preserve"> the protected grounds of sex, sexual orientation, race and disability,</w:t>
      </w:r>
      <w:r w:rsidR="006A7E70">
        <w:rPr>
          <w:rStyle w:val="FootnoteReference"/>
          <w:rFonts w:cs="Arial"/>
          <w:color w:val="000000" w:themeColor="text1"/>
        </w:rPr>
        <w:footnoteReference w:id="96"/>
      </w:r>
      <w:r w:rsidR="006A7E70" w:rsidRPr="00C66E6A">
        <w:rPr>
          <w:rFonts w:cs="Arial"/>
          <w:color w:val="000000" w:themeColor="text1"/>
        </w:rPr>
        <w:t xml:space="preserve"> the N</w:t>
      </w:r>
      <w:r w:rsidR="00A94FAA" w:rsidRPr="00C66E6A">
        <w:rPr>
          <w:rFonts w:cs="Arial"/>
          <w:color w:val="000000" w:themeColor="text1"/>
        </w:rPr>
        <w:t xml:space="preserve">IHRC </w:t>
      </w:r>
      <w:r w:rsidR="008146B1" w:rsidRPr="00C66E6A">
        <w:rPr>
          <w:rFonts w:cs="Arial"/>
          <w:color w:val="000000" w:themeColor="text1"/>
        </w:rPr>
        <w:t xml:space="preserve">would encourage the Department to </w:t>
      </w:r>
      <w:r w:rsidR="00A94FAA" w:rsidRPr="00C66E6A">
        <w:rPr>
          <w:rFonts w:cs="Arial"/>
          <w:color w:val="000000" w:themeColor="text1"/>
        </w:rPr>
        <w:lastRenderedPageBreak/>
        <w:t xml:space="preserve">additionally </w:t>
      </w:r>
      <w:r w:rsidR="006908D8">
        <w:rPr>
          <w:rFonts w:cs="Arial"/>
          <w:color w:val="000000" w:themeColor="text1"/>
        </w:rPr>
        <w:t>integrate</w:t>
      </w:r>
      <w:r w:rsidR="00B93775" w:rsidRPr="00C66E6A">
        <w:rPr>
          <w:rFonts w:cs="Arial"/>
          <w:color w:val="000000" w:themeColor="text1"/>
        </w:rPr>
        <w:t xml:space="preserve"> </w:t>
      </w:r>
      <w:r w:rsidR="00E2556A" w:rsidRPr="00C66E6A">
        <w:rPr>
          <w:rFonts w:cs="Arial"/>
          <w:color w:val="000000" w:themeColor="text1"/>
        </w:rPr>
        <w:t xml:space="preserve">international </w:t>
      </w:r>
      <w:r w:rsidR="006908D8">
        <w:rPr>
          <w:rFonts w:cs="Arial"/>
          <w:color w:val="000000" w:themeColor="text1"/>
        </w:rPr>
        <w:t xml:space="preserve">human rights </w:t>
      </w:r>
      <w:r w:rsidR="00E2556A" w:rsidRPr="00C66E6A">
        <w:rPr>
          <w:rFonts w:cs="Arial"/>
          <w:color w:val="000000" w:themeColor="text1"/>
        </w:rPr>
        <w:t>standards</w:t>
      </w:r>
      <w:r w:rsidR="00EA5063" w:rsidRPr="00C66E6A">
        <w:rPr>
          <w:rFonts w:cs="Arial"/>
          <w:color w:val="000000" w:themeColor="text1"/>
        </w:rPr>
        <w:t xml:space="preserve"> and guidance</w:t>
      </w:r>
      <w:r w:rsidR="006908D8">
        <w:rPr>
          <w:rFonts w:cs="Arial"/>
          <w:color w:val="000000" w:themeColor="text1"/>
        </w:rPr>
        <w:t xml:space="preserve"> which </w:t>
      </w:r>
      <w:r w:rsidR="00EA5063" w:rsidRPr="00C66E6A">
        <w:rPr>
          <w:rFonts w:cs="Arial"/>
          <w:color w:val="000000" w:themeColor="text1"/>
        </w:rPr>
        <w:t xml:space="preserve">provide </w:t>
      </w:r>
      <w:r w:rsidR="006908D8">
        <w:rPr>
          <w:rFonts w:cs="Arial"/>
          <w:color w:val="000000" w:themeColor="text1"/>
        </w:rPr>
        <w:t xml:space="preserve">useful, </w:t>
      </w:r>
      <w:r w:rsidR="00EA5063" w:rsidRPr="00C66E6A">
        <w:rPr>
          <w:rFonts w:cs="Arial"/>
          <w:color w:val="000000" w:themeColor="text1"/>
        </w:rPr>
        <w:t xml:space="preserve">practical advice </w:t>
      </w:r>
      <w:r w:rsidR="00256921" w:rsidRPr="00C66E6A">
        <w:rPr>
          <w:rFonts w:cs="Arial"/>
          <w:color w:val="000000" w:themeColor="text1"/>
        </w:rPr>
        <w:t xml:space="preserve">for ensuring </w:t>
      </w:r>
      <w:r w:rsidR="008146B1" w:rsidRPr="00C66E6A">
        <w:rPr>
          <w:rFonts w:cs="Arial"/>
          <w:color w:val="000000" w:themeColor="text1"/>
        </w:rPr>
        <w:t>children’s</w:t>
      </w:r>
      <w:r w:rsidR="008B57D6" w:rsidRPr="00C66E6A">
        <w:rPr>
          <w:rFonts w:cs="Segoe UI"/>
          <w:lang w:eastAsia="en-GB"/>
        </w:rPr>
        <w:t xml:space="preserve"> diverse needs </w:t>
      </w:r>
      <w:r w:rsidR="008146B1" w:rsidRPr="00C66E6A">
        <w:rPr>
          <w:rFonts w:cs="Segoe UI"/>
          <w:lang w:eastAsia="en-GB"/>
        </w:rPr>
        <w:t>are</w:t>
      </w:r>
      <w:r w:rsidR="008B57D6" w:rsidRPr="00C66E6A">
        <w:rPr>
          <w:rFonts w:cs="Segoe UI"/>
          <w:lang w:eastAsia="en-GB"/>
        </w:rPr>
        <w:t xml:space="preserve"> taken into account when designing and implementing </w:t>
      </w:r>
      <w:r w:rsidR="006908D8">
        <w:rPr>
          <w:rFonts w:cs="Segoe UI"/>
          <w:lang w:eastAsia="en-GB"/>
        </w:rPr>
        <w:t>educational</w:t>
      </w:r>
      <w:r w:rsidR="008B57D6" w:rsidRPr="00C66E6A">
        <w:rPr>
          <w:rFonts w:cs="Segoe UI"/>
          <w:lang w:eastAsia="en-GB"/>
        </w:rPr>
        <w:t xml:space="preserve"> policy.</w:t>
      </w:r>
      <w:r w:rsidR="00965F58">
        <w:rPr>
          <w:rFonts w:cs="Segoe UI"/>
          <w:lang w:eastAsia="en-GB"/>
        </w:rPr>
        <w:t xml:space="preserve"> </w:t>
      </w:r>
    </w:p>
    <w:p w14:paraId="6676DF32" w14:textId="77777777" w:rsidR="00174A2E" w:rsidRDefault="00174A2E" w:rsidP="00C7465B">
      <w:pPr>
        <w:suppressAutoHyphens/>
        <w:rPr>
          <w:rFonts w:cs="Arial"/>
          <w:color w:val="000000" w:themeColor="text1"/>
        </w:rPr>
      </w:pPr>
    </w:p>
    <w:p w14:paraId="6961B37E" w14:textId="3F10BBE6" w:rsidR="00C7465B" w:rsidRPr="00096757" w:rsidRDefault="006B0BDD" w:rsidP="00096757">
      <w:pPr>
        <w:pStyle w:val="Heading2"/>
        <w:rPr>
          <w:b w:val="0"/>
          <w:bCs/>
          <w:u w:val="single"/>
        </w:rPr>
      </w:pPr>
      <w:bookmarkStart w:id="13" w:name="_Toc178255675"/>
      <w:r w:rsidRPr="00096757">
        <w:rPr>
          <w:b w:val="0"/>
          <w:bCs/>
          <w:u w:val="single"/>
        </w:rPr>
        <w:t>Children with disabilit</w:t>
      </w:r>
      <w:r w:rsidR="0071055E" w:rsidRPr="00096757">
        <w:rPr>
          <w:b w:val="0"/>
          <w:bCs/>
          <w:u w:val="single"/>
        </w:rPr>
        <w:t>ies</w:t>
      </w:r>
      <w:bookmarkEnd w:id="13"/>
    </w:p>
    <w:p w14:paraId="3E808679" w14:textId="5EAE1083" w:rsidR="001D7224" w:rsidRPr="00387634" w:rsidRDefault="00C8003E" w:rsidP="00080B26">
      <w:pPr>
        <w:pStyle w:val="ListParagraph"/>
        <w:numPr>
          <w:ilvl w:val="1"/>
          <w:numId w:val="4"/>
        </w:numPr>
        <w:suppressAutoHyphens/>
        <w:ind w:left="709" w:hanging="709"/>
        <w:rPr>
          <w:rFonts w:cs="Arial"/>
          <w:color w:val="000000" w:themeColor="text1"/>
        </w:rPr>
      </w:pPr>
      <w:r w:rsidRPr="00387634">
        <w:rPr>
          <w:rFonts w:cs="Segoe UI"/>
          <w:lang w:eastAsia="en-GB"/>
        </w:rPr>
        <w:t>Article 24(2)(c) of the CRPD obligates States Parties to make reasonable accommodations to the individual’s requirements to ensure that persons with disabilities are not excluded from the general education system.</w:t>
      </w:r>
      <w:r w:rsidR="008764EA" w:rsidRPr="00387634">
        <w:rPr>
          <w:rFonts w:cs="Segoe UI"/>
          <w:lang w:eastAsia="en-GB"/>
        </w:rPr>
        <w:t xml:space="preserve"> </w:t>
      </w:r>
      <w:r w:rsidR="001D7224">
        <w:t>Reasonable accommodation is defined by the UN CRPD Committee as:</w:t>
      </w:r>
    </w:p>
    <w:p w14:paraId="63B3B5A2" w14:textId="77777777" w:rsidR="001D7224" w:rsidRDefault="001D7224" w:rsidP="001D7224">
      <w:pPr>
        <w:pStyle w:val="ListParagraph"/>
      </w:pPr>
    </w:p>
    <w:p w14:paraId="718007FF" w14:textId="69DC3673" w:rsidR="00042A2E" w:rsidRPr="001D7224" w:rsidRDefault="001D7224" w:rsidP="001D7224">
      <w:pPr>
        <w:pStyle w:val="ListParagraph"/>
        <w:ind w:left="851"/>
      </w:pPr>
      <w:r>
        <w:t>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r w:rsidR="00870FF2">
        <w:rPr>
          <w:rStyle w:val="FootnoteReference"/>
        </w:rPr>
        <w:footnoteReference w:id="97"/>
      </w:r>
      <w:r>
        <w:t xml:space="preserve"> </w:t>
      </w:r>
    </w:p>
    <w:p w14:paraId="5C9B3F5A" w14:textId="77777777" w:rsidR="001E2C72" w:rsidRPr="00042A2E" w:rsidRDefault="001E2C72" w:rsidP="00042A2E">
      <w:pPr>
        <w:suppressAutoHyphens/>
        <w:rPr>
          <w:rFonts w:cs="Arial"/>
          <w:color w:val="000000" w:themeColor="text1"/>
        </w:rPr>
      </w:pPr>
    </w:p>
    <w:p w14:paraId="76269EA5" w14:textId="5F289F40" w:rsidR="00FB215F" w:rsidRDefault="00945081" w:rsidP="00080B26">
      <w:pPr>
        <w:pStyle w:val="ListParagraph"/>
        <w:numPr>
          <w:ilvl w:val="1"/>
          <w:numId w:val="4"/>
        </w:numPr>
        <w:suppressAutoHyphens/>
        <w:ind w:left="709" w:hanging="709"/>
        <w:rPr>
          <w:rFonts w:cs="Arial"/>
          <w:color w:val="000000" w:themeColor="text1"/>
        </w:rPr>
      </w:pPr>
      <w:r>
        <w:rPr>
          <w:rFonts w:cs="Arial"/>
          <w:color w:val="000000" w:themeColor="text1"/>
        </w:rPr>
        <w:t>In respect of Article 14 of the ECHR on non-discrimination, t</w:t>
      </w:r>
      <w:r w:rsidR="00F21780" w:rsidRPr="00F21780">
        <w:rPr>
          <w:rFonts w:cs="Arial"/>
          <w:color w:val="000000" w:themeColor="text1"/>
        </w:rPr>
        <w:t>he ECtHR has held that decisions pertaining to resource allocation for education must be made carefully and have regard for children with disabilities. It consequently considered that “discrimination on grounds of disability also covers refusal to make reasonable accommodation”.</w:t>
      </w:r>
      <w:r w:rsidR="00F21780">
        <w:rPr>
          <w:rStyle w:val="FootnoteReference"/>
          <w:rFonts w:cs="Arial"/>
          <w:color w:val="000000" w:themeColor="text1"/>
        </w:rPr>
        <w:footnoteReference w:id="98"/>
      </w:r>
      <w:r w:rsidR="003627E1">
        <w:rPr>
          <w:rFonts w:cs="Arial"/>
          <w:color w:val="000000" w:themeColor="text1"/>
        </w:rPr>
        <w:t xml:space="preserve"> Schools in NI also have a responsibility </w:t>
      </w:r>
      <w:r w:rsidR="00F0682B">
        <w:rPr>
          <w:rFonts w:cs="Arial"/>
          <w:color w:val="000000" w:themeColor="text1"/>
        </w:rPr>
        <w:t xml:space="preserve">in domestic legislation </w:t>
      </w:r>
      <w:r w:rsidR="003627E1">
        <w:rPr>
          <w:rFonts w:cs="Arial"/>
          <w:color w:val="000000" w:themeColor="text1"/>
        </w:rPr>
        <w:t xml:space="preserve">not to discriminate against pupils on </w:t>
      </w:r>
      <w:r w:rsidR="00F0682B">
        <w:rPr>
          <w:rFonts w:cs="Arial"/>
          <w:color w:val="000000" w:themeColor="text1"/>
        </w:rPr>
        <w:t>the protected ground of disability.</w:t>
      </w:r>
      <w:r w:rsidR="00F0682B">
        <w:rPr>
          <w:rStyle w:val="FootnoteReference"/>
          <w:rFonts w:cs="Arial"/>
          <w:color w:val="000000" w:themeColor="text1"/>
        </w:rPr>
        <w:footnoteReference w:id="99"/>
      </w:r>
    </w:p>
    <w:p w14:paraId="012E121B" w14:textId="77777777" w:rsidR="00FB215F" w:rsidRDefault="00FB215F" w:rsidP="00FB215F">
      <w:pPr>
        <w:pStyle w:val="ListParagraph"/>
        <w:suppressAutoHyphens/>
        <w:ind w:left="709"/>
        <w:rPr>
          <w:rFonts w:cs="Arial"/>
          <w:color w:val="000000" w:themeColor="text1"/>
        </w:rPr>
      </w:pPr>
    </w:p>
    <w:p w14:paraId="1161C8D6" w14:textId="3B011ACA" w:rsidR="001F67A9" w:rsidRPr="00D77B13" w:rsidRDefault="00FB215F" w:rsidP="00080B26">
      <w:pPr>
        <w:pStyle w:val="ListParagraph"/>
        <w:numPr>
          <w:ilvl w:val="1"/>
          <w:numId w:val="4"/>
        </w:numPr>
        <w:suppressAutoHyphens/>
        <w:ind w:left="709" w:hanging="709"/>
        <w:rPr>
          <w:rFonts w:cs="Arial"/>
          <w:b/>
          <w:bCs/>
          <w:color w:val="000000" w:themeColor="text1"/>
        </w:rPr>
      </w:pPr>
      <w:r w:rsidRPr="00D77B13">
        <w:rPr>
          <w:rFonts w:cs="Arial"/>
          <w:b/>
          <w:bCs/>
          <w:color w:val="000000" w:themeColor="text1"/>
        </w:rPr>
        <w:t>T</w:t>
      </w:r>
      <w:r w:rsidR="00ED0E73" w:rsidRPr="00D77B13">
        <w:rPr>
          <w:rFonts w:cs="Arial"/>
          <w:b/>
          <w:bCs/>
          <w:color w:val="000000" w:themeColor="text1"/>
        </w:rPr>
        <w:t xml:space="preserve">he NIHRC </w:t>
      </w:r>
      <w:r w:rsidRPr="00D77B13">
        <w:rPr>
          <w:rFonts w:cs="Arial"/>
          <w:b/>
          <w:bCs/>
          <w:color w:val="000000" w:themeColor="text1"/>
        </w:rPr>
        <w:t>recommends that</w:t>
      </w:r>
      <w:r w:rsidR="00ED0E73" w:rsidRPr="00D77B13">
        <w:rPr>
          <w:rFonts w:cs="Arial"/>
          <w:b/>
          <w:bCs/>
          <w:color w:val="000000" w:themeColor="text1"/>
        </w:rPr>
        <w:t xml:space="preserve"> the </w:t>
      </w:r>
      <w:r w:rsidR="00BF668E" w:rsidRPr="00D77B13">
        <w:rPr>
          <w:rFonts w:cs="Arial"/>
          <w:b/>
          <w:bCs/>
          <w:color w:val="000000" w:themeColor="text1"/>
        </w:rPr>
        <w:t>statutory guidance</w:t>
      </w:r>
      <w:r w:rsidR="00C0198D">
        <w:rPr>
          <w:rFonts w:cs="Arial"/>
          <w:b/>
          <w:bCs/>
          <w:color w:val="000000" w:themeColor="text1"/>
        </w:rPr>
        <w:t xml:space="preserve"> specifies</w:t>
      </w:r>
      <w:r w:rsidR="00ED0E73" w:rsidRPr="00D77B13">
        <w:rPr>
          <w:rFonts w:cs="Arial"/>
          <w:b/>
          <w:bCs/>
          <w:color w:val="000000" w:themeColor="text1"/>
        </w:rPr>
        <w:t xml:space="preserve"> that</w:t>
      </w:r>
      <w:r w:rsidR="00CB62F7" w:rsidRPr="00D77B13">
        <w:rPr>
          <w:rFonts w:cs="Arial"/>
          <w:b/>
          <w:bCs/>
          <w:color w:val="000000" w:themeColor="text1"/>
        </w:rPr>
        <w:t xml:space="preserve"> schools and governing bodies</w:t>
      </w:r>
      <w:r w:rsidR="00F70AB9" w:rsidRPr="00D77B13">
        <w:rPr>
          <w:rFonts w:cs="Arial"/>
          <w:b/>
          <w:bCs/>
          <w:color w:val="000000" w:themeColor="text1"/>
        </w:rPr>
        <w:t xml:space="preserve"> </w:t>
      </w:r>
      <w:r w:rsidR="00CB62F7" w:rsidRPr="00D77B13">
        <w:rPr>
          <w:rFonts w:cs="Arial"/>
          <w:b/>
          <w:bCs/>
          <w:color w:val="000000" w:themeColor="text1"/>
        </w:rPr>
        <w:t>must</w:t>
      </w:r>
      <w:r w:rsidR="002246FF" w:rsidRPr="00D77B13">
        <w:rPr>
          <w:rFonts w:cs="Arial"/>
          <w:b/>
          <w:bCs/>
          <w:color w:val="000000" w:themeColor="text1"/>
        </w:rPr>
        <w:t xml:space="preserve"> </w:t>
      </w:r>
      <w:r w:rsidR="00295F09" w:rsidRPr="00D77B13">
        <w:rPr>
          <w:rFonts w:cs="Arial"/>
          <w:b/>
          <w:bCs/>
          <w:color w:val="000000" w:themeColor="text1"/>
        </w:rPr>
        <w:t>ensure that school uniform polic</w:t>
      </w:r>
      <w:r w:rsidR="008A0249" w:rsidRPr="00D77B13">
        <w:rPr>
          <w:rFonts w:cs="Arial"/>
          <w:b/>
          <w:bCs/>
          <w:color w:val="000000" w:themeColor="text1"/>
        </w:rPr>
        <w:t xml:space="preserve">ies do not disadvantage pupils with disabilities and that consideration must be given to the need for </w:t>
      </w:r>
      <w:r w:rsidR="00F70AB9" w:rsidRPr="00D77B13">
        <w:rPr>
          <w:rFonts w:cs="Arial"/>
          <w:b/>
          <w:bCs/>
          <w:color w:val="000000" w:themeColor="text1"/>
        </w:rPr>
        <w:t xml:space="preserve">reasonable adjustments, </w:t>
      </w:r>
      <w:r w:rsidR="00790741" w:rsidRPr="00D77B13">
        <w:rPr>
          <w:rFonts w:cs="Arial"/>
          <w:b/>
          <w:bCs/>
          <w:color w:val="000000" w:themeColor="text1"/>
        </w:rPr>
        <w:t>where necessary</w:t>
      </w:r>
      <w:r w:rsidR="00626505" w:rsidRPr="00D77B13">
        <w:rPr>
          <w:rFonts w:cs="Arial"/>
          <w:b/>
          <w:bCs/>
          <w:color w:val="000000" w:themeColor="text1"/>
        </w:rPr>
        <w:t xml:space="preserve">. </w:t>
      </w:r>
    </w:p>
    <w:p w14:paraId="2DA31C0F" w14:textId="77777777" w:rsidR="00C7465B" w:rsidRPr="00F70AB9" w:rsidRDefault="00C7465B" w:rsidP="00F70AB9">
      <w:pPr>
        <w:rPr>
          <w:bCs/>
          <w:u w:val="single"/>
        </w:rPr>
      </w:pPr>
    </w:p>
    <w:p w14:paraId="20F8025C" w14:textId="79B68EC2" w:rsidR="005872BC" w:rsidRPr="00096757" w:rsidRDefault="007F1158" w:rsidP="00096757">
      <w:pPr>
        <w:pStyle w:val="Heading2"/>
        <w:rPr>
          <w:b w:val="0"/>
          <w:bCs/>
          <w:u w:val="single"/>
        </w:rPr>
      </w:pPr>
      <w:bookmarkStart w:id="14" w:name="_Toc178255676"/>
      <w:r w:rsidRPr="00096757">
        <w:rPr>
          <w:b w:val="0"/>
          <w:bCs/>
          <w:u w:val="single"/>
        </w:rPr>
        <w:lastRenderedPageBreak/>
        <w:t xml:space="preserve">Gender </w:t>
      </w:r>
      <w:r w:rsidR="00F81CFF" w:rsidRPr="00096757">
        <w:rPr>
          <w:b w:val="0"/>
          <w:bCs/>
          <w:u w:val="single"/>
        </w:rPr>
        <w:t>and gender identity</w:t>
      </w:r>
      <w:bookmarkEnd w:id="14"/>
    </w:p>
    <w:p w14:paraId="69CA7273" w14:textId="77777777" w:rsidR="002E6D47" w:rsidRDefault="00222362" w:rsidP="00080B26">
      <w:pPr>
        <w:pStyle w:val="ListParagraph"/>
        <w:numPr>
          <w:ilvl w:val="1"/>
          <w:numId w:val="4"/>
        </w:numPr>
        <w:ind w:left="709"/>
      </w:pPr>
      <w:r>
        <w:t>Article 10 of the UN Convention on the Elimination of Discrimination against Women (UN CEDAW) requires States to “take all appropriate measures to eliminate discrimination against women in order to ensure to them equal rights with men in the field of education” and ensure equality in “pre-school, general, technical, professional and higher technical education, as well as in all types of vocational education”.</w:t>
      </w:r>
    </w:p>
    <w:p w14:paraId="04B74F40" w14:textId="77777777" w:rsidR="002E6D47" w:rsidRDefault="002E6D47" w:rsidP="002E6D47">
      <w:pPr>
        <w:pStyle w:val="ListParagraph"/>
        <w:ind w:left="709"/>
      </w:pPr>
    </w:p>
    <w:p w14:paraId="247D968E" w14:textId="77777777" w:rsidR="002E6D47" w:rsidRPr="00FD0428" w:rsidRDefault="002E6D47" w:rsidP="00080B26">
      <w:pPr>
        <w:pStyle w:val="ListParagraph"/>
        <w:numPr>
          <w:ilvl w:val="1"/>
          <w:numId w:val="4"/>
        </w:numPr>
        <w:ind w:left="709"/>
      </w:pPr>
      <w:r w:rsidRPr="002E6D47">
        <w:rPr>
          <w:rFonts w:cs="Arial"/>
          <w:color w:val="000000" w:themeColor="text1"/>
        </w:rPr>
        <w:t>The UN Independent Expert on protection against violence and discrimination based on sexual orientation and gender identity highlights that “LGBT pupils and the children of LGBT parents face abuse in educational settings, including teasing, name-calling, intimidation, physical violence, social isolation, cyberbullying, physical and sexual assault, and death threats, all in a manner disproportional to that affecting the general population”. The Independent Expert specifically identifies that “Trans and gender non-conforming students can face humiliation through gendered uniforms”.</w:t>
      </w:r>
      <w:r>
        <w:rPr>
          <w:rStyle w:val="FootnoteReference"/>
          <w:rFonts w:cs="Arial"/>
          <w:color w:val="000000" w:themeColor="text1"/>
        </w:rPr>
        <w:footnoteReference w:id="100"/>
      </w:r>
      <w:r w:rsidRPr="002E6D47">
        <w:rPr>
          <w:rFonts w:cs="Arial"/>
          <w:color w:val="000000" w:themeColor="text1"/>
        </w:rPr>
        <w:t xml:space="preserve"> </w:t>
      </w:r>
    </w:p>
    <w:p w14:paraId="4239A31B" w14:textId="77777777" w:rsidR="00FD0428" w:rsidRDefault="00FD0428" w:rsidP="00FD0428">
      <w:pPr>
        <w:pStyle w:val="ListParagraph"/>
      </w:pPr>
    </w:p>
    <w:p w14:paraId="1F6D6147" w14:textId="31ECC8B4" w:rsidR="00FD0428" w:rsidRPr="002E6D47" w:rsidRDefault="00FD0428" w:rsidP="00080B26">
      <w:pPr>
        <w:pStyle w:val="ListParagraph"/>
        <w:numPr>
          <w:ilvl w:val="1"/>
          <w:numId w:val="4"/>
        </w:numPr>
        <w:ind w:left="709"/>
      </w:pPr>
      <w:r w:rsidRPr="002E6D47">
        <w:rPr>
          <w:rFonts w:cs="Arial"/>
          <w:color w:val="000000" w:themeColor="text1"/>
        </w:rPr>
        <w:t>In 2023, the UN CRC Committee urged the UK Government and NI Executive to “ensure that children who experience discrimination, bullying or harassment in relation to their sexual orientation or gender identity receive protection and support, including through targeted anti-bullying measures”.</w:t>
      </w:r>
      <w:r>
        <w:rPr>
          <w:rStyle w:val="FootnoteReference"/>
          <w:rFonts w:cs="Arial"/>
          <w:color w:val="000000" w:themeColor="text1"/>
        </w:rPr>
        <w:footnoteReference w:id="101"/>
      </w:r>
    </w:p>
    <w:p w14:paraId="01058594" w14:textId="77777777" w:rsidR="002E6D47" w:rsidRPr="002E6D47" w:rsidRDefault="002E6D47" w:rsidP="002E6D47">
      <w:pPr>
        <w:pStyle w:val="ListParagraph"/>
        <w:rPr>
          <w:rFonts w:cs="Arial"/>
          <w:color w:val="000000" w:themeColor="text1"/>
        </w:rPr>
      </w:pPr>
    </w:p>
    <w:p w14:paraId="48CB550A" w14:textId="32B2E7ED" w:rsidR="002E6D47" w:rsidRPr="002E6D47" w:rsidRDefault="00FD0428" w:rsidP="00080B26">
      <w:pPr>
        <w:pStyle w:val="ListParagraph"/>
        <w:numPr>
          <w:ilvl w:val="1"/>
          <w:numId w:val="4"/>
        </w:numPr>
        <w:ind w:left="709"/>
      </w:pPr>
      <w:r>
        <w:rPr>
          <w:rFonts w:cs="Arial"/>
          <w:color w:val="000000" w:themeColor="text1"/>
        </w:rPr>
        <w:t xml:space="preserve">The </w:t>
      </w:r>
      <w:r w:rsidR="00B93C72" w:rsidRPr="002E6D47">
        <w:rPr>
          <w:rFonts w:cs="Arial"/>
          <w:color w:val="000000" w:themeColor="text1"/>
        </w:rPr>
        <w:t xml:space="preserve">Equality Commission for NI </w:t>
      </w:r>
      <w:r w:rsidR="0022031D" w:rsidRPr="002E6D47">
        <w:rPr>
          <w:rFonts w:cs="Arial"/>
          <w:color w:val="000000" w:themeColor="text1"/>
        </w:rPr>
        <w:t xml:space="preserve">advises that schools </w:t>
      </w:r>
      <w:r w:rsidR="00B93C72" w:rsidRPr="002E6D47">
        <w:rPr>
          <w:rFonts w:cs="Arial"/>
          <w:color w:val="000000" w:themeColor="text1"/>
        </w:rPr>
        <w:t xml:space="preserve">are </w:t>
      </w:r>
      <w:r w:rsidR="0022031D" w:rsidRPr="002E6D47">
        <w:rPr>
          <w:rFonts w:cs="Arial"/>
          <w:color w:val="000000" w:themeColor="text1"/>
        </w:rPr>
        <w:t>“allowed to have a different uniform policy for boys than girls, however an appearance code is a “living instrument” and there must be a mechanism in place to facilitate and allow change over time”.</w:t>
      </w:r>
      <w:r w:rsidR="00BE4AA1">
        <w:rPr>
          <w:rStyle w:val="FootnoteReference"/>
          <w:rFonts w:cs="Arial"/>
          <w:color w:val="000000" w:themeColor="text1"/>
        </w:rPr>
        <w:footnoteReference w:id="102"/>
      </w:r>
      <w:r w:rsidR="0022031D" w:rsidRPr="002E6D47">
        <w:rPr>
          <w:rFonts w:cs="Arial"/>
          <w:color w:val="000000" w:themeColor="text1"/>
        </w:rPr>
        <w:t xml:space="preserve"> </w:t>
      </w:r>
      <w:r w:rsidR="001B7D8D" w:rsidRPr="002E6D47">
        <w:rPr>
          <w:rFonts w:cs="Arial"/>
          <w:color w:val="000000" w:themeColor="text1"/>
        </w:rPr>
        <w:t>It</w:t>
      </w:r>
      <w:r w:rsidR="005B5C82" w:rsidRPr="002E6D47">
        <w:rPr>
          <w:rFonts w:cs="Arial"/>
          <w:color w:val="000000" w:themeColor="text1"/>
        </w:rPr>
        <w:t xml:space="preserve"> elaborates that </w:t>
      </w:r>
      <w:r w:rsidR="00A33263" w:rsidRPr="002E6D47">
        <w:rPr>
          <w:rFonts w:cs="Arial"/>
          <w:color w:val="000000" w:themeColor="text1"/>
        </w:rPr>
        <w:t xml:space="preserve">what is an acceptable form of dress in school depends on what is </w:t>
      </w:r>
      <w:r w:rsidR="00BE4AA1" w:rsidRPr="002E6D47">
        <w:rPr>
          <w:rFonts w:cs="Arial"/>
          <w:color w:val="000000" w:themeColor="text1"/>
        </w:rPr>
        <w:t xml:space="preserve">currently considered to be a “conventional form of dress”: </w:t>
      </w:r>
    </w:p>
    <w:p w14:paraId="06B09486" w14:textId="77777777" w:rsidR="002E6D47" w:rsidRDefault="002E6D47" w:rsidP="002E6D47">
      <w:pPr>
        <w:pStyle w:val="ListParagraph"/>
        <w:suppressAutoHyphens/>
        <w:ind w:left="390"/>
        <w:rPr>
          <w:rFonts w:cs="Arial"/>
          <w:color w:val="000000" w:themeColor="text1"/>
        </w:rPr>
      </w:pPr>
    </w:p>
    <w:p w14:paraId="4575D2C1" w14:textId="61474861" w:rsidR="002E6D47" w:rsidRDefault="002E6D47" w:rsidP="002E6D47">
      <w:pPr>
        <w:pStyle w:val="ListParagraph"/>
        <w:suppressAutoHyphens/>
        <w:ind w:left="851"/>
        <w:rPr>
          <w:rFonts w:cs="Arial"/>
          <w:color w:val="000000" w:themeColor="text1"/>
        </w:rPr>
      </w:pPr>
      <w:r w:rsidRPr="00F46BC8">
        <w:rPr>
          <w:rFonts w:cs="Arial"/>
          <w:color w:val="000000" w:themeColor="text1"/>
        </w:rPr>
        <w:t>Smart trousers are now a widely accepted alternative to skirts for women at work, and trousers have practical advantages for school life. Because it is quite normal for girls to wear trousers, there is a strong argument that it is unlawful sex discrimination to deny a girl the opportunity to wear smart trousers as an alternative to skirts as part of a uniform code.</w:t>
      </w:r>
      <w:r>
        <w:rPr>
          <w:rStyle w:val="FootnoteReference"/>
          <w:rFonts w:cs="Arial"/>
          <w:color w:val="000000" w:themeColor="text1"/>
        </w:rPr>
        <w:footnoteReference w:id="103"/>
      </w:r>
    </w:p>
    <w:p w14:paraId="0E3FED0D" w14:textId="77777777" w:rsidR="002E6D47" w:rsidRPr="002E6D47" w:rsidRDefault="002E6D47" w:rsidP="002E6D47">
      <w:pPr>
        <w:rPr>
          <w:rFonts w:cs="Arial"/>
          <w:color w:val="000000" w:themeColor="text1"/>
        </w:rPr>
      </w:pPr>
    </w:p>
    <w:p w14:paraId="0A94A270" w14:textId="4312966D" w:rsidR="00DD7A68" w:rsidRPr="00DD7A68" w:rsidRDefault="00EA1BED" w:rsidP="00080B26">
      <w:pPr>
        <w:pStyle w:val="ListParagraph"/>
        <w:numPr>
          <w:ilvl w:val="1"/>
          <w:numId w:val="4"/>
        </w:numPr>
        <w:ind w:left="709"/>
      </w:pPr>
      <w:r>
        <w:rPr>
          <w:rFonts w:cs="Arial"/>
          <w:color w:val="000000" w:themeColor="text1"/>
        </w:rPr>
        <w:t>R</w:t>
      </w:r>
      <w:r w:rsidR="00027891" w:rsidRPr="002E6D47">
        <w:rPr>
          <w:rFonts w:cs="Arial"/>
          <w:color w:val="000000" w:themeColor="text1"/>
        </w:rPr>
        <w:t xml:space="preserve">esearch </w:t>
      </w:r>
      <w:r>
        <w:rPr>
          <w:rFonts w:cs="Arial"/>
          <w:color w:val="000000" w:themeColor="text1"/>
        </w:rPr>
        <w:t xml:space="preserve">conducted </w:t>
      </w:r>
      <w:r w:rsidR="00F87442" w:rsidRPr="002E6D47">
        <w:rPr>
          <w:rFonts w:cs="Arial"/>
          <w:color w:val="000000" w:themeColor="text1"/>
        </w:rPr>
        <w:t xml:space="preserve">by </w:t>
      </w:r>
      <w:r w:rsidR="00027891" w:rsidRPr="002E6D47">
        <w:rPr>
          <w:rFonts w:cs="Arial"/>
          <w:color w:val="000000" w:themeColor="text1"/>
        </w:rPr>
        <w:t xml:space="preserve">the NI Assembly </w:t>
      </w:r>
      <w:r>
        <w:rPr>
          <w:rFonts w:cs="Arial"/>
          <w:color w:val="000000" w:themeColor="text1"/>
        </w:rPr>
        <w:t xml:space="preserve">found </w:t>
      </w:r>
      <w:r w:rsidR="00027891" w:rsidRPr="002E6D47">
        <w:rPr>
          <w:rFonts w:cs="Arial"/>
          <w:color w:val="000000" w:themeColor="text1"/>
        </w:rPr>
        <w:t xml:space="preserve">that </w:t>
      </w:r>
      <w:r w:rsidR="00CD4DAB" w:rsidRPr="002E6D47">
        <w:rPr>
          <w:rFonts w:cs="Arial"/>
          <w:color w:val="000000" w:themeColor="text1"/>
        </w:rPr>
        <w:t xml:space="preserve">school uniform policies </w:t>
      </w:r>
      <w:r w:rsidR="00EF79E1">
        <w:rPr>
          <w:rFonts w:cs="Arial"/>
          <w:color w:val="000000" w:themeColor="text1"/>
        </w:rPr>
        <w:t>that</w:t>
      </w:r>
      <w:r w:rsidR="00CD4DAB" w:rsidRPr="002E6D47">
        <w:rPr>
          <w:rFonts w:cs="Arial"/>
          <w:color w:val="000000" w:themeColor="text1"/>
        </w:rPr>
        <w:t xml:space="preserve"> have separate rules for boys and girls </w:t>
      </w:r>
      <w:r w:rsidR="00F5334B" w:rsidRPr="002E6D47">
        <w:rPr>
          <w:rFonts w:cs="Arial"/>
          <w:color w:val="000000" w:themeColor="text1"/>
        </w:rPr>
        <w:t xml:space="preserve">can </w:t>
      </w:r>
      <w:r w:rsidR="00227867" w:rsidRPr="002E6D47">
        <w:rPr>
          <w:rFonts w:cs="Arial"/>
          <w:color w:val="000000" w:themeColor="text1"/>
        </w:rPr>
        <w:t>reinforce</w:t>
      </w:r>
      <w:r w:rsidR="00F5334B" w:rsidRPr="002E6D47">
        <w:rPr>
          <w:rFonts w:cs="Arial"/>
          <w:color w:val="000000" w:themeColor="text1"/>
        </w:rPr>
        <w:t xml:space="preserve"> negative</w:t>
      </w:r>
      <w:r w:rsidR="00227867" w:rsidRPr="002E6D47">
        <w:rPr>
          <w:rFonts w:cs="Arial"/>
          <w:color w:val="000000" w:themeColor="text1"/>
        </w:rPr>
        <w:t xml:space="preserve"> gender stereotypes</w:t>
      </w:r>
      <w:r w:rsidR="0040614F" w:rsidRPr="002E6D47">
        <w:rPr>
          <w:rFonts w:cs="Arial"/>
          <w:color w:val="000000" w:themeColor="text1"/>
        </w:rPr>
        <w:t xml:space="preserve">, while </w:t>
      </w:r>
      <w:r w:rsidR="004B5ECB" w:rsidRPr="002E6D47">
        <w:rPr>
          <w:rFonts w:cs="Arial"/>
          <w:color w:val="000000" w:themeColor="text1"/>
        </w:rPr>
        <w:t>leav</w:t>
      </w:r>
      <w:r w:rsidR="0040614F" w:rsidRPr="002E6D47">
        <w:rPr>
          <w:rFonts w:cs="Arial"/>
          <w:color w:val="000000" w:themeColor="text1"/>
        </w:rPr>
        <w:t>ing</w:t>
      </w:r>
      <w:r w:rsidR="004B5ECB" w:rsidRPr="002E6D47">
        <w:rPr>
          <w:rFonts w:cs="Arial"/>
          <w:color w:val="000000" w:themeColor="text1"/>
        </w:rPr>
        <w:t xml:space="preserve"> trans </w:t>
      </w:r>
      <w:r w:rsidR="0040614F" w:rsidRPr="002E6D47">
        <w:rPr>
          <w:rFonts w:cs="Arial"/>
          <w:color w:val="000000" w:themeColor="text1"/>
        </w:rPr>
        <w:t xml:space="preserve">and </w:t>
      </w:r>
      <w:r w:rsidR="004B5ECB" w:rsidRPr="002E6D47">
        <w:rPr>
          <w:rFonts w:cs="Arial"/>
          <w:color w:val="000000" w:themeColor="text1"/>
        </w:rPr>
        <w:t xml:space="preserve">gender non-conforming children vulnerable to </w:t>
      </w:r>
      <w:r w:rsidR="00E44765" w:rsidRPr="002E6D47">
        <w:rPr>
          <w:rFonts w:cs="Arial"/>
          <w:color w:val="000000" w:themeColor="text1"/>
        </w:rPr>
        <w:t>bullying</w:t>
      </w:r>
      <w:r w:rsidR="009A5F14" w:rsidRPr="002E6D47">
        <w:rPr>
          <w:rFonts w:cs="Arial"/>
          <w:color w:val="000000" w:themeColor="text1"/>
        </w:rPr>
        <w:t>, stress</w:t>
      </w:r>
      <w:r w:rsidR="00F87442" w:rsidRPr="002E6D47">
        <w:rPr>
          <w:rFonts w:cs="Arial"/>
          <w:color w:val="000000" w:themeColor="text1"/>
        </w:rPr>
        <w:t xml:space="preserve">, </w:t>
      </w:r>
      <w:r w:rsidR="00BF1E66">
        <w:rPr>
          <w:rFonts w:cs="Arial"/>
          <w:color w:val="000000" w:themeColor="text1"/>
        </w:rPr>
        <w:t>and a</w:t>
      </w:r>
      <w:r w:rsidR="00F87442" w:rsidRPr="002E6D47">
        <w:rPr>
          <w:rFonts w:cs="Arial"/>
          <w:color w:val="000000" w:themeColor="text1"/>
        </w:rPr>
        <w:t>nxiety</w:t>
      </w:r>
      <w:r w:rsidR="00200F91" w:rsidRPr="002E6D47">
        <w:rPr>
          <w:rFonts w:cs="Arial"/>
          <w:color w:val="000000" w:themeColor="text1"/>
        </w:rPr>
        <w:t>.</w:t>
      </w:r>
      <w:r w:rsidR="00F87442">
        <w:rPr>
          <w:rStyle w:val="FootnoteReference"/>
          <w:rFonts w:cs="Arial"/>
          <w:color w:val="000000" w:themeColor="text1"/>
        </w:rPr>
        <w:footnoteReference w:id="104"/>
      </w:r>
      <w:r w:rsidR="009118DE" w:rsidRPr="002E6D47">
        <w:rPr>
          <w:rFonts w:cs="Arial"/>
          <w:color w:val="000000" w:themeColor="text1"/>
        </w:rPr>
        <w:t xml:space="preserve"> </w:t>
      </w:r>
      <w:r w:rsidR="007663BD">
        <w:rPr>
          <w:rFonts w:cs="Arial"/>
          <w:color w:val="000000" w:themeColor="text1"/>
        </w:rPr>
        <w:t xml:space="preserve">It highlights that, as a matter of good practice, schools </w:t>
      </w:r>
      <w:r w:rsidR="00F07B12">
        <w:rPr>
          <w:rFonts w:cs="Arial"/>
          <w:color w:val="000000" w:themeColor="text1"/>
        </w:rPr>
        <w:t xml:space="preserve">in NI </w:t>
      </w:r>
      <w:r w:rsidR="000455D2">
        <w:rPr>
          <w:rFonts w:cs="Arial"/>
          <w:color w:val="000000" w:themeColor="text1"/>
        </w:rPr>
        <w:t>may wish to</w:t>
      </w:r>
      <w:r w:rsidR="007F48E5">
        <w:rPr>
          <w:rFonts w:cs="Arial"/>
          <w:color w:val="000000" w:themeColor="text1"/>
        </w:rPr>
        <w:t xml:space="preserve"> </w:t>
      </w:r>
      <w:r w:rsidR="007F48E5" w:rsidRPr="007F48E5">
        <w:rPr>
          <w:rFonts w:cs="Arial"/>
          <w:color w:val="000000" w:themeColor="text1"/>
        </w:rPr>
        <w:t xml:space="preserve">adopt a flexible approach to </w:t>
      </w:r>
      <w:r w:rsidR="007F48E5">
        <w:rPr>
          <w:rFonts w:cs="Arial"/>
          <w:color w:val="000000" w:themeColor="text1"/>
        </w:rPr>
        <w:t>school uniform</w:t>
      </w:r>
      <w:r w:rsidR="00AE7793">
        <w:rPr>
          <w:rFonts w:cs="Arial"/>
          <w:color w:val="000000" w:themeColor="text1"/>
        </w:rPr>
        <w:t xml:space="preserve"> polic</w:t>
      </w:r>
      <w:r w:rsidR="006230A4">
        <w:rPr>
          <w:rFonts w:cs="Arial"/>
          <w:color w:val="000000" w:themeColor="text1"/>
        </w:rPr>
        <w:t>y</w:t>
      </w:r>
      <w:r w:rsidR="00AE7793">
        <w:rPr>
          <w:rFonts w:cs="Arial"/>
          <w:color w:val="000000" w:themeColor="text1"/>
        </w:rPr>
        <w:t xml:space="preserve"> </w:t>
      </w:r>
      <w:r w:rsidR="006230A4">
        <w:rPr>
          <w:rFonts w:cs="Arial"/>
          <w:color w:val="000000" w:themeColor="text1"/>
        </w:rPr>
        <w:t>by</w:t>
      </w:r>
      <w:r w:rsidR="007445A6">
        <w:rPr>
          <w:rFonts w:cs="Arial"/>
          <w:color w:val="000000" w:themeColor="text1"/>
        </w:rPr>
        <w:t xml:space="preserve"> avoiding strict requirements an</w:t>
      </w:r>
      <w:r w:rsidR="0085713A">
        <w:rPr>
          <w:rFonts w:cs="Arial"/>
          <w:color w:val="000000" w:themeColor="text1"/>
        </w:rPr>
        <w:t>d</w:t>
      </w:r>
      <w:r w:rsidR="001B4202">
        <w:rPr>
          <w:rFonts w:cs="Arial"/>
          <w:color w:val="000000" w:themeColor="text1"/>
        </w:rPr>
        <w:t xml:space="preserve"> by</w:t>
      </w:r>
      <w:r w:rsidR="0085713A">
        <w:rPr>
          <w:rFonts w:cs="Arial"/>
          <w:color w:val="000000" w:themeColor="text1"/>
        </w:rPr>
        <w:t xml:space="preserve"> having a</w:t>
      </w:r>
      <w:r w:rsidR="007F48E5">
        <w:rPr>
          <w:rFonts w:cs="Arial"/>
          <w:color w:val="000000" w:themeColor="text1"/>
        </w:rPr>
        <w:t xml:space="preserve"> gender neutral</w:t>
      </w:r>
      <w:r w:rsidR="006230A4">
        <w:rPr>
          <w:rFonts w:cs="Arial"/>
          <w:color w:val="000000" w:themeColor="text1"/>
        </w:rPr>
        <w:t xml:space="preserve"> uniform</w:t>
      </w:r>
      <w:r w:rsidR="007F48E5">
        <w:rPr>
          <w:rFonts w:cs="Arial"/>
          <w:color w:val="000000" w:themeColor="text1"/>
        </w:rPr>
        <w:t xml:space="preserve"> option</w:t>
      </w:r>
      <w:r w:rsidR="0085713A">
        <w:rPr>
          <w:rFonts w:cs="Arial"/>
          <w:color w:val="000000" w:themeColor="text1"/>
        </w:rPr>
        <w:t xml:space="preserve"> available</w:t>
      </w:r>
      <w:r w:rsidR="00FD0428">
        <w:rPr>
          <w:rFonts w:cs="Arial"/>
          <w:color w:val="000000" w:themeColor="text1"/>
        </w:rPr>
        <w:t>.</w:t>
      </w:r>
      <w:r w:rsidR="002246D0">
        <w:rPr>
          <w:rStyle w:val="FootnoteReference"/>
          <w:rFonts w:cs="Arial"/>
          <w:color w:val="000000" w:themeColor="text1"/>
        </w:rPr>
        <w:footnoteReference w:id="105"/>
      </w:r>
    </w:p>
    <w:p w14:paraId="0244EE99" w14:textId="77777777" w:rsidR="002E6D47" w:rsidRPr="00FD0428" w:rsidRDefault="002E6D47" w:rsidP="00FD0428">
      <w:pPr>
        <w:rPr>
          <w:rFonts w:cs="Arial"/>
          <w:b/>
          <w:bCs/>
          <w:color w:val="000000" w:themeColor="text1"/>
        </w:rPr>
      </w:pPr>
    </w:p>
    <w:p w14:paraId="5A7CAB39" w14:textId="0F092E4D" w:rsidR="009D2294" w:rsidRPr="001E029C" w:rsidRDefault="0041275D" w:rsidP="00080B26">
      <w:pPr>
        <w:pStyle w:val="ListParagraph"/>
        <w:numPr>
          <w:ilvl w:val="1"/>
          <w:numId w:val="4"/>
        </w:numPr>
        <w:ind w:left="709"/>
      </w:pPr>
      <w:r w:rsidRPr="002E6D47">
        <w:rPr>
          <w:rFonts w:cs="Arial"/>
          <w:b/>
          <w:bCs/>
          <w:color w:val="000000" w:themeColor="text1"/>
        </w:rPr>
        <w:t xml:space="preserve">The NIHRC recommends that the statutory guidance </w:t>
      </w:r>
      <w:r w:rsidR="00766CB6" w:rsidRPr="002E6D47">
        <w:rPr>
          <w:rFonts w:cs="Arial"/>
          <w:b/>
          <w:bCs/>
          <w:color w:val="000000" w:themeColor="text1"/>
        </w:rPr>
        <w:t>specifies</w:t>
      </w:r>
      <w:r w:rsidRPr="002E6D47">
        <w:rPr>
          <w:rFonts w:cs="Arial"/>
          <w:b/>
          <w:bCs/>
          <w:color w:val="000000" w:themeColor="text1"/>
        </w:rPr>
        <w:t xml:space="preserve"> that schools and governing bodies </w:t>
      </w:r>
      <w:r w:rsidR="008C3604" w:rsidRPr="002E6D47">
        <w:rPr>
          <w:rFonts w:cs="Arial"/>
          <w:b/>
          <w:bCs/>
          <w:color w:val="000000" w:themeColor="text1"/>
        </w:rPr>
        <w:t xml:space="preserve">should ensure an inclusive </w:t>
      </w:r>
      <w:r w:rsidR="00C7424F" w:rsidRPr="002E6D47">
        <w:rPr>
          <w:rFonts w:cs="Arial"/>
          <w:b/>
          <w:bCs/>
          <w:color w:val="000000" w:themeColor="text1"/>
        </w:rPr>
        <w:t>uniform policy that does not</w:t>
      </w:r>
      <w:r w:rsidR="00D53604">
        <w:rPr>
          <w:rFonts w:cs="Arial"/>
          <w:b/>
          <w:bCs/>
          <w:color w:val="000000" w:themeColor="text1"/>
        </w:rPr>
        <w:t xml:space="preserve"> directly or indirectly</w:t>
      </w:r>
      <w:r w:rsidR="00C7424F" w:rsidRPr="002E6D47">
        <w:rPr>
          <w:rFonts w:cs="Arial"/>
          <w:b/>
          <w:bCs/>
          <w:color w:val="000000" w:themeColor="text1"/>
        </w:rPr>
        <w:t xml:space="preserve"> discriminate </w:t>
      </w:r>
      <w:proofErr w:type="gramStart"/>
      <w:r w:rsidR="00C7424F" w:rsidRPr="002E6D47">
        <w:rPr>
          <w:rFonts w:cs="Arial"/>
          <w:b/>
          <w:bCs/>
          <w:color w:val="000000" w:themeColor="text1"/>
        </w:rPr>
        <w:t>on the basis of</w:t>
      </w:r>
      <w:proofErr w:type="gramEnd"/>
      <w:r w:rsidR="00C7424F" w:rsidRPr="002E6D47">
        <w:rPr>
          <w:rFonts w:cs="Arial"/>
          <w:b/>
          <w:bCs/>
          <w:color w:val="000000" w:themeColor="text1"/>
        </w:rPr>
        <w:t xml:space="preserve"> gender or gender identity. </w:t>
      </w:r>
      <w:r w:rsidR="00BC3B64" w:rsidRPr="002E6D47">
        <w:rPr>
          <w:rFonts w:cs="Arial"/>
          <w:b/>
          <w:bCs/>
          <w:color w:val="000000" w:themeColor="text1"/>
        </w:rPr>
        <w:t xml:space="preserve">This includes </w:t>
      </w:r>
      <w:r w:rsidR="002931B8" w:rsidRPr="002E6D47">
        <w:rPr>
          <w:rFonts w:cs="Arial"/>
          <w:b/>
          <w:bCs/>
          <w:color w:val="000000" w:themeColor="text1"/>
        </w:rPr>
        <w:t xml:space="preserve">avoiding strict requirements for items of clothing to be worn by </w:t>
      </w:r>
      <w:r w:rsidR="00AE0D49">
        <w:rPr>
          <w:rFonts w:cs="Arial"/>
          <w:b/>
          <w:bCs/>
          <w:color w:val="000000" w:themeColor="text1"/>
        </w:rPr>
        <w:t xml:space="preserve">pupils </w:t>
      </w:r>
      <w:r w:rsidR="002931B8" w:rsidRPr="002E6D47">
        <w:rPr>
          <w:rFonts w:cs="Arial"/>
          <w:b/>
          <w:bCs/>
          <w:color w:val="000000" w:themeColor="text1"/>
        </w:rPr>
        <w:t>of a certain gender or gender identity</w:t>
      </w:r>
      <w:r w:rsidR="00F07B12">
        <w:rPr>
          <w:rFonts w:cs="Arial"/>
          <w:b/>
          <w:bCs/>
          <w:color w:val="000000" w:themeColor="text1"/>
        </w:rPr>
        <w:t xml:space="preserve">, and </w:t>
      </w:r>
      <w:r w:rsidR="00AE0D49">
        <w:rPr>
          <w:rFonts w:cs="Arial"/>
          <w:b/>
          <w:bCs/>
          <w:color w:val="000000" w:themeColor="text1"/>
        </w:rPr>
        <w:t xml:space="preserve">by having a </w:t>
      </w:r>
      <w:proofErr w:type="gramStart"/>
      <w:r w:rsidR="00AE0D49">
        <w:rPr>
          <w:rFonts w:cs="Arial"/>
          <w:b/>
          <w:bCs/>
          <w:color w:val="000000" w:themeColor="text1"/>
        </w:rPr>
        <w:t>gender neutral</w:t>
      </w:r>
      <w:proofErr w:type="gramEnd"/>
      <w:r w:rsidR="00AE0D49">
        <w:rPr>
          <w:rFonts w:cs="Arial"/>
          <w:b/>
          <w:bCs/>
          <w:color w:val="000000" w:themeColor="text1"/>
        </w:rPr>
        <w:t xml:space="preserve"> uniform option available to all pupils. </w:t>
      </w:r>
    </w:p>
    <w:p w14:paraId="64BDF2B4" w14:textId="77777777" w:rsidR="001E029C" w:rsidRDefault="001E029C" w:rsidP="001E029C"/>
    <w:p w14:paraId="2427A20A" w14:textId="35D83273" w:rsidR="001E029C" w:rsidRPr="00096757" w:rsidRDefault="00E715F9" w:rsidP="00096757">
      <w:pPr>
        <w:pStyle w:val="Heading2"/>
        <w:rPr>
          <w:b w:val="0"/>
          <w:bCs/>
          <w:u w:val="single"/>
        </w:rPr>
      </w:pPr>
      <w:bookmarkStart w:id="15" w:name="_Toc178255677"/>
      <w:r w:rsidRPr="00096757">
        <w:rPr>
          <w:b w:val="0"/>
          <w:bCs/>
          <w:u w:val="single"/>
        </w:rPr>
        <w:t>Religion or beliefs</w:t>
      </w:r>
      <w:bookmarkEnd w:id="15"/>
    </w:p>
    <w:p w14:paraId="411BF2AA" w14:textId="77777777" w:rsidR="00C858FB" w:rsidRDefault="00D12173" w:rsidP="00080B26">
      <w:pPr>
        <w:pStyle w:val="ListParagraph"/>
        <w:numPr>
          <w:ilvl w:val="1"/>
          <w:numId w:val="4"/>
        </w:numPr>
        <w:ind w:left="709" w:hanging="709"/>
      </w:pPr>
      <w:r>
        <w:t xml:space="preserve">Article </w:t>
      </w:r>
      <w:r w:rsidR="00491650">
        <w:t>9</w:t>
      </w:r>
      <w:r w:rsidR="00AB4FF3">
        <w:t>(2)</w:t>
      </w:r>
      <w:r w:rsidR="00EE236B">
        <w:t xml:space="preserve"> of the ECHR </w:t>
      </w:r>
      <w:r w:rsidR="00F26B06">
        <w:t xml:space="preserve">protects </w:t>
      </w:r>
      <w:r w:rsidR="006C3434">
        <w:t>an individual’s freedom to</w:t>
      </w:r>
      <w:r w:rsidR="00F26B06">
        <w:t xml:space="preserve"> </w:t>
      </w:r>
      <w:r w:rsidR="006C3434" w:rsidRPr="006C3434">
        <w:t>manifest one’s religion or beliefs</w:t>
      </w:r>
      <w:r w:rsidR="00F91877">
        <w:t xml:space="preserve">. </w:t>
      </w:r>
      <w:r w:rsidR="00431322">
        <w:t>Th</w:t>
      </w:r>
      <w:r w:rsidR="00AB4FF3">
        <w:t xml:space="preserve">is right is not absolute and can be limited </w:t>
      </w:r>
      <w:r w:rsidR="00553409">
        <w:t xml:space="preserve">where </w:t>
      </w:r>
      <w:r w:rsidR="00EC6893">
        <w:t>“</w:t>
      </w:r>
      <w:r w:rsidR="00EC6893" w:rsidRPr="00EC6893">
        <w:t>such limitations as are prescribed by law and are necessary in a democratic society in the interests of public safety, for the protection of public order, health or morals, or for the protection of the rights and freedoms of others</w:t>
      </w:r>
      <w:r w:rsidR="00EC6893">
        <w:t xml:space="preserve">”. </w:t>
      </w:r>
    </w:p>
    <w:p w14:paraId="78307A6A" w14:textId="77777777" w:rsidR="00C858FB" w:rsidRDefault="00C858FB" w:rsidP="00C858FB">
      <w:pPr>
        <w:pStyle w:val="ListParagraph"/>
        <w:ind w:left="709"/>
      </w:pPr>
    </w:p>
    <w:p w14:paraId="4BB8BAC5" w14:textId="71489E16" w:rsidR="00DF1F13" w:rsidRDefault="00AB7612" w:rsidP="00080B26">
      <w:pPr>
        <w:pStyle w:val="ListParagraph"/>
        <w:numPr>
          <w:ilvl w:val="1"/>
          <w:numId w:val="4"/>
        </w:numPr>
        <w:ind w:left="709" w:hanging="709"/>
      </w:pPr>
      <w:r>
        <w:t xml:space="preserve">The NIHRC </w:t>
      </w:r>
      <w:r w:rsidR="000D0E9F">
        <w:t xml:space="preserve">welcomes the consideration of </w:t>
      </w:r>
      <w:r w:rsidR="00E6387B">
        <w:t>ECHR Article 9(2)</w:t>
      </w:r>
      <w:r w:rsidR="000D0E9F">
        <w:t xml:space="preserve"> in </w:t>
      </w:r>
      <w:r w:rsidR="00203870">
        <w:t xml:space="preserve">the Department’s </w:t>
      </w:r>
      <w:r w:rsidR="000D0E9F">
        <w:t>current guidance</w:t>
      </w:r>
      <w:r w:rsidR="003B71D8">
        <w:t xml:space="preserve"> and the acknowledgment that “I</w:t>
      </w:r>
      <w:r w:rsidR="003B71D8" w:rsidRPr="003B71D8">
        <w:t>t may be possible for many religious requirements to be met within a school uniform policy and schools should accommodate these where they can</w:t>
      </w:r>
      <w:r w:rsidR="003B71D8">
        <w:t>”.</w:t>
      </w:r>
      <w:r w:rsidR="006B36FF">
        <w:rPr>
          <w:rStyle w:val="FootnoteReference"/>
        </w:rPr>
        <w:footnoteReference w:id="106"/>
      </w:r>
      <w:r w:rsidR="003B71D8">
        <w:t xml:space="preserve"> </w:t>
      </w:r>
      <w:r w:rsidR="00AC0655">
        <w:t xml:space="preserve">However, the NIHRC notes the following wording with caution: </w:t>
      </w:r>
    </w:p>
    <w:p w14:paraId="002B711F" w14:textId="77777777" w:rsidR="00AC0655" w:rsidRDefault="00AC0655" w:rsidP="00AC0655"/>
    <w:p w14:paraId="1D19BFE8" w14:textId="22417373" w:rsidR="00DF1F13" w:rsidRDefault="00DF1F13" w:rsidP="00DF1F13">
      <w:pPr>
        <w:pStyle w:val="ListParagraph"/>
        <w:ind w:left="851"/>
      </w:pPr>
      <w:r w:rsidRPr="00DF1F13">
        <w:t xml:space="preserve">In fulfilling their obligations, schools may have to balance the rights of individual pupils against the best interests of the </w:t>
      </w:r>
      <w:proofErr w:type="gramStart"/>
      <w:r w:rsidRPr="00DF1F13">
        <w:t>school as a whole</w:t>
      </w:r>
      <w:proofErr w:type="gramEnd"/>
      <w:r w:rsidRPr="00DF1F13">
        <w:t>. Where schools have good reasons for restricting an individual’s freedoms, for example, to ensure the effective delivery of teaching and learning, the promotion of good order in a school, the prevention of bullying, or for genuine health and safety or security considerations, then the restriction of an individual’s rights to manifest their religion may be justified.</w:t>
      </w:r>
      <w:r w:rsidR="008968A0">
        <w:rPr>
          <w:rStyle w:val="FootnoteReference"/>
        </w:rPr>
        <w:footnoteReference w:id="107"/>
      </w:r>
    </w:p>
    <w:p w14:paraId="00B529C9" w14:textId="77777777" w:rsidR="00C858FB" w:rsidRDefault="00C858FB" w:rsidP="00DF1F13">
      <w:pPr>
        <w:pStyle w:val="ListParagraph"/>
        <w:ind w:left="851"/>
      </w:pPr>
    </w:p>
    <w:p w14:paraId="01A90226" w14:textId="79767856" w:rsidR="00AC0655" w:rsidRDefault="00DF1F13" w:rsidP="00080B26">
      <w:pPr>
        <w:pStyle w:val="ListParagraph"/>
        <w:numPr>
          <w:ilvl w:val="1"/>
          <w:numId w:val="4"/>
        </w:numPr>
        <w:ind w:left="709" w:hanging="709"/>
      </w:pPr>
      <w:r>
        <w:t>The NIHRC would encourage the Department of Education to re</w:t>
      </w:r>
      <w:r w:rsidR="006C46C9">
        <w:t xml:space="preserve">vert </w:t>
      </w:r>
      <w:r>
        <w:t xml:space="preserve">to the wording in </w:t>
      </w:r>
      <w:r w:rsidR="008B30DB">
        <w:t xml:space="preserve">Article 9(2) </w:t>
      </w:r>
      <w:proofErr w:type="gramStart"/>
      <w:r w:rsidR="008B30DB">
        <w:t>with regard to</w:t>
      </w:r>
      <w:proofErr w:type="gramEnd"/>
      <w:r w:rsidR="008B30DB">
        <w:t xml:space="preserve"> </w:t>
      </w:r>
      <w:r w:rsidR="00E93157">
        <w:t>limitations that are capable of justification.</w:t>
      </w:r>
      <w:r w:rsidR="00FB2DAC">
        <w:t xml:space="preserve"> </w:t>
      </w:r>
      <w:r w:rsidR="00080B26">
        <w:t>The</w:t>
      </w:r>
      <w:r w:rsidR="00166862">
        <w:t xml:space="preserve"> NIHRC would</w:t>
      </w:r>
      <w:r w:rsidR="00871B82">
        <w:t xml:space="preserve"> additionally</w:t>
      </w:r>
      <w:r w:rsidR="00166862">
        <w:t xml:space="preserve"> encourage the Department to underline that </w:t>
      </w:r>
      <w:r w:rsidR="00ED6B70">
        <w:t xml:space="preserve">the best interests of the child </w:t>
      </w:r>
      <w:r w:rsidR="003F4188">
        <w:t>should be a primary consideration in</w:t>
      </w:r>
      <w:r w:rsidR="004743E6">
        <w:t xml:space="preserve"> </w:t>
      </w:r>
      <w:r w:rsidR="00C55600">
        <w:t>de</w:t>
      </w:r>
      <w:r w:rsidR="00871B82">
        <w:t xml:space="preserve">ciding whether any reasonable accommodations could be made to its </w:t>
      </w:r>
      <w:r w:rsidR="006467DA">
        <w:t xml:space="preserve">school uniform policy. </w:t>
      </w:r>
      <w:r w:rsidR="002C4401">
        <w:t>T</w:t>
      </w:r>
      <w:r w:rsidR="004743E6">
        <w:t>he</w:t>
      </w:r>
      <w:r w:rsidR="00AC0655">
        <w:t xml:space="preserve"> Department </w:t>
      </w:r>
      <w:r w:rsidR="004743E6">
        <w:t>may wish to</w:t>
      </w:r>
      <w:r w:rsidR="00AC0655">
        <w:t xml:space="preserve"> consider adopting the approach taken by the Welsh government</w:t>
      </w:r>
      <w:r w:rsidR="002E4076">
        <w:t>’s guidance</w:t>
      </w:r>
      <w:r w:rsidR="00AC0655">
        <w:t xml:space="preserve">, </w:t>
      </w:r>
      <w:r w:rsidR="00800360">
        <w:t>w</w:t>
      </w:r>
      <w:r w:rsidR="00422709">
        <w:t>hich</w:t>
      </w:r>
      <w:r w:rsidR="005E16D1">
        <w:t xml:space="preserve"> provid</w:t>
      </w:r>
      <w:r w:rsidR="00800360">
        <w:t>e</w:t>
      </w:r>
      <w:r w:rsidR="002E4076">
        <w:t>s</w:t>
      </w:r>
      <w:r w:rsidR="005E16D1">
        <w:t xml:space="preserve"> schools and governing bodies with </w:t>
      </w:r>
      <w:r w:rsidR="00AC0655">
        <w:t xml:space="preserve">a practical example of how </w:t>
      </w:r>
      <w:r w:rsidR="005E16D1">
        <w:t>to make</w:t>
      </w:r>
      <w:r w:rsidR="005C60C4">
        <w:t xml:space="preserve"> reasonable</w:t>
      </w:r>
      <w:r w:rsidR="00AC0655">
        <w:t xml:space="preserve"> accommodations</w:t>
      </w:r>
      <w:r w:rsidR="00513A6D">
        <w:t xml:space="preserve"> regarding religious dress</w:t>
      </w:r>
      <w:r w:rsidR="00AC0655">
        <w:t>.</w:t>
      </w:r>
      <w:r w:rsidR="00A267FE">
        <w:rPr>
          <w:rStyle w:val="FootnoteReference"/>
        </w:rPr>
        <w:footnoteReference w:id="108"/>
      </w:r>
      <w:r w:rsidR="00AC0655">
        <w:t xml:space="preserve"> </w:t>
      </w:r>
      <w:r w:rsidR="00800360">
        <w:t xml:space="preserve">The guidance </w:t>
      </w:r>
      <w:r w:rsidR="00AC0655">
        <w:t>highlights</w:t>
      </w:r>
      <w:r w:rsidR="006E506C">
        <w:t xml:space="preserve"> that</w:t>
      </w:r>
      <w:r w:rsidR="00AC0655">
        <w:t xml:space="preserve"> a recognised religious practice </w:t>
      </w:r>
      <w:r w:rsidR="008348A7">
        <w:t xml:space="preserve">may require </w:t>
      </w:r>
      <w:r w:rsidR="00AC0655">
        <w:t>a pupil to wear a particular item of clothing, therefore “</w:t>
      </w:r>
      <w:r w:rsidR="00AC0655" w:rsidRPr="001D3FCE">
        <w:t>the governing body could decide that the item could be worn in the school uniform colours</w:t>
      </w:r>
      <w:r w:rsidR="00AC0655">
        <w:t>”</w:t>
      </w:r>
      <w:r w:rsidR="00AC0655" w:rsidRPr="001D3FCE">
        <w:t>.</w:t>
      </w:r>
      <w:r w:rsidR="00A267FE">
        <w:rPr>
          <w:rStyle w:val="FootnoteReference"/>
        </w:rPr>
        <w:footnoteReference w:id="109"/>
      </w:r>
      <w:r w:rsidR="00294A25">
        <w:t xml:space="preserve"> </w:t>
      </w:r>
    </w:p>
    <w:p w14:paraId="3328F305" w14:textId="77777777" w:rsidR="00294A25" w:rsidRDefault="00294A25" w:rsidP="00294A25">
      <w:pPr>
        <w:pStyle w:val="ListParagraph"/>
        <w:ind w:left="709"/>
      </w:pPr>
    </w:p>
    <w:p w14:paraId="29F0F42B" w14:textId="17040826" w:rsidR="00947DB4" w:rsidRPr="00D77B13" w:rsidRDefault="00117D81" w:rsidP="00080B26">
      <w:pPr>
        <w:pStyle w:val="ListParagraph"/>
        <w:numPr>
          <w:ilvl w:val="1"/>
          <w:numId w:val="4"/>
        </w:numPr>
        <w:suppressAutoHyphens/>
        <w:ind w:left="709" w:hanging="709"/>
        <w:rPr>
          <w:rFonts w:cs="Arial"/>
          <w:b/>
          <w:bCs/>
          <w:color w:val="000000" w:themeColor="text1"/>
        </w:rPr>
      </w:pPr>
      <w:r w:rsidRPr="00C40EA1">
        <w:rPr>
          <w:b/>
          <w:bCs/>
        </w:rPr>
        <w:lastRenderedPageBreak/>
        <w:t>The NIHRC recommends that the statutory guidance</w:t>
      </w:r>
      <w:r w:rsidR="0042537B">
        <w:rPr>
          <w:b/>
          <w:bCs/>
        </w:rPr>
        <w:t xml:space="preserve"> </w:t>
      </w:r>
      <w:r w:rsidR="00E23654">
        <w:rPr>
          <w:b/>
          <w:bCs/>
        </w:rPr>
        <w:t>specifies that</w:t>
      </w:r>
      <w:r w:rsidRPr="00C40EA1">
        <w:rPr>
          <w:b/>
          <w:bCs/>
        </w:rPr>
        <w:t xml:space="preserve"> </w:t>
      </w:r>
      <w:r w:rsidRPr="00C40EA1">
        <w:rPr>
          <w:rFonts w:cs="Arial"/>
          <w:b/>
          <w:bCs/>
          <w:color w:val="000000" w:themeColor="text1"/>
        </w:rPr>
        <w:t xml:space="preserve">schools and governing bodies </w:t>
      </w:r>
      <w:r w:rsidR="007E6AD3">
        <w:rPr>
          <w:rFonts w:cs="Arial"/>
          <w:b/>
          <w:bCs/>
          <w:color w:val="000000" w:themeColor="text1"/>
        </w:rPr>
        <w:t xml:space="preserve">should </w:t>
      </w:r>
      <w:r w:rsidR="007E6AD3" w:rsidRPr="00A71BC0">
        <w:rPr>
          <w:rFonts w:cs="Arial"/>
          <w:b/>
          <w:bCs/>
          <w:color w:val="000000" w:themeColor="text1"/>
        </w:rPr>
        <w:t>be sensitive to the needs of different cultures, races and religions</w:t>
      </w:r>
      <w:r w:rsidR="0044292C">
        <w:rPr>
          <w:rFonts w:cs="Arial"/>
          <w:b/>
          <w:bCs/>
          <w:color w:val="000000" w:themeColor="text1"/>
        </w:rPr>
        <w:t xml:space="preserve"> and </w:t>
      </w:r>
      <w:r w:rsidR="00F94D5F" w:rsidRPr="00D77B13">
        <w:rPr>
          <w:rFonts w:cs="Arial"/>
          <w:b/>
          <w:bCs/>
          <w:color w:val="000000" w:themeColor="text1"/>
        </w:rPr>
        <w:t xml:space="preserve">that reasonable </w:t>
      </w:r>
      <w:r w:rsidR="00F94D5F">
        <w:rPr>
          <w:rFonts w:cs="Arial"/>
          <w:b/>
          <w:bCs/>
          <w:color w:val="000000" w:themeColor="text1"/>
        </w:rPr>
        <w:t>accommodation</w:t>
      </w:r>
      <w:r w:rsidR="00956B94">
        <w:rPr>
          <w:rFonts w:cs="Arial"/>
          <w:b/>
          <w:bCs/>
          <w:color w:val="000000" w:themeColor="text1"/>
        </w:rPr>
        <w:t xml:space="preserve"> should be </w:t>
      </w:r>
      <w:r w:rsidR="00F94D5F">
        <w:rPr>
          <w:rFonts w:cs="Arial"/>
          <w:b/>
          <w:bCs/>
          <w:color w:val="000000" w:themeColor="text1"/>
        </w:rPr>
        <w:t>made to meet those needs.</w:t>
      </w:r>
      <w:r w:rsidR="00F94D5F" w:rsidRPr="00D77B13">
        <w:rPr>
          <w:rFonts w:cs="Arial"/>
          <w:b/>
          <w:bCs/>
          <w:color w:val="000000" w:themeColor="text1"/>
        </w:rPr>
        <w:t xml:space="preserve"> </w:t>
      </w:r>
      <w:r w:rsidR="00D42B46">
        <w:rPr>
          <w:rFonts w:cs="Arial"/>
          <w:b/>
          <w:bCs/>
          <w:color w:val="000000" w:themeColor="text1"/>
        </w:rPr>
        <w:t>This includes</w:t>
      </w:r>
      <w:r w:rsidRPr="00C40EA1">
        <w:rPr>
          <w:rFonts w:cs="Arial"/>
          <w:b/>
          <w:bCs/>
          <w:color w:val="000000" w:themeColor="text1"/>
        </w:rPr>
        <w:t xml:space="preserve"> consider</w:t>
      </w:r>
      <w:r w:rsidR="00DA0BD8">
        <w:rPr>
          <w:rFonts w:cs="Arial"/>
          <w:b/>
          <w:bCs/>
          <w:color w:val="000000" w:themeColor="text1"/>
        </w:rPr>
        <w:t>ation of</w:t>
      </w:r>
      <w:r w:rsidR="009226C5" w:rsidRPr="00C40EA1">
        <w:rPr>
          <w:rFonts w:cs="Arial"/>
          <w:b/>
          <w:bCs/>
          <w:color w:val="000000" w:themeColor="text1"/>
        </w:rPr>
        <w:t xml:space="preserve"> how </w:t>
      </w:r>
      <w:r w:rsidRPr="00C40EA1">
        <w:rPr>
          <w:rFonts w:cs="Arial"/>
          <w:b/>
          <w:bCs/>
          <w:color w:val="000000" w:themeColor="text1"/>
        </w:rPr>
        <w:t xml:space="preserve">policy </w:t>
      </w:r>
      <w:r w:rsidR="00956B94">
        <w:rPr>
          <w:rFonts w:cs="Arial"/>
          <w:b/>
          <w:bCs/>
          <w:color w:val="000000" w:themeColor="text1"/>
        </w:rPr>
        <w:t xml:space="preserve">can </w:t>
      </w:r>
      <w:r w:rsidR="006A1822" w:rsidRPr="00C40EA1">
        <w:rPr>
          <w:rFonts w:cs="Arial"/>
          <w:b/>
          <w:bCs/>
          <w:color w:val="000000" w:themeColor="text1"/>
        </w:rPr>
        <w:t xml:space="preserve">interfere with a pupil’s </w:t>
      </w:r>
      <w:r w:rsidR="006A1822" w:rsidRPr="00C40EA1">
        <w:rPr>
          <w:b/>
          <w:bCs/>
        </w:rPr>
        <w:t xml:space="preserve">right to manifest </w:t>
      </w:r>
      <w:r w:rsidR="00E23654">
        <w:rPr>
          <w:b/>
          <w:bCs/>
        </w:rPr>
        <w:t xml:space="preserve">their </w:t>
      </w:r>
      <w:r w:rsidR="006A1822" w:rsidRPr="00C40EA1">
        <w:rPr>
          <w:b/>
          <w:bCs/>
        </w:rPr>
        <w:t>religion or belief</w:t>
      </w:r>
      <w:r w:rsidR="006A1822" w:rsidRPr="00C40EA1">
        <w:rPr>
          <w:rFonts w:cs="Arial"/>
          <w:b/>
          <w:bCs/>
          <w:color w:val="000000" w:themeColor="text1"/>
        </w:rPr>
        <w:t xml:space="preserve"> </w:t>
      </w:r>
      <w:r w:rsidR="00C40EA1" w:rsidRPr="00C40EA1">
        <w:rPr>
          <w:rFonts w:cs="Arial"/>
          <w:b/>
          <w:bCs/>
          <w:color w:val="000000" w:themeColor="text1"/>
        </w:rPr>
        <w:t>under Article 9(2) of the ECHR</w:t>
      </w:r>
      <w:r w:rsidR="00F94D5F">
        <w:rPr>
          <w:rFonts w:cs="Arial"/>
          <w:b/>
          <w:bCs/>
          <w:color w:val="000000" w:themeColor="text1"/>
        </w:rPr>
        <w:t xml:space="preserve">. </w:t>
      </w:r>
    </w:p>
    <w:p w14:paraId="6EB9FD81" w14:textId="1BD3EE6A" w:rsidR="00117D81" w:rsidRPr="00947DB4" w:rsidRDefault="00117D81" w:rsidP="00947DB4">
      <w:pPr>
        <w:rPr>
          <w:b/>
          <w:bCs/>
        </w:rPr>
      </w:pPr>
    </w:p>
    <w:p w14:paraId="34E8CFCB" w14:textId="77777777" w:rsidR="00267B1E" w:rsidRPr="00B6662E" w:rsidRDefault="00267B1E" w:rsidP="00B6662E">
      <w:pPr>
        <w:rPr>
          <w:bCs/>
        </w:rPr>
      </w:pPr>
    </w:p>
    <w:p w14:paraId="613D084C" w14:textId="77777777" w:rsidR="00241CBD" w:rsidRPr="00F47945" w:rsidRDefault="00241CBD" w:rsidP="00F47945">
      <w:pPr>
        <w:suppressAutoHyphens/>
        <w:rPr>
          <w:rFonts w:cs="Arial"/>
          <w:color w:val="000000" w:themeColor="text1"/>
        </w:rPr>
      </w:pPr>
    </w:p>
    <w:p w14:paraId="5D9D67F5" w14:textId="77777777" w:rsidR="00354B49" w:rsidRDefault="00354B49" w:rsidP="00354B49">
      <w:pPr>
        <w:pStyle w:val="BasicParagraph"/>
        <w:suppressAutoHyphens/>
        <w:rPr>
          <w:rFonts w:ascii="Verdana" w:hAnsi="Verdana" w:cs="Arial"/>
          <w:b/>
          <w:bCs/>
          <w:color w:val="77328A"/>
          <w:sz w:val="36"/>
          <w:szCs w:val="36"/>
        </w:rPr>
      </w:pPr>
    </w:p>
    <w:p w14:paraId="2F846E07" w14:textId="77777777" w:rsidR="001B7098" w:rsidRDefault="001B7098" w:rsidP="00331C61">
      <w:pPr>
        <w:pStyle w:val="BasicParagraph"/>
        <w:suppressAutoHyphens/>
        <w:jc w:val="center"/>
        <w:rPr>
          <w:rFonts w:ascii="Verdana" w:hAnsi="Verdana" w:cs="Arial"/>
          <w:b/>
          <w:bCs/>
          <w:color w:val="77328A"/>
          <w:sz w:val="36"/>
          <w:szCs w:val="36"/>
        </w:rPr>
      </w:pPr>
    </w:p>
    <w:p w14:paraId="24CA354B" w14:textId="77777777" w:rsidR="001B7098" w:rsidRDefault="001B7098" w:rsidP="00331C61">
      <w:pPr>
        <w:pStyle w:val="BasicParagraph"/>
        <w:suppressAutoHyphens/>
        <w:jc w:val="center"/>
        <w:rPr>
          <w:rFonts w:ascii="Verdana" w:hAnsi="Verdana" w:cs="Arial"/>
          <w:b/>
          <w:bCs/>
          <w:color w:val="77328A"/>
          <w:sz w:val="36"/>
          <w:szCs w:val="36"/>
        </w:rPr>
      </w:pPr>
    </w:p>
    <w:p w14:paraId="3B19ACF1" w14:textId="77777777" w:rsidR="001B7098" w:rsidRDefault="001B7098" w:rsidP="00331C61">
      <w:pPr>
        <w:pStyle w:val="BasicParagraph"/>
        <w:suppressAutoHyphens/>
        <w:jc w:val="center"/>
        <w:rPr>
          <w:rFonts w:ascii="Verdana" w:hAnsi="Verdana" w:cs="Arial"/>
          <w:b/>
          <w:bCs/>
          <w:color w:val="77328A"/>
          <w:sz w:val="36"/>
          <w:szCs w:val="36"/>
        </w:rPr>
      </w:pPr>
    </w:p>
    <w:p w14:paraId="71967F45" w14:textId="043C6A32" w:rsidR="001B7098" w:rsidRDefault="00EF1932">
      <w:pPr>
        <w:spacing w:line="240" w:lineRule="auto"/>
        <w:rPr>
          <w:rFonts w:cs="Arial"/>
          <w:b/>
          <w:color w:val="77328A"/>
          <w:sz w:val="36"/>
          <w:szCs w:val="36"/>
        </w:rPr>
      </w:pPr>
      <w:r>
        <w:rPr>
          <w:rFonts w:cs="Arial"/>
          <w:b/>
          <w:bCs/>
          <w:color w:val="77328A"/>
          <w:sz w:val="36"/>
          <w:szCs w:val="36"/>
        </w:rPr>
        <w:br w:type="page"/>
      </w:r>
    </w:p>
    <w:p w14:paraId="1CC2A03C" w14:textId="77777777" w:rsidR="001B7098" w:rsidRDefault="001B7098" w:rsidP="00331C61">
      <w:pPr>
        <w:pStyle w:val="BasicParagraph"/>
        <w:suppressAutoHyphens/>
        <w:jc w:val="center"/>
        <w:rPr>
          <w:rFonts w:ascii="Verdana" w:hAnsi="Verdana" w:cs="Arial"/>
          <w:b/>
          <w:bCs/>
          <w:color w:val="77328A"/>
          <w:sz w:val="36"/>
          <w:szCs w:val="36"/>
        </w:rPr>
      </w:pPr>
    </w:p>
    <w:p w14:paraId="75123EB1" w14:textId="77777777" w:rsidR="001B7098" w:rsidRDefault="001B7098" w:rsidP="00331C61">
      <w:pPr>
        <w:pStyle w:val="BasicParagraph"/>
        <w:suppressAutoHyphens/>
        <w:jc w:val="center"/>
        <w:rPr>
          <w:rFonts w:ascii="Verdana" w:hAnsi="Verdana" w:cs="Arial"/>
          <w:b/>
          <w:bCs/>
          <w:color w:val="77328A"/>
          <w:sz w:val="36"/>
          <w:szCs w:val="36"/>
        </w:rPr>
      </w:pPr>
    </w:p>
    <w:p w14:paraId="77FA8AC1" w14:textId="77777777" w:rsidR="001B7098" w:rsidRDefault="001B7098" w:rsidP="00331C61">
      <w:pPr>
        <w:pStyle w:val="BasicParagraph"/>
        <w:suppressAutoHyphens/>
        <w:jc w:val="center"/>
        <w:rPr>
          <w:rFonts w:ascii="Verdana" w:hAnsi="Verdana" w:cs="Arial"/>
          <w:b/>
          <w:bCs/>
          <w:color w:val="77328A"/>
          <w:sz w:val="36"/>
          <w:szCs w:val="36"/>
        </w:rPr>
      </w:pPr>
    </w:p>
    <w:p w14:paraId="507BD335" w14:textId="77777777" w:rsidR="001B7098" w:rsidRDefault="001B7098" w:rsidP="00331C61">
      <w:pPr>
        <w:pStyle w:val="BasicParagraph"/>
        <w:suppressAutoHyphens/>
        <w:jc w:val="center"/>
        <w:rPr>
          <w:rFonts w:ascii="Verdana" w:hAnsi="Verdana" w:cs="Arial"/>
          <w:b/>
          <w:bCs/>
          <w:color w:val="77328A"/>
          <w:sz w:val="36"/>
          <w:szCs w:val="36"/>
        </w:rPr>
      </w:pPr>
    </w:p>
    <w:p w14:paraId="381F2362" w14:textId="77777777" w:rsidR="001B7098" w:rsidRDefault="001B7098" w:rsidP="006F5536">
      <w:pPr>
        <w:pStyle w:val="BasicParagraph"/>
        <w:suppressAutoHyphens/>
        <w:rPr>
          <w:rFonts w:ascii="Verdana" w:hAnsi="Verdana" w:cs="Arial"/>
          <w:b/>
          <w:bCs/>
          <w:color w:val="77328A"/>
          <w:sz w:val="36"/>
          <w:szCs w:val="36"/>
        </w:rPr>
      </w:pPr>
    </w:p>
    <w:p w14:paraId="31F800AB" w14:textId="77777777" w:rsidR="001B7098" w:rsidRDefault="001B7098" w:rsidP="00331C61">
      <w:pPr>
        <w:pStyle w:val="BasicParagraph"/>
        <w:suppressAutoHyphens/>
        <w:jc w:val="center"/>
        <w:rPr>
          <w:rFonts w:ascii="Verdana" w:hAnsi="Verdana" w:cs="Arial"/>
          <w:b/>
          <w:bCs/>
          <w:color w:val="77328A"/>
          <w:sz w:val="36"/>
          <w:szCs w:val="36"/>
        </w:rPr>
      </w:pPr>
    </w:p>
    <w:p w14:paraId="7F1963B8" w14:textId="77777777" w:rsidR="001B7098" w:rsidRDefault="001B7098" w:rsidP="00331C61">
      <w:pPr>
        <w:pStyle w:val="BasicParagraph"/>
        <w:suppressAutoHyphens/>
        <w:jc w:val="center"/>
        <w:rPr>
          <w:rFonts w:ascii="Verdana" w:hAnsi="Verdana" w:cs="Arial"/>
          <w:b/>
          <w:bCs/>
          <w:color w:val="77328A"/>
          <w:sz w:val="36"/>
          <w:szCs w:val="36"/>
        </w:rPr>
      </w:pPr>
    </w:p>
    <w:p w14:paraId="66670BBA" w14:textId="77777777" w:rsidR="001B7098" w:rsidRDefault="001B7098" w:rsidP="00331C61">
      <w:pPr>
        <w:pStyle w:val="BasicParagraph"/>
        <w:suppressAutoHyphens/>
        <w:jc w:val="center"/>
        <w:rPr>
          <w:rFonts w:ascii="Verdana" w:hAnsi="Verdana" w:cs="Arial"/>
          <w:b/>
          <w:bCs/>
          <w:color w:val="77328A"/>
          <w:sz w:val="36"/>
          <w:szCs w:val="36"/>
        </w:rPr>
      </w:pPr>
    </w:p>
    <w:p w14:paraId="34197DAB" w14:textId="77777777" w:rsidR="001B7098" w:rsidRDefault="001B7098" w:rsidP="00331C61">
      <w:pPr>
        <w:pStyle w:val="BasicParagraph"/>
        <w:suppressAutoHyphens/>
        <w:jc w:val="center"/>
        <w:rPr>
          <w:rFonts w:ascii="Verdana" w:hAnsi="Verdana" w:cs="Arial"/>
          <w:b/>
          <w:bCs/>
          <w:color w:val="77328A"/>
          <w:sz w:val="36"/>
          <w:szCs w:val="36"/>
        </w:rPr>
      </w:pPr>
    </w:p>
    <w:p w14:paraId="00ECAD87" w14:textId="54ED6D9D" w:rsidR="00705833"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6EEEBE4B" w14:textId="77777777" w:rsidR="00ED6C60" w:rsidRPr="00331C61" w:rsidRDefault="00ED6C60" w:rsidP="00331C61">
      <w:pPr>
        <w:pStyle w:val="BasicParagraph"/>
        <w:suppressAutoHyphens/>
        <w:jc w:val="center"/>
        <w:rPr>
          <w:rFonts w:ascii="Verdana" w:hAnsi="Verdana" w:cs="Arial"/>
          <w:b/>
          <w:bCs/>
          <w:color w:val="77328A"/>
          <w:sz w:val="36"/>
          <w:szCs w:val="36"/>
        </w:rPr>
      </w:pPr>
    </w:p>
    <w:p w14:paraId="12C9D04A" w14:textId="77777777" w:rsidR="00331C61" w:rsidRPr="00331C61" w:rsidRDefault="00331C61" w:rsidP="00331C61">
      <w:pPr>
        <w:pStyle w:val="BasicParagraph"/>
        <w:suppressAutoHyphens/>
        <w:jc w:val="center"/>
        <w:rPr>
          <w:rFonts w:ascii="Verdana" w:hAnsi="Verdana" w:cs="Arial"/>
          <w:b/>
          <w:color w:val="77328A"/>
          <w:sz w:val="36"/>
          <w:szCs w:val="36"/>
        </w:rPr>
      </w:pPr>
    </w:p>
    <w:p w14:paraId="59379608" w14:textId="111DDF39" w:rsidR="00AE6245" w:rsidRDefault="00ED6C60" w:rsidP="00D52BCD">
      <w:pPr>
        <w:jc w:val="center"/>
        <w:rPr>
          <w:rStyle w:val="Hyperlink"/>
          <w:rFonts w:cs="Arial"/>
          <w:b/>
          <w:sz w:val="30"/>
          <w:szCs w:val="30"/>
        </w:rPr>
      </w:pPr>
      <w:r>
        <w:rPr>
          <w:rFonts w:cs="Arial"/>
          <w:b/>
          <w:color w:val="232120"/>
          <w:sz w:val="30"/>
          <w:szCs w:val="30"/>
        </w:rPr>
        <w:t xml:space="preserve">Any queries: </w:t>
      </w:r>
      <w:hyperlink r:id="rId12" w:history="1">
        <w:r w:rsidRPr="008536C6">
          <w:rPr>
            <w:rStyle w:val="Hyperlink"/>
            <w:rFonts w:cs="Arial"/>
            <w:b/>
            <w:sz w:val="30"/>
            <w:szCs w:val="30"/>
          </w:rPr>
          <w:t>Colin.Caughey@nihrc.org</w:t>
        </w:r>
      </w:hyperlink>
      <w:r w:rsidR="00B86500">
        <w:rPr>
          <w:rStyle w:val="Hyperlink"/>
          <w:rFonts w:cs="Arial"/>
          <w:b/>
          <w:sz w:val="30"/>
          <w:szCs w:val="30"/>
        </w:rPr>
        <w:t xml:space="preserve"> </w:t>
      </w:r>
    </w:p>
    <w:p w14:paraId="09343088" w14:textId="646CE44B" w:rsidR="000965E8" w:rsidRDefault="000965E8" w:rsidP="003B7D0E">
      <w:pPr>
        <w:jc w:val="center"/>
        <w:rPr>
          <w:rStyle w:val="Hyperlink"/>
          <w:rFonts w:cs="Arial"/>
          <w:b/>
          <w:sz w:val="30"/>
          <w:szCs w:val="30"/>
        </w:rPr>
      </w:pPr>
    </w:p>
    <w:p w14:paraId="69F8D602" w14:textId="77777777" w:rsidR="00331C61" w:rsidRPr="00331C61" w:rsidRDefault="00331C61" w:rsidP="003B7D0E">
      <w:pPr>
        <w:jc w:val="center"/>
        <w:rPr>
          <w:rFonts w:cs="Arial"/>
          <w:b/>
          <w:color w:val="232120"/>
          <w:sz w:val="30"/>
          <w:szCs w:val="30"/>
        </w:rPr>
      </w:pPr>
    </w:p>
    <w:p w14:paraId="0A36ED09" w14:textId="77777777" w:rsidR="00331C61" w:rsidRPr="00331C61" w:rsidRDefault="00331C61" w:rsidP="003B7D0E">
      <w:pPr>
        <w:jc w:val="center"/>
        <w:rPr>
          <w:rFonts w:cs="Arial"/>
          <w:b/>
          <w:color w:val="232120"/>
          <w:sz w:val="30"/>
          <w:szCs w:val="30"/>
        </w:rPr>
      </w:pPr>
    </w:p>
    <w:p w14:paraId="783031BB" w14:textId="77777777" w:rsidR="00331C61" w:rsidRPr="00331C61" w:rsidRDefault="00000000" w:rsidP="00331C61">
      <w:pPr>
        <w:jc w:val="center"/>
        <w:rPr>
          <w:rFonts w:cs="Arial"/>
          <w:color w:val="232120"/>
          <w:sz w:val="28"/>
          <w:szCs w:val="28"/>
        </w:rPr>
      </w:pPr>
      <w:hyperlink r:id="rId13"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4"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6BF0CD5D" w14:textId="77777777" w:rsidR="00F56C78" w:rsidRPr="00331C61" w:rsidRDefault="00D16532" w:rsidP="00331C61">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1003617F" w14:textId="77777777" w:rsidR="00F56C78" w:rsidRPr="00331C61" w:rsidRDefault="00F56C78" w:rsidP="003B7D0E">
      <w:pPr>
        <w:jc w:val="center"/>
        <w:rPr>
          <w:rFonts w:cs="Arial"/>
          <w:b/>
          <w:color w:val="232120"/>
          <w:sz w:val="28"/>
          <w:szCs w:val="28"/>
        </w:rPr>
      </w:pPr>
    </w:p>
    <w:p w14:paraId="6CC01096" w14:textId="77777777" w:rsidR="00F56C78" w:rsidRPr="00331C61" w:rsidRDefault="00F56C78" w:rsidP="003B7D0E">
      <w:pPr>
        <w:jc w:val="center"/>
        <w:rPr>
          <w:rFonts w:cs="Arial"/>
          <w:color w:val="232120"/>
          <w:sz w:val="20"/>
          <w:szCs w:val="20"/>
        </w:rPr>
      </w:pPr>
    </w:p>
    <w:p w14:paraId="1F494753"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DAB86ED" wp14:editId="1829EE4E">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B15C27">
      <w:footerReference w:type="default" r:id="rId16"/>
      <w:footerReference w:type="first" r:id="rId17"/>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77C2B" w14:textId="77777777" w:rsidR="00717B9D" w:rsidRDefault="00717B9D" w:rsidP="00962B2B">
      <w:r>
        <w:separator/>
      </w:r>
    </w:p>
  </w:endnote>
  <w:endnote w:type="continuationSeparator" w:id="0">
    <w:p w14:paraId="75FD302C" w14:textId="77777777" w:rsidR="00717B9D" w:rsidRDefault="00717B9D" w:rsidP="00962B2B">
      <w:r>
        <w:continuationSeparator/>
      </w:r>
    </w:p>
  </w:endnote>
  <w:endnote w:type="continuationNotice" w:id="1">
    <w:p w14:paraId="38509E88" w14:textId="77777777" w:rsidR="00717B9D" w:rsidRDefault="00717B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altName w:val="Times New Roman"/>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B5D15" w14:textId="1B67B776" w:rsidR="00D2770F" w:rsidRDefault="00D2770F" w:rsidP="00656ECD">
    <w:pPr>
      <w:pStyle w:val="Footer"/>
      <w:jc w:val="right"/>
      <w:rPr>
        <w:rStyle w:val="PageNumber"/>
        <w:rFonts w:ascii="Arial" w:hAnsi="Arial" w:cs="Arial"/>
        <w:b/>
        <w:sz w:val="16"/>
        <w:szCs w:val="16"/>
      </w:rPr>
    </w:pPr>
  </w:p>
  <w:p w14:paraId="5B7EE6BD" w14:textId="77777777" w:rsidR="00D2770F" w:rsidRPr="00ED6C60" w:rsidRDefault="00D2770F" w:rsidP="00656ECD">
    <w:pPr>
      <w:pStyle w:val="Footer"/>
      <w:jc w:val="right"/>
      <w:rPr>
        <w:rFonts w:cs="Arial"/>
        <w:bCs/>
        <w:color w:val="77328A"/>
      </w:rPr>
    </w:pPr>
    <w:r w:rsidRPr="00ED6C60">
      <w:rPr>
        <w:rStyle w:val="PageNumber"/>
        <w:rFonts w:cs="Arial"/>
        <w:bCs/>
        <w:color w:val="77328A"/>
      </w:rPr>
      <w:fldChar w:fldCharType="begin"/>
    </w:r>
    <w:r w:rsidRPr="00ED6C60">
      <w:rPr>
        <w:rStyle w:val="PageNumber"/>
        <w:rFonts w:cs="Arial"/>
        <w:bCs/>
        <w:color w:val="77328A"/>
      </w:rPr>
      <w:instrText xml:space="preserve"> PAGE </w:instrText>
    </w:r>
    <w:r w:rsidRPr="00ED6C60">
      <w:rPr>
        <w:rStyle w:val="PageNumber"/>
        <w:rFonts w:cs="Arial"/>
        <w:bCs/>
        <w:color w:val="77328A"/>
      </w:rPr>
      <w:fldChar w:fldCharType="separate"/>
    </w:r>
    <w:r w:rsidR="00801600" w:rsidRPr="00ED6C60">
      <w:rPr>
        <w:rStyle w:val="PageNumber"/>
        <w:rFonts w:cs="Arial"/>
        <w:bCs/>
        <w:noProof/>
        <w:color w:val="77328A"/>
      </w:rPr>
      <w:t>2</w:t>
    </w:r>
    <w:r w:rsidRPr="00ED6C60">
      <w:rPr>
        <w:rStyle w:val="PageNumber"/>
        <w:rFonts w:cs="Arial"/>
        <w:bCs/>
        <w:color w:val="77328A"/>
      </w:rPr>
      <w:fldChar w:fldCharType="end"/>
    </w:r>
  </w:p>
  <w:p w14:paraId="491EB07A" w14:textId="77777777" w:rsidR="00631B98" w:rsidRDefault="00631B98"/>
  <w:p w14:paraId="4AEF8B6F" w14:textId="77777777" w:rsidR="00631B98" w:rsidRDefault="00631B98"/>
  <w:p w14:paraId="7E52E4AE" w14:textId="77777777" w:rsidR="00631B98" w:rsidRDefault="00631B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A86CB" w14:textId="5572C34E" w:rsidR="00D2770F" w:rsidRDefault="00D2770F" w:rsidP="00046705">
    <w:pPr>
      <w:pStyle w:val="Footer"/>
      <w:jc w:val="right"/>
      <w:rPr>
        <w:rStyle w:val="PageNumber"/>
        <w:rFonts w:ascii="Arial" w:hAnsi="Arial" w:cs="Arial"/>
        <w:b/>
        <w:sz w:val="16"/>
        <w:szCs w:val="16"/>
      </w:rPr>
    </w:pPr>
  </w:p>
  <w:p w14:paraId="29E1E1C1"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343A4" w14:textId="77777777" w:rsidR="00717B9D" w:rsidRDefault="00717B9D" w:rsidP="00B96D34">
      <w:r>
        <w:continuationSeparator/>
      </w:r>
    </w:p>
    <w:p w14:paraId="02369D29" w14:textId="77777777" w:rsidR="00717B9D" w:rsidRPr="00B96D34" w:rsidRDefault="00717B9D" w:rsidP="00B96D34">
      <w:pPr>
        <w:pStyle w:val="Footer"/>
      </w:pPr>
    </w:p>
  </w:footnote>
  <w:footnote w:type="continuationSeparator" w:id="0">
    <w:p w14:paraId="6C8C052E" w14:textId="77777777" w:rsidR="00717B9D" w:rsidRDefault="00717B9D" w:rsidP="00962B2B">
      <w:r>
        <w:continuationSeparator/>
      </w:r>
    </w:p>
  </w:footnote>
  <w:footnote w:type="continuationNotice" w:id="1">
    <w:p w14:paraId="352AFE0F" w14:textId="77777777" w:rsidR="00717B9D" w:rsidRDefault="00717B9D"/>
  </w:footnote>
  <w:footnote w:id="2">
    <w:p w14:paraId="43A76CFF" w14:textId="5384BDDB" w:rsidR="005C30ED" w:rsidRPr="003A3C94" w:rsidRDefault="005C30ED" w:rsidP="00A22E1F">
      <w:pPr>
        <w:pStyle w:val="NIHRCFootnotes"/>
      </w:pPr>
      <w:r w:rsidRPr="003A3C94">
        <w:rPr>
          <w:rStyle w:val="FootnoteReference"/>
        </w:rPr>
        <w:footnoteRef/>
      </w:r>
      <w:r w:rsidRPr="003A3C94">
        <w:t xml:space="preserve"> The Windsor Framework was formerly known as the Protocol on Ireland/Northern Ireland to the UK-EU Withdrawal Agreement and all references to the Protocol in this document have been updated to reflect this change. </w:t>
      </w:r>
      <w:r w:rsidR="00513FA0" w:rsidRPr="003A3C94">
        <w:rPr>
          <w:i/>
          <w:iCs/>
        </w:rPr>
        <w:t xml:space="preserve">See </w:t>
      </w:r>
      <w:r w:rsidRPr="003A3C94">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52D433C6" w14:textId="3D8455A3" w:rsidR="002F67D4" w:rsidRPr="003A3C94" w:rsidRDefault="002F67D4">
      <w:pPr>
        <w:pStyle w:val="FootnoteText"/>
        <w:rPr>
          <w:color w:val="77328A"/>
          <w:sz w:val="16"/>
          <w:szCs w:val="16"/>
        </w:rPr>
      </w:pPr>
      <w:r w:rsidRPr="003A3C94">
        <w:rPr>
          <w:rStyle w:val="FootnoteReference"/>
          <w:color w:val="77328A"/>
          <w:sz w:val="16"/>
          <w:szCs w:val="16"/>
        </w:rPr>
        <w:footnoteRef/>
      </w:r>
      <w:r w:rsidRPr="003A3C94">
        <w:rPr>
          <w:color w:val="77328A"/>
          <w:sz w:val="16"/>
          <w:szCs w:val="16"/>
        </w:rPr>
        <w:t xml:space="preserve"> </w:t>
      </w:r>
      <w:r w:rsidR="005F658D" w:rsidRPr="003A3C94">
        <w:rPr>
          <w:color w:val="77328A"/>
          <w:sz w:val="16"/>
          <w:szCs w:val="16"/>
        </w:rPr>
        <w:t>Ministry of Justice, ‘The</w:t>
      </w:r>
      <w:r w:rsidR="000C223F" w:rsidRPr="003A3C94">
        <w:rPr>
          <w:color w:val="77328A"/>
          <w:sz w:val="16"/>
          <w:szCs w:val="16"/>
        </w:rPr>
        <w:t xml:space="preserve"> Human Rights Act 1998: the Definition of “Public Authority - Government Response to the Joint Committee on Human Rights’ Ninth Report of Session 2006-07’ (MoJ, 2009), a</w:t>
      </w:r>
      <w:r w:rsidR="005F658D" w:rsidRPr="003A3C94">
        <w:rPr>
          <w:color w:val="77328A"/>
          <w:sz w:val="16"/>
          <w:szCs w:val="16"/>
        </w:rPr>
        <w:t>t 11.</w:t>
      </w:r>
    </w:p>
  </w:footnote>
  <w:footnote w:id="4">
    <w:p w14:paraId="3AC9B682" w14:textId="77777777" w:rsidR="00FA66EF" w:rsidRPr="003A3C94" w:rsidRDefault="00FA66EF" w:rsidP="00FA66EF">
      <w:pPr>
        <w:pStyle w:val="FootnoteText"/>
        <w:spacing w:line="240" w:lineRule="auto"/>
        <w:rPr>
          <w:color w:val="77328A"/>
          <w:sz w:val="16"/>
          <w:szCs w:val="16"/>
        </w:rPr>
      </w:pPr>
      <w:r w:rsidRPr="003A3C94">
        <w:rPr>
          <w:rStyle w:val="FootnoteReference"/>
          <w:color w:val="77328A"/>
          <w:sz w:val="16"/>
          <w:szCs w:val="16"/>
        </w:rPr>
        <w:footnoteRef/>
      </w:r>
      <w:r w:rsidRPr="003A3C94">
        <w:rPr>
          <w:color w:val="77328A"/>
          <w:sz w:val="16"/>
          <w:szCs w:val="16"/>
        </w:rPr>
        <w:t xml:space="preserve"> </w:t>
      </w:r>
      <w:r w:rsidRPr="003A3C94">
        <w:rPr>
          <w:i/>
          <w:color w:val="77328A"/>
          <w:sz w:val="16"/>
          <w:szCs w:val="16"/>
        </w:rPr>
        <w:t>Leyla Şahin v Turkey</w:t>
      </w:r>
      <w:r w:rsidRPr="003A3C94">
        <w:rPr>
          <w:color w:val="77328A"/>
          <w:sz w:val="16"/>
          <w:szCs w:val="16"/>
        </w:rPr>
        <w:t xml:space="preserve"> (2004) ECHR 299, at para 137.</w:t>
      </w:r>
    </w:p>
  </w:footnote>
  <w:footnote w:id="5">
    <w:p w14:paraId="676B7CE1" w14:textId="77777777" w:rsidR="00FA66EF" w:rsidRPr="003A3C94" w:rsidRDefault="00FA66EF" w:rsidP="00FA66EF">
      <w:pPr>
        <w:pStyle w:val="FootnoteText"/>
        <w:spacing w:line="240" w:lineRule="auto"/>
        <w:rPr>
          <w:color w:val="77328A"/>
          <w:sz w:val="16"/>
          <w:szCs w:val="16"/>
        </w:rPr>
      </w:pPr>
      <w:r w:rsidRPr="003A3C94">
        <w:rPr>
          <w:rStyle w:val="FootnoteReference"/>
          <w:color w:val="77328A"/>
          <w:sz w:val="16"/>
          <w:szCs w:val="16"/>
        </w:rPr>
        <w:footnoteRef/>
      </w:r>
      <w:r w:rsidRPr="003A3C94">
        <w:rPr>
          <w:color w:val="77328A"/>
          <w:sz w:val="16"/>
          <w:szCs w:val="16"/>
        </w:rPr>
        <w:t xml:space="preserve"> </w:t>
      </w:r>
      <w:r w:rsidRPr="003A3C94">
        <w:rPr>
          <w:i/>
          <w:color w:val="77328A"/>
          <w:sz w:val="16"/>
          <w:szCs w:val="16"/>
        </w:rPr>
        <w:t xml:space="preserve">Catan and Others v Moldova and Russia </w:t>
      </w:r>
      <w:r w:rsidRPr="003A3C94">
        <w:rPr>
          <w:color w:val="77328A"/>
          <w:sz w:val="16"/>
          <w:szCs w:val="16"/>
        </w:rPr>
        <w:t xml:space="preserve">(2012) ECHR 1827; </w:t>
      </w:r>
      <w:r w:rsidRPr="003A3C94">
        <w:rPr>
          <w:i/>
          <w:color w:val="77328A"/>
          <w:sz w:val="16"/>
          <w:szCs w:val="16"/>
        </w:rPr>
        <w:t>Cyprus v Turkey</w:t>
      </w:r>
      <w:r w:rsidRPr="003A3C94">
        <w:rPr>
          <w:color w:val="77328A"/>
          <w:sz w:val="16"/>
          <w:szCs w:val="16"/>
        </w:rPr>
        <w:t xml:space="preserve"> (2001) ECHR 331, at para 278; </w:t>
      </w:r>
      <w:r w:rsidRPr="003A3C94">
        <w:rPr>
          <w:i/>
          <w:color w:val="77328A"/>
          <w:sz w:val="16"/>
          <w:szCs w:val="16"/>
        </w:rPr>
        <w:t>Leyla Şahin v Turkey</w:t>
      </w:r>
      <w:r w:rsidRPr="003A3C94">
        <w:rPr>
          <w:color w:val="77328A"/>
          <w:sz w:val="16"/>
          <w:szCs w:val="16"/>
        </w:rPr>
        <w:t xml:space="preserve"> (2004) ECHR 299, at para 137.</w:t>
      </w:r>
    </w:p>
  </w:footnote>
  <w:footnote w:id="6">
    <w:p w14:paraId="79DCA1E5" w14:textId="77777777" w:rsidR="00FA66EF" w:rsidRPr="003A3C94" w:rsidRDefault="00FA66EF" w:rsidP="00FA66EF">
      <w:pPr>
        <w:pStyle w:val="FootnoteText"/>
        <w:spacing w:line="240" w:lineRule="auto"/>
        <w:rPr>
          <w:color w:val="77328A"/>
          <w:sz w:val="16"/>
          <w:szCs w:val="16"/>
        </w:rPr>
      </w:pPr>
      <w:r w:rsidRPr="003A3C94">
        <w:rPr>
          <w:rStyle w:val="FootnoteReference"/>
          <w:color w:val="77328A"/>
          <w:sz w:val="16"/>
          <w:szCs w:val="16"/>
        </w:rPr>
        <w:footnoteRef/>
      </w:r>
      <w:r w:rsidRPr="003A3C94">
        <w:rPr>
          <w:color w:val="77328A"/>
          <w:sz w:val="16"/>
          <w:szCs w:val="16"/>
        </w:rPr>
        <w:t xml:space="preserve"> Ibid, at para 55.</w:t>
      </w:r>
    </w:p>
  </w:footnote>
  <w:footnote w:id="7">
    <w:p w14:paraId="478F326D" w14:textId="77777777" w:rsidR="005D749A" w:rsidRPr="003A3C94" w:rsidRDefault="005D749A" w:rsidP="005D749A">
      <w:pPr>
        <w:pStyle w:val="NIHRCFootnotes"/>
      </w:pPr>
      <w:r w:rsidRPr="003A3C94">
        <w:rPr>
          <w:rStyle w:val="FootnoteReference"/>
        </w:rPr>
        <w:footnoteRef/>
      </w:r>
      <w:r w:rsidRPr="003A3C94">
        <w:t xml:space="preserve"> Article 14, Vienna Convention on the Law of Treaties 1969.</w:t>
      </w:r>
    </w:p>
  </w:footnote>
  <w:footnote w:id="8">
    <w:p w14:paraId="5F4CB8C7" w14:textId="3FFA8189" w:rsidR="00704D91" w:rsidRPr="003A3C94" w:rsidRDefault="00704D91" w:rsidP="00704D91">
      <w:pPr>
        <w:pStyle w:val="FootnoteText"/>
        <w:spacing w:line="240" w:lineRule="auto"/>
        <w:rPr>
          <w:color w:val="77328A"/>
          <w:sz w:val="16"/>
          <w:szCs w:val="16"/>
        </w:rPr>
      </w:pPr>
      <w:r w:rsidRPr="003A3C94">
        <w:rPr>
          <w:rStyle w:val="FootnoteReference"/>
          <w:color w:val="77328A"/>
          <w:sz w:val="16"/>
          <w:szCs w:val="16"/>
        </w:rPr>
        <w:footnoteRef/>
      </w:r>
      <w:r w:rsidRPr="003A3C94">
        <w:rPr>
          <w:color w:val="77328A"/>
          <w:sz w:val="16"/>
          <w:szCs w:val="16"/>
        </w:rPr>
        <w:t xml:space="preserve"> E/C.12/1999/10, ‘UN ICESCR Committee General Comment No 13: Right to Education’, 8 December 1999, at para 3</w:t>
      </w:r>
      <w:r w:rsidR="009045DD">
        <w:rPr>
          <w:color w:val="77328A"/>
          <w:sz w:val="16"/>
          <w:szCs w:val="16"/>
        </w:rPr>
        <w:t>1.</w:t>
      </w:r>
    </w:p>
  </w:footnote>
  <w:footnote w:id="9">
    <w:p w14:paraId="7F432BFF" w14:textId="77777777" w:rsidR="00630B55" w:rsidRPr="003A3C94" w:rsidRDefault="00630B55" w:rsidP="00630B55">
      <w:pPr>
        <w:pStyle w:val="FootnoteText"/>
        <w:spacing w:line="240" w:lineRule="auto"/>
        <w:rPr>
          <w:color w:val="77328A"/>
          <w:sz w:val="16"/>
          <w:szCs w:val="16"/>
        </w:rPr>
      </w:pPr>
      <w:r w:rsidRPr="003A3C94">
        <w:rPr>
          <w:rStyle w:val="FootnoteReference"/>
          <w:color w:val="77328A"/>
          <w:sz w:val="16"/>
          <w:szCs w:val="16"/>
        </w:rPr>
        <w:footnoteRef/>
      </w:r>
      <w:r w:rsidRPr="003A3C94">
        <w:rPr>
          <w:color w:val="77328A"/>
          <w:sz w:val="16"/>
          <w:szCs w:val="16"/>
        </w:rPr>
        <w:t xml:space="preserve"> E/C.12/1999/10, ‘UN ICESCR Committee General Comment No 13: Right to Education’, 8 December 1999, at para 31-32. </w:t>
      </w:r>
    </w:p>
  </w:footnote>
  <w:footnote w:id="10">
    <w:p w14:paraId="4EFBC940" w14:textId="77777777" w:rsidR="00630B55" w:rsidRPr="003A3C94" w:rsidRDefault="00630B55" w:rsidP="00630B55">
      <w:pPr>
        <w:pStyle w:val="FootnoteText"/>
        <w:spacing w:line="240" w:lineRule="auto"/>
        <w:rPr>
          <w:color w:val="77328A"/>
          <w:sz w:val="16"/>
          <w:szCs w:val="16"/>
        </w:rPr>
      </w:pPr>
      <w:r w:rsidRPr="003A3C94">
        <w:rPr>
          <w:rStyle w:val="FootnoteReference"/>
          <w:color w:val="77328A"/>
          <w:sz w:val="16"/>
          <w:szCs w:val="16"/>
        </w:rPr>
        <w:footnoteRef/>
      </w:r>
      <w:r w:rsidRPr="003A3C94">
        <w:rPr>
          <w:color w:val="77328A"/>
          <w:sz w:val="16"/>
          <w:szCs w:val="16"/>
        </w:rPr>
        <w:t xml:space="preserve"> Ibid, at para 6.</w:t>
      </w:r>
    </w:p>
  </w:footnote>
  <w:footnote w:id="11">
    <w:p w14:paraId="2C648095" w14:textId="77777777" w:rsidR="00630B55" w:rsidRPr="003A3C94" w:rsidRDefault="00630B55" w:rsidP="00630B55">
      <w:pPr>
        <w:pStyle w:val="FootnoteText"/>
        <w:spacing w:line="240" w:lineRule="auto"/>
        <w:rPr>
          <w:color w:val="77328A"/>
          <w:sz w:val="16"/>
          <w:szCs w:val="16"/>
        </w:rPr>
      </w:pPr>
      <w:r w:rsidRPr="003A3C94">
        <w:rPr>
          <w:rStyle w:val="FootnoteReference"/>
          <w:color w:val="77328A"/>
          <w:sz w:val="16"/>
          <w:szCs w:val="16"/>
        </w:rPr>
        <w:footnoteRef/>
      </w:r>
      <w:r w:rsidRPr="003A3C94">
        <w:rPr>
          <w:color w:val="77328A"/>
          <w:sz w:val="16"/>
          <w:szCs w:val="16"/>
        </w:rPr>
        <w:t xml:space="preserve"> Ibid, at para 6(a).</w:t>
      </w:r>
    </w:p>
  </w:footnote>
  <w:footnote w:id="12">
    <w:p w14:paraId="26A58FEC" w14:textId="77777777" w:rsidR="00630B55" w:rsidRPr="003A3C94" w:rsidRDefault="00630B55" w:rsidP="00630B55">
      <w:pPr>
        <w:pStyle w:val="FootnoteText"/>
        <w:spacing w:line="240" w:lineRule="auto"/>
        <w:rPr>
          <w:color w:val="77328A"/>
          <w:sz w:val="16"/>
          <w:szCs w:val="16"/>
        </w:rPr>
      </w:pPr>
      <w:r w:rsidRPr="003A3C94">
        <w:rPr>
          <w:rStyle w:val="FootnoteReference"/>
          <w:color w:val="77328A"/>
          <w:sz w:val="16"/>
          <w:szCs w:val="16"/>
        </w:rPr>
        <w:footnoteRef/>
      </w:r>
      <w:r w:rsidRPr="003A3C94">
        <w:rPr>
          <w:color w:val="77328A"/>
          <w:sz w:val="16"/>
          <w:szCs w:val="16"/>
        </w:rPr>
        <w:t xml:space="preserve"> Ibid, at para 6(b)(</w:t>
      </w:r>
      <w:proofErr w:type="spellStart"/>
      <w:r w:rsidRPr="003A3C94">
        <w:rPr>
          <w:color w:val="77328A"/>
          <w:sz w:val="16"/>
          <w:szCs w:val="16"/>
        </w:rPr>
        <w:t>i</w:t>
      </w:r>
      <w:proofErr w:type="spellEnd"/>
      <w:r w:rsidRPr="003A3C94">
        <w:rPr>
          <w:color w:val="77328A"/>
          <w:sz w:val="16"/>
          <w:szCs w:val="16"/>
        </w:rPr>
        <w:t>).</w:t>
      </w:r>
    </w:p>
  </w:footnote>
  <w:footnote w:id="13">
    <w:p w14:paraId="388F28A0" w14:textId="77777777" w:rsidR="00630B55" w:rsidRPr="003A3C94" w:rsidRDefault="00630B55" w:rsidP="00630B55">
      <w:pPr>
        <w:pStyle w:val="FootnoteText"/>
        <w:spacing w:line="240" w:lineRule="auto"/>
        <w:rPr>
          <w:color w:val="77328A"/>
          <w:sz w:val="16"/>
          <w:szCs w:val="16"/>
        </w:rPr>
      </w:pPr>
      <w:r w:rsidRPr="003A3C94">
        <w:rPr>
          <w:rStyle w:val="FootnoteReference"/>
          <w:color w:val="77328A"/>
          <w:sz w:val="16"/>
          <w:szCs w:val="16"/>
        </w:rPr>
        <w:footnoteRef/>
      </w:r>
      <w:r w:rsidRPr="003A3C94">
        <w:rPr>
          <w:color w:val="77328A"/>
          <w:sz w:val="16"/>
          <w:szCs w:val="16"/>
        </w:rPr>
        <w:t xml:space="preserve"> Ibid, at para 6(b)(ii).</w:t>
      </w:r>
    </w:p>
  </w:footnote>
  <w:footnote w:id="14">
    <w:p w14:paraId="67165E6F" w14:textId="77777777" w:rsidR="00630B55" w:rsidRPr="003A3C94" w:rsidRDefault="00630B55" w:rsidP="00630B55">
      <w:pPr>
        <w:pStyle w:val="FootnoteText"/>
        <w:spacing w:line="240" w:lineRule="auto"/>
        <w:rPr>
          <w:color w:val="77328A"/>
          <w:sz w:val="16"/>
          <w:szCs w:val="16"/>
        </w:rPr>
      </w:pPr>
      <w:r w:rsidRPr="003A3C94">
        <w:rPr>
          <w:rStyle w:val="FootnoteReference"/>
          <w:color w:val="77328A"/>
          <w:sz w:val="16"/>
          <w:szCs w:val="16"/>
        </w:rPr>
        <w:footnoteRef/>
      </w:r>
      <w:r w:rsidRPr="003A3C94">
        <w:rPr>
          <w:color w:val="77328A"/>
          <w:sz w:val="16"/>
          <w:szCs w:val="16"/>
        </w:rPr>
        <w:t xml:space="preserve"> Ibid, at para 6(b)(iii).</w:t>
      </w:r>
    </w:p>
  </w:footnote>
  <w:footnote w:id="15">
    <w:p w14:paraId="6031C022" w14:textId="77777777" w:rsidR="00630B55" w:rsidRPr="003A3C94" w:rsidRDefault="00630B55" w:rsidP="00630B55">
      <w:pPr>
        <w:pStyle w:val="FootnoteText"/>
        <w:spacing w:line="240" w:lineRule="auto"/>
        <w:rPr>
          <w:color w:val="77328A"/>
          <w:sz w:val="16"/>
          <w:szCs w:val="16"/>
        </w:rPr>
      </w:pPr>
      <w:r w:rsidRPr="003A3C94">
        <w:rPr>
          <w:rStyle w:val="FootnoteReference"/>
          <w:color w:val="77328A"/>
          <w:sz w:val="16"/>
          <w:szCs w:val="16"/>
        </w:rPr>
        <w:footnoteRef/>
      </w:r>
      <w:r w:rsidRPr="003A3C94">
        <w:rPr>
          <w:color w:val="77328A"/>
          <w:sz w:val="16"/>
          <w:szCs w:val="16"/>
        </w:rPr>
        <w:t xml:space="preserve"> Ibid, at para 6(c).</w:t>
      </w:r>
    </w:p>
  </w:footnote>
  <w:footnote w:id="16">
    <w:p w14:paraId="6FA4C332" w14:textId="77777777" w:rsidR="00630B55" w:rsidRPr="003A3C94" w:rsidRDefault="00630B55" w:rsidP="00630B55">
      <w:pPr>
        <w:pStyle w:val="FootnoteText"/>
        <w:spacing w:line="240" w:lineRule="auto"/>
        <w:rPr>
          <w:color w:val="77328A"/>
          <w:sz w:val="16"/>
          <w:szCs w:val="16"/>
        </w:rPr>
      </w:pPr>
      <w:r w:rsidRPr="003A3C94">
        <w:rPr>
          <w:rStyle w:val="FootnoteReference"/>
          <w:color w:val="77328A"/>
          <w:sz w:val="16"/>
          <w:szCs w:val="16"/>
        </w:rPr>
        <w:footnoteRef/>
      </w:r>
      <w:r w:rsidRPr="003A3C94">
        <w:rPr>
          <w:color w:val="77328A"/>
          <w:sz w:val="16"/>
          <w:szCs w:val="16"/>
        </w:rPr>
        <w:t xml:space="preserve"> Ibid, at para 6(d).</w:t>
      </w:r>
    </w:p>
  </w:footnote>
  <w:footnote w:id="17">
    <w:p w14:paraId="407A5B95" w14:textId="569B3E97" w:rsidR="00525B76" w:rsidRPr="0040651D" w:rsidRDefault="00525B76">
      <w:pPr>
        <w:pStyle w:val="FootnoteText"/>
        <w:rPr>
          <w:sz w:val="16"/>
          <w:szCs w:val="16"/>
          <w:vertAlign w:val="superscript"/>
        </w:rPr>
      </w:pPr>
      <w:r w:rsidRPr="0040651D">
        <w:rPr>
          <w:rStyle w:val="FootnoteReference"/>
          <w:color w:val="77328A"/>
          <w:sz w:val="16"/>
          <w:szCs w:val="16"/>
        </w:rPr>
        <w:footnoteRef/>
      </w:r>
      <w:r w:rsidRPr="0040651D">
        <w:rPr>
          <w:color w:val="77328A"/>
          <w:sz w:val="16"/>
          <w:szCs w:val="16"/>
        </w:rPr>
        <w:t xml:space="preserve"> </w:t>
      </w:r>
      <w:r w:rsidR="0040651D" w:rsidRPr="0040651D">
        <w:rPr>
          <w:color w:val="77328A"/>
          <w:sz w:val="16"/>
          <w:szCs w:val="16"/>
        </w:rPr>
        <w:t>E/C.12/1999/10, ‘UN CESCR Committee General Comment No 13: The Right to Education’, 8 December 1999, at para 1; CRC/C/GC/7/Rev.1, ‘UN CRC Committee General Comment No 7: Implementing Child Rights in Early Childhood’, 20</w:t>
      </w:r>
      <w:r w:rsidR="0040651D" w:rsidRPr="0040651D">
        <w:rPr>
          <w:color w:val="77328A"/>
          <w:sz w:val="16"/>
          <w:szCs w:val="16"/>
          <w:vertAlign w:val="superscript"/>
        </w:rPr>
        <w:t xml:space="preserve"> </w:t>
      </w:r>
      <w:r w:rsidR="0040651D" w:rsidRPr="0040651D">
        <w:rPr>
          <w:color w:val="77328A"/>
          <w:sz w:val="16"/>
          <w:szCs w:val="16"/>
        </w:rPr>
        <w:t>September 2006, para. 30.</w:t>
      </w:r>
    </w:p>
  </w:footnote>
  <w:footnote w:id="18">
    <w:p w14:paraId="5A2103FA" w14:textId="6F6D7207" w:rsidR="00EF352E" w:rsidRPr="005954AA" w:rsidRDefault="00EF352E">
      <w:pPr>
        <w:pStyle w:val="FootnoteText"/>
        <w:rPr>
          <w:color w:val="77328A"/>
          <w:sz w:val="16"/>
          <w:szCs w:val="16"/>
        </w:rPr>
      </w:pPr>
      <w:r w:rsidRPr="005954AA">
        <w:rPr>
          <w:rStyle w:val="FootnoteReference"/>
          <w:color w:val="77328A"/>
          <w:sz w:val="16"/>
          <w:szCs w:val="16"/>
        </w:rPr>
        <w:footnoteRef/>
      </w:r>
      <w:r w:rsidRPr="005954AA">
        <w:rPr>
          <w:color w:val="77328A"/>
          <w:sz w:val="16"/>
          <w:szCs w:val="16"/>
        </w:rPr>
        <w:t xml:space="preserve"> </w:t>
      </w:r>
      <w:r w:rsidR="005954AA" w:rsidRPr="005954AA">
        <w:rPr>
          <w:color w:val="77328A"/>
          <w:sz w:val="16"/>
          <w:szCs w:val="16"/>
        </w:rPr>
        <w:t>E/C.12/1999/10, ‘UN CESCR Committee General Comment No 13: The Right to Education’, 8 December 1999, at para 1.</w:t>
      </w:r>
    </w:p>
  </w:footnote>
  <w:footnote w:id="19">
    <w:p w14:paraId="17F498D7" w14:textId="2C8760B5" w:rsidR="00EF352E" w:rsidRPr="005954AA" w:rsidRDefault="00EF352E" w:rsidP="005954AA">
      <w:pPr>
        <w:pStyle w:val="FootnoteText"/>
        <w:rPr>
          <w:color w:val="77328A"/>
          <w:sz w:val="16"/>
          <w:szCs w:val="16"/>
          <w:vertAlign w:val="superscript"/>
        </w:rPr>
      </w:pPr>
      <w:r w:rsidRPr="005954AA">
        <w:rPr>
          <w:rStyle w:val="FootnoteReference"/>
          <w:color w:val="77328A"/>
          <w:sz w:val="16"/>
          <w:szCs w:val="16"/>
        </w:rPr>
        <w:footnoteRef/>
      </w:r>
      <w:r w:rsidRPr="005954AA">
        <w:rPr>
          <w:color w:val="77328A"/>
          <w:sz w:val="16"/>
          <w:szCs w:val="16"/>
        </w:rPr>
        <w:t xml:space="preserve"> </w:t>
      </w:r>
      <w:r w:rsidR="005954AA" w:rsidRPr="005954AA">
        <w:rPr>
          <w:color w:val="77328A"/>
          <w:sz w:val="16"/>
          <w:szCs w:val="16"/>
        </w:rPr>
        <w:t>OHCHR, ‘Frequently asked questions on a human rights-based approach to development cooperation’, (OHCHR, 11).</w:t>
      </w:r>
    </w:p>
  </w:footnote>
  <w:footnote w:id="20">
    <w:p w14:paraId="1DC8D4BF" w14:textId="51CBA781" w:rsidR="004E6ADF" w:rsidRPr="005A1224" w:rsidRDefault="004E6ADF" w:rsidP="00857BC1">
      <w:pPr>
        <w:pStyle w:val="FootnoteText"/>
        <w:rPr>
          <w:vertAlign w:val="superscript"/>
        </w:rPr>
      </w:pPr>
      <w:r w:rsidRPr="005954AA">
        <w:rPr>
          <w:rStyle w:val="FootnoteReference"/>
          <w:color w:val="77328A"/>
          <w:sz w:val="16"/>
          <w:szCs w:val="16"/>
        </w:rPr>
        <w:footnoteRef/>
      </w:r>
      <w:r w:rsidR="00857BC1" w:rsidRPr="005954AA">
        <w:rPr>
          <w:color w:val="77328A"/>
          <w:sz w:val="16"/>
          <w:szCs w:val="16"/>
        </w:rPr>
        <w:t xml:space="preserve"> </w:t>
      </w:r>
      <w:r w:rsidR="005A1224" w:rsidRPr="005954AA">
        <w:rPr>
          <w:color w:val="77328A"/>
          <w:sz w:val="16"/>
          <w:szCs w:val="16"/>
        </w:rPr>
        <w:t>E/C.12/1999/10, ‘UN CESCR Committee General Comment No 13: The Right to Education’, 8 December 1999, at par</w:t>
      </w:r>
      <w:r w:rsidR="00857BC1" w:rsidRPr="005954AA">
        <w:rPr>
          <w:color w:val="77328A"/>
          <w:sz w:val="16"/>
          <w:szCs w:val="16"/>
        </w:rPr>
        <w:t>a 1.</w:t>
      </w:r>
    </w:p>
  </w:footnote>
  <w:footnote w:id="21">
    <w:p w14:paraId="4111F868" w14:textId="77777777" w:rsidR="008E5769" w:rsidRPr="003A3C94" w:rsidRDefault="008E5769" w:rsidP="008E5769">
      <w:pPr>
        <w:pStyle w:val="FootnoteText"/>
        <w:rPr>
          <w:color w:val="77328A"/>
          <w:sz w:val="16"/>
          <w:szCs w:val="16"/>
        </w:rPr>
      </w:pPr>
      <w:r w:rsidRPr="00943FFE">
        <w:rPr>
          <w:rStyle w:val="FootnoteReference"/>
          <w:color w:val="77328A"/>
          <w:sz w:val="16"/>
          <w:szCs w:val="16"/>
        </w:rPr>
        <w:footnoteRef/>
      </w:r>
      <w:r w:rsidRPr="00943FFE">
        <w:rPr>
          <w:color w:val="77328A"/>
          <w:sz w:val="16"/>
          <w:szCs w:val="16"/>
        </w:rPr>
        <w:t xml:space="preserve"> Department of Education, ‘Public Consultation Document: School </w:t>
      </w:r>
      <w:r w:rsidRPr="003A3C94">
        <w:rPr>
          <w:color w:val="77328A"/>
          <w:sz w:val="16"/>
          <w:szCs w:val="16"/>
        </w:rPr>
        <w:t>Uniform Policy’ (DE, 2024), at 3.</w:t>
      </w:r>
    </w:p>
  </w:footnote>
  <w:footnote w:id="22">
    <w:p w14:paraId="697392EF" w14:textId="77777777" w:rsidR="008E5769" w:rsidRPr="003A3C94" w:rsidRDefault="008E5769" w:rsidP="008E5769">
      <w:pPr>
        <w:pStyle w:val="FootnoteText"/>
        <w:rPr>
          <w:color w:val="77328A"/>
        </w:rPr>
      </w:pPr>
      <w:r w:rsidRPr="003A3C94">
        <w:rPr>
          <w:rStyle w:val="FootnoteReference"/>
          <w:color w:val="77328A"/>
          <w:sz w:val="16"/>
          <w:szCs w:val="16"/>
        </w:rPr>
        <w:footnoteRef/>
      </w:r>
      <w:r w:rsidRPr="003A3C94">
        <w:rPr>
          <w:color w:val="77328A"/>
          <w:sz w:val="16"/>
          <w:szCs w:val="16"/>
        </w:rPr>
        <w:t xml:space="preserve"> Department of Education, ‘Public Consultation Document: School Uniform Policy’ (DE, 2024), at para 2.1.</w:t>
      </w:r>
    </w:p>
  </w:footnote>
  <w:footnote w:id="23">
    <w:p w14:paraId="11D8BCE9" w14:textId="77777777" w:rsidR="008E5769" w:rsidRPr="003A3C94" w:rsidRDefault="008E5769" w:rsidP="008E5769">
      <w:pPr>
        <w:pStyle w:val="FootnoteText"/>
        <w:rPr>
          <w:color w:val="77328A"/>
          <w:sz w:val="16"/>
          <w:szCs w:val="16"/>
        </w:rPr>
      </w:pPr>
      <w:r w:rsidRPr="003A3C94">
        <w:rPr>
          <w:rStyle w:val="FootnoteReference"/>
          <w:color w:val="77328A"/>
          <w:sz w:val="16"/>
          <w:szCs w:val="16"/>
        </w:rPr>
        <w:footnoteRef/>
      </w:r>
      <w:r w:rsidRPr="003A3C94">
        <w:rPr>
          <w:color w:val="77328A"/>
          <w:sz w:val="16"/>
          <w:szCs w:val="16"/>
        </w:rPr>
        <w:t xml:space="preserve"> Department of Education, ‘Public Consultation Document: School Uniform Policy’ (DE, 2024), at paras 2.41 – 2.47.</w:t>
      </w:r>
    </w:p>
  </w:footnote>
  <w:footnote w:id="24">
    <w:p w14:paraId="42D3E134" w14:textId="77777777" w:rsidR="008E5769" w:rsidRPr="003A3C94" w:rsidRDefault="008E5769" w:rsidP="008E5769">
      <w:pPr>
        <w:pStyle w:val="NIHRCFootnotes"/>
      </w:pPr>
      <w:r w:rsidRPr="003A3C94">
        <w:rPr>
          <w:rStyle w:val="FootnoteReference"/>
        </w:rPr>
        <w:footnoteRef/>
      </w:r>
      <w:r w:rsidRPr="003A3C94">
        <w:t xml:space="preserve"> European Network of National Human Rights Institutions, ‘Human Rights-Based Approach’. Available: </w:t>
      </w:r>
      <w:hyperlink r:id="rId1" w:history="1">
        <w:r w:rsidRPr="003A3C94">
          <w:rPr>
            <w:rStyle w:val="Hyperlink"/>
            <w:color w:val="77328A"/>
          </w:rPr>
          <w:t>Human Rights-Based Approach - ENNHRI</w:t>
        </w:r>
      </w:hyperlink>
      <w:r w:rsidRPr="003A3C94">
        <w:t>.</w:t>
      </w:r>
    </w:p>
  </w:footnote>
  <w:footnote w:id="25">
    <w:p w14:paraId="55736853" w14:textId="77777777" w:rsidR="008E5769" w:rsidRPr="003A3C94" w:rsidRDefault="008E5769" w:rsidP="008E5769">
      <w:pPr>
        <w:pStyle w:val="FootnoteText"/>
        <w:rPr>
          <w:color w:val="77328A"/>
          <w:sz w:val="16"/>
          <w:szCs w:val="16"/>
        </w:rPr>
      </w:pPr>
      <w:r w:rsidRPr="003A3C94">
        <w:rPr>
          <w:rStyle w:val="FootnoteReference"/>
          <w:color w:val="77328A"/>
          <w:sz w:val="16"/>
          <w:szCs w:val="16"/>
        </w:rPr>
        <w:footnoteRef/>
      </w:r>
      <w:r w:rsidRPr="003A3C94">
        <w:rPr>
          <w:color w:val="77328A"/>
          <w:sz w:val="16"/>
          <w:szCs w:val="16"/>
        </w:rPr>
        <w:t xml:space="preserve"> Welsh Government, ‘School uniform and appearance: policy guidance for governing bodies (WG23-17)’, (Welsh Government, 2022); UK Department for Education, ‘Guidance: Developing school uniform policy’, (Gov.UK, 2024).</w:t>
      </w:r>
    </w:p>
  </w:footnote>
  <w:footnote w:id="26">
    <w:p w14:paraId="1B0501A2" w14:textId="77777777" w:rsidR="000F59C2" w:rsidRPr="00541D6A" w:rsidRDefault="000F59C2" w:rsidP="000F59C2">
      <w:pPr>
        <w:pStyle w:val="FootnoteText"/>
        <w:rPr>
          <w:sz w:val="16"/>
          <w:szCs w:val="16"/>
        </w:rPr>
      </w:pPr>
      <w:r w:rsidRPr="00541D6A">
        <w:rPr>
          <w:rStyle w:val="FootnoteReference"/>
          <w:color w:val="77328A"/>
          <w:sz w:val="16"/>
          <w:szCs w:val="16"/>
        </w:rPr>
        <w:footnoteRef/>
      </w:r>
      <w:r w:rsidRPr="00541D6A">
        <w:rPr>
          <w:color w:val="77328A"/>
          <w:sz w:val="16"/>
          <w:szCs w:val="16"/>
        </w:rPr>
        <w:t xml:space="preserve"> Department of Education, ‘Circular 2011/04: Guidance to schools on school uniform policy’ (DE, 2011) [revised June 2018]</w:t>
      </w:r>
      <w:r>
        <w:rPr>
          <w:color w:val="77328A"/>
          <w:sz w:val="16"/>
          <w:szCs w:val="16"/>
        </w:rPr>
        <w:t>, at Annex 1.</w:t>
      </w:r>
    </w:p>
  </w:footnote>
  <w:footnote w:id="27">
    <w:p w14:paraId="0C954626" w14:textId="77777777" w:rsidR="00C12F19" w:rsidRPr="00541D6A" w:rsidRDefault="00C12F19" w:rsidP="00C12F19">
      <w:pPr>
        <w:pStyle w:val="FootnoteText"/>
        <w:rPr>
          <w:sz w:val="16"/>
          <w:szCs w:val="16"/>
        </w:rPr>
      </w:pPr>
      <w:r w:rsidRPr="00541D6A">
        <w:rPr>
          <w:rStyle w:val="FootnoteReference"/>
          <w:color w:val="77328A"/>
          <w:sz w:val="16"/>
          <w:szCs w:val="16"/>
        </w:rPr>
        <w:footnoteRef/>
      </w:r>
      <w:r w:rsidRPr="00541D6A">
        <w:rPr>
          <w:color w:val="77328A"/>
          <w:sz w:val="16"/>
          <w:szCs w:val="16"/>
        </w:rPr>
        <w:t xml:space="preserve"> Department of Education, ‘Circular 2011/04: Guidance to schools on school uniform policy’ (DE, 2011) [revised June 2018]</w:t>
      </w:r>
      <w:r>
        <w:rPr>
          <w:color w:val="77328A"/>
          <w:sz w:val="16"/>
          <w:szCs w:val="16"/>
        </w:rPr>
        <w:t>, at Annex 1.</w:t>
      </w:r>
    </w:p>
  </w:footnote>
  <w:footnote w:id="28">
    <w:p w14:paraId="35BB5AE0" w14:textId="0B657E58" w:rsidR="00CC6B2C" w:rsidRPr="007D6F2A" w:rsidRDefault="00CC6B2C">
      <w:pPr>
        <w:pStyle w:val="FootnoteText"/>
        <w:rPr>
          <w:sz w:val="16"/>
          <w:szCs w:val="16"/>
          <w:lang w:val="en"/>
        </w:rPr>
      </w:pPr>
      <w:r w:rsidRPr="007D6F2A">
        <w:rPr>
          <w:rStyle w:val="FootnoteReference"/>
          <w:color w:val="77328A"/>
          <w:sz w:val="16"/>
          <w:szCs w:val="16"/>
        </w:rPr>
        <w:footnoteRef/>
      </w:r>
      <w:r w:rsidRPr="007D6F2A">
        <w:rPr>
          <w:color w:val="77328A"/>
          <w:sz w:val="16"/>
          <w:szCs w:val="16"/>
        </w:rPr>
        <w:t xml:space="preserve"> </w:t>
      </w:r>
      <w:r w:rsidR="00657944" w:rsidRPr="007D6F2A">
        <w:rPr>
          <w:color w:val="77328A"/>
          <w:sz w:val="16"/>
          <w:szCs w:val="16"/>
        </w:rPr>
        <w:t>See, NI Human Rights Commission, ‘</w:t>
      </w:r>
      <w:r w:rsidR="007318EE" w:rsidRPr="007D6F2A">
        <w:rPr>
          <w:color w:val="77328A"/>
          <w:sz w:val="16"/>
          <w:szCs w:val="16"/>
        </w:rPr>
        <w:t>Response t</w:t>
      </w:r>
      <w:r w:rsidR="007318EE" w:rsidRPr="007D6F2A">
        <w:rPr>
          <w:color w:val="77328A"/>
          <w:sz w:val="16"/>
          <w:szCs w:val="16"/>
          <w:lang w:val="en"/>
        </w:rPr>
        <w:t>o the Department of Education consultation on Relationships and Sexuality Education’ (NIHRC, 2023); NI Human Rights Commission, ‘</w:t>
      </w:r>
      <w:r w:rsidR="00F7527A" w:rsidRPr="007D6F2A">
        <w:rPr>
          <w:color w:val="77328A"/>
          <w:sz w:val="16"/>
          <w:szCs w:val="16"/>
          <w:lang w:val="en"/>
        </w:rPr>
        <w:t xml:space="preserve">Submission to Department of Education Consultation on the Draft Statutory Guidance on the Reduction and Management of Restrictive Practices in Educational Settings in NI’ (NIHRC, 2023); </w:t>
      </w:r>
      <w:r w:rsidR="007D6F2A" w:rsidRPr="007D6F2A">
        <w:rPr>
          <w:color w:val="77328A"/>
          <w:sz w:val="16"/>
          <w:szCs w:val="16"/>
          <w:lang w:val="en"/>
        </w:rPr>
        <w:t xml:space="preserve">NI Human Rights Commission, ‘Submission to the Expert Panel on Educational Underachievement’ (NIHRC, 2020); </w:t>
      </w:r>
      <w:r w:rsidR="00750C14" w:rsidRPr="007D6F2A">
        <w:rPr>
          <w:color w:val="77328A"/>
          <w:sz w:val="16"/>
          <w:szCs w:val="16"/>
          <w:lang w:val="en"/>
        </w:rPr>
        <w:t>NI Human Rights Commission, ‘Response to Department of Education’s Consultation on Supporting Newcomer Pupils’ (NIHRC, 2019).</w:t>
      </w:r>
    </w:p>
  </w:footnote>
  <w:footnote w:id="29">
    <w:p w14:paraId="520188EC" w14:textId="77777777" w:rsidR="00CC6B2C" w:rsidRPr="003A3C94" w:rsidRDefault="00CC6B2C" w:rsidP="00CC6B2C">
      <w:pPr>
        <w:pStyle w:val="FootnoteText"/>
        <w:rPr>
          <w:sz w:val="16"/>
          <w:szCs w:val="16"/>
        </w:rPr>
      </w:pPr>
      <w:r w:rsidRPr="003A3C94">
        <w:rPr>
          <w:rStyle w:val="FootnoteReference"/>
          <w:color w:val="77328A"/>
          <w:sz w:val="16"/>
          <w:szCs w:val="16"/>
        </w:rPr>
        <w:footnoteRef/>
      </w:r>
      <w:r w:rsidRPr="003A3C94">
        <w:rPr>
          <w:color w:val="77328A"/>
          <w:sz w:val="16"/>
          <w:szCs w:val="16"/>
        </w:rPr>
        <w:t xml:space="preserve"> European Network of National Human Rights Institutions, ‘Human Rights-Based Approach’. Available: </w:t>
      </w:r>
      <w:hyperlink r:id="rId2" w:history="1">
        <w:r w:rsidRPr="003A3C94">
          <w:rPr>
            <w:rStyle w:val="Hyperlink"/>
            <w:color w:val="77328A"/>
            <w:sz w:val="16"/>
            <w:szCs w:val="16"/>
          </w:rPr>
          <w:t>Human Rights-Based Approach - ENNHRI</w:t>
        </w:r>
      </w:hyperlink>
      <w:r w:rsidRPr="003A3C94">
        <w:rPr>
          <w:color w:val="77328A"/>
          <w:sz w:val="16"/>
          <w:szCs w:val="16"/>
        </w:rPr>
        <w:t>.</w:t>
      </w:r>
    </w:p>
  </w:footnote>
  <w:footnote w:id="30">
    <w:p w14:paraId="1FEE960F" w14:textId="77777777" w:rsidR="00CC6B2C" w:rsidRPr="003A3C94" w:rsidRDefault="00CC6B2C" w:rsidP="00CC6B2C">
      <w:pPr>
        <w:pStyle w:val="FootnoteText"/>
        <w:rPr>
          <w:color w:val="77328A"/>
          <w:sz w:val="16"/>
          <w:szCs w:val="16"/>
        </w:rPr>
      </w:pPr>
      <w:r w:rsidRPr="003A3C94">
        <w:rPr>
          <w:rStyle w:val="FootnoteReference"/>
          <w:color w:val="77328A"/>
          <w:sz w:val="16"/>
          <w:szCs w:val="16"/>
        </w:rPr>
        <w:footnoteRef/>
      </w:r>
      <w:r w:rsidRPr="003A3C94">
        <w:rPr>
          <w:color w:val="77328A"/>
          <w:sz w:val="16"/>
          <w:szCs w:val="16"/>
        </w:rPr>
        <w:t xml:space="preserve"> Department of Education, ‘Public </w:t>
      </w:r>
      <w:r w:rsidRPr="007D6F2A">
        <w:rPr>
          <w:color w:val="77328A"/>
          <w:sz w:val="16"/>
          <w:szCs w:val="16"/>
        </w:rPr>
        <w:t>Consultation Document</w:t>
      </w:r>
      <w:r w:rsidRPr="003A3C94">
        <w:rPr>
          <w:color w:val="77328A"/>
          <w:sz w:val="16"/>
          <w:szCs w:val="16"/>
        </w:rPr>
        <w:t>: School Uniform Policy’ (DE, 2024), at paras 2.41 – 2.47.</w:t>
      </w:r>
    </w:p>
  </w:footnote>
  <w:footnote w:id="31">
    <w:p w14:paraId="1EFF8C80" w14:textId="77777777" w:rsidR="00CC6B2C" w:rsidRPr="003A3C94" w:rsidRDefault="00CC6B2C" w:rsidP="00CC6B2C">
      <w:pPr>
        <w:pStyle w:val="FootnoteText"/>
        <w:rPr>
          <w:color w:val="77328A"/>
          <w:sz w:val="16"/>
          <w:szCs w:val="16"/>
        </w:rPr>
      </w:pPr>
      <w:r w:rsidRPr="003A3C94">
        <w:rPr>
          <w:rStyle w:val="FootnoteReference"/>
          <w:color w:val="77328A"/>
          <w:sz w:val="16"/>
          <w:szCs w:val="16"/>
        </w:rPr>
        <w:footnoteRef/>
      </w:r>
      <w:r w:rsidRPr="003A3C94">
        <w:rPr>
          <w:color w:val="77328A"/>
          <w:sz w:val="16"/>
          <w:szCs w:val="16"/>
        </w:rPr>
        <w:t xml:space="preserve"> Welsh Government, ‘School uniform and appearance: policy guidance for governing bodies (WG23-17)’, (Welsh Government, 2022); UK Department for Education, ‘Guidance: Developing school uniform policy’, (Gov.UK, 2024).</w:t>
      </w:r>
    </w:p>
  </w:footnote>
  <w:footnote w:id="32">
    <w:p w14:paraId="22341526" w14:textId="204A0E82" w:rsidR="00140822" w:rsidRPr="00943FFE" w:rsidRDefault="00140822" w:rsidP="00A75107">
      <w:pPr>
        <w:tabs>
          <w:tab w:val="left" w:pos="160"/>
        </w:tabs>
        <w:spacing w:line="212" w:lineRule="auto"/>
        <w:rPr>
          <w:rFonts w:eastAsia="Verdana"/>
          <w:color w:val="77328A"/>
          <w:sz w:val="16"/>
          <w:szCs w:val="16"/>
          <w:vertAlign w:val="superscript"/>
        </w:rPr>
      </w:pPr>
      <w:r w:rsidRPr="00943FFE">
        <w:rPr>
          <w:rStyle w:val="FootnoteReference"/>
          <w:color w:val="77328A"/>
          <w:sz w:val="16"/>
          <w:szCs w:val="16"/>
        </w:rPr>
        <w:footnoteRef/>
      </w:r>
      <w:r w:rsidR="00A75107" w:rsidRPr="00943FFE">
        <w:rPr>
          <w:color w:val="77328A"/>
          <w:sz w:val="16"/>
          <w:szCs w:val="16"/>
        </w:rPr>
        <w:t xml:space="preserve"> </w:t>
      </w:r>
      <w:r w:rsidR="00A75107" w:rsidRPr="00943FFE">
        <w:rPr>
          <w:rFonts w:eastAsia="Verdana"/>
          <w:color w:val="77328A"/>
          <w:sz w:val="16"/>
          <w:szCs w:val="16"/>
        </w:rPr>
        <w:t>Article 3(1), Convention on the Rights of the Child 1989.</w:t>
      </w:r>
    </w:p>
  </w:footnote>
  <w:footnote w:id="33">
    <w:p w14:paraId="75AC1563" w14:textId="35837AED" w:rsidR="00140822" w:rsidRPr="00943FFE" w:rsidRDefault="00140822" w:rsidP="00A75107">
      <w:pPr>
        <w:tabs>
          <w:tab w:val="left" w:pos="166"/>
        </w:tabs>
        <w:spacing w:line="225" w:lineRule="auto"/>
        <w:ind w:right="220"/>
        <w:rPr>
          <w:rFonts w:eastAsia="Verdana"/>
          <w:color w:val="77328A"/>
          <w:sz w:val="16"/>
          <w:szCs w:val="16"/>
          <w:vertAlign w:val="superscript"/>
        </w:rPr>
      </w:pPr>
      <w:r w:rsidRPr="00943FFE">
        <w:rPr>
          <w:rStyle w:val="FootnoteReference"/>
          <w:color w:val="77328A"/>
          <w:sz w:val="16"/>
          <w:szCs w:val="16"/>
        </w:rPr>
        <w:footnoteRef/>
      </w:r>
      <w:r w:rsidR="00A75107" w:rsidRPr="00943FFE">
        <w:rPr>
          <w:color w:val="77328A"/>
          <w:sz w:val="16"/>
          <w:szCs w:val="16"/>
        </w:rPr>
        <w:t xml:space="preserve"> </w:t>
      </w:r>
      <w:r w:rsidR="00416CD2" w:rsidRPr="00943FFE">
        <w:rPr>
          <w:rFonts w:eastAsia="Verdana"/>
          <w:color w:val="77328A"/>
          <w:sz w:val="16"/>
          <w:szCs w:val="16"/>
        </w:rPr>
        <w:t>CRC/C/GC/14, ‘UN CRC Committee General Comment No 14: The Right of the Child to Have His or Her Best Interests Taken as a Primary Consideration’, 29 May 2013, at para 79.</w:t>
      </w:r>
    </w:p>
  </w:footnote>
  <w:footnote w:id="34">
    <w:p w14:paraId="59297244" w14:textId="77777777" w:rsidR="00173C4F" w:rsidRPr="003A3C94" w:rsidRDefault="00173C4F" w:rsidP="00173C4F">
      <w:pPr>
        <w:pStyle w:val="FootnoteText"/>
        <w:rPr>
          <w:color w:val="77328A"/>
          <w:sz w:val="16"/>
          <w:szCs w:val="16"/>
        </w:rPr>
      </w:pPr>
      <w:r w:rsidRPr="003A3C94">
        <w:rPr>
          <w:rStyle w:val="FootnoteReference"/>
          <w:color w:val="77328A"/>
          <w:sz w:val="16"/>
          <w:szCs w:val="16"/>
        </w:rPr>
        <w:footnoteRef/>
      </w:r>
      <w:r w:rsidRPr="003A3C94">
        <w:rPr>
          <w:color w:val="77328A"/>
          <w:sz w:val="16"/>
          <w:szCs w:val="16"/>
        </w:rPr>
        <w:t xml:space="preserve"> CRC/C/GC/12, ‘UN CRC Committee General Comment No.12 on the right of the child to be heard’, 20 July 2009, at para 85; CM/</w:t>
      </w:r>
      <w:proofErr w:type="gramStart"/>
      <w:r w:rsidRPr="003A3C94">
        <w:rPr>
          <w:color w:val="77328A"/>
          <w:sz w:val="16"/>
          <w:szCs w:val="16"/>
        </w:rPr>
        <w:t>Rec(</w:t>
      </w:r>
      <w:proofErr w:type="gramEnd"/>
      <w:r w:rsidRPr="003A3C94">
        <w:rPr>
          <w:color w:val="77328A"/>
          <w:sz w:val="16"/>
          <w:szCs w:val="16"/>
        </w:rPr>
        <w:t>2012)2, ‘</w:t>
      </w:r>
      <w:proofErr w:type="spellStart"/>
      <w:r w:rsidRPr="003A3C94">
        <w:rPr>
          <w:color w:val="77328A"/>
          <w:sz w:val="16"/>
          <w:szCs w:val="16"/>
        </w:rPr>
        <w:t>CoE</w:t>
      </w:r>
      <w:proofErr w:type="spellEnd"/>
      <w:r w:rsidRPr="003A3C94">
        <w:rPr>
          <w:color w:val="77328A"/>
          <w:sz w:val="16"/>
          <w:szCs w:val="16"/>
        </w:rPr>
        <w:t xml:space="preserve"> Committee of Ministers Recommendation to Member States on the participation of children and young people under the age of 18’, 28 March 2012.</w:t>
      </w:r>
    </w:p>
  </w:footnote>
  <w:footnote w:id="35">
    <w:p w14:paraId="261177FE" w14:textId="77777777" w:rsidR="00173C4F" w:rsidRPr="00BA7132" w:rsidRDefault="00173C4F" w:rsidP="00173C4F">
      <w:pPr>
        <w:pStyle w:val="FootnoteText"/>
        <w:rPr>
          <w:color w:val="77328A"/>
          <w:sz w:val="16"/>
          <w:szCs w:val="16"/>
        </w:rPr>
      </w:pPr>
      <w:r w:rsidRPr="003A3C94">
        <w:rPr>
          <w:rStyle w:val="FootnoteReference"/>
          <w:color w:val="77328A"/>
          <w:sz w:val="16"/>
          <w:szCs w:val="16"/>
        </w:rPr>
        <w:footnoteRef/>
      </w:r>
      <w:r w:rsidRPr="003A3C94">
        <w:rPr>
          <w:color w:val="77328A"/>
          <w:sz w:val="16"/>
          <w:szCs w:val="16"/>
        </w:rPr>
        <w:t xml:space="preserve"> CRC/C/GC/12, ‘UN CRC Committee General Comment No.12 on the right of the child to be heard’, 20 July 2009, at para 85; CM/</w:t>
      </w:r>
      <w:proofErr w:type="gramStart"/>
      <w:r w:rsidRPr="003A3C94">
        <w:rPr>
          <w:color w:val="77328A"/>
          <w:sz w:val="16"/>
          <w:szCs w:val="16"/>
        </w:rPr>
        <w:t>Rec(</w:t>
      </w:r>
      <w:proofErr w:type="gramEnd"/>
      <w:r w:rsidRPr="003A3C94">
        <w:rPr>
          <w:color w:val="77328A"/>
          <w:sz w:val="16"/>
          <w:szCs w:val="16"/>
        </w:rPr>
        <w:t>2012)2, ‘</w:t>
      </w:r>
      <w:proofErr w:type="spellStart"/>
      <w:r w:rsidRPr="003A3C94">
        <w:rPr>
          <w:color w:val="77328A"/>
          <w:sz w:val="16"/>
          <w:szCs w:val="16"/>
        </w:rPr>
        <w:t>CoE</w:t>
      </w:r>
      <w:proofErr w:type="spellEnd"/>
      <w:r w:rsidRPr="003A3C94">
        <w:rPr>
          <w:color w:val="77328A"/>
          <w:sz w:val="16"/>
          <w:szCs w:val="16"/>
        </w:rPr>
        <w:t xml:space="preserve"> Committee of Ministers Recommendation to Member States on the participation of children and young people under the age of 18’, 28 March 2012.</w:t>
      </w:r>
    </w:p>
  </w:footnote>
  <w:footnote w:id="36">
    <w:p w14:paraId="07350439" w14:textId="77777777" w:rsidR="00173C4F" w:rsidRDefault="00173C4F" w:rsidP="00173C4F">
      <w:pPr>
        <w:pStyle w:val="FootnoteText"/>
      </w:pPr>
      <w:r w:rsidRPr="00BA7132">
        <w:rPr>
          <w:rStyle w:val="FootnoteReference"/>
          <w:color w:val="77328A"/>
          <w:sz w:val="16"/>
          <w:szCs w:val="16"/>
        </w:rPr>
        <w:footnoteRef/>
      </w:r>
      <w:r w:rsidRPr="00BA7132">
        <w:rPr>
          <w:color w:val="77328A"/>
          <w:sz w:val="16"/>
          <w:szCs w:val="16"/>
        </w:rPr>
        <w:t xml:space="preserve"> CRC/C/GC/12, ‘UN CRC </w:t>
      </w:r>
      <w:r w:rsidRPr="00F21DB1">
        <w:rPr>
          <w:color w:val="77328A"/>
          <w:sz w:val="16"/>
          <w:szCs w:val="16"/>
        </w:rPr>
        <w:t>Committee General</w:t>
      </w:r>
      <w:r w:rsidRPr="00BA7132">
        <w:rPr>
          <w:color w:val="77328A"/>
          <w:sz w:val="16"/>
          <w:szCs w:val="16"/>
        </w:rPr>
        <w:t xml:space="preserve"> Comment No.12 on the right of the child to be heard’, 20 July 2009, at para 84.</w:t>
      </w:r>
    </w:p>
  </w:footnote>
  <w:footnote w:id="37">
    <w:p w14:paraId="1610FD97" w14:textId="77777777" w:rsidR="002A2F4A" w:rsidRPr="00BC323D" w:rsidRDefault="002A2F4A" w:rsidP="002A2F4A">
      <w:pPr>
        <w:pStyle w:val="FootnoteText"/>
        <w:rPr>
          <w:color w:val="77328A"/>
          <w:sz w:val="16"/>
          <w:szCs w:val="16"/>
        </w:rPr>
      </w:pPr>
      <w:r w:rsidRPr="00BC323D">
        <w:rPr>
          <w:rStyle w:val="FootnoteReference"/>
          <w:color w:val="77328A"/>
          <w:sz w:val="16"/>
          <w:szCs w:val="16"/>
        </w:rPr>
        <w:footnoteRef/>
      </w:r>
      <w:r w:rsidRPr="00BC323D">
        <w:rPr>
          <w:color w:val="77328A"/>
          <w:sz w:val="16"/>
          <w:szCs w:val="16"/>
        </w:rPr>
        <w:t xml:space="preserve"> Council of Europe, ‘ECtHR: Guide on Article 14 of the Convention (prohibition of discrimination) and on Article 1 of Protocol No. 12 (general prohibition of discrimination)’, (</w:t>
      </w:r>
      <w:proofErr w:type="spellStart"/>
      <w:r w:rsidRPr="00BC323D">
        <w:rPr>
          <w:color w:val="77328A"/>
          <w:sz w:val="16"/>
          <w:szCs w:val="16"/>
        </w:rPr>
        <w:t>CoE</w:t>
      </w:r>
      <w:proofErr w:type="spellEnd"/>
      <w:r w:rsidRPr="00BC323D">
        <w:rPr>
          <w:color w:val="77328A"/>
          <w:sz w:val="16"/>
          <w:szCs w:val="16"/>
        </w:rPr>
        <w:t>, 2024).</w:t>
      </w:r>
    </w:p>
  </w:footnote>
  <w:footnote w:id="38">
    <w:p w14:paraId="63DBF35E" w14:textId="77777777" w:rsidR="00836D5E" w:rsidRPr="00BC323D" w:rsidRDefault="00836D5E" w:rsidP="00836D5E">
      <w:pPr>
        <w:pStyle w:val="FootnoteText"/>
        <w:spacing w:line="240" w:lineRule="auto"/>
        <w:rPr>
          <w:color w:val="77328A"/>
          <w:sz w:val="16"/>
          <w:szCs w:val="16"/>
        </w:rPr>
      </w:pPr>
      <w:r w:rsidRPr="00BC323D">
        <w:rPr>
          <w:rStyle w:val="FootnoteReference"/>
          <w:color w:val="77328A"/>
          <w:sz w:val="16"/>
          <w:szCs w:val="16"/>
        </w:rPr>
        <w:footnoteRef/>
      </w:r>
      <w:r w:rsidRPr="00BC323D">
        <w:rPr>
          <w:color w:val="77328A"/>
          <w:sz w:val="16"/>
          <w:szCs w:val="16"/>
        </w:rPr>
        <w:t xml:space="preserve"> E/C.12/GC/20, ‘UN ICESCR Committee General Comment No.20: Non-discrimination in economic, social and cultural rights (art. 2, para. 2)’, 2 July 2009, at para 36; E/C.12/1999/10, ‘UN ICESCR Committee General Comment No 13: Right to Education’, 8 December 1999, at para 41.</w:t>
      </w:r>
    </w:p>
  </w:footnote>
  <w:footnote w:id="39">
    <w:p w14:paraId="2797EB15" w14:textId="652C4441" w:rsidR="009255EC" w:rsidRPr="00BC323D" w:rsidRDefault="009255EC">
      <w:pPr>
        <w:pStyle w:val="FootnoteText"/>
        <w:rPr>
          <w:color w:val="77328A"/>
          <w:sz w:val="16"/>
          <w:szCs w:val="16"/>
        </w:rPr>
      </w:pPr>
      <w:r w:rsidRPr="00BC323D">
        <w:rPr>
          <w:rStyle w:val="FootnoteReference"/>
          <w:color w:val="77328A"/>
          <w:sz w:val="16"/>
          <w:szCs w:val="16"/>
        </w:rPr>
        <w:footnoteRef/>
      </w:r>
      <w:r w:rsidRPr="00BC323D">
        <w:rPr>
          <w:color w:val="77328A"/>
          <w:sz w:val="16"/>
          <w:szCs w:val="16"/>
        </w:rPr>
        <w:t xml:space="preserve"> </w:t>
      </w:r>
      <w:r w:rsidR="00BC323D" w:rsidRPr="00BC323D">
        <w:rPr>
          <w:rStyle w:val="FootnoteReference"/>
          <w:color w:val="77328A"/>
          <w:sz w:val="16"/>
          <w:szCs w:val="16"/>
        </w:rPr>
        <w:footnoteRef/>
      </w:r>
      <w:r w:rsidR="00BC323D" w:rsidRPr="00BC323D">
        <w:rPr>
          <w:color w:val="77328A"/>
          <w:sz w:val="16"/>
          <w:szCs w:val="16"/>
        </w:rPr>
        <w:t xml:space="preserve"> E/C.12/GC/20, ‘UN ICESCR Committee General Comment No.20: Non-discrimination in economic, social and cultural rights (art. 2, para. 2)’, 2 July 2009, at para </w:t>
      </w:r>
      <w:r w:rsidR="0008379B" w:rsidRPr="00BC323D">
        <w:rPr>
          <w:color w:val="77328A"/>
          <w:sz w:val="16"/>
          <w:szCs w:val="16"/>
        </w:rPr>
        <w:t>35</w:t>
      </w:r>
      <w:r w:rsidR="00BC323D" w:rsidRPr="00BC323D">
        <w:rPr>
          <w:color w:val="77328A"/>
          <w:sz w:val="16"/>
          <w:szCs w:val="16"/>
        </w:rPr>
        <w:t>.</w:t>
      </w:r>
    </w:p>
  </w:footnote>
  <w:footnote w:id="40">
    <w:p w14:paraId="3763F528" w14:textId="046AC49B" w:rsidR="006C2940" w:rsidRPr="00BC323D" w:rsidRDefault="006C2940" w:rsidP="00BC323D">
      <w:pPr>
        <w:tabs>
          <w:tab w:val="left" w:pos="166"/>
        </w:tabs>
        <w:spacing w:line="225" w:lineRule="auto"/>
        <w:ind w:right="140"/>
        <w:rPr>
          <w:rFonts w:eastAsia="Verdana"/>
          <w:color w:val="77328A"/>
          <w:sz w:val="16"/>
          <w:szCs w:val="16"/>
          <w:vertAlign w:val="superscript"/>
        </w:rPr>
      </w:pPr>
      <w:r w:rsidRPr="00BC323D">
        <w:rPr>
          <w:rStyle w:val="FootnoteReference"/>
          <w:color w:val="77328A"/>
          <w:sz w:val="16"/>
          <w:szCs w:val="16"/>
        </w:rPr>
        <w:footnoteRef/>
      </w:r>
      <w:r w:rsidRPr="00BC323D">
        <w:rPr>
          <w:color w:val="77328A"/>
          <w:sz w:val="16"/>
          <w:szCs w:val="16"/>
        </w:rPr>
        <w:t xml:space="preserve"> </w:t>
      </w:r>
      <w:r w:rsidRPr="00BC323D">
        <w:rPr>
          <w:rFonts w:eastAsia="Verdana"/>
          <w:color w:val="77328A"/>
          <w:sz w:val="16"/>
          <w:szCs w:val="16"/>
        </w:rPr>
        <w:t>CRC/C/GBR/CO/5, ‘UN CRC Committee on the Rights of the Child Concluding Observations on the Fifth Periodic Report of the United Kingdom of Great Britain and Northern Ireland’, 3 June 2016, at para 72. See also CERD/C/GC/32, ‘UN</w:t>
      </w:r>
      <w:r w:rsidR="00BC323D">
        <w:rPr>
          <w:rFonts w:eastAsia="Verdana"/>
          <w:color w:val="77328A"/>
          <w:sz w:val="16"/>
          <w:szCs w:val="16"/>
          <w:vertAlign w:val="superscript"/>
        </w:rPr>
        <w:t xml:space="preserve"> </w:t>
      </w:r>
      <w:r w:rsidRPr="00BC323D">
        <w:rPr>
          <w:rFonts w:eastAsia="Verdana"/>
          <w:color w:val="77328A"/>
          <w:sz w:val="16"/>
          <w:szCs w:val="16"/>
        </w:rPr>
        <w:t>CERD Committee General Recommendation No 32: The Meaning and the Scope of Special Measures in the International</w:t>
      </w:r>
      <w:r w:rsidR="00BC323D">
        <w:rPr>
          <w:rFonts w:eastAsia="Verdana"/>
          <w:color w:val="77328A"/>
          <w:sz w:val="16"/>
          <w:szCs w:val="16"/>
          <w:vertAlign w:val="superscript"/>
        </w:rPr>
        <w:t xml:space="preserve"> </w:t>
      </w:r>
      <w:r w:rsidRPr="00BC323D">
        <w:rPr>
          <w:rFonts w:eastAsia="Verdana"/>
          <w:color w:val="77328A"/>
          <w:sz w:val="16"/>
          <w:szCs w:val="16"/>
        </w:rPr>
        <w:t>Covenant on the Elimination of All Forms of Racial Discrimination’, 24 September 2009, at para. 11; CRC/GC/2003/5, ‘UN</w:t>
      </w:r>
      <w:r w:rsidR="00BC323D">
        <w:rPr>
          <w:rFonts w:eastAsia="Verdana"/>
          <w:color w:val="77328A"/>
          <w:sz w:val="16"/>
          <w:szCs w:val="16"/>
          <w:vertAlign w:val="superscript"/>
        </w:rPr>
        <w:t xml:space="preserve"> </w:t>
      </w:r>
      <w:r w:rsidRPr="00BC323D">
        <w:rPr>
          <w:rFonts w:eastAsia="Verdana"/>
          <w:color w:val="77328A"/>
          <w:sz w:val="16"/>
          <w:szCs w:val="16"/>
        </w:rPr>
        <w:t>CRC Committee General Comment No 5: General Measures of Implementation of the Convention on the Rights of the Child’, 27 November 2003, at para 12.</w:t>
      </w:r>
    </w:p>
  </w:footnote>
  <w:footnote w:id="41">
    <w:p w14:paraId="659819E8" w14:textId="79D43293" w:rsidR="00AA20B0" w:rsidRPr="00FB0C03" w:rsidRDefault="00AA20B0">
      <w:pPr>
        <w:pStyle w:val="FootnoteText"/>
        <w:rPr>
          <w:sz w:val="16"/>
          <w:szCs w:val="16"/>
        </w:rPr>
      </w:pPr>
      <w:r w:rsidRPr="00FB0C03">
        <w:rPr>
          <w:rStyle w:val="FootnoteReference"/>
          <w:color w:val="77328A"/>
          <w:sz w:val="16"/>
          <w:szCs w:val="16"/>
        </w:rPr>
        <w:footnoteRef/>
      </w:r>
      <w:r w:rsidRPr="00FB0C03">
        <w:rPr>
          <w:color w:val="77328A"/>
          <w:sz w:val="16"/>
          <w:szCs w:val="16"/>
        </w:rPr>
        <w:t xml:space="preserve"> </w:t>
      </w:r>
      <w:r w:rsidR="00FB0C03" w:rsidRPr="00FB0C03">
        <w:rPr>
          <w:color w:val="77328A"/>
          <w:sz w:val="16"/>
          <w:szCs w:val="16"/>
        </w:rPr>
        <w:t>CRC/C/GBR/CO/6-7, ‘UN CRC Committee on the Sixth and Seventh Reports of the UK of Great Britain and NI’, 2 June 2023, a</w:t>
      </w:r>
      <w:r w:rsidRPr="00FB0C03">
        <w:rPr>
          <w:color w:val="77328A"/>
          <w:sz w:val="16"/>
          <w:szCs w:val="16"/>
        </w:rPr>
        <w:t>t para 20(a).</w:t>
      </w:r>
    </w:p>
  </w:footnote>
  <w:footnote w:id="42">
    <w:p w14:paraId="3D9B5DEE" w14:textId="52AFC086" w:rsidR="003812AF" w:rsidRPr="00585949" w:rsidRDefault="003812AF" w:rsidP="00BD34C4">
      <w:pPr>
        <w:tabs>
          <w:tab w:val="left" w:pos="188"/>
        </w:tabs>
        <w:spacing w:line="212" w:lineRule="auto"/>
        <w:ind w:right="100"/>
        <w:rPr>
          <w:rFonts w:eastAsia="Verdana"/>
          <w:color w:val="77328A"/>
          <w:sz w:val="16"/>
          <w:szCs w:val="16"/>
          <w:vertAlign w:val="superscript"/>
        </w:rPr>
      </w:pPr>
      <w:r w:rsidRPr="00585949">
        <w:rPr>
          <w:rStyle w:val="FootnoteReference"/>
          <w:color w:val="77328A"/>
          <w:sz w:val="16"/>
          <w:szCs w:val="16"/>
        </w:rPr>
        <w:footnoteRef/>
      </w:r>
      <w:r w:rsidRPr="00585949">
        <w:rPr>
          <w:color w:val="77328A"/>
          <w:sz w:val="16"/>
          <w:szCs w:val="16"/>
        </w:rPr>
        <w:t xml:space="preserve"> </w:t>
      </w:r>
      <w:r w:rsidRPr="00585949">
        <w:rPr>
          <w:rFonts w:eastAsia="Verdana"/>
          <w:color w:val="77328A"/>
          <w:sz w:val="16"/>
          <w:szCs w:val="16"/>
        </w:rPr>
        <w:t>CRC/GC/2003/5, ‘UN CRC Committee General Comment No 5: General Measures of Implementation of the Convention on the Rights of the Child’, 27 November 2003, at para 45.</w:t>
      </w:r>
    </w:p>
  </w:footnote>
  <w:footnote w:id="43">
    <w:p w14:paraId="4DFF3209" w14:textId="09001587" w:rsidR="00BD34C4" w:rsidRPr="00585949" w:rsidRDefault="00BD34C4" w:rsidP="00BD34C4">
      <w:pPr>
        <w:tabs>
          <w:tab w:val="left" w:pos="166"/>
        </w:tabs>
        <w:spacing w:line="225" w:lineRule="auto"/>
        <w:ind w:right="120"/>
        <w:rPr>
          <w:rFonts w:eastAsia="Verdana"/>
          <w:color w:val="77328A"/>
          <w:sz w:val="16"/>
          <w:szCs w:val="16"/>
          <w:vertAlign w:val="superscript"/>
        </w:rPr>
      </w:pPr>
      <w:r w:rsidRPr="00585949">
        <w:rPr>
          <w:rStyle w:val="FootnoteReference"/>
          <w:color w:val="77328A"/>
          <w:sz w:val="16"/>
          <w:szCs w:val="16"/>
        </w:rPr>
        <w:footnoteRef/>
      </w:r>
      <w:r w:rsidRPr="00585949">
        <w:rPr>
          <w:color w:val="77328A"/>
          <w:sz w:val="16"/>
          <w:szCs w:val="16"/>
        </w:rPr>
        <w:t xml:space="preserve"> </w:t>
      </w:r>
      <w:r w:rsidRPr="00585949">
        <w:rPr>
          <w:rFonts w:eastAsia="Verdana"/>
          <w:color w:val="77328A"/>
          <w:sz w:val="16"/>
          <w:szCs w:val="16"/>
        </w:rPr>
        <w:t>Ibid.</w:t>
      </w:r>
    </w:p>
  </w:footnote>
  <w:footnote w:id="44">
    <w:p w14:paraId="4839DE31" w14:textId="73837E80" w:rsidR="00BD34C4" w:rsidRPr="00585949" w:rsidRDefault="00BD34C4">
      <w:pPr>
        <w:pStyle w:val="FootnoteText"/>
        <w:rPr>
          <w:color w:val="77328A"/>
          <w:sz w:val="16"/>
          <w:szCs w:val="16"/>
        </w:rPr>
      </w:pPr>
      <w:r w:rsidRPr="00585949">
        <w:rPr>
          <w:rStyle w:val="FootnoteReference"/>
          <w:color w:val="77328A"/>
          <w:sz w:val="16"/>
          <w:szCs w:val="16"/>
        </w:rPr>
        <w:footnoteRef/>
      </w:r>
      <w:r w:rsidRPr="00585949">
        <w:rPr>
          <w:color w:val="77328A"/>
          <w:sz w:val="16"/>
          <w:szCs w:val="16"/>
        </w:rPr>
        <w:t xml:space="preserve"> Ibid, at para 46.</w:t>
      </w:r>
    </w:p>
  </w:footnote>
  <w:footnote w:id="45">
    <w:p w14:paraId="0F141727" w14:textId="727FA65D" w:rsidR="00BD34C4" w:rsidRPr="00585949" w:rsidRDefault="00BD34C4">
      <w:pPr>
        <w:pStyle w:val="FootnoteText"/>
        <w:rPr>
          <w:color w:val="77328A"/>
          <w:sz w:val="16"/>
          <w:szCs w:val="16"/>
        </w:rPr>
      </w:pPr>
      <w:r w:rsidRPr="00585949">
        <w:rPr>
          <w:rStyle w:val="FootnoteReference"/>
          <w:color w:val="77328A"/>
          <w:sz w:val="16"/>
          <w:szCs w:val="16"/>
        </w:rPr>
        <w:footnoteRef/>
      </w:r>
      <w:r w:rsidRPr="00585949">
        <w:rPr>
          <w:color w:val="77328A"/>
          <w:sz w:val="16"/>
          <w:szCs w:val="16"/>
        </w:rPr>
        <w:t xml:space="preserve"> Ibid, at para 47.</w:t>
      </w:r>
    </w:p>
  </w:footnote>
  <w:footnote w:id="46">
    <w:p w14:paraId="3BBEBD2C" w14:textId="55F32A1F" w:rsidR="00ED2734" w:rsidRPr="00585949" w:rsidRDefault="00214C5C" w:rsidP="00ED2734">
      <w:pPr>
        <w:tabs>
          <w:tab w:val="left" w:pos="160"/>
        </w:tabs>
        <w:spacing w:line="213" w:lineRule="auto"/>
        <w:rPr>
          <w:rFonts w:eastAsia="Verdana"/>
          <w:color w:val="77328A"/>
          <w:sz w:val="16"/>
          <w:szCs w:val="16"/>
          <w:vertAlign w:val="superscript"/>
        </w:rPr>
      </w:pPr>
      <w:r w:rsidRPr="00585949">
        <w:rPr>
          <w:rStyle w:val="FootnoteReference"/>
          <w:color w:val="77328A"/>
          <w:sz w:val="16"/>
          <w:szCs w:val="16"/>
        </w:rPr>
        <w:footnoteRef/>
      </w:r>
      <w:r w:rsidR="00ED2734" w:rsidRPr="00585949">
        <w:rPr>
          <w:color w:val="77328A"/>
          <w:sz w:val="16"/>
          <w:szCs w:val="16"/>
        </w:rPr>
        <w:t xml:space="preserve"> </w:t>
      </w:r>
      <w:r w:rsidR="00ED2734" w:rsidRPr="00585949">
        <w:rPr>
          <w:rFonts w:eastAsia="Verdana"/>
          <w:color w:val="77328A"/>
          <w:sz w:val="16"/>
          <w:szCs w:val="16"/>
        </w:rPr>
        <w:t>CRC/C/GC/7/Rev.1, ‘UN CRC Committee General Comment No 7: Implementing Child Rights in Early Childhood’, 20</w:t>
      </w:r>
    </w:p>
    <w:p w14:paraId="1F6C1B5A" w14:textId="77777777" w:rsidR="00ED2734" w:rsidRPr="00585949" w:rsidRDefault="00ED2734" w:rsidP="00ED2734">
      <w:pPr>
        <w:spacing w:line="1" w:lineRule="exact"/>
        <w:rPr>
          <w:rFonts w:eastAsia="Verdana"/>
          <w:color w:val="77328A"/>
          <w:sz w:val="16"/>
          <w:szCs w:val="16"/>
          <w:vertAlign w:val="superscript"/>
        </w:rPr>
      </w:pPr>
    </w:p>
    <w:p w14:paraId="55EE40FB" w14:textId="349ACFC7" w:rsidR="00214C5C" w:rsidRPr="00ED2734" w:rsidRDefault="00ED2734" w:rsidP="00ED2734">
      <w:pPr>
        <w:spacing w:line="0" w:lineRule="atLeast"/>
        <w:rPr>
          <w:rFonts w:eastAsia="Verdana"/>
          <w:color w:val="77328A"/>
          <w:sz w:val="16"/>
        </w:rPr>
      </w:pPr>
      <w:r w:rsidRPr="00585949">
        <w:rPr>
          <w:rFonts w:eastAsia="Verdana"/>
          <w:color w:val="77328A"/>
          <w:sz w:val="16"/>
          <w:szCs w:val="16"/>
        </w:rPr>
        <w:t>September 2006, at para 12.</w:t>
      </w:r>
    </w:p>
  </w:footnote>
  <w:footnote w:id="47">
    <w:p w14:paraId="1418FF50" w14:textId="480F44C6" w:rsidR="005F5F39" w:rsidRPr="00B750C8" w:rsidRDefault="005F5F39" w:rsidP="00B750C8">
      <w:pPr>
        <w:tabs>
          <w:tab w:val="left" w:pos="166"/>
        </w:tabs>
        <w:spacing w:line="234" w:lineRule="auto"/>
        <w:ind w:right="100"/>
        <w:rPr>
          <w:rFonts w:eastAsia="Verdana"/>
          <w:color w:val="77328A"/>
          <w:sz w:val="16"/>
          <w:szCs w:val="16"/>
          <w:vertAlign w:val="superscript"/>
        </w:rPr>
      </w:pPr>
      <w:r w:rsidRPr="00B750C8">
        <w:rPr>
          <w:rStyle w:val="FootnoteReference"/>
          <w:color w:val="77328A"/>
          <w:sz w:val="16"/>
          <w:szCs w:val="16"/>
        </w:rPr>
        <w:footnoteRef/>
      </w:r>
      <w:r w:rsidRPr="00B750C8">
        <w:rPr>
          <w:color w:val="77328A"/>
          <w:sz w:val="16"/>
          <w:szCs w:val="16"/>
        </w:rPr>
        <w:t xml:space="preserve"> </w:t>
      </w:r>
      <w:r w:rsidR="00854A97" w:rsidRPr="00B750C8">
        <w:rPr>
          <w:rFonts w:eastAsia="Verdana"/>
          <w:color w:val="77328A"/>
          <w:sz w:val="16"/>
          <w:szCs w:val="16"/>
        </w:rPr>
        <w:t>CRC/GC/2003/5, ‘UN CRC Committee General Comment No 5: General measures of Implementation of the Convention on the Rights of the Child’, 27 November 2003, at para 12. See also E/C.12/GC/20, ‘UN CESCR Committee General Comment No 20: Non-discrimination in Economic, Social and Cultural Rights’, 2 July 2009, at para 41.</w:t>
      </w:r>
    </w:p>
  </w:footnote>
  <w:footnote w:id="48">
    <w:p w14:paraId="03C40719" w14:textId="3BCEBF2B" w:rsidR="00854A97" w:rsidRPr="00250760" w:rsidRDefault="00854A97" w:rsidP="00250760">
      <w:pPr>
        <w:tabs>
          <w:tab w:val="left" w:pos="166"/>
        </w:tabs>
        <w:spacing w:line="225" w:lineRule="auto"/>
        <w:ind w:right="180"/>
        <w:rPr>
          <w:rFonts w:eastAsia="Verdana"/>
          <w:color w:val="77328A"/>
          <w:sz w:val="16"/>
          <w:szCs w:val="16"/>
          <w:vertAlign w:val="superscript"/>
        </w:rPr>
      </w:pPr>
      <w:r w:rsidRPr="00B750C8">
        <w:rPr>
          <w:rStyle w:val="FootnoteReference"/>
          <w:color w:val="77328A"/>
          <w:sz w:val="16"/>
          <w:szCs w:val="16"/>
        </w:rPr>
        <w:footnoteRef/>
      </w:r>
      <w:r w:rsidR="00704B56" w:rsidRPr="00B750C8">
        <w:rPr>
          <w:color w:val="77328A"/>
          <w:sz w:val="16"/>
          <w:szCs w:val="16"/>
        </w:rPr>
        <w:t xml:space="preserve"> </w:t>
      </w:r>
      <w:r w:rsidR="00704B56" w:rsidRPr="00B750C8">
        <w:rPr>
          <w:rFonts w:eastAsia="Verdana"/>
          <w:color w:val="77328A"/>
          <w:sz w:val="16"/>
          <w:szCs w:val="16"/>
        </w:rPr>
        <w:t xml:space="preserve">CRC/C/GBR/CO/5, ‘UN CRC Committee Concluding Observations on the Fifth Periodic Report of the United Kingdom of Great Britain and Northern Ireland’, 3 June 2016; </w:t>
      </w:r>
      <w:r w:rsidR="00704B56" w:rsidRPr="00B750C8">
        <w:rPr>
          <w:color w:val="77328A"/>
          <w:sz w:val="16"/>
          <w:szCs w:val="16"/>
        </w:rPr>
        <w:t>CRC/C/GBR/CO/6-7, ‘UN CRC Committee on the Sixth and Seventh Reports of the UK of Great Britain and NI’, 2 June 2023</w:t>
      </w:r>
      <w:r w:rsidR="00B750C8" w:rsidRPr="00B750C8">
        <w:rPr>
          <w:color w:val="77328A"/>
          <w:sz w:val="16"/>
          <w:szCs w:val="16"/>
        </w:rPr>
        <w:t>.</w:t>
      </w:r>
    </w:p>
  </w:footnote>
  <w:footnote w:id="49">
    <w:p w14:paraId="5F7C8160" w14:textId="02EA7B0C" w:rsidR="00B750C8" w:rsidRPr="00250760" w:rsidRDefault="00B750C8">
      <w:pPr>
        <w:pStyle w:val="FootnoteText"/>
        <w:rPr>
          <w:color w:val="77328A"/>
          <w:sz w:val="16"/>
          <w:szCs w:val="16"/>
        </w:rPr>
      </w:pPr>
      <w:r w:rsidRPr="00250760">
        <w:rPr>
          <w:rStyle w:val="FootnoteReference"/>
          <w:color w:val="77328A"/>
          <w:sz w:val="16"/>
          <w:szCs w:val="16"/>
        </w:rPr>
        <w:footnoteRef/>
      </w:r>
      <w:r w:rsidRPr="00250760">
        <w:rPr>
          <w:color w:val="77328A"/>
          <w:sz w:val="16"/>
          <w:szCs w:val="16"/>
        </w:rPr>
        <w:t xml:space="preserve"> </w:t>
      </w:r>
      <w:r w:rsidR="00250760" w:rsidRPr="00250760">
        <w:rPr>
          <w:color w:val="77328A"/>
          <w:sz w:val="16"/>
          <w:szCs w:val="16"/>
        </w:rPr>
        <w:t>CRC/C/GBR/CO/6-7, ‘UN CRC Committee on the Sixth and Seventh Reports of the UK of Great Britain and NI’, 2 June 2023, at para 12(b).</w:t>
      </w:r>
    </w:p>
  </w:footnote>
  <w:footnote w:id="50">
    <w:p w14:paraId="78CDF7E4" w14:textId="34826220" w:rsidR="006619F1" w:rsidRDefault="006619F1">
      <w:pPr>
        <w:pStyle w:val="FootnoteText"/>
      </w:pPr>
      <w:r w:rsidRPr="00250760">
        <w:rPr>
          <w:rStyle w:val="FootnoteReference"/>
          <w:color w:val="77328A"/>
          <w:sz w:val="16"/>
          <w:szCs w:val="16"/>
        </w:rPr>
        <w:footnoteRef/>
      </w:r>
      <w:r w:rsidRPr="00250760">
        <w:rPr>
          <w:color w:val="77328A"/>
          <w:sz w:val="16"/>
          <w:szCs w:val="16"/>
        </w:rPr>
        <w:t xml:space="preserve"> Ibid, at para 12(a).</w:t>
      </w:r>
    </w:p>
  </w:footnote>
  <w:footnote w:id="51">
    <w:p w14:paraId="28EA17E0" w14:textId="77777777" w:rsidR="001F2D9A" w:rsidRPr="00B750C8" w:rsidRDefault="001F2D9A" w:rsidP="001F2D9A">
      <w:pPr>
        <w:tabs>
          <w:tab w:val="left" w:pos="166"/>
        </w:tabs>
        <w:spacing w:line="234" w:lineRule="auto"/>
        <w:ind w:right="100"/>
        <w:rPr>
          <w:rFonts w:eastAsia="Verdana"/>
          <w:color w:val="77328A"/>
          <w:sz w:val="16"/>
          <w:szCs w:val="16"/>
          <w:vertAlign w:val="superscript"/>
        </w:rPr>
      </w:pPr>
      <w:r w:rsidRPr="00B750C8">
        <w:rPr>
          <w:rStyle w:val="FootnoteReference"/>
          <w:color w:val="77328A"/>
          <w:sz w:val="16"/>
          <w:szCs w:val="16"/>
        </w:rPr>
        <w:footnoteRef/>
      </w:r>
      <w:r w:rsidRPr="00B750C8">
        <w:rPr>
          <w:color w:val="77328A"/>
          <w:sz w:val="16"/>
          <w:szCs w:val="16"/>
        </w:rPr>
        <w:t xml:space="preserve"> </w:t>
      </w:r>
      <w:r w:rsidRPr="00B750C8">
        <w:rPr>
          <w:rFonts w:eastAsia="Verdana"/>
          <w:color w:val="77328A"/>
          <w:sz w:val="16"/>
          <w:szCs w:val="16"/>
        </w:rPr>
        <w:t>CRC/GC/2003/5, ‘UN CRC Committee General Comment No 5: General measures of Implementation of the Convention on the Rights of the Child’, 27 November 2003, at para 12. See also E/C.12/GC/20, ‘UN CESCR Committee General Comment No 20: Non-discrimination in Economic, Social and Cultural Rights’, 2 July 2009, at para 41.</w:t>
      </w:r>
    </w:p>
  </w:footnote>
  <w:footnote w:id="52">
    <w:p w14:paraId="4D490BC3" w14:textId="77777777" w:rsidR="001D57EB" w:rsidRPr="002F7010" w:rsidRDefault="001D57EB" w:rsidP="001D57EB">
      <w:pPr>
        <w:pStyle w:val="FootnoteText"/>
        <w:rPr>
          <w:color w:val="77328A"/>
          <w:sz w:val="16"/>
          <w:szCs w:val="16"/>
        </w:rPr>
      </w:pPr>
      <w:r w:rsidRPr="008A7480">
        <w:rPr>
          <w:rStyle w:val="FootnoteReference"/>
          <w:color w:val="77328A"/>
          <w:sz w:val="16"/>
          <w:szCs w:val="16"/>
        </w:rPr>
        <w:footnoteRef/>
      </w:r>
      <w:r w:rsidRPr="008A7480">
        <w:rPr>
          <w:color w:val="77328A"/>
          <w:sz w:val="16"/>
          <w:szCs w:val="16"/>
        </w:rPr>
        <w:t xml:space="preserve"> CEDAW/C/GC/36 ‘UN CEDAW Committee General Recommendation No. 36 on Girls’ and Women’s Right to Education’, 16 November 2017, at para 36. </w:t>
      </w:r>
    </w:p>
  </w:footnote>
  <w:footnote w:id="53">
    <w:p w14:paraId="0655088B" w14:textId="77777777" w:rsidR="001D57EB" w:rsidRPr="002F7010" w:rsidRDefault="001D57EB" w:rsidP="001D57EB">
      <w:pPr>
        <w:pStyle w:val="FootnoteText"/>
        <w:rPr>
          <w:color w:val="77328A"/>
          <w:sz w:val="16"/>
          <w:szCs w:val="16"/>
        </w:rPr>
      </w:pPr>
      <w:r w:rsidRPr="002F7010">
        <w:rPr>
          <w:rStyle w:val="FootnoteReference"/>
          <w:color w:val="77328A"/>
          <w:sz w:val="16"/>
          <w:szCs w:val="16"/>
        </w:rPr>
        <w:footnoteRef/>
      </w:r>
      <w:r w:rsidRPr="002F7010">
        <w:rPr>
          <w:color w:val="77328A"/>
          <w:sz w:val="16"/>
          <w:szCs w:val="16"/>
        </w:rPr>
        <w:t xml:space="preserve"> Ibid, at para 39.</w:t>
      </w:r>
    </w:p>
  </w:footnote>
  <w:footnote w:id="54">
    <w:p w14:paraId="073561AA" w14:textId="77777777" w:rsidR="001D57EB" w:rsidRDefault="001D57EB" w:rsidP="001D57EB">
      <w:pPr>
        <w:pStyle w:val="FootnoteText"/>
      </w:pPr>
      <w:r w:rsidRPr="002F7010">
        <w:rPr>
          <w:rStyle w:val="FootnoteReference"/>
          <w:color w:val="77328A"/>
          <w:sz w:val="16"/>
          <w:szCs w:val="16"/>
        </w:rPr>
        <w:footnoteRef/>
      </w:r>
      <w:r w:rsidRPr="002F7010">
        <w:rPr>
          <w:color w:val="77328A"/>
          <w:sz w:val="16"/>
          <w:szCs w:val="16"/>
        </w:rPr>
        <w:t xml:space="preserve"> Ibid, at para 39(c).</w:t>
      </w:r>
    </w:p>
  </w:footnote>
  <w:footnote w:id="55">
    <w:p w14:paraId="67D1BF14" w14:textId="77777777" w:rsidR="00C12966" w:rsidRPr="008A7480" w:rsidRDefault="00C12966" w:rsidP="00C12966">
      <w:pPr>
        <w:pStyle w:val="FootnoteText"/>
        <w:rPr>
          <w:color w:val="77328A"/>
          <w:sz w:val="16"/>
          <w:szCs w:val="16"/>
        </w:rPr>
      </w:pPr>
      <w:r w:rsidRPr="008A7480">
        <w:rPr>
          <w:rStyle w:val="FootnoteReference"/>
          <w:color w:val="77328A"/>
          <w:sz w:val="16"/>
          <w:szCs w:val="16"/>
        </w:rPr>
        <w:footnoteRef/>
      </w:r>
      <w:r w:rsidRPr="008A7480">
        <w:rPr>
          <w:color w:val="77328A"/>
          <w:sz w:val="16"/>
          <w:szCs w:val="16"/>
        </w:rPr>
        <w:t xml:space="preserve"> E/C.12/GC/20, ‘UN ICESCR Committee General Comment No.20: Non-discrimination in economic, social and cultural rights (art. 2, para. 2)’, 2 July 2009, at para 35.</w:t>
      </w:r>
    </w:p>
  </w:footnote>
  <w:footnote w:id="56">
    <w:p w14:paraId="2FE7AE33" w14:textId="77777777" w:rsidR="00C30C43" w:rsidRPr="008A7480" w:rsidRDefault="00C30C43" w:rsidP="00C30C43">
      <w:pPr>
        <w:pStyle w:val="FootnoteText"/>
        <w:spacing w:line="240" w:lineRule="auto"/>
        <w:rPr>
          <w:color w:val="77328A"/>
          <w:sz w:val="16"/>
          <w:szCs w:val="16"/>
        </w:rPr>
      </w:pPr>
      <w:r w:rsidRPr="008A7480">
        <w:rPr>
          <w:rStyle w:val="FootnoteReference"/>
          <w:color w:val="77328A"/>
          <w:sz w:val="16"/>
          <w:szCs w:val="16"/>
        </w:rPr>
        <w:footnoteRef/>
      </w:r>
      <w:r w:rsidRPr="008A7480">
        <w:rPr>
          <w:color w:val="77328A"/>
          <w:sz w:val="16"/>
          <w:szCs w:val="16"/>
        </w:rPr>
        <w:t xml:space="preserve"> </w:t>
      </w:r>
      <w:r w:rsidRPr="008A7480">
        <w:rPr>
          <w:rFonts w:eastAsia="Verdana" w:cs="Verdana"/>
          <w:color w:val="77328A"/>
          <w:sz w:val="16"/>
          <w:szCs w:val="16"/>
        </w:rPr>
        <w:t>E/C.12/GBR/CO/6, ‘UN ICESCR Committee Concluding Observations on the Sixth Periodic Report of the UK of Great Britain and NI’ 14 July 2016, at para 48.</w:t>
      </w:r>
    </w:p>
  </w:footnote>
  <w:footnote w:id="57">
    <w:p w14:paraId="66129BDD" w14:textId="77777777" w:rsidR="00C30C43" w:rsidRPr="008A7480" w:rsidRDefault="00C30C43" w:rsidP="00C30C43">
      <w:pPr>
        <w:pStyle w:val="FootnoteText"/>
        <w:spacing w:line="240" w:lineRule="auto"/>
        <w:rPr>
          <w:color w:val="77328A"/>
          <w:sz w:val="16"/>
          <w:szCs w:val="16"/>
        </w:rPr>
      </w:pPr>
      <w:r w:rsidRPr="008A7480">
        <w:rPr>
          <w:rStyle w:val="FootnoteReference"/>
          <w:color w:val="77328A"/>
          <w:sz w:val="16"/>
          <w:szCs w:val="16"/>
        </w:rPr>
        <w:footnoteRef/>
      </w:r>
      <w:r w:rsidRPr="008A7480">
        <w:rPr>
          <w:color w:val="77328A"/>
          <w:sz w:val="16"/>
          <w:szCs w:val="16"/>
        </w:rPr>
        <w:t xml:space="preserve"> </w:t>
      </w:r>
      <w:r w:rsidRPr="008A7480">
        <w:rPr>
          <w:rFonts w:eastAsia="Verdana" w:cs="Verdana"/>
          <w:color w:val="77328A"/>
          <w:sz w:val="16"/>
          <w:szCs w:val="16"/>
        </w:rPr>
        <w:t>E/C.12/GBR/CO/6, ‘UN ICESCR Committee Concluding Observations on the Sixth Periodic Report of the UK of Great Britain and NI’ 14 July 2016, at para 64.</w:t>
      </w:r>
    </w:p>
  </w:footnote>
  <w:footnote w:id="58">
    <w:p w14:paraId="7B2017F1" w14:textId="77777777" w:rsidR="00A40B3C" w:rsidRPr="00A327B1" w:rsidRDefault="00A40B3C" w:rsidP="00A40B3C">
      <w:pPr>
        <w:tabs>
          <w:tab w:val="left" w:pos="252"/>
        </w:tabs>
        <w:spacing w:line="225" w:lineRule="auto"/>
        <w:ind w:right="340"/>
        <w:rPr>
          <w:rFonts w:eastAsia="Verdana"/>
          <w:color w:val="72328A"/>
          <w:sz w:val="19"/>
          <w:vertAlign w:val="superscript"/>
        </w:rPr>
      </w:pPr>
      <w:r w:rsidRPr="00002E5D">
        <w:rPr>
          <w:rStyle w:val="FootnoteReference"/>
          <w:color w:val="77328A"/>
          <w:sz w:val="16"/>
          <w:szCs w:val="16"/>
        </w:rPr>
        <w:footnoteRef/>
      </w:r>
      <w:r w:rsidRPr="00002E5D">
        <w:rPr>
          <w:color w:val="77328A"/>
          <w:sz w:val="16"/>
          <w:szCs w:val="16"/>
        </w:rPr>
        <w:t xml:space="preserve"> </w:t>
      </w:r>
      <w:r w:rsidRPr="00002E5D">
        <w:rPr>
          <w:rFonts w:eastAsia="Verdana"/>
          <w:color w:val="77328A"/>
          <w:sz w:val="16"/>
          <w:szCs w:val="16"/>
        </w:rPr>
        <w:t>E/C.12/GBR/CO/6, ‘UN CESCR Committee Concluding Observations on the Sixth Periodic Report of the UK of Great Britain and NI’, 14 July 2016, at para 24.</w:t>
      </w:r>
    </w:p>
  </w:footnote>
  <w:footnote w:id="59">
    <w:p w14:paraId="473B57C3" w14:textId="77777777" w:rsidR="0016493E" w:rsidRPr="0016493E" w:rsidRDefault="0016493E" w:rsidP="0016493E">
      <w:pPr>
        <w:pStyle w:val="FootnoteText"/>
        <w:rPr>
          <w:color w:val="77328A"/>
          <w:sz w:val="16"/>
          <w:szCs w:val="16"/>
        </w:rPr>
      </w:pPr>
      <w:r w:rsidRPr="0016493E">
        <w:rPr>
          <w:rStyle w:val="FootnoteReference"/>
          <w:color w:val="77328A"/>
          <w:sz w:val="16"/>
          <w:szCs w:val="16"/>
        </w:rPr>
        <w:footnoteRef/>
      </w:r>
      <w:r w:rsidRPr="0016493E">
        <w:rPr>
          <w:color w:val="77328A"/>
          <w:sz w:val="16"/>
          <w:szCs w:val="16"/>
        </w:rPr>
        <w:t xml:space="preserve"> CERD/C/64/Misc.11/rev.3, ‘UN CERD Committee General Recommendation No.30 Discrimination against non-citizens’, 12 March 2004. </w:t>
      </w:r>
    </w:p>
  </w:footnote>
  <w:footnote w:id="60">
    <w:p w14:paraId="4AA2B0FA" w14:textId="77777777" w:rsidR="0016493E" w:rsidRDefault="0016493E" w:rsidP="0016493E">
      <w:pPr>
        <w:pStyle w:val="FootnoteText"/>
      </w:pPr>
      <w:r w:rsidRPr="0016493E">
        <w:rPr>
          <w:rStyle w:val="FootnoteReference"/>
          <w:color w:val="77328A"/>
          <w:sz w:val="16"/>
          <w:szCs w:val="16"/>
        </w:rPr>
        <w:footnoteRef/>
      </w:r>
      <w:r w:rsidRPr="0016493E">
        <w:rPr>
          <w:color w:val="77328A"/>
          <w:sz w:val="16"/>
          <w:szCs w:val="16"/>
        </w:rPr>
        <w:t xml:space="preserve"> CERD/C/64/Misc.11/rev.3, ‘UN CERD Committee General Recommendation No.30 Discrimination against non-citizens’, 12 March 2004.</w:t>
      </w:r>
    </w:p>
  </w:footnote>
  <w:footnote w:id="61">
    <w:p w14:paraId="72F2561B" w14:textId="77777777" w:rsidR="00C30C43" w:rsidRPr="00490924" w:rsidRDefault="00C30C43" w:rsidP="00C30C43">
      <w:pPr>
        <w:pStyle w:val="Footnote"/>
      </w:pPr>
      <w:r w:rsidRPr="00225CFB">
        <w:rPr>
          <w:rStyle w:val="FootnoteReference"/>
        </w:rPr>
        <w:footnoteRef/>
      </w:r>
      <w:r w:rsidRPr="00225CFB">
        <w:t xml:space="preserve"> CRC/C/GBR/CO/6-7, ‘UN CRC Committee on the Sixth and Seventh Reports of the UK of Great Britain and NI’, 2 June 2023, at para 46(d).</w:t>
      </w:r>
    </w:p>
  </w:footnote>
  <w:footnote w:id="62">
    <w:p w14:paraId="10EE4BBD" w14:textId="77777777" w:rsidR="00DC5C20" w:rsidRPr="00AE6232" w:rsidRDefault="00DC5C20" w:rsidP="00DC5C20">
      <w:pPr>
        <w:pStyle w:val="FootnoteText"/>
        <w:rPr>
          <w:sz w:val="16"/>
          <w:szCs w:val="16"/>
        </w:rPr>
      </w:pPr>
      <w:r w:rsidRPr="00AE6232">
        <w:rPr>
          <w:rStyle w:val="FootnoteReference"/>
          <w:color w:val="77328A"/>
          <w:sz w:val="16"/>
          <w:szCs w:val="16"/>
        </w:rPr>
        <w:footnoteRef/>
      </w:r>
      <w:r w:rsidRPr="00AE6232">
        <w:rPr>
          <w:color w:val="77328A"/>
          <w:sz w:val="16"/>
          <w:szCs w:val="16"/>
        </w:rPr>
        <w:t xml:space="preserve"> Ibid, at para 47(a)</w:t>
      </w:r>
    </w:p>
  </w:footnote>
  <w:footnote w:id="63">
    <w:p w14:paraId="548C84DC" w14:textId="77777777" w:rsidR="00B0375E" w:rsidRPr="00002E5D" w:rsidRDefault="00B0375E" w:rsidP="00B0375E">
      <w:pPr>
        <w:pStyle w:val="FootnoteText"/>
        <w:rPr>
          <w:color w:val="77328A"/>
          <w:sz w:val="16"/>
          <w:szCs w:val="16"/>
        </w:rPr>
      </w:pPr>
      <w:r w:rsidRPr="00002E5D">
        <w:rPr>
          <w:rStyle w:val="FootnoteReference"/>
          <w:color w:val="77328A"/>
          <w:sz w:val="16"/>
          <w:szCs w:val="16"/>
        </w:rPr>
        <w:footnoteRef/>
      </w:r>
      <w:r w:rsidRPr="00002E5D">
        <w:rPr>
          <w:color w:val="77328A"/>
          <w:sz w:val="16"/>
          <w:szCs w:val="16"/>
        </w:rPr>
        <w:t xml:space="preserve"> CERD/C/GBR/CO/24-26, ‘UN CERD Committee Concluding Observations on the combined Twenty-fourth to Twenty-sixth Periodic Reports of the UK of Great Britain and NI’, 23 August 2024.</w:t>
      </w:r>
    </w:p>
  </w:footnote>
  <w:footnote w:id="64">
    <w:p w14:paraId="68C71068" w14:textId="77777777" w:rsidR="002F061B" w:rsidRPr="00F82C12" w:rsidRDefault="002F061B" w:rsidP="002F061B">
      <w:pPr>
        <w:pStyle w:val="FootnoteText"/>
        <w:rPr>
          <w:sz w:val="16"/>
          <w:szCs w:val="16"/>
        </w:rPr>
      </w:pPr>
      <w:r w:rsidRPr="00F82C12">
        <w:rPr>
          <w:rStyle w:val="FootnoteReference"/>
          <w:color w:val="77328A"/>
          <w:sz w:val="16"/>
          <w:szCs w:val="16"/>
        </w:rPr>
        <w:footnoteRef/>
      </w:r>
      <w:r w:rsidRPr="00F82C12">
        <w:rPr>
          <w:color w:val="77328A"/>
          <w:sz w:val="16"/>
          <w:szCs w:val="16"/>
        </w:rPr>
        <w:t xml:space="preserve"> Robbie Meredith, ‘School uniforms: Northern Ireland policy 'an outlier'’, </w:t>
      </w:r>
      <w:r w:rsidRPr="00F82C12">
        <w:rPr>
          <w:i/>
          <w:iCs/>
          <w:color w:val="77328A"/>
          <w:sz w:val="16"/>
          <w:szCs w:val="16"/>
        </w:rPr>
        <w:t>BBC News</w:t>
      </w:r>
      <w:r w:rsidRPr="00F82C12">
        <w:rPr>
          <w:color w:val="77328A"/>
          <w:sz w:val="16"/>
          <w:szCs w:val="16"/>
        </w:rPr>
        <w:t xml:space="preserve">, 18 April 2024. </w:t>
      </w:r>
    </w:p>
  </w:footnote>
  <w:footnote w:id="65">
    <w:p w14:paraId="14B2805E" w14:textId="77777777" w:rsidR="00865929" w:rsidRPr="008A7480" w:rsidRDefault="00865929" w:rsidP="00865929">
      <w:pPr>
        <w:pStyle w:val="NIHRCFootnotes"/>
      </w:pPr>
      <w:r w:rsidRPr="008A7480">
        <w:rPr>
          <w:rStyle w:val="FootnoteReference"/>
        </w:rPr>
        <w:footnoteRef/>
      </w:r>
      <w:r w:rsidRPr="008A7480">
        <w:t xml:space="preserve"> Department for Communities, ‘NI Poverty and Income Inequality Report 2022/23’ (</w:t>
      </w:r>
      <w:proofErr w:type="spellStart"/>
      <w:r w:rsidRPr="008A7480">
        <w:t>DfC</w:t>
      </w:r>
      <w:proofErr w:type="spellEnd"/>
      <w:r w:rsidRPr="008A7480">
        <w:t xml:space="preserve">, 2024), at Figures 6 and 7. </w:t>
      </w:r>
    </w:p>
  </w:footnote>
  <w:footnote w:id="66">
    <w:p w14:paraId="76147407" w14:textId="77777777" w:rsidR="00865929" w:rsidRPr="008A7480" w:rsidRDefault="00865929" w:rsidP="00865929">
      <w:pPr>
        <w:pStyle w:val="NIHRCFootnotes"/>
      </w:pPr>
      <w:r w:rsidRPr="008A7480">
        <w:rPr>
          <w:rStyle w:val="FootnoteReference"/>
        </w:rPr>
        <w:footnoteRef/>
      </w:r>
      <w:r w:rsidRPr="008A7480">
        <w:t xml:space="preserve"> Respondents are asked whether they have access to a list of 21 goods and services including for example, affording to go on school trips or affording a warm winter coat. If they cannot afford a given item, this is scored in the material deprivation measure, with items more commonly owned in the population given a higher weighted score. See NI Statistics and Research Agency, ‘NI Poverty </w:t>
      </w:r>
      <w:proofErr w:type="gramStart"/>
      <w:r w:rsidRPr="008A7480">
        <w:t>And</w:t>
      </w:r>
      <w:proofErr w:type="gramEnd"/>
      <w:r w:rsidRPr="008A7480">
        <w:t xml:space="preserve"> Income Inequality Report 2022/2023’ (</w:t>
      </w:r>
      <w:proofErr w:type="spellStart"/>
      <w:r w:rsidRPr="008A7480">
        <w:t>DfC</w:t>
      </w:r>
      <w:proofErr w:type="spellEnd"/>
      <w:r w:rsidRPr="008A7480">
        <w:t xml:space="preserve">, 2024), at Figure 8. </w:t>
      </w:r>
    </w:p>
  </w:footnote>
  <w:footnote w:id="67">
    <w:p w14:paraId="37CD62D6" w14:textId="7F683F39" w:rsidR="002F061B" w:rsidRPr="00654887" w:rsidRDefault="002F061B" w:rsidP="002F061B">
      <w:pPr>
        <w:pStyle w:val="Footnote"/>
      </w:pPr>
      <w:r w:rsidRPr="00654887">
        <w:rPr>
          <w:rStyle w:val="FootnoteReference"/>
          <w:rFonts w:eastAsiaTheme="majorEastAsia"/>
        </w:rPr>
        <w:footnoteRef/>
      </w:r>
      <w:r w:rsidRPr="00654887">
        <w:t xml:space="preserve"> </w:t>
      </w:r>
      <w:r>
        <w:t xml:space="preserve">‘School uniforms ‘number one financial burden’’, </w:t>
      </w:r>
      <w:r w:rsidRPr="003006CD">
        <w:rPr>
          <w:i/>
          <w:iCs/>
        </w:rPr>
        <w:t>BBC News</w:t>
      </w:r>
      <w:r>
        <w:rPr>
          <w:i/>
          <w:iCs/>
        </w:rPr>
        <w:t xml:space="preserve"> NI</w:t>
      </w:r>
      <w:r>
        <w:t xml:space="preserve">, 20 June 2024; </w:t>
      </w:r>
      <w:r w:rsidR="00876B57">
        <w:t>Jessica Lawrence, ‘</w:t>
      </w:r>
      <w:r w:rsidR="00190E76" w:rsidRPr="00190E76">
        <w:t>School uniforms: Parents in Northern Ireland call for more help with costs</w:t>
      </w:r>
      <w:r w:rsidR="00190E76">
        <w:t xml:space="preserve">’, </w:t>
      </w:r>
      <w:r w:rsidR="00190E76" w:rsidRPr="00190E76">
        <w:rPr>
          <w:i/>
          <w:iCs/>
        </w:rPr>
        <w:t>BBC News</w:t>
      </w:r>
      <w:r w:rsidR="00190E76">
        <w:rPr>
          <w:i/>
          <w:iCs/>
        </w:rPr>
        <w:t xml:space="preserve"> NI</w:t>
      </w:r>
      <w:r w:rsidR="00190E76">
        <w:t xml:space="preserve">, 28 August 2023; </w:t>
      </w:r>
      <w:r w:rsidRPr="00654887">
        <w:t xml:space="preserve">Rebecca McGirr, 'Cost of living: Minister urged to 'step up' over uniform costs', </w:t>
      </w:r>
      <w:r w:rsidRPr="00654887">
        <w:rPr>
          <w:i/>
          <w:iCs/>
        </w:rPr>
        <w:t>BBC News NI</w:t>
      </w:r>
      <w:r w:rsidRPr="00654887">
        <w:t>, 6 August 2022.</w:t>
      </w:r>
    </w:p>
  </w:footnote>
  <w:footnote w:id="68">
    <w:p w14:paraId="0B3C366B" w14:textId="24E5D7E0" w:rsidR="00354FA1" w:rsidRPr="00E34030" w:rsidRDefault="00354FA1">
      <w:pPr>
        <w:pStyle w:val="FootnoteText"/>
        <w:rPr>
          <w:sz w:val="16"/>
          <w:szCs w:val="16"/>
        </w:rPr>
      </w:pPr>
      <w:r w:rsidRPr="00E34030">
        <w:rPr>
          <w:rStyle w:val="FootnoteReference"/>
          <w:color w:val="77328A"/>
          <w:sz w:val="16"/>
          <w:szCs w:val="16"/>
        </w:rPr>
        <w:footnoteRef/>
      </w:r>
      <w:r w:rsidRPr="00E34030">
        <w:rPr>
          <w:color w:val="77328A"/>
          <w:sz w:val="16"/>
          <w:szCs w:val="16"/>
        </w:rPr>
        <w:t xml:space="preserve"> </w:t>
      </w:r>
      <w:r w:rsidR="00E613C2" w:rsidRPr="00E34030">
        <w:rPr>
          <w:color w:val="77328A"/>
          <w:sz w:val="16"/>
          <w:szCs w:val="16"/>
        </w:rPr>
        <w:t>Save the Children NI, ‘Uncapped Costs of School Uniforms are Causing Harm’ (</w:t>
      </w:r>
      <w:r w:rsidR="00E34030" w:rsidRPr="00E34030">
        <w:rPr>
          <w:color w:val="77328A"/>
          <w:sz w:val="16"/>
          <w:szCs w:val="16"/>
        </w:rPr>
        <w:t>Save the Children</w:t>
      </w:r>
      <w:r w:rsidR="00E613C2" w:rsidRPr="00E34030">
        <w:rPr>
          <w:color w:val="77328A"/>
          <w:sz w:val="16"/>
          <w:szCs w:val="16"/>
        </w:rPr>
        <w:t>, 2023)</w:t>
      </w:r>
      <w:r w:rsidR="00E34030" w:rsidRPr="00E34030">
        <w:rPr>
          <w:color w:val="77328A"/>
          <w:sz w:val="16"/>
          <w:szCs w:val="16"/>
        </w:rPr>
        <w:t>.</w:t>
      </w:r>
    </w:p>
  </w:footnote>
  <w:footnote w:id="69">
    <w:p w14:paraId="609AC6C2" w14:textId="77777777" w:rsidR="00CE1FAA" w:rsidRPr="00E34030" w:rsidRDefault="00CE1FAA" w:rsidP="00CE1FAA">
      <w:pPr>
        <w:pStyle w:val="FootnoteText"/>
        <w:rPr>
          <w:sz w:val="16"/>
          <w:szCs w:val="16"/>
        </w:rPr>
      </w:pPr>
      <w:r w:rsidRPr="00E34030">
        <w:rPr>
          <w:rStyle w:val="FootnoteReference"/>
          <w:color w:val="77328A"/>
          <w:sz w:val="16"/>
          <w:szCs w:val="16"/>
        </w:rPr>
        <w:footnoteRef/>
      </w:r>
      <w:r w:rsidRPr="00E34030">
        <w:rPr>
          <w:color w:val="77328A"/>
          <w:sz w:val="16"/>
          <w:szCs w:val="16"/>
        </w:rPr>
        <w:t xml:space="preserve"> Save the Children NI, ‘Uncapped Costs of School Uniforms are Causing Harm’ (Save the Children, 2023).</w:t>
      </w:r>
    </w:p>
  </w:footnote>
  <w:footnote w:id="70">
    <w:p w14:paraId="56F0649D" w14:textId="77777777" w:rsidR="00CE1FAA" w:rsidRPr="00E34030" w:rsidRDefault="00CE1FAA" w:rsidP="00CE1FAA">
      <w:pPr>
        <w:pStyle w:val="FootnoteText"/>
        <w:rPr>
          <w:sz w:val="16"/>
          <w:szCs w:val="16"/>
        </w:rPr>
      </w:pPr>
      <w:r w:rsidRPr="00E34030">
        <w:rPr>
          <w:rStyle w:val="FootnoteReference"/>
          <w:color w:val="77328A"/>
          <w:sz w:val="16"/>
          <w:szCs w:val="16"/>
        </w:rPr>
        <w:footnoteRef/>
      </w:r>
      <w:r w:rsidRPr="00E34030">
        <w:rPr>
          <w:color w:val="77328A"/>
          <w:sz w:val="16"/>
          <w:szCs w:val="16"/>
        </w:rPr>
        <w:t xml:space="preserve"> Save the Children NI, ‘Uncapped Costs of School Uniforms are Causing Harm’ (Save the Children, 2023).</w:t>
      </w:r>
    </w:p>
  </w:footnote>
  <w:footnote w:id="71">
    <w:p w14:paraId="2CA40D1D" w14:textId="3EA7E2AA" w:rsidR="00CE1FAA" w:rsidRPr="00646270" w:rsidRDefault="00CE1FAA">
      <w:pPr>
        <w:pStyle w:val="FootnoteText"/>
        <w:rPr>
          <w:sz w:val="16"/>
          <w:szCs w:val="16"/>
        </w:rPr>
      </w:pPr>
      <w:r w:rsidRPr="00646270">
        <w:rPr>
          <w:rStyle w:val="FootnoteReference"/>
          <w:color w:val="77328A"/>
          <w:sz w:val="16"/>
          <w:szCs w:val="16"/>
        </w:rPr>
        <w:footnoteRef/>
      </w:r>
      <w:r w:rsidRPr="00646270">
        <w:rPr>
          <w:color w:val="77328A"/>
          <w:sz w:val="16"/>
          <w:szCs w:val="16"/>
        </w:rPr>
        <w:t xml:space="preserve"> </w:t>
      </w:r>
      <w:r w:rsidR="00A50F67" w:rsidRPr="00646270">
        <w:rPr>
          <w:color w:val="77328A"/>
          <w:sz w:val="16"/>
          <w:szCs w:val="16"/>
        </w:rPr>
        <w:t>Irish League of Credit Unions, ‘</w:t>
      </w:r>
      <w:r w:rsidR="00646270" w:rsidRPr="00646270">
        <w:rPr>
          <w:color w:val="77328A"/>
          <w:sz w:val="16"/>
          <w:szCs w:val="16"/>
        </w:rPr>
        <w:t xml:space="preserve">Press Release: </w:t>
      </w:r>
      <w:r w:rsidR="00A50F67" w:rsidRPr="00646270">
        <w:rPr>
          <w:color w:val="77328A"/>
          <w:sz w:val="16"/>
          <w:szCs w:val="16"/>
        </w:rPr>
        <w:t>ILCU Back to School research shows 79% of parents in NI under pressure due to schooling costs’</w:t>
      </w:r>
      <w:r w:rsidR="00646270" w:rsidRPr="00646270">
        <w:rPr>
          <w:color w:val="77328A"/>
          <w:sz w:val="16"/>
          <w:szCs w:val="16"/>
        </w:rPr>
        <w:t>, 10 July 2024.</w:t>
      </w:r>
    </w:p>
  </w:footnote>
  <w:footnote w:id="72">
    <w:p w14:paraId="08B877E6" w14:textId="77777777" w:rsidR="00646270" w:rsidRPr="00646270" w:rsidRDefault="00646270" w:rsidP="00646270">
      <w:pPr>
        <w:pStyle w:val="FootnoteText"/>
        <w:rPr>
          <w:sz w:val="16"/>
          <w:szCs w:val="16"/>
        </w:rPr>
      </w:pPr>
      <w:r w:rsidRPr="00646270">
        <w:rPr>
          <w:rStyle w:val="FootnoteReference"/>
          <w:color w:val="77328A"/>
          <w:sz w:val="16"/>
          <w:szCs w:val="16"/>
        </w:rPr>
        <w:footnoteRef/>
      </w:r>
      <w:r w:rsidRPr="00646270">
        <w:rPr>
          <w:color w:val="77328A"/>
          <w:sz w:val="16"/>
          <w:szCs w:val="16"/>
        </w:rPr>
        <w:t xml:space="preserve"> Irish League of Credit Unions, ‘Press Release: ILCU Back to School research shows 79% of parents in NI under pressure due to schooling costs’, 10 July 2024.</w:t>
      </w:r>
    </w:p>
  </w:footnote>
  <w:footnote w:id="73">
    <w:p w14:paraId="468D3CE7" w14:textId="77777777" w:rsidR="00646270" w:rsidRPr="00646270" w:rsidRDefault="00646270" w:rsidP="00646270">
      <w:pPr>
        <w:pStyle w:val="FootnoteText"/>
        <w:rPr>
          <w:sz w:val="16"/>
          <w:szCs w:val="16"/>
        </w:rPr>
      </w:pPr>
      <w:r w:rsidRPr="00646270">
        <w:rPr>
          <w:rStyle w:val="FootnoteReference"/>
          <w:color w:val="77328A"/>
          <w:sz w:val="16"/>
          <w:szCs w:val="16"/>
        </w:rPr>
        <w:footnoteRef/>
      </w:r>
      <w:r w:rsidRPr="00646270">
        <w:rPr>
          <w:color w:val="77328A"/>
          <w:sz w:val="16"/>
          <w:szCs w:val="16"/>
        </w:rPr>
        <w:t xml:space="preserve"> Irish League of Credit Unions, ‘Press Release: ILCU Back to School research shows 79% of parents in NI under pressure due to schooling costs’, 10 July 2024.</w:t>
      </w:r>
    </w:p>
  </w:footnote>
  <w:footnote w:id="74">
    <w:p w14:paraId="186FAD83" w14:textId="4909C08A" w:rsidR="00035D35" w:rsidRPr="00C1657F" w:rsidRDefault="00035D35">
      <w:pPr>
        <w:pStyle w:val="FootnoteText"/>
        <w:rPr>
          <w:sz w:val="16"/>
          <w:szCs w:val="16"/>
        </w:rPr>
      </w:pPr>
      <w:r w:rsidRPr="00C1657F">
        <w:rPr>
          <w:rStyle w:val="FootnoteReference"/>
          <w:color w:val="77328A"/>
          <w:sz w:val="16"/>
          <w:szCs w:val="16"/>
        </w:rPr>
        <w:footnoteRef/>
      </w:r>
      <w:r w:rsidRPr="00C1657F">
        <w:rPr>
          <w:color w:val="77328A"/>
          <w:sz w:val="16"/>
          <w:szCs w:val="16"/>
        </w:rPr>
        <w:t xml:space="preserve"> </w:t>
      </w:r>
      <w:r w:rsidR="00C1657F" w:rsidRPr="00C1657F">
        <w:rPr>
          <w:color w:val="77328A"/>
          <w:sz w:val="16"/>
          <w:szCs w:val="16"/>
        </w:rPr>
        <w:t xml:space="preserve">NI Direct, ‘School uniform and uniform </w:t>
      </w:r>
      <w:proofErr w:type="gramStart"/>
      <w:r w:rsidR="00C1657F" w:rsidRPr="00C1657F">
        <w:rPr>
          <w:color w:val="77328A"/>
          <w:sz w:val="16"/>
          <w:szCs w:val="16"/>
        </w:rPr>
        <w:t>grants’</w:t>
      </w:r>
      <w:proofErr w:type="gramEnd"/>
      <w:r w:rsidR="00C1657F" w:rsidRPr="00C1657F">
        <w:rPr>
          <w:color w:val="77328A"/>
          <w:sz w:val="16"/>
          <w:szCs w:val="16"/>
        </w:rPr>
        <w:t xml:space="preserve">. Available at: </w:t>
      </w:r>
      <w:hyperlink r:id="rId3" w:history="1">
        <w:r w:rsidR="00C1657F" w:rsidRPr="00C1657F">
          <w:rPr>
            <w:rStyle w:val="Hyperlink"/>
            <w:color w:val="77328A"/>
            <w:sz w:val="16"/>
            <w:szCs w:val="16"/>
          </w:rPr>
          <w:t xml:space="preserve">School uniform and uniform grants | </w:t>
        </w:r>
        <w:proofErr w:type="spellStart"/>
        <w:r w:rsidR="00C1657F" w:rsidRPr="00C1657F">
          <w:rPr>
            <w:rStyle w:val="Hyperlink"/>
            <w:color w:val="77328A"/>
            <w:sz w:val="16"/>
            <w:szCs w:val="16"/>
          </w:rPr>
          <w:t>nidirect</w:t>
        </w:r>
        <w:proofErr w:type="spellEnd"/>
      </w:hyperlink>
    </w:p>
  </w:footnote>
  <w:footnote w:id="75">
    <w:p w14:paraId="3AAE7817" w14:textId="77777777" w:rsidR="006120C2" w:rsidRPr="001F2AC4" w:rsidRDefault="006120C2" w:rsidP="006120C2">
      <w:pPr>
        <w:pStyle w:val="FootnoteText"/>
        <w:rPr>
          <w:color w:val="77328A"/>
          <w:sz w:val="16"/>
          <w:szCs w:val="16"/>
        </w:rPr>
      </w:pPr>
      <w:r w:rsidRPr="001F2AC4">
        <w:rPr>
          <w:rStyle w:val="FootnoteReference"/>
          <w:color w:val="77328A"/>
          <w:sz w:val="16"/>
          <w:szCs w:val="16"/>
        </w:rPr>
        <w:footnoteRef/>
      </w:r>
      <w:r w:rsidRPr="001F2AC4">
        <w:rPr>
          <w:color w:val="77328A"/>
          <w:sz w:val="16"/>
          <w:szCs w:val="16"/>
        </w:rPr>
        <w:t xml:space="preserve"> Department of Education, ‘Public Consultation Document: School Uniform Policy’ (DE, 2024), at paras 2.3 – 2.31.</w:t>
      </w:r>
    </w:p>
  </w:footnote>
  <w:footnote w:id="76">
    <w:p w14:paraId="5241CB8B" w14:textId="77777777" w:rsidR="006120C2" w:rsidRDefault="006120C2" w:rsidP="006120C2">
      <w:pPr>
        <w:pStyle w:val="FootnoteText"/>
      </w:pPr>
      <w:r w:rsidRPr="001F2AC4">
        <w:rPr>
          <w:rStyle w:val="FootnoteReference"/>
          <w:color w:val="77328A"/>
          <w:sz w:val="16"/>
          <w:szCs w:val="16"/>
        </w:rPr>
        <w:footnoteRef/>
      </w:r>
      <w:r w:rsidRPr="001F2AC4">
        <w:rPr>
          <w:color w:val="77328A"/>
          <w:sz w:val="16"/>
          <w:szCs w:val="16"/>
        </w:rPr>
        <w:t xml:space="preserve"> Department of Education, ‘Public Consultation Document: School Uniform Policy’ (DE, 2024), at paras 2.3 – 2.31.</w:t>
      </w:r>
    </w:p>
  </w:footnote>
  <w:footnote w:id="77">
    <w:p w14:paraId="5B960BEE" w14:textId="77777777" w:rsidR="002063D6" w:rsidRPr="00EF2868" w:rsidRDefault="002063D6" w:rsidP="002063D6">
      <w:pPr>
        <w:pStyle w:val="FootnoteText"/>
        <w:spacing w:line="240" w:lineRule="auto"/>
        <w:rPr>
          <w:color w:val="77328A"/>
          <w:sz w:val="16"/>
          <w:szCs w:val="16"/>
        </w:rPr>
      </w:pPr>
      <w:r w:rsidRPr="00EF2868">
        <w:rPr>
          <w:rStyle w:val="FootnoteReference"/>
          <w:color w:val="77328A"/>
          <w:sz w:val="16"/>
          <w:szCs w:val="16"/>
        </w:rPr>
        <w:footnoteRef/>
      </w:r>
      <w:r w:rsidRPr="00EF2868">
        <w:rPr>
          <w:color w:val="77328A"/>
          <w:sz w:val="16"/>
          <w:szCs w:val="16"/>
        </w:rPr>
        <w:t xml:space="preserve"> Ibid, at para 6(d).</w:t>
      </w:r>
    </w:p>
  </w:footnote>
  <w:footnote w:id="78">
    <w:p w14:paraId="4D9516BD" w14:textId="77777777" w:rsidR="002A16E1" w:rsidRPr="001F2AC4" w:rsidRDefault="002A16E1" w:rsidP="002A16E1">
      <w:pPr>
        <w:pStyle w:val="FootnoteText"/>
        <w:rPr>
          <w:color w:val="77328A"/>
          <w:sz w:val="16"/>
          <w:szCs w:val="16"/>
        </w:rPr>
      </w:pPr>
      <w:r w:rsidRPr="001F2AC4">
        <w:rPr>
          <w:rStyle w:val="FootnoteReference"/>
          <w:color w:val="77328A"/>
          <w:sz w:val="16"/>
          <w:szCs w:val="16"/>
        </w:rPr>
        <w:footnoteRef/>
      </w:r>
      <w:r w:rsidRPr="001F2AC4">
        <w:rPr>
          <w:color w:val="77328A"/>
          <w:sz w:val="16"/>
          <w:szCs w:val="16"/>
        </w:rPr>
        <w:t xml:space="preserve"> Department of Education, ‘Public Consultation Document: School Uniform Policy’ (DE, 2024), at paras 2.3 – 2.31.</w:t>
      </w:r>
    </w:p>
  </w:footnote>
  <w:footnote w:id="79">
    <w:p w14:paraId="60135A23" w14:textId="64DF88D8" w:rsidR="00C84A4B" w:rsidRPr="008B6637" w:rsidRDefault="00C84A4B" w:rsidP="00C84A4B">
      <w:pPr>
        <w:pStyle w:val="FootnoteText"/>
        <w:rPr>
          <w:color w:val="77328A"/>
          <w:sz w:val="16"/>
          <w:szCs w:val="16"/>
        </w:rPr>
      </w:pPr>
      <w:r w:rsidRPr="008B6637">
        <w:rPr>
          <w:rStyle w:val="FootnoteReference"/>
          <w:color w:val="77328A"/>
          <w:sz w:val="16"/>
          <w:szCs w:val="16"/>
        </w:rPr>
        <w:footnoteRef/>
      </w:r>
      <w:r w:rsidRPr="008B6637">
        <w:rPr>
          <w:color w:val="77328A"/>
          <w:sz w:val="16"/>
          <w:szCs w:val="16"/>
        </w:rPr>
        <w:t xml:space="preserve"> Robbie Meredith, ‘School uniforms: Northern Ireland policy 'an outlier'’, </w:t>
      </w:r>
      <w:r w:rsidRPr="008B6637">
        <w:rPr>
          <w:i/>
          <w:iCs/>
          <w:color w:val="77328A"/>
          <w:sz w:val="16"/>
          <w:szCs w:val="16"/>
        </w:rPr>
        <w:t>BBC News</w:t>
      </w:r>
      <w:r w:rsidRPr="008B6637">
        <w:rPr>
          <w:color w:val="77328A"/>
          <w:sz w:val="16"/>
          <w:szCs w:val="16"/>
        </w:rPr>
        <w:t xml:space="preserve">, 18 April </w:t>
      </w:r>
      <w:proofErr w:type="gramStart"/>
      <w:r w:rsidRPr="008B6637">
        <w:rPr>
          <w:color w:val="77328A"/>
          <w:sz w:val="16"/>
          <w:szCs w:val="16"/>
        </w:rPr>
        <w:t>2024</w:t>
      </w:r>
      <w:r w:rsidR="00F52875">
        <w:rPr>
          <w:color w:val="77328A"/>
          <w:sz w:val="16"/>
          <w:szCs w:val="16"/>
        </w:rPr>
        <w:t>;</w:t>
      </w:r>
      <w:proofErr w:type="gramEnd"/>
      <w:r w:rsidR="00F52875">
        <w:rPr>
          <w:color w:val="77328A"/>
          <w:sz w:val="16"/>
          <w:szCs w:val="16"/>
        </w:rPr>
        <w:t xml:space="preserve"> </w:t>
      </w:r>
    </w:p>
  </w:footnote>
  <w:footnote w:id="80">
    <w:p w14:paraId="4F1F7ACF" w14:textId="77777777" w:rsidR="00AB378B" w:rsidRPr="002F7010" w:rsidRDefault="00AB378B" w:rsidP="00AB378B">
      <w:pPr>
        <w:pStyle w:val="FootnoteText"/>
        <w:rPr>
          <w:color w:val="77328A"/>
          <w:sz w:val="16"/>
          <w:szCs w:val="16"/>
        </w:rPr>
      </w:pPr>
      <w:r w:rsidRPr="008A7480">
        <w:rPr>
          <w:rStyle w:val="FootnoteReference"/>
          <w:color w:val="77328A"/>
          <w:sz w:val="16"/>
          <w:szCs w:val="16"/>
        </w:rPr>
        <w:footnoteRef/>
      </w:r>
      <w:r w:rsidRPr="008A7480">
        <w:rPr>
          <w:color w:val="77328A"/>
          <w:sz w:val="16"/>
          <w:szCs w:val="16"/>
        </w:rPr>
        <w:t xml:space="preserve"> CEDAW/C/GC/36 ‘UN CEDAW Committee General Recommendation No. 36 on Girls’ and Women’s Right to Education’, 16 November 2017, at para 36. </w:t>
      </w:r>
    </w:p>
  </w:footnote>
  <w:footnote w:id="81">
    <w:p w14:paraId="42E74CB0" w14:textId="7F1DC4C7" w:rsidR="006574C1" w:rsidRPr="008B6637" w:rsidRDefault="006574C1">
      <w:pPr>
        <w:pStyle w:val="FootnoteText"/>
        <w:rPr>
          <w:color w:val="77328A"/>
          <w:sz w:val="16"/>
          <w:szCs w:val="16"/>
        </w:rPr>
      </w:pPr>
      <w:r w:rsidRPr="008B6637">
        <w:rPr>
          <w:rStyle w:val="FootnoteReference"/>
          <w:color w:val="77328A"/>
          <w:sz w:val="16"/>
          <w:szCs w:val="16"/>
        </w:rPr>
        <w:footnoteRef/>
      </w:r>
      <w:r w:rsidRPr="008B6637">
        <w:rPr>
          <w:color w:val="77328A"/>
          <w:sz w:val="16"/>
          <w:szCs w:val="16"/>
        </w:rPr>
        <w:t xml:space="preserve"> </w:t>
      </w:r>
      <w:r w:rsidR="00806271" w:rsidRPr="008B6637">
        <w:rPr>
          <w:color w:val="77328A"/>
          <w:sz w:val="16"/>
          <w:szCs w:val="16"/>
        </w:rPr>
        <w:t>UK Government, ‘Department of Education – Statutory Guidance: Cost of School Uniforms’ (Gov.UK, 2021)</w:t>
      </w:r>
      <w:r w:rsidR="006D6AAB" w:rsidRPr="008B6637">
        <w:rPr>
          <w:color w:val="77328A"/>
          <w:sz w:val="16"/>
          <w:szCs w:val="16"/>
        </w:rPr>
        <w:t>.</w:t>
      </w:r>
    </w:p>
  </w:footnote>
  <w:footnote w:id="82">
    <w:p w14:paraId="5F18C487" w14:textId="323EC0E4" w:rsidR="00894464" w:rsidRDefault="00894464">
      <w:pPr>
        <w:pStyle w:val="FootnoteText"/>
      </w:pPr>
      <w:r w:rsidRPr="008B6637">
        <w:rPr>
          <w:rStyle w:val="FootnoteReference"/>
          <w:color w:val="77328A"/>
          <w:sz w:val="16"/>
          <w:szCs w:val="16"/>
        </w:rPr>
        <w:footnoteRef/>
      </w:r>
      <w:r w:rsidRPr="008B6637">
        <w:rPr>
          <w:color w:val="77328A"/>
          <w:sz w:val="16"/>
          <w:szCs w:val="16"/>
        </w:rPr>
        <w:t xml:space="preserve"> </w:t>
      </w:r>
      <w:r w:rsidR="006D6AAB" w:rsidRPr="008B6637">
        <w:rPr>
          <w:color w:val="77328A"/>
          <w:sz w:val="16"/>
          <w:szCs w:val="16"/>
        </w:rPr>
        <w:t>Welsh Government, ‘</w:t>
      </w:r>
      <w:r w:rsidR="00894DF8" w:rsidRPr="008B6637">
        <w:rPr>
          <w:color w:val="77328A"/>
          <w:sz w:val="16"/>
          <w:szCs w:val="16"/>
        </w:rPr>
        <w:t>School uniform and appearance: policy guidance for governing bodies (WG23-17)’ (</w:t>
      </w:r>
      <w:proofErr w:type="spellStart"/>
      <w:r w:rsidR="00894DF8" w:rsidRPr="008B6637">
        <w:rPr>
          <w:color w:val="77328A"/>
          <w:sz w:val="16"/>
          <w:szCs w:val="16"/>
        </w:rPr>
        <w:t>Gov.</w:t>
      </w:r>
      <w:r w:rsidR="008B6637" w:rsidRPr="008B6637">
        <w:rPr>
          <w:color w:val="77328A"/>
          <w:sz w:val="16"/>
          <w:szCs w:val="16"/>
        </w:rPr>
        <w:t>WALES</w:t>
      </w:r>
      <w:proofErr w:type="spellEnd"/>
      <w:r w:rsidR="00894DF8" w:rsidRPr="008B6637">
        <w:rPr>
          <w:color w:val="77328A"/>
          <w:sz w:val="16"/>
          <w:szCs w:val="16"/>
        </w:rPr>
        <w:t>, 2023)</w:t>
      </w:r>
      <w:r w:rsidR="002C7013">
        <w:rPr>
          <w:color w:val="77328A"/>
          <w:sz w:val="16"/>
          <w:szCs w:val="16"/>
        </w:rPr>
        <w:t xml:space="preserve"> [emphasis added].</w:t>
      </w:r>
    </w:p>
  </w:footnote>
  <w:footnote w:id="83">
    <w:p w14:paraId="7B56771F" w14:textId="59E29DCE" w:rsidR="002C7013" w:rsidRPr="002C7013" w:rsidRDefault="002C7013">
      <w:pPr>
        <w:pStyle w:val="FootnoteText"/>
        <w:rPr>
          <w:sz w:val="16"/>
          <w:szCs w:val="16"/>
        </w:rPr>
      </w:pPr>
      <w:r w:rsidRPr="002C7013">
        <w:rPr>
          <w:rStyle w:val="FootnoteReference"/>
          <w:color w:val="77328A"/>
          <w:sz w:val="16"/>
          <w:szCs w:val="16"/>
        </w:rPr>
        <w:footnoteRef/>
      </w:r>
      <w:r w:rsidRPr="002C7013">
        <w:rPr>
          <w:color w:val="77328A"/>
          <w:sz w:val="16"/>
          <w:szCs w:val="16"/>
        </w:rPr>
        <w:t xml:space="preserve"> Department of Education, ‘Public Consultation Document: School Uniform Policy’ (DE, 2024), at para 2.18.</w:t>
      </w:r>
    </w:p>
  </w:footnote>
  <w:footnote w:id="84">
    <w:p w14:paraId="6D895EC9" w14:textId="77777777" w:rsidR="00E65727" w:rsidRPr="0046596E" w:rsidRDefault="00E65727" w:rsidP="00E65727">
      <w:pPr>
        <w:pStyle w:val="FootnoteText"/>
        <w:rPr>
          <w:color w:val="77328A"/>
          <w:sz w:val="16"/>
          <w:szCs w:val="16"/>
        </w:rPr>
      </w:pPr>
      <w:r w:rsidRPr="0046596E">
        <w:rPr>
          <w:rStyle w:val="FootnoteReference"/>
          <w:color w:val="77328A"/>
          <w:sz w:val="16"/>
          <w:szCs w:val="16"/>
        </w:rPr>
        <w:footnoteRef/>
      </w:r>
      <w:r w:rsidRPr="0046596E">
        <w:rPr>
          <w:color w:val="77328A"/>
          <w:sz w:val="16"/>
          <w:szCs w:val="16"/>
        </w:rPr>
        <w:t xml:space="preserve"> E/C.12/GC/20, ‘UN ICESCR Committee General Comment No.20: Non-discrimination in economic, social and cultural rights (art. 2, para. 2)’, 2 July 2009, at para 13.</w:t>
      </w:r>
    </w:p>
  </w:footnote>
  <w:footnote w:id="85">
    <w:p w14:paraId="53BB1E53" w14:textId="77777777" w:rsidR="00DB5B04" w:rsidRDefault="00DB5B04" w:rsidP="00DB5B04">
      <w:pPr>
        <w:pStyle w:val="FootnoteText"/>
      </w:pPr>
      <w:r w:rsidRPr="0046596E">
        <w:rPr>
          <w:rStyle w:val="FootnoteReference"/>
          <w:color w:val="77328A"/>
          <w:sz w:val="16"/>
          <w:szCs w:val="16"/>
        </w:rPr>
        <w:footnoteRef/>
      </w:r>
      <w:r w:rsidRPr="0046596E">
        <w:rPr>
          <w:color w:val="77328A"/>
          <w:sz w:val="16"/>
          <w:szCs w:val="16"/>
        </w:rPr>
        <w:t xml:space="preserve"> CEDAW/C/GC/36 ‘UN CEDAW Committee General Recommendation No. 36 on Girls’ and Women’s Right to Education’, 16 November 2017, at para 31.</w:t>
      </w:r>
      <w:r w:rsidRPr="0046596E">
        <w:rPr>
          <w:color w:val="77328A"/>
        </w:rPr>
        <w:t xml:space="preserve"> </w:t>
      </w:r>
    </w:p>
  </w:footnote>
  <w:footnote w:id="86">
    <w:p w14:paraId="636C7ADE" w14:textId="7E4E1B6C" w:rsidR="00BF60EF" w:rsidRPr="0027535B" w:rsidRDefault="00BF60EF" w:rsidP="00BF60EF">
      <w:pPr>
        <w:pStyle w:val="FootnoteText"/>
        <w:rPr>
          <w:color w:val="77328A"/>
          <w:sz w:val="16"/>
          <w:szCs w:val="16"/>
        </w:rPr>
      </w:pPr>
      <w:r w:rsidRPr="0027535B">
        <w:rPr>
          <w:rStyle w:val="FootnoteReference"/>
          <w:color w:val="77328A"/>
          <w:sz w:val="16"/>
          <w:szCs w:val="16"/>
        </w:rPr>
        <w:footnoteRef/>
      </w:r>
      <w:r w:rsidRPr="0027535B">
        <w:rPr>
          <w:color w:val="77328A"/>
          <w:sz w:val="16"/>
          <w:szCs w:val="16"/>
        </w:rPr>
        <w:t xml:space="preserve"> </w:t>
      </w:r>
      <w:r w:rsidR="00887139" w:rsidRPr="0027535B">
        <w:rPr>
          <w:color w:val="77328A"/>
          <w:sz w:val="16"/>
          <w:szCs w:val="16"/>
        </w:rPr>
        <w:t xml:space="preserve">CRC/C/GBR/CO/6-7, ‘UN CRC Committee on the Sixth and Seventh Reports of the UK of Great Britain and NI’, 2 June 2023, at </w:t>
      </w:r>
      <w:r w:rsidRPr="0027535B">
        <w:rPr>
          <w:color w:val="77328A"/>
          <w:sz w:val="16"/>
          <w:szCs w:val="16"/>
        </w:rPr>
        <w:t>para 11(a)-(c).</w:t>
      </w:r>
    </w:p>
  </w:footnote>
  <w:footnote w:id="87">
    <w:p w14:paraId="2C58117C" w14:textId="1985232A" w:rsidR="0027535B" w:rsidRPr="0027535B" w:rsidRDefault="0027535B">
      <w:pPr>
        <w:pStyle w:val="FootnoteText"/>
        <w:rPr>
          <w:color w:val="77328A"/>
          <w:sz w:val="16"/>
          <w:szCs w:val="16"/>
        </w:rPr>
      </w:pPr>
      <w:r w:rsidRPr="0027535B">
        <w:rPr>
          <w:rStyle w:val="FootnoteReference"/>
          <w:color w:val="77328A"/>
          <w:sz w:val="16"/>
          <w:szCs w:val="16"/>
        </w:rPr>
        <w:footnoteRef/>
      </w:r>
      <w:r w:rsidRPr="0027535B">
        <w:rPr>
          <w:color w:val="77328A"/>
          <w:sz w:val="16"/>
          <w:szCs w:val="16"/>
        </w:rPr>
        <w:t xml:space="preserve"> Department of Education, ‘Public Consultation Document: School Uniform Policy’ (DE, 2024), at paras 2.19 – 2.31.</w:t>
      </w:r>
    </w:p>
  </w:footnote>
  <w:footnote w:id="88">
    <w:p w14:paraId="234341EE" w14:textId="403B4692" w:rsidR="00973C59" w:rsidRPr="0027535B" w:rsidRDefault="00973C59" w:rsidP="005216C2">
      <w:pPr>
        <w:pStyle w:val="Footnote"/>
      </w:pPr>
      <w:r w:rsidRPr="0027535B">
        <w:rPr>
          <w:rStyle w:val="FootnoteReference"/>
        </w:rPr>
        <w:footnoteRef/>
      </w:r>
      <w:r w:rsidRPr="0027535B">
        <w:t xml:space="preserve"> </w:t>
      </w:r>
      <w:r w:rsidR="005216C2" w:rsidRPr="0027535B">
        <w:t>NI Assembly Hansard, ‘Official Report: School Uniform Grant – Paul Givan MLA’, 3 June 2024.</w:t>
      </w:r>
    </w:p>
  </w:footnote>
  <w:footnote w:id="89">
    <w:p w14:paraId="5EA646BF" w14:textId="1C41D34E" w:rsidR="007D7CE0" w:rsidRPr="0027535B" w:rsidRDefault="007D7CE0">
      <w:pPr>
        <w:pStyle w:val="FootnoteText"/>
        <w:rPr>
          <w:color w:val="77328A"/>
          <w:sz w:val="16"/>
          <w:szCs w:val="16"/>
        </w:rPr>
      </w:pPr>
      <w:r w:rsidRPr="0027535B">
        <w:rPr>
          <w:rStyle w:val="FootnoteReference"/>
          <w:color w:val="77328A"/>
          <w:sz w:val="16"/>
          <w:szCs w:val="16"/>
        </w:rPr>
        <w:footnoteRef/>
      </w:r>
      <w:r w:rsidRPr="0027535B">
        <w:rPr>
          <w:color w:val="77328A"/>
          <w:sz w:val="16"/>
          <w:szCs w:val="16"/>
        </w:rPr>
        <w:t xml:space="preserve"> </w:t>
      </w:r>
      <w:r w:rsidR="005E2717" w:rsidRPr="0027535B">
        <w:rPr>
          <w:color w:val="77328A"/>
          <w:sz w:val="16"/>
          <w:szCs w:val="16"/>
        </w:rPr>
        <w:t xml:space="preserve">Department of Education, ‘Public Consultation Document: School Uniform Policy’ (DE, 2024), at paras </w:t>
      </w:r>
      <w:r w:rsidRPr="0027535B">
        <w:rPr>
          <w:color w:val="77328A"/>
          <w:sz w:val="16"/>
          <w:szCs w:val="16"/>
        </w:rPr>
        <w:t xml:space="preserve">3.4 </w:t>
      </w:r>
      <w:r w:rsidR="005E2717" w:rsidRPr="0027535B">
        <w:rPr>
          <w:color w:val="77328A"/>
          <w:sz w:val="16"/>
          <w:szCs w:val="16"/>
        </w:rPr>
        <w:t>–</w:t>
      </w:r>
      <w:r w:rsidRPr="0027535B">
        <w:rPr>
          <w:color w:val="77328A"/>
          <w:sz w:val="16"/>
          <w:szCs w:val="16"/>
        </w:rPr>
        <w:t xml:space="preserve"> </w:t>
      </w:r>
      <w:r w:rsidR="005E2717" w:rsidRPr="0027535B">
        <w:rPr>
          <w:color w:val="77328A"/>
          <w:sz w:val="16"/>
          <w:szCs w:val="16"/>
        </w:rPr>
        <w:t>3.5.</w:t>
      </w:r>
    </w:p>
  </w:footnote>
  <w:footnote w:id="90">
    <w:p w14:paraId="19972D25" w14:textId="485E752F" w:rsidR="00763021" w:rsidRDefault="00763021">
      <w:pPr>
        <w:pStyle w:val="FootnoteText"/>
      </w:pPr>
      <w:r w:rsidRPr="0027535B">
        <w:rPr>
          <w:rStyle w:val="FootnoteReference"/>
          <w:color w:val="77328A"/>
          <w:sz w:val="16"/>
          <w:szCs w:val="16"/>
        </w:rPr>
        <w:footnoteRef/>
      </w:r>
      <w:r w:rsidRPr="0027535B">
        <w:rPr>
          <w:color w:val="77328A"/>
          <w:sz w:val="16"/>
          <w:szCs w:val="16"/>
        </w:rPr>
        <w:t xml:space="preserve"> Department of Education, ‘Public Consultation Document: School Uniform Policy’ (DE, 2024), at</w:t>
      </w:r>
      <w:r w:rsidR="00887139" w:rsidRPr="0027535B">
        <w:rPr>
          <w:color w:val="77328A"/>
          <w:sz w:val="16"/>
          <w:szCs w:val="16"/>
        </w:rPr>
        <w:t xml:space="preserve"> </w:t>
      </w:r>
      <w:r w:rsidRPr="0027535B">
        <w:rPr>
          <w:color w:val="77328A"/>
          <w:sz w:val="16"/>
          <w:szCs w:val="16"/>
        </w:rPr>
        <w:t>para 3(2).</w:t>
      </w:r>
    </w:p>
  </w:footnote>
  <w:footnote w:id="91">
    <w:p w14:paraId="55D4E0AD" w14:textId="77777777" w:rsidR="00561403" w:rsidRPr="00342BEC" w:rsidRDefault="00561403" w:rsidP="00561403">
      <w:pPr>
        <w:pStyle w:val="FootnoteText"/>
        <w:rPr>
          <w:sz w:val="16"/>
          <w:szCs w:val="16"/>
        </w:rPr>
      </w:pPr>
      <w:r w:rsidRPr="00342BEC">
        <w:rPr>
          <w:rStyle w:val="FootnoteReference"/>
          <w:color w:val="77328A"/>
          <w:sz w:val="16"/>
          <w:szCs w:val="16"/>
        </w:rPr>
        <w:footnoteRef/>
      </w:r>
      <w:r w:rsidRPr="00342BEC">
        <w:rPr>
          <w:color w:val="77328A"/>
          <w:sz w:val="16"/>
          <w:szCs w:val="16"/>
        </w:rPr>
        <w:t xml:space="preserve"> NI Statistics and Research Agency, ‘Annual enrolments at schools and in funded pre-school education in NI 2022-23’ (DE, 2023).</w:t>
      </w:r>
    </w:p>
  </w:footnote>
  <w:footnote w:id="92">
    <w:p w14:paraId="62BC3CB7" w14:textId="77777777" w:rsidR="00561403" w:rsidRPr="00342BEC" w:rsidRDefault="00561403" w:rsidP="00561403">
      <w:pPr>
        <w:pStyle w:val="FootnoteText"/>
        <w:rPr>
          <w:sz w:val="16"/>
          <w:szCs w:val="16"/>
        </w:rPr>
      </w:pPr>
      <w:r w:rsidRPr="00342BEC">
        <w:rPr>
          <w:rStyle w:val="FootnoteReference"/>
          <w:color w:val="77328A"/>
          <w:sz w:val="16"/>
          <w:szCs w:val="16"/>
        </w:rPr>
        <w:footnoteRef/>
      </w:r>
      <w:r w:rsidRPr="00342BEC">
        <w:rPr>
          <w:color w:val="77328A"/>
          <w:sz w:val="16"/>
          <w:szCs w:val="16"/>
        </w:rPr>
        <w:t xml:space="preserve"> NI Statistics and Research Agency, ‘Annual enrolments at schools and in funded pre-school education in NI 2022-23’ (DE, 2023).</w:t>
      </w:r>
    </w:p>
  </w:footnote>
  <w:footnote w:id="93">
    <w:p w14:paraId="7D6E2F1D" w14:textId="7746059F" w:rsidR="003C3CF7" w:rsidRPr="00AE6232" w:rsidRDefault="003C3CF7" w:rsidP="003C3CF7">
      <w:pPr>
        <w:pStyle w:val="FootnoteText"/>
        <w:rPr>
          <w:sz w:val="16"/>
          <w:szCs w:val="16"/>
        </w:rPr>
      </w:pPr>
      <w:r w:rsidRPr="00AE6232">
        <w:rPr>
          <w:rStyle w:val="FootnoteReference"/>
          <w:color w:val="77328A"/>
          <w:sz w:val="16"/>
          <w:szCs w:val="16"/>
        </w:rPr>
        <w:footnoteRef/>
      </w:r>
      <w:r w:rsidRPr="00AE6232">
        <w:rPr>
          <w:color w:val="77328A"/>
          <w:sz w:val="16"/>
          <w:szCs w:val="16"/>
        </w:rPr>
        <w:t xml:space="preserve"> </w:t>
      </w:r>
      <w:r w:rsidR="00AE6232" w:rsidRPr="00AE6232">
        <w:rPr>
          <w:color w:val="77328A"/>
          <w:sz w:val="16"/>
          <w:szCs w:val="16"/>
        </w:rPr>
        <w:t xml:space="preserve">Department of Education, ‘Public Consultation Document: School Uniform Policy’ (DE, 2024), at para </w:t>
      </w:r>
      <w:r w:rsidRPr="00AE6232">
        <w:rPr>
          <w:color w:val="77328A"/>
          <w:sz w:val="16"/>
          <w:szCs w:val="16"/>
        </w:rPr>
        <w:t>2.36</w:t>
      </w:r>
      <w:r w:rsidR="00AE6232" w:rsidRPr="00AE6232">
        <w:rPr>
          <w:color w:val="77328A"/>
          <w:sz w:val="16"/>
          <w:szCs w:val="16"/>
        </w:rPr>
        <w:t>.</w:t>
      </w:r>
    </w:p>
  </w:footnote>
  <w:footnote w:id="94">
    <w:p w14:paraId="284230FF" w14:textId="77777777" w:rsidR="00275268" w:rsidRPr="00EF2868" w:rsidRDefault="00275268" w:rsidP="00275268">
      <w:pPr>
        <w:pStyle w:val="FootnoteText"/>
        <w:spacing w:line="240" w:lineRule="auto"/>
        <w:rPr>
          <w:color w:val="77328A"/>
          <w:sz w:val="16"/>
          <w:szCs w:val="16"/>
        </w:rPr>
      </w:pPr>
      <w:r w:rsidRPr="00EF2868">
        <w:rPr>
          <w:rStyle w:val="FootnoteReference"/>
          <w:color w:val="77328A"/>
          <w:sz w:val="16"/>
          <w:szCs w:val="16"/>
        </w:rPr>
        <w:footnoteRef/>
      </w:r>
      <w:r w:rsidRPr="00EF2868">
        <w:rPr>
          <w:color w:val="77328A"/>
          <w:sz w:val="16"/>
          <w:szCs w:val="16"/>
        </w:rPr>
        <w:t xml:space="preserve"> Ibid, at para 6(d).</w:t>
      </w:r>
    </w:p>
  </w:footnote>
  <w:footnote w:id="95">
    <w:p w14:paraId="0AD3716C" w14:textId="77777777" w:rsidR="003C5165" w:rsidRPr="00EF2868" w:rsidRDefault="003C5165" w:rsidP="003C5165">
      <w:pPr>
        <w:pStyle w:val="FootnoteText"/>
        <w:spacing w:line="240" w:lineRule="auto"/>
        <w:rPr>
          <w:color w:val="77328A"/>
          <w:sz w:val="16"/>
          <w:szCs w:val="16"/>
        </w:rPr>
      </w:pPr>
      <w:r w:rsidRPr="00EF2868">
        <w:rPr>
          <w:rStyle w:val="FootnoteReference"/>
          <w:color w:val="77328A"/>
          <w:sz w:val="16"/>
          <w:szCs w:val="16"/>
        </w:rPr>
        <w:footnoteRef/>
      </w:r>
      <w:r w:rsidRPr="00EF2868">
        <w:rPr>
          <w:color w:val="77328A"/>
          <w:sz w:val="16"/>
          <w:szCs w:val="16"/>
        </w:rPr>
        <w:t xml:space="preserve"> Ibid, at para 6(d).</w:t>
      </w:r>
    </w:p>
  </w:footnote>
  <w:footnote w:id="96">
    <w:p w14:paraId="2318F968" w14:textId="77777777" w:rsidR="006A7E70" w:rsidRPr="000611AE" w:rsidRDefault="006A7E70" w:rsidP="006A7E70">
      <w:pPr>
        <w:pStyle w:val="FootnoteText"/>
        <w:rPr>
          <w:sz w:val="16"/>
          <w:szCs w:val="16"/>
        </w:rPr>
      </w:pPr>
      <w:r w:rsidRPr="00F21DB1">
        <w:rPr>
          <w:rStyle w:val="FootnoteReference"/>
          <w:color w:val="77328A"/>
          <w:sz w:val="16"/>
          <w:szCs w:val="16"/>
        </w:rPr>
        <w:footnoteRef/>
      </w:r>
      <w:r w:rsidRPr="00F21DB1">
        <w:rPr>
          <w:color w:val="77328A"/>
          <w:sz w:val="16"/>
          <w:szCs w:val="16"/>
        </w:rPr>
        <w:t xml:space="preserve"> Special Educational Needs and Disability (NI) Order 2005; Sex Discrimination (NI) Order 1976; Race Relations (NI) Order 1997; Equality Act (Sexual Orientation) Regulations (NI) 2006.  </w:t>
      </w:r>
    </w:p>
  </w:footnote>
  <w:footnote w:id="97">
    <w:p w14:paraId="4021C633" w14:textId="59C8121D" w:rsidR="00870FF2" w:rsidRPr="00EF2868" w:rsidRDefault="00870FF2">
      <w:pPr>
        <w:pStyle w:val="FootnoteText"/>
        <w:rPr>
          <w:color w:val="77328A"/>
          <w:sz w:val="16"/>
          <w:szCs w:val="16"/>
        </w:rPr>
      </w:pPr>
      <w:r w:rsidRPr="00EF2868">
        <w:rPr>
          <w:rStyle w:val="FootnoteReference"/>
          <w:color w:val="77328A"/>
          <w:sz w:val="16"/>
          <w:szCs w:val="16"/>
        </w:rPr>
        <w:footnoteRef/>
      </w:r>
      <w:r w:rsidRPr="00EF2868">
        <w:rPr>
          <w:color w:val="77328A"/>
          <w:sz w:val="16"/>
          <w:szCs w:val="16"/>
        </w:rPr>
        <w:t xml:space="preserve"> Article 2, UN CRPD.</w:t>
      </w:r>
    </w:p>
  </w:footnote>
  <w:footnote w:id="98">
    <w:p w14:paraId="2FEE8DA9" w14:textId="1450FA7A" w:rsidR="00F21780" w:rsidRPr="00EF2868" w:rsidRDefault="00F21780">
      <w:pPr>
        <w:pStyle w:val="FootnoteText"/>
        <w:rPr>
          <w:color w:val="77328A"/>
          <w:sz w:val="16"/>
          <w:szCs w:val="16"/>
        </w:rPr>
      </w:pPr>
      <w:r w:rsidRPr="00EF2868">
        <w:rPr>
          <w:rStyle w:val="FootnoteReference"/>
          <w:color w:val="77328A"/>
          <w:sz w:val="16"/>
          <w:szCs w:val="16"/>
        </w:rPr>
        <w:footnoteRef/>
      </w:r>
      <w:r w:rsidRPr="00EF2868">
        <w:rPr>
          <w:color w:val="77328A"/>
          <w:sz w:val="16"/>
          <w:szCs w:val="16"/>
        </w:rPr>
        <w:t xml:space="preserve"> </w:t>
      </w:r>
      <w:r w:rsidR="00C8003E" w:rsidRPr="00EF2868">
        <w:rPr>
          <w:color w:val="77328A"/>
          <w:sz w:val="16"/>
          <w:szCs w:val="16"/>
        </w:rPr>
        <w:t>Çam v Turkey (2016) ECHR, at para 67.</w:t>
      </w:r>
    </w:p>
  </w:footnote>
  <w:footnote w:id="99">
    <w:p w14:paraId="7C251D6E" w14:textId="4A89E19C" w:rsidR="00F0682B" w:rsidRDefault="00F0682B">
      <w:pPr>
        <w:pStyle w:val="FootnoteText"/>
      </w:pPr>
      <w:r w:rsidRPr="00EF2868">
        <w:rPr>
          <w:rStyle w:val="FootnoteReference"/>
          <w:color w:val="77328A"/>
          <w:sz w:val="16"/>
          <w:szCs w:val="16"/>
        </w:rPr>
        <w:footnoteRef/>
      </w:r>
      <w:r w:rsidRPr="00EF2868">
        <w:rPr>
          <w:color w:val="77328A"/>
          <w:sz w:val="16"/>
          <w:szCs w:val="16"/>
        </w:rPr>
        <w:t xml:space="preserve"> </w:t>
      </w:r>
      <w:r w:rsidR="00EF2868" w:rsidRPr="00EF2868">
        <w:rPr>
          <w:color w:val="77328A"/>
          <w:sz w:val="16"/>
          <w:szCs w:val="16"/>
        </w:rPr>
        <w:t>Special Educational Needs and Disability (NI) Order 2005.</w:t>
      </w:r>
    </w:p>
  </w:footnote>
  <w:footnote w:id="100">
    <w:p w14:paraId="136F30A6" w14:textId="77777777" w:rsidR="002E6D47" w:rsidRPr="00CA4670" w:rsidRDefault="002E6D47" w:rsidP="002E6D47">
      <w:pPr>
        <w:pStyle w:val="FootnoteText"/>
        <w:rPr>
          <w:sz w:val="16"/>
          <w:szCs w:val="16"/>
        </w:rPr>
      </w:pPr>
      <w:r w:rsidRPr="00CA4670">
        <w:rPr>
          <w:rStyle w:val="FootnoteReference"/>
          <w:color w:val="77328A"/>
          <w:sz w:val="16"/>
          <w:szCs w:val="16"/>
        </w:rPr>
        <w:footnoteRef/>
      </w:r>
      <w:r w:rsidRPr="00CA4670">
        <w:rPr>
          <w:color w:val="77328A"/>
          <w:sz w:val="16"/>
          <w:szCs w:val="16"/>
        </w:rPr>
        <w:t xml:space="preserve"> UN OHCHR, ‘Press Release: The inclusion of LGBT people in education settings of paramount importance to “leaving no one behind”’, 2 October 2019. </w:t>
      </w:r>
    </w:p>
  </w:footnote>
  <w:footnote w:id="101">
    <w:p w14:paraId="6831F7C9" w14:textId="77777777" w:rsidR="00FD0428" w:rsidRPr="00454931" w:rsidRDefault="00FD0428" w:rsidP="00FD0428">
      <w:pPr>
        <w:pStyle w:val="FootnoteText"/>
        <w:rPr>
          <w:sz w:val="16"/>
          <w:szCs w:val="16"/>
        </w:rPr>
      </w:pPr>
      <w:r w:rsidRPr="002246D0">
        <w:rPr>
          <w:rStyle w:val="FootnoteReference"/>
          <w:color w:val="77328A"/>
          <w:sz w:val="16"/>
          <w:szCs w:val="16"/>
        </w:rPr>
        <w:footnoteRef/>
      </w:r>
      <w:r w:rsidRPr="002246D0">
        <w:rPr>
          <w:color w:val="77328A"/>
          <w:sz w:val="16"/>
          <w:szCs w:val="16"/>
        </w:rPr>
        <w:t xml:space="preserve"> CRC/C/GBR/CO/6-7, ‘UN CRC Committee on the Sixth and Seventh Reports of the UK of Great Britain and NI’, 2 June 2023, at para 20(e). </w:t>
      </w:r>
    </w:p>
  </w:footnote>
  <w:footnote w:id="102">
    <w:p w14:paraId="5FA85B71" w14:textId="7CEB7D2E" w:rsidR="00BE4AA1" w:rsidRDefault="00BE4AA1">
      <w:pPr>
        <w:pStyle w:val="FootnoteText"/>
      </w:pPr>
      <w:r w:rsidRPr="00E632A7">
        <w:rPr>
          <w:rStyle w:val="FootnoteReference"/>
          <w:color w:val="77328A"/>
          <w:sz w:val="16"/>
          <w:szCs w:val="16"/>
        </w:rPr>
        <w:footnoteRef/>
      </w:r>
      <w:r w:rsidRPr="00E632A7">
        <w:rPr>
          <w:color w:val="77328A"/>
          <w:sz w:val="16"/>
          <w:szCs w:val="16"/>
        </w:rPr>
        <w:t xml:space="preserve"> Equality Commission for NI, ‘Schools: Education service </w:t>
      </w:r>
      <w:proofErr w:type="gramStart"/>
      <w:r w:rsidRPr="00E632A7">
        <w:rPr>
          <w:color w:val="77328A"/>
          <w:sz w:val="16"/>
          <w:szCs w:val="16"/>
        </w:rPr>
        <w:t>providers’</w:t>
      </w:r>
      <w:proofErr w:type="gramEnd"/>
      <w:r w:rsidRPr="00E632A7">
        <w:rPr>
          <w:color w:val="77328A"/>
          <w:sz w:val="16"/>
          <w:szCs w:val="16"/>
        </w:rPr>
        <w:t xml:space="preserve">. Available at: </w:t>
      </w:r>
      <w:hyperlink r:id="rId4" w:history="1">
        <w:r w:rsidR="00E632A7" w:rsidRPr="00E632A7">
          <w:rPr>
            <w:rStyle w:val="Hyperlink"/>
            <w:color w:val="77328A"/>
            <w:sz w:val="16"/>
            <w:szCs w:val="16"/>
          </w:rPr>
          <w:t>ECNI - Schools, Education Service Providers, Equality Commission, Northern Ireland (equalityni.org)</w:t>
        </w:r>
      </w:hyperlink>
    </w:p>
  </w:footnote>
  <w:footnote w:id="103">
    <w:p w14:paraId="54231772" w14:textId="6CE9F955" w:rsidR="002E6D47" w:rsidRPr="00702360" w:rsidRDefault="002E6D47" w:rsidP="002E6D47">
      <w:pPr>
        <w:pStyle w:val="FootnoteText"/>
        <w:rPr>
          <w:color w:val="77328A"/>
          <w:sz w:val="16"/>
          <w:szCs w:val="16"/>
        </w:rPr>
      </w:pPr>
      <w:r w:rsidRPr="00702360">
        <w:rPr>
          <w:rStyle w:val="FootnoteReference"/>
          <w:color w:val="77328A"/>
          <w:sz w:val="16"/>
          <w:szCs w:val="16"/>
        </w:rPr>
        <w:footnoteRef/>
      </w:r>
      <w:r w:rsidRPr="00702360">
        <w:rPr>
          <w:color w:val="77328A"/>
          <w:sz w:val="16"/>
          <w:szCs w:val="16"/>
        </w:rPr>
        <w:t xml:space="preserve"> </w:t>
      </w:r>
      <w:r w:rsidR="00002E5D" w:rsidRPr="00702360">
        <w:rPr>
          <w:color w:val="77328A"/>
          <w:sz w:val="16"/>
          <w:szCs w:val="16"/>
        </w:rPr>
        <w:t xml:space="preserve">Equality Commission for NI, ‘Schools: Education service </w:t>
      </w:r>
      <w:proofErr w:type="gramStart"/>
      <w:r w:rsidR="00002E5D" w:rsidRPr="00702360">
        <w:rPr>
          <w:color w:val="77328A"/>
          <w:sz w:val="16"/>
          <w:szCs w:val="16"/>
        </w:rPr>
        <w:t>providers’</w:t>
      </w:r>
      <w:proofErr w:type="gramEnd"/>
      <w:r w:rsidR="00002E5D" w:rsidRPr="00702360">
        <w:rPr>
          <w:color w:val="77328A"/>
          <w:sz w:val="16"/>
          <w:szCs w:val="16"/>
        </w:rPr>
        <w:t xml:space="preserve">. Available at: </w:t>
      </w:r>
      <w:hyperlink r:id="rId5" w:history="1">
        <w:r w:rsidR="00002E5D" w:rsidRPr="00702360">
          <w:rPr>
            <w:rStyle w:val="Hyperlink"/>
            <w:color w:val="77328A"/>
            <w:sz w:val="16"/>
            <w:szCs w:val="16"/>
          </w:rPr>
          <w:t>ECNI - Schools, Education Service Providers, Equality Commission, Northern Ireland (equalityni.org)</w:t>
        </w:r>
      </w:hyperlink>
    </w:p>
  </w:footnote>
  <w:footnote w:id="104">
    <w:p w14:paraId="43EE4A74" w14:textId="53A9A1A2" w:rsidR="00F87442" w:rsidRPr="002246D0" w:rsidRDefault="00F87442">
      <w:pPr>
        <w:pStyle w:val="FootnoteText"/>
        <w:rPr>
          <w:color w:val="77328A"/>
          <w:sz w:val="16"/>
          <w:szCs w:val="16"/>
        </w:rPr>
      </w:pPr>
      <w:r w:rsidRPr="002246D0">
        <w:rPr>
          <w:rStyle w:val="FootnoteReference"/>
          <w:color w:val="77328A"/>
          <w:sz w:val="16"/>
          <w:szCs w:val="16"/>
        </w:rPr>
        <w:footnoteRef/>
      </w:r>
      <w:r w:rsidRPr="002246D0">
        <w:rPr>
          <w:color w:val="77328A"/>
          <w:sz w:val="16"/>
          <w:szCs w:val="16"/>
        </w:rPr>
        <w:t xml:space="preserve"> </w:t>
      </w:r>
      <w:r w:rsidR="00C50EC5" w:rsidRPr="002246D0">
        <w:rPr>
          <w:color w:val="77328A"/>
          <w:sz w:val="16"/>
          <w:szCs w:val="16"/>
        </w:rPr>
        <w:t xml:space="preserve">NI Assembly, </w:t>
      </w:r>
      <w:r w:rsidR="00663CAC" w:rsidRPr="002246D0">
        <w:rPr>
          <w:color w:val="77328A"/>
          <w:sz w:val="16"/>
          <w:szCs w:val="16"/>
        </w:rPr>
        <w:t xml:space="preserve">‘Research and Information Service Briefing Paper: School Uniforms – Cost, Gender and Behavioural considerations’, (NIA, </w:t>
      </w:r>
      <w:r w:rsidR="004A0127" w:rsidRPr="002246D0">
        <w:rPr>
          <w:color w:val="77328A"/>
          <w:sz w:val="16"/>
          <w:szCs w:val="16"/>
        </w:rPr>
        <w:t xml:space="preserve">2021). </w:t>
      </w:r>
    </w:p>
  </w:footnote>
  <w:footnote w:id="105">
    <w:p w14:paraId="5F4B6426" w14:textId="004AFF6D" w:rsidR="002246D0" w:rsidRPr="0016493E" w:rsidRDefault="002246D0">
      <w:pPr>
        <w:pStyle w:val="FootnoteText"/>
        <w:rPr>
          <w:color w:val="77328A"/>
          <w:sz w:val="16"/>
          <w:szCs w:val="16"/>
        </w:rPr>
      </w:pPr>
      <w:r w:rsidRPr="002246D0">
        <w:rPr>
          <w:rStyle w:val="FootnoteReference"/>
          <w:color w:val="77328A"/>
          <w:sz w:val="16"/>
          <w:szCs w:val="16"/>
        </w:rPr>
        <w:footnoteRef/>
      </w:r>
      <w:r w:rsidRPr="002246D0">
        <w:rPr>
          <w:color w:val="77328A"/>
          <w:sz w:val="16"/>
          <w:szCs w:val="16"/>
        </w:rPr>
        <w:t xml:space="preserve"> NI Assembly, ‘Research and Information Service Briefing Paper: School </w:t>
      </w:r>
      <w:r w:rsidRPr="00541D6A">
        <w:rPr>
          <w:color w:val="77328A"/>
          <w:sz w:val="16"/>
          <w:szCs w:val="16"/>
        </w:rPr>
        <w:t>Uniforms</w:t>
      </w:r>
      <w:r w:rsidRPr="002246D0">
        <w:rPr>
          <w:color w:val="77328A"/>
          <w:sz w:val="16"/>
          <w:szCs w:val="16"/>
        </w:rPr>
        <w:t xml:space="preserve"> – Cost, Gender and Behavioural </w:t>
      </w:r>
      <w:r w:rsidRPr="0016493E">
        <w:rPr>
          <w:color w:val="77328A"/>
          <w:sz w:val="16"/>
          <w:szCs w:val="16"/>
        </w:rPr>
        <w:t>considerations’, (NIA, 2021).</w:t>
      </w:r>
    </w:p>
  </w:footnote>
  <w:footnote w:id="106">
    <w:p w14:paraId="405454D6" w14:textId="78E26A77" w:rsidR="006B36FF" w:rsidRPr="00541D6A" w:rsidRDefault="006B36FF">
      <w:pPr>
        <w:pStyle w:val="FootnoteText"/>
        <w:rPr>
          <w:sz w:val="16"/>
          <w:szCs w:val="16"/>
        </w:rPr>
      </w:pPr>
      <w:r w:rsidRPr="00541D6A">
        <w:rPr>
          <w:rStyle w:val="FootnoteReference"/>
          <w:color w:val="77328A"/>
          <w:sz w:val="16"/>
          <w:szCs w:val="16"/>
        </w:rPr>
        <w:footnoteRef/>
      </w:r>
      <w:r w:rsidRPr="00541D6A">
        <w:rPr>
          <w:color w:val="77328A"/>
          <w:sz w:val="16"/>
          <w:szCs w:val="16"/>
        </w:rPr>
        <w:t xml:space="preserve"> </w:t>
      </w:r>
      <w:r w:rsidR="00552031" w:rsidRPr="00541D6A">
        <w:rPr>
          <w:color w:val="77328A"/>
          <w:sz w:val="16"/>
          <w:szCs w:val="16"/>
        </w:rPr>
        <w:t>Department of Education, ‘</w:t>
      </w:r>
      <w:r w:rsidR="002267FB" w:rsidRPr="00541D6A">
        <w:rPr>
          <w:color w:val="77328A"/>
          <w:sz w:val="16"/>
          <w:szCs w:val="16"/>
        </w:rPr>
        <w:t xml:space="preserve">Circular 2011/04: </w:t>
      </w:r>
      <w:r w:rsidR="00552031" w:rsidRPr="00541D6A">
        <w:rPr>
          <w:color w:val="77328A"/>
          <w:sz w:val="16"/>
          <w:szCs w:val="16"/>
        </w:rPr>
        <w:t>Guidance to schools on school uniform policy</w:t>
      </w:r>
      <w:r w:rsidR="002267FB" w:rsidRPr="00541D6A">
        <w:rPr>
          <w:color w:val="77328A"/>
          <w:sz w:val="16"/>
          <w:szCs w:val="16"/>
        </w:rPr>
        <w:t>’ (DE, 201</w:t>
      </w:r>
      <w:r w:rsidR="00541D6A" w:rsidRPr="00541D6A">
        <w:rPr>
          <w:color w:val="77328A"/>
          <w:sz w:val="16"/>
          <w:szCs w:val="16"/>
        </w:rPr>
        <w:t>1</w:t>
      </w:r>
      <w:r w:rsidR="002267FB" w:rsidRPr="00541D6A">
        <w:rPr>
          <w:color w:val="77328A"/>
          <w:sz w:val="16"/>
          <w:szCs w:val="16"/>
        </w:rPr>
        <w:t>)</w:t>
      </w:r>
      <w:r w:rsidR="00541D6A" w:rsidRPr="00541D6A">
        <w:rPr>
          <w:color w:val="77328A"/>
          <w:sz w:val="16"/>
          <w:szCs w:val="16"/>
        </w:rPr>
        <w:t xml:space="preserve"> [revised June 2018]</w:t>
      </w:r>
      <w:r w:rsidR="00932848">
        <w:rPr>
          <w:color w:val="77328A"/>
          <w:sz w:val="16"/>
          <w:szCs w:val="16"/>
        </w:rPr>
        <w:t>, at Annex 1.</w:t>
      </w:r>
    </w:p>
  </w:footnote>
  <w:footnote w:id="107">
    <w:p w14:paraId="57F6B639" w14:textId="427D4B6F" w:rsidR="008968A0" w:rsidRPr="00541D6A" w:rsidRDefault="008968A0" w:rsidP="008968A0">
      <w:pPr>
        <w:pStyle w:val="FootnoteText"/>
        <w:rPr>
          <w:sz w:val="16"/>
          <w:szCs w:val="16"/>
        </w:rPr>
      </w:pPr>
      <w:r w:rsidRPr="00541D6A">
        <w:rPr>
          <w:rStyle w:val="FootnoteReference"/>
          <w:color w:val="77328A"/>
          <w:sz w:val="16"/>
          <w:szCs w:val="16"/>
        </w:rPr>
        <w:footnoteRef/>
      </w:r>
      <w:r w:rsidRPr="00541D6A">
        <w:rPr>
          <w:color w:val="77328A"/>
          <w:sz w:val="16"/>
          <w:szCs w:val="16"/>
        </w:rPr>
        <w:t xml:space="preserve"> Department of Education, ‘Circular 2011/04: Guidance to schools on school uniform policy’ (DE, 2011) [revised June 2018]</w:t>
      </w:r>
      <w:r w:rsidR="00932848">
        <w:rPr>
          <w:color w:val="77328A"/>
          <w:sz w:val="16"/>
          <w:szCs w:val="16"/>
        </w:rPr>
        <w:t>, at Annex 1.</w:t>
      </w:r>
    </w:p>
  </w:footnote>
  <w:footnote w:id="108">
    <w:p w14:paraId="46443464" w14:textId="557D9CCB" w:rsidR="00A267FE" w:rsidRPr="00A267FE" w:rsidRDefault="00A267FE">
      <w:pPr>
        <w:pStyle w:val="FootnoteText"/>
        <w:rPr>
          <w:color w:val="77328A"/>
          <w:sz w:val="16"/>
          <w:szCs w:val="16"/>
        </w:rPr>
      </w:pPr>
      <w:r w:rsidRPr="00A267FE">
        <w:rPr>
          <w:rStyle w:val="FootnoteReference"/>
          <w:color w:val="77328A"/>
          <w:sz w:val="16"/>
          <w:szCs w:val="16"/>
        </w:rPr>
        <w:footnoteRef/>
      </w:r>
      <w:r w:rsidRPr="00A267FE">
        <w:rPr>
          <w:color w:val="77328A"/>
          <w:sz w:val="16"/>
          <w:szCs w:val="16"/>
        </w:rPr>
        <w:t xml:space="preserve"> Welsh Government, ‘School uniform and appearance: policy guidance for governing bodies (WG23-17)’, (Welsh Government, 2022).</w:t>
      </w:r>
    </w:p>
  </w:footnote>
  <w:footnote w:id="109">
    <w:p w14:paraId="24FEE383" w14:textId="01CBA609" w:rsidR="00A267FE" w:rsidRDefault="00A267FE">
      <w:pPr>
        <w:pStyle w:val="FootnoteText"/>
      </w:pPr>
      <w:r w:rsidRPr="00A267FE">
        <w:rPr>
          <w:rStyle w:val="FootnoteReference"/>
          <w:color w:val="77328A"/>
          <w:sz w:val="16"/>
          <w:szCs w:val="16"/>
        </w:rPr>
        <w:footnoteRef/>
      </w:r>
      <w:r w:rsidRPr="00A267FE">
        <w:rPr>
          <w:color w:val="77328A"/>
          <w:sz w:val="16"/>
          <w:szCs w:val="16"/>
        </w:rPr>
        <w:t xml:space="preserve"> Welsh Government, ‘School uniform and appearance: policy guidance for governing bodies (WG23-17)’, (Welsh Government,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036C"/>
    <w:multiLevelType w:val="hybridMultilevel"/>
    <w:tmpl w:val="2EEEEAA4"/>
    <w:lvl w:ilvl="0" w:tplc="7E0067D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2951912"/>
    <w:multiLevelType w:val="multilevel"/>
    <w:tmpl w:val="C25AB06A"/>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237566D4"/>
    <w:multiLevelType w:val="hybridMultilevel"/>
    <w:tmpl w:val="35383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67B45A9"/>
    <w:multiLevelType w:val="hybridMultilevel"/>
    <w:tmpl w:val="642C773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2E87037"/>
    <w:multiLevelType w:val="hybridMultilevel"/>
    <w:tmpl w:val="8078F778"/>
    <w:lvl w:ilvl="0" w:tplc="D72E76B6">
      <w:numFmt w:val="bullet"/>
      <w:lvlText w:val=""/>
      <w:lvlJc w:val="left"/>
      <w:pPr>
        <w:ind w:left="720" w:hanging="360"/>
      </w:pPr>
      <w:rPr>
        <w:rFonts w:ascii="Symbol" w:eastAsiaTheme="minorEastAsia"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82F1C"/>
    <w:multiLevelType w:val="multilevel"/>
    <w:tmpl w:val="4378A3B8"/>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6" w15:restartNumberingAfterBreak="0">
    <w:nsid w:val="66D4103C"/>
    <w:multiLevelType w:val="hybridMultilevel"/>
    <w:tmpl w:val="06BE17B2"/>
    <w:lvl w:ilvl="0" w:tplc="C040119C">
      <w:start w:val="1"/>
      <w:numFmt w:val="decimal"/>
      <w:pStyle w:val="Heading1"/>
      <w:lvlText w:val="%1.0"/>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66D71C16"/>
    <w:multiLevelType w:val="hybridMultilevel"/>
    <w:tmpl w:val="F07A1564"/>
    <w:lvl w:ilvl="0" w:tplc="2A74F19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799D3FD0"/>
    <w:multiLevelType w:val="multilevel"/>
    <w:tmpl w:val="48765FC0"/>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Verdana" w:hAnsi="Verdana"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690188275">
    <w:abstractNumId w:val="6"/>
  </w:num>
  <w:num w:numId="2" w16cid:durableId="1535538907">
    <w:abstractNumId w:val="8"/>
  </w:num>
  <w:num w:numId="3" w16cid:durableId="1242641900">
    <w:abstractNumId w:val="5"/>
  </w:num>
  <w:num w:numId="4" w16cid:durableId="258367434">
    <w:abstractNumId w:val="1"/>
  </w:num>
  <w:num w:numId="5" w16cid:durableId="987123994">
    <w:abstractNumId w:val="2"/>
  </w:num>
  <w:num w:numId="6" w16cid:durableId="1602764260">
    <w:abstractNumId w:val="7"/>
  </w:num>
  <w:num w:numId="7" w16cid:durableId="904796189">
    <w:abstractNumId w:val="0"/>
  </w:num>
  <w:num w:numId="8" w16cid:durableId="1198928133">
    <w:abstractNumId w:val="4"/>
  </w:num>
  <w:num w:numId="9" w16cid:durableId="6744528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AF6"/>
    <w:rsid w:val="00000FC3"/>
    <w:rsid w:val="0000149E"/>
    <w:rsid w:val="00001B96"/>
    <w:rsid w:val="00001CAD"/>
    <w:rsid w:val="0000201A"/>
    <w:rsid w:val="00002AB3"/>
    <w:rsid w:val="00002BD0"/>
    <w:rsid w:val="00002E3B"/>
    <w:rsid w:val="00002E5D"/>
    <w:rsid w:val="00003730"/>
    <w:rsid w:val="0000483F"/>
    <w:rsid w:val="0000570B"/>
    <w:rsid w:val="00005DF9"/>
    <w:rsid w:val="00006431"/>
    <w:rsid w:val="000074CC"/>
    <w:rsid w:val="0000799D"/>
    <w:rsid w:val="00007A86"/>
    <w:rsid w:val="00010C8D"/>
    <w:rsid w:val="00010D0A"/>
    <w:rsid w:val="00010EAD"/>
    <w:rsid w:val="00011657"/>
    <w:rsid w:val="000137FB"/>
    <w:rsid w:val="00014688"/>
    <w:rsid w:val="0001489D"/>
    <w:rsid w:val="00014AB3"/>
    <w:rsid w:val="00014B28"/>
    <w:rsid w:val="00015949"/>
    <w:rsid w:val="00015A88"/>
    <w:rsid w:val="00015EA6"/>
    <w:rsid w:val="000164E3"/>
    <w:rsid w:val="00016EBF"/>
    <w:rsid w:val="00016F87"/>
    <w:rsid w:val="000174BF"/>
    <w:rsid w:val="000175F2"/>
    <w:rsid w:val="000178CC"/>
    <w:rsid w:val="000200A3"/>
    <w:rsid w:val="000203AC"/>
    <w:rsid w:val="000207CE"/>
    <w:rsid w:val="00020D3F"/>
    <w:rsid w:val="00021499"/>
    <w:rsid w:val="000214A7"/>
    <w:rsid w:val="00021E8E"/>
    <w:rsid w:val="00021F77"/>
    <w:rsid w:val="00023298"/>
    <w:rsid w:val="000235ED"/>
    <w:rsid w:val="00023B19"/>
    <w:rsid w:val="00023ECB"/>
    <w:rsid w:val="000240EF"/>
    <w:rsid w:val="00024416"/>
    <w:rsid w:val="000250B2"/>
    <w:rsid w:val="0002523E"/>
    <w:rsid w:val="00025F4D"/>
    <w:rsid w:val="00025FAC"/>
    <w:rsid w:val="0002698B"/>
    <w:rsid w:val="00026D65"/>
    <w:rsid w:val="000270BB"/>
    <w:rsid w:val="00027489"/>
    <w:rsid w:val="00027891"/>
    <w:rsid w:val="00027913"/>
    <w:rsid w:val="0002797B"/>
    <w:rsid w:val="00027B19"/>
    <w:rsid w:val="00027BF2"/>
    <w:rsid w:val="00030026"/>
    <w:rsid w:val="00030246"/>
    <w:rsid w:val="000310B7"/>
    <w:rsid w:val="00031518"/>
    <w:rsid w:val="00031B76"/>
    <w:rsid w:val="000321A0"/>
    <w:rsid w:val="000329EF"/>
    <w:rsid w:val="00032B61"/>
    <w:rsid w:val="00032B65"/>
    <w:rsid w:val="00032C95"/>
    <w:rsid w:val="00032FB8"/>
    <w:rsid w:val="00033231"/>
    <w:rsid w:val="00033751"/>
    <w:rsid w:val="000338BB"/>
    <w:rsid w:val="00033DFD"/>
    <w:rsid w:val="000341A8"/>
    <w:rsid w:val="000348EE"/>
    <w:rsid w:val="000349C6"/>
    <w:rsid w:val="00034AAC"/>
    <w:rsid w:val="00035488"/>
    <w:rsid w:val="000354DE"/>
    <w:rsid w:val="00035C3F"/>
    <w:rsid w:val="00035D35"/>
    <w:rsid w:val="00035FA8"/>
    <w:rsid w:val="000360AD"/>
    <w:rsid w:val="00036269"/>
    <w:rsid w:val="000367EB"/>
    <w:rsid w:val="00037428"/>
    <w:rsid w:val="0003763D"/>
    <w:rsid w:val="00037649"/>
    <w:rsid w:val="00037A5F"/>
    <w:rsid w:val="00037B77"/>
    <w:rsid w:val="00037C9D"/>
    <w:rsid w:val="00037F7D"/>
    <w:rsid w:val="0004022B"/>
    <w:rsid w:val="000405B1"/>
    <w:rsid w:val="000405C8"/>
    <w:rsid w:val="00040633"/>
    <w:rsid w:val="00040AF0"/>
    <w:rsid w:val="00040BE8"/>
    <w:rsid w:val="00040DE1"/>
    <w:rsid w:val="00041050"/>
    <w:rsid w:val="00041EF8"/>
    <w:rsid w:val="00042A2E"/>
    <w:rsid w:val="00042A8F"/>
    <w:rsid w:val="0004329D"/>
    <w:rsid w:val="0004337A"/>
    <w:rsid w:val="00043602"/>
    <w:rsid w:val="00043B45"/>
    <w:rsid w:val="00043C29"/>
    <w:rsid w:val="0004425C"/>
    <w:rsid w:val="000448AC"/>
    <w:rsid w:val="00044F0D"/>
    <w:rsid w:val="00045428"/>
    <w:rsid w:val="000455D2"/>
    <w:rsid w:val="00045B96"/>
    <w:rsid w:val="00045E46"/>
    <w:rsid w:val="000462A7"/>
    <w:rsid w:val="00046558"/>
    <w:rsid w:val="00046705"/>
    <w:rsid w:val="00046D71"/>
    <w:rsid w:val="0004738F"/>
    <w:rsid w:val="000473C0"/>
    <w:rsid w:val="00050EA5"/>
    <w:rsid w:val="000515AE"/>
    <w:rsid w:val="00051CA9"/>
    <w:rsid w:val="00051E52"/>
    <w:rsid w:val="000520F8"/>
    <w:rsid w:val="0005242E"/>
    <w:rsid w:val="00052CB6"/>
    <w:rsid w:val="00053136"/>
    <w:rsid w:val="0005341F"/>
    <w:rsid w:val="0005379E"/>
    <w:rsid w:val="00053BB8"/>
    <w:rsid w:val="000540B6"/>
    <w:rsid w:val="0005419C"/>
    <w:rsid w:val="000541DE"/>
    <w:rsid w:val="00054A25"/>
    <w:rsid w:val="00054A8B"/>
    <w:rsid w:val="000551CB"/>
    <w:rsid w:val="0005520D"/>
    <w:rsid w:val="000552A5"/>
    <w:rsid w:val="000558FD"/>
    <w:rsid w:val="00055946"/>
    <w:rsid w:val="00055993"/>
    <w:rsid w:val="00055A8E"/>
    <w:rsid w:val="00055EBA"/>
    <w:rsid w:val="00055F14"/>
    <w:rsid w:val="00055F57"/>
    <w:rsid w:val="000563D5"/>
    <w:rsid w:val="00056B4B"/>
    <w:rsid w:val="00057A83"/>
    <w:rsid w:val="000602D4"/>
    <w:rsid w:val="00060304"/>
    <w:rsid w:val="000604F5"/>
    <w:rsid w:val="0006089A"/>
    <w:rsid w:val="000611AE"/>
    <w:rsid w:val="00061493"/>
    <w:rsid w:val="000619B8"/>
    <w:rsid w:val="00062006"/>
    <w:rsid w:val="0006237C"/>
    <w:rsid w:val="0006269E"/>
    <w:rsid w:val="000645FE"/>
    <w:rsid w:val="000646D1"/>
    <w:rsid w:val="00064730"/>
    <w:rsid w:val="00064887"/>
    <w:rsid w:val="00064BD8"/>
    <w:rsid w:val="00065589"/>
    <w:rsid w:val="000655C9"/>
    <w:rsid w:val="000657A4"/>
    <w:rsid w:val="00065811"/>
    <w:rsid w:val="00065894"/>
    <w:rsid w:val="00066116"/>
    <w:rsid w:val="000667EC"/>
    <w:rsid w:val="00066BDC"/>
    <w:rsid w:val="00066F38"/>
    <w:rsid w:val="000670C2"/>
    <w:rsid w:val="00067303"/>
    <w:rsid w:val="00070534"/>
    <w:rsid w:val="00070705"/>
    <w:rsid w:val="00070C28"/>
    <w:rsid w:val="00070ED1"/>
    <w:rsid w:val="000711C4"/>
    <w:rsid w:val="000711F1"/>
    <w:rsid w:val="000713DE"/>
    <w:rsid w:val="00071935"/>
    <w:rsid w:val="00071B3C"/>
    <w:rsid w:val="00071B76"/>
    <w:rsid w:val="00072357"/>
    <w:rsid w:val="0007242A"/>
    <w:rsid w:val="00072D3F"/>
    <w:rsid w:val="00072EB2"/>
    <w:rsid w:val="0007333F"/>
    <w:rsid w:val="000736A5"/>
    <w:rsid w:val="000737AE"/>
    <w:rsid w:val="00073FB7"/>
    <w:rsid w:val="00074048"/>
    <w:rsid w:val="00074278"/>
    <w:rsid w:val="0007444C"/>
    <w:rsid w:val="0007458A"/>
    <w:rsid w:val="000745BB"/>
    <w:rsid w:val="0007468A"/>
    <w:rsid w:val="00074B79"/>
    <w:rsid w:val="00074F36"/>
    <w:rsid w:val="000750F7"/>
    <w:rsid w:val="000751D1"/>
    <w:rsid w:val="0007569A"/>
    <w:rsid w:val="000757B7"/>
    <w:rsid w:val="00075D0A"/>
    <w:rsid w:val="00075FAE"/>
    <w:rsid w:val="000760EB"/>
    <w:rsid w:val="00076270"/>
    <w:rsid w:val="00076471"/>
    <w:rsid w:val="00076A15"/>
    <w:rsid w:val="00076A9A"/>
    <w:rsid w:val="00076AF6"/>
    <w:rsid w:val="00076C8C"/>
    <w:rsid w:val="000770C0"/>
    <w:rsid w:val="00077825"/>
    <w:rsid w:val="00077995"/>
    <w:rsid w:val="0008048E"/>
    <w:rsid w:val="000807C1"/>
    <w:rsid w:val="00080B26"/>
    <w:rsid w:val="00081402"/>
    <w:rsid w:val="00081BD7"/>
    <w:rsid w:val="00081D7B"/>
    <w:rsid w:val="00082AF8"/>
    <w:rsid w:val="0008369C"/>
    <w:rsid w:val="0008379B"/>
    <w:rsid w:val="000840AB"/>
    <w:rsid w:val="00084259"/>
    <w:rsid w:val="000842F0"/>
    <w:rsid w:val="0008433B"/>
    <w:rsid w:val="0008598E"/>
    <w:rsid w:val="00085B6E"/>
    <w:rsid w:val="00086336"/>
    <w:rsid w:val="00086A75"/>
    <w:rsid w:val="0008769D"/>
    <w:rsid w:val="00087E1B"/>
    <w:rsid w:val="0009007C"/>
    <w:rsid w:val="000900CF"/>
    <w:rsid w:val="00090800"/>
    <w:rsid w:val="00090B8E"/>
    <w:rsid w:val="00090C6F"/>
    <w:rsid w:val="00090FBE"/>
    <w:rsid w:val="00091160"/>
    <w:rsid w:val="000912E9"/>
    <w:rsid w:val="00091A85"/>
    <w:rsid w:val="00091D4E"/>
    <w:rsid w:val="000921CF"/>
    <w:rsid w:val="000921DD"/>
    <w:rsid w:val="000923F5"/>
    <w:rsid w:val="00092863"/>
    <w:rsid w:val="00093FD8"/>
    <w:rsid w:val="0009498D"/>
    <w:rsid w:val="0009501A"/>
    <w:rsid w:val="00095706"/>
    <w:rsid w:val="00095E63"/>
    <w:rsid w:val="0009657A"/>
    <w:rsid w:val="000965E8"/>
    <w:rsid w:val="00096757"/>
    <w:rsid w:val="000968A7"/>
    <w:rsid w:val="00097855"/>
    <w:rsid w:val="000A04A4"/>
    <w:rsid w:val="000A06A1"/>
    <w:rsid w:val="000A0AAD"/>
    <w:rsid w:val="000A0C98"/>
    <w:rsid w:val="000A0D45"/>
    <w:rsid w:val="000A0E5C"/>
    <w:rsid w:val="000A135A"/>
    <w:rsid w:val="000A14FD"/>
    <w:rsid w:val="000A16C9"/>
    <w:rsid w:val="000A181E"/>
    <w:rsid w:val="000A197E"/>
    <w:rsid w:val="000A1B05"/>
    <w:rsid w:val="000A1EC0"/>
    <w:rsid w:val="000A1F22"/>
    <w:rsid w:val="000A22BD"/>
    <w:rsid w:val="000A2536"/>
    <w:rsid w:val="000A2609"/>
    <w:rsid w:val="000A276A"/>
    <w:rsid w:val="000A288F"/>
    <w:rsid w:val="000A2D39"/>
    <w:rsid w:val="000A3147"/>
    <w:rsid w:val="000A33C0"/>
    <w:rsid w:val="000A3822"/>
    <w:rsid w:val="000A3BC1"/>
    <w:rsid w:val="000A48B7"/>
    <w:rsid w:val="000A49C9"/>
    <w:rsid w:val="000A5243"/>
    <w:rsid w:val="000A52C6"/>
    <w:rsid w:val="000A543F"/>
    <w:rsid w:val="000A5810"/>
    <w:rsid w:val="000A5940"/>
    <w:rsid w:val="000A5A44"/>
    <w:rsid w:val="000A66A3"/>
    <w:rsid w:val="000A6721"/>
    <w:rsid w:val="000A6867"/>
    <w:rsid w:val="000A68FC"/>
    <w:rsid w:val="000A6E1F"/>
    <w:rsid w:val="000A7589"/>
    <w:rsid w:val="000A7A27"/>
    <w:rsid w:val="000A7B5C"/>
    <w:rsid w:val="000A7C68"/>
    <w:rsid w:val="000A7CAC"/>
    <w:rsid w:val="000A7F52"/>
    <w:rsid w:val="000B00FA"/>
    <w:rsid w:val="000B0518"/>
    <w:rsid w:val="000B0B38"/>
    <w:rsid w:val="000B1D3A"/>
    <w:rsid w:val="000B1D85"/>
    <w:rsid w:val="000B259D"/>
    <w:rsid w:val="000B2BA7"/>
    <w:rsid w:val="000B33B6"/>
    <w:rsid w:val="000B37B8"/>
    <w:rsid w:val="000B38EA"/>
    <w:rsid w:val="000B3BD2"/>
    <w:rsid w:val="000B494C"/>
    <w:rsid w:val="000B6263"/>
    <w:rsid w:val="000B65A7"/>
    <w:rsid w:val="000B67A8"/>
    <w:rsid w:val="000B68BE"/>
    <w:rsid w:val="000B68E8"/>
    <w:rsid w:val="000B6929"/>
    <w:rsid w:val="000B7225"/>
    <w:rsid w:val="000B7C0D"/>
    <w:rsid w:val="000B7E0F"/>
    <w:rsid w:val="000B7EBE"/>
    <w:rsid w:val="000B7FAB"/>
    <w:rsid w:val="000C0381"/>
    <w:rsid w:val="000C0566"/>
    <w:rsid w:val="000C078E"/>
    <w:rsid w:val="000C08A2"/>
    <w:rsid w:val="000C0FCB"/>
    <w:rsid w:val="000C1158"/>
    <w:rsid w:val="000C223F"/>
    <w:rsid w:val="000C2EF3"/>
    <w:rsid w:val="000C3397"/>
    <w:rsid w:val="000C3810"/>
    <w:rsid w:val="000C3BA1"/>
    <w:rsid w:val="000C3F63"/>
    <w:rsid w:val="000C49CE"/>
    <w:rsid w:val="000C507C"/>
    <w:rsid w:val="000C58E3"/>
    <w:rsid w:val="000C6276"/>
    <w:rsid w:val="000C783D"/>
    <w:rsid w:val="000C7BD6"/>
    <w:rsid w:val="000C7E5D"/>
    <w:rsid w:val="000D02F8"/>
    <w:rsid w:val="000D03A7"/>
    <w:rsid w:val="000D03FA"/>
    <w:rsid w:val="000D07AA"/>
    <w:rsid w:val="000D0E9F"/>
    <w:rsid w:val="000D1465"/>
    <w:rsid w:val="000D1B06"/>
    <w:rsid w:val="000D2590"/>
    <w:rsid w:val="000D25BD"/>
    <w:rsid w:val="000D25FA"/>
    <w:rsid w:val="000D2918"/>
    <w:rsid w:val="000D39D3"/>
    <w:rsid w:val="000D39E2"/>
    <w:rsid w:val="000D4274"/>
    <w:rsid w:val="000D4FD0"/>
    <w:rsid w:val="000D53DA"/>
    <w:rsid w:val="000D5932"/>
    <w:rsid w:val="000D5EEA"/>
    <w:rsid w:val="000D60BD"/>
    <w:rsid w:val="000D60FE"/>
    <w:rsid w:val="000D6684"/>
    <w:rsid w:val="000D6924"/>
    <w:rsid w:val="000D78D5"/>
    <w:rsid w:val="000D7C95"/>
    <w:rsid w:val="000D7F3B"/>
    <w:rsid w:val="000E01F4"/>
    <w:rsid w:val="000E0B7C"/>
    <w:rsid w:val="000E0D82"/>
    <w:rsid w:val="000E0F5C"/>
    <w:rsid w:val="000E107E"/>
    <w:rsid w:val="000E109E"/>
    <w:rsid w:val="000E1494"/>
    <w:rsid w:val="000E1931"/>
    <w:rsid w:val="000E1F61"/>
    <w:rsid w:val="000E25DD"/>
    <w:rsid w:val="000E3350"/>
    <w:rsid w:val="000E4003"/>
    <w:rsid w:val="000E434B"/>
    <w:rsid w:val="000E43EE"/>
    <w:rsid w:val="000E4548"/>
    <w:rsid w:val="000E499C"/>
    <w:rsid w:val="000E5095"/>
    <w:rsid w:val="000E55DF"/>
    <w:rsid w:val="000E59B8"/>
    <w:rsid w:val="000E59D3"/>
    <w:rsid w:val="000E5D68"/>
    <w:rsid w:val="000E5E51"/>
    <w:rsid w:val="000E5E58"/>
    <w:rsid w:val="000E6176"/>
    <w:rsid w:val="000E6EEB"/>
    <w:rsid w:val="000E70EE"/>
    <w:rsid w:val="000E77C7"/>
    <w:rsid w:val="000E7AAA"/>
    <w:rsid w:val="000E7DB1"/>
    <w:rsid w:val="000E7F0C"/>
    <w:rsid w:val="000F043E"/>
    <w:rsid w:val="000F05CE"/>
    <w:rsid w:val="000F07CD"/>
    <w:rsid w:val="000F096A"/>
    <w:rsid w:val="000F0C90"/>
    <w:rsid w:val="000F0CAC"/>
    <w:rsid w:val="000F0ECA"/>
    <w:rsid w:val="000F136C"/>
    <w:rsid w:val="000F16C2"/>
    <w:rsid w:val="000F2334"/>
    <w:rsid w:val="000F2BE9"/>
    <w:rsid w:val="000F2DC0"/>
    <w:rsid w:val="000F55E6"/>
    <w:rsid w:val="000F5742"/>
    <w:rsid w:val="000F59C2"/>
    <w:rsid w:val="000F5C56"/>
    <w:rsid w:val="000F5D53"/>
    <w:rsid w:val="000F5E94"/>
    <w:rsid w:val="000F64BF"/>
    <w:rsid w:val="000F6822"/>
    <w:rsid w:val="000F6E31"/>
    <w:rsid w:val="000F7977"/>
    <w:rsid w:val="001001D0"/>
    <w:rsid w:val="00100B6D"/>
    <w:rsid w:val="0010128B"/>
    <w:rsid w:val="001014D0"/>
    <w:rsid w:val="001015DB"/>
    <w:rsid w:val="0010199A"/>
    <w:rsid w:val="00101A11"/>
    <w:rsid w:val="00101D76"/>
    <w:rsid w:val="00101EB3"/>
    <w:rsid w:val="00102183"/>
    <w:rsid w:val="00102665"/>
    <w:rsid w:val="00103B7E"/>
    <w:rsid w:val="00103DF6"/>
    <w:rsid w:val="0010423A"/>
    <w:rsid w:val="001045E7"/>
    <w:rsid w:val="00104CC0"/>
    <w:rsid w:val="001051D1"/>
    <w:rsid w:val="00105CAB"/>
    <w:rsid w:val="00105E0D"/>
    <w:rsid w:val="0010632F"/>
    <w:rsid w:val="00106353"/>
    <w:rsid w:val="00106875"/>
    <w:rsid w:val="001069B5"/>
    <w:rsid w:val="00106AB8"/>
    <w:rsid w:val="00106D33"/>
    <w:rsid w:val="00107154"/>
    <w:rsid w:val="0010734F"/>
    <w:rsid w:val="00107545"/>
    <w:rsid w:val="00107D41"/>
    <w:rsid w:val="00107F1C"/>
    <w:rsid w:val="00107F29"/>
    <w:rsid w:val="0011067E"/>
    <w:rsid w:val="00110877"/>
    <w:rsid w:val="00110FDA"/>
    <w:rsid w:val="00111762"/>
    <w:rsid w:val="00112069"/>
    <w:rsid w:val="0011232B"/>
    <w:rsid w:val="001124B2"/>
    <w:rsid w:val="0011282E"/>
    <w:rsid w:val="00112C84"/>
    <w:rsid w:val="00112CDB"/>
    <w:rsid w:val="00113495"/>
    <w:rsid w:val="001135E2"/>
    <w:rsid w:val="001135F5"/>
    <w:rsid w:val="00113A1E"/>
    <w:rsid w:val="00114266"/>
    <w:rsid w:val="00114493"/>
    <w:rsid w:val="00114661"/>
    <w:rsid w:val="0011561B"/>
    <w:rsid w:val="00115AD2"/>
    <w:rsid w:val="00115B87"/>
    <w:rsid w:val="00115ECE"/>
    <w:rsid w:val="001160C0"/>
    <w:rsid w:val="0011639E"/>
    <w:rsid w:val="00116432"/>
    <w:rsid w:val="00116492"/>
    <w:rsid w:val="0011697A"/>
    <w:rsid w:val="00116AB3"/>
    <w:rsid w:val="00116E8E"/>
    <w:rsid w:val="0011723C"/>
    <w:rsid w:val="001176A2"/>
    <w:rsid w:val="00117774"/>
    <w:rsid w:val="00117D81"/>
    <w:rsid w:val="00117DF4"/>
    <w:rsid w:val="00117E29"/>
    <w:rsid w:val="0012021A"/>
    <w:rsid w:val="00120387"/>
    <w:rsid w:val="00120452"/>
    <w:rsid w:val="00120D38"/>
    <w:rsid w:val="00120EB1"/>
    <w:rsid w:val="0012103F"/>
    <w:rsid w:val="0012117D"/>
    <w:rsid w:val="001213A8"/>
    <w:rsid w:val="001215B0"/>
    <w:rsid w:val="0012171A"/>
    <w:rsid w:val="00122F5C"/>
    <w:rsid w:val="0012359F"/>
    <w:rsid w:val="001235AE"/>
    <w:rsid w:val="00123929"/>
    <w:rsid w:val="00123FAE"/>
    <w:rsid w:val="00124248"/>
    <w:rsid w:val="00124531"/>
    <w:rsid w:val="00124550"/>
    <w:rsid w:val="001253B6"/>
    <w:rsid w:val="0012564C"/>
    <w:rsid w:val="00126474"/>
    <w:rsid w:val="001265AA"/>
    <w:rsid w:val="001265DC"/>
    <w:rsid w:val="00126CD3"/>
    <w:rsid w:val="001274EB"/>
    <w:rsid w:val="001300D3"/>
    <w:rsid w:val="0013047F"/>
    <w:rsid w:val="00130ABE"/>
    <w:rsid w:val="00130DA8"/>
    <w:rsid w:val="0013102E"/>
    <w:rsid w:val="00131182"/>
    <w:rsid w:val="00131822"/>
    <w:rsid w:val="0013182A"/>
    <w:rsid w:val="00131948"/>
    <w:rsid w:val="00131ABF"/>
    <w:rsid w:val="00131B9C"/>
    <w:rsid w:val="001326B5"/>
    <w:rsid w:val="001327DE"/>
    <w:rsid w:val="001329A3"/>
    <w:rsid w:val="00132E81"/>
    <w:rsid w:val="00132E91"/>
    <w:rsid w:val="00133979"/>
    <w:rsid w:val="00133AEE"/>
    <w:rsid w:val="001341FC"/>
    <w:rsid w:val="00134308"/>
    <w:rsid w:val="00134507"/>
    <w:rsid w:val="00134904"/>
    <w:rsid w:val="00134C18"/>
    <w:rsid w:val="00136DDB"/>
    <w:rsid w:val="001372E5"/>
    <w:rsid w:val="0013732D"/>
    <w:rsid w:val="00140229"/>
    <w:rsid w:val="00140480"/>
    <w:rsid w:val="00140822"/>
    <w:rsid w:val="00140A0A"/>
    <w:rsid w:val="0014137A"/>
    <w:rsid w:val="001415EE"/>
    <w:rsid w:val="00141660"/>
    <w:rsid w:val="0014220A"/>
    <w:rsid w:val="001423A9"/>
    <w:rsid w:val="00142592"/>
    <w:rsid w:val="001427A5"/>
    <w:rsid w:val="00142C03"/>
    <w:rsid w:val="00142DAD"/>
    <w:rsid w:val="00143262"/>
    <w:rsid w:val="0014388C"/>
    <w:rsid w:val="001438EC"/>
    <w:rsid w:val="00143D7D"/>
    <w:rsid w:val="0014456A"/>
    <w:rsid w:val="0014467D"/>
    <w:rsid w:val="00144890"/>
    <w:rsid w:val="00144FA4"/>
    <w:rsid w:val="0014501C"/>
    <w:rsid w:val="00145295"/>
    <w:rsid w:val="00145FDA"/>
    <w:rsid w:val="0014705B"/>
    <w:rsid w:val="00147ADD"/>
    <w:rsid w:val="00150098"/>
    <w:rsid w:val="00150A20"/>
    <w:rsid w:val="00150AE0"/>
    <w:rsid w:val="00150C43"/>
    <w:rsid w:val="00150C50"/>
    <w:rsid w:val="00151560"/>
    <w:rsid w:val="00151E3F"/>
    <w:rsid w:val="00151FA0"/>
    <w:rsid w:val="001529C6"/>
    <w:rsid w:val="00153078"/>
    <w:rsid w:val="00153406"/>
    <w:rsid w:val="00153BEA"/>
    <w:rsid w:val="00153C0F"/>
    <w:rsid w:val="001546E5"/>
    <w:rsid w:val="00154BB0"/>
    <w:rsid w:val="00154C5C"/>
    <w:rsid w:val="0015524A"/>
    <w:rsid w:val="0015574A"/>
    <w:rsid w:val="00155B7D"/>
    <w:rsid w:val="00155F37"/>
    <w:rsid w:val="0015606F"/>
    <w:rsid w:val="0015627C"/>
    <w:rsid w:val="001566E8"/>
    <w:rsid w:val="00156B6C"/>
    <w:rsid w:val="001572CA"/>
    <w:rsid w:val="001575BF"/>
    <w:rsid w:val="00157F37"/>
    <w:rsid w:val="00157F7D"/>
    <w:rsid w:val="001624F7"/>
    <w:rsid w:val="00163337"/>
    <w:rsid w:val="00163D5E"/>
    <w:rsid w:val="00164605"/>
    <w:rsid w:val="001647D2"/>
    <w:rsid w:val="0016493E"/>
    <w:rsid w:val="00164B5B"/>
    <w:rsid w:val="00164C60"/>
    <w:rsid w:val="00164EA3"/>
    <w:rsid w:val="00165259"/>
    <w:rsid w:val="00166862"/>
    <w:rsid w:val="001673AC"/>
    <w:rsid w:val="00167666"/>
    <w:rsid w:val="00167FD4"/>
    <w:rsid w:val="00170006"/>
    <w:rsid w:val="0017044F"/>
    <w:rsid w:val="00170494"/>
    <w:rsid w:val="001706AC"/>
    <w:rsid w:val="0017077B"/>
    <w:rsid w:val="00170B64"/>
    <w:rsid w:val="001710BD"/>
    <w:rsid w:val="00171B4B"/>
    <w:rsid w:val="00171DC8"/>
    <w:rsid w:val="00172091"/>
    <w:rsid w:val="0017261A"/>
    <w:rsid w:val="00173465"/>
    <w:rsid w:val="001736CA"/>
    <w:rsid w:val="00173C4F"/>
    <w:rsid w:val="001741C6"/>
    <w:rsid w:val="00174884"/>
    <w:rsid w:val="00174A2E"/>
    <w:rsid w:val="00174B1F"/>
    <w:rsid w:val="00174D5E"/>
    <w:rsid w:val="00174F86"/>
    <w:rsid w:val="00174FB2"/>
    <w:rsid w:val="0017511C"/>
    <w:rsid w:val="00175317"/>
    <w:rsid w:val="00175661"/>
    <w:rsid w:val="00175FA7"/>
    <w:rsid w:val="0017653A"/>
    <w:rsid w:val="00176E58"/>
    <w:rsid w:val="001773C3"/>
    <w:rsid w:val="00177406"/>
    <w:rsid w:val="00177458"/>
    <w:rsid w:val="001774F8"/>
    <w:rsid w:val="00177AF3"/>
    <w:rsid w:val="00177C0A"/>
    <w:rsid w:val="00180322"/>
    <w:rsid w:val="00180A36"/>
    <w:rsid w:val="00180FC4"/>
    <w:rsid w:val="00181573"/>
    <w:rsid w:val="00181608"/>
    <w:rsid w:val="00181711"/>
    <w:rsid w:val="00181D30"/>
    <w:rsid w:val="00181E6F"/>
    <w:rsid w:val="00182102"/>
    <w:rsid w:val="00182459"/>
    <w:rsid w:val="001825D7"/>
    <w:rsid w:val="0018280E"/>
    <w:rsid w:val="00182855"/>
    <w:rsid w:val="00182946"/>
    <w:rsid w:val="00182CAD"/>
    <w:rsid w:val="001835EF"/>
    <w:rsid w:val="00183F1C"/>
    <w:rsid w:val="001844DE"/>
    <w:rsid w:val="0018487F"/>
    <w:rsid w:val="001849CC"/>
    <w:rsid w:val="00184DCD"/>
    <w:rsid w:val="00185202"/>
    <w:rsid w:val="00185F66"/>
    <w:rsid w:val="00186EDC"/>
    <w:rsid w:val="00186F72"/>
    <w:rsid w:val="001874EB"/>
    <w:rsid w:val="00187D33"/>
    <w:rsid w:val="00190126"/>
    <w:rsid w:val="00190533"/>
    <w:rsid w:val="00190E76"/>
    <w:rsid w:val="0019170B"/>
    <w:rsid w:val="00191742"/>
    <w:rsid w:val="00191766"/>
    <w:rsid w:val="00191806"/>
    <w:rsid w:val="00191EF6"/>
    <w:rsid w:val="0019213F"/>
    <w:rsid w:val="001924AB"/>
    <w:rsid w:val="001926A7"/>
    <w:rsid w:val="001932A9"/>
    <w:rsid w:val="00193D76"/>
    <w:rsid w:val="00194020"/>
    <w:rsid w:val="001941B9"/>
    <w:rsid w:val="001944AB"/>
    <w:rsid w:val="0019509B"/>
    <w:rsid w:val="00195911"/>
    <w:rsid w:val="00195E6C"/>
    <w:rsid w:val="00196069"/>
    <w:rsid w:val="001960A4"/>
    <w:rsid w:val="00196106"/>
    <w:rsid w:val="0019614F"/>
    <w:rsid w:val="001969F6"/>
    <w:rsid w:val="00196A57"/>
    <w:rsid w:val="00196CF0"/>
    <w:rsid w:val="00197067"/>
    <w:rsid w:val="00197562"/>
    <w:rsid w:val="00197621"/>
    <w:rsid w:val="001A086B"/>
    <w:rsid w:val="001A0A0F"/>
    <w:rsid w:val="001A12BD"/>
    <w:rsid w:val="001A15A2"/>
    <w:rsid w:val="001A1961"/>
    <w:rsid w:val="001A1BC5"/>
    <w:rsid w:val="001A2291"/>
    <w:rsid w:val="001A2294"/>
    <w:rsid w:val="001A22DE"/>
    <w:rsid w:val="001A259E"/>
    <w:rsid w:val="001A25B8"/>
    <w:rsid w:val="001A2793"/>
    <w:rsid w:val="001A2D32"/>
    <w:rsid w:val="001A30B5"/>
    <w:rsid w:val="001A313C"/>
    <w:rsid w:val="001A31A3"/>
    <w:rsid w:val="001A3382"/>
    <w:rsid w:val="001A3540"/>
    <w:rsid w:val="001A3A9A"/>
    <w:rsid w:val="001A3BEB"/>
    <w:rsid w:val="001A4281"/>
    <w:rsid w:val="001A4933"/>
    <w:rsid w:val="001A50A0"/>
    <w:rsid w:val="001A50F2"/>
    <w:rsid w:val="001A5213"/>
    <w:rsid w:val="001A5711"/>
    <w:rsid w:val="001A5EB6"/>
    <w:rsid w:val="001A5F50"/>
    <w:rsid w:val="001A60F5"/>
    <w:rsid w:val="001A64D3"/>
    <w:rsid w:val="001A7095"/>
    <w:rsid w:val="001A7191"/>
    <w:rsid w:val="001A764D"/>
    <w:rsid w:val="001B01B7"/>
    <w:rsid w:val="001B09FD"/>
    <w:rsid w:val="001B0B8A"/>
    <w:rsid w:val="001B1252"/>
    <w:rsid w:val="001B1F5A"/>
    <w:rsid w:val="001B2247"/>
    <w:rsid w:val="001B24BB"/>
    <w:rsid w:val="001B3412"/>
    <w:rsid w:val="001B3442"/>
    <w:rsid w:val="001B4202"/>
    <w:rsid w:val="001B42E5"/>
    <w:rsid w:val="001B45F0"/>
    <w:rsid w:val="001B476D"/>
    <w:rsid w:val="001B48C0"/>
    <w:rsid w:val="001B4F5C"/>
    <w:rsid w:val="001B501A"/>
    <w:rsid w:val="001B5362"/>
    <w:rsid w:val="001B5F3B"/>
    <w:rsid w:val="001B6C45"/>
    <w:rsid w:val="001B7098"/>
    <w:rsid w:val="001B7147"/>
    <w:rsid w:val="001B77C8"/>
    <w:rsid w:val="001B7AE6"/>
    <w:rsid w:val="001B7CED"/>
    <w:rsid w:val="001B7D8D"/>
    <w:rsid w:val="001B7E50"/>
    <w:rsid w:val="001C009B"/>
    <w:rsid w:val="001C016F"/>
    <w:rsid w:val="001C020B"/>
    <w:rsid w:val="001C0E20"/>
    <w:rsid w:val="001C0F97"/>
    <w:rsid w:val="001C276E"/>
    <w:rsid w:val="001C2FB2"/>
    <w:rsid w:val="001C3345"/>
    <w:rsid w:val="001C4362"/>
    <w:rsid w:val="001C45B9"/>
    <w:rsid w:val="001C5246"/>
    <w:rsid w:val="001C553C"/>
    <w:rsid w:val="001C5C4B"/>
    <w:rsid w:val="001C69BB"/>
    <w:rsid w:val="001C69D5"/>
    <w:rsid w:val="001C6AD2"/>
    <w:rsid w:val="001C6BC7"/>
    <w:rsid w:val="001C7034"/>
    <w:rsid w:val="001C7F40"/>
    <w:rsid w:val="001D0160"/>
    <w:rsid w:val="001D097F"/>
    <w:rsid w:val="001D0A06"/>
    <w:rsid w:val="001D0A33"/>
    <w:rsid w:val="001D0B2B"/>
    <w:rsid w:val="001D0CDA"/>
    <w:rsid w:val="001D120F"/>
    <w:rsid w:val="001D23D4"/>
    <w:rsid w:val="001D2C35"/>
    <w:rsid w:val="001D31D8"/>
    <w:rsid w:val="001D3262"/>
    <w:rsid w:val="001D335C"/>
    <w:rsid w:val="001D3806"/>
    <w:rsid w:val="001D3F9D"/>
    <w:rsid w:val="001D3FCE"/>
    <w:rsid w:val="001D4427"/>
    <w:rsid w:val="001D44DD"/>
    <w:rsid w:val="001D53CB"/>
    <w:rsid w:val="001D57EB"/>
    <w:rsid w:val="001D5A5E"/>
    <w:rsid w:val="001D68DB"/>
    <w:rsid w:val="001D7224"/>
    <w:rsid w:val="001D7306"/>
    <w:rsid w:val="001D750C"/>
    <w:rsid w:val="001E029C"/>
    <w:rsid w:val="001E05D9"/>
    <w:rsid w:val="001E1779"/>
    <w:rsid w:val="001E1AE2"/>
    <w:rsid w:val="001E21E0"/>
    <w:rsid w:val="001E222A"/>
    <w:rsid w:val="001E2AB3"/>
    <w:rsid w:val="001E2C72"/>
    <w:rsid w:val="001E3DDF"/>
    <w:rsid w:val="001E4708"/>
    <w:rsid w:val="001E494F"/>
    <w:rsid w:val="001E4A4A"/>
    <w:rsid w:val="001E5124"/>
    <w:rsid w:val="001E5358"/>
    <w:rsid w:val="001E58BA"/>
    <w:rsid w:val="001E632A"/>
    <w:rsid w:val="001E65E6"/>
    <w:rsid w:val="001E67C0"/>
    <w:rsid w:val="001E6ABC"/>
    <w:rsid w:val="001E6BE8"/>
    <w:rsid w:val="001E7781"/>
    <w:rsid w:val="001E7870"/>
    <w:rsid w:val="001E79A9"/>
    <w:rsid w:val="001F01A0"/>
    <w:rsid w:val="001F08C5"/>
    <w:rsid w:val="001F1AB2"/>
    <w:rsid w:val="001F264A"/>
    <w:rsid w:val="001F2AC4"/>
    <w:rsid w:val="001F2BCC"/>
    <w:rsid w:val="001F2C87"/>
    <w:rsid w:val="001F2D9A"/>
    <w:rsid w:val="001F3321"/>
    <w:rsid w:val="001F335F"/>
    <w:rsid w:val="001F3CC5"/>
    <w:rsid w:val="001F3FDD"/>
    <w:rsid w:val="001F5725"/>
    <w:rsid w:val="001F577F"/>
    <w:rsid w:val="001F5D58"/>
    <w:rsid w:val="001F607C"/>
    <w:rsid w:val="001F67A9"/>
    <w:rsid w:val="001F6A9D"/>
    <w:rsid w:val="001F6BEC"/>
    <w:rsid w:val="001F7075"/>
    <w:rsid w:val="001F7315"/>
    <w:rsid w:val="001F74BB"/>
    <w:rsid w:val="001F78D9"/>
    <w:rsid w:val="001F7A2C"/>
    <w:rsid w:val="002002BB"/>
    <w:rsid w:val="0020064D"/>
    <w:rsid w:val="00200E11"/>
    <w:rsid w:val="00200E2B"/>
    <w:rsid w:val="00200F91"/>
    <w:rsid w:val="002013B1"/>
    <w:rsid w:val="002017DC"/>
    <w:rsid w:val="00201936"/>
    <w:rsid w:val="00201D5E"/>
    <w:rsid w:val="00202927"/>
    <w:rsid w:val="00203870"/>
    <w:rsid w:val="00203B5B"/>
    <w:rsid w:val="00203DA1"/>
    <w:rsid w:val="002040B5"/>
    <w:rsid w:val="002041CC"/>
    <w:rsid w:val="002046DB"/>
    <w:rsid w:val="00204785"/>
    <w:rsid w:val="00204D69"/>
    <w:rsid w:val="00204FDC"/>
    <w:rsid w:val="002054EF"/>
    <w:rsid w:val="00205824"/>
    <w:rsid w:val="00206104"/>
    <w:rsid w:val="002063D6"/>
    <w:rsid w:val="00206D2F"/>
    <w:rsid w:val="00206D98"/>
    <w:rsid w:val="00206E36"/>
    <w:rsid w:val="0020710D"/>
    <w:rsid w:val="00207279"/>
    <w:rsid w:val="0021067F"/>
    <w:rsid w:val="00210B57"/>
    <w:rsid w:val="00210BEF"/>
    <w:rsid w:val="002112F5"/>
    <w:rsid w:val="002126B7"/>
    <w:rsid w:val="00212A35"/>
    <w:rsid w:val="00212D9F"/>
    <w:rsid w:val="00213387"/>
    <w:rsid w:val="002133FA"/>
    <w:rsid w:val="0021359E"/>
    <w:rsid w:val="0021394A"/>
    <w:rsid w:val="00213A42"/>
    <w:rsid w:val="00213A96"/>
    <w:rsid w:val="00213B8A"/>
    <w:rsid w:val="0021418C"/>
    <w:rsid w:val="002146E9"/>
    <w:rsid w:val="00214A75"/>
    <w:rsid w:val="00214BCE"/>
    <w:rsid w:val="00214C5C"/>
    <w:rsid w:val="00215066"/>
    <w:rsid w:val="00216178"/>
    <w:rsid w:val="00216D50"/>
    <w:rsid w:val="00217824"/>
    <w:rsid w:val="0022031D"/>
    <w:rsid w:val="0022035B"/>
    <w:rsid w:val="0022051A"/>
    <w:rsid w:val="00220766"/>
    <w:rsid w:val="0022107C"/>
    <w:rsid w:val="00221097"/>
    <w:rsid w:val="00221370"/>
    <w:rsid w:val="00221603"/>
    <w:rsid w:val="0022175E"/>
    <w:rsid w:val="00221F92"/>
    <w:rsid w:val="002221E6"/>
    <w:rsid w:val="0022229C"/>
    <w:rsid w:val="00222362"/>
    <w:rsid w:val="00222A8E"/>
    <w:rsid w:val="00223C02"/>
    <w:rsid w:val="002240DA"/>
    <w:rsid w:val="00224140"/>
    <w:rsid w:val="0022457B"/>
    <w:rsid w:val="002246D0"/>
    <w:rsid w:val="002246FF"/>
    <w:rsid w:val="00224E1C"/>
    <w:rsid w:val="00225300"/>
    <w:rsid w:val="00225B2B"/>
    <w:rsid w:val="002263BE"/>
    <w:rsid w:val="00226727"/>
    <w:rsid w:val="002267FB"/>
    <w:rsid w:val="00226B90"/>
    <w:rsid w:val="00227867"/>
    <w:rsid w:val="002278D9"/>
    <w:rsid w:val="00227966"/>
    <w:rsid w:val="0023024B"/>
    <w:rsid w:val="00230BD3"/>
    <w:rsid w:val="00230C57"/>
    <w:rsid w:val="002314B5"/>
    <w:rsid w:val="00231BF5"/>
    <w:rsid w:val="00231F14"/>
    <w:rsid w:val="00233487"/>
    <w:rsid w:val="0023353C"/>
    <w:rsid w:val="00233A32"/>
    <w:rsid w:val="00233F55"/>
    <w:rsid w:val="0023407A"/>
    <w:rsid w:val="00234272"/>
    <w:rsid w:val="0023436D"/>
    <w:rsid w:val="0023450E"/>
    <w:rsid w:val="002348DE"/>
    <w:rsid w:val="00234E3C"/>
    <w:rsid w:val="002351CB"/>
    <w:rsid w:val="00235A9F"/>
    <w:rsid w:val="00235B14"/>
    <w:rsid w:val="00235C35"/>
    <w:rsid w:val="0023645F"/>
    <w:rsid w:val="0023661D"/>
    <w:rsid w:val="00236F8F"/>
    <w:rsid w:val="00237929"/>
    <w:rsid w:val="00237F32"/>
    <w:rsid w:val="00240000"/>
    <w:rsid w:val="0024003D"/>
    <w:rsid w:val="00240544"/>
    <w:rsid w:val="00240670"/>
    <w:rsid w:val="00240790"/>
    <w:rsid w:val="002408D9"/>
    <w:rsid w:val="00241C08"/>
    <w:rsid w:val="00241CBD"/>
    <w:rsid w:val="00241D7E"/>
    <w:rsid w:val="002421E7"/>
    <w:rsid w:val="002428D8"/>
    <w:rsid w:val="002428EC"/>
    <w:rsid w:val="00242F5A"/>
    <w:rsid w:val="0024357E"/>
    <w:rsid w:val="002436E2"/>
    <w:rsid w:val="00244509"/>
    <w:rsid w:val="00244897"/>
    <w:rsid w:val="002448D8"/>
    <w:rsid w:val="00244FD9"/>
    <w:rsid w:val="00245151"/>
    <w:rsid w:val="002453E5"/>
    <w:rsid w:val="002453F9"/>
    <w:rsid w:val="002458AC"/>
    <w:rsid w:val="00246C9E"/>
    <w:rsid w:val="00246F08"/>
    <w:rsid w:val="002470B4"/>
    <w:rsid w:val="00247143"/>
    <w:rsid w:val="00247CCD"/>
    <w:rsid w:val="00247EEB"/>
    <w:rsid w:val="00247FD8"/>
    <w:rsid w:val="00250760"/>
    <w:rsid w:val="00250C54"/>
    <w:rsid w:val="002519BF"/>
    <w:rsid w:val="00251D42"/>
    <w:rsid w:val="00251ED6"/>
    <w:rsid w:val="002520C0"/>
    <w:rsid w:val="00252172"/>
    <w:rsid w:val="002521C8"/>
    <w:rsid w:val="00252369"/>
    <w:rsid w:val="00252631"/>
    <w:rsid w:val="002527EA"/>
    <w:rsid w:val="00252B33"/>
    <w:rsid w:val="00252C39"/>
    <w:rsid w:val="00252FA1"/>
    <w:rsid w:val="002534B8"/>
    <w:rsid w:val="0025357E"/>
    <w:rsid w:val="0025397B"/>
    <w:rsid w:val="00253991"/>
    <w:rsid w:val="00253B71"/>
    <w:rsid w:val="002545AD"/>
    <w:rsid w:val="00254685"/>
    <w:rsid w:val="00255D5B"/>
    <w:rsid w:val="00256199"/>
    <w:rsid w:val="00256303"/>
    <w:rsid w:val="00256405"/>
    <w:rsid w:val="002565B2"/>
    <w:rsid w:val="00256921"/>
    <w:rsid w:val="002569A6"/>
    <w:rsid w:val="00257174"/>
    <w:rsid w:val="0025756C"/>
    <w:rsid w:val="00257EAC"/>
    <w:rsid w:val="00260361"/>
    <w:rsid w:val="0026060D"/>
    <w:rsid w:val="00260D30"/>
    <w:rsid w:val="002611C9"/>
    <w:rsid w:val="002619C5"/>
    <w:rsid w:val="002619C9"/>
    <w:rsid w:val="00261A9A"/>
    <w:rsid w:val="00261FD5"/>
    <w:rsid w:val="0026246F"/>
    <w:rsid w:val="00262763"/>
    <w:rsid w:val="00262A8E"/>
    <w:rsid w:val="00262F8D"/>
    <w:rsid w:val="00263A7D"/>
    <w:rsid w:val="002645A5"/>
    <w:rsid w:val="00264B11"/>
    <w:rsid w:val="002652E6"/>
    <w:rsid w:val="0026537B"/>
    <w:rsid w:val="002656D5"/>
    <w:rsid w:val="00265FC4"/>
    <w:rsid w:val="002664C4"/>
    <w:rsid w:val="00266E5E"/>
    <w:rsid w:val="00267B1E"/>
    <w:rsid w:val="00267C94"/>
    <w:rsid w:val="00267F12"/>
    <w:rsid w:val="00267F45"/>
    <w:rsid w:val="00270255"/>
    <w:rsid w:val="002708ED"/>
    <w:rsid w:val="002709CD"/>
    <w:rsid w:val="002710FE"/>
    <w:rsid w:val="002711CE"/>
    <w:rsid w:val="00272510"/>
    <w:rsid w:val="00272ADE"/>
    <w:rsid w:val="00272CD9"/>
    <w:rsid w:val="00273072"/>
    <w:rsid w:val="00273281"/>
    <w:rsid w:val="0027362C"/>
    <w:rsid w:val="00273864"/>
    <w:rsid w:val="00273AD7"/>
    <w:rsid w:val="002740E9"/>
    <w:rsid w:val="002742FA"/>
    <w:rsid w:val="00274339"/>
    <w:rsid w:val="00274440"/>
    <w:rsid w:val="0027446D"/>
    <w:rsid w:val="00274A8E"/>
    <w:rsid w:val="00275268"/>
    <w:rsid w:val="0027535B"/>
    <w:rsid w:val="00275765"/>
    <w:rsid w:val="00275A34"/>
    <w:rsid w:val="00275ADE"/>
    <w:rsid w:val="00275D0B"/>
    <w:rsid w:val="00276CF8"/>
    <w:rsid w:val="00276FFC"/>
    <w:rsid w:val="0027706E"/>
    <w:rsid w:val="002775EB"/>
    <w:rsid w:val="00277990"/>
    <w:rsid w:val="00277F25"/>
    <w:rsid w:val="0028011A"/>
    <w:rsid w:val="0028027E"/>
    <w:rsid w:val="00280DD8"/>
    <w:rsid w:val="002810D5"/>
    <w:rsid w:val="0028165D"/>
    <w:rsid w:val="002816BD"/>
    <w:rsid w:val="0028170A"/>
    <w:rsid w:val="002825B1"/>
    <w:rsid w:val="00282920"/>
    <w:rsid w:val="00282AAE"/>
    <w:rsid w:val="00283272"/>
    <w:rsid w:val="00284381"/>
    <w:rsid w:val="00284BE9"/>
    <w:rsid w:val="002857B7"/>
    <w:rsid w:val="002857BC"/>
    <w:rsid w:val="002858F9"/>
    <w:rsid w:val="00285CF1"/>
    <w:rsid w:val="00285DD0"/>
    <w:rsid w:val="00286114"/>
    <w:rsid w:val="00286660"/>
    <w:rsid w:val="00286B63"/>
    <w:rsid w:val="00287302"/>
    <w:rsid w:val="00287B59"/>
    <w:rsid w:val="00287C85"/>
    <w:rsid w:val="0029028E"/>
    <w:rsid w:val="00290868"/>
    <w:rsid w:val="00290A06"/>
    <w:rsid w:val="00290C96"/>
    <w:rsid w:val="00290F20"/>
    <w:rsid w:val="002910FF"/>
    <w:rsid w:val="0029166E"/>
    <w:rsid w:val="00291FB2"/>
    <w:rsid w:val="002920B3"/>
    <w:rsid w:val="0029262F"/>
    <w:rsid w:val="00292856"/>
    <w:rsid w:val="00292C58"/>
    <w:rsid w:val="00292C79"/>
    <w:rsid w:val="00292E54"/>
    <w:rsid w:val="00293090"/>
    <w:rsid w:val="002931B8"/>
    <w:rsid w:val="00293524"/>
    <w:rsid w:val="00294116"/>
    <w:rsid w:val="00294187"/>
    <w:rsid w:val="002942F5"/>
    <w:rsid w:val="002949B5"/>
    <w:rsid w:val="00294A25"/>
    <w:rsid w:val="00294B1A"/>
    <w:rsid w:val="00294DAD"/>
    <w:rsid w:val="00295027"/>
    <w:rsid w:val="00295C0C"/>
    <w:rsid w:val="00295CC2"/>
    <w:rsid w:val="00295CD2"/>
    <w:rsid w:val="00295D3C"/>
    <w:rsid w:val="00295F09"/>
    <w:rsid w:val="002960EA"/>
    <w:rsid w:val="00296356"/>
    <w:rsid w:val="00296575"/>
    <w:rsid w:val="00297114"/>
    <w:rsid w:val="002A03F5"/>
    <w:rsid w:val="002A0828"/>
    <w:rsid w:val="002A09F7"/>
    <w:rsid w:val="002A0D6C"/>
    <w:rsid w:val="002A0E26"/>
    <w:rsid w:val="002A16E1"/>
    <w:rsid w:val="002A1AE1"/>
    <w:rsid w:val="002A1E06"/>
    <w:rsid w:val="002A2E6B"/>
    <w:rsid w:val="002A2F4A"/>
    <w:rsid w:val="002A2FEF"/>
    <w:rsid w:val="002A309A"/>
    <w:rsid w:val="002A31B0"/>
    <w:rsid w:val="002A31FB"/>
    <w:rsid w:val="002A36CC"/>
    <w:rsid w:val="002A3AA9"/>
    <w:rsid w:val="002A3E43"/>
    <w:rsid w:val="002A4C49"/>
    <w:rsid w:val="002A4CCB"/>
    <w:rsid w:val="002A561B"/>
    <w:rsid w:val="002A58A9"/>
    <w:rsid w:val="002A5C5C"/>
    <w:rsid w:val="002A6079"/>
    <w:rsid w:val="002A6356"/>
    <w:rsid w:val="002A6AE6"/>
    <w:rsid w:val="002A6B65"/>
    <w:rsid w:val="002A6CC3"/>
    <w:rsid w:val="002A6DE7"/>
    <w:rsid w:val="002A76C0"/>
    <w:rsid w:val="002B08C9"/>
    <w:rsid w:val="002B0B80"/>
    <w:rsid w:val="002B0BB7"/>
    <w:rsid w:val="002B0C06"/>
    <w:rsid w:val="002B0C0C"/>
    <w:rsid w:val="002B0CB3"/>
    <w:rsid w:val="002B1272"/>
    <w:rsid w:val="002B163E"/>
    <w:rsid w:val="002B164D"/>
    <w:rsid w:val="002B1740"/>
    <w:rsid w:val="002B1B2C"/>
    <w:rsid w:val="002B28D8"/>
    <w:rsid w:val="002B2988"/>
    <w:rsid w:val="002B2B52"/>
    <w:rsid w:val="002B2B80"/>
    <w:rsid w:val="002B2C53"/>
    <w:rsid w:val="002B3326"/>
    <w:rsid w:val="002B3B3F"/>
    <w:rsid w:val="002B3D0D"/>
    <w:rsid w:val="002B424C"/>
    <w:rsid w:val="002B4F0B"/>
    <w:rsid w:val="002B528C"/>
    <w:rsid w:val="002B562F"/>
    <w:rsid w:val="002B5BE6"/>
    <w:rsid w:val="002C0314"/>
    <w:rsid w:val="002C093F"/>
    <w:rsid w:val="002C1680"/>
    <w:rsid w:val="002C19A1"/>
    <w:rsid w:val="002C1E97"/>
    <w:rsid w:val="002C294D"/>
    <w:rsid w:val="002C3AAC"/>
    <w:rsid w:val="002C4069"/>
    <w:rsid w:val="002C4401"/>
    <w:rsid w:val="002C4DF0"/>
    <w:rsid w:val="002C5A43"/>
    <w:rsid w:val="002C5F15"/>
    <w:rsid w:val="002C5F42"/>
    <w:rsid w:val="002C62B6"/>
    <w:rsid w:val="002C6EEB"/>
    <w:rsid w:val="002C6FFB"/>
    <w:rsid w:val="002C7013"/>
    <w:rsid w:val="002C7D63"/>
    <w:rsid w:val="002C7DC7"/>
    <w:rsid w:val="002C7FE2"/>
    <w:rsid w:val="002D0F1F"/>
    <w:rsid w:val="002D1262"/>
    <w:rsid w:val="002D1AE6"/>
    <w:rsid w:val="002D1AF9"/>
    <w:rsid w:val="002D1F3E"/>
    <w:rsid w:val="002D1F8D"/>
    <w:rsid w:val="002D2319"/>
    <w:rsid w:val="002D2A6C"/>
    <w:rsid w:val="002D394E"/>
    <w:rsid w:val="002D3BC1"/>
    <w:rsid w:val="002D3F12"/>
    <w:rsid w:val="002D4525"/>
    <w:rsid w:val="002D4FBB"/>
    <w:rsid w:val="002D549E"/>
    <w:rsid w:val="002D6239"/>
    <w:rsid w:val="002D6539"/>
    <w:rsid w:val="002D7197"/>
    <w:rsid w:val="002D73D9"/>
    <w:rsid w:val="002D73E5"/>
    <w:rsid w:val="002E0303"/>
    <w:rsid w:val="002E08B5"/>
    <w:rsid w:val="002E0A1E"/>
    <w:rsid w:val="002E139B"/>
    <w:rsid w:val="002E147F"/>
    <w:rsid w:val="002E27EF"/>
    <w:rsid w:val="002E292A"/>
    <w:rsid w:val="002E2BEF"/>
    <w:rsid w:val="002E2E15"/>
    <w:rsid w:val="002E2F32"/>
    <w:rsid w:val="002E3265"/>
    <w:rsid w:val="002E361A"/>
    <w:rsid w:val="002E392E"/>
    <w:rsid w:val="002E3D45"/>
    <w:rsid w:val="002E3E80"/>
    <w:rsid w:val="002E4076"/>
    <w:rsid w:val="002E41F9"/>
    <w:rsid w:val="002E479F"/>
    <w:rsid w:val="002E4D11"/>
    <w:rsid w:val="002E4E51"/>
    <w:rsid w:val="002E502D"/>
    <w:rsid w:val="002E5454"/>
    <w:rsid w:val="002E5B14"/>
    <w:rsid w:val="002E5E3A"/>
    <w:rsid w:val="002E5FD0"/>
    <w:rsid w:val="002E6754"/>
    <w:rsid w:val="002E68A9"/>
    <w:rsid w:val="002E6D47"/>
    <w:rsid w:val="002E6EE3"/>
    <w:rsid w:val="002E7114"/>
    <w:rsid w:val="002E738E"/>
    <w:rsid w:val="002E7F48"/>
    <w:rsid w:val="002F02F8"/>
    <w:rsid w:val="002F05F8"/>
    <w:rsid w:val="002F061B"/>
    <w:rsid w:val="002F1244"/>
    <w:rsid w:val="002F38EC"/>
    <w:rsid w:val="002F39DF"/>
    <w:rsid w:val="002F45FD"/>
    <w:rsid w:val="002F4AFB"/>
    <w:rsid w:val="002F4B10"/>
    <w:rsid w:val="002F50A0"/>
    <w:rsid w:val="002F52E3"/>
    <w:rsid w:val="002F53EF"/>
    <w:rsid w:val="002F57C5"/>
    <w:rsid w:val="002F58C7"/>
    <w:rsid w:val="002F5901"/>
    <w:rsid w:val="002F5DFB"/>
    <w:rsid w:val="002F67D4"/>
    <w:rsid w:val="002F6E6C"/>
    <w:rsid w:val="002F7010"/>
    <w:rsid w:val="002F7015"/>
    <w:rsid w:val="002F7593"/>
    <w:rsid w:val="002F7823"/>
    <w:rsid w:val="002F785E"/>
    <w:rsid w:val="002F7995"/>
    <w:rsid w:val="003000EE"/>
    <w:rsid w:val="00300265"/>
    <w:rsid w:val="00300A28"/>
    <w:rsid w:val="00300F22"/>
    <w:rsid w:val="00301184"/>
    <w:rsid w:val="003019E9"/>
    <w:rsid w:val="00301C7B"/>
    <w:rsid w:val="00302559"/>
    <w:rsid w:val="00302A11"/>
    <w:rsid w:val="00302E63"/>
    <w:rsid w:val="00302E8C"/>
    <w:rsid w:val="00303244"/>
    <w:rsid w:val="003033E3"/>
    <w:rsid w:val="0030370A"/>
    <w:rsid w:val="0030384F"/>
    <w:rsid w:val="00303943"/>
    <w:rsid w:val="00304273"/>
    <w:rsid w:val="003045C3"/>
    <w:rsid w:val="003050E6"/>
    <w:rsid w:val="003053BD"/>
    <w:rsid w:val="00305CA1"/>
    <w:rsid w:val="00305ED7"/>
    <w:rsid w:val="00306011"/>
    <w:rsid w:val="00306194"/>
    <w:rsid w:val="00306317"/>
    <w:rsid w:val="00306428"/>
    <w:rsid w:val="00306AAC"/>
    <w:rsid w:val="0030758B"/>
    <w:rsid w:val="00307B63"/>
    <w:rsid w:val="00310201"/>
    <w:rsid w:val="00310528"/>
    <w:rsid w:val="0031096E"/>
    <w:rsid w:val="00311804"/>
    <w:rsid w:val="00311B69"/>
    <w:rsid w:val="00311B8E"/>
    <w:rsid w:val="00311E21"/>
    <w:rsid w:val="00312F28"/>
    <w:rsid w:val="0031327A"/>
    <w:rsid w:val="003133F6"/>
    <w:rsid w:val="00313B9F"/>
    <w:rsid w:val="00313F08"/>
    <w:rsid w:val="00314A38"/>
    <w:rsid w:val="003152AE"/>
    <w:rsid w:val="003159C7"/>
    <w:rsid w:val="00315AF8"/>
    <w:rsid w:val="0031608C"/>
    <w:rsid w:val="0031648D"/>
    <w:rsid w:val="00317116"/>
    <w:rsid w:val="00317289"/>
    <w:rsid w:val="00317B5A"/>
    <w:rsid w:val="003204F0"/>
    <w:rsid w:val="003208AC"/>
    <w:rsid w:val="00320960"/>
    <w:rsid w:val="0032141E"/>
    <w:rsid w:val="00321F6E"/>
    <w:rsid w:val="0032224B"/>
    <w:rsid w:val="00322632"/>
    <w:rsid w:val="00322774"/>
    <w:rsid w:val="00322779"/>
    <w:rsid w:val="003227A4"/>
    <w:rsid w:val="00322915"/>
    <w:rsid w:val="00323662"/>
    <w:rsid w:val="003244CF"/>
    <w:rsid w:val="0032456C"/>
    <w:rsid w:val="00324C14"/>
    <w:rsid w:val="00324FE2"/>
    <w:rsid w:val="003255CA"/>
    <w:rsid w:val="003259E2"/>
    <w:rsid w:val="00325A92"/>
    <w:rsid w:val="00326688"/>
    <w:rsid w:val="0032696F"/>
    <w:rsid w:val="00326A01"/>
    <w:rsid w:val="00326A0D"/>
    <w:rsid w:val="00326B0F"/>
    <w:rsid w:val="00326B9F"/>
    <w:rsid w:val="00326C8F"/>
    <w:rsid w:val="00327191"/>
    <w:rsid w:val="00327242"/>
    <w:rsid w:val="00327545"/>
    <w:rsid w:val="00327568"/>
    <w:rsid w:val="00327D56"/>
    <w:rsid w:val="00327DD4"/>
    <w:rsid w:val="00330085"/>
    <w:rsid w:val="003308C7"/>
    <w:rsid w:val="0033094C"/>
    <w:rsid w:val="003313EF"/>
    <w:rsid w:val="0033176F"/>
    <w:rsid w:val="0033178E"/>
    <w:rsid w:val="00331794"/>
    <w:rsid w:val="00331B05"/>
    <w:rsid w:val="00331C61"/>
    <w:rsid w:val="00332132"/>
    <w:rsid w:val="003321D3"/>
    <w:rsid w:val="003329ED"/>
    <w:rsid w:val="003333B9"/>
    <w:rsid w:val="00333A9F"/>
    <w:rsid w:val="00333CBA"/>
    <w:rsid w:val="00333D8A"/>
    <w:rsid w:val="00333E91"/>
    <w:rsid w:val="0033407A"/>
    <w:rsid w:val="00334427"/>
    <w:rsid w:val="003345E5"/>
    <w:rsid w:val="003349C1"/>
    <w:rsid w:val="00334F27"/>
    <w:rsid w:val="00335138"/>
    <w:rsid w:val="00335939"/>
    <w:rsid w:val="0033596D"/>
    <w:rsid w:val="00335A20"/>
    <w:rsid w:val="00335B51"/>
    <w:rsid w:val="00335B63"/>
    <w:rsid w:val="00335EC8"/>
    <w:rsid w:val="0033640D"/>
    <w:rsid w:val="003375B4"/>
    <w:rsid w:val="0033766C"/>
    <w:rsid w:val="0033784F"/>
    <w:rsid w:val="00337923"/>
    <w:rsid w:val="00337D3C"/>
    <w:rsid w:val="00337D91"/>
    <w:rsid w:val="00337F08"/>
    <w:rsid w:val="00340382"/>
    <w:rsid w:val="00340383"/>
    <w:rsid w:val="00340C12"/>
    <w:rsid w:val="00341211"/>
    <w:rsid w:val="00341375"/>
    <w:rsid w:val="00341552"/>
    <w:rsid w:val="00341BFE"/>
    <w:rsid w:val="00342BEC"/>
    <w:rsid w:val="00343026"/>
    <w:rsid w:val="00343A2E"/>
    <w:rsid w:val="00344841"/>
    <w:rsid w:val="003448F9"/>
    <w:rsid w:val="00344C2F"/>
    <w:rsid w:val="00344D2E"/>
    <w:rsid w:val="003455CD"/>
    <w:rsid w:val="003457D0"/>
    <w:rsid w:val="003457E9"/>
    <w:rsid w:val="00345EDE"/>
    <w:rsid w:val="00346E99"/>
    <w:rsid w:val="003471DC"/>
    <w:rsid w:val="00347918"/>
    <w:rsid w:val="00347A42"/>
    <w:rsid w:val="00350048"/>
    <w:rsid w:val="003500C6"/>
    <w:rsid w:val="0035148E"/>
    <w:rsid w:val="00351DF0"/>
    <w:rsid w:val="00352252"/>
    <w:rsid w:val="003522AD"/>
    <w:rsid w:val="00352717"/>
    <w:rsid w:val="00352860"/>
    <w:rsid w:val="00353980"/>
    <w:rsid w:val="00353BD9"/>
    <w:rsid w:val="00353D43"/>
    <w:rsid w:val="00354682"/>
    <w:rsid w:val="00354811"/>
    <w:rsid w:val="00354B49"/>
    <w:rsid w:val="00354FA1"/>
    <w:rsid w:val="003550A1"/>
    <w:rsid w:val="0035522B"/>
    <w:rsid w:val="003553C9"/>
    <w:rsid w:val="00355761"/>
    <w:rsid w:val="0035672B"/>
    <w:rsid w:val="003568FA"/>
    <w:rsid w:val="003569CD"/>
    <w:rsid w:val="00356A62"/>
    <w:rsid w:val="0035759A"/>
    <w:rsid w:val="00357C2C"/>
    <w:rsid w:val="00360EF9"/>
    <w:rsid w:val="003612F6"/>
    <w:rsid w:val="00361B3A"/>
    <w:rsid w:val="00361C7F"/>
    <w:rsid w:val="00361C8F"/>
    <w:rsid w:val="00362218"/>
    <w:rsid w:val="00362295"/>
    <w:rsid w:val="00362573"/>
    <w:rsid w:val="003627E1"/>
    <w:rsid w:val="0036280B"/>
    <w:rsid w:val="00362FCD"/>
    <w:rsid w:val="003631FC"/>
    <w:rsid w:val="00363755"/>
    <w:rsid w:val="00363BB5"/>
    <w:rsid w:val="00363C72"/>
    <w:rsid w:val="00363EFE"/>
    <w:rsid w:val="00364035"/>
    <w:rsid w:val="0036508B"/>
    <w:rsid w:val="0036540A"/>
    <w:rsid w:val="00366949"/>
    <w:rsid w:val="003677E5"/>
    <w:rsid w:val="00367A60"/>
    <w:rsid w:val="00367CCA"/>
    <w:rsid w:val="00367F94"/>
    <w:rsid w:val="0037065C"/>
    <w:rsid w:val="0037069D"/>
    <w:rsid w:val="003706C9"/>
    <w:rsid w:val="00370C78"/>
    <w:rsid w:val="00370D77"/>
    <w:rsid w:val="00370D97"/>
    <w:rsid w:val="003713D1"/>
    <w:rsid w:val="0037148F"/>
    <w:rsid w:val="003717EB"/>
    <w:rsid w:val="003718F8"/>
    <w:rsid w:val="00372180"/>
    <w:rsid w:val="003723B0"/>
    <w:rsid w:val="0037245C"/>
    <w:rsid w:val="00372A0A"/>
    <w:rsid w:val="00372B9E"/>
    <w:rsid w:val="003731DA"/>
    <w:rsid w:val="00373567"/>
    <w:rsid w:val="003738F3"/>
    <w:rsid w:val="00373C8B"/>
    <w:rsid w:val="00373DA9"/>
    <w:rsid w:val="00374A89"/>
    <w:rsid w:val="00374AAB"/>
    <w:rsid w:val="003754F3"/>
    <w:rsid w:val="00375516"/>
    <w:rsid w:val="003761F2"/>
    <w:rsid w:val="0037638A"/>
    <w:rsid w:val="00376D41"/>
    <w:rsid w:val="00377B48"/>
    <w:rsid w:val="003800A8"/>
    <w:rsid w:val="003802EE"/>
    <w:rsid w:val="00380D16"/>
    <w:rsid w:val="00380EBA"/>
    <w:rsid w:val="00381115"/>
    <w:rsid w:val="003812AF"/>
    <w:rsid w:val="003812CE"/>
    <w:rsid w:val="00381DA0"/>
    <w:rsid w:val="00381F6C"/>
    <w:rsid w:val="00382760"/>
    <w:rsid w:val="00382853"/>
    <w:rsid w:val="00382B3D"/>
    <w:rsid w:val="00382D59"/>
    <w:rsid w:val="00383294"/>
    <w:rsid w:val="0038387A"/>
    <w:rsid w:val="00383D99"/>
    <w:rsid w:val="0038413F"/>
    <w:rsid w:val="00384421"/>
    <w:rsid w:val="003846DE"/>
    <w:rsid w:val="00384781"/>
    <w:rsid w:val="00384E56"/>
    <w:rsid w:val="0038529F"/>
    <w:rsid w:val="003852AF"/>
    <w:rsid w:val="003853C1"/>
    <w:rsid w:val="00385411"/>
    <w:rsid w:val="0038557C"/>
    <w:rsid w:val="00385C05"/>
    <w:rsid w:val="00385F73"/>
    <w:rsid w:val="00386443"/>
    <w:rsid w:val="00386E8E"/>
    <w:rsid w:val="00387634"/>
    <w:rsid w:val="0038769C"/>
    <w:rsid w:val="003876F9"/>
    <w:rsid w:val="0038793D"/>
    <w:rsid w:val="00390238"/>
    <w:rsid w:val="003905F2"/>
    <w:rsid w:val="00390B45"/>
    <w:rsid w:val="00390BCC"/>
    <w:rsid w:val="00390ED7"/>
    <w:rsid w:val="00391131"/>
    <w:rsid w:val="003916B4"/>
    <w:rsid w:val="0039176C"/>
    <w:rsid w:val="00391952"/>
    <w:rsid w:val="00391A46"/>
    <w:rsid w:val="00391F0B"/>
    <w:rsid w:val="00392096"/>
    <w:rsid w:val="00392157"/>
    <w:rsid w:val="003921AF"/>
    <w:rsid w:val="003923E2"/>
    <w:rsid w:val="003929C3"/>
    <w:rsid w:val="00392D9A"/>
    <w:rsid w:val="003935FC"/>
    <w:rsid w:val="003939F9"/>
    <w:rsid w:val="00393DF6"/>
    <w:rsid w:val="003945E3"/>
    <w:rsid w:val="003947D5"/>
    <w:rsid w:val="00394B15"/>
    <w:rsid w:val="00394D68"/>
    <w:rsid w:val="00395746"/>
    <w:rsid w:val="00395867"/>
    <w:rsid w:val="003958C5"/>
    <w:rsid w:val="0039596C"/>
    <w:rsid w:val="00396239"/>
    <w:rsid w:val="00397C12"/>
    <w:rsid w:val="003A006A"/>
    <w:rsid w:val="003A09F1"/>
    <w:rsid w:val="003A1BF9"/>
    <w:rsid w:val="003A1C4E"/>
    <w:rsid w:val="003A1EEA"/>
    <w:rsid w:val="003A1FE0"/>
    <w:rsid w:val="003A2BC9"/>
    <w:rsid w:val="003A3A1F"/>
    <w:rsid w:val="003A3B51"/>
    <w:rsid w:val="003A3C10"/>
    <w:rsid w:val="003A3C82"/>
    <w:rsid w:val="003A3C94"/>
    <w:rsid w:val="003A4495"/>
    <w:rsid w:val="003A4D82"/>
    <w:rsid w:val="003A4F5E"/>
    <w:rsid w:val="003A5514"/>
    <w:rsid w:val="003A5768"/>
    <w:rsid w:val="003A5BB3"/>
    <w:rsid w:val="003A5D39"/>
    <w:rsid w:val="003A6A67"/>
    <w:rsid w:val="003A6BA9"/>
    <w:rsid w:val="003A7A5A"/>
    <w:rsid w:val="003B0B86"/>
    <w:rsid w:val="003B0FD2"/>
    <w:rsid w:val="003B14C4"/>
    <w:rsid w:val="003B2E5B"/>
    <w:rsid w:val="003B3757"/>
    <w:rsid w:val="003B43AB"/>
    <w:rsid w:val="003B44C6"/>
    <w:rsid w:val="003B5742"/>
    <w:rsid w:val="003B677B"/>
    <w:rsid w:val="003B71D8"/>
    <w:rsid w:val="003B7207"/>
    <w:rsid w:val="003B79F6"/>
    <w:rsid w:val="003B7D0E"/>
    <w:rsid w:val="003C0B7F"/>
    <w:rsid w:val="003C0BD4"/>
    <w:rsid w:val="003C110C"/>
    <w:rsid w:val="003C1BAA"/>
    <w:rsid w:val="003C202E"/>
    <w:rsid w:val="003C23AF"/>
    <w:rsid w:val="003C2C6C"/>
    <w:rsid w:val="003C313C"/>
    <w:rsid w:val="003C37EF"/>
    <w:rsid w:val="003C39A5"/>
    <w:rsid w:val="003C3A8F"/>
    <w:rsid w:val="003C3BCC"/>
    <w:rsid w:val="003C3CF7"/>
    <w:rsid w:val="003C5165"/>
    <w:rsid w:val="003C59CC"/>
    <w:rsid w:val="003C5A8D"/>
    <w:rsid w:val="003C5A9B"/>
    <w:rsid w:val="003C5FAB"/>
    <w:rsid w:val="003C6391"/>
    <w:rsid w:val="003C6AF4"/>
    <w:rsid w:val="003C6B26"/>
    <w:rsid w:val="003C74F1"/>
    <w:rsid w:val="003D05CC"/>
    <w:rsid w:val="003D071E"/>
    <w:rsid w:val="003D09D2"/>
    <w:rsid w:val="003D0D02"/>
    <w:rsid w:val="003D0F53"/>
    <w:rsid w:val="003D1B86"/>
    <w:rsid w:val="003D1C60"/>
    <w:rsid w:val="003D1DAB"/>
    <w:rsid w:val="003D244F"/>
    <w:rsid w:val="003D24E9"/>
    <w:rsid w:val="003D2675"/>
    <w:rsid w:val="003D27D1"/>
    <w:rsid w:val="003D315A"/>
    <w:rsid w:val="003D33E1"/>
    <w:rsid w:val="003D34D4"/>
    <w:rsid w:val="003D3796"/>
    <w:rsid w:val="003D3B62"/>
    <w:rsid w:val="003D400A"/>
    <w:rsid w:val="003D4046"/>
    <w:rsid w:val="003D453E"/>
    <w:rsid w:val="003D460E"/>
    <w:rsid w:val="003D4E15"/>
    <w:rsid w:val="003D5C03"/>
    <w:rsid w:val="003D5D3D"/>
    <w:rsid w:val="003D6D4F"/>
    <w:rsid w:val="003D7311"/>
    <w:rsid w:val="003E06C7"/>
    <w:rsid w:val="003E151C"/>
    <w:rsid w:val="003E15EB"/>
    <w:rsid w:val="003E1DC6"/>
    <w:rsid w:val="003E1E5F"/>
    <w:rsid w:val="003E232F"/>
    <w:rsid w:val="003E2FDF"/>
    <w:rsid w:val="003E33E9"/>
    <w:rsid w:val="003E3575"/>
    <w:rsid w:val="003E3F16"/>
    <w:rsid w:val="003E43E4"/>
    <w:rsid w:val="003E46C9"/>
    <w:rsid w:val="003E4BD6"/>
    <w:rsid w:val="003E4C65"/>
    <w:rsid w:val="003E4F6E"/>
    <w:rsid w:val="003E5133"/>
    <w:rsid w:val="003E54DD"/>
    <w:rsid w:val="003E5709"/>
    <w:rsid w:val="003E619E"/>
    <w:rsid w:val="003E642F"/>
    <w:rsid w:val="003E6667"/>
    <w:rsid w:val="003E6C12"/>
    <w:rsid w:val="003F07FB"/>
    <w:rsid w:val="003F0806"/>
    <w:rsid w:val="003F09B1"/>
    <w:rsid w:val="003F1006"/>
    <w:rsid w:val="003F1A74"/>
    <w:rsid w:val="003F1B33"/>
    <w:rsid w:val="003F2BB4"/>
    <w:rsid w:val="003F30B1"/>
    <w:rsid w:val="003F330E"/>
    <w:rsid w:val="003F351C"/>
    <w:rsid w:val="003F358F"/>
    <w:rsid w:val="003F3802"/>
    <w:rsid w:val="003F3DB5"/>
    <w:rsid w:val="003F4188"/>
    <w:rsid w:val="003F4D23"/>
    <w:rsid w:val="003F530B"/>
    <w:rsid w:val="003F53C5"/>
    <w:rsid w:val="003F5617"/>
    <w:rsid w:val="003F5D1A"/>
    <w:rsid w:val="003F62BB"/>
    <w:rsid w:val="003F645A"/>
    <w:rsid w:val="003F67C4"/>
    <w:rsid w:val="003F6EFB"/>
    <w:rsid w:val="003F74B6"/>
    <w:rsid w:val="003F7C65"/>
    <w:rsid w:val="00400226"/>
    <w:rsid w:val="00400263"/>
    <w:rsid w:val="00400655"/>
    <w:rsid w:val="004008AB"/>
    <w:rsid w:val="00401005"/>
    <w:rsid w:val="004017A2"/>
    <w:rsid w:val="00401F6E"/>
    <w:rsid w:val="00402467"/>
    <w:rsid w:val="004026BB"/>
    <w:rsid w:val="00402746"/>
    <w:rsid w:val="00402809"/>
    <w:rsid w:val="00402B48"/>
    <w:rsid w:val="004031E2"/>
    <w:rsid w:val="00403E28"/>
    <w:rsid w:val="004048E2"/>
    <w:rsid w:val="0040614F"/>
    <w:rsid w:val="00406306"/>
    <w:rsid w:val="0040651D"/>
    <w:rsid w:val="004066B4"/>
    <w:rsid w:val="00406BD9"/>
    <w:rsid w:val="00406F03"/>
    <w:rsid w:val="00407B38"/>
    <w:rsid w:val="00407FBD"/>
    <w:rsid w:val="0041013C"/>
    <w:rsid w:val="00410CEE"/>
    <w:rsid w:val="00411B0D"/>
    <w:rsid w:val="00411D98"/>
    <w:rsid w:val="00411DB1"/>
    <w:rsid w:val="00412335"/>
    <w:rsid w:val="0041275D"/>
    <w:rsid w:val="00412EC4"/>
    <w:rsid w:val="004132B0"/>
    <w:rsid w:val="00413A2D"/>
    <w:rsid w:val="0041495E"/>
    <w:rsid w:val="00414E8C"/>
    <w:rsid w:val="004161FD"/>
    <w:rsid w:val="004166F6"/>
    <w:rsid w:val="00416CD2"/>
    <w:rsid w:val="00416EDC"/>
    <w:rsid w:val="0041746E"/>
    <w:rsid w:val="00420170"/>
    <w:rsid w:val="00420C25"/>
    <w:rsid w:val="00421417"/>
    <w:rsid w:val="0042156A"/>
    <w:rsid w:val="0042171D"/>
    <w:rsid w:val="00421B7B"/>
    <w:rsid w:val="00422220"/>
    <w:rsid w:val="0042227E"/>
    <w:rsid w:val="00422310"/>
    <w:rsid w:val="00422709"/>
    <w:rsid w:val="00422FFB"/>
    <w:rsid w:val="00423C75"/>
    <w:rsid w:val="00424644"/>
    <w:rsid w:val="0042493B"/>
    <w:rsid w:val="00424ADD"/>
    <w:rsid w:val="0042537B"/>
    <w:rsid w:val="004253A5"/>
    <w:rsid w:val="00425A10"/>
    <w:rsid w:val="004263D0"/>
    <w:rsid w:val="004279AA"/>
    <w:rsid w:val="00427BCA"/>
    <w:rsid w:val="004300F9"/>
    <w:rsid w:val="0043040D"/>
    <w:rsid w:val="00430DE5"/>
    <w:rsid w:val="00430F61"/>
    <w:rsid w:val="0043119C"/>
    <w:rsid w:val="00431322"/>
    <w:rsid w:val="00431479"/>
    <w:rsid w:val="00431F62"/>
    <w:rsid w:val="00432765"/>
    <w:rsid w:val="004328FA"/>
    <w:rsid w:val="00432B22"/>
    <w:rsid w:val="00432B64"/>
    <w:rsid w:val="00432BED"/>
    <w:rsid w:val="00432E4E"/>
    <w:rsid w:val="00432F8D"/>
    <w:rsid w:val="00433798"/>
    <w:rsid w:val="00433822"/>
    <w:rsid w:val="00433861"/>
    <w:rsid w:val="00433D71"/>
    <w:rsid w:val="00433DAB"/>
    <w:rsid w:val="004342FB"/>
    <w:rsid w:val="0043433E"/>
    <w:rsid w:val="00434650"/>
    <w:rsid w:val="00434C86"/>
    <w:rsid w:val="0043519D"/>
    <w:rsid w:val="004354B3"/>
    <w:rsid w:val="00435D04"/>
    <w:rsid w:val="00435F48"/>
    <w:rsid w:val="0043633B"/>
    <w:rsid w:val="0043636B"/>
    <w:rsid w:val="00436528"/>
    <w:rsid w:val="0043662C"/>
    <w:rsid w:val="0043667B"/>
    <w:rsid w:val="00436779"/>
    <w:rsid w:val="00436900"/>
    <w:rsid w:val="00436CC9"/>
    <w:rsid w:val="00436F49"/>
    <w:rsid w:val="004372AD"/>
    <w:rsid w:val="0043772E"/>
    <w:rsid w:val="00440500"/>
    <w:rsid w:val="00440672"/>
    <w:rsid w:val="00440696"/>
    <w:rsid w:val="00440C4D"/>
    <w:rsid w:val="00441439"/>
    <w:rsid w:val="0044189F"/>
    <w:rsid w:val="00441BC9"/>
    <w:rsid w:val="00441EBF"/>
    <w:rsid w:val="0044292C"/>
    <w:rsid w:val="00443474"/>
    <w:rsid w:val="004438D9"/>
    <w:rsid w:val="00443D33"/>
    <w:rsid w:val="004446B5"/>
    <w:rsid w:val="00444721"/>
    <w:rsid w:val="004449A2"/>
    <w:rsid w:val="00444C87"/>
    <w:rsid w:val="004450DA"/>
    <w:rsid w:val="00445C2D"/>
    <w:rsid w:val="00446154"/>
    <w:rsid w:val="004464F6"/>
    <w:rsid w:val="00446585"/>
    <w:rsid w:val="0044737C"/>
    <w:rsid w:val="00447B70"/>
    <w:rsid w:val="00450639"/>
    <w:rsid w:val="0045087A"/>
    <w:rsid w:val="004509CD"/>
    <w:rsid w:val="004509F6"/>
    <w:rsid w:val="004517B8"/>
    <w:rsid w:val="00451A80"/>
    <w:rsid w:val="00451DC3"/>
    <w:rsid w:val="00451F47"/>
    <w:rsid w:val="004520ED"/>
    <w:rsid w:val="004521E0"/>
    <w:rsid w:val="0045224D"/>
    <w:rsid w:val="004522DF"/>
    <w:rsid w:val="004527C3"/>
    <w:rsid w:val="00452CDE"/>
    <w:rsid w:val="00452E5A"/>
    <w:rsid w:val="00453585"/>
    <w:rsid w:val="00453719"/>
    <w:rsid w:val="0045406A"/>
    <w:rsid w:val="0045446D"/>
    <w:rsid w:val="004547FC"/>
    <w:rsid w:val="0045482D"/>
    <w:rsid w:val="00454931"/>
    <w:rsid w:val="0045518E"/>
    <w:rsid w:val="00455BAC"/>
    <w:rsid w:val="004562FA"/>
    <w:rsid w:val="00456F30"/>
    <w:rsid w:val="00457139"/>
    <w:rsid w:val="00457379"/>
    <w:rsid w:val="004600A2"/>
    <w:rsid w:val="00460F78"/>
    <w:rsid w:val="004612F8"/>
    <w:rsid w:val="0046171D"/>
    <w:rsid w:val="0046197D"/>
    <w:rsid w:val="004627B6"/>
    <w:rsid w:val="004627EC"/>
    <w:rsid w:val="00463710"/>
    <w:rsid w:val="00463D6B"/>
    <w:rsid w:val="00463DE0"/>
    <w:rsid w:val="00464070"/>
    <w:rsid w:val="00464D4F"/>
    <w:rsid w:val="004659FE"/>
    <w:rsid w:val="00465C36"/>
    <w:rsid w:val="00465D0D"/>
    <w:rsid w:val="00466058"/>
    <w:rsid w:val="00466723"/>
    <w:rsid w:val="00466A2E"/>
    <w:rsid w:val="00466B1C"/>
    <w:rsid w:val="00466E31"/>
    <w:rsid w:val="0046714B"/>
    <w:rsid w:val="004672AC"/>
    <w:rsid w:val="004672CE"/>
    <w:rsid w:val="00467D3B"/>
    <w:rsid w:val="00467E09"/>
    <w:rsid w:val="0047000D"/>
    <w:rsid w:val="004702CC"/>
    <w:rsid w:val="0047169A"/>
    <w:rsid w:val="00472125"/>
    <w:rsid w:val="00472185"/>
    <w:rsid w:val="0047286B"/>
    <w:rsid w:val="004728DA"/>
    <w:rsid w:val="0047290F"/>
    <w:rsid w:val="00472D37"/>
    <w:rsid w:val="00473837"/>
    <w:rsid w:val="00473CC1"/>
    <w:rsid w:val="00473F0F"/>
    <w:rsid w:val="004740A8"/>
    <w:rsid w:val="004743E6"/>
    <w:rsid w:val="00474CC3"/>
    <w:rsid w:val="00475A68"/>
    <w:rsid w:val="0047685F"/>
    <w:rsid w:val="00476ED9"/>
    <w:rsid w:val="00476F59"/>
    <w:rsid w:val="004771AF"/>
    <w:rsid w:val="004779F7"/>
    <w:rsid w:val="00477F03"/>
    <w:rsid w:val="004801FC"/>
    <w:rsid w:val="004819D3"/>
    <w:rsid w:val="00481CED"/>
    <w:rsid w:val="00482056"/>
    <w:rsid w:val="00482234"/>
    <w:rsid w:val="004828E9"/>
    <w:rsid w:val="00482E2F"/>
    <w:rsid w:val="0048304C"/>
    <w:rsid w:val="004835BA"/>
    <w:rsid w:val="00483643"/>
    <w:rsid w:val="004836AA"/>
    <w:rsid w:val="00483829"/>
    <w:rsid w:val="00483974"/>
    <w:rsid w:val="00483B13"/>
    <w:rsid w:val="00483F9F"/>
    <w:rsid w:val="0048411C"/>
    <w:rsid w:val="0048412E"/>
    <w:rsid w:val="004845AC"/>
    <w:rsid w:val="004852B1"/>
    <w:rsid w:val="0048549A"/>
    <w:rsid w:val="004856DA"/>
    <w:rsid w:val="00485A61"/>
    <w:rsid w:val="00485D92"/>
    <w:rsid w:val="0048609D"/>
    <w:rsid w:val="0048643D"/>
    <w:rsid w:val="00486474"/>
    <w:rsid w:val="004864CD"/>
    <w:rsid w:val="004867E2"/>
    <w:rsid w:val="00486BD5"/>
    <w:rsid w:val="00486E2A"/>
    <w:rsid w:val="004871C0"/>
    <w:rsid w:val="00487B01"/>
    <w:rsid w:val="00487F51"/>
    <w:rsid w:val="00487F98"/>
    <w:rsid w:val="004904DC"/>
    <w:rsid w:val="004908A0"/>
    <w:rsid w:val="00490AF7"/>
    <w:rsid w:val="00490B7F"/>
    <w:rsid w:val="00491650"/>
    <w:rsid w:val="004916DE"/>
    <w:rsid w:val="00492353"/>
    <w:rsid w:val="00492E20"/>
    <w:rsid w:val="004934C2"/>
    <w:rsid w:val="00493502"/>
    <w:rsid w:val="00493539"/>
    <w:rsid w:val="0049375E"/>
    <w:rsid w:val="00493A36"/>
    <w:rsid w:val="00493DE0"/>
    <w:rsid w:val="00493EF2"/>
    <w:rsid w:val="00494CDF"/>
    <w:rsid w:val="004954ED"/>
    <w:rsid w:val="00495D04"/>
    <w:rsid w:val="004960B3"/>
    <w:rsid w:val="00496865"/>
    <w:rsid w:val="004969CB"/>
    <w:rsid w:val="00496F78"/>
    <w:rsid w:val="004971F4"/>
    <w:rsid w:val="0049746D"/>
    <w:rsid w:val="004975D7"/>
    <w:rsid w:val="0049771A"/>
    <w:rsid w:val="00497DD5"/>
    <w:rsid w:val="004A0127"/>
    <w:rsid w:val="004A0D3F"/>
    <w:rsid w:val="004A1F06"/>
    <w:rsid w:val="004A209D"/>
    <w:rsid w:val="004A315B"/>
    <w:rsid w:val="004A3F28"/>
    <w:rsid w:val="004A3F45"/>
    <w:rsid w:val="004A417B"/>
    <w:rsid w:val="004A42A3"/>
    <w:rsid w:val="004A494A"/>
    <w:rsid w:val="004A4BDE"/>
    <w:rsid w:val="004A4DE8"/>
    <w:rsid w:val="004A5046"/>
    <w:rsid w:val="004A53A0"/>
    <w:rsid w:val="004A5823"/>
    <w:rsid w:val="004A58B5"/>
    <w:rsid w:val="004A59BF"/>
    <w:rsid w:val="004A6227"/>
    <w:rsid w:val="004A65AA"/>
    <w:rsid w:val="004A73B1"/>
    <w:rsid w:val="004A7B3E"/>
    <w:rsid w:val="004B040A"/>
    <w:rsid w:val="004B103A"/>
    <w:rsid w:val="004B13D5"/>
    <w:rsid w:val="004B1AD8"/>
    <w:rsid w:val="004B1D53"/>
    <w:rsid w:val="004B220C"/>
    <w:rsid w:val="004B2280"/>
    <w:rsid w:val="004B2744"/>
    <w:rsid w:val="004B28A8"/>
    <w:rsid w:val="004B2A6C"/>
    <w:rsid w:val="004B30F5"/>
    <w:rsid w:val="004B3676"/>
    <w:rsid w:val="004B377F"/>
    <w:rsid w:val="004B463F"/>
    <w:rsid w:val="004B4AA5"/>
    <w:rsid w:val="004B50AD"/>
    <w:rsid w:val="004B525C"/>
    <w:rsid w:val="004B560B"/>
    <w:rsid w:val="004B5ECB"/>
    <w:rsid w:val="004B6752"/>
    <w:rsid w:val="004B69A5"/>
    <w:rsid w:val="004B6B4B"/>
    <w:rsid w:val="004B7B24"/>
    <w:rsid w:val="004C02C7"/>
    <w:rsid w:val="004C0370"/>
    <w:rsid w:val="004C076C"/>
    <w:rsid w:val="004C12E9"/>
    <w:rsid w:val="004C1ABB"/>
    <w:rsid w:val="004C203C"/>
    <w:rsid w:val="004C23AA"/>
    <w:rsid w:val="004C2768"/>
    <w:rsid w:val="004C294B"/>
    <w:rsid w:val="004C2AE3"/>
    <w:rsid w:val="004C2D9D"/>
    <w:rsid w:val="004C344C"/>
    <w:rsid w:val="004C3A46"/>
    <w:rsid w:val="004C3E67"/>
    <w:rsid w:val="004C4602"/>
    <w:rsid w:val="004C5150"/>
    <w:rsid w:val="004C5968"/>
    <w:rsid w:val="004C5BAE"/>
    <w:rsid w:val="004C60EE"/>
    <w:rsid w:val="004C6145"/>
    <w:rsid w:val="004C619F"/>
    <w:rsid w:val="004C6C27"/>
    <w:rsid w:val="004C6F14"/>
    <w:rsid w:val="004C75C9"/>
    <w:rsid w:val="004C79F1"/>
    <w:rsid w:val="004C7AC8"/>
    <w:rsid w:val="004D03DF"/>
    <w:rsid w:val="004D08DF"/>
    <w:rsid w:val="004D0B9B"/>
    <w:rsid w:val="004D0CE5"/>
    <w:rsid w:val="004D145C"/>
    <w:rsid w:val="004D1E52"/>
    <w:rsid w:val="004D2C9A"/>
    <w:rsid w:val="004D3675"/>
    <w:rsid w:val="004D3B86"/>
    <w:rsid w:val="004D3D8C"/>
    <w:rsid w:val="004D4625"/>
    <w:rsid w:val="004D4D17"/>
    <w:rsid w:val="004D4D60"/>
    <w:rsid w:val="004D552C"/>
    <w:rsid w:val="004D57D3"/>
    <w:rsid w:val="004D59A0"/>
    <w:rsid w:val="004D6431"/>
    <w:rsid w:val="004D65BC"/>
    <w:rsid w:val="004D65EC"/>
    <w:rsid w:val="004D67B3"/>
    <w:rsid w:val="004D6A49"/>
    <w:rsid w:val="004D6AD0"/>
    <w:rsid w:val="004D72A7"/>
    <w:rsid w:val="004D7756"/>
    <w:rsid w:val="004D7AF8"/>
    <w:rsid w:val="004D7D63"/>
    <w:rsid w:val="004E01A5"/>
    <w:rsid w:val="004E07AD"/>
    <w:rsid w:val="004E0829"/>
    <w:rsid w:val="004E09FB"/>
    <w:rsid w:val="004E0AB6"/>
    <w:rsid w:val="004E16F4"/>
    <w:rsid w:val="004E23DB"/>
    <w:rsid w:val="004E24D6"/>
    <w:rsid w:val="004E2610"/>
    <w:rsid w:val="004E2A91"/>
    <w:rsid w:val="004E2DED"/>
    <w:rsid w:val="004E2EE3"/>
    <w:rsid w:val="004E32E0"/>
    <w:rsid w:val="004E3427"/>
    <w:rsid w:val="004E4386"/>
    <w:rsid w:val="004E452E"/>
    <w:rsid w:val="004E4690"/>
    <w:rsid w:val="004E4CE6"/>
    <w:rsid w:val="004E518B"/>
    <w:rsid w:val="004E5343"/>
    <w:rsid w:val="004E5FBD"/>
    <w:rsid w:val="004E618F"/>
    <w:rsid w:val="004E61E0"/>
    <w:rsid w:val="004E64AB"/>
    <w:rsid w:val="004E6ADF"/>
    <w:rsid w:val="004E6DFD"/>
    <w:rsid w:val="004E6DFF"/>
    <w:rsid w:val="004E6E8F"/>
    <w:rsid w:val="004E7277"/>
    <w:rsid w:val="004F0649"/>
    <w:rsid w:val="004F0734"/>
    <w:rsid w:val="004F0BEC"/>
    <w:rsid w:val="004F1406"/>
    <w:rsid w:val="004F1482"/>
    <w:rsid w:val="004F1640"/>
    <w:rsid w:val="004F1988"/>
    <w:rsid w:val="004F1E05"/>
    <w:rsid w:val="004F2A3F"/>
    <w:rsid w:val="004F2CC0"/>
    <w:rsid w:val="004F2CEA"/>
    <w:rsid w:val="004F2FD6"/>
    <w:rsid w:val="004F3329"/>
    <w:rsid w:val="004F33AB"/>
    <w:rsid w:val="004F3914"/>
    <w:rsid w:val="004F3B06"/>
    <w:rsid w:val="004F3B78"/>
    <w:rsid w:val="004F4254"/>
    <w:rsid w:val="004F485B"/>
    <w:rsid w:val="004F5E8E"/>
    <w:rsid w:val="004F61A8"/>
    <w:rsid w:val="004F627A"/>
    <w:rsid w:val="004F6612"/>
    <w:rsid w:val="004F67A1"/>
    <w:rsid w:val="004F68F5"/>
    <w:rsid w:val="004F6D3A"/>
    <w:rsid w:val="004F6E52"/>
    <w:rsid w:val="004F784F"/>
    <w:rsid w:val="004F7948"/>
    <w:rsid w:val="004F7AFD"/>
    <w:rsid w:val="00501096"/>
    <w:rsid w:val="005013E2"/>
    <w:rsid w:val="00501417"/>
    <w:rsid w:val="005019E0"/>
    <w:rsid w:val="00501A9A"/>
    <w:rsid w:val="00501BDA"/>
    <w:rsid w:val="00501DB4"/>
    <w:rsid w:val="00501F62"/>
    <w:rsid w:val="00502289"/>
    <w:rsid w:val="005032E5"/>
    <w:rsid w:val="00504BCE"/>
    <w:rsid w:val="00504FBE"/>
    <w:rsid w:val="005060F3"/>
    <w:rsid w:val="00506208"/>
    <w:rsid w:val="005068ED"/>
    <w:rsid w:val="00506D06"/>
    <w:rsid w:val="00506D0B"/>
    <w:rsid w:val="00506F2F"/>
    <w:rsid w:val="0050714E"/>
    <w:rsid w:val="005073F8"/>
    <w:rsid w:val="00507D9E"/>
    <w:rsid w:val="0051124B"/>
    <w:rsid w:val="00511366"/>
    <w:rsid w:val="005116C4"/>
    <w:rsid w:val="0051293F"/>
    <w:rsid w:val="00512EAE"/>
    <w:rsid w:val="00512F6C"/>
    <w:rsid w:val="005134EF"/>
    <w:rsid w:val="00513A6D"/>
    <w:rsid w:val="00513CD5"/>
    <w:rsid w:val="00513E0D"/>
    <w:rsid w:val="00513FA0"/>
    <w:rsid w:val="005144EE"/>
    <w:rsid w:val="00514701"/>
    <w:rsid w:val="00514DDE"/>
    <w:rsid w:val="00515BBA"/>
    <w:rsid w:val="005167C0"/>
    <w:rsid w:val="00516F2B"/>
    <w:rsid w:val="005177FB"/>
    <w:rsid w:val="0051792F"/>
    <w:rsid w:val="00517C1C"/>
    <w:rsid w:val="005216C2"/>
    <w:rsid w:val="0052180A"/>
    <w:rsid w:val="00521B17"/>
    <w:rsid w:val="00521CCE"/>
    <w:rsid w:val="00521E7B"/>
    <w:rsid w:val="0052211C"/>
    <w:rsid w:val="00522159"/>
    <w:rsid w:val="00522362"/>
    <w:rsid w:val="00522500"/>
    <w:rsid w:val="00522837"/>
    <w:rsid w:val="00522A17"/>
    <w:rsid w:val="00522B43"/>
    <w:rsid w:val="00522DAC"/>
    <w:rsid w:val="00522EF3"/>
    <w:rsid w:val="0052370A"/>
    <w:rsid w:val="00523804"/>
    <w:rsid w:val="00523CF0"/>
    <w:rsid w:val="00524D2D"/>
    <w:rsid w:val="00524D69"/>
    <w:rsid w:val="00525134"/>
    <w:rsid w:val="0052558D"/>
    <w:rsid w:val="005255F3"/>
    <w:rsid w:val="00525B76"/>
    <w:rsid w:val="00525C21"/>
    <w:rsid w:val="00525CAD"/>
    <w:rsid w:val="00525FDE"/>
    <w:rsid w:val="00526097"/>
    <w:rsid w:val="005263C1"/>
    <w:rsid w:val="005263CA"/>
    <w:rsid w:val="0052650D"/>
    <w:rsid w:val="00526A61"/>
    <w:rsid w:val="005271C2"/>
    <w:rsid w:val="00527379"/>
    <w:rsid w:val="005274CD"/>
    <w:rsid w:val="005274E5"/>
    <w:rsid w:val="005300A2"/>
    <w:rsid w:val="005304CB"/>
    <w:rsid w:val="00531013"/>
    <w:rsid w:val="00531057"/>
    <w:rsid w:val="00531151"/>
    <w:rsid w:val="005314FC"/>
    <w:rsid w:val="005315EE"/>
    <w:rsid w:val="00531703"/>
    <w:rsid w:val="005317E8"/>
    <w:rsid w:val="00531870"/>
    <w:rsid w:val="00531A9E"/>
    <w:rsid w:val="00531D73"/>
    <w:rsid w:val="00532B2F"/>
    <w:rsid w:val="00532BA7"/>
    <w:rsid w:val="00532BB1"/>
    <w:rsid w:val="00532C36"/>
    <w:rsid w:val="0053309E"/>
    <w:rsid w:val="00533974"/>
    <w:rsid w:val="00533977"/>
    <w:rsid w:val="00533AAC"/>
    <w:rsid w:val="00534370"/>
    <w:rsid w:val="00534579"/>
    <w:rsid w:val="005350CA"/>
    <w:rsid w:val="00535982"/>
    <w:rsid w:val="00535DC0"/>
    <w:rsid w:val="00536023"/>
    <w:rsid w:val="005362ED"/>
    <w:rsid w:val="00536568"/>
    <w:rsid w:val="0053661F"/>
    <w:rsid w:val="005367EA"/>
    <w:rsid w:val="00536D47"/>
    <w:rsid w:val="005372AC"/>
    <w:rsid w:val="005374FE"/>
    <w:rsid w:val="00537854"/>
    <w:rsid w:val="005401F2"/>
    <w:rsid w:val="0054027E"/>
    <w:rsid w:val="00540CC7"/>
    <w:rsid w:val="005411D9"/>
    <w:rsid w:val="00541653"/>
    <w:rsid w:val="00541698"/>
    <w:rsid w:val="00541723"/>
    <w:rsid w:val="00541AAA"/>
    <w:rsid w:val="00541D6A"/>
    <w:rsid w:val="005427B9"/>
    <w:rsid w:val="0054284F"/>
    <w:rsid w:val="0054288B"/>
    <w:rsid w:val="00542928"/>
    <w:rsid w:val="005429BF"/>
    <w:rsid w:val="005434ED"/>
    <w:rsid w:val="0054386C"/>
    <w:rsid w:val="005441A1"/>
    <w:rsid w:val="005448A0"/>
    <w:rsid w:val="005448C0"/>
    <w:rsid w:val="00544E90"/>
    <w:rsid w:val="00545977"/>
    <w:rsid w:val="0054666D"/>
    <w:rsid w:val="005475EE"/>
    <w:rsid w:val="005476FD"/>
    <w:rsid w:val="005479A0"/>
    <w:rsid w:val="005479BC"/>
    <w:rsid w:val="005501EA"/>
    <w:rsid w:val="00550720"/>
    <w:rsid w:val="005508CA"/>
    <w:rsid w:val="005508E6"/>
    <w:rsid w:val="00550920"/>
    <w:rsid w:val="00550E78"/>
    <w:rsid w:val="00552031"/>
    <w:rsid w:val="00552171"/>
    <w:rsid w:val="00552293"/>
    <w:rsid w:val="00552478"/>
    <w:rsid w:val="00552CB3"/>
    <w:rsid w:val="00552F96"/>
    <w:rsid w:val="00552FA0"/>
    <w:rsid w:val="005531B1"/>
    <w:rsid w:val="0055336E"/>
    <w:rsid w:val="00553409"/>
    <w:rsid w:val="00553818"/>
    <w:rsid w:val="00554006"/>
    <w:rsid w:val="0055466E"/>
    <w:rsid w:val="00554867"/>
    <w:rsid w:val="00554B08"/>
    <w:rsid w:val="00554B90"/>
    <w:rsid w:val="00554C66"/>
    <w:rsid w:val="00555A6F"/>
    <w:rsid w:val="00555E7B"/>
    <w:rsid w:val="00556063"/>
    <w:rsid w:val="0055657F"/>
    <w:rsid w:val="005569D5"/>
    <w:rsid w:val="00556D68"/>
    <w:rsid w:val="005572E6"/>
    <w:rsid w:val="00557428"/>
    <w:rsid w:val="00557517"/>
    <w:rsid w:val="00557771"/>
    <w:rsid w:val="005577D1"/>
    <w:rsid w:val="005600CA"/>
    <w:rsid w:val="005606BC"/>
    <w:rsid w:val="0056078F"/>
    <w:rsid w:val="005608ED"/>
    <w:rsid w:val="00560D5A"/>
    <w:rsid w:val="00561379"/>
    <w:rsid w:val="00561403"/>
    <w:rsid w:val="00561417"/>
    <w:rsid w:val="00561F08"/>
    <w:rsid w:val="00562C1E"/>
    <w:rsid w:val="00562D9E"/>
    <w:rsid w:val="00563317"/>
    <w:rsid w:val="0056372D"/>
    <w:rsid w:val="00563CE6"/>
    <w:rsid w:val="00564095"/>
    <w:rsid w:val="00564E95"/>
    <w:rsid w:val="0056510B"/>
    <w:rsid w:val="005651FC"/>
    <w:rsid w:val="00565AE5"/>
    <w:rsid w:val="00565BB2"/>
    <w:rsid w:val="005661C8"/>
    <w:rsid w:val="00566574"/>
    <w:rsid w:val="00566B87"/>
    <w:rsid w:val="005677DC"/>
    <w:rsid w:val="00567C00"/>
    <w:rsid w:val="005706F6"/>
    <w:rsid w:val="00570EB8"/>
    <w:rsid w:val="00571009"/>
    <w:rsid w:val="00571FAF"/>
    <w:rsid w:val="00572D09"/>
    <w:rsid w:val="0057317D"/>
    <w:rsid w:val="00573228"/>
    <w:rsid w:val="00573F48"/>
    <w:rsid w:val="00574139"/>
    <w:rsid w:val="00574247"/>
    <w:rsid w:val="005745EC"/>
    <w:rsid w:val="00574A93"/>
    <w:rsid w:val="00574C19"/>
    <w:rsid w:val="005753F0"/>
    <w:rsid w:val="00575BB7"/>
    <w:rsid w:val="00575D4D"/>
    <w:rsid w:val="00575DE3"/>
    <w:rsid w:val="0057699C"/>
    <w:rsid w:val="00576DB8"/>
    <w:rsid w:val="00577466"/>
    <w:rsid w:val="00577779"/>
    <w:rsid w:val="00577AB9"/>
    <w:rsid w:val="00577B4C"/>
    <w:rsid w:val="00580529"/>
    <w:rsid w:val="00580687"/>
    <w:rsid w:val="005806E1"/>
    <w:rsid w:val="00580AA5"/>
    <w:rsid w:val="005811C2"/>
    <w:rsid w:val="00581894"/>
    <w:rsid w:val="00581BBC"/>
    <w:rsid w:val="00581CC3"/>
    <w:rsid w:val="00581EB4"/>
    <w:rsid w:val="0058217A"/>
    <w:rsid w:val="0058221E"/>
    <w:rsid w:val="005822D9"/>
    <w:rsid w:val="00582851"/>
    <w:rsid w:val="00582AD3"/>
    <w:rsid w:val="00582B64"/>
    <w:rsid w:val="005836DF"/>
    <w:rsid w:val="005837BC"/>
    <w:rsid w:val="00583FBC"/>
    <w:rsid w:val="00584E75"/>
    <w:rsid w:val="00585285"/>
    <w:rsid w:val="005855A7"/>
    <w:rsid w:val="00585853"/>
    <w:rsid w:val="00585882"/>
    <w:rsid w:val="005858BC"/>
    <w:rsid w:val="00585949"/>
    <w:rsid w:val="00585AA8"/>
    <w:rsid w:val="00585DD7"/>
    <w:rsid w:val="00586475"/>
    <w:rsid w:val="00586B1F"/>
    <w:rsid w:val="00586BAE"/>
    <w:rsid w:val="00586D6D"/>
    <w:rsid w:val="00586FB6"/>
    <w:rsid w:val="005872BC"/>
    <w:rsid w:val="00587455"/>
    <w:rsid w:val="005874AE"/>
    <w:rsid w:val="00590087"/>
    <w:rsid w:val="00590573"/>
    <w:rsid w:val="00590834"/>
    <w:rsid w:val="00590A20"/>
    <w:rsid w:val="00590D80"/>
    <w:rsid w:val="005910A8"/>
    <w:rsid w:val="005915D0"/>
    <w:rsid w:val="00591743"/>
    <w:rsid w:val="00591849"/>
    <w:rsid w:val="00592934"/>
    <w:rsid w:val="00592AAF"/>
    <w:rsid w:val="0059354B"/>
    <w:rsid w:val="00593A10"/>
    <w:rsid w:val="00593A7C"/>
    <w:rsid w:val="00593E01"/>
    <w:rsid w:val="00593FBD"/>
    <w:rsid w:val="00594516"/>
    <w:rsid w:val="005954AA"/>
    <w:rsid w:val="00595BE2"/>
    <w:rsid w:val="00595D9D"/>
    <w:rsid w:val="00595F13"/>
    <w:rsid w:val="00596B59"/>
    <w:rsid w:val="00597546"/>
    <w:rsid w:val="00597D1C"/>
    <w:rsid w:val="00597F40"/>
    <w:rsid w:val="005A015A"/>
    <w:rsid w:val="005A02F9"/>
    <w:rsid w:val="005A0C4D"/>
    <w:rsid w:val="005A1224"/>
    <w:rsid w:val="005A13AF"/>
    <w:rsid w:val="005A1983"/>
    <w:rsid w:val="005A1D03"/>
    <w:rsid w:val="005A1D92"/>
    <w:rsid w:val="005A2B71"/>
    <w:rsid w:val="005A2C03"/>
    <w:rsid w:val="005A361D"/>
    <w:rsid w:val="005A3865"/>
    <w:rsid w:val="005A3DC4"/>
    <w:rsid w:val="005A3E7B"/>
    <w:rsid w:val="005A479F"/>
    <w:rsid w:val="005A55AD"/>
    <w:rsid w:val="005A55BA"/>
    <w:rsid w:val="005A57A1"/>
    <w:rsid w:val="005A597A"/>
    <w:rsid w:val="005A5BF2"/>
    <w:rsid w:val="005A62DA"/>
    <w:rsid w:val="005A69AF"/>
    <w:rsid w:val="005A6CBD"/>
    <w:rsid w:val="005A70BE"/>
    <w:rsid w:val="005A71DB"/>
    <w:rsid w:val="005A744D"/>
    <w:rsid w:val="005A76BB"/>
    <w:rsid w:val="005A76E4"/>
    <w:rsid w:val="005A7757"/>
    <w:rsid w:val="005A7943"/>
    <w:rsid w:val="005A7F51"/>
    <w:rsid w:val="005B0356"/>
    <w:rsid w:val="005B0865"/>
    <w:rsid w:val="005B17F3"/>
    <w:rsid w:val="005B1869"/>
    <w:rsid w:val="005B18D3"/>
    <w:rsid w:val="005B1F06"/>
    <w:rsid w:val="005B21DE"/>
    <w:rsid w:val="005B278F"/>
    <w:rsid w:val="005B2D63"/>
    <w:rsid w:val="005B33E8"/>
    <w:rsid w:val="005B40C2"/>
    <w:rsid w:val="005B4202"/>
    <w:rsid w:val="005B425F"/>
    <w:rsid w:val="005B4285"/>
    <w:rsid w:val="005B432B"/>
    <w:rsid w:val="005B56F1"/>
    <w:rsid w:val="005B5956"/>
    <w:rsid w:val="005B5C82"/>
    <w:rsid w:val="005B5D3F"/>
    <w:rsid w:val="005B5D98"/>
    <w:rsid w:val="005B5EC7"/>
    <w:rsid w:val="005B5EE1"/>
    <w:rsid w:val="005B6400"/>
    <w:rsid w:val="005B6468"/>
    <w:rsid w:val="005B651B"/>
    <w:rsid w:val="005B6DE3"/>
    <w:rsid w:val="005B6E59"/>
    <w:rsid w:val="005B723E"/>
    <w:rsid w:val="005C0223"/>
    <w:rsid w:val="005C0287"/>
    <w:rsid w:val="005C0F31"/>
    <w:rsid w:val="005C1038"/>
    <w:rsid w:val="005C128A"/>
    <w:rsid w:val="005C15CE"/>
    <w:rsid w:val="005C1726"/>
    <w:rsid w:val="005C1830"/>
    <w:rsid w:val="005C22AD"/>
    <w:rsid w:val="005C23DF"/>
    <w:rsid w:val="005C269C"/>
    <w:rsid w:val="005C2F31"/>
    <w:rsid w:val="005C30ED"/>
    <w:rsid w:val="005C35A6"/>
    <w:rsid w:val="005C3EC1"/>
    <w:rsid w:val="005C4A95"/>
    <w:rsid w:val="005C5650"/>
    <w:rsid w:val="005C5775"/>
    <w:rsid w:val="005C5C3E"/>
    <w:rsid w:val="005C60C4"/>
    <w:rsid w:val="005C65CC"/>
    <w:rsid w:val="005C6B72"/>
    <w:rsid w:val="005C6CF4"/>
    <w:rsid w:val="005C6E2B"/>
    <w:rsid w:val="005C72B6"/>
    <w:rsid w:val="005C7610"/>
    <w:rsid w:val="005C7700"/>
    <w:rsid w:val="005D018C"/>
    <w:rsid w:val="005D03CC"/>
    <w:rsid w:val="005D063C"/>
    <w:rsid w:val="005D0892"/>
    <w:rsid w:val="005D0895"/>
    <w:rsid w:val="005D0A95"/>
    <w:rsid w:val="005D0D1E"/>
    <w:rsid w:val="005D0D78"/>
    <w:rsid w:val="005D2E75"/>
    <w:rsid w:val="005D3003"/>
    <w:rsid w:val="005D3698"/>
    <w:rsid w:val="005D40A7"/>
    <w:rsid w:val="005D487E"/>
    <w:rsid w:val="005D48B3"/>
    <w:rsid w:val="005D4903"/>
    <w:rsid w:val="005D522F"/>
    <w:rsid w:val="005D59FC"/>
    <w:rsid w:val="005D5D59"/>
    <w:rsid w:val="005D61B6"/>
    <w:rsid w:val="005D640E"/>
    <w:rsid w:val="005D6A6F"/>
    <w:rsid w:val="005D6AF1"/>
    <w:rsid w:val="005D749A"/>
    <w:rsid w:val="005D7BD4"/>
    <w:rsid w:val="005D7DC6"/>
    <w:rsid w:val="005E06EC"/>
    <w:rsid w:val="005E0748"/>
    <w:rsid w:val="005E081F"/>
    <w:rsid w:val="005E08C0"/>
    <w:rsid w:val="005E0CEC"/>
    <w:rsid w:val="005E10E8"/>
    <w:rsid w:val="005E16D1"/>
    <w:rsid w:val="005E17C6"/>
    <w:rsid w:val="005E1D3C"/>
    <w:rsid w:val="005E1E08"/>
    <w:rsid w:val="005E26C2"/>
    <w:rsid w:val="005E2717"/>
    <w:rsid w:val="005E3196"/>
    <w:rsid w:val="005E3250"/>
    <w:rsid w:val="005E3668"/>
    <w:rsid w:val="005E3942"/>
    <w:rsid w:val="005E4490"/>
    <w:rsid w:val="005E454A"/>
    <w:rsid w:val="005E49C2"/>
    <w:rsid w:val="005E50BC"/>
    <w:rsid w:val="005E5354"/>
    <w:rsid w:val="005E5E3F"/>
    <w:rsid w:val="005E64B8"/>
    <w:rsid w:val="005E68AB"/>
    <w:rsid w:val="005E72FF"/>
    <w:rsid w:val="005E78CE"/>
    <w:rsid w:val="005F0256"/>
    <w:rsid w:val="005F0890"/>
    <w:rsid w:val="005F1379"/>
    <w:rsid w:val="005F168F"/>
    <w:rsid w:val="005F1BF6"/>
    <w:rsid w:val="005F1DBC"/>
    <w:rsid w:val="005F1DC4"/>
    <w:rsid w:val="005F1DF9"/>
    <w:rsid w:val="005F237E"/>
    <w:rsid w:val="005F2669"/>
    <w:rsid w:val="005F267C"/>
    <w:rsid w:val="005F2946"/>
    <w:rsid w:val="005F31C1"/>
    <w:rsid w:val="005F3A45"/>
    <w:rsid w:val="005F4350"/>
    <w:rsid w:val="005F559A"/>
    <w:rsid w:val="005F5F39"/>
    <w:rsid w:val="005F658D"/>
    <w:rsid w:val="005F699C"/>
    <w:rsid w:val="005F6FB5"/>
    <w:rsid w:val="005F7057"/>
    <w:rsid w:val="005F7374"/>
    <w:rsid w:val="00600014"/>
    <w:rsid w:val="00600C40"/>
    <w:rsid w:val="00600D6B"/>
    <w:rsid w:val="00600F89"/>
    <w:rsid w:val="0060186C"/>
    <w:rsid w:val="0060220A"/>
    <w:rsid w:val="006032F6"/>
    <w:rsid w:val="0060333D"/>
    <w:rsid w:val="00603D0B"/>
    <w:rsid w:val="006048CE"/>
    <w:rsid w:val="00605075"/>
    <w:rsid w:val="0060558B"/>
    <w:rsid w:val="00605A43"/>
    <w:rsid w:val="00605D25"/>
    <w:rsid w:val="006062C3"/>
    <w:rsid w:val="00606970"/>
    <w:rsid w:val="00606BD2"/>
    <w:rsid w:val="00606D2F"/>
    <w:rsid w:val="00606DA1"/>
    <w:rsid w:val="00607587"/>
    <w:rsid w:val="006078AC"/>
    <w:rsid w:val="00607A32"/>
    <w:rsid w:val="00610894"/>
    <w:rsid w:val="00610FDE"/>
    <w:rsid w:val="0061137D"/>
    <w:rsid w:val="006118E9"/>
    <w:rsid w:val="00611927"/>
    <w:rsid w:val="006120C2"/>
    <w:rsid w:val="00612AF6"/>
    <w:rsid w:val="00612E1E"/>
    <w:rsid w:val="00612FB1"/>
    <w:rsid w:val="006134FC"/>
    <w:rsid w:val="00613E2D"/>
    <w:rsid w:val="00613FB4"/>
    <w:rsid w:val="0061428D"/>
    <w:rsid w:val="0061451F"/>
    <w:rsid w:val="00614B1D"/>
    <w:rsid w:val="00615598"/>
    <w:rsid w:val="00615D17"/>
    <w:rsid w:val="00616576"/>
    <w:rsid w:val="006167AB"/>
    <w:rsid w:val="006176E1"/>
    <w:rsid w:val="00617765"/>
    <w:rsid w:val="006211BF"/>
    <w:rsid w:val="00621307"/>
    <w:rsid w:val="00622775"/>
    <w:rsid w:val="006230A4"/>
    <w:rsid w:val="00623211"/>
    <w:rsid w:val="006235B4"/>
    <w:rsid w:val="00623F1B"/>
    <w:rsid w:val="00624DA6"/>
    <w:rsid w:val="00624DE7"/>
    <w:rsid w:val="006250FC"/>
    <w:rsid w:val="006253F2"/>
    <w:rsid w:val="0062541D"/>
    <w:rsid w:val="006254DB"/>
    <w:rsid w:val="0062556B"/>
    <w:rsid w:val="00626330"/>
    <w:rsid w:val="00626505"/>
    <w:rsid w:val="00627B66"/>
    <w:rsid w:val="006301AB"/>
    <w:rsid w:val="00630B55"/>
    <w:rsid w:val="00630BA4"/>
    <w:rsid w:val="00630C7A"/>
    <w:rsid w:val="00630E9D"/>
    <w:rsid w:val="00630FCE"/>
    <w:rsid w:val="006318C5"/>
    <w:rsid w:val="00631924"/>
    <w:rsid w:val="00631B98"/>
    <w:rsid w:val="00631CF4"/>
    <w:rsid w:val="0063224D"/>
    <w:rsid w:val="006330CA"/>
    <w:rsid w:val="006333FB"/>
    <w:rsid w:val="00633A7A"/>
    <w:rsid w:val="00634240"/>
    <w:rsid w:val="006349A0"/>
    <w:rsid w:val="006349A1"/>
    <w:rsid w:val="006352EE"/>
    <w:rsid w:val="00635644"/>
    <w:rsid w:val="006357E1"/>
    <w:rsid w:val="00635A26"/>
    <w:rsid w:val="00635BDF"/>
    <w:rsid w:val="0063618E"/>
    <w:rsid w:val="00636505"/>
    <w:rsid w:val="00636C0F"/>
    <w:rsid w:val="00637CA9"/>
    <w:rsid w:val="00640105"/>
    <w:rsid w:val="00640225"/>
    <w:rsid w:val="006406A4"/>
    <w:rsid w:val="006412D5"/>
    <w:rsid w:val="00641628"/>
    <w:rsid w:val="00641FD5"/>
    <w:rsid w:val="00642029"/>
    <w:rsid w:val="00642072"/>
    <w:rsid w:val="00642383"/>
    <w:rsid w:val="00642694"/>
    <w:rsid w:val="0064282A"/>
    <w:rsid w:val="00642C8E"/>
    <w:rsid w:val="006431F5"/>
    <w:rsid w:val="00644970"/>
    <w:rsid w:val="00644AB9"/>
    <w:rsid w:val="00644EA0"/>
    <w:rsid w:val="00644FAD"/>
    <w:rsid w:val="00645374"/>
    <w:rsid w:val="006454CE"/>
    <w:rsid w:val="0064555A"/>
    <w:rsid w:val="00645713"/>
    <w:rsid w:val="006458C5"/>
    <w:rsid w:val="00645B5D"/>
    <w:rsid w:val="00645E29"/>
    <w:rsid w:val="00645F84"/>
    <w:rsid w:val="00646270"/>
    <w:rsid w:val="00646683"/>
    <w:rsid w:val="006467DA"/>
    <w:rsid w:val="006469E3"/>
    <w:rsid w:val="006470D1"/>
    <w:rsid w:val="00647BEF"/>
    <w:rsid w:val="006500C1"/>
    <w:rsid w:val="00650387"/>
    <w:rsid w:val="00650614"/>
    <w:rsid w:val="00650A1E"/>
    <w:rsid w:val="00651B95"/>
    <w:rsid w:val="00651EC2"/>
    <w:rsid w:val="0065222E"/>
    <w:rsid w:val="00652C65"/>
    <w:rsid w:val="00653809"/>
    <w:rsid w:val="00653CB4"/>
    <w:rsid w:val="00654CF8"/>
    <w:rsid w:val="006550E3"/>
    <w:rsid w:val="006557AF"/>
    <w:rsid w:val="00656344"/>
    <w:rsid w:val="00656E4E"/>
    <w:rsid w:val="00656ECD"/>
    <w:rsid w:val="006574C1"/>
    <w:rsid w:val="00657619"/>
    <w:rsid w:val="00657890"/>
    <w:rsid w:val="00657944"/>
    <w:rsid w:val="00657CD9"/>
    <w:rsid w:val="00660AEB"/>
    <w:rsid w:val="00660EA3"/>
    <w:rsid w:val="006619F1"/>
    <w:rsid w:val="00661E9B"/>
    <w:rsid w:val="006621E5"/>
    <w:rsid w:val="006628C1"/>
    <w:rsid w:val="00662B82"/>
    <w:rsid w:val="00662C95"/>
    <w:rsid w:val="00662E3B"/>
    <w:rsid w:val="006630CC"/>
    <w:rsid w:val="00663CAC"/>
    <w:rsid w:val="006640A5"/>
    <w:rsid w:val="00665110"/>
    <w:rsid w:val="00665B3E"/>
    <w:rsid w:val="00665B60"/>
    <w:rsid w:val="00665C25"/>
    <w:rsid w:val="00665EF2"/>
    <w:rsid w:val="00665F32"/>
    <w:rsid w:val="00666A41"/>
    <w:rsid w:val="00666A7C"/>
    <w:rsid w:val="0066707D"/>
    <w:rsid w:val="00667863"/>
    <w:rsid w:val="00667ECF"/>
    <w:rsid w:val="0067016D"/>
    <w:rsid w:val="00670588"/>
    <w:rsid w:val="006714C4"/>
    <w:rsid w:val="006716D5"/>
    <w:rsid w:val="00671814"/>
    <w:rsid w:val="00671ECB"/>
    <w:rsid w:val="00671F83"/>
    <w:rsid w:val="00672025"/>
    <w:rsid w:val="00672365"/>
    <w:rsid w:val="00672475"/>
    <w:rsid w:val="00673015"/>
    <w:rsid w:val="00673434"/>
    <w:rsid w:val="0067378B"/>
    <w:rsid w:val="00673BBE"/>
    <w:rsid w:val="00673D96"/>
    <w:rsid w:val="00674226"/>
    <w:rsid w:val="00674358"/>
    <w:rsid w:val="00674752"/>
    <w:rsid w:val="006750F8"/>
    <w:rsid w:val="0067584D"/>
    <w:rsid w:val="00675C55"/>
    <w:rsid w:val="00676363"/>
    <w:rsid w:val="0067652D"/>
    <w:rsid w:val="0067671D"/>
    <w:rsid w:val="0067699F"/>
    <w:rsid w:val="006769F0"/>
    <w:rsid w:val="0067728E"/>
    <w:rsid w:val="0067791A"/>
    <w:rsid w:val="006802BB"/>
    <w:rsid w:val="00680651"/>
    <w:rsid w:val="00680983"/>
    <w:rsid w:val="00680EED"/>
    <w:rsid w:val="00681B30"/>
    <w:rsid w:val="00682E17"/>
    <w:rsid w:val="00682FB9"/>
    <w:rsid w:val="00683150"/>
    <w:rsid w:val="006835B3"/>
    <w:rsid w:val="00683FB4"/>
    <w:rsid w:val="006847E0"/>
    <w:rsid w:val="006849A7"/>
    <w:rsid w:val="00684ED5"/>
    <w:rsid w:val="006853F3"/>
    <w:rsid w:val="006854E7"/>
    <w:rsid w:val="006855F6"/>
    <w:rsid w:val="00685913"/>
    <w:rsid w:val="00686756"/>
    <w:rsid w:val="00686AB0"/>
    <w:rsid w:val="00686AE5"/>
    <w:rsid w:val="00686FBA"/>
    <w:rsid w:val="00687289"/>
    <w:rsid w:val="006873F8"/>
    <w:rsid w:val="00687C44"/>
    <w:rsid w:val="00687EE2"/>
    <w:rsid w:val="006902C6"/>
    <w:rsid w:val="006905EC"/>
    <w:rsid w:val="006906E7"/>
    <w:rsid w:val="00690764"/>
    <w:rsid w:val="006908D8"/>
    <w:rsid w:val="00690916"/>
    <w:rsid w:val="00690BD3"/>
    <w:rsid w:val="00690E79"/>
    <w:rsid w:val="0069117A"/>
    <w:rsid w:val="006915C6"/>
    <w:rsid w:val="006915CD"/>
    <w:rsid w:val="006920B3"/>
    <w:rsid w:val="00692103"/>
    <w:rsid w:val="00692809"/>
    <w:rsid w:val="00693142"/>
    <w:rsid w:val="00693697"/>
    <w:rsid w:val="00693AE6"/>
    <w:rsid w:val="00693F63"/>
    <w:rsid w:val="006942C7"/>
    <w:rsid w:val="006947A6"/>
    <w:rsid w:val="006954D7"/>
    <w:rsid w:val="006956FB"/>
    <w:rsid w:val="00696E44"/>
    <w:rsid w:val="00697948"/>
    <w:rsid w:val="00697AA6"/>
    <w:rsid w:val="00697E6D"/>
    <w:rsid w:val="00697EC7"/>
    <w:rsid w:val="006A077F"/>
    <w:rsid w:val="006A0BF9"/>
    <w:rsid w:val="006A1822"/>
    <w:rsid w:val="006A1CAC"/>
    <w:rsid w:val="006A1DA7"/>
    <w:rsid w:val="006A1EA4"/>
    <w:rsid w:val="006A334B"/>
    <w:rsid w:val="006A338F"/>
    <w:rsid w:val="006A33F1"/>
    <w:rsid w:val="006A39EB"/>
    <w:rsid w:val="006A3C5C"/>
    <w:rsid w:val="006A3D02"/>
    <w:rsid w:val="006A4201"/>
    <w:rsid w:val="006A47DE"/>
    <w:rsid w:val="006A4940"/>
    <w:rsid w:val="006A4AB5"/>
    <w:rsid w:val="006A5917"/>
    <w:rsid w:val="006A5A73"/>
    <w:rsid w:val="006A5D2B"/>
    <w:rsid w:val="006A5D39"/>
    <w:rsid w:val="006A63AC"/>
    <w:rsid w:val="006A646B"/>
    <w:rsid w:val="006A69EF"/>
    <w:rsid w:val="006A7004"/>
    <w:rsid w:val="006A7053"/>
    <w:rsid w:val="006A70B1"/>
    <w:rsid w:val="006A72F5"/>
    <w:rsid w:val="006A778E"/>
    <w:rsid w:val="006A7E70"/>
    <w:rsid w:val="006B0051"/>
    <w:rsid w:val="006B0BDD"/>
    <w:rsid w:val="006B0FE5"/>
    <w:rsid w:val="006B1157"/>
    <w:rsid w:val="006B1466"/>
    <w:rsid w:val="006B1FAC"/>
    <w:rsid w:val="006B26BD"/>
    <w:rsid w:val="006B35D4"/>
    <w:rsid w:val="006B35EE"/>
    <w:rsid w:val="006B36FF"/>
    <w:rsid w:val="006B3C0C"/>
    <w:rsid w:val="006B3C24"/>
    <w:rsid w:val="006B3D3B"/>
    <w:rsid w:val="006B48E8"/>
    <w:rsid w:val="006B5821"/>
    <w:rsid w:val="006B6896"/>
    <w:rsid w:val="006B6C8B"/>
    <w:rsid w:val="006B7242"/>
    <w:rsid w:val="006B72F7"/>
    <w:rsid w:val="006B74CB"/>
    <w:rsid w:val="006B74E5"/>
    <w:rsid w:val="006B76C3"/>
    <w:rsid w:val="006B7EE0"/>
    <w:rsid w:val="006C05BA"/>
    <w:rsid w:val="006C080F"/>
    <w:rsid w:val="006C0A8B"/>
    <w:rsid w:val="006C0C31"/>
    <w:rsid w:val="006C1398"/>
    <w:rsid w:val="006C1A8A"/>
    <w:rsid w:val="006C1B55"/>
    <w:rsid w:val="006C1F2A"/>
    <w:rsid w:val="006C2602"/>
    <w:rsid w:val="006C2940"/>
    <w:rsid w:val="006C3434"/>
    <w:rsid w:val="006C4051"/>
    <w:rsid w:val="006C46C9"/>
    <w:rsid w:val="006C57DC"/>
    <w:rsid w:val="006C5845"/>
    <w:rsid w:val="006C5C76"/>
    <w:rsid w:val="006C5E8F"/>
    <w:rsid w:val="006C65C3"/>
    <w:rsid w:val="006C701F"/>
    <w:rsid w:val="006C71C3"/>
    <w:rsid w:val="006C74A8"/>
    <w:rsid w:val="006D0473"/>
    <w:rsid w:val="006D0C3A"/>
    <w:rsid w:val="006D0F03"/>
    <w:rsid w:val="006D215B"/>
    <w:rsid w:val="006D236B"/>
    <w:rsid w:val="006D240D"/>
    <w:rsid w:val="006D2C8B"/>
    <w:rsid w:val="006D39FC"/>
    <w:rsid w:val="006D3FE5"/>
    <w:rsid w:val="006D431B"/>
    <w:rsid w:val="006D46DD"/>
    <w:rsid w:val="006D480E"/>
    <w:rsid w:val="006D49ED"/>
    <w:rsid w:val="006D5B8D"/>
    <w:rsid w:val="006D5D40"/>
    <w:rsid w:val="006D6AAB"/>
    <w:rsid w:val="006D6E19"/>
    <w:rsid w:val="006D7961"/>
    <w:rsid w:val="006D7EB4"/>
    <w:rsid w:val="006E05A0"/>
    <w:rsid w:val="006E1DBD"/>
    <w:rsid w:val="006E1E4A"/>
    <w:rsid w:val="006E2010"/>
    <w:rsid w:val="006E20AF"/>
    <w:rsid w:val="006E24B6"/>
    <w:rsid w:val="006E2C0A"/>
    <w:rsid w:val="006E4199"/>
    <w:rsid w:val="006E4303"/>
    <w:rsid w:val="006E4F55"/>
    <w:rsid w:val="006E4F5A"/>
    <w:rsid w:val="006E506C"/>
    <w:rsid w:val="006E547A"/>
    <w:rsid w:val="006E58BA"/>
    <w:rsid w:val="006E5A65"/>
    <w:rsid w:val="006E5CBE"/>
    <w:rsid w:val="006E5FDD"/>
    <w:rsid w:val="006E61F7"/>
    <w:rsid w:val="006E62D3"/>
    <w:rsid w:val="006E6375"/>
    <w:rsid w:val="006E6440"/>
    <w:rsid w:val="006E66D5"/>
    <w:rsid w:val="006E69EB"/>
    <w:rsid w:val="006E6B0E"/>
    <w:rsid w:val="006E7F73"/>
    <w:rsid w:val="006E7FCE"/>
    <w:rsid w:val="006F0C5C"/>
    <w:rsid w:val="006F273C"/>
    <w:rsid w:val="006F2BFD"/>
    <w:rsid w:val="006F3A1F"/>
    <w:rsid w:val="006F47BF"/>
    <w:rsid w:val="006F4D28"/>
    <w:rsid w:val="006F53C0"/>
    <w:rsid w:val="006F5536"/>
    <w:rsid w:val="006F6039"/>
    <w:rsid w:val="006F6110"/>
    <w:rsid w:val="006F668A"/>
    <w:rsid w:val="006F6FEF"/>
    <w:rsid w:val="006F7DB3"/>
    <w:rsid w:val="0070054E"/>
    <w:rsid w:val="00700BEA"/>
    <w:rsid w:val="00700EF6"/>
    <w:rsid w:val="00701702"/>
    <w:rsid w:val="00701E87"/>
    <w:rsid w:val="00702165"/>
    <w:rsid w:val="00702360"/>
    <w:rsid w:val="00702371"/>
    <w:rsid w:val="00702826"/>
    <w:rsid w:val="00702B5C"/>
    <w:rsid w:val="00702BB5"/>
    <w:rsid w:val="00702FAA"/>
    <w:rsid w:val="007030BB"/>
    <w:rsid w:val="007031EA"/>
    <w:rsid w:val="007032CF"/>
    <w:rsid w:val="0070331D"/>
    <w:rsid w:val="007035EE"/>
    <w:rsid w:val="00703758"/>
    <w:rsid w:val="00703785"/>
    <w:rsid w:val="00703D29"/>
    <w:rsid w:val="00703F86"/>
    <w:rsid w:val="00704104"/>
    <w:rsid w:val="0070438F"/>
    <w:rsid w:val="00704B56"/>
    <w:rsid w:val="00704D91"/>
    <w:rsid w:val="007050ED"/>
    <w:rsid w:val="00705819"/>
    <w:rsid w:val="00705833"/>
    <w:rsid w:val="00706A26"/>
    <w:rsid w:val="00706E36"/>
    <w:rsid w:val="0070783D"/>
    <w:rsid w:val="00707BE8"/>
    <w:rsid w:val="007102CE"/>
    <w:rsid w:val="0071055E"/>
    <w:rsid w:val="00710C12"/>
    <w:rsid w:val="0071140C"/>
    <w:rsid w:val="00711B22"/>
    <w:rsid w:val="0071345A"/>
    <w:rsid w:val="0071368E"/>
    <w:rsid w:val="00713862"/>
    <w:rsid w:val="00713A94"/>
    <w:rsid w:val="00713FE9"/>
    <w:rsid w:val="00714901"/>
    <w:rsid w:val="00714C47"/>
    <w:rsid w:val="00715171"/>
    <w:rsid w:val="007151C2"/>
    <w:rsid w:val="00715462"/>
    <w:rsid w:val="007158F7"/>
    <w:rsid w:val="00715B3E"/>
    <w:rsid w:val="007161B9"/>
    <w:rsid w:val="00716505"/>
    <w:rsid w:val="007166B8"/>
    <w:rsid w:val="00716972"/>
    <w:rsid w:val="00716DD6"/>
    <w:rsid w:val="00717B9D"/>
    <w:rsid w:val="00717EBA"/>
    <w:rsid w:val="007207D9"/>
    <w:rsid w:val="00720969"/>
    <w:rsid w:val="007209B0"/>
    <w:rsid w:val="007210FE"/>
    <w:rsid w:val="007216BB"/>
    <w:rsid w:val="00721B5E"/>
    <w:rsid w:val="00721C90"/>
    <w:rsid w:val="00722C75"/>
    <w:rsid w:val="00723510"/>
    <w:rsid w:val="0072355A"/>
    <w:rsid w:val="0072357E"/>
    <w:rsid w:val="0072369D"/>
    <w:rsid w:val="00723781"/>
    <w:rsid w:val="0072422D"/>
    <w:rsid w:val="0072473A"/>
    <w:rsid w:val="00724A45"/>
    <w:rsid w:val="00724BB6"/>
    <w:rsid w:val="007251EF"/>
    <w:rsid w:val="00725B8A"/>
    <w:rsid w:val="00725E1A"/>
    <w:rsid w:val="00725E26"/>
    <w:rsid w:val="00725FE6"/>
    <w:rsid w:val="00726296"/>
    <w:rsid w:val="00726298"/>
    <w:rsid w:val="00726F0B"/>
    <w:rsid w:val="0072700D"/>
    <w:rsid w:val="00727196"/>
    <w:rsid w:val="00727550"/>
    <w:rsid w:val="00727E46"/>
    <w:rsid w:val="00730853"/>
    <w:rsid w:val="00730BAF"/>
    <w:rsid w:val="00730EB7"/>
    <w:rsid w:val="007318EE"/>
    <w:rsid w:val="007319BB"/>
    <w:rsid w:val="00731B53"/>
    <w:rsid w:val="00732484"/>
    <w:rsid w:val="00732AD0"/>
    <w:rsid w:val="00732B29"/>
    <w:rsid w:val="00732D4F"/>
    <w:rsid w:val="00732EEA"/>
    <w:rsid w:val="00732F98"/>
    <w:rsid w:val="007330BF"/>
    <w:rsid w:val="00733903"/>
    <w:rsid w:val="00734586"/>
    <w:rsid w:val="0073476B"/>
    <w:rsid w:val="007350C3"/>
    <w:rsid w:val="007350F4"/>
    <w:rsid w:val="007353A1"/>
    <w:rsid w:val="0073669D"/>
    <w:rsid w:val="007368BB"/>
    <w:rsid w:val="00736E21"/>
    <w:rsid w:val="00736F4C"/>
    <w:rsid w:val="00737739"/>
    <w:rsid w:val="00737FD6"/>
    <w:rsid w:val="0074067F"/>
    <w:rsid w:val="007412DD"/>
    <w:rsid w:val="00741CEC"/>
    <w:rsid w:val="0074209F"/>
    <w:rsid w:val="007421D9"/>
    <w:rsid w:val="0074238A"/>
    <w:rsid w:val="00742396"/>
    <w:rsid w:val="00742CD2"/>
    <w:rsid w:val="00742F79"/>
    <w:rsid w:val="00742FDD"/>
    <w:rsid w:val="007438DE"/>
    <w:rsid w:val="00743EAD"/>
    <w:rsid w:val="0074432A"/>
    <w:rsid w:val="007445A6"/>
    <w:rsid w:val="00744EE6"/>
    <w:rsid w:val="00745531"/>
    <w:rsid w:val="007455B5"/>
    <w:rsid w:val="00745C03"/>
    <w:rsid w:val="00745E28"/>
    <w:rsid w:val="00747148"/>
    <w:rsid w:val="007476E4"/>
    <w:rsid w:val="00747845"/>
    <w:rsid w:val="00747C36"/>
    <w:rsid w:val="00747F5C"/>
    <w:rsid w:val="00750AC2"/>
    <w:rsid w:val="00750C14"/>
    <w:rsid w:val="00750F73"/>
    <w:rsid w:val="007519B8"/>
    <w:rsid w:val="007519F2"/>
    <w:rsid w:val="0075283A"/>
    <w:rsid w:val="00752853"/>
    <w:rsid w:val="0075289E"/>
    <w:rsid w:val="00752C56"/>
    <w:rsid w:val="007536FB"/>
    <w:rsid w:val="007538F5"/>
    <w:rsid w:val="00753A1C"/>
    <w:rsid w:val="00754340"/>
    <w:rsid w:val="007546C1"/>
    <w:rsid w:val="00754BCF"/>
    <w:rsid w:val="0075527B"/>
    <w:rsid w:val="007552C5"/>
    <w:rsid w:val="007558FF"/>
    <w:rsid w:val="00755A25"/>
    <w:rsid w:val="00755D4D"/>
    <w:rsid w:val="00755FE3"/>
    <w:rsid w:val="0075609E"/>
    <w:rsid w:val="007569C1"/>
    <w:rsid w:val="00757351"/>
    <w:rsid w:val="00757959"/>
    <w:rsid w:val="00757B09"/>
    <w:rsid w:val="00757F07"/>
    <w:rsid w:val="00757FA5"/>
    <w:rsid w:val="0076022A"/>
    <w:rsid w:val="00760244"/>
    <w:rsid w:val="00760360"/>
    <w:rsid w:val="00760554"/>
    <w:rsid w:val="00761939"/>
    <w:rsid w:val="00761B3E"/>
    <w:rsid w:val="00761F2C"/>
    <w:rsid w:val="007625DB"/>
    <w:rsid w:val="00762A62"/>
    <w:rsid w:val="00762AA0"/>
    <w:rsid w:val="00763021"/>
    <w:rsid w:val="00763394"/>
    <w:rsid w:val="007637FC"/>
    <w:rsid w:val="00763993"/>
    <w:rsid w:val="0076409D"/>
    <w:rsid w:val="00764146"/>
    <w:rsid w:val="00764210"/>
    <w:rsid w:val="0076470A"/>
    <w:rsid w:val="007648FA"/>
    <w:rsid w:val="007651E1"/>
    <w:rsid w:val="00765886"/>
    <w:rsid w:val="007659F8"/>
    <w:rsid w:val="007663BD"/>
    <w:rsid w:val="007664FB"/>
    <w:rsid w:val="00766CB6"/>
    <w:rsid w:val="00766DA5"/>
    <w:rsid w:val="007672A7"/>
    <w:rsid w:val="007676A8"/>
    <w:rsid w:val="0077046D"/>
    <w:rsid w:val="00770565"/>
    <w:rsid w:val="00770626"/>
    <w:rsid w:val="00770B49"/>
    <w:rsid w:val="00770CAA"/>
    <w:rsid w:val="00770E87"/>
    <w:rsid w:val="00771A19"/>
    <w:rsid w:val="00771A35"/>
    <w:rsid w:val="00771D95"/>
    <w:rsid w:val="00772A18"/>
    <w:rsid w:val="00772B6B"/>
    <w:rsid w:val="007734D9"/>
    <w:rsid w:val="00774601"/>
    <w:rsid w:val="00774DDC"/>
    <w:rsid w:val="007750C2"/>
    <w:rsid w:val="00775279"/>
    <w:rsid w:val="007761B7"/>
    <w:rsid w:val="007765DF"/>
    <w:rsid w:val="007765E1"/>
    <w:rsid w:val="00776C85"/>
    <w:rsid w:val="007771B9"/>
    <w:rsid w:val="00777250"/>
    <w:rsid w:val="007775FE"/>
    <w:rsid w:val="00777A41"/>
    <w:rsid w:val="00777BFE"/>
    <w:rsid w:val="00777D69"/>
    <w:rsid w:val="0078052E"/>
    <w:rsid w:val="00780908"/>
    <w:rsid w:val="00780CE4"/>
    <w:rsid w:val="00780F3A"/>
    <w:rsid w:val="00780FAD"/>
    <w:rsid w:val="00781682"/>
    <w:rsid w:val="0078218B"/>
    <w:rsid w:val="0078241A"/>
    <w:rsid w:val="00783156"/>
    <w:rsid w:val="0078323F"/>
    <w:rsid w:val="0078344A"/>
    <w:rsid w:val="007839C0"/>
    <w:rsid w:val="00783BAD"/>
    <w:rsid w:val="007849B5"/>
    <w:rsid w:val="00784AF8"/>
    <w:rsid w:val="00785B53"/>
    <w:rsid w:val="00786443"/>
    <w:rsid w:val="00786F82"/>
    <w:rsid w:val="00787601"/>
    <w:rsid w:val="0078767E"/>
    <w:rsid w:val="007878DD"/>
    <w:rsid w:val="00787C99"/>
    <w:rsid w:val="00787EB3"/>
    <w:rsid w:val="0079001F"/>
    <w:rsid w:val="00790741"/>
    <w:rsid w:val="00790AC8"/>
    <w:rsid w:val="0079151B"/>
    <w:rsid w:val="007915B3"/>
    <w:rsid w:val="0079187C"/>
    <w:rsid w:val="00791928"/>
    <w:rsid w:val="00791E3B"/>
    <w:rsid w:val="0079228E"/>
    <w:rsid w:val="00792685"/>
    <w:rsid w:val="00792909"/>
    <w:rsid w:val="007933C7"/>
    <w:rsid w:val="00793BBC"/>
    <w:rsid w:val="007942E3"/>
    <w:rsid w:val="007943A1"/>
    <w:rsid w:val="00794C53"/>
    <w:rsid w:val="00794DCA"/>
    <w:rsid w:val="00795207"/>
    <w:rsid w:val="007953F0"/>
    <w:rsid w:val="00795690"/>
    <w:rsid w:val="00795967"/>
    <w:rsid w:val="00795F76"/>
    <w:rsid w:val="007960D6"/>
    <w:rsid w:val="00796204"/>
    <w:rsid w:val="007962DA"/>
    <w:rsid w:val="00796A72"/>
    <w:rsid w:val="00796AD2"/>
    <w:rsid w:val="00796C3A"/>
    <w:rsid w:val="00796CEC"/>
    <w:rsid w:val="007976D4"/>
    <w:rsid w:val="00797923"/>
    <w:rsid w:val="00797DC4"/>
    <w:rsid w:val="007A05FC"/>
    <w:rsid w:val="007A1015"/>
    <w:rsid w:val="007A1082"/>
    <w:rsid w:val="007A24DA"/>
    <w:rsid w:val="007A27A6"/>
    <w:rsid w:val="007A287E"/>
    <w:rsid w:val="007A3206"/>
    <w:rsid w:val="007A364B"/>
    <w:rsid w:val="007A377F"/>
    <w:rsid w:val="007A4507"/>
    <w:rsid w:val="007A48B5"/>
    <w:rsid w:val="007A525F"/>
    <w:rsid w:val="007A530D"/>
    <w:rsid w:val="007A5526"/>
    <w:rsid w:val="007A55A5"/>
    <w:rsid w:val="007A5808"/>
    <w:rsid w:val="007A5E77"/>
    <w:rsid w:val="007A5ECF"/>
    <w:rsid w:val="007A5F5D"/>
    <w:rsid w:val="007A5FD1"/>
    <w:rsid w:val="007A6606"/>
    <w:rsid w:val="007A67B1"/>
    <w:rsid w:val="007A69D9"/>
    <w:rsid w:val="007A6DCB"/>
    <w:rsid w:val="007A6FB0"/>
    <w:rsid w:val="007A7042"/>
    <w:rsid w:val="007A714B"/>
    <w:rsid w:val="007A79D3"/>
    <w:rsid w:val="007A7F41"/>
    <w:rsid w:val="007B1033"/>
    <w:rsid w:val="007B136B"/>
    <w:rsid w:val="007B1459"/>
    <w:rsid w:val="007B1591"/>
    <w:rsid w:val="007B1D61"/>
    <w:rsid w:val="007B2928"/>
    <w:rsid w:val="007B2B7E"/>
    <w:rsid w:val="007B2B99"/>
    <w:rsid w:val="007B30C7"/>
    <w:rsid w:val="007B372E"/>
    <w:rsid w:val="007B3D98"/>
    <w:rsid w:val="007B3DDA"/>
    <w:rsid w:val="007B511E"/>
    <w:rsid w:val="007B5592"/>
    <w:rsid w:val="007B5625"/>
    <w:rsid w:val="007B5CEA"/>
    <w:rsid w:val="007B604E"/>
    <w:rsid w:val="007B68A3"/>
    <w:rsid w:val="007B6ADA"/>
    <w:rsid w:val="007B6CAD"/>
    <w:rsid w:val="007B720B"/>
    <w:rsid w:val="007B7340"/>
    <w:rsid w:val="007B737F"/>
    <w:rsid w:val="007B73C0"/>
    <w:rsid w:val="007B7460"/>
    <w:rsid w:val="007B75EB"/>
    <w:rsid w:val="007B78A4"/>
    <w:rsid w:val="007B7EF7"/>
    <w:rsid w:val="007C03DB"/>
    <w:rsid w:val="007C03FC"/>
    <w:rsid w:val="007C06BC"/>
    <w:rsid w:val="007C073E"/>
    <w:rsid w:val="007C2155"/>
    <w:rsid w:val="007C232C"/>
    <w:rsid w:val="007C27D4"/>
    <w:rsid w:val="007C2A5A"/>
    <w:rsid w:val="007C313F"/>
    <w:rsid w:val="007C36B5"/>
    <w:rsid w:val="007C3B69"/>
    <w:rsid w:val="007C3FD0"/>
    <w:rsid w:val="007C4558"/>
    <w:rsid w:val="007C47F7"/>
    <w:rsid w:val="007C4DFA"/>
    <w:rsid w:val="007C52CB"/>
    <w:rsid w:val="007C5FDA"/>
    <w:rsid w:val="007C6637"/>
    <w:rsid w:val="007C711D"/>
    <w:rsid w:val="007C743C"/>
    <w:rsid w:val="007C77D5"/>
    <w:rsid w:val="007C7D4A"/>
    <w:rsid w:val="007D0B4A"/>
    <w:rsid w:val="007D0F97"/>
    <w:rsid w:val="007D1279"/>
    <w:rsid w:val="007D1B15"/>
    <w:rsid w:val="007D2396"/>
    <w:rsid w:val="007D2455"/>
    <w:rsid w:val="007D2A16"/>
    <w:rsid w:val="007D360F"/>
    <w:rsid w:val="007D36A3"/>
    <w:rsid w:val="007D449D"/>
    <w:rsid w:val="007D4599"/>
    <w:rsid w:val="007D498E"/>
    <w:rsid w:val="007D4AF6"/>
    <w:rsid w:val="007D4EFF"/>
    <w:rsid w:val="007D5324"/>
    <w:rsid w:val="007D5332"/>
    <w:rsid w:val="007D5C47"/>
    <w:rsid w:val="007D5FD8"/>
    <w:rsid w:val="007D62CC"/>
    <w:rsid w:val="007D64AE"/>
    <w:rsid w:val="007D6D2B"/>
    <w:rsid w:val="007D6F2A"/>
    <w:rsid w:val="007D7882"/>
    <w:rsid w:val="007D7CE0"/>
    <w:rsid w:val="007D7D03"/>
    <w:rsid w:val="007E0CDF"/>
    <w:rsid w:val="007E0D00"/>
    <w:rsid w:val="007E2253"/>
    <w:rsid w:val="007E2A5E"/>
    <w:rsid w:val="007E2CFA"/>
    <w:rsid w:val="007E3642"/>
    <w:rsid w:val="007E36D9"/>
    <w:rsid w:val="007E3D96"/>
    <w:rsid w:val="007E4621"/>
    <w:rsid w:val="007E4B86"/>
    <w:rsid w:val="007E5BE6"/>
    <w:rsid w:val="007E5C3A"/>
    <w:rsid w:val="007E69FB"/>
    <w:rsid w:val="007E6AD3"/>
    <w:rsid w:val="007E6C01"/>
    <w:rsid w:val="007E6E3A"/>
    <w:rsid w:val="007E713A"/>
    <w:rsid w:val="007E72C6"/>
    <w:rsid w:val="007E790E"/>
    <w:rsid w:val="007E7ABE"/>
    <w:rsid w:val="007E7EF7"/>
    <w:rsid w:val="007F05A5"/>
    <w:rsid w:val="007F0FC5"/>
    <w:rsid w:val="007F1158"/>
    <w:rsid w:val="007F1403"/>
    <w:rsid w:val="007F161F"/>
    <w:rsid w:val="007F1874"/>
    <w:rsid w:val="007F1BD6"/>
    <w:rsid w:val="007F266D"/>
    <w:rsid w:val="007F2993"/>
    <w:rsid w:val="007F2C5F"/>
    <w:rsid w:val="007F2E14"/>
    <w:rsid w:val="007F3479"/>
    <w:rsid w:val="007F4402"/>
    <w:rsid w:val="007F4850"/>
    <w:rsid w:val="007F48E5"/>
    <w:rsid w:val="007F5299"/>
    <w:rsid w:val="007F54E3"/>
    <w:rsid w:val="007F581B"/>
    <w:rsid w:val="007F595E"/>
    <w:rsid w:val="007F5AEC"/>
    <w:rsid w:val="007F60A4"/>
    <w:rsid w:val="007F72C1"/>
    <w:rsid w:val="007F72F4"/>
    <w:rsid w:val="007F7524"/>
    <w:rsid w:val="007F7961"/>
    <w:rsid w:val="007F7C46"/>
    <w:rsid w:val="00800358"/>
    <w:rsid w:val="00800360"/>
    <w:rsid w:val="0080099F"/>
    <w:rsid w:val="00800B8C"/>
    <w:rsid w:val="00800E9E"/>
    <w:rsid w:val="00801600"/>
    <w:rsid w:val="008018A2"/>
    <w:rsid w:val="00801BC1"/>
    <w:rsid w:val="00801C59"/>
    <w:rsid w:val="00801D36"/>
    <w:rsid w:val="00801FEF"/>
    <w:rsid w:val="008020E5"/>
    <w:rsid w:val="00802251"/>
    <w:rsid w:val="00803A70"/>
    <w:rsid w:val="008041A3"/>
    <w:rsid w:val="00804F78"/>
    <w:rsid w:val="00805084"/>
    <w:rsid w:val="008053FC"/>
    <w:rsid w:val="00805CF5"/>
    <w:rsid w:val="00805F7A"/>
    <w:rsid w:val="00806271"/>
    <w:rsid w:val="00806796"/>
    <w:rsid w:val="00806DAA"/>
    <w:rsid w:val="00807F20"/>
    <w:rsid w:val="00807F86"/>
    <w:rsid w:val="0081002E"/>
    <w:rsid w:val="00811075"/>
    <w:rsid w:val="0081116C"/>
    <w:rsid w:val="008115DC"/>
    <w:rsid w:val="00811D8B"/>
    <w:rsid w:val="00811D99"/>
    <w:rsid w:val="00811E36"/>
    <w:rsid w:val="008120E5"/>
    <w:rsid w:val="00812911"/>
    <w:rsid w:val="00812A76"/>
    <w:rsid w:val="00812C76"/>
    <w:rsid w:val="00812D47"/>
    <w:rsid w:val="00814276"/>
    <w:rsid w:val="008143AF"/>
    <w:rsid w:val="008146B1"/>
    <w:rsid w:val="00814791"/>
    <w:rsid w:val="00814918"/>
    <w:rsid w:val="00814B0F"/>
    <w:rsid w:val="00814E31"/>
    <w:rsid w:val="00815169"/>
    <w:rsid w:val="0081575D"/>
    <w:rsid w:val="008159E8"/>
    <w:rsid w:val="00815B58"/>
    <w:rsid w:val="00815E0D"/>
    <w:rsid w:val="00816003"/>
    <w:rsid w:val="008160CA"/>
    <w:rsid w:val="008160CF"/>
    <w:rsid w:val="0081617D"/>
    <w:rsid w:val="00816322"/>
    <w:rsid w:val="00816323"/>
    <w:rsid w:val="008163A7"/>
    <w:rsid w:val="008164BA"/>
    <w:rsid w:val="008166FF"/>
    <w:rsid w:val="00816B68"/>
    <w:rsid w:val="00816DAE"/>
    <w:rsid w:val="00816E1A"/>
    <w:rsid w:val="00816F4E"/>
    <w:rsid w:val="00816FDA"/>
    <w:rsid w:val="00817250"/>
    <w:rsid w:val="00817941"/>
    <w:rsid w:val="00817A22"/>
    <w:rsid w:val="00817DF1"/>
    <w:rsid w:val="008206A0"/>
    <w:rsid w:val="00820F28"/>
    <w:rsid w:val="008210DB"/>
    <w:rsid w:val="008214D0"/>
    <w:rsid w:val="00822114"/>
    <w:rsid w:val="0082251F"/>
    <w:rsid w:val="008226C4"/>
    <w:rsid w:val="00823125"/>
    <w:rsid w:val="00823269"/>
    <w:rsid w:val="00824159"/>
    <w:rsid w:val="00825016"/>
    <w:rsid w:val="0082502D"/>
    <w:rsid w:val="00825879"/>
    <w:rsid w:val="00826C85"/>
    <w:rsid w:val="0082709F"/>
    <w:rsid w:val="00827D45"/>
    <w:rsid w:val="00827FE6"/>
    <w:rsid w:val="00830427"/>
    <w:rsid w:val="0083050E"/>
    <w:rsid w:val="00830A3D"/>
    <w:rsid w:val="0083107F"/>
    <w:rsid w:val="008311E7"/>
    <w:rsid w:val="0083196F"/>
    <w:rsid w:val="008319D3"/>
    <w:rsid w:val="00831F84"/>
    <w:rsid w:val="00832093"/>
    <w:rsid w:val="008323F2"/>
    <w:rsid w:val="00832927"/>
    <w:rsid w:val="00833132"/>
    <w:rsid w:val="008333B9"/>
    <w:rsid w:val="00833BEA"/>
    <w:rsid w:val="00833C89"/>
    <w:rsid w:val="008342FE"/>
    <w:rsid w:val="00834394"/>
    <w:rsid w:val="008348A7"/>
    <w:rsid w:val="00834DD4"/>
    <w:rsid w:val="0083508F"/>
    <w:rsid w:val="00835853"/>
    <w:rsid w:val="00835BF1"/>
    <w:rsid w:val="008361DD"/>
    <w:rsid w:val="0083623C"/>
    <w:rsid w:val="0083668D"/>
    <w:rsid w:val="0083686E"/>
    <w:rsid w:val="00836D5E"/>
    <w:rsid w:val="00836EBD"/>
    <w:rsid w:val="00840065"/>
    <w:rsid w:val="0084076E"/>
    <w:rsid w:val="00840997"/>
    <w:rsid w:val="00840A39"/>
    <w:rsid w:val="00840D47"/>
    <w:rsid w:val="008410C2"/>
    <w:rsid w:val="00841323"/>
    <w:rsid w:val="00841324"/>
    <w:rsid w:val="00841687"/>
    <w:rsid w:val="008417C0"/>
    <w:rsid w:val="008428CA"/>
    <w:rsid w:val="00842A83"/>
    <w:rsid w:val="008445F6"/>
    <w:rsid w:val="008446C7"/>
    <w:rsid w:val="00844EEC"/>
    <w:rsid w:val="00845FA9"/>
    <w:rsid w:val="008468A6"/>
    <w:rsid w:val="00846F55"/>
    <w:rsid w:val="00846F7B"/>
    <w:rsid w:val="008473D1"/>
    <w:rsid w:val="008478BF"/>
    <w:rsid w:val="008479B4"/>
    <w:rsid w:val="0085015C"/>
    <w:rsid w:val="00850242"/>
    <w:rsid w:val="00850A05"/>
    <w:rsid w:val="0085166A"/>
    <w:rsid w:val="008518A9"/>
    <w:rsid w:val="00851A88"/>
    <w:rsid w:val="00851BAB"/>
    <w:rsid w:val="00852581"/>
    <w:rsid w:val="0085276F"/>
    <w:rsid w:val="008536D1"/>
    <w:rsid w:val="0085395A"/>
    <w:rsid w:val="00853C2B"/>
    <w:rsid w:val="00854087"/>
    <w:rsid w:val="00854262"/>
    <w:rsid w:val="008549D6"/>
    <w:rsid w:val="00854A97"/>
    <w:rsid w:val="008551A6"/>
    <w:rsid w:val="0085532F"/>
    <w:rsid w:val="008553E4"/>
    <w:rsid w:val="00855877"/>
    <w:rsid w:val="00855902"/>
    <w:rsid w:val="00855D6F"/>
    <w:rsid w:val="00856453"/>
    <w:rsid w:val="0085699A"/>
    <w:rsid w:val="0085713A"/>
    <w:rsid w:val="00857378"/>
    <w:rsid w:val="00857A4B"/>
    <w:rsid w:val="00857BC1"/>
    <w:rsid w:val="00857C08"/>
    <w:rsid w:val="00857DD6"/>
    <w:rsid w:val="00857EB8"/>
    <w:rsid w:val="00860583"/>
    <w:rsid w:val="00860605"/>
    <w:rsid w:val="0086062B"/>
    <w:rsid w:val="00860F82"/>
    <w:rsid w:val="00861243"/>
    <w:rsid w:val="008613B0"/>
    <w:rsid w:val="008614CC"/>
    <w:rsid w:val="0086166B"/>
    <w:rsid w:val="008618ED"/>
    <w:rsid w:val="00861D71"/>
    <w:rsid w:val="00862113"/>
    <w:rsid w:val="00862BCA"/>
    <w:rsid w:val="00863324"/>
    <w:rsid w:val="00863C8D"/>
    <w:rsid w:val="00864214"/>
    <w:rsid w:val="00864477"/>
    <w:rsid w:val="00864480"/>
    <w:rsid w:val="00864CFB"/>
    <w:rsid w:val="00864E8D"/>
    <w:rsid w:val="00865265"/>
    <w:rsid w:val="008653A6"/>
    <w:rsid w:val="008653FF"/>
    <w:rsid w:val="00865682"/>
    <w:rsid w:val="00865929"/>
    <w:rsid w:val="0086592B"/>
    <w:rsid w:val="0086592F"/>
    <w:rsid w:val="00865E05"/>
    <w:rsid w:val="00865FE4"/>
    <w:rsid w:val="0086632F"/>
    <w:rsid w:val="0086654F"/>
    <w:rsid w:val="00866D3F"/>
    <w:rsid w:val="00867C9E"/>
    <w:rsid w:val="00870550"/>
    <w:rsid w:val="008708A8"/>
    <w:rsid w:val="00870FF2"/>
    <w:rsid w:val="008713D8"/>
    <w:rsid w:val="0087161B"/>
    <w:rsid w:val="00871753"/>
    <w:rsid w:val="00871B82"/>
    <w:rsid w:val="00871F8E"/>
    <w:rsid w:val="00872187"/>
    <w:rsid w:val="008725B4"/>
    <w:rsid w:val="00872B91"/>
    <w:rsid w:val="00872E08"/>
    <w:rsid w:val="0087343E"/>
    <w:rsid w:val="00873F36"/>
    <w:rsid w:val="0087448E"/>
    <w:rsid w:val="00875651"/>
    <w:rsid w:val="00875699"/>
    <w:rsid w:val="00875E68"/>
    <w:rsid w:val="008764EA"/>
    <w:rsid w:val="00876872"/>
    <w:rsid w:val="00876B57"/>
    <w:rsid w:val="00876DB8"/>
    <w:rsid w:val="00877098"/>
    <w:rsid w:val="0088016A"/>
    <w:rsid w:val="00880420"/>
    <w:rsid w:val="00880864"/>
    <w:rsid w:val="00881644"/>
    <w:rsid w:val="00882DBE"/>
    <w:rsid w:val="008832B2"/>
    <w:rsid w:val="00883A63"/>
    <w:rsid w:val="00883ADC"/>
    <w:rsid w:val="00883FEC"/>
    <w:rsid w:val="008841A3"/>
    <w:rsid w:val="00884653"/>
    <w:rsid w:val="00884894"/>
    <w:rsid w:val="008852B1"/>
    <w:rsid w:val="0088533D"/>
    <w:rsid w:val="008856D7"/>
    <w:rsid w:val="0088653E"/>
    <w:rsid w:val="008865EC"/>
    <w:rsid w:val="00886A61"/>
    <w:rsid w:val="008870D0"/>
    <w:rsid w:val="00887139"/>
    <w:rsid w:val="00887640"/>
    <w:rsid w:val="008877D2"/>
    <w:rsid w:val="00890B87"/>
    <w:rsid w:val="00891138"/>
    <w:rsid w:val="00891347"/>
    <w:rsid w:val="00891601"/>
    <w:rsid w:val="00891687"/>
    <w:rsid w:val="008933F6"/>
    <w:rsid w:val="0089341D"/>
    <w:rsid w:val="00893747"/>
    <w:rsid w:val="00893765"/>
    <w:rsid w:val="00894464"/>
    <w:rsid w:val="00894904"/>
    <w:rsid w:val="00894DF8"/>
    <w:rsid w:val="00895088"/>
    <w:rsid w:val="0089623E"/>
    <w:rsid w:val="008967A4"/>
    <w:rsid w:val="008968A0"/>
    <w:rsid w:val="00896E95"/>
    <w:rsid w:val="008970F9"/>
    <w:rsid w:val="00897BDC"/>
    <w:rsid w:val="008A01B0"/>
    <w:rsid w:val="008A0249"/>
    <w:rsid w:val="008A0785"/>
    <w:rsid w:val="008A13C4"/>
    <w:rsid w:val="008A152E"/>
    <w:rsid w:val="008A1E9F"/>
    <w:rsid w:val="008A1EBF"/>
    <w:rsid w:val="008A2095"/>
    <w:rsid w:val="008A2510"/>
    <w:rsid w:val="008A294B"/>
    <w:rsid w:val="008A2B7A"/>
    <w:rsid w:val="008A2CED"/>
    <w:rsid w:val="008A2D66"/>
    <w:rsid w:val="008A2ED7"/>
    <w:rsid w:val="008A2F52"/>
    <w:rsid w:val="008A34D3"/>
    <w:rsid w:val="008A3F4C"/>
    <w:rsid w:val="008A475F"/>
    <w:rsid w:val="008A4C43"/>
    <w:rsid w:val="008A4CA1"/>
    <w:rsid w:val="008A4EB7"/>
    <w:rsid w:val="008A59B9"/>
    <w:rsid w:val="008A6F0E"/>
    <w:rsid w:val="008A7480"/>
    <w:rsid w:val="008A74E1"/>
    <w:rsid w:val="008A78A9"/>
    <w:rsid w:val="008B041B"/>
    <w:rsid w:val="008B082F"/>
    <w:rsid w:val="008B0987"/>
    <w:rsid w:val="008B0C2D"/>
    <w:rsid w:val="008B0EB9"/>
    <w:rsid w:val="008B1307"/>
    <w:rsid w:val="008B1E24"/>
    <w:rsid w:val="008B1E34"/>
    <w:rsid w:val="008B1F3F"/>
    <w:rsid w:val="008B1F99"/>
    <w:rsid w:val="008B21ED"/>
    <w:rsid w:val="008B22BD"/>
    <w:rsid w:val="008B238F"/>
    <w:rsid w:val="008B2A98"/>
    <w:rsid w:val="008B2E24"/>
    <w:rsid w:val="008B30DB"/>
    <w:rsid w:val="008B33E3"/>
    <w:rsid w:val="008B4BF8"/>
    <w:rsid w:val="008B57D6"/>
    <w:rsid w:val="008B6244"/>
    <w:rsid w:val="008B6249"/>
    <w:rsid w:val="008B6637"/>
    <w:rsid w:val="008B6BB6"/>
    <w:rsid w:val="008B711D"/>
    <w:rsid w:val="008B7145"/>
    <w:rsid w:val="008B76B3"/>
    <w:rsid w:val="008B77EE"/>
    <w:rsid w:val="008B7B03"/>
    <w:rsid w:val="008B7CD7"/>
    <w:rsid w:val="008B7D3D"/>
    <w:rsid w:val="008B7EDC"/>
    <w:rsid w:val="008B7F38"/>
    <w:rsid w:val="008C08B8"/>
    <w:rsid w:val="008C0DB1"/>
    <w:rsid w:val="008C0F38"/>
    <w:rsid w:val="008C1B83"/>
    <w:rsid w:val="008C1E05"/>
    <w:rsid w:val="008C2303"/>
    <w:rsid w:val="008C2C7D"/>
    <w:rsid w:val="008C3102"/>
    <w:rsid w:val="008C3604"/>
    <w:rsid w:val="008C3681"/>
    <w:rsid w:val="008C40C6"/>
    <w:rsid w:val="008C42A3"/>
    <w:rsid w:val="008C473D"/>
    <w:rsid w:val="008C5BA4"/>
    <w:rsid w:val="008C663D"/>
    <w:rsid w:val="008C6AC6"/>
    <w:rsid w:val="008C6B02"/>
    <w:rsid w:val="008C78D4"/>
    <w:rsid w:val="008C7A49"/>
    <w:rsid w:val="008C7C88"/>
    <w:rsid w:val="008C7F9E"/>
    <w:rsid w:val="008D0A77"/>
    <w:rsid w:val="008D0D75"/>
    <w:rsid w:val="008D0E60"/>
    <w:rsid w:val="008D0FF2"/>
    <w:rsid w:val="008D11FD"/>
    <w:rsid w:val="008D1712"/>
    <w:rsid w:val="008D1EAD"/>
    <w:rsid w:val="008D2563"/>
    <w:rsid w:val="008D258D"/>
    <w:rsid w:val="008D27B7"/>
    <w:rsid w:val="008D291F"/>
    <w:rsid w:val="008D2B1E"/>
    <w:rsid w:val="008D2BA1"/>
    <w:rsid w:val="008D350E"/>
    <w:rsid w:val="008D3631"/>
    <w:rsid w:val="008D3A0B"/>
    <w:rsid w:val="008D3C88"/>
    <w:rsid w:val="008D4470"/>
    <w:rsid w:val="008D4574"/>
    <w:rsid w:val="008D464F"/>
    <w:rsid w:val="008D4B72"/>
    <w:rsid w:val="008D4DE7"/>
    <w:rsid w:val="008D53BB"/>
    <w:rsid w:val="008D5549"/>
    <w:rsid w:val="008D586A"/>
    <w:rsid w:val="008D58C7"/>
    <w:rsid w:val="008D70EA"/>
    <w:rsid w:val="008D7662"/>
    <w:rsid w:val="008D7BBF"/>
    <w:rsid w:val="008D7C32"/>
    <w:rsid w:val="008E04D8"/>
    <w:rsid w:val="008E092C"/>
    <w:rsid w:val="008E0B37"/>
    <w:rsid w:val="008E13E4"/>
    <w:rsid w:val="008E1518"/>
    <w:rsid w:val="008E160F"/>
    <w:rsid w:val="008E1D41"/>
    <w:rsid w:val="008E22A9"/>
    <w:rsid w:val="008E2CEF"/>
    <w:rsid w:val="008E2FE0"/>
    <w:rsid w:val="008E322B"/>
    <w:rsid w:val="008E378A"/>
    <w:rsid w:val="008E3BA9"/>
    <w:rsid w:val="008E3F69"/>
    <w:rsid w:val="008E47C9"/>
    <w:rsid w:val="008E4873"/>
    <w:rsid w:val="008E5377"/>
    <w:rsid w:val="008E5769"/>
    <w:rsid w:val="008E5D1A"/>
    <w:rsid w:val="008E5D8B"/>
    <w:rsid w:val="008E5EA1"/>
    <w:rsid w:val="008E604A"/>
    <w:rsid w:val="008E61E2"/>
    <w:rsid w:val="008E6497"/>
    <w:rsid w:val="008E65AB"/>
    <w:rsid w:val="008E6B99"/>
    <w:rsid w:val="008E6D0C"/>
    <w:rsid w:val="008E6EE2"/>
    <w:rsid w:val="008E7037"/>
    <w:rsid w:val="008E708C"/>
    <w:rsid w:val="008E7BC4"/>
    <w:rsid w:val="008F01A9"/>
    <w:rsid w:val="008F0217"/>
    <w:rsid w:val="008F025E"/>
    <w:rsid w:val="008F037B"/>
    <w:rsid w:val="008F037F"/>
    <w:rsid w:val="008F07DF"/>
    <w:rsid w:val="008F082B"/>
    <w:rsid w:val="008F170F"/>
    <w:rsid w:val="008F18D9"/>
    <w:rsid w:val="008F1F75"/>
    <w:rsid w:val="008F1FE2"/>
    <w:rsid w:val="008F26BF"/>
    <w:rsid w:val="008F2A8C"/>
    <w:rsid w:val="008F2B30"/>
    <w:rsid w:val="008F3138"/>
    <w:rsid w:val="008F3D96"/>
    <w:rsid w:val="008F4354"/>
    <w:rsid w:val="008F4B2C"/>
    <w:rsid w:val="008F545F"/>
    <w:rsid w:val="008F554C"/>
    <w:rsid w:val="008F5653"/>
    <w:rsid w:val="008F5BD0"/>
    <w:rsid w:val="008F63C4"/>
    <w:rsid w:val="008F6620"/>
    <w:rsid w:val="008F6835"/>
    <w:rsid w:val="008F68C2"/>
    <w:rsid w:val="008F69D1"/>
    <w:rsid w:val="008F7441"/>
    <w:rsid w:val="0090049D"/>
    <w:rsid w:val="009009E9"/>
    <w:rsid w:val="00900B76"/>
    <w:rsid w:val="00900F30"/>
    <w:rsid w:val="009010DE"/>
    <w:rsid w:val="009016CE"/>
    <w:rsid w:val="00901F4F"/>
    <w:rsid w:val="009022E9"/>
    <w:rsid w:val="009024B4"/>
    <w:rsid w:val="0090252B"/>
    <w:rsid w:val="009029D9"/>
    <w:rsid w:val="00902B32"/>
    <w:rsid w:val="009030C2"/>
    <w:rsid w:val="00903559"/>
    <w:rsid w:val="009039A3"/>
    <w:rsid w:val="009039B4"/>
    <w:rsid w:val="00903CB0"/>
    <w:rsid w:val="00903D18"/>
    <w:rsid w:val="00903EF4"/>
    <w:rsid w:val="009043FC"/>
    <w:rsid w:val="009045DD"/>
    <w:rsid w:val="00904D02"/>
    <w:rsid w:val="00905519"/>
    <w:rsid w:val="0090565A"/>
    <w:rsid w:val="00905977"/>
    <w:rsid w:val="00905F24"/>
    <w:rsid w:val="009062F6"/>
    <w:rsid w:val="00906653"/>
    <w:rsid w:val="009072E5"/>
    <w:rsid w:val="009076BA"/>
    <w:rsid w:val="00907800"/>
    <w:rsid w:val="0090781A"/>
    <w:rsid w:val="00907CBB"/>
    <w:rsid w:val="0091019B"/>
    <w:rsid w:val="00910290"/>
    <w:rsid w:val="00910487"/>
    <w:rsid w:val="0091067E"/>
    <w:rsid w:val="0091081F"/>
    <w:rsid w:val="00910A9F"/>
    <w:rsid w:val="00910C01"/>
    <w:rsid w:val="009118DE"/>
    <w:rsid w:val="0091191E"/>
    <w:rsid w:val="00911976"/>
    <w:rsid w:val="00911ABF"/>
    <w:rsid w:val="009120A0"/>
    <w:rsid w:val="009128D0"/>
    <w:rsid w:val="00912B04"/>
    <w:rsid w:val="0091304A"/>
    <w:rsid w:val="00913631"/>
    <w:rsid w:val="00913DB7"/>
    <w:rsid w:val="009142DD"/>
    <w:rsid w:val="0091457D"/>
    <w:rsid w:val="009148DA"/>
    <w:rsid w:val="0091530A"/>
    <w:rsid w:val="00915331"/>
    <w:rsid w:val="009155AD"/>
    <w:rsid w:val="00915634"/>
    <w:rsid w:val="00915D37"/>
    <w:rsid w:val="00915E7F"/>
    <w:rsid w:val="0091686E"/>
    <w:rsid w:val="00916EC2"/>
    <w:rsid w:val="00917F39"/>
    <w:rsid w:val="00920657"/>
    <w:rsid w:val="009207A2"/>
    <w:rsid w:val="00920CCE"/>
    <w:rsid w:val="00921505"/>
    <w:rsid w:val="00921994"/>
    <w:rsid w:val="00921EF1"/>
    <w:rsid w:val="00922096"/>
    <w:rsid w:val="00922145"/>
    <w:rsid w:val="009222D4"/>
    <w:rsid w:val="009223A1"/>
    <w:rsid w:val="009223E0"/>
    <w:rsid w:val="009226C5"/>
    <w:rsid w:val="00922926"/>
    <w:rsid w:val="00922ABD"/>
    <w:rsid w:val="00923224"/>
    <w:rsid w:val="009240F1"/>
    <w:rsid w:val="0092433E"/>
    <w:rsid w:val="009245BD"/>
    <w:rsid w:val="0092462C"/>
    <w:rsid w:val="009246CF"/>
    <w:rsid w:val="00924B28"/>
    <w:rsid w:val="00924BBC"/>
    <w:rsid w:val="00924C8A"/>
    <w:rsid w:val="00925062"/>
    <w:rsid w:val="00925098"/>
    <w:rsid w:val="0092516C"/>
    <w:rsid w:val="009252E3"/>
    <w:rsid w:val="0092551E"/>
    <w:rsid w:val="0092558A"/>
    <w:rsid w:val="009255EC"/>
    <w:rsid w:val="00926306"/>
    <w:rsid w:val="00926579"/>
    <w:rsid w:val="0092752E"/>
    <w:rsid w:val="0092768A"/>
    <w:rsid w:val="00927880"/>
    <w:rsid w:val="00927D87"/>
    <w:rsid w:val="00927F81"/>
    <w:rsid w:val="00930014"/>
    <w:rsid w:val="00930DB3"/>
    <w:rsid w:val="0093110C"/>
    <w:rsid w:val="0093118B"/>
    <w:rsid w:val="00931E99"/>
    <w:rsid w:val="00932074"/>
    <w:rsid w:val="0093211F"/>
    <w:rsid w:val="00932848"/>
    <w:rsid w:val="00932A2A"/>
    <w:rsid w:val="00932B49"/>
    <w:rsid w:val="009331C7"/>
    <w:rsid w:val="0093321A"/>
    <w:rsid w:val="0093340B"/>
    <w:rsid w:val="0093383D"/>
    <w:rsid w:val="009345A2"/>
    <w:rsid w:val="009346C4"/>
    <w:rsid w:val="00934B8D"/>
    <w:rsid w:val="00934E0B"/>
    <w:rsid w:val="00935010"/>
    <w:rsid w:val="00935DB2"/>
    <w:rsid w:val="009369B6"/>
    <w:rsid w:val="00937831"/>
    <w:rsid w:val="00937B0C"/>
    <w:rsid w:val="00937D00"/>
    <w:rsid w:val="0094010E"/>
    <w:rsid w:val="00940927"/>
    <w:rsid w:val="00941FAD"/>
    <w:rsid w:val="0094205E"/>
    <w:rsid w:val="00942235"/>
    <w:rsid w:val="009422DB"/>
    <w:rsid w:val="009430F4"/>
    <w:rsid w:val="00943F5A"/>
    <w:rsid w:val="00943FFE"/>
    <w:rsid w:val="009440F2"/>
    <w:rsid w:val="00944256"/>
    <w:rsid w:val="00945081"/>
    <w:rsid w:val="00945108"/>
    <w:rsid w:val="00945291"/>
    <w:rsid w:val="0094546F"/>
    <w:rsid w:val="00945A25"/>
    <w:rsid w:val="00945C80"/>
    <w:rsid w:val="00945D53"/>
    <w:rsid w:val="00945F25"/>
    <w:rsid w:val="0094601A"/>
    <w:rsid w:val="00946437"/>
    <w:rsid w:val="00946754"/>
    <w:rsid w:val="00947DB4"/>
    <w:rsid w:val="0095065B"/>
    <w:rsid w:val="009507D3"/>
    <w:rsid w:val="00950807"/>
    <w:rsid w:val="00951275"/>
    <w:rsid w:val="00951507"/>
    <w:rsid w:val="009519C3"/>
    <w:rsid w:val="00951B04"/>
    <w:rsid w:val="009524CA"/>
    <w:rsid w:val="009527B3"/>
    <w:rsid w:val="009527CA"/>
    <w:rsid w:val="0095287A"/>
    <w:rsid w:val="00952A20"/>
    <w:rsid w:val="00952C68"/>
    <w:rsid w:val="0095326F"/>
    <w:rsid w:val="009533D6"/>
    <w:rsid w:val="00953795"/>
    <w:rsid w:val="00953AFB"/>
    <w:rsid w:val="00953E91"/>
    <w:rsid w:val="009542E5"/>
    <w:rsid w:val="009545BD"/>
    <w:rsid w:val="0095460B"/>
    <w:rsid w:val="00954685"/>
    <w:rsid w:val="00954A99"/>
    <w:rsid w:val="00954D25"/>
    <w:rsid w:val="009552A5"/>
    <w:rsid w:val="00955F81"/>
    <w:rsid w:val="00956713"/>
    <w:rsid w:val="00956A3A"/>
    <w:rsid w:val="00956B94"/>
    <w:rsid w:val="00956D22"/>
    <w:rsid w:val="00956D95"/>
    <w:rsid w:val="00956F4C"/>
    <w:rsid w:val="009574C2"/>
    <w:rsid w:val="00957847"/>
    <w:rsid w:val="00960288"/>
    <w:rsid w:val="0096056C"/>
    <w:rsid w:val="009614C7"/>
    <w:rsid w:val="00961A7F"/>
    <w:rsid w:val="00962246"/>
    <w:rsid w:val="00962A17"/>
    <w:rsid w:val="00962B2B"/>
    <w:rsid w:val="0096314B"/>
    <w:rsid w:val="0096328C"/>
    <w:rsid w:val="00963842"/>
    <w:rsid w:val="00963961"/>
    <w:rsid w:val="0096459E"/>
    <w:rsid w:val="009647D0"/>
    <w:rsid w:val="00964EAA"/>
    <w:rsid w:val="00965371"/>
    <w:rsid w:val="009656C4"/>
    <w:rsid w:val="009657B5"/>
    <w:rsid w:val="009659FE"/>
    <w:rsid w:val="00965D71"/>
    <w:rsid w:val="00965F58"/>
    <w:rsid w:val="0096609C"/>
    <w:rsid w:val="0096645A"/>
    <w:rsid w:val="0096669F"/>
    <w:rsid w:val="009666E4"/>
    <w:rsid w:val="009667D7"/>
    <w:rsid w:val="009676FC"/>
    <w:rsid w:val="00967871"/>
    <w:rsid w:val="00967A9E"/>
    <w:rsid w:val="00967C08"/>
    <w:rsid w:val="00967DBF"/>
    <w:rsid w:val="00967E1A"/>
    <w:rsid w:val="00967FAF"/>
    <w:rsid w:val="00970824"/>
    <w:rsid w:val="00970A24"/>
    <w:rsid w:val="009710F2"/>
    <w:rsid w:val="00972448"/>
    <w:rsid w:val="0097244D"/>
    <w:rsid w:val="00972500"/>
    <w:rsid w:val="00972B8C"/>
    <w:rsid w:val="00972BB7"/>
    <w:rsid w:val="00972E34"/>
    <w:rsid w:val="00972FBB"/>
    <w:rsid w:val="009735C4"/>
    <w:rsid w:val="0097365F"/>
    <w:rsid w:val="009737BD"/>
    <w:rsid w:val="00973C59"/>
    <w:rsid w:val="00973E68"/>
    <w:rsid w:val="00974752"/>
    <w:rsid w:val="00975610"/>
    <w:rsid w:val="00975648"/>
    <w:rsid w:val="00975B6D"/>
    <w:rsid w:val="009763D5"/>
    <w:rsid w:val="00976B81"/>
    <w:rsid w:val="00977DA4"/>
    <w:rsid w:val="00977DE1"/>
    <w:rsid w:val="009803BA"/>
    <w:rsid w:val="0098058B"/>
    <w:rsid w:val="0098062A"/>
    <w:rsid w:val="00980E82"/>
    <w:rsid w:val="0098131F"/>
    <w:rsid w:val="0098167D"/>
    <w:rsid w:val="009817EA"/>
    <w:rsid w:val="009819A7"/>
    <w:rsid w:val="00982157"/>
    <w:rsid w:val="009823C7"/>
    <w:rsid w:val="00983413"/>
    <w:rsid w:val="00983514"/>
    <w:rsid w:val="00983A3D"/>
    <w:rsid w:val="00984544"/>
    <w:rsid w:val="00984D3C"/>
    <w:rsid w:val="00984E7A"/>
    <w:rsid w:val="00986344"/>
    <w:rsid w:val="00986B47"/>
    <w:rsid w:val="00986EB3"/>
    <w:rsid w:val="00986F7C"/>
    <w:rsid w:val="009872F3"/>
    <w:rsid w:val="00987379"/>
    <w:rsid w:val="0098787B"/>
    <w:rsid w:val="00987A36"/>
    <w:rsid w:val="00987BCD"/>
    <w:rsid w:val="00987BEA"/>
    <w:rsid w:val="0099022D"/>
    <w:rsid w:val="00990D2A"/>
    <w:rsid w:val="00990DBD"/>
    <w:rsid w:val="00991455"/>
    <w:rsid w:val="009916A6"/>
    <w:rsid w:val="00991A47"/>
    <w:rsid w:val="00991B8A"/>
    <w:rsid w:val="00991F97"/>
    <w:rsid w:val="009923CF"/>
    <w:rsid w:val="009924DC"/>
    <w:rsid w:val="00992876"/>
    <w:rsid w:val="00992B74"/>
    <w:rsid w:val="00992D52"/>
    <w:rsid w:val="00993248"/>
    <w:rsid w:val="00993736"/>
    <w:rsid w:val="00993A11"/>
    <w:rsid w:val="009941DE"/>
    <w:rsid w:val="0099485B"/>
    <w:rsid w:val="00994885"/>
    <w:rsid w:val="009948B3"/>
    <w:rsid w:val="00994980"/>
    <w:rsid w:val="00994F89"/>
    <w:rsid w:val="00995010"/>
    <w:rsid w:val="00995792"/>
    <w:rsid w:val="009959F9"/>
    <w:rsid w:val="00995DA8"/>
    <w:rsid w:val="009963D3"/>
    <w:rsid w:val="0099695B"/>
    <w:rsid w:val="00996F08"/>
    <w:rsid w:val="00997336"/>
    <w:rsid w:val="00997851"/>
    <w:rsid w:val="00997CDD"/>
    <w:rsid w:val="00997E1F"/>
    <w:rsid w:val="009A0C67"/>
    <w:rsid w:val="009A0FEF"/>
    <w:rsid w:val="009A1064"/>
    <w:rsid w:val="009A1155"/>
    <w:rsid w:val="009A12B8"/>
    <w:rsid w:val="009A1A61"/>
    <w:rsid w:val="009A1C9D"/>
    <w:rsid w:val="009A237B"/>
    <w:rsid w:val="009A3CE7"/>
    <w:rsid w:val="009A409D"/>
    <w:rsid w:val="009A47E9"/>
    <w:rsid w:val="009A4F30"/>
    <w:rsid w:val="009A53D2"/>
    <w:rsid w:val="009A5555"/>
    <w:rsid w:val="009A57AE"/>
    <w:rsid w:val="009A5A09"/>
    <w:rsid w:val="009A5B60"/>
    <w:rsid w:val="009A5C19"/>
    <w:rsid w:val="009A5F14"/>
    <w:rsid w:val="009A6C8C"/>
    <w:rsid w:val="009A6CF1"/>
    <w:rsid w:val="009A6F9E"/>
    <w:rsid w:val="009A78F1"/>
    <w:rsid w:val="009B0394"/>
    <w:rsid w:val="009B0657"/>
    <w:rsid w:val="009B07B1"/>
    <w:rsid w:val="009B14BE"/>
    <w:rsid w:val="009B1B62"/>
    <w:rsid w:val="009B1DD1"/>
    <w:rsid w:val="009B1FB2"/>
    <w:rsid w:val="009B25AD"/>
    <w:rsid w:val="009B2987"/>
    <w:rsid w:val="009B2B69"/>
    <w:rsid w:val="009B2B7C"/>
    <w:rsid w:val="009B3391"/>
    <w:rsid w:val="009B36C8"/>
    <w:rsid w:val="009B4FFD"/>
    <w:rsid w:val="009B52D0"/>
    <w:rsid w:val="009B5444"/>
    <w:rsid w:val="009B5611"/>
    <w:rsid w:val="009B58B5"/>
    <w:rsid w:val="009B5B2D"/>
    <w:rsid w:val="009B6780"/>
    <w:rsid w:val="009B6AA2"/>
    <w:rsid w:val="009B6B4F"/>
    <w:rsid w:val="009C0327"/>
    <w:rsid w:val="009C0BAD"/>
    <w:rsid w:val="009C0F2E"/>
    <w:rsid w:val="009C0FDD"/>
    <w:rsid w:val="009C125C"/>
    <w:rsid w:val="009C2F7A"/>
    <w:rsid w:val="009C33F6"/>
    <w:rsid w:val="009C34EA"/>
    <w:rsid w:val="009C3BC8"/>
    <w:rsid w:val="009C4329"/>
    <w:rsid w:val="009C43DF"/>
    <w:rsid w:val="009C45EC"/>
    <w:rsid w:val="009C48B5"/>
    <w:rsid w:val="009C4FE0"/>
    <w:rsid w:val="009C56D9"/>
    <w:rsid w:val="009C6570"/>
    <w:rsid w:val="009C725C"/>
    <w:rsid w:val="009C7723"/>
    <w:rsid w:val="009C7812"/>
    <w:rsid w:val="009C78FD"/>
    <w:rsid w:val="009C7C1B"/>
    <w:rsid w:val="009C7C20"/>
    <w:rsid w:val="009C7DCC"/>
    <w:rsid w:val="009D0FA0"/>
    <w:rsid w:val="009D105B"/>
    <w:rsid w:val="009D17B7"/>
    <w:rsid w:val="009D1921"/>
    <w:rsid w:val="009D2118"/>
    <w:rsid w:val="009D2294"/>
    <w:rsid w:val="009D22CC"/>
    <w:rsid w:val="009D2505"/>
    <w:rsid w:val="009D2672"/>
    <w:rsid w:val="009D29E0"/>
    <w:rsid w:val="009D2A0B"/>
    <w:rsid w:val="009D2B72"/>
    <w:rsid w:val="009D2F7F"/>
    <w:rsid w:val="009D39D0"/>
    <w:rsid w:val="009D42AC"/>
    <w:rsid w:val="009D43EB"/>
    <w:rsid w:val="009D45AC"/>
    <w:rsid w:val="009D4EB9"/>
    <w:rsid w:val="009D52ED"/>
    <w:rsid w:val="009D5A4F"/>
    <w:rsid w:val="009D5B0B"/>
    <w:rsid w:val="009D70A7"/>
    <w:rsid w:val="009D73C5"/>
    <w:rsid w:val="009D76E8"/>
    <w:rsid w:val="009D79E4"/>
    <w:rsid w:val="009D7BB8"/>
    <w:rsid w:val="009D7FD9"/>
    <w:rsid w:val="009E040D"/>
    <w:rsid w:val="009E0596"/>
    <w:rsid w:val="009E0910"/>
    <w:rsid w:val="009E13F3"/>
    <w:rsid w:val="009E168D"/>
    <w:rsid w:val="009E1C32"/>
    <w:rsid w:val="009E2ADF"/>
    <w:rsid w:val="009E2DA2"/>
    <w:rsid w:val="009E318F"/>
    <w:rsid w:val="009E3B5D"/>
    <w:rsid w:val="009E3B6B"/>
    <w:rsid w:val="009E3F2F"/>
    <w:rsid w:val="009E4CF2"/>
    <w:rsid w:val="009E4DF6"/>
    <w:rsid w:val="009E53C1"/>
    <w:rsid w:val="009E55E2"/>
    <w:rsid w:val="009E5655"/>
    <w:rsid w:val="009E6216"/>
    <w:rsid w:val="009E6531"/>
    <w:rsid w:val="009E65CD"/>
    <w:rsid w:val="009E6799"/>
    <w:rsid w:val="009E7659"/>
    <w:rsid w:val="009E7C18"/>
    <w:rsid w:val="009E7F5E"/>
    <w:rsid w:val="009F00ED"/>
    <w:rsid w:val="009F08FF"/>
    <w:rsid w:val="009F0B05"/>
    <w:rsid w:val="009F0D6B"/>
    <w:rsid w:val="009F0E94"/>
    <w:rsid w:val="009F0EFF"/>
    <w:rsid w:val="009F16FD"/>
    <w:rsid w:val="009F1851"/>
    <w:rsid w:val="009F1FAF"/>
    <w:rsid w:val="009F218A"/>
    <w:rsid w:val="009F2E8E"/>
    <w:rsid w:val="009F383B"/>
    <w:rsid w:val="009F42AE"/>
    <w:rsid w:val="009F4CD5"/>
    <w:rsid w:val="009F4E16"/>
    <w:rsid w:val="009F509D"/>
    <w:rsid w:val="009F5212"/>
    <w:rsid w:val="009F539A"/>
    <w:rsid w:val="009F5447"/>
    <w:rsid w:val="009F5A42"/>
    <w:rsid w:val="009F5ABA"/>
    <w:rsid w:val="009F5D58"/>
    <w:rsid w:val="009F5EA8"/>
    <w:rsid w:val="009F6B62"/>
    <w:rsid w:val="009F6F75"/>
    <w:rsid w:val="009F73D0"/>
    <w:rsid w:val="009F751F"/>
    <w:rsid w:val="009F78D2"/>
    <w:rsid w:val="009F7AE0"/>
    <w:rsid w:val="00A00197"/>
    <w:rsid w:val="00A00288"/>
    <w:rsid w:val="00A00DA0"/>
    <w:rsid w:val="00A00FB6"/>
    <w:rsid w:val="00A0118E"/>
    <w:rsid w:val="00A045AA"/>
    <w:rsid w:val="00A04930"/>
    <w:rsid w:val="00A04DCF"/>
    <w:rsid w:val="00A04FDA"/>
    <w:rsid w:val="00A05010"/>
    <w:rsid w:val="00A05A62"/>
    <w:rsid w:val="00A05AA6"/>
    <w:rsid w:val="00A05BCD"/>
    <w:rsid w:val="00A05E7D"/>
    <w:rsid w:val="00A0609D"/>
    <w:rsid w:val="00A0652D"/>
    <w:rsid w:val="00A069E8"/>
    <w:rsid w:val="00A06FF6"/>
    <w:rsid w:val="00A07070"/>
    <w:rsid w:val="00A07B6D"/>
    <w:rsid w:val="00A07CE5"/>
    <w:rsid w:val="00A07D9C"/>
    <w:rsid w:val="00A07FDA"/>
    <w:rsid w:val="00A10254"/>
    <w:rsid w:val="00A113C8"/>
    <w:rsid w:val="00A11892"/>
    <w:rsid w:val="00A11DAF"/>
    <w:rsid w:val="00A123DC"/>
    <w:rsid w:val="00A124C9"/>
    <w:rsid w:val="00A124F1"/>
    <w:rsid w:val="00A12679"/>
    <w:rsid w:val="00A1278F"/>
    <w:rsid w:val="00A12EB2"/>
    <w:rsid w:val="00A13D56"/>
    <w:rsid w:val="00A13F54"/>
    <w:rsid w:val="00A14820"/>
    <w:rsid w:val="00A14B03"/>
    <w:rsid w:val="00A14B16"/>
    <w:rsid w:val="00A152A3"/>
    <w:rsid w:val="00A152F1"/>
    <w:rsid w:val="00A15415"/>
    <w:rsid w:val="00A15957"/>
    <w:rsid w:val="00A15A8E"/>
    <w:rsid w:val="00A15CCB"/>
    <w:rsid w:val="00A15D50"/>
    <w:rsid w:val="00A162EE"/>
    <w:rsid w:val="00A16D4B"/>
    <w:rsid w:val="00A1707E"/>
    <w:rsid w:val="00A17925"/>
    <w:rsid w:val="00A17B32"/>
    <w:rsid w:val="00A17C58"/>
    <w:rsid w:val="00A20AA0"/>
    <w:rsid w:val="00A20BE9"/>
    <w:rsid w:val="00A2134D"/>
    <w:rsid w:val="00A21472"/>
    <w:rsid w:val="00A21491"/>
    <w:rsid w:val="00A2199A"/>
    <w:rsid w:val="00A21ADF"/>
    <w:rsid w:val="00A21E7A"/>
    <w:rsid w:val="00A22145"/>
    <w:rsid w:val="00A22263"/>
    <w:rsid w:val="00A22291"/>
    <w:rsid w:val="00A22597"/>
    <w:rsid w:val="00A22852"/>
    <w:rsid w:val="00A22E1F"/>
    <w:rsid w:val="00A23487"/>
    <w:rsid w:val="00A24051"/>
    <w:rsid w:val="00A24238"/>
    <w:rsid w:val="00A24692"/>
    <w:rsid w:val="00A24AB3"/>
    <w:rsid w:val="00A253DE"/>
    <w:rsid w:val="00A2557B"/>
    <w:rsid w:val="00A25C71"/>
    <w:rsid w:val="00A25FA8"/>
    <w:rsid w:val="00A261DF"/>
    <w:rsid w:val="00A262EE"/>
    <w:rsid w:val="00A267FE"/>
    <w:rsid w:val="00A2685C"/>
    <w:rsid w:val="00A269FA"/>
    <w:rsid w:val="00A27591"/>
    <w:rsid w:val="00A2797E"/>
    <w:rsid w:val="00A27AC0"/>
    <w:rsid w:val="00A30A75"/>
    <w:rsid w:val="00A30CFC"/>
    <w:rsid w:val="00A30D2D"/>
    <w:rsid w:val="00A310C1"/>
    <w:rsid w:val="00A31692"/>
    <w:rsid w:val="00A31771"/>
    <w:rsid w:val="00A3196D"/>
    <w:rsid w:val="00A31CCE"/>
    <w:rsid w:val="00A3249D"/>
    <w:rsid w:val="00A327B1"/>
    <w:rsid w:val="00A3286C"/>
    <w:rsid w:val="00A33131"/>
    <w:rsid w:val="00A33263"/>
    <w:rsid w:val="00A33337"/>
    <w:rsid w:val="00A33828"/>
    <w:rsid w:val="00A33CD1"/>
    <w:rsid w:val="00A33CE6"/>
    <w:rsid w:val="00A340DB"/>
    <w:rsid w:val="00A346BE"/>
    <w:rsid w:val="00A349F7"/>
    <w:rsid w:val="00A34AAC"/>
    <w:rsid w:val="00A34BB3"/>
    <w:rsid w:val="00A34CAE"/>
    <w:rsid w:val="00A3577F"/>
    <w:rsid w:val="00A359D8"/>
    <w:rsid w:val="00A35A79"/>
    <w:rsid w:val="00A35BCE"/>
    <w:rsid w:val="00A36F59"/>
    <w:rsid w:val="00A37230"/>
    <w:rsid w:val="00A3752B"/>
    <w:rsid w:val="00A37632"/>
    <w:rsid w:val="00A40792"/>
    <w:rsid w:val="00A408F4"/>
    <w:rsid w:val="00A40B3C"/>
    <w:rsid w:val="00A418C9"/>
    <w:rsid w:val="00A41A18"/>
    <w:rsid w:val="00A425D5"/>
    <w:rsid w:val="00A42645"/>
    <w:rsid w:val="00A42717"/>
    <w:rsid w:val="00A42947"/>
    <w:rsid w:val="00A42A19"/>
    <w:rsid w:val="00A4341A"/>
    <w:rsid w:val="00A4345A"/>
    <w:rsid w:val="00A43792"/>
    <w:rsid w:val="00A43BA1"/>
    <w:rsid w:val="00A43EEA"/>
    <w:rsid w:val="00A44605"/>
    <w:rsid w:val="00A44AEA"/>
    <w:rsid w:val="00A4519C"/>
    <w:rsid w:val="00A453F4"/>
    <w:rsid w:val="00A458A8"/>
    <w:rsid w:val="00A45E25"/>
    <w:rsid w:val="00A4617F"/>
    <w:rsid w:val="00A461C6"/>
    <w:rsid w:val="00A462F2"/>
    <w:rsid w:val="00A466F0"/>
    <w:rsid w:val="00A47645"/>
    <w:rsid w:val="00A477B9"/>
    <w:rsid w:val="00A479E3"/>
    <w:rsid w:val="00A47D3E"/>
    <w:rsid w:val="00A47E91"/>
    <w:rsid w:val="00A47EAE"/>
    <w:rsid w:val="00A5003C"/>
    <w:rsid w:val="00A50248"/>
    <w:rsid w:val="00A50550"/>
    <w:rsid w:val="00A5076B"/>
    <w:rsid w:val="00A50E13"/>
    <w:rsid w:val="00A50F2D"/>
    <w:rsid w:val="00A50F67"/>
    <w:rsid w:val="00A510D5"/>
    <w:rsid w:val="00A5157A"/>
    <w:rsid w:val="00A51CE0"/>
    <w:rsid w:val="00A52506"/>
    <w:rsid w:val="00A52663"/>
    <w:rsid w:val="00A52B9F"/>
    <w:rsid w:val="00A53D1A"/>
    <w:rsid w:val="00A53FD1"/>
    <w:rsid w:val="00A549F7"/>
    <w:rsid w:val="00A54BEB"/>
    <w:rsid w:val="00A55661"/>
    <w:rsid w:val="00A55E26"/>
    <w:rsid w:val="00A560AD"/>
    <w:rsid w:val="00A56109"/>
    <w:rsid w:val="00A561AF"/>
    <w:rsid w:val="00A56B5F"/>
    <w:rsid w:val="00A5712B"/>
    <w:rsid w:val="00A578CE"/>
    <w:rsid w:val="00A57FF3"/>
    <w:rsid w:val="00A600A8"/>
    <w:rsid w:val="00A60118"/>
    <w:rsid w:val="00A60832"/>
    <w:rsid w:val="00A60F1D"/>
    <w:rsid w:val="00A613C1"/>
    <w:rsid w:val="00A61E10"/>
    <w:rsid w:val="00A61EC3"/>
    <w:rsid w:val="00A6245E"/>
    <w:rsid w:val="00A6283D"/>
    <w:rsid w:val="00A62843"/>
    <w:rsid w:val="00A62AB6"/>
    <w:rsid w:val="00A63459"/>
    <w:rsid w:val="00A6349B"/>
    <w:rsid w:val="00A63916"/>
    <w:rsid w:val="00A63D57"/>
    <w:rsid w:val="00A63EC5"/>
    <w:rsid w:val="00A642BB"/>
    <w:rsid w:val="00A6454B"/>
    <w:rsid w:val="00A647E8"/>
    <w:rsid w:val="00A64BB8"/>
    <w:rsid w:val="00A6592C"/>
    <w:rsid w:val="00A65BAB"/>
    <w:rsid w:val="00A65FCF"/>
    <w:rsid w:val="00A66018"/>
    <w:rsid w:val="00A662CF"/>
    <w:rsid w:val="00A66463"/>
    <w:rsid w:val="00A66868"/>
    <w:rsid w:val="00A66AA7"/>
    <w:rsid w:val="00A66DEE"/>
    <w:rsid w:val="00A67020"/>
    <w:rsid w:val="00A671BB"/>
    <w:rsid w:val="00A67392"/>
    <w:rsid w:val="00A708D8"/>
    <w:rsid w:val="00A70BE9"/>
    <w:rsid w:val="00A7100F"/>
    <w:rsid w:val="00A71468"/>
    <w:rsid w:val="00A71660"/>
    <w:rsid w:val="00A7188A"/>
    <w:rsid w:val="00A71BC0"/>
    <w:rsid w:val="00A72014"/>
    <w:rsid w:val="00A72E1E"/>
    <w:rsid w:val="00A73E4B"/>
    <w:rsid w:val="00A73E72"/>
    <w:rsid w:val="00A73F6F"/>
    <w:rsid w:val="00A7401C"/>
    <w:rsid w:val="00A74292"/>
    <w:rsid w:val="00A74567"/>
    <w:rsid w:val="00A74ED8"/>
    <w:rsid w:val="00A75107"/>
    <w:rsid w:val="00A751EF"/>
    <w:rsid w:val="00A75607"/>
    <w:rsid w:val="00A7575B"/>
    <w:rsid w:val="00A75833"/>
    <w:rsid w:val="00A75998"/>
    <w:rsid w:val="00A759B4"/>
    <w:rsid w:val="00A76218"/>
    <w:rsid w:val="00A7678A"/>
    <w:rsid w:val="00A7688B"/>
    <w:rsid w:val="00A774E5"/>
    <w:rsid w:val="00A775E3"/>
    <w:rsid w:val="00A77889"/>
    <w:rsid w:val="00A77890"/>
    <w:rsid w:val="00A77C76"/>
    <w:rsid w:val="00A77CBE"/>
    <w:rsid w:val="00A80222"/>
    <w:rsid w:val="00A8031C"/>
    <w:rsid w:val="00A803A1"/>
    <w:rsid w:val="00A805C9"/>
    <w:rsid w:val="00A80A20"/>
    <w:rsid w:val="00A80B5B"/>
    <w:rsid w:val="00A80D2D"/>
    <w:rsid w:val="00A80F62"/>
    <w:rsid w:val="00A81A60"/>
    <w:rsid w:val="00A820B9"/>
    <w:rsid w:val="00A82B64"/>
    <w:rsid w:val="00A82D2E"/>
    <w:rsid w:val="00A83115"/>
    <w:rsid w:val="00A83617"/>
    <w:rsid w:val="00A8372C"/>
    <w:rsid w:val="00A84251"/>
    <w:rsid w:val="00A847AD"/>
    <w:rsid w:val="00A84A3A"/>
    <w:rsid w:val="00A84C1E"/>
    <w:rsid w:val="00A84C4C"/>
    <w:rsid w:val="00A84E34"/>
    <w:rsid w:val="00A84F2D"/>
    <w:rsid w:val="00A8550D"/>
    <w:rsid w:val="00A85A9E"/>
    <w:rsid w:val="00A86036"/>
    <w:rsid w:val="00A8608B"/>
    <w:rsid w:val="00A86483"/>
    <w:rsid w:val="00A865BA"/>
    <w:rsid w:val="00A865F0"/>
    <w:rsid w:val="00A87794"/>
    <w:rsid w:val="00A87CCD"/>
    <w:rsid w:val="00A87E84"/>
    <w:rsid w:val="00A909FC"/>
    <w:rsid w:val="00A90B49"/>
    <w:rsid w:val="00A91135"/>
    <w:rsid w:val="00A921B3"/>
    <w:rsid w:val="00A923C9"/>
    <w:rsid w:val="00A92A26"/>
    <w:rsid w:val="00A93465"/>
    <w:rsid w:val="00A93FB9"/>
    <w:rsid w:val="00A94DBC"/>
    <w:rsid w:val="00A94FAA"/>
    <w:rsid w:val="00A95117"/>
    <w:rsid w:val="00A9511B"/>
    <w:rsid w:val="00A954E5"/>
    <w:rsid w:val="00A95657"/>
    <w:rsid w:val="00A957B0"/>
    <w:rsid w:val="00A95EAA"/>
    <w:rsid w:val="00A96CD3"/>
    <w:rsid w:val="00A96FE8"/>
    <w:rsid w:val="00A97608"/>
    <w:rsid w:val="00A978DF"/>
    <w:rsid w:val="00A97DF0"/>
    <w:rsid w:val="00AA0CF9"/>
    <w:rsid w:val="00AA0F92"/>
    <w:rsid w:val="00AA1005"/>
    <w:rsid w:val="00AA11A2"/>
    <w:rsid w:val="00AA1397"/>
    <w:rsid w:val="00AA17FB"/>
    <w:rsid w:val="00AA18BA"/>
    <w:rsid w:val="00AA20B0"/>
    <w:rsid w:val="00AA2A22"/>
    <w:rsid w:val="00AA2B25"/>
    <w:rsid w:val="00AA37B5"/>
    <w:rsid w:val="00AA3D24"/>
    <w:rsid w:val="00AA4F0E"/>
    <w:rsid w:val="00AA6115"/>
    <w:rsid w:val="00AA64EF"/>
    <w:rsid w:val="00AA65C9"/>
    <w:rsid w:val="00AA6A63"/>
    <w:rsid w:val="00AA701A"/>
    <w:rsid w:val="00AA702E"/>
    <w:rsid w:val="00AA7483"/>
    <w:rsid w:val="00AA79EB"/>
    <w:rsid w:val="00AA7D7C"/>
    <w:rsid w:val="00AB019C"/>
    <w:rsid w:val="00AB0BA8"/>
    <w:rsid w:val="00AB0F42"/>
    <w:rsid w:val="00AB10C3"/>
    <w:rsid w:val="00AB142A"/>
    <w:rsid w:val="00AB1496"/>
    <w:rsid w:val="00AB14D2"/>
    <w:rsid w:val="00AB17DC"/>
    <w:rsid w:val="00AB1962"/>
    <w:rsid w:val="00AB1A64"/>
    <w:rsid w:val="00AB1D1D"/>
    <w:rsid w:val="00AB1F61"/>
    <w:rsid w:val="00AB1F9F"/>
    <w:rsid w:val="00AB2B35"/>
    <w:rsid w:val="00AB2F0E"/>
    <w:rsid w:val="00AB35C0"/>
    <w:rsid w:val="00AB378B"/>
    <w:rsid w:val="00AB39EA"/>
    <w:rsid w:val="00AB3ADC"/>
    <w:rsid w:val="00AB41A3"/>
    <w:rsid w:val="00AB41F4"/>
    <w:rsid w:val="00AB4346"/>
    <w:rsid w:val="00AB4B3E"/>
    <w:rsid w:val="00AB4FF3"/>
    <w:rsid w:val="00AB525C"/>
    <w:rsid w:val="00AB571F"/>
    <w:rsid w:val="00AB5BD4"/>
    <w:rsid w:val="00AB62D1"/>
    <w:rsid w:val="00AB669F"/>
    <w:rsid w:val="00AB66A4"/>
    <w:rsid w:val="00AB6745"/>
    <w:rsid w:val="00AB6DEA"/>
    <w:rsid w:val="00AB7612"/>
    <w:rsid w:val="00AB788D"/>
    <w:rsid w:val="00AB7CE9"/>
    <w:rsid w:val="00AC0033"/>
    <w:rsid w:val="00AC02FF"/>
    <w:rsid w:val="00AC0461"/>
    <w:rsid w:val="00AC0470"/>
    <w:rsid w:val="00AC057D"/>
    <w:rsid w:val="00AC0655"/>
    <w:rsid w:val="00AC1191"/>
    <w:rsid w:val="00AC14F2"/>
    <w:rsid w:val="00AC1E92"/>
    <w:rsid w:val="00AC26B1"/>
    <w:rsid w:val="00AC33B7"/>
    <w:rsid w:val="00AC33F1"/>
    <w:rsid w:val="00AC373E"/>
    <w:rsid w:val="00AC3758"/>
    <w:rsid w:val="00AC3BB6"/>
    <w:rsid w:val="00AC3C5C"/>
    <w:rsid w:val="00AC4C49"/>
    <w:rsid w:val="00AC4C60"/>
    <w:rsid w:val="00AC5872"/>
    <w:rsid w:val="00AC5B95"/>
    <w:rsid w:val="00AC5F3F"/>
    <w:rsid w:val="00AC5F56"/>
    <w:rsid w:val="00AC6B32"/>
    <w:rsid w:val="00AC6FFF"/>
    <w:rsid w:val="00AC717C"/>
    <w:rsid w:val="00AC7569"/>
    <w:rsid w:val="00AC7652"/>
    <w:rsid w:val="00AC7B02"/>
    <w:rsid w:val="00AC7EE4"/>
    <w:rsid w:val="00AD0310"/>
    <w:rsid w:val="00AD0697"/>
    <w:rsid w:val="00AD0A57"/>
    <w:rsid w:val="00AD1F25"/>
    <w:rsid w:val="00AD2234"/>
    <w:rsid w:val="00AD2996"/>
    <w:rsid w:val="00AD2CCA"/>
    <w:rsid w:val="00AD2D22"/>
    <w:rsid w:val="00AD3C26"/>
    <w:rsid w:val="00AD44AA"/>
    <w:rsid w:val="00AD4DCB"/>
    <w:rsid w:val="00AD5009"/>
    <w:rsid w:val="00AD5303"/>
    <w:rsid w:val="00AD5614"/>
    <w:rsid w:val="00AD5848"/>
    <w:rsid w:val="00AD6186"/>
    <w:rsid w:val="00AD644C"/>
    <w:rsid w:val="00AD6769"/>
    <w:rsid w:val="00AD6F3D"/>
    <w:rsid w:val="00AD6F93"/>
    <w:rsid w:val="00AD7260"/>
    <w:rsid w:val="00AD73D8"/>
    <w:rsid w:val="00AE04FF"/>
    <w:rsid w:val="00AE0B35"/>
    <w:rsid w:val="00AE0D49"/>
    <w:rsid w:val="00AE18EB"/>
    <w:rsid w:val="00AE1951"/>
    <w:rsid w:val="00AE1A2D"/>
    <w:rsid w:val="00AE1BC2"/>
    <w:rsid w:val="00AE26E4"/>
    <w:rsid w:val="00AE31F5"/>
    <w:rsid w:val="00AE3561"/>
    <w:rsid w:val="00AE3780"/>
    <w:rsid w:val="00AE3A11"/>
    <w:rsid w:val="00AE3C40"/>
    <w:rsid w:val="00AE40BD"/>
    <w:rsid w:val="00AE411E"/>
    <w:rsid w:val="00AE4386"/>
    <w:rsid w:val="00AE4A94"/>
    <w:rsid w:val="00AE5520"/>
    <w:rsid w:val="00AE59CE"/>
    <w:rsid w:val="00AE6232"/>
    <w:rsid w:val="00AE6245"/>
    <w:rsid w:val="00AE6428"/>
    <w:rsid w:val="00AE6CCD"/>
    <w:rsid w:val="00AE70F8"/>
    <w:rsid w:val="00AE727E"/>
    <w:rsid w:val="00AE7280"/>
    <w:rsid w:val="00AE7793"/>
    <w:rsid w:val="00AE796F"/>
    <w:rsid w:val="00AE7FA3"/>
    <w:rsid w:val="00AE7FD8"/>
    <w:rsid w:val="00AF001D"/>
    <w:rsid w:val="00AF01BA"/>
    <w:rsid w:val="00AF05D8"/>
    <w:rsid w:val="00AF064A"/>
    <w:rsid w:val="00AF083D"/>
    <w:rsid w:val="00AF0D41"/>
    <w:rsid w:val="00AF12BB"/>
    <w:rsid w:val="00AF13F1"/>
    <w:rsid w:val="00AF182F"/>
    <w:rsid w:val="00AF227F"/>
    <w:rsid w:val="00AF22BF"/>
    <w:rsid w:val="00AF22DF"/>
    <w:rsid w:val="00AF250B"/>
    <w:rsid w:val="00AF3162"/>
    <w:rsid w:val="00AF3B9D"/>
    <w:rsid w:val="00AF41A6"/>
    <w:rsid w:val="00AF43A0"/>
    <w:rsid w:val="00AF4A43"/>
    <w:rsid w:val="00AF4D94"/>
    <w:rsid w:val="00AF5433"/>
    <w:rsid w:val="00AF5593"/>
    <w:rsid w:val="00AF5B6C"/>
    <w:rsid w:val="00AF6329"/>
    <w:rsid w:val="00AF636F"/>
    <w:rsid w:val="00AF6507"/>
    <w:rsid w:val="00AF667F"/>
    <w:rsid w:val="00AF66B1"/>
    <w:rsid w:val="00AF7047"/>
    <w:rsid w:val="00AF71A0"/>
    <w:rsid w:val="00AF7A59"/>
    <w:rsid w:val="00B00305"/>
    <w:rsid w:val="00B004E1"/>
    <w:rsid w:val="00B004F9"/>
    <w:rsid w:val="00B00A7B"/>
    <w:rsid w:val="00B00EA5"/>
    <w:rsid w:val="00B0104A"/>
    <w:rsid w:val="00B011DC"/>
    <w:rsid w:val="00B017AA"/>
    <w:rsid w:val="00B02089"/>
    <w:rsid w:val="00B0226F"/>
    <w:rsid w:val="00B0261E"/>
    <w:rsid w:val="00B0375E"/>
    <w:rsid w:val="00B03A4B"/>
    <w:rsid w:val="00B03CF6"/>
    <w:rsid w:val="00B043B1"/>
    <w:rsid w:val="00B0485B"/>
    <w:rsid w:val="00B04A24"/>
    <w:rsid w:val="00B056F4"/>
    <w:rsid w:val="00B0584F"/>
    <w:rsid w:val="00B05B7C"/>
    <w:rsid w:val="00B05D5B"/>
    <w:rsid w:val="00B05DA7"/>
    <w:rsid w:val="00B06DFF"/>
    <w:rsid w:val="00B075C9"/>
    <w:rsid w:val="00B075E0"/>
    <w:rsid w:val="00B07654"/>
    <w:rsid w:val="00B077C6"/>
    <w:rsid w:val="00B07912"/>
    <w:rsid w:val="00B07BE8"/>
    <w:rsid w:val="00B07E10"/>
    <w:rsid w:val="00B10278"/>
    <w:rsid w:val="00B10A4B"/>
    <w:rsid w:val="00B1232B"/>
    <w:rsid w:val="00B1239E"/>
    <w:rsid w:val="00B125A4"/>
    <w:rsid w:val="00B12962"/>
    <w:rsid w:val="00B12AAB"/>
    <w:rsid w:val="00B13B26"/>
    <w:rsid w:val="00B13CC2"/>
    <w:rsid w:val="00B149EB"/>
    <w:rsid w:val="00B14CC5"/>
    <w:rsid w:val="00B1558C"/>
    <w:rsid w:val="00B1559B"/>
    <w:rsid w:val="00B15683"/>
    <w:rsid w:val="00B157C5"/>
    <w:rsid w:val="00B15C27"/>
    <w:rsid w:val="00B16142"/>
    <w:rsid w:val="00B16319"/>
    <w:rsid w:val="00B16ACA"/>
    <w:rsid w:val="00B171DA"/>
    <w:rsid w:val="00B174F4"/>
    <w:rsid w:val="00B17583"/>
    <w:rsid w:val="00B17B41"/>
    <w:rsid w:val="00B17D82"/>
    <w:rsid w:val="00B17E71"/>
    <w:rsid w:val="00B20212"/>
    <w:rsid w:val="00B20A68"/>
    <w:rsid w:val="00B20C32"/>
    <w:rsid w:val="00B20EB4"/>
    <w:rsid w:val="00B21622"/>
    <w:rsid w:val="00B2194E"/>
    <w:rsid w:val="00B22496"/>
    <w:rsid w:val="00B2250E"/>
    <w:rsid w:val="00B23ED8"/>
    <w:rsid w:val="00B2462F"/>
    <w:rsid w:val="00B24891"/>
    <w:rsid w:val="00B24B1C"/>
    <w:rsid w:val="00B256EB"/>
    <w:rsid w:val="00B256F0"/>
    <w:rsid w:val="00B25D27"/>
    <w:rsid w:val="00B25FDC"/>
    <w:rsid w:val="00B2643A"/>
    <w:rsid w:val="00B267E1"/>
    <w:rsid w:val="00B271A9"/>
    <w:rsid w:val="00B27739"/>
    <w:rsid w:val="00B277C7"/>
    <w:rsid w:val="00B27972"/>
    <w:rsid w:val="00B27A42"/>
    <w:rsid w:val="00B27A5C"/>
    <w:rsid w:val="00B27BE2"/>
    <w:rsid w:val="00B27DF6"/>
    <w:rsid w:val="00B27EB0"/>
    <w:rsid w:val="00B27F50"/>
    <w:rsid w:val="00B30706"/>
    <w:rsid w:val="00B30FBC"/>
    <w:rsid w:val="00B31F98"/>
    <w:rsid w:val="00B324A7"/>
    <w:rsid w:val="00B330C5"/>
    <w:rsid w:val="00B333E8"/>
    <w:rsid w:val="00B3405C"/>
    <w:rsid w:val="00B34329"/>
    <w:rsid w:val="00B344DD"/>
    <w:rsid w:val="00B3454F"/>
    <w:rsid w:val="00B345DF"/>
    <w:rsid w:val="00B34E64"/>
    <w:rsid w:val="00B35033"/>
    <w:rsid w:val="00B35A61"/>
    <w:rsid w:val="00B3662B"/>
    <w:rsid w:val="00B3662F"/>
    <w:rsid w:val="00B36A7C"/>
    <w:rsid w:val="00B37077"/>
    <w:rsid w:val="00B40A4A"/>
    <w:rsid w:val="00B40B1B"/>
    <w:rsid w:val="00B4135C"/>
    <w:rsid w:val="00B4167B"/>
    <w:rsid w:val="00B423DD"/>
    <w:rsid w:val="00B42432"/>
    <w:rsid w:val="00B42C6C"/>
    <w:rsid w:val="00B4360D"/>
    <w:rsid w:val="00B436EA"/>
    <w:rsid w:val="00B43936"/>
    <w:rsid w:val="00B4466A"/>
    <w:rsid w:val="00B448D0"/>
    <w:rsid w:val="00B44D28"/>
    <w:rsid w:val="00B4525B"/>
    <w:rsid w:val="00B45DB2"/>
    <w:rsid w:val="00B45E6B"/>
    <w:rsid w:val="00B46556"/>
    <w:rsid w:val="00B46595"/>
    <w:rsid w:val="00B46C63"/>
    <w:rsid w:val="00B476B9"/>
    <w:rsid w:val="00B476F1"/>
    <w:rsid w:val="00B47B35"/>
    <w:rsid w:val="00B50125"/>
    <w:rsid w:val="00B502C3"/>
    <w:rsid w:val="00B502E3"/>
    <w:rsid w:val="00B50ABD"/>
    <w:rsid w:val="00B50F7E"/>
    <w:rsid w:val="00B5130F"/>
    <w:rsid w:val="00B51564"/>
    <w:rsid w:val="00B5298A"/>
    <w:rsid w:val="00B538EF"/>
    <w:rsid w:val="00B53B50"/>
    <w:rsid w:val="00B53C42"/>
    <w:rsid w:val="00B53D47"/>
    <w:rsid w:val="00B53E12"/>
    <w:rsid w:val="00B54C63"/>
    <w:rsid w:val="00B5567F"/>
    <w:rsid w:val="00B557E4"/>
    <w:rsid w:val="00B558AF"/>
    <w:rsid w:val="00B558C7"/>
    <w:rsid w:val="00B55900"/>
    <w:rsid w:val="00B56035"/>
    <w:rsid w:val="00B56D4A"/>
    <w:rsid w:val="00B56D99"/>
    <w:rsid w:val="00B56E6C"/>
    <w:rsid w:val="00B57606"/>
    <w:rsid w:val="00B578F0"/>
    <w:rsid w:val="00B57A2C"/>
    <w:rsid w:val="00B57DC6"/>
    <w:rsid w:val="00B601D6"/>
    <w:rsid w:val="00B60660"/>
    <w:rsid w:val="00B6088D"/>
    <w:rsid w:val="00B6089E"/>
    <w:rsid w:val="00B60AFB"/>
    <w:rsid w:val="00B60BBE"/>
    <w:rsid w:val="00B60E73"/>
    <w:rsid w:val="00B610A2"/>
    <w:rsid w:val="00B619C5"/>
    <w:rsid w:val="00B624C8"/>
    <w:rsid w:val="00B6264B"/>
    <w:rsid w:val="00B62686"/>
    <w:rsid w:val="00B63138"/>
    <w:rsid w:val="00B64404"/>
    <w:rsid w:val="00B64895"/>
    <w:rsid w:val="00B648F7"/>
    <w:rsid w:val="00B65124"/>
    <w:rsid w:val="00B6527F"/>
    <w:rsid w:val="00B6608A"/>
    <w:rsid w:val="00B6662E"/>
    <w:rsid w:val="00B66E33"/>
    <w:rsid w:val="00B670CB"/>
    <w:rsid w:val="00B673AF"/>
    <w:rsid w:val="00B675A3"/>
    <w:rsid w:val="00B67A95"/>
    <w:rsid w:val="00B67C6C"/>
    <w:rsid w:val="00B70328"/>
    <w:rsid w:val="00B7132E"/>
    <w:rsid w:val="00B7177E"/>
    <w:rsid w:val="00B71D17"/>
    <w:rsid w:val="00B71E07"/>
    <w:rsid w:val="00B71E1B"/>
    <w:rsid w:val="00B71E3E"/>
    <w:rsid w:val="00B71F56"/>
    <w:rsid w:val="00B72FD9"/>
    <w:rsid w:val="00B73331"/>
    <w:rsid w:val="00B735C8"/>
    <w:rsid w:val="00B73BF0"/>
    <w:rsid w:val="00B749CD"/>
    <w:rsid w:val="00B74F44"/>
    <w:rsid w:val="00B750C8"/>
    <w:rsid w:val="00B7602C"/>
    <w:rsid w:val="00B76701"/>
    <w:rsid w:val="00B76761"/>
    <w:rsid w:val="00B775E2"/>
    <w:rsid w:val="00B77DD2"/>
    <w:rsid w:val="00B77ECD"/>
    <w:rsid w:val="00B800AD"/>
    <w:rsid w:val="00B803A6"/>
    <w:rsid w:val="00B80D7B"/>
    <w:rsid w:val="00B80EF8"/>
    <w:rsid w:val="00B80F89"/>
    <w:rsid w:val="00B81122"/>
    <w:rsid w:val="00B81969"/>
    <w:rsid w:val="00B81D9D"/>
    <w:rsid w:val="00B81DA1"/>
    <w:rsid w:val="00B821A5"/>
    <w:rsid w:val="00B82217"/>
    <w:rsid w:val="00B82B56"/>
    <w:rsid w:val="00B82C22"/>
    <w:rsid w:val="00B83510"/>
    <w:rsid w:val="00B83625"/>
    <w:rsid w:val="00B83D1E"/>
    <w:rsid w:val="00B842F0"/>
    <w:rsid w:val="00B84BF9"/>
    <w:rsid w:val="00B8500E"/>
    <w:rsid w:val="00B85960"/>
    <w:rsid w:val="00B85A42"/>
    <w:rsid w:val="00B8646B"/>
    <w:rsid w:val="00B86500"/>
    <w:rsid w:val="00B8660D"/>
    <w:rsid w:val="00B86CAC"/>
    <w:rsid w:val="00B90242"/>
    <w:rsid w:val="00B90A6F"/>
    <w:rsid w:val="00B90D17"/>
    <w:rsid w:val="00B90E37"/>
    <w:rsid w:val="00B90EB8"/>
    <w:rsid w:val="00B91C1A"/>
    <w:rsid w:val="00B923F1"/>
    <w:rsid w:val="00B9253D"/>
    <w:rsid w:val="00B9363A"/>
    <w:rsid w:val="00B93775"/>
    <w:rsid w:val="00B93B96"/>
    <w:rsid w:val="00B93C72"/>
    <w:rsid w:val="00B93EC1"/>
    <w:rsid w:val="00B94095"/>
    <w:rsid w:val="00B942CB"/>
    <w:rsid w:val="00B9444B"/>
    <w:rsid w:val="00B94779"/>
    <w:rsid w:val="00B9489B"/>
    <w:rsid w:val="00B94BB9"/>
    <w:rsid w:val="00B94C29"/>
    <w:rsid w:val="00B94CEE"/>
    <w:rsid w:val="00B95589"/>
    <w:rsid w:val="00B95B91"/>
    <w:rsid w:val="00B95F33"/>
    <w:rsid w:val="00B9673B"/>
    <w:rsid w:val="00B96ACA"/>
    <w:rsid w:val="00B96D34"/>
    <w:rsid w:val="00B96E99"/>
    <w:rsid w:val="00B97EF0"/>
    <w:rsid w:val="00B97F20"/>
    <w:rsid w:val="00BA0298"/>
    <w:rsid w:val="00BA060F"/>
    <w:rsid w:val="00BA072E"/>
    <w:rsid w:val="00BA0B0C"/>
    <w:rsid w:val="00BA1648"/>
    <w:rsid w:val="00BA1C11"/>
    <w:rsid w:val="00BA1C87"/>
    <w:rsid w:val="00BA27A3"/>
    <w:rsid w:val="00BA2BB6"/>
    <w:rsid w:val="00BA35F1"/>
    <w:rsid w:val="00BA380A"/>
    <w:rsid w:val="00BA3D0C"/>
    <w:rsid w:val="00BA3E45"/>
    <w:rsid w:val="00BA42EF"/>
    <w:rsid w:val="00BA465E"/>
    <w:rsid w:val="00BA496F"/>
    <w:rsid w:val="00BA49F2"/>
    <w:rsid w:val="00BA533F"/>
    <w:rsid w:val="00BA595B"/>
    <w:rsid w:val="00BA5A3A"/>
    <w:rsid w:val="00BA5F22"/>
    <w:rsid w:val="00BA60B3"/>
    <w:rsid w:val="00BA65B3"/>
    <w:rsid w:val="00BA6857"/>
    <w:rsid w:val="00BA6A98"/>
    <w:rsid w:val="00BA7132"/>
    <w:rsid w:val="00BA77A1"/>
    <w:rsid w:val="00BA7C3D"/>
    <w:rsid w:val="00BA7F30"/>
    <w:rsid w:val="00BB0449"/>
    <w:rsid w:val="00BB05B0"/>
    <w:rsid w:val="00BB1978"/>
    <w:rsid w:val="00BB1CA3"/>
    <w:rsid w:val="00BB2632"/>
    <w:rsid w:val="00BB2B76"/>
    <w:rsid w:val="00BB2D3C"/>
    <w:rsid w:val="00BB2FCA"/>
    <w:rsid w:val="00BB31A4"/>
    <w:rsid w:val="00BB3419"/>
    <w:rsid w:val="00BB4484"/>
    <w:rsid w:val="00BB4581"/>
    <w:rsid w:val="00BB486B"/>
    <w:rsid w:val="00BB4A09"/>
    <w:rsid w:val="00BB4B7C"/>
    <w:rsid w:val="00BB4D45"/>
    <w:rsid w:val="00BB51C3"/>
    <w:rsid w:val="00BB52C3"/>
    <w:rsid w:val="00BB53D0"/>
    <w:rsid w:val="00BB56D7"/>
    <w:rsid w:val="00BB5FC0"/>
    <w:rsid w:val="00BB6021"/>
    <w:rsid w:val="00BB6639"/>
    <w:rsid w:val="00BB67A4"/>
    <w:rsid w:val="00BB6E88"/>
    <w:rsid w:val="00BB6FC1"/>
    <w:rsid w:val="00BB6FE4"/>
    <w:rsid w:val="00BB7466"/>
    <w:rsid w:val="00BB76FB"/>
    <w:rsid w:val="00BB7B5A"/>
    <w:rsid w:val="00BB7BB2"/>
    <w:rsid w:val="00BC04A1"/>
    <w:rsid w:val="00BC07DC"/>
    <w:rsid w:val="00BC0982"/>
    <w:rsid w:val="00BC0CFF"/>
    <w:rsid w:val="00BC12D2"/>
    <w:rsid w:val="00BC1488"/>
    <w:rsid w:val="00BC1589"/>
    <w:rsid w:val="00BC16C6"/>
    <w:rsid w:val="00BC173C"/>
    <w:rsid w:val="00BC198C"/>
    <w:rsid w:val="00BC1B16"/>
    <w:rsid w:val="00BC1B6F"/>
    <w:rsid w:val="00BC1EFA"/>
    <w:rsid w:val="00BC1F6B"/>
    <w:rsid w:val="00BC214E"/>
    <w:rsid w:val="00BC323D"/>
    <w:rsid w:val="00BC324B"/>
    <w:rsid w:val="00BC33A0"/>
    <w:rsid w:val="00BC3A5A"/>
    <w:rsid w:val="00BC3B64"/>
    <w:rsid w:val="00BC459D"/>
    <w:rsid w:val="00BC4AC0"/>
    <w:rsid w:val="00BC4E82"/>
    <w:rsid w:val="00BC4F1A"/>
    <w:rsid w:val="00BC5AC4"/>
    <w:rsid w:val="00BC5C4E"/>
    <w:rsid w:val="00BC6AFB"/>
    <w:rsid w:val="00BC6C40"/>
    <w:rsid w:val="00BC6DAD"/>
    <w:rsid w:val="00BC6DDD"/>
    <w:rsid w:val="00BC725A"/>
    <w:rsid w:val="00BD0548"/>
    <w:rsid w:val="00BD0B05"/>
    <w:rsid w:val="00BD1020"/>
    <w:rsid w:val="00BD10C1"/>
    <w:rsid w:val="00BD174E"/>
    <w:rsid w:val="00BD17BF"/>
    <w:rsid w:val="00BD1855"/>
    <w:rsid w:val="00BD2300"/>
    <w:rsid w:val="00BD23F9"/>
    <w:rsid w:val="00BD27E4"/>
    <w:rsid w:val="00BD2A20"/>
    <w:rsid w:val="00BD2E10"/>
    <w:rsid w:val="00BD33E3"/>
    <w:rsid w:val="00BD34C4"/>
    <w:rsid w:val="00BD3A44"/>
    <w:rsid w:val="00BD3B06"/>
    <w:rsid w:val="00BD3D1E"/>
    <w:rsid w:val="00BD3ED2"/>
    <w:rsid w:val="00BD400C"/>
    <w:rsid w:val="00BD44DD"/>
    <w:rsid w:val="00BD45CC"/>
    <w:rsid w:val="00BD46FB"/>
    <w:rsid w:val="00BD523D"/>
    <w:rsid w:val="00BD52BE"/>
    <w:rsid w:val="00BD5E42"/>
    <w:rsid w:val="00BD61C9"/>
    <w:rsid w:val="00BD61FF"/>
    <w:rsid w:val="00BD64AB"/>
    <w:rsid w:val="00BD69AB"/>
    <w:rsid w:val="00BD7292"/>
    <w:rsid w:val="00BD75A2"/>
    <w:rsid w:val="00BD7745"/>
    <w:rsid w:val="00BD7791"/>
    <w:rsid w:val="00BD7F41"/>
    <w:rsid w:val="00BE0428"/>
    <w:rsid w:val="00BE1041"/>
    <w:rsid w:val="00BE24C2"/>
    <w:rsid w:val="00BE2936"/>
    <w:rsid w:val="00BE3B25"/>
    <w:rsid w:val="00BE3C69"/>
    <w:rsid w:val="00BE408A"/>
    <w:rsid w:val="00BE4445"/>
    <w:rsid w:val="00BE499C"/>
    <w:rsid w:val="00BE4AA1"/>
    <w:rsid w:val="00BE4E27"/>
    <w:rsid w:val="00BE56CC"/>
    <w:rsid w:val="00BE5849"/>
    <w:rsid w:val="00BE5939"/>
    <w:rsid w:val="00BE7BB7"/>
    <w:rsid w:val="00BE7E68"/>
    <w:rsid w:val="00BF0853"/>
    <w:rsid w:val="00BF0B31"/>
    <w:rsid w:val="00BF10FF"/>
    <w:rsid w:val="00BF1698"/>
    <w:rsid w:val="00BF1E66"/>
    <w:rsid w:val="00BF1EE0"/>
    <w:rsid w:val="00BF1F93"/>
    <w:rsid w:val="00BF2CA5"/>
    <w:rsid w:val="00BF33E1"/>
    <w:rsid w:val="00BF3516"/>
    <w:rsid w:val="00BF392C"/>
    <w:rsid w:val="00BF3E8F"/>
    <w:rsid w:val="00BF4696"/>
    <w:rsid w:val="00BF4AAE"/>
    <w:rsid w:val="00BF5206"/>
    <w:rsid w:val="00BF5DF9"/>
    <w:rsid w:val="00BF60EF"/>
    <w:rsid w:val="00BF6576"/>
    <w:rsid w:val="00BF668E"/>
    <w:rsid w:val="00BF6C00"/>
    <w:rsid w:val="00BF70B4"/>
    <w:rsid w:val="00BF7448"/>
    <w:rsid w:val="00BF7BF1"/>
    <w:rsid w:val="00BF7C7D"/>
    <w:rsid w:val="00BF7ED1"/>
    <w:rsid w:val="00C0018B"/>
    <w:rsid w:val="00C002E6"/>
    <w:rsid w:val="00C00AFA"/>
    <w:rsid w:val="00C01428"/>
    <w:rsid w:val="00C01472"/>
    <w:rsid w:val="00C01719"/>
    <w:rsid w:val="00C0198D"/>
    <w:rsid w:val="00C01AD3"/>
    <w:rsid w:val="00C01D05"/>
    <w:rsid w:val="00C02234"/>
    <w:rsid w:val="00C028C8"/>
    <w:rsid w:val="00C033AE"/>
    <w:rsid w:val="00C03E59"/>
    <w:rsid w:val="00C04260"/>
    <w:rsid w:val="00C043F5"/>
    <w:rsid w:val="00C0457A"/>
    <w:rsid w:val="00C04665"/>
    <w:rsid w:val="00C04760"/>
    <w:rsid w:val="00C04956"/>
    <w:rsid w:val="00C04E52"/>
    <w:rsid w:val="00C05785"/>
    <w:rsid w:val="00C05A71"/>
    <w:rsid w:val="00C06579"/>
    <w:rsid w:val="00C06653"/>
    <w:rsid w:val="00C06E3E"/>
    <w:rsid w:val="00C0736C"/>
    <w:rsid w:val="00C07AAF"/>
    <w:rsid w:val="00C07CF6"/>
    <w:rsid w:val="00C07F58"/>
    <w:rsid w:val="00C104D9"/>
    <w:rsid w:val="00C11181"/>
    <w:rsid w:val="00C1154D"/>
    <w:rsid w:val="00C115E3"/>
    <w:rsid w:val="00C119FB"/>
    <w:rsid w:val="00C12370"/>
    <w:rsid w:val="00C12966"/>
    <w:rsid w:val="00C12F19"/>
    <w:rsid w:val="00C13180"/>
    <w:rsid w:val="00C132E7"/>
    <w:rsid w:val="00C13773"/>
    <w:rsid w:val="00C1393B"/>
    <w:rsid w:val="00C13DA8"/>
    <w:rsid w:val="00C15241"/>
    <w:rsid w:val="00C155A3"/>
    <w:rsid w:val="00C15773"/>
    <w:rsid w:val="00C15B40"/>
    <w:rsid w:val="00C15C29"/>
    <w:rsid w:val="00C1657F"/>
    <w:rsid w:val="00C165CE"/>
    <w:rsid w:val="00C16B7A"/>
    <w:rsid w:val="00C16CA6"/>
    <w:rsid w:val="00C172BB"/>
    <w:rsid w:val="00C173F2"/>
    <w:rsid w:val="00C17658"/>
    <w:rsid w:val="00C17E32"/>
    <w:rsid w:val="00C20218"/>
    <w:rsid w:val="00C205DA"/>
    <w:rsid w:val="00C2067E"/>
    <w:rsid w:val="00C20B63"/>
    <w:rsid w:val="00C20DA4"/>
    <w:rsid w:val="00C21321"/>
    <w:rsid w:val="00C219AB"/>
    <w:rsid w:val="00C22066"/>
    <w:rsid w:val="00C22231"/>
    <w:rsid w:val="00C22619"/>
    <w:rsid w:val="00C22B7E"/>
    <w:rsid w:val="00C22D30"/>
    <w:rsid w:val="00C22E34"/>
    <w:rsid w:val="00C22EBD"/>
    <w:rsid w:val="00C22F11"/>
    <w:rsid w:val="00C237BB"/>
    <w:rsid w:val="00C23830"/>
    <w:rsid w:val="00C23A65"/>
    <w:rsid w:val="00C23BF5"/>
    <w:rsid w:val="00C24124"/>
    <w:rsid w:val="00C242A8"/>
    <w:rsid w:val="00C244F0"/>
    <w:rsid w:val="00C24645"/>
    <w:rsid w:val="00C248E1"/>
    <w:rsid w:val="00C24CDF"/>
    <w:rsid w:val="00C250D3"/>
    <w:rsid w:val="00C25110"/>
    <w:rsid w:val="00C26132"/>
    <w:rsid w:val="00C26B1C"/>
    <w:rsid w:val="00C2725D"/>
    <w:rsid w:val="00C276D9"/>
    <w:rsid w:val="00C278F1"/>
    <w:rsid w:val="00C279E9"/>
    <w:rsid w:val="00C301F9"/>
    <w:rsid w:val="00C304EC"/>
    <w:rsid w:val="00C30C43"/>
    <w:rsid w:val="00C30F96"/>
    <w:rsid w:val="00C316AF"/>
    <w:rsid w:val="00C3184A"/>
    <w:rsid w:val="00C31A6D"/>
    <w:rsid w:val="00C324B6"/>
    <w:rsid w:val="00C327F6"/>
    <w:rsid w:val="00C32B73"/>
    <w:rsid w:val="00C335C8"/>
    <w:rsid w:val="00C34285"/>
    <w:rsid w:val="00C3431B"/>
    <w:rsid w:val="00C34F96"/>
    <w:rsid w:val="00C35279"/>
    <w:rsid w:val="00C3534A"/>
    <w:rsid w:val="00C35536"/>
    <w:rsid w:val="00C3564A"/>
    <w:rsid w:val="00C35C7D"/>
    <w:rsid w:val="00C360F0"/>
    <w:rsid w:val="00C3618B"/>
    <w:rsid w:val="00C36FF2"/>
    <w:rsid w:val="00C37B45"/>
    <w:rsid w:val="00C37D76"/>
    <w:rsid w:val="00C37ED6"/>
    <w:rsid w:val="00C40693"/>
    <w:rsid w:val="00C40EA1"/>
    <w:rsid w:val="00C40EAA"/>
    <w:rsid w:val="00C40F34"/>
    <w:rsid w:val="00C414F9"/>
    <w:rsid w:val="00C41724"/>
    <w:rsid w:val="00C419D9"/>
    <w:rsid w:val="00C41C8D"/>
    <w:rsid w:val="00C41D35"/>
    <w:rsid w:val="00C42066"/>
    <w:rsid w:val="00C43922"/>
    <w:rsid w:val="00C44969"/>
    <w:rsid w:val="00C45A62"/>
    <w:rsid w:val="00C45FA7"/>
    <w:rsid w:val="00C46986"/>
    <w:rsid w:val="00C46A2A"/>
    <w:rsid w:val="00C476A9"/>
    <w:rsid w:val="00C47E21"/>
    <w:rsid w:val="00C50074"/>
    <w:rsid w:val="00C501FC"/>
    <w:rsid w:val="00C50558"/>
    <w:rsid w:val="00C50763"/>
    <w:rsid w:val="00C50952"/>
    <w:rsid w:val="00C50EC5"/>
    <w:rsid w:val="00C50EFE"/>
    <w:rsid w:val="00C51F86"/>
    <w:rsid w:val="00C520A4"/>
    <w:rsid w:val="00C52279"/>
    <w:rsid w:val="00C526C8"/>
    <w:rsid w:val="00C5272F"/>
    <w:rsid w:val="00C528C3"/>
    <w:rsid w:val="00C52BBE"/>
    <w:rsid w:val="00C53046"/>
    <w:rsid w:val="00C53120"/>
    <w:rsid w:val="00C5358E"/>
    <w:rsid w:val="00C5359C"/>
    <w:rsid w:val="00C54BAA"/>
    <w:rsid w:val="00C54F02"/>
    <w:rsid w:val="00C55374"/>
    <w:rsid w:val="00C55600"/>
    <w:rsid w:val="00C556AB"/>
    <w:rsid w:val="00C55A43"/>
    <w:rsid w:val="00C55AB7"/>
    <w:rsid w:val="00C56512"/>
    <w:rsid w:val="00C56D74"/>
    <w:rsid w:val="00C576AE"/>
    <w:rsid w:val="00C6038F"/>
    <w:rsid w:val="00C6052E"/>
    <w:rsid w:val="00C61464"/>
    <w:rsid w:val="00C615CB"/>
    <w:rsid w:val="00C619FB"/>
    <w:rsid w:val="00C61C75"/>
    <w:rsid w:val="00C61EF0"/>
    <w:rsid w:val="00C61F2C"/>
    <w:rsid w:val="00C62091"/>
    <w:rsid w:val="00C6297A"/>
    <w:rsid w:val="00C62A1F"/>
    <w:rsid w:val="00C62A8A"/>
    <w:rsid w:val="00C63D92"/>
    <w:rsid w:val="00C63E12"/>
    <w:rsid w:val="00C63ED7"/>
    <w:rsid w:val="00C64884"/>
    <w:rsid w:val="00C649DB"/>
    <w:rsid w:val="00C649FB"/>
    <w:rsid w:val="00C64CE1"/>
    <w:rsid w:val="00C64D0B"/>
    <w:rsid w:val="00C659E4"/>
    <w:rsid w:val="00C65BBC"/>
    <w:rsid w:val="00C65FA9"/>
    <w:rsid w:val="00C66292"/>
    <w:rsid w:val="00C66E6A"/>
    <w:rsid w:val="00C679EF"/>
    <w:rsid w:val="00C67C81"/>
    <w:rsid w:val="00C703F5"/>
    <w:rsid w:val="00C7081F"/>
    <w:rsid w:val="00C71654"/>
    <w:rsid w:val="00C71AA0"/>
    <w:rsid w:val="00C71E5F"/>
    <w:rsid w:val="00C724D4"/>
    <w:rsid w:val="00C72796"/>
    <w:rsid w:val="00C7347D"/>
    <w:rsid w:val="00C73B65"/>
    <w:rsid w:val="00C73C66"/>
    <w:rsid w:val="00C7411B"/>
    <w:rsid w:val="00C7424F"/>
    <w:rsid w:val="00C7426B"/>
    <w:rsid w:val="00C7465B"/>
    <w:rsid w:val="00C74A08"/>
    <w:rsid w:val="00C74C33"/>
    <w:rsid w:val="00C74D12"/>
    <w:rsid w:val="00C74DE3"/>
    <w:rsid w:val="00C74F23"/>
    <w:rsid w:val="00C7545C"/>
    <w:rsid w:val="00C75715"/>
    <w:rsid w:val="00C75B32"/>
    <w:rsid w:val="00C75F6F"/>
    <w:rsid w:val="00C766C0"/>
    <w:rsid w:val="00C76CF0"/>
    <w:rsid w:val="00C76E49"/>
    <w:rsid w:val="00C76F55"/>
    <w:rsid w:val="00C8003E"/>
    <w:rsid w:val="00C806C3"/>
    <w:rsid w:val="00C81253"/>
    <w:rsid w:val="00C81CB0"/>
    <w:rsid w:val="00C82381"/>
    <w:rsid w:val="00C82568"/>
    <w:rsid w:val="00C8280D"/>
    <w:rsid w:val="00C833D7"/>
    <w:rsid w:val="00C8384D"/>
    <w:rsid w:val="00C8387B"/>
    <w:rsid w:val="00C83B54"/>
    <w:rsid w:val="00C83BA5"/>
    <w:rsid w:val="00C83C4E"/>
    <w:rsid w:val="00C84084"/>
    <w:rsid w:val="00C845FC"/>
    <w:rsid w:val="00C84642"/>
    <w:rsid w:val="00C84A4B"/>
    <w:rsid w:val="00C84A4C"/>
    <w:rsid w:val="00C84EB4"/>
    <w:rsid w:val="00C858D2"/>
    <w:rsid w:val="00C858FB"/>
    <w:rsid w:val="00C859D9"/>
    <w:rsid w:val="00C85F23"/>
    <w:rsid w:val="00C867EA"/>
    <w:rsid w:val="00C86807"/>
    <w:rsid w:val="00C869A1"/>
    <w:rsid w:val="00C86B45"/>
    <w:rsid w:val="00C86B91"/>
    <w:rsid w:val="00C8704E"/>
    <w:rsid w:val="00C870B3"/>
    <w:rsid w:val="00C87589"/>
    <w:rsid w:val="00C9041B"/>
    <w:rsid w:val="00C908CB"/>
    <w:rsid w:val="00C90B48"/>
    <w:rsid w:val="00C9101E"/>
    <w:rsid w:val="00C916ED"/>
    <w:rsid w:val="00C91970"/>
    <w:rsid w:val="00C91F8A"/>
    <w:rsid w:val="00C92019"/>
    <w:rsid w:val="00C92647"/>
    <w:rsid w:val="00C92849"/>
    <w:rsid w:val="00C9399E"/>
    <w:rsid w:val="00C93F49"/>
    <w:rsid w:val="00C943DA"/>
    <w:rsid w:val="00C9441D"/>
    <w:rsid w:val="00C9451F"/>
    <w:rsid w:val="00C949BA"/>
    <w:rsid w:val="00C94E2F"/>
    <w:rsid w:val="00C94EDF"/>
    <w:rsid w:val="00C968FC"/>
    <w:rsid w:val="00C96ACA"/>
    <w:rsid w:val="00C96C9C"/>
    <w:rsid w:val="00C9708A"/>
    <w:rsid w:val="00C978FB"/>
    <w:rsid w:val="00C97903"/>
    <w:rsid w:val="00C97D03"/>
    <w:rsid w:val="00CA0419"/>
    <w:rsid w:val="00CA046E"/>
    <w:rsid w:val="00CA0A35"/>
    <w:rsid w:val="00CA0A74"/>
    <w:rsid w:val="00CA0B1A"/>
    <w:rsid w:val="00CA0E04"/>
    <w:rsid w:val="00CA1336"/>
    <w:rsid w:val="00CA1D98"/>
    <w:rsid w:val="00CA1E12"/>
    <w:rsid w:val="00CA1F28"/>
    <w:rsid w:val="00CA1FF5"/>
    <w:rsid w:val="00CA21FA"/>
    <w:rsid w:val="00CA23B4"/>
    <w:rsid w:val="00CA258C"/>
    <w:rsid w:val="00CA25B4"/>
    <w:rsid w:val="00CA27E6"/>
    <w:rsid w:val="00CA289D"/>
    <w:rsid w:val="00CA2BD8"/>
    <w:rsid w:val="00CA3137"/>
    <w:rsid w:val="00CA3A8F"/>
    <w:rsid w:val="00CA4670"/>
    <w:rsid w:val="00CA4B24"/>
    <w:rsid w:val="00CA5213"/>
    <w:rsid w:val="00CA5AA6"/>
    <w:rsid w:val="00CA69E5"/>
    <w:rsid w:val="00CA6C16"/>
    <w:rsid w:val="00CA6CBD"/>
    <w:rsid w:val="00CA6F6B"/>
    <w:rsid w:val="00CA6F9D"/>
    <w:rsid w:val="00CB0066"/>
    <w:rsid w:val="00CB0068"/>
    <w:rsid w:val="00CB0460"/>
    <w:rsid w:val="00CB0866"/>
    <w:rsid w:val="00CB0FC6"/>
    <w:rsid w:val="00CB153E"/>
    <w:rsid w:val="00CB17D5"/>
    <w:rsid w:val="00CB216E"/>
    <w:rsid w:val="00CB22B1"/>
    <w:rsid w:val="00CB2E59"/>
    <w:rsid w:val="00CB304C"/>
    <w:rsid w:val="00CB3CE8"/>
    <w:rsid w:val="00CB4AE0"/>
    <w:rsid w:val="00CB4BEE"/>
    <w:rsid w:val="00CB5094"/>
    <w:rsid w:val="00CB55CA"/>
    <w:rsid w:val="00CB5BF9"/>
    <w:rsid w:val="00CB62F7"/>
    <w:rsid w:val="00CB631E"/>
    <w:rsid w:val="00CB73CB"/>
    <w:rsid w:val="00CB75FE"/>
    <w:rsid w:val="00CB76EA"/>
    <w:rsid w:val="00CC04B2"/>
    <w:rsid w:val="00CC0853"/>
    <w:rsid w:val="00CC0A76"/>
    <w:rsid w:val="00CC0BB7"/>
    <w:rsid w:val="00CC18C5"/>
    <w:rsid w:val="00CC21AB"/>
    <w:rsid w:val="00CC24CE"/>
    <w:rsid w:val="00CC2D6C"/>
    <w:rsid w:val="00CC305D"/>
    <w:rsid w:val="00CC3611"/>
    <w:rsid w:val="00CC3B9E"/>
    <w:rsid w:val="00CC4660"/>
    <w:rsid w:val="00CC48D8"/>
    <w:rsid w:val="00CC4D36"/>
    <w:rsid w:val="00CC4FD1"/>
    <w:rsid w:val="00CC51F7"/>
    <w:rsid w:val="00CC5AB1"/>
    <w:rsid w:val="00CC5F68"/>
    <w:rsid w:val="00CC6B2C"/>
    <w:rsid w:val="00CC7077"/>
    <w:rsid w:val="00CC7F9A"/>
    <w:rsid w:val="00CD0015"/>
    <w:rsid w:val="00CD06AA"/>
    <w:rsid w:val="00CD0780"/>
    <w:rsid w:val="00CD09BD"/>
    <w:rsid w:val="00CD0F7A"/>
    <w:rsid w:val="00CD11AC"/>
    <w:rsid w:val="00CD11EF"/>
    <w:rsid w:val="00CD1218"/>
    <w:rsid w:val="00CD1A3A"/>
    <w:rsid w:val="00CD1ED6"/>
    <w:rsid w:val="00CD1FC5"/>
    <w:rsid w:val="00CD2559"/>
    <w:rsid w:val="00CD2631"/>
    <w:rsid w:val="00CD280F"/>
    <w:rsid w:val="00CD2AAE"/>
    <w:rsid w:val="00CD3304"/>
    <w:rsid w:val="00CD35EB"/>
    <w:rsid w:val="00CD3686"/>
    <w:rsid w:val="00CD3770"/>
    <w:rsid w:val="00CD38E5"/>
    <w:rsid w:val="00CD437F"/>
    <w:rsid w:val="00CD48F7"/>
    <w:rsid w:val="00CD4DAB"/>
    <w:rsid w:val="00CD4F74"/>
    <w:rsid w:val="00CD5313"/>
    <w:rsid w:val="00CD6310"/>
    <w:rsid w:val="00CD64E2"/>
    <w:rsid w:val="00CD6692"/>
    <w:rsid w:val="00CD6B81"/>
    <w:rsid w:val="00CD71E4"/>
    <w:rsid w:val="00CD7254"/>
    <w:rsid w:val="00CD7420"/>
    <w:rsid w:val="00CD7585"/>
    <w:rsid w:val="00CD786B"/>
    <w:rsid w:val="00CE0A42"/>
    <w:rsid w:val="00CE114C"/>
    <w:rsid w:val="00CE1FAA"/>
    <w:rsid w:val="00CE2457"/>
    <w:rsid w:val="00CE2474"/>
    <w:rsid w:val="00CE2C43"/>
    <w:rsid w:val="00CE3039"/>
    <w:rsid w:val="00CE3349"/>
    <w:rsid w:val="00CE35DB"/>
    <w:rsid w:val="00CE3944"/>
    <w:rsid w:val="00CE3987"/>
    <w:rsid w:val="00CE3BFD"/>
    <w:rsid w:val="00CE4CB3"/>
    <w:rsid w:val="00CE536F"/>
    <w:rsid w:val="00CE53DF"/>
    <w:rsid w:val="00CE586B"/>
    <w:rsid w:val="00CE6140"/>
    <w:rsid w:val="00CE617A"/>
    <w:rsid w:val="00CE619A"/>
    <w:rsid w:val="00CE7732"/>
    <w:rsid w:val="00CE7C2E"/>
    <w:rsid w:val="00CF0261"/>
    <w:rsid w:val="00CF0BB2"/>
    <w:rsid w:val="00CF119D"/>
    <w:rsid w:val="00CF162F"/>
    <w:rsid w:val="00CF29FF"/>
    <w:rsid w:val="00CF2B24"/>
    <w:rsid w:val="00CF2D7B"/>
    <w:rsid w:val="00CF3219"/>
    <w:rsid w:val="00CF3258"/>
    <w:rsid w:val="00CF372F"/>
    <w:rsid w:val="00CF39C8"/>
    <w:rsid w:val="00CF39DD"/>
    <w:rsid w:val="00CF3B2E"/>
    <w:rsid w:val="00CF3B77"/>
    <w:rsid w:val="00CF3C77"/>
    <w:rsid w:val="00CF4270"/>
    <w:rsid w:val="00CF4630"/>
    <w:rsid w:val="00CF4F89"/>
    <w:rsid w:val="00CF52A0"/>
    <w:rsid w:val="00CF54F3"/>
    <w:rsid w:val="00CF5D26"/>
    <w:rsid w:val="00CF5E4A"/>
    <w:rsid w:val="00CF5E56"/>
    <w:rsid w:val="00CF600F"/>
    <w:rsid w:val="00CF6ABB"/>
    <w:rsid w:val="00CF6BF8"/>
    <w:rsid w:val="00CF72F3"/>
    <w:rsid w:val="00CF7F51"/>
    <w:rsid w:val="00D0063E"/>
    <w:rsid w:val="00D007F0"/>
    <w:rsid w:val="00D00BC7"/>
    <w:rsid w:val="00D00E71"/>
    <w:rsid w:val="00D0115D"/>
    <w:rsid w:val="00D013AF"/>
    <w:rsid w:val="00D01406"/>
    <w:rsid w:val="00D017C5"/>
    <w:rsid w:val="00D01B7A"/>
    <w:rsid w:val="00D022F2"/>
    <w:rsid w:val="00D02476"/>
    <w:rsid w:val="00D02C98"/>
    <w:rsid w:val="00D02E84"/>
    <w:rsid w:val="00D031D7"/>
    <w:rsid w:val="00D032C1"/>
    <w:rsid w:val="00D03522"/>
    <w:rsid w:val="00D03AE4"/>
    <w:rsid w:val="00D03F84"/>
    <w:rsid w:val="00D046A6"/>
    <w:rsid w:val="00D047B6"/>
    <w:rsid w:val="00D04E5A"/>
    <w:rsid w:val="00D05395"/>
    <w:rsid w:val="00D0560A"/>
    <w:rsid w:val="00D0666F"/>
    <w:rsid w:val="00D06B72"/>
    <w:rsid w:val="00D072BD"/>
    <w:rsid w:val="00D07577"/>
    <w:rsid w:val="00D075AF"/>
    <w:rsid w:val="00D075FF"/>
    <w:rsid w:val="00D102D4"/>
    <w:rsid w:val="00D10E51"/>
    <w:rsid w:val="00D111A9"/>
    <w:rsid w:val="00D11281"/>
    <w:rsid w:val="00D12173"/>
    <w:rsid w:val="00D127FE"/>
    <w:rsid w:val="00D12958"/>
    <w:rsid w:val="00D12E96"/>
    <w:rsid w:val="00D12EF8"/>
    <w:rsid w:val="00D13374"/>
    <w:rsid w:val="00D134CB"/>
    <w:rsid w:val="00D13790"/>
    <w:rsid w:val="00D137D4"/>
    <w:rsid w:val="00D13BCF"/>
    <w:rsid w:val="00D13BDE"/>
    <w:rsid w:val="00D15E8E"/>
    <w:rsid w:val="00D16532"/>
    <w:rsid w:val="00D16AD4"/>
    <w:rsid w:val="00D16C96"/>
    <w:rsid w:val="00D16E43"/>
    <w:rsid w:val="00D17453"/>
    <w:rsid w:val="00D17798"/>
    <w:rsid w:val="00D17928"/>
    <w:rsid w:val="00D17B66"/>
    <w:rsid w:val="00D17C45"/>
    <w:rsid w:val="00D17D39"/>
    <w:rsid w:val="00D17FA5"/>
    <w:rsid w:val="00D20703"/>
    <w:rsid w:val="00D20CA0"/>
    <w:rsid w:val="00D2154D"/>
    <w:rsid w:val="00D215BD"/>
    <w:rsid w:val="00D216C4"/>
    <w:rsid w:val="00D21D5F"/>
    <w:rsid w:val="00D21E26"/>
    <w:rsid w:val="00D2210B"/>
    <w:rsid w:val="00D2251D"/>
    <w:rsid w:val="00D22CE1"/>
    <w:rsid w:val="00D2305F"/>
    <w:rsid w:val="00D2360B"/>
    <w:rsid w:val="00D23F97"/>
    <w:rsid w:val="00D24AA8"/>
    <w:rsid w:val="00D24F61"/>
    <w:rsid w:val="00D24F88"/>
    <w:rsid w:val="00D252DB"/>
    <w:rsid w:val="00D2546C"/>
    <w:rsid w:val="00D256C0"/>
    <w:rsid w:val="00D25B62"/>
    <w:rsid w:val="00D25F41"/>
    <w:rsid w:val="00D25F4F"/>
    <w:rsid w:val="00D25F85"/>
    <w:rsid w:val="00D26248"/>
    <w:rsid w:val="00D26CA2"/>
    <w:rsid w:val="00D27040"/>
    <w:rsid w:val="00D2728A"/>
    <w:rsid w:val="00D27349"/>
    <w:rsid w:val="00D275A4"/>
    <w:rsid w:val="00D2770F"/>
    <w:rsid w:val="00D27A8D"/>
    <w:rsid w:val="00D27AE3"/>
    <w:rsid w:val="00D27B1F"/>
    <w:rsid w:val="00D27F1E"/>
    <w:rsid w:val="00D30208"/>
    <w:rsid w:val="00D304E2"/>
    <w:rsid w:val="00D30E5A"/>
    <w:rsid w:val="00D311ED"/>
    <w:rsid w:val="00D312DC"/>
    <w:rsid w:val="00D318CC"/>
    <w:rsid w:val="00D31F36"/>
    <w:rsid w:val="00D31FDF"/>
    <w:rsid w:val="00D32520"/>
    <w:rsid w:val="00D32CC1"/>
    <w:rsid w:val="00D32CFE"/>
    <w:rsid w:val="00D3350F"/>
    <w:rsid w:val="00D34D44"/>
    <w:rsid w:val="00D34E36"/>
    <w:rsid w:val="00D34E85"/>
    <w:rsid w:val="00D352EF"/>
    <w:rsid w:val="00D3588F"/>
    <w:rsid w:val="00D35A96"/>
    <w:rsid w:val="00D35FC8"/>
    <w:rsid w:val="00D35FEE"/>
    <w:rsid w:val="00D36277"/>
    <w:rsid w:val="00D36DF9"/>
    <w:rsid w:val="00D3775C"/>
    <w:rsid w:val="00D377B2"/>
    <w:rsid w:val="00D37BD5"/>
    <w:rsid w:val="00D37C57"/>
    <w:rsid w:val="00D37F4A"/>
    <w:rsid w:val="00D37FC1"/>
    <w:rsid w:val="00D40764"/>
    <w:rsid w:val="00D411F5"/>
    <w:rsid w:val="00D4163A"/>
    <w:rsid w:val="00D41FBE"/>
    <w:rsid w:val="00D427D4"/>
    <w:rsid w:val="00D428C9"/>
    <w:rsid w:val="00D42B46"/>
    <w:rsid w:val="00D42C0F"/>
    <w:rsid w:val="00D43EF4"/>
    <w:rsid w:val="00D4412C"/>
    <w:rsid w:val="00D445C6"/>
    <w:rsid w:val="00D44945"/>
    <w:rsid w:val="00D44FB2"/>
    <w:rsid w:val="00D4524E"/>
    <w:rsid w:val="00D4533D"/>
    <w:rsid w:val="00D46507"/>
    <w:rsid w:val="00D46CD2"/>
    <w:rsid w:val="00D46DB0"/>
    <w:rsid w:val="00D472A7"/>
    <w:rsid w:val="00D47F51"/>
    <w:rsid w:val="00D50F15"/>
    <w:rsid w:val="00D513B1"/>
    <w:rsid w:val="00D5163F"/>
    <w:rsid w:val="00D51BF8"/>
    <w:rsid w:val="00D52027"/>
    <w:rsid w:val="00D521C4"/>
    <w:rsid w:val="00D5241E"/>
    <w:rsid w:val="00D52489"/>
    <w:rsid w:val="00D527AD"/>
    <w:rsid w:val="00D52BCD"/>
    <w:rsid w:val="00D52CCA"/>
    <w:rsid w:val="00D53089"/>
    <w:rsid w:val="00D53604"/>
    <w:rsid w:val="00D53E40"/>
    <w:rsid w:val="00D54513"/>
    <w:rsid w:val="00D54523"/>
    <w:rsid w:val="00D551F3"/>
    <w:rsid w:val="00D553B5"/>
    <w:rsid w:val="00D5728A"/>
    <w:rsid w:val="00D57B63"/>
    <w:rsid w:val="00D57B6C"/>
    <w:rsid w:val="00D57F3C"/>
    <w:rsid w:val="00D60794"/>
    <w:rsid w:val="00D609CF"/>
    <w:rsid w:val="00D60E12"/>
    <w:rsid w:val="00D61A46"/>
    <w:rsid w:val="00D61A4F"/>
    <w:rsid w:val="00D623FD"/>
    <w:rsid w:val="00D62557"/>
    <w:rsid w:val="00D625B4"/>
    <w:rsid w:val="00D626D9"/>
    <w:rsid w:val="00D62C98"/>
    <w:rsid w:val="00D62E7A"/>
    <w:rsid w:val="00D631E5"/>
    <w:rsid w:val="00D636B0"/>
    <w:rsid w:val="00D63B86"/>
    <w:rsid w:val="00D640E1"/>
    <w:rsid w:val="00D64D5B"/>
    <w:rsid w:val="00D6586D"/>
    <w:rsid w:val="00D65DE7"/>
    <w:rsid w:val="00D666A7"/>
    <w:rsid w:val="00D6691F"/>
    <w:rsid w:val="00D67830"/>
    <w:rsid w:val="00D701FA"/>
    <w:rsid w:val="00D70851"/>
    <w:rsid w:val="00D70AFF"/>
    <w:rsid w:val="00D70F20"/>
    <w:rsid w:val="00D71575"/>
    <w:rsid w:val="00D718EB"/>
    <w:rsid w:val="00D71E25"/>
    <w:rsid w:val="00D7210C"/>
    <w:rsid w:val="00D72358"/>
    <w:rsid w:val="00D72703"/>
    <w:rsid w:val="00D72851"/>
    <w:rsid w:val="00D729F7"/>
    <w:rsid w:val="00D73ABA"/>
    <w:rsid w:val="00D7430F"/>
    <w:rsid w:val="00D748DB"/>
    <w:rsid w:val="00D74A21"/>
    <w:rsid w:val="00D74F7E"/>
    <w:rsid w:val="00D7503C"/>
    <w:rsid w:val="00D766C7"/>
    <w:rsid w:val="00D772D3"/>
    <w:rsid w:val="00D77B13"/>
    <w:rsid w:val="00D80640"/>
    <w:rsid w:val="00D80F9F"/>
    <w:rsid w:val="00D813A0"/>
    <w:rsid w:val="00D81B1C"/>
    <w:rsid w:val="00D81B1E"/>
    <w:rsid w:val="00D82506"/>
    <w:rsid w:val="00D82FFB"/>
    <w:rsid w:val="00D830A8"/>
    <w:rsid w:val="00D83364"/>
    <w:rsid w:val="00D834CD"/>
    <w:rsid w:val="00D83753"/>
    <w:rsid w:val="00D83805"/>
    <w:rsid w:val="00D83AF5"/>
    <w:rsid w:val="00D8417D"/>
    <w:rsid w:val="00D84515"/>
    <w:rsid w:val="00D854C9"/>
    <w:rsid w:val="00D85837"/>
    <w:rsid w:val="00D858F2"/>
    <w:rsid w:val="00D85A1E"/>
    <w:rsid w:val="00D87D9A"/>
    <w:rsid w:val="00D91297"/>
    <w:rsid w:val="00D91C36"/>
    <w:rsid w:val="00D9204D"/>
    <w:rsid w:val="00D92193"/>
    <w:rsid w:val="00D9242F"/>
    <w:rsid w:val="00D92568"/>
    <w:rsid w:val="00D927D2"/>
    <w:rsid w:val="00D92A8F"/>
    <w:rsid w:val="00D92B43"/>
    <w:rsid w:val="00D92DFC"/>
    <w:rsid w:val="00D93077"/>
    <w:rsid w:val="00D93160"/>
    <w:rsid w:val="00D9321A"/>
    <w:rsid w:val="00D9335C"/>
    <w:rsid w:val="00D93453"/>
    <w:rsid w:val="00D936EA"/>
    <w:rsid w:val="00D937D6"/>
    <w:rsid w:val="00D941BA"/>
    <w:rsid w:val="00D94296"/>
    <w:rsid w:val="00D95924"/>
    <w:rsid w:val="00D95A64"/>
    <w:rsid w:val="00D95C1E"/>
    <w:rsid w:val="00D95C53"/>
    <w:rsid w:val="00D9637E"/>
    <w:rsid w:val="00D96CF0"/>
    <w:rsid w:val="00D96D93"/>
    <w:rsid w:val="00D96E82"/>
    <w:rsid w:val="00D97001"/>
    <w:rsid w:val="00D97358"/>
    <w:rsid w:val="00D97737"/>
    <w:rsid w:val="00D97841"/>
    <w:rsid w:val="00D97B15"/>
    <w:rsid w:val="00DA00C7"/>
    <w:rsid w:val="00DA02BB"/>
    <w:rsid w:val="00DA034C"/>
    <w:rsid w:val="00DA05B0"/>
    <w:rsid w:val="00DA0BD8"/>
    <w:rsid w:val="00DA0C8E"/>
    <w:rsid w:val="00DA159C"/>
    <w:rsid w:val="00DA1EFE"/>
    <w:rsid w:val="00DA21C7"/>
    <w:rsid w:val="00DA2D64"/>
    <w:rsid w:val="00DA3211"/>
    <w:rsid w:val="00DA323B"/>
    <w:rsid w:val="00DA3679"/>
    <w:rsid w:val="00DA3BBD"/>
    <w:rsid w:val="00DA3CC3"/>
    <w:rsid w:val="00DA3D30"/>
    <w:rsid w:val="00DA4892"/>
    <w:rsid w:val="00DA4C9A"/>
    <w:rsid w:val="00DA52F1"/>
    <w:rsid w:val="00DA53A2"/>
    <w:rsid w:val="00DA599A"/>
    <w:rsid w:val="00DA5CAC"/>
    <w:rsid w:val="00DA5E1D"/>
    <w:rsid w:val="00DA5F29"/>
    <w:rsid w:val="00DA644E"/>
    <w:rsid w:val="00DA686C"/>
    <w:rsid w:val="00DA757D"/>
    <w:rsid w:val="00DB03BF"/>
    <w:rsid w:val="00DB04B2"/>
    <w:rsid w:val="00DB05A5"/>
    <w:rsid w:val="00DB129F"/>
    <w:rsid w:val="00DB26AA"/>
    <w:rsid w:val="00DB28FF"/>
    <w:rsid w:val="00DB2938"/>
    <w:rsid w:val="00DB30CF"/>
    <w:rsid w:val="00DB338E"/>
    <w:rsid w:val="00DB34A8"/>
    <w:rsid w:val="00DB37C3"/>
    <w:rsid w:val="00DB3A7C"/>
    <w:rsid w:val="00DB3CF5"/>
    <w:rsid w:val="00DB3D3D"/>
    <w:rsid w:val="00DB3DA5"/>
    <w:rsid w:val="00DB4395"/>
    <w:rsid w:val="00DB5318"/>
    <w:rsid w:val="00DB574C"/>
    <w:rsid w:val="00DB58CD"/>
    <w:rsid w:val="00DB5A8A"/>
    <w:rsid w:val="00DB5B04"/>
    <w:rsid w:val="00DB5C5D"/>
    <w:rsid w:val="00DB6118"/>
    <w:rsid w:val="00DB6195"/>
    <w:rsid w:val="00DB664E"/>
    <w:rsid w:val="00DB6C2C"/>
    <w:rsid w:val="00DB6E62"/>
    <w:rsid w:val="00DB721A"/>
    <w:rsid w:val="00DB737C"/>
    <w:rsid w:val="00DB73EA"/>
    <w:rsid w:val="00DB7AE4"/>
    <w:rsid w:val="00DC07A0"/>
    <w:rsid w:val="00DC1752"/>
    <w:rsid w:val="00DC1B9C"/>
    <w:rsid w:val="00DC257A"/>
    <w:rsid w:val="00DC27A9"/>
    <w:rsid w:val="00DC2A54"/>
    <w:rsid w:val="00DC3898"/>
    <w:rsid w:val="00DC38B2"/>
    <w:rsid w:val="00DC39D8"/>
    <w:rsid w:val="00DC3A28"/>
    <w:rsid w:val="00DC3F0C"/>
    <w:rsid w:val="00DC3FA3"/>
    <w:rsid w:val="00DC4488"/>
    <w:rsid w:val="00DC4803"/>
    <w:rsid w:val="00DC48AD"/>
    <w:rsid w:val="00DC493C"/>
    <w:rsid w:val="00DC4B32"/>
    <w:rsid w:val="00DC516D"/>
    <w:rsid w:val="00DC5772"/>
    <w:rsid w:val="00DC58AB"/>
    <w:rsid w:val="00DC5C20"/>
    <w:rsid w:val="00DC5F63"/>
    <w:rsid w:val="00DC6026"/>
    <w:rsid w:val="00DC65A1"/>
    <w:rsid w:val="00DC676A"/>
    <w:rsid w:val="00DC6812"/>
    <w:rsid w:val="00DC6C06"/>
    <w:rsid w:val="00DC7284"/>
    <w:rsid w:val="00DC72F3"/>
    <w:rsid w:val="00DC7E36"/>
    <w:rsid w:val="00DD0631"/>
    <w:rsid w:val="00DD0E28"/>
    <w:rsid w:val="00DD0FC4"/>
    <w:rsid w:val="00DD2021"/>
    <w:rsid w:val="00DD2155"/>
    <w:rsid w:val="00DD22E9"/>
    <w:rsid w:val="00DD2440"/>
    <w:rsid w:val="00DD25C3"/>
    <w:rsid w:val="00DD25CB"/>
    <w:rsid w:val="00DD2EED"/>
    <w:rsid w:val="00DD32AE"/>
    <w:rsid w:val="00DD3338"/>
    <w:rsid w:val="00DD351C"/>
    <w:rsid w:val="00DD3927"/>
    <w:rsid w:val="00DD39A9"/>
    <w:rsid w:val="00DD42B9"/>
    <w:rsid w:val="00DD55CD"/>
    <w:rsid w:val="00DD609F"/>
    <w:rsid w:val="00DD700B"/>
    <w:rsid w:val="00DD7641"/>
    <w:rsid w:val="00DD7A68"/>
    <w:rsid w:val="00DD7C1B"/>
    <w:rsid w:val="00DD7C48"/>
    <w:rsid w:val="00DE0111"/>
    <w:rsid w:val="00DE0161"/>
    <w:rsid w:val="00DE025C"/>
    <w:rsid w:val="00DE06AA"/>
    <w:rsid w:val="00DE25BE"/>
    <w:rsid w:val="00DE27F9"/>
    <w:rsid w:val="00DE29E2"/>
    <w:rsid w:val="00DE2A2B"/>
    <w:rsid w:val="00DE347F"/>
    <w:rsid w:val="00DE34E0"/>
    <w:rsid w:val="00DE3522"/>
    <w:rsid w:val="00DE3A6D"/>
    <w:rsid w:val="00DE4143"/>
    <w:rsid w:val="00DE41C1"/>
    <w:rsid w:val="00DE4863"/>
    <w:rsid w:val="00DE48AD"/>
    <w:rsid w:val="00DE49E1"/>
    <w:rsid w:val="00DE4E16"/>
    <w:rsid w:val="00DE4FCC"/>
    <w:rsid w:val="00DE548A"/>
    <w:rsid w:val="00DE5987"/>
    <w:rsid w:val="00DE5FAA"/>
    <w:rsid w:val="00DE5FB1"/>
    <w:rsid w:val="00DE6019"/>
    <w:rsid w:val="00DE61C0"/>
    <w:rsid w:val="00DE6391"/>
    <w:rsid w:val="00DE64BE"/>
    <w:rsid w:val="00DE6740"/>
    <w:rsid w:val="00DE6E4D"/>
    <w:rsid w:val="00DE74FE"/>
    <w:rsid w:val="00DE7631"/>
    <w:rsid w:val="00DF13B7"/>
    <w:rsid w:val="00DF14C8"/>
    <w:rsid w:val="00DF1545"/>
    <w:rsid w:val="00DF1BDC"/>
    <w:rsid w:val="00DF1F13"/>
    <w:rsid w:val="00DF1F98"/>
    <w:rsid w:val="00DF2101"/>
    <w:rsid w:val="00DF218F"/>
    <w:rsid w:val="00DF2EE1"/>
    <w:rsid w:val="00DF3326"/>
    <w:rsid w:val="00DF35C3"/>
    <w:rsid w:val="00DF3C65"/>
    <w:rsid w:val="00DF4A08"/>
    <w:rsid w:val="00DF4DF2"/>
    <w:rsid w:val="00DF5783"/>
    <w:rsid w:val="00DF5B4E"/>
    <w:rsid w:val="00DF5D3F"/>
    <w:rsid w:val="00DF6B9C"/>
    <w:rsid w:val="00DF6C20"/>
    <w:rsid w:val="00DF6F52"/>
    <w:rsid w:val="00DF7155"/>
    <w:rsid w:val="00DF75B7"/>
    <w:rsid w:val="00E00434"/>
    <w:rsid w:val="00E009CD"/>
    <w:rsid w:val="00E00FF2"/>
    <w:rsid w:val="00E01103"/>
    <w:rsid w:val="00E01680"/>
    <w:rsid w:val="00E01925"/>
    <w:rsid w:val="00E01C6E"/>
    <w:rsid w:val="00E01F45"/>
    <w:rsid w:val="00E02359"/>
    <w:rsid w:val="00E02515"/>
    <w:rsid w:val="00E02CB0"/>
    <w:rsid w:val="00E034F5"/>
    <w:rsid w:val="00E03800"/>
    <w:rsid w:val="00E03E6D"/>
    <w:rsid w:val="00E03F76"/>
    <w:rsid w:val="00E042C2"/>
    <w:rsid w:val="00E046B3"/>
    <w:rsid w:val="00E04A68"/>
    <w:rsid w:val="00E04A6F"/>
    <w:rsid w:val="00E05286"/>
    <w:rsid w:val="00E05400"/>
    <w:rsid w:val="00E055F2"/>
    <w:rsid w:val="00E06235"/>
    <w:rsid w:val="00E069D4"/>
    <w:rsid w:val="00E07616"/>
    <w:rsid w:val="00E108A4"/>
    <w:rsid w:val="00E11862"/>
    <w:rsid w:val="00E11CB5"/>
    <w:rsid w:val="00E12133"/>
    <w:rsid w:val="00E122A7"/>
    <w:rsid w:val="00E1233A"/>
    <w:rsid w:val="00E1278B"/>
    <w:rsid w:val="00E12970"/>
    <w:rsid w:val="00E12FB2"/>
    <w:rsid w:val="00E13122"/>
    <w:rsid w:val="00E134B5"/>
    <w:rsid w:val="00E13A18"/>
    <w:rsid w:val="00E13B92"/>
    <w:rsid w:val="00E13EAB"/>
    <w:rsid w:val="00E148DB"/>
    <w:rsid w:val="00E14AD1"/>
    <w:rsid w:val="00E15558"/>
    <w:rsid w:val="00E1587A"/>
    <w:rsid w:val="00E15B37"/>
    <w:rsid w:val="00E172EB"/>
    <w:rsid w:val="00E17C3D"/>
    <w:rsid w:val="00E20228"/>
    <w:rsid w:val="00E2035E"/>
    <w:rsid w:val="00E205E7"/>
    <w:rsid w:val="00E2076F"/>
    <w:rsid w:val="00E21115"/>
    <w:rsid w:val="00E21CCC"/>
    <w:rsid w:val="00E22AE1"/>
    <w:rsid w:val="00E22BBF"/>
    <w:rsid w:val="00E22FF2"/>
    <w:rsid w:val="00E23070"/>
    <w:rsid w:val="00E23654"/>
    <w:rsid w:val="00E237C1"/>
    <w:rsid w:val="00E243FE"/>
    <w:rsid w:val="00E24F71"/>
    <w:rsid w:val="00E2556A"/>
    <w:rsid w:val="00E25694"/>
    <w:rsid w:val="00E25918"/>
    <w:rsid w:val="00E25DB4"/>
    <w:rsid w:val="00E2649B"/>
    <w:rsid w:val="00E26B74"/>
    <w:rsid w:val="00E27677"/>
    <w:rsid w:val="00E27879"/>
    <w:rsid w:val="00E278A7"/>
    <w:rsid w:val="00E27F7D"/>
    <w:rsid w:val="00E30732"/>
    <w:rsid w:val="00E30948"/>
    <w:rsid w:val="00E30A47"/>
    <w:rsid w:val="00E30B6A"/>
    <w:rsid w:val="00E30C04"/>
    <w:rsid w:val="00E3156A"/>
    <w:rsid w:val="00E322AB"/>
    <w:rsid w:val="00E32372"/>
    <w:rsid w:val="00E32419"/>
    <w:rsid w:val="00E32D57"/>
    <w:rsid w:val="00E32F47"/>
    <w:rsid w:val="00E33565"/>
    <w:rsid w:val="00E3363C"/>
    <w:rsid w:val="00E33779"/>
    <w:rsid w:val="00E33C48"/>
    <w:rsid w:val="00E33D22"/>
    <w:rsid w:val="00E33E90"/>
    <w:rsid w:val="00E34030"/>
    <w:rsid w:val="00E34218"/>
    <w:rsid w:val="00E342EC"/>
    <w:rsid w:val="00E34395"/>
    <w:rsid w:val="00E344DC"/>
    <w:rsid w:val="00E34E1E"/>
    <w:rsid w:val="00E35075"/>
    <w:rsid w:val="00E352A7"/>
    <w:rsid w:val="00E35853"/>
    <w:rsid w:val="00E36061"/>
    <w:rsid w:val="00E36157"/>
    <w:rsid w:val="00E361B7"/>
    <w:rsid w:val="00E36F60"/>
    <w:rsid w:val="00E374D3"/>
    <w:rsid w:val="00E37909"/>
    <w:rsid w:val="00E40556"/>
    <w:rsid w:val="00E40904"/>
    <w:rsid w:val="00E40EF5"/>
    <w:rsid w:val="00E411B7"/>
    <w:rsid w:val="00E41533"/>
    <w:rsid w:val="00E41856"/>
    <w:rsid w:val="00E424A8"/>
    <w:rsid w:val="00E4291B"/>
    <w:rsid w:val="00E437AE"/>
    <w:rsid w:val="00E444C9"/>
    <w:rsid w:val="00E44567"/>
    <w:rsid w:val="00E4461C"/>
    <w:rsid w:val="00E4475B"/>
    <w:rsid w:val="00E44765"/>
    <w:rsid w:val="00E44B40"/>
    <w:rsid w:val="00E44DB1"/>
    <w:rsid w:val="00E45433"/>
    <w:rsid w:val="00E4552B"/>
    <w:rsid w:val="00E45CF4"/>
    <w:rsid w:val="00E45DA4"/>
    <w:rsid w:val="00E46296"/>
    <w:rsid w:val="00E50067"/>
    <w:rsid w:val="00E50A69"/>
    <w:rsid w:val="00E50B94"/>
    <w:rsid w:val="00E51767"/>
    <w:rsid w:val="00E51AC6"/>
    <w:rsid w:val="00E51BB9"/>
    <w:rsid w:val="00E5207F"/>
    <w:rsid w:val="00E52303"/>
    <w:rsid w:val="00E52685"/>
    <w:rsid w:val="00E52FAC"/>
    <w:rsid w:val="00E5317E"/>
    <w:rsid w:val="00E534B3"/>
    <w:rsid w:val="00E535F4"/>
    <w:rsid w:val="00E53614"/>
    <w:rsid w:val="00E53A9C"/>
    <w:rsid w:val="00E53E52"/>
    <w:rsid w:val="00E53F77"/>
    <w:rsid w:val="00E548E2"/>
    <w:rsid w:val="00E5540D"/>
    <w:rsid w:val="00E55742"/>
    <w:rsid w:val="00E55D79"/>
    <w:rsid w:val="00E5633E"/>
    <w:rsid w:val="00E56444"/>
    <w:rsid w:val="00E56883"/>
    <w:rsid w:val="00E56E8B"/>
    <w:rsid w:val="00E574ED"/>
    <w:rsid w:val="00E57C96"/>
    <w:rsid w:val="00E57DF1"/>
    <w:rsid w:val="00E605BE"/>
    <w:rsid w:val="00E60A46"/>
    <w:rsid w:val="00E60D9B"/>
    <w:rsid w:val="00E613C2"/>
    <w:rsid w:val="00E615B5"/>
    <w:rsid w:val="00E624B8"/>
    <w:rsid w:val="00E627FA"/>
    <w:rsid w:val="00E62A1B"/>
    <w:rsid w:val="00E62BA6"/>
    <w:rsid w:val="00E632A7"/>
    <w:rsid w:val="00E636D8"/>
    <w:rsid w:val="00E6387B"/>
    <w:rsid w:val="00E638FE"/>
    <w:rsid w:val="00E63C21"/>
    <w:rsid w:val="00E63D71"/>
    <w:rsid w:val="00E63E2A"/>
    <w:rsid w:val="00E64568"/>
    <w:rsid w:val="00E64D9B"/>
    <w:rsid w:val="00E64E67"/>
    <w:rsid w:val="00E65318"/>
    <w:rsid w:val="00E65727"/>
    <w:rsid w:val="00E659BD"/>
    <w:rsid w:val="00E660D1"/>
    <w:rsid w:val="00E6672C"/>
    <w:rsid w:val="00E67600"/>
    <w:rsid w:val="00E67748"/>
    <w:rsid w:val="00E67E78"/>
    <w:rsid w:val="00E67EDA"/>
    <w:rsid w:val="00E7056D"/>
    <w:rsid w:val="00E70D49"/>
    <w:rsid w:val="00E70D68"/>
    <w:rsid w:val="00E715F9"/>
    <w:rsid w:val="00E7163A"/>
    <w:rsid w:val="00E73B07"/>
    <w:rsid w:val="00E73B6A"/>
    <w:rsid w:val="00E74113"/>
    <w:rsid w:val="00E74151"/>
    <w:rsid w:val="00E745B7"/>
    <w:rsid w:val="00E74DCC"/>
    <w:rsid w:val="00E75166"/>
    <w:rsid w:val="00E75190"/>
    <w:rsid w:val="00E7550D"/>
    <w:rsid w:val="00E75B07"/>
    <w:rsid w:val="00E776F9"/>
    <w:rsid w:val="00E77B10"/>
    <w:rsid w:val="00E77C25"/>
    <w:rsid w:val="00E80C18"/>
    <w:rsid w:val="00E8267C"/>
    <w:rsid w:val="00E826F4"/>
    <w:rsid w:val="00E82812"/>
    <w:rsid w:val="00E8384E"/>
    <w:rsid w:val="00E83AB1"/>
    <w:rsid w:val="00E84353"/>
    <w:rsid w:val="00E843B1"/>
    <w:rsid w:val="00E85430"/>
    <w:rsid w:val="00E85F5C"/>
    <w:rsid w:val="00E86511"/>
    <w:rsid w:val="00E86630"/>
    <w:rsid w:val="00E8666D"/>
    <w:rsid w:val="00E866D3"/>
    <w:rsid w:val="00E869BD"/>
    <w:rsid w:val="00E87C4A"/>
    <w:rsid w:val="00E87D4C"/>
    <w:rsid w:val="00E9039E"/>
    <w:rsid w:val="00E906B9"/>
    <w:rsid w:val="00E908DA"/>
    <w:rsid w:val="00E90FF2"/>
    <w:rsid w:val="00E914EE"/>
    <w:rsid w:val="00E91572"/>
    <w:rsid w:val="00E91A9F"/>
    <w:rsid w:val="00E91C90"/>
    <w:rsid w:val="00E927F8"/>
    <w:rsid w:val="00E92A0F"/>
    <w:rsid w:val="00E92CBC"/>
    <w:rsid w:val="00E92E8B"/>
    <w:rsid w:val="00E93157"/>
    <w:rsid w:val="00E93190"/>
    <w:rsid w:val="00E93481"/>
    <w:rsid w:val="00E9387E"/>
    <w:rsid w:val="00E93BE8"/>
    <w:rsid w:val="00E94606"/>
    <w:rsid w:val="00E9565C"/>
    <w:rsid w:val="00E9599E"/>
    <w:rsid w:val="00E96C21"/>
    <w:rsid w:val="00E96D52"/>
    <w:rsid w:val="00E97DFC"/>
    <w:rsid w:val="00E97FBD"/>
    <w:rsid w:val="00EA026F"/>
    <w:rsid w:val="00EA02DD"/>
    <w:rsid w:val="00EA0CD9"/>
    <w:rsid w:val="00EA12B6"/>
    <w:rsid w:val="00EA12CE"/>
    <w:rsid w:val="00EA15D5"/>
    <w:rsid w:val="00EA17C0"/>
    <w:rsid w:val="00EA1BED"/>
    <w:rsid w:val="00EA1CBC"/>
    <w:rsid w:val="00EA1F5C"/>
    <w:rsid w:val="00EA225B"/>
    <w:rsid w:val="00EA2303"/>
    <w:rsid w:val="00EA2757"/>
    <w:rsid w:val="00EA285F"/>
    <w:rsid w:val="00EA2EB7"/>
    <w:rsid w:val="00EA3D1B"/>
    <w:rsid w:val="00EA3DEE"/>
    <w:rsid w:val="00EA3E12"/>
    <w:rsid w:val="00EA401E"/>
    <w:rsid w:val="00EA4A6B"/>
    <w:rsid w:val="00EA5063"/>
    <w:rsid w:val="00EA57E9"/>
    <w:rsid w:val="00EA584D"/>
    <w:rsid w:val="00EA5DD8"/>
    <w:rsid w:val="00EA5F24"/>
    <w:rsid w:val="00EA5FB7"/>
    <w:rsid w:val="00EA60D8"/>
    <w:rsid w:val="00EA632C"/>
    <w:rsid w:val="00EA65A5"/>
    <w:rsid w:val="00EA6BE6"/>
    <w:rsid w:val="00EA7277"/>
    <w:rsid w:val="00EA7377"/>
    <w:rsid w:val="00EA7499"/>
    <w:rsid w:val="00EA76E5"/>
    <w:rsid w:val="00EA79AB"/>
    <w:rsid w:val="00EA79AE"/>
    <w:rsid w:val="00EA7C67"/>
    <w:rsid w:val="00EA7E89"/>
    <w:rsid w:val="00EA7E9A"/>
    <w:rsid w:val="00EB04FA"/>
    <w:rsid w:val="00EB0CDD"/>
    <w:rsid w:val="00EB10A0"/>
    <w:rsid w:val="00EB1503"/>
    <w:rsid w:val="00EB174F"/>
    <w:rsid w:val="00EB1998"/>
    <w:rsid w:val="00EB1B15"/>
    <w:rsid w:val="00EB1D14"/>
    <w:rsid w:val="00EB23DE"/>
    <w:rsid w:val="00EB27ED"/>
    <w:rsid w:val="00EB2836"/>
    <w:rsid w:val="00EB2D3E"/>
    <w:rsid w:val="00EB33AE"/>
    <w:rsid w:val="00EB3756"/>
    <w:rsid w:val="00EB3DA7"/>
    <w:rsid w:val="00EB4C08"/>
    <w:rsid w:val="00EB5135"/>
    <w:rsid w:val="00EB601B"/>
    <w:rsid w:val="00EB6412"/>
    <w:rsid w:val="00EC0D8F"/>
    <w:rsid w:val="00EC0ECB"/>
    <w:rsid w:val="00EC10BE"/>
    <w:rsid w:val="00EC10FC"/>
    <w:rsid w:val="00EC110C"/>
    <w:rsid w:val="00EC20D5"/>
    <w:rsid w:val="00EC2439"/>
    <w:rsid w:val="00EC245E"/>
    <w:rsid w:val="00EC2A60"/>
    <w:rsid w:val="00EC2C4D"/>
    <w:rsid w:val="00EC2D0F"/>
    <w:rsid w:val="00EC2F2A"/>
    <w:rsid w:val="00EC35C5"/>
    <w:rsid w:val="00EC460C"/>
    <w:rsid w:val="00EC503C"/>
    <w:rsid w:val="00EC5C30"/>
    <w:rsid w:val="00EC603D"/>
    <w:rsid w:val="00EC60C1"/>
    <w:rsid w:val="00EC616A"/>
    <w:rsid w:val="00EC62C9"/>
    <w:rsid w:val="00EC645D"/>
    <w:rsid w:val="00EC649B"/>
    <w:rsid w:val="00EC66B8"/>
    <w:rsid w:val="00EC686D"/>
    <w:rsid w:val="00EC6893"/>
    <w:rsid w:val="00EC71BF"/>
    <w:rsid w:val="00EC71F9"/>
    <w:rsid w:val="00ED0048"/>
    <w:rsid w:val="00ED06A7"/>
    <w:rsid w:val="00ED0E73"/>
    <w:rsid w:val="00ED0E80"/>
    <w:rsid w:val="00ED0EA5"/>
    <w:rsid w:val="00ED18FB"/>
    <w:rsid w:val="00ED19FC"/>
    <w:rsid w:val="00ED1A2C"/>
    <w:rsid w:val="00ED1FCD"/>
    <w:rsid w:val="00ED207F"/>
    <w:rsid w:val="00ED2417"/>
    <w:rsid w:val="00ED2668"/>
    <w:rsid w:val="00ED2734"/>
    <w:rsid w:val="00ED2D6C"/>
    <w:rsid w:val="00ED3319"/>
    <w:rsid w:val="00ED353B"/>
    <w:rsid w:val="00ED373E"/>
    <w:rsid w:val="00ED3AC7"/>
    <w:rsid w:val="00ED3B4A"/>
    <w:rsid w:val="00ED3B52"/>
    <w:rsid w:val="00ED3E55"/>
    <w:rsid w:val="00ED3F68"/>
    <w:rsid w:val="00ED40E9"/>
    <w:rsid w:val="00ED4694"/>
    <w:rsid w:val="00ED4792"/>
    <w:rsid w:val="00ED4891"/>
    <w:rsid w:val="00ED4A20"/>
    <w:rsid w:val="00ED4C13"/>
    <w:rsid w:val="00ED5C56"/>
    <w:rsid w:val="00ED6458"/>
    <w:rsid w:val="00ED6501"/>
    <w:rsid w:val="00ED6B70"/>
    <w:rsid w:val="00ED6C60"/>
    <w:rsid w:val="00ED6CBA"/>
    <w:rsid w:val="00ED6EBD"/>
    <w:rsid w:val="00ED742C"/>
    <w:rsid w:val="00ED7F30"/>
    <w:rsid w:val="00EE1395"/>
    <w:rsid w:val="00EE1686"/>
    <w:rsid w:val="00EE1D54"/>
    <w:rsid w:val="00EE219E"/>
    <w:rsid w:val="00EE236B"/>
    <w:rsid w:val="00EE2632"/>
    <w:rsid w:val="00EE2D6E"/>
    <w:rsid w:val="00EE3E23"/>
    <w:rsid w:val="00EE4054"/>
    <w:rsid w:val="00EE48DD"/>
    <w:rsid w:val="00EE49EC"/>
    <w:rsid w:val="00EE4BE7"/>
    <w:rsid w:val="00EE5E88"/>
    <w:rsid w:val="00EE6079"/>
    <w:rsid w:val="00EE6FBC"/>
    <w:rsid w:val="00EE70C2"/>
    <w:rsid w:val="00EE72D8"/>
    <w:rsid w:val="00EE75FA"/>
    <w:rsid w:val="00EE76E6"/>
    <w:rsid w:val="00EE7811"/>
    <w:rsid w:val="00EE7AB5"/>
    <w:rsid w:val="00EE7B4E"/>
    <w:rsid w:val="00EF01D6"/>
    <w:rsid w:val="00EF0547"/>
    <w:rsid w:val="00EF0A0A"/>
    <w:rsid w:val="00EF0CA0"/>
    <w:rsid w:val="00EF11B3"/>
    <w:rsid w:val="00EF124B"/>
    <w:rsid w:val="00EF135F"/>
    <w:rsid w:val="00EF16B0"/>
    <w:rsid w:val="00EF16F8"/>
    <w:rsid w:val="00EF1932"/>
    <w:rsid w:val="00EF1942"/>
    <w:rsid w:val="00EF1C2A"/>
    <w:rsid w:val="00EF1DFE"/>
    <w:rsid w:val="00EF269D"/>
    <w:rsid w:val="00EF2868"/>
    <w:rsid w:val="00EF2929"/>
    <w:rsid w:val="00EF2C46"/>
    <w:rsid w:val="00EF2E4B"/>
    <w:rsid w:val="00EF2F56"/>
    <w:rsid w:val="00EF33B3"/>
    <w:rsid w:val="00EF352E"/>
    <w:rsid w:val="00EF3C3D"/>
    <w:rsid w:val="00EF413C"/>
    <w:rsid w:val="00EF4703"/>
    <w:rsid w:val="00EF5A50"/>
    <w:rsid w:val="00EF6A92"/>
    <w:rsid w:val="00EF6BEE"/>
    <w:rsid w:val="00EF6FF5"/>
    <w:rsid w:val="00EF744D"/>
    <w:rsid w:val="00EF76AE"/>
    <w:rsid w:val="00EF79E1"/>
    <w:rsid w:val="00EF7C89"/>
    <w:rsid w:val="00EF7F7A"/>
    <w:rsid w:val="00F004BA"/>
    <w:rsid w:val="00F00A5A"/>
    <w:rsid w:val="00F00D12"/>
    <w:rsid w:val="00F00E15"/>
    <w:rsid w:val="00F00F3E"/>
    <w:rsid w:val="00F010D3"/>
    <w:rsid w:val="00F02182"/>
    <w:rsid w:val="00F0225A"/>
    <w:rsid w:val="00F024F4"/>
    <w:rsid w:val="00F02A4C"/>
    <w:rsid w:val="00F02A64"/>
    <w:rsid w:val="00F02F30"/>
    <w:rsid w:val="00F02F65"/>
    <w:rsid w:val="00F032BD"/>
    <w:rsid w:val="00F035D7"/>
    <w:rsid w:val="00F03847"/>
    <w:rsid w:val="00F03C5F"/>
    <w:rsid w:val="00F0421C"/>
    <w:rsid w:val="00F0489B"/>
    <w:rsid w:val="00F04C70"/>
    <w:rsid w:val="00F05020"/>
    <w:rsid w:val="00F05791"/>
    <w:rsid w:val="00F05C02"/>
    <w:rsid w:val="00F06081"/>
    <w:rsid w:val="00F064FE"/>
    <w:rsid w:val="00F06500"/>
    <w:rsid w:val="00F0682B"/>
    <w:rsid w:val="00F068B9"/>
    <w:rsid w:val="00F06D3A"/>
    <w:rsid w:val="00F070F6"/>
    <w:rsid w:val="00F07418"/>
    <w:rsid w:val="00F07B12"/>
    <w:rsid w:val="00F07C5C"/>
    <w:rsid w:val="00F07EA6"/>
    <w:rsid w:val="00F07F5A"/>
    <w:rsid w:val="00F107DC"/>
    <w:rsid w:val="00F1192B"/>
    <w:rsid w:val="00F12674"/>
    <w:rsid w:val="00F1280E"/>
    <w:rsid w:val="00F13102"/>
    <w:rsid w:val="00F133F7"/>
    <w:rsid w:val="00F13D64"/>
    <w:rsid w:val="00F142DB"/>
    <w:rsid w:val="00F145A6"/>
    <w:rsid w:val="00F14A79"/>
    <w:rsid w:val="00F15520"/>
    <w:rsid w:val="00F15ADD"/>
    <w:rsid w:val="00F15F6A"/>
    <w:rsid w:val="00F16231"/>
    <w:rsid w:val="00F1786E"/>
    <w:rsid w:val="00F17962"/>
    <w:rsid w:val="00F17B62"/>
    <w:rsid w:val="00F17EF7"/>
    <w:rsid w:val="00F17F75"/>
    <w:rsid w:val="00F17FB4"/>
    <w:rsid w:val="00F2033B"/>
    <w:rsid w:val="00F2111C"/>
    <w:rsid w:val="00F21257"/>
    <w:rsid w:val="00F21336"/>
    <w:rsid w:val="00F21780"/>
    <w:rsid w:val="00F217BA"/>
    <w:rsid w:val="00F2180B"/>
    <w:rsid w:val="00F21BA6"/>
    <w:rsid w:val="00F21DB1"/>
    <w:rsid w:val="00F22158"/>
    <w:rsid w:val="00F22254"/>
    <w:rsid w:val="00F227B2"/>
    <w:rsid w:val="00F22D2B"/>
    <w:rsid w:val="00F22DD8"/>
    <w:rsid w:val="00F22E9D"/>
    <w:rsid w:val="00F234A3"/>
    <w:rsid w:val="00F23B06"/>
    <w:rsid w:val="00F23BB2"/>
    <w:rsid w:val="00F23E78"/>
    <w:rsid w:val="00F23FEB"/>
    <w:rsid w:val="00F252EC"/>
    <w:rsid w:val="00F2560A"/>
    <w:rsid w:val="00F26556"/>
    <w:rsid w:val="00F26ABA"/>
    <w:rsid w:val="00F26B06"/>
    <w:rsid w:val="00F26CF8"/>
    <w:rsid w:val="00F27535"/>
    <w:rsid w:val="00F27E40"/>
    <w:rsid w:val="00F300B3"/>
    <w:rsid w:val="00F30169"/>
    <w:rsid w:val="00F3040D"/>
    <w:rsid w:val="00F31353"/>
    <w:rsid w:val="00F31387"/>
    <w:rsid w:val="00F31552"/>
    <w:rsid w:val="00F31DDB"/>
    <w:rsid w:val="00F32953"/>
    <w:rsid w:val="00F33660"/>
    <w:rsid w:val="00F339A1"/>
    <w:rsid w:val="00F34D76"/>
    <w:rsid w:val="00F34EB1"/>
    <w:rsid w:val="00F35122"/>
    <w:rsid w:val="00F351CB"/>
    <w:rsid w:val="00F351E9"/>
    <w:rsid w:val="00F35891"/>
    <w:rsid w:val="00F35A10"/>
    <w:rsid w:val="00F3631C"/>
    <w:rsid w:val="00F3639F"/>
    <w:rsid w:val="00F36E98"/>
    <w:rsid w:val="00F370D2"/>
    <w:rsid w:val="00F37149"/>
    <w:rsid w:val="00F371DD"/>
    <w:rsid w:val="00F37239"/>
    <w:rsid w:val="00F3766E"/>
    <w:rsid w:val="00F37942"/>
    <w:rsid w:val="00F37AA7"/>
    <w:rsid w:val="00F37E38"/>
    <w:rsid w:val="00F408E4"/>
    <w:rsid w:val="00F40912"/>
    <w:rsid w:val="00F40A7C"/>
    <w:rsid w:val="00F415BB"/>
    <w:rsid w:val="00F41A2B"/>
    <w:rsid w:val="00F41BF5"/>
    <w:rsid w:val="00F42690"/>
    <w:rsid w:val="00F42A9C"/>
    <w:rsid w:val="00F4306C"/>
    <w:rsid w:val="00F43407"/>
    <w:rsid w:val="00F43C6F"/>
    <w:rsid w:val="00F43CE4"/>
    <w:rsid w:val="00F43FB9"/>
    <w:rsid w:val="00F44E53"/>
    <w:rsid w:val="00F44E9A"/>
    <w:rsid w:val="00F44F91"/>
    <w:rsid w:val="00F45533"/>
    <w:rsid w:val="00F45CAA"/>
    <w:rsid w:val="00F462F0"/>
    <w:rsid w:val="00F46450"/>
    <w:rsid w:val="00F4646A"/>
    <w:rsid w:val="00F46BC8"/>
    <w:rsid w:val="00F46FAD"/>
    <w:rsid w:val="00F4724F"/>
    <w:rsid w:val="00F47818"/>
    <w:rsid w:val="00F47945"/>
    <w:rsid w:val="00F47F24"/>
    <w:rsid w:val="00F50034"/>
    <w:rsid w:val="00F503CA"/>
    <w:rsid w:val="00F507A8"/>
    <w:rsid w:val="00F5080C"/>
    <w:rsid w:val="00F508A6"/>
    <w:rsid w:val="00F508D7"/>
    <w:rsid w:val="00F50C2C"/>
    <w:rsid w:val="00F50C52"/>
    <w:rsid w:val="00F51222"/>
    <w:rsid w:val="00F51464"/>
    <w:rsid w:val="00F517A1"/>
    <w:rsid w:val="00F5185D"/>
    <w:rsid w:val="00F519A9"/>
    <w:rsid w:val="00F51BBF"/>
    <w:rsid w:val="00F523B7"/>
    <w:rsid w:val="00F52875"/>
    <w:rsid w:val="00F5334B"/>
    <w:rsid w:val="00F5364E"/>
    <w:rsid w:val="00F53E43"/>
    <w:rsid w:val="00F543C9"/>
    <w:rsid w:val="00F546A0"/>
    <w:rsid w:val="00F54B99"/>
    <w:rsid w:val="00F55DBC"/>
    <w:rsid w:val="00F567C7"/>
    <w:rsid w:val="00F56C78"/>
    <w:rsid w:val="00F56CEE"/>
    <w:rsid w:val="00F56D1F"/>
    <w:rsid w:val="00F56DA0"/>
    <w:rsid w:val="00F57B3D"/>
    <w:rsid w:val="00F6065B"/>
    <w:rsid w:val="00F6073A"/>
    <w:rsid w:val="00F6074C"/>
    <w:rsid w:val="00F607F6"/>
    <w:rsid w:val="00F609AC"/>
    <w:rsid w:val="00F609BD"/>
    <w:rsid w:val="00F61443"/>
    <w:rsid w:val="00F61481"/>
    <w:rsid w:val="00F61BAF"/>
    <w:rsid w:val="00F61EB9"/>
    <w:rsid w:val="00F6261F"/>
    <w:rsid w:val="00F62E83"/>
    <w:rsid w:val="00F63C4A"/>
    <w:rsid w:val="00F64337"/>
    <w:rsid w:val="00F643DA"/>
    <w:rsid w:val="00F64A42"/>
    <w:rsid w:val="00F6590F"/>
    <w:rsid w:val="00F65DD9"/>
    <w:rsid w:val="00F6603A"/>
    <w:rsid w:val="00F66D82"/>
    <w:rsid w:val="00F672E4"/>
    <w:rsid w:val="00F70328"/>
    <w:rsid w:val="00F70564"/>
    <w:rsid w:val="00F707CA"/>
    <w:rsid w:val="00F70AB9"/>
    <w:rsid w:val="00F70B7F"/>
    <w:rsid w:val="00F7104A"/>
    <w:rsid w:val="00F71A55"/>
    <w:rsid w:val="00F71F92"/>
    <w:rsid w:val="00F72285"/>
    <w:rsid w:val="00F7308E"/>
    <w:rsid w:val="00F73AA6"/>
    <w:rsid w:val="00F743F3"/>
    <w:rsid w:val="00F7527A"/>
    <w:rsid w:val="00F75849"/>
    <w:rsid w:val="00F76058"/>
    <w:rsid w:val="00F7638C"/>
    <w:rsid w:val="00F76EBF"/>
    <w:rsid w:val="00F772AE"/>
    <w:rsid w:val="00F77C27"/>
    <w:rsid w:val="00F77FE2"/>
    <w:rsid w:val="00F80159"/>
    <w:rsid w:val="00F8089E"/>
    <w:rsid w:val="00F80C08"/>
    <w:rsid w:val="00F8158C"/>
    <w:rsid w:val="00F81702"/>
    <w:rsid w:val="00F81CFF"/>
    <w:rsid w:val="00F82B16"/>
    <w:rsid w:val="00F82C12"/>
    <w:rsid w:val="00F82C94"/>
    <w:rsid w:val="00F83098"/>
    <w:rsid w:val="00F830F2"/>
    <w:rsid w:val="00F8326B"/>
    <w:rsid w:val="00F832F4"/>
    <w:rsid w:val="00F83507"/>
    <w:rsid w:val="00F83C5A"/>
    <w:rsid w:val="00F83FCF"/>
    <w:rsid w:val="00F8451A"/>
    <w:rsid w:val="00F84629"/>
    <w:rsid w:val="00F84646"/>
    <w:rsid w:val="00F84A27"/>
    <w:rsid w:val="00F84F1C"/>
    <w:rsid w:val="00F8547E"/>
    <w:rsid w:val="00F856A1"/>
    <w:rsid w:val="00F8635A"/>
    <w:rsid w:val="00F86618"/>
    <w:rsid w:val="00F86BF2"/>
    <w:rsid w:val="00F8712D"/>
    <w:rsid w:val="00F87442"/>
    <w:rsid w:val="00F87B9C"/>
    <w:rsid w:val="00F87D1D"/>
    <w:rsid w:val="00F87F74"/>
    <w:rsid w:val="00F90032"/>
    <w:rsid w:val="00F90518"/>
    <w:rsid w:val="00F906BC"/>
    <w:rsid w:val="00F9092F"/>
    <w:rsid w:val="00F9096E"/>
    <w:rsid w:val="00F90A89"/>
    <w:rsid w:val="00F90B86"/>
    <w:rsid w:val="00F90C7E"/>
    <w:rsid w:val="00F90D8A"/>
    <w:rsid w:val="00F9115C"/>
    <w:rsid w:val="00F91442"/>
    <w:rsid w:val="00F91877"/>
    <w:rsid w:val="00F9230F"/>
    <w:rsid w:val="00F92B37"/>
    <w:rsid w:val="00F930D2"/>
    <w:rsid w:val="00F934D1"/>
    <w:rsid w:val="00F93661"/>
    <w:rsid w:val="00F937FC"/>
    <w:rsid w:val="00F938E1"/>
    <w:rsid w:val="00F9405D"/>
    <w:rsid w:val="00F9488A"/>
    <w:rsid w:val="00F94C0F"/>
    <w:rsid w:val="00F94D5F"/>
    <w:rsid w:val="00F953A1"/>
    <w:rsid w:val="00F9627E"/>
    <w:rsid w:val="00F9629B"/>
    <w:rsid w:val="00F9630B"/>
    <w:rsid w:val="00F965A8"/>
    <w:rsid w:val="00F9693C"/>
    <w:rsid w:val="00F96BED"/>
    <w:rsid w:val="00F96F2C"/>
    <w:rsid w:val="00F977CD"/>
    <w:rsid w:val="00F97AFA"/>
    <w:rsid w:val="00F97C72"/>
    <w:rsid w:val="00F97F94"/>
    <w:rsid w:val="00FA076C"/>
    <w:rsid w:val="00FA0F3B"/>
    <w:rsid w:val="00FA1A08"/>
    <w:rsid w:val="00FA1CA8"/>
    <w:rsid w:val="00FA1D35"/>
    <w:rsid w:val="00FA1D6E"/>
    <w:rsid w:val="00FA32FF"/>
    <w:rsid w:val="00FA37D7"/>
    <w:rsid w:val="00FA3905"/>
    <w:rsid w:val="00FA3CFE"/>
    <w:rsid w:val="00FA3FEE"/>
    <w:rsid w:val="00FA4A08"/>
    <w:rsid w:val="00FA54B4"/>
    <w:rsid w:val="00FA5604"/>
    <w:rsid w:val="00FA5B93"/>
    <w:rsid w:val="00FA5FC0"/>
    <w:rsid w:val="00FA6246"/>
    <w:rsid w:val="00FA6271"/>
    <w:rsid w:val="00FA65C5"/>
    <w:rsid w:val="00FA66A9"/>
    <w:rsid w:val="00FA66EF"/>
    <w:rsid w:val="00FA6919"/>
    <w:rsid w:val="00FA775F"/>
    <w:rsid w:val="00FA7DA8"/>
    <w:rsid w:val="00FB0C03"/>
    <w:rsid w:val="00FB0D9C"/>
    <w:rsid w:val="00FB1300"/>
    <w:rsid w:val="00FB1DA3"/>
    <w:rsid w:val="00FB2125"/>
    <w:rsid w:val="00FB215F"/>
    <w:rsid w:val="00FB21E6"/>
    <w:rsid w:val="00FB2663"/>
    <w:rsid w:val="00FB2722"/>
    <w:rsid w:val="00FB2AF1"/>
    <w:rsid w:val="00FB2B0A"/>
    <w:rsid w:val="00FB2DAC"/>
    <w:rsid w:val="00FB2F2F"/>
    <w:rsid w:val="00FB3A2B"/>
    <w:rsid w:val="00FB3C6F"/>
    <w:rsid w:val="00FB3D87"/>
    <w:rsid w:val="00FB3FCC"/>
    <w:rsid w:val="00FB4453"/>
    <w:rsid w:val="00FB4E27"/>
    <w:rsid w:val="00FB557B"/>
    <w:rsid w:val="00FB55B4"/>
    <w:rsid w:val="00FB57C2"/>
    <w:rsid w:val="00FB5C2D"/>
    <w:rsid w:val="00FB5D60"/>
    <w:rsid w:val="00FB6602"/>
    <w:rsid w:val="00FB7F86"/>
    <w:rsid w:val="00FC0282"/>
    <w:rsid w:val="00FC07C5"/>
    <w:rsid w:val="00FC1B1F"/>
    <w:rsid w:val="00FC2253"/>
    <w:rsid w:val="00FC25B0"/>
    <w:rsid w:val="00FC25B5"/>
    <w:rsid w:val="00FC2699"/>
    <w:rsid w:val="00FC3056"/>
    <w:rsid w:val="00FC3204"/>
    <w:rsid w:val="00FC34DF"/>
    <w:rsid w:val="00FC3880"/>
    <w:rsid w:val="00FC3BCA"/>
    <w:rsid w:val="00FC3D05"/>
    <w:rsid w:val="00FC3DB4"/>
    <w:rsid w:val="00FC41CD"/>
    <w:rsid w:val="00FC470D"/>
    <w:rsid w:val="00FC481F"/>
    <w:rsid w:val="00FC4C3A"/>
    <w:rsid w:val="00FC504E"/>
    <w:rsid w:val="00FC5DBA"/>
    <w:rsid w:val="00FC6D32"/>
    <w:rsid w:val="00FC6EBB"/>
    <w:rsid w:val="00FC73BD"/>
    <w:rsid w:val="00FC78CD"/>
    <w:rsid w:val="00FD0428"/>
    <w:rsid w:val="00FD0540"/>
    <w:rsid w:val="00FD0776"/>
    <w:rsid w:val="00FD0F03"/>
    <w:rsid w:val="00FD13CB"/>
    <w:rsid w:val="00FD1E1E"/>
    <w:rsid w:val="00FD2673"/>
    <w:rsid w:val="00FD2966"/>
    <w:rsid w:val="00FD2CBE"/>
    <w:rsid w:val="00FD32BD"/>
    <w:rsid w:val="00FD35CC"/>
    <w:rsid w:val="00FD3934"/>
    <w:rsid w:val="00FD3C64"/>
    <w:rsid w:val="00FD3E44"/>
    <w:rsid w:val="00FD44EB"/>
    <w:rsid w:val="00FD4726"/>
    <w:rsid w:val="00FD4836"/>
    <w:rsid w:val="00FD5553"/>
    <w:rsid w:val="00FD5E20"/>
    <w:rsid w:val="00FD6311"/>
    <w:rsid w:val="00FD68C6"/>
    <w:rsid w:val="00FD6943"/>
    <w:rsid w:val="00FD699A"/>
    <w:rsid w:val="00FD6A59"/>
    <w:rsid w:val="00FD6AAE"/>
    <w:rsid w:val="00FD73C5"/>
    <w:rsid w:val="00FD7430"/>
    <w:rsid w:val="00FD7B01"/>
    <w:rsid w:val="00FD7D25"/>
    <w:rsid w:val="00FD7EA0"/>
    <w:rsid w:val="00FE036D"/>
    <w:rsid w:val="00FE079A"/>
    <w:rsid w:val="00FE2138"/>
    <w:rsid w:val="00FE23F3"/>
    <w:rsid w:val="00FE2505"/>
    <w:rsid w:val="00FE29E2"/>
    <w:rsid w:val="00FE2A06"/>
    <w:rsid w:val="00FE31DD"/>
    <w:rsid w:val="00FE3E9B"/>
    <w:rsid w:val="00FE4147"/>
    <w:rsid w:val="00FE4377"/>
    <w:rsid w:val="00FE4461"/>
    <w:rsid w:val="00FE4469"/>
    <w:rsid w:val="00FE4B47"/>
    <w:rsid w:val="00FE4B53"/>
    <w:rsid w:val="00FE4BA1"/>
    <w:rsid w:val="00FE4CE1"/>
    <w:rsid w:val="00FE4D98"/>
    <w:rsid w:val="00FE54A6"/>
    <w:rsid w:val="00FE54B9"/>
    <w:rsid w:val="00FE5CC5"/>
    <w:rsid w:val="00FE6884"/>
    <w:rsid w:val="00FE6C05"/>
    <w:rsid w:val="00FE7A7C"/>
    <w:rsid w:val="00FE7AD6"/>
    <w:rsid w:val="00FF0148"/>
    <w:rsid w:val="00FF0233"/>
    <w:rsid w:val="00FF1031"/>
    <w:rsid w:val="00FF1608"/>
    <w:rsid w:val="00FF22C8"/>
    <w:rsid w:val="00FF24D2"/>
    <w:rsid w:val="00FF29AE"/>
    <w:rsid w:val="00FF2A43"/>
    <w:rsid w:val="00FF2DC1"/>
    <w:rsid w:val="00FF2DE7"/>
    <w:rsid w:val="00FF301B"/>
    <w:rsid w:val="00FF3CBA"/>
    <w:rsid w:val="00FF40C2"/>
    <w:rsid w:val="00FF4253"/>
    <w:rsid w:val="00FF46BC"/>
    <w:rsid w:val="00FF4D9F"/>
    <w:rsid w:val="00FF5C32"/>
    <w:rsid w:val="00FF5EF3"/>
    <w:rsid w:val="00FF60E1"/>
    <w:rsid w:val="00FF6513"/>
    <w:rsid w:val="00FF6B86"/>
    <w:rsid w:val="00FF7375"/>
    <w:rsid w:val="00FF7D33"/>
    <w:rsid w:val="02692983"/>
    <w:rsid w:val="03C24E2B"/>
    <w:rsid w:val="04D57ACB"/>
    <w:rsid w:val="054720BE"/>
    <w:rsid w:val="0862B2D8"/>
    <w:rsid w:val="0911AF71"/>
    <w:rsid w:val="0A384FC7"/>
    <w:rsid w:val="0A9AF306"/>
    <w:rsid w:val="0AC37AC3"/>
    <w:rsid w:val="0AF491C4"/>
    <w:rsid w:val="0B956672"/>
    <w:rsid w:val="0DB9CED6"/>
    <w:rsid w:val="0ED2AA9E"/>
    <w:rsid w:val="115366C7"/>
    <w:rsid w:val="128D6D46"/>
    <w:rsid w:val="16A44E9F"/>
    <w:rsid w:val="16AC22AA"/>
    <w:rsid w:val="17B1860A"/>
    <w:rsid w:val="17DDC99A"/>
    <w:rsid w:val="18BC06A1"/>
    <w:rsid w:val="1969BDCB"/>
    <w:rsid w:val="1A02A0A2"/>
    <w:rsid w:val="1B024B36"/>
    <w:rsid w:val="1B1B572E"/>
    <w:rsid w:val="1D80D491"/>
    <w:rsid w:val="1E092194"/>
    <w:rsid w:val="1F9AF888"/>
    <w:rsid w:val="259ABAC6"/>
    <w:rsid w:val="26096BA6"/>
    <w:rsid w:val="274F3ED1"/>
    <w:rsid w:val="28B8E821"/>
    <w:rsid w:val="2A55F32F"/>
    <w:rsid w:val="2A904668"/>
    <w:rsid w:val="2B989D36"/>
    <w:rsid w:val="2BD16E22"/>
    <w:rsid w:val="2C0C89E5"/>
    <w:rsid w:val="2EE13F6D"/>
    <w:rsid w:val="2F674904"/>
    <w:rsid w:val="2F7AD084"/>
    <w:rsid w:val="3116A0E5"/>
    <w:rsid w:val="3767E92B"/>
    <w:rsid w:val="3A5CC733"/>
    <w:rsid w:val="3C0721AF"/>
    <w:rsid w:val="3C740259"/>
    <w:rsid w:val="3CEE4011"/>
    <w:rsid w:val="3DF035CF"/>
    <w:rsid w:val="401836A3"/>
    <w:rsid w:val="42337154"/>
    <w:rsid w:val="48277B21"/>
    <w:rsid w:val="4945E090"/>
    <w:rsid w:val="4A55D065"/>
    <w:rsid w:val="4AEC1D4F"/>
    <w:rsid w:val="4AFD233A"/>
    <w:rsid w:val="4BD5DC9B"/>
    <w:rsid w:val="4C2B61FB"/>
    <w:rsid w:val="4C743CB3"/>
    <w:rsid w:val="5002F160"/>
    <w:rsid w:val="5153D8D6"/>
    <w:rsid w:val="52928225"/>
    <w:rsid w:val="538ED1E1"/>
    <w:rsid w:val="544F919B"/>
    <w:rsid w:val="56A6213C"/>
    <w:rsid w:val="5B07B2DB"/>
    <w:rsid w:val="5CF62D33"/>
    <w:rsid w:val="5E961EE0"/>
    <w:rsid w:val="6033DB25"/>
    <w:rsid w:val="62C207FC"/>
    <w:rsid w:val="63018F87"/>
    <w:rsid w:val="64A0AAAC"/>
    <w:rsid w:val="656498CB"/>
    <w:rsid w:val="6727CEB8"/>
    <w:rsid w:val="684BC60B"/>
    <w:rsid w:val="68DCD5D5"/>
    <w:rsid w:val="6990FFC7"/>
    <w:rsid w:val="69976A75"/>
    <w:rsid w:val="6A4D6080"/>
    <w:rsid w:val="6BCD94F9"/>
    <w:rsid w:val="6CC12E1E"/>
    <w:rsid w:val="6D4083B0"/>
    <w:rsid w:val="6FF13CC3"/>
    <w:rsid w:val="6FFB8521"/>
    <w:rsid w:val="70C4D42C"/>
    <w:rsid w:val="727BB479"/>
    <w:rsid w:val="73D714E8"/>
    <w:rsid w:val="7642B75B"/>
    <w:rsid w:val="7679F3B5"/>
    <w:rsid w:val="76D27DF1"/>
    <w:rsid w:val="76FAF1F1"/>
    <w:rsid w:val="79712419"/>
    <w:rsid w:val="7BE75F98"/>
    <w:rsid w:val="7CA82D63"/>
    <w:rsid w:val="7E3794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76D6BDA0-DD7A-4D02-BF53-0D52A4AE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3F"/>
    <w:pPr>
      <w:spacing w:line="288" w:lineRule="auto"/>
    </w:pPr>
    <w:rPr>
      <w:rFonts w:ascii="Verdana" w:hAnsi="Verdana"/>
    </w:rPr>
  </w:style>
  <w:style w:type="paragraph" w:styleId="Heading1">
    <w:name w:val="heading 1"/>
    <w:basedOn w:val="Normal"/>
    <w:next w:val="Normal"/>
    <w:link w:val="Heading1Char"/>
    <w:uiPriority w:val="9"/>
    <w:qFormat/>
    <w:rsid w:val="009A6C8C"/>
    <w:pPr>
      <w:keepNext/>
      <w:keepLines/>
      <w:numPr>
        <w:numId w:val="1"/>
      </w:numPr>
      <w:spacing w:before="240" w:line="480" w:lineRule="auto"/>
      <w:ind w:left="36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780FAD"/>
    <w:pPr>
      <w:keepNext/>
      <w:keepLines/>
      <w:spacing w:before="40" w:line="48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A533F"/>
    <w:pPr>
      <w:keepNext/>
      <w:keepLines/>
      <w:spacing w:before="40" w:line="480" w:lineRule="auto"/>
      <w:outlineLvl w:val="2"/>
    </w:pPr>
    <w:rPr>
      <w:rFonts w:eastAsiaTheme="majorEastAsia" w:cstheme="majorBidi"/>
      <w:b/>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link w:val="BasicParagraphChar"/>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f"/>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9A6C8C"/>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780FAD"/>
    <w:rPr>
      <w:rFonts w:ascii="Verdana" w:eastAsiaTheme="majorEastAsia" w:hAnsi="Verdana" w:cstheme="majorBidi"/>
      <w:b/>
      <w:szCs w:val="26"/>
    </w:rPr>
  </w:style>
  <w:style w:type="character" w:customStyle="1" w:styleId="Heading3Char">
    <w:name w:val="Heading 3 Char"/>
    <w:basedOn w:val="DefaultParagraphFont"/>
    <w:link w:val="Heading3"/>
    <w:uiPriority w:val="9"/>
    <w:rsid w:val="00BA533F"/>
    <w:rPr>
      <w:rFonts w:ascii="Verdana" w:eastAsiaTheme="majorEastAsia" w:hAnsi="Verdana" w:cstheme="majorBidi"/>
      <w:b/>
    </w:rPr>
  </w:style>
  <w:style w:type="paragraph" w:styleId="TOCHeading">
    <w:name w:val="TOC Heading"/>
    <w:basedOn w:val="Heading1"/>
    <w:next w:val="Normal"/>
    <w:uiPriority w:val="39"/>
    <w:unhideWhenUsed/>
    <w:qFormat/>
    <w:rsid w:val="0096056C"/>
    <w:pPr>
      <w:numPr>
        <w:numId w:val="0"/>
      </w:num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174A2E"/>
    <w:pPr>
      <w:tabs>
        <w:tab w:val="left" w:pos="709"/>
        <w:tab w:val="right" w:leader="dot" w:pos="9848"/>
      </w:tabs>
      <w:spacing w:after="100"/>
      <w:ind w:left="240"/>
    </w:pPr>
    <w:rPr>
      <w:noProof/>
    </w:rPr>
  </w:style>
  <w:style w:type="paragraph" w:styleId="TOC3">
    <w:name w:val="toc 3"/>
    <w:basedOn w:val="Normal"/>
    <w:next w:val="Normal"/>
    <w:autoRedefine/>
    <w:uiPriority w:val="39"/>
    <w:unhideWhenUsed/>
    <w:rsid w:val="00780FAD"/>
    <w:pPr>
      <w:tabs>
        <w:tab w:val="right" w:leader="dot" w:pos="9848"/>
      </w:tabs>
      <w:spacing w:after="100"/>
      <w:ind w:left="284"/>
    </w:pPr>
  </w:style>
  <w:style w:type="character" w:styleId="CommentReference">
    <w:name w:val="annotation reference"/>
    <w:basedOn w:val="DefaultParagraphFont"/>
    <w:uiPriority w:val="99"/>
    <w:semiHidden/>
    <w:unhideWhenUsed/>
    <w:rsid w:val="000A7CAC"/>
    <w:rPr>
      <w:sz w:val="16"/>
      <w:szCs w:val="16"/>
    </w:rPr>
  </w:style>
  <w:style w:type="paragraph" w:styleId="CommentText">
    <w:name w:val="annotation text"/>
    <w:basedOn w:val="Normal"/>
    <w:link w:val="CommentTextChar"/>
    <w:uiPriority w:val="99"/>
    <w:unhideWhenUsed/>
    <w:rsid w:val="000A7CAC"/>
    <w:pPr>
      <w:spacing w:line="240" w:lineRule="auto"/>
    </w:pPr>
    <w:rPr>
      <w:sz w:val="20"/>
      <w:szCs w:val="20"/>
    </w:rPr>
  </w:style>
  <w:style w:type="character" w:customStyle="1" w:styleId="CommentTextChar">
    <w:name w:val="Comment Text Char"/>
    <w:basedOn w:val="DefaultParagraphFont"/>
    <w:link w:val="CommentText"/>
    <w:uiPriority w:val="99"/>
    <w:rsid w:val="000A7CA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0A7CAC"/>
    <w:rPr>
      <w:b/>
      <w:bCs/>
    </w:rPr>
  </w:style>
  <w:style w:type="character" w:customStyle="1" w:styleId="CommentSubjectChar">
    <w:name w:val="Comment Subject Char"/>
    <w:basedOn w:val="CommentTextChar"/>
    <w:link w:val="CommentSubject"/>
    <w:uiPriority w:val="99"/>
    <w:semiHidden/>
    <w:rsid w:val="000A7CAC"/>
    <w:rPr>
      <w:rFonts w:ascii="Verdana" w:hAnsi="Verdana"/>
      <w:b/>
      <w:bCs/>
      <w:sz w:val="20"/>
      <w:szCs w:val="20"/>
    </w:rPr>
  </w:style>
  <w:style w:type="paragraph" w:styleId="Quote">
    <w:name w:val="Quote"/>
    <w:basedOn w:val="Normal"/>
    <w:next w:val="Normal"/>
    <w:link w:val="QuoteChar"/>
    <w:uiPriority w:val="29"/>
    <w:qFormat/>
    <w:rsid w:val="009430F4"/>
    <w:pPr>
      <w:ind w:left="862" w:right="862"/>
      <w:jc w:val="both"/>
    </w:pPr>
    <w:rPr>
      <w:iCs/>
    </w:rPr>
  </w:style>
  <w:style w:type="character" w:customStyle="1" w:styleId="QuoteChar">
    <w:name w:val="Quote Char"/>
    <w:basedOn w:val="DefaultParagraphFont"/>
    <w:link w:val="Quote"/>
    <w:uiPriority w:val="29"/>
    <w:rsid w:val="009430F4"/>
    <w:rPr>
      <w:rFonts w:ascii="Verdana" w:hAnsi="Verdana"/>
      <w:iCs/>
    </w:rPr>
  </w:style>
  <w:style w:type="paragraph" w:styleId="Revision">
    <w:name w:val="Revision"/>
    <w:hidden/>
    <w:uiPriority w:val="99"/>
    <w:semiHidden/>
    <w:rsid w:val="00102665"/>
    <w:rPr>
      <w:rFonts w:ascii="Verdana" w:hAnsi="Verdana"/>
    </w:rPr>
  </w:style>
  <w:style w:type="character" w:styleId="UnresolvedMention">
    <w:name w:val="Unresolved Mention"/>
    <w:basedOn w:val="DefaultParagraphFont"/>
    <w:uiPriority w:val="99"/>
    <w:semiHidden/>
    <w:unhideWhenUsed/>
    <w:rsid w:val="00ED6C60"/>
    <w:rPr>
      <w:color w:val="605E5C"/>
      <w:shd w:val="clear" w:color="auto" w:fill="E1DFDD"/>
    </w:rPr>
  </w:style>
  <w:style w:type="character" w:styleId="FollowedHyperlink">
    <w:name w:val="FollowedHyperlink"/>
    <w:basedOn w:val="DefaultParagraphFont"/>
    <w:uiPriority w:val="99"/>
    <w:semiHidden/>
    <w:unhideWhenUsed/>
    <w:rsid w:val="00EF6A92"/>
    <w:rPr>
      <w:color w:val="800080" w:themeColor="followedHyperlink"/>
      <w:u w:val="single"/>
    </w:rPr>
  </w:style>
  <w:style w:type="character" w:customStyle="1" w:styleId="ui-provider">
    <w:name w:val="ui-provider"/>
    <w:basedOn w:val="DefaultParagraphFont"/>
    <w:rsid w:val="0033178E"/>
  </w:style>
  <w:style w:type="character" w:styleId="Strong">
    <w:name w:val="Strong"/>
    <w:basedOn w:val="DefaultParagraphFont"/>
    <w:uiPriority w:val="22"/>
    <w:qFormat/>
    <w:rsid w:val="00D3775C"/>
    <w:rPr>
      <w:b/>
      <w:bCs/>
    </w:rPr>
  </w:style>
  <w:style w:type="paragraph" w:styleId="TOC1">
    <w:name w:val="toc 1"/>
    <w:basedOn w:val="Normal"/>
    <w:next w:val="Normal"/>
    <w:autoRedefine/>
    <w:uiPriority w:val="39"/>
    <w:unhideWhenUsed/>
    <w:rsid w:val="00C324B6"/>
    <w:pPr>
      <w:tabs>
        <w:tab w:val="left" w:pos="660"/>
        <w:tab w:val="right" w:leader="dot" w:pos="9848"/>
      </w:tabs>
      <w:spacing w:after="100"/>
    </w:pPr>
    <w:rPr>
      <w:b/>
      <w:bCs/>
      <w:noProof/>
    </w:rPr>
  </w:style>
  <w:style w:type="character" w:customStyle="1" w:styleId="footnotereference0">
    <w:name w:val="footnotereference"/>
    <w:basedOn w:val="DefaultParagraphFont"/>
    <w:rsid w:val="005A02F9"/>
  </w:style>
  <w:style w:type="table" w:styleId="TableGrid">
    <w:name w:val="Table Grid"/>
    <w:basedOn w:val="TableNormal"/>
    <w:uiPriority w:val="59"/>
    <w:rsid w:val="00E5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21394A"/>
    <w:pPr>
      <w:spacing w:after="160" w:line="240" w:lineRule="exact"/>
      <w:jc w:val="both"/>
    </w:pPr>
    <w:rPr>
      <w:rFonts w:asciiTheme="minorHAnsi" w:hAnsiTheme="minorHAnsi"/>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6E24B6"/>
    <w:rPr>
      <w:rFonts w:ascii="Verdana" w:hAnsi="Verdana"/>
    </w:rPr>
  </w:style>
  <w:style w:type="paragraph" w:customStyle="1" w:styleId="Footnote">
    <w:name w:val="Footnote"/>
    <w:basedOn w:val="FootnoteText"/>
    <w:link w:val="FootnoteChar"/>
    <w:qFormat/>
    <w:rsid w:val="00CF29FF"/>
    <w:pPr>
      <w:spacing w:line="240" w:lineRule="auto"/>
    </w:pPr>
    <w:rPr>
      <w:rFonts w:eastAsia="Verdana" w:cs="Verdana"/>
      <w:color w:val="77328A"/>
      <w:sz w:val="16"/>
      <w:szCs w:val="16"/>
      <w:lang w:eastAsia="en-GB"/>
    </w:rPr>
  </w:style>
  <w:style w:type="character" w:customStyle="1" w:styleId="FootnoteChar">
    <w:name w:val="Footnote Char"/>
    <w:basedOn w:val="DefaultParagraphFont"/>
    <w:link w:val="Footnote"/>
    <w:rsid w:val="00CF29FF"/>
    <w:rPr>
      <w:rFonts w:ascii="Verdana" w:eastAsia="Verdana" w:hAnsi="Verdana" w:cs="Verdana"/>
      <w:color w:val="77328A"/>
      <w:sz w:val="16"/>
      <w:szCs w:val="16"/>
      <w:lang w:eastAsia="en-GB"/>
    </w:rPr>
  </w:style>
  <w:style w:type="character" w:styleId="Mention">
    <w:name w:val="Mention"/>
    <w:basedOn w:val="DefaultParagraphFont"/>
    <w:uiPriority w:val="99"/>
    <w:unhideWhenUsed/>
    <w:rsid w:val="00EA60D8"/>
    <w:rPr>
      <w:color w:val="2B579A"/>
      <w:shd w:val="clear" w:color="auto" w:fill="E1DFDD"/>
    </w:rPr>
  </w:style>
  <w:style w:type="character" w:customStyle="1" w:styleId="BasicParagraphChar">
    <w:name w:val="[Basic Paragraph] Char"/>
    <w:basedOn w:val="DefaultParagraphFont"/>
    <w:link w:val="BasicParagraph"/>
    <w:uiPriority w:val="99"/>
    <w:rsid w:val="009A237B"/>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4580">
      <w:bodyDiv w:val="1"/>
      <w:marLeft w:val="0"/>
      <w:marRight w:val="0"/>
      <w:marTop w:val="0"/>
      <w:marBottom w:val="0"/>
      <w:divBdr>
        <w:top w:val="none" w:sz="0" w:space="0" w:color="auto"/>
        <w:left w:val="none" w:sz="0" w:space="0" w:color="auto"/>
        <w:bottom w:val="none" w:sz="0" w:space="0" w:color="auto"/>
        <w:right w:val="none" w:sz="0" w:space="0" w:color="auto"/>
      </w:divBdr>
    </w:div>
    <w:div w:id="142934583">
      <w:bodyDiv w:val="1"/>
      <w:marLeft w:val="0"/>
      <w:marRight w:val="0"/>
      <w:marTop w:val="0"/>
      <w:marBottom w:val="0"/>
      <w:divBdr>
        <w:top w:val="none" w:sz="0" w:space="0" w:color="auto"/>
        <w:left w:val="none" w:sz="0" w:space="0" w:color="auto"/>
        <w:bottom w:val="none" w:sz="0" w:space="0" w:color="auto"/>
        <w:right w:val="none" w:sz="0" w:space="0" w:color="auto"/>
      </w:divBdr>
    </w:div>
    <w:div w:id="222496180">
      <w:bodyDiv w:val="1"/>
      <w:marLeft w:val="0"/>
      <w:marRight w:val="0"/>
      <w:marTop w:val="0"/>
      <w:marBottom w:val="0"/>
      <w:divBdr>
        <w:top w:val="none" w:sz="0" w:space="0" w:color="auto"/>
        <w:left w:val="none" w:sz="0" w:space="0" w:color="auto"/>
        <w:bottom w:val="none" w:sz="0" w:space="0" w:color="auto"/>
        <w:right w:val="none" w:sz="0" w:space="0" w:color="auto"/>
      </w:divBdr>
    </w:div>
    <w:div w:id="223761693">
      <w:bodyDiv w:val="1"/>
      <w:marLeft w:val="0"/>
      <w:marRight w:val="0"/>
      <w:marTop w:val="0"/>
      <w:marBottom w:val="0"/>
      <w:divBdr>
        <w:top w:val="none" w:sz="0" w:space="0" w:color="auto"/>
        <w:left w:val="none" w:sz="0" w:space="0" w:color="auto"/>
        <w:bottom w:val="none" w:sz="0" w:space="0" w:color="auto"/>
        <w:right w:val="none" w:sz="0" w:space="0" w:color="auto"/>
      </w:divBdr>
    </w:div>
    <w:div w:id="246614691">
      <w:bodyDiv w:val="1"/>
      <w:marLeft w:val="0"/>
      <w:marRight w:val="0"/>
      <w:marTop w:val="0"/>
      <w:marBottom w:val="0"/>
      <w:divBdr>
        <w:top w:val="none" w:sz="0" w:space="0" w:color="auto"/>
        <w:left w:val="none" w:sz="0" w:space="0" w:color="auto"/>
        <w:bottom w:val="none" w:sz="0" w:space="0" w:color="auto"/>
        <w:right w:val="none" w:sz="0" w:space="0" w:color="auto"/>
      </w:divBdr>
    </w:div>
    <w:div w:id="248466708">
      <w:bodyDiv w:val="1"/>
      <w:marLeft w:val="0"/>
      <w:marRight w:val="0"/>
      <w:marTop w:val="0"/>
      <w:marBottom w:val="0"/>
      <w:divBdr>
        <w:top w:val="none" w:sz="0" w:space="0" w:color="auto"/>
        <w:left w:val="none" w:sz="0" w:space="0" w:color="auto"/>
        <w:bottom w:val="none" w:sz="0" w:space="0" w:color="auto"/>
        <w:right w:val="none" w:sz="0" w:space="0" w:color="auto"/>
      </w:divBdr>
    </w:div>
    <w:div w:id="300577913">
      <w:bodyDiv w:val="1"/>
      <w:marLeft w:val="0"/>
      <w:marRight w:val="0"/>
      <w:marTop w:val="0"/>
      <w:marBottom w:val="0"/>
      <w:divBdr>
        <w:top w:val="none" w:sz="0" w:space="0" w:color="auto"/>
        <w:left w:val="none" w:sz="0" w:space="0" w:color="auto"/>
        <w:bottom w:val="none" w:sz="0" w:space="0" w:color="auto"/>
        <w:right w:val="none" w:sz="0" w:space="0" w:color="auto"/>
      </w:divBdr>
    </w:div>
    <w:div w:id="307906229">
      <w:bodyDiv w:val="1"/>
      <w:marLeft w:val="0"/>
      <w:marRight w:val="0"/>
      <w:marTop w:val="0"/>
      <w:marBottom w:val="0"/>
      <w:divBdr>
        <w:top w:val="none" w:sz="0" w:space="0" w:color="auto"/>
        <w:left w:val="none" w:sz="0" w:space="0" w:color="auto"/>
        <w:bottom w:val="none" w:sz="0" w:space="0" w:color="auto"/>
        <w:right w:val="none" w:sz="0" w:space="0" w:color="auto"/>
      </w:divBdr>
    </w:div>
    <w:div w:id="340474263">
      <w:bodyDiv w:val="1"/>
      <w:marLeft w:val="0"/>
      <w:marRight w:val="0"/>
      <w:marTop w:val="0"/>
      <w:marBottom w:val="0"/>
      <w:divBdr>
        <w:top w:val="none" w:sz="0" w:space="0" w:color="auto"/>
        <w:left w:val="none" w:sz="0" w:space="0" w:color="auto"/>
        <w:bottom w:val="none" w:sz="0" w:space="0" w:color="auto"/>
        <w:right w:val="none" w:sz="0" w:space="0" w:color="auto"/>
      </w:divBdr>
    </w:div>
    <w:div w:id="340789337">
      <w:bodyDiv w:val="1"/>
      <w:marLeft w:val="0"/>
      <w:marRight w:val="0"/>
      <w:marTop w:val="0"/>
      <w:marBottom w:val="0"/>
      <w:divBdr>
        <w:top w:val="none" w:sz="0" w:space="0" w:color="auto"/>
        <w:left w:val="none" w:sz="0" w:space="0" w:color="auto"/>
        <w:bottom w:val="none" w:sz="0" w:space="0" w:color="auto"/>
        <w:right w:val="none" w:sz="0" w:space="0" w:color="auto"/>
      </w:divBdr>
    </w:div>
    <w:div w:id="363215639">
      <w:bodyDiv w:val="1"/>
      <w:marLeft w:val="0"/>
      <w:marRight w:val="0"/>
      <w:marTop w:val="0"/>
      <w:marBottom w:val="0"/>
      <w:divBdr>
        <w:top w:val="none" w:sz="0" w:space="0" w:color="auto"/>
        <w:left w:val="none" w:sz="0" w:space="0" w:color="auto"/>
        <w:bottom w:val="none" w:sz="0" w:space="0" w:color="auto"/>
        <w:right w:val="none" w:sz="0" w:space="0" w:color="auto"/>
      </w:divBdr>
    </w:div>
    <w:div w:id="379868561">
      <w:bodyDiv w:val="1"/>
      <w:marLeft w:val="0"/>
      <w:marRight w:val="0"/>
      <w:marTop w:val="0"/>
      <w:marBottom w:val="0"/>
      <w:divBdr>
        <w:top w:val="none" w:sz="0" w:space="0" w:color="auto"/>
        <w:left w:val="none" w:sz="0" w:space="0" w:color="auto"/>
        <w:bottom w:val="none" w:sz="0" w:space="0" w:color="auto"/>
        <w:right w:val="none" w:sz="0" w:space="0" w:color="auto"/>
      </w:divBdr>
    </w:div>
    <w:div w:id="396124529">
      <w:bodyDiv w:val="1"/>
      <w:marLeft w:val="0"/>
      <w:marRight w:val="0"/>
      <w:marTop w:val="0"/>
      <w:marBottom w:val="0"/>
      <w:divBdr>
        <w:top w:val="none" w:sz="0" w:space="0" w:color="auto"/>
        <w:left w:val="none" w:sz="0" w:space="0" w:color="auto"/>
        <w:bottom w:val="none" w:sz="0" w:space="0" w:color="auto"/>
        <w:right w:val="none" w:sz="0" w:space="0" w:color="auto"/>
      </w:divBdr>
    </w:div>
    <w:div w:id="445276271">
      <w:bodyDiv w:val="1"/>
      <w:marLeft w:val="0"/>
      <w:marRight w:val="0"/>
      <w:marTop w:val="0"/>
      <w:marBottom w:val="0"/>
      <w:divBdr>
        <w:top w:val="none" w:sz="0" w:space="0" w:color="auto"/>
        <w:left w:val="none" w:sz="0" w:space="0" w:color="auto"/>
        <w:bottom w:val="none" w:sz="0" w:space="0" w:color="auto"/>
        <w:right w:val="none" w:sz="0" w:space="0" w:color="auto"/>
      </w:divBdr>
    </w:div>
    <w:div w:id="481580185">
      <w:bodyDiv w:val="1"/>
      <w:marLeft w:val="0"/>
      <w:marRight w:val="0"/>
      <w:marTop w:val="0"/>
      <w:marBottom w:val="0"/>
      <w:divBdr>
        <w:top w:val="none" w:sz="0" w:space="0" w:color="auto"/>
        <w:left w:val="none" w:sz="0" w:space="0" w:color="auto"/>
        <w:bottom w:val="none" w:sz="0" w:space="0" w:color="auto"/>
        <w:right w:val="none" w:sz="0" w:space="0" w:color="auto"/>
      </w:divBdr>
    </w:div>
    <w:div w:id="489558663">
      <w:bodyDiv w:val="1"/>
      <w:marLeft w:val="0"/>
      <w:marRight w:val="0"/>
      <w:marTop w:val="0"/>
      <w:marBottom w:val="0"/>
      <w:divBdr>
        <w:top w:val="none" w:sz="0" w:space="0" w:color="auto"/>
        <w:left w:val="none" w:sz="0" w:space="0" w:color="auto"/>
        <w:bottom w:val="none" w:sz="0" w:space="0" w:color="auto"/>
        <w:right w:val="none" w:sz="0" w:space="0" w:color="auto"/>
      </w:divBdr>
    </w:div>
    <w:div w:id="565141035">
      <w:bodyDiv w:val="1"/>
      <w:marLeft w:val="0"/>
      <w:marRight w:val="0"/>
      <w:marTop w:val="0"/>
      <w:marBottom w:val="0"/>
      <w:divBdr>
        <w:top w:val="none" w:sz="0" w:space="0" w:color="auto"/>
        <w:left w:val="none" w:sz="0" w:space="0" w:color="auto"/>
        <w:bottom w:val="none" w:sz="0" w:space="0" w:color="auto"/>
        <w:right w:val="none" w:sz="0" w:space="0" w:color="auto"/>
      </w:divBdr>
    </w:div>
    <w:div w:id="575164146">
      <w:bodyDiv w:val="1"/>
      <w:marLeft w:val="0"/>
      <w:marRight w:val="0"/>
      <w:marTop w:val="0"/>
      <w:marBottom w:val="0"/>
      <w:divBdr>
        <w:top w:val="none" w:sz="0" w:space="0" w:color="auto"/>
        <w:left w:val="none" w:sz="0" w:space="0" w:color="auto"/>
        <w:bottom w:val="none" w:sz="0" w:space="0" w:color="auto"/>
        <w:right w:val="none" w:sz="0" w:space="0" w:color="auto"/>
      </w:divBdr>
    </w:div>
    <w:div w:id="594632797">
      <w:bodyDiv w:val="1"/>
      <w:marLeft w:val="0"/>
      <w:marRight w:val="0"/>
      <w:marTop w:val="0"/>
      <w:marBottom w:val="0"/>
      <w:divBdr>
        <w:top w:val="none" w:sz="0" w:space="0" w:color="auto"/>
        <w:left w:val="none" w:sz="0" w:space="0" w:color="auto"/>
        <w:bottom w:val="none" w:sz="0" w:space="0" w:color="auto"/>
        <w:right w:val="none" w:sz="0" w:space="0" w:color="auto"/>
      </w:divBdr>
      <w:divsChild>
        <w:div w:id="1073236951">
          <w:marLeft w:val="0"/>
          <w:marRight w:val="0"/>
          <w:marTop w:val="0"/>
          <w:marBottom w:val="0"/>
          <w:divBdr>
            <w:top w:val="none" w:sz="0" w:space="0" w:color="auto"/>
            <w:left w:val="none" w:sz="0" w:space="0" w:color="auto"/>
            <w:bottom w:val="none" w:sz="0" w:space="0" w:color="auto"/>
            <w:right w:val="none" w:sz="0" w:space="0" w:color="auto"/>
          </w:divBdr>
          <w:divsChild>
            <w:div w:id="1539581933">
              <w:marLeft w:val="0"/>
              <w:marRight w:val="0"/>
              <w:marTop w:val="0"/>
              <w:marBottom w:val="0"/>
              <w:divBdr>
                <w:top w:val="none" w:sz="0" w:space="0" w:color="auto"/>
                <w:left w:val="none" w:sz="0" w:space="0" w:color="auto"/>
                <w:bottom w:val="none" w:sz="0" w:space="0" w:color="auto"/>
                <w:right w:val="none" w:sz="0" w:space="0" w:color="auto"/>
              </w:divBdr>
            </w:div>
          </w:divsChild>
        </w:div>
        <w:div w:id="1395738688">
          <w:marLeft w:val="0"/>
          <w:marRight w:val="0"/>
          <w:marTop w:val="0"/>
          <w:marBottom w:val="0"/>
          <w:divBdr>
            <w:top w:val="none" w:sz="0" w:space="0" w:color="auto"/>
            <w:left w:val="none" w:sz="0" w:space="0" w:color="auto"/>
            <w:bottom w:val="none" w:sz="0" w:space="0" w:color="auto"/>
            <w:right w:val="none" w:sz="0" w:space="0" w:color="auto"/>
          </w:divBdr>
          <w:divsChild>
            <w:div w:id="1803572249">
              <w:marLeft w:val="0"/>
              <w:marRight w:val="0"/>
              <w:marTop w:val="0"/>
              <w:marBottom w:val="0"/>
              <w:divBdr>
                <w:top w:val="none" w:sz="0" w:space="0" w:color="auto"/>
                <w:left w:val="none" w:sz="0" w:space="0" w:color="auto"/>
                <w:bottom w:val="none" w:sz="0" w:space="0" w:color="auto"/>
                <w:right w:val="none" w:sz="0" w:space="0" w:color="auto"/>
              </w:divBdr>
            </w:div>
          </w:divsChild>
        </w:div>
        <w:div w:id="1484007122">
          <w:marLeft w:val="0"/>
          <w:marRight w:val="0"/>
          <w:marTop w:val="0"/>
          <w:marBottom w:val="0"/>
          <w:divBdr>
            <w:top w:val="none" w:sz="0" w:space="0" w:color="auto"/>
            <w:left w:val="none" w:sz="0" w:space="0" w:color="auto"/>
            <w:bottom w:val="none" w:sz="0" w:space="0" w:color="auto"/>
            <w:right w:val="none" w:sz="0" w:space="0" w:color="auto"/>
          </w:divBdr>
          <w:divsChild>
            <w:div w:id="734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32576">
      <w:bodyDiv w:val="1"/>
      <w:marLeft w:val="0"/>
      <w:marRight w:val="0"/>
      <w:marTop w:val="0"/>
      <w:marBottom w:val="0"/>
      <w:divBdr>
        <w:top w:val="none" w:sz="0" w:space="0" w:color="auto"/>
        <w:left w:val="none" w:sz="0" w:space="0" w:color="auto"/>
        <w:bottom w:val="none" w:sz="0" w:space="0" w:color="auto"/>
        <w:right w:val="none" w:sz="0" w:space="0" w:color="auto"/>
      </w:divBdr>
    </w:div>
    <w:div w:id="650210655">
      <w:bodyDiv w:val="1"/>
      <w:marLeft w:val="0"/>
      <w:marRight w:val="0"/>
      <w:marTop w:val="0"/>
      <w:marBottom w:val="0"/>
      <w:divBdr>
        <w:top w:val="none" w:sz="0" w:space="0" w:color="auto"/>
        <w:left w:val="none" w:sz="0" w:space="0" w:color="auto"/>
        <w:bottom w:val="none" w:sz="0" w:space="0" w:color="auto"/>
        <w:right w:val="none" w:sz="0" w:space="0" w:color="auto"/>
      </w:divBdr>
    </w:div>
    <w:div w:id="677774285">
      <w:bodyDiv w:val="1"/>
      <w:marLeft w:val="0"/>
      <w:marRight w:val="0"/>
      <w:marTop w:val="0"/>
      <w:marBottom w:val="0"/>
      <w:divBdr>
        <w:top w:val="none" w:sz="0" w:space="0" w:color="auto"/>
        <w:left w:val="none" w:sz="0" w:space="0" w:color="auto"/>
        <w:bottom w:val="none" w:sz="0" w:space="0" w:color="auto"/>
        <w:right w:val="none" w:sz="0" w:space="0" w:color="auto"/>
      </w:divBdr>
    </w:div>
    <w:div w:id="716779822">
      <w:bodyDiv w:val="1"/>
      <w:marLeft w:val="0"/>
      <w:marRight w:val="0"/>
      <w:marTop w:val="0"/>
      <w:marBottom w:val="0"/>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sChild>
            <w:div w:id="191917751">
              <w:marLeft w:val="0"/>
              <w:marRight w:val="0"/>
              <w:marTop w:val="0"/>
              <w:marBottom w:val="0"/>
              <w:divBdr>
                <w:top w:val="none" w:sz="0" w:space="0" w:color="auto"/>
                <w:left w:val="none" w:sz="0" w:space="0" w:color="auto"/>
                <w:bottom w:val="none" w:sz="0" w:space="0" w:color="auto"/>
                <w:right w:val="none" w:sz="0" w:space="0" w:color="auto"/>
              </w:divBdr>
            </w:div>
          </w:divsChild>
        </w:div>
        <w:div w:id="1919439041">
          <w:marLeft w:val="0"/>
          <w:marRight w:val="0"/>
          <w:marTop w:val="0"/>
          <w:marBottom w:val="0"/>
          <w:divBdr>
            <w:top w:val="none" w:sz="0" w:space="0" w:color="auto"/>
            <w:left w:val="none" w:sz="0" w:space="0" w:color="auto"/>
            <w:bottom w:val="none" w:sz="0" w:space="0" w:color="auto"/>
            <w:right w:val="none" w:sz="0" w:space="0" w:color="auto"/>
          </w:divBdr>
          <w:divsChild>
            <w:div w:id="1492914177">
              <w:marLeft w:val="0"/>
              <w:marRight w:val="0"/>
              <w:marTop w:val="0"/>
              <w:marBottom w:val="0"/>
              <w:divBdr>
                <w:top w:val="none" w:sz="0" w:space="0" w:color="auto"/>
                <w:left w:val="none" w:sz="0" w:space="0" w:color="auto"/>
                <w:bottom w:val="none" w:sz="0" w:space="0" w:color="auto"/>
                <w:right w:val="none" w:sz="0" w:space="0" w:color="auto"/>
              </w:divBdr>
            </w:div>
          </w:divsChild>
        </w:div>
        <w:div w:id="2057311284">
          <w:marLeft w:val="0"/>
          <w:marRight w:val="0"/>
          <w:marTop w:val="0"/>
          <w:marBottom w:val="0"/>
          <w:divBdr>
            <w:top w:val="none" w:sz="0" w:space="0" w:color="auto"/>
            <w:left w:val="none" w:sz="0" w:space="0" w:color="auto"/>
            <w:bottom w:val="none" w:sz="0" w:space="0" w:color="auto"/>
            <w:right w:val="none" w:sz="0" w:space="0" w:color="auto"/>
          </w:divBdr>
          <w:divsChild>
            <w:div w:id="3163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4754">
      <w:bodyDiv w:val="1"/>
      <w:marLeft w:val="0"/>
      <w:marRight w:val="0"/>
      <w:marTop w:val="0"/>
      <w:marBottom w:val="0"/>
      <w:divBdr>
        <w:top w:val="none" w:sz="0" w:space="0" w:color="auto"/>
        <w:left w:val="none" w:sz="0" w:space="0" w:color="auto"/>
        <w:bottom w:val="none" w:sz="0" w:space="0" w:color="auto"/>
        <w:right w:val="none" w:sz="0" w:space="0" w:color="auto"/>
      </w:divBdr>
    </w:div>
    <w:div w:id="811213941">
      <w:bodyDiv w:val="1"/>
      <w:marLeft w:val="0"/>
      <w:marRight w:val="0"/>
      <w:marTop w:val="0"/>
      <w:marBottom w:val="0"/>
      <w:divBdr>
        <w:top w:val="none" w:sz="0" w:space="0" w:color="auto"/>
        <w:left w:val="none" w:sz="0" w:space="0" w:color="auto"/>
        <w:bottom w:val="none" w:sz="0" w:space="0" w:color="auto"/>
        <w:right w:val="none" w:sz="0" w:space="0" w:color="auto"/>
      </w:divBdr>
    </w:div>
    <w:div w:id="871653498">
      <w:bodyDiv w:val="1"/>
      <w:marLeft w:val="0"/>
      <w:marRight w:val="0"/>
      <w:marTop w:val="0"/>
      <w:marBottom w:val="0"/>
      <w:divBdr>
        <w:top w:val="none" w:sz="0" w:space="0" w:color="auto"/>
        <w:left w:val="none" w:sz="0" w:space="0" w:color="auto"/>
        <w:bottom w:val="none" w:sz="0" w:space="0" w:color="auto"/>
        <w:right w:val="none" w:sz="0" w:space="0" w:color="auto"/>
      </w:divBdr>
    </w:div>
    <w:div w:id="902326433">
      <w:bodyDiv w:val="1"/>
      <w:marLeft w:val="0"/>
      <w:marRight w:val="0"/>
      <w:marTop w:val="0"/>
      <w:marBottom w:val="0"/>
      <w:divBdr>
        <w:top w:val="none" w:sz="0" w:space="0" w:color="auto"/>
        <w:left w:val="none" w:sz="0" w:space="0" w:color="auto"/>
        <w:bottom w:val="none" w:sz="0" w:space="0" w:color="auto"/>
        <w:right w:val="none" w:sz="0" w:space="0" w:color="auto"/>
      </w:divBdr>
    </w:div>
    <w:div w:id="924000383">
      <w:bodyDiv w:val="1"/>
      <w:marLeft w:val="0"/>
      <w:marRight w:val="0"/>
      <w:marTop w:val="0"/>
      <w:marBottom w:val="0"/>
      <w:divBdr>
        <w:top w:val="none" w:sz="0" w:space="0" w:color="auto"/>
        <w:left w:val="none" w:sz="0" w:space="0" w:color="auto"/>
        <w:bottom w:val="none" w:sz="0" w:space="0" w:color="auto"/>
        <w:right w:val="none" w:sz="0" w:space="0" w:color="auto"/>
      </w:divBdr>
    </w:div>
    <w:div w:id="924537925">
      <w:bodyDiv w:val="1"/>
      <w:marLeft w:val="0"/>
      <w:marRight w:val="0"/>
      <w:marTop w:val="0"/>
      <w:marBottom w:val="0"/>
      <w:divBdr>
        <w:top w:val="none" w:sz="0" w:space="0" w:color="auto"/>
        <w:left w:val="none" w:sz="0" w:space="0" w:color="auto"/>
        <w:bottom w:val="none" w:sz="0" w:space="0" w:color="auto"/>
        <w:right w:val="none" w:sz="0" w:space="0" w:color="auto"/>
      </w:divBdr>
    </w:div>
    <w:div w:id="926767701">
      <w:bodyDiv w:val="1"/>
      <w:marLeft w:val="0"/>
      <w:marRight w:val="0"/>
      <w:marTop w:val="0"/>
      <w:marBottom w:val="0"/>
      <w:divBdr>
        <w:top w:val="none" w:sz="0" w:space="0" w:color="auto"/>
        <w:left w:val="none" w:sz="0" w:space="0" w:color="auto"/>
        <w:bottom w:val="none" w:sz="0" w:space="0" w:color="auto"/>
        <w:right w:val="none" w:sz="0" w:space="0" w:color="auto"/>
      </w:divBdr>
    </w:div>
    <w:div w:id="946280022">
      <w:bodyDiv w:val="1"/>
      <w:marLeft w:val="0"/>
      <w:marRight w:val="0"/>
      <w:marTop w:val="0"/>
      <w:marBottom w:val="0"/>
      <w:divBdr>
        <w:top w:val="none" w:sz="0" w:space="0" w:color="auto"/>
        <w:left w:val="none" w:sz="0" w:space="0" w:color="auto"/>
        <w:bottom w:val="none" w:sz="0" w:space="0" w:color="auto"/>
        <w:right w:val="none" w:sz="0" w:space="0" w:color="auto"/>
      </w:divBdr>
    </w:div>
    <w:div w:id="948047604">
      <w:bodyDiv w:val="1"/>
      <w:marLeft w:val="0"/>
      <w:marRight w:val="0"/>
      <w:marTop w:val="0"/>
      <w:marBottom w:val="0"/>
      <w:divBdr>
        <w:top w:val="none" w:sz="0" w:space="0" w:color="auto"/>
        <w:left w:val="none" w:sz="0" w:space="0" w:color="auto"/>
        <w:bottom w:val="none" w:sz="0" w:space="0" w:color="auto"/>
        <w:right w:val="none" w:sz="0" w:space="0" w:color="auto"/>
      </w:divBdr>
    </w:div>
    <w:div w:id="951739811">
      <w:bodyDiv w:val="1"/>
      <w:marLeft w:val="0"/>
      <w:marRight w:val="0"/>
      <w:marTop w:val="0"/>
      <w:marBottom w:val="0"/>
      <w:divBdr>
        <w:top w:val="none" w:sz="0" w:space="0" w:color="auto"/>
        <w:left w:val="none" w:sz="0" w:space="0" w:color="auto"/>
        <w:bottom w:val="none" w:sz="0" w:space="0" w:color="auto"/>
        <w:right w:val="none" w:sz="0" w:space="0" w:color="auto"/>
      </w:divBdr>
    </w:div>
    <w:div w:id="988636031">
      <w:bodyDiv w:val="1"/>
      <w:marLeft w:val="0"/>
      <w:marRight w:val="0"/>
      <w:marTop w:val="0"/>
      <w:marBottom w:val="0"/>
      <w:divBdr>
        <w:top w:val="none" w:sz="0" w:space="0" w:color="auto"/>
        <w:left w:val="none" w:sz="0" w:space="0" w:color="auto"/>
        <w:bottom w:val="none" w:sz="0" w:space="0" w:color="auto"/>
        <w:right w:val="none" w:sz="0" w:space="0" w:color="auto"/>
      </w:divBdr>
    </w:div>
    <w:div w:id="1005085177">
      <w:bodyDiv w:val="1"/>
      <w:marLeft w:val="0"/>
      <w:marRight w:val="0"/>
      <w:marTop w:val="0"/>
      <w:marBottom w:val="0"/>
      <w:divBdr>
        <w:top w:val="none" w:sz="0" w:space="0" w:color="auto"/>
        <w:left w:val="none" w:sz="0" w:space="0" w:color="auto"/>
        <w:bottom w:val="none" w:sz="0" w:space="0" w:color="auto"/>
        <w:right w:val="none" w:sz="0" w:space="0" w:color="auto"/>
      </w:divBdr>
    </w:div>
    <w:div w:id="1014919028">
      <w:bodyDiv w:val="1"/>
      <w:marLeft w:val="0"/>
      <w:marRight w:val="0"/>
      <w:marTop w:val="0"/>
      <w:marBottom w:val="0"/>
      <w:divBdr>
        <w:top w:val="none" w:sz="0" w:space="0" w:color="auto"/>
        <w:left w:val="none" w:sz="0" w:space="0" w:color="auto"/>
        <w:bottom w:val="none" w:sz="0" w:space="0" w:color="auto"/>
        <w:right w:val="none" w:sz="0" w:space="0" w:color="auto"/>
      </w:divBdr>
    </w:div>
    <w:div w:id="1025642024">
      <w:bodyDiv w:val="1"/>
      <w:marLeft w:val="0"/>
      <w:marRight w:val="0"/>
      <w:marTop w:val="0"/>
      <w:marBottom w:val="0"/>
      <w:divBdr>
        <w:top w:val="none" w:sz="0" w:space="0" w:color="auto"/>
        <w:left w:val="none" w:sz="0" w:space="0" w:color="auto"/>
        <w:bottom w:val="none" w:sz="0" w:space="0" w:color="auto"/>
        <w:right w:val="none" w:sz="0" w:space="0" w:color="auto"/>
      </w:divBdr>
    </w:div>
    <w:div w:id="1051880974">
      <w:bodyDiv w:val="1"/>
      <w:marLeft w:val="0"/>
      <w:marRight w:val="0"/>
      <w:marTop w:val="0"/>
      <w:marBottom w:val="0"/>
      <w:divBdr>
        <w:top w:val="none" w:sz="0" w:space="0" w:color="auto"/>
        <w:left w:val="none" w:sz="0" w:space="0" w:color="auto"/>
        <w:bottom w:val="none" w:sz="0" w:space="0" w:color="auto"/>
        <w:right w:val="none" w:sz="0" w:space="0" w:color="auto"/>
      </w:divBdr>
    </w:div>
    <w:div w:id="1101753323">
      <w:bodyDiv w:val="1"/>
      <w:marLeft w:val="0"/>
      <w:marRight w:val="0"/>
      <w:marTop w:val="0"/>
      <w:marBottom w:val="0"/>
      <w:divBdr>
        <w:top w:val="none" w:sz="0" w:space="0" w:color="auto"/>
        <w:left w:val="none" w:sz="0" w:space="0" w:color="auto"/>
        <w:bottom w:val="none" w:sz="0" w:space="0" w:color="auto"/>
        <w:right w:val="none" w:sz="0" w:space="0" w:color="auto"/>
      </w:divBdr>
    </w:div>
    <w:div w:id="1145703930">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64488">
      <w:bodyDiv w:val="1"/>
      <w:marLeft w:val="0"/>
      <w:marRight w:val="0"/>
      <w:marTop w:val="0"/>
      <w:marBottom w:val="0"/>
      <w:divBdr>
        <w:top w:val="none" w:sz="0" w:space="0" w:color="auto"/>
        <w:left w:val="none" w:sz="0" w:space="0" w:color="auto"/>
        <w:bottom w:val="none" w:sz="0" w:space="0" w:color="auto"/>
        <w:right w:val="none" w:sz="0" w:space="0" w:color="auto"/>
      </w:divBdr>
    </w:div>
    <w:div w:id="1198590953">
      <w:bodyDiv w:val="1"/>
      <w:marLeft w:val="0"/>
      <w:marRight w:val="0"/>
      <w:marTop w:val="0"/>
      <w:marBottom w:val="0"/>
      <w:divBdr>
        <w:top w:val="none" w:sz="0" w:space="0" w:color="auto"/>
        <w:left w:val="none" w:sz="0" w:space="0" w:color="auto"/>
        <w:bottom w:val="none" w:sz="0" w:space="0" w:color="auto"/>
        <w:right w:val="none" w:sz="0" w:space="0" w:color="auto"/>
      </w:divBdr>
    </w:div>
    <w:div w:id="1269695827">
      <w:bodyDiv w:val="1"/>
      <w:marLeft w:val="0"/>
      <w:marRight w:val="0"/>
      <w:marTop w:val="0"/>
      <w:marBottom w:val="0"/>
      <w:divBdr>
        <w:top w:val="none" w:sz="0" w:space="0" w:color="auto"/>
        <w:left w:val="none" w:sz="0" w:space="0" w:color="auto"/>
        <w:bottom w:val="none" w:sz="0" w:space="0" w:color="auto"/>
        <w:right w:val="none" w:sz="0" w:space="0" w:color="auto"/>
      </w:divBdr>
    </w:div>
    <w:div w:id="1292125763">
      <w:bodyDiv w:val="1"/>
      <w:marLeft w:val="0"/>
      <w:marRight w:val="0"/>
      <w:marTop w:val="0"/>
      <w:marBottom w:val="0"/>
      <w:divBdr>
        <w:top w:val="none" w:sz="0" w:space="0" w:color="auto"/>
        <w:left w:val="none" w:sz="0" w:space="0" w:color="auto"/>
        <w:bottom w:val="none" w:sz="0" w:space="0" w:color="auto"/>
        <w:right w:val="none" w:sz="0" w:space="0" w:color="auto"/>
      </w:divBdr>
    </w:div>
    <w:div w:id="1367295022">
      <w:bodyDiv w:val="1"/>
      <w:marLeft w:val="0"/>
      <w:marRight w:val="0"/>
      <w:marTop w:val="0"/>
      <w:marBottom w:val="0"/>
      <w:divBdr>
        <w:top w:val="none" w:sz="0" w:space="0" w:color="auto"/>
        <w:left w:val="none" w:sz="0" w:space="0" w:color="auto"/>
        <w:bottom w:val="none" w:sz="0" w:space="0" w:color="auto"/>
        <w:right w:val="none" w:sz="0" w:space="0" w:color="auto"/>
      </w:divBdr>
    </w:div>
    <w:div w:id="1367482545">
      <w:bodyDiv w:val="1"/>
      <w:marLeft w:val="0"/>
      <w:marRight w:val="0"/>
      <w:marTop w:val="0"/>
      <w:marBottom w:val="0"/>
      <w:divBdr>
        <w:top w:val="none" w:sz="0" w:space="0" w:color="auto"/>
        <w:left w:val="none" w:sz="0" w:space="0" w:color="auto"/>
        <w:bottom w:val="none" w:sz="0" w:space="0" w:color="auto"/>
        <w:right w:val="none" w:sz="0" w:space="0" w:color="auto"/>
      </w:divBdr>
    </w:div>
    <w:div w:id="1379473655">
      <w:bodyDiv w:val="1"/>
      <w:marLeft w:val="0"/>
      <w:marRight w:val="0"/>
      <w:marTop w:val="0"/>
      <w:marBottom w:val="0"/>
      <w:divBdr>
        <w:top w:val="none" w:sz="0" w:space="0" w:color="auto"/>
        <w:left w:val="none" w:sz="0" w:space="0" w:color="auto"/>
        <w:bottom w:val="none" w:sz="0" w:space="0" w:color="auto"/>
        <w:right w:val="none" w:sz="0" w:space="0" w:color="auto"/>
      </w:divBdr>
    </w:div>
    <w:div w:id="1388063413">
      <w:bodyDiv w:val="1"/>
      <w:marLeft w:val="0"/>
      <w:marRight w:val="0"/>
      <w:marTop w:val="0"/>
      <w:marBottom w:val="0"/>
      <w:divBdr>
        <w:top w:val="none" w:sz="0" w:space="0" w:color="auto"/>
        <w:left w:val="none" w:sz="0" w:space="0" w:color="auto"/>
        <w:bottom w:val="none" w:sz="0" w:space="0" w:color="auto"/>
        <w:right w:val="none" w:sz="0" w:space="0" w:color="auto"/>
      </w:divBdr>
    </w:div>
    <w:div w:id="1407999087">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469980860">
      <w:bodyDiv w:val="1"/>
      <w:marLeft w:val="0"/>
      <w:marRight w:val="0"/>
      <w:marTop w:val="0"/>
      <w:marBottom w:val="0"/>
      <w:divBdr>
        <w:top w:val="none" w:sz="0" w:space="0" w:color="auto"/>
        <w:left w:val="none" w:sz="0" w:space="0" w:color="auto"/>
        <w:bottom w:val="none" w:sz="0" w:space="0" w:color="auto"/>
        <w:right w:val="none" w:sz="0" w:space="0" w:color="auto"/>
      </w:divBdr>
    </w:div>
    <w:div w:id="1565483243">
      <w:bodyDiv w:val="1"/>
      <w:marLeft w:val="0"/>
      <w:marRight w:val="0"/>
      <w:marTop w:val="0"/>
      <w:marBottom w:val="0"/>
      <w:divBdr>
        <w:top w:val="none" w:sz="0" w:space="0" w:color="auto"/>
        <w:left w:val="none" w:sz="0" w:space="0" w:color="auto"/>
        <w:bottom w:val="none" w:sz="0" w:space="0" w:color="auto"/>
        <w:right w:val="none" w:sz="0" w:space="0" w:color="auto"/>
      </w:divBdr>
    </w:div>
    <w:div w:id="1584561720">
      <w:bodyDiv w:val="1"/>
      <w:marLeft w:val="0"/>
      <w:marRight w:val="0"/>
      <w:marTop w:val="0"/>
      <w:marBottom w:val="0"/>
      <w:divBdr>
        <w:top w:val="none" w:sz="0" w:space="0" w:color="auto"/>
        <w:left w:val="none" w:sz="0" w:space="0" w:color="auto"/>
        <w:bottom w:val="none" w:sz="0" w:space="0" w:color="auto"/>
        <w:right w:val="none" w:sz="0" w:space="0" w:color="auto"/>
      </w:divBdr>
    </w:div>
    <w:div w:id="1643389586">
      <w:bodyDiv w:val="1"/>
      <w:marLeft w:val="0"/>
      <w:marRight w:val="0"/>
      <w:marTop w:val="0"/>
      <w:marBottom w:val="0"/>
      <w:divBdr>
        <w:top w:val="none" w:sz="0" w:space="0" w:color="auto"/>
        <w:left w:val="none" w:sz="0" w:space="0" w:color="auto"/>
        <w:bottom w:val="none" w:sz="0" w:space="0" w:color="auto"/>
        <w:right w:val="none" w:sz="0" w:space="0" w:color="auto"/>
      </w:divBdr>
    </w:div>
    <w:div w:id="1651474102">
      <w:bodyDiv w:val="1"/>
      <w:marLeft w:val="0"/>
      <w:marRight w:val="0"/>
      <w:marTop w:val="0"/>
      <w:marBottom w:val="0"/>
      <w:divBdr>
        <w:top w:val="none" w:sz="0" w:space="0" w:color="auto"/>
        <w:left w:val="none" w:sz="0" w:space="0" w:color="auto"/>
        <w:bottom w:val="none" w:sz="0" w:space="0" w:color="auto"/>
        <w:right w:val="none" w:sz="0" w:space="0" w:color="auto"/>
      </w:divBdr>
    </w:div>
    <w:div w:id="1667510911">
      <w:bodyDiv w:val="1"/>
      <w:marLeft w:val="0"/>
      <w:marRight w:val="0"/>
      <w:marTop w:val="0"/>
      <w:marBottom w:val="0"/>
      <w:divBdr>
        <w:top w:val="none" w:sz="0" w:space="0" w:color="auto"/>
        <w:left w:val="none" w:sz="0" w:space="0" w:color="auto"/>
        <w:bottom w:val="none" w:sz="0" w:space="0" w:color="auto"/>
        <w:right w:val="none" w:sz="0" w:space="0" w:color="auto"/>
      </w:divBdr>
    </w:div>
    <w:div w:id="1698189198">
      <w:bodyDiv w:val="1"/>
      <w:marLeft w:val="0"/>
      <w:marRight w:val="0"/>
      <w:marTop w:val="0"/>
      <w:marBottom w:val="0"/>
      <w:divBdr>
        <w:top w:val="none" w:sz="0" w:space="0" w:color="auto"/>
        <w:left w:val="none" w:sz="0" w:space="0" w:color="auto"/>
        <w:bottom w:val="none" w:sz="0" w:space="0" w:color="auto"/>
        <w:right w:val="none" w:sz="0" w:space="0" w:color="auto"/>
      </w:divBdr>
    </w:div>
    <w:div w:id="1746023932">
      <w:bodyDiv w:val="1"/>
      <w:marLeft w:val="0"/>
      <w:marRight w:val="0"/>
      <w:marTop w:val="0"/>
      <w:marBottom w:val="0"/>
      <w:divBdr>
        <w:top w:val="none" w:sz="0" w:space="0" w:color="auto"/>
        <w:left w:val="none" w:sz="0" w:space="0" w:color="auto"/>
        <w:bottom w:val="none" w:sz="0" w:space="0" w:color="auto"/>
        <w:right w:val="none" w:sz="0" w:space="0" w:color="auto"/>
      </w:divBdr>
    </w:div>
    <w:div w:id="1771118876">
      <w:bodyDiv w:val="1"/>
      <w:marLeft w:val="0"/>
      <w:marRight w:val="0"/>
      <w:marTop w:val="0"/>
      <w:marBottom w:val="0"/>
      <w:divBdr>
        <w:top w:val="none" w:sz="0" w:space="0" w:color="auto"/>
        <w:left w:val="none" w:sz="0" w:space="0" w:color="auto"/>
        <w:bottom w:val="none" w:sz="0" w:space="0" w:color="auto"/>
        <w:right w:val="none" w:sz="0" w:space="0" w:color="auto"/>
      </w:divBdr>
    </w:div>
    <w:div w:id="1888374378">
      <w:bodyDiv w:val="1"/>
      <w:marLeft w:val="0"/>
      <w:marRight w:val="0"/>
      <w:marTop w:val="0"/>
      <w:marBottom w:val="0"/>
      <w:divBdr>
        <w:top w:val="none" w:sz="0" w:space="0" w:color="auto"/>
        <w:left w:val="none" w:sz="0" w:space="0" w:color="auto"/>
        <w:bottom w:val="none" w:sz="0" w:space="0" w:color="auto"/>
        <w:right w:val="none" w:sz="0" w:space="0" w:color="auto"/>
      </w:divBdr>
    </w:div>
    <w:div w:id="1945726536">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44789522">
      <w:bodyDiv w:val="1"/>
      <w:marLeft w:val="0"/>
      <w:marRight w:val="0"/>
      <w:marTop w:val="0"/>
      <w:marBottom w:val="0"/>
      <w:divBdr>
        <w:top w:val="none" w:sz="0" w:space="0" w:color="auto"/>
        <w:left w:val="none" w:sz="0" w:space="0" w:color="auto"/>
        <w:bottom w:val="none" w:sz="0" w:space="0" w:color="auto"/>
        <w:right w:val="none" w:sz="0" w:space="0" w:color="auto"/>
      </w:divBdr>
    </w:div>
    <w:div w:id="2048989704">
      <w:bodyDiv w:val="1"/>
      <w:marLeft w:val="0"/>
      <w:marRight w:val="0"/>
      <w:marTop w:val="0"/>
      <w:marBottom w:val="0"/>
      <w:divBdr>
        <w:top w:val="none" w:sz="0" w:space="0" w:color="auto"/>
        <w:left w:val="none" w:sz="0" w:space="0" w:color="auto"/>
        <w:bottom w:val="none" w:sz="0" w:space="0" w:color="auto"/>
        <w:right w:val="none" w:sz="0" w:space="0" w:color="auto"/>
      </w:divBdr>
    </w:div>
    <w:div w:id="2066247477">
      <w:bodyDiv w:val="1"/>
      <w:marLeft w:val="0"/>
      <w:marRight w:val="0"/>
      <w:marTop w:val="0"/>
      <w:marBottom w:val="0"/>
      <w:divBdr>
        <w:top w:val="none" w:sz="0" w:space="0" w:color="auto"/>
        <w:left w:val="none" w:sz="0" w:space="0" w:color="auto"/>
        <w:bottom w:val="none" w:sz="0" w:space="0" w:color="auto"/>
        <w:right w:val="none" w:sz="0" w:space="0" w:color="auto"/>
      </w:divBdr>
    </w:div>
    <w:div w:id="2083671276">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51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idirect.gov.uk/articles/school-uniform-and-uniform-grants" TargetMode="External"/><Relationship Id="rId2" Type="http://schemas.openxmlformats.org/officeDocument/2006/relationships/hyperlink" Target="https://ennhri.org/about-nhris/human-rights-based-approach/" TargetMode="External"/><Relationship Id="rId1" Type="http://schemas.openxmlformats.org/officeDocument/2006/relationships/hyperlink" Target="https://ennhri.org/about-nhris/human-rights-based-approach/" TargetMode="External"/><Relationship Id="rId5" Type="http://schemas.openxmlformats.org/officeDocument/2006/relationships/hyperlink" Target="https://www.equalityni.org/Schools" TargetMode="External"/><Relationship Id="rId4" Type="http://schemas.openxmlformats.org/officeDocument/2006/relationships/hyperlink" Target="https://www.equalityni.org/Sch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06d6863-a85d-4a14-ba5d-ada9e5b222dd">
      <UserInfo>
        <DisplayName>Nada Ahmed</DisplayName>
        <AccountId>56</AccountId>
        <AccountType/>
      </UserInfo>
      <UserInfo>
        <DisplayName>Hannah Russell</DisplayName>
        <AccountId>19</AccountId>
        <AccountType/>
      </UserInfo>
      <UserInfo>
        <DisplayName>Colin Caughey</DisplayName>
        <AccountId>50</AccountId>
        <AccountType/>
      </UserInfo>
      <UserInfo>
        <DisplayName>Claire McCann</DisplayName>
        <AccountId>35</AccountId>
        <AccountType/>
      </UserInfo>
      <UserInfo>
        <DisplayName>Eilis Haughey</DisplayName>
        <AccountId>51</AccountId>
        <AccountType/>
      </UserInfo>
      <UserInfo>
        <DisplayName>Julia Buchanan</DisplayName>
        <AccountId>34</AccountId>
        <AccountType/>
      </UserInfo>
    </SharedWithUsers>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4B48E-B095-4555-8369-D8DE398DA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3.xml><?xml version="1.0" encoding="utf-8"?>
<ds:datastoreItem xmlns:ds="http://schemas.openxmlformats.org/officeDocument/2006/customXml" ds:itemID="{523E923A-625F-47CC-B84A-9F974B6721F6}">
  <ds:schemaRefs>
    <ds:schemaRef ds:uri="http://schemas.microsoft.com/office/2006/metadata/properties"/>
    <ds:schemaRef ds:uri="http://schemas.microsoft.com/office/infopath/2007/PartnerControls"/>
    <ds:schemaRef ds:uri="806d6863-a85d-4a14-ba5d-ada9e5b222dd"/>
    <ds:schemaRef ds:uri="12479bdc-b58c-44ab-9f0f-fa5baefb3da2"/>
  </ds:schemaRefs>
</ds:datastoreItem>
</file>

<file path=customXml/itemProps4.xml><?xml version="1.0" encoding="utf-8"?>
<ds:datastoreItem xmlns:ds="http://schemas.openxmlformats.org/officeDocument/2006/customXml" ds:itemID="{60454D1F-0489-4EC8-A988-5AFA3BE3D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1</TotalTime>
  <Pages>33</Pages>
  <Words>7817</Words>
  <Characters>44558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52271</CharactersWithSpaces>
  <SharedDoc>false</SharedDoc>
  <HLinks>
    <vt:vector size="120" baseType="variant">
      <vt:variant>
        <vt:i4>6946881</vt:i4>
      </vt:variant>
      <vt:variant>
        <vt:i4>81</vt:i4>
      </vt:variant>
      <vt:variant>
        <vt:i4>0</vt:i4>
      </vt:variant>
      <vt:variant>
        <vt:i4>5</vt:i4>
      </vt:variant>
      <vt:variant>
        <vt:lpwstr>mailto:info@nihrc.org</vt:lpwstr>
      </vt:variant>
      <vt:variant>
        <vt:lpwstr/>
      </vt:variant>
      <vt:variant>
        <vt:i4>4587543</vt:i4>
      </vt:variant>
      <vt:variant>
        <vt:i4>78</vt:i4>
      </vt:variant>
      <vt:variant>
        <vt:i4>0</vt:i4>
      </vt:variant>
      <vt:variant>
        <vt:i4>5</vt:i4>
      </vt:variant>
      <vt:variant>
        <vt:lpwstr>http://www.nihrc.org/</vt:lpwstr>
      </vt:variant>
      <vt:variant>
        <vt:lpwstr/>
      </vt:variant>
      <vt:variant>
        <vt:i4>6881286</vt:i4>
      </vt:variant>
      <vt:variant>
        <vt:i4>75</vt:i4>
      </vt:variant>
      <vt:variant>
        <vt:i4>0</vt:i4>
      </vt:variant>
      <vt:variant>
        <vt:i4>5</vt:i4>
      </vt:variant>
      <vt:variant>
        <vt:lpwstr>mailto:Colin.Caughey@nihrc.org</vt:lpwstr>
      </vt:variant>
      <vt:variant>
        <vt:lpwstr/>
      </vt:variant>
      <vt:variant>
        <vt:i4>1245232</vt:i4>
      </vt:variant>
      <vt:variant>
        <vt:i4>68</vt:i4>
      </vt:variant>
      <vt:variant>
        <vt:i4>0</vt:i4>
      </vt:variant>
      <vt:variant>
        <vt:i4>5</vt:i4>
      </vt:variant>
      <vt:variant>
        <vt:lpwstr/>
      </vt:variant>
      <vt:variant>
        <vt:lpwstr>_Toc176253225</vt:lpwstr>
      </vt:variant>
      <vt:variant>
        <vt:i4>1245232</vt:i4>
      </vt:variant>
      <vt:variant>
        <vt:i4>62</vt:i4>
      </vt:variant>
      <vt:variant>
        <vt:i4>0</vt:i4>
      </vt:variant>
      <vt:variant>
        <vt:i4>5</vt:i4>
      </vt:variant>
      <vt:variant>
        <vt:lpwstr/>
      </vt:variant>
      <vt:variant>
        <vt:lpwstr>_Toc176253224</vt:lpwstr>
      </vt:variant>
      <vt:variant>
        <vt:i4>1245232</vt:i4>
      </vt:variant>
      <vt:variant>
        <vt:i4>56</vt:i4>
      </vt:variant>
      <vt:variant>
        <vt:i4>0</vt:i4>
      </vt:variant>
      <vt:variant>
        <vt:i4>5</vt:i4>
      </vt:variant>
      <vt:variant>
        <vt:lpwstr/>
      </vt:variant>
      <vt:variant>
        <vt:lpwstr>_Toc176253223</vt:lpwstr>
      </vt:variant>
      <vt:variant>
        <vt:i4>1245232</vt:i4>
      </vt:variant>
      <vt:variant>
        <vt:i4>50</vt:i4>
      </vt:variant>
      <vt:variant>
        <vt:i4>0</vt:i4>
      </vt:variant>
      <vt:variant>
        <vt:i4>5</vt:i4>
      </vt:variant>
      <vt:variant>
        <vt:lpwstr/>
      </vt:variant>
      <vt:variant>
        <vt:lpwstr>_Toc176253222</vt:lpwstr>
      </vt:variant>
      <vt:variant>
        <vt:i4>1245232</vt:i4>
      </vt:variant>
      <vt:variant>
        <vt:i4>44</vt:i4>
      </vt:variant>
      <vt:variant>
        <vt:i4>0</vt:i4>
      </vt:variant>
      <vt:variant>
        <vt:i4>5</vt:i4>
      </vt:variant>
      <vt:variant>
        <vt:lpwstr/>
      </vt:variant>
      <vt:variant>
        <vt:lpwstr>_Toc176253221</vt:lpwstr>
      </vt:variant>
      <vt:variant>
        <vt:i4>1245232</vt:i4>
      </vt:variant>
      <vt:variant>
        <vt:i4>38</vt:i4>
      </vt:variant>
      <vt:variant>
        <vt:i4>0</vt:i4>
      </vt:variant>
      <vt:variant>
        <vt:i4>5</vt:i4>
      </vt:variant>
      <vt:variant>
        <vt:lpwstr/>
      </vt:variant>
      <vt:variant>
        <vt:lpwstr>_Toc176253220</vt:lpwstr>
      </vt:variant>
      <vt:variant>
        <vt:i4>1048624</vt:i4>
      </vt:variant>
      <vt:variant>
        <vt:i4>32</vt:i4>
      </vt:variant>
      <vt:variant>
        <vt:i4>0</vt:i4>
      </vt:variant>
      <vt:variant>
        <vt:i4>5</vt:i4>
      </vt:variant>
      <vt:variant>
        <vt:lpwstr/>
      </vt:variant>
      <vt:variant>
        <vt:lpwstr>_Toc176253219</vt:lpwstr>
      </vt:variant>
      <vt:variant>
        <vt:i4>1048624</vt:i4>
      </vt:variant>
      <vt:variant>
        <vt:i4>26</vt:i4>
      </vt:variant>
      <vt:variant>
        <vt:i4>0</vt:i4>
      </vt:variant>
      <vt:variant>
        <vt:i4>5</vt:i4>
      </vt:variant>
      <vt:variant>
        <vt:lpwstr/>
      </vt:variant>
      <vt:variant>
        <vt:lpwstr>_Toc176253218</vt:lpwstr>
      </vt:variant>
      <vt:variant>
        <vt:i4>1048624</vt:i4>
      </vt:variant>
      <vt:variant>
        <vt:i4>20</vt:i4>
      </vt:variant>
      <vt:variant>
        <vt:i4>0</vt:i4>
      </vt:variant>
      <vt:variant>
        <vt:i4>5</vt:i4>
      </vt:variant>
      <vt:variant>
        <vt:lpwstr/>
      </vt:variant>
      <vt:variant>
        <vt:lpwstr>_Toc176253217</vt:lpwstr>
      </vt:variant>
      <vt:variant>
        <vt:i4>1048624</vt:i4>
      </vt:variant>
      <vt:variant>
        <vt:i4>14</vt:i4>
      </vt:variant>
      <vt:variant>
        <vt:i4>0</vt:i4>
      </vt:variant>
      <vt:variant>
        <vt:i4>5</vt:i4>
      </vt:variant>
      <vt:variant>
        <vt:lpwstr/>
      </vt:variant>
      <vt:variant>
        <vt:lpwstr>_Toc176253216</vt:lpwstr>
      </vt:variant>
      <vt:variant>
        <vt:i4>1048624</vt:i4>
      </vt:variant>
      <vt:variant>
        <vt:i4>8</vt:i4>
      </vt:variant>
      <vt:variant>
        <vt:i4>0</vt:i4>
      </vt:variant>
      <vt:variant>
        <vt:i4>5</vt:i4>
      </vt:variant>
      <vt:variant>
        <vt:lpwstr/>
      </vt:variant>
      <vt:variant>
        <vt:lpwstr>_Toc176253215</vt:lpwstr>
      </vt:variant>
      <vt:variant>
        <vt:i4>1048624</vt:i4>
      </vt:variant>
      <vt:variant>
        <vt:i4>2</vt:i4>
      </vt:variant>
      <vt:variant>
        <vt:i4>0</vt:i4>
      </vt:variant>
      <vt:variant>
        <vt:i4>5</vt:i4>
      </vt:variant>
      <vt:variant>
        <vt:lpwstr/>
      </vt:variant>
      <vt:variant>
        <vt:lpwstr>_Toc176253214</vt:lpwstr>
      </vt:variant>
      <vt:variant>
        <vt:i4>3014709</vt:i4>
      </vt:variant>
      <vt:variant>
        <vt:i4>12</vt:i4>
      </vt:variant>
      <vt:variant>
        <vt:i4>0</vt:i4>
      </vt:variant>
      <vt:variant>
        <vt:i4>5</vt:i4>
      </vt:variant>
      <vt:variant>
        <vt:lpwstr>https://www.equalityni.org/Schools</vt:lpwstr>
      </vt:variant>
      <vt:variant>
        <vt:lpwstr/>
      </vt:variant>
      <vt:variant>
        <vt:i4>3014709</vt:i4>
      </vt:variant>
      <vt:variant>
        <vt:i4>9</vt:i4>
      </vt:variant>
      <vt:variant>
        <vt:i4>0</vt:i4>
      </vt:variant>
      <vt:variant>
        <vt:i4>5</vt:i4>
      </vt:variant>
      <vt:variant>
        <vt:lpwstr>https://www.equalityni.org/Schools</vt:lpwstr>
      </vt:variant>
      <vt:variant>
        <vt:lpwstr/>
      </vt:variant>
      <vt:variant>
        <vt:i4>6488180</vt:i4>
      </vt:variant>
      <vt:variant>
        <vt:i4>6</vt:i4>
      </vt:variant>
      <vt:variant>
        <vt:i4>0</vt:i4>
      </vt:variant>
      <vt:variant>
        <vt:i4>5</vt:i4>
      </vt:variant>
      <vt:variant>
        <vt:lpwstr>https://www.nidirect.gov.uk/articles/school-uniform-and-uniform-grants</vt:lpwstr>
      </vt:variant>
      <vt:variant>
        <vt:lpwstr/>
      </vt:variant>
      <vt:variant>
        <vt:i4>6684797</vt:i4>
      </vt:variant>
      <vt:variant>
        <vt:i4>3</vt:i4>
      </vt:variant>
      <vt:variant>
        <vt:i4>0</vt:i4>
      </vt:variant>
      <vt:variant>
        <vt:i4>5</vt:i4>
      </vt:variant>
      <vt:variant>
        <vt:lpwstr>https://ennhri.org/about-nhris/human-rights-based-approach/</vt:lpwstr>
      </vt:variant>
      <vt:variant>
        <vt:lpwstr/>
      </vt:variant>
      <vt:variant>
        <vt:i4>6684797</vt:i4>
      </vt:variant>
      <vt:variant>
        <vt:i4>0</vt:i4>
      </vt:variant>
      <vt:variant>
        <vt:i4>0</vt:i4>
      </vt:variant>
      <vt:variant>
        <vt:i4>5</vt:i4>
      </vt:variant>
      <vt:variant>
        <vt:lpwstr>https://ennhri.org/about-nhris/human-rights-based-approach/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Julia Buchanan</cp:lastModifiedBy>
  <cp:revision>3</cp:revision>
  <cp:lastPrinted>2024-09-26T14:08:00Z</cp:lastPrinted>
  <dcterms:created xsi:type="dcterms:W3CDTF">2024-09-26T14:08:00Z</dcterms:created>
  <dcterms:modified xsi:type="dcterms:W3CDTF">2024-09-26T14:08:00Z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