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8CE86" w14:textId="77777777" w:rsidR="005F0165" w:rsidRDefault="005F0165" w:rsidP="005F0165"/>
    <w:p w14:paraId="1017B9A8" w14:textId="77777777" w:rsidR="005F0165" w:rsidRDefault="005F0165" w:rsidP="005F0165">
      <w:pPr>
        <w:pStyle w:val="Default"/>
        <w:spacing w:line="288" w:lineRule="auto"/>
        <w:rPr>
          <w:rFonts w:cs="Arial"/>
          <w:b/>
          <w:color w:val="232120"/>
        </w:rPr>
      </w:pPr>
    </w:p>
    <w:p w14:paraId="793A26BD" w14:textId="77777777" w:rsidR="005F0165" w:rsidRDefault="005F0165" w:rsidP="005F0165">
      <w:pPr>
        <w:pStyle w:val="Default"/>
        <w:spacing w:line="288" w:lineRule="auto"/>
        <w:rPr>
          <w:rFonts w:cs="Arial"/>
          <w:b/>
          <w:color w:val="232120"/>
        </w:rPr>
      </w:pPr>
    </w:p>
    <w:p w14:paraId="46ED1027" w14:textId="77777777" w:rsidR="005F0165" w:rsidRDefault="005F0165" w:rsidP="005F0165">
      <w:pPr>
        <w:pStyle w:val="Default"/>
        <w:spacing w:line="288" w:lineRule="auto"/>
        <w:rPr>
          <w:rFonts w:cs="Arial"/>
          <w:b/>
          <w:color w:val="232120"/>
        </w:rPr>
      </w:pPr>
    </w:p>
    <w:p w14:paraId="0F918CCD" w14:textId="77777777" w:rsidR="007F3DC3" w:rsidRPr="007F3DC3" w:rsidRDefault="007F3DC3" w:rsidP="007F3DC3">
      <w:pPr>
        <w:spacing w:line="259" w:lineRule="auto"/>
        <w:rPr>
          <w:rFonts w:eastAsia="Times New Roman" w:cs="Verdana"/>
          <w:color w:val="000000"/>
          <w:szCs w:val="22"/>
          <w:lang w:eastAsia="en-GB"/>
        </w:rPr>
      </w:pPr>
    </w:p>
    <w:p w14:paraId="5DD345C6" w14:textId="77777777" w:rsidR="007F3DC3" w:rsidRPr="007F3DC3" w:rsidRDefault="007F3DC3" w:rsidP="007F3DC3">
      <w:pPr>
        <w:spacing w:after="90" w:line="259" w:lineRule="auto"/>
        <w:ind w:left="2093"/>
        <w:rPr>
          <w:rFonts w:eastAsia="Times New Roman" w:cs="Verdana"/>
          <w:color w:val="000000"/>
          <w:szCs w:val="22"/>
          <w:lang w:eastAsia="en-GB"/>
        </w:rPr>
      </w:pPr>
      <w:r w:rsidRPr="007F3DC3">
        <w:rPr>
          <w:rFonts w:eastAsia="Times New Roman" w:cs="Verdana"/>
          <w:noProof/>
          <w:color w:val="000000"/>
          <w:szCs w:val="22"/>
          <w:lang w:eastAsia="en-GB"/>
        </w:rPr>
        <w:drawing>
          <wp:inline distT="0" distB="0" distL="0" distR="0" wp14:anchorId="503B2B43" wp14:editId="08F789ED">
            <wp:extent cx="2905125" cy="388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5125" cy="3886200"/>
                    </a:xfrm>
                    <a:prstGeom prst="rect">
                      <a:avLst/>
                    </a:prstGeom>
                    <a:noFill/>
                    <a:ln>
                      <a:noFill/>
                    </a:ln>
                  </pic:spPr>
                </pic:pic>
              </a:graphicData>
            </a:graphic>
          </wp:inline>
        </w:drawing>
      </w:r>
    </w:p>
    <w:p w14:paraId="0D28AAB4" w14:textId="77777777" w:rsidR="007F3DC3" w:rsidRDefault="007F3DC3" w:rsidP="00E03C33">
      <w:pPr>
        <w:spacing w:after="160" w:line="259" w:lineRule="auto"/>
        <w:jc w:val="center"/>
        <w:rPr>
          <w:rFonts w:eastAsia="Times New Roman" w:cs="Verdana"/>
          <w:b/>
          <w:color w:val="77328A"/>
          <w:sz w:val="36"/>
          <w:szCs w:val="22"/>
          <w:lang w:eastAsia="en-GB"/>
        </w:rPr>
      </w:pPr>
      <w:r w:rsidRPr="007F3DC3">
        <w:rPr>
          <w:rFonts w:eastAsia="Times New Roman" w:cs="Verdana"/>
          <w:b/>
          <w:color w:val="77328A"/>
          <w:sz w:val="36"/>
          <w:szCs w:val="22"/>
          <w:lang w:eastAsia="en-GB"/>
        </w:rPr>
        <w:t xml:space="preserve">Response to the </w:t>
      </w:r>
      <w:r w:rsidR="00515670">
        <w:rPr>
          <w:rFonts w:eastAsia="Times New Roman" w:cs="Verdana"/>
          <w:b/>
          <w:color w:val="77328A"/>
          <w:sz w:val="36"/>
          <w:szCs w:val="22"/>
          <w:lang w:eastAsia="en-GB"/>
        </w:rPr>
        <w:t>consultation on</w:t>
      </w:r>
    </w:p>
    <w:p w14:paraId="6C2972D6" w14:textId="77777777" w:rsidR="005174A0" w:rsidRDefault="00E03C33" w:rsidP="007F3DC3">
      <w:pPr>
        <w:spacing w:after="2" w:line="287" w:lineRule="auto"/>
        <w:jc w:val="center"/>
        <w:rPr>
          <w:rFonts w:eastAsia="Times New Roman" w:cs="Verdana"/>
          <w:b/>
          <w:color w:val="77328A"/>
          <w:sz w:val="36"/>
          <w:szCs w:val="22"/>
          <w:lang w:eastAsia="en-GB"/>
        </w:rPr>
      </w:pPr>
      <w:r>
        <w:rPr>
          <w:rFonts w:eastAsia="Times New Roman" w:cs="Verdana"/>
          <w:b/>
          <w:color w:val="77328A"/>
          <w:sz w:val="36"/>
          <w:szCs w:val="22"/>
          <w:lang w:eastAsia="en-GB"/>
        </w:rPr>
        <w:t xml:space="preserve">Human Rights Act Reform: </w:t>
      </w:r>
    </w:p>
    <w:p w14:paraId="0D276578" w14:textId="77777777" w:rsidR="00515670" w:rsidRPr="007F3DC3" w:rsidRDefault="00E03C33" w:rsidP="007F3DC3">
      <w:pPr>
        <w:spacing w:after="2" w:line="287" w:lineRule="auto"/>
        <w:jc w:val="center"/>
        <w:rPr>
          <w:rFonts w:eastAsia="Times New Roman" w:cs="Verdana"/>
          <w:b/>
          <w:color w:val="77328A"/>
          <w:sz w:val="36"/>
          <w:szCs w:val="22"/>
          <w:lang w:eastAsia="en-GB"/>
        </w:rPr>
      </w:pPr>
      <w:r>
        <w:rPr>
          <w:rFonts w:eastAsia="Times New Roman" w:cs="Verdana"/>
          <w:b/>
          <w:color w:val="77328A"/>
          <w:sz w:val="36"/>
          <w:szCs w:val="22"/>
          <w:lang w:eastAsia="en-GB"/>
        </w:rPr>
        <w:t>a Modern Bill of Rights</w:t>
      </w:r>
    </w:p>
    <w:p w14:paraId="3B6C6B76" w14:textId="77777777" w:rsidR="007F3DC3" w:rsidRPr="007F3DC3" w:rsidRDefault="007F3DC3" w:rsidP="007F3DC3">
      <w:pPr>
        <w:spacing w:line="259" w:lineRule="auto"/>
        <w:ind w:left="118"/>
        <w:jc w:val="center"/>
        <w:rPr>
          <w:rFonts w:eastAsia="Times New Roman" w:cs="Verdana"/>
          <w:color w:val="000000"/>
          <w:szCs w:val="22"/>
          <w:lang w:eastAsia="en-GB"/>
        </w:rPr>
      </w:pPr>
      <w:r w:rsidRPr="007F3DC3">
        <w:rPr>
          <w:rFonts w:eastAsia="Times New Roman" w:cs="Verdana"/>
          <w:color w:val="232120"/>
          <w:sz w:val="36"/>
          <w:szCs w:val="22"/>
          <w:lang w:eastAsia="en-GB"/>
        </w:rPr>
        <w:t xml:space="preserve"> </w:t>
      </w:r>
    </w:p>
    <w:p w14:paraId="4963508E" w14:textId="77777777" w:rsidR="00E03C33" w:rsidRDefault="00E03C33" w:rsidP="007F3DC3">
      <w:pPr>
        <w:spacing w:after="95" w:line="259" w:lineRule="auto"/>
        <w:ind w:right="6"/>
        <w:jc w:val="center"/>
        <w:rPr>
          <w:rFonts w:eastAsia="Times New Roman" w:cs="Verdana"/>
          <w:b/>
          <w:color w:val="232120"/>
          <w:sz w:val="30"/>
          <w:szCs w:val="22"/>
          <w:lang w:eastAsia="en-GB"/>
        </w:rPr>
      </w:pPr>
      <w:r>
        <w:rPr>
          <w:rFonts w:eastAsia="Times New Roman" w:cs="Verdana"/>
          <w:b/>
          <w:color w:val="232120"/>
          <w:sz w:val="30"/>
          <w:szCs w:val="22"/>
          <w:lang w:eastAsia="en-GB"/>
        </w:rPr>
        <w:t>March 2022</w:t>
      </w:r>
    </w:p>
    <w:p w14:paraId="02162464" w14:textId="77777777" w:rsidR="00E03C33" w:rsidRDefault="00E03C33">
      <w:pPr>
        <w:spacing w:after="160" w:line="259" w:lineRule="auto"/>
        <w:rPr>
          <w:rFonts w:eastAsia="Times New Roman" w:cs="Verdana"/>
          <w:b/>
          <w:color w:val="232120"/>
          <w:sz w:val="30"/>
          <w:szCs w:val="22"/>
          <w:lang w:eastAsia="en-GB"/>
        </w:rPr>
      </w:pPr>
      <w:r>
        <w:rPr>
          <w:rFonts w:eastAsia="Times New Roman" w:cs="Verdana"/>
          <w:b/>
          <w:color w:val="232120"/>
          <w:sz w:val="30"/>
          <w:szCs w:val="22"/>
          <w:lang w:eastAsia="en-GB"/>
        </w:rPr>
        <w:br w:type="page"/>
      </w:r>
    </w:p>
    <w:p w14:paraId="267ECAC6" w14:textId="77777777" w:rsidR="007F3DC3" w:rsidRPr="007F3DC3" w:rsidRDefault="007F3DC3" w:rsidP="007F3DC3">
      <w:pPr>
        <w:spacing w:after="95" w:line="259" w:lineRule="auto"/>
        <w:ind w:right="6"/>
        <w:jc w:val="center"/>
        <w:rPr>
          <w:rFonts w:eastAsia="Times New Roman" w:cs="Verdana"/>
          <w:color w:val="000000"/>
          <w:szCs w:val="22"/>
          <w:lang w:eastAsia="en-GB"/>
        </w:rPr>
      </w:pPr>
    </w:p>
    <w:p w14:paraId="6935DB7B" w14:textId="77777777" w:rsidR="005F0165" w:rsidRDefault="005F0165" w:rsidP="005F0165">
      <w:pPr>
        <w:pStyle w:val="Default"/>
        <w:spacing w:line="288" w:lineRule="auto"/>
        <w:rPr>
          <w:rFonts w:cs="Arial"/>
          <w:b/>
          <w:color w:val="232120"/>
        </w:rPr>
      </w:pPr>
    </w:p>
    <w:p w14:paraId="5231EE73" w14:textId="77777777" w:rsidR="005F0165" w:rsidRDefault="005F0165" w:rsidP="005F0165">
      <w:pPr>
        <w:pStyle w:val="Default"/>
        <w:spacing w:line="288" w:lineRule="auto"/>
        <w:rPr>
          <w:rFonts w:cs="Arial"/>
          <w:b/>
          <w:color w:val="232120"/>
        </w:rPr>
      </w:pPr>
    </w:p>
    <w:p w14:paraId="609599C7" w14:textId="77777777" w:rsidR="005F0165" w:rsidRDefault="005F0165" w:rsidP="005F0165">
      <w:pPr>
        <w:pStyle w:val="Default"/>
        <w:spacing w:line="288" w:lineRule="auto"/>
        <w:rPr>
          <w:rFonts w:cs="Arial"/>
          <w:b/>
          <w:color w:val="232120"/>
        </w:rPr>
      </w:pPr>
    </w:p>
    <w:p w14:paraId="663945A0" w14:textId="77777777" w:rsidR="005F0165" w:rsidRDefault="005F0165" w:rsidP="005F0165">
      <w:pPr>
        <w:pStyle w:val="Default"/>
        <w:spacing w:line="288" w:lineRule="auto"/>
        <w:rPr>
          <w:rFonts w:cs="Arial"/>
          <w:b/>
          <w:color w:val="232120"/>
        </w:rPr>
      </w:pPr>
    </w:p>
    <w:sdt>
      <w:sdtPr>
        <w:rPr>
          <w:rFonts w:ascii="Verdana" w:eastAsiaTheme="minorEastAsia" w:hAnsi="Verdana" w:cstheme="minorBidi"/>
          <w:color w:val="auto"/>
          <w:sz w:val="24"/>
          <w:szCs w:val="24"/>
          <w:lang w:val="en-GB"/>
        </w:rPr>
        <w:id w:val="24291823"/>
        <w:docPartObj>
          <w:docPartGallery w:val="Table of Contents"/>
          <w:docPartUnique/>
        </w:docPartObj>
      </w:sdtPr>
      <w:sdtEndPr/>
      <w:sdtContent>
        <w:p w14:paraId="3E30FF44" w14:textId="77777777" w:rsidR="007F3DC3" w:rsidRDefault="007F3DC3" w:rsidP="007F3DC3">
          <w:pPr>
            <w:pStyle w:val="TOCHeading"/>
            <w:rPr>
              <w:rFonts w:ascii="Verdana" w:hAnsi="Verdana"/>
              <w:b/>
              <w:color w:val="77328A"/>
              <w:sz w:val="30"/>
              <w:szCs w:val="30"/>
            </w:rPr>
          </w:pPr>
          <w:r>
            <w:rPr>
              <w:rFonts w:ascii="Verdana" w:hAnsi="Verdana"/>
              <w:b/>
              <w:color w:val="77328A"/>
              <w:sz w:val="30"/>
              <w:szCs w:val="30"/>
            </w:rPr>
            <w:t>Table of Contents</w:t>
          </w:r>
        </w:p>
        <w:p w14:paraId="78BD9C01" w14:textId="77777777" w:rsidR="007F3DC3" w:rsidRDefault="007F3DC3" w:rsidP="007F3DC3">
          <w:pPr>
            <w:rPr>
              <w:lang w:val="en-US"/>
            </w:rPr>
          </w:pPr>
        </w:p>
        <w:p w14:paraId="38C9AD08" w14:textId="6015E3A7" w:rsidR="00563382" w:rsidRDefault="007F3DC3">
          <w:pPr>
            <w:pStyle w:val="TOC1"/>
            <w:rPr>
              <w:rFonts w:asciiTheme="minorHAnsi" w:hAnsiTheme="minorHAnsi"/>
              <w:b w:val="0"/>
              <w:sz w:val="22"/>
              <w:szCs w:val="22"/>
              <w:lang w:eastAsia="en-GB"/>
            </w:rPr>
          </w:pPr>
          <w:r>
            <w:fldChar w:fldCharType="begin"/>
          </w:r>
          <w:r>
            <w:instrText xml:space="preserve"> TOC \o "1-3" \h \z \u </w:instrText>
          </w:r>
          <w:r>
            <w:fldChar w:fldCharType="separate"/>
          </w:r>
          <w:hyperlink w:anchor="_Toc97636603" w:history="1">
            <w:r w:rsidR="00563382" w:rsidRPr="002815B3">
              <w:rPr>
                <w:rStyle w:val="Hyperlink"/>
              </w:rPr>
              <w:t>Summary of Recommendations</w:t>
            </w:r>
            <w:r w:rsidR="00563382">
              <w:rPr>
                <w:webHidden/>
              </w:rPr>
              <w:tab/>
            </w:r>
            <w:r w:rsidR="00563382">
              <w:rPr>
                <w:webHidden/>
              </w:rPr>
              <w:fldChar w:fldCharType="begin"/>
            </w:r>
            <w:r w:rsidR="00563382">
              <w:rPr>
                <w:webHidden/>
              </w:rPr>
              <w:instrText xml:space="preserve"> PAGEREF _Toc97636603 \h </w:instrText>
            </w:r>
            <w:r w:rsidR="00563382">
              <w:rPr>
                <w:webHidden/>
              </w:rPr>
            </w:r>
            <w:r w:rsidR="00563382">
              <w:rPr>
                <w:webHidden/>
              </w:rPr>
              <w:fldChar w:fldCharType="separate"/>
            </w:r>
            <w:r w:rsidR="00212023">
              <w:rPr>
                <w:webHidden/>
              </w:rPr>
              <w:t>3</w:t>
            </w:r>
            <w:r w:rsidR="00563382">
              <w:rPr>
                <w:webHidden/>
              </w:rPr>
              <w:fldChar w:fldCharType="end"/>
            </w:r>
          </w:hyperlink>
        </w:p>
        <w:p w14:paraId="2BFFE2D3" w14:textId="4DA5582C" w:rsidR="00563382" w:rsidRDefault="00563382">
          <w:pPr>
            <w:pStyle w:val="TOC1"/>
            <w:rPr>
              <w:rFonts w:asciiTheme="minorHAnsi" w:hAnsiTheme="minorHAnsi"/>
              <w:b w:val="0"/>
              <w:sz w:val="22"/>
              <w:szCs w:val="22"/>
              <w:lang w:eastAsia="en-GB"/>
            </w:rPr>
          </w:pPr>
          <w:hyperlink w:anchor="_Toc97636604" w:history="1">
            <w:r w:rsidRPr="002815B3">
              <w:rPr>
                <w:rStyle w:val="Hyperlink"/>
              </w:rPr>
              <w:t>1</w:t>
            </w:r>
            <w:r>
              <w:rPr>
                <w:rFonts w:asciiTheme="minorHAnsi" w:hAnsiTheme="minorHAnsi"/>
                <w:b w:val="0"/>
                <w:sz w:val="22"/>
                <w:szCs w:val="22"/>
                <w:lang w:eastAsia="en-GB"/>
              </w:rPr>
              <w:tab/>
            </w:r>
            <w:r w:rsidRPr="002815B3">
              <w:rPr>
                <w:rStyle w:val="Hyperlink"/>
              </w:rPr>
              <w:t>Introduction</w:t>
            </w:r>
            <w:r>
              <w:rPr>
                <w:webHidden/>
              </w:rPr>
              <w:tab/>
            </w:r>
            <w:r>
              <w:rPr>
                <w:webHidden/>
              </w:rPr>
              <w:fldChar w:fldCharType="begin"/>
            </w:r>
            <w:r>
              <w:rPr>
                <w:webHidden/>
              </w:rPr>
              <w:instrText xml:space="preserve"> PAGEREF _Toc97636604 \h </w:instrText>
            </w:r>
            <w:r>
              <w:rPr>
                <w:webHidden/>
              </w:rPr>
            </w:r>
            <w:r>
              <w:rPr>
                <w:webHidden/>
              </w:rPr>
              <w:fldChar w:fldCharType="separate"/>
            </w:r>
            <w:r w:rsidR="00212023">
              <w:rPr>
                <w:webHidden/>
              </w:rPr>
              <w:t>6</w:t>
            </w:r>
            <w:r>
              <w:rPr>
                <w:webHidden/>
              </w:rPr>
              <w:fldChar w:fldCharType="end"/>
            </w:r>
          </w:hyperlink>
        </w:p>
        <w:p w14:paraId="12AD871B" w14:textId="04AFD69F" w:rsidR="00563382" w:rsidRDefault="00563382">
          <w:pPr>
            <w:pStyle w:val="TOC1"/>
            <w:rPr>
              <w:rFonts w:asciiTheme="minorHAnsi" w:hAnsiTheme="minorHAnsi"/>
              <w:b w:val="0"/>
              <w:sz w:val="22"/>
              <w:szCs w:val="22"/>
              <w:lang w:eastAsia="en-GB"/>
            </w:rPr>
          </w:pPr>
          <w:hyperlink w:anchor="_Toc97636605" w:history="1">
            <w:r w:rsidRPr="002815B3">
              <w:rPr>
                <w:rStyle w:val="Hyperlink"/>
              </w:rPr>
              <w:t>2</w:t>
            </w:r>
            <w:r>
              <w:rPr>
                <w:rFonts w:asciiTheme="minorHAnsi" w:hAnsiTheme="minorHAnsi"/>
                <w:b w:val="0"/>
                <w:sz w:val="22"/>
                <w:szCs w:val="22"/>
                <w:lang w:eastAsia="en-GB"/>
              </w:rPr>
              <w:tab/>
            </w:r>
            <w:r w:rsidRPr="002815B3">
              <w:rPr>
                <w:rStyle w:val="Hyperlink"/>
              </w:rPr>
              <w:t>General Comments</w:t>
            </w:r>
            <w:r>
              <w:rPr>
                <w:webHidden/>
              </w:rPr>
              <w:tab/>
            </w:r>
            <w:r>
              <w:rPr>
                <w:webHidden/>
              </w:rPr>
              <w:fldChar w:fldCharType="begin"/>
            </w:r>
            <w:r>
              <w:rPr>
                <w:webHidden/>
              </w:rPr>
              <w:instrText xml:space="preserve"> PAGEREF _Toc97636605 \h </w:instrText>
            </w:r>
            <w:r>
              <w:rPr>
                <w:webHidden/>
              </w:rPr>
            </w:r>
            <w:r>
              <w:rPr>
                <w:webHidden/>
              </w:rPr>
              <w:fldChar w:fldCharType="separate"/>
            </w:r>
            <w:r w:rsidR="00212023">
              <w:rPr>
                <w:webHidden/>
              </w:rPr>
              <w:t>8</w:t>
            </w:r>
            <w:r>
              <w:rPr>
                <w:webHidden/>
              </w:rPr>
              <w:fldChar w:fldCharType="end"/>
            </w:r>
          </w:hyperlink>
        </w:p>
        <w:p w14:paraId="2624D11B" w14:textId="0CCE02B2" w:rsidR="00563382" w:rsidRDefault="00563382">
          <w:pPr>
            <w:pStyle w:val="TOC1"/>
            <w:rPr>
              <w:rFonts w:asciiTheme="minorHAnsi" w:hAnsiTheme="minorHAnsi"/>
              <w:b w:val="0"/>
              <w:sz w:val="22"/>
              <w:szCs w:val="22"/>
              <w:lang w:eastAsia="en-GB"/>
            </w:rPr>
          </w:pPr>
          <w:hyperlink w:anchor="_Toc97636606" w:history="1">
            <w:r w:rsidRPr="002815B3">
              <w:rPr>
                <w:rStyle w:val="Hyperlink"/>
              </w:rPr>
              <w:t>3</w:t>
            </w:r>
            <w:r>
              <w:rPr>
                <w:rFonts w:asciiTheme="minorHAnsi" w:hAnsiTheme="minorHAnsi"/>
                <w:b w:val="0"/>
                <w:sz w:val="22"/>
                <w:szCs w:val="22"/>
                <w:lang w:eastAsia="en-GB"/>
              </w:rPr>
              <w:tab/>
            </w:r>
            <w:r w:rsidRPr="002815B3">
              <w:rPr>
                <w:rStyle w:val="Hyperlink"/>
              </w:rPr>
              <w:t>The Northern Ireland Context</w:t>
            </w:r>
            <w:r>
              <w:rPr>
                <w:webHidden/>
              </w:rPr>
              <w:tab/>
            </w:r>
            <w:r>
              <w:rPr>
                <w:webHidden/>
              </w:rPr>
              <w:fldChar w:fldCharType="begin"/>
            </w:r>
            <w:r>
              <w:rPr>
                <w:webHidden/>
              </w:rPr>
              <w:instrText xml:space="preserve"> PAGEREF _Toc97636606 \h </w:instrText>
            </w:r>
            <w:r>
              <w:rPr>
                <w:webHidden/>
              </w:rPr>
            </w:r>
            <w:r>
              <w:rPr>
                <w:webHidden/>
              </w:rPr>
              <w:fldChar w:fldCharType="separate"/>
            </w:r>
            <w:r w:rsidR="00212023">
              <w:rPr>
                <w:webHidden/>
              </w:rPr>
              <w:t>15</w:t>
            </w:r>
            <w:r>
              <w:rPr>
                <w:webHidden/>
              </w:rPr>
              <w:fldChar w:fldCharType="end"/>
            </w:r>
          </w:hyperlink>
        </w:p>
        <w:p w14:paraId="6D76B86C" w14:textId="77044447" w:rsidR="00563382" w:rsidRDefault="00563382">
          <w:pPr>
            <w:pStyle w:val="TOC2"/>
            <w:rPr>
              <w:rFonts w:asciiTheme="minorHAnsi" w:hAnsiTheme="minorHAnsi"/>
              <w:noProof/>
              <w:sz w:val="22"/>
              <w:szCs w:val="22"/>
              <w:lang w:eastAsia="en-GB"/>
            </w:rPr>
          </w:pPr>
          <w:hyperlink w:anchor="_Toc97636607" w:history="1">
            <w:r w:rsidRPr="002815B3">
              <w:rPr>
                <w:rStyle w:val="Hyperlink"/>
                <w:rFonts w:eastAsia="Verdana"/>
                <w:noProof/>
              </w:rPr>
              <w:t>Protocol Article 2</w:t>
            </w:r>
            <w:r>
              <w:rPr>
                <w:noProof/>
                <w:webHidden/>
              </w:rPr>
              <w:tab/>
            </w:r>
            <w:r>
              <w:rPr>
                <w:noProof/>
                <w:webHidden/>
              </w:rPr>
              <w:fldChar w:fldCharType="begin"/>
            </w:r>
            <w:r>
              <w:rPr>
                <w:noProof/>
                <w:webHidden/>
              </w:rPr>
              <w:instrText xml:space="preserve"> PAGEREF _Toc97636607 \h </w:instrText>
            </w:r>
            <w:r>
              <w:rPr>
                <w:noProof/>
                <w:webHidden/>
              </w:rPr>
            </w:r>
            <w:r>
              <w:rPr>
                <w:noProof/>
                <w:webHidden/>
              </w:rPr>
              <w:fldChar w:fldCharType="separate"/>
            </w:r>
            <w:r w:rsidR="00212023">
              <w:rPr>
                <w:noProof/>
                <w:webHidden/>
              </w:rPr>
              <w:t>17</w:t>
            </w:r>
            <w:r>
              <w:rPr>
                <w:noProof/>
                <w:webHidden/>
              </w:rPr>
              <w:fldChar w:fldCharType="end"/>
            </w:r>
          </w:hyperlink>
        </w:p>
        <w:p w14:paraId="7E8DE93D" w14:textId="47C8378F" w:rsidR="00563382" w:rsidRDefault="00563382">
          <w:pPr>
            <w:pStyle w:val="TOC2"/>
            <w:rPr>
              <w:rFonts w:asciiTheme="minorHAnsi" w:hAnsiTheme="minorHAnsi"/>
              <w:noProof/>
              <w:sz w:val="22"/>
              <w:szCs w:val="22"/>
              <w:lang w:eastAsia="en-GB"/>
            </w:rPr>
          </w:pPr>
          <w:hyperlink w:anchor="_Toc97636608" w:history="1">
            <w:r w:rsidRPr="002815B3">
              <w:rPr>
                <w:rStyle w:val="Hyperlink"/>
                <w:noProof/>
              </w:rPr>
              <w:t>EU Charter on Fundamental Rights</w:t>
            </w:r>
            <w:r>
              <w:rPr>
                <w:noProof/>
                <w:webHidden/>
              </w:rPr>
              <w:tab/>
            </w:r>
            <w:r>
              <w:rPr>
                <w:noProof/>
                <w:webHidden/>
              </w:rPr>
              <w:fldChar w:fldCharType="begin"/>
            </w:r>
            <w:r>
              <w:rPr>
                <w:noProof/>
                <w:webHidden/>
              </w:rPr>
              <w:instrText xml:space="preserve"> PAGEREF _Toc97636608 \h </w:instrText>
            </w:r>
            <w:r>
              <w:rPr>
                <w:noProof/>
                <w:webHidden/>
              </w:rPr>
            </w:r>
            <w:r>
              <w:rPr>
                <w:noProof/>
                <w:webHidden/>
              </w:rPr>
              <w:fldChar w:fldCharType="separate"/>
            </w:r>
            <w:r w:rsidR="00212023">
              <w:rPr>
                <w:noProof/>
                <w:webHidden/>
              </w:rPr>
              <w:t>19</w:t>
            </w:r>
            <w:r>
              <w:rPr>
                <w:noProof/>
                <w:webHidden/>
              </w:rPr>
              <w:fldChar w:fldCharType="end"/>
            </w:r>
          </w:hyperlink>
        </w:p>
        <w:p w14:paraId="2539B97B" w14:textId="428F95B6" w:rsidR="00563382" w:rsidRDefault="00563382">
          <w:pPr>
            <w:pStyle w:val="TOC2"/>
            <w:rPr>
              <w:rFonts w:asciiTheme="minorHAnsi" w:hAnsiTheme="minorHAnsi"/>
              <w:noProof/>
              <w:sz w:val="22"/>
              <w:szCs w:val="22"/>
              <w:lang w:eastAsia="en-GB"/>
            </w:rPr>
          </w:pPr>
          <w:hyperlink w:anchor="_Toc97636609" w:history="1">
            <w:r w:rsidRPr="002815B3">
              <w:rPr>
                <w:rStyle w:val="Hyperlink"/>
                <w:rFonts w:eastAsia="Verdana"/>
                <w:noProof/>
              </w:rPr>
              <w:t>Bill of Rights</w:t>
            </w:r>
            <w:r>
              <w:rPr>
                <w:noProof/>
                <w:webHidden/>
              </w:rPr>
              <w:tab/>
            </w:r>
            <w:r>
              <w:rPr>
                <w:noProof/>
                <w:webHidden/>
              </w:rPr>
              <w:fldChar w:fldCharType="begin"/>
            </w:r>
            <w:r>
              <w:rPr>
                <w:noProof/>
                <w:webHidden/>
              </w:rPr>
              <w:instrText xml:space="preserve"> PAGEREF _Toc97636609 \h </w:instrText>
            </w:r>
            <w:r>
              <w:rPr>
                <w:noProof/>
                <w:webHidden/>
              </w:rPr>
            </w:r>
            <w:r>
              <w:rPr>
                <w:noProof/>
                <w:webHidden/>
              </w:rPr>
              <w:fldChar w:fldCharType="separate"/>
            </w:r>
            <w:r w:rsidR="00212023">
              <w:rPr>
                <w:noProof/>
                <w:webHidden/>
              </w:rPr>
              <w:t>22</w:t>
            </w:r>
            <w:r>
              <w:rPr>
                <w:noProof/>
                <w:webHidden/>
              </w:rPr>
              <w:fldChar w:fldCharType="end"/>
            </w:r>
          </w:hyperlink>
        </w:p>
        <w:p w14:paraId="7F9C269E" w14:textId="328D61F3" w:rsidR="007F3DC3" w:rsidRDefault="007F3DC3" w:rsidP="007F3DC3">
          <w:r>
            <w:rPr>
              <w:b/>
              <w:bCs/>
              <w:noProof/>
            </w:rPr>
            <w:fldChar w:fldCharType="end"/>
          </w:r>
        </w:p>
      </w:sdtContent>
    </w:sdt>
    <w:p w14:paraId="24828891" w14:textId="77777777" w:rsidR="007F3DC3" w:rsidRDefault="007F3DC3">
      <w:pPr>
        <w:spacing w:after="160" w:line="259" w:lineRule="auto"/>
        <w:rPr>
          <w:rFonts w:eastAsiaTheme="majorEastAsia" w:cstheme="majorBidi"/>
          <w:b/>
          <w:color w:val="77328A"/>
          <w:sz w:val="30"/>
          <w:szCs w:val="32"/>
        </w:rPr>
      </w:pPr>
    </w:p>
    <w:p w14:paraId="3EBDF552" w14:textId="77777777" w:rsidR="00AB45DE" w:rsidRDefault="00AB45DE">
      <w:pPr>
        <w:spacing w:after="160" w:line="259" w:lineRule="auto"/>
        <w:rPr>
          <w:rFonts w:eastAsia="Times New Roman" w:cs="Verdana"/>
          <w:b/>
          <w:bCs/>
          <w:color w:val="000000"/>
          <w:szCs w:val="22"/>
          <w:lang w:eastAsia="en-GB"/>
        </w:rPr>
      </w:pPr>
      <w:r>
        <w:rPr>
          <w:rFonts w:eastAsia="Times New Roman" w:cs="Verdana"/>
          <w:bCs/>
          <w:color w:val="000000"/>
          <w:szCs w:val="22"/>
          <w:lang w:eastAsia="en-GB"/>
        </w:rPr>
        <w:br w:type="page"/>
      </w:r>
    </w:p>
    <w:p w14:paraId="1879320B" w14:textId="77777777" w:rsidR="005F0165" w:rsidRDefault="005F0165" w:rsidP="00703FFF">
      <w:pPr>
        <w:pStyle w:val="Heading1"/>
        <w:jc w:val="both"/>
      </w:pPr>
      <w:bookmarkStart w:id="0" w:name="_Toc97636603"/>
      <w:r>
        <w:lastRenderedPageBreak/>
        <w:t>Summary of Recommendations</w:t>
      </w:r>
      <w:bookmarkEnd w:id="0"/>
    </w:p>
    <w:p w14:paraId="7C818F02" w14:textId="77777777" w:rsidR="00AB45DE" w:rsidRDefault="00AB45DE" w:rsidP="00AB45DE">
      <w:pPr>
        <w:jc w:val="both"/>
        <w:rPr>
          <w:b/>
        </w:rPr>
      </w:pPr>
    </w:p>
    <w:p w14:paraId="115836B7" w14:textId="624E6F3F" w:rsidR="008355EA" w:rsidRDefault="0007526D" w:rsidP="006F6BDE">
      <w:pPr>
        <w:widowControl w:val="0"/>
        <w:suppressAutoHyphens/>
        <w:autoSpaceDE w:val="0"/>
        <w:autoSpaceDN w:val="0"/>
        <w:adjustRightInd w:val="0"/>
        <w:spacing w:line="288" w:lineRule="auto"/>
        <w:textAlignment w:val="center"/>
        <w:rPr>
          <w:b/>
          <w:bCs/>
        </w:rPr>
      </w:pPr>
      <w:r>
        <w:rPr>
          <w:b/>
        </w:rPr>
        <w:t xml:space="preserve">The NI Human Rights Commission </w:t>
      </w:r>
      <w:r w:rsidR="008355EA">
        <w:rPr>
          <w:b/>
        </w:rPr>
        <w:t>(NIHRC)</w:t>
      </w:r>
      <w:r w:rsidR="006F6BDE" w:rsidRPr="006F6BDE">
        <w:rPr>
          <w:b/>
          <w:bCs/>
        </w:rPr>
        <w:t xml:space="preserve"> rejects </w:t>
      </w:r>
      <w:r w:rsidR="00CC3EDB" w:rsidRPr="006F6BDE">
        <w:rPr>
          <w:b/>
          <w:bCs/>
        </w:rPr>
        <w:t xml:space="preserve">in its totality </w:t>
      </w:r>
      <w:r w:rsidR="006F6BDE" w:rsidRPr="006F6BDE">
        <w:rPr>
          <w:b/>
          <w:bCs/>
        </w:rPr>
        <w:t xml:space="preserve">the proposal to reform the Human Rights Act (HRA).  </w:t>
      </w:r>
    </w:p>
    <w:p w14:paraId="0037CF0B" w14:textId="77777777" w:rsidR="008355EA" w:rsidRDefault="008355EA" w:rsidP="006F6BDE">
      <w:pPr>
        <w:widowControl w:val="0"/>
        <w:suppressAutoHyphens/>
        <w:autoSpaceDE w:val="0"/>
        <w:autoSpaceDN w:val="0"/>
        <w:adjustRightInd w:val="0"/>
        <w:spacing w:line="288" w:lineRule="auto"/>
        <w:textAlignment w:val="center"/>
        <w:rPr>
          <w:b/>
          <w:bCs/>
        </w:rPr>
      </w:pPr>
    </w:p>
    <w:p w14:paraId="780E9430" w14:textId="17CC06AE" w:rsidR="00AB45DE" w:rsidRDefault="00AB45DE" w:rsidP="006F6BDE">
      <w:pPr>
        <w:widowControl w:val="0"/>
        <w:suppressAutoHyphens/>
        <w:autoSpaceDE w:val="0"/>
        <w:autoSpaceDN w:val="0"/>
        <w:adjustRightInd w:val="0"/>
        <w:spacing w:line="288" w:lineRule="auto"/>
        <w:textAlignment w:val="center"/>
        <w:rPr>
          <w:b/>
        </w:rPr>
      </w:pPr>
      <w:r>
        <w:rPr>
          <w:b/>
        </w:rPr>
        <w:t xml:space="preserve">The </w:t>
      </w:r>
      <w:r w:rsidR="008355EA">
        <w:rPr>
          <w:b/>
        </w:rPr>
        <w:t>NIHRC</w:t>
      </w:r>
      <w:r>
        <w:rPr>
          <w:b/>
        </w:rPr>
        <w:t xml:space="preserve">: </w:t>
      </w:r>
    </w:p>
    <w:p w14:paraId="6257E24F" w14:textId="77777777" w:rsidR="00932FEE" w:rsidRDefault="00932FEE" w:rsidP="00AB45DE">
      <w:pPr>
        <w:jc w:val="both"/>
        <w:rPr>
          <w:b/>
        </w:rPr>
      </w:pPr>
    </w:p>
    <w:p w14:paraId="6B17535A" w14:textId="36C439EE" w:rsidR="00543C39" w:rsidRDefault="00543C39" w:rsidP="00543C39">
      <w:pPr>
        <w:spacing w:after="39" w:line="276" w:lineRule="auto"/>
        <w:jc w:val="both"/>
        <w:rPr>
          <w:b/>
          <w:bCs/>
        </w:rPr>
      </w:pPr>
      <w:r w:rsidRPr="00543C39">
        <w:rPr>
          <w:b/>
          <w:bCs/>
        </w:rPr>
        <w:t>2.11</w:t>
      </w:r>
      <w:r>
        <w:rPr>
          <w:b/>
          <w:bCs/>
        </w:rPr>
        <w:tab/>
      </w:r>
      <w:r w:rsidRPr="00543C39">
        <w:rPr>
          <w:b/>
          <w:bCs/>
        </w:rPr>
        <w:t xml:space="preserve">recommends that the Human Rights Act is retained. </w:t>
      </w:r>
    </w:p>
    <w:p w14:paraId="20EF3542" w14:textId="77777777" w:rsidR="00543C39" w:rsidRPr="00543C39" w:rsidRDefault="00543C39" w:rsidP="00543C39">
      <w:pPr>
        <w:spacing w:after="39" w:line="276" w:lineRule="auto"/>
        <w:jc w:val="both"/>
        <w:rPr>
          <w:b/>
          <w:bCs/>
        </w:rPr>
      </w:pPr>
    </w:p>
    <w:p w14:paraId="78E5955C" w14:textId="13DAD7A2" w:rsidR="00543C39" w:rsidRDefault="00543C39" w:rsidP="00543C39">
      <w:pPr>
        <w:spacing w:after="39" w:line="276" w:lineRule="auto"/>
        <w:ind w:left="720" w:hanging="720"/>
        <w:jc w:val="both"/>
        <w:rPr>
          <w:b/>
          <w:bCs/>
        </w:rPr>
      </w:pPr>
      <w:r w:rsidRPr="00543C39">
        <w:rPr>
          <w:b/>
          <w:bCs/>
        </w:rPr>
        <w:t>2.12</w:t>
      </w:r>
      <w:r>
        <w:rPr>
          <w:b/>
          <w:bCs/>
        </w:rPr>
        <w:tab/>
      </w:r>
      <w:r w:rsidRPr="00543C39">
        <w:rPr>
          <w:b/>
          <w:bCs/>
        </w:rPr>
        <w:t xml:space="preserve">recommends the UK Government responds in full to the IHRAR report, which found overwhelming support for retaining the HRA, and develops a programme of education to support public understanding of, and engagement with, the HRA. </w:t>
      </w:r>
    </w:p>
    <w:p w14:paraId="4D8F0D3C" w14:textId="77777777" w:rsidR="00543C39" w:rsidRPr="00543C39" w:rsidRDefault="00543C39" w:rsidP="00543C39">
      <w:pPr>
        <w:spacing w:after="39" w:line="276" w:lineRule="auto"/>
        <w:ind w:left="720" w:hanging="720"/>
        <w:jc w:val="both"/>
        <w:rPr>
          <w:b/>
          <w:bCs/>
        </w:rPr>
      </w:pPr>
    </w:p>
    <w:p w14:paraId="1A9FD965" w14:textId="51AAA558" w:rsidR="00543C39" w:rsidRDefault="00543C39" w:rsidP="00543C39">
      <w:pPr>
        <w:spacing w:after="39" w:line="276" w:lineRule="auto"/>
        <w:ind w:left="720" w:hanging="720"/>
        <w:jc w:val="both"/>
        <w:rPr>
          <w:b/>
          <w:bCs/>
        </w:rPr>
      </w:pPr>
      <w:r w:rsidRPr="00543C39">
        <w:rPr>
          <w:b/>
          <w:bCs/>
        </w:rPr>
        <w:t>2.17</w:t>
      </w:r>
      <w:r>
        <w:rPr>
          <w:b/>
          <w:bCs/>
        </w:rPr>
        <w:tab/>
      </w:r>
      <w:r w:rsidRPr="00543C39">
        <w:rPr>
          <w:b/>
          <w:bCs/>
        </w:rPr>
        <w:t xml:space="preserve">recommends that public authorities should be required to act in ways which promote and protect human rights for all. </w:t>
      </w:r>
    </w:p>
    <w:p w14:paraId="1A95EFDF" w14:textId="77777777" w:rsidR="00543C39" w:rsidRPr="00543C39" w:rsidRDefault="00543C39" w:rsidP="00543C39">
      <w:pPr>
        <w:spacing w:after="39" w:line="276" w:lineRule="auto"/>
        <w:ind w:left="720" w:hanging="720"/>
        <w:jc w:val="both"/>
        <w:rPr>
          <w:b/>
          <w:bCs/>
        </w:rPr>
      </w:pPr>
    </w:p>
    <w:p w14:paraId="0163AB9F" w14:textId="051FFBC2" w:rsidR="00543C39" w:rsidRDefault="00543C39" w:rsidP="00543C39">
      <w:pPr>
        <w:spacing w:after="39" w:line="276" w:lineRule="auto"/>
        <w:ind w:left="720" w:hanging="720"/>
        <w:jc w:val="both"/>
        <w:rPr>
          <w:b/>
          <w:bCs/>
        </w:rPr>
      </w:pPr>
      <w:r w:rsidRPr="00543C39">
        <w:rPr>
          <w:b/>
          <w:bCs/>
        </w:rPr>
        <w:t>2.18</w:t>
      </w:r>
      <w:r>
        <w:rPr>
          <w:b/>
          <w:bCs/>
        </w:rPr>
        <w:tab/>
      </w:r>
      <w:r w:rsidRPr="00543C39">
        <w:rPr>
          <w:b/>
          <w:bCs/>
        </w:rPr>
        <w:t xml:space="preserve">rejects the negative framing presented in the proposals, particularly the divisive language and framing of certain groups of rights holders as less entitled to rights protection. The NIHRC recommends that this is revised to ensure the universality of human rights is reflected, and to prevent the demonisation of particular groups based on their ethnicity or circumstances. </w:t>
      </w:r>
    </w:p>
    <w:p w14:paraId="3709E85D" w14:textId="77777777" w:rsidR="00543C39" w:rsidRPr="00543C39" w:rsidRDefault="00543C39" w:rsidP="00543C39">
      <w:pPr>
        <w:spacing w:after="39" w:line="276" w:lineRule="auto"/>
        <w:ind w:left="720" w:hanging="720"/>
        <w:jc w:val="both"/>
        <w:rPr>
          <w:b/>
          <w:bCs/>
        </w:rPr>
      </w:pPr>
    </w:p>
    <w:p w14:paraId="67BBA184" w14:textId="12241C0B" w:rsidR="00543C39" w:rsidRDefault="00543C39" w:rsidP="00543C39">
      <w:pPr>
        <w:spacing w:after="39" w:line="276" w:lineRule="auto"/>
        <w:ind w:left="720" w:hanging="720"/>
        <w:jc w:val="both"/>
        <w:rPr>
          <w:b/>
          <w:bCs/>
        </w:rPr>
      </w:pPr>
      <w:r w:rsidRPr="00543C39">
        <w:rPr>
          <w:b/>
          <w:bCs/>
        </w:rPr>
        <w:t>2.22</w:t>
      </w:r>
      <w:r>
        <w:rPr>
          <w:b/>
          <w:bCs/>
        </w:rPr>
        <w:tab/>
      </w:r>
      <w:r w:rsidRPr="00543C39">
        <w:rPr>
          <w:b/>
          <w:bCs/>
        </w:rPr>
        <w:t xml:space="preserve">recommends that protection of rights in Northern Ireland is strengthened, not lessened. </w:t>
      </w:r>
    </w:p>
    <w:p w14:paraId="0E5486D3" w14:textId="77777777" w:rsidR="00543C39" w:rsidRPr="00543C39" w:rsidRDefault="00543C39" w:rsidP="00543C39">
      <w:pPr>
        <w:spacing w:after="39" w:line="276" w:lineRule="auto"/>
        <w:ind w:left="720" w:hanging="720"/>
        <w:jc w:val="both"/>
        <w:rPr>
          <w:b/>
          <w:bCs/>
        </w:rPr>
      </w:pPr>
    </w:p>
    <w:p w14:paraId="24302BFC" w14:textId="5BC5024D" w:rsidR="00543C39" w:rsidRDefault="00543C39" w:rsidP="00543C39">
      <w:pPr>
        <w:spacing w:after="39" w:line="276" w:lineRule="auto"/>
        <w:ind w:left="720" w:hanging="720"/>
        <w:jc w:val="both"/>
        <w:rPr>
          <w:b/>
          <w:bCs/>
        </w:rPr>
      </w:pPr>
      <w:r w:rsidRPr="00543C39">
        <w:rPr>
          <w:b/>
          <w:bCs/>
        </w:rPr>
        <w:t>3.5</w:t>
      </w:r>
      <w:r w:rsidRPr="00543C39">
        <w:rPr>
          <w:b/>
          <w:bCs/>
        </w:rPr>
        <w:tab/>
        <w:t>recommends that the UK Government fully considers the complexities and realities of devolution in the context of these proposals, including the history of rights in Northern Ireland, and details how any proposed changes will strengthen protections outlined in the Belfast (Good Friday) Agreement.</w:t>
      </w:r>
    </w:p>
    <w:p w14:paraId="2FF61FE9" w14:textId="77777777" w:rsidR="00543C39" w:rsidRPr="00543C39" w:rsidRDefault="00543C39" w:rsidP="00543C39">
      <w:pPr>
        <w:spacing w:after="39" w:line="276" w:lineRule="auto"/>
        <w:ind w:left="720" w:hanging="720"/>
        <w:jc w:val="both"/>
        <w:rPr>
          <w:b/>
          <w:bCs/>
        </w:rPr>
      </w:pPr>
    </w:p>
    <w:p w14:paraId="6714181E" w14:textId="1033029E" w:rsidR="00543C39" w:rsidRDefault="00543C39" w:rsidP="00543C39">
      <w:pPr>
        <w:spacing w:after="39" w:line="276" w:lineRule="auto"/>
        <w:ind w:left="720" w:hanging="720"/>
        <w:jc w:val="both"/>
        <w:rPr>
          <w:b/>
          <w:bCs/>
        </w:rPr>
      </w:pPr>
      <w:r w:rsidRPr="00543C39">
        <w:rPr>
          <w:b/>
          <w:bCs/>
        </w:rPr>
        <w:t>3.6</w:t>
      </w:r>
      <w:r w:rsidRPr="00543C39">
        <w:rPr>
          <w:b/>
          <w:bCs/>
        </w:rPr>
        <w:tab/>
        <w:t xml:space="preserve">recommends that the UK Government recognises its international obligations under the Belfast (Good Friday) Agreement 1998, particularly, in this context, with reference to incorporation of the ECHR and direct access to courts. </w:t>
      </w:r>
    </w:p>
    <w:p w14:paraId="0FF81A21" w14:textId="77777777" w:rsidR="00543C39" w:rsidRPr="00543C39" w:rsidRDefault="00543C39" w:rsidP="00543C39">
      <w:pPr>
        <w:spacing w:after="39" w:line="276" w:lineRule="auto"/>
        <w:ind w:left="720" w:hanging="720"/>
        <w:jc w:val="both"/>
        <w:rPr>
          <w:b/>
          <w:bCs/>
        </w:rPr>
      </w:pPr>
    </w:p>
    <w:p w14:paraId="08EE323C" w14:textId="3C0F1657" w:rsidR="00543C39" w:rsidRDefault="00543C39" w:rsidP="00543C39">
      <w:pPr>
        <w:spacing w:after="39" w:line="276" w:lineRule="auto"/>
        <w:ind w:left="720" w:hanging="720"/>
        <w:jc w:val="both"/>
        <w:rPr>
          <w:b/>
          <w:bCs/>
        </w:rPr>
      </w:pPr>
      <w:r w:rsidRPr="00543C39">
        <w:rPr>
          <w:b/>
          <w:bCs/>
        </w:rPr>
        <w:lastRenderedPageBreak/>
        <w:t>3.13</w:t>
      </w:r>
      <w:r w:rsidRPr="00543C39">
        <w:rPr>
          <w:b/>
          <w:bCs/>
        </w:rPr>
        <w:tab/>
        <w:t>recommends that the UK Government sets out in detail what consideration has been given to the proposals’ compliance with Protocol Article 2, including consideration of the effect of the proposals on the rights, safeguards and equality of opportunity protections under the relevant chapter of the Belfast (Good Friday) Agreement (and underpinned by EU law) that fall within the scope of Article 2.</w:t>
      </w:r>
    </w:p>
    <w:p w14:paraId="29D8E3D8" w14:textId="77777777" w:rsidR="00543C39" w:rsidRPr="00543C39" w:rsidRDefault="00543C39" w:rsidP="00543C39">
      <w:pPr>
        <w:spacing w:after="39" w:line="276" w:lineRule="auto"/>
        <w:ind w:left="720" w:hanging="720"/>
        <w:jc w:val="both"/>
        <w:rPr>
          <w:b/>
          <w:bCs/>
        </w:rPr>
      </w:pPr>
    </w:p>
    <w:p w14:paraId="3509DA86" w14:textId="00A99FF4" w:rsidR="00543C39" w:rsidRDefault="00543C39" w:rsidP="00543C39">
      <w:pPr>
        <w:spacing w:after="39" w:line="276" w:lineRule="auto"/>
        <w:ind w:left="720" w:hanging="720"/>
        <w:jc w:val="both"/>
        <w:rPr>
          <w:b/>
          <w:bCs/>
        </w:rPr>
      </w:pPr>
      <w:r w:rsidRPr="00543C39">
        <w:rPr>
          <w:b/>
          <w:bCs/>
        </w:rPr>
        <w:t>3.16</w:t>
      </w:r>
      <w:r w:rsidRPr="00543C39">
        <w:rPr>
          <w:b/>
          <w:bCs/>
        </w:rPr>
        <w:tab/>
        <w:t>advises that the protection of safeguards under Protocol Article 2 encompasses how those rights are claimed and enforced and available remedies. The NIHRC therefore recommends that in any assessment for compliance with Protocol Article 2, the UK Government should consider access to remedies and how ECHR rights are claimed and enforced.</w:t>
      </w:r>
    </w:p>
    <w:p w14:paraId="0669F5E3" w14:textId="77777777" w:rsidR="00543C39" w:rsidRPr="00543C39" w:rsidRDefault="00543C39" w:rsidP="00543C39">
      <w:pPr>
        <w:spacing w:after="39" w:line="276" w:lineRule="auto"/>
        <w:ind w:left="720" w:hanging="720"/>
        <w:jc w:val="both"/>
        <w:rPr>
          <w:b/>
          <w:bCs/>
        </w:rPr>
      </w:pPr>
    </w:p>
    <w:p w14:paraId="56111F65" w14:textId="4AF2623B" w:rsidR="00543C39" w:rsidRDefault="00543C39" w:rsidP="00543C39">
      <w:pPr>
        <w:spacing w:after="39" w:line="276" w:lineRule="auto"/>
        <w:ind w:left="720" w:hanging="720"/>
        <w:jc w:val="both"/>
        <w:rPr>
          <w:b/>
          <w:bCs/>
        </w:rPr>
      </w:pPr>
      <w:r w:rsidRPr="00543C39">
        <w:rPr>
          <w:b/>
          <w:bCs/>
        </w:rPr>
        <w:t>3.17</w:t>
      </w:r>
      <w:r w:rsidRPr="00543C39">
        <w:rPr>
          <w:b/>
          <w:bCs/>
        </w:rPr>
        <w:tab/>
        <w:t xml:space="preserve">recommends that no further action is taken in relation to the UK Government’s proposals until a detailed assessment of compliance with Protocol Article 2 is undertaken and published.   </w:t>
      </w:r>
    </w:p>
    <w:p w14:paraId="4FAF43A1" w14:textId="77777777" w:rsidR="00543C39" w:rsidRPr="00543C39" w:rsidRDefault="00543C39" w:rsidP="00543C39">
      <w:pPr>
        <w:spacing w:after="39" w:line="276" w:lineRule="auto"/>
        <w:ind w:left="720" w:hanging="720"/>
        <w:jc w:val="both"/>
        <w:rPr>
          <w:b/>
          <w:bCs/>
        </w:rPr>
      </w:pPr>
    </w:p>
    <w:p w14:paraId="69EE41ED" w14:textId="11C25B4C" w:rsidR="00543C39" w:rsidRDefault="00543C39" w:rsidP="00543C39">
      <w:pPr>
        <w:spacing w:after="39" w:line="276" w:lineRule="auto"/>
        <w:ind w:left="720" w:hanging="720"/>
        <w:jc w:val="both"/>
        <w:rPr>
          <w:b/>
          <w:bCs/>
        </w:rPr>
      </w:pPr>
      <w:r w:rsidRPr="00543C39">
        <w:rPr>
          <w:b/>
          <w:bCs/>
        </w:rPr>
        <w:t>3.18</w:t>
      </w:r>
      <w:r w:rsidRPr="00543C39">
        <w:rPr>
          <w:b/>
          <w:bCs/>
        </w:rPr>
        <w:tab/>
        <w:t>recommends that the UK Government provides greater clarification on all its proposals, to enable a full assessment the degree to which the proposals are compliant with Article 2.</w:t>
      </w:r>
    </w:p>
    <w:p w14:paraId="683523FC" w14:textId="77777777" w:rsidR="00543C39" w:rsidRPr="00543C39" w:rsidRDefault="00543C39" w:rsidP="00543C39">
      <w:pPr>
        <w:spacing w:after="39" w:line="276" w:lineRule="auto"/>
        <w:ind w:left="720" w:hanging="720"/>
        <w:jc w:val="both"/>
        <w:rPr>
          <w:b/>
          <w:bCs/>
        </w:rPr>
      </w:pPr>
    </w:p>
    <w:p w14:paraId="746411F0" w14:textId="63217BF0" w:rsidR="00543C39" w:rsidRDefault="00543C39" w:rsidP="00543C39">
      <w:pPr>
        <w:spacing w:after="39" w:line="276" w:lineRule="auto"/>
        <w:ind w:left="720" w:hanging="720"/>
        <w:jc w:val="both"/>
        <w:rPr>
          <w:b/>
          <w:bCs/>
        </w:rPr>
      </w:pPr>
      <w:r w:rsidRPr="00543C39">
        <w:rPr>
          <w:b/>
          <w:bCs/>
        </w:rPr>
        <w:t>3.26</w:t>
      </w:r>
      <w:r w:rsidRPr="00543C39">
        <w:rPr>
          <w:b/>
          <w:bCs/>
        </w:rPr>
        <w:tab/>
        <w:t xml:space="preserve">recommends that the UK Government takes cognisance of the interplay of the ECHR, the EU Charter of Fundamental Rights and Protocol Article 2 and ensures there is no weakening of the substantive rights, or how those rights are claimed and enforced, including access to remedies. </w:t>
      </w:r>
    </w:p>
    <w:p w14:paraId="169C9768" w14:textId="77777777" w:rsidR="00543C39" w:rsidRPr="00543C39" w:rsidRDefault="00543C39" w:rsidP="00543C39">
      <w:pPr>
        <w:spacing w:after="39" w:line="276" w:lineRule="auto"/>
        <w:jc w:val="both"/>
        <w:rPr>
          <w:b/>
          <w:bCs/>
        </w:rPr>
      </w:pPr>
    </w:p>
    <w:p w14:paraId="3E111328" w14:textId="106935DE" w:rsidR="00543C39" w:rsidRDefault="00543C39" w:rsidP="00543C39">
      <w:pPr>
        <w:spacing w:after="39" w:line="276" w:lineRule="auto"/>
        <w:ind w:left="720" w:hanging="720"/>
        <w:jc w:val="both"/>
        <w:rPr>
          <w:b/>
          <w:bCs/>
        </w:rPr>
      </w:pPr>
      <w:r w:rsidRPr="00543C39">
        <w:rPr>
          <w:b/>
          <w:bCs/>
        </w:rPr>
        <w:t>3.31</w:t>
      </w:r>
      <w:r w:rsidRPr="00543C39">
        <w:rPr>
          <w:b/>
          <w:bCs/>
        </w:rPr>
        <w:tab/>
        <w:t xml:space="preserve">recommends that the UK Government considers and engages with the ongoing process to develop a Bill of Rights for NI to avoid contradicting and frustrating this process, committed to under the Belfast (Good Friday) Agreement. </w:t>
      </w:r>
    </w:p>
    <w:p w14:paraId="2F444B42" w14:textId="77777777" w:rsidR="00543C39" w:rsidRPr="00543C39" w:rsidRDefault="00543C39" w:rsidP="00543C39">
      <w:pPr>
        <w:spacing w:after="39" w:line="276" w:lineRule="auto"/>
        <w:jc w:val="both"/>
        <w:rPr>
          <w:b/>
          <w:bCs/>
        </w:rPr>
      </w:pPr>
    </w:p>
    <w:p w14:paraId="3018BFD2" w14:textId="42A72A4B" w:rsidR="00543C39" w:rsidRDefault="00543C39" w:rsidP="00543C39">
      <w:pPr>
        <w:spacing w:after="39" w:line="276" w:lineRule="auto"/>
        <w:ind w:left="720" w:hanging="720"/>
        <w:jc w:val="both"/>
        <w:rPr>
          <w:b/>
          <w:bCs/>
        </w:rPr>
      </w:pPr>
      <w:r w:rsidRPr="00543C39">
        <w:rPr>
          <w:b/>
          <w:bCs/>
        </w:rPr>
        <w:t>3.34</w:t>
      </w:r>
      <w:r w:rsidRPr="00543C39">
        <w:rPr>
          <w:b/>
          <w:bCs/>
        </w:rPr>
        <w:tab/>
        <w:t xml:space="preserve">recommends that the UK Government ensures the continued access to domestic courts for human rights violations, particularly in the context of Northern Ireland’s post-conflict legacy. </w:t>
      </w:r>
    </w:p>
    <w:p w14:paraId="220E691F" w14:textId="77777777" w:rsidR="00543C39" w:rsidRPr="00543C39" w:rsidRDefault="00543C39" w:rsidP="00543C39">
      <w:pPr>
        <w:spacing w:after="39" w:line="276" w:lineRule="auto"/>
        <w:ind w:left="720" w:hanging="720"/>
        <w:jc w:val="both"/>
        <w:rPr>
          <w:b/>
          <w:bCs/>
        </w:rPr>
      </w:pPr>
    </w:p>
    <w:p w14:paraId="6091D613" w14:textId="0BC46AD0" w:rsidR="00FD13F1" w:rsidRPr="00543C39" w:rsidRDefault="00543C39" w:rsidP="003D03A5">
      <w:pPr>
        <w:spacing w:after="39" w:line="276" w:lineRule="auto"/>
        <w:ind w:left="720" w:hanging="720"/>
        <w:jc w:val="both"/>
        <w:rPr>
          <w:b/>
          <w:bCs/>
        </w:rPr>
      </w:pPr>
      <w:r w:rsidRPr="00543C39">
        <w:rPr>
          <w:b/>
          <w:bCs/>
        </w:rPr>
        <w:t>3.37</w:t>
      </w:r>
      <w:r w:rsidR="003D03A5">
        <w:rPr>
          <w:b/>
          <w:bCs/>
        </w:rPr>
        <w:tab/>
      </w:r>
      <w:r w:rsidRPr="00543C39">
        <w:rPr>
          <w:b/>
          <w:bCs/>
        </w:rPr>
        <w:t>recommends that the current proposals for reform of the HRA are withdrawn, in light of the likely damaging impact on the Northern Ireland peace process.</w:t>
      </w:r>
    </w:p>
    <w:p w14:paraId="55CE8DE3" w14:textId="77777777" w:rsidR="008F0B21" w:rsidRDefault="008F0B21" w:rsidP="008F0B21">
      <w:pPr>
        <w:spacing w:after="186" w:line="276" w:lineRule="auto"/>
        <w:ind w:right="75"/>
        <w:jc w:val="both"/>
        <w:rPr>
          <w:rFonts w:eastAsia="Times New Roman" w:cs="Verdana"/>
          <w:b/>
          <w:bCs/>
          <w:color w:val="000000"/>
          <w:szCs w:val="22"/>
          <w:lang w:eastAsia="en-GB"/>
        </w:rPr>
      </w:pPr>
    </w:p>
    <w:p w14:paraId="70262863" w14:textId="77777777" w:rsidR="00FA566B" w:rsidRDefault="00FA566B">
      <w:pPr>
        <w:spacing w:after="160" w:line="259" w:lineRule="auto"/>
        <w:rPr>
          <w:rFonts w:eastAsiaTheme="majorEastAsia" w:cstheme="majorBidi"/>
          <w:b/>
          <w:color w:val="77328A"/>
          <w:sz w:val="30"/>
          <w:szCs w:val="32"/>
        </w:rPr>
      </w:pPr>
      <w:r>
        <w:br w:type="page"/>
      </w:r>
    </w:p>
    <w:p w14:paraId="02E83F87" w14:textId="77777777" w:rsidR="005F0165" w:rsidRDefault="005F0165" w:rsidP="00EF76AF">
      <w:pPr>
        <w:pStyle w:val="Heading1"/>
        <w:numPr>
          <w:ilvl w:val="0"/>
          <w:numId w:val="37"/>
        </w:numPr>
        <w:jc w:val="both"/>
      </w:pPr>
      <w:bookmarkStart w:id="1" w:name="_Toc97636604"/>
      <w:r>
        <w:lastRenderedPageBreak/>
        <w:t>Introduction</w:t>
      </w:r>
      <w:bookmarkEnd w:id="1"/>
      <w:r>
        <w:t xml:space="preserve"> </w:t>
      </w:r>
    </w:p>
    <w:p w14:paraId="22D9BE57" w14:textId="77777777" w:rsidR="005F0165" w:rsidRDefault="005F0165" w:rsidP="00703FFF">
      <w:pPr>
        <w:pStyle w:val="BasicParagraph"/>
        <w:suppressAutoHyphens/>
        <w:spacing w:before="24" w:after="24"/>
        <w:jc w:val="both"/>
        <w:rPr>
          <w:rFonts w:ascii="Verdana" w:hAnsi="Verdana" w:cs="Arial"/>
          <w:b/>
          <w:color w:val="77328A"/>
          <w:sz w:val="30"/>
          <w:szCs w:val="30"/>
        </w:rPr>
      </w:pPr>
    </w:p>
    <w:p w14:paraId="1667CE1A" w14:textId="13A605D6" w:rsidR="006377BA" w:rsidRPr="006F4300" w:rsidRDefault="006377BA" w:rsidP="0003309F">
      <w:pPr>
        <w:pStyle w:val="ListParagraph"/>
        <w:widowControl w:val="0"/>
        <w:numPr>
          <w:ilvl w:val="1"/>
          <w:numId w:val="37"/>
        </w:numPr>
        <w:suppressAutoHyphens/>
        <w:autoSpaceDE w:val="0"/>
        <w:autoSpaceDN w:val="0"/>
        <w:adjustRightInd w:val="0"/>
        <w:spacing w:line="288" w:lineRule="auto"/>
        <w:ind w:left="720"/>
        <w:contextualSpacing w:val="0"/>
        <w:textAlignment w:val="center"/>
        <w:rPr>
          <w:rFonts w:cs="Segoe UI"/>
          <w:lang w:val="en" w:eastAsia="en-GB"/>
        </w:rPr>
      </w:pPr>
      <w:r w:rsidRPr="000C7662">
        <w:t xml:space="preserve">The Northern Ireland Human Rights </w:t>
      </w:r>
      <w:r>
        <w:t>Commission</w:t>
      </w:r>
      <w:r w:rsidRPr="000C7662">
        <w:t xml:space="preserve"> (NIHRC), pursuant to section 69(1) of the Northern Ireland Act 1998, reviews the adequacy and effectiveness of law and practice relating to the protection of human rights in Northern Ireland (NI).</w:t>
      </w:r>
      <w:r>
        <w:t xml:space="preserve"> </w:t>
      </w:r>
      <w:r w:rsidRPr="005025F2">
        <w:t xml:space="preserve">Further, the </w:t>
      </w:r>
      <w:r>
        <w:t>NIHRC</w:t>
      </w:r>
      <w:r w:rsidR="006F4300" w:rsidRPr="00A14BF8">
        <w:t>, pursuant to section 78A(1) of the Northern Ireland Act</w:t>
      </w:r>
      <w:r w:rsidRPr="005025F2">
        <w:t>, must monitor the implementation of Article 2(1) of the Protocol on Ireland/Northern Ireland in the EU Withdrawal Agreement (rights of individuals)</w:t>
      </w:r>
      <w:r w:rsidR="00622B2D">
        <w:t xml:space="preserve"> (Protocol Article 2)</w:t>
      </w:r>
      <w:r w:rsidRPr="005025F2">
        <w:t xml:space="preserve">.  </w:t>
      </w:r>
    </w:p>
    <w:p w14:paraId="402E7D40" w14:textId="77777777" w:rsidR="00D571B5" w:rsidRDefault="00D571B5" w:rsidP="00D571B5">
      <w:pPr>
        <w:pStyle w:val="ListParagraph"/>
      </w:pPr>
    </w:p>
    <w:p w14:paraId="5287DF55" w14:textId="77777777" w:rsidR="007314E7" w:rsidRDefault="00A266F6" w:rsidP="007314E7">
      <w:pPr>
        <w:pStyle w:val="ListParagraph"/>
        <w:widowControl w:val="0"/>
        <w:numPr>
          <w:ilvl w:val="1"/>
          <w:numId w:val="37"/>
        </w:numPr>
        <w:suppressAutoHyphens/>
        <w:autoSpaceDE w:val="0"/>
        <w:autoSpaceDN w:val="0"/>
        <w:adjustRightInd w:val="0"/>
        <w:spacing w:line="288" w:lineRule="auto"/>
        <w:ind w:left="720"/>
        <w:contextualSpacing w:val="0"/>
        <w:textAlignment w:val="center"/>
      </w:pPr>
      <w:r>
        <w:t xml:space="preserve">In accordance with these functions, the following advice is submitted in response to the Ministry of Justice consultation on Human Rights Act Reform: </w:t>
      </w:r>
      <w:proofErr w:type="gramStart"/>
      <w:r>
        <w:t>a</w:t>
      </w:r>
      <w:proofErr w:type="gramEnd"/>
      <w:r>
        <w:t xml:space="preserve"> Modern Bill of Rights.</w:t>
      </w:r>
    </w:p>
    <w:p w14:paraId="418FACFA" w14:textId="77777777" w:rsidR="00C23E6E" w:rsidRDefault="00C23E6E" w:rsidP="00C23E6E">
      <w:pPr>
        <w:pStyle w:val="ListParagraph"/>
      </w:pPr>
    </w:p>
    <w:p w14:paraId="3FEBB847" w14:textId="5BDAE5FC" w:rsidR="00C23E6E" w:rsidRDefault="00C23E6E" w:rsidP="000E73E1">
      <w:pPr>
        <w:pStyle w:val="ListParagraph"/>
        <w:widowControl w:val="0"/>
        <w:numPr>
          <w:ilvl w:val="1"/>
          <w:numId w:val="37"/>
        </w:numPr>
        <w:suppressAutoHyphens/>
        <w:autoSpaceDE w:val="0"/>
        <w:autoSpaceDN w:val="0"/>
        <w:adjustRightInd w:val="0"/>
        <w:spacing w:line="288" w:lineRule="auto"/>
        <w:ind w:left="720"/>
        <w:contextualSpacing w:val="0"/>
        <w:textAlignment w:val="center"/>
      </w:pPr>
      <w:r w:rsidRPr="00C23E6E">
        <w:t>The NIHRC bases its advice on the full range of internationally accepted human rights standards, including the European Convention on Human Rights</w:t>
      </w:r>
      <w:r w:rsidR="00095120">
        <w:rPr>
          <w:rStyle w:val="FootnoteReference"/>
        </w:rPr>
        <w:footnoteReference w:id="2"/>
      </w:r>
      <w:r w:rsidR="00095120">
        <w:t xml:space="preserve"> (ECHR)</w:t>
      </w:r>
      <w:r w:rsidRPr="00C23E6E">
        <w:t>, as incorporated by the Human Rights Act 1998, and the treaty obligations of the Council of Europe (</w:t>
      </w:r>
      <w:proofErr w:type="spellStart"/>
      <w:r w:rsidRPr="00C23E6E">
        <w:t>CoE</w:t>
      </w:r>
      <w:proofErr w:type="spellEnd"/>
      <w:r w:rsidRPr="00C23E6E">
        <w:t>) and United Nations (UN). In addition to these treaty standards, there exists a body of ‘soft law’</w:t>
      </w:r>
      <w:r>
        <w:t xml:space="preserve"> </w:t>
      </w:r>
      <w:r w:rsidRPr="00C23E6E">
        <w:t xml:space="preserve">developed by the human rights bodies of the </w:t>
      </w:r>
      <w:proofErr w:type="spellStart"/>
      <w:r w:rsidRPr="00C23E6E">
        <w:t>CoE</w:t>
      </w:r>
      <w:proofErr w:type="spellEnd"/>
      <w:r w:rsidRPr="00C23E6E">
        <w:t xml:space="preserve"> and UN. These declarations and principles are non-binding but provide further guidance in respect of specific areas.</w:t>
      </w:r>
    </w:p>
    <w:p w14:paraId="77B5D0EE" w14:textId="77777777" w:rsidR="00557C54" w:rsidRPr="00C23E6E" w:rsidRDefault="00557C54" w:rsidP="00C61A71">
      <w:pPr>
        <w:widowControl w:val="0"/>
        <w:suppressAutoHyphens/>
        <w:autoSpaceDE w:val="0"/>
        <w:autoSpaceDN w:val="0"/>
        <w:adjustRightInd w:val="0"/>
        <w:spacing w:line="288" w:lineRule="auto"/>
        <w:textAlignment w:val="center"/>
      </w:pPr>
    </w:p>
    <w:p w14:paraId="653F212F" w14:textId="5C07FBC0" w:rsidR="007314E7" w:rsidRPr="00CD6E6B" w:rsidRDefault="007314E7" w:rsidP="12D4FF4B">
      <w:pPr>
        <w:pStyle w:val="ListParagraph"/>
        <w:widowControl w:val="0"/>
        <w:numPr>
          <w:ilvl w:val="1"/>
          <w:numId w:val="37"/>
        </w:numPr>
        <w:suppressAutoHyphens/>
        <w:spacing w:line="288" w:lineRule="auto"/>
        <w:ind w:left="720"/>
        <w:rPr>
          <w:rFonts w:asciiTheme="minorHAnsi" w:hAnsiTheme="minorHAnsi"/>
        </w:rPr>
      </w:pPr>
      <w:r>
        <w:t xml:space="preserve">The NIHRC further advises on the UK Government commitment in Protocol Article 2 to ensure there is no diminution of rights, safeguards and equality of opportunity in the relevant section of the Belfast (Good Friday) Agreement as a result of the UK’s withdrawal from the EU. This is given effect in UK law by section 7A of the EU (Withdrawal) Act 2018. In addition, </w:t>
      </w:r>
      <w:r w:rsidR="12D4FF4B" w:rsidRPr="12D4FF4B">
        <w:rPr>
          <w:rFonts w:eastAsia="Verdana" w:cs="Verdana"/>
        </w:rPr>
        <w:t>Section 6 of the Northern Ireland Act 1998 provides that the NI Assembly is prohibited from making any law which is incompatible with Protocol Article 2. Section 24 of the 1998 Act also provides that all acts of the NI Ministers and Departments should be compatible with Protocol Article 2</w:t>
      </w:r>
      <w:r>
        <w:t>.</w:t>
      </w:r>
    </w:p>
    <w:p w14:paraId="472166DF" w14:textId="77777777" w:rsidR="006F4300" w:rsidRPr="00CD6E6B" w:rsidRDefault="006F4300" w:rsidP="00CD6E6B">
      <w:pPr>
        <w:pStyle w:val="ListParagraph"/>
        <w:rPr>
          <w:rFonts w:asciiTheme="minorHAnsi" w:hAnsiTheme="minorHAnsi"/>
        </w:rPr>
      </w:pPr>
    </w:p>
    <w:p w14:paraId="5109643E" w14:textId="4372651F" w:rsidR="007314E7" w:rsidRDefault="007314E7" w:rsidP="12D4FF4B">
      <w:pPr>
        <w:pStyle w:val="BasicParagraph"/>
        <w:suppressAutoHyphens/>
        <w:ind w:left="720"/>
        <w:rPr>
          <w:color w:val="000000" w:themeColor="text1"/>
        </w:rPr>
      </w:pPr>
    </w:p>
    <w:p w14:paraId="7057804D" w14:textId="77777777" w:rsidR="001C3FE0" w:rsidRDefault="001335D7" w:rsidP="001C3FE0">
      <w:pPr>
        <w:pStyle w:val="ListParagraph"/>
        <w:widowControl w:val="0"/>
        <w:numPr>
          <w:ilvl w:val="1"/>
          <w:numId w:val="37"/>
        </w:numPr>
        <w:suppressAutoHyphens/>
        <w:autoSpaceDE w:val="0"/>
        <w:autoSpaceDN w:val="0"/>
        <w:adjustRightInd w:val="0"/>
        <w:spacing w:line="288" w:lineRule="auto"/>
        <w:ind w:left="720"/>
        <w:contextualSpacing w:val="0"/>
        <w:textAlignment w:val="center"/>
      </w:pPr>
      <w:r>
        <w:lastRenderedPageBreak/>
        <w:t>Whilst t</w:t>
      </w:r>
      <w:r w:rsidR="007314E7">
        <w:t xml:space="preserve">he NIHRC welcomes the opportunity to respond to the </w:t>
      </w:r>
      <w:r w:rsidR="0062096B">
        <w:t>Ministry of Justice</w:t>
      </w:r>
      <w:r w:rsidR="007314E7">
        <w:t xml:space="preserve"> consultation </w:t>
      </w:r>
      <w:r w:rsidR="0062096B">
        <w:t>on a proposed reform</w:t>
      </w:r>
      <w:r w:rsidR="008A24C7">
        <w:t xml:space="preserve"> of the Human Rights Act and a proposed </w:t>
      </w:r>
      <w:r>
        <w:t>Bill of Rights, it is disappointed in the content of the proposal</w:t>
      </w:r>
      <w:r w:rsidR="007A516D">
        <w:t xml:space="preserve">s and </w:t>
      </w:r>
      <w:r w:rsidR="006122B7">
        <w:t xml:space="preserve">their apparent lack of evidence base. </w:t>
      </w:r>
      <w:r w:rsidR="00D465CF">
        <w:t xml:space="preserve">The NIHRC robustly rejects the proposal for reform and its purported premise. </w:t>
      </w:r>
    </w:p>
    <w:p w14:paraId="67E20BBF" w14:textId="77777777" w:rsidR="001C3FE0" w:rsidRPr="001C3FE0" w:rsidRDefault="001C3FE0" w:rsidP="001C3FE0">
      <w:pPr>
        <w:pStyle w:val="ListParagraph"/>
        <w:rPr>
          <w:rFonts w:cs="Segoe UI"/>
          <w:lang w:val="en" w:eastAsia="en-GB"/>
        </w:rPr>
      </w:pPr>
    </w:p>
    <w:p w14:paraId="65E98F4D" w14:textId="74E96C78" w:rsidR="004C3467" w:rsidRDefault="00CE63C5" w:rsidP="001C3FE0">
      <w:pPr>
        <w:pStyle w:val="ListParagraph"/>
        <w:widowControl w:val="0"/>
        <w:numPr>
          <w:ilvl w:val="1"/>
          <w:numId w:val="37"/>
        </w:numPr>
        <w:suppressAutoHyphens/>
        <w:autoSpaceDE w:val="0"/>
        <w:autoSpaceDN w:val="0"/>
        <w:adjustRightInd w:val="0"/>
        <w:spacing w:line="288" w:lineRule="auto"/>
        <w:ind w:left="720"/>
        <w:contextualSpacing w:val="0"/>
        <w:textAlignment w:val="center"/>
      </w:pPr>
      <w:r w:rsidRPr="001C3FE0">
        <w:rPr>
          <w:rFonts w:cs="Segoe UI"/>
          <w:lang w:val="en" w:eastAsia="en-GB"/>
        </w:rPr>
        <w:t xml:space="preserve">The NIHRC responded to </w:t>
      </w:r>
      <w:r w:rsidR="00AE5553" w:rsidRPr="001C3FE0">
        <w:rPr>
          <w:rFonts w:cs="Segoe UI"/>
          <w:lang w:val="en" w:eastAsia="en-GB"/>
        </w:rPr>
        <w:t xml:space="preserve">the call for evidence by the Independent </w:t>
      </w:r>
      <w:r w:rsidR="00037764" w:rsidRPr="001C3FE0">
        <w:rPr>
          <w:rFonts w:cs="Segoe UI"/>
          <w:lang w:val="en" w:eastAsia="en-GB"/>
        </w:rPr>
        <w:t>Human Rights Act Review (IHRAR) Team in 2021.</w:t>
      </w:r>
      <w:r w:rsidR="00856C17">
        <w:rPr>
          <w:rStyle w:val="FootnoteReference"/>
          <w:rFonts w:cs="Segoe UI"/>
          <w:lang w:val="en" w:eastAsia="en-GB"/>
        </w:rPr>
        <w:footnoteReference w:id="3"/>
      </w:r>
      <w:r w:rsidR="00037764" w:rsidRPr="001C3FE0">
        <w:rPr>
          <w:rFonts w:cs="Segoe UI"/>
          <w:lang w:val="en" w:eastAsia="en-GB"/>
        </w:rPr>
        <w:t xml:space="preserve"> In that response, the NIHRC outlined </w:t>
      </w:r>
      <w:r w:rsidR="00DA4F62" w:rsidRPr="001C3FE0">
        <w:rPr>
          <w:rFonts w:cs="Segoe UI"/>
          <w:lang w:val="en" w:eastAsia="en-GB"/>
        </w:rPr>
        <w:t>its concern</w:t>
      </w:r>
      <w:r w:rsidR="00421E3E">
        <w:rPr>
          <w:rFonts w:cs="Segoe UI"/>
          <w:lang w:val="en" w:eastAsia="en-GB"/>
        </w:rPr>
        <w:t>s</w:t>
      </w:r>
      <w:r w:rsidR="00DA4F62" w:rsidRPr="001C3FE0">
        <w:rPr>
          <w:rFonts w:cs="Segoe UI"/>
          <w:lang w:val="en" w:eastAsia="en-GB"/>
        </w:rPr>
        <w:t xml:space="preserve"> and made a series of recommendations</w:t>
      </w:r>
      <w:r w:rsidR="00856C17" w:rsidRPr="001C3FE0">
        <w:rPr>
          <w:rFonts w:cs="Segoe UI"/>
          <w:lang w:val="en" w:eastAsia="en-GB"/>
        </w:rPr>
        <w:t xml:space="preserve"> for consideration in any discussion about potential reform of the Human Rights Act</w:t>
      </w:r>
      <w:r w:rsidR="002C3E4B">
        <w:rPr>
          <w:rFonts w:cs="Segoe UI"/>
          <w:lang w:val="en" w:eastAsia="en-GB"/>
        </w:rPr>
        <w:t>. The NIHRC</w:t>
      </w:r>
      <w:r w:rsidR="00181AD5" w:rsidRPr="001C3FE0">
        <w:rPr>
          <w:rFonts w:cs="Segoe UI"/>
          <w:lang w:val="en" w:eastAsia="en-GB"/>
        </w:rPr>
        <w:t xml:space="preserve"> urge</w:t>
      </w:r>
      <w:r w:rsidR="002C3E4B">
        <w:rPr>
          <w:rFonts w:cs="Segoe UI"/>
          <w:lang w:val="en" w:eastAsia="en-GB"/>
        </w:rPr>
        <w:t>s</w:t>
      </w:r>
      <w:r w:rsidR="00181AD5" w:rsidRPr="001C3FE0">
        <w:rPr>
          <w:rFonts w:cs="Segoe UI"/>
          <w:lang w:val="en" w:eastAsia="en-GB"/>
        </w:rPr>
        <w:t xml:space="preserve"> the Government to</w:t>
      </w:r>
      <w:r w:rsidR="00946D3E">
        <w:rPr>
          <w:rFonts w:cs="Segoe UI"/>
          <w:lang w:val="en" w:eastAsia="en-GB"/>
        </w:rPr>
        <w:t xml:space="preserve"> reconsider</w:t>
      </w:r>
      <w:r w:rsidR="00181AD5" w:rsidRPr="001C3FE0">
        <w:rPr>
          <w:rFonts w:cs="Segoe UI"/>
          <w:lang w:val="en" w:eastAsia="en-GB"/>
        </w:rPr>
        <w:t xml:space="preserve"> the findings of the IHRAR, which reported </w:t>
      </w:r>
      <w:r w:rsidR="00466482" w:rsidRPr="001C3FE0">
        <w:rPr>
          <w:rFonts w:cs="Segoe UI"/>
          <w:lang w:val="en" w:eastAsia="en-GB"/>
        </w:rPr>
        <w:t>“</w:t>
      </w:r>
      <w:r w:rsidR="00181AD5">
        <w:t>an overwhelming body of support for retaining the HRA</w:t>
      </w:r>
      <w:r w:rsidR="00466482">
        <w:t>”</w:t>
      </w:r>
      <w:r w:rsidR="004C6C00">
        <w:t xml:space="preserve"> following </w:t>
      </w:r>
      <w:r w:rsidR="000B405A">
        <w:t>engagement and consultation.</w:t>
      </w:r>
      <w:r w:rsidR="000B405A">
        <w:rPr>
          <w:rStyle w:val="FootnoteReference"/>
        </w:rPr>
        <w:footnoteReference w:id="4"/>
      </w:r>
      <w:r w:rsidR="000B405A">
        <w:t xml:space="preserve"> </w:t>
      </w:r>
    </w:p>
    <w:p w14:paraId="4C2B72E9" w14:textId="77777777" w:rsidR="004C3467" w:rsidRDefault="004C3467" w:rsidP="004C3467">
      <w:pPr>
        <w:pStyle w:val="ListParagraph"/>
        <w:widowControl w:val="0"/>
        <w:suppressAutoHyphens/>
        <w:autoSpaceDE w:val="0"/>
        <w:autoSpaceDN w:val="0"/>
        <w:adjustRightInd w:val="0"/>
        <w:spacing w:line="276" w:lineRule="auto"/>
        <w:contextualSpacing w:val="0"/>
        <w:jc w:val="both"/>
        <w:textAlignment w:val="center"/>
      </w:pPr>
    </w:p>
    <w:p w14:paraId="22585E0E" w14:textId="7D7E87F9" w:rsidR="004530CF" w:rsidRPr="00512C83" w:rsidRDefault="00BA0CEC" w:rsidP="001C3FE0">
      <w:pPr>
        <w:pStyle w:val="ListParagraph"/>
        <w:widowControl w:val="0"/>
        <w:numPr>
          <w:ilvl w:val="1"/>
          <w:numId w:val="37"/>
        </w:numPr>
        <w:suppressAutoHyphens/>
        <w:autoSpaceDE w:val="0"/>
        <w:autoSpaceDN w:val="0"/>
        <w:adjustRightInd w:val="0"/>
        <w:spacing w:line="288" w:lineRule="auto"/>
        <w:ind w:left="720"/>
        <w:contextualSpacing w:val="0"/>
        <w:textAlignment w:val="center"/>
      </w:pPr>
      <w:r w:rsidRPr="00512C83">
        <w:rPr>
          <w:rFonts w:cs="Segoe UI"/>
          <w:lang w:val="en" w:eastAsia="en-GB"/>
        </w:rPr>
        <w:t xml:space="preserve">The NIHRC is </w:t>
      </w:r>
      <w:r w:rsidR="00B02048" w:rsidRPr="00512C83">
        <w:rPr>
          <w:rFonts w:cs="Segoe UI"/>
          <w:lang w:val="en" w:eastAsia="en-GB"/>
        </w:rPr>
        <w:t>alarmed</w:t>
      </w:r>
      <w:r w:rsidRPr="00512C83">
        <w:rPr>
          <w:rFonts w:cs="Segoe UI"/>
          <w:lang w:val="en" w:eastAsia="en-GB"/>
        </w:rPr>
        <w:t xml:space="preserve"> by the lack of consideration afforded to the complexities of devolution, and particularly the sensitivities and history of </w:t>
      </w:r>
      <w:r w:rsidR="009160E8">
        <w:rPr>
          <w:rFonts w:cs="Segoe UI"/>
          <w:lang w:val="en" w:eastAsia="en-GB"/>
        </w:rPr>
        <w:t>NI</w:t>
      </w:r>
      <w:r w:rsidR="007221E8" w:rsidRPr="00512C83">
        <w:rPr>
          <w:rFonts w:cs="Segoe UI"/>
          <w:lang w:val="en" w:eastAsia="en-GB"/>
        </w:rPr>
        <w:t>, within the consultation paper</w:t>
      </w:r>
      <w:r w:rsidRPr="00512C83">
        <w:rPr>
          <w:rFonts w:cs="Segoe UI"/>
          <w:lang w:val="en" w:eastAsia="en-GB"/>
        </w:rPr>
        <w:t xml:space="preserve">. </w:t>
      </w:r>
      <w:r w:rsidR="004530CF" w:rsidRPr="00512C83">
        <w:t xml:space="preserve">The </w:t>
      </w:r>
      <w:r w:rsidR="00E73310" w:rsidRPr="00512C83">
        <w:t xml:space="preserve">proposals </w:t>
      </w:r>
      <w:r w:rsidR="00CB02DC" w:rsidRPr="00512C83">
        <w:t xml:space="preserve">outlined in the consultation document do not adequately consider the Belfast (Good Friday) Agreement, and the integral role of the both the HRA and ECHR in </w:t>
      </w:r>
      <w:r w:rsidR="00414ECB" w:rsidRPr="00512C83">
        <w:t xml:space="preserve">the complex fabric of the </w:t>
      </w:r>
      <w:r w:rsidR="009160E8">
        <w:t>NI</w:t>
      </w:r>
      <w:r w:rsidR="00414ECB" w:rsidRPr="00512C83">
        <w:t xml:space="preserve"> Peace Process. </w:t>
      </w:r>
      <w:r w:rsidR="00414ECB" w:rsidRPr="00C61A71">
        <w:t xml:space="preserve">Section 3 of this response </w:t>
      </w:r>
      <w:r w:rsidR="00E3616B" w:rsidRPr="00C61A71">
        <w:t xml:space="preserve">highlights </w:t>
      </w:r>
      <w:r w:rsidR="00D0310E" w:rsidRPr="00C61A71">
        <w:t>the importance of this</w:t>
      </w:r>
      <w:r w:rsidR="00414ECB" w:rsidRPr="00C61A71">
        <w:t>.</w:t>
      </w:r>
      <w:r w:rsidR="00414ECB" w:rsidRPr="00512C83">
        <w:t xml:space="preserve"> </w:t>
      </w:r>
    </w:p>
    <w:p w14:paraId="331D16C1" w14:textId="77777777" w:rsidR="004530CF" w:rsidRPr="004530CF" w:rsidRDefault="004530CF" w:rsidP="004530CF">
      <w:pPr>
        <w:pStyle w:val="ListParagraph"/>
        <w:rPr>
          <w:rFonts w:cs="Segoe UI"/>
          <w:lang w:val="en" w:eastAsia="en-GB"/>
        </w:rPr>
      </w:pPr>
    </w:p>
    <w:p w14:paraId="39E42ABD" w14:textId="01B2B7B7" w:rsidR="004C3467" w:rsidRDefault="00512C83" w:rsidP="12D4FF4B">
      <w:pPr>
        <w:pStyle w:val="ListParagraph"/>
        <w:widowControl w:val="0"/>
        <w:numPr>
          <w:ilvl w:val="1"/>
          <w:numId w:val="37"/>
        </w:numPr>
        <w:suppressAutoHyphens/>
        <w:autoSpaceDE w:val="0"/>
        <w:autoSpaceDN w:val="0"/>
        <w:adjustRightInd w:val="0"/>
        <w:spacing w:line="288" w:lineRule="auto"/>
        <w:ind w:left="720"/>
        <w:textAlignment w:val="center"/>
      </w:pPr>
      <w:r w:rsidRPr="00512C83">
        <w:t>The centrality of human rights and equality protections to the peace process in NI were reflected in the negotiations leading to the UK’s withdrawal from the EU, where both parties recognised that the Belfast (Good Friday) Agreement required consideration and protection</w:t>
      </w:r>
      <w:r>
        <w:t>.</w:t>
      </w:r>
      <w:r>
        <w:rPr>
          <w:rStyle w:val="FootnoteReference"/>
        </w:rPr>
        <w:footnoteReference w:id="5"/>
      </w:r>
      <w:r>
        <w:t xml:space="preserve">  This </w:t>
      </w:r>
      <w:r w:rsidRPr="00512C83">
        <w:t xml:space="preserve">commitment to safeguarding human rights and equality </w:t>
      </w:r>
      <w:r w:rsidRPr="00C6019C">
        <w:t xml:space="preserve">protections is reflected in Protocol Article 2.  </w:t>
      </w:r>
      <w:r w:rsidR="00DC3D51" w:rsidRPr="00C6019C">
        <w:t>The NIHRC is concerned that there has been minimal consideration of Protocol Article 2</w:t>
      </w:r>
      <w:r w:rsidR="00D85BB9">
        <w:t>,</w:t>
      </w:r>
      <w:r w:rsidR="00DC3D51" w:rsidRPr="00C6019C">
        <w:t xml:space="preserve"> particularly as destabilising the human rights framework in the UK and in N</w:t>
      </w:r>
      <w:r w:rsidR="00D3438B">
        <w:t>I</w:t>
      </w:r>
      <w:r w:rsidR="006E474C">
        <w:t xml:space="preserve"> </w:t>
      </w:r>
      <w:r w:rsidR="00DC3D51" w:rsidRPr="00C6019C">
        <w:t xml:space="preserve">could impact on the UK Government commitment on human rights </w:t>
      </w:r>
      <w:r w:rsidR="00C6019C" w:rsidRPr="00C6019C">
        <w:t xml:space="preserve">and equality in NI after </w:t>
      </w:r>
      <w:r w:rsidR="00DC3D51" w:rsidRPr="00C6019C">
        <w:t xml:space="preserve">UK </w:t>
      </w:r>
      <w:r w:rsidR="00C6019C" w:rsidRPr="00C6019C">
        <w:t xml:space="preserve">withdrawal from the </w:t>
      </w:r>
      <w:r w:rsidR="00DC3D51" w:rsidRPr="00C6019C">
        <w:t xml:space="preserve">EU. </w:t>
      </w:r>
      <w:r w:rsidR="004C3467" w:rsidRPr="009F31AE">
        <w:t xml:space="preserve">Section </w:t>
      </w:r>
      <w:r w:rsidR="0025590F" w:rsidRPr="009F31AE">
        <w:t xml:space="preserve">3 </w:t>
      </w:r>
      <w:r w:rsidR="004C3467" w:rsidRPr="009F31AE">
        <w:t>of this response sets this out in more detail.</w:t>
      </w:r>
      <w:r w:rsidR="004C3467">
        <w:t xml:space="preserve"> </w:t>
      </w:r>
    </w:p>
    <w:p w14:paraId="481139B4" w14:textId="77777777" w:rsidR="00E73588" w:rsidRDefault="00E73588" w:rsidP="00E73588">
      <w:pPr>
        <w:pStyle w:val="ListParagraph"/>
      </w:pPr>
    </w:p>
    <w:p w14:paraId="01486330" w14:textId="77777777" w:rsidR="00CE63C5" w:rsidRDefault="00CE63C5" w:rsidP="00CE63C5">
      <w:pPr>
        <w:pStyle w:val="ListParagraph"/>
      </w:pPr>
    </w:p>
    <w:p w14:paraId="6D8C6A71" w14:textId="02E2C602" w:rsidR="0035129F" w:rsidRPr="00916720" w:rsidRDefault="00CD55BD" w:rsidP="57825263">
      <w:pPr>
        <w:pStyle w:val="ListParagraph"/>
        <w:widowControl w:val="0"/>
        <w:numPr>
          <w:ilvl w:val="1"/>
          <w:numId w:val="37"/>
        </w:numPr>
        <w:suppressAutoHyphens/>
        <w:autoSpaceDE w:val="0"/>
        <w:autoSpaceDN w:val="0"/>
        <w:adjustRightInd w:val="0"/>
        <w:spacing w:after="160" w:line="259" w:lineRule="auto"/>
        <w:ind w:left="720"/>
        <w:textAlignment w:val="center"/>
        <w:rPr>
          <w:rFonts w:eastAsiaTheme="majorEastAsia" w:cstheme="majorBidi"/>
          <w:b/>
          <w:bCs/>
          <w:color w:val="77328A"/>
          <w:sz w:val="30"/>
          <w:szCs w:val="30"/>
        </w:rPr>
      </w:pPr>
      <w:r>
        <w:t>The NIHRC rejects the proposal for refor</w:t>
      </w:r>
      <w:r w:rsidR="00C91D3C">
        <w:t>m</w:t>
      </w:r>
      <w:r>
        <w:t xml:space="preserve">. </w:t>
      </w:r>
      <w:r w:rsidR="00A5227C">
        <w:t>I</w:t>
      </w:r>
      <w:r w:rsidR="00983002">
        <w:t>n this response</w:t>
      </w:r>
      <w:r w:rsidR="006A7494">
        <w:t>,</w:t>
      </w:r>
      <w:r w:rsidR="00983002">
        <w:t xml:space="preserve"> t</w:t>
      </w:r>
      <w:r w:rsidR="007314E7">
        <w:t xml:space="preserve">he NIHRC </w:t>
      </w:r>
      <w:r w:rsidR="00B460AA">
        <w:t>does</w:t>
      </w:r>
      <w:r>
        <w:t xml:space="preserve"> not </w:t>
      </w:r>
      <w:r w:rsidR="00B460AA">
        <w:t xml:space="preserve">intend to </w:t>
      </w:r>
      <w:r w:rsidR="00C91D3C">
        <w:t>respond to the detail of the proposals</w:t>
      </w:r>
      <w:r w:rsidR="00406CF2">
        <w:t xml:space="preserve">, as we strongly believe they are based on a flawed premise, but rather will seek to provide general comments on the proposal in its entirety, as well as highlighting specific concerns as they relate to </w:t>
      </w:r>
      <w:r w:rsidR="009160E8">
        <w:t>NI</w:t>
      </w:r>
      <w:r w:rsidR="009E6F3A">
        <w:t xml:space="preserve">, including under </w:t>
      </w:r>
      <w:r w:rsidR="00E92125">
        <w:t>Protocol Article 2</w:t>
      </w:r>
      <w:r w:rsidR="00B460AA">
        <w:t>.</w:t>
      </w:r>
      <w:r w:rsidR="009E6F3A">
        <w:t xml:space="preserve"> </w:t>
      </w:r>
      <w:r w:rsidR="00643C32">
        <w:t xml:space="preserve">Should the UK Government choose to proceed with reform, the NIHRC will provide further detailed advice on substantive proposals, if and when they are produced. </w:t>
      </w:r>
    </w:p>
    <w:p w14:paraId="57DF7F50" w14:textId="77777777" w:rsidR="00E73588" w:rsidRDefault="00E73588" w:rsidP="00ED3706">
      <w:pPr>
        <w:pStyle w:val="ListParagraph"/>
        <w:rPr>
          <w:szCs w:val="30"/>
        </w:rPr>
      </w:pPr>
    </w:p>
    <w:p w14:paraId="3EDC75F9" w14:textId="77777777" w:rsidR="005F0165" w:rsidRDefault="00141D5F" w:rsidP="001C3FE0">
      <w:pPr>
        <w:pStyle w:val="Heading1"/>
        <w:numPr>
          <w:ilvl w:val="0"/>
          <w:numId w:val="37"/>
        </w:numPr>
        <w:spacing w:before="24" w:after="24" w:line="276" w:lineRule="auto"/>
        <w:jc w:val="both"/>
        <w:rPr>
          <w:szCs w:val="30"/>
        </w:rPr>
      </w:pPr>
      <w:bookmarkStart w:id="2" w:name="_Toc97636605"/>
      <w:r>
        <w:rPr>
          <w:szCs w:val="30"/>
        </w:rPr>
        <w:t>General Comments</w:t>
      </w:r>
      <w:bookmarkEnd w:id="2"/>
    </w:p>
    <w:p w14:paraId="2AA6B44A" w14:textId="77777777" w:rsidR="005F0165" w:rsidRDefault="005F0165" w:rsidP="00A2361E">
      <w:pPr>
        <w:pStyle w:val="ListParagraph"/>
        <w:spacing w:before="24" w:after="24" w:line="276" w:lineRule="auto"/>
        <w:jc w:val="both"/>
      </w:pPr>
    </w:p>
    <w:p w14:paraId="585F44C3" w14:textId="464FFFAF" w:rsidR="003B57BA" w:rsidRDefault="00860945" w:rsidP="00EF76AF">
      <w:pPr>
        <w:pStyle w:val="ListParagraph"/>
        <w:widowControl w:val="0"/>
        <w:numPr>
          <w:ilvl w:val="1"/>
          <w:numId w:val="37"/>
        </w:numPr>
        <w:suppressAutoHyphens/>
        <w:autoSpaceDE w:val="0"/>
        <w:autoSpaceDN w:val="0"/>
        <w:adjustRightInd w:val="0"/>
        <w:spacing w:line="288" w:lineRule="auto"/>
        <w:ind w:left="720"/>
        <w:contextualSpacing w:val="0"/>
        <w:textAlignment w:val="center"/>
      </w:pPr>
      <w:r>
        <w:t>The NIHRC rejects the proposal to reform the Human Rights Act</w:t>
      </w:r>
      <w:r w:rsidR="00B460AA">
        <w:t xml:space="preserve"> 1998</w:t>
      </w:r>
      <w:r w:rsidR="007F6A9D">
        <w:t xml:space="preserve"> (HRA)</w:t>
      </w:r>
      <w:r w:rsidR="005F58E8">
        <w:t xml:space="preserve"> and the premise for this proposal in its totality. </w:t>
      </w:r>
      <w:r w:rsidR="00595438">
        <w:t xml:space="preserve"> </w:t>
      </w:r>
    </w:p>
    <w:p w14:paraId="407E6419" w14:textId="0B1D9590" w:rsidR="00AB0522" w:rsidRDefault="00AB0522" w:rsidP="00AB0522">
      <w:pPr>
        <w:pStyle w:val="ListParagraph"/>
      </w:pPr>
    </w:p>
    <w:p w14:paraId="413688D8" w14:textId="0CE84DA2" w:rsidR="00E519A0" w:rsidRDefault="006B5F73" w:rsidP="004F7F73">
      <w:pPr>
        <w:pStyle w:val="ListParagraph"/>
        <w:widowControl w:val="0"/>
        <w:numPr>
          <w:ilvl w:val="1"/>
          <w:numId w:val="37"/>
        </w:numPr>
        <w:suppressAutoHyphens/>
        <w:autoSpaceDE w:val="0"/>
        <w:autoSpaceDN w:val="0"/>
        <w:adjustRightInd w:val="0"/>
        <w:spacing w:line="288" w:lineRule="auto"/>
        <w:ind w:left="548" w:hanging="548"/>
        <w:contextualSpacing w:val="0"/>
        <w:textAlignment w:val="center"/>
      </w:pPr>
      <w:r w:rsidRPr="00F0794E">
        <w:t xml:space="preserve">There has been long running international interest in a potential reform of the </w:t>
      </w:r>
      <w:r>
        <w:t>HRA</w:t>
      </w:r>
      <w:r w:rsidRPr="00F0794E">
        <w:t xml:space="preserve">, and concern repeatedly raised by international </w:t>
      </w:r>
      <w:r>
        <w:t>T</w:t>
      </w:r>
      <w:r w:rsidRPr="00F0794E">
        <w:t xml:space="preserve">reaty </w:t>
      </w:r>
      <w:r>
        <w:t>B</w:t>
      </w:r>
      <w:r w:rsidRPr="00F0794E">
        <w:t xml:space="preserve">odies. </w:t>
      </w:r>
      <w:r w:rsidR="006C4468" w:rsidRPr="005B5274">
        <w:t>In 2017,</w:t>
      </w:r>
      <w:r w:rsidR="00C05886">
        <w:t xml:space="preserve"> </w:t>
      </w:r>
      <w:r w:rsidR="00CA4C5D">
        <w:t>t</w:t>
      </w:r>
      <w:r w:rsidR="006C4468" w:rsidRPr="005B5274">
        <w:t>he Report of the UN Working Group on the Universal Periodic Review</w:t>
      </w:r>
      <w:r w:rsidR="00CA4C5D">
        <w:t xml:space="preserve"> made a number of recommendations </w:t>
      </w:r>
      <w:r w:rsidR="000A2F48">
        <w:t>for the</w:t>
      </w:r>
      <w:r w:rsidR="006C4468" w:rsidRPr="005B5274">
        <w:t xml:space="preserve"> UK Government </w:t>
      </w:r>
      <w:r w:rsidR="000A2F48">
        <w:t xml:space="preserve">to </w:t>
      </w:r>
      <w:r w:rsidR="006C4468" w:rsidRPr="005B5274">
        <w:t xml:space="preserve">ensure that there was no regression </w:t>
      </w:r>
      <w:r w:rsidR="000A2F48">
        <w:t>of human</w:t>
      </w:r>
      <w:r w:rsidR="006C4468" w:rsidRPr="005B5274">
        <w:t xml:space="preserve"> rights</w:t>
      </w:r>
      <w:r w:rsidR="00AE0A7C">
        <w:t xml:space="preserve"> in any potential reform of the </w:t>
      </w:r>
      <w:r w:rsidR="0048069D">
        <w:t>HRA</w:t>
      </w:r>
      <w:r w:rsidR="00AE0A7C">
        <w:t xml:space="preserve">, and that any proposed British Bill of Rights would </w:t>
      </w:r>
      <w:r w:rsidR="000056FC">
        <w:t xml:space="preserve">strengthen </w:t>
      </w:r>
      <w:r w:rsidR="000A0131">
        <w:t>rather than reduce rights,</w:t>
      </w:r>
      <w:r w:rsidR="001D2D7D">
        <w:t xml:space="preserve"> with no impact on the scope of protection or the access to the remedies under the </w:t>
      </w:r>
      <w:r w:rsidR="009160E8">
        <w:t>ECHR</w:t>
      </w:r>
      <w:r w:rsidR="006C4468" w:rsidRPr="005B5274">
        <w:t>.</w:t>
      </w:r>
      <w:r w:rsidR="00CA4C5D">
        <w:rPr>
          <w:rStyle w:val="FootnoteReference"/>
        </w:rPr>
        <w:footnoteReference w:id="6"/>
      </w:r>
      <w:r w:rsidR="006C4468" w:rsidRPr="005B5274">
        <w:t xml:space="preserve"> It also recommended that </w:t>
      </w:r>
      <w:r w:rsidR="007242AD">
        <w:t xml:space="preserve">the UK Government “carry out extensive consultations with civil society related to the repeal of the 1998 Human Rights Act” and </w:t>
      </w:r>
      <w:r w:rsidR="006C4468" w:rsidRPr="005B5274">
        <w:t>“in view of the process of leaving the EU, ensure that any new legislation aims at strengthening human rights in the entire jurisdiction of the country”.</w:t>
      </w:r>
      <w:r w:rsidR="009905C9">
        <w:rPr>
          <w:rStyle w:val="FootnoteReference"/>
        </w:rPr>
        <w:footnoteReference w:id="7"/>
      </w:r>
      <w:r w:rsidR="00CD44F6">
        <w:t xml:space="preserve"> </w:t>
      </w:r>
      <w:r w:rsidR="006C4468" w:rsidRPr="005B5274">
        <w:t>Specific to NI, the UN Working Group recommended that the UK Government</w:t>
      </w:r>
      <w:r w:rsidR="00E519A0">
        <w:t>:</w:t>
      </w:r>
    </w:p>
    <w:p w14:paraId="642CA94C" w14:textId="77777777" w:rsidR="00E519A0" w:rsidRDefault="00E519A0" w:rsidP="00E519A0">
      <w:pPr>
        <w:pStyle w:val="ListParagraph"/>
      </w:pPr>
    </w:p>
    <w:p w14:paraId="7EA93834" w14:textId="321EB0CE" w:rsidR="006C4468" w:rsidRDefault="00E519A0" w:rsidP="0079252B">
      <w:pPr>
        <w:pStyle w:val="ListParagraph"/>
        <w:widowControl w:val="0"/>
        <w:suppressAutoHyphens/>
        <w:autoSpaceDE w:val="0"/>
        <w:autoSpaceDN w:val="0"/>
        <w:adjustRightInd w:val="0"/>
        <w:spacing w:line="288" w:lineRule="auto"/>
        <w:ind w:left="892"/>
        <w:contextualSpacing w:val="0"/>
        <w:textAlignment w:val="center"/>
      </w:pPr>
      <w:r>
        <w:t xml:space="preserve">Provide reassurance that any proposed British Bill of Rights would complement rather than replace the incorporation of the European Convention on Human Rights in Northern Ireland law and acknowledging this is a primary matter for the Northern Ireland Executive and Assembly — that a Bill of Rights for Northern Ireland to reflect the particular circumstances of Northern Ireland </w:t>
      </w:r>
      <w:r>
        <w:lastRenderedPageBreak/>
        <w:t>should be pursued to provide continuity, clarity and consensus on the legal framework for human rights there</w:t>
      </w:r>
      <w:r w:rsidR="006C4468" w:rsidRPr="005B5274">
        <w:t>.</w:t>
      </w:r>
      <w:r w:rsidR="0009786F">
        <w:rPr>
          <w:rStyle w:val="FootnoteReference"/>
        </w:rPr>
        <w:footnoteReference w:id="8"/>
      </w:r>
    </w:p>
    <w:p w14:paraId="171868BF" w14:textId="77777777" w:rsidR="00B033D4" w:rsidRDefault="00B033D4" w:rsidP="00B033D4">
      <w:pPr>
        <w:pStyle w:val="ListParagraph"/>
      </w:pPr>
    </w:p>
    <w:p w14:paraId="6847E3AF" w14:textId="0B2E5502" w:rsidR="00F1587E" w:rsidRDefault="00F1587E" w:rsidP="00ED3706">
      <w:pPr>
        <w:pStyle w:val="ListParagraph"/>
        <w:widowControl w:val="0"/>
        <w:numPr>
          <w:ilvl w:val="1"/>
          <w:numId w:val="37"/>
        </w:numPr>
        <w:suppressAutoHyphens/>
        <w:autoSpaceDE w:val="0"/>
        <w:autoSpaceDN w:val="0"/>
        <w:adjustRightInd w:val="0"/>
        <w:spacing w:line="288" w:lineRule="auto"/>
        <w:ind w:left="548" w:hanging="548"/>
        <w:contextualSpacing w:val="0"/>
        <w:textAlignment w:val="center"/>
      </w:pPr>
      <w:r>
        <w:t xml:space="preserve">In its 2015 Concluding Observations </w:t>
      </w:r>
      <w:r w:rsidRPr="00F1587E">
        <w:t>on the seventh periodic report of the United Kingdom of Great Britain and Northern Ireland</w:t>
      </w:r>
      <w:r>
        <w:t xml:space="preserve">, the Human Rights Committee </w:t>
      </w:r>
      <w:r w:rsidR="00954417">
        <w:t>noted it was “</w:t>
      </w:r>
      <w:r w:rsidR="00954417" w:rsidRPr="001B7957">
        <w:t>concerned about a reported plan to repeal the Human Rights Act 1998 and to replace it with a new Bill of Rights for the United Kingdom of Great Britain and Northern Ireland, and that such a development will weaken the degree of protection afforded to the rights enshrined in the Covenant, within the domestic legal order”</w:t>
      </w:r>
      <w:r w:rsidR="001B7957">
        <w:t>.</w:t>
      </w:r>
      <w:r w:rsidR="00623525" w:rsidRPr="00623525">
        <w:rPr>
          <w:rStyle w:val="FootnoteReference"/>
        </w:rPr>
        <w:t xml:space="preserve"> </w:t>
      </w:r>
      <w:r w:rsidR="00623525">
        <w:rPr>
          <w:rStyle w:val="FootnoteReference"/>
        </w:rPr>
        <w:footnoteReference w:id="9"/>
      </w:r>
      <w:r w:rsidR="001B7957">
        <w:t xml:space="preserve"> The Committee recommended that</w:t>
      </w:r>
      <w:r w:rsidR="001D1505">
        <w:t xml:space="preserve"> the State Party should</w:t>
      </w:r>
      <w:r w:rsidR="001B7957">
        <w:t>:</w:t>
      </w:r>
    </w:p>
    <w:p w14:paraId="1D737E60" w14:textId="02B4B005" w:rsidR="001B7957" w:rsidRDefault="001B7957" w:rsidP="001B7957">
      <w:pPr>
        <w:pStyle w:val="ListParagraph"/>
        <w:widowControl w:val="0"/>
        <w:suppressAutoHyphens/>
        <w:autoSpaceDE w:val="0"/>
        <w:autoSpaceDN w:val="0"/>
        <w:adjustRightInd w:val="0"/>
        <w:spacing w:line="288" w:lineRule="auto"/>
        <w:contextualSpacing w:val="0"/>
        <w:textAlignment w:val="center"/>
      </w:pPr>
    </w:p>
    <w:p w14:paraId="68D1701A" w14:textId="2608B559" w:rsidR="001B7957" w:rsidRDefault="001D1505" w:rsidP="00C06D30">
      <w:pPr>
        <w:spacing w:line="276" w:lineRule="auto"/>
        <w:ind w:left="1440"/>
        <w:jc w:val="both"/>
      </w:pPr>
      <w:r w:rsidRPr="001D1505">
        <w:t>Ensure that any legislation passed in lieu of the Human Rights Act 1998 — were such legislation to be passed — is aimed at strengthening the status of international human rights, including the provisions of the Covenant, in the domestic legal order, and provide effective protection of those rights across all jurisdictions</w:t>
      </w:r>
      <w:r>
        <w:t>.</w:t>
      </w:r>
      <w:r w:rsidR="00623525">
        <w:rPr>
          <w:rStyle w:val="FootnoteReference"/>
        </w:rPr>
        <w:footnoteReference w:id="10"/>
      </w:r>
    </w:p>
    <w:p w14:paraId="61F15773" w14:textId="77777777" w:rsidR="001B7957" w:rsidRPr="00F1587E" w:rsidRDefault="001B7957" w:rsidP="001B7957">
      <w:pPr>
        <w:pStyle w:val="ListParagraph"/>
        <w:widowControl w:val="0"/>
        <w:suppressAutoHyphens/>
        <w:autoSpaceDE w:val="0"/>
        <w:autoSpaceDN w:val="0"/>
        <w:adjustRightInd w:val="0"/>
        <w:spacing w:line="288" w:lineRule="auto"/>
        <w:contextualSpacing w:val="0"/>
        <w:textAlignment w:val="center"/>
      </w:pPr>
    </w:p>
    <w:p w14:paraId="206C4870" w14:textId="08FC0F7A" w:rsidR="00646B38" w:rsidRDefault="000A28E0" w:rsidP="00EF76AF">
      <w:pPr>
        <w:pStyle w:val="ListParagraph"/>
        <w:widowControl w:val="0"/>
        <w:numPr>
          <w:ilvl w:val="1"/>
          <w:numId w:val="37"/>
        </w:numPr>
        <w:suppressAutoHyphens/>
        <w:autoSpaceDE w:val="0"/>
        <w:autoSpaceDN w:val="0"/>
        <w:adjustRightInd w:val="0"/>
        <w:spacing w:line="288" w:lineRule="auto"/>
        <w:ind w:left="720"/>
        <w:contextualSpacing w:val="0"/>
        <w:textAlignment w:val="center"/>
      </w:pPr>
      <w:r>
        <w:t xml:space="preserve">More recently, the Human Rights Committee again raised </w:t>
      </w:r>
      <w:r w:rsidR="007E7ED7">
        <w:t xml:space="preserve">the issue of potential reform of the </w:t>
      </w:r>
      <w:r w:rsidR="000C3ADB">
        <w:t>HRA</w:t>
      </w:r>
      <w:r w:rsidR="007E7ED7">
        <w:t xml:space="preserve"> in its List of Issues Prior to Reporting</w:t>
      </w:r>
      <w:r w:rsidR="006E49E4">
        <w:t xml:space="preserve"> in May 2020</w:t>
      </w:r>
      <w:r w:rsidR="007E7ED7">
        <w:t xml:space="preserve">, wherein it asked the </w:t>
      </w:r>
      <w:r w:rsidR="00805E10">
        <w:t>UK Government</w:t>
      </w:r>
      <w:r w:rsidR="000A05A7">
        <w:t xml:space="preserve"> </w:t>
      </w:r>
      <w:r w:rsidR="00F04618">
        <w:t>to “</w:t>
      </w:r>
      <w:r w:rsidR="00F04618" w:rsidRPr="003346EC">
        <w:t>provide information on any initiative to reform or repeal the Human Rights Act 1998</w:t>
      </w:r>
      <w:r w:rsidR="003346EC" w:rsidRPr="003346EC">
        <w:t>”</w:t>
      </w:r>
      <w:r w:rsidR="00C938E7">
        <w:t>.</w:t>
      </w:r>
      <w:r w:rsidR="000B12A7">
        <w:rPr>
          <w:rStyle w:val="FootnoteReference"/>
        </w:rPr>
        <w:footnoteReference w:id="11"/>
      </w:r>
      <w:r w:rsidR="00C938E7">
        <w:t xml:space="preserve"> </w:t>
      </w:r>
      <w:r w:rsidR="008645EF">
        <w:t xml:space="preserve">The NIHRC notes that </w:t>
      </w:r>
      <w:r w:rsidR="00805E10">
        <w:t xml:space="preserve">in its response, the UK Government </w:t>
      </w:r>
      <w:r w:rsidR="00915F25">
        <w:t xml:space="preserve">detailed plans for the IHRAR, and </w:t>
      </w:r>
      <w:r w:rsidR="00805E10">
        <w:t xml:space="preserve">assured the Committee that </w:t>
      </w:r>
      <w:r w:rsidR="001F0978">
        <w:t>“the panel will report back in Summer 2021 and their report will be published, as will the government’s response”.</w:t>
      </w:r>
      <w:r w:rsidR="009E105C">
        <w:rPr>
          <w:rStyle w:val="FootnoteReference"/>
        </w:rPr>
        <w:footnoteReference w:id="12"/>
      </w:r>
      <w:r w:rsidR="001F0978">
        <w:t xml:space="preserve"> Whilst the report was eventually published in December 2021,</w:t>
      </w:r>
      <w:r w:rsidR="001956D9">
        <w:t xml:space="preserve"> the government’s response has not yet been published</w:t>
      </w:r>
      <w:r w:rsidR="000803DF">
        <w:t xml:space="preserve"> despite the progress of this consultation</w:t>
      </w:r>
      <w:r w:rsidR="001956D9">
        <w:t xml:space="preserve">, </w:t>
      </w:r>
      <w:r w:rsidR="002A3CAC">
        <w:t xml:space="preserve">as highlighted by Sir Peter Gross in his </w:t>
      </w:r>
      <w:r w:rsidR="002A3CAC">
        <w:lastRenderedPageBreak/>
        <w:t>evidence to the Justice Committee in February 2022.</w:t>
      </w:r>
      <w:r w:rsidR="000803DF">
        <w:rPr>
          <w:rStyle w:val="FootnoteReference"/>
        </w:rPr>
        <w:footnoteReference w:id="13"/>
      </w:r>
    </w:p>
    <w:p w14:paraId="789EF467" w14:textId="77777777" w:rsidR="00646B38" w:rsidRDefault="00646B38" w:rsidP="00646B38">
      <w:pPr>
        <w:pStyle w:val="ListParagraph"/>
        <w:widowControl w:val="0"/>
        <w:suppressAutoHyphens/>
        <w:autoSpaceDE w:val="0"/>
        <w:autoSpaceDN w:val="0"/>
        <w:adjustRightInd w:val="0"/>
        <w:spacing w:line="288" w:lineRule="auto"/>
        <w:contextualSpacing w:val="0"/>
        <w:textAlignment w:val="center"/>
      </w:pPr>
    </w:p>
    <w:p w14:paraId="49EB4625" w14:textId="11873524" w:rsidR="00D70698" w:rsidRPr="00227424" w:rsidRDefault="00B829C4" w:rsidP="000E73E1">
      <w:pPr>
        <w:pStyle w:val="ListParagraph"/>
        <w:widowControl w:val="0"/>
        <w:numPr>
          <w:ilvl w:val="1"/>
          <w:numId w:val="37"/>
        </w:numPr>
        <w:suppressAutoHyphens/>
        <w:autoSpaceDE w:val="0"/>
        <w:autoSpaceDN w:val="0"/>
        <w:adjustRightInd w:val="0"/>
        <w:spacing w:line="288" w:lineRule="auto"/>
        <w:ind w:left="720"/>
        <w:contextualSpacing w:val="0"/>
        <w:textAlignment w:val="center"/>
        <w:rPr>
          <w:b/>
          <w:bCs/>
          <w:color w:val="000000"/>
          <w:sz w:val="27"/>
          <w:szCs w:val="27"/>
        </w:rPr>
      </w:pPr>
      <w:r>
        <w:t xml:space="preserve">The Committee on Economic, Social </w:t>
      </w:r>
      <w:r w:rsidR="00497BD8">
        <w:t xml:space="preserve">and Cultural Rights </w:t>
      </w:r>
      <w:r w:rsidR="00866002">
        <w:t xml:space="preserve">raised its worries about potential reform of the </w:t>
      </w:r>
      <w:r w:rsidR="00D13F9B">
        <w:t>HRA</w:t>
      </w:r>
      <w:r w:rsidR="00866002">
        <w:t xml:space="preserve"> in its Concluding Observations </w:t>
      </w:r>
      <w:r w:rsidR="00D02458" w:rsidRPr="00D02458">
        <w:t>on the sixth periodic report of the United Kingdom of Great Britain and Northern Irelan</w:t>
      </w:r>
      <w:r w:rsidR="00D02458">
        <w:t xml:space="preserve">d. </w:t>
      </w:r>
      <w:r w:rsidR="00DE5396">
        <w:t>It noted “</w:t>
      </w:r>
      <w:r w:rsidR="00DE5396" w:rsidRPr="00D70698">
        <w:t>concern raised by national stakeholders with regard to the announced plan to replace the Human Rights Act 1998 with a new British bill of rights that the new legislation may lower the status of international and regional human rights standards”.</w:t>
      </w:r>
      <w:r w:rsidR="00250C70">
        <w:rPr>
          <w:rStyle w:val="FootnoteReference"/>
        </w:rPr>
        <w:footnoteReference w:id="14"/>
      </w:r>
      <w:r w:rsidR="00DE5396" w:rsidRPr="00D70698">
        <w:t xml:space="preserve"> </w:t>
      </w:r>
      <w:r w:rsidR="00D70698" w:rsidRPr="00D70698">
        <w:t>The Committee therefore recommended that:</w:t>
      </w:r>
    </w:p>
    <w:p w14:paraId="4AE94DC2" w14:textId="77777777" w:rsidR="00E73588" w:rsidRDefault="00E73588" w:rsidP="00ED3706">
      <w:pPr>
        <w:pStyle w:val="ListParagraph"/>
      </w:pPr>
    </w:p>
    <w:p w14:paraId="4F319868" w14:textId="019A95DD" w:rsidR="00536FF8" w:rsidRDefault="00D70698" w:rsidP="00D70698">
      <w:pPr>
        <w:spacing w:line="276" w:lineRule="auto"/>
        <w:ind w:left="1440"/>
        <w:jc w:val="both"/>
      </w:pPr>
      <w:r w:rsidRPr="00D70698">
        <w:t>the State party undertake a broad public consultation on its plan to repeal the Human Rights Act 1998 as well as on the proposal for a new bill of rights. It also recommends that the State party take all necessary measures to ensure that any new legislation in this regard is aimed at enhancing the status of human rights, including economic, social and cultural rights, in the domestic legal order and that it provide effective protection of those rights across all jurisdictions of the State party.</w:t>
      </w:r>
      <w:r w:rsidR="006B2F5A">
        <w:rPr>
          <w:rStyle w:val="FootnoteReference"/>
        </w:rPr>
        <w:footnoteReference w:id="15"/>
      </w:r>
    </w:p>
    <w:p w14:paraId="09981A58" w14:textId="6D6823C8" w:rsidR="00D02458" w:rsidRPr="00D02458" w:rsidRDefault="00D70698" w:rsidP="00D70698">
      <w:pPr>
        <w:spacing w:line="276" w:lineRule="auto"/>
        <w:ind w:left="1440"/>
        <w:jc w:val="both"/>
      </w:pPr>
      <w:r w:rsidRPr="00D70698">
        <w:t> </w:t>
      </w:r>
    </w:p>
    <w:p w14:paraId="609D36F2" w14:textId="75C2770B" w:rsidR="004B2B2C" w:rsidRDefault="006E520E" w:rsidP="00EF76AF">
      <w:pPr>
        <w:pStyle w:val="ListParagraph"/>
        <w:widowControl w:val="0"/>
        <w:numPr>
          <w:ilvl w:val="1"/>
          <w:numId w:val="37"/>
        </w:numPr>
        <w:suppressAutoHyphens/>
        <w:autoSpaceDE w:val="0"/>
        <w:autoSpaceDN w:val="0"/>
        <w:adjustRightInd w:val="0"/>
        <w:spacing w:line="288" w:lineRule="auto"/>
        <w:ind w:left="720"/>
        <w:contextualSpacing w:val="0"/>
        <w:textAlignment w:val="center"/>
      </w:pPr>
      <w:r>
        <w:t xml:space="preserve">Similarly, in </w:t>
      </w:r>
      <w:r w:rsidR="00114FD4">
        <w:t>2016 the Committee on the Elimination of Racial Discrimination noted</w:t>
      </w:r>
      <w:r w:rsidR="00DE49C6">
        <w:t xml:space="preserve"> it was “concerned that the proposal to replace the Human Rights Act of 1998 with a new British bill of rights may lead to decreased levels of human rights protection in the State party, which would negatively affect the situation of individuals protected under article 1 of the Convention”.</w:t>
      </w:r>
      <w:r w:rsidR="007A2CBF">
        <w:rPr>
          <w:rStyle w:val="FootnoteReference"/>
        </w:rPr>
        <w:footnoteReference w:id="16"/>
      </w:r>
      <w:r w:rsidR="00DE49C6">
        <w:t xml:space="preserve"> It recommended</w:t>
      </w:r>
      <w:r w:rsidR="00866B7F">
        <w:t xml:space="preserve"> that</w:t>
      </w:r>
      <w:r w:rsidR="00B17A52">
        <w:t>:</w:t>
      </w:r>
    </w:p>
    <w:p w14:paraId="510AAE3B" w14:textId="47B2B4D9" w:rsidR="00B17A52" w:rsidRDefault="00B17A52" w:rsidP="00866B7F">
      <w:pPr>
        <w:spacing w:line="276" w:lineRule="auto"/>
        <w:ind w:left="1440"/>
        <w:jc w:val="both"/>
      </w:pPr>
      <w:r>
        <w:t xml:space="preserve">the State party undertake meaningful and broad public consultation on its proposal to revise its human rights legislation and that it </w:t>
      </w:r>
      <w:proofErr w:type="gramStart"/>
      <w:r>
        <w:t>ensure</w:t>
      </w:r>
      <w:proofErr w:type="gramEnd"/>
      <w:r>
        <w:t xml:space="preserve"> that any changes to the current human rights framework strengthen the protection of human </w:t>
      </w:r>
      <w:r>
        <w:lastRenderedPageBreak/>
        <w:t>rights, in particular the rights of individuals protected under article 1 of the Convention.</w:t>
      </w:r>
      <w:r w:rsidR="00653B31">
        <w:rPr>
          <w:rStyle w:val="FootnoteReference"/>
        </w:rPr>
        <w:footnoteReference w:id="17"/>
      </w:r>
      <w:r>
        <w:t xml:space="preserve"> </w:t>
      </w:r>
    </w:p>
    <w:p w14:paraId="28D64D96" w14:textId="77777777" w:rsidR="00817E6B" w:rsidRDefault="00817E6B" w:rsidP="00866B7F">
      <w:pPr>
        <w:spacing w:line="276" w:lineRule="auto"/>
        <w:ind w:left="1440"/>
        <w:jc w:val="both"/>
      </w:pPr>
    </w:p>
    <w:p w14:paraId="0CD8708C" w14:textId="45E39028" w:rsidR="000E5730" w:rsidRDefault="001764E4" w:rsidP="00EF76AF">
      <w:pPr>
        <w:pStyle w:val="ListParagraph"/>
        <w:widowControl w:val="0"/>
        <w:numPr>
          <w:ilvl w:val="1"/>
          <w:numId w:val="37"/>
        </w:numPr>
        <w:suppressAutoHyphens/>
        <w:autoSpaceDE w:val="0"/>
        <w:autoSpaceDN w:val="0"/>
        <w:adjustRightInd w:val="0"/>
        <w:spacing w:line="288" w:lineRule="auto"/>
        <w:ind w:left="720"/>
        <w:contextualSpacing w:val="0"/>
        <w:textAlignment w:val="center"/>
      </w:pPr>
      <w:r>
        <w:t>It is the view of the NIHRC that</w:t>
      </w:r>
      <w:r w:rsidR="005F007F">
        <w:t xml:space="preserve"> despite numerous international recommendations,</w:t>
      </w:r>
      <w:r>
        <w:t xml:space="preserve"> the proposals outlined in the consultation document f</w:t>
      </w:r>
      <w:r w:rsidR="000E5730">
        <w:t>ail</w:t>
      </w:r>
      <w:r>
        <w:t xml:space="preserve"> </w:t>
      </w:r>
      <w:r w:rsidR="000E5730">
        <w:t>to either maintain or strengthen current protections</w:t>
      </w:r>
      <w:r w:rsidR="004A7094">
        <w:t xml:space="preserve">, fail to </w:t>
      </w:r>
      <w:r w:rsidR="005F007F">
        <w:t>recognise</w:t>
      </w:r>
      <w:r w:rsidR="004A7094">
        <w:t xml:space="preserve"> the impact on </w:t>
      </w:r>
      <w:r w:rsidR="009A09B5">
        <w:t>N</w:t>
      </w:r>
      <w:r w:rsidR="00A64333">
        <w:t>I</w:t>
      </w:r>
      <w:r w:rsidR="004A7094">
        <w:t xml:space="preserve">, and </w:t>
      </w:r>
      <w:r w:rsidR="005F007F">
        <w:t>reduce access to remedies.</w:t>
      </w:r>
    </w:p>
    <w:p w14:paraId="0155E102" w14:textId="77777777" w:rsidR="000E5730" w:rsidRDefault="000E5730" w:rsidP="000E5730">
      <w:pPr>
        <w:pStyle w:val="ListParagraph"/>
        <w:widowControl w:val="0"/>
        <w:suppressAutoHyphens/>
        <w:autoSpaceDE w:val="0"/>
        <w:autoSpaceDN w:val="0"/>
        <w:adjustRightInd w:val="0"/>
        <w:spacing w:line="288" w:lineRule="auto"/>
        <w:contextualSpacing w:val="0"/>
        <w:textAlignment w:val="center"/>
      </w:pPr>
    </w:p>
    <w:p w14:paraId="2CAB8C6B" w14:textId="6C526D75" w:rsidR="00110FD3" w:rsidRDefault="00110FD3" w:rsidP="00EF76AF">
      <w:pPr>
        <w:pStyle w:val="ListParagraph"/>
        <w:widowControl w:val="0"/>
        <w:numPr>
          <w:ilvl w:val="1"/>
          <w:numId w:val="37"/>
        </w:numPr>
        <w:suppressAutoHyphens/>
        <w:autoSpaceDE w:val="0"/>
        <w:autoSpaceDN w:val="0"/>
        <w:adjustRightInd w:val="0"/>
        <w:spacing w:line="288" w:lineRule="auto"/>
        <w:ind w:left="720"/>
        <w:contextualSpacing w:val="0"/>
        <w:textAlignment w:val="center"/>
      </w:pPr>
      <w:r>
        <w:t>The NIHRC is also disappointed at the lack of meaningful engagement attached to this consultation exercise</w:t>
      </w:r>
      <w:r w:rsidR="005F007F">
        <w:t>, again contrary to international recommendations</w:t>
      </w:r>
      <w:r>
        <w:t xml:space="preserve">. The publication of the command paper in December, at the same time as the IHRAR report and while a number of other potentially concerning Bills which impact on rights and civil liberties progress through </w:t>
      </w:r>
      <w:r w:rsidR="00B460AA">
        <w:t>Parliament</w:t>
      </w:r>
      <w:r>
        <w:t>, demonstrates a lack of willingness to engage with the IHRAR findings, with N</w:t>
      </w:r>
      <w:r w:rsidR="00B460AA">
        <w:t xml:space="preserve">ational </w:t>
      </w:r>
      <w:r>
        <w:t>H</w:t>
      </w:r>
      <w:r w:rsidR="00B460AA">
        <w:t xml:space="preserve">uman </w:t>
      </w:r>
      <w:r>
        <w:t>R</w:t>
      </w:r>
      <w:r w:rsidR="00B460AA">
        <w:t xml:space="preserve">ights </w:t>
      </w:r>
      <w:r>
        <w:t>I</w:t>
      </w:r>
      <w:r w:rsidR="00B460AA">
        <w:t>nstitution</w:t>
      </w:r>
      <w:r>
        <w:t>s and with civil society</w:t>
      </w:r>
      <w:r w:rsidR="00B460AA">
        <w:t xml:space="preserve"> more broadly</w:t>
      </w:r>
      <w:r>
        <w:t xml:space="preserve">. Further, carrying out this particular exercise in the midst of a pandemic </w:t>
      </w:r>
      <w:r w:rsidR="00621993">
        <w:t xml:space="preserve">also suggests a lack of regard for ensuring </w:t>
      </w:r>
      <w:r w:rsidR="001F6526">
        <w:t xml:space="preserve">meaningful consultation on such an important issue. </w:t>
      </w:r>
      <w:r w:rsidR="008C1032">
        <w:t xml:space="preserve">In addition, the NIHRC notes that </w:t>
      </w:r>
      <w:r w:rsidR="00C61008">
        <w:t xml:space="preserve">an </w:t>
      </w:r>
      <w:r w:rsidR="00314D27">
        <w:t>‘easy read’</w:t>
      </w:r>
      <w:r w:rsidR="00C61008">
        <w:t xml:space="preserve"> version of the consultation document was not published until late February, </w:t>
      </w:r>
      <w:r w:rsidR="009D1218">
        <w:t xml:space="preserve">and that this document </w:t>
      </w:r>
      <w:r w:rsidR="00C11E56">
        <w:t xml:space="preserve">was not entirely accessible, </w:t>
      </w:r>
      <w:r w:rsidR="009D1218">
        <w:t>thereby creating further barriers</w:t>
      </w:r>
      <w:r w:rsidR="00C11E56">
        <w:t xml:space="preserve"> for engagement from certain groups </w:t>
      </w:r>
      <w:r w:rsidR="00763449">
        <w:t xml:space="preserve">of right holders. </w:t>
      </w:r>
    </w:p>
    <w:p w14:paraId="313E24EE" w14:textId="77777777" w:rsidR="00C304AC" w:rsidRDefault="00C304AC" w:rsidP="00C304AC">
      <w:pPr>
        <w:widowControl w:val="0"/>
        <w:suppressAutoHyphens/>
        <w:autoSpaceDE w:val="0"/>
        <w:autoSpaceDN w:val="0"/>
        <w:adjustRightInd w:val="0"/>
        <w:spacing w:line="288" w:lineRule="auto"/>
        <w:textAlignment w:val="center"/>
      </w:pPr>
    </w:p>
    <w:p w14:paraId="690BB722" w14:textId="77777777" w:rsidR="00595438" w:rsidRDefault="00517D09" w:rsidP="00EF76AF">
      <w:pPr>
        <w:pStyle w:val="ListParagraph"/>
        <w:widowControl w:val="0"/>
        <w:numPr>
          <w:ilvl w:val="1"/>
          <w:numId w:val="37"/>
        </w:numPr>
        <w:suppressAutoHyphens/>
        <w:autoSpaceDE w:val="0"/>
        <w:autoSpaceDN w:val="0"/>
        <w:adjustRightInd w:val="0"/>
        <w:spacing w:line="288" w:lineRule="auto"/>
        <w:ind w:left="720"/>
        <w:contextualSpacing w:val="0"/>
        <w:textAlignment w:val="center"/>
      </w:pPr>
      <w:r>
        <w:t>The NIHRC believes</w:t>
      </w:r>
      <w:r w:rsidR="0016594A">
        <w:t xml:space="preserve"> a lack of good faith has been demonstrated in the</w:t>
      </w:r>
      <w:r w:rsidR="006875D0">
        <w:t xml:space="preserve"> Government’s</w:t>
      </w:r>
      <w:r w:rsidR="0016594A">
        <w:t xml:space="preserve"> failure to effectively engage with</w:t>
      </w:r>
      <w:r w:rsidR="00257101">
        <w:t xml:space="preserve"> and respond to</w:t>
      </w:r>
      <w:r w:rsidR="0016594A">
        <w:t xml:space="preserve"> the </w:t>
      </w:r>
      <w:r w:rsidR="00257101">
        <w:t xml:space="preserve">report of the </w:t>
      </w:r>
      <w:r w:rsidR="00321E4C">
        <w:t>IHRAR</w:t>
      </w:r>
      <w:r w:rsidR="00257101">
        <w:t xml:space="preserve">. </w:t>
      </w:r>
      <w:r w:rsidR="003C34AE">
        <w:t xml:space="preserve">The </w:t>
      </w:r>
      <w:r w:rsidR="007A0744">
        <w:t xml:space="preserve">proposals set out in the consultation paper do not reflect the findings of the </w:t>
      </w:r>
      <w:proofErr w:type="gramStart"/>
      <w:r w:rsidR="007A0744">
        <w:t>IHRAR, and</w:t>
      </w:r>
      <w:proofErr w:type="gramEnd"/>
      <w:r w:rsidR="007A0744">
        <w:t xml:space="preserve"> appear to lack evidence.</w:t>
      </w:r>
      <w:r w:rsidR="00143723">
        <w:t xml:space="preserve"> </w:t>
      </w:r>
      <w:r w:rsidR="00860D49">
        <w:t xml:space="preserve">The IHRAR </w:t>
      </w:r>
      <w:r w:rsidR="00105625">
        <w:t>found little evidence to support the case for repeal:</w:t>
      </w:r>
    </w:p>
    <w:p w14:paraId="017D9535" w14:textId="77777777" w:rsidR="00105625" w:rsidRDefault="00105625" w:rsidP="00216EC5"/>
    <w:p w14:paraId="49D1BD6A" w14:textId="1DA7E16C" w:rsidR="00105625" w:rsidRDefault="00105625" w:rsidP="008C17AA">
      <w:pPr>
        <w:spacing w:line="276" w:lineRule="auto"/>
        <w:ind w:left="1440"/>
      </w:pPr>
      <w:r>
        <w:t xml:space="preserve">On the contrary, there was an overwhelming body of support for retaining the HRA. Furthermore, detailed arguments in favour of repeal and replacement of the HRA with a British Bill of Rights were not provided, nor could we have properly considered the issue given IHRAR’s </w:t>
      </w:r>
      <w:proofErr w:type="spellStart"/>
      <w:r>
        <w:t>ToR</w:t>
      </w:r>
      <w:proofErr w:type="spellEnd"/>
      <w:r>
        <w:t xml:space="preserve">. We do, however, </w:t>
      </w:r>
      <w:r>
        <w:lastRenderedPageBreak/>
        <w:t>note, that it is an issue that has, in any event, been considered before inconclusively.</w:t>
      </w:r>
      <w:r w:rsidR="00C43163">
        <w:rPr>
          <w:rStyle w:val="FootnoteReference"/>
        </w:rPr>
        <w:footnoteReference w:id="18"/>
      </w:r>
    </w:p>
    <w:p w14:paraId="0E5C56F7" w14:textId="77777777" w:rsidR="00321E4C" w:rsidRDefault="00321E4C" w:rsidP="00321E4C">
      <w:pPr>
        <w:pStyle w:val="ListParagraph"/>
      </w:pPr>
    </w:p>
    <w:p w14:paraId="0780FD4D" w14:textId="3D99A1EF" w:rsidR="00CD4F7A" w:rsidRPr="00CD4F7A" w:rsidRDefault="001D1F31" w:rsidP="008C17AA">
      <w:pPr>
        <w:pStyle w:val="ListParagraph"/>
        <w:numPr>
          <w:ilvl w:val="1"/>
          <w:numId w:val="37"/>
        </w:numPr>
        <w:spacing w:line="276" w:lineRule="auto"/>
        <w:ind w:left="709"/>
        <w:rPr>
          <w:b/>
          <w:bCs/>
        </w:rPr>
      </w:pPr>
      <w:r>
        <w:t>The NIHRC believes that the</w:t>
      </w:r>
      <w:r w:rsidRPr="001D1F31">
        <w:t xml:space="preserve"> ‘problems’ identified by the UK Government are not problems created by the </w:t>
      </w:r>
      <w:r w:rsidR="00014C32">
        <w:t>HRA</w:t>
      </w:r>
      <w:r w:rsidR="00083AA6">
        <w:t>. Indeed, the IHRAR report highlighted</w:t>
      </w:r>
      <w:r w:rsidR="002D3885">
        <w:t xml:space="preserve"> </w:t>
      </w:r>
      <w:r w:rsidR="00A710C6">
        <w:t>misconceptions and negative narrative</w:t>
      </w:r>
      <w:r w:rsidR="00014C32">
        <w:t xml:space="preserve"> about the HRA </w:t>
      </w:r>
      <w:r w:rsidR="002D3885">
        <w:t>as</w:t>
      </w:r>
      <w:r w:rsidR="00014C32">
        <w:t xml:space="preserve"> contributing to public ownership </w:t>
      </w:r>
      <w:proofErr w:type="gramStart"/>
      <w:r w:rsidR="00014C32">
        <w:t>issues</w:t>
      </w:r>
      <w:r w:rsidR="002D3885">
        <w:t>, and</w:t>
      </w:r>
      <w:proofErr w:type="gramEnd"/>
      <w:r w:rsidR="002D3885">
        <w:t xml:space="preserve"> recommended </w:t>
      </w:r>
      <w:r w:rsidR="00083AA6">
        <w:t>a programme of civic</w:t>
      </w:r>
      <w:r w:rsidR="0064613C">
        <w:t xml:space="preserve"> and constitutional</w:t>
      </w:r>
      <w:r w:rsidR="00083AA6">
        <w:t xml:space="preserve"> education </w:t>
      </w:r>
      <w:r w:rsidR="007F6A9D">
        <w:t>to support public understanding and ownership of the HRA.</w:t>
      </w:r>
      <w:r w:rsidR="007F6A9D">
        <w:rPr>
          <w:rStyle w:val="FootnoteReference"/>
        </w:rPr>
        <w:footnoteReference w:id="19"/>
      </w:r>
      <w:r w:rsidR="007F6A9D">
        <w:t xml:space="preserve"> </w:t>
      </w:r>
    </w:p>
    <w:p w14:paraId="7A8235F5" w14:textId="77777777" w:rsidR="00CD4F7A" w:rsidRPr="00CD4F7A" w:rsidRDefault="00CD4F7A" w:rsidP="00CD4F7A">
      <w:pPr>
        <w:pStyle w:val="ListParagraph"/>
        <w:spacing w:line="276" w:lineRule="auto"/>
        <w:ind w:left="1004"/>
        <w:jc w:val="both"/>
        <w:rPr>
          <w:b/>
          <w:bCs/>
        </w:rPr>
      </w:pPr>
    </w:p>
    <w:p w14:paraId="5B123632" w14:textId="777B10B9" w:rsidR="00E73588" w:rsidRDefault="007E27BF" w:rsidP="004113F4">
      <w:pPr>
        <w:pStyle w:val="ListParagraph"/>
        <w:numPr>
          <w:ilvl w:val="1"/>
          <w:numId w:val="37"/>
        </w:numPr>
        <w:spacing w:line="276" w:lineRule="auto"/>
        <w:ind w:left="709"/>
        <w:jc w:val="both"/>
        <w:rPr>
          <w:b/>
          <w:bCs/>
        </w:rPr>
      </w:pPr>
      <w:r w:rsidRPr="00CD4F7A">
        <w:rPr>
          <w:b/>
          <w:bCs/>
        </w:rPr>
        <w:t>The NIHRC recommends that the</w:t>
      </w:r>
      <w:r w:rsidR="00804BDD" w:rsidRPr="00CD4F7A">
        <w:rPr>
          <w:b/>
          <w:bCs/>
        </w:rPr>
        <w:t xml:space="preserve"> </w:t>
      </w:r>
      <w:r w:rsidR="002060CF">
        <w:rPr>
          <w:b/>
          <w:bCs/>
        </w:rPr>
        <w:t xml:space="preserve">Human </w:t>
      </w:r>
      <w:r w:rsidR="00804BDD" w:rsidRPr="00CD4F7A">
        <w:rPr>
          <w:b/>
          <w:bCs/>
        </w:rPr>
        <w:t>R</w:t>
      </w:r>
      <w:r w:rsidR="002060CF">
        <w:rPr>
          <w:b/>
          <w:bCs/>
        </w:rPr>
        <w:t xml:space="preserve">ights </w:t>
      </w:r>
      <w:r w:rsidR="00804BDD" w:rsidRPr="00CD4F7A">
        <w:rPr>
          <w:b/>
          <w:bCs/>
        </w:rPr>
        <w:t>A</w:t>
      </w:r>
      <w:r w:rsidR="002060CF">
        <w:rPr>
          <w:b/>
          <w:bCs/>
        </w:rPr>
        <w:t>ct</w:t>
      </w:r>
      <w:r w:rsidR="00804BDD" w:rsidRPr="00CD4F7A">
        <w:rPr>
          <w:b/>
          <w:bCs/>
        </w:rPr>
        <w:t xml:space="preserve"> is retained. </w:t>
      </w:r>
    </w:p>
    <w:p w14:paraId="3624439C" w14:textId="77777777" w:rsidR="00CD4F7A" w:rsidRPr="00CD4F7A" w:rsidRDefault="00CD4F7A" w:rsidP="00CD4F7A">
      <w:pPr>
        <w:pStyle w:val="ListParagraph"/>
        <w:rPr>
          <w:b/>
          <w:bCs/>
        </w:rPr>
      </w:pPr>
    </w:p>
    <w:p w14:paraId="28428DC4" w14:textId="2B617EA0" w:rsidR="00D46833" w:rsidRPr="00CD4F7A" w:rsidRDefault="00D46833" w:rsidP="008C17AA">
      <w:pPr>
        <w:pStyle w:val="ListParagraph"/>
        <w:numPr>
          <w:ilvl w:val="1"/>
          <w:numId w:val="37"/>
        </w:numPr>
        <w:spacing w:line="276" w:lineRule="auto"/>
        <w:ind w:left="709"/>
        <w:rPr>
          <w:b/>
          <w:bCs/>
        </w:rPr>
      </w:pPr>
      <w:r w:rsidRPr="00CD4F7A">
        <w:rPr>
          <w:b/>
          <w:bCs/>
        </w:rPr>
        <w:t xml:space="preserve">The NIHRC recommends the </w:t>
      </w:r>
      <w:r w:rsidR="002060CF">
        <w:rPr>
          <w:b/>
          <w:bCs/>
        </w:rPr>
        <w:t xml:space="preserve">UK </w:t>
      </w:r>
      <w:r w:rsidR="00EB1B99">
        <w:rPr>
          <w:b/>
          <w:bCs/>
        </w:rPr>
        <w:t>G</w:t>
      </w:r>
      <w:r w:rsidR="00EB1B99" w:rsidRPr="00CD4F7A">
        <w:rPr>
          <w:b/>
          <w:bCs/>
        </w:rPr>
        <w:t xml:space="preserve">overnment </w:t>
      </w:r>
      <w:r w:rsidR="00266E4A" w:rsidRPr="00CD4F7A">
        <w:rPr>
          <w:b/>
          <w:bCs/>
        </w:rPr>
        <w:t>responds in full to the IHRAR report, which found overwhelming support</w:t>
      </w:r>
      <w:r w:rsidR="007E27BF" w:rsidRPr="00CD4F7A">
        <w:rPr>
          <w:b/>
          <w:bCs/>
        </w:rPr>
        <w:t xml:space="preserve"> for retaining the HRA</w:t>
      </w:r>
      <w:r w:rsidR="00E73588">
        <w:rPr>
          <w:b/>
          <w:bCs/>
        </w:rPr>
        <w:t xml:space="preserve">, </w:t>
      </w:r>
      <w:r w:rsidR="00EB1B99">
        <w:rPr>
          <w:b/>
          <w:bCs/>
        </w:rPr>
        <w:t xml:space="preserve">and develops a programme of education </w:t>
      </w:r>
      <w:r w:rsidR="000D6C16">
        <w:rPr>
          <w:b/>
          <w:bCs/>
        </w:rPr>
        <w:t>to support public understanding of, and engagement with, the HRA</w:t>
      </w:r>
      <w:r w:rsidR="007E27BF" w:rsidRPr="00CD4F7A">
        <w:rPr>
          <w:b/>
          <w:bCs/>
        </w:rPr>
        <w:t xml:space="preserve">. </w:t>
      </w:r>
    </w:p>
    <w:p w14:paraId="1C4566BB" w14:textId="77777777" w:rsidR="007E27BF" w:rsidRPr="00D46833" w:rsidRDefault="007E27BF" w:rsidP="002777D7">
      <w:pPr>
        <w:pStyle w:val="ListParagraph"/>
        <w:rPr>
          <w:b/>
          <w:bCs/>
        </w:rPr>
      </w:pPr>
    </w:p>
    <w:p w14:paraId="47680921" w14:textId="7CBCB92A" w:rsidR="0025162F" w:rsidRDefault="00245E67" w:rsidP="008C17AA">
      <w:pPr>
        <w:pStyle w:val="ListParagraph"/>
        <w:numPr>
          <w:ilvl w:val="1"/>
          <w:numId w:val="37"/>
        </w:numPr>
        <w:spacing w:line="276" w:lineRule="auto"/>
        <w:ind w:left="709"/>
      </w:pPr>
      <w:r>
        <w:t xml:space="preserve">Much of the narrative outlining the purported case for reform in the consultation document, particularly </w:t>
      </w:r>
      <w:r w:rsidR="00DF003D">
        <w:t xml:space="preserve">in chapter three, seeks to frame the HRA negatively and fails to reflect the </w:t>
      </w:r>
      <w:r w:rsidR="003F6123">
        <w:t xml:space="preserve">benefits of the Act. Moreover, the NIHRC </w:t>
      </w:r>
      <w:r w:rsidR="00800E16">
        <w:t>notes</w:t>
      </w:r>
      <w:r w:rsidR="003F6123">
        <w:t xml:space="preserve"> that throughout the document, e</w:t>
      </w:r>
      <w:r w:rsidR="00CC33A2">
        <w:t>mphasis</w:t>
      </w:r>
      <w:r w:rsidR="003F6123">
        <w:t xml:space="preserve"> is placed on</w:t>
      </w:r>
      <w:r w:rsidR="00CC33A2">
        <w:t xml:space="preserve"> </w:t>
      </w:r>
      <w:r w:rsidR="00B5412D">
        <w:t xml:space="preserve">reducing the obligations of government and public authorities to protect and promote rights and standards, </w:t>
      </w:r>
      <w:r w:rsidR="00291A5E">
        <w:t xml:space="preserve">rather than ensuring protections for </w:t>
      </w:r>
      <w:r w:rsidR="00B460AA">
        <w:t>individuals</w:t>
      </w:r>
      <w:r w:rsidR="00E87AE9">
        <w:t>.</w:t>
      </w:r>
      <w:r w:rsidR="00291A5E">
        <w:t xml:space="preserve"> </w:t>
      </w:r>
      <w:r w:rsidR="00CE11A5">
        <w:t xml:space="preserve">Whilst </w:t>
      </w:r>
      <w:r w:rsidR="00B460AA">
        <w:t xml:space="preserve">we appreciate that </w:t>
      </w:r>
      <w:r w:rsidR="00CE11A5">
        <w:t xml:space="preserve">cost efficiency must always be a key consideration for government and public authorities, </w:t>
      </w:r>
      <w:r w:rsidR="00AF1F67">
        <w:t>the reliance on a c</w:t>
      </w:r>
      <w:r w:rsidR="00E600E8">
        <w:t xml:space="preserve">ost-saving argument as the basis for change arguably reflects a failure to recognise the importance of providing a </w:t>
      </w:r>
      <w:r w:rsidR="00212C64">
        <w:t xml:space="preserve">good, person-centred, outcomes-focused service. </w:t>
      </w:r>
    </w:p>
    <w:p w14:paraId="7D3319E4" w14:textId="77777777" w:rsidR="0025162F" w:rsidRDefault="0025162F" w:rsidP="0025162F">
      <w:pPr>
        <w:pStyle w:val="ListParagraph"/>
      </w:pPr>
    </w:p>
    <w:p w14:paraId="2D82D533" w14:textId="6A4C16A1" w:rsidR="00CD5745" w:rsidRDefault="00212C64" w:rsidP="008C17AA">
      <w:pPr>
        <w:pStyle w:val="ListParagraph"/>
        <w:numPr>
          <w:ilvl w:val="1"/>
          <w:numId w:val="37"/>
        </w:numPr>
        <w:spacing w:line="276" w:lineRule="auto"/>
        <w:ind w:left="709"/>
      </w:pPr>
      <w:r>
        <w:t>For example, the case study provided on page 40 of the consultation document</w:t>
      </w:r>
      <w:r w:rsidR="0097622C">
        <w:t xml:space="preserve"> entitled ‘Prisons’ provision of drug treatments’</w:t>
      </w:r>
      <w:r w:rsidR="00AE385B">
        <w:t xml:space="preserve"> outlines the number of successful claims by prisoners who claimed that their human rights were breached by the failure to provide them with methadone, Valium or other particular forms of treatment for their drug addictions</w:t>
      </w:r>
      <w:r w:rsidR="00094728">
        <w:t>; the case study shows that the Prison Service settling claims cost</w:t>
      </w:r>
      <w:r w:rsidR="006B38A4">
        <w:t xml:space="preserve"> around £7 million</w:t>
      </w:r>
      <w:r w:rsidR="00007DA5">
        <w:t xml:space="preserve"> between 2005 and 2011</w:t>
      </w:r>
      <w:r w:rsidR="006B38A4">
        <w:t xml:space="preserve">. The NIHRC would </w:t>
      </w:r>
      <w:r w:rsidR="00DA6456">
        <w:t>highlight</w:t>
      </w:r>
      <w:r w:rsidR="006B38A4">
        <w:t xml:space="preserve"> that these were successful </w:t>
      </w:r>
      <w:r w:rsidR="006B38A4">
        <w:lastRenderedPageBreak/>
        <w:t xml:space="preserve">claims precisely because </w:t>
      </w:r>
      <w:r w:rsidR="0055660A">
        <w:t>the Prison Service had violated prisoners</w:t>
      </w:r>
      <w:r w:rsidR="009F5A14">
        <w:t>’</w:t>
      </w:r>
      <w:r w:rsidR="0055660A">
        <w:t xml:space="preserve"> human rights, </w:t>
      </w:r>
      <w:r w:rsidR="009F5A14">
        <w:t xml:space="preserve">and </w:t>
      </w:r>
      <w:r w:rsidR="00F2005B">
        <w:t>the costs incurred through settlement</w:t>
      </w:r>
      <w:r w:rsidR="004D604E">
        <w:t xml:space="preserve"> und</w:t>
      </w:r>
      <w:r w:rsidR="00337F06">
        <w:t>er Articles 3, 8 and 14</w:t>
      </w:r>
      <w:r w:rsidR="00F2005B">
        <w:t xml:space="preserve"> </w:t>
      </w:r>
      <w:r w:rsidR="00DA6456">
        <w:t xml:space="preserve">ECHR </w:t>
      </w:r>
      <w:r w:rsidR="00F2005B">
        <w:t xml:space="preserve">could be avoided by providing </w:t>
      </w:r>
      <w:r w:rsidR="00B50383">
        <w:t xml:space="preserve">compliant </w:t>
      </w:r>
      <w:r w:rsidR="00F2005B">
        <w:t xml:space="preserve">care in the first instance. </w:t>
      </w:r>
      <w:r w:rsidR="00A53D1B">
        <w:t xml:space="preserve">As well as this being a basic human rights requirement, </w:t>
      </w:r>
      <w:r w:rsidR="003B7354">
        <w:t xml:space="preserve">it is reasonable to expect that </w:t>
      </w:r>
      <w:r w:rsidR="00445A1D">
        <w:t>a prison environment</w:t>
      </w:r>
      <w:r w:rsidR="00B50383">
        <w:t>,</w:t>
      </w:r>
      <w:r w:rsidR="00445A1D">
        <w:t xml:space="preserve"> responsible for prisoners’ care and rehabilitation</w:t>
      </w:r>
      <w:r w:rsidR="00B50383">
        <w:t>,</w:t>
      </w:r>
      <w:r w:rsidR="007A6B33">
        <w:t xml:space="preserve"> </w:t>
      </w:r>
      <w:r w:rsidR="00445A1D">
        <w:t>would provide access to healthcare, including treatment</w:t>
      </w:r>
      <w:r w:rsidR="00664063">
        <w:t xml:space="preserve"> for addiction, to </w:t>
      </w:r>
      <w:r w:rsidR="00A53D1B">
        <w:t xml:space="preserve">achieve its </w:t>
      </w:r>
      <w:r w:rsidR="00C26484">
        <w:t xml:space="preserve">purpose of </w:t>
      </w:r>
      <w:r w:rsidR="00664063">
        <w:t>improv</w:t>
      </w:r>
      <w:r w:rsidR="00A53D1B">
        <w:t>ing</w:t>
      </w:r>
      <w:r w:rsidR="00664063">
        <w:t xml:space="preserve"> outcomes and promot</w:t>
      </w:r>
      <w:r w:rsidR="00C26484">
        <w:t>ing</w:t>
      </w:r>
      <w:r w:rsidR="00664063">
        <w:t xml:space="preserve"> desistance, and yet the case study </w:t>
      </w:r>
      <w:r w:rsidR="003D2976">
        <w:t xml:space="preserve">seeks to </w:t>
      </w:r>
      <w:r w:rsidR="000D6052">
        <w:t>frame the claims</w:t>
      </w:r>
      <w:r w:rsidR="003D2976">
        <w:t xml:space="preserve"> as </w:t>
      </w:r>
      <w:r w:rsidR="00E227B2">
        <w:t>gratuitous cost to the taxpayer.</w:t>
      </w:r>
      <w:r w:rsidR="00E91C6C">
        <w:rPr>
          <w:rStyle w:val="FootnoteReference"/>
        </w:rPr>
        <w:footnoteReference w:id="20"/>
      </w:r>
      <w:r w:rsidR="00E227B2">
        <w:t xml:space="preserve"> </w:t>
      </w:r>
      <w:r w:rsidR="00604F47">
        <w:t xml:space="preserve">Elements of the proposals </w:t>
      </w:r>
      <w:r w:rsidR="00FA2C53">
        <w:t>suggest a willingness instead to provide public authorities with more freedom to act in ways which are</w:t>
      </w:r>
      <w:r w:rsidR="00B460AA">
        <w:t>, potentially,</w:t>
      </w:r>
      <w:r w:rsidR="00FA2C53">
        <w:t xml:space="preserve"> incompatible with </w:t>
      </w:r>
      <w:r w:rsidR="00B460AA">
        <w:t xml:space="preserve">the international </w:t>
      </w:r>
      <w:r w:rsidR="00FA2C53">
        <w:t>human rights</w:t>
      </w:r>
      <w:r w:rsidR="00B460AA">
        <w:t xml:space="preserve"> framework to which the UK has agreed to be bound by</w:t>
      </w:r>
      <w:r w:rsidR="00FA2C53">
        <w:t xml:space="preserve">. </w:t>
      </w:r>
      <w:r w:rsidR="00445A1D">
        <w:t xml:space="preserve"> </w:t>
      </w:r>
    </w:p>
    <w:p w14:paraId="0F39C106" w14:textId="77777777" w:rsidR="00CD5745" w:rsidRDefault="00CD5745" w:rsidP="00CD5745">
      <w:pPr>
        <w:pStyle w:val="ListParagraph"/>
      </w:pPr>
    </w:p>
    <w:p w14:paraId="35AEBF33" w14:textId="604B872D" w:rsidR="0001521B" w:rsidRDefault="00E87AE9" w:rsidP="008C17AA">
      <w:pPr>
        <w:pStyle w:val="ListParagraph"/>
        <w:numPr>
          <w:ilvl w:val="1"/>
          <w:numId w:val="37"/>
        </w:numPr>
        <w:spacing w:line="276" w:lineRule="auto"/>
        <w:ind w:left="709"/>
      </w:pPr>
      <w:r>
        <w:t>The NIHRC is extremely concerned</w:t>
      </w:r>
      <w:r w:rsidR="00B460AA">
        <w:t xml:space="preserve"> by</w:t>
      </w:r>
      <w:r w:rsidR="00907571">
        <w:t xml:space="preserve">, and </w:t>
      </w:r>
      <w:r w:rsidR="00B50383">
        <w:t>strongly</w:t>
      </w:r>
      <w:r w:rsidR="00907571">
        <w:t xml:space="preserve"> rejects</w:t>
      </w:r>
      <w:r w:rsidR="00B460AA">
        <w:t xml:space="preserve"> the use of</w:t>
      </w:r>
      <w:r w:rsidR="00907571">
        <w:t>, the d</w:t>
      </w:r>
      <w:r w:rsidR="00655A43">
        <w:t>ivisive language</w:t>
      </w:r>
      <w:r w:rsidR="00907571">
        <w:t xml:space="preserve"> used</w:t>
      </w:r>
      <w:r w:rsidR="00E227B2">
        <w:t xml:space="preserve"> throughout the consultation document and the </w:t>
      </w:r>
      <w:r w:rsidR="009108E6">
        <w:t xml:space="preserve">negative framing of certain groups of </w:t>
      </w:r>
      <w:r w:rsidR="00B460AA">
        <w:t>individuals</w:t>
      </w:r>
      <w:r w:rsidR="009108E6">
        <w:t xml:space="preserve">. This is particularly the case in relation </w:t>
      </w:r>
      <w:r w:rsidR="002E3B87">
        <w:t>to</w:t>
      </w:r>
      <w:r w:rsidR="004C7FBD">
        <w:t xml:space="preserve"> </w:t>
      </w:r>
      <w:r w:rsidR="00CD5745">
        <w:t>race and ethnicit</w:t>
      </w:r>
      <w:r w:rsidR="002E3B87">
        <w:t xml:space="preserve">y, immigrants, and prisoners. </w:t>
      </w:r>
      <w:r w:rsidR="00F165D7">
        <w:t xml:space="preserve">The implied hierarchy of rights-holders </w:t>
      </w:r>
      <w:r w:rsidR="00EB01F3">
        <w:t xml:space="preserve">undermines the basic premise of the universality of </w:t>
      </w:r>
      <w:r w:rsidR="00B460AA">
        <w:t xml:space="preserve">human </w:t>
      </w:r>
      <w:r w:rsidR="00EB01F3">
        <w:t xml:space="preserve">rights. </w:t>
      </w:r>
    </w:p>
    <w:p w14:paraId="0BE9CDF7" w14:textId="77777777" w:rsidR="009563EA" w:rsidRDefault="009563EA" w:rsidP="009563EA">
      <w:pPr>
        <w:pStyle w:val="ListParagraph"/>
      </w:pPr>
    </w:p>
    <w:p w14:paraId="238F2651" w14:textId="21E3E8B5" w:rsidR="00655A43" w:rsidRDefault="00354B82" w:rsidP="008C17AA">
      <w:pPr>
        <w:pStyle w:val="ListParagraph"/>
        <w:numPr>
          <w:ilvl w:val="1"/>
          <w:numId w:val="37"/>
        </w:numPr>
        <w:spacing w:line="276" w:lineRule="auto"/>
        <w:ind w:left="709"/>
      </w:pPr>
      <w:r>
        <w:t xml:space="preserve">Further, </w:t>
      </w:r>
      <w:r w:rsidR="00923AD4">
        <w:t>there is a risk</w:t>
      </w:r>
      <w:r w:rsidR="007F64A4">
        <w:t xml:space="preserve"> that the p</w:t>
      </w:r>
      <w:r w:rsidR="00C52805">
        <w:t>roposals, if implemented, could deny access to justice for human rights violations in the domestic courts</w:t>
      </w:r>
      <w:r w:rsidR="00BF7D87">
        <w:t xml:space="preserve"> and</w:t>
      </w:r>
      <w:r w:rsidR="00C52805">
        <w:t xml:space="preserve"> </w:t>
      </w:r>
      <w:r w:rsidR="00B2718B">
        <w:t xml:space="preserve">result in more cases going to </w:t>
      </w:r>
      <w:r w:rsidR="00BF7D87">
        <w:t xml:space="preserve">the European Court of Human Rights </w:t>
      </w:r>
      <w:r w:rsidR="002D4451">
        <w:t xml:space="preserve">(ECtHR) </w:t>
      </w:r>
      <w:r w:rsidR="00BF7D87">
        <w:t xml:space="preserve">in </w:t>
      </w:r>
      <w:r w:rsidR="00B2718B">
        <w:t>Strasbourg</w:t>
      </w:r>
      <w:r w:rsidR="00CD64A5">
        <w:t>.</w:t>
      </w:r>
      <w:r w:rsidR="00BF7D87">
        <w:t xml:space="preserve"> This could </w:t>
      </w:r>
      <w:r w:rsidR="00691839">
        <w:t>create additional barriers, particular</w:t>
      </w:r>
      <w:r w:rsidR="00B616D5">
        <w:t>ly</w:t>
      </w:r>
      <w:r w:rsidR="00691839">
        <w:t xml:space="preserve"> for those who are already disadvantaged</w:t>
      </w:r>
      <w:r w:rsidR="00B616D5">
        <w:t xml:space="preserve"> who may be prevented from accessing justice due to the financial costs and </w:t>
      </w:r>
      <w:r w:rsidR="00B50383">
        <w:t xml:space="preserve">the length of </w:t>
      </w:r>
      <w:r w:rsidR="00B616D5">
        <w:t>ti</w:t>
      </w:r>
      <w:r w:rsidR="00661700">
        <w:t xml:space="preserve">me </w:t>
      </w:r>
      <w:r w:rsidR="00B50383">
        <w:t>taken by court proceedings.</w:t>
      </w:r>
      <w:r w:rsidR="00661700">
        <w:t xml:space="preserve"> </w:t>
      </w:r>
    </w:p>
    <w:p w14:paraId="45BDC3FF" w14:textId="77777777" w:rsidR="003D4BA5" w:rsidRDefault="003D4BA5" w:rsidP="003D4BA5">
      <w:pPr>
        <w:pStyle w:val="ListParagraph"/>
      </w:pPr>
    </w:p>
    <w:p w14:paraId="1C14EDEC" w14:textId="3425F31F" w:rsidR="00247650" w:rsidRPr="00897EE0" w:rsidRDefault="00247650" w:rsidP="008C17AA">
      <w:pPr>
        <w:pStyle w:val="ListParagraph"/>
        <w:numPr>
          <w:ilvl w:val="1"/>
          <w:numId w:val="37"/>
        </w:numPr>
        <w:spacing w:line="276" w:lineRule="auto"/>
        <w:ind w:left="709"/>
        <w:rPr>
          <w:b/>
          <w:bCs/>
        </w:rPr>
      </w:pPr>
      <w:r w:rsidRPr="00897EE0">
        <w:rPr>
          <w:b/>
          <w:bCs/>
        </w:rPr>
        <w:t>The NIHRC recommends th</w:t>
      </w:r>
      <w:r w:rsidR="00897EE0" w:rsidRPr="00897EE0">
        <w:rPr>
          <w:b/>
          <w:bCs/>
        </w:rPr>
        <w:t xml:space="preserve">at public authorities should </w:t>
      </w:r>
      <w:r w:rsidR="005243C5">
        <w:rPr>
          <w:b/>
          <w:bCs/>
        </w:rPr>
        <w:t>be required</w:t>
      </w:r>
      <w:r w:rsidR="00897EE0" w:rsidRPr="00897EE0">
        <w:rPr>
          <w:b/>
          <w:bCs/>
        </w:rPr>
        <w:t xml:space="preserve"> to act in ways which promote and protect human rights</w:t>
      </w:r>
      <w:r w:rsidR="009435D5">
        <w:rPr>
          <w:b/>
          <w:bCs/>
        </w:rPr>
        <w:t xml:space="preserve"> for all</w:t>
      </w:r>
      <w:r w:rsidR="00897EE0" w:rsidRPr="00897EE0">
        <w:rPr>
          <w:b/>
          <w:bCs/>
        </w:rPr>
        <w:t xml:space="preserve">. </w:t>
      </w:r>
    </w:p>
    <w:p w14:paraId="69F839DE" w14:textId="77777777" w:rsidR="00247650" w:rsidRPr="00247650" w:rsidRDefault="00247650" w:rsidP="00247650">
      <w:pPr>
        <w:pStyle w:val="ListParagraph"/>
        <w:rPr>
          <w:b/>
          <w:bCs/>
        </w:rPr>
      </w:pPr>
    </w:p>
    <w:p w14:paraId="72D0F042" w14:textId="0A986916" w:rsidR="003D4BA5" w:rsidRDefault="003D4BA5" w:rsidP="008C17AA">
      <w:pPr>
        <w:pStyle w:val="ListParagraph"/>
        <w:numPr>
          <w:ilvl w:val="1"/>
          <w:numId w:val="37"/>
        </w:numPr>
        <w:spacing w:line="276" w:lineRule="auto"/>
        <w:ind w:left="709"/>
      </w:pPr>
      <w:r>
        <w:rPr>
          <w:b/>
          <w:bCs/>
        </w:rPr>
        <w:t xml:space="preserve">The NIHRC rejects the negative framing </w:t>
      </w:r>
      <w:r w:rsidR="00D60381">
        <w:rPr>
          <w:b/>
          <w:bCs/>
        </w:rPr>
        <w:t xml:space="preserve">presented in the proposals, particularly the divisive language and framing of certain groups of </w:t>
      </w:r>
      <w:r w:rsidR="000148C6">
        <w:rPr>
          <w:b/>
          <w:bCs/>
        </w:rPr>
        <w:t>rights holders as less entitled to rights</w:t>
      </w:r>
      <w:r w:rsidR="00C82709">
        <w:rPr>
          <w:b/>
          <w:bCs/>
        </w:rPr>
        <w:t xml:space="preserve"> protection</w:t>
      </w:r>
      <w:r w:rsidR="000148C6">
        <w:rPr>
          <w:b/>
          <w:bCs/>
        </w:rPr>
        <w:t xml:space="preserve">. </w:t>
      </w:r>
      <w:r w:rsidR="004C55A0">
        <w:rPr>
          <w:b/>
          <w:bCs/>
        </w:rPr>
        <w:t>The NIHRC recommends that thi</w:t>
      </w:r>
      <w:r w:rsidR="0005132A">
        <w:rPr>
          <w:b/>
          <w:bCs/>
        </w:rPr>
        <w:t>s</w:t>
      </w:r>
      <w:r w:rsidR="004C55A0">
        <w:rPr>
          <w:b/>
          <w:bCs/>
        </w:rPr>
        <w:t xml:space="preserve"> is revi</w:t>
      </w:r>
      <w:r w:rsidR="000918F2">
        <w:rPr>
          <w:b/>
          <w:bCs/>
        </w:rPr>
        <w:t>sed to ensure the universality of human rights is reflected</w:t>
      </w:r>
      <w:r w:rsidR="00820EE4">
        <w:rPr>
          <w:b/>
          <w:bCs/>
        </w:rPr>
        <w:t xml:space="preserve">, and to </w:t>
      </w:r>
      <w:r w:rsidR="00820EE4">
        <w:rPr>
          <w:b/>
          <w:bCs/>
        </w:rPr>
        <w:lastRenderedPageBreak/>
        <w:t>prevent the demonisation of particular groups based on their ethnicity or circumstances</w:t>
      </w:r>
      <w:r w:rsidR="009F772F">
        <w:rPr>
          <w:b/>
          <w:bCs/>
        </w:rPr>
        <w:t xml:space="preserve">. </w:t>
      </w:r>
    </w:p>
    <w:p w14:paraId="549E026C" w14:textId="77777777" w:rsidR="000E5DD5" w:rsidRDefault="000E5DD5" w:rsidP="000E5DD5">
      <w:pPr>
        <w:pStyle w:val="ListParagraph"/>
      </w:pPr>
    </w:p>
    <w:p w14:paraId="6B88C3BE" w14:textId="492A3C3E" w:rsidR="001E2F28" w:rsidRPr="001E2F28" w:rsidRDefault="000E5DD5" w:rsidP="008C17AA">
      <w:pPr>
        <w:pStyle w:val="ListParagraph"/>
        <w:numPr>
          <w:ilvl w:val="1"/>
          <w:numId w:val="37"/>
        </w:numPr>
        <w:spacing w:line="276" w:lineRule="auto"/>
        <w:ind w:left="709"/>
      </w:pPr>
      <w:r>
        <w:t xml:space="preserve">With specific reference </w:t>
      </w:r>
      <w:r w:rsidR="0052415D">
        <w:t>to N</w:t>
      </w:r>
      <w:r w:rsidR="00B50383">
        <w:t>I</w:t>
      </w:r>
      <w:r w:rsidR="0052415D">
        <w:t>, the consultation document and proposals f</w:t>
      </w:r>
      <w:r w:rsidR="00655A43">
        <w:t xml:space="preserve">ail to recognise </w:t>
      </w:r>
      <w:r w:rsidR="0052415D">
        <w:t xml:space="preserve">the </w:t>
      </w:r>
      <w:r w:rsidR="00655A43">
        <w:t>complexities of</w:t>
      </w:r>
      <w:r w:rsidR="0052415D">
        <w:t xml:space="preserve"> devolution and of </w:t>
      </w:r>
      <w:r w:rsidR="00DD6B68">
        <w:t>the history of conflict</w:t>
      </w:r>
      <w:r w:rsidR="0052415D">
        <w:t xml:space="preserve">. </w:t>
      </w:r>
      <w:r w:rsidR="00054248">
        <w:t>The consultation document refers to “</w:t>
      </w:r>
      <w:r w:rsidR="00C70AFA">
        <w:t>the UK’s tradition of upholding human rights</w:t>
      </w:r>
      <w:r w:rsidR="00054248">
        <w:t>”</w:t>
      </w:r>
      <w:r w:rsidR="00336CFA">
        <w:rPr>
          <w:rStyle w:val="FootnoteReference"/>
        </w:rPr>
        <w:footnoteReference w:id="21"/>
      </w:r>
      <w:r w:rsidR="00AF37B3">
        <w:t xml:space="preserve">, and the first chapter seeks to outline the legacy of rights in the UK. </w:t>
      </w:r>
      <w:r w:rsidR="009B13BD">
        <w:t>This fails to reflect how, i</w:t>
      </w:r>
      <w:r w:rsidR="00AF37B3">
        <w:t>n the case of N</w:t>
      </w:r>
      <w:r w:rsidR="00B50383">
        <w:t>I</w:t>
      </w:r>
      <w:r w:rsidR="00AF37B3">
        <w:t xml:space="preserve">, </w:t>
      </w:r>
      <w:r w:rsidR="00CB0505">
        <w:t xml:space="preserve">there is a complex history </w:t>
      </w:r>
      <w:r w:rsidR="009A0E36">
        <w:t>of human rights protections, in which international mechanisms have previously found violations</w:t>
      </w:r>
      <w:r w:rsidR="00CB0505">
        <w:t>.</w:t>
      </w:r>
      <w:r w:rsidR="00AE5C98">
        <w:rPr>
          <w:rStyle w:val="FootnoteReference"/>
        </w:rPr>
        <w:footnoteReference w:id="22"/>
      </w:r>
      <w:r w:rsidR="00C70AFA">
        <w:t xml:space="preserve"> </w:t>
      </w:r>
      <w:r w:rsidR="003309AA">
        <w:t xml:space="preserve">However, </w:t>
      </w:r>
      <w:r w:rsidR="00925480">
        <w:t xml:space="preserve">it is the view of the NIHRC that </w:t>
      </w:r>
      <w:r w:rsidR="003309AA">
        <w:t>t</w:t>
      </w:r>
      <w:r w:rsidR="003309AA" w:rsidRPr="003309AA">
        <w:t xml:space="preserve">he </w:t>
      </w:r>
      <w:r w:rsidR="00925480">
        <w:t>HRA</w:t>
      </w:r>
      <w:r w:rsidR="003309AA" w:rsidRPr="003309AA">
        <w:t xml:space="preserve"> has long </w:t>
      </w:r>
      <w:r w:rsidR="000020FD">
        <w:t xml:space="preserve">helped to </w:t>
      </w:r>
      <w:r w:rsidR="003309AA" w:rsidRPr="003309AA">
        <w:t>protect</w:t>
      </w:r>
      <w:r w:rsidR="000020FD">
        <w:t xml:space="preserve"> </w:t>
      </w:r>
      <w:r w:rsidR="003309AA" w:rsidRPr="003309AA">
        <w:t xml:space="preserve">the rights of all people in </w:t>
      </w:r>
      <w:r w:rsidR="009C3CCB">
        <w:t>N</w:t>
      </w:r>
      <w:r w:rsidR="00B50383">
        <w:t>I</w:t>
      </w:r>
      <w:r w:rsidR="00CC63B5" w:rsidRPr="003309AA">
        <w:t>,</w:t>
      </w:r>
      <w:r w:rsidR="003309AA" w:rsidRPr="003309AA">
        <w:t xml:space="preserve"> and it has done so in a way that is reasonable and balanced.</w:t>
      </w:r>
      <w:r w:rsidR="00044FDD" w:rsidRPr="0029612C">
        <w:rPr>
          <w:rFonts w:ascii="Poppins" w:hAnsi="Poppins" w:cs="Poppins"/>
          <w:color w:val="232120"/>
        </w:rPr>
        <w:t xml:space="preserve"> </w:t>
      </w:r>
      <w:r w:rsidR="004A5347">
        <w:rPr>
          <w:rFonts w:eastAsia="Verdana"/>
        </w:rPr>
        <w:t xml:space="preserve">We are also aware from engagement with our colleagues in Scotland that there are different yet equally worrying potentially adverse impacts for devolution in Scotland that have not been adequately considered in the consultation paper. </w:t>
      </w:r>
    </w:p>
    <w:p w14:paraId="78CA4189" w14:textId="77777777" w:rsidR="001E2F28" w:rsidRPr="001E2F28" w:rsidRDefault="001E2F28" w:rsidP="001E2F28">
      <w:pPr>
        <w:pStyle w:val="ListParagraph"/>
        <w:rPr>
          <w:rFonts w:ascii="Poppins" w:hAnsi="Poppins" w:cs="Poppins"/>
          <w:color w:val="232120"/>
        </w:rPr>
      </w:pPr>
    </w:p>
    <w:p w14:paraId="4CCFB92F" w14:textId="625BD5F2" w:rsidR="00B96CA7" w:rsidRDefault="00D9207B" w:rsidP="00D175C3">
      <w:pPr>
        <w:pStyle w:val="ListParagraph"/>
        <w:numPr>
          <w:ilvl w:val="1"/>
          <w:numId w:val="37"/>
        </w:numPr>
        <w:spacing w:line="276" w:lineRule="auto"/>
        <w:ind w:left="709"/>
      </w:pPr>
      <w:r>
        <w:t>We know that</w:t>
      </w:r>
      <w:r w:rsidR="00044FDD" w:rsidRPr="00044FDD">
        <w:t xml:space="preserve"> people </w:t>
      </w:r>
      <w:r w:rsidR="00044FDD">
        <w:t>in N</w:t>
      </w:r>
      <w:r w:rsidR="00B50383">
        <w:t>I</w:t>
      </w:r>
      <w:r w:rsidR="00044FDD">
        <w:t xml:space="preserve"> </w:t>
      </w:r>
      <w:r w:rsidR="00044FDD" w:rsidRPr="00044FDD">
        <w:t>want greater and more effective protection, not less.</w:t>
      </w:r>
      <w:r w:rsidR="001E2F28">
        <w:t xml:space="preserve"> </w:t>
      </w:r>
      <w:r w:rsidR="00BC6B45">
        <w:t>In 2021, the N</w:t>
      </w:r>
      <w:r w:rsidR="004F48E1">
        <w:t>I</w:t>
      </w:r>
      <w:r w:rsidR="00BC6B45">
        <w:t xml:space="preserve"> Assembly Ad Hoc Committee on a Bill of Rights </w:t>
      </w:r>
      <w:r w:rsidR="001647E4">
        <w:t>published research which found that only 30</w:t>
      </w:r>
      <w:r w:rsidR="004F48E1">
        <w:t xml:space="preserve"> per cent</w:t>
      </w:r>
      <w:r w:rsidR="001647E4">
        <w:t xml:space="preserve"> agreed with the statement that everyone in N</w:t>
      </w:r>
      <w:r w:rsidR="004F48E1">
        <w:t>I</w:t>
      </w:r>
      <w:r w:rsidR="001647E4">
        <w:t xml:space="preserve"> today enjoys the same basic human rights.</w:t>
      </w:r>
      <w:r w:rsidR="00131E2A">
        <w:rPr>
          <w:rStyle w:val="FootnoteReference"/>
        </w:rPr>
        <w:footnoteReference w:id="23"/>
      </w:r>
      <w:r w:rsidR="001647E4">
        <w:t xml:space="preserve"> </w:t>
      </w:r>
      <w:r w:rsidR="00746034">
        <w:t>The research found that the existence of inequality (including inequality of access) and discrimination</w:t>
      </w:r>
      <w:r w:rsidR="00234E3D">
        <w:t xml:space="preserve"> was the main reason for not agreeing with the statement; </w:t>
      </w:r>
      <w:r w:rsidR="00131E2A">
        <w:t>respondents identified d</w:t>
      </w:r>
      <w:r w:rsidR="00025362">
        <w:t xml:space="preserve">isability, age, religion, cultural background and ethnic group </w:t>
      </w:r>
      <w:r w:rsidR="00131E2A">
        <w:t>a</w:t>
      </w:r>
      <w:r w:rsidR="00025362">
        <w:t xml:space="preserve">s the top five areas </w:t>
      </w:r>
      <w:r w:rsidR="00131E2A">
        <w:t>which need</w:t>
      </w:r>
      <w:r w:rsidR="00025362">
        <w:t xml:space="preserve"> further</w:t>
      </w:r>
      <w:r w:rsidR="00131E2A">
        <w:t xml:space="preserve"> human rights</w:t>
      </w:r>
      <w:r w:rsidR="00025362">
        <w:t xml:space="preserve"> protection.</w:t>
      </w:r>
      <w:r w:rsidR="00741040">
        <w:rPr>
          <w:rStyle w:val="FootnoteReference"/>
        </w:rPr>
        <w:footnoteReference w:id="24"/>
      </w:r>
    </w:p>
    <w:p w14:paraId="20349B69" w14:textId="77777777" w:rsidR="005D6107" w:rsidRDefault="005D6107" w:rsidP="00385D40">
      <w:pPr>
        <w:pStyle w:val="ListParagraph"/>
      </w:pPr>
    </w:p>
    <w:p w14:paraId="580012A5" w14:textId="366B150F" w:rsidR="000020FD" w:rsidRDefault="005D6107" w:rsidP="00D175C3">
      <w:pPr>
        <w:pStyle w:val="ListParagraph"/>
        <w:numPr>
          <w:ilvl w:val="1"/>
          <w:numId w:val="37"/>
        </w:numPr>
        <w:spacing w:line="276" w:lineRule="auto"/>
        <w:ind w:left="709"/>
      </w:pPr>
      <w:r>
        <w:t xml:space="preserve">Research carried out </w:t>
      </w:r>
      <w:r w:rsidR="001B130A">
        <w:t xml:space="preserve">in 2017 </w:t>
      </w:r>
      <w:r>
        <w:t xml:space="preserve">by the Human Rights </w:t>
      </w:r>
      <w:r w:rsidR="003D67E0">
        <w:t>Consortium</w:t>
      </w:r>
      <w:r>
        <w:t xml:space="preserve"> on attitudes to </w:t>
      </w:r>
      <w:r w:rsidR="001B130A">
        <w:t xml:space="preserve">human rights in </w:t>
      </w:r>
      <w:r w:rsidR="00FA63DF">
        <w:t>N</w:t>
      </w:r>
      <w:r w:rsidR="004F48E1">
        <w:t>I</w:t>
      </w:r>
      <w:r w:rsidR="00FA63DF">
        <w:t xml:space="preserve"> found </w:t>
      </w:r>
      <w:r w:rsidR="00024CA9">
        <w:t xml:space="preserve">an “overwhelmingly positive” response, </w:t>
      </w:r>
      <w:r w:rsidR="00DB5C96">
        <w:t>with 84 of respondents indicating that they felt protecting human rights in N</w:t>
      </w:r>
      <w:r w:rsidR="004F48E1">
        <w:t>I</w:t>
      </w:r>
      <w:r w:rsidR="00DB5C96">
        <w:t xml:space="preserve"> was a positive thing.</w:t>
      </w:r>
      <w:r w:rsidR="001E1AFF">
        <w:rPr>
          <w:rStyle w:val="FootnoteReference"/>
        </w:rPr>
        <w:footnoteReference w:id="25"/>
      </w:r>
      <w:r w:rsidR="00DB5C96">
        <w:t xml:space="preserve"> </w:t>
      </w:r>
      <w:r w:rsidR="00FB0101">
        <w:t>Similarly, when asked whether the H</w:t>
      </w:r>
      <w:r w:rsidR="004F48E1">
        <w:t>RA</w:t>
      </w:r>
      <w:r w:rsidR="00FB0101">
        <w:t xml:space="preserve"> was good or bad for N</w:t>
      </w:r>
      <w:r w:rsidR="004F48E1">
        <w:t>I</w:t>
      </w:r>
      <w:r w:rsidR="00FB0101">
        <w:t xml:space="preserve">, the respondents were highly supportive, </w:t>
      </w:r>
      <w:r w:rsidR="001B7C65">
        <w:t>with</w:t>
      </w:r>
      <w:r w:rsidR="00FB0101">
        <w:t xml:space="preserve"> 84</w:t>
      </w:r>
      <w:r w:rsidR="004F48E1">
        <w:t xml:space="preserve"> per cent</w:t>
      </w:r>
      <w:r w:rsidR="00FB0101">
        <w:t xml:space="preserve"> </w:t>
      </w:r>
      <w:r w:rsidR="001E1AFF">
        <w:t>providing a positive response</w:t>
      </w:r>
      <w:r w:rsidR="00FB0101">
        <w:t>.</w:t>
      </w:r>
      <w:r w:rsidR="0079108A">
        <w:rPr>
          <w:rStyle w:val="FootnoteReference"/>
        </w:rPr>
        <w:footnoteReference w:id="26"/>
      </w:r>
      <w:r w:rsidR="004D6EEE">
        <w:t xml:space="preserve"> The research found that “human rights unite Northern Ireland rather </w:t>
      </w:r>
      <w:r w:rsidR="004D6EEE">
        <w:lastRenderedPageBreak/>
        <w:t>than divide it”</w:t>
      </w:r>
      <w:r w:rsidR="00D760ED">
        <w:t xml:space="preserve">: across </w:t>
      </w:r>
      <w:r w:rsidR="001C74B7">
        <w:t>demographics</w:t>
      </w:r>
      <w:r w:rsidR="00BC33B2">
        <w:t xml:space="preserve"> and communities</w:t>
      </w:r>
      <w:r w:rsidR="001C74B7">
        <w:t xml:space="preserve">, there was a clear message of support for human rights, for </w:t>
      </w:r>
      <w:r w:rsidR="006A6582">
        <w:t>laws that uphold international human rights standards</w:t>
      </w:r>
      <w:r w:rsidR="005E3923">
        <w:t>, and for the universality and equal application of human rights.</w:t>
      </w:r>
      <w:r w:rsidR="00361E55">
        <w:rPr>
          <w:rStyle w:val="FootnoteReference"/>
        </w:rPr>
        <w:footnoteReference w:id="27"/>
      </w:r>
      <w:r w:rsidR="005E3923">
        <w:t xml:space="preserve"> </w:t>
      </w:r>
      <w:r w:rsidR="003D67E0">
        <w:t xml:space="preserve">More recently, polling data from the Human Rights Consortium on a Bill of Rights for Northern Ireland found </w:t>
      </w:r>
      <w:r w:rsidR="004C022F">
        <w:t xml:space="preserve">that the public wants stronger human rights protections following </w:t>
      </w:r>
      <w:r w:rsidR="005F6A02">
        <w:t>the experience of the Covid-19 pandemic.</w:t>
      </w:r>
      <w:r w:rsidR="005F6A02">
        <w:rPr>
          <w:rStyle w:val="FootnoteReference"/>
        </w:rPr>
        <w:footnoteReference w:id="28"/>
      </w:r>
      <w:r w:rsidR="005F6A02">
        <w:t xml:space="preserve"> </w:t>
      </w:r>
    </w:p>
    <w:p w14:paraId="5EEDBB0C" w14:textId="77777777" w:rsidR="00272818" w:rsidRDefault="00272818" w:rsidP="008C17AA">
      <w:pPr>
        <w:spacing w:line="276" w:lineRule="auto"/>
      </w:pPr>
    </w:p>
    <w:p w14:paraId="15D8243A" w14:textId="6D2E3F88" w:rsidR="000020FD" w:rsidRPr="00044FDD" w:rsidRDefault="000020FD" w:rsidP="00D175C3">
      <w:pPr>
        <w:pStyle w:val="ListParagraph"/>
        <w:numPr>
          <w:ilvl w:val="1"/>
          <w:numId w:val="37"/>
        </w:numPr>
        <w:spacing w:line="276" w:lineRule="auto"/>
        <w:ind w:left="709"/>
      </w:pPr>
      <w:r>
        <w:rPr>
          <w:b/>
          <w:bCs/>
        </w:rPr>
        <w:t xml:space="preserve">The NIHRC recommends that </w:t>
      </w:r>
      <w:r w:rsidR="00DB6AAC">
        <w:rPr>
          <w:b/>
          <w:bCs/>
        </w:rPr>
        <w:t xml:space="preserve">protection of </w:t>
      </w:r>
      <w:r>
        <w:rPr>
          <w:b/>
          <w:bCs/>
        </w:rPr>
        <w:t>rights</w:t>
      </w:r>
      <w:r w:rsidR="00DB6AAC">
        <w:rPr>
          <w:b/>
          <w:bCs/>
        </w:rPr>
        <w:t xml:space="preserve"> </w:t>
      </w:r>
      <w:r w:rsidR="004F48E1">
        <w:rPr>
          <w:b/>
          <w:bCs/>
        </w:rPr>
        <w:t>in Northern Ireland</w:t>
      </w:r>
      <w:r w:rsidR="00DB6AAC">
        <w:rPr>
          <w:b/>
          <w:bCs/>
        </w:rPr>
        <w:t xml:space="preserve"> is </w:t>
      </w:r>
      <w:r w:rsidR="00BA4645">
        <w:rPr>
          <w:b/>
          <w:bCs/>
        </w:rPr>
        <w:t>stre</w:t>
      </w:r>
      <w:r w:rsidR="00C80284">
        <w:rPr>
          <w:b/>
          <w:bCs/>
        </w:rPr>
        <w:t>ngthened</w:t>
      </w:r>
      <w:r>
        <w:rPr>
          <w:b/>
          <w:bCs/>
        </w:rPr>
        <w:t xml:space="preserve">, not lessened. </w:t>
      </w:r>
    </w:p>
    <w:p w14:paraId="1FF28835" w14:textId="77777777" w:rsidR="00CB0505" w:rsidRDefault="00CB0505" w:rsidP="00CB0505">
      <w:pPr>
        <w:pStyle w:val="ListParagraph"/>
      </w:pPr>
    </w:p>
    <w:p w14:paraId="36602981" w14:textId="2CA272BE" w:rsidR="004C7FBD" w:rsidRDefault="004C7FBD" w:rsidP="00D175C3">
      <w:pPr>
        <w:pStyle w:val="ListParagraph"/>
        <w:numPr>
          <w:ilvl w:val="1"/>
          <w:numId w:val="37"/>
        </w:numPr>
        <w:spacing w:line="276" w:lineRule="auto"/>
        <w:ind w:left="709"/>
      </w:pPr>
      <w:r>
        <w:t>For these reasons this response will not engage with the specific proposals, which we believe to be without merit</w:t>
      </w:r>
      <w:r w:rsidR="009862BA">
        <w:t xml:space="preserve">, and instead will </w:t>
      </w:r>
      <w:r w:rsidR="00DD6B68">
        <w:t xml:space="preserve">focus on </w:t>
      </w:r>
      <w:r w:rsidR="009862BA">
        <w:t xml:space="preserve">the specific Northern Ireland context which the Government has so far failed to consider. </w:t>
      </w:r>
      <w:r w:rsidR="00F307E7">
        <w:t>Should the UK Government choose to proceed with reform, the NIHRC will provide further detailed advice on substantive proposals, if and when they are produced.</w:t>
      </w:r>
    </w:p>
    <w:p w14:paraId="222501F2" w14:textId="77777777" w:rsidR="00BD3DDF" w:rsidRDefault="005174A0" w:rsidP="008C17AA">
      <w:pPr>
        <w:pStyle w:val="Heading1"/>
        <w:numPr>
          <w:ilvl w:val="0"/>
          <w:numId w:val="37"/>
        </w:numPr>
        <w:spacing w:line="276" w:lineRule="auto"/>
      </w:pPr>
      <w:bookmarkStart w:id="3" w:name="_Toc97636606"/>
      <w:r>
        <w:t xml:space="preserve">The </w:t>
      </w:r>
      <w:r w:rsidR="00141D5F">
        <w:t>Northern Ireland Context</w:t>
      </w:r>
      <w:bookmarkEnd w:id="3"/>
    </w:p>
    <w:p w14:paraId="00C870B8" w14:textId="77777777" w:rsidR="00BD3DDF" w:rsidRDefault="00BD3DDF" w:rsidP="00A2361E">
      <w:pPr>
        <w:spacing w:line="276" w:lineRule="auto"/>
      </w:pPr>
    </w:p>
    <w:p w14:paraId="2498E11E" w14:textId="0DC35181" w:rsidR="0051360A" w:rsidRPr="00CE03CE" w:rsidRDefault="00433C90" w:rsidP="008C17AA">
      <w:pPr>
        <w:pStyle w:val="ListParagraph"/>
        <w:numPr>
          <w:ilvl w:val="1"/>
          <w:numId w:val="37"/>
        </w:numPr>
        <w:spacing w:after="186" w:line="276" w:lineRule="auto"/>
        <w:ind w:left="720"/>
        <w:rPr>
          <w:rFonts w:eastAsia="Times New Roman" w:cs="Verdana"/>
          <w:b/>
          <w:bCs/>
          <w:color w:val="000000"/>
          <w:szCs w:val="22"/>
          <w:lang w:eastAsia="en-GB"/>
        </w:rPr>
      </w:pPr>
      <w:r>
        <w:rPr>
          <w:rFonts w:eastAsia="Verdana"/>
        </w:rPr>
        <w:t xml:space="preserve">The </w:t>
      </w:r>
      <w:r w:rsidR="0055403F">
        <w:rPr>
          <w:rFonts w:eastAsia="Verdana"/>
        </w:rPr>
        <w:t xml:space="preserve">consultation document fails to reflect the complexities of </w:t>
      </w:r>
      <w:r w:rsidR="00FE2DBC">
        <w:rPr>
          <w:rFonts w:eastAsia="Verdana"/>
        </w:rPr>
        <w:t xml:space="preserve">devolution </w:t>
      </w:r>
      <w:r w:rsidR="00013F00">
        <w:rPr>
          <w:rFonts w:eastAsia="Verdana"/>
        </w:rPr>
        <w:t xml:space="preserve">in </w:t>
      </w:r>
      <w:r w:rsidR="004F48E1">
        <w:rPr>
          <w:rFonts w:eastAsia="Verdana"/>
        </w:rPr>
        <w:t>NI</w:t>
      </w:r>
      <w:r w:rsidR="0055403F">
        <w:rPr>
          <w:rFonts w:eastAsia="Verdana"/>
        </w:rPr>
        <w:t xml:space="preserve">, </w:t>
      </w:r>
      <w:r w:rsidR="002D4451">
        <w:rPr>
          <w:rFonts w:eastAsia="Verdana"/>
        </w:rPr>
        <w:t>the Belfast (Good Friday) Agreement</w:t>
      </w:r>
      <w:r w:rsidR="005C2720">
        <w:rPr>
          <w:rFonts w:eastAsia="Verdana"/>
        </w:rPr>
        <w:t xml:space="preserve"> 1998</w:t>
      </w:r>
      <w:r w:rsidR="002D4451">
        <w:rPr>
          <w:rFonts w:eastAsia="Verdana"/>
        </w:rPr>
        <w:t xml:space="preserve">, </w:t>
      </w:r>
      <w:r w:rsidR="0055403F">
        <w:rPr>
          <w:rFonts w:eastAsia="Verdana"/>
        </w:rPr>
        <w:t xml:space="preserve">and the </w:t>
      </w:r>
      <w:r w:rsidR="002D4451">
        <w:rPr>
          <w:rFonts w:eastAsia="Verdana"/>
        </w:rPr>
        <w:t>integral role of the</w:t>
      </w:r>
      <w:r w:rsidR="000A56CD">
        <w:rPr>
          <w:rFonts w:eastAsia="Verdana"/>
        </w:rPr>
        <w:t xml:space="preserve"> </w:t>
      </w:r>
      <w:r w:rsidR="00CE03CE">
        <w:rPr>
          <w:rFonts w:eastAsia="Verdana"/>
        </w:rPr>
        <w:t>ECHR and HRA</w:t>
      </w:r>
      <w:r w:rsidR="00371260">
        <w:rPr>
          <w:rFonts w:eastAsia="Verdana"/>
        </w:rPr>
        <w:t xml:space="preserve"> in these</w:t>
      </w:r>
      <w:r w:rsidR="00CE03CE">
        <w:rPr>
          <w:rFonts w:eastAsia="Verdana"/>
        </w:rPr>
        <w:t>.</w:t>
      </w:r>
      <w:r w:rsidR="00C31A59">
        <w:rPr>
          <w:rFonts w:eastAsia="Verdana"/>
        </w:rPr>
        <w:t xml:space="preserve"> </w:t>
      </w:r>
      <w:r w:rsidR="00A6697D">
        <w:rPr>
          <w:rFonts w:eastAsia="Verdana"/>
        </w:rPr>
        <w:t xml:space="preserve">The differing </w:t>
      </w:r>
      <w:r w:rsidR="00B64D2E">
        <w:rPr>
          <w:rFonts w:eastAsia="Verdana"/>
        </w:rPr>
        <w:t xml:space="preserve">legal and political, as well as historical, contexts of devolution </w:t>
      </w:r>
      <w:r w:rsidR="00013F00">
        <w:rPr>
          <w:rFonts w:eastAsia="Verdana"/>
        </w:rPr>
        <w:t xml:space="preserve">across the </w:t>
      </w:r>
      <w:r w:rsidR="004F48E1">
        <w:rPr>
          <w:rFonts w:eastAsia="Verdana"/>
        </w:rPr>
        <w:t>UK</w:t>
      </w:r>
      <w:r w:rsidR="00013F00">
        <w:rPr>
          <w:rFonts w:eastAsia="Verdana"/>
        </w:rPr>
        <w:t xml:space="preserve"> </w:t>
      </w:r>
      <w:r w:rsidR="00A371ED">
        <w:rPr>
          <w:rFonts w:eastAsia="Verdana"/>
        </w:rPr>
        <w:t>do not appear to be</w:t>
      </w:r>
      <w:r w:rsidR="00B64D2E">
        <w:rPr>
          <w:rFonts w:eastAsia="Verdana"/>
        </w:rPr>
        <w:t xml:space="preserve"> considered </w:t>
      </w:r>
      <w:r w:rsidR="00A371ED">
        <w:rPr>
          <w:rFonts w:eastAsia="Verdana"/>
        </w:rPr>
        <w:t>adequately</w:t>
      </w:r>
      <w:r w:rsidR="00B64D2E">
        <w:rPr>
          <w:rFonts w:eastAsia="Verdana"/>
        </w:rPr>
        <w:t xml:space="preserve">, and </w:t>
      </w:r>
      <w:r w:rsidR="007762F3">
        <w:rPr>
          <w:rFonts w:eastAsia="Verdana"/>
        </w:rPr>
        <w:t xml:space="preserve">the consultation questionnaire attempts to cover this with one question (question 19). </w:t>
      </w:r>
      <w:r w:rsidR="00B5426D">
        <w:rPr>
          <w:rFonts w:eastAsia="Verdana"/>
        </w:rPr>
        <w:t xml:space="preserve">Given the potential for the proposed reform to severely impact rights within </w:t>
      </w:r>
      <w:r w:rsidR="004F48E1">
        <w:rPr>
          <w:rFonts w:eastAsia="Verdana"/>
        </w:rPr>
        <w:t>NI</w:t>
      </w:r>
      <w:r w:rsidR="00B5426D">
        <w:rPr>
          <w:rFonts w:eastAsia="Verdana"/>
        </w:rPr>
        <w:t xml:space="preserve">, this </w:t>
      </w:r>
      <w:r w:rsidR="002E3FCD">
        <w:rPr>
          <w:rFonts w:eastAsia="Verdana"/>
        </w:rPr>
        <w:t xml:space="preserve">lack of regard </w:t>
      </w:r>
      <w:r w:rsidR="00B5426D">
        <w:rPr>
          <w:rFonts w:eastAsia="Verdana"/>
        </w:rPr>
        <w:t xml:space="preserve">is </w:t>
      </w:r>
      <w:r w:rsidR="002E3FCD">
        <w:rPr>
          <w:rFonts w:eastAsia="Verdana"/>
        </w:rPr>
        <w:t>hugely concerning.</w:t>
      </w:r>
      <w:r w:rsidR="002811AB">
        <w:rPr>
          <w:rFonts w:eastAsia="Verdana"/>
        </w:rPr>
        <w:t xml:space="preserve"> </w:t>
      </w:r>
    </w:p>
    <w:p w14:paraId="1800FE10" w14:textId="77777777" w:rsidR="00CE03CE" w:rsidRPr="00CE03CE" w:rsidRDefault="00CE03CE" w:rsidP="008C17AA">
      <w:pPr>
        <w:pStyle w:val="ListParagraph"/>
        <w:spacing w:after="186" w:line="276" w:lineRule="auto"/>
        <w:ind w:hanging="720"/>
        <w:rPr>
          <w:rFonts w:eastAsia="Times New Roman" w:cs="Verdana"/>
          <w:b/>
          <w:bCs/>
          <w:color w:val="000000"/>
          <w:szCs w:val="22"/>
          <w:lang w:eastAsia="en-GB"/>
        </w:rPr>
      </w:pPr>
    </w:p>
    <w:p w14:paraId="791F79B3" w14:textId="7AA30AA2" w:rsidR="0041741C" w:rsidRPr="0041741C" w:rsidRDefault="00D272FC" w:rsidP="008C17AA">
      <w:pPr>
        <w:pStyle w:val="ListParagraph"/>
        <w:numPr>
          <w:ilvl w:val="1"/>
          <w:numId w:val="37"/>
        </w:numPr>
        <w:spacing w:after="186" w:line="276" w:lineRule="auto"/>
        <w:ind w:left="720"/>
        <w:rPr>
          <w:rFonts w:eastAsia="Verdana"/>
        </w:rPr>
      </w:pPr>
      <w:r w:rsidRPr="00D272FC">
        <w:rPr>
          <w:rFonts w:eastAsia="Verdana"/>
        </w:rPr>
        <w:t xml:space="preserve">The </w:t>
      </w:r>
      <w:r w:rsidR="009254D5">
        <w:rPr>
          <w:rFonts w:eastAsia="Verdana"/>
        </w:rPr>
        <w:t>Belfast (Good Friday) Agreement</w:t>
      </w:r>
      <w:r w:rsidRPr="00D272FC">
        <w:rPr>
          <w:rFonts w:eastAsia="Verdana"/>
        </w:rPr>
        <w:t xml:space="preserve"> created a duty on the UK Government to incorporate the ECHR into N</w:t>
      </w:r>
      <w:r w:rsidR="004F48E1">
        <w:rPr>
          <w:rFonts w:eastAsia="Verdana"/>
        </w:rPr>
        <w:t>I</w:t>
      </w:r>
      <w:r w:rsidRPr="00D272FC">
        <w:rPr>
          <w:rFonts w:eastAsia="Verdana"/>
        </w:rPr>
        <w:t xml:space="preserve"> law “with direct access to the courts, and remedies for breach of the Convention, including power for the courts to overrule Assembly legislation on grounds of inconsistency”.</w:t>
      </w:r>
      <w:r w:rsidR="005C2720">
        <w:rPr>
          <w:rStyle w:val="FootnoteReference"/>
          <w:rFonts w:eastAsia="Verdana"/>
        </w:rPr>
        <w:footnoteReference w:id="29"/>
      </w:r>
      <w:r w:rsidRPr="00D272FC">
        <w:rPr>
          <w:rFonts w:eastAsia="Verdana"/>
        </w:rPr>
        <w:t xml:space="preserve"> This incorporation was achieved through the HRA. Comparable protection for human rights was committed to by the Government of Ireland and given effect through the ECHR Act 2003.</w:t>
      </w:r>
      <w:r w:rsidR="00C62314">
        <w:rPr>
          <w:rFonts w:eastAsia="Verdana"/>
        </w:rPr>
        <w:t xml:space="preserve"> </w:t>
      </w:r>
      <w:r w:rsidR="00C06CE6">
        <w:rPr>
          <w:rFonts w:eastAsia="Verdana"/>
        </w:rPr>
        <w:t xml:space="preserve">The </w:t>
      </w:r>
      <w:r w:rsidR="009254D5">
        <w:rPr>
          <w:rFonts w:eastAsia="Verdana"/>
        </w:rPr>
        <w:t>Belfast (Good Friday) Agreement</w:t>
      </w:r>
      <w:r w:rsidR="00C06CE6">
        <w:rPr>
          <w:rFonts w:eastAsia="Verdana"/>
        </w:rPr>
        <w:t xml:space="preserve"> </w:t>
      </w:r>
      <w:r w:rsidR="00C06CE6">
        <w:t xml:space="preserve">notes compliance with the </w:t>
      </w:r>
      <w:r w:rsidR="00A371ED">
        <w:t xml:space="preserve">ECHR </w:t>
      </w:r>
      <w:r w:rsidR="00C06CE6">
        <w:t>is a ‘safeguard’ for the peace process in N</w:t>
      </w:r>
      <w:r w:rsidR="004F48E1">
        <w:t>I:</w:t>
      </w:r>
      <w:r w:rsidR="00C06CE6">
        <w:t xml:space="preserve"> </w:t>
      </w:r>
    </w:p>
    <w:p w14:paraId="478CADF8" w14:textId="77777777" w:rsidR="0041741C" w:rsidRDefault="0041741C" w:rsidP="00EB6829">
      <w:pPr>
        <w:pStyle w:val="ListParagraph"/>
        <w:ind w:hanging="720"/>
      </w:pPr>
    </w:p>
    <w:p w14:paraId="7AFACE8B" w14:textId="4310CDD1" w:rsidR="00267FBD" w:rsidRDefault="0041741C" w:rsidP="008C17AA">
      <w:pPr>
        <w:pStyle w:val="ListParagraph"/>
        <w:spacing w:after="186" w:line="276" w:lineRule="auto"/>
        <w:ind w:left="1418" w:right="75"/>
      </w:pPr>
      <w:r>
        <w:t xml:space="preserve">There will be safeguards to ensure that all sections of the community can participate and work together successfully in the operation of these institutions and that all sections of the community are protected, including: </w:t>
      </w:r>
      <w:r w:rsidR="00267FBD">
        <w:t xml:space="preserve">… </w:t>
      </w:r>
    </w:p>
    <w:p w14:paraId="02D2A755" w14:textId="77777777" w:rsidR="00267FBD" w:rsidRDefault="00267FBD" w:rsidP="008C17AA">
      <w:pPr>
        <w:pStyle w:val="ListParagraph"/>
        <w:spacing w:after="186" w:line="276" w:lineRule="auto"/>
        <w:ind w:left="1418" w:right="75"/>
      </w:pPr>
    </w:p>
    <w:p w14:paraId="666A0CAB" w14:textId="77777777" w:rsidR="00267FBD" w:rsidRDefault="0041741C" w:rsidP="008C17AA">
      <w:pPr>
        <w:pStyle w:val="ListParagraph"/>
        <w:spacing w:after="186" w:line="276" w:lineRule="auto"/>
        <w:ind w:left="1418" w:right="75"/>
      </w:pPr>
      <w:r>
        <w:t xml:space="preserve">(b) the European Convention on Human Rights (ECHR) and any Bill of Rights for Northern Ireland supplementing it, which neither the Assembly nor public bodies can infringe, together with a Human Rights Commission; </w:t>
      </w:r>
    </w:p>
    <w:p w14:paraId="0D74DD16" w14:textId="77777777" w:rsidR="00267FBD" w:rsidRDefault="00267FBD" w:rsidP="008C17AA">
      <w:pPr>
        <w:pStyle w:val="ListParagraph"/>
        <w:spacing w:after="186" w:line="276" w:lineRule="auto"/>
        <w:ind w:left="1418" w:right="75"/>
      </w:pPr>
    </w:p>
    <w:p w14:paraId="57523AC1" w14:textId="43DA3045" w:rsidR="0041741C" w:rsidRPr="00DD18C4" w:rsidRDefault="0041741C" w:rsidP="008C17AA">
      <w:pPr>
        <w:pStyle w:val="ListParagraph"/>
        <w:spacing w:after="186" w:line="276" w:lineRule="auto"/>
        <w:ind w:left="1418" w:right="75"/>
        <w:rPr>
          <w:rFonts w:eastAsia="Verdana"/>
        </w:rPr>
      </w:pPr>
      <w:r>
        <w:t>(c) arrangements to provide that key decisions and legislation are proofed to ensure that they do not infringe the ECHR and any Bill of Rights for Northern Ireland;</w:t>
      </w:r>
      <w:r w:rsidR="00267FBD">
        <w:t xml:space="preserve"> …</w:t>
      </w:r>
      <w:r w:rsidR="00DD18C4">
        <w:rPr>
          <w:rStyle w:val="FootnoteReference"/>
        </w:rPr>
        <w:footnoteReference w:id="30"/>
      </w:r>
    </w:p>
    <w:p w14:paraId="08A4ECF0" w14:textId="77777777" w:rsidR="0041741C" w:rsidRDefault="0041741C" w:rsidP="00EB6829">
      <w:pPr>
        <w:pStyle w:val="ListParagraph"/>
        <w:ind w:hanging="720"/>
      </w:pPr>
    </w:p>
    <w:p w14:paraId="3A22591A" w14:textId="57402B97" w:rsidR="00CE03CE" w:rsidRDefault="00C62314" w:rsidP="008C17AA">
      <w:pPr>
        <w:pStyle w:val="ListParagraph"/>
        <w:numPr>
          <w:ilvl w:val="1"/>
          <w:numId w:val="37"/>
        </w:numPr>
        <w:spacing w:after="186" w:line="276" w:lineRule="auto"/>
        <w:ind w:left="720"/>
        <w:rPr>
          <w:rFonts w:eastAsia="Verdana"/>
        </w:rPr>
      </w:pPr>
      <w:r>
        <w:rPr>
          <w:rFonts w:eastAsia="Verdana"/>
        </w:rPr>
        <w:t>The HRA therefore has a</w:t>
      </w:r>
      <w:r w:rsidR="00846086">
        <w:rPr>
          <w:rFonts w:eastAsia="Verdana"/>
        </w:rPr>
        <w:t>n enhanced</w:t>
      </w:r>
      <w:r>
        <w:rPr>
          <w:rFonts w:eastAsia="Verdana"/>
        </w:rPr>
        <w:t xml:space="preserve"> </w:t>
      </w:r>
      <w:r w:rsidR="00846086">
        <w:rPr>
          <w:rFonts w:eastAsia="Verdana"/>
        </w:rPr>
        <w:t xml:space="preserve">constitutional function and </w:t>
      </w:r>
      <w:r w:rsidR="004478D7">
        <w:rPr>
          <w:rFonts w:eastAsia="Verdana"/>
        </w:rPr>
        <w:t xml:space="preserve">heightened </w:t>
      </w:r>
      <w:r w:rsidR="00846086">
        <w:rPr>
          <w:rFonts w:eastAsia="Verdana"/>
        </w:rPr>
        <w:t>role unique to N</w:t>
      </w:r>
      <w:r w:rsidR="004F48E1">
        <w:rPr>
          <w:rFonts w:eastAsia="Verdana"/>
        </w:rPr>
        <w:t>I</w:t>
      </w:r>
      <w:r w:rsidR="00846086">
        <w:rPr>
          <w:rFonts w:eastAsia="Verdana"/>
        </w:rPr>
        <w:t xml:space="preserve">. </w:t>
      </w:r>
    </w:p>
    <w:p w14:paraId="52C110D6" w14:textId="77777777" w:rsidR="001E6E06" w:rsidRPr="001E6E06" w:rsidRDefault="001E6E06" w:rsidP="00EB6829">
      <w:pPr>
        <w:pStyle w:val="ListParagraph"/>
        <w:ind w:hanging="720"/>
        <w:rPr>
          <w:rFonts w:eastAsia="Verdana"/>
        </w:rPr>
      </w:pPr>
    </w:p>
    <w:p w14:paraId="236321D0" w14:textId="1943B31A" w:rsidR="00EF78D7" w:rsidRPr="00CD7939" w:rsidRDefault="00012FBE" w:rsidP="008C17AA">
      <w:pPr>
        <w:pStyle w:val="ListParagraph"/>
        <w:numPr>
          <w:ilvl w:val="1"/>
          <w:numId w:val="37"/>
        </w:numPr>
        <w:spacing w:after="186" w:line="276" w:lineRule="auto"/>
        <w:ind w:left="720"/>
        <w:rPr>
          <w:rFonts w:eastAsia="Verdana"/>
          <w:b/>
        </w:rPr>
      </w:pPr>
      <w:r w:rsidRPr="00BE5665">
        <w:rPr>
          <w:rFonts w:eastAsia="Verdana"/>
        </w:rPr>
        <w:t xml:space="preserve">The Northern Ireland Act 1998 (NIA) incorporates the commitments of the </w:t>
      </w:r>
      <w:r w:rsidR="009254D5">
        <w:rPr>
          <w:rFonts w:eastAsia="Verdana"/>
        </w:rPr>
        <w:t>Belfast (Good Friday) Agreement</w:t>
      </w:r>
      <w:r w:rsidRPr="00BE5665">
        <w:rPr>
          <w:rFonts w:eastAsia="Verdana"/>
        </w:rPr>
        <w:t xml:space="preserve"> into domestic law and legislates for devolution in NI. The ECHR is embedded into the NIA, in keeping with commitments made under the </w:t>
      </w:r>
      <w:r w:rsidR="009254D5">
        <w:rPr>
          <w:rFonts w:eastAsia="Verdana"/>
        </w:rPr>
        <w:t>Belfast (Good Friday) Agreement</w:t>
      </w:r>
      <w:r w:rsidRPr="00BE5665">
        <w:rPr>
          <w:rFonts w:eastAsia="Verdana"/>
        </w:rPr>
        <w:t>.</w:t>
      </w:r>
      <w:r w:rsidR="00952A89">
        <w:rPr>
          <w:rStyle w:val="FootnoteReference"/>
          <w:rFonts w:eastAsia="Verdana"/>
        </w:rPr>
        <w:footnoteReference w:id="31"/>
      </w:r>
      <w:r w:rsidRPr="00BE5665">
        <w:rPr>
          <w:rFonts w:eastAsia="Verdana"/>
        </w:rPr>
        <w:t xml:space="preserve"> For example, sections 6 and 24 of the NIA require compatibility with Convention rights.</w:t>
      </w:r>
      <w:r w:rsidR="00952A89">
        <w:rPr>
          <w:rStyle w:val="FootnoteReference"/>
          <w:rFonts w:eastAsia="Verdana"/>
        </w:rPr>
        <w:footnoteReference w:id="32"/>
      </w:r>
      <w:r w:rsidRPr="00BE5665">
        <w:rPr>
          <w:rFonts w:eastAsia="Verdana"/>
        </w:rPr>
        <w:t xml:space="preserve"> </w:t>
      </w:r>
      <w:r w:rsidR="005222F5" w:rsidRPr="00BE5665">
        <w:rPr>
          <w:rFonts w:eastAsia="Verdana"/>
        </w:rPr>
        <w:t xml:space="preserve">The NIHRC is deeply concerned that </w:t>
      </w:r>
      <w:r w:rsidR="00F479B4" w:rsidRPr="00BE5665">
        <w:rPr>
          <w:rFonts w:eastAsia="Verdana"/>
        </w:rPr>
        <w:t>changes to the</w:t>
      </w:r>
      <w:r w:rsidRPr="00BE5665">
        <w:rPr>
          <w:rFonts w:eastAsia="Verdana"/>
        </w:rPr>
        <w:t xml:space="preserve"> </w:t>
      </w:r>
      <w:r w:rsidR="00F479B4" w:rsidRPr="00BE5665">
        <w:rPr>
          <w:rFonts w:eastAsia="Verdana"/>
        </w:rPr>
        <w:t>HRA</w:t>
      </w:r>
      <w:r w:rsidRPr="00BE5665">
        <w:rPr>
          <w:rFonts w:eastAsia="Verdana"/>
        </w:rPr>
        <w:t xml:space="preserve"> </w:t>
      </w:r>
      <w:r w:rsidR="005C5CFC" w:rsidRPr="00BE5665">
        <w:rPr>
          <w:rFonts w:eastAsia="Verdana"/>
        </w:rPr>
        <w:t>will</w:t>
      </w:r>
      <w:r w:rsidRPr="00BE5665">
        <w:rPr>
          <w:rFonts w:eastAsia="Verdana"/>
        </w:rPr>
        <w:t xml:space="preserve"> impact on the NIA</w:t>
      </w:r>
      <w:r w:rsidR="00F479B4" w:rsidRPr="00BE5665">
        <w:rPr>
          <w:rFonts w:eastAsia="Verdana"/>
        </w:rPr>
        <w:t xml:space="preserve">, and the </w:t>
      </w:r>
      <w:r w:rsidR="004F48E1">
        <w:rPr>
          <w:rFonts w:eastAsia="Verdana"/>
        </w:rPr>
        <w:t>r</w:t>
      </w:r>
      <w:r w:rsidR="00F479B4" w:rsidRPr="00BE5665">
        <w:rPr>
          <w:rFonts w:eastAsia="Verdana"/>
        </w:rPr>
        <w:t xml:space="preserve">ights </w:t>
      </w:r>
      <w:r w:rsidR="004F48E1">
        <w:rPr>
          <w:rFonts w:eastAsia="Verdana"/>
        </w:rPr>
        <w:t>f</w:t>
      </w:r>
      <w:r w:rsidR="00F479B4" w:rsidRPr="00BE5665">
        <w:rPr>
          <w:rFonts w:eastAsia="Verdana"/>
        </w:rPr>
        <w:t>ramework on which pe</w:t>
      </w:r>
      <w:r w:rsidR="00C86989" w:rsidRPr="00BE5665">
        <w:rPr>
          <w:rFonts w:eastAsia="Verdana"/>
        </w:rPr>
        <w:t>ace and devolution in N</w:t>
      </w:r>
      <w:r w:rsidR="004F48E1">
        <w:rPr>
          <w:rFonts w:eastAsia="Verdana"/>
        </w:rPr>
        <w:t>I</w:t>
      </w:r>
      <w:r w:rsidR="00C86989" w:rsidRPr="00BE5665">
        <w:rPr>
          <w:rFonts w:eastAsia="Verdana"/>
        </w:rPr>
        <w:t xml:space="preserve"> is built. </w:t>
      </w:r>
      <w:r w:rsidR="00863E61" w:rsidRPr="00BE5665">
        <w:rPr>
          <w:rFonts w:eastAsia="Verdana"/>
        </w:rPr>
        <w:t xml:space="preserve">As an international treaty, any moves </w:t>
      </w:r>
      <w:r w:rsidR="006C38E3" w:rsidRPr="00BE5665">
        <w:rPr>
          <w:rFonts w:eastAsia="Verdana"/>
        </w:rPr>
        <w:t xml:space="preserve">to undermine the </w:t>
      </w:r>
      <w:r w:rsidR="009254D5">
        <w:rPr>
          <w:rFonts w:eastAsia="Verdana"/>
        </w:rPr>
        <w:t>Belfast (Good Friday) Agreement</w:t>
      </w:r>
      <w:r w:rsidR="006C38E3" w:rsidRPr="00BE5665">
        <w:rPr>
          <w:rFonts w:eastAsia="Verdana"/>
        </w:rPr>
        <w:t xml:space="preserve"> and the Acts that underpin</w:t>
      </w:r>
      <w:r w:rsidR="00BD0649" w:rsidRPr="00BE5665">
        <w:rPr>
          <w:rFonts w:eastAsia="Verdana"/>
        </w:rPr>
        <w:t xml:space="preserve"> i</w:t>
      </w:r>
      <w:r w:rsidR="004F48E1">
        <w:rPr>
          <w:rFonts w:eastAsia="Verdana"/>
        </w:rPr>
        <w:t>s likely to</w:t>
      </w:r>
      <w:r w:rsidR="006C38E3" w:rsidRPr="00BE5665">
        <w:rPr>
          <w:rFonts w:eastAsia="Verdana"/>
        </w:rPr>
        <w:t xml:space="preserve"> attract international </w:t>
      </w:r>
      <w:r w:rsidR="00650A1D">
        <w:rPr>
          <w:rFonts w:eastAsia="Verdana"/>
        </w:rPr>
        <w:t>criticism</w:t>
      </w:r>
      <w:r w:rsidR="006C38E3" w:rsidRPr="00BE5665">
        <w:rPr>
          <w:rFonts w:eastAsia="Verdana"/>
        </w:rPr>
        <w:t>.</w:t>
      </w:r>
    </w:p>
    <w:p w14:paraId="77751B2C" w14:textId="77777777" w:rsidR="00EF78D7" w:rsidRDefault="00EF78D7" w:rsidP="008C17AA">
      <w:pPr>
        <w:pStyle w:val="ListParagraph"/>
        <w:spacing w:after="186" w:line="276" w:lineRule="auto"/>
        <w:ind w:hanging="720"/>
        <w:rPr>
          <w:rFonts w:eastAsia="Verdana"/>
          <w:b/>
          <w:bCs/>
        </w:rPr>
      </w:pPr>
    </w:p>
    <w:p w14:paraId="58403FB3" w14:textId="5D9AF75C" w:rsidR="00BE5665" w:rsidRDefault="0088712B" w:rsidP="008C17AA">
      <w:pPr>
        <w:pStyle w:val="ListParagraph"/>
        <w:numPr>
          <w:ilvl w:val="1"/>
          <w:numId w:val="37"/>
        </w:numPr>
        <w:spacing w:after="186" w:line="276" w:lineRule="auto"/>
        <w:ind w:left="720"/>
        <w:rPr>
          <w:rFonts w:eastAsia="Verdana"/>
          <w:b/>
          <w:bCs/>
        </w:rPr>
      </w:pPr>
      <w:r w:rsidRPr="00BE5665">
        <w:rPr>
          <w:rFonts w:eastAsia="Verdana"/>
          <w:b/>
          <w:bCs/>
        </w:rPr>
        <w:t>The NIHRC recommends that the UK Government fully considers the complexities and realities of devolution</w:t>
      </w:r>
      <w:r w:rsidR="00FF73E8" w:rsidRPr="00BE5665">
        <w:rPr>
          <w:rFonts w:eastAsia="Verdana"/>
          <w:b/>
          <w:bCs/>
        </w:rPr>
        <w:t xml:space="preserve"> in the context of these proposals, including the history of rights</w:t>
      </w:r>
      <w:r w:rsidR="00A96373" w:rsidRPr="00BE5665">
        <w:rPr>
          <w:rFonts w:eastAsia="Verdana"/>
          <w:b/>
          <w:bCs/>
        </w:rPr>
        <w:t xml:space="preserve"> in</w:t>
      </w:r>
      <w:r w:rsidR="00FF73E8" w:rsidRPr="00BE5665">
        <w:rPr>
          <w:rFonts w:eastAsia="Verdana"/>
          <w:b/>
          <w:bCs/>
        </w:rPr>
        <w:t xml:space="preserve"> Northern Ireland</w:t>
      </w:r>
      <w:r w:rsidR="00D92B84">
        <w:rPr>
          <w:rFonts w:eastAsia="Verdana"/>
          <w:b/>
          <w:bCs/>
        </w:rPr>
        <w:t xml:space="preserve">, and </w:t>
      </w:r>
      <w:r w:rsidR="00607BA7">
        <w:rPr>
          <w:rFonts w:eastAsia="Verdana"/>
          <w:b/>
          <w:bCs/>
        </w:rPr>
        <w:t xml:space="preserve">details </w:t>
      </w:r>
      <w:r w:rsidR="00D92B84">
        <w:rPr>
          <w:rFonts w:eastAsia="Verdana"/>
          <w:b/>
          <w:bCs/>
        </w:rPr>
        <w:t xml:space="preserve">how any </w:t>
      </w:r>
      <w:r w:rsidR="00784415">
        <w:rPr>
          <w:rFonts w:eastAsia="Verdana"/>
          <w:b/>
          <w:bCs/>
        </w:rPr>
        <w:t>proposed changes will strengthen protections</w:t>
      </w:r>
      <w:r w:rsidR="00607BA7">
        <w:rPr>
          <w:rFonts w:eastAsia="Verdana"/>
          <w:b/>
          <w:bCs/>
        </w:rPr>
        <w:t xml:space="preserve"> outlined in the </w:t>
      </w:r>
      <w:r w:rsidR="009254D5">
        <w:rPr>
          <w:rFonts w:eastAsia="Verdana"/>
          <w:b/>
          <w:bCs/>
        </w:rPr>
        <w:t>Belfast (Good Friday) Agreement</w:t>
      </w:r>
      <w:r w:rsidR="00FF73E8" w:rsidRPr="00BE5665">
        <w:rPr>
          <w:rFonts w:eastAsia="Verdana"/>
          <w:b/>
          <w:bCs/>
        </w:rPr>
        <w:t>.</w:t>
      </w:r>
    </w:p>
    <w:p w14:paraId="33D88A53" w14:textId="77777777" w:rsidR="00BE5665" w:rsidRDefault="00BE5665" w:rsidP="008C17AA">
      <w:pPr>
        <w:pStyle w:val="ListParagraph"/>
        <w:spacing w:after="186" w:line="276" w:lineRule="auto"/>
        <w:ind w:hanging="720"/>
        <w:rPr>
          <w:rFonts w:eastAsia="Verdana"/>
          <w:b/>
          <w:bCs/>
        </w:rPr>
      </w:pPr>
    </w:p>
    <w:p w14:paraId="153F52E5" w14:textId="77777777" w:rsidR="003E3381" w:rsidRDefault="00857494" w:rsidP="008C17AA">
      <w:pPr>
        <w:pStyle w:val="ListParagraph"/>
        <w:numPr>
          <w:ilvl w:val="1"/>
          <w:numId w:val="37"/>
        </w:numPr>
        <w:spacing w:after="186" w:line="276" w:lineRule="auto"/>
        <w:ind w:left="720"/>
        <w:rPr>
          <w:rFonts w:eastAsia="Verdana"/>
          <w:b/>
          <w:bCs/>
        </w:rPr>
      </w:pPr>
      <w:r w:rsidRPr="00BE5665">
        <w:rPr>
          <w:rFonts w:eastAsia="Verdana"/>
          <w:b/>
          <w:bCs/>
        </w:rPr>
        <w:t>The NIHRC recommends that the</w:t>
      </w:r>
      <w:r w:rsidR="00F43652" w:rsidRPr="00BE5665">
        <w:rPr>
          <w:rFonts w:eastAsia="Verdana"/>
          <w:b/>
          <w:bCs/>
        </w:rPr>
        <w:t xml:space="preserve"> UK</w:t>
      </w:r>
      <w:r w:rsidRPr="00BE5665">
        <w:rPr>
          <w:rFonts w:eastAsia="Verdana"/>
          <w:b/>
          <w:bCs/>
        </w:rPr>
        <w:t xml:space="preserve"> </w:t>
      </w:r>
      <w:r w:rsidR="00F43652" w:rsidRPr="00BE5665">
        <w:rPr>
          <w:rFonts w:eastAsia="Verdana"/>
          <w:b/>
          <w:bCs/>
        </w:rPr>
        <w:t>G</w:t>
      </w:r>
      <w:r w:rsidRPr="00BE5665">
        <w:rPr>
          <w:rFonts w:eastAsia="Verdana"/>
          <w:b/>
          <w:bCs/>
        </w:rPr>
        <w:t xml:space="preserve">overnment recognises its international obligations under the Belfast (Good Friday) </w:t>
      </w:r>
      <w:r w:rsidRPr="00BE5665">
        <w:rPr>
          <w:rFonts w:eastAsia="Verdana"/>
          <w:b/>
          <w:bCs/>
        </w:rPr>
        <w:lastRenderedPageBreak/>
        <w:t>Agreement 1998, particularly</w:t>
      </w:r>
      <w:r w:rsidR="0088712B" w:rsidRPr="00BE5665">
        <w:rPr>
          <w:rFonts w:eastAsia="Verdana"/>
          <w:b/>
          <w:bCs/>
        </w:rPr>
        <w:t>,</w:t>
      </w:r>
      <w:r w:rsidRPr="00BE5665">
        <w:rPr>
          <w:rFonts w:eastAsia="Verdana"/>
          <w:b/>
          <w:bCs/>
        </w:rPr>
        <w:t xml:space="preserve"> in this context</w:t>
      </w:r>
      <w:r w:rsidR="0088712B" w:rsidRPr="00BE5665">
        <w:rPr>
          <w:rFonts w:eastAsia="Verdana"/>
          <w:b/>
          <w:bCs/>
        </w:rPr>
        <w:t>,</w:t>
      </w:r>
      <w:r w:rsidRPr="00BE5665">
        <w:rPr>
          <w:rFonts w:eastAsia="Verdana"/>
          <w:b/>
          <w:bCs/>
        </w:rPr>
        <w:t xml:space="preserve"> with reference to incorporation of the ECHR and direct access to courts. </w:t>
      </w:r>
    </w:p>
    <w:p w14:paraId="395BCC45" w14:textId="15534141" w:rsidR="003E3381" w:rsidRPr="0099741A" w:rsidRDefault="00EB6829" w:rsidP="001212C9">
      <w:pPr>
        <w:pStyle w:val="Heading2"/>
        <w:rPr>
          <w:rFonts w:eastAsia="Verdana"/>
        </w:rPr>
      </w:pPr>
      <w:bookmarkStart w:id="4" w:name="_Toc97636607"/>
      <w:r>
        <w:rPr>
          <w:rFonts w:eastAsia="Verdana"/>
        </w:rPr>
        <w:t>Protocol Article 2</w:t>
      </w:r>
      <w:bookmarkEnd w:id="4"/>
      <w:r>
        <w:rPr>
          <w:rFonts w:eastAsia="Verdana"/>
        </w:rPr>
        <w:t xml:space="preserve"> </w:t>
      </w:r>
    </w:p>
    <w:p w14:paraId="4EA3ADEC" w14:textId="74618660" w:rsidR="001212C9" w:rsidRPr="001212C9" w:rsidRDefault="001212C9" w:rsidP="008C17AA">
      <w:pPr>
        <w:pStyle w:val="ListParagraph"/>
        <w:numPr>
          <w:ilvl w:val="1"/>
          <w:numId w:val="37"/>
        </w:numPr>
        <w:spacing w:after="186" w:line="276" w:lineRule="auto"/>
        <w:ind w:left="720"/>
        <w:rPr>
          <w:rFonts w:eastAsia="Verdana"/>
          <w:b/>
          <w:bCs/>
        </w:rPr>
      </w:pPr>
      <w:r>
        <w:t xml:space="preserve">The UK Government and the EU recognised the </w:t>
      </w:r>
      <w:r w:rsidRPr="00512C83">
        <w:t>centrality of human rights and equality protections to the peace process in the negotiations leading to the UK’s withdrawal from the EU</w:t>
      </w:r>
      <w:r w:rsidR="008829F7">
        <w:t xml:space="preserve"> and that the </w:t>
      </w:r>
      <w:r w:rsidRPr="00512C83">
        <w:t>Belfast (Good Friday) Agreement required consideration and protection</w:t>
      </w:r>
      <w:r>
        <w:t>.</w:t>
      </w:r>
      <w:r>
        <w:rPr>
          <w:rStyle w:val="FootnoteReference"/>
        </w:rPr>
        <w:footnoteReference w:id="33"/>
      </w:r>
      <w:r>
        <w:t xml:space="preserve">  </w:t>
      </w:r>
    </w:p>
    <w:p w14:paraId="37306109" w14:textId="77777777" w:rsidR="001212C9" w:rsidRPr="001212C9" w:rsidRDefault="001212C9" w:rsidP="001212C9">
      <w:pPr>
        <w:pStyle w:val="ListParagraph"/>
        <w:spacing w:after="186" w:line="276" w:lineRule="auto"/>
        <w:rPr>
          <w:rFonts w:eastAsia="Verdana"/>
          <w:b/>
          <w:bCs/>
        </w:rPr>
      </w:pPr>
    </w:p>
    <w:p w14:paraId="6A3D5956" w14:textId="4C49CAB1" w:rsidR="00304675" w:rsidRPr="00EB6829" w:rsidRDefault="001212C9" w:rsidP="008C17AA">
      <w:pPr>
        <w:pStyle w:val="ListParagraph"/>
        <w:numPr>
          <w:ilvl w:val="1"/>
          <w:numId w:val="37"/>
        </w:numPr>
        <w:spacing w:after="186" w:line="276" w:lineRule="auto"/>
        <w:ind w:left="720"/>
        <w:rPr>
          <w:rFonts w:eastAsia="Verdana"/>
          <w:b/>
          <w:bCs/>
        </w:rPr>
      </w:pPr>
      <w:r w:rsidRPr="00756F53">
        <w:t xml:space="preserve">Protocol Article 2 requires the UK Government and the NI Executive to ensure that no diminution of rights, safeguards and equality of </w:t>
      </w:r>
      <w:r w:rsidR="000D582B" w:rsidRPr="00756F53">
        <w:t>opportunit</w:t>
      </w:r>
      <w:r w:rsidR="000D582B">
        <w:t>y</w:t>
      </w:r>
      <w:r w:rsidR="000D582B" w:rsidRPr="00756F53">
        <w:t xml:space="preserve"> </w:t>
      </w:r>
      <w:r w:rsidRPr="00756F53">
        <w:t>contained in the relevant part of the Belfast (Good Friday) Agreement occurs as a result of the UK’s withdrawal from the EU</w:t>
      </w:r>
      <w:r w:rsidR="00EF78D7" w:rsidRPr="00756F53">
        <w:t>.</w:t>
      </w:r>
    </w:p>
    <w:p w14:paraId="4D4CDEB8" w14:textId="77777777" w:rsidR="00304675" w:rsidRPr="00EB6829" w:rsidRDefault="00304675" w:rsidP="008C17AA">
      <w:pPr>
        <w:pStyle w:val="ListParagraph"/>
        <w:spacing w:after="186" w:line="276" w:lineRule="auto"/>
        <w:ind w:hanging="720"/>
        <w:rPr>
          <w:rFonts w:eastAsia="Verdana"/>
          <w:b/>
          <w:bCs/>
        </w:rPr>
      </w:pPr>
    </w:p>
    <w:p w14:paraId="1DD06F9C" w14:textId="45F1D266" w:rsidR="00EF78D7" w:rsidRPr="00EB6829" w:rsidRDefault="00EF78D7" w:rsidP="008C17AA">
      <w:pPr>
        <w:pStyle w:val="ListParagraph"/>
        <w:numPr>
          <w:ilvl w:val="1"/>
          <w:numId w:val="37"/>
        </w:numPr>
        <w:spacing w:after="186" w:line="276" w:lineRule="auto"/>
        <w:ind w:left="720"/>
        <w:rPr>
          <w:rFonts w:eastAsia="Verdana"/>
          <w:b/>
          <w:bCs/>
        </w:rPr>
      </w:pPr>
      <w:r>
        <w:t>T</w:t>
      </w:r>
      <w:r w:rsidRPr="006F6E42">
        <w:t>he rights, safeguards and equality of opportunit</w:t>
      </w:r>
      <w:r w:rsidR="000D582B">
        <w:t>y</w:t>
      </w:r>
      <w:r w:rsidRPr="006F6E42">
        <w:t xml:space="preserve"> </w:t>
      </w:r>
      <w:r>
        <w:t xml:space="preserve">part of the </w:t>
      </w:r>
      <w:r w:rsidR="009254D5">
        <w:t>Belfast (Good Friday) Agreement</w:t>
      </w:r>
      <w:r>
        <w:t xml:space="preserve"> </w:t>
      </w:r>
      <w:r w:rsidRPr="006F6E42">
        <w:t>includes a general commitment to the “civil rights and religious liberties of everyone in the community” and the rights set out in this chapter are “affirmed in particular” and therefore make up a non-exhaustive list.</w:t>
      </w:r>
      <w:r w:rsidRPr="002A1BF9">
        <w:rPr>
          <w:vertAlign w:val="superscript"/>
        </w:rPr>
        <w:footnoteReference w:id="34"/>
      </w:r>
      <w:r w:rsidRPr="00304675">
        <w:rPr>
          <w:rFonts w:cs="Arial"/>
        </w:rPr>
        <w:t xml:space="preserve"> </w:t>
      </w:r>
      <w:r w:rsidRPr="006F6E42">
        <w:t>In addition to the listed rights</w:t>
      </w:r>
      <w:r>
        <w:t>,</w:t>
      </w:r>
      <w:r w:rsidRPr="006F6E42">
        <w:t xml:space="preserve"> safeguards and equality of opportunity protections, this chapter also commits the UK Government to the incorporation of the</w:t>
      </w:r>
      <w:r>
        <w:t xml:space="preserve"> </w:t>
      </w:r>
      <w:r w:rsidRPr="006F6E42">
        <w:t>ECHR</w:t>
      </w:r>
      <w:r w:rsidR="008829F7">
        <w:t>.</w:t>
      </w:r>
      <w:r w:rsidRPr="006F6E42">
        <w:t xml:space="preserve"> It also anticipates further work on a Bill of Rights for NI to identify rights supplementary to the ECHR and draw on international instruments and experience.</w:t>
      </w:r>
    </w:p>
    <w:p w14:paraId="6B549998" w14:textId="77777777" w:rsidR="00F42FFB" w:rsidRPr="00EB6829" w:rsidRDefault="00F42FFB" w:rsidP="00EB6829">
      <w:pPr>
        <w:pStyle w:val="ListParagraph"/>
        <w:ind w:hanging="720"/>
        <w:rPr>
          <w:rFonts w:eastAsia="Verdana"/>
          <w:b/>
          <w:bCs/>
        </w:rPr>
      </w:pPr>
    </w:p>
    <w:p w14:paraId="4CAB8686" w14:textId="0C63060B" w:rsidR="00F42FFB" w:rsidRPr="00EB6829" w:rsidRDefault="004E1BC2" w:rsidP="008C17AA">
      <w:pPr>
        <w:pStyle w:val="ListParagraph"/>
        <w:numPr>
          <w:ilvl w:val="1"/>
          <w:numId w:val="37"/>
        </w:numPr>
        <w:spacing w:after="186" w:line="276" w:lineRule="auto"/>
        <w:ind w:left="720"/>
        <w:rPr>
          <w:rFonts w:eastAsia="Verdana"/>
          <w:b/>
          <w:bCs/>
        </w:rPr>
      </w:pPr>
      <w:r>
        <w:t>The general commitment of the Belfast (Good Friday) Agreement signatories to the range of rights referenced within the chapter must therefore be understood as embracing, as a minimum, those rights set out in the ECHR.</w:t>
      </w:r>
      <w:r>
        <w:rPr>
          <w:rStyle w:val="FootnoteReference"/>
        </w:rPr>
        <w:footnoteReference w:id="35"/>
      </w:r>
      <w:r>
        <w:t xml:space="preserve">  In its Explainer the UK Government has confirmed that the “key rights and equality provisions in the [Belfast (Good Friday)] Agreement are supported by the ECHR </w:t>
      </w:r>
      <w:r>
        <w:lastRenderedPageBreak/>
        <w:t>which has been incorporated into NI law pursuant to the commitment in the Agreement to do so”.</w:t>
      </w:r>
      <w:r>
        <w:rPr>
          <w:rStyle w:val="FootnoteReference"/>
        </w:rPr>
        <w:footnoteReference w:id="36"/>
      </w:r>
    </w:p>
    <w:p w14:paraId="3E9C8433" w14:textId="77777777" w:rsidR="004E1BC2" w:rsidRPr="00EB6829" w:rsidRDefault="004E1BC2" w:rsidP="00EB6829">
      <w:pPr>
        <w:pStyle w:val="ListParagraph"/>
        <w:ind w:hanging="720"/>
        <w:rPr>
          <w:rFonts w:eastAsia="Verdana"/>
          <w:b/>
          <w:bCs/>
        </w:rPr>
      </w:pPr>
    </w:p>
    <w:p w14:paraId="28CF9539" w14:textId="1A102B83" w:rsidR="004E1BC2" w:rsidRPr="005E33D6" w:rsidRDefault="002F0498" w:rsidP="008C17AA">
      <w:pPr>
        <w:pStyle w:val="ListParagraph"/>
        <w:numPr>
          <w:ilvl w:val="1"/>
          <w:numId w:val="37"/>
        </w:numPr>
        <w:spacing w:after="186" w:line="276" w:lineRule="auto"/>
        <w:ind w:left="720"/>
        <w:rPr>
          <w:rFonts w:eastAsia="Verdana"/>
          <w:b/>
        </w:rPr>
      </w:pPr>
      <w:r w:rsidRPr="005E33D6">
        <w:t>The NIHRC takes the view that</w:t>
      </w:r>
      <w:r w:rsidR="00A36D02" w:rsidRPr="005E33D6">
        <w:t xml:space="preserve"> </w:t>
      </w:r>
      <w:r w:rsidR="004E1BC2" w:rsidRPr="005E33D6">
        <w:t xml:space="preserve">the non-diminution commitment in Protocol Article 2 encompasses the full range of rights set out in the ECHR, </w:t>
      </w:r>
      <w:r w:rsidR="004E1BC2" w:rsidRPr="00340C0A">
        <w:t>to the extent that they are underpinned by EU obligations</w:t>
      </w:r>
      <w:r w:rsidR="004E1BC2" w:rsidRPr="005E33D6">
        <w:t xml:space="preserve"> in force </w:t>
      </w:r>
      <w:r w:rsidR="00C036D4" w:rsidRPr="005E33D6">
        <w:t>on 31 December 2020</w:t>
      </w:r>
      <w:r w:rsidR="004E1BC2" w:rsidRPr="005E33D6">
        <w:t>.</w:t>
      </w:r>
    </w:p>
    <w:p w14:paraId="7C1AD604" w14:textId="77777777" w:rsidR="004E1BC2" w:rsidRPr="00EB6829" w:rsidRDefault="004E1BC2" w:rsidP="00EB6829">
      <w:pPr>
        <w:pStyle w:val="ListParagraph"/>
        <w:ind w:hanging="720"/>
        <w:rPr>
          <w:rFonts w:eastAsia="Verdana"/>
          <w:b/>
          <w:bCs/>
        </w:rPr>
      </w:pPr>
    </w:p>
    <w:p w14:paraId="0CC1365C" w14:textId="2CD4AB0D" w:rsidR="00F13370" w:rsidRPr="00C07F91" w:rsidRDefault="004E1BC2" w:rsidP="008C17AA">
      <w:pPr>
        <w:pStyle w:val="ListParagraph"/>
        <w:numPr>
          <w:ilvl w:val="1"/>
          <w:numId w:val="37"/>
        </w:numPr>
        <w:spacing w:after="186" w:line="276" w:lineRule="auto"/>
        <w:ind w:left="720"/>
        <w:rPr>
          <w:rFonts w:eastAsia="Verdana"/>
          <w:b/>
        </w:rPr>
      </w:pPr>
      <w:r>
        <w:rPr>
          <w:rFonts w:cs="Arial"/>
        </w:rPr>
        <w:t>The NIHRC notes with concern the</w:t>
      </w:r>
      <w:r w:rsidR="003028A2">
        <w:rPr>
          <w:rFonts w:cs="Arial"/>
        </w:rPr>
        <w:t>re is</w:t>
      </w:r>
      <w:r>
        <w:rPr>
          <w:rFonts w:cs="Arial"/>
        </w:rPr>
        <w:t xml:space="preserve"> minimal reference to Protocol Article 2 in the UK Government’s proposals.  The </w:t>
      </w:r>
      <w:r w:rsidR="003028A2">
        <w:rPr>
          <w:rFonts w:cs="Arial"/>
        </w:rPr>
        <w:t xml:space="preserve">consultation </w:t>
      </w:r>
      <w:r>
        <w:rPr>
          <w:rFonts w:cs="Arial"/>
        </w:rPr>
        <w:t>state</w:t>
      </w:r>
      <w:r w:rsidR="003028A2">
        <w:rPr>
          <w:rFonts w:cs="Arial"/>
        </w:rPr>
        <w:t>s</w:t>
      </w:r>
      <w:r>
        <w:rPr>
          <w:rFonts w:cs="Arial"/>
        </w:rPr>
        <w:t xml:space="preserve"> that the</w:t>
      </w:r>
      <w:r w:rsidR="00C036D4">
        <w:rPr>
          <w:rFonts w:cs="Arial"/>
        </w:rPr>
        <w:t xml:space="preserve"> proposals</w:t>
      </w:r>
      <w:r>
        <w:rPr>
          <w:rFonts w:cs="Arial"/>
        </w:rPr>
        <w:t xml:space="preserve"> will “</w:t>
      </w:r>
      <w:r w:rsidRPr="008A77A5">
        <w:rPr>
          <w:rFonts w:cs="Arial"/>
        </w:rPr>
        <w:t xml:space="preserve">ensure that human rights continue to be fully protected in </w:t>
      </w:r>
      <w:r>
        <w:rPr>
          <w:rFonts w:cs="Arial"/>
        </w:rPr>
        <w:t>NI …</w:t>
      </w:r>
      <w:r w:rsidRPr="008A77A5">
        <w:rPr>
          <w:rFonts w:cs="Arial"/>
        </w:rPr>
        <w:t xml:space="preserve"> through an improved framework that provides greater legal certainty and respects our constitutional principles</w:t>
      </w:r>
      <w:r>
        <w:rPr>
          <w:rFonts w:cs="Arial"/>
        </w:rPr>
        <w:t>” and that “t</w:t>
      </w:r>
      <w:r w:rsidRPr="008A77A5">
        <w:rPr>
          <w:rFonts w:cs="Arial"/>
        </w:rPr>
        <w:t>hese proposals will be fully in line with our commitments under the Withdrawal Agreement, the Northern Ireland Protocol and the TCA</w:t>
      </w:r>
      <w:r>
        <w:rPr>
          <w:rFonts w:cs="Arial"/>
        </w:rPr>
        <w:t>”</w:t>
      </w:r>
      <w:r w:rsidRPr="008A77A5">
        <w:rPr>
          <w:rFonts w:cs="Arial"/>
        </w:rPr>
        <w:t>.</w:t>
      </w:r>
      <w:r w:rsidRPr="00BF09FD">
        <w:rPr>
          <w:rStyle w:val="FootnoteReference"/>
          <w:rFonts w:cs="Arial"/>
        </w:rPr>
        <w:t xml:space="preserve"> </w:t>
      </w:r>
      <w:r>
        <w:rPr>
          <w:rStyle w:val="FootnoteReference"/>
          <w:rFonts w:cs="Arial"/>
        </w:rPr>
        <w:footnoteReference w:id="37"/>
      </w:r>
      <w:r>
        <w:rPr>
          <w:rFonts w:cs="Arial"/>
        </w:rPr>
        <w:t xml:space="preserve">  However </w:t>
      </w:r>
      <w:r w:rsidR="005C6CB0">
        <w:rPr>
          <w:rFonts w:cs="Arial"/>
        </w:rPr>
        <w:t xml:space="preserve">it is not clear </w:t>
      </w:r>
      <w:r>
        <w:rPr>
          <w:rFonts w:cs="Arial"/>
        </w:rPr>
        <w:t>that an analysis of the impact of the proposals on Protocol Article 2 has been undertaken</w:t>
      </w:r>
      <w:r w:rsidR="002B1C0A">
        <w:rPr>
          <w:rFonts w:cs="Arial"/>
        </w:rPr>
        <w:t>, no</w:t>
      </w:r>
      <w:r w:rsidR="003028A2">
        <w:rPr>
          <w:rFonts w:cs="Arial"/>
        </w:rPr>
        <w:t>r</w:t>
      </w:r>
      <w:r w:rsidR="002B1C0A">
        <w:rPr>
          <w:rFonts w:cs="Arial"/>
        </w:rPr>
        <w:t xml:space="preserve"> is it clear how </w:t>
      </w:r>
      <w:r w:rsidR="008829F7">
        <w:rPr>
          <w:rFonts w:cs="Arial"/>
        </w:rPr>
        <w:t xml:space="preserve">the UK Government </w:t>
      </w:r>
      <w:r w:rsidR="005C6CB0">
        <w:rPr>
          <w:rFonts w:cs="Arial"/>
        </w:rPr>
        <w:t xml:space="preserve">seeks to ensure compliance </w:t>
      </w:r>
      <w:r w:rsidR="002B1C0A">
        <w:rPr>
          <w:rFonts w:cs="Arial"/>
        </w:rPr>
        <w:t>with Protocol Article 2</w:t>
      </w:r>
      <w:r w:rsidR="00C036D4">
        <w:rPr>
          <w:rFonts w:cs="Arial"/>
        </w:rPr>
        <w:t>.</w:t>
      </w:r>
    </w:p>
    <w:p w14:paraId="68324A82" w14:textId="77777777" w:rsidR="00C07F91" w:rsidRPr="00C07F91" w:rsidRDefault="00C07F91" w:rsidP="00C07F91">
      <w:pPr>
        <w:pStyle w:val="ListParagraph"/>
        <w:rPr>
          <w:rFonts w:eastAsia="Verdana"/>
          <w:b/>
        </w:rPr>
      </w:pPr>
    </w:p>
    <w:p w14:paraId="5BF8D917" w14:textId="57263494" w:rsidR="009D21C2" w:rsidRPr="00B04B79" w:rsidRDefault="001212C9" w:rsidP="008C17AA">
      <w:pPr>
        <w:pStyle w:val="ListParagraph"/>
        <w:numPr>
          <w:ilvl w:val="1"/>
          <w:numId w:val="37"/>
        </w:numPr>
        <w:spacing w:after="186" w:line="276" w:lineRule="auto"/>
        <w:ind w:left="720"/>
        <w:rPr>
          <w:rFonts w:eastAsia="Verdana"/>
          <w:b/>
        </w:rPr>
      </w:pPr>
      <w:r w:rsidRPr="00B04B79">
        <w:rPr>
          <w:rFonts w:eastAsia="Verdana"/>
          <w:b/>
        </w:rPr>
        <w:t xml:space="preserve">The NIHRC recommends that the UK Government </w:t>
      </w:r>
      <w:r w:rsidR="000A31C0" w:rsidRPr="00B04B79">
        <w:rPr>
          <w:rFonts w:eastAsia="Verdana"/>
          <w:b/>
        </w:rPr>
        <w:t>sets out in detail what consideration has been given to the proposals’ compliance with Protocol Article 2, including consideration of the effect of the proposals on the rights, safeguards and equality of opportunity protections under the relevant chapter of the Belfast (Good Friday) Agreement (and underpinned by EU law) that fall within the scope of Article 2.</w:t>
      </w:r>
    </w:p>
    <w:p w14:paraId="528DC591" w14:textId="77777777" w:rsidR="0061552C" w:rsidRPr="0003309F" w:rsidRDefault="0061552C" w:rsidP="0003309F">
      <w:pPr>
        <w:pStyle w:val="ListParagraph"/>
        <w:rPr>
          <w:rFonts w:eastAsia="Verdana"/>
          <w:b/>
          <w:highlight w:val="yellow"/>
        </w:rPr>
      </w:pPr>
    </w:p>
    <w:p w14:paraId="2E394143" w14:textId="27F7CAAD" w:rsidR="00A61266" w:rsidRPr="003D702E" w:rsidRDefault="00A61266" w:rsidP="008C17AA">
      <w:pPr>
        <w:pStyle w:val="ListParagraph"/>
        <w:numPr>
          <w:ilvl w:val="1"/>
          <w:numId w:val="37"/>
        </w:numPr>
        <w:spacing w:line="276" w:lineRule="auto"/>
        <w:ind w:left="720"/>
        <w:rPr>
          <w:rFonts w:eastAsia="Verdana"/>
          <w:b/>
          <w:bCs/>
        </w:rPr>
      </w:pPr>
      <w:r w:rsidRPr="00C94BE2">
        <w:t>Article 4 of the Withdrawal Agreement</w:t>
      </w:r>
      <w:r>
        <w:t xml:space="preserve"> </w:t>
      </w:r>
      <w:r w:rsidR="008964D0">
        <w:t xml:space="preserve">provides that </w:t>
      </w:r>
      <w:r w:rsidRPr="00C94BE2">
        <w:t>individuals can rely directly on the provision</w:t>
      </w:r>
      <w:r>
        <w:t>s</w:t>
      </w:r>
      <w:r w:rsidRPr="00C94BE2">
        <w:t xml:space="preserve"> of the Withdrawal Agreement in UK Courts, </w:t>
      </w:r>
      <w:r w:rsidR="000D582B" w:rsidRPr="00C94BE2">
        <w:t>in</w:t>
      </w:r>
      <w:r w:rsidR="000D582B">
        <w:t>clud</w:t>
      </w:r>
      <w:r w:rsidR="000D582B" w:rsidRPr="00C94BE2">
        <w:t xml:space="preserve">ing </w:t>
      </w:r>
      <w:r w:rsidRPr="00C94BE2">
        <w:t xml:space="preserve">Protocol Article 2. Article 4 further provides that judicial and administrative authorities </w:t>
      </w:r>
      <w:r>
        <w:t>must be empowered to</w:t>
      </w:r>
      <w:r w:rsidRPr="00C94BE2">
        <w:t xml:space="preserve"> “disapply inconsistent or incompatible domestic provisions”.</w:t>
      </w:r>
      <w:r w:rsidRPr="00C94BE2">
        <w:rPr>
          <w:vertAlign w:val="superscript"/>
        </w:rPr>
        <w:footnoteReference w:id="38"/>
      </w:r>
      <w:r w:rsidRPr="00C94BE2">
        <w:t xml:space="preserve"> </w:t>
      </w:r>
      <w:r>
        <w:t xml:space="preserve">This has been incorporated into UK law in Section 7A </w:t>
      </w:r>
      <w:r w:rsidRPr="006F6E42">
        <w:t>of the EU (Withdrawal) Act 2018</w:t>
      </w:r>
      <w:r>
        <w:t xml:space="preserve">, which </w:t>
      </w:r>
      <w:r w:rsidRPr="006F6E42">
        <w:t xml:space="preserve">gives effect to all the rights, obligations and remedies arising under the UK-EU Withdrawal </w:t>
      </w:r>
      <w:r w:rsidRPr="006F6E42">
        <w:lastRenderedPageBreak/>
        <w:t>Agreement in UK law without the need for further enactment.</w:t>
      </w:r>
      <w:r>
        <w:t xml:space="preserve"> The UK Government has recognised that Protocol Article 2 has direct effect </w:t>
      </w:r>
      <w:r w:rsidRPr="00643E65">
        <w:t xml:space="preserve">and that </w:t>
      </w:r>
      <w:r>
        <w:t>individuals</w:t>
      </w:r>
      <w:r w:rsidRPr="00D4563F">
        <w:t xml:space="preserve"> </w:t>
      </w:r>
      <w:r w:rsidRPr="0006017E">
        <w:t xml:space="preserve">can </w:t>
      </w:r>
      <w:r w:rsidRPr="00CD5299">
        <w:t xml:space="preserve">invoke their </w:t>
      </w:r>
      <w:r w:rsidRPr="00AF40B4">
        <w:t>rights under Protocol Article 2 in UK Courts</w:t>
      </w:r>
      <w:r w:rsidRPr="00643E65">
        <w:t>.</w:t>
      </w:r>
      <w:r>
        <w:rPr>
          <w:rStyle w:val="FootnoteReference"/>
        </w:rPr>
        <w:footnoteReference w:id="39"/>
      </w:r>
      <w:r w:rsidRPr="00643E65">
        <w:t xml:space="preserve"> </w:t>
      </w:r>
      <w:r>
        <w:t>The NI High Court has also recognised that “</w:t>
      </w:r>
      <w:r w:rsidRPr="00F92302">
        <w:t xml:space="preserve">Article 2 has direct effect and legal persons </w:t>
      </w:r>
      <w:r>
        <w:t xml:space="preserve">… </w:t>
      </w:r>
      <w:r w:rsidRPr="00F92302">
        <w:t>are able to rely on it in domestic courts</w:t>
      </w:r>
      <w:r>
        <w:t>”.</w:t>
      </w:r>
      <w:r>
        <w:rPr>
          <w:rStyle w:val="FootnoteReference"/>
        </w:rPr>
        <w:footnoteReference w:id="40"/>
      </w:r>
    </w:p>
    <w:p w14:paraId="658960E2" w14:textId="77777777" w:rsidR="00A61266" w:rsidRPr="003D702E" w:rsidRDefault="00A61266" w:rsidP="008C17AA">
      <w:pPr>
        <w:spacing w:line="276" w:lineRule="auto"/>
        <w:rPr>
          <w:rFonts w:eastAsia="Verdana"/>
          <w:b/>
          <w:bCs/>
        </w:rPr>
      </w:pPr>
    </w:p>
    <w:p w14:paraId="6256AB1F" w14:textId="5D216AD4" w:rsidR="00A61266" w:rsidRPr="003D702E" w:rsidRDefault="00A61266" w:rsidP="008C17AA">
      <w:pPr>
        <w:pStyle w:val="ListParagraph"/>
        <w:numPr>
          <w:ilvl w:val="1"/>
          <w:numId w:val="37"/>
        </w:numPr>
        <w:spacing w:line="276" w:lineRule="auto"/>
        <w:ind w:left="720"/>
        <w:rPr>
          <w:rFonts w:eastAsia="Verdana"/>
          <w:b/>
          <w:bCs/>
        </w:rPr>
      </w:pPr>
      <w:r w:rsidRPr="00B04B79">
        <w:t>Pursuant to Protocol Article 2, there can be no diminution of those ECHR rights which were underpinned by EU law prior to 1 January 2021</w:t>
      </w:r>
      <w:r w:rsidRPr="00C94BE2">
        <w:t xml:space="preserve">. Requiring courts to diverge from ECtHR jurisprudence risks diminishing the rights, safeguards and equality of opportunity protections which fall within scope of Protocol Article 2. </w:t>
      </w:r>
      <w:r w:rsidR="0061552C" w:rsidRPr="00C94BE2">
        <w:rPr>
          <w:rFonts w:eastAsia="Times New Roman"/>
        </w:rPr>
        <w:t xml:space="preserve">The NIHRC </w:t>
      </w:r>
      <w:r w:rsidRPr="00C94BE2">
        <w:rPr>
          <w:rFonts w:eastAsia="Times New Roman"/>
        </w:rPr>
        <w:t xml:space="preserve">is concerned that any changes to how UK courts interpret </w:t>
      </w:r>
      <w:r w:rsidR="00914BF5">
        <w:rPr>
          <w:rFonts w:eastAsia="Times New Roman"/>
        </w:rPr>
        <w:t xml:space="preserve">the </w:t>
      </w:r>
      <w:r w:rsidRPr="00C94BE2">
        <w:rPr>
          <w:rFonts w:eastAsia="Times New Roman"/>
        </w:rPr>
        <w:t>ECHR or how it is claimed or enforced in NI law</w:t>
      </w:r>
      <w:r>
        <w:rPr>
          <w:rFonts w:eastAsia="Times New Roman"/>
        </w:rPr>
        <w:t xml:space="preserve"> and available remedies</w:t>
      </w:r>
      <w:r w:rsidRPr="00C94BE2">
        <w:rPr>
          <w:rFonts w:eastAsia="Times New Roman"/>
        </w:rPr>
        <w:t xml:space="preserve">, could constitute a diminution of </w:t>
      </w:r>
      <w:r>
        <w:rPr>
          <w:rFonts w:eastAsia="Times New Roman"/>
        </w:rPr>
        <w:t xml:space="preserve">human </w:t>
      </w:r>
      <w:r w:rsidRPr="00C94BE2">
        <w:rPr>
          <w:rFonts w:eastAsia="Times New Roman"/>
        </w:rPr>
        <w:t>rights</w:t>
      </w:r>
      <w:r>
        <w:rPr>
          <w:rFonts w:eastAsia="Times New Roman"/>
        </w:rPr>
        <w:t xml:space="preserve"> and equality protections in Protocol Article 2</w:t>
      </w:r>
      <w:r w:rsidRPr="00C94BE2">
        <w:rPr>
          <w:rFonts w:eastAsia="Times New Roman"/>
        </w:rPr>
        <w:t>.</w:t>
      </w:r>
    </w:p>
    <w:p w14:paraId="3FD39945" w14:textId="77777777" w:rsidR="00A61266" w:rsidRPr="005E7D4E" w:rsidRDefault="00A61266" w:rsidP="005E7D4E">
      <w:pPr>
        <w:rPr>
          <w:rFonts w:eastAsia="Verdana"/>
          <w:b/>
        </w:rPr>
      </w:pPr>
    </w:p>
    <w:p w14:paraId="5815831E" w14:textId="279C0BD6" w:rsidR="00013FAE" w:rsidRPr="00B04B79" w:rsidRDefault="00211DF3" w:rsidP="008C17AA">
      <w:pPr>
        <w:pStyle w:val="ListParagraph"/>
        <w:numPr>
          <w:ilvl w:val="1"/>
          <w:numId w:val="37"/>
        </w:numPr>
        <w:spacing w:line="276" w:lineRule="auto"/>
        <w:ind w:left="720"/>
        <w:rPr>
          <w:rFonts w:eastAsia="Verdana"/>
          <w:b/>
        </w:rPr>
      </w:pPr>
      <w:r w:rsidRPr="008C17AA">
        <w:rPr>
          <w:rFonts w:eastAsia="Verdana"/>
          <w:b/>
        </w:rPr>
        <w:t xml:space="preserve">The NIHRC advises that </w:t>
      </w:r>
      <w:r w:rsidR="00B7223E" w:rsidRPr="008C17AA">
        <w:rPr>
          <w:rFonts w:eastAsia="Verdana"/>
          <w:b/>
        </w:rPr>
        <w:t xml:space="preserve">the protection of </w:t>
      </w:r>
      <w:r w:rsidR="003A5566" w:rsidRPr="008C17AA">
        <w:rPr>
          <w:rFonts w:eastAsia="Verdana"/>
          <w:b/>
        </w:rPr>
        <w:t xml:space="preserve">safeguards </w:t>
      </w:r>
      <w:r w:rsidR="00B7223E" w:rsidRPr="008C17AA">
        <w:rPr>
          <w:rFonts w:eastAsia="Verdana"/>
          <w:b/>
        </w:rPr>
        <w:t>under</w:t>
      </w:r>
      <w:r w:rsidR="004A0DBC" w:rsidRPr="008C17AA">
        <w:rPr>
          <w:rFonts w:eastAsia="Verdana"/>
          <w:b/>
        </w:rPr>
        <w:t xml:space="preserve"> Protocol Article 2</w:t>
      </w:r>
      <w:r w:rsidR="008B1E11" w:rsidRPr="008C17AA">
        <w:rPr>
          <w:rFonts w:eastAsia="Verdana"/>
          <w:b/>
        </w:rPr>
        <w:t xml:space="preserve"> encompasses </w:t>
      </w:r>
      <w:r w:rsidR="008B1E11" w:rsidRPr="008C17AA">
        <w:rPr>
          <w:rFonts w:eastAsia="Times New Roman"/>
          <w:b/>
        </w:rPr>
        <w:t xml:space="preserve">how </w:t>
      </w:r>
      <w:r w:rsidR="00BD3F7D" w:rsidRPr="008C17AA">
        <w:rPr>
          <w:rFonts w:eastAsia="Times New Roman"/>
          <w:b/>
        </w:rPr>
        <w:t xml:space="preserve">those </w:t>
      </w:r>
      <w:r w:rsidR="004A0DBC" w:rsidRPr="008C17AA">
        <w:rPr>
          <w:rFonts w:eastAsia="Times New Roman"/>
          <w:b/>
        </w:rPr>
        <w:t>rights are claimed and enforced</w:t>
      </w:r>
      <w:r w:rsidR="00DA082F" w:rsidRPr="008C17AA">
        <w:rPr>
          <w:rFonts w:eastAsia="Times New Roman"/>
          <w:b/>
        </w:rPr>
        <w:t xml:space="preserve"> and </w:t>
      </w:r>
      <w:r w:rsidR="00A15CE8">
        <w:rPr>
          <w:rFonts w:eastAsia="Times New Roman"/>
          <w:b/>
          <w:bCs/>
        </w:rPr>
        <w:t>available</w:t>
      </w:r>
      <w:r w:rsidR="00DA082F" w:rsidRPr="008C17AA">
        <w:rPr>
          <w:rFonts w:eastAsia="Times New Roman"/>
          <w:b/>
        </w:rPr>
        <w:t xml:space="preserve"> remedies</w:t>
      </w:r>
      <w:r w:rsidR="00DA082F" w:rsidRPr="008C17AA">
        <w:rPr>
          <w:rFonts w:eastAsia="Verdana"/>
          <w:b/>
        </w:rPr>
        <w:t xml:space="preserve">. </w:t>
      </w:r>
      <w:r w:rsidR="0061552C" w:rsidRPr="008C17AA">
        <w:rPr>
          <w:rFonts w:eastAsia="Verdana"/>
          <w:b/>
        </w:rPr>
        <w:t>The NIHRC</w:t>
      </w:r>
      <w:r w:rsidR="0061552C" w:rsidRPr="008C17AA">
        <w:rPr>
          <w:rFonts w:eastAsia="Verdana"/>
          <w:b/>
          <w:bCs/>
        </w:rPr>
        <w:t xml:space="preserve"> </w:t>
      </w:r>
      <w:r w:rsidR="004A2071" w:rsidRPr="008C17AA">
        <w:rPr>
          <w:rFonts w:eastAsia="Verdana"/>
          <w:b/>
          <w:bCs/>
        </w:rPr>
        <w:t>therefore</w:t>
      </w:r>
      <w:r w:rsidR="0061552C" w:rsidRPr="008C17AA">
        <w:rPr>
          <w:rFonts w:eastAsia="Verdana"/>
          <w:b/>
        </w:rPr>
        <w:t xml:space="preserve"> </w:t>
      </w:r>
      <w:r w:rsidR="009F2D48" w:rsidRPr="008C17AA">
        <w:rPr>
          <w:rFonts w:eastAsia="Verdana"/>
          <w:b/>
        </w:rPr>
        <w:t xml:space="preserve">recommends </w:t>
      </w:r>
      <w:r w:rsidR="00013FAE" w:rsidRPr="008C17AA">
        <w:rPr>
          <w:rFonts w:eastAsia="Verdana"/>
          <w:b/>
        </w:rPr>
        <w:t xml:space="preserve">that in any assessment for compliance </w:t>
      </w:r>
      <w:r w:rsidR="00013FAE" w:rsidRPr="00B04B79">
        <w:rPr>
          <w:rFonts w:eastAsia="Verdana"/>
          <w:b/>
        </w:rPr>
        <w:t xml:space="preserve">with Protocol Article 2, </w:t>
      </w:r>
      <w:r w:rsidR="009F2D48" w:rsidRPr="00B04B79">
        <w:rPr>
          <w:rFonts w:eastAsia="Verdana"/>
          <w:b/>
        </w:rPr>
        <w:t xml:space="preserve">the UK Government should </w:t>
      </w:r>
      <w:r w:rsidR="00013FAE" w:rsidRPr="00B04B79">
        <w:rPr>
          <w:rFonts w:eastAsia="Verdana"/>
          <w:b/>
        </w:rPr>
        <w:t xml:space="preserve">consider access </w:t>
      </w:r>
      <w:r w:rsidR="00ED3706" w:rsidRPr="00B04B79">
        <w:rPr>
          <w:rFonts w:eastAsia="Verdana"/>
          <w:b/>
        </w:rPr>
        <w:t>to</w:t>
      </w:r>
      <w:r w:rsidR="00013FAE" w:rsidRPr="00B04B79">
        <w:rPr>
          <w:rFonts w:eastAsia="Verdana"/>
          <w:b/>
        </w:rPr>
        <w:t xml:space="preserve"> remedies and </w:t>
      </w:r>
      <w:r w:rsidR="00ED371A" w:rsidRPr="00B04B79">
        <w:rPr>
          <w:rFonts w:eastAsia="Verdana"/>
          <w:b/>
        </w:rPr>
        <w:t>how ECHR rights are claimed and enforced</w:t>
      </w:r>
      <w:r w:rsidR="009F2D48" w:rsidRPr="00B04B79">
        <w:rPr>
          <w:rFonts w:eastAsia="Verdana"/>
          <w:b/>
        </w:rPr>
        <w:t>.</w:t>
      </w:r>
    </w:p>
    <w:p w14:paraId="127401EC" w14:textId="77777777" w:rsidR="00756FA4" w:rsidRPr="00B04B79" w:rsidRDefault="00756FA4" w:rsidP="0003309F">
      <w:pPr>
        <w:pStyle w:val="ListParagraph"/>
        <w:rPr>
          <w:rFonts w:eastAsia="Verdana"/>
          <w:b/>
        </w:rPr>
      </w:pPr>
    </w:p>
    <w:p w14:paraId="17B33F73" w14:textId="77777777" w:rsidR="00756FA4" w:rsidRPr="00B04B79" w:rsidRDefault="00756FA4" w:rsidP="008C17AA">
      <w:pPr>
        <w:pStyle w:val="ListParagraph"/>
        <w:numPr>
          <w:ilvl w:val="1"/>
          <w:numId w:val="37"/>
        </w:numPr>
        <w:spacing w:after="186" w:line="276" w:lineRule="auto"/>
        <w:ind w:left="720"/>
        <w:rPr>
          <w:rFonts w:eastAsia="Verdana"/>
          <w:b/>
        </w:rPr>
      </w:pPr>
      <w:r w:rsidRPr="00B04B79">
        <w:rPr>
          <w:rFonts w:eastAsia="Verdana"/>
          <w:b/>
        </w:rPr>
        <w:t xml:space="preserve">The NIHRC recommends that no further action is taken in relation to the UK Government’s proposals until a detailed assessment of compliance with Protocol Article 2 is undertaken and published.   </w:t>
      </w:r>
    </w:p>
    <w:p w14:paraId="5295D21A" w14:textId="77777777" w:rsidR="00756FA4" w:rsidRPr="00B04B79" w:rsidRDefault="00756FA4" w:rsidP="00756FA4">
      <w:pPr>
        <w:pStyle w:val="ListParagraph"/>
        <w:rPr>
          <w:rFonts w:eastAsia="Verdana"/>
          <w:b/>
        </w:rPr>
      </w:pPr>
    </w:p>
    <w:p w14:paraId="5A588F08" w14:textId="54C596B9" w:rsidR="00756FA4" w:rsidRPr="00B04B79" w:rsidRDefault="00756FA4" w:rsidP="008C17AA">
      <w:pPr>
        <w:pStyle w:val="ListParagraph"/>
        <w:numPr>
          <w:ilvl w:val="1"/>
          <w:numId w:val="37"/>
        </w:numPr>
        <w:spacing w:after="186" w:line="276" w:lineRule="auto"/>
        <w:ind w:left="720"/>
        <w:rPr>
          <w:rFonts w:eastAsia="Verdana"/>
          <w:b/>
        </w:rPr>
      </w:pPr>
      <w:r w:rsidRPr="00B04B79">
        <w:rPr>
          <w:rFonts w:eastAsia="Verdana"/>
          <w:b/>
        </w:rPr>
        <w:t>The NIHRC further recommends that the UK Government provides greater clarification on all its proposals, to enable a full assessment the degree to which the proposals are compliant with Article 2.</w:t>
      </w:r>
    </w:p>
    <w:p w14:paraId="3F395FE8" w14:textId="77777777" w:rsidR="00DB2036" w:rsidRDefault="00DB2036" w:rsidP="00DB2036">
      <w:pPr>
        <w:pStyle w:val="ListParagraph"/>
      </w:pPr>
    </w:p>
    <w:p w14:paraId="51E658F7" w14:textId="1931DD17" w:rsidR="000A31C0" w:rsidRPr="009D21C2" w:rsidRDefault="000A31C0" w:rsidP="009D21C2">
      <w:pPr>
        <w:pStyle w:val="Heading2"/>
        <w:rPr>
          <w:rFonts w:eastAsia="Verdana"/>
        </w:rPr>
      </w:pPr>
      <w:bookmarkStart w:id="5" w:name="_Toc97636608"/>
      <w:r w:rsidRPr="000A31C0">
        <w:t>EU Charter</w:t>
      </w:r>
      <w:r>
        <w:t xml:space="preserve"> on Fundamental Rights</w:t>
      </w:r>
      <w:bookmarkEnd w:id="5"/>
      <w:r>
        <w:t xml:space="preserve"> </w:t>
      </w:r>
    </w:p>
    <w:p w14:paraId="39FAA875" w14:textId="4AB01E35" w:rsidR="000A31C0" w:rsidRDefault="000A31C0" w:rsidP="008C17AA">
      <w:pPr>
        <w:pStyle w:val="ListParagraph"/>
        <w:numPr>
          <w:ilvl w:val="1"/>
          <w:numId w:val="37"/>
        </w:numPr>
        <w:spacing w:after="186" w:line="276" w:lineRule="auto"/>
        <w:ind w:left="720"/>
      </w:pPr>
      <w:r w:rsidRPr="000A31C0">
        <w:t xml:space="preserve">Pursuant to Article 4(1), the Withdrawal Agreement produces the ‘the same legal effects’ on the UK as EU law on EU Member States, </w:t>
      </w:r>
      <w:r w:rsidRPr="000A31C0">
        <w:lastRenderedPageBreak/>
        <w:t>including compliance with the EU Charter on Fundamental Rights and the general principles of EU law.</w:t>
      </w:r>
      <w:r w:rsidRPr="000A31C0">
        <w:rPr>
          <w:rStyle w:val="FootnoteReference"/>
        </w:rPr>
        <w:footnoteReference w:id="41"/>
      </w:r>
      <w:r w:rsidRPr="000A31C0">
        <w:t xml:space="preserve"> </w:t>
      </w:r>
    </w:p>
    <w:p w14:paraId="6183C206" w14:textId="77777777" w:rsidR="000A31C0" w:rsidRDefault="000A31C0" w:rsidP="008C17AA">
      <w:pPr>
        <w:pStyle w:val="ListParagraph"/>
        <w:spacing w:after="186" w:line="276" w:lineRule="auto"/>
      </w:pPr>
    </w:p>
    <w:p w14:paraId="63D0ADC9" w14:textId="77777777" w:rsidR="000A31C0" w:rsidRDefault="000A31C0" w:rsidP="008C17AA">
      <w:pPr>
        <w:pStyle w:val="ListParagraph"/>
        <w:numPr>
          <w:ilvl w:val="1"/>
          <w:numId w:val="37"/>
        </w:numPr>
        <w:spacing w:after="186" w:line="276" w:lineRule="auto"/>
        <w:ind w:left="720"/>
      </w:pPr>
      <w:r w:rsidRPr="000A31C0">
        <w:t>Where required by Protocol Article 2, the EU Charter of Fundamental Rights continues to have relevance in NI.  This is an exception from the general provision of the EU (Withdrawal) Act 2018 which provides that the EU Charter is not carried over by the general rules on the retention of EU law and is not part of UK law on or after 1 January 2021.</w:t>
      </w:r>
      <w:r w:rsidRPr="000A31C0">
        <w:rPr>
          <w:rStyle w:val="FootnoteReference"/>
        </w:rPr>
        <w:footnoteReference w:id="42"/>
      </w:r>
      <w:r w:rsidRPr="000A31C0">
        <w:t xml:space="preserve">  </w:t>
      </w:r>
      <w:bookmarkStart w:id="7" w:name="_Hlk93418973"/>
    </w:p>
    <w:p w14:paraId="57A7F380" w14:textId="77777777" w:rsidR="000A31C0" w:rsidRDefault="000A31C0" w:rsidP="009D21C2">
      <w:pPr>
        <w:pStyle w:val="ListParagraph"/>
      </w:pPr>
    </w:p>
    <w:p w14:paraId="09AFBA4F" w14:textId="01D77839" w:rsidR="000A31C0" w:rsidRDefault="000A31C0" w:rsidP="008C17AA">
      <w:pPr>
        <w:pStyle w:val="ListParagraph"/>
        <w:numPr>
          <w:ilvl w:val="1"/>
          <w:numId w:val="37"/>
        </w:numPr>
        <w:spacing w:after="186" w:line="288" w:lineRule="auto"/>
        <w:ind w:left="720"/>
      </w:pPr>
      <w:r w:rsidRPr="000A31C0">
        <w:t>When EU Member States are implementing EU law, they are required to “respect the rights, observe the principles and promote the application” of the EU Charter.</w:t>
      </w:r>
      <w:r w:rsidRPr="000A31C0">
        <w:rPr>
          <w:rStyle w:val="FootnoteReference"/>
        </w:rPr>
        <w:footnoteReference w:id="43"/>
      </w:r>
      <w:r w:rsidRPr="000A31C0">
        <w:t xml:space="preserve"> The EU Charter can be considered to have direct effect where it meets the test of being sufficiently precise and unconditional.</w:t>
      </w:r>
      <w:r w:rsidRPr="000A31C0">
        <w:rPr>
          <w:rStyle w:val="FootnoteReference"/>
        </w:rPr>
        <w:footnoteReference w:id="44"/>
      </w:r>
      <w:r w:rsidRPr="000A31C0">
        <w:t xml:space="preserve"> It places an obligation on the national courts to “guarantee the full effectiveness of those articles by disapplying, if need be, any contrary provision of national law”.</w:t>
      </w:r>
      <w:r w:rsidRPr="000A31C0">
        <w:rPr>
          <w:rStyle w:val="FootnoteReference"/>
        </w:rPr>
        <w:footnoteReference w:id="45"/>
      </w:r>
      <w:r w:rsidRPr="000A31C0">
        <w:t xml:space="preserve">  The EU Charter continues to apply in the application and </w:t>
      </w:r>
      <w:bookmarkStart w:id="8" w:name="_Hlk94694513"/>
      <w:r w:rsidRPr="000A31C0">
        <w:t xml:space="preserve">interpretation </w:t>
      </w:r>
      <w:bookmarkStart w:id="9" w:name="_Hlk94694537"/>
      <w:r w:rsidRPr="000A31C0">
        <w:t>of</w:t>
      </w:r>
      <w:r>
        <w:t xml:space="preserve"> any</w:t>
      </w:r>
      <w:r w:rsidRPr="006F6E42">
        <w:t xml:space="preserve"> EU law</w:t>
      </w:r>
      <w:r>
        <w:t xml:space="preserve"> and concepts referred to in the Withdrawal Agreement</w:t>
      </w:r>
      <w:bookmarkEnd w:id="9"/>
      <w:r>
        <w:t xml:space="preserve">, </w:t>
      </w:r>
      <w:r w:rsidRPr="00F13370">
        <w:t>including any EU obligations which underpin the rights, safeguards and equality of opportunity protections within scope of Protocol Article 2</w:t>
      </w:r>
      <w:r w:rsidRPr="006F6E42">
        <w:t>.</w:t>
      </w:r>
      <w:bookmarkStart w:id="10" w:name="_Hlk94694589"/>
      <w:r>
        <w:rPr>
          <w:rStyle w:val="FootnoteReference"/>
        </w:rPr>
        <w:footnoteReference w:id="46"/>
      </w:r>
      <w:bookmarkEnd w:id="7"/>
      <w:bookmarkEnd w:id="8"/>
      <w:bookmarkEnd w:id="10"/>
    </w:p>
    <w:p w14:paraId="358B1595" w14:textId="77777777" w:rsidR="000A31C0" w:rsidRDefault="000A31C0" w:rsidP="009D21C2">
      <w:pPr>
        <w:pStyle w:val="ListParagraph"/>
      </w:pPr>
    </w:p>
    <w:p w14:paraId="6D8056FE" w14:textId="3F090ED3" w:rsidR="009542A3" w:rsidRDefault="000A31C0" w:rsidP="008C17AA">
      <w:pPr>
        <w:pStyle w:val="ListParagraph"/>
        <w:numPr>
          <w:ilvl w:val="1"/>
          <w:numId w:val="37"/>
        </w:numPr>
        <w:spacing w:after="186" w:line="288" w:lineRule="auto"/>
        <w:ind w:left="720"/>
      </w:pPr>
      <w:r>
        <w:t xml:space="preserve">The link between rights in the EU Charter </w:t>
      </w:r>
      <w:r w:rsidR="00A15CE8">
        <w:t xml:space="preserve">and </w:t>
      </w:r>
      <w:r>
        <w:t>the ECHR is well established.</w:t>
      </w:r>
      <w:r>
        <w:rPr>
          <w:rStyle w:val="FootnoteReference"/>
        </w:rPr>
        <w:footnoteReference w:id="47"/>
      </w:r>
      <w:r>
        <w:t xml:space="preserve">  Article 52 on the scope and interpretation of the EU Charter confirms that in so far as the Charter contains rights which correspond to rights in the ECHR, “the meaning and scope of those rights shall be the same as those laid down by the said Convention”</w:t>
      </w:r>
      <w:r w:rsidR="00A92129">
        <w:t>.</w:t>
      </w:r>
      <w:r>
        <w:t xml:space="preserve">  </w:t>
      </w:r>
      <w:r>
        <w:lastRenderedPageBreak/>
        <w:t>It further provides that this clause does not prevent EU law from providing “more extensive protection”.  The Explanations to the Charter do not have legal status but are “</w:t>
      </w:r>
      <w:r w:rsidRPr="00580E40">
        <w:t>a valuable tool of interpretation intended to clarify the provisions of the Charter</w:t>
      </w:r>
      <w:r>
        <w:t>”.</w:t>
      </w:r>
      <w:r>
        <w:rPr>
          <w:rStyle w:val="FootnoteReference"/>
        </w:rPr>
        <w:footnoteReference w:id="48"/>
      </w:r>
      <w:r>
        <w:t xml:space="preserve">  The</w:t>
      </w:r>
      <w:r w:rsidR="009542A3">
        <w:t>se</w:t>
      </w:r>
      <w:r>
        <w:t xml:space="preserve"> Explanations provide further guidance on the reference </w:t>
      </w:r>
      <w:r w:rsidRPr="00657B18">
        <w:t>to the ECHR</w:t>
      </w:r>
      <w:r>
        <w:t xml:space="preserve">, noting that Article 52(3) is intended to “ensure consistency between the Charter and ECHR” and that “the level of protection in the Charter may never be lower than that guaranteed by the ECHR”.  It further states that “reference to the ECHR </w:t>
      </w:r>
      <w:r w:rsidRPr="00657B18">
        <w:t xml:space="preserve">covers both the Convention and the Protocols to </w:t>
      </w:r>
      <w:r>
        <w:t>it” and that “t</w:t>
      </w:r>
      <w:r w:rsidRPr="00657B18">
        <w:t xml:space="preserve">he meaning and the scope of the guaranteed rights are determined not only by the text of those instruments, but also by the case-law of the </w:t>
      </w:r>
      <w:r>
        <w:t xml:space="preserve">ECtHR </w:t>
      </w:r>
      <w:r w:rsidRPr="00657B18">
        <w:t xml:space="preserve">and by the </w:t>
      </w:r>
      <w:r>
        <w:t>CJEU”</w:t>
      </w:r>
      <w:r w:rsidRPr="00657B18">
        <w:t>.</w:t>
      </w:r>
      <w:r>
        <w:rPr>
          <w:rStyle w:val="FootnoteReference"/>
        </w:rPr>
        <w:footnoteReference w:id="49"/>
      </w:r>
    </w:p>
    <w:p w14:paraId="29E79ED9" w14:textId="77777777" w:rsidR="009542A3" w:rsidRDefault="009542A3" w:rsidP="008C17AA">
      <w:pPr>
        <w:pStyle w:val="ListParagraph"/>
        <w:spacing w:after="186" w:line="288" w:lineRule="auto"/>
      </w:pPr>
    </w:p>
    <w:p w14:paraId="35BFC180" w14:textId="77777777" w:rsidR="009542A3" w:rsidRDefault="000A31C0" w:rsidP="008C17AA">
      <w:pPr>
        <w:pStyle w:val="ListParagraph"/>
        <w:numPr>
          <w:ilvl w:val="1"/>
          <w:numId w:val="37"/>
        </w:numPr>
        <w:spacing w:after="186" w:line="288" w:lineRule="auto"/>
        <w:ind w:left="720"/>
      </w:pPr>
      <w:r>
        <w:t>In its analysis of the rights in the EU Charter in 2017, the UK Government recognised the link between the EU Charter and the ECHR noting that “eighteen of the articles correspond, entirely or largely, to articles of the ECHR and are, as a result, protected both internationally and, through the Human Rights Act 1998 and the devolution statutes, domestically”.</w:t>
      </w:r>
      <w:r>
        <w:rPr>
          <w:rStyle w:val="FootnoteReference"/>
        </w:rPr>
        <w:footnoteReference w:id="50"/>
      </w:r>
      <w:r>
        <w:t xml:space="preserve"> </w:t>
      </w:r>
    </w:p>
    <w:p w14:paraId="186F0C2A" w14:textId="77777777" w:rsidR="009542A3" w:rsidRDefault="009542A3" w:rsidP="009D21C2">
      <w:pPr>
        <w:pStyle w:val="ListParagraph"/>
      </w:pPr>
    </w:p>
    <w:p w14:paraId="7517DD65" w14:textId="77777777" w:rsidR="009542A3" w:rsidRDefault="000A31C0" w:rsidP="008C17AA">
      <w:pPr>
        <w:pStyle w:val="ListParagraph"/>
        <w:numPr>
          <w:ilvl w:val="1"/>
          <w:numId w:val="37"/>
        </w:numPr>
        <w:spacing w:after="186" w:line="288" w:lineRule="auto"/>
        <w:ind w:left="720"/>
      </w:pPr>
      <w:r>
        <w:t xml:space="preserve">In </w:t>
      </w:r>
      <w:r w:rsidRPr="009D21C2">
        <w:rPr>
          <w:i/>
          <w:iCs/>
        </w:rPr>
        <w:t>R (AB) v Secretary of State for the Home Department</w:t>
      </w:r>
      <w:r>
        <w:t xml:space="preserve"> Mostyn J found that</w:t>
      </w:r>
    </w:p>
    <w:p w14:paraId="2F95502C" w14:textId="77777777" w:rsidR="009542A3" w:rsidRDefault="009542A3" w:rsidP="009D21C2">
      <w:pPr>
        <w:pStyle w:val="ListParagraph"/>
        <w:rPr>
          <w:rStyle w:val="QuoteChar"/>
        </w:rPr>
      </w:pPr>
    </w:p>
    <w:p w14:paraId="3B322954" w14:textId="1D92DF20" w:rsidR="009542A3" w:rsidRDefault="009542A3" w:rsidP="008C17AA">
      <w:pPr>
        <w:pStyle w:val="ListParagraph"/>
        <w:spacing w:after="186" w:line="288" w:lineRule="auto"/>
        <w:ind w:left="862" w:right="862"/>
      </w:pPr>
      <w:r>
        <w:rPr>
          <w:rStyle w:val="QuoteChar"/>
        </w:rPr>
        <w:t>t</w:t>
      </w:r>
      <w:r w:rsidR="000A31C0" w:rsidRPr="009D21C2">
        <w:rPr>
          <w:rStyle w:val="QuoteChar"/>
        </w:rPr>
        <w:t>he Human Rights Act 1998 incorporated into our domestic law large parts, but by no means all, of the ECHR. Some parts were deliberately missed out by Parliament. The Charter of Fundamental Rights of the EU contains, I believe, all of those missing parts and a great deal more</w:t>
      </w:r>
      <w:r w:rsidR="000A31C0">
        <w:t>.</w:t>
      </w:r>
      <w:r w:rsidR="000A31C0">
        <w:rPr>
          <w:rStyle w:val="FootnoteReference"/>
        </w:rPr>
        <w:footnoteReference w:id="51"/>
      </w:r>
      <w:r>
        <w:t xml:space="preserve"> </w:t>
      </w:r>
    </w:p>
    <w:p w14:paraId="0E684A1E" w14:textId="77777777" w:rsidR="009542A3" w:rsidRPr="00F13370" w:rsidRDefault="009542A3" w:rsidP="009D21C2">
      <w:pPr>
        <w:pStyle w:val="ListParagraph"/>
      </w:pPr>
    </w:p>
    <w:p w14:paraId="489C195A" w14:textId="18526F31" w:rsidR="009D21C2" w:rsidRDefault="000A31C0" w:rsidP="008C17AA">
      <w:pPr>
        <w:pStyle w:val="ListParagraph"/>
        <w:numPr>
          <w:ilvl w:val="1"/>
          <w:numId w:val="37"/>
        </w:numPr>
        <w:spacing w:after="186" w:line="288" w:lineRule="auto"/>
        <w:ind w:left="720"/>
      </w:pPr>
      <w:r w:rsidRPr="00F13370">
        <w:t xml:space="preserve">Decoupling the link between how UK courts interpret ECHR </w:t>
      </w:r>
      <w:proofErr w:type="gramStart"/>
      <w:r w:rsidRPr="00F13370">
        <w:t>rights</w:t>
      </w:r>
      <w:proofErr w:type="gramEnd"/>
      <w:r w:rsidRPr="00F13370">
        <w:t xml:space="preserve"> and the case law of the ECtHR creates a situation </w:t>
      </w:r>
      <w:r w:rsidR="00B11CBA" w:rsidRPr="00F13370">
        <w:t xml:space="preserve">where </w:t>
      </w:r>
      <w:r w:rsidRPr="00F13370">
        <w:t>the interpretation of those EU Charter rights which are within the scope of Protocol Article 2 would maintain a link to the ECtHR case law, whereas other aspects of ECHR outside the scope of Protocol Article 2 would be subject to a different, potentially lower standard.</w:t>
      </w:r>
      <w:r w:rsidR="00A61266">
        <w:t xml:space="preserve">  </w:t>
      </w:r>
    </w:p>
    <w:p w14:paraId="255B1F58" w14:textId="77777777" w:rsidR="009D21C2" w:rsidRDefault="009D21C2" w:rsidP="008C17AA">
      <w:pPr>
        <w:pStyle w:val="ListParagraph"/>
        <w:spacing w:after="186" w:line="288" w:lineRule="auto"/>
      </w:pPr>
    </w:p>
    <w:p w14:paraId="0D1E1EFD" w14:textId="69F8658E" w:rsidR="00EF3E20" w:rsidRPr="00F13370" w:rsidRDefault="009D21C2" w:rsidP="008C17AA">
      <w:pPr>
        <w:pStyle w:val="ListParagraph"/>
        <w:numPr>
          <w:ilvl w:val="1"/>
          <w:numId w:val="37"/>
        </w:numPr>
        <w:spacing w:after="186" w:line="276" w:lineRule="auto"/>
        <w:ind w:left="720"/>
        <w:rPr>
          <w:rFonts w:eastAsia="Verdana"/>
        </w:rPr>
      </w:pPr>
      <w:r w:rsidRPr="00F13370">
        <w:rPr>
          <w:b/>
        </w:rPr>
        <w:t>The NIHRC recommends that</w:t>
      </w:r>
      <w:r w:rsidR="0061552C" w:rsidRPr="00F13370">
        <w:rPr>
          <w:b/>
        </w:rPr>
        <w:t xml:space="preserve"> the </w:t>
      </w:r>
      <w:r w:rsidR="00EF3E20" w:rsidRPr="00F13370">
        <w:rPr>
          <w:b/>
        </w:rPr>
        <w:t>UK Government takes cognisance of the interplay of the ECHR</w:t>
      </w:r>
      <w:r w:rsidR="00FE697D" w:rsidRPr="00F13370">
        <w:rPr>
          <w:b/>
        </w:rPr>
        <w:t>, the EU Charter of Fundamental Rights</w:t>
      </w:r>
      <w:r w:rsidR="00EF3E20" w:rsidRPr="00F13370">
        <w:rPr>
          <w:b/>
        </w:rPr>
        <w:t xml:space="preserve"> and Protocol Article 2 and </w:t>
      </w:r>
      <w:r w:rsidR="00A61266" w:rsidRPr="00F13370">
        <w:rPr>
          <w:b/>
        </w:rPr>
        <w:t xml:space="preserve">ensures </w:t>
      </w:r>
      <w:r w:rsidR="00756FA4" w:rsidRPr="00F13370">
        <w:rPr>
          <w:b/>
        </w:rPr>
        <w:t>there is no weakening of</w:t>
      </w:r>
      <w:r w:rsidR="00EF3E20" w:rsidRPr="00F13370">
        <w:rPr>
          <w:b/>
        </w:rPr>
        <w:t xml:space="preserve"> </w:t>
      </w:r>
      <w:r w:rsidR="004F7F73" w:rsidRPr="00F13370">
        <w:rPr>
          <w:b/>
        </w:rPr>
        <w:t xml:space="preserve">the </w:t>
      </w:r>
      <w:r w:rsidR="00FE697D" w:rsidRPr="00F13370">
        <w:rPr>
          <w:b/>
        </w:rPr>
        <w:t xml:space="preserve">substantive </w:t>
      </w:r>
      <w:r w:rsidR="00756FA4" w:rsidRPr="00F13370">
        <w:rPr>
          <w:b/>
        </w:rPr>
        <w:t>rights</w:t>
      </w:r>
      <w:r w:rsidR="00FE697D" w:rsidRPr="00F13370">
        <w:rPr>
          <w:b/>
        </w:rPr>
        <w:t>, or how those rights</w:t>
      </w:r>
      <w:r w:rsidR="00EF3E20" w:rsidRPr="00F13370">
        <w:rPr>
          <w:b/>
        </w:rPr>
        <w:t xml:space="preserve"> are </w:t>
      </w:r>
      <w:r w:rsidR="00FE697D" w:rsidRPr="00F13370">
        <w:rPr>
          <w:b/>
        </w:rPr>
        <w:t>claimed and enforced, including access to remedies</w:t>
      </w:r>
      <w:r w:rsidR="00ED371A" w:rsidRPr="00F13370">
        <w:rPr>
          <w:b/>
        </w:rPr>
        <w:t xml:space="preserve">. </w:t>
      </w:r>
    </w:p>
    <w:p w14:paraId="3742200A" w14:textId="70B121E2" w:rsidR="000A31C0" w:rsidRPr="0099741A" w:rsidRDefault="000A31C0" w:rsidP="00ED371A">
      <w:pPr>
        <w:pStyle w:val="Heading2"/>
        <w:rPr>
          <w:rFonts w:eastAsia="Verdana"/>
        </w:rPr>
      </w:pPr>
      <w:bookmarkStart w:id="12" w:name="_Toc97636609"/>
      <w:r>
        <w:rPr>
          <w:rFonts w:eastAsia="Verdana"/>
        </w:rPr>
        <w:t xml:space="preserve">Bill of </w:t>
      </w:r>
      <w:r w:rsidR="007D7E0C">
        <w:rPr>
          <w:rFonts w:eastAsia="Verdana"/>
        </w:rPr>
        <w:t>R</w:t>
      </w:r>
      <w:r>
        <w:rPr>
          <w:rFonts w:eastAsia="Verdana"/>
        </w:rPr>
        <w:t>ights</w:t>
      </w:r>
      <w:bookmarkEnd w:id="12"/>
      <w:r>
        <w:rPr>
          <w:rFonts w:eastAsia="Verdana"/>
        </w:rPr>
        <w:t xml:space="preserve"> </w:t>
      </w:r>
    </w:p>
    <w:p w14:paraId="11B84BEF" w14:textId="2AFFDA34" w:rsidR="003E3381" w:rsidRPr="003E3381" w:rsidRDefault="004F7459" w:rsidP="008C17AA">
      <w:pPr>
        <w:pStyle w:val="ListParagraph"/>
        <w:numPr>
          <w:ilvl w:val="1"/>
          <w:numId w:val="37"/>
        </w:numPr>
        <w:spacing w:after="186" w:line="276" w:lineRule="auto"/>
        <w:ind w:left="720"/>
        <w:rPr>
          <w:rFonts w:eastAsia="Verdana"/>
          <w:b/>
          <w:bCs/>
        </w:rPr>
      </w:pPr>
      <w:r>
        <w:rPr>
          <w:rFonts w:eastAsia="Verdana"/>
        </w:rPr>
        <w:t>I</w:t>
      </w:r>
      <w:r w:rsidRPr="003E3381">
        <w:rPr>
          <w:rFonts w:eastAsia="Verdana"/>
        </w:rPr>
        <w:t xml:space="preserve">n its </w:t>
      </w:r>
      <w:r w:rsidR="009B3544">
        <w:rPr>
          <w:rFonts w:eastAsia="Verdana"/>
        </w:rPr>
        <w:t>C</w:t>
      </w:r>
      <w:r w:rsidRPr="003E3381">
        <w:rPr>
          <w:rFonts w:eastAsia="Verdana"/>
        </w:rPr>
        <w:t xml:space="preserve">oncluding </w:t>
      </w:r>
      <w:r w:rsidR="009B3544">
        <w:rPr>
          <w:rFonts w:eastAsia="Verdana"/>
        </w:rPr>
        <w:t>O</w:t>
      </w:r>
      <w:r w:rsidRPr="003E3381">
        <w:rPr>
          <w:rFonts w:eastAsia="Verdana"/>
        </w:rPr>
        <w:t>bservations on the UK, the UN Committee for Economic, Social and Cultural Rights noted that the UK Government should take measures to expedite the adoption of a Bill of Rights for NI.</w:t>
      </w:r>
      <w:r>
        <w:rPr>
          <w:rStyle w:val="FootnoteReference"/>
          <w:rFonts w:eastAsia="Verdana"/>
        </w:rPr>
        <w:footnoteReference w:id="52"/>
      </w:r>
      <w:r w:rsidRPr="003E3381">
        <w:rPr>
          <w:rFonts w:eastAsia="Verdana"/>
        </w:rPr>
        <w:t xml:space="preserve"> </w:t>
      </w:r>
      <w:r w:rsidR="009B3544">
        <w:rPr>
          <w:rFonts w:eastAsia="Verdana"/>
        </w:rPr>
        <w:t xml:space="preserve">The Committee for </w:t>
      </w:r>
      <w:r w:rsidR="005A6D4E">
        <w:rPr>
          <w:rFonts w:eastAsia="Verdana"/>
        </w:rPr>
        <w:t>the Elimination of Racial Discrimination made a similar recommendation in its Concluding Observations in 2016.</w:t>
      </w:r>
      <w:r w:rsidR="006913DD">
        <w:rPr>
          <w:rStyle w:val="FootnoteReference"/>
          <w:rFonts w:eastAsia="Verdana"/>
        </w:rPr>
        <w:footnoteReference w:id="53"/>
      </w:r>
      <w:r w:rsidR="005A6D4E">
        <w:rPr>
          <w:rFonts w:eastAsia="Verdana"/>
        </w:rPr>
        <w:t xml:space="preserve"> </w:t>
      </w:r>
      <w:r w:rsidR="00E138D9" w:rsidRPr="003E3381">
        <w:rPr>
          <w:rFonts w:eastAsia="Verdana"/>
        </w:rPr>
        <w:t xml:space="preserve">Both the </w:t>
      </w:r>
      <w:r w:rsidR="009254D5">
        <w:rPr>
          <w:rFonts w:eastAsia="Verdana"/>
        </w:rPr>
        <w:t>Belfast (Good Friday) Agreement</w:t>
      </w:r>
      <w:r w:rsidR="00E138D9" w:rsidRPr="003E3381">
        <w:rPr>
          <w:rFonts w:eastAsia="Verdana"/>
        </w:rPr>
        <w:t xml:space="preserve"> and the St Andrews Agreement 2006 provide for a Bill of Rights for N</w:t>
      </w:r>
      <w:r w:rsidR="0025480B">
        <w:rPr>
          <w:rFonts w:eastAsia="Verdana"/>
        </w:rPr>
        <w:t>I</w:t>
      </w:r>
      <w:r w:rsidR="00E138D9" w:rsidRPr="003E3381">
        <w:rPr>
          <w:rFonts w:eastAsia="Verdana"/>
        </w:rPr>
        <w:t xml:space="preserve">, yet NI remains without one. A Bill of Rights for NI would afford an additional layer of human rights protection, to supplement that of the HRA. The </w:t>
      </w:r>
      <w:r w:rsidR="0057324D" w:rsidRPr="003E3381">
        <w:rPr>
          <w:rFonts w:eastAsia="Verdana"/>
        </w:rPr>
        <w:t>‘</w:t>
      </w:r>
      <w:r w:rsidR="00E138D9" w:rsidRPr="003E3381">
        <w:rPr>
          <w:rFonts w:eastAsia="Verdana"/>
        </w:rPr>
        <w:t>New Decade</w:t>
      </w:r>
      <w:r w:rsidR="0057324D" w:rsidRPr="003E3381">
        <w:rPr>
          <w:rFonts w:eastAsia="Verdana"/>
        </w:rPr>
        <w:t>,</w:t>
      </w:r>
      <w:r w:rsidR="00E138D9" w:rsidRPr="003E3381">
        <w:rPr>
          <w:rFonts w:eastAsia="Verdana"/>
        </w:rPr>
        <w:t xml:space="preserve"> New Approach</w:t>
      </w:r>
      <w:r w:rsidR="0057324D" w:rsidRPr="003E3381">
        <w:rPr>
          <w:rFonts w:eastAsia="Verdana"/>
        </w:rPr>
        <w:t>’</w:t>
      </w:r>
      <w:r w:rsidR="00E138D9" w:rsidRPr="003E3381">
        <w:rPr>
          <w:rFonts w:eastAsia="Verdana"/>
        </w:rPr>
        <w:t xml:space="preserve"> agreement committed to establishing a NI Assembly Ad Hoc Committee on a Bill of Rights</w:t>
      </w:r>
      <w:r w:rsidR="003C211E" w:rsidRPr="003E3381">
        <w:rPr>
          <w:rFonts w:eastAsia="Verdana"/>
        </w:rPr>
        <w:t xml:space="preserve">, </w:t>
      </w:r>
      <w:r w:rsidR="00AE55A9" w:rsidRPr="003E3381">
        <w:rPr>
          <w:rFonts w:eastAsia="Verdana"/>
        </w:rPr>
        <w:t xml:space="preserve">to </w:t>
      </w:r>
      <w:r w:rsidR="00AE55A9">
        <w:t>consider the creation of a Bill of Rights “that is faithful to the stated intention of the 1998 Agreement in that it contains rights supplementary to those contained in the European Convention on Human Rights”.</w:t>
      </w:r>
      <w:r w:rsidR="00A13302">
        <w:rPr>
          <w:rStyle w:val="FootnoteReference"/>
          <w:rFonts w:eastAsia="Verdana"/>
        </w:rPr>
        <w:footnoteReference w:id="54"/>
      </w:r>
      <w:r w:rsidR="00E138D9" w:rsidRPr="003E3381">
        <w:rPr>
          <w:rFonts w:eastAsia="Verdana"/>
        </w:rPr>
        <w:t xml:space="preserve"> The Ad Hoc Committee </w:t>
      </w:r>
      <w:r w:rsidR="001B385D" w:rsidRPr="003E3381">
        <w:rPr>
          <w:rFonts w:eastAsia="Verdana"/>
        </w:rPr>
        <w:t>recently</w:t>
      </w:r>
      <w:r w:rsidR="000832F6" w:rsidRPr="003E3381">
        <w:rPr>
          <w:rFonts w:eastAsia="Verdana"/>
        </w:rPr>
        <w:t xml:space="preserve"> published its </w:t>
      </w:r>
      <w:r w:rsidR="00A6794D" w:rsidRPr="003E3381">
        <w:rPr>
          <w:rFonts w:eastAsia="Verdana"/>
        </w:rPr>
        <w:t>report</w:t>
      </w:r>
      <w:r w:rsidR="007F4788">
        <w:rPr>
          <w:rFonts w:eastAsia="Verdana"/>
        </w:rPr>
        <w:t>, however t</w:t>
      </w:r>
      <w:r w:rsidR="007F4788" w:rsidRPr="00DE2B72">
        <w:rPr>
          <w:rFonts w:eastAsia="Verdana"/>
        </w:rPr>
        <w:t>he Committee was “unable to make a decision on the justiciability and enforcement of rights due to the absence of a panel of experts and the content of the DUP party position paper</w:t>
      </w:r>
      <w:r w:rsidR="00DE2B72" w:rsidRPr="00DE2B72">
        <w:rPr>
          <w:rFonts w:eastAsia="Verdana"/>
        </w:rPr>
        <w:t>”</w:t>
      </w:r>
      <w:r w:rsidR="00A6794D" w:rsidRPr="003E3381">
        <w:rPr>
          <w:rFonts w:eastAsia="Verdana"/>
        </w:rPr>
        <w:t>.</w:t>
      </w:r>
      <w:r w:rsidR="00A6794D">
        <w:rPr>
          <w:rStyle w:val="FootnoteReference"/>
          <w:rFonts w:eastAsia="Verdana"/>
        </w:rPr>
        <w:footnoteReference w:id="55"/>
      </w:r>
      <w:r w:rsidR="00A6794D" w:rsidRPr="003E3381">
        <w:rPr>
          <w:rFonts w:eastAsia="Verdana"/>
        </w:rPr>
        <w:t xml:space="preserve"> </w:t>
      </w:r>
      <w:r w:rsidR="00183D5A" w:rsidRPr="003E3381">
        <w:rPr>
          <w:rFonts w:eastAsia="Verdana"/>
        </w:rPr>
        <w:t xml:space="preserve"> </w:t>
      </w:r>
    </w:p>
    <w:p w14:paraId="6645D3A2" w14:textId="77777777" w:rsidR="003E3381" w:rsidRPr="003E3381" w:rsidRDefault="003E3381" w:rsidP="004F7F73">
      <w:pPr>
        <w:pStyle w:val="ListParagraph"/>
        <w:ind w:hanging="720"/>
        <w:rPr>
          <w:rFonts w:eastAsia="Verdana"/>
        </w:rPr>
      </w:pPr>
    </w:p>
    <w:p w14:paraId="173BE14D" w14:textId="77777777" w:rsidR="00AE6214" w:rsidRPr="00AE6214" w:rsidRDefault="00AE6214" w:rsidP="008C17AA">
      <w:pPr>
        <w:pStyle w:val="ListParagraph"/>
        <w:numPr>
          <w:ilvl w:val="1"/>
          <w:numId w:val="37"/>
        </w:numPr>
        <w:spacing w:after="186" w:line="276" w:lineRule="auto"/>
        <w:ind w:left="720"/>
        <w:rPr>
          <w:rFonts w:eastAsia="Verdana"/>
        </w:rPr>
      </w:pPr>
      <w:r w:rsidRPr="00AE6214">
        <w:rPr>
          <w:rFonts w:eastAsia="Verdana"/>
        </w:rPr>
        <w:t xml:space="preserve">The NIHRC takes the view that EU withdrawal strengthens the case for a Bill of Rights and may make it more important and beneficial.  As noted above, the UK Government recognised that withdrawal from the EU poses direct challenges in relation to human rights and equality and the commitment in Protocol Article 2 aims in part to address this.  </w:t>
      </w:r>
    </w:p>
    <w:p w14:paraId="6F3EF49A" w14:textId="77777777" w:rsidR="00AE6214" w:rsidRPr="00AE6214" w:rsidRDefault="00AE6214" w:rsidP="00643E4A">
      <w:pPr>
        <w:pStyle w:val="ListParagraph"/>
        <w:ind w:hanging="720"/>
        <w:rPr>
          <w:rFonts w:eastAsia="Verdana"/>
        </w:rPr>
      </w:pPr>
    </w:p>
    <w:p w14:paraId="0E19A752" w14:textId="0EAB60D4" w:rsidR="00AE6214" w:rsidRPr="00AE6214" w:rsidRDefault="00AE6214" w:rsidP="008C17AA">
      <w:pPr>
        <w:pStyle w:val="ListParagraph"/>
        <w:numPr>
          <w:ilvl w:val="1"/>
          <w:numId w:val="37"/>
        </w:numPr>
        <w:spacing w:after="186" w:line="276" w:lineRule="auto"/>
        <w:ind w:left="720"/>
        <w:rPr>
          <w:rFonts w:eastAsia="Verdana"/>
          <w:b/>
          <w:bCs/>
        </w:rPr>
      </w:pPr>
      <w:r w:rsidRPr="00AE6214">
        <w:rPr>
          <w:rFonts w:eastAsia="Verdana"/>
        </w:rPr>
        <w:lastRenderedPageBreak/>
        <w:t xml:space="preserve">Protocol Article 2 is no substitute for a Bill of Rights. It is limited in scope to the provisions of the relevant chapter of the </w:t>
      </w:r>
      <w:r w:rsidR="009254D5">
        <w:rPr>
          <w:rFonts w:eastAsia="Verdana"/>
        </w:rPr>
        <w:t>Belfast (Good Friday) Agreement</w:t>
      </w:r>
      <w:r w:rsidRPr="00AE6214">
        <w:rPr>
          <w:rFonts w:eastAsia="Verdana"/>
        </w:rPr>
        <w:t xml:space="preserve"> and to precluding a diminution of rights, safeguards or equality of opportunity occurring ‘as a result of Brexit’.  The ‘keeping pace’ requirement only applies to the six Annex 1 Equality Directives and not to other relevant underpinning EU obligations where only non-diminution is guaranteed.  A wide range of NI legislation relevant to rights may therefore be susceptible to diminution that would be incapable of challenge via Protocol Article 2 but could be protected by a non-retrogression clause in a Bill of Rights</w:t>
      </w:r>
      <w:r w:rsidRPr="00AE6214">
        <w:rPr>
          <w:rFonts w:eastAsia="Verdana"/>
          <w:b/>
          <w:bCs/>
        </w:rPr>
        <w:t>.</w:t>
      </w:r>
    </w:p>
    <w:p w14:paraId="0934B635" w14:textId="77777777" w:rsidR="00AE6214" w:rsidRPr="00AE6214" w:rsidRDefault="00AE6214" w:rsidP="00643E4A">
      <w:pPr>
        <w:pStyle w:val="ListParagraph"/>
        <w:rPr>
          <w:rFonts w:eastAsia="Verdana"/>
        </w:rPr>
      </w:pPr>
    </w:p>
    <w:p w14:paraId="1FD4D674" w14:textId="57C769AD" w:rsidR="00ED5528" w:rsidRPr="00315EDC" w:rsidRDefault="00A17179" w:rsidP="008C17AA">
      <w:pPr>
        <w:pStyle w:val="ListParagraph"/>
        <w:numPr>
          <w:ilvl w:val="1"/>
          <w:numId w:val="37"/>
        </w:numPr>
        <w:spacing w:after="186" w:line="276" w:lineRule="auto"/>
        <w:ind w:left="720"/>
        <w:rPr>
          <w:rFonts w:eastAsia="Verdana"/>
          <w:b/>
        </w:rPr>
      </w:pPr>
      <w:r w:rsidRPr="003E3381">
        <w:rPr>
          <w:rFonts w:eastAsia="Verdana"/>
        </w:rPr>
        <w:t xml:space="preserve">It is important to note that the NI Bill of Rights has always been envisioned as supplementary to the ECHR, </w:t>
      </w:r>
      <w:r w:rsidR="0002614C" w:rsidRPr="003E3381">
        <w:rPr>
          <w:rFonts w:eastAsia="Verdana"/>
        </w:rPr>
        <w:t xml:space="preserve">as incorporated by the HRA, rather than a standalone alternative to either. The intention is to build upon the protections already provided. </w:t>
      </w:r>
      <w:r w:rsidR="00322727" w:rsidRPr="003E3381">
        <w:rPr>
          <w:rFonts w:eastAsia="Verdana"/>
        </w:rPr>
        <w:t xml:space="preserve">Reform of the HRA would, therefore, undermine this process. </w:t>
      </w:r>
      <w:r w:rsidR="00E44CA8" w:rsidRPr="003E3381">
        <w:rPr>
          <w:rFonts w:eastAsia="Verdana"/>
        </w:rPr>
        <w:t xml:space="preserve">The NIHRC advises that </w:t>
      </w:r>
      <w:r w:rsidR="00E44CA8">
        <w:t xml:space="preserve">the HRA is the fulfilment of the </w:t>
      </w:r>
      <w:r w:rsidR="009254D5">
        <w:t>Belfast (Good Friday) Agreement</w:t>
      </w:r>
      <w:r w:rsidR="00E44CA8">
        <w:t xml:space="preserve"> commitment to incorporate the ECHR into NI law. This should be ring-fenced and supplementary rights, taken together with the HRA, enacted to create a Bill of Rights for NI.</w:t>
      </w:r>
    </w:p>
    <w:p w14:paraId="4333E97F" w14:textId="77777777" w:rsidR="00ED5528" w:rsidRPr="00ED5528" w:rsidRDefault="00ED5528" w:rsidP="004F7F73">
      <w:pPr>
        <w:pStyle w:val="ListParagraph"/>
        <w:ind w:hanging="720"/>
        <w:rPr>
          <w:rFonts w:eastAsia="Verdana"/>
          <w:b/>
          <w:bCs/>
        </w:rPr>
      </w:pPr>
    </w:p>
    <w:p w14:paraId="3991804F" w14:textId="520FFAD2" w:rsidR="00185DF1" w:rsidRPr="00185DF1" w:rsidRDefault="00FD7824" w:rsidP="008C17AA">
      <w:pPr>
        <w:pStyle w:val="ListParagraph"/>
        <w:numPr>
          <w:ilvl w:val="1"/>
          <w:numId w:val="37"/>
        </w:numPr>
        <w:spacing w:after="186" w:line="276" w:lineRule="auto"/>
        <w:ind w:left="720"/>
        <w:rPr>
          <w:rFonts w:eastAsia="Verdana"/>
        </w:rPr>
      </w:pPr>
      <w:r w:rsidRPr="00185DF1">
        <w:rPr>
          <w:rFonts w:eastAsia="Verdana"/>
          <w:b/>
          <w:bCs/>
        </w:rPr>
        <w:t xml:space="preserve">The NIHRC </w:t>
      </w:r>
      <w:r w:rsidR="00F43652" w:rsidRPr="00185DF1">
        <w:rPr>
          <w:rFonts w:eastAsia="Verdana"/>
          <w:b/>
          <w:bCs/>
        </w:rPr>
        <w:t xml:space="preserve">recommends that the </w:t>
      </w:r>
      <w:r w:rsidR="00102AFD" w:rsidRPr="00185DF1">
        <w:rPr>
          <w:rFonts w:eastAsia="Verdana"/>
          <w:b/>
          <w:bCs/>
        </w:rPr>
        <w:t xml:space="preserve">UK Government considers and engages with the ongoing process to develop a Bill of Rights for NI to </w:t>
      </w:r>
      <w:r w:rsidR="00243110" w:rsidRPr="00185DF1">
        <w:rPr>
          <w:rFonts w:eastAsia="Verdana"/>
          <w:b/>
          <w:bCs/>
        </w:rPr>
        <w:t>avoid contradicting and frustrating this process</w:t>
      </w:r>
      <w:r w:rsidR="00880396" w:rsidRPr="00185DF1">
        <w:rPr>
          <w:rFonts w:eastAsia="Verdana"/>
          <w:b/>
          <w:bCs/>
        </w:rPr>
        <w:t xml:space="preserve">, committed to under the Belfast (Good Friday) Agreement. </w:t>
      </w:r>
    </w:p>
    <w:p w14:paraId="1DF42201" w14:textId="77777777" w:rsidR="00185DF1" w:rsidRPr="00185DF1" w:rsidRDefault="00185DF1" w:rsidP="004F7F73">
      <w:pPr>
        <w:pStyle w:val="ListParagraph"/>
        <w:ind w:hanging="720"/>
        <w:rPr>
          <w:rFonts w:eastAsia="Verdana"/>
        </w:rPr>
      </w:pPr>
    </w:p>
    <w:p w14:paraId="39C948E5" w14:textId="0B766DC1" w:rsidR="00E138D9" w:rsidRPr="00185DF1" w:rsidRDefault="002E6CC4" w:rsidP="008C17AA">
      <w:pPr>
        <w:pStyle w:val="ListParagraph"/>
        <w:numPr>
          <w:ilvl w:val="1"/>
          <w:numId w:val="37"/>
        </w:numPr>
        <w:spacing w:after="186" w:line="276" w:lineRule="auto"/>
        <w:ind w:left="720"/>
        <w:rPr>
          <w:rFonts w:eastAsia="Verdana"/>
        </w:rPr>
      </w:pPr>
      <w:r w:rsidRPr="00185DF1">
        <w:rPr>
          <w:rFonts w:eastAsia="Verdana"/>
        </w:rPr>
        <w:t xml:space="preserve">The HRA has allowed individuals, and organisations, to bring cases regarding human rights violations through the domestic courts, where previously any recourse to remedy would have had to be accessed through the ECtHR. This is particularly valuable for NI given its post-conflict status as the HRA has facilitated individuals in holding the State to account over issues connected to dealing with NI’s past. Despite the development of the Article 2 jurisprudence at Strasbourg, the role of the domestic courts in applying the Convention through the HRA remains central to the protection of rights in NI. In the cases of </w:t>
      </w:r>
      <w:r w:rsidR="00056A67" w:rsidRPr="12D4FF4B">
        <w:rPr>
          <w:rFonts w:eastAsia="Verdana"/>
          <w:i/>
          <w:iCs/>
        </w:rPr>
        <w:t xml:space="preserve">Patrick </w:t>
      </w:r>
      <w:r w:rsidRPr="12D4FF4B">
        <w:rPr>
          <w:rFonts w:eastAsia="Verdana"/>
          <w:i/>
          <w:iCs/>
        </w:rPr>
        <w:t>Finucane</w:t>
      </w:r>
      <w:r w:rsidRPr="00185DF1">
        <w:rPr>
          <w:rFonts w:eastAsia="Verdana"/>
        </w:rPr>
        <w:t xml:space="preserve"> and </w:t>
      </w:r>
      <w:r w:rsidRPr="12D4FF4B">
        <w:rPr>
          <w:rFonts w:eastAsia="Verdana"/>
          <w:i/>
          <w:iCs/>
        </w:rPr>
        <w:t>Hugh Jordan</w:t>
      </w:r>
      <w:r w:rsidRPr="00185DF1">
        <w:rPr>
          <w:rFonts w:eastAsia="Verdana"/>
        </w:rPr>
        <w:t xml:space="preserve">, in which the court considered the adequacy of legacy investigations under Article 2, the </w:t>
      </w:r>
      <w:r w:rsidR="00FB1AFB" w:rsidRPr="00185DF1">
        <w:rPr>
          <w:rFonts w:eastAsia="Verdana"/>
        </w:rPr>
        <w:t>U</w:t>
      </w:r>
      <w:r w:rsidR="0025480B">
        <w:rPr>
          <w:rFonts w:eastAsia="Verdana"/>
        </w:rPr>
        <w:t>K</w:t>
      </w:r>
      <w:r w:rsidR="00FB1AFB" w:rsidRPr="00185DF1">
        <w:rPr>
          <w:rFonts w:eastAsia="Verdana"/>
        </w:rPr>
        <w:t xml:space="preserve"> Supreme Court (</w:t>
      </w:r>
      <w:r w:rsidRPr="00185DF1">
        <w:rPr>
          <w:rFonts w:eastAsia="Verdana"/>
        </w:rPr>
        <w:t>UKSC</w:t>
      </w:r>
      <w:r w:rsidR="00FB1AFB" w:rsidRPr="00185DF1">
        <w:rPr>
          <w:rFonts w:eastAsia="Verdana"/>
        </w:rPr>
        <w:t>)</w:t>
      </w:r>
      <w:r w:rsidRPr="00185DF1">
        <w:rPr>
          <w:rFonts w:eastAsia="Verdana"/>
        </w:rPr>
        <w:t xml:space="preserve"> held that investigative obligations under Article 2 ECHR had not been </w:t>
      </w:r>
      <w:r w:rsidRPr="00185DF1">
        <w:rPr>
          <w:rFonts w:eastAsia="Verdana"/>
        </w:rPr>
        <w:lastRenderedPageBreak/>
        <w:t>complied with, reversing decisions by the Court of Appeal of NI.</w:t>
      </w:r>
      <w:r w:rsidR="004A63FD">
        <w:rPr>
          <w:rStyle w:val="FootnoteReference"/>
          <w:rFonts w:eastAsia="Verdana"/>
        </w:rPr>
        <w:footnoteReference w:id="56"/>
      </w:r>
      <w:r w:rsidRPr="00185DF1">
        <w:rPr>
          <w:rFonts w:eastAsia="Verdana"/>
        </w:rPr>
        <w:t xml:space="preserve"> </w:t>
      </w:r>
      <w:r w:rsidR="004755FA" w:rsidRPr="00185DF1">
        <w:rPr>
          <w:rFonts w:eastAsia="Verdana"/>
        </w:rPr>
        <w:t>The proposed reform</w:t>
      </w:r>
      <w:r w:rsidRPr="00185DF1">
        <w:rPr>
          <w:rFonts w:eastAsia="Verdana"/>
        </w:rPr>
        <w:t xml:space="preserve"> of the HRA could lead to increased numbers of individuals taking cases to Strasbourg, which would be a retrograde step particularly in terms of the propensity for legacy issues to be litigated on human rights grounds.</w:t>
      </w:r>
    </w:p>
    <w:p w14:paraId="79FE4C6F" w14:textId="77777777" w:rsidR="00915D7A" w:rsidRDefault="00915D7A" w:rsidP="008C17AA">
      <w:pPr>
        <w:pStyle w:val="ListParagraph"/>
        <w:spacing w:after="186" w:line="276" w:lineRule="auto"/>
        <w:ind w:hanging="720"/>
        <w:rPr>
          <w:rFonts w:eastAsia="Verdana"/>
        </w:rPr>
      </w:pPr>
    </w:p>
    <w:p w14:paraId="2BC736F6" w14:textId="6CF116A0" w:rsidR="004057BE" w:rsidRDefault="00915D7A" w:rsidP="008C17AA">
      <w:pPr>
        <w:pStyle w:val="ListParagraph"/>
        <w:numPr>
          <w:ilvl w:val="1"/>
          <w:numId w:val="37"/>
        </w:numPr>
        <w:spacing w:after="186" w:line="276" w:lineRule="auto"/>
        <w:ind w:left="720"/>
        <w:rPr>
          <w:rFonts w:eastAsia="Verdana"/>
        </w:rPr>
      </w:pPr>
      <w:r w:rsidRPr="00915D7A">
        <w:rPr>
          <w:rFonts w:eastAsia="Verdana"/>
        </w:rPr>
        <w:t xml:space="preserve">The HRA was particularly important to NI when it was without a sitting Assembly between January 2017 and January 2020. In </w:t>
      </w:r>
      <w:r w:rsidR="00056A67" w:rsidRPr="12D4FF4B">
        <w:rPr>
          <w:rFonts w:eastAsia="Verdana"/>
          <w:i/>
          <w:iCs/>
        </w:rPr>
        <w:t>Re</w:t>
      </w:r>
      <w:r w:rsidR="00056A67">
        <w:rPr>
          <w:rFonts w:eastAsia="Verdana"/>
        </w:rPr>
        <w:t xml:space="preserve"> </w:t>
      </w:r>
      <w:r w:rsidRPr="12D4FF4B">
        <w:rPr>
          <w:rFonts w:eastAsia="Verdana"/>
          <w:i/>
          <w:iCs/>
        </w:rPr>
        <w:t>Northern Ireland Human Rights Commission</w:t>
      </w:r>
      <w:r w:rsidRPr="00915D7A">
        <w:rPr>
          <w:rFonts w:eastAsia="Verdana"/>
        </w:rPr>
        <w:t>, a case concerning abortion access</w:t>
      </w:r>
      <w:r w:rsidR="00C51147">
        <w:rPr>
          <w:rFonts w:eastAsia="Verdana"/>
        </w:rPr>
        <w:t xml:space="preserve"> which</w:t>
      </w:r>
      <w:r w:rsidRPr="00915D7A">
        <w:rPr>
          <w:rFonts w:eastAsia="Verdana"/>
        </w:rPr>
        <w:t xml:space="preserve"> </w:t>
      </w:r>
      <w:r w:rsidR="00056A67">
        <w:rPr>
          <w:rFonts w:eastAsia="Verdana"/>
        </w:rPr>
        <w:t>came before</w:t>
      </w:r>
      <w:r w:rsidRPr="00915D7A">
        <w:rPr>
          <w:rFonts w:eastAsia="Verdana"/>
        </w:rPr>
        <w:t xml:space="preserve"> the UKSC during </w:t>
      </w:r>
      <w:r w:rsidR="00056A67">
        <w:rPr>
          <w:rFonts w:eastAsia="Verdana"/>
        </w:rPr>
        <w:t xml:space="preserve">a </w:t>
      </w:r>
      <w:r w:rsidRPr="00915D7A">
        <w:rPr>
          <w:rFonts w:eastAsia="Verdana"/>
        </w:rPr>
        <w:t xml:space="preserve">period </w:t>
      </w:r>
      <w:r w:rsidR="00056A67">
        <w:rPr>
          <w:rFonts w:eastAsia="Verdana"/>
        </w:rPr>
        <w:t xml:space="preserve">in which the NI </w:t>
      </w:r>
      <w:r w:rsidRPr="00915D7A">
        <w:rPr>
          <w:rFonts w:eastAsia="Verdana"/>
        </w:rPr>
        <w:t>Assembly</w:t>
      </w:r>
      <w:r w:rsidR="00056A67">
        <w:rPr>
          <w:rFonts w:eastAsia="Verdana"/>
        </w:rPr>
        <w:t xml:space="preserve"> was not functioning</w:t>
      </w:r>
      <w:r w:rsidRPr="00915D7A">
        <w:rPr>
          <w:rFonts w:eastAsia="Verdana"/>
        </w:rPr>
        <w:t xml:space="preserve">, Lord </w:t>
      </w:r>
      <w:proofErr w:type="spellStart"/>
      <w:r w:rsidRPr="00915D7A">
        <w:rPr>
          <w:rFonts w:eastAsia="Verdana"/>
        </w:rPr>
        <w:t>Mance</w:t>
      </w:r>
      <w:proofErr w:type="spellEnd"/>
      <w:r w:rsidRPr="00915D7A">
        <w:rPr>
          <w:rFonts w:eastAsia="Verdana"/>
        </w:rPr>
        <w:t xml:space="preserve"> noted that there was no indication when or if Stormont would resume operations.</w:t>
      </w:r>
      <w:r w:rsidR="00172BF7">
        <w:rPr>
          <w:rStyle w:val="FootnoteReference"/>
          <w:rFonts w:eastAsia="Verdana"/>
        </w:rPr>
        <w:footnoteReference w:id="57"/>
      </w:r>
      <w:r w:rsidRPr="00915D7A">
        <w:rPr>
          <w:rFonts w:eastAsia="Verdana"/>
        </w:rPr>
        <w:t xml:space="preserve"> As such, Lord </w:t>
      </w:r>
      <w:proofErr w:type="spellStart"/>
      <w:r w:rsidRPr="00915D7A">
        <w:rPr>
          <w:rFonts w:eastAsia="Verdana"/>
        </w:rPr>
        <w:t>Mance</w:t>
      </w:r>
      <w:proofErr w:type="spellEnd"/>
      <w:r w:rsidRPr="00915D7A">
        <w:rPr>
          <w:rFonts w:eastAsia="Verdana"/>
        </w:rPr>
        <w:t xml:space="preserve"> commented that the present law was incompatible with Convention rights, stating that it was in need of “radical reconsideration”.</w:t>
      </w:r>
      <w:r w:rsidR="00172BF7">
        <w:rPr>
          <w:rStyle w:val="FootnoteReference"/>
          <w:rFonts w:eastAsia="Verdana"/>
        </w:rPr>
        <w:footnoteReference w:id="58"/>
      </w:r>
      <w:r w:rsidR="000B3134">
        <w:rPr>
          <w:rFonts w:eastAsia="Verdana"/>
        </w:rPr>
        <w:t xml:space="preserve"> This is particularly relevant given the NI Executive is again </w:t>
      </w:r>
      <w:r w:rsidR="007D28CD">
        <w:rPr>
          <w:rFonts w:eastAsia="Verdana"/>
        </w:rPr>
        <w:t>facing a potential period of instability.</w:t>
      </w:r>
    </w:p>
    <w:p w14:paraId="14943FEE" w14:textId="77777777" w:rsidR="004057BE" w:rsidRPr="004057BE" w:rsidRDefault="004057BE" w:rsidP="004F7F73">
      <w:pPr>
        <w:pStyle w:val="ListParagraph"/>
        <w:ind w:hanging="720"/>
        <w:rPr>
          <w:rFonts w:eastAsia="Verdana"/>
        </w:rPr>
      </w:pPr>
    </w:p>
    <w:p w14:paraId="166548A8" w14:textId="77777777" w:rsidR="00915D7A" w:rsidRPr="00B62156" w:rsidRDefault="00FA7E6F" w:rsidP="008C17AA">
      <w:pPr>
        <w:pStyle w:val="ListParagraph"/>
        <w:numPr>
          <w:ilvl w:val="1"/>
          <w:numId w:val="37"/>
        </w:numPr>
        <w:spacing w:after="186" w:line="276" w:lineRule="auto"/>
        <w:ind w:left="720"/>
        <w:rPr>
          <w:rFonts w:eastAsia="Verdana"/>
          <w:b/>
          <w:bCs/>
        </w:rPr>
      </w:pPr>
      <w:r>
        <w:rPr>
          <w:rFonts w:eastAsia="Verdana"/>
          <w:b/>
          <w:bCs/>
        </w:rPr>
        <w:t xml:space="preserve">The NIHRC recommends that the UK Government </w:t>
      </w:r>
      <w:r w:rsidR="00B62156">
        <w:rPr>
          <w:rFonts w:eastAsia="Verdana"/>
          <w:b/>
          <w:bCs/>
        </w:rPr>
        <w:t>ensures the continu</w:t>
      </w:r>
      <w:r w:rsidR="00702D27">
        <w:rPr>
          <w:rFonts w:eastAsia="Verdana"/>
          <w:b/>
          <w:bCs/>
        </w:rPr>
        <w:t>ed access to domestic courts for</w:t>
      </w:r>
      <w:r w:rsidR="00E067A6" w:rsidRPr="00B62156">
        <w:rPr>
          <w:rFonts w:eastAsia="Verdana"/>
          <w:b/>
          <w:bCs/>
        </w:rPr>
        <w:t xml:space="preserve"> human rights violations, particularly in the context of Northern Ireland’s post-conflict legacy</w:t>
      </w:r>
      <w:r w:rsidR="00B62156" w:rsidRPr="00B62156">
        <w:rPr>
          <w:rFonts w:eastAsia="Verdana"/>
          <w:b/>
          <w:bCs/>
        </w:rPr>
        <w:t xml:space="preserve">. </w:t>
      </w:r>
    </w:p>
    <w:p w14:paraId="5493A312" w14:textId="77777777" w:rsidR="0099741A" w:rsidRPr="0099741A" w:rsidRDefault="0099741A" w:rsidP="004F7F73">
      <w:pPr>
        <w:rPr>
          <w:rFonts w:eastAsia="Verdana"/>
        </w:rPr>
      </w:pPr>
    </w:p>
    <w:p w14:paraId="2DAA540D" w14:textId="77777777" w:rsidR="00E33B89" w:rsidRDefault="00091200" w:rsidP="008C17AA">
      <w:pPr>
        <w:pStyle w:val="ListParagraph"/>
        <w:numPr>
          <w:ilvl w:val="1"/>
          <w:numId w:val="37"/>
        </w:numPr>
        <w:spacing w:after="186" w:line="276" w:lineRule="auto"/>
        <w:ind w:left="720" w:right="74"/>
        <w:rPr>
          <w:rFonts w:eastAsia="Verdana"/>
        </w:rPr>
      </w:pPr>
      <w:r>
        <w:rPr>
          <w:rFonts w:eastAsia="Verdana"/>
        </w:rPr>
        <w:t>The NIHRC notes that the IHRAR concluded that:</w:t>
      </w:r>
    </w:p>
    <w:p w14:paraId="7A67452B" w14:textId="77777777" w:rsidR="00091200" w:rsidRPr="00091200" w:rsidRDefault="00091200" w:rsidP="00091200">
      <w:pPr>
        <w:pStyle w:val="ListParagraph"/>
        <w:rPr>
          <w:rFonts w:eastAsia="Verdana"/>
        </w:rPr>
      </w:pPr>
    </w:p>
    <w:p w14:paraId="66D589A4" w14:textId="65717D28" w:rsidR="00091200" w:rsidRDefault="00091200" w:rsidP="008C17AA">
      <w:pPr>
        <w:pStyle w:val="ListParagraph"/>
        <w:spacing w:after="186" w:line="276" w:lineRule="auto"/>
        <w:ind w:left="1440" w:right="75"/>
      </w:pPr>
      <w:r>
        <w:t>It must also be acknowledged that both proposals [</w:t>
      </w:r>
      <w:r w:rsidR="007A5953">
        <w:t>i.e., the British Bill of Rights and repeal of the HRA]</w:t>
      </w:r>
      <w:r>
        <w:t xml:space="preserve">, in the Panel’s view, could have a significant impact on devolution and the Northern Ireland Peace Agreement (the Good Friday or Belfast Agreement), clearly so in the case of straightforward repeal. It might be said that, depending on how a British Bill of Rights was framed, it might pose less of a risk of such an impact in the devolution context </w:t>
      </w:r>
      <w:r w:rsidRPr="12D4FF4B">
        <w:rPr>
          <w:b/>
          <w:bCs/>
          <w:i/>
          <w:iCs/>
        </w:rPr>
        <w:t>if</w:t>
      </w:r>
      <w:r>
        <w:t xml:space="preserve"> it substantially replicated the HRA.</w:t>
      </w:r>
      <w:r w:rsidR="00534497">
        <w:rPr>
          <w:rStyle w:val="FootnoteReference"/>
        </w:rPr>
        <w:footnoteReference w:id="59"/>
      </w:r>
    </w:p>
    <w:p w14:paraId="290E3EB5" w14:textId="77777777" w:rsidR="00633A2F" w:rsidRDefault="00633A2F" w:rsidP="008C17AA">
      <w:pPr>
        <w:pStyle w:val="ListParagraph"/>
        <w:spacing w:after="186" w:line="276" w:lineRule="auto"/>
        <w:ind w:left="548" w:right="75"/>
        <w:rPr>
          <w:rFonts w:eastAsia="Verdana"/>
        </w:rPr>
      </w:pPr>
    </w:p>
    <w:p w14:paraId="22886F56" w14:textId="5B67E248" w:rsidR="00633A2F" w:rsidRDefault="00163571" w:rsidP="008C17AA">
      <w:pPr>
        <w:pStyle w:val="ListParagraph"/>
        <w:numPr>
          <w:ilvl w:val="1"/>
          <w:numId w:val="37"/>
        </w:numPr>
        <w:spacing w:after="186" w:line="276" w:lineRule="auto"/>
        <w:ind w:left="720"/>
        <w:rPr>
          <w:rFonts w:eastAsia="Verdana"/>
        </w:rPr>
      </w:pPr>
      <w:r w:rsidRPr="00633A2F">
        <w:rPr>
          <w:rFonts w:eastAsia="Verdana"/>
        </w:rPr>
        <w:t xml:space="preserve">Given the scope of the proposals presented in the consultation paper, </w:t>
      </w:r>
      <w:r w:rsidR="00561E7F" w:rsidRPr="00633A2F">
        <w:rPr>
          <w:rFonts w:eastAsia="Verdana"/>
        </w:rPr>
        <w:t xml:space="preserve">which go beyond the terms of </w:t>
      </w:r>
      <w:r w:rsidR="00A96373" w:rsidRPr="00633A2F">
        <w:rPr>
          <w:rFonts w:eastAsia="Verdana"/>
        </w:rPr>
        <w:t>reference</w:t>
      </w:r>
      <w:r w:rsidR="00561E7F" w:rsidRPr="00633A2F">
        <w:rPr>
          <w:rFonts w:eastAsia="Verdana"/>
        </w:rPr>
        <w:t xml:space="preserve"> for the IHRAR, </w:t>
      </w:r>
      <w:r w:rsidR="00997197" w:rsidRPr="00633A2F">
        <w:rPr>
          <w:rFonts w:eastAsia="Verdana"/>
        </w:rPr>
        <w:t xml:space="preserve">the NIHRC considers that the proposed British Bill of Rights would not </w:t>
      </w:r>
      <w:r w:rsidR="00997197" w:rsidRPr="00633A2F">
        <w:rPr>
          <w:rFonts w:eastAsia="Verdana"/>
        </w:rPr>
        <w:lastRenderedPageBreak/>
        <w:t xml:space="preserve">sufficiently replicate the HRA so as to amount to continuing </w:t>
      </w:r>
      <w:r w:rsidR="00A70312" w:rsidRPr="00633A2F">
        <w:rPr>
          <w:rFonts w:eastAsia="Verdana"/>
        </w:rPr>
        <w:t xml:space="preserve">protection for </w:t>
      </w:r>
      <w:r w:rsidR="00926398">
        <w:rPr>
          <w:rFonts w:eastAsia="Verdana"/>
        </w:rPr>
        <w:t>NI</w:t>
      </w:r>
      <w:r w:rsidR="00A70312" w:rsidRPr="00633A2F">
        <w:rPr>
          <w:rFonts w:eastAsia="Verdana"/>
        </w:rPr>
        <w:t>. On the contrary, the NIHRC fears that the proposals amount to less rights, for fewer people, in more limited circumstances.</w:t>
      </w:r>
    </w:p>
    <w:p w14:paraId="6723F7F4" w14:textId="77777777" w:rsidR="00633A2F" w:rsidRDefault="00633A2F" w:rsidP="008C17AA">
      <w:pPr>
        <w:pStyle w:val="ListParagraph"/>
        <w:spacing w:after="186" w:line="276" w:lineRule="auto"/>
        <w:ind w:hanging="720"/>
        <w:rPr>
          <w:rFonts w:eastAsia="Verdana"/>
        </w:rPr>
      </w:pPr>
    </w:p>
    <w:p w14:paraId="69EC30F1" w14:textId="70BD6A27" w:rsidR="00BB695F" w:rsidRPr="00633A2F" w:rsidRDefault="00BB695F" w:rsidP="008C17AA">
      <w:pPr>
        <w:pStyle w:val="ListParagraph"/>
        <w:numPr>
          <w:ilvl w:val="1"/>
          <w:numId w:val="37"/>
        </w:numPr>
        <w:spacing w:after="186" w:line="276" w:lineRule="auto"/>
        <w:ind w:left="720"/>
        <w:rPr>
          <w:rFonts w:eastAsia="Verdana"/>
        </w:rPr>
      </w:pPr>
      <w:r w:rsidRPr="00CD559C">
        <w:rPr>
          <w:rFonts w:eastAsia="Verdana"/>
          <w:b/>
          <w:bCs/>
        </w:rPr>
        <w:t>The</w:t>
      </w:r>
      <w:r w:rsidRPr="00633A2F">
        <w:rPr>
          <w:rFonts w:eastAsia="Verdana"/>
          <w:b/>
          <w:bCs/>
        </w:rPr>
        <w:t xml:space="preserve"> NIHRC recommends that the </w:t>
      </w:r>
      <w:r w:rsidR="00056A67">
        <w:rPr>
          <w:rFonts w:eastAsia="Verdana"/>
          <w:b/>
          <w:bCs/>
        </w:rPr>
        <w:t xml:space="preserve">current </w:t>
      </w:r>
      <w:r w:rsidRPr="00633A2F">
        <w:rPr>
          <w:rFonts w:eastAsia="Verdana"/>
          <w:b/>
          <w:bCs/>
        </w:rPr>
        <w:t>proposals for reform of the HRA</w:t>
      </w:r>
      <w:r w:rsidR="00670441" w:rsidRPr="00633A2F">
        <w:rPr>
          <w:rFonts w:eastAsia="Verdana"/>
          <w:b/>
          <w:bCs/>
        </w:rPr>
        <w:t xml:space="preserve"> are </w:t>
      </w:r>
      <w:r w:rsidR="002F21A2">
        <w:rPr>
          <w:rFonts w:eastAsia="Verdana"/>
          <w:b/>
          <w:bCs/>
        </w:rPr>
        <w:t>withdrawn</w:t>
      </w:r>
      <w:r w:rsidR="00670441" w:rsidRPr="00633A2F">
        <w:rPr>
          <w:rFonts w:eastAsia="Verdana"/>
          <w:b/>
          <w:bCs/>
        </w:rPr>
        <w:t xml:space="preserve">, in light of the likely damaging impact on the Northern Ireland peace process. </w:t>
      </w:r>
    </w:p>
    <w:p w14:paraId="6EA478E3" w14:textId="77777777" w:rsidR="00D77C9C" w:rsidRDefault="00D77C9C" w:rsidP="008C17AA">
      <w:pPr>
        <w:pStyle w:val="ListParagraph"/>
        <w:spacing w:after="39" w:line="276" w:lineRule="auto"/>
        <w:rPr>
          <w:rFonts w:eastAsia="Times New Roman" w:cs="Verdana"/>
          <w:color w:val="000000"/>
          <w:szCs w:val="22"/>
          <w:lang w:eastAsia="en-GB"/>
        </w:rPr>
      </w:pPr>
    </w:p>
    <w:p w14:paraId="36BE8EBB" w14:textId="77777777" w:rsidR="0079133E" w:rsidRDefault="0079133E" w:rsidP="00A2361E">
      <w:pPr>
        <w:pStyle w:val="ListParagraph"/>
        <w:spacing w:line="276" w:lineRule="auto"/>
        <w:rPr>
          <w:rFonts w:eastAsia="Times New Roman" w:cs="Verdana"/>
          <w:color w:val="000000"/>
          <w:szCs w:val="22"/>
          <w:lang w:eastAsia="en-GB"/>
        </w:rPr>
      </w:pPr>
    </w:p>
    <w:p w14:paraId="477675EC" w14:textId="77777777" w:rsidR="00BF2496" w:rsidRDefault="00BF2496" w:rsidP="00A2361E">
      <w:pPr>
        <w:pStyle w:val="ListParagraph"/>
        <w:spacing w:line="276" w:lineRule="auto"/>
        <w:rPr>
          <w:rFonts w:eastAsia="Times New Roman" w:cs="Verdana"/>
          <w:color w:val="000000"/>
          <w:szCs w:val="22"/>
          <w:lang w:eastAsia="en-GB"/>
        </w:rPr>
      </w:pPr>
    </w:p>
    <w:p w14:paraId="2696BE58" w14:textId="77777777" w:rsidR="002738B8" w:rsidRDefault="002738B8" w:rsidP="00A2361E">
      <w:pPr>
        <w:pStyle w:val="ListParagraph"/>
        <w:spacing w:line="276" w:lineRule="auto"/>
        <w:rPr>
          <w:rFonts w:eastAsia="Times New Roman" w:cs="Verdana"/>
          <w:color w:val="000000"/>
          <w:szCs w:val="22"/>
          <w:lang w:eastAsia="en-GB"/>
        </w:rPr>
      </w:pPr>
    </w:p>
    <w:p w14:paraId="0011071F" w14:textId="77777777" w:rsidR="00605D0A" w:rsidRDefault="00605D0A">
      <w:pPr>
        <w:spacing w:after="160" w:line="259" w:lineRule="auto"/>
        <w:rPr>
          <w:rFonts w:eastAsia="Times New Roman" w:cs="Verdana"/>
          <w:color w:val="000000"/>
          <w:szCs w:val="22"/>
          <w:lang w:eastAsia="en-GB"/>
        </w:rPr>
      </w:pPr>
      <w:r>
        <w:rPr>
          <w:rFonts w:eastAsia="Times New Roman" w:cs="Verdana"/>
          <w:color w:val="000000"/>
          <w:szCs w:val="22"/>
          <w:lang w:eastAsia="en-GB"/>
        </w:rPr>
        <w:br w:type="page"/>
      </w:r>
    </w:p>
    <w:p w14:paraId="284AD8E0" w14:textId="77777777" w:rsidR="003B57BA" w:rsidRDefault="003B57BA" w:rsidP="00A2361E">
      <w:pPr>
        <w:pStyle w:val="BasicParagraph"/>
        <w:suppressAutoHyphens/>
        <w:spacing w:line="276" w:lineRule="auto"/>
        <w:jc w:val="both"/>
        <w:rPr>
          <w:rFonts w:ascii="Verdana" w:hAnsi="Verdana" w:cs="Arial"/>
          <w:color w:val="232120"/>
          <w:sz w:val="20"/>
          <w:szCs w:val="20"/>
        </w:rPr>
      </w:pPr>
    </w:p>
    <w:p w14:paraId="5A6ECE16" w14:textId="77777777" w:rsidR="005F0165" w:rsidRDefault="005F0165" w:rsidP="00A2361E">
      <w:pPr>
        <w:pStyle w:val="BasicParagraph"/>
        <w:suppressAutoHyphens/>
        <w:spacing w:line="276" w:lineRule="auto"/>
        <w:jc w:val="both"/>
        <w:rPr>
          <w:rFonts w:ascii="Verdana" w:hAnsi="Verdana" w:cs="Arial"/>
          <w:color w:val="232120"/>
          <w:sz w:val="20"/>
          <w:szCs w:val="20"/>
        </w:rPr>
      </w:pPr>
    </w:p>
    <w:p w14:paraId="67E4F8C2" w14:textId="77777777" w:rsidR="00081263" w:rsidRDefault="00081263" w:rsidP="00703FFF">
      <w:pPr>
        <w:pStyle w:val="BasicParagraph"/>
        <w:suppressAutoHyphens/>
        <w:jc w:val="both"/>
        <w:rPr>
          <w:rFonts w:ascii="Verdana" w:hAnsi="Verdana" w:cs="Arial"/>
          <w:b/>
          <w:bCs/>
          <w:color w:val="77328A"/>
          <w:sz w:val="36"/>
          <w:szCs w:val="36"/>
        </w:rPr>
      </w:pPr>
    </w:p>
    <w:p w14:paraId="5628115A" w14:textId="77777777" w:rsidR="00081263" w:rsidRDefault="00081263" w:rsidP="00703FFF">
      <w:pPr>
        <w:pStyle w:val="BasicParagraph"/>
        <w:suppressAutoHyphens/>
        <w:jc w:val="both"/>
        <w:rPr>
          <w:rFonts w:ascii="Verdana" w:hAnsi="Verdana" w:cs="Arial"/>
          <w:b/>
          <w:bCs/>
          <w:color w:val="77328A"/>
          <w:sz w:val="36"/>
          <w:szCs w:val="36"/>
        </w:rPr>
      </w:pPr>
    </w:p>
    <w:p w14:paraId="5A2E9298" w14:textId="77777777" w:rsidR="00DF2F15" w:rsidRDefault="00DF2F15" w:rsidP="00141D5F">
      <w:pPr>
        <w:spacing w:after="160" w:line="259" w:lineRule="auto"/>
        <w:rPr>
          <w:rFonts w:cs="Arial"/>
          <w:b/>
          <w:bCs/>
          <w:color w:val="77328A"/>
          <w:sz w:val="36"/>
          <w:szCs w:val="36"/>
        </w:rPr>
      </w:pPr>
    </w:p>
    <w:p w14:paraId="47BAB672" w14:textId="77777777" w:rsidR="00DF2F15" w:rsidRDefault="00DF2F15" w:rsidP="001C602C">
      <w:pPr>
        <w:spacing w:after="160" w:line="259" w:lineRule="auto"/>
        <w:jc w:val="center"/>
        <w:rPr>
          <w:rFonts w:cs="Arial"/>
          <w:b/>
          <w:bCs/>
          <w:color w:val="77328A"/>
          <w:sz w:val="36"/>
          <w:szCs w:val="36"/>
        </w:rPr>
      </w:pPr>
    </w:p>
    <w:p w14:paraId="60F61C76" w14:textId="77777777" w:rsidR="005F0165" w:rsidRDefault="005F0165" w:rsidP="001C602C">
      <w:pPr>
        <w:spacing w:after="160" w:line="259" w:lineRule="auto"/>
        <w:jc w:val="center"/>
        <w:rPr>
          <w:rFonts w:cs="Arial"/>
          <w:b/>
          <w:bCs/>
          <w:color w:val="77328A"/>
          <w:sz w:val="36"/>
          <w:szCs w:val="36"/>
        </w:rPr>
      </w:pPr>
      <w:r>
        <w:rPr>
          <w:rFonts w:cs="Arial"/>
          <w:b/>
          <w:bCs/>
          <w:color w:val="77328A"/>
          <w:sz w:val="36"/>
          <w:szCs w:val="36"/>
        </w:rPr>
        <w:t>Contact us</w:t>
      </w:r>
    </w:p>
    <w:p w14:paraId="5CAECE08" w14:textId="77777777" w:rsidR="005F0165" w:rsidRDefault="005F0165" w:rsidP="00703FFF">
      <w:pPr>
        <w:pStyle w:val="BasicParagraph"/>
        <w:suppressAutoHyphens/>
        <w:jc w:val="center"/>
        <w:rPr>
          <w:rFonts w:ascii="Verdana" w:hAnsi="Verdana" w:cs="Arial"/>
          <w:b/>
          <w:color w:val="77328A"/>
          <w:sz w:val="36"/>
          <w:szCs w:val="36"/>
        </w:rPr>
      </w:pPr>
    </w:p>
    <w:p w14:paraId="3922E9B7" w14:textId="77777777" w:rsidR="005F0165" w:rsidRDefault="003F559F" w:rsidP="00703FFF">
      <w:pPr>
        <w:spacing w:line="288" w:lineRule="auto"/>
        <w:jc w:val="center"/>
        <w:rPr>
          <w:rFonts w:cs="Arial"/>
          <w:color w:val="232120"/>
          <w:sz w:val="28"/>
          <w:szCs w:val="28"/>
        </w:rPr>
      </w:pPr>
      <w:hyperlink r:id="rId12" w:history="1">
        <w:r w:rsidR="005F0165">
          <w:rPr>
            <w:rStyle w:val="Hyperlink"/>
            <w:rFonts w:cs="Arial"/>
            <w:color w:val="232120"/>
            <w:sz w:val="28"/>
            <w:szCs w:val="28"/>
            <w:lang w:val="en-US"/>
          </w:rPr>
          <w:t>www.nihrc.org</w:t>
        </w:r>
      </w:hyperlink>
      <w:r w:rsidR="005F0165">
        <w:rPr>
          <w:rFonts w:cs="Arial"/>
          <w:color w:val="232120"/>
          <w:sz w:val="28"/>
          <w:szCs w:val="28"/>
          <w:lang w:val="en-US"/>
        </w:rPr>
        <w:t xml:space="preserve">  |  </w:t>
      </w:r>
      <w:hyperlink r:id="rId13" w:history="1">
        <w:r w:rsidR="005F0165">
          <w:rPr>
            <w:rStyle w:val="Hyperlink"/>
            <w:rFonts w:cs="Arial"/>
            <w:color w:val="232120"/>
            <w:sz w:val="28"/>
            <w:szCs w:val="28"/>
            <w:lang w:val="en-US"/>
          </w:rPr>
          <w:t>info@nihrc.org</w:t>
        </w:r>
      </w:hyperlink>
      <w:r w:rsidR="005F0165">
        <w:rPr>
          <w:rFonts w:cs="Arial"/>
          <w:color w:val="232120"/>
          <w:sz w:val="28"/>
          <w:szCs w:val="28"/>
          <w:lang w:val="en-US"/>
        </w:rPr>
        <w:t xml:space="preserve">  |  +44 (0)28 9024 3987</w:t>
      </w:r>
    </w:p>
    <w:p w14:paraId="0B6CDF09" w14:textId="77777777" w:rsidR="005F0165" w:rsidRDefault="005F0165" w:rsidP="00703FFF">
      <w:pPr>
        <w:spacing w:line="288" w:lineRule="auto"/>
        <w:jc w:val="center"/>
        <w:rPr>
          <w:rFonts w:cs="Arial"/>
          <w:color w:val="232120"/>
          <w:sz w:val="28"/>
          <w:szCs w:val="28"/>
        </w:rPr>
      </w:pPr>
      <w:r>
        <w:rPr>
          <w:rFonts w:cs="Arial"/>
          <w:color w:val="232120"/>
          <w:sz w:val="28"/>
          <w:szCs w:val="28"/>
          <w:lang w:val="en-US"/>
        </w:rPr>
        <w:t>4</w:t>
      </w:r>
      <w:r>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6AB50FAB" w14:textId="77777777" w:rsidR="005F0165" w:rsidRDefault="005F0165" w:rsidP="00703FFF">
      <w:pPr>
        <w:spacing w:line="288" w:lineRule="auto"/>
        <w:jc w:val="center"/>
        <w:rPr>
          <w:rFonts w:cs="Arial"/>
          <w:b/>
          <w:color w:val="232120"/>
          <w:sz w:val="28"/>
          <w:szCs w:val="28"/>
        </w:rPr>
      </w:pPr>
    </w:p>
    <w:p w14:paraId="3F270430" w14:textId="77777777" w:rsidR="005F0165" w:rsidRDefault="005F0165" w:rsidP="00703FFF">
      <w:pPr>
        <w:spacing w:line="288" w:lineRule="auto"/>
        <w:jc w:val="center"/>
        <w:rPr>
          <w:rFonts w:cs="Arial"/>
          <w:color w:val="232120"/>
          <w:sz w:val="20"/>
          <w:szCs w:val="20"/>
        </w:rPr>
      </w:pPr>
    </w:p>
    <w:p w14:paraId="56D882F2" w14:textId="77777777" w:rsidR="005F0165" w:rsidRDefault="005F0165" w:rsidP="00703FFF">
      <w:pPr>
        <w:pStyle w:val="BasicParagraph"/>
        <w:suppressAutoHyphens/>
        <w:spacing w:line="240" w:lineRule="auto"/>
        <w:jc w:val="center"/>
        <w:rPr>
          <w:rFonts w:ascii="Verdana" w:hAnsi="Verdana" w:cs="Arial"/>
          <w:color w:val="232120"/>
          <w:sz w:val="28"/>
          <w:szCs w:val="28"/>
        </w:rPr>
      </w:pPr>
      <w:r>
        <w:rPr>
          <w:rFonts w:ascii="Verdana" w:hAnsi="Verdana" w:cs="Arial"/>
          <w:noProof/>
          <w:color w:val="232120"/>
          <w:sz w:val="28"/>
          <w:szCs w:val="28"/>
          <w:lang w:eastAsia="en-GB"/>
        </w:rPr>
        <w:drawing>
          <wp:inline distT="0" distB="0" distL="0" distR="0" wp14:anchorId="1B7301BF" wp14:editId="2616BC27">
            <wp:extent cx="1514475" cy="276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76225"/>
                    </a:xfrm>
                    <a:prstGeom prst="rect">
                      <a:avLst/>
                    </a:prstGeom>
                    <a:noFill/>
                    <a:ln>
                      <a:noFill/>
                    </a:ln>
                  </pic:spPr>
                </pic:pic>
              </a:graphicData>
            </a:graphic>
          </wp:inline>
        </w:drawing>
      </w:r>
    </w:p>
    <w:p w14:paraId="4B247221" w14:textId="77777777" w:rsidR="005867E6" w:rsidRDefault="005867E6" w:rsidP="00703FFF">
      <w:pPr>
        <w:jc w:val="center"/>
      </w:pPr>
    </w:p>
    <w:sectPr w:rsidR="005867E6" w:rsidSect="00515670">
      <w:headerReference w:type="default"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7719E" w14:textId="77777777" w:rsidR="003F559F" w:rsidRDefault="003F559F" w:rsidP="005F0165">
      <w:r>
        <w:separator/>
      </w:r>
    </w:p>
  </w:endnote>
  <w:endnote w:type="continuationSeparator" w:id="0">
    <w:p w14:paraId="1893B587" w14:textId="77777777" w:rsidR="003F559F" w:rsidRDefault="003F559F" w:rsidP="005F0165">
      <w:r>
        <w:continuationSeparator/>
      </w:r>
    </w:p>
  </w:endnote>
  <w:endnote w:type="continuationNotice" w:id="1">
    <w:p w14:paraId="3DE588E7" w14:textId="77777777" w:rsidR="003F559F" w:rsidRDefault="003F55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643538"/>
      <w:docPartObj>
        <w:docPartGallery w:val="Page Numbers (Bottom of Page)"/>
        <w:docPartUnique/>
      </w:docPartObj>
    </w:sdtPr>
    <w:sdtEndPr>
      <w:rPr>
        <w:noProof/>
      </w:rPr>
    </w:sdtEndPr>
    <w:sdtContent>
      <w:p w14:paraId="1A2F07EC" w14:textId="05CB184F" w:rsidR="00515670" w:rsidRDefault="00515670">
        <w:pPr>
          <w:pStyle w:val="Footer"/>
          <w:jc w:val="right"/>
        </w:pPr>
        <w:r>
          <w:fldChar w:fldCharType="begin"/>
        </w:r>
        <w:r>
          <w:instrText xml:space="preserve"> PAGE   \* MERGEFORMAT </w:instrText>
        </w:r>
        <w:r>
          <w:fldChar w:fldCharType="separate"/>
        </w:r>
        <w:r w:rsidR="003A44CE">
          <w:rPr>
            <w:noProof/>
          </w:rPr>
          <w:t>24</w:t>
        </w:r>
        <w:r>
          <w:rPr>
            <w:noProof/>
          </w:rPr>
          <w:fldChar w:fldCharType="end"/>
        </w:r>
      </w:p>
    </w:sdtContent>
  </w:sdt>
  <w:p w14:paraId="194FB4DD" w14:textId="77777777" w:rsidR="00515670" w:rsidRDefault="005156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609EC1B" w14:paraId="0131363B" w14:textId="77777777" w:rsidTr="00624ABD">
      <w:tc>
        <w:tcPr>
          <w:tcW w:w="3005" w:type="dxa"/>
        </w:tcPr>
        <w:p w14:paraId="425CC01F" w14:textId="47896F0A" w:rsidR="5609EC1B" w:rsidRDefault="5609EC1B" w:rsidP="00624ABD">
          <w:pPr>
            <w:pStyle w:val="Header"/>
            <w:ind w:left="-115"/>
            <w:rPr>
              <w:rFonts w:eastAsia="Yu Mincho" w:cs="Arial"/>
            </w:rPr>
          </w:pPr>
        </w:p>
      </w:tc>
      <w:tc>
        <w:tcPr>
          <w:tcW w:w="3005" w:type="dxa"/>
        </w:tcPr>
        <w:p w14:paraId="2EBB9D5C" w14:textId="1219DFF8" w:rsidR="5609EC1B" w:rsidRDefault="5609EC1B" w:rsidP="00624ABD">
          <w:pPr>
            <w:pStyle w:val="Header"/>
            <w:jc w:val="center"/>
            <w:rPr>
              <w:rFonts w:eastAsia="Yu Mincho" w:cs="Arial"/>
            </w:rPr>
          </w:pPr>
        </w:p>
      </w:tc>
      <w:tc>
        <w:tcPr>
          <w:tcW w:w="3005" w:type="dxa"/>
        </w:tcPr>
        <w:p w14:paraId="3D3EEDF9" w14:textId="7A263428" w:rsidR="5609EC1B" w:rsidRDefault="5609EC1B" w:rsidP="00624ABD">
          <w:pPr>
            <w:pStyle w:val="Header"/>
            <w:ind w:right="-115"/>
            <w:jc w:val="right"/>
            <w:rPr>
              <w:rFonts w:eastAsia="Yu Mincho" w:cs="Arial"/>
            </w:rPr>
          </w:pPr>
        </w:p>
      </w:tc>
    </w:tr>
  </w:tbl>
  <w:p w14:paraId="691B899A" w14:textId="14BEA748" w:rsidR="00402D6C" w:rsidRDefault="00402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898A0" w14:textId="77777777" w:rsidR="003F559F" w:rsidRDefault="003F559F" w:rsidP="005F0165">
      <w:r>
        <w:separator/>
      </w:r>
    </w:p>
  </w:footnote>
  <w:footnote w:type="continuationSeparator" w:id="0">
    <w:p w14:paraId="30EDA4E3" w14:textId="77777777" w:rsidR="003F559F" w:rsidRDefault="003F559F" w:rsidP="005F0165">
      <w:r>
        <w:continuationSeparator/>
      </w:r>
    </w:p>
  </w:footnote>
  <w:footnote w:type="continuationNotice" w:id="1">
    <w:p w14:paraId="26A923EF" w14:textId="77777777" w:rsidR="003F559F" w:rsidRDefault="003F559F"/>
  </w:footnote>
  <w:footnote w:id="2">
    <w:p w14:paraId="08A15930" w14:textId="77777777" w:rsidR="00095120" w:rsidRDefault="00095120">
      <w:pPr>
        <w:pStyle w:val="FootnoteText"/>
      </w:pPr>
      <w:r w:rsidRPr="000A56CD">
        <w:rPr>
          <w:color w:val="77328A"/>
          <w:sz w:val="16"/>
          <w:szCs w:val="16"/>
          <w:vertAlign w:val="superscript"/>
        </w:rPr>
        <w:footnoteRef/>
      </w:r>
      <w:r w:rsidRPr="00095120">
        <w:rPr>
          <w:color w:val="77328A"/>
          <w:sz w:val="16"/>
          <w:szCs w:val="16"/>
        </w:rPr>
        <w:t xml:space="preserve"> Ratified by the United Kingdom in 1951.</w:t>
      </w:r>
      <w:r>
        <w:t xml:space="preserve"> </w:t>
      </w:r>
    </w:p>
  </w:footnote>
  <w:footnote w:id="3">
    <w:p w14:paraId="30E73738" w14:textId="77777777" w:rsidR="00856C17" w:rsidRDefault="00856C17">
      <w:pPr>
        <w:pStyle w:val="FootnoteText"/>
      </w:pPr>
      <w:r w:rsidRPr="00263074">
        <w:rPr>
          <w:rStyle w:val="FootnoteReference"/>
          <w:color w:val="77328A"/>
          <w:sz w:val="16"/>
          <w:szCs w:val="16"/>
        </w:rPr>
        <w:footnoteRef/>
      </w:r>
      <w:r w:rsidRPr="00263074">
        <w:rPr>
          <w:rStyle w:val="FootnoteReference"/>
        </w:rPr>
        <w:t xml:space="preserve"> </w:t>
      </w:r>
      <w:r w:rsidR="00263074" w:rsidRPr="00263074">
        <w:rPr>
          <w:color w:val="77328A"/>
          <w:sz w:val="16"/>
          <w:szCs w:val="16"/>
        </w:rPr>
        <w:t xml:space="preserve">NIHRC, ‘Submission to the Independent Human Rights Act Review Team’s Call for Evidence’, March 2021. Available </w:t>
      </w:r>
      <w:hyperlink r:id="rId1" w:history="1">
        <w:r w:rsidR="00263074" w:rsidRPr="00AF4039">
          <w:rPr>
            <w:rStyle w:val="Hyperlink"/>
            <w:sz w:val="16"/>
            <w:szCs w:val="16"/>
          </w:rPr>
          <w:t>here</w:t>
        </w:r>
      </w:hyperlink>
      <w:r w:rsidR="00AF4039">
        <w:rPr>
          <w:color w:val="77328A"/>
          <w:sz w:val="16"/>
          <w:szCs w:val="16"/>
        </w:rPr>
        <w:t>.</w:t>
      </w:r>
      <w:r w:rsidR="00263074" w:rsidRPr="00263074">
        <w:rPr>
          <w:color w:val="77328A"/>
          <w:sz w:val="16"/>
          <w:szCs w:val="16"/>
        </w:rPr>
        <w:t xml:space="preserve"> </w:t>
      </w:r>
    </w:p>
  </w:footnote>
  <w:footnote w:id="4">
    <w:p w14:paraId="313E1C56" w14:textId="77777777" w:rsidR="000B405A" w:rsidRPr="00C43163" w:rsidRDefault="000B405A">
      <w:pPr>
        <w:pStyle w:val="FootnoteText"/>
        <w:rPr>
          <w:color w:val="77328A"/>
          <w:sz w:val="16"/>
          <w:szCs w:val="16"/>
        </w:rPr>
      </w:pPr>
      <w:r w:rsidRPr="007960CB">
        <w:rPr>
          <w:color w:val="77328A"/>
          <w:sz w:val="16"/>
          <w:szCs w:val="16"/>
          <w:vertAlign w:val="superscript"/>
        </w:rPr>
        <w:footnoteRef/>
      </w:r>
      <w:r w:rsidRPr="007960CB">
        <w:rPr>
          <w:color w:val="77328A"/>
          <w:sz w:val="16"/>
          <w:szCs w:val="16"/>
          <w:vertAlign w:val="superscript"/>
        </w:rPr>
        <w:t xml:space="preserve"> </w:t>
      </w:r>
      <w:r w:rsidRPr="007960CB">
        <w:rPr>
          <w:color w:val="77328A"/>
          <w:sz w:val="16"/>
          <w:szCs w:val="16"/>
        </w:rPr>
        <w:t xml:space="preserve">The Independent Human Rights Act Review, 2021, </w:t>
      </w:r>
      <w:r w:rsidR="00FD542E" w:rsidRPr="007960CB">
        <w:rPr>
          <w:color w:val="77328A"/>
          <w:sz w:val="16"/>
          <w:szCs w:val="16"/>
        </w:rPr>
        <w:t>p.30.</w:t>
      </w:r>
      <w:r w:rsidR="00FD542E">
        <w:t xml:space="preserve"> </w:t>
      </w:r>
    </w:p>
  </w:footnote>
  <w:footnote w:id="5">
    <w:p w14:paraId="4CF6000C" w14:textId="437AA4D9" w:rsidR="00512C83" w:rsidRPr="00ED3706" w:rsidRDefault="00512C83" w:rsidP="00512C83">
      <w:pPr>
        <w:pStyle w:val="FootnoteText"/>
        <w:rPr>
          <w:color w:val="77328A"/>
          <w:sz w:val="16"/>
          <w:szCs w:val="16"/>
        </w:rPr>
      </w:pPr>
      <w:r w:rsidRPr="00ED3706">
        <w:rPr>
          <w:rStyle w:val="FootnoteReference"/>
          <w:color w:val="77328A"/>
          <w:sz w:val="16"/>
          <w:szCs w:val="16"/>
        </w:rPr>
        <w:footnoteRef/>
      </w:r>
      <w:r w:rsidRPr="00ED3706">
        <w:rPr>
          <w:color w:val="77328A"/>
          <w:sz w:val="16"/>
          <w:szCs w:val="16"/>
        </w:rPr>
        <w:t xml:space="preserve"> Joint report from the Negotiators of the EU and UK Government progress during Phase 1 of Negotiations under Article 50 TEU on the UK’s Orderly Withdrawal from the EU, 8 December 2017, para 53.</w:t>
      </w:r>
    </w:p>
  </w:footnote>
  <w:footnote w:id="6">
    <w:p w14:paraId="4A5234AA" w14:textId="716D1249" w:rsidR="00CA4C5D" w:rsidRPr="00701EC1" w:rsidRDefault="00CA4C5D" w:rsidP="00CA4C5D">
      <w:pPr>
        <w:pStyle w:val="FootnoteText"/>
        <w:rPr>
          <w:color w:val="77328A"/>
          <w:sz w:val="16"/>
          <w:szCs w:val="16"/>
        </w:rPr>
      </w:pPr>
      <w:r w:rsidRPr="00701EC1">
        <w:rPr>
          <w:color w:val="77328A"/>
          <w:sz w:val="16"/>
          <w:szCs w:val="16"/>
          <w:vertAlign w:val="superscript"/>
        </w:rPr>
        <w:footnoteRef/>
      </w:r>
      <w:r w:rsidRPr="00701EC1">
        <w:rPr>
          <w:color w:val="77328A"/>
          <w:sz w:val="16"/>
          <w:szCs w:val="16"/>
        </w:rPr>
        <w:t xml:space="preserve"> </w:t>
      </w:r>
      <w:r w:rsidRPr="0009786F">
        <w:rPr>
          <w:color w:val="77328A"/>
          <w:sz w:val="16"/>
          <w:szCs w:val="16"/>
        </w:rPr>
        <w:t>A/HRC/36/9, ‘UN Working Group on the Universal Periodic Review, Report of the Working Group on the Universal Periodic Review - UK of Great Britain and NI’, 14 July 2017</w:t>
      </w:r>
      <w:r w:rsidR="001D2D7D">
        <w:rPr>
          <w:color w:val="77328A"/>
          <w:sz w:val="16"/>
          <w:szCs w:val="16"/>
        </w:rPr>
        <w:t xml:space="preserve">, at paras </w:t>
      </w:r>
      <w:r w:rsidR="00DD5429" w:rsidRPr="00DD5429">
        <w:rPr>
          <w:color w:val="77328A"/>
          <w:sz w:val="16"/>
          <w:szCs w:val="16"/>
        </w:rPr>
        <w:t xml:space="preserve">134.67; 134.68; 134.69; 134.70; 134.71; 134.72; 134.73; 134.74; 134.75; 134.76; </w:t>
      </w:r>
      <w:r w:rsidR="00DD5429">
        <w:rPr>
          <w:color w:val="77328A"/>
          <w:sz w:val="16"/>
          <w:szCs w:val="16"/>
        </w:rPr>
        <w:t xml:space="preserve">and </w:t>
      </w:r>
      <w:r w:rsidR="00DD5429" w:rsidRPr="00DD5429">
        <w:rPr>
          <w:color w:val="77328A"/>
          <w:sz w:val="16"/>
          <w:szCs w:val="16"/>
        </w:rPr>
        <w:t>134.77</w:t>
      </w:r>
      <w:r w:rsidR="00DD5429">
        <w:rPr>
          <w:color w:val="77328A"/>
          <w:sz w:val="16"/>
          <w:szCs w:val="16"/>
        </w:rPr>
        <w:t xml:space="preserve">. </w:t>
      </w:r>
    </w:p>
  </w:footnote>
  <w:footnote w:id="7">
    <w:p w14:paraId="6AB36138" w14:textId="41CD5AD6" w:rsidR="009905C9" w:rsidRPr="0009786F" w:rsidRDefault="009905C9">
      <w:pPr>
        <w:pStyle w:val="FootnoteText"/>
        <w:rPr>
          <w:color w:val="77328A"/>
          <w:sz w:val="16"/>
          <w:szCs w:val="16"/>
        </w:rPr>
      </w:pPr>
      <w:r w:rsidRPr="0009786F">
        <w:rPr>
          <w:color w:val="77328A"/>
          <w:sz w:val="16"/>
          <w:szCs w:val="16"/>
          <w:vertAlign w:val="superscript"/>
        </w:rPr>
        <w:footnoteRef/>
      </w:r>
      <w:r w:rsidRPr="0009786F">
        <w:rPr>
          <w:color w:val="77328A"/>
          <w:sz w:val="16"/>
          <w:szCs w:val="16"/>
          <w:vertAlign w:val="superscript"/>
        </w:rPr>
        <w:t xml:space="preserve"> </w:t>
      </w:r>
      <w:r w:rsidR="001D6EBB" w:rsidRPr="0009786F">
        <w:rPr>
          <w:color w:val="77328A"/>
          <w:sz w:val="16"/>
          <w:szCs w:val="16"/>
        </w:rPr>
        <w:t>A</w:t>
      </w:r>
      <w:r w:rsidRPr="0009786F">
        <w:rPr>
          <w:color w:val="77328A"/>
          <w:sz w:val="16"/>
          <w:szCs w:val="16"/>
        </w:rPr>
        <w:t>/HRC/36/9, ‘UN Working Group on the Universal Periodic Review, Report of the Working Group on the Universal Periodic Review - UK of Great Britain and NI’, 14 July 2017, at para 134.76.</w:t>
      </w:r>
    </w:p>
  </w:footnote>
  <w:footnote w:id="8">
    <w:p w14:paraId="25DBEABC" w14:textId="26B4C668" w:rsidR="0009786F" w:rsidRDefault="0009786F">
      <w:pPr>
        <w:pStyle w:val="FootnoteText"/>
      </w:pPr>
      <w:r w:rsidRPr="0009786F">
        <w:rPr>
          <w:color w:val="77328A"/>
          <w:sz w:val="16"/>
          <w:szCs w:val="16"/>
          <w:vertAlign w:val="superscript"/>
        </w:rPr>
        <w:footnoteRef/>
      </w:r>
      <w:r w:rsidRPr="0009786F">
        <w:rPr>
          <w:color w:val="77328A"/>
          <w:sz w:val="16"/>
          <w:szCs w:val="16"/>
          <w:vertAlign w:val="superscript"/>
        </w:rPr>
        <w:t xml:space="preserve"> </w:t>
      </w:r>
      <w:r w:rsidRPr="0009786F">
        <w:rPr>
          <w:color w:val="77328A"/>
          <w:sz w:val="16"/>
          <w:szCs w:val="16"/>
        </w:rPr>
        <w:t>A/HRC/36/9, ‘UN Working Group on the Universal Periodic Review, Report of the Working Group on the Universal Periodic Review - UK of Great Britain and NI’, 14 July 2017, at para 134.67.</w:t>
      </w:r>
    </w:p>
  </w:footnote>
  <w:footnote w:id="9">
    <w:p w14:paraId="0ACEE30B" w14:textId="773D6935" w:rsidR="00623525" w:rsidRDefault="00623525" w:rsidP="00623525">
      <w:pPr>
        <w:pStyle w:val="FootnoteText"/>
      </w:pPr>
      <w:r w:rsidRPr="0084709A">
        <w:rPr>
          <w:color w:val="77328A"/>
          <w:sz w:val="16"/>
          <w:szCs w:val="16"/>
          <w:vertAlign w:val="superscript"/>
        </w:rPr>
        <w:footnoteRef/>
      </w:r>
      <w:r w:rsidRPr="0084709A">
        <w:rPr>
          <w:color w:val="77328A"/>
          <w:sz w:val="16"/>
          <w:szCs w:val="16"/>
          <w:vertAlign w:val="superscript"/>
        </w:rPr>
        <w:t xml:space="preserve"> </w:t>
      </w:r>
      <w:r w:rsidRPr="0084709A">
        <w:rPr>
          <w:color w:val="77328A"/>
          <w:sz w:val="16"/>
          <w:szCs w:val="16"/>
        </w:rPr>
        <w:t>CCPR/C/GBR/CO/7, ‘UN Human Rights Committee Concluding Observations on the Seventh Periodic Report of the United Kingdom of Great Britain and Northern Ireland’, 17 August 2015</w:t>
      </w:r>
      <w:r w:rsidR="008C2D0D">
        <w:rPr>
          <w:color w:val="77328A"/>
          <w:sz w:val="16"/>
          <w:szCs w:val="16"/>
        </w:rPr>
        <w:t>.</w:t>
      </w:r>
    </w:p>
  </w:footnote>
  <w:footnote w:id="10">
    <w:p w14:paraId="3721E5DC" w14:textId="613E8F13" w:rsidR="00623525" w:rsidRDefault="00623525">
      <w:pPr>
        <w:pStyle w:val="FootnoteText"/>
      </w:pPr>
      <w:r w:rsidRPr="00623525">
        <w:rPr>
          <w:color w:val="77328A"/>
          <w:sz w:val="16"/>
          <w:szCs w:val="16"/>
          <w:vertAlign w:val="superscript"/>
        </w:rPr>
        <w:footnoteRef/>
      </w:r>
      <w:r w:rsidRPr="00623525">
        <w:rPr>
          <w:color w:val="77328A"/>
          <w:sz w:val="16"/>
          <w:szCs w:val="16"/>
        </w:rPr>
        <w:t xml:space="preserve"> </w:t>
      </w:r>
      <w:r w:rsidRPr="0084709A">
        <w:rPr>
          <w:color w:val="77328A"/>
          <w:sz w:val="16"/>
          <w:szCs w:val="16"/>
        </w:rPr>
        <w:t>CCPR/C/GBR/CO/7, ‘UN Human Rights Committee Concluding Observations on the Seventh Periodic Report of the United Kingdom of Great Britain and Northern Ireland’, 17 August 2015</w:t>
      </w:r>
      <w:r w:rsidR="00C938E7">
        <w:rPr>
          <w:color w:val="77328A"/>
          <w:sz w:val="16"/>
          <w:szCs w:val="16"/>
        </w:rPr>
        <w:t>.</w:t>
      </w:r>
    </w:p>
  </w:footnote>
  <w:footnote w:id="11">
    <w:p w14:paraId="4DD2A32A" w14:textId="55D82CE1" w:rsidR="000B12A7" w:rsidRPr="00DF1F9A" w:rsidRDefault="000B12A7">
      <w:pPr>
        <w:pStyle w:val="FootnoteText"/>
        <w:rPr>
          <w:color w:val="77328A"/>
          <w:sz w:val="16"/>
          <w:szCs w:val="16"/>
        </w:rPr>
      </w:pPr>
      <w:r w:rsidRPr="00DF1F9A">
        <w:rPr>
          <w:color w:val="77328A"/>
          <w:sz w:val="16"/>
          <w:szCs w:val="16"/>
          <w:vertAlign w:val="superscript"/>
        </w:rPr>
        <w:footnoteRef/>
      </w:r>
      <w:r w:rsidRPr="00DF1F9A">
        <w:rPr>
          <w:color w:val="77328A"/>
          <w:sz w:val="16"/>
          <w:szCs w:val="16"/>
          <w:vertAlign w:val="superscript"/>
        </w:rPr>
        <w:t xml:space="preserve"> </w:t>
      </w:r>
      <w:r w:rsidR="006E49E4" w:rsidRPr="00DF1F9A">
        <w:rPr>
          <w:color w:val="77328A"/>
          <w:sz w:val="16"/>
          <w:szCs w:val="16"/>
        </w:rPr>
        <w:t xml:space="preserve">CCPR/C/GBR/QPR/8, ‘UN Human Rights Committee </w:t>
      </w:r>
      <w:r w:rsidR="00DF1F9A" w:rsidRPr="00DF1F9A">
        <w:rPr>
          <w:color w:val="77328A"/>
          <w:sz w:val="16"/>
          <w:szCs w:val="16"/>
        </w:rPr>
        <w:t>List of issues prior to submission of the eighth periodic report of the United Kingdom of Great Britain and Northern Ireland’, 5 May 2020</w:t>
      </w:r>
      <w:r w:rsidR="00C938E7">
        <w:rPr>
          <w:color w:val="77328A"/>
          <w:sz w:val="16"/>
          <w:szCs w:val="16"/>
        </w:rPr>
        <w:t xml:space="preserve"> at para 3. </w:t>
      </w:r>
    </w:p>
  </w:footnote>
  <w:footnote w:id="12">
    <w:p w14:paraId="78FACE67" w14:textId="071F78F0" w:rsidR="009E105C" w:rsidRDefault="009E105C">
      <w:pPr>
        <w:pStyle w:val="FootnoteText"/>
      </w:pPr>
      <w:r w:rsidRPr="002B186B">
        <w:rPr>
          <w:color w:val="77328A"/>
          <w:sz w:val="16"/>
          <w:szCs w:val="16"/>
          <w:vertAlign w:val="superscript"/>
        </w:rPr>
        <w:footnoteRef/>
      </w:r>
      <w:r w:rsidRPr="002B186B">
        <w:rPr>
          <w:color w:val="77328A"/>
          <w:sz w:val="16"/>
          <w:szCs w:val="16"/>
        </w:rPr>
        <w:t xml:space="preserve"> </w:t>
      </w:r>
      <w:r w:rsidR="00FD61D7" w:rsidRPr="002B186B">
        <w:rPr>
          <w:color w:val="77328A"/>
          <w:sz w:val="16"/>
          <w:szCs w:val="16"/>
        </w:rPr>
        <w:t xml:space="preserve">The United Kingdom’s Response to the United Nations Human Rights Committee’s List of Issues on the Covenant on Civil and Political Rights (ICCPR) dated May 2020, </w:t>
      </w:r>
      <w:r w:rsidR="00444940" w:rsidRPr="002B186B">
        <w:rPr>
          <w:color w:val="77328A"/>
          <w:sz w:val="16"/>
          <w:szCs w:val="16"/>
        </w:rPr>
        <w:t>June 2021</w:t>
      </w:r>
      <w:r w:rsidR="002B186B" w:rsidRPr="002B186B">
        <w:rPr>
          <w:color w:val="77328A"/>
          <w:sz w:val="16"/>
          <w:szCs w:val="16"/>
        </w:rPr>
        <w:t>, at p5.</w:t>
      </w:r>
      <w:r w:rsidR="002B186B">
        <w:t xml:space="preserve"> </w:t>
      </w:r>
    </w:p>
  </w:footnote>
  <w:footnote w:id="13">
    <w:p w14:paraId="208F0ECA" w14:textId="716A21DC" w:rsidR="000803DF" w:rsidRPr="00233BCD" w:rsidRDefault="000803DF" w:rsidP="00233BCD">
      <w:pPr>
        <w:pStyle w:val="FootnoteText"/>
        <w:rPr>
          <w:color w:val="77328A"/>
          <w:sz w:val="16"/>
          <w:szCs w:val="16"/>
        </w:rPr>
      </w:pPr>
      <w:r w:rsidRPr="007F1E74">
        <w:rPr>
          <w:color w:val="77328A"/>
          <w:sz w:val="16"/>
          <w:szCs w:val="16"/>
          <w:vertAlign w:val="superscript"/>
        </w:rPr>
        <w:footnoteRef/>
      </w:r>
      <w:r w:rsidRPr="00233BCD">
        <w:rPr>
          <w:color w:val="77328A"/>
          <w:sz w:val="16"/>
          <w:szCs w:val="16"/>
        </w:rPr>
        <w:t xml:space="preserve"> UK Parliament Hansard, ‘Justice Committee: </w:t>
      </w:r>
      <w:r w:rsidR="00DC4625" w:rsidRPr="00233BCD">
        <w:rPr>
          <w:color w:val="77328A"/>
          <w:sz w:val="16"/>
          <w:szCs w:val="16"/>
        </w:rPr>
        <w:t>Oral Evidence: Human Rights Act Reform</w:t>
      </w:r>
      <w:r w:rsidRPr="00233BCD">
        <w:rPr>
          <w:color w:val="77328A"/>
          <w:sz w:val="16"/>
          <w:szCs w:val="16"/>
        </w:rPr>
        <w:t xml:space="preserve"> – </w:t>
      </w:r>
      <w:r w:rsidR="00DC4625" w:rsidRPr="00233BCD">
        <w:rPr>
          <w:color w:val="77328A"/>
          <w:sz w:val="16"/>
          <w:szCs w:val="16"/>
        </w:rPr>
        <w:t>Sir Peter Gross</w:t>
      </w:r>
      <w:r w:rsidRPr="00233BCD">
        <w:rPr>
          <w:color w:val="77328A"/>
          <w:sz w:val="16"/>
          <w:szCs w:val="16"/>
        </w:rPr>
        <w:t xml:space="preserve"> – </w:t>
      </w:r>
      <w:r w:rsidR="00DC4625" w:rsidRPr="00233BCD">
        <w:rPr>
          <w:color w:val="77328A"/>
          <w:sz w:val="16"/>
          <w:szCs w:val="16"/>
        </w:rPr>
        <w:t>HC 1087</w:t>
      </w:r>
      <w:r w:rsidRPr="00233BCD">
        <w:rPr>
          <w:color w:val="77328A"/>
          <w:sz w:val="16"/>
          <w:szCs w:val="16"/>
        </w:rPr>
        <w:t xml:space="preserve">’, </w:t>
      </w:r>
      <w:r w:rsidR="00233BCD" w:rsidRPr="00233BCD">
        <w:rPr>
          <w:color w:val="77328A"/>
          <w:sz w:val="16"/>
          <w:szCs w:val="16"/>
        </w:rPr>
        <w:t>1 February 2022</w:t>
      </w:r>
      <w:r w:rsidRPr="00233BCD">
        <w:rPr>
          <w:color w:val="77328A"/>
          <w:sz w:val="16"/>
          <w:szCs w:val="16"/>
        </w:rPr>
        <w:t>.</w:t>
      </w:r>
    </w:p>
    <w:p w14:paraId="1107F962" w14:textId="2B372D5B" w:rsidR="000803DF" w:rsidRDefault="000803DF">
      <w:pPr>
        <w:pStyle w:val="FootnoteText"/>
      </w:pPr>
    </w:p>
  </w:footnote>
  <w:footnote w:id="14">
    <w:p w14:paraId="08DDD099" w14:textId="75E23432" w:rsidR="00250C70" w:rsidRPr="006B2F5A" w:rsidRDefault="00250C70" w:rsidP="007A2CBF">
      <w:pPr>
        <w:pStyle w:val="FootnoteText"/>
        <w:rPr>
          <w:color w:val="77328A"/>
          <w:sz w:val="16"/>
          <w:szCs w:val="16"/>
        </w:rPr>
      </w:pPr>
      <w:r w:rsidRPr="008C2D0D">
        <w:rPr>
          <w:color w:val="77328A"/>
          <w:sz w:val="16"/>
          <w:szCs w:val="16"/>
          <w:vertAlign w:val="superscript"/>
        </w:rPr>
        <w:footnoteRef/>
      </w:r>
      <w:r w:rsidRPr="008C2D0D">
        <w:rPr>
          <w:color w:val="77328A"/>
          <w:sz w:val="16"/>
          <w:szCs w:val="16"/>
        </w:rPr>
        <w:t xml:space="preserve"> E/C.12/GBR/CO/6, ‘UN Committee on Economic, Social and Cultural Rights Concluding Observations on the </w:t>
      </w:r>
      <w:r w:rsidR="006B2F5A">
        <w:rPr>
          <w:color w:val="77328A"/>
          <w:sz w:val="16"/>
          <w:szCs w:val="16"/>
        </w:rPr>
        <w:t>s</w:t>
      </w:r>
      <w:r w:rsidRPr="008C2D0D">
        <w:rPr>
          <w:color w:val="77328A"/>
          <w:sz w:val="16"/>
          <w:szCs w:val="16"/>
        </w:rPr>
        <w:t>ixth periodic report of the United Kingdom of Great Britain and Northern Ireland</w:t>
      </w:r>
      <w:r w:rsidR="008C2D0D" w:rsidRPr="008C2D0D">
        <w:rPr>
          <w:color w:val="77328A"/>
          <w:sz w:val="16"/>
          <w:szCs w:val="16"/>
        </w:rPr>
        <w:t>’, 14 July 2016</w:t>
      </w:r>
      <w:r w:rsidR="006B2F5A">
        <w:rPr>
          <w:color w:val="77328A"/>
          <w:sz w:val="16"/>
          <w:szCs w:val="16"/>
        </w:rPr>
        <w:t xml:space="preserve">, at para 9. </w:t>
      </w:r>
    </w:p>
  </w:footnote>
  <w:footnote w:id="15">
    <w:p w14:paraId="18540CA9" w14:textId="78F38340" w:rsidR="006B2F5A" w:rsidRPr="007A2CBF" w:rsidRDefault="006B2F5A" w:rsidP="007A2CBF">
      <w:pPr>
        <w:pStyle w:val="FootnoteText"/>
        <w:rPr>
          <w:color w:val="77328A"/>
          <w:sz w:val="16"/>
          <w:szCs w:val="16"/>
        </w:rPr>
      </w:pPr>
      <w:r w:rsidRPr="007A2CBF">
        <w:rPr>
          <w:color w:val="77328A"/>
          <w:sz w:val="16"/>
          <w:szCs w:val="16"/>
          <w:vertAlign w:val="superscript"/>
        </w:rPr>
        <w:footnoteRef/>
      </w:r>
      <w:r w:rsidRPr="006B2F5A">
        <w:rPr>
          <w:color w:val="77328A"/>
          <w:sz w:val="16"/>
          <w:szCs w:val="16"/>
        </w:rPr>
        <w:t xml:space="preserve"> </w:t>
      </w:r>
      <w:r w:rsidRPr="008C2D0D">
        <w:rPr>
          <w:color w:val="77328A"/>
          <w:sz w:val="16"/>
          <w:szCs w:val="16"/>
        </w:rPr>
        <w:t>E/C.12/GBR/CO/6, ‘UN Committee on Economic, Social and Cultural Rights Concluding Observations on the sixth periodic report of the United Kingdom of Great Britain and Northern Ireland’, 14 July 2016</w:t>
      </w:r>
      <w:r>
        <w:rPr>
          <w:color w:val="77328A"/>
          <w:sz w:val="16"/>
          <w:szCs w:val="16"/>
        </w:rPr>
        <w:t>, at para 10</w:t>
      </w:r>
      <w:r w:rsidR="007A2CBF">
        <w:rPr>
          <w:color w:val="77328A"/>
          <w:sz w:val="16"/>
          <w:szCs w:val="16"/>
        </w:rPr>
        <w:t>.</w:t>
      </w:r>
    </w:p>
  </w:footnote>
  <w:footnote w:id="16">
    <w:p w14:paraId="405DE386" w14:textId="2381DAC6" w:rsidR="007A2CBF" w:rsidRPr="00653B31" w:rsidRDefault="007A2CBF">
      <w:pPr>
        <w:pStyle w:val="FootnoteText"/>
        <w:rPr>
          <w:color w:val="77328A"/>
          <w:sz w:val="16"/>
          <w:szCs w:val="16"/>
        </w:rPr>
      </w:pPr>
      <w:r w:rsidRPr="007A2CBF">
        <w:rPr>
          <w:color w:val="77328A"/>
          <w:sz w:val="16"/>
          <w:szCs w:val="16"/>
          <w:vertAlign w:val="superscript"/>
        </w:rPr>
        <w:footnoteRef/>
      </w:r>
      <w:r w:rsidRPr="007A2CBF">
        <w:rPr>
          <w:color w:val="77328A"/>
          <w:sz w:val="16"/>
          <w:szCs w:val="16"/>
          <w:vertAlign w:val="superscript"/>
        </w:rPr>
        <w:t xml:space="preserve"> </w:t>
      </w:r>
      <w:r w:rsidR="005554B1" w:rsidRPr="00653B31">
        <w:rPr>
          <w:color w:val="77328A"/>
          <w:sz w:val="16"/>
          <w:szCs w:val="16"/>
        </w:rPr>
        <w:t xml:space="preserve">CERD/C/GBR/CO/21-23, ‘UN Committee on the Elimination of Racial Discrimination </w:t>
      </w:r>
      <w:r w:rsidR="00CF5BFF" w:rsidRPr="00653B31">
        <w:rPr>
          <w:color w:val="77328A"/>
          <w:sz w:val="16"/>
          <w:szCs w:val="16"/>
        </w:rPr>
        <w:t xml:space="preserve">Concluding observations on the combined twenty-first to twenty-third periodic reports of the United Kingdom of Great Britain and Northern Ireland’, 3 October 2016, at para </w:t>
      </w:r>
      <w:r w:rsidR="00653B31" w:rsidRPr="00653B31">
        <w:rPr>
          <w:color w:val="77328A"/>
          <w:sz w:val="16"/>
          <w:szCs w:val="16"/>
        </w:rPr>
        <w:t>9.</w:t>
      </w:r>
    </w:p>
  </w:footnote>
  <w:footnote w:id="17">
    <w:p w14:paraId="2DD0B749" w14:textId="44A2BB0A" w:rsidR="00653B31" w:rsidRPr="00653B31" w:rsidRDefault="00653B31">
      <w:pPr>
        <w:pStyle w:val="FootnoteText"/>
        <w:rPr>
          <w:color w:val="77328A"/>
          <w:sz w:val="16"/>
          <w:szCs w:val="16"/>
        </w:rPr>
      </w:pPr>
      <w:r w:rsidRPr="00653B31">
        <w:rPr>
          <w:color w:val="77328A"/>
          <w:sz w:val="16"/>
          <w:szCs w:val="16"/>
          <w:vertAlign w:val="superscript"/>
        </w:rPr>
        <w:footnoteRef/>
      </w:r>
      <w:r w:rsidRPr="00653B31">
        <w:rPr>
          <w:color w:val="77328A"/>
          <w:sz w:val="16"/>
          <w:szCs w:val="16"/>
        </w:rPr>
        <w:t xml:space="preserve"> CERD/C/GBR/CO/21-23, ‘UN Committee on the Elimination of Racial Discrimination Concluding observations on the combined twenty-first to twenty-third periodic reports of the United Kingdom of Great Britain and Northern Ireland’, 3 October 2016, at para 10. </w:t>
      </w:r>
    </w:p>
  </w:footnote>
  <w:footnote w:id="18">
    <w:p w14:paraId="36D1E38A" w14:textId="77777777" w:rsidR="00C43163" w:rsidRDefault="00C43163">
      <w:pPr>
        <w:pStyle w:val="FootnoteText"/>
      </w:pPr>
      <w:r w:rsidRPr="00C43163">
        <w:rPr>
          <w:color w:val="77328A"/>
          <w:sz w:val="16"/>
          <w:szCs w:val="16"/>
          <w:vertAlign w:val="superscript"/>
        </w:rPr>
        <w:footnoteRef/>
      </w:r>
      <w:r w:rsidRPr="00C43163">
        <w:rPr>
          <w:color w:val="77328A"/>
          <w:sz w:val="16"/>
          <w:szCs w:val="16"/>
          <w:vertAlign w:val="superscript"/>
        </w:rPr>
        <w:t xml:space="preserve"> </w:t>
      </w:r>
      <w:r w:rsidRPr="007960CB">
        <w:rPr>
          <w:color w:val="77328A"/>
          <w:sz w:val="16"/>
          <w:szCs w:val="16"/>
        </w:rPr>
        <w:t>The Independent Human Rights Act Review, 2021, p.30.</w:t>
      </w:r>
    </w:p>
  </w:footnote>
  <w:footnote w:id="19">
    <w:p w14:paraId="2D12E5DF" w14:textId="77777777" w:rsidR="007F6A9D" w:rsidRDefault="007F6A9D">
      <w:pPr>
        <w:pStyle w:val="FootnoteText"/>
      </w:pPr>
      <w:r w:rsidRPr="00BC13A2">
        <w:rPr>
          <w:color w:val="77328A"/>
          <w:sz w:val="16"/>
          <w:szCs w:val="16"/>
          <w:vertAlign w:val="superscript"/>
        </w:rPr>
        <w:footnoteRef/>
      </w:r>
      <w:r w:rsidRPr="00BC13A2">
        <w:rPr>
          <w:color w:val="77328A"/>
          <w:sz w:val="16"/>
          <w:szCs w:val="16"/>
          <w:vertAlign w:val="superscript"/>
        </w:rPr>
        <w:t xml:space="preserve"> </w:t>
      </w:r>
      <w:r w:rsidRPr="007960CB">
        <w:rPr>
          <w:color w:val="77328A"/>
          <w:sz w:val="16"/>
          <w:szCs w:val="16"/>
        </w:rPr>
        <w:t>The Independent Human Rights Act Review, 2021, p</w:t>
      </w:r>
      <w:r w:rsidR="0062219F">
        <w:rPr>
          <w:color w:val="77328A"/>
          <w:sz w:val="16"/>
          <w:szCs w:val="16"/>
        </w:rPr>
        <w:t>p.18-</w:t>
      </w:r>
      <w:r w:rsidR="00BC13A2">
        <w:rPr>
          <w:color w:val="77328A"/>
          <w:sz w:val="16"/>
          <w:szCs w:val="16"/>
        </w:rPr>
        <w:t>2</w:t>
      </w:r>
      <w:r w:rsidRPr="007960CB">
        <w:rPr>
          <w:color w:val="77328A"/>
          <w:sz w:val="16"/>
          <w:szCs w:val="16"/>
        </w:rPr>
        <w:t>0.</w:t>
      </w:r>
    </w:p>
  </w:footnote>
  <w:footnote w:id="20">
    <w:p w14:paraId="49097374" w14:textId="77777777" w:rsidR="00E91C6C" w:rsidRDefault="00E91C6C">
      <w:pPr>
        <w:pStyle w:val="FootnoteText"/>
      </w:pPr>
      <w:r w:rsidRPr="00E91C6C">
        <w:rPr>
          <w:color w:val="77328A"/>
          <w:sz w:val="16"/>
          <w:szCs w:val="16"/>
          <w:vertAlign w:val="superscript"/>
        </w:rPr>
        <w:footnoteRef/>
      </w:r>
      <w:r w:rsidRPr="00E91C6C">
        <w:rPr>
          <w:color w:val="77328A"/>
          <w:sz w:val="16"/>
          <w:szCs w:val="16"/>
        </w:rPr>
        <w:t xml:space="preserve"> </w:t>
      </w:r>
      <w:r w:rsidRPr="00336CFA">
        <w:rPr>
          <w:color w:val="77328A"/>
          <w:sz w:val="16"/>
          <w:szCs w:val="16"/>
        </w:rPr>
        <w:t xml:space="preserve">Consultation </w:t>
      </w:r>
      <w:r>
        <w:rPr>
          <w:color w:val="77328A"/>
          <w:sz w:val="16"/>
          <w:szCs w:val="16"/>
        </w:rPr>
        <w:t>document</w:t>
      </w:r>
      <w:r w:rsidRPr="00336CFA">
        <w:rPr>
          <w:color w:val="77328A"/>
          <w:sz w:val="16"/>
          <w:szCs w:val="16"/>
        </w:rPr>
        <w:t>, p.</w:t>
      </w:r>
      <w:r>
        <w:rPr>
          <w:color w:val="77328A"/>
          <w:sz w:val="16"/>
          <w:szCs w:val="16"/>
        </w:rPr>
        <w:t>40</w:t>
      </w:r>
    </w:p>
  </w:footnote>
  <w:footnote w:id="21">
    <w:p w14:paraId="0A9F0202" w14:textId="3C704425" w:rsidR="00336CFA" w:rsidRPr="000A56CD" w:rsidRDefault="00336CFA">
      <w:pPr>
        <w:pStyle w:val="FootnoteText"/>
        <w:rPr>
          <w:color w:val="77328A"/>
          <w:sz w:val="16"/>
          <w:szCs w:val="16"/>
        </w:rPr>
      </w:pPr>
      <w:r w:rsidRPr="00336CFA">
        <w:rPr>
          <w:color w:val="77328A"/>
          <w:sz w:val="16"/>
          <w:szCs w:val="16"/>
          <w:vertAlign w:val="superscript"/>
        </w:rPr>
        <w:footnoteRef/>
      </w:r>
      <w:r w:rsidRPr="00336CFA">
        <w:rPr>
          <w:color w:val="77328A"/>
          <w:sz w:val="16"/>
          <w:szCs w:val="16"/>
        </w:rPr>
        <w:t xml:space="preserve"> Consultation </w:t>
      </w:r>
      <w:r>
        <w:rPr>
          <w:color w:val="77328A"/>
          <w:sz w:val="16"/>
          <w:szCs w:val="16"/>
        </w:rPr>
        <w:t>document</w:t>
      </w:r>
      <w:r w:rsidRPr="00336CFA">
        <w:rPr>
          <w:color w:val="77328A"/>
          <w:sz w:val="16"/>
          <w:szCs w:val="16"/>
        </w:rPr>
        <w:t>, p.3</w:t>
      </w:r>
      <w:r w:rsidR="00966FBF">
        <w:rPr>
          <w:color w:val="77328A"/>
          <w:sz w:val="16"/>
          <w:szCs w:val="16"/>
        </w:rPr>
        <w:t>.</w:t>
      </w:r>
      <w:r>
        <w:t xml:space="preserve"> </w:t>
      </w:r>
    </w:p>
  </w:footnote>
  <w:footnote w:id="22">
    <w:p w14:paraId="111CCA8A" w14:textId="77777777" w:rsidR="00AE5C98" w:rsidRDefault="00AE5C98">
      <w:pPr>
        <w:pStyle w:val="FootnoteText"/>
      </w:pPr>
      <w:r w:rsidRPr="00AE5C98">
        <w:rPr>
          <w:color w:val="77328A"/>
          <w:sz w:val="16"/>
          <w:szCs w:val="16"/>
          <w:vertAlign w:val="superscript"/>
        </w:rPr>
        <w:footnoteRef/>
      </w:r>
      <w:r w:rsidRPr="00AE5C98">
        <w:rPr>
          <w:color w:val="77328A"/>
          <w:sz w:val="16"/>
          <w:szCs w:val="16"/>
          <w:vertAlign w:val="superscript"/>
        </w:rPr>
        <w:t xml:space="preserve"> </w:t>
      </w:r>
      <w:r w:rsidRPr="00AE5C98">
        <w:rPr>
          <w:color w:val="77328A"/>
          <w:sz w:val="16"/>
          <w:szCs w:val="16"/>
        </w:rPr>
        <w:t xml:space="preserve">See, for example, the </w:t>
      </w:r>
      <w:proofErr w:type="spellStart"/>
      <w:r w:rsidRPr="00AE5C98">
        <w:rPr>
          <w:i/>
          <w:iCs/>
          <w:color w:val="77328A"/>
          <w:sz w:val="16"/>
          <w:szCs w:val="16"/>
        </w:rPr>
        <w:t>McKerr</w:t>
      </w:r>
      <w:proofErr w:type="spellEnd"/>
      <w:r w:rsidRPr="00AE5C98">
        <w:rPr>
          <w:i/>
          <w:iCs/>
          <w:color w:val="77328A"/>
          <w:sz w:val="16"/>
          <w:szCs w:val="16"/>
        </w:rPr>
        <w:t xml:space="preserve"> </w:t>
      </w:r>
      <w:r w:rsidRPr="00AE5C98">
        <w:rPr>
          <w:color w:val="77328A"/>
          <w:sz w:val="16"/>
          <w:szCs w:val="16"/>
        </w:rPr>
        <w:t>group of cases.</w:t>
      </w:r>
      <w:r>
        <w:t xml:space="preserve"> </w:t>
      </w:r>
    </w:p>
  </w:footnote>
  <w:footnote w:id="23">
    <w:p w14:paraId="48210C50" w14:textId="37C2652D" w:rsidR="00131E2A" w:rsidRPr="00966FBF" w:rsidRDefault="00131E2A">
      <w:pPr>
        <w:pStyle w:val="FootnoteText"/>
        <w:rPr>
          <w:color w:val="77328A"/>
          <w:sz w:val="16"/>
          <w:szCs w:val="16"/>
        </w:rPr>
      </w:pPr>
      <w:r w:rsidRPr="00966FBF">
        <w:rPr>
          <w:color w:val="77328A"/>
          <w:sz w:val="16"/>
          <w:szCs w:val="16"/>
          <w:vertAlign w:val="superscript"/>
        </w:rPr>
        <w:footnoteRef/>
      </w:r>
      <w:r w:rsidRPr="00966FBF">
        <w:rPr>
          <w:color w:val="77328A"/>
          <w:sz w:val="16"/>
          <w:szCs w:val="16"/>
        </w:rPr>
        <w:t xml:space="preserve"> </w:t>
      </w:r>
      <w:r w:rsidR="001E3B46" w:rsidRPr="00966FBF">
        <w:rPr>
          <w:color w:val="77328A"/>
          <w:sz w:val="16"/>
          <w:szCs w:val="16"/>
        </w:rPr>
        <w:t>Robert Barry and Louise Close, ‘Research and Information Service Briefing Note: NI Bill of Rights Survey’, NI Assembly, March 2021</w:t>
      </w:r>
      <w:r w:rsidR="00741040" w:rsidRPr="00966FBF">
        <w:rPr>
          <w:color w:val="77328A"/>
          <w:sz w:val="16"/>
          <w:szCs w:val="16"/>
        </w:rPr>
        <w:t xml:space="preserve">. </w:t>
      </w:r>
    </w:p>
  </w:footnote>
  <w:footnote w:id="24">
    <w:p w14:paraId="7F005E9C" w14:textId="78A8A300" w:rsidR="00741040" w:rsidRDefault="00741040">
      <w:pPr>
        <w:pStyle w:val="FootnoteText"/>
      </w:pPr>
      <w:r w:rsidRPr="00966FBF">
        <w:rPr>
          <w:color w:val="77328A"/>
          <w:sz w:val="16"/>
          <w:szCs w:val="16"/>
          <w:vertAlign w:val="superscript"/>
        </w:rPr>
        <w:footnoteRef/>
      </w:r>
      <w:r w:rsidRPr="00966FBF">
        <w:rPr>
          <w:color w:val="77328A"/>
          <w:sz w:val="16"/>
          <w:szCs w:val="16"/>
        </w:rPr>
        <w:t xml:space="preserve"> Robert Barry and Louise Close, ‘Research and Information Service Briefing Note: NI Bill of Rights Survey’, NI Assembly, March 2021.</w:t>
      </w:r>
    </w:p>
  </w:footnote>
  <w:footnote w:id="25">
    <w:p w14:paraId="34539387" w14:textId="0F954757" w:rsidR="001E1AFF" w:rsidRDefault="001E1AFF">
      <w:pPr>
        <w:pStyle w:val="FootnoteText"/>
      </w:pPr>
      <w:r w:rsidRPr="00771358">
        <w:rPr>
          <w:color w:val="77328A"/>
          <w:sz w:val="16"/>
          <w:szCs w:val="16"/>
          <w:vertAlign w:val="superscript"/>
        </w:rPr>
        <w:footnoteRef/>
      </w:r>
      <w:r w:rsidRPr="00771358">
        <w:rPr>
          <w:color w:val="77328A"/>
          <w:sz w:val="16"/>
          <w:szCs w:val="16"/>
          <w:vertAlign w:val="superscript"/>
        </w:rPr>
        <w:t xml:space="preserve"> </w:t>
      </w:r>
      <w:r w:rsidR="00123DF0" w:rsidRPr="00771358">
        <w:rPr>
          <w:color w:val="77328A"/>
          <w:sz w:val="16"/>
          <w:szCs w:val="16"/>
        </w:rPr>
        <w:t>Human Rights Consortium</w:t>
      </w:r>
      <w:r w:rsidRPr="00771358">
        <w:rPr>
          <w:color w:val="77328A"/>
          <w:sz w:val="16"/>
          <w:szCs w:val="16"/>
        </w:rPr>
        <w:t>, ‘</w:t>
      </w:r>
      <w:r w:rsidR="00123DF0" w:rsidRPr="00771358">
        <w:rPr>
          <w:color w:val="77328A"/>
          <w:sz w:val="16"/>
          <w:szCs w:val="16"/>
        </w:rPr>
        <w:t>Attitudes to Human Rights in Northern Ireland’, HRC,</w:t>
      </w:r>
      <w:r w:rsidR="0079108A" w:rsidRPr="00771358">
        <w:rPr>
          <w:color w:val="77328A"/>
          <w:sz w:val="16"/>
          <w:szCs w:val="16"/>
        </w:rPr>
        <w:t xml:space="preserve"> July</w:t>
      </w:r>
      <w:r w:rsidR="00123DF0" w:rsidRPr="00771358">
        <w:rPr>
          <w:color w:val="77328A"/>
          <w:sz w:val="16"/>
          <w:szCs w:val="16"/>
        </w:rPr>
        <w:t xml:space="preserve"> 2017</w:t>
      </w:r>
      <w:r w:rsidR="0079108A" w:rsidRPr="00771358">
        <w:rPr>
          <w:color w:val="77328A"/>
          <w:sz w:val="16"/>
          <w:szCs w:val="16"/>
        </w:rPr>
        <w:t>, p7.</w:t>
      </w:r>
      <w:r w:rsidR="0079108A">
        <w:t xml:space="preserve"> </w:t>
      </w:r>
    </w:p>
  </w:footnote>
  <w:footnote w:id="26">
    <w:p w14:paraId="313F0979" w14:textId="02F0D796" w:rsidR="0079108A" w:rsidRDefault="0079108A">
      <w:pPr>
        <w:pStyle w:val="FootnoteText"/>
      </w:pPr>
      <w:r w:rsidRPr="00771358">
        <w:rPr>
          <w:color w:val="77328A"/>
          <w:sz w:val="16"/>
          <w:szCs w:val="16"/>
          <w:vertAlign w:val="superscript"/>
        </w:rPr>
        <w:footnoteRef/>
      </w:r>
      <w:r w:rsidR="00771358">
        <w:rPr>
          <w:color w:val="77328A"/>
          <w:sz w:val="16"/>
          <w:szCs w:val="16"/>
        </w:rPr>
        <w:t xml:space="preserve"> Hu</w:t>
      </w:r>
      <w:r w:rsidRPr="009A4475">
        <w:rPr>
          <w:color w:val="77328A"/>
          <w:sz w:val="16"/>
          <w:szCs w:val="16"/>
        </w:rPr>
        <w:t>man Rights Consortium, ‘Attitudes to Human Rights in Northern Ireland’, HRC, July 2017, p</w:t>
      </w:r>
      <w:r>
        <w:rPr>
          <w:color w:val="77328A"/>
          <w:sz w:val="16"/>
          <w:szCs w:val="16"/>
        </w:rPr>
        <w:t>11</w:t>
      </w:r>
      <w:r w:rsidRPr="009A4475">
        <w:rPr>
          <w:color w:val="77328A"/>
          <w:sz w:val="16"/>
          <w:szCs w:val="16"/>
        </w:rPr>
        <w:t>.</w:t>
      </w:r>
    </w:p>
  </w:footnote>
  <w:footnote w:id="27">
    <w:p w14:paraId="00C5BC41" w14:textId="52E25994" w:rsidR="00361E55" w:rsidRDefault="00361E55">
      <w:pPr>
        <w:pStyle w:val="FootnoteText"/>
      </w:pPr>
      <w:r w:rsidRPr="00771358">
        <w:rPr>
          <w:color w:val="77328A"/>
          <w:sz w:val="16"/>
          <w:szCs w:val="16"/>
          <w:vertAlign w:val="superscript"/>
        </w:rPr>
        <w:footnoteRef/>
      </w:r>
      <w:r>
        <w:t xml:space="preserve"> </w:t>
      </w:r>
      <w:r w:rsidRPr="009A4475">
        <w:rPr>
          <w:color w:val="77328A"/>
          <w:sz w:val="16"/>
          <w:szCs w:val="16"/>
        </w:rPr>
        <w:t>Human Rights Consortium, ‘Attitudes to Human Rights in Northern Ireland’, HRC, July 2017, p</w:t>
      </w:r>
      <w:r>
        <w:rPr>
          <w:color w:val="77328A"/>
          <w:sz w:val="16"/>
          <w:szCs w:val="16"/>
        </w:rPr>
        <w:t>5-6.</w:t>
      </w:r>
    </w:p>
  </w:footnote>
  <w:footnote w:id="28">
    <w:p w14:paraId="1897FB1E" w14:textId="057A421C" w:rsidR="005F6A02" w:rsidRDefault="005F6A02">
      <w:pPr>
        <w:pStyle w:val="FootnoteText"/>
      </w:pPr>
      <w:r w:rsidRPr="00771358">
        <w:rPr>
          <w:color w:val="77328A"/>
          <w:sz w:val="16"/>
          <w:szCs w:val="16"/>
          <w:vertAlign w:val="superscript"/>
        </w:rPr>
        <w:footnoteRef/>
      </w:r>
      <w:r w:rsidRPr="00771358">
        <w:rPr>
          <w:color w:val="77328A"/>
          <w:sz w:val="16"/>
          <w:szCs w:val="16"/>
          <w:vertAlign w:val="superscript"/>
        </w:rPr>
        <w:t xml:space="preserve"> </w:t>
      </w:r>
      <w:r w:rsidRPr="009A4475">
        <w:rPr>
          <w:color w:val="77328A"/>
          <w:sz w:val="16"/>
          <w:szCs w:val="16"/>
        </w:rPr>
        <w:t>Human Rights Consortium, ‘</w:t>
      </w:r>
      <w:r w:rsidR="0036358F">
        <w:rPr>
          <w:color w:val="77328A"/>
          <w:sz w:val="16"/>
          <w:szCs w:val="16"/>
        </w:rPr>
        <w:t xml:space="preserve">A Bill of Rights for Northern Ireland: Polling Data’, HRC, </w:t>
      </w:r>
      <w:r w:rsidR="00827852">
        <w:rPr>
          <w:color w:val="77328A"/>
          <w:sz w:val="16"/>
          <w:szCs w:val="16"/>
        </w:rPr>
        <w:t xml:space="preserve">June 2021. </w:t>
      </w:r>
    </w:p>
  </w:footnote>
  <w:footnote w:id="29">
    <w:p w14:paraId="1892D25F" w14:textId="77777777" w:rsidR="005C2720" w:rsidRPr="000A56CD" w:rsidRDefault="005C2720">
      <w:pPr>
        <w:pStyle w:val="FootnoteText"/>
        <w:rPr>
          <w:color w:val="77328A"/>
          <w:sz w:val="16"/>
          <w:szCs w:val="16"/>
        </w:rPr>
      </w:pPr>
      <w:r w:rsidRPr="000A56CD">
        <w:rPr>
          <w:color w:val="77328A"/>
          <w:sz w:val="16"/>
          <w:szCs w:val="16"/>
          <w:vertAlign w:val="superscript"/>
        </w:rPr>
        <w:footnoteRef/>
      </w:r>
      <w:r w:rsidRPr="000A56CD">
        <w:rPr>
          <w:color w:val="77328A"/>
          <w:sz w:val="16"/>
          <w:szCs w:val="16"/>
          <w:vertAlign w:val="superscript"/>
        </w:rPr>
        <w:t xml:space="preserve"> </w:t>
      </w:r>
      <w:r w:rsidR="00E21173" w:rsidRPr="000A56CD">
        <w:rPr>
          <w:color w:val="77328A"/>
          <w:sz w:val="16"/>
          <w:szCs w:val="16"/>
        </w:rPr>
        <w:t>The Good Friday Agreement 1998, Rights, Safeguards and Equality of Opportunity, at para 2.</w:t>
      </w:r>
    </w:p>
  </w:footnote>
  <w:footnote w:id="30">
    <w:p w14:paraId="550DCAD1" w14:textId="77777777" w:rsidR="00DD18C4" w:rsidRPr="00A94910" w:rsidRDefault="00DD18C4">
      <w:pPr>
        <w:pStyle w:val="FootnoteText"/>
        <w:rPr>
          <w:color w:val="77328A"/>
          <w:sz w:val="16"/>
          <w:szCs w:val="16"/>
        </w:rPr>
      </w:pPr>
      <w:r w:rsidRPr="00A94910">
        <w:rPr>
          <w:color w:val="77328A"/>
          <w:sz w:val="16"/>
          <w:szCs w:val="16"/>
          <w:vertAlign w:val="superscript"/>
        </w:rPr>
        <w:footnoteRef/>
      </w:r>
      <w:r w:rsidRPr="00A94910">
        <w:rPr>
          <w:color w:val="77328A"/>
          <w:sz w:val="16"/>
          <w:szCs w:val="16"/>
        </w:rPr>
        <w:t xml:space="preserve"> </w:t>
      </w:r>
      <w:r w:rsidRPr="000A56CD">
        <w:rPr>
          <w:color w:val="77328A"/>
          <w:sz w:val="16"/>
          <w:szCs w:val="16"/>
        </w:rPr>
        <w:t xml:space="preserve">The Good Friday Agreement 1998, </w:t>
      </w:r>
      <w:r>
        <w:rPr>
          <w:color w:val="77328A"/>
          <w:sz w:val="16"/>
          <w:szCs w:val="16"/>
        </w:rPr>
        <w:t>Strand One: Democratic Institutions in Northern Ireland</w:t>
      </w:r>
      <w:r w:rsidRPr="000A56CD">
        <w:rPr>
          <w:color w:val="77328A"/>
          <w:sz w:val="16"/>
          <w:szCs w:val="16"/>
        </w:rPr>
        <w:t xml:space="preserve">, at para </w:t>
      </w:r>
      <w:r w:rsidR="00A94910">
        <w:rPr>
          <w:color w:val="77328A"/>
          <w:sz w:val="16"/>
          <w:szCs w:val="16"/>
        </w:rPr>
        <w:t>5</w:t>
      </w:r>
      <w:r w:rsidRPr="000A56CD">
        <w:rPr>
          <w:color w:val="77328A"/>
          <w:sz w:val="16"/>
          <w:szCs w:val="16"/>
        </w:rPr>
        <w:t>.</w:t>
      </w:r>
    </w:p>
  </w:footnote>
  <w:footnote w:id="31">
    <w:p w14:paraId="0D2AA598" w14:textId="77777777" w:rsidR="00952A89" w:rsidRPr="00952A89" w:rsidRDefault="00952A89">
      <w:pPr>
        <w:pStyle w:val="FootnoteText"/>
        <w:rPr>
          <w:color w:val="77328A"/>
          <w:sz w:val="16"/>
          <w:szCs w:val="16"/>
        </w:rPr>
      </w:pPr>
      <w:r w:rsidRPr="00952A89">
        <w:rPr>
          <w:color w:val="77328A"/>
          <w:sz w:val="16"/>
          <w:szCs w:val="16"/>
          <w:vertAlign w:val="superscript"/>
        </w:rPr>
        <w:footnoteRef/>
      </w:r>
      <w:r w:rsidRPr="00952A89">
        <w:rPr>
          <w:color w:val="77328A"/>
          <w:sz w:val="16"/>
          <w:szCs w:val="16"/>
          <w:vertAlign w:val="superscript"/>
        </w:rPr>
        <w:t xml:space="preserve"> </w:t>
      </w:r>
      <w:r w:rsidR="00A37311" w:rsidRPr="000A56CD">
        <w:rPr>
          <w:color w:val="77328A"/>
          <w:sz w:val="16"/>
          <w:szCs w:val="16"/>
        </w:rPr>
        <w:t>The Good Friday Agreement 1998, Rights, Safeguards and Equality of Opportunity, at para 2</w:t>
      </w:r>
      <w:r w:rsidR="000108E4">
        <w:rPr>
          <w:color w:val="77328A"/>
          <w:sz w:val="16"/>
          <w:szCs w:val="16"/>
        </w:rPr>
        <w:t>.</w:t>
      </w:r>
    </w:p>
  </w:footnote>
  <w:footnote w:id="32">
    <w:p w14:paraId="381F80C0" w14:textId="77777777" w:rsidR="00952A89" w:rsidRPr="003B7119" w:rsidRDefault="00952A89">
      <w:pPr>
        <w:pStyle w:val="FootnoteText"/>
        <w:rPr>
          <w:color w:val="77328A"/>
          <w:sz w:val="16"/>
          <w:szCs w:val="16"/>
        </w:rPr>
      </w:pPr>
      <w:r w:rsidRPr="000108E4">
        <w:rPr>
          <w:color w:val="77328A"/>
          <w:sz w:val="16"/>
          <w:szCs w:val="16"/>
          <w:vertAlign w:val="superscript"/>
        </w:rPr>
        <w:footnoteRef/>
      </w:r>
      <w:r w:rsidRPr="00952A89">
        <w:rPr>
          <w:color w:val="77328A"/>
          <w:sz w:val="16"/>
          <w:szCs w:val="16"/>
        </w:rPr>
        <w:t xml:space="preserve"> Northern Ireland Act 1998, at section 6(2)(c).</w:t>
      </w:r>
    </w:p>
  </w:footnote>
  <w:footnote w:id="33">
    <w:p w14:paraId="34623645" w14:textId="77777777" w:rsidR="001212C9" w:rsidRPr="00A13951" w:rsidRDefault="001212C9" w:rsidP="001212C9">
      <w:pPr>
        <w:pStyle w:val="FootnoteText"/>
        <w:rPr>
          <w:color w:val="77328A"/>
          <w:sz w:val="16"/>
          <w:szCs w:val="16"/>
        </w:rPr>
      </w:pPr>
      <w:r w:rsidRPr="00A13951">
        <w:rPr>
          <w:rStyle w:val="FootnoteReference"/>
          <w:color w:val="77328A"/>
          <w:sz w:val="16"/>
          <w:szCs w:val="16"/>
        </w:rPr>
        <w:footnoteRef/>
      </w:r>
      <w:r w:rsidRPr="00A13951">
        <w:rPr>
          <w:color w:val="77328A"/>
          <w:sz w:val="16"/>
          <w:szCs w:val="16"/>
        </w:rPr>
        <w:t xml:space="preserve"> Joint report from the Negotiators of the EU and UK Government progress during Phase 1 of Negotiations under Article 50 TEU on the UK’s Orderly Withdrawal from the EU, 8 December 2017, para 53.</w:t>
      </w:r>
    </w:p>
  </w:footnote>
  <w:footnote w:id="34">
    <w:p w14:paraId="21B0D222" w14:textId="77777777" w:rsidR="00EF78D7" w:rsidRPr="00580E40" w:rsidRDefault="00EF78D7" w:rsidP="00EF78D7">
      <w:pPr>
        <w:pStyle w:val="FootnoteText"/>
        <w:rPr>
          <w:color w:val="77328A"/>
          <w:sz w:val="16"/>
          <w:szCs w:val="16"/>
        </w:rPr>
      </w:pPr>
      <w:r w:rsidRPr="00580E40">
        <w:rPr>
          <w:rStyle w:val="FootnoteReference"/>
          <w:color w:val="77328A"/>
          <w:sz w:val="16"/>
          <w:szCs w:val="16"/>
        </w:rPr>
        <w:footnoteRef/>
      </w:r>
      <w:r w:rsidRPr="00580E40">
        <w:rPr>
          <w:color w:val="77328A"/>
          <w:sz w:val="16"/>
          <w:szCs w:val="16"/>
        </w:rPr>
        <w:t xml:space="preserve"> Belfast (Good Friday) Agreement, 10 April 1998, Part 6 on Rights, Safeguards and Equality of Opportunity.</w:t>
      </w:r>
    </w:p>
  </w:footnote>
  <w:footnote w:id="35">
    <w:p w14:paraId="46055713" w14:textId="77777777" w:rsidR="004E1BC2" w:rsidRPr="00580E40" w:rsidRDefault="004E1BC2" w:rsidP="004E1BC2">
      <w:pPr>
        <w:pStyle w:val="FootnoteText"/>
        <w:rPr>
          <w:rFonts w:cstheme="minorHAnsi"/>
          <w:color w:val="77328A"/>
          <w:sz w:val="16"/>
          <w:szCs w:val="16"/>
        </w:rPr>
      </w:pPr>
      <w:r w:rsidRPr="00580E40">
        <w:rPr>
          <w:rStyle w:val="FootnoteReference"/>
          <w:rFonts w:cstheme="minorHAnsi"/>
          <w:color w:val="77328A"/>
          <w:sz w:val="16"/>
          <w:szCs w:val="16"/>
        </w:rPr>
        <w:footnoteRef/>
      </w:r>
      <w:r w:rsidRPr="00580E40">
        <w:rPr>
          <w:rFonts w:cstheme="minorHAnsi"/>
          <w:color w:val="77328A"/>
          <w:sz w:val="16"/>
          <w:szCs w:val="16"/>
        </w:rPr>
        <w:t xml:space="preserve"> This relates to the scope of issues and EU law relevant to Article 2, rather than the question of whether Article 2 requires the UK to remain committed to the ECHR as considered in Social Change Initiative, ‘Human Rights and Equality in Northern Ireland under the Protocol – A Practical Guide’ (SCI, 2021); Christopher McCrudden, ‘Parliamentary Scrutiny of the Joint Committee and the Application of the Northern Ireland Protocol – Evidence to the House of Commons European Scrutiny Committee’ (ESC, 2020); and Sylvia De Mars, Aoife O’Donoghue, Colin Murray and Ben Warwick, ‘</w:t>
      </w:r>
      <w:hyperlink r:id="rId2" w:history="1">
        <w:r w:rsidRPr="00580E40">
          <w:rPr>
            <w:rStyle w:val="Hyperlink"/>
            <w:rFonts w:cstheme="minorHAnsi"/>
            <w:color w:val="77328A"/>
            <w:sz w:val="16"/>
            <w:szCs w:val="16"/>
          </w:rPr>
          <w:t>Commentary on the Protocol on Ireland/Northern Ireland</w:t>
        </w:r>
      </w:hyperlink>
      <w:r w:rsidRPr="00580E40">
        <w:rPr>
          <w:rFonts w:cstheme="minorHAnsi"/>
          <w:color w:val="77328A"/>
          <w:sz w:val="16"/>
          <w:szCs w:val="16"/>
        </w:rPr>
        <w:t xml:space="preserve"> in the Draft Withdrawal Agreement’ (2018).</w:t>
      </w:r>
    </w:p>
  </w:footnote>
  <w:footnote w:id="36">
    <w:p w14:paraId="55EA5BC0" w14:textId="77777777" w:rsidR="004E1BC2" w:rsidRPr="0061552C" w:rsidRDefault="004E1BC2" w:rsidP="004E1BC2">
      <w:pPr>
        <w:pStyle w:val="FootnoteText"/>
        <w:rPr>
          <w:rFonts w:cstheme="minorHAnsi"/>
          <w:color w:val="77328A"/>
          <w:sz w:val="16"/>
          <w:szCs w:val="16"/>
        </w:rPr>
      </w:pPr>
      <w:r w:rsidRPr="0061552C">
        <w:rPr>
          <w:rStyle w:val="FootnoteReference"/>
          <w:rFonts w:cstheme="minorHAnsi"/>
          <w:color w:val="77328A"/>
          <w:sz w:val="16"/>
          <w:szCs w:val="16"/>
        </w:rPr>
        <w:footnoteRef/>
      </w:r>
      <w:r w:rsidRPr="0061552C">
        <w:rPr>
          <w:rFonts w:cstheme="minorHAnsi"/>
          <w:color w:val="77328A"/>
          <w:sz w:val="16"/>
          <w:szCs w:val="16"/>
        </w:rPr>
        <w:t xml:space="preserve"> NI Office, ‘UK Government Commitment to “No Diminution of Rights, Safeguards and Equality of Opportunity” in Northern Ireland: What does it Mean and How will it be Implemented?’ (NIO, 2020), at para 3.</w:t>
      </w:r>
    </w:p>
  </w:footnote>
  <w:footnote w:id="37">
    <w:p w14:paraId="6FE3AEC5" w14:textId="77777777" w:rsidR="004E1BC2" w:rsidRPr="0061552C" w:rsidRDefault="004E1BC2" w:rsidP="004E1BC2">
      <w:pPr>
        <w:pStyle w:val="FootnoteText"/>
        <w:rPr>
          <w:color w:val="77328A"/>
          <w:sz w:val="16"/>
          <w:szCs w:val="16"/>
        </w:rPr>
      </w:pPr>
      <w:r w:rsidRPr="0061552C">
        <w:rPr>
          <w:rStyle w:val="FootnoteReference"/>
          <w:color w:val="77328A"/>
          <w:sz w:val="16"/>
          <w:szCs w:val="16"/>
        </w:rPr>
        <w:footnoteRef/>
      </w:r>
      <w:r w:rsidRPr="0061552C">
        <w:rPr>
          <w:color w:val="77328A"/>
          <w:sz w:val="16"/>
          <w:szCs w:val="16"/>
        </w:rPr>
        <w:t xml:space="preserve"> Ministry of Justice, ‘Human Rights Act Reform: A Modern Bill Of Rights - A consultation to reform the Human Rights Act 1998’, (MOJ, 2021) at paras 68-70.</w:t>
      </w:r>
    </w:p>
  </w:footnote>
  <w:footnote w:id="38">
    <w:p w14:paraId="6F9FAFE9" w14:textId="77777777" w:rsidR="003E6D66" w:rsidRPr="00580E40" w:rsidRDefault="003E6D66" w:rsidP="00A61266">
      <w:pPr>
        <w:pStyle w:val="FootnoteText"/>
        <w:rPr>
          <w:color w:val="77328A"/>
          <w:sz w:val="16"/>
          <w:szCs w:val="16"/>
        </w:rPr>
      </w:pPr>
      <w:r w:rsidRPr="0061552C">
        <w:rPr>
          <w:rStyle w:val="FootnoteReference"/>
          <w:color w:val="77328A"/>
          <w:sz w:val="16"/>
          <w:szCs w:val="16"/>
        </w:rPr>
        <w:footnoteRef/>
      </w:r>
      <w:r w:rsidRPr="0061552C">
        <w:rPr>
          <w:color w:val="77328A"/>
          <w:sz w:val="16"/>
          <w:szCs w:val="16"/>
        </w:rPr>
        <w:t xml:space="preserve"> UK Government, ‘UK Government commitment to no-diminution of rights, safeguards and equality of opportunity in Northern Ireland’, (NIO, 2020), at para 29.</w:t>
      </w:r>
    </w:p>
  </w:footnote>
  <w:footnote w:id="39">
    <w:p w14:paraId="32B0D679" w14:textId="77777777" w:rsidR="003E6D66" w:rsidRPr="0061552C" w:rsidRDefault="003E6D66" w:rsidP="00A61266">
      <w:pPr>
        <w:pStyle w:val="FootnoteText"/>
        <w:rPr>
          <w:color w:val="77328A"/>
          <w:sz w:val="16"/>
          <w:szCs w:val="16"/>
        </w:rPr>
      </w:pPr>
      <w:r w:rsidRPr="0061552C">
        <w:rPr>
          <w:rStyle w:val="FootnoteReference"/>
          <w:color w:val="77328A"/>
          <w:sz w:val="16"/>
          <w:szCs w:val="16"/>
        </w:rPr>
        <w:footnoteRef/>
      </w:r>
      <w:r w:rsidRPr="0061552C">
        <w:rPr>
          <w:color w:val="77328A"/>
          <w:sz w:val="16"/>
          <w:szCs w:val="16"/>
        </w:rPr>
        <w:t xml:space="preserve"> </w:t>
      </w:r>
      <w:r w:rsidRPr="0061552C">
        <w:rPr>
          <w:rFonts w:cstheme="minorHAnsi"/>
          <w:color w:val="77328A"/>
          <w:sz w:val="16"/>
          <w:szCs w:val="16"/>
        </w:rPr>
        <w:t>NI Office, ‘UK Government Commitment to “No Diminution of Rights, Safeguards and Equality of Opportunity” in Northern Ireland: What does it Mean and How will it be Implemented?’ (NIO, 2020), at para 29</w:t>
      </w:r>
    </w:p>
  </w:footnote>
  <w:footnote w:id="40">
    <w:p w14:paraId="4520AF3B" w14:textId="73BA7A5A" w:rsidR="003E6D66" w:rsidRPr="0061552C" w:rsidRDefault="003E6D66" w:rsidP="00A61266">
      <w:pPr>
        <w:pStyle w:val="FootnoteText"/>
        <w:rPr>
          <w:color w:val="77328A"/>
          <w:sz w:val="16"/>
          <w:szCs w:val="16"/>
        </w:rPr>
      </w:pPr>
      <w:r w:rsidRPr="0061552C">
        <w:rPr>
          <w:rStyle w:val="FootnoteReference"/>
          <w:color w:val="77328A"/>
          <w:sz w:val="16"/>
          <w:szCs w:val="16"/>
        </w:rPr>
        <w:footnoteRef/>
      </w:r>
      <w:r w:rsidRPr="0061552C">
        <w:rPr>
          <w:color w:val="77328A"/>
          <w:sz w:val="16"/>
          <w:szCs w:val="16"/>
        </w:rPr>
        <w:t xml:space="preserve"> </w:t>
      </w:r>
      <w:r w:rsidR="008C17AA">
        <w:rPr>
          <w:i/>
          <w:iCs/>
          <w:color w:val="77328A"/>
          <w:sz w:val="16"/>
          <w:szCs w:val="16"/>
        </w:rPr>
        <w:t>Re</w:t>
      </w:r>
      <w:r w:rsidRPr="0061552C">
        <w:rPr>
          <w:i/>
          <w:iCs/>
          <w:color w:val="77328A"/>
          <w:sz w:val="16"/>
          <w:szCs w:val="16"/>
        </w:rPr>
        <w:t xml:space="preserve"> SPUC Pro-Life Limited </w:t>
      </w:r>
      <w:r w:rsidRPr="0061552C">
        <w:rPr>
          <w:color w:val="77328A"/>
          <w:sz w:val="16"/>
          <w:szCs w:val="16"/>
        </w:rPr>
        <w:t>[2022]  NIQB, at para 77.</w:t>
      </w:r>
    </w:p>
  </w:footnote>
  <w:footnote w:id="41">
    <w:p w14:paraId="2C0EADA5" w14:textId="77777777" w:rsidR="000A31C0" w:rsidRPr="00580E40" w:rsidRDefault="000A31C0" w:rsidP="000A31C0">
      <w:pPr>
        <w:pStyle w:val="FootnoteText"/>
        <w:rPr>
          <w:rFonts w:cstheme="minorHAnsi"/>
          <w:color w:val="77328A"/>
          <w:sz w:val="16"/>
          <w:szCs w:val="16"/>
        </w:rPr>
      </w:pPr>
      <w:r w:rsidRPr="00580E40">
        <w:rPr>
          <w:rStyle w:val="FootnoteReference"/>
          <w:rFonts w:cstheme="minorHAnsi"/>
          <w:color w:val="77328A"/>
          <w:sz w:val="16"/>
          <w:szCs w:val="16"/>
        </w:rPr>
        <w:footnoteRef/>
      </w:r>
      <w:r w:rsidRPr="00580E40">
        <w:rPr>
          <w:rFonts w:cstheme="minorHAnsi"/>
          <w:color w:val="77328A"/>
          <w:sz w:val="16"/>
          <w:szCs w:val="16"/>
        </w:rPr>
        <w:t xml:space="preserve"> </w:t>
      </w:r>
      <w:bookmarkStart w:id="6" w:name="_Hlk94694781"/>
      <w:r w:rsidRPr="00580E40">
        <w:rPr>
          <w:rFonts w:cstheme="minorHAnsi"/>
          <w:color w:val="77328A"/>
          <w:sz w:val="16"/>
          <w:szCs w:val="16"/>
        </w:rPr>
        <w:t>For further discussion on the EU Charter and Protocol Article 2 see Bernard McCloskey, ‘Charter of Fundamental Rights’ in McCrudden (ed), ‘The Law and Practice of the Ireland-Northern Ireland Protocol’ (OUP, 2021), at 164-166.</w:t>
      </w:r>
      <w:bookmarkEnd w:id="6"/>
    </w:p>
  </w:footnote>
  <w:footnote w:id="42">
    <w:p w14:paraId="4A285ED8" w14:textId="41C98A8F" w:rsidR="000A31C0" w:rsidRPr="00580E40" w:rsidRDefault="000A31C0" w:rsidP="000A31C0">
      <w:pPr>
        <w:pStyle w:val="FootnoteText"/>
        <w:rPr>
          <w:rFonts w:cstheme="minorHAnsi"/>
          <w:color w:val="77328A"/>
          <w:sz w:val="16"/>
          <w:szCs w:val="16"/>
        </w:rPr>
      </w:pPr>
      <w:r w:rsidRPr="00580E40">
        <w:rPr>
          <w:rStyle w:val="FootnoteReference"/>
          <w:rFonts w:cstheme="minorHAnsi"/>
          <w:color w:val="77328A"/>
          <w:sz w:val="16"/>
          <w:szCs w:val="16"/>
        </w:rPr>
        <w:footnoteRef/>
      </w:r>
      <w:r w:rsidRPr="00580E40">
        <w:rPr>
          <w:rFonts w:cstheme="minorHAnsi"/>
          <w:color w:val="77328A"/>
          <w:sz w:val="16"/>
          <w:szCs w:val="16"/>
        </w:rPr>
        <w:t xml:space="preserve"> Section 5, EU (Withdrawal) Act 2018. See Comments from Colton J in </w:t>
      </w:r>
      <w:r w:rsidR="00A15CE8" w:rsidRPr="00580E40">
        <w:rPr>
          <w:rFonts w:cstheme="minorHAnsi"/>
          <w:i/>
          <w:iCs/>
          <w:color w:val="77328A"/>
          <w:sz w:val="16"/>
          <w:szCs w:val="16"/>
        </w:rPr>
        <w:t>Re</w:t>
      </w:r>
      <w:r w:rsidRPr="00580E40">
        <w:rPr>
          <w:rFonts w:cstheme="minorHAnsi"/>
          <w:i/>
          <w:iCs/>
          <w:color w:val="77328A"/>
          <w:sz w:val="16"/>
          <w:szCs w:val="16"/>
        </w:rPr>
        <w:t xml:space="preserve"> SPUC Pro-Life Ltd </w:t>
      </w:r>
      <w:r w:rsidR="00A15CE8" w:rsidRPr="0061552C">
        <w:rPr>
          <w:i/>
          <w:iCs/>
          <w:color w:val="77328A"/>
          <w:sz w:val="16"/>
          <w:szCs w:val="16"/>
        </w:rPr>
        <w:t xml:space="preserve"> </w:t>
      </w:r>
      <w:r w:rsidR="00A15CE8" w:rsidRPr="0061552C">
        <w:rPr>
          <w:color w:val="77328A"/>
          <w:sz w:val="16"/>
          <w:szCs w:val="16"/>
        </w:rPr>
        <w:t>[2022]  NIQB.</w:t>
      </w:r>
    </w:p>
  </w:footnote>
  <w:footnote w:id="43">
    <w:p w14:paraId="09CB5E63" w14:textId="77777777" w:rsidR="000A31C0" w:rsidRPr="00580E40" w:rsidRDefault="000A31C0" w:rsidP="000A31C0">
      <w:pPr>
        <w:pStyle w:val="FootnoteText"/>
        <w:rPr>
          <w:rFonts w:cstheme="minorHAnsi"/>
          <w:color w:val="77328A"/>
          <w:sz w:val="16"/>
          <w:szCs w:val="16"/>
        </w:rPr>
      </w:pPr>
      <w:r w:rsidRPr="00580E40">
        <w:rPr>
          <w:rStyle w:val="FootnoteReference"/>
          <w:rFonts w:cstheme="minorHAnsi"/>
          <w:color w:val="77328A"/>
          <w:sz w:val="16"/>
          <w:szCs w:val="16"/>
        </w:rPr>
        <w:footnoteRef/>
      </w:r>
      <w:r w:rsidRPr="00580E40">
        <w:rPr>
          <w:rFonts w:cstheme="minorHAnsi"/>
          <w:color w:val="77328A"/>
          <w:sz w:val="16"/>
          <w:szCs w:val="16"/>
        </w:rPr>
        <w:t xml:space="preserve"> Article 51(1) of the EU Charter of Fundamental Rights; </w:t>
      </w:r>
      <w:proofErr w:type="spellStart"/>
      <w:r w:rsidRPr="00580E40">
        <w:rPr>
          <w:rFonts w:cstheme="minorHAnsi"/>
          <w:i/>
          <w:iCs/>
          <w:color w:val="77328A"/>
          <w:sz w:val="16"/>
          <w:szCs w:val="16"/>
        </w:rPr>
        <w:t>Åklagaren</w:t>
      </w:r>
      <w:proofErr w:type="spellEnd"/>
      <w:r w:rsidRPr="00580E40">
        <w:rPr>
          <w:rFonts w:cstheme="minorHAnsi"/>
          <w:i/>
          <w:iCs/>
          <w:color w:val="77328A"/>
          <w:sz w:val="16"/>
          <w:szCs w:val="16"/>
        </w:rPr>
        <w:t xml:space="preserve"> v Hans </w:t>
      </w:r>
      <w:proofErr w:type="spellStart"/>
      <w:r w:rsidRPr="00580E40">
        <w:rPr>
          <w:rFonts w:cstheme="minorHAnsi"/>
          <w:i/>
          <w:iCs/>
          <w:color w:val="77328A"/>
          <w:sz w:val="16"/>
          <w:szCs w:val="16"/>
        </w:rPr>
        <w:t>Åkerberg</w:t>
      </w:r>
      <w:proofErr w:type="spellEnd"/>
      <w:r w:rsidRPr="00580E40">
        <w:rPr>
          <w:rFonts w:cstheme="minorHAnsi"/>
          <w:i/>
          <w:iCs/>
          <w:color w:val="77328A"/>
          <w:sz w:val="16"/>
          <w:szCs w:val="16"/>
        </w:rPr>
        <w:t xml:space="preserve"> </w:t>
      </w:r>
      <w:proofErr w:type="spellStart"/>
      <w:r w:rsidRPr="00580E40">
        <w:rPr>
          <w:rFonts w:cstheme="minorHAnsi"/>
          <w:i/>
          <w:iCs/>
          <w:color w:val="77328A"/>
          <w:sz w:val="16"/>
          <w:szCs w:val="16"/>
        </w:rPr>
        <w:t>Fransson</w:t>
      </w:r>
      <w:proofErr w:type="spellEnd"/>
      <w:r w:rsidRPr="00580E40">
        <w:rPr>
          <w:rFonts w:cstheme="minorHAnsi"/>
          <w:color w:val="77328A"/>
          <w:sz w:val="16"/>
          <w:szCs w:val="16"/>
        </w:rPr>
        <w:t xml:space="preserve">, Case C-617/10, 26 6 February 2013; </w:t>
      </w:r>
      <w:r w:rsidRPr="00580E40">
        <w:rPr>
          <w:rFonts w:cstheme="minorHAnsi"/>
          <w:i/>
          <w:iCs/>
          <w:color w:val="77328A"/>
          <w:sz w:val="16"/>
          <w:szCs w:val="16"/>
        </w:rPr>
        <w:t xml:space="preserve">Vera </w:t>
      </w:r>
      <w:proofErr w:type="spellStart"/>
      <w:r w:rsidRPr="00580E40">
        <w:rPr>
          <w:rFonts w:cstheme="minorHAnsi"/>
          <w:i/>
          <w:iCs/>
          <w:color w:val="77328A"/>
          <w:sz w:val="16"/>
          <w:szCs w:val="16"/>
        </w:rPr>
        <w:t>Egenberger</w:t>
      </w:r>
      <w:proofErr w:type="spellEnd"/>
      <w:r w:rsidRPr="00580E40">
        <w:rPr>
          <w:rFonts w:cstheme="minorHAnsi"/>
          <w:i/>
          <w:iCs/>
          <w:color w:val="77328A"/>
          <w:sz w:val="16"/>
          <w:szCs w:val="16"/>
        </w:rPr>
        <w:t xml:space="preserve"> v </w:t>
      </w:r>
      <w:proofErr w:type="spellStart"/>
      <w:r w:rsidRPr="00580E40">
        <w:rPr>
          <w:rFonts w:cstheme="minorHAnsi"/>
          <w:i/>
          <w:iCs/>
          <w:color w:val="77328A"/>
          <w:sz w:val="16"/>
          <w:szCs w:val="16"/>
        </w:rPr>
        <w:t>Evangelisches</w:t>
      </w:r>
      <w:proofErr w:type="spellEnd"/>
      <w:r w:rsidRPr="00580E40">
        <w:rPr>
          <w:rFonts w:cstheme="minorHAnsi"/>
          <w:i/>
          <w:iCs/>
          <w:color w:val="77328A"/>
          <w:sz w:val="16"/>
          <w:szCs w:val="16"/>
        </w:rPr>
        <w:t xml:space="preserve"> </w:t>
      </w:r>
      <w:proofErr w:type="spellStart"/>
      <w:r w:rsidRPr="00580E40">
        <w:rPr>
          <w:rFonts w:cstheme="minorHAnsi"/>
          <w:i/>
          <w:iCs/>
          <w:color w:val="77328A"/>
          <w:sz w:val="16"/>
          <w:szCs w:val="16"/>
        </w:rPr>
        <w:t>Werk</w:t>
      </w:r>
      <w:proofErr w:type="spellEnd"/>
      <w:r w:rsidRPr="00580E40">
        <w:rPr>
          <w:rFonts w:cstheme="minorHAnsi"/>
          <w:i/>
          <w:iCs/>
          <w:color w:val="77328A"/>
          <w:sz w:val="16"/>
          <w:szCs w:val="16"/>
        </w:rPr>
        <w:t xml:space="preserve"> für </w:t>
      </w:r>
      <w:proofErr w:type="spellStart"/>
      <w:r w:rsidRPr="00580E40">
        <w:rPr>
          <w:rFonts w:cstheme="minorHAnsi"/>
          <w:i/>
          <w:iCs/>
          <w:color w:val="77328A"/>
          <w:sz w:val="16"/>
          <w:szCs w:val="16"/>
        </w:rPr>
        <w:t>Diakonie</w:t>
      </w:r>
      <w:proofErr w:type="spellEnd"/>
      <w:r w:rsidRPr="00580E40">
        <w:rPr>
          <w:rFonts w:cstheme="minorHAnsi"/>
          <w:i/>
          <w:iCs/>
          <w:color w:val="77328A"/>
          <w:sz w:val="16"/>
          <w:szCs w:val="16"/>
        </w:rPr>
        <w:t xml:space="preserve"> und </w:t>
      </w:r>
      <w:proofErr w:type="spellStart"/>
      <w:r w:rsidRPr="00580E40">
        <w:rPr>
          <w:rFonts w:cstheme="minorHAnsi"/>
          <w:i/>
          <w:iCs/>
          <w:color w:val="77328A"/>
          <w:sz w:val="16"/>
          <w:szCs w:val="16"/>
        </w:rPr>
        <w:t>Entwicklung</w:t>
      </w:r>
      <w:proofErr w:type="spellEnd"/>
      <w:r w:rsidRPr="00580E40">
        <w:rPr>
          <w:rFonts w:cstheme="minorHAnsi"/>
          <w:i/>
          <w:iCs/>
          <w:color w:val="77328A"/>
          <w:sz w:val="16"/>
          <w:szCs w:val="16"/>
        </w:rPr>
        <w:t xml:space="preserve"> eV, </w:t>
      </w:r>
      <w:r w:rsidRPr="00580E40">
        <w:rPr>
          <w:rFonts w:cstheme="minorHAnsi"/>
          <w:color w:val="77328A"/>
          <w:sz w:val="16"/>
          <w:szCs w:val="16"/>
        </w:rPr>
        <w:t>Case C-414/16, 17 April 2018, para 76.  .</w:t>
      </w:r>
    </w:p>
  </w:footnote>
  <w:footnote w:id="44">
    <w:p w14:paraId="59F0AE3E" w14:textId="77777777" w:rsidR="000A31C0" w:rsidRPr="00580E40" w:rsidRDefault="000A31C0" w:rsidP="000A31C0">
      <w:pPr>
        <w:pStyle w:val="FootnoteText"/>
        <w:rPr>
          <w:rFonts w:cstheme="minorHAnsi"/>
          <w:color w:val="77328A"/>
          <w:sz w:val="16"/>
          <w:szCs w:val="16"/>
        </w:rPr>
      </w:pPr>
      <w:r w:rsidRPr="00580E40">
        <w:rPr>
          <w:rStyle w:val="FootnoteReference"/>
          <w:rFonts w:cstheme="minorHAnsi"/>
          <w:color w:val="77328A"/>
          <w:sz w:val="16"/>
          <w:szCs w:val="16"/>
        </w:rPr>
        <w:footnoteRef/>
      </w:r>
      <w:r w:rsidRPr="00580E40">
        <w:rPr>
          <w:rFonts w:cstheme="minorHAnsi"/>
          <w:color w:val="77328A"/>
          <w:sz w:val="16"/>
          <w:szCs w:val="16"/>
        </w:rPr>
        <w:t xml:space="preserve"> </w:t>
      </w:r>
      <w:r w:rsidRPr="00580E40">
        <w:rPr>
          <w:rFonts w:cstheme="minorHAnsi"/>
          <w:i/>
          <w:iCs/>
          <w:color w:val="77328A"/>
          <w:sz w:val="16"/>
          <w:szCs w:val="16"/>
        </w:rPr>
        <w:t xml:space="preserve">Vera </w:t>
      </w:r>
      <w:proofErr w:type="spellStart"/>
      <w:r w:rsidRPr="00580E40">
        <w:rPr>
          <w:rFonts w:cstheme="minorHAnsi"/>
          <w:i/>
          <w:iCs/>
          <w:color w:val="77328A"/>
          <w:sz w:val="16"/>
          <w:szCs w:val="16"/>
        </w:rPr>
        <w:t>Egenberger</w:t>
      </w:r>
      <w:proofErr w:type="spellEnd"/>
      <w:r w:rsidRPr="00580E40">
        <w:rPr>
          <w:rFonts w:cstheme="minorHAnsi"/>
          <w:i/>
          <w:iCs/>
          <w:color w:val="77328A"/>
          <w:sz w:val="16"/>
          <w:szCs w:val="16"/>
        </w:rPr>
        <w:t xml:space="preserve"> v </w:t>
      </w:r>
      <w:proofErr w:type="spellStart"/>
      <w:r w:rsidRPr="00580E40">
        <w:rPr>
          <w:rFonts w:cstheme="minorHAnsi"/>
          <w:i/>
          <w:iCs/>
          <w:color w:val="77328A"/>
          <w:sz w:val="16"/>
          <w:szCs w:val="16"/>
        </w:rPr>
        <w:t>Evangelisches</w:t>
      </w:r>
      <w:proofErr w:type="spellEnd"/>
      <w:r w:rsidRPr="00580E40">
        <w:rPr>
          <w:rFonts w:cstheme="minorHAnsi"/>
          <w:i/>
          <w:iCs/>
          <w:color w:val="77328A"/>
          <w:sz w:val="16"/>
          <w:szCs w:val="16"/>
        </w:rPr>
        <w:t xml:space="preserve"> </w:t>
      </w:r>
      <w:proofErr w:type="spellStart"/>
      <w:r w:rsidRPr="00580E40">
        <w:rPr>
          <w:rFonts w:cstheme="minorHAnsi"/>
          <w:i/>
          <w:iCs/>
          <w:color w:val="77328A"/>
          <w:sz w:val="16"/>
          <w:szCs w:val="16"/>
        </w:rPr>
        <w:t>Werk</w:t>
      </w:r>
      <w:proofErr w:type="spellEnd"/>
      <w:r w:rsidRPr="00580E40">
        <w:rPr>
          <w:rFonts w:cstheme="minorHAnsi"/>
          <w:i/>
          <w:iCs/>
          <w:color w:val="77328A"/>
          <w:sz w:val="16"/>
          <w:szCs w:val="16"/>
        </w:rPr>
        <w:t xml:space="preserve"> für </w:t>
      </w:r>
      <w:proofErr w:type="spellStart"/>
      <w:r w:rsidRPr="00580E40">
        <w:rPr>
          <w:rFonts w:cstheme="minorHAnsi"/>
          <w:i/>
          <w:iCs/>
          <w:color w:val="77328A"/>
          <w:sz w:val="16"/>
          <w:szCs w:val="16"/>
        </w:rPr>
        <w:t>Diakonie</w:t>
      </w:r>
      <w:proofErr w:type="spellEnd"/>
      <w:r w:rsidRPr="00580E40">
        <w:rPr>
          <w:rFonts w:cstheme="minorHAnsi"/>
          <w:i/>
          <w:iCs/>
          <w:color w:val="77328A"/>
          <w:sz w:val="16"/>
          <w:szCs w:val="16"/>
        </w:rPr>
        <w:t xml:space="preserve"> und </w:t>
      </w:r>
      <w:proofErr w:type="spellStart"/>
      <w:r w:rsidRPr="00580E40">
        <w:rPr>
          <w:rFonts w:cstheme="minorHAnsi"/>
          <w:i/>
          <w:iCs/>
          <w:color w:val="77328A"/>
          <w:sz w:val="16"/>
          <w:szCs w:val="16"/>
        </w:rPr>
        <w:t>Entwicklung</w:t>
      </w:r>
      <w:proofErr w:type="spellEnd"/>
      <w:r w:rsidRPr="00580E40">
        <w:rPr>
          <w:rFonts w:cstheme="minorHAnsi"/>
          <w:i/>
          <w:iCs/>
          <w:color w:val="77328A"/>
          <w:sz w:val="16"/>
          <w:szCs w:val="16"/>
        </w:rPr>
        <w:t xml:space="preserve"> eV, </w:t>
      </w:r>
      <w:r w:rsidRPr="00580E40">
        <w:rPr>
          <w:rFonts w:cstheme="minorHAnsi"/>
          <w:color w:val="77328A"/>
          <w:sz w:val="16"/>
          <w:szCs w:val="16"/>
        </w:rPr>
        <w:t>Case C-414/16, 17 April 2018, para 78.</w:t>
      </w:r>
    </w:p>
  </w:footnote>
  <w:footnote w:id="45">
    <w:p w14:paraId="015955CC" w14:textId="77777777" w:rsidR="000A31C0" w:rsidRPr="00580E40" w:rsidRDefault="000A31C0" w:rsidP="000A31C0">
      <w:pPr>
        <w:pStyle w:val="FootnoteText"/>
        <w:rPr>
          <w:rFonts w:cstheme="minorHAnsi"/>
          <w:color w:val="77328A"/>
          <w:sz w:val="16"/>
          <w:szCs w:val="16"/>
        </w:rPr>
      </w:pPr>
      <w:r w:rsidRPr="00580E40">
        <w:rPr>
          <w:rStyle w:val="FootnoteReference"/>
          <w:rFonts w:cstheme="minorHAnsi"/>
          <w:color w:val="77328A"/>
          <w:sz w:val="16"/>
          <w:szCs w:val="16"/>
        </w:rPr>
        <w:footnoteRef/>
      </w:r>
      <w:r w:rsidRPr="00580E40">
        <w:rPr>
          <w:rFonts w:cstheme="minorHAnsi"/>
          <w:color w:val="77328A"/>
          <w:sz w:val="16"/>
          <w:szCs w:val="16"/>
        </w:rPr>
        <w:t xml:space="preserve"> </w:t>
      </w:r>
      <w:r w:rsidRPr="00580E40">
        <w:rPr>
          <w:rFonts w:cstheme="minorHAnsi"/>
          <w:i/>
          <w:iCs/>
          <w:color w:val="77328A"/>
          <w:sz w:val="16"/>
          <w:szCs w:val="16"/>
        </w:rPr>
        <w:t xml:space="preserve">Vera </w:t>
      </w:r>
      <w:proofErr w:type="spellStart"/>
      <w:r w:rsidRPr="00580E40">
        <w:rPr>
          <w:rFonts w:cstheme="minorHAnsi"/>
          <w:i/>
          <w:iCs/>
          <w:color w:val="77328A"/>
          <w:sz w:val="16"/>
          <w:szCs w:val="16"/>
        </w:rPr>
        <w:t>Egenberger</w:t>
      </w:r>
      <w:proofErr w:type="spellEnd"/>
      <w:r w:rsidRPr="00580E40">
        <w:rPr>
          <w:rFonts w:cstheme="minorHAnsi"/>
          <w:i/>
          <w:iCs/>
          <w:color w:val="77328A"/>
          <w:sz w:val="16"/>
          <w:szCs w:val="16"/>
        </w:rPr>
        <w:t xml:space="preserve"> v </w:t>
      </w:r>
      <w:proofErr w:type="spellStart"/>
      <w:r w:rsidRPr="00580E40">
        <w:rPr>
          <w:rFonts w:cstheme="minorHAnsi"/>
          <w:i/>
          <w:iCs/>
          <w:color w:val="77328A"/>
          <w:sz w:val="16"/>
          <w:szCs w:val="16"/>
        </w:rPr>
        <w:t>Evangelisches</w:t>
      </w:r>
      <w:proofErr w:type="spellEnd"/>
      <w:r w:rsidRPr="00580E40">
        <w:rPr>
          <w:rFonts w:cstheme="minorHAnsi"/>
          <w:i/>
          <w:iCs/>
          <w:color w:val="77328A"/>
          <w:sz w:val="16"/>
          <w:szCs w:val="16"/>
        </w:rPr>
        <w:t xml:space="preserve"> </w:t>
      </w:r>
      <w:proofErr w:type="spellStart"/>
      <w:r w:rsidRPr="00580E40">
        <w:rPr>
          <w:rFonts w:cstheme="minorHAnsi"/>
          <w:i/>
          <w:iCs/>
          <w:color w:val="77328A"/>
          <w:sz w:val="16"/>
          <w:szCs w:val="16"/>
        </w:rPr>
        <w:t>Werk</w:t>
      </w:r>
      <w:proofErr w:type="spellEnd"/>
      <w:r w:rsidRPr="00580E40">
        <w:rPr>
          <w:rFonts w:cstheme="minorHAnsi"/>
          <w:i/>
          <w:iCs/>
          <w:color w:val="77328A"/>
          <w:sz w:val="16"/>
          <w:szCs w:val="16"/>
        </w:rPr>
        <w:t xml:space="preserve"> für </w:t>
      </w:r>
      <w:proofErr w:type="spellStart"/>
      <w:r w:rsidRPr="00580E40">
        <w:rPr>
          <w:rFonts w:cstheme="minorHAnsi"/>
          <w:i/>
          <w:iCs/>
          <w:color w:val="77328A"/>
          <w:sz w:val="16"/>
          <w:szCs w:val="16"/>
        </w:rPr>
        <w:t>Diakonie</w:t>
      </w:r>
      <w:proofErr w:type="spellEnd"/>
      <w:r w:rsidRPr="00580E40">
        <w:rPr>
          <w:rFonts w:cstheme="minorHAnsi"/>
          <w:i/>
          <w:iCs/>
          <w:color w:val="77328A"/>
          <w:sz w:val="16"/>
          <w:szCs w:val="16"/>
        </w:rPr>
        <w:t xml:space="preserve"> und </w:t>
      </w:r>
      <w:proofErr w:type="spellStart"/>
      <w:r w:rsidRPr="00580E40">
        <w:rPr>
          <w:rFonts w:cstheme="minorHAnsi"/>
          <w:i/>
          <w:iCs/>
          <w:color w:val="77328A"/>
          <w:sz w:val="16"/>
          <w:szCs w:val="16"/>
        </w:rPr>
        <w:t>Entwicklung</w:t>
      </w:r>
      <w:proofErr w:type="spellEnd"/>
      <w:r w:rsidRPr="00580E40">
        <w:rPr>
          <w:rFonts w:cstheme="minorHAnsi"/>
          <w:i/>
          <w:iCs/>
          <w:color w:val="77328A"/>
          <w:sz w:val="16"/>
          <w:szCs w:val="16"/>
        </w:rPr>
        <w:t xml:space="preserve"> eV, </w:t>
      </w:r>
      <w:r w:rsidRPr="00580E40">
        <w:rPr>
          <w:rFonts w:cstheme="minorHAnsi"/>
          <w:color w:val="77328A"/>
          <w:sz w:val="16"/>
          <w:szCs w:val="16"/>
        </w:rPr>
        <w:t>Case C-414/16, 17 April 2018, para 79.</w:t>
      </w:r>
    </w:p>
  </w:footnote>
  <w:footnote w:id="46">
    <w:p w14:paraId="5B3D1B58" w14:textId="77777777" w:rsidR="000A31C0" w:rsidRPr="00580E40" w:rsidRDefault="000A31C0" w:rsidP="000A31C0">
      <w:pPr>
        <w:pStyle w:val="FootnoteText"/>
        <w:rPr>
          <w:color w:val="77328A"/>
          <w:sz w:val="16"/>
          <w:szCs w:val="16"/>
        </w:rPr>
      </w:pPr>
      <w:r w:rsidRPr="00580E40">
        <w:rPr>
          <w:rStyle w:val="FootnoteReference"/>
          <w:color w:val="77328A"/>
          <w:sz w:val="16"/>
          <w:szCs w:val="16"/>
        </w:rPr>
        <w:footnoteRef/>
      </w:r>
      <w:r w:rsidRPr="00580E40">
        <w:rPr>
          <w:color w:val="77328A"/>
          <w:sz w:val="16"/>
          <w:szCs w:val="16"/>
        </w:rPr>
        <w:t xml:space="preserve"> </w:t>
      </w:r>
      <w:r w:rsidRPr="00580E40">
        <w:rPr>
          <w:rFonts w:cstheme="minorHAnsi"/>
          <w:color w:val="77328A"/>
          <w:sz w:val="16"/>
          <w:szCs w:val="16"/>
        </w:rPr>
        <w:t>Arti</w:t>
      </w:r>
      <w:bookmarkStart w:id="11" w:name="_Hlk94694605"/>
      <w:r w:rsidRPr="00580E40">
        <w:rPr>
          <w:rFonts w:cstheme="minorHAnsi"/>
          <w:color w:val="77328A"/>
          <w:sz w:val="16"/>
          <w:szCs w:val="16"/>
        </w:rPr>
        <w:t xml:space="preserve">cle 4(3) provides that where the Withdrawal agreement refers to EU law or concepts, it should be interpreted and applied in accordance with the methods and general principles of EU law.  As noted in </w:t>
      </w:r>
      <w:proofErr w:type="spellStart"/>
      <w:r w:rsidRPr="00580E40">
        <w:rPr>
          <w:rFonts w:cstheme="minorHAnsi"/>
          <w:color w:val="77328A"/>
          <w:sz w:val="16"/>
          <w:szCs w:val="16"/>
        </w:rPr>
        <w:t>Kellerbauer</w:t>
      </w:r>
      <w:proofErr w:type="spellEnd"/>
      <w:r w:rsidRPr="00580E40">
        <w:rPr>
          <w:rFonts w:cstheme="minorHAnsi"/>
          <w:color w:val="77328A"/>
          <w:sz w:val="16"/>
          <w:szCs w:val="16"/>
        </w:rPr>
        <w:t xml:space="preserve"> et al, “The obligation to apply these provisions in accordance with the general principles of [EU] law means for the UK that it is bound to observe the EU fundamental rights when implementing those provisions of the Agreement.  Hence in substance, Article 4(3) has the same effect as article 51(1) if the EU Charter of Fundamental Rights.” </w:t>
      </w:r>
      <w:proofErr w:type="spellStart"/>
      <w:r w:rsidRPr="00580E40">
        <w:rPr>
          <w:rFonts w:cstheme="minorHAnsi"/>
          <w:color w:val="77328A"/>
          <w:sz w:val="16"/>
          <w:szCs w:val="16"/>
        </w:rPr>
        <w:t>Kellerbauer</w:t>
      </w:r>
      <w:proofErr w:type="spellEnd"/>
      <w:r w:rsidRPr="00580E40">
        <w:rPr>
          <w:rFonts w:cstheme="minorHAnsi"/>
          <w:color w:val="77328A"/>
          <w:sz w:val="16"/>
          <w:szCs w:val="16"/>
        </w:rPr>
        <w:t xml:space="preserve">, </w:t>
      </w:r>
      <w:proofErr w:type="spellStart"/>
      <w:r w:rsidRPr="00580E40">
        <w:rPr>
          <w:rFonts w:cstheme="minorHAnsi"/>
          <w:color w:val="77328A"/>
          <w:sz w:val="16"/>
          <w:szCs w:val="16"/>
        </w:rPr>
        <w:t>Dumitriu-Segnana</w:t>
      </w:r>
      <w:proofErr w:type="spellEnd"/>
      <w:r w:rsidRPr="00580E40">
        <w:rPr>
          <w:rFonts w:cstheme="minorHAnsi"/>
          <w:color w:val="77328A"/>
          <w:sz w:val="16"/>
          <w:szCs w:val="16"/>
        </w:rPr>
        <w:t xml:space="preserve">, Thomas </w:t>
      </w:r>
      <w:proofErr w:type="spellStart"/>
      <w:r w:rsidRPr="00580E40">
        <w:rPr>
          <w:rFonts w:cstheme="minorHAnsi"/>
          <w:color w:val="77328A"/>
          <w:sz w:val="16"/>
          <w:szCs w:val="16"/>
        </w:rPr>
        <w:t>Liefländer</w:t>
      </w:r>
      <w:proofErr w:type="spellEnd"/>
      <w:r w:rsidRPr="00580E40">
        <w:rPr>
          <w:rFonts w:cstheme="minorHAnsi"/>
          <w:color w:val="77328A"/>
          <w:sz w:val="16"/>
          <w:szCs w:val="16"/>
        </w:rPr>
        <w:t>, ‘The UK-EU Withdrawal Agreement – A Commentary’ (OUP, 2021), at 39.</w:t>
      </w:r>
      <w:bookmarkEnd w:id="11"/>
    </w:p>
  </w:footnote>
  <w:footnote w:id="47">
    <w:p w14:paraId="524EED90" w14:textId="77777777" w:rsidR="000A31C0" w:rsidRPr="00580E40" w:rsidRDefault="000A31C0" w:rsidP="000A31C0">
      <w:pPr>
        <w:pStyle w:val="FootnoteText"/>
        <w:rPr>
          <w:color w:val="77328A"/>
          <w:sz w:val="16"/>
          <w:szCs w:val="16"/>
        </w:rPr>
      </w:pPr>
      <w:r w:rsidRPr="00580E40">
        <w:rPr>
          <w:rStyle w:val="FootnoteReference"/>
          <w:color w:val="77328A"/>
          <w:sz w:val="16"/>
          <w:szCs w:val="16"/>
        </w:rPr>
        <w:footnoteRef/>
      </w:r>
      <w:r w:rsidRPr="00580E40">
        <w:rPr>
          <w:color w:val="77328A"/>
          <w:sz w:val="16"/>
          <w:szCs w:val="16"/>
        </w:rPr>
        <w:t xml:space="preserve"> </w:t>
      </w:r>
      <w:proofErr w:type="spellStart"/>
      <w:r w:rsidRPr="00580E40">
        <w:rPr>
          <w:i/>
          <w:iCs/>
          <w:color w:val="77328A"/>
          <w:sz w:val="16"/>
          <w:szCs w:val="16"/>
        </w:rPr>
        <w:t>WebMindLicences</w:t>
      </w:r>
      <w:proofErr w:type="spellEnd"/>
      <w:r w:rsidRPr="00580E40">
        <w:rPr>
          <w:i/>
          <w:iCs/>
          <w:color w:val="77328A"/>
          <w:sz w:val="16"/>
          <w:szCs w:val="16"/>
        </w:rPr>
        <w:t xml:space="preserve"> </w:t>
      </w:r>
      <w:proofErr w:type="spellStart"/>
      <w:r w:rsidRPr="00580E40">
        <w:rPr>
          <w:i/>
          <w:iCs/>
          <w:color w:val="77328A"/>
          <w:sz w:val="16"/>
          <w:szCs w:val="16"/>
        </w:rPr>
        <w:t>kft</w:t>
      </w:r>
      <w:proofErr w:type="spellEnd"/>
      <w:r w:rsidRPr="00580E40">
        <w:rPr>
          <w:i/>
          <w:iCs/>
          <w:color w:val="77328A"/>
          <w:sz w:val="16"/>
          <w:szCs w:val="16"/>
        </w:rPr>
        <w:t xml:space="preserve"> v </w:t>
      </w:r>
      <w:proofErr w:type="spellStart"/>
      <w:r w:rsidRPr="00580E40">
        <w:rPr>
          <w:i/>
          <w:iCs/>
          <w:color w:val="77328A"/>
          <w:sz w:val="16"/>
          <w:szCs w:val="16"/>
        </w:rPr>
        <w:t>Nemzeti</w:t>
      </w:r>
      <w:proofErr w:type="spellEnd"/>
      <w:r w:rsidRPr="00580E40">
        <w:rPr>
          <w:i/>
          <w:iCs/>
          <w:color w:val="77328A"/>
          <w:sz w:val="16"/>
          <w:szCs w:val="16"/>
        </w:rPr>
        <w:t xml:space="preserve"> </w:t>
      </w:r>
      <w:proofErr w:type="spellStart"/>
      <w:r w:rsidRPr="00580E40">
        <w:rPr>
          <w:i/>
          <w:iCs/>
          <w:color w:val="77328A"/>
          <w:sz w:val="16"/>
          <w:szCs w:val="16"/>
        </w:rPr>
        <w:t>Adó</w:t>
      </w:r>
      <w:proofErr w:type="spellEnd"/>
      <w:r w:rsidRPr="00580E40">
        <w:rPr>
          <w:color w:val="77328A"/>
          <w:sz w:val="16"/>
          <w:szCs w:val="16"/>
        </w:rPr>
        <w:t xml:space="preserve">, Case C-419/14, 17 December 2015, para 70; </w:t>
      </w:r>
      <w:r w:rsidRPr="00580E40">
        <w:rPr>
          <w:i/>
          <w:iCs/>
          <w:color w:val="77328A"/>
          <w:sz w:val="16"/>
          <w:szCs w:val="16"/>
        </w:rPr>
        <w:t xml:space="preserve">AK v Krajowa Rada </w:t>
      </w:r>
      <w:proofErr w:type="spellStart"/>
      <w:r w:rsidRPr="00580E40">
        <w:rPr>
          <w:i/>
          <w:iCs/>
          <w:color w:val="77328A"/>
          <w:sz w:val="16"/>
          <w:szCs w:val="16"/>
        </w:rPr>
        <w:t>Sądownictwa</w:t>
      </w:r>
      <w:proofErr w:type="spellEnd"/>
      <w:r w:rsidRPr="00580E40">
        <w:rPr>
          <w:i/>
          <w:iCs/>
          <w:color w:val="77328A"/>
          <w:sz w:val="16"/>
          <w:szCs w:val="16"/>
        </w:rPr>
        <w:t xml:space="preserve">  v </w:t>
      </w:r>
      <w:proofErr w:type="spellStart"/>
      <w:r w:rsidRPr="00580E40">
        <w:rPr>
          <w:i/>
          <w:iCs/>
          <w:color w:val="77328A"/>
          <w:sz w:val="16"/>
          <w:szCs w:val="16"/>
        </w:rPr>
        <w:t>Sąd</w:t>
      </w:r>
      <w:proofErr w:type="spellEnd"/>
      <w:r w:rsidRPr="00580E40">
        <w:rPr>
          <w:i/>
          <w:iCs/>
          <w:color w:val="77328A"/>
          <w:sz w:val="16"/>
          <w:szCs w:val="16"/>
        </w:rPr>
        <w:t xml:space="preserve"> </w:t>
      </w:r>
      <w:proofErr w:type="spellStart"/>
      <w:r w:rsidRPr="00580E40">
        <w:rPr>
          <w:i/>
          <w:iCs/>
          <w:color w:val="77328A"/>
          <w:sz w:val="16"/>
          <w:szCs w:val="16"/>
        </w:rPr>
        <w:t>Najwyższy</w:t>
      </w:r>
      <w:proofErr w:type="spellEnd"/>
      <w:r w:rsidRPr="00580E40">
        <w:rPr>
          <w:color w:val="77328A"/>
          <w:sz w:val="16"/>
          <w:szCs w:val="16"/>
        </w:rPr>
        <w:t xml:space="preserve">, Case C-585/18, C-624/18 C-625/18, 19 November 2019, para 116-118; </w:t>
      </w:r>
      <w:proofErr w:type="spellStart"/>
      <w:r w:rsidRPr="00580E40">
        <w:rPr>
          <w:i/>
          <w:iCs/>
          <w:color w:val="77328A"/>
          <w:sz w:val="16"/>
          <w:szCs w:val="16"/>
        </w:rPr>
        <w:t>Rayonna</w:t>
      </w:r>
      <w:proofErr w:type="spellEnd"/>
      <w:r w:rsidRPr="00580E40">
        <w:rPr>
          <w:i/>
          <w:iCs/>
          <w:color w:val="77328A"/>
          <w:sz w:val="16"/>
          <w:szCs w:val="16"/>
        </w:rPr>
        <w:t xml:space="preserve"> </w:t>
      </w:r>
      <w:proofErr w:type="spellStart"/>
      <w:r w:rsidRPr="00580E40">
        <w:rPr>
          <w:i/>
          <w:iCs/>
          <w:color w:val="77328A"/>
          <w:sz w:val="16"/>
          <w:szCs w:val="16"/>
        </w:rPr>
        <w:t>prokuratura</w:t>
      </w:r>
      <w:proofErr w:type="spellEnd"/>
      <w:r w:rsidRPr="00580E40">
        <w:rPr>
          <w:i/>
          <w:iCs/>
          <w:color w:val="77328A"/>
          <w:sz w:val="16"/>
          <w:szCs w:val="16"/>
        </w:rPr>
        <w:t xml:space="preserve"> Lom</w:t>
      </w:r>
      <w:r w:rsidRPr="00580E40">
        <w:rPr>
          <w:color w:val="77328A"/>
          <w:sz w:val="16"/>
          <w:szCs w:val="16"/>
        </w:rPr>
        <w:t xml:space="preserve">, Case C-467/18, 19 September 2019, para 42-45.  </w:t>
      </w:r>
    </w:p>
  </w:footnote>
  <w:footnote w:id="48">
    <w:p w14:paraId="38FC9683" w14:textId="66EA6C36" w:rsidR="000A31C0" w:rsidRPr="009542A3" w:rsidRDefault="000A31C0" w:rsidP="009542A3">
      <w:pPr>
        <w:pStyle w:val="FootnoteText"/>
        <w:rPr>
          <w:color w:val="77328A"/>
          <w:sz w:val="16"/>
          <w:szCs w:val="16"/>
        </w:rPr>
      </w:pPr>
      <w:r w:rsidRPr="009542A3">
        <w:rPr>
          <w:rStyle w:val="FootnoteReference"/>
          <w:color w:val="77328A"/>
          <w:sz w:val="16"/>
          <w:szCs w:val="16"/>
        </w:rPr>
        <w:footnoteRef/>
      </w:r>
      <w:r w:rsidRPr="009542A3">
        <w:rPr>
          <w:color w:val="77328A"/>
          <w:sz w:val="16"/>
          <w:szCs w:val="16"/>
        </w:rPr>
        <w:t xml:space="preserve"> Explanations Relating to the Charter of Fundamental Rights</w:t>
      </w:r>
      <w:r w:rsidR="009542A3" w:rsidRPr="009542A3">
        <w:rPr>
          <w:color w:val="77328A"/>
          <w:sz w:val="16"/>
          <w:szCs w:val="16"/>
        </w:rPr>
        <w:t xml:space="preserve"> </w:t>
      </w:r>
      <w:r w:rsidRPr="009542A3">
        <w:rPr>
          <w:color w:val="77328A"/>
          <w:sz w:val="16"/>
          <w:szCs w:val="16"/>
        </w:rPr>
        <w:t>(2007/C 303/02</w:t>
      </w:r>
      <w:r w:rsidR="003E6D66" w:rsidRPr="009542A3">
        <w:rPr>
          <w:color w:val="77328A"/>
          <w:sz w:val="16"/>
          <w:szCs w:val="16"/>
        </w:rPr>
        <w:t>)</w:t>
      </w:r>
      <w:r w:rsidR="003E6D66">
        <w:rPr>
          <w:color w:val="77328A"/>
          <w:sz w:val="16"/>
          <w:szCs w:val="16"/>
        </w:rPr>
        <w:t>.</w:t>
      </w:r>
    </w:p>
  </w:footnote>
  <w:footnote w:id="49">
    <w:p w14:paraId="4D26FA54" w14:textId="3DE61BD7" w:rsidR="000A31C0" w:rsidRPr="00580E40" w:rsidRDefault="000A31C0" w:rsidP="009542A3">
      <w:pPr>
        <w:pStyle w:val="FootnoteText"/>
        <w:rPr>
          <w:color w:val="77328A"/>
          <w:sz w:val="16"/>
          <w:szCs w:val="16"/>
        </w:rPr>
      </w:pPr>
      <w:r w:rsidRPr="009542A3">
        <w:rPr>
          <w:rStyle w:val="FootnoteReference"/>
          <w:color w:val="77328A"/>
          <w:sz w:val="16"/>
          <w:szCs w:val="16"/>
        </w:rPr>
        <w:footnoteRef/>
      </w:r>
      <w:r w:rsidRPr="009542A3">
        <w:rPr>
          <w:color w:val="77328A"/>
          <w:sz w:val="16"/>
          <w:szCs w:val="16"/>
        </w:rPr>
        <w:t xml:space="preserve"> </w:t>
      </w:r>
      <w:r w:rsidRPr="00ED371A">
        <w:rPr>
          <w:color w:val="77328A"/>
          <w:sz w:val="16"/>
          <w:szCs w:val="16"/>
        </w:rPr>
        <w:t>Explanations Relating to the Charter of Fundamental Rights</w:t>
      </w:r>
      <w:r w:rsidR="009542A3" w:rsidRPr="00ED371A">
        <w:rPr>
          <w:color w:val="77328A"/>
          <w:sz w:val="16"/>
          <w:szCs w:val="16"/>
        </w:rPr>
        <w:t xml:space="preserve"> – Article 52</w:t>
      </w:r>
      <w:r w:rsidRPr="00ED371A">
        <w:rPr>
          <w:color w:val="77328A"/>
          <w:sz w:val="16"/>
          <w:szCs w:val="16"/>
        </w:rPr>
        <w:t xml:space="preserve"> (2007/C 303/02)</w:t>
      </w:r>
    </w:p>
  </w:footnote>
  <w:footnote w:id="50">
    <w:p w14:paraId="6B5E4114" w14:textId="77777777" w:rsidR="000A31C0" w:rsidRPr="00580E40" w:rsidRDefault="000A31C0" w:rsidP="000A31C0">
      <w:pPr>
        <w:pStyle w:val="FootnoteText"/>
        <w:rPr>
          <w:color w:val="77328A"/>
          <w:sz w:val="16"/>
          <w:szCs w:val="16"/>
        </w:rPr>
      </w:pPr>
      <w:r w:rsidRPr="00580E40">
        <w:rPr>
          <w:rStyle w:val="FootnoteReference"/>
          <w:color w:val="77328A"/>
          <w:sz w:val="16"/>
          <w:szCs w:val="16"/>
        </w:rPr>
        <w:footnoteRef/>
      </w:r>
      <w:r w:rsidRPr="00580E40">
        <w:rPr>
          <w:color w:val="77328A"/>
          <w:sz w:val="16"/>
          <w:szCs w:val="16"/>
        </w:rPr>
        <w:t xml:space="preserve"> Department for Exiting the EU, ‘Charter</w:t>
      </w:r>
      <w:r w:rsidRPr="00580E40">
        <w:rPr>
          <w:rFonts w:ascii="Arial" w:hAnsi="Arial" w:cs="Arial"/>
          <w:color w:val="77328A"/>
          <w:sz w:val="16"/>
          <w:szCs w:val="16"/>
        </w:rPr>
        <w:t>​</w:t>
      </w:r>
      <w:r w:rsidRPr="00580E40">
        <w:rPr>
          <w:color w:val="77328A"/>
          <w:sz w:val="16"/>
          <w:szCs w:val="16"/>
        </w:rPr>
        <w:t xml:space="preserve"> </w:t>
      </w:r>
      <w:r w:rsidRPr="00580E40">
        <w:rPr>
          <w:rFonts w:ascii="Arial" w:hAnsi="Arial" w:cs="Arial"/>
          <w:color w:val="77328A"/>
          <w:sz w:val="16"/>
          <w:szCs w:val="16"/>
        </w:rPr>
        <w:t>​</w:t>
      </w:r>
      <w:r w:rsidRPr="00580E40">
        <w:rPr>
          <w:color w:val="77328A"/>
          <w:sz w:val="16"/>
          <w:szCs w:val="16"/>
        </w:rPr>
        <w:t>of</w:t>
      </w:r>
      <w:r w:rsidRPr="00580E40">
        <w:rPr>
          <w:rFonts w:ascii="Arial" w:hAnsi="Arial" w:cs="Arial"/>
          <w:color w:val="77328A"/>
          <w:sz w:val="16"/>
          <w:szCs w:val="16"/>
        </w:rPr>
        <w:t>​</w:t>
      </w:r>
      <w:r w:rsidRPr="00580E40">
        <w:rPr>
          <w:color w:val="77328A"/>
          <w:sz w:val="16"/>
          <w:szCs w:val="16"/>
        </w:rPr>
        <w:t xml:space="preserve"> </w:t>
      </w:r>
      <w:r w:rsidRPr="00580E40">
        <w:rPr>
          <w:rFonts w:ascii="Arial" w:hAnsi="Arial" w:cs="Arial"/>
          <w:color w:val="77328A"/>
          <w:sz w:val="16"/>
          <w:szCs w:val="16"/>
        </w:rPr>
        <w:t>​</w:t>
      </w:r>
      <w:r w:rsidRPr="00580E40">
        <w:rPr>
          <w:color w:val="77328A"/>
          <w:sz w:val="16"/>
          <w:szCs w:val="16"/>
        </w:rPr>
        <w:t>Fundamental</w:t>
      </w:r>
      <w:r w:rsidRPr="00580E40">
        <w:rPr>
          <w:rFonts w:ascii="Arial" w:hAnsi="Arial" w:cs="Arial"/>
          <w:color w:val="77328A"/>
          <w:sz w:val="16"/>
          <w:szCs w:val="16"/>
        </w:rPr>
        <w:t>​</w:t>
      </w:r>
      <w:r w:rsidRPr="00580E40">
        <w:rPr>
          <w:color w:val="77328A"/>
          <w:sz w:val="16"/>
          <w:szCs w:val="16"/>
        </w:rPr>
        <w:t xml:space="preserve"> </w:t>
      </w:r>
      <w:r w:rsidRPr="00580E40">
        <w:rPr>
          <w:rFonts w:ascii="Arial" w:hAnsi="Arial" w:cs="Arial"/>
          <w:color w:val="77328A"/>
          <w:sz w:val="16"/>
          <w:szCs w:val="16"/>
        </w:rPr>
        <w:t>​</w:t>
      </w:r>
      <w:r w:rsidRPr="00580E40">
        <w:rPr>
          <w:color w:val="77328A"/>
          <w:sz w:val="16"/>
          <w:szCs w:val="16"/>
        </w:rPr>
        <w:t>Rights</w:t>
      </w:r>
      <w:r w:rsidRPr="00580E40">
        <w:rPr>
          <w:rFonts w:ascii="Arial" w:hAnsi="Arial" w:cs="Arial"/>
          <w:color w:val="77328A"/>
          <w:sz w:val="16"/>
          <w:szCs w:val="16"/>
        </w:rPr>
        <w:t>​</w:t>
      </w:r>
      <w:r w:rsidRPr="00580E40">
        <w:rPr>
          <w:color w:val="77328A"/>
          <w:sz w:val="16"/>
          <w:szCs w:val="16"/>
        </w:rPr>
        <w:t xml:space="preserve"> </w:t>
      </w:r>
      <w:r w:rsidRPr="00580E40">
        <w:rPr>
          <w:rFonts w:ascii="Arial" w:hAnsi="Arial" w:cs="Arial"/>
          <w:color w:val="77328A"/>
          <w:sz w:val="16"/>
          <w:szCs w:val="16"/>
        </w:rPr>
        <w:t>​</w:t>
      </w:r>
      <w:r w:rsidRPr="00580E40">
        <w:rPr>
          <w:color w:val="77328A"/>
          <w:sz w:val="16"/>
          <w:szCs w:val="16"/>
        </w:rPr>
        <w:t>of</w:t>
      </w:r>
      <w:r w:rsidRPr="00580E40">
        <w:rPr>
          <w:rFonts w:ascii="Arial" w:hAnsi="Arial" w:cs="Arial"/>
          <w:color w:val="77328A"/>
          <w:sz w:val="16"/>
          <w:szCs w:val="16"/>
        </w:rPr>
        <w:t>​</w:t>
      </w:r>
      <w:r w:rsidRPr="00580E40">
        <w:rPr>
          <w:color w:val="77328A"/>
          <w:sz w:val="16"/>
          <w:szCs w:val="16"/>
        </w:rPr>
        <w:t xml:space="preserve"> </w:t>
      </w:r>
      <w:r w:rsidRPr="00580E40">
        <w:rPr>
          <w:rFonts w:ascii="Arial" w:hAnsi="Arial" w:cs="Arial"/>
          <w:color w:val="77328A"/>
          <w:sz w:val="16"/>
          <w:szCs w:val="16"/>
        </w:rPr>
        <w:t>​</w:t>
      </w:r>
      <w:r w:rsidRPr="00580E40">
        <w:rPr>
          <w:color w:val="77328A"/>
          <w:sz w:val="16"/>
          <w:szCs w:val="16"/>
        </w:rPr>
        <w:t>the</w:t>
      </w:r>
      <w:r w:rsidRPr="00580E40">
        <w:rPr>
          <w:rFonts w:ascii="Arial" w:hAnsi="Arial" w:cs="Arial"/>
          <w:color w:val="77328A"/>
          <w:sz w:val="16"/>
          <w:szCs w:val="16"/>
        </w:rPr>
        <w:t>​</w:t>
      </w:r>
      <w:r w:rsidRPr="00580E40">
        <w:rPr>
          <w:color w:val="77328A"/>
          <w:sz w:val="16"/>
          <w:szCs w:val="16"/>
        </w:rPr>
        <w:t xml:space="preserve"> </w:t>
      </w:r>
      <w:r w:rsidRPr="00580E40">
        <w:rPr>
          <w:rFonts w:ascii="Arial" w:hAnsi="Arial" w:cs="Arial"/>
          <w:color w:val="77328A"/>
          <w:sz w:val="16"/>
          <w:szCs w:val="16"/>
        </w:rPr>
        <w:t>​</w:t>
      </w:r>
      <w:r w:rsidRPr="00580E40">
        <w:rPr>
          <w:color w:val="77328A"/>
          <w:sz w:val="16"/>
          <w:szCs w:val="16"/>
        </w:rPr>
        <w:t>EU Right</w:t>
      </w:r>
      <w:r w:rsidRPr="00580E40">
        <w:rPr>
          <w:rFonts w:ascii="Arial" w:hAnsi="Arial" w:cs="Arial"/>
          <w:color w:val="77328A"/>
          <w:sz w:val="16"/>
          <w:szCs w:val="16"/>
        </w:rPr>
        <w:t>​</w:t>
      </w:r>
      <w:r w:rsidRPr="00580E40">
        <w:rPr>
          <w:color w:val="77328A"/>
          <w:sz w:val="16"/>
          <w:szCs w:val="16"/>
        </w:rPr>
        <w:t xml:space="preserve"> </w:t>
      </w:r>
      <w:r w:rsidRPr="00580E40">
        <w:rPr>
          <w:rFonts w:ascii="Arial" w:hAnsi="Arial" w:cs="Arial"/>
          <w:color w:val="77328A"/>
          <w:sz w:val="16"/>
          <w:szCs w:val="16"/>
        </w:rPr>
        <w:t>​</w:t>
      </w:r>
      <w:r w:rsidRPr="00580E40">
        <w:rPr>
          <w:color w:val="77328A"/>
          <w:sz w:val="16"/>
          <w:szCs w:val="16"/>
        </w:rPr>
        <w:t>by</w:t>
      </w:r>
      <w:r w:rsidRPr="00580E40">
        <w:rPr>
          <w:rFonts w:ascii="Arial" w:hAnsi="Arial" w:cs="Arial"/>
          <w:color w:val="77328A"/>
          <w:sz w:val="16"/>
          <w:szCs w:val="16"/>
        </w:rPr>
        <w:t>​</w:t>
      </w:r>
      <w:r w:rsidRPr="00580E40">
        <w:rPr>
          <w:color w:val="77328A"/>
          <w:sz w:val="16"/>
          <w:szCs w:val="16"/>
        </w:rPr>
        <w:t xml:space="preserve"> </w:t>
      </w:r>
      <w:r w:rsidRPr="00580E40">
        <w:rPr>
          <w:rFonts w:ascii="Arial" w:hAnsi="Arial" w:cs="Arial"/>
          <w:color w:val="77328A"/>
          <w:sz w:val="16"/>
          <w:szCs w:val="16"/>
        </w:rPr>
        <w:t>​</w:t>
      </w:r>
      <w:r w:rsidRPr="00580E40">
        <w:rPr>
          <w:color w:val="77328A"/>
          <w:sz w:val="16"/>
          <w:szCs w:val="16"/>
        </w:rPr>
        <w:t>Right</w:t>
      </w:r>
      <w:r w:rsidRPr="00580E40">
        <w:rPr>
          <w:rFonts w:ascii="Arial" w:hAnsi="Arial" w:cs="Arial"/>
          <w:color w:val="77328A"/>
          <w:sz w:val="16"/>
          <w:szCs w:val="16"/>
        </w:rPr>
        <w:t>​</w:t>
      </w:r>
      <w:r w:rsidRPr="00580E40">
        <w:rPr>
          <w:color w:val="77328A"/>
          <w:sz w:val="16"/>
          <w:szCs w:val="16"/>
        </w:rPr>
        <w:t xml:space="preserve"> </w:t>
      </w:r>
      <w:r w:rsidRPr="00580E40">
        <w:rPr>
          <w:rFonts w:ascii="Arial" w:hAnsi="Arial" w:cs="Arial"/>
          <w:color w:val="77328A"/>
          <w:sz w:val="16"/>
          <w:szCs w:val="16"/>
        </w:rPr>
        <w:t>​</w:t>
      </w:r>
      <w:r w:rsidRPr="00580E40">
        <w:rPr>
          <w:color w:val="77328A"/>
          <w:sz w:val="16"/>
          <w:szCs w:val="16"/>
        </w:rPr>
        <w:t>Analysis”, (</w:t>
      </w:r>
      <w:proofErr w:type="spellStart"/>
      <w:r w:rsidRPr="00580E40">
        <w:rPr>
          <w:color w:val="77328A"/>
          <w:sz w:val="16"/>
          <w:szCs w:val="16"/>
        </w:rPr>
        <w:t>DExEU</w:t>
      </w:r>
      <w:proofErr w:type="spellEnd"/>
      <w:r w:rsidRPr="00580E40">
        <w:rPr>
          <w:color w:val="77328A"/>
          <w:sz w:val="16"/>
          <w:szCs w:val="16"/>
        </w:rPr>
        <w:t>, 2017), at 4.</w:t>
      </w:r>
    </w:p>
  </w:footnote>
  <w:footnote w:id="51">
    <w:p w14:paraId="19F390EE" w14:textId="77777777" w:rsidR="000A31C0" w:rsidRPr="00580E40" w:rsidRDefault="000A31C0" w:rsidP="000A31C0">
      <w:pPr>
        <w:rPr>
          <w:color w:val="77328A"/>
          <w:sz w:val="16"/>
          <w:szCs w:val="16"/>
        </w:rPr>
      </w:pPr>
      <w:r w:rsidRPr="00580E40">
        <w:rPr>
          <w:rStyle w:val="FootnoteReference"/>
          <w:color w:val="77328A"/>
          <w:sz w:val="16"/>
          <w:szCs w:val="16"/>
        </w:rPr>
        <w:footnoteRef/>
      </w:r>
      <w:r w:rsidRPr="00580E40">
        <w:rPr>
          <w:color w:val="77328A"/>
          <w:sz w:val="16"/>
          <w:szCs w:val="16"/>
        </w:rPr>
        <w:t xml:space="preserve"> </w:t>
      </w:r>
      <w:r w:rsidRPr="00580E40">
        <w:rPr>
          <w:i/>
          <w:iCs/>
          <w:color w:val="77328A"/>
          <w:sz w:val="16"/>
          <w:szCs w:val="16"/>
        </w:rPr>
        <w:t>R (AB) v Secretary of State for the Home Department</w:t>
      </w:r>
      <w:r w:rsidRPr="00580E40">
        <w:rPr>
          <w:color w:val="77328A"/>
          <w:sz w:val="16"/>
          <w:szCs w:val="16"/>
        </w:rPr>
        <w:t xml:space="preserve"> [2013] EWHC (Admin) 3453, at para 14.  </w:t>
      </w:r>
    </w:p>
  </w:footnote>
  <w:footnote w:id="52">
    <w:p w14:paraId="5BE9479B" w14:textId="341ED92A" w:rsidR="004F7459" w:rsidRPr="006329C7" w:rsidRDefault="004F7459" w:rsidP="004F7459">
      <w:pPr>
        <w:pStyle w:val="FootnoteText"/>
        <w:rPr>
          <w:color w:val="77328A"/>
          <w:sz w:val="16"/>
          <w:szCs w:val="16"/>
        </w:rPr>
      </w:pPr>
      <w:r w:rsidRPr="006329C7">
        <w:rPr>
          <w:color w:val="77328A"/>
          <w:sz w:val="16"/>
          <w:szCs w:val="16"/>
          <w:vertAlign w:val="superscript"/>
        </w:rPr>
        <w:footnoteRef/>
      </w:r>
      <w:r w:rsidRPr="006329C7">
        <w:rPr>
          <w:color w:val="77328A"/>
          <w:sz w:val="16"/>
          <w:szCs w:val="16"/>
          <w:vertAlign w:val="superscript"/>
        </w:rPr>
        <w:t xml:space="preserve"> </w:t>
      </w:r>
      <w:r w:rsidRPr="006329C7">
        <w:rPr>
          <w:color w:val="77328A"/>
          <w:sz w:val="16"/>
          <w:szCs w:val="16"/>
        </w:rPr>
        <w:t>E/C.12/GBR/CO/6, Committee on Economic Social and Cultural Rights, ‘Concluding Observations on the sixth periodic report of the United Kingdom of Great Britain and Northern Ireland’, (CESCR, 2016), at para 10</w:t>
      </w:r>
      <w:r w:rsidR="0007049D">
        <w:rPr>
          <w:color w:val="77328A"/>
          <w:sz w:val="16"/>
          <w:szCs w:val="16"/>
        </w:rPr>
        <w:t>.</w:t>
      </w:r>
    </w:p>
  </w:footnote>
  <w:footnote w:id="53">
    <w:p w14:paraId="558C53D7" w14:textId="04877DFA" w:rsidR="006913DD" w:rsidRDefault="006913DD">
      <w:pPr>
        <w:pStyle w:val="FootnoteText"/>
      </w:pPr>
      <w:r w:rsidRPr="00D73FEB">
        <w:rPr>
          <w:color w:val="77328A"/>
          <w:sz w:val="16"/>
          <w:szCs w:val="16"/>
          <w:vertAlign w:val="superscript"/>
        </w:rPr>
        <w:footnoteRef/>
      </w:r>
      <w:r w:rsidRPr="00D73FEB">
        <w:rPr>
          <w:color w:val="77328A"/>
          <w:sz w:val="16"/>
          <w:szCs w:val="16"/>
          <w:vertAlign w:val="superscript"/>
        </w:rPr>
        <w:t xml:space="preserve"> </w:t>
      </w:r>
      <w:r w:rsidR="0007049D" w:rsidRPr="00653B31">
        <w:rPr>
          <w:color w:val="77328A"/>
          <w:sz w:val="16"/>
          <w:szCs w:val="16"/>
        </w:rPr>
        <w:t xml:space="preserve">CERD/C/GBR/CO/21-23, ‘UN Committee on the Elimination of Racial Discrimination Concluding observations on the combined twenty-first to twenty-third periodic reports of the United Kingdom of Great Britain and Northern Ireland’, 3 October 2016, at para </w:t>
      </w:r>
      <w:r w:rsidR="00D73FEB">
        <w:rPr>
          <w:color w:val="77328A"/>
          <w:sz w:val="16"/>
          <w:szCs w:val="16"/>
        </w:rPr>
        <w:t>10</w:t>
      </w:r>
      <w:r w:rsidR="0007049D" w:rsidRPr="00653B31">
        <w:rPr>
          <w:color w:val="77328A"/>
          <w:sz w:val="16"/>
          <w:szCs w:val="16"/>
        </w:rPr>
        <w:t>.</w:t>
      </w:r>
    </w:p>
  </w:footnote>
  <w:footnote w:id="54">
    <w:p w14:paraId="2B9B18FF" w14:textId="77777777" w:rsidR="00A13302" w:rsidRPr="00481FAD" w:rsidRDefault="00A13302">
      <w:pPr>
        <w:pStyle w:val="FootnoteText"/>
        <w:rPr>
          <w:color w:val="77328A"/>
          <w:sz w:val="16"/>
          <w:szCs w:val="16"/>
        </w:rPr>
      </w:pPr>
      <w:r w:rsidRPr="00481FAD">
        <w:rPr>
          <w:color w:val="77328A"/>
          <w:sz w:val="16"/>
          <w:szCs w:val="16"/>
          <w:vertAlign w:val="superscript"/>
        </w:rPr>
        <w:footnoteRef/>
      </w:r>
      <w:r w:rsidRPr="00481FAD">
        <w:rPr>
          <w:color w:val="77328A"/>
          <w:sz w:val="16"/>
          <w:szCs w:val="16"/>
          <w:vertAlign w:val="superscript"/>
        </w:rPr>
        <w:t xml:space="preserve"> </w:t>
      </w:r>
      <w:r w:rsidR="00481FAD" w:rsidRPr="00481FAD">
        <w:rPr>
          <w:color w:val="77328A"/>
          <w:sz w:val="16"/>
          <w:szCs w:val="16"/>
        </w:rPr>
        <w:t>NI Office, ‘New Decade, New Approach’, (NIO, 2020), at p</w:t>
      </w:r>
      <w:r w:rsidR="001D6E36">
        <w:rPr>
          <w:color w:val="77328A"/>
          <w:sz w:val="16"/>
          <w:szCs w:val="16"/>
        </w:rPr>
        <w:t>ara 5.26.</w:t>
      </w:r>
    </w:p>
  </w:footnote>
  <w:footnote w:id="55">
    <w:p w14:paraId="781AC0E8" w14:textId="012E49A7" w:rsidR="00A6794D" w:rsidRPr="006329C7" w:rsidRDefault="00A6794D" w:rsidP="006329C7">
      <w:pPr>
        <w:pStyle w:val="FootnoteText"/>
        <w:rPr>
          <w:color w:val="77328A"/>
          <w:sz w:val="16"/>
          <w:szCs w:val="16"/>
        </w:rPr>
      </w:pPr>
      <w:r w:rsidRPr="00F975B2">
        <w:rPr>
          <w:color w:val="77328A"/>
          <w:sz w:val="16"/>
          <w:szCs w:val="16"/>
          <w:vertAlign w:val="superscript"/>
        </w:rPr>
        <w:footnoteRef/>
      </w:r>
      <w:r w:rsidRPr="00F975B2">
        <w:rPr>
          <w:color w:val="77328A"/>
          <w:sz w:val="16"/>
          <w:szCs w:val="16"/>
        </w:rPr>
        <w:t xml:space="preserve"> </w:t>
      </w:r>
      <w:r w:rsidR="00F975B2">
        <w:rPr>
          <w:color w:val="77328A"/>
          <w:sz w:val="16"/>
          <w:szCs w:val="16"/>
        </w:rPr>
        <w:t>Ad Hoc Committee on a Bill of Rights, ‘</w:t>
      </w:r>
      <w:r w:rsidR="00F975B2" w:rsidRPr="00F975B2">
        <w:rPr>
          <w:color w:val="77328A"/>
          <w:sz w:val="16"/>
          <w:szCs w:val="16"/>
        </w:rPr>
        <w:t>Report of the Ad Hoc Committee on a Bill of Rights</w:t>
      </w:r>
      <w:r w:rsidR="00F975B2">
        <w:rPr>
          <w:color w:val="77328A"/>
          <w:sz w:val="16"/>
          <w:szCs w:val="16"/>
        </w:rPr>
        <w:t>’ (NI Assembly, 2022)</w:t>
      </w:r>
      <w:r w:rsidR="001F18FA">
        <w:rPr>
          <w:color w:val="77328A"/>
          <w:sz w:val="16"/>
          <w:szCs w:val="16"/>
        </w:rPr>
        <w:t xml:space="preserve">, at p.16. </w:t>
      </w:r>
    </w:p>
  </w:footnote>
  <w:footnote w:id="56">
    <w:p w14:paraId="5C1C3FC8" w14:textId="77777777" w:rsidR="004A63FD" w:rsidRPr="00172BF7" w:rsidRDefault="004A63FD">
      <w:pPr>
        <w:pStyle w:val="FootnoteText"/>
        <w:rPr>
          <w:color w:val="77328A"/>
          <w:sz w:val="16"/>
          <w:szCs w:val="16"/>
        </w:rPr>
      </w:pPr>
      <w:r w:rsidRPr="00172BF7">
        <w:rPr>
          <w:color w:val="77328A"/>
          <w:sz w:val="16"/>
          <w:szCs w:val="16"/>
          <w:vertAlign w:val="superscript"/>
        </w:rPr>
        <w:footnoteRef/>
      </w:r>
      <w:r w:rsidRPr="00172BF7">
        <w:rPr>
          <w:color w:val="77328A"/>
          <w:sz w:val="16"/>
          <w:szCs w:val="16"/>
          <w:vertAlign w:val="superscript"/>
        </w:rPr>
        <w:t xml:space="preserve"> </w:t>
      </w:r>
      <w:r w:rsidRPr="004A63FD">
        <w:rPr>
          <w:color w:val="77328A"/>
          <w:sz w:val="16"/>
          <w:szCs w:val="16"/>
        </w:rPr>
        <w:t>In the matter of an application by Geraldine Finucane for Judicial Review [2019] UKSC 7; In the matter of an application by Hugh Jordan for Judicial Review [2019] UKSC 9</w:t>
      </w:r>
      <w:r>
        <w:rPr>
          <w:color w:val="77328A"/>
          <w:sz w:val="16"/>
          <w:szCs w:val="16"/>
        </w:rPr>
        <w:t>.</w:t>
      </w:r>
    </w:p>
  </w:footnote>
  <w:footnote w:id="57">
    <w:p w14:paraId="42C7B160" w14:textId="77777777" w:rsidR="00172BF7" w:rsidRPr="00172BF7" w:rsidRDefault="00172BF7" w:rsidP="00172BF7">
      <w:pPr>
        <w:pStyle w:val="FootnoteText"/>
        <w:rPr>
          <w:color w:val="77328A"/>
          <w:sz w:val="16"/>
          <w:szCs w:val="16"/>
        </w:rPr>
      </w:pPr>
      <w:r w:rsidRPr="00172BF7">
        <w:rPr>
          <w:color w:val="77328A"/>
          <w:sz w:val="16"/>
          <w:szCs w:val="16"/>
          <w:vertAlign w:val="superscript"/>
        </w:rPr>
        <w:footnoteRef/>
      </w:r>
      <w:r w:rsidRPr="00172BF7">
        <w:rPr>
          <w:color w:val="77328A"/>
          <w:sz w:val="16"/>
          <w:szCs w:val="16"/>
        </w:rPr>
        <w:t xml:space="preserve"> 51 In the matter of an application by the Northern Ireland Human Rights Commission for Judicial Review (Northern Ireland) [2018] UKSC 27, at para 135.</w:t>
      </w:r>
    </w:p>
  </w:footnote>
  <w:footnote w:id="58">
    <w:p w14:paraId="01EC81ED" w14:textId="77777777" w:rsidR="00172BF7" w:rsidRPr="00EA2F09" w:rsidRDefault="00172BF7">
      <w:pPr>
        <w:pStyle w:val="FootnoteText"/>
        <w:rPr>
          <w:color w:val="77328A"/>
          <w:sz w:val="16"/>
          <w:szCs w:val="16"/>
        </w:rPr>
      </w:pPr>
      <w:r w:rsidRPr="00172BF7">
        <w:rPr>
          <w:color w:val="77328A"/>
          <w:sz w:val="16"/>
          <w:szCs w:val="16"/>
          <w:vertAlign w:val="superscript"/>
        </w:rPr>
        <w:footnoteRef/>
      </w:r>
      <w:r w:rsidRPr="00172BF7">
        <w:rPr>
          <w:color w:val="77328A"/>
          <w:sz w:val="16"/>
          <w:szCs w:val="16"/>
        </w:rPr>
        <w:t xml:space="preserve"> Ibid.</w:t>
      </w:r>
    </w:p>
  </w:footnote>
  <w:footnote w:id="59">
    <w:p w14:paraId="6941109A" w14:textId="77777777" w:rsidR="00534497" w:rsidRDefault="00534497">
      <w:pPr>
        <w:pStyle w:val="FootnoteText"/>
      </w:pPr>
      <w:r w:rsidRPr="00EA2F09">
        <w:rPr>
          <w:color w:val="77328A"/>
          <w:sz w:val="16"/>
          <w:szCs w:val="16"/>
          <w:vertAlign w:val="superscript"/>
        </w:rPr>
        <w:footnoteRef/>
      </w:r>
      <w:r w:rsidRPr="00EA2F09">
        <w:rPr>
          <w:color w:val="77328A"/>
          <w:sz w:val="16"/>
          <w:szCs w:val="16"/>
        </w:rPr>
        <w:t xml:space="preserve"> </w:t>
      </w:r>
      <w:r w:rsidRPr="007960CB">
        <w:rPr>
          <w:color w:val="77328A"/>
          <w:sz w:val="16"/>
          <w:szCs w:val="16"/>
        </w:rPr>
        <w:t>The Independent Human Rights Act Review, 2021, p.3</w:t>
      </w:r>
      <w:r w:rsidR="00EA2F09">
        <w:rPr>
          <w:color w:val="77328A"/>
          <w:sz w:val="16"/>
          <w:szCs w:val="16"/>
        </w:rPr>
        <w:t>2</w:t>
      </w:r>
      <w:r w:rsidRPr="007960CB">
        <w:rPr>
          <w:color w:val="77328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609EC1B" w14:paraId="3261EC42" w14:textId="77777777" w:rsidTr="00072EEA">
      <w:tc>
        <w:tcPr>
          <w:tcW w:w="3005" w:type="dxa"/>
        </w:tcPr>
        <w:p w14:paraId="570DC86E" w14:textId="5F7DF974" w:rsidR="5609EC1B" w:rsidRDefault="5609EC1B" w:rsidP="00072EEA">
          <w:pPr>
            <w:pStyle w:val="Header"/>
            <w:ind w:left="-115"/>
            <w:rPr>
              <w:rFonts w:eastAsia="Yu Mincho" w:cs="Arial"/>
            </w:rPr>
          </w:pPr>
        </w:p>
      </w:tc>
      <w:tc>
        <w:tcPr>
          <w:tcW w:w="3005" w:type="dxa"/>
        </w:tcPr>
        <w:p w14:paraId="129FD0BB" w14:textId="6B6C86D2" w:rsidR="5609EC1B" w:rsidRDefault="5609EC1B" w:rsidP="00072EEA">
          <w:pPr>
            <w:pStyle w:val="Header"/>
            <w:jc w:val="center"/>
            <w:rPr>
              <w:rFonts w:eastAsia="Yu Mincho" w:cs="Arial"/>
            </w:rPr>
          </w:pPr>
        </w:p>
      </w:tc>
      <w:tc>
        <w:tcPr>
          <w:tcW w:w="3005" w:type="dxa"/>
        </w:tcPr>
        <w:p w14:paraId="55770C5B" w14:textId="74955665" w:rsidR="5609EC1B" w:rsidRDefault="5609EC1B" w:rsidP="00072EEA">
          <w:pPr>
            <w:pStyle w:val="Header"/>
            <w:ind w:right="-115"/>
            <w:jc w:val="right"/>
            <w:rPr>
              <w:rFonts w:eastAsia="Yu Mincho" w:cs="Arial"/>
            </w:rPr>
          </w:pPr>
        </w:p>
      </w:tc>
    </w:tr>
  </w:tbl>
  <w:p w14:paraId="42499B66" w14:textId="54A25026" w:rsidR="00402D6C" w:rsidRDefault="00402D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609EC1B" w14:paraId="06C4ECB8" w14:textId="77777777" w:rsidTr="00624ABD">
      <w:tc>
        <w:tcPr>
          <w:tcW w:w="3005" w:type="dxa"/>
        </w:tcPr>
        <w:p w14:paraId="54620DB9" w14:textId="021B2CA2" w:rsidR="5609EC1B" w:rsidRDefault="5609EC1B" w:rsidP="00624ABD">
          <w:pPr>
            <w:pStyle w:val="Header"/>
            <w:ind w:left="-115"/>
            <w:rPr>
              <w:rFonts w:eastAsia="Yu Mincho" w:cs="Arial"/>
            </w:rPr>
          </w:pPr>
        </w:p>
      </w:tc>
      <w:tc>
        <w:tcPr>
          <w:tcW w:w="3005" w:type="dxa"/>
        </w:tcPr>
        <w:p w14:paraId="230CB5E7" w14:textId="7488280B" w:rsidR="5609EC1B" w:rsidRDefault="5609EC1B" w:rsidP="00624ABD">
          <w:pPr>
            <w:pStyle w:val="Header"/>
            <w:jc w:val="center"/>
            <w:rPr>
              <w:rFonts w:eastAsia="Yu Mincho" w:cs="Arial"/>
            </w:rPr>
          </w:pPr>
        </w:p>
      </w:tc>
      <w:tc>
        <w:tcPr>
          <w:tcW w:w="3005" w:type="dxa"/>
        </w:tcPr>
        <w:p w14:paraId="3F61BDA1" w14:textId="10FC6E6A" w:rsidR="5609EC1B" w:rsidRDefault="5609EC1B" w:rsidP="00624ABD">
          <w:pPr>
            <w:rPr>
              <w:rFonts w:eastAsia="Yu Mincho" w:cs="Arial"/>
            </w:rPr>
          </w:pPr>
        </w:p>
      </w:tc>
    </w:tr>
  </w:tbl>
  <w:p w14:paraId="47F8752D" w14:textId="50C788AD" w:rsidR="00402D6C" w:rsidRDefault="00402D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hybridMultilevel"/>
    <w:tmpl w:val="3DC240FA"/>
    <w:lvl w:ilvl="0" w:tplc="FFFFFFFF">
      <w:start w:val="59"/>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7BD1182"/>
    <w:multiLevelType w:val="multilevel"/>
    <w:tmpl w:val="DC1E2304"/>
    <w:lvl w:ilvl="0">
      <w:start w:val="2"/>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 w15:restartNumberingAfterBreak="0">
    <w:nsid w:val="0EBE347E"/>
    <w:multiLevelType w:val="multilevel"/>
    <w:tmpl w:val="D5780AD2"/>
    <w:lvl w:ilvl="0">
      <w:start w:val="4"/>
      <w:numFmt w:val="decimal"/>
      <w:lvlText w:val="%1"/>
      <w:lvlJc w:val="left"/>
      <w:pPr>
        <w:ind w:left="390" w:hanging="390"/>
      </w:pPr>
    </w:lvl>
    <w:lvl w:ilvl="1">
      <w:start w:val="1"/>
      <w:numFmt w:val="decimal"/>
      <w:lvlText w:val="%1.%2"/>
      <w:lvlJc w:val="left"/>
      <w:pPr>
        <w:ind w:left="720" w:hanging="720"/>
      </w:pPr>
      <w:rPr>
        <w:color w:val="auto"/>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3" w15:restartNumberingAfterBreak="0">
    <w:nsid w:val="128359CF"/>
    <w:multiLevelType w:val="hybridMultilevel"/>
    <w:tmpl w:val="52201E04"/>
    <w:lvl w:ilvl="0" w:tplc="04F0E7BC">
      <w:start w:val="1"/>
      <w:numFmt w:val="decimal"/>
      <w:lvlText w:val="%1."/>
      <w:lvlJc w:val="left"/>
      <w:pPr>
        <w:ind w:left="566"/>
      </w:pPr>
      <w:rPr>
        <w:rFonts w:ascii="Verdana" w:eastAsia="Times New Roman" w:hAnsi="Verdana" w:cs="Verdana"/>
        <w:b w:val="0"/>
        <w:i w:val="0"/>
        <w:strike w:val="0"/>
        <w:dstrike w:val="0"/>
        <w:color w:val="000000"/>
        <w:sz w:val="24"/>
        <w:szCs w:val="24"/>
        <w:u w:val="none" w:color="000000"/>
        <w:vertAlign w:val="baseline"/>
      </w:rPr>
    </w:lvl>
    <w:lvl w:ilvl="1" w:tplc="D89C563A">
      <w:start w:val="1"/>
      <w:numFmt w:val="bullet"/>
      <w:lvlText w:val="•"/>
      <w:lvlJc w:val="left"/>
      <w:pPr>
        <w:ind w:left="852"/>
      </w:pPr>
      <w:rPr>
        <w:rFonts w:ascii="Arial" w:eastAsia="Times New Roman" w:hAnsi="Arial"/>
        <w:b w:val="0"/>
        <w:i w:val="0"/>
        <w:strike w:val="0"/>
        <w:dstrike w:val="0"/>
        <w:color w:val="000000"/>
        <w:sz w:val="24"/>
        <w:u w:val="none" w:color="000000"/>
        <w:vertAlign w:val="baseline"/>
      </w:rPr>
    </w:lvl>
    <w:lvl w:ilvl="2" w:tplc="6ED2F158">
      <w:start w:val="1"/>
      <w:numFmt w:val="bullet"/>
      <w:lvlText w:val="▪"/>
      <w:lvlJc w:val="left"/>
      <w:pPr>
        <w:ind w:left="1646"/>
      </w:pPr>
      <w:rPr>
        <w:rFonts w:ascii="Segoe UI Symbol" w:eastAsia="Times New Roman" w:hAnsi="Segoe UI Symbol"/>
        <w:b w:val="0"/>
        <w:i w:val="0"/>
        <w:strike w:val="0"/>
        <w:dstrike w:val="0"/>
        <w:color w:val="000000"/>
        <w:sz w:val="24"/>
        <w:u w:val="none" w:color="000000"/>
        <w:vertAlign w:val="baseline"/>
      </w:rPr>
    </w:lvl>
    <w:lvl w:ilvl="3" w:tplc="604CD7D2">
      <w:start w:val="1"/>
      <w:numFmt w:val="bullet"/>
      <w:lvlText w:val="•"/>
      <w:lvlJc w:val="left"/>
      <w:pPr>
        <w:ind w:left="2366"/>
      </w:pPr>
      <w:rPr>
        <w:rFonts w:ascii="Arial" w:eastAsia="Times New Roman" w:hAnsi="Arial"/>
        <w:b w:val="0"/>
        <w:i w:val="0"/>
        <w:strike w:val="0"/>
        <w:dstrike w:val="0"/>
        <w:color w:val="000000"/>
        <w:sz w:val="24"/>
        <w:u w:val="none" w:color="000000"/>
        <w:vertAlign w:val="baseline"/>
      </w:rPr>
    </w:lvl>
    <w:lvl w:ilvl="4" w:tplc="448E91C6">
      <w:start w:val="1"/>
      <w:numFmt w:val="bullet"/>
      <w:lvlText w:val="o"/>
      <w:lvlJc w:val="left"/>
      <w:pPr>
        <w:ind w:left="3086"/>
      </w:pPr>
      <w:rPr>
        <w:rFonts w:ascii="Segoe UI Symbol" w:eastAsia="Times New Roman" w:hAnsi="Segoe UI Symbol"/>
        <w:b w:val="0"/>
        <w:i w:val="0"/>
        <w:strike w:val="0"/>
        <w:dstrike w:val="0"/>
        <w:color w:val="000000"/>
        <w:sz w:val="24"/>
        <w:u w:val="none" w:color="000000"/>
        <w:vertAlign w:val="baseline"/>
      </w:rPr>
    </w:lvl>
    <w:lvl w:ilvl="5" w:tplc="02E2F3D0">
      <w:start w:val="1"/>
      <w:numFmt w:val="bullet"/>
      <w:lvlText w:val="▪"/>
      <w:lvlJc w:val="left"/>
      <w:pPr>
        <w:ind w:left="3806"/>
      </w:pPr>
      <w:rPr>
        <w:rFonts w:ascii="Segoe UI Symbol" w:eastAsia="Times New Roman" w:hAnsi="Segoe UI Symbol"/>
        <w:b w:val="0"/>
        <w:i w:val="0"/>
        <w:strike w:val="0"/>
        <w:dstrike w:val="0"/>
        <w:color w:val="000000"/>
        <w:sz w:val="24"/>
        <w:u w:val="none" w:color="000000"/>
        <w:vertAlign w:val="baseline"/>
      </w:rPr>
    </w:lvl>
    <w:lvl w:ilvl="6" w:tplc="FD9A8094">
      <w:start w:val="1"/>
      <w:numFmt w:val="bullet"/>
      <w:lvlText w:val="•"/>
      <w:lvlJc w:val="left"/>
      <w:pPr>
        <w:ind w:left="4526"/>
      </w:pPr>
      <w:rPr>
        <w:rFonts w:ascii="Arial" w:eastAsia="Times New Roman" w:hAnsi="Arial"/>
        <w:b w:val="0"/>
        <w:i w:val="0"/>
        <w:strike w:val="0"/>
        <w:dstrike w:val="0"/>
        <w:color w:val="000000"/>
        <w:sz w:val="24"/>
        <w:u w:val="none" w:color="000000"/>
        <w:vertAlign w:val="baseline"/>
      </w:rPr>
    </w:lvl>
    <w:lvl w:ilvl="7" w:tplc="1EC48F4C">
      <w:start w:val="1"/>
      <w:numFmt w:val="bullet"/>
      <w:lvlText w:val="o"/>
      <w:lvlJc w:val="left"/>
      <w:pPr>
        <w:ind w:left="5246"/>
      </w:pPr>
      <w:rPr>
        <w:rFonts w:ascii="Segoe UI Symbol" w:eastAsia="Times New Roman" w:hAnsi="Segoe UI Symbol"/>
        <w:b w:val="0"/>
        <w:i w:val="0"/>
        <w:strike w:val="0"/>
        <w:dstrike w:val="0"/>
        <w:color w:val="000000"/>
        <w:sz w:val="24"/>
        <w:u w:val="none" w:color="000000"/>
        <w:vertAlign w:val="baseline"/>
      </w:rPr>
    </w:lvl>
    <w:lvl w:ilvl="8" w:tplc="E3BA0FBA">
      <w:start w:val="1"/>
      <w:numFmt w:val="bullet"/>
      <w:lvlText w:val="▪"/>
      <w:lvlJc w:val="left"/>
      <w:pPr>
        <w:ind w:left="5966"/>
      </w:pPr>
      <w:rPr>
        <w:rFonts w:ascii="Segoe UI Symbol" w:eastAsia="Times New Roman" w:hAnsi="Segoe UI Symbol"/>
        <w:b w:val="0"/>
        <w:i w:val="0"/>
        <w:strike w:val="0"/>
        <w:dstrike w:val="0"/>
        <w:color w:val="000000"/>
        <w:sz w:val="24"/>
        <w:u w:val="none" w:color="000000"/>
        <w:vertAlign w:val="baseline"/>
      </w:rPr>
    </w:lvl>
  </w:abstractNum>
  <w:abstractNum w:abstractNumId="4" w15:restartNumberingAfterBreak="0">
    <w:nsid w:val="15470589"/>
    <w:multiLevelType w:val="multilevel"/>
    <w:tmpl w:val="5FB868B8"/>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val="0"/>
        <w:strike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5" w15:restartNumberingAfterBreak="0">
    <w:nsid w:val="1578467E"/>
    <w:multiLevelType w:val="multilevel"/>
    <w:tmpl w:val="3B3CC4FC"/>
    <w:lvl w:ilvl="0">
      <w:start w:val="4"/>
      <w:numFmt w:val="decimal"/>
      <w:lvlText w:val="%1"/>
      <w:lvlJc w:val="left"/>
      <w:pPr>
        <w:ind w:left="585" w:hanging="58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19C423E1"/>
    <w:multiLevelType w:val="hybridMultilevel"/>
    <w:tmpl w:val="6B3E86CA"/>
    <w:lvl w:ilvl="0" w:tplc="569E72AA">
      <w:start w:val="12"/>
      <w:numFmt w:val="decimal"/>
      <w:lvlText w:val="%1."/>
      <w:lvlJc w:val="left"/>
      <w:pPr>
        <w:ind w:left="919"/>
      </w:pPr>
      <w:rPr>
        <w:rFonts w:ascii="Verdana" w:eastAsia="Times New Roman" w:hAnsi="Verdana" w:cs="Verdana"/>
        <w:b w:val="0"/>
        <w:i w:val="0"/>
        <w:strike w:val="0"/>
        <w:dstrike w:val="0"/>
        <w:color w:val="000000"/>
        <w:sz w:val="24"/>
        <w:szCs w:val="24"/>
        <w:u w:val="none" w:color="000000"/>
        <w:vertAlign w:val="baseline"/>
      </w:rPr>
    </w:lvl>
    <w:lvl w:ilvl="1" w:tplc="507C0C88">
      <w:start w:val="1"/>
      <w:numFmt w:val="lowerLetter"/>
      <w:lvlText w:val="%2"/>
      <w:lvlJc w:val="left"/>
      <w:pPr>
        <w:ind w:left="1363"/>
      </w:pPr>
      <w:rPr>
        <w:rFonts w:ascii="Verdana" w:eastAsia="Times New Roman" w:hAnsi="Verdana" w:cs="Verdana"/>
        <w:b w:val="0"/>
        <w:i w:val="0"/>
        <w:strike w:val="0"/>
        <w:dstrike w:val="0"/>
        <w:color w:val="000000"/>
        <w:sz w:val="24"/>
        <w:szCs w:val="24"/>
        <w:u w:val="none" w:color="000000"/>
        <w:vertAlign w:val="baseline"/>
      </w:rPr>
    </w:lvl>
    <w:lvl w:ilvl="2" w:tplc="FA9CF3C0">
      <w:start w:val="1"/>
      <w:numFmt w:val="lowerRoman"/>
      <w:lvlText w:val="%3"/>
      <w:lvlJc w:val="left"/>
      <w:pPr>
        <w:ind w:left="2083"/>
      </w:pPr>
      <w:rPr>
        <w:rFonts w:ascii="Verdana" w:eastAsia="Times New Roman" w:hAnsi="Verdana" w:cs="Verdana"/>
        <w:b w:val="0"/>
        <w:i w:val="0"/>
        <w:strike w:val="0"/>
        <w:dstrike w:val="0"/>
        <w:color w:val="000000"/>
        <w:sz w:val="24"/>
        <w:szCs w:val="24"/>
        <w:u w:val="none" w:color="000000"/>
        <w:vertAlign w:val="baseline"/>
      </w:rPr>
    </w:lvl>
    <w:lvl w:ilvl="3" w:tplc="93EA08F4">
      <w:start w:val="1"/>
      <w:numFmt w:val="decimal"/>
      <w:lvlText w:val="%4"/>
      <w:lvlJc w:val="left"/>
      <w:pPr>
        <w:ind w:left="2803"/>
      </w:pPr>
      <w:rPr>
        <w:rFonts w:ascii="Verdana" w:eastAsia="Times New Roman" w:hAnsi="Verdana" w:cs="Verdana"/>
        <w:b w:val="0"/>
        <w:i w:val="0"/>
        <w:strike w:val="0"/>
        <w:dstrike w:val="0"/>
        <w:color w:val="000000"/>
        <w:sz w:val="24"/>
        <w:szCs w:val="24"/>
        <w:u w:val="none" w:color="000000"/>
        <w:vertAlign w:val="baseline"/>
      </w:rPr>
    </w:lvl>
    <w:lvl w:ilvl="4" w:tplc="E000ECE0">
      <w:start w:val="1"/>
      <w:numFmt w:val="lowerLetter"/>
      <w:lvlText w:val="%5"/>
      <w:lvlJc w:val="left"/>
      <w:pPr>
        <w:ind w:left="3523"/>
      </w:pPr>
      <w:rPr>
        <w:rFonts w:ascii="Verdana" w:eastAsia="Times New Roman" w:hAnsi="Verdana" w:cs="Verdana"/>
        <w:b w:val="0"/>
        <w:i w:val="0"/>
        <w:strike w:val="0"/>
        <w:dstrike w:val="0"/>
        <w:color w:val="000000"/>
        <w:sz w:val="24"/>
        <w:szCs w:val="24"/>
        <w:u w:val="none" w:color="000000"/>
        <w:vertAlign w:val="baseline"/>
      </w:rPr>
    </w:lvl>
    <w:lvl w:ilvl="5" w:tplc="EDBE557A">
      <w:start w:val="1"/>
      <w:numFmt w:val="lowerRoman"/>
      <w:lvlText w:val="%6"/>
      <w:lvlJc w:val="left"/>
      <w:pPr>
        <w:ind w:left="4243"/>
      </w:pPr>
      <w:rPr>
        <w:rFonts w:ascii="Verdana" w:eastAsia="Times New Roman" w:hAnsi="Verdana" w:cs="Verdana"/>
        <w:b w:val="0"/>
        <w:i w:val="0"/>
        <w:strike w:val="0"/>
        <w:dstrike w:val="0"/>
        <w:color w:val="000000"/>
        <w:sz w:val="24"/>
        <w:szCs w:val="24"/>
        <w:u w:val="none" w:color="000000"/>
        <w:vertAlign w:val="baseline"/>
      </w:rPr>
    </w:lvl>
    <w:lvl w:ilvl="6" w:tplc="BB1826BE">
      <w:start w:val="1"/>
      <w:numFmt w:val="decimal"/>
      <w:lvlText w:val="%7"/>
      <w:lvlJc w:val="left"/>
      <w:pPr>
        <w:ind w:left="4963"/>
      </w:pPr>
      <w:rPr>
        <w:rFonts w:ascii="Verdana" w:eastAsia="Times New Roman" w:hAnsi="Verdana" w:cs="Verdana"/>
        <w:b w:val="0"/>
        <w:i w:val="0"/>
        <w:strike w:val="0"/>
        <w:dstrike w:val="0"/>
        <w:color w:val="000000"/>
        <w:sz w:val="24"/>
        <w:szCs w:val="24"/>
        <w:u w:val="none" w:color="000000"/>
        <w:vertAlign w:val="baseline"/>
      </w:rPr>
    </w:lvl>
    <w:lvl w:ilvl="7" w:tplc="8A704C9C">
      <w:start w:val="1"/>
      <w:numFmt w:val="lowerLetter"/>
      <w:lvlText w:val="%8"/>
      <w:lvlJc w:val="left"/>
      <w:pPr>
        <w:ind w:left="5683"/>
      </w:pPr>
      <w:rPr>
        <w:rFonts w:ascii="Verdana" w:eastAsia="Times New Roman" w:hAnsi="Verdana" w:cs="Verdana"/>
        <w:b w:val="0"/>
        <w:i w:val="0"/>
        <w:strike w:val="0"/>
        <w:dstrike w:val="0"/>
        <w:color w:val="000000"/>
        <w:sz w:val="24"/>
        <w:szCs w:val="24"/>
        <w:u w:val="none" w:color="000000"/>
        <w:vertAlign w:val="baseline"/>
      </w:rPr>
    </w:lvl>
    <w:lvl w:ilvl="8" w:tplc="81DE9904">
      <w:start w:val="1"/>
      <w:numFmt w:val="lowerRoman"/>
      <w:lvlText w:val="%9"/>
      <w:lvlJc w:val="left"/>
      <w:pPr>
        <w:ind w:left="6403"/>
      </w:pPr>
      <w:rPr>
        <w:rFonts w:ascii="Verdana" w:eastAsia="Times New Roman" w:hAnsi="Verdana" w:cs="Verdana"/>
        <w:b w:val="0"/>
        <w:i w:val="0"/>
        <w:strike w:val="0"/>
        <w:dstrike w:val="0"/>
        <w:color w:val="000000"/>
        <w:sz w:val="24"/>
        <w:szCs w:val="24"/>
        <w:u w:val="none" w:color="000000"/>
        <w:vertAlign w:val="baseline"/>
      </w:rPr>
    </w:lvl>
  </w:abstractNum>
  <w:abstractNum w:abstractNumId="7" w15:restartNumberingAfterBreak="0">
    <w:nsid w:val="20650B35"/>
    <w:multiLevelType w:val="hybridMultilevel"/>
    <w:tmpl w:val="34B4361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8" w15:restartNumberingAfterBreak="0">
    <w:nsid w:val="292D4B2A"/>
    <w:multiLevelType w:val="hybridMultilevel"/>
    <w:tmpl w:val="3AEAA99A"/>
    <w:lvl w:ilvl="0" w:tplc="DD1285D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7272CD"/>
    <w:multiLevelType w:val="hybridMultilevel"/>
    <w:tmpl w:val="5D3882F4"/>
    <w:lvl w:ilvl="0" w:tplc="CFE41C12">
      <w:start w:val="2"/>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8F42C7"/>
    <w:multiLevelType w:val="multilevel"/>
    <w:tmpl w:val="FBFA6118"/>
    <w:lvl w:ilvl="0">
      <w:start w:val="1"/>
      <w:numFmt w:val="decimal"/>
      <w:lvlText w:val="%1.0"/>
      <w:lvlJc w:val="left"/>
      <w:pPr>
        <w:ind w:left="1080" w:hanging="7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880" w:hanging="1080"/>
      </w:pPr>
      <w:rPr>
        <w:rFonts w:hint="default"/>
      </w:rPr>
    </w:lvl>
    <w:lvl w:ilvl="3">
      <w:start w:val="1"/>
      <w:numFmt w:val="decimal"/>
      <w:lvlText w:val="%1.%2.%3.%4"/>
      <w:lvlJc w:val="left"/>
      <w:pPr>
        <w:ind w:left="3960" w:hanging="1440"/>
      </w:pPr>
      <w:rPr>
        <w:rFonts w:hint="default"/>
      </w:rPr>
    </w:lvl>
    <w:lvl w:ilvl="4">
      <w:start w:val="1"/>
      <w:numFmt w:val="decimal"/>
      <w:lvlText w:val="%1.%2.%3.%4.%5"/>
      <w:lvlJc w:val="left"/>
      <w:pPr>
        <w:ind w:left="5040" w:hanging="1800"/>
      </w:pPr>
      <w:rPr>
        <w:rFonts w:hint="default"/>
      </w:rPr>
    </w:lvl>
    <w:lvl w:ilvl="5">
      <w:start w:val="1"/>
      <w:numFmt w:val="decimal"/>
      <w:lvlText w:val="%1.%2.%3.%4.%5.%6"/>
      <w:lvlJc w:val="left"/>
      <w:pPr>
        <w:ind w:left="6120" w:hanging="2160"/>
      </w:pPr>
      <w:rPr>
        <w:rFonts w:hint="default"/>
      </w:rPr>
    </w:lvl>
    <w:lvl w:ilvl="6">
      <w:start w:val="1"/>
      <w:numFmt w:val="decimal"/>
      <w:lvlText w:val="%1.%2.%3.%4.%5.%6.%7"/>
      <w:lvlJc w:val="left"/>
      <w:pPr>
        <w:ind w:left="7200" w:hanging="2520"/>
      </w:pPr>
      <w:rPr>
        <w:rFonts w:hint="default"/>
      </w:rPr>
    </w:lvl>
    <w:lvl w:ilvl="7">
      <w:start w:val="1"/>
      <w:numFmt w:val="decimal"/>
      <w:lvlText w:val="%1.%2.%3.%4.%5.%6.%7.%8"/>
      <w:lvlJc w:val="left"/>
      <w:pPr>
        <w:ind w:left="8280" w:hanging="2880"/>
      </w:pPr>
      <w:rPr>
        <w:rFonts w:hint="default"/>
      </w:rPr>
    </w:lvl>
    <w:lvl w:ilvl="8">
      <w:start w:val="1"/>
      <w:numFmt w:val="decimal"/>
      <w:lvlText w:val="%1.%2.%3.%4.%5.%6.%7.%8.%9"/>
      <w:lvlJc w:val="left"/>
      <w:pPr>
        <w:ind w:left="9360" w:hanging="3240"/>
      </w:pPr>
      <w:rPr>
        <w:rFonts w:hint="default"/>
      </w:rPr>
    </w:lvl>
  </w:abstractNum>
  <w:abstractNum w:abstractNumId="11" w15:restartNumberingAfterBreak="0">
    <w:nsid w:val="3150172B"/>
    <w:multiLevelType w:val="hybridMultilevel"/>
    <w:tmpl w:val="0616D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A7651"/>
    <w:multiLevelType w:val="multilevel"/>
    <w:tmpl w:val="92843720"/>
    <w:lvl w:ilvl="0">
      <w:start w:val="5"/>
      <w:numFmt w:val="decimal"/>
      <w:lvlText w:val="%1"/>
      <w:lvlJc w:val="left"/>
      <w:pPr>
        <w:ind w:left="585" w:hanging="585"/>
      </w:pPr>
      <w:rPr>
        <w:rFonts w:eastAsia="Times New Roman" w:cs="Verdana" w:hint="default"/>
        <w:b/>
        <w:color w:val="000000"/>
      </w:rPr>
    </w:lvl>
    <w:lvl w:ilvl="1">
      <w:start w:val="20"/>
      <w:numFmt w:val="decimal"/>
      <w:lvlText w:val="%1.%2"/>
      <w:lvlJc w:val="left"/>
      <w:pPr>
        <w:ind w:left="720" w:hanging="720"/>
      </w:pPr>
      <w:rPr>
        <w:rFonts w:eastAsia="Times New Roman" w:cs="Verdana" w:hint="default"/>
        <w:b w:val="0"/>
        <w:bCs/>
        <w:color w:val="000000"/>
      </w:rPr>
    </w:lvl>
    <w:lvl w:ilvl="2">
      <w:start w:val="1"/>
      <w:numFmt w:val="decimal"/>
      <w:lvlText w:val="%1.%2.%3"/>
      <w:lvlJc w:val="left"/>
      <w:pPr>
        <w:ind w:left="1080" w:hanging="1080"/>
      </w:pPr>
      <w:rPr>
        <w:rFonts w:eastAsia="Times New Roman" w:cs="Verdana" w:hint="default"/>
        <w:b/>
        <w:color w:val="000000"/>
      </w:rPr>
    </w:lvl>
    <w:lvl w:ilvl="3">
      <w:start w:val="1"/>
      <w:numFmt w:val="decimal"/>
      <w:lvlText w:val="%1.%2.%3.%4"/>
      <w:lvlJc w:val="left"/>
      <w:pPr>
        <w:ind w:left="1080" w:hanging="1080"/>
      </w:pPr>
      <w:rPr>
        <w:rFonts w:eastAsia="Times New Roman" w:cs="Verdana" w:hint="default"/>
        <w:b/>
        <w:color w:val="000000"/>
      </w:rPr>
    </w:lvl>
    <w:lvl w:ilvl="4">
      <w:start w:val="1"/>
      <w:numFmt w:val="decimal"/>
      <w:lvlText w:val="%1.%2.%3.%4.%5"/>
      <w:lvlJc w:val="left"/>
      <w:pPr>
        <w:ind w:left="1440" w:hanging="1440"/>
      </w:pPr>
      <w:rPr>
        <w:rFonts w:eastAsia="Times New Roman" w:cs="Verdana" w:hint="default"/>
        <w:b/>
        <w:color w:val="000000"/>
      </w:rPr>
    </w:lvl>
    <w:lvl w:ilvl="5">
      <w:start w:val="1"/>
      <w:numFmt w:val="decimal"/>
      <w:lvlText w:val="%1.%2.%3.%4.%5.%6"/>
      <w:lvlJc w:val="left"/>
      <w:pPr>
        <w:ind w:left="1800" w:hanging="1800"/>
      </w:pPr>
      <w:rPr>
        <w:rFonts w:eastAsia="Times New Roman" w:cs="Verdana" w:hint="default"/>
        <w:b/>
        <w:color w:val="000000"/>
      </w:rPr>
    </w:lvl>
    <w:lvl w:ilvl="6">
      <w:start w:val="1"/>
      <w:numFmt w:val="decimal"/>
      <w:lvlText w:val="%1.%2.%3.%4.%5.%6.%7"/>
      <w:lvlJc w:val="left"/>
      <w:pPr>
        <w:ind w:left="2160" w:hanging="2160"/>
      </w:pPr>
      <w:rPr>
        <w:rFonts w:eastAsia="Times New Roman" w:cs="Verdana" w:hint="default"/>
        <w:b/>
        <w:color w:val="000000"/>
      </w:rPr>
    </w:lvl>
    <w:lvl w:ilvl="7">
      <w:start w:val="1"/>
      <w:numFmt w:val="decimal"/>
      <w:lvlText w:val="%1.%2.%3.%4.%5.%6.%7.%8"/>
      <w:lvlJc w:val="left"/>
      <w:pPr>
        <w:ind w:left="2520" w:hanging="2520"/>
      </w:pPr>
      <w:rPr>
        <w:rFonts w:eastAsia="Times New Roman" w:cs="Verdana" w:hint="default"/>
        <w:b/>
        <w:color w:val="000000"/>
      </w:rPr>
    </w:lvl>
    <w:lvl w:ilvl="8">
      <w:start w:val="1"/>
      <w:numFmt w:val="decimal"/>
      <w:lvlText w:val="%1.%2.%3.%4.%5.%6.%7.%8.%9"/>
      <w:lvlJc w:val="left"/>
      <w:pPr>
        <w:ind w:left="2520" w:hanging="2520"/>
      </w:pPr>
      <w:rPr>
        <w:rFonts w:eastAsia="Times New Roman" w:cs="Verdana" w:hint="default"/>
        <w:b/>
        <w:color w:val="000000"/>
      </w:rPr>
    </w:lvl>
  </w:abstractNum>
  <w:abstractNum w:abstractNumId="13" w15:restartNumberingAfterBreak="0">
    <w:nsid w:val="34414DF0"/>
    <w:multiLevelType w:val="multilevel"/>
    <w:tmpl w:val="56B83BFC"/>
    <w:lvl w:ilvl="0">
      <w:start w:val="4"/>
      <w:numFmt w:val="decimal"/>
      <w:lvlText w:val="%1"/>
      <w:lvlJc w:val="left"/>
      <w:pPr>
        <w:ind w:left="420" w:hanging="42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4" w15:restartNumberingAfterBreak="0">
    <w:nsid w:val="3D4707FC"/>
    <w:multiLevelType w:val="multilevel"/>
    <w:tmpl w:val="E68AFD54"/>
    <w:lvl w:ilvl="0">
      <w:start w:val="3"/>
      <w:numFmt w:val="decimal"/>
      <w:lvlText w:val="%1"/>
      <w:lvlJc w:val="left"/>
      <w:pPr>
        <w:ind w:left="420" w:hanging="42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5" w15:restartNumberingAfterBreak="0">
    <w:nsid w:val="484F370E"/>
    <w:multiLevelType w:val="multilevel"/>
    <w:tmpl w:val="BAB89D68"/>
    <w:lvl w:ilvl="0">
      <w:start w:val="3"/>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48F63DA6"/>
    <w:multiLevelType w:val="multilevel"/>
    <w:tmpl w:val="7436A288"/>
    <w:lvl w:ilvl="0">
      <w:start w:val="5"/>
      <w:numFmt w:val="decimal"/>
      <w:lvlText w:val="%1"/>
      <w:lvlJc w:val="left"/>
      <w:pPr>
        <w:ind w:left="585" w:hanging="58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4D5746B7"/>
    <w:multiLevelType w:val="multilevel"/>
    <w:tmpl w:val="474C9C6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8" w15:restartNumberingAfterBreak="0">
    <w:nsid w:val="4E50208D"/>
    <w:multiLevelType w:val="multilevel"/>
    <w:tmpl w:val="C436FBCE"/>
    <w:lvl w:ilvl="0">
      <w:start w:val="3"/>
      <w:numFmt w:val="decimal"/>
      <w:lvlText w:val="%1"/>
      <w:lvlJc w:val="left"/>
      <w:pPr>
        <w:ind w:left="420" w:hanging="420"/>
      </w:pPr>
      <w:rPr>
        <w:rFonts w:hint="default"/>
        <w:b/>
      </w:rPr>
    </w:lvl>
    <w:lvl w:ilvl="1">
      <w:start w:val="2"/>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9" w15:restartNumberingAfterBreak="0">
    <w:nsid w:val="52C63359"/>
    <w:multiLevelType w:val="multilevel"/>
    <w:tmpl w:val="22629164"/>
    <w:lvl w:ilvl="0">
      <w:start w:val="3"/>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538433B5"/>
    <w:multiLevelType w:val="hybridMultilevel"/>
    <w:tmpl w:val="E8CC822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1" w15:restartNumberingAfterBreak="0">
    <w:nsid w:val="5BA87EAC"/>
    <w:multiLevelType w:val="multilevel"/>
    <w:tmpl w:val="C244586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2" w15:restartNumberingAfterBreak="0">
    <w:nsid w:val="5D461070"/>
    <w:multiLevelType w:val="multilevel"/>
    <w:tmpl w:val="4C80200E"/>
    <w:lvl w:ilvl="0">
      <w:start w:val="5"/>
      <w:numFmt w:val="decimal"/>
      <w:lvlText w:val="%1"/>
      <w:lvlJc w:val="left"/>
      <w:pPr>
        <w:ind w:left="420" w:hanging="420"/>
      </w:pPr>
      <w:rPr>
        <w:rFonts w:hint="default"/>
        <w:b/>
      </w:rPr>
    </w:lvl>
    <w:lvl w:ilvl="1">
      <w:start w:val="4"/>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23" w15:restartNumberingAfterBreak="0">
    <w:nsid w:val="5DE43630"/>
    <w:multiLevelType w:val="multilevel"/>
    <w:tmpl w:val="2438E44C"/>
    <w:lvl w:ilvl="0">
      <w:start w:val="4"/>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603801BD"/>
    <w:multiLevelType w:val="multilevel"/>
    <w:tmpl w:val="0ABAC1B6"/>
    <w:lvl w:ilvl="0">
      <w:start w:val="1"/>
      <w:numFmt w:val="decimal"/>
      <w:lvlText w:val="%1"/>
      <w:lvlJc w:val="left"/>
      <w:pPr>
        <w:ind w:left="548" w:hanging="548"/>
      </w:pPr>
      <w:rPr>
        <w:rFonts w:hint="default"/>
      </w:rPr>
    </w:lvl>
    <w:lvl w:ilvl="1">
      <w:start w:val="1"/>
      <w:numFmt w:val="decimal"/>
      <w:lvlText w:val="%1.%2"/>
      <w:lvlJc w:val="left"/>
      <w:pPr>
        <w:ind w:left="1004" w:hanging="720"/>
      </w:pPr>
      <w:rPr>
        <w:rFonts w:ascii="Verdana" w:hAnsi="Verdana" w:hint="default"/>
        <w:b w:val="0"/>
        <w:color w:val="auto"/>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624C54B6"/>
    <w:multiLevelType w:val="hybridMultilevel"/>
    <w:tmpl w:val="FDB23D6A"/>
    <w:lvl w:ilvl="0" w:tplc="7A3A7570">
      <w:start w:val="87"/>
      <w:numFmt w:val="decimal"/>
      <w:lvlText w:val="%1."/>
      <w:lvlJc w:val="left"/>
      <w:pPr>
        <w:ind w:left="566"/>
      </w:pPr>
      <w:rPr>
        <w:rFonts w:ascii="Verdana" w:eastAsia="Times New Roman" w:hAnsi="Verdana" w:cs="Verdana"/>
        <w:b w:val="0"/>
        <w:i w:val="0"/>
        <w:strike w:val="0"/>
        <w:dstrike w:val="0"/>
        <w:color w:val="000000"/>
        <w:sz w:val="24"/>
        <w:szCs w:val="24"/>
        <w:u w:val="none" w:color="000000"/>
        <w:vertAlign w:val="baseline"/>
      </w:rPr>
    </w:lvl>
    <w:lvl w:ilvl="1" w:tplc="CA20C2AC">
      <w:start w:val="1"/>
      <w:numFmt w:val="lowerLetter"/>
      <w:lvlText w:val="%2"/>
      <w:lvlJc w:val="left"/>
      <w:pPr>
        <w:ind w:left="1080"/>
      </w:pPr>
      <w:rPr>
        <w:rFonts w:ascii="Verdana" w:eastAsia="Times New Roman" w:hAnsi="Verdana" w:cs="Verdana"/>
        <w:b w:val="0"/>
        <w:i w:val="0"/>
        <w:strike w:val="0"/>
        <w:dstrike w:val="0"/>
        <w:color w:val="000000"/>
        <w:sz w:val="24"/>
        <w:szCs w:val="24"/>
        <w:u w:val="none" w:color="000000"/>
        <w:vertAlign w:val="baseline"/>
      </w:rPr>
    </w:lvl>
    <w:lvl w:ilvl="2" w:tplc="E090A3D4">
      <w:start w:val="1"/>
      <w:numFmt w:val="lowerRoman"/>
      <w:lvlText w:val="%3"/>
      <w:lvlJc w:val="left"/>
      <w:pPr>
        <w:ind w:left="1800"/>
      </w:pPr>
      <w:rPr>
        <w:rFonts w:ascii="Verdana" w:eastAsia="Times New Roman" w:hAnsi="Verdana" w:cs="Verdana"/>
        <w:b w:val="0"/>
        <w:i w:val="0"/>
        <w:strike w:val="0"/>
        <w:dstrike w:val="0"/>
        <w:color w:val="000000"/>
        <w:sz w:val="24"/>
        <w:szCs w:val="24"/>
        <w:u w:val="none" w:color="000000"/>
        <w:vertAlign w:val="baseline"/>
      </w:rPr>
    </w:lvl>
    <w:lvl w:ilvl="3" w:tplc="9266CC9C">
      <w:start w:val="1"/>
      <w:numFmt w:val="decimal"/>
      <w:lvlText w:val="%4"/>
      <w:lvlJc w:val="left"/>
      <w:pPr>
        <w:ind w:left="2520"/>
      </w:pPr>
      <w:rPr>
        <w:rFonts w:ascii="Verdana" w:eastAsia="Times New Roman" w:hAnsi="Verdana" w:cs="Verdana"/>
        <w:b w:val="0"/>
        <w:i w:val="0"/>
        <w:strike w:val="0"/>
        <w:dstrike w:val="0"/>
        <w:color w:val="000000"/>
        <w:sz w:val="24"/>
        <w:szCs w:val="24"/>
        <w:u w:val="none" w:color="000000"/>
        <w:vertAlign w:val="baseline"/>
      </w:rPr>
    </w:lvl>
    <w:lvl w:ilvl="4" w:tplc="FA0C3F2A">
      <w:start w:val="1"/>
      <w:numFmt w:val="lowerLetter"/>
      <w:lvlText w:val="%5"/>
      <w:lvlJc w:val="left"/>
      <w:pPr>
        <w:ind w:left="3240"/>
      </w:pPr>
      <w:rPr>
        <w:rFonts w:ascii="Verdana" w:eastAsia="Times New Roman" w:hAnsi="Verdana" w:cs="Verdana"/>
        <w:b w:val="0"/>
        <w:i w:val="0"/>
        <w:strike w:val="0"/>
        <w:dstrike w:val="0"/>
        <w:color w:val="000000"/>
        <w:sz w:val="24"/>
        <w:szCs w:val="24"/>
        <w:u w:val="none" w:color="000000"/>
        <w:vertAlign w:val="baseline"/>
      </w:rPr>
    </w:lvl>
    <w:lvl w:ilvl="5" w:tplc="9A9CDEF2">
      <w:start w:val="1"/>
      <w:numFmt w:val="lowerRoman"/>
      <w:lvlText w:val="%6"/>
      <w:lvlJc w:val="left"/>
      <w:pPr>
        <w:ind w:left="3960"/>
      </w:pPr>
      <w:rPr>
        <w:rFonts w:ascii="Verdana" w:eastAsia="Times New Roman" w:hAnsi="Verdana" w:cs="Verdana"/>
        <w:b w:val="0"/>
        <w:i w:val="0"/>
        <w:strike w:val="0"/>
        <w:dstrike w:val="0"/>
        <w:color w:val="000000"/>
        <w:sz w:val="24"/>
        <w:szCs w:val="24"/>
        <w:u w:val="none" w:color="000000"/>
        <w:vertAlign w:val="baseline"/>
      </w:rPr>
    </w:lvl>
    <w:lvl w:ilvl="6" w:tplc="AEEC06CE">
      <w:start w:val="1"/>
      <w:numFmt w:val="decimal"/>
      <w:lvlText w:val="%7"/>
      <w:lvlJc w:val="left"/>
      <w:pPr>
        <w:ind w:left="4680"/>
      </w:pPr>
      <w:rPr>
        <w:rFonts w:ascii="Verdana" w:eastAsia="Times New Roman" w:hAnsi="Verdana" w:cs="Verdana"/>
        <w:b w:val="0"/>
        <w:i w:val="0"/>
        <w:strike w:val="0"/>
        <w:dstrike w:val="0"/>
        <w:color w:val="000000"/>
        <w:sz w:val="24"/>
        <w:szCs w:val="24"/>
        <w:u w:val="none" w:color="000000"/>
        <w:vertAlign w:val="baseline"/>
      </w:rPr>
    </w:lvl>
    <w:lvl w:ilvl="7" w:tplc="6FD6CF6A">
      <w:start w:val="1"/>
      <w:numFmt w:val="lowerLetter"/>
      <w:lvlText w:val="%8"/>
      <w:lvlJc w:val="left"/>
      <w:pPr>
        <w:ind w:left="5400"/>
      </w:pPr>
      <w:rPr>
        <w:rFonts w:ascii="Verdana" w:eastAsia="Times New Roman" w:hAnsi="Verdana" w:cs="Verdana"/>
        <w:b w:val="0"/>
        <w:i w:val="0"/>
        <w:strike w:val="0"/>
        <w:dstrike w:val="0"/>
        <w:color w:val="000000"/>
        <w:sz w:val="24"/>
        <w:szCs w:val="24"/>
        <w:u w:val="none" w:color="000000"/>
        <w:vertAlign w:val="baseline"/>
      </w:rPr>
    </w:lvl>
    <w:lvl w:ilvl="8" w:tplc="BF745DC6">
      <w:start w:val="1"/>
      <w:numFmt w:val="lowerRoman"/>
      <w:lvlText w:val="%9"/>
      <w:lvlJc w:val="left"/>
      <w:pPr>
        <w:ind w:left="6120"/>
      </w:pPr>
      <w:rPr>
        <w:rFonts w:ascii="Verdana" w:eastAsia="Times New Roman" w:hAnsi="Verdana" w:cs="Verdana"/>
        <w:b w:val="0"/>
        <w:i w:val="0"/>
        <w:strike w:val="0"/>
        <w:dstrike w:val="0"/>
        <w:color w:val="000000"/>
        <w:sz w:val="24"/>
        <w:szCs w:val="24"/>
        <w:u w:val="none" w:color="000000"/>
        <w:vertAlign w:val="baseline"/>
      </w:rPr>
    </w:lvl>
  </w:abstractNum>
  <w:abstractNum w:abstractNumId="26" w15:restartNumberingAfterBreak="0">
    <w:nsid w:val="63190903"/>
    <w:multiLevelType w:val="hybridMultilevel"/>
    <w:tmpl w:val="71F8B052"/>
    <w:lvl w:ilvl="0" w:tplc="F8C6605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1A10FE"/>
    <w:multiLevelType w:val="hybridMultilevel"/>
    <w:tmpl w:val="D7A8CD7C"/>
    <w:lvl w:ilvl="0" w:tplc="E5E2961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6A6CB1"/>
    <w:multiLevelType w:val="multilevel"/>
    <w:tmpl w:val="9C4EDE5A"/>
    <w:lvl w:ilvl="0">
      <w:start w:val="1"/>
      <w:numFmt w:val="decimal"/>
      <w:lvlText w:val="%1"/>
      <w:lvlJc w:val="left"/>
      <w:pPr>
        <w:ind w:left="390" w:hanging="390"/>
      </w:pPr>
    </w:lvl>
    <w:lvl w:ilvl="1">
      <w:start w:val="2"/>
      <w:numFmt w:val="decimal"/>
      <w:lvlText w:val="%1.%2"/>
      <w:lvlJc w:val="left"/>
      <w:pPr>
        <w:ind w:left="720" w:hanging="720"/>
      </w:pPr>
      <w:rPr>
        <w:b w:val="0"/>
        <w:color w:val="auto"/>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29" w15:restartNumberingAfterBreak="0">
    <w:nsid w:val="69BC10B8"/>
    <w:multiLevelType w:val="multilevel"/>
    <w:tmpl w:val="CA06F2FA"/>
    <w:lvl w:ilvl="0">
      <w:start w:val="2"/>
      <w:numFmt w:val="decimal"/>
      <w:lvlText w:val="%1"/>
      <w:lvlJc w:val="left"/>
      <w:pPr>
        <w:ind w:left="420" w:hanging="420"/>
      </w:pPr>
      <w:rPr>
        <w:rFonts w:hint="default"/>
        <w:b/>
      </w:rPr>
    </w:lvl>
    <w:lvl w:ilvl="1">
      <w:start w:val="5"/>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30" w15:restartNumberingAfterBreak="0">
    <w:nsid w:val="6A464472"/>
    <w:multiLevelType w:val="multilevel"/>
    <w:tmpl w:val="F64697B8"/>
    <w:lvl w:ilvl="0">
      <w:start w:val="1"/>
      <w:numFmt w:val="decimal"/>
      <w:lvlText w:val="%1.0"/>
      <w:lvlJc w:val="left"/>
      <w:pPr>
        <w:ind w:left="720" w:hanging="720"/>
      </w:pPr>
      <w:rPr>
        <w:rFonts w:cs="Times New Roman" w:hint="default"/>
        <w:color w:val="77328A"/>
      </w:rPr>
    </w:lvl>
    <w:lvl w:ilvl="1">
      <w:start w:val="1"/>
      <w:numFmt w:val="decimal"/>
      <w:lvlText w:val="%1.%2"/>
      <w:lvlJc w:val="left"/>
      <w:pPr>
        <w:ind w:left="720" w:hanging="720"/>
      </w:pPr>
      <w:rPr>
        <w:rFonts w:cs="Times New Roman" w:hint="default"/>
        <w:b w:val="0"/>
        <w:color w:val="auto"/>
      </w:rPr>
    </w:lvl>
    <w:lvl w:ilvl="2">
      <w:start w:val="1"/>
      <w:numFmt w:val="decimal"/>
      <w:lvlText w:val="%1.%2.%3"/>
      <w:lvlJc w:val="left"/>
      <w:pPr>
        <w:ind w:left="2520" w:hanging="1080"/>
      </w:pPr>
      <w:rPr>
        <w:rFonts w:cs="Times New Roman" w:hint="default"/>
      </w:rPr>
    </w:lvl>
    <w:lvl w:ilvl="3">
      <w:start w:val="1"/>
      <w:numFmt w:val="decimal"/>
      <w:lvlText w:val="%1.%2.%3.%4"/>
      <w:lvlJc w:val="left"/>
      <w:pPr>
        <w:ind w:left="3600" w:hanging="1440"/>
      </w:pPr>
      <w:rPr>
        <w:rFonts w:cs="Times New Roman" w:hint="default"/>
      </w:rPr>
    </w:lvl>
    <w:lvl w:ilvl="4">
      <w:start w:val="1"/>
      <w:numFmt w:val="decimal"/>
      <w:lvlText w:val="%1.%2.%3.%4.%5"/>
      <w:lvlJc w:val="left"/>
      <w:pPr>
        <w:ind w:left="4680" w:hanging="1800"/>
      </w:pPr>
      <w:rPr>
        <w:rFonts w:cs="Times New Roman" w:hint="default"/>
      </w:rPr>
    </w:lvl>
    <w:lvl w:ilvl="5">
      <w:start w:val="1"/>
      <w:numFmt w:val="decimal"/>
      <w:lvlText w:val="%1.%2.%3.%4.%5.%6"/>
      <w:lvlJc w:val="left"/>
      <w:pPr>
        <w:ind w:left="5760" w:hanging="2160"/>
      </w:pPr>
      <w:rPr>
        <w:rFonts w:cs="Times New Roman" w:hint="default"/>
      </w:rPr>
    </w:lvl>
    <w:lvl w:ilvl="6">
      <w:start w:val="1"/>
      <w:numFmt w:val="decimal"/>
      <w:lvlText w:val="%1.%2.%3.%4.%5.%6.%7"/>
      <w:lvlJc w:val="left"/>
      <w:pPr>
        <w:ind w:left="6840" w:hanging="2520"/>
      </w:pPr>
      <w:rPr>
        <w:rFonts w:cs="Times New Roman" w:hint="default"/>
      </w:rPr>
    </w:lvl>
    <w:lvl w:ilvl="7">
      <w:start w:val="1"/>
      <w:numFmt w:val="decimal"/>
      <w:lvlText w:val="%1.%2.%3.%4.%5.%6.%7.%8"/>
      <w:lvlJc w:val="left"/>
      <w:pPr>
        <w:ind w:left="7920" w:hanging="2880"/>
      </w:pPr>
      <w:rPr>
        <w:rFonts w:cs="Times New Roman" w:hint="default"/>
      </w:rPr>
    </w:lvl>
    <w:lvl w:ilvl="8">
      <w:start w:val="1"/>
      <w:numFmt w:val="decimal"/>
      <w:lvlText w:val="%1.%2.%3.%4.%5.%6.%7.%8.%9"/>
      <w:lvlJc w:val="left"/>
      <w:pPr>
        <w:ind w:left="9000" w:hanging="3240"/>
      </w:pPr>
      <w:rPr>
        <w:rFonts w:cs="Times New Roman" w:hint="default"/>
      </w:rPr>
    </w:lvl>
  </w:abstractNum>
  <w:abstractNum w:abstractNumId="31" w15:restartNumberingAfterBreak="0">
    <w:nsid w:val="6C501791"/>
    <w:multiLevelType w:val="multilevel"/>
    <w:tmpl w:val="9AA405B2"/>
    <w:lvl w:ilvl="0">
      <w:start w:val="2"/>
      <w:numFmt w:val="decimal"/>
      <w:lvlText w:val="%1"/>
      <w:lvlJc w:val="left"/>
      <w:pPr>
        <w:ind w:left="390" w:hanging="390"/>
      </w:pPr>
    </w:lvl>
    <w:lvl w:ilvl="1">
      <w:start w:val="5"/>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32" w15:restartNumberingAfterBreak="0">
    <w:nsid w:val="6E0E6367"/>
    <w:multiLevelType w:val="multilevel"/>
    <w:tmpl w:val="330CDA0C"/>
    <w:lvl w:ilvl="0">
      <w:start w:val="2"/>
      <w:numFmt w:val="decimal"/>
      <w:lvlText w:val="%1"/>
      <w:lvlJc w:val="left"/>
      <w:pPr>
        <w:ind w:left="420" w:hanging="420"/>
      </w:pPr>
      <w:rPr>
        <w:rFonts w:eastAsia="Verdana" w:hint="default"/>
        <w:b/>
      </w:rPr>
    </w:lvl>
    <w:lvl w:ilvl="1">
      <w:start w:val="7"/>
      <w:numFmt w:val="decimal"/>
      <w:lvlText w:val="%1.%2"/>
      <w:lvlJc w:val="left"/>
      <w:pPr>
        <w:ind w:left="720" w:hanging="720"/>
      </w:pPr>
      <w:rPr>
        <w:rFonts w:eastAsia="Verdana" w:hint="default"/>
        <w:b w:val="0"/>
        <w:bCs/>
      </w:rPr>
    </w:lvl>
    <w:lvl w:ilvl="2">
      <w:start w:val="1"/>
      <w:numFmt w:val="decimal"/>
      <w:lvlText w:val="%1.%2.%3"/>
      <w:lvlJc w:val="left"/>
      <w:pPr>
        <w:ind w:left="1080" w:hanging="1080"/>
      </w:pPr>
      <w:rPr>
        <w:rFonts w:eastAsia="Verdana" w:hint="default"/>
        <w:b/>
      </w:rPr>
    </w:lvl>
    <w:lvl w:ilvl="3">
      <w:start w:val="1"/>
      <w:numFmt w:val="decimal"/>
      <w:lvlText w:val="%1.%2.%3.%4"/>
      <w:lvlJc w:val="left"/>
      <w:pPr>
        <w:ind w:left="1080" w:hanging="1080"/>
      </w:pPr>
      <w:rPr>
        <w:rFonts w:eastAsia="Verdana" w:hint="default"/>
        <w:b/>
      </w:rPr>
    </w:lvl>
    <w:lvl w:ilvl="4">
      <w:start w:val="1"/>
      <w:numFmt w:val="decimal"/>
      <w:lvlText w:val="%1.%2.%3.%4.%5"/>
      <w:lvlJc w:val="left"/>
      <w:pPr>
        <w:ind w:left="1440" w:hanging="1440"/>
      </w:pPr>
      <w:rPr>
        <w:rFonts w:eastAsia="Verdana" w:hint="default"/>
        <w:b/>
      </w:rPr>
    </w:lvl>
    <w:lvl w:ilvl="5">
      <w:start w:val="1"/>
      <w:numFmt w:val="decimal"/>
      <w:lvlText w:val="%1.%2.%3.%4.%5.%6"/>
      <w:lvlJc w:val="left"/>
      <w:pPr>
        <w:ind w:left="1800" w:hanging="1800"/>
      </w:pPr>
      <w:rPr>
        <w:rFonts w:eastAsia="Verdana" w:hint="default"/>
        <w:b/>
      </w:rPr>
    </w:lvl>
    <w:lvl w:ilvl="6">
      <w:start w:val="1"/>
      <w:numFmt w:val="decimal"/>
      <w:lvlText w:val="%1.%2.%3.%4.%5.%6.%7"/>
      <w:lvlJc w:val="left"/>
      <w:pPr>
        <w:ind w:left="2160" w:hanging="2160"/>
      </w:pPr>
      <w:rPr>
        <w:rFonts w:eastAsia="Verdana" w:hint="default"/>
        <w:b/>
      </w:rPr>
    </w:lvl>
    <w:lvl w:ilvl="7">
      <w:start w:val="1"/>
      <w:numFmt w:val="decimal"/>
      <w:lvlText w:val="%1.%2.%3.%4.%5.%6.%7.%8"/>
      <w:lvlJc w:val="left"/>
      <w:pPr>
        <w:ind w:left="2520" w:hanging="2520"/>
      </w:pPr>
      <w:rPr>
        <w:rFonts w:eastAsia="Verdana" w:hint="default"/>
        <w:b/>
      </w:rPr>
    </w:lvl>
    <w:lvl w:ilvl="8">
      <w:start w:val="1"/>
      <w:numFmt w:val="decimal"/>
      <w:lvlText w:val="%1.%2.%3.%4.%5.%6.%7.%8.%9"/>
      <w:lvlJc w:val="left"/>
      <w:pPr>
        <w:ind w:left="2520" w:hanging="2520"/>
      </w:pPr>
      <w:rPr>
        <w:rFonts w:eastAsia="Verdana" w:hint="default"/>
        <w:b/>
      </w:rPr>
    </w:lvl>
  </w:abstractNum>
  <w:abstractNum w:abstractNumId="33" w15:restartNumberingAfterBreak="0">
    <w:nsid w:val="70193877"/>
    <w:multiLevelType w:val="multilevel"/>
    <w:tmpl w:val="DBA02090"/>
    <w:lvl w:ilvl="0">
      <w:start w:val="1"/>
      <w:numFmt w:val="decimal"/>
      <w:lvlText w:val="%1.0"/>
      <w:lvlJc w:val="left"/>
      <w:pPr>
        <w:ind w:left="720" w:hanging="72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3600" w:hanging="1440"/>
      </w:pPr>
    </w:lvl>
    <w:lvl w:ilvl="4">
      <w:start w:val="1"/>
      <w:numFmt w:val="decimal"/>
      <w:lvlText w:val="%1.%2.%3.%4.%5"/>
      <w:lvlJc w:val="left"/>
      <w:pPr>
        <w:ind w:left="4680" w:hanging="1800"/>
      </w:pPr>
    </w:lvl>
    <w:lvl w:ilvl="5">
      <w:start w:val="1"/>
      <w:numFmt w:val="decimal"/>
      <w:lvlText w:val="%1.%2.%3.%4.%5.%6"/>
      <w:lvlJc w:val="left"/>
      <w:pPr>
        <w:ind w:left="5760" w:hanging="2160"/>
      </w:pPr>
    </w:lvl>
    <w:lvl w:ilvl="6">
      <w:start w:val="1"/>
      <w:numFmt w:val="decimal"/>
      <w:lvlText w:val="%1.%2.%3.%4.%5.%6.%7"/>
      <w:lvlJc w:val="left"/>
      <w:pPr>
        <w:ind w:left="6840" w:hanging="2520"/>
      </w:pPr>
    </w:lvl>
    <w:lvl w:ilvl="7">
      <w:start w:val="1"/>
      <w:numFmt w:val="decimal"/>
      <w:lvlText w:val="%1.%2.%3.%4.%5.%6.%7.%8"/>
      <w:lvlJc w:val="left"/>
      <w:pPr>
        <w:ind w:left="7920" w:hanging="2880"/>
      </w:pPr>
    </w:lvl>
    <w:lvl w:ilvl="8">
      <w:start w:val="1"/>
      <w:numFmt w:val="decimal"/>
      <w:lvlText w:val="%1.%2.%3.%4.%5.%6.%7.%8.%9"/>
      <w:lvlJc w:val="left"/>
      <w:pPr>
        <w:ind w:left="9000" w:hanging="3240"/>
      </w:pPr>
    </w:lvl>
  </w:abstractNum>
  <w:abstractNum w:abstractNumId="34" w15:restartNumberingAfterBreak="0">
    <w:nsid w:val="71A215CB"/>
    <w:multiLevelType w:val="multilevel"/>
    <w:tmpl w:val="838CFD82"/>
    <w:lvl w:ilvl="0">
      <w:start w:val="6"/>
      <w:numFmt w:val="decimal"/>
      <w:lvlText w:val="%1"/>
      <w:lvlJc w:val="left"/>
      <w:pPr>
        <w:ind w:left="420" w:hanging="420"/>
      </w:pPr>
      <w:rPr>
        <w:rFonts w:cstheme="minorBidi" w:hint="default"/>
        <w:b/>
        <w:color w:val="auto"/>
      </w:rPr>
    </w:lvl>
    <w:lvl w:ilvl="1">
      <w:start w:val="7"/>
      <w:numFmt w:val="decimal"/>
      <w:lvlText w:val="%1.%2"/>
      <w:lvlJc w:val="left"/>
      <w:pPr>
        <w:ind w:left="720" w:hanging="720"/>
      </w:pPr>
      <w:rPr>
        <w:rFonts w:cstheme="minorBidi" w:hint="default"/>
        <w:b w:val="0"/>
        <w:bCs/>
        <w:color w:val="auto"/>
      </w:rPr>
    </w:lvl>
    <w:lvl w:ilvl="2">
      <w:start w:val="1"/>
      <w:numFmt w:val="decimal"/>
      <w:lvlText w:val="%1.%2.%3"/>
      <w:lvlJc w:val="left"/>
      <w:pPr>
        <w:ind w:left="1080" w:hanging="1080"/>
      </w:pPr>
      <w:rPr>
        <w:rFonts w:cstheme="minorBidi" w:hint="default"/>
        <w:b/>
        <w:color w:val="auto"/>
      </w:rPr>
    </w:lvl>
    <w:lvl w:ilvl="3">
      <w:start w:val="1"/>
      <w:numFmt w:val="decimal"/>
      <w:lvlText w:val="%1.%2.%3.%4"/>
      <w:lvlJc w:val="left"/>
      <w:pPr>
        <w:ind w:left="1080" w:hanging="1080"/>
      </w:pPr>
      <w:rPr>
        <w:rFonts w:cstheme="minorBidi" w:hint="default"/>
        <w:b/>
        <w:color w:val="auto"/>
      </w:rPr>
    </w:lvl>
    <w:lvl w:ilvl="4">
      <w:start w:val="1"/>
      <w:numFmt w:val="decimal"/>
      <w:lvlText w:val="%1.%2.%3.%4.%5"/>
      <w:lvlJc w:val="left"/>
      <w:pPr>
        <w:ind w:left="1440" w:hanging="1440"/>
      </w:pPr>
      <w:rPr>
        <w:rFonts w:cstheme="minorBidi" w:hint="default"/>
        <w:b/>
        <w:color w:val="auto"/>
      </w:rPr>
    </w:lvl>
    <w:lvl w:ilvl="5">
      <w:start w:val="1"/>
      <w:numFmt w:val="decimal"/>
      <w:lvlText w:val="%1.%2.%3.%4.%5.%6"/>
      <w:lvlJc w:val="left"/>
      <w:pPr>
        <w:ind w:left="1800" w:hanging="1800"/>
      </w:pPr>
      <w:rPr>
        <w:rFonts w:cstheme="minorBidi" w:hint="default"/>
        <w:b/>
        <w:color w:val="auto"/>
      </w:rPr>
    </w:lvl>
    <w:lvl w:ilvl="6">
      <w:start w:val="1"/>
      <w:numFmt w:val="decimal"/>
      <w:lvlText w:val="%1.%2.%3.%4.%5.%6.%7"/>
      <w:lvlJc w:val="left"/>
      <w:pPr>
        <w:ind w:left="2160" w:hanging="2160"/>
      </w:pPr>
      <w:rPr>
        <w:rFonts w:cstheme="minorBidi" w:hint="default"/>
        <w:b/>
        <w:color w:val="auto"/>
      </w:rPr>
    </w:lvl>
    <w:lvl w:ilvl="7">
      <w:start w:val="1"/>
      <w:numFmt w:val="decimal"/>
      <w:lvlText w:val="%1.%2.%3.%4.%5.%6.%7.%8"/>
      <w:lvlJc w:val="left"/>
      <w:pPr>
        <w:ind w:left="2520" w:hanging="2520"/>
      </w:pPr>
      <w:rPr>
        <w:rFonts w:cstheme="minorBidi" w:hint="default"/>
        <w:b/>
        <w:color w:val="auto"/>
      </w:rPr>
    </w:lvl>
    <w:lvl w:ilvl="8">
      <w:start w:val="1"/>
      <w:numFmt w:val="decimal"/>
      <w:lvlText w:val="%1.%2.%3.%4.%5.%6.%7.%8.%9"/>
      <w:lvlJc w:val="left"/>
      <w:pPr>
        <w:ind w:left="2520" w:hanging="2520"/>
      </w:pPr>
      <w:rPr>
        <w:rFonts w:cstheme="minorBidi" w:hint="default"/>
        <w:b/>
        <w:color w:val="auto"/>
      </w:rPr>
    </w:lvl>
  </w:abstractNum>
  <w:abstractNum w:abstractNumId="35" w15:restartNumberingAfterBreak="0">
    <w:nsid w:val="728A79EE"/>
    <w:multiLevelType w:val="hybridMultilevel"/>
    <w:tmpl w:val="03647C02"/>
    <w:lvl w:ilvl="0" w:tplc="D4D6CDD0">
      <w:start w:val="63"/>
      <w:numFmt w:val="decimal"/>
      <w:lvlText w:val="%1."/>
      <w:lvlJc w:val="left"/>
      <w:pPr>
        <w:ind w:left="566"/>
      </w:pPr>
      <w:rPr>
        <w:rFonts w:ascii="Verdana" w:eastAsia="Times New Roman" w:hAnsi="Verdana" w:cs="Verdana"/>
        <w:b w:val="0"/>
        <w:i w:val="0"/>
        <w:strike w:val="0"/>
        <w:dstrike w:val="0"/>
        <w:color w:val="000000"/>
        <w:sz w:val="24"/>
        <w:szCs w:val="24"/>
        <w:u w:val="none" w:color="000000"/>
        <w:vertAlign w:val="baseline"/>
      </w:rPr>
    </w:lvl>
    <w:lvl w:ilvl="1" w:tplc="4E80DEF4">
      <w:start w:val="2"/>
      <w:numFmt w:val="lowerLetter"/>
      <w:lvlText w:val="%2."/>
      <w:lvlJc w:val="left"/>
      <w:pPr>
        <w:ind w:left="720"/>
      </w:pPr>
      <w:rPr>
        <w:rFonts w:ascii="Verdana" w:eastAsia="Times New Roman" w:hAnsi="Verdana" w:cs="Verdana"/>
        <w:b w:val="0"/>
        <w:i w:val="0"/>
        <w:strike w:val="0"/>
        <w:dstrike w:val="0"/>
        <w:color w:val="000000"/>
        <w:sz w:val="24"/>
        <w:szCs w:val="24"/>
        <w:u w:val="none" w:color="000000"/>
        <w:vertAlign w:val="baseline"/>
      </w:rPr>
    </w:lvl>
    <w:lvl w:ilvl="2" w:tplc="F01C098A">
      <w:start w:val="1"/>
      <w:numFmt w:val="lowerRoman"/>
      <w:lvlText w:val="%3"/>
      <w:lvlJc w:val="left"/>
      <w:pPr>
        <w:ind w:left="1800"/>
      </w:pPr>
      <w:rPr>
        <w:rFonts w:ascii="Verdana" w:eastAsia="Times New Roman" w:hAnsi="Verdana" w:cs="Verdana"/>
        <w:b w:val="0"/>
        <w:i w:val="0"/>
        <w:strike w:val="0"/>
        <w:dstrike w:val="0"/>
        <w:color w:val="000000"/>
        <w:sz w:val="24"/>
        <w:szCs w:val="24"/>
        <w:u w:val="none" w:color="000000"/>
        <w:vertAlign w:val="baseline"/>
      </w:rPr>
    </w:lvl>
    <w:lvl w:ilvl="3" w:tplc="4C0E2C60">
      <w:start w:val="1"/>
      <w:numFmt w:val="decimal"/>
      <w:lvlText w:val="%4"/>
      <w:lvlJc w:val="left"/>
      <w:pPr>
        <w:ind w:left="2520"/>
      </w:pPr>
      <w:rPr>
        <w:rFonts w:ascii="Verdana" w:eastAsia="Times New Roman" w:hAnsi="Verdana" w:cs="Verdana"/>
        <w:b w:val="0"/>
        <w:i w:val="0"/>
        <w:strike w:val="0"/>
        <w:dstrike w:val="0"/>
        <w:color w:val="000000"/>
        <w:sz w:val="24"/>
        <w:szCs w:val="24"/>
        <w:u w:val="none" w:color="000000"/>
        <w:vertAlign w:val="baseline"/>
      </w:rPr>
    </w:lvl>
    <w:lvl w:ilvl="4" w:tplc="B2888418">
      <w:start w:val="1"/>
      <w:numFmt w:val="lowerLetter"/>
      <w:lvlText w:val="%5"/>
      <w:lvlJc w:val="left"/>
      <w:pPr>
        <w:ind w:left="3240"/>
      </w:pPr>
      <w:rPr>
        <w:rFonts w:ascii="Verdana" w:eastAsia="Times New Roman" w:hAnsi="Verdana" w:cs="Verdana"/>
        <w:b w:val="0"/>
        <w:i w:val="0"/>
        <w:strike w:val="0"/>
        <w:dstrike w:val="0"/>
        <w:color w:val="000000"/>
        <w:sz w:val="24"/>
        <w:szCs w:val="24"/>
        <w:u w:val="none" w:color="000000"/>
        <w:vertAlign w:val="baseline"/>
      </w:rPr>
    </w:lvl>
    <w:lvl w:ilvl="5" w:tplc="301C1B1C">
      <w:start w:val="1"/>
      <w:numFmt w:val="lowerRoman"/>
      <w:lvlText w:val="%6"/>
      <w:lvlJc w:val="left"/>
      <w:pPr>
        <w:ind w:left="3960"/>
      </w:pPr>
      <w:rPr>
        <w:rFonts w:ascii="Verdana" w:eastAsia="Times New Roman" w:hAnsi="Verdana" w:cs="Verdana"/>
        <w:b w:val="0"/>
        <w:i w:val="0"/>
        <w:strike w:val="0"/>
        <w:dstrike w:val="0"/>
        <w:color w:val="000000"/>
        <w:sz w:val="24"/>
        <w:szCs w:val="24"/>
        <w:u w:val="none" w:color="000000"/>
        <w:vertAlign w:val="baseline"/>
      </w:rPr>
    </w:lvl>
    <w:lvl w:ilvl="6" w:tplc="69F8BB76">
      <w:start w:val="1"/>
      <w:numFmt w:val="decimal"/>
      <w:lvlText w:val="%7"/>
      <w:lvlJc w:val="left"/>
      <w:pPr>
        <w:ind w:left="4680"/>
      </w:pPr>
      <w:rPr>
        <w:rFonts w:ascii="Verdana" w:eastAsia="Times New Roman" w:hAnsi="Verdana" w:cs="Verdana"/>
        <w:b w:val="0"/>
        <w:i w:val="0"/>
        <w:strike w:val="0"/>
        <w:dstrike w:val="0"/>
        <w:color w:val="000000"/>
        <w:sz w:val="24"/>
        <w:szCs w:val="24"/>
        <w:u w:val="none" w:color="000000"/>
        <w:vertAlign w:val="baseline"/>
      </w:rPr>
    </w:lvl>
    <w:lvl w:ilvl="7" w:tplc="53321D6C">
      <w:start w:val="1"/>
      <w:numFmt w:val="lowerLetter"/>
      <w:lvlText w:val="%8"/>
      <w:lvlJc w:val="left"/>
      <w:pPr>
        <w:ind w:left="5400"/>
      </w:pPr>
      <w:rPr>
        <w:rFonts w:ascii="Verdana" w:eastAsia="Times New Roman" w:hAnsi="Verdana" w:cs="Verdana"/>
        <w:b w:val="0"/>
        <w:i w:val="0"/>
        <w:strike w:val="0"/>
        <w:dstrike w:val="0"/>
        <w:color w:val="000000"/>
        <w:sz w:val="24"/>
        <w:szCs w:val="24"/>
        <w:u w:val="none" w:color="000000"/>
        <w:vertAlign w:val="baseline"/>
      </w:rPr>
    </w:lvl>
    <w:lvl w:ilvl="8" w:tplc="04A6D7B2">
      <w:start w:val="1"/>
      <w:numFmt w:val="lowerRoman"/>
      <w:lvlText w:val="%9"/>
      <w:lvlJc w:val="left"/>
      <w:pPr>
        <w:ind w:left="6120"/>
      </w:pPr>
      <w:rPr>
        <w:rFonts w:ascii="Verdana" w:eastAsia="Times New Roman" w:hAnsi="Verdana" w:cs="Verdana"/>
        <w:b w:val="0"/>
        <w:i w:val="0"/>
        <w:strike w:val="0"/>
        <w:dstrike w:val="0"/>
        <w:color w:val="000000"/>
        <w:sz w:val="24"/>
        <w:szCs w:val="24"/>
        <w:u w:val="none" w:color="000000"/>
        <w:vertAlign w:val="baseline"/>
      </w:rPr>
    </w:lvl>
  </w:abstractNum>
  <w:abstractNum w:abstractNumId="36" w15:restartNumberingAfterBreak="0">
    <w:nsid w:val="76945988"/>
    <w:multiLevelType w:val="multilevel"/>
    <w:tmpl w:val="0526F9A8"/>
    <w:lvl w:ilvl="0">
      <w:start w:val="2"/>
      <w:numFmt w:val="decimal"/>
      <w:lvlText w:val="%1.0"/>
      <w:lvlJc w:val="left"/>
      <w:pPr>
        <w:ind w:left="720" w:hanging="72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37" w15:restartNumberingAfterBreak="0">
    <w:nsid w:val="7D6E3AF3"/>
    <w:multiLevelType w:val="multilevel"/>
    <w:tmpl w:val="B364A886"/>
    <w:lvl w:ilvl="0">
      <w:start w:val="1"/>
      <w:numFmt w:val="decimal"/>
      <w:lvlText w:val="%1.0"/>
      <w:lvlJc w:val="left"/>
      <w:pPr>
        <w:ind w:left="720" w:hanging="720"/>
      </w:pPr>
      <w:rPr>
        <w:rFonts w:cs="Times New Roman" w:hint="default"/>
      </w:rPr>
    </w:lvl>
    <w:lvl w:ilvl="1">
      <w:start w:val="1"/>
      <w:numFmt w:val="decimal"/>
      <w:lvlText w:val="%1.%2"/>
      <w:lvlJc w:val="left"/>
      <w:pPr>
        <w:ind w:left="720" w:hanging="720"/>
      </w:pPr>
      <w:rPr>
        <w:rFonts w:cs="Times New Roman" w:hint="default"/>
        <w:b w:val="0"/>
        <w:i w:val="0"/>
      </w:rPr>
    </w:lvl>
    <w:lvl w:ilvl="2">
      <w:start w:val="1"/>
      <w:numFmt w:val="decimal"/>
      <w:lvlText w:val="%1.%2.%3"/>
      <w:lvlJc w:val="left"/>
      <w:pPr>
        <w:ind w:left="2520" w:hanging="108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480" w:hanging="2160"/>
      </w:pPr>
      <w:rPr>
        <w:rFonts w:cs="Times New Roman" w:hint="default"/>
      </w:rPr>
    </w:lvl>
    <w:lvl w:ilvl="7">
      <w:start w:val="1"/>
      <w:numFmt w:val="decimal"/>
      <w:lvlText w:val="%1.%2.%3.%4.%5.%6.%7.%8"/>
      <w:lvlJc w:val="left"/>
      <w:pPr>
        <w:ind w:left="7560" w:hanging="2520"/>
      </w:pPr>
      <w:rPr>
        <w:rFonts w:cs="Times New Roman" w:hint="default"/>
      </w:rPr>
    </w:lvl>
    <w:lvl w:ilvl="8">
      <w:start w:val="1"/>
      <w:numFmt w:val="decimal"/>
      <w:lvlText w:val="%1.%2.%3.%4.%5.%6.%7.%8.%9"/>
      <w:lvlJc w:val="left"/>
      <w:pPr>
        <w:ind w:left="8280" w:hanging="2520"/>
      </w:pPr>
      <w:rPr>
        <w:rFonts w:cs="Times New Roman" w:hint="default"/>
      </w:rPr>
    </w:lvl>
  </w:abstractNum>
  <w:num w:numId="1">
    <w:abstractNumId w:val="3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7"/>
  </w:num>
  <w:num w:numId="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0"/>
  </w:num>
  <w:num w:numId="9">
    <w:abstractNumId w:val="9"/>
  </w:num>
  <w:num w:numId="10">
    <w:abstractNumId w:val="8"/>
  </w:num>
  <w:num w:numId="11">
    <w:abstractNumId w:val="6"/>
  </w:num>
  <w:num w:numId="12">
    <w:abstractNumId w:val="19"/>
  </w:num>
  <w:num w:numId="13">
    <w:abstractNumId w:val="23"/>
  </w:num>
  <w:num w:numId="14">
    <w:abstractNumId w:val="11"/>
  </w:num>
  <w:num w:numId="15">
    <w:abstractNumId w:val="30"/>
  </w:num>
  <w:num w:numId="16">
    <w:abstractNumId w:val="25"/>
  </w:num>
  <w:num w:numId="17">
    <w:abstractNumId w:val="0"/>
    <w:lvlOverride w:ilvl="0">
      <w:startOverride w:val="59"/>
    </w:lvlOverride>
    <w:lvlOverride w:ilvl="1"/>
    <w:lvlOverride w:ilvl="2"/>
    <w:lvlOverride w:ilvl="3"/>
    <w:lvlOverride w:ilvl="4"/>
    <w:lvlOverride w:ilvl="5"/>
    <w:lvlOverride w:ilvl="6"/>
    <w:lvlOverride w:ilvl="7"/>
    <w:lvlOverride w:ilvl="8"/>
  </w:num>
  <w:num w:numId="18">
    <w:abstractNumId w:val="35"/>
  </w:num>
  <w:num w:numId="19">
    <w:abstractNumId w:val="37"/>
  </w:num>
  <w:num w:numId="20">
    <w:abstractNumId w:val="14"/>
  </w:num>
  <w:num w:numId="21">
    <w:abstractNumId w:val="29"/>
  </w:num>
  <w:num w:numId="22">
    <w:abstractNumId w:val="13"/>
  </w:num>
  <w:num w:numId="23">
    <w:abstractNumId w:val="15"/>
  </w:num>
  <w:num w:numId="24">
    <w:abstractNumId w:val="18"/>
  </w:num>
  <w:num w:numId="25">
    <w:abstractNumId w:val="5"/>
  </w:num>
  <w:num w:numId="26">
    <w:abstractNumId w:val="27"/>
  </w:num>
  <w:num w:numId="27">
    <w:abstractNumId w:val="10"/>
  </w:num>
  <w:num w:numId="28">
    <w:abstractNumId w:val="32"/>
  </w:num>
  <w:num w:numId="29">
    <w:abstractNumId w:val="1"/>
  </w:num>
  <w:num w:numId="30">
    <w:abstractNumId w:val="22"/>
  </w:num>
  <w:num w:numId="31">
    <w:abstractNumId w:val="21"/>
  </w:num>
  <w:num w:numId="32">
    <w:abstractNumId w:val="16"/>
  </w:num>
  <w:num w:numId="33">
    <w:abstractNumId w:val="12"/>
  </w:num>
  <w:num w:numId="34">
    <w:abstractNumId w:val="36"/>
  </w:num>
  <w:num w:numId="35">
    <w:abstractNumId w:val="34"/>
  </w:num>
  <w:num w:numId="36">
    <w:abstractNumId w:val="17"/>
  </w:num>
  <w:num w:numId="37">
    <w:abstractNumId w:val="24"/>
  </w:num>
  <w:num w:numId="38">
    <w:abstractNumId w:val="26"/>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165"/>
    <w:rsid w:val="000001AD"/>
    <w:rsid w:val="0000157B"/>
    <w:rsid w:val="000018B4"/>
    <w:rsid w:val="000020FD"/>
    <w:rsid w:val="00003E65"/>
    <w:rsid w:val="000056FC"/>
    <w:rsid w:val="000059F0"/>
    <w:rsid w:val="00007DA5"/>
    <w:rsid w:val="00010889"/>
    <w:rsid w:val="000108E4"/>
    <w:rsid w:val="0001248C"/>
    <w:rsid w:val="00012FBE"/>
    <w:rsid w:val="00013F00"/>
    <w:rsid w:val="00013FAE"/>
    <w:rsid w:val="000148C6"/>
    <w:rsid w:val="00014C32"/>
    <w:rsid w:val="0001521B"/>
    <w:rsid w:val="00015573"/>
    <w:rsid w:val="000178D8"/>
    <w:rsid w:val="00021CB0"/>
    <w:rsid w:val="0002206E"/>
    <w:rsid w:val="00023B46"/>
    <w:rsid w:val="00024CA9"/>
    <w:rsid w:val="00025362"/>
    <w:rsid w:val="00025D10"/>
    <w:rsid w:val="0002614C"/>
    <w:rsid w:val="0003096F"/>
    <w:rsid w:val="00030CCC"/>
    <w:rsid w:val="00031549"/>
    <w:rsid w:val="00032C25"/>
    <w:rsid w:val="0003309F"/>
    <w:rsid w:val="00034D35"/>
    <w:rsid w:val="00036397"/>
    <w:rsid w:val="00036E18"/>
    <w:rsid w:val="00037764"/>
    <w:rsid w:val="00041969"/>
    <w:rsid w:val="00044FDD"/>
    <w:rsid w:val="00045554"/>
    <w:rsid w:val="000458A2"/>
    <w:rsid w:val="00046457"/>
    <w:rsid w:val="00046555"/>
    <w:rsid w:val="000509B6"/>
    <w:rsid w:val="00050E09"/>
    <w:rsid w:val="0005132A"/>
    <w:rsid w:val="00054248"/>
    <w:rsid w:val="00055709"/>
    <w:rsid w:val="00056A67"/>
    <w:rsid w:val="0007049D"/>
    <w:rsid w:val="0007240A"/>
    <w:rsid w:val="00072C0D"/>
    <w:rsid w:val="00072EEA"/>
    <w:rsid w:val="000741A0"/>
    <w:rsid w:val="0007526D"/>
    <w:rsid w:val="000803DF"/>
    <w:rsid w:val="00081263"/>
    <w:rsid w:val="00081483"/>
    <w:rsid w:val="00082CE5"/>
    <w:rsid w:val="000832F6"/>
    <w:rsid w:val="00083AA6"/>
    <w:rsid w:val="00083AD1"/>
    <w:rsid w:val="000853BE"/>
    <w:rsid w:val="00087B52"/>
    <w:rsid w:val="00087EAF"/>
    <w:rsid w:val="00091200"/>
    <w:rsid w:val="000918F2"/>
    <w:rsid w:val="00094025"/>
    <w:rsid w:val="00094311"/>
    <w:rsid w:val="00094728"/>
    <w:rsid w:val="00095120"/>
    <w:rsid w:val="0009786F"/>
    <w:rsid w:val="000A0131"/>
    <w:rsid w:val="000A05A7"/>
    <w:rsid w:val="000A28E0"/>
    <w:rsid w:val="000A293B"/>
    <w:rsid w:val="000A2D1A"/>
    <w:rsid w:val="000A2F48"/>
    <w:rsid w:val="000A31C0"/>
    <w:rsid w:val="000A3204"/>
    <w:rsid w:val="000A4896"/>
    <w:rsid w:val="000A56CD"/>
    <w:rsid w:val="000A6F60"/>
    <w:rsid w:val="000A727B"/>
    <w:rsid w:val="000B0B52"/>
    <w:rsid w:val="000B12A7"/>
    <w:rsid w:val="000B1D0F"/>
    <w:rsid w:val="000B20CF"/>
    <w:rsid w:val="000B3134"/>
    <w:rsid w:val="000B405A"/>
    <w:rsid w:val="000C0C80"/>
    <w:rsid w:val="000C2093"/>
    <w:rsid w:val="000C3ADB"/>
    <w:rsid w:val="000C3C84"/>
    <w:rsid w:val="000C3CD4"/>
    <w:rsid w:val="000C3E14"/>
    <w:rsid w:val="000C47E9"/>
    <w:rsid w:val="000C7773"/>
    <w:rsid w:val="000D4C9F"/>
    <w:rsid w:val="000D5633"/>
    <w:rsid w:val="000D565C"/>
    <w:rsid w:val="000D582B"/>
    <w:rsid w:val="000D6052"/>
    <w:rsid w:val="000D6C16"/>
    <w:rsid w:val="000E004E"/>
    <w:rsid w:val="000E2D2E"/>
    <w:rsid w:val="000E32DF"/>
    <w:rsid w:val="000E3BE0"/>
    <w:rsid w:val="000E4217"/>
    <w:rsid w:val="000E5730"/>
    <w:rsid w:val="000E5DD5"/>
    <w:rsid w:val="000E6C83"/>
    <w:rsid w:val="000E73E1"/>
    <w:rsid w:val="000F5158"/>
    <w:rsid w:val="000F68E7"/>
    <w:rsid w:val="00100DF9"/>
    <w:rsid w:val="00102277"/>
    <w:rsid w:val="00102AFD"/>
    <w:rsid w:val="00102C8F"/>
    <w:rsid w:val="00103D23"/>
    <w:rsid w:val="00104E56"/>
    <w:rsid w:val="00105625"/>
    <w:rsid w:val="0011003B"/>
    <w:rsid w:val="001108CF"/>
    <w:rsid w:val="00110FD3"/>
    <w:rsid w:val="0011281A"/>
    <w:rsid w:val="00112D47"/>
    <w:rsid w:val="001145C5"/>
    <w:rsid w:val="00114D1B"/>
    <w:rsid w:val="00114FD4"/>
    <w:rsid w:val="00116735"/>
    <w:rsid w:val="001212C9"/>
    <w:rsid w:val="001220D2"/>
    <w:rsid w:val="0012249F"/>
    <w:rsid w:val="001229A4"/>
    <w:rsid w:val="00123DF0"/>
    <w:rsid w:val="0012595D"/>
    <w:rsid w:val="0012613E"/>
    <w:rsid w:val="00126B62"/>
    <w:rsid w:val="001316FE"/>
    <w:rsid w:val="00131E2A"/>
    <w:rsid w:val="00132D62"/>
    <w:rsid w:val="00132E50"/>
    <w:rsid w:val="001335D7"/>
    <w:rsid w:val="001338AC"/>
    <w:rsid w:val="00134CCF"/>
    <w:rsid w:val="00136ABE"/>
    <w:rsid w:val="0013783D"/>
    <w:rsid w:val="00141D5F"/>
    <w:rsid w:val="00143723"/>
    <w:rsid w:val="00145510"/>
    <w:rsid w:val="00147FEA"/>
    <w:rsid w:val="0015265B"/>
    <w:rsid w:val="00155DE6"/>
    <w:rsid w:val="00163571"/>
    <w:rsid w:val="001647E4"/>
    <w:rsid w:val="0016594A"/>
    <w:rsid w:val="0017251C"/>
    <w:rsid w:val="00172BF7"/>
    <w:rsid w:val="00172CCF"/>
    <w:rsid w:val="00173585"/>
    <w:rsid w:val="0017594C"/>
    <w:rsid w:val="00175EF2"/>
    <w:rsid w:val="00175FE6"/>
    <w:rsid w:val="001761C8"/>
    <w:rsid w:val="001764E4"/>
    <w:rsid w:val="0018068C"/>
    <w:rsid w:val="00181AD5"/>
    <w:rsid w:val="00183320"/>
    <w:rsid w:val="00183D5A"/>
    <w:rsid w:val="001857BE"/>
    <w:rsid w:val="00185DF1"/>
    <w:rsid w:val="001860AA"/>
    <w:rsid w:val="0018746D"/>
    <w:rsid w:val="001904F1"/>
    <w:rsid w:val="00193F42"/>
    <w:rsid w:val="00195207"/>
    <w:rsid w:val="001956D9"/>
    <w:rsid w:val="001972C1"/>
    <w:rsid w:val="001A06F5"/>
    <w:rsid w:val="001A0E5A"/>
    <w:rsid w:val="001B0695"/>
    <w:rsid w:val="001B130A"/>
    <w:rsid w:val="001B257C"/>
    <w:rsid w:val="001B385D"/>
    <w:rsid w:val="001B3A3E"/>
    <w:rsid w:val="001B4BBA"/>
    <w:rsid w:val="001B6AFC"/>
    <w:rsid w:val="001B72D7"/>
    <w:rsid w:val="001B76A2"/>
    <w:rsid w:val="001B7957"/>
    <w:rsid w:val="001B7C65"/>
    <w:rsid w:val="001C009D"/>
    <w:rsid w:val="001C1150"/>
    <w:rsid w:val="001C3FE0"/>
    <w:rsid w:val="001C602C"/>
    <w:rsid w:val="001C74B7"/>
    <w:rsid w:val="001D064D"/>
    <w:rsid w:val="001D1505"/>
    <w:rsid w:val="001D19F7"/>
    <w:rsid w:val="001D1F31"/>
    <w:rsid w:val="001D2D5C"/>
    <w:rsid w:val="001D2D7D"/>
    <w:rsid w:val="001D6D78"/>
    <w:rsid w:val="001D6E36"/>
    <w:rsid w:val="001D6EBB"/>
    <w:rsid w:val="001E1AFF"/>
    <w:rsid w:val="001E2F28"/>
    <w:rsid w:val="001E3B46"/>
    <w:rsid w:val="001E3C91"/>
    <w:rsid w:val="001E5E0A"/>
    <w:rsid w:val="001E6733"/>
    <w:rsid w:val="001E6E06"/>
    <w:rsid w:val="001F0978"/>
    <w:rsid w:val="001F18FA"/>
    <w:rsid w:val="001F2235"/>
    <w:rsid w:val="001F309A"/>
    <w:rsid w:val="001F4577"/>
    <w:rsid w:val="001F4AF9"/>
    <w:rsid w:val="001F4BC2"/>
    <w:rsid w:val="001F5746"/>
    <w:rsid w:val="001F5BD6"/>
    <w:rsid w:val="001F6526"/>
    <w:rsid w:val="002014E0"/>
    <w:rsid w:val="002032DA"/>
    <w:rsid w:val="0020379C"/>
    <w:rsid w:val="002039C9"/>
    <w:rsid w:val="002060CF"/>
    <w:rsid w:val="00206B2E"/>
    <w:rsid w:val="00211DF3"/>
    <w:rsid w:val="00212023"/>
    <w:rsid w:val="00212C64"/>
    <w:rsid w:val="00215547"/>
    <w:rsid w:val="00215684"/>
    <w:rsid w:val="00216EC5"/>
    <w:rsid w:val="00220290"/>
    <w:rsid w:val="00225C50"/>
    <w:rsid w:val="00225DEE"/>
    <w:rsid w:val="0022626E"/>
    <w:rsid w:val="00227424"/>
    <w:rsid w:val="00231DD9"/>
    <w:rsid w:val="002339B2"/>
    <w:rsid w:val="00233BCD"/>
    <w:rsid w:val="00233D1A"/>
    <w:rsid w:val="00234E3D"/>
    <w:rsid w:val="002362D8"/>
    <w:rsid w:val="00236F3D"/>
    <w:rsid w:val="0023747B"/>
    <w:rsid w:val="00240FF2"/>
    <w:rsid w:val="00242E28"/>
    <w:rsid w:val="00243110"/>
    <w:rsid w:val="0024479B"/>
    <w:rsid w:val="00245E67"/>
    <w:rsid w:val="002467DD"/>
    <w:rsid w:val="00246C44"/>
    <w:rsid w:val="00247007"/>
    <w:rsid w:val="00247099"/>
    <w:rsid w:val="00247650"/>
    <w:rsid w:val="00250C70"/>
    <w:rsid w:val="0025162F"/>
    <w:rsid w:val="00252AC1"/>
    <w:rsid w:val="00253834"/>
    <w:rsid w:val="0025480B"/>
    <w:rsid w:val="0025590F"/>
    <w:rsid w:val="00257101"/>
    <w:rsid w:val="002603F8"/>
    <w:rsid w:val="00262541"/>
    <w:rsid w:val="00262680"/>
    <w:rsid w:val="00263074"/>
    <w:rsid w:val="002634A7"/>
    <w:rsid w:val="0026447D"/>
    <w:rsid w:val="00266E4A"/>
    <w:rsid w:val="00267FBD"/>
    <w:rsid w:val="002702AA"/>
    <w:rsid w:val="002707AA"/>
    <w:rsid w:val="002709D5"/>
    <w:rsid w:val="00272818"/>
    <w:rsid w:val="002738B8"/>
    <w:rsid w:val="002740D4"/>
    <w:rsid w:val="002768D7"/>
    <w:rsid w:val="00276A80"/>
    <w:rsid w:val="002777D7"/>
    <w:rsid w:val="002811AB"/>
    <w:rsid w:val="0028170E"/>
    <w:rsid w:val="002829C7"/>
    <w:rsid w:val="002847B2"/>
    <w:rsid w:val="00290D8A"/>
    <w:rsid w:val="00291A5E"/>
    <w:rsid w:val="00295342"/>
    <w:rsid w:val="00295392"/>
    <w:rsid w:val="00295B40"/>
    <w:rsid w:val="0029612C"/>
    <w:rsid w:val="00297C1A"/>
    <w:rsid w:val="002A20F7"/>
    <w:rsid w:val="002A276C"/>
    <w:rsid w:val="002A3CAC"/>
    <w:rsid w:val="002A3FCD"/>
    <w:rsid w:val="002B186B"/>
    <w:rsid w:val="002B1C0A"/>
    <w:rsid w:val="002B1C8C"/>
    <w:rsid w:val="002B4E88"/>
    <w:rsid w:val="002C0BDF"/>
    <w:rsid w:val="002C2906"/>
    <w:rsid w:val="002C2C79"/>
    <w:rsid w:val="002C30F4"/>
    <w:rsid w:val="002C3E4B"/>
    <w:rsid w:val="002C5507"/>
    <w:rsid w:val="002C6262"/>
    <w:rsid w:val="002C6BA6"/>
    <w:rsid w:val="002D16C2"/>
    <w:rsid w:val="002D2377"/>
    <w:rsid w:val="002D27F2"/>
    <w:rsid w:val="002D2CA6"/>
    <w:rsid w:val="002D3885"/>
    <w:rsid w:val="002D4451"/>
    <w:rsid w:val="002D60F3"/>
    <w:rsid w:val="002E0775"/>
    <w:rsid w:val="002E1348"/>
    <w:rsid w:val="002E15A5"/>
    <w:rsid w:val="002E2678"/>
    <w:rsid w:val="002E2F60"/>
    <w:rsid w:val="002E3B87"/>
    <w:rsid w:val="002E3FCD"/>
    <w:rsid w:val="002E4A0A"/>
    <w:rsid w:val="002E5DD6"/>
    <w:rsid w:val="002E6CC4"/>
    <w:rsid w:val="002F0498"/>
    <w:rsid w:val="002F21A2"/>
    <w:rsid w:val="002F30D0"/>
    <w:rsid w:val="002F3700"/>
    <w:rsid w:val="002F4E72"/>
    <w:rsid w:val="002F534C"/>
    <w:rsid w:val="002F70BC"/>
    <w:rsid w:val="00300675"/>
    <w:rsid w:val="00300C7C"/>
    <w:rsid w:val="003020A2"/>
    <w:rsid w:val="003023FE"/>
    <w:rsid w:val="003028A2"/>
    <w:rsid w:val="0030397F"/>
    <w:rsid w:val="00304675"/>
    <w:rsid w:val="00306496"/>
    <w:rsid w:val="00310CD7"/>
    <w:rsid w:val="00311FEC"/>
    <w:rsid w:val="00314D27"/>
    <w:rsid w:val="00315B73"/>
    <w:rsid w:val="00315EDC"/>
    <w:rsid w:val="00316603"/>
    <w:rsid w:val="003167CA"/>
    <w:rsid w:val="00321E4C"/>
    <w:rsid w:val="00322727"/>
    <w:rsid w:val="00324C99"/>
    <w:rsid w:val="003258AF"/>
    <w:rsid w:val="003260A2"/>
    <w:rsid w:val="00326AF1"/>
    <w:rsid w:val="003309AA"/>
    <w:rsid w:val="003333F2"/>
    <w:rsid w:val="00333641"/>
    <w:rsid w:val="003346EC"/>
    <w:rsid w:val="0033685F"/>
    <w:rsid w:val="00336CFA"/>
    <w:rsid w:val="00337F06"/>
    <w:rsid w:val="00340C0A"/>
    <w:rsid w:val="003412C2"/>
    <w:rsid w:val="003428F6"/>
    <w:rsid w:val="00343E01"/>
    <w:rsid w:val="00344862"/>
    <w:rsid w:val="0034697E"/>
    <w:rsid w:val="003500EA"/>
    <w:rsid w:val="0035077E"/>
    <w:rsid w:val="00350DC2"/>
    <w:rsid w:val="0035101D"/>
    <w:rsid w:val="0035129F"/>
    <w:rsid w:val="0035137E"/>
    <w:rsid w:val="00351DC5"/>
    <w:rsid w:val="00352878"/>
    <w:rsid w:val="003532DF"/>
    <w:rsid w:val="0035336C"/>
    <w:rsid w:val="00354136"/>
    <w:rsid w:val="00354AB4"/>
    <w:rsid w:val="00354B82"/>
    <w:rsid w:val="00357163"/>
    <w:rsid w:val="00361E55"/>
    <w:rsid w:val="0036358F"/>
    <w:rsid w:val="00364D43"/>
    <w:rsid w:val="00367DD7"/>
    <w:rsid w:val="00370B39"/>
    <w:rsid w:val="00371260"/>
    <w:rsid w:val="00374A91"/>
    <w:rsid w:val="00375891"/>
    <w:rsid w:val="00385D40"/>
    <w:rsid w:val="003912A7"/>
    <w:rsid w:val="0039220D"/>
    <w:rsid w:val="003951F2"/>
    <w:rsid w:val="003952FD"/>
    <w:rsid w:val="003A0584"/>
    <w:rsid w:val="003A1CAC"/>
    <w:rsid w:val="003A44CE"/>
    <w:rsid w:val="003A5566"/>
    <w:rsid w:val="003A5FEB"/>
    <w:rsid w:val="003B049B"/>
    <w:rsid w:val="003B0FFD"/>
    <w:rsid w:val="003B2D76"/>
    <w:rsid w:val="003B39FB"/>
    <w:rsid w:val="003B3FD0"/>
    <w:rsid w:val="003B57BA"/>
    <w:rsid w:val="003B6C09"/>
    <w:rsid w:val="003B7119"/>
    <w:rsid w:val="003B7354"/>
    <w:rsid w:val="003C197A"/>
    <w:rsid w:val="003C1DCA"/>
    <w:rsid w:val="003C211E"/>
    <w:rsid w:val="003C34AE"/>
    <w:rsid w:val="003C5D35"/>
    <w:rsid w:val="003C6613"/>
    <w:rsid w:val="003C6828"/>
    <w:rsid w:val="003D03A5"/>
    <w:rsid w:val="003D27AC"/>
    <w:rsid w:val="003D2976"/>
    <w:rsid w:val="003D4088"/>
    <w:rsid w:val="003D4BA5"/>
    <w:rsid w:val="003D67E0"/>
    <w:rsid w:val="003D7E4F"/>
    <w:rsid w:val="003E2BD8"/>
    <w:rsid w:val="003E3381"/>
    <w:rsid w:val="003E6D66"/>
    <w:rsid w:val="003F041E"/>
    <w:rsid w:val="003F400A"/>
    <w:rsid w:val="003F559F"/>
    <w:rsid w:val="003F6123"/>
    <w:rsid w:val="003F618F"/>
    <w:rsid w:val="003F7BE4"/>
    <w:rsid w:val="004010EF"/>
    <w:rsid w:val="00401C66"/>
    <w:rsid w:val="00401D5F"/>
    <w:rsid w:val="00402B26"/>
    <w:rsid w:val="00402D6C"/>
    <w:rsid w:val="004057BE"/>
    <w:rsid w:val="00406CF2"/>
    <w:rsid w:val="004077CB"/>
    <w:rsid w:val="00410CE3"/>
    <w:rsid w:val="004113F4"/>
    <w:rsid w:val="00414ECB"/>
    <w:rsid w:val="004155E9"/>
    <w:rsid w:val="00415C0B"/>
    <w:rsid w:val="00416434"/>
    <w:rsid w:val="0041741C"/>
    <w:rsid w:val="0042081D"/>
    <w:rsid w:val="00420889"/>
    <w:rsid w:val="00421E3E"/>
    <w:rsid w:val="0042561F"/>
    <w:rsid w:val="00427817"/>
    <w:rsid w:val="00430DFD"/>
    <w:rsid w:val="00433C90"/>
    <w:rsid w:val="00434B15"/>
    <w:rsid w:val="004403E5"/>
    <w:rsid w:val="004406B6"/>
    <w:rsid w:val="00441ABE"/>
    <w:rsid w:val="004433BB"/>
    <w:rsid w:val="00444940"/>
    <w:rsid w:val="00445A1D"/>
    <w:rsid w:val="004471A1"/>
    <w:rsid w:val="004478D7"/>
    <w:rsid w:val="00450207"/>
    <w:rsid w:val="00451072"/>
    <w:rsid w:val="004529B0"/>
    <w:rsid w:val="004530CF"/>
    <w:rsid w:val="00454873"/>
    <w:rsid w:val="00455BD0"/>
    <w:rsid w:val="004562A8"/>
    <w:rsid w:val="00456828"/>
    <w:rsid w:val="00463FFF"/>
    <w:rsid w:val="00464D40"/>
    <w:rsid w:val="00466126"/>
    <w:rsid w:val="00466482"/>
    <w:rsid w:val="004664BD"/>
    <w:rsid w:val="00466D67"/>
    <w:rsid w:val="004670B1"/>
    <w:rsid w:val="00467330"/>
    <w:rsid w:val="00472514"/>
    <w:rsid w:val="00473295"/>
    <w:rsid w:val="0047340D"/>
    <w:rsid w:val="0047420D"/>
    <w:rsid w:val="00474264"/>
    <w:rsid w:val="00474C26"/>
    <w:rsid w:val="004755FA"/>
    <w:rsid w:val="004763F7"/>
    <w:rsid w:val="0048069D"/>
    <w:rsid w:val="004810C7"/>
    <w:rsid w:val="0048118B"/>
    <w:rsid w:val="004819E4"/>
    <w:rsid w:val="00481FAD"/>
    <w:rsid w:val="00482A26"/>
    <w:rsid w:val="00482FCA"/>
    <w:rsid w:val="00484A19"/>
    <w:rsid w:val="00487592"/>
    <w:rsid w:val="00487F4F"/>
    <w:rsid w:val="004900E7"/>
    <w:rsid w:val="00492CAF"/>
    <w:rsid w:val="00497BD8"/>
    <w:rsid w:val="00497D00"/>
    <w:rsid w:val="004A0DBC"/>
    <w:rsid w:val="004A2071"/>
    <w:rsid w:val="004A3598"/>
    <w:rsid w:val="004A42DD"/>
    <w:rsid w:val="004A5347"/>
    <w:rsid w:val="004A63FD"/>
    <w:rsid w:val="004A7094"/>
    <w:rsid w:val="004B0843"/>
    <w:rsid w:val="004B1C32"/>
    <w:rsid w:val="004B2B2C"/>
    <w:rsid w:val="004B3251"/>
    <w:rsid w:val="004B33D7"/>
    <w:rsid w:val="004B3EB8"/>
    <w:rsid w:val="004B5871"/>
    <w:rsid w:val="004B7EC1"/>
    <w:rsid w:val="004C022F"/>
    <w:rsid w:val="004C035A"/>
    <w:rsid w:val="004C3467"/>
    <w:rsid w:val="004C55A0"/>
    <w:rsid w:val="004C6134"/>
    <w:rsid w:val="004C6C00"/>
    <w:rsid w:val="004C7FBD"/>
    <w:rsid w:val="004D26E6"/>
    <w:rsid w:val="004D604E"/>
    <w:rsid w:val="004D60C1"/>
    <w:rsid w:val="004D6C98"/>
    <w:rsid w:val="004D6EEE"/>
    <w:rsid w:val="004D79B4"/>
    <w:rsid w:val="004E0792"/>
    <w:rsid w:val="004E12E4"/>
    <w:rsid w:val="004E1BC2"/>
    <w:rsid w:val="004F0ED1"/>
    <w:rsid w:val="004F11FB"/>
    <w:rsid w:val="004F230F"/>
    <w:rsid w:val="004F48E1"/>
    <w:rsid w:val="004F593E"/>
    <w:rsid w:val="004F71C4"/>
    <w:rsid w:val="004F7459"/>
    <w:rsid w:val="004F7F73"/>
    <w:rsid w:val="00502746"/>
    <w:rsid w:val="005059A3"/>
    <w:rsid w:val="0051014D"/>
    <w:rsid w:val="0051083F"/>
    <w:rsid w:val="005113CC"/>
    <w:rsid w:val="005119A8"/>
    <w:rsid w:val="005123EE"/>
    <w:rsid w:val="00512C83"/>
    <w:rsid w:val="0051360A"/>
    <w:rsid w:val="00515670"/>
    <w:rsid w:val="005159B9"/>
    <w:rsid w:val="005166AE"/>
    <w:rsid w:val="005174A0"/>
    <w:rsid w:val="00517D09"/>
    <w:rsid w:val="005222F5"/>
    <w:rsid w:val="00522F4C"/>
    <w:rsid w:val="0052311F"/>
    <w:rsid w:val="0052415D"/>
    <w:rsid w:val="005243C5"/>
    <w:rsid w:val="00530147"/>
    <w:rsid w:val="00531867"/>
    <w:rsid w:val="00534497"/>
    <w:rsid w:val="00535CD8"/>
    <w:rsid w:val="00536FF8"/>
    <w:rsid w:val="0054073A"/>
    <w:rsid w:val="00540EF6"/>
    <w:rsid w:val="0054209C"/>
    <w:rsid w:val="00542806"/>
    <w:rsid w:val="005433DC"/>
    <w:rsid w:val="005439CB"/>
    <w:rsid w:val="00543C39"/>
    <w:rsid w:val="005460E2"/>
    <w:rsid w:val="00546820"/>
    <w:rsid w:val="00546CBC"/>
    <w:rsid w:val="005476C3"/>
    <w:rsid w:val="00552856"/>
    <w:rsid w:val="0055403F"/>
    <w:rsid w:val="005554B1"/>
    <w:rsid w:val="0055660A"/>
    <w:rsid w:val="00557C54"/>
    <w:rsid w:val="00561E62"/>
    <w:rsid w:val="00561E7F"/>
    <w:rsid w:val="00563382"/>
    <w:rsid w:val="00566A6F"/>
    <w:rsid w:val="0056716F"/>
    <w:rsid w:val="00567F06"/>
    <w:rsid w:val="005703AC"/>
    <w:rsid w:val="0057324D"/>
    <w:rsid w:val="00574652"/>
    <w:rsid w:val="00574979"/>
    <w:rsid w:val="005755BC"/>
    <w:rsid w:val="00576BBF"/>
    <w:rsid w:val="00582E1E"/>
    <w:rsid w:val="0058537D"/>
    <w:rsid w:val="005867E6"/>
    <w:rsid w:val="00587986"/>
    <w:rsid w:val="00590FE2"/>
    <w:rsid w:val="00594BA4"/>
    <w:rsid w:val="00595438"/>
    <w:rsid w:val="005A20E7"/>
    <w:rsid w:val="005A27B7"/>
    <w:rsid w:val="005A326A"/>
    <w:rsid w:val="005A6D4E"/>
    <w:rsid w:val="005B0279"/>
    <w:rsid w:val="005B0542"/>
    <w:rsid w:val="005B27B6"/>
    <w:rsid w:val="005B555E"/>
    <w:rsid w:val="005B7D85"/>
    <w:rsid w:val="005C2269"/>
    <w:rsid w:val="005C2720"/>
    <w:rsid w:val="005C2A04"/>
    <w:rsid w:val="005C5CFC"/>
    <w:rsid w:val="005C6539"/>
    <w:rsid w:val="005C6A6D"/>
    <w:rsid w:val="005C6CB0"/>
    <w:rsid w:val="005C6F30"/>
    <w:rsid w:val="005D0324"/>
    <w:rsid w:val="005D3966"/>
    <w:rsid w:val="005D3D4D"/>
    <w:rsid w:val="005D6107"/>
    <w:rsid w:val="005D627F"/>
    <w:rsid w:val="005D73F8"/>
    <w:rsid w:val="005D7C86"/>
    <w:rsid w:val="005E0C4E"/>
    <w:rsid w:val="005E33D6"/>
    <w:rsid w:val="005E3923"/>
    <w:rsid w:val="005E488E"/>
    <w:rsid w:val="005E59CE"/>
    <w:rsid w:val="005E7D4E"/>
    <w:rsid w:val="005F007F"/>
    <w:rsid w:val="005F0165"/>
    <w:rsid w:val="005F0ED7"/>
    <w:rsid w:val="005F1DC0"/>
    <w:rsid w:val="005F284C"/>
    <w:rsid w:val="005F2CEA"/>
    <w:rsid w:val="005F3949"/>
    <w:rsid w:val="005F58E8"/>
    <w:rsid w:val="005F6A02"/>
    <w:rsid w:val="005F6BEB"/>
    <w:rsid w:val="006004AC"/>
    <w:rsid w:val="00600C71"/>
    <w:rsid w:val="0060285A"/>
    <w:rsid w:val="00603B1C"/>
    <w:rsid w:val="00603D7A"/>
    <w:rsid w:val="00604F47"/>
    <w:rsid w:val="00605CCB"/>
    <w:rsid w:val="00605D0A"/>
    <w:rsid w:val="006061C1"/>
    <w:rsid w:val="00606E58"/>
    <w:rsid w:val="00607ABA"/>
    <w:rsid w:val="00607BA7"/>
    <w:rsid w:val="006122B7"/>
    <w:rsid w:val="00615389"/>
    <w:rsid w:val="0061552C"/>
    <w:rsid w:val="0061562D"/>
    <w:rsid w:val="0062096B"/>
    <w:rsid w:val="006214BD"/>
    <w:rsid w:val="00621663"/>
    <w:rsid w:val="00621993"/>
    <w:rsid w:val="0062219F"/>
    <w:rsid w:val="00622B2D"/>
    <w:rsid w:val="00623525"/>
    <w:rsid w:val="00623DB6"/>
    <w:rsid w:val="00624ABD"/>
    <w:rsid w:val="00630FC9"/>
    <w:rsid w:val="00632108"/>
    <w:rsid w:val="006329C7"/>
    <w:rsid w:val="00633A2F"/>
    <w:rsid w:val="00635EC1"/>
    <w:rsid w:val="006377BA"/>
    <w:rsid w:val="006401F1"/>
    <w:rsid w:val="00642EBE"/>
    <w:rsid w:val="00643C32"/>
    <w:rsid w:val="00643E4A"/>
    <w:rsid w:val="00644523"/>
    <w:rsid w:val="0064613C"/>
    <w:rsid w:val="00646B38"/>
    <w:rsid w:val="00650A1D"/>
    <w:rsid w:val="006527E3"/>
    <w:rsid w:val="00652864"/>
    <w:rsid w:val="006531A3"/>
    <w:rsid w:val="0065342F"/>
    <w:rsid w:val="00653B31"/>
    <w:rsid w:val="00655A43"/>
    <w:rsid w:val="00661700"/>
    <w:rsid w:val="006635DA"/>
    <w:rsid w:val="00664063"/>
    <w:rsid w:val="006642BD"/>
    <w:rsid w:val="00664830"/>
    <w:rsid w:val="00670441"/>
    <w:rsid w:val="00671AB0"/>
    <w:rsid w:val="006746AF"/>
    <w:rsid w:val="006768DF"/>
    <w:rsid w:val="00677341"/>
    <w:rsid w:val="006812AF"/>
    <w:rsid w:val="00681D68"/>
    <w:rsid w:val="0068645B"/>
    <w:rsid w:val="006875D0"/>
    <w:rsid w:val="00687864"/>
    <w:rsid w:val="00687E26"/>
    <w:rsid w:val="006913DD"/>
    <w:rsid w:val="00691839"/>
    <w:rsid w:val="0069410F"/>
    <w:rsid w:val="0069623F"/>
    <w:rsid w:val="006965C3"/>
    <w:rsid w:val="0069797B"/>
    <w:rsid w:val="006A2562"/>
    <w:rsid w:val="006A3FF6"/>
    <w:rsid w:val="006A628C"/>
    <w:rsid w:val="006A6582"/>
    <w:rsid w:val="006A7494"/>
    <w:rsid w:val="006A787B"/>
    <w:rsid w:val="006B0F14"/>
    <w:rsid w:val="006B2F5A"/>
    <w:rsid w:val="006B38A4"/>
    <w:rsid w:val="006B5B98"/>
    <w:rsid w:val="006B5F73"/>
    <w:rsid w:val="006B669A"/>
    <w:rsid w:val="006B78C1"/>
    <w:rsid w:val="006C21B2"/>
    <w:rsid w:val="006C38E3"/>
    <w:rsid w:val="006C4468"/>
    <w:rsid w:val="006C49F6"/>
    <w:rsid w:val="006C4BB1"/>
    <w:rsid w:val="006C6147"/>
    <w:rsid w:val="006C6543"/>
    <w:rsid w:val="006C6F49"/>
    <w:rsid w:val="006D2493"/>
    <w:rsid w:val="006D5E38"/>
    <w:rsid w:val="006D627A"/>
    <w:rsid w:val="006D66E3"/>
    <w:rsid w:val="006D7029"/>
    <w:rsid w:val="006E336E"/>
    <w:rsid w:val="006E3FEE"/>
    <w:rsid w:val="006E474C"/>
    <w:rsid w:val="006E49E4"/>
    <w:rsid w:val="006E520E"/>
    <w:rsid w:val="006E7046"/>
    <w:rsid w:val="006F0EF3"/>
    <w:rsid w:val="006F1278"/>
    <w:rsid w:val="006F4300"/>
    <w:rsid w:val="006F4F15"/>
    <w:rsid w:val="006F6BDE"/>
    <w:rsid w:val="006F77DD"/>
    <w:rsid w:val="006F7E4B"/>
    <w:rsid w:val="00701579"/>
    <w:rsid w:val="00701EC1"/>
    <w:rsid w:val="00702D27"/>
    <w:rsid w:val="00702F3D"/>
    <w:rsid w:val="00703FFF"/>
    <w:rsid w:val="0070511D"/>
    <w:rsid w:val="00706C07"/>
    <w:rsid w:val="00712F89"/>
    <w:rsid w:val="00713A48"/>
    <w:rsid w:val="007143BB"/>
    <w:rsid w:val="00715A2D"/>
    <w:rsid w:val="0071718F"/>
    <w:rsid w:val="00717BFD"/>
    <w:rsid w:val="007203B6"/>
    <w:rsid w:val="007221E8"/>
    <w:rsid w:val="007242AD"/>
    <w:rsid w:val="00726620"/>
    <w:rsid w:val="00730B1C"/>
    <w:rsid w:val="00730D0A"/>
    <w:rsid w:val="007314E7"/>
    <w:rsid w:val="00731FDD"/>
    <w:rsid w:val="00740C24"/>
    <w:rsid w:val="00741040"/>
    <w:rsid w:val="007421DC"/>
    <w:rsid w:val="00745705"/>
    <w:rsid w:val="00746034"/>
    <w:rsid w:val="00753D7E"/>
    <w:rsid w:val="00756FA4"/>
    <w:rsid w:val="0075757E"/>
    <w:rsid w:val="007606AC"/>
    <w:rsid w:val="00763449"/>
    <w:rsid w:val="00767E2C"/>
    <w:rsid w:val="00770BC1"/>
    <w:rsid w:val="00771358"/>
    <w:rsid w:val="00771B53"/>
    <w:rsid w:val="007726EF"/>
    <w:rsid w:val="0077609E"/>
    <w:rsid w:val="007762F3"/>
    <w:rsid w:val="00781FC7"/>
    <w:rsid w:val="007820AA"/>
    <w:rsid w:val="00783295"/>
    <w:rsid w:val="0078373D"/>
    <w:rsid w:val="00784415"/>
    <w:rsid w:val="00785D5B"/>
    <w:rsid w:val="0078640E"/>
    <w:rsid w:val="0078789F"/>
    <w:rsid w:val="0079108A"/>
    <w:rsid w:val="0079133E"/>
    <w:rsid w:val="0079252B"/>
    <w:rsid w:val="00794000"/>
    <w:rsid w:val="00794647"/>
    <w:rsid w:val="007960CB"/>
    <w:rsid w:val="00796B9B"/>
    <w:rsid w:val="00797385"/>
    <w:rsid w:val="007A0744"/>
    <w:rsid w:val="007A1064"/>
    <w:rsid w:val="007A14AB"/>
    <w:rsid w:val="007A282B"/>
    <w:rsid w:val="007A2CBF"/>
    <w:rsid w:val="007A3282"/>
    <w:rsid w:val="007A516D"/>
    <w:rsid w:val="007A5953"/>
    <w:rsid w:val="007A659E"/>
    <w:rsid w:val="007A6B33"/>
    <w:rsid w:val="007B02D9"/>
    <w:rsid w:val="007B1FA5"/>
    <w:rsid w:val="007B3D91"/>
    <w:rsid w:val="007B46F3"/>
    <w:rsid w:val="007B510E"/>
    <w:rsid w:val="007B6A26"/>
    <w:rsid w:val="007B7C1E"/>
    <w:rsid w:val="007D08D9"/>
    <w:rsid w:val="007D28CD"/>
    <w:rsid w:val="007D7E0C"/>
    <w:rsid w:val="007E0FB3"/>
    <w:rsid w:val="007E27BF"/>
    <w:rsid w:val="007E3D00"/>
    <w:rsid w:val="007E4BD6"/>
    <w:rsid w:val="007E53A0"/>
    <w:rsid w:val="007E7ED7"/>
    <w:rsid w:val="007F1536"/>
    <w:rsid w:val="007F180C"/>
    <w:rsid w:val="007F1E74"/>
    <w:rsid w:val="007F205B"/>
    <w:rsid w:val="007F3DC3"/>
    <w:rsid w:val="007F4788"/>
    <w:rsid w:val="007F5B28"/>
    <w:rsid w:val="007F64A4"/>
    <w:rsid w:val="007F6A9D"/>
    <w:rsid w:val="007F74D5"/>
    <w:rsid w:val="007F7AAE"/>
    <w:rsid w:val="007F7C36"/>
    <w:rsid w:val="00800D08"/>
    <w:rsid w:val="00800E16"/>
    <w:rsid w:val="00800E23"/>
    <w:rsid w:val="008018B8"/>
    <w:rsid w:val="008022D9"/>
    <w:rsid w:val="008026CD"/>
    <w:rsid w:val="00804BDD"/>
    <w:rsid w:val="008052C3"/>
    <w:rsid w:val="00805964"/>
    <w:rsid w:val="00805E10"/>
    <w:rsid w:val="00806A71"/>
    <w:rsid w:val="00810B3D"/>
    <w:rsid w:val="00812456"/>
    <w:rsid w:val="00813F78"/>
    <w:rsid w:val="00815213"/>
    <w:rsid w:val="00817E6B"/>
    <w:rsid w:val="00820EE4"/>
    <w:rsid w:val="008226B6"/>
    <w:rsid w:val="008228B9"/>
    <w:rsid w:val="00827566"/>
    <w:rsid w:val="00827852"/>
    <w:rsid w:val="00832291"/>
    <w:rsid w:val="0083474F"/>
    <w:rsid w:val="008348DC"/>
    <w:rsid w:val="008355EA"/>
    <w:rsid w:val="00837E9C"/>
    <w:rsid w:val="00840EF7"/>
    <w:rsid w:val="008456BF"/>
    <w:rsid w:val="00846086"/>
    <w:rsid w:val="0084709A"/>
    <w:rsid w:val="008479ED"/>
    <w:rsid w:val="00850D20"/>
    <w:rsid w:val="00850F4C"/>
    <w:rsid w:val="00852556"/>
    <w:rsid w:val="0085581F"/>
    <w:rsid w:val="00856037"/>
    <w:rsid w:val="008565CE"/>
    <w:rsid w:val="00856C17"/>
    <w:rsid w:val="00857357"/>
    <w:rsid w:val="00857494"/>
    <w:rsid w:val="00860945"/>
    <w:rsid w:val="00860D49"/>
    <w:rsid w:val="0086124E"/>
    <w:rsid w:val="008614D0"/>
    <w:rsid w:val="008630F3"/>
    <w:rsid w:val="00863E61"/>
    <w:rsid w:val="008645EF"/>
    <w:rsid w:val="00865D18"/>
    <w:rsid w:val="00865FD6"/>
    <w:rsid w:val="00866002"/>
    <w:rsid w:val="00866B7F"/>
    <w:rsid w:val="00870A7E"/>
    <w:rsid w:val="00872DD1"/>
    <w:rsid w:val="00875037"/>
    <w:rsid w:val="00875669"/>
    <w:rsid w:val="00875B24"/>
    <w:rsid w:val="00880396"/>
    <w:rsid w:val="00880F37"/>
    <w:rsid w:val="00881151"/>
    <w:rsid w:val="00881A47"/>
    <w:rsid w:val="00881F2C"/>
    <w:rsid w:val="008829F7"/>
    <w:rsid w:val="008838D6"/>
    <w:rsid w:val="00884373"/>
    <w:rsid w:val="00885DC5"/>
    <w:rsid w:val="0088712B"/>
    <w:rsid w:val="0088736D"/>
    <w:rsid w:val="008901B1"/>
    <w:rsid w:val="00891BF8"/>
    <w:rsid w:val="008936FE"/>
    <w:rsid w:val="008938DB"/>
    <w:rsid w:val="00893B88"/>
    <w:rsid w:val="00894465"/>
    <w:rsid w:val="0089547B"/>
    <w:rsid w:val="00895816"/>
    <w:rsid w:val="00896243"/>
    <w:rsid w:val="008964D0"/>
    <w:rsid w:val="00896503"/>
    <w:rsid w:val="00897777"/>
    <w:rsid w:val="00897EE0"/>
    <w:rsid w:val="008A24C7"/>
    <w:rsid w:val="008A2E26"/>
    <w:rsid w:val="008A3588"/>
    <w:rsid w:val="008A6C85"/>
    <w:rsid w:val="008A763B"/>
    <w:rsid w:val="008A76AB"/>
    <w:rsid w:val="008B1E11"/>
    <w:rsid w:val="008B2C8C"/>
    <w:rsid w:val="008B6384"/>
    <w:rsid w:val="008B6B59"/>
    <w:rsid w:val="008C1032"/>
    <w:rsid w:val="008C17AA"/>
    <w:rsid w:val="008C2D0D"/>
    <w:rsid w:val="008C7875"/>
    <w:rsid w:val="008D0153"/>
    <w:rsid w:val="008D1AE6"/>
    <w:rsid w:val="008D3B00"/>
    <w:rsid w:val="008D3B6E"/>
    <w:rsid w:val="008D46F5"/>
    <w:rsid w:val="008D59A8"/>
    <w:rsid w:val="008D6166"/>
    <w:rsid w:val="008D6AC5"/>
    <w:rsid w:val="008D6E5E"/>
    <w:rsid w:val="008E0A78"/>
    <w:rsid w:val="008E188A"/>
    <w:rsid w:val="008E3A61"/>
    <w:rsid w:val="008E496C"/>
    <w:rsid w:val="008E49E9"/>
    <w:rsid w:val="008E597A"/>
    <w:rsid w:val="008E59ED"/>
    <w:rsid w:val="008E5B36"/>
    <w:rsid w:val="008E6046"/>
    <w:rsid w:val="008E7C3A"/>
    <w:rsid w:val="008F0B21"/>
    <w:rsid w:val="009014C4"/>
    <w:rsid w:val="009038D0"/>
    <w:rsid w:val="00904308"/>
    <w:rsid w:val="00907571"/>
    <w:rsid w:val="00907C29"/>
    <w:rsid w:val="009108E6"/>
    <w:rsid w:val="009129EB"/>
    <w:rsid w:val="00914BF5"/>
    <w:rsid w:val="00915D7A"/>
    <w:rsid w:val="00915F25"/>
    <w:rsid w:val="009160E8"/>
    <w:rsid w:val="00916720"/>
    <w:rsid w:val="00916A3D"/>
    <w:rsid w:val="00916CC0"/>
    <w:rsid w:val="00916DBB"/>
    <w:rsid w:val="00920062"/>
    <w:rsid w:val="00923AD4"/>
    <w:rsid w:val="009246D5"/>
    <w:rsid w:val="009253C9"/>
    <w:rsid w:val="00925480"/>
    <w:rsid w:val="009254D5"/>
    <w:rsid w:val="00926398"/>
    <w:rsid w:val="0092688D"/>
    <w:rsid w:val="00926A2B"/>
    <w:rsid w:val="0093006E"/>
    <w:rsid w:val="00932FEE"/>
    <w:rsid w:val="00935412"/>
    <w:rsid w:val="0093594C"/>
    <w:rsid w:val="00935E18"/>
    <w:rsid w:val="0093739A"/>
    <w:rsid w:val="00940CDE"/>
    <w:rsid w:val="00940F1F"/>
    <w:rsid w:val="0094271E"/>
    <w:rsid w:val="00942923"/>
    <w:rsid w:val="009435D5"/>
    <w:rsid w:val="00946D3E"/>
    <w:rsid w:val="00950425"/>
    <w:rsid w:val="00951AEB"/>
    <w:rsid w:val="00952A89"/>
    <w:rsid w:val="009542A3"/>
    <w:rsid w:val="00954417"/>
    <w:rsid w:val="0095500E"/>
    <w:rsid w:val="00956007"/>
    <w:rsid w:val="009563EA"/>
    <w:rsid w:val="00961E04"/>
    <w:rsid w:val="00963B5A"/>
    <w:rsid w:val="009653E4"/>
    <w:rsid w:val="00966FBF"/>
    <w:rsid w:val="00967542"/>
    <w:rsid w:val="00972182"/>
    <w:rsid w:val="0097622C"/>
    <w:rsid w:val="00977F9B"/>
    <w:rsid w:val="0098197A"/>
    <w:rsid w:val="00983002"/>
    <w:rsid w:val="009838E6"/>
    <w:rsid w:val="0098576A"/>
    <w:rsid w:val="0098620C"/>
    <w:rsid w:val="009862BA"/>
    <w:rsid w:val="0098687E"/>
    <w:rsid w:val="009905C9"/>
    <w:rsid w:val="00992EE3"/>
    <w:rsid w:val="00995198"/>
    <w:rsid w:val="009951BA"/>
    <w:rsid w:val="00995FEF"/>
    <w:rsid w:val="00997197"/>
    <w:rsid w:val="0099741A"/>
    <w:rsid w:val="009A09B5"/>
    <w:rsid w:val="009A0C6E"/>
    <w:rsid w:val="009A0E36"/>
    <w:rsid w:val="009A2272"/>
    <w:rsid w:val="009A3EE7"/>
    <w:rsid w:val="009A4B3F"/>
    <w:rsid w:val="009A6C3A"/>
    <w:rsid w:val="009B0FF4"/>
    <w:rsid w:val="009B13BD"/>
    <w:rsid w:val="009B25E0"/>
    <w:rsid w:val="009B2DEA"/>
    <w:rsid w:val="009B3544"/>
    <w:rsid w:val="009B5AB9"/>
    <w:rsid w:val="009C0930"/>
    <w:rsid w:val="009C1819"/>
    <w:rsid w:val="009C3CCB"/>
    <w:rsid w:val="009C3E5A"/>
    <w:rsid w:val="009D1218"/>
    <w:rsid w:val="009D21C2"/>
    <w:rsid w:val="009D701E"/>
    <w:rsid w:val="009E105C"/>
    <w:rsid w:val="009E273D"/>
    <w:rsid w:val="009E355F"/>
    <w:rsid w:val="009E4ADD"/>
    <w:rsid w:val="009E6F3A"/>
    <w:rsid w:val="009F1D9F"/>
    <w:rsid w:val="009F2D48"/>
    <w:rsid w:val="009F31AE"/>
    <w:rsid w:val="009F58AD"/>
    <w:rsid w:val="009F5A14"/>
    <w:rsid w:val="009F5DE3"/>
    <w:rsid w:val="009F772F"/>
    <w:rsid w:val="00A0099D"/>
    <w:rsid w:val="00A01115"/>
    <w:rsid w:val="00A03054"/>
    <w:rsid w:val="00A108D1"/>
    <w:rsid w:val="00A10A07"/>
    <w:rsid w:val="00A12672"/>
    <w:rsid w:val="00A12B8A"/>
    <w:rsid w:val="00A13302"/>
    <w:rsid w:val="00A141B8"/>
    <w:rsid w:val="00A1438C"/>
    <w:rsid w:val="00A144BD"/>
    <w:rsid w:val="00A14BF8"/>
    <w:rsid w:val="00A15CE8"/>
    <w:rsid w:val="00A17179"/>
    <w:rsid w:val="00A1738B"/>
    <w:rsid w:val="00A17526"/>
    <w:rsid w:val="00A22F0B"/>
    <w:rsid w:val="00A2361E"/>
    <w:rsid w:val="00A2574F"/>
    <w:rsid w:val="00A25CB4"/>
    <w:rsid w:val="00A26696"/>
    <w:rsid w:val="00A266F6"/>
    <w:rsid w:val="00A27C08"/>
    <w:rsid w:val="00A30405"/>
    <w:rsid w:val="00A34D57"/>
    <w:rsid w:val="00A36D02"/>
    <w:rsid w:val="00A36DBB"/>
    <w:rsid w:val="00A371ED"/>
    <w:rsid w:val="00A37311"/>
    <w:rsid w:val="00A40EE1"/>
    <w:rsid w:val="00A415B3"/>
    <w:rsid w:val="00A42880"/>
    <w:rsid w:val="00A43EA5"/>
    <w:rsid w:val="00A45AEB"/>
    <w:rsid w:val="00A47913"/>
    <w:rsid w:val="00A5088F"/>
    <w:rsid w:val="00A508B4"/>
    <w:rsid w:val="00A508DC"/>
    <w:rsid w:val="00A50CC4"/>
    <w:rsid w:val="00A515B7"/>
    <w:rsid w:val="00A5227C"/>
    <w:rsid w:val="00A522FD"/>
    <w:rsid w:val="00A53D1B"/>
    <w:rsid w:val="00A57E6C"/>
    <w:rsid w:val="00A60500"/>
    <w:rsid w:val="00A61266"/>
    <w:rsid w:val="00A62744"/>
    <w:rsid w:val="00A62840"/>
    <w:rsid w:val="00A62CB2"/>
    <w:rsid w:val="00A63020"/>
    <w:rsid w:val="00A64333"/>
    <w:rsid w:val="00A65412"/>
    <w:rsid w:val="00A6697D"/>
    <w:rsid w:val="00A6794D"/>
    <w:rsid w:val="00A70312"/>
    <w:rsid w:val="00A710C6"/>
    <w:rsid w:val="00A72AC3"/>
    <w:rsid w:val="00A730FF"/>
    <w:rsid w:val="00A73FF0"/>
    <w:rsid w:val="00A75ACA"/>
    <w:rsid w:val="00A76039"/>
    <w:rsid w:val="00A761D2"/>
    <w:rsid w:val="00A765C9"/>
    <w:rsid w:val="00A8127F"/>
    <w:rsid w:val="00A817F7"/>
    <w:rsid w:val="00A83B24"/>
    <w:rsid w:val="00A859DF"/>
    <w:rsid w:val="00A87C3D"/>
    <w:rsid w:val="00A92129"/>
    <w:rsid w:val="00A941A8"/>
    <w:rsid w:val="00A94910"/>
    <w:rsid w:val="00A949FF"/>
    <w:rsid w:val="00A957F7"/>
    <w:rsid w:val="00A95C40"/>
    <w:rsid w:val="00A96373"/>
    <w:rsid w:val="00A971CC"/>
    <w:rsid w:val="00A97727"/>
    <w:rsid w:val="00AA0DD7"/>
    <w:rsid w:val="00AB0522"/>
    <w:rsid w:val="00AB0C7C"/>
    <w:rsid w:val="00AB22A9"/>
    <w:rsid w:val="00AB45DE"/>
    <w:rsid w:val="00AB4A2B"/>
    <w:rsid w:val="00AB6C3A"/>
    <w:rsid w:val="00AC054C"/>
    <w:rsid w:val="00AC06A7"/>
    <w:rsid w:val="00AC1416"/>
    <w:rsid w:val="00AC1A60"/>
    <w:rsid w:val="00AC50FF"/>
    <w:rsid w:val="00AC730C"/>
    <w:rsid w:val="00AD0FEE"/>
    <w:rsid w:val="00AD19BD"/>
    <w:rsid w:val="00AD64C1"/>
    <w:rsid w:val="00AD6D3D"/>
    <w:rsid w:val="00AE0A7C"/>
    <w:rsid w:val="00AE2715"/>
    <w:rsid w:val="00AE385B"/>
    <w:rsid w:val="00AE53FA"/>
    <w:rsid w:val="00AE5553"/>
    <w:rsid w:val="00AE55A9"/>
    <w:rsid w:val="00AE5C98"/>
    <w:rsid w:val="00AE6214"/>
    <w:rsid w:val="00AF1567"/>
    <w:rsid w:val="00AF1F67"/>
    <w:rsid w:val="00AF2827"/>
    <w:rsid w:val="00AF2F68"/>
    <w:rsid w:val="00AF30EB"/>
    <w:rsid w:val="00AF37B3"/>
    <w:rsid w:val="00AF4039"/>
    <w:rsid w:val="00AF446E"/>
    <w:rsid w:val="00AF5503"/>
    <w:rsid w:val="00AF6EAB"/>
    <w:rsid w:val="00AF7993"/>
    <w:rsid w:val="00B010AA"/>
    <w:rsid w:val="00B0122D"/>
    <w:rsid w:val="00B01E6A"/>
    <w:rsid w:val="00B02039"/>
    <w:rsid w:val="00B02048"/>
    <w:rsid w:val="00B02BFF"/>
    <w:rsid w:val="00B02E2D"/>
    <w:rsid w:val="00B033D4"/>
    <w:rsid w:val="00B04A36"/>
    <w:rsid w:val="00B04B79"/>
    <w:rsid w:val="00B11CBA"/>
    <w:rsid w:val="00B1317E"/>
    <w:rsid w:val="00B1563D"/>
    <w:rsid w:val="00B17A52"/>
    <w:rsid w:val="00B23E3F"/>
    <w:rsid w:val="00B2548B"/>
    <w:rsid w:val="00B2718B"/>
    <w:rsid w:val="00B2750A"/>
    <w:rsid w:val="00B31531"/>
    <w:rsid w:val="00B3310C"/>
    <w:rsid w:val="00B3453B"/>
    <w:rsid w:val="00B34E92"/>
    <w:rsid w:val="00B36C53"/>
    <w:rsid w:val="00B37041"/>
    <w:rsid w:val="00B40187"/>
    <w:rsid w:val="00B43A67"/>
    <w:rsid w:val="00B460AA"/>
    <w:rsid w:val="00B50383"/>
    <w:rsid w:val="00B5412D"/>
    <w:rsid w:val="00B5426D"/>
    <w:rsid w:val="00B5516B"/>
    <w:rsid w:val="00B571F3"/>
    <w:rsid w:val="00B57B28"/>
    <w:rsid w:val="00B606AE"/>
    <w:rsid w:val="00B60855"/>
    <w:rsid w:val="00B60E6C"/>
    <w:rsid w:val="00B616D5"/>
    <w:rsid w:val="00B61AB7"/>
    <w:rsid w:val="00B62156"/>
    <w:rsid w:val="00B624EE"/>
    <w:rsid w:val="00B64D2E"/>
    <w:rsid w:val="00B653B9"/>
    <w:rsid w:val="00B66820"/>
    <w:rsid w:val="00B66E4C"/>
    <w:rsid w:val="00B67D90"/>
    <w:rsid w:val="00B708FB"/>
    <w:rsid w:val="00B7223E"/>
    <w:rsid w:val="00B7787F"/>
    <w:rsid w:val="00B8070C"/>
    <w:rsid w:val="00B829C4"/>
    <w:rsid w:val="00B84794"/>
    <w:rsid w:val="00B85074"/>
    <w:rsid w:val="00B93139"/>
    <w:rsid w:val="00B96543"/>
    <w:rsid w:val="00B96CA7"/>
    <w:rsid w:val="00BA0CEC"/>
    <w:rsid w:val="00BA10B9"/>
    <w:rsid w:val="00BA4645"/>
    <w:rsid w:val="00BA4A21"/>
    <w:rsid w:val="00BA6A71"/>
    <w:rsid w:val="00BA75F4"/>
    <w:rsid w:val="00BB1217"/>
    <w:rsid w:val="00BB2B71"/>
    <w:rsid w:val="00BB2BD8"/>
    <w:rsid w:val="00BB4659"/>
    <w:rsid w:val="00BB5D6A"/>
    <w:rsid w:val="00BB695F"/>
    <w:rsid w:val="00BC01C5"/>
    <w:rsid w:val="00BC035E"/>
    <w:rsid w:val="00BC13A2"/>
    <w:rsid w:val="00BC33B2"/>
    <w:rsid w:val="00BC366F"/>
    <w:rsid w:val="00BC5E01"/>
    <w:rsid w:val="00BC625B"/>
    <w:rsid w:val="00BC6B45"/>
    <w:rsid w:val="00BC7C6E"/>
    <w:rsid w:val="00BD0649"/>
    <w:rsid w:val="00BD2E0C"/>
    <w:rsid w:val="00BD3DDF"/>
    <w:rsid w:val="00BD3F7D"/>
    <w:rsid w:val="00BD6809"/>
    <w:rsid w:val="00BE0408"/>
    <w:rsid w:val="00BE5665"/>
    <w:rsid w:val="00BF0DB4"/>
    <w:rsid w:val="00BF2447"/>
    <w:rsid w:val="00BF2496"/>
    <w:rsid w:val="00BF6CA6"/>
    <w:rsid w:val="00BF7D87"/>
    <w:rsid w:val="00C0001E"/>
    <w:rsid w:val="00C0086A"/>
    <w:rsid w:val="00C036D4"/>
    <w:rsid w:val="00C03861"/>
    <w:rsid w:val="00C048DA"/>
    <w:rsid w:val="00C05886"/>
    <w:rsid w:val="00C067B9"/>
    <w:rsid w:val="00C06CE6"/>
    <w:rsid w:val="00C06D30"/>
    <w:rsid w:val="00C07B06"/>
    <w:rsid w:val="00C07F91"/>
    <w:rsid w:val="00C11E56"/>
    <w:rsid w:val="00C13AC8"/>
    <w:rsid w:val="00C20816"/>
    <w:rsid w:val="00C22301"/>
    <w:rsid w:val="00C23BEC"/>
    <w:rsid w:val="00C23E6E"/>
    <w:rsid w:val="00C2442C"/>
    <w:rsid w:val="00C26484"/>
    <w:rsid w:val="00C2713E"/>
    <w:rsid w:val="00C27ACF"/>
    <w:rsid w:val="00C304AC"/>
    <w:rsid w:val="00C30520"/>
    <w:rsid w:val="00C3158C"/>
    <w:rsid w:val="00C31A59"/>
    <w:rsid w:val="00C33D66"/>
    <w:rsid w:val="00C3439E"/>
    <w:rsid w:val="00C344F3"/>
    <w:rsid w:val="00C3558C"/>
    <w:rsid w:val="00C37146"/>
    <w:rsid w:val="00C4252A"/>
    <w:rsid w:val="00C42B9C"/>
    <w:rsid w:val="00C43163"/>
    <w:rsid w:val="00C4626D"/>
    <w:rsid w:val="00C50732"/>
    <w:rsid w:val="00C51147"/>
    <w:rsid w:val="00C51232"/>
    <w:rsid w:val="00C52805"/>
    <w:rsid w:val="00C54301"/>
    <w:rsid w:val="00C54E2D"/>
    <w:rsid w:val="00C57B14"/>
    <w:rsid w:val="00C6019C"/>
    <w:rsid w:val="00C61008"/>
    <w:rsid w:val="00C61A71"/>
    <w:rsid w:val="00C62314"/>
    <w:rsid w:val="00C63CD5"/>
    <w:rsid w:val="00C642C6"/>
    <w:rsid w:val="00C6607E"/>
    <w:rsid w:val="00C66303"/>
    <w:rsid w:val="00C70AFA"/>
    <w:rsid w:val="00C711CB"/>
    <w:rsid w:val="00C767F5"/>
    <w:rsid w:val="00C77835"/>
    <w:rsid w:val="00C80284"/>
    <w:rsid w:val="00C82104"/>
    <w:rsid w:val="00C82709"/>
    <w:rsid w:val="00C83B2A"/>
    <w:rsid w:val="00C849BF"/>
    <w:rsid w:val="00C84D8E"/>
    <w:rsid w:val="00C866C9"/>
    <w:rsid w:val="00C86989"/>
    <w:rsid w:val="00C871DC"/>
    <w:rsid w:val="00C91D3C"/>
    <w:rsid w:val="00C91EA2"/>
    <w:rsid w:val="00C9224B"/>
    <w:rsid w:val="00C92AEE"/>
    <w:rsid w:val="00C938E7"/>
    <w:rsid w:val="00C94BE2"/>
    <w:rsid w:val="00C97A12"/>
    <w:rsid w:val="00CA046F"/>
    <w:rsid w:val="00CA1C01"/>
    <w:rsid w:val="00CA4029"/>
    <w:rsid w:val="00CA4C5D"/>
    <w:rsid w:val="00CA7425"/>
    <w:rsid w:val="00CB02DC"/>
    <w:rsid w:val="00CB0505"/>
    <w:rsid w:val="00CB21BD"/>
    <w:rsid w:val="00CC01A0"/>
    <w:rsid w:val="00CC2869"/>
    <w:rsid w:val="00CC302D"/>
    <w:rsid w:val="00CC33A2"/>
    <w:rsid w:val="00CC3EDB"/>
    <w:rsid w:val="00CC55C1"/>
    <w:rsid w:val="00CC5EFD"/>
    <w:rsid w:val="00CC63B5"/>
    <w:rsid w:val="00CD44F6"/>
    <w:rsid w:val="00CD4F7A"/>
    <w:rsid w:val="00CD559C"/>
    <w:rsid w:val="00CD55BD"/>
    <w:rsid w:val="00CD5745"/>
    <w:rsid w:val="00CD64A5"/>
    <w:rsid w:val="00CD6B2C"/>
    <w:rsid w:val="00CD6B88"/>
    <w:rsid w:val="00CD6E6B"/>
    <w:rsid w:val="00CD6EEE"/>
    <w:rsid w:val="00CD7939"/>
    <w:rsid w:val="00CD7F40"/>
    <w:rsid w:val="00CE03CE"/>
    <w:rsid w:val="00CE11A5"/>
    <w:rsid w:val="00CE120B"/>
    <w:rsid w:val="00CE300B"/>
    <w:rsid w:val="00CE56F2"/>
    <w:rsid w:val="00CE63C5"/>
    <w:rsid w:val="00CF4923"/>
    <w:rsid w:val="00CF5BFF"/>
    <w:rsid w:val="00CF68FC"/>
    <w:rsid w:val="00D020A9"/>
    <w:rsid w:val="00D02458"/>
    <w:rsid w:val="00D0310E"/>
    <w:rsid w:val="00D03A80"/>
    <w:rsid w:val="00D07C57"/>
    <w:rsid w:val="00D13F9B"/>
    <w:rsid w:val="00D143D9"/>
    <w:rsid w:val="00D1699D"/>
    <w:rsid w:val="00D171CE"/>
    <w:rsid w:val="00D175C3"/>
    <w:rsid w:val="00D21711"/>
    <w:rsid w:val="00D219C2"/>
    <w:rsid w:val="00D2698F"/>
    <w:rsid w:val="00D272FC"/>
    <w:rsid w:val="00D30DEB"/>
    <w:rsid w:val="00D32433"/>
    <w:rsid w:val="00D3438B"/>
    <w:rsid w:val="00D34972"/>
    <w:rsid w:val="00D35714"/>
    <w:rsid w:val="00D37C65"/>
    <w:rsid w:val="00D37E7A"/>
    <w:rsid w:val="00D406B3"/>
    <w:rsid w:val="00D4127A"/>
    <w:rsid w:val="00D45ACC"/>
    <w:rsid w:val="00D46388"/>
    <w:rsid w:val="00D465CF"/>
    <w:rsid w:val="00D46833"/>
    <w:rsid w:val="00D5069D"/>
    <w:rsid w:val="00D50967"/>
    <w:rsid w:val="00D51856"/>
    <w:rsid w:val="00D53335"/>
    <w:rsid w:val="00D543CD"/>
    <w:rsid w:val="00D563FC"/>
    <w:rsid w:val="00D571B5"/>
    <w:rsid w:val="00D60381"/>
    <w:rsid w:val="00D63A85"/>
    <w:rsid w:val="00D70698"/>
    <w:rsid w:val="00D7137C"/>
    <w:rsid w:val="00D738D2"/>
    <w:rsid w:val="00D73E5F"/>
    <w:rsid w:val="00D73FEB"/>
    <w:rsid w:val="00D74364"/>
    <w:rsid w:val="00D74B14"/>
    <w:rsid w:val="00D760ED"/>
    <w:rsid w:val="00D77C9C"/>
    <w:rsid w:val="00D82CB3"/>
    <w:rsid w:val="00D8306B"/>
    <w:rsid w:val="00D85BB9"/>
    <w:rsid w:val="00D91B5F"/>
    <w:rsid w:val="00D9207B"/>
    <w:rsid w:val="00D922C8"/>
    <w:rsid w:val="00D92B84"/>
    <w:rsid w:val="00DA07B9"/>
    <w:rsid w:val="00DA082F"/>
    <w:rsid w:val="00DA16A9"/>
    <w:rsid w:val="00DA1709"/>
    <w:rsid w:val="00DA2C87"/>
    <w:rsid w:val="00DA4F62"/>
    <w:rsid w:val="00DA6456"/>
    <w:rsid w:val="00DB2036"/>
    <w:rsid w:val="00DB2B75"/>
    <w:rsid w:val="00DB5A5E"/>
    <w:rsid w:val="00DB5C96"/>
    <w:rsid w:val="00DB6AAC"/>
    <w:rsid w:val="00DC234C"/>
    <w:rsid w:val="00DC3D51"/>
    <w:rsid w:val="00DC4625"/>
    <w:rsid w:val="00DC5F27"/>
    <w:rsid w:val="00DC66D2"/>
    <w:rsid w:val="00DD0D45"/>
    <w:rsid w:val="00DD1699"/>
    <w:rsid w:val="00DD18C4"/>
    <w:rsid w:val="00DD1D9C"/>
    <w:rsid w:val="00DD38DC"/>
    <w:rsid w:val="00DD45E8"/>
    <w:rsid w:val="00DD5429"/>
    <w:rsid w:val="00DD6B68"/>
    <w:rsid w:val="00DD6B8A"/>
    <w:rsid w:val="00DE2B72"/>
    <w:rsid w:val="00DE49C6"/>
    <w:rsid w:val="00DE5396"/>
    <w:rsid w:val="00DE5F4A"/>
    <w:rsid w:val="00DE6339"/>
    <w:rsid w:val="00DE73B0"/>
    <w:rsid w:val="00DF003D"/>
    <w:rsid w:val="00DF1F9A"/>
    <w:rsid w:val="00DF2243"/>
    <w:rsid w:val="00DF2895"/>
    <w:rsid w:val="00DF2F15"/>
    <w:rsid w:val="00DF323F"/>
    <w:rsid w:val="00DF4397"/>
    <w:rsid w:val="00DF459F"/>
    <w:rsid w:val="00DF4C4E"/>
    <w:rsid w:val="00DF5826"/>
    <w:rsid w:val="00E01B87"/>
    <w:rsid w:val="00E03C33"/>
    <w:rsid w:val="00E03EC0"/>
    <w:rsid w:val="00E048C4"/>
    <w:rsid w:val="00E067A6"/>
    <w:rsid w:val="00E1106B"/>
    <w:rsid w:val="00E1196B"/>
    <w:rsid w:val="00E11B66"/>
    <w:rsid w:val="00E138D9"/>
    <w:rsid w:val="00E13D5E"/>
    <w:rsid w:val="00E153C6"/>
    <w:rsid w:val="00E21173"/>
    <w:rsid w:val="00E227B2"/>
    <w:rsid w:val="00E2398C"/>
    <w:rsid w:val="00E2466C"/>
    <w:rsid w:val="00E2695B"/>
    <w:rsid w:val="00E27576"/>
    <w:rsid w:val="00E3061F"/>
    <w:rsid w:val="00E30E06"/>
    <w:rsid w:val="00E3177B"/>
    <w:rsid w:val="00E32799"/>
    <w:rsid w:val="00E33B89"/>
    <w:rsid w:val="00E35335"/>
    <w:rsid w:val="00E3616B"/>
    <w:rsid w:val="00E40B46"/>
    <w:rsid w:val="00E40FBE"/>
    <w:rsid w:val="00E4143D"/>
    <w:rsid w:val="00E42958"/>
    <w:rsid w:val="00E44CA8"/>
    <w:rsid w:val="00E46040"/>
    <w:rsid w:val="00E503E1"/>
    <w:rsid w:val="00E519A0"/>
    <w:rsid w:val="00E5694A"/>
    <w:rsid w:val="00E57682"/>
    <w:rsid w:val="00E600E8"/>
    <w:rsid w:val="00E63412"/>
    <w:rsid w:val="00E63803"/>
    <w:rsid w:val="00E64C9E"/>
    <w:rsid w:val="00E724CA"/>
    <w:rsid w:val="00E72EBE"/>
    <w:rsid w:val="00E72F6D"/>
    <w:rsid w:val="00E73310"/>
    <w:rsid w:val="00E73588"/>
    <w:rsid w:val="00E758F0"/>
    <w:rsid w:val="00E82A20"/>
    <w:rsid w:val="00E837A1"/>
    <w:rsid w:val="00E848CA"/>
    <w:rsid w:val="00E87AE9"/>
    <w:rsid w:val="00E91C6C"/>
    <w:rsid w:val="00E92125"/>
    <w:rsid w:val="00E932E5"/>
    <w:rsid w:val="00EA18B1"/>
    <w:rsid w:val="00EA2F09"/>
    <w:rsid w:val="00EA36DA"/>
    <w:rsid w:val="00EA7CBE"/>
    <w:rsid w:val="00EB01F3"/>
    <w:rsid w:val="00EB0520"/>
    <w:rsid w:val="00EB107E"/>
    <w:rsid w:val="00EB1B99"/>
    <w:rsid w:val="00EB3473"/>
    <w:rsid w:val="00EB6829"/>
    <w:rsid w:val="00EB724C"/>
    <w:rsid w:val="00EB7744"/>
    <w:rsid w:val="00EC007F"/>
    <w:rsid w:val="00EC1E53"/>
    <w:rsid w:val="00EC3351"/>
    <w:rsid w:val="00EC479C"/>
    <w:rsid w:val="00EC5844"/>
    <w:rsid w:val="00EC5944"/>
    <w:rsid w:val="00EC5B14"/>
    <w:rsid w:val="00EC5BCF"/>
    <w:rsid w:val="00EC6E8C"/>
    <w:rsid w:val="00EC73E5"/>
    <w:rsid w:val="00ED1153"/>
    <w:rsid w:val="00ED3706"/>
    <w:rsid w:val="00ED371A"/>
    <w:rsid w:val="00ED4C12"/>
    <w:rsid w:val="00ED4DF4"/>
    <w:rsid w:val="00ED5528"/>
    <w:rsid w:val="00ED5E17"/>
    <w:rsid w:val="00ED7716"/>
    <w:rsid w:val="00EE3FF5"/>
    <w:rsid w:val="00EE55E6"/>
    <w:rsid w:val="00EE6399"/>
    <w:rsid w:val="00EE77C2"/>
    <w:rsid w:val="00EF0EBB"/>
    <w:rsid w:val="00EF3834"/>
    <w:rsid w:val="00EF3E20"/>
    <w:rsid w:val="00EF588A"/>
    <w:rsid w:val="00EF76AF"/>
    <w:rsid w:val="00EF78D7"/>
    <w:rsid w:val="00EF7C68"/>
    <w:rsid w:val="00F04618"/>
    <w:rsid w:val="00F05371"/>
    <w:rsid w:val="00F0633C"/>
    <w:rsid w:val="00F06E78"/>
    <w:rsid w:val="00F0794E"/>
    <w:rsid w:val="00F11CF1"/>
    <w:rsid w:val="00F13370"/>
    <w:rsid w:val="00F13C13"/>
    <w:rsid w:val="00F14041"/>
    <w:rsid w:val="00F15671"/>
    <w:rsid w:val="00F1587E"/>
    <w:rsid w:val="00F165D7"/>
    <w:rsid w:val="00F169B1"/>
    <w:rsid w:val="00F2005B"/>
    <w:rsid w:val="00F21394"/>
    <w:rsid w:val="00F22644"/>
    <w:rsid w:val="00F23EC5"/>
    <w:rsid w:val="00F23F34"/>
    <w:rsid w:val="00F2564C"/>
    <w:rsid w:val="00F262F3"/>
    <w:rsid w:val="00F307E7"/>
    <w:rsid w:val="00F31888"/>
    <w:rsid w:val="00F347B4"/>
    <w:rsid w:val="00F36931"/>
    <w:rsid w:val="00F40F44"/>
    <w:rsid w:val="00F42A0A"/>
    <w:rsid w:val="00F42C6A"/>
    <w:rsid w:val="00F42FFB"/>
    <w:rsid w:val="00F43652"/>
    <w:rsid w:val="00F445F9"/>
    <w:rsid w:val="00F462AC"/>
    <w:rsid w:val="00F479B4"/>
    <w:rsid w:val="00F549F8"/>
    <w:rsid w:val="00F5793F"/>
    <w:rsid w:val="00F62295"/>
    <w:rsid w:val="00F62F88"/>
    <w:rsid w:val="00F63857"/>
    <w:rsid w:val="00F659A4"/>
    <w:rsid w:val="00F66296"/>
    <w:rsid w:val="00F715EE"/>
    <w:rsid w:val="00F738C8"/>
    <w:rsid w:val="00F76237"/>
    <w:rsid w:val="00F771DB"/>
    <w:rsid w:val="00F77C2F"/>
    <w:rsid w:val="00F77C30"/>
    <w:rsid w:val="00F83115"/>
    <w:rsid w:val="00F83A3F"/>
    <w:rsid w:val="00F8539C"/>
    <w:rsid w:val="00F926D7"/>
    <w:rsid w:val="00F975B2"/>
    <w:rsid w:val="00FA2C53"/>
    <w:rsid w:val="00FA3E2F"/>
    <w:rsid w:val="00FA47DB"/>
    <w:rsid w:val="00FA49A6"/>
    <w:rsid w:val="00FA566B"/>
    <w:rsid w:val="00FA5F21"/>
    <w:rsid w:val="00FA63DF"/>
    <w:rsid w:val="00FA7E6F"/>
    <w:rsid w:val="00FB0101"/>
    <w:rsid w:val="00FB0878"/>
    <w:rsid w:val="00FB1AFB"/>
    <w:rsid w:val="00FB3254"/>
    <w:rsid w:val="00FB65DA"/>
    <w:rsid w:val="00FB6947"/>
    <w:rsid w:val="00FB7A93"/>
    <w:rsid w:val="00FC0CF1"/>
    <w:rsid w:val="00FC3A73"/>
    <w:rsid w:val="00FC3BE1"/>
    <w:rsid w:val="00FC4E42"/>
    <w:rsid w:val="00FC7913"/>
    <w:rsid w:val="00FD13F1"/>
    <w:rsid w:val="00FD1718"/>
    <w:rsid w:val="00FD29E1"/>
    <w:rsid w:val="00FD542E"/>
    <w:rsid w:val="00FD61D7"/>
    <w:rsid w:val="00FD7824"/>
    <w:rsid w:val="00FE2DBC"/>
    <w:rsid w:val="00FE697D"/>
    <w:rsid w:val="00FF3A7A"/>
    <w:rsid w:val="00FF66B2"/>
    <w:rsid w:val="00FF73E8"/>
    <w:rsid w:val="06527A85"/>
    <w:rsid w:val="0FEFE1AD"/>
    <w:rsid w:val="129C59BE"/>
    <w:rsid w:val="12D4FF4B"/>
    <w:rsid w:val="15B7F8E0"/>
    <w:rsid w:val="193B07B9"/>
    <w:rsid w:val="19C4937F"/>
    <w:rsid w:val="267D678B"/>
    <w:rsid w:val="27029784"/>
    <w:rsid w:val="28DE25BD"/>
    <w:rsid w:val="2C2B28A2"/>
    <w:rsid w:val="3028ABE1"/>
    <w:rsid w:val="42A71BAD"/>
    <w:rsid w:val="45251511"/>
    <w:rsid w:val="4E7C9E91"/>
    <w:rsid w:val="50EDFF90"/>
    <w:rsid w:val="5609EC1B"/>
    <w:rsid w:val="57825263"/>
    <w:rsid w:val="613C3AB6"/>
    <w:rsid w:val="62D589A8"/>
    <w:rsid w:val="65E82C2A"/>
    <w:rsid w:val="69C53497"/>
    <w:rsid w:val="6E708F3C"/>
    <w:rsid w:val="6EC48421"/>
    <w:rsid w:val="729996C2"/>
    <w:rsid w:val="7AD58E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45805"/>
  <w15:chartTrackingRefBased/>
  <w15:docId w15:val="{C600F3CC-BA4A-4F91-BB1F-B689AC154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165"/>
    <w:pPr>
      <w:spacing w:after="0" w:line="240" w:lineRule="auto"/>
    </w:pPr>
    <w:rPr>
      <w:rFonts w:ascii="Verdana" w:eastAsiaTheme="minorEastAsia" w:hAnsi="Verdana"/>
      <w:sz w:val="24"/>
      <w:szCs w:val="24"/>
    </w:rPr>
  </w:style>
  <w:style w:type="paragraph" w:styleId="Heading1">
    <w:name w:val="heading 1"/>
    <w:basedOn w:val="Normal"/>
    <w:next w:val="Normal"/>
    <w:link w:val="Heading1Char"/>
    <w:uiPriority w:val="9"/>
    <w:qFormat/>
    <w:rsid w:val="005F0165"/>
    <w:pPr>
      <w:keepNext/>
      <w:keepLines/>
      <w:spacing w:before="240"/>
      <w:outlineLvl w:val="0"/>
    </w:pPr>
    <w:rPr>
      <w:rFonts w:eastAsiaTheme="majorEastAsia" w:cstheme="majorBidi"/>
      <w:b/>
      <w:color w:val="77328A"/>
      <w:sz w:val="30"/>
      <w:szCs w:val="32"/>
    </w:rPr>
  </w:style>
  <w:style w:type="paragraph" w:styleId="Heading2">
    <w:name w:val="heading 2"/>
    <w:basedOn w:val="Normal"/>
    <w:next w:val="Normal"/>
    <w:link w:val="Heading2Char"/>
    <w:uiPriority w:val="9"/>
    <w:unhideWhenUsed/>
    <w:qFormat/>
    <w:rsid w:val="005F0165"/>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99741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165"/>
    <w:rPr>
      <w:rFonts w:ascii="Verdana" w:eastAsiaTheme="majorEastAsia" w:hAnsi="Verdana" w:cstheme="majorBidi"/>
      <w:b/>
      <w:color w:val="77328A"/>
      <w:sz w:val="30"/>
      <w:szCs w:val="32"/>
    </w:rPr>
  </w:style>
  <w:style w:type="character" w:customStyle="1" w:styleId="Heading2Char">
    <w:name w:val="Heading 2 Char"/>
    <w:basedOn w:val="DefaultParagraphFont"/>
    <w:link w:val="Heading2"/>
    <w:uiPriority w:val="9"/>
    <w:rsid w:val="005F0165"/>
    <w:rPr>
      <w:rFonts w:ascii="Verdana" w:eastAsiaTheme="majorEastAsia" w:hAnsi="Verdana" w:cstheme="majorBidi"/>
      <w:b/>
      <w:sz w:val="24"/>
      <w:szCs w:val="26"/>
    </w:rPr>
  </w:style>
  <w:style w:type="character" w:styleId="Hyperlink">
    <w:name w:val="Hyperlink"/>
    <w:basedOn w:val="DefaultParagraphFont"/>
    <w:uiPriority w:val="99"/>
    <w:unhideWhenUsed/>
    <w:rsid w:val="005F0165"/>
    <w:rPr>
      <w:color w:val="0563C1" w:themeColor="hyperlink"/>
      <w:u w:val="single"/>
    </w:rPr>
  </w:style>
  <w:style w:type="paragraph" w:styleId="TOC1">
    <w:name w:val="toc 1"/>
    <w:basedOn w:val="Normal"/>
    <w:next w:val="Normal"/>
    <w:autoRedefine/>
    <w:uiPriority w:val="39"/>
    <w:unhideWhenUsed/>
    <w:rsid w:val="00A941A8"/>
    <w:pPr>
      <w:tabs>
        <w:tab w:val="left" w:pos="660"/>
        <w:tab w:val="right" w:leader="dot" w:pos="9848"/>
      </w:tabs>
      <w:spacing w:after="100"/>
    </w:pPr>
    <w:rPr>
      <w:b/>
      <w:noProof/>
    </w:rPr>
  </w:style>
  <w:style w:type="paragraph" w:styleId="TOC2">
    <w:name w:val="toc 2"/>
    <w:basedOn w:val="Normal"/>
    <w:next w:val="Normal"/>
    <w:autoRedefine/>
    <w:uiPriority w:val="39"/>
    <w:unhideWhenUsed/>
    <w:rsid w:val="00A14BF8"/>
    <w:pPr>
      <w:tabs>
        <w:tab w:val="right" w:leader="dot" w:pos="9016"/>
      </w:tabs>
      <w:spacing w:after="100"/>
      <w:ind w:left="240"/>
    </w:p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Char,Char,Footnote Quot"/>
    <w:basedOn w:val="Normal"/>
    <w:link w:val="FootnoteTextChar"/>
    <w:uiPriority w:val="99"/>
    <w:unhideWhenUsed/>
    <w:qFormat/>
    <w:rsid w:val="005F0165"/>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Char Char,Char Char"/>
    <w:basedOn w:val="DefaultParagraphFont"/>
    <w:link w:val="FootnoteText"/>
    <w:uiPriority w:val="99"/>
    <w:rsid w:val="005F0165"/>
    <w:rPr>
      <w:rFonts w:ascii="Verdana" w:eastAsiaTheme="minorEastAsia" w:hAnsi="Verdana"/>
      <w:sz w:val="24"/>
      <w:szCs w:val="24"/>
    </w:rPr>
  </w:style>
  <w:style w:type="paragraph" w:styleId="Subtitle">
    <w:name w:val="Subtitle"/>
    <w:basedOn w:val="Normal"/>
    <w:next w:val="Normal"/>
    <w:link w:val="SubtitleChar"/>
    <w:uiPriority w:val="11"/>
    <w:qFormat/>
    <w:rsid w:val="005F0165"/>
    <w:pPr>
      <w:spacing w:after="160"/>
    </w:pPr>
    <w:rPr>
      <w:b/>
      <w:spacing w:val="15"/>
      <w:szCs w:val="22"/>
    </w:rPr>
  </w:style>
  <w:style w:type="character" w:customStyle="1" w:styleId="SubtitleChar">
    <w:name w:val="Subtitle Char"/>
    <w:basedOn w:val="DefaultParagraphFont"/>
    <w:link w:val="Subtitle"/>
    <w:uiPriority w:val="11"/>
    <w:rsid w:val="005F0165"/>
    <w:rPr>
      <w:rFonts w:ascii="Verdana" w:eastAsiaTheme="minorEastAsia" w:hAnsi="Verdana"/>
      <w:b/>
      <w:spacing w:val="15"/>
      <w:sz w:val="24"/>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Maire,L"/>
    <w:basedOn w:val="Normal"/>
    <w:link w:val="ListParagraphChar"/>
    <w:uiPriority w:val="34"/>
    <w:qFormat/>
    <w:rsid w:val="005F0165"/>
    <w:pPr>
      <w:ind w:left="720"/>
      <w:contextualSpacing/>
    </w:pPr>
  </w:style>
  <w:style w:type="paragraph" w:styleId="Quote">
    <w:name w:val="Quote"/>
    <w:basedOn w:val="Normal"/>
    <w:next w:val="Normal"/>
    <w:link w:val="QuoteChar"/>
    <w:uiPriority w:val="29"/>
    <w:qFormat/>
    <w:rsid w:val="009542A3"/>
    <w:pPr>
      <w:spacing w:line="288" w:lineRule="auto"/>
      <w:ind w:left="862" w:right="862"/>
    </w:pPr>
    <w:rPr>
      <w:iCs/>
    </w:rPr>
  </w:style>
  <w:style w:type="character" w:customStyle="1" w:styleId="QuoteChar">
    <w:name w:val="Quote Char"/>
    <w:basedOn w:val="DefaultParagraphFont"/>
    <w:link w:val="Quote"/>
    <w:uiPriority w:val="29"/>
    <w:rsid w:val="009542A3"/>
    <w:rPr>
      <w:rFonts w:ascii="Verdana" w:eastAsiaTheme="minorEastAsia" w:hAnsi="Verdana"/>
      <w:iCs/>
      <w:sz w:val="24"/>
      <w:szCs w:val="24"/>
    </w:rPr>
  </w:style>
  <w:style w:type="paragraph" w:styleId="TOCHeading">
    <w:name w:val="TOC Heading"/>
    <w:basedOn w:val="Heading1"/>
    <w:next w:val="Normal"/>
    <w:uiPriority w:val="39"/>
    <w:unhideWhenUsed/>
    <w:qFormat/>
    <w:rsid w:val="005F0165"/>
    <w:pPr>
      <w:spacing w:line="256" w:lineRule="auto"/>
      <w:outlineLvl w:val="9"/>
    </w:pPr>
    <w:rPr>
      <w:rFonts w:asciiTheme="majorHAnsi" w:hAnsiTheme="majorHAnsi"/>
      <w:b w:val="0"/>
      <w:color w:val="2F5496" w:themeColor="accent1" w:themeShade="BF"/>
      <w:sz w:val="32"/>
      <w:lang w:val="en-US"/>
    </w:rPr>
  </w:style>
  <w:style w:type="paragraph" w:customStyle="1" w:styleId="BasicParagraph">
    <w:name w:val="[Basic Paragraph]"/>
    <w:basedOn w:val="Normal"/>
    <w:uiPriority w:val="99"/>
    <w:rsid w:val="005F0165"/>
    <w:pPr>
      <w:widowControl w:val="0"/>
      <w:autoSpaceDE w:val="0"/>
      <w:autoSpaceDN w:val="0"/>
      <w:adjustRightInd w:val="0"/>
      <w:spacing w:line="288" w:lineRule="auto"/>
    </w:pPr>
    <w:rPr>
      <w:rFonts w:ascii="MinionPro-Regular" w:hAnsi="MinionPro-Regular" w:cs="MinionPro-Regular"/>
      <w:color w:val="000000"/>
    </w:rPr>
  </w:style>
  <w:style w:type="paragraph" w:customStyle="1" w:styleId="Default">
    <w:name w:val="Default"/>
    <w:rsid w:val="005F0165"/>
    <w:pPr>
      <w:widowControl w:val="0"/>
      <w:autoSpaceDE w:val="0"/>
      <w:autoSpaceDN w:val="0"/>
      <w:adjustRightInd w:val="0"/>
      <w:spacing w:after="0" w:line="240" w:lineRule="auto"/>
    </w:pPr>
    <w:rPr>
      <w:rFonts w:ascii="Verdana" w:eastAsiaTheme="minorEastAsia" w:hAnsi="Verdana" w:cs="Verdana"/>
      <w:color w:val="000000"/>
      <w:sz w:val="24"/>
      <w:szCs w:val="24"/>
      <w:lang w:val="en-US"/>
    </w:rPr>
  </w:style>
  <w:style w:type="paragraph" w:customStyle="1" w:styleId="NIHRCFootnotes">
    <w:name w:val="NIHRC Footnotes"/>
    <w:basedOn w:val="Normal"/>
    <w:qFormat/>
    <w:rsid w:val="005F0165"/>
    <w:pPr>
      <w:tabs>
        <w:tab w:val="left" w:pos="284"/>
      </w:tabs>
    </w:pPr>
    <w:rPr>
      <w:rFonts w:cs="Arial"/>
      <w:color w:val="77328A"/>
      <w:sz w:val="16"/>
      <w:szCs w:val="16"/>
    </w:rPr>
  </w:style>
  <w:style w:type="character" w:styleId="FootnoteReference">
    <w:name w:val="footnote reference"/>
    <w:aliases w:val="4_G Char Char,Footnote Reference1 Char Char,Footnotes refss Char Char,ftref Char Char,BVI fnr Char Char,BVI fnr Car Car Char Char,BVI fnr Car Char Char,BVI fnr Car Car Car Car Char Char1,BVI fnr Char Car Car Car Char Char,Black,Nota"/>
    <w:basedOn w:val="DefaultParagraphFont"/>
    <w:link w:val="4GChar"/>
    <w:uiPriority w:val="99"/>
    <w:unhideWhenUsed/>
    <w:qFormat/>
    <w:rsid w:val="005F0165"/>
    <w:rPr>
      <w:vertAlign w:val="superscript"/>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5F0165"/>
    <w:pPr>
      <w:spacing w:after="160" w:line="240" w:lineRule="exact"/>
      <w:jc w:val="both"/>
    </w:pPr>
    <w:rPr>
      <w:rFonts w:asciiTheme="minorHAnsi" w:eastAsiaTheme="minorHAnsi" w:hAnsiTheme="minorHAnsi"/>
      <w:sz w:val="22"/>
      <w:szCs w:val="22"/>
      <w:vertAlign w:val="superscript"/>
    </w:rPr>
  </w:style>
  <w:style w:type="paragraph" w:customStyle="1" w:styleId="footnotedescription">
    <w:name w:val="footnote description"/>
    <w:next w:val="Normal"/>
    <w:link w:val="footnotedescriptionChar"/>
    <w:hidden/>
    <w:rsid w:val="00E758F0"/>
    <w:pPr>
      <w:spacing w:after="0"/>
    </w:pPr>
    <w:rPr>
      <w:rFonts w:ascii="Verdana" w:eastAsia="Times New Roman" w:hAnsi="Verdana" w:cs="Verdana"/>
      <w:color w:val="77328A"/>
      <w:sz w:val="16"/>
      <w:lang w:eastAsia="en-GB"/>
    </w:rPr>
  </w:style>
  <w:style w:type="character" w:customStyle="1" w:styleId="footnotedescriptionChar">
    <w:name w:val="footnote description Char"/>
    <w:link w:val="footnotedescription"/>
    <w:locked/>
    <w:rsid w:val="00E758F0"/>
    <w:rPr>
      <w:rFonts w:ascii="Verdana" w:eastAsia="Times New Roman" w:hAnsi="Verdana" w:cs="Verdana"/>
      <w:color w:val="77328A"/>
      <w:sz w:val="16"/>
      <w:lang w:eastAsia="en-GB"/>
    </w:rPr>
  </w:style>
  <w:style w:type="character" w:customStyle="1" w:styleId="footnotemark">
    <w:name w:val="footnote mark"/>
    <w:hidden/>
    <w:rsid w:val="00E758F0"/>
    <w:rPr>
      <w:rFonts w:ascii="Verdana" w:eastAsia="Times New Roman" w:hAnsi="Verdana"/>
      <w:color w:val="77328A"/>
      <w:sz w:val="16"/>
      <w:vertAlign w:val="superscript"/>
    </w:rPr>
  </w:style>
  <w:style w:type="paragraph" w:styleId="Header">
    <w:name w:val="header"/>
    <w:basedOn w:val="Normal"/>
    <w:link w:val="HeaderChar"/>
    <w:uiPriority w:val="99"/>
    <w:unhideWhenUsed/>
    <w:rsid w:val="00515670"/>
    <w:pPr>
      <w:tabs>
        <w:tab w:val="center" w:pos="4513"/>
        <w:tab w:val="right" w:pos="9026"/>
      </w:tabs>
    </w:pPr>
  </w:style>
  <w:style w:type="character" w:customStyle="1" w:styleId="HeaderChar">
    <w:name w:val="Header Char"/>
    <w:basedOn w:val="DefaultParagraphFont"/>
    <w:link w:val="Header"/>
    <w:uiPriority w:val="99"/>
    <w:rsid w:val="00515670"/>
    <w:rPr>
      <w:rFonts w:ascii="Verdana" w:eastAsiaTheme="minorEastAsia" w:hAnsi="Verdana"/>
      <w:sz w:val="24"/>
      <w:szCs w:val="24"/>
    </w:rPr>
  </w:style>
  <w:style w:type="paragraph" w:styleId="Footer">
    <w:name w:val="footer"/>
    <w:basedOn w:val="Normal"/>
    <w:link w:val="FooterChar"/>
    <w:uiPriority w:val="99"/>
    <w:unhideWhenUsed/>
    <w:rsid w:val="00515670"/>
    <w:pPr>
      <w:tabs>
        <w:tab w:val="center" w:pos="4513"/>
        <w:tab w:val="right" w:pos="9026"/>
      </w:tabs>
    </w:pPr>
  </w:style>
  <w:style w:type="character" w:customStyle="1" w:styleId="FooterChar">
    <w:name w:val="Footer Char"/>
    <w:basedOn w:val="DefaultParagraphFont"/>
    <w:link w:val="Footer"/>
    <w:uiPriority w:val="99"/>
    <w:rsid w:val="00515670"/>
    <w:rPr>
      <w:rFonts w:ascii="Verdana" w:eastAsiaTheme="minorEastAsia" w:hAnsi="Verdana"/>
      <w:sz w:val="24"/>
      <w:szCs w:val="24"/>
    </w:rPr>
  </w:style>
  <w:style w:type="paragraph" w:styleId="NormalWeb">
    <w:name w:val="Normal (Web)"/>
    <w:basedOn w:val="Normal"/>
    <w:uiPriority w:val="99"/>
    <w:unhideWhenUsed/>
    <w:rsid w:val="0018746D"/>
    <w:pPr>
      <w:spacing w:before="100" w:beforeAutospacing="1" w:after="100" w:afterAutospacing="1"/>
    </w:pPr>
    <w:rPr>
      <w:rFonts w:ascii="Times New Roman" w:eastAsia="Times New Roman" w:hAnsi="Times New Roman" w:cs="Times New Roman"/>
      <w:lang w:eastAsia="en-GB"/>
    </w:rPr>
  </w:style>
  <w:style w:type="character" w:customStyle="1" w:styleId="normal10">
    <w:name w:val="normal10"/>
    <w:basedOn w:val="DefaultParagraphFont"/>
    <w:rsid w:val="0018746D"/>
  </w:style>
  <w:style w:type="character" w:styleId="CommentReference">
    <w:name w:val="annotation reference"/>
    <w:basedOn w:val="DefaultParagraphFont"/>
    <w:uiPriority w:val="99"/>
    <w:semiHidden/>
    <w:unhideWhenUsed/>
    <w:rsid w:val="003E2BD8"/>
    <w:rPr>
      <w:sz w:val="16"/>
      <w:szCs w:val="16"/>
    </w:rPr>
  </w:style>
  <w:style w:type="paragraph" w:styleId="CommentText">
    <w:name w:val="annotation text"/>
    <w:basedOn w:val="Normal"/>
    <w:link w:val="CommentTextChar"/>
    <w:uiPriority w:val="99"/>
    <w:unhideWhenUsed/>
    <w:rsid w:val="003E2BD8"/>
    <w:rPr>
      <w:sz w:val="20"/>
      <w:szCs w:val="20"/>
    </w:rPr>
  </w:style>
  <w:style w:type="character" w:customStyle="1" w:styleId="CommentTextChar">
    <w:name w:val="Comment Text Char"/>
    <w:basedOn w:val="DefaultParagraphFont"/>
    <w:link w:val="CommentText"/>
    <w:uiPriority w:val="99"/>
    <w:rsid w:val="003E2BD8"/>
    <w:rPr>
      <w:rFonts w:ascii="Verdana" w:eastAsiaTheme="minorEastAsia" w:hAnsi="Verdana"/>
      <w:sz w:val="20"/>
      <w:szCs w:val="20"/>
    </w:rPr>
  </w:style>
  <w:style w:type="paragraph" w:styleId="CommentSubject">
    <w:name w:val="annotation subject"/>
    <w:basedOn w:val="CommentText"/>
    <w:next w:val="CommentText"/>
    <w:link w:val="CommentSubjectChar"/>
    <w:uiPriority w:val="99"/>
    <w:semiHidden/>
    <w:unhideWhenUsed/>
    <w:rsid w:val="003E2BD8"/>
    <w:rPr>
      <w:b/>
      <w:bCs/>
    </w:rPr>
  </w:style>
  <w:style w:type="character" w:customStyle="1" w:styleId="CommentSubjectChar">
    <w:name w:val="Comment Subject Char"/>
    <w:basedOn w:val="CommentTextChar"/>
    <w:link w:val="CommentSubject"/>
    <w:uiPriority w:val="99"/>
    <w:semiHidden/>
    <w:rsid w:val="003E2BD8"/>
    <w:rPr>
      <w:rFonts w:ascii="Verdana" w:eastAsiaTheme="minorEastAsia" w:hAnsi="Verdana"/>
      <w:b/>
      <w:bCs/>
      <w:sz w:val="20"/>
      <w:szCs w:val="20"/>
    </w:rPr>
  </w:style>
  <w:style w:type="paragraph" w:styleId="BalloonText">
    <w:name w:val="Balloon Text"/>
    <w:basedOn w:val="Normal"/>
    <w:link w:val="BalloonTextChar"/>
    <w:uiPriority w:val="99"/>
    <w:semiHidden/>
    <w:unhideWhenUsed/>
    <w:rsid w:val="003E2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BD8"/>
    <w:rPr>
      <w:rFonts w:ascii="Segoe UI" w:eastAsiaTheme="minorEastAsia" w:hAnsi="Segoe UI" w:cs="Segoe UI"/>
      <w:sz w:val="18"/>
      <w:szCs w:val="18"/>
    </w:rPr>
  </w:style>
  <w:style w:type="character" w:styleId="Emphasis">
    <w:name w:val="Emphasis"/>
    <w:basedOn w:val="DefaultParagraphFont"/>
    <w:uiPriority w:val="20"/>
    <w:qFormat/>
    <w:rsid w:val="00797385"/>
    <w:rPr>
      <w:i/>
      <w:iCs/>
    </w:rPr>
  </w:style>
  <w:style w:type="character" w:customStyle="1" w:styleId="UnresolvedMention1">
    <w:name w:val="Unresolved Mention1"/>
    <w:basedOn w:val="DefaultParagraphFont"/>
    <w:uiPriority w:val="99"/>
    <w:semiHidden/>
    <w:unhideWhenUsed/>
    <w:rsid w:val="00AF4039"/>
    <w:rPr>
      <w:color w:val="605E5C"/>
      <w:shd w:val="clear" w:color="auto" w:fill="E1DFDD"/>
    </w:rPr>
  </w:style>
  <w:style w:type="paragraph" w:styleId="Revision">
    <w:name w:val="Revision"/>
    <w:hidden/>
    <w:uiPriority w:val="99"/>
    <w:semiHidden/>
    <w:rsid w:val="004E12E4"/>
    <w:pPr>
      <w:spacing w:after="0" w:line="240" w:lineRule="auto"/>
    </w:pPr>
    <w:rPr>
      <w:rFonts w:ascii="Verdana" w:eastAsiaTheme="minorEastAsia" w:hAnsi="Verdana"/>
      <w:sz w:val="24"/>
      <w:szCs w:val="24"/>
    </w:rPr>
  </w:style>
  <w:style w:type="character" w:customStyle="1" w:styleId="Heading3Char">
    <w:name w:val="Heading 3 Char"/>
    <w:basedOn w:val="DefaultParagraphFont"/>
    <w:link w:val="Heading3"/>
    <w:uiPriority w:val="9"/>
    <w:semiHidden/>
    <w:rsid w:val="0099741A"/>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34"/>
    <w:qFormat/>
    <w:rsid w:val="00DB2036"/>
    <w:rPr>
      <w:rFonts w:ascii="Verdana" w:eastAsiaTheme="minorEastAsia" w:hAnsi="Verdana"/>
      <w:sz w:val="24"/>
      <w:szCs w:val="24"/>
    </w:rPr>
  </w:style>
  <w:style w:type="character" w:styleId="FollowedHyperlink">
    <w:name w:val="FollowedHyperlink"/>
    <w:basedOn w:val="DefaultParagraphFont"/>
    <w:uiPriority w:val="99"/>
    <w:semiHidden/>
    <w:unhideWhenUsed/>
    <w:rsid w:val="00542806"/>
    <w:rPr>
      <w:color w:val="954F72" w:themeColor="followedHyperlink"/>
      <w:u w:val="single"/>
    </w:rPr>
  </w:style>
  <w:style w:type="character" w:customStyle="1" w:styleId="UnresolvedMention2">
    <w:name w:val="Unresolved Mention2"/>
    <w:basedOn w:val="DefaultParagraphFont"/>
    <w:uiPriority w:val="99"/>
    <w:unhideWhenUsed/>
    <w:rsid w:val="005755BC"/>
    <w:rPr>
      <w:color w:val="605E5C"/>
      <w:shd w:val="clear" w:color="auto" w:fill="E1DFDD"/>
    </w:rPr>
  </w:style>
  <w:style w:type="character" w:customStyle="1" w:styleId="Mention1">
    <w:name w:val="Mention1"/>
    <w:basedOn w:val="DefaultParagraphFont"/>
    <w:uiPriority w:val="99"/>
    <w:unhideWhenUsed/>
    <w:rsid w:val="005755BC"/>
    <w:rPr>
      <w:color w:val="2B579A"/>
      <w:shd w:val="clear" w:color="auto" w:fill="E1DFDD"/>
    </w:rPr>
  </w:style>
  <w:style w:type="table" w:styleId="TableGrid">
    <w:name w:val="Table Grid"/>
    <w:basedOn w:val="TableNormal"/>
    <w:uiPriority w:val="59"/>
    <w:rsid w:val="00402D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2322">
      <w:bodyDiv w:val="1"/>
      <w:marLeft w:val="0"/>
      <w:marRight w:val="0"/>
      <w:marTop w:val="0"/>
      <w:marBottom w:val="0"/>
      <w:divBdr>
        <w:top w:val="none" w:sz="0" w:space="0" w:color="auto"/>
        <w:left w:val="none" w:sz="0" w:space="0" w:color="auto"/>
        <w:bottom w:val="none" w:sz="0" w:space="0" w:color="auto"/>
        <w:right w:val="none" w:sz="0" w:space="0" w:color="auto"/>
      </w:divBdr>
    </w:div>
    <w:div w:id="33509007">
      <w:bodyDiv w:val="1"/>
      <w:marLeft w:val="0"/>
      <w:marRight w:val="0"/>
      <w:marTop w:val="0"/>
      <w:marBottom w:val="0"/>
      <w:divBdr>
        <w:top w:val="none" w:sz="0" w:space="0" w:color="auto"/>
        <w:left w:val="none" w:sz="0" w:space="0" w:color="auto"/>
        <w:bottom w:val="none" w:sz="0" w:space="0" w:color="auto"/>
        <w:right w:val="none" w:sz="0" w:space="0" w:color="auto"/>
      </w:divBdr>
    </w:div>
    <w:div w:id="264191746">
      <w:bodyDiv w:val="1"/>
      <w:marLeft w:val="0"/>
      <w:marRight w:val="0"/>
      <w:marTop w:val="0"/>
      <w:marBottom w:val="0"/>
      <w:divBdr>
        <w:top w:val="none" w:sz="0" w:space="0" w:color="auto"/>
        <w:left w:val="none" w:sz="0" w:space="0" w:color="auto"/>
        <w:bottom w:val="none" w:sz="0" w:space="0" w:color="auto"/>
        <w:right w:val="none" w:sz="0" w:space="0" w:color="auto"/>
      </w:divBdr>
    </w:div>
    <w:div w:id="425922438">
      <w:bodyDiv w:val="1"/>
      <w:marLeft w:val="0"/>
      <w:marRight w:val="0"/>
      <w:marTop w:val="0"/>
      <w:marBottom w:val="0"/>
      <w:divBdr>
        <w:top w:val="none" w:sz="0" w:space="0" w:color="auto"/>
        <w:left w:val="none" w:sz="0" w:space="0" w:color="auto"/>
        <w:bottom w:val="none" w:sz="0" w:space="0" w:color="auto"/>
        <w:right w:val="none" w:sz="0" w:space="0" w:color="auto"/>
      </w:divBdr>
    </w:div>
    <w:div w:id="502859720">
      <w:bodyDiv w:val="1"/>
      <w:marLeft w:val="0"/>
      <w:marRight w:val="0"/>
      <w:marTop w:val="0"/>
      <w:marBottom w:val="0"/>
      <w:divBdr>
        <w:top w:val="none" w:sz="0" w:space="0" w:color="auto"/>
        <w:left w:val="none" w:sz="0" w:space="0" w:color="auto"/>
        <w:bottom w:val="none" w:sz="0" w:space="0" w:color="auto"/>
        <w:right w:val="none" w:sz="0" w:space="0" w:color="auto"/>
      </w:divBdr>
    </w:div>
    <w:div w:id="527833884">
      <w:bodyDiv w:val="1"/>
      <w:marLeft w:val="0"/>
      <w:marRight w:val="0"/>
      <w:marTop w:val="0"/>
      <w:marBottom w:val="0"/>
      <w:divBdr>
        <w:top w:val="none" w:sz="0" w:space="0" w:color="auto"/>
        <w:left w:val="none" w:sz="0" w:space="0" w:color="auto"/>
        <w:bottom w:val="none" w:sz="0" w:space="0" w:color="auto"/>
        <w:right w:val="none" w:sz="0" w:space="0" w:color="auto"/>
      </w:divBdr>
    </w:div>
    <w:div w:id="566764536">
      <w:bodyDiv w:val="1"/>
      <w:marLeft w:val="0"/>
      <w:marRight w:val="0"/>
      <w:marTop w:val="0"/>
      <w:marBottom w:val="0"/>
      <w:divBdr>
        <w:top w:val="none" w:sz="0" w:space="0" w:color="auto"/>
        <w:left w:val="none" w:sz="0" w:space="0" w:color="auto"/>
        <w:bottom w:val="none" w:sz="0" w:space="0" w:color="auto"/>
        <w:right w:val="none" w:sz="0" w:space="0" w:color="auto"/>
      </w:divBdr>
    </w:div>
    <w:div w:id="689914472">
      <w:bodyDiv w:val="1"/>
      <w:marLeft w:val="0"/>
      <w:marRight w:val="0"/>
      <w:marTop w:val="0"/>
      <w:marBottom w:val="0"/>
      <w:divBdr>
        <w:top w:val="none" w:sz="0" w:space="0" w:color="auto"/>
        <w:left w:val="none" w:sz="0" w:space="0" w:color="auto"/>
        <w:bottom w:val="none" w:sz="0" w:space="0" w:color="auto"/>
        <w:right w:val="none" w:sz="0" w:space="0" w:color="auto"/>
      </w:divBdr>
    </w:div>
    <w:div w:id="697201966">
      <w:bodyDiv w:val="1"/>
      <w:marLeft w:val="0"/>
      <w:marRight w:val="0"/>
      <w:marTop w:val="0"/>
      <w:marBottom w:val="0"/>
      <w:divBdr>
        <w:top w:val="none" w:sz="0" w:space="0" w:color="auto"/>
        <w:left w:val="none" w:sz="0" w:space="0" w:color="auto"/>
        <w:bottom w:val="none" w:sz="0" w:space="0" w:color="auto"/>
        <w:right w:val="none" w:sz="0" w:space="0" w:color="auto"/>
      </w:divBdr>
    </w:div>
    <w:div w:id="790392807">
      <w:bodyDiv w:val="1"/>
      <w:marLeft w:val="0"/>
      <w:marRight w:val="0"/>
      <w:marTop w:val="0"/>
      <w:marBottom w:val="0"/>
      <w:divBdr>
        <w:top w:val="none" w:sz="0" w:space="0" w:color="auto"/>
        <w:left w:val="none" w:sz="0" w:space="0" w:color="auto"/>
        <w:bottom w:val="none" w:sz="0" w:space="0" w:color="auto"/>
        <w:right w:val="none" w:sz="0" w:space="0" w:color="auto"/>
      </w:divBdr>
    </w:div>
    <w:div w:id="888763094">
      <w:bodyDiv w:val="1"/>
      <w:marLeft w:val="0"/>
      <w:marRight w:val="0"/>
      <w:marTop w:val="0"/>
      <w:marBottom w:val="0"/>
      <w:divBdr>
        <w:top w:val="none" w:sz="0" w:space="0" w:color="auto"/>
        <w:left w:val="none" w:sz="0" w:space="0" w:color="auto"/>
        <w:bottom w:val="none" w:sz="0" w:space="0" w:color="auto"/>
        <w:right w:val="none" w:sz="0" w:space="0" w:color="auto"/>
      </w:divBdr>
    </w:div>
    <w:div w:id="1124153638">
      <w:bodyDiv w:val="1"/>
      <w:marLeft w:val="0"/>
      <w:marRight w:val="0"/>
      <w:marTop w:val="0"/>
      <w:marBottom w:val="0"/>
      <w:divBdr>
        <w:top w:val="none" w:sz="0" w:space="0" w:color="auto"/>
        <w:left w:val="none" w:sz="0" w:space="0" w:color="auto"/>
        <w:bottom w:val="none" w:sz="0" w:space="0" w:color="auto"/>
        <w:right w:val="none" w:sz="0" w:space="0" w:color="auto"/>
      </w:divBdr>
    </w:div>
    <w:div w:id="1176580304">
      <w:bodyDiv w:val="1"/>
      <w:marLeft w:val="0"/>
      <w:marRight w:val="0"/>
      <w:marTop w:val="0"/>
      <w:marBottom w:val="0"/>
      <w:divBdr>
        <w:top w:val="none" w:sz="0" w:space="0" w:color="auto"/>
        <w:left w:val="none" w:sz="0" w:space="0" w:color="auto"/>
        <w:bottom w:val="none" w:sz="0" w:space="0" w:color="auto"/>
        <w:right w:val="none" w:sz="0" w:space="0" w:color="auto"/>
      </w:divBdr>
    </w:div>
    <w:div w:id="1221593668">
      <w:bodyDiv w:val="1"/>
      <w:marLeft w:val="0"/>
      <w:marRight w:val="0"/>
      <w:marTop w:val="0"/>
      <w:marBottom w:val="0"/>
      <w:divBdr>
        <w:top w:val="none" w:sz="0" w:space="0" w:color="auto"/>
        <w:left w:val="none" w:sz="0" w:space="0" w:color="auto"/>
        <w:bottom w:val="none" w:sz="0" w:space="0" w:color="auto"/>
        <w:right w:val="none" w:sz="0" w:space="0" w:color="auto"/>
      </w:divBdr>
    </w:div>
    <w:div w:id="1321498661">
      <w:bodyDiv w:val="1"/>
      <w:marLeft w:val="0"/>
      <w:marRight w:val="0"/>
      <w:marTop w:val="0"/>
      <w:marBottom w:val="0"/>
      <w:divBdr>
        <w:top w:val="none" w:sz="0" w:space="0" w:color="auto"/>
        <w:left w:val="none" w:sz="0" w:space="0" w:color="auto"/>
        <w:bottom w:val="none" w:sz="0" w:space="0" w:color="auto"/>
        <w:right w:val="none" w:sz="0" w:space="0" w:color="auto"/>
      </w:divBdr>
    </w:div>
    <w:div w:id="1434862971">
      <w:bodyDiv w:val="1"/>
      <w:marLeft w:val="0"/>
      <w:marRight w:val="0"/>
      <w:marTop w:val="0"/>
      <w:marBottom w:val="0"/>
      <w:divBdr>
        <w:top w:val="none" w:sz="0" w:space="0" w:color="auto"/>
        <w:left w:val="none" w:sz="0" w:space="0" w:color="auto"/>
        <w:bottom w:val="none" w:sz="0" w:space="0" w:color="auto"/>
        <w:right w:val="none" w:sz="0" w:space="0" w:color="auto"/>
      </w:divBdr>
    </w:div>
    <w:div w:id="1580599819">
      <w:bodyDiv w:val="1"/>
      <w:marLeft w:val="0"/>
      <w:marRight w:val="0"/>
      <w:marTop w:val="0"/>
      <w:marBottom w:val="0"/>
      <w:divBdr>
        <w:top w:val="none" w:sz="0" w:space="0" w:color="auto"/>
        <w:left w:val="none" w:sz="0" w:space="0" w:color="auto"/>
        <w:bottom w:val="none" w:sz="0" w:space="0" w:color="auto"/>
        <w:right w:val="none" w:sz="0" w:space="0" w:color="auto"/>
      </w:divBdr>
    </w:div>
    <w:div w:id="1608195337">
      <w:bodyDiv w:val="1"/>
      <w:marLeft w:val="0"/>
      <w:marRight w:val="0"/>
      <w:marTop w:val="0"/>
      <w:marBottom w:val="0"/>
      <w:divBdr>
        <w:top w:val="none" w:sz="0" w:space="0" w:color="auto"/>
        <w:left w:val="none" w:sz="0" w:space="0" w:color="auto"/>
        <w:bottom w:val="none" w:sz="0" w:space="0" w:color="auto"/>
        <w:right w:val="none" w:sz="0" w:space="0" w:color="auto"/>
      </w:divBdr>
    </w:div>
    <w:div w:id="1668245601">
      <w:bodyDiv w:val="1"/>
      <w:marLeft w:val="0"/>
      <w:marRight w:val="0"/>
      <w:marTop w:val="0"/>
      <w:marBottom w:val="0"/>
      <w:divBdr>
        <w:top w:val="none" w:sz="0" w:space="0" w:color="auto"/>
        <w:left w:val="none" w:sz="0" w:space="0" w:color="auto"/>
        <w:bottom w:val="none" w:sz="0" w:space="0" w:color="auto"/>
        <w:right w:val="none" w:sz="0" w:space="0" w:color="auto"/>
      </w:divBdr>
    </w:div>
    <w:div w:id="1750271345">
      <w:bodyDiv w:val="1"/>
      <w:marLeft w:val="0"/>
      <w:marRight w:val="0"/>
      <w:marTop w:val="0"/>
      <w:marBottom w:val="0"/>
      <w:divBdr>
        <w:top w:val="none" w:sz="0" w:space="0" w:color="auto"/>
        <w:left w:val="none" w:sz="0" w:space="0" w:color="auto"/>
        <w:bottom w:val="none" w:sz="0" w:space="0" w:color="auto"/>
        <w:right w:val="none" w:sz="0" w:space="0" w:color="auto"/>
      </w:divBdr>
    </w:div>
    <w:div w:id="1754476241">
      <w:bodyDiv w:val="1"/>
      <w:marLeft w:val="0"/>
      <w:marRight w:val="0"/>
      <w:marTop w:val="0"/>
      <w:marBottom w:val="0"/>
      <w:divBdr>
        <w:top w:val="none" w:sz="0" w:space="0" w:color="auto"/>
        <w:left w:val="none" w:sz="0" w:space="0" w:color="auto"/>
        <w:bottom w:val="none" w:sz="0" w:space="0" w:color="auto"/>
        <w:right w:val="none" w:sz="0" w:space="0" w:color="auto"/>
      </w:divBdr>
    </w:div>
    <w:div w:id="1965647592">
      <w:bodyDiv w:val="1"/>
      <w:marLeft w:val="0"/>
      <w:marRight w:val="0"/>
      <w:marTop w:val="0"/>
      <w:marBottom w:val="0"/>
      <w:divBdr>
        <w:top w:val="none" w:sz="0" w:space="0" w:color="auto"/>
        <w:left w:val="none" w:sz="0" w:space="0" w:color="auto"/>
        <w:bottom w:val="none" w:sz="0" w:space="0" w:color="auto"/>
        <w:right w:val="none" w:sz="0" w:space="0" w:color="auto"/>
      </w:divBdr>
    </w:div>
    <w:div w:id="204539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ihrc.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ihrc.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2" Type="http://schemas.openxmlformats.org/officeDocument/2006/relationships/hyperlink" Target="https://btcwarwick.files.wordpress.com/2018/03/draft-withdrawal-agreement-commentary-final.pdf" TargetMode="External"/><Relationship Id="rId1" Type="http://schemas.openxmlformats.org/officeDocument/2006/relationships/hyperlink" Target="https://nihrc.org/publication/detail/submission-to-the-independent-human-rights-act-review-teams-call-for-evi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EAF1442D806E41A5C42848B089FCF5" ma:contentTypeVersion="6" ma:contentTypeDescription="Create a new document." ma:contentTypeScope="" ma:versionID="a9ddd6db386a92378d7e385202613889">
  <xsd:schema xmlns:xsd="http://www.w3.org/2001/XMLSchema" xmlns:xs="http://www.w3.org/2001/XMLSchema" xmlns:p="http://schemas.microsoft.com/office/2006/metadata/properties" xmlns:ns2="c2d8bc27-31e2-4e77-8265-7a632d4b86ff" xmlns:ns3="8cda6e10-2191-45eb-84d3-59ca6ef47a1d" targetNamespace="http://schemas.microsoft.com/office/2006/metadata/properties" ma:root="true" ma:fieldsID="38feee03ac97717fbfe49cfed5b3713a" ns2:_="" ns3:_="">
    <xsd:import namespace="c2d8bc27-31e2-4e77-8265-7a632d4b86ff"/>
    <xsd:import namespace="8cda6e10-2191-45eb-84d3-59ca6ef47a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8bc27-31e2-4e77-8265-7a632d4b8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da6e10-2191-45eb-84d3-59ca6ef47a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cda6e10-2191-45eb-84d3-59ca6ef47a1d">
      <UserInfo>
        <DisplayName>Claire McCann</DisplayName>
        <AccountId>10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39362-8686-4A22-B9B9-81474151B203}">
  <ds:schemaRefs>
    <ds:schemaRef ds:uri="http://schemas.microsoft.com/sharepoint/v3/contenttype/forms"/>
  </ds:schemaRefs>
</ds:datastoreItem>
</file>

<file path=customXml/itemProps2.xml><?xml version="1.0" encoding="utf-8"?>
<ds:datastoreItem xmlns:ds="http://schemas.openxmlformats.org/officeDocument/2006/customXml" ds:itemID="{953D3FD3-C94B-4FEB-BB29-702D4B374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8bc27-31e2-4e77-8265-7a632d4b86ff"/>
    <ds:schemaRef ds:uri="8cda6e10-2191-45eb-84d3-59ca6ef47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93E729-C853-48AE-8421-1D85EB3FBDEB}">
  <ds:schemaRefs>
    <ds:schemaRef ds:uri="http://schemas.microsoft.com/office/2006/metadata/properties"/>
    <ds:schemaRef ds:uri="http://schemas.microsoft.com/office/infopath/2007/PartnerControls"/>
    <ds:schemaRef ds:uri="8cda6e10-2191-45eb-84d3-59ca6ef47a1d"/>
  </ds:schemaRefs>
</ds:datastoreItem>
</file>

<file path=customXml/itemProps4.xml><?xml version="1.0" encoding="utf-8"?>
<ds:datastoreItem xmlns:ds="http://schemas.openxmlformats.org/officeDocument/2006/customXml" ds:itemID="{C844A749-4CC8-4897-8471-DA660367D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6138</Words>
  <Characters>34989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41045</CharactersWithSpaces>
  <SharedDoc>false</SharedDoc>
  <HLinks>
    <vt:vector size="66" baseType="variant">
      <vt:variant>
        <vt:i4>6946881</vt:i4>
      </vt:variant>
      <vt:variant>
        <vt:i4>48</vt:i4>
      </vt:variant>
      <vt:variant>
        <vt:i4>0</vt:i4>
      </vt:variant>
      <vt:variant>
        <vt:i4>5</vt:i4>
      </vt:variant>
      <vt:variant>
        <vt:lpwstr>mailto:info@nihrc.org</vt:lpwstr>
      </vt:variant>
      <vt:variant>
        <vt:lpwstr/>
      </vt:variant>
      <vt:variant>
        <vt:i4>4587543</vt:i4>
      </vt:variant>
      <vt:variant>
        <vt:i4>45</vt:i4>
      </vt:variant>
      <vt:variant>
        <vt:i4>0</vt:i4>
      </vt:variant>
      <vt:variant>
        <vt:i4>5</vt:i4>
      </vt:variant>
      <vt:variant>
        <vt:lpwstr>http://www.nihrc.org/</vt:lpwstr>
      </vt:variant>
      <vt:variant>
        <vt:lpwstr/>
      </vt:variant>
      <vt:variant>
        <vt:i4>1310768</vt:i4>
      </vt:variant>
      <vt:variant>
        <vt:i4>38</vt:i4>
      </vt:variant>
      <vt:variant>
        <vt:i4>0</vt:i4>
      </vt:variant>
      <vt:variant>
        <vt:i4>5</vt:i4>
      </vt:variant>
      <vt:variant>
        <vt:lpwstr/>
      </vt:variant>
      <vt:variant>
        <vt:lpwstr>_Toc97049909</vt:lpwstr>
      </vt:variant>
      <vt:variant>
        <vt:i4>1376304</vt:i4>
      </vt:variant>
      <vt:variant>
        <vt:i4>32</vt:i4>
      </vt:variant>
      <vt:variant>
        <vt:i4>0</vt:i4>
      </vt:variant>
      <vt:variant>
        <vt:i4>5</vt:i4>
      </vt:variant>
      <vt:variant>
        <vt:lpwstr/>
      </vt:variant>
      <vt:variant>
        <vt:lpwstr>_Toc97049908</vt:lpwstr>
      </vt:variant>
      <vt:variant>
        <vt:i4>1703984</vt:i4>
      </vt:variant>
      <vt:variant>
        <vt:i4>26</vt:i4>
      </vt:variant>
      <vt:variant>
        <vt:i4>0</vt:i4>
      </vt:variant>
      <vt:variant>
        <vt:i4>5</vt:i4>
      </vt:variant>
      <vt:variant>
        <vt:lpwstr/>
      </vt:variant>
      <vt:variant>
        <vt:lpwstr>_Toc97049907</vt:lpwstr>
      </vt:variant>
      <vt:variant>
        <vt:i4>1769520</vt:i4>
      </vt:variant>
      <vt:variant>
        <vt:i4>20</vt:i4>
      </vt:variant>
      <vt:variant>
        <vt:i4>0</vt:i4>
      </vt:variant>
      <vt:variant>
        <vt:i4>5</vt:i4>
      </vt:variant>
      <vt:variant>
        <vt:lpwstr/>
      </vt:variant>
      <vt:variant>
        <vt:lpwstr>_Toc97049906</vt:lpwstr>
      </vt:variant>
      <vt:variant>
        <vt:i4>1572912</vt:i4>
      </vt:variant>
      <vt:variant>
        <vt:i4>14</vt:i4>
      </vt:variant>
      <vt:variant>
        <vt:i4>0</vt:i4>
      </vt:variant>
      <vt:variant>
        <vt:i4>5</vt:i4>
      </vt:variant>
      <vt:variant>
        <vt:lpwstr/>
      </vt:variant>
      <vt:variant>
        <vt:lpwstr>_Toc97049905</vt:lpwstr>
      </vt:variant>
      <vt:variant>
        <vt:i4>1638448</vt:i4>
      </vt:variant>
      <vt:variant>
        <vt:i4>8</vt:i4>
      </vt:variant>
      <vt:variant>
        <vt:i4>0</vt:i4>
      </vt:variant>
      <vt:variant>
        <vt:i4>5</vt:i4>
      </vt:variant>
      <vt:variant>
        <vt:lpwstr/>
      </vt:variant>
      <vt:variant>
        <vt:lpwstr>_Toc97049904</vt:lpwstr>
      </vt:variant>
      <vt:variant>
        <vt:i4>1966128</vt:i4>
      </vt:variant>
      <vt:variant>
        <vt:i4>2</vt:i4>
      </vt:variant>
      <vt:variant>
        <vt:i4>0</vt:i4>
      </vt:variant>
      <vt:variant>
        <vt:i4>5</vt:i4>
      </vt:variant>
      <vt:variant>
        <vt:lpwstr/>
      </vt:variant>
      <vt:variant>
        <vt:lpwstr>_Toc97049903</vt:lpwstr>
      </vt:variant>
      <vt:variant>
        <vt:i4>7864447</vt:i4>
      </vt:variant>
      <vt:variant>
        <vt:i4>3</vt:i4>
      </vt:variant>
      <vt:variant>
        <vt:i4>0</vt:i4>
      </vt:variant>
      <vt:variant>
        <vt:i4>5</vt:i4>
      </vt:variant>
      <vt:variant>
        <vt:lpwstr>https://btcwarwick.files.wordpress.com/2018/03/draft-withdrawal-agreement-commentary-final.pdf</vt:lpwstr>
      </vt:variant>
      <vt:variant>
        <vt:lpwstr/>
      </vt:variant>
      <vt:variant>
        <vt:i4>6750331</vt:i4>
      </vt:variant>
      <vt:variant>
        <vt:i4>0</vt:i4>
      </vt:variant>
      <vt:variant>
        <vt:i4>0</vt:i4>
      </vt:variant>
      <vt:variant>
        <vt:i4>5</vt:i4>
      </vt:variant>
      <vt:variant>
        <vt:lpwstr>https://nihrc.org/publication/detail/submission-to-the-independent-human-rights-act-review-teams-call-for-evidence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Buchanan</dc:creator>
  <cp:keywords/>
  <dc:description/>
  <cp:lastModifiedBy>Julia Buchanan</cp:lastModifiedBy>
  <cp:revision>5</cp:revision>
  <cp:lastPrinted>2022-03-08T12:58:00Z</cp:lastPrinted>
  <dcterms:created xsi:type="dcterms:W3CDTF">2022-03-08T11:33:00Z</dcterms:created>
  <dcterms:modified xsi:type="dcterms:W3CDTF">2022-03-08T12:58:00Z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0x01010085EAF1442D806E41A5C42848B089FCF5</vt:lpwstr>
  </property>
</Properties>
</file>